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vsd" ContentType="application/vnd.visio"/>
  <Default Extension="wmf" ContentType="image/x-wmf"/>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5.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734201" w14:textId="6CE69729" w:rsidR="002A21AE" w:rsidRDefault="00057948" w:rsidP="00D84B16">
      <w:pPr>
        <w:pStyle w:val="StyleTitlePageCentered"/>
      </w:pPr>
      <w:r>
        <w:rPr>
          <w:noProof/>
        </w:rPr>
        <w:drawing>
          <wp:inline distT="0" distB="0" distL="0" distR="0" wp14:anchorId="79423332" wp14:editId="7BB2F0FC">
            <wp:extent cx="3399155" cy="1209675"/>
            <wp:effectExtent l="0" t="0" r="0" b="9525"/>
            <wp:docPr id="2" name="Picture 2" descr="vbecslogo_medi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becslogo_medium"/>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399155" cy="1209675"/>
                    </a:xfrm>
                    <a:prstGeom prst="rect">
                      <a:avLst/>
                    </a:prstGeom>
                    <a:noFill/>
                    <a:ln>
                      <a:noFill/>
                    </a:ln>
                  </pic:spPr>
                </pic:pic>
              </a:graphicData>
            </a:graphic>
          </wp:inline>
        </w:drawing>
      </w:r>
    </w:p>
    <w:p w14:paraId="78B81540" w14:textId="77777777" w:rsidR="002A21AE" w:rsidRDefault="002A21AE">
      <w:pPr>
        <w:pStyle w:val="TitlePage"/>
      </w:pPr>
    </w:p>
    <w:p w14:paraId="49141FE0" w14:textId="77777777" w:rsidR="002A21AE" w:rsidRDefault="002A21AE">
      <w:pPr>
        <w:pStyle w:val="StyleTitlePageCentered"/>
      </w:pPr>
    </w:p>
    <w:p w14:paraId="2417B64F" w14:textId="77777777" w:rsidR="002A21AE" w:rsidRDefault="002A21AE">
      <w:pPr>
        <w:pStyle w:val="StyleTitlePageCentered"/>
      </w:pPr>
    </w:p>
    <w:p w14:paraId="3CB9B7B0" w14:textId="77777777" w:rsidR="002A21AE" w:rsidRDefault="002A21AE">
      <w:pPr>
        <w:pStyle w:val="StyleTitlePageCentered"/>
      </w:pPr>
    </w:p>
    <w:p w14:paraId="3BC89D40" w14:textId="77777777" w:rsidR="002A21AE" w:rsidRDefault="002A21AE">
      <w:pPr>
        <w:pStyle w:val="StyleTitlePageCentered"/>
      </w:pPr>
    </w:p>
    <w:p w14:paraId="1A457093" w14:textId="591205AA" w:rsidR="002A21AE" w:rsidRDefault="00D41F17">
      <w:pPr>
        <w:pStyle w:val="StyleTitlePageCentered"/>
      </w:pPr>
      <w:r>
        <w:t>V</w:t>
      </w:r>
      <w:r w:rsidR="000C7684">
        <w:t>ist</w:t>
      </w:r>
      <w:r w:rsidR="00EB26A1">
        <w:t>A</w:t>
      </w:r>
      <w:r w:rsidR="000C7684">
        <w:t xml:space="preserve"> </w:t>
      </w:r>
      <w:r w:rsidR="002A21AE">
        <w:t xml:space="preserve">Blood Establishment Computer Software (VBECS) </w:t>
      </w:r>
      <w:r w:rsidR="00662F2F">
        <w:t>Version</w:t>
      </w:r>
      <w:r w:rsidR="002A21AE">
        <w:t xml:space="preserve"> </w:t>
      </w:r>
      <w:r w:rsidR="00C94A42">
        <w:t>2.</w:t>
      </w:r>
      <w:r w:rsidR="009C473F">
        <w:t>4.0</w:t>
      </w:r>
    </w:p>
    <w:p w14:paraId="74FC8673" w14:textId="77777777" w:rsidR="00D10407" w:rsidRDefault="00D10407">
      <w:pPr>
        <w:pStyle w:val="StyleTitlePageCentered"/>
      </w:pPr>
    </w:p>
    <w:p w14:paraId="16BEDBD2" w14:textId="77777777" w:rsidR="00D10407" w:rsidRDefault="00D10407">
      <w:pPr>
        <w:pStyle w:val="StyleTitlePageCentered"/>
      </w:pPr>
    </w:p>
    <w:p w14:paraId="3303CC73" w14:textId="3E55CA29" w:rsidR="002A21AE" w:rsidRDefault="002A21AE">
      <w:pPr>
        <w:pStyle w:val="StyleTitlePageCentered"/>
      </w:pPr>
      <w:r>
        <w:t>User Guide</w:t>
      </w:r>
      <w:r w:rsidR="00F036AD">
        <w:t xml:space="preserve"> Version </w:t>
      </w:r>
      <w:r w:rsidR="003472C7">
        <w:t>3</w:t>
      </w:r>
      <w:r w:rsidR="00F036AD">
        <w:t>.0</w:t>
      </w:r>
    </w:p>
    <w:p w14:paraId="33C7245B" w14:textId="77777777" w:rsidR="008B7F48" w:rsidRDefault="008B7F48">
      <w:pPr>
        <w:pStyle w:val="StyleTitlePageCentered"/>
      </w:pPr>
    </w:p>
    <w:p w14:paraId="79CA82F5" w14:textId="2A5EC9F7" w:rsidR="002A21AE" w:rsidRPr="006E05B3" w:rsidRDefault="0047679C">
      <w:pPr>
        <w:pStyle w:val="StyleTitlePageCentered"/>
      </w:pPr>
      <w:r>
        <w:t>July</w:t>
      </w:r>
      <w:r w:rsidR="00DA3678">
        <w:t xml:space="preserve"> </w:t>
      </w:r>
      <w:r w:rsidR="00B30206">
        <w:t>20</w:t>
      </w:r>
      <w:r w:rsidR="005F6FBE">
        <w:t>2</w:t>
      </w:r>
      <w:r w:rsidR="003472C7">
        <w:t>5</w:t>
      </w:r>
    </w:p>
    <w:p w14:paraId="690EF147" w14:textId="77777777" w:rsidR="002A21AE" w:rsidRDefault="002A21AE">
      <w:pPr>
        <w:pStyle w:val="StyleTitlePageCentered"/>
      </w:pPr>
    </w:p>
    <w:p w14:paraId="7D4B2FCB" w14:textId="77777777" w:rsidR="002A21AE" w:rsidRDefault="002A21AE">
      <w:pPr>
        <w:pStyle w:val="StyleTitlePageCentered"/>
      </w:pPr>
    </w:p>
    <w:p w14:paraId="48757A61" w14:textId="77777777" w:rsidR="002A21AE" w:rsidRDefault="002A21AE">
      <w:pPr>
        <w:pStyle w:val="StyleTitlePageCentered"/>
      </w:pPr>
    </w:p>
    <w:p w14:paraId="5DE4A9FD" w14:textId="77777777" w:rsidR="002A21AE" w:rsidRDefault="002A21AE">
      <w:pPr>
        <w:pStyle w:val="StyleTitlePageCentered"/>
      </w:pPr>
    </w:p>
    <w:p w14:paraId="285A2514" w14:textId="77777777" w:rsidR="002A21AE" w:rsidRPr="00E6048C" w:rsidRDefault="002A21AE">
      <w:pPr>
        <w:pStyle w:val="StyleTitlePageCentered"/>
        <w:rPr>
          <w:b/>
        </w:rPr>
      </w:pPr>
    </w:p>
    <w:p w14:paraId="254D45C3" w14:textId="77777777" w:rsidR="002A21AE" w:rsidRDefault="002A21AE">
      <w:pPr>
        <w:pStyle w:val="StyleTitlePageCentered"/>
      </w:pPr>
    </w:p>
    <w:p w14:paraId="207A06FC" w14:textId="77777777" w:rsidR="002A21AE" w:rsidRDefault="002A21AE">
      <w:pPr>
        <w:pStyle w:val="StyleTitlePageCentered"/>
      </w:pPr>
    </w:p>
    <w:p w14:paraId="046AAD6B" w14:textId="77777777" w:rsidR="002A21AE" w:rsidRDefault="002A21AE">
      <w:pPr>
        <w:pStyle w:val="StyleTitlePageBottom"/>
      </w:pPr>
      <w:r>
        <w:t>Department of Veterans Affairs</w:t>
      </w:r>
    </w:p>
    <w:p w14:paraId="0B8B9A5F" w14:textId="77777777" w:rsidR="002A21AE" w:rsidRDefault="00B27B40">
      <w:pPr>
        <w:pStyle w:val="StyleTitlePageBottom"/>
        <w:sectPr w:rsidR="002A21AE" w:rsidSect="00EE771C">
          <w:headerReference w:type="default" r:id="rId10"/>
          <w:footerReference w:type="even" r:id="rId11"/>
          <w:footerReference w:type="default" r:id="rId12"/>
          <w:type w:val="nextColumn"/>
          <w:pgSz w:w="12240" w:h="15840" w:code="1"/>
          <w:pgMar w:top="1440" w:right="1440" w:bottom="1440" w:left="1440" w:header="720" w:footer="720" w:gutter="0"/>
          <w:cols w:space="720"/>
          <w:docGrid w:linePitch="360"/>
        </w:sectPr>
      </w:pPr>
      <w:r>
        <w:t>Enterprise Project Management</w:t>
      </w:r>
      <w:r w:rsidR="000D79B6">
        <w:t xml:space="preserve"> </w:t>
      </w:r>
      <w:r>
        <w:t>Office</w:t>
      </w:r>
    </w:p>
    <w:p w14:paraId="298F35F8" w14:textId="5B186905" w:rsidR="00062D0F" w:rsidRPr="00672710" w:rsidRDefault="00062D0F" w:rsidP="00D67527">
      <w:pPr>
        <w:pStyle w:val="TableofContents"/>
        <w:jc w:val="center"/>
      </w:pPr>
      <w:bookmarkStart w:id="0" w:name="_Toc63137949"/>
      <w:r w:rsidRPr="00D67527">
        <w:rPr>
          <w:rFonts w:ascii="Times New Roman" w:hAnsi="Times New Roman" w:cs="Times New Roman"/>
        </w:rPr>
        <w:lastRenderedPageBreak/>
        <w:t>Table of Contents</w:t>
      </w:r>
    </w:p>
    <w:p w14:paraId="76163964" w14:textId="77777777" w:rsidR="00D207B7" w:rsidRDefault="00D207B7" w:rsidP="00B116A6">
      <w:pPr>
        <w:pStyle w:val="BodyText"/>
        <w:jc w:val="center"/>
      </w:pPr>
    </w:p>
    <w:bookmarkEnd w:id="0"/>
    <w:p w14:paraId="27F10D50" w14:textId="2DD0ED8E" w:rsidR="004E2B6A" w:rsidRDefault="002A21AE">
      <w:pPr>
        <w:pStyle w:val="TOC1"/>
        <w:tabs>
          <w:tab w:val="right" w:leader="dot" w:pos="9350"/>
        </w:tabs>
        <w:rPr>
          <w:rFonts w:asciiTheme="minorHAnsi" w:eastAsiaTheme="minorEastAsia" w:hAnsiTheme="minorHAnsi" w:cstheme="minorBidi"/>
          <w:b w:val="0"/>
          <w:caps w:val="0"/>
          <w:noProof/>
          <w:kern w:val="2"/>
          <w:sz w:val="24"/>
          <w:szCs w:val="24"/>
          <w14:ligatures w14:val="standardContextual"/>
        </w:rPr>
      </w:pPr>
      <w:r>
        <w:fldChar w:fldCharType="begin"/>
      </w:r>
      <w:r>
        <w:instrText xml:space="preserve"> TOC \o "2-3" \h \z \t "Heading 1,1" </w:instrText>
      </w:r>
      <w:r>
        <w:fldChar w:fldCharType="separate"/>
      </w:r>
      <w:hyperlink w:anchor="_Toc203765799" w:history="1">
        <w:r w:rsidR="004E2B6A" w:rsidRPr="009A1507">
          <w:rPr>
            <w:rStyle w:val="Hyperlink"/>
            <w:noProof/>
          </w:rPr>
          <w:t>Introduction</w:t>
        </w:r>
        <w:r w:rsidR="004E2B6A">
          <w:rPr>
            <w:noProof/>
            <w:webHidden/>
          </w:rPr>
          <w:tab/>
        </w:r>
        <w:r w:rsidR="004E2B6A">
          <w:rPr>
            <w:noProof/>
            <w:webHidden/>
          </w:rPr>
          <w:fldChar w:fldCharType="begin"/>
        </w:r>
        <w:r w:rsidR="004E2B6A">
          <w:rPr>
            <w:noProof/>
            <w:webHidden/>
          </w:rPr>
          <w:instrText xml:space="preserve"> PAGEREF _Toc203765799 \h </w:instrText>
        </w:r>
        <w:r w:rsidR="004E2B6A">
          <w:rPr>
            <w:noProof/>
            <w:webHidden/>
          </w:rPr>
        </w:r>
        <w:r w:rsidR="004E2B6A">
          <w:rPr>
            <w:noProof/>
            <w:webHidden/>
          </w:rPr>
          <w:fldChar w:fldCharType="separate"/>
        </w:r>
        <w:r w:rsidR="007D1829">
          <w:rPr>
            <w:noProof/>
            <w:webHidden/>
          </w:rPr>
          <w:t>6</w:t>
        </w:r>
        <w:r w:rsidR="004E2B6A">
          <w:rPr>
            <w:noProof/>
            <w:webHidden/>
          </w:rPr>
          <w:fldChar w:fldCharType="end"/>
        </w:r>
      </w:hyperlink>
    </w:p>
    <w:p w14:paraId="65988F9A" w14:textId="1E038BB6" w:rsidR="004E2B6A" w:rsidRDefault="004E2B6A">
      <w:pPr>
        <w:pStyle w:val="TOC2"/>
        <w:tabs>
          <w:tab w:val="right" w:leader="dot" w:pos="9350"/>
        </w:tabs>
        <w:rPr>
          <w:rFonts w:asciiTheme="minorHAnsi" w:eastAsiaTheme="minorEastAsia" w:hAnsiTheme="minorHAnsi" w:cstheme="minorBidi"/>
          <w:smallCaps w:val="0"/>
          <w:noProof/>
          <w:kern w:val="2"/>
          <w:sz w:val="24"/>
          <w:szCs w:val="24"/>
          <w14:ligatures w14:val="standardContextual"/>
        </w:rPr>
      </w:pPr>
      <w:hyperlink w:anchor="_Toc203765800" w:history="1">
        <w:r w:rsidRPr="009A1507">
          <w:rPr>
            <w:rStyle w:val="Hyperlink"/>
            <w:noProof/>
          </w:rPr>
          <w:t>Freeware Disclaimer</w:t>
        </w:r>
        <w:r>
          <w:rPr>
            <w:noProof/>
            <w:webHidden/>
          </w:rPr>
          <w:tab/>
        </w:r>
        <w:r>
          <w:rPr>
            <w:noProof/>
            <w:webHidden/>
          </w:rPr>
          <w:fldChar w:fldCharType="begin"/>
        </w:r>
        <w:r>
          <w:rPr>
            <w:noProof/>
            <w:webHidden/>
          </w:rPr>
          <w:instrText xml:space="preserve"> PAGEREF _Toc203765800 \h </w:instrText>
        </w:r>
        <w:r>
          <w:rPr>
            <w:noProof/>
            <w:webHidden/>
          </w:rPr>
        </w:r>
        <w:r>
          <w:rPr>
            <w:noProof/>
            <w:webHidden/>
          </w:rPr>
          <w:fldChar w:fldCharType="separate"/>
        </w:r>
        <w:r w:rsidR="007D1829">
          <w:rPr>
            <w:noProof/>
            <w:webHidden/>
          </w:rPr>
          <w:t>7</w:t>
        </w:r>
        <w:r>
          <w:rPr>
            <w:noProof/>
            <w:webHidden/>
          </w:rPr>
          <w:fldChar w:fldCharType="end"/>
        </w:r>
      </w:hyperlink>
    </w:p>
    <w:p w14:paraId="28C9E31C" w14:textId="4E368C29" w:rsidR="004E2B6A" w:rsidRDefault="004E2B6A">
      <w:pPr>
        <w:pStyle w:val="TOC2"/>
        <w:tabs>
          <w:tab w:val="right" w:leader="dot" w:pos="9350"/>
        </w:tabs>
        <w:rPr>
          <w:rFonts w:asciiTheme="minorHAnsi" w:eastAsiaTheme="minorEastAsia" w:hAnsiTheme="minorHAnsi" w:cstheme="minorBidi"/>
          <w:smallCaps w:val="0"/>
          <w:noProof/>
          <w:kern w:val="2"/>
          <w:sz w:val="24"/>
          <w:szCs w:val="24"/>
          <w14:ligatures w14:val="standardContextual"/>
        </w:rPr>
      </w:pPr>
      <w:hyperlink w:anchor="_Toc203765801" w:history="1">
        <w:r w:rsidRPr="009A1507">
          <w:rPr>
            <w:rStyle w:val="Hyperlink"/>
            <w:noProof/>
          </w:rPr>
          <w:t>Related Manuals and Materials</w:t>
        </w:r>
        <w:r>
          <w:rPr>
            <w:noProof/>
            <w:webHidden/>
          </w:rPr>
          <w:tab/>
        </w:r>
        <w:r>
          <w:rPr>
            <w:noProof/>
            <w:webHidden/>
          </w:rPr>
          <w:fldChar w:fldCharType="begin"/>
        </w:r>
        <w:r>
          <w:rPr>
            <w:noProof/>
            <w:webHidden/>
          </w:rPr>
          <w:instrText xml:space="preserve"> PAGEREF _Toc203765801 \h </w:instrText>
        </w:r>
        <w:r>
          <w:rPr>
            <w:noProof/>
            <w:webHidden/>
          </w:rPr>
        </w:r>
        <w:r>
          <w:rPr>
            <w:noProof/>
            <w:webHidden/>
          </w:rPr>
          <w:fldChar w:fldCharType="separate"/>
        </w:r>
        <w:r w:rsidR="007D1829">
          <w:rPr>
            <w:noProof/>
            <w:webHidden/>
          </w:rPr>
          <w:t>7</w:t>
        </w:r>
        <w:r>
          <w:rPr>
            <w:noProof/>
            <w:webHidden/>
          </w:rPr>
          <w:fldChar w:fldCharType="end"/>
        </w:r>
      </w:hyperlink>
    </w:p>
    <w:p w14:paraId="641A6CAE" w14:textId="67B65027" w:rsidR="004E2B6A" w:rsidRDefault="004E2B6A">
      <w:pPr>
        <w:pStyle w:val="TOC1"/>
        <w:tabs>
          <w:tab w:val="right" w:leader="dot" w:pos="9350"/>
        </w:tabs>
        <w:rPr>
          <w:rFonts w:asciiTheme="minorHAnsi" w:eastAsiaTheme="minorEastAsia" w:hAnsiTheme="minorHAnsi" w:cstheme="minorBidi"/>
          <w:b w:val="0"/>
          <w:caps w:val="0"/>
          <w:noProof/>
          <w:kern w:val="2"/>
          <w:sz w:val="24"/>
          <w:szCs w:val="24"/>
          <w14:ligatures w14:val="standardContextual"/>
        </w:rPr>
      </w:pPr>
      <w:hyperlink w:anchor="_Toc203765802" w:history="1">
        <w:r w:rsidRPr="009A1507">
          <w:rPr>
            <w:rStyle w:val="Hyperlink"/>
            <w:noProof/>
          </w:rPr>
          <w:t>Orientation</w:t>
        </w:r>
        <w:r>
          <w:rPr>
            <w:noProof/>
            <w:webHidden/>
          </w:rPr>
          <w:tab/>
        </w:r>
        <w:r>
          <w:rPr>
            <w:noProof/>
            <w:webHidden/>
          </w:rPr>
          <w:fldChar w:fldCharType="begin"/>
        </w:r>
        <w:r>
          <w:rPr>
            <w:noProof/>
            <w:webHidden/>
          </w:rPr>
          <w:instrText xml:space="preserve"> PAGEREF _Toc203765802 \h </w:instrText>
        </w:r>
        <w:r>
          <w:rPr>
            <w:noProof/>
            <w:webHidden/>
          </w:rPr>
        </w:r>
        <w:r>
          <w:rPr>
            <w:noProof/>
            <w:webHidden/>
          </w:rPr>
          <w:fldChar w:fldCharType="separate"/>
        </w:r>
        <w:r w:rsidR="007D1829">
          <w:rPr>
            <w:noProof/>
            <w:webHidden/>
          </w:rPr>
          <w:t>8</w:t>
        </w:r>
        <w:r>
          <w:rPr>
            <w:noProof/>
            <w:webHidden/>
          </w:rPr>
          <w:fldChar w:fldCharType="end"/>
        </w:r>
      </w:hyperlink>
    </w:p>
    <w:p w14:paraId="64C8424D" w14:textId="71B47326" w:rsidR="004E2B6A" w:rsidRDefault="004E2B6A">
      <w:pPr>
        <w:pStyle w:val="TOC2"/>
        <w:tabs>
          <w:tab w:val="right" w:leader="dot" w:pos="9350"/>
        </w:tabs>
        <w:rPr>
          <w:rFonts w:asciiTheme="minorHAnsi" w:eastAsiaTheme="minorEastAsia" w:hAnsiTheme="minorHAnsi" w:cstheme="minorBidi"/>
          <w:smallCaps w:val="0"/>
          <w:noProof/>
          <w:kern w:val="2"/>
          <w:sz w:val="24"/>
          <w:szCs w:val="24"/>
          <w14:ligatures w14:val="standardContextual"/>
        </w:rPr>
      </w:pPr>
      <w:hyperlink w:anchor="_Toc203765803" w:history="1">
        <w:r w:rsidRPr="009A1507">
          <w:rPr>
            <w:rStyle w:val="Hyperlink"/>
            <w:noProof/>
          </w:rPr>
          <w:t>How This User Guide Is Organized</w:t>
        </w:r>
        <w:r>
          <w:rPr>
            <w:noProof/>
            <w:webHidden/>
          </w:rPr>
          <w:tab/>
        </w:r>
        <w:r>
          <w:rPr>
            <w:noProof/>
            <w:webHidden/>
          </w:rPr>
          <w:fldChar w:fldCharType="begin"/>
        </w:r>
        <w:r>
          <w:rPr>
            <w:noProof/>
            <w:webHidden/>
          </w:rPr>
          <w:instrText xml:space="preserve"> PAGEREF _Toc203765803 \h </w:instrText>
        </w:r>
        <w:r>
          <w:rPr>
            <w:noProof/>
            <w:webHidden/>
          </w:rPr>
        </w:r>
        <w:r>
          <w:rPr>
            <w:noProof/>
            <w:webHidden/>
          </w:rPr>
          <w:fldChar w:fldCharType="separate"/>
        </w:r>
        <w:r w:rsidR="007D1829">
          <w:rPr>
            <w:noProof/>
            <w:webHidden/>
          </w:rPr>
          <w:t>8</w:t>
        </w:r>
        <w:r>
          <w:rPr>
            <w:noProof/>
            <w:webHidden/>
          </w:rPr>
          <w:fldChar w:fldCharType="end"/>
        </w:r>
      </w:hyperlink>
    </w:p>
    <w:p w14:paraId="71A45DCF" w14:textId="0423D01D" w:rsidR="004E2B6A" w:rsidRDefault="004E2B6A">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3765804" w:history="1">
        <w:r w:rsidRPr="009A1507">
          <w:rPr>
            <w:rStyle w:val="Hyperlink"/>
            <w:noProof/>
          </w:rPr>
          <w:t>Terms</w:t>
        </w:r>
        <w:r>
          <w:rPr>
            <w:noProof/>
            <w:webHidden/>
          </w:rPr>
          <w:tab/>
        </w:r>
        <w:r>
          <w:rPr>
            <w:noProof/>
            <w:webHidden/>
          </w:rPr>
          <w:fldChar w:fldCharType="begin"/>
        </w:r>
        <w:r>
          <w:rPr>
            <w:noProof/>
            <w:webHidden/>
          </w:rPr>
          <w:instrText xml:space="preserve"> PAGEREF _Toc203765804 \h </w:instrText>
        </w:r>
        <w:r>
          <w:rPr>
            <w:noProof/>
            <w:webHidden/>
          </w:rPr>
        </w:r>
        <w:r>
          <w:rPr>
            <w:noProof/>
            <w:webHidden/>
          </w:rPr>
          <w:fldChar w:fldCharType="separate"/>
        </w:r>
        <w:r w:rsidR="007D1829">
          <w:rPr>
            <w:noProof/>
            <w:webHidden/>
          </w:rPr>
          <w:t>8</w:t>
        </w:r>
        <w:r>
          <w:rPr>
            <w:noProof/>
            <w:webHidden/>
          </w:rPr>
          <w:fldChar w:fldCharType="end"/>
        </w:r>
      </w:hyperlink>
    </w:p>
    <w:p w14:paraId="49AFC63C" w14:textId="5ADFB7CD" w:rsidR="004E2B6A" w:rsidRDefault="004E2B6A">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3765805" w:history="1">
        <w:r w:rsidRPr="009A1507">
          <w:rPr>
            <w:rStyle w:val="Hyperlink"/>
            <w:noProof/>
          </w:rPr>
          <w:t>Background and Basic Knowledge</w:t>
        </w:r>
        <w:r>
          <w:rPr>
            <w:noProof/>
            <w:webHidden/>
          </w:rPr>
          <w:tab/>
        </w:r>
        <w:r>
          <w:rPr>
            <w:noProof/>
            <w:webHidden/>
          </w:rPr>
          <w:fldChar w:fldCharType="begin"/>
        </w:r>
        <w:r>
          <w:rPr>
            <w:noProof/>
            <w:webHidden/>
          </w:rPr>
          <w:instrText xml:space="preserve"> PAGEREF _Toc203765805 \h </w:instrText>
        </w:r>
        <w:r>
          <w:rPr>
            <w:noProof/>
            <w:webHidden/>
          </w:rPr>
        </w:r>
        <w:r>
          <w:rPr>
            <w:noProof/>
            <w:webHidden/>
          </w:rPr>
          <w:fldChar w:fldCharType="separate"/>
        </w:r>
        <w:r w:rsidR="007D1829">
          <w:rPr>
            <w:noProof/>
            <w:webHidden/>
          </w:rPr>
          <w:t>8</w:t>
        </w:r>
        <w:r>
          <w:rPr>
            <w:noProof/>
            <w:webHidden/>
          </w:rPr>
          <w:fldChar w:fldCharType="end"/>
        </w:r>
      </w:hyperlink>
    </w:p>
    <w:p w14:paraId="7754C555" w14:textId="7FD5F6A9" w:rsidR="004E2B6A" w:rsidRDefault="004E2B6A">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3765806" w:history="1">
        <w:r w:rsidRPr="009A1507">
          <w:rPr>
            <w:rStyle w:val="Hyperlink"/>
            <w:noProof/>
          </w:rPr>
          <w:t>Figures and Tables</w:t>
        </w:r>
        <w:r>
          <w:rPr>
            <w:noProof/>
            <w:webHidden/>
          </w:rPr>
          <w:tab/>
        </w:r>
        <w:r>
          <w:rPr>
            <w:noProof/>
            <w:webHidden/>
          </w:rPr>
          <w:fldChar w:fldCharType="begin"/>
        </w:r>
        <w:r>
          <w:rPr>
            <w:noProof/>
            <w:webHidden/>
          </w:rPr>
          <w:instrText xml:space="preserve"> PAGEREF _Toc203765806 \h </w:instrText>
        </w:r>
        <w:r>
          <w:rPr>
            <w:noProof/>
            <w:webHidden/>
          </w:rPr>
        </w:r>
        <w:r>
          <w:rPr>
            <w:noProof/>
            <w:webHidden/>
          </w:rPr>
          <w:fldChar w:fldCharType="separate"/>
        </w:r>
        <w:r w:rsidR="007D1829">
          <w:rPr>
            <w:noProof/>
            <w:webHidden/>
          </w:rPr>
          <w:t>8</w:t>
        </w:r>
        <w:r>
          <w:rPr>
            <w:noProof/>
            <w:webHidden/>
          </w:rPr>
          <w:fldChar w:fldCharType="end"/>
        </w:r>
      </w:hyperlink>
    </w:p>
    <w:p w14:paraId="0A235068" w14:textId="06E45902" w:rsidR="004E2B6A" w:rsidRDefault="004E2B6A">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3765807" w:history="1">
        <w:r w:rsidRPr="009A1507">
          <w:rPr>
            <w:rStyle w:val="Hyperlink"/>
            <w:noProof/>
          </w:rPr>
          <w:t>Options</w:t>
        </w:r>
        <w:r>
          <w:rPr>
            <w:noProof/>
            <w:webHidden/>
          </w:rPr>
          <w:tab/>
        </w:r>
        <w:r>
          <w:rPr>
            <w:noProof/>
            <w:webHidden/>
          </w:rPr>
          <w:fldChar w:fldCharType="begin"/>
        </w:r>
        <w:r>
          <w:rPr>
            <w:noProof/>
            <w:webHidden/>
          </w:rPr>
          <w:instrText xml:space="preserve"> PAGEREF _Toc203765807 \h </w:instrText>
        </w:r>
        <w:r>
          <w:rPr>
            <w:noProof/>
            <w:webHidden/>
          </w:rPr>
        </w:r>
        <w:r>
          <w:rPr>
            <w:noProof/>
            <w:webHidden/>
          </w:rPr>
          <w:fldChar w:fldCharType="separate"/>
        </w:r>
        <w:r w:rsidR="007D1829">
          <w:rPr>
            <w:noProof/>
            <w:webHidden/>
          </w:rPr>
          <w:t>8</w:t>
        </w:r>
        <w:r>
          <w:rPr>
            <w:noProof/>
            <w:webHidden/>
          </w:rPr>
          <w:fldChar w:fldCharType="end"/>
        </w:r>
      </w:hyperlink>
    </w:p>
    <w:p w14:paraId="07D06972" w14:textId="410EF19C" w:rsidR="004E2B6A" w:rsidRDefault="004E2B6A">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3765808" w:history="1">
        <w:r w:rsidRPr="009A1507">
          <w:rPr>
            <w:rStyle w:val="Hyperlink"/>
            <w:noProof/>
          </w:rPr>
          <w:t>Supplemental Information</w:t>
        </w:r>
        <w:r>
          <w:rPr>
            <w:noProof/>
            <w:webHidden/>
          </w:rPr>
          <w:tab/>
        </w:r>
        <w:r>
          <w:rPr>
            <w:noProof/>
            <w:webHidden/>
          </w:rPr>
          <w:fldChar w:fldCharType="begin"/>
        </w:r>
        <w:r>
          <w:rPr>
            <w:noProof/>
            <w:webHidden/>
          </w:rPr>
          <w:instrText xml:space="preserve"> PAGEREF _Toc203765808 \h </w:instrText>
        </w:r>
        <w:r>
          <w:rPr>
            <w:noProof/>
            <w:webHidden/>
          </w:rPr>
        </w:r>
        <w:r>
          <w:rPr>
            <w:noProof/>
            <w:webHidden/>
          </w:rPr>
          <w:fldChar w:fldCharType="separate"/>
        </w:r>
        <w:r w:rsidR="007D1829">
          <w:rPr>
            <w:noProof/>
            <w:webHidden/>
          </w:rPr>
          <w:t>9</w:t>
        </w:r>
        <w:r>
          <w:rPr>
            <w:noProof/>
            <w:webHidden/>
          </w:rPr>
          <w:fldChar w:fldCharType="end"/>
        </w:r>
      </w:hyperlink>
    </w:p>
    <w:p w14:paraId="6169EEB6" w14:textId="417A01A7" w:rsidR="004E2B6A" w:rsidRDefault="004E2B6A">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3765809" w:history="1">
        <w:r w:rsidRPr="009A1507">
          <w:rPr>
            <w:rStyle w:val="Hyperlink"/>
            <w:noProof/>
          </w:rPr>
          <w:t>Appendices</w:t>
        </w:r>
        <w:r>
          <w:rPr>
            <w:noProof/>
            <w:webHidden/>
          </w:rPr>
          <w:tab/>
        </w:r>
        <w:r>
          <w:rPr>
            <w:noProof/>
            <w:webHidden/>
          </w:rPr>
          <w:fldChar w:fldCharType="begin"/>
        </w:r>
        <w:r>
          <w:rPr>
            <w:noProof/>
            <w:webHidden/>
          </w:rPr>
          <w:instrText xml:space="preserve"> PAGEREF _Toc203765809 \h </w:instrText>
        </w:r>
        <w:r>
          <w:rPr>
            <w:noProof/>
            <w:webHidden/>
          </w:rPr>
        </w:r>
        <w:r>
          <w:rPr>
            <w:noProof/>
            <w:webHidden/>
          </w:rPr>
          <w:fldChar w:fldCharType="separate"/>
        </w:r>
        <w:r w:rsidR="007D1829">
          <w:rPr>
            <w:noProof/>
            <w:webHidden/>
          </w:rPr>
          <w:t>9</w:t>
        </w:r>
        <w:r>
          <w:rPr>
            <w:noProof/>
            <w:webHidden/>
          </w:rPr>
          <w:fldChar w:fldCharType="end"/>
        </w:r>
      </w:hyperlink>
    </w:p>
    <w:p w14:paraId="37F7B414" w14:textId="4FB08CA9" w:rsidR="004E2B6A" w:rsidRDefault="004E2B6A">
      <w:pPr>
        <w:pStyle w:val="TOC2"/>
        <w:tabs>
          <w:tab w:val="right" w:leader="dot" w:pos="9350"/>
        </w:tabs>
        <w:rPr>
          <w:rFonts w:asciiTheme="minorHAnsi" w:eastAsiaTheme="minorEastAsia" w:hAnsiTheme="minorHAnsi" w:cstheme="minorBidi"/>
          <w:smallCaps w:val="0"/>
          <w:noProof/>
          <w:kern w:val="2"/>
          <w:sz w:val="24"/>
          <w:szCs w:val="24"/>
          <w14:ligatures w14:val="standardContextual"/>
        </w:rPr>
      </w:pPr>
      <w:hyperlink w:anchor="_Toc203765810" w:history="1">
        <w:r w:rsidRPr="009A1507">
          <w:rPr>
            <w:rStyle w:val="Hyperlink"/>
            <w:noProof/>
          </w:rPr>
          <w:t>Security</w:t>
        </w:r>
        <w:r>
          <w:rPr>
            <w:noProof/>
            <w:webHidden/>
          </w:rPr>
          <w:tab/>
        </w:r>
        <w:r>
          <w:rPr>
            <w:noProof/>
            <w:webHidden/>
          </w:rPr>
          <w:fldChar w:fldCharType="begin"/>
        </w:r>
        <w:r>
          <w:rPr>
            <w:noProof/>
            <w:webHidden/>
          </w:rPr>
          <w:instrText xml:space="preserve"> PAGEREF _Toc203765810 \h </w:instrText>
        </w:r>
        <w:r>
          <w:rPr>
            <w:noProof/>
            <w:webHidden/>
          </w:rPr>
        </w:r>
        <w:r>
          <w:rPr>
            <w:noProof/>
            <w:webHidden/>
          </w:rPr>
          <w:fldChar w:fldCharType="separate"/>
        </w:r>
        <w:r w:rsidR="007D1829">
          <w:rPr>
            <w:noProof/>
            <w:webHidden/>
          </w:rPr>
          <w:t>9</w:t>
        </w:r>
        <w:r>
          <w:rPr>
            <w:noProof/>
            <w:webHidden/>
          </w:rPr>
          <w:fldChar w:fldCharType="end"/>
        </w:r>
      </w:hyperlink>
    </w:p>
    <w:p w14:paraId="34C435B0" w14:textId="7F00E6EA" w:rsidR="004E2B6A" w:rsidRDefault="004E2B6A">
      <w:pPr>
        <w:pStyle w:val="TOC2"/>
        <w:tabs>
          <w:tab w:val="right" w:leader="dot" w:pos="9350"/>
        </w:tabs>
        <w:rPr>
          <w:rFonts w:asciiTheme="minorHAnsi" w:eastAsiaTheme="minorEastAsia" w:hAnsiTheme="minorHAnsi" w:cstheme="minorBidi"/>
          <w:smallCaps w:val="0"/>
          <w:noProof/>
          <w:kern w:val="2"/>
          <w:sz w:val="24"/>
          <w:szCs w:val="24"/>
          <w14:ligatures w14:val="standardContextual"/>
        </w:rPr>
      </w:pPr>
      <w:hyperlink w:anchor="_Toc203765811" w:history="1">
        <w:r w:rsidRPr="009A1507">
          <w:rPr>
            <w:rStyle w:val="Hyperlink"/>
            <w:noProof/>
          </w:rPr>
          <w:t>Application Architecture</w:t>
        </w:r>
        <w:r>
          <w:rPr>
            <w:noProof/>
            <w:webHidden/>
          </w:rPr>
          <w:tab/>
        </w:r>
        <w:r>
          <w:rPr>
            <w:noProof/>
            <w:webHidden/>
          </w:rPr>
          <w:fldChar w:fldCharType="begin"/>
        </w:r>
        <w:r>
          <w:rPr>
            <w:noProof/>
            <w:webHidden/>
          </w:rPr>
          <w:instrText xml:space="preserve"> PAGEREF _Toc203765811 \h </w:instrText>
        </w:r>
        <w:r>
          <w:rPr>
            <w:noProof/>
            <w:webHidden/>
          </w:rPr>
        </w:r>
        <w:r>
          <w:rPr>
            <w:noProof/>
            <w:webHidden/>
          </w:rPr>
          <w:fldChar w:fldCharType="separate"/>
        </w:r>
        <w:r w:rsidR="007D1829">
          <w:rPr>
            <w:noProof/>
            <w:webHidden/>
          </w:rPr>
          <w:t>11</w:t>
        </w:r>
        <w:r>
          <w:rPr>
            <w:noProof/>
            <w:webHidden/>
          </w:rPr>
          <w:fldChar w:fldCharType="end"/>
        </w:r>
      </w:hyperlink>
    </w:p>
    <w:p w14:paraId="664C7348" w14:textId="1729A819" w:rsidR="004E2B6A" w:rsidRDefault="004E2B6A">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3765812" w:history="1">
        <w:r w:rsidRPr="009A1507">
          <w:rPr>
            <w:rStyle w:val="Hyperlink"/>
            <w:noProof/>
          </w:rPr>
          <w:t>Options That Require VistALink</w:t>
        </w:r>
        <w:r>
          <w:rPr>
            <w:noProof/>
            <w:webHidden/>
          </w:rPr>
          <w:tab/>
        </w:r>
        <w:r>
          <w:rPr>
            <w:noProof/>
            <w:webHidden/>
          </w:rPr>
          <w:fldChar w:fldCharType="begin"/>
        </w:r>
        <w:r>
          <w:rPr>
            <w:noProof/>
            <w:webHidden/>
          </w:rPr>
          <w:instrText xml:space="preserve"> PAGEREF _Toc203765812 \h </w:instrText>
        </w:r>
        <w:r>
          <w:rPr>
            <w:noProof/>
            <w:webHidden/>
          </w:rPr>
        </w:r>
        <w:r>
          <w:rPr>
            <w:noProof/>
            <w:webHidden/>
          </w:rPr>
          <w:fldChar w:fldCharType="separate"/>
        </w:r>
        <w:r w:rsidR="007D1829">
          <w:rPr>
            <w:noProof/>
            <w:webHidden/>
          </w:rPr>
          <w:t>11</w:t>
        </w:r>
        <w:r>
          <w:rPr>
            <w:noProof/>
            <w:webHidden/>
          </w:rPr>
          <w:fldChar w:fldCharType="end"/>
        </w:r>
      </w:hyperlink>
    </w:p>
    <w:p w14:paraId="1DEF82E6" w14:textId="2A402C10" w:rsidR="004E2B6A" w:rsidRDefault="004E2B6A">
      <w:pPr>
        <w:pStyle w:val="TOC2"/>
        <w:tabs>
          <w:tab w:val="right" w:leader="dot" w:pos="9350"/>
        </w:tabs>
        <w:rPr>
          <w:rFonts w:asciiTheme="minorHAnsi" w:eastAsiaTheme="minorEastAsia" w:hAnsiTheme="minorHAnsi" w:cstheme="minorBidi"/>
          <w:smallCaps w:val="0"/>
          <w:noProof/>
          <w:kern w:val="2"/>
          <w:sz w:val="24"/>
          <w:szCs w:val="24"/>
          <w14:ligatures w14:val="standardContextual"/>
        </w:rPr>
      </w:pPr>
      <w:hyperlink w:anchor="_Toc203765813" w:history="1">
        <w:r w:rsidRPr="009A1507">
          <w:rPr>
            <w:rStyle w:val="Hyperlink"/>
            <w:noProof/>
          </w:rPr>
          <w:t>Getting Help from Customer Support</w:t>
        </w:r>
        <w:r>
          <w:rPr>
            <w:noProof/>
            <w:webHidden/>
          </w:rPr>
          <w:tab/>
        </w:r>
        <w:r>
          <w:rPr>
            <w:noProof/>
            <w:webHidden/>
          </w:rPr>
          <w:fldChar w:fldCharType="begin"/>
        </w:r>
        <w:r>
          <w:rPr>
            <w:noProof/>
            <w:webHidden/>
          </w:rPr>
          <w:instrText xml:space="preserve"> PAGEREF _Toc203765813 \h </w:instrText>
        </w:r>
        <w:r>
          <w:rPr>
            <w:noProof/>
            <w:webHidden/>
          </w:rPr>
        </w:r>
        <w:r>
          <w:rPr>
            <w:noProof/>
            <w:webHidden/>
          </w:rPr>
          <w:fldChar w:fldCharType="separate"/>
        </w:r>
        <w:r w:rsidR="007D1829">
          <w:rPr>
            <w:noProof/>
            <w:webHidden/>
          </w:rPr>
          <w:t>12</w:t>
        </w:r>
        <w:r>
          <w:rPr>
            <w:noProof/>
            <w:webHidden/>
          </w:rPr>
          <w:fldChar w:fldCharType="end"/>
        </w:r>
      </w:hyperlink>
    </w:p>
    <w:p w14:paraId="087D810F" w14:textId="1047D11E" w:rsidR="004E2B6A" w:rsidRDefault="004E2B6A">
      <w:pPr>
        <w:pStyle w:val="TOC2"/>
        <w:tabs>
          <w:tab w:val="right" w:leader="dot" w:pos="9350"/>
        </w:tabs>
        <w:rPr>
          <w:rFonts w:asciiTheme="minorHAnsi" w:eastAsiaTheme="minorEastAsia" w:hAnsiTheme="minorHAnsi" w:cstheme="minorBidi"/>
          <w:smallCaps w:val="0"/>
          <w:noProof/>
          <w:kern w:val="2"/>
          <w:sz w:val="24"/>
          <w:szCs w:val="24"/>
          <w14:ligatures w14:val="standardContextual"/>
        </w:rPr>
      </w:pPr>
      <w:hyperlink w:anchor="_Toc203765814" w:history="1">
        <w:r w:rsidRPr="009A1507">
          <w:rPr>
            <w:rStyle w:val="Hyperlink"/>
            <w:noProof/>
          </w:rPr>
          <w:t>Requesting New VBECS Features or Functionality</w:t>
        </w:r>
        <w:r>
          <w:rPr>
            <w:noProof/>
            <w:webHidden/>
          </w:rPr>
          <w:tab/>
        </w:r>
        <w:r>
          <w:rPr>
            <w:noProof/>
            <w:webHidden/>
          </w:rPr>
          <w:fldChar w:fldCharType="begin"/>
        </w:r>
        <w:r>
          <w:rPr>
            <w:noProof/>
            <w:webHidden/>
          </w:rPr>
          <w:instrText xml:space="preserve"> PAGEREF _Toc203765814 \h </w:instrText>
        </w:r>
        <w:r>
          <w:rPr>
            <w:noProof/>
            <w:webHidden/>
          </w:rPr>
        </w:r>
        <w:r>
          <w:rPr>
            <w:noProof/>
            <w:webHidden/>
          </w:rPr>
          <w:fldChar w:fldCharType="separate"/>
        </w:r>
        <w:r w:rsidR="007D1829">
          <w:rPr>
            <w:noProof/>
            <w:webHidden/>
          </w:rPr>
          <w:t>13</w:t>
        </w:r>
        <w:r>
          <w:rPr>
            <w:noProof/>
            <w:webHidden/>
          </w:rPr>
          <w:fldChar w:fldCharType="end"/>
        </w:r>
      </w:hyperlink>
    </w:p>
    <w:p w14:paraId="51CCC536" w14:textId="38AA8C3D" w:rsidR="004E2B6A" w:rsidRDefault="004E2B6A">
      <w:pPr>
        <w:pStyle w:val="TOC1"/>
        <w:tabs>
          <w:tab w:val="right" w:leader="dot" w:pos="9350"/>
        </w:tabs>
        <w:rPr>
          <w:rFonts w:asciiTheme="minorHAnsi" w:eastAsiaTheme="minorEastAsia" w:hAnsiTheme="minorHAnsi" w:cstheme="minorBidi"/>
          <w:b w:val="0"/>
          <w:caps w:val="0"/>
          <w:noProof/>
          <w:kern w:val="2"/>
          <w:sz w:val="24"/>
          <w:szCs w:val="24"/>
          <w14:ligatures w14:val="standardContextual"/>
        </w:rPr>
      </w:pPr>
      <w:hyperlink w:anchor="_Toc203765815" w:history="1">
        <w:r w:rsidRPr="009A1507">
          <w:rPr>
            <w:rStyle w:val="Hyperlink"/>
            <w:noProof/>
          </w:rPr>
          <w:t>Using the Software</w:t>
        </w:r>
        <w:r>
          <w:rPr>
            <w:noProof/>
            <w:webHidden/>
          </w:rPr>
          <w:tab/>
        </w:r>
        <w:r>
          <w:rPr>
            <w:noProof/>
            <w:webHidden/>
          </w:rPr>
          <w:fldChar w:fldCharType="begin"/>
        </w:r>
        <w:r>
          <w:rPr>
            <w:noProof/>
            <w:webHidden/>
          </w:rPr>
          <w:instrText xml:space="preserve"> PAGEREF _Toc203765815 \h </w:instrText>
        </w:r>
        <w:r>
          <w:rPr>
            <w:noProof/>
            <w:webHidden/>
          </w:rPr>
        </w:r>
        <w:r>
          <w:rPr>
            <w:noProof/>
            <w:webHidden/>
          </w:rPr>
          <w:fldChar w:fldCharType="separate"/>
        </w:r>
        <w:r w:rsidR="007D1829">
          <w:rPr>
            <w:noProof/>
            <w:webHidden/>
          </w:rPr>
          <w:t>13</w:t>
        </w:r>
        <w:r>
          <w:rPr>
            <w:noProof/>
            <w:webHidden/>
          </w:rPr>
          <w:fldChar w:fldCharType="end"/>
        </w:r>
      </w:hyperlink>
    </w:p>
    <w:p w14:paraId="37B67B44" w14:textId="1204B809" w:rsidR="004E2B6A" w:rsidRDefault="004E2B6A">
      <w:pPr>
        <w:pStyle w:val="TOC2"/>
        <w:tabs>
          <w:tab w:val="right" w:leader="dot" w:pos="9350"/>
        </w:tabs>
        <w:rPr>
          <w:rFonts w:asciiTheme="minorHAnsi" w:eastAsiaTheme="minorEastAsia" w:hAnsiTheme="minorHAnsi" w:cstheme="minorBidi"/>
          <w:smallCaps w:val="0"/>
          <w:noProof/>
          <w:kern w:val="2"/>
          <w:sz w:val="24"/>
          <w:szCs w:val="24"/>
          <w14:ligatures w14:val="standardContextual"/>
        </w:rPr>
      </w:pPr>
      <w:hyperlink w:anchor="_Toc203765816" w:history="1">
        <w:r w:rsidRPr="009A1507">
          <w:rPr>
            <w:rStyle w:val="Hyperlink"/>
            <w:noProof/>
          </w:rPr>
          <w:t>Software Basics</w:t>
        </w:r>
        <w:r>
          <w:rPr>
            <w:noProof/>
            <w:webHidden/>
          </w:rPr>
          <w:tab/>
        </w:r>
        <w:r>
          <w:rPr>
            <w:noProof/>
            <w:webHidden/>
          </w:rPr>
          <w:fldChar w:fldCharType="begin"/>
        </w:r>
        <w:r>
          <w:rPr>
            <w:noProof/>
            <w:webHidden/>
          </w:rPr>
          <w:instrText xml:space="preserve"> PAGEREF _Toc203765816 \h </w:instrText>
        </w:r>
        <w:r>
          <w:rPr>
            <w:noProof/>
            <w:webHidden/>
          </w:rPr>
        </w:r>
        <w:r>
          <w:rPr>
            <w:noProof/>
            <w:webHidden/>
          </w:rPr>
          <w:fldChar w:fldCharType="separate"/>
        </w:r>
        <w:r w:rsidR="007D1829">
          <w:rPr>
            <w:noProof/>
            <w:webHidden/>
          </w:rPr>
          <w:t>13</w:t>
        </w:r>
        <w:r>
          <w:rPr>
            <w:noProof/>
            <w:webHidden/>
          </w:rPr>
          <w:fldChar w:fldCharType="end"/>
        </w:r>
      </w:hyperlink>
    </w:p>
    <w:p w14:paraId="6EA3A097" w14:textId="706FC6D9" w:rsidR="004E2B6A" w:rsidRDefault="004E2B6A">
      <w:pPr>
        <w:pStyle w:val="TOC2"/>
        <w:tabs>
          <w:tab w:val="right" w:leader="dot" w:pos="9350"/>
        </w:tabs>
        <w:rPr>
          <w:rFonts w:asciiTheme="minorHAnsi" w:eastAsiaTheme="minorEastAsia" w:hAnsiTheme="minorHAnsi" w:cstheme="minorBidi"/>
          <w:smallCaps w:val="0"/>
          <w:noProof/>
          <w:kern w:val="2"/>
          <w:sz w:val="24"/>
          <w:szCs w:val="24"/>
          <w14:ligatures w14:val="standardContextual"/>
        </w:rPr>
      </w:pPr>
      <w:hyperlink w:anchor="_Toc203765817" w:history="1">
        <w:r w:rsidRPr="009A1507">
          <w:rPr>
            <w:rStyle w:val="Hyperlink"/>
            <w:noProof/>
          </w:rPr>
          <w:t>Commonly Used System Rules</w:t>
        </w:r>
        <w:r>
          <w:rPr>
            <w:noProof/>
            <w:webHidden/>
          </w:rPr>
          <w:tab/>
        </w:r>
        <w:r>
          <w:rPr>
            <w:noProof/>
            <w:webHidden/>
          </w:rPr>
          <w:fldChar w:fldCharType="begin"/>
        </w:r>
        <w:r>
          <w:rPr>
            <w:noProof/>
            <w:webHidden/>
          </w:rPr>
          <w:instrText xml:space="preserve"> PAGEREF _Toc203765817 \h </w:instrText>
        </w:r>
        <w:r>
          <w:rPr>
            <w:noProof/>
            <w:webHidden/>
          </w:rPr>
        </w:r>
        <w:r>
          <w:rPr>
            <w:noProof/>
            <w:webHidden/>
          </w:rPr>
          <w:fldChar w:fldCharType="separate"/>
        </w:r>
        <w:r w:rsidR="007D1829">
          <w:rPr>
            <w:noProof/>
            <w:webHidden/>
          </w:rPr>
          <w:t>16</w:t>
        </w:r>
        <w:r>
          <w:rPr>
            <w:noProof/>
            <w:webHidden/>
          </w:rPr>
          <w:fldChar w:fldCharType="end"/>
        </w:r>
      </w:hyperlink>
    </w:p>
    <w:p w14:paraId="1654A63C" w14:textId="440C4905" w:rsidR="004E2B6A" w:rsidRDefault="004E2B6A">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3765818" w:history="1">
        <w:r w:rsidRPr="009A1507">
          <w:rPr>
            <w:rStyle w:val="Hyperlink"/>
            <w:noProof/>
          </w:rPr>
          <w:t>Date and Time</w:t>
        </w:r>
        <w:r>
          <w:rPr>
            <w:noProof/>
            <w:webHidden/>
          </w:rPr>
          <w:tab/>
        </w:r>
        <w:r>
          <w:rPr>
            <w:noProof/>
            <w:webHidden/>
          </w:rPr>
          <w:fldChar w:fldCharType="begin"/>
        </w:r>
        <w:r>
          <w:rPr>
            <w:noProof/>
            <w:webHidden/>
          </w:rPr>
          <w:instrText xml:space="preserve"> PAGEREF _Toc203765818 \h </w:instrText>
        </w:r>
        <w:r>
          <w:rPr>
            <w:noProof/>
            <w:webHidden/>
          </w:rPr>
        </w:r>
        <w:r>
          <w:rPr>
            <w:noProof/>
            <w:webHidden/>
          </w:rPr>
          <w:fldChar w:fldCharType="separate"/>
        </w:r>
        <w:r w:rsidR="007D1829">
          <w:rPr>
            <w:noProof/>
            <w:webHidden/>
          </w:rPr>
          <w:t>16</w:t>
        </w:r>
        <w:r>
          <w:rPr>
            <w:noProof/>
            <w:webHidden/>
          </w:rPr>
          <w:fldChar w:fldCharType="end"/>
        </w:r>
      </w:hyperlink>
    </w:p>
    <w:p w14:paraId="487A1C7F" w14:textId="67E720C4" w:rsidR="004E2B6A" w:rsidRDefault="004E2B6A">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3765819" w:history="1">
        <w:r w:rsidRPr="009A1507">
          <w:rPr>
            <w:rStyle w:val="Hyperlink"/>
            <w:noProof/>
          </w:rPr>
          <w:t>Working with Data</w:t>
        </w:r>
        <w:r>
          <w:rPr>
            <w:noProof/>
            <w:webHidden/>
          </w:rPr>
          <w:tab/>
        </w:r>
        <w:r>
          <w:rPr>
            <w:noProof/>
            <w:webHidden/>
          </w:rPr>
          <w:fldChar w:fldCharType="begin"/>
        </w:r>
        <w:r>
          <w:rPr>
            <w:noProof/>
            <w:webHidden/>
          </w:rPr>
          <w:instrText xml:space="preserve"> PAGEREF _Toc203765819 \h </w:instrText>
        </w:r>
        <w:r>
          <w:rPr>
            <w:noProof/>
            <w:webHidden/>
          </w:rPr>
        </w:r>
        <w:r>
          <w:rPr>
            <w:noProof/>
            <w:webHidden/>
          </w:rPr>
          <w:fldChar w:fldCharType="separate"/>
        </w:r>
        <w:r w:rsidR="007D1829">
          <w:rPr>
            <w:noProof/>
            <w:webHidden/>
          </w:rPr>
          <w:t>16</w:t>
        </w:r>
        <w:r>
          <w:rPr>
            <w:noProof/>
            <w:webHidden/>
          </w:rPr>
          <w:fldChar w:fldCharType="end"/>
        </w:r>
      </w:hyperlink>
    </w:p>
    <w:p w14:paraId="0FA3FFAB" w14:textId="56AB18E1" w:rsidR="004E2B6A" w:rsidRDefault="004E2B6A">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3765820" w:history="1">
        <w:r w:rsidRPr="009A1507">
          <w:rPr>
            <w:rStyle w:val="Hyperlink"/>
            <w:noProof/>
          </w:rPr>
          <w:t>Searching the Database</w:t>
        </w:r>
        <w:r>
          <w:rPr>
            <w:noProof/>
            <w:webHidden/>
          </w:rPr>
          <w:tab/>
        </w:r>
        <w:r>
          <w:rPr>
            <w:noProof/>
            <w:webHidden/>
          </w:rPr>
          <w:fldChar w:fldCharType="begin"/>
        </w:r>
        <w:r>
          <w:rPr>
            <w:noProof/>
            <w:webHidden/>
          </w:rPr>
          <w:instrText xml:space="preserve"> PAGEREF _Toc203765820 \h </w:instrText>
        </w:r>
        <w:r>
          <w:rPr>
            <w:noProof/>
            <w:webHidden/>
          </w:rPr>
        </w:r>
        <w:r>
          <w:rPr>
            <w:noProof/>
            <w:webHidden/>
          </w:rPr>
          <w:fldChar w:fldCharType="separate"/>
        </w:r>
        <w:r w:rsidR="007D1829">
          <w:rPr>
            <w:noProof/>
            <w:webHidden/>
          </w:rPr>
          <w:t>17</w:t>
        </w:r>
        <w:r>
          <w:rPr>
            <w:noProof/>
            <w:webHidden/>
          </w:rPr>
          <w:fldChar w:fldCharType="end"/>
        </w:r>
      </w:hyperlink>
    </w:p>
    <w:p w14:paraId="2193FA32" w14:textId="2CCEFFD7" w:rsidR="004E2B6A" w:rsidRDefault="004E2B6A">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3765821" w:history="1">
        <w:r w:rsidRPr="009A1507">
          <w:rPr>
            <w:rStyle w:val="Hyperlink"/>
            <w:noProof/>
          </w:rPr>
          <w:t>Testing</w:t>
        </w:r>
        <w:r>
          <w:rPr>
            <w:noProof/>
            <w:webHidden/>
          </w:rPr>
          <w:tab/>
        </w:r>
        <w:r>
          <w:rPr>
            <w:noProof/>
            <w:webHidden/>
          </w:rPr>
          <w:fldChar w:fldCharType="begin"/>
        </w:r>
        <w:r>
          <w:rPr>
            <w:noProof/>
            <w:webHidden/>
          </w:rPr>
          <w:instrText xml:space="preserve"> PAGEREF _Toc203765821 \h </w:instrText>
        </w:r>
        <w:r>
          <w:rPr>
            <w:noProof/>
            <w:webHidden/>
          </w:rPr>
        </w:r>
        <w:r>
          <w:rPr>
            <w:noProof/>
            <w:webHidden/>
          </w:rPr>
          <w:fldChar w:fldCharType="separate"/>
        </w:r>
        <w:r w:rsidR="007D1829">
          <w:rPr>
            <w:noProof/>
            <w:webHidden/>
          </w:rPr>
          <w:t>18</w:t>
        </w:r>
        <w:r>
          <w:rPr>
            <w:noProof/>
            <w:webHidden/>
          </w:rPr>
          <w:fldChar w:fldCharType="end"/>
        </w:r>
      </w:hyperlink>
    </w:p>
    <w:p w14:paraId="44F2170C" w14:textId="6A83D4BE" w:rsidR="004E2B6A" w:rsidRDefault="004E2B6A">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3765822" w:history="1">
        <w:r w:rsidRPr="009A1507">
          <w:rPr>
            <w:rStyle w:val="Hyperlink"/>
            <w:noProof/>
          </w:rPr>
          <w:t>Creating and Viewing Reports</w:t>
        </w:r>
        <w:r>
          <w:rPr>
            <w:noProof/>
            <w:webHidden/>
          </w:rPr>
          <w:tab/>
        </w:r>
        <w:r>
          <w:rPr>
            <w:noProof/>
            <w:webHidden/>
          </w:rPr>
          <w:fldChar w:fldCharType="begin"/>
        </w:r>
        <w:r>
          <w:rPr>
            <w:noProof/>
            <w:webHidden/>
          </w:rPr>
          <w:instrText xml:space="preserve"> PAGEREF _Toc203765822 \h </w:instrText>
        </w:r>
        <w:r>
          <w:rPr>
            <w:noProof/>
            <w:webHidden/>
          </w:rPr>
        </w:r>
        <w:r>
          <w:rPr>
            <w:noProof/>
            <w:webHidden/>
          </w:rPr>
          <w:fldChar w:fldCharType="separate"/>
        </w:r>
        <w:r w:rsidR="007D1829">
          <w:rPr>
            <w:noProof/>
            <w:webHidden/>
          </w:rPr>
          <w:t>21</w:t>
        </w:r>
        <w:r>
          <w:rPr>
            <w:noProof/>
            <w:webHidden/>
          </w:rPr>
          <w:fldChar w:fldCharType="end"/>
        </w:r>
      </w:hyperlink>
    </w:p>
    <w:p w14:paraId="166AFAC2" w14:textId="3F8709BF" w:rsidR="004E2B6A" w:rsidRDefault="004E2B6A">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3765823" w:history="1">
        <w:r w:rsidRPr="009A1507">
          <w:rPr>
            <w:rStyle w:val="Hyperlink"/>
            <w:noProof/>
          </w:rPr>
          <w:t>Scheduling Report Print Jobs</w:t>
        </w:r>
        <w:r>
          <w:rPr>
            <w:noProof/>
            <w:webHidden/>
          </w:rPr>
          <w:tab/>
        </w:r>
        <w:r>
          <w:rPr>
            <w:noProof/>
            <w:webHidden/>
          </w:rPr>
          <w:fldChar w:fldCharType="begin"/>
        </w:r>
        <w:r>
          <w:rPr>
            <w:noProof/>
            <w:webHidden/>
          </w:rPr>
          <w:instrText xml:space="preserve"> PAGEREF _Toc203765823 \h </w:instrText>
        </w:r>
        <w:r>
          <w:rPr>
            <w:noProof/>
            <w:webHidden/>
          </w:rPr>
        </w:r>
        <w:r>
          <w:rPr>
            <w:noProof/>
            <w:webHidden/>
          </w:rPr>
          <w:fldChar w:fldCharType="separate"/>
        </w:r>
        <w:r w:rsidR="007D1829">
          <w:rPr>
            <w:noProof/>
            <w:webHidden/>
          </w:rPr>
          <w:t>18</w:t>
        </w:r>
        <w:r>
          <w:rPr>
            <w:noProof/>
            <w:webHidden/>
          </w:rPr>
          <w:fldChar w:fldCharType="end"/>
        </w:r>
      </w:hyperlink>
    </w:p>
    <w:p w14:paraId="21229E53" w14:textId="6A434EB0" w:rsidR="004E2B6A" w:rsidRDefault="004E2B6A">
      <w:pPr>
        <w:pStyle w:val="TOC2"/>
        <w:tabs>
          <w:tab w:val="right" w:leader="dot" w:pos="9350"/>
        </w:tabs>
        <w:rPr>
          <w:rFonts w:asciiTheme="minorHAnsi" w:eastAsiaTheme="minorEastAsia" w:hAnsiTheme="minorHAnsi" w:cstheme="minorBidi"/>
          <w:smallCaps w:val="0"/>
          <w:noProof/>
          <w:kern w:val="2"/>
          <w:sz w:val="24"/>
          <w:szCs w:val="24"/>
          <w14:ligatures w14:val="standardContextual"/>
        </w:rPr>
      </w:pPr>
      <w:hyperlink w:anchor="_Toc203765824" w:history="1">
        <w:r w:rsidRPr="009A1507">
          <w:rPr>
            <w:rStyle w:val="Hyperlink"/>
            <w:noProof/>
          </w:rPr>
          <w:t>Report Toolbar</w:t>
        </w:r>
        <w:r>
          <w:rPr>
            <w:noProof/>
            <w:webHidden/>
          </w:rPr>
          <w:tab/>
        </w:r>
        <w:r>
          <w:rPr>
            <w:noProof/>
            <w:webHidden/>
          </w:rPr>
          <w:fldChar w:fldCharType="begin"/>
        </w:r>
        <w:r>
          <w:rPr>
            <w:noProof/>
            <w:webHidden/>
          </w:rPr>
          <w:instrText xml:space="preserve"> PAGEREF _Toc203765824 \h </w:instrText>
        </w:r>
        <w:r>
          <w:rPr>
            <w:noProof/>
            <w:webHidden/>
          </w:rPr>
        </w:r>
        <w:r>
          <w:rPr>
            <w:noProof/>
            <w:webHidden/>
          </w:rPr>
          <w:fldChar w:fldCharType="separate"/>
        </w:r>
        <w:r w:rsidR="007D1829">
          <w:rPr>
            <w:noProof/>
            <w:webHidden/>
          </w:rPr>
          <w:t>18</w:t>
        </w:r>
        <w:r>
          <w:rPr>
            <w:noProof/>
            <w:webHidden/>
          </w:rPr>
          <w:fldChar w:fldCharType="end"/>
        </w:r>
      </w:hyperlink>
    </w:p>
    <w:p w14:paraId="48209252" w14:textId="21A6D968" w:rsidR="004E2B6A" w:rsidRDefault="004E2B6A">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3765825" w:history="1">
        <w:r w:rsidRPr="009A1507">
          <w:rPr>
            <w:rStyle w:val="Hyperlink"/>
            <w:noProof/>
          </w:rPr>
          <w:t>Navigation Arrows and Report Pages</w:t>
        </w:r>
        <w:r>
          <w:rPr>
            <w:noProof/>
            <w:webHidden/>
          </w:rPr>
          <w:tab/>
        </w:r>
        <w:r>
          <w:rPr>
            <w:noProof/>
            <w:webHidden/>
          </w:rPr>
          <w:fldChar w:fldCharType="begin"/>
        </w:r>
        <w:r>
          <w:rPr>
            <w:noProof/>
            <w:webHidden/>
          </w:rPr>
          <w:instrText xml:space="preserve"> PAGEREF _Toc203765825 \h </w:instrText>
        </w:r>
        <w:r>
          <w:rPr>
            <w:noProof/>
            <w:webHidden/>
          </w:rPr>
        </w:r>
        <w:r>
          <w:rPr>
            <w:noProof/>
            <w:webHidden/>
          </w:rPr>
          <w:fldChar w:fldCharType="separate"/>
        </w:r>
        <w:r w:rsidR="007D1829">
          <w:rPr>
            <w:noProof/>
            <w:webHidden/>
          </w:rPr>
          <w:t>18</w:t>
        </w:r>
        <w:r>
          <w:rPr>
            <w:noProof/>
            <w:webHidden/>
          </w:rPr>
          <w:fldChar w:fldCharType="end"/>
        </w:r>
      </w:hyperlink>
    </w:p>
    <w:p w14:paraId="249A2829" w14:textId="2D53A301" w:rsidR="004E2B6A" w:rsidRDefault="004E2B6A">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3765826" w:history="1">
        <w:r w:rsidRPr="009A1507">
          <w:rPr>
            <w:rStyle w:val="Hyperlink"/>
            <w:noProof/>
          </w:rPr>
          <w:t>Report Layout</w:t>
        </w:r>
        <w:r>
          <w:rPr>
            <w:noProof/>
            <w:webHidden/>
          </w:rPr>
          <w:tab/>
        </w:r>
        <w:r>
          <w:rPr>
            <w:noProof/>
            <w:webHidden/>
          </w:rPr>
          <w:fldChar w:fldCharType="begin"/>
        </w:r>
        <w:r>
          <w:rPr>
            <w:noProof/>
            <w:webHidden/>
          </w:rPr>
          <w:instrText xml:space="preserve"> PAGEREF _Toc203765826 \h </w:instrText>
        </w:r>
        <w:r>
          <w:rPr>
            <w:noProof/>
            <w:webHidden/>
          </w:rPr>
        </w:r>
        <w:r>
          <w:rPr>
            <w:noProof/>
            <w:webHidden/>
          </w:rPr>
          <w:fldChar w:fldCharType="separate"/>
        </w:r>
        <w:r w:rsidR="007D1829">
          <w:rPr>
            <w:noProof/>
            <w:webHidden/>
          </w:rPr>
          <w:t>19</w:t>
        </w:r>
        <w:r>
          <w:rPr>
            <w:noProof/>
            <w:webHidden/>
          </w:rPr>
          <w:fldChar w:fldCharType="end"/>
        </w:r>
      </w:hyperlink>
    </w:p>
    <w:p w14:paraId="4903749A" w14:textId="4F739BB3" w:rsidR="004E2B6A" w:rsidRDefault="004E2B6A">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3765827" w:history="1">
        <w:r w:rsidRPr="009A1507">
          <w:rPr>
            <w:rStyle w:val="Hyperlink"/>
            <w:noProof/>
          </w:rPr>
          <w:t>Report Zoom-in/Zoom-out</w:t>
        </w:r>
        <w:r>
          <w:rPr>
            <w:noProof/>
            <w:webHidden/>
          </w:rPr>
          <w:tab/>
        </w:r>
        <w:r>
          <w:rPr>
            <w:noProof/>
            <w:webHidden/>
          </w:rPr>
          <w:fldChar w:fldCharType="begin"/>
        </w:r>
        <w:r>
          <w:rPr>
            <w:noProof/>
            <w:webHidden/>
          </w:rPr>
          <w:instrText xml:space="preserve"> PAGEREF _Toc203765827 \h </w:instrText>
        </w:r>
        <w:r>
          <w:rPr>
            <w:noProof/>
            <w:webHidden/>
          </w:rPr>
        </w:r>
        <w:r>
          <w:rPr>
            <w:noProof/>
            <w:webHidden/>
          </w:rPr>
          <w:fldChar w:fldCharType="separate"/>
        </w:r>
        <w:r w:rsidR="007D1829">
          <w:rPr>
            <w:noProof/>
            <w:webHidden/>
          </w:rPr>
          <w:t>19</w:t>
        </w:r>
        <w:r>
          <w:rPr>
            <w:noProof/>
            <w:webHidden/>
          </w:rPr>
          <w:fldChar w:fldCharType="end"/>
        </w:r>
      </w:hyperlink>
    </w:p>
    <w:p w14:paraId="249D0B44" w14:textId="3ECBA8DE" w:rsidR="004E2B6A" w:rsidRDefault="004E2B6A">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3765828" w:history="1">
        <w:r w:rsidRPr="009A1507">
          <w:rPr>
            <w:rStyle w:val="Hyperlink"/>
            <w:noProof/>
          </w:rPr>
          <w:t>Report Search</w:t>
        </w:r>
        <w:r>
          <w:rPr>
            <w:noProof/>
            <w:webHidden/>
          </w:rPr>
          <w:tab/>
        </w:r>
        <w:r>
          <w:rPr>
            <w:noProof/>
            <w:webHidden/>
          </w:rPr>
          <w:fldChar w:fldCharType="begin"/>
        </w:r>
        <w:r>
          <w:rPr>
            <w:noProof/>
            <w:webHidden/>
          </w:rPr>
          <w:instrText xml:space="preserve"> PAGEREF _Toc203765828 \h </w:instrText>
        </w:r>
        <w:r>
          <w:rPr>
            <w:noProof/>
            <w:webHidden/>
          </w:rPr>
        </w:r>
        <w:r>
          <w:rPr>
            <w:noProof/>
            <w:webHidden/>
          </w:rPr>
          <w:fldChar w:fldCharType="separate"/>
        </w:r>
        <w:r w:rsidR="007D1829">
          <w:rPr>
            <w:noProof/>
            <w:webHidden/>
          </w:rPr>
          <w:t>19</w:t>
        </w:r>
        <w:r>
          <w:rPr>
            <w:noProof/>
            <w:webHidden/>
          </w:rPr>
          <w:fldChar w:fldCharType="end"/>
        </w:r>
      </w:hyperlink>
    </w:p>
    <w:p w14:paraId="37C608F2" w14:textId="564E838B" w:rsidR="004E2B6A" w:rsidRDefault="004E2B6A">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3765829" w:history="1">
        <w:r w:rsidRPr="009A1507">
          <w:rPr>
            <w:rStyle w:val="Hyperlink"/>
            <w:noProof/>
          </w:rPr>
          <w:t>Report Export</w:t>
        </w:r>
        <w:r>
          <w:rPr>
            <w:noProof/>
            <w:webHidden/>
          </w:rPr>
          <w:tab/>
        </w:r>
        <w:r>
          <w:rPr>
            <w:noProof/>
            <w:webHidden/>
          </w:rPr>
          <w:fldChar w:fldCharType="begin"/>
        </w:r>
        <w:r>
          <w:rPr>
            <w:noProof/>
            <w:webHidden/>
          </w:rPr>
          <w:instrText xml:space="preserve"> PAGEREF _Toc203765829 \h </w:instrText>
        </w:r>
        <w:r>
          <w:rPr>
            <w:noProof/>
            <w:webHidden/>
          </w:rPr>
        </w:r>
        <w:r>
          <w:rPr>
            <w:noProof/>
            <w:webHidden/>
          </w:rPr>
          <w:fldChar w:fldCharType="separate"/>
        </w:r>
        <w:r w:rsidR="007D1829">
          <w:rPr>
            <w:noProof/>
            <w:webHidden/>
          </w:rPr>
          <w:t>20</w:t>
        </w:r>
        <w:r>
          <w:rPr>
            <w:noProof/>
            <w:webHidden/>
          </w:rPr>
          <w:fldChar w:fldCharType="end"/>
        </w:r>
      </w:hyperlink>
    </w:p>
    <w:p w14:paraId="4351EC34" w14:textId="7009A8F1" w:rsidR="004E2B6A" w:rsidRDefault="004E2B6A">
      <w:pPr>
        <w:pStyle w:val="TOC2"/>
        <w:tabs>
          <w:tab w:val="right" w:leader="dot" w:pos="9350"/>
        </w:tabs>
        <w:rPr>
          <w:rFonts w:asciiTheme="minorHAnsi" w:eastAsiaTheme="minorEastAsia" w:hAnsiTheme="minorHAnsi" w:cstheme="minorBidi"/>
          <w:smallCaps w:val="0"/>
          <w:noProof/>
          <w:kern w:val="2"/>
          <w:sz w:val="24"/>
          <w:szCs w:val="24"/>
          <w14:ligatures w14:val="standardContextual"/>
        </w:rPr>
      </w:pPr>
      <w:hyperlink w:anchor="_Toc203765830" w:history="1">
        <w:r w:rsidRPr="009A1507">
          <w:rPr>
            <w:rStyle w:val="Hyperlink"/>
            <w:noProof/>
          </w:rPr>
          <w:t>Using VBECS</w:t>
        </w:r>
        <w:r>
          <w:rPr>
            <w:noProof/>
            <w:webHidden/>
          </w:rPr>
          <w:tab/>
        </w:r>
        <w:r>
          <w:rPr>
            <w:noProof/>
            <w:webHidden/>
          </w:rPr>
          <w:fldChar w:fldCharType="begin"/>
        </w:r>
        <w:r>
          <w:rPr>
            <w:noProof/>
            <w:webHidden/>
          </w:rPr>
          <w:instrText xml:space="preserve"> PAGEREF _Toc203765830 \h </w:instrText>
        </w:r>
        <w:r>
          <w:rPr>
            <w:noProof/>
            <w:webHidden/>
          </w:rPr>
        </w:r>
        <w:r>
          <w:rPr>
            <w:noProof/>
            <w:webHidden/>
          </w:rPr>
          <w:fldChar w:fldCharType="separate"/>
        </w:r>
        <w:r w:rsidR="007D1829">
          <w:rPr>
            <w:noProof/>
            <w:webHidden/>
          </w:rPr>
          <w:t>22</w:t>
        </w:r>
        <w:r>
          <w:rPr>
            <w:noProof/>
            <w:webHidden/>
          </w:rPr>
          <w:fldChar w:fldCharType="end"/>
        </w:r>
      </w:hyperlink>
    </w:p>
    <w:p w14:paraId="38DF5AE3" w14:textId="367EF3C6" w:rsidR="004E2B6A" w:rsidRDefault="004E2B6A">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3765831" w:history="1">
        <w:r w:rsidRPr="009A1507">
          <w:rPr>
            <w:rStyle w:val="Hyperlink"/>
            <w:noProof/>
          </w:rPr>
          <w:t>Searching Using the Table of Contents</w:t>
        </w:r>
        <w:r>
          <w:rPr>
            <w:noProof/>
            <w:webHidden/>
          </w:rPr>
          <w:tab/>
        </w:r>
        <w:r>
          <w:rPr>
            <w:noProof/>
            <w:webHidden/>
          </w:rPr>
          <w:fldChar w:fldCharType="begin"/>
        </w:r>
        <w:r>
          <w:rPr>
            <w:noProof/>
            <w:webHidden/>
          </w:rPr>
          <w:instrText xml:space="preserve"> PAGEREF _Toc203765831 \h </w:instrText>
        </w:r>
        <w:r>
          <w:rPr>
            <w:noProof/>
            <w:webHidden/>
          </w:rPr>
        </w:r>
        <w:r>
          <w:rPr>
            <w:noProof/>
            <w:webHidden/>
          </w:rPr>
          <w:fldChar w:fldCharType="separate"/>
        </w:r>
        <w:r w:rsidR="007D1829">
          <w:rPr>
            <w:noProof/>
            <w:webHidden/>
          </w:rPr>
          <w:t>22</w:t>
        </w:r>
        <w:r>
          <w:rPr>
            <w:noProof/>
            <w:webHidden/>
          </w:rPr>
          <w:fldChar w:fldCharType="end"/>
        </w:r>
      </w:hyperlink>
    </w:p>
    <w:p w14:paraId="6BAE81B1" w14:textId="1AE1428F" w:rsidR="004E2B6A" w:rsidRDefault="004E2B6A">
      <w:pPr>
        <w:pStyle w:val="TOC2"/>
        <w:tabs>
          <w:tab w:val="right" w:leader="dot" w:pos="9350"/>
        </w:tabs>
        <w:rPr>
          <w:rFonts w:asciiTheme="minorHAnsi" w:eastAsiaTheme="minorEastAsia" w:hAnsiTheme="minorHAnsi" w:cstheme="minorBidi"/>
          <w:smallCaps w:val="0"/>
          <w:noProof/>
          <w:kern w:val="2"/>
          <w:sz w:val="24"/>
          <w:szCs w:val="24"/>
          <w14:ligatures w14:val="standardContextual"/>
        </w:rPr>
      </w:pPr>
      <w:hyperlink w:anchor="_Toc203765832" w:history="1">
        <w:r w:rsidRPr="009A1507">
          <w:rPr>
            <w:rStyle w:val="Hyperlink"/>
            <w:noProof/>
          </w:rPr>
          <w:t>VistA Records in VBECS</w:t>
        </w:r>
        <w:r>
          <w:rPr>
            <w:noProof/>
            <w:webHidden/>
          </w:rPr>
          <w:tab/>
        </w:r>
        <w:r>
          <w:rPr>
            <w:noProof/>
            <w:webHidden/>
          </w:rPr>
          <w:fldChar w:fldCharType="begin"/>
        </w:r>
        <w:r>
          <w:rPr>
            <w:noProof/>
            <w:webHidden/>
          </w:rPr>
          <w:instrText xml:space="preserve"> PAGEREF _Toc203765832 \h </w:instrText>
        </w:r>
        <w:r>
          <w:rPr>
            <w:noProof/>
            <w:webHidden/>
          </w:rPr>
        </w:r>
        <w:r>
          <w:rPr>
            <w:noProof/>
            <w:webHidden/>
          </w:rPr>
          <w:fldChar w:fldCharType="separate"/>
        </w:r>
        <w:r w:rsidR="007D1829">
          <w:rPr>
            <w:noProof/>
            <w:webHidden/>
          </w:rPr>
          <w:t>23</w:t>
        </w:r>
        <w:r>
          <w:rPr>
            <w:noProof/>
            <w:webHidden/>
          </w:rPr>
          <w:fldChar w:fldCharType="end"/>
        </w:r>
      </w:hyperlink>
    </w:p>
    <w:p w14:paraId="20B24B3B" w14:textId="2EC08D9B" w:rsidR="004E2B6A" w:rsidRDefault="004E2B6A">
      <w:pPr>
        <w:pStyle w:val="TOC2"/>
        <w:tabs>
          <w:tab w:val="right" w:leader="dot" w:pos="9350"/>
        </w:tabs>
        <w:rPr>
          <w:rFonts w:asciiTheme="minorHAnsi" w:eastAsiaTheme="minorEastAsia" w:hAnsiTheme="minorHAnsi" w:cstheme="minorBidi"/>
          <w:smallCaps w:val="0"/>
          <w:noProof/>
          <w:kern w:val="2"/>
          <w:sz w:val="24"/>
          <w:szCs w:val="24"/>
          <w14:ligatures w14:val="standardContextual"/>
        </w:rPr>
      </w:pPr>
      <w:hyperlink w:anchor="_Toc203765833" w:history="1">
        <w:r w:rsidRPr="009A1507">
          <w:rPr>
            <w:rStyle w:val="Hyperlink"/>
            <w:noProof/>
          </w:rPr>
          <w:t>Accessing the System</w:t>
        </w:r>
        <w:r>
          <w:rPr>
            <w:noProof/>
            <w:webHidden/>
          </w:rPr>
          <w:tab/>
        </w:r>
        <w:r>
          <w:rPr>
            <w:noProof/>
            <w:webHidden/>
          </w:rPr>
          <w:fldChar w:fldCharType="begin"/>
        </w:r>
        <w:r>
          <w:rPr>
            <w:noProof/>
            <w:webHidden/>
          </w:rPr>
          <w:instrText xml:space="preserve"> PAGEREF _Toc203765833 \h </w:instrText>
        </w:r>
        <w:r>
          <w:rPr>
            <w:noProof/>
            <w:webHidden/>
          </w:rPr>
        </w:r>
        <w:r>
          <w:rPr>
            <w:noProof/>
            <w:webHidden/>
          </w:rPr>
          <w:fldChar w:fldCharType="separate"/>
        </w:r>
        <w:r w:rsidR="007D1829">
          <w:rPr>
            <w:noProof/>
            <w:webHidden/>
          </w:rPr>
          <w:t>24</w:t>
        </w:r>
        <w:r>
          <w:rPr>
            <w:noProof/>
            <w:webHidden/>
          </w:rPr>
          <w:fldChar w:fldCharType="end"/>
        </w:r>
      </w:hyperlink>
    </w:p>
    <w:p w14:paraId="72FCC782" w14:textId="6139EA50" w:rsidR="004E2B6A" w:rsidRDefault="004E2B6A">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3765834" w:history="1">
        <w:r w:rsidRPr="009A1507">
          <w:rPr>
            <w:rStyle w:val="Hyperlink"/>
            <w:noProof/>
          </w:rPr>
          <w:t>Log into VBECS and VistA</w:t>
        </w:r>
        <w:r>
          <w:rPr>
            <w:noProof/>
            <w:webHidden/>
          </w:rPr>
          <w:tab/>
        </w:r>
        <w:r>
          <w:rPr>
            <w:noProof/>
            <w:webHidden/>
          </w:rPr>
          <w:fldChar w:fldCharType="begin"/>
        </w:r>
        <w:r>
          <w:rPr>
            <w:noProof/>
            <w:webHidden/>
          </w:rPr>
          <w:instrText xml:space="preserve"> PAGEREF _Toc203765834 \h </w:instrText>
        </w:r>
        <w:r>
          <w:rPr>
            <w:noProof/>
            <w:webHidden/>
          </w:rPr>
        </w:r>
        <w:r>
          <w:rPr>
            <w:noProof/>
            <w:webHidden/>
          </w:rPr>
          <w:fldChar w:fldCharType="separate"/>
        </w:r>
        <w:r w:rsidR="007D1829">
          <w:rPr>
            <w:noProof/>
            <w:webHidden/>
          </w:rPr>
          <w:t>24</w:t>
        </w:r>
        <w:r>
          <w:rPr>
            <w:noProof/>
            <w:webHidden/>
          </w:rPr>
          <w:fldChar w:fldCharType="end"/>
        </w:r>
      </w:hyperlink>
    </w:p>
    <w:p w14:paraId="667EC574" w14:textId="53F9E7A5" w:rsidR="004E2B6A" w:rsidRDefault="004E2B6A">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3765835" w:history="1">
        <w:r w:rsidRPr="009A1507">
          <w:rPr>
            <w:rStyle w:val="Hyperlink"/>
            <w:noProof/>
          </w:rPr>
          <w:t>Closing VBECS</w:t>
        </w:r>
        <w:r>
          <w:rPr>
            <w:noProof/>
            <w:webHidden/>
          </w:rPr>
          <w:tab/>
        </w:r>
        <w:r>
          <w:rPr>
            <w:noProof/>
            <w:webHidden/>
          </w:rPr>
          <w:fldChar w:fldCharType="begin"/>
        </w:r>
        <w:r>
          <w:rPr>
            <w:noProof/>
            <w:webHidden/>
          </w:rPr>
          <w:instrText xml:space="preserve"> PAGEREF _Toc203765835 \h </w:instrText>
        </w:r>
        <w:r>
          <w:rPr>
            <w:noProof/>
            <w:webHidden/>
          </w:rPr>
        </w:r>
        <w:r>
          <w:rPr>
            <w:noProof/>
            <w:webHidden/>
          </w:rPr>
          <w:fldChar w:fldCharType="separate"/>
        </w:r>
        <w:r w:rsidR="007D1829">
          <w:rPr>
            <w:noProof/>
            <w:webHidden/>
          </w:rPr>
          <w:t>28</w:t>
        </w:r>
        <w:r>
          <w:rPr>
            <w:noProof/>
            <w:webHidden/>
          </w:rPr>
          <w:fldChar w:fldCharType="end"/>
        </w:r>
      </w:hyperlink>
    </w:p>
    <w:p w14:paraId="2869DD77" w14:textId="56025232" w:rsidR="004E2B6A" w:rsidRDefault="004E2B6A">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3765836" w:history="1">
        <w:r w:rsidRPr="009A1507">
          <w:rPr>
            <w:rStyle w:val="Hyperlink"/>
            <w:noProof/>
          </w:rPr>
          <w:t>Application Windows</w:t>
        </w:r>
        <w:r>
          <w:rPr>
            <w:noProof/>
            <w:webHidden/>
          </w:rPr>
          <w:tab/>
        </w:r>
        <w:r>
          <w:rPr>
            <w:noProof/>
            <w:webHidden/>
          </w:rPr>
          <w:fldChar w:fldCharType="begin"/>
        </w:r>
        <w:r>
          <w:rPr>
            <w:noProof/>
            <w:webHidden/>
          </w:rPr>
          <w:instrText xml:space="preserve"> PAGEREF _Toc203765836 \h </w:instrText>
        </w:r>
        <w:r>
          <w:rPr>
            <w:noProof/>
            <w:webHidden/>
          </w:rPr>
        </w:r>
        <w:r>
          <w:rPr>
            <w:noProof/>
            <w:webHidden/>
          </w:rPr>
          <w:fldChar w:fldCharType="separate"/>
        </w:r>
        <w:r w:rsidR="007D1829">
          <w:rPr>
            <w:noProof/>
            <w:webHidden/>
          </w:rPr>
          <w:t>31</w:t>
        </w:r>
        <w:r>
          <w:rPr>
            <w:noProof/>
            <w:webHidden/>
          </w:rPr>
          <w:fldChar w:fldCharType="end"/>
        </w:r>
      </w:hyperlink>
    </w:p>
    <w:p w14:paraId="0061EE68" w14:textId="62A0F4C0" w:rsidR="004E2B6A" w:rsidRDefault="004E2B6A">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3765837" w:history="1">
        <w:r w:rsidRPr="009A1507">
          <w:rPr>
            <w:rStyle w:val="Hyperlink"/>
            <w:noProof/>
          </w:rPr>
          <w:t>Keyboard Shortcuts for Windows</w:t>
        </w:r>
        <w:r>
          <w:rPr>
            <w:noProof/>
            <w:webHidden/>
          </w:rPr>
          <w:tab/>
        </w:r>
        <w:r>
          <w:rPr>
            <w:noProof/>
            <w:webHidden/>
          </w:rPr>
          <w:fldChar w:fldCharType="begin"/>
        </w:r>
        <w:r>
          <w:rPr>
            <w:noProof/>
            <w:webHidden/>
          </w:rPr>
          <w:instrText xml:space="preserve"> PAGEREF _Toc203765837 \h </w:instrText>
        </w:r>
        <w:r>
          <w:rPr>
            <w:noProof/>
            <w:webHidden/>
          </w:rPr>
        </w:r>
        <w:r>
          <w:rPr>
            <w:noProof/>
            <w:webHidden/>
          </w:rPr>
          <w:fldChar w:fldCharType="separate"/>
        </w:r>
        <w:r w:rsidR="007D1829">
          <w:rPr>
            <w:noProof/>
            <w:webHidden/>
          </w:rPr>
          <w:t>32</w:t>
        </w:r>
        <w:r>
          <w:rPr>
            <w:noProof/>
            <w:webHidden/>
          </w:rPr>
          <w:fldChar w:fldCharType="end"/>
        </w:r>
      </w:hyperlink>
    </w:p>
    <w:p w14:paraId="4803CCE5" w14:textId="78C7195C" w:rsidR="004E2B6A" w:rsidRDefault="004E2B6A">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3765838" w:history="1">
        <w:r w:rsidRPr="009A1507">
          <w:rPr>
            <w:rStyle w:val="Hyperlink"/>
            <w:noProof/>
          </w:rPr>
          <w:t>Drop-Down Menus</w:t>
        </w:r>
        <w:r>
          <w:rPr>
            <w:noProof/>
            <w:webHidden/>
          </w:rPr>
          <w:tab/>
        </w:r>
        <w:r>
          <w:rPr>
            <w:noProof/>
            <w:webHidden/>
          </w:rPr>
          <w:fldChar w:fldCharType="begin"/>
        </w:r>
        <w:r>
          <w:rPr>
            <w:noProof/>
            <w:webHidden/>
          </w:rPr>
          <w:instrText xml:space="preserve"> PAGEREF _Toc203765838 \h </w:instrText>
        </w:r>
        <w:r>
          <w:rPr>
            <w:noProof/>
            <w:webHidden/>
          </w:rPr>
        </w:r>
        <w:r>
          <w:rPr>
            <w:noProof/>
            <w:webHidden/>
          </w:rPr>
          <w:fldChar w:fldCharType="separate"/>
        </w:r>
        <w:r w:rsidR="007D1829">
          <w:rPr>
            <w:noProof/>
            <w:webHidden/>
          </w:rPr>
          <w:t>33</w:t>
        </w:r>
        <w:r>
          <w:rPr>
            <w:noProof/>
            <w:webHidden/>
          </w:rPr>
          <w:fldChar w:fldCharType="end"/>
        </w:r>
      </w:hyperlink>
    </w:p>
    <w:p w14:paraId="54D8411D" w14:textId="63F6AF0B" w:rsidR="004E2B6A" w:rsidRDefault="004E2B6A">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3765839" w:history="1">
        <w:r w:rsidRPr="009A1507">
          <w:rPr>
            <w:rStyle w:val="Hyperlink"/>
            <w:noProof/>
          </w:rPr>
          <w:t>Tool Tips</w:t>
        </w:r>
        <w:r>
          <w:rPr>
            <w:noProof/>
            <w:webHidden/>
          </w:rPr>
          <w:tab/>
        </w:r>
        <w:r>
          <w:rPr>
            <w:noProof/>
            <w:webHidden/>
          </w:rPr>
          <w:fldChar w:fldCharType="begin"/>
        </w:r>
        <w:r>
          <w:rPr>
            <w:noProof/>
            <w:webHidden/>
          </w:rPr>
          <w:instrText xml:space="preserve"> PAGEREF _Toc203765839 \h </w:instrText>
        </w:r>
        <w:r>
          <w:rPr>
            <w:noProof/>
            <w:webHidden/>
          </w:rPr>
        </w:r>
        <w:r>
          <w:rPr>
            <w:noProof/>
            <w:webHidden/>
          </w:rPr>
          <w:fldChar w:fldCharType="separate"/>
        </w:r>
        <w:r w:rsidR="007D1829">
          <w:rPr>
            <w:noProof/>
            <w:webHidden/>
          </w:rPr>
          <w:t>33</w:t>
        </w:r>
        <w:r>
          <w:rPr>
            <w:noProof/>
            <w:webHidden/>
          </w:rPr>
          <w:fldChar w:fldCharType="end"/>
        </w:r>
      </w:hyperlink>
    </w:p>
    <w:p w14:paraId="0746C82F" w14:textId="462CEAE2" w:rsidR="004E2B6A" w:rsidRDefault="004E2B6A">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3765840" w:history="1">
        <w:r w:rsidRPr="009A1507">
          <w:rPr>
            <w:rStyle w:val="Hyperlink"/>
            <w:noProof/>
          </w:rPr>
          <w:t>Icons and Buttons</w:t>
        </w:r>
        <w:r>
          <w:rPr>
            <w:noProof/>
            <w:webHidden/>
          </w:rPr>
          <w:tab/>
        </w:r>
        <w:r>
          <w:rPr>
            <w:noProof/>
            <w:webHidden/>
          </w:rPr>
          <w:fldChar w:fldCharType="begin"/>
        </w:r>
        <w:r>
          <w:rPr>
            <w:noProof/>
            <w:webHidden/>
          </w:rPr>
          <w:instrText xml:space="preserve"> PAGEREF _Toc203765840 \h </w:instrText>
        </w:r>
        <w:r>
          <w:rPr>
            <w:noProof/>
            <w:webHidden/>
          </w:rPr>
        </w:r>
        <w:r>
          <w:rPr>
            <w:noProof/>
            <w:webHidden/>
          </w:rPr>
          <w:fldChar w:fldCharType="separate"/>
        </w:r>
        <w:r w:rsidR="007D1829">
          <w:rPr>
            <w:noProof/>
            <w:webHidden/>
          </w:rPr>
          <w:t>33</w:t>
        </w:r>
        <w:r>
          <w:rPr>
            <w:noProof/>
            <w:webHidden/>
          </w:rPr>
          <w:fldChar w:fldCharType="end"/>
        </w:r>
      </w:hyperlink>
    </w:p>
    <w:p w14:paraId="417A73F6" w14:textId="441C6FEB" w:rsidR="004E2B6A" w:rsidRDefault="004E2B6A">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3765841" w:history="1">
        <w:r w:rsidRPr="009A1507">
          <w:rPr>
            <w:rStyle w:val="Hyperlink"/>
            <w:noProof/>
          </w:rPr>
          <w:t>Toolbars</w:t>
        </w:r>
        <w:r>
          <w:rPr>
            <w:noProof/>
            <w:webHidden/>
          </w:rPr>
          <w:tab/>
        </w:r>
        <w:r>
          <w:rPr>
            <w:noProof/>
            <w:webHidden/>
          </w:rPr>
          <w:fldChar w:fldCharType="begin"/>
        </w:r>
        <w:r>
          <w:rPr>
            <w:noProof/>
            <w:webHidden/>
          </w:rPr>
          <w:instrText xml:space="preserve"> PAGEREF _Toc203765841 \h </w:instrText>
        </w:r>
        <w:r>
          <w:rPr>
            <w:noProof/>
            <w:webHidden/>
          </w:rPr>
        </w:r>
        <w:r>
          <w:rPr>
            <w:noProof/>
            <w:webHidden/>
          </w:rPr>
          <w:fldChar w:fldCharType="separate"/>
        </w:r>
        <w:r w:rsidR="007D1829">
          <w:rPr>
            <w:noProof/>
            <w:webHidden/>
          </w:rPr>
          <w:t>34</w:t>
        </w:r>
        <w:r>
          <w:rPr>
            <w:noProof/>
            <w:webHidden/>
          </w:rPr>
          <w:fldChar w:fldCharType="end"/>
        </w:r>
      </w:hyperlink>
    </w:p>
    <w:p w14:paraId="11BF89C0" w14:textId="680C5524" w:rsidR="004E2B6A" w:rsidRDefault="004E2B6A">
      <w:pPr>
        <w:pStyle w:val="TOC2"/>
        <w:tabs>
          <w:tab w:val="right" w:leader="dot" w:pos="9350"/>
        </w:tabs>
        <w:rPr>
          <w:rFonts w:asciiTheme="minorHAnsi" w:eastAsiaTheme="minorEastAsia" w:hAnsiTheme="minorHAnsi" w:cstheme="minorBidi"/>
          <w:smallCaps w:val="0"/>
          <w:noProof/>
          <w:kern w:val="2"/>
          <w:sz w:val="24"/>
          <w:szCs w:val="24"/>
          <w14:ligatures w14:val="standardContextual"/>
        </w:rPr>
      </w:pPr>
      <w:hyperlink w:anchor="_Toc203765842" w:history="1">
        <w:r w:rsidRPr="009A1507">
          <w:rPr>
            <w:rStyle w:val="Hyperlink"/>
            <w:noProof/>
          </w:rPr>
          <w:t>Patient Information Toolbar</w:t>
        </w:r>
        <w:r>
          <w:rPr>
            <w:noProof/>
            <w:webHidden/>
          </w:rPr>
          <w:tab/>
        </w:r>
        <w:r>
          <w:rPr>
            <w:noProof/>
            <w:webHidden/>
          </w:rPr>
          <w:fldChar w:fldCharType="begin"/>
        </w:r>
        <w:r>
          <w:rPr>
            <w:noProof/>
            <w:webHidden/>
          </w:rPr>
          <w:instrText xml:space="preserve"> PAGEREF _Toc203765842 \h </w:instrText>
        </w:r>
        <w:r>
          <w:rPr>
            <w:noProof/>
            <w:webHidden/>
          </w:rPr>
        </w:r>
        <w:r>
          <w:rPr>
            <w:noProof/>
            <w:webHidden/>
          </w:rPr>
          <w:fldChar w:fldCharType="separate"/>
        </w:r>
        <w:r w:rsidR="007D1829">
          <w:rPr>
            <w:noProof/>
            <w:webHidden/>
          </w:rPr>
          <w:t>35</w:t>
        </w:r>
        <w:r>
          <w:rPr>
            <w:noProof/>
            <w:webHidden/>
          </w:rPr>
          <w:fldChar w:fldCharType="end"/>
        </w:r>
      </w:hyperlink>
    </w:p>
    <w:p w14:paraId="7C143502" w14:textId="5EB91D6D" w:rsidR="004E2B6A" w:rsidRDefault="004E2B6A">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3765843" w:history="1">
        <w:r w:rsidRPr="009A1507">
          <w:rPr>
            <w:rStyle w:val="Hyperlink"/>
            <w:noProof/>
          </w:rPr>
          <w:drawing>
            <wp:inline distT="0" distB="0" distL="0" distR="0" wp14:anchorId="6F967340" wp14:editId="79D04593">
              <wp:extent cx="156845" cy="156845"/>
              <wp:effectExtent l="0" t="0" r="0" b="0"/>
              <wp:docPr id="121827859" name="Picture 121827859" descr="Blood Availability icon">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Picture 70" descr="Blood Availability icon">
                        <a:hlinkClick r:id="rId13"/>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Pr="009A1507">
          <w:rPr>
            <w:rStyle w:val="Hyperlink"/>
            <w:noProof/>
          </w:rPr>
          <w:t xml:space="preserve"> Patient Blood Availability</w:t>
        </w:r>
        <w:r>
          <w:rPr>
            <w:noProof/>
            <w:webHidden/>
          </w:rPr>
          <w:tab/>
        </w:r>
        <w:r>
          <w:rPr>
            <w:noProof/>
            <w:webHidden/>
          </w:rPr>
          <w:fldChar w:fldCharType="begin"/>
        </w:r>
        <w:r>
          <w:rPr>
            <w:noProof/>
            <w:webHidden/>
          </w:rPr>
          <w:instrText xml:space="preserve"> PAGEREF _Toc203765843 \h </w:instrText>
        </w:r>
        <w:r>
          <w:rPr>
            <w:noProof/>
            <w:webHidden/>
          </w:rPr>
        </w:r>
        <w:r>
          <w:rPr>
            <w:noProof/>
            <w:webHidden/>
          </w:rPr>
          <w:fldChar w:fldCharType="separate"/>
        </w:r>
        <w:r w:rsidR="007D1829">
          <w:rPr>
            <w:noProof/>
            <w:webHidden/>
          </w:rPr>
          <w:t>35</w:t>
        </w:r>
        <w:r>
          <w:rPr>
            <w:noProof/>
            <w:webHidden/>
          </w:rPr>
          <w:fldChar w:fldCharType="end"/>
        </w:r>
      </w:hyperlink>
    </w:p>
    <w:p w14:paraId="2E4278A7" w14:textId="7B54DA19" w:rsidR="004E2B6A" w:rsidRDefault="004E2B6A">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3765844" w:history="1">
        <w:r w:rsidRPr="009A1507">
          <w:rPr>
            <w:rStyle w:val="Hyperlink"/>
            <w:noProof/>
          </w:rPr>
          <w:drawing>
            <wp:inline distT="0" distB="0" distL="0" distR="0" wp14:anchorId="460A04D3" wp14:editId="0967E633">
              <wp:extent cx="156845" cy="193675"/>
              <wp:effectExtent l="0" t="0" r="0" b="0"/>
              <wp:docPr id="523792674" name="Picture 523792674" descr="Medication Profil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Picture 96" descr="Medication Profile icon"/>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6845" cy="193675"/>
                      </a:xfrm>
                      <a:prstGeom prst="rect">
                        <a:avLst/>
                      </a:prstGeom>
                      <a:noFill/>
                      <a:ln>
                        <a:noFill/>
                      </a:ln>
                    </pic:spPr>
                  </pic:pic>
                </a:graphicData>
              </a:graphic>
            </wp:inline>
          </w:drawing>
        </w:r>
        <w:r w:rsidRPr="009A1507">
          <w:rPr>
            <w:rStyle w:val="Hyperlink"/>
            <w:noProof/>
          </w:rPr>
          <w:t xml:space="preserve"> Medication Profile</w:t>
        </w:r>
        <w:r>
          <w:rPr>
            <w:noProof/>
            <w:webHidden/>
          </w:rPr>
          <w:tab/>
        </w:r>
        <w:r>
          <w:rPr>
            <w:noProof/>
            <w:webHidden/>
          </w:rPr>
          <w:fldChar w:fldCharType="begin"/>
        </w:r>
        <w:r>
          <w:rPr>
            <w:noProof/>
            <w:webHidden/>
          </w:rPr>
          <w:instrText xml:space="preserve"> PAGEREF _Toc203765844 \h </w:instrText>
        </w:r>
        <w:r>
          <w:rPr>
            <w:noProof/>
            <w:webHidden/>
          </w:rPr>
        </w:r>
        <w:r>
          <w:rPr>
            <w:noProof/>
            <w:webHidden/>
          </w:rPr>
          <w:fldChar w:fldCharType="separate"/>
        </w:r>
        <w:r w:rsidR="007D1829">
          <w:rPr>
            <w:noProof/>
            <w:webHidden/>
          </w:rPr>
          <w:t>36</w:t>
        </w:r>
        <w:r>
          <w:rPr>
            <w:noProof/>
            <w:webHidden/>
          </w:rPr>
          <w:fldChar w:fldCharType="end"/>
        </w:r>
      </w:hyperlink>
    </w:p>
    <w:p w14:paraId="471B59F0" w14:textId="0E997DF1" w:rsidR="004E2B6A" w:rsidRDefault="004E2B6A">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3765845" w:history="1">
        <w:r w:rsidRPr="009A1507">
          <w:rPr>
            <w:rStyle w:val="Hyperlink"/>
            <w:noProof/>
          </w:rPr>
          <w:drawing>
            <wp:inline distT="0" distB="0" distL="0" distR="0" wp14:anchorId="71F6FA4E" wp14:editId="2AED82FD">
              <wp:extent cx="156845" cy="156845"/>
              <wp:effectExtent l="0" t="0" r="0" b="0"/>
              <wp:docPr id="636813921" name="Picture 636813921" descr="View Special Instructions and Transfusion Requirements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Picture 98" descr="View Special Instructions and Transfusion Requirements icon"/>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Pr="009A1507">
          <w:rPr>
            <w:rStyle w:val="Hyperlink"/>
            <w:noProof/>
          </w:rPr>
          <w:t xml:space="preserve"> View Special Instructions and Transfusion Requirements</w:t>
        </w:r>
        <w:r>
          <w:rPr>
            <w:noProof/>
            <w:webHidden/>
          </w:rPr>
          <w:tab/>
        </w:r>
        <w:r>
          <w:rPr>
            <w:noProof/>
            <w:webHidden/>
          </w:rPr>
          <w:fldChar w:fldCharType="begin"/>
        </w:r>
        <w:r>
          <w:rPr>
            <w:noProof/>
            <w:webHidden/>
          </w:rPr>
          <w:instrText xml:space="preserve"> PAGEREF _Toc203765845 \h </w:instrText>
        </w:r>
        <w:r>
          <w:rPr>
            <w:noProof/>
            <w:webHidden/>
          </w:rPr>
        </w:r>
        <w:r>
          <w:rPr>
            <w:noProof/>
            <w:webHidden/>
          </w:rPr>
          <w:fldChar w:fldCharType="separate"/>
        </w:r>
        <w:r w:rsidR="007D1829">
          <w:rPr>
            <w:noProof/>
            <w:webHidden/>
          </w:rPr>
          <w:t>37</w:t>
        </w:r>
        <w:r>
          <w:rPr>
            <w:noProof/>
            <w:webHidden/>
          </w:rPr>
          <w:fldChar w:fldCharType="end"/>
        </w:r>
      </w:hyperlink>
    </w:p>
    <w:p w14:paraId="7F5619A9" w14:textId="44516A97" w:rsidR="004E2B6A" w:rsidRDefault="004E2B6A">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3765846" w:history="1">
        <w:r w:rsidRPr="009A1507">
          <w:rPr>
            <w:rStyle w:val="Hyperlink"/>
            <w:noProof/>
          </w:rPr>
          <w:t>View Recent Orders, Recent Transfusions/Issued Units, and Transfusion Reaction History</w:t>
        </w:r>
        <w:r>
          <w:rPr>
            <w:noProof/>
            <w:webHidden/>
          </w:rPr>
          <w:tab/>
        </w:r>
        <w:r>
          <w:rPr>
            <w:noProof/>
            <w:webHidden/>
          </w:rPr>
          <w:fldChar w:fldCharType="begin"/>
        </w:r>
        <w:r>
          <w:rPr>
            <w:noProof/>
            <w:webHidden/>
          </w:rPr>
          <w:instrText xml:space="preserve"> PAGEREF _Toc203765846 \h </w:instrText>
        </w:r>
        <w:r>
          <w:rPr>
            <w:noProof/>
            <w:webHidden/>
          </w:rPr>
        </w:r>
        <w:r>
          <w:rPr>
            <w:noProof/>
            <w:webHidden/>
          </w:rPr>
          <w:fldChar w:fldCharType="separate"/>
        </w:r>
        <w:r w:rsidR="007D1829">
          <w:rPr>
            <w:noProof/>
            <w:webHidden/>
          </w:rPr>
          <w:t>39</w:t>
        </w:r>
        <w:r>
          <w:rPr>
            <w:noProof/>
            <w:webHidden/>
          </w:rPr>
          <w:fldChar w:fldCharType="end"/>
        </w:r>
      </w:hyperlink>
    </w:p>
    <w:p w14:paraId="2523618E" w14:textId="0EBE4C9A" w:rsidR="004E2B6A" w:rsidRDefault="004E2B6A">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3765847" w:history="1">
        <w:r w:rsidRPr="009A1507">
          <w:rPr>
            <w:rStyle w:val="Hyperlink"/>
            <w:noProof/>
          </w:rPr>
          <w:drawing>
            <wp:inline distT="0" distB="0" distL="0" distR="0" wp14:anchorId="74C6F91A" wp14:editId="104F4871">
              <wp:extent cx="156845" cy="156845"/>
              <wp:effectExtent l="0" t="0" r="0" b="0"/>
              <wp:docPr id="358475348" name="Picture 358475348" descr="Recent Orders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Picture 103" descr="Recent Orders icon"/>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Pr="009A1507">
          <w:rPr>
            <w:rStyle w:val="Hyperlink"/>
            <w:noProof/>
          </w:rPr>
          <w:t xml:space="preserve"> Patient Information Toolbar: Recent Orders</w:t>
        </w:r>
        <w:r>
          <w:rPr>
            <w:noProof/>
            <w:webHidden/>
          </w:rPr>
          <w:tab/>
        </w:r>
        <w:r>
          <w:rPr>
            <w:noProof/>
            <w:webHidden/>
          </w:rPr>
          <w:fldChar w:fldCharType="begin"/>
        </w:r>
        <w:r>
          <w:rPr>
            <w:noProof/>
            <w:webHidden/>
          </w:rPr>
          <w:instrText xml:space="preserve"> PAGEREF _Toc203765847 \h </w:instrText>
        </w:r>
        <w:r>
          <w:rPr>
            <w:noProof/>
            <w:webHidden/>
          </w:rPr>
        </w:r>
        <w:r>
          <w:rPr>
            <w:noProof/>
            <w:webHidden/>
          </w:rPr>
          <w:fldChar w:fldCharType="separate"/>
        </w:r>
        <w:r w:rsidR="007D1829">
          <w:rPr>
            <w:noProof/>
            <w:webHidden/>
          </w:rPr>
          <w:t>39</w:t>
        </w:r>
        <w:r>
          <w:rPr>
            <w:noProof/>
            <w:webHidden/>
          </w:rPr>
          <w:fldChar w:fldCharType="end"/>
        </w:r>
      </w:hyperlink>
    </w:p>
    <w:p w14:paraId="5962537C" w14:textId="0CBBC872" w:rsidR="004E2B6A" w:rsidRDefault="004E2B6A">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3765848" w:history="1">
        <w:r w:rsidRPr="009A1507">
          <w:rPr>
            <w:rStyle w:val="Hyperlink"/>
            <w:noProof/>
          </w:rPr>
          <w:drawing>
            <wp:inline distT="0" distB="0" distL="0" distR="0" wp14:anchorId="4C9AE367" wp14:editId="6D12C3C7">
              <wp:extent cx="156845" cy="156845"/>
              <wp:effectExtent l="0" t="0" r="0" b="0"/>
              <wp:docPr id="1224513833" name="Picture 1224513833" descr="Recent Transfusions/Issued Units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Recent Transfusions/Issued Units icon"/>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Pr="009A1507">
          <w:rPr>
            <w:rStyle w:val="Hyperlink"/>
            <w:noProof/>
          </w:rPr>
          <w:t xml:space="preserve"> Patient Information Toolbar: Recent Transfusions/Issued Units</w:t>
        </w:r>
        <w:r>
          <w:rPr>
            <w:noProof/>
            <w:webHidden/>
          </w:rPr>
          <w:tab/>
        </w:r>
        <w:r>
          <w:rPr>
            <w:noProof/>
            <w:webHidden/>
          </w:rPr>
          <w:fldChar w:fldCharType="begin"/>
        </w:r>
        <w:r>
          <w:rPr>
            <w:noProof/>
            <w:webHidden/>
          </w:rPr>
          <w:instrText xml:space="preserve"> PAGEREF _Toc203765848 \h </w:instrText>
        </w:r>
        <w:r>
          <w:rPr>
            <w:noProof/>
            <w:webHidden/>
          </w:rPr>
        </w:r>
        <w:r>
          <w:rPr>
            <w:noProof/>
            <w:webHidden/>
          </w:rPr>
          <w:fldChar w:fldCharType="separate"/>
        </w:r>
        <w:r w:rsidR="007D1829">
          <w:rPr>
            <w:noProof/>
            <w:webHidden/>
          </w:rPr>
          <w:t>40</w:t>
        </w:r>
        <w:r>
          <w:rPr>
            <w:noProof/>
            <w:webHidden/>
          </w:rPr>
          <w:fldChar w:fldCharType="end"/>
        </w:r>
      </w:hyperlink>
    </w:p>
    <w:p w14:paraId="2C29A027" w14:textId="3CF93348" w:rsidR="004E2B6A" w:rsidRDefault="004E2B6A">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3765849" w:history="1">
        <w:r w:rsidRPr="009A1507">
          <w:rPr>
            <w:rStyle w:val="Hyperlink"/>
            <w:noProof/>
          </w:rPr>
          <w:drawing>
            <wp:inline distT="0" distB="0" distL="0" distR="0" wp14:anchorId="03ED8F93" wp14:editId="4BA9ABA1">
              <wp:extent cx="156845" cy="156845"/>
              <wp:effectExtent l="0" t="0" r="0" b="0"/>
              <wp:docPr id="1409401799" name="Picture 1409401799" descr="Transfusion Reaction History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Picture 109" descr="Transfusion Reaction History icon"/>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Pr="009A1507">
          <w:rPr>
            <w:rStyle w:val="Hyperlink"/>
            <w:noProof/>
          </w:rPr>
          <w:t xml:space="preserve"> Patient Information Toolbar: Transfusion Reaction History</w:t>
        </w:r>
        <w:r>
          <w:rPr>
            <w:noProof/>
            <w:webHidden/>
          </w:rPr>
          <w:tab/>
        </w:r>
        <w:r>
          <w:rPr>
            <w:noProof/>
            <w:webHidden/>
          </w:rPr>
          <w:fldChar w:fldCharType="begin"/>
        </w:r>
        <w:r>
          <w:rPr>
            <w:noProof/>
            <w:webHidden/>
          </w:rPr>
          <w:instrText xml:space="preserve"> PAGEREF _Toc203765849 \h </w:instrText>
        </w:r>
        <w:r>
          <w:rPr>
            <w:noProof/>
            <w:webHidden/>
          </w:rPr>
        </w:r>
        <w:r>
          <w:rPr>
            <w:noProof/>
            <w:webHidden/>
          </w:rPr>
          <w:fldChar w:fldCharType="separate"/>
        </w:r>
        <w:r w:rsidR="007D1829">
          <w:rPr>
            <w:noProof/>
            <w:webHidden/>
          </w:rPr>
          <w:t>40</w:t>
        </w:r>
        <w:r>
          <w:rPr>
            <w:noProof/>
            <w:webHidden/>
          </w:rPr>
          <w:fldChar w:fldCharType="end"/>
        </w:r>
      </w:hyperlink>
    </w:p>
    <w:p w14:paraId="53F1C56B" w14:textId="5C87A797" w:rsidR="004E2B6A" w:rsidRDefault="004E2B6A">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3765850" w:history="1">
        <w:r w:rsidRPr="009A1507">
          <w:rPr>
            <w:rStyle w:val="Hyperlink"/>
            <w:noProof/>
          </w:rPr>
          <w:t>Main Status Bar</w:t>
        </w:r>
        <w:r>
          <w:rPr>
            <w:noProof/>
            <w:webHidden/>
          </w:rPr>
          <w:tab/>
        </w:r>
        <w:r>
          <w:rPr>
            <w:noProof/>
            <w:webHidden/>
          </w:rPr>
          <w:fldChar w:fldCharType="begin"/>
        </w:r>
        <w:r>
          <w:rPr>
            <w:noProof/>
            <w:webHidden/>
          </w:rPr>
          <w:instrText xml:space="preserve"> PAGEREF _Toc203765850 \h </w:instrText>
        </w:r>
        <w:r>
          <w:rPr>
            <w:noProof/>
            <w:webHidden/>
          </w:rPr>
        </w:r>
        <w:r>
          <w:rPr>
            <w:noProof/>
            <w:webHidden/>
          </w:rPr>
          <w:fldChar w:fldCharType="separate"/>
        </w:r>
        <w:r w:rsidR="007D1829">
          <w:rPr>
            <w:noProof/>
            <w:webHidden/>
          </w:rPr>
          <w:t>41</w:t>
        </w:r>
        <w:r>
          <w:rPr>
            <w:noProof/>
            <w:webHidden/>
          </w:rPr>
          <w:fldChar w:fldCharType="end"/>
        </w:r>
      </w:hyperlink>
    </w:p>
    <w:p w14:paraId="7D2F7E1F" w14:textId="2529DED7" w:rsidR="004E2B6A" w:rsidRDefault="004E2B6A">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3765851" w:history="1">
        <w:r w:rsidRPr="009A1507">
          <w:rPr>
            <w:rStyle w:val="Hyperlink"/>
            <w:noProof/>
          </w:rPr>
          <w:t>Throughout VBECS</w:t>
        </w:r>
        <w:r>
          <w:rPr>
            <w:noProof/>
            <w:webHidden/>
          </w:rPr>
          <w:tab/>
        </w:r>
        <w:r>
          <w:rPr>
            <w:noProof/>
            <w:webHidden/>
          </w:rPr>
          <w:fldChar w:fldCharType="begin"/>
        </w:r>
        <w:r>
          <w:rPr>
            <w:noProof/>
            <w:webHidden/>
          </w:rPr>
          <w:instrText xml:space="preserve"> PAGEREF _Toc203765851 \h </w:instrText>
        </w:r>
        <w:r>
          <w:rPr>
            <w:noProof/>
            <w:webHidden/>
          </w:rPr>
        </w:r>
        <w:r>
          <w:rPr>
            <w:noProof/>
            <w:webHidden/>
          </w:rPr>
          <w:fldChar w:fldCharType="separate"/>
        </w:r>
        <w:r w:rsidR="007D1829">
          <w:rPr>
            <w:noProof/>
            <w:webHidden/>
          </w:rPr>
          <w:t>41</w:t>
        </w:r>
        <w:r>
          <w:rPr>
            <w:noProof/>
            <w:webHidden/>
          </w:rPr>
          <w:fldChar w:fldCharType="end"/>
        </w:r>
      </w:hyperlink>
    </w:p>
    <w:p w14:paraId="22066CD1" w14:textId="6229841D" w:rsidR="004E2B6A" w:rsidRDefault="004E2B6A">
      <w:pPr>
        <w:pStyle w:val="TOC2"/>
        <w:tabs>
          <w:tab w:val="right" w:leader="dot" w:pos="9350"/>
        </w:tabs>
        <w:rPr>
          <w:rFonts w:asciiTheme="minorHAnsi" w:eastAsiaTheme="minorEastAsia" w:hAnsiTheme="minorHAnsi" w:cstheme="minorBidi"/>
          <w:smallCaps w:val="0"/>
          <w:noProof/>
          <w:kern w:val="2"/>
          <w:sz w:val="24"/>
          <w:szCs w:val="24"/>
          <w14:ligatures w14:val="standardContextual"/>
        </w:rPr>
      </w:pPr>
      <w:hyperlink w:anchor="_Toc203765852" w:history="1">
        <w:r w:rsidRPr="009A1507">
          <w:rPr>
            <w:rStyle w:val="Hyperlink"/>
            <w:noProof/>
          </w:rPr>
          <w:t>VBECS Read-Only</w:t>
        </w:r>
        <w:r>
          <w:rPr>
            <w:noProof/>
            <w:webHidden/>
          </w:rPr>
          <w:tab/>
        </w:r>
        <w:r>
          <w:rPr>
            <w:noProof/>
            <w:webHidden/>
          </w:rPr>
          <w:fldChar w:fldCharType="begin"/>
        </w:r>
        <w:r>
          <w:rPr>
            <w:noProof/>
            <w:webHidden/>
          </w:rPr>
          <w:instrText xml:space="preserve"> PAGEREF _Toc203765852 \h </w:instrText>
        </w:r>
        <w:r>
          <w:rPr>
            <w:noProof/>
            <w:webHidden/>
          </w:rPr>
        </w:r>
        <w:r>
          <w:rPr>
            <w:noProof/>
            <w:webHidden/>
          </w:rPr>
          <w:fldChar w:fldCharType="separate"/>
        </w:r>
        <w:r w:rsidR="007D1829">
          <w:rPr>
            <w:noProof/>
            <w:webHidden/>
          </w:rPr>
          <w:t>42</w:t>
        </w:r>
        <w:r>
          <w:rPr>
            <w:noProof/>
            <w:webHidden/>
          </w:rPr>
          <w:fldChar w:fldCharType="end"/>
        </w:r>
      </w:hyperlink>
    </w:p>
    <w:p w14:paraId="6B8943A6" w14:textId="340694B6" w:rsidR="004E2B6A" w:rsidRDefault="004E2B6A">
      <w:pPr>
        <w:pStyle w:val="TOC2"/>
        <w:tabs>
          <w:tab w:val="right" w:leader="dot" w:pos="9350"/>
        </w:tabs>
        <w:rPr>
          <w:rFonts w:asciiTheme="minorHAnsi" w:eastAsiaTheme="minorEastAsia" w:hAnsiTheme="minorHAnsi" w:cstheme="minorBidi"/>
          <w:smallCaps w:val="0"/>
          <w:noProof/>
          <w:kern w:val="2"/>
          <w:sz w:val="24"/>
          <w:szCs w:val="24"/>
          <w14:ligatures w14:val="standardContextual"/>
        </w:rPr>
      </w:pPr>
      <w:hyperlink w:anchor="_Toc203765853" w:history="1">
        <w:r w:rsidRPr="009A1507">
          <w:rPr>
            <w:rStyle w:val="Hyperlink"/>
            <w:noProof/>
          </w:rPr>
          <w:t>Other VBECS Functions</w:t>
        </w:r>
        <w:r>
          <w:rPr>
            <w:noProof/>
            <w:webHidden/>
          </w:rPr>
          <w:tab/>
        </w:r>
        <w:r>
          <w:rPr>
            <w:noProof/>
            <w:webHidden/>
          </w:rPr>
          <w:fldChar w:fldCharType="begin"/>
        </w:r>
        <w:r>
          <w:rPr>
            <w:noProof/>
            <w:webHidden/>
          </w:rPr>
          <w:instrText xml:space="preserve"> PAGEREF _Toc203765853 \h </w:instrText>
        </w:r>
        <w:r>
          <w:rPr>
            <w:noProof/>
            <w:webHidden/>
          </w:rPr>
        </w:r>
        <w:r>
          <w:rPr>
            <w:noProof/>
            <w:webHidden/>
          </w:rPr>
          <w:fldChar w:fldCharType="separate"/>
        </w:r>
        <w:r w:rsidR="007D1829">
          <w:rPr>
            <w:noProof/>
            <w:webHidden/>
          </w:rPr>
          <w:t>42</w:t>
        </w:r>
        <w:r>
          <w:rPr>
            <w:noProof/>
            <w:webHidden/>
          </w:rPr>
          <w:fldChar w:fldCharType="end"/>
        </w:r>
      </w:hyperlink>
    </w:p>
    <w:p w14:paraId="0BF51A37" w14:textId="0AE7610C" w:rsidR="004E2B6A" w:rsidRDefault="004E2B6A">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3765854" w:history="1">
        <w:r w:rsidRPr="009A1507">
          <w:rPr>
            <w:rStyle w:val="Hyperlink"/>
            <w:noProof/>
          </w:rPr>
          <w:t>Collecting Workload</w:t>
        </w:r>
        <w:r>
          <w:rPr>
            <w:noProof/>
            <w:webHidden/>
          </w:rPr>
          <w:tab/>
        </w:r>
        <w:r>
          <w:rPr>
            <w:noProof/>
            <w:webHidden/>
          </w:rPr>
          <w:fldChar w:fldCharType="begin"/>
        </w:r>
        <w:r>
          <w:rPr>
            <w:noProof/>
            <w:webHidden/>
          </w:rPr>
          <w:instrText xml:space="preserve"> PAGEREF _Toc203765854 \h </w:instrText>
        </w:r>
        <w:r>
          <w:rPr>
            <w:noProof/>
            <w:webHidden/>
          </w:rPr>
        </w:r>
        <w:r>
          <w:rPr>
            <w:noProof/>
            <w:webHidden/>
          </w:rPr>
          <w:fldChar w:fldCharType="separate"/>
        </w:r>
        <w:r w:rsidR="007D1829">
          <w:rPr>
            <w:noProof/>
            <w:webHidden/>
          </w:rPr>
          <w:t>42</w:t>
        </w:r>
        <w:r>
          <w:rPr>
            <w:noProof/>
            <w:webHidden/>
          </w:rPr>
          <w:fldChar w:fldCharType="end"/>
        </w:r>
      </w:hyperlink>
    </w:p>
    <w:p w14:paraId="54FB5A77" w14:textId="55DE4312" w:rsidR="004E2B6A" w:rsidRDefault="004E2B6A">
      <w:pPr>
        <w:pStyle w:val="TOC1"/>
        <w:tabs>
          <w:tab w:val="right" w:leader="dot" w:pos="9350"/>
        </w:tabs>
        <w:rPr>
          <w:rFonts w:asciiTheme="minorHAnsi" w:eastAsiaTheme="minorEastAsia" w:hAnsiTheme="minorHAnsi" w:cstheme="minorBidi"/>
          <w:b w:val="0"/>
          <w:caps w:val="0"/>
          <w:noProof/>
          <w:kern w:val="2"/>
          <w:sz w:val="24"/>
          <w:szCs w:val="24"/>
          <w14:ligatures w14:val="standardContextual"/>
        </w:rPr>
      </w:pPr>
      <w:hyperlink w:anchor="_Toc203765855" w:history="1">
        <w:r w:rsidRPr="009A1507">
          <w:rPr>
            <w:rStyle w:val="Hyperlink"/>
            <w:noProof/>
          </w:rPr>
          <w:t>Configuring Site Parameters</w:t>
        </w:r>
        <w:r>
          <w:rPr>
            <w:noProof/>
            <w:webHidden/>
          </w:rPr>
          <w:tab/>
        </w:r>
        <w:r>
          <w:rPr>
            <w:noProof/>
            <w:webHidden/>
          </w:rPr>
          <w:fldChar w:fldCharType="begin"/>
        </w:r>
        <w:r>
          <w:rPr>
            <w:noProof/>
            <w:webHidden/>
          </w:rPr>
          <w:instrText xml:space="preserve"> PAGEREF _Toc203765855 \h </w:instrText>
        </w:r>
        <w:r>
          <w:rPr>
            <w:noProof/>
            <w:webHidden/>
          </w:rPr>
        </w:r>
        <w:r>
          <w:rPr>
            <w:noProof/>
            <w:webHidden/>
          </w:rPr>
          <w:fldChar w:fldCharType="separate"/>
        </w:r>
        <w:r w:rsidR="007D1829">
          <w:rPr>
            <w:noProof/>
            <w:webHidden/>
          </w:rPr>
          <w:t>43</w:t>
        </w:r>
        <w:r>
          <w:rPr>
            <w:noProof/>
            <w:webHidden/>
          </w:rPr>
          <w:fldChar w:fldCharType="end"/>
        </w:r>
      </w:hyperlink>
    </w:p>
    <w:p w14:paraId="49CA60B2" w14:textId="40547CF6" w:rsidR="004E2B6A" w:rsidRDefault="004E2B6A">
      <w:pPr>
        <w:pStyle w:val="TOC2"/>
        <w:tabs>
          <w:tab w:val="right" w:leader="dot" w:pos="9350"/>
        </w:tabs>
        <w:rPr>
          <w:rFonts w:asciiTheme="minorHAnsi" w:eastAsiaTheme="minorEastAsia" w:hAnsiTheme="minorHAnsi" w:cstheme="minorBidi"/>
          <w:smallCaps w:val="0"/>
          <w:noProof/>
          <w:kern w:val="2"/>
          <w:sz w:val="24"/>
          <w:szCs w:val="24"/>
          <w14:ligatures w14:val="standardContextual"/>
        </w:rPr>
      </w:pPr>
      <w:hyperlink w:anchor="_Toc203765856" w:history="1">
        <w:r w:rsidRPr="009A1507">
          <w:rPr>
            <w:rStyle w:val="Hyperlink"/>
            <w:noProof/>
          </w:rPr>
          <w:t>Update User Roles</w:t>
        </w:r>
        <w:r>
          <w:rPr>
            <w:noProof/>
            <w:webHidden/>
          </w:rPr>
          <w:tab/>
        </w:r>
        <w:r>
          <w:rPr>
            <w:noProof/>
            <w:webHidden/>
          </w:rPr>
          <w:fldChar w:fldCharType="begin"/>
        </w:r>
        <w:r>
          <w:rPr>
            <w:noProof/>
            <w:webHidden/>
          </w:rPr>
          <w:instrText xml:space="preserve"> PAGEREF _Toc203765856 \h </w:instrText>
        </w:r>
        <w:r>
          <w:rPr>
            <w:noProof/>
            <w:webHidden/>
          </w:rPr>
        </w:r>
        <w:r>
          <w:rPr>
            <w:noProof/>
            <w:webHidden/>
          </w:rPr>
          <w:fldChar w:fldCharType="separate"/>
        </w:r>
        <w:r w:rsidR="007D1829">
          <w:rPr>
            <w:noProof/>
            <w:webHidden/>
          </w:rPr>
          <w:t>43</w:t>
        </w:r>
        <w:r>
          <w:rPr>
            <w:noProof/>
            <w:webHidden/>
          </w:rPr>
          <w:fldChar w:fldCharType="end"/>
        </w:r>
      </w:hyperlink>
    </w:p>
    <w:p w14:paraId="73EC61DB" w14:textId="40CE3558" w:rsidR="004E2B6A" w:rsidRDefault="004E2B6A">
      <w:pPr>
        <w:pStyle w:val="TOC2"/>
        <w:tabs>
          <w:tab w:val="right" w:leader="dot" w:pos="9350"/>
        </w:tabs>
        <w:rPr>
          <w:rFonts w:asciiTheme="minorHAnsi" w:eastAsiaTheme="minorEastAsia" w:hAnsiTheme="minorHAnsi" w:cstheme="minorBidi"/>
          <w:smallCaps w:val="0"/>
          <w:noProof/>
          <w:kern w:val="2"/>
          <w:sz w:val="24"/>
          <w:szCs w:val="24"/>
          <w14:ligatures w14:val="standardContextual"/>
        </w:rPr>
      </w:pPr>
      <w:hyperlink w:anchor="_Toc203765857" w:history="1">
        <w:r w:rsidRPr="009A1507">
          <w:rPr>
            <w:rStyle w:val="Hyperlink"/>
            <w:noProof/>
          </w:rPr>
          <w:t>Component Classes</w:t>
        </w:r>
        <w:r>
          <w:rPr>
            <w:noProof/>
            <w:webHidden/>
          </w:rPr>
          <w:tab/>
        </w:r>
        <w:r>
          <w:rPr>
            <w:noProof/>
            <w:webHidden/>
          </w:rPr>
          <w:fldChar w:fldCharType="begin"/>
        </w:r>
        <w:r>
          <w:rPr>
            <w:noProof/>
            <w:webHidden/>
          </w:rPr>
          <w:instrText xml:space="preserve"> PAGEREF _Toc203765857 \h </w:instrText>
        </w:r>
        <w:r>
          <w:rPr>
            <w:noProof/>
            <w:webHidden/>
          </w:rPr>
        </w:r>
        <w:r>
          <w:rPr>
            <w:noProof/>
            <w:webHidden/>
          </w:rPr>
          <w:fldChar w:fldCharType="separate"/>
        </w:r>
        <w:r w:rsidR="007D1829">
          <w:rPr>
            <w:noProof/>
            <w:webHidden/>
          </w:rPr>
          <w:t>46</w:t>
        </w:r>
        <w:r>
          <w:rPr>
            <w:noProof/>
            <w:webHidden/>
          </w:rPr>
          <w:fldChar w:fldCharType="end"/>
        </w:r>
      </w:hyperlink>
    </w:p>
    <w:p w14:paraId="4E72FC8E" w14:textId="79A108A5" w:rsidR="004E2B6A" w:rsidRDefault="004E2B6A">
      <w:pPr>
        <w:pStyle w:val="TOC2"/>
        <w:tabs>
          <w:tab w:val="right" w:leader="dot" w:pos="9350"/>
        </w:tabs>
        <w:rPr>
          <w:rFonts w:asciiTheme="minorHAnsi" w:eastAsiaTheme="minorEastAsia" w:hAnsiTheme="minorHAnsi" w:cstheme="minorBidi"/>
          <w:smallCaps w:val="0"/>
          <w:noProof/>
          <w:kern w:val="2"/>
          <w:sz w:val="24"/>
          <w:szCs w:val="24"/>
          <w14:ligatures w14:val="standardContextual"/>
        </w:rPr>
      </w:pPr>
      <w:hyperlink w:anchor="_Toc203765858" w:history="1">
        <w:r w:rsidRPr="009A1507">
          <w:rPr>
            <w:rStyle w:val="Hyperlink"/>
            <w:noProof/>
          </w:rPr>
          <w:t>Configure Daily QC</w:t>
        </w:r>
        <w:r>
          <w:rPr>
            <w:noProof/>
            <w:webHidden/>
          </w:rPr>
          <w:tab/>
        </w:r>
        <w:r>
          <w:rPr>
            <w:noProof/>
            <w:webHidden/>
          </w:rPr>
          <w:fldChar w:fldCharType="begin"/>
        </w:r>
        <w:r>
          <w:rPr>
            <w:noProof/>
            <w:webHidden/>
          </w:rPr>
          <w:instrText xml:space="preserve"> PAGEREF _Toc203765858 \h </w:instrText>
        </w:r>
        <w:r>
          <w:rPr>
            <w:noProof/>
            <w:webHidden/>
          </w:rPr>
        </w:r>
        <w:r>
          <w:rPr>
            <w:noProof/>
            <w:webHidden/>
          </w:rPr>
          <w:fldChar w:fldCharType="separate"/>
        </w:r>
        <w:r w:rsidR="007D1829">
          <w:rPr>
            <w:noProof/>
            <w:webHidden/>
          </w:rPr>
          <w:t>49</w:t>
        </w:r>
        <w:r>
          <w:rPr>
            <w:noProof/>
            <w:webHidden/>
          </w:rPr>
          <w:fldChar w:fldCharType="end"/>
        </w:r>
      </w:hyperlink>
    </w:p>
    <w:p w14:paraId="2C4F9FF0" w14:textId="6C4430FA" w:rsidR="004E2B6A" w:rsidRDefault="004E2B6A">
      <w:pPr>
        <w:pStyle w:val="TOC2"/>
        <w:tabs>
          <w:tab w:val="right" w:leader="dot" w:pos="9350"/>
        </w:tabs>
        <w:rPr>
          <w:rFonts w:asciiTheme="minorHAnsi" w:eastAsiaTheme="minorEastAsia" w:hAnsiTheme="minorHAnsi" w:cstheme="minorBidi"/>
          <w:smallCaps w:val="0"/>
          <w:noProof/>
          <w:kern w:val="2"/>
          <w:sz w:val="24"/>
          <w:szCs w:val="24"/>
          <w14:ligatures w14:val="standardContextual"/>
        </w:rPr>
      </w:pPr>
      <w:hyperlink w:anchor="_Toc203765859" w:history="1">
        <w:r w:rsidRPr="009A1507">
          <w:rPr>
            <w:rStyle w:val="Hyperlink"/>
            <w:noProof/>
          </w:rPr>
          <w:t>Configure Division</w:t>
        </w:r>
        <w:r>
          <w:rPr>
            <w:noProof/>
            <w:webHidden/>
          </w:rPr>
          <w:tab/>
        </w:r>
        <w:r>
          <w:rPr>
            <w:noProof/>
            <w:webHidden/>
          </w:rPr>
          <w:fldChar w:fldCharType="begin"/>
        </w:r>
        <w:r>
          <w:rPr>
            <w:noProof/>
            <w:webHidden/>
          </w:rPr>
          <w:instrText xml:space="preserve"> PAGEREF _Toc203765859 \h </w:instrText>
        </w:r>
        <w:r>
          <w:rPr>
            <w:noProof/>
            <w:webHidden/>
          </w:rPr>
        </w:r>
        <w:r>
          <w:rPr>
            <w:noProof/>
            <w:webHidden/>
          </w:rPr>
          <w:fldChar w:fldCharType="separate"/>
        </w:r>
        <w:r w:rsidR="007D1829">
          <w:rPr>
            <w:noProof/>
            <w:webHidden/>
          </w:rPr>
          <w:t>52</w:t>
        </w:r>
        <w:r>
          <w:rPr>
            <w:noProof/>
            <w:webHidden/>
          </w:rPr>
          <w:fldChar w:fldCharType="end"/>
        </w:r>
      </w:hyperlink>
    </w:p>
    <w:p w14:paraId="05B7978D" w14:textId="231AC219" w:rsidR="004E2B6A" w:rsidRDefault="004E2B6A">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3765860" w:history="1">
        <w:r w:rsidRPr="009A1507">
          <w:rPr>
            <w:rStyle w:val="Hyperlink"/>
            <w:noProof/>
          </w:rPr>
          <w:t>Configure Division</w:t>
        </w:r>
        <w:r>
          <w:rPr>
            <w:noProof/>
            <w:webHidden/>
          </w:rPr>
          <w:tab/>
        </w:r>
        <w:r>
          <w:rPr>
            <w:noProof/>
            <w:webHidden/>
          </w:rPr>
          <w:fldChar w:fldCharType="begin"/>
        </w:r>
        <w:r>
          <w:rPr>
            <w:noProof/>
            <w:webHidden/>
          </w:rPr>
          <w:instrText xml:space="preserve"> PAGEREF _Toc203765860 \h </w:instrText>
        </w:r>
        <w:r>
          <w:rPr>
            <w:noProof/>
            <w:webHidden/>
          </w:rPr>
        </w:r>
        <w:r>
          <w:rPr>
            <w:noProof/>
            <w:webHidden/>
          </w:rPr>
          <w:fldChar w:fldCharType="separate"/>
        </w:r>
        <w:r w:rsidR="007D1829">
          <w:rPr>
            <w:noProof/>
            <w:webHidden/>
          </w:rPr>
          <w:t>52</w:t>
        </w:r>
        <w:r>
          <w:rPr>
            <w:noProof/>
            <w:webHidden/>
          </w:rPr>
          <w:fldChar w:fldCharType="end"/>
        </w:r>
      </w:hyperlink>
    </w:p>
    <w:p w14:paraId="6F3DBC22" w14:textId="73B673EA" w:rsidR="004E2B6A" w:rsidRDefault="004E2B6A">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3765861" w:history="1">
        <w:r w:rsidRPr="009A1507">
          <w:rPr>
            <w:rStyle w:val="Hyperlink"/>
            <w:noProof/>
          </w:rPr>
          <w:t>Configure Testing</w:t>
        </w:r>
        <w:r>
          <w:rPr>
            <w:noProof/>
            <w:webHidden/>
          </w:rPr>
          <w:tab/>
        </w:r>
        <w:r>
          <w:rPr>
            <w:noProof/>
            <w:webHidden/>
          </w:rPr>
          <w:fldChar w:fldCharType="begin"/>
        </w:r>
        <w:r>
          <w:rPr>
            <w:noProof/>
            <w:webHidden/>
          </w:rPr>
          <w:instrText xml:space="preserve"> PAGEREF _Toc203765861 \h </w:instrText>
        </w:r>
        <w:r>
          <w:rPr>
            <w:noProof/>
            <w:webHidden/>
          </w:rPr>
        </w:r>
        <w:r>
          <w:rPr>
            <w:noProof/>
            <w:webHidden/>
          </w:rPr>
          <w:fldChar w:fldCharType="separate"/>
        </w:r>
        <w:r w:rsidR="007D1829">
          <w:rPr>
            <w:noProof/>
            <w:webHidden/>
          </w:rPr>
          <w:t>54</w:t>
        </w:r>
        <w:r>
          <w:rPr>
            <w:noProof/>
            <w:webHidden/>
          </w:rPr>
          <w:fldChar w:fldCharType="end"/>
        </w:r>
      </w:hyperlink>
    </w:p>
    <w:p w14:paraId="2E67623C" w14:textId="7846C0A4" w:rsidR="004E2B6A" w:rsidRDefault="004E2B6A">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3765862" w:history="1">
        <w:r w:rsidRPr="009A1507">
          <w:rPr>
            <w:rStyle w:val="Hyperlink"/>
            <w:noProof/>
          </w:rPr>
          <w:t>Product Modifications</w:t>
        </w:r>
        <w:r>
          <w:rPr>
            <w:noProof/>
            <w:webHidden/>
          </w:rPr>
          <w:tab/>
        </w:r>
        <w:r>
          <w:rPr>
            <w:noProof/>
            <w:webHidden/>
          </w:rPr>
          <w:fldChar w:fldCharType="begin"/>
        </w:r>
        <w:r>
          <w:rPr>
            <w:noProof/>
            <w:webHidden/>
          </w:rPr>
          <w:instrText xml:space="preserve"> PAGEREF _Toc203765862 \h </w:instrText>
        </w:r>
        <w:r>
          <w:rPr>
            <w:noProof/>
            <w:webHidden/>
          </w:rPr>
        </w:r>
        <w:r>
          <w:rPr>
            <w:noProof/>
            <w:webHidden/>
          </w:rPr>
          <w:fldChar w:fldCharType="separate"/>
        </w:r>
        <w:r w:rsidR="007D1829">
          <w:rPr>
            <w:noProof/>
            <w:webHidden/>
          </w:rPr>
          <w:t>56</w:t>
        </w:r>
        <w:r>
          <w:rPr>
            <w:noProof/>
            <w:webHidden/>
          </w:rPr>
          <w:fldChar w:fldCharType="end"/>
        </w:r>
      </w:hyperlink>
    </w:p>
    <w:p w14:paraId="4F305144" w14:textId="73C835D1" w:rsidR="004E2B6A" w:rsidRDefault="004E2B6A">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3765863" w:history="1">
        <w:r w:rsidRPr="009A1507">
          <w:rPr>
            <w:rStyle w:val="Hyperlink"/>
            <w:noProof/>
          </w:rPr>
          <w:t>Order Alerts</w:t>
        </w:r>
        <w:r>
          <w:rPr>
            <w:noProof/>
            <w:webHidden/>
          </w:rPr>
          <w:tab/>
        </w:r>
        <w:r>
          <w:rPr>
            <w:noProof/>
            <w:webHidden/>
          </w:rPr>
          <w:fldChar w:fldCharType="begin"/>
        </w:r>
        <w:r>
          <w:rPr>
            <w:noProof/>
            <w:webHidden/>
          </w:rPr>
          <w:instrText xml:space="preserve"> PAGEREF _Toc203765863 \h </w:instrText>
        </w:r>
        <w:r>
          <w:rPr>
            <w:noProof/>
            <w:webHidden/>
          </w:rPr>
        </w:r>
        <w:r>
          <w:rPr>
            <w:noProof/>
            <w:webHidden/>
          </w:rPr>
          <w:fldChar w:fldCharType="separate"/>
        </w:r>
        <w:r w:rsidR="007D1829">
          <w:rPr>
            <w:noProof/>
            <w:webHidden/>
          </w:rPr>
          <w:t>58</w:t>
        </w:r>
        <w:r>
          <w:rPr>
            <w:noProof/>
            <w:webHidden/>
          </w:rPr>
          <w:fldChar w:fldCharType="end"/>
        </w:r>
      </w:hyperlink>
    </w:p>
    <w:p w14:paraId="0BAA83C2" w14:textId="4E00E976" w:rsidR="004E2B6A" w:rsidRDefault="004E2B6A">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3765864" w:history="1">
        <w:r w:rsidRPr="009A1507">
          <w:rPr>
            <w:rStyle w:val="Hyperlink"/>
            <w:noProof/>
          </w:rPr>
          <w:t>Login Message</w:t>
        </w:r>
        <w:r>
          <w:rPr>
            <w:noProof/>
            <w:webHidden/>
          </w:rPr>
          <w:tab/>
        </w:r>
        <w:r>
          <w:rPr>
            <w:noProof/>
            <w:webHidden/>
          </w:rPr>
          <w:fldChar w:fldCharType="begin"/>
        </w:r>
        <w:r>
          <w:rPr>
            <w:noProof/>
            <w:webHidden/>
          </w:rPr>
          <w:instrText xml:space="preserve"> PAGEREF _Toc203765864 \h </w:instrText>
        </w:r>
        <w:r>
          <w:rPr>
            <w:noProof/>
            <w:webHidden/>
          </w:rPr>
        </w:r>
        <w:r>
          <w:rPr>
            <w:noProof/>
            <w:webHidden/>
          </w:rPr>
          <w:fldChar w:fldCharType="separate"/>
        </w:r>
        <w:r w:rsidR="007D1829">
          <w:rPr>
            <w:noProof/>
            <w:webHidden/>
          </w:rPr>
          <w:t>60</w:t>
        </w:r>
        <w:r>
          <w:rPr>
            <w:noProof/>
            <w:webHidden/>
          </w:rPr>
          <w:fldChar w:fldCharType="end"/>
        </w:r>
      </w:hyperlink>
    </w:p>
    <w:p w14:paraId="278D6C17" w14:textId="3E1476F9" w:rsidR="004E2B6A" w:rsidRDefault="004E2B6A">
      <w:pPr>
        <w:pStyle w:val="TOC2"/>
        <w:tabs>
          <w:tab w:val="right" w:leader="dot" w:pos="9350"/>
        </w:tabs>
        <w:rPr>
          <w:rFonts w:asciiTheme="minorHAnsi" w:eastAsiaTheme="minorEastAsia" w:hAnsiTheme="minorHAnsi" w:cstheme="minorBidi"/>
          <w:smallCaps w:val="0"/>
          <w:noProof/>
          <w:kern w:val="2"/>
          <w:sz w:val="24"/>
          <w:szCs w:val="24"/>
          <w14:ligatures w14:val="standardContextual"/>
        </w:rPr>
      </w:pPr>
      <w:hyperlink w:anchor="_Toc203765865" w:history="1">
        <w:r w:rsidRPr="009A1507">
          <w:rPr>
            <w:rStyle w:val="Hyperlink"/>
            <w:noProof/>
          </w:rPr>
          <w:t>Local Facilities</w:t>
        </w:r>
        <w:r>
          <w:rPr>
            <w:noProof/>
            <w:webHidden/>
          </w:rPr>
          <w:tab/>
        </w:r>
        <w:r>
          <w:rPr>
            <w:noProof/>
            <w:webHidden/>
          </w:rPr>
          <w:fldChar w:fldCharType="begin"/>
        </w:r>
        <w:r>
          <w:rPr>
            <w:noProof/>
            <w:webHidden/>
          </w:rPr>
          <w:instrText xml:space="preserve"> PAGEREF _Toc203765865 \h </w:instrText>
        </w:r>
        <w:r>
          <w:rPr>
            <w:noProof/>
            <w:webHidden/>
          </w:rPr>
        </w:r>
        <w:r>
          <w:rPr>
            <w:noProof/>
            <w:webHidden/>
          </w:rPr>
          <w:fldChar w:fldCharType="separate"/>
        </w:r>
        <w:r w:rsidR="007D1829">
          <w:rPr>
            <w:noProof/>
            <w:webHidden/>
          </w:rPr>
          <w:t>62</w:t>
        </w:r>
        <w:r>
          <w:rPr>
            <w:noProof/>
            <w:webHidden/>
          </w:rPr>
          <w:fldChar w:fldCharType="end"/>
        </w:r>
      </w:hyperlink>
    </w:p>
    <w:p w14:paraId="77787430" w14:textId="4E552477" w:rsidR="004E2B6A" w:rsidRDefault="004E2B6A">
      <w:pPr>
        <w:pStyle w:val="TOC2"/>
        <w:tabs>
          <w:tab w:val="right" w:leader="dot" w:pos="9350"/>
        </w:tabs>
        <w:rPr>
          <w:rFonts w:asciiTheme="minorHAnsi" w:eastAsiaTheme="minorEastAsia" w:hAnsiTheme="minorHAnsi" w:cstheme="minorBidi"/>
          <w:smallCaps w:val="0"/>
          <w:noProof/>
          <w:kern w:val="2"/>
          <w:sz w:val="24"/>
          <w:szCs w:val="24"/>
          <w14:ligatures w14:val="standardContextual"/>
        </w:rPr>
      </w:pPr>
      <w:hyperlink w:anchor="_Toc203765866" w:history="1">
        <w:r w:rsidRPr="009A1507">
          <w:rPr>
            <w:rStyle w:val="Hyperlink"/>
            <w:noProof/>
          </w:rPr>
          <w:t>Blood Products</w:t>
        </w:r>
        <w:r>
          <w:rPr>
            <w:noProof/>
            <w:webHidden/>
          </w:rPr>
          <w:tab/>
        </w:r>
        <w:r>
          <w:rPr>
            <w:noProof/>
            <w:webHidden/>
          </w:rPr>
          <w:fldChar w:fldCharType="begin"/>
        </w:r>
        <w:r>
          <w:rPr>
            <w:noProof/>
            <w:webHidden/>
          </w:rPr>
          <w:instrText xml:space="preserve"> PAGEREF _Toc203765866 \h </w:instrText>
        </w:r>
        <w:r>
          <w:rPr>
            <w:noProof/>
            <w:webHidden/>
          </w:rPr>
        </w:r>
        <w:r>
          <w:rPr>
            <w:noProof/>
            <w:webHidden/>
          </w:rPr>
          <w:fldChar w:fldCharType="separate"/>
        </w:r>
        <w:r w:rsidR="007D1829">
          <w:rPr>
            <w:noProof/>
            <w:webHidden/>
          </w:rPr>
          <w:t>65</w:t>
        </w:r>
        <w:r>
          <w:rPr>
            <w:noProof/>
            <w:webHidden/>
          </w:rPr>
          <w:fldChar w:fldCharType="end"/>
        </w:r>
      </w:hyperlink>
    </w:p>
    <w:p w14:paraId="630E3A5D" w14:textId="3EB2D7A6" w:rsidR="004E2B6A" w:rsidRDefault="004E2B6A">
      <w:pPr>
        <w:pStyle w:val="TOC2"/>
        <w:tabs>
          <w:tab w:val="right" w:leader="dot" w:pos="9350"/>
        </w:tabs>
        <w:rPr>
          <w:rFonts w:asciiTheme="minorHAnsi" w:eastAsiaTheme="minorEastAsia" w:hAnsiTheme="minorHAnsi" w:cstheme="minorBidi"/>
          <w:smallCaps w:val="0"/>
          <w:noProof/>
          <w:kern w:val="2"/>
          <w:sz w:val="24"/>
          <w:szCs w:val="24"/>
          <w14:ligatures w14:val="standardContextual"/>
        </w:rPr>
      </w:pPr>
      <w:hyperlink w:anchor="_Toc203765867" w:history="1">
        <w:r w:rsidRPr="009A1507">
          <w:rPr>
            <w:rStyle w:val="Hyperlink"/>
            <w:noProof/>
          </w:rPr>
          <w:t>Antibodies</w:t>
        </w:r>
        <w:r>
          <w:rPr>
            <w:noProof/>
            <w:webHidden/>
          </w:rPr>
          <w:tab/>
        </w:r>
        <w:r>
          <w:rPr>
            <w:noProof/>
            <w:webHidden/>
          </w:rPr>
          <w:fldChar w:fldCharType="begin"/>
        </w:r>
        <w:r>
          <w:rPr>
            <w:noProof/>
            <w:webHidden/>
          </w:rPr>
          <w:instrText xml:space="preserve"> PAGEREF _Toc203765867 \h </w:instrText>
        </w:r>
        <w:r>
          <w:rPr>
            <w:noProof/>
            <w:webHidden/>
          </w:rPr>
        </w:r>
        <w:r>
          <w:rPr>
            <w:noProof/>
            <w:webHidden/>
          </w:rPr>
          <w:fldChar w:fldCharType="separate"/>
        </w:r>
        <w:r w:rsidR="007D1829">
          <w:rPr>
            <w:noProof/>
            <w:webHidden/>
          </w:rPr>
          <w:t>68</w:t>
        </w:r>
        <w:r>
          <w:rPr>
            <w:noProof/>
            <w:webHidden/>
          </w:rPr>
          <w:fldChar w:fldCharType="end"/>
        </w:r>
      </w:hyperlink>
    </w:p>
    <w:p w14:paraId="33E1F567" w14:textId="3A5B42B7" w:rsidR="004E2B6A" w:rsidRDefault="004E2B6A">
      <w:pPr>
        <w:pStyle w:val="TOC2"/>
        <w:tabs>
          <w:tab w:val="right" w:leader="dot" w:pos="9350"/>
        </w:tabs>
        <w:rPr>
          <w:rFonts w:asciiTheme="minorHAnsi" w:eastAsiaTheme="minorEastAsia" w:hAnsiTheme="minorHAnsi" w:cstheme="minorBidi"/>
          <w:smallCaps w:val="0"/>
          <w:noProof/>
          <w:kern w:val="2"/>
          <w:sz w:val="24"/>
          <w:szCs w:val="24"/>
          <w14:ligatures w14:val="standardContextual"/>
        </w:rPr>
      </w:pPr>
      <w:hyperlink w:anchor="_Toc203765868" w:history="1">
        <w:r w:rsidRPr="009A1507">
          <w:rPr>
            <w:rStyle w:val="Hyperlink"/>
            <w:noProof/>
          </w:rPr>
          <w:t>Canned Comments</w:t>
        </w:r>
        <w:r>
          <w:rPr>
            <w:noProof/>
            <w:webHidden/>
          </w:rPr>
          <w:tab/>
        </w:r>
        <w:r>
          <w:rPr>
            <w:noProof/>
            <w:webHidden/>
          </w:rPr>
          <w:fldChar w:fldCharType="begin"/>
        </w:r>
        <w:r>
          <w:rPr>
            <w:noProof/>
            <w:webHidden/>
          </w:rPr>
          <w:instrText xml:space="preserve"> PAGEREF _Toc203765868 \h </w:instrText>
        </w:r>
        <w:r>
          <w:rPr>
            <w:noProof/>
            <w:webHidden/>
          </w:rPr>
        </w:r>
        <w:r>
          <w:rPr>
            <w:noProof/>
            <w:webHidden/>
          </w:rPr>
          <w:fldChar w:fldCharType="separate"/>
        </w:r>
        <w:r w:rsidR="007D1829">
          <w:rPr>
            <w:noProof/>
            <w:webHidden/>
          </w:rPr>
          <w:t>70</w:t>
        </w:r>
        <w:r>
          <w:rPr>
            <w:noProof/>
            <w:webHidden/>
          </w:rPr>
          <w:fldChar w:fldCharType="end"/>
        </w:r>
      </w:hyperlink>
    </w:p>
    <w:p w14:paraId="7E902E4E" w14:textId="5EFE83CF" w:rsidR="004E2B6A" w:rsidRDefault="004E2B6A">
      <w:pPr>
        <w:pStyle w:val="TOC2"/>
        <w:tabs>
          <w:tab w:val="right" w:leader="dot" w:pos="9350"/>
        </w:tabs>
        <w:rPr>
          <w:rFonts w:asciiTheme="minorHAnsi" w:eastAsiaTheme="minorEastAsia" w:hAnsiTheme="minorHAnsi" w:cstheme="minorBidi"/>
          <w:smallCaps w:val="0"/>
          <w:noProof/>
          <w:kern w:val="2"/>
          <w:sz w:val="24"/>
          <w:szCs w:val="24"/>
          <w14:ligatures w14:val="standardContextual"/>
        </w:rPr>
      </w:pPr>
      <w:hyperlink w:anchor="_Toc203765869" w:history="1">
        <w:r w:rsidRPr="009A1507">
          <w:rPr>
            <w:rStyle w:val="Hyperlink"/>
            <w:noProof/>
          </w:rPr>
          <w:t>Setting Transfusion Parameters</w:t>
        </w:r>
        <w:r>
          <w:rPr>
            <w:noProof/>
            <w:webHidden/>
          </w:rPr>
          <w:tab/>
        </w:r>
        <w:r>
          <w:rPr>
            <w:noProof/>
            <w:webHidden/>
          </w:rPr>
          <w:fldChar w:fldCharType="begin"/>
        </w:r>
        <w:r>
          <w:rPr>
            <w:noProof/>
            <w:webHidden/>
          </w:rPr>
          <w:instrText xml:space="preserve"> PAGEREF _Toc203765869 \h </w:instrText>
        </w:r>
        <w:r>
          <w:rPr>
            <w:noProof/>
            <w:webHidden/>
          </w:rPr>
        </w:r>
        <w:r>
          <w:rPr>
            <w:noProof/>
            <w:webHidden/>
          </w:rPr>
          <w:fldChar w:fldCharType="separate"/>
        </w:r>
        <w:r w:rsidR="007D1829">
          <w:rPr>
            <w:noProof/>
            <w:webHidden/>
          </w:rPr>
          <w:t>72</w:t>
        </w:r>
        <w:r>
          <w:rPr>
            <w:noProof/>
            <w:webHidden/>
          </w:rPr>
          <w:fldChar w:fldCharType="end"/>
        </w:r>
      </w:hyperlink>
    </w:p>
    <w:p w14:paraId="7C4D67E2" w14:textId="3989CDF0" w:rsidR="004E2B6A" w:rsidRDefault="004E2B6A">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3765870" w:history="1">
        <w:r w:rsidRPr="009A1507">
          <w:rPr>
            <w:rStyle w:val="Hyperlink"/>
            <w:noProof/>
          </w:rPr>
          <w:t>Transfusion Complications</w:t>
        </w:r>
        <w:r>
          <w:rPr>
            <w:noProof/>
            <w:webHidden/>
          </w:rPr>
          <w:tab/>
        </w:r>
        <w:r>
          <w:rPr>
            <w:noProof/>
            <w:webHidden/>
          </w:rPr>
          <w:fldChar w:fldCharType="begin"/>
        </w:r>
        <w:r>
          <w:rPr>
            <w:noProof/>
            <w:webHidden/>
          </w:rPr>
          <w:instrText xml:space="preserve"> PAGEREF _Toc203765870 \h </w:instrText>
        </w:r>
        <w:r>
          <w:rPr>
            <w:noProof/>
            <w:webHidden/>
          </w:rPr>
        </w:r>
        <w:r>
          <w:rPr>
            <w:noProof/>
            <w:webHidden/>
          </w:rPr>
          <w:fldChar w:fldCharType="separate"/>
        </w:r>
        <w:r w:rsidR="007D1829">
          <w:rPr>
            <w:noProof/>
            <w:webHidden/>
          </w:rPr>
          <w:t>72</w:t>
        </w:r>
        <w:r>
          <w:rPr>
            <w:noProof/>
            <w:webHidden/>
          </w:rPr>
          <w:fldChar w:fldCharType="end"/>
        </w:r>
      </w:hyperlink>
    </w:p>
    <w:p w14:paraId="40974B8D" w14:textId="18ED2E1D" w:rsidR="004E2B6A" w:rsidRDefault="004E2B6A">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3765871" w:history="1">
        <w:r w:rsidRPr="009A1507">
          <w:rPr>
            <w:rStyle w:val="Hyperlink"/>
            <w:noProof/>
          </w:rPr>
          <w:t>Transfusion Effectiveness</w:t>
        </w:r>
        <w:r>
          <w:rPr>
            <w:noProof/>
            <w:webHidden/>
          </w:rPr>
          <w:tab/>
        </w:r>
        <w:r>
          <w:rPr>
            <w:noProof/>
            <w:webHidden/>
          </w:rPr>
          <w:fldChar w:fldCharType="begin"/>
        </w:r>
        <w:r>
          <w:rPr>
            <w:noProof/>
            <w:webHidden/>
          </w:rPr>
          <w:instrText xml:space="preserve"> PAGEREF _Toc203765871 \h </w:instrText>
        </w:r>
        <w:r>
          <w:rPr>
            <w:noProof/>
            <w:webHidden/>
          </w:rPr>
        </w:r>
        <w:r>
          <w:rPr>
            <w:noProof/>
            <w:webHidden/>
          </w:rPr>
          <w:fldChar w:fldCharType="separate"/>
        </w:r>
        <w:r w:rsidR="007D1829">
          <w:rPr>
            <w:noProof/>
            <w:webHidden/>
          </w:rPr>
          <w:t>74</w:t>
        </w:r>
        <w:r>
          <w:rPr>
            <w:noProof/>
            <w:webHidden/>
          </w:rPr>
          <w:fldChar w:fldCharType="end"/>
        </w:r>
      </w:hyperlink>
    </w:p>
    <w:p w14:paraId="073A4335" w14:textId="76F0C1DD" w:rsidR="004E2B6A" w:rsidRDefault="004E2B6A">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3765872" w:history="1">
        <w:r w:rsidRPr="009A1507">
          <w:rPr>
            <w:rStyle w:val="Hyperlink"/>
            <w:noProof/>
          </w:rPr>
          <w:t>MSBOS</w:t>
        </w:r>
        <w:r>
          <w:rPr>
            <w:noProof/>
            <w:webHidden/>
          </w:rPr>
          <w:tab/>
        </w:r>
        <w:r>
          <w:rPr>
            <w:noProof/>
            <w:webHidden/>
          </w:rPr>
          <w:fldChar w:fldCharType="begin"/>
        </w:r>
        <w:r>
          <w:rPr>
            <w:noProof/>
            <w:webHidden/>
          </w:rPr>
          <w:instrText xml:space="preserve"> PAGEREF _Toc203765872 \h </w:instrText>
        </w:r>
        <w:r>
          <w:rPr>
            <w:noProof/>
            <w:webHidden/>
          </w:rPr>
        </w:r>
        <w:r>
          <w:rPr>
            <w:noProof/>
            <w:webHidden/>
          </w:rPr>
          <w:fldChar w:fldCharType="separate"/>
        </w:r>
        <w:r w:rsidR="007D1829">
          <w:rPr>
            <w:noProof/>
            <w:webHidden/>
          </w:rPr>
          <w:t>76</w:t>
        </w:r>
        <w:r>
          <w:rPr>
            <w:noProof/>
            <w:webHidden/>
          </w:rPr>
          <w:fldChar w:fldCharType="end"/>
        </w:r>
      </w:hyperlink>
    </w:p>
    <w:p w14:paraId="6130F9B4" w14:textId="715AD8DD" w:rsidR="004E2B6A" w:rsidRDefault="004E2B6A">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3765873" w:history="1">
        <w:r w:rsidRPr="009A1507">
          <w:rPr>
            <w:rStyle w:val="Hyperlink"/>
            <w:noProof/>
          </w:rPr>
          <w:t>Workload Codes</w:t>
        </w:r>
        <w:r>
          <w:rPr>
            <w:noProof/>
            <w:webHidden/>
          </w:rPr>
          <w:tab/>
        </w:r>
        <w:r>
          <w:rPr>
            <w:noProof/>
            <w:webHidden/>
          </w:rPr>
          <w:fldChar w:fldCharType="begin"/>
        </w:r>
        <w:r>
          <w:rPr>
            <w:noProof/>
            <w:webHidden/>
          </w:rPr>
          <w:instrText xml:space="preserve"> PAGEREF _Toc203765873 \h </w:instrText>
        </w:r>
        <w:r>
          <w:rPr>
            <w:noProof/>
            <w:webHidden/>
          </w:rPr>
        </w:r>
        <w:r>
          <w:rPr>
            <w:noProof/>
            <w:webHidden/>
          </w:rPr>
          <w:fldChar w:fldCharType="separate"/>
        </w:r>
        <w:r w:rsidR="007D1829">
          <w:rPr>
            <w:noProof/>
            <w:webHidden/>
          </w:rPr>
          <w:t>78</w:t>
        </w:r>
        <w:r>
          <w:rPr>
            <w:noProof/>
            <w:webHidden/>
          </w:rPr>
          <w:fldChar w:fldCharType="end"/>
        </w:r>
      </w:hyperlink>
    </w:p>
    <w:p w14:paraId="2EE86A19" w14:textId="0D39E9EC" w:rsidR="004E2B6A" w:rsidRDefault="004E2B6A">
      <w:pPr>
        <w:pStyle w:val="TOC2"/>
        <w:tabs>
          <w:tab w:val="right" w:leader="dot" w:pos="9350"/>
        </w:tabs>
        <w:rPr>
          <w:rFonts w:asciiTheme="minorHAnsi" w:eastAsiaTheme="minorEastAsia" w:hAnsiTheme="minorHAnsi" w:cstheme="minorBidi"/>
          <w:smallCaps w:val="0"/>
          <w:noProof/>
          <w:kern w:val="2"/>
          <w:sz w:val="24"/>
          <w:szCs w:val="24"/>
          <w14:ligatures w14:val="standardContextual"/>
        </w:rPr>
      </w:pPr>
      <w:hyperlink w:anchor="_Toc203765874" w:history="1">
        <w:r w:rsidRPr="009A1507">
          <w:rPr>
            <w:rStyle w:val="Hyperlink"/>
            <w:noProof/>
          </w:rPr>
          <w:t>Reagents and Supplies</w:t>
        </w:r>
        <w:r>
          <w:rPr>
            <w:noProof/>
            <w:webHidden/>
          </w:rPr>
          <w:tab/>
        </w:r>
        <w:r>
          <w:rPr>
            <w:noProof/>
            <w:webHidden/>
          </w:rPr>
          <w:fldChar w:fldCharType="begin"/>
        </w:r>
        <w:r>
          <w:rPr>
            <w:noProof/>
            <w:webHidden/>
          </w:rPr>
          <w:instrText xml:space="preserve"> PAGEREF _Toc203765874 \h </w:instrText>
        </w:r>
        <w:r>
          <w:rPr>
            <w:noProof/>
            <w:webHidden/>
          </w:rPr>
        </w:r>
        <w:r>
          <w:rPr>
            <w:noProof/>
            <w:webHidden/>
          </w:rPr>
          <w:fldChar w:fldCharType="separate"/>
        </w:r>
        <w:r w:rsidR="007D1829">
          <w:rPr>
            <w:noProof/>
            <w:webHidden/>
          </w:rPr>
          <w:t>81</w:t>
        </w:r>
        <w:r>
          <w:rPr>
            <w:noProof/>
            <w:webHidden/>
          </w:rPr>
          <w:fldChar w:fldCharType="end"/>
        </w:r>
      </w:hyperlink>
    </w:p>
    <w:p w14:paraId="253B16A7" w14:textId="18ADA5DF" w:rsidR="004E2B6A" w:rsidRDefault="004E2B6A">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3765875" w:history="1">
        <w:r w:rsidRPr="009A1507">
          <w:rPr>
            <w:rStyle w:val="Hyperlink"/>
            <w:noProof/>
          </w:rPr>
          <w:t>Enter Daily QC Results</w:t>
        </w:r>
        <w:r>
          <w:rPr>
            <w:noProof/>
            <w:webHidden/>
          </w:rPr>
          <w:tab/>
        </w:r>
        <w:r>
          <w:rPr>
            <w:noProof/>
            <w:webHidden/>
          </w:rPr>
          <w:fldChar w:fldCharType="begin"/>
        </w:r>
        <w:r>
          <w:rPr>
            <w:noProof/>
            <w:webHidden/>
          </w:rPr>
          <w:instrText xml:space="preserve"> PAGEREF _Toc203765875 \h </w:instrText>
        </w:r>
        <w:r>
          <w:rPr>
            <w:noProof/>
            <w:webHidden/>
          </w:rPr>
        </w:r>
        <w:r>
          <w:rPr>
            <w:noProof/>
            <w:webHidden/>
          </w:rPr>
          <w:fldChar w:fldCharType="separate"/>
        </w:r>
        <w:r w:rsidR="007D1829">
          <w:rPr>
            <w:noProof/>
            <w:webHidden/>
          </w:rPr>
          <w:t>81</w:t>
        </w:r>
        <w:r>
          <w:rPr>
            <w:noProof/>
            <w:webHidden/>
          </w:rPr>
          <w:fldChar w:fldCharType="end"/>
        </w:r>
      </w:hyperlink>
    </w:p>
    <w:p w14:paraId="66E0C8C7" w14:textId="005F83E4" w:rsidR="004E2B6A" w:rsidRDefault="004E2B6A">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3765876" w:history="1">
        <w:r w:rsidRPr="009A1507">
          <w:rPr>
            <w:rStyle w:val="Hyperlink"/>
            <w:noProof/>
          </w:rPr>
          <w:t>Reagents</w:t>
        </w:r>
        <w:r>
          <w:rPr>
            <w:noProof/>
            <w:webHidden/>
          </w:rPr>
          <w:tab/>
        </w:r>
        <w:r>
          <w:rPr>
            <w:noProof/>
            <w:webHidden/>
          </w:rPr>
          <w:fldChar w:fldCharType="begin"/>
        </w:r>
        <w:r>
          <w:rPr>
            <w:noProof/>
            <w:webHidden/>
          </w:rPr>
          <w:instrText xml:space="preserve"> PAGEREF _Toc203765876 \h </w:instrText>
        </w:r>
        <w:r>
          <w:rPr>
            <w:noProof/>
            <w:webHidden/>
          </w:rPr>
        </w:r>
        <w:r>
          <w:rPr>
            <w:noProof/>
            <w:webHidden/>
          </w:rPr>
          <w:fldChar w:fldCharType="separate"/>
        </w:r>
        <w:r w:rsidR="007D1829">
          <w:rPr>
            <w:noProof/>
            <w:webHidden/>
          </w:rPr>
          <w:t>89</w:t>
        </w:r>
        <w:r>
          <w:rPr>
            <w:noProof/>
            <w:webHidden/>
          </w:rPr>
          <w:fldChar w:fldCharType="end"/>
        </w:r>
      </w:hyperlink>
    </w:p>
    <w:p w14:paraId="58835867" w14:textId="7E012966" w:rsidR="004E2B6A" w:rsidRDefault="004E2B6A">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3765877" w:history="1">
        <w:r w:rsidRPr="009A1507">
          <w:rPr>
            <w:rStyle w:val="Hyperlink"/>
            <w:noProof/>
          </w:rPr>
          <w:t>Supplies</w:t>
        </w:r>
        <w:r>
          <w:rPr>
            <w:noProof/>
            <w:webHidden/>
          </w:rPr>
          <w:tab/>
        </w:r>
        <w:r>
          <w:rPr>
            <w:noProof/>
            <w:webHidden/>
          </w:rPr>
          <w:fldChar w:fldCharType="begin"/>
        </w:r>
        <w:r>
          <w:rPr>
            <w:noProof/>
            <w:webHidden/>
          </w:rPr>
          <w:instrText xml:space="preserve"> PAGEREF _Toc203765877 \h </w:instrText>
        </w:r>
        <w:r>
          <w:rPr>
            <w:noProof/>
            <w:webHidden/>
          </w:rPr>
        </w:r>
        <w:r>
          <w:rPr>
            <w:noProof/>
            <w:webHidden/>
          </w:rPr>
          <w:fldChar w:fldCharType="separate"/>
        </w:r>
        <w:r w:rsidR="007D1829">
          <w:rPr>
            <w:noProof/>
            <w:webHidden/>
          </w:rPr>
          <w:t>98</w:t>
        </w:r>
        <w:r>
          <w:rPr>
            <w:noProof/>
            <w:webHidden/>
          </w:rPr>
          <w:fldChar w:fldCharType="end"/>
        </w:r>
      </w:hyperlink>
    </w:p>
    <w:p w14:paraId="41E346A7" w14:textId="08EB6585" w:rsidR="004E2B6A" w:rsidRDefault="004E2B6A">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3765878" w:history="1">
        <w:r w:rsidRPr="009A1507">
          <w:rPr>
            <w:rStyle w:val="Hyperlink"/>
            <w:noProof/>
          </w:rPr>
          <w:t>Equipment</w:t>
        </w:r>
        <w:r>
          <w:rPr>
            <w:noProof/>
            <w:webHidden/>
          </w:rPr>
          <w:tab/>
        </w:r>
        <w:r>
          <w:rPr>
            <w:noProof/>
            <w:webHidden/>
          </w:rPr>
          <w:fldChar w:fldCharType="begin"/>
        </w:r>
        <w:r>
          <w:rPr>
            <w:noProof/>
            <w:webHidden/>
          </w:rPr>
          <w:instrText xml:space="preserve"> PAGEREF _Toc203765878 \h </w:instrText>
        </w:r>
        <w:r>
          <w:rPr>
            <w:noProof/>
            <w:webHidden/>
          </w:rPr>
        </w:r>
        <w:r>
          <w:rPr>
            <w:noProof/>
            <w:webHidden/>
          </w:rPr>
          <w:fldChar w:fldCharType="separate"/>
        </w:r>
        <w:r w:rsidR="007D1829">
          <w:rPr>
            <w:noProof/>
            <w:webHidden/>
          </w:rPr>
          <w:t>103</w:t>
        </w:r>
        <w:r>
          <w:rPr>
            <w:noProof/>
            <w:webHidden/>
          </w:rPr>
          <w:fldChar w:fldCharType="end"/>
        </w:r>
      </w:hyperlink>
    </w:p>
    <w:p w14:paraId="471A4956" w14:textId="73632683" w:rsidR="004E2B6A" w:rsidRDefault="004E2B6A">
      <w:pPr>
        <w:pStyle w:val="TOC1"/>
        <w:tabs>
          <w:tab w:val="right" w:leader="dot" w:pos="9350"/>
        </w:tabs>
        <w:rPr>
          <w:rFonts w:asciiTheme="minorHAnsi" w:eastAsiaTheme="minorEastAsia" w:hAnsiTheme="minorHAnsi" w:cstheme="minorBidi"/>
          <w:b w:val="0"/>
          <w:caps w:val="0"/>
          <w:noProof/>
          <w:kern w:val="2"/>
          <w:sz w:val="24"/>
          <w:szCs w:val="24"/>
          <w14:ligatures w14:val="standardContextual"/>
        </w:rPr>
      </w:pPr>
      <w:hyperlink w:anchor="_Toc203765879" w:history="1">
        <w:r w:rsidRPr="009A1507">
          <w:rPr>
            <w:rStyle w:val="Hyperlink"/>
            <w:noProof/>
          </w:rPr>
          <w:t>Component Processing</w:t>
        </w:r>
        <w:r>
          <w:rPr>
            <w:noProof/>
            <w:webHidden/>
          </w:rPr>
          <w:tab/>
        </w:r>
        <w:r>
          <w:rPr>
            <w:noProof/>
            <w:webHidden/>
          </w:rPr>
          <w:fldChar w:fldCharType="begin"/>
        </w:r>
        <w:r>
          <w:rPr>
            <w:noProof/>
            <w:webHidden/>
          </w:rPr>
          <w:instrText xml:space="preserve"> PAGEREF _Toc203765879 \h </w:instrText>
        </w:r>
        <w:r>
          <w:rPr>
            <w:noProof/>
            <w:webHidden/>
          </w:rPr>
        </w:r>
        <w:r>
          <w:rPr>
            <w:noProof/>
            <w:webHidden/>
          </w:rPr>
          <w:fldChar w:fldCharType="separate"/>
        </w:r>
        <w:r w:rsidR="007D1829">
          <w:rPr>
            <w:noProof/>
            <w:webHidden/>
          </w:rPr>
          <w:t>108</w:t>
        </w:r>
        <w:r>
          <w:rPr>
            <w:noProof/>
            <w:webHidden/>
          </w:rPr>
          <w:fldChar w:fldCharType="end"/>
        </w:r>
      </w:hyperlink>
    </w:p>
    <w:p w14:paraId="567C4BD2" w14:textId="6F6EA2FB" w:rsidR="004E2B6A" w:rsidRDefault="004E2B6A">
      <w:pPr>
        <w:pStyle w:val="TOC2"/>
        <w:tabs>
          <w:tab w:val="right" w:leader="dot" w:pos="9350"/>
        </w:tabs>
        <w:rPr>
          <w:rFonts w:asciiTheme="minorHAnsi" w:eastAsiaTheme="minorEastAsia" w:hAnsiTheme="minorHAnsi" w:cstheme="minorBidi"/>
          <w:smallCaps w:val="0"/>
          <w:noProof/>
          <w:kern w:val="2"/>
          <w:sz w:val="24"/>
          <w:szCs w:val="24"/>
          <w14:ligatures w14:val="standardContextual"/>
        </w:rPr>
      </w:pPr>
      <w:hyperlink w:anchor="_Toc203765880" w:history="1">
        <w:r w:rsidRPr="009A1507">
          <w:rPr>
            <w:rStyle w:val="Hyperlink"/>
            <w:noProof/>
          </w:rPr>
          <w:t>Shipments</w:t>
        </w:r>
        <w:r>
          <w:rPr>
            <w:noProof/>
            <w:webHidden/>
          </w:rPr>
          <w:tab/>
        </w:r>
        <w:r>
          <w:rPr>
            <w:noProof/>
            <w:webHidden/>
          </w:rPr>
          <w:fldChar w:fldCharType="begin"/>
        </w:r>
        <w:r>
          <w:rPr>
            <w:noProof/>
            <w:webHidden/>
          </w:rPr>
          <w:instrText xml:space="preserve"> PAGEREF _Toc203765880 \h </w:instrText>
        </w:r>
        <w:r>
          <w:rPr>
            <w:noProof/>
            <w:webHidden/>
          </w:rPr>
        </w:r>
        <w:r>
          <w:rPr>
            <w:noProof/>
            <w:webHidden/>
          </w:rPr>
          <w:fldChar w:fldCharType="separate"/>
        </w:r>
        <w:r w:rsidR="007D1829">
          <w:rPr>
            <w:noProof/>
            <w:webHidden/>
          </w:rPr>
          <w:t>108</w:t>
        </w:r>
        <w:r>
          <w:rPr>
            <w:noProof/>
            <w:webHidden/>
          </w:rPr>
          <w:fldChar w:fldCharType="end"/>
        </w:r>
      </w:hyperlink>
    </w:p>
    <w:p w14:paraId="7975A07C" w14:textId="09358370" w:rsidR="004E2B6A" w:rsidRDefault="004E2B6A">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3765881" w:history="1">
        <w:r w:rsidRPr="009A1507">
          <w:rPr>
            <w:rStyle w:val="Hyperlink"/>
            <w:noProof/>
          </w:rPr>
          <w:t>Incoming Shipment</w:t>
        </w:r>
        <w:r>
          <w:rPr>
            <w:noProof/>
            <w:webHidden/>
          </w:rPr>
          <w:tab/>
        </w:r>
        <w:r>
          <w:rPr>
            <w:noProof/>
            <w:webHidden/>
          </w:rPr>
          <w:fldChar w:fldCharType="begin"/>
        </w:r>
        <w:r>
          <w:rPr>
            <w:noProof/>
            <w:webHidden/>
          </w:rPr>
          <w:instrText xml:space="preserve"> PAGEREF _Toc203765881 \h </w:instrText>
        </w:r>
        <w:r>
          <w:rPr>
            <w:noProof/>
            <w:webHidden/>
          </w:rPr>
        </w:r>
        <w:r>
          <w:rPr>
            <w:noProof/>
            <w:webHidden/>
          </w:rPr>
          <w:fldChar w:fldCharType="separate"/>
        </w:r>
        <w:r w:rsidR="007D1829">
          <w:rPr>
            <w:noProof/>
            <w:webHidden/>
          </w:rPr>
          <w:t>108</w:t>
        </w:r>
        <w:r>
          <w:rPr>
            <w:noProof/>
            <w:webHidden/>
          </w:rPr>
          <w:fldChar w:fldCharType="end"/>
        </w:r>
      </w:hyperlink>
    </w:p>
    <w:p w14:paraId="309AB626" w14:textId="4E48424B" w:rsidR="004E2B6A" w:rsidRDefault="004E2B6A">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3765882" w:history="1">
        <w:r w:rsidRPr="009A1507">
          <w:rPr>
            <w:rStyle w:val="Hyperlink"/>
            <w:noProof/>
          </w:rPr>
          <w:t>Outgoing Shipment</w:t>
        </w:r>
        <w:r>
          <w:rPr>
            <w:noProof/>
            <w:webHidden/>
          </w:rPr>
          <w:tab/>
        </w:r>
        <w:r>
          <w:rPr>
            <w:noProof/>
            <w:webHidden/>
          </w:rPr>
          <w:fldChar w:fldCharType="begin"/>
        </w:r>
        <w:r>
          <w:rPr>
            <w:noProof/>
            <w:webHidden/>
          </w:rPr>
          <w:instrText xml:space="preserve"> PAGEREF _Toc203765882 \h </w:instrText>
        </w:r>
        <w:r>
          <w:rPr>
            <w:noProof/>
            <w:webHidden/>
          </w:rPr>
        </w:r>
        <w:r>
          <w:rPr>
            <w:noProof/>
            <w:webHidden/>
          </w:rPr>
          <w:fldChar w:fldCharType="separate"/>
        </w:r>
        <w:r w:rsidR="007D1829">
          <w:rPr>
            <w:noProof/>
            <w:webHidden/>
          </w:rPr>
          <w:t>120</w:t>
        </w:r>
        <w:r>
          <w:rPr>
            <w:noProof/>
            <w:webHidden/>
          </w:rPr>
          <w:fldChar w:fldCharType="end"/>
        </w:r>
      </w:hyperlink>
    </w:p>
    <w:p w14:paraId="3A4AA872" w14:textId="166DAB1D" w:rsidR="004E2B6A" w:rsidRDefault="004E2B6A">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3765883" w:history="1">
        <w:r w:rsidRPr="009A1507">
          <w:rPr>
            <w:rStyle w:val="Hyperlink"/>
            <w:noProof/>
          </w:rPr>
          <w:t>Edit Invoice Text</w:t>
        </w:r>
        <w:r>
          <w:rPr>
            <w:noProof/>
            <w:webHidden/>
          </w:rPr>
          <w:tab/>
        </w:r>
        <w:r>
          <w:rPr>
            <w:noProof/>
            <w:webHidden/>
          </w:rPr>
          <w:fldChar w:fldCharType="begin"/>
        </w:r>
        <w:r>
          <w:rPr>
            <w:noProof/>
            <w:webHidden/>
          </w:rPr>
          <w:instrText xml:space="preserve"> PAGEREF _Toc203765883 \h </w:instrText>
        </w:r>
        <w:r>
          <w:rPr>
            <w:noProof/>
            <w:webHidden/>
          </w:rPr>
        </w:r>
        <w:r>
          <w:rPr>
            <w:noProof/>
            <w:webHidden/>
          </w:rPr>
          <w:fldChar w:fldCharType="separate"/>
        </w:r>
        <w:r w:rsidR="007D1829">
          <w:rPr>
            <w:noProof/>
            <w:webHidden/>
          </w:rPr>
          <w:t>127</w:t>
        </w:r>
        <w:r>
          <w:rPr>
            <w:noProof/>
            <w:webHidden/>
          </w:rPr>
          <w:fldChar w:fldCharType="end"/>
        </w:r>
      </w:hyperlink>
    </w:p>
    <w:p w14:paraId="5D2CF2AE" w14:textId="1F193282" w:rsidR="004E2B6A" w:rsidRDefault="004E2B6A">
      <w:pPr>
        <w:pStyle w:val="TOC2"/>
        <w:tabs>
          <w:tab w:val="right" w:leader="dot" w:pos="9350"/>
        </w:tabs>
        <w:rPr>
          <w:rFonts w:asciiTheme="minorHAnsi" w:eastAsiaTheme="minorEastAsia" w:hAnsiTheme="minorHAnsi" w:cstheme="minorBidi"/>
          <w:smallCaps w:val="0"/>
          <w:noProof/>
          <w:kern w:val="2"/>
          <w:sz w:val="24"/>
          <w:szCs w:val="24"/>
          <w14:ligatures w14:val="standardContextual"/>
        </w:rPr>
      </w:pPr>
      <w:hyperlink w:anchor="_Toc203765884" w:history="1">
        <w:r w:rsidRPr="009A1507">
          <w:rPr>
            <w:rStyle w:val="Hyperlink"/>
            <w:noProof/>
          </w:rPr>
          <w:t>Unit Search Screen</w:t>
        </w:r>
        <w:r>
          <w:rPr>
            <w:noProof/>
            <w:webHidden/>
          </w:rPr>
          <w:tab/>
        </w:r>
        <w:r>
          <w:rPr>
            <w:noProof/>
            <w:webHidden/>
          </w:rPr>
          <w:fldChar w:fldCharType="begin"/>
        </w:r>
        <w:r>
          <w:rPr>
            <w:noProof/>
            <w:webHidden/>
          </w:rPr>
          <w:instrText xml:space="preserve"> PAGEREF _Toc203765884 \h </w:instrText>
        </w:r>
        <w:r>
          <w:rPr>
            <w:noProof/>
            <w:webHidden/>
          </w:rPr>
        </w:r>
        <w:r>
          <w:rPr>
            <w:noProof/>
            <w:webHidden/>
          </w:rPr>
          <w:fldChar w:fldCharType="separate"/>
        </w:r>
        <w:r w:rsidR="007D1829">
          <w:rPr>
            <w:noProof/>
            <w:webHidden/>
          </w:rPr>
          <w:t>127</w:t>
        </w:r>
        <w:r>
          <w:rPr>
            <w:noProof/>
            <w:webHidden/>
          </w:rPr>
          <w:fldChar w:fldCharType="end"/>
        </w:r>
      </w:hyperlink>
    </w:p>
    <w:p w14:paraId="2066F22D" w14:textId="10B7B38C" w:rsidR="004E2B6A" w:rsidRDefault="004E2B6A">
      <w:pPr>
        <w:pStyle w:val="TOC2"/>
        <w:tabs>
          <w:tab w:val="right" w:leader="dot" w:pos="9350"/>
        </w:tabs>
        <w:rPr>
          <w:rFonts w:asciiTheme="minorHAnsi" w:eastAsiaTheme="minorEastAsia" w:hAnsiTheme="minorHAnsi" w:cstheme="minorBidi"/>
          <w:smallCaps w:val="0"/>
          <w:noProof/>
          <w:kern w:val="2"/>
          <w:sz w:val="24"/>
          <w:szCs w:val="24"/>
          <w14:ligatures w14:val="standardContextual"/>
        </w:rPr>
      </w:pPr>
      <w:hyperlink w:anchor="_Toc203765885" w:history="1">
        <w:r w:rsidRPr="009A1507">
          <w:rPr>
            <w:rStyle w:val="Hyperlink"/>
            <w:noProof/>
          </w:rPr>
          <w:t>Test Units</w:t>
        </w:r>
        <w:r>
          <w:rPr>
            <w:noProof/>
            <w:webHidden/>
          </w:rPr>
          <w:tab/>
        </w:r>
        <w:r>
          <w:rPr>
            <w:noProof/>
            <w:webHidden/>
          </w:rPr>
          <w:fldChar w:fldCharType="begin"/>
        </w:r>
        <w:r>
          <w:rPr>
            <w:noProof/>
            <w:webHidden/>
          </w:rPr>
          <w:instrText xml:space="preserve"> PAGEREF _Toc203765885 \h </w:instrText>
        </w:r>
        <w:r>
          <w:rPr>
            <w:noProof/>
            <w:webHidden/>
          </w:rPr>
        </w:r>
        <w:r>
          <w:rPr>
            <w:noProof/>
            <w:webHidden/>
          </w:rPr>
          <w:fldChar w:fldCharType="separate"/>
        </w:r>
        <w:r w:rsidR="007D1829">
          <w:rPr>
            <w:noProof/>
            <w:webHidden/>
          </w:rPr>
          <w:t>130</w:t>
        </w:r>
        <w:r>
          <w:rPr>
            <w:noProof/>
            <w:webHidden/>
          </w:rPr>
          <w:fldChar w:fldCharType="end"/>
        </w:r>
      </w:hyperlink>
    </w:p>
    <w:p w14:paraId="28657095" w14:textId="431C2F73" w:rsidR="004E2B6A" w:rsidRDefault="004E2B6A">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3765886" w:history="1">
        <w:r w:rsidRPr="009A1507">
          <w:rPr>
            <w:rStyle w:val="Hyperlink"/>
            <w:noProof/>
          </w:rPr>
          <w:t>ABO/Rh Confirmation</w:t>
        </w:r>
        <w:r>
          <w:rPr>
            <w:noProof/>
            <w:webHidden/>
          </w:rPr>
          <w:tab/>
        </w:r>
        <w:r>
          <w:rPr>
            <w:noProof/>
            <w:webHidden/>
          </w:rPr>
          <w:fldChar w:fldCharType="begin"/>
        </w:r>
        <w:r>
          <w:rPr>
            <w:noProof/>
            <w:webHidden/>
          </w:rPr>
          <w:instrText xml:space="preserve"> PAGEREF _Toc203765886 \h </w:instrText>
        </w:r>
        <w:r>
          <w:rPr>
            <w:noProof/>
            <w:webHidden/>
          </w:rPr>
        </w:r>
        <w:r>
          <w:rPr>
            <w:noProof/>
            <w:webHidden/>
          </w:rPr>
          <w:fldChar w:fldCharType="separate"/>
        </w:r>
        <w:r w:rsidR="007D1829">
          <w:rPr>
            <w:noProof/>
            <w:webHidden/>
          </w:rPr>
          <w:t>130</w:t>
        </w:r>
        <w:r>
          <w:rPr>
            <w:noProof/>
            <w:webHidden/>
          </w:rPr>
          <w:fldChar w:fldCharType="end"/>
        </w:r>
      </w:hyperlink>
    </w:p>
    <w:p w14:paraId="569CBB80" w14:textId="7AD0A06A" w:rsidR="004E2B6A" w:rsidRDefault="004E2B6A">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3765887" w:history="1">
        <w:r w:rsidRPr="009A1507">
          <w:rPr>
            <w:rStyle w:val="Hyperlink"/>
            <w:noProof/>
          </w:rPr>
          <w:t>Unit Antigen Typing</w:t>
        </w:r>
        <w:r>
          <w:rPr>
            <w:noProof/>
            <w:webHidden/>
          </w:rPr>
          <w:tab/>
        </w:r>
        <w:r>
          <w:rPr>
            <w:noProof/>
            <w:webHidden/>
          </w:rPr>
          <w:fldChar w:fldCharType="begin"/>
        </w:r>
        <w:r>
          <w:rPr>
            <w:noProof/>
            <w:webHidden/>
          </w:rPr>
          <w:instrText xml:space="preserve"> PAGEREF _Toc203765887 \h </w:instrText>
        </w:r>
        <w:r>
          <w:rPr>
            <w:noProof/>
            <w:webHidden/>
          </w:rPr>
        </w:r>
        <w:r>
          <w:rPr>
            <w:noProof/>
            <w:webHidden/>
          </w:rPr>
          <w:fldChar w:fldCharType="separate"/>
        </w:r>
        <w:r w:rsidR="007D1829">
          <w:rPr>
            <w:noProof/>
            <w:webHidden/>
          </w:rPr>
          <w:t>134</w:t>
        </w:r>
        <w:r>
          <w:rPr>
            <w:noProof/>
            <w:webHidden/>
          </w:rPr>
          <w:fldChar w:fldCharType="end"/>
        </w:r>
      </w:hyperlink>
    </w:p>
    <w:p w14:paraId="55D20041" w14:textId="125F0F06" w:rsidR="004E2B6A" w:rsidRDefault="004E2B6A">
      <w:pPr>
        <w:pStyle w:val="TOC2"/>
        <w:tabs>
          <w:tab w:val="right" w:leader="dot" w:pos="9350"/>
        </w:tabs>
        <w:rPr>
          <w:rFonts w:asciiTheme="minorHAnsi" w:eastAsiaTheme="minorEastAsia" w:hAnsiTheme="minorHAnsi" w:cstheme="minorBidi"/>
          <w:smallCaps w:val="0"/>
          <w:noProof/>
          <w:kern w:val="2"/>
          <w:sz w:val="24"/>
          <w:szCs w:val="24"/>
          <w14:ligatures w14:val="standardContextual"/>
        </w:rPr>
      </w:pPr>
      <w:hyperlink w:anchor="_Toc203765888" w:history="1">
        <w:r w:rsidRPr="009A1507">
          <w:rPr>
            <w:rStyle w:val="Hyperlink"/>
            <w:noProof/>
          </w:rPr>
          <w:t>Modify Components</w:t>
        </w:r>
        <w:r>
          <w:rPr>
            <w:noProof/>
            <w:webHidden/>
          </w:rPr>
          <w:tab/>
        </w:r>
        <w:r>
          <w:rPr>
            <w:noProof/>
            <w:webHidden/>
          </w:rPr>
          <w:fldChar w:fldCharType="begin"/>
        </w:r>
        <w:r>
          <w:rPr>
            <w:noProof/>
            <w:webHidden/>
          </w:rPr>
          <w:instrText xml:space="preserve"> PAGEREF _Toc203765888 \h </w:instrText>
        </w:r>
        <w:r>
          <w:rPr>
            <w:noProof/>
            <w:webHidden/>
          </w:rPr>
        </w:r>
        <w:r>
          <w:rPr>
            <w:noProof/>
            <w:webHidden/>
          </w:rPr>
          <w:fldChar w:fldCharType="separate"/>
        </w:r>
        <w:r w:rsidR="007D1829">
          <w:rPr>
            <w:noProof/>
            <w:webHidden/>
          </w:rPr>
          <w:t>145</w:t>
        </w:r>
        <w:r>
          <w:rPr>
            <w:noProof/>
            <w:webHidden/>
          </w:rPr>
          <w:fldChar w:fldCharType="end"/>
        </w:r>
      </w:hyperlink>
    </w:p>
    <w:p w14:paraId="7460A6E2" w14:textId="3E65C782" w:rsidR="004E2B6A" w:rsidRDefault="004E2B6A">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3765889" w:history="1">
        <w:r w:rsidRPr="009A1507">
          <w:rPr>
            <w:rStyle w:val="Hyperlink"/>
            <w:noProof/>
          </w:rPr>
          <w:t>Modify Units</w:t>
        </w:r>
        <w:r>
          <w:rPr>
            <w:noProof/>
            <w:webHidden/>
          </w:rPr>
          <w:tab/>
        </w:r>
        <w:r>
          <w:rPr>
            <w:noProof/>
            <w:webHidden/>
          </w:rPr>
          <w:fldChar w:fldCharType="begin"/>
        </w:r>
        <w:r>
          <w:rPr>
            <w:noProof/>
            <w:webHidden/>
          </w:rPr>
          <w:instrText xml:space="preserve"> PAGEREF _Toc203765889 \h </w:instrText>
        </w:r>
        <w:r>
          <w:rPr>
            <w:noProof/>
            <w:webHidden/>
          </w:rPr>
        </w:r>
        <w:r>
          <w:rPr>
            <w:noProof/>
            <w:webHidden/>
          </w:rPr>
          <w:fldChar w:fldCharType="separate"/>
        </w:r>
        <w:r w:rsidR="007D1829">
          <w:rPr>
            <w:noProof/>
            <w:webHidden/>
          </w:rPr>
          <w:t>145</w:t>
        </w:r>
        <w:r>
          <w:rPr>
            <w:noProof/>
            <w:webHidden/>
          </w:rPr>
          <w:fldChar w:fldCharType="end"/>
        </w:r>
      </w:hyperlink>
    </w:p>
    <w:p w14:paraId="3AEF342C" w14:textId="5B15B6CE" w:rsidR="004E2B6A" w:rsidRDefault="004E2B6A">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3765890" w:history="1">
        <w:r w:rsidRPr="009A1507">
          <w:rPr>
            <w:rStyle w:val="Hyperlink"/>
            <w:noProof/>
          </w:rPr>
          <w:t>Modify Units: Split a Unit</w:t>
        </w:r>
        <w:r>
          <w:rPr>
            <w:noProof/>
            <w:webHidden/>
          </w:rPr>
          <w:tab/>
        </w:r>
        <w:r>
          <w:rPr>
            <w:noProof/>
            <w:webHidden/>
          </w:rPr>
          <w:fldChar w:fldCharType="begin"/>
        </w:r>
        <w:r>
          <w:rPr>
            <w:noProof/>
            <w:webHidden/>
          </w:rPr>
          <w:instrText xml:space="preserve"> PAGEREF _Toc203765890 \h </w:instrText>
        </w:r>
        <w:r>
          <w:rPr>
            <w:noProof/>
            <w:webHidden/>
          </w:rPr>
        </w:r>
        <w:r>
          <w:rPr>
            <w:noProof/>
            <w:webHidden/>
          </w:rPr>
          <w:fldChar w:fldCharType="separate"/>
        </w:r>
        <w:r w:rsidR="007D1829">
          <w:rPr>
            <w:noProof/>
            <w:webHidden/>
          </w:rPr>
          <w:t>157</w:t>
        </w:r>
        <w:r>
          <w:rPr>
            <w:noProof/>
            <w:webHidden/>
          </w:rPr>
          <w:fldChar w:fldCharType="end"/>
        </w:r>
      </w:hyperlink>
    </w:p>
    <w:p w14:paraId="05B1506F" w14:textId="50E72CCC" w:rsidR="004E2B6A" w:rsidRDefault="004E2B6A">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3765891" w:history="1">
        <w:r w:rsidRPr="009A1507">
          <w:rPr>
            <w:rStyle w:val="Hyperlink"/>
            <w:noProof/>
          </w:rPr>
          <w:t>Modify Units: Pool Units</w:t>
        </w:r>
        <w:r>
          <w:rPr>
            <w:noProof/>
            <w:webHidden/>
          </w:rPr>
          <w:tab/>
        </w:r>
        <w:r>
          <w:rPr>
            <w:noProof/>
            <w:webHidden/>
          </w:rPr>
          <w:fldChar w:fldCharType="begin"/>
        </w:r>
        <w:r>
          <w:rPr>
            <w:noProof/>
            <w:webHidden/>
          </w:rPr>
          <w:instrText xml:space="preserve"> PAGEREF _Toc203765891 \h </w:instrText>
        </w:r>
        <w:r>
          <w:rPr>
            <w:noProof/>
            <w:webHidden/>
          </w:rPr>
        </w:r>
        <w:r>
          <w:rPr>
            <w:noProof/>
            <w:webHidden/>
          </w:rPr>
          <w:fldChar w:fldCharType="separate"/>
        </w:r>
        <w:r w:rsidR="007D1829">
          <w:rPr>
            <w:noProof/>
            <w:webHidden/>
          </w:rPr>
          <w:t>160</w:t>
        </w:r>
        <w:r>
          <w:rPr>
            <w:noProof/>
            <w:webHidden/>
          </w:rPr>
          <w:fldChar w:fldCharType="end"/>
        </w:r>
      </w:hyperlink>
    </w:p>
    <w:p w14:paraId="7E675AA2" w14:textId="72DC0FAB" w:rsidR="004E2B6A" w:rsidRDefault="004E2B6A">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3765892" w:history="1">
        <w:r w:rsidRPr="009A1507">
          <w:rPr>
            <w:rStyle w:val="Hyperlink"/>
            <w:noProof/>
          </w:rPr>
          <w:t>Add and/or Remove Units from a Pool</w:t>
        </w:r>
        <w:r>
          <w:rPr>
            <w:noProof/>
            <w:webHidden/>
          </w:rPr>
          <w:tab/>
        </w:r>
        <w:r>
          <w:rPr>
            <w:noProof/>
            <w:webHidden/>
          </w:rPr>
          <w:fldChar w:fldCharType="begin"/>
        </w:r>
        <w:r>
          <w:rPr>
            <w:noProof/>
            <w:webHidden/>
          </w:rPr>
          <w:instrText xml:space="preserve"> PAGEREF _Toc203765892 \h </w:instrText>
        </w:r>
        <w:r>
          <w:rPr>
            <w:noProof/>
            <w:webHidden/>
          </w:rPr>
        </w:r>
        <w:r>
          <w:rPr>
            <w:noProof/>
            <w:webHidden/>
          </w:rPr>
          <w:fldChar w:fldCharType="separate"/>
        </w:r>
        <w:r w:rsidR="007D1829">
          <w:rPr>
            <w:noProof/>
            <w:webHidden/>
          </w:rPr>
          <w:t>164</w:t>
        </w:r>
        <w:r>
          <w:rPr>
            <w:noProof/>
            <w:webHidden/>
          </w:rPr>
          <w:fldChar w:fldCharType="end"/>
        </w:r>
      </w:hyperlink>
    </w:p>
    <w:p w14:paraId="5E0CEE6A" w14:textId="08BC7FEC" w:rsidR="004E2B6A" w:rsidRDefault="004E2B6A">
      <w:pPr>
        <w:pStyle w:val="TOC2"/>
        <w:tabs>
          <w:tab w:val="right" w:leader="dot" w:pos="9350"/>
        </w:tabs>
        <w:rPr>
          <w:rFonts w:asciiTheme="minorHAnsi" w:eastAsiaTheme="minorEastAsia" w:hAnsiTheme="minorHAnsi" w:cstheme="minorBidi"/>
          <w:smallCaps w:val="0"/>
          <w:noProof/>
          <w:kern w:val="2"/>
          <w:sz w:val="24"/>
          <w:szCs w:val="24"/>
          <w14:ligatures w14:val="standardContextual"/>
        </w:rPr>
      </w:pPr>
      <w:hyperlink w:anchor="_Toc203765893" w:history="1">
        <w:r w:rsidRPr="009A1507">
          <w:rPr>
            <w:rStyle w:val="Hyperlink"/>
            <w:noProof/>
          </w:rPr>
          <w:t>Maintain Unit Records</w:t>
        </w:r>
        <w:r>
          <w:rPr>
            <w:noProof/>
            <w:webHidden/>
          </w:rPr>
          <w:tab/>
        </w:r>
        <w:r>
          <w:rPr>
            <w:noProof/>
            <w:webHidden/>
          </w:rPr>
          <w:fldChar w:fldCharType="begin"/>
        </w:r>
        <w:r>
          <w:rPr>
            <w:noProof/>
            <w:webHidden/>
          </w:rPr>
          <w:instrText xml:space="preserve"> PAGEREF _Toc203765893 \h </w:instrText>
        </w:r>
        <w:r>
          <w:rPr>
            <w:noProof/>
            <w:webHidden/>
          </w:rPr>
        </w:r>
        <w:r>
          <w:rPr>
            <w:noProof/>
            <w:webHidden/>
          </w:rPr>
          <w:fldChar w:fldCharType="separate"/>
        </w:r>
        <w:r w:rsidR="007D1829">
          <w:rPr>
            <w:noProof/>
            <w:webHidden/>
          </w:rPr>
          <w:t>167</w:t>
        </w:r>
        <w:r>
          <w:rPr>
            <w:noProof/>
            <w:webHidden/>
          </w:rPr>
          <w:fldChar w:fldCharType="end"/>
        </w:r>
      </w:hyperlink>
    </w:p>
    <w:p w14:paraId="31233233" w14:textId="6682F9E3" w:rsidR="004E2B6A" w:rsidRDefault="004E2B6A">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3765894" w:history="1">
        <w:r w:rsidRPr="009A1507">
          <w:rPr>
            <w:rStyle w:val="Hyperlink"/>
            <w:noProof/>
          </w:rPr>
          <w:t>Edit Unit Information</w:t>
        </w:r>
        <w:r>
          <w:rPr>
            <w:noProof/>
            <w:webHidden/>
          </w:rPr>
          <w:tab/>
        </w:r>
        <w:r>
          <w:rPr>
            <w:noProof/>
            <w:webHidden/>
          </w:rPr>
          <w:fldChar w:fldCharType="begin"/>
        </w:r>
        <w:r>
          <w:rPr>
            <w:noProof/>
            <w:webHidden/>
          </w:rPr>
          <w:instrText xml:space="preserve"> PAGEREF _Toc203765894 \h </w:instrText>
        </w:r>
        <w:r>
          <w:rPr>
            <w:noProof/>
            <w:webHidden/>
          </w:rPr>
        </w:r>
        <w:r>
          <w:rPr>
            <w:noProof/>
            <w:webHidden/>
          </w:rPr>
          <w:fldChar w:fldCharType="separate"/>
        </w:r>
        <w:r w:rsidR="007D1829">
          <w:rPr>
            <w:noProof/>
            <w:webHidden/>
          </w:rPr>
          <w:t>167</w:t>
        </w:r>
        <w:r>
          <w:rPr>
            <w:noProof/>
            <w:webHidden/>
          </w:rPr>
          <w:fldChar w:fldCharType="end"/>
        </w:r>
      </w:hyperlink>
    </w:p>
    <w:p w14:paraId="2E499244" w14:textId="6AC56F11" w:rsidR="004E2B6A" w:rsidRDefault="004E2B6A">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3765895" w:history="1">
        <w:r w:rsidRPr="009A1507">
          <w:rPr>
            <w:rStyle w:val="Hyperlink"/>
            <w:noProof/>
          </w:rPr>
          <w:t>Edit Financial Data</w:t>
        </w:r>
        <w:r>
          <w:rPr>
            <w:noProof/>
            <w:webHidden/>
          </w:rPr>
          <w:tab/>
        </w:r>
        <w:r>
          <w:rPr>
            <w:noProof/>
            <w:webHidden/>
          </w:rPr>
          <w:fldChar w:fldCharType="begin"/>
        </w:r>
        <w:r>
          <w:rPr>
            <w:noProof/>
            <w:webHidden/>
          </w:rPr>
          <w:instrText xml:space="preserve"> PAGEREF _Toc203765895 \h </w:instrText>
        </w:r>
        <w:r>
          <w:rPr>
            <w:noProof/>
            <w:webHidden/>
          </w:rPr>
        </w:r>
        <w:r>
          <w:rPr>
            <w:noProof/>
            <w:webHidden/>
          </w:rPr>
          <w:fldChar w:fldCharType="separate"/>
        </w:r>
        <w:r w:rsidR="007D1829">
          <w:rPr>
            <w:noProof/>
            <w:webHidden/>
          </w:rPr>
          <w:t>174</w:t>
        </w:r>
        <w:r>
          <w:rPr>
            <w:noProof/>
            <w:webHidden/>
          </w:rPr>
          <w:fldChar w:fldCharType="end"/>
        </w:r>
      </w:hyperlink>
    </w:p>
    <w:p w14:paraId="577CF5F8" w14:textId="26B7270A" w:rsidR="004E2B6A" w:rsidRDefault="004E2B6A">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3765896" w:history="1">
        <w:r w:rsidRPr="009A1507">
          <w:rPr>
            <w:rStyle w:val="Hyperlink"/>
            <w:noProof/>
          </w:rPr>
          <w:t>Free Directed Unit For Crossover</w:t>
        </w:r>
        <w:r>
          <w:rPr>
            <w:noProof/>
            <w:webHidden/>
          </w:rPr>
          <w:tab/>
        </w:r>
        <w:r>
          <w:rPr>
            <w:noProof/>
            <w:webHidden/>
          </w:rPr>
          <w:fldChar w:fldCharType="begin"/>
        </w:r>
        <w:r>
          <w:rPr>
            <w:noProof/>
            <w:webHidden/>
          </w:rPr>
          <w:instrText xml:space="preserve"> PAGEREF _Toc203765896 \h </w:instrText>
        </w:r>
        <w:r>
          <w:rPr>
            <w:noProof/>
            <w:webHidden/>
          </w:rPr>
        </w:r>
        <w:r>
          <w:rPr>
            <w:noProof/>
            <w:webHidden/>
          </w:rPr>
          <w:fldChar w:fldCharType="separate"/>
        </w:r>
        <w:r w:rsidR="007D1829">
          <w:rPr>
            <w:noProof/>
            <w:webHidden/>
          </w:rPr>
          <w:t>176</w:t>
        </w:r>
        <w:r>
          <w:rPr>
            <w:noProof/>
            <w:webHidden/>
          </w:rPr>
          <w:fldChar w:fldCharType="end"/>
        </w:r>
      </w:hyperlink>
    </w:p>
    <w:p w14:paraId="6FF51EEE" w14:textId="455ADC31" w:rsidR="004E2B6A" w:rsidRDefault="004E2B6A">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3765897" w:history="1">
        <w:r w:rsidRPr="009A1507">
          <w:rPr>
            <w:rStyle w:val="Hyperlink"/>
            <w:noProof/>
          </w:rPr>
          <w:t>Discard or Quarantine</w:t>
        </w:r>
        <w:r>
          <w:rPr>
            <w:noProof/>
            <w:webHidden/>
          </w:rPr>
          <w:tab/>
        </w:r>
        <w:r>
          <w:rPr>
            <w:noProof/>
            <w:webHidden/>
          </w:rPr>
          <w:fldChar w:fldCharType="begin"/>
        </w:r>
        <w:r>
          <w:rPr>
            <w:noProof/>
            <w:webHidden/>
          </w:rPr>
          <w:instrText xml:space="preserve"> PAGEREF _Toc203765897 \h </w:instrText>
        </w:r>
        <w:r>
          <w:rPr>
            <w:noProof/>
            <w:webHidden/>
          </w:rPr>
        </w:r>
        <w:r>
          <w:rPr>
            <w:noProof/>
            <w:webHidden/>
          </w:rPr>
          <w:fldChar w:fldCharType="separate"/>
        </w:r>
        <w:r w:rsidR="007D1829">
          <w:rPr>
            <w:noProof/>
            <w:webHidden/>
          </w:rPr>
          <w:t>178</w:t>
        </w:r>
        <w:r>
          <w:rPr>
            <w:noProof/>
            <w:webHidden/>
          </w:rPr>
          <w:fldChar w:fldCharType="end"/>
        </w:r>
      </w:hyperlink>
    </w:p>
    <w:p w14:paraId="29B0899F" w14:textId="1DE889BA" w:rsidR="004E2B6A" w:rsidRDefault="004E2B6A">
      <w:pPr>
        <w:pStyle w:val="TOC2"/>
        <w:tabs>
          <w:tab w:val="right" w:leader="dot" w:pos="9350"/>
        </w:tabs>
        <w:rPr>
          <w:rFonts w:asciiTheme="minorHAnsi" w:eastAsiaTheme="minorEastAsia" w:hAnsiTheme="minorHAnsi" w:cstheme="minorBidi"/>
          <w:smallCaps w:val="0"/>
          <w:noProof/>
          <w:kern w:val="2"/>
          <w:sz w:val="24"/>
          <w:szCs w:val="24"/>
          <w14:ligatures w14:val="standardContextual"/>
        </w:rPr>
      </w:pPr>
      <w:hyperlink w:anchor="_Toc203765898" w:history="1">
        <w:r w:rsidRPr="009A1507">
          <w:rPr>
            <w:rStyle w:val="Hyperlink"/>
            <w:noProof/>
          </w:rPr>
          <w:t>Select Units</w:t>
        </w:r>
        <w:r>
          <w:rPr>
            <w:noProof/>
            <w:webHidden/>
          </w:rPr>
          <w:tab/>
        </w:r>
        <w:r>
          <w:rPr>
            <w:noProof/>
            <w:webHidden/>
          </w:rPr>
          <w:fldChar w:fldCharType="begin"/>
        </w:r>
        <w:r>
          <w:rPr>
            <w:noProof/>
            <w:webHidden/>
          </w:rPr>
          <w:instrText xml:space="preserve"> PAGEREF _Toc203765898 \h </w:instrText>
        </w:r>
        <w:r>
          <w:rPr>
            <w:noProof/>
            <w:webHidden/>
          </w:rPr>
        </w:r>
        <w:r>
          <w:rPr>
            <w:noProof/>
            <w:webHidden/>
          </w:rPr>
          <w:fldChar w:fldCharType="separate"/>
        </w:r>
        <w:r w:rsidR="007D1829">
          <w:rPr>
            <w:noProof/>
            <w:webHidden/>
          </w:rPr>
          <w:t>184</w:t>
        </w:r>
        <w:r>
          <w:rPr>
            <w:noProof/>
            <w:webHidden/>
          </w:rPr>
          <w:fldChar w:fldCharType="end"/>
        </w:r>
      </w:hyperlink>
    </w:p>
    <w:p w14:paraId="749C67A9" w14:textId="5FA6E6E6" w:rsidR="004E2B6A" w:rsidRDefault="004E2B6A">
      <w:pPr>
        <w:pStyle w:val="TOC2"/>
        <w:tabs>
          <w:tab w:val="right" w:leader="dot" w:pos="9350"/>
        </w:tabs>
        <w:rPr>
          <w:rFonts w:asciiTheme="minorHAnsi" w:eastAsiaTheme="minorEastAsia" w:hAnsiTheme="minorHAnsi" w:cstheme="minorBidi"/>
          <w:smallCaps w:val="0"/>
          <w:noProof/>
          <w:kern w:val="2"/>
          <w:sz w:val="24"/>
          <w:szCs w:val="24"/>
          <w14:ligatures w14:val="standardContextual"/>
        </w:rPr>
      </w:pPr>
      <w:hyperlink w:anchor="_Toc203765899" w:history="1">
        <w:r w:rsidRPr="009A1507">
          <w:rPr>
            <w:rStyle w:val="Hyperlink"/>
            <w:noProof/>
          </w:rPr>
          <w:t>Issue Blood Components</w:t>
        </w:r>
        <w:r>
          <w:rPr>
            <w:noProof/>
            <w:webHidden/>
          </w:rPr>
          <w:tab/>
        </w:r>
        <w:r>
          <w:rPr>
            <w:noProof/>
            <w:webHidden/>
          </w:rPr>
          <w:fldChar w:fldCharType="begin"/>
        </w:r>
        <w:r>
          <w:rPr>
            <w:noProof/>
            <w:webHidden/>
          </w:rPr>
          <w:instrText xml:space="preserve"> PAGEREF _Toc203765899 \h </w:instrText>
        </w:r>
        <w:r>
          <w:rPr>
            <w:noProof/>
            <w:webHidden/>
          </w:rPr>
        </w:r>
        <w:r>
          <w:rPr>
            <w:noProof/>
            <w:webHidden/>
          </w:rPr>
          <w:fldChar w:fldCharType="separate"/>
        </w:r>
        <w:r w:rsidR="007D1829">
          <w:rPr>
            <w:noProof/>
            <w:webHidden/>
          </w:rPr>
          <w:t>195</w:t>
        </w:r>
        <w:r>
          <w:rPr>
            <w:noProof/>
            <w:webHidden/>
          </w:rPr>
          <w:fldChar w:fldCharType="end"/>
        </w:r>
      </w:hyperlink>
    </w:p>
    <w:p w14:paraId="2F41A280" w14:textId="6F97DB6D" w:rsidR="004E2B6A" w:rsidRDefault="004E2B6A">
      <w:pPr>
        <w:pStyle w:val="TOC2"/>
        <w:tabs>
          <w:tab w:val="right" w:leader="dot" w:pos="9350"/>
        </w:tabs>
        <w:rPr>
          <w:rFonts w:asciiTheme="minorHAnsi" w:eastAsiaTheme="minorEastAsia" w:hAnsiTheme="minorHAnsi" w:cstheme="minorBidi"/>
          <w:smallCaps w:val="0"/>
          <w:noProof/>
          <w:kern w:val="2"/>
          <w:sz w:val="24"/>
          <w:szCs w:val="24"/>
          <w14:ligatures w14:val="standardContextual"/>
        </w:rPr>
      </w:pPr>
      <w:hyperlink w:anchor="_Toc203765900" w:history="1">
        <w:r w:rsidRPr="009A1507">
          <w:rPr>
            <w:rStyle w:val="Hyperlink"/>
            <w:noProof/>
          </w:rPr>
          <w:t>Return Issued Units To Blood Bank</w:t>
        </w:r>
        <w:r>
          <w:rPr>
            <w:noProof/>
            <w:webHidden/>
          </w:rPr>
          <w:tab/>
        </w:r>
        <w:r>
          <w:rPr>
            <w:noProof/>
            <w:webHidden/>
          </w:rPr>
          <w:fldChar w:fldCharType="begin"/>
        </w:r>
        <w:r>
          <w:rPr>
            <w:noProof/>
            <w:webHidden/>
          </w:rPr>
          <w:instrText xml:space="preserve"> PAGEREF _Toc203765900 \h </w:instrText>
        </w:r>
        <w:r>
          <w:rPr>
            <w:noProof/>
            <w:webHidden/>
          </w:rPr>
        </w:r>
        <w:r>
          <w:rPr>
            <w:noProof/>
            <w:webHidden/>
          </w:rPr>
          <w:fldChar w:fldCharType="separate"/>
        </w:r>
        <w:r w:rsidR="007D1829">
          <w:rPr>
            <w:noProof/>
            <w:webHidden/>
          </w:rPr>
          <w:t>209</w:t>
        </w:r>
        <w:r>
          <w:rPr>
            <w:noProof/>
            <w:webHidden/>
          </w:rPr>
          <w:fldChar w:fldCharType="end"/>
        </w:r>
      </w:hyperlink>
    </w:p>
    <w:p w14:paraId="0403D5C1" w14:textId="6E1F2C71" w:rsidR="004E2B6A" w:rsidRDefault="004E2B6A">
      <w:pPr>
        <w:pStyle w:val="TOC2"/>
        <w:tabs>
          <w:tab w:val="right" w:leader="dot" w:pos="9350"/>
        </w:tabs>
        <w:rPr>
          <w:rFonts w:asciiTheme="minorHAnsi" w:eastAsiaTheme="minorEastAsia" w:hAnsiTheme="minorHAnsi" w:cstheme="minorBidi"/>
          <w:smallCaps w:val="0"/>
          <w:noProof/>
          <w:kern w:val="2"/>
          <w:sz w:val="24"/>
          <w:szCs w:val="24"/>
          <w14:ligatures w14:val="standardContextual"/>
        </w:rPr>
      </w:pPr>
      <w:hyperlink w:anchor="_Toc203765901" w:history="1">
        <w:r w:rsidRPr="009A1507">
          <w:rPr>
            <w:rStyle w:val="Hyperlink"/>
            <w:noProof/>
          </w:rPr>
          <w:t>Release Units From Patient Assignment</w:t>
        </w:r>
        <w:r>
          <w:rPr>
            <w:noProof/>
            <w:webHidden/>
          </w:rPr>
          <w:tab/>
        </w:r>
        <w:r>
          <w:rPr>
            <w:noProof/>
            <w:webHidden/>
          </w:rPr>
          <w:fldChar w:fldCharType="begin"/>
        </w:r>
        <w:r>
          <w:rPr>
            <w:noProof/>
            <w:webHidden/>
          </w:rPr>
          <w:instrText xml:space="preserve"> PAGEREF _Toc203765901 \h </w:instrText>
        </w:r>
        <w:r>
          <w:rPr>
            <w:noProof/>
            <w:webHidden/>
          </w:rPr>
        </w:r>
        <w:r>
          <w:rPr>
            <w:noProof/>
            <w:webHidden/>
          </w:rPr>
          <w:fldChar w:fldCharType="separate"/>
        </w:r>
        <w:r w:rsidR="007D1829">
          <w:rPr>
            <w:noProof/>
            <w:webHidden/>
          </w:rPr>
          <w:t>213</w:t>
        </w:r>
        <w:r>
          <w:rPr>
            <w:noProof/>
            <w:webHidden/>
          </w:rPr>
          <w:fldChar w:fldCharType="end"/>
        </w:r>
      </w:hyperlink>
    </w:p>
    <w:p w14:paraId="222C0B02" w14:textId="3451CF31" w:rsidR="004E2B6A" w:rsidRDefault="004E2B6A">
      <w:pPr>
        <w:pStyle w:val="TOC2"/>
        <w:tabs>
          <w:tab w:val="right" w:leader="dot" w:pos="9350"/>
        </w:tabs>
        <w:rPr>
          <w:rFonts w:asciiTheme="minorHAnsi" w:eastAsiaTheme="minorEastAsia" w:hAnsiTheme="minorHAnsi" w:cstheme="minorBidi"/>
          <w:smallCaps w:val="0"/>
          <w:noProof/>
          <w:kern w:val="2"/>
          <w:sz w:val="24"/>
          <w:szCs w:val="24"/>
          <w14:ligatures w14:val="standardContextual"/>
        </w:rPr>
      </w:pPr>
      <w:hyperlink w:anchor="_Toc203765902" w:history="1">
        <w:r w:rsidRPr="009A1507">
          <w:rPr>
            <w:rStyle w:val="Hyperlink"/>
            <w:noProof/>
          </w:rPr>
          <w:t>Print Unit Caution Tag &amp; Transfusion Record Form</w:t>
        </w:r>
        <w:r>
          <w:rPr>
            <w:noProof/>
            <w:webHidden/>
          </w:rPr>
          <w:tab/>
        </w:r>
        <w:r>
          <w:rPr>
            <w:noProof/>
            <w:webHidden/>
          </w:rPr>
          <w:fldChar w:fldCharType="begin"/>
        </w:r>
        <w:r>
          <w:rPr>
            <w:noProof/>
            <w:webHidden/>
          </w:rPr>
          <w:instrText xml:space="preserve"> PAGEREF _Toc203765902 \h </w:instrText>
        </w:r>
        <w:r>
          <w:rPr>
            <w:noProof/>
            <w:webHidden/>
          </w:rPr>
        </w:r>
        <w:r>
          <w:rPr>
            <w:noProof/>
            <w:webHidden/>
          </w:rPr>
          <w:fldChar w:fldCharType="separate"/>
        </w:r>
        <w:r w:rsidR="007D1829">
          <w:rPr>
            <w:noProof/>
            <w:webHidden/>
          </w:rPr>
          <w:t>216</w:t>
        </w:r>
        <w:r>
          <w:rPr>
            <w:noProof/>
            <w:webHidden/>
          </w:rPr>
          <w:fldChar w:fldCharType="end"/>
        </w:r>
      </w:hyperlink>
    </w:p>
    <w:p w14:paraId="0EAF008E" w14:textId="5A516A73" w:rsidR="004E2B6A" w:rsidRDefault="004E2B6A">
      <w:pPr>
        <w:pStyle w:val="TOC2"/>
        <w:tabs>
          <w:tab w:val="right" w:leader="dot" w:pos="9350"/>
        </w:tabs>
        <w:rPr>
          <w:rFonts w:asciiTheme="minorHAnsi" w:eastAsiaTheme="minorEastAsia" w:hAnsiTheme="minorHAnsi" w:cstheme="minorBidi"/>
          <w:smallCaps w:val="0"/>
          <w:noProof/>
          <w:kern w:val="2"/>
          <w:sz w:val="24"/>
          <w:szCs w:val="24"/>
          <w14:ligatures w14:val="standardContextual"/>
        </w:rPr>
      </w:pPr>
      <w:hyperlink w:anchor="_Toc203765903" w:history="1">
        <w:r w:rsidRPr="009A1507">
          <w:rPr>
            <w:rStyle w:val="Hyperlink"/>
            <w:noProof/>
          </w:rPr>
          <w:t>Invalidate Test Results</w:t>
        </w:r>
        <w:r>
          <w:rPr>
            <w:noProof/>
            <w:webHidden/>
          </w:rPr>
          <w:tab/>
        </w:r>
        <w:r>
          <w:rPr>
            <w:noProof/>
            <w:webHidden/>
          </w:rPr>
          <w:fldChar w:fldCharType="begin"/>
        </w:r>
        <w:r>
          <w:rPr>
            <w:noProof/>
            <w:webHidden/>
          </w:rPr>
          <w:instrText xml:space="preserve"> PAGEREF _Toc203765903 \h </w:instrText>
        </w:r>
        <w:r>
          <w:rPr>
            <w:noProof/>
            <w:webHidden/>
          </w:rPr>
        </w:r>
        <w:r>
          <w:rPr>
            <w:noProof/>
            <w:webHidden/>
          </w:rPr>
          <w:fldChar w:fldCharType="separate"/>
        </w:r>
        <w:r w:rsidR="007D1829">
          <w:rPr>
            <w:noProof/>
            <w:webHidden/>
          </w:rPr>
          <w:t>226</w:t>
        </w:r>
        <w:r>
          <w:rPr>
            <w:noProof/>
            <w:webHidden/>
          </w:rPr>
          <w:fldChar w:fldCharType="end"/>
        </w:r>
      </w:hyperlink>
    </w:p>
    <w:p w14:paraId="6AB4FD3B" w14:textId="08F3A7D7" w:rsidR="004E2B6A" w:rsidRDefault="004E2B6A">
      <w:pPr>
        <w:pStyle w:val="TOC2"/>
        <w:tabs>
          <w:tab w:val="right" w:leader="dot" w:pos="9350"/>
        </w:tabs>
        <w:rPr>
          <w:rFonts w:asciiTheme="minorHAnsi" w:eastAsiaTheme="minorEastAsia" w:hAnsiTheme="minorHAnsi" w:cstheme="minorBidi"/>
          <w:smallCaps w:val="0"/>
          <w:noProof/>
          <w:kern w:val="2"/>
          <w:sz w:val="24"/>
          <w:szCs w:val="24"/>
          <w14:ligatures w14:val="standardContextual"/>
        </w:rPr>
      </w:pPr>
      <w:hyperlink w:anchor="_Toc203765904" w:history="1">
        <w:r w:rsidRPr="009A1507">
          <w:rPr>
            <w:rStyle w:val="Hyperlink"/>
            <w:noProof/>
          </w:rPr>
          <w:t>Remove Final Status</w:t>
        </w:r>
        <w:r>
          <w:rPr>
            <w:noProof/>
            <w:webHidden/>
          </w:rPr>
          <w:tab/>
        </w:r>
        <w:r>
          <w:rPr>
            <w:noProof/>
            <w:webHidden/>
          </w:rPr>
          <w:fldChar w:fldCharType="begin"/>
        </w:r>
        <w:r>
          <w:rPr>
            <w:noProof/>
            <w:webHidden/>
          </w:rPr>
          <w:instrText xml:space="preserve"> PAGEREF _Toc203765904 \h </w:instrText>
        </w:r>
        <w:r>
          <w:rPr>
            <w:noProof/>
            <w:webHidden/>
          </w:rPr>
        </w:r>
        <w:r>
          <w:rPr>
            <w:noProof/>
            <w:webHidden/>
          </w:rPr>
          <w:fldChar w:fldCharType="separate"/>
        </w:r>
        <w:r w:rsidR="007D1829">
          <w:rPr>
            <w:noProof/>
            <w:webHidden/>
          </w:rPr>
          <w:t>230</w:t>
        </w:r>
        <w:r>
          <w:rPr>
            <w:noProof/>
            <w:webHidden/>
          </w:rPr>
          <w:fldChar w:fldCharType="end"/>
        </w:r>
      </w:hyperlink>
    </w:p>
    <w:p w14:paraId="3C63C2BC" w14:textId="2706D9C8" w:rsidR="004E2B6A" w:rsidRDefault="004E2B6A">
      <w:pPr>
        <w:pStyle w:val="TOC1"/>
        <w:tabs>
          <w:tab w:val="right" w:leader="dot" w:pos="9350"/>
        </w:tabs>
        <w:rPr>
          <w:rFonts w:asciiTheme="minorHAnsi" w:eastAsiaTheme="minorEastAsia" w:hAnsiTheme="minorHAnsi" w:cstheme="minorBidi"/>
          <w:b w:val="0"/>
          <w:caps w:val="0"/>
          <w:noProof/>
          <w:kern w:val="2"/>
          <w:sz w:val="24"/>
          <w:szCs w:val="24"/>
          <w14:ligatures w14:val="standardContextual"/>
        </w:rPr>
      </w:pPr>
      <w:hyperlink w:anchor="_Toc203765905" w:history="1">
        <w:r w:rsidRPr="009A1507">
          <w:rPr>
            <w:rStyle w:val="Hyperlink"/>
            <w:noProof/>
          </w:rPr>
          <w:t>Processing Orders</w:t>
        </w:r>
        <w:r>
          <w:rPr>
            <w:noProof/>
            <w:webHidden/>
          </w:rPr>
          <w:tab/>
        </w:r>
        <w:r>
          <w:rPr>
            <w:noProof/>
            <w:webHidden/>
          </w:rPr>
          <w:fldChar w:fldCharType="begin"/>
        </w:r>
        <w:r>
          <w:rPr>
            <w:noProof/>
            <w:webHidden/>
          </w:rPr>
          <w:instrText xml:space="preserve"> PAGEREF _Toc203765905 \h </w:instrText>
        </w:r>
        <w:r>
          <w:rPr>
            <w:noProof/>
            <w:webHidden/>
          </w:rPr>
        </w:r>
        <w:r>
          <w:rPr>
            <w:noProof/>
            <w:webHidden/>
          </w:rPr>
          <w:fldChar w:fldCharType="separate"/>
        </w:r>
        <w:r w:rsidR="007D1829">
          <w:rPr>
            <w:noProof/>
            <w:webHidden/>
          </w:rPr>
          <w:t>233</w:t>
        </w:r>
        <w:r>
          <w:rPr>
            <w:noProof/>
            <w:webHidden/>
          </w:rPr>
          <w:fldChar w:fldCharType="end"/>
        </w:r>
      </w:hyperlink>
    </w:p>
    <w:p w14:paraId="5A327B44" w14:textId="6918B24D" w:rsidR="004E2B6A" w:rsidRDefault="004E2B6A">
      <w:pPr>
        <w:pStyle w:val="TOC2"/>
        <w:tabs>
          <w:tab w:val="right" w:leader="dot" w:pos="9350"/>
        </w:tabs>
        <w:rPr>
          <w:rFonts w:asciiTheme="minorHAnsi" w:eastAsiaTheme="minorEastAsia" w:hAnsiTheme="minorHAnsi" w:cstheme="minorBidi"/>
          <w:smallCaps w:val="0"/>
          <w:noProof/>
          <w:kern w:val="2"/>
          <w:sz w:val="24"/>
          <w:szCs w:val="24"/>
          <w14:ligatures w14:val="standardContextual"/>
        </w:rPr>
      </w:pPr>
      <w:hyperlink w:anchor="_Toc203765906" w:history="1">
        <w:r w:rsidRPr="009A1507">
          <w:rPr>
            <w:rStyle w:val="Hyperlink"/>
            <w:noProof/>
          </w:rPr>
          <w:t>Accept Orders: Accept an Order</w:t>
        </w:r>
        <w:r>
          <w:rPr>
            <w:noProof/>
            <w:webHidden/>
          </w:rPr>
          <w:tab/>
        </w:r>
        <w:r>
          <w:rPr>
            <w:noProof/>
            <w:webHidden/>
          </w:rPr>
          <w:fldChar w:fldCharType="begin"/>
        </w:r>
        <w:r>
          <w:rPr>
            <w:noProof/>
            <w:webHidden/>
          </w:rPr>
          <w:instrText xml:space="preserve"> PAGEREF _Toc203765906 \h </w:instrText>
        </w:r>
        <w:r>
          <w:rPr>
            <w:noProof/>
            <w:webHidden/>
          </w:rPr>
        </w:r>
        <w:r>
          <w:rPr>
            <w:noProof/>
            <w:webHidden/>
          </w:rPr>
          <w:fldChar w:fldCharType="separate"/>
        </w:r>
        <w:r w:rsidR="007D1829">
          <w:rPr>
            <w:noProof/>
            <w:webHidden/>
          </w:rPr>
          <w:t>233</w:t>
        </w:r>
        <w:r>
          <w:rPr>
            <w:noProof/>
            <w:webHidden/>
          </w:rPr>
          <w:fldChar w:fldCharType="end"/>
        </w:r>
      </w:hyperlink>
    </w:p>
    <w:p w14:paraId="5DAFB8CB" w14:textId="22CC309A" w:rsidR="004E2B6A" w:rsidRDefault="004E2B6A">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3765907" w:history="1">
        <w:r w:rsidRPr="009A1507">
          <w:rPr>
            <w:rStyle w:val="Hyperlink"/>
            <w:noProof/>
          </w:rPr>
          <w:t>Accept Orders: Pending Order List</w:t>
        </w:r>
        <w:r>
          <w:rPr>
            <w:noProof/>
            <w:webHidden/>
          </w:rPr>
          <w:tab/>
        </w:r>
        <w:r>
          <w:rPr>
            <w:noProof/>
            <w:webHidden/>
          </w:rPr>
          <w:fldChar w:fldCharType="begin"/>
        </w:r>
        <w:r>
          <w:rPr>
            <w:noProof/>
            <w:webHidden/>
          </w:rPr>
          <w:instrText xml:space="preserve"> PAGEREF _Toc203765907 \h </w:instrText>
        </w:r>
        <w:r>
          <w:rPr>
            <w:noProof/>
            <w:webHidden/>
          </w:rPr>
        </w:r>
        <w:r>
          <w:rPr>
            <w:noProof/>
            <w:webHidden/>
          </w:rPr>
          <w:fldChar w:fldCharType="separate"/>
        </w:r>
        <w:r w:rsidR="007D1829">
          <w:rPr>
            <w:noProof/>
            <w:webHidden/>
          </w:rPr>
          <w:t>239</w:t>
        </w:r>
        <w:r>
          <w:rPr>
            <w:noProof/>
            <w:webHidden/>
          </w:rPr>
          <w:fldChar w:fldCharType="end"/>
        </w:r>
      </w:hyperlink>
    </w:p>
    <w:p w14:paraId="39511C76" w14:textId="2C9B0B8A" w:rsidR="004E2B6A" w:rsidRDefault="004E2B6A">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3765908" w:history="1">
        <w:r w:rsidRPr="009A1507">
          <w:rPr>
            <w:rStyle w:val="Hyperlink"/>
            <w:noProof/>
          </w:rPr>
          <w:drawing>
            <wp:inline distT="0" distB="0" distL="0" distR="0" wp14:anchorId="472A264A" wp14:editId="370BC6D1">
              <wp:extent cx="156845" cy="156845"/>
              <wp:effectExtent l="0" t="0" r="0" b="0"/>
              <wp:docPr id="406123986" name="Picture 406123986" descr="Order Alert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Picture 213" descr="Order Alert icon"/>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Pr="009A1507">
          <w:rPr>
            <w:rStyle w:val="Hyperlink"/>
            <w:noProof/>
          </w:rPr>
          <w:t xml:space="preserve"> Display Order Alerts</w:t>
        </w:r>
        <w:r>
          <w:rPr>
            <w:noProof/>
            <w:webHidden/>
          </w:rPr>
          <w:tab/>
        </w:r>
        <w:r>
          <w:rPr>
            <w:noProof/>
            <w:webHidden/>
          </w:rPr>
          <w:fldChar w:fldCharType="begin"/>
        </w:r>
        <w:r>
          <w:rPr>
            <w:noProof/>
            <w:webHidden/>
          </w:rPr>
          <w:instrText xml:space="preserve"> PAGEREF _Toc203765908 \h </w:instrText>
        </w:r>
        <w:r>
          <w:rPr>
            <w:noProof/>
            <w:webHidden/>
          </w:rPr>
        </w:r>
        <w:r>
          <w:rPr>
            <w:noProof/>
            <w:webHidden/>
          </w:rPr>
          <w:fldChar w:fldCharType="separate"/>
        </w:r>
        <w:r w:rsidR="007D1829">
          <w:rPr>
            <w:noProof/>
            <w:webHidden/>
          </w:rPr>
          <w:t>241</w:t>
        </w:r>
        <w:r>
          <w:rPr>
            <w:noProof/>
            <w:webHidden/>
          </w:rPr>
          <w:fldChar w:fldCharType="end"/>
        </w:r>
      </w:hyperlink>
    </w:p>
    <w:p w14:paraId="77BDB71A" w14:textId="2130DC8C" w:rsidR="004E2B6A" w:rsidRDefault="004E2B6A">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3765909" w:history="1">
        <w:r w:rsidRPr="009A1507">
          <w:rPr>
            <w:rStyle w:val="Hyperlink"/>
            <w:noProof/>
          </w:rPr>
          <w:t>CPRS Order Status Alert</w:t>
        </w:r>
        <w:r>
          <w:rPr>
            <w:noProof/>
            <w:webHidden/>
          </w:rPr>
          <w:tab/>
        </w:r>
        <w:r>
          <w:rPr>
            <w:noProof/>
            <w:webHidden/>
          </w:rPr>
          <w:fldChar w:fldCharType="begin"/>
        </w:r>
        <w:r>
          <w:rPr>
            <w:noProof/>
            <w:webHidden/>
          </w:rPr>
          <w:instrText xml:space="preserve"> PAGEREF _Toc203765909 \h </w:instrText>
        </w:r>
        <w:r>
          <w:rPr>
            <w:noProof/>
            <w:webHidden/>
          </w:rPr>
        </w:r>
        <w:r>
          <w:rPr>
            <w:noProof/>
            <w:webHidden/>
          </w:rPr>
          <w:fldChar w:fldCharType="separate"/>
        </w:r>
        <w:r w:rsidR="007D1829">
          <w:rPr>
            <w:noProof/>
            <w:webHidden/>
          </w:rPr>
          <w:t>243</w:t>
        </w:r>
        <w:r>
          <w:rPr>
            <w:noProof/>
            <w:webHidden/>
          </w:rPr>
          <w:fldChar w:fldCharType="end"/>
        </w:r>
      </w:hyperlink>
    </w:p>
    <w:p w14:paraId="4426514A" w14:textId="3DAD5300" w:rsidR="004E2B6A" w:rsidRDefault="004E2B6A">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3765910" w:history="1">
        <w:r w:rsidRPr="009A1507">
          <w:rPr>
            <w:rStyle w:val="Hyperlink"/>
            <w:noProof/>
          </w:rPr>
          <w:drawing>
            <wp:inline distT="0" distB="0" distL="0" distR="0" wp14:anchorId="59D702E9" wp14:editId="28978D52">
              <wp:extent cx="166370" cy="156845"/>
              <wp:effectExtent l="0" t="0" r="5080" b="0"/>
              <wp:docPr id="1908569345" name="Picture 1908569345" descr="Patient Alert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Picture 216" descr="Patient Alert icon"/>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66370" cy="156845"/>
                      </a:xfrm>
                      <a:prstGeom prst="rect">
                        <a:avLst/>
                      </a:prstGeom>
                      <a:noFill/>
                      <a:ln>
                        <a:noFill/>
                      </a:ln>
                    </pic:spPr>
                  </pic:pic>
                </a:graphicData>
              </a:graphic>
            </wp:inline>
          </w:drawing>
        </w:r>
        <w:r w:rsidRPr="009A1507">
          <w:rPr>
            <w:rStyle w:val="Hyperlink"/>
            <w:noProof/>
          </w:rPr>
          <w:t xml:space="preserve"> Display Patient Update Alerts</w:t>
        </w:r>
        <w:r>
          <w:rPr>
            <w:noProof/>
            <w:webHidden/>
          </w:rPr>
          <w:tab/>
        </w:r>
        <w:r>
          <w:rPr>
            <w:noProof/>
            <w:webHidden/>
          </w:rPr>
          <w:fldChar w:fldCharType="begin"/>
        </w:r>
        <w:r>
          <w:rPr>
            <w:noProof/>
            <w:webHidden/>
          </w:rPr>
          <w:instrText xml:space="preserve"> PAGEREF _Toc203765910 \h </w:instrText>
        </w:r>
        <w:r>
          <w:rPr>
            <w:noProof/>
            <w:webHidden/>
          </w:rPr>
        </w:r>
        <w:r>
          <w:rPr>
            <w:noProof/>
            <w:webHidden/>
          </w:rPr>
          <w:fldChar w:fldCharType="separate"/>
        </w:r>
        <w:r w:rsidR="007D1829">
          <w:rPr>
            <w:noProof/>
            <w:webHidden/>
          </w:rPr>
          <w:t>244</w:t>
        </w:r>
        <w:r>
          <w:rPr>
            <w:noProof/>
            <w:webHidden/>
          </w:rPr>
          <w:fldChar w:fldCharType="end"/>
        </w:r>
      </w:hyperlink>
    </w:p>
    <w:p w14:paraId="0D094CA4" w14:textId="243AAE82" w:rsidR="004E2B6A" w:rsidRDefault="004E2B6A">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3765911" w:history="1">
        <w:r w:rsidRPr="009A1507">
          <w:rPr>
            <w:rStyle w:val="Hyperlink"/>
            <w:noProof/>
          </w:rPr>
          <w:drawing>
            <wp:inline distT="0" distB="0" distL="0" distR="0" wp14:anchorId="5915531C" wp14:editId="22224E96">
              <wp:extent cx="166370" cy="156845"/>
              <wp:effectExtent l="0" t="0" r="5080" b="0"/>
              <wp:docPr id="261876372" name="Picture 261876372" descr="Patient Alert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Picture 219" descr="Patient Alert icon"/>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66370" cy="156845"/>
                      </a:xfrm>
                      <a:prstGeom prst="rect">
                        <a:avLst/>
                      </a:prstGeom>
                      <a:noFill/>
                      <a:ln>
                        <a:noFill/>
                      </a:ln>
                    </pic:spPr>
                  </pic:pic>
                </a:graphicData>
              </a:graphic>
            </wp:inline>
          </w:drawing>
        </w:r>
        <w:r w:rsidRPr="009A1507">
          <w:rPr>
            <w:rStyle w:val="Hyperlink"/>
            <w:noProof/>
          </w:rPr>
          <w:t xml:space="preserve"> Display Patient Merge Alerts</w:t>
        </w:r>
        <w:r>
          <w:rPr>
            <w:noProof/>
            <w:webHidden/>
          </w:rPr>
          <w:tab/>
        </w:r>
        <w:r>
          <w:rPr>
            <w:noProof/>
            <w:webHidden/>
          </w:rPr>
          <w:fldChar w:fldCharType="begin"/>
        </w:r>
        <w:r>
          <w:rPr>
            <w:noProof/>
            <w:webHidden/>
          </w:rPr>
          <w:instrText xml:space="preserve"> PAGEREF _Toc203765911 \h </w:instrText>
        </w:r>
        <w:r>
          <w:rPr>
            <w:noProof/>
            <w:webHidden/>
          </w:rPr>
        </w:r>
        <w:r>
          <w:rPr>
            <w:noProof/>
            <w:webHidden/>
          </w:rPr>
          <w:fldChar w:fldCharType="separate"/>
        </w:r>
        <w:r w:rsidR="007D1829">
          <w:rPr>
            <w:noProof/>
            <w:webHidden/>
          </w:rPr>
          <w:t>245</w:t>
        </w:r>
        <w:r>
          <w:rPr>
            <w:noProof/>
            <w:webHidden/>
          </w:rPr>
          <w:fldChar w:fldCharType="end"/>
        </w:r>
      </w:hyperlink>
    </w:p>
    <w:p w14:paraId="38CDF15E" w14:textId="560F3E36" w:rsidR="004E2B6A" w:rsidRDefault="004E2B6A">
      <w:pPr>
        <w:pStyle w:val="TOC2"/>
        <w:tabs>
          <w:tab w:val="right" w:leader="dot" w:pos="9350"/>
        </w:tabs>
        <w:rPr>
          <w:rFonts w:asciiTheme="minorHAnsi" w:eastAsiaTheme="minorEastAsia" w:hAnsiTheme="minorHAnsi" w:cstheme="minorBidi"/>
          <w:smallCaps w:val="0"/>
          <w:noProof/>
          <w:kern w:val="2"/>
          <w:sz w:val="24"/>
          <w:szCs w:val="24"/>
          <w14:ligatures w14:val="standardContextual"/>
        </w:rPr>
      </w:pPr>
      <w:hyperlink w:anchor="_Toc203765912" w:history="1">
        <w:r w:rsidRPr="009A1507">
          <w:rPr>
            <w:rStyle w:val="Hyperlink"/>
            <w:noProof/>
          </w:rPr>
          <w:t>Emergency Transfusion Order Processing</w:t>
        </w:r>
        <w:r>
          <w:rPr>
            <w:noProof/>
            <w:webHidden/>
          </w:rPr>
          <w:tab/>
        </w:r>
        <w:r>
          <w:rPr>
            <w:noProof/>
            <w:webHidden/>
          </w:rPr>
          <w:fldChar w:fldCharType="begin"/>
        </w:r>
        <w:r>
          <w:rPr>
            <w:noProof/>
            <w:webHidden/>
          </w:rPr>
          <w:instrText xml:space="preserve"> PAGEREF _Toc203765912 \h </w:instrText>
        </w:r>
        <w:r>
          <w:rPr>
            <w:noProof/>
            <w:webHidden/>
          </w:rPr>
        </w:r>
        <w:r>
          <w:rPr>
            <w:noProof/>
            <w:webHidden/>
          </w:rPr>
          <w:fldChar w:fldCharType="separate"/>
        </w:r>
        <w:r w:rsidR="007D1829">
          <w:rPr>
            <w:noProof/>
            <w:webHidden/>
          </w:rPr>
          <w:t>246</w:t>
        </w:r>
        <w:r>
          <w:rPr>
            <w:noProof/>
            <w:webHidden/>
          </w:rPr>
          <w:fldChar w:fldCharType="end"/>
        </w:r>
      </w:hyperlink>
    </w:p>
    <w:p w14:paraId="4FB1690E" w14:textId="2648669F" w:rsidR="004E2B6A" w:rsidRDefault="004E2B6A">
      <w:pPr>
        <w:pStyle w:val="TOC2"/>
        <w:tabs>
          <w:tab w:val="right" w:leader="dot" w:pos="9350"/>
        </w:tabs>
        <w:rPr>
          <w:rFonts w:asciiTheme="minorHAnsi" w:eastAsiaTheme="minorEastAsia" w:hAnsiTheme="minorHAnsi" w:cstheme="minorBidi"/>
          <w:smallCaps w:val="0"/>
          <w:noProof/>
          <w:kern w:val="2"/>
          <w:sz w:val="24"/>
          <w:szCs w:val="24"/>
          <w14:ligatures w14:val="standardContextual"/>
        </w:rPr>
      </w:pPr>
      <w:hyperlink w:anchor="_Toc203765913" w:history="1">
        <w:r w:rsidRPr="009A1507">
          <w:rPr>
            <w:rStyle w:val="Hyperlink"/>
            <w:noProof/>
          </w:rPr>
          <w:t>Maintain Specimen</w:t>
        </w:r>
        <w:r>
          <w:rPr>
            <w:noProof/>
            <w:webHidden/>
          </w:rPr>
          <w:tab/>
        </w:r>
        <w:r>
          <w:rPr>
            <w:noProof/>
            <w:webHidden/>
          </w:rPr>
          <w:fldChar w:fldCharType="begin"/>
        </w:r>
        <w:r>
          <w:rPr>
            <w:noProof/>
            <w:webHidden/>
          </w:rPr>
          <w:instrText xml:space="preserve"> PAGEREF _Toc203765913 \h </w:instrText>
        </w:r>
        <w:r>
          <w:rPr>
            <w:noProof/>
            <w:webHidden/>
          </w:rPr>
        </w:r>
        <w:r>
          <w:rPr>
            <w:noProof/>
            <w:webHidden/>
          </w:rPr>
          <w:fldChar w:fldCharType="separate"/>
        </w:r>
        <w:r w:rsidR="007D1829">
          <w:rPr>
            <w:noProof/>
            <w:webHidden/>
          </w:rPr>
          <w:t>249</w:t>
        </w:r>
        <w:r>
          <w:rPr>
            <w:noProof/>
            <w:webHidden/>
          </w:rPr>
          <w:fldChar w:fldCharType="end"/>
        </w:r>
      </w:hyperlink>
    </w:p>
    <w:p w14:paraId="641829FB" w14:textId="015CC1E3" w:rsidR="004E2B6A" w:rsidRDefault="004E2B6A">
      <w:pPr>
        <w:pStyle w:val="TOC2"/>
        <w:tabs>
          <w:tab w:val="right" w:leader="dot" w:pos="9350"/>
        </w:tabs>
        <w:rPr>
          <w:rFonts w:asciiTheme="minorHAnsi" w:eastAsiaTheme="minorEastAsia" w:hAnsiTheme="minorHAnsi" w:cstheme="minorBidi"/>
          <w:smallCaps w:val="0"/>
          <w:noProof/>
          <w:kern w:val="2"/>
          <w:sz w:val="24"/>
          <w:szCs w:val="24"/>
          <w14:ligatures w14:val="standardContextual"/>
        </w:rPr>
      </w:pPr>
      <w:hyperlink w:anchor="_Toc203765914" w:history="1">
        <w:r w:rsidRPr="009A1507">
          <w:rPr>
            <w:rStyle w:val="Hyperlink"/>
            <w:noProof/>
          </w:rPr>
          <w:t>Patient Testing: Cancel an Active Order</w:t>
        </w:r>
        <w:r>
          <w:rPr>
            <w:noProof/>
            <w:webHidden/>
          </w:rPr>
          <w:tab/>
        </w:r>
        <w:r>
          <w:rPr>
            <w:noProof/>
            <w:webHidden/>
          </w:rPr>
          <w:fldChar w:fldCharType="begin"/>
        </w:r>
        <w:r>
          <w:rPr>
            <w:noProof/>
            <w:webHidden/>
          </w:rPr>
          <w:instrText xml:space="preserve"> PAGEREF _Toc203765914 \h </w:instrText>
        </w:r>
        <w:r>
          <w:rPr>
            <w:noProof/>
            <w:webHidden/>
          </w:rPr>
        </w:r>
        <w:r>
          <w:rPr>
            <w:noProof/>
            <w:webHidden/>
          </w:rPr>
          <w:fldChar w:fldCharType="separate"/>
        </w:r>
        <w:r w:rsidR="007D1829">
          <w:rPr>
            <w:noProof/>
            <w:webHidden/>
          </w:rPr>
          <w:t>253</w:t>
        </w:r>
        <w:r>
          <w:rPr>
            <w:noProof/>
            <w:webHidden/>
          </w:rPr>
          <w:fldChar w:fldCharType="end"/>
        </w:r>
      </w:hyperlink>
    </w:p>
    <w:p w14:paraId="0E0F719B" w14:textId="73428EA3" w:rsidR="004E2B6A" w:rsidRDefault="004E2B6A">
      <w:pPr>
        <w:pStyle w:val="TOC2"/>
        <w:tabs>
          <w:tab w:val="right" w:leader="dot" w:pos="9350"/>
        </w:tabs>
        <w:rPr>
          <w:rFonts w:asciiTheme="minorHAnsi" w:eastAsiaTheme="minorEastAsia" w:hAnsiTheme="minorHAnsi" w:cstheme="minorBidi"/>
          <w:smallCaps w:val="0"/>
          <w:noProof/>
          <w:kern w:val="2"/>
          <w:sz w:val="24"/>
          <w:szCs w:val="24"/>
          <w14:ligatures w14:val="standardContextual"/>
        </w:rPr>
      </w:pPr>
      <w:hyperlink w:anchor="_Toc203765915" w:history="1">
        <w:r w:rsidRPr="009A1507">
          <w:rPr>
            <w:rStyle w:val="Hyperlink"/>
            <w:noProof/>
          </w:rPr>
          <w:t>Patient Testing: Pending Task List</w:t>
        </w:r>
        <w:r>
          <w:rPr>
            <w:noProof/>
            <w:webHidden/>
          </w:rPr>
          <w:tab/>
        </w:r>
        <w:r>
          <w:rPr>
            <w:noProof/>
            <w:webHidden/>
          </w:rPr>
          <w:fldChar w:fldCharType="begin"/>
        </w:r>
        <w:r>
          <w:rPr>
            <w:noProof/>
            <w:webHidden/>
          </w:rPr>
          <w:instrText xml:space="preserve"> PAGEREF _Toc203765915 \h </w:instrText>
        </w:r>
        <w:r>
          <w:rPr>
            <w:noProof/>
            <w:webHidden/>
          </w:rPr>
        </w:r>
        <w:r>
          <w:rPr>
            <w:noProof/>
            <w:webHidden/>
          </w:rPr>
          <w:fldChar w:fldCharType="separate"/>
        </w:r>
        <w:r w:rsidR="007D1829">
          <w:rPr>
            <w:noProof/>
            <w:webHidden/>
          </w:rPr>
          <w:t>255</w:t>
        </w:r>
        <w:r>
          <w:rPr>
            <w:noProof/>
            <w:webHidden/>
          </w:rPr>
          <w:fldChar w:fldCharType="end"/>
        </w:r>
      </w:hyperlink>
    </w:p>
    <w:p w14:paraId="0185FE9C" w14:textId="1A540DB0" w:rsidR="004E2B6A" w:rsidRDefault="004E2B6A">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3765916" w:history="1">
        <w:r w:rsidRPr="009A1507">
          <w:rPr>
            <w:rStyle w:val="Hyperlink"/>
            <w:noProof/>
          </w:rPr>
          <w:t>Accept Orders: Cancel a Pending Order</w:t>
        </w:r>
        <w:r>
          <w:rPr>
            <w:noProof/>
            <w:webHidden/>
          </w:rPr>
          <w:tab/>
        </w:r>
        <w:r>
          <w:rPr>
            <w:noProof/>
            <w:webHidden/>
          </w:rPr>
          <w:fldChar w:fldCharType="begin"/>
        </w:r>
        <w:r>
          <w:rPr>
            <w:noProof/>
            <w:webHidden/>
          </w:rPr>
          <w:instrText xml:space="preserve"> PAGEREF _Toc203765916 \h </w:instrText>
        </w:r>
        <w:r>
          <w:rPr>
            <w:noProof/>
            <w:webHidden/>
          </w:rPr>
        </w:r>
        <w:r>
          <w:rPr>
            <w:noProof/>
            <w:webHidden/>
          </w:rPr>
          <w:fldChar w:fldCharType="separate"/>
        </w:r>
        <w:r w:rsidR="007D1829">
          <w:rPr>
            <w:noProof/>
            <w:webHidden/>
          </w:rPr>
          <w:t>258</w:t>
        </w:r>
        <w:r>
          <w:rPr>
            <w:noProof/>
            <w:webHidden/>
          </w:rPr>
          <w:fldChar w:fldCharType="end"/>
        </w:r>
      </w:hyperlink>
    </w:p>
    <w:p w14:paraId="0C855C19" w14:textId="31D76EC2" w:rsidR="004E2B6A" w:rsidRDefault="004E2B6A">
      <w:pPr>
        <w:pStyle w:val="TOC2"/>
        <w:tabs>
          <w:tab w:val="right" w:leader="dot" w:pos="9350"/>
        </w:tabs>
        <w:rPr>
          <w:rFonts w:asciiTheme="minorHAnsi" w:eastAsiaTheme="minorEastAsia" w:hAnsiTheme="minorHAnsi" w:cstheme="minorBidi"/>
          <w:smallCaps w:val="0"/>
          <w:noProof/>
          <w:kern w:val="2"/>
          <w:sz w:val="24"/>
          <w:szCs w:val="24"/>
          <w14:ligatures w14:val="standardContextual"/>
        </w:rPr>
      </w:pPr>
      <w:hyperlink w:anchor="_Toc203765917" w:history="1">
        <w:r w:rsidRPr="009A1507">
          <w:rPr>
            <w:rStyle w:val="Hyperlink"/>
            <w:noProof/>
          </w:rPr>
          <w:t>Order Reflex Tests</w:t>
        </w:r>
        <w:r>
          <w:rPr>
            <w:noProof/>
            <w:webHidden/>
          </w:rPr>
          <w:tab/>
        </w:r>
        <w:r>
          <w:rPr>
            <w:noProof/>
            <w:webHidden/>
          </w:rPr>
          <w:fldChar w:fldCharType="begin"/>
        </w:r>
        <w:r>
          <w:rPr>
            <w:noProof/>
            <w:webHidden/>
          </w:rPr>
          <w:instrText xml:space="preserve"> PAGEREF _Toc203765917 \h </w:instrText>
        </w:r>
        <w:r>
          <w:rPr>
            <w:noProof/>
            <w:webHidden/>
          </w:rPr>
        </w:r>
        <w:r>
          <w:rPr>
            <w:noProof/>
            <w:webHidden/>
          </w:rPr>
          <w:fldChar w:fldCharType="separate"/>
        </w:r>
        <w:r w:rsidR="007D1829">
          <w:rPr>
            <w:noProof/>
            <w:webHidden/>
          </w:rPr>
          <w:t>260</w:t>
        </w:r>
        <w:r>
          <w:rPr>
            <w:noProof/>
            <w:webHidden/>
          </w:rPr>
          <w:fldChar w:fldCharType="end"/>
        </w:r>
      </w:hyperlink>
    </w:p>
    <w:p w14:paraId="732AF21D" w14:textId="719A7BE6" w:rsidR="004E2B6A" w:rsidRDefault="004E2B6A">
      <w:pPr>
        <w:pStyle w:val="TOC1"/>
        <w:tabs>
          <w:tab w:val="right" w:leader="dot" w:pos="9350"/>
        </w:tabs>
        <w:rPr>
          <w:rFonts w:asciiTheme="minorHAnsi" w:eastAsiaTheme="minorEastAsia" w:hAnsiTheme="minorHAnsi" w:cstheme="minorBidi"/>
          <w:b w:val="0"/>
          <w:caps w:val="0"/>
          <w:noProof/>
          <w:kern w:val="2"/>
          <w:sz w:val="24"/>
          <w:szCs w:val="24"/>
          <w14:ligatures w14:val="standardContextual"/>
        </w:rPr>
      </w:pPr>
      <w:hyperlink w:anchor="_Toc203765918" w:history="1">
        <w:r w:rsidRPr="009A1507">
          <w:rPr>
            <w:rStyle w:val="Hyperlink"/>
            <w:noProof/>
          </w:rPr>
          <w:t>Patient Services</w:t>
        </w:r>
        <w:r>
          <w:rPr>
            <w:noProof/>
            <w:webHidden/>
          </w:rPr>
          <w:tab/>
        </w:r>
        <w:r>
          <w:rPr>
            <w:noProof/>
            <w:webHidden/>
          </w:rPr>
          <w:fldChar w:fldCharType="begin"/>
        </w:r>
        <w:r>
          <w:rPr>
            <w:noProof/>
            <w:webHidden/>
          </w:rPr>
          <w:instrText xml:space="preserve"> PAGEREF _Toc203765918 \h </w:instrText>
        </w:r>
        <w:r>
          <w:rPr>
            <w:noProof/>
            <w:webHidden/>
          </w:rPr>
        </w:r>
        <w:r>
          <w:rPr>
            <w:noProof/>
            <w:webHidden/>
          </w:rPr>
          <w:fldChar w:fldCharType="separate"/>
        </w:r>
        <w:r w:rsidR="007D1829">
          <w:rPr>
            <w:noProof/>
            <w:webHidden/>
          </w:rPr>
          <w:t>263</w:t>
        </w:r>
        <w:r>
          <w:rPr>
            <w:noProof/>
            <w:webHidden/>
          </w:rPr>
          <w:fldChar w:fldCharType="end"/>
        </w:r>
      </w:hyperlink>
    </w:p>
    <w:p w14:paraId="51972F5E" w14:textId="0900EB43" w:rsidR="004E2B6A" w:rsidRDefault="004E2B6A">
      <w:pPr>
        <w:pStyle w:val="TOC2"/>
        <w:tabs>
          <w:tab w:val="right" w:leader="dot" w:pos="9350"/>
        </w:tabs>
        <w:rPr>
          <w:rFonts w:asciiTheme="minorHAnsi" w:eastAsiaTheme="minorEastAsia" w:hAnsiTheme="minorHAnsi" w:cstheme="minorBidi"/>
          <w:smallCaps w:val="0"/>
          <w:noProof/>
          <w:kern w:val="2"/>
          <w:sz w:val="24"/>
          <w:szCs w:val="24"/>
          <w14:ligatures w14:val="standardContextual"/>
        </w:rPr>
      </w:pPr>
      <w:hyperlink w:anchor="_Toc203765919" w:history="1">
        <w:r w:rsidRPr="009A1507">
          <w:rPr>
            <w:rStyle w:val="Hyperlink"/>
            <w:noProof/>
          </w:rPr>
          <w:t>Patient Search Screen</w:t>
        </w:r>
        <w:r>
          <w:rPr>
            <w:noProof/>
            <w:webHidden/>
          </w:rPr>
          <w:tab/>
        </w:r>
        <w:r>
          <w:rPr>
            <w:noProof/>
            <w:webHidden/>
          </w:rPr>
          <w:fldChar w:fldCharType="begin"/>
        </w:r>
        <w:r>
          <w:rPr>
            <w:noProof/>
            <w:webHidden/>
          </w:rPr>
          <w:instrText xml:space="preserve"> PAGEREF _Toc203765919 \h </w:instrText>
        </w:r>
        <w:r>
          <w:rPr>
            <w:noProof/>
            <w:webHidden/>
          </w:rPr>
        </w:r>
        <w:r>
          <w:rPr>
            <w:noProof/>
            <w:webHidden/>
          </w:rPr>
          <w:fldChar w:fldCharType="separate"/>
        </w:r>
        <w:r w:rsidR="007D1829">
          <w:rPr>
            <w:noProof/>
            <w:webHidden/>
          </w:rPr>
          <w:t>263</w:t>
        </w:r>
        <w:r>
          <w:rPr>
            <w:noProof/>
            <w:webHidden/>
          </w:rPr>
          <w:fldChar w:fldCharType="end"/>
        </w:r>
      </w:hyperlink>
    </w:p>
    <w:p w14:paraId="30010FE0" w14:textId="672FEA09" w:rsidR="004E2B6A" w:rsidRDefault="004E2B6A">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3765920" w:history="1">
        <w:r w:rsidRPr="009A1507">
          <w:rPr>
            <w:rStyle w:val="Hyperlink"/>
            <w:noProof/>
          </w:rPr>
          <w:t>Patient Merge</w:t>
        </w:r>
        <w:r>
          <w:rPr>
            <w:noProof/>
            <w:webHidden/>
          </w:rPr>
          <w:tab/>
        </w:r>
        <w:r>
          <w:rPr>
            <w:noProof/>
            <w:webHidden/>
          </w:rPr>
          <w:fldChar w:fldCharType="begin"/>
        </w:r>
        <w:r>
          <w:rPr>
            <w:noProof/>
            <w:webHidden/>
          </w:rPr>
          <w:instrText xml:space="preserve"> PAGEREF _Toc203765920 \h </w:instrText>
        </w:r>
        <w:r>
          <w:rPr>
            <w:noProof/>
            <w:webHidden/>
          </w:rPr>
        </w:r>
        <w:r>
          <w:rPr>
            <w:noProof/>
            <w:webHidden/>
          </w:rPr>
          <w:fldChar w:fldCharType="separate"/>
        </w:r>
        <w:r w:rsidR="007D1829">
          <w:rPr>
            <w:noProof/>
            <w:webHidden/>
          </w:rPr>
          <w:t>265</w:t>
        </w:r>
        <w:r>
          <w:rPr>
            <w:noProof/>
            <w:webHidden/>
          </w:rPr>
          <w:fldChar w:fldCharType="end"/>
        </w:r>
      </w:hyperlink>
    </w:p>
    <w:p w14:paraId="33CADF57" w14:textId="074BA368" w:rsidR="004E2B6A" w:rsidRDefault="004E2B6A">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3765921" w:history="1">
        <w:r w:rsidRPr="009A1507">
          <w:rPr>
            <w:rStyle w:val="Hyperlink"/>
            <w:noProof/>
          </w:rPr>
          <w:t>Updated Patients and Deceased Patients</w:t>
        </w:r>
        <w:r>
          <w:rPr>
            <w:noProof/>
            <w:webHidden/>
          </w:rPr>
          <w:tab/>
        </w:r>
        <w:r>
          <w:rPr>
            <w:noProof/>
            <w:webHidden/>
          </w:rPr>
          <w:fldChar w:fldCharType="begin"/>
        </w:r>
        <w:r>
          <w:rPr>
            <w:noProof/>
            <w:webHidden/>
          </w:rPr>
          <w:instrText xml:space="preserve"> PAGEREF _Toc203765921 \h </w:instrText>
        </w:r>
        <w:r>
          <w:rPr>
            <w:noProof/>
            <w:webHidden/>
          </w:rPr>
        </w:r>
        <w:r>
          <w:rPr>
            <w:noProof/>
            <w:webHidden/>
          </w:rPr>
          <w:fldChar w:fldCharType="separate"/>
        </w:r>
        <w:r w:rsidR="007D1829">
          <w:rPr>
            <w:noProof/>
            <w:webHidden/>
          </w:rPr>
          <w:t>270</w:t>
        </w:r>
        <w:r>
          <w:rPr>
            <w:noProof/>
            <w:webHidden/>
          </w:rPr>
          <w:fldChar w:fldCharType="end"/>
        </w:r>
      </w:hyperlink>
    </w:p>
    <w:p w14:paraId="08E6D3B7" w14:textId="588257E7" w:rsidR="004E2B6A" w:rsidRDefault="004E2B6A">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3765922" w:history="1">
        <w:r w:rsidRPr="009A1507">
          <w:rPr>
            <w:rStyle w:val="Hyperlink"/>
            <w:noProof/>
          </w:rPr>
          <w:t>Patient Testing: General Instructions</w:t>
        </w:r>
        <w:r>
          <w:rPr>
            <w:noProof/>
            <w:webHidden/>
          </w:rPr>
          <w:tab/>
        </w:r>
        <w:r>
          <w:rPr>
            <w:noProof/>
            <w:webHidden/>
          </w:rPr>
          <w:fldChar w:fldCharType="begin"/>
        </w:r>
        <w:r>
          <w:rPr>
            <w:noProof/>
            <w:webHidden/>
          </w:rPr>
          <w:instrText xml:space="preserve"> PAGEREF _Toc203765922 \h </w:instrText>
        </w:r>
        <w:r>
          <w:rPr>
            <w:noProof/>
            <w:webHidden/>
          </w:rPr>
        </w:r>
        <w:r>
          <w:rPr>
            <w:noProof/>
            <w:webHidden/>
          </w:rPr>
          <w:fldChar w:fldCharType="separate"/>
        </w:r>
        <w:r w:rsidR="007D1829">
          <w:rPr>
            <w:noProof/>
            <w:webHidden/>
          </w:rPr>
          <w:t>271</w:t>
        </w:r>
        <w:r>
          <w:rPr>
            <w:noProof/>
            <w:webHidden/>
          </w:rPr>
          <w:fldChar w:fldCharType="end"/>
        </w:r>
      </w:hyperlink>
    </w:p>
    <w:p w14:paraId="1A54D56C" w14:textId="2A415B87" w:rsidR="004E2B6A" w:rsidRDefault="004E2B6A">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3765923" w:history="1">
        <w:r w:rsidRPr="009A1507">
          <w:rPr>
            <w:rStyle w:val="Hyperlink"/>
            <w:noProof/>
          </w:rPr>
          <w:t>Patient Testing: Record a Patient ABO/Rh</w:t>
        </w:r>
        <w:r>
          <w:rPr>
            <w:noProof/>
            <w:webHidden/>
          </w:rPr>
          <w:tab/>
        </w:r>
        <w:r>
          <w:rPr>
            <w:noProof/>
            <w:webHidden/>
          </w:rPr>
          <w:fldChar w:fldCharType="begin"/>
        </w:r>
        <w:r>
          <w:rPr>
            <w:noProof/>
            <w:webHidden/>
          </w:rPr>
          <w:instrText xml:space="preserve"> PAGEREF _Toc203765923 \h </w:instrText>
        </w:r>
        <w:r>
          <w:rPr>
            <w:noProof/>
            <w:webHidden/>
          </w:rPr>
        </w:r>
        <w:r>
          <w:rPr>
            <w:noProof/>
            <w:webHidden/>
          </w:rPr>
          <w:fldChar w:fldCharType="separate"/>
        </w:r>
        <w:r w:rsidR="007D1829">
          <w:rPr>
            <w:noProof/>
            <w:webHidden/>
          </w:rPr>
          <w:t>277</w:t>
        </w:r>
        <w:r>
          <w:rPr>
            <w:noProof/>
            <w:webHidden/>
          </w:rPr>
          <w:fldChar w:fldCharType="end"/>
        </w:r>
      </w:hyperlink>
    </w:p>
    <w:p w14:paraId="438C3DB7" w14:textId="2EE74697" w:rsidR="004E2B6A" w:rsidRDefault="004E2B6A">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3765924" w:history="1">
        <w:r w:rsidRPr="009A1507">
          <w:rPr>
            <w:rStyle w:val="Hyperlink"/>
            <w:noProof/>
          </w:rPr>
          <w:t>Patient Testing: Record a Patient Antibody Screen</w:t>
        </w:r>
        <w:r>
          <w:rPr>
            <w:noProof/>
            <w:webHidden/>
          </w:rPr>
          <w:tab/>
        </w:r>
        <w:r>
          <w:rPr>
            <w:noProof/>
            <w:webHidden/>
          </w:rPr>
          <w:fldChar w:fldCharType="begin"/>
        </w:r>
        <w:r>
          <w:rPr>
            <w:noProof/>
            <w:webHidden/>
          </w:rPr>
          <w:instrText xml:space="preserve"> PAGEREF _Toc203765924 \h </w:instrText>
        </w:r>
        <w:r>
          <w:rPr>
            <w:noProof/>
            <w:webHidden/>
          </w:rPr>
        </w:r>
        <w:r>
          <w:rPr>
            <w:noProof/>
            <w:webHidden/>
          </w:rPr>
          <w:fldChar w:fldCharType="separate"/>
        </w:r>
        <w:r w:rsidR="007D1829">
          <w:rPr>
            <w:noProof/>
            <w:webHidden/>
          </w:rPr>
          <w:t>280</w:t>
        </w:r>
        <w:r>
          <w:rPr>
            <w:noProof/>
            <w:webHidden/>
          </w:rPr>
          <w:fldChar w:fldCharType="end"/>
        </w:r>
      </w:hyperlink>
    </w:p>
    <w:p w14:paraId="76287922" w14:textId="040C6D23" w:rsidR="004E2B6A" w:rsidRDefault="004E2B6A">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3765925" w:history="1">
        <w:r w:rsidRPr="009A1507">
          <w:rPr>
            <w:rStyle w:val="Hyperlink"/>
            <w:noProof/>
          </w:rPr>
          <w:t>Patient Testing: Record a Direct Antiglobulin Test</w:t>
        </w:r>
        <w:r>
          <w:rPr>
            <w:noProof/>
            <w:webHidden/>
          </w:rPr>
          <w:tab/>
        </w:r>
        <w:r>
          <w:rPr>
            <w:noProof/>
            <w:webHidden/>
          </w:rPr>
          <w:fldChar w:fldCharType="begin"/>
        </w:r>
        <w:r>
          <w:rPr>
            <w:noProof/>
            <w:webHidden/>
          </w:rPr>
          <w:instrText xml:space="preserve"> PAGEREF _Toc203765925 \h </w:instrText>
        </w:r>
        <w:r>
          <w:rPr>
            <w:noProof/>
            <w:webHidden/>
          </w:rPr>
        </w:r>
        <w:r>
          <w:rPr>
            <w:noProof/>
            <w:webHidden/>
          </w:rPr>
          <w:fldChar w:fldCharType="separate"/>
        </w:r>
        <w:r w:rsidR="007D1829">
          <w:rPr>
            <w:noProof/>
            <w:webHidden/>
          </w:rPr>
          <w:t>282</w:t>
        </w:r>
        <w:r>
          <w:rPr>
            <w:noProof/>
            <w:webHidden/>
          </w:rPr>
          <w:fldChar w:fldCharType="end"/>
        </w:r>
      </w:hyperlink>
    </w:p>
    <w:p w14:paraId="09BBFD86" w14:textId="490199FD" w:rsidR="004E2B6A" w:rsidRDefault="004E2B6A">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3765926" w:history="1">
        <w:r w:rsidRPr="009A1507">
          <w:rPr>
            <w:rStyle w:val="Hyperlink"/>
            <w:noProof/>
          </w:rPr>
          <w:t>Patient Testing: Record a Crossmatch</w:t>
        </w:r>
        <w:r>
          <w:rPr>
            <w:noProof/>
            <w:webHidden/>
          </w:rPr>
          <w:tab/>
        </w:r>
        <w:r>
          <w:rPr>
            <w:noProof/>
            <w:webHidden/>
          </w:rPr>
          <w:fldChar w:fldCharType="begin"/>
        </w:r>
        <w:r>
          <w:rPr>
            <w:noProof/>
            <w:webHidden/>
          </w:rPr>
          <w:instrText xml:space="preserve"> PAGEREF _Toc203765926 \h </w:instrText>
        </w:r>
        <w:r>
          <w:rPr>
            <w:noProof/>
            <w:webHidden/>
          </w:rPr>
        </w:r>
        <w:r>
          <w:rPr>
            <w:noProof/>
            <w:webHidden/>
          </w:rPr>
          <w:fldChar w:fldCharType="separate"/>
        </w:r>
        <w:r w:rsidR="007D1829">
          <w:rPr>
            <w:noProof/>
            <w:webHidden/>
          </w:rPr>
          <w:t>285</w:t>
        </w:r>
        <w:r>
          <w:rPr>
            <w:noProof/>
            <w:webHidden/>
          </w:rPr>
          <w:fldChar w:fldCharType="end"/>
        </w:r>
      </w:hyperlink>
    </w:p>
    <w:p w14:paraId="0BF9AE03" w14:textId="2C891203" w:rsidR="004E2B6A" w:rsidRDefault="004E2B6A">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3765927" w:history="1">
        <w:r w:rsidRPr="009A1507">
          <w:rPr>
            <w:rStyle w:val="Hyperlink"/>
            <w:noProof/>
          </w:rPr>
          <w:t>Patient Testing: Record a Patient Antigen Typing</w:t>
        </w:r>
        <w:r>
          <w:rPr>
            <w:noProof/>
            <w:webHidden/>
          </w:rPr>
          <w:tab/>
        </w:r>
        <w:r>
          <w:rPr>
            <w:noProof/>
            <w:webHidden/>
          </w:rPr>
          <w:fldChar w:fldCharType="begin"/>
        </w:r>
        <w:r>
          <w:rPr>
            <w:noProof/>
            <w:webHidden/>
          </w:rPr>
          <w:instrText xml:space="preserve"> PAGEREF _Toc203765927 \h </w:instrText>
        </w:r>
        <w:r>
          <w:rPr>
            <w:noProof/>
            <w:webHidden/>
          </w:rPr>
        </w:r>
        <w:r>
          <w:rPr>
            <w:noProof/>
            <w:webHidden/>
          </w:rPr>
          <w:fldChar w:fldCharType="separate"/>
        </w:r>
        <w:r w:rsidR="007D1829">
          <w:rPr>
            <w:noProof/>
            <w:webHidden/>
          </w:rPr>
          <w:t>290</w:t>
        </w:r>
        <w:r>
          <w:rPr>
            <w:noProof/>
            <w:webHidden/>
          </w:rPr>
          <w:fldChar w:fldCharType="end"/>
        </w:r>
      </w:hyperlink>
    </w:p>
    <w:p w14:paraId="049562A4" w14:textId="7B3FB34B" w:rsidR="004E2B6A" w:rsidRDefault="004E2B6A">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3765928" w:history="1">
        <w:r w:rsidRPr="009A1507">
          <w:rPr>
            <w:rStyle w:val="Hyperlink"/>
            <w:noProof/>
          </w:rPr>
          <w:t>Patient Testing: Enter Antibody Identification Results</w:t>
        </w:r>
        <w:r>
          <w:rPr>
            <w:noProof/>
            <w:webHidden/>
          </w:rPr>
          <w:tab/>
        </w:r>
        <w:r>
          <w:rPr>
            <w:noProof/>
            <w:webHidden/>
          </w:rPr>
          <w:fldChar w:fldCharType="begin"/>
        </w:r>
        <w:r>
          <w:rPr>
            <w:noProof/>
            <w:webHidden/>
          </w:rPr>
          <w:instrText xml:space="preserve"> PAGEREF _Toc203765928 \h </w:instrText>
        </w:r>
        <w:r>
          <w:rPr>
            <w:noProof/>
            <w:webHidden/>
          </w:rPr>
        </w:r>
        <w:r>
          <w:rPr>
            <w:noProof/>
            <w:webHidden/>
          </w:rPr>
          <w:fldChar w:fldCharType="separate"/>
        </w:r>
        <w:r w:rsidR="007D1829">
          <w:rPr>
            <w:noProof/>
            <w:webHidden/>
          </w:rPr>
          <w:t>296</w:t>
        </w:r>
        <w:r>
          <w:rPr>
            <w:noProof/>
            <w:webHidden/>
          </w:rPr>
          <w:fldChar w:fldCharType="end"/>
        </w:r>
      </w:hyperlink>
    </w:p>
    <w:p w14:paraId="71F5CDDF" w14:textId="6216E4B3" w:rsidR="004E2B6A" w:rsidRDefault="004E2B6A">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3765929" w:history="1">
        <w:r w:rsidRPr="009A1507">
          <w:rPr>
            <w:rStyle w:val="Hyperlink"/>
            <w:noProof/>
          </w:rPr>
          <w:t>Patient Testing: Record a Transfusion Reaction Workup</w:t>
        </w:r>
        <w:r>
          <w:rPr>
            <w:noProof/>
            <w:webHidden/>
          </w:rPr>
          <w:tab/>
        </w:r>
        <w:r>
          <w:rPr>
            <w:noProof/>
            <w:webHidden/>
          </w:rPr>
          <w:fldChar w:fldCharType="begin"/>
        </w:r>
        <w:r>
          <w:rPr>
            <w:noProof/>
            <w:webHidden/>
          </w:rPr>
          <w:instrText xml:space="preserve"> PAGEREF _Toc203765929 \h </w:instrText>
        </w:r>
        <w:r>
          <w:rPr>
            <w:noProof/>
            <w:webHidden/>
          </w:rPr>
        </w:r>
        <w:r>
          <w:rPr>
            <w:noProof/>
            <w:webHidden/>
          </w:rPr>
          <w:fldChar w:fldCharType="separate"/>
        </w:r>
        <w:r w:rsidR="007D1829">
          <w:rPr>
            <w:noProof/>
            <w:webHidden/>
          </w:rPr>
          <w:t>299</w:t>
        </w:r>
        <w:r>
          <w:rPr>
            <w:noProof/>
            <w:webHidden/>
          </w:rPr>
          <w:fldChar w:fldCharType="end"/>
        </w:r>
      </w:hyperlink>
    </w:p>
    <w:p w14:paraId="7DE7C8DD" w14:textId="64A89C95" w:rsidR="004E2B6A" w:rsidRDefault="004E2B6A">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3765930" w:history="1">
        <w:r w:rsidRPr="009A1507">
          <w:rPr>
            <w:rStyle w:val="Hyperlink"/>
            <w:noProof/>
          </w:rPr>
          <w:t>Finalize/Print TRW</w:t>
        </w:r>
        <w:r>
          <w:rPr>
            <w:noProof/>
            <w:webHidden/>
          </w:rPr>
          <w:tab/>
        </w:r>
        <w:r>
          <w:rPr>
            <w:noProof/>
            <w:webHidden/>
          </w:rPr>
          <w:fldChar w:fldCharType="begin"/>
        </w:r>
        <w:r>
          <w:rPr>
            <w:noProof/>
            <w:webHidden/>
          </w:rPr>
          <w:instrText xml:space="preserve"> PAGEREF _Toc203765930 \h </w:instrText>
        </w:r>
        <w:r>
          <w:rPr>
            <w:noProof/>
            <w:webHidden/>
          </w:rPr>
        </w:r>
        <w:r>
          <w:rPr>
            <w:noProof/>
            <w:webHidden/>
          </w:rPr>
          <w:fldChar w:fldCharType="separate"/>
        </w:r>
        <w:r w:rsidR="007D1829">
          <w:rPr>
            <w:noProof/>
            <w:webHidden/>
          </w:rPr>
          <w:t>310</w:t>
        </w:r>
        <w:r>
          <w:rPr>
            <w:noProof/>
            <w:webHidden/>
          </w:rPr>
          <w:fldChar w:fldCharType="end"/>
        </w:r>
      </w:hyperlink>
    </w:p>
    <w:p w14:paraId="4011B302" w14:textId="1AB9884A" w:rsidR="004E2B6A" w:rsidRDefault="004E2B6A">
      <w:pPr>
        <w:pStyle w:val="TOC2"/>
        <w:tabs>
          <w:tab w:val="right" w:leader="dot" w:pos="9350"/>
        </w:tabs>
        <w:rPr>
          <w:rFonts w:asciiTheme="minorHAnsi" w:eastAsiaTheme="minorEastAsia" w:hAnsiTheme="minorHAnsi" w:cstheme="minorBidi"/>
          <w:smallCaps w:val="0"/>
          <w:noProof/>
          <w:kern w:val="2"/>
          <w:sz w:val="24"/>
          <w:szCs w:val="24"/>
          <w14:ligatures w14:val="standardContextual"/>
        </w:rPr>
      </w:pPr>
      <w:hyperlink w:anchor="_Toc203765931" w:history="1">
        <w:r w:rsidRPr="009A1507">
          <w:rPr>
            <w:rStyle w:val="Hyperlink"/>
            <w:noProof/>
          </w:rPr>
          <w:t>Maintain Patient Records</w:t>
        </w:r>
        <w:r>
          <w:rPr>
            <w:noProof/>
            <w:webHidden/>
          </w:rPr>
          <w:tab/>
        </w:r>
        <w:r>
          <w:rPr>
            <w:noProof/>
            <w:webHidden/>
          </w:rPr>
          <w:fldChar w:fldCharType="begin"/>
        </w:r>
        <w:r>
          <w:rPr>
            <w:noProof/>
            <w:webHidden/>
          </w:rPr>
          <w:instrText xml:space="preserve"> PAGEREF _Toc203765931 \h </w:instrText>
        </w:r>
        <w:r>
          <w:rPr>
            <w:noProof/>
            <w:webHidden/>
          </w:rPr>
        </w:r>
        <w:r>
          <w:rPr>
            <w:noProof/>
            <w:webHidden/>
          </w:rPr>
          <w:fldChar w:fldCharType="separate"/>
        </w:r>
        <w:r w:rsidR="007D1829">
          <w:rPr>
            <w:noProof/>
            <w:webHidden/>
          </w:rPr>
          <w:t>315</w:t>
        </w:r>
        <w:r>
          <w:rPr>
            <w:noProof/>
            <w:webHidden/>
          </w:rPr>
          <w:fldChar w:fldCharType="end"/>
        </w:r>
      </w:hyperlink>
    </w:p>
    <w:p w14:paraId="020D1CC9" w14:textId="69E84CE8" w:rsidR="004E2B6A" w:rsidRDefault="004E2B6A">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3765932" w:history="1">
        <w:r w:rsidRPr="009A1507">
          <w:rPr>
            <w:rStyle w:val="Hyperlink"/>
            <w:noProof/>
          </w:rPr>
          <w:t>Special Instructions &amp; Transfusion Requirements: Enter a Transfusion Requirement</w:t>
        </w:r>
        <w:r>
          <w:rPr>
            <w:noProof/>
            <w:webHidden/>
          </w:rPr>
          <w:tab/>
        </w:r>
        <w:r>
          <w:rPr>
            <w:noProof/>
            <w:webHidden/>
          </w:rPr>
          <w:fldChar w:fldCharType="begin"/>
        </w:r>
        <w:r>
          <w:rPr>
            <w:noProof/>
            <w:webHidden/>
          </w:rPr>
          <w:instrText xml:space="preserve"> PAGEREF _Toc203765932 \h </w:instrText>
        </w:r>
        <w:r>
          <w:rPr>
            <w:noProof/>
            <w:webHidden/>
          </w:rPr>
        </w:r>
        <w:r>
          <w:rPr>
            <w:noProof/>
            <w:webHidden/>
          </w:rPr>
          <w:fldChar w:fldCharType="separate"/>
        </w:r>
        <w:r w:rsidR="007D1829">
          <w:rPr>
            <w:noProof/>
            <w:webHidden/>
          </w:rPr>
          <w:t>315</w:t>
        </w:r>
        <w:r>
          <w:rPr>
            <w:noProof/>
            <w:webHidden/>
          </w:rPr>
          <w:fldChar w:fldCharType="end"/>
        </w:r>
      </w:hyperlink>
    </w:p>
    <w:p w14:paraId="4C160251" w14:textId="6D7EAD50" w:rsidR="004E2B6A" w:rsidRDefault="004E2B6A">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3765933" w:history="1">
        <w:r w:rsidRPr="009A1507">
          <w:rPr>
            <w:rStyle w:val="Hyperlink"/>
            <w:noProof/>
          </w:rPr>
          <w:t>Special Instructions &amp; Transfusion Requirements: Enter and Remove Special Instructions</w:t>
        </w:r>
        <w:r>
          <w:rPr>
            <w:noProof/>
            <w:webHidden/>
          </w:rPr>
          <w:tab/>
        </w:r>
        <w:r>
          <w:rPr>
            <w:noProof/>
            <w:webHidden/>
          </w:rPr>
          <w:fldChar w:fldCharType="begin"/>
        </w:r>
        <w:r>
          <w:rPr>
            <w:noProof/>
            <w:webHidden/>
          </w:rPr>
          <w:instrText xml:space="preserve"> PAGEREF _Toc203765933 \h </w:instrText>
        </w:r>
        <w:r>
          <w:rPr>
            <w:noProof/>
            <w:webHidden/>
          </w:rPr>
        </w:r>
        <w:r>
          <w:rPr>
            <w:noProof/>
            <w:webHidden/>
          </w:rPr>
          <w:fldChar w:fldCharType="separate"/>
        </w:r>
        <w:r w:rsidR="007D1829">
          <w:rPr>
            <w:noProof/>
            <w:webHidden/>
          </w:rPr>
          <w:t>320</w:t>
        </w:r>
        <w:r>
          <w:rPr>
            <w:noProof/>
            <w:webHidden/>
          </w:rPr>
          <w:fldChar w:fldCharType="end"/>
        </w:r>
      </w:hyperlink>
    </w:p>
    <w:p w14:paraId="0363B938" w14:textId="36D703D5" w:rsidR="004E2B6A" w:rsidRDefault="004E2B6A">
      <w:pPr>
        <w:pStyle w:val="TOC2"/>
        <w:tabs>
          <w:tab w:val="right" w:leader="dot" w:pos="9350"/>
        </w:tabs>
        <w:rPr>
          <w:rFonts w:asciiTheme="minorHAnsi" w:eastAsiaTheme="minorEastAsia" w:hAnsiTheme="minorHAnsi" w:cstheme="minorBidi"/>
          <w:smallCaps w:val="0"/>
          <w:noProof/>
          <w:kern w:val="2"/>
          <w:sz w:val="24"/>
          <w:szCs w:val="24"/>
          <w14:ligatures w14:val="standardContextual"/>
        </w:rPr>
      </w:pPr>
      <w:hyperlink w:anchor="_Toc203765934" w:history="1">
        <w:r w:rsidRPr="009A1507">
          <w:rPr>
            <w:rStyle w:val="Hyperlink"/>
            <w:noProof/>
          </w:rPr>
          <w:t>Post-Transfusion Information</w:t>
        </w:r>
        <w:r>
          <w:rPr>
            <w:noProof/>
            <w:webHidden/>
          </w:rPr>
          <w:tab/>
        </w:r>
        <w:r>
          <w:rPr>
            <w:noProof/>
            <w:webHidden/>
          </w:rPr>
          <w:fldChar w:fldCharType="begin"/>
        </w:r>
        <w:r>
          <w:rPr>
            <w:noProof/>
            <w:webHidden/>
          </w:rPr>
          <w:instrText xml:space="preserve"> PAGEREF _Toc203765934 \h </w:instrText>
        </w:r>
        <w:r>
          <w:rPr>
            <w:noProof/>
            <w:webHidden/>
          </w:rPr>
        </w:r>
        <w:r>
          <w:rPr>
            <w:noProof/>
            <w:webHidden/>
          </w:rPr>
          <w:fldChar w:fldCharType="separate"/>
        </w:r>
        <w:r w:rsidR="007D1829">
          <w:rPr>
            <w:noProof/>
            <w:webHidden/>
          </w:rPr>
          <w:t>323</w:t>
        </w:r>
        <w:r>
          <w:rPr>
            <w:noProof/>
            <w:webHidden/>
          </w:rPr>
          <w:fldChar w:fldCharType="end"/>
        </w:r>
      </w:hyperlink>
    </w:p>
    <w:p w14:paraId="23C55104" w14:textId="26C4D75B" w:rsidR="004E2B6A" w:rsidRDefault="004E2B6A">
      <w:pPr>
        <w:pStyle w:val="TOC2"/>
        <w:tabs>
          <w:tab w:val="right" w:leader="dot" w:pos="9350"/>
        </w:tabs>
        <w:rPr>
          <w:rFonts w:asciiTheme="minorHAnsi" w:eastAsiaTheme="minorEastAsia" w:hAnsiTheme="minorHAnsi" w:cstheme="minorBidi"/>
          <w:smallCaps w:val="0"/>
          <w:noProof/>
          <w:kern w:val="2"/>
          <w:sz w:val="24"/>
          <w:szCs w:val="24"/>
          <w14:ligatures w14:val="standardContextual"/>
        </w:rPr>
      </w:pPr>
      <w:hyperlink w:anchor="_Toc203765935" w:history="1">
        <w:r w:rsidRPr="009A1507">
          <w:rPr>
            <w:rStyle w:val="Hyperlink"/>
            <w:noProof/>
            <w:snapToGrid w:val="0"/>
          </w:rPr>
          <w:t>Document ABO Incompatible Transfusions</w:t>
        </w:r>
        <w:r>
          <w:rPr>
            <w:noProof/>
            <w:webHidden/>
          </w:rPr>
          <w:tab/>
        </w:r>
        <w:r>
          <w:rPr>
            <w:noProof/>
            <w:webHidden/>
          </w:rPr>
          <w:fldChar w:fldCharType="begin"/>
        </w:r>
        <w:r>
          <w:rPr>
            <w:noProof/>
            <w:webHidden/>
          </w:rPr>
          <w:instrText xml:space="preserve"> PAGEREF _Toc203765935 \h </w:instrText>
        </w:r>
        <w:r>
          <w:rPr>
            <w:noProof/>
            <w:webHidden/>
          </w:rPr>
        </w:r>
        <w:r>
          <w:rPr>
            <w:noProof/>
            <w:webHidden/>
          </w:rPr>
          <w:fldChar w:fldCharType="separate"/>
        </w:r>
        <w:r w:rsidR="007D1829">
          <w:rPr>
            <w:noProof/>
            <w:webHidden/>
          </w:rPr>
          <w:t>329</w:t>
        </w:r>
        <w:r>
          <w:rPr>
            <w:noProof/>
            <w:webHidden/>
          </w:rPr>
          <w:fldChar w:fldCharType="end"/>
        </w:r>
      </w:hyperlink>
    </w:p>
    <w:p w14:paraId="63C1DEB7" w14:textId="0CDA771D" w:rsidR="004E2B6A" w:rsidRDefault="004E2B6A">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3765936" w:history="1">
        <w:r w:rsidRPr="009A1507">
          <w:rPr>
            <w:rStyle w:val="Hyperlink"/>
            <w:noProof/>
          </w:rPr>
          <w:t>Justify ABO/Rh Change</w:t>
        </w:r>
        <w:r>
          <w:rPr>
            <w:noProof/>
            <w:webHidden/>
          </w:rPr>
          <w:tab/>
        </w:r>
        <w:r>
          <w:rPr>
            <w:noProof/>
            <w:webHidden/>
          </w:rPr>
          <w:fldChar w:fldCharType="begin"/>
        </w:r>
        <w:r>
          <w:rPr>
            <w:noProof/>
            <w:webHidden/>
          </w:rPr>
          <w:instrText xml:space="preserve"> PAGEREF _Toc203765936 \h </w:instrText>
        </w:r>
        <w:r>
          <w:rPr>
            <w:noProof/>
            <w:webHidden/>
          </w:rPr>
        </w:r>
        <w:r>
          <w:rPr>
            <w:noProof/>
            <w:webHidden/>
          </w:rPr>
          <w:fldChar w:fldCharType="separate"/>
        </w:r>
        <w:r w:rsidR="007D1829">
          <w:rPr>
            <w:noProof/>
            <w:webHidden/>
          </w:rPr>
          <w:t>331</w:t>
        </w:r>
        <w:r>
          <w:rPr>
            <w:noProof/>
            <w:webHidden/>
          </w:rPr>
          <w:fldChar w:fldCharType="end"/>
        </w:r>
      </w:hyperlink>
    </w:p>
    <w:p w14:paraId="1F8A11A3" w14:textId="2086257E" w:rsidR="004E2B6A" w:rsidRDefault="004E2B6A">
      <w:pPr>
        <w:pStyle w:val="TOC1"/>
        <w:tabs>
          <w:tab w:val="right" w:leader="dot" w:pos="9350"/>
        </w:tabs>
        <w:rPr>
          <w:rFonts w:asciiTheme="minorHAnsi" w:eastAsiaTheme="minorEastAsia" w:hAnsiTheme="minorHAnsi" w:cstheme="minorBidi"/>
          <w:b w:val="0"/>
          <w:caps w:val="0"/>
          <w:noProof/>
          <w:kern w:val="2"/>
          <w:sz w:val="24"/>
          <w:szCs w:val="24"/>
          <w14:ligatures w14:val="standardContextual"/>
        </w:rPr>
      </w:pPr>
      <w:hyperlink w:anchor="_Toc203765937" w:history="1">
        <w:r w:rsidRPr="009A1507">
          <w:rPr>
            <w:rStyle w:val="Hyperlink"/>
            <w:noProof/>
          </w:rPr>
          <w:t>Automated Testing</w:t>
        </w:r>
        <w:r>
          <w:rPr>
            <w:noProof/>
            <w:webHidden/>
          </w:rPr>
          <w:tab/>
        </w:r>
        <w:r>
          <w:rPr>
            <w:noProof/>
            <w:webHidden/>
          </w:rPr>
          <w:fldChar w:fldCharType="begin"/>
        </w:r>
        <w:r>
          <w:rPr>
            <w:noProof/>
            <w:webHidden/>
          </w:rPr>
          <w:instrText xml:space="preserve"> PAGEREF _Toc203765937 \h </w:instrText>
        </w:r>
        <w:r>
          <w:rPr>
            <w:noProof/>
            <w:webHidden/>
          </w:rPr>
        </w:r>
        <w:r>
          <w:rPr>
            <w:noProof/>
            <w:webHidden/>
          </w:rPr>
          <w:fldChar w:fldCharType="separate"/>
        </w:r>
        <w:r w:rsidR="007D1829">
          <w:rPr>
            <w:noProof/>
            <w:webHidden/>
          </w:rPr>
          <w:t>334</w:t>
        </w:r>
        <w:r>
          <w:rPr>
            <w:noProof/>
            <w:webHidden/>
          </w:rPr>
          <w:fldChar w:fldCharType="end"/>
        </w:r>
      </w:hyperlink>
    </w:p>
    <w:p w14:paraId="0ED3570F" w14:textId="53855498" w:rsidR="004E2B6A" w:rsidRDefault="004E2B6A">
      <w:pPr>
        <w:pStyle w:val="TOC2"/>
        <w:tabs>
          <w:tab w:val="right" w:leader="dot" w:pos="9350"/>
        </w:tabs>
        <w:rPr>
          <w:rFonts w:asciiTheme="minorHAnsi" w:eastAsiaTheme="minorEastAsia" w:hAnsiTheme="minorHAnsi" w:cstheme="minorBidi"/>
          <w:smallCaps w:val="0"/>
          <w:noProof/>
          <w:kern w:val="2"/>
          <w:sz w:val="24"/>
          <w:szCs w:val="24"/>
          <w14:ligatures w14:val="standardContextual"/>
        </w:rPr>
      </w:pPr>
      <w:hyperlink w:anchor="_Toc203765938" w:history="1">
        <w:r w:rsidRPr="009A1507">
          <w:rPr>
            <w:rStyle w:val="Hyperlink"/>
            <w:noProof/>
          </w:rPr>
          <w:t>Automated Testing Interface</w:t>
        </w:r>
        <w:r>
          <w:rPr>
            <w:noProof/>
            <w:webHidden/>
          </w:rPr>
          <w:tab/>
        </w:r>
        <w:r>
          <w:rPr>
            <w:noProof/>
            <w:webHidden/>
          </w:rPr>
          <w:fldChar w:fldCharType="begin"/>
        </w:r>
        <w:r>
          <w:rPr>
            <w:noProof/>
            <w:webHidden/>
          </w:rPr>
          <w:instrText xml:space="preserve"> PAGEREF _Toc203765938 \h </w:instrText>
        </w:r>
        <w:r>
          <w:rPr>
            <w:noProof/>
            <w:webHidden/>
          </w:rPr>
        </w:r>
        <w:r>
          <w:rPr>
            <w:noProof/>
            <w:webHidden/>
          </w:rPr>
          <w:fldChar w:fldCharType="separate"/>
        </w:r>
        <w:r w:rsidR="007D1829">
          <w:rPr>
            <w:noProof/>
            <w:webHidden/>
          </w:rPr>
          <w:t>334</w:t>
        </w:r>
        <w:r>
          <w:rPr>
            <w:noProof/>
            <w:webHidden/>
          </w:rPr>
          <w:fldChar w:fldCharType="end"/>
        </w:r>
      </w:hyperlink>
    </w:p>
    <w:p w14:paraId="5CBFA0CE" w14:textId="6FE9FE7F" w:rsidR="004E2B6A" w:rsidRDefault="004E2B6A">
      <w:pPr>
        <w:pStyle w:val="TOC2"/>
        <w:tabs>
          <w:tab w:val="right" w:leader="dot" w:pos="9350"/>
        </w:tabs>
        <w:rPr>
          <w:rFonts w:asciiTheme="minorHAnsi" w:eastAsiaTheme="minorEastAsia" w:hAnsiTheme="minorHAnsi" w:cstheme="minorBidi"/>
          <w:smallCaps w:val="0"/>
          <w:noProof/>
          <w:kern w:val="2"/>
          <w:sz w:val="24"/>
          <w:szCs w:val="24"/>
          <w14:ligatures w14:val="standardContextual"/>
        </w:rPr>
      </w:pPr>
      <w:hyperlink w:anchor="_Toc203765939" w:history="1">
        <w:r w:rsidRPr="009A1507">
          <w:rPr>
            <w:rStyle w:val="Hyperlink"/>
            <w:noProof/>
          </w:rPr>
          <w:t>Automated Testing Review for Blood Units</w:t>
        </w:r>
        <w:r>
          <w:rPr>
            <w:noProof/>
            <w:webHidden/>
          </w:rPr>
          <w:tab/>
        </w:r>
        <w:r>
          <w:rPr>
            <w:noProof/>
            <w:webHidden/>
          </w:rPr>
          <w:fldChar w:fldCharType="begin"/>
        </w:r>
        <w:r>
          <w:rPr>
            <w:noProof/>
            <w:webHidden/>
          </w:rPr>
          <w:instrText xml:space="preserve"> PAGEREF _Toc203765939 \h </w:instrText>
        </w:r>
        <w:r>
          <w:rPr>
            <w:noProof/>
            <w:webHidden/>
          </w:rPr>
        </w:r>
        <w:r>
          <w:rPr>
            <w:noProof/>
            <w:webHidden/>
          </w:rPr>
          <w:fldChar w:fldCharType="separate"/>
        </w:r>
        <w:r w:rsidR="007D1829">
          <w:rPr>
            <w:noProof/>
            <w:webHidden/>
          </w:rPr>
          <w:t>338</w:t>
        </w:r>
        <w:r>
          <w:rPr>
            <w:noProof/>
            <w:webHidden/>
          </w:rPr>
          <w:fldChar w:fldCharType="end"/>
        </w:r>
      </w:hyperlink>
    </w:p>
    <w:p w14:paraId="3E88EE2E" w14:textId="580E72A5" w:rsidR="004E2B6A" w:rsidRDefault="004E2B6A">
      <w:pPr>
        <w:pStyle w:val="TOC2"/>
        <w:tabs>
          <w:tab w:val="right" w:leader="dot" w:pos="9350"/>
        </w:tabs>
        <w:rPr>
          <w:rFonts w:asciiTheme="minorHAnsi" w:eastAsiaTheme="minorEastAsia" w:hAnsiTheme="minorHAnsi" w:cstheme="minorBidi"/>
          <w:smallCaps w:val="0"/>
          <w:noProof/>
          <w:kern w:val="2"/>
          <w:sz w:val="24"/>
          <w:szCs w:val="24"/>
          <w14:ligatures w14:val="standardContextual"/>
        </w:rPr>
      </w:pPr>
      <w:hyperlink w:anchor="_Toc203765940" w:history="1">
        <w:r w:rsidRPr="009A1507">
          <w:rPr>
            <w:rStyle w:val="Hyperlink"/>
            <w:noProof/>
          </w:rPr>
          <w:t>Automated Testing Review for Patients</w:t>
        </w:r>
        <w:r>
          <w:rPr>
            <w:noProof/>
            <w:webHidden/>
          </w:rPr>
          <w:tab/>
        </w:r>
        <w:r>
          <w:rPr>
            <w:noProof/>
            <w:webHidden/>
          </w:rPr>
          <w:fldChar w:fldCharType="begin"/>
        </w:r>
        <w:r>
          <w:rPr>
            <w:noProof/>
            <w:webHidden/>
          </w:rPr>
          <w:instrText xml:space="preserve"> PAGEREF _Toc203765940 \h </w:instrText>
        </w:r>
        <w:r>
          <w:rPr>
            <w:noProof/>
            <w:webHidden/>
          </w:rPr>
        </w:r>
        <w:r>
          <w:rPr>
            <w:noProof/>
            <w:webHidden/>
          </w:rPr>
          <w:fldChar w:fldCharType="separate"/>
        </w:r>
        <w:r w:rsidR="007D1829">
          <w:rPr>
            <w:noProof/>
            <w:webHidden/>
          </w:rPr>
          <w:t>342</w:t>
        </w:r>
        <w:r>
          <w:rPr>
            <w:noProof/>
            <w:webHidden/>
          </w:rPr>
          <w:fldChar w:fldCharType="end"/>
        </w:r>
      </w:hyperlink>
    </w:p>
    <w:p w14:paraId="26263168" w14:textId="688EE308" w:rsidR="004E2B6A" w:rsidRDefault="004E2B6A">
      <w:pPr>
        <w:pStyle w:val="TOC1"/>
        <w:tabs>
          <w:tab w:val="right" w:leader="dot" w:pos="9350"/>
        </w:tabs>
        <w:rPr>
          <w:rFonts w:asciiTheme="minorHAnsi" w:eastAsiaTheme="minorEastAsia" w:hAnsiTheme="minorHAnsi" w:cstheme="minorBidi"/>
          <w:b w:val="0"/>
          <w:caps w:val="0"/>
          <w:noProof/>
          <w:kern w:val="2"/>
          <w:sz w:val="24"/>
          <w:szCs w:val="24"/>
          <w14:ligatures w14:val="standardContextual"/>
        </w:rPr>
      </w:pPr>
      <w:hyperlink w:anchor="_Toc203765941" w:history="1">
        <w:r w:rsidRPr="009A1507">
          <w:rPr>
            <w:rStyle w:val="Hyperlink"/>
            <w:noProof/>
          </w:rPr>
          <w:t>Reports</w:t>
        </w:r>
        <w:r>
          <w:rPr>
            <w:noProof/>
            <w:webHidden/>
          </w:rPr>
          <w:tab/>
        </w:r>
        <w:r>
          <w:rPr>
            <w:noProof/>
            <w:webHidden/>
          </w:rPr>
          <w:fldChar w:fldCharType="begin"/>
        </w:r>
        <w:r>
          <w:rPr>
            <w:noProof/>
            <w:webHidden/>
          </w:rPr>
          <w:instrText xml:space="preserve"> PAGEREF _Toc203765941 \h </w:instrText>
        </w:r>
        <w:r>
          <w:rPr>
            <w:noProof/>
            <w:webHidden/>
          </w:rPr>
        </w:r>
        <w:r>
          <w:rPr>
            <w:noProof/>
            <w:webHidden/>
          </w:rPr>
          <w:fldChar w:fldCharType="separate"/>
        </w:r>
        <w:r w:rsidR="007D1829">
          <w:rPr>
            <w:noProof/>
            <w:webHidden/>
          </w:rPr>
          <w:t>348</w:t>
        </w:r>
        <w:r>
          <w:rPr>
            <w:noProof/>
            <w:webHidden/>
          </w:rPr>
          <w:fldChar w:fldCharType="end"/>
        </w:r>
      </w:hyperlink>
    </w:p>
    <w:p w14:paraId="22421C54" w14:textId="7A6DEA0D" w:rsidR="004E2B6A" w:rsidRDefault="004E2B6A">
      <w:pPr>
        <w:pStyle w:val="TOC2"/>
        <w:tabs>
          <w:tab w:val="right" w:leader="dot" w:pos="9350"/>
        </w:tabs>
        <w:rPr>
          <w:rFonts w:asciiTheme="minorHAnsi" w:eastAsiaTheme="minorEastAsia" w:hAnsiTheme="minorHAnsi" w:cstheme="minorBidi"/>
          <w:smallCaps w:val="0"/>
          <w:noProof/>
          <w:kern w:val="2"/>
          <w:sz w:val="24"/>
          <w:szCs w:val="24"/>
          <w14:ligatures w14:val="standardContextual"/>
        </w:rPr>
      </w:pPr>
      <w:hyperlink w:anchor="_Toc203765942" w:history="1">
        <w:r w:rsidRPr="009A1507">
          <w:rPr>
            <w:rStyle w:val="Hyperlink"/>
            <w:noProof/>
          </w:rPr>
          <w:t>Administrative Data Report</w:t>
        </w:r>
        <w:r>
          <w:rPr>
            <w:noProof/>
            <w:webHidden/>
          </w:rPr>
          <w:tab/>
        </w:r>
        <w:r>
          <w:rPr>
            <w:noProof/>
            <w:webHidden/>
          </w:rPr>
          <w:fldChar w:fldCharType="begin"/>
        </w:r>
        <w:r>
          <w:rPr>
            <w:noProof/>
            <w:webHidden/>
          </w:rPr>
          <w:instrText xml:space="preserve"> PAGEREF _Toc203765942 \h </w:instrText>
        </w:r>
        <w:r>
          <w:rPr>
            <w:noProof/>
            <w:webHidden/>
          </w:rPr>
        </w:r>
        <w:r>
          <w:rPr>
            <w:noProof/>
            <w:webHidden/>
          </w:rPr>
          <w:fldChar w:fldCharType="separate"/>
        </w:r>
        <w:r w:rsidR="007D1829">
          <w:rPr>
            <w:noProof/>
            <w:webHidden/>
          </w:rPr>
          <w:t>348</w:t>
        </w:r>
        <w:r>
          <w:rPr>
            <w:noProof/>
            <w:webHidden/>
          </w:rPr>
          <w:fldChar w:fldCharType="end"/>
        </w:r>
      </w:hyperlink>
    </w:p>
    <w:p w14:paraId="5D45892C" w14:textId="03FAB574" w:rsidR="004E2B6A" w:rsidRDefault="004E2B6A">
      <w:pPr>
        <w:pStyle w:val="TOC2"/>
        <w:tabs>
          <w:tab w:val="right" w:leader="dot" w:pos="9350"/>
        </w:tabs>
        <w:rPr>
          <w:rFonts w:asciiTheme="minorHAnsi" w:eastAsiaTheme="minorEastAsia" w:hAnsiTheme="minorHAnsi" w:cstheme="minorBidi"/>
          <w:smallCaps w:val="0"/>
          <w:noProof/>
          <w:kern w:val="2"/>
          <w:sz w:val="24"/>
          <w:szCs w:val="24"/>
          <w14:ligatures w14:val="standardContextual"/>
        </w:rPr>
      </w:pPr>
      <w:hyperlink w:anchor="_Toc203765943" w:history="1">
        <w:r w:rsidRPr="009A1507">
          <w:rPr>
            <w:rStyle w:val="Hyperlink"/>
            <w:noProof/>
          </w:rPr>
          <w:t>Audit Trail</w:t>
        </w:r>
        <w:r>
          <w:rPr>
            <w:noProof/>
            <w:webHidden/>
          </w:rPr>
          <w:tab/>
        </w:r>
        <w:r>
          <w:rPr>
            <w:noProof/>
            <w:webHidden/>
          </w:rPr>
          <w:fldChar w:fldCharType="begin"/>
        </w:r>
        <w:r>
          <w:rPr>
            <w:noProof/>
            <w:webHidden/>
          </w:rPr>
          <w:instrText xml:space="preserve"> PAGEREF _Toc203765943 \h </w:instrText>
        </w:r>
        <w:r>
          <w:rPr>
            <w:noProof/>
            <w:webHidden/>
          </w:rPr>
        </w:r>
        <w:r>
          <w:rPr>
            <w:noProof/>
            <w:webHidden/>
          </w:rPr>
          <w:fldChar w:fldCharType="separate"/>
        </w:r>
        <w:r w:rsidR="007D1829">
          <w:rPr>
            <w:noProof/>
            <w:webHidden/>
          </w:rPr>
          <w:t>350</w:t>
        </w:r>
        <w:r>
          <w:rPr>
            <w:noProof/>
            <w:webHidden/>
          </w:rPr>
          <w:fldChar w:fldCharType="end"/>
        </w:r>
      </w:hyperlink>
    </w:p>
    <w:p w14:paraId="4FAC41D6" w14:textId="2BE33D04" w:rsidR="004E2B6A" w:rsidRDefault="004E2B6A">
      <w:pPr>
        <w:pStyle w:val="TOC2"/>
        <w:tabs>
          <w:tab w:val="right" w:leader="dot" w:pos="9350"/>
        </w:tabs>
        <w:rPr>
          <w:rFonts w:asciiTheme="minorHAnsi" w:eastAsiaTheme="minorEastAsia" w:hAnsiTheme="minorHAnsi" w:cstheme="minorBidi"/>
          <w:smallCaps w:val="0"/>
          <w:noProof/>
          <w:kern w:val="2"/>
          <w:sz w:val="24"/>
          <w:szCs w:val="24"/>
          <w14:ligatures w14:val="standardContextual"/>
        </w:rPr>
      </w:pPr>
      <w:hyperlink w:anchor="_Toc203765944" w:history="1">
        <w:r w:rsidRPr="009A1507">
          <w:rPr>
            <w:rStyle w:val="Hyperlink"/>
            <w:noProof/>
          </w:rPr>
          <w:t>Blood Availability</w:t>
        </w:r>
        <w:r>
          <w:rPr>
            <w:noProof/>
            <w:webHidden/>
          </w:rPr>
          <w:tab/>
        </w:r>
        <w:r>
          <w:rPr>
            <w:noProof/>
            <w:webHidden/>
          </w:rPr>
          <w:fldChar w:fldCharType="begin"/>
        </w:r>
        <w:r>
          <w:rPr>
            <w:noProof/>
            <w:webHidden/>
          </w:rPr>
          <w:instrText xml:space="preserve"> PAGEREF _Toc203765944 \h </w:instrText>
        </w:r>
        <w:r>
          <w:rPr>
            <w:noProof/>
            <w:webHidden/>
          </w:rPr>
        </w:r>
        <w:r>
          <w:rPr>
            <w:noProof/>
            <w:webHidden/>
          </w:rPr>
          <w:fldChar w:fldCharType="separate"/>
        </w:r>
        <w:r w:rsidR="007D1829">
          <w:rPr>
            <w:noProof/>
            <w:webHidden/>
          </w:rPr>
          <w:t>352</w:t>
        </w:r>
        <w:r>
          <w:rPr>
            <w:noProof/>
            <w:webHidden/>
          </w:rPr>
          <w:fldChar w:fldCharType="end"/>
        </w:r>
      </w:hyperlink>
    </w:p>
    <w:p w14:paraId="1E669B51" w14:textId="27C07A9B" w:rsidR="004E2B6A" w:rsidRDefault="004E2B6A">
      <w:pPr>
        <w:pStyle w:val="TOC2"/>
        <w:tabs>
          <w:tab w:val="right" w:leader="dot" w:pos="9350"/>
        </w:tabs>
        <w:rPr>
          <w:rFonts w:asciiTheme="minorHAnsi" w:eastAsiaTheme="minorEastAsia" w:hAnsiTheme="minorHAnsi" w:cstheme="minorBidi"/>
          <w:smallCaps w:val="0"/>
          <w:noProof/>
          <w:kern w:val="2"/>
          <w:sz w:val="24"/>
          <w:szCs w:val="24"/>
          <w14:ligatures w14:val="standardContextual"/>
        </w:rPr>
      </w:pPr>
      <w:hyperlink w:anchor="_Toc203765945" w:history="1">
        <w:r w:rsidRPr="009A1507">
          <w:rPr>
            <w:rStyle w:val="Hyperlink"/>
            <w:noProof/>
          </w:rPr>
          <w:t>Cost Accounting Report</w:t>
        </w:r>
        <w:r>
          <w:rPr>
            <w:noProof/>
            <w:webHidden/>
          </w:rPr>
          <w:tab/>
        </w:r>
        <w:r>
          <w:rPr>
            <w:noProof/>
            <w:webHidden/>
          </w:rPr>
          <w:fldChar w:fldCharType="begin"/>
        </w:r>
        <w:r>
          <w:rPr>
            <w:noProof/>
            <w:webHidden/>
          </w:rPr>
          <w:instrText xml:space="preserve"> PAGEREF _Toc203765945 \h </w:instrText>
        </w:r>
        <w:r>
          <w:rPr>
            <w:noProof/>
            <w:webHidden/>
          </w:rPr>
        </w:r>
        <w:r>
          <w:rPr>
            <w:noProof/>
            <w:webHidden/>
          </w:rPr>
          <w:fldChar w:fldCharType="separate"/>
        </w:r>
        <w:r w:rsidR="007D1829">
          <w:rPr>
            <w:noProof/>
            <w:webHidden/>
          </w:rPr>
          <w:t>354</w:t>
        </w:r>
        <w:r>
          <w:rPr>
            <w:noProof/>
            <w:webHidden/>
          </w:rPr>
          <w:fldChar w:fldCharType="end"/>
        </w:r>
      </w:hyperlink>
    </w:p>
    <w:p w14:paraId="61612D78" w14:textId="245B1F64" w:rsidR="004E2B6A" w:rsidRDefault="004E2B6A">
      <w:pPr>
        <w:pStyle w:val="TOC2"/>
        <w:tabs>
          <w:tab w:val="right" w:leader="dot" w:pos="9350"/>
        </w:tabs>
        <w:rPr>
          <w:rFonts w:asciiTheme="minorHAnsi" w:eastAsiaTheme="minorEastAsia" w:hAnsiTheme="minorHAnsi" w:cstheme="minorBidi"/>
          <w:smallCaps w:val="0"/>
          <w:noProof/>
          <w:kern w:val="2"/>
          <w:sz w:val="24"/>
          <w:szCs w:val="24"/>
          <w14:ligatures w14:val="standardContextual"/>
        </w:rPr>
      </w:pPr>
      <w:hyperlink w:anchor="_Toc203765946" w:history="1">
        <w:r w:rsidRPr="009A1507">
          <w:rPr>
            <w:rStyle w:val="Hyperlink"/>
            <w:noProof/>
          </w:rPr>
          <w:t>C:T Ratio Report</w:t>
        </w:r>
        <w:r>
          <w:rPr>
            <w:noProof/>
            <w:webHidden/>
          </w:rPr>
          <w:tab/>
        </w:r>
        <w:r>
          <w:rPr>
            <w:noProof/>
            <w:webHidden/>
          </w:rPr>
          <w:fldChar w:fldCharType="begin"/>
        </w:r>
        <w:r>
          <w:rPr>
            <w:noProof/>
            <w:webHidden/>
          </w:rPr>
          <w:instrText xml:space="preserve"> PAGEREF _Toc203765946 \h </w:instrText>
        </w:r>
        <w:r>
          <w:rPr>
            <w:noProof/>
            <w:webHidden/>
          </w:rPr>
        </w:r>
        <w:r>
          <w:rPr>
            <w:noProof/>
            <w:webHidden/>
          </w:rPr>
          <w:fldChar w:fldCharType="separate"/>
        </w:r>
        <w:r w:rsidR="007D1829">
          <w:rPr>
            <w:noProof/>
            <w:webHidden/>
          </w:rPr>
          <w:t>356</w:t>
        </w:r>
        <w:r>
          <w:rPr>
            <w:noProof/>
            <w:webHidden/>
          </w:rPr>
          <w:fldChar w:fldCharType="end"/>
        </w:r>
      </w:hyperlink>
    </w:p>
    <w:p w14:paraId="681A3387" w14:textId="0357B25D" w:rsidR="004E2B6A" w:rsidRDefault="004E2B6A">
      <w:pPr>
        <w:pStyle w:val="TOC2"/>
        <w:tabs>
          <w:tab w:val="right" w:leader="dot" w:pos="9350"/>
        </w:tabs>
        <w:rPr>
          <w:rFonts w:asciiTheme="minorHAnsi" w:eastAsiaTheme="minorEastAsia" w:hAnsiTheme="minorHAnsi" w:cstheme="minorBidi"/>
          <w:smallCaps w:val="0"/>
          <w:noProof/>
          <w:kern w:val="2"/>
          <w:sz w:val="24"/>
          <w:szCs w:val="24"/>
          <w14:ligatures w14:val="standardContextual"/>
        </w:rPr>
      </w:pPr>
      <w:hyperlink w:anchor="_Toc203765947" w:history="1">
        <w:r w:rsidRPr="009A1507">
          <w:rPr>
            <w:rStyle w:val="Hyperlink"/>
            <w:noProof/>
          </w:rPr>
          <w:t>CPRS Blood Bank Report (Used by JLV and VistA Read Only)</w:t>
        </w:r>
        <w:r>
          <w:rPr>
            <w:noProof/>
            <w:webHidden/>
          </w:rPr>
          <w:tab/>
        </w:r>
        <w:r>
          <w:rPr>
            <w:noProof/>
            <w:webHidden/>
          </w:rPr>
          <w:fldChar w:fldCharType="begin"/>
        </w:r>
        <w:r>
          <w:rPr>
            <w:noProof/>
            <w:webHidden/>
          </w:rPr>
          <w:instrText xml:space="preserve"> PAGEREF _Toc203765947 \h </w:instrText>
        </w:r>
        <w:r>
          <w:rPr>
            <w:noProof/>
            <w:webHidden/>
          </w:rPr>
        </w:r>
        <w:r>
          <w:rPr>
            <w:noProof/>
            <w:webHidden/>
          </w:rPr>
          <w:fldChar w:fldCharType="separate"/>
        </w:r>
        <w:r w:rsidR="007D1829">
          <w:rPr>
            <w:noProof/>
            <w:webHidden/>
          </w:rPr>
          <w:t>358</w:t>
        </w:r>
        <w:r>
          <w:rPr>
            <w:noProof/>
            <w:webHidden/>
          </w:rPr>
          <w:fldChar w:fldCharType="end"/>
        </w:r>
      </w:hyperlink>
    </w:p>
    <w:p w14:paraId="5037A134" w14:textId="157FA667" w:rsidR="004E2B6A" w:rsidRDefault="004E2B6A">
      <w:pPr>
        <w:pStyle w:val="TOC2"/>
        <w:tabs>
          <w:tab w:val="right" w:leader="dot" w:pos="9350"/>
        </w:tabs>
        <w:rPr>
          <w:rFonts w:asciiTheme="minorHAnsi" w:eastAsiaTheme="minorEastAsia" w:hAnsiTheme="minorHAnsi" w:cstheme="minorBidi"/>
          <w:smallCaps w:val="0"/>
          <w:noProof/>
          <w:kern w:val="2"/>
          <w:sz w:val="24"/>
          <w:szCs w:val="24"/>
          <w14:ligatures w14:val="standardContextual"/>
        </w:rPr>
      </w:pPr>
      <w:hyperlink w:anchor="_Toc203765948" w:history="1">
        <w:r w:rsidRPr="009A1507">
          <w:rPr>
            <w:rStyle w:val="Hyperlink"/>
            <w:noProof/>
          </w:rPr>
          <w:t>Division Transfusion Report</w:t>
        </w:r>
        <w:r>
          <w:rPr>
            <w:noProof/>
            <w:webHidden/>
          </w:rPr>
          <w:tab/>
        </w:r>
        <w:r>
          <w:rPr>
            <w:noProof/>
            <w:webHidden/>
          </w:rPr>
          <w:fldChar w:fldCharType="begin"/>
        </w:r>
        <w:r>
          <w:rPr>
            <w:noProof/>
            <w:webHidden/>
          </w:rPr>
          <w:instrText xml:space="preserve"> PAGEREF _Toc203765948 \h </w:instrText>
        </w:r>
        <w:r>
          <w:rPr>
            <w:noProof/>
            <w:webHidden/>
          </w:rPr>
        </w:r>
        <w:r>
          <w:rPr>
            <w:noProof/>
            <w:webHidden/>
          </w:rPr>
          <w:fldChar w:fldCharType="separate"/>
        </w:r>
        <w:r w:rsidR="007D1829">
          <w:rPr>
            <w:noProof/>
            <w:webHidden/>
          </w:rPr>
          <w:t>360</w:t>
        </w:r>
        <w:r>
          <w:rPr>
            <w:noProof/>
            <w:webHidden/>
          </w:rPr>
          <w:fldChar w:fldCharType="end"/>
        </w:r>
      </w:hyperlink>
    </w:p>
    <w:p w14:paraId="01301598" w14:textId="195D7CD3" w:rsidR="004E2B6A" w:rsidRDefault="004E2B6A">
      <w:pPr>
        <w:pStyle w:val="TOC2"/>
        <w:tabs>
          <w:tab w:val="right" w:leader="dot" w:pos="9350"/>
        </w:tabs>
        <w:rPr>
          <w:rFonts w:asciiTheme="minorHAnsi" w:eastAsiaTheme="minorEastAsia" w:hAnsiTheme="minorHAnsi" w:cstheme="minorBidi"/>
          <w:smallCaps w:val="0"/>
          <w:noProof/>
          <w:kern w:val="2"/>
          <w:sz w:val="24"/>
          <w:szCs w:val="24"/>
          <w14:ligatures w14:val="standardContextual"/>
        </w:rPr>
      </w:pPr>
      <w:hyperlink w:anchor="_Toc203765949" w:history="1">
        <w:r w:rsidRPr="009A1507">
          <w:rPr>
            <w:rStyle w:val="Hyperlink"/>
            <w:noProof/>
          </w:rPr>
          <w:t>Division Workload Report</w:t>
        </w:r>
        <w:r>
          <w:rPr>
            <w:noProof/>
            <w:webHidden/>
          </w:rPr>
          <w:tab/>
        </w:r>
        <w:r>
          <w:rPr>
            <w:noProof/>
            <w:webHidden/>
          </w:rPr>
          <w:fldChar w:fldCharType="begin"/>
        </w:r>
        <w:r>
          <w:rPr>
            <w:noProof/>
            <w:webHidden/>
          </w:rPr>
          <w:instrText xml:space="preserve"> PAGEREF _Toc203765949 \h </w:instrText>
        </w:r>
        <w:r>
          <w:rPr>
            <w:noProof/>
            <w:webHidden/>
          </w:rPr>
        </w:r>
        <w:r>
          <w:rPr>
            <w:noProof/>
            <w:webHidden/>
          </w:rPr>
          <w:fldChar w:fldCharType="separate"/>
        </w:r>
        <w:r w:rsidR="007D1829">
          <w:rPr>
            <w:noProof/>
            <w:webHidden/>
          </w:rPr>
          <w:t>362</w:t>
        </w:r>
        <w:r>
          <w:rPr>
            <w:noProof/>
            <w:webHidden/>
          </w:rPr>
          <w:fldChar w:fldCharType="end"/>
        </w:r>
      </w:hyperlink>
    </w:p>
    <w:p w14:paraId="2CB9298F" w14:textId="02C83877" w:rsidR="004E2B6A" w:rsidRDefault="004E2B6A">
      <w:pPr>
        <w:pStyle w:val="TOC2"/>
        <w:tabs>
          <w:tab w:val="right" w:leader="dot" w:pos="9350"/>
        </w:tabs>
        <w:rPr>
          <w:rFonts w:asciiTheme="minorHAnsi" w:eastAsiaTheme="minorEastAsia" w:hAnsiTheme="minorHAnsi" w:cstheme="minorBidi"/>
          <w:smallCaps w:val="0"/>
          <w:noProof/>
          <w:kern w:val="2"/>
          <w:sz w:val="24"/>
          <w:szCs w:val="24"/>
          <w14:ligatures w14:val="standardContextual"/>
        </w:rPr>
      </w:pPr>
      <w:hyperlink w:anchor="_Toc203765950" w:history="1">
        <w:r w:rsidRPr="009A1507">
          <w:rPr>
            <w:rStyle w:val="Hyperlink"/>
            <w:noProof/>
          </w:rPr>
          <w:t>Exception Report</w:t>
        </w:r>
        <w:r>
          <w:rPr>
            <w:noProof/>
            <w:webHidden/>
          </w:rPr>
          <w:tab/>
        </w:r>
        <w:r>
          <w:rPr>
            <w:noProof/>
            <w:webHidden/>
          </w:rPr>
          <w:fldChar w:fldCharType="begin"/>
        </w:r>
        <w:r>
          <w:rPr>
            <w:noProof/>
            <w:webHidden/>
          </w:rPr>
          <w:instrText xml:space="preserve"> PAGEREF _Toc203765950 \h </w:instrText>
        </w:r>
        <w:r>
          <w:rPr>
            <w:noProof/>
            <w:webHidden/>
          </w:rPr>
        </w:r>
        <w:r>
          <w:rPr>
            <w:noProof/>
            <w:webHidden/>
          </w:rPr>
          <w:fldChar w:fldCharType="separate"/>
        </w:r>
        <w:r w:rsidR="007D1829">
          <w:rPr>
            <w:noProof/>
            <w:webHidden/>
          </w:rPr>
          <w:t>364</w:t>
        </w:r>
        <w:r>
          <w:rPr>
            <w:noProof/>
            <w:webHidden/>
          </w:rPr>
          <w:fldChar w:fldCharType="end"/>
        </w:r>
      </w:hyperlink>
    </w:p>
    <w:p w14:paraId="567C1569" w14:textId="44438537" w:rsidR="004E2B6A" w:rsidRDefault="004E2B6A">
      <w:pPr>
        <w:pStyle w:val="TOC2"/>
        <w:tabs>
          <w:tab w:val="right" w:leader="dot" w:pos="9350"/>
        </w:tabs>
        <w:rPr>
          <w:rFonts w:asciiTheme="minorHAnsi" w:eastAsiaTheme="minorEastAsia" w:hAnsiTheme="minorHAnsi" w:cstheme="minorBidi"/>
          <w:smallCaps w:val="0"/>
          <w:noProof/>
          <w:kern w:val="2"/>
          <w:sz w:val="24"/>
          <w:szCs w:val="24"/>
          <w14:ligatures w14:val="standardContextual"/>
        </w:rPr>
      </w:pPr>
      <w:hyperlink w:anchor="_Toc203765951" w:history="1">
        <w:r w:rsidRPr="009A1507">
          <w:rPr>
            <w:rStyle w:val="Hyperlink"/>
            <w:noProof/>
          </w:rPr>
          <w:t>Finalize/Print TRW (See Patient Services, Finalize/Print TRW)</w:t>
        </w:r>
        <w:r>
          <w:rPr>
            <w:noProof/>
            <w:webHidden/>
          </w:rPr>
          <w:tab/>
        </w:r>
        <w:r>
          <w:rPr>
            <w:noProof/>
            <w:webHidden/>
          </w:rPr>
          <w:fldChar w:fldCharType="begin"/>
        </w:r>
        <w:r>
          <w:rPr>
            <w:noProof/>
            <w:webHidden/>
          </w:rPr>
          <w:instrText xml:space="preserve"> PAGEREF _Toc203765951 \h </w:instrText>
        </w:r>
        <w:r>
          <w:rPr>
            <w:noProof/>
            <w:webHidden/>
          </w:rPr>
        </w:r>
        <w:r>
          <w:rPr>
            <w:noProof/>
            <w:webHidden/>
          </w:rPr>
          <w:fldChar w:fldCharType="separate"/>
        </w:r>
        <w:r w:rsidR="007D1829">
          <w:rPr>
            <w:noProof/>
            <w:webHidden/>
          </w:rPr>
          <w:t>366</w:t>
        </w:r>
        <w:r>
          <w:rPr>
            <w:noProof/>
            <w:webHidden/>
          </w:rPr>
          <w:fldChar w:fldCharType="end"/>
        </w:r>
      </w:hyperlink>
    </w:p>
    <w:p w14:paraId="714E46E7" w14:textId="40969069" w:rsidR="004E2B6A" w:rsidRDefault="004E2B6A">
      <w:pPr>
        <w:pStyle w:val="TOC2"/>
        <w:tabs>
          <w:tab w:val="right" w:leader="dot" w:pos="9350"/>
        </w:tabs>
        <w:rPr>
          <w:rFonts w:asciiTheme="minorHAnsi" w:eastAsiaTheme="minorEastAsia" w:hAnsiTheme="minorHAnsi" w:cstheme="minorBidi"/>
          <w:smallCaps w:val="0"/>
          <w:noProof/>
          <w:kern w:val="2"/>
          <w:sz w:val="24"/>
          <w:szCs w:val="24"/>
          <w14:ligatures w14:val="standardContextual"/>
        </w:rPr>
      </w:pPr>
      <w:hyperlink w:anchor="_Toc203765952" w:history="1">
        <w:r w:rsidRPr="009A1507">
          <w:rPr>
            <w:rStyle w:val="Hyperlink"/>
            <w:noProof/>
          </w:rPr>
          <w:t>Inappropriate Transfusion Request Report</w:t>
        </w:r>
        <w:r>
          <w:rPr>
            <w:noProof/>
            <w:webHidden/>
          </w:rPr>
          <w:tab/>
        </w:r>
        <w:r>
          <w:rPr>
            <w:noProof/>
            <w:webHidden/>
          </w:rPr>
          <w:fldChar w:fldCharType="begin"/>
        </w:r>
        <w:r>
          <w:rPr>
            <w:noProof/>
            <w:webHidden/>
          </w:rPr>
          <w:instrText xml:space="preserve"> PAGEREF _Toc203765952 \h </w:instrText>
        </w:r>
        <w:r>
          <w:rPr>
            <w:noProof/>
            <w:webHidden/>
          </w:rPr>
        </w:r>
        <w:r>
          <w:rPr>
            <w:noProof/>
            <w:webHidden/>
          </w:rPr>
          <w:fldChar w:fldCharType="separate"/>
        </w:r>
        <w:r w:rsidR="007D1829">
          <w:rPr>
            <w:noProof/>
            <w:webHidden/>
          </w:rPr>
          <w:t>366</w:t>
        </w:r>
        <w:r>
          <w:rPr>
            <w:noProof/>
            <w:webHidden/>
          </w:rPr>
          <w:fldChar w:fldCharType="end"/>
        </w:r>
      </w:hyperlink>
    </w:p>
    <w:p w14:paraId="630307B3" w14:textId="7F84D9DF" w:rsidR="004E2B6A" w:rsidRDefault="004E2B6A">
      <w:pPr>
        <w:pStyle w:val="TOC2"/>
        <w:tabs>
          <w:tab w:val="right" w:leader="dot" w:pos="9350"/>
        </w:tabs>
        <w:rPr>
          <w:rFonts w:asciiTheme="minorHAnsi" w:eastAsiaTheme="minorEastAsia" w:hAnsiTheme="minorHAnsi" w:cstheme="minorBidi"/>
          <w:smallCaps w:val="0"/>
          <w:noProof/>
          <w:kern w:val="2"/>
          <w:sz w:val="24"/>
          <w:szCs w:val="24"/>
          <w14:ligatures w14:val="standardContextual"/>
        </w:rPr>
      </w:pPr>
      <w:hyperlink w:anchor="_Toc203765953" w:history="1">
        <w:r w:rsidRPr="009A1507">
          <w:rPr>
            <w:rStyle w:val="Hyperlink"/>
            <w:noProof/>
          </w:rPr>
          <w:t>Issued/Returned Unit Report</w:t>
        </w:r>
        <w:r>
          <w:rPr>
            <w:noProof/>
            <w:webHidden/>
          </w:rPr>
          <w:tab/>
        </w:r>
        <w:r>
          <w:rPr>
            <w:noProof/>
            <w:webHidden/>
          </w:rPr>
          <w:fldChar w:fldCharType="begin"/>
        </w:r>
        <w:r>
          <w:rPr>
            <w:noProof/>
            <w:webHidden/>
          </w:rPr>
          <w:instrText xml:space="preserve"> PAGEREF _Toc203765953 \h </w:instrText>
        </w:r>
        <w:r>
          <w:rPr>
            <w:noProof/>
            <w:webHidden/>
          </w:rPr>
        </w:r>
        <w:r>
          <w:rPr>
            <w:noProof/>
            <w:webHidden/>
          </w:rPr>
          <w:fldChar w:fldCharType="separate"/>
        </w:r>
        <w:r w:rsidR="007D1829">
          <w:rPr>
            <w:noProof/>
            <w:webHidden/>
          </w:rPr>
          <w:t>367</w:t>
        </w:r>
        <w:r>
          <w:rPr>
            <w:noProof/>
            <w:webHidden/>
          </w:rPr>
          <w:fldChar w:fldCharType="end"/>
        </w:r>
      </w:hyperlink>
    </w:p>
    <w:p w14:paraId="064B3A91" w14:textId="7B2EBA84" w:rsidR="004E2B6A" w:rsidRDefault="004E2B6A">
      <w:pPr>
        <w:pStyle w:val="TOC2"/>
        <w:tabs>
          <w:tab w:val="right" w:leader="dot" w:pos="9350"/>
        </w:tabs>
        <w:rPr>
          <w:rFonts w:asciiTheme="minorHAnsi" w:eastAsiaTheme="minorEastAsia" w:hAnsiTheme="minorHAnsi" w:cstheme="minorBidi"/>
          <w:smallCaps w:val="0"/>
          <w:noProof/>
          <w:kern w:val="2"/>
          <w:sz w:val="24"/>
          <w:szCs w:val="24"/>
          <w14:ligatures w14:val="standardContextual"/>
        </w:rPr>
      </w:pPr>
      <w:hyperlink w:anchor="_Toc203765954" w:history="1">
        <w:r w:rsidRPr="009A1507">
          <w:rPr>
            <w:rStyle w:val="Hyperlink"/>
            <w:noProof/>
          </w:rPr>
          <w:t>Medication Profile (See Patient Information Toolbar)</w:t>
        </w:r>
        <w:r>
          <w:rPr>
            <w:noProof/>
            <w:webHidden/>
          </w:rPr>
          <w:tab/>
        </w:r>
        <w:r>
          <w:rPr>
            <w:noProof/>
            <w:webHidden/>
          </w:rPr>
          <w:fldChar w:fldCharType="begin"/>
        </w:r>
        <w:r>
          <w:rPr>
            <w:noProof/>
            <w:webHidden/>
          </w:rPr>
          <w:instrText xml:space="preserve"> PAGEREF _Toc203765954 \h </w:instrText>
        </w:r>
        <w:r>
          <w:rPr>
            <w:noProof/>
            <w:webHidden/>
          </w:rPr>
        </w:r>
        <w:r>
          <w:rPr>
            <w:noProof/>
            <w:webHidden/>
          </w:rPr>
          <w:fldChar w:fldCharType="separate"/>
        </w:r>
        <w:r w:rsidR="007D1829">
          <w:rPr>
            <w:noProof/>
            <w:webHidden/>
          </w:rPr>
          <w:t>368</w:t>
        </w:r>
        <w:r>
          <w:rPr>
            <w:noProof/>
            <w:webHidden/>
          </w:rPr>
          <w:fldChar w:fldCharType="end"/>
        </w:r>
      </w:hyperlink>
    </w:p>
    <w:p w14:paraId="0F128CAB" w14:textId="4E1B3FF8" w:rsidR="004E2B6A" w:rsidRDefault="004E2B6A">
      <w:pPr>
        <w:pStyle w:val="TOC2"/>
        <w:tabs>
          <w:tab w:val="right" w:leader="dot" w:pos="9350"/>
        </w:tabs>
        <w:rPr>
          <w:rFonts w:asciiTheme="minorHAnsi" w:eastAsiaTheme="minorEastAsia" w:hAnsiTheme="minorHAnsi" w:cstheme="minorBidi"/>
          <w:smallCaps w:val="0"/>
          <w:noProof/>
          <w:kern w:val="2"/>
          <w:sz w:val="24"/>
          <w:szCs w:val="24"/>
          <w14:ligatures w14:val="standardContextual"/>
        </w:rPr>
      </w:pPr>
      <w:hyperlink w:anchor="_Toc203765955" w:history="1">
        <w:r w:rsidRPr="009A1507">
          <w:rPr>
            <w:rStyle w:val="Hyperlink"/>
            <w:noProof/>
          </w:rPr>
          <w:t>Order History Report</w:t>
        </w:r>
        <w:r>
          <w:rPr>
            <w:noProof/>
            <w:webHidden/>
          </w:rPr>
          <w:tab/>
        </w:r>
        <w:r>
          <w:rPr>
            <w:noProof/>
            <w:webHidden/>
          </w:rPr>
          <w:fldChar w:fldCharType="begin"/>
        </w:r>
        <w:r>
          <w:rPr>
            <w:noProof/>
            <w:webHidden/>
          </w:rPr>
          <w:instrText xml:space="preserve"> PAGEREF _Toc203765955 \h </w:instrText>
        </w:r>
        <w:r>
          <w:rPr>
            <w:noProof/>
            <w:webHidden/>
          </w:rPr>
        </w:r>
        <w:r>
          <w:rPr>
            <w:noProof/>
            <w:webHidden/>
          </w:rPr>
          <w:fldChar w:fldCharType="separate"/>
        </w:r>
        <w:r w:rsidR="007D1829">
          <w:rPr>
            <w:noProof/>
            <w:webHidden/>
          </w:rPr>
          <w:t>368</w:t>
        </w:r>
        <w:r>
          <w:rPr>
            <w:noProof/>
            <w:webHidden/>
          </w:rPr>
          <w:fldChar w:fldCharType="end"/>
        </w:r>
      </w:hyperlink>
    </w:p>
    <w:p w14:paraId="55AB343E" w14:textId="5A6D53BA" w:rsidR="004E2B6A" w:rsidRDefault="004E2B6A">
      <w:pPr>
        <w:pStyle w:val="TOC2"/>
        <w:tabs>
          <w:tab w:val="right" w:leader="dot" w:pos="9350"/>
        </w:tabs>
        <w:rPr>
          <w:rFonts w:asciiTheme="minorHAnsi" w:eastAsiaTheme="minorEastAsia" w:hAnsiTheme="minorHAnsi" w:cstheme="minorBidi"/>
          <w:smallCaps w:val="0"/>
          <w:noProof/>
          <w:kern w:val="2"/>
          <w:sz w:val="24"/>
          <w:szCs w:val="24"/>
          <w14:ligatures w14:val="standardContextual"/>
        </w:rPr>
      </w:pPr>
      <w:hyperlink w:anchor="_Toc203765956" w:history="1">
        <w:r w:rsidRPr="009A1507">
          <w:rPr>
            <w:rStyle w:val="Hyperlink"/>
            <w:noProof/>
          </w:rPr>
          <w:t>Patient History Report</w:t>
        </w:r>
        <w:r>
          <w:rPr>
            <w:noProof/>
            <w:webHidden/>
          </w:rPr>
          <w:tab/>
        </w:r>
        <w:r>
          <w:rPr>
            <w:noProof/>
            <w:webHidden/>
          </w:rPr>
          <w:fldChar w:fldCharType="begin"/>
        </w:r>
        <w:r>
          <w:rPr>
            <w:noProof/>
            <w:webHidden/>
          </w:rPr>
          <w:instrText xml:space="preserve"> PAGEREF _Toc203765956 \h </w:instrText>
        </w:r>
        <w:r>
          <w:rPr>
            <w:noProof/>
            <w:webHidden/>
          </w:rPr>
        </w:r>
        <w:r>
          <w:rPr>
            <w:noProof/>
            <w:webHidden/>
          </w:rPr>
          <w:fldChar w:fldCharType="separate"/>
        </w:r>
        <w:r w:rsidR="007D1829">
          <w:rPr>
            <w:noProof/>
            <w:webHidden/>
          </w:rPr>
          <w:t>371</w:t>
        </w:r>
        <w:r>
          <w:rPr>
            <w:noProof/>
            <w:webHidden/>
          </w:rPr>
          <w:fldChar w:fldCharType="end"/>
        </w:r>
      </w:hyperlink>
    </w:p>
    <w:p w14:paraId="24000A3D" w14:textId="2B5AA133" w:rsidR="004E2B6A" w:rsidRDefault="004E2B6A">
      <w:pPr>
        <w:pStyle w:val="TOC2"/>
        <w:tabs>
          <w:tab w:val="right" w:leader="dot" w:pos="9350"/>
        </w:tabs>
        <w:rPr>
          <w:rFonts w:asciiTheme="minorHAnsi" w:eastAsiaTheme="minorEastAsia" w:hAnsiTheme="minorHAnsi" w:cstheme="minorBidi"/>
          <w:smallCaps w:val="0"/>
          <w:noProof/>
          <w:kern w:val="2"/>
          <w:sz w:val="24"/>
          <w:szCs w:val="24"/>
          <w14:ligatures w14:val="standardContextual"/>
        </w:rPr>
      </w:pPr>
      <w:hyperlink w:anchor="_Toc203765957" w:history="1">
        <w:r w:rsidRPr="009A1507">
          <w:rPr>
            <w:rStyle w:val="Hyperlink"/>
            <w:noProof/>
          </w:rPr>
          <w:t>Patient Testing Worklist and Testing Worklist Reports</w:t>
        </w:r>
        <w:r>
          <w:rPr>
            <w:noProof/>
            <w:webHidden/>
          </w:rPr>
          <w:tab/>
        </w:r>
        <w:r>
          <w:rPr>
            <w:noProof/>
            <w:webHidden/>
          </w:rPr>
          <w:fldChar w:fldCharType="begin"/>
        </w:r>
        <w:r>
          <w:rPr>
            <w:noProof/>
            <w:webHidden/>
          </w:rPr>
          <w:instrText xml:space="preserve"> PAGEREF _Toc203765957 \h </w:instrText>
        </w:r>
        <w:r>
          <w:rPr>
            <w:noProof/>
            <w:webHidden/>
          </w:rPr>
        </w:r>
        <w:r>
          <w:rPr>
            <w:noProof/>
            <w:webHidden/>
          </w:rPr>
          <w:fldChar w:fldCharType="separate"/>
        </w:r>
        <w:r w:rsidR="007D1829">
          <w:rPr>
            <w:noProof/>
            <w:webHidden/>
          </w:rPr>
          <w:t>373</w:t>
        </w:r>
        <w:r>
          <w:rPr>
            <w:noProof/>
            <w:webHidden/>
          </w:rPr>
          <w:fldChar w:fldCharType="end"/>
        </w:r>
      </w:hyperlink>
    </w:p>
    <w:p w14:paraId="3095863A" w14:textId="0DDBBB9C" w:rsidR="004E2B6A" w:rsidRDefault="004E2B6A">
      <w:pPr>
        <w:pStyle w:val="TOC2"/>
        <w:tabs>
          <w:tab w:val="right" w:leader="dot" w:pos="9350"/>
        </w:tabs>
        <w:rPr>
          <w:rFonts w:asciiTheme="minorHAnsi" w:eastAsiaTheme="minorEastAsia" w:hAnsiTheme="minorHAnsi" w:cstheme="minorBidi"/>
          <w:smallCaps w:val="0"/>
          <w:noProof/>
          <w:kern w:val="2"/>
          <w:sz w:val="24"/>
          <w:szCs w:val="24"/>
          <w14:ligatures w14:val="standardContextual"/>
        </w:rPr>
      </w:pPr>
      <w:hyperlink w:anchor="_Toc203765958" w:history="1">
        <w:r w:rsidRPr="009A1507">
          <w:rPr>
            <w:rStyle w:val="Hyperlink"/>
            <w:noProof/>
          </w:rPr>
          <w:t>Prolonged Transfusion Time Report</w:t>
        </w:r>
        <w:r>
          <w:rPr>
            <w:noProof/>
            <w:webHidden/>
          </w:rPr>
          <w:tab/>
        </w:r>
        <w:r>
          <w:rPr>
            <w:noProof/>
            <w:webHidden/>
          </w:rPr>
          <w:fldChar w:fldCharType="begin"/>
        </w:r>
        <w:r>
          <w:rPr>
            <w:noProof/>
            <w:webHidden/>
          </w:rPr>
          <w:instrText xml:space="preserve"> PAGEREF _Toc203765958 \h </w:instrText>
        </w:r>
        <w:r>
          <w:rPr>
            <w:noProof/>
            <w:webHidden/>
          </w:rPr>
        </w:r>
        <w:r>
          <w:rPr>
            <w:noProof/>
            <w:webHidden/>
          </w:rPr>
          <w:fldChar w:fldCharType="separate"/>
        </w:r>
        <w:r w:rsidR="007D1829">
          <w:rPr>
            <w:noProof/>
            <w:webHidden/>
          </w:rPr>
          <w:t>376</w:t>
        </w:r>
        <w:r>
          <w:rPr>
            <w:noProof/>
            <w:webHidden/>
          </w:rPr>
          <w:fldChar w:fldCharType="end"/>
        </w:r>
      </w:hyperlink>
    </w:p>
    <w:p w14:paraId="734B1E28" w14:textId="7183FCEE" w:rsidR="004E2B6A" w:rsidRDefault="004E2B6A">
      <w:pPr>
        <w:pStyle w:val="TOC2"/>
        <w:tabs>
          <w:tab w:val="right" w:leader="dot" w:pos="9350"/>
        </w:tabs>
        <w:rPr>
          <w:rFonts w:asciiTheme="minorHAnsi" w:eastAsiaTheme="minorEastAsia" w:hAnsiTheme="minorHAnsi" w:cstheme="minorBidi"/>
          <w:smallCaps w:val="0"/>
          <w:noProof/>
          <w:kern w:val="2"/>
          <w:sz w:val="24"/>
          <w:szCs w:val="24"/>
          <w14:ligatures w14:val="standardContextual"/>
        </w:rPr>
      </w:pPr>
      <w:hyperlink w:anchor="_Toc203765959" w:history="1">
        <w:r w:rsidRPr="009A1507">
          <w:rPr>
            <w:rStyle w:val="Hyperlink"/>
            <w:noProof/>
          </w:rPr>
          <w:t>Transfusion Complications Report</w:t>
        </w:r>
        <w:r>
          <w:rPr>
            <w:noProof/>
            <w:webHidden/>
          </w:rPr>
          <w:tab/>
        </w:r>
        <w:r>
          <w:rPr>
            <w:noProof/>
            <w:webHidden/>
          </w:rPr>
          <w:fldChar w:fldCharType="begin"/>
        </w:r>
        <w:r>
          <w:rPr>
            <w:noProof/>
            <w:webHidden/>
          </w:rPr>
          <w:instrText xml:space="preserve"> PAGEREF _Toc203765959 \h </w:instrText>
        </w:r>
        <w:r>
          <w:rPr>
            <w:noProof/>
            <w:webHidden/>
          </w:rPr>
        </w:r>
        <w:r>
          <w:rPr>
            <w:noProof/>
            <w:webHidden/>
          </w:rPr>
          <w:fldChar w:fldCharType="separate"/>
        </w:r>
        <w:r w:rsidR="007D1829">
          <w:rPr>
            <w:noProof/>
            <w:webHidden/>
          </w:rPr>
          <w:t>378</w:t>
        </w:r>
        <w:r>
          <w:rPr>
            <w:noProof/>
            <w:webHidden/>
          </w:rPr>
          <w:fldChar w:fldCharType="end"/>
        </w:r>
      </w:hyperlink>
    </w:p>
    <w:p w14:paraId="23D0E27D" w14:textId="4AE807A4" w:rsidR="004E2B6A" w:rsidRDefault="004E2B6A">
      <w:pPr>
        <w:pStyle w:val="TOC2"/>
        <w:tabs>
          <w:tab w:val="right" w:leader="dot" w:pos="9350"/>
        </w:tabs>
        <w:rPr>
          <w:rFonts w:asciiTheme="minorHAnsi" w:eastAsiaTheme="minorEastAsia" w:hAnsiTheme="minorHAnsi" w:cstheme="minorBidi"/>
          <w:smallCaps w:val="0"/>
          <w:noProof/>
          <w:kern w:val="2"/>
          <w:sz w:val="24"/>
          <w:szCs w:val="24"/>
          <w14:ligatures w14:val="standardContextual"/>
        </w:rPr>
      </w:pPr>
      <w:hyperlink w:anchor="_Toc203765960" w:history="1">
        <w:r w:rsidRPr="009A1507">
          <w:rPr>
            <w:rStyle w:val="Hyperlink"/>
            <w:noProof/>
          </w:rPr>
          <w:t>Transfusion Effectiveness Report</w:t>
        </w:r>
        <w:r>
          <w:rPr>
            <w:noProof/>
            <w:webHidden/>
          </w:rPr>
          <w:tab/>
        </w:r>
        <w:r>
          <w:rPr>
            <w:noProof/>
            <w:webHidden/>
          </w:rPr>
          <w:fldChar w:fldCharType="begin"/>
        </w:r>
        <w:r>
          <w:rPr>
            <w:noProof/>
            <w:webHidden/>
          </w:rPr>
          <w:instrText xml:space="preserve"> PAGEREF _Toc203765960 \h </w:instrText>
        </w:r>
        <w:r>
          <w:rPr>
            <w:noProof/>
            <w:webHidden/>
          </w:rPr>
        </w:r>
        <w:r>
          <w:rPr>
            <w:noProof/>
            <w:webHidden/>
          </w:rPr>
          <w:fldChar w:fldCharType="separate"/>
        </w:r>
        <w:r w:rsidR="007D1829">
          <w:rPr>
            <w:noProof/>
            <w:webHidden/>
          </w:rPr>
          <w:t>380</w:t>
        </w:r>
        <w:r>
          <w:rPr>
            <w:noProof/>
            <w:webHidden/>
          </w:rPr>
          <w:fldChar w:fldCharType="end"/>
        </w:r>
      </w:hyperlink>
    </w:p>
    <w:p w14:paraId="1F8D95ED" w14:textId="5AC0839D" w:rsidR="004E2B6A" w:rsidRDefault="004E2B6A">
      <w:pPr>
        <w:pStyle w:val="TOC2"/>
        <w:tabs>
          <w:tab w:val="right" w:leader="dot" w:pos="9350"/>
        </w:tabs>
        <w:rPr>
          <w:rFonts w:asciiTheme="minorHAnsi" w:eastAsiaTheme="minorEastAsia" w:hAnsiTheme="minorHAnsi" w:cstheme="minorBidi"/>
          <w:smallCaps w:val="0"/>
          <w:noProof/>
          <w:kern w:val="2"/>
          <w:sz w:val="24"/>
          <w:szCs w:val="24"/>
          <w14:ligatures w14:val="standardContextual"/>
        </w:rPr>
      </w:pPr>
      <w:hyperlink w:anchor="_Toc203765961" w:history="1">
        <w:r w:rsidRPr="009A1507">
          <w:rPr>
            <w:rStyle w:val="Hyperlink"/>
            <w:noProof/>
          </w:rPr>
          <w:t>Transfusion Reaction Count Report</w:t>
        </w:r>
        <w:r>
          <w:rPr>
            <w:noProof/>
            <w:webHidden/>
          </w:rPr>
          <w:tab/>
        </w:r>
        <w:r>
          <w:rPr>
            <w:noProof/>
            <w:webHidden/>
          </w:rPr>
          <w:fldChar w:fldCharType="begin"/>
        </w:r>
        <w:r>
          <w:rPr>
            <w:noProof/>
            <w:webHidden/>
          </w:rPr>
          <w:instrText xml:space="preserve"> PAGEREF _Toc203765961 \h </w:instrText>
        </w:r>
        <w:r>
          <w:rPr>
            <w:noProof/>
            <w:webHidden/>
          </w:rPr>
        </w:r>
        <w:r>
          <w:rPr>
            <w:noProof/>
            <w:webHidden/>
          </w:rPr>
          <w:fldChar w:fldCharType="separate"/>
        </w:r>
        <w:r w:rsidR="007D1829">
          <w:rPr>
            <w:noProof/>
            <w:webHidden/>
          </w:rPr>
          <w:t>382</w:t>
        </w:r>
        <w:r>
          <w:rPr>
            <w:noProof/>
            <w:webHidden/>
          </w:rPr>
          <w:fldChar w:fldCharType="end"/>
        </w:r>
      </w:hyperlink>
    </w:p>
    <w:p w14:paraId="15BD67A3" w14:textId="7D7A52EC" w:rsidR="004E2B6A" w:rsidRDefault="004E2B6A">
      <w:pPr>
        <w:pStyle w:val="TOC2"/>
        <w:tabs>
          <w:tab w:val="right" w:leader="dot" w:pos="9350"/>
        </w:tabs>
        <w:rPr>
          <w:rFonts w:asciiTheme="minorHAnsi" w:eastAsiaTheme="minorEastAsia" w:hAnsiTheme="minorHAnsi" w:cstheme="minorBidi"/>
          <w:smallCaps w:val="0"/>
          <w:noProof/>
          <w:kern w:val="2"/>
          <w:sz w:val="24"/>
          <w:szCs w:val="24"/>
          <w14:ligatures w14:val="standardContextual"/>
        </w:rPr>
      </w:pPr>
      <w:hyperlink w:anchor="_Toc203765962" w:history="1">
        <w:r w:rsidRPr="009A1507">
          <w:rPr>
            <w:rStyle w:val="Hyperlink"/>
            <w:noProof/>
          </w:rPr>
          <w:t>Transfusion Requirements Report</w:t>
        </w:r>
        <w:r>
          <w:rPr>
            <w:noProof/>
            <w:webHidden/>
          </w:rPr>
          <w:tab/>
        </w:r>
        <w:r>
          <w:rPr>
            <w:noProof/>
            <w:webHidden/>
          </w:rPr>
          <w:fldChar w:fldCharType="begin"/>
        </w:r>
        <w:r>
          <w:rPr>
            <w:noProof/>
            <w:webHidden/>
          </w:rPr>
          <w:instrText xml:space="preserve"> PAGEREF _Toc203765962 \h </w:instrText>
        </w:r>
        <w:r>
          <w:rPr>
            <w:noProof/>
            <w:webHidden/>
          </w:rPr>
        </w:r>
        <w:r>
          <w:rPr>
            <w:noProof/>
            <w:webHidden/>
          </w:rPr>
          <w:fldChar w:fldCharType="separate"/>
        </w:r>
        <w:r w:rsidR="007D1829">
          <w:rPr>
            <w:noProof/>
            <w:webHidden/>
          </w:rPr>
          <w:t>384</w:t>
        </w:r>
        <w:r>
          <w:rPr>
            <w:noProof/>
            <w:webHidden/>
          </w:rPr>
          <w:fldChar w:fldCharType="end"/>
        </w:r>
      </w:hyperlink>
    </w:p>
    <w:p w14:paraId="1E3D9715" w14:textId="29B5047D" w:rsidR="004E2B6A" w:rsidRDefault="004E2B6A">
      <w:pPr>
        <w:pStyle w:val="TOC2"/>
        <w:tabs>
          <w:tab w:val="right" w:leader="dot" w:pos="9350"/>
        </w:tabs>
        <w:rPr>
          <w:rFonts w:asciiTheme="minorHAnsi" w:eastAsiaTheme="minorEastAsia" w:hAnsiTheme="minorHAnsi" w:cstheme="minorBidi"/>
          <w:smallCaps w:val="0"/>
          <w:noProof/>
          <w:kern w:val="2"/>
          <w:sz w:val="24"/>
          <w:szCs w:val="24"/>
          <w14:ligatures w14:val="standardContextual"/>
        </w:rPr>
      </w:pPr>
      <w:hyperlink w:anchor="_Toc203765963" w:history="1">
        <w:r w:rsidRPr="009A1507">
          <w:rPr>
            <w:rStyle w:val="Hyperlink"/>
            <w:noProof/>
          </w:rPr>
          <w:t>Unit History Report</w:t>
        </w:r>
        <w:r>
          <w:rPr>
            <w:noProof/>
            <w:webHidden/>
          </w:rPr>
          <w:tab/>
        </w:r>
        <w:r>
          <w:rPr>
            <w:noProof/>
            <w:webHidden/>
          </w:rPr>
          <w:fldChar w:fldCharType="begin"/>
        </w:r>
        <w:r>
          <w:rPr>
            <w:noProof/>
            <w:webHidden/>
          </w:rPr>
          <w:instrText xml:space="preserve"> PAGEREF _Toc203765963 \h </w:instrText>
        </w:r>
        <w:r>
          <w:rPr>
            <w:noProof/>
            <w:webHidden/>
          </w:rPr>
        </w:r>
        <w:r>
          <w:rPr>
            <w:noProof/>
            <w:webHidden/>
          </w:rPr>
          <w:fldChar w:fldCharType="separate"/>
        </w:r>
        <w:r w:rsidR="007D1829">
          <w:rPr>
            <w:noProof/>
            <w:webHidden/>
          </w:rPr>
          <w:t>386</w:t>
        </w:r>
        <w:r>
          <w:rPr>
            <w:noProof/>
            <w:webHidden/>
          </w:rPr>
          <w:fldChar w:fldCharType="end"/>
        </w:r>
      </w:hyperlink>
    </w:p>
    <w:p w14:paraId="3BD9C351" w14:textId="044BD33A" w:rsidR="004E2B6A" w:rsidRDefault="004E2B6A">
      <w:pPr>
        <w:pStyle w:val="TOC1"/>
        <w:tabs>
          <w:tab w:val="right" w:leader="dot" w:pos="9350"/>
        </w:tabs>
        <w:rPr>
          <w:rFonts w:asciiTheme="minorHAnsi" w:eastAsiaTheme="minorEastAsia" w:hAnsiTheme="minorHAnsi" w:cstheme="minorBidi"/>
          <w:b w:val="0"/>
          <w:caps w:val="0"/>
          <w:noProof/>
          <w:kern w:val="2"/>
          <w:sz w:val="24"/>
          <w:szCs w:val="24"/>
          <w14:ligatures w14:val="standardContextual"/>
        </w:rPr>
      </w:pPr>
      <w:hyperlink w:anchor="_Toc203765964" w:history="1">
        <w:r w:rsidRPr="009A1507">
          <w:rPr>
            <w:rStyle w:val="Hyperlink"/>
            <w:noProof/>
          </w:rPr>
          <w:t>References</w:t>
        </w:r>
        <w:r>
          <w:rPr>
            <w:noProof/>
            <w:webHidden/>
          </w:rPr>
          <w:tab/>
        </w:r>
        <w:r>
          <w:rPr>
            <w:noProof/>
            <w:webHidden/>
          </w:rPr>
          <w:fldChar w:fldCharType="begin"/>
        </w:r>
        <w:r>
          <w:rPr>
            <w:noProof/>
            <w:webHidden/>
          </w:rPr>
          <w:instrText xml:space="preserve"> PAGEREF _Toc203765964 \h </w:instrText>
        </w:r>
        <w:r>
          <w:rPr>
            <w:noProof/>
            <w:webHidden/>
          </w:rPr>
        </w:r>
        <w:r>
          <w:rPr>
            <w:noProof/>
            <w:webHidden/>
          </w:rPr>
          <w:fldChar w:fldCharType="separate"/>
        </w:r>
        <w:r w:rsidR="007D1829">
          <w:rPr>
            <w:noProof/>
            <w:webHidden/>
          </w:rPr>
          <w:t>389</w:t>
        </w:r>
        <w:r>
          <w:rPr>
            <w:noProof/>
            <w:webHidden/>
          </w:rPr>
          <w:fldChar w:fldCharType="end"/>
        </w:r>
      </w:hyperlink>
    </w:p>
    <w:p w14:paraId="2C26C73B" w14:textId="68509189" w:rsidR="004E2B6A" w:rsidRDefault="004E2B6A">
      <w:pPr>
        <w:pStyle w:val="TOC1"/>
        <w:tabs>
          <w:tab w:val="right" w:leader="dot" w:pos="9350"/>
        </w:tabs>
        <w:rPr>
          <w:rFonts w:asciiTheme="minorHAnsi" w:eastAsiaTheme="minorEastAsia" w:hAnsiTheme="minorHAnsi" w:cstheme="minorBidi"/>
          <w:b w:val="0"/>
          <w:caps w:val="0"/>
          <w:noProof/>
          <w:kern w:val="2"/>
          <w:sz w:val="24"/>
          <w:szCs w:val="24"/>
          <w14:ligatures w14:val="standardContextual"/>
        </w:rPr>
      </w:pPr>
      <w:hyperlink w:anchor="_Toc203765965" w:history="1">
        <w:r w:rsidRPr="009A1507">
          <w:rPr>
            <w:rStyle w:val="Hyperlink"/>
            <w:noProof/>
          </w:rPr>
          <w:t>Glossary</w:t>
        </w:r>
        <w:r>
          <w:rPr>
            <w:noProof/>
            <w:webHidden/>
          </w:rPr>
          <w:tab/>
        </w:r>
        <w:r>
          <w:rPr>
            <w:noProof/>
            <w:webHidden/>
          </w:rPr>
          <w:fldChar w:fldCharType="begin"/>
        </w:r>
        <w:r>
          <w:rPr>
            <w:noProof/>
            <w:webHidden/>
          </w:rPr>
          <w:instrText xml:space="preserve"> PAGEREF _Toc203765965 \h </w:instrText>
        </w:r>
        <w:r>
          <w:rPr>
            <w:noProof/>
            <w:webHidden/>
          </w:rPr>
        </w:r>
        <w:r>
          <w:rPr>
            <w:noProof/>
            <w:webHidden/>
          </w:rPr>
          <w:fldChar w:fldCharType="separate"/>
        </w:r>
        <w:r w:rsidR="007D1829">
          <w:rPr>
            <w:noProof/>
            <w:webHidden/>
          </w:rPr>
          <w:t>392</w:t>
        </w:r>
        <w:r>
          <w:rPr>
            <w:noProof/>
            <w:webHidden/>
          </w:rPr>
          <w:fldChar w:fldCharType="end"/>
        </w:r>
      </w:hyperlink>
    </w:p>
    <w:p w14:paraId="66B5DCE0" w14:textId="7E43ADF5" w:rsidR="004E2B6A" w:rsidRDefault="004E2B6A">
      <w:pPr>
        <w:pStyle w:val="TOC1"/>
        <w:tabs>
          <w:tab w:val="right" w:leader="dot" w:pos="9350"/>
        </w:tabs>
        <w:rPr>
          <w:rFonts w:asciiTheme="minorHAnsi" w:eastAsiaTheme="minorEastAsia" w:hAnsiTheme="minorHAnsi" w:cstheme="minorBidi"/>
          <w:b w:val="0"/>
          <w:caps w:val="0"/>
          <w:noProof/>
          <w:kern w:val="2"/>
          <w:sz w:val="24"/>
          <w:szCs w:val="24"/>
          <w14:ligatures w14:val="standardContextual"/>
        </w:rPr>
      </w:pPr>
      <w:hyperlink w:anchor="_Toc203765966" w:history="1">
        <w:r w:rsidRPr="009A1507">
          <w:rPr>
            <w:rStyle w:val="Hyperlink"/>
            <w:noProof/>
          </w:rPr>
          <w:t>Appendices</w:t>
        </w:r>
        <w:r>
          <w:rPr>
            <w:noProof/>
            <w:webHidden/>
          </w:rPr>
          <w:tab/>
        </w:r>
        <w:r>
          <w:rPr>
            <w:noProof/>
            <w:webHidden/>
          </w:rPr>
          <w:fldChar w:fldCharType="begin"/>
        </w:r>
        <w:r>
          <w:rPr>
            <w:noProof/>
            <w:webHidden/>
          </w:rPr>
          <w:instrText xml:space="preserve"> PAGEREF _Toc203765966 \h </w:instrText>
        </w:r>
        <w:r>
          <w:rPr>
            <w:noProof/>
            <w:webHidden/>
          </w:rPr>
        </w:r>
        <w:r>
          <w:rPr>
            <w:noProof/>
            <w:webHidden/>
          </w:rPr>
          <w:fldChar w:fldCharType="separate"/>
        </w:r>
        <w:r w:rsidR="007D1829">
          <w:rPr>
            <w:noProof/>
            <w:webHidden/>
          </w:rPr>
          <w:t>402</w:t>
        </w:r>
        <w:r>
          <w:rPr>
            <w:noProof/>
            <w:webHidden/>
          </w:rPr>
          <w:fldChar w:fldCharType="end"/>
        </w:r>
      </w:hyperlink>
    </w:p>
    <w:p w14:paraId="69E77149" w14:textId="0A9D0DD5" w:rsidR="004E2B6A" w:rsidRDefault="004E2B6A">
      <w:pPr>
        <w:pStyle w:val="TOC2"/>
        <w:tabs>
          <w:tab w:val="right" w:leader="dot" w:pos="9350"/>
        </w:tabs>
        <w:rPr>
          <w:rFonts w:asciiTheme="minorHAnsi" w:eastAsiaTheme="minorEastAsia" w:hAnsiTheme="minorHAnsi" w:cstheme="minorBidi"/>
          <w:smallCaps w:val="0"/>
          <w:noProof/>
          <w:kern w:val="2"/>
          <w:sz w:val="24"/>
          <w:szCs w:val="24"/>
          <w14:ligatures w14:val="standardContextual"/>
        </w:rPr>
      </w:pPr>
      <w:hyperlink w:anchor="_Toc203765967" w:history="1">
        <w:r w:rsidRPr="009A1507">
          <w:rPr>
            <w:rStyle w:val="Hyperlink"/>
            <w:noProof/>
          </w:rPr>
          <w:t>Appendix A: Downtime Forms and Instructions</w:t>
        </w:r>
        <w:r>
          <w:rPr>
            <w:noProof/>
            <w:webHidden/>
          </w:rPr>
          <w:tab/>
        </w:r>
        <w:r>
          <w:rPr>
            <w:noProof/>
            <w:webHidden/>
          </w:rPr>
          <w:fldChar w:fldCharType="begin"/>
        </w:r>
        <w:r>
          <w:rPr>
            <w:noProof/>
            <w:webHidden/>
          </w:rPr>
          <w:instrText xml:space="preserve"> PAGEREF _Toc203765967 \h </w:instrText>
        </w:r>
        <w:r>
          <w:rPr>
            <w:noProof/>
            <w:webHidden/>
          </w:rPr>
        </w:r>
        <w:r>
          <w:rPr>
            <w:noProof/>
            <w:webHidden/>
          </w:rPr>
          <w:fldChar w:fldCharType="separate"/>
        </w:r>
        <w:r w:rsidR="007D1829">
          <w:rPr>
            <w:noProof/>
            <w:webHidden/>
          </w:rPr>
          <w:t>402</w:t>
        </w:r>
        <w:r>
          <w:rPr>
            <w:noProof/>
            <w:webHidden/>
          </w:rPr>
          <w:fldChar w:fldCharType="end"/>
        </w:r>
      </w:hyperlink>
    </w:p>
    <w:p w14:paraId="6EF1FDA5" w14:textId="140466A4" w:rsidR="004E2B6A" w:rsidRDefault="004E2B6A">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3765968" w:history="1">
        <w:r w:rsidRPr="009A1507">
          <w:rPr>
            <w:rStyle w:val="Hyperlink"/>
            <w:noProof/>
          </w:rPr>
          <w:t>Patient Testing Form</w:t>
        </w:r>
        <w:r>
          <w:rPr>
            <w:noProof/>
            <w:webHidden/>
          </w:rPr>
          <w:tab/>
        </w:r>
        <w:r>
          <w:rPr>
            <w:noProof/>
            <w:webHidden/>
          </w:rPr>
          <w:fldChar w:fldCharType="begin"/>
        </w:r>
        <w:r>
          <w:rPr>
            <w:noProof/>
            <w:webHidden/>
          </w:rPr>
          <w:instrText xml:space="preserve"> PAGEREF _Toc203765968 \h </w:instrText>
        </w:r>
        <w:r>
          <w:rPr>
            <w:noProof/>
            <w:webHidden/>
          </w:rPr>
        </w:r>
        <w:r>
          <w:rPr>
            <w:noProof/>
            <w:webHidden/>
          </w:rPr>
          <w:fldChar w:fldCharType="separate"/>
        </w:r>
        <w:r w:rsidR="007D1829">
          <w:rPr>
            <w:noProof/>
            <w:webHidden/>
          </w:rPr>
          <w:t>403</w:t>
        </w:r>
        <w:r>
          <w:rPr>
            <w:noProof/>
            <w:webHidden/>
          </w:rPr>
          <w:fldChar w:fldCharType="end"/>
        </w:r>
      </w:hyperlink>
    </w:p>
    <w:p w14:paraId="549C9402" w14:textId="10BAADB3" w:rsidR="004E2B6A" w:rsidRDefault="004E2B6A">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3765969" w:history="1">
        <w:r w:rsidRPr="009A1507">
          <w:rPr>
            <w:rStyle w:val="Hyperlink"/>
            <w:noProof/>
          </w:rPr>
          <w:t>Unit ABO/Rh Confirmation Form</w:t>
        </w:r>
        <w:r>
          <w:rPr>
            <w:noProof/>
            <w:webHidden/>
          </w:rPr>
          <w:tab/>
        </w:r>
        <w:r>
          <w:rPr>
            <w:noProof/>
            <w:webHidden/>
          </w:rPr>
          <w:fldChar w:fldCharType="begin"/>
        </w:r>
        <w:r>
          <w:rPr>
            <w:noProof/>
            <w:webHidden/>
          </w:rPr>
          <w:instrText xml:space="preserve"> PAGEREF _Toc203765969 \h </w:instrText>
        </w:r>
        <w:r>
          <w:rPr>
            <w:noProof/>
            <w:webHidden/>
          </w:rPr>
        </w:r>
        <w:r>
          <w:rPr>
            <w:noProof/>
            <w:webHidden/>
          </w:rPr>
          <w:fldChar w:fldCharType="separate"/>
        </w:r>
        <w:r w:rsidR="007D1829">
          <w:rPr>
            <w:noProof/>
            <w:webHidden/>
          </w:rPr>
          <w:t>406</w:t>
        </w:r>
        <w:r>
          <w:rPr>
            <w:noProof/>
            <w:webHidden/>
          </w:rPr>
          <w:fldChar w:fldCharType="end"/>
        </w:r>
      </w:hyperlink>
    </w:p>
    <w:p w14:paraId="15E6EE51" w14:textId="611D21D5" w:rsidR="004E2B6A" w:rsidRDefault="004E2B6A">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3765970" w:history="1">
        <w:r w:rsidRPr="009A1507">
          <w:rPr>
            <w:rStyle w:val="Hyperlink"/>
            <w:noProof/>
          </w:rPr>
          <w:t>Unit Issue and Inspection Log</w:t>
        </w:r>
        <w:r>
          <w:rPr>
            <w:noProof/>
            <w:webHidden/>
          </w:rPr>
          <w:tab/>
        </w:r>
        <w:r>
          <w:rPr>
            <w:noProof/>
            <w:webHidden/>
          </w:rPr>
          <w:fldChar w:fldCharType="begin"/>
        </w:r>
        <w:r>
          <w:rPr>
            <w:noProof/>
            <w:webHidden/>
          </w:rPr>
          <w:instrText xml:space="preserve"> PAGEREF _Toc203765970 \h </w:instrText>
        </w:r>
        <w:r>
          <w:rPr>
            <w:noProof/>
            <w:webHidden/>
          </w:rPr>
        </w:r>
        <w:r>
          <w:rPr>
            <w:noProof/>
            <w:webHidden/>
          </w:rPr>
          <w:fldChar w:fldCharType="separate"/>
        </w:r>
        <w:r w:rsidR="007D1829">
          <w:rPr>
            <w:noProof/>
            <w:webHidden/>
          </w:rPr>
          <w:t>407</w:t>
        </w:r>
        <w:r>
          <w:rPr>
            <w:noProof/>
            <w:webHidden/>
          </w:rPr>
          <w:fldChar w:fldCharType="end"/>
        </w:r>
      </w:hyperlink>
    </w:p>
    <w:p w14:paraId="575147E1" w14:textId="7FE10F5E" w:rsidR="004E2B6A" w:rsidRDefault="004E2B6A">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3765971" w:history="1">
        <w:r w:rsidRPr="009A1507">
          <w:rPr>
            <w:rStyle w:val="Hyperlink"/>
            <w:noProof/>
          </w:rPr>
          <w:t>Unit Modification Form</w:t>
        </w:r>
        <w:r>
          <w:rPr>
            <w:noProof/>
            <w:webHidden/>
          </w:rPr>
          <w:tab/>
        </w:r>
        <w:r>
          <w:rPr>
            <w:noProof/>
            <w:webHidden/>
          </w:rPr>
          <w:fldChar w:fldCharType="begin"/>
        </w:r>
        <w:r>
          <w:rPr>
            <w:noProof/>
            <w:webHidden/>
          </w:rPr>
          <w:instrText xml:space="preserve"> PAGEREF _Toc203765971 \h </w:instrText>
        </w:r>
        <w:r>
          <w:rPr>
            <w:noProof/>
            <w:webHidden/>
          </w:rPr>
        </w:r>
        <w:r>
          <w:rPr>
            <w:noProof/>
            <w:webHidden/>
          </w:rPr>
          <w:fldChar w:fldCharType="separate"/>
        </w:r>
        <w:r w:rsidR="007D1829">
          <w:rPr>
            <w:noProof/>
            <w:webHidden/>
          </w:rPr>
          <w:t>408</w:t>
        </w:r>
        <w:r>
          <w:rPr>
            <w:noProof/>
            <w:webHidden/>
          </w:rPr>
          <w:fldChar w:fldCharType="end"/>
        </w:r>
      </w:hyperlink>
    </w:p>
    <w:p w14:paraId="643F7441" w14:textId="36D557DC" w:rsidR="004E2B6A" w:rsidRDefault="004E2B6A">
      <w:pPr>
        <w:pStyle w:val="TOC2"/>
        <w:tabs>
          <w:tab w:val="right" w:leader="dot" w:pos="9350"/>
        </w:tabs>
        <w:rPr>
          <w:rFonts w:asciiTheme="minorHAnsi" w:eastAsiaTheme="minorEastAsia" w:hAnsiTheme="minorHAnsi" w:cstheme="minorBidi"/>
          <w:smallCaps w:val="0"/>
          <w:noProof/>
          <w:kern w:val="2"/>
          <w:sz w:val="24"/>
          <w:szCs w:val="24"/>
          <w14:ligatures w14:val="standardContextual"/>
        </w:rPr>
      </w:pPr>
      <w:hyperlink w:anchor="_Toc203765972" w:history="1">
        <w:r w:rsidRPr="009A1507">
          <w:rPr>
            <w:rStyle w:val="Hyperlink"/>
            <w:noProof/>
          </w:rPr>
          <w:t>Appendix B: Database Table Information</w:t>
        </w:r>
        <w:r>
          <w:rPr>
            <w:noProof/>
            <w:webHidden/>
          </w:rPr>
          <w:tab/>
        </w:r>
        <w:r>
          <w:rPr>
            <w:noProof/>
            <w:webHidden/>
          </w:rPr>
          <w:fldChar w:fldCharType="begin"/>
        </w:r>
        <w:r>
          <w:rPr>
            <w:noProof/>
            <w:webHidden/>
          </w:rPr>
          <w:instrText xml:space="preserve"> PAGEREF _Toc203765972 \h </w:instrText>
        </w:r>
        <w:r>
          <w:rPr>
            <w:noProof/>
            <w:webHidden/>
          </w:rPr>
        </w:r>
        <w:r>
          <w:rPr>
            <w:noProof/>
            <w:webHidden/>
          </w:rPr>
          <w:fldChar w:fldCharType="separate"/>
        </w:r>
        <w:r w:rsidR="007D1829">
          <w:rPr>
            <w:noProof/>
            <w:webHidden/>
          </w:rPr>
          <w:t>410</w:t>
        </w:r>
        <w:r>
          <w:rPr>
            <w:noProof/>
            <w:webHidden/>
          </w:rPr>
          <w:fldChar w:fldCharType="end"/>
        </w:r>
      </w:hyperlink>
    </w:p>
    <w:p w14:paraId="715BC291" w14:textId="3CEAE508" w:rsidR="004E2B6A" w:rsidRDefault="004E2B6A">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3765973" w:history="1">
        <w:r w:rsidRPr="009A1507">
          <w:rPr>
            <w:rStyle w:val="Hyperlink"/>
            <w:noProof/>
          </w:rPr>
          <w:t>Antibody and Antigen Tables</w:t>
        </w:r>
        <w:r>
          <w:rPr>
            <w:noProof/>
            <w:webHidden/>
          </w:rPr>
          <w:tab/>
        </w:r>
        <w:r>
          <w:rPr>
            <w:noProof/>
            <w:webHidden/>
          </w:rPr>
          <w:fldChar w:fldCharType="begin"/>
        </w:r>
        <w:r>
          <w:rPr>
            <w:noProof/>
            <w:webHidden/>
          </w:rPr>
          <w:instrText xml:space="preserve"> PAGEREF _Toc203765973 \h </w:instrText>
        </w:r>
        <w:r>
          <w:rPr>
            <w:noProof/>
            <w:webHidden/>
          </w:rPr>
        </w:r>
        <w:r>
          <w:rPr>
            <w:noProof/>
            <w:webHidden/>
          </w:rPr>
          <w:fldChar w:fldCharType="separate"/>
        </w:r>
        <w:r w:rsidR="007D1829">
          <w:rPr>
            <w:noProof/>
            <w:webHidden/>
          </w:rPr>
          <w:t>410</w:t>
        </w:r>
        <w:r>
          <w:rPr>
            <w:noProof/>
            <w:webHidden/>
          </w:rPr>
          <w:fldChar w:fldCharType="end"/>
        </w:r>
      </w:hyperlink>
    </w:p>
    <w:p w14:paraId="68443686" w14:textId="217EC38F" w:rsidR="004E2B6A" w:rsidRDefault="004E2B6A">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3765974" w:history="1">
        <w:r w:rsidRPr="009A1507">
          <w:rPr>
            <w:rStyle w:val="Hyperlink"/>
            <w:noProof/>
          </w:rPr>
          <w:t>Antibody and Antigen Table: Irregular Antibodies</w:t>
        </w:r>
        <w:r>
          <w:rPr>
            <w:noProof/>
            <w:webHidden/>
          </w:rPr>
          <w:tab/>
        </w:r>
        <w:r>
          <w:rPr>
            <w:noProof/>
            <w:webHidden/>
          </w:rPr>
          <w:fldChar w:fldCharType="begin"/>
        </w:r>
        <w:r>
          <w:rPr>
            <w:noProof/>
            <w:webHidden/>
          </w:rPr>
          <w:instrText xml:space="preserve"> PAGEREF _Toc203765974 \h </w:instrText>
        </w:r>
        <w:r>
          <w:rPr>
            <w:noProof/>
            <w:webHidden/>
          </w:rPr>
        </w:r>
        <w:r>
          <w:rPr>
            <w:noProof/>
            <w:webHidden/>
          </w:rPr>
          <w:fldChar w:fldCharType="separate"/>
        </w:r>
        <w:r w:rsidR="007D1829">
          <w:rPr>
            <w:noProof/>
            <w:webHidden/>
          </w:rPr>
          <w:t>410</w:t>
        </w:r>
        <w:r>
          <w:rPr>
            <w:noProof/>
            <w:webHidden/>
          </w:rPr>
          <w:fldChar w:fldCharType="end"/>
        </w:r>
      </w:hyperlink>
    </w:p>
    <w:p w14:paraId="1BECAAA4" w14:textId="689C2B9C" w:rsidR="004E2B6A" w:rsidRDefault="004E2B6A">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3765975" w:history="1">
        <w:r w:rsidRPr="009A1507">
          <w:rPr>
            <w:rStyle w:val="Hyperlink"/>
            <w:noProof/>
          </w:rPr>
          <w:t>Antibody and Antigen Table: Database Conversion</w:t>
        </w:r>
        <w:r>
          <w:rPr>
            <w:noProof/>
            <w:webHidden/>
          </w:rPr>
          <w:tab/>
        </w:r>
        <w:r>
          <w:rPr>
            <w:noProof/>
            <w:webHidden/>
          </w:rPr>
          <w:fldChar w:fldCharType="begin"/>
        </w:r>
        <w:r>
          <w:rPr>
            <w:noProof/>
            <w:webHidden/>
          </w:rPr>
          <w:instrText xml:space="preserve"> PAGEREF _Toc203765975 \h </w:instrText>
        </w:r>
        <w:r>
          <w:rPr>
            <w:noProof/>
            <w:webHidden/>
          </w:rPr>
        </w:r>
        <w:r>
          <w:rPr>
            <w:noProof/>
            <w:webHidden/>
          </w:rPr>
          <w:fldChar w:fldCharType="separate"/>
        </w:r>
        <w:r w:rsidR="007D1829">
          <w:rPr>
            <w:noProof/>
            <w:webHidden/>
          </w:rPr>
          <w:t>413</w:t>
        </w:r>
        <w:r>
          <w:rPr>
            <w:noProof/>
            <w:webHidden/>
          </w:rPr>
          <w:fldChar w:fldCharType="end"/>
        </w:r>
      </w:hyperlink>
    </w:p>
    <w:p w14:paraId="615B27FF" w14:textId="5F0DDC8C" w:rsidR="004E2B6A" w:rsidRDefault="004E2B6A">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3765976" w:history="1">
        <w:r w:rsidRPr="009A1507">
          <w:rPr>
            <w:rStyle w:val="Hyperlink"/>
            <w:noProof/>
          </w:rPr>
          <w:t>Antibody Screen Test Interpretation</w:t>
        </w:r>
        <w:r>
          <w:rPr>
            <w:noProof/>
            <w:webHidden/>
          </w:rPr>
          <w:tab/>
        </w:r>
        <w:r>
          <w:rPr>
            <w:noProof/>
            <w:webHidden/>
          </w:rPr>
          <w:fldChar w:fldCharType="begin"/>
        </w:r>
        <w:r>
          <w:rPr>
            <w:noProof/>
            <w:webHidden/>
          </w:rPr>
          <w:instrText xml:space="preserve"> PAGEREF _Toc203765976 \h </w:instrText>
        </w:r>
        <w:r>
          <w:rPr>
            <w:noProof/>
            <w:webHidden/>
          </w:rPr>
        </w:r>
        <w:r>
          <w:rPr>
            <w:noProof/>
            <w:webHidden/>
          </w:rPr>
          <w:fldChar w:fldCharType="separate"/>
        </w:r>
        <w:r w:rsidR="007D1829">
          <w:rPr>
            <w:noProof/>
            <w:webHidden/>
          </w:rPr>
          <w:t>414</w:t>
        </w:r>
        <w:r>
          <w:rPr>
            <w:noProof/>
            <w:webHidden/>
          </w:rPr>
          <w:fldChar w:fldCharType="end"/>
        </w:r>
      </w:hyperlink>
    </w:p>
    <w:p w14:paraId="011A5A5A" w14:textId="011FB7B3" w:rsidR="004E2B6A" w:rsidRDefault="004E2B6A">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3765977" w:history="1">
        <w:r w:rsidRPr="009A1507">
          <w:rPr>
            <w:rStyle w:val="Hyperlink"/>
            <w:noProof/>
          </w:rPr>
          <w:t>Canned Comment Category Types and Text</w:t>
        </w:r>
        <w:r>
          <w:rPr>
            <w:noProof/>
            <w:webHidden/>
          </w:rPr>
          <w:tab/>
        </w:r>
        <w:r>
          <w:rPr>
            <w:noProof/>
            <w:webHidden/>
          </w:rPr>
          <w:fldChar w:fldCharType="begin"/>
        </w:r>
        <w:r>
          <w:rPr>
            <w:noProof/>
            <w:webHidden/>
          </w:rPr>
          <w:instrText xml:space="preserve"> PAGEREF _Toc203765977 \h </w:instrText>
        </w:r>
        <w:r>
          <w:rPr>
            <w:noProof/>
            <w:webHidden/>
          </w:rPr>
        </w:r>
        <w:r>
          <w:rPr>
            <w:noProof/>
            <w:webHidden/>
          </w:rPr>
          <w:fldChar w:fldCharType="separate"/>
        </w:r>
        <w:r w:rsidR="007D1829">
          <w:rPr>
            <w:noProof/>
            <w:webHidden/>
          </w:rPr>
          <w:t>414</w:t>
        </w:r>
        <w:r>
          <w:rPr>
            <w:noProof/>
            <w:webHidden/>
          </w:rPr>
          <w:fldChar w:fldCharType="end"/>
        </w:r>
      </w:hyperlink>
    </w:p>
    <w:p w14:paraId="6B08D3B5" w14:textId="291CDDA9" w:rsidR="004E2B6A" w:rsidRDefault="004E2B6A">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3765978" w:history="1">
        <w:r w:rsidRPr="009A1507">
          <w:rPr>
            <w:rStyle w:val="Hyperlink"/>
            <w:noProof/>
          </w:rPr>
          <w:t>CPRS Orderable Blood Components (Component Classes) Mapped to ICCBBA Component Classes</w:t>
        </w:r>
        <w:r>
          <w:rPr>
            <w:noProof/>
            <w:webHidden/>
          </w:rPr>
          <w:tab/>
        </w:r>
        <w:r>
          <w:rPr>
            <w:noProof/>
            <w:webHidden/>
          </w:rPr>
          <w:fldChar w:fldCharType="begin"/>
        </w:r>
        <w:r>
          <w:rPr>
            <w:noProof/>
            <w:webHidden/>
          </w:rPr>
          <w:instrText xml:space="preserve"> PAGEREF _Toc203765978 \h </w:instrText>
        </w:r>
        <w:r>
          <w:rPr>
            <w:noProof/>
            <w:webHidden/>
          </w:rPr>
        </w:r>
        <w:r>
          <w:rPr>
            <w:noProof/>
            <w:webHidden/>
          </w:rPr>
          <w:fldChar w:fldCharType="separate"/>
        </w:r>
        <w:r w:rsidR="007D1829">
          <w:rPr>
            <w:noProof/>
            <w:webHidden/>
          </w:rPr>
          <w:t>420</w:t>
        </w:r>
        <w:r>
          <w:rPr>
            <w:noProof/>
            <w:webHidden/>
          </w:rPr>
          <w:fldChar w:fldCharType="end"/>
        </w:r>
      </w:hyperlink>
    </w:p>
    <w:p w14:paraId="4CAEBC9E" w14:textId="1C608E60" w:rsidR="004E2B6A" w:rsidRDefault="004E2B6A">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3765979" w:history="1">
        <w:r w:rsidRPr="009A1507">
          <w:rPr>
            <w:rStyle w:val="Hyperlink"/>
            <w:noProof/>
          </w:rPr>
          <w:t>Details in Audit Trail Report</w:t>
        </w:r>
        <w:r>
          <w:rPr>
            <w:noProof/>
            <w:webHidden/>
          </w:rPr>
          <w:tab/>
        </w:r>
        <w:r>
          <w:rPr>
            <w:noProof/>
            <w:webHidden/>
          </w:rPr>
          <w:fldChar w:fldCharType="begin"/>
        </w:r>
        <w:r>
          <w:rPr>
            <w:noProof/>
            <w:webHidden/>
          </w:rPr>
          <w:instrText xml:space="preserve"> PAGEREF _Toc203765979 \h </w:instrText>
        </w:r>
        <w:r>
          <w:rPr>
            <w:noProof/>
            <w:webHidden/>
          </w:rPr>
        </w:r>
        <w:r>
          <w:rPr>
            <w:noProof/>
            <w:webHidden/>
          </w:rPr>
          <w:fldChar w:fldCharType="separate"/>
        </w:r>
        <w:r w:rsidR="007D1829">
          <w:rPr>
            <w:noProof/>
            <w:webHidden/>
          </w:rPr>
          <w:t>420</w:t>
        </w:r>
        <w:r>
          <w:rPr>
            <w:noProof/>
            <w:webHidden/>
          </w:rPr>
          <w:fldChar w:fldCharType="end"/>
        </w:r>
      </w:hyperlink>
    </w:p>
    <w:p w14:paraId="6686D422" w14:textId="001C395B" w:rsidR="004E2B6A" w:rsidRDefault="004E2B6A">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3765980" w:history="1">
        <w:r w:rsidRPr="009A1507">
          <w:rPr>
            <w:rStyle w:val="Hyperlink"/>
            <w:noProof/>
          </w:rPr>
          <w:t>Details in Exception Report</w:t>
        </w:r>
        <w:r>
          <w:rPr>
            <w:noProof/>
            <w:webHidden/>
          </w:rPr>
          <w:tab/>
        </w:r>
        <w:r>
          <w:rPr>
            <w:noProof/>
            <w:webHidden/>
          </w:rPr>
          <w:fldChar w:fldCharType="begin"/>
        </w:r>
        <w:r>
          <w:rPr>
            <w:noProof/>
            <w:webHidden/>
          </w:rPr>
          <w:instrText xml:space="preserve"> PAGEREF _Toc203765980 \h </w:instrText>
        </w:r>
        <w:r>
          <w:rPr>
            <w:noProof/>
            <w:webHidden/>
          </w:rPr>
        </w:r>
        <w:r>
          <w:rPr>
            <w:noProof/>
            <w:webHidden/>
          </w:rPr>
          <w:fldChar w:fldCharType="separate"/>
        </w:r>
        <w:r w:rsidR="007D1829">
          <w:rPr>
            <w:noProof/>
            <w:webHidden/>
          </w:rPr>
          <w:t>425</w:t>
        </w:r>
        <w:r>
          <w:rPr>
            <w:noProof/>
            <w:webHidden/>
          </w:rPr>
          <w:fldChar w:fldCharType="end"/>
        </w:r>
      </w:hyperlink>
    </w:p>
    <w:p w14:paraId="5D851B47" w14:textId="5149A635" w:rsidR="004E2B6A" w:rsidRDefault="004E2B6A">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3765981" w:history="1">
        <w:r w:rsidRPr="009A1507">
          <w:rPr>
            <w:rStyle w:val="Hyperlink"/>
            <w:noProof/>
          </w:rPr>
          <w:t>Product Modification Targets</w:t>
        </w:r>
        <w:r>
          <w:rPr>
            <w:noProof/>
            <w:webHidden/>
          </w:rPr>
          <w:tab/>
        </w:r>
        <w:r>
          <w:rPr>
            <w:noProof/>
            <w:webHidden/>
          </w:rPr>
          <w:fldChar w:fldCharType="begin"/>
        </w:r>
        <w:r>
          <w:rPr>
            <w:noProof/>
            <w:webHidden/>
          </w:rPr>
          <w:instrText xml:space="preserve"> PAGEREF _Toc203765981 \h </w:instrText>
        </w:r>
        <w:r>
          <w:rPr>
            <w:noProof/>
            <w:webHidden/>
          </w:rPr>
        </w:r>
        <w:r>
          <w:rPr>
            <w:noProof/>
            <w:webHidden/>
          </w:rPr>
          <w:fldChar w:fldCharType="separate"/>
        </w:r>
        <w:r w:rsidR="007D1829">
          <w:rPr>
            <w:noProof/>
            <w:webHidden/>
          </w:rPr>
          <w:t>427</w:t>
        </w:r>
        <w:r>
          <w:rPr>
            <w:noProof/>
            <w:webHidden/>
          </w:rPr>
          <w:fldChar w:fldCharType="end"/>
        </w:r>
      </w:hyperlink>
    </w:p>
    <w:p w14:paraId="56746775" w14:textId="1560910A" w:rsidR="004E2B6A" w:rsidRDefault="004E2B6A">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3765982" w:history="1">
        <w:r w:rsidRPr="009A1507">
          <w:rPr>
            <w:rStyle w:val="Hyperlink"/>
            <w:noProof/>
          </w:rPr>
          <w:t>Order Status Flowchart</w:t>
        </w:r>
        <w:r>
          <w:rPr>
            <w:noProof/>
            <w:webHidden/>
          </w:rPr>
          <w:tab/>
        </w:r>
        <w:r>
          <w:rPr>
            <w:noProof/>
            <w:webHidden/>
          </w:rPr>
          <w:fldChar w:fldCharType="begin"/>
        </w:r>
        <w:r>
          <w:rPr>
            <w:noProof/>
            <w:webHidden/>
          </w:rPr>
          <w:instrText xml:space="preserve"> PAGEREF _Toc203765982 \h </w:instrText>
        </w:r>
        <w:r>
          <w:rPr>
            <w:noProof/>
            <w:webHidden/>
          </w:rPr>
        </w:r>
        <w:r>
          <w:rPr>
            <w:noProof/>
            <w:webHidden/>
          </w:rPr>
          <w:fldChar w:fldCharType="separate"/>
        </w:r>
        <w:r w:rsidR="007D1829">
          <w:rPr>
            <w:noProof/>
            <w:webHidden/>
          </w:rPr>
          <w:t>428</w:t>
        </w:r>
        <w:r>
          <w:rPr>
            <w:noProof/>
            <w:webHidden/>
          </w:rPr>
          <w:fldChar w:fldCharType="end"/>
        </w:r>
      </w:hyperlink>
    </w:p>
    <w:p w14:paraId="4AB1C639" w14:textId="4E093F93" w:rsidR="004E2B6A" w:rsidRDefault="004E2B6A">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3765983" w:history="1">
        <w:r w:rsidRPr="009A1507">
          <w:rPr>
            <w:rStyle w:val="Hyperlink"/>
            <w:noProof/>
          </w:rPr>
          <w:t>Rules for Electronic and Serologic Crossmatch</w:t>
        </w:r>
        <w:r>
          <w:rPr>
            <w:noProof/>
            <w:webHidden/>
          </w:rPr>
          <w:tab/>
        </w:r>
        <w:r>
          <w:rPr>
            <w:noProof/>
            <w:webHidden/>
          </w:rPr>
          <w:fldChar w:fldCharType="begin"/>
        </w:r>
        <w:r>
          <w:rPr>
            <w:noProof/>
            <w:webHidden/>
          </w:rPr>
          <w:instrText xml:space="preserve"> PAGEREF _Toc203765983 \h </w:instrText>
        </w:r>
        <w:r>
          <w:rPr>
            <w:noProof/>
            <w:webHidden/>
          </w:rPr>
        </w:r>
        <w:r>
          <w:rPr>
            <w:noProof/>
            <w:webHidden/>
          </w:rPr>
          <w:fldChar w:fldCharType="separate"/>
        </w:r>
        <w:r w:rsidR="007D1829">
          <w:rPr>
            <w:noProof/>
            <w:webHidden/>
          </w:rPr>
          <w:t>429</w:t>
        </w:r>
        <w:r>
          <w:rPr>
            <w:noProof/>
            <w:webHidden/>
          </w:rPr>
          <w:fldChar w:fldCharType="end"/>
        </w:r>
      </w:hyperlink>
    </w:p>
    <w:p w14:paraId="210E66EE" w14:textId="4079D2D7" w:rsidR="004E2B6A" w:rsidRDefault="004E2B6A">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3765984" w:history="1">
        <w:r w:rsidRPr="009A1507">
          <w:rPr>
            <w:rStyle w:val="Hyperlink"/>
            <w:noProof/>
          </w:rPr>
          <w:t>Unit Status Flowchart</w:t>
        </w:r>
        <w:r>
          <w:rPr>
            <w:noProof/>
            <w:webHidden/>
          </w:rPr>
          <w:tab/>
        </w:r>
        <w:r>
          <w:rPr>
            <w:noProof/>
            <w:webHidden/>
          </w:rPr>
          <w:fldChar w:fldCharType="begin"/>
        </w:r>
        <w:r>
          <w:rPr>
            <w:noProof/>
            <w:webHidden/>
          </w:rPr>
          <w:instrText xml:space="preserve"> PAGEREF _Toc203765984 \h </w:instrText>
        </w:r>
        <w:r>
          <w:rPr>
            <w:noProof/>
            <w:webHidden/>
          </w:rPr>
        </w:r>
        <w:r>
          <w:rPr>
            <w:noProof/>
            <w:webHidden/>
          </w:rPr>
          <w:fldChar w:fldCharType="separate"/>
        </w:r>
        <w:r w:rsidR="007D1829">
          <w:rPr>
            <w:noProof/>
            <w:webHidden/>
          </w:rPr>
          <w:t>430</w:t>
        </w:r>
        <w:r>
          <w:rPr>
            <w:noProof/>
            <w:webHidden/>
          </w:rPr>
          <w:fldChar w:fldCharType="end"/>
        </w:r>
      </w:hyperlink>
    </w:p>
    <w:p w14:paraId="408F735B" w14:textId="667E9ED6" w:rsidR="004E2B6A" w:rsidRDefault="004E2B6A">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3765985" w:history="1">
        <w:r w:rsidRPr="009A1507">
          <w:rPr>
            <w:rStyle w:val="Hyperlink"/>
            <w:noProof/>
          </w:rPr>
          <w:t>VBECS Maximum Surgical Blood Order Schedule</w:t>
        </w:r>
        <w:r>
          <w:rPr>
            <w:noProof/>
            <w:webHidden/>
          </w:rPr>
          <w:tab/>
        </w:r>
        <w:r>
          <w:rPr>
            <w:noProof/>
            <w:webHidden/>
          </w:rPr>
          <w:fldChar w:fldCharType="begin"/>
        </w:r>
        <w:r>
          <w:rPr>
            <w:noProof/>
            <w:webHidden/>
          </w:rPr>
          <w:instrText xml:space="preserve"> PAGEREF _Toc203765985 \h </w:instrText>
        </w:r>
        <w:r>
          <w:rPr>
            <w:noProof/>
            <w:webHidden/>
          </w:rPr>
        </w:r>
        <w:r>
          <w:rPr>
            <w:noProof/>
            <w:webHidden/>
          </w:rPr>
          <w:fldChar w:fldCharType="separate"/>
        </w:r>
        <w:r w:rsidR="007D1829">
          <w:rPr>
            <w:noProof/>
            <w:webHidden/>
          </w:rPr>
          <w:t>432</w:t>
        </w:r>
        <w:r>
          <w:rPr>
            <w:noProof/>
            <w:webHidden/>
          </w:rPr>
          <w:fldChar w:fldCharType="end"/>
        </w:r>
      </w:hyperlink>
    </w:p>
    <w:p w14:paraId="5A493B0E" w14:textId="7FF87E29" w:rsidR="004E2B6A" w:rsidRDefault="004E2B6A">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3765986" w:history="1">
        <w:r w:rsidRPr="009A1507">
          <w:rPr>
            <w:rStyle w:val="Hyperlink"/>
            <w:noProof/>
          </w:rPr>
          <w:t>BCE COTS Message Updates</w:t>
        </w:r>
        <w:r>
          <w:rPr>
            <w:noProof/>
            <w:webHidden/>
          </w:rPr>
          <w:tab/>
        </w:r>
        <w:r>
          <w:rPr>
            <w:noProof/>
            <w:webHidden/>
          </w:rPr>
          <w:fldChar w:fldCharType="begin"/>
        </w:r>
        <w:r>
          <w:rPr>
            <w:noProof/>
            <w:webHidden/>
          </w:rPr>
          <w:instrText xml:space="preserve"> PAGEREF _Toc203765986 \h </w:instrText>
        </w:r>
        <w:r>
          <w:rPr>
            <w:noProof/>
            <w:webHidden/>
          </w:rPr>
        </w:r>
        <w:r>
          <w:rPr>
            <w:noProof/>
            <w:webHidden/>
          </w:rPr>
          <w:fldChar w:fldCharType="separate"/>
        </w:r>
        <w:r w:rsidR="007D1829">
          <w:rPr>
            <w:noProof/>
            <w:webHidden/>
          </w:rPr>
          <w:t>433</w:t>
        </w:r>
        <w:r>
          <w:rPr>
            <w:noProof/>
            <w:webHidden/>
          </w:rPr>
          <w:fldChar w:fldCharType="end"/>
        </w:r>
      </w:hyperlink>
    </w:p>
    <w:p w14:paraId="466B6F7D" w14:textId="3B2DBE09" w:rsidR="004E2B6A" w:rsidRDefault="004E2B6A">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3765987" w:history="1">
        <w:r w:rsidRPr="009A1507">
          <w:rPr>
            <w:rStyle w:val="Hyperlink"/>
            <w:noProof/>
          </w:rPr>
          <w:t>Workload Process to Use Case Mapping Table</w:t>
        </w:r>
        <w:r>
          <w:rPr>
            <w:noProof/>
            <w:webHidden/>
          </w:rPr>
          <w:tab/>
        </w:r>
        <w:r>
          <w:rPr>
            <w:noProof/>
            <w:webHidden/>
          </w:rPr>
          <w:fldChar w:fldCharType="begin"/>
        </w:r>
        <w:r>
          <w:rPr>
            <w:noProof/>
            <w:webHidden/>
          </w:rPr>
          <w:instrText xml:space="preserve"> PAGEREF _Toc203765987 \h </w:instrText>
        </w:r>
        <w:r>
          <w:rPr>
            <w:noProof/>
            <w:webHidden/>
          </w:rPr>
        </w:r>
        <w:r>
          <w:rPr>
            <w:noProof/>
            <w:webHidden/>
          </w:rPr>
          <w:fldChar w:fldCharType="separate"/>
        </w:r>
        <w:r w:rsidR="007D1829">
          <w:rPr>
            <w:noProof/>
            <w:webHidden/>
          </w:rPr>
          <w:t>436</w:t>
        </w:r>
        <w:r>
          <w:rPr>
            <w:noProof/>
            <w:webHidden/>
          </w:rPr>
          <w:fldChar w:fldCharType="end"/>
        </w:r>
      </w:hyperlink>
    </w:p>
    <w:p w14:paraId="22A0DB5D" w14:textId="0A8E26BE" w:rsidR="004E2B6A" w:rsidRDefault="004E2B6A">
      <w:pPr>
        <w:pStyle w:val="TOC2"/>
        <w:tabs>
          <w:tab w:val="right" w:leader="dot" w:pos="9350"/>
        </w:tabs>
        <w:rPr>
          <w:rFonts w:asciiTheme="minorHAnsi" w:eastAsiaTheme="minorEastAsia" w:hAnsiTheme="minorHAnsi" w:cstheme="minorBidi"/>
          <w:smallCaps w:val="0"/>
          <w:noProof/>
          <w:kern w:val="2"/>
          <w:sz w:val="24"/>
          <w:szCs w:val="24"/>
          <w14:ligatures w14:val="standardContextual"/>
        </w:rPr>
      </w:pPr>
      <w:hyperlink w:anchor="_Toc203765988" w:history="1">
        <w:r w:rsidRPr="009A1507">
          <w:rPr>
            <w:rStyle w:val="Hyperlink"/>
            <w:noProof/>
          </w:rPr>
          <w:t>Appendix C: VBECS Work Flow</w:t>
        </w:r>
        <w:r>
          <w:rPr>
            <w:noProof/>
            <w:webHidden/>
          </w:rPr>
          <w:tab/>
        </w:r>
        <w:r>
          <w:rPr>
            <w:noProof/>
            <w:webHidden/>
          </w:rPr>
          <w:fldChar w:fldCharType="begin"/>
        </w:r>
        <w:r>
          <w:rPr>
            <w:noProof/>
            <w:webHidden/>
          </w:rPr>
          <w:instrText xml:space="preserve"> PAGEREF _Toc203765988 \h </w:instrText>
        </w:r>
        <w:r>
          <w:rPr>
            <w:noProof/>
            <w:webHidden/>
          </w:rPr>
        </w:r>
        <w:r>
          <w:rPr>
            <w:noProof/>
            <w:webHidden/>
          </w:rPr>
          <w:fldChar w:fldCharType="separate"/>
        </w:r>
        <w:r w:rsidR="007D1829">
          <w:rPr>
            <w:noProof/>
            <w:webHidden/>
          </w:rPr>
          <w:t>446</w:t>
        </w:r>
        <w:r>
          <w:rPr>
            <w:noProof/>
            <w:webHidden/>
          </w:rPr>
          <w:fldChar w:fldCharType="end"/>
        </w:r>
      </w:hyperlink>
    </w:p>
    <w:p w14:paraId="100C472B" w14:textId="2AFC1589" w:rsidR="004E2B6A" w:rsidRDefault="004E2B6A">
      <w:pPr>
        <w:pStyle w:val="TOC2"/>
        <w:tabs>
          <w:tab w:val="right" w:leader="dot" w:pos="9350"/>
        </w:tabs>
        <w:rPr>
          <w:rFonts w:asciiTheme="minorHAnsi" w:eastAsiaTheme="minorEastAsia" w:hAnsiTheme="minorHAnsi" w:cstheme="minorBidi"/>
          <w:smallCaps w:val="0"/>
          <w:noProof/>
          <w:kern w:val="2"/>
          <w:sz w:val="24"/>
          <w:szCs w:val="24"/>
          <w14:ligatures w14:val="standardContextual"/>
        </w:rPr>
      </w:pPr>
      <w:hyperlink w:anchor="_Toc203765989" w:history="1">
        <w:r w:rsidRPr="009A1507">
          <w:rPr>
            <w:rStyle w:val="Hyperlink"/>
            <w:noProof/>
          </w:rPr>
          <w:t>Appendix D: Limitations and Restrictions</w:t>
        </w:r>
        <w:r>
          <w:rPr>
            <w:noProof/>
            <w:webHidden/>
          </w:rPr>
          <w:tab/>
        </w:r>
        <w:r>
          <w:rPr>
            <w:noProof/>
            <w:webHidden/>
          </w:rPr>
          <w:fldChar w:fldCharType="begin"/>
        </w:r>
        <w:r>
          <w:rPr>
            <w:noProof/>
            <w:webHidden/>
          </w:rPr>
          <w:instrText xml:space="preserve"> PAGEREF _Toc203765989 \h </w:instrText>
        </w:r>
        <w:r>
          <w:rPr>
            <w:noProof/>
            <w:webHidden/>
          </w:rPr>
        </w:r>
        <w:r>
          <w:rPr>
            <w:noProof/>
            <w:webHidden/>
          </w:rPr>
          <w:fldChar w:fldCharType="separate"/>
        </w:r>
        <w:r w:rsidR="007D1829">
          <w:rPr>
            <w:noProof/>
            <w:webHidden/>
          </w:rPr>
          <w:t>449</w:t>
        </w:r>
        <w:r>
          <w:rPr>
            <w:noProof/>
            <w:webHidden/>
          </w:rPr>
          <w:fldChar w:fldCharType="end"/>
        </w:r>
      </w:hyperlink>
    </w:p>
    <w:p w14:paraId="421301EE" w14:textId="6FD5FAD3" w:rsidR="004E2B6A" w:rsidRDefault="004E2B6A">
      <w:pPr>
        <w:pStyle w:val="TOC2"/>
        <w:tabs>
          <w:tab w:val="right" w:leader="dot" w:pos="9350"/>
        </w:tabs>
        <w:rPr>
          <w:rFonts w:asciiTheme="minorHAnsi" w:eastAsiaTheme="minorEastAsia" w:hAnsiTheme="minorHAnsi" w:cstheme="minorBidi"/>
          <w:smallCaps w:val="0"/>
          <w:noProof/>
          <w:kern w:val="2"/>
          <w:sz w:val="24"/>
          <w:szCs w:val="24"/>
          <w14:ligatures w14:val="standardContextual"/>
        </w:rPr>
      </w:pPr>
      <w:hyperlink w:anchor="_Toc203765990" w:history="1">
        <w:r w:rsidRPr="009A1507">
          <w:rPr>
            <w:rStyle w:val="Hyperlink"/>
            <w:noProof/>
          </w:rPr>
          <w:t>Appendix E: Known Defects and Anomalies</w:t>
        </w:r>
        <w:r>
          <w:rPr>
            <w:noProof/>
            <w:webHidden/>
          </w:rPr>
          <w:tab/>
        </w:r>
        <w:r>
          <w:rPr>
            <w:noProof/>
            <w:webHidden/>
          </w:rPr>
          <w:fldChar w:fldCharType="begin"/>
        </w:r>
        <w:r>
          <w:rPr>
            <w:noProof/>
            <w:webHidden/>
          </w:rPr>
          <w:instrText xml:space="preserve"> PAGEREF _Toc203765990 \h </w:instrText>
        </w:r>
        <w:r>
          <w:rPr>
            <w:noProof/>
            <w:webHidden/>
          </w:rPr>
        </w:r>
        <w:r>
          <w:rPr>
            <w:noProof/>
            <w:webHidden/>
          </w:rPr>
          <w:fldChar w:fldCharType="separate"/>
        </w:r>
        <w:r w:rsidR="007D1829">
          <w:rPr>
            <w:noProof/>
            <w:webHidden/>
          </w:rPr>
          <w:t>466</w:t>
        </w:r>
        <w:r>
          <w:rPr>
            <w:noProof/>
            <w:webHidden/>
          </w:rPr>
          <w:fldChar w:fldCharType="end"/>
        </w:r>
      </w:hyperlink>
    </w:p>
    <w:p w14:paraId="6E3DE1F9" w14:textId="68871203" w:rsidR="004E2B6A" w:rsidRDefault="004E2B6A">
      <w:pPr>
        <w:pStyle w:val="TOC2"/>
        <w:tabs>
          <w:tab w:val="right" w:leader="dot" w:pos="9350"/>
        </w:tabs>
        <w:rPr>
          <w:rFonts w:asciiTheme="minorHAnsi" w:eastAsiaTheme="minorEastAsia" w:hAnsiTheme="minorHAnsi" w:cstheme="minorBidi"/>
          <w:smallCaps w:val="0"/>
          <w:noProof/>
          <w:kern w:val="2"/>
          <w:sz w:val="24"/>
          <w:szCs w:val="24"/>
          <w14:ligatures w14:val="standardContextual"/>
        </w:rPr>
      </w:pPr>
      <w:hyperlink w:anchor="_Toc203765991" w:history="1">
        <w:r w:rsidRPr="009A1507">
          <w:rPr>
            <w:rStyle w:val="Hyperlink"/>
            <w:noProof/>
          </w:rPr>
          <w:t>Appendix F: System Validation</w:t>
        </w:r>
        <w:r>
          <w:rPr>
            <w:noProof/>
            <w:webHidden/>
          </w:rPr>
          <w:tab/>
        </w:r>
        <w:r>
          <w:rPr>
            <w:noProof/>
            <w:webHidden/>
          </w:rPr>
          <w:fldChar w:fldCharType="begin"/>
        </w:r>
        <w:r>
          <w:rPr>
            <w:noProof/>
            <w:webHidden/>
          </w:rPr>
          <w:instrText xml:space="preserve"> PAGEREF _Toc203765991 \h </w:instrText>
        </w:r>
        <w:r>
          <w:rPr>
            <w:noProof/>
            <w:webHidden/>
          </w:rPr>
        </w:r>
        <w:r>
          <w:rPr>
            <w:noProof/>
            <w:webHidden/>
          </w:rPr>
          <w:fldChar w:fldCharType="separate"/>
        </w:r>
        <w:r w:rsidR="007D1829">
          <w:rPr>
            <w:noProof/>
            <w:webHidden/>
          </w:rPr>
          <w:t>467</w:t>
        </w:r>
        <w:r>
          <w:rPr>
            <w:noProof/>
            <w:webHidden/>
          </w:rPr>
          <w:fldChar w:fldCharType="end"/>
        </w:r>
      </w:hyperlink>
    </w:p>
    <w:p w14:paraId="5712F77B" w14:textId="2133F3AB" w:rsidR="004E2B6A" w:rsidRDefault="004E2B6A">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3765992" w:history="1">
        <w:r w:rsidRPr="009A1507">
          <w:rPr>
            <w:rStyle w:val="Hyperlink"/>
            <w:noProof/>
          </w:rPr>
          <w:t>Introduction</w:t>
        </w:r>
        <w:r>
          <w:rPr>
            <w:noProof/>
            <w:webHidden/>
          </w:rPr>
          <w:tab/>
        </w:r>
        <w:r>
          <w:rPr>
            <w:noProof/>
            <w:webHidden/>
          </w:rPr>
          <w:fldChar w:fldCharType="begin"/>
        </w:r>
        <w:r>
          <w:rPr>
            <w:noProof/>
            <w:webHidden/>
          </w:rPr>
          <w:instrText xml:space="preserve"> PAGEREF _Toc203765992 \h </w:instrText>
        </w:r>
        <w:r>
          <w:rPr>
            <w:noProof/>
            <w:webHidden/>
          </w:rPr>
        </w:r>
        <w:r>
          <w:rPr>
            <w:noProof/>
            <w:webHidden/>
          </w:rPr>
          <w:fldChar w:fldCharType="separate"/>
        </w:r>
        <w:r w:rsidR="007D1829">
          <w:rPr>
            <w:noProof/>
            <w:webHidden/>
          </w:rPr>
          <w:t>467</w:t>
        </w:r>
        <w:r>
          <w:rPr>
            <w:noProof/>
            <w:webHidden/>
          </w:rPr>
          <w:fldChar w:fldCharType="end"/>
        </w:r>
      </w:hyperlink>
    </w:p>
    <w:p w14:paraId="0DAD046D" w14:textId="651F0863" w:rsidR="004E2B6A" w:rsidRDefault="004E2B6A">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3765993" w:history="1">
        <w:r w:rsidRPr="009A1507">
          <w:rPr>
            <w:rStyle w:val="Hyperlink"/>
            <w:noProof/>
          </w:rPr>
          <w:t>Validation Plan</w:t>
        </w:r>
        <w:r>
          <w:rPr>
            <w:noProof/>
            <w:webHidden/>
          </w:rPr>
          <w:tab/>
        </w:r>
        <w:r>
          <w:rPr>
            <w:noProof/>
            <w:webHidden/>
          </w:rPr>
          <w:fldChar w:fldCharType="begin"/>
        </w:r>
        <w:r>
          <w:rPr>
            <w:noProof/>
            <w:webHidden/>
          </w:rPr>
          <w:instrText xml:space="preserve"> PAGEREF _Toc203765993 \h </w:instrText>
        </w:r>
        <w:r>
          <w:rPr>
            <w:noProof/>
            <w:webHidden/>
          </w:rPr>
        </w:r>
        <w:r>
          <w:rPr>
            <w:noProof/>
            <w:webHidden/>
          </w:rPr>
          <w:fldChar w:fldCharType="separate"/>
        </w:r>
        <w:r w:rsidR="007D1829">
          <w:rPr>
            <w:noProof/>
            <w:webHidden/>
          </w:rPr>
          <w:t>467</w:t>
        </w:r>
        <w:r>
          <w:rPr>
            <w:noProof/>
            <w:webHidden/>
          </w:rPr>
          <w:fldChar w:fldCharType="end"/>
        </w:r>
      </w:hyperlink>
    </w:p>
    <w:p w14:paraId="418F7BCD" w14:textId="56B8C8A9" w:rsidR="004E2B6A" w:rsidRDefault="004E2B6A">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3765994" w:history="1">
        <w:r w:rsidRPr="009A1507">
          <w:rPr>
            <w:rStyle w:val="Hyperlink"/>
            <w:noProof/>
          </w:rPr>
          <w:t>Record System Settings</w:t>
        </w:r>
        <w:r>
          <w:rPr>
            <w:noProof/>
            <w:webHidden/>
          </w:rPr>
          <w:tab/>
        </w:r>
        <w:r>
          <w:rPr>
            <w:noProof/>
            <w:webHidden/>
          </w:rPr>
          <w:fldChar w:fldCharType="begin"/>
        </w:r>
        <w:r>
          <w:rPr>
            <w:noProof/>
            <w:webHidden/>
          </w:rPr>
          <w:instrText xml:space="preserve"> PAGEREF _Toc203765994 \h </w:instrText>
        </w:r>
        <w:r>
          <w:rPr>
            <w:noProof/>
            <w:webHidden/>
          </w:rPr>
        </w:r>
        <w:r>
          <w:rPr>
            <w:noProof/>
            <w:webHidden/>
          </w:rPr>
          <w:fldChar w:fldCharType="separate"/>
        </w:r>
        <w:r w:rsidR="007D1829">
          <w:rPr>
            <w:noProof/>
            <w:webHidden/>
          </w:rPr>
          <w:t>469</w:t>
        </w:r>
        <w:r>
          <w:rPr>
            <w:noProof/>
            <w:webHidden/>
          </w:rPr>
          <w:fldChar w:fldCharType="end"/>
        </w:r>
      </w:hyperlink>
    </w:p>
    <w:p w14:paraId="388D35C6" w14:textId="60F70715" w:rsidR="004E2B6A" w:rsidRDefault="004E2B6A">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3765995" w:history="1">
        <w:r w:rsidRPr="009A1507">
          <w:rPr>
            <w:rStyle w:val="Hyperlink"/>
            <w:noProof/>
          </w:rPr>
          <w:t>Configure Division</w:t>
        </w:r>
        <w:r>
          <w:rPr>
            <w:noProof/>
            <w:webHidden/>
          </w:rPr>
          <w:tab/>
        </w:r>
        <w:r>
          <w:rPr>
            <w:noProof/>
            <w:webHidden/>
          </w:rPr>
          <w:fldChar w:fldCharType="begin"/>
        </w:r>
        <w:r>
          <w:rPr>
            <w:noProof/>
            <w:webHidden/>
          </w:rPr>
          <w:instrText xml:space="preserve"> PAGEREF _Toc203765995 \h </w:instrText>
        </w:r>
        <w:r>
          <w:rPr>
            <w:noProof/>
            <w:webHidden/>
          </w:rPr>
        </w:r>
        <w:r>
          <w:rPr>
            <w:noProof/>
            <w:webHidden/>
          </w:rPr>
          <w:fldChar w:fldCharType="separate"/>
        </w:r>
        <w:r w:rsidR="007D1829">
          <w:rPr>
            <w:noProof/>
            <w:webHidden/>
          </w:rPr>
          <w:t>469</w:t>
        </w:r>
        <w:r>
          <w:rPr>
            <w:noProof/>
            <w:webHidden/>
          </w:rPr>
          <w:fldChar w:fldCharType="end"/>
        </w:r>
      </w:hyperlink>
    </w:p>
    <w:p w14:paraId="1C54BFA7" w14:textId="0E6E86A9" w:rsidR="004E2B6A" w:rsidRDefault="004E2B6A">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3765996" w:history="1">
        <w:r w:rsidRPr="009A1507">
          <w:rPr>
            <w:rStyle w:val="Hyperlink"/>
            <w:noProof/>
          </w:rPr>
          <w:t>Configure Testing: Full Service</w:t>
        </w:r>
        <w:r>
          <w:rPr>
            <w:noProof/>
            <w:webHidden/>
          </w:rPr>
          <w:tab/>
        </w:r>
        <w:r>
          <w:rPr>
            <w:noProof/>
            <w:webHidden/>
          </w:rPr>
          <w:fldChar w:fldCharType="begin"/>
        </w:r>
        <w:r>
          <w:rPr>
            <w:noProof/>
            <w:webHidden/>
          </w:rPr>
          <w:instrText xml:space="preserve"> PAGEREF _Toc203765996 \h </w:instrText>
        </w:r>
        <w:r>
          <w:rPr>
            <w:noProof/>
            <w:webHidden/>
          </w:rPr>
        </w:r>
        <w:r>
          <w:rPr>
            <w:noProof/>
            <w:webHidden/>
          </w:rPr>
          <w:fldChar w:fldCharType="separate"/>
        </w:r>
        <w:r w:rsidR="007D1829">
          <w:rPr>
            <w:noProof/>
            <w:webHidden/>
          </w:rPr>
          <w:t>469</w:t>
        </w:r>
        <w:r>
          <w:rPr>
            <w:noProof/>
            <w:webHidden/>
          </w:rPr>
          <w:fldChar w:fldCharType="end"/>
        </w:r>
      </w:hyperlink>
    </w:p>
    <w:p w14:paraId="7A493185" w14:textId="06130F9E" w:rsidR="004E2B6A" w:rsidRDefault="004E2B6A">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3765997" w:history="1">
        <w:r w:rsidRPr="009A1507">
          <w:rPr>
            <w:rStyle w:val="Hyperlink"/>
            <w:noProof/>
          </w:rPr>
          <w:t>Product Modifications: Full Service</w:t>
        </w:r>
        <w:r>
          <w:rPr>
            <w:noProof/>
            <w:webHidden/>
          </w:rPr>
          <w:tab/>
        </w:r>
        <w:r>
          <w:rPr>
            <w:noProof/>
            <w:webHidden/>
          </w:rPr>
          <w:fldChar w:fldCharType="begin"/>
        </w:r>
        <w:r>
          <w:rPr>
            <w:noProof/>
            <w:webHidden/>
          </w:rPr>
          <w:instrText xml:space="preserve"> PAGEREF _Toc203765997 \h </w:instrText>
        </w:r>
        <w:r>
          <w:rPr>
            <w:noProof/>
            <w:webHidden/>
          </w:rPr>
        </w:r>
        <w:r>
          <w:rPr>
            <w:noProof/>
            <w:webHidden/>
          </w:rPr>
          <w:fldChar w:fldCharType="separate"/>
        </w:r>
        <w:r w:rsidR="007D1829">
          <w:rPr>
            <w:noProof/>
            <w:webHidden/>
          </w:rPr>
          <w:t>470</w:t>
        </w:r>
        <w:r>
          <w:rPr>
            <w:noProof/>
            <w:webHidden/>
          </w:rPr>
          <w:fldChar w:fldCharType="end"/>
        </w:r>
      </w:hyperlink>
    </w:p>
    <w:p w14:paraId="64FDC2EF" w14:textId="649556B8" w:rsidR="004E2B6A" w:rsidRDefault="004E2B6A">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3765998" w:history="1">
        <w:r w:rsidRPr="009A1507">
          <w:rPr>
            <w:rStyle w:val="Hyperlink"/>
            <w:noProof/>
          </w:rPr>
          <w:t>Order Alerts</w:t>
        </w:r>
        <w:r>
          <w:rPr>
            <w:noProof/>
            <w:webHidden/>
          </w:rPr>
          <w:tab/>
        </w:r>
        <w:r>
          <w:rPr>
            <w:noProof/>
            <w:webHidden/>
          </w:rPr>
          <w:fldChar w:fldCharType="begin"/>
        </w:r>
        <w:r>
          <w:rPr>
            <w:noProof/>
            <w:webHidden/>
          </w:rPr>
          <w:instrText xml:space="preserve"> PAGEREF _Toc203765998 \h </w:instrText>
        </w:r>
        <w:r>
          <w:rPr>
            <w:noProof/>
            <w:webHidden/>
          </w:rPr>
        </w:r>
        <w:r>
          <w:rPr>
            <w:noProof/>
            <w:webHidden/>
          </w:rPr>
          <w:fldChar w:fldCharType="separate"/>
        </w:r>
        <w:r w:rsidR="007D1829">
          <w:rPr>
            <w:noProof/>
            <w:webHidden/>
          </w:rPr>
          <w:t>471</w:t>
        </w:r>
        <w:r>
          <w:rPr>
            <w:noProof/>
            <w:webHidden/>
          </w:rPr>
          <w:fldChar w:fldCharType="end"/>
        </w:r>
      </w:hyperlink>
    </w:p>
    <w:p w14:paraId="762C4255" w14:textId="5F93AB1A" w:rsidR="004E2B6A" w:rsidRDefault="004E2B6A">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3765999" w:history="1">
        <w:r w:rsidRPr="009A1507">
          <w:rPr>
            <w:rStyle w:val="Hyperlink"/>
            <w:noProof/>
          </w:rPr>
          <w:t>Configure Daily QC: Full Service</w:t>
        </w:r>
        <w:r>
          <w:rPr>
            <w:noProof/>
            <w:webHidden/>
          </w:rPr>
          <w:tab/>
        </w:r>
        <w:r>
          <w:rPr>
            <w:noProof/>
            <w:webHidden/>
          </w:rPr>
          <w:fldChar w:fldCharType="begin"/>
        </w:r>
        <w:r>
          <w:rPr>
            <w:noProof/>
            <w:webHidden/>
          </w:rPr>
          <w:instrText xml:space="preserve"> PAGEREF _Toc203765999 \h </w:instrText>
        </w:r>
        <w:r>
          <w:rPr>
            <w:noProof/>
            <w:webHidden/>
          </w:rPr>
        </w:r>
        <w:r>
          <w:rPr>
            <w:noProof/>
            <w:webHidden/>
          </w:rPr>
          <w:fldChar w:fldCharType="separate"/>
        </w:r>
        <w:r w:rsidR="007D1829">
          <w:rPr>
            <w:noProof/>
            <w:webHidden/>
          </w:rPr>
          <w:t>472</w:t>
        </w:r>
        <w:r>
          <w:rPr>
            <w:noProof/>
            <w:webHidden/>
          </w:rPr>
          <w:fldChar w:fldCharType="end"/>
        </w:r>
      </w:hyperlink>
    </w:p>
    <w:p w14:paraId="1AF9AC38" w14:textId="1554FE8D" w:rsidR="004E2B6A" w:rsidRDefault="004E2B6A">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3766000" w:history="1">
        <w:r w:rsidRPr="009A1507">
          <w:rPr>
            <w:rStyle w:val="Hyperlink"/>
            <w:noProof/>
          </w:rPr>
          <w:t>Maintain Minimum Levels: Full Service</w:t>
        </w:r>
        <w:r>
          <w:rPr>
            <w:noProof/>
            <w:webHidden/>
          </w:rPr>
          <w:tab/>
        </w:r>
        <w:r>
          <w:rPr>
            <w:noProof/>
            <w:webHidden/>
          </w:rPr>
          <w:fldChar w:fldCharType="begin"/>
        </w:r>
        <w:r>
          <w:rPr>
            <w:noProof/>
            <w:webHidden/>
          </w:rPr>
          <w:instrText xml:space="preserve"> PAGEREF _Toc203766000 \h </w:instrText>
        </w:r>
        <w:r>
          <w:rPr>
            <w:noProof/>
            <w:webHidden/>
          </w:rPr>
        </w:r>
        <w:r>
          <w:rPr>
            <w:noProof/>
            <w:webHidden/>
          </w:rPr>
          <w:fldChar w:fldCharType="separate"/>
        </w:r>
        <w:r w:rsidR="007D1829">
          <w:rPr>
            <w:noProof/>
            <w:webHidden/>
          </w:rPr>
          <w:t>473</w:t>
        </w:r>
        <w:r>
          <w:rPr>
            <w:noProof/>
            <w:webHidden/>
          </w:rPr>
          <w:fldChar w:fldCharType="end"/>
        </w:r>
      </w:hyperlink>
    </w:p>
    <w:p w14:paraId="7750A533" w14:textId="7F757C50" w:rsidR="004E2B6A" w:rsidRDefault="004E2B6A">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3766001" w:history="1">
        <w:r w:rsidRPr="009A1507">
          <w:rPr>
            <w:rStyle w:val="Hyperlink"/>
            <w:noProof/>
          </w:rPr>
          <w:t>Log In Reagents: Full Service</w:t>
        </w:r>
        <w:r>
          <w:rPr>
            <w:noProof/>
            <w:webHidden/>
          </w:rPr>
          <w:tab/>
        </w:r>
        <w:r>
          <w:rPr>
            <w:noProof/>
            <w:webHidden/>
          </w:rPr>
          <w:fldChar w:fldCharType="begin"/>
        </w:r>
        <w:r>
          <w:rPr>
            <w:noProof/>
            <w:webHidden/>
          </w:rPr>
          <w:instrText xml:space="preserve"> PAGEREF _Toc203766001 \h </w:instrText>
        </w:r>
        <w:r>
          <w:rPr>
            <w:noProof/>
            <w:webHidden/>
          </w:rPr>
        </w:r>
        <w:r>
          <w:rPr>
            <w:noProof/>
            <w:webHidden/>
          </w:rPr>
          <w:fldChar w:fldCharType="separate"/>
        </w:r>
        <w:r w:rsidR="007D1829">
          <w:rPr>
            <w:noProof/>
            <w:webHidden/>
          </w:rPr>
          <w:t>474</w:t>
        </w:r>
        <w:r>
          <w:rPr>
            <w:noProof/>
            <w:webHidden/>
          </w:rPr>
          <w:fldChar w:fldCharType="end"/>
        </w:r>
      </w:hyperlink>
    </w:p>
    <w:p w14:paraId="6BDE92F4" w14:textId="7CF64246" w:rsidR="004E2B6A" w:rsidRDefault="004E2B6A">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3766002" w:history="1">
        <w:r w:rsidRPr="009A1507">
          <w:rPr>
            <w:rStyle w:val="Hyperlink"/>
            <w:noProof/>
          </w:rPr>
          <w:t>Blood Products</w:t>
        </w:r>
        <w:r>
          <w:rPr>
            <w:noProof/>
            <w:webHidden/>
          </w:rPr>
          <w:tab/>
        </w:r>
        <w:r>
          <w:rPr>
            <w:noProof/>
            <w:webHidden/>
          </w:rPr>
          <w:fldChar w:fldCharType="begin"/>
        </w:r>
        <w:r>
          <w:rPr>
            <w:noProof/>
            <w:webHidden/>
          </w:rPr>
          <w:instrText xml:space="preserve"> PAGEREF _Toc203766002 \h </w:instrText>
        </w:r>
        <w:r>
          <w:rPr>
            <w:noProof/>
            <w:webHidden/>
          </w:rPr>
        </w:r>
        <w:r>
          <w:rPr>
            <w:noProof/>
            <w:webHidden/>
          </w:rPr>
          <w:fldChar w:fldCharType="separate"/>
        </w:r>
        <w:r w:rsidR="007D1829">
          <w:rPr>
            <w:noProof/>
            <w:webHidden/>
          </w:rPr>
          <w:t>475</w:t>
        </w:r>
        <w:r>
          <w:rPr>
            <w:noProof/>
            <w:webHidden/>
          </w:rPr>
          <w:fldChar w:fldCharType="end"/>
        </w:r>
      </w:hyperlink>
    </w:p>
    <w:p w14:paraId="54B89D8A" w14:textId="18947C15" w:rsidR="004E2B6A" w:rsidRDefault="004E2B6A">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3766003" w:history="1">
        <w:r w:rsidRPr="009A1507">
          <w:rPr>
            <w:rStyle w:val="Hyperlink"/>
            <w:noProof/>
          </w:rPr>
          <w:t>Local Facilities</w:t>
        </w:r>
        <w:r>
          <w:rPr>
            <w:noProof/>
            <w:webHidden/>
          </w:rPr>
          <w:tab/>
        </w:r>
        <w:r>
          <w:rPr>
            <w:noProof/>
            <w:webHidden/>
          </w:rPr>
          <w:fldChar w:fldCharType="begin"/>
        </w:r>
        <w:r>
          <w:rPr>
            <w:noProof/>
            <w:webHidden/>
          </w:rPr>
          <w:instrText xml:space="preserve"> PAGEREF _Toc203766003 \h </w:instrText>
        </w:r>
        <w:r>
          <w:rPr>
            <w:noProof/>
            <w:webHidden/>
          </w:rPr>
        </w:r>
        <w:r>
          <w:rPr>
            <w:noProof/>
            <w:webHidden/>
          </w:rPr>
          <w:fldChar w:fldCharType="separate"/>
        </w:r>
        <w:r w:rsidR="007D1829">
          <w:rPr>
            <w:noProof/>
            <w:webHidden/>
          </w:rPr>
          <w:t>476</w:t>
        </w:r>
        <w:r>
          <w:rPr>
            <w:noProof/>
            <w:webHidden/>
          </w:rPr>
          <w:fldChar w:fldCharType="end"/>
        </w:r>
      </w:hyperlink>
    </w:p>
    <w:p w14:paraId="49809D8F" w14:textId="3C15985E" w:rsidR="004E2B6A" w:rsidRDefault="004E2B6A">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3766004" w:history="1">
        <w:r w:rsidRPr="009A1507">
          <w:rPr>
            <w:rStyle w:val="Hyperlink"/>
            <w:noProof/>
          </w:rPr>
          <w:t>Component Classes</w:t>
        </w:r>
        <w:r>
          <w:rPr>
            <w:noProof/>
            <w:webHidden/>
          </w:rPr>
          <w:tab/>
        </w:r>
        <w:r>
          <w:rPr>
            <w:noProof/>
            <w:webHidden/>
          </w:rPr>
          <w:fldChar w:fldCharType="begin"/>
        </w:r>
        <w:r>
          <w:rPr>
            <w:noProof/>
            <w:webHidden/>
          </w:rPr>
          <w:instrText xml:space="preserve"> PAGEREF _Toc203766004 \h </w:instrText>
        </w:r>
        <w:r>
          <w:rPr>
            <w:noProof/>
            <w:webHidden/>
          </w:rPr>
        </w:r>
        <w:r>
          <w:rPr>
            <w:noProof/>
            <w:webHidden/>
          </w:rPr>
          <w:fldChar w:fldCharType="separate"/>
        </w:r>
        <w:r w:rsidR="007D1829">
          <w:rPr>
            <w:noProof/>
            <w:webHidden/>
          </w:rPr>
          <w:t>477</w:t>
        </w:r>
        <w:r>
          <w:rPr>
            <w:noProof/>
            <w:webHidden/>
          </w:rPr>
          <w:fldChar w:fldCharType="end"/>
        </w:r>
      </w:hyperlink>
    </w:p>
    <w:p w14:paraId="66295C66" w14:textId="77715FCC" w:rsidR="004E2B6A" w:rsidRDefault="004E2B6A">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3766005" w:history="1">
        <w:r w:rsidRPr="009A1507">
          <w:rPr>
            <w:rStyle w:val="Hyperlink"/>
            <w:noProof/>
          </w:rPr>
          <w:t>Transfusion Complications</w:t>
        </w:r>
        <w:r>
          <w:rPr>
            <w:noProof/>
            <w:webHidden/>
          </w:rPr>
          <w:tab/>
        </w:r>
        <w:r>
          <w:rPr>
            <w:noProof/>
            <w:webHidden/>
          </w:rPr>
          <w:fldChar w:fldCharType="begin"/>
        </w:r>
        <w:r>
          <w:rPr>
            <w:noProof/>
            <w:webHidden/>
          </w:rPr>
          <w:instrText xml:space="preserve"> PAGEREF _Toc203766005 \h </w:instrText>
        </w:r>
        <w:r>
          <w:rPr>
            <w:noProof/>
            <w:webHidden/>
          </w:rPr>
        </w:r>
        <w:r>
          <w:rPr>
            <w:noProof/>
            <w:webHidden/>
          </w:rPr>
          <w:fldChar w:fldCharType="separate"/>
        </w:r>
        <w:r w:rsidR="007D1829">
          <w:rPr>
            <w:noProof/>
            <w:webHidden/>
          </w:rPr>
          <w:t>478</w:t>
        </w:r>
        <w:r>
          <w:rPr>
            <w:noProof/>
            <w:webHidden/>
          </w:rPr>
          <w:fldChar w:fldCharType="end"/>
        </w:r>
      </w:hyperlink>
    </w:p>
    <w:p w14:paraId="5BCAB302" w14:textId="4D609427" w:rsidR="004E2B6A" w:rsidRDefault="004E2B6A">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3766006" w:history="1">
        <w:r w:rsidRPr="009A1507">
          <w:rPr>
            <w:rStyle w:val="Hyperlink"/>
            <w:noProof/>
          </w:rPr>
          <w:t>Transfusion Effectiveness</w:t>
        </w:r>
        <w:r>
          <w:rPr>
            <w:noProof/>
            <w:webHidden/>
          </w:rPr>
          <w:tab/>
        </w:r>
        <w:r>
          <w:rPr>
            <w:noProof/>
            <w:webHidden/>
          </w:rPr>
          <w:fldChar w:fldCharType="begin"/>
        </w:r>
        <w:r>
          <w:rPr>
            <w:noProof/>
            <w:webHidden/>
          </w:rPr>
          <w:instrText xml:space="preserve"> PAGEREF _Toc203766006 \h </w:instrText>
        </w:r>
        <w:r>
          <w:rPr>
            <w:noProof/>
            <w:webHidden/>
          </w:rPr>
        </w:r>
        <w:r>
          <w:rPr>
            <w:noProof/>
            <w:webHidden/>
          </w:rPr>
          <w:fldChar w:fldCharType="separate"/>
        </w:r>
        <w:r w:rsidR="007D1829">
          <w:rPr>
            <w:noProof/>
            <w:webHidden/>
          </w:rPr>
          <w:t>479</w:t>
        </w:r>
        <w:r>
          <w:rPr>
            <w:noProof/>
            <w:webHidden/>
          </w:rPr>
          <w:fldChar w:fldCharType="end"/>
        </w:r>
      </w:hyperlink>
    </w:p>
    <w:p w14:paraId="0A423A88" w14:textId="30C3A341" w:rsidR="004E2B6A" w:rsidRDefault="004E2B6A">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3766007" w:history="1">
        <w:r w:rsidRPr="009A1507">
          <w:rPr>
            <w:rStyle w:val="Hyperlink"/>
            <w:noProof/>
            <w:snapToGrid w:val="0"/>
          </w:rPr>
          <w:t>Workload Codes</w:t>
        </w:r>
        <w:r>
          <w:rPr>
            <w:noProof/>
            <w:webHidden/>
          </w:rPr>
          <w:tab/>
        </w:r>
        <w:r>
          <w:rPr>
            <w:noProof/>
            <w:webHidden/>
          </w:rPr>
          <w:fldChar w:fldCharType="begin"/>
        </w:r>
        <w:r>
          <w:rPr>
            <w:noProof/>
            <w:webHidden/>
          </w:rPr>
          <w:instrText xml:space="preserve"> PAGEREF _Toc203766007 \h </w:instrText>
        </w:r>
        <w:r>
          <w:rPr>
            <w:noProof/>
            <w:webHidden/>
          </w:rPr>
        </w:r>
        <w:r>
          <w:rPr>
            <w:noProof/>
            <w:webHidden/>
          </w:rPr>
          <w:fldChar w:fldCharType="separate"/>
        </w:r>
        <w:r w:rsidR="007D1829">
          <w:rPr>
            <w:noProof/>
            <w:webHidden/>
          </w:rPr>
          <w:t>480</w:t>
        </w:r>
        <w:r>
          <w:rPr>
            <w:noProof/>
            <w:webHidden/>
          </w:rPr>
          <w:fldChar w:fldCharType="end"/>
        </w:r>
      </w:hyperlink>
    </w:p>
    <w:p w14:paraId="29CC2EFA" w14:textId="20DA7EE5" w:rsidR="004E2B6A" w:rsidRDefault="004E2B6A">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3766008" w:history="1">
        <w:r w:rsidRPr="009A1507">
          <w:rPr>
            <w:rStyle w:val="Hyperlink"/>
            <w:noProof/>
            <w:snapToGrid w:val="0"/>
          </w:rPr>
          <w:t xml:space="preserve">Canned </w:t>
        </w:r>
        <w:r w:rsidRPr="009A1507">
          <w:rPr>
            <w:rStyle w:val="Hyperlink"/>
            <w:noProof/>
          </w:rPr>
          <w:t>Comments</w:t>
        </w:r>
        <w:r>
          <w:rPr>
            <w:noProof/>
            <w:webHidden/>
          </w:rPr>
          <w:tab/>
        </w:r>
        <w:r>
          <w:rPr>
            <w:noProof/>
            <w:webHidden/>
          </w:rPr>
          <w:fldChar w:fldCharType="begin"/>
        </w:r>
        <w:r>
          <w:rPr>
            <w:noProof/>
            <w:webHidden/>
          </w:rPr>
          <w:instrText xml:space="preserve"> PAGEREF _Toc203766008 \h </w:instrText>
        </w:r>
        <w:r>
          <w:rPr>
            <w:noProof/>
            <w:webHidden/>
          </w:rPr>
        </w:r>
        <w:r>
          <w:rPr>
            <w:noProof/>
            <w:webHidden/>
          </w:rPr>
          <w:fldChar w:fldCharType="separate"/>
        </w:r>
        <w:r w:rsidR="007D1829">
          <w:rPr>
            <w:noProof/>
            <w:webHidden/>
          </w:rPr>
          <w:t>480</w:t>
        </w:r>
        <w:r>
          <w:rPr>
            <w:noProof/>
            <w:webHidden/>
          </w:rPr>
          <w:fldChar w:fldCharType="end"/>
        </w:r>
      </w:hyperlink>
    </w:p>
    <w:p w14:paraId="1932EFCF" w14:textId="1542D2D1" w:rsidR="004E2B6A" w:rsidRDefault="004E2B6A">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3766009" w:history="1">
        <w:r w:rsidRPr="009A1507">
          <w:rPr>
            <w:rStyle w:val="Hyperlink"/>
            <w:noProof/>
          </w:rPr>
          <w:t>MSBOS</w:t>
        </w:r>
        <w:r>
          <w:rPr>
            <w:noProof/>
            <w:webHidden/>
          </w:rPr>
          <w:tab/>
        </w:r>
        <w:r>
          <w:rPr>
            <w:noProof/>
            <w:webHidden/>
          </w:rPr>
          <w:fldChar w:fldCharType="begin"/>
        </w:r>
        <w:r>
          <w:rPr>
            <w:noProof/>
            <w:webHidden/>
          </w:rPr>
          <w:instrText xml:space="preserve"> PAGEREF _Toc203766009 \h </w:instrText>
        </w:r>
        <w:r>
          <w:rPr>
            <w:noProof/>
            <w:webHidden/>
          </w:rPr>
        </w:r>
        <w:r>
          <w:rPr>
            <w:noProof/>
            <w:webHidden/>
          </w:rPr>
          <w:fldChar w:fldCharType="separate"/>
        </w:r>
        <w:r w:rsidR="007D1829">
          <w:rPr>
            <w:noProof/>
            <w:webHidden/>
          </w:rPr>
          <w:t>480</w:t>
        </w:r>
        <w:r>
          <w:rPr>
            <w:noProof/>
            <w:webHidden/>
          </w:rPr>
          <w:fldChar w:fldCharType="end"/>
        </w:r>
      </w:hyperlink>
    </w:p>
    <w:p w14:paraId="52269A83" w14:textId="3AC88C84" w:rsidR="004E2B6A" w:rsidRDefault="004E2B6A">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3766010" w:history="1">
        <w:r w:rsidRPr="009A1507">
          <w:rPr>
            <w:rStyle w:val="Hyperlink"/>
            <w:noProof/>
            <w:snapToGrid w:val="0"/>
          </w:rPr>
          <w:t>Edit Invoice Text</w:t>
        </w:r>
        <w:r>
          <w:rPr>
            <w:noProof/>
            <w:webHidden/>
          </w:rPr>
          <w:tab/>
        </w:r>
        <w:r>
          <w:rPr>
            <w:noProof/>
            <w:webHidden/>
          </w:rPr>
          <w:fldChar w:fldCharType="begin"/>
        </w:r>
        <w:r>
          <w:rPr>
            <w:noProof/>
            <w:webHidden/>
          </w:rPr>
          <w:instrText xml:space="preserve"> PAGEREF _Toc203766010 \h </w:instrText>
        </w:r>
        <w:r>
          <w:rPr>
            <w:noProof/>
            <w:webHidden/>
          </w:rPr>
        </w:r>
        <w:r>
          <w:rPr>
            <w:noProof/>
            <w:webHidden/>
          </w:rPr>
          <w:fldChar w:fldCharType="separate"/>
        </w:r>
        <w:r w:rsidR="007D1829">
          <w:rPr>
            <w:noProof/>
            <w:webHidden/>
          </w:rPr>
          <w:t>480</w:t>
        </w:r>
        <w:r>
          <w:rPr>
            <w:noProof/>
            <w:webHidden/>
          </w:rPr>
          <w:fldChar w:fldCharType="end"/>
        </w:r>
      </w:hyperlink>
    </w:p>
    <w:p w14:paraId="2E0263EA" w14:textId="796A1EA8" w:rsidR="004E2B6A" w:rsidRDefault="004E2B6A">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3766011" w:history="1">
        <w:r w:rsidRPr="009A1507">
          <w:rPr>
            <w:rStyle w:val="Hyperlink"/>
            <w:noProof/>
            <w:snapToGrid w:val="0"/>
          </w:rPr>
          <w:t>Antibodies</w:t>
        </w:r>
        <w:r>
          <w:rPr>
            <w:noProof/>
            <w:webHidden/>
          </w:rPr>
          <w:tab/>
        </w:r>
        <w:r>
          <w:rPr>
            <w:noProof/>
            <w:webHidden/>
          </w:rPr>
          <w:fldChar w:fldCharType="begin"/>
        </w:r>
        <w:r>
          <w:rPr>
            <w:noProof/>
            <w:webHidden/>
          </w:rPr>
          <w:instrText xml:space="preserve"> PAGEREF _Toc203766011 \h </w:instrText>
        </w:r>
        <w:r>
          <w:rPr>
            <w:noProof/>
            <w:webHidden/>
          </w:rPr>
        </w:r>
        <w:r>
          <w:rPr>
            <w:noProof/>
            <w:webHidden/>
          </w:rPr>
          <w:fldChar w:fldCharType="separate"/>
        </w:r>
        <w:r w:rsidR="007D1829">
          <w:rPr>
            <w:noProof/>
            <w:webHidden/>
          </w:rPr>
          <w:t>481</w:t>
        </w:r>
        <w:r>
          <w:rPr>
            <w:noProof/>
            <w:webHidden/>
          </w:rPr>
          <w:fldChar w:fldCharType="end"/>
        </w:r>
      </w:hyperlink>
    </w:p>
    <w:p w14:paraId="2CBFD70F" w14:textId="2E7914CF" w:rsidR="004E2B6A" w:rsidRDefault="004E2B6A">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3766012" w:history="1">
        <w:r w:rsidRPr="009A1507">
          <w:rPr>
            <w:rStyle w:val="Hyperlink"/>
            <w:noProof/>
          </w:rPr>
          <w:t>Update User Roles</w:t>
        </w:r>
        <w:r>
          <w:rPr>
            <w:noProof/>
            <w:webHidden/>
          </w:rPr>
          <w:tab/>
        </w:r>
        <w:r>
          <w:rPr>
            <w:noProof/>
            <w:webHidden/>
          </w:rPr>
          <w:fldChar w:fldCharType="begin"/>
        </w:r>
        <w:r>
          <w:rPr>
            <w:noProof/>
            <w:webHidden/>
          </w:rPr>
          <w:instrText xml:space="preserve"> PAGEREF _Toc203766012 \h </w:instrText>
        </w:r>
        <w:r>
          <w:rPr>
            <w:noProof/>
            <w:webHidden/>
          </w:rPr>
        </w:r>
        <w:r>
          <w:rPr>
            <w:noProof/>
            <w:webHidden/>
          </w:rPr>
          <w:fldChar w:fldCharType="separate"/>
        </w:r>
        <w:r w:rsidR="007D1829">
          <w:rPr>
            <w:noProof/>
            <w:webHidden/>
          </w:rPr>
          <w:t>482</w:t>
        </w:r>
        <w:r>
          <w:rPr>
            <w:noProof/>
            <w:webHidden/>
          </w:rPr>
          <w:fldChar w:fldCharType="end"/>
        </w:r>
      </w:hyperlink>
    </w:p>
    <w:p w14:paraId="56AA2620" w14:textId="45F37616" w:rsidR="004E2B6A" w:rsidRDefault="004E2B6A">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3766013" w:history="1">
        <w:r w:rsidRPr="009A1507">
          <w:rPr>
            <w:rStyle w:val="Hyperlink"/>
            <w:noProof/>
            <w:snapToGrid w:val="0"/>
          </w:rPr>
          <w:t>Testing</w:t>
        </w:r>
        <w:r>
          <w:rPr>
            <w:noProof/>
            <w:webHidden/>
          </w:rPr>
          <w:tab/>
        </w:r>
        <w:r>
          <w:rPr>
            <w:noProof/>
            <w:webHidden/>
          </w:rPr>
          <w:fldChar w:fldCharType="begin"/>
        </w:r>
        <w:r>
          <w:rPr>
            <w:noProof/>
            <w:webHidden/>
          </w:rPr>
          <w:instrText xml:space="preserve"> PAGEREF _Toc203766013 \h </w:instrText>
        </w:r>
        <w:r>
          <w:rPr>
            <w:noProof/>
            <w:webHidden/>
          </w:rPr>
        </w:r>
        <w:r>
          <w:rPr>
            <w:noProof/>
            <w:webHidden/>
          </w:rPr>
          <w:fldChar w:fldCharType="separate"/>
        </w:r>
        <w:r w:rsidR="007D1829">
          <w:rPr>
            <w:noProof/>
            <w:webHidden/>
          </w:rPr>
          <w:t>482</w:t>
        </w:r>
        <w:r>
          <w:rPr>
            <w:noProof/>
            <w:webHidden/>
          </w:rPr>
          <w:fldChar w:fldCharType="end"/>
        </w:r>
      </w:hyperlink>
    </w:p>
    <w:p w14:paraId="588584FF" w14:textId="09E4D305" w:rsidR="004E2B6A" w:rsidRDefault="004E2B6A">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3766014" w:history="1">
        <w:r w:rsidRPr="009A1507">
          <w:rPr>
            <w:rStyle w:val="Hyperlink"/>
            <w:noProof/>
          </w:rPr>
          <w:t>VBECS Forms and Reports</w:t>
        </w:r>
        <w:r>
          <w:rPr>
            <w:noProof/>
            <w:webHidden/>
          </w:rPr>
          <w:tab/>
        </w:r>
        <w:r>
          <w:rPr>
            <w:noProof/>
            <w:webHidden/>
          </w:rPr>
          <w:fldChar w:fldCharType="begin"/>
        </w:r>
        <w:r>
          <w:rPr>
            <w:noProof/>
            <w:webHidden/>
          </w:rPr>
          <w:instrText xml:space="preserve"> PAGEREF _Toc203766014 \h </w:instrText>
        </w:r>
        <w:r>
          <w:rPr>
            <w:noProof/>
            <w:webHidden/>
          </w:rPr>
        </w:r>
        <w:r>
          <w:rPr>
            <w:noProof/>
            <w:webHidden/>
          </w:rPr>
          <w:fldChar w:fldCharType="separate"/>
        </w:r>
        <w:r w:rsidR="007D1829">
          <w:rPr>
            <w:noProof/>
            <w:webHidden/>
          </w:rPr>
          <w:t>483</w:t>
        </w:r>
        <w:r>
          <w:rPr>
            <w:noProof/>
            <w:webHidden/>
          </w:rPr>
          <w:fldChar w:fldCharType="end"/>
        </w:r>
      </w:hyperlink>
    </w:p>
    <w:p w14:paraId="154C0FA5" w14:textId="103B3863" w:rsidR="004E2B6A" w:rsidRDefault="004E2B6A">
      <w:pPr>
        <w:pStyle w:val="TOC2"/>
        <w:tabs>
          <w:tab w:val="right" w:leader="dot" w:pos="9350"/>
        </w:tabs>
        <w:rPr>
          <w:rFonts w:asciiTheme="minorHAnsi" w:eastAsiaTheme="minorEastAsia" w:hAnsiTheme="minorHAnsi" w:cstheme="minorBidi"/>
          <w:smallCaps w:val="0"/>
          <w:noProof/>
          <w:kern w:val="2"/>
          <w:sz w:val="24"/>
          <w:szCs w:val="24"/>
          <w14:ligatures w14:val="standardContextual"/>
        </w:rPr>
      </w:pPr>
      <w:hyperlink w:anchor="_Toc203766015" w:history="1">
        <w:r w:rsidRPr="009A1507">
          <w:rPr>
            <w:rStyle w:val="Hyperlink"/>
            <w:noProof/>
          </w:rPr>
          <w:t>Appendix G: Work Process Flowcharts</w:t>
        </w:r>
        <w:r>
          <w:rPr>
            <w:noProof/>
            <w:webHidden/>
          </w:rPr>
          <w:tab/>
        </w:r>
        <w:r>
          <w:rPr>
            <w:noProof/>
            <w:webHidden/>
          </w:rPr>
          <w:fldChar w:fldCharType="begin"/>
        </w:r>
        <w:r>
          <w:rPr>
            <w:noProof/>
            <w:webHidden/>
          </w:rPr>
          <w:instrText xml:space="preserve"> PAGEREF _Toc203766015 \h </w:instrText>
        </w:r>
        <w:r>
          <w:rPr>
            <w:noProof/>
            <w:webHidden/>
          </w:rPr>
        </w:r>
        <w:r>
          <w:rPr>
            <w:noProof/>
            <w:webHidden/>
          </w:rPr>
          <w:fldChar w:fldCharType="separate"/>
        </w:r>
        <w:r w:rsidR="007D1829">
          <w:rPr>
            <w:noProof/>
            <w:webHidden/>
          </w:rPr>
          <w:t>484</w:t>
        </w:r>
        <w:r>
          <w:rPr>
            <w:noProof/>
            <w:webHidden/>
          </w:rPr>
          <w:fldChar w:fldCharType="end"/>
        </w:r>
      </w:hyperlink>
    </w:p>
    <w:p w14:paraId="2200DABA" w14:textId="48B60473" w:rsidR="004E2B6A" w:rsidRDefault="004E2B6A">
      <w:pPr>
        <w:pStyle w:val="TOC2"/>
        <w:tabs>
          <w:tab w:val="right" w:leader="dot" w:pos="9350"/>
        </w:tabs>
        <w:rPr>
          <w:rFonts w:asciiTheme="minorHAnsi" w:eastAsiaTheme="minorEastAsia" w:hAnsiTheme="minorHAnsi" w:cstheme="minorBidi"/>
          <w:smallCaps w:val="0"/>
          <w:noProof/>
          <w:kern w:val="2"/>
          <w:sz w:val="24"/>
          <w:szCs w:val="24"/>
          <w14:ligatures w14:val="standardContextual"/>
        </w:rPr>
      </w:pPr>
      <w:hyperlink w:anchor="_Toc203766016" w:history="1">
        <w:r w:rsidRPr="009A1507">
          <w:rPr>
            <w:rStyle w:val="Hyperlink"/>
            <w:noProof/>
          </w:rPr>
          <w:t>Appendix H: Frequently Asked Questions</w:t>
        </w:r>
        <w:r>
          <w:rPr>
            <w:noProof/>
            <w:webHidden/>
          </w:rPr>
          <w:tab/>
        </w:r>
        <w:r>
          <w:rPr>
            <w:noProof/>
            <w:webHidden/>
          </w:rPr>
          <w:fldChar w:fldCharType="begin"/>
        </w:r>
        <w:r>
          <w:rPr>
            <w:noProof/>
            <w:webHidden/>
          </w:rPr>
          <w:instrText xml:space="preserve"> PAGEREF _Toc203766016 \h </w:instrText>
        </w:r>
        <w:r>
          <w:rPr>
            <w:noProof/>
            <w:webHidden/>
          </w:rPr>
        </w:r>
        <w:r>
          <w:rPr>
            <w:noProof/>
            <w:webHidden/>
          </w:rPr>
          <w:fldChar w:fldCharType="separate"/>
        </w:r>
        <w:r w:rsidR="007D1829">
          <w:rPr>
            <w:noProof/>
            <w:webHidden/>
          </w:rPr>
          <w:t>494</w:t>
        </w:r>
        <w:r>
          <w:rPr>
            <w:noProof/>
            <w:webHidden/>
          </w:rPr>
          <w:fldChar w:fldCharType="end"/>
        </w:r>
      </w:hyperlink>
    </w:p>
    <w:p w14:paraId="15D3C460" w14:textId="5D9AA043" w:rsidR="004E2B6A" w:rsidRDefault="004E2B6A">
      <w:pPr>
        <w:pStyle w:val="TOC2"/>
        <w:tabs>
          <w:tab w:val="right" w:leader="dot" w:pos="9350"/>
        </w:tabs>
        <w:rPr>
          <w:rFonts w:asciiTheme="minorHAnsi" w:eastAsiaTheme="minorEastAsia" w:hAnsiTheme="minorHAnsi" w:cstheme="minorBidi"/>
          <w:smallCaps w:val="0"/>
          <w:noProof/>
          <w:kern w:val="2"/>
          <w:sz w:val="24"/>
          <w:szCs w:val="24"/>
          <w14:ligatures w14:val="standardContextual"/>
        </w:rPr>
      </w:pPr>
      <w:hyperlink w:anchor="_Toc203766017" w:history="1">
        <w:r w:rsidRPr="009A1507">
          <w:rPr>
            <w:rStyle w:val="Hyperlink"/>
            <w:noProof/>
          </w:rPr>
          <w:t>Appendix I: Common Error Corrections</w:t>
        </w:r>
        <w:r>
          <w:rPr>
            <w:noProof/>
            <w:webHidden/>
          </w:rPr>
          <w:tab/>
        </w:r>
        <w:r>
          <w:rPr>
            <w:noProof/>
            <w:webHidden/>
          </w:rPr>
          <w:fldChar w:fldCharType="begin"/>
        </w:r>
        <w:r>
          <w:rPr>
            <w:noProof/>
            <w:webHidden/>
          </w:rPr>
          <w:instrText xml:space="preserve"> PAGEREF _Toc203766017 \h </w:instrText>
        </w:r>
        <w:r>
          <w:rPr>
            <w:noProof/>
            <w:webHidden/>
          </w:rPr>
        </w:r>
        <w:r>
          <w:rPr>
            <w:noProof/>
            <w:webHidden/>
          </w:rPr>
          <w:fldChar w:fldCharType="separate"/>
        </w:r>
        <w:r w:rsidR="007D1829">
          <w:rPr>
            <w:noProof/>
            <w:webHidden/>
          </w:rPr>
          <w:t>495</w:t>
        </w:r>
        <w:r>
          <w:rPr>
            <w:noProof/>
            <w:webHidden/>
          </w:rPr>
          <w:fldChar w:fldCharType="end"/>
        </w:r>
      </w:hyperlink>
    </w:p>
    <w:p w14:paraId="78215031" w14:textId="611A0F7B" w:rsidR="004E2B6A" w:rsidRDefault="004E2B6A">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3766018" w:history="1">
        <w:r w:rsidRPr="009A1507">
          <w:rPr>
            <w:rStyle w:val="Hyperlink"/>
            <w:noProof/>
          </w:rPr>
          <w:t>Correct Patient Test Results</w:t>
        </w:r>
        <w:r>
          <w:rPr>
            <w:noProof/>
            <w:webHidden/>
          </w:rPr>
          <w:tab/>
        </w:r>
        <w:r>
          <w:rPr>
            <w:noProof/>
            <w:webHidden/>
          </w:rPr>
          <w:fldChar w:fldCharType="begin"/>
        </w:r>
        <w:r>
          <w:rPr>
            <w:noProof/>
            <w:webHidden/>
          </w:rPr>
          <w:instrText xml:space="preserve"> PAGEREF _Toc203766018 \h </w:instrText>
        </w:r>
        <w:r>
          <w:rPr>
            <w:noProof/>
            <w:webHidden/>
          </w:rPr>
        </w:r>
        <w:r>
          <w:rPr>
            <w:noProof/>
            <w:webHidden/>
          </w:rPr>
          <w:fldChar w:fldCharType="separate"/>
        </w:r>
        <w:r w:rsidR="007D1829">
          <w:rPr>
            <w:noProof/>
            <w:webHidden/>
          </w:rPr>
          <w:t>495</w:t>
        </w:r>
        <w:r>
          <w:rPr>
            <w:noProof/>
            <w:webHidden/>
          </w:rPr>
          <w:fldChar w:fldCharType="end"/>
        </w:r>
      </w:hyperlink>
    </w:p>
    <w:p w14:paraId="310E6648" w14:textId="496B6AAC" w:rsidR="004E2B6A" w:rsidRDefault="004E2B6A">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3766019" w:history="1">
        <w:r w:rsidRPr="009A1507">
          <w:rPr>
            <w:rStyle w:val="Hyperlink"/>
            <w:noProof/>
          </w:rPr>
          <w:t>Invalidate Test Results</w:t>
        </w:r>
        <w:r>
          <w:rPr>
            <w:noProof/>
            <w:webHidden/>
          </w:rPr>
          <w:tab/>
        </w:r>
        <w:r>
          <w:rPr>
            <w:noProof/>
            <w:webHidden/>
          </w:rPr>
          <w:fldChar w:fldCharType="begin"/>
        </w:r>
        <w:r>
          <w:rPr>
            <w:noProof/>
            <w:webHidden/>
          </w:rPr>
          <w:instrText xml:space="preserve"> PAGEREF _Toc203766019 \h </w:instrText>
        </w:r>
        <w:r>
          <w:rPr>
            <w:noProof/>
            <w:webHidden/>
          </w:rPr>
        </w:r>
        <w:r>
          <w:rPr>
            <w:noProof/>
            <w:webHidden/>
          </w:rPr>
          <w:fldChar w:fldCharType="separate"/>
        </w:r>
        <w:r w:rsidR="007D1829">
          <w:rPr>
            <w:noProof/>
            <w:webHidden/>
          </w:rPr>
          <w:t>495</w:t>
        </w:r>
        <w:r>
          <w:rPr>
            <w:noProof/>
            <w:webHidden/>
          </w:rPr>
          <w:fldChar w:fldCharType="end"/>
        </w:r>
      </w:hyperlink>
    </w:p>
    <w:p w14:paraId="1076A303" w14:textId="3F92F821" w:rsidR="004E2B6A" w:rsidRDefault="004E2B6A">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3766020" w:history="1">
        <w:r w:rsidRPr="009A1507">
          <w:rPr>
            <w:rStyle w:val="Hyperlink"/>
            <w:noProof/>
          </w:rPr>
          <w:t>UN-Pooling a Pooled Unit (in the computer only)</w:t>
        </w:r>
        <w:r>
          <w:rPr>
            <w:noProof/>
            <w:webHidden/>
          </w:rPr>
          <w:tab/>
        </w:r>
        <w:r>
          <w:rPr>
            <w:noProof/>
            <w:webHidden/>
          </w:rPr>
          <w:fldChar w:fldCharType="begin"/>
        </w:r>
        <w:r>
          <w:rPr>
            <w:noProof/>
            <w:webHidden/>
          </w:rPr>
          <w:instrText xml:space="preserve"> PAGEREF _Toc203766020 \h </w:instrText>
        </w:r>
        <w:r>
          <w:rPr>
            <w:noProof/>
            <w:webHidden/>
          </w:rPr>
        </w:r>
        <w:r>
          <w:rPr>
            <w:noProof/>
            <w:webHidden/>
          </w:rPr>
          <w:fldChar w:fldCharType="separate"/>
        </w:r>
        <w:r w:rsidR="007D1829">
          <w:rPr>
            <w:noProof/>
            <w:webHidden/>
          </w:rPr>
          <w:t>496</w:t>
        </w:r>
        <w:r>
          <w:rPr>
            <w:noProof/>
            <w:webHidden/>
          </w:rPr>
          <w:fldChar w:fldCharType="end"/>
        </w:r>
      </w:hyperlink>
    </w:p>
    <w:p w14:paraId="32586F2D" w14:textId="0A363730" w:rsidR="004E2B6A" w:rsidRDefault="004E2B6A">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3766021" w:history="1">
        <w:r w:rsidRPr="009A1507">
          <w:rPr>
            <w:rStyle w:val="Hyperlink"/>
            <w:noProof/>
          </w:rPr>
          <w:t>UN-Modifying a Unit</w:t>
        </w:r>
        <w:r>
          <w:rPr>
            <w:noProof/>
            <w:webHidden/>
          </w:rPr>
          <w:tab/>
        </w:r>
        <w:r>
          <w:rPr>
            <w:noProof/>
            <w:webHidden/>
          </w:rPr>
          <w:fldChar w:fldCharType="begin"/>
        </w:r>
        <w:r>
          <w:rPr>
            <w:noProof/>
            <w:webHidden/>
          </w:rPr>
          <w:instrText xml:space="preserve"> PAGEREF _Toc203766021 \h </w:instrText>
        </w:r>
        <w:r>
          <w:rPr>
            <w:noProof/>
            <w:webHidden/>
          </w:rPr>
        </w:r>
        <w:r>
          <w:rPr>
            <w:noProof/>
            <w:webHidden/>
          </w:rPr>
          <w:fldChar w:fldCharType="separate"/>
        </w:r>
        <w:r w:rsidR="007D1829">
          <w:rPr>
            <w:noProof/>
            <w:webHidden/>
          </w:rPr>
          <w:t>496</w:t>
        </w:r>
        <w:r>
          <w:rPr>
            <w:noProof/>
            <w:webHidden/>
          </w:rPr>
          <w:fldChar w:fldCharType="end"/>
        </w:r>
      </w:hyperlink>
    </w:p>
    <w:p w14:paraId="05ADD6F6" w14:textId="7B22D205" w:rsidR="004E2B6A" w:rsidRDefault="004E2B6A">
      <w:pPr>
        <w:pStyle w:val="TOC2"/>
        <w:tabs>
          <w:tab w:val="right" w:leader="dot" w:pos="9350"/>
        </w:tabs>
        <w:rPr>
          <w:rFonts w:asciiTheme="minorHAnsi" w:eastAsiaTheme="minorEastAsia" w:hAnsiTheme="minorHAnsi" w:cstheme="minorBidi"/>
          <w:smallCaps w:val="0"/>
          <w:noProof/>
          <w:kern w:val="2"/>
          <w:sz w:val="24"/>
          <w:szCs w:val="24"/>
          <w14:ligatures w14:val="standardContextual"/>
        </w:rPr>
      </w:pPr>
      <w:hyperlink w:anchor="_Toc203766022" w:history="1">
        <w:r w:rsidRPr="009A1507">
          <w:rPr>
            <w:rStyle w:val="Hyperlink"/>
            <w:noProof/>
          </w:rPr>
          <w:t>Appendix J: Recommended Report Usage</w:t>
        </w:r>
        <w:r>
          <w:rPr>
            <w:noProof/>
            <w:webHidden/>
          </w:rPr>
          <w:tab/>
        </w:r>
        <w:r>
          <w:rPr>
            <w:noProof/>
            <w:webHidden/>
          </w:rPr>
          <w:fldChar w:fldCharType="begin"/>
        </w:r>
        <w:r>
          <w:rPr>
            <w:noProof/>
            <w:webHidden/>
          </w:rPr>
          <w:instrText xml:space="preserve"> PAGEREF _Toc203766022 \h </w:instrText>
        </w:r>
        <w:r>
          <w:rPr>
            <w:noProof/>
            <w:webHidden/>
          </w:rPr>
        </w:r>
        <w:r>
          <w:rPr>
            <w:noProof/>
            <w:webHidden/>
          </w:rPr>
          <w:fldChar w:fldCharType="separate"/>
        </w:r>
        <w:r w:rsidR="007D1829">
          <w:rPr>
            <w:noProof/>
            <w:webHidden/>
          </w:rPr>
          <w:t>497</w:t>
        </w:r>
        <w:r>
          <w:rPr>
            <w:noProof/>
            <w:webHidden/>
          </w:rPr>
          <w:fldChar w:fldCharType="end"/>
        </w:r>
      </w:hyperlink>
    </w:p>
    <w:p w14:paraId="791C4506" w14:textId="08F90A12" w:rsidR="004E2B6A" w:rsidRDefault="004E2B6A">
      <w:pPr>
        <w:pStyle w:val="TOC2"/>
        <w:tabs>
          <w:tab w:val="right" w:leader="dot" w:pos="9350"/>
        </w:tabs>
        <w:rPr>
          <w:rFonts w:asciiTheme="minorHAnsi" w:eastAsiaTheme="minorEastAsia" w:hAnsiTheme="minorHAnsi" w:cstheme="minorBidi"/>
          <w:smallCaps w:val="0"/>
          <w:noProof/>
          <w:kern w:val="2"/>
          <w:sz w:val="24"/>
          <w:szCs w:val="24"/>
          <w14:ligatures w14:val="standardContextual"/>
        </w:rPr>
      </w:pPr>
      <w:hyperlink w:anchor="_Toc203766023" w:history="1">
        <w:r w:rsidRPr="009A1507">
          <w:rPr>
            <w:rStyle w:val="Hyperlink"/>
            <w:noProof/>
          </w:rPr>
          <w:t>Appendix K: Barcode Scanner Configuration and Troubleshooting</w:t>
        </w:r>
        <w:r>
          <w:rPr>
            <w:noProof/>
            <w:webHidden/>
          </w:rPr>
          <w:tab/>
        </w:r>
        <w:r>
          <w:rPr>
            <w:noProof/>
            <w:webHidden/>
          </w:rPr>
          <w:fldChar w:fldCharType="begin"/>
        </w:r>
        <w:r>
          <w:rPr>
            <w:noProof/>
            <w:webHidden/>
          </w:rPr>
          <w:instrText xml:space="preserve"> PAGEREF _Toc203766023 \h </w:instrText>
        </w:r>
        <w:r>
          <w:rPr>
            <w:noProof/>
            <w:webHidden/>
          </w:rPr>
        </w:r>
        <w:r>
          <w:rPr>
            <w:noProof/>
            <w:webHidden/>
          </w:rPr>
          <w:fldChar w:fldCharType="separate"/>
        </w:r>
        <w:r w:rsidR="007D1829">
          <w:rPr>
            <w:noProof/>
            <w:webHidden/>
          </w:rPr>
          <w:t>499</w:t>
        </w:r>
        <w:r>
          <w:rPr>
            <w:noProof/>
            <w:webHidden/>
          </w:rPr>
          <w:fldChar w:fldCharType="end"/>
        </w:r>
      </w:hyperlink>
    </w:p>
    <w:p w14:paraId="4C90F715" w14:textId="15E8534E" w:rsidR="004E2B6A" w:rsidRDefault="004E2B6A">
      <w:pPr>
        <w:pStyle w:val="TOC2"/>
        <w:tabs>
          <w:tab w:val="right" w:leader="dot" w:pos="9350"/>
        </w:tabs>
        <w:rPr>
          <w:rFonts w:asciiTheme="minorHAnsi" w:eastAsiaTheme="minorEastAsia" w:hAnsiTheme="minorHAnsi" w:cstheme="minorBidi"/>
          <w:smallCaps w:val="0"/>
          <w:noProof/>
          <w:kern w:val="2"/>
          <w:sz w:val="24"/>
          <w:szCs w:val="24"/>
          <w14:ligatures w14:val="standardContextual"/>
        </w:rPr>
      </w:pPr>
      <w:hyperlink w:anchor="_Toc203766024" w:history="1">
        <w:r w:rsidRPr="009A1507">
          <w:rPr>
            <w:rStyle w:val="Hyperlink"/>
            <w:noProof/>
          </w:rPr>
          <w:t>Appendix L: System Responses to Active Transfusion Requirements in Select Unit and Issue Blood Component</w:t>
        </w:r>
        <w:r>
          <w:rPr>
            <w:noProof/>
            <w:webHidden/>
          </w:rPr>
          <w:tab/>
        </w:r>
        <w:r>
          <w:rPr>
            <w:noProof/>
            <w:webHidden/>
          </w:rPr>
          <w:fldChar w:fldCharType="begin"/>
        </w:r>
        <w:r>
          <w:rPr>
            <w:noProof/>
            <w:webHidden/>
          </w:rPr>
          <w:instrText xml:space="preserve"> PAGEREF _Toc203766024 \h </w:instrText>
        </w:r>
        <w:r>
          <w:rPr>
            <w:noProof/>
            <w:webHidden/>
          </w:rPr>
        </w:r>
        <w:r>
          <w:rPr>
            <w:noProof/>
            <w:webHidden/>
          </w:rPr>
          <w:fldChar w:fldCharType="separate"/>
        </w:r>
        <w:r w:rsidR="007D1829">
          <w:rPr>
            <w:noProof/>
            <w:webHidden/>
          </w:rPr>
          <w:t>500</w:t>
        </w:r>
        <w:r>
          <w:rPr>
            <w:noProof/>
            <w:webHidden/>
          </w:rPr>
          <w:fldChar w:fldCharType="end"/>
        </w:r>
      </w:hyperlink>
    </w:p>
    <w:p w14:paraId="7063BCDD" w14:textId="374D6087" w:rsidR="004E2B6A" w:rsidRDefault="004E2B6A">
      <w:pPr>
        <w:pStyle w:val="TOC2"/>
        <w:tabs>
          <w:tab w:val="right" w:leader="dot" w:pos="9350"/>
        </w:tabs>
        <w:rPr>
          <w:rFonts w:asciiTheme="minorHAnsi" w:eastAsiaTheme="minorEastAsia" w:hAnsiTheme="minorHAnsi" w:cstheme="minorBidi"/>
          <w:smallCaps w:val="0"/>
          <w:noProof/>
          <w:kern w:val="2"/>
          <w:sz w:val="24"/>
          <w:szCs w:val="24"/>
          <w14:ligatures w14:val="standardContextual"/>
        </w:rPr>
      </w:pPr>
      <w:hyperlink w:anchor="_Toc203766025" w:history="1">
        <w:r w:rsidRPr="009A1507">
          <w:rPr>
            <w:rStyle w:val="Hyperlink"/>
            <w:noProof/>
          </w:rPr>
          <w:t>Appendix M: Workload Process Mapping to Application Option Table</w:t>
        </w:r>
        <w:r>
          <w:rPr>
            <w:noProof/>
            <w:webHidden/>
          </w:rPr>
          <w:tab/>
        </w:r>
        <w:r>
          <w:rPr>
            <w:noProof/>
            <w:webHidden/>
          </w:rPr>
          <w:fldChar w:fldCharType="begin"/>
        </w:r>
        <w:r>
          <w:rPr>
            <w:noProof/>
            <w:webHidden/>
          </w:rPr>
          <w:instrText xml:space="preserve"> PAGEREF _Toc203766025 \h </w:instrText>
        </w:r>
        <w:r>
          <w:rPr>
            <w:noProof/>
            <w:webHidden/>
          </w:rPr>
        </w:r>
        <w:r>
          <w:rPr>
            <w:noProof/>
            <w:webHidden/>
          </w:rPr>
          <w:fldChar w:fldCharType="separate"/>
        </w:r>
        <w:r w:rsidR="007D1829">
          <w:rPr>
            <w:noProof/>
            <w:webHidden/>
          </w:rPr>
          <w:t>509</w:t>
        </w:r>
        <w:r>
          <w:rPr>
            <w:noProof/>
            <w:webHidden/>
          </w:rPr>
          <w:fldChar w:fldCharType="end"/>
        </w:r>
      </w:hyperlink>
    </w:p>
    <w:p w14:paraId="3D515B21" w14:textId="0B274FA3" w:rsidR="004E2B6A" w:rsidRDefault="004E2B6A">
      <w:pPr>
        <w:pStyle w:val="TOC2"/>
        <w:tabs>
          <w:tab w:val="right" w:leader="dot" w:pos="9350"/>
        </w:tabs>
        <w:rPr>
          <w:rFonts w:asciiTheme="minorHAnsi" w:eastAsiaTheme="minorEastAsia" w:hAnsiTheme="minorHAnsi" w:cstheme="minorBidi"/>
          <w:smallCaps w:val="0"/>
          <w:noProof/>
          <w:kern w:val="2"/>
          <w:sz w:val="24"/>
          <w:szCs w:val="24"/>
          <w14:ligatures w14:val="standardContextual"/>
        </w:rPr>
      </w:pPr>
      <w:hyperlink w:anchor="_Toc203766026" w:history="1">
        <w:r w:rsidRPr="009A1507">
          <w:rPr>
            <w:rStyle w:val="Hyperlink"/>
            <w:noProof/>
          </w:rPr>
          <w:t>Appendix N: Orderable Reflex Tests</w:t>
        </w:r>
        <w:r>
          <w:rPr>
            <w:noProof/>
            <w:webHidden/>
          </w:rPr>
          <w:tab/>
        </w:r>
        <w:r>
          <w:rPr>
            <w:noProof/>
            <w:webHidden/>
          </w:rPr>
          <w:fldChar w:fldCharType="begin"/>
        </w:r>
        <w:r>
          <w:rPr>
            <w:noProof/>
            <w:webHidden/>
          </w:rPr>
          <w:instrText xml:space="preserve"> PAGEREF _Toc203766026 \h </w:instrText>
        </w:r>
        <w:r>
          <w:rPr>
            <w:noProof/>
            <w:webHidden/>
          </w:rPr>
        </w:r>
        <w:r>
          <w:rPr>
            <w:noProof/>
            <w:webHidden/>
          </w:rPr>
          <w:fldChar w:fldCharType="separate"/>
        </w:r>
        <w:r w:rsidR="007D1829">
          <w:rPr>
            <w:noProof/>
            <w:webHidden/>
          </w:rPr>
          <w:t>517</w:t>
        </w:r>
        <w:r>
          <w:rPr>
            <w:noProof/>
            <w:webHidden/>
          </w:rPr>
          <w:fldChar w:fldCharType="end"/>
        </w:r>
      </w:hyperlink>
    </w:p>
    <w:p w14:paraId="7521C9BE" w14:textId="35BE9A81" w:rsidR="004E2B6A" w:rsidRDefault="004E2B6A">
      <w:pPr>
        <w:pStyle w:val="TOC1"/>
        <w:tabs>
          <w:tab w:val="right" w:leader="dot" w:pos="9350"/>
        </w:tabs>
        <w:rPr>
          <w:rFonts w:asciiTheme="minorHAnsi" w:eastAsiaTheme="minorEastAsia" w:hAnsiTheme="minorHAnsi" w:cstheme="minorBidi"/>
          <w:b w:val="0"/>
          <w:caps w:val="0"/>
          <w:noProof/>
          <w:kern w:val="2"/>
          <w:sz w:val="24"/>
          <w:szCs w:val="24"/>
          <w14:ligatures w14:val="standardContextual"/>
        </w:rPr>
      </w:pPr>
      <w:hyperlink w:anchor="_Toc203766027" w:history="1">
        <w:r w:rsidRPr="009A1507">
          <w:rPr>
            <w:rStyle w:val="Hyperlink"/>
            <w:noProof/>
          </w:rPr>
          <w:t>Index</w:t>
        </w:r>
        <w:r>
          <w:rPr>
            <w:noProof/>
            <w:webHidden/>
          </w:rPr>
          <w:tab/>
        </w:r>
        <w:r>
          <w:rPr>
            <w:noProof/>
            <w:webHidden/>
          </w:rPr>
          <w:fldChar w:fldCharType="begin"/>
        </w:r>
        <w:r>
          <w:rPr>
            <w:noProof/>
            <w:webHidden/>
          </w:rPr>
          <w:instrText xml:space="preserve"> PAGEREF _Toc203766027 \h </w:instrText>
        </w:r>
        <w:r>
          <w:rPr>
            <w:noProof/>
            <w:webHidden/>
          </w:rPr>
        </w:r>
        <w:r>
          <w:rPr>
            <w:noProof/>
            <w:webHidden/>
          </w:rPr>
          <w:fldChar w:fldCharType="separate"/>
        </w:r>
        <w:r w:rsidR="007D1829">
          <w:rPr>
            <w:noProof/>
            <w:webHidden/>
          </w:rPr>
          <w:t>519</w:t>
        </w:r>
        <w:r>
          <w:rPr>
            <w:noProof/>
            <w:webHidden/>
          </w:rPr>
          <w:fldChar w:fldCharType="end"/>
        </w:r>
      </w:hyperlink>
    </w:p>
    <w:p w14:paraId="2C45662D" w14:textId="0B44FF3E" w:rsidR="004E2B6A" w:rsidRDefault="004E2B6A">
      <w:pPr>
        <w:pStyle w:val="TOC1"/>
        <w:tabs>
          <w:tab w:val="right" w:leader="dot" w:pos="9350"/>
        </w:tabs>
        <w:rPr>
          <w:rFonts w:asciiTheme="minorHAnsi" w:eastAsiaTheme="minorEastAsia" w:hAnsiTheme="minorHAnsi" w:cstheme="minorBidi"/>
          <w:b w:val="0"/>
          <w:caps w:val="0"/>
          <w:noProof/>
          <w:kern w:val="2"/>
          <w:sz w:val="24"/>
          <w:szCs w:val="24"/>
          <w14:ligatures w14:val="standardContextual"/>
        </w:rPr>
      </w:pPr>
      <w:hyperlink w:anchor="_Toc203766028" w:history="1">
        <w:r w:rsidRPr="009A1507">
          <w:rPr>
            <w:rStyle w:val="Hyperlink"/>
            <w:noProof/>
          </w:rPr>
          <w:t>Revision History</w:t>
        </w:r>
        <w:r>
          <w:rPr>
            <w:noProof/>
            <w:webHidden/>
          </w:rPr>
          <w:tab/>
        </w:r>
        <w:r>
          <w:rPr>
            <w:noProof/>
            <w:webHidden/>
          </w:rPr>
          <w:fldChar w:fldCharType="begin"/>
        </w:r>
        <w:r>
          <w:rPr>
            <w:noProof/>
            <w:webHidden/>
          </w:rPr>
          <w:instrText xml:space="preserve"> PAGEREF _Toc203766028 \h </w:instrText>
        </w:r>
        <w:r>
          <w:rPr>
            <w:noProof/>
            <w:webHidden/>
          </w:rPr>
        </w:r>
        <w:r>
          <w:rPr>
            <w:noProof/>
            <w:webHidden/>
          </w:rPr>
          <w:fldChar w:fldCharType="separate"/>
        </w:r>
        <w:r w:rsidR="007D1829">
          <w:rPr>
            <w:noProof/>
            <w:webHidden/>
          </w:rPr>
          <w:t>525</w:t>
        </w:r>
        <w:r>
          <w:rPr>
            <w:noProof/>
            <w:webHidden/>
          </w:rPr>
          <w:fldChar w:fldCharType="end"/>
        </w:r>
      </w:hyperlink>
    </w:p>
    <w:p w14:paraId="3ADB784C" w14:textId="7D6D9267" w:rsidR="0036198D" w:rsidRDefault="002A21AE" w:rsidP="00061AEC">
      <w:pPr>
        <w:pStyle w:val="Heading1"/>
        <w:rPr>
          <w:rFonts w:ascii="Times New Roman" w:hAnsi="Times New Roman" w:cs="Times New Roman"/>
          <w:kern w:val="0"/>
          <w:sz w:val="22"/>
          <w:szCs w:val="22"/>
        </w:rPr>
      </w:pPr>
      <w:r>
        <w:rPr>
          <w:rFonts w:ascii="Times New Roman" w:hAnsi="Times New Roman" w:cs="Times New Roman"/>
          <w:kern w:val="0"/>
          <w:sz w:val="22"/>
          <w:szCs w:val="22"/>
        </w:rPr>
        <w:lastRenderedPageBreak/>
        <w:fldChar w:fldCharType="end"/>
      </w:r>
    </w:p>
    <w:p w14:paraId="0940373A" w14:textId="23E8F3BE" w:rsidR="002A21AE" w:rsidRPr="00BF677A" w:rsidRDefault="002A21AE" w:rsidP="00061AEC">
      <w:pPr>
        <w:pStyle w:val="Heading1"/>
        <w:rPr>
          <w:rFonts w:ascii="Arial Bold" w:hAnsi="Arial Bold"/>
        </w:rPr>
      </w:pPr>
      <w:bookmarkStart w:id="1" w:name="_Toc203765799"/>
      <w:r>
        <w:t>Introduction</w:t>
      </w:r>
      <w:bookmarkEnd w:id="1"/>
      <w:r>
        <w:fldChar w:fldCharType="begin"/>
      </w:r>
      <w:r>
        <w:instrText xml:space="preserve"> XE </w:instrText>
      </w:r>
      <w:r w:rsidR="00FA7E65">
        <w:instrText>“</w:instrText>
      </w:r>
      <w:r>
        <w:instrText>Introduction</w:instrText>
      </w:r>
      <w:r w:rsidR="00FA7E65">
        <w:instrText>”</w:instrText>
      </w:r>
      <w:r w:rsidR="00DE2677">
        <w:instrText xml:space="preserve"> </w:instrText>
      </w:r>
      <w:r>
        <w:fldChar w:fldCharType="end"/>
      </w:r>
    </w:p>
    <w:p w14:paraId="6F425561" w14:textId="74AEF313" w:rsidR="0036198D" w:rsidRPr="0036198D" w:rsidRDefault="0036198D" w:rsidP="0036198D">
      <w:pPr>
        <w:pStyle w:val="BodyText"/>
      </w:pPr>
      <w:bookmarkStart w:id="2" w:name="OLE_LINK41"/>
      <w:bookmarkStart w:id="3" w:name="OLE_LINK42"/>
      <w:bookmarkStart w:id="4" w:name="OLE_LINK7"/>
      <w:bookmarkStart w:id="5" w:name="OLE_LINK8"/>
      <w:r w:rsidRPr="0036198D">
        <w:t>VistA Blood Establishment Computer Software (VBECS) is an improved Blood Bank application that facilitates ongoing compliance with Food and Drug Administration (FDA) standards for medical devices and enhances the Department of Veterans Affairs (VAs) ability to produce high-quality blood products and services to veterans. The system follows blood bank standards, standards of national accrediting agencies, FDA regulations and VA policies.</w:t>
      </w:r>
    </w:p>
    <w:p w14:paraId="5ED26AF7" w14:textId="77777777" w:rsidR="0036198D" w:rsidRPr="00393691" w:rsidRDefault="0036198D" w:rsidP="0036198D">
      <w:pPr>
        <w:pStyle w:val="BodyText"/>
        <w:rPr>
          <w:rFonts w:ascii="Arial" w:hAnsi="Arial"/>
          <w:b/>
          <w:szCs w:val="24"/>
        </w:rPr>
      </w:pPr>
      <w:r w:rsidRPr="00393691">
        <w:rPr>
          <w:rFonts w:ascii="Arial" w:hAnsi="Arial"/>
          <w:b/>
          <w:szCs w:val="24"/>
        </w:rPr>
        <w:t>Intended Use</w:t>
      </w:r>
    </w:p>
    <w:p w14:paraId="44E13193" w14:textId="77777777" w:rsidR="0036198D" w:rsidRPr="0036198D" w:rsidRDefault="0036198D" w:rsidP="0036198D">
      <w:pPr>
        <w:pStyle w:val="BodyText"/>
      </w:pPr>
      <w:r w:rsidRPr="0036198D">
        <w:t>VBECS is a computer software application that manages transfusion service activities. The purpose of VBECS is to automate the documentation and record keeping of selected daily activities of the transfusion service.</w:t>
      </w:r>
    </w:p>
    <w:p w14:paraId="0E379D03" w14:textId="77777777" w:rsidR="0036198D" w:rsidRPr="00393691" w:rsidRDefault="0036198D" w:rsidP="0036198D">
      <w:pPr>
        <w:pStyle w:val="BodyText"/>
        <w:rPr>
          <w:rFonts w:ascii="Arial" w:hAnsi="Arial"/>
          <w:b/>
          <w:szCs w:val="24"/>
        </w:rPr>
      </w:pPr>
      <w:r w:rsidRPr="00393691">
        <w:rPr>
          <w:rFonts w:ascii="Arial" w:hAnsi="Arial"/>
          <w:b/>
          <w:szCs w:val="24"/>
        </w:rPr>
        <w:t>Indications for Use</w:t>
      </w:r>
    </w:p>
    <w:p w14:paraId="3E2EFEB4" w14:textId="77777777" w:rsidR="0036198D" w:rsidRPr="0036198D" w:rsidRDefault="0036198D" w:rsidP="0036198D">
      <w:pPr>
        <w:pStyle w:val="BodyText"/>
      </w:pPr>
      <w:r w:rsidRPr="0036198D">
        <w:t>The main purpose of VBECS is to automate the daily processing of blood inventory and patient transfusions in a hospital transfusion service. The purpose of VBECS is to automate the documentation and record keeping of selected activities of a hospital transfusion service.</w:t>
      </w:r>
    </w:p>
    <w:p w14:paraId="2BEE042D" w14:textId="404A1DED" w:rsidR="0036198D" w:rsidRPr="00393691" w:rsidRDefault="0036198D" w:rsidP="0036198D">
      <w:pPr>
        <w:pStyle w:val="BodyText"/>
        <w:rPr>
          <w:rFonts w:ascii="Arial" w:hAnsi="Arial"/>
          <w:b/>
          <w:szCs w:val="24"/>
        </w:rPr>
      </w:pPr>
      <w:r w:rsidRPr="00393691">
        <w:rPr>
          <w:rFonts w:ascii="Arial" w:hAnsi="Arial"/>
          <w:b/>
          <w:szCs w:val="24"/>
        </w:rPr>
        <w:t xml:space="preserve">VBECS </w:t>
      </w:r>
      <w:r w:rsidR="007510C0">
        <w:rPr>
          <w:rFonts w:ascii="Arial" w:hAnsi="Arial"/>
          <w:b/>
          <w:szCs w:val="24"/>
        </w:rPr>
        <w:t>A</w:t>
      </w:r>
      <w:r w:rsidRPr="00393691">
        <w:rPr>
          <w:rFonts w:ascii="Arial" w:hAnsi="Arial"/>
          <w:b/>
          <w:szCs w:val="24"/>
        </w:rPr>
        <w:t>ccommodates:</w:t>
      </w:r>
    </w:p>
    <w:p w14:paraId="65230272" w14:textId="77777777" w:rsidR="0036198D" w:rsidRPr="0036198D" w:rsidRDefault="0036198D" w:rsidP="00394BCB">
      <w:pPr>
        <w:pStyle w:val="BodyText"/>
        <w:numPr>
          <w:ilvl w:val="0"/>
          <w:numId w:val="83"/>
        </w:numPr>
        <w:spacing w:before="0" w:after="0"/>
      </w:pPr>
      <w:r w:rsidRPr="0036198D">
        <w:t>The processing of blood component shipments.</w:t>
      </w:r>
    </w:p>
    <w:p w14:paraId="0B21AFED" w14:textId="77777777" w:rsidR="0036198D" w:rsidRPr="0036198D" w:rsidRDefault="0036198D" w:rsidP="00394BCB">
      <w:pPr>
        <w:pStyle w:val="BodyText"/>
        <w:numPr>
          <w:ilvl w:val="0"/>
          <w:numId w:val="83"/>
        </w:numPr>
        <w:spacing w:before="0" w:after="0"/>
      </w:pPr>
      <w:r w:rsidRPr="0036198D">
        <w:t>The modification of blood units.</w:t>
      </w:r>
    </w:p>
    <w:p w14:paraId="2666C8C7" w14:textId="77777777" w:rsidR="0036198D" w:rsidRPr="0036198D" w:rsidRDefault="0036198D" w:rsidP="00394BCB">
      <w:pPr>
        <w:pStyle w:val="BodyText"/>
        <w:numPr>
          <w:ilvl w:val="0"/>
          <w:numId w:val="83"/>
        </w:numPr>
        <w:spacing w:before="0" w:after="0"/>
      </w:pPr>
      <w:r w:rsidRPr="0036198D">
        <w:t>Electronic receipt of orders from the Department of Veterans Affairs VistA computer system.</w:t>
      </w:r>
    </w:p>
    <w:p w14:paraId="50313E2D" w14:textId="76B00E7E" w:rsidR="0036198D" w:rsidRPr="0036198D" w:rsidRDefault="0036198D" w:rsidP="00394BCB">
      <w:pPr>
        <w:pStyle w:val="BodyText"/>
        <w:numPr>
          <w:ilvl w:val="0"/>
          <w:numId w:val="83"/>
        </w:numPr>
        <w:spacing w:before="0" w:after="0"/>
      </w:pPr>
      <w:r w:rsidRPr="0036198D">
        <w:t>The recording of patient compatibility testing, transfusions, transfusion processing requirements and special instructions.</w:t>
      </w:r>
    </w:p>
    <w:p w14:paraId="10C1048F" w14:textId="092628D2" w:rsidR="0045199A" w:rsidRDefault="0045199A" w:rsidP="0045199A">
      <w:pPr>
        <w:pStyle w:val="Heading4"/>
      </w:pPr>
      <w:r>
        <w:t xml:space="preserve">Limitations and Restrictions </w:t>
      </w:r>
    </w:p>
    <w:p w14:paraId="57D8A1DD" w14:textId="77777777" w:rsidR="0045199A" w:rsidRPr="0045199A" w:rsidRDefault="0045199A" w:rsidP="0045199A">
      <w:pPr>
        <w:pStyle w:val="Heading4"/>
        <w:rPr>
          <w:rFonts w:ascii="Times New Roman" w:hAnsi="Times New Roman"/>
          <w:b w:val="0"/>
          <w:spacing w:val="-5"/>
          <w:szCs w:val="22"/>
        </w:rPr>
      </w:pPr>
      <w:r w:rsidRPr="0045199A">
        <w:rPr>
          <w:rFonts w:ascii="Times New Roman" w:hAnsi="Times New Roman"/>
        </w:rPr>
        <w:t>VBECS does not support:</w:t>
      </w:r>
      <w:r w:rsidRPr="0045199A">
        <w:rPr>
          <w:rFonts w:ascii="Times New Roman" w:hAnsi="Times New Roman"/>
          <w:vanish/>
        </w:rPr>
        <w:t>DR 5105</w:t>
      </w:r>
    </w:p>
    <w:p w14:paraId="2CC672CE" w14:textId="77777777" w:rsidR="0045199A" w:rsidRPr="005E26A6" w:rsidRDefault="0045199A" w:rsidP="0045199A">
      <w:pPr>
        <w:pStyle w:val="ListBullet"/>
      </w:pPr>
      <w:r>
        <w:t>Blood dono</w:t>
      </w:r>
      <w:r w:rsidRPr="005E26A6">
        <w:t>r collection activities</w:t>
      </w:r>
      <w:r>
        <w:t xml:space="preserve"> (donor module)</w:t>
      </w:r>
    </w:p>
    <w:p w14:paraId="542F024E" w14:textId="77777777" w:rsidR="0045199A" w:rsidRPr="005E26A6" w:rsidRDefault="0045199A" w:rsidP="0045199A">
      <w:pPr>
        <w:pStyle w:val="ListBullet"/>
      </w:pPr>
      <w:r w:rsidRPr="005E26A6">
        <w:t>Direct data entry of antibody identification</w:t>
      </w:r>
    </w:p>
    <w:p w14:paraId="2A785064" w14:textId="77777777" w:rsidR="0045199A" w:rsidRPr="005E26A6" w:rsidRDefault="0045199A" w:rsidP="0045199A">
      <w:pPr>
        <w:pStyle w:val="ListBullet"/>
      </w:pPr>
      <w:r w:rsidRPr="005E26A6">
        <w:t xml:space="preserve">Direct data entry of transfusion reaction workups </w:t>
      </w:r>
    </w:p>
    <w:p w14:paraId="64B0CEF0" w14:textId="77777777" w:rsidR="0045199A" w:rsidRPr="005E26A6" w:rsidRDefault="0045199A" w:rsidP="0045199A">
      <w:pPr>
        <w:pStyle w:val="ListBullet"/>
      </w:pPr>
      <w:r w:rsidRPr="005E26A6">
        <w:t>Patient testing, transfusions, and blood components recorded in Legacy VistA are not available in VBECS</w:t>
      </w:r>
    </w:p>
    <w:p w14:paraId="6DFFB962" w14:textId="77777777" w:rsidR="0045199A" w:rsidRDefault="0045199A" w:rsidP="0045199A">
      <w:pPr>
        <w:pStyle w:val="ListBullet"/>
      </w:pPr>
      <w:r w:rsidRPr="005E26A6">
        <w:t>Pediatric blood product preparation</w:t>
      </w:r>
    </w:p>
    <w:p w14:paraId="0677C989" w14:textId="77777777" w:rsidR="0045199A" w:rsidRPr="005E26A6" w:rsidRDefault="0045199A" w:rsidP="0045199A">
      <w:pPr>
        <w:pStyle w:val="ListBullet"/>
      </w:pPr>
      <w:r>
        <w:t>Printing of blood product labels</w:t>
      </w:r>
    </w:p>
    <w:p w14:paraId="3C7B33A8" w14:textId="77777777" w:rsidR="0045199A" w:rsidRPr="005E26A6" w:rsidRDefault="0045199A" w:rsidP="0045199A">
      <w:pPr>
        <w:pStyle w:val="ListBullet"/>
      </w:pPr>
      <w:r w:rsidRPr="005E26A6">
        <w:t>User defined customized queries or reports</w:t>
      </w:r>
    </w:p>
    <w:p w14:paraId="5D799849" w14:textId="77777777" w:rsidR="0045199A" w:rsidRPr="005E26A6" w:rsidRDefault="0045199A" w:rsidP="0045199A">
      <w:pPr>
        <w:pStyle w:val="ListBullet"/>
      </w:pPr>
      <w:r w:rsidRPr="005E26A6">
        <w:t>User editing blood product, antigen, antibody, or transfusion reaction tables</w:t>
      </w:r>
    </w:p>
    <w:p w14:paraId="1CD403B6" w14:textId="77777777" w:rsidR="0045199A" w:rsidRDefault="0045199A" w:rsidP="0045199A">
      <w:pPr>
        <w:pStyle w:val="ListBullet"/>
      </w:pPr>
      <w:r w:rsidRPr="005E26A6">
        <w:t>Validation record storage</w:t>
      </w:r>
    </w:p>
    <w:p w14:paraId="0C9F12C5" w14:textId="77777777" w:rsidR="0045199A" w:rsidRDefault="0045199A" w:rsidP="0045199A">
      <w:pPr>
        <w:rPr>
          <w:sz w:val="22"/>
          <w:szCs w:val="22"/>
        </w:rPr>
      </w:pPr>
    </w:p>
    <w:p w14:paraId="39108FFE" w14:textId="6978C13E" w:rsidR="005039C8" w:rsidRPr="005563CA" w:rsidRDefault="005039C8" w:rsidP="005563CA">
      <w:pPr>
        <w:rPr>
          <w:sz w:val="22"/>
          <w:szCs w:val="22"/>
        </w:rPr>
      </w:pPr>
      <w:r w:rsidRPr="005563CA">
        <w:rPr>
          <w:sz w:val="22"/>
          <w:szCs w:val="22"/>
        </w:rPr>
        <w:t xml:space="preserve">BCE information </w:t>
      </w:r>
      <w:r w:rsidRPr="000B3D31">
        <w:rPr>
          <w:sz w:val="22"/>
          <w:szCs w:val="22"/>
        </w:rPr>
        <w:t>applies</w:t>
      </w:r>
      <w:r w:rsidRPr="005563CA">
        <w:rPr>
          <w:sz w:val="22"/>
          <w:szCs w:val="22"/>
        </w:rPr>
        <w:t xml:space="preserve"> ONLY when a BCE COTS product is available for communication and is configured.</w:t>
      </w:r>
    </w:p>
    <w:p w14:paraId="43A5F5CB" w14:textId="77777777" w:rsidR="005039C8" w:rsidRDefault="005039C8" w:rsidP="001B0B0C">
      <w:pPr>
        <w:rPr>
          <w:sz w:val="22"/>
          <w:szCs w:val="22"/>
        </w:rPr>
      </w:pPr>
    </w:p>
    <w:p w14:paraId="30C8F1B7" w14:textId="4AC3654F" w:rsidR="00B82DFE" w:rsidRPr="00911832" w:rsidRDefault="0045199A" w:rsidP="0045199A">
      <w:pPr>
        <w:rPr>
          <w:sz w:val="22"/>
          <w:szCs w:val="22"/>
        </w:rPr>
      </w:pPr>
      <w:r w:rsidRPr="00911832">
        <w:rPr>
          <w:sz w:val="22"/>
          <w:szCs w:val="22"/>
        </w:rPr>
        <w:t>Limitations and Restrictions are listed in</w:t>
      </w:r>
      <w:r w:rsidR="001B0B0C" w:rsidRPr="00911832">
        <w:rPr>
          <w:sz w:val="22"/>
          <w:szCs w:val="22"/>
        </w:rPr>
        <w:t xml:space="preserve"> </w:t>
      </w:r>
      <w:r w:rsidR="00EE455E" w:rsidRPr="00EE455E">
        <w:rPr>
          <w:sz w:val="22"/>
          <w:szCs w:val="22"/>
        </w:rPr>
        <w:t>Appendix D: Limitations and Restrictions</w:t>
      </w:r>
      <w:r w:rsidR="00394BCB">
        <w:rPr>
          <w:sz w:val="22"/>
          <w:szCs w:val="22"/>
        </w:rPr>
        <w:t xml:space="preserve"> </w:t>
      </w:r>
      <w:r w:rsidRPr="00911832">
        <w:rPr>
          <w:sz w:val="22"/>
          <w:szCs w:val="22"/>
        </w:rPr>
        <w:t xml:space="preserve">by option as well as throughout this document as part of the detailed information associated with the functionality. </w:t>
      </w:r>
    </w:p>
    <w:p w14:paraId="055ACB0D" w14:textId="27EDB68C" w:rsidR="0045199A" w:rsidRPr="00F77D81" w:rsidRDefault="0045199A" w:rsidP="0045199A">
      <w:pPr>
        <w:rPr>
          <w:sz w:val="22"/>
          <w:szCs w:val="22"/>
        </w:rPr>
      </w:pPr>
      <w:r w:rsidRPr="00F77D81">
        <w:rPr>
          <w:vanish/>
          <w:sz w:val="22"/>
          <w:szCs w:val="22"/>
        </w:rPr>
        <w:t>DR 5105</w:t>
      </w:r>
    </w:p>
    <w:bookmarkEnd w:id="2"/>
    <w:bookmarkEnd w:id="3"/>
    <w:bookmarkEnd w:id="4"/>
    <w:bookmarkEnd w:id="5"/>
    <w:p w14:paraId="072C6474" w14:textId="77777777" w:rsidR="002A21AE" w:rsidRPr="00AB3B2D" w:rsidRDefault="00057948">
      <w:pPr>
        <w:pStyle w:val="Caution"/>
        <w:rPr>
          <w:i w:val="0"/>
        </w:rPr>
      </w:pPr>
      <w:r>
        <w:rPr>
          <w:noProof/>
        </w:rPr>
        <w:lastRenderedPageBreak/>
        <w:drawing>
          <wp:inline distT="0" distB="0" distL="0" distR="0" wp14:anchorId="4105AF37" wp14:editId="3D45A94B">
            <wp:extent cx="267970" cy="221615"/>
            <wp:effectExtent l="0" t="0" r="0" b="6985"/>
            <wp:docPr id="10" name="Picture 10" descr="Cau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Caution icon"/>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67970" cy="221615"/>
                    </a:xfrm>
                    <a:prstGeom prst="rect">
                      <a:avLst/>
                    </a:prstGeom>
                    <a:noFill/>
                    <a:ln>
                      <a:noFill/>
                    </a:ln>
                  </pic:spPr>
                </pic:pic>
              </a:graphicData>
            </a:graphic>
          </wp:inline>
        </w:drawing>
      </w:r>
      <w:r w:rsidR="002A21AE">
        <w:t xml:space="preserve">Unauthorized access or misuse of this system and/or its data is </w:t>
      </w:r>
      <w:r w:rsidR="000A6837">
        <w:t>a federal crime. Use of all data, printed or electronic, must</w:t>
      </w:r>
      <w:r w:rsidR="002A21AE">
        <w:t xml:space="preserve"> be in accordance with VA policy on security and privacy.</w:t>
      </w:r>
      <w:r w:rsidR="00AB3B2D">
        <w:rPr>
          <w:i w:val="0"/>
          <w:vanish/>
        </w:rPr>
        <w:t xml:space="preserve"> DR 3513</w:t>
      </w:r>
    </w:p>
    <w:p w14:paraId="4D16687E" w14:textId="33F22690" w:rsidR="002A21AE" w:rsidRDefault="00057948">
      <w:pPr>
        <w:pStyle w:val="Caution"/>
      </w:pPr>
      <w:r>
        <w:rPr>
          <w:noProof/>
        </w:rPr>
        <w:drawing>
          <wp:inline distT="0" distB="0" distL="0" distR="0" wp14:anchorId="6250DE53" wp14:editId="1D5281BF">
            <wp:extent cx="267970" cy="221615"/>
            <wp:effectExtent l="0" t="0" r="0" b="6985"/>
            <wp:docPr id="11" name="Picture 11" descr="Cau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Caution icon"/>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67970" cy="221615"/>
                    </a:xfrm>
                    <a:prstGeom prst="rect">
                      <a:avLst/>
                    </a:prstGeom>
                    <a:noFill/>
                    <a:ln>
                      <a:noFill/>
                    </a:ln>
                  </pic:spPr>
                </pic:pic>
              </a:graphicData>
            </a:graphic>
          </wp:inline>
        </w:drawing>
      </w:r>
      <w:r w:rsidR="002A21AE">
        <w:t>The U.S. Food and Drug Administration classifies this software as a medical device. Unauthorized modifications will render this device an adulterated medical device under Section 501 of the Medical Device Amendments to the Federal Food, Drug, and Cosmetic Act. Acquiring and implementing this software through the Freedom of Information Act require</w:t>
      </w:r>
      <w:r w:rsidR="00E0239F">
        <w:t>s</w:t>
      </w:r>
      <w:r w:rsidR="002A21AE">
        <w:t xml:space="preserve"> the implementer to assume total responsibility for the software and become a registered manufacturer of a medical device, subject to FDA regulations.</w:t>
      </w:r>
    </w:p>
    <w:p w14:paraId="6FB38602" w14:textId="77777777" w:rsidR="002A21AE" w:rsidRDefault="002A21AE">
      <w:pPr>
        <w:pStyle w:val="Heading2"/>
      </w:pPr>
      <w:bookmarkStart w:id="6" w:name="_Toc203765800"/>
      <w:r>
        <w:t>Freeware Disclaimer</w:t>
      </w:r>
      <w:bookmarkEnd w:id="6"/>
      <w:r>
        <w:fldChar w:fldCharType="begin"/>
      </w:r>
      <w:r>
        <w:instrText xml:space="preserve"> XE </w:instrText>
      </w:r>
      <w:r w:rsidR="00FA7E65">
        <w:instrText>“</w:instrText>
      </w:r>
      <w:r>
        <w:instrText>Freeware Disclaimer</w:instrText>
      </w:r>
      <w:r w:rsidR="00FA7E65">
        <w:instrText>”</w:instrText>
      </w:r>
      <w:r>
        <w:instrText xml:space="preserve"> </w:instrText>
      </w:r>
      <w:r>
        <w:fldChar w:fldCharType="end"/>
      </w:r>
    </w:p>
    <w:p w14:paraId="5528EB91" w14:textId="609D1BF3" w:rsidR="004C7D98" w:rsidRPr="004C7D98" w:rsidRDefault="00091DC8" w:rsidP="004C7D98">
      <w:pPr>
        <w:pStyle w:val="BodyText"/>
      </w:pPr>
      <w:r w:rsidRPr="004C7D98">
        <w:t>Requests for VBECS</w:t>
      </w:r>
      <w:r w:rsidR="004501DE">
        <w:t xml:space="preserve"> source code</w:t>
      </w:r>
      <w:r w:rsidRPr="004C7D98">
        <w:t xml:space="preserve"> may be submitted </w:t>
      </w:r>
      <w:r w:rsidR="003B64FF" w:rsidRPr="004C7D98">
        <w:t xml:space="preserve">through the Freedom of Information Act (FOIA). </w:t>
      </w:r>
      <w:r w:rsidR="004C7D98" w:rsidRPr="004C7D98">
        <w:t>Effective on September 19, 2011, the Department of Veterans Affairs will accept</w:t>
      </w:r>
      <w:r w:rsidR="00AF37FE">
        <w:t xml:space="preserve"> FOIA requests electronically. </w:t>
      </w:r>
      <w:r w:rsidR="004C7D98" w:rsidRPr="004C7D98">
        <w:t>Most VA Central Off</w:t>
      </w:r>
      <w:r w:rsidR="004C7D98">
        <w:t xml:space="preserve">ice (VACO) Offices </w:t>
      </w:r>
      <w:r w:rsidR="004C7D98" w:rsidRPr="004C7D98">
        <w:t>are in the process of establ</w:t>
      </w:r>
      <w:r w:rsidR="004C7D98">
        <w:t xml:space="preserve">ishing an electronic mailbox. </w:t>
      </w:r>
      <w:r w:rsidR="004C7D98" w:rsidRPr="004C7D98">
        <w:t xml:space="preserve">In the meantime, the FOIA Service will accept electronic FOIA requests for any VACO FOIA Office that does not yet have a mailbox in </w:t>
      </w:r>
      <w:r w:rsidR="00671459" w:rsidRPr="004C7D98">
        <w:t>place and</w:t>
      </w:r>
      <w:r w:rsidR="004C7D98" w:rsidRPr="004C7D98">
        <w:t xml:space="preserve"> will forward your request to the appropriate office for processing.  </w:t>
      </w:r>
    </w:p>
    <w:p w14:paraId="1DE208CC" w14:textId="082353B3" w:rsidR="003B64FF" w:rsidRPr="00234D60" w:rsidRDefault="00CD5D6A" w:rsidP="00234D60">
      <w:pPr>
        <w:pStyle w:val="BodyText"/>
      </w:pPr>
      <w:r>
        <w:t>Submit requests</w:t>
      </w:r>
      <w:r w:rsidR="003B64FF">
        <w:t xml:space="preserve"> to</w:t>
      </w:r>
      <w:r w:rsidR="007C6538">
        <w:t xml:space="preserve"> </w:t>
      </w:r>
      <w:r w:rsidR="001E0C47" w:rsidRPr="001E0C47">
        <w:rPr>
          <w:highlight w:val="yellow"/>
        </w:rPr>
        <w:t>REDACTED</w:t>
      </w:r>
    </w:p>
    <w:p w14:paraId="03783BE7" w14:textId="0DC08152" w:rsidR="002A21AE" w:rsidRDefault="002A21AE" w:rsidP="00634FC7">
      <w:pPr>
        <w:pStyle w:val="Heading2"/>
      </w:pPr>
      <w:bookmarkStart w:id="7" w:name="_Toc203765801"/>
      <w:r>
        <w:t>Related Manuals and Materials</w:t>
      </w:r>
      <w:bookmarkEnd w:id="7"/>
      <w:r>
        <w:fldChar w:fldCharType="begin"/>
      </w:r>
      <w:r>
        <w:instrText xml:space="preserve"> XE </w:instrText>
      </w:r>
      <w:r w:rsidR="00FA7E65">
        <w:instrText>“</w:instrText>
      </w:r>
      <w:r>
        <w:instrText>Related Manuals and Materials</w:instrText>
      </w:r>
      <w:r w:rsidR="00FA7E65">
        <w:instrText>”</w:instrText>
      </w:r>
      <w:r>
        <w:instrText xml:space="preserve"> </w:instrText>
      </w:r>
      <w:r>
        <w:fldChar w:fldCharType="end"/>
      </w:r>
    </w:p>
    <w:p w14:paraId="30253169" w14:textId="7757541A" w:rsidR="009153A8" w:rsidRPr="00151456" w:rsidRDefault="009153A8" w:rsidP="009153A8">
      <w:pPr>
        <w:pStyle w:val="ListBullet"/>
      </w:pPr>
      <w:r>
        <w:rPr>
          <w:i/>
        </w:rPr>
        <w:t>VBECS 2.</w:t>
      </w:r>
      <w:r w:rsidR="005E5828">
        <w:rPr>
          <w:i/>
        </w:rPr>
        <w:t>4.0</w:t>
      </w:r>
      <w:r>
        <w:rPr>
          <w:i/>
        </w:rPr>
        <w:t xml:space="preserve"> Admin User Guide</w:t>
      </w:r>
    </w:p>
    <w:p w14:paraId="1DC47681" w14:textId="6B3F767B" w:rsidR="009153A8" w:rsidRPr="009153A8" w:rsidRDefault="009153A8" w:rsidP="00861486">
      <w:pPr>
        <w:pStyle w:val="ListBullet"/>
      </w:pPr>
      <w:r>
        <w:rPr>
          <w:i/>
        </w:rPr>
        <w:t>VBECS 2.</w:t>
      </w:r>
      <w:r w:rsidR="005E5828">
        <w:rPr>
          <w:i/>
        </w:rPr>
        <w:t>4.0</w:t>
      </w:r>
      <w:r>
        <w:rPr>
          <w:i/>
        </w:rPr>
        <w:t xml:space="preserve"> Release Notes</w:t>
      </w:r>
    </w:p>
    <w:p w14:paraId="369EAC77" w14:textId="52DD3953" w:rsidR="002A21AE" w:rsidRPr="004501DE" w:rsidRDefault="002A21AE">
      <w:pPr>
        <w:pStyle w:val="ListBullet"/>
      </w:pPr>
      <w:r>
        <w:rPr>
          <w:i/>
        </w:rPr>
        <w:t>VBEC</w:t>
      </w:r>
      <w:r w:rsidR="00A628A7">
        <w:rPr>
          <w:i/>
        </w:rPr>
        <w:t>S</w:t>
      </w:r>
      <w:r>
        <w:rPr>
          <w:i/>
        </w:rPr>
        <w:t xml:space="preserve"> </w:t>
      </w:r>
      <w:r w:rsidR="00C94A42">
        <w:rPr>
          <w:i/>
        </w:rPr>
        <w:t>2.</w:t>
      </w:r>
      <w:r w:rsidR="005E5828">
        <w:rPr>
          <w:i/>
        </w:rPr>
        <w:t>4.0</w:t>
      </w:r>
      <w:r w:rsidR="008C75A6">
        <w:rPr>
          <w:i/>
        </w:rPr>
        <w:t xml:space="preserve"> </w:t>
      </w:r>
      <w:r>
        <w:rPr>
          <w:i/>
        </w:rPr>
        <w:t>Technical Manual-Security Guide</w:t>
      </w:r>
    </w:p>
    <w:p w14:paraId="2896E41B" w14:textId="13A74070" w:rsidR="004501DE" w:rsidRPr="00394BCB" w:rsidRDefault="004501DE">
      <w:pPr>
        <w:pStyle w:val="ListBullet"/>
        <w:rPr>
          <w:iCs/>
        </w:rPr>
      </w:pPr>
      <w:r w:rsidRPr="00394BCB">
        <w:rPr>
          <w:iCs/>
        </w:rPr>
        <w:t xml:space="preserve">VBECS </w:t>
      </w:r>
      <w:r w:rsidR="00810E22" w:rsidRPr="00394BCB">
        <w:rPr>
          <w:iCs/>
        </w:rPr>
        <w:t>Frequently Asked Questions (</w:t>
      </w:r>
      <w:r w:rsidRPr="00394BCB">
        <w:rPr>
          <w:iCs/>
        </w:rPr>
        <w:t>FAQ</w:t>
      </w:r>
      <w:r w:rsidR="00810E22" w:rsidRPr="00394BCB">
        <w:rPr>
          <w:iCs/>
        </w:rPr>
        <w:t>s)</w:t>
      </w:r>
    </w:p>
    <w:p w14:paraId="5BB52642" w14:textId="4098BF85" w:rsidR="00151456" w:rsidRDefault="00151456" w:rsidP="009153A8">
      <w:pPr>
        <w:pStyle w:val="ListBullet"/>
        <w:numPr>
          <w:ilvl w:val="0"/>
          <w:numId w:val="0"/>
        </w:numPr>
      </w:pPr>
    </w:p>
    <w:p w14:paraId="56B8A2A4" w14:textId="2B02E89B" w:rsidR="00770D97" w:rsidRDefault="00770D97" w:rsidP="008A734B">
      <w:pPr>
        <w:pStyle w:val="BodyText"/>
      </w:pPr>
      <w:r>
        <w:t>T</w:t>
      </w:r>
      <w:r w:rsidR="00DA52CF" w:rsidRPr="00DA52CF">
        <w:rPr>
          <w:iCs/>
        </w:rPr>
        <w:t>h</w:t>
      </w:r>
      <w:r>
        <w:rPr>
          <w:iCs/>
        </w:rPr>
        <w:t>is</w:t>
      </w:r>
      <w:r w:rsidR="00DA52CF">
        <w:rPr>
          <w:i/>
        </w:rPr>
        <w:t xml:space="preserve"> </w:t>
      </w:r>
      <w:r w:rsidR="00FC6E3B" w:rsidRPr="00FC6E3B">
        <w:rPr>
          <w:i/>
        </w:rPr>
        <w:t xml:space="preserve">VBECS </w:t>
      </w:r>
      <w:r w:rsidR="004D0A70">
        <w:rPr>
          <w:i/>
        </w:rPr>
        <w:t>2.</w:t>
      </w:r>
      <w:r w:rsidR="005E5828">
        <w:rPr>
          <w:i/>
        </w:rPr>
        <w:t>4.0</w:t>
      </w:r>
      <w:r w:rsidR="004D0A70">
        <w:rPr>
          <w:i/>
        </w:rPr>
        <w:t xml:space="preserve"> </w:t>
      </w:r>
      <w:r w:rsidR="00FC6E3B" w:rsidRPr="00FC6E3B">
        <w:rPr>
          <w:i/>
        </w:rPr>
        <w:t>User Guide</w:t>
      </w:r>
      <w:r w:rsidR="00FC6E3B">
        <w:t xml:space="preserve"> </w:t>
      </w:r>
      <w:r w:rsidR="00437114">
        <w:t>can</w:t>
      </w:r>
      <w:r w:rsidR="00091DC8">
        <w:t xml:space="preserve"> be obtained from</w:t>
      </w:r>
      <w:r>
        <w:t>:</w:t>
      </w:r>
    </w:p>
    <w:p w14:paraId="044453DC" w14:textId="5DD689BF" w:rsidR="00770D97" w:rsidRPr="007F445A" w:rsidRDefault="00770D97" w:rsidP="00770D97">
      <w:pPr>
        <w:pStyle w:val="TableTextBullet"/>
        <w:rPr>
          <w:rFonts w:ascii="Times New Roman" w:hAnsi="Times New Roman"/>
          <w:sz w:val="22"/>
          <w:szCs w:val="22"/>
        </w:rPr>
      </w:pPr>
      <w:hyperlink r:id="rId23" w:history="1">
        <w:r w:rsidRPr="007F445A">
          <w:rPr>
            <w:rStyle w:val="Hyperlink"/>
            <w:rFonts w:ascii="Times New Roman" w:hAnsi="Times New Roman"/>
            <w:sz w:val="22"/>
            <w:szCs w:val="22"/>
          </w:rPr>
          <w:t>VistA Documentation Library (VDL) Web site</w:t>
        </w:r>
      </w:hyperlink>
      <w:r w:rsidRPr="007F445A">
        <w:rPr>
          <w:rFonts w:ascii="Times New Roman" w:hAnsi="Times New Roman"/>
          <w:sz w:val="22"/>
          <w:szCs w:val="22"/>
        </w:rPr>
        <w:t xml:space="preserve"> (content may have redactions)</w:t>
      </w:r>
    </w:p>
    <w:p w14:paraId="4C51D013" w14:textId="523A15B6" w:rsidR="00770D97" w:rsidRPr="001E0C47" w:rsidRDefault="001E0C47" w:rsidP="00770D97">
      <w:pPr>
        <w:pStyle w:val="TableTextBullet"/>
        <w:rPr>
          <w:rFonts w:ascii="Times New Roman" w:hAnsi="Times New Roman"/>
          <w:sz w:val="22"/>
          <w:szCs w:val="22"/>
          <w:highlight w:val="yellow"/>
        </w:rPr>
      </w:pPr>
      <w:r w:rsidRPr="001E0C47">
        <w:rPr>
          <w:rFonts w:ascii="Times New Roman" w:hAnsi="Times New Roman"/>
          <w:sz w:val="22"/>
          <w:szCs w:val="22"/>
          <w:highlight w:val="yellow"/>
        </w:rPr>
        <w:t>REDACTED</w:t>
      </w:r>
    </w:p>
    <w:p w14:paraId="3F5EA408" w14:textId="77777777" w:rsidR="00B94CCD" w:rsidRDefault="00B94CCD">
      <w:pPr>
        <w:rPr>
          <w:rFonts w:ascii="Arial" w:hAnsi="Arial" w:cs="Arial"/>
          <w:b/>
          <w:bCs/>
          <w:kern w:val="32"/>
          <w:sz w:val="36"/>
          <w:szCs w:val="32"/>
        </w:rPr>
      </w:pPr>
      <w:r>
        <w:br w:type="page"/>
      </w:r>
    </w:p>
    <w:p w14:paraId="2CC79A14" w14:textId="77777777" w:rsidR="002A21AE" w:rsidRDefault="002A21AE" w:rsidP="000D4810">
      <w:pPr>
        <w:pStyle w:val="Heading1"/>
      </w:pPr>
      <w:bookmarkStart w:id="8" w:name="_Toc203765802"/>
      <w:r>
        <w:lastRenderedPageBreak/>
        <w:t>Orientation</w:t>
      </w:r>
      <w:bookmarkEnd w:id="8"/>
      <w:r>
        <w:fldChar w:fldCharType="begin"/>
      </w:r>
      <w:r>
        <w:instrText xml:space="preserve"> XE </w:instrText>
      </w:r>
      <w:r w:rsidR="00FA7E65">
        <w:instrText>“</w:instrText>
      </w:r>
      <w:r>
        <w:instrText>Orientation</w:instrText>
      </w:r>
      <w:r w:rsidR="00FA7E65">
        <w:instrText>”</w:instrText>
      </w:r>
      <w:r>
        <w:instrText xml:space="preserve"> </w:instrText>
      </w:r>
      <w:r>
        <w:fldChar w:fldCharType="end"/>
      </w:r>
    </w:p>
    <w:p w14:paraId="006EBC93" w14:textId="77777777" w:rsidR="002A21AE" w:rsidRDefault="002A21AE" w:rsidP="00FA7E65">
      <w:pPr>
        <w:pStyle w:val="BodyText"/>
      </w:pPr>
      <w:r>
        <w:t>This section covers:</w:t>
      </w:r>
    </w:p>
    <w:p w14:paraId="3344F592" w14:textId="77777777" w:rsidR="009F591F" w:rsidRDefault="009F591F" w:rsidP="009F591F">
      <w:pPr>
        <w:pStyle w:val="ListBullet"/>
      </w:pPr>
      <w:r>
        <w:t>How This User Guide Is Organized</w:t>
      </w:r>
    </w:p>
    <w:p w14:paraId="778DB548" w14:textId="77777777" w:rsidR="002A21AE" w:rsidRDefault="002A21AE">
      <w:pPr>
        <w:pStyle w:val="ListBullet"/>
      </w:pPr>
      <w:r>
        <w:t>Security: who can use VBECS</w:t>
      </w:r>
    </w:p>
    <w:p w14:paraId="12708F4C" w14:textId="77777777" w:rsidR="005E6F80" w:rsidRDefault="005E6F80" w:rsidP="005E6F80">
      <w:pPr>
        <w:pStyle w:val="ListBullet"/>
      </w:pPr>
      <w:r>
        <w:t>Application Architecture: the architectural requirements for VBECS</w:t>
      </w:r>
    </w:p>
    <w:p w14:paraId="4A2B0B4E" w14:textId="77777777" w:rsidR="002A21AE" w:rsidRDefault="000C7684">
      <w:pPr>
        <w:pStyle w:val="ListBullet"/>
      </w:pPr>
      <w:r w:rsidRPr="000C7684">
        <w:rPr>
          <w:bCs/>
        </w:rPr>
        <w:t>VistA</w:t>
      </w:r>
      <w:r w:rsidR="002A21AE">
        <w:t xml:space="preserve"> and VBECS: how VBECS compares to </w:t>
      </w:r>
      <w:r w:rsidRPr="000C7684">
        <w:rPr>
          <w:bCs/>
        </w:rPr>
        <w:t>VistA</w:t>
      </w:r>
      <w:r w:rsidR="002A21AE">
        <w:t xml:space="preserve"> </w:t>
      </w:r>
    </w:p>
    <w:p w14:paraId="4D6A82C9" w14:textId="647C782E" w:rsidR="00361EC2" w:rsidRDefault="002A21AE" w:rsidP="00A9231F">
      <w:pPr>
        <w:pStyle w:val="ListBullet"/>
      </w:pPr>
      <w:r>
        <w:t>Customer Support: how to get help</w:t>
      </w:r>
      <w:r w:rsidR="00BD12FB" w:rsidRPr="00A9231F">
        <w:rPr>
          <w:vanish/>
        </w:rPr>
        <w:t>UC_84</w:t>
      </w:r>
    </w:p>
    <w:p w14:paraId="0A2825D3" w14:textId="77777777" w:rsidR="009F591F" w:rsidRDefault="009F591F" w:rsidP="009F591F">
      <w:pPr>
        <w:pStyle w:val="Heading2"/>
      </w:pPr>
      <w:bookmarkStart w:id="9" w:name="_Toc203765803"/>
      <w:r>
        <w:t>How This User Guide Is Organized</w:t>
      </w:r>
      <w:bookmarkEnd w:id="9"/>
      <w:r>
        <w:fldChar w:fldCharType="begin"/>
      </w:r>
      <w:r>
        <w:instrText xml:space="preserve"> XE “How This User Guide Is Organized” </w:instrText>
      </w:r>
      <w:r>
        <w:fldChar w:fldCharType="end"/>
      </w:r>
    </w:p>
    <w:p w14:paraId="413FCA19" w14:textId="77777777" w:rsidR="009F591F" w:rsidRDefault="009F591F" w:rsidP="009F591F">
      <w:pPr>
        <w:pStyle w:val="Heading3"/>
        <w:ind w:left="720" w:hanging="720"/>
      </w:pPr>
      <w:bookmarkStart w:id="10" w:name="_Toc203765804"/>
      <w:r>
        <w:t>Terms</w:t>
      </w:r>
      <w:bookmarkEnd w:id="10"/>
      <w:r>
        <w:fldChar w:fldCharType="begin"/>
      </w:r>
      <w:r>
        <w:instrText xml:space="preserve"> XE “Terms” </w:instrText>
      </w:r>
      <w:r>
        <w:fldChar w:fldCharType="end"/>
      </w:r>
    </w:p>
    <w:p w14:paraId="4738EEA2" w14:textId="77777777" w:rsidR="009F591F" w:rsidRPr="001B3283" w:rsidRDefault="009F591F" w:rsidP="009F591F">
      <w:pPr>
        <w:pStyle w:val="BodyText"/>
      </w:pPr>
      <w:r w:rsidRPr="001B3283">
        <w:t>For consistency and space considerations, the pronouns “he,” “him,” and “his” are used as pronouns of indeterminate gender equally applicable to males and females.</w:t>
      </w:r>
    </w:p>
    <w:p w14:paraId="6E27969D" w14:textId="77777777" w:rsidR="009F591F" w:rsidRDefault="009F591F" w:rsidP="009F591F">
      <w:pPr>
        <w:pStyle w:val="BodyText"/>
      </w:pPr>
      <w:r>
        <w:t xml:space="preserve">In many instances, a user may scan a barcode or enter data manually (by typing). The term “enter” is used throughout this guide to mean “enter manually.” </w:t>
      </w:r>
    </w:p>
    <w:p w14:paraId="7FC9F619" w14:textId="77777777" w:rsidR="009F591F" w:rsidRDefault="009F591F" w:rsidP="009F591F">
      <w:pPr>
        <w:pStyle w:val="BodyText"/>
      </w:pPr>
      <w:r>
        <w:t>See the Glossary for definitions of other terms and acronyms used in this guide.</w:t>
      </w:r>
    </w:p>
    <w:p w14:paraId="01F32109" w14:textId="77777777" w:rsidR="009F591F" w:rsidRDefault="009F591F" w:rsidP="009F591F">
      <w:pPr>
        <w:pStyle w:val="Heading3"/>
      </w:pPr>
      <w:bookmarkStart w:id="11" w:name="_Toc203765805"/>
      <w:r>
        <w:t>Background and Basic Knowledge</w:t>
      </w:r>
      <w:bookmarkEnd w:id="11"/>
      <w:r>
        <w:fldChar w:fldCharType="begin"/>
      </w:r>
      <w:r>
        <w:instrText xml:space="preserve"> XE “Background and Basic Knowledge” </w:instrText>
      </w:r>
      <w:r>
        <w:fldChar w:fldCharType="end"/>
      </w:r>
    </w:p>
    <w:p w14:paraId="674704CC" w14:textId="77777777" w:rsidR="009F591F" w:rsidRDefault="009F591F" w:rsidP="009F591F">
      <w:pPr>
        <w:pStyle w:val="BodyText"/>
      </w:pPr>
      <w:r>
        <w:t>The Introduction, Orientation, and Using the Software sections provide the background and basic knowledge VBECS users need.</w:t>
      </w:r>
    </w:p>
    <w:p w14:paraId="2A8FFE99" w14:textId="77777777" w:rsidR="009F591F" w:rsidRDefault="009F591F" w:rsidP="009F591F">
      <w:pPr>
        <w:pStyle w:val="Heading3"/>
      </w:pPr>
      <w:bookmarkStart w:id="12" w:name="_Toc203765806"/>
      <w:r>
        <w:t>Figures and Tables</w:t>
      </w:r>
      <w:bookmarkEnd w:id="12"/>
      <w:r w:rsidR="00AB6531">
        <w:fldChar w:fldCharType="begin"/>
      </w:r>
      <w:r w:rsidR="00AB6531">
        <w:instrText xml:space="preserve"> XE "</w:instrText>
      </w:r>
      <w:r w:rsidR="00AB6531" w:rsidRPr="00686ED1">
        <w:instrText>Figures and Tables</w:instrText>
      </w:r>
      <w:r w:rsidR="00AB6531">
        <w:instrText xml:space="preserve">" </w:instrText>
      </w:r>
      <w:r w:rsidR="00AB6531">
        <w:fldChar w:fldCharType="end"/>
      </w:r>
    </w:p>
    <w:p w14:paraId="7127010E" w14:textId="77777777" w:rsidR="009F591F" w:rsidRDefault="009F591F" w:rsidP="009F591F">
      <w:pPr>
        <w:pStyle w:val="BodyText"/>
      </w:pPr>
      <w:r>
        <w:rPr>
          <w:rFonts w:eastAsia="Arial Unicode MS"/>
        </w:rPr>
        <w:t>If you refer to figures and tables from the user guide in your local policy and procedure documents, you may wish to use their titles only, without figure or table numbers: as the user guide is updated, those numbers may change.</w:t>
      </w:r>
    </w:p>
    <w:p w14:paraId="00606F40" w14:textId="77777777" w:rsidR="009F591F" w:rsidRDefault="009F591F" w:rsidP="009F591F">
      <w:pPr>
        <w:pStyle w:val="Heading3"/>
      </w:pPr>
      <w:bookmarkStart w:id="13" w:name="_Toc203765807"/>
      <w:r>
        <w:t>Options</w:t>
      </w:r>
      <w:bookmarkEnd w:id="13"/>
      <w:r>
        <w:fldChar w:fldCharType="begin"/>
      </w:r>
      <w:r>
        <w:instrText xml:space="preserve"> XE “Options” </w:instrText>
      </w:r>
      <w:r>
        <w:fldChar w:fldCharType="end"/>
      </w:r>
    </w:p>
    <w:p w14:paraId="0E9892CA" w14:textId="77777777" w:rsidR="009F591F" w:rsidRDefault="009F591F" w:rsidP="009F591F">
      <w:pPr>
        <w:pStyle w:val="BodyText"/>
      </w:pPr>
      <w:r>
        <w:t>The Configuring Site Parameters, Component Processing, Processing Orders, Patient Services, and Reports sections cover VBECS options.</w:t>
      </w:r>
    </w:p>
    <w:p w14:paraId="0E440D21" w14:textId="77777777" w:rsidR="009F591F" w:rsidRDefault="009F591F" w:rsidP="009F591F">
      <w:pPr>
        <w:pStyle w:val="BodyText"/>
      </w:pPr>
      <w:r>
        <w:t>Each option section starts with an introduction, a short paragraph that explains what a function allows a user to do, followed by:</w:t>
      </w:r>
    </w:p>
    <w:p w14:paraId="63B8603E" w14:textId="77777777" w:rsidR="009F591F" w:rsidRDefault="009F591F" w:rsidP="009F591F">
      <w:pPr>
        <w:pStyle w:val="ListBullet"/>
      </w:pPr>
      <w:r>
        <w:t>Assumptions: tasks that must be completed before performing a function.</w:t>
      </w:r>
    </w:p>
    <w:p w14:paraId="335111D5" w14:textId="77777777" w:rsidR="009F591F" w:rsidRDefault="009F591F" w:rsidP="009F591F">
      <w:pPr>
        <w:pStyle w:val="ListBullet"/>
      </w:pPr>
      <w:r>
        <w:t>Outcome: results of performing a function.</w:t>
      </w:r>
    </w:p>
    <w:p w14:paraId="4825E63B" w14:textId="77777777" w:rsidR="009F591F" w:rsidRDefault="009F591F" w:rsidP="009F591F">
      <w:pPr>
        <w:pStyle w:val="ListBullet"/>
      </w:pPr>
      <w:r>
        <w:t>Limitations and Restrictions: features of the system that are restricted by and exist within this function.</w:t>
      </w:r>
    </w:p>
    <w:p w14:paraId="70FE34B4" w14:textId="77777777" w:rsidR="009F591F" w:rsidRDefault="009F591F" w:rsidP="009F591F">
      <w:pPr>
        <w:pStyle w:val="ListBullet"/>
      </w:pPr>
      <w:r>
        <w:t>Additional Information: information that helps the user perform a function.</w:t>
      </w:r>
    </w:p>
    <w:p w14:paraId="6338E456" w14:textId="77777777" w:rsidR="009F591F" w:rsidRDefault="009F591F" w:rsidP="009F591F">
      <w:pPr>
        <w:pStyle w:val="ListBullet"/>
      </w:pPr>
      <w:bookmarkStart w:id="14" w:name="OLE_LINK21"/>
      <w:bookmarkStart w:id="15" w:name="OLE_LINK22"/>
      <w:r>
        <w:t>User Roles with Access to This Option: which users may perform this option in whole or in part.</w:t>
      </w:r>
    </w:p>
    <w:p w14:paraId="189C9654" w14:textId="77777777" w:rsidR="009F591F" w:rsidRDefault="009F591F" w:rsidP="009F591F">
      <w:pPr>
        <w:pStyle w:val="ListBullet"/>
      </w:pPr>
      <w:r>
        <w:t>A detailed description of what the function allows each user to do. Two or more arrows (</w:t>
      </w:r>
      <w:r w:rsidRPr="00EC7489">
        <w:rPr>
          <w:rFonts w:ascii="Wingdings 3" w:hAnsi="Wingdings 3" w:cs="Wingdings"/>
        </w:rPr>
        <w:t></w:t>
      </w:r>
      <w:r>
        <w:t>) indicate functions limited to a specific role.</w:t>
      </w:r>
    </w:p>
    <w:bookmarkEnd w:id="14"/>
    <w:bookmarkEnd w:id="15"/>
    <w:p w14:paraId="4A3FDB3F" w14:textId="77777777" w:rsidR="009F591F" w:rsidRDefault="009F591F" w:rsidP="009F591F">
      <w:pPr>
        <w:pStyle w:val="ListBullet"/>
      </w:pPr>
      <w:r>
        <w:t>Table of steps for the basic path (user and VBECS actions).</w:t>
      </w:r>
    </w:p>
    <w:p w14:paraId="0ECAEBB6" w14:textId="77777777" w:rsidR="009F591F" w:rsidRDefault="009F591F" w:rsidP="009F591F">
      <w:pPr>
        <w:pStyle w:val="ListBullet"/>
      </w:pPr>
      <w:r>
        <w:t>Tables of steps for alternate paths (user and VBECS actions).</w:t>
      </w:r>
    </w:p>
    <w:p w14:paraId="19C16735" w14:textId="77777777" w:rsidR="009F591F" w:rsidRDefault="009F591F" w:rsidP="009F591F">
      <w:pPr>
        <w:pStyle w:val="ListBullet"/>
      </w:pPr>
      <w:r>
        <w:t>Figures (examples of reports, screen shots, etc.).</w:t>
      </w:r>
    </w:p>
    <w:p w14:paraId="2BA117AC" w14:textId="77777777" w:rsidR="009F591F" w:rsidRDefault="009F591F" w:rsidP="009F591F">
      <w:pPr>
        <w:pStyle w:val="ListBullet"/>
      </w:pPr>
      <w:r>
        <w:t>Table of alerts that may occur during an option.</w:t>
      </w:r>
    </w:p>
    <w:p w14:paraId="5E15FCE5" w14:textId="77777777" w:rsidR="009F591F" w:rsidRDefault="009F591F" w:rsidP="009F591F">
      <w:pPr>
        <w:pStyle w:val="Caution"/>
      </w:pPr>
      <w:r>
        <w:lastRenderedPageBreak/>
        <w:t xml:space="preserve">A </w:t>
      </w:r>
      <w:r w:rsidRPr="008B6F70">
        <w:rPr>
          <w:rStyle w:val="BullhornChar"/>
          <w:i w:val="0"/>
        </w:rPr>
        <w:t></w:t>
      </w:r>
      <w:r w:rsidRPr="00D62E87">
        <w:rPr>
          <w:rFonts w:ascii="Webdings" w:hAnsi="Webdings"/>
        </w:rPr>
        <w:t></w:t>
      </w:r>
      <w:r>
        <w:t>(bullhorn) indicates that VBECS emits an audible alert. Keep the sound on to hear the alerts (see Volume for instructions on adjusting the volume).</w:t>
      </w:r>
    </w:p>
    <w:p w14:paraId="0C93CE1D" w14:textId="77777777" w:rsidR="009F591F" w:rsidRDefault="009F591F" w:rsidP="009F591F">
      <w:pPr>
        <w:pStyle w:val="ListBullet"/>
      </w:pPr>
      <w:r>
        <w:t>Outlined, italicized text highlights tips, warnings, and cautions, for example:</w:t>
      </w:r>
    </w:p>
    <w:p w14:paraId="1D56D7C0" w14:textId="77777777" w:rsidR="009F591F" w:rsidRDefault="009F591F" w:rsidP="009F591F">
      <w:pPr>
        <w:pStyle w:val="Caution"/>
      </w:pPr>
      <w:r>
        <w:t xml:space="preserve">A </w:t>
      </w:r>
      <w:r w:rsidR="00057948">
        <w:rPr>
          <w:noProof/>
        </w:rPr>
        <w:drawing>
          <wp:inline distT="0" distB="0" distL="0" distR="0" wp14:anchorId="3D0124E9" wp14:editId="5C0CD19F">
            <wp:extent cx="267970" cy="221615"/>
            <wp:effectExtent l="0" t="0" r="0" b="6985"/>
            <wp:docPr id="12" name="Picture 12" descr="Cau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Caution icon"/>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67970" cy="221615"/>
                    </a:xfrm>
                    <a:prstGeom prst="rect">
                      <a:avLst/>
                    </a:prstGeom>
                    <a:noFill/>
                    <a:ln>
                      <a:noFill/>
                    </a:ln>
                  </pic:spPr>
                </pic:pic>
              </a:graphicData>
            </a:graphic>
          </wp:inline>
        </w:drawing>
      </w:r>
      <w:r>
        <w:t xml:space="preserve"> signals potential hazards throughout this guide as they occur. </w:t>
      </w:r>
    </w:p>
    <w:p w14:paraId="279F907B" w14:textId="77777777" w:rsidR="009F591F" w:rsidRDefault="009F591F" w:rsidP="009F591F">
      <w:pPr>
        <w:pStyle w:val="Heading3"/>
      </w:pPr>
      <w:bookmarkStart w:id="16" w:name="_Toc203765808"/>
      <w:r>
        <w:t>Supplemental Information</w:t>
      </w:r>
      <w:bookmarkEnd w:id="16"/>
      <w:r>
        <w:fldChar w:fldCharType="begin"/>
      </w:r>
      <w:r>
        <w:instrText xml:space="preserve"> XE “Supplemental Information” </w:instrText>
      </w:r>
      <w:r>
        <w:fldChar w:fldCharType="end"/>
      </w:r>
    </w:p>
    <w:p w14:paraId="2F768D36" w14:textId="77777777" w:rsidR="009F591F" w:rsidRDefault="009F591F" w:rsidP="009F591F">
      <w:pPr>
        <w:pStyle w:val="BodyText"/>
      </w:pPr>
      <w:r>
        <w:t>The third group of sections (References, Glossary) provides knowledge that may be needed beyond the standard, daily use of VBECS.</w:t>
      </w:r>
    </w:p>
    <w:p w14:paraId="721411E1" w14:textId="77777777" w:rsidR="009F591F" w:rsidRDefault="009F591F" w:rsidP="009F591F">
      <w:pPr>
        <w:pStyle w:val="Heading3"/>
      </w:pPr>
      <w:bookmarkStart w:id="17" w:name="_Toc203765809"/>
      <w:r>
        <w:t>Appendices</w:t>
      </w:r>
      <w:bookmarkEnd w:id="17"/>
      <w:r>
        <w:fldChar w:fldCharType="begin"/>
      </w:r>
      <w:r>
        <w:instrText xml:space="preserve"> XE “Appendices” </w:instrText>
      </w:r>
      <w:r>
        <w:fldChar w:fldCharType="end"/>
      </w:r>
    </w:p>
    <w:p w14:paraId="06FEC699" w14:textId="77777777" w:rsidR="009F591F" w:rsidRDefault="009F591F" w:rsidP="009F591F">
      <w:pPr>
        <w:pStyle w:val="BodyText"/>
      </w:pPr>
      <w:r>
        <w:t>The appendices contain truth tables, diagrams, and other materials for reference.</w:t>
      </w:r>
    </w:p>
    <w:p w14:paraId="771597BF" w14:textId="77777777" w:rsidR="009F591F" w:rsidRDefault="009F591F" w:rsidP="009F591F">
      <w:pPr>
        <w:pStyle w:val="BodyText"/>
      </w:pPr>
      <w:r>
        <w:t>Click a section name or page number in the table of contents to move to a section. The index does not incorporate this feature.</w:t>
      </w:r>
    </w:p>
    <w:p w14:paraId="126B751F" w14:textId="77777777" w:rsidR="002A21AE" w:rsidRDefault="002A21AE" w:rsidP="009F591F">
      <w:pPr>
        <w:pStyle w:val="Heading2"/>
      </w:pPr>
      <w:bookmarkStart w:id="18" w:name="_Toc203765810"/>
      <w:r>
        <w:t>Security</w:t>
      </w:r>
      <w:bookmarkEnd w:id="18"/>
      <w:r>
        <w:fldChar w:fldCharType="begin"/>
      </w:r>
      <w:r>
        <w:instrText xml:space="preserve"> XE </w:instrText>
      </w:r>
      <w:r w:rsidR="00FA7E65">
        <w:instrText>“</w:instrText>
      </w:r>
      <w:r>
        <w:instrText>Security</w:instrText>
      </w:r>
      <w:r w:rsidR="00FA7E65">
        <w:instrText>”</w:instrText>
      </w:r>
      <w:r>
        <w:instrText xml:space="preserve"> </w:instrText>
      </w:r>
      <w:r>
        <w:fldChar w:fldCharType="end"/>
      </w:r>
    </w:p>
    <w:p w14:paraId="3F78EE1E" w14:textId="77777777" w:rsidR="002A21AE" w:rsidRDefault="002A21AE" w:rsidP="00FA7E65">
      <w:pPr>
        <w:pStyle w:val="BodyText"/>
      </w:pPr>
      <w:r>
        <w:rPr>
          <w:i/>
        </w:rPr>
        <w:t>User roles</w:t>
      </w:r>
      <w:r>
        <w:t xml:space="preserve"> identify who can access which functions. Not every VBECS user has access to all VBECS options or functions within options. Two or more arrows (</w:t>
      </w:r>
      <w:r w:rsidRPr="00EC7489">
        <w:rPr>
          <w:rFonts w:ascii="Wingdings 3" w:hAnsi="Wingdings 3" w:cs="Wingdings"/>
        </w:rPr>
        <w:t></w:t>
      </w:r>
      <w:r>
        <w:t>) indicate functions limited to a specific role.</w:t>
      </w:r>
    </w:p>
    <w:p w14:paraId="1D53D628" w14:textId="77777777" w:rsidR="00D93651" w:rsidRPr="00D93651" w:rsidRDefault="00057948" w:rsidP="00D93651">
      <w:pPr>
        <w:pStyle w:val="Caution"/>
      </w:pPr>
      <w:r>
        <w:rPr>
          <w:noProof/>
        </w:rPr>
        <w:drawing>
          <wp:inline distT="0" distB="0" distL="0" distR="0" wp14:anchorId="2A2234B5" wp14:editId="56144BC7">
            <wp:extent cx="267970" cy="221615"/>
            <wp:effectExtent l="0" t="0" r="0" b="6985"/>
            <wp:docPr id="13" name="Picture 13" descr="Cau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Caution icon"/>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67970" cy="221615"/>
                    </a:xfrm>
                    <a:prstGeom prst="rect">
                      <a:avLst/>
                    </a:prstGeom>
                    <a:noFill/>
                    <a:ln>
                      <a:noFill/>
                    </a:ln>
                  </pic:spPr>
                </pic:pic>
              </a:graphicData>
            </a:graphic>
          </wp:inline>
        </w:drawing>
      </w:r>
      <w:r w:rsidR="00903FB7">
        <w:t>It is critical that e</w:t>
      </w:r>
      <w:r w:rsidR="00D93651">
        <w:t xml:space="preserve">ach </w:t>
      </w:r>
      <w:r w:rsidR="003C244C">
        <w:t>site</w:t>
      </w:r>
      <w:r w:rsidR="00D93651" w:rsidRPr="00D93651">
        <w:t xml:space="preserve"> </w:t>
      </w:r>
      <w:r w:rsidR="00D93651">
        <w:t xml:space="preserve">evaluate its staff and </w:t>
      </w:r>
      <w:r w:rsidR="00D93651" w:rsidRPr="00D93651">
        <w:t xml:space="preserve">determine </w:t>
      </w:r>
      <w:r w:rsidR="00D93651">
        <w:t xml:space="preserve">appropriate </w:t>
      </w:r>
      <w:r w:rsidR="00D93651" w:rsidRPr="00D93651">
        <w:t>secu</w:t>
      </w:r>
      <w:r w:rsidR="00D93651">
        <w:t>r</w:t>
      </w:r>
      <w:r w:rsidR="00D93651" w:rsidRPr="00D93651">
        <w:t xml:space="preserve">ity </w:t>
      </w:r>
      <w:r w:rsidR="00D93651">
        <w:t>levels</w:t>
      </w:r>
      <w:r w:rsidR="00903FB7">
        <w:t xml:space="preserve"> based on training and qualifications</w:t>
      </w:r>
      <w:r w:rsidR="00D93651" w:rsidRPr="00D93651">
        <w:t>.</w:t>
      </w:r>
    </w:p>
    <w:p w14:paraId="344B8D88" w14:textId="77777777" w:rsidR="002A21AE" w:rsidRDefault="002A21AE" w:rsidP="00FA7E65">
      <w:pPr>
        <w:pStyle w:val="BodyText"/>
      </w:pPr>
      <w:r>
        <w:t xml:space="preserve">User roles also govern which options are available and which warnings can be overridden. </w:t>
      </w:r>
      <w:r>
        <w:rPr>
          <w:vanish/>
        </w:rPr>
        <w:t xml:space="preserve">BR_6.02 </w:t>
      </w:r>
      <w:r>
        <w:t>VBECS displays options that are not available to a user</w:t>
      </w:r>
      <w:r w:rsidR="00494EC6">
        <w:t xml:space="preserve"> in gray text</w:t>
      </w:r>
      <w:r>
        <w:t>.</w:t>
      </w:r>
    </w:p>
    <w:p w14:paraId="51815B71" w14:textId="602F87E4" w:rsidR="00827C1C" w:rsidRDefault="00827C1C" w:rsidP="00827C1C">
      <w:pPr>
        <w:pStyle w:val="BodyText"/>
        <w:rPr>
          <w:snapToGrid w:val="0"/>
        </w:rPr>
      </w:pPr>
      <w:r>
        <w:t>Each of the six user roles is associated with a</w:t>
      </w:r>
      <w:r>
        <w:rPr>
          <w:snapToGrid w:val="0"/>
        </w:rPr>
        <w:t xml:space="preserve"> security level (see </w:t>
      </w:r>
      <w:r w:rsidR="00EE455E">
        <w:t xml:space="preserve">Table </w:t>
      </w:r>
      <w:r w:rsidR="00EE455E">
        <w:rPr>
          <w:noProof/>
        </w:rPr>
        <w:t>1</w:t>
      </w:r>
      <w:r>
        <w:rPr>
          <w:snapToGrid w:val="0"/>
        </w:rPr>
        <w:t xml:space="preserve">). Privileges accumulate as the security level increases. For example, a Lead Technologist’s privileges include those of a Blood Bank Technologist and Enhanced Technologist. </w:t>
      </w:r>
    </w:p>
    <w:p w14:paraId="6A9DF15D" w14:textId="18136E7F" w:rsidR="00D24746" w:rsidRDefault="00413ECA" w:rsidP="00D24746">
      <w:pPr>
        <w:pStyle w:val="Caption"/>
        <w:tabs>
          <w:tab w:val="left" w:pos="4740"/>
        </w:tabs>
      </w:pPr>
      <w:bookmarkStart w:id="19" w:name="_Ref126468477"/>
      <w:bookmarkStart w:id="20" w:name="_Ref126484343"/>
      <w:r>
        <w:lastRenderedPageBreak/>
        <w:t xml:space="preserve">Table </w:t>
      </w:r>
      <w:r w:rsidR="004E20BD">
        <w:rPr>
          <w:noProof/>
        </w:rPr>
        <w:fldChar w:fldCharType="begin"/>
      </w:r>
      <w:r w:rsidR="004E20BD">
        <w:rPr>
          <w:noProof/>
        </w:rPr>
        <w:instrText xml:space="preserve"> SEQ Table \* ARABIC </w:instrText>
      </w:r>
      <w:r w:rsidR="004E20BD">
        <w:rPr>
          <w:noProof/>
        </w:rPr>
        <w:fldChar w:fldCharType="separate"/>
      </w:r>
      <w:r w:rsidR="007D1829">
        <w:rPr>
          <w:noProof/>
        </w:rPr>
        <w:t>1</w:t>
      </w:r>
      <w:r w:rsidR="004E20BD">
        <w:rPr>
          <w:noProof/>
        </w:rPr>
        <w:fldChar w:fldCharType="end"/>
      </w:r>
      <w:bookmarkEnd w:id="19"/>
      <w:r>
        <w:t xml:space="preserve">: </w:t>
      </w:r>
      <w:r>
        <w:rPr>
          <w:vanish/>
        </w:rPr>
        <w:t xml:space="preserve">PT_19.01 </w:t>
      </w:r>
      <w:r>
        <w:t>User Roles and Functions</w:t>
      </w:r>
      <w:bookmarkEnd w:id="20"/>
      <w:r w:rsidR="00321988">
        <w:fldChar w:fldCharType="begin"/>
      </w:r>
      <w:r w:rsidR="00321988">
        <w:instrText xml:space="preserve"> XE "Tables:</w:instrText>
      </w:r>
      <w:r w:rsidR="00321988" w:rsidRPr="00B97AF3">
        <w:instrText>User Roles and Functions</w:instrText>
      </w:r>
      <w:r w:rsidR="00321988">
        <w:instrText xml:space="preserve">" </w:instrText>
      </w:r>
      <w:r w:rsidR="00321988">
        <w:fldChar w:fldCharType="end"/>
      </w:r>
    </w:p>
    <w:tbl>
      <w:tblPr>
        <w:tblW w:w="936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2607"/>
        <w:gridCol w:w="4431"/>
        <w:gridCol w:w="2322"/>
      </w:tblGrid>
      <w:tr w:rsidR="0028759D" w:rsidRPr="00D25382" w14:paraId="0285F8D3" w14:textId="77777777" w:rsidTr="00D93AB0">
        <w:trPr>
          <w:cantSplit/>
          <w:tblHeader/>
        </w:trPr>
        <w:tc>
          <w:tcPr>
            <w:tcW w:w="2607" w:type="dxa"/>
            <w:shd w:val="clear" w:color="auto" w:fill="B3B3B3"/>
            <w:vAlign w:val="bottom"/>
          </w:tcPr>
          <w:p w14:paraId="350DBF5E" w14:textId="77777777" w:rsidR="0028759D" w:rsidRDefault="0028759D" w:rsidP="0005347A">
            <w:pPr>
              <w:pStyle w:val="TableText"/>
              <w:rPr>
                <w:b/>
              </w:rPr>
            </w:pPr>
            <w:r>
              <w:rPr>
                <w:b/>
              </w:rPr>
              <w:t>Security Levels and User Roles</w:t>
            </w:r>
          </w:p>
        </w:tc>
        <w:tc>
          <w:tcPr>
            <w:tcW w:w="4431" w:type="dxa"/>
            <w:shd w:val="clear" w:color="auto" w:fill="B3B3B3"/>
            <w:vAlign w:val="bottom"/>
          </w:tcPr>
          <w:p w14:paraId="6B734520" w14:textId="77777777" w:rsidR="0028759D" w:rsidRDefault="0028759D" w:rsidP="0005347A">
            <w:pPr>
              <w:pStyle w:val="TableText"/>
              <w:rPr>
                <w:b/>
              </w:rPr>
            </w:pPr>
            <w:r>
              <w:rPr>
                <w:b/>
              </w:rPr>
              <w:t>Accessible Functions</w:t>
            </w:r>
          </w:p>
        </w:tc>
        <w:tc>
          <w:tcPr>
            <w:tcW w:w="2322" w:type="dxa"/>
            <w:shd w:val="clear" w:color="auto" w:fill="B3B3B3"/>
            <w:vAlign w:val="bottom"/>
          </w:tcPr>
          <w:p w14:paraId="402FBD82" w14:textId="77777777" w:rsidR="0028759D" w:rsidRPr="00D25382" w:rsidRDefault="0028759D" w:rsidP="0005347A">
            <w:pPr>
              <w:pStyle w:val="TableText"/>
              <w:rPr>
                <w:b/>
              </w:rPr>
            </w:pPr>
            <w:r w:rsidRPr="00D25382">
              <w:rPr>
                <w:b/>
              </w:rPr>
              <w:t>Who Should Fill These Roles?</w:t>
            </w:r>
          </w:p>
        </w:tc>
      </w:tr>
      <w:tr w:rsidR="0028759D" w14:paraId="0681040E" w14:textId="77777777" w:rsidTr="00D93AB0">
        <w:trPr>
          <w:cantSplit/>
        </w:trPr>
        <w:tc>
          <w:tcPr>
            <w:tcW w:w="2607" w:type="dxa"/>
            <w:vAlign w:val="center"/>
          </w:tcPr>
          <w:p w14:paraId="68A76CE6" w14:textId="77777777" w:rsidR="0028759D" w:rsidRPr="00364A0F" w:rsidRDefault="0028759D" w:rsidP="0005347A">
            <w:pPr>
              <w:pStyle w:val="TableText"/>
            </w:pPr>
            <w:r w:rsidRPr="00364A0F">
              <w:t>Level 1: Blood Bank Technologist (all users)</w:t>
            </w:r>
          </w:p>
        </w:tc>
        <w:tc>
          <w:tcPr>
            <w:tcW w:w="4431" w:type="dxa"/>
          </w:tcPr>
          <w:p w14:paraId="7A09A0E0" w14:textId="77777777" w:rsidR="0028759D" w:rsidRDefault="0028759D" w:rsidP="0005347A">
            <w:pPr>
              <w:pStyle w:val="TableTextBullet"/>
            </w:pPr>
            <w:r>
              <w:t>Standard access:</w:t>
            </w:r>
          </w:p>
          <w:p w14:paraId="5E6DA2BD" w14:textId="77777777" w:rsidR="0028759D" w:rsidRDefault="0028759D" w:rsidP="00C63FA9">
            <w:pPr>
              <w:pStyle w:val="TableTextBullet"/>
              <w:numPr>
                <w:ilvl w:val="1"/>
                <w:numId w:val="12"/>
              </w:numPr>
              <w:tabs>
                <w:tab w:val="clear" w:pos="1440"/>
              </w:tabs>
              <w:ind w:left="616"/>
            </w:pPr>
            <w:r>
              <w:t>patient and donor testing</w:t>
            </w:r>
          </w:p>
          <w:p w14:paraId="2F09261F" w14:textId="77777777" w:rsidR="0028759D" w:rsidRDefault="0028759D" w:rsidP="00C63FA9">
            <w:pPr>
              <w:pStyle w:val="TableTextBullet"/>
              <w:numPr>
                <w:ilvl w:val="1"/>
                <w:numId w:val="12"/>
              </w:numPr>
              <w:tabs>
                <w:tab w:val="clear" w:pos="1440"/>
              </w:tabs>
              <w:ind w:left="616"/>
            </w:pPr>
            <w:r>
              <w:t>accepting and canceling orders</w:t>
            </w:r>
          </w:p>
          <w:p w14:paraId="0D08379A" w14:textId="77777777" w:rsidR="0028759D" w:rsidRDefault="0028759D" w:rsidP="00C63FA9">
            <w:pPr>
              <w:pStyle w:val="TableTextBullet"/>
              <w:numPr>
                <w:ilvl w:val="1"/>
                <w:numId w:val="12"/>
              </w:numPr>
              <w:tabs>
                <w:tab w:val="clear" w:pos="1440"/>
              </w:tabs>
              <w:ind w:left="616"/>
            </w:pPr>
            <w:r>
              <w:t>modifying units</w:t>
            </w:r>
          </w:p>
          <w:p w14:paraId="0F49B53D" w14:textId="77777777" w:rsidR="0028759D" w:rsidRDefault="0028759D" w:rsidP="00C63FA9">
            <w:pPr>
              <w:pStyle w:val="TableTextBullet"/>
              <w:numPr>
                <w:ilvl w:val="1"/>
                <w:numId w:val="12"/>
              </w:numPr>
              <w:tabs>
                <w:tab w:val="clear" w:pos="1440"/>
              </w:tabs>
              <w:ind w:left="616"/>
            </w:pPr>
            <w:r>
              <w:t>processing shipments</w:t>
            </w:r>
          </w:p>
          <w:p w14:paraId="19BA91AC" w14:textId="77777777" w:rsidR="0028759D" w:rsidRDefault="0028759D" w:rsidP="00C63FA9">
            <w:pPr>
              <w:pStyle w:val="TableTextBullet"/>
              <w:numPr>
                <w:ilvl w:val="1"/>
                <w:numId w:val="12"/>
              </w:numPr>
              <w:tabs>
                <w:tab w:val="clear" w:pos="1440"/>
              </w:tabs>
              <w:ind w:left="616"/>
            </w:pPr>
            <w:r>
              <w:t>selecting and issuing blood that does not require higher level overrides</w:t>
            </w:r>
          </w:p>
          <w:p w14:paraId="257322EA" w14:textId="77777777" w:rsidR="0028759D" w:rsidRDefault="0028759D" w:rsidP="00C63FA9">
            <w:pPr>
              <w:pStyle w:val="TableTextBullet"/>
              <w:numPr>
                <w:ilvl w:val="1"/>
                <w:numId w:val="12"/>
              </w:numPr>
              <w:tabs>
                <w:tab w:val="clear" w:pos="1440"/>
              </w:tabs>
              <w:ind w:left="616"/>
            </w:pPr>
            <w:r>
              <w:t>processing transfusion reaction workups</w:t>
            </w:r>
          </w:p>
          <w:p w14:paraId="4D0F4406" w14:textId="77777777" w:rsidR="0028759D" w:rsidRDefault="0028759D" w:rsidP="00C63FA9">
            <w:pPr>
              <w:pStyle w:val="TableTextBullet"/>
              <w:numPr>
                <w:ilvl w:val="1"/>
                <w:numId w:val="12"/>
              </w:numPr>
              <w:tabs>
                <w:tab w:val="clear" w:pos="1440"/>
              </w:tabs>
              <w:ind w:left="616"/>
            </w:pPr>
            <w:r>
              <w:t>add patient’s transfusion requirements</w:t>
            </w:r>
          </w:p>
          <w:p w14:paraId="5DB16BED" w14:textId="77777777" w:rsidR="0028759D" w:rsidRDefault="0028759D" w:rsidP="00C63FA9">
            <w:pPr>
              <w:pStyle w:val="TableTextBullet"/>
              <w:numPr>
                <w:ilvl w:val="1"/>
                <w:numId w:val="12"/>
              </w:numPr>
              <w:tabs>
                <w:tab w:val="clear" w:pos="1440"/>
              </w:tabs>
              <w:ind w:left="616"/>
            </w:pPr>
            <w:r>
              <w:t>accessing report functions</w:t>
            </w:r>
          </w:p>
          <w:p w14:paraId="7A864374" w14:textId="77777777" w:rsidR="0028759D" w:rsidRDefault="0028759D" w:rsidP="00C63FA9">
            <w:pPr>
              <w:pStyle w:val="TableTextBullet"/>
              <w:numPr>
                <w:ilvl w:val="1"/>
                <w:numId w:val="12"/>
              </w:numPr>
              <w:tabs>
                <w:tab w:val="clear" w:pos="1440"/>
              </w:tabs>
              <w:ind w:left="616"/>
            </w:pPr>
            <w:r>
              <w:t>enter daily QC results</w:t>
            </w:r>
          </w:p>
          <w:p w14:paraId="0BD6A99D" w14:textId="77777777" w:rsidR="0028759D" w:rsidRDefault="0028759D" w:rsidP="00C63FA9">
            <w:pPr>
              <w:pStyle w:val="TableTextBullet"/>
              <w:numPr>
                <w:ilvl w:val="1"/>
                <w:numId w:val="12"/>
              </w:numPr>
              <w:tabs>
                <w:tab w:val="clear" w:pos="1440"/>
              </w:tabs>
              <w:ind w:left="616"/>
            </w:pPr>
            <w:r>
              <w:t>discard/quarantine blood units</w:t>
            </w:r>
          </w:p>
          <w:p w14:paraId="453591E0" w14:textId="77777777" w:rsidR="0028759D" w:rsidRDefault="0028759D" w:rsidP="00C63FA9">
            <w:pPr>
              <w:pStyle w:val="TableTextBullet"/>
              <w:numPr>
                <w:ilvl w:val="1"/>
                <w:numId w:val="12"/>
              </w:numPr>
              <w:tabs>
                <w:tab w:val="clear" w:pos="1440"/>
              </w:tabs>
              <w:ind w:left="616"/>
            </w:pPr>
            <w:r>
              <w:t>release units from patient assignment</w:t>
            </w:r>
          </w:p>
          <w:p w14:paraId="332A0DCD" w14:textId="77777777" w:rsidR="0028759D" w:rsidRDefault="0028759D" w:rsidP="00C63FA9">
            <w:pPr>
              <w:pStyle w:val="TableTextBullet"/>
              <w:numPr>
                <w:ilvl w:val="1"/>
                <w:numId w:val="12"/>
              </w:numPr>
              <w:tabs>
                <w:tab w:val="clear" w:pos="1440"/>
              </w:tabs>
              <w:ind w:left="616"/>
            </w:pPr>
            <w:r>
              <w:t>return issued units to blood bank</w:t>
            </w:r>
          </w:p>
          <w:p w14:paraId="6F6039A0" w14:textId="77777777" w:rsidR="0028759D" w:rsidRDefault="0028759D" w:rsidP="0005347A">
            <w:pPr>
              <w:pStyle w:val="TableTextBullet"/>
            </w:pPr>
            <w:r>
              <w:t>Activate/edit some shipper information.</w:t>
            </w:r>
          </w:p>
          <w:p w14:paraId="2D9327E4" w14:textId="77777777" w:rsidR="0028759D" w:rsidRDefault="0028759D" w:rsidP="0005347A">
            <w:pPr>
              <w:pStyle w:val="TableTextBullet"/>
            </w:pPr>
            <w:r>
              <w:t>Activate/edit some blood product information.</w:t>
            </w:r>
          </w:p>
          <w:p w14:paraId="598FAC41" w14:textId="4869760B" w:rsidR="0053686A" w:rsidRDefault="0053686A" w:rsidP="0053686A">
            <w:pPr>
              <w:pStyle w:val="TableTextBullet"/>
            </w:pPr>
            <w:r>
              <w:t>Add new local facility, not already on the table issued with VBECS.</w:t>
            </w:r>
          </w:p>
        </w:tc>
        <w:tc>
          <w:tcPr>
            <w:tcW w:w="2322" w:type="dxa"/>
            <w:vAlign w:val="center"/>
          </w:tcPr>
          <w:p w14:paraId="77D020A3" w14:textId="77777777" w:rsidR="0028759D" w:rsidRDefault="0028759D" w:rsidP="0005347A">
            <w:pPr>
              <w:pStyle w:val="TableText"/>
            </w:pPr>
            <w:r>
              <w:t>Rotating technologists, n</w:t>
            </w:r>
            <w:r w:rsidRPr="003738EE">
              <w:t>ew employees</w:t>
            </w:r>
            <w:r>
              <w:t>,</w:t>
            </w:r>
            <w:r w:rsidRPr="003738EE">
              <w:t xml:space="preserve"> and </w:t>
            </w:r>
            <w:r>
              <w:t>s</w:t>
            </w:r>
            <w:r w:rsidRPr="003738EE">
              <w:t xml:space="preserve">tudents </w:t>
            </w:r>
            <w:r>
              <w:t>trained</w:t>
            </w:r>
            <w:r w:rsidRPr="003738EE">
              <w:t xml:space="preserve"> to perform </w:t>
            </w:r>
            <w:r>
              <w:t xml:space="preserve">associated tasks and </w:t>
            </w:r>
            <w:r w:rsidRPr="003738EE">
              <w:t>overrides</w:t>
            </w:r>
            <w:r>
              <w:t>.</w:t>
            </w:r>
          </w:p>
        </w:tc>
      </w:tr>
      <w:tr w:rsidR="0028759D" w14:paraId="1A904010" w14:textId="77777777" w:rsidTr="00D93AB0">
        <w:trPr>
          <w:cantSplit/>
        </w:trPr>
        <w:tc>
          <w:tcPr>
            <w:tcW w:w="2607" w:type="dxa"/>
            <w:vAlign w:val="center"/>
          </w:tcPr>
          <w:p w14:paraId="1E8543DC" w14:textId="120035A6" w:rsidR="0028759D" w:rsidRDefault="0028759D" w:rsidP="0005347A">
            <w:pPr>
              <w:pStyle w:val="TableText"/>
            </w:pPr>
            <w:bookmarkStart w:id="21" w:name="OLE_LINK1"/>
            <w:bookmarkStart w:id="22" w:name="OLE_LINK2"/>
            <w:r w:rsidRPr="00EC7489">
              <w:rPr>
                <w:rFonts w:ascii="Wingdings 3" w:hAnsi="Wingdings 3" w:cs="Wingdings"/>
              </w:rPr>
              <w:t></w:t>
            </w:r>
            <w:r w:rsidRPr="00EC7489">
              <w:rPr>
                <w:rFonts w:ascii="Wingdings 3" w:hAnsi="Wingdings 3" w:cs="Wingdings"/>
              </w:rPr>
              <w:t></w:t>
            </w:r>
            <w:r>
              <w:t xml:space="preserve"> </w:t>
            </w:r>
            <w:bookmarkEnd w:id="21"/>
            <w:bookmarkEnd w:id="22"/>
            <w:r>
              <w:t>Level 2: Enhanced Technologist</w:t>
            </w:r>
          </w:p>
        </w:tc>
        <w:tc>
          <w:tcPr>
            <w:tcW w:w="4431" w:type="dxa"/>
          </w:tcPr>
          <w:p w14:paraId="7989204A" w14:textId="77777777" w:rsidR="0028759D" w:rsidRDefault="0028759D" w:rsidP="0005347A">
            <w:pPr>
              <w:pStyle w:val="TableTextBullet"/>
            </w:pPr>
            <w:r>
              <w:t>Edit unit cost.</w:t>
            </w:r>
          </w:p>
          <w:p w14:paraId="1CA8C121" w14:textId="77777777" w:rsidR="0028759D" w:rsidRDefault="0028759D" w:rsidP="0005347A">
            <w:pPr>
              <w:pStyle w:val="TableTextBullet"/>
            </w:pPr>
            <w:r>
              <w:t>Modify/issue expired blood products.</w:t>
            </w:r>
          </w:p>
          <w:p w14:paraId="1105C76A" w14:textId="77777777" w:rsidR="0028759D" w:rsidRDefault="0028759D" w:rsidP="0005347A">
            <w:pPr>
              <w:pStyle w:val="TableTextBullet"/>
            </w:pPr>
            <w:r>
              <w:t>Release blood products from quarantine.</w:t>
            </w:r>
          </w:p>
          <w:p w14:paraId="25BFD85E" w14:textId="77777777" w:rsidR="0028759D" w:rsidRDefault="0028759D" w:rsidP="0005347A">
            <w:pPr>
              <w:pStyle w:val="TableTextBullet"/>
            </w:pPr>
            <w:r>
              <w:t xml:space="preserve">Edit unit information prior to defining patient associations. </w:t>
            </w:r>
          </w:p>
          <w:p w14:paraId="4BDC6417" w14:textId="77777777" w:rsidR="0028759D" w:rsidRDefault="0028759D" w:rsidP="0005347A">
            <w:pPr>
              <w:pStyle w:val="TableTextBullet"/>
            </w:pPr>
            <w:r>
              <w:t>Edit verified unit confirmation testing.</w:t>
            </w:r>
          </w:p>
          <w:p w14:paraId="60F8AD4E" w14:textId="77777777" w:rsidR="0028759D" w:rsidRDefault="0028759D" w:rsidP="0005347A">
            <w:pPr>
              <w:pStyle w:val="TableTextBullet"/>
            </w:pPr>
            <w:r>
              <w:t xml:space="preserve">Edit patient record/verified data and test results (except the ABO/Rh for historic record and the antibody field, which results in an antigen negative requirement). </w:t>
            </w:r>
          </w:p>
          <w:p w14:paraId="3F1D7934" w14:textId="77777777" w:rsidR="0028759D" w:rsidRDefault="0028759D" w:rsidP="0005347A">
            <w:pPr>
              <w:pStyle w:val="TableTextBullet"/>
            </w:pPr>
            <w:r>
              <w:t>Release directed units to the main blood supply.</w:t>
            </w:r>
          </w:p>
        </w:tc>
        <w:tc>
          <w:tcPr>
            <w:tcW w:w="2322" w:type="dxa"/>
            <w:vAlign w:val="center"/>
          </w:tcPr>
          <w:p w14:paraId="68BFA0FF" w14:textId="77777777" w:rsidR="0028759D" w:rsidRDefault="0028759D" w:rsidP="0005347A">
            <w:pPr>
              <w:pStyle w:val="TableText"/>
            </w:pPr>
            <w:r>
              <w:rPr>
                <w:szCs w:val="20"/>
              </w:rPr>
              <w:t>Experienced t</w:t>
            </w:r>
            <w:r>
              <w:t>echnologists trained to process associated overrides and options.</w:t>
            </w:r>
          </w:p>
        </w:tc>
      </w:tr>
      <w:tr w:rsidR="0028759D" w:rsidRPr="005D0D6B" w14:paraId="53890470" w14:textId="77777777" w:rsidTr="00D93AB0">
        <w:trPr>
          <w:cantSplit/>
        </w:trPr>
        <w:tc>
          <w:tcPr>
            <w:tcW w:w="2607" w:type="dxa"/>
            <w:vAlign w:val="center"/>
          </w:tcPr>
          <w:p w14:paraId="2AF66F18" w14:textId="77777777" w:rsidR="0028759D" w:rsidRDefault="0028759D" w:rsidP="0005347A">
            <w:pPr>
              <w:pStyle w:val="TableText"/>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Level 3: Lead Technologist</w:t>
            </w:r>
          </w:p>
        </w:tc>
        <w:tc>
          <w:tcPr>
            <w:tcW w:w="4431" w:type="dxa"/>
          </w:tcPr>
          <w:p w14:paraId="4B10B7EC" w14:textId="77777777" w:rsidR="0028759D" w:rsidRDefault="0028759D" w:rsidP="0005347A">
            <w:pPr>
              <w:pStyle w:val="TableTextBullet"/>
              <w:rPr>
                <w:rFonts w:cs="Arial"/>
                <w:szCs w:val="16"/>
              </w:rPr>
            </w:pPr>
            <w:r>
              <w:rPr>
                <w:rFonts w:cs="Arial"/>
                <w:szCs w:val="16"/>
              </w:rPr>
              <w:t>Select/issue ABO incompatible blood.</w:t>
            </w:r>
          </w:p>
          <w:p w14:paraId="5B6CA828" w14:textId="77777777" w:rsidR="0028759D" w:rsidRDefault="0028759D" w:rsidP="0005347A">
            <w:pPr>
              <w:pStyle w:val="TableTextBullet"/>
              <w:rPr>
                <w:rFonts w:cs="Arial"/>
                <w:szCs w:val="16"/>
              </w:rPr>
            </w:pPr>
            <w:r>
              <w:t>Select/issue antigen positive or untyped red blood cells (for the clinically significant antibodies in the table).</w:t>
            </w:r>
          </w:p>
          <w:p w14:paraId="727BF50C" w14:textId="77777777" w:rsidR="0028759D" w:rsidRDefault="0028759D" w:rsidP="0005347A">
            <w:pPr>
              <w:pStyle w:val="TableTextBullet"/>
              <w:rPr>
                <w:rFonts w:cs="Arial"/>
                <w:szCs w:val="16"/>
              </w:rPr>
            </w:pPr>
            <w:r>
              <w:rPr>
                <w:rFonts w:cs="Arial"/>
                <w:szCs w:val="16"/>
              </w:rPr>
              <w:t>Maintain login message.</w:t>
            </w:r>
          </w:p>
        </w:tc>
        <w:tc>
          <w:tcPr>
            <w:tcW w:w="2322" w:type="dxa"/>
            <w:vAlign w:val="center"/>
          </w:tcPr>
          <w:p w14:paraId="1874CA7E" w14:textId="77777777" w:rsidR="0028759D" w:rsidRPr="005D0D6B" w:rsidRDefault="0028759D" w:rsidP="0005347A">
            <w:pPr>
              <w:pStyle w:val="TableText"/>
            </w:pPr>
            <w:r>
              <w:t>Experienced technologists trained to process associated overrides and options (e.g., evening- or night-shift supervisors).</w:t>
            </w:r>
          </w:p>
        </w:tc>
      </w:tr>
      <w:tr w:rsidR="0028759D" w:rsidRPr="005D0D6B" w14:paraId="23D2851D" w14:textId="77777777" w:rsidTr="00D93AB0">
        <w:trPr>
          <w:cantSplit/>
        </w:trPr>
        <w:tc>
          <w:tcPr>
            <w:tcW w:w="2607" w:type="dxa"/>
            <w:vAlign w:val="center"/>
          </w:tcPr>
          <w:p w14:paraId="4A7C0D29" w14:textId="77777777" w:rsidR="0028759D" w:rsidRDefault="0028759D" w:rsidP="0005347A">
            <w:pPr>
              <w:pStyle w:val="TableText"/>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Level 4: Traditional Supervisor</w:t>
            </w:r>
          </w:p>
        </w:tc>
        <w:tc>
          <w:tcPr>
            <w:tcW w:w="4431" w:type="dxa"/>
            <w:vAlign w:val="bottom"/>
          </w:tcPr>
          <w:p w14:paraId="1411BAE2" w14:textId="77777777" w:rsidR="0028759D" w:rsidRDefault="0028759D" w:rsidP="00421203">
            <w:pPr>
              <w:pStyle w:val="TableTextBullet"/>
            </w:pPr>
            <w:r>
              <w:t>Maintain reagent minimum levels.</w:t>
            </w:r>
          </w:p>
          <w:p w14:paraId="073B338A" w14:textId="77777777" w:rsidR="0028759D" w:rsidRDefault="0028759D" w:rsidP="00421203">
            <w:pPr>
              <w:pStyle w:val="TableTextBullet"/>
            </w:pPr>
            <w:r>
              <w:t>Edit permanent record of the patient’s historic ABO/Rh.</w:t>
            </w:r>
          </w:p>
          <w:p w14:paraId="0534FAE5" w14:textId="77777777" w:rsidR="0028759D" w:rsidRDefault="0028759D" w:rsidP="00421203">
            <w:pPr>
              <w:pStyle w:val="TableTextBullet"/>
            </w:pPr>
            <w:r>
              <w:t>Edit Transfusion Requirements (TRs) and Special Instructions (SIs).</w:t>
            </w:r>
          </w:p>
          <w:p w14:paraId="5C89DAC9" w14:textId="77777777" w:rsidR="0028759D" w:rsidRDefault="0028759D" w:rsidP="00421203">
            <w:pPr>
              <w:pStyle w:val="TableTextBullet"/>
            </w:pPr>
            <w:r>
              <w:t>Edit patient record red cell antibody permanent fields (match antigens in the antigen table).</w:t>
            </w:r>
          </w:p>
          <w:p w14:paraId="2F9B48AE" w14:textId="77777777" w:rsidR="0028759D" w:rsidRDefault="0028759D" w:rsidP="00421203">
            <w:pPr>
              <w:pStyle w:val="TableTextBullet"/>
              <w:rPr>
                <w:rFonts w:cs="Arial"/>
                <w:szCs w:val="16"/>
              </w:rPr>
            </w:pPr>
            <w:r>
              <w:rPr>
                <w:rFonts w:cs="Arial"/>
                <w:szCs w:val="16"/>
              </w:rPr>
              <w:t>Edit a blood unit’s record (</w:t>
            </w:r>
            <w:r>
              <w:t>verified unit data when unit has any previous patient associations</w:t>
            </w:r>
            <w:r>
              <w:rPr>
                <w:rFonts w:cs="Arial"/>
                <w:szCs w:val="16"/>
              </w:rPr>
              <w:t>).</w:t>
            </w:r>
          </w:p>
          <w:p w14:paraId="7340181F" w14:textId="77777777" w:rsidR="0028759D" w:rsidRDefault="0028759D" w:rsidP="00421203">
            <w:pPr>
              <w:pStyle w:val="TableTextBullet"/>
            </w:pPr>
            <w:r>
              <w:t>Edit a Patient’s Transfusion Record.</w:t>
            </w:r>
          </w:p>
          <w:p w14:paraId="2981AD4C" w14:textId="77777777" w:rsidR="0028759D" w:rsidRDefault="0028759D" w:rsidP="00421203">
            <w:pPr>
              <w:pStyle w:val="TableTextBullet"/>
            </w:pPr>
            <w:r>
              <w:t>Remove a Blood Unit’s Final Status.</w:t>
            </w:r>
          </w:p>
          <w:p w14:paraId="7CEA4017" w14:textId="060F97D1" w:rsidR="00421203" w:rsidRDefault="00421203" w:rsidP="00421203">
            <w:pPr>
              <w:pStyle w:val="TableTextBullet"/>
            </w:pPr>
            <w:r w:rsidRPr="00EC209A">
              <w:t>Edit a blood product’s maximum storage time.</w:t>
            </w:r>
          </w:p>
        </w:tc>
        <w:tc>
          <w:tcPr>
            <w:tcW w:w="2322" w:type="dxa"/>
            <w:vAlign w:val="center"/>
          </w:tcPr>
          <w:p w14:paraId="41A9A2AC" w14:textId="77777777" w:rsidR="0028759D" w:rsidRPr="005D0D6B" w:rsidRDefault="0028759D" w:rsidP="0005347A">
            <w:pPr>
              <w:pStyle w:val="TableText"/>
            </w:pPr>
            <w:r>
              <w:rPr>
                <w:szCs w:val="20"/>
              </w:rPr>
              <w:t>Experienced b</w:t>
            </w:r>
            <w:r>
              <w:t>lood bank supervisors trained to process associated overrides and options</w:t>
            </w:r>
          </w:p>
        </w:tc>
      </w:tr>
      <w:tr w:rsidR="0028759D" w14:paraId="6B451824" w14:textId="77777777" w:rsidTr="00D93AB0">
        <w:trPr>
          <w:cantSplit/>
        </w:trPr>
        <w:tc>
          <w:tcPr>
            <w:tcW w:w="2607" w:type="dxa"/>
            <w:vAlign w:val="center"/>
          </w:tcPr>
          <w:p w14:paraId="5E498133" w14:textId="77777777" w:rsidR="0028759D" w:rsidRDefault="0028759D" w:rsidP="0005347A">
            <w:pPr>
              <w:pStyle w:val="TableText"/>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Level 5: Enhanced Supervisor</w:t>
            </w:r>
          </w:p>
        </w:tc>
        <w:tc>
          <w:tcPr>
            <w:tcW w:w="4431" w:type="dxa"/>
            <w:vAlign w:val="bottom"/>
          </w:tcPr>
          <w:p w14:paraId="44EE6F4C" w14:textId="77777777" w:rsidR="0028759D" w:rsidRDefault="0028759D" w:rsidP="0005347A">
            <w:pPr>
              <w:pStyle w:val="TableTextBullet"/>
            </w:pPr>
            <w:r>
              <w:t>Edit antigen frequency table to reflect local population.</w:t>
            </w:r>
          </w:p>
          <w:p w14:paraId="04BAB699" w14:textId="77777777" w:rsidR="0028759D" w:rsidRDefault="0028759D" w:rsidP="0005347A">
            <w:pPr>
              <w:pStyle w:val="TableTextBullet"/>
              <w:rPr>
                <w:rFonts w:cs="Arial"/>
              </w:rPr>
            </w:pPr>
            <w:r>
              <w:t>Edit and create canned comments for the division.</w:t>
            </w:r>
          </w:p>
          <w:p w14:paraId="09FBCA60" w14:textId="77777777" w:rsidR="0028759D" w:rsidRDefault="0028759D" w:rsidP="0005347A">
            <w:pPr>
              <w:pStyle w:val="TableTextBullet"/>
              <w:rPr>
                <w:rFonts w:cs="Arial"/>
              </w:rPr>
            </w:pPr>
            <w:r>
              <w:t>Edit and create consultative reports, templates, MSBOS, reagents, and equipment maintenance logs for the division.</w:t>
            </w:r>
          </w:p>
        </w:tc>
        <w:tc>
          <w:tcPr>
            <w:tcW w:w="2322" w:type="dxa"/>
            <w:vAlign w:val="center"/>
          </w:tcPr>
          <w:p w14:paraId="1B8F8098" w14:textId="77777777" w:rsidR="0028759D" w:rsidRDefault="0028759D" w:rsidP="0005347A">
            <w:pPr>
              <w:pStyle w:val="TableText"/>
            </w:pPr>
            <w:r>
              <w:rPr>
                <w:szCs w:val="20"/>
              </w:rPr>
              <w:t>Experienced b</w:t>
            </w:r>
            <w:r>
              <w:t>lood bank supervisors or VBECS administrators trained to process associated overrides and options</w:t>
            </w:r>
          </w:p>
        </w:tc>
      </w:tr>
      <w:tr w:rsidR="0028759D" w14:paraId="55C9C872" w14:textId="77777777" w:rsidTr="00D93AB0">
        <w:trPr>
          <w:cantSplit/>
        </w:trPr>
        <w:tc>
          <w:tcPr>
            <w:tcW w:w="2607" w:type="dxa"/>
            <w:vAlign w:val="center"/>
          </w:tcPr>
          <w:p w14:paraId="54BBFD83" w14:textId="77777777" w:rsidR="0028759D" w:rsidRDefault="0028759D" w:rsidP="0005347A">
            <w:pPr>
              <w:pStyle w:val="TableText"/>
            </w:pPr>
            <w:r w:rsidRPr="00EC7489">
              <w:rPr>
                <w:rFonts w:ascii="Wingdings 3" w:hAnsi="Wingdings 3" w:cs="Wingdings"/>
              </w:rPr>
              <w:lastRenderedPageBreak/>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Level 6: Administrator/Supervisor </w:t>
            </w:r>
          </w:p>
        </w:tc>
        <w:tc>
          <w:tcPr>
            <w:tcW w:w="4431" w:type="dxa"/>
            <w:vAlign w:val="bottom"/>
          </w:tcPr>
          <w:p w14:paraId="4AF95BBD" w14:textId="77777777" w:rsidR="0028759D" w:rsidRDefault="0028759D" w:rsidP="0005347A">
            <w:pPr>
              <w:pStyle w:val="TableTextBullet"/>
            </w:pPr>
            <w:r>
              <w:t xml:space="preserve">Define VBECS users’ security settings. </w:t>
            </w:r>
          </w:p>
          <w:p w14:paraId="5B4130A2" w14:textId="77777777" w:rsidR="0028759D" w:rsidRDefault="0028759D" w:rsidP="0005347A">
            <w:pPr>
              <w:pStyle w:val="TableTextBullet"/>
            </w:pPr>
            <w:r>
              <w:t>Define the division as full service or transfusion only.</w:t>
            </w:r>
          </w:p>
          <w:p w14:paraId="6EF3A1EC" w14:textId="77777777" w:rsidR="0028759D" w:rsidRDefault="0028759D" w:rsidP="0005347A">
            <w:pPr>
              <w:pStyle w:val="TableTextBullet"/>
            </w:pPr>
            <w:r>
              <w:t xml:space="preserve">Enable electronic crossmatch at the division. </w:t>
            </w:r>
          </w:p>
          <w:p w14:paraId="1397CA3B" w14:textId="77777777" w:rsidR="0028759D" w:rsidRDefault="0028759D" w:rsidP="0005347A">
            <w:pPr>
              <w:pStyle w:val="TableTextBullet"/>
            </w:pPr>
            <w:r>
              <w:t>Populate International Council for Commonality in Blood Banking Automation, Inc. (ICCBBA) number for the division.</w:t>
            </w:r>
          </w:p>
          <w:p w14:paraId="4135F7B3" w14:textId="77777777" w:rsidR="0028759D" w:rsidRDefault="0028759D" w:rsidP="0005347A">
            <w:pPr>
              <w:pStyle w:val="TableTextBullet"/>
            </w:pPr>
            <w:r>
              <w:t>Define valid unit modifications for the division.</w:t>
            </w:r>
          </w:p>
          <w:p w14:paraId="4E6C65B1" w14:textId="77777777" w:rsidR="0028759D" w:rsidRDefault="0028759D" w:rsidP="0005347A">
            <w:pPr>
              <w:pStyle w:val="TableTextBullet"/>
            </w:pPr>
            <w:r>
              <w:t>Assign workload codes for the division.</w:t>
            </w:r>
          </w:p>
          <w:p w14:paraId="2F862512" w14:textId="77777777" w:rsidR="0028759D" w:rsidRDefault="0028759D" w:rsidP="0005347A">
            <w:pPr>
              <w:pStyle w:val="TableTextBullet"/>
            </w:pPr>
            <w:r>
              <w:t>Configure testing.</w:t>
            </w:r>
          </w:p>
          <w:p w14:paraId="48490159" w14:textId="77777777" w:rsidR="0028759D" w:rsidRDefault="0028759D" w:rsidP="0005347A">
            <w:pPr>
              <w:pStyle w:val="TableTextBullet"/>
              <w:rPr>
                <w:rFonts w:cs="Arial"/>
                <w:color w:val="000000"/>
              </w:rPr>
            </w:pPr>
            <w:r>
              <w:t>Configure division.</w:t>
            </w:r>
          </w:p>
        </w:tc>
        <w:tc>
          <w:tcPr>
            <w:tcW w:w="2322" w:type="dxa"/>
            <w:vAlign w:val="center"/>
          </w:tcPr>
          <w:p w14:paraId="33C59D0F" w14:textId="77777777" w:rsidR="0028759D" w:rsidRDefault="0028759D" w:rsidP="0005347A">
            <w:pPr>
              <w:pStyle w:val="TableText"/>
            </w:pPr>
            <w:r>
              <w:t>VBECS administrators trained to process all overrides and options</w:t>
            </w:r>
            <w:r>
              <w:rPr>
                <w:szCs w:val="20"/>
              </w:rPr>
              <w:t xml:space="preserve"> not designed to change frequently</w:t>
            </w:r>
            <w:r>
              <w:t xml:space="preserve">. This role may be assigned temporarily to a blood bank supervisor at setup to configure the division. </w:t>
            </w:r>
          </w:p>
          <w:p w14:paraId="3F27073D" w14:textId="77777777" w:rsidR="0028759D" w:rsidRDefault="0028759D" w:rsidP="0005347A">
            <w:pPr>
              <w:pStyle w:val="TableText"/>
            </w:pPr>
          </w:p>
          <w:p w14:paraId="574D913D" w14:textId="77777777" w:rsidR="0028759D" w:rsidRDefault="0028759D" w:rsidP="0005347A">
            <w:pPr>
              <w:pStyle w:val="TableText"/>
            </w:pPr>
          </w:p>
        </w:tc>
      </w:tr>
    </w:tbl>
    <w:p w14:paraId="27E667F9" w14:textId="7CBB7784" w:rsidR="00770D97" w:rsidRPr="00C63FA9" w:rsidRDefault="002A21AE" w:rsidP="00D93AB0">
      <w:pPr>
        <w:pStyle w:val="BodyText"/>
        <w:keepNext/>
      </w:pPr>
      <w:r>
        <w:t>The VA Wide Area Network (WAN) is protected from unauthorized access.</w:t>
      </w:r>
      <w:r w:rsidR="00467CDF">
        <w:t xml:space="preserve"> </w:t>
      </w:r>
      <w:r>
        <w:t xml:space="preserve"> The hardware running the VBECS application and its database </w:t>
      </w:r>
      <w:r w:rsidR="004D0A70">
        <w:t>are</w:t>
      </w:r>
      <w:r>
        <w:t xml:space="preserve"> </w:t>
      </w:r>
      <w:r w:rsidR="004C5C76">
        <w:t xml:space="preserve">located in </w:t>
      </w:r>
      <w:r w:rsidR="00770D97">
        <w:t xml:space="preserve">one of three </w:t>
      </w:r>
      <w:r w:rsidR="004C5C76">
        <w:t xml:space="preserve">Microsoft Azure for Government (MAG) </w:t>
      </w:r>
      <w:r w:rsidR="00770D97" w:rsidRPr="00C63FA9">
        <w:t>r</w:t>
      </w:r>
      <w:r w:rsidR="004C5C76" w:rsidRPr="00C63FA9">
        <w:t>egion</w:t>
      </w:r>
      <w:r w:rsidR="00770D97" w:rsidRPr="00C63FA9">
        <w:t>al data centers:</w:t>
      </w:r>
    </w:p>
    <w:p w14:paraId="6A603AF1" w14:textId="77777777" w:rsidR="00770D97" w:rsidRPr="00C63FA9" w:rsidRDefault="00770D97" w:rsidP="00D93AB0">
      <w:pPr>
        <w:pStyle w:val="TableTextBullet"/>
        <w:keepNext/>
        <w:rPr>
          <w:rFonts w:ascii="Times New Roman" w:hAnsi="Times New Roman"/>
          <w:sz w:val="22"/>
          <w:szCs w:val="22"/>
        </w:rPr>
      </w:pPr>
      <w:r w:rsidRPr="00C63FA9">
        <w:rPr>
          <w:rFonts w:ascii="Times New Roman" w:hAnsi="Times New Roman"/>
          <w:sz w:val="22"/>
          <w:szCs w:val="22"/>
        </w:rPr>
        <w:t>EAST (Virginia)</w:t>
      </w:r>
    </w:p>
    <w:p w14:paraId="39BC0FB0" w14:textId="77777777" w:rsidR="00770D97" w:rsidRPr="00C63FA9" w:rsidRDefault="00770D97" w:rsidP="00D93AB0">
      <w:pPr>
        <w:pStyle w:val="TableTextBullet"/>
        <w:keepNext/>
        <w:rPr>
          <w:rFonts w:ascii="Times New Roman" w:hAnsi="Times New Roman"/>
          <w:sz w:val="22"/>
          <w:szCs w:val="22"/>
        </w:rPr>
      </w:pPr>
      <w:r w:rsidRPr="00C63FA9">
        <w:rPr>
          <w:rFonts w:ascii="Times New Roman" w:hAnsi="Times New Roman"/>
          <w:sz w:val="22"/>
          <w:szCs w:val="22"/>
        </w:rPr>
        <w:t>SOUTH (Texas)</w:t>
      </w:r>
    </w:p>
    <w:p w14:paraId="29763304" w14:textId="77777777" w:rsidR="00770D97" w:rsidRPr="00C63FA9" w:rsidRDefault="00770D97" w:rsidP="003E663B">
      <w:pPr>
        <w:pStyle w:val="TableTextBullet"/>
        <w:rPr>
          <w:rFonts w:ascii="Times New Roman" w:hAnsi="Times New Roman"/>
          <w:sz w:val="22"/>
          <w:szCs w:val="22"/>
        </w:rPr>
      </w:pPr>
      <w:r w:rsidRPr="00C63FA9">
        <w:rPr>
          <w:rFonts w:ascii="Times New Roman" w:hAnsi="Times New Roman"/>
          <w:sz w:val="22"/>
          <w:szCs w:val="22"/>
        </w:rPr>
        <w:t>SOUTHWEST (Arizona)</w:t>
      </w:r>
    </w:p>
    <w:p w14:paraId="3CAE0026" w14:textId="41206394" w:rsidR="004A2D6F" w:rsidRPr="00C63FA9" w:rsidRDefault="004C5C76" w:rsidP="004A2D6F">
      <w:pPr>
        <w:pStyle w:val="BodyText"/>
      </w:pPr>
      <w:r w:rsidRPr="00C63FA9">
        <w:t xml:space="preserve">All </w:t>
      </w:r>
      <w:r w:rsidR="00D52853" w:rsidRPr="00C63FA9">
        <w:t xml:space="preserve">sites are </w:t>
      </w:r>
      <w:r w:rsidR="002A21AE" w:rsidRPr="00C63FA9">
        <w:t xml:space="preserve">secure </w:t>
      </w:r>
      <w:r w:rsidR="00D52853" w:rsidRPr="00C63FA9">
        <w:t>data centers where they are protected against</w:t>
      </w:r>
      <w:r w:rsidR="002A21AE" w:rsidRPr="00C63FA9">
        <w:t xml:space="preserve"> unauthorized modifications and accidental damage.</w:t>
      </w:r>
    </w:p>
    <w:p w14:paraId="7A4889D8" w14:textId="77777777" w:rsidR="002A21AE" w:rsidRDefault="002A21AE" w:rsidP="0031313E">
      <w:pPr>
        <w:pStyle w:val="Heading2"/>
      </w:pPr>
      <w:bookmarkStart w:id="23" w:name="_Toc203765811"/>
      <w:r>
        <w:t>Application Architecture</w:t>
      </w:r>
      <w:bookmarkEnd w:id="23"/>
      <w:r>
        <w:fldChar w:fldCharType="begin"/>
      </w:r>
      <w:r>
        <w:instrText xml:space="preserve"> XE </w:instrText>
      </w:r>
      <w:r w:rsidR="00FA7E65">
        <w:instrText>“</w:instrText>
      </w:r>
      <w:r>
        <w:instrText>Application Architecture</w:instrText>
      </w:r>
      <w:r w:rsidR="00FA7E65">
        <w:instrText>”</w:instrText>
      </w:r>
      <w:r>
        <w:instrText xml:space="preserve"> </w:instrText>
      </w:r>
      <w:r>
        <w:fldChar w:fldCharType="end"/>
      </w:r>
    </w:p>
    <w:p w14:paraId="4BDD0DB7" w14:textId="77777777" w:rsidR="004F6DF9" w:rsidRDefault="004F6DF9" w:rsidP="004F6DF9">
      <w:pPr>
        <w:pStyle w:val="BodyText"/>
      </w:pPr>
      <w:r>
        <w:t>VBECS operates as a discrete application and interfaces with other VA systems using Health Level 7 (HL7) and VistALink.</w:t>
      </w:r>
    </w:p>
    <w:p w14:paraId="7A641532" w14:textId="23125CCD" w:rsidR="004F6DF9" w:rsidRDefault="004F6DF9" w:rsidP="004F6DF9">
      <w:pPr>
        <w:pStyle w:val="BodyText"/>
      </w:pPr>
      <w:r>
        <w:t>VBECS is a Windows-based application hosted on a server. Users access VBECS through a graphical user interface and other VA systems interface with VBECS through Health Level 7 (HL7) and VistALink.</w:t>
      </w:r>
    </w:p>
    <w:p w14:paraId="6C8E18B2" w14:textId="77777777" w:rsidR="004F6DF9" w:rsidRDefault="004F6DF9" w:rsidP="004F6DF9">
      <w:pPr>
        <w:pStyle w:val="BodyText"/>
      </w:pPr>
      <w:r>
        <w:t>The major goals of the application are:</w:t>
      </w:r>
    </w:p>
    <w:p w14:paraId="2256567B" w14:textId="77777777" w:rsidR="004F6DF9" w:rsidRDefault="004F6DF9" w:rsidP="004F6DF9">
      <w:pPr>
        <w:pStyle w:val="ListBullet"/>
      </w:pPr>
      <w:r>
        <w:t xml:space="preserve">Improve the safety of blood/blood component transfusions by decreasing the risk of errors through effective use of current technology such as barcode scanning, retrieval of previous records to be used for comparison, and detection of inconsistencies in data input </w:t>
      </w:r>
    </w:p>
    <w:p w14:paraId="65408339" w14:textId="77777777" w:rsidR="004F6DF9" w:rsidRDefault="004F6DF9" w:rsidP="004F6DF9">
      <w:pPr>
        <w:pStyle w:val="ListBullet"/>
      </w:pPr>
      <w:r>
        <w:t>Improve the quality of patient care through evaluation of transfusion appropriateness and follow-up on the effectiveness of transfusions</w:t>
      </w:r>
    </w:p>
    <w:p w14:paraId="76F71A0A" w14:textId="77777777" w:rsidR="004F6DF9" w:rsidRDefault="004F6DF9" w:rsidP="004F6DF9">
      <w:pPr>
        <w:pStyle w:val="ListBullet"/>
      </w:pPr>
      <w:r>
        <w:t>Provide comprehensive reporting capabilities for quality monitoring within the transfusion service and for clinicians</w:t>
      </w:r>
    </w:p>
    <w:p w14:paraId="00AEE6E6" w14:textId="77777777" w:rsidR="004F6DF9" w:rsidRDefault="004F6DF9" w:rsidP="004F6DF9">
      <w:pPr>
        <w:pStyle w:val="BodyText"/>
      </w:pPr>
      <w:r>
        <w:t xml:space="preserve">VBECS operates in accordance with FDA regulations regarding change to a medical device. Areas of operation that are part of the VistA Blood Bank v5.2 software medical device (except for the donor module) are contained in this encapsulated VBECS package. Patient orders originate and are received from the Computerized Patient Record System (CPRS) and Laboratory applications. </w:t>
      </w:r>
    </w:p>
    <w:p w14:paraId="24025757" w14:textId="76DBA937" w:rsidR="00190420" w:rsidRDefault="00D3324B" w:rsidP="002A249F">
      <w:pPr>
        <w:pStyle w:val="Heading3"/>
      </w:pPr>
      <w:bookmarkStart w:id="24" w:name="_Ref162946416"/>
      <w:bookmarkStart w:id="25" w:name="_Toc203765812"/>
      <w:r>
        <w:t>O</w:t>
      </w:r>
      <w:r w:rsidR="00190420">
        <w:t>ptions That Require VistALink</w:t>
      </w:r>
      <w:bookmarkEnd w:id="24"/>
      <w:bookmarkEnd w:id="25"/>
    </w:p>
    <w:p w14:paraId="08DD718F" w14:textId="77777777" w:rsidR="00D3324B" w:rsidRDefault="00D3324B" w:rsidP="00D3324B">
      <w:pPr>
        <w:pStyle w:val="BodyText"/>
      </w:pPr>
      <w:r>
        <w:t>These options require a connection through VistALink. When VistALink is not active and VBECS requires access to VistA</w:t>
      </w:r>
      <w:r w:rsidR="008452BB">
        <w:t xml:space="preserve"> data</w:t>
      </w:r>
      <w:r>
        <w:t xml:space="preserve">, VBECS </w:t>
      </w:r>
      <w:r w:rsidR="004E13DE">
        <w:t>prompts</w:t>
      </w:r>
      <w:r>
        <w:t xml:space="preserve"> the user to activate VistALink.</w:t>
      </w:r>
      <w:r w:rsidR="00423948">
        <w:t xml:space="preserve"> When VistALink is not available, VBECS </w:t>
      </w:r>
      <w:r w:rsidR="00714365">
        <w:t>warns the user and asks him to</w:t>
      </w:r>
      <w:r w:rsidR="00423948" w:rsidRPr="009F4E8F">
        <w:t xml:space="preserve"> try again later.</w:t>
      </w:r>
    </w:p>
    <w:p w14:paraId="325A4355" w14:textId="77777777" w:rsidR="00C46850" w:rsidRPr="00D93651" w:rsidRDefault="00057948" w:rsidP="00C46850">
      <w:pPr>
        <w:pStyle w:val="Caution"/>
      </w:pPr>
      <w:r>
        <w:rPr>
          <w:noProof/>
        </w:rPr>
        <w:drawing>
          <wp:inline distT="0" distB="0" distL="0" distR="0" wp14:anchorId="048E138E" wp14:editId="4A8CB463">
            <wp:extent cx="267970" cy="221615"/>
            <wp:effectExtent l="0" t="0" r="0" b="6985"/>
            <wp:docPr id="14" name="Picture 14" descr="Cau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Caution icon"/>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67970" cy="221615"/>
                    </a:xfrm>
                    <a:prstGeom prst="rect">
                      <a:avLst/>
                    </a:prstGeom>
                    <a:noFill/>
                    <a:ln>
                      <a:noFill/>
                    </a:ln>
                  </pic:spPr>
                </pic:pic>
              </a:graphicData>
            </a:graphic>
          </wp:inline>
        </w:drawing>
      </w:r>
      <w:bookmarkStart w:id="26" w:name="OLE_LINK57"/>
      <w:bookmarkStart w:id="27" w:name="OLE_LINK58"/>
      <w:r w:rsidR="00C46850">
        <w:t xml:space="preserve">Contact your local support </w:t>
      </w:r>
      <w:r w:rsidR="00E055FF">
        <w:t>staff immediately when VistALink is not available. VBECS, VistA and CPRS all depend on VistALink to exchange information</w:t>
      </w:r>
      <w:r w:rsidR="00C46850" w:rsidRPr="00D93651">
        <w:t>.</w:t>
      </w:r>
      <w:bookmarkEnd w:id="26"/>
      <w:bookmarkEnd w:id="27"/>
    </w:p>
    <w:p w14:paraId="4BD5D930" w14:textId="46E5FB17" w:rsidR="00956F9E" w:rsidRPr="00D612CA" w:rsidRDefault="00956F9E" w:rsidP="00956F9E">
      <w:pPr>
        <w:pStyle w:val="ListBullet"/>
        <w:numPr>
          <w:ilvl w:val="0"/>
          <w:numId w:val="0"/>
        </w:numPr>
        <w:ind w:left="288" w:hanging="288"/>
      </w:pPr>
      <w:bookmarkStart w:id="28" w:name="_Ref126467435"/>
      <w:bookmarkStart w:id="29" w:name="_Toc97523611"/>
      <w:bookmarkStart w:id="30" w:name="_Toc97527581"/>
      <w:bookmarkStart w:id="31" w:name="_Ref126467267"/>
      <w:bookmarkStart w:id="32" w:name="_Ref126722632"/>
      <w:r w:rsidRPr="00956F9E">
        <w:lastRenderedPageBreak/>
        <w:t xml:space="preserve"> </w:t>
      </w:r>
      <w:r>
        <w:t xml:space="preserve">Main </w:t>
      </w:r>
      <w:r w:rsidRPr="00D612CA">
        <w:t>Menu: Orders</w:t>
      </w:r>
    </w:p>
    <w:p w14:paraId="65F9E0F3" w14:textId="3402202B" w:rsidR="00956F9E" w:rsidRDefault="00956F9E" w:rsidP="00956F9E">
      <w:pPr>
        <w:pStyle w:val="ListBullet"/>
        <w:tabs>
          <w:tab w:val="num" w:pos="720"/>
        </w:tabs>
        <w:spacing w:after="120"/>
        <w:ind w:left="720"/>
      </w:pPr>
      <w:r>
        <w:t xml:space="preserve">Accept Orders: </w:t>
      </w:r>
      <w:r w:rsidR="00AC21CF">
        <w:t xml:space="preserve">Accept Orders </w:t>
      </w:r>
      <w:r w:rsidR="00AC21CF" w:rsidRPr="00497EEE">
        <w:rPr>
          <w:vanish/>
        </w:rPr>
        <w:t xml:space="preserve">UC_16 </w:t>
      </w:r>
      <w:r w:rsidR="00AC21CF">
        <w:t xml:space="preserve">and </w:t>
      </w:r>
      <w:r>
        <w:t>Pending Order List</w:t>
      </w:r>
      <w:r w:rsidRPr="00953FEE">
        <w:t xml:space="preserve"> </w:t>
      </w:r>
      <w:r w:rsidRPr="00722837">
        <w:rPr>
          <w:vanish/>
        </w:rPr>
        <w:t>UC_88</w:t>
      </w:r>
    </w:p>
    <w:p w14:paraId="3E37B44D" w14:textId="77777777" w:rsidR="00956F9E" w:rsidRDefault="00956F9E" w:rsidP="00956F9E">
      <w:pPr>
        <w:pStyle w:val="ListBullet"/>
        <w:numPr>
          <w:ilvl w:val="0"/>
          <w:numId w:val="0"/>
        </w:numPr>
      </w:pPr>
      <w:r>
        <w:t xml:space="preserve">Main </w:t>
      </w:r>
      <w:r w:rsidRPr="00D612CA">
        <w:t xml:space="preserve">Menu: </w:t>
      </w:r>
      <w:r>
        <w:t>Blood Units</w:t>
      </w:r>
    </w:p>
    <w:p w14:paraId="7A0CC8A2" w14:textId="1E81D028" w:rsidR="00956F9E" w:rsidRDefault="00956F9E" w:rsidP="00956F9E">
      <w:pPr>
        <w:pStyle w:val="ListBullet"/>
        <w:tabs>
          <w:tab w:val="num" w:pos="720"/>
        </w:tabs>
        <w:ind w:left="720"/>
      </w:pPr>
      <w:r>
        <w:t>Edit Unit Information (used when editing patient restrictions)</w:t>
      </w:r>
      <w:r w:rsidR="00131576">
        <w:t xml:space="preserve"> </w:t>
      </w:r>
      <w:r w:rsidR="00131576" w:rsidRPr="00131576">
        <w:rPr>
          <w:vanish/>
        </w:rPr>
        <w:t>UC_70</w:t>
      </w:r>
    </w:p>
    <w:p w14:paraId="5779E6D0" w14:textId="77777777" w:rsidR="00956F9E" w:rsidRPr="00953FEE" w:rsidRDefault="00956F9E" w:rsidP="00956F9E">
      <w:pPr>
        <w:pStyle w:val="ListBullet"/>
        <w:tabs>
          <w:tab w:val="num" w:pos="720"/>
        </w:tabs>
        <w:spacing w:after="120"/>
        <w:ind w:left="720"/>
      </w:pPr>
      <w:r w:rsidRPr="00953FEE">
        <w:t xml:space="preserve">Return Issued Units To Blood Bank </w:t>
      </w:r>
      <w:r w:rsidRPr="00953FEE">
        <w:rPr>
          <w:vanish/>
        </w:rPr>
        <w:t>UC_59</w:t>
      </w:r>
    </w:p>
    <w:p w14:paraId="7A988C0E" w14:textId="77777777" w:rsidR="00956F9E" w:rsidRPr="00D612CA" w:rsidRDefault="00956F9E" w:rsidP="00956F9E">
      <w:pPr>
        <w:pStyle w:val="ListBullet"/>
        <w:numPr>
          <w:ilvl w:val="0"/>
          <w:numId w:val="0"/>
        </w:numPr>
      </w:pPr>
      <w:r>
        <w:t xml:space="preserve">Main </w:t>
      </w:r>
      <w:r w:rsidRPr="00D612CA">
        <w:t>Menu: Patients</w:t>
      </w:r>
    </w:p>
    <w:p w14:paraId="4941F4C3" w14:textId="6B99123B" w:rsidR="00956F9E" w:rsidRPr="00D612CA" w:rsidRDefault="00956F9E" w:rsidP="00956F9E">
      <w:pPr>
        <w:pStyle w:val="ListBullet"/>
        <w:tabs>
          <w:tab w:val="num" w:pos="720"/>
        </w:tabs>
        <w:ind w:left="720"/>
      </w:pPr>
      <w:r w:rsidRPr="00D612CA">
        <w:t xml:space="preserve">Post-Transfusion Information </w:t>
      </w:r>
      <w:r w:rsidRPr="00D612CA">
        <w:rPr>
          <w:vanish/>
        </w:rPr>
        <w:t>UC_</w:t>
      </w:r>
      <w:r w:rsidR="009F344E">
        <w:rPr>
          <w:vanish/>
        </w:rPr>
        <w:t>69</w:t>
      </w:r>
      <w:r w:rsidRPr="00D612CA">
        <w:t xml:space="preserve"> </w:t>
      </w:r>
      <w:r w:rsidRPr="00D612CA">
        <w:rPr>
          <w:vanish/>
        </w:rPr>
        <w:t>DR 4354</w:t>
      </w:r>
    </w:p>
    <w:p w14:paraId="0257CA77" w14:textId="77777777" w:rsidR="00956F9E" w:rsidRPr="00953FEE" w:rsidRDefault="00956F9E" w:rsidP="00956F9E">
      <w:pPr>
        <w:pStyle w:val="ListBullet"/>
        <w:tabs>
          <w:tab w:val="num" w:pos="720"/>
        </w:tabs>
        <w:ind w:left="720"/>
      </w:pPr>
      <w:r w:rsidRPr="00D612CA">
        <w:t>Return</w:t>
      </w:r>
      <w:r w:rsidRPr="00953FEE">
        <w:t xml:space="preserve"> Issued Units To Blood Bank </w:t>
      </w:r>
      <w:r w:rsidRPr="00953FEE">
        <w:rPr>
          <w:vanish/>
        </w:rPr>
        <w:t>UC_59</w:t>
      </w:r>
    </w:p>
    <w:p w14:paraId="7CFEE0BD" w14:textId="77777777" w:rsidR="00956F9E" w:rsidRPr="00D612CA" w:rsidRDefault="00956F9E" w:rsidP="00956F9E">
      <w:pPr>
        <w:pStyle w:val="ListBullet"/>
        <w:tabs>
          <w:tab w:val="num" w:pos="720"/>
        </w:tabs>
        <w:spacing w:after="120"/>
        <w:ind w:left="720"/>
      </w:pPr>
      <w:r w:rsidRPr="00D612CA">
        <w:t>Issue Blood Components</w:t>
      </w:r>
      <w:r w:rsidR="009C7B46">
        <w:t xml:space="preserve"> (to include a hospital location)</w:t>
      </w:r>
      <w:r w:rsidRPr="00D612CA">
        <w:t xml:space="preserve"> </w:t>
      </w:r>
      <w:r w:rsidRPr="00D612CA">
        <w:rPr>
          <w:vanish/>
        </w:rPr>
        <w:t>UC_73</w:t>
      </w:r>
      <w:r w:rsidR="009C7B46">
        <w:rPr>
          <w:vanish/>
        </w:rPr>
        <w:t xml:space="preserve"> </w:t>
      </w:r>
      <w:r w:rsidR="009C7B46" w:rsidRPr="009C7B46">
        <w:rPr>
          <w:vanish/>
        </w:rPr>
        <w:t xml:space="preserve">DR 5073 </w:t>
      </w:r>
    </w:p>
    <w:p w14:paraId="5900A4A1" w14:textId="77777777" w:rsidR="00956F9E" w:rsidRPr="00D612CA" w:rsidRDefault="00956F9E" w:rsidP="00956F9E">
      <w:pPr>
        <w:pStyle w:val="ListBullet"/>
        <w:numPr>
          <w:ilvl w:val="0"/>
          <w:numId w:val="0"/>
        </w:numPr>
        <w:ind w:left="288" w:hanging="288"/>
      </w:pPr>
      <w:r>
        <w:t xml:space="preserve">Main </w:t>
      </w:r>
      <w:r w:rsidRPr="00D612CA">
        <w:t>Menu: Shipments</w:t>
      </w:r>
    </w:p>
    <w:p w14:paraId="08B88989" w14:textId="77777777" w:rsidR="00956F9E" w:rsidRPr="00D612CA" w:rsidRDefault="00956F9E" w:rsidP="00956F9E">
      <w:pPr>
        <w:pStyle w:val="ListBullet"/>
        <w:tabs>
          <w:tab w:val="num" w:pos="720"/>
        </w:tabs>
        <w:spacing w:after="120"/>
        <w:ind w:left="720"/>
      </w:pPr>
      <w:r w:rsidRPr="00D612CA">
        <w:t xml:space="preserve">Incoming Shipment (used when restricting units to patients) </w:t>
      </w:r>
      <w:r w:rsidRPr="00D612CA">
        <w:rPr>
          <w:vanish/>
        </w:rPr>
        <w:t>UC_01</w:t>
      </w:r>
    </w:p>
    <w:p w14:paraId="2A810677" w14:textId="77777777" w:rsidR="00956F9E" w:rsidRPr="00D612CA" w:rsidRDefault="00956F9E" w:rsidP="00956F9E">
      <w:pPr>
        <w:pStyle w:val="ListBullet"/>
        <w:numPr>
          <w:ilvl w:val="0"/>
          <w:numId w:val="0"/>
        </w:numPr>
        <w:ind w:left="288" w:hanging="288"/>
      </w:pPr>
      <w:r>
        <w:t xml:space="preserve">Main </w:t>
      </w:r>
      <w:r w:rsidRPr="00D612CA">
        <w:t>Menu: Tools</w:t>
      </w:r>
    </w:p>
    <w:p w14:paraId="32E1D7D3" w14:textId="05AD2988" w:rsidR="00956F9E" w:rsidRPr="00D612CA" w:rsidRDefault="00956F9E" w:rsidP="00956F9E">
      <w:pPr>
        <w:pStyle w:val="ListBullet"/>
        <w:tabs>
          <w:tab w:val="num" w:pos="720"/>
        </w:tabs>
        <w:ind w:left="720"/>
      </w:pPr>
      <w:r w:rsidRPr="00D612CA">
        <w:t xml:space="preserve">Blood Products </w:t>
      </w:r>
      <w:r w:rsidRPr="00D612CA">
        <w:rPr>
          <w:vanish/>
        </w:rPr>
        <w:t>UC_08</w:t>
      </w:r>
    </w:p>
    <w:p w14:paraId="1D219644" w14:textId="5F1EE799" w:rsidR="00956F9E" w:rsidRPr="00D612CA" w:rsidRDefault="00956F9E" w:rsidP="00956F9E">
      <w:pPr>
        <w:pStyle w:val="ListBullet"/>
        <w:tabs>
          <w:tab w:val="num" w:pos="720"/>
        </w:tabs>
        <w:ind w:left="720"/>
      </w:pPr>
      <w:r w:rsidRPr="00D612CA">
        <w:t xml:space="preserve">Component Classes </w:t>
      </w:r>
      <w:r w:rsidRPr="00D612CA">
        <w:rPr>
          <w:vanish/>
        </w:rPr>
        <w:t>UC_5</w:t>
      </w:r>
      <w:r w:rsidR="00C15955">
        <w:rPr>
          <w:vanish/>
        </w:rPr>
        <w:t>0</w:t>
      </w:r>
    </w:p>
    <w:p w14:paraId="2C8E75A9" w14:textId="3FA7C454" w:rsidR="00956F9E" w:rsidRPr="00D612CA" w:rsidRDefault="00956F9E" w:rsidP="00956F9E">
      <w:pPr>
        <w:pStyle w:val="ListBullet"/>
        <w:tabs>
          <w:tab w:val="num" w:pos="720"/>
        </w:tabs>
        <w:ind w:left="720"/>
      </w:pPr>
      <w:r w:rsidRPr="00D612CA">
        <w:t xml:space="preserve">Transfusion Complications </w:t>
      </w:r>
      <w:r w:rsidRPr="00D612CA">
        <w:rPr>
          <w:vanish/>
        </w:rPr>
        <w:t>UC_3</w:t>
      </w:r>
      <w:r w:rsidR="00C15955">
        <w:rPr>
          <w:vanish/>
        </w:rPr>
        <w:t>4</w:t>
      </w:r>
    </w:p>
    <w:p w14:paraId="7044AEC1" w14:textId="2223AC00" w:rsidR="00956F9E" w:rsidRPr="00D612CA" w:rsidRDefault="00956F9E" w:rsidP="00956F9E">
      <w:pPr>
        <w:pStyle w:val="ListBullet"/>
        <w:tabs>
          <w:tab w:val="num" w:pos="720"/>
        </w:tabs>
        <w:ind w:left="720"/>
      </w:pPr>
      <w:r w:rsidRPr="00D612CA">
        <w:t xml:space="preserve">Transfusion Effectiveness </w:t>
      </w:r>
      <w:r w:rsidRPr="00D612CA">
        <w:rPr>
          <w:vanish/>
        </w:rPr>
        <w:t>UC_3</w:t>
      </w:r>
      <w:r w:rsidR="00C15955">
        <w:rPr>
          <w:vanish/>
        </w:rPr>
        <w:t>3</w:t>
      </w:r>
    </w:p>
    <w:p w14:paraId="15F12491" w14:textId="4D8A3B8A" w:rsidR="00956F9E" w:rsidRPr="00D612CA" w:rsidRDefault="00956F9E" w:rsidP="00956F9E">
      <w:pPr>
        <w:pStyle w:val="ListBullet"/>
        <w:tabs>
          <w:tab w:val="num" w:pos="720"/>
        </w:tabs>
        <w:spacing w:after="120"/>
        <w:ind w:left="720"/>
      </w:pPr>
      <w:r w:rsidRPr="00D612CA">
        <w:t xml:space="preserve"> Workload Codes </w:t>
      </w:r>
      <w:r w:rsidRPr="00D612CA">
        <w:rPr>
          <w:vanish/>
        </w:rPr>
        <w:t>UC_2</w:t>
      </w:r>
      <w:r w:rsidR="00C15955">
        <w:rPr>
          <w:vanish/>
        </w:rPr>
        <w:t>9</w:t>
      </w:r>
    </w:p>
    <w:p w14:paraId="5F148B4B" w14:textId="77777777" w:rsidR="00956F9E" w:rsidRPr="00D612CA" w:rsidRDefault="00956F9E" w:rsidP="0077424C">
      <w:pPr>
        <w:pStyle w:val="ListBullet"/>
        <w:keepNext/>
        <w:numPr>
          <w:ilvl w:val="0"/>
          <w:numId w:val="0"/>
        </w:numPr>
        <w:ind w:left="288" w:hanging="288"/>
      </w:pPr>
      <w:r>
        <w:t xml:space="preserve">Main </w:t>
      </w:r>
      <w:r w:rsidRPr="00D612CA">
        <w:t>Menu: Supervisor</w:t>
      </w:r>
    </w:p>
    <w:p w14:paraId="32309410" w14:textId="77777777" w:rsidR="00956F9E" w:rsidRDefault="00956F9E" w:rsidP="00956F9E">
      <w:pPr>
        <w:pStyle w:val="ListBullet"/>
        <w:tabs>
          <w:tab w:val="num" w:pos="720"/>
        </w:tabs>
        <w:spacing w:after="120"/>
        <w:ind w:left="720"/>
        <w:rPr>
          <w:lang w:val="fr-FR"/>
        </w:rPr>
      </w:pPr>
      <w:r w:rsidRPr="00D612CA">
        <w:rPr>
          <w:snapToGrid w:val="0"/>
          <w:lang w:val="fr-FR"/>
        </w:rPr>
        <w:t>Document ABO</w:t>
      </w:r>
      <w:r w:rsidRPr="006E05B3">
        <w:rPr>
          <w:snapToGrid w:val="0"/>
          <w:lang w:val="fr-FR"/>
        </w:rPr>
        <w:t xml:space="preserve"> Incompatible </w:t>
      </w:r>
      <w:r w:rsidRPr="00F3392A">
        <w:rPr>
          <w:snapToGrid w:val="0"/>
          <w:lang w:val="fr-FR"/>
        </w:rPr>
        <w:t>Transfusion</w:t>
      </w:r>
      <w:r w:rsidRPr="00F3392A">
        <w:rPr>
          <w:lang w:val="fr-FR"/>
        </w:rPr>
        <w:t xml:space="preserve"> </w:t>
      </w:r>
      <w:r w:rsidRPr="00F3392A">
        <w:rPr>
          <w:vanish/>
          <w:lang w:val="fr-FR"/>
        </w:rPr>
        <w:t>U</w:t>
      </w:r>
      <w:r w:rsidR="00F3392A" w:rsidRPr="00F3392A">
        <w:rPr>
          <w:vanish/>
          <w:lang w:val="fr-FR"/>
        </w:rPr>
        <w:t>C</w:t>
      </w:r>
      <w:r w:rsidR="00F3392A">
        <w:rPr>
          <w:vanish/>
          <w:lang w:val="fr-FR"/>
        </w:rPr>
        <w:t>_69</w:t>
      </w:r>
    </w:p>
    <w:p w14:paraId="0CACFF29" w14:textId="77777777" w:rsidR="00956F9E" w:rsidRPr="00944CCC" w:rsidRDefault="00956F9E" w:rsidP="00956F9E">
      <w:pPr>
        <w:pStyle w:val="ListBullet"/>
        <w:numPr>
          <w:ilvl w:val="0"/>
          <w:numId w:val="0"/>
        </w:numPr>
      </w:pPr>
      <w:r w:rsidRPr="00944CCC">
        <w:t>Main Menu: Reports</w:t>
      </w:r>
    </w:p>
    <w:p w14:paraId="7A231B1E" w14:textId="4E7345C0" w:rsidR="001F02DC" w:rsidRPr="00944CCC" w:rsidRDefault="001F02DC" w:rsidP="00956F9E">
      <w:pPr>
        <w:pStyle w:val="ListBullet"/>
        <w:tabs>
          <w:tab w:val="num" w:pos="720"/>
        </w:tabs>
        <w:ind w:left="720"/>
      </w:pPr>
      <w:r w:rsidRPr="00944CCC">
        <w:t>Audit Trail Report (</w:t>
      </w:r>
      <w:r w:rsidR="0019480C">
        <w:t>only when an audit date range includes a</w:t>
      </w:r>
      <w:r w:rsidR="00BD61F6">
        <w:t xml:space="preserve"> change to </w:t>
      </w:r>
      <w:r w:rsidR="0019480C">
        <w:t>the</w:t>
      </w:r>
      <w:r w:rsidR="00BD61F6">
        <w:t xml:space="preserve"> accession area</w:t>
      </w:r>
      <w:r w:rsidR="0019480C">
        <w:t>,</w:t>
      </w:r>
      <w:r w:rsidR="00E3308E">
        <w:t xml:space="preserve"> </w:t>
      </w:r>
      <w:r w:rsidR="0019480C">
        <w:t>which is unlikely to occur</w:t>
      </w:r>
      <w:r w:rsidR="00AD5F10" w:rsidRPr="00944CCC">
        <w:t>)</w:t>
      </w:r>
      <w:r w:rsidR="008D3861" w:rsidRPr="00944CCC">
        <w:t xml:space="preserve"> </w:t>
      </w:r>
      <w:r w:rsidR="008D3861" w:rsidRPr="00944CCC">
        <w:rPr>
          <w:vanish/>
        </w:rPr>
        <w:t>UC_77</w:t>
      </w:r>
    </w:p>
    <w:p w14:paraId="63C57719" w14:textId="2E367494" w:rsidR="00956F9E" w:rsidRPr="00944CCC" w:rsidRDefault="00956F9E" w:rsidP="00956F9E">
      <w:pPr>
        <w:pStyle w:val="ListBullet"/>
        <w:tabs>
          <w:tab w:val="num" w:pos="720"/>
        </w:tabs>
        <w:ind w:left="720"/>
      </w:pPr>
      <w:r w:rsidRPr="00944CCC">
        <w:t xml:space="preserve">Transfusion Complications Report </w:t>
      </w:r>
      <w:r w:rsidRPr="00944CCC">
        <w:rPr>
          <w:vanish/>
        </w:rPr>
        <w:t>UC_90</w:t>
      </w:r>
    </w:p>
    <w:p w14:paraId="2976E48F" w14:textId="77777777" w:rsidR="00956F9E" w:rsidRPr="00944CCC" w:rsidRDefault="00956F9E" w:rsidP="00956F9E">
      <w:pPr>
        <w:pStyle w:val="ListBullet"/>
        <w:tabs>
          <w:tab w:val="num" w:pos="720"/>
        </w:tabs>
        <w:ind w:left="720"/>
      </w:pPr>
      <w:r w:rsidRPr="00944CCC">
        <w:t xml:space="preserve">Transfusion Effectiveness Report </w:t>
      </w:r>
      <w:r w:rsidRPr="00944CCC">
        <w:rPr>
          <w:vanish/>
        </w:rPr>
        <w:t>UC_91</w:t>
      </w:r>
    </w:p>
    <w:p w14:paraId="78BA00E5" w14:textId="77777777" w:rsidR="00956F9E" w:rsidRPr="00944CCC" w:rsidRDefault="00956F9E" w:rsidP="00956F9E">
      <w:pPr>
        <w:pStyle w:val="ListBullet"/>
        <w:tabs>
          <w:tab w:val="num" w:pos="720"/>
        </w:tabs>
        <w:spacing w:after="120"/>
        <w:ind w:left="720"/>
      </w:pPr>
      <w:r w:rsidRPr="00944CCC">
        <w:t xml:space="preserve">Medication Profile </w:t>
      </w:r>
      <w:r w:rsidRPr="00944CCC">
        <w:rPr>
          <w:vanish/>
        </w:rPr>
        <w:t>UC_46</w:t>
      </w:r>
      <w:r w:rsidRPr="00944CCC">
        <w:t>(Reports or from the Patient Tool Bar icon)</w:t>
      </w:r>
    </w:p>
    <w:p w14:paraId="12C14C3A" w14:textId="77777777" w:rsidR="00956F9E" w:rsidRPr="00A8078B" w:rsidRDefault="00956F9E" w:rsidP="00956F9E">
      <w:pPr>
        <w:pStyle w:val="ListBullet"/>
        <w:numPr>
          <w:ilvl w:val="0"/>
          <w:numId w:val="0"/>
        </w:numPr>
      </w:pPr>
      <w:r w:rsidRPr="00A8078B">
        <w:t>Main menu window, icon in the bottom of the window:</w:t>
      </w:r>
    </w:p>
    <w:p w14:paraId="22E5BCA1" w14:textId="6924E975" w:rsidR="00EB34E1" w:rsidRDefault="00956F9E" w:rsidP="00384BF1">
      <w:pPr>
        <w:pStyle w:val="ListBullet"/>
        <w:tabs>
          <w:tab w:val="num" w:pos="720"/>
        </w:tabs>
        <w:ind w:left="720"/>
      </w:pPr>
      <w:r w:rsidRPr="00A8078B">
        <w:t>Display Order Alerts</w:t>
      </w:r>
      <w:r w:rsidR="00C15955" w:rsidRPr="00A8078B">
        <w:t xml:space="preserve"> </w:t>
      </w:r>
      <w:r w:rsidR="00C15955" w:rsidRPr="00A8078B">
        <w:rPr>
          <w:vanish/>
        </w:rPr>
        <w:t>UC_84</w:t>
      </w:r>
      <w:bookmarkStart w:id="33" w:name="_Toc81909529"/>
      <w:bookmarkEnd w:id="28"/>
      <w:bookmarkEnd w:id="29"/>
      <w:bookmarkEnd w:id="30"/>
      <w:bookmarkEnd w:id="31"/>
      <w:bookmarkEnd w:id="32"/>
    </w:p>
    <w:p w14:paraId="130C8867" w14:textId="250A9AEA" w:rsidR="00DD077F" w:rsidRPr="00AA44E5" w:rsidRDefault="00DD077F" w:rsidP="00384BF1">
      <w:pPr>
        <w:pStyle w:val="Heading2"/>
      </w:pPr>
      <w:bookmarkStart w:id="34" w:name="_Toc203765813"/>
      <w:r w:rsidRPr="00384BF1">
        <w:t xml:space="preserve">Getting Help </w:t>
      </w:r>
      <w:r w:rsidR="006A1388" w:rsidRPr="00384BF1">
        <w:t>f</w:t>
      </w:r>
      <w:r w:rsidRPr="00384BF1">
        <w:t>rom Customer Support</w:t>
      </w:r>
      <w:bookmarkEnd w:id="33"/>
      <w:bookmarkEnd w:id="34"/>
    </w:p>
    <w:p w14:paraId="103BCEF4" w14:textId="77777777" w:rsidR="00B76AAF" w:rsidRPr="00101850" w:rsidRDefault="00B76AAF" w:rsidP="00B76AAF">
      <w:pPr>
        <w:pStyle w:val="BodyText"/>
      </w:pPr>
      <w:r w:rsidRPr="00101850">
        <w:t xml:space="preserve">Contact your </w:t>
      </w:r>
      <w:r w:rsidRPr="00101850">
        <w:rPr>
          <w:b/>
        </w:rPr>
        <w:t>Local/Regional</w:t>
      </w:r>
      <w:r w:rsidRPr="00101850">
        <w:t xml:space="preserve"> Office of Information Technology (OIT) or Laboratory Information Manager (LIM) if you encounter VistA or CPRS connection problems and for training support </w:t>
      </w:r>
      <w:r w:rsidRPr="00101850">
        <w:rPr>
          <w:b/>
          <w:bCs/>
          <w:u w:val="single"/>
        </w:rPr>
        <w:t xml:space="preserve">before </w:t>
      </w:r>
      <w:r w:rsidRPr="00101850">
        <w:t>contacting the Service Desk (SD).</w:t>
      </w:r>
    </w:p>
    <w:p w14:paraId="617F3131" w14:textId="77777777" w:rsidR="00B76AAF" w:rsidRPr="00101850" w:rsidRDefault="00B76AAF" w:rsidP="00B76AAF">
      <w:pPr>
        <w:keepNext/>
        <w:pBdr>
          <w:top w:val="single" w:sz="4" w:space="1" w:color="auto"/>
          <w:left w:val="single" w:sz="4" w:space="4" w:color="auto"/>
          <w:bottom w:val="single" w:sz="4" w:space="1" w:color="auto"/>
          <w:right w:val="single" w:sz="4" w:space="4" w:color="auto"/>
        </w:pBdr>
        <w:spacing w:before="240" w:after="60"/>
        <w:rPr>
          <w:b/>
          <w:bCs/>
        </w:rPr>
      </w:pPr>
      <w:r w:rsidRPr="00101850">
        <w:rPr>
          <w:b/>
          <w:noProof/>
        </w:rPr>
        <w:drawing>
          <wp:inline distT="0" distB="0" distL="0" distR="0" wp14:anchorId="050504B3" wp14:editId="2C91EA05">
            <wp:extent cx="266700" cy="219075"/>
            <wp:effectExtent l="0" t="0" r="0" b="9525"/>
            <wp:docPr id="1152" name="Picture 1152" descr="Cau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2" name="Picture 1152" descr="Caution icon"/>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66700" cy="219075"/>
                    </a:xfrm>
                    <a:prstGeom prst="rect">
                      <a:avLst/>
                    </a:prstGeom>
                    <a:noFill/>
                    <a:ln>
                      <a:noFill/>
                    </a:ln>
                  </pic:spPr>
                </pic:pic>
              </a:graphicData>
            </a:graphic>
          </wp:inline>
        </w:drawing>
      </w:r>
      <w:r w:rsidRPr="00101850">
        <w:rPr>
          <w:b/>
          <w:bCs/>
        </w:rPr>
        <w:t xml:space="preserve">Please ensure local/regional VistA Support contact information is available at all times. </w:t>
      </w:r>
    </w:p>
    <w:p w14:paraId="678F1ABC" w14:textId="77777777" w:rsidR="00B76AAF" w:rsidRPr="00101850" w:rsidRDefault="00B76AAF" w:rsidP="00B76AAF">
      <w:pPr>
        <w:keepNext/>
        <w:pBdr>
          <w:top w:val="single" w:sz="4" w:space="1" w:color="auto"/>
          <w:left w:val="single" w:sz="4" w:space="4" w:color="auto"/>
          <w:bottom w:val="single" w:sz="4" w:space="1" w:color="auto"/>
          <w:right w:val="single" w:sz="4" w:space="4" w:color="auto"/>
        </w:pBdr>
        <w:spacing w:before="240" w:after="60"/>
        <w:rPr>
          <w:b/>
          <w:bCs/>
        </w:rPr>
      </w:pPr>
      <w:r w:rsidRPr="00101850">
        <w:rPr>
          <w:b/>
          <w:bCs/>
        </w:rPr>
        <w:t>If you experience an FDA reportable adverse event (patient death or serious injury) that VBECS may have caused or contributed to, contact the Service Desk directly to enter a ticket for Blood Bank software support.</w:t>
      </w:r>
      <w:r w:rsidRPr="00101850">
        <w:rPr>
          <w:b/>
          <w:bCs/>
          <w:vanish/>
        </w:rPr>
        <w:t xml:space="preserve"> </w:t>
      </w:r>
    </w:p>
    <w:p w14:paraId="78019AC0" w14:textId="77777777" w:rsidR="00B76AAF" w:rsidRDefault="00B76AAF" w:rsidP="00B76AAF">
      <w:pPr>
        <w:pStyle w:val="BodyText"/>
        <w:rPr>
          <w:b/>
          <w:noProof/>
        </w:rPr>
      </w:pPr>
    </w:p>
    <w:p w14:paraId="709AACA3" w14:textId="77777777" w:rsidR="00B76AAF" w:rsidRPr="00101850" w:rsidRDefault="00B76AAF" w:rsidP="00B76AAF">
      <w:pPr>
        <w:pStyle w:val="BodyText"/>
        <w:rPr>
          <w:b/>
          <w:noProof/>
        </w:rPr>
      </w:pPr>
      <w:r w:rsidRPr="00101850">
        <w:rPr>
          <w:b/>
          <w:noProof/>
        </w:rPr>
        <w:t>Service Desk</w:t>
      </w:r>
      <w:r w:rsidRPr="00101850">
        <w:rPr>
          <w:b/>
        </w:rPr>
        <w:fldChar w:fldCharType="begin"/>
      </w:r>
      <w:r w:rsidRPr="00101850">
        <w:rPr>
          <w:b/>
          <w:noProof/>
        </w:rPr>
        <w:instrText xml:space="preserve"> XE "Service Desk" </w:instrText>
      </w:r>
      <w:r w:rsidRPr="00101850">
        <w:rPr>
          <w:b/>
        </w:rPr>
        <w:fldChar w:fldCharType="end"/>
      </w:r>
      <w:r w:rsidRPr="00101850">
        <w:rPr>
          <w:b/>
          <w:noProof/>
        </w:rPr>
        <w:t xml:space="preserve"> Contact</w:t>
      </w:r>
    </w:p>
    <w:p w14:paraId="78DDD0D6" w14:textId="3063B88D" w:rsidR="00B76AAF" w:rsidRPr="00101850" w:rsidRDefault="00B76AAF" w:rsidP="00B76AAF">
      <w:pPr>
        <w:pStyle w:val="BodyText"/>
      </w:pPr>
      <w:r>
        <w:t>Call</w:t>
      </w:r>
      <w:r w:rsidRPr="00101850">
        <w:t xml:space="preserve"> the Service Desk </w:t>
      </w:r>
      <w:r w:rsidR="001E0C47" w:rsidRPr="001E0C47">
        <w:rPr>
          <w:highlight w:val="yellow"/>
        </w:rPr>
        <w:t>REDACTED</w:t>
      </w:r>
    </w:p>
    <w:p w14:paraId="48AE7282" w14:textId="17ADF6CA" w:rsidR="00384BF1" w:rsidRDefault="00B76AAF" w:rsidP="006812BC">
      <w:pPr>
        <w:pStyle w:val="BodyText"/>
      </w:pPr>
      <w:r>
        <w:t>Refer to the</w:t>
      </w:r>
      <w:r w:rsidRPr="003603A3">
        <w:t xml:space="preserve"> </w:t>
      </w:r>
      <w:r w:rsidR="001E0C47" w:rsidRPr="001E0C47">
        <w:rPr>
          <w:highlight w:val="yellow"/>
        </w:rPr>
        <w:t>REDACTED</w:t>
      </w:r>
      <w:r w:rsidRPr="003603A3">
        <w:t xml:space="preserve"> on </w:t>
      </w:r>
      <w:r>
        <w:t>the VBECS</w:t>
      </w:r>
      <w:r w:rsidRPr="003603A3">
        <w:t xml:space="preserve"> SharePoint site </w:t>
      </w:r>
      <w:r>
        <w:t>for up-to-date information about contacting the Service Desk</w:t>
      </w:r>
      <w:r w:rsidRPr="003603A3">
        <w:t>.</w:t>
      </w:r>
    </w:p>
    <w:p w14:paraId="2C2BE591" w14:textId="0E881B7F" w:rsidR="009D5860" w:rsidRDefault="00E3308E" w:rsidP="009D5860">
      <w:pPr>
        <w:pStyle w:val="Heading2"/>
      </w:pPr>
      <w:bookmarkStart w:id="35" w:name="_Toc203765814"/>
      <w:r>
        <w:lastRenderedPageBreak/>
        <w:t>Requesting New VBECS Features or Functionality</w:t>
      </w:r>
      <w:bookmarkEnd w:id="35"/>
    </w:p>
    <w:p w14:paraId="674829E1" w14:textId="2B31A93A" w:rsidR="009A233B" w:rsidRPr="00E3308E" w:rsidRDefault="00E3308E" w:rsidP="009A233B">
      <w:pPr>
        <w:rPr>
          <w:sz w:val="22"/>
          <w:szCs w:val="22"/>
        </w:rPr>
      </w:pPr>
      <w:r>
        <w:rPr>
          <w:sz w:val="22"/>
          <w:szCs w:val="22"/>
        </w:rPr>
        <w:t>Requesting new features or functionality for VBECS is done through a New Service Request. To get the process started, please contact VBECS Customer Support by referring to</w:t>
      </w:r>
      <w:r w:rsidR="009A233B" w:rsidRPr="00E3308E">
        <w:rPr>
          <w:sz w:val="22"/>
          <w:szCs w:val="22"/>
        </w:rPr>
        <w:t xml:space="preserve"> the </w:t>
      </w:r>
      <w:hyperlink r:id="rId26" w:history="1">
        <w:r w:rsidR="009A233B" w:rsidRPr="00E3308E">
          <w:rPr>
            <w:rStyle w:val="Hyperlink"/>
            <w:sz w:val="22"/>
            <w:szCs w:val="22"/>
          </w:rPr>
          <w:t>VBECS Getting Help page</w:t>
        </w:r>
      </w:hyperlink>
      <w:r w:rsidR="009A233B" w:rsidRPr="00E3308E">
        <w:rPr>
          <w:sz w:val="22"/>
          <w:szCs w:val="22"/>
        </w:rPr>
        <w:t>.</w:t>
      </w:r>
      <w:r w:rsidR="0086442B" w:rsidRPr="00E3308E">
        <w:rPr>
          <w:sz w:val="22"/>
          <w:szCs w:val="22"/>
        </w:rPr>
        <w:t xml:space="preserve"> </w:t>
      </w:r>
      <w:r>
        <w:rPr>
          <w:sz w:val="22"/>
          <w:szCs w:val="22"/>
        </w:rPr>
        <w:t>A VBECS customer support technician will work with you to gather the technical details and verify if a similar change has been previously requested</w:t>
      </w:r>
      <w:r w:rsidR="0086442B" w:rsidRPr="00E3308E">
        <w:rPr>
          <w:sz w:val="22"/>
          <w:szCs w:val="22"/>
        </w:rPr>
        <w:t>.</w:t>
      </w:r>
    </w:p>
    <w:p w14:paraId="43AEB071" w14:textId="61F9D6B3" w:rsidR="002A21AE" w:rsidRPr="00963680" w:rsidRDefault="002A21AE" w:rsidP="00826461">
      <w:pPr>
        <w:pStyle w:val="Heading1"/>
      </w:pPr>
      <w:bookmarkStart w:id="36" w:name="_Toc203765815"/>
      <w:r w:rsidRPr="00963680">
        <w:t>Using the Software</w:t>
      </w:r>
      <w:bookmarkEnd w:id="36"/>
      <w:r w:rsidRPr="00963680">
        <w:fldChar w:fldCharType="begin"/>
      </w:r>
      <w:r w:rsidRPr="00963680">
        <w:instrText xml:space="preserve"> XE </w:instrText>
      </w:r>
      <w:r w:rsidR="00FA7E65" w:rsidRPr="00963680">
        <w:instrText>“</w:instrText>
      </w:r>
      <w:r w:rsidRPr="00963680">
        <w:instrText>Using the Software</w:instrText>
      </w:r>
      <w:r w:rsidR="00FA7E65" w:rsidRPr="00963680">
        <w:instrText>”</w:instrText>
      </w:r>
      <w:r w:rsidRPr="00963680">
        <w:instrText xml:space="preserve"> </w:instrText>
      </w:r>
      <w:r w:rsidRPr="00963680">
        <w:fldChar w:fldCharType="end"/>
      </w:r>
    </w:p>
    <w:p w14:paraId="1FB3C867" w14:textId="77777777" w:rsidR="002A21AE" w:rsidRDefault="002A21AE" w:rsidP="00FA7E65">
      <w:pPr>
        <w:pStyle w:val="BodyText"/>
      </w:pPr>
      <w:r w:rsidRPr="00963680">
        <w:t>Using the Software explains:</w:t>
      </w:r>
    </w:p>
    <w:p w14:paraId="4F1BD9BB" w14:textId="77777777" w:rsidR="002A21AE" w:rsidRDefault="002A21AE">
      <w:pPr>
        <w:pStyle w:val="ListBullet"/>
      </w:pPr>
      <w:r>
        <w:t xml:space="preserve">How to access VBECS and </w:t>
      </w:r>
      <w:r w:rsidR="000C7684" w:rsidRPr="000C7684">
        <w:rPr>
          <w:bCs/>
        </w:rPr>
        <w:t>VistA</w:t>
      </w:r>
    </w:p>
    <w:p w14:paraId="7A7CAB41" w14:textId="77777777" w:rsidR="002A21AE" w:rsidRDefault="002A21AE">
      <w:pPr>
        <w:pStyle w:val="ListBullet"/>
      </w:pPr>
      <w:r>
        <w:t>What users will see on the screen</w:t>
      </w:r>
    </w:p>
    <w:p w14:paraId="1BC2D207" w14:textId="77777777" w:rsidR="002A21AE" w:rsidRDefault="002A21AE">
      <w:pPr>
        <w:pStyle w:val="ListBullet"/>
      </w:pPr>
      <w:r>
        <w:t>What the icons and other symbols mean</w:t>
      </w:r>
    </w:p>
    <w:p w14:paraId="1C00224C" w14:textId="77777777" w:rsidR="002A21AE" w:rsidRDefault="002A21AE">
      <w:pPr>
        <w:pStyle w:val="ListBullet"/>
      </w:pPr>
      <w:r>
        <w:t>Which conventions are used in this guide</w:t>
      </w:r>
    </w:p>
    <w:p w14:paraId="4C308996" w14:textId="206DD8F2" w:rsidR="002A21AE" w:rsidRDefault="002A21AE">
      <w:pPr>
        <w:pStyle w:val="ListBullet"/>
      </w:pPr>
      <w:r>
        <w:t xml:space="preserve">How to exit VBECS </w:t>
      </w:r>
    </w:p>
    <w:p w14:paraId="7D1B205F" w14:textId="77777777" w:rsidR="002A21AE" w:rsidRDefault="002A21AE">
      <w:pPr>
        <w:pStyle w:val="Heading2"/>
      </w:pPr>
      <w:bookmarkStart w:id="37" w:name="_Toc78678591"/>
      <w:bookmarkStart w:id="38" w:name="_Toc203765816"/>
      <w:r>
        <w:t>Software Basics</w:t>
      </w:r>
      <w:bookmarkEnd w:id="37"/>
      <w:bookmarkEnd w:id="38"/>
      <w:r>
        <w:fldChar w:fldCharType="begin"/>
      </w:r>
      <w:r>
        <w:instrText xml:space="preserve"> XE </w:instrText>
      </w:r>
      <w:r w:rsidR="00FA7E65">
        <w:instrText>“</w:instrText>
      </w:r>
      <w:r>
        <w:instrText>Software Basics</w:instrText>
      </w:r>
      <w:r w:rsidR="00FA7E65">
        <w:instrText>”</w:instrText>
      </w:r>
      <w:r>
        <w:instrText xml:space="preserve"> </w:instrText>
      </w:r>
      <w:r>
        <w:fldChar w:fldCharType="end"/>
      </w:r>
    </w:p>
    <w:p w14:paraId="14B5D766" w14:textId="2632D34D" w:rsidR="00045762" w:rsidRDefault="00045762" w:rsidP="00045762">
      <w:pPr>
        <w:pStyle w:val="ListBullet"/>
      </w:pPr>
      <w:r>
        <w:t xml:space="preserve">When a message window requires a user response and VBECS displays it </w:t>
      </w:r>
      <w:r w:rsidRPr="00BA627C">
        <w:t xml:space="preserve">behind the active window, the user must minimize the active window </w:t>
      </w:r>
      <w:r>
        <w:t xml:space="preserve">or </w:t>
      </w:r>
      <w:r w:rsidRPr="00BA627C">
        <w:t xml:space="preserve">click and drag dialog boxes to expose the </w:t>
      </w:r>
      <w:r>
        <w:t>message window</w:t>
      </w:r>
      <w:r w:rsidR="00A4315F">
        <w:t>.</w:t>
      </w:r>
    </w:p>
    <w:p w14:paraId="06939553" w14:textId="77777777" w:rsidR="002A21AE" w:rsidRDefault="002A21AE">
      <w:pPr>
        <w:pStyle w:val="ListBullet"/>
      </w:pPr>
      <w:r>
        <w:t xml:space="preserve">A user may click </w:t>
      </w:r>
      <w:r>
        <w:rPr>
          <w:b/>
        </w:rPr>
        <w:t>Cancel</w:t>
      </w:r>
      <w:r>
        <w:t xml:space="preserve">, </w:t>
      </w:r>
      <w:r>
        <w:rPr>
          <w:b/>
        </w:rPr>
        <w:t>Close</w:t>
      </w:r>
      <w:r>
        <w:t xml:space="preserve">, or </w:t>
      </w:r>
      <w:r w:rsidRPr="00D1343E">
        <w:rPr>
          <w:rStyle w:val="BodyTextChar"/>
          <w:rFonts w:ascii="Wingdings 2" w:hAnsi="Wingdings 2"/>
          <w:b/>
        </w:rPr>
        <w:t></w:t>
      </w:r>
      <w:r>
        <w:t xml:space="preserve"> in the upper right corner at any time to exit without saving.</w:t>
      </w:r>
    </w:p>
    <w:p w14:paraId="66D444C7" w14:textId="77777777" w:rsidR="002A21AE" w:rsidRDefault="002A21AE">
      <w:pPr>
        <w:pStyle w:val="ListBullet"/>
      </w:pPr>
      <w:r>
        <w:t>All operations depend on the user being logged into the appropriate division.</w:t>
      </w:r>
    </w:p>
    <w:p w14:paraId="785F65E6" w14:textId="4188C5A2" w:rsidR="002A21AE" w:rsidRDefault="002A21AE">
      <w:pPr>
        <w:pStyle w:val="ListBullet"/>
      </w:pPr>
      <w:r>
        <w:t>A user may click a column heading to resort the items in that column</w:t>
      </w:r>
      <w:r w:rsidR="00A76428">
        <w:t xml:space="preserve"> (</w:t>
      </w:r>
      <w:r w:rsidR="00EE455E">
        <w:t xml:space="preserve">Figure </w:t>
      </w:r>
      <w:r w:rsidR="00EE455E">
        <w:rPr>
          <w:noProof/>
        </w:rPr>
        <w:t>1</w:t>
      </w:r>
      <w:r w:rsidR="00A76428">
        <w:t xml:space="preserve"> and </w:t>
      </w:r>
      <w:r w:rsidR="00EE455E">
        <w:t xml:space="preserve">Figure </w:t>
      </w:r>
      <w:r w:rsidR="00EE455E">
        <w:rPr>
          <w:noProof/>
        </w:rPr>
        <w:t>2</w:t>
      </w:r>
      <w:r w:rsidR="00A76428">
        <w:t>)</w:t>
      </w:r>
      <w:r>
        <w:t>.</w:t>
      </w:r>
    </w:p>
    <w:p w14:paraId="7ED52010" w14:textId="77777777" w:rsidR="00163C35" w:rsidRDefault="002A21AE" w:rsidP="00163C35">
      <w:pPr>
        <w:pStyle w:val="ListBullet"/>
      </w:pPr>
      <w:r>
        <w:rPr>
          <w:vanish/>
          <w:spacing w:val="0"/>
        </w:rPr>
        <w:t xml:space="preserve">BR_2.48 </w:t>
      </w:r>
      <w:r>
        <w:t>Reaction results entries are allowed for only those reagents defined as part of the reagent rack</w:t>
      </w:r>
      <w:r w:rsidR="00F53A23">
        <w:t>.</w:t>
      </w:r>
    </w:p>
    <w:p w14:paraId="513BFB39" w14:textId="41CE55C4" w:rsidR="002A21AE" w:rsidRDefault="002A21AE">
      <w:pPr>
        <w:pStyle w:val="ListBullet"/>
      </w:pPr>
      <w:r>
        <w:t>Select a date from the calendar in the drop-down list to edit a date, or click each part of the date to edit the date and time</w:t>
      </w:r>
      <w:r w:rsidR="00F2615F">
        <w:t xml:space="preserve"> (</w:t>
      </w:r>
      <w:r w:rsidR="00EE455E">
        <w:t xml:space="preserve">Figure </w:t>
      </w:r>
      <w:r w:rsidR="00EE455E">
        <w:rPr>
          <w:noProof/>
        </w:rPr>
        <w:t>3</w:t>
      </w:r>
      <w:r w:rsidR="00622085">
        <w:t xml:space="preserve"> and</w:t>
      </w:r>
      <w:r w:rsidR="00DB4AE0">
        <w:rPr>
          <w:b/>
        </w:rPr>
        <w:t xml:space="preserve"> </w:t>
      </w:r>
      <w:r w:rsidR="00EE455E">
        <w:t xml:space="preserve">Figure </w:t>
      </w:r>
      <w:r w:rsidR="00EE455E">
        <w:rPr>
          <w:noProof/>
        </w:rPr>
        <w:t>4</w:t>
      </w:r>
      <w:r w:rsidR="00622085">
        <w:t>).</w:t>
      </w:r>
    </w:p>
    <w:p w14:paraId="0521ABD4" w14:textId="77777777" w:rsidR="000C156B" w:rsidRPr="00AA4AB6" w:rsidRDefault="007F6441" w:rsidP="000C156B">
      <w:pPr>
        <w:pStyle w:val="ListBullet"/>
      </w:pPr>
      <w:r>
        <w:rPr>
          <w:rFonts w:eastAsia="Arial Unicode MS"/>
        </w:rPr>
        <w:t>Labels shown in figures</w:t>
      </w:r>
      <w:r w:rsidR="000C156B">
        <w:rPr>
          <w:rFonts w:eastAsia="Arial Unicode MS"/>
        </w:rPr>
        <w:t xml:space="preserve"> are visual aids only and do not represent actual labels</w:t>
      </w:r>
      <w:r>
        <w:rPr>
          <w:rFonts w:eastAsia="Arial Unicode MS"/>
        </w:rPr>
        <w:t>.</w:t>
      </w:r>
    </w:p>
    <w:p w14:paraId="09B1C660" w14:textId="77777777" w:rsidR="00023520" w:rsidRPr="002B06B2" w:rsidRDefault="00057948" w:rsidP="002B06B2">
      <w:pPr>
        <w:pStyle w:val="Caution"/>
      </w:pPr>
      <w:r>
        <w:rPr>
          <w:noProof/>
        </w:rPr>
        <w:drawing>
          <wp:inline distT="0" distB="0" distL="0" distR="0" wp14:anchorId="58C7CF6F" wp14:editId="34446CC9">
            <wp:extent cx="267970" cy="221615"/>
            <wp:effectExtent l="0" t="0" r="0" b="6985"/>
            <wp:docPr id="18" name="Picture 18" descr="Cau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Caution icon"/>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67970" cy="221615"/>
                    </a:xfrm>
                    <a:prstGeom prst="rect">
                      <a:avLst/>
                    </a:prstGeom>
                    <a:noFill/>
                    <a:ln>
                      <a:noFill/>
                    </a:ln>
                  </pic:spPr>
                </pic:pic>
              </a:graphicData>
            </a:graphic>
          </wp:inline>
        </w:drawing>
      </w:r>
      <w:r w:rsidR="003640CD">
        <w:t xml:space="preserve"> </w:t>
      </w:r>
      <w:r w:rsidR="002B06B2">
        <w:t>Although t</w:t>
      </w:r>
      <w:r w:rsidR="00023520" w:rsidRPr="002B06B2">
        <w:t>he copy-and-paste function is enabled</w:t>
      </w:r>
      <w:r w:rsidR="002B06B2">
        <w:t>, do</w:t>
      </w:r>
      <w:r w:rsidR="00023520" w:rsidRPr="002B06B2">
        <w:t xml:space="preserve"> not use it to enter patient identification information. </w:t>
      </w:r>
      <w:r w:rsidR="005A68C1">
        <w:t>It is highly</w:t>
      </w:r>
      <w:r w:rsidR="00023520" w:rsidRPr="002B06B2">
        <w:t xml:space="preserve"> recommend</w:t>
      </w:r>
      <w:r w:rsidR="005A68C1">
        <w:t>ed</w:t>
      </w:r>
      <w:r w:rsidR="00023520" w:rsidRPr="002B06B2">
        <w:t xml:space="preserve"> that the user scan this information when possible</w:t>
      </w:r>
      <w:r w:rsidR="002B06B2">
        <w:t>;</w:t>
      </w:r>
      <w:r w:rsidR="00023520" w:rsidRPr="002B06B2">
        <w:t xml:space="preserve"> otherwise</w:t>
      </w:r>
      <w:r w:rsidR="002B06B2">
        <w:t>,</w:t>
      </w:r>
      <w:r w:rsidR="00A137C8">
        <w:t xml:space="preserve"> enter it</w:t>
      </w:r>
      <w:r w:rsidR="00A137C8" w:rsidRPr="00703B36">
        <w:rPr>
          <w:vanish/>
        </w:rPr>
        <w:t xml:space="preserve"> </w:t>
      </w:r>
      <w:r w:rsidR="00C83CF0" w:rsidRPr="002B06B2">
        <w:rPr>
          <w:vanish/>
        </w:rPr>
        <w:t>(DR 2,519)</w:t>
      </w:r>
      <w:r w:rsidR="00C83CF0" w:rsidRPr="002B06B2">
        <w:t>.</w:t>
      </w:r>
    </w:p>
    <w:p w14:paraId="0413FF1C" w14:textId="1BA9C952" w:rsidR="001A234F" w:rsidRDefault="001A234F" w:rsidP="00A76428">
      <w:pPr>
        <w:pStyle w:val="Caption"/>
        <w:tabs>
          <w:tab w:val="left" w:pos="4860"/>
        </w:tabs>
      </w:pPr>
      <w:bookmarkStart w:id="39" w:name="_Ref126482360"/>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7D1829">
        <w:rPr>
          <w:noProof/>
        </w:rPr>
        <w:t>1</w:t>
      </w:r>
      <w:r w:rsidR="004E20BD">
        <w:rPr>
          <w:noProof/>
        </w:rPr>
        <w:fldChar w:fldCharType="end"/>
      </w:r>
      <w:bookmarkEnd w:id="39"/>
      <w:r w:rsidR="002418C9">
        <w:t>: Click to Sort by Patient Name</w:t>
      </w:r>
    </w:p>
    <w:p w14:paraId="0E2E8B6C" w14:textId="77777777" w:rsidR="000A2260" w:rsidRDefault="00057948" w:rsidP="000A2260">
      <w:pPr>
        <w:pStyle w:val="BodyText"/>
      </w:pPr>
      <w:r>
        <w:rPr>
          <w:noProof/>
        </w:rPr>
        <w:drawing>
          <wp:inline distT="0" distB="0" distL="0" distR="0" wp14:anchorId="03499D5E" wp14:editId="6101AED4">
            <wp:extent cx="5486400" cy="1597660"/>
            <wp:effectExtent l="0" t="0" r="0" b="2540"/>
            <wp:docPr id="19" name="Picture 19" descr="Click to Sort by Patient Name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Click to Sort by Patient Name screen captur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486400" cy="1597660"/>
                    </a:xfrm>
                    <a:prstGeom prst="rect">
                      <a:avLst/>
                    </a:prstGeom>
                    <a:noFill/>
                    <a:ln>
                      <a:noFill/>
                    </a:ln>
                  </pic:spPr>
                </pic:pic>
              </a:graphicData>
            </a:graphic>
          </wp:inline>
        </w:drawing>
      </w:r>
    </w:p>
    <w:p w14:paraId="2AA77531" w14:textId="00293559" w:rsidR="00730FE6" w:rsidRDefault="0086195D" w:rsidP="00AA6FFB">
      <w:pPr>
        <w:pStyle w:val="Caption"/>
        <w:tabs>
          <w:tab w:val="left" w:pos="4860"/>
        </w:tabs>
      </w:pPr>
      <w:bookmarkStart w:id="40" w:name="_Ref126482369"/>
      <w:bookmarkStart w:id="41" w:name="_Ref126467446"/>
      <w:bookmarkStart w:id="42" w:name="_Ref126467503"/>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7D1829">
        <w:rPr>
          <w:noProof/>
        </w:rPr>
        <w:t>2</w:t>
      </w:r>
      <w:r w:rsidR="004E20BD">
        <w:rPr>
          <w:noProof/>
        </w:rPr>
        <w:fldChar w:fldCharType="end"/>
      </w:r>
      <w:bookmarkEnd w:id="40"/>
      <w:r>
        <w:t>: Click to Sort by Request</w:t>
      </w:r>
    </w:p>
    <w:p w14:paraId="7547B329" w14:textId="77777777" w:rsidR="0086195D" w:rsidRDefault="00057948" w:rsidP="00A542EE">
      <w:pPr>
        <w:pStyle w:val="BodyText"/>
      </w:pPr>
      <w:r>
        <w:rPr>
          <w:b/>
          <w:noProof/>
        </w:rPr>
        <w:drawing>
          <wp:inline distT="0" distB="0" distL="0" distR="0" wp14:anchorId="7E56F6B3" wp14:editId="4108BB4D">
            <wp:extent cx="5486400" cy="1597660"/>
            <wp:effectExtent l="0" t="0" r="0" b="2540"/>
            <wp:docPr id="20" name="Picture 20" descr="Click to Sort by Request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Click to Sort by Request screen captur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486400" cy="1597660"/>
                    </a:xfrm>
                    <a:prstGeom prst="rect">
                      <a:avLst/>
                    </a:prstGeom>
                    <a:noFill/>
                    <a:ln>
                      <a:noFill/>
                    </a:ln>
                  </pic:spPr>
                </pic:pic>
              </a:graphicData>
            </a:graphic>
          </wp:inline>
        </w:drawing>
      </w:r>
    </w:p>
    <w:p w14:paraId="5AB12E58" w14:textId="77777777" w:rsidR="00A542EE" w:rsidRDefault="00A542EE" w:rsidP="00AA6FFB">
      <w:pPr>
        <w:pStyle w:val="Caption"/>
        <w:tabs>
          <w:tab w:val="left" w:pos="4860"/>
        </w:tabs>
        <w:sectPr w:rsidR="00A542EE" w:rsidSect="00EE771C">
          <w:footerReference w:type="default" r:id="rId29"/>
          <w:pgSz w:w="12240" w:h="15840" w:code="1"/>
          <w:pgMar w:top="1440" w:right="1440" w:bottom="1440" w:left="1440" w:header="720" w:footer="720" w:gutter="0"/>
          <w:pgNumType w:start="1"/>
          <w:cols w:space="720"/>
          <w:docGrid w:linePitch="360"/>
        </w:sectPr>
      </w:pPr>
    </w:p>
    <w:p w14:paraId="5A4BC8F3" w14:textId="038C4498" w:rsidR="00A542EE" w:rsidRDefault="008F3522" w:rsidP="00EE11ED">
      <w:pPr>
        <w:pStyle w:val="Caption"/>
      </w:pPr>
      <w:bookmarkStart w:id="43" w:name="_Ref126483157"/>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7D1829">
        <w:rPr>
          <w:noProof/>
        </w:rPr>
        <w:t>3</w:t>
      </w:r>
      <w:r w:rsidR="004E20BD">
        <w:rPr>
          <w:noProof/>
        </w:rPr>
        <w:fldChar w:fldCharType="end"/>
      </w:r>
      <w:bookmarkEnd w:id="41"/>
      <w:bookmarkEnd w:id="43"/>
      <w:r>
        <w:t>: Select a Date from the Calendar</w:t>
      </w:r>
    </w:p>
    <w:p w14:paraId="2868EA18" w14:textId="77777777" w:rsidR="004D098F" w:rsidRDefault="00057948" w:rsidP="007C191F">
      <w:pPr>
        <w:pStyle w:val="BodyText"/>
      </w:pPr>
      <w:bookmarkStart w:id="44" w:name="_Ref126483168"/>
      <w:r>
        <w:rPr>
          <w:noProof/>
        </w:rPr>
        <w:drawing>
          <wp:inline distT="0" distB="0" distL="0" distR="0" wp14:anchorId="53B89FAD" wp14:editId="2FA1C899">
            <wp:extent cx="1939925" cy="1958340"/>
            <wp:effectExtent l="0" t="0" r="3175" b="3810"/>
            <wp:docPr id="21" name="Picture 21" descr="Select a Date from the Calendar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Select a Date from the Calendar screen cap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939925" cy="1958340"/>
                    </a:xfrm>
                    <a:prstGeom prst="rect">
                      <a:avLst/>
                    </a:prstGeom>
                    <a:noFill/>
                    <a:ln>
                      <a:noFill/>
                    </a:ln>
                  </pic:spPr>
                </pic:pic>
              </a:graphicData>
            </a:graphic>
          </wp:inline>
        </w:drawing>
      </w:r>
    </w:p>
    <w:p w14:paraId="5BE97010" w14:textId="77777777" w:rsidR="00250F92" w:rsidRDefault="00250F92" w:rsidP="007C191F">
      <w:pPr>
        <w:pStyle w:val="BodyText"/>
      </w:pPr>
    </w:p>
    <w:p w14:paraId="5E6520E1" w14:textId="2DBEC143" w:rsidR="007952C0" w:rsidRDefault="007952C0" w:rsidP="007952C0">
      <w:pPr>
        <w:pStyle w:val="Caption"/>
      </w:pPr>
      <w:bookmarkStart w:id="45" w:name="_Ref524523891"/>
      <w:bookmarkEnd w:id="42"/>
      <w:bookmarkEnd w:id="44"/>
      <w:r>
        <w:t xml:space="preserve">Figure </w:t>
      </w:r>
      <w:r>
        <w:rPr>
          <w:noProof/>
        </w:rPr>
        <w:fldChar w:fldCharType="begin"/>
      </w:r>
      <w:r>
        <w:rPr>
          <w:noProof/>
        </w:rPr>
        <w:instrText xml:space="preserve"> SEQ Figure \* ARABIC </w:instrText>
      </w:r>
      <w:r>
        <w:rPr>
          <w:noProof/>
        </w:rPr>
        <w:fldChar w:fldCharType="separate"/>
      </w:r>
      <w:r w:rsidR="007D1829">
        <w:rPr>
          <w:noProof/>
        </w:rPr>
        <w:t>4</w:t>
      </w:r>
      <w:r>
        <w:rPr>
          <w:noProof/>
        </w:rPr>
        <w:fldChar w:fldCharType="end"/>
      </w:r>
      <w:bookmarkEnd w:id="45"/>
      <w:r>
        <w:t>: Edit the Date and Time</w:t>
      </w:r>
    </w:p>
    <w:p w14:paraId="68AB3E03" w14:textId="77777777" w:rsidR="007952C0" w:rsidRPr="00207521" w:rsidRDefault="007952C0" w:rsidP="007952C0">
      <w:pPr>
        <w:pStyle w:val="BodyText"/>
      </w:pPr>
      <w:r>
        <w:rPr>
          <w:noProof/>
        </w:rPr>
        <w:drawing>
          <wp:inline distT="0" distB="0" distL="0" distR="0" wp14:anchorId="0C76F6F9" wp14:editId="6ED165F0">
            <wp:extent cx="1450340" cy="563245"/>
            <wp:effectExtent l="0" t="0" r="0" b="8255"/>
            <wp:docPr id="6" name="Picture 6" descr="Edit the Date and Time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Edit the Date and Time screen captur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450340" cy="563245"/>
                    </a:xfrm>
                    <a:prstGeom prst="rect">
                      <a:avLst/>
                    </a:prstGeom>
                    <a:noFill/>
                    <a:ln>
                      <a:noFill/>
                    </a:ln>
                  </pic:spPr>
                </pic:pic>
              </a:graphicData>
            </a:graphic>
          </wp:inline>
        </w:drawing>
      </w:r>
    </w:p>
    <w:p w14:paraId="6B2AE653" w14:textId="77777777" w:rsidR="006C79C7" w:rsidRDefault="006C79C7">
      <w:pPr>
        <w:rPr>
          <w:rFonts w:ascii="Arial" w:hAnsi="Arial" w:cs="Arial"/>
          <w:b/>
          <w:bCs/>
          <w:i/>
          <w:iCs/>
          <w:sz w:val="28"/>
          <w:szCs w:val="28"/>
        </w:rPr>
      </w:pPr>
      <w:r>
        <w:br w:type="page"/>
      </w:r>
    </w:p>
    <w:p w14:paraId="4B7F864E" w14:textId="2573EBD4" w:rsidR="00C47F9D" w:rsidRDefault="00C47F9D" w:rsidP="00C47F9D">
      <w:pPr>
        <w:pStyle w:val="Heading2"/>
      </w:pPr>
      <w:bookmarkStart w:id="46" w:name="_Toc203765817"/>
      <w:r>
        <w:lastRenderedPageBreak/>
        <w:t>Commonly Used System Rules</w:t>
      </w:r>
      <w:bookmarkEnd w:id="46"/>
      <w:r>
        <w:fldChar w:fldCharType="begin"/>
      </w:r>
      <w:r>
        <w:instrText xml:space="preserve"> XE "</w:instrText>
      </w:r>
      <w:r w:rsidRPr="003536AD">
        <w:instrText>Commonly Used System Rules</w:instrText>
      </w:r>
      <w:r>
        <w:instrText xml:space="preserve">" </w:instrText>
      </w:r>
      <w:r>
        <w:fldChar w:fldCharType="end"/>
      </w:r>
    </w:p>
    <w:p w14:paraId="76503300" w14:textId="77777777" w:rsidR="00C47F9D" w:rsidRDefault="00C47F9D" w:rsidP="00C47F9D">
      <w:pPr>
        <w:pStyle w:val="BodyText"/>
      </w:pPr>
      <w:r>
        <w:t>This section includes system rules that apply to several or all options.</w:t>
      </w:r>
    </w:p>
    <w:p w14:paraId="7DC190F1" w14:textId="77777777" w:rsidR="00995145" w:rsidRDefault="00995145" w:rsidP="00C47F9D">
      <w:pPr>
        <w:pStyle w:val="Heading3"/>
      </w:pPr>
      <w:bookmarkStart w:id="47" w:name="_Toc203765818"/>
      <w:r>
        <w:t>Date and Time</w:t>
      </w:r>
      <w:bookmarkEnd w:id="47"/>
      <w:r w:rsidR="00A51F68">
        <w:fldChar w:fldCharType="begin"/>
      </w:r>
      <w:r w:rsidR="00A51F68">
        <w:instrText xml:space="preserve"> XE "</w:instrText>
      </w:r>
      <w:r w:rsidR="00A51F68" w:rsidRPr="00FA7A9D">
        <w:instrText>Date and Time</w:instrText>
      </w:r>
      <w:r w:rsidR="00A51F68">
        <w:instrText xml:space="preserve">" </w:instrText>
      </w:r>
      <w:r w:rsidR="00A51F68">
        <w:fldChar w:fldCharType="end"/>
      </w:r>
    </w:p>
    <w:p w14:paraId="05E256D4" w14:textId="24FCF763" w:rsidR="00995145" w:rsidRDefault="009204CC" w:rsidP="00995145">
      <w:pPr>
        <w:pStyle w:val="ListBullet"/>
      </w:pPr>
      <w:r>
        <w:t xml:space="preserve">Users must contact the </w:t>
      </w:r>
      <w:r w:rsidR="005364D9">
        <w:t>Service</w:t>
      </w:r>
      <w:r>
        <w:t xml:space="preserve"> Desk </w:t>
      </w:r>
      <w:r w:rsidR="00995145">
        <w:t>when the date or time is incorrect.</w:t>
      </w:r>
    </w:p>
    <w:p w14:paraId="5729BE6F" w14:textId="77777777" w:rsidR="0038414C" w:rsidRDefault="0038414C" w:rsidP="0038414C">
      <w:pPr>
        <w:pStyle w:val="ListBullet"/>
      </w:pPr>
      <w:r>
        <w:t xml:space="preserve">The date, time, and time zone </w:t>
      </w:r>
      <w:r w:rsidRPr="0038414C">
        <w:t xml:space="preserve">in VBECS is defined where the blood bank is located. </w:t>
      </w:r>
      <w:r>
        <w:t>Any requests for</w:t>
      </w:r>
      <w:r w:rsidRPr="0038414C">
        <w:t xml:space="preserve"> data from </w:t>
      </w:r>
      <w:r>
        <w:t>a particul</w:t>
      </w:r>
      <w:r w:rsidR="008B2A87">
        <w:t>ar blood b</w:t>
      </w:r>
      <w:r>
        <w:t xml:space="preserve">ank </w:t>
      </w:r>
      <w:r w:rsidRPr="0038414C">
        <w:t>database will reflect the time zone where the data was created and not the time zone where the report is generated.</w:t>
      </w:r>
      <w:r>
        <w:t xml:space="preserve"> </w:t>
      </w:r>
      <w:r>
        <w:rPr>
          <w:vanish/>
        </w:rPr>
        <w:t>DR 3838</w:t>
      </w:r>
    </w:p>
    <w:p w14:paraId="777B83BC" w14:textId="5252AFD9" w:rsidR="00A51F68" w:rsidRPr="00995145" w:rsidRDefault="00063AED" w:rsidP="00995145">
      <w:pPr>
        <w:pStyle w:val="ListBullet"/>
      </w:pPr>
      <w:r>
        <w:t>Refer to</w:t>
      </w:r>
      <w:r w:rsidR="00A51F68">
        <w:t xml:space="preserve"> </w:t>
      </w:r>
      <w:r w:rsidRPr="00063AED">
        <w:rPr>
          <w:i/>
        </w:rPr>
        <w:t xml:space="preserve">VBECS </w:t>
      </w:r>
      <w:r w:rsidR="00B03BDD">
        <w:rPr>
          <w:i/>
        </w:rPr>
        <w:t>2.</w:t>
      </w:r>
      <w:r w:rsidR="005E5828">
        <w:rPr>
          <w:i/>
        </w:rPr>
        <w:t>4.0</w:t>
      </w:r>
      <w:r w:rsidR="00531617">
        <w:rPr>
          <w:i/>
        </w:rPr>
        <w:t xml:space="preserve"> </w:t>
      </w:r>
      <w:r w:rsidR="00671B56">
        <w:rPr>
          <w:i/>
        </w:rPr>
        <w:t xml:space="preserve">Admin User </w:t>
      </w:r>
      <w:r w:rsidRPr="00063AED">
        <w:rPr>
          <w:i/>
        </w:rPr>
        <w:t>Guide</w:t>
      </w:r>
      <w:r w:rsidRPr="00063AED">
        <w:t xml:space="preserve"> </w:t>
      </w:r>
      <w:r w:rsidR="00A51F68">
        <w:t>to change the time zone.</w:t>
      </w:r>
    </w:p>
    <w:p w14:paraId="21408DA1" w14:textId="77777777" w:rsidR="00A62384" w:rsidRDefault="00A62384" w:rsidP="00A62384">
      <w:pPr>
        <w:pStyle w:val="Heading3"/>
      </w:pPr>
      <w:bookmarkStart w:id="48" w:name="_Toc203765819"/>
      <w:r>
        <w:t>Working with Data</w:t>
      </w:r>
      <w:bookmarkEnd w:id="48"/>
      <w:r>
        <w:fldChar w:fldCharType="begin"/>
      </w:r>
      <w:r>
        <w:instrText xml:space="preserve"> XE </w:instrText>
      </w:r>
      <w:r w:rsidR="00FA7E65">
        <w:instrText>“</w:instrText>
      </w:r>
      <w:r>
        <w:instrText>Working with Data</w:instrText>
      </w:r>
      <w:r w:rsidR="00FA7E65">
        <w:instrText>”</w:instrText>
      </w:r>
      <w:r>
        <w:instrText xml:space="preserve"> </w:instrText>
      </w:r>
      <w:r>
        <w:fldChar w:fldCharType="end"/>
      </w:r>
    </w:p>
    <w:p w14:paraId="44861B20" w14:textId="7687B012" w:rsidR="009C003E" w:rsidRDefault="009C003E" w:rsidP="00AD73C0">
      <w:pPr>
        <w:pStyle w:val="ListBullet"/>
      </w:pPr>
      <w:r>
        <w:t>VBECS will emit an audible alert when a user exceeds the maximum character limit for a field.</w:t>
      </w:r>
      <w:r>
        <w:rPr>
          <w:vanish/>
        </w:rPr>
        <w:t xml:space="preserve"> DR 3825</w:t>
      </w:r>
    </w:p>
    <w:p w14:paraId="67CB78F5" w14:textId="77777777" w:rsidR="002B6B38" w:rsidRDefault="002B6B38" w:rsidP="002B6B38">
      <w:pPr>
        <w:pStyle w:val="ListBullet"/>
      </w:pPr>
      <w:r>
        <w:t xml:space="preserve">The user may enter interpretations and reactions in full-service facilities. The user may enter only interpretations in transfusion-only facilities. </w:t>
      </w:r>
    </w:p>
    <w:p w14:paraId="03EC4326" w14:textId="77777777" w:rsidR="0067711F" w:rsidRDefault="0067711F" w:rsidP="003B2567">
      <w:pPr>
        <w:pStyle w:val="ListBullet"/>
      </w:pPr>
      <w:r>
        <w:t>Information displayed on a</w:t>
      </w:r>
      <w:r w:rsidR="00AC7D83">
        <w:t>n active</w:t>
      </w:r>
      <w:r>
        <w:t xml:space="preserve"> window is updated with information</w:t>
      </w:r>
      <w:r w:rsidR="00AC7D83">
        <w:t xml:space="preserve"> from other options only when</w:t>
      </w:r>
      <w:r w:rsidR="00C242AA">
        <w:t xml:space="preserve"> it is refreshed (i.e., closed and reopened</w:t>
      </w:r>
      <w:r w:rsidR="00AC7D83">
        <w:t>)</w:t>
      </w:r>
      <w:r w:rsidR="00F569CC">
        <w:t xml:space="preserve"> in </w:t>
      </w:r>
      <w:r>
        <w:t xml:space="preserve">the </w:t>
      </w:r>
      <w:r w:rsidR="00AC7D83">
        <w:t>active window</w:t>
      </w:r>
      <w:r>
        <w:t>.</w:t>
      </w:r>
    </w:p>
    <w:p w14:paraId="19D8AAC0" w14:textId="77777777" w:rsidR="00A62384" w:rsidRDefault="00A62384" w:rsidP="00A62384">
      <w:pPr>
        <w:pStyle w:val="ListBullet"/>
      </w:pPr>
      <w:r>
        <w:rPr>
          <w:vanish/>
          <w:spacing w:val="0"/>
        </w:rPr>
        <w:t xml:space="preserve">BR_1.03 </w:t>
      </w:r>
      <w:r>
        <w:t>When VBECS displays a scanner icon next to a data entry field, a user may enter or scan the data.</w:t>
      </w:r>
      <w:r w:rsidR="00340676">
        <w:t xml:space="preserve"> The Caps Lock key must not be engaged.</w:t>
      </w:r>
      <w:r w:rsidR="00340676" w:rsidRPr="00340676">
        <w:rPr>
          <w:vanish/>
        </w:rPr>
        <w:t xml:space="preserve"> (DR 2,733)</w:t>
      </w:r>
      <w:r w:rsidR="00340676">
        <w:t xml:space="preserve"> </w:t>
      </w:r>
    </w:p>
    <w:p w14:paraId="281B4618" w14:textId="77777777" w:rsidR="00E83D83" w:rsidRPr="00E83D83" w:rsidRDefault="00E83D83" w:rsidP="00E83D83">
      <w:pPr>
        <w:pStyle w:val="ListBullet"/>
        <w:rPr>
          <w:spacing w:val="0"/>
        </w:rPr>
      </w:pPr>
      <w:r w:rsidRPr="00E83D83">
        <w:rPr>
          <w:vanish/>
          <w:spacing w:val="0"/>
        </w:rPr>
        <w:t xml:space="preserve">BR_1.71 </w:t>
      </w:r>
      <w:r w:rsidRPr="00E83D83">
        <w:rPr>
          <w:spacing w:val="0"/>
        </w:rPr>
        <w:t>Entry of Codabar labeled blood units is disabled.</w:t>
      </w:r>
    </w:p>
    <w:p w14:paraId="395CBEFE" w14:textId="77777777" w:rsidR="00413ECA" w:rsidRDefault="00413ECA" w:rsidP="00413ECA">
      <w:pPr>
        <w:pStyle w:val="ListBullet"/>
      </w:pPr>
      <w:r>
        <w:rPr>
          <w:vanish/>
          <w:spacing w:val="0"/>
        </w:rPr>
        <w:t xml:space="preserve">BR_28.26 </w:t>
      </w:r>
      <w:r>
        <w:t>VBECS captures all technologist IDs and the name of the technologist who displays and/or prints testing information on reports associated with entering test results on a worksheet.</w:t>
      </w:r>
    </w:p>
    <w:p w14:paraId="3617D98F" w14:textId="7D68720E" w:rsidR="00413ECA" w:rsidRDefault="00413ECA" w:rsidP="0077424C">
      <w:pPr>
        <w:pStyle w:val="ListBullet"/>
        <w:keepLines/>
      </w:pPr>
      <w:r>
        <w:rPr>
          <w:vanish/>
          <w:spacing w:val="0"/>
        </w:rPr>
        <w:t>BR_40.06</w:t>
      </w:r>
      <w:r w:rsidR="00D415FB">
        <w:rPr>
          <w:vanish/>
          <w:spacing w:val="0"/>
        </w:rPr>
        <w:t xml:space="preserve"> </w:t>
      </w:r>
      <w:r w:rsidR="004E0817">
        <w:rPr>
          <w:spacing w:val="0"/>
        </w:rPr>
        <w:t>With each valid keystroke entry in</w:t>
      </w:r>
      <w:r w:rsidR="003937C6" w:rsidRPr="004E0817">
        <w:rPr>
          <w:spacing w:val="0"/>
        </w:rPr>
        <w:t xml:space="preserve"> the antibody screen </w:t>
      </w:r>
      <w:r w:rsidR="004E0817">
        <w:rPr>
          <w:spacing w:val="0"/>
        </w:rPr>
        <w:t>and</w:t>
      </w:r>
      <w:r w:rsidR="003937C6" w:rsidRPr="004E0817">
        <w:rPr>
          <w:spacing w:val="0"/>
        </w:rPr>
        <w:t xml:space="preserve"> crossmatch test grids, VBECS moves </w:t>
      </w:r>
      <w:r>
        <w:t xml:space="preserve">the cursor from top to bottom in the </w:t>
      </w:r>
      <w:r w:rsidR="00AB4BD9">
        <w:t>far-left</w:t>
      </w:r>
      <w:r>
        <w:t xml:space="preserve"> column within the cells in which results are being entered. The cursor returns to the top cell in the next column to the right and so on across the worksheet grid. The cursor stays in the reaction results cells by default (the technologist may navigate independently) until the last entry is made in the reaction result portion of the grid</w:t>
      </w:r>
      <w:r w:rsidR="00D415FB">
        <w:t>, t</w:t>
      </w:r>
      <w:r>
        <w:t>hen the cursor moves to the first (top) interpretation cell.</w:t>
      </w:r>
    </w:p>
    <w:p w14:paraId="4C022122" w14:textId="77777777" w:rsidR="00E73E6C" w:rsidRDefault="00A32CB7" w:rsidP="00A32CB7">
      <w:pPr>
        <w:pStyle w:val="ListBullet"/>
      </w:pPr>
      <w:bookmarkStart w:id="49" w:name="OLE_LINK35"/>
      <w:bookmarkStart w:id="50" w:name="OLE_LINK36"/>
      <w:r>
        <w:t>To clear an entry in a test grid cell, press</w:t>
      </w:r>
      <w:r w:rsidR="004F3C85">
        <w:t xml:space="preserve"> the</w:t>
      </w:r>
      <w:r>
        <w:t xml:space="preserve"> </w:t>
      </w:r>
      <w:r w:rsidRPr="00A32CB7">
        <w:rPr>
          <w:b/>
        </w:rPr>
        <w:t>Backspace</w:t>
      </w:r>
      <w:r w:rsidR="004F3C85">
        <w:t xml:space="preserve"> key.</w:t>
      </w:r>
    </w:p>
    <w:p w14:paraId="08BDFB8F" w14:textId="77777777" w:rsidR="00A32CB7" w:rsidRDefault="00E73E6C" w:rsidP="00E73E6C">
      <w:pPr>
        <w:pStyle w:val="ListBullet"/>
      </w:pPr>
      <w:r>
        <w:t xml:space="preserve">VBECS allows selection of deceased patients without a warning message presented when VBECS has not received a patient death update message from VistA. </w:t>
      </w:r>
      <w:r>
        <w:rPr>
          <w:vanish/>
        </w:rPr>
        <w:t>DR 3064</w:t>
      </w:r>
    </w:p>
    <w:bookmarkEnd w:id="49"/>
    <w:bookmarkEnd w:id="50"/>
    <w:p w14:paraId="7B684721" w14:textId="77777777" w:rsidR="00413ECA" w:rsidRDefault="00413ECA" w:rsidP="00413ECA">
      <w:pPr>
        <w:pStyle w:val="ListBullet"/>
      </w:pPr>
      <w:r w:rsidRPr="009174D5">
        <w:rPr>
          <w:vanish/>
          <w:spacing w:val="0"/>
        </w:rPr>
        <w:t>BR_2.18</w:t>
      </w:r>
      <w:r>
        <w:rPr>
          <w:vanish/>
          <w:spacing w:val="0"/>
        </w:rPr>
        <w:t xml:space="preserve"> </w:t>
      </w:r>
      <w:r>
        <w:t xml:space="preserve">VBECS displays the data that a user enters in a session. The user may edit the data and </w:t>
      </w:r>
      <w:r w:rsidR="008A7BDA">
        <w:t xml:space="preserve">save them. </w:t>
      </w:r>
      <w:r>
        <w:t xml:space="preserve">VBECS warns </w:t>
      </w:r>
      <w:r w:rsidR="008A7BDA">
        <w:t>the user that if he chooses to cancel using the cancel or “X” button or by leaving/refreshing the current page, VBECS will not save any data changes entered during the session</w:t>
      </w:r>
      <w:r>
        <w:t xml:space="preserve">. VBECS </w:t>
      </w:r>
      <w:r w:rsidR="00A62384" w:rsidRPr="00CF619F">
        <w:t>closes the form and</w:t>
      </w:r>
      <w:r w:rsidR="005A3214">
        <w:t xml:space="preserve"> </w:t>
      </w:r>
      <w:r w:rsidRPr="00CF619F">
        <w:t>returns the user to the main menu screen that may include unrelated open windows</w:t>
      </w:r>
      <w:r>
        <w:t>.</w:t>
      </w:r>
    </w:p>
    <w:p w14:paraId="6A7DC74E" w14:textId="77777777" w:rsidR="00413ECA" w:rsidRDefault="00413ECA" w:rsidP="00413ECA">
      <w:pPr>
        <w:pStyle w:val="ListBullet"/>
      </w:pPr>
      <w:r>
        <w:rPr>
          <w:vanish/>
          <w:spacing w:val="0"/>
        </w:rPr>
        <w:t xml:space="preserve">BR_38.08 </w:t>
      </w:r>
      <w:r>
        <w:t xml:space="preserve">VBECS displays </w:t>
      </w:r>
      <w:r w:rsidR="00941683">
        <w:t xml:space="preserve">and enforces active </w:t>
      </w:r>
      <w:r w:rsidR="003937C6">
        <w:t>Transfusion R</w:t>
      </w:r>
      <w:r>
        <w:t xml:space="preserve">equirements </w:t>
      </w:r>
      <w:r w:rsidR="003937C6">
        <w:t xml:space="preserve">(TRs) </w:t>
      </w:r>
      <w:r>
        <w:t>to all divisions in a multi</w:t>
      </w:r>
      <w:r w:rsidR="00941683">
        <w:t>divisional database.</w:t>
      </w:r>
    </w:p>
    <w:p w14:paraId="7653E129" w14:textId="77777777" w:rsidR="00413ECA" w:rsidRDefault="00413ECA" w:rsidP="00413ECA">
      <w:pPr>
        <w:pStyle w:val="ListBullet"/>
      </w:pPr>
      <w:r>
        <w:rPr>
          <w:vanish/>
          <w:spacing w:val="0"/>
        </w:rPr>
        <w:t xml:space="preserve">BR_52.04 </w:t>
      </w:r>
      <w:r>
        <w:t>The user may not edit the title column of the data grid that specifies the reagent used in the test with a patient specimen.</w:t>
      </w:r>
    </w:p>
    <w:p w14:paraId="0AF1DC55" w14:textId="77777777" w:rsidR="00413ECA" w:rsidRDefault="00413ECA" w:rsidP="00413ECA">
      <w:pPr>
        <w:pStyle w:val="ListBullet"/>
      </w:pPr>
      <w:r>
        <w:rPr>
          <w:vanish/>
          <w:spacing w:val="0"/>
        </w:rPr>
        <w:t xml:space="preserve">BR_2.01 </w:t>
      </w:r>
      <w:r>
        <w:t>Unless otherwise indicated, data entry and retrieval are restricted to the division logged into.</w:t>
      </w:r>
    </w:p>
    <w:p w14:paraId="7B9E54DC" w14:textId="77777777" w:rsidR="00413ECA" w:rsidRDefault="00413ECA" w:rsidP="00413ECA">
      <w:pPr>
        <w:pStyle w:val="ListBullet"/>
      </w:pPr>
      <w:r>
        <w:rPr>
          <w:vanish/>
          <w:spacing w:val="0"/>
        </w:rPr>
        <w:t xml:space="preserve">BR_56.08 </w:t>
      </w:r>
      <w:r w:rsidR="00AD6662" w:rsidRPr="00AD6662">
        <w:rPr>
          <w:spacing w:val="0"/>
        </w:rPr>
        <w:t>To enter data after VBECS has been unavailable, a</w:t>
      </w:r>
      <w:r w:rsidRPr="00AD6662">
        <w:t xml:space="preserve"> u</w:t>
      </w:r>
      <w:r>
        <w:t xml:space="preserve">ser may </w:t>
      </w:r>
      <w:r w:rsidR="00AD6662">
        <w:t>enter</w:t>
      </w:r>
      <w:r>
        <w:t xml:space="preserve"> a past date, time, and the technologist who performed the work.</w:t>
      </w:r>
    </w:p>
    <w:p w14:paraId="042A6DAB" w14:textId="77777777" w:rsidR="00413ECA" w:rsidRDefault="00413ECA" w:rsidP="00413ECA">
      <w:pPr>
        <w:pStyle w:val="ListBullet"/>
      </w:pPr>
      <w:r>
        <w:rPr>
          <w:vanish/>
          <w:spacing w:val="0"/>
        </w:rPr>
        <w:t xml:space="preserve">BR_77.10 </w:t>
      </w:r>
      <w:r>
        <w:t>VBECS displays changes in reverse chronological order.</w:t>
      </w:r>
    </w:p>
    <w:p w14:paraId="6ABDE268" w14:textId="77777777" w:rsidR="00A62384" w:rsidRDefault="00413ECA" w:rsidP="00413ECA">
      <w:pPr>
        <w:pStyle w:val="ListBullet"/>
      </w:pPr>
      <w:r>
        <w:rPr>
          <w:vanish/>
          <w:spacing w:val="0"/>
        </w:rPr>
        <w:t xml:space="preserve">BR_3.22 </w:t>
      </w:r>
      <w:r>
        <w:t>VBECS calculates and displays the days (hours, if less than one day) remaining until a unit’s expiration based on the date and time of unit selection entered during modification.</w:t>
      </w:r>
    </w:p>
    <w:p w14:paraId="11A38CD8" w14:textId="3675EFC3" w:rsidR="00E83D83" w:rsidRDefault="00A62384" w:rsidP="00E83D83">
      <w:pPr>
        <w:pStyle w:val="ListBullet"/>
      </w:pPr>
      <w:r w:rsidRPr="00E83D83">
        <w:rPr>
          <w:vanish/>
        </w:rPr>
        <w:lastRenderedPageBreak/>
        <w:t xml:space="preserve">BR_1.23 </w:t>
      </w:r>
      <w:bookmarkStart w:id="51" w:name="_Hlk100753392"/>
      <w:r w:rsidR="00E83D83" w:rsidRPr="00E83D83">
        <w:t>A scanned ISBT 128 expiration date barcode is identified by the presence of hidden identifier</w:t>
      </w:r>
      <w:r w:rsidR="00F70825">
        <w:t>s</w:t>
      </w:r>
      <w:r w:rsidR="00E83D83" w:rsidRPr="00E83D83">
        <w:t xml:space="preserve">. </w:t>
      </w:r>
      <w:bookmarkEnd w:id="51"/>
      <w:r w:rsidR="00E83D83" w:rsidRPr="00E83D83">
        <w:t xml:space="preserve">Once the hidden identifier is removed, there are two possible formats of the barcode, one involving the date only and another involving date and time. If no time in the barcode, then 23:59 is assumed. </w:t>
      </w:r>
    </w:p>
    <w:p w14:paraId="71F9119F" w14:textId="05E61BBD" w:rsidR="006B317D" w:rsidRPr="006B317D" w:rsidRDefault="00062337" w:rsidP="00447812">
      <w:pPr>
        <w:pStyle w:val="ListBullet"/>
      </w:pPr>
      <w:r w:rsidRPr="006B317D">
        <w:rPr>
          <w:vanish/>
        </w:rPr>
        <w:t xml:space="preserve">BR_1.79 </w:t>
      </w:r>
      <w:r w:rsidRPr="00AC04C2">
        <w:t>VBECS supports the scanning of ISBT 128 2-d barcodes by detecting the appropriate hidden identifier. Once the hidden identifier is removed, the 2-d barcode represents one or more scan codes, depending on the value scanned.</w:t>
      </w:r>
    </w:p>
    <w:p w14:paraId="13C48420" w14:textId="77BEE8E2" w:rsidR="004E2550" w:rsidRPr="004E2550" w:rsidRDefault="004E2550" w:rsidP="004E2550">
      <w:pPr>
        <w:pStyle w:val="ListBullet"/>
      </w:pPr>
      <w:r w:rsidRPr="004E2550">
        <w:rPr>
          <w:vanish/>
        </w:rPr>
        <w:t xml:space="preserve">BR_1.78 </w:t>
      </w:r>
      <w:r w:rsidRPr="004E2550">
        <w:t>VBECS supports the scanning of ISBT 128 special testing information barcodes by detecting the appropriate hidden identifiers.</w:t>
      </w:r>
      <w:r>
        <w:t xml:space="preserve"> </w:t>
      </w:r>
      <w:r w:rsidRPr="0030088C">
        <w:rPr>
          <w:rFonts w:cs="Arial"/>
        </w:rPr>
        <w:t xml:space="preserve">Once the hidden identifier is removed, the </w:t>
      </w:r>
      <w:r>
        <w:rPr>
          <w:rFonts w:cs="Arial"/>
        </w:rPr>
        <w:t>special testing code is a varying length of digits, depending on the type of special testing barcode scanned.</w:t>
      </w:r>
    </w:p>
    <w:p w14:paraId="4A5F04DF" w14:textId="3AB0F9A7" w:rsidR="00A62384" w:rsidRDefault="00A62384" w:rsidP="00A62384">
      <w:pPr>
        <w:pStyle w:val="ListBullet"/>
      </w:pPr>
      <w:r>
        <w:t>Data are never deleted: they are saved indefinitely.</w:t>
      </w:r>
    </w:p>
    <w:p w14:paraId="3A4AC703" w14:textId="77777777" w:rsidR="00EF6BBD" w:rsidRDefault="00EF6BBD" w:rsidP="00A62384">
      <w:pPr>
        <w:pStyle w:val="ListBullet"/>
      </w:pPr>
      <w:r>
        <w:t xml:space="preserve">Although a user may </w:t>
      </w:r>
      <w:r w:rsidR="00C71503">
        <w:t xml:space="preserve">appear to </w:t>
      </w:r>
      <w:r>
        <w:t>select and delete data in gray fields, VBECS does not save such edits.</w:t>
      </w:r>
    </w:p>
    <w:p w14:paraId="61C19C6C" w14:textId="77777777" w:rsidR="00993A74" w:rsidRDefault="00993A74" w:rsidP="00A62384">
      <w:pPr>
        <w:pStyle w:val="ListBullet"/>
      </w:pPr>
      <w:r>
        <w:t xml:space="preserve">A column’s width may be adjusted or hidden for a session. This view returns to the default presentation when the view is opened again. </w:t>
      </w:r>
      <w:r w:rsidRPr="00C242AA">
        <w:rPr>
          <w:vanish/>
        </w:rPr>
        <w:t>DR 2218</w:t>
      </w:r>
    </w:p>
    <w:p w14:paraId="5B9ACF5F" w14:textId="77777777" w:rsidR="003128E0" w:rsidRDefault="003128E0" w:rsidP="003128E0">
      <w:pPr>
        <w:pStyle w:val="ListBullet"/>
      </w:pPr>
      <w:r w:rsidRPr="003128E0">
        <w:rPr>
          <w:vanish/>
        </w:rPr>
        <w:t xml:space="preserve">BR_2.19 </w:t>
      </w:r>
      <w:r>
        <w:t>The ABO/Rh confirmation worklist may be sorted by Unit ID, ABO/Rh, Product Type, Component Type, or Date/Time Received. When displaying the Date/Time Received, seconds are not displayed, but are used to sort the worklist when selecting Date/Time Received for the worklist sort criteria.</w:t>
      </w:r>
    </w:p>
    <w:p w14:paraId="5D125E2E" w14:textId="77777777" w:rsidR="00A62384" w:rsidRDefault="00A62384" w:rsidP="00A62384">
      <w:pPr>
        <w:pStyle w:val="Heading3"/>
      </w:pPr>
      <w:bookmarkStart w:id="52" w:name="_Toc203765820"/>
      <w:r>
        <w:t>Searching the Database</w:t>
      </w:r>
      <w:bookmarkEnd w:id="52"/>
      <w:r>
        <w:fldChar w:fldCharType="begin"/>
      </w:r>
      <w:r>
        <w:instrText xml:space="preserve"> XE </w:instrText>
      </w:r>
      <w:r w:rsidR="00FA7E65">
        <w:instrText>“</w:instrText>
      </w:r>
      <w:r>
        <w:instrText>Searching the Database</w:instrText>
      </w:r>
      <w:r w:rsidR="00FA7E65">
        <w:instrText>”</w:instrText>
      </w:r>
      <w:r>
        <w:instrText xml:space="preserve"> </w:instrText>
      </w:r>
      <w:r>
        <w:fldChar w:fldCharType="end"/>
      </w:r>
    </w:p>
    <w:p w14:paraId="24B3EF6B" w14:textId="77777777" w:rsidR="00A62384" w:rsidRDefault="00A62384" w:rsidP="00A62384">
      <w:pPr>
        <w:pStyle w:val="ListBullet"/>
      </w:pPr>
      <w:r>
        <w:rPr>
          <w:vanish/>
          <w:spacing w:val="0"/>
        </w:rPr>
        <w:t xml:space="preserve">BR_3.20 </w:t>
      </w:r>
      <w:r>
        <w:rPr>
          <w:rFonts w:cs="Arial"/>
        </w:rPr>
        <w:t>A user may</w:t>
      </w:r>
      <w:r>
        <w:t xml:space="preserve"> search for a patient by:</w:t>
      </w:r>
    </w:p>
    <w:p w14:paraId="25F49425" w14:textId="278DB675" w:rsidR="00A62384" w:rsidRDefault="005D2D3B" w:rsidP="0077424C">
      <w:pPr>
        <w:pStyle w:val="ListBullet2"/>
        <w:ind w:left="990" w:hanging="342"/>
      </w:pPr>
      <w:r>
        <w:t>Patient’s l</w:t>
      </w:r>
      <w:r w:rsidR="00A62384">
        <w:t>ast name</w:t>
      </w:r>
      <w:r w:rsidR="00141237">
        <w:t xml:space="preserve"> (symbols such as</w:t>
      </w:r>
      <w:r>
        <w:t xml:space="preserve"> an apostrophe and/or dash are not allowed)</w:t>
      </w:r>
    </w:p>
    <w:p w14:paraId="32E412BA" w14:textId="1E2B9A51" w:rsidR="00A62384" w:rsidRDefault="005D2D3B" w:rsidP="0077424C">
      <w:pPr>
        <w:pStyle w:val="ListBullet2"/>
        <w:ind w:left="990" w:hanging="342"/>
      </w:pPr>
      <w:r>
        <w:t xml:space="preserve">Patient’s </w:t>
      </w:r>
      <w:r w:rsidR="00A62384">
        <w:t>ID</w:t>
      </w:r>
      <w:r w:rsidR="00882CF0">
        <w:t xml:space="preserve"> </w:t>
      </w:r>
      <w:r w:rsidR="00EB26C9">
        <w:t>(omit hyphens)</w:t>
      </w:r>
      <w:r w:rsidR="006F2228">
        <w:t xml:space="preserve"> (“Full”)</w:t>
      </w:r>
    </w:p>
    <w:p w14:paraId="72AF47C1" w14:textId="2E223C52" w:rsidR="00A62384" w:rsidRDefault="005D2D3B" w:rsidP="0077424C">
      <w:pPr>
        <w:pStyle w:val="ListBullet2"/>
        <w:ind w:left="990" w:hanging="342"/>
      </w:pPr>
      <w:r>
        <w:t>Patient’s last i</w:t>
      </w:r>
      <w:r w:rsidR="00A62384">
        <w:t xml:space="preserve">nitial and last four </w:t>
      </w:r>
      <w:r>
        <w:t>digits</w:t>
      </w:r>
      <w:r w:rsidR="00A62384">
        <w:t xml:space="preserve"> of the ID</w:t>
      </w:r>
      <w:r w:rsidR="006F2228">
        <w:t xml:space="preserve"> (“Last </w:t>
      </w:r>
      <w:r>
        <w:t>4</w:t>
      </w:r>
      <w:r w:rsidR="006F2228">
        <w:t>”)</w:t>
      </w:r>
    </w:p>
    <w:p w14:paraId="49609D51" w14:textId="32C0E268" w:rsidR="00A62384" w:rsidRDefault="005D2D3B" w:rsidP="0077424C">
      <w:pPr>
        <w:pStyle w:val="ListBullet2"/>
        <w:ind w:left="990" w:hanging="342"/>
      </w:pPr>
      <w:r>
        <w:t>Patient’s l</w:t>
      </w:r>
      <w:r w:rsidR="00A62384">
        <w:t xml:space="preserve">ast four </w:t>
      </w:r>
      <w:r>
        <w:t>digits</w:t>
      </w:r>
      <w:r w:rsidR="00A62384">
        <w:t xml:space="preserve"> of the ID</w:t>
      </w:r>
      <w:r w:rsidR="006F2228">
        <w:t xml:space="preserve"> (“Last 4”)</w:t>
      </w:r>
    </w:p>
    <w:p w14:paraId="3736A7AF" w14:textId="77777777" w:rsidR="005D2D3B" w:rsidRPr="005D2D3B" w:rsidRDefault="005D2D3B" w:rsidP="005D2D3B">
      <w:pPr>
        <w:pStyle w:val="ListBullet"/>
        <w:rPr>
          <w:rFonts w:cs="Arial"/>
        </w:rPr>
      </w:pPr>
      <w:r w:rsidRPr="005D2D3B">
        <w:rPr>
          <w:rFonts w:cs="Arial"/>
        </w:rPr>
        <w:t>For example, for a patient whose last name is TEST with an ID of 000-11-2222:</w:t>
      </w:r>
    </w:p>
    <w:p w14:paraId="46CBBCEA" w14:textId="7BF7FBAC" w:rsidR="005D2D3B" w:rsidRPr="00374A4B" w:rsidRDefault="005D2D3B" w:rsidP="0077424C">
      <w:pPr>
        <w:pStyle w:val="ListBullet2"/>
        <w:ind w:left="990" w:hanging="342"/>
      </w:pPr>
      <w:r w:rsidRPr="00374A4B">
        <w:t xml:space="preserve">Patient's last name: user enters "TEST" </w:t>
      </w:r>
    </w:p>
    <w:p w14:paraId="111B3CC5" w14:textId="0ED23BA3" w:rsidR="005D2D3B" w:rsidRPr="00374A4B" w:rsidRDefault="005D2D3B" w:rsidP="0077424C">
      <w:pPr>
        <w:pStyle w:val="ListBullet2"/>
        <w:ind w:left="990" w:hanging="342"/>
      </w:pPr>
      <w:r w:rsidRPr="00374A4B">
        <w:t>Patient's ID: user enters "000112</w:t>
      </w:r>
      <w:r w:rsidR="00326905">
        <w:t>2</w:t>
      </w:r>
      <w:r w:rsidRPr="00374A4B">
        <w:t>22" (no dashes or spaces)</w:t>
      </w:r>
    </w:p>
    <w:p w14:paraId="5CF70A49" w14:textId="74294097" w:rsidR="005D2D3B" w:rsidRPr="00374A4B" w:rsidRDefault="005D2D3B" w:rsidP="0077424C">
      <w:pPr>
        <w:pStyle w:val="ListBullet2"/>
        <w:ind w:left="990" w:hanging="342"/>
      </w:pPr>
      <w:r w:rsidRPr="00374A4B">
        <w:t>Patient's last initial and last four digits of the patient ID: user enters "T2222" (no dashes or spaces)</w:t>
      </w:r>
    </w:p>
    <w:p w14:paraId="0C527F9E" w14:textId="7E6E7210" w:rsidR="005D2D3B" w:rsidRPr="00374A4B" w:rsidRDefault="005D2D3B" w:rsidP="0077424C">
      <w:pPr>
        <w:pStyle w:val="ListBullet2"/>
        <w:ind w:left="990" w:hanging="342"/>
      </w:pPr>
      <w:r w:rsidRPr="00374A4B">
        <w:t xml:space="preserve">Patient's last four digits of the patient ID: user enters "2222" </w:t>
      </w:r>
    </w:p>
    <w:p w14:paraId="35DFDB02" w14:textId="576FEE0C" w:rsidR="005D2D3B" w:rsidRPr="000A23ED" w:rsidRDefault="005D2D3B" w:rsidP="00181A5E">
      <w:pPr>
        <w:pStyle w:val="ListBullet"/>
      </w:pPr>
      <w:r w:rsidRPr="000A23ED">
        <w:t xml:space="preserve">The </w:t>
      </w:r>
      <w:r w:rsidRPr="00181A5E">
        <w:rPr>
          <w:rFonts w:cs="Arial"/>
        </w:rPr>
        <w:t>system</w:t>
      </w:r>
      <w:r w:rsidRPr="000A23ED">
        <w:t xml:space="preserve"> displays all patients that fit the search criteria, allowing the user to select a patient from a pick list.</w:t>
      </w:r>
    </w:p>
    <w:p w14:paraId="5A2FFFA3" w14:textId="6555E42D" w:rsidR="005D2D3B" w:rsidRPr="000A23ED" w:rsidRDefault="005D2D3B" w:rsidP="000A23ED">
      <w:pPr>
        <w:pStyle w:val="TableText"/>
        <w:ind w:left="648"/>
        <w:rPr>
          <w:rFonts w:ascii="Times New Roman" w:hAnsi="Times New Roman"/>
          <w:sz w:val="22"/>
          <w:szCs w:val="22"/>
        </w:rPr>
      </w:pPr>
      <w:r w:rsidRPr="00BF4EC3">
        <w:rPr>
          <w:rFonts w:ascii="Times New Roman" w:hAnsi="Times New Roman"/>
          <w:b/>
          <w:sz w:val="22"/>
          <w:szCs w:val="22"/>
        </w:rPr>
        <w:t>Note:</w:t>
      </w:r>
      <w:r w:rsidRPr="000A23ED">
        <w:rPr>
          <w:rFonts w:ascii="Times New Roman" w:hAnsi="Times New Roman"/>
          <w:sz w:val="22"/>
          <w:szCs w:val="22"/>
        </w:rPr>
        <w:t xml:space="preserve"> Searching by last four digits on the patient ID in VBECS against the VistA database will return matches on the last four digits or the first four digits.</w:t>
      </w:r>
      <w:r w:rsidR="00A113B2">
        <w:rPr>
          <w:rFonts w:ascii="Times New Roman" w:hAnsi="Times New Roman"/>
          <w:sz w:val="22"/>
          <w:szCs w:val="22"/>
        </w:rPr>
        <w:t xml:space="preserve"> </w:t>
      </w:r>
      <w:r w:rsidRPr="000A23ED">
        <w:rPr>
          <w:rFonts w:ascii="Times New Roman" w:hAnsi="Times New Roman"/>
          <w:sz w:val="22"/>
          <w:szCs w:val="22"/>
        </w:rPr>
        <w:t>The following search formats in VistA are not allowed in VBECS:</w:t>
      </w:r>
    </w:p>
    <w:p w14:paraId="7E6F0121" w14:textId="77777777" w:rsidR="005D2D3B" w:rsidRPr="000A23ED" w:rsidRDefault="005D2D3B" w:rsidP="0077424C">
      <w:pPr>
        <w:pStyle w:val="ListBullet2"/>
        <w:ind w:left="990" w:hanging="342"/>
      </w:pPr>
      <w:r w:rsidRPr="000A23ED">
        <w:t>Last name, first name</w:t>
      </w:r>
    </w:p>
    <w:p w14:paraId="038B44EE" w14:textId="6E1ABF14" w:rsidR="005D2D3B" w:rsidRPr="000A23ED" w:rsidRDefault="005D2D3B" w:rsidP="0077424C">
      <w:pPr>
        <w:pStyle w:val="ListBullet2"/>
        <w:ind w:left="990" w:hanging="342"/>
      </w:pPr>
      <w:r w:rsidRPr="000A23ED">
        <w:t>Various patient ID lengths other than 4 or 9 digits</w:t>
      </w:r>
    </w:p>
    <w:p w14:paraId="01205455" w14:textId="57506883" w:rsidR="005D2D3B" w:rsidRPr="000A23ED" w:rsidRDefault="003E2E8A" w:rsidP="0077424C">
      <w:pPr>
        <w:pStyle w:val="ListBullet2"/>
        <w:ind w:left="990" w:hanging="342"/>
      </w:pPr>
      <w:r w:rsidRPr="000A23ED">
        <w:t>VistA Patient ID</w:t>
      </w:r>
    </w:p>
    <w:p w14:paraId="1A7FFCFA" w14:textId="77777777" w:rsidR="00A62384" w:rsidRDefault="00A62384" w:rsidP="00A62384">
      <w:pPr>
        <w:pStyle w:val="ListBullet"/>
      </w:pPr>
      <w:r>
        <w:rPr>
          <w:vanish/>
          <w:spacing w:val="0"/>
        </w:rPr>
        <w:t xml:space="preserve">BR_4.01 </w:t>
      </w:r>
      <w:r>
        <w:t xml:space="preserve">A user must scan or enter a unit ID and a product code to select a unit from inventory. </w:t>
      </w:r>
    </w:p>
    <w:p w14:paraId="3B18C069" w14:textId="77777777" w:rsidR="00A62384" w:rsidRDefault="00A62384" w:rsidP="00A62384">
      <w:pPr>
        <w:pStyle w:val="ListBullet"/>
        <w:rPr>
          <w:vanish/>
          <w:spacing w:val="0"/>
        </w:rPr>
      </w:pPr>
      <w:r>
        <w:rPr>
          <w:vanish/>
          <w:spacing w:val="0"/>
        </w:rPr>
        <w:t>BR_6.02 This rule is included in the Security section.)</w:t>
      </w:r>
    </w:p>
    <w:p w14:paraId="3F9A61D3" w14:textId="77777777" w:rsidR="00413ECA" w:rsidRDefault="00A62384" w:rsidP="00413ECA">
      <w:pPr>
        <w:pStyle w:val="ListBullet"/>
      </w:pPr>
      <w:r w:rsidRPr="00B36B12">
        <w:rPr>
          <w:vanish/>
          <w:spacing w:val="0"/>
        </w:rPr>
        <w:t>BR_27.13</w:t>
      </w:r>
      <w:r>
        <w:rPr>
          <w:vanish/>
          <w:spacing w:val="0"/>
        </w:rPr>
        <w:t xml:space="preserve"> </w:t>
      </w:r>
      <w:r>
        <w:t>When VBECS does not find a unit record, it displays an error message stating that the unit wa</w:t>
      </w:r>
      <w:r w:rsidR="00413ECA">
        <w:t>s not found and instructing the user to reenter unit information. A user may close this message</w:t>
      </w:r>
      <w:r w:rsidR="0049278C">
        <w:t xml:space="preserve">, click </w:t>
      </w:r>
      <w:r w:rsidR="0049278C" w:rsidRPr="0049278C">
        <w:rPr>
          <w:b/>
        </w:rPr>
        <w:t>Clear</w:t>
      </w:r>
      <w:r w:rsidR="0049278C">
        <w:t>,</w:t>
      </w:r>
      <w:r w:rsidR="00413ECA">
        <w:t xml:space="preserve"> and enter </w:t>
      </w:r>
      <w:r w:rsidR="0049278C">
        <w:t>another</w:t>
      </w:r>
      <w:r w:rsidR="00413ECA">
        <w:t xml:space="preserve"> unit ID and product code.</w:t>
      </w:r>
      <w:r w:rsidR="0049278C">
        <w:t xml:space="preserve"> </w:t>
      </w:r>
    </w:p>
    <w:p w14:paraId="20A7A1CA" w14:textId="77777777" w:rsidR="00D776D1" w:rsidRDefault="00413ECA" w:rsidP="00D776D1">
      <w:pPr>
        <w:pStyle w:val="ListBullet"/>
      </w:pPr>
      <w:r>
        <w:rPr>
          <w:vanish/>
          <w:spacing w:val="0"/>
        </w:rPr>
        <w:t xml:space="preserve">BR_5.02 </w:t>
      </w:r>
      <w:r>
        <w:t>VBECS lists all or part of a division</w:t>
      </w:r>
      <w:r w:rsidR="00FA7E65">
        <w:t>’</w:t>
      </w:r>
      <w:r w:rsidR="00A62384">
        <w:t>s blood component inventory, based on system rules. A user may enter a varied co</w:t>
      </w:r>
      <w:r w:rsidR="00D776D1">
        <w:t>mbination of unit information to create a customized list of selectable units, including:</w:t>
      </w:r>
    </w:p>
    <w:p w14:paraId="59F67675" w14:textId="77777777" w:rsidR="00D776D1" w:rsidRDefault="00D776D1" w:rsidP="0077424C">
      <w:pPr>
        <w:pStyle w:val="ListBullet2"/>
        <w:ind w:left="990" w:hanging="342"/>
      </w:pPr>
      <w:r>
        <w:t>Unit ID</w:t>
      </w:r>
    </w:p>
    <w:p w14:paraId="5F2B498F" w14:textId="77777777" w:rsidR="00D776D1" w:rsidRDefault="00D776D1" w:rsidP="0077424C">
      <w:pPr>
        <w:pStyle w:val="ListBullet2"/>
        <w:ind w:left="990" w:hanging="342"/>
      </w:pPr>
      <w:r>
        <w:t>Product type</w:t>
      </w:r>
    </w:p>
    <w:p w14:paraId="1AB1D1BC" w14:textId="77777777" w:rsidR="00D776D1" w:rsidRDefault="00D776D1" w:rsidP="0077424C">
      <w:pPr>
        <w:pStyle w:val="ListBullet2"/>
        <w:ind w:left="990" w:hanging="342"/>
      </w:pPr>
      <w:r>
        <w:t>ABO/Rh</w:t>
      </w:r>
    </w:p>
    <w:p w14:paraId="32C7EA85" w14:textId="417D26E3" w:rsidR="00D776D1" w:rsidRDefault="00D776D1" w:rsidP="0077424C">
      <w:pPr>
        <w:pStyle w:val="ListBullet2"/>
        <w:ind w:left="990" w:hanging="342"/>
      </w:pPr>
      <w:r>
        <w:lastRenderedPageBreak/>
        <w:t>Special testing</w:t>
      </w:r>
      <w:r w:rsidR="00C233B7">
        <w:t xml:space="preserve"> (CMV Neg, SC Neg, or equal to or greater than (= &gt;)</w:t>
      </w:r>
      <w:r w:rsidR="002D3BEC">
        <w:t xml:space="preserve"> 2 </w:t>
      </w:r>
      <w:r w:rsidR="00823261">
        <w:t>mL RBC</w:t>
      </w:r>
      <w:r w:rsidR="005E43F0">
        <w:t xml:space="preserve"> </w:t>
      </w:r>
      <w:r w:rsidR="00823261">
        <w:t>Contamination)</w:t>
      </w:r>
    </w:p>
    <w:p w14:paraId="3A7CC643" w14:textId="77777777" w:rsidR="00D776D1" w:rsidRDefault="00D776D1" w:rsidP="0077424C">
      <w:pPr>
        <w:pStyle w:val="ListBullet2"/>
        <w:ind w:left="990" w:hanging="342"/>
      </w:pPr>
      <w:r>
        <w:t>RBC antigens (available only for the RED BLOOD CELLS component class)</w:t>
      </w:r>
    </w:p>
    <w:p w14:paraId="5FCEB8ED" w14:textId="77777777" w:rsidR="00A62384" w:rsidRDefault="00D776D1" w:rsidP="0077424C">
      <w:pPr>
        <w:pStyle w:val="ListBullet2"/>
        <w:ind w:left="990" w:hanging="342"/>
      </w:pPr>
      <w:r>
        <w:t>Received date range</w:t>
      </w:r>
    </w:p>
    <w:p w14:paraId="18994BF8" w14:textId="77777777" w:rsidR="00A62384" w:rsidRDefault="00A62384" w:rsidP="0077424C">
      <w:pPr>
        <w:pStyle w:val="ListBullet2"/>
        <w:ind w:left="990" w:hanging="342"/>
      </w:pPr>
      <w:r>
        <w:t>Expiration date range</w:t>
      </w:r>
    </w:p>
    <w:p w14:paraId="55DFB22A" w14:textId="77777777" w:rsidR="00A62384" w:rsidRDefault="00A62384" w:rsidP="00181A5E">
      <w:pPr>
        <w:pStyle w:val="ListBullet"/>
      </w:pPr>
      <w:r>
        <w:t xml:space="preserve">VBECS displays this unit information in the selection list whether full inventory, subset, or filtered subset: </w:t>
      </w:r>
    </w:p>
    <w:p w14:paraId="01C2E4E8" w14:textId="77777777" w:rsidR="00A62384" w:rsidRDefault="00A62384" w:rsidP="0077424C">
      <w:pPr>
        <w:pStyle w:val="ListBullet2"/>
        <w:ind w:left="990" w:hanging="342"/>
      </w:pPr>
      <w:r>
        <w:t>Unit ID</w:t>
      </w:r>
    </w:p>
    <w:p w14:paraId="2CD43E1F" w14:textId="77777777" w:rsidR="00A62384" w:rsidRDefault="00A62384" w:rsidP="0077424C">
      <w:pPr>
        <w:pStyle w:val="ListBullet2"/>
        <w:ind w:left="990" w:hanging="342"/>
      </w:pPr>
      <w:r>
        <w:t>Unit ABO/Rh</w:t>
      </w:r>
    </w:p>
    <w:p w14:paraId="655FFAB0" w14:textId="77777777" w:rsidR="00A62384" w:rsidRDefault="00A62384" w:rsidP="0077424C">
      <w:pPr>
        <w:pStyle w:val="ListBullet2"/>
        <w:ind w:left="990" w:hanging="342"/>
      </w:pPr>
      <w:r>
        <w:t>Product short name</w:t>
      </w:r>
    </w:p>
    <w:p w14:paraId="2E211119" w14:textId="77777777" w:rsidR="00A62384" w:rsidRDefault="00A62384" w:rsidP="0077424C">
      <w:pPr>
        <w:pStyle w:val="ListBullet2"/>
        <w:ind w:left="990" w:hanging="342"/>
      </w:pPr>
      <w:r>
        <w:t>Product code</w:t>
      </w:r>
    </w:p>
    <w:p w14:paraId="4599B9C8" w14:textId="77777777" w:rsidR="00A62384" w:rsidRDefault="00A62384" w:rsidP="0077424C">
      <w:pPr>
        <w:pStyle w:val="ListBullet2"/>
        <w:ind w:left="990" w:hanging="342"/>
      </w:pPr>
      <w:r>
        <w:t>Unit status</w:t>
      </w:r>
    </w:p>
    <w:p w14:paraId="3579155C" w14:textId="77777777" w:rsidR="00A62384" w:rsidRDefault="00A62384" w:rsidP="0077424C">
      <w:pPr>
        <w:pStyle w:val="ListBullet2"/>
        <w:ind w:left="990" w:hanging="342"/>
      </w:pPr>
      <w:r>
        <w:t>Unit expiration date</w:t>
      </w:r>
    </w:p>
    <w:p w14:paraId="01352CE3" w14:textId="77777777" w:rsidR="00A62384" w:rsidRDefault="00A62384" w:rsidP="0077424C">
      <w:pPr>
        <w:pStyle w:val="ListBullet2"/>
        <w:ind w:left="990" w:hanging="342"/>
      </w:pPr>
      <w:r>
        <w:t>Donation type</w:t>
      </w:r>
    </w:p>
    <w:p w14:paraId="7007B85C" w14:textId="77777777" w:rsidR="00176C67" w:rsidRDefault="00176C67" w:rsidP="0077424C">
      <w:pPr>
        <w:pStyle w:val="ListBullet2"/>
        <w:ind w:left="990" w:hanging="342"/>
      </w:pPr>
      <w:r>
        <w:t>Restricted f</w:t>
      </w:r>
      <w:r w:rsidR="00823261">
        <w:t>or patient name, when available</w:t>
      </w:r>
    </w:p>
    <w:p w14:paraId="73388E97" w14:textId="77777777" w:rsidR="00A62384" w:rsidRDefault="00A62384" w:rsidP="0077424C">
      <w:pPr>
        <w:pStyle w:val="ListBullet2"/>
        <w:ind w:left="990" w:hanging="342"/>
      </w:pPr>
      <w:r>
        <w:t>Date and time received (standard format)</w:t>
      </w:r>
    </w:p>
    <w:p w14:paraId="5BC33542" w14:textId="77777777" w:rsidR="00A62384" w:rsidRDefault="00A62384" w:rsidP="00A62384">
      <w:pPr>
        <w:pStyle w:val="Heading3"/>
      </w:pPr>
      <w:bookmarkStart w:id="53" w:name="_Toc203765821"/>
      <w:r>
        <w:t>Testing</w:t>
      </w:r>
      <w:bookmarkEnd w:id="53"/>
      <w:r>
        <w:fldChar w:fldCharType="begin"/>
      </w:r>
      <w:r>
        <w:instrText xml:space="preserve"> XE </w:instrText>
      </w:r>
      <w:r w:rsidR="00FA7E65">
        <w:instrText>“</w:instrText>
      </w:r>
      <w:r>
        <w:instrText>Testing</w:instrText>
      </w:r>
      <w:r w:rsidR="00FA7E65">
        <w:instrText>”</w:instrText>
      </w:r>
      <w:r>
        <w:instrText xml:space="preserve"> </w:instrText>
      </w:r>
      <w:r>
        <w:fldChar w:fldCharType="end"/>
      </w:r>
    </w:p>
    <w:p w14:paraId="6ADF0F4C" w14:textId="77777777" w:rsidR="00FB5C42" w:rsidRDefault="00154095" w:rsidP="00A62384">
      <w:pPr>
        <w:pStyle w:val="ListBullet"/>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w:t>
      </w:r>
      <w:r w:rsidR="00377EE1">
        <w:t xml:space="preserve">Administrator/Supervisors may configure reagent racks to use </w:t>
      </w:r>
      <w:r w:rsidR="002C1235">
        <w:t xml:space="preserve">a </w:t>
      </w:r>
      <w:r w:rsidR="00377EE1">
        <w:t>tube</w:t>
      </w:r>
      <w:r w:rsidR="003937C6">
        <w:t xml:space="preserve">, solid phase, </w:t>
      </w:r>
      <w:r w:rsidR="00377EE1">
        <w:t xml:space="preserve">or gel </w:t>
      </w:r>
      <w:r w:rsidR="002C1235">
        <w:t>method</w:t>
      </w:r>
      <w:r w:rsidR="00377EE1">
        <w:t xml:space="preserve">. </w:t>
      </w:r>
    </w:p>
    <w:p w14:paraId="0A5ACD26" w14:textId="77777777" w:rsidR="004B7774" w:rsidRDefault="000873D0" w:rsidP="0077424C">
      <w:pPr>
        <w:pStyle w:val="ListBullet2"/>
        <w:ind w:left="990" w:hanging="342"/>
      </w:pPr>
      <w:r>
        <w:t xml:space="preserve">VBECS allows a user to </w:t>
      </w:r>
      <w:r w:rsidR="001F33D5">
        <w:t>perform QC testing at AHG and later perform patient testing at all phases using a rack configured for AHG only</w:t>
      </w:r>
      <w:r>
        <w:t xml:space="preserve">. </w:t>
      </w:r>
    </w:p>
    <w:p w14:paraId="587CEC11" w14:textId="77777777" w:rsidR="004B7774" w:rsidRDefault="00FF4225" w:rsidP="0077424C">
      <w:pPr>
        <w:pStyle w:val="ListBullet2"/>
        <w:ind w:left="990" w:hanging="342"/>
      </w:pPr>
      <w:r>
        <w:t xml:space="preserve">VBECS does not verify that the phase of testing matches the reagents used for testing. </w:t>
      </w:r>
    </w:p>
    <w:p w14:paraId="4B792A08" w14:textId="77777777" w:rsidR="00FB5C42" w:rsidRDefault="000F57D8" w:rsidP="0077424C">
      <w:pPr>
        <w:pStyle w:val="ListBullet2"/>
        <w:ind w:left="990" w:hanging="342"/>
      </w:pPr>
      <w:r>
        <w:t xml:space="preserve">Users </w:t>
      </w:r>
      <w:r w:rsidR="00B3507E">
        <w:t>working with</w:t>
      </w:r>
      <w:r w:rsidR="00D47277">
        <w:t xml:space="preserve"> reagent racks </w:t>
      </w:r>
      <w:r w:rsidR="00B3507E">
        <w:t>containing</w:t>
      </w:r>
      <w:r w:rsidR="00D47277">
        <w:t xml:space="preserve"> different reagents must </w:t>
      </w:r>
      <w:r w:rsidR="001911CF">
        <w:t>do so in accordance with</w:t>
      </w:r>
      <w:r w:rsidR="00D47277">
        <w:t xml:space="preserve"> local policy and procedure</w:t>
      </w:r>
      <w:r w:rsidR="00440BE1">
        <w:t>s</w:t>
      </w:r>
      <w:r w:rsidR="00D47277">
        <w:t xml:space="preserve">. </w:t>
      </w:r>
    </w:p>
    <w:p w14:paraId="024E574B" w14:textId="77777777" w:rsidR="0048460C" w:rsidRDefault="00A62384" w:rsidP="00A62384">
      <w:pPr>
        <w:pStyle w:val="ListBullet"/>
      </w:pPr>
      <w:r>
        <w:t>Reaction result cells in the data grid contain only symbols. A legend of the symbols and their meanings, specific to the data grid and its truth tables, is located in the bottom left corner of the form and is available to the user throughout data entry.</w:t>
      </w:r>
      <w:r w:rsidR="0048460C" w:rsidRPr="0048460C">
        <w:t xml:space="preserve"> </w:t>
      </w:r>
    </w:p>
    <w:p w14:paraId="51CE13A8" w14:textId="0A6C6200" w:rsidR="00D05436" w:rsidRDefault="0048460C" w:rsidP="00731D3A">
      <w:pPr>
        <w:pStyle w:val="ListBullet"/>
      </w:pPr>
      <w:r>
        <w:t xml:space="preserve">Entry of a symbol (not a number or letter) </w:t>
      </w:r>
      <w:r w:rsidRPr="0048460C">
        <w:t xml:space="preserve">into a test grid reaction result cell or interpretation </w:t>
      </w:r>
      <w:r>
        <w:t>field</w:t>
      </w:r>
      <w:r w:rsidRPr="0048460C">
        <w:t xml:space="preserve"> </w:t>
      </w:r>
      <w:r>
        <w:t>will not elicit a sy</w:t>
      </w:r>
      <w:r w:rsidRPr="0048460C">
        <w:t>stem response. The entry of the symbol is not allowed and does not overwrite the previous entry, if any</w:t>
      </w:r>
      <w:r w:rsidR="002106D5">
        <w:t xml:space="preserve">. </w:t>
      </w:r>
      <w:r w:rsidR="002106D5" w:rsidRPr="00331163">
        <w:t xml:space="preserve">See </w:t>
      </w:r>
      <w:r w:rsidR="00EE455E">
        <w:t xml:space="preserve">Table </w:t>
      </w:r>
      <w:r w:rsidR="00EE455E">
        <w:rPr>
          <w:noProof/>
        </w:rPr>
        <w:t>2</w:t>
      </w:r>
      <w:r w:rsidR="000405D5">
        <w:t xml:space="preserve"> </w:t>
      </w:r>
      <w:r w:rsidR="00D05436">
        <w:t>for valid observed test result entries.</w:t>
      </w:r>
    </w:p>
    <w:p w14:paraId="0C4F8B61" w14:textId="6DC5A168" w:rsidR="00E755C0" w:rsidRDefault="00E755C0" w:rsidP="00D05436">
      <w:pPr>
        <w:pStyle w:val="ListBullet"/>
      </w:pPr>
      <w:r>
        <w:t xml:space="preserve">After entering a canned or free-text comment in the testing comment field of the testing grid, the user must press </w:t>
      </w:r>
      <w:r w:rsidRPr="00E755C0">
        <w:rPr>
          <w:b/>
        </w:rPr>
        <w:t>Enter</w:t>
      </w:r>
      <w:r>
        <w:t xml:space="preserve"> to store the comment.</w:t>
      </w:r>
    </w:p>
    <w:p w14:paraId="62A2CB72" w14:textId="39B7DBA4" w:rsidR="00B071D4" w:rsidRDefault="00A62384" w:rsidP="00B071D4">
      <w:pPr>
        <w:pStyle w:val="ListBullet"/>
      </w:pPr>
      <w:r>
        <w:t xml:space="preserve">The user may enter canned comments in comment cells by selecting from a pick </w:t>
      </w:r>
      <w:r w:rsidR="00671459">
        <w:t>list or</w:t>
      </w:r>
      <w:r>
        <w:t xml:space="preserve"> enter free-text</w:t>
      </w:r>
      <w:r w:rsidR="005A3214">
        <w:t xml:space="preserve"> </w:t>
      </w:r>
      <w:r w:rsidR="00B071D4">
        <w:t>comments by selecting “Other.”</w:t>
      </w:r>
    </w:p>
    <w:p w14:paraId="3A93D913" w14:textId="77777777" w:rsidR="006B317D" w:rsidRDefault="006B317D">
      <w:pPr>
        <w:rPr>
          <w:b/>
          <w:sz w:val="22"/>
          <w:szCs w:val="22"/>
        </w:rPr>
      </w:pPr>
      <w:bookmarkStart w:id="54" w:name="_Ref256686283"/>
      <w:bookmarkStart w:id="55" w:name="_Ref524524574"/>
      <w:bookmarkStart w:id="56" w:name="_Ref524524567"/>
      <w:r>
        <w:br w:type="page"/>
      </w:r>
    </w:p>
    <w:p w14:paraId="1A63D1FF" w14:textId="251F3D1A" w:rsidR="00A62384" w:rsidRDefault="00B071D4" w:rsidP="000405D5">
      <w:pPr>
        <w:pStyle w:val="Caption"/>
        <w:tabs>
          <w:tab w:val="left" w:pos="4740"/>
        </w:tabs>
      </w:pPr>
      <w:bookmarkStart w:id="57" w:name="_Ref149117268"/>
      <w:r>
        <w:lastRenderedPageBreak/>
        <w:t xml:space="preserve">Table </w:t>
      </w:r>
      <w:r w:rsidR="004E20BD">
        <w:rPr>
          <w:noProof/>
        </w:rPr>
        <w:fldChar w:fldCharType="begin"/>
      </w:r>
      <w:r w:rsidR="004E20BD">
        <w:rPr>
          <w:noProof/>
        </w:rPr>
        <w:instrText xml:space="preserve"> SEQ Table \* ARABIC </w:instrText>
      </w:r>
      <w:r w:rsidR="004E20BD">
        <w:rPr>
          <w:noProof/>
        </w:rPr>
        <w:fldChar w:fldCharType="separate"/>
      </w:r>
      <w:r w:rsidR="007D1829">
        <w:rPr>
          <w:noProof/>
        </w:rPr>
        <w:t>2</w:t>
      </w:r>
      <w:r w:rsidR="004E20BD">
        <w:rPr>
          <w:noProof/>
        </w:rPr>
        <w:fldChar w:fldCharType="end"/>
      </w:r>
      <w:bookmarkEnd w:id="54"/>
      <w:bookmarkEnd w:id="55"/>
      <w:bookmarkEnd w:id="57"/>
      <w:r>
        <w:t>: Valid Observed Test Result Entries</w:t>
      </w:r>
      <w:bookmarkEnd w:id="56"/>
      <w:r>
        <w:fldChar w:fldCharType="begin"/>
      </w:r>
      <w:r>
        <w:instrText xml:space="preserve"> XE “Tables:Valid Observed Test Results Entries” </w:instrText>
      </w:r>
      <w:r>
        <w:fldChar w:fldCharType="end"/>
      </w:r>
    </w:p>
    <w:tbl>
      <w:tblPr>
        <w:tblW w:w="0" w:type="auto"/>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2520"/>
        <w:gridCol w:w="1260"/>
      </w:tblGrid>
      <w:tr w:rsidR="00F77F81" w14:paraId="0B06DB98" w14:textId="77777777">
        <w:trPr>
          <w:tblHeader/>
        </w:trPr>
        <w:tc>
          <w:tcPr>
            <w:tcW w:w="720" w:type="dxa"/>
            <w:shd w:val="clear" w:color="auto" w:fill="B3B3B3"/>
            <w:vAlign w:val="bottom"/>
          </w:tcPr>
          <w:p w14:paraId="027BE79A" w14:textId="77777777" w:rsidR="00F77F81" w:rsidRDefault="00F77F81" w:rsidP="008E68C8">
            <w:pPr>
              <w:pStyle w:val="TableText"/>
              <w:jc w:val="center"/>
              <w:rPr>
                <w:b/>
              </w:rPr>
            </w:pPr>
            <w:r>
              <w:rPr>
                <w:b/>
              </w:rPr>
              <w:t>Entry</w:t>
            </w:r>
          </w:p>
        </w:tc>
        <w:tc>
          <w:tcPr>
            <w:tcW w:w="3780" w:type="dxa"/>
            <w:gridSpan w:val="2"/>
            <w:shd w:val="clear" w:color="auto" w:fill="B3B3B3"/>
            <w:vAlign w:val="bottom"/>
          </w:tcPr>
          <w:p w14:paraId="6670A8C1" w14:textId="77777777" w:rsidR="00F77F81" w:rsidRDefault="00F77F81" w:rsidP="008E68C8">
            <w:pPr>
              <w:pStyle w:val="TableText"/>
              <w:jc w:val="center"/>
              <w:rPr>
                <w:b/>
              </w:rPr>
            </w:pPr>
            <w:r>
              <w:rPr>
                <w:b/>
              </w:rPr>
              <w:t>VBECS Translation</w:t>
            </w:r>
          </w:p>
        </w:tc>
      </w:tr>
      <w:tr w:rsidR="00F77F81" w14:paraId="211CEA4F" w14:textId="77777777">
        <w:tc>
          <w:tcPr>
            <w:tcW w:w="720" w:type="dxa"/>
            <w:vAlign w:val="bottom"/>
          </w:tcPr>
          <w:p w14:paraId="21231AC8" w14:textId="77777777" w:rsidR="00F77F81" w:rsidRDefault="00F77F81" w:rsidP="008E68C8">
            <w:pPr>
              <w:pStyle w:val="TableText"/>
              <w:jc w:val="center"/>
            </w:pPr>
            <w:r>
              <w:t>H</w:t>
            </w:r>
          </w:p>
        </w:tc>
        <w:tc>
          <w:tcPr>
            <w:tcW w:w="2520" w:type="dxa"/>
            <w:vAlign w:val="bottom"/>
          </w:tcPr>
          <w:p w14:paraId="5AC725D9" w14:textId="77777777" w:rsidR="00F77F81" w:rsidRDefault="00F77F81" w:rsidP="008E68C8">
            <w:pPr>
              <w:pStyle w:val="TableText"/>
            </w:pPr>
            <w:r>
              <w:t>Hemolysis</w:t>
            </w:r>
          </w:p>
        </w:tc>
        <w:tc>
          <w:tcPr>
            <w:tcW w:w="1260" w:type="dxa"/>
            <w:vAlign w:val="bottom"/>
          </w:tcPr>
          <w:p w14:paraId="2503E2B4" w14:textId="77777777" w:rsidR="00F77F81" w:rsidRDefault="00F77F81" w:rsidP="008E68C8">
            <w:pPr>
              <w:pStyle w:val="TableText"/>
            </w:pPr>
            <w:r>
              <w:t>Positive</w:t>
            </w:r>
          </w:p>
        </w:tc>
      </w:tr>
      <w:tr w:rsidR="00F77F81" w14:paraId="16C9A938" w14:textId="77777777">
        <w:tc>
          <w:tcPr>
            <w:tcW w:w="720" w:type="dxa"/>
            <w:vAlign w:val="bottom"/>
          </w:tcPr>
          <w:p w14:paraId="6D55A726" w14:textId="77777777" w:rsidR="00F77F81" w:rsidRDefault="00F77F81" w:rsidP="008E68C8">
            <w:pPr>
              <w:pStyle w:val="TableText"/>
              <w:jc w:val="center"/>
            </w:pPr>
            <w:r>
              <w:t>W</w:t>
            </w:r>
          </w:p>
        </w:tc>
        <w:tc>
          <w:tcPr>
            <w:tcW w:w="2520" w:type="dxa"/>
            <w:vAlign w:val="bottom"/>
          </w:tcPr>
          <w:p w14:paraId="09FA3D77" w14:textId="77777777" w:rsidR="00F77F81" w:rsidRDefault="00F77F81" w:rsidP="008E68C8">
            <w:pPr>
              <w:pStyle w:val="TableText"/>
            </w:pPr>
            <w:r>
              <w:t>Weak</w:t>
            </w:r>
          </w:p>
        </w:tc>
        <w:tc>
          <w:tcPr>
            <w:tcW w:w="1260" w:type="dxa"/>
            <w:vAlign w:val="bottom"/>
          </w:tcPr>
          <w:p w14:paraId="6014BDFE" w14:textId="77777777" w:rsidR="00F77F81" w:rsidRDefault="00F77F81" w:rsidP="008E68C8">
            <w:pPr>
              <w:pStyle w:val="TableText"/>
            </w:pPr>
            <w:r>
              <w:t>Positive</w:t>
            </w:r>
          </w:p>
        </w:tc>
      </w:tr>
      <w:tr w:rsidR="00F77F81" w14:paraId="228E424E" w14:textId="77777777">
        <w:tc>
          <w:tcPr>
            <w:tcW w:w="720" w:type="dxa"/>
            <w:vAlign w:val="bottom"/>
          </w:tcPr>
          <w:p w14:paraId="516D8B0E" w14:textId="77777777" w:rsidR="00F77F81" w:rsidRDefault="00F77F81" w:rsidP="008E68C8">
            <w:pPr>
              <w:pStyle w:val="TableText"/>
              <w:jc w:val="center"/>
            </w:pPr>
            <w:r>
              <w:t>F</w:t>
            </w:r>
          </w:p>
        </w:tc>
        <w:tc>
          <w:tcPr>
            <w:tcW w:w="2520" w:type="dxa"/>
            <w:vAlign w:val="bottom"/>
          </w:tcPr>
          <w:p w14:paraId="727C7D63" w14:textId="77777777" w:rsidR="00F77F81" w:rsidRDefault="00F77F81" w:rsidP="008E68C8">
            <w:pPr>
              <w:pStyle w:val="TableText"/>
            </w:pPr>
            <w:r>
              <w:t>Mixed Field</w:t>
            </w:r>
          </w:p>
        </w:tc>
        <w:tc>
          <w:tcPr>
            <w:tcW w:w="1260" w:type="dxa"/>
            <w:vAlign w:val="bottom"/>
          </w:tcPr>
          <w:p w14:paraId="2CE32EFC" w14:textId="77777777" w:rsidR="00F77F81" w:rsidRDefault="00F77F81" w:rsidP="008E68C8">
            <w:pPr>
              <w:pStyle w:val="TableText"/>
            </w:pPr>
            <w:r>
              <w:t>Positive</w:t>
            </w:r>
          </w:p>
        </w:tc>
      </w:tr>
      <w:tr w:rsidR="00F77F81" w14:paraId="18B36765" w14:textId="77777777">
        <w:tc>
          <w:tcPr>
            <w:tcW w:w="720" w:type="dxa"/>
            <w:vAlign w:val="bottom"/>
          </w:tcPr>
          <w:p w14:paraId="46926C1F" w14:textId="77777777" w:rsidR="00F77F81" w:rsidRDefault="00F77F81" w:rsidP="008E68C8">
            <w:pPr>
              <w:pStyle w:val="TableText"/>
              <w:jc w:val="center"/>
            </w:pPr>
            <w:r>
              <w:t>M</w:t>
            </w:r>
          </w:p>
        </w:tc>
        <w:tc>
          <w:tcPr>
            <w:tcW w:w="2520" w:type="dxa"/>
            <w:vAlign w:val="bottom"/>
          </w:tcPr>
          <w:p w14:paraId="7A4ACD88" w14:textId="77777777" w:rsidR="00F77F81" w:rsidRDefault="00F77F81" w:rsidP="008E68C8">
            <w:pPr>
              <w:pStyle w:val="TableText"/>
            </w:pPr>
            <w:r>
              <w:t>Microscopic</w:t>
            </w:r>
          </w:p>
        </w:tc>
        <w:tc>
          <w:tcPr>
            <w:tcW w:w="1260" w:type="dxa"/>
            <w:vAlign w:val="bottom"/>
          </w:tcPr>
          <w:p w14:paraId="22BBC64E" w14:textId="77777777" w:rsidR="00F77F81" w:rsidRDefault="00F77F81" w:rsidP="008E68C8">
            <w:pPr>
              <w:pStyle w:val="TableText"/>
            </w:pPr>
            <w:r>
              <w:t>Positive</w:t>
            </w:r>
          </w:p>
        </w:tc>
      </w:tr>
      <w:tr w:rsidR="00F77F81" w14:paraId="079713C9" w14:textId="77777777">
        <w:tc>
          <w:tcPr>
            <w:tcW w:w="720" w:type="dxa"/>
            <w:vAlign w:val="bottom"/>
          </w:tcPr>
          <w:p w14:paraId="359244FD" w14:textId="77777777" w:rsidR="00F77F81" w:rsidRDefault="00F77F81" w:rsidP="008E68C8">
            <w:pPr>
              <w:pStyle w:val="TableText"/>
              <w:jc w:val="center"/>
            </w:pPr>
            <w:r>
              <w:t>1</w:t>
            </w:r>
          </w:p>
        </w:tc>
        <w:tc>
          <w:tcPr>
            <w:tcW w:w="2520" w:type="dxa"/>
            <w:vAlign w:val="bottom"/>
          </w:tcPr>
          <w:p w14:paraId="476D79B2" w14:textId="77777777" w:rsidR="00F77F81" w:rsidRDefault="00F77F81" w:rsidP="008E68C8">
            <w:pPr>
              <w:pStyle w:val="TableText"/>
            </w:pPr>
            <w:r>
              <w:t>1+</w:t>
            </w:r>
          </w:p>
        </w:tc>
        <w:tc>
          <w:tcPr>
            <w:tcW w:w="1260" w:type="dxa"/>
            <w:vAlign w:val="bottom"/>
          </w:tcPr>
          <w:p w14:paraId="4DE28F0F" w14:textId="77777777" w:rsidR="00F77F81" w:rsidRDefault="00F77F81" w:rsidP="008E68C8">
            <w:pPr>
              <w:pStyle w:val="TableText"/>
            </w:pPr>
            <w:r>
              <w:t>Positive</w:t>
            </w:r>
          </w:p>
        </w:tc>
      </w:tr>
      <w:tr w:rsidR="00F77F81" w14:paraId="4DAB3E03" w14:textId="77777777">
        <w:tc>
          <w:tcPr>
            <w:tcW w:w="720" w:type="dxa"/>
            <w:vAlign w:val="bottom"/>
          </w:tcPr>
          <w:p w14:paraId="49DEB79F" w14:textId="77777777" w:rsidR="00F77F81" w:rsidRDefault="00F77F81" w:rsidP="008E68C8">
            <w:pPr>
              <w:pStyle w:val="TableText"/>
              <w:jc w:val="center"/>
            </w:pPr>
            <w:r>
              <w:t>2</w:t>
            </w:r>
          </w:p>
        </w:tc>
        <w:tc>
          <w:tcPr>
            <w:tcW w:w="2520" w:type="dxa"/>
            <w:vAlign w:val="bottom"/>
          </w:tcPr>
          <w:p w14:paraId="0037320C" w14:textId="77777777" w:rsidR="00F77F81" w:rsidRDefault="00F77F81" w:rsidP="008E68C8">
            <w:pPr>
              <w:pStyle w:val="TableText"/>
            </w:pPr>
            <w:r>
              <w:t>2+</w:t>
            </w:r>
          </w:p>
        </w:tc>
        <w:tc>
          <w:tcPr>
            <w:tcW w:w="1260" w:type="dxa"/>
            <w:vAlign w:val="bottom"/>
          </w:tcPr>
          <w:p w14:paraId="60879D52" w14:textId="77777777" w:rsidR="00F77F81" w:rsidRDefault="00F77F81" w:rsidP="008E68C8">
            <w:pPr>
              <w:pStyle w:val="TableText"/>
            </w:pPr>
            <w:r>
              <w:t>Positive</w:t>
            </w:r>
          </w:p>
        </w:tc>
      </w:tr>
      <w:tr w:rsidR="00F77F81" w14:paraId="5FA7D9AD" w14:textId="77777777">
        <w:tc>
          <w:tcPr>
            <w:tcW w:w="720" w:type="dxa"/>
            <w:vAlign w:val="bottom"/>
          </w:tcPr>
          <w:p w14:paraId="3D76DE8B" w14:textId="77777777" w:rsidR="00F77F81" w:rsidRDefault="00F77F81" w:rsidP="008E68C8">
            <w:pPr>
              <w:pStyle w:val="TableText"/>
              <w:jc w:val="center"/>
            </w:pPr>
            <w:r>
              <w:t>3</w:t>
            </w:r>
          </w:p>
        </w:tc>
        <w:tc>
          <w:tcPr>
            <w:tcW w:w="2520" w:type="dxa"/>
            <w:vAlign w:val="bottom"/>
          </w:tcPr>
          <w:p w14:paraId="14445217" w14:textId="77777777" w:rsidR="00F77F81" w:rsidRDefault="00F77F81" w:rsidP="008E68C8">
            <w:pPr>
              <w:pStyle w:val="TableText"/>
            </w:pPr>
            <w:r>
              <w:t>3+</w:t>
            </w:r>
          </w:p>
        </w:tc>
        <w:tc>
          <w:tcPr>
            <w:tcW w:w="1260" w:type="dxa"/>
            <w:vAlign w:val="bottom"/>
          </w:tcPr>
          <w:p w14:paraId="1C0DFCCC" w14:textId="77777777" w:rsidR="00F77F81" w:rsidRDefault="00F77F81" w:rsidP="008E68C8">
            <w:pPr>
              <w:pStyle w:val="TableText"/>
            </w:pPr>
            <w:r>
              <w:t>Positive</w:t>
            </w:r>
          </w:p>
        </w:tc>
      </w:tr>
      <w:tr w:rsidR="00F77F81" w14:paraId="1744A003" w14:textId="77777777">
        <w:tc>
          <w:tcPr>
            <w:tcW w:w="720" w:type="dxa"/>
            <w:vAlign w:val="bottom"/>
          </w:tcPr>
          <w:p w14:paraId="4556AB32" w14:textId="77777777" w:rsidR="00F77F81" w:rsidRDefault="00F77F81" w:rsidP="008E68C8">
            <w:pPr>
              <w:pStyle w:val="TableText"/>
              <w:jc w:val="center"/>
            </w:pPr>
            <w:r>
              <w:t>4</w:t>
            </w:r>
          </w:p>
        </w:tc>
        <w:tc>
          <w:tcPr>
            <w:tcW w:w="2520" w:type="dxa"/>
            <w:vAlign w:val="bottom"/>
          </w:tcPr>
          <w:p w14:paraId="28F285D7" w14:textId="77777777" w:rsidR="00F77F81" w:rsidRDefault="00F77F81" w:rsidP="008E68C8">
            <w:pPr>
              <w:pStyle w:val="TableText"/>
            </w:pPr>
            <w:r>
              <w:t>4+</w:t>
            </w:r>
          </w:p>
        </w:tc>
        <w:tc>
          <w:tcPr>
            <w:tcW w:w="1260" w:type="dxa"/>
            <w:vAlign w:val="bottom"/>
          </w:tcPr>
          <w:p w14:paraId="7B05596D" w14:textId="77777777" w:rsidR="00F77F81" w:rsidRDefault="00F77F81" w:rsidP="008E68C8">
            <w:pPr>
              <w:pStyle w:val="TableText"/>
            </w:pPr>
            <w:r>
              <w:t>Positive</w:t>
            </w:r>
          </w:p>
        </w:tc>
      </w:tr>
      <w:tr w:rsidR="00F77F81" w14:paraId="010F6622" w14:textId="77777777">
        <w:tc>
          <w:tcPr>
            <w:tcW w:w="720" w:type="dxa"/>
            <w:vAlign w:val="bottom"/>
          </w:tcPr>
          <w:p w14:paraId="3EBB5ED8" w14:textId="77777777" w:rsidR="00F77F81" w:rsidRDefault="00F77F81" w:rsidP="008E68C8">
            <w:pPr>
              <w:pStyle w:val="TableText"/>
              <w:jc w:val="center"/>
            </w:pPr>
            <w:r>
              <w:t>X</w:t>
            </w:r>
          </w:p>
        </w:tc>
        <w:tc>
          <w:tcPr>
            <w:tcW w:w="2520" w:type="dxa"/>
            <w:vAlign w:val="bottom"/>
          </w:tcPr>
          <w:p w14:paraId="35325072" w14:textId="77777777" w:rsidR="00F77F81" w:rsidRDefault="00F77F81" w:rsidP="008E68C8">
            <w:pPr>
              <w:pStyle w:val="TableText"/>
            </w:pPr>
            <w:r>
              <w:t>Not Tested</w:t>
            </w:r>
          </w:p>
        </w:tc>
        <w:tc>
          <w:tcPr>
            <w:tcW w:w="1260" w:type="dxa"/>
            <w:vAlign w:val="bottom"/>
          </w:tcPr>
          <w:p w14:paraId="6645064B" w14:textId="77777777" w:rsidR="00F77F81" w:rsidRDefault="00F77F81" w:rsidP="008E68C8">
            <w:pPr>
              <w:pStyle w:val="TableText"/>
            </w:pPr>
            <w:r>
              <w:t>Not Tested</w:t>
            </w:r>
          </w:p>
        </w:tc>
      </w:tr>
      <w:tr w:rsidR="00F77F81" w14:paraId="4D225D99" w14:textId="77777777">
        <w:tc>
          <w:tcPr>
            <w:tcW w:w="720" w:type="dxa"/>
            <w:vAlign w:val="bottom"/>
          </w:tcPr>
          <w:p w14:paraId="46CDD5A2" w14:textId="77777777" w:rsidR="00F77F81" w:rsidRDefault="00F77F81" w:rsidP="008E68C8">
            <w:pPr>
              <w:pStyle w:val="TableText"/>
              <w:jc w:val="center"/>
            </w:pPr>
            <w:r>
              <w:t>0</w:t>
            </w:r>
          </w:p>
        </w:tc>
        <w:tc>
          <w:tcPr>
            <w:tcW w:w="2520" w:type="dxa"/>
            <w:vAlign w:val="bottom"/>
          </w:tcPr>
          <w:p w14:paraId="618972EE" w14:textId="77777777" w:rsidR="00F77F81" w:rsidRDefault="00F77F81" w:rsidP="008E68C8">
            <w:pPr>
              <w:pStyle w:val="TableText"/>
            </w:pPr>
            <w:r>
              <w:t>No Agglutination</w:t>
            </w:r>
          </w:p>
        </w:tc>
        <w:tc>
          <w:tcPr>
            <w:tcW w:w="1260" w:type="dxa"/>
            <w:vAlign w:val="bottom"/>
          </w:tcPr>
          <w:p w14:paraId="710AF9E9" w14:textId="77777777" w:rsidR="00F77F81" w:rsidRDefault="00F77F81" w:rsidP="008E68C8">
            <w:pPr>
              <w:pStyle w:val="TableText"/>
            </w:pPr>
            <w:r>
              <w:t>Negative</w:t>
            </w:r>
          </w:p>
        </w:tc>
      </w:tr>
      <w:tr w:rsidR="00F77F81" w14:paraId="6A07F0FD" w14:textId="77777777">
        <w:tc>
          <w:tcPr>
            <w:tcW w:w="720" w:type="dxa"/>
            <w:vAlign w:val="bottom"/>
          </w:tcPr>
          <w:p w14:paraId="3A6D9D76" w14:textId="77777777" w:rsidR="00F77F81" w:rsidRDefault="00F77F81" w:rsidP="008E68C8">
            <w:pPr>
              <w:pStyle w:val="TableText"/>
              <w:jc w:val="center"/>
            </w:pPr>
            <w:r>
              <w:t>R</w:t>
            </w:r>
          </w:p>
        </w:tc>
        <w:tc>
          <w:tcPr>
            <w:tcW w:w="2520" w:type="dxa"/>
            <w:vAlign w:val="bottom"/>
          </w:tcPr>
          <w:p w14:paraId="1A3E7A68" w14:textId="77777777" w:rsidR="00F77F81" w:rsidRDefault="00F77F81" w:rsidP="008E68C8">
            <w:pPr>
              <w:pStyle w:val="TableText"/>
            </w:pPr>
            <w:r>
              <w:t>Rouleaux, No Agglutination</w:t>
            </w:r>
          </w:p>
        </w:tc>
        <w:tc>
          <w:tcPr>
            <w:tcW w:w="1260" w:type="dxa"/>
            <w:vAlign w:val="bottom"/>
          </w:tcPr>
          <w:p w14:paraId="69EAA6A5" w14:textId="77777777" w:rsidR="00F77F81" w:rsidRDefault="00F77F81" w:rsidP="008E68C8">
            <w:pPr>
              <w:pStyle w:val="TableText"/>
            </w:pPr>
            <w:r>
              <w:t>Negative</w:t>
            </w:r>
          </w:p>
        </w:tc>
      </w:tr>
    </w:tbl>
    <w:p w14:paraId="4DB50D13" w14:textId="77777777" w:rsidR="00F77F81" w:rsidRDefault="00F77F81" w:rsidP="00F77F81">
      <w:pPr>
        <w:pStyle w:val="ListBullet"/>
      </w:pPr>
      <w:r>
        <w:t>When recording test results:</w:t>
      </w:r>
    </w:p>
    <w:p w14:paraId="35C372B6" w14:textId="77777777" w:rsidR="00CF5E49" w:rsidRDefault="00F77F81" w:rsidP="0077424C">
      <w:pPr>
        <w:pStyle w:val="ListBullet2"/>
        <w:ind w:left="990" w:hanging="342"/>
      </w:pPr>
      <w:r>
        <w:t>In the Test Details window, click a check box to select a rack.</w:t>
      </w:r>
    </w:p>
    <w:p w14:paraId="26147DAB" w14:textId="77777777" w:rsidR="00CF5E49" w:rsidRDefault="00F77F81" w:rsidP="0077424C">
      <w:pPr>
        <w:pStyle w:val="ListBullet2"/>
        <w:ind w:left="990" w:hanging="342"/>
      </w:pPr>
      <w:r>
        <w:t>In the Date Tested field, select the default date and time (current date and time) for testing performed, which the user may edit to a past date and time.</w:t>
      </w:r>
    </w:p>
    <w:p w14:paraId="7B25E2E2" w14:textId="77777777" w:rsidR="00CF5E49" w:rsidRDefault="00F77F81" w:rsidP="0077424C">
      <w:pPr>
        <w:pStyle w:val="ListBullet2"/>
        <w:ind w:left="990" w:hanging="342"/>
      </w:pPr>
      <w:r>
        <w:t>In the Tested By field, select the default identification (current user) for the testing technologist or another user from the drop-down menu.</w:t>
      </w:r>
    </w:p>
    <w:p w14:paraId="777DE92A" w14:textId="77777777" w:rsidR="00CF5E49" w:rsidRPr="00D0406D" w:rsidRDefault="00F77F81" w:rsidP="0077424C">
      <w:pPr>
        <w:pStyle w:val="ListBullet2"/>
        <w:ind w:left="990" w:hanging="342"/>
      </w:pPr>
      <w:r w:rsidRPr="00D0406D">
        <w:t>Click the appropriate radio button to determine the grid configuration for antibody screen and crossma</w:t>
      </w:r>
      <w:r w:rsidR="006F2884" w:rsidRPr="00D0406D">
        <w:t xml:space="preserve">tch grids [All phases </w:t>
      </w:r>
      <w:r w:rsidRPr="00D0406D">
        <w:t xml:space="preserve">or </w:t>
      </w:r>
      <w:r w:rsidR="00594F8A" w:rsidRPr="00D0406D">
        <w:t>Anti-Human Globulin (</w:t>
      </w:r>
      <w:r w:rsidRPr="00D0406D">
        <w:t>AHG</w:t>
      </w:r>
      <w:r w:rsidR="00594F8A" w:rsidRPr="00D0406D">
        <w:t>)</w:t>
      </w:r>
      <w:r w:rsidRPr="00D0406D">
        <w:t xml:space="preserve"> only</w:t>
      </w:r>
      <w:r w:rsidR="006F2884" w:rsidRPr="00D0406D">
        <w:t xml:space="preserve"> (pre-checked default varies with local configuration)</w:t>
      </w:r>
      <w:r w:rsidRPr="00D0406D">
        <w:t>].</w:t>
      </w:r>
      <w:r w:rsidR="00F15743" w:rsidRPr="00D0406D">
        <w:t xml:space="preserve"> </w:t>
      </w:r>
      <w:r w:rsidR="00F15743" w:rsidRPr="00D0406D">
        <w:rPr>
          <w:vanish/>
        </w:rPr>
        <w:t>DR 4345</w:t>
      </w:r>
    </w:p>
    <w:p w14:paraId="3466F435" w14:textId="77777777" w:rsidR="00F77F81" w:rsidRDefault="00F77F81" w:rsidP="0077424C">
      <w:pPr>
        <w:pStyle w:val="ListBullet2"/>
        <w:ind w:left="990" w:hanging="342"/>
      </w:pPr>
      <w:r>
        <w:t xml:space="preserve">When an automated instrument is used, click the </w:t>
      </w:r>
      <w:r>
        <w:rPr>
          <w:b/>
          <w:bCs/>
        </w:rPr>
        <w:t>Using Automated Instrument</w:t>
      </w:r>
      <w:r>
        <w:t xml:space="preserve"> check box, enter the instrument name in the Instrument Name field, and click the</w:t>
      </w:r>
      <w:r w:rsidR="00F77C01">
        <w:rPr>
          <w:b/>
        </w:rPr>
        <w:t xml:space="preserve"> Instrument QC’d</w:t>
      </w:r>
      <w:r>
        <w:rPr>
          <w:b/>
        </w:rPr>
        <w:t>?</w:t>
      </w:r>
      <w:r>
        <w:t xml:space="preserve"> check box, as appropriate.</w:t>
      </w:r>
    </w:p>
    <w:p w14:paraId="35D8AC8B" w14:textId="77777777" w:rsidR="00023201" w:rsidRDefault="00F77F81" w:rsidP="00687072">
      <w:pPr>
        <w:pStyle w:val="ListBullet"/>
      </w:pPr>
      <w:r w:rsidRPr="00CB01DE">
        <w:rPr>
          <w:vanish/>
          <w:spacing w:val="0"/>
        </w:rPr>
        <w:t>BR_2.07</w:t>
      </w:r>
      <w:r w:rsidRPr="00CB01DE">
        <w:rPr>
          <w:vanish/>
          <w:color w:val="0000FF"/>
          <w:spacing w:val="0"/>
        </w:rPr>
        <w:t xml:space="preserve"> </w:t>
      </w:r>
      <w:r w:rsidR="00CB01DE">
        <w:t xml:space="preserve">VBECS requires Red Blood Cells, Whole Blood, Granulocytes and Leukocytes to have ABO confirmation testing (forward typing), and Rh confirmation testing for units labeled as Rh negative. Units </w:t>
      </w:r>
      <w:r w:rsidR="00CB01DE" w:rsidRPr="00E44A83">
        <w:t>labeled with an ABO group of “Pooled” cannot be confirmed</w:t>
      </w:r>
      <w:r w:rsidR="00CB01DE">
        <w:t>.</w:t>
      </w:r>
    </w:p>
    <w:p w14:paraId="39FC05ED" w14:textId="3E999EE9" w:rsidR="00F77F81" w:rsidRDefault="00F77F81" w:rsidP="00884C4F">
      <w:pPr>
        <w:pStyle w:val="ListBullet"/>
      </w:pPr>
      <w:r w:rsidRPr="00023201">
        <w:rPr>
          <w:vanish/>
          <w:spacing w:val="0"/>
        </w:rPr>
        <w:t xml:space="preserve">BR_2.22 </w:t>
      </w:r>
      <w:r>
        <w:t>The user may not edit VBECS-populated grid worksheet fields that contain unit or patient data.</w:t>
      </w:r>
    </w:p>
    <w:p w14:paraId="147C31F0" w14:textId="77777777" w:rsidR="00F77F81" w:rsidRDefault="00F77F81" w:rsidP="00F77F81">
      <w:pPr>
        <w:pStyle w:val="ListBullet"/>
      </w:pPr>
      <w:r>
        <w:rPr>
          <w:vanish/>
        </w:rPr>
        <w:t xml:space="preserve">BR_2.23 </w:t>
      </w:r>
      <w:r>
        <w:t>The user may sort worksheet entries only before beginning data entry, preferably during unit selection. When the user wishes to sort a worksheet after entering the first reaction result, he must exit without saving the work and begin again.</w:t>
      </w:r>
    </w:p>
    <w:p w14:paraId="7B9479AF" w14:textId="77777777" w:rsidR="00F77F81" w:rsidRDefault="00C549FA" w:rsidP="00F77F81">
      <w:pPr>
        <w:pStyle w:val="ListBullet"/>
      </w:pPr>
      <w:r w:rsidRPr="00896F17">
        <w:rPr>
          <w:rStyle w:val="BullhornChar"/>
        </w:rPr>
        <w:t></w:t>
      </w:r>
      <w:r>
        <w:rPr>
          <w:rFonts w:ascii="Webdings" w:hAnsi="Webdings"/>
        </w:rPr>
        <w:t></w:t>
      </w:r>
      <w:r w:rsidRPr="00263B24">
        <w:t>Wh</w:t>
      </w:r>
      <w:r>
        <w:t>en</w:t>
      </w:r>
      <w:r w:rsidR="00A62384">
        <w:t xml:space="preserve"> a user enters an invalid symbol in a cell, VBECS emits an audible alert and prevents the cursor from moving to th</w:t>
      </w:r>
      <w:r w:rsidR="00F77F81">
        <w:t>e next cell.</w:t>
      </w:r>
    </w:p>
    <w:p w14:paraId="0A0D22F1" w14:textId="77777777" w:rsidR="00F77F81" w:rsidRDefault="00F77F81" w:rsidP="00F77F81">
      <w:pPr>
        <w:pStyle w:val="ListBullet"/>
      </w:pPr>
      <w:r>
        <w:rPr>
          <w:vanish/>
          <w:spacing w:val="0"/>
        </w:rPr>
        <w:t xml:space="preserve">BR_2.29 </w:t>
      </w:r>
      <w:r>
        <w:t>VBECS moves the cursor to the comment cell automatically, when applicable; the user may also use the mouse to move to another cell.</w:t>
      </w:r>
    </w:p>
    <w:p w14:paraId="35022E79" w14:textId="762B147E" w:rsidR="00F77F81" w:rsidRDefault="00F77F81" w:rsidP="00F77F81">
      <w:pPr>
        <w:pStyle w:val="ListBullet"/>
      </w:pPr>
      <w:r>
        <w:rPr>
          <w:vanish/>
          <w:spacing w:val="0"/>
        </w:rPr>
        <w:t xml:space="preserve">BR_2.36, BR_2.37, BR_2.38 </w:t>
      </w:r>
      <w:r>
        <w:t>VBECS displays</w:t>
      </w:r>
      <w:r>
        <w:rPr>
          <w:highlight w:val="red"/>
        </w:rPr>
        <w:fldChar w:fldCharType="begin">
          <w:ffData>
            <w:name w:val="Text1"/>
            <w:enabled/>
            <w:calcOnExit w:val="0"/>
            <w:textInput>
              <w:default w:val=" E "/>
              <w:maxLength w:val="3"/>
            </w:textInput>
          </w:ffData>
        </w:fldChar>
      </w:r>
      <w:r>
        <w:rPr>
          <w:highlight w:val="red"/>
        </w:rPr>
        <w:instrText xml:space="preserve"> FORMTEXT </w:instrText>
      </w:r>
      <w:r>
        <w:rPr>
          <w:highlight w:val="red"/>
        </w:rPr>
      </w:r>
      <w:r>
        <w:rPr>
          <w:highlight w:val="red"/>
        </w:rPr>
        <w:fldChar w:fldCharType="separate"/>
      </w:r>
      <w:r w:rsidR="004E2B6A">
        <w:rPr>
          <w:noProof/>
          <w:highlight w:val="red"/>
        </w:rPr>
        <w:t xml:space="preserve"> E </w:t>
      </w:r>
      <w:r>
        <w:rPr>
          <w:highlight w:val="red"/>
        </w:rPr>
        <w:fldChar w:fldCharType="end"/>
      </w:r>
      <w:r>
        <w:t>(error) at the beginning of invalid rows and</w:t>
      </w:r>
      <w:r>
        <w:rPr>
          <w:highlight w:val="green"/>
        </w:rPr>
        <w:fldChar w:fldCharType="begin">
          <w:ffData>
            <w:name w:val=""/>
            <w:enabled/>
            <w:calcOnExit w:val="0"/>
            <w:textInput>
              <w:default w:val=" V "/>
              <w:maxLength w:val="3"/>
            </w:textInput>
          </w:ffData>
        </w:fldChar>
      </w:r>
      <w:r>
        <w:rPr>
          <w:highlight w:val="green"/>
        </w:rPr>
        <w:instrText xml:space="preserve"> FORMTEXT </w:instrText>
      </w:r>
      <w:r>
        <w:rPr>
          <w:highlight w:val="green"/>
        </w:rPr>
      </w:r>
      <w:r>
        <w:rPr>
          <w:highlight w:val="green"/>
        </w:rPr>
        <w:fldChar w:fldCharType="separate"/>
      </w:r>
      <w:r w:rsidR="004E2B6A">
        <w:rPr>
          <w:noProof/>
          <w:highlight w:val="green"/>
        </w:rPr>
        <w:t xml:space="preserve"> V </w:t>
      </w:r>
      <w:r>
        <w:rPr>
          <w:highlight w:val="green"/>
        </w:rPr>
        <w:fldChar w:fldCharType="end"/>
      </w:r>
      <w:r>
        <w:t>(valid reagent) or</w:t>
      </w:r>
      <w:r w:rsidRPr="00A6799C">
        <w:rPr>
          <w:highlight w:val="yellow"/>
        </w:rPr>
        <w:fldChar w:fldCharType="begin">
          <w:ffData>
            <w:name w:val=""/>
            <w:enabled/>
            <w:calcOnExit w:val="0"/>
            <w:textInput>
              <w:default w:val=" W  "/>
              <w:maxLength w:val="4"/>
            </w:textInput>
          </w:ffData>
        </w:fldChar>
      </w:r>
      <w:r w:rsidRPr="00A6799C">
        <w:rPr>
          <w:highlight w:val="yellow"/>
        </w:rPr>
        <w:instrText xml:space="preserve"> FORMTEXT </w:instrText>
      </w:r>
      <w:r w:rsidRPr="00A6799C">
        <w:rPr>
          <w:highlight w:val="yellow"/>
        </w:rPr>
      </w:r>
      <w:r w:rsidRPr="00A6799C">
        <w:rPr>
          <w:highlight w:val="yellow"/>
        </w:rPr>
        <w:fldChar w:fldCharType="separate"/>
      </w:r>
      <w:r w:rsidR="004E2B6A">
        <w:rPr>
          <w:noProof/>
          <w:highlight w:val="yellow"/>
        </w:rPr>
        <w:t xml:space="preserve"> W  </w:t>
      </w:r>
      <w:r w:rsidRPr="00A6799C">
        <w:rPr>
          <w:highlight w:val="yellow"/>
        </w:rPr>
        <w:fldChar w:fldCharType="end"/>
      </w:r>
      <w:r>
        <w:t xml:space="preserve">(reagent will expire within 24 hours) at the beginning of valid rows. These warning icons change as the user updates information. When the user holds the mouse over an icon, VBECS displays the message associated with the truth table interpretation (as with a tool tip). </w:t>
      </w:r>
    </w:p>
    <w:p w14:paraId="2FBDB744" w14:textId="77777777" w:rsidR="00F77F81" w:rsidRDefault="00F77F81" w:rsidP="00F77F81">
      <w:pPr>
        <w:pStyle w:val="ListBullet"/>
      </w:pPr>
      <w:r>
        <w:rPr>
          <w:vanish/>
          <w:spacing w:val="0"/>
        </w:rPr>
        <w:t xml:space="preserve">BR_2.39 </w:t>
      </w:r>
      <w:r>
        <w:t>VBECS compares user-entered interpretations with truth table data.</w:t>
      </w:r>
    </w:p>
    <w:p w14:paraId="1C2C8758" w14:textId="77777777" w:rsidR="00F77F81" w:rsidRDefault="00F77F81" w:rsidP="00F77F81">
      <w:pPr>
        <w:pStyle w:val="ListBullet"/>
      </w:pPr>
      <w:r>
        <w:t xml:space="preserve">The user performs tests and enters data simultaneously. </w:t>
      </w:r>
    </w:p>
    <w:p w14:paraId="7350F410" w14:textId="77777777" w:rsidR="00F77F81" w:rsidRDefault="00F77F81" w:rsidP="00F77F81">
      <w:pPr>
        <w:pStyle w:val="ListBullet"/>
      </w:pPr>
      <w:r>
        <w:t>Throughout this option, the user may view the patient’s VBECS demographics, including the information entered in the patient Special Instructions (SIs), Transfusion Requirements (TRs), and other clinical lab results related to the transfusion through CPRS.</w:t>
      </w:r>
    </w:p>
    <w:p w14:paraId="03AFF364" w14:textId="77777777" w:rsidR="00A62384" w:rsidRDefault="00F77F81" w:rsidP="00F77F81">
      <w:pPr>
        <w:pStyle w:val="ListBullet"/>
      </w:pPr>
      <w:r>
        <w:t>The historical ABO/Rh display includes the date and division of creation or indicates that the record is from the</w:t>
      </w:r>
      <w:r w:rsidR="00A62384">
        <w:t xml:space="preserve"> </w:t>
      </w:r>
      <w:r w:rsidR="000C7684" w:rsidRPr="000C7684">
        <w:t>VistA</w:t>
      </w:r>
      <w:r w:rsidR="00A62384">
        <w:t xml:space="preserve"> database conversion.</w:t>
      </w:r>
    </w:p>
    <w:p w14:paraId="1018F442" w14:textId="77777777" w:rsidR="006C0002" w:rsidRDefault="00A62384" w:rsidP="006C0002">
      <w:pPr>
        <w:pStyle w:val="ListBullet"/>
      </w:pPr>
      <w:r>
        <w:rPr>
          <w:vanish/>
          <w:spacing w:val="0"/>
        </w:rPr>
        <w:lastRenderedPageBreak/>
        <w:t xml:space="preserve">BR_56.06 </w:t>
      </w:r>
      <w:r>
        <w:t>The test record captures the ente</w:t>
      </w:r>
      <w:r w:rsidR="006C0002">
        <w:t>ring and testing technologists’ ID and the display/print technologists’ name, the division, date, and time of the save, the content (details of the verified testing), QC rack ID (if not by automated instrument), test method, automated test instrument information, if indicated, data entries, interpretations, and comments. (When the configuration changes in Configure Testing after the test data are entered, the record is retrievable as originally configured.)</w:t>
      </w:r>
    </w:p>
    <w:p w14:paraId="285F52E8" w14:textId="570A816E" w:rsidR="002317C3" w:rsidRDefault="00C549FA" w:rsidP="002317C3">
      <w:pPr>
        <w:pStyle w:val="ListBullet"/>
      </w:pPr>
      <w:r w:rsidRPr="00896F17">
        <w:rPr>
          <w:rStyle w:val="BullhornChar"/>
        </w:rPr>
        <w:t></w:t>
      </w:r>
      <w:r>
        <w:rPr>
          <w:rFonts w:ascii="Webdings" w:hAnsi="Webdings"/>
        </w:rPr>
        <w:t></w:t>
      </w:r>
      <w:r w:rsidR="0073350C" w:rsidRPr="0073350C">
        <w:rPr>
          <w:rStyle w:val="BodyTextChar"/>
          <w:vanish/>
        </w:rPr>
        <w:t>BR_56.07</w:t>
      </w:r>
      <w:r w:rsidR="00BE616B">
        <w:rPr>
          <w:rStyle w:val="BodyTextChar"/>
          <w:vanish/>
        </w:rPr>
        <w:t xml:space="preserve"> </w:t>
      </w:r>
      <w:r w:rsidRPr="00263B24">
        <w:t>Wh</w:t>
      </w:r>
      <w:r>
        <w:t>en</w:t>
      </w:r>
      <w:r w:rsidR="00A62384">
        <w:t xml:space="preserve"> a </w:t>
      </w:r>
      <w:r w:rsidR="003C244C">
        <w:t>site</w:t>
      </w:r>
      <w:r w:rsidR="00A62384">
        <w:t xml:space="preserve"> is defin</w:t>
      </w:r>
      <w:r w:rsidR="002317C3">
        <w:t>ed as “full service” and daily QC was not performed on the selected rack or the Not in Use Today check box was checked for the 24-hour period (beginning with the time set for the alert defined in Configure Daily QC</w:t>
      </w:r>
      <w:r w:rsidR="006274F7">
        <w:t xml:space="preserve"> and including the date/time tested), </w:t>
      </w:r>
      <w:r w:rsidR="002317C3">
        <w:t xml:space="preserve">VBECS emits an audible alert, warns the user and asks whether he wishes to continue. </w:t>
      </w:r>
      <w:r w:rsidR="002317C3">
        <w:rPr>
          <w:b/>
        </w:rPr>
        <w:t>Yes</w:t>
      </w:r>
      <w:r w:rsidR="002317C3">
        <w:t xml:space="preserve"> requires a comment and captures details for inclusion in the Exception Report (exception type: QC not performed on rack used for testing). </w:t>
      </w:r>
      <w:r w:rsidR="002317C3">
        <w:rPr>
          <w:b/>
        </w:rPr>
        <w:t>No</w:t>
      </w:r>
      <w:r w:rsidR="002317C3">
        <w:t xml:space="preserve"> allows the user to select a different rack or cancel and return to the main menu.</w:t>
      </w:r>
    </w:p>
    <w:p w14:paraId="4B2256BB" w14:textId="77777777" w:rsidR="002317C3" w:rsidRPr="001F4C96" w:rsidRDefault="002317C3" w:rsidP="002317C3">
      <w:pPr>
        <w:pStyle w:val="ListBullet"/>
      </w:pPr>
      <w:r w:rsidRPr="001F4C96">
        <w:rPr>
          <w:vanish/>
          <w:spacing w:val="0"/>
        </w:rPr>
        <w:t xml:space="preserve">BR_28.09 </w:t>
      </w:r>
      <w:r w:rsidRPr="001F4C96">
        <w:t>When reagent</w:t>
      </w:r>
      <w:r w:rsidR="00F93F8F" w:rsidRPr="001F4C96">
        <w:t>s or antisera are</w:t>
      </w:r>
      <w:r w:rsidRPr="001F4C96">
        <w:t xml:space="preserve"> within 24 hours of expiration (23:59 on th</w:t>
      </w:r>
      <w:r w:rsidR="001F4C96" w:rsidRPr="001F4C96">
        <w:t xml:space="preserve">e expiration date), VBECS warns the user when the </w:t>
      </w:r>
      <w:r w:rsidRPr="001F4C96">
        <w:t xml:space="preserve">reagent will expire and asks whether the user wishes to continue. </w:t>
      </w:r>
      <w:r w:rsidRPr="001F4C96">
        <w:rPr>
          <w:b/>
        </w:rPr>
        <w:t>Yes</w:t>
      </w:r>
      <w:r w:rsidRPr="001F4C96">
        <w:t xml:space="preserve"> allows the user to continue testing. </w:t>
      </w:r>
      <w:r w:rsidRPr="001F4C96">
        <w:rPr>
          <w:b/>
        </w:rPr>
        <w:t xml:space="preserve">No </w:t>
      </w:r>
      <w:r w:rsidRPr="001F4C96">
        <w:t>moves the cursor to a cleared lot number cell, which is ready for the user to enter a new lot number.</w:t>
      </w:r>
    </w:p>
    <w:p w14:paraId="7F66147A" w14:textId="77777777" w:rsidR="002317C3" w:rsidRDefault="002317C3" w:rsidP="002317C3">
      <w:pPr>
        <w:pStyle w:val="ListBullet"/>
      </w:pPr>
      <w:r>
        <w:rPr>
          <w:vanish/>
          <w:spacing w:val="0"/>
        </w:rPr>
        <w:t xml:space="preserve">BR_3.56 </w:t>
      </w:r>
      <w:r>
        <w:t>The unit record will capture the entering tech ID, and display and/or print the entering tech name; the selecting tech ID, and display and/or print the selecting tech name; division, date, and time of the save; and the content (details of the unit selection), if indicated, data entries, interpretations, and comments.</w:t>
      </w:r>
    </w:p>
    <w:p w14:paraId="0A2C96A4" w14:textId="774119CF" w:rsidR="002317C3" w:rsidRDefault="002317C3" w:rsidP="002317C3">
      <w:pPr>
        <w:pStyle w:val="ListBullet"/>
      </w:pPr>
      <w:r>
        <w:rPr>
          <w:vanish/>
          <w:spacing w:val="0"/>
        </w:rPr>
        <w:t xml:space="preserve">BR_56.02 </w:t>
      </w:r>
      <w:r>
        <w:t xml:space="preserve">VBECS allows a user to save partially completed tests and allows the same or different user to complete the tests later. A first or second user may enter only new results and may not edit prior entries. VBECS allows the user to save partially completed testing. The user may return to complete the pending </w:t>
      </w:r>
      <w:r w:rsidR="00671459">
        <w:t>tasks but</w:t>
      </w:r>
      <w:r>
        <w:t xml:space="preserve"> may not edit saved interpretations.</w:t>
      </w:r>
    </w:p>
    <w:p w14:paraId="1D243931" w14:textId="77777777" w:rsidR="006B317D" w:rsidRDefault="006B317D">
      <w:pPr>
        <w:rPr>
          <w:rFonts w:ascii="Arial" w:hAnsi="Arial" w:cs="Arial"/>
          <w:b/>
          <w:bCs/>
          <w:sz w:val="26"/>
          <w:szCs w:val="26"/>
        </w:rPr>
      </w:pPr>
      <w:r>
        <w:br w:type="page"/>
      </w:r>
    </w:p>
    <w:p w14:paraId="33306362" w14:textId="0417B916" w:rsidR="00D05436" w:rsidRDefault="002317C3" w:rsidP="006B317D">
      <w:pPr>
        <w:pStyle w:val="Heading3"/>
      </w:pPr>
      <w:bookmarkStart w:id="58" w:name="_Toc203765822"/>
      <w:r>
        <w:lastRenderedPageBreak/>
        <w:t>Creating and Viewing Reports</w:t>
      </w:r>
      <w:bookmarkEnd w:id="58"/>
      <w:r w:rsidRPr="00D05436">
        <w:fldChar w:fldCharType="begin"/>
      </w:r>
      <w:r>
        <w:instrText xml:space="preserve"> XE “Creating and Viewing Reports” </w:instrText>
      </w:r>
      <w:r w:rsidRPr="00D05436">
        <w:fldChar w:fldCharType="end"/>
      </w:r>
    </w:p>
    <w:p w14:paraId="0B11C987" w14:textId="7770767E" w:rsidR="002317C3" w:rsidRDefault="002317C3" w:rsidP="006B317D">
      <w:pPr>
        <w:pStyle w:val="ListBullet"/>
        <w:keepNext/>
      </w:pPr>
      <w:r>
        <w:t xml:space="preserve">Click </w:t>
      </w:r>
      <w:r w:rsidRPr="002D4435">
        <w:rPr>
          <w:rFonts w:ascii="Wingdings" w:hAnsi="Wingdings"/>
        </w:rPr>
        <w:t></w:t>
      </w:r>
      <w:r>
        <w:t xml:space="preserve"> in the Include Report Sections area to select all report sections</w:t>
      </w:r>
      <w:r w:rsidR="00E365A8">
        <w:t xml:space="preserve"> (</w:t>
      </w:r>
      <w:r w:rsidR="00EE455E">
        <w:t xml:space="preserve">Figure </w:t>
      </w:r>
      <w:r w:rsidR="00EE455E">
        <w:rPr>
          <w:noProof/>
        </w:rPr>
        <w:t>5</w:t>
      </w:r>
      <w:r w:rsidR="00E365A8">
        <w:t>)</w:t>
      </w:r>
      <w:r>
        <w:t>.</w:t>
      </w:r>
    </w:p>
    <w:p w14:paraId="446CE50F" w14:textId="42438AEB" w:rsidR="005B6E37" w:rsidRDefault="002317C3" w:rsidP="006B317D">
      <w:pPr>
        <w:pStyle w:val="ListBullet"/>
        <w:keepNext/>
        <w:sectPr w:rsidR="005B6E37" w:rsidSect="0003045D">
          <w:headerReference w:type="default" r:id="rId32"/>
          <w:footerReference w:type="default" r:id="rId33"/>
          <w:type w:val="nextColumn"/>
          <w:pgSz w:w="12240" w:h="15840" w:code="1"/>
          <w:pgMar w:top="1440" w:right="1440" w:bottom="1440" w:left="1440" w:header="720" w:footer="720" w:gutter="0"/>
          <w:cols w:space="720"/>
          <w:docGrid w:linePitch="360"/>
        </w:sectPr>
      </w:pPr>
      <w:r>
        <w:t xml:space="preserve">Click </w:t>
      </w:r>
      <w:r w:rsidRPr="00D1343E">
        <w:rPr>
          <w:rFonts w:ascii="Wingdings 2" w:hAnsi="Wingdings 2" w:cs="Geneva"/>
          <w:b/>
        </w:rPr>
        <w:t></w:t>
      </w:r>
      <w:r>
        <w:t xml:space="preserve"> in the Include Report Sections area to clear all report sections</w:t>
      </w:r>
      <w:r w:rsidR="00931AD5">
        <w:t xml:space="preserve"> (</w:t>
      </w:r>
      <w:r w:rsidR="00EE455E">
        <w:t xml:space="preserve">Figure </w:t>
      </w:r>
      <w:r w:rsidR="00EE455E">
        <w:rPr>
          <w:noProof/>
        </w:rPr>
        <w:t>6</w:t>
      </w:r>
      <w:r w:rsidR="00931AD5">
        <w:t>)</w:t>
      </w:r>
      <w:r>
        <w:t>.</w:t>
      </w:r>
    </w:p>
    <w:p w14:paraId="209C3FF3" w14:textId="3AE21D83" w:rsidR="005B6E37" w:rsidRDefault="005B6E37" w:rsidP="005B6E37">
      <w:pPr>
        <w:pStyle w:val="Caption"/>
      </w:pPr>
      <w:bookmarkStart w:id="59" w:name="_Ref127154331"/>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7D1829">
        <w:rPr>
          <w:noProof/>
        </w:rPr>
        <w:t>5</w:t>
      </w:r>
      <w:r w:rsidR="004E20BD">
        <w:rPr>
          <w:noProof/>
        </w:rPr>
        <w:fldChar w:fldCharType="end"/>
      </w:r>
      <w:bookmarkEnd w:id="59"/>
      <w:r>
        <w:t>: Click to Select All Report Sections</w:t>
      </w:r>
    </w:p>
    <w:p w14:paraId="254E1C67" w14:textId="36792A98" w:rsidR="00814342" w:rsidRPr="00814342" w:rsidRDefault="0003045D" w:rsidP="00814342">
      <w:r>
        <w:rPr>
          <w:noProof/>
        </w:rPr>
        <w:drawing>
          <wp:inline distT="0" distB="0" distL="0" distR="0" wp14:anchorId="6163CBC1" wp14:editId="791AB108">
            <wp:extent cx="2971800" cy="3381375"/>
            <wp:effectExtent l="0" t="0" r="0" b="9525"/>
            <wp:docPr id="9" name="Picture 9" descr="Click to Select All Report Sections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Click to Select All Report Sections screen captur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971800" cy="3381375"/>
                    </a:xfrm>
                    <a:prstGeom prst="rect">
                      <a:avLst/>
                    </a:prstGeom>
                    <a:noFill/>
                    <a:ln>
                      <a:noFill/>
                    </a:ln>
                  </pic:spPr>
                </pic:pic>
              </a:graphicData>
            </a:graphic>
          </wp:inline>
        </w:drawing>
      </w:r>
    </w:p>
    <w:p w14:paraId="40A46E10" w14:textId="0BA193D2" w:rsidR="005B6E37" w:rsidRDefault="005B6E37" w:rsidP="005B6E37">
      <w:pPr>
        <w:pStyle w:val="Caption"/>
      </w:pPr>
      <w:bookmarkStart w:id="60" w:name="_Ref127154367"/>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7D1829">
        <w:rPr>
          <w:noProof/>
        </w:rPr>
        <w:t>6</w:t>
      </w:r>
      <w:r w:rsidR="004E20BD">
        <w:rPr>
          <w:noProof/>
        </w:rPr>
        <w:fldChar w:fldCharType="end"/>
      </w:r>
      <w:bookmarkEnd w:id="60"/>
      <w:r>
        <w:t xml:space="preserve">: Click to Clear All Report Sections </w:t>
      </w:r>
    </w:p>
    <w:p w14:paraId="7F1F430F" w14:textId="5C594E32" w:rsidR="005B6E37" w:rsidRDefault="00057948" w:rsidP="00814342">
      <w:pPr>
        <w:pStyle w:val="BodyText"/>
        <w:sectPr w:rsidR="005B6E37" w:rsidSect="00E57AC5">
          <w:type w:val="continuous"/>
          <w:pgSz w:w="12240" w:h="15840" w:code="1"/>
          <w:pgMar w:top="1440" w:right="1440" w:bottom="1440" w:left="1440" w:header="720" w:footer="720" w:gutter="0"/>
          <w:cols w:num="2" w:space="720"/>
          <w:docGrid w:linePitch="360"/>
        </w:sectPr>
      </w:pPr>
      <w:r>
        <w:rPr>
          <w:noProof/>
        </w:rPr>
        <w:drawing>
          <wp:inline distT="0" distB="0" distL="0" distR="0" wp14:anchorId="4C2D0539" wp14:editId="457A00B6">
            <wp:extent cx="2974340" cy="3399155"/>
            <wp:effectExtent l="0" t="0" r="0" b="0"/>
            <wp:docPr id="23" name="Picture 23" descr="Click to Clear All Report Sections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Click to Clear All Report Sections screen capture"/>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974340" cy="3399155"/>
                    </a:xfrm>
                    <a:prstGeom prst="rect">
                      <a:avLst/>
                    </a:prstGeom>
                    <a:noFill/>
                    <a:ln>
                      <a:noFill/>
                    </a:ln>
                  </pic:spPr>
                </pic:pic>
              </a:graphicData>
            </a:graphic>
          </wp:inline>
        </w:drawing>
      </w:r>
    </w:p>
    <w:p w14:paraId="15C70280" w14:textId="0BA04DD5" w:rsidR="002317C3" w:rsidRDefault="002317C3" w:rsidP="005B6E37">
      <w:pPr>
        <w:pStyle w:val="ListBullet"/>
      </w:pPr>
      <w:r>
        <w:rPr>
          <w:vanish/>
        </w:rPr>
        <w:t xml:space="preserve">BR_20.17 </w:t>
      </w:r>
      <w:r>
        <w:t xml:space="preserve">In the Report Compilation area, click the </w:t>
      </w:r>
      <w:r>
        <w:rPr>
          <w:b/>
        </w:rPr>
        <w:t>Create Report Now</w:t>
      </w:r>
      <w:r>
        <w:t xml:space="preserve"> </w:t>
      </w:r>
      <w:r w:rsidRPr="00BF2E41">
        <w:t>radio button</w:t>
      </w:r>
      <w:r>
        <w:t xml:space="preserve"> and </w:t>
      </w:r>
      <w:r>
        <w:rPr>
          <w:b/>
        </w:rPr>
        <w:t>OK</w:t>
      </w:r>
      <w:r>
        <w:t xml:space="preserve"> to view the report, or click the </w:t>
      </w:r>
      <w:r>
        <w:rPr>
          <w:b/>
        </w:rPr>
        <w:t>Schedule Print Job</w:t>
      </w:r>
      <w:r>
        <w:t xml:space="preserve"> </w:t>
      </w:r>
      <w:r w:rsidRPr="00BF2E41">
        <w:t>radio button</w:t>
      </w:r>
      <w:r>
        <w:rPr>
          <w:b/>
        </w:rPr>
        <w:t xml:space="preserve"> </w:t>
      </w:r>
      <w:r>
        <w:t xml:space="preserve">and </w:t>
      </w:r>
      <w:r>
        <w:rPr>
          <w:b/>
        </w:rPr>
        <w:t>OK</w:t>
      </w:r>
      <w:r>
        <w:t xml:space="preserve">, then enter or select a print date and printer name, then click </w:t>
      </w:r>
      <w:r>
        <w:rPr>
          <w:b/>
        </w:rPr>
        <w:t>OK</w:t>
      </w:r>
      <w:r>
        <w:t xml:space="preserve"> to view and print the report.</w:t>
      </w:r>
    </w:p>
    <w:p w14:paraId="0EB7B41B" w14:textId="77777777" w:rsidR="00855A2D" w:rsidRPr="00855A2D" w:rsidRDefault="00855A2D" w:rsidP="002317C3">
      <w:pPr>
        <w:pStyle w:val="ListBullet"/>
      </w:pPr>
      <w:r w:rsidRPr="00855A2D">
        <w:rPr>
          <w:spacing w:val="0"/>
        </w:rPr>
        <w:t>Reports are printed only in their entirety.</w:t>
      </w:r>
    </w:p>
    <w:p w14:paraId="38852DDA" w14:textId="77777777" w:rsidR="002317C3" w:rsidRDefault="002317C3" w:rsidP="002317C3">
      <w:pPr>
        <w:pStyle w:val="ListBullet"/>
      </w:pPr>
      <w:r>
        <w:rPr>
          <w:vanish/>
          <w:spacing w:val="0"/>
        </w:rPr>
        <w:t xml:space="preserve">BR_77.02 </w:t>
      </w:r>
      <w:r>
        <w:t xml:space="preserve">A single-division report includes information from one division. </w:t>
      </w:r>
    </w:p>
    <w:p w14:paraId="683CC6F4" w14:textId="77777777" w:rsidR="002317C3" w:rsidRDefault="002317C3" w:rsidP="002317C3">
      <w:pPr>
        <w:pStyle w:val="ListBullet"/>
      </w:pPr>
      <w:r>
        <w:rPr>
          <w:vanish/>
          <w:spacing w:val="0"/>
        </w:rPr>
        <w:t xml:space="preserve">BR_104.02 </w:t>
      </w:r>
      <w:r>
        <w:t>When a site is a single division or a user does not have multidivisional access and a report has a multiple-division option, the user may not select a multidivisional report.</w:t>
      </w:r>
    </w:p>
    <w:p w14:paraId="7EA978C5" w14:textId="77777777" w:rsidR="002317C3" w:rsidRDefault="002317C3" w:rsidP="002317C3">
      <w:pPr>
        <w:pStyle w:val="ListBullet"/>
      </w:pPr>
      <w:r>
        <w:rPr>
          <w:vanish/>
          <w:spacing w:val="0"/>
        </w:rPr>
        <w:t xml:space="preserve">BR_27.10 </w:t>
      </w:r>
      <w:r>
        <w:t>VBECS maintains a cumulative history of all transactions, including testing and status changes, for every blood unit entered in the database (Unit History Report).</w:t>
      </w:r>
    </w:p>
    <w:p w14:paraId="468B209E" w14:textId="3BB3A1CF" w:rsidR="002317C3" w:rsidRDefault="002317C3" w:rsidP="002317C3">
      <w:pPr>
        <w:pStyle w:val="ListBullet"/>
      </w:pPr>
      <w:r>
        <w:rPr>
          <w:vanish/>
          <w:spacing w:val="0"/>
        </w:rPr>
        <w:t xml:space="preserve">BR_12.02 </w:t>
      </w:r>
      <w:r>
        <w:t xml:space="preserve">VBECS captures changes to verified data for inclusion in an audit trail report (Audit Trail Report, Unit History Report, </w:t>
      </w:r>
      <w:r w:rsidR="001F530A">
        <w:t xml:space="preserve">and </w:t>
      </w:r>
      <w:r>
        <w:t>Patient History Report).</w:t>
      </w:r>
    </w:p>
    <w:p w14:paraId="626F1B66" w14:textId="77777777" w:rsidR="002317C3" w:rsidRDefault="002317C3" w:rsidP="002317C3">
      <w:pPr>
        <w:pStyle w:val="ListBullet"/>
      </w:pPr>
      <w:r>
        <w:rPr>
          <w:vanish/>
          <w:spacing w:val="0"/>
        </w:rPr>
        <w:t xml:space="preserve">BR_56.10 </w:t>
      </w:r>
      <w:r>
        <w:t>VBECS displays patient ABO/Rh results in reverse chronological order, regardless of division, then from the</w:t>
      </w:r>
      <w:r w:rsidR="00A62384">
        <w:t xml:space="preserve"> </w:t>
      </w:r>
      <w:r w:rsidR="000C7684" w:rsidRPr="000C7684">
        <w:rPr>
          <w:bCs/>
        </w:rPr>
        <w:t>VistA</w:t>
      </w:r>
      <w:r w:rsidR="00A62384">
        <w:t xml:space="preserve"> database conversion. When no ABO/Rh records exist, VBECS displays “NR” (no records). When there are discrep</w:t>
      </w:r>
      <w:r>
        <w:t xml:space="preserve">ant ABO/Rh results from the same </w:t>
      </w:r>
      <w:r w:rsidR="00AE2C2C">
        <w:t>universal ID (UID)</w:t>
      </w:r>
      <w:r>
        <w:t xml:space="preserve"> or from two specimen UIDs, VBECS displays the results recorded just prior to the latest result that created the discrepancy and warns the user.</w:t>
      </w:r>
    </w:p>
    <w:p w14:paraId="17200A0C" w14:textId="5BCF84AB" w:rsidR="002317C3" w:rsidRDefault="002317C3" w:rsidP="00096820">
      <w:pPr>
        <w:pStyle w:val="ListBullet"/>
      </w:pPr>
      <w:r w:rsidRPr="00C464E2">
        <w:rPr>
          <w:vanish/>
          <w:spacing w:val="0"/>
        </w:rPr>
        <w:t xml:space="preserve">BR_49.07 </w:t>
      </w:r>
      <w:r>
        <w:rPr>
          <w:noProof/>
        </w:rPr>
        <w:t>When no information that fulfills search criteria is available, VBECS notifies the user that no information is available, per entered search criteria.</w:t>
      </w:r>
    </w:p>
    <w:p w14:paraId="432E27C1" w14:textId="50B9C61D" w:rsidR="002317C3" w:rsidRDefault="002317C3" w:rsidP="002317C3">
      <w:pPr>
        <w:pStyle w:val="ListBullet"/>
      </w:pPr>
      <w:r>
        <w:rPr>
          <w:noProof/>
          <w:vanish/>
          <w:spacing w:val="0"/>
        </w:rPr>
        <w:t>BR_77.01</w:t>
      </w:r>
      <w:r w:rsidR="00F33FC0">
        <w:rPr>
          <w:noProof/>
          <w:vanish/>
          <w:spacing w:val="0"/>
        </w:rPr>
        <w:t>,</w:t>
      </w:r>
      <w:r>
        <w:rPr>
          <w:noProof/>
          <w:vanish/>
          <w:spacing w:val="0"/>
        </w:rPr>
        <w:t xml:space="preserve"> </w:t>
      </w:r>
      <w:r w:rsidR="00F33FC0">
        <w:rPr>
          <w:vanish/>
          <w:spacing w:val="0"/>
        </w:rPr>
        <w:t xml:space="preserve">BR_77.03, </w:t>
      </w:r>
      <w:r w:rsidR="00F33FC0">
        <w:rPr>
          <w:noProof/>
          <w:vanish/>
          <w:spacing w:val="0"/>
        </w:rPr>
        <w:t>BR_77.05</w:t>
      </w:r>
      <w:r>
        <w:t>The user may change the default start and end dates</w:t>
      </w:r>
      <w:r w:rsidR="00E43586">
        <w:t xml:space="preserve"> (the previous day). The end date</w:t>
      </w:r>
      <w:r>
        <w:t xml:space="preserve"> must be later than</w:t>
      </w:r>
      <w:r w:rsidR="00F33FC0">
        <w:t xml:space="preserve"> or the same as</w:t>
      </w:r>
      <w:r>
        <w:t xml:space="preserve"> the start date</w:t>
      </w:r>
      <w:r w:rsidR="00F33FC0">
        <w:t xml:space="preserve">. Report activity begins at and includes midnight on the start </w:t>
      </w:r>
      <w:r w:rsidR="00671459">
        <w:t>date and</w:t>
      </w:r>
      <w:r w:rsidR="00F33FC0">
        <w:t xml:space="preserve"> ends </w:t>
      </w:r>
      <w:r w:rsidR="00354248">
        <w:lastRenderedPageBreak/>
        <w:t>23:59</w:t>
      </w:r>
      <w:r w:rsidR="00F33FC0">
        <w:t xml:space="preserve"> on the end date. When the date range includes the current date, VBECS displays “Preliminary” in the header on each page of the report.</w:t>
      </w:r>
    </w:p>
    <w:p w14:paraId="5CB7F632" w14:textId="77777777" w:rsidR="002317C3" w:rsidRDefault="002317C3" w:rsidP="002317C3">
      <w:pPr>
        <w:pStyle w:val="ListBullet"/>
      </w:pPr>
      <w:r>
        <w:rPr>
          <w:vanish/>
          <w:spacing w:val="0"/>
        </w:rPr>
        <w:t xml:space="preserve">BR_77.07 </w:t>
      </w:r>
      <w:r>
        <w:t>VBECS displays headers on every page of a report; it displays search and sort criteria and date ranges at the end of the report. VBECS identifies whether reports are generated from a test environment or from a production environment.</w:t>
      </w:r>
    </w:p>
    <w:p w14:paraId="04D617E6" w14:textId="5A61EC5F" w:rsidR="00D9320F" w:rsidRDefault="002317C3" w:rsidP="00D9320F">
      <w:pPr>
        <w:pStyle w:val="ListBullet"/>
      </w:pPr>
      <w:r w:rsidRPr="00FF2D14">
        <w:rPr>
          <w:vanish/>
        </w:rPr>
        <w:t xml:space="preserve">BR_77.11 </w:t>
      </w:r>
      <w:r w:rsidR="00767ECE">
        <w:t xml:space="preserve">The user may choose to schedule a report to run at a future date and time and print on a designated printer. When a date range is supplied for the report, the report's end date must occur before selected date of printing. The report scheduled to run at the future date/time will start processing the data at the time the report is scheduled to print (future date/time). If the date range spans more than 30 days, the system displays the warning message: "You are requesting more than 30 days of data to be printed. Continue?" </w:t>
      </w:r>
      <w:r w:rsidR="00AB4BD9" w:rsidRPr="00AB4BD9">
        <w:rPr>
          <w:vanish/>
        </w:rPr>
        <w:t>Defect 210516</w:t>
      </w:r>
    </w:p>
    <w:p w14:paraId="2071D4CD" w14:textId="77777777" w:rsidR="00A62384" w:rsidRDefault="002317C3" w:rsidP="002317C3">
      <w:pPr>
        <w:pStyle w:val="ListBullet"/>
      </w:pPr>
      <w:r>
        <w:t xml:space="preserve">Local record retention policy instructs users to print, review, document, and save the </w:t>
      </w:r>
      <w:r w:rsidR="002D2971">
        <w:rPr>
          <w:rFonts w:eastAsia="Arial Unicode MS"/>
        </w:rPr>
        <w:t>Audit Trail, Exception, and Testing Worklist Reports</w:t>
      </w:r>
      <w:r>
        <w:t xml:space="preserve">. The reports contain only data entries generated in the user’s login division. </w:t>
      </w:r>
      <w:r>
        <w:rPr>
          <w:vanish/>
          <w:spacing w:val="0"/>
        </w:rPr>
        <w:t xml:space="preserve">BR_77.08 </w:t>
      </w:r>
      <w:r>
        <w:t>Each entry includes an area for supervisor acknowledgement (signature or initials and date of</w:t>
      </w:r>
      <w:r w:rsidR="00A62384">
        <w:t xml:space="preserve"> review) and comment.</w:t>
      </w:r>
    </w:p>
    <w:p w14:paraId="49FD7E8F" w14:textId="77777777" w:rsidR="002C0B9B" w:rsidRPr="002C0B9B" w:rsidRDefault="002C0B9B" w:rsidP="002C0B9B">
      <w:pPr>
        <w:pStyle w:val="ListBullet"/>
      </w:pPr>
      <w:r>
        <w:t xml:space="preserve">The search functionality (binoculars icon) may not </w:t>
      </w:r>
      <w:r w:rsidR="0045199A">
        <w:t>work</w:t>
      </w:r>
      <w:r>
        <w:t xml:space="preserve"> in a displayed report. </w:t>
      </w:r>
      <w:r w:rsidRPr="002C0B9B">
        <w:rPr>
          <w:vanish/>
        </w:rPr>
        <w:t>DR 2538</w:t>
      </w:r>
    </w:p>
    <w:p w14:paraId="1CED15BC" w14:textId="77777777" w:rsidR="00413ECA" w:rsidRDefault="00A62384" w:rsidP="00413ECA">
      <w:pPr>
        <w:pStyle w:val="ListBullet"/>
      </w:pPr>
      <w:r w:rsidRPr="00BC74C6">
        <w:rPr>
          <w:vanish/>
          <w:spacing w:val="0"/>
        </w:rPr>
        <w:t xml:space="preserve">BR_65.01 </w:t>
      </w:r>
      <w:r>
        <w:t>VBECS displays the patient historical ABO/Rh</w:t>
      </w:r>
      <w:r w:rsidR="000A0BE8">
        <w:t>, antibodies identified, antigen negative requirements, and</w:t>
      </w:r>
      <w:r>
        <w:t xml:space="preserve"> </w:t>
      </w:r>
      <w:r w:rsidR="000A0BE8">
        <w:t xml:space="preserve">transfusion reaction history </w:t>
      </w:r>
      <w:r>
        <w:t xml:space="preserve">(date, division of testing, whether from the </w:t>
      </w:r>
      <w:r w:rsidR="000C7684" w:rsidRPr="00BC74C6">
        <w:rPr>
          <w:bCs/>
        </w:rPr>
        <w:t>VistA</w:t>
      </w:r>
      <w:r w:rsidR="00413ECA">
        <w:t xml:space="preserve"> database conversion)</w:t>
      </w:r>
      <w:r w:rsidR="00F53A23">
        <w:t>,</w:t>
      </w:r>
      <w:r w:rsidR="00413ECA">
        <w:t xml:space="preserve"> </w:t>
      </w:r>
      <w:r w:rsidR="000A0BE8">
        <w:t xml:space="preserve">and </w:t>
      </w:r>
      <w:r w:rsidR="00413ECA">
        <w:t>whether the historical ABO/Rh was changed.</w:t>
      </w:r>
    </w:p>
    <w:p w14:paraId="4E678258" w14:textId="0B1D7A30" w:rsidR="0092694F" w:rsidRPr="003E663B" w:rsidRDefault="00413ECA" w:rsidP="003D6B91">
      <w:pPr>
        <w:pStyle w:val="ListBullet"/>
        <w:rPr>
          <w:rStyle w:val="CommentReference"/>
          <w:sz w:val="22"/>
          <w:szCs w:val="22"/>
        </w:rPr>
      </w:pPr>
      <w:r>
        <w:rPr>
          <w:vanish/>
          <w:spacing w:val="0"/>
        </w:rPr>
        <w:t xml:space="preserve">BR_65.02 </w:t>
      </w:r>
      <w:r>
        <w:t>When a patient has a history of an ABO/Rh change justified through Justify ABO/Rh Change, VBECS displays “History of justified ABO/Rh change” next to the</w:t>
      </w:r>
      <w:r>
        <w:rPr>
          <w:rStyle w:val="CommentReference"/>
          <w:sz w:val="22"/>
        </w:rPr>
        <w:t xml:space="preserve"> historical ABO/Rh information</w:t>
      </w:r>
      <w:r w:rsidR="008925E8">
        <w:rPr>
          <w:rStyle w:val="CommentReference"/>
          <w:sz w:val="22"/>
        </w:rPr>
        <w:t>.</w:t>
      </w:r>
    </w:p>
    <w:p w14:paraId="04E5405C" w14:textId="2A20693D" w:rsidR="00EA07D7" w:rsidRDefault="00EA07D7" w:rsidP="003D6B91">
      <w:pPr>
        <w:pStyle w:val="ListBullet"/>
      </w:pPr>
      <w:r>
        <w:t xml:space="preserve">Refer to the </w:t>
      </w:r>
      <w:r w:rsidRPr="003E663B">
        <w:rPr>
          <w:i/>
          <w:iCs/>
        </w:rPr>
        <w:t>VBECS Technical Manual-Security Guide</w:t>
      </w:r>
      <w:r>
        <w:t xml:space="preserve"> for details on which workstation settings may affect the appearance of a report preview.</w:t>
      </w:r>
    </w:p>
    <w:p w14:paraId="74FAEEA4" w14:textId="5B3A5713" w:rsidR="00C315E3" w:rsidRPr="002532D0" w:rsidRDefault="002532D0" w:rsidP="003D6B91">
      <w:pPr>
        <w:pStyle w:val="ListBullet"/>
        <w:rPr>
          <w:rStyle w:val="CommentReference"/>
          <w:sz w:val="22"/>
          <w:szCs w:val="22"/>
        </w:rPr>
      </w:pPr>
      <w:r w:rsidRPr="002532D0">
        <w:rPr>
          <w:vanish/>
        </w:rPr>
        <w:t xml:space="preserve">BR_77.12 </w:t>
      </w:r>
      <w:r w:rsidR="00C315E3" w:rsidRPr="002532D0">
        <w:t xml:space="preserve">When VBECS has been set </w:t>
      </w:r>
      <w:r w:rsidRPr="002532D0">
        <w:t>Read-Only</w:t>
      </w:r>
      <w:r w:rsidR="00C315E3" w:rsidRPr="002532D0">
        <w:t xml:space="preserve">, the header of every page of a report will contain “VBECS DATA IS READ ONLY”. </w:t>
      </w:r>
    </w:p>
    <w:p w14:paraId="74005AE2" w14:textId="77777777" w:rsidR="002F1554" w:rsidRPr="002F1554" w:rsidRDefault="002F1554" w:rsidP="002F1554">
      <w:pPr>
        <w:pStyle w:val="ListBullet"/>
        <w:numPr>
          <w:ilvl w:val="0"/>
          <w:numId w:val="0"/>
        </w:numPr>
        <w:ind w:left="648" w:hanging="360"/>
      </w:pPr>
    </w:p>
    <w:p w14:paraId="7CB572B8" w14:textId="77777777" w:rsidR="00C20AF0" w:rsidRPr="00037A18" w:rsidRDefault="00C20AF0" w:rsidP="00C20AF0">
      <w:pPr>
        <w:rPr>
          <w:sz w:val="22"/>
          <w:szCs w:val="22"/>
        </w:rPr>
      </w:pPr>
      <w:r w:rsidRPr="00037A18">
        <w:rPr>
          <w:sz w:val="22"/>
          <w:szCs w:val="22"/>
        </w:rPr>
        <w:t xml:space="preserve">Reports in VBECS are created using a Microsoft technology called SQL Server Reporting Services (SSRS). Reports are rendered on screen using </w:t>
      </w:r>
      <w:r>
        <w:rPr>
          <w:sz w:val="22"/>
          <w:szCs w:val="22"/>
        </w:rPr>
        <w:t xml:space="preserve">Microsoft </w:t>
      </w:r>
      <w:r w:rsidRPr="00037A18">
        <w:rPr>
          <w:sz w:val="22"/>
          <w:szCs w:val="22"/>
        </w:rPr>
        <w:t>Report</w:t>
      </w:r>
      <w:r>
        <w:rPr>
          <w:sz w:val="22"/>
          <w:szCs w:val="22"/>
        </w:rPr>
        <w:t xml:space="preserve"> </w:t>
      </w:r>
      <w:r w:rsidRPr="00037A18">
        <w:rPr>
          <w:sz w:val="22"/>
          <w:szCs w:val="22"/>
        </w:rPr>
        <w:t xml:space="preserve">Viewer control. Reports are not deployed on the reporting server but as a part of the main application. All reports </w:t>
      </w:r>
      <w:r>
        <w:rPr>
          <w:sz w:val="22"/>
          <w:szCs w:val="22"/>
        </w:rPr>
        <w:t xml:space="preserve">rendered on screen </w:t>
      </w:r>
      <w:r w:rsidRPr="00037A18">
        <w:rPr>
          <w:sz w:val="22"/>
          <w:szCs w:val="22"/>
        </w:rPr>
        <w:t>can be exported. The user has the option to export reports</w:t>
      </w:r>
      <w:r>
        <w:rPr>
          <w:sz w:val="22"/>
          <w:szCs w:val="22"/>
        </w:rPr>
        <w:t xml:space="preserve"> in three different formats (PDF</w:t>
      </w:r>
      <w:r w:rsidRPr="00037A18">
        <w:rPr>
          <w:sz w:val="22"/>
          <w:szCs w:val="22"/>
        </w:rPr>
        <w:t>, Excel and/or Word).</w:t>
      </w:r>
    </w:p>
    <w:p w14:paraId="12DA6635" w14:textId="77777777" w:rsidR="006B317D" w:rsidRDefault="006B317D">
      <w:pPr>
        <w:rPr>
          <w:rFonts w:ascii="Arial" w:hAnsi="Arial" w:cs="Arial"/>
          <w:b/>
          <w:bCs/>
          <w:sz w:val="26"/>
          <w:szCs w:val="26"/>
        </w:rPr>
      </w:pPr>
      <w:r>
        <w:br w:type="page"/>
      </w:r>
    </w:p>
    <w:p w14:paraId="383D3FCE" w14:textId="11B2C91F" w:rsidR="00770D97" w:rsidRDefault="00770D97" w:rsidP="00292063">
      <w:pPr>
        <w:pStyle w:val="Heading3"/>
      </w:pPr>
      <w:bookmarkStart w:id="61" w:name="_Toc203765823"/>
      <w:r>
        <w:lastRenderedPageBreak/>
        <w:t>Scheduling Report Print Jobs</w:t>
      </w:r>
      <w:bookmarkEnd w:id="61"/>
    </w:p>
    <w:p w14:paraId="38D98DC0" w14:textId="1E62579F" w:rsidR="00D2638D" w:rsidRDefault="00770D97" w:rsidP="00292063">
      <w:pPr>
        <w:keepNext/>
        <w:rPr>
          <w:sz w:val="22"/>
          <w:szCs w:val="22"/>
        </w:rPr>
      </w:pPr>
      <w:r>
        <w:rPr>
          <w:sz w:val="22"/>
          <w:szCs w:val="22"/>
        </w:rPr>
        <w:t xml:space="preserve">To have a report printed automatically at a later date, the user </w:t>
      </w:r>
      <w:r w:rsidR="00CE20B4">
        <w:rPr>
          <w:sz w:val="22"/>
          <w:szCs w:val="22"/>
        </w:rPr>
        <w:t>select</w:t>
      </w:r>
      <w:r w:rsidR="00FB40C0">
        <w:rPr>
          <w:sz w:val="22"/>
          <w:szCs w:val="22"/>
        </w:rPr>
        <w:t>s</w:t>
      </w:r>
      <w:r>
        <w:rPr>
          <w:sz w:val="22"/>
          <w:szCs w:val="22"/>
        </w:rPr>
        <w:t xml:space="preserve"> the </w:t>
      </w:r>
      <w:r w:rsidRPr="003E663B">
        <w:rPr>
          <w:b/>
          <w:bCs/>
          <w:sz w:val="22"/>
          <w:szCs w:val="22"/>
        </w:rPr>
        <w:t>Schedule Print Job</w:t>
      </w:r>
      <w:r>
        <w:rPr>
          <w:sz w:val="22"/>
          <w:szCs w:val="22"/>
        </w:rPr>
        <w:t xml:space="preserve"> option on any VBECS </w:t>
      </w:r>
      <w:r w:rsidRPr="00CE20B4">
        <w:rPr>
          <w:sz w:val="22"/>
          <w:szCs w:val="22"/>
        </w:rPr>
        <w:t>report (</w:t>
      </w:r>
      <w:r w:rsidR="00EE455E" w:rsidRPr="00EE455E">
        <w:rPr>
          <w:sz w:val="22"/>
          <w:szCs w:val="22"/>
        </w:rPr>
        <w:t xml:space="preserve">Figure </w:t>
      </w:r>
      <w:r w:rsidR="00EE455E" w:rsidRPr="00EE455E">
        <w:rPr>
          <w:noProof/>
          <w:sz w:val="22"/>
          <w:szCs w:val="22"/>
        </w:rPr>
        <w:t>5</w:t>
      </w:r>
      <w:r w:rsidRPr="00CE20B4">
        <w:rPr>
          <w:sz w:val="22"/>
          <w:szCs w:val="22"/>
        </w:rPr>
        <w:t>).</w:t>
      </w:r>
      <w:r w:rsidR="00D2638D" w:rsidRPr="00CE20B4">
        <w:rPr>
          <w:sz w:val="22"/>
          <w:szCs w:val="22"/>
        </w:rPr>
        <w:t xml:space="preserve"> Scheduled</w:t>
      </w:r>
      <w:r w:rsidR="00D2638D">
        <w:rPr>
          <w:sz w:val="22"/>
          <w:szCs w:val="22"/>
        </w:rPr>
        <w:t xml:space="preserve"> print jobs wait in a queue until the designated </w:t>
      </w:r>
      <w:r w:rsidR="00CE20B4">
        <w:rPr>
          <w:sz w:val="22"/>
          <w:szCs w:val="22"/>
        </w:rPr>
        <w:t xml:space="preserve">time (set </w:t>
      </w:r>
      <w:r w:rsidR="00D2638D">
        <w:rPr>
          <w:sz w:val="22"/>
          <w:szCs w:val="22"/>
        </w:rPr>
        <w:t xml:space="preserve">in the </w:t>
      </w:r>
      <w:r w:rsidR="00D2638D" w:rsidRPr="003E663B">
        <w:rPr>
          <w:b/>
          <w:bCs/>
          <w:sz w:val="22"/>
          <w:szCs w:val="22"/>
        </w:rPr>
        <w:t>Print Date</w:t>
      </w:r>
      <w:r w:rsidR="00D2638D">
        <w:rPr>
          <w:sz w:val="22"/>
          <w:szCs w:val="22"/>
        </w:rPr>
        <w:t xml:space="preserve"> field</w:t>
      </w:r>
      <w:r w:rsidR="00CE20B4">
        <w:rPr>
          <w:sz w:val="22"/>
          <w:szCs w:val="22"/>
        </w:rPr>
        <w:t xml:space="preserve">), </w:t>
      </w:r>
      <w:r w:rsidR="00D2638D">
        <w:rPr>
          <w:sz w:val="22"/>
          <w:szCs w:val="22"/>
        </w:rPr>
        <w:t xml:space="preserve">at which point they </w:t>
      </w:r>
      <w:r w:rsidR="00CE20B4">
        <w:rPr>
          <w:sz w:val="22"/>
          <w:szCs w:val="22"/>
        </w:rPr>
        <w:t>are</w:t>
      </w:r>
      <w:r w:rsidR="00D2638D">
        <w:rPr>
          <w:sz w:val="22"/>
          <w:szCs w:val="22"/>
        </w:rPr>
        <w:t xml:space="preserve"> sent to the printer selected in the </w:t>
      </w:r>
      <w:r w:rsidR="00D2638D" w:rsidRPr="003E663B">
        <w:rPr>
          <w:b/>
          <w:bCs/>
          <w:sz w:val="22"/>
          <w:szCs w:val="22"/>
        </w:rPr>
        <w:t>Printer Name</w:t>
      </w:r>
      <w:r w:rsidR="00D2638D">
        <w:rPr>
          <w:sz w:val="22"/>
          <w:szCs w:val="22"/>
        </w:rPr>
        <w:t xml:space="preserve"> field. </w:t>
      </w:r>
    </w:p>
    <w:p w14:paraId="6C8B48AD" w14:textId="77777777" w:rsidR="00FF2D14" w:rsidRDefault="00FF2D14" w:rsidP="00770D97">
      <w:pPr>
        <w:rPr>
          <w:b/>
          <w:bCs/>
          <w:sz w:val="22"/>
          <w:szCs w:val="22"/>
        </w:rPr>
      </w:pPr>
    </w:p>
    <w:p w14:paraId="0B54B7BD" w14:textId="78622904" w:rsidR="00FF2D14" w:rsidRDefault="00FF2D14" w:rsidP="00FF2D14">
      <w:pPr>
        <w:pStyle w:val="ListBullet"/>
      </w:pPr>
      <w:r>
        <w:t xml:space="preserve">The print job engine runs in UTC time. This means that if you set the </w:t>
      </w:r>
      <w:r w:rsidRPr="00603161">
        <w:rPr>
          <w:b/>
          <w:bCs/>
        </w:rPr>
        <w:t>Print Date</w:t>
      </w:r>
      <w:r>
        <w:t xml:space="preserve"> field to 9:00AM it will print at 9:00AM UTC, (which equates to 6:00AM EDT, 5:00AM CDT, 4:00AM MDT and 3:00AM PDT). The </w:t>
      </w:r>
      <w:r w:rsidRPr="00603161">
        <w:rPr>
          <w:b/>
          <w:bCs/>
        </w:rPr>
        <w:t>Start Date</w:t>
      </w:r>
      <w:r>
        <w:t xml:space="preserve"> and </w:t>
      </w:r>
      <w:r w:rsidRPr="00603161">
        <w:rPr>
          <w:b/>
          <w:bCs/>
        </w:rPr>
        <w:t>End Date</w:t>
      </w:r>
      <w:r>
        <w:t xml:space="preserve"> fields are converted into user division time, which can create a scenario where the job prints before the </w:t>
      </w:r>
      <w:r w:rsidRPr="00603161">
        <w:rPr>
          <w:b/>
          <w:bCs/>
        </w:rPr>
        <w:t>End Date</w:t>
      </w:r>
      <w:r>
        <w:rPr>
          <w:b/>
          <w:bCs/>
        </w:rPr>
        <w:t>.</w:t>
      </w:r>
    </w:p>
    <w:p w14:paraId="00E6048B" w14:textId="68CC7609" w:rsidR="00FF2D14" w:rsidRDefault="00FF2D14" w:rsidP="00FF2D14">
      <w:pPr>
        <w:pStyle w:val="ListBullet"/>
      </w:pPr>
      <w:r>
        <w:t>The user may choose to schedule a report to run at a future date and time and print on a designated printer. When a date range is supplied for the report, the report's end date must occur before the selected date of printing. The report scheduled to run at the future date/time will start processing the data at the time the report is scheduled to print (future date/time). If the date range spans more than 30 days, the system displays the warning message: "You are requesting more than 30 days of data to be printed. Continue?"</w:t>
      </w:r>
    </w:p>
    <w:p w14:paraId="26574061" w14:textId="749E31A0" w:rsidR="00FF2D14" w:rsidRDefault="00FF2D14" w:rsidP="00FF2D14">
      <w:pPr>
        <w:pStyle w:val="ListBullet"/>
      </w:pPr>
      <w:r>
        <w:t xml:space="preserve">If a print job is scheduled for </w:t>
      </w:r>
      <w:r w:rsidRPr="003E663B">
        <w:rPr>
          <w:b/>
          <w:bCs/>
        </w:rPr>
        <w:t>Printer Name</w:t>
      </w:r>
      <w:r>
        <w:t xml:space="preserve"> “VBECS Backup Printer”, and the “VBECS Backup Printer” is renamed or removed before the job’s </w:t>
      </w:r>
      <w:r w:rsidRPr="003E663B">
        <w:rPr>
          <w:b/>
          <w:bCs/>
        </w:rPr>
        <w:t>Print Date</w:t>
      </w:r>
      <w:r>
        <w:t>, that report will not print.</w:t>
      </w:r>
    </w:p>
    <w:p w14:paraId="6B4203DF" w14:textId="49FADEAC" w:rsidR="002F1554" w:rsidRPr="00037A18" w:rsidRDefault="002F1554" w:rsidP="002F1554">
      <w:pPr>
        <w:pStyle w:val="Heading2"/>
      </w:pPr>
      <w:bookmarkStart w:id="62" w:name="_Toc203765824"/>
      <w:r w:rsidRPr="00037A18">
        <w:t>Report Toolbar</w:t>
      </w:r>
      <w:bookmarkEnd w:id="62"/>
      <w:r w:rsidR="002B5CD5">
        <w:t xml:space="preserve"> </w:t>
      </w:r>
      <w:r w:rsidR="002B5CD5" w:rsidRPr="002B5CD5">
        <w:rPr>
          <w:rFonts w:ascii="Arial Bold" w:hAnsi="Arial Bold"/>
          <w:vanish/>
        </w:rPr>
        <w:t>DR 4581</w:t>
      </w:r>
    </w:p>
    <w:p w14:paraId="5E9B84D6" w14:textId="1B54A335" w:rsidR="002F1554" w:rsidRPr="00037A18" w:rsidRDefault="002F1554" w:rsidP="002F1554">
      <w:pPr>
        <w:rPr>
          <w:sz w:val="22"/>
          <w:szCs w:val="22"/>
        </w:rPr>
      </w:pPr>
      <w:r w:rsidRPr="00037A18">
        <w:rPr>
          <w:sz w:val="22"/>
          <w:szCs w:val="22"/>
        </w:rPr>
        <w:t xml:space="preserve">Each report in VBECS will have a toolbar on top that allows the user to interact with the </w:t>
      </w:r>
      <w:r w:rsidRPr="00D2638D">
        <w:rPr>
          <w:sz w:val="22"/>
          <w:szCs w:val="22"/>
        </w:rPr>
        <w:t>report (</w:t>
      </w:r>
      <w:r w:rsidR="00EE455E" w:rsidRPr="00EE455E">
        <w:rPr>
          <w:sz w:val="22"/>
          <w:szCs w:val="22"/>
        </w:rPr>
        <w:t xml:space="preserve">Figure </w:t>
      </w:r>
      <w:r w:rsidR="00EE455E" w:rsidRPr="00EE455E">
        <w:rPr>
          <w:noProof/>
          <w:sz w:val="22"/>
          <w:szCs w:val="22"/>
        </w:rPr>
        <w:t>7</w:t>
      </w:r>
      <w:r w:rsidRPr="00D2638D">
        <w:rPr>
          <w:sz w:val="22"/>
          <w:szCs w:val="22"/>
        </w:rPr>
        <w:t>).</w:t>
      </w:r>
      <w:r w:rsidR="009A5050" w:rsidRPr="00D2638D">
        <w:rPr>
          <w:sz w:val="22"/>
          <w:szCs w:val="22"/>
        </w:rPr>
        <w:t xml:space="preserve"> The following sub-sections elaborate on the controls found on the Report Toolbar. It is suggested</w:t>
      </w:r>
      <w:r w:rsidR="009A5050">
        <w:rPr>
          <w:sz w:val="22"/>
          <w:szCs w:val="22"/>
        </w:rPr>
        <w:t xml:space="preserve"> that users create a local directory for exporting their reports (see the</w:t>
      </w:r>
      <w:r w:rsidR="00A628A7">
        <w:rPr>
          <w:sz w:val="22"/>
          <w:szCs w:val="22"/>
        </w:rPr>
        <w:t xml:space="preserve"> </w:t>
      </w:r>
      <w:r w:rsidR="008343A9">
        <w:rPr>
          <w:i/>
          <w:sz w:val="22"/>
          <w:szCs w:val="22"/>
        </w:rPr>
        <w:t>VBECS</w:t>
      </w:r>
      <w:r w:rsidR="00963680">
        <w:rPr>
          <w:i/>
          <w:sz w:val="22"/>
          <w:szCs w:val="22"/>
        </w:rPr>
        <w:t xml:space="preserve"> </w:t>
      </w:r>
      <w:r w:rsidR="00B03BDD">
        <w:rPr>
          <w:i/>
          <w:sz w:val="22"/>
          <w:szCs w:val="22"/>
        </w:rPr>
        <w:t>2.</w:t>
      </w:r>
      <w:r w:rsidR="005E5828">
        <w:rPr>
          <w:i/>
          <w:sz w:val="22"/>
          <w:szCs w:val="22"/>
        </w:rPr>
        <w:t>4.0</w:t>
      </w:r>
      <w:r w:rsidR="008343A9">
        <w:rPr>
          <w:i/>
          <w:sz w:val="22"/>
          <w:szCs w:val="22"/>
        </w:rPr>
        <w:t xml:space="preserve"> </w:t>
      </w:r>
      <w:r w:rsidR="009A5050" w:rsidRPr="009A5050">
        <w:rPr>
          <w:i/>
          <w:sz w:val="22"/>
          <w:szCs w:val="22"/>
        </w:rPr>
        <w:t>Technical Manual-Security Guide</w:t>
      </w:r>
      <w:r w:rsidR="009A5050">
        <w:rPr>
          <w:sz w:val="22"/>
          <w:szCs w:val="22"/>
        </w:rPr>
        <w:t xml:space="preserve"> for </w:t>
      </w:r>
      <w:r w:rsidR="00E90A01">
        <w:rPr>
          <w:sz w:val="22"/>
          <w:szCs w:val="22"/>
        </w:rPr>
        <w:t>additional</w:t>
      </w:r>
      <w:r w:rsidR="009A5050">
        <w:rPr>
          <w:sz w:val="22"/>
          <w:szCs w:val="22"/>
        </w:rPr>
        <w:t xml:space="preserve"> information).</w:t>
      </w:r>
    </w:p>
    <w:p w14:paraId="0F43E547" w14:textId="127DC86B" w:rsidR="002F1554" w:rsidRPr="00037A18" w:rsidRDefault="002F1554" w:rsidP="002F1554">
      <w:pPr>
        <w:pStyle w:val="Caption"/>
      </w:pPr>
      <w:bookmarkStart w:id="63" w:name="_Ref353374018"/>
      <w:r w:rsidRPr="00037A18">
        <w:t xml:space="preserve">Figure </w:t>
      </w:r>
      <w:r w:rsidR="004E20BD">
        <w:rPr>
          <w:noProof/>
        </w:rPr>
        <w:fldChar w:fldCharType="begin"/>
      </w:r>
      <w:r w:rsidR="004E20BD">
        <w:rPr>
          <w:noProof/>
        </w:rPr>
        <w:instrText xml:space="preserve"> SEQ Figure \* ARABIC </w:instrText>
      </w:r>
      <w:r w:rsidR="004E20BD">
        <w:rPr>
          <w:noProof/>
        </w:rPr>
        <w:fldChar w:fldCharType="separate"/>
      </w:r>
      <w:r w:rsidR="007D1829">
        <w:rPr>
          <w:noProof/>
        </w:rPr>
        <w:t>7</w:t>
      </w:r>
      <w:r w:rsidR="004E20BD">
        <w:rPr>
          <w:noProof/>
        </w:rPr>
        <w:fldChar w:fldCharType="end"/>
      </w:r>
      <w:bookmarkEnd w:id="63"/>
      <w:r w:rsidRPr="00037A18">
        <w:t>: Report Toolbar</w:t>
      </w:r>
      <w:r w:rsidR="00BC7F26">
        <w:t xml:space="preserve"> </w:t>
      </w:r>
      <w:r w:rsidR="00BC7F26" w:rsidRPr="00BC7F26">
        <w:rPr>
          <w:vanish/>
        </w:rPr>
        <w:t>DR 4835</w:t>
      </w:r>
    </w:p>
    <w:p w14:paraId="3ABF9EF9" w14:textId="77777777" w:rsidR="002F1554" w:rsidRPr="00A777D2" w:rsidRDefault="00057948" w:rsidP="002F1554">
      <w:pPr>
        <w:pStyle w:val="BodyText"/>
        <w:rPr>
          <w:highlight w:val="yellow"/>
        </w:rPr>
      </w:pPr>
      <w:r>
        <w:rPr>
          <w:noProof/>
        </w:rPr>
        <w:drawing>
          <wp:inline distT="0" distB="0" distL="0" distR="0" wp14:anchorId="6619A0E9" wp14:editId="65D3C147">
            <wp:extent cx="4996815" cy="267970"/>
            <wp:effectExtent l="0" t="0" r="0" b="0"/>
            <wp:docPr id="24" name="Picture 24" descr="Report Toolbar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Report Toolbar screen capture"/>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996815" cy="267970"/>
                    </a:xfrm>
                    <a:prstGeom prst="rect">
                      <a:avLst/>
                    </a:prstGeom>
                    <a:noFill/>
                    <a:ln>
                      <a:noFill/>
                    </a:ln>
                  </pic:spPr>
                </pic:pic>
              </a:graphicData>
            </a:graphic>
          </wp:inline>
        </w:drawing>
      </w:r>
    </w:p>
    <w:p w14:paraId="6442898D" w14:textId="77777777" w:rsidR="002F1554" w:rsidRPr="00037A18" w:rsidRDefault="002F1554" w:rsidP="002F1554">
      <w:pPr>
        <w:pStyle w:val="Heading3"/>
      </w:pPr>
      <w:bookmarkStart w:id="64" w:name="_Toc203765825"/>
      <w:r w:rsidRPr="00037A18">
        <w:t>Navigation Arrows and Report Pages</w:t>
      </w:r>
      <w:bookmarkEnd w:id="64"/>
      <w:r w:rsidR="00270083">
        <w:t xml:space="preserve"> </w:t>
      </w:r>
      <w:r w:rsidR="00270083" w:rsidRPr="00270083">
        <w:rPr>
          <w:rFonts w:ascii="Arial Bold" w:hAnsi="Arial Bold"/>
          <w:vanish/>
        </w:rPr>
        <w:t>DR 4761</w:t>
      </w:r>
      <w:r w:rsidRPr="00FC73FB">
        <w:rPr>
          <w:rFonts w:ascii="Arial Bold" w:hAnsi="Arial Bold"/>
          <w:vanish/>
        </w:rPr>
        <w:t xml:space="preserve"> DR 4589</w:t>
      </w:r>
    </w:p>
    <w:p w14:paraId="67A3D0EB" w14:textId="77777777" w:rsidR="002F1554" w:rsidRPr="00037A18" w:rsidRDefault="002F1554" w:rsidP="001055DF">
      <w:pPr>
        <w:spacing w:before="60" w:after="120"/>
        <w:rPr>
          <w:sz w:val="22"/>
          <w:szCs w:val="22"/>
        </w:rPr>
      </w:pPr>
      <w:r w:rsidRPr="00037A18">
        <w:rPr>
          <w:sz w:val="22"/>
          <w:szCs w:val="22"/>
        </w:rPr>
        <w:t xml:space="preserve">Navigation arrows allow the user to move to the next or previous page of the report. If the user is on the first page of the report, the arrows pointing to the left will be disabled. If the user is on the last page of the report, the arrows pointing to the right will be disabled. </w:t>
      </w:r>
    </w:p>
    <w:p w14:paraId="1292BA64" w14:textId="4DF59186" w:rsidR="00540EB1" w:rsidRDefault="002F1554" w:rsidP="001055DF">
      <w:pPr>
        <w:spacing w:before="60" w:after="120"/>
        <w:rPr>
          <w:sz w:val="22"/>
          <w:szCs w:val="22"/>
        </w:rPr>
      </w:pPr>
      <w:r w:rsidRPr="00037A18">
        <w:rPr>
          <w:sz w:val="22"/>
          <w:szCs w:val="22"/>
        </w:rPr>
        <w:t xml:space="preserve">The first arrow button </w:t>
      </w:r>
      <w:r w:rsidR="00057948">
        <w:rPr>
          <w:noProof/>
          <w:sz w:val="22"/>
          <w:szCs w:val="22"/>
        </w:rPr>
        <w:drawing>
          <wp:inline distT="0" distB="0" distL="0" distR="0" wp14:anchorId="0C1A4952" wp14:editId="35E1620D">
            <wp:extent cx="221615" cy="249555"/>
            <wp:effectExtent l="0" t="0" r="6985" b="0"/>
            <wp:docPr id="25" name="Picture 25" descr="Arrow butt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Arrow button icon"/>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21615" cy="249555"/>
                    </a:xfrm>
                    <a:prstGeom prst="rect">
                      <a:avLst/>
                    </a:prstGeom>
                    <a:noFill/>
                    <a:ln>
                      <a:noFill/>
                    </a:ln>
                  </pic:spPr>
                </pic:pic>
              </a:graphicData>
            </a:graphic>
          </wp:inline>
        </w:drawing>
      </w:r>
      <w:r w:rsidRPr="00037A18">
        <w:rPr>
          <w:sz w:val="22"/>
          <w:szCs w:val="22"/>
        </w:rPr>
        <w:t xml:space="preserve"> moves the report by one page forward (or backward for left facing arrow). The second </w:t>
      </w:r>
      <w:r w:rsidR="00057948">
        <w:rPr>
          <w:noProof/>
          <w:sz w:val="22"/>
          <w:szCs w:val="22"/>
        </w:rPr>
        <w:drawing>
          <wp:inline distT="0" distB="0" distL="0" distR="0" wp14:anchorId="07FC4DDC" wp14:editId="0C7DE4DF">
            <wp:extent cx="249555" cy="240030"/>
            <wp:effectExtent l="0" t="0" r="0" b="7620"/>
            <wp:docPr id="26" name="Picture 26" descr="Arrow butt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Arrow button icon"/>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49555" cy="240030"/>
                    </a:xfrm>
                    <a:prstGeom prst="rect">
                      <a:avLst/>
                    </a:prstGeom>
                    <a:noFill/>
                    <a:ln>
                      <a:noFill/>
                    </a:ln>
                  </pic:spPr>
                </pic:pic>
              </a:graphicData>
            </a:graphic>
          </wp:inline>
        </w:drawing>
      </w:r>
      <w:r w:rsidRPr="00037A18">
        <w:rPr>
          <w:sz w:val="22"/>
          <w:szCs w:val="22"/>
        </w:rPr>
        <w:t xml:space="preserve"> moves the report to either the last or first page (in case of the left facing arrow). The number X of Y tells user which page is currently being viewed (X) and what is the total number of pages (Y).</w:t>
      </w:r>
    </w:p>
    <w:p w14:paraId="60DC91DA" w14:textId="4F2C1CFB" w:rsidR="00B413D4" w:rsidRDefault="00B413D4" w:rsidP="001055DF">
      <w:pPr>
        <w:spacing w:before="60" w:after="120"/>
        <w:rPr>
          <w:sz w:val="22"/>
          <w:szCs w:val="22"/>
        </w:rPr>
      </w:pPr>
      <w:r>
        <w:rPr>
          <w:sz w:val="22"/>
          <w:szCs w:val="22"/>
        </w:rPr>
        <w:t xml:space="preserve">Using arrow keys may cause erroneous “Invalid Key Pressed” messages or swap values while entering control results. Use the mouse to move between cells instead of using the arrow keys. Verify the control cell entries are correct before saving. </w:t>
      </w:r>
      <w:r w:rsidRPr="00B413D4">
        <w:rPr>
          <w:vanish/>
          <w:sz w:val="22"/>
          <w:szCs w:val="22"/>
        </w:rPr>
        <w:t>Defect 209946</w:t>
      </w:r>
    </w:p>
    <w:p w14:paraId="63CB0BE6" w14:textId="77777777" w:rsidR="006C79C7" w:rsidRDefault="006C79C7">
      <w:pPr>
        <w:rPr>
          <w:rFonts w:ascii="Arial" w:hAnsi="Arial" w:cs="Arial"/>
          <w:b/>
          <w:bCs/>
          <w:sz w:val="26"/>
          <w:szCs w:val="26"/>
        </w:rPr>
      </w:pPr>
      <w:bookmarkStart w:id="65" w:name="_Toc369769739"/>
      <w:bookmarkStart w:id="66" w:name="_Ref370117404"/>
      <w:bookmarkStart w:id="67" w:name="_Ref370803698"/>
      <w:bookmarkStart w:id="68" w:name="_Ref370807571"/>
      <w:r>
        <w:br w:type="page"/>
      </w:r>
    </w:p>
    <w:p w14:paraId="3DAEF989" w14:textId="4FF6753C" w:rsidR="00D611E5" w:rsidRPr="00292063" w:rsidRDefault="00D611E5" w:rsidP="00D611E5">
      <w:pPr>
        <w:pStyle w:val="Heading3"/>
        <w:rPr>
          <w:rFonts w:ascii="Arial Bold" w:hAnsi="Arial Bold"/>
        </w:rPr>
      </w:pPr>
      <w:bookmarkStart w:id="69" w:name="_Ref100818305"/>
      <w:bookmarkStart w:id="70" w:name="_Toc203765826"/>
      <w:r w:rsidRPr="00292063">
        <w:lastRenderedPageBreak/>
        <w:t>Report Layout</w:t>
      </w:r>
      <w:bookmarkEnd w:id="65"/>
      <w:bookmarkEnd w:id="66"/>
      <w:bookmarkEnd w:id="67"/>
      <w:bookmarkEnd w:id="68"/>
      <w:bookmarkEnd w:id="69"/>
      <w:bookmarkEnd w:id="70"/>
      <w:r w:rsidR="00292063" w:rsidRPr="00292063">
        <w:t xml:space="preserve"> </w:t>
      </w:r>
      <w:r w:rsidR="00BC7F26" w:rsidRPr="00292063">
        <w:rPr>
          <w:rFonts w:ascii="Arial Bold" w:hAnsi="Arial Bold"/>
          <w:vanish/>
        </w:rPr>
        <w:t>DR 4835</w:t>
      </w:r>
    </w:p>
    <w:p w14:paraId="7CA7D5C8" w14:textId="1B3401D8" w:rsidR="00D611E5" w:rsidRDefault="00D611E5" w:rsidP="006C79C7">
      <w:pPr>
        <w:rPr>
          <w:sz w:val="22"/>
          <w:szCs w:val="22"/>
        </w:rPr>
      </w:pPr>
      <w:r w:rsidRPr="00D611E5">
        <w:rPr>
          <w:sz w:val="22"/>
          <w:szCs w:val="22"/>
        </w:rPr>
        <w:t xml:space="preserve">There are two ways (layouts) in which reports can be displayed. By default, reports are displayed in Print Layout. It allows reports to appear on the screen exactly how they will look when printed. </w:t>
      </w:r>
      <w:r w:rsidR="00525D98" w:rsidRPr="00D611E5">
        <w:rPr>
          <w:sz w:val="22"/>
          <w:szCs w:val="22"/>
        </w:rPr>
        <w:t>However,</w:t>
      </w:r>
      <w:r w:rsidRPr="00D611E5">
        <w:rPr>
          <w:sz w:val="22"/>
          <w:szCs w:val="22"/>
        </w:rPr>
        <w:t xml:space="preserve"> when reports are displayed in Print Layout mode, the Report Search function (see </w:t>
      </w:r>
      <w:r w:rsidR="00EE455E" w:rsidRPr="00EE455E">
        <w:rPr>
          <w:sz w:val="22"/>
          <w:szCs w:val="22"/>
        </w:rPr>
        <w:t>Report Search</w:t>
      </w:r>
      <w:r w:rsidRPr="00D611E5">
        <w:rPr>
          <w:sz w:val="22"/>
          <w:szCs w:val="22"/>
        </w:rPr>
        <w:t xml:space="preserve">) is disabled. In order to be able to use Report Search, the user has to turn off Print Layout mode by pressing this icon: </w:t>
      </w:r>
      <w:r w:rsidR="00057948">
        <w:rPr>
          <w:noProof/>
          <w:sz w:val="22"/>
          <w:szCs w:val="22"/>
        </w:rPr>
        <w:drawing>
          <wp:inline distT="0" distB="0" distL="0" distR="0" wp14:anchorId="3F45EBE2" wp14:editId="267199A9">
            <wp:extent cx="276860" cy="276860"/>
            <wp:effectExtent l="0" t="0" r="8890" b="8890"/>
            <wp:docPr id="27" name="Picture 27" descr="Print Layout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Print Layout icon"/>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76860" cy="276860"/>
                    </a:xfrm>
                    <a:prstGeom prst="rect">
                      <a:avLst/>
                    </a:prstGeom>
                    <a:noFill/>
                    <a:ln>
                      <a:noFill/>
                    </a:ln>
                  </pic:spPr>
                </pic:pic>
              </a:graphicData>
            </a:graphic>
          </wp:inline>
        </w:drawing>
      </w:r>
      <w:r w:rsidRPr="00D611E5">
        <w:rPr>
          <w:sz w:val="22"/>
          <w:szCs w:val="22"/>
        </w:rPr>
        <w:t xml:space="preserve">. When Print Layout is disabled, the icon will look like this: </w:t>
      </w:r>
      <w:r w:rsidR="00057948">
        <w:rPr>
          <w:noProof/>
          <w:sz w:val="22"/>
          <w:szCs w:val="22"/>
        </w:rPr>
        <w:drawing>
          <wp:inline distT="0" distB="0" distL="0" distR="0" wp14:anchorId="0990060F" wp14:editId="1EC439CC">
            <wp:extent cx="221615" cy="249555"/>
            <wp:effectExtent l="0" t="0" r="6985" b="0"/>
            <wp:docPr id="28" name="Picture 28" descr="Print Layout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Print Layout icon"/>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21615" cy="249555"/>
                    </a:xfrm>
                    <a:prstGeom prst="rect">
                      <a:avLst/>
                    </a:prstGeom>
                    <a:noFill/>
                    <a:ln>
                      <a:noFill/>
                    </a:ln>
                  </pic:spPr>
                </pic:pic>
              </a:graphicData>
            </a:graphic>
          </wp:inline>
        </w:drawing>
      </w:r>
      <w:r w:rsidRPr="00D611E5">
        <w:rPr>
          <w:sz w:val="22"/>
          <w:szCs w:val="22"/>
        </w:rPr>
        <w:t>. It can be pressed again to return to Print Layout mode.</w:t>
      </w:r>
    </w:p>
    <w:p w14:paraId="4DC151C4" w14:textId="229AA2D2" w:rsidR="00D611E5" w:rsidRPr="00D611E5" w:rsidRDefault="00D611E5" w:rsidP="00D611E5">
      <w:pPr>
        <w:rPr>
          <w:sz w:val="22"/>
          <w:szCs w:val="22"/>
        </w:rPr>
      </w:pPr>
      <w:r w:rsidRPr="00D611E5">
        <w:rPr>
          <w:sz w:val="22"/>
          <w:szCs w:val="22"/>
        </w:rPr>
        <w:t>Page size of reports not displayed in Print Layout mode differs from the regular letter size (8.5in. x 11in.) and that is why the total number of pages for the same report displayed in different layouts may differ.</w:t>
      </w:r>
      <w:r w:rsidR="00B63E54">
        <w:rPr>
          <w:sz w:val="22"/>
          <w:szCs w:val="22"/>
        </w:rPr>
        <w:t xml:space="preserve"> </w:t>
      </w:r>
    </w:p>
    <w:p w14:paraId="0C6AACA4" w14:textId="65B9EEFF" w:rsidR="00BF56F1" w:rsidRPr="00037A18" w:rsidRDefault="00BF56F1" w:rsidP="00BF56F1">
      <w:pPr>
        <w:pStyle w:val="Heading3"/>
      </w:pPr>
      <w:bookmarkStart w:id="71" w:name="_Toc203765827"/>
      <w:r w:rsidRPr="00037A18">
        <w:t>Report Zoom-in/Zoom-out</w:t>
      </w:r>
      <w:bookmarkEnd w:id="71"/>
    </w:p>
    <w:p w14:paraId="736DBA49" w14:textId="1D86920E" w:rsidR="00BF56F1" w:rsidRPr="00671EA6" w:rsidRDefault="00BF56F1" w:rsidP="00BF56F1">
      <w:pPr>
        <w:rPr>
          <w:sz w:val="22"/>
          <w:szCs w:val="22"/>
        </w:rPr>
      </w:pPr>
      <w:r w:rsidRPr="00671EA6">
        <w:rPr>
          <w:sz w:val="22"/>
          <w:szCs w:val="22"/>
        </w:rPr>
        <w:t>Clicking the drop-down menu showing 100% will give the user a choice of the report display size (</w:t>
      </w:r>
      <w:r w:rsidR="00EE455E" w:rsidRPr="00EE455E">
        <w:rPr>
          <w:sz w:val="22"/>
          <w:szCs w:val="22"/>
        </w:rPr>
        <w:t xml:space="preserve">Figure </w:t>
      </w:r>
      <w:r w:rsidR="00EE455E" w:rsidRPr="00EE455E">
        <w:rPr>
          <w:noProof/>
          <w:sz w:val="22"/>
          <w:szCs w:val="22"/>
        </w:rPr>
        <w:t>8</w:t>
      </w:r>
      <w:r w:rsidRPr="00671EA6">
        <w:rPr>
          <w:sz w:val="22"/>
          <w:szCs w:val="22"/>
        </w:rPr>
        <w:t>).</w:t>
      </w:r>
    </w:p>
    <w:p w14:paraId="539070E3" w14:textId="485D6FC8" w:rsidR="00BF56F1" w:rsidRPr="00037A18" w:rsidRDefault="00BF56F1" w:rsidP="00BF56F1">
      <w:pPr>
        <w:pStyle w:val="Caption"/>
      </w:pPr>
      <w:bookmarkStart w:id="72" w:name="_Ref353985437"/>
      <w:r w:rsidRPr="00037A18">
        <w:t xml:space="preserve">Figure </w:t>
      </w:r>
      <w:r w:rsidR="004E20BD">
        <w:rPr>
          <w:noProof/>
        </w:rPr>
        <w:fldChar w:fldCharType="begin"/>
      </w:r>
      <w:r w:rsidR="004E20BD">
        <w:rPr>
          <w:noProof/>
        </w:rPr>
        <w:instrText xml:space="preserve"> SEQ Figure \* ARABIC </w:instrText>
      </w:r>
      <w:r w:rsidR="004E20BD">
        <w:rPr>
          <w:noProof/>
        </w:rPr>
        <w:fldChar w:fldCharType="separate"/>
      </w:r>
      <w:r w:rsidR="007D1829">
        <w:rPr>
          <w:noProof/>
        </w:rPr>
        <w:t>8</w:t>
      </w:r>
      <w:r w:rsidR="004E20BD">
        <w:rPr>
          <w:noProof/>
        </w:rPr>
        <w:fldChar w:fldCharType="end"/>
      </w:r>
      <w:bookmarkEnd w:id="72"/>
      <w:r w:rsidRPr="00037A18">
        <w:t>: Report Zoom-in/Zoom-out Control</w:t>
      </w:r>
    </w:p>
    <w:p w14:paraId="6747A3BB" w14:textId="77777777" w:rsidR="00BF56F1" w:rsidRPr="00A777D2" w:rsidRDefault="00057948" w:rsidP="00BF56F1">
      <w:pPr>
        <w:pStyle w:val="BodyText"/>
        <w:rPr>
          <w:highlight w:val="yellow"/>
        </w:rPr>
      </w:pPr>
      <w:r>
        <w:rPr>
          <w:noProof/>
        </w:rPr>
        <w:drawing>
          <wp:inline distT="0" distB="0" distL="0" distR="0" wp14:anchorId="75D98F1D" wp14:editId="7AFC56F0">
            <wp:extent cx="1089660" cy="1412875"/>
            <wp:effectExtent l="19050" t="19050" r="15240" b="15875"/>
            <wp:docPr id="29" name="Picture 29" descr="Report Zoom-in/Zoom Out Control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Report Zoom-in/Zoom Out Control screen capture"/>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089660" cy="1412875"/>
                    </a:xfrm>
                    <a:prstGeom prst="rect">
                      <a:avLst/>
                    </a:prstGeom>
                    <a:noFill/>
                    <a:ln w="6350" cmpd="sng">
                      <a:solidFill>
                        <a:srgbClr val="000000"/>
                      </a:solidFill>
                      <a:miter lim="800000"/>
                      <a:headEnd/>
                      <a:tailEnd/>
                    </a:ln>
                    <a:effectLst/>
                  </pic:spPr>
                </pic:pic>
              </a:graphicData>
            </a:graphic>
          </wp:inline>
        </w:drawing>
      </w:r>
    </w:p>
    <w:p w14:paraId="42613305" w14:textId="77777777" w:rsidR="00BF56F1" w:rsidRDefault="00BF56F1" w:rsidP="002F1554">
      <w:pPr>
        <w:rPr>
          <w:sz w:val="22"/>
          <w:szCs w:val="22"/>
        </w:rPr>
      </w:pPr>
      <w:r w:rsidRPr="00037A18">
        <w:rPr>
          <w:sz w:val="22"/>
          <w:szCs w:val="22"/>
        </w:rPr>
        <w:t>The default value is 100%. The option Page Width will resize the report to fit the screen horizontal size. The option Whole Page will display the entire page on the screen. Selecting an option less than 100% will zoom out the report making the font smaller and allowing more data to fit on the screen. Selecting an option higher than 100% will zoom in the report making the font bigger. If the report does not fit on the screen, the user will be able to use scroll bars to scroll up or down and left or r</w:t>
      </w:r>
      <w:r>
        <w:rPr>
          <w:sz w:val="22"/>
          <w:szCs w:val="22"/>
        </w:rPr>
        <w:t>ight to view the entire report.</w:t>
      </w:r>
    </w:p>
    <w:p w14:paraId="25EF2AD9" w14:textId="77777777" w:rsidR="00540EB1" w:rsidRPr="00037A18" w:rsidRDefault="00540EB1" w:rsidP="00540EB1">
      <w:pPr>
        <w:pStyle w:val="Heading3"/>
      </w:pPr>
      <w:bookmarkStart w:id="73" w:name="_Ref370803220"/>
      <w:bookmarkStart w:id="74" w:name="_Toc203765828"/>
      <w:r w:rsidRPr="00037A18">
        <w:t>Report Search</w:t>
      </w:r>
      <w:bookmarkEnd w:id="73"/>
      <w:bookmarkEnd w:id="74"/>
      <w:r w:rsidR="00BC7F26">
        <w:t xml:space="preserve"> </w:t>
      </w:r>
      <w:r w:rsidR="00BC7F26" w:rsidRPr="00BC7F26">
        <w:rPr>
          <w:rFonts w:ascii="Arial Bold" w:hAnsi="Arial Bold"/>
          <w:vanish/>
        </w:rPr>
        <w:t>DR 4835</w:t>
      </w:r>
    </w:p>
    <w:p w14:paraId="634B8D1D" w14:textId="5408E953" w:rsidR="00540EB1" w:rsidRPr="00A510F2" w:rsidRDefault="00540EB1" w:rsidP="00FD4C4A">
      <w:pPr>
        <w:spacing w:before="240"/>
        <w:rPr>
          <w:sz w:val="22"/>
          <w:szCs w:val="22"/>
        </w:rPr>
      </w:pPr>
      <w:r w:rsidRPr="00A510F2">
        <w:rPr>
          <w:sz w:val="22"/>
          <w:szCs w:val="22"/>
        </w:rPr>
        <w:t>This option allows the user to searc</w:t>
      </w:r>
      <w:r w:rsidR="006B122E" w:rsidRPr="00A510F2">
        <w:rPr>
          <w:sz w:val="22"/>
          <w:szCs w:val="22"/>
        </w:rPr>
        <w:t xml:space="preserve">h for specific text in a report and is only enabled if Print Layout is </w:t>
      </w:r>
      <w:r w:rsidR="006B122E" w:rsidRPr="001055DF">
        <w:rPr>
          <w:sz w:val="22"/>
          <w:szCs w:val="22"/>
        </w:rPr>
        <w:t>disabled</w:t>
      </w:r>
      <w:r w:rsidR="00A510F2" w:rsidRPr="001055DF">
        <w:rPr>
          <w:sz w:val="22"/>
          <w:szCs w:val="22"/>
        </w:rPr>
        <w:t xml:space="preserve"> (se</w:t>
      </w:r>
      <w:r w:rsidR="00FD4C4A" w:rsidRPr="001055DF">
        <w:rPr>
          <w:sz w:val="22"/>
          <w:szCs w:val="22"/>
        </w:rPr>
        <w:t xml:space="preserve">e </w:t>
      </w:r>
      <w:r w:rsidR="00EE455E" w:rsidRPr="00EE455E">
        <w:rPr>
          <w:sz w:val="22"/>
          <w:szCs w:val="22"/>
        </w:rPr>
        <w:t>Report Layout</w:t>
      </w:r>
      <w:r w:rsidR="004F0A0D" w:rsidRPr="001055DF">
        <w:rPr>
          <w:sz w:val="22"/>
          <w:szCs w:val="22"/>
        </w:rPr>
        <w:t>)</w:t>
      </w:r>
      <w:r w:rsidR="006B122E" w:rsidRPr="001055DF">
        <w:rPr>
          <w:sz w:val="22"/>
          <w:szCs w:val="22"/>
        </w:rPr>
        <w:t>.</w:t>
      </w:r>
      <w:r w:rsidRPr="001055DF">
        <w:rPr>
          <w:sz w:val="22"/>
          <w:szCs w:val="22"/>
        </w:rPr>
        <w:t xml:space="preserve"> By default, the </w:t>
      </w:r>
      <w:r w:rsidRPr="001055DF">
        <w:rPr>
          <w:b/>
          <w:sz w:val="22"/>
          <w:szCs w:val="22"/>
        </w:rPr>
        <w:t>Find</w:t>
      </w:r>
      <w:r w:rsidRPr="001055DF">
        <w:rPr>
          <w:sz w:val="22"/>
          <w:szCs w:val="22"/>
        </w:rPr>
        <w:t xml:space="preserve"> and </w:t>
      </w:r>
      <w:r w:rsidRPr="001055DF">
        <w:rPr>
          <w:b/>
          <w:sz w:val="22"/>
          <w:szCs w:val="22"/>
        </w:rPr>
        <w:t>Next</w:t>
      </w:r>
      <w:r w:rsidRPr="001055DF">
        <w:rPr>
          <w:sz w:val="22"/>
          <w:szCs w:val="22"/>
        </w:rPr>
        <w:t xml:space="preserve"> buttons are disabled. Once the user enters</w:t>
      </w:r>
      <w:r w:rsidRPr="00A510F2">
        <w:rPr>
          <w:sz w:val="22"/>
          <w:szCs w:val="22"/>
        </w:rPr>
        <w:t xml:space="preserve"> text in the search box, the </w:t>
      </w:r>
      <w:r w:rsidRPr="00A510F2">
        <w:rPr>
          <w:b/>
          <w:sz w:val="22"/>
          <w:szCs w:val="22"/>
        </w:rPr>
        <w:t>Find</w:t>
      </w:r>
      <w:r w:rsidRPr="00A510F2">
        <w:rPr>
          <w:sz w:val="22"/>
          <w:szCs w:val="22"/>
        </w:rPr>
        <w:t xml:space="preserve"> button becomes enabled (</w:t>
      </w:r>
      <w:r w:rsidR="00EE455E" w:rsidRPr="00EE455E">
        <w:rPr>
          <w:sz w:val="22"/>
          <w:szCs w:val="22"/>
        </w:rPr>
        <w:t xml:space="preserve">Figure </w:t>
      </w:r>
      <w:r w:rsidR="00EE455E" w:rsidRPr="00EE455E">
        <w:rPr>
          <w:noProof/>
          <w:sz w:val="22"/>
          <w:szCs w:val="22"/>
        </w:rPr>
        <w:t>9</w:t>
      </w:r>
      <w:r w:rsidRPr="00A510F2">
        <w:rPr>
          <w:sz w:val="22"/>
          <w:szCs w:val="22"/>
        </w:rPr>
        <w:t>).</w:t>
      </w:r>
    </w:p>
    <w:p w14:paraId="647179E9" w14:textId="6AA70ED6" w:rsidR="00540EB1" w:rsidRPr="00037A18" w:rsidRDefault="00540EB1" w:rsidP="00540EB1">
      <w:pPr>
        <w:pStyle w:val="Caption"/>
      </w:pPr>
      <w:bookmarkStart w:id="75" w:name="_Ref353985455"/>
      <w:r w:rsidRPr="00037A18">
        <w:t xml:space="preserve">Figure </w:t>
      </w:r>
      <w:r w:rsidR="004E20BD">
        <w:rPr>
          <w:noProof/>
        </w:rPr>
        <w:fldChar w:fldCharType="begin"/>
      </w:r>
      <w:r w:rsidR="004E20BD">
        <w:rPr>
          <w:noProof/>
        </w:rPr>
        <w:instrText xml:space="preserve"> SEQ Figure \* ARABIC </w:instrText>
      </w:r>
      <w:r w:rsidR="004E20BD">
        <w:rPr>
          <w:noProof/>
        </w:rPr>
        <w:fldChar w:fldCharType="separate"/>
      </w:r>
      <w:r w:rsidR="007D1829">
        <w:rPr>
          <w:noProof/>
        </w:rPr>
        <w:t>9</w:t>
      </w:r>
      <w:r w:rsidR="004E20BD">
        <w:rPr>
          <w:noProof/>
        </w:rPr>
        <w:fldChar w:fldCharType="end"/>
      </w:r>
      <w:bookmarkEnd w:id="75"/>
      <w:r w:rsidRPr="00037A18">
        <w:t>: Report Search Control</w:t>
      </w:r>
    </w:p>
    <w:p w14:paraId="705EBA74" w14:textId="77777777" w:rsidR="00540EB1" w:rsidRDefault="00057948" w:rsidP="00540EB1">
      <w:pPr>
        <w:pStyle w:val="BodyText"/>
        <w:rPr>
          <w:highlight w:val="yellow"/>
        </w:rPr>
      </w:pPr>
      <w:r>
        <w:rPr>
          <w:noProof/>
        </w:rPr>
        <w:drawing>
          <wp:inline distT="0" distB="0" distL="0" distR="0" wp14:anchorId="5B2F604D" wp14:editId="50BE8167">
            <wp:extent cx="1514475" cy="240030"/>
            <wp:effectExtent l="19050" t="19050" r="28575" b="26670"/>
            <wp:docPr id="30" name="Picture 30" descr="Report Search Control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Report Search Control screen capture"/>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514475" cy="240030"/>
                    </a:xfrm>
                    <a:prstGeom prst="rect">
                      <a:avLst/>
                    </a:prstGeom>
                    <a:noFill/>
                    <a:ln w="6350" cmpd="sng">
                      <a:solidFill>
                        <a:srgbClr val="000000"/>
                      </a:solidFill>
                      <a:miter lim="800000"/>
                      <a:headEnd/>
                      <a:tailEnd/>
                    </a:ln>
                    <a:effectLst/>
                  </pic:spPr>
                </pic:pic>
              </a:graphicData>
            </a:graphic>
          </wp:inline>
        </w:drawing>
      </w:r>
    </w:p>
    <w:p w14:paraId="7D23FA09" w14:textId="1250516D" w:rsidR="00540EB1" w:rsidRPr="00037A18" w:rsidRDefault="00540EB1" w:rsidP="005E5B12">
      <w:pPr>
        <w:pStyle w:val="BodyText"/>
        <w:keepNext/>
        <w:keepLines/>
      </w:pPr>
      <w:r w:rsidRPr="00037A18">
        <w:lastRenderedPageBreak/>
        <w:t xml:space="preserve">Clicking the </w:t>
      </w:r>
      <w:r w:rsidRPr="00634DAB">
        <w:rPr>
          <w:b/>
        </w:rPr>
        <w:t>Find</w:t>
      </w:r>
      <w:r w:rsidRPr="00037A18">
        <w:t xml:space="preserve"> button will search the entire report. If the searched text is found, the report will display the page where it was found. The </w:t>
      </w:r>
      <w:r w:rsidRPr="00634DAB">
        <w:rPr>
          <w:b/>
        </w:rPr>
        <w:t>Next</w:t>
      </w:r>
      <w:r w:rsidRPr="00037A18">
        <w:t xml:space="preserve"> button will then become enabled allowing the user to search for subsequent instances of the search string. If the searched text cannot be found, the user will be presented with the message shown in</w:t>
      </w:r>
      <w:r w:rsidR="00430868">
        <w:t xml:space="preserve"> </w:t>
      </w:r>
      <w:r w:rsidR="00EE455E" w:rsidRPr="00037A18">
        <w:t xml:space="preserve">Figure </w:t>
      </w:r>
      <w:r w:rsidR="00EE455E">
        <w:rPr>
          <w:noProof/>
        </w:rPr>
        <w:t>10</w:t>
      </w:r>
      <w:r w:rsidRPr="00037A18">
        <w:t>.</w:t>
      </w:r>
    </w:p>
    <w:p w14:paraId="683C1BE2" w14:textId="7B5E9EA3" w:rsidR="00540EB1" w:rsidRPr="00037A18" w:rsidRDefault="00540EB1" w:rsidP="00540EB1">
      <w:pPr>
        <w:pStyle w:val="Caption"/>
      </w:pPr>
      <w:bookmarkStart w:id="76" w:name="_Ref353985470"/>
      <w:r w:rsidRPr="00037A18">
        <w:t xml:space="preserve">Figure </w:t>
      </w:r>
      <w:r w:rsidR="004E20BD">
        <w:rPr>
          <w:noProof/>
        </w:rPr>
        <w:fldChar w:fldCharType="begin"/>
      </w:r>
      <w:r w:rsidR="004E20BD">
        <w:rPr>
          <w:noProof/>
        </w:rPr>
        <w:instrText xml:space="preserve"> SEQ Figure \* ARABIC </w:instrText>
      </w:r>
      <w:r w:rsidR="004E20BD">
        <w:rPr>
          <w:noProof/>
        </w:rPr>
        <w:fldChar w:fldCharType="separate"/>
      </w:r>
      <w:r w:rsidR="007D1829">
        <w:rPr>
          <w:noProof/>
        </w:rPr>
        <w:t>10</w:t>
      </w:r>
      <w:r w:rsidR="004E20BD">
        <w:rPr>
          <w:noProof/>
        </w:rPr>
        <w:fldChar w:fldCharType="end"/>
      </w:r>
      <w:bookmarkEnd w:id="76"/>
      <w:r w:rsidRPr="00037A18">
        <w:t>: Report Search Warning Message</w:t>
      </w:r>
    </w:p>
    <w:p w14:paraId="6506AD9A" w14:textId="77777777" w:rsidR="002F1554" w:rsidRPr="00D611E5" w:rsidRDefault="00057948" w:rsidP="00BF56F1">
      <w:pPr>
        <w:pStyle w:val="BodyText"/>
      </w:pPr>
      <w:r>
        <w:rPr>
          <w:noProof/>
        </w:rPr>
        <w:drawing>
          <wp:inline distT="0" distB="0" distL="0" distR="0" wp14:anchorId="47334D0C" wp14:editId="3F889F46">
            <wp:extent cx="3417570" cy="1385570"/>
            <wp:effectExtent l="19050" t="19050" r="11430" b="24130"/>
            <wp:docPr id="31" name="Picture 31" descr="Report Search Warning Message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Report Search Warning Message screen capture"/>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417570" cy="1385570"/>
                    </a:xfrm>
                    <a:prstGeom prst="rect">
                      <a:avLst/>
                    </a:prstGeom>
                    <a:noFill/>
                    <a:ln w="6350" cmpd="sng">
                      <a:solidFill>
                        <a:srgbClr val="000000"/>
                      </a:solidFill>
                      <a:miter lim="800000"/>
                      <a:headEnd/>
                      <a:tailEnd/>
                    </a:ln>
                    <a:effectLst/>
                  </pic:spPr>
                </pic:pic>
              </a:graphicData>
            </a:graphic>
          </wp:inline>
        </w:drawing>
      </w:r>
      <w:r w:rsidR="002F1554" w:rsidRPr="00E4667F">
        <w:rPr>
          <w:vanish/>
        </w:rPr>
        <w:t>DR 4589</w:t>
      </w:r>
    </w:p>
    <w:p w14:paraId="4C3EDA7D" w14:textId="77777777" w:rsidR="002F1554" w:rsidRPr="00037A18" w:rsidRDefault="002F1554" w:rsidP="00416BB3">
      <w:pPr>
        <w:pStyle w:val="Heading3"/>
      </w:pPr>
      <w:bookmarkStart w:id="77" w:name="_Ref2774509"/>
      <w:bookmarkStart w:id="78" w:name="_Toc203765829"/>
      <w:r w:rsidRPr="00037A18">
        <w:t>Report Export</w:t>
      </w:r>
      <w:bookmarkEnd w:id="77"/>
      <w:bookmarkEnd w:id="78"/>
    </w:p>
    <w:p w14:paraId="2250DCAE" w14:textId="2C735179" w:rsidR="0095742F" w:rsidRDefault="0095742F" w:rsidP="005E5B12">
      <w:pPr>
        <w:spacing w:before="120" w:after="60"/>
        <w:rPr>
          <w:sz w:val="22"/>
          <w:szCs w:val="22"/>
        </w:rPr>
      </w:pPr>
      <w:bookmarkStart w:id="79" w:name="_Ref353374027"/>
      <w:r>
        <w:rPr>
          <w:sz w:val="22"/>
          <w:szCs w:val="22"/>
        </w:rPr>
        <w:t>For all sites, rep</w:t>
      </w:r>
      <w:r w:rsidR="00FE6F61">
        <w:rPr>
          <w:sz w:val="22"/>
          <w:szCs w:val="22"/>
        </w:rPr>
        <w:t xml:space="preserve">orts </w:t>
      </w:r>
      <w:r w:rsidR="004D0A70">
        <w:rPr>
          <w:sz w:val="22"/>
          <w:szCs w:val="22"/>
        </w:rPr>
        <w:t>are</w:t>
      </w:r>
      <w:r w:rsidR="00FE6F61">
        <w:rPr>
          <w:sz w:val="22"/>
          <w:szCs w:val="22"/>
        </w:rPr>
        <w:t xml:space="preserve"> saved</w:t>
      </w:r>
      <w:r>
        <w:rPr>
          <w:sz w:val="22"/>
          <w:szCs w:val="22"/>
        </w:rPr>
        <w:t xml:space="preserve"> in subfolders nam</w:t>
      </w:r>
      <w:r w:rsidR="00150D5C">
        <w:rPr>
          <w:sz w:val="22"/>
          <w:szCs w:val="22"/>
        </w:rPr>
        <w:t>ed after Division Code. VBECS</w:t>
      </w:r>
      <w:r>
        <w:rPr>
          <w:sz w:val="22"/>
          <w:szCs w:val="22"/>
        </w:rPr>
        <w:t xml:space="preserve"> will check </w:t>
      </w:r>
      <w:r w:rsidR="00AD1DDD">
        <w:rPr>
          <w:sz w:val="22"/>
          <w:szCs w:val="22"/>
        </w:rPr>
        <w:t xml:space="preserve">to see </w:t>
      </w:r>
      <w:r>
        <w:rPr>
          <w:sz w:val="22"/>
          <w:szCs w:val="22"/>
        </w:rPr>
        <w:t>if the subfolder exists. If the subfolder does not exist, it will attempt to create it. If the creation fails, it will attempt to save the report to the default re</w:t>
      </w:r>
      <w:r w:rsidR="00150D5C">
        <w:rPr>
          <w:sz w:val="22"/>
          <w:szCs w:val="22"/>
        </w:rPr>
        <w:t>port director</w:t>
      </w:r>
      <w:r w:rsidR="00150D5C" w:rsidRPr="00671EA6">
        <w:rPr>
          <w:sz w:val="22"/>
          <w:szCs w:val="22"/>
        </w:rPr>
        <w:t>y</w:t>
      </w:r>
      <w:r w:rsidR="00671EA6" w:rsidRPr="00671EA6">
        <w:rPr>
          <w:sz w:val="22"/>
          <w:szCs w:val="22"/>
        </w:rPr>
        <w:t>.</w:t>
      </w:r>
      <w:r w:rsidRPr="00E63726">
        <w:rPr>
          <w:vanish/>
          <w:sz w:val="22"/>
          <w:szCs w:val="22"/>
        </w:rPr>
        <w:t xml:space="preserve"> Task 502479</w:t>
      </w:r>
    </w:p>
    <w:p w14:paraId="05C58ADB" w14:textId="77777777" w:rsidR="009D47C1" w:rsidRDefault="009D47C1" w:rsidP="005E5B12">
      <w:pPr>
        <w:spacing w:before="120" w:after="60"/>
        <w:rPr>
          <w:b/>
          <w:sz w:val="22"/>
          <w:szCs w:val="22"/>
        </w:rPr>
      </w:pPr>
      <w:r w:rsidRPr="00037A18">
        <w:rPr>
          <w:sz w:val="22"/>
          <w:szCs w:val="22"/>
        </w:rPr>
        <w:t>The user has an option to export the re</w:t>
      </w:r>
      <w:r>
        <w:rPr>
          <w:sz w:val="22"/>
          <w:szCs w:val="22"/>
        </w:rPr>
        <w:t xml:space="preserve">port in three different formats: PDF, Excel and Word. The export to PDF creates a report that is Read-Only (may not be modified) and will match the report that users can see directly in VBECS in terms of data and format. The export to Excel and Word creates a report that may be modified. </w:t>
      </w:r>
      <w:r>
        <w:rPr>
          <w:b/>
          <w:sz w:val="22"/>
          <w:szCs w:val="22"/>
        </w:rPr>
        <w:t xml:space="preserve">VBECS reports </w:t>
      </w:r>
      <w:r w:rsidRPr="007839DA">
        <w:rPr>
          <w:b/>
          <w:sz w:val="22"/>
          <w:szCs w:val="22"/>
        </w:rPr>
        <w:t xml:space="preserve">exported </w:t>
      </w:r>
      <w:r>
        <w:rPr>
          <w:b/>
          <w:sz w:val="22"/>
          <w:szCs w:val="22"/>
        </w:rPr>
        <w:t>to Excel or Word can be altered by a user. O</w:t>
      </w:r>
      <w:r w:rsidRPr="007839DA">
        <w:rPr>
          <w:b/>
          <w:sz w:val="22"/>
          <w:szCs w:val="22"/>
        </w:rPr>
        <w:t xml:space="preserve">nly copies printed directly from VBECS should be shared with clinicians to ensure data integrity. </w:t>
      </w:r>
    </w:p>
    <w:p w14:paraId="066CB9D8" w14:textId="77777777" w:rsidR="009D47C1" w:rsidRDefault="00057948" w:rsidP="005E5B12">
      <w:pPr>
        <w:spacing w:before="120" w:after="60"/>
        <w:rPr>
          <w:b/>
          <w:sz w:val="22"/>
          <w:szCs w:val="22"/>
        </w:rPr>
      </w:pPr>
      <w:r>
        <w:rPr>
          <w:noProof/>
        </w:rPr>
        <mc:AlternateContent>
          <mc:Choice Requires="wps">
            <w:drawing>
              <wp:anchor distT="0" distB="0" distL="114300" distR="114300" simplePos="0" relativeHeight="251658240" behindDoc="0" locked="0" layoutInCell="1" allowOverlap="1" wp14:anchorId="58B1FC1A" wp14:editId="5DA9C562">
                <wp:simplePos x="0" y="0"/>
                <wp:positionH relativeFrom="column">
                  <wp:posOffset>-24130</wp:posOffset>
                </wp:positionH>
                <wp:positionV relativeFrom="paragraph">
                  <wp:posOffset>111760</wp:posOffset>
                </wp:positionV>
                <wp:extent cx="5949950" cy="809625"/>
                <wp:effectExtent l="13970" t="16510" r="17780" b="21590"/>
                <wp:wrapNone/>
                <wp:docPr id="599"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9950" cy="809625"/>
                        </a:xfrm>
                        <a:prstGeom prst="rect">
                          <a:avLst/>
                        </a:prstGeom>
                        <a:solidFill>
                          <a:srgbClr val="FFFFFF"/>
                        </a:solidFill>
                        <a:ln w="25400">
                          <a:solidFill>
                            <a:srgbClr val="FF0000"/>
                          </a:solidFill>
                          <a:miter lim="800000"/>
                          <a:headEnd/>
                          <a:tailEnd/>
                        </a:ln>
                      </wps:spPr>
                      <wps:txbx>
                        <w:txbxContent>
                          <w:p w14:paraId="1C56B0D4" w14:textId="77777777" w:rsidR="00EA60B6" w:rsidRDefault="00EA60B6" w:rsidP="009D47C1">
                            <w:pPr>
                              <w:rPr>
                                <w:sz w:val="22"/>
                                <w:szCs w:val="22"/>
                              </w:rPr>
                            </w:pPr>
                            <w:r w:rsidRPr="007839DA">
                              <w:rPr>
                                <w:b/>
                                <w:sz w:val="22"/>
                                <w:szCs w:val="22"/>
                              </w:rPr>
                              <w:t>The data output from VBECS is not controlled by the medical device and must be strictly regulated by local facility personnel. Many of the reports contain patient sensitive information and must be treated as such. Use of the exported reports, including alteration of data, is the responsibility of the user.</w:t>
                            </w:r>
                            <w:r w:rsidRPr="007839DA">
                              <w:rPr>
                                <w:sz w:val="22"/>
                                <w:szCs w:val="22"/>
                              </w:rPr>
                              <w:t xml:space="preserve"> </w:t>
                            </w:r>
                          </w:p>
                          <w:p w14:paraId="44CA6891" w14:textId="77777777" w:rsidR="00EA60B6" w:rsidRDefault="00EA60B6" w:rsidP="009D47C1"/>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8B1FC1A" id="_x0000_t202" coordsize="21600,21600" o:spt="202" path="m,l,21600r21600,l21600,xe">
                <v:stroke joinstyle="miter"/>
                <v:path gradientshapeok="t" o:connecttype="rect"/>
              </v:shapetype>
              <v:shape id="Text Box 2" o:spid="_x0000_s1026" type="#_x0000_t202" alt="&quot;&quot;" style="position:absolute;margin-left:-1.9pt;margin-top:8.8pt;width:468.5pt;height:63.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" strokecolor="red" strokeweight="2pt">
                <v:textbox>
                  <w:txbxContent>
                    <w:p w14:paraId="1C56B0D4" w14:textId="77777777" w:rsidR="00EA60B6" w:rsidRDefault="00EA60B6" w:rsidP="009D47C1">
                      <w:pPr>
                        <w:rPr>
                          <w:sz w:val="22"/>
                          <w:szCs w:val="22"/>
                        </w:rPr>
                      </w:pPr>
                      <w:r w:rsidRPr="007839DA">
                        <w:rPr>
                          <w:b/>
                          <w:sz w:val="22"/>
                          <w:szCs w:val="22"/>
                        </w:rPr>
                        <w:t>The data output from VBECS is not controlled by the medical device and must be strictly regulated by local facility personnel. Many of the reports contain patient sensitive information and must be treated as such. Use of the exported reports, including alteration of data, is the responsibility of the user.</w:t>
                      </w:r>
                      <w:r w:rsidRPr="007839DA">
                        <w:rPr>
                          <w:sz w:val="22"/>
                          <w:szCs w:val="22"/>
                        </w:rPr>
                        <w:t xml:space="preserve"> </w:t>
                      </w:r>
                    </w:p>
                    <w:p w14:paraId="44CA6891" w14:textId="77777777" w:rsidR="00EA60B6" w:rsidRDefault="00EA60B6" w:rsidP="009D47C1"/>
                  </w:txbxContent>
                </v:textbox>
              </v:shape>
            </w:pict>
          </mc:Fallback>
        </mc:AlternateContent>
      </w:r>
    </w:p>
    <w:p w14:paraId="1422557C" w14:textId="77777777" w:rsidR="009D47C1" w:rsidRDefault="009D47C1" w:rsidP="005E5B12">
      <w:pPr>
        <w:spacing w:before="120" w:after="60"/>
        <w:rPr>
          <w:b/>
          <w:sz w:val="22"/>
          <w:szCs w:val="22"/>
        </w:rPr>
      </w:pPr>
    </w:p>
    <w:p w14:paraId="04362A80" w14:textId="77777777" w:rsidR="009D47C1" w:rsidRDefault="009D47C1" w:rsidP="005E5B12">
      <w:pPr>
        <w:spacing w:before="120" w:after="60"/>
        <w:rPr>
          <w:b/>
          <w:sz w:val="22"/>
          <w:szCs w:val="22"/>
        </w:rPr>
      </w:pPr>
    </w:p>
    <w:p w14:paraId="2D0929AC" w14:textId="77777777" w:rsidR="009D47C1" w:rsidRDefault="009D47C1" w:rsidP="005E5B12">
      <w:pPr>
        <w:spacing w:before="120" w:after="60"/>
        <w:rPr>
          <w:b/>
          <w:sz w:val="22"/>
          <w:szCs w:val="22"/>
        </w:rPr>
      </w:pPr>
    </w:p>
    <w:p w14:paraId="764433D7" w14:textId="405977D9" w:rsidR="009D47C1" w:rsidRPr="009D47C1" w:rsidRDefault="009D47C1" w:rsidP="005E5B12">
      <w:pPr>
        <w:spacing w:before="120" w:after="60"/>
        <w:rPr>
          <w:sz w:val="22"/>
          <w:szCs w:val="22"/>
        </w:rPr>
      </w:pPr>
      <w:r w:rsidRPr="009D47C1">
        <w:rPr>
          <w:sz w:val="22"/>
          <w:szCs w:val="22"/>
        </w:rPr>
        <w:t xml:space="preserve">Export of the reports to Excel and Word comes with known problems. Reports exported to Excel or Word contain the same data as reports that can be seen directly in VBECS; however, their formatting may differ from the original report. Not all reports can be exported to all the identified formats. </w:t>
      </w:r>
      <w:r w:rsidR="00EE455E" w:rsidRPr="00EE455E">
        <w:rPr>
          <w:sz w:val="22"/>
          <w:szCs w:val="22"/>
        </w:rPr>
        <w:t xml:space="preserve">Table </w:t>
      </w:r>
      <w:r w:rsidR="00EE455E" w:rsidRPr="00EE455E">
        <w:rPr>
          <w:noProof/>
          <w:sz w:val="22"/>
          <w:szCs w:val="22"/>
        </w:rPr>
        <w:t>3</w:t>
      </w:r>
      <w:r w:rsidRPr="009D47C1">
        <w:rPr>
          <w:sz w:val="22"/>
          <w:szCs w:val="22"/>
        </w:rPr>
        <w:t xml:space="preserve"> lists the reports and their exportable formats.</w:t>
      </w:r>
    </w:p>
    <w:p w14:paraId="3185B857" w14:textId="0D2A4574" w:rsidR="009D47C1" w:rsidRPr="009454C1" w:rsidRDefault="009D47C1" w:rsidP="009D47C1">
      <w:pPr>
        <w:pStyle w:val="Caption"/>
        <w:rPr>
          <w:b w:val="0"/>
        </w:rPr>
      </w:pPr>
      <w:bookmarkStart w:id="80" w:name="_Ref416093445"/>
      <w:r>
        <w:t xml:space="preserve">Table </w:t>
      </w:r>
      <w:r w:rsidR="004E20BD">
        <w:rPr>
          <w:noProof/>
        </w:rPr>
        <w:fldChar w:fldCharType="begin"/>
      </w:r>
      <w:r w:rsidR="004E20BD">
        <w:rPr>
          <w:noProof/>
        </w:rPr>
        <w:instrText xml:space="preserve"> SEQ Table \* ARABIC </w:instrText>
      </w:r>
      <w:r w:rsidR="004E20BD">
        <w:rPr>
          <w:noProof/>
        </w:rPr>
        <w:fldChar w:fldCharType="separate"/>
      </w:r>
      <w:r w:rsidR="007D1829">
        <w:rPr>
          <w:noProof/>
        </w:rPr>
        <w:t>3</w:t>
      </w:r>
      <w:r w:rsidR="004E20BD">
        <w:rPr>
          <w:noProof/>
        </w:rPr>
        <w:fldChar w:fldCharType="end"/>
      </w:r>
      <w:bookmarkEnd w:id="80"/>
      <w:r>
        <w:t xml:space="preserve">: </w:t>
      </w:r>
      <w:r w:rsidR="00671EA6">
        <w:t xml:space="preserve">Recommended </w:t>
      </w:r>
      <w:r>
        <w:t>Exportable Formats for Reports</w:t>
      </w:r>
      <w:r w:rsidR="00812371">
        <w:fldChar w:fldCharType="begin"/>
      </w:r>
      <w:r w:rsidR="00812371">
        <w:instrText xml:space="preserve"> XE "Tables:Recommended Exportable Formats for Reports" </w:instrText>
      </w:r>
      <w:r w:rsidR="00812371">
        <w:fldChar w:fldCharType="end"/>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06"/>
        <w:gridCol w:w="1064"/>
        <w:gridCol w:w="982"/>
        <w:gridCol w:w="998"/>
      </w:tblGrid>
      <w:tr w:rsidR="009D47C1" w:rsidRPr="00245D96" w14:paraId="2206495D" w14:textId="77777777" w:rsidTr="006462CD">
        <w:tc>
          <w:tcPr>
            <w:tcW w:w="6498" w:type="dxa"/>
            <w:shd w:val="clear" w:color="auto" w:fill="auto"/>
          </w:tcPr>
          <w:p w14:paraId="71FDB78C" w14:textId="77777777" w:rsidR="009D47C1" w:rsidRPr="00245D96" w:rsidRDefault="009D47C1" w:rsidP="006462CD">
            <w:pPr>
              <w:rPr>
                <w:b/>
                <w:sz w:val="22"/>
                <w:szCs w:val="22"/>
              </w:rPr>
            </w:pPr>
            <w:r w:rsidRPr="00245D96">
              <w:rPr>
                <w:b/>
                <w:sz w:val="22"/>
                <w:szCs w:val="22"/>
              </w:rPr>
              <w:t>Report Name</w:t>
            </w:r>
          </w:p>
        </w:tc>
        <w:tc>
          <w:tcPr>
            <w:tcW w:w="1080" w:type="dxa"/>
            <w:shd w:val="clear" w:color="auto" w:fill="auto"/>
          </w:tcPr>
          <w:p w14:paraId="2D775CD0" w14:textId="77777777" w:rsidR="009D47C1" w:rsidRPr="00245D96" w:rsidRDefault="009D47C1" w:rsidP="006462CD">
            <w:pPr>
              <w:rPr>
                <w:b/>
                <w:sz w:val="22"/>
                <w:szCs w:val="22"/>
              </w:rPr>
            </w:pPr>
            <w:r w:rsidRPr="00245D96">
              <w:rPr>
                <w:b/>
                <w:sz w:val="22"/>
                <w:szCs w:val="22"/>
              </w:rPr>
              <w:t>PDF</w:t>
            </w:r>
          </w:p>
        </w:tc>
        <w:tc>
          <w:tcPr>
            <w:tcW w:w="990" w:type="dxa"/>
            <w:shd w:val="clear" w:color="auto" w:fill="auto"/>
          </w:tcPr>
          <w:p w14:paraId="57306137" w14:textId="77777777" w:rsidR="009D47C1" w:rsidRPr="00245D96" w:rsidRDefault="009D47C1" w:rsidP="006462CD">
            <w:pPr>
              <w:rPr>
                <w:b/>
                <w:sz w:val="22"/>
                <w:szCs w:val="22"/>
              </w:rPr>
            </w:pPr>
            <w:r w:rsidRPr="00245D96">
              <w:rPr>
                <w:b/>
                <w:sz w:val="22"/>
                <w:szCs w:val="22"/>
              </w:rPr>
              <w:t>Word</w:t>
            </w:r>
          </w:p>
        </w:tc>
        <w:tc>
          <w:tcPr>
            <w:tcW w:w="1008" w:type="dxa"/>
            <w:shd w:val="clear" w:color="auto" w:fill="auto"/>
          </w:tcPr>
          <w:p w14:paraId="760E6A05" w14:textId="77777777" w:rsidR="009D47C1" w:rsidRPr="00245D96" w:rsidRDefault="009D47C1" w:rsidP="006462CD">
            <w:pPr>
              <w:rPr>
                <w:b/>
                <w:sz w:val="22"/>
                <w:szCs w:val="22"/>
              </w:rPr>
            </w:pPr>
            <w:r w:rsidRPr="00245D96">
              <w:rPr>
                <w:b/>
                <w:sz w:val="22"/>
                <w:szCs w:val="22"/>
              </w:rPr>
              <w:t>Excel</w:t>
            </w:r>
          </w:p>
        </w:tc>
      </w:tr>
      <w:tr w:rsidR="009D47C1" w:rsidRPr="00245D96" w14:paraId="57CF33D5" w14:textId="77777777" w:rsidTr="006462CD">
        <w:tc>
          <w:tcPr>
            <w:tcW w:w="6498" w:type="dxa"/>
            <w:shd w:val="clear" w:color="auto" w:fill="auto"/>
          </w:tcPr>
          <w:p w14:paraId="66393EE3" w14:textId="77777777" w:rsidR="009D47C1" w:rsidRPr="00245D96" w:rsidRDefault="009D47C1" w:rsidP="006462CD">
            <w:pPr>
              <w:rPr>
                <w:sz w:val="22"/>
                <w:szCs w:val="22"/>
              </w:rPr>
            </w:pPr>
            <w:r w:rsidRPr="00245D96">
              <w:rPr>
                <w:sz w:val="22"/>
                <w:szCs w:val="22"/>
              </w:rPr>
              <w:t>Maintain Reagent Inventory</w:t>
            </w:r>
          </w:p>
        </w:tc>
        <w:tc>
          <w:tcPr>
            <w:tcW w:w="1080" w:type="dxa"/>
            <w:shd w:val="clear" w:color="auto" w:fill="auto"/>
          </w:tcPr>
          <w:p w14:paraId="3D2E7CF5" w14:textId="77777777" w:rsidR="009D47C1" w:rsidRPr="00245D96" w:rsidRDefault="009D47C1" w:rsidP="006462CD">
            <w:pPr>
              <w:rPr>
                <w:sz w:val="22"/>
                <w:szCs w:val="22"/>
              </w:rPr>
            </w:pPr>
            <w:r w:rsidRPr="00245D96">
              <w:rPr>
                <w:sz w:val="22"/>
                <w:szCs w:val="22"/>
              </w:rPr>
              <w:t>Yes</w:t>
            </w:r>
          </w:p>
        </w:tc>
        <w:tc>
          <w:tcPr>
            <w:tcW w:w="990" w:type="dxa"/>
            <w:shd w:val="clear" w:color="auto" w:fill="auto"/>
          </w:tcPr>
          <w:p w14:paraId="3B7C8B76" w14:textId="77777777" w:rsidR="009D47C1" w:rsidRPr="00245D96" w:rsidRDefault="009D47C1" w:rsidP="006462CD">
            <w:pPr>
              <w:rPr>
                <w:sz w:val="22"/>
                <w:szCs w:val="22"/>
              </w:rPr>
            </w:pPr>
            <w:r w:rsidRPr="00245D96">
              <w:rPr>
                <w:sz w:val="22"/>
                <w:szCs w:val="22"/>
              </w:rPr>
              <w:t>Yes</w:t>
            </w:r>
          </w:p>
        </w:tc>
        <w:tc>
          <w:tcPr>
            <w:tcW w:w="1008" w:type="dxa"/>
            <w:shd w:val="clear" w:color="auto" w:fill="auto"/>
          </w:tcPr>
          <w:p w14:paraId="33FEFA25" w14:textId="77777777" w:rsidR="009D47C1" w:rsidRPr="00245D96" w:rsidRDefault="009D47C1" w:rsidP="006462CD">
            <w:pPr>
              <w:rPr>
                <w:sz w:val="22"/>
                <w:szCs w:val="22"/>
              </w:rPr>
            </w:pPr>
            <w:r w:rsidRPr="00245D96">
              <w:rPr>
                <w:sz w:val="22"/>
                <w:szCs w:val="22"/>
              </w:rPr>
              <w:t>No</w:t>
            </w:r>
          </w:p>
        </w:tc>
      </w:tr>
      <w:tr w:rsidR="009D47C1" w:rsidRPr="00245D96" w14:paraId="2D5AFCF7" w14:textId="77777777" w:rsidTr="006462CD">
        <w:tc>
          <w:tcPr>
            <w:tcW w:w="6498" w:type="dxa"/>
            <w:shd w:val="clear" w:color="auto" w:fill="auto"/>
          </w:tcPr>
          <w:p w14:paraId="43045CC7" w14:textId="77777777" w:rsidR="009D47C1" w:rsidRPr="00245D96" w:rsidRDefault="009D47C1" w:rsidP="006462CD">
            <w:pPr>
              <w:rPr>
                <w:sz w:val="22"/>
                <w:szCs w:val="22"/>
              </w:rPr>
            </w:pPr>
            <w:r w:rsidRPr="00245D96">
              <w:rPr>
                <w:sz w:val="22"/>
                <w:szCs w:val="22"/>
              </w:rPr>
              <w:t>Testing Worklist Report</w:t>
            </w:r>
          </w:p>
        </w:tc>
        <w:tc>
          <w:tcPr>
            <w:tcW w:w="1080" w:type="dxa"/>
            <w:shd w:val="clear" w:color="auto" w:fill="auto"/>
          </w:tcPr>
          <w:p w14:paraId="19681570" w14:textId="77777777" w:rsidR="009D47C1" w:rsidRPr="00245D96" w:rsidRDefault="009D47C1" w:rsidP="006462CD">
            <w:pPr>
              <w:rPr>
                <w:sz w:val="22"/>
                <w:szCs w:val="22"/>
              </w:rPr>
            </w:pPr>
            <w:r w:rsidRPr="00245D96">
              <w:rPr>
                <w:sz w:val="22"/>
                <w:szCs w:val="22"/>
              </w:rPr>
              <w:t>Yes</w:t>
            </w:r>
          </w:p>
        </w:tc>
        <w:tc>
          <w:tcPr>
            <w:tcW w:w="990" w:type="dxa"/>
            <w:shd w:val="clear" w:color="auto" w:fill="auto"/>
          </w:tcPr>
          <w:p w14:paraId="490B26AE" w14:textId="77777777" w:rsidR="009D47C1" w:rsidRPr="00245D96" w:rsidRDefault="009D47C1" w:rsidP="006462CD">
            <w:pPr>
              <w:rPr>
                <w:sz w:val="22"/>
                <w:szCs w:val="22"/>
              </w:rPr>
            </w:pPr>
            <w:r w:rsidRPr="00245D96">
              <w:rPr>
                <w:sz w:val="22"/>
                <w:szCs w:val="22"/>
              </w:rPr>
              <w:t>Yes</w:t>
            </w:r>
          </w:p>
        </w:tc>
        <w:tc>
          <w:tcPr>
            <w:tcW w:w="1008" w:type="dxa"/>
            <w:shd w:val="clear" w:color="auto" w:fill="auto"/>
          </w:tcPr>
          <w:p w14:paraId="4BD7B581" w14:textId="77777777" w:rsidR="009D47C1" w:rsidRPr="00245D96" w:rsidRDefault="009D47C1" w:rsidP="006462CD">
            <w:pPr>
              <w:rPr>
                <w:sz w:val="22"/>
                <w:szCs w:val="22"/>
              </w:rPr>
            </w:pPr>
            <w:r w:rsidRPr="00245D96">
              <w:rPr>
                <w:sz w:val="22"/>
                <w:szCs w:val="22"/>
              </w:rPr>
              <w:t>No</w:t>
            </w:r>
          </w:p>
        </w:tc>
      </w:tr>
      <w:tr w:rsidR="009D47C1" w:rsidRPr="00245D96" w14:paraId="51A05116" w14:textId="77777777" w:rsidTr="006462CD">
        <w:tc>
          <w:tcPr>
            <w:tcW w:w="6498" w:type="dxa"/>
            <w:shd w:val="clear" w:color="auto" w:fill="auto"/>
          </w:tcPr>
          <w:p w14:paraId="16A7672D" w14:textId="77777777" w:rsidR="009D47C1" w:rsidRPr="00245D96" w:rsidRDefault="009D47C1" w:rsidP="006462CD">
            <w:pPr>
              <w:rPr>
                <w:sz w:val="22"/>
                <w:szCs w:val="22"/>
              </w:rPr>
            </w:pPr>
            <w:r w:rsidRPr="00245D96">
              <w:rPr>
                <w:sz w:val="22"/>
                <w:szCs w:val="22"/>
              </w:rPr>
              <w:t>Blood Availability Report</w:t>
            </w:r>
          </w:p>
        </w:tc>
        <w:tc>
          <w:tcPr>
            <w:tcW w:w="1080" w:type="dxa"/>
            <w:shd w:val="clear" w:color="auto" w:fill="auto"/>
          </w:tcPr>
          <w:p w14:paraId="2F2DDBDA" w14:textId="77777777" w:rsidR="009D47C1" w:rsidRPr="00245D96" w:rsidRDefault="009D47C1" w:rsidP="006462CD">
            <w:pPr>
              <w:rPr>
                <w:sz w:val="22"/>
                <w:szCs w:val="22"/>
              </w:rPr>
            </w:pPr>
            <w:r w:rsidRPr="00245D96">
              <w:rPr>
                <w:sz w:val="22"/>
                <w:szCs w:val="22"/>
              </w:rPr>
              <w:t>Yes</w:t>
            </w:r>
          </w:p>
        </w:tc>
        <w:tc>
          <w:tcPr>
            <w:tcW w:w="990" w:type="dxa"/>
            <w:shd w:val="clear" w:color="auto" w:fill="auto"/>
          </w:tcPr>
          <w:p w14:paraId="0D57FE02" w14:textId="77777777" w:rsidR="009D47C1" w:rsidRPr="00245D96" w:rsidRDefault="009D47C1" w:rsidP="006462CD">
            <w:pPr>
              <w:rPr>
                <w:sz w:val="22"/>
                <w:szCs w:val="22"/>
              </w:rPr>
            </w:pPr>
            <w:r w:rsidRPr="00245D96">
              <w:rPr>
                <w:sz w:val="22"/>
                <w:szCs w:val="22"/>
              </w:rPr>
              <w:t>Yes</w:t>
            </w:r>
          </w:p>
        </w:tc>
        <w:tc>
          <w:tcPr>
            <w:tcW w:w="1008" w:type="dxa"/>
            <w:shd w:val="clear" w:color="auto" w:fill="auto"/>
          </w:tcPr>
          <w:p w14:paraId="03B854F8" w14:textId="77777777" w:rsidR="009D47C1" w:rsidRPr="00245D96" w:rsidRDefault="009D47C1" w:rsidP="006462CD">
            <w:pPr>
              <w:rPr>
                <w:sz w:val="22"/>
                <w:szCs w:val="22"/>
              </w:rPr>
            </w:pPr>
            <w:r w:rsidRPr="00245D96">
              <w:rPr>
                <w:sz w:val="22"/>
                <w:szCs w:val="22"/>
              </w:rPr>
              <w:t>No</w:t>
            </w:r>
          </w:p>
        </w:tc>
      </w:tr>
      <w:tr w:rsidR="009D47C1" w:rsidRPr="00245D96" w14:paraId="61D801C0" w14:textId="77777777" w:rsidTr="006462CD">
        <w:tc>
          <w:tcPr>
            <w:tcW w:w="6498" w:type="dxa"/>
            <w:shd w:val="clear" w:color="auto" w:fill="auto"/>
          </w:tcPr>
          <w:p w14:paraId="0E538C2A" w14:textId="77777777" w:rsidR="009D47C1" w:rsidRPr="00245D96" w:rsidRDefault="009D47C1" w:rsidP="006462CD">
            <w:pPr>
              <w:rPr>
                <w:sz w:val="22"/>
                <w:szCs w:val="22"/>
              </w:rPr>
            </w:pPr>
            <w:r w:rsidRPr="00245D96">
              <w:rPr>
                <w:sz w:val="22"/>
                <w:szCs w:val="22"/>
              </w:rPr>
              <w:t>Division Transfusion Report</w:t>
            </w:r>
          </w:p>
        </w:tc>
        <w:tc>
          <w:tcPr>
            <w:tcW w:w="1080" w:type="dxa"/>
            <w:shd w:val="clear" w:color="auto" w:fill="auto"/>
          </w:tcPr>
          <w:p w14:paraId="3634F290" w14:textId="77777777" w:rsidR="009D47C1" w:rsidRPr="00245D96" w:rsidRDefault="009D47C1" w:rsidP="006462CD">
            <w:pPr>
              <w:rPr>
                <w:sz w:val="22"/>
                <w:szCs w:val="22"/>
              </w:rPr>
            </w:pPr>
            <w:r w:rsidRPr="00245D96">
              <w:rPr>
                <w:sz w:val="22"/>
                <w:szCs w:val="22"/>
              </w:rPr>
              <w:t>Yes</w:t>
            </w:r>
          </w:p>
        </w:tc>
        <w:tc>
          <w:tcPr>
            <w:tcW w:w="990" w:type="dxa"/>
            <w:shd w:val="clear" w:color="auto" w:fill="auto"/>
          </w:tcPr>
          <w:p w14:paraId="284A46D8" w14:textId="77777777" w:rsidR="009D47C1" w:rsidRPr="00245D96" w:rsidRDefault="009D47C1" w:rsidP="006462CD">
            <w:pPr>
              <w:rPr>
                <w:sz w:val="22"/>
                <w:szCs w:val="22"/>
              </w:rPr>
            </w:pPr>
            <w:r w:rsidRPr="00245D96">
              <w:rPr>
                <w:sz w:val="22"/>
                <w:szCs w:val="22"/>
              </w:rPr>
              <w:t>Yes</w:t>
            </w:r>
          </w:p>
        </w:tc>
        <w:tc>
          <w:tcPr>
            <w:tcW w:w="1008" w:type="dxa"/>
            <w:shd w:val="clear" w:color="auto" w:fill="auto"/>
          </w:tcPr>
          <w:p w14:paraId="448C9FB7" w14:textId="77777777" w:rsidR="009D47C1" w:rsidRPr="00245D96" w:rsidRDefault="009D47C1" w:rsidP="006462CD">
            <w:pPr>
              <w:rPr>
                <w:sz w:val="22"/>
                <w:szCs w:val="22"/>
              </w:rPr>
            </w:pPr>
            <w:r w:rsidRPr="00245D96">
              <w:rPr>
                <w:sz w:val="22"/>
                <w:szCs w:val="22"/>
              </w:rPr>
              <w:t>No</w:t>
            </w:r>
          </w:p>
        </w:tc>
      </w:tr>
      <w:tr w:rsidR="009D47C1" w:rsidRPr="00245D96" w14:paraId="3098685F" w14:textId="77777777" w:rsidTr="006462CD">
        <w:tc>
          <w:tcPr>
            <w:tcW w:w="6498" w:type="dxa"/>
            <w:shd w:val="clear" w:color="auto" w:fill="auto"/>
          </w:tcPr>
          <w:p w14:paraId="36C80D86" w14:textId="77777777" w:rsidR="009D47C1" w:rsidRPr="00245D96" w:rsidRDefault="009D47C1" w:rsidP="006462CD">
            <w:pPr>
              <w:rPr>
                <w:sz w:val="22"/>
                <w:szCs w:val="22"/>
              </w:rPr>
            </w:pPr>
            <w:r w:rsidRPr="00245D96">
              <w:rPr>
                <w:sz w:val="22"/>
                <w:szCs w:val="22"/>
              </w:rPr>
              <w:t>Blood Bank Supplies Report</w:t>
            </w:r>
          </w:p>
        </w:tc>
        <w:tc>
          <w:tcPr>
            <w:tcW w:w="1080" w:type="dxa"/>
            <w:shd w:val="clear" w:color="auto" w:fill="auto"/>
          </w:tcPr>
          <w:p w14:paraId="33BBA14D" w14:textId="77777777" w:rsidR="009D47C1" w:rsidRPr="00245D96" w:rsidRDefault="009D47C1" w:rsidP="006462CD">
            <w:pPr>
              <w:rPr>
                <w:sz w:val="22"/>
                <w:szCs w:val="22"/>
              </w:rPr>
            </w:pPr>
            <w:r w:rsidRPr="00245D96">
              <w:rPr>
                <w:sz w:val="22"/>
                <w:szCs w:val="22"/>
              </w:rPr>
              <w:t>Yes</w:t>
            </w:r>
          </w:p>
        </w:tc>
        <w:tc>
          <w:tcPr>
            <w:tcW w:w="990" w:type="dxa"/>
            <w:shd w:val="clear" w:color="auto" w:fill="auto"/>
          </w:tcPr>
          <w:p w14:paraId="4027D5B9" w14:textId="77777777" w:rsidR="009D47C1" w:rsidRPr="00245D96" w:rsidRDefault="009D47C1" w:rsidP="006462CD">
            <w:pPr>
              <w:rPr>
                <w:sz w:val="22"/>
                <w:szCs w:val="22"/>
              </w:rPr>
            </w:pPr>
            <w:r w:rsidRPr="00245D96">
              <w:rPr>
                <w:sz w:val="22"/>
                <w:szCs w:val="22"/>
              </w:rPr>
              <w:t>Yes</w:t>
            </w:r>
          </w:p>
        </w:tc>
        <w:tc>
          <w:tcPr>
            <w:tcW w:w="1008" w:type="dxa"/>
            <w:shd w:val="clear" w:color="auto" w:fill="auto"/>
          </w:tcPr>
          <w:p w14:paraId="533EF060" w14:textId="77777777" w:rsidR="009D47C1" w:rsidRPr="00245D96" w:rsidRDefault="009D47C1" w:rsidP="006462CD">
            <w:pPr>
              <w:rPr>
                <w:sz w:val="22"/>
                <w:szCs w:val="22"/>
              </w:rPr>
            </w:pPr>
            <w:r w:rsidRPr="00245D96">
              <w:rPr>
                <w:sz w:val="22"/>
                <w:szCs w:val="22"/>
              </w:rPr>
              <w:t>No</w:t>
            </w:r>
          </w:p>
        </w:tc>
      </w:tr>
      <w:tr w:rsidR="009D47C1" w:rsidRPr="00245D96" w14:paraId="3E85D5D9" w14:textId="77777777" w:rsidTr="006462CD">
        <w:tc>
          <w:tcPr>
            <w:tcW w:w="6498" w:type="dxa"/>
            <w:shd w:val="clear" w:color="auto" w:fill="auto"/>
          </w:tcPr>
          <w:p w14:paraId="61E8C1A7" w14:textId="77777777" w:rsidR="009D47C1" w:rsidRPr="00245D96" w:rsidRDefault="009D47C1" w:rsidP="006462CD">
            <w:pPr>
              <w:rPr>
                <w:sz w:val="22"/>
                <w:szCs w:val="22"/>
              </w:rPr>
            </w:pPr>
            <w:r w:rsidRPr="00245D96">
              <w:rPr>
                <w:sz w:val="22"/>
                <w:szCs w:val="22"/>
              </w:rPr>
              <w:t>Unit History Report</w:t>
            </w:r>
          </w:p>
        </w:tc>
        <w:tc>
          <w:tcPr>
            <w:tcW w:w="1080" w:type="dxa"/>
            <w:shd w:val="clear" w:color="auto" w:fill="auto"/>
          </w:tcPr>
          <w:p w14:paraId="395A05E6" w14:textId="77777777" w:rsidR="009D47C1" w:rsidRPr="00245D96" w:rsidRDefault="009D47C1" w:rsidP="006462CD">
            <w:pPr>
              <w:rPr>
                <w:sz w:val="22"/>
                <w:szCs w:val="22"/>
              </w:rPr>
            </w:pPr>
            <w:r w:rsidRPr="00245D96">
              <w:rPr>
                <w:sz w:val="22"/>
                <w:szCs w:val="22"/>
              </w:rPr>
              <w:t>Yes</w:t>
            </w:r>
          </w:p>
        </w:tc>
        <w:tc>
          <w:tcPr>
            <w:tcW w:w="990" w:type="dxa"/>
            <w:shd w:val="clear" w:color="auto" w:fill="auto"/>
          </w:tcPr>
          <w:p w14:paraId="4DA1276A" w14:textId="77777777" w:rsidR="009D47C1" w:rsidRPr="00245D96" w:rsidRDefault="009D47C1" w:rsidP="006462CD">
            <w:pPr>
              <w:rPr>
                <w:sz w:val="22"/>
                <w:szCs w:val="22"/>
              </w:rPr>
            </w:pPr>
            <w:r w:rsidRPr="00245D96">
              <w:rPr>
                <w:sz w:val="22"/>
                <w:szCs w:val="22"/>
              </w:rPr>
              <w:t>Yes</w:t>
            </w:r>
          </w:p>
        </w:tc>
        <w:tc>
          <w:tcPr>
            <w:tcW w:w="1008" w:type="dxa"/>
            <w:shd w:val="clear" w:color="auto" w:fill="auto"/>
          </w:tcPr>
          <w:p w14:paraId="3A71E5B3" w14:textId="77777777" w:rsidR="009D47C1" w:rsidRPr="00245D96" w:rsidRDefault="009D47C1" w:rsidP="006462CD">
            <w:pPr>
              <w:rPr>
                <w:sz w:val="22"/>
                <w:szCs w:val="22"/>
              </w:rPr>
            </w:pPr>
            <w:r w:rsidRPr="00245D96">
              <w:rPr>
                <w:sz w:val="22"/>
                <w:szCs w:val="22"/>
              </w:rPr>
              <w:t>No</w:t>
            </w:r>
          </w:p>
        </w:tc>
      </w:tr>
      <w:tr w:rsidR="009D47C1" w:rsidRPr="00245D96" w14:paraId="765F6C89" w14:textId="77777777" w:rsidTr="006462CD">
        <w:tc>
          <w:tcPr>
            <w:tcW w:w="6498" w:type="dxa"/>
            <w:shd w:val="clear" w:color="auto" w:fill="auto"/>
          </w:tcPr>
          <w:p w14:paraId="2F69CD29" w14:textId="77777777" w:rsidR="009D47C1" w:rsidRPr="00245D96" w:rsidRDefault="009D47C1" w:rsidP="006462CD">
            <w:pPr>
              <w:rPr>
                <w:sz w:val="22"/>
                <w:szCs w:val="22"/>
              </w:rPr>
            </w:pPr>
            <w:r w:rsidRPr="00245D96">
              <w:rPr>
                <w:sz w:val="22"/>
                <w:szCs w:val="22"/>
              </w:rPr>
              <w:t>Patient History Report</w:t>
            </w:r>
          </w:p>
        </w:tc>
        <w:tc>
          <w:tcPr>
            <w:tcW w:w="1080" w:type="dxa"/>
            <w:shd w:val="clear" w:color="auto" w:fill="auto"/>
          </w:tcPr>
          <w:p w14:paraId="08F063E2" w14:textId="77777777" w:rsidR="009D47C1" w:rsidRPr="00245D96" w:rsidRDefault="009D47C1" w:rsidP="006462CD">
            <w:pPr>
              <w:rPr>
                <w:sz w:val="22"/>
                <w:szCs w:val="22"/>
              </w:rPr>
            </w:pPr>
            <w:r w:rsidRPr="00245D96">
              <w:rPr>
                <w:sz w:val="22"/>
                <w:szCs w:val="22"/>
              </w:rPr>
              <w:t>Yes</w:t>
            </w:r>
          </w:p>
        </w:tc>
        <w:tc>
          <w:tcPr>
            <w:tcW w:w="990" w:type="dxa"/>
            <w:shd w:val="clear" w:color="auto" w:fill="auto"/>
          </w:tcPr>
          <w:p w14:paraId="09347B3E" w14:textId="77777777" w:rsidR="009D47C1" w:rsidRPr="00245D96" w:rsidRDefault="009D47C1" w:rsidP="006462CD">
            <w:pPr>
              <w:rPr>
                <w:sz w:val="22"/>
                <w:szCs w:val="22"/>
              </w:rPr>
            </w:pPr>
            <w:r w:rsidRPr="00245D96">
              <w:rPr>
                <w:sz w:val="22"/>
                <w:szCs w:val="22"/>
              </w:rPr>
              <w:t>Yes</w:t>
            </w:r>
          </w:p>
        </w:tc>
        <w:tc>
          <w:tcPr>
            <w:tcW w:w="1008" w:type="dxa"/>
            <w:shd w:val="clear" w:color="auto" w:fill="auto"/>
          </w:tcPr>
          <w:p w14:paraId="3D68BE75" w14:textId="77777777" w:rsidR="009D47C1" w:rsidRPr="00245D96" w:rsidRDefault="009D47C1" w:rsidP="006462CD">
            <w:pPr>
              <w:rPr>
                <w:sz w:val="22"/>
                <w:szCs w:val="22"/>
              </w:rPr>
            </w:pPr>
            <w:r w:rsidRPr="00245D96">
              <w:rPr>
                <w:sz w:val="22"/>
                <w:szCs w:val="22"/>
              </w:rPr>
              <w:t>No</w:t>
            </w:r>
          </w:p>
        </w:tc>
      </w:tr>
      <w:tr w:rsidR="009D47C1" w:rsidRPr="00245D96" w14:paraId="251771A4" w14:textId="77777777" w:rsidTr="006462CD">
        <w:tc>
          <w:tcPr>
            <w:tcW w:w="6498" w:type="dxa"/>
            <w:shd w:val="clear" w:color="auto" w:fill="auto"/>
          </w:tcPr>
          <w:p w14:paraId="45D3C266" w14:textId="77777777" w:rsidR="009D47C1" w:rsidRPr="00245D96" w:rsidRDefault="009D47C1" w:rsidP="006462CD">
            <w:pPr>
              <w:rPr>
                <w:sz w:val="22"/>
                <w:szCs w:val="22"/>
              </w:rPr>
            </w:pPr>
            <w:r w:rsidRPr="00245D96">
              <w:rPr>
                <w:sz w:val="22"/>
                <w:szCs w:val="22"/>
              </w:rPr>
              <w:t>Other VBECS reports</w:t>
            </w:r>
          </w:p>
        </w:tc>
        <w:tc>
          <w:tcPr>
            <w:tcW w:w="1080" w:type="dxa"/>
            <w:shd w:val="clear" w:color="auto" w:fill="auto"/>
          </w:tcPr>
          <w:p w14:paraId="67D59BFE" w14:textId="77777777" w:rsidR="009D47C1" w:rsidRPr="00245D96" w:rsidRDefault="009D47C1" w:rsidP="006462CD">
            <w:pPr>
              <w:rPr>
                <w:sz w:val="22"/>
                <w:szCs w:val="22"/>
              </w:rPr>
            </w:pPr>
            <w:r w:rsidRPr="00245D96">
              <w:rPr>
                <w:sz w:val="22"/>
                <w:szCs w:val="22"/>
              </w:rPr>
              <w:t>Yes</w:t>
            </w:r>
          </w:p>
        </w:tc>
        <w:tc>
          <w:tcPr>
            <w:tcW w:w="990" w:type="dxa"/>
            <w:shd w:val="clear" w:color="auto" w:fill="auto"/>
          </w:tcPr>
          <w:p w14:paraId="08CE506B" w14:textId="77777777" w:rsidR="009D47C1" w:rsidRPr="00245D96" w:rsidRDefault="009D47C1" w:rsidP="006462CD">
            <w:pPr>
              <w:rPr>
                <w:sz w:val="22"/>
                <w:szCs w:val="22"/>
              </w:rPr>
            </w:pPr>
            <w:r w:rsidRPr="00245D96">
              <w:rPr>
                <w:sz w:val="22"/>
                <w:szCs w:val="22"/>
              </w:rPr>
              <w:t>Yes</w:t>
            </w:r>
          </w:p>
        </w:tc>
        <w:tc>
          <w:tcPr>
            <w:tcW w:w="1008" w:type="dxa"/>
            <w:shd w:val="clear" w:color="auto" w:fill="auto"/>
          </w:tcPr>
          <w:p w14:paraId="6DEFD6FC" w14:textId="77777777" w:rsidR="009D47C1" w:rsidRPr="00245D96" w:rsidRDefault="009D47C1" w:rsidP="006462CD">
            <w:pPr>
              <w:rPr>
                <w:sz w:val="22"/>
                <w:szCs w:val="22"/>
              </w:rPr>
            </w:pPr>
            <w:r w:rsidRPr="00245D96">
              <w:rPr>
                <w:sz w:val="22"/>
                <w:szCs w:val="22"/>
              </w:rPr>
              <w:t>Yes</w:t>
            </w:r>
          </w:p>
        </w:tc>
      </w:tr>
    </w:tbl>
    <w:p w14:paraId="41313E22" w14:textId="6D2C0609" w:rsidR="009D47C1" w:rsidRPr="009D47C1" w:rsidRDefault="009D47C1" w:rsidP="009D47C1">
      <w:pPr>
        <w:pStyle w:val="BodyText"/>
      </w:pPr>
      <w:r w:rsidRPr="009D47C1">
        <w:lastRenderedPageBreak/>
        <w:t xml:space="preserve">By clicking on </w:t>
      </w:r>
      <w:r w:rsidR="00057948">
        <w:rPr>
          <w:noProof/>
        </w:rPr>
        <w:drawing>
          <wp:inline distT="0" distB="0" distL="0" distR="0" wp14:anchorId="7A46AD37" wp14:editId="24AF50F7">
            <wp:extent cx="323215" cy="240030"/>
            <wp:effectExtent l="0" t="0" r="635" b="7620"/>
            <wp:docPr id="32" name="Picture 6" descr="Sav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6" descr="Save icon"/>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23215" cy="240030"/>
                    </a:xfrm>
                    <a:prstGeom prst="rect">
                      <a:avLst/>
                    </a:prstGeom>
                    <a:noFill/>
                    <a:ln>
                      <a:noFill/>
                    </a:ln>
                  </pic:spPr>
                </pic:pic>
              </a:graphicData>
            </a:graphic>
          </wp:inline>
        </w:drawing>
      </w:r>
      <w:r w:rsidRPr="009D47C1">
        <w:t xml:space="preserve"> , the user has the option to select and export to an Excel, PDF or Word file (</w:t>
      </w:r>
      <w:r w:rsidR="00EE455E">
        <w:t xml:space="preserve">Figure </w:t>
      </w:r>
      <w:r w:rsidR="00EE455E">
        <w:rPr>
          <w:noProof/>
        </w:rPr>
        <w:t>11</w:t>
      </w:r>
      <w:r w:rsidRPr="009D47C1">
        <w:t>). Choosing any of these options will open the dialog shown in</w:t>
      </w:r>
      <w:r w:rsidR="0095211D">
        <w:t xml:space="preserve"> </w:t>
      </w:r>
      <w:r w:rsidR="00EE455E" w:rsidRPr="00037A18">
        <w:t xml:space="preserve">Figure </w:t>
      </w:r>
      <w:r w:rsidR="00EE455E">
        <w:rPr>
          <w:noProof/>
        </w:rPr>
        <w:t>12</w:t>
      </w:r>
      <w:r w:rsidRPr="009D47C1">
        <w:t xml:space="preserve">. </w:t>
      </w:r>
      <w:r w:rsidRPr="009D47C1">
        <w:rPr>
          <w:vanish/>
        </w:rPr>
        <w:t>DR 4607</w:t>
      </w:r>
    </w:p>
    <w:p w14:paraId="192968C2" w14:textId="7E282C05" w:rsidR="002F1554" w:rsidRDefault="002F1554" w:rsidP="002F1554">
      <w:pPr>
        <w:pStyle w:val="Caption"/>
      </w:pPr>
      <w:bookmarkStart w:id="81" w:name="_Ref416093779"/>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7D1829">
        <w:rPr>
          <w:noProof/>
        </w:rPr>
        <w:t>11</w:t>
      </w:r>
      <w:r w:rsidR="004E20BD">
        <w:rPr>
          <w:noProof/>
        </w:rPr>
        <w:fldChar w:fldCharType="end"/>
      </w:r>
      <w:bookmarkEnd w:id="79"/>
      <w:bookmarkEnd w:id="81"/>
      <w:r>
        <w:t>: Report Export Toolbar</w:t>
      </w:r>
    </w:p>
    <w:p w14:paraId="64A49C1D" w14:textId="77777777" w:rsidR="002F1554" w:rsidRPr="00FC73FB" w:rsidRDefault="00057948" w:rsidP="002F1554">
      <w:pPr>
        <w:pStyle w:val="BodyText"/>
      </w:pPr>
      <w:r>
        <w:rPr>
          <w:noProof/>
        </w:rPr>
        <w:drawing>
          <wp:inline distT="0" distB="0" distL="0" distR="0" wp14:anchorId="5B16992B" wp14:editId="416D3AD9">
            <wp:extent cx="923925" cy="868045"/>
            <wp:effectExtent l="19050" t="19050" r="28575" b="27305"/>
            <wp:docPr id="33" name="Picture 33" descr="Report Export Toolbar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Report Export Toolbar screen capture"/>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923925" cy="868045"/>
                    </a:xfrm>
                    <a:prstGeom prst="rect">
                      <a:avLst/>
                    </a:prstGeom>
                    <a:noFill/>
                    <a:ln w="6350" cmpd="sng">
                      <a:solidFill>
                        <a:srgbClr val="000000"/>
                      </a:solidFill>
                      <a:miter lim="800000"/>
                      <a:headEnd/>
                      <a:tailEnd/>
                    </a:ln>
                    <a:effectLst/>
                  </pic:spPr>
                </pic:pic>
              </a:graphicData>
            </a:graphic>
          </wp:inline>
        </w:drawing>
      </w:r>
    </w:p>
    <w:p w14:paraId="1A05E2DF" w14:textId="387B1F94" w:rsidR="002F1554" w:rsidRDefault="002F1554" w:rsidP="002F1554">
      <w:pPr>
        <w:pStyle w:val="Caption"/>
      </w:pPr>
      <w:bookmarkStart w:id="82" w:name="_Ref353374029"/>
      <w:r w:rsidRPr="00037A18">
        <w:t xml:space="preserve">Figure </w:t>
      </w:r>
      <w:r w:rsidR="004E20BD">
        <w:rPr>
          <w:noProof/>
        </w:rPr>
        <w:fldChar w:fldCharType="begin"/>
      </w:r>
      <w:r w:rsidR="004E20BD">
        <w:rPr>
          <w:noProof/>
        </w:rPr>
        <w:instrText xml:space="preserve"> SEQ Figure \* ARABIC </w:instrText>
      </w:r>
      <w:r w:rsidR="004E20BD">
        <w:rPr>
          <w:noProof/>
        </w:rPr>
        <w:fldChar w:fldCharType="separate"/>
      </w:r>
      <w:r w:rsidR="007D1829">
        <w:rPr>
          <w:noProof/>
        </w:rPr>
        <w:t>12</w:t>
      </w:r>
      <w:r w:rsidR="004E20BD">
        <w:rPr>
          <w:noProof/>
        </w:rPr>
        <w:fldChar w:fldCharType="end"/>
      </w:r>
      <w:bookmarkEnd w:id="82"/>
      <w:r w:rsidRPr="00037A18">
        <w:t xml:space="preserve">: Example of Report Export Dialog </w:t>
      </w:r>
      <w:r w:rsidR="008E79E8">
        <w:t xml:space="preserve">for Blood Bank </w:t>
      </w:r>
      <w:r w:rsidRPr="00037A18">
        <w:t xml:space="preserve">with </w:t>
      </w:r>
      <w:r w:rsidR="008E79E8">
        <w:t>Division Code 589</w:t>
      </w:r>
    </w:p>
    <w:p w14:paraId="7E3100BD" w14:textId="274282BD" w:rsidR="00F827F6" w:rsidRPr="00F827F6" w:rsidRDefault="008D2E7C" w:rsidP="00F827F6">
      <w:pPr>
        <w:pStyle w:val="BodyText"/>
      </w:pPr>
      <w:r w:rsidRPr="008D2E7C">
        <w:rPr>
          <w:noProof/>
        </w:rPr>
        <w:drawing>
          <wp:inline distT="0" distB="0" distL="0" distR="0" wp14:anchorId="697849C2" wp14:editId="3EDE4519">
            <wp:extent cx="5943600" cy="1871345"/>
            <wp:effectExtent l="0" t="0" r="0" b="0"/>
            <wp:docPr id="1156" name="Picture 1156" descr="Example of Report Export Dialog for Blood Bank with Division Code 589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6" name="Picture 1156" descr="Example of Report Export Dialog for Blood Bank with Division Code 589 screen capture"/>
                    <pic:cNvPicPr/>
                  </pic:nvPicPr>
                  <pic:blipFill>
                    <a:blip r:embed="rId46"/>
                    <a:stretch>
                      <a:fillRect/>
                    </a:stretch>
                  </pic:blipFill>
                  <pic:spPr>
                    <a:xfrm>
                      <a:off x="0" y="0"/>
                      <a:ext cx="5943600" cy="1871345"/>
                    </a:xfrm>
                    <a:prstGeom prst="rect">
                      <a:avLst/>
                    </a:prstGeom>
                  </pic:spPr>
                </pic:pic>
              </a:graphicData>
            </a:graphic>
          </wp:inline>
        </w:drawing>
      </w:r>
    </w:p>
    <w:p w14:paraId="3BBDD7B0" w14:textId="77777777" w:rsidR="002F1554" w:rsidRDefault="002F1554" w:rsidP="002F1554">
      <w:pPr>
        <w:rPr>
          <w:sz w:val="22"/>
          <w:szCs w:val="22"/>
        </w:rPr>
      </w:pPr>
      <w:r w:rsidRPr="00037A18">
        <w:rPr>
          <w:sz w:val="22"/>
          <w:szCs w:val="22"/>
        </w:rPr>
        <w:t>This dialog allows the user to specify the name of the file to which the report will be exported. The extension of the file is pre-filled for the user and depends on which export option was selected (.xls for Excel, .</w:t>
      </w:r>
      <w:r>
        <w:rPr>
          <w:sz w:val="22"/>
          <w:szCs w:val="22"/>
        </w:rPr>
        <w:t xml:space="preserve">pdf for PDF or .doc for Word). The </w:t>
      </w:r>
      <w:r w:rsidRPr="00037A18">
        <w:rPr>
          <w:sz w:val="22"/>
          <w:szCs w:val="22"/>
        </w:rPr>
        <w:t>file name</w:t>
      </w:r>
      <w:r>
        <w:rPr>
          <w:sz w:val="22"/>
          <w:szCs w:val="22"/>
        </w:rPr>
        <w:t xml:space="preserve"> length is limited to</w:t>
      </w:r>
      <w:r w:rsidRPr="00037A18">
        <w:rPr>
          <w:sz w:val="22"/>
          <w:szCs w:val="22"/>
        </w:rPr>
        <w:t xml:space="preserve"> </w:t>
      </w:r>
      <w:r>
        <w:rPr>
          <w:sz w:val="22"/>
          <w:szCs w:val="22"/>
        </w:rPr>
        <w:t>200</w:t>
      </w:r>
      <w:r w:rsidRPr="00037A18">
        <w:rPr>
          <w:sz w:val="22"/>
          <w:szCs w:val="22"/>
        </w:rPr>
        <w:t xml:space="preserve"> characters</w:t>
      </w:r>
      <w:r>
        <w:rPr>
          <w:sz w:val="22"/>
          <w:szCs w:val="22"/>
        </w:rPr>
        <w:t xml:space="preserve"> and will not accept special characters as part of the name (e.g., \ / ? % * | : ’ ” &lt; &gt;).</w:t>
      </w:r>
    </w:p>
    <w:p w14:paraId="7D085FB6" w14:textId="77777777" w:rsidR="002F1554" w:rsidRPr="00037A18" w:rsidRDefault="002F1554" w:rsidP="002F1554">
      <w:pPr>
        <w:spacing w:before="120"/>
        <w:rPr>
          <w:sz w:val="22"/>
          <w:szCs w:val="22"/>
        </w:rPr>
      </w:pPr>
      <w:r w:rsidRPr="00037A18">
        <w:rPr>
          <w:sz w:val="22"/>
          <w:szCs w:val="22"/>
        </w:rPr>
        <w:t xml:space="preserve">If the user attempts to </w:t>
      </w:r>
      <w:r>
        <w:rPr>
          <w:sz w:val="22"/>
          <w:szCs w:val="22"/>
        </w:rPr>
        <w:t>use a special character in the file name, it will be ignored and not appear on the screen.</w:t>
      </w:r>
    </w:p>
    <w:p w14:paraId="454CD515" w14:textId="364C8E11" w:rsidR="002F1554" w:rsidRPr="00037A18" w:rsidRDefault="002F1554" w:rsidP="002F1554">
      <w:pPr>
        <w:pStyle w:val="BodyText"/>
      </w:pPr>
      <w:r w:rsidRPr="00037A18">
        <w:t xml:space="preserve">Once the user enters a proper file name, the </w:t>
      </w:r>
      <w:r w:rsidRPr="00037A18">
        <w:rPr>
          <w:b/>
        </w:rPr>
        <w:t>OK</w:t>
      </w:r>
      <w:r w:rsidRPr="00037A18">
        <w:t xml:space="preserve"> button will become enabled. Clicking the </w:t>
      </w:r>
      <w:r w:rsidRPr="00037A18">
        <w:rPr>
          <w:b/>
        </w:rPr>
        <w:t>OK</w:t>
      </w:r>
      <w:r w:rsidRPr="00037A18">
        <w:t xml:space="preserve"> button will present the user with the message shown in</w:t>
      </w:r>
      <w:r w:rsidR="00430868">
        <w:t xml:space="preserve"> </w:t>
      </w:r>
      <w:r w:rsidR="00EE455E" w:rsidRPr="00037A18">
        <w:t xml:space="preserve">Figure </w:t>
      </w:r>
      <w:r w:rsidR="00EE455E">
        <w:rPr>
          <w:noProof/>
        </w:rPr>
        <w:t>13</w:t>
      </w:r>
      <w:r w:rsidRPr="00037A18">
        <w:t>.</w:t>
      </w:r>
    </w:p>
    <w:p w14:paraId="2F976C28" w14:textId="44452C0A" w:rsidR="002F1554" w:rsidRPr="00037A18" w:rsidRDefault="002F1554" w:rsidP="002F1554">
      <w:pPr>
        <w:pStyle w:val="Caption"/>
      </w:pPr>
      <w:bookmarkStart w:id="83" w:name="_Ref353374032"/>
      <w:r w:rsidRPr="00037A18">
        <w:t xml:space="preserve">Figure </w:t>
      </w:r>
      <w:r w:rsidR="004E20BD">
        <w:rPr>
          <w:noProof/>
        </w:rPr>
        <w:fldChar w:fldCharType="begin"/>
      </w:r>
      <w:r w:rsidR="004E20BD">
        <w:rPr>
          <w:noProof/>
        </w:rPr>
        <w:instrText xml:space="preserve"> SEQ Figure \* ARABIC </w:instrText>
      </w:r>
      <w:r w:rsidR="004E20BD">
        <w:rPr>
          <w:noProof/>
        </w:rPr>
        <w:fldChar w:fldCharType="separate"/>
      </w:r>
      <w:r w:rsidR="007D1829">
        <w:rPr>
          <w:noProof/>
        </w:rPr>
        <w:t>13</w:t>
      </w:r>
      <w:r w:rsidR="004E20BD">
        <w:rPr>
          <w:noProof/>
        </w:rPr>
        <w:fldChar w:fldCharType="end"/>
      </w:r>
      <w:bookmarkEnd w:id="83"/>
      <w:r w:rsidRPr="00037A18">
        <w:t>: Report Exporting in Progress</w:t>
      </w:r>
    </w:p>
    <w:p w14:paraId="5F1D1917" w14:textId="77777777" w:rsidR="002F1554" w:rsidRPr="00A777D2" w:rsidRDefault="00057948" w:rsidP="002F1554">
      <w:pPr>
        <w:pStyle w:val="BodyText"/>
        <w:rPr>
          <w:highlight w:val="yellow"/>
        </w:rPr>
      </w:pPr>
      <w:r>
        <w:rPr>
          <w:noProof/>
        </w:rPr>
        <w:drawing>
          <wp:inline distT="0" distB="0" distL="0" distR="0" wp14:anchorId="5EB50F8B" wp14:editId="263F567E">
            <wp:extent cx="2641600" cy="1200785"/>
            <wp:effectExtent l="19050" t="19050" r="25400" b="18415"/>
            <wp:docPr id="35" name="Picture 35" descr="Example of Report Exporting in Progress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descr="Example of Report Exporting in Progress Screen capture"/>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641600" cy="1200785"/>
                    </a:xfrm>
                    <a:prstGeom prst="rect">
                      <a:avLst/>
                    </a:prstGeom>
                    <a:noFill/>
                    <a:ln w="6350" cmpd="sng">
                      <a:solidFill>
                        <a:srgbClr val="000000"/>
                      </a:solidFill>
                      <a:miter lim="800000"/>
                      <a:headEnd/>
                      <a:tailEnd/>
                    </a:ln>
                    <a:effectLst/>
                  </pic:spPr>
                </pic:pic>
              </a:graphicData>
            </a:graphic>
          </wp:inline>
        </w:drawing>
      </w:r>
    </w:p>
    <w:p w14:paraId="7A586A08" w14:textId="6A3D4F90" w:rsidR="002F1554" w:rsidRPr="00037A18" w:rsidRDefault="00A66B66" w:rsidP="002F1554">
      <w:pPr>
        <w:pStyle w:val="BodyText"/>
      </w:pPr>
      <w:r>
        <w:br w:type="page"/>
      </w:r>
      <w:r w:rsidR="002F1554" w:rsidRPr="00037A18">
        <w:lastRenderedPageBreak/>
        <w:t xml:space="preserve">Clicking the </w:t>
      </w:r>
      <w:r w:rsidR="002F1554" w:rsidRPr="00037A18">
        <w:rPr>
          <w:b/>
        </w:rPr>
        <w:t>Cancel</w:t>
      </w:r>
      <w:r w:rsidR="002F1554" w:rsidRPr="00037A18">
        <w:t xml:space="preserve"> button will stop the e</w:t>
      </w:r>
      <w:r w:rsidR="009144AE">
        <w:t>xport and</w:t>
      </w:r>
      <w:r w:rsidR="005B08F5">
        <w:t xml:space="preserve"> the user will be reverted back to viewing the report</w:t>
      </w:r>
      <w:r w:rsidR="002F1554" w:rsidRPr="00037A18">
        <w:t xml:space="preserve">. If the export </w:t>
      </w:r>
      <w:r w:rsidR="005B08F5">
        <w:t>is</w:t>
      </w:r>
      <w:r w:rsidR="002F1554" w:rsidRPr="00037A18">
        <w:t xml:space="preserve"> successful, the user will be presented with the message shown in</w:t>
      </w:r>
      <w:r w:rsidR="00B2123B">
        <w:t xml:space="preserve"> </w:t>
      </w:r>
      <w:r w:rsidR="00EE455E" w:rsidRPr="00037A18">
        <w:t xml:space="preserve">Figure </w:t>
      </w:r>
      <w:r w:rsidR="00EE455E">
        <w:rPr>
          <w:noProof/>
        </w:rPr>
        <w:t>14</w:t>
      </w:r>
      <w:r w:rsidR="002F1554" w:rsidRPr="00037A18">
        <w:t>.</w:t>
      </w:r>
    </w:p>
    <w:p w14:paraId="2CE8BD94" w14:textId="39BA0DDE" w:rsidR="002F1554" w:rsidRPr="00037A18" w:rsidRDefault="002F1554" w:rsidP="002F1554">
      <w:pPr>
        <w:pStyle w:val="Caption"/>
      </w:pPr>
      <w:bookmarkStart w:id="84" w:name="_Ref353374155"/>
      <w:r w:rsidRPr="00037A18">
        <w:t xml:space="preserve">Figure </w:t>
      </w:r>
      <w:r w:rsidR="004E20BD">
        <w:rPr>
          <w:noProof/>
        </w:rPr>
        <w:fldChar w:fldCharType="begin"/>
      </w:r>
      <w:r w:rsidR="004E20BD">
        <w:rPr>
          <w:noProof/>
        </w:rPr>
        <w:instrText xml:space="preserve"> SEQ Figure \* ARABIC </w:instrText>
      </w:r>
      <w:r w:rsidR="004E20BD">
        <w:rPr>
          <w:noProof/>
        </w:rPr>
        <w:fldChar w:fldCharType="separate"/>
      </w:r>
      <w:r w:rsidR="007D1829">
        <w:rPr>
          <w:noProof/>
        </w:rPr>
        <w:t>14</w:t>
      </w:r>
      <w:r w:rsidR="004E20BD">
        <w:rPr>
          <w:noProof/>
        </w:rPr>
        <w:fldChar w:fldCharType="end"/>
      </w:r>
      <w:bookmarkEnd w:id="84"/>
      <w:r w:rsidRPr="00037A18">
        <w:t>: Example of Report Exporting Success</w:t>
      </w:r>
    </w:p>
    <w:p w14:paraId="77BD963A" w14:textId="3E719D2B" w:rsidR="002F1554" w:rsidRDefault="00302B3B" w:rsidP="002F1554">
      <w:pPr>
        <w:pStyle w:val="BodyText"/>
        <w:rPr>
          <w:highlight w:val="yellow"/>
        </w:rPr>
      </w:pPr>
      <w:r>
        <w:rPr>
          <w:noProof/>
        </w:rPr>
        <w:drawing>
          <wp:inline distT="0" distB="0" distL="0" distR="0" wp14:anchorId="27A75297" wp14:editId="626B4425">
            <wp:extent cx="4619625" cy="2181225"/>
            <wp:effectExtent l="0" t="0" r="9525" b="9525"/>
            <wp:docPr id="17" name="Picture 17" descr="Example of Report Exporting Succ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Example of Report Exporting Success"/>
                    <pic:cNvPicPr/>
                  </pic:nvPicPr>
                  <pic:blipFill>
                    <a:blip r:embed="rId48"/>
                    <a:stretch>
                      <a:fillRect/>
                    </a:stretch>
                  </pic:blipFill>
                  <pic:spPr>
                    <a:xfrm>
                      <a:off x="0" y="0"/>
                      <a:ext cx="4619625" cy="2181225"/>
                    </a:xfrm>
                    <a:prstGeom prst="rect">
                      <a:avLst/>
                    </a:prstGeom>
                  </pic:spPr>
                </pic:pic>
              </a:graphicData>
            </a:graphic>
          </wp:inline>
        </w:drawing>
      </w:r>
    </w:p>
    <w:p w14:paraId="6F55BC30" w14:textId="24C5C40B" w:rsidR="00205F89" w:rsidRPr="002532D0" w:rsidRDefault="00205F89" w:rsidP="002F1554">
      <w:pPr>
        <w:pStyle w:val="BodyText"/>
      </w:pPr>
      <w:r w:rsidRPr="002532D0">
        <w:t xml:space="preserve">This dialog contains a </w:t>
      </w:r>
      <w:r w:rsidRPr="002532D0">
        <w:rPr>
          <w:b/>
          <w:bCs/>
        </w:rPr>
        <w:t>Copy Share Path to Clipboard</w:t>
      </w:r>
      <w:r w:rsidRPr="002532D0">
        <w:t xml:space="preserve"> button, which when clicked will put the full path to the report network share in the user's clipboard</w:t>
      </w:r>
      <w:r w:rsidR="00302B3B" w:rsidRPr="002532D0">
        <w:t xml:space="preserve">. The user can then </w:t>
      </w:r>
      <w:r w:rsidR="00E25BD4" w:rsidRPr="002532D0">
        <w:t xml:space="preserve">return to their workstation and </w:t>
      </w:r>
      <w:r w:rsidR="00302B3B" w:rsidRPr="002532D0">
        <w:t xml:space="preserve">open </w:t>
      </w:r>
      <w:r w:rsidR="00E25BD4" w:rsidRPr="002532D0">
        <w:t xml:space="preserve">File Explorer or </w:t>
      </w:r>
      <w:r w:rsidR="00302B3B" w:rsidRPr="002532D0">
        <w:t>any web browser and paste the copied path into the Address bar</w:t>
      </w:r>
      <w:r w:rsidR="00E25BD4" w:rsidRPr="002532D0">
        <w:t xml:space="preserve"> to be taken to their report.</w:t>
      </w:r>
    </w:p>
    <w:p w14:paraId="3123C2FD" w14:textId="0290A5D1" w:rsidR="00E25BD4" w:rsidRPr="00205F89" w:rsidRDefault="00E25BD4" w:rsidP="002F1554">
      <w:pPr>
        <w:pStyle w:val="BodyText"/>
      </w:pPr>
      <w:r w:rsidRPr="002532D0">
        <w:t xml:space="preserve">To create a workstation shortcut directly to the network share of exported reports, follow the instructions from the </w:t>
      </w:r>
      <w:r w:rsidRPr="002532D0">
        <w:rPr>
          <w:i/>
          <w:iCs/>
        </w:rPr>
        <w:t>Exported Reports Network Share</w:t>
      </w:r>
      <w:r w:rsidRPr="002532D0">
        <w:t xml:space="preserve"> section of the </w:t>
      </w:r>
      <w:r w:rsidRPr="002532D0">
        <w:rPr>
          <w:i/>
          <w:iCs/>
        </w:rPr>
        <w:t>VBECS Technical Manual-Security Guide</w:t>
      </w:r>
      <w:r w:rsidRPr="002532D0">
        <w:t>.</w:t>
      </w:r>
    </w:p>
    <w:p w14:paraId="28BCAA58" w14:textId="6AD8D381" w:rsidR="002A21AE" w:rsidRDefault="002A21AE">
      <w:pPr>
        <w:pStyle w:val="Heading2"/>
      </w:pPr>
      <w:bookmarkStart w:id="85" w:name="_Toc203765830"/>
      <w:bookmarkStart w:id="86" w:name="OLE_LINK45"/>
      <w:bookmarkStart w:id="87" w:name="OLE_LINK46"/>
      <w:bookmarkStart w:id="88" w:name="_Hlk4563316"/>
      <w:r>
        <w:t>Using VBECS</w:t>
      </w:r>
      <w:bookmarkEnd w:id="85"/>
      <w:r>
        <w:fldChar w:fldCharType="begin"/>
      </w:r>
      <w:r>
        <w:instrText xml:space="preserve"> XE </w:instrText>
      </w:r>
      <w:r w:rsidR="00FA7E65">
        <w:instrText>“</w:instrText>
      </w:r>
      <w:r>
        <w:instrText>Using VBECS</w:instrText>
      </w:r>
      <w:r w:rsidR="00FA7E65">
        <w:instrText>”</w:instrText>
      </w:r>
      <w:r>
        <w:instrText xml:space="preserve"> </w:instrText>
      </w:r>
      <w:r>
        <w:fldChar w:fldCharType="end"/>
      </w:r>
    </w:p>
    <w:p w14:paraId="68DFA8BD" w14:textId="77777777" w:rsidR="002A21AE" w:rsidRDefault="002A21AE" w:rsidP="00FA7E65">
      <w:pPr>
        <w:pStyle w:val="BodyText"/>
      </w:pPr>
      <w:bookmarkStart w:id="89" w:name="OLE_LINK37"/>
      <w:bookmarkStart w:id="90" w:name="OLE_LINK38"/>
      <w:r>
        <w:t xml:space="preserve">VBECS is a Windows-based application. </w:t>
      </w:r>
    </w:p>
    <w:p w14:paraId="67595265" w14:textId="77777777" w:rsidR="002A21AE" w:rsidRDefault="002A21AE" w:rsidP="00FA7E65">
      <w:pPr>
        <w:pStyle w:val="BodyText"/>
      </w:pPr>
      <w:r>
        <w:t>One VBEC</w:t>
      </w:r>
      <w:r w:rsidR="00434529">
        <w:t>S system</w:t>
      </w:r>
      <w:r>
        <w:t xml:space="preserve"> is implemented for each </w:t>
      </w:r>
      <w:r w:rsidR="000C7684" w:rsidRPr="000C7684">
        <w:rPr>
          <w:bCs/>
        </w:rPr>
        <w:t>VistA</w:t>
      </w:r>
      <w:r>
        <w:t xml:space="preserve"> database.</w:t>
      </w:r>
    </w:p>
    <w:p w14:paraId="68BAD092" w14:textId="77777777" w:rsidR="00F07C4D" w:rsidRDefault="00F07C4D" w:rsidP="00F05B26">
      <w:pPr>
        <w:pStyle w:val="BodyText"/>
      </w:pPr>
      <w:r>
        <w:t xml:space="preserve">Subject matter experts (SMEs) at user sites will help implement VBECS and train blood bank staff and </w:t>
      </w:r>
      <w:r w:rsidR="00443802" w:rsidRPr="00F05B26">
        <w:t xml:space="preserve">other </w:t>
      </w:r>
      <w:r w:rsidRPr="00F05B26">
        <w:t>authorized users.</w:t>
      </w:r>
    </w:p>
    <w:p w14:paraId="61E04FBF" w14:textId="5A97FB31" w:rsidR="002A21AE" w:rsidRDefault="00200CB8" w:rsidP="00F05B26">
      <w:pPr>
        <w:pStyle w:val="BodyText"/>
      </w:pPr>
      <w:r w:rsidRPr="00791497">
        <w:t xml:space="preserve">The </w:t>
      </w:r>
      <w:r w:rsidR="001E0C47" w:rsidRPr="001E0C47">
        <w:rPr>
          <w:highlight w:val="yellow"/>
        </w:rPr>
        <w:t>REDACTED</w:t>
      </w:r>
      <w:r w:rsidRPr="00791497">
        <w:t xml:space="preserve"> contains training, Frequently Asked Questions (FAQs)</w:t>
      </w:r>
      <w:r w:rsidR="00791497" w:rsidRPr="00791497">
        <w:t xml:space="preserve">, Technical Bulletins, </w:t>
      </w:r>
      <w:r w:rsidRPr="00791497">
        <w:t xml:space="preserve">ListServ </w:t>
      </w:r>
      <w:r w:rsidR="00F94855">
        <w:t>messages and sign up</w:t>
      </w:r>
      <w:r w:rsidR="00D00E0D">
        <w:t>, etc.</w:t>
      </w:r>
      <w:r w:rsidRPr="00791497">
        <w:t xml:space="preserve"> to support the implementation and use of VBECS.</w:t>
      </w:r>
      <w:r w:rsidR="00F94855">
        <w:t xml:space="preserve"> </w:t>
      </w:r>
      <w:r w:rsidR="00C84BC5" w:rsidRPr="00F05B26">
        <w:t xml:space="preserve">Users may access links to </w:t>
      </w:r>
      <w:r w:rsidR="00F05B26" w:rsidRPr="00F05B26">
        <w:t xml:space="preserve">VBECS </w:t>
      </w:r>
      <w:r w:rsidR="00C84BC5" w:rsidRPr="00F05B26">
        <w:t xml:space="preserve">training </w:t>
      </w:r>
      <w:r w:rsidR="00FF50AC" w:rsidRPr="00F05B26">
        <w:t>modules</w:t>
      </w:r>
      <w:r w:rsidR="00F05B26" w:rsidRPr="00F05B26">
        <w:t xml:space="preserve"> and frequently asked </w:t>
      </w:r>
      <w:r w:rsidR="00671459" w:rsidRPr="00F05B26">
        <w:t>questions and</w:t>
      </w:r>
      <w:r w:rsidR="00F05B26" w:rsidRPr="00F05B26">
        <w:t xml:space="preserve"> join a ListServ (an email distribution list to manage discussion groups) for </w:t>
      </w:r>
      <w:r w:rsidR="00770D97">
        <w:t xml:space="preserve">VBECS </w:t>
      </w:r>
      <w:r w:rsidR="00F05B26" w:rsidRPr="00F05B26">
        <w:t>announcements and updates.</w:t>
      </w:r>
      <w:r w:rsidR="00C84BC5" w:rsidRPr="00F05B26">
        <w:t> Contact information is provided for comments and questions</w:t>
      </w:r>
      <w:bookmarkEnd w:id="86"/>
      <w:bookmarkEnd w:id="87"/>
      <w:r w:rsidR="00F05B26" w:rsidRPr="00F05B26">
        <w:t>.</w:t>
      </w:r>
    </w:p>
    <w:p w14:paraId="5EDB80D4" w14:textId="26D03023" w:rsidR="006C5917" w:rsidRDefault="006C5917" w:rsidP="00BD5547">
      <w:pPr>
        <w:pStyle w:val="BodyText"/>
      </w:pPr>
      <w:r>
        <w:t>Pressing the “F1” key brings up the VBECS Information window to inform the user that if you need help with VBECS or VBECS Admin, to refer to the VBECS User Guide or VBECS Admin User Guide that are found on the VBECS SharePoint or file a Service Desk ticket.</w:t>
      </w:r>
    </w:p>
    <w:p w14:paraId="38CDB2BD" w14:textId="340AC825" w:rsidR="00AB0325" w:rsidRDefault="00AB0325" w:rsidP="00352790">
      <w:pPr>
        <w:pStyle w:val="Heading3"/>
      </w:pPr>
      <w:bookmarkStart w:id="91" w:name="_Options_at_a_Glance:_VBECS_and_Vist"/>
      <w:bookmarkStart w:id="92" w:name="_Toc203765831"/>
      <w:bookmarkEnd w:id="88"/>
      <w:bookmarkEnd w:id="89"/>
      <w:bookmarkEnd w:id="90"/>
      <w:bookmarkEnd w:id="91"/>
      <w:r>
        <w:t>Search</w:t>
      </w:r>
      <w:r w:rsidR="00615BD6">
        <w:t>ing Using the Table of Contents</w:t>
      </w:r>
      <w:bookmarkEnd w:id="92"/>
      <w:r w:rsidR="006C04E6">
        <w:fldChar w:fldCharType="begin"/>
      </w:r>
      <w:r w:rsidR="006C04E6">
        <w:instrText xml:space="preserve"> XE "</w:instrText>
      </w:r>
      <w:r w:rsidR="006C04E6" w:rsidRPr="001246FE">
        <w:instrText>Search Tab</w:instrText>
      </w:r>
      <w:r w:rsidR="006C04E6">
        <w:instrText xml:space="preserve">" </w:instrText>
      </w:r>
      <w:r w:rsidR="006C04E6">
        <w:fldChar w:fldCharType="end"/>
      </w:r>
    </w:p>
    <w:p w14:paraId="6F54E025" w14:textId="15BED63F" w:rsidR="002C3957" w:rsidRPr="009D0CAA" w:rsidRDefault="009870B1" w:rsidP="009D0CAA">
      <w:pPr>
        <w:rPr>
          <w:sz w:val="22"/>
          <w:szCs w:val="22"/>
        </w:rPr>
      </w:pPr>
      <w:r>
        <w:rPr>
          <w:sz w:val="22"/>
          <w:szCs w:val="22"/>
        </w:rPr>
        <w:t xml:space="preserve">Scroll through the Table of Contents and </w:t>
      </w:r>
      <w:r w:rsidR="00615BD6">
        <w:rPr>
          <w:sz w:val="22"/>
          <w:szCs w:val="22"/>
        </w:rPr>
        <w:t>click</w:t>
      </w:r>
      <w:r w:rsidR="00615BD6" w:rsidRPr="00615BD6">
        <w:rPr>
          <w:sz w:val="22"/>
          <w:szCs w:val="22"/>
        </w:rPr>
        <w:t xml:space="preserve"> any Table of Contents </w:t>
      </w:r>
      <w:r>
        <w:rPr>
          <w:sz w:val="22"/>
          <w:szCs w:val="22"/>
        </w:rPr>
        <w:t>topic</w:t>
      </w:r>
      <w:r w:rsidR="00D549A4">
        <w:rPr>
          <w:sz w:val="22"/>
          <w:szCs w:val="22"/>
        </w:rPr>
        <w:t>/link</w:t>
      </w:r>
      <w:r>
        <w:rPr>
          <w:sz w:val="22"/>
          <w:szCs w:val="22"/>
        </w:rPr>
        <w:t xml:space="preserve"> to go </w:t>
      </w:r>
      <w:r w:rsidR="00615BD6">
        <w:rPr>
          <w:sz w:val="22"/>
          <w:szCs w:val="22"/>
        </w:rPr>
        <w:t xml:space="preserve">to the </w:t>
      </w:r>
      <w:r w:rsidR="00DE5A90">
        <w:rPr>
          <w:sz w:val="22"/>
          <w:szCs w:val="22"/>
        </w:rPr>
        <w:t>desired</w:t>
      </w:r>
      <w:r w:rsidR="00615BD6">
        <w:rPr>
          <w:sz w:val="22"/>
          <w:szCs w:val="22"/>
        </w:rPr>
        <w:t xml:space="preserve"> page.</w:t>
      </w:r>
    </w:p>
    <w:p w14:paraId="78E7E307" w14:textId="77777777" w:rsidR="00BB6AB5" w:rsidRDefault="00F05A35" w:rsidP="007E27AF">
      <w:pPr>
        <w:pStyle w:val="Heading2"/>
      </w:pPr>
      <w:bookmarkStart w:id="93" w:name="OLE_LINK39"/>
      <w:bookmarkStart w:id="94" w:name="OLE_LINK40"/>
      <w:r>
        <w:br w:type="page"/>
      </w:r>
      <w:bookmarkStart w:id="95" w:name="_Toc203765832"/>
      <w:r w:rsidR="00BB6AB5">
        <w:lastRenderedPageBreak/>
        <w:t xml:space="preserve">VistA </w:t>
      </w:r>
      <w:r w:rsidR="001A5555">
        <w:t>Records</w:t>
      </w:r>
      <w:r w:rsidR="00BB6AB5">
        <w:t xml:space="preserve"> in VBECS</w:t>
      </w:r>
      <w:bookmarkEnd w:id="95"/>
      <w:r w:rsidR="007E27AF">
        <w:fldChar w:fldCharType="begin"/>
      </w:r>
      <w:r w:rsidR="007E27AF">
        <w:instrText xml:space="preserve"> XE "</w:instrText>
      </w:r>
      <w:r w:rsidR="007E27AF" w:rsidRPr="00C85A38">
        <w:instrText>VistA Records in VBECS</w:instrText>
      </w:r>
      <w:r w:rsidR="007E27AF">
        <w:instrText xml:space="preserve">" </w:instrText>
      </w:r>
      <w:r w:rsidR="007E27AF">
        <w:fldChar w:fldCharType="end"/>
      </w:r>
    </w:p>
    <w:p w14:paraId="72FD7222" w14:textId="77777777" w:rsidR="00C97C16" w:rsidRDefault="000F37DC" w:rsidP="00C97C16">
      <w:pPr>
        <w:pStyle w:val="BodyText"/>
      </w:pPr>
      <w:r>
        <w:t>Historic</w:t>
      </w:r>
      <w:r w:rsidR="00550B93">
        <w:t xml:space="preserve"> </w:t>
      </w:r>
      <w:r w:rsidR="00BB6AB5">
        <w:t xml:space="preserve">VistA blood bank </w:t>
      </w:r>
      <w:r w:rsidR="001A5555">
        <w:t>records were</w:t>
      </w:r>
      <w:r w:rsidR="00BB6AB5">
        <w:t xml:space="preserve"> transferred to VBECS</w:t>
      </w:r>
      <w:r w:rsidR="000C18F8">
        <w:t xml:space="preserve"> </w:t>
      </w:r>
      <w:r w:rsidR="004C470C">
        <w:t xml:space="preserve">and validated </w:t>
      </w:r>
      <w:r w:rsidR="000C18F8">
        <w:t>during the database conversion</w:t>
      </w:r>
      <w:r w:rsidR="00550B93">
        <w:t xml:space="preserve">. </w:t>
      </w:r>
      <w:r w:rsidR="007E27AF">
        <w:t>VBECS handles these records in accordance with system rules:</w:t>
      </w:r>
      <w:r w:rsidR="004C470C" w:rsidRPr="004C470C">
        <w:t xml:space="preserve"> </w:t>
      </w:r>
    </w:p>
    <w:p w14:paraId="00108674" w14:textId="77777777" w:rsidR="002A11A1" w:rsidRDefault="00057948" w:rsidP="004C470C">
      <w:pPr>
        <w:pStyle w:val="Caution"/>
      </w:pPr>
      <w:r>
        <w:rPr>
          <w:noProof/>
        </w:rPr>
        <w:drawing>
          <wp:inline distT="0" distB="0" distL="0" distR="0" wp14:anchorId="643FD3F0" wp14:editId="0B39E7E8">
            <wp:extent cx="267970" cy="221615"/>
            <wp:effectExtent l="0" t="0" r="0" b="6985"/>
            <wp:docPr id="48" name="Picture 48" descr="Construc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48" descr="Construction icon"/>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67970" cy="221615"/>
                    </a:xfrm>
                    <a:prstGeom prst="rect">
                      <a:avLst/>
                    </a:prstGeom>
                    <a:noFill/>
                    <a:ln>
                      <a:noFill/>
                    </a:ln>
                  </pic:spPr>
                </pic:pic>
              </a:graphicData>
            </a:graphic>
          </wp:inline>
        </w:drawing>
      </w:r>
      <w:r w:rsidR="00C97C16">
        <w:t xml:space="preserve">Patient names in VistA that exceed the database standard for File </w:t>
      </w:r>
      <w:r w:rsidR="00531232">
        <w:t>#2 (</w:t>
      </w:r>
      <w:r w:rsidR="00C97C16">
        <w:t>30 characters</w:t>
      </w:r>
      <w:r w:rsidR="004E57F7">
        <w:t xml:space="preserve">) </w:t>
      </w:r>
      <w:r w:rsidR="004B00E6">
        <w:t>or do not have a last name</w:t>
      </w:r>
      <w:r w:rsidR="00531232">
        <w:t xml:space="preserve"> </w:t>
      </w:r>
      <w:r w:rsidR="005A7EE0">
        <w:t>do not convert to V</w:t>
      </w:r>
      <w:r w:rsidR="00551EF1">
        <w:t>BECS</w:t>
      </w:r>
      <w:r w:rsidR="002A11A1">
        <w:t>.</w:t>
      </w:r>
    </w:p>
    <w:p w14:paraId="1502CC9C" w14:textId="77777777" w:rsidR="00BB6AB5" w:rsidRDefault="001A5555" w:rsidP="004305BC">
      <w:pPr>
        <w:pStyle w:val="ListBullet"/>
      </w:pPr>
      <w:r>
        <w:t xml:space="preserve">VBECS may display patient information differently from VistA. For example, </w:t>
      </w:r>
      <w:r w:rsidR="00550B93">
        <w:t xml:space="preserve">VBECS displays patient </w:t>
      </w:r>
      <w:r w:rsidR="00810930">
        <w:t>name</w:t>
      </w:r>
      <w:r w:rsidR="0080180A">
        <w:t>s</w:t>
      </w:r>
      <w:r w:rsidR="00550B93">
        <w:t xml:space="preserve"> as “</w:t>
      </w:r>
      <w:r w:rsidR="00BE05CD">
        <w:t xml:space="preserve">LAST NAME, FIRST NAME, MIDDLE NAME </w:t>
      </w:r>
      <w:r w:rsidR="00E12A85">
        <w:t xml:space="preserve">or </w:t>
      </w:r>
      <w:r w:rsidR="00BE05CD">
        <w:t>INITIAL</w:t>
      </w:r>
      <w:r w:rsidR="00102E3E">
        <w:t>, SUFFIX</w:t>
      </w:r>
      <w:r w:rsidR="00550B93">
        <w:t>.”</w:t>
      </w:r>
    </w:p>
    <w:p w14:paraId="2770468E" w14:textId="3719B94A" w:rsidR="00506EE2" w:rsidRPr="00B26970" w:rsidRDefault="00506EE2" w:rsidP="00506EE2">
      <w:pPr>
        <w:pStyle w:val="ListBullet"/>
        <w:rPr>
          <w:rFonts w:cs="Arial"/>
          <w:szCs w:val="18"/>
        </w:rPr>
      </w:pPr>
      <w:r w:rsidRPr="00B26970">
        <w:rPr>
          <w:rFonts w:cs="Arial"/>
          <w:szCs w:val="18"/>
        </w:rPr>
        <w:t xml:space="preserve">A patient name </w:t>
      </w:r>
      <w:r w:rsidR="00932724">
        <w:rPr>
          <w:rFonts w:cs="Arial"/>
          <w:szCs w:val="18"/>
        </w:rPr>
        <w:t>may</w:t>
      </w:r>
      <w:r w:rsidRPr="00B26970">
        <w:rPr>
          <w:rFonts w:cs="Arial"/>
          <w:szCs w:val="18"/>
        </w:rPr>
        <w:t xml:space="preserve"> be truncated in </w:t>
      </w:r>
      <w:r>
        <w:rPr>
          <w:rFonts w:cs="Arial"/>
          <w:szCs w:val="18"/>
        </w:rPr>
        <w:t>the following</w:t>
      </w:r>
      <w:r w:rsidRPr="00B26970">
        <w:rPr>
          <w:rFonts w:cs="Arial"/>
          <w:szCs w:val="18"/>
        </w:rPr>
        <w:t xml:space="preserve"> screens when one of the name fields (Last, First, </w:t>
      </w:r>
      <w:r w:rsidR="00C02E65">
        <w:rPr>
          <w:rFonts w:cs="Arial"/>
          <w:szCs w:val="18"/>
        </w:rPr>
        <w:t>or Middle) exceed</w:t>
      </w:r>
      <w:r w:rsidR="00D05436">
        <w:rPr>
          <w:rFonts w:cs="Arial"/>
          <w:szCs w:val="18"/>
        </w:rPr>
        <w:t>s</w:t>
      </w:r>
      <w:r w:rsidR="00C02E65">
        <w:rPr>
          <w:rFonts w:cs="Arial"/>
          <w:szCs w:val="18"/>
        </w:rPr>
        <w:t xml:space="preserve"> 22 characters. </w:t>
      </w:r>
      <w:r w:rsidR="00C02E65" w:rsidRPr="00B26970">
        <w:rPr>
          <w:rFonts w:cs="Arial"/>
          <w:szCs w:val="18"/>
        </w:rPr>
        <w:t>The full name is displayed elsewhere on the screens ident</w:t>
      </w:r>
      <w:r w:rsidR="00C02E65">
        <w:rPr>
          <w:rFonts w:cs="Arial"/>
          <w:szCs w:val="18"/>
        </w:rPr>
        <w:t>ified or it is provided as read-</w:t>
      </w:r>
      <w:r w:rsidR="00C02E65" w:rsidRPr="00B26970">
        <w:rPr>
          <w:rFonts w:cs="Arial"/>
          <w:szCs w:val="18"/>
        </w:rPr>
        <w:t>only information and is not used to make decisions for the selected patient.</w:t>
      </w:r>
      <w:r w:rsidR="00C02E65">
        <w:rPr>
          <w:rFonts w:cs="Arial"/>
          <w:szCs w:val="18"/>
        </w:rPr>
        <w:t xml:space="preserve"> </w:t>
      </w:r>
      <w:r w:rsidR="00C02E65" w:rsidRPr="00C02E65">
        <w:rPr>
          <w:rFonts w:cs="Arial"/>
          <w:vanish/>
          <w:szCs w:val="18"/>
        </w:rPr>
        <w:t>Task 209590</w:t>
      </w:r>
    </w:p>
    <w:p w14:paraId="194F7A77" w14:textId="77777777" w:rsidR="00506EE2" w:rsidRPr="00B26970" w:rsidRDefault="00506EE2" w:rsidP="00506EE2">
      <w:pPr>
        <w:pStyle w:val="ListBullet"/>
        <w:numPr>
          <w:ilvl w:val="1"/>
          <w:numId w:val="15"/>
        </w:numPr>
        <w:rPr>
          <w:rFonts w:cs="Arial"/>
          <w:szCs w:val="18"/>
        </w:rPr>
      </w:pPr>
      <w:r w:rsidRPr="00B26970">
        <w:rPr>
          <w:rFonts w:cs="Arial"/>
          <w:szCs w:val="18"/>
        </w:rPr>
        <w:t>Blood Unit Details tab</w:t>
      </w:r>
    </w:p>
    <w:p w14:paraId="1919F66F" w14:textId="77777777" w:rsidR="00506EE2" w:rsidRPr="00B26970" w:rsidRDefault="00506EE2" w:rsidP="00506EE2">
      <w:pPr>
        <w:pStyle w:val="ListBullet"/>
        <w:numPr>
          <w:ilvl w:val="1"/>
          <w:numId w:val="15"/>
        </w:numPr>
        <w:rPr>
          <w:rFonts w:cs="Arial"/>
          <w:szCs w:val="18"/>
        </w:rPr>
      </w:pPr>
      <w:r w:rsidRPr="00B26970">
        <w:rPr>
          <w:rFonts w:cs="Arial"/>
          <w:szCs w:val="18"/>
        </w:rPr>
        <w:t>Patient Specimen Selector control</w:t>
      </w:r>
    </w:p>
    <w:p w14:paraId="140FB394" w14:textId="77777777" w:rsidR="00506EE2" w:rsidRPr="00B26970" w:rsidRDefault="00506EE2" w:rsidP="00506EE2">
      <w:pPr>
        <w:pStyle w:val="ListBullet"/>
        <w:numPr>
          <w:ilvl w:val="1"/>
          <w:numId w:val="15"/>
        </w:numPr>
        <w:rPr>
          <w:rFonts w:cs="Arial"/>
          <w:szCs w:val="18"/>
        </w:rPr>
      </w:pPr>
      <w:r w:rsidRPr="00B26970">
        <w:rPr>
          <w:rFonts w:cs="Arial"/>
          <w:szCs w:val="18"/>
        </w:rPr>
        <w:t>Patient Order Selector control</w:t>
      </w:r>
    </w:p>
    <w:p w14:paraId="3968F188" w14:textId="1DDC7240" w:rsidR="00506EE2" w:rsidRPr="00B26970" w:rsidRDefault="00506EE2" w:rsidP="00506EE2">
      <w:pPr>
        <w:pStyle w:val="ListBullet"/>
        <w:numPr>
          <w:ilvl w:val="1"/>
          <w:numId w:val="15"/>
        </w:numPr>
        <w:rPr>
          <w:rFonts w:cs="Arial"/>
          <w:szCs w:val="18"/>
        </w:rPr>
      </w:pPr>
      <w:r w:rsidRPr="00B26970">
        <w:rPr>
          <w:rFonts w:cs="Arial"/>
          <w:szCs w:val="18"/>
        </w:rPr>
        <w:t>Patient Order Selector for Report control</w:t>
      </w:r>
    </w:p>
    <w:p w14:paraId="4305F5FF" w14:textId="4959C3AE" w:rsidR="00506EE2" w:rsidRDefault="00506EE2" w:rsidP="00506EE2">
      <w:pPr>
        <w:pStyle w:val="ListBullet"/>
      </w:pPr>
      <w:r w:rsidRPr="00B26970">
        <w:rPr>
          <w:rFonts w:cs="Arial"/>
          <w:szCs w:val="18"/>
        </w:rPr>
        <w:t xml:space="preserve">VBECS </w:t>
      </w:r>
      <w:r w:rsidR="00932724">
        <w:rPr>
          <w:rFonts w:cs="Arial"/>
          <w:szCs w:val="18"/>
        </w:rPr>
        <w:t>may</w:t>
      </w:r>
      <w:r w:rsidRPr="00B26970">
        <w:rPr>
          <w:rFonts w:cs="Arial"/>
          <w:szCs w:val="18"/>
        </w:rPr>
        <w:t xml:space="preserve"> only display the first 25 characters of the name.</w:t>
      </w:r>
    </w:p>
    <w:p w14:paraId="56BB0DF4" w14:textId="6A890EF1" w:rsidR="00CF225C" w:rsidRDefault="00524EDF" w:rsidP="004305BC">
      <w:pPr>
        <w:pStyle w:val="ListBullet"/>
      </w:pPr>
      <w:r w:rsidRPr="00524EDF">
        <w:rPr>
          <w:vanish/>
        </w:rPr>
        <w:t xml:space="preserve">BR_3.05 </w:t>
      </w:r>
      <w:r w:rsidR="00CF225C">
        <w:t xml:space="preserve">VBECS displays historic ABO/Rh types from the database </w:t>
      </w:r>
      <w:r w:rsidR="00671459">
        <w:t>conversion but</w:t>
      </w:r>
      <w:r w:rsidR="00CF225C">
        <w:t xml:space="preserve"> doesn’t use </w:t>
      </w:r>
      <w:r w:rsidR="005F34AE">
        <w:t>them</w:t>
      </w:r>
      <w:r w:rsidR="00CF225C">
        <w:t xml:space="preserve"> for issuing blood or for comparing test results. </w:t>
      </w:r>
    </w:p>
    <w:p w14:paraId="61132D12" w14:textId="77777777" w:rsidR="00B814B4" w:rsidRDefault="00B814B4" w:rsidP="00B814B4">
      <w:pPr>
        <w:pStyle w:val="ListBullet"/>
      </w:pPr>
      <w:r>
        <w:t>VBECS truncates Special Instructions (SIs) text from the VistA database conversion.</w:t>
      </w:r>
    </w:p>
    <w:p w14:paraId="37B4E6CD" w14:textId="77777777" w:rsidR="00524EDF" w:rsidRDefault="00524EDF" w:rsidP="00524EDF">
      <w:pPr>
        <w:pStyle w:val="ListBullet"/>
      </w:pPr>
      <w:r>
        <w:rPr>
          <w:vanish/>
        </w:rPr>
        <w:t xml:space="preserve">BR_37.05 </w:t>
      </w:r>
      <w:r w:rsidR="00150930" w:rsidRPr="00150930">
        <w:t>SIs from d</w:t>
      </w:r>
      <w:r>
        <w:t>ata</w:t>
      </w:r>
      <w:r w:rsidR="00150930">
        <w:t>base</w:t>
      </w:r>
      <w:r>
        <w:t xml:space="preserve"> conversion entries are labeled as such.</w:t>
      </w:r>
    </w:p>
    <w:p w14:paraId="32072974" w14:textId="624ADC39" w:rsidR="00150930" w:rsidRDefault="00150930" w:rsidP="00150930">
      <w:pPr>
        <w:pStyle w:val="ListBullet"/>
      </w:pPr>
      <w:r w:rsidRPr="00CA6E27">
        <w:rPr>
          <w:bCs/>
        </w:rPr>
        <w:t>VistA</w:t>
      </w:r>
      <w:r>
        <w:t xml:space="preserve"> SIs from the database conversion </w:t>
      </w:r>
      <w:r w:rsidR="00216287">
        <w:t>may include component or antigen negative requirements. The</w:t>
      </w:r>
      <w:r w:rsidR="00D40EB2">
        <w:t xml:space="preserve"> VistA SIs</w:t>
      </w:r>
      <w:r>
        <w:t xml:space="preserve"> remain SIs and are not enforced unless </w:t>
      </w:r>
      <w:r w:rsidR="00646F65">
        <w:t xml:space="preserve">they are </w:t>
      </w:r>
      <w:r>
        <w:t xml:space="preserve">entered in </w:t>
      </w:r>
      <w:r w:rsidR="00646F65">
        <w:t xml:space="preserve">the </w:t>
      </w:r>
      <w:r w:rsidR="00487A0E">
        <w:t>Components</w:t>
      </w:r>
      <w:r w:rsidR="00646F65">
        <w:t xml:space="preserve"> </w:t>
      </w:r>
      <w:r>
        <w:t>R</w:t>
      </w:r>
      <w:r w:rsidR="00646F65">
        <w:t>equirement</w:t>
      </w:r>
      <w:r>
        <w:t>s</w:t>
      </w:r>
      <w:r w:rsidR="00646F65">
        <w:t xml:space="preserve"> tab in Special Instructions &amp; Transfusion Requirements</w:t>
      </w:r>
      <w:r>
        <w:t>.</w:t>
      </w:r>
    </w:p>
    <w:p w14:paraId="57CE1EF5" w14:textId="7D331BD2" w:rsidR="001F561F" w:rsidRDefault="001F561F" w:rsidP="001F561F">
      <w:pPr>
        <w:pStyle w:val="ListBullet"/>
      </w:pPr>
      <w:r>
        <w:t xml:space="preserve">Patient antibody identifications from </w:t>
      </w:r>
      <w:r w:rsidRPr="00CA6E27">
        <w:rPr>
          <w:bCs/>
        </w:rPr>
        <w:t>VistA</w:t>
      </w:r>
      <w:r>
        <w:t xml:space="preserve"> </w:t>
      </w:r>
      <w:r w:rsidR="00B814B4">
        <w:t>were</w:t>
      </w:r>
      <w:r>
        <w:t xml:space="preserve"> included in the database conversion.</w:t>
      </w:r>
    </w:p>
    <w:p w14:paraId="1986725A" w14:textId="77777777" w:rsidR="005F34AE" w:rsidRDefault="005F34AE" w:rsidP="001F561F">
      <w:pPr>
        <w:pStyle w:val="ListBullet"/>
      </w:pPr>
      <w:r>
        <w:t>Antigen negative requirements properly set in VistA w</w:t>
      </w:r>
      <w:r w:rsidR="00B814B4">
        <w:t>ere</w:t>
      </w:r>
      <w:r>
        <w:t xml:space="preserve"> transferred to antigen negative requirements in VBECS.</w:t>
      </w:r>
    </w:p>
    <w:p w14:paraId="556A2291" w14:textId="061868A8" w:rsidR="00875F0A" w:rsidRDefault="00181ECD" w:rsidP="00941464">
      <w:pPr>
        <w:pStyle w:val="ListBullet"/>
        <w:rPr>
          <w:vanish/>
        </w:rPr>
      </w:pPr>
      <w:r w:rsidRPr="00181ECD">
        <w:rPr>
          <w:vanish/>
        </w:rPr>
        <w:t xml:space="preserve">BR_65.03 </w:t>
      </w:r>
      <w:r w:rsidRPr="00181ECD">
        <w:t>VBECS informs the user when the displayed historical ABO/Rh, transfusion reaction history, and/or antigen typing result from the database conversion</w:t>
      </w:r>
      <w:r>
        <w:t>.</w:t>
      </w:r>
      <w:bookmarkEnd w:id="93"/>
      <w:bookmarkEnd w:id="94"/>
    </w:p>
    <w:p w14:paraId="634F085F" w14:textId="096E95D4" w:rsidR="00875F0A" w:rsidRDefault="007306E4" w:rsidP="00D05436">
      <w:pPr>
        <w:pStyle w:val="ListBullet"/>
      </w:pPr>
      <w:r>
        <w:t xml:space="preserve"> </w:t>
      </w:r>
      <w:r w:rsidR="00875F0A">
        <w:t>Transfusion reaction types without their associated units were transferred to VBECS.</w:t>
      </w:r>
    </w:p>
    <w:p w14:paraId="30CB81A7" w14:textId="417E5B2E" w:rsidR="002A21AE" w:rsidRDefault="008F1BF3" w:rsidP="00D05436">
      <w:pPr>
        <w:pStyle w:val="Heading2"/>
      </w:pPr>
      <w:r>
        <w:br w:type="page"/>
      </w:r>
      <w:bookmarkStart w:id="96" w:name="_Toc203765833"/>
      <w:r w:rsidR="002A21AE">
        <w:lastRenderedPageBreak/>
        <w:t>Accessing the System</w:t>
      </w:r>
      <w:bookmarkEnd w:id="96"/>
      <w:r w:rsidR="002A21AE">
        <w:fldChar w:fldCharType="begin"/>
      </w:r>
      <w:r w:rsidR="002A21AE">
        <w:instrText xml:space="preserve"> XE </w:instrText>
      </w:r>
      <w:r w:rsidR="00FA7E65">
        <w:instrText>“</w:instrText>
      </w:r>
      <w:r w:rsidR="002A21AE">
        <w:instrText>Accessing the System</w:instrText>
      </w:r>
      <w:r w:rsidR="00FA7E65">
        <w:instrText>”</w:instrText>
      </w:r>
      <w:r w:rsidR="002A21AE">
        <w:instrText xml:space="preserve"> </w:instrText>
      </w:r>
      <w:r w:rsidR="002A21AE">
        <w:fldChar w:fldCharType="end"/>
      </w:r>
    </w:p>
    <w:p w14:paraId="0A39C2E8" w14:textId="77777777" w:rsidR="002A21AE" w:rsidRDefault="009B4BF9">
      <w:pPr>
        <w:pStyle w:val="Heading3"/>
      </w:pPr>
      <w:bookmarkStart w:id="97" w:name="_Toc86743614"/>
      <w:bookmarkStart w:id="98" w:name="OLE_LINK19"/>
      <w:bookmarkStart w:id="99" w:name="_Toc203765834"/>
      <w:r>
        <w:t>Log i</w:t>
      </w:r>
      <w:r w:rsidR="002A21AE">
        <w:t>nto VBECS</w:t>
      </w:r>
      <w:bookmarkEnd w:id="97"/>
      <w:r w:rsidR="002A21AE">
        <w:t xml:space="preserve"> and</w:t>
      </w:r>
      <w:r w:rsidR="00CA0045">
        <w:t xml:space="preserve"> VistA</w:t>
      </w:r>
      <w:bookmarkEnd w:id="98"/>
      <w:bookmarkEnd w:id="99"/>
      <w:r w:rsidR="002A21AE">
        <w:rPr>
          <w:b w:val="0"/>
          <w:vanish/>
        </w:rPr>
        <w:fldChar w:fldCharType="begin"/>
      </w:r>
      <w:r w:rsidR="002A21AE">
        <w:rPr>
          <w:vanish/>
        </w:rPr>
        <w:instrText xml:space="preserve"> XE </w:instrText>
      </w:r>
      <w:r w:rsidR="00FA7E65">
        <w:rPr>
          <w:vanish/>
        </w:rPr>
        <w:instrText>“</w:instrText>
      </w:r>
      <w:r w:rsidR="002A21AE">
        <w:rPr>
          <w:vanish/>
        </w:rPr>
        <w:instrText>Log Into VBECS and</w:instrText>
      </w:r>
      <w:r w:rsidR="00CA0045">
        <w:rPr>
          <w:vanish/>
        </w:rPr>
        <w:instrText xml:space="preserve"> VistA</w:instrText>
      </w:r>
      <w:r w:rsidR="00FA7E65">
        <w:rPr>
          <w:vanish/>
        </w:rPr>
        <w:instrText>”</w:instrText>
      </w:r>
      <w:r w:rsidR="002A21AE">
        <w:rPr>
          <w:vanish/>
        </w:rPr>
        <w:instrText xml:space="preserve"> </w:instrText>
      </w:r>
      <w:r w:rsidR="002A21AE">
        <w:rPr>
          <w:b w:val="0"/>
          <w:vanish/>
        </w:rPr>
        <w:fldChar w:fldCharType="end"/>
      </w:r>
      <w:r w:rsidR="002A21AE">
        <w:rPr>
          <w:b w:val="0"/>
          <w:vanish/>
        </w:rPr>
        <w:t xml:space="preserve"> </w:t>
      </w:r>
      <w:r w:rsidR="002A21AE">
        <w:rPr>
          <w:vanish/>
        </w:rPr>
        <w:t>UC_18, UC_102</w:t>
      </w:r>
    </w:p>
    <w:p w14:paraId="64F6EC96" w14:textId="7D1B6698" w:rsidR="002A21AE" w:rsidRDefault="002A21AE" w:rsidP="00FA7E65">
      <w:pPr>
        <w:pStyle w:val="BodyText"/>
      </w:pPr>
      <w:r>
        <w:t>A user may work in only one division at a time. After login</w:t>
      </w:r>
      <w:r w:rsidR="00670304">
        <w:rPr>
          <w:rStyle w:val="FootnoteReference"/>
        </w:rPr>
        <w:footnoteReference w:id="2"/>
      </w:r>
      <w:r>
        <w:t xml:space="preserve">, a user with access privileges in several divisions may change divisions. </w:t>
      </w:r>
      <w:r w:rsidR="00191AFE">
        <w:t xml:space="preserve">For users with access to a single division, an option to change divisions will not be available. </w:t>
      </w:r>
      <w:r w:rsidR="009E1728">
        <w:t>VBECS allows access only to valid divisions associated with the user.</w:t>
      </w:r>
      <w:r w:rsidR="00330B40">
        <w:t xml:space="preserve"> </w:t>
      </w:r>
    </w:p>
    <w:p w14:paraId="6FDF1A12" w14:textId="77777777" w:rsidR="002A21AE" w:rsidRDefault="002A21AE">
      <w:pPr>
        <w:pStyle w:val="Heading4"/>
      </w:pPr>
      <w:r>
        <w:t>Assumptions</w:t>
      </w:r>
    </w:p>
    <w:p w14:paraId="5CF80DBD" w14:textId="72B7DFC3" w:rsidR="009E1728" w:rsidRDefault="009E1728" w:rsidP="009E1728">
      <w:pPr>
        <w:pStyle w:val="ListBullet"/>
      </w:pPr>
      <w:r w:rsidRPr="009E1728">
        <w:t>There is not an active VistALink c</w:t>
      </w:r>
      <w:r>
        <w:t>onnection in VBECS</w:t>
      </w:r>
      <w:r w:rsidR="00445C86">
        <w:t xml:space="preserve"> </w:t>
      </w:r>
      <w:r>
        <w:t>Administrator.</w:t>
      </w:r>
    </w:p>
    <w:p w14:paraId="3333E666" w14:textId="77777777" w:rsidR="009E1728" w:rsidRDefault="009E1728" w:rsidP="009E1728">
      <w:pPr>
        <w:pStyle w:val="ListBullet"/>
      </w:pPr>
      <w:r w:rsidRPr="009E1728">
        <w:t xml:space="preserve">VistA is set up, operating normally </w:t>
      </w:r>
      <w:r>
        <w:t>and accessible via the network.</w:t>
      </w:r>
    </w:p>
    <w:p w14:paraId="691AAF9E" w14:textId="77777777" w:rsidR="00A333E5" w:rsidRPr="009E1728" w:rsidRDefault="00A333E5">
      <w:pPr>
        <w:pStyle w:val="ListBullet"/>
      </w:pPr>
      <w:r w:rsidRPr="009E1728">
        <w:t>The user is defined in VistA, has a DUZ, and connectivity to VistA can be established.</w:t>
      </w:r>
    </w:p>
    <w:p w14:paraId="3FD03510" w14:textId="77777777" w:rsidR="0080715E" w:rsidRPr="009E1728" w:rsidRDefault="0080715E">
      <w:pPr>
        <w:pStyle w:val="ListBullet"/>
      </w:pPr>
      <w:r w:rsidRPr="009E1728">
        <w:t>The user must be defined in the VistA new person file and have valid Access and Verify Codes.</w:t>
      </w:r>
    </w:p>
    <w:p w14:paraId="31907989" w14:textId="77777777" w:rsidR="002A21AE" w:rsidRDefault="00272139" w:rsidP="00BF32E5">
      <w:pPr>
        <w:pStyle w:val="ListBullet"/>
      </w:pPr>
      <w:r>
        <w:t xml:space="preserve">The user’s </w:t>
      </w:r>
      <w:r w:rsidR="00BF32E5">
        <w:t>division</w:t>
      </w:r>
      <w:r>
        <w:t xml:space="preserve"> is configure</w:t>
      </w:r>
      <w:r w:rsidR="00373CB1">
        <w:t>d</w:t>
      </w:r>
      <w:r>
        <w:t xml:space="preserve"> in both</w:t>
      </w:r>
      <w:r w:rsidR="002A21AE">
        <w:t xml:space="preserve"> </w:t>
      </w:r>
      <w:r w:rsidR="00CA0045" w:rsidRPr="00CA0045">
        <w:t>VistA</w:t>
      </w:r>
      <w:r>
        <w:t xml:space="preserve"> and VBECS. </w:t>
      </w:r>
      <w:r w:rsidR="00C00476">
        <w:t>(</w:t>
      </w:r>
      <w:r w:rsidR="009E1728">
        <w:t>See Update User Roles</w:t>
      </w:r>
      <w:r w:rsidR="00C00476">
        <w:t>)</w:t>
      </w:r>
    </w:p>
    <w:p w14:paraId="0E9344A1" w14:textId="77777777" w:rsidR="002A21AE" w:rsidRDefault="002A21AE">
      <w:pPr>
        <w:pStyle w:val="Heading4"/>
        <w:rPr>
          <w:i/>
        </w:rPr>
      </w:pPr>
      <w:r>
        <w:t>Outcome</w:t>
      </w:r>
      <w:r>
        <w:rPr>
          <w:i/>
        </w:rPr>
        <w:t xml:space="preserve"> </w:t>
      </w:r>
    </w:p>
    <w:p w14:paraId="42BC8F62" w14:textId="77777777" w:rsidR="002A21AE" w:rsidRDefault="009E1728">
      <w:pPr>
        <w:pStyle w:val="ListBullet"/>
      </w:pPr>
      <w:r>
        <w:t>The</w:t>
      </w:r>
      <w:r w:rsidR="002A21AE">
        <w:t xml:space="preserve"> user is logged into the selected division.</w:t>
      </w:r>
    </w:p>
    <w:p w14:paraId="56D57399" w14:textId="77777777" w:rsidR="0080715E" w:rsidRPr="009E1728" w:rsidRDefault="0080715E">
      <w:pPr>
        <w:pStyle w:val="ListBullet"/>
      </w:pPr>
      <w:r w:rsidRPr="009E1728">
        <w:t>A VistALink connection is established or restored and the user is logged onto VistA.</w:t>
      </w:r>
    </w:p>
    <w:p w14:paraId="55C09BFB" w14:textId="77777777" w:rsidR="005A15F5" w:rsidRPr="009E1728" w:rsidRDefault="005A15F5">
      <w:pPr>
        <w:pStyle w:val="ListBullet"/>
      </w:pPr>
      <w:r w:rsidRPr="009E1728">
        <w:t>VBECS is available for use wheth</w:t>
      </w:r>
      <w:r w:rsidR="00121EB7" w:rsidRPr="009E1728">
        <w:t>er or not VistALink is connected</w:t>
      </w:r>
      <w:r w:rsidR="00F3226E" w:rsidRPr="009E1728">
        <w:t>, depending on the option</w:t>
      </w:r>
      <w:r w:rsidRPr="009E1728">
        <w:t>.</w:t>
      </w:r>
    </w:p>
    <w:p w14:paraId="592CDF7F" w14:textId="77777777" w:rsidR="002A21AE" w:rsidRDefault="002A21AE">
      <w:pPr>
        <w:pStyle w:val="Heading4"/>
      </w:pPr>
      <w:r>
        <w:t>Limitations and Restrictions</w:t>
      </w:r>
    </w:p>
    <w:p w14:paraId="2986F9E2" w14:textId="77777777" w:rsidR="002A21AE" w:rsidRDefault="00E27D9F">
      <w:pPr>
        <w:pStyle w:val="ListBullet"/>
      </w:pPr>
      <w:r>
        <w:rPr>
          <w:vanish/>
          <w:spacing w:val="0"/>
        </w:rPr>
        <w:t>BR_18.05</w:t>
      </w:r>
      <w:r w:rsidR="009B4BF9">
        <w:rPr>
          <w:vanish/>
          <w:spacing w:val="0"/>
        </w:rPr>
        <w:t xml:space="preserve"> </w:t>
      </w:r>
      <w:r w:rsidR="002A21AE">
        <w:t>VBECS automatically logs a</w:t>
      </w:r>
      <w:r w:rsidR="002A21AE" w:rsidRPr="00BF7321">
        <w:rPr>
          <w:spacing w:val="0"/>
        </w:rPr>
        <w:t xml:space="preserve"> </w:t>
      </w:r>
      <w:r w:rsidR="002A21AE">
        <w:t>user with access to only o</w:t>
      </w:r>
      <w:r w:rsidR="00D2565B">
        <w:t>ne division into that division.</w:t>
      </w:r>
    </w:p>
    <w:p w14:paraId="3A2D1869" w14:textId="77777777" w:rsidR="00FB121F" w:rsidRDefault="00FB121F" w:rsidP="00FB121F">
      <w:pPr>
        <w:pStyle w:val="ListBullet"/>
      </w:pPr>
      <w:r w:rsidRPr="009E1728">
        <w:t>Connectivity by IAM services access approval (PIV Card) is not possible when IAM services are not available.</w:t>
      </w:r>
    </w:p>
    <w:p w14:paraId="6F0E4EA8" w14:textId="241ACC80" w:rsidR="00101C69" w:rsidRPr="009E1728" w:rsidRDefault="00101C69" w:rsidP="00101C69">
      <w:pPr>
        <w:pStyle w:val="ListBullet"/>
      </w:pPr>
      <w:r w:rsidRPr="009E1728">
        <w:t xml:space="preserve">Connectivity by IAM services access approval (PIV Card) is not </w:t>
      </w:r>
      <w:r>
        <w:t>required</w:t>
      </w:r>
      <w:r w:rsidRPr="009E1728">
        <w:t xml:space="preserve"> when </w:t>
      </w:r>
      <w:r w:rsidR="00C85A03">
        <w:t xml:space="preserve">a </w:t>
      </w:r>
      <w:r w:rsidR="00D72D13">
        <w:t xml:space="preserve">user </w:t>
      </w:r>
      <w:r w:rsidR="00C85A03">
        <w:t>has a PIV ex</w:t>
      </w:r>
      <w:r>
        <w:t>emption or when IAM services are not available.</w:t>
      </w:r>
    </w:p>
    <w:p w14:paraId="12EC6D0F" w14:textId="77777777" w:rsidR="00FB121F" w:rsidRDefault="00FB121F" w:rsidP="00FB121F">
      <w:pPr>
        <w:pStyle w:val="ListBullet"/>
      </w:pPr>
      <w:r>
        <w:rPr>
          <w:spacing w:val="0"/>
        </w:rPr>
        <w:t>An Access and Verify code is required to connect to VistA when the IAM services are not available.</w:t>
      </w:r>
    </w:p>
    <w:p w14:paraId="13208CD4" w14:textId="75567A67" w:rsidR="007A2FC3" w:rsidRDefault="009E1728">
      <w:pPr>
        <w:pStyle w:val="ListBullet"/>
      </w:pPr>
      <w:r w:rsidRPr="009E1728">
        <w:rPr>
          <w:vanish/>
        </w:rPr>
        <w:t xml:space="preserve">BR_102.12 </w:t>
      </w:r>
      <w:r w:rsidR="007A2FC3" w:rsidRPr="009E1728">
        <w:t>Connectivity is not possible when VistA is not available.</w:t>
      </w:r>
    </w:p>
    <w:p w14:paraId="3E78A8AE" w14:textId="3ECB9FFA" w:rsidR="00B43925" w:rsidRDefault="006D7B40" w:rsidP="00B43925">
      <w:pPr>
        <w:pStyle w:val="ListBullet"/>
      </w:pPr>
      <w:r>
        <w:t xml:space="preserve">The user’s Active Directory account is a member of the proper VBECS security groups and configured with the AES256 bit encryption flag. Refer to the Active Directory section of the </w:t>
      </w:r>
      <w:r w:rsidRPr="003E663B">
        <w:rPr>
          <w:i/>
          <w:iCs/>
        </w:rPr>
        <w:t>VBECS Technical Manual Security Guide</w:t>
      </w:r>
      <w:r>
        <w:t>.</w:t>
      </w:r>
    </w:p>
    <w:p w14:paraId="62C75337" w14:textId="74A4B0D9" w:rsidR="006F1029" w:rsidRPr="006F1029" w:rsidRDefault="00D72D13" w:rsidP="006F1029">
      <w:pPr>
        <w:pStyle w:val="ListBullet"/>
      </w:pPr>
      <w:r>
        <w:t xml:space="preserve">For Remote Desktop constraints, consult </w:t>
      </w:r>
      <w:r w:rsidR="00E20E5D">
        <w:t xml:space="preserve">the </w:t>
      </w:r>
      <w:r w:rsidR="00E20E5D" w:rsidRPr="003E663B">
        <w:rPr>
          <w:i/>
          <w:iCs/>
        </w:rPr>
        <w:t>VBECS Technical Manual Security Guide</w:t>
      </w:r>
      <w:r w:rsidR="00E20E5D">
        <w:rPr>
          <w:i/>
          <w:iCs/>
        </w:rPr>
        <w:t>.</w:t>
      </w:r>
    </w:p>
    <w:p w14:paraId="3B0BE1AA" w14:textId="77777777" w:rsidR="002A21AE" w:rsidRDefault="002A21AE">
      <w:pPr>
        <w:pStyle w:val="Heading4"/>
      </w:pPr>
      <w:r>
        <w:t>Additional Information</w:t>
      </w:r>
    </w:p>
    <w:p w14:paraId="51DCFE9D" w14:textId="77777777" w:rsidR="00530298" w:rsidRDefault="00530298" w:rsidP="00530298">
      <w:pPr>
        <w:pStyle w:val="ListBullet"/>
        <w:rPr>
          <w:szCs w:val="20"/>
        </w:rPr>
      </w:pPr>
      <w:r>
        <w:rPr>
          <w:szCs w:val="20"/>
        </w:rPr>
        <w:t>The initial entry into VBECS will require a VistA Access and Verify Code in order to initiate the IAM PIV sign on process. This is only required for the first use of the system for each user.</w:t>
      </w:r>
    </w:p>
    <w:p w14:paraId="5C091025" w14:textId="76B9B69A" w:rsidR="00EF0211" w:rsidRPr="009271D1" w:rsidRDefault="00EF0211" w:rsidP="004B6116">
      <w:pPr>
        <w:pStyle w:val="ListBullet"/>
      </w:pPr>
      <w:r w:rsidRPr="009271D1">
        <w:t>If VBECS does</w:t>
      </w:r>
      <w:r w:rsidR="00AC7CC7" w:rsidRPr="009271D1">
        <w:t xml:space="preserve"> no</w:t>
      </w:r>
      <w:r w:rsidR="00E3226E" w:rsidRPr="009271D1">
        <w:t>t</w:t>
      </w:r>
      <w:r w:rsidRPr="009271D1">
        <w:t xml:space="preserve"> automatically select the correct authentication certificate, users may see several certificates listed during the sign on process. The user should select the current authentication certificate with their name from the list of certificates.</w:t>
      </w:r>
    </w:p>
    <w:p w14:paraId="6D6263FF" w14:textId="3B3F400B" w:rsidR="00D40E35" w:rsidRPr="009271D1" w:rsidRDefault="00D40E35" w:rsidP="004B6116">
      <w:pPr>
        <w:pStyle w:val="ListBullet"/>
      </w:pPr>
      <w:r w:rsidRPr="009271D1">
        <w:t xml:space="preserve">If VBECS presents the user with multiple in-date certificates to choose from (e.g., this may happen after early PIV renewal) </w:t>
      </w:r>
      <w:r w:rsidR="008F63E0" w:rsidRPr="009271D1">
        <w:t>open a service desk ticket</w:t>
      </w:r>
      <w:r w:rsidRPr="009271D1">
        <w:t xml:space="preserve"> to have the older certificate removed from the system.</w:t>
      </w:r>
    </w:p>
    <w:p w14:paraId="4ECB443E" w14:textId="4E6ED1B4" w:rsidR="009B4BF9" w:rsidRPr="002115C7" w:rsidRDefault="00EF0211" w:rsidP="004B6116">
      <w:pPr>
        <w:pStyle w:val="ListBullet"/>
        <w:rPr>
          <w:szCs w:val="20"/>
        </w:rPr>
      </w:pPr>
      <w:r w:rsidRPr="00EF0211">
        <w:rPr>
          <w:vanish/>
          <w:szCs w:val="20"/>
        </w:rPr>
        <w:lastRenderedPageBreak/>
        <w:t>BR_102.03</w:t>
      </w:r>
      <w:r w:rsidR="009B4BF9" w:rsidRPr="002115C7">
        <w:rPr>
          <w:szCs w:val="20"/>
        </w:rPr>
        <w:t xml:space="preserve">VBECS provides an interface (VistALink) with VistA to allow the user to log onto VistA (not required for most options; see </w:t>
      </w:r>
      <w:r w:rsidR="00F63A03">
        <w:rPr>
          <w:szCs w:val="20"/>
        </w:rPr>
        <w:fldChar w:fldCharType="begin"/>
      </w:r>
      <w:r w:rsidR="00F63A03">
        <w:rPr>
          <w:szCs w:val="20"/>
        </w:rPr>
        <w:instrText xml:space="preserve"> REF _Ref162946416 \h </w:instrText>
      </w:r>
      <w:r w:rsidR="00F63A03">
        <w:rPr>
          <w:szCs w:val="20"/>
        </w:rPr>
      </w:r>
      <w:r w:rsidR="00F63A03">
        <w:rPr>
          <w:szCs w:val="20"/>
        </w:rPr>
        <w:fldChar w:fldCharType="separate"/>
      </w:r>
      <w:r w:rsidR="007D1829">
        <w:t>Options That Require VistALink</w:t>
      </w:r>
      <w:r w:rsidR="00F63A03">
        <w:rPr>
          <w:szCs w:val="20"/>
        </w:rPr>
        <w:fldChar w:fldCharType="end"/>
      </w:r>
      <w:r w:rsidR="009B4BF9" w:rsidRPr="002115C7">
        <w:rPr>
          <w:szCs w:val="20"/>
        </w:rPr>
        <w:t>).</w:t>
      </w:r>
    </w:p>
    <w:p w14:paraId="6705E5EC" w14:textId="4FB3F729" w:rsidR="00530298" w:rsidRDefault="001F56CA" w:rsidP="004B6116">
      <w:pPr>
        <w:pStyle w:val="ListBullet"/>
        <w:rPr>
          <w:szCs w:val="20"/>
        </w:rPr>
      </w:pPr>
      <w:r w:rsidRPr="001F56CA">
        <w:rPr>
          <w:vanish/>
          <w:szCs w:val="20"/>
        </w:rPr>
        <w:t xml:space="preserve">BR_102.13 </w:t>
      </w:r>
      <w:r w:rsidR="00530298">
        <w:rPr>
          <w:szCs w:val="20"/>
        </w:rPr>
        <w:t xml:space="preserve">The system attempts to reuse the security credentials initially entered in the user’s session to perform VistA </w:t>
      </w:r>
      <w:r w:rsidR="006464E3">
        <w:rPr>
          <w:szCs w:val="20"/>
        </w:rPr>
        <w:t>logoff</w:t>
      </w:r>
      <w:r w:rsidR="00530298">
        <w:rPr>
          <w:szCs w:val="20"/>
        </w:rPr>
        <w:t xml:space="preserve"> and logon without user interaction.</w:t>
      </w:r>
    </w:p>
    <w:p w14:paraId="4053F51B" w14:textId="77777777" w:rsidR="002A21AE" w:rsidRPr="00F462A4" w:rsidRDefault="001F56CA" w:rsidP="00F462A4">
      <w:pPr>
        <w:pStyle w:val="ListBullet"/>
        <w:rPr>
          <w:szCs w:val="20"/>
        </w:rPr>
      </w:pPr>
      <w:r w:rsidRPr="001F56CA">
        <w:rPr>
          <w:vanish/>
        </w:rPr>
        <w:t xml:space="preserve">BR_102.03 </w:t>
      </w:r>
      <w:r w:rsidR="00F462A4">
        <w:t xml:space="preserve">If the user is required to enter a VistA Access and Verify Code, VBECS checks the characters in the Access and Verify Codes and warns when there are fewer than six characters or when a semicolon (;), colon (:), or caret (^) is entered. VBECS sends the entered Access and Verify Codes to </w:t>
      </w:r>
      <w:r w:rsidR="00F462A4" w:rsidRPr="00CA0045">
        <w:t>VistA</w:t>
      </w:r>
      <w:r w:rsidR="00F462A4">
        <w:t xml:space="preserve">. </w:t>
      </w:r>
      <w:r w:rsidR="00F462A4" w:rsidRPr="00CA0045">
        <w:t>VistA</w:t>
      </w:r>
      <w:r w:rsidR="00F462A4">
        <w:t xml:space="preserve"> checks the codes and responds to VBECS with a message stating whether the entered Access and Verify Codes are invalid or valid for the user attempting to log on. VBECS warns when </w:t>
      </w:r>
      <w:r w:rsidR="00F462A4" w:rsidRPr="00CA0045">
        <w:t>VistA</w:t>
      </w:r>
      <w:r w:rsidR="00F462A4">
        <w:t xml:space="preserve"> does not accept the Access and Verify Codes entered.</w:t>
      </w:r>
      <w:r w:rsidR="002A21AE" w:rsidRPr="00F462A4">
        <w:rPr>
          <w:szCs w:val="20"/>
        </w:rPr>
        <w:t> </w:t>
      </w:r>
    </w:p>
    <w:p w14:paraId="6FEED21D" w14:textId="144DA8F6" w:rsidR="002A21AE" w:rsidRDefault="002A21AE">
      <w:pPr>
        <w:pStyle w:val="ListBullet"/>
      </w:pPr>
      <w:r>
        <w:rPr>
          <w:vanish/>
          <w:spacing w:val="0"/>
        </w:rPr>
        <w:t xml:space="preserve">BR_102.05 </w:t>
      </w:r>
      <w:r>
        <w:t xml:space="preserve">After </w:t>
      </w:r>
      <w:r w:rsidR="001A1C71">
        <w:t>a number of</w:t>
      </w:r>
      <w:r w:rsidR="00EB6924">
        <w:t xml:space="preserve"> </w:t>
      </w:r>
      <w:r w:rsidR="001A1C71">
        <w:t xml:space="preserve">unsuccessful attempts </w:t>
      </w:r>
      <w:r>
        <w:t xml:space="preserve">to log onto </w:t>
      </w:r>
      <w:r w:rsidR="00CA0045" w:rsidRPr="00CA0045">
        <w:t>VistA</w:t>
      </w:r>
      <w:r w:rsidR="001A1C71" w:rsidRPr="001A1C71">
        <w:t xml:space="preserve"> </w:t>
      </w:r>
      <w:r w:rsidR="001A1C71">
        <w:t>(defined in VistA server settings)</w:t>
      </w:r>
      <w:r>
        <w:t xml:space="preserve">, the </w:t>
      </w:r>
      <w:r w:rsidR="00CA0045" w:rsidRPr="00CA0045">
        <w:t>VistA</w:t>
      </w:r>
      <w:r>
        <w:t xml:space="preserve"> server terminates the logon session and displays a message prompting the user to log onto </w:t>
      </w:r>
      <w:r w:rsidR="00CA0045" w:rsidRPr="00CA0045">
        <w:t>VistA</w:t>
      </w:r>
      <w:r>
        <w:t xml:space="preserve"> again.</w:t>
      </w:r>
    </w:p>
    <w:p w14:paraId="40C4E31E" w14:textId="437C0589" w:rsidR="00F462A4" w:rsidRDefault="00F462A4" w:rsidP="00F462A4">
      <w:pPr>
        <w:pStyle w:val="ListBullet"/>
      </w:pPr>
      <w:r>
        <w:t>A user with multidivisional access privileges may change divisions during a VBECS session.</w:t>
      </w:r>
    </w:p>
    <w:p w14:paraId="5C49C851" w14:textId="77777777" w:rsidR="002C7ECA" w:rsidRDefault="001F56CA" w:rsidP="00F462A4">
      <w:pPr>
        <w:pStyle w:val="ListBullet"/>
      </w:pPr>
      <w:r w:rsidRPr="001F56CA">
        <w:rPr>
          <w:vanish/>
        </w:rPr>
        <w:t xml:space="preserve">BR_102.09 </w:t>
      </w:r>
      <w:r>
        <w:t>VBECS will attempt to resend queued DSS information when VistALink is available after any user logs in.</w:t>
      </w:r>
    </w:p>
    <w:p w14:paraId="1596C423" w14:textId="77777777" w:rsidR="002A21AE" w:rsidRDefault="002A21AE">
      <w:pPr>
        <w:pStyle w:val="Heading4"/>
        <w:rPr>
          <w:b w:val="0"/>
        </w:rPr>
      </w:pPr>
      <w:r>
        <w:t>User Roles with Access to This Option</w:t>
      </w:r>
      <w:r>
        <w:rPr>
          <w:b w:val="0"/>
        </w:rPr>
        <w:t xml:space="preserve"> </w:t>
      </w:r>
    </w:p>
    <w:p w14:paraId="53EF3E18" w14:textId="77777777" w:rsidR="002A21AE" w:rsidRDefault="00237C52">
      <w:pPr>
        <w:pStyle w:val="Roles"/>
      </w:pPr>
      <w:r>
        <w:t>All users</w:t>
      </w:r>
    </w:p>
    <w:p w14:paraId="1C2DEE38" w14:textId="31101690" w:rsidR="002A21AE" w:rsidRDefault="00A45793">
      <w:pPr>
        <w:pStyle w:val="Heading4"/>
      </w:pPr>
      <w:r>
        <w:t xml:space="preserve">Starting </w:t>
      </w:r>
      <w:r w:rsidR="002A21AE">
        <w:t>VBECS</w:t>
      </w:r>
    </w:p>
    <w:p w14:paraId="2E2027B5" w14:textId="26BA7A91" w:rsidR="00A45793" w:rsidRPr="00AC7CC7" w:rsidRDefault="00A45793" w:rsidP="005E6101">
      <w:pPr>
        <w:spacing w:before="60" w:after="120"/>
        <w:rPr>
          <w:spacing w:val="-5"/>
          <w:sz w:val="22"/>
          <w:szCs w:val="22"/>
        </w:rPr>
      </w:pPr>
      <w:r w:rsidRPr="00AC7CC7">
        <w:rPr>
          <w:spacing w:val="-5"/>
          <w:sz w:val="22"/>
          <w:szCs w:val="22"/>
        </w:rPr>
        <w:t xml:space="preserve">Before a user can start the VBECS software, they first need to connect to a VBECS server. Each blood bank will have two Remote Desktop shortcuts: one for accessing VBECS Test and one for accessing VBECS Production. Refer to the Remote Desktop section of the </w:t>
      </w:r>
      <w:r w:rsidRPr="00AC7CC7">
        <w:rPr>
          <w:i/>
          <w:iCs/>
          <w:spacing w:val="-5"/>
          <w:sz w:val="22"/>
          <w:szCs w:val="22"/>
        </w:rPr>
        <w:t>VBECS Technical Manual Security Guide</w:t>
      </w:r>
      <w:r w:rsidRPr="00AC7CC7">
        <w:rPr>
          <w:spacing w:val="-5"/>
          <w:sz w:val="22"/>
          <w:szCs w:val="22"/>
        </w:rPr>
        <w:t xml:space="preserve"> to learn more about what Remote Desktop is and how it works.</w:t>
      </w: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30"/>
        <w:gridCol w:w="6138"/>
      </w:tblGrid>
      <w:tr w:rsidR="002A21AE" w14:paraId="17FC926A" w14:textId="77777777">
        <w:trPr>
          <w:tblHeader/>
        </w:trPr>
        <w:tc>
          <w:tcPr>
            <w:tcW w:w="3330" w:type="dxa"/>
            <w:shd w:val="pct30" w:color="auto" w:fill="FFFFFF"/>
            <w:vAlign w:val="bottom"/>
          </w:tcPr>
          <w:p w14:paraId="2918A978" w14:textId="77777777" w:rsidR="002A21AE" w:rsidRDefault="002A21AE">
            <w:pPr>
              <w:pStyle w:val="TableText"/>
              <w:rPr>
                <w:b/>
              </w:rPr>
            </w:pPr>
            <w:r>
              <w:rPr>
                <w:b/>
              </w:rPr>
              <w:t>User Action</w:t>
            </w:r>
          </w:p>
        </w:tc>
        <w:tc>
          <w:tcPr>
            <w:tcW w:w="6138" w:type="dxa"/>
            <w:shd w:val="pct30" w:color="auto" w:fill="FFFFFF"/>
            <w:vAlign w:val="bottom"/>
          </w:tcPr>
          <w:p w14:paraId="322A333E" w14:textId="77777777" w:rsidR="002A21AE" w:rsidRDefault="002A21AE">
            <w:pPr>
              <w:pStyle w:val="TableText"/>
              <w:rPr>
                <w:b/>
              </w:rPr>
            </w:pPr>
            <w:r>
              <w:rPr>
                <w:b/>
              </w:rPr>
              <w:t>VBECS</w:t>
            </w:r>
          </w:p>
        </w:tc>
      </w:tr>
      <w:tr w:rsidR="002A21AE" w14:paraId="11767AD3" w14:textId="77777777">
        <w:trPr>
          <w:trHeight w:val="782"/>
        </w:trPr>
        <w:tc>
          <w:tcPr>
            <w:tcW w:w="3330" w:type="dxa"/>
          </w:tcPr>
          <w:p w14:paraId="6F86044D" w14:textId="7FF26511" w:rsidR="00775C2B" w:rsidRDefault="00A45793" w:rsidP="003E663B">
            <w:pPr>
              <w:pStyle w:val="TableTextNumbers"/>
            </w:pPr>
            <w:r>
              <w:t xml:space="preserve">Once connected to a VBECS server </w:t>
            </w:r>
            <w:r w:rsidR="00751EFD">
              <w:t>via</w:t>
            </w:r>
            <w:r>
              <w:t xml:space="preserve"> Remote Desktop, click on the </w:t>
            </w:r>
            <w:r w:rsidRPr="003E663B">
              <w:rPr>
                <w:b/>
                <w:bCs/>
              </w:rPr>
              <w:t>VBECS</w:t>
            </w:r>
            <w:r>
              <w:t xml:space="preserve"> icon to start the VBECS software.</w:t>
            </w:r>
          </w:p>
        </w:tc>
        <w:tc>
          <w:tcPr>
            <w:tcW w:w="6138" w:type="dxa"/>
          </w:tcPr>
          <w:p w14:paraId="05A5A133" w14:textId="77777777" w:rsidR="00A45793" w:rsidRDefault="00A45793" w:rsidP="00A45793">
            <w:pPr>
              <w:pStyle w:val="TableTextBullet"/>
            </w:pPr>
            <w:r>
              <w:t>Displays the Select Division screen when the user has access privileges to multiple divisions in a single VBECS installation.</w:t>
            </w:r>
          </w:p>
          <w:p w14:paraId="3E25E39D" w14:textId="77777777" w:rsidR="00A45793" w:rsidRDefault="00A45793" w:rsidP="00A45793">
            <w:pPr>
              <w:pStyle w:val="TableText"/>
            </w:pPr>
          </w:p>
          <w:p w14:paraId="4E99DFD1" w14:textId="77777777" w:rsidR="00A45793" w:rsidRDefault="00A45793" w:rsidP="00A45793">
            <w:pPr>
              <w:pStyle w:val="TableText"/>
              <w:rPr>
                <w:b/>
                <w:bCs/>
                <w:szCs w:val="18"/>
              </w:rPr>
            </w:pPr>
            <w:r>
              <w:rPr>
                <w:b/>
                <w:bCs/>
                <w:szCs w:val="18"/>
              </w:rPr>
              <w:t>NOTES</w:t>
            </w:r>
          </w:p>
          <w:p w14:paraId="002C3058" w14:textId="77777777" w:rsidR="00A45793" w:rsidRDefault="00A45793" w:rsidP="00A45793">
            <w:pPr>
              <w:pStyle w:val="NotesText"/>
            </w:pPr>
          </w:p>
          <w:p w14:paraId="035FE8E6" w14:textId="67E54099" w:rsidR="00ED7401" w:rsidRDefault="00A45793" w:rsidP="008C2617">
            <w:pPr>
              <w:pStyle w:val="NotesText"/>
            </w:pPr>
            <w:r w:rsidRPr="00E274BF">
              <w:rPr>
                <w:rFonts w:cs="Arial"/>
                <w:vanish/>
                <w:szCs w:val="18"/>
              </w:rPr>
              <w:t>BR_18.08</w:t>
            </w:r>
            <w:r>
              <w:rPr>
                <w:rFonts w:ascii="Times New Roman" w:hAnsi="Times New Roman"/>
                <w:vanish/>
                <w:sz w:val="22"/>
              </w:rPr>
              <w:t xml:space="preserve"> </w:t>
            </w:r>
            <w:r>
              <w:t>A user may exit without logging into a division.</w:t>
            </w:r>
          </w:p>
        </w:tc>
      </w:tr>
      <w:tr w:rsidR="002A21AE" w14:paraId="03DB2C6E" w14:textId="77777777">
        <w:tc>
          <w:tcPr>
            <w:tcW w:w="3330" w:type="dxa"/>
          </w:tcPr>
          <w:p w14:paraId="0B46250C" w14:textId="65DC8188" w:rsidR="002A5604" w:rsidRDefault="002A5604" w:rsidP="002F5BFE">
            <w:pPr>
              <w:pStyle w:val="TableTextNumbers"/>
            </w:pPr>
            <w:r>
              <w:t>Mult</w:t>
            </w:r>
            <w:r w:rsidR="00BD31FB">
              <w:t>i</w:t>
            </w:r>
            <w:r>
              <w:t>division</w:t>
            </w:r>
            <w:r w:rsidR="00BD31FB">
              <w:t>al</w:t>
            </w:r>
            <w:r>
              <w:t xml:space="preserve"> users will be prompted to s</w:t>
            </w:r>
            <w:r w:rsidR="002A21AE">
              <w:t xml:space="preserve">elect a division from the </w:t>
            </w:r>
            <w:r w:rsidR="002A21AE">
              <w:rPr>
                <w:b/>
              </w:rPr>
              <w:t>Select Division</w:t>
            </w:r>
            <w:r w:rsidR="002A21AE">
              <w:t xml:space="preserve"> list and click </w:t>
            </w:r>
            <w:r w:rsidR="002A21AE">
              <w:rPr>
                <w:b/>
              </w:rPr>
              <w:t>OK</w:t>
            </w:r>
            <w:r w:rsidR="003814BF">
              <w:rPr>
                <w:bCs/>
              </w:rPr>
              <w:t>, or double-</w:t>
            </w:r>
            <w:r w:rsidR="002A21AE">
              <w:rPr>
                <w:bCs/>
              </w:rPr>
              <w:t>click the division</w:t>
            </w:r>
            <w:r w:rsidR="002F5BFE">
              <w:rPr>
                <w:bCs/>
              </w:rPr>
              <w:t xml:space="preserve"> (</w:t>
            </w:r>
            <w:r w:rsidR="00EE455E">
              <w:t xml:space="preserve">Figure </w:t>
            </w:r>
            <w:r w:rsidR="00EE455E">
              <w:rPr>
                <w:noProof/>
              </w:rPr>
              <w:t>15</w:t>
            </w:r>
            <w:r w:rsidR="002F5BFE">
              <w:rPr>
                <w:bCs/>
              </w:rPr>
              <w:t>)</w:t>
            </w:r>
            <w:r w:rsidR="007710C5">
              <w:rPr>
                <w:bCs/>
              </w:rPr>
              <w:t>.</w:t>
            </w:r>
          </w:p>
        </w:tc>
        <w:tc>
          <w:tcPr>
            <w:tcW w:w="6138" w:type="dxa"/>
          </w:tcPr>
          <w:p w14:paraId="1D080093" w14:textId="77777777" w:rsidR="007710C5" w:rsidRDefault="000925E5" w:rsidP="007710C5">
            <w:pPr>
              <w:pStyle w:val="TableTextBullet"/>
            </w:pPr>
            <w:r w:rsidRPr="000925E5">
              <w:rPr>
                <w:vanish/>
              </w:rPr>
              <w:t xml:space="preserve">BR_18.10 </w:t>
            </w:r>
            <w:r w:rsidRPr="006B6C5C">
              <w:t xml:space="preserve">Displays an </w:t>
            </w:r>
            <w:r w:rsidRPr="00A942EB">
              <w:t xml:space="preserve">error message to the user when </w:t>
            </w:r>
            <w:r>
              <w:t>logging</w:t>
            </w:r>
            <w:r w:rsidRPr="00A942EB">
              <w:t xml:space="preserve"> into </w:t>
            </w:r>
            <w:r w:rsidR="006B6C5C">
              <w:t>VBECS</w:t>
            </w:r>
            <w:r w:rsidRPr="00A942EB">
              <w:t>, or switch</w:t>
            </w:r>
            <w:r>
              <w:t>ing</w:t>
            </w:r>
            <w:r w:rsidRPr="00A942EB">
              <w:t xml:space="preserve"> divisions, </w:t>
            </w:r>
            <w:r>
              <w:t xml:space="preserve">if the default printer </w:t>
            </w:r>
            <w:r w:rsidR="00842346">
              <w:t xml:space="preserve">for the division </w:t>
            </w:r>
            <w:r>
              <w:t>was removed.</w:t>
            </w:r>
            <w:r w:rsidR="009D459D" w:rsidRPr="009D459D">
              <w:rPr>
                <w:vanish/>
              </w:rPr>
              <w:t>DR 2,884</w:t>
            </w:r>
          </w:p>
          <w:p w14:paraId="570AB841" w14:textId="77777777" w:rsidR="007710C5" w:rsidRDefault="007710C5" w:rsidP="007710C5">
            <w:pPr>
              <w:pStyle w:val="TableTextBullet"/>
            </w:pPr>
            <w:r>
              <w:t>Displays a division login message.</w:t>
            </w:r>
          </w:p>
          <w:p w14:paraId="514B7FF0" w14:textId="77777777" w:rsidR="000925E5" w:rsidRDefault="000925E5" w:rsidP="000925E5">
            <w:pPr>
              <w:pStyle w:val="TableTextBullet"/>
              <w:numPr>
                <w:ilvl w:val="0"/>
                <w:numId w:val="0"/>
              </w:numPr>
            </w:pPr>
          </w:p>
          <w:p w14:paraId="5877EA5C" w14:textId="563C49FA" w:rsidR="002A21AE" w:rsidRDefault="002A21AE">
            <w:pPr>
              <w:pStyle w:val="TableText"/>
              <w:rPr>
                <w:b/>
                <w:bCs/>
                <w:szCs w:val="18"/>
              </w:rPr>
            </w:pPr>
            <w:r>
              <w:rPr>
                <w:b/>
                <w:bCs/>
                <w:szCs w:val="18"/>
              </w:rPr>
              <w:t>NOTES</w:t>
            </w:r>
          </w:p>
          <w:p w14:paraId="0B66B2E7" w14:textId="77777777" w:rsidR="002A21AE" w:rsidRDefault="002A21AE">
            <w:pPr>
              <w:pStyle w:val="NotesText"/>
            </w:pPr>
          </w:p>
          <w:p w14:paraId="7DE9F579" w14:textId="77777777" w:rsidR="002A21AE" w:rsidRDefault="002A21AE">
            <w:pPr>
              <w:pStyle w:val="NotesText"/>
            </w:pPr>
            <w:r>
              <w:t>When VBECS is started, the user may have access to more than one division.</w:t>
            </w:r>
          </w:p>
          <w:p w14:paraId="137B0D95" w14:textId="77777777" w:rsidR="007710C5" w:rsidRDefault="007710C5">
            <w:pPr>
              <w:pStyle w:val="NotesText"/>
            </w:pPr>
          </w:p>
          <w:p w14:paraId="72C4D2E2" w14:textId="77777777" w:rsidR="007710C5" w:rsidRDefault="007710C5">
            <w:pPr>
              <w:pStyle w:val="NotesText"/>
            </w:pPr>
            <w:r>
              <w:t>The division login message allows the display of data as each user logs into his division. When no login message text is entered, VBECS does not display a login message.</w:t>
            </w:r>
          </w:p>
        </w:tc>
      </w:tr>
      <w:tr w:rsidR="002A21AE" w14:paraId="036BE9C8" w14:textId="77777777">
        <w:tc>
          <w:tcPr>
            <w:tcW w:w="3330" w:type="dxa"/>
          </w:tcPr>
          <w:p w14:paraId="72F8F498" w14:textId="2F211678" w:rsidR="00133C6C" w:rsidRDefault="00133C6C" w:rsidP="003E663B">
            <w:pPr>
              <w:pStyle w:val="TableTextNumbers"/>
              <w:numPr>
                <w:ilvl w:val="0"/>
                <w:numId w:val="0"/>
              </w:numPr>
              <w:ind w:left="288" w:hanging="288"/>
            </w:pPr>
            <w:r>
              <w:t>*If the user is using PIV</w:t>
            </w:r>
            <w:r w:rsidRPr="00812458">
              <w:rPr>
                <w:vanish/>
              </w:rPr>
              <w:t xml:space="preserve"> Task 561381</w:t>
            </w:r>
            <w:r>
              <w:t xml:space="preserve"> credentials</w:t>
            </w:r>
          </w:p>
          <w:p w14:paraId="3D44E334" w14:textId="53CC6101" w:rsidR="00133C6C" w:rsidRDefault="00133C6C">
            <w:pPr>
              <w:pStyle w:val="TableTextNumbers"/>
              <w:numPr>
                <w:ilvl w:val="0"/>
                <w:numId w:val="0"/>
              </w:numPr>
            </w:pPr>
            <w:r>
              <w:t>and the IAM authentication broker service is running.</w:t>
            </w:r>
          </w:p>
          <w:p w14:paraId="0ED8E19D" w14:textId="77777777" w:rsidR="00133C6C" w:rsidRDefault="00133C6C" w:rsidP="00133C6C">
            <w:pPr>
              <w:pStyle w:val="TableTextNumbers"/>
              <w:numPr>
                <w:ilvl w:val="0"/>
                <w:numId w:val="0"/>
              </w:numPr>
              <w:ind w:left="288"/>
            </w:pPr>
          </w:p>
          <w:p w14:paraId="52D94732" w14:textId="4BCE659A" w:rsidR="00133C6C" w:rsidRDefault="00133C6C">
            <w:pPr>
              <w:pStyle w:val="TableTextNumbers"/>
            </w:pPr>
            <w:r>
              <w:t>The user enters their PIV PIN when prompted.</w:t>
            </w:r>
          </w:p>
          <w:p w14:paraId="2F1A7BAE" w14:textId="54C4C8EE" w:rsidR="002A21AE" w:rsidRDefault="002A21AE" w:rsidP="003E663B">
            <w:pPr>
              <w:pStyle w:val="TableTextNumbers"/>
              <w:numPr>
                <w:ilvl w:val="0"/>
                <w:numId w:val="0"/>
              </w:numPr>
              <w:ind w:left="288"/>
            </w:pPr>
          </w:p>
        </w:tc>
        <w:tc>
          <w:tcPr>
            <w:tcW w:w="6138" w:type="dxa"/>
          </w:tcPr>
          <w:p w14:paraId="4120BAB8" w14:textId="1C5D31C6" w:rsidR="00751EFD" w:rsidRDefault="00751EFD">
            <w:pPr>
              <w:pStyle w:val="TableTextBullet"/>
            </w:pPr>
            <w:r>
              <w:t xml:space="preserve">VBECS will attempt to automatically select the user’s PIV certificate. </w:t>
            </w:r>
          </w:p>
          <w:p w14:paraId="44D106E3" w14:textId="0BD7817B" w:rsidR="00751EFD" w:rsidRDefault="00751EFD" w:rsidP="00751EFD">
            <w:pPr>
              <w:pStyle w:val="TableTextBullet"/>
              <w:numPr>
                <w:ilvl w:val="0"/>
                <w:numId w:val="0"/>
              </w:numPr>
              <w:ind w:left="288"/>
            </w:pPr>
            <w:r>
              <w:t xml:space="preserve">If successful, the user will be prompted </w:t>
            </w:r>
            <w:r w:rsidR="00133C6C">
              <w:t>with a PIN-entry window</w:t>
            </w:r>
            <w:r>
              <w:t>.</w:t>
            </w:r>
          </w:p>
          <w:p w14:paraId="7947B40E" w14:textId="1135DE80" w:rsidR="00751EFD" w:rsidRDefault="00751EFD" w:rsidP="008C2617">
            <w:pPr>
              <w:pStyle w:val="TableTextBullet"/>
            </w:pPr>
            <w:r>
              <w:t xml:space="preserve">If </w:t>
            </w:r>
            <w:r w:rsidR="00133C6C">
              <w:t>VBECS fails to automatically select the user’s PIV certificate, the user will be presented with a certificate list, where they should select their most current “Authentication” certificate to proceed.</w:t>
            </w:r>
          </w:p>
          <w:p w14:paraId="7CA4F1C4" w14:textId="77777777" w:rsidR="00751EFD" w:rsidRDefault="00751EFD" w:rsidP="003E663B">
            <w:pPr>
              <w:pStyle w:val="TableTextBullet"/>
              <w:numPr>
                <w:ilvl w:val="0"/>
                <w:numId w:val="0"/>
              </w:numPr>
              <w:ind w:left="1008"/>
            </w:pPr>
          </w:p>
          <w:p w14:paraId="1DB2B5B2" w14:textId="329C171A" w:rsidR="00D40E35" w:rsidRDefault="002A21AE">
            <w:pPr>
              <w:pStyle w:val="TableText"/>
              <w:rPr>
                <w:b/>
                <w:bCs/>
                <w:szCs w:val="18"/>
              </w:rPr>
            </w:pPr>
            <w:r>
              <w:rPr>
                <w:b/>
                <w:bCs/>
                <w:szCs w:val="18"/>
              </w:rPr>
              <w:t>NOTES</w:t>
            </w:r>
          </w:p>
          <w:p w14:paraId="38CC5E42" w14:textId="60C40B38" w:rsidR="00133C6C" w:rsidRDefault="00133C6C" w:rsidP="0078056E">
            <w:pPr>
              <w:pStyle w:val="NotesText"/>
              <w:rPr>
                <w:rFonts w:cs="Arial"/>
                <w:szCs w:val="18"/>
              </w:rPr>
            </w:pPr>
            <w:r>
              <w:rPr>
                <w:rFonts w:cs="Arial"/>
                <w:szCs w:val="18"/>
              </w:rPr>
              <w:lastRenderedPageBreak/>
              <w:t xml:space="preserve">If the user cancels out of the PIN-entry window or the certificate selection window, VBECS continues with </w:t>
            </w:r>
            <w:r w:rsidR="00BD31FB">
              <w:rPr>
                <w:rFonts w:cs="Arial"/>
                <w:szCs w:val="18"/>
              </w:rPr>
              <w:t>S</w:t>
            </w:r>
            <w:r>
              <w:rPr>
                <w:rFonts w:cs="Arial"/>
                <w:szCs w:val="18"/>
              </w:rPr>
              <w:t>tep 4.</w:t>
            </w:r>
          </w:p>
          <w:p w14:paraId="73639661" w14:textId="77777777" w:rsidR="00133C6C" w:rsidRDefault="00133C6C" w:rsidP="0078056E">
            <w:pPr>
              <w:pStyle w:val="NotesText"/>
              <w:rPr>
                <w:rFonts w:cs="Arial"/>
                <w:szCs w:val="18"/>
              </w:rPr>
            </w:pPr>
          </w:p>
          <w:p w14:paraId="2AB92121" w14:textId="094C493A" w:rsidR="00133C6C" w:rsidRDefault="00133C6C" w:rsidP="0078056E">
            <w:pPr>
              <w:pStyle w:val="NotesText"/>
              <w:rPr>
                <w:rFonts w:cs="Arial"/>
                <w:szCs w:val="18"/>
              </w:rPr>
            </w:pPr>
            <w:r>
              <w:rPr>
                <w:rFonts w:cs="Arial"/>
                <w:szCs w:val="18"/>
              </w:rPr>
              <w:t xml:space="preserve">If the IAM authentication broker service is down, or the user’s PIV card is not inserted in the workstation, VBECS continues with </w:t>
            </w:r>
            <w:r w:rsidR="00BD31FB">
              <w:rPr>
                <w:rFonts w:cs="Arial"/>
                <w:szCs w:val="18"/>
              </w:rPr>
              <w:t>S</w:t>
            </w:r>
            <w:r>
              <w:rPr>
                <w:rFonts w:cs="Arial"/>
                <w:szCs w:val="18"/>
              </w:rPr>
              <w:t>tep 4.</w:t>
            </w:r>
          </w:p>
          <w:p w14:paraId="46ED2802" w14:textId="77777777" w:rsidR="0078056E" w:rsidRDefault="0078056E" w:rsidP="0078056E">
            <w:pPr>
              <w:pStyle w:val="NotesText"/>
            </w:pPr>
          </w:p>
          <w:p w14:paraId="1DBD9DC1" w14:textId="4EA1DE9B" w:rsidR="00EA658D" w:rsidRDefault="00DE61D9" w:rsidP="00DE61D9">
            <w:pPr>
              <w:pStyle w:val="NotesText"/>
            </w:pPr>
            <w:r w:rsidRPr="00DE61D9">
              <w:rPr>
                <w:vanish/>
              </w:rPr>
              <w:t xml:space="preserve">DR 1,116 </w:t>
            </w:r>
            <w:r w:rsidR="00080078">
              <w:t xml:space="preserve">When a user logs into VBECS, </w:t>
            </w:r>
            <w:r w:rsidR="00EA658D">
              <w:t xml:space="preserve">a </w:t>
            </w:r>
            <w:r w:rsidR="00080078">
              <w:t>connection to VistA is established</w:t>
            </w:r>
            <w:r w:rsidR="00EA658D">
              <w:t>.</w:t>
            </w:r>
          </w:p>
          <w:p w14:paraId="32E5C46A" w14:textId="77777777" w:rsidR="00BD31FB" w:rsidRDefault="00BD31FB" w:rsidP="00DE61D9">
            <w:pPr>
              <w:pStyle w:val="NotesText"/>
            </w:pPr>
          </w:p>
          <w:p w14:paraId="1324BCCE" w14:textId="0F99D347" w:rsidR="00080078" w:rsidRPr="00DE61D9" w:rsidRDefault="00EA658D" w:rsidP="00DE61D9">
            <w:pPr>
              <w:pStyle w:val="NotesText"/>
            </w:pPr>
            <w:r>
              <w:rPr>
                <w:vanish/>
              </w:rPr>
              <w:t>Bhein dbe</w:t>
            </w:r>
            <w:r>
              <w:t xml:space="preserve">Behind the scenes, VBECS refreshes its VistA </w:t>
            </w:r>
            <w:r w:rsidR="00770D97">
              <w:t xml:space="preserve">data </w:t>
            </w:r>
            <w:r>
              <w:t>cache data if 24 h</w:t>
            </w:r>
            <w:r w:rsidR="00BD31FB">
              <w:t>our</w:t>
            </w:r>
            <w:r>
              <w:t>s have passed since they were last refreshed.</w:t>
            </w:r>
            <w:r w:rsidR="00DE61D9">
              <w:t xml:space="preserve"> </w:t>
            </w:r>
          </w:p>
        </w:tc>
      </w:tr>
      <w:tr w:rsidR="002A21AE" w14:paraId="2796BCA8" w14:textId="77777777" w:rsidTr="007E500E">
        <w:trPr>
          <w:cantSplit/>
        </w:trPr>
        <w:tc>
          <w:tcPr>
            <w:tcW w:w="3330" w:type="dxa"/>
          </w:tcPr>
          <w:p w14:paraId="5DF440F2" w14:textId="37B22241" w:rsidR="002A21AE" w:rsidRDefault="007B7F36" w:rsidP="00D00478">
            <w:pPr>
              <w:pStyle w:val="TableTextNumbers"/>
            </w:pPr>
            <w:r>
              <w:lastRenderedPageBreak/>
              <w:t>Enter the VistA Ac</w:t>
            </w:r>
            <w:r w:rsidR="002F5BFE">
              <w:t>cess and Verify Codes (</w:t>
            </w:r>
            <w:r w:rsidR="00EE455E">
              <w:t xml:space="preserve">Figure </w:t>
            </w:r>
            <w:r w:rsidR="00EE455E">
              <w:rPr>
                <w:noProof/>
              </w:rPr>
              <w:t>16</w:t>
            </w:r>
            <w:r>
              <w:t>)</w:t>
            </w:r>
            <w:r w:rsidR="002A21AE">
              <w:t>.</w:t>
            </w:r>
          </w:p>
        </w:tc>
        <w:tc>
          <w:tcPr>
            <w:tcW w:w="6138" w:type="dxa"/>
          </w:tcPr>
          <w:p w14:paraId="7E6C72F4" w14:textId="7E2867AA" w:rsidR="007B7F36" w:rsidRDefault="002A21AE" w:rsidP="007B7F36">
            <w:pPr>
              <w:pStyle w:val="TableTextBullet"/>
            </w:pPr>
            <w:r w:rsidRPr="00E274BF">
              <w:rPr>
                <w:rFonts w:cs="Arial"/>
                <w:vanish/>
                <w:szCs w:val="18"/>
              </w:rPr>
              <w:t>BR_102.06</w:t>
            </w:r>
            <w:r>
              <w:rPr>
                <w:rFonts w:ascii="Times New Roman" w:hAnsi="Times New Roman"/>
                <w:vanish/>
                <w:sz w:val="22"/>
              </w:rPr>
              <w:t xml:space="preserve"> </w:t>
            </w:r>
            <w:r w:rsidR="007B7F36">
              <w:t xml:space="preserve">Allows a user to log on by entering </w:t>
            </w:r>
            <w:r w:rsidR="007B7F36" w:rsidRPr="00CA0045">
              <w:rPr>
                <w:bCs/>
              </w:rPr>
              <w:t>VistA</w:t>
            </w:r>
            <w:r w:rsidR="007B7F36">
              <w:t xml:space="preserve"> Access and Verify Codes, </w:t>
            </w:r>
            <w:r w:rsidR="00770D97">
              <w:t xml:space="preserve">OR both </w:t>
            </w:r>
            <w:r w:rsidR="007B7F36">
              <w:t>separated by a semicolon (;), in the Access Code data entry field.</w:t>
            </w:r>
          </w:p>
          <w:p w14:paraId="21830230" w14:textId="2081E0A1" w:rsidR="007B7F36" w:rsidRPr="001F5982" w:rsidRDefault="007B7F36" w:rsidP="007B7F36">
            <w:pPr>
              <w:pStyle w:val="TableTextBullet"/>
              <w:rPr>
                <w:szCs w:val="20"/>
              </w:rPr>
            </w:pPr>
            <w:r w:rsidRPr="00E274BF">
              <w:rPr>
                <w:rFonts w:cs="Arial"/>
                <w:vanish/>
                <w:szCs w:val="18"/>
              </w:rPr>
              <w:t>BR_102.02</w:t>
            </w:r>
            <w:r>
              <w:rPr>
                <w:rFonts w:ascii="Times New Roman" w:hAnsi="Times New Roman"/>
                <w:vanish/>
                <w:sz w:val="22"/>
              </w:rPr>
              <w:t xml:space="preserve"> </w:t>
            </w:r>
            <w:r>
              <w:t>Verifies that the user</w:t>
            </w:r>
            <w:r w:rsidR="00BD31FB">
              <w:t>’s</w:t>
            </w:r>
            <w:r>
              <w:t xml:space="preserve"> credentials for the VBECS and </w:t>
            </w:r>
            <w:r w:rsidRPr="00CA0045">
              <w:rPr>
                <w:bCs/>
              </w:rPr>
              <w:t>VistA</w:t>
            </w:r>
            <w:r>
              <w:t xml:space="preserve"> Access and Verify Codes belong to the same user.</w:t>
            </w:r>
          </w:p>
          <w:p w14:paraId="39F7B58B" w14:textId="77777777" w:rsidR="002A21AE" w:rsidRDefault="007B7F36" w:rsidP="00FB7B1E">
            <w:pPr>
              <w:pStyle w:val="TableTextBullet"/>
            </w:pPr>
            <w:r w:rsidRPr="007B7F36">
              <w:t>Emits a tone to verify that the workstation’s sound works.</w:t>
            </w:r>
          </w:p>
          <w:p w14:paraId="6EFC619F" w14:textId="77777777" w:rsidR="002E5493" w:rsidRDefault="002E5493" w:rsidP="002E5493">
            <w:pPr>
              <w:pStyle w:val="TableTextBullet"/>
              <w:numPr>
                <w:ilvl w:val="0"/>
                <w:numId w:val="0"/>
              </w:numPr>
              <w:ind w:left="288" w:hanging="288"/>
            </w:pPr>
          </w:p>
          <w:p w14:paraId="6339FF94" w14:textId="26085DB8" w:rsidR="002E5493" w:rsidRDefault="002E5493" w:rsidP="002E5493">
            <w:pPr>
              <w:pStyle w:val="TableText"/>
              <w:rPr>
                <w:b/>
                <w:bCs/>
                <w:szCs w:val="18"/>
              </w:rPr>
            </w:pPr>
            <w:r>
              <w:rPr>
                <w:b/>
                <w:bCs/>
                <w:szCs w:val="18"/>
              </w:rPr>
              <w:t>NOTES</w:t>
            </w:r>
          </w:p>
          <w:p w14:paraId="430EC37B" w14:textId="77777777" w:rsidR="002E5493" w:rsidRDefault="002E5493" w:rsidP="002E5493">
            <w:pPr>
              <w:pStyle w:val="TableTextBullet"/>
              <w:numPr>
                <w:ilvl w:val="0"/>
                <w:numId w:val="0"/>
              </w:numPr>
              <w:ind w:left="288" w:hanging="288"/>
            </w:pPr>
          </w:p>
          <w:p w14:paraId="286E230C" w14:textId="77777777" w:rsidR="002E5493" w:rsidRDefault="004A7A55" w:rsidP="002E5493">
            <w:pPr>
              <w:pStyle w:val="NotesText"/>
            </w:pPr>
            <w:r w:rsidRPr="004A7A55">
              <w:rPr>
                <w:vanish/>
              </w:rPr>
              <w:t xml:space="preserve">BR_102.02 </w:t>
            </w:r>
            <w:r w:rsidR="002E5493">
              <w:t>The VBECS user must have his own VistA Access and Verify Codes when accessing VistA. The system will not allow the user to log onto VistA if his DUZ in the VBECS database does not match the user’s DUZ in VistA.</w:t>
            </w:r>
          </w:p>
          <w:p w14:paraId="24434346" w14:textId="77777777" w:rsidR="002E5493" w:rsidRDefault="002E5493" w:rsidP="002E5493">
            <w:pPr>
              <w:pStyle w:val="NotesText"/>
            </w:pPr>
          </w:p>
          <w:p w14:paraId="4378ABF2" w14:textId="67A21B2A" w:rsidR="002E5493" w:rsidRDefault="004A7A55" w:rsidP="004A7A55">
            <w:pPr>
              <w:pStyle w:val="NotesText"/>
            </w:pPr>
            <w:r w:rsidRPr="004A7A55">
              <w:rPr>
                <w:vanish/>
              </w:rPr>
              <w:t xml:space="preserve">BR_102.01 </w:t>
            </w:r>
            <w:r w:rsidR="002E5493">
              <w:t>The user will log onto VistA by entering VistA Access and Verify Codes if the system is reconfigured during this session (</w:t>
            </w:r>
            <w:r w:rsidR="00BD31FB">
              <w:t>e.g.,</w:t>
            </w:r>
            <w:r w:rsidR="002E5493">
              <w:t xml:space="preserve"> VistALink dropout and recovery, division change) and subsequently requires a </w:t>
            </w:r>
            <w:r w:rsidR="006464E3">
              <w:t xml:space="preserve">logoff </w:t>
            </w:r>
            <w:r w:rsidR="002E5493">
              <w:t>or logon to VistA</w:t>
            </w:r>
            <w:r>
              <w:t>.</w:t>
            </w:r>
          </w:p>
          <w:p w14:paraId="076942C0" w14:textId="77777777" w:rsidR="00606853" w:rsidRDefault="00606853" w:rsidP="004A7A55">
            <w:pPr>
              <w:pStyle w:val="NotesText"/>
            </w:pPr>
          </w:p>
          <w:p w14:paraId="6C327F70" w14:textId="00B48130" w:rsidR="00606853" w:rsidRDefault="00606853" w:rsidP="004A7A55">
            <w:pPr>
              <w:pStyle w:val="NotesText"/>
            </w:pPr>
            <w:r w:rsidRPr="00606853">
              <w:rPr>
                <w:vanish/>
              </w:rPr>
              <w:t xml:space="preserve">BR_102.14 </w:t>
            </w:r>
            <w:r>
              <w:t>The system will</w:t>
            </w:r>
            <w:r w:rsidRPr="00EC1CAE">
              <w:t xml:space="preserve"> </w:t>
            </w:r>
            <w:r>
              <w:t xml:space="preserve">prompt </w:t>
            </w:r>
            <w:r w:rsidR="00BD31FB">
              <w:t xml:space="preserve">the </w:t>
            </w:r>
            <w:r>
              <w:t xml:space="preserve">user to enter </w:t>
            </w:r>
            <w:r w:rsidR="00BD31FB">
              <w:t xml:space="preserve">a </w:t>
            </w:r>
            <w:r>
              <w:t>current Verify Code, the new Verify Code and a confirmation for a new Verify Code.</w:t>
            </w:r>
          </w:p>
          <w:p w14:paraId="684FD4A9" w14:textId="77777777" w:rsidR="001B2CBA" w:rsidRDefault="001B2CBA" w:rsidP="004A7A55">
            <w:pPr>
              <w:pStyle w:val="NotesText"/>
            </w:pPr>
          </w:p>
          <w:p w14:paraId="599E43AA" w14:textId="77777777" w:rsidR="001B2CBA" w:rsidRDefault="001B2CBA" w:rsidP="004A7A55">
            <w:pPr>
              <w:pStyle w:val="NotesText"/>
            </w:pPr>
            <w:r w:rsidRPr="001B2CBA">
              <w:rPr>
                <w:vanish/>
              </w:rPr>
              <w:t xml:space="preserve">BR_102.07 </w:t>
            </w:r>
            <w:r>
              <w:t>When a Verify Code is changed, the system must check that the new code is different from the currently used Verify Code.</w:t>
            </w:r>
          </w:p>
        </w:tc>
      </w:tr>
      <w:tr w:rsidR="002A21AE" w14:paraId="34589975" w14:textId="77777777">
        <w:tc>
          <w:tcPr>
            <w:tcW w:w="3330" w:type="dxa"/>
          </w:tcPr>
          <w:p w14:paraId="5CD04216" w14:textId="77777777" w:rsidR="002A21AE" w:rsidRDefault="002A21AE">
            <w:pPr>
              <w:pStyle w:val="TableTextNumbers"/>
            </w:pPr>
            <w:r>
              <w:t>Continue working in VBECS in the selected division.</w:t>
            </w:r>
          </w:p>
        </w:tc>
        <w:tc>
          <w:tcPr>
            <w:tcW w:w="6138" w:type="dxa"/>
          </w:tcPr>
          <w:p w14:paraId="3C8423A7" w14:textId="77777777" w:rsidR="002A21AE" w:rsidRDefault="002A21AE">
            <w:pPr>
              <w:pStyle w:val="TableTextBullet"/>
            </w:pPr>
            <w:r>
              <w:t>Displays the main menu.</w:t>
            </w:r>
          </w:p>
        </w:tc>
      </w:tr>
      <w:tr w:rsidR="002A21AE" w14:paraId="596F5105" w14:textId="77777777">
        <w:tc>
          <w:tcPr>
            <w:tcW w:w="3330" w:type="dxa"/>
          </w:tcPr>
          <w:p w14:paraId="4603E489" w14:textId="318D5E6A" w:rsidR="002A21AE" w:rsidRDefault="00CA4C8E">
            <w:pPr>
              <w:pStyle w:val="TableTextNumbers"/>
            </w:pPr>
            <w:r>
              <w:t>Users with multidivisional access: t</w:t>
            </w:r>
            <w:r w:rsidR="002A21AE">
              <w:t xml:space="preserve">o change division, select </w:t>
            </w:r>
            <w:r w:rsidR="002A21AE">
              <w:rPr>
                <w:b/>
              </w:rPr>
              <w:t>File</w:t>
            </w:r>
            <w:r w:rsidR="002A21AE">
              <w:t xml:space="preserve">. </w:t>
            </w:r>
          </w:p>
          <w:p w14:paraId="1E633D1B" w14:textId="77777777" w:rsidR="002A21AE" w:rsidRDefault="002A21AE">
            <w:pPr>
              <w:pStyle w:val="TableTextNumbersContinued"/>
            </w:pPr>
          </w:p>
          <w:p w14:paraId="602BE669" w14:textId="77777777" w:rsidR="002A21AE" w:rsidRDefault="002A21AE">
            <w:pPr>
              <w:pStyle w:val="TableTextNumbersContinued"/>
            </w:pPr>
            <w:r>
              <w:t xml:space="preserve">Select </w:t>
            </w:r>
            <w:r>
              <w:rPr>
                <w:b/>
              </w:rPr>
              <w:t>Change Division</w:t>
            </w:r>
            <w:r>
              <w:t>.</w:t>
            </w:r>
          </w:p>
          <w:p w14:paraId="0F332D6E" w14:textId="77777777" w:rsidR="002A21AE" w:rsidRDefault="002A21AE">
            <w:pPr>
              <w:pStyle w:val="TableTextNumbersContinued"/>
            </w:pPr>
          </w:p>
          <w:p w14:paraId="39627BED" w14:textId="77777777" w:rsidR="002A21AE" w:rsidRDefault="00F876CD">
            <w:pPr>
              <w:pStyle w:val="TableTextNumbersContinued"/>
            </w:pPr>
            <w:r>
              <w:t>Continue at Step 6</w:t>
            </w:r>
            <w:r w:rsidR="002A21AE">
              <w:t>.</w:t>
            </w:r>
            <w:r w:rsidR="00282A20">
              <w:rPr>
                <w:vanish/>
                <w:color w:val="FFFFFF"/>
                <w:szCs w:val="18"/>
              </w:rPr>
              <w:fldChar w:fldCharType="begin"/>
            </w:r>
            <w:r w:rsidR="00282A20">
              <w:rPr>
                <w:vanish/>
                <w:color w:val="FFFFFF"/>
                <w:szCs w:val="18"/>
              </w:rPr>
              <w:instrText xml:space="preserve"> LISTNUM \l 1 \s 0 </w:instrText>
            </w:r>
            <w:r w:rsidR="00282A20">
              <w:rPr>
                <w:vanish/>
                <w:color w:val="FFFFFF"/>
                <w:szCs w:val="18"/>
              </w:rPr>
              <w:fldChar w:fldCharType="end">
                <w:numberingChange w:id="100" w:author="MUSZYNSKI, THOMAS D. (SIERRA 7 INC)" w:date="2024-11-26T07:15:00Z" w:original="0."/>
              </w:fldChar>
            </w:r>
          </w:p>
        </w:tc>
        <w:tc>
          <w:tcPr>
            <w:tcW w:w="6138" w:type="dxa"/>
          </w:tcPr>
          <w:p w14:paraId="1238F7F6" w14:textId="77777777" w:rsidR="002A21AE" w:rsidRDefault="002A21AE">
            <w:pPr>
              <w:pStyle w:val="TableTextBullet"/>
              <w:ind w:left="0" w:firstLine="0"/>
            </w:pPr>
            <w:r>
              <w:t>Ensures that there are no incomplete activities for the user’s session.</w:t>
            </w:r>
          </w:p>
          <w:p w14:paraId="2E8D4912" w14:textId="77777777" w:rsidR="002A21AE" w:rsidRDefault="002A21AE">
            <w:pPr>
              <w:pStyle w:val="TableTextBullet"/>
              <w:ind w:left="0" w:firstLine="0"/>
            </w:pPr>
            <w:r>
              <w:t>Displays a division login message.</w:t>
            </w:r>
          </w:p>
          <w:p w14:paraId="7D3913EC" w14:textId="77777777" w:rsidR="002A21AE" w:rsidRDefault="002A21AE">
            <w:pPr>
              <w:pStyle w:val="TableTextBullet"/>
              <w:ind w:left="0" w:firstLine="0"/>
            </w:pPr>
            <w:r>
              <w:t>Opens the selected division.</w:t>
            </w:r>
          </w:p>
          <w:p w14:paraId="11BE4384" w14:textId="77777777" w:rsidR="002A21AE" w:rsidRDefault="002A21AE">
            <w:pPr>
              <w:pStyle w:val="TableText"/>
            </w:pPr>
          </w:p>
          <w:p w14:paraId="4B30DF51" w14:textId="2A002174" w:rsidR="002A21AE" w:rsidRDefault="002A21AE">
            <w:pPr>
              <w:pStyle w:val="TableText"/>
              <w:rPr>
                <w:b/>
                <w:bCs/>
                <w:szCs w:val="18"/>
              </w:rPr>
            </w:pPr>
            <w:r>
              <w:rPr>
                <w:b/>
                <w:bCs/>
                <w:szCs w:val="18"/>
              </w:rPr>
              <w:t>NOTES</w:t>
            </w:r>
          </w:p>
          <w:p w14:paraId="2CF40164" w14:textId="77777777" w:rsidR="002A21AE" w:rsidRDefault="002A21AE">
            <w:pPr>
              <w:pStyle w:val="NotesText"/>
            </w:pPr>
          </w:p>
          <w:p w14:paraId="27E62070" w14:textId="77777777" w:rsidR="002A21AE" w:rsidRDefault="002A21AE">
            <w:pPr>
              <w:pStyle w:val="NotesText"/>
            </w:pPr>
            <w:r w:rsidRPr="00E274BF">
              <w:rPr>
                <w:rFonts w:cs="Arial"/>
                <w:vanish/>
                <w:szCs w:val="18"/>
              </w:rPr>
              <w:t>BR_18.06</w:t>
            </w:r>
            <w:r w:rsidRPr="009660C3">
              <w:rPr>
                <w:vanish/>
                <w:szCs w:val="18"/>
              </w:rPr>
              <w:t xml:space="preserve"> </w:t>
            </w:r>
            <w:r>
              <w:t xml:space="preserve">A user may log into or change divisions without being logged onto </w:t>
            </w:r>
            <w:r w:rsidR="00CA0045" w:rsidRPr="00CA0045">
              <w:rPr>
                <w:bCs/>
              </w:rPr>
              <w:t>VistA</w:t>
            </w:r>
            <w:r>
              <w:t>.</w:t>
            </w:r>
          </w:p>
          <w:p w14:paraId="42772AA0" w14:textId="77777777" w:rsidR="002A21AE" w:rsidRDefault="002A21AE">
            <w:pPr>
              <w:pStyle w:val="TableText"/>
            </w:pPr>
          </w:p>
          <w:p w14:paraId="70AB0FF8" w14:textId="0BE529CA" w:rsidR="002A21AE" w:rsidRDefault="002A21AE">
            <w:pPr>
              <w:pStyle w:val="NotesText"/>
            </w:pPr>
            <w:r w:rsidRPr="00E274BF">
              <w:rPr>
                <w:rFonts w:cs="Arial"/>
                <w:vanish/>
                <w:szCs w:val="18"/>
              </w:rPr>
              <w:t>BR_18.02</w:t>
            </w:r>
            <w:r w:rsidRPr="009660C3">
              <w:rPr>
                <w:vanish/>
                <w:szCs w:val="18"/>
              </w:rPr>
              <w:t xml:space="preserve"> </w:t>
            </w:r>
            <w:r>
              <w:t xml:space="preserve">VBECS displays a message advising the user to close dialogs and transactions with pending data </w:t>
            </w:r>
            <w:r w:rsidR="00671459">
              <w:t>changes and</w:t>
            </w:r>
            <w:r>
              <w:t xml:space="preserve"> closes open dialogs with no pending data changes before the user changes division.</w:t>
            </w:r>
          </w:p>
          <w:p w14:paraId="6D9080BF" w14:textId="77777777" w:rsidR="002A21AE" w:rsidRDefault="002A21AE">
            <w:pPr>
              <w:pStyle w:val="NotesText"/>
              <w:ind w:left="0"/>
            </w:pPr>
          </w:p>
          <w:p w14:paraId="5BA80FB4" w14:textId="77777777" w:rsidR="002A21AE" w:rsidRDefault="002A21AE">
            <w:pPr>
              <w:pStyle w:val="NotesText"/>
            </w:pPr>
            <w:r w:rsidRPr="00E274BF">
              <w:rPr>
                <w:rFonts w:cs="Arial"/>
                <w:vanish/>
                <w:szCs w:val="18"/>
              </w:rPr>
              <w:t>BR_102.04</w:t>
            </w:r>
            <w:r w:rsidRPr="009660C3">
              <w:rPr>
                <w:vanish/>
                <w:szCs w:val="18"/>
              </w:rPr>
              <w:t xml:space="preserve"> </w:t>
            </w:r>
            <w:r>
              <w:t xml:space="preserve">VBECS automatically logs onto </w:t>
            </w:r>
            <w:r w:rsidR="00CA0045" w:rsidRPr="00CA0045">
              <w:rPr>
                <w:bCs/>
              </w:rPr>
              <w:t>VistA</w:t>
            </w:r>
            <w:r>
              <w:t xml:space="preserve"> for the selected division.</w:t>
            </w:r>
          </w:p>
        </w:tc>
      </w:tr>
    </w:tbl>
    <w:p w14:paraId="7BBF02C6" w14:textId="79E82B90" w:rsidR="00532542" w:rsidRPr="00532542" w:rsidRDefault="00532542" w:rsidP="00532542">
      <w:pPr>
        <w:pStyle w:val="BodyText"/>
      </w:pPr>
    </w:p>
    <w:p w14:paraId="500E6A2C" w14:textId="1453C3CC" w:rsidR="00632002" w:rsidRDefault="00632002" w:rsidP="00632002">
      <w:pPr>
        <w:pStyle w:val="Caption"/>
      </w:pPr>
      <w:bookmarkStart w:id="101" w:name="_Ref470094631"/>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7D1829">
        <w:rPr>
          <w:noProof/>
        </w:rPr>
        <w:t>15</w:t>
      </w:r>
      <w:r w:rsidR="004E20BD">
        <w:rPr>
          <w:noProof/>
        </w:rPr>
        <w:fldChar w:fldCharType="end"/>
      </w:r>
      <w:bookmarkEnd w:id="101"/>
      <w:r>
        <w:t xml:space="preserve">: </w:t>
      </w:r>
      <w:r w:rsidR="00DE2276">
        <w:t xml:space="preserve">Example of </w:t>
      </w:r>
      <w:r>
        <w:t>Division Logon</w:t>
      </w:r>
    </w:p>
    <w:p w14:paraId="540BFA6B" w14:textId="77777777" w:rsidR="00632002" w:rsidRDefault="00057948" w:rsidP="00632002">
      <w:pPr>
        <w:pStyle w:val="BodyText"/>
        <w:rPr>
          <w:noProof/>
        </w:rPr>
      </w:pPr>
      <w:r>
        <w:rPr>
          <w:noProof/>
        </w:rPr>
        <w:drawing>
          <wp:inline distT="0" distB="0" distL="0" distR="0" wp14:anchorId="559B2A53" wp14:editId="18A6B8C9">
            <wp:extent cx="2900045" cy="1893570"/>
            <wp:effectExtent l="0" t="0" r="0" b="0"/>
            <wp:docPr id="52" name="Picture 15" descr="Example of Division Logon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15" descr="Example of Division Logon screen capture"/>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900045" cy="1893570"/>
                    </a:xfrm>
                    <a:prstGeom prst="rect">
                      <a:avLst/>
                    </a:prstGeom>
                    <a:noFill/>
                    <a:ln>
                      <a:noFill/>
                    </a:ln>
                  </pic:spPr>
                </pic:pic>
              </a:graphicData>
            </a:graphic>
          </wp:inline>
        </w:drawing>
      </w:r>
    </w:p>
    <w:p w14:paraId="6A92ABF1" w14:textId="6ED73788" w:rsidR="00632002" w:rsidRDefault="00632002" w:rsidP="00632002">
      <w:pPr>
        <w:pStyle w:val="Caption"/>
      </w:pPr>
      <w:bookmarkStart w:id="102" w:name="_Ref470094882"/>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7D1829">
        <w:rPr>
          <w:noProof/>
        </w:rPr>
        <w:t>16</w:t>
      </w:r>
      <w:r w:rsidR="004E20BD">
        <w:rPr>
          <w:noProof/>
        </w:rPr>
        <w:fldChar w:fldCharType="end"/>
      </w:r>
      <w:bookmarkEnd w:id="102"/>
      <w:r>
        <w:t xml:space="preserve">: </w:t>
      </w:r>
      <w:r w:rsidR="00DE2276">
        <w:t xml:space="preserve">Example of </w:t>
      </w:r>
      <w:r>
        <w:t>VistA Access and Verify Code Logon</w:t>
      </w:r>
    </w:p>
    <w:p w14:paraId="4E0A6890" w14:textId="455F393E" w:rsidR="002A21AE" w:rsidRDefault="00057948" w:rsidP="006464E3">
      <w:pPr>
        <w:pStyle w:val="BodyText"/>
      </w:pPr>
      <w:r>
        <w:rPr>
          <w:noProof/>
        </w:rPr>
        <w:drawing>
          <wp:inline distT="0" distB="0" distL="0" distR="0" wp14:anchorId="4FFFD615" wp14:editId="5842CB40">
            <wp:extent cx="3195955" cy="2383155"/>
            <wp:effectExtent l="0" t="0" r="4445" b="0"/>
            <wp:docPr id="53" name="Picture 1" descr="Example of VistA Access and Verify Code Logon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1" descr="Example of VistA Access and Verify Code Logon screen capture"/>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3195955" cy="2383155"/>
                    </a:xfrm>
                    <a:prstGeom prst="rect">
                      <a:avLst/>
                    </a:prstGeom>
                    <a:noFill/>
                    <a:ln>
                      <a:noFill/>
                    </a:ln>
                  </pic:spPr>
                </pic:pic>
              </a:graphicData>
            </a:graphic>
          </wp:inline>
        </w:drawing>
      </w:r>
    </w:p>
    <w:p w14:paraId="4FF311DB" w14:textId="22398367" w:rsidR="008C2617" w:rsidRDefault="008C2617" w:rsidP="006B317D">
      <w:pPr>
        <w:pStyle w:val="Heading4"/>
      </w:pPr>
      <w:r>
        <w:t>Restore VistALink Connection</w:t>
      </w:r>
    </w:p>
    <w:p w14:paraId="005A4B6F" w14:textId="77777777" w:rsidR="00FB7B1E" w:rsidRPr="00BD31FB" w:rsidRDefault="00FB7B1E" w:rsidP="006B317D">
      <w:pPr>
        <w:pStyle w:val="BodyText"/>
        <w:keepNext/>
        <w:rPr>
          <w:spacing w:val="-5"/>
        </w:rPr>
      </w:pPr>
      <w:r w:rsidRPr="00BD31FB">
        <w:rPr>
          <w:spacing w:val="-5"/>
        </w:rPr>
        <w:t>Before any option requiring VistALink is started, the system validates VistALink availability. When the server does not respond or there is no active connection, the system br</w:t>
      </w:r>
      <w:r w:rsidR="00D86E6D" w:rsidRPr="00BD31FB">
        <w:rPr>
          <w:spacing w:val="-5"/>
        </w:rPr>
        <w:t xml:space="preserve">ings up the dialog informing </w:t>
      </w:r>
      <w:r w:rsidRPr="00BD31FB">
        <w:rPr>
          <w:spacing w:val="-5"/>
        </w:rPr>
        <w:t xml:space="preserve">the user </w:t>
      </w:r>
      <w:r w:rsidR="00D86E6D" w:rsidRPr="00BD31FB">
        <w:rPr>
          <w:spacing w:val="-5"/>
        </w:rPr>
        <w:t>of</w:t>
      </w:r>
      <w:r w:rsidRPr="00BD31FB">
        <w:rPr>
          <w:spacing w:val="-5"/>
        </w:rPr>
        <w:t xml:space="preserve"> the VistALink connection’s unavailability and offering the option to restore the connection. </w:t>
      </w: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30"/>
        <w:gridCol w:w="6138"/>
      </w:tblGrid>
      <w:tr w:rsidR="002A21AE" w14:paraId="12BB0981" w14:textId="77777777">
        <w:trPr>
          <w:tblHeader/>
        </w:trPr>
        <w:tc>
          <w:tcPr>
            <w:tcW w:w="3330" w:type="dxa"/>
            <w:shd w:val="pct30" w:color="auto" w:fill="FFFFFF"/>
            <w:vAlign w:val="bottom"/>
          </w:tcPr>
          <w:p w14:paraId="36DA5572" w14:textId="77777777" w:rsidR="002A21AE" w:rsidRDefault="002A21AE" w:rsidP="006B317D">
            <w:pPr>
              <w:pStyle w:val="TableText"/>
              <w:keepNext/>
              <w:rPr>
                <w:b/>
              </w:rPr>
            </w:pPr>
            <w:r>
              <w:rPr>
                <w:b/>
              </w:rPr>
              <w:t>User Action</w:t>
            </w:r>
          </w:p>
        </w:tc>
        <w:tc>
          <w:tcPr>
            <w:tcW w:w="6138" w:type="dxa"/>
            <w:shd w:val="pct30" w:color="auto" w:fill="FFFFFF"/>
            <w:vAlign w:val="bottom"/>
          </w:tcPr>
          <w:p w14:paraId="710CCA55" w14:textId="77777777" w:rsidR="002A21AE" w:rsidRDefault="002A21AE" w:rsidP="006B317D">
            <w:pPr>
              <w:pStyle w:val="TableText"/>
              <w:keepNext/>
              <w:rPr>
                <w:b/>
              </w:rPr>
            </w:pPr>
            <w:r>
              <w:rPr>
                <w:b/>
              </w:rPr>
              <w:t>VBECS</w:t>
            </w:r>
          </w:p>
        </w:tc>
      </w:tr>
      <w:tr w:rsidR="002A21AE" w14:paraId="2846B9C3" w14:textId="77777777">
        <w:tc>
          <w:tcPr>
            <w:tcW w:w="3330" w:type="dxa"/>
          </w:tcPr>
          <w:p w14:paraId="2C685F9F" w14:textId="7DDAFDB7" w:rsidR="002A21AE" w:rsidRDefault="00D86E6D" w:rsidP="006B317D">
            <w:pPr>
              <w:pStyle w:val="TableTextNumbers"/>
              <w:keepNext/>
            </w:pPr>
            <w:r>
              <w:t>The</w:t>
            </w:r>
            <w:r w:rsidR="008A2E47">
              <w:t xml:space="preserve"> </w:t>
            </w:r>
            <w:r w:rsidR="008A2E47" w:rsidRPr="008A2E47">
              <w:rPr>
                <w:b/>
              </w:rPr>
              <w:t>Restore</w:t>
            </w:r>
            <w:r w:rsidR="008A2E47">
              <w:t xml:space="preserve"> </w:t>
            </w:r>
            <w:r>
              <w:t>option is presented. C</w:t>
            </w:r>
            <w:r w:rsidR="008A2E47">
              <w:t xml:space="preserve">hoose to </w:t>
            </w:r>
            <w:r>
              <w:t xml:space="preserve">restore or </w:t>
            </w:r>
            <w:r w:rsidR="008A2E47">
              <w:t>cancel</w:t>
            </w:r>
            <w:r w:rsidR="00D00478">
              <w:t xml:space="preserve"> (</w:t>
            </w:r>
            <w:r w:rsidR="00EE455E">
              <w:t xml:space="preserve">Figure </w:t>
            </w:r>
            <w:r w:rsidR="00EE455E">
              <w:rPr>
                <w:noProof/>
              </w:rPr>
              <w:t>17</w:t>
            </w:r>
            <w:r w:rsidR="008A2E47">
              <w:t>)</w:t>
            </w:r>
            <w:r w:rsidR="002A21AE">
              <w:t>.</w:t>
            </w:r>
          </w:p>
        </w:tc>
        <w:tc>
          <w:tcPr>
            <w:tcW w:w="6138" w:type="dxa"/>
          </w:tcPr>
          <w:p w14:paraId="3B2934B9" w14:textId="77777777" w:rsidR="002A21AE" w:rsidRDefault="002A21AE" w:rsidP="006B317D">
            <w:pPr>
              <w:pStyle w:val="TableTextBullet"/>
              <w:keepNext/>
            </w:pPr>
            <w:r>
              <w:t>Attempts to connect using the user’s</w:t>
            </w:r>
            <w:r w:rsidR="00D86E6D">
              <w:t xml:space="preserve"> previously entered PIV/PIN</w:t>
            </w:r>
            <w:r>
              <w:t xml:space="preserve"> information when logon information is entered. </w:t>
            </w:r>
          </w:p>
          <w:p w14:paraId="36D86E81" w14:textId="23C81979" w:rsidR="002A21AE" w:rsidRDefault="00D86E6D" w:rsidP="006B317D">
            <w:pPr>
              <w:pStyle w:val="TableTextBullet"/>
              <w:keepNext/>
            </w:pPr>
            <w:r w:rsidRPr="00D86E6D">
              <w:rPr>
                <w:vanish/>
              </w:rPr>
              <w:t xml:space="preserve">BR_102.11 </w:t>
            </w:r>
            <w:r w:rsidR="002A21AE">
              <w:t xml:space="preserve">When </w:t>
            </w:r>
            <w:r>
              <w:t>VBECS</w:t>
            </w:r>
            <w:r w:rsidR="00076775">
              <w:t xml:space="preserve"> </w:t>
            </w:r>
            <w:r>
              <w:t xml:space="preserve">Administrator is up and running and </w:t>
            </w:r>
            <w:r w:rsidR="00BD31FB">
              <w:t xml:space="preserve">the </w:t>
            </w:r>
            <w:r>
              <w:t xml:space="preserve">user attempts to access a VistALink dependent option when VistALink is not connected, the system will prompt a reconnection dialog where </w:t>
            </w:r>
            <w:r w:rsidR="00BD31FB">
              <w:t xml:space="preserve">the </w:t>
            </w:r>
            <w:r>
              <w:t>user will have two options: to reconnect or to cancel. When the reconnect process fails or when the user cancels, the system shows an error dialog</w:t>
            </w:r>
            <w:r w:rsidR="008A2E47">
              <w:t>.</w:t>
            </w:r>
          </w:p>
          <w:p w14:paraId="281427C7" w14:textId="77777777" w:rsidR="002A21AE" w:rsidRDefault="00DE61D9" w:rsidP="006B317D">
            <w:pPr>
              <w:pStyle w:val="TableTextBullet"/>
              <w:keepNext/>
            </w:pPr>
            <w:r w:rsidRPr="00DE61D9">
              <w:rPr>
                <w:vanish/>
              </w:rPr>
              <w:t xml:space="preserve">BR_103.03 </w:t>
            </w:r>
            <w:r w:rsidR="002A21AE">
              <w:t xml:space="preserve">Closes the pop-up when the user clicks </w:t>
            </w:r>
            <w:r w:rsidR="002A21AE">
              <w:rPr>
                <w:b/>
              </w:rPr>
              <w:t>Cancel</w:t>
            </w:r>
            <w:r w:rsidR="002A21AE">
              <w:t>.</w:t>
            </w:r>
          </w:p>
        </w:tc>
      </w:tr>
      <w:tr w:rsidR="00D86E6D" w14:paraId="1484CD75" w14:textId="77777777">
        <w:tc>
          <w:tcPr>
            <w:tcW w:w="3330" w:type="dxa"/>
          </w:tcPr>
          <w:p w14:paraId="12D36B6F" w14:textId="7D4AA19F" w:rsidR="00D86E6D" w:rsidRDefault="00F40ED2" w:rsidP="007E3EE1">
            <w:pPr>
              <w:pStyle w:val="TableTextNumbers"/>
            </w:pPr>
            <w:r>
              <w:t xml:space="preserve">If </w:t>
            </w:r>
            <w:r w:rsidR="00BD31FB">
              <w:t xml:space="preserve">the </w:t>
            </w:r>
            <w:r>
              <w:t>site is not PIV exempt, u</w:t>
            </w:r>
            <w:r w:rsidR="00D86E6D">
              <w:t>se PIV and PIN to connect to VistALink.</w:t>
            </w:r>
            <w:r w:rsidRPr="00812458">
              <w:rPr>
                <w:vanish/>
              </w:rPr>
              <w:t xml:space="preserve"> Task 561381</w:t>
            </w:r>
          </w:p>
          <w:p w14:paraId="53CD2FC7" w14:textId="77777777" w:rsidR="00F876CD" w:rsidRDefault="00F876CD" w:rsidP="00F876CD">
            <w:pPr>
              <w:pStyle w:val="TableTextNumbers"/>
              <w:numPr>
                <w:ilvl w:val="0"/>
                <w:numId w:val="0"/>
              </w:numPr>
              <w:ind w:left="288"/>
            </w:pPr>
            <w:r>
              <w:lastRenderedPageBreak/>
              <w:t>If the IAM PIV sign on process succeeds, continue at Step 4.</w:t>
            </w:r>
          </w:p>
          <w:p w14:paraId="01AED6D0" w14:textId="77777777" w:rsidR="00F876CD" w:rsidRDefault="00F876CD" w:rsidP="00F876CD">
            <w:pPr>
              <w:pStyle w:val="TableTextNumbers"/>
              <w:numPr>
                <w:ilvl w:val="0"/>
                <w:numId w:val="0"/>
              </w:numPr>
              <w:ind w:left="288" w:hanging="288"/>
            </w:pPr>
          </w:p>
          <w:p w14:paraId="2B73A428" w14:textId="77777777" w:rsidR="00F876CD" w:rsidRDefault="00F876CD" w:rsidP="00D86E6D">
            <w:pPr>
              <w:pStyle w:val="TableTextNumbers"/>
              <w:numPr>
                <w:ilvl w:val="0"/>
                <w:numId w:val="0"/>
              </w:numPr>
              <w:ind w:left="288" w:hanging="288"/>
            </w:pPr>
          </w:p>
          <w:p w14:paraId="0E6D6E06" w14:textId="72CC3C79" w:rsidR="00D86E6D" w:rsidRDefault="00D86E6D" w:rsidP="00F876CD">
            <w:pPr>
              <w:pStyle w:val="TableTextNumbers"/>
              <w:numPr>
                <w:ilvl w:val="0"/>
                <w:numId w:val="0"/>
              </w:numPr>
              <w:ind w:left="288"/>
            </w:pPr>
            <w:r>
              <w:t>If the IAM PIV sign on process fails</w:t>
            </w:r>
            <w:r w:rsidR="00650B86">
              <w:t>, continue to next step.</w:t>
            </w:r>
          </w:p>
        </w:tc>
        <w:tc>
          <w:tcPr>
            <w:tcW w:w="6138" w:type="dxa"/>
          </w:tcPr>
          <w:p w14:paraId="17229E58" w14:textId="77777777" w:rsidR="00650B86" w:rsidRPr="00650B86" w:rsidRDefault="00650B86" w:rsidP="00CC1BC3">
            <w:pPr>
              <w:pStyle w:val="TableTextBullet"/>
            </w:pPr>
            <w:r w:rsidRPr="00650B86">
              <w:lastRenderedPageBreak/>
              <w:t>Directs user to the IAM service interface to select PIV certificate and possibly to re-enter PIN</w:t>
            </w:r>
          </w:p>
          <w:p w14:paraId="2621585B" w14:textId="311F086F" w:rsidR="00D86E6D" w:rsidRPr="00650B86" w:rsidRDefault="00650B86" w:rsidP="00CC1BC3">
            <w:pPr>
              <w:pStyle w:val="TableTextBullet"/>
            </w:pPr>
            <w:r w:rsidRPr="00650B86">
              <w:lastRenderedPageBreak/>
              <w:t xml:space="preserve">If the IAM PIV sign on process fails, VBECS continues to the next step and prompts </w:t>
            </w:r>
            <w:r w:rsidR="00DD077F">
              <w:t xml:space="preserve">the </w:t>
            </w:r>
            <w:r w:rsidRPr="00650B86">
              <w:t>user for VistA Access and Verify Code. The user may log onto VistA or continue and log on as needed</w:t>
            </w:r>
            <w:r w:rsidR="00D86E6D" w:rsidRPr="00650B86">
              <w:t>.</w:t>
            </w:r>
          </w:p>
          <w:p w14:paraId="68477259" w14:textId="77777777" w:rsidR="00D86E6D" w:rsidRDefault="00D86E6D" w:rsidP="00CC1BC3">
            <w:pPr>
              <w:pStyle w:val="TableTextBullet"/>
              <w:numPr>
                <w:ilvl w:val="0"/>
                <w:numId w:val="0"/>
              </w:numPr>
              <w:ind w:left="288"/>
            </w:pPr>
          </w:p>
          <w:p w14:paraId="17FAB1A0" w14:textId="62102F2A" w:rsidR="00D86E6D" w:rsidRDefault="00D86E6D" w:rsidP="00CC1BC3">
            <w:pPr>
              <w:pStyle w:val="TableText"/>
              <w:rPr>
                <w:b/>
                <w:bCs/>
                <w:szCs w:val="18"/>
              </w:rPr>
            </w:pPr>
            <w:r>
              <w:rPr>
                <w:b/>
                <w:bCs/>
                <w:szCs w:val="18"/>
              </w:rPr>
              <w:t>NOTES</w:t>
            </w:r>
          </w:p>
          <w:p w14:paraId="077D132E" w14:textId="77777777" w:rsidR="00D86E6D" w:rsidRDefault="00D86E6D" w:rsidP="00CC1BC3">
            <w:pPr>
              <w:pStyle w:val="NotesText"/>
            </w:pPr>
          </w:p>
          <w:p w14:paraId="64558D32" w14:textId="77777777" w:rsidR="00D86E6D" w:rsidRDefault="00650B86" w:rsidP="00CC1BC3">
            <w:pPr>
              <w:pStyle w:val="NotesText"/>
            </w:pPr>
            <w:r w:rsidRPr="00650B86">
              <w:rPr>
                <w:vanish/>
              </w:rPr>
              <w:t xml:space="preserve">BR_102.10 </w:t>
            </w:r>
            <w:r>
              <w:t>The system prompts the user for their access and verify code when there is no active IAM service certification</w:t>
            </w:r>
            <w:r w:rsidR="00D86E6D">
              <w:t>.</w:t>
            </w:r>
          </w:p>
          <w:p w14:paraId="4116ADED" w14:textId="77777777" w:rsidR="00650B86" w:rsidRDefault="00650B86" w:rsidP="00CC1BC3">
            <w:pPr>
              <w:pStyle w:val="NotesText"/>
            </w:pPr>
          </w:p>
          <w:p w14:paraId="1E1B331E" w14:textId="77777777" w:rsidR="00650B86" w:rsidRDefault="00650B86" w:rsidP="00CC1BC3">
            <w:pPr>
              <w:pStyle w:val="NotesText"/>
            </w:pPr>
            <w:r w:rsidRPr="00650B86">
              <w:rPr>
                <w:vanish/>
              </w:rPr>
              <w:t xml:space="preserve">DR 1,116 </w:t>
            </w:r>
            <w:r>
              <w:t>When a user logs into VBECS, the connection to VistA is established and the data in the cache tables are out-of-date. VBECS retrieves the current data from VistA and saves them. This update process may delay user login.</w:t>
            </w:r>
          </w:p>
        </w:tc>
      </w:tr>
      <w:tr w:rsidR="00650B86" w14:paraId="2C004C04" w14:textId="77777777">
        <w:tc>
          <w:tcPr>
            <w:tcW w:w="3330" w:type="dxa"/>
          </w:tcPr>
          <w:p w14:paraId="45CAC6E3" w14:textId="6390B9A0" w:rsidR="00650B86" w:rsidRDefault="00650B86" w:rsidP="00CC1BC3">
            <w:pPr>
              <w:pStyle w:val="TableTextNumbers"/>
            </w:pPr>
            <w:r>
              <w:lastRenderedPageBreak/>
              <w:t>Enter the VistA Access and Verify Code</w:t>
            </w:r>
            <w:r w:rsidR="00B437AD">
              <w:t>s (</w:t>
            </w:r>
            <w:r w:rsidR="00EE455E">
              <w:t xml:space="preserve">Figure </w:t>
            </w:r>
            <w:r w:rsidR="00EE455E">
              <w:rPr>
                <w:noProof/>
              </w:rPr>
              <w:t>16</w:t>
            </w:r>
            <w:r>
              <w:t>).</w:t>
            </w:r>
          </w:p>
        </w:tc>
        <w:tc>
          <w:tcPr>
            <w:tcW w:w="6138" w:type="dxa"/>
          </w:tcPr>
          <w:p w14:paraId="0F3CD3F3" w14:textId="43633643" w:rsidR="00650B86" w:rsidRPr="00EB7907" w:rsidRDefault="00E8576E" w:rsidP="00650B86">
            <w:pPr>
              <w:pStyle w:val="TableTextBullet"/>
              <w:rPr>
                <w:rFonts w:cs="Arial"/>
                <w:szCs w:val="18"/>
              </w:rPr>
            </w:pPr>
            <w:r w:rsidRPr="00E8576E">
              <w:rPr>
                <w:rFonts w:cs="Arial"/>
                <w:vanish/>
                <w:szCs w:val="18"/>
              </w:rPr>
              <w:t xml:space="preserve">BR_102.13 </w:t>
            </w:r>
            <w:r w:rsidR="00650B86" w:rsidRPr="00EB7907">
              <w:rPr>
                <w:rFonts w:cs="Arial"/>
                <w:szCs w:val="18"/>
              </w:rPr>
              <w:t xml:space="preserve">The system will reuse the security credentials initially entered in this user’s session (VistA Access and Verify Codes) to perform VistA </w:t>
            </w:r>
            <w:r w:rsidR="006464E3">
              <w:rPr>
                <w:rFonts w:cs="Arial"/>
                <w:szCs w:val="18"/>
              </w:rPr>
              <w:t>logoff</w:t>
            </w:r>
            <w:r w:rsidR="00650B86" w:rsidRPr="00EB7907">
              <w:rPr>
                <w:rFonts w:cs="Arial"/>
                <w:szCs w:val="18"/>
              </w:rPr>
              <w:t xml:space="preserve"> and logon without user interaction.</w:t>
            </w:r>
          </w:p>
          <w:p w14:paraId="2B9BD0D1" w14:textId="77777777" w:rsidR="00650B86" w:rsidRDefault="00650B86" w:rsidP="00650B86">
            <w:pPr>
              <w:pStyle w:val="TableTextBullet"/>
            </w:pPr>
            <w:r w:rsidRPr="00EB7907">
              <w:rPr>
                <w:vanish/>
              </w:rPr>
              <w:t xml:space="preserve">BR_102.06 </w:t>
            </w:r>
            <w:r>
              <w:t xml:space="preserve">Allows a user to log on by entering </w:t>
            </w:r>
            <w:r w:rsidRPr="00CA0045">
              <w:rPr>
                <w:bCs/>
              </w:rPr>
              <w:t>VistA</w:t>
            </w:r>
            <w:r>
              <w:t xml:space="preserve"> Access and Verify Codes, separated by a semicolon (;), in the Access Code data entry field.</w:t>
            </w:r>
          </w:p>
          <w:p w14:paraId="13A6BCF7" w14:textId="77777777" w:rsidR="00650B86" w:rsidRPr="001F5982" w:rsidRDefault="00650B86" w:rsidP="00650B86">
            <w:pPr>
              <w:pStyle w:val="TableTextBullet"/>
              <w:rPr>
                <w:szCs w:val="20"/>
              </w:rPr>
            </w:pPr>
            <w:r w:rsidRPr="00E274BF">
              <w:rPr>
                <w:rFonts w:cs="Arial"/>
                <w:vanish/>
                <w:szCs w:val="18"/>
              </w:rPr>
              <w:t>BR_102.02</w:t>
            </w:r>
            <w:r>
              <w:rPr>
                <w:rFonts w:ascii="Times New Roman" w:hAnsi="Times New Roman"/>
                <w:vanish/>
                <w:sz w:val="22"/>
              </w:rPr>
              <w:t xml:space="preserve"> </w:t>
            </w:r>
            <w:r>
              <w:t xml:space="preserve">Verifies that the user credentials for the VBECS and </w:t>
            </w:r>
            <w:r w:rsidRPr="00CA0045">
              <w:rPr>
                <w:bCs/>
              </w:rPr>
              <w:t>VistA</w:t>
            </w:r>
            <w:r>
              <w:t xml:space="preserve"> Access and Verify Codes belong to the same user.</w:t>
            </w:r>
          </w:p>
          <w:p w14:paraId="7EAC1DCD" w14:textId="77777777" w:rsidR="00650B86" w:rsidRPr="00650B86" w:rsidRDefault="00650B86" w:rsidP="00650B86">
            <w:pPr>
              <w:pStyle w:val="TableTextBullet"/>
            </w:pPr>
            <w:r w:rsidRPr="007B7F36">
              <w:t>Emits a tone to verify that the workstation’s sound works.</w:t>
            </w:r>
          </w:p>
        </w:tc>
      </w:tr>
      <w:tr w:rsidR="00650B86" w14:paraId="587E51DA" w14:textId="77777777">
        <w:tc>
          <w:tcPr>
            <w:tcW w:w="3330" w:type="dxa"/>
          </w:tcPr>
          <w:p w14:paraId="227109C0" w14:textId="77777777" w:rsidR="00650B86" w:rsidRDefault="00650B86">
            <w:pPr>
              <w:pStyle w:val="TableTextNumbers"/>
            </w:pPr>
            <w:r>
              <w:t xml:space="preserve">Continue working in the VistALink dependent option. </w:t>
            </w:r>
            <w:r w:rsidRPr="00912F51">
              <w:rPr>
                <w:color w:val="FFFFFF"/>
              </w:rPr>
              <w:fldChar w:fldCharType="begin"/>
            </w:r>
            <w:r w:rsidRPr="00912F51">
              <w:rPr>
                <w:color w:val="FFFFFF"/>
              </w:rPr>
              <w:instrText xml:space="preserve"> LISTNUM \l 1 \s 0 </w:instrText>
            </w:r>
            <w:r w:rsidRPr="00912F51">
              <w:rPr>
                <w:color w:val="FFFFFF"/>
              </w:rPr>
              <w:fldChar w:fldCharType="end">
                <w:numberingChange w:id="103" w:author="MUSZYNSKI, THOMAS D. (SIERRA 7 INC)" w:date="2024-11-26T07:15:00Z" w:original="0."/>
              </w:fldChar>
            </w:r>
            <w:r>
              <w:rPr>
                <w:vanish/>
                <w:szCs w:val="18"/>
              </w:rPr>
              <w:t xml:space="preserve"> </w:t>
            </w:r>
          </w:p>
        </w:tc>
        <w:tc>
          <w:tcPr>
            <w:tcW w:w="6138" w:type="dxa"/>
          </w:tcPr>
          <w:p w14:paraId="658FCB7C" w14:textId="77777777" w:rsidR="00650B86" w:rsidRDefault="00650B86" w:rsidP="00CC1BC3">
            <w:pPr>
              <w:pStyle w:val="TableTextBullet"/>
            </w:pPr>
            <w:r>
              <w:t>Displays the VistALink dependent option.</w:t>
            </w:r>
          </w:p>
        </w:tc>
      </w:tr>
    </w:tbl>
    <w:p w14:paraId="0116F110" w14:textId="0702119C" w:rsidR="008C616F" w:rsidRDefault="008C616F" w:rsidP="008C616F">
      <w:pPr>
        <w:pStyle w:val="Caption"/>
      </w:pPr>
      <w:bookmarkStart w:id="104" w:name="_Ref470094912"/>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7D1829">
        <w:rPr>
          <w:noProof/>
        </w:rPr>
        <w:t>17</w:t>
      </w:r>
      <w:r w:rsidR="004E20BD">
        <w:rPr>
          <w:noProof/>
        </w:rPr>
        <w:fldChar w:fldCharType="end"/>
      </w:r>
      <w:bookmarkEnd w:id="104"/>
      <w:r>
        <w:t>: Restore VistA Connection</w:t>
      </w:r>
    </w:p>
    <w:p w14:paraId="682AB69F" w14:textId="77777777" w:rsidR="008C616F" w:rsidRPr="008C616F" w:rsidRDefault="00057948" w:rsidP="008C616F">
      <w:pPr>
        <w:pStyle w:val="BodyText"/>
      </w:pPr>
      <w:r>
        <w:rPr>
          <w:noProof/>
        </w:rPr>
        <w:drawing>
          <wp:inline distT="0" distB="0" distL="0" distR="0" wp14:anchorId="50950B4B" wp14:editId="22DD09DF">
            <wp:extent cx="4137660" cy="1995170"/>
            <wp:effectExtent l="0" t="0" r="0" b="5080"/>
            <wp:docPr id="54" name="Picture 16" descr="Example of VistALink Connection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16" descr="Example of VistALink Connection screen capture"/>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4137660" cy="1995170"/>
                    </a:xfrm>
                    <a:prstGeom prst="rect">
                      <a:avLst/>
                    </a:prstGeom>
                    <a:noFill/>
                    <a:ln>
                      <a:noFill/>
                    </a:ln>
                  </pic:spPr>
                </pic:pic>
              </a:graphicData>
            </a:graphic>
          </wp:inline>
        </w:drawing>
      </w:r>
    </w:p>
    <w:p w14:paraId="49ACDA5D" w14:textId="54CAA2FC" w:rsidR="00A63649" w:rsidRDefault="004A48EB" w:rsidP="006B317D">
      <w:pPr>
        <w:pStyle w:val="Heading3"/>
      </w:pPr>
      <w:bookmarkStart w:id="105" w:name="_Toc203765835"/>
      <w:r>
        <w:t xml:space="preserve">Closing </w:t>
      </w:r>
      <w:r w:rsidR="00A63649">
        <w:t>VBECS</w:t>
      </w:r>
      <w:bookmarkEnd w:id="105"/>
    </w:p>
    <w:p w14:paraId="3D4FFB00" w14:textId="2F430489" w:rsidR="00236053" w:rsidRDefault="00236053" w:rsidP="006B317D">
      <w:pPr>
        <w:pStyle w:val="BodyText"/>
        <w:keepNext/>
        <w:spacing w:before="0" w:after="0"/>
      </w:pPr>
      <w:r>
        <w:t xml:space="preserve">There are three terms used to describe </w:t>
      </w:r>
      <w:r w:rsidR="00D27B33">
        <w:t>leaving the application and/or the application server:</w:t>
      </w:r>
    </w:p>
    <w:p w14:paraId="53F8275F" w14:textId="1D189C6B" w:rsidR="00D27B33" w:rsidRDefault="00D27B33" w:rsidP="00463A66">
      <w:pPr>
        <w:pStyle w:val="BodyText"/>
        <w:numPr>
          <w:ilvl w:val="0"/>
          <w:numId w:val="85"/>
        </w:numPr>
        <w:spacing w:before="0" w:after="0"/>
      </w:pPr>
      <w:r w:rsidRPr="00B54D54">
        <w:rPr>
          <w:b/>
          <w:bCs/>
        </w:rPr>
        <w:t>Exit VBECS</w:t>
      </w:r>
      <w:r>
        <w:t xml:space="preserve">: This action is to </w:t>
      </w:r>
      <w:r w:rsidR="00D63C08">
        <w:t xml:space="preserve">close </w:t>
      </w:r>
      <w:r>
        <w:t>the VBECS application</w:t>
      </w:r>
      <w:r w:rsidR="00B96599">
        <w:t xml:space="preserve">. </w:t>
      </w:r>
      <w:r w:rsidR="00057549">
        <w:t>The server connection is unaffected, and the server session continues.</w:t>
      </w:r>
    </w:p>
    <w:p w14:paraId="6A85C615" w14:textId="5E71FBCD" w:rsidR="00D27B33" w:rsidRDefault="000E7BC3" w:rsidP="00463A66">
      <w:pPr>
        <w:pStyle w:val="BodyText"/>
        <w:numPr>
          <w:ilvl w:val="0"/>
          <w:numId w:val="85"/>
        </w:numPr>
        <w:spacing w:before="0" w:after="0"/>
      </w:pPr>
      <w:r w:rsidRPr="00B54D54">
        <w:rPr>
          <w:b/>
          <w:bCs/>
        </w:rPr>
        <w:t>Sign Out</w:t>
      </w:r>
      <w:r>
        <w:t>: This action is to close the connection to the application server</w:t>
      </w:r>
      <w:r w:rsidR="0012595E">
        <w:t xml:space="preserve"> and </w:t>
      </w:r>
      <w:r w:rsidR="0063237F">
        <w:t>end the server session. Any applications that were running in the server session are closed.</w:t>
      </w:r>
    </w:p>
    <w:p w14:paraId="6DD1ECFD" w14:textId="44F9DB5A" w:rsidR="000E7BC3" w:rsidRDefault="000E7BC3" w:rsidP="00463A66">
      <w:pPr>
        <w:pStyle w:val="BodyText"/>
        <w:numPr>
          <w:ilvl w:val="0"/>
          <w:numId w:val="85"/>
        </w:numPr>
        <w:spacing w:before="0" w:after="0"/>
      </w:pPr>
      <w:r w:rsidRPr="00B54D54">
        <w:rPr>
          <w:b/>
          <w:bCs/>
        </w:rPr>
        <w:t>Disconnect</w:t>
      </w:r>
      <w:r>
        <w:t xml:space="preserve">: This action is to </w:t>
      </w:r>
      <w:r w:rsidR="00734377">
        <w:t>close the connection to the application server but le</w:t>
      </w:r>
      <w:r w:rsidR="00294238">
        <w:t>ave the server session (and any applications in the session) running.</w:t>
      </w:r>
    </w:p>
    <w:p w14:paraId="089E6377" w14:textId="614062BE" w:rsidR="001615A5" w:rsidRDefault="00374EA9" w:rsidP="001615A5">
      <w:pPr>
        <w:pStyle w:val="Heading4"/>
      </w:pPr>
      <w:r>
        <w:lastRenderedPageBreak/>
        <w:t>Exit</w:t>
      </w:r>
      <w:r w:rsidR="001615A5">
        <w:t xml:space="preserve"> </w:t>
      </w:r>
      <w:r w:rsidR="00A55BC7">
        <w:t xml:space="preserve">VBECS </w:t>
      </w: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05"/>
        <w:gridCol w:w="5963"/>
      </w:tblGrid>
      <w:tr w:rsidR="001615A5" w14:paraId="2157BE9A" w14:textId="77777777" w:rsidTr="007E3EE1">
        <w:trPr>
          <w:tblHeader/>
        </w:trPr>
        <w:tc>
          <w:tcPr>
            <w:tcW w:w="3505" w:type="dxa"/>
            <w:shd w:val="pct30" w:color="auto" w:fill="FFFFFF"/>
            <w:vAlign w:val="bottom"/>
          </w:tcPr>
          <w:p w14:paraId="3F5A86D3" w14:textId="77777777" w:rsidR="001615A5" w:rsidRDefault="001615A5" w:rsidP="0065349F">
            <w:pPr>
              <w:pStyle w:val="TableText"/>
              <w:rPr>
                <w:b/>
              </w:rPr>
            </w:pPr>
            <w:r>
              <w:rPr>
                <w:b/>
              </w:rPr>
              <w:t>User Action</w:t>
            </w:r>
          </w:p>
        </w:tc>
        <w:tc>
          <w:tcPr>
            <w:tcW w:w="5963" w:type="dxa"/>
            <w:shd w:val="pct30" w:color="auto" w:fill="FFFFFF"/>
            <w:vAlign w:val="bottom"/>
          </w:tcPr>
          <w:p w14:paraId="0EF32825" w14:textId="77777777" w:rsidR="001615A5" w:rsidRDefault="001615A5" w:rsidP="0065349F">
            <w:pPr>
              <w:pStyle w:val="TableText"/>
              <w:rPr>
                <w:b/>
              </w:rPr>
            </w:pPr>
            <w:r>
              <w:rPr>
                <w:b/>
              </w:rPr>
              <w:t>VBECS</w:t>
            </w:r>
          </w:p>
        </w:tc>
      </w:tr>
      <w:tr w:rsidR="001615A5" w14:paraId="7ED55032" w14:textId="77777777" w:rsidTr="007E3EE1">
        <w:tc>
          <w:tcPr>
            <w:tcW w:w="3505" w:type="dxa"/>
          </w:tcPr>
          <w:p w14:paraId="3E37E566" w14:textId="4DE9034E" w:rsidR="001615A5" w:rsidRDefault="0015006E" w:rsidP="0065349F">
            <w:pPr>
              <w:pStyle w:val="TableTextNumbers"/>
            </w:pPr>
            <w:r>
              <w:t>To close the VBECS application, either:</w:t>
            </w:r>
          </w:p>
          <w:p w14:paraId="7F30A55E" w14:textId="77777777" w:rsidR="00EF4212" w:rsidRDefault="00EF4212" w:rsidP="00EF4212">
            <w:pPr>
              <w:pStyle w:val="TableTextNumbers"/>
              <w:numPr>
                <w:ilvl w:val="0"/>
                <w:numId w:val="0"/>
              </w:numPr>
              <w:ind w:left="288"/>
            </w:pPr>
          </w:p>
          <w:p w14:paraId="4F3775CB" w14:textId="168267B4" w:rsidR="0015006E" w:rsidRDefault="009848A6" w:rsidP="00EF4212">
            <w:pPr>
              <w:pStyle w:val="TableTextNumbers"/>
              <w:numPr>
                <w:ilvl w:val="0"/>
                <w:numId w:val="0"/>
              </w:numPr>
              <w:ind w:left="288"/>
            </w:pPr>
            <w:r>
              <w:t xml:space="preserve">Select </w:t>
            </w:r>
            <w:r w:rsidR="0015006E" w:rsidRPr="00823973">
              <w:rPr>
                <w:b/>
                <w:bCs/>
              </w:rPr>
              <w:t>File</w:t>
            </w:r>
            <w:r w:rsidR="00823973">
              <w:t>.</w:t>
            </w:r>
          </w:p>
          <w:p w14:paraId="49C0EEF3" w14:textId="485C9D2D" w:rsidR="009848A6" w:rsidRDefault="009848A6" w:rsidP="00EF4212">
            <w:pPr>
              <w:pStyle w:val="TableTextNumbers"/>
              <w:numPr>
                <w:ilvl w:val="0"/>
                <w:numId w:val="0"/>
              </w:numPr>
              <w:ind w:left="288"/>
            </w:pPr>
            <w:r>
              <w:t xml:space="preserve">Select </w:t>
            </w:r>
            <w:r w:rsidRPr="00823973">
              <w:rPr>
                <w:b/>
                <w:bCs/>
              </w:rPr>
              <w:t>Exit VBECS</w:t>
            </w:r>
            <w:r>
              <w:t>.</w:t>
            </w:r>
          </w:p>
          <w:p w14:paraId="5AFB7C3B" w14:textId="77777777" w:rsidR="00EF4212" w:rsidRDefault="00EF4212" w:rsidP="009848A6">
            <w:pPr>
              <w:pStyle w:val="TableTextNumbers"/>
              <w:numPr>
                <w:ilvl w:val="0"/>
                <w:numId w:val="0"/>
              </w:numPr>
              <w:ind w:left="288" w:hanging="288"/>
            </w:pPr>
          </w:p>
          <w:p w14:paraId="2406AA41" w14:textId="084505C8" w:rsidR="009848A6" w:rsidRDefault="009848A6" w:rsidP="009848A6">
            <w:pPr>
              <w:pStyle w:val="TableTextNumbers"/>
              <w:numPr>
                <w:ilvl w:val="0"/>
                <w:numId w:val="0"/>
              </w:numPr>
              <w:ind w:left="288" w:hanging="288"/>
            </w:pPr>
            <w:r>
              <w:t>OR</w:t>
            </w:r>
          </w:p>
          <w:p w14:paraId="149E0289" w14:textId="0CD40E20" w:rsidR="009848A6" w:rsidRDefault="009848A6" w:rsidP="009848A6">
            <w:pPr>
              <w:pStyle w:val="TableTextNumbers"/>
              <w:numPr>
                <w:ilvl w:val="0"/>
                <w:numId w:val="0"/>
              </w:numPr>
              <w:ind w:left="288" w:hanging="288"/>
            </w:pPr>
          </w:p>
          <w:p w14:paraId="1F1903FB" w14:textId="77233ED5" w:rsidR="00D91621" w:rsidRDefault="009848A6" w:rsidP="00823973">
            <w:pPr>
              <w:pStyle w:val="TableTextNumbers"/>
              <w:numPr>
                <w:ilvl w:val="0"/>
                <w:numId w:val="0"/>
              </w:numPr>
              <w:ind w:left="288"/>
            </w:pPr>
            <w:r>
              <w:t xml:space="preserve">In the top right corner of the VBECS application, click the </w:t>
            </w:r>
            <w:r w:rsidRPr="00823973">
              <w:rPr>
                <w:b/>
                <w:bCs/>
              </w:rPr>
              <w:t>X</w:t>
            </w:r>
            <w:r w:rsidR="00A718C8">
              <w:t xml:space="preserve"> to close the application window</w:t>
            </w:r>
            <w:r w:rsidR="00D91621">
              <w:t>.</w:t>
            </w:r>
            <w:r w:rsidR="00D91621">
              <w:rPr>
                <w:noProof/>
              </w:rPr>
              <w:drawing>
                <wp:inline distT="0" distB="0" distL="0" distR="0" wp14:anchorId="13EB0746" wp14:editId="7973A548">
                  <wp:extent cx="1162861" cy="457200"/>
                  <wp:effectExtent l="0" t="0" r="0" b="0"/>
                  <wp:docPr id="192" name="Picture 192" descr="Example of VBECS close option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Picture 192" descr="Example of VBECS close option screen capture"/>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162861" cy="457200"/>
                          </a:xfrm>
                          <a:prstGeom prst="rect">
                            <a:avLst/>
                          </a:prstGeom>
                          <a:noFill/>
                          <a:ln>
                            <a:noFill/>
                          </a:ln>
                        </pic:spPr>
                      </pic:pic>
                    </a:graphicData>
                  </a:graphic>
                </wp:inline>
              </w:drawing>
            </w:r>
          </w:p>
          <w:p w14:paraId="44C22A1D" w14:textId="67D676EB" w:rsidR="00A15FF4" w:rsidRDefault="00A15FF4" w:rsidP="009848A6">
            <w:pPr>
              <w:pStyle w:val="TableTextNumbers"/>
              <w:numPr>
                <w:ilvl w:val="0"/>
                <w:numId w:val="0"/>
              </w:numPr>
              <w:ind w:left="288" w:hanging="288"/>
            </w:pPr>
          </w:p>
          <w:p w14:paraId="299D1427" w14:textId="4C988B9E" w:rsidR="00A15FF4" w:rsidRDefault="00A15FF4" w:rsidP="009848A6">
            <w:pPr>
              <w:pStyle w:val="TableTextNumbers"/>
              <w:numPr>
                <w:ilvl w:val="0"/>
                <w:numId w:val="0"/>
              </w:numPr>
              <w:ind w:left="288" w:hanging="288"/>
            </w:pPr>
            <w:r>
              <w:t>OR</w:t>
            </w:r>
          </w:p>
          <w:p w14:paraId="133114B4" w14:textId="5CF3EADF" w:rsidR="00A15FF4" w:rsidRDefault="00A15FF4" w:rsidP="009848A6">
            <w:pPr>
              <w:pStyle w:val="TableTextNumbers"/>
              <w:numPr>
                <w:ilvl w:val="0"/>
                <w:numId w:val="0"/>
              </w:numPr>
              <w:ind w:left="288" w:hanging="288"/>
            </w:pPr>
          </w:p>
          <w:p w14:paraId="148650AB" w14:textId="66B3B8C0" w:rsidR="00A15FF4" w:rsidRDefault="00A15FF4" w:rsidP="00823973">
            <w:pPr>
              <w:pStyle w:val="TableTextNumbers"/>
              <w:numPr>
                <w:ilvl w:val="0"/>
                <w:numId w:val="0"/>
              </w:numPr>
              <w:ind w:left="288"/>
            </w:pPr>
            <w:r>
              <w:t xml:space="preserve">Press </w:t>
            </w:r>
            <w:r w:rsidRPr="00823973">
              <w:rPr>
                <w:b/>
                <w:bCs/>
              </w:rPr>
              <w:t>Alt</w:t>
            </w:r>
            <w:r w:rsidR="00DE03AF" w:rsidRPr="00823973">
              <w:rPr>
                <w:b/>
                <w:bCs/>
              </w:rPr>
              <w:t>+</w:t>
            </w:r>
            <w:r w:rsidRPr="00823973">
              <w:rPr>
                <w:b/>
                <w:bCs/>
              </w:rPr>
              <w:t>F4</w:t>
            </w:r>
            <w:r w:rsidR="00823973" w:rsidRPr="00823973">
              <w:t>.</w:t>
            </w:r>
          </w:p>
          <w:p w14:paraId="207986E7" w14:textId="77777777" w:rsidR="00B32BF6" w:rsidRDefault="00B32BF6" w:rsidP="00EF4212">
            <w:pPr>
              <w:pStyle w:val="TableTextNumbers"/>
              <w:numPr>
                <w:ilvl w:val="0"/>
                <w:numId w:val="0"/>
              </w:numPr>
              <w:ind w:left="288"/>
            </w:pPr>
          </w:p>
          <w:p w14:paraId="1156EB9E" w14:textId="77777777" w:rsidR="007E3EE1" w:rsidRDefault="007E3EE1" w:rsidP="00823973">
            <w:pPr>
              <w:pStyle w:val="TableTextNumbers"/>
              <w:numPr>
                <w:ilvl w:val="0"/>
                <w:numId w:val="0"/>
              </w:numPr>
              <w:ind w:left="288"/>
            </w:pPr>
          </w:p>
          <w:p w14:paraId="19E5EFB0" w14:textId="41C59349" w:rsidR="001615A5" w:rsidRDefault="000607CC" w:rsidP="00823973">
            <w:pPr>
              <w:pStyle w:val="TableTextNumbers"/>
              <w:numPr>
                <w:ilvl w:val="0"/>
                <w:numId w:val="0"/>
              </w:numPr>
              <w:ind w:left="288"/>
            </w:pPr>
            <w:r>
              <w:t>VBECS will prompt you to confirm you would like to close the application.</w:t>
            </w:r>
          </w:p>
        </w:tc>
        <w:tc>
          <w:tcPr>
            <w:tcW w:w="5963" w:type="dxa"/>
          </w:tcPr>
          <w:p w14:paraId="2528DF99" w14:textId="5517BEE9" w:rsidR="001615A5" w:rsidRPr="00374EA9" w:rsidRDefault="009625A8" w:rsidP="0065349F">
            <w:pPr>
              <w:pStyle w:val="TableTextBullet"/>
              <w:rPr>
                <w:b/>
                <w:bCs/>
                <w:szCs w:val="18"/>
              </w:rPr>
            </w:pPr>
            <w:r>
              <w:t xml:space="preserve">The user </w:t>
            </w:r>
            <w:r w:rsidR="004D0A70">
              <w:t>is</w:t>
            </w:r>
            <w:r>
              <w:t xml:space="preserve"> </w:t>
            </w:r>
            <w:r w:rsidR="00AC123F">
              <w:t xml:space="preserve">closed </w:t>
            </w:r>
            <w:r w:rsidR="00DD077F">
              <w:t>out of VBECS</w:t>
            </w:r>
            <w:r w:rsidR="001615A5">
              <w:t>.</w:t>
            </w:r>
          </w:p>
          <w:p w14:paraId="0999F1F6" w14:textId="7B14733E" w:rsidR="00374EA9" w:rsidRPr="00EF4212" w:rsidRDefault="00374EA9" w:rsidP="0065349F">
            <w:pPr>
              <w:pStyle w:val="TableTextBullet"/>
              <w:rPr>
                <w:b/>
                <w:bCs/>
                <w:szCs w:val="18"/>
              </w:rPr>
            </w:pPr>
            <w:r>
              <w:t>The user remains connected to the application server.</w:t>
            </w:r>
          </w:p>
          <w:p w14:paraId="4BBCEFE1" w14:textId="7FD92F59" w:rsidR="00EF4212" w:rsidRPr="002E1917" w:rsidRDefault="00374EA9" w:rsidP="0065349F">
            <w:pPr>
              <w:pStyle w:val="TableTextBullet"/>
              <w:rPr>
                <w:b/>
                <w:bCs/>
                <w:szCs w:val="18"/>
              </w:rPr>
            </w:pPr>
            <w:r>
              <w:t>The</w:t>
            </w:r>
            <w:r w:rsidR="00DE03AF">
              <w:t xml:space="preserve"> user’s</w:t>
            </w:r>
            <w:r>
              <w:t xml:space="preserve"> application server session remains open</w:t>
            </w:r>
            <w:r w:rsidR="00DE03AF">
              <w:t>/active</w:t>
            </w:r>
            <w:r>
              <w:t>.</w:t>
            </w:r>
          </w:p>
          <w:p w14:paraId="2C16B974" w14:textId="77777777" w:rsidR="002E1917" w:rsidRPr="00440657" w:rsidRDefault="002E1917" w:rsidP="002E1917">
            <w:pPr>
              <w:pStyle w:val="NotesText"/>
              <w:rPr>
                <w:b/>
                <w:bCs/>
                <w:szCs w:val="18"/>
              </w:rPr>
            </w:pPr>
          </w:p>
        </w:tc>
      </w:tr>
    </w:tbl>
    <w:p w14:paraId="3DE4F0D9" w14:textId="13674D8D" w:rsidR="00A63864" w:rsidRDefault="00A63864" w:rsidP="00922A50">
      <w:pPr>
        <w:pStyle w:val="Heading4"/>
      </w:pPr>
      <w:r>
        <w:t>Sign Out</w:t>
      </w: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05"/>
        <w:gridCol w:w="5963"/>
      </w:tblGrid>
      <w:tr w:rsidR="00922A50" w14:paraId="53925B33" w14:textId="77777777" w:rsidTr="004F5DD2">
        <w:trPr>
          <w:tblHeader/>
        </w:trPr>
        <w:tc>
          <w:tcPr>
            <w:tcW w:w="3505" w:type="dxa"/>
            <w:shd w:val="pct30" w:color="auto" w:fill="FFFFFF"/>
            <w:vAlign w:val="bottom"/>
          </w:tcPr>
          <w:p w14:paraId="2BD8E704" w14:textId="77777777" w:rsidR="00922A50" w:rsidRDefault="00922A50" w:rsidP="004F5DD2">
            <w:pPr>
              <w:pStyle w:val="TableText"/>
              <w:rPr>
                <w:b/>
              </w:rPr>
            </w:pPr>
            <w:r>
              <w:rPr>
                <w:b/>
              </w:rPr>
              <w:t>User Action</w:t>
            </w:r>
          </w:p>
        </w:tc>
        <w:tc>
          <w:tcPr>
            <w:tcW w:w="5963" w:type="dxa"/>
            <w:shd w:val="pct30" w:color="auto" w:fill="FFFFFF"/>
            <w:vAlign w:val="bottom"/>
          </w:tcPr>
          <w:p w14:paraId="3B23481D" w14:textId="77777777" w:rsidR="00922A50" w:rsidRDefault="00922A50" w:rsidP="004F5DD2">
            <w:pPr>
              <w:pStyle w:val="TableText"/>
              <w:rPr>
                <w:b/>
              </w:rPr>
            </w:pPr>
            <w:r>
              <w:rPr>
                <w:b/>
              </w:rPr>
              <w:t>VBECS</w:t>
            </w:r>
          </w:p>
        </w:tc>
      </w:tr>
      <w:tr w:rsidR="001615A5" w14:paraId="62D8E03C" w14:textId="77777777" w:rsidTr="007E3EE1">
        <w:tc>
          <w:tcPr>
            <w:tcW w:w="3505" w:type="dxa"/>
          </w:tcPr>
          <w:p w14:paraId="22F59118" w14:textId="4BC74672" w:rsidR="00D91621" w:rsidRDefault="001964E3" w:rsidP="00463A66">
            <w:pPr>
              <w:pStyle w:val="TableTextNumbers"/>
              <w:numPr>
                <w:ilvl w:val="0"/>
                <w:numId w:val="86"/>
              </w:numPr>
            </w:pPr>
            <w:r>
              <w:t xml:space="preserve">On the application server’s desktop, in the top left corner, </w:t>
            </w:r>
            <w:r w:rsidR="00DA0FEB">
              <w:t>double-</w:t>
            </w:r>
            <w:r>
              <w:t xml:space="preserve">click </w:t>
            </w:r>
            <w:r w:rsidRPr="00823973">
              <w:rPr>
                <w:b/>
                <w:bCs/>
              </w:rPr>
              <w:t>Sign Out</w:t>
            </w:r>
            <w:r w:rsidR="00D91621">
              <w:t>.</w:t>
            </w:r>
          </w:p>
          <w:p w14:paraId="5872876F" w14:textId="07856162" w:rsidR="001615A5" w:rsidRDefault="00D3749E" w:rsidP="00D91621">
            <w:pPr>
              <w:pStyle w:val="TableTextNumbers"/>
              <w:numPr>
                <w:ilvl w:val="0"/>
                <w:numId w:val="0"/>
              </w:numPr>
              <w:ind w:left="288"/>
            </w:pPr>
            <w:r>
              <w:rPr>
                <w:noProof/>
              </w:rPr>
              <w:drawing>
                <wp:inline distT="0" distB="0" distL="0" distR="0" wp14:anchorId="708C16B8" wp14:editId="63950C14">
                  <wp:extent cx="432212" cy="457200"/>
                  <wp:effectExtent l="0" t="0" r="6350" b="0"/>
                  <wp:docPr id="191" name="Picture 191" descr="Example of Sign Out icon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Picture 191" descr="Example of Sign Out icon screen capture"/>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432212" cy="457200"/>
                          </a:xfrm>
                          <a:prstGeom prst="rect">
                            <a:avLst/>
                          </a:prstGeom>
                          <a:noFill/>
                          <a:ln>
                            <a:noFill/>
                          </a:ln>
                        </pic:spPr>
                      </pic:pic>
                    </a:graphicData>
                  </a:graphic>
                </wp:inline>
              </w:drawing>
            </w:r>
          </w:p>
          <w:p w14:paraId="3CC299E5" w14:textId="77777777" w:rsidR="001615A5" w:rsidRDefault="001615A5" w:rsidP="001964E3">
            <w:pPr>
              <w:pStyle w:val="TableTextNumbers"/>
              <w:numPr>
                <w:ilvl w:val="0"/>
                <w:numId w:val="0"/>
              </w:numPr>
              <w:ind w:left="288" w:hanging="288"/>
            </w:pPr>
          </w:p>
          <w:p w14:paraId="65E92F15" w14:textId="5E3F2F7E" w:rsidR="00AC123F" w:rsidRPr="00AC123F" w:rsidRDefault="00AC123F" w:rsidP="00AC123F">
            <w:pPr>
              <w:pStyle w:val="TableTextNumbersContinued"/>
            </w:pPr>
            <w:r>
              <w:t xml:space="preserve">If VBECS was running with unsaved changes, the server will protect you against data loss by presenting </w:t>
            </w:r>
            <w:r w:rsidR="00EE455E">
              <w:t xml:space="preserve">Figure </w:t>
            </w:r>
            <w:r w:rsidR="00EE455E">
              <w:rPr>
                <w:noProof/>
              </w:rPr>
              <w:t>18</w:t>
            </w:r>
            <w:r>
              <w:t xml:space="preserve">. Click </w:t>
            </w:r>
            <w:r>
              <w:rPr>
                <w:b/>
                <w:bCs/>
              </w:rPr>
              <w:t>Sign out anyway</w:t>
            </w:r>
            <w:r>
              <w:t xml:space="preserve"> to proceed with signing out.</w:t>
            </w:r>
          </w:p>
          <w:p w14:paraId="3DC028F2" w14:textId="77777777" w:rsidR="00AC123F" w:rsidRDefault="00AC123F" w:rsidP="00AC123F">
            <w:pPr>
              <w:pStyle w:val="TableTextNumbersContinued"/>
            </w:pPr>
          </w:p>
          <w:p w14:paraId="1096C79A" w14:textId="0FEFB079" w:rsidR="001615A5" w:rsidRDefault="00AC123F" w:rsidP="00AC123F">
            <w:pPr>
              <w:pStyle w:val="TableTextNumbersContinued"/>
            </w:pPr>
            <w:r>
              <w:t>If you have not responded within 30 seconds, the message will disappear and the sign out process is automatically canceled.</w:t>
            </w:r>
          </w:p>
        </w:tc>
        <w:tc>
          <w:tcPr>
            <w:tcW w:w="5963" w:type="dxa"/>
          </w:tcPr>
          <w:p w14:paraId="6634C1E4" w14:textId="77777777" w:rsidR="00AC123F" w:rsidRPr="00374EA9" w:rsidRDefault="00AC123F" w:rsidP="00AC123F">
            <w:pPr>
              <w:pStyle w:val="TableTextBullet"/>
              <w:rPr>
                <w:b/>
                <w:bCs/>
                <w:szCs w:val="18"/>
              </w:rPr>
            </w:pPr>
            <w:r>
              <w:t>The user is closed out of VBECS.</w:t>
            </w:r>
          </w:p>
          <w:p w14:paraId="10FF3407" w14:textId="36EFB76D" w:rsidR="00AC123F" w:rsidRPr="00EF4212" w:rsidRDefault="00AC123F" w:rsidP="00AC123F">
            <w:pPr>
              <w:pStyle w:val="TableTextBullet"/>
              <w:rPr>
                <w:b/>
                <w:bCs/>
                <w:szCs w:val="18"/>
              </w:rPr>
            </w:pPr>
            <w:r>
              <w:t>The user is disconnected from the application server.</w:t>
            </w:r>
          </w:p>
          <w:p w14:paraId="17B7021D" w14:textId="4A077576" w:rsidR="001615A5" w:rsidRPr="00AC123F" w:rsidRDefault="00AC123F" w:rsidP="00AC123F">
            <w:pPr>
              <w:pStyle w:val="TableTextBullet"/>
              <w:rPr>
                <w:b/>
                <w:bCs/>
                <w:szCs w:val="18"/>
              </w:rPr>
            </w:pPr>
            <w:r>
              <w:t xml:space="preserve">The </w:t>
            </w:r>
            <w:r w:rsidR="00B168CE">
              <w:t xml:space="preserve">user’s </w:t>
            </w:r>
            <w:r>
              <w:t>application server session is closed</w:t>
            </w:r>
            <w:r w:rsidR="00B168CE">
              <w:t>/ends</w:t>
            </w:r>
            <w:r>
              <w:t>.</w:t>
            </w:r>
          </w:p>
        </w:tc>
      </w:tr>
    </w:tbl>
    <w:p w14:paraId="7A8598E5" w14:textId="1546562E" w:rsidR="00792CD6" w:rsidRDefault="00E504C7" w:rsidP="00E504C7">
      <w:pPr>
        <w:pStyle w:val="Caption"/>
      </w:pPr>
      <w:bookmarkStart w:id="106" w:name="_Ref125620874"/>
      <w:bookmarkStart w:id="107" w:name="_Ref82413624"/>
      <w:r>
        <w:lastRenderedPageBreak/>
        <w:t xml:space="preserve">Figure </w:t>
      </w:r>
      <w:r w:rsidR="00901D8F">
        <w:fldChar w:fldCharType="begin"/>
      </w:r>
      <w:r w:rsidR="00901D8F">
        <w:instrText xml:space="preserve"> SEQ Figure \* ARABIC </w:instrText>
      </w:r>
      <w:r w:rsidR="00901D8F">
        <w:fldChar w:fldCharType="separate"/>
      </w:r>
      <w:r w:rsidR="007D1829">
        <w:rPr>
          <w:noProof/>
        </w:rPr>
        <w:t>18</w:t>
      </w:r>
      <w:r w:rsidR="00901D8F">
        <w:rPr>
          <w:noProof/>
        </w:rPr>
        <w:fldChar w:fldCharType="end"/>
      </w:r>
      <w:bookmarkEnd w:id="106"/>
      <w:r>
        <w:t>: Example of Sign Out Preventing VBECS Data Loss</w:t>
      </w:r>
      <w:bookmarkEnd w:id="107"/>
    </w:p>
    <w:p w14:paraId="70DF6645" w14:textId="4361F027" w:rsidR="00792CD6" w:rsidRDefault="00792CD6" w:rsidP="00792CD6">
      <w:r>
        <w:rPr>
          <w:noProof/>
        </w:rPr>
        <w:drawing>
          <wp:inline distT="0" distB="0" distL="0" distR="0" wp14:anchorId="2B306453" wp14:editId="66075C04">
            <wp:extent cx="4831080" cy="2579370"/>
            <wp:effectExtent l="0" t="0" r="7620" b="0"/>
            <wp:docPr id="181" name="Picture 181" descr="Example of Sign Out Preventing VBECS Data Loss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Example of Sign Out Preventing VBECS Data Loss screen capture"/>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4831080" cy="2579370"/>
                    </a:xfrm>
                    <a:prstGeom prst="rect">
                      <a:avLst/>
                    </a:prstGeom>
                    <a:noFill/>
                    <a:ln>
                      <a:noFill/>
                    </a:ln>
                  </pic:spPr>
                </pic:pic>
              </a:graphicData>
            </a:graphic>
          </wp:inline>
        </w:drawing>
      </w:r>
    </w:p>
    <w:p w14:paraId="3552C639" w14:textId="2E488C7F" w:rsidR="004A48EB" w:rsidRDefault="004A48EB" w:rsidP="006B317D">
      <w:pPr>
        <w:pStyle w:val="Heading4"/>
      </w:pPr>
      <w:r>
        <w:t>Disconnect</w:t>
      </w:r>
    </w:p>
    <w:p w14:paraId="3042A626" w14:textId="7246D7D8" w:rsidR="00DF0A1D" w:rsidRDefault="00DF0A1D" w:rsidP="006B317D">
      <w:pPr>
        <w:keepNext/>
        <w:rPr>
          <w:spacing w:val="-5"/>
          <w:sz w:val="22"/>
          <w:szCs w:val="22"/>
        </w:rPr>
      </w:pPr>
      <w:r w:rsidRPr="00AC7CC7">
        <w:rPr>
          <w:spacing w:val="-5"/>
          <w:sz w:val="22"/>
          <w:szCs w:val="22"/>
        </w:rPr>
        <w:t xml:space="preserve">Refer to the Remote Desktop section of the </w:t>
      </w:r>
      <w:r w:rsidRPr="00AC7CC7">
        <w:rPr>
          <w:i/>
          <w:iCs/>
          <w:spacing w:val="-5"/>
          <w:sz w:val="22"/>
          <w:szCs w:val="22"/>
        </w:rPr>
        <w:t>VBECS Technical Manual Security Guide</w:t>
      </w:r>
      <w:r w:rsidRPr="00AC7CC7">
        <w:rPr>
          <w:spacing w:val="-5"/>
          <w:sz w:val="22"/>
          <w:szCs w:val="22"/>
        </w:rPr>
        <w:t xml:space="preserve"> to learn more</w:t>
      </w:r>
      <w:r w:rsidR="00A07998">
        <w:rPr>
          <w:spacing w:val="-5"/>
          <w:sz w:val="22"/>
          <w:szCs w:val="22"/>
        </w:rPr>
        <w:t xml:space="preserve"> a</w:t>
      </w:r>
      <w:r w:rsidR="00F17E22">
        <w:rPr>
          <w:spacing w:val="-5"/>
          <w:sz w:val="22"/>
          <w:szCs w:val="22"/>
        </w:rPr>
        <w:t>bout remote desktop behavior.</w:t>
      </w:r>
    </w:p>
    <w:p w14:paraId="21B68631" w14:textId="77777777" w:rsidR="00E504C7" w:rsidRPr="00DF0A1D" w:rsidRDefault="00E504C7" w:rsidP="006B317D">
      <w:pPr>
        <w:keepNext/>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05"/>
        <w:gridCol w:w="5963"/>
      </w:tblGrid>
      <w:tr w:rsidR="004A48EB" w14:paraId="2C23FFC8" w14:textId="77777777" w:rsidTr="006B317D">
        <w:trPr>
          <w:cantSplit/>
          <w:tblHeader/>
        </w:trPr>
        <w:tc>
          <w:tcPr>
            <w:tcW w:w="3505" w:type="dxa"/>
            <w:shd w:val="pct30" w:color="auto" w:fill="FFFFFF"/>
            <w:vAlign w:val="bottom"/>
          </w:tcPr>
          <w:p w14:paraId="438B51DF" w14:textId="77777777" w:rsidR="004A48EB" w:rsidRDefault="004A48EB" w:rsidP="006B317D">
            <w:pPr>
              <w:pStyle w:val="TableText"/>
              <w:keepNext/>
              <w:rPr>
                <w:b/>
              </w:rPr>
            </w:pPr>
            <w:r>
              <w:rPr>
                <w:b/>
              </w:rPr>
              <w:t>User Action</w:t>
            </w:r>
          </w:p>
        </w:tc>
        <w:tc>
          <w:tcPr>
            <w:tcW w:w="5963" w:type="dxa"/>
            <w:shd w:val="pct30" w:color="auto" w:fill="FFFFFF"/>
            <w:vAlign w:val="bottom"/>
          </w:tcPr>
          <w:p w14:paraId="52D0B7B2" w14:textId="77777777" w:rsidR="004A48EB" w:rsidRDefault="004A48EB" w:rsidP="006B317D">
            <w:pPr>
              <w:pStyle w:val="TableText"/>
              <w:keepNext/>
              <w:rPr>
                <w:b/>
              </w:rPr>
            </w:pPr>
            <w:r>
              <w:rPr>
                <w:b/>
              </w:rPr>
              <w:t>VBECS</w:t>
            </w:r>
          </w:p>
        </w:tc>
      </w:tr>
      <w:tr w:rsidR="004A48EB" w14:paraId="444CCA0A" w14:textId="77777777" w:rsidTr="006B317D">
        <w:trPr>
          <w:cantSplit/>
        </w:trPr>
        <w:tc>
          <w:tcPr>
            <w:tcW w:w="3505" w:type="dxa"/>
          </w:tcPr>
          <w:p w14:paraId="7BEC612C" w14:textId="77777777" w:rsidR="00EE2073" w:rsidRDefault="004A48EB" w:rsidP="00463A66">
            <w:pPr>
              <w:pStyle w:val="TableTextNumbers"/>
              <w:numPr>
                <w:ilvl w:val="0"/>
                <w:numId w:val="87"/>
              </w:numPr>
            </w:pPr>
            <w:r>
              <w:t xml:space="preserve">On the application server’s desktop, in the </w:t>
            </w:r>
            <w:r w:rsidR="007D6B48">
              <w:t>bottom l</w:t>
            </w:r>
            <w:r>
              <w:t xml:space="preserve">eft corner, </w:t>
            </w:r>
          </w:p>
          <w:p w14:paraId="13F1EC93" w14:textId="4D1FE440" w:rsidR="00EE2073" w:rsidRDefault="007D6B48" w:rsidP="00EE2073">
            <w:pPr>
              <w:pStyle w:val="TableTextNumbers"/>
              <w:numPr>
                <w:ilvl w:val="0"/>
                <w:numId w:val="0"/>
              </w:numPr>
              <w:ind w:left="288"/>
            </w:pPr>
            <w:r>
              <w:t xml:space="preserve">click </w:t>
            </w:r>
            <w:r w:rsidRPr="00E504C7">
              <w:rPr>
                <w:b/>
                <w:bCs/>
              </w:rPr>
              <w:t>Start</w:t>
            </w:r>
            <w:r>
              <w:t xml:space="preserve"> </w:t>
            </w:r>
            <w:r w:rsidR="00EE2073">
              <w:t xml:space="preserve"> </w:t>
            </w:r>
            <w:r w:rsidR="002576B2" w:rsidRPr="002576B2">
              <w:rPr>
                <w:noProof/>
              </w:rPr>
              <w:drawing>
                <wp:inline distT="0" distB="0" distL="0" distR="0" wp14:anchorId="547A3690" wp14:editId="1E7221EF">
                  <wp:extent cx="323895" cy="304843"/>
                  <wp:effectExtent l="0" t="0" r="0" b="0"/>
                  <wp:docPr id="175" name="Picture 175" descr="Example of Windows icon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Picture 175" descr="Example of Windows icon screen capture"/>
                          <pic:cNvPicPr/>
                        </pic:nvPicPr>
                        <pic:blipFill>
                          <a:blip r:embed="rId55"/>
                          <a:stretch>
                            <a:fillRect/>
                          </a:stretch>
                        </pic:blipFill>
                        <pic:spPr>
                          <a:xfrm>
                            <a:off x="0" y="0"/>
                            <a:ext cx="323895" cy="304843"/>
                          </a:xfrm>
                          <a:prstGeom prst="rect">
                            <a:avLst/>
                          </a:prstGeom>
                        </pic:spPr>
                      </pic:pic>
                    </a:graphicData>
                  </a:graphic>
                </wp:inline>
              </w:drawing>
            </w:r>
            <w:r w:rsidR="00EE2073">
              <w:t xml:space="preserve"> </w:t>
            </w:r>
            <w:r>
              <w:t xml:space="preserve">(the Windows icon), </w:t>
            </w:r>
          </w:p>
          <w:p w14:paraId="27B32CBA" w14:textId="77777777" w:rsidR="00EE2073" w:rsidRDefault="00EE2073" w:rsidP="00EE2073">
            <w:pPr>
              <w:pStyle w:val="TableTextNumbers"/>
              <w:numPr>
                <w:ilvl w:val="0"/>
                <w:numId w:val="0"/>
              </w:numPr>
            </w:pPr>
          </w:p>
          <w:p w14:paraId="7C186682" w14:textId="50EDC809" w:rsidR="004A48EB" w:rsidRDefault="007D6B48" w:rsidP="00EE2073">
            <w:pPr>
              <w:pStyle w:val="TableTextNumbers"/>
              <w:numPr>
                <w:ilvl w:val="0"/>
                <w:numId w:val="0"/>
              </w:numPr>
              <w:ind w:left="288"/>
            </w:pPr>
            <w:r w:rsidRPr="00EE2073">
              <w:rPr>
                <w:b/>
                <w:bCs/>
              </w:rPr>
              <w:t>Power</w:t>
            </w:r>
            <w:r w:rsidR="00EE2073">
              <w:rPr>
                <w:b/>
                <w:bCs/>
              </w:rPr>
              <w:t xml:space="preserve">  </w:t>
            </w:r>
            <w:r w:rsidR="002576B2" w:rsidRPr="002576B2">
              <w:rPr>
                <w:noProof/>
              </w:rPr>
              <w:drawing>
                <wp:inline distT="0" distB="0" distL="0" distR="0" wp14:anchorId="15DD964E" wp14:editId="57D499E7">
                  <wp:extent cx="257211" cy="238158"/>
                  <wp:effectExtent l="0" t="0" r="9525" b="9525"/>
                  <wp:docPr id="187" name="Picture 187" descr="Example of Power icon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Picture 187" descr="Example of Power icon screen capture"/>
                          <pic:cNvPicPr/>
                        </pic:nvPicPr>
                        <pic:blipFill>
                          <a:blip r:embed="rId56"/>
                          <a:stretch>
                            <a:fillRect/>
                          </a:stretch>
                        </pic:blipFill>
                        <pic:spPr>
                          <a:xfrm>
                            <a:off x="0" y="0"/>
                            <a:ext cx="257211" cy="238158"/>
                          </a:xfrm>
                          <a:prstGeom prst="rect">
                            <a:avLst/>
                          </a:prstGeom>
                        </pic:spPr>
                      </pic:pic>
                    </a:graphicData>
                  </a:graphic>
                </wp:inline>
              </w:drawing>
            </w:r>
            <w:r w:rsidR="00EE2073">
              <w:rPr>
                <w:b/>
                <w:bCs/>
              </w:rPr>
              <w:t xml:space="preserve"> </w:t>
            </w:r>
            <w:r w:rsidR="00EE2073">
              <w:t>(</w:t>
            </w:r>
            <w:r>
              <w:t xml:space="preserve">the circle with a line icon), </w:t>
            </w:r>
            <w:r w:rsidRPr="00E504C7">
              <w:rPr>
                <w:b/>
                <w:bCs/>
              </w:rPr>
              <w:t>Disconnect</w:t>
            </w:r>
            <w:r>
              <w:t>.</w:t>
            </w:r>
          </w:p>
          <w:p w14:paraId="05C33E52" w14:textId="2E3A89C9" w:rsidR="009701C6" w:rsidRDefault="009701C6" w:rsidP="009701C6">
            <w:pPr>
              <w:pStyle w:val="TableTextNumbers"/>
              <w:numPr>
                <w:ilvl w:val="0"/>
                <w:numId w:val="0"/>
              </w:numPr>
              <w:ind w:left="288"/>
            </w:pPr>
            <w:r>
              <w:rPr>
                <w:noProof/>
              </w:rPr>
              <w:drawing>
                <wp:inline distT="0" distB="0" distL="0" distR="0" wp14:anchorId="16C4AE20" wp14:editId="6FF04DE5">
                  <wp:extent cx="1031680" cy="1143000"/>
                  <wp:effectExtent l="0" t="0" r="0" b="0"/>
                  <wp:docPr id="183" name="Picture 183" descr="Example of Disconnect menu option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Picture 183" descr="Example of Disconnect menu option screen capture"/>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031680" cy="1143000"/>
                          </a:xfrm>
                          <a:prstGeom prst="rect">
                            <a:avLst/>
                          </a:prstGeom>
                          <a:noFill/>
                          <a:ln>
                            <a:noFill/>
                          </a:ln>
                        </pic:spPr>
                      </pic:pic>
                    </a:graphicData>
                  </a:graphic>
                </wp:inline>
              </w:drawing>
            </w:r>
          </w:p>
          <w:p w14:paraId="4F2174AC" w14:textId="59F258E9" w:rsidR="004A48EB" w:rsidRDefault="004A48EB" w:rsidP="004F5DD2">
            <w:pPr>
              <w:pStyle w:val="TableTextNumbers"/>
              <w:numPr>
                <w:ilvl w:val="0"/>
                <w:numId w:val="0"/>
              </w:numPr>
              <w:ind w:left="288" w:hanging="288"/>
            </w:pPr>
          </w:p>
          <w:p w14:paraId="4149B750" w14:textId="09C27B69" w:rsidR="00085388" w:rsidRDefault="00085388" w:rsidP="004F5DD2">
            <w:pPr>
              <w:pStyle w:val="TableTextNumbers"/>
              <w:numPr>
                <w:ilvl w:val="0"/>
                <w:numId w:val="0"/>
              </w:numPr>
              <w:ind w:left="288" w:hanging="288"/>
            </w:pPr>
            <w:r>
              <w:t>OR</w:t>
            </w:r>
          </w:p>
          <w:p w14:paraId="05052571" w14:textId="317A1FAB" w:rsidR="00085388" w:rsidRDefault="00085388" w:rsidP="004F5DD2">
            <w:pPr>
              <w:pStyle w:val="TableTextNumbers"/>
              <w:numPr>
                <w:ilvl w:val="0"/>
                <w:numId w:val="0"/>
              </w:numPr>
              <w:ind w:left="288" w:hanging="288"/>
            </w:pPr>
          </w:p>
          <w:p w14:paraId="4DD6E65D" w14:textId="197E8950" w:rsidR="004A48EB" w:rsidRDefault="00085388" w:rsidP="00E504C7">
            <w:pPr>
              <w:pStyle w:val="TableTextNumbersContinued"/>
            </w:pPr>
            <w:r>
              <w:t>In the remote desktop window</w:t>
            </w:r>
            <w:r w:rsidR="00662B75">
              <w:t xml:space="preserve"> title bar or connection bar</w:t>
            </w:r>
            <w:r>
              <w:t xml:space="preserve">, click the </w:t>
            </w:r>
            <w:r w:rsidR="00D553A3" w:rsidRPr="00E504C7">
              <w:rPr>
                <w:b/>
                <w:bCs/>
              </w:rPr>
              <w:t>X</w:t>
            </w:r>
            <w:r w:rsidR="00A23FF9">
              <w:t>.</w:t>
            </w:r>
            <w:r w:rsidR="006621FD">
              <w:t xml:space="preserve"> If prompted about closing the remote desktop session, click </w:t>
            </w:r>
            <w:r w:rsidR="002A7CAB" w:rsidRPr="00E504C7">
              <w:rPr>
                <w:b/>
                <w:bCs/>
              </w:rPr>
              <w:t>OK</w:t>
            </w:r>
            <w:r w:rsidR="006621FD">
              <w:t>.</w:t>
            </w:r>
          </w:p>
        </w:tc>
        <w:tc>
          <w:tcPr>
            <w:tcW w:w="5963" w:type="dxa"/>
          </w:tcPr>
          <w:p w14:paraId="48505AB2" w14:textId="56946FD0" w:rsidR="004A48EB" w:rsidRPr="00374EA9" w:rsidRDefault="00B145BB" w:rsidP="004F5DD2">
            <w:pPr>
              <w:pStyle w:val="TableTextBullet"/>
              <w:rPr>
                <w:b/>
                <w:bCs/>
                <w:szCs w:val="18"/>
              </w:rPr>
            </w:pPr>
            <w:r>
              <w:t>The</w:t>
            </w:r>
            <w:r w:rsidR="00235A1D">
              <w:t xml:space="preserve"> VBECS </w:t>
            </w:r>
            <w:r>
              <w:t xml:space="preserve">application </w:t>
            </w:r>
            <w:r w:rsidR="00277C3A">
              <w:t>is unaffected</w:t>
            </w:r>
            <w:r w:rsidR="00A33FCC">
              <w:t>.</w:t>
            </w:r>
          </w:p>
          <w:p w14:paraId="4DB4417E" w14:textId="77777777" w:rsidR="004A48EB" w:rsidRPr="00EF4212" w:rsidRDefault="004A48EB" w:rsidP="004F5DD2">
            <w:pPr>
              <w:pStyle w:val="TableTextBullet"/>
              <w:rPr>
                <w:b/>
                <w:bCs/>
                <w:szCs w:val="18"/>
              </w:rPr>
            </w:pPr>
            <w:r>
              <w:t>The user is disconnected from the application server.</w:t>
            </w:r>
          </w:p>
          <w:p w14:paraId="17416F05" w14:textId="1F735860" w:rsidR="004A48EB" w:rsidRPr="00AC123F" w:rsidRDefault="004A48EB" w:rsidP="004F5DD2">
            <w:pPr>
              <w:pStyle w:val="TableTextBullet"/>
              <w:rPr>
                <w:b/>
                <w:bCs/>
                <w:szCs w:val="18"/>
              </w:rPr>
            </w:pPr>
            <w:r>
              <w:t xml:space="preserve">The application server session </w:t>
            </w:r>
            <w:r w:rsidR="00277C3A">
              <w:t xml:space="preserve">remains </w:t>
            </w:r>
            <w:r w:rsidR="00E33E4F">
              <w:t>active.</w:t>
            </w:r>
            <w:r w:rsidR="00A40500">
              <w:t xml:space="preserve"> The user may reconnect to this session</w:t>
            </w:r>
            <w:r w:rsidR="00E75743">
              <w:t xml:space="preserve"> from any workstation before it automatically ends after 60 minutes.</w:t>
            </w:r>
          </w:p>
        </w:tc>
      </w:tr>
    </w:tbl>
    <w:p w14:paraId="79EA18A0" w14:textId="7A7D126C" w:rsidR="009B4546" w:rsidRDefault="009B4546" w:rsidP="006B317D">
      <w:pPr>
        <w:pStyle w:val="Heading4"/>
      </w:pPr>
      <w:r>
        <w:lastRenderedPageBreak/>
        <w:t xml:space="preserve">Local Machine Screen </w:t>
      </w:r>
      <w:r w:rsidR="00BF4B65">
        <w:t>Resolution</w:t>
      </w:r>
      <w:r>
        <w:fldChar w:fldCharType="begin"/>
      </w:r>
      <w:r>
        <w:instrText xml:space="preserve"> XE "Local Machine </w:instrText>
      </w:r>
      <w:r w:rsidRPr="00775368">
        <w:instrText xml:space="preserve">Screen </w:instrText>
      </w:r>
      <w:r w:rsidR="00BF4B65">
        <w:instrText>Resolution</w:instrText>
      </w:r>
      <w:r>
        <w:instrText xml:space="preserve">" </w:instrText>
      </w:r>
      <w:r>
        <w:fldChar w:fldCharType="end"/>
      </w:r>
    </w:p>
    <w:p w14:paraId="24BF9F4C" w14:textId="202BA43C" w:rsidR="009B4546" w:rsidRPr="00AB3B2D" w:rsidRDefault="00057948" w:rsidP="001964E3">
      <w:pPr>
        <w:pStyle w:val="Caution"/>
        <w:rPr>
          <w:i w:val="0"/>
        </w:rPr>
      </w:pPr>
      <w:bookmarkStart w:id="108" w:name="OLE_LINK47"/>
      <w:bookmarkStart w:id="109" w:name="OLE_LINK48"/>
      <w:r>
        <w:rPr>
          <w:noProof/>
        </w:rPr>
        <w:drawing>
          <wp:inline distT="0" distB="0" distL="0" distR="0" wp14:anchorId="4171A323" wp14:editId="05AD8616">
            <wp:extent cx="267970" cy="221615"/>
            <wp:effectExtent l="0" t="0" r="0" b="6985"/>
            <wp:docPr id="56" name="Picture 56" descr="Cau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56" descr="Caution icon"/>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67970" cy="221615"/>
                    </a:xfrm>
                    <a:prstGeom prst="rect">
                      <a:avLst/>
                    </a:prstGeom>
                    <a:noFill/>
                    <a:ln>
                      <a:noFill/>
                    </a:ln>
                  </pic:spPr>
                </pic:pic>
              </a:graphicData>
            </a:graphic>
          </wp:inline>
        </w:drawing>
      </w:r>
      <w:r w:rsidR="009B4546">
        <w:t xml:space="preserve"> </w:t>
      </w:r>
      <w:bookmarkEnd w:id="108"/>
      <w:bookmarkEnd w:id="109"/>
      <w:r w:rsidR="0078056E">
        <w:t>Set t</w:t>
      </w:r>
      <w:r w:rsidR="009B4546">
        <w:t xml:space="preserve">he local machine’s desktop </w:t>
      </w:r>
      <w:r w:rsidR="00BF4B65">
        <w:t>resolution</w:t>
      </w:r>
      <w:r w:rsidR="009B4546">
        <w:t xml:space="preserve"> to 1</w:t>
      </w:r>
      <w:r w:rsidR="00BF4B65">
        <w:t>02</w:t>
      </w:r>
      <w:r w:rsidR="009B4546">
        <w:t xml:space="preserve">4 </w:t>
      </w:r>
      <w:r w:rsidR="00176587">
        <w:t>by</w:t>
      </w:r>
      <w:r w:rsidR="009B4546">
        <w:t xml:space="preserve"> 768 pixels</w:t>
      </w:r>
      <w:r w:rsidR="006E036F">
        <w:t xml:space="preserve"> </w:t>
      </w:r>
      <w:r w:rsidR="006E036F" w:rsidRPr="00624D16">
        <w:t>or higher</w:t>
      </w:r>
      <w:r w:rsidR="0078056E" w:rsidRPr="00624D16">
        <w:t xml:space="preserve"> for</w:t>
      </w:r>
      <w:r w:rsidR="0078056E">
        <w:t xml:space="preserve"> optimal display</w:t>
      </w:r>
      <w:r w:rsidR="009B4546">
        <w:t>.</w:t>
      </w:r>
      <w:r w:rsidR="00740FD0">
        <w:t xml:space="preserve"> Failure to maintain these settings may result in partial display of safety-critical information.</w:t>
      </w:r>
      <w:r w:rsidR="00AB3B2D">
        <w:rPr>
          <w:i w:val="0"/>
          <w:vanish/>
        </w:rPr>
        <w:t xml:space="preserve"> DR 3738</w:t>
      </w:r>
    </w:p>
    <w:p w14:paraId="397608D9" w14:textId="32DF29AB" w:rsidR="00727879" w:rsidRDefault="00EA07D7" w:rsidP="001964E3">
      <w:pPr>
        <w:pStyle w:val="Heading3"/>
        <w:keepNext w:val="0"/>
      </w:pPr>
      <w:bookmarkStart w:id="110" w:name="_Toc203765836"/>
      <w:r>
        <w:t>Application Windows</w:t>
      </w:r>
      <w:bookmarkEnd w:id="110"/>
      <w:r>
        <w:t xml:space="preserve"> </w:t>
      </w:r>
      <w:r w:rsidR="00D07403">
        <w:fldChar w:fldCharType="begin"/>
      </w:r>
      <w:r w:rsidR="00D07403">
        <w:instrText xml:space="preserve"> XE "</w:instrText>
      </w:r>
      <w:r w:rsidR="00D07403" w:rsidRPr="00775368">
        <w:instrText>Screen Display</w:instrText>
      </w:r>
      <w:r w:rsidR="00D07403">
        <w:instrText xml:space="preserve">" </w:instrText>
      </w:r>
      <w:r w:rsidR="00D07403">
        <w:fldChar w:fldCharType="end"/>
      </w:r>
    </w:p>
    <w:p w14:paraId="003E3DE9" w14:textId="77777777" w:rsidR="002A21AE" w:rsidRDefault="002A21AE" w:rsidP="001964E3">
      <w:pPr>
        <w:pStyle w:val="BodyText"/>
      </w:pPr>
      <w:r>
        <w:t xml:space="preserve">A </w:t>
      </w:r>
      <w:r>
        <w:rPr>
          <w:i/>
        </w:rPr>
        <w:t>window</w:t>
      </w:r>
      <w:r>
        <w:t xml:space="preserve"> is the section of the screen that displays the active application or file. </w:t>
      </w:r>
    </w:p>
    <w:p w14:paraId="6ED9B549" w14:textId="6A063D8C" w:rsidR="002A21AE" w:rsidRDefault="002A21AE" w:rsidP="00FA7E65">
      <w:pPr>
        <w:pStyle w:val="BodyText"/>
      </w:pPr>
      <w:r>
        <w:t>Click t</w:t>
      </w:r>
      <w:r w:rsidR="00634DAB">
        <w:t>he control buttons in the upper-</w:t>
      </w:r>
      <w:r>
        <w:t xml:space="preserve">right corner </w:t>
      </w:r>
      <w:r w:rsidR="00E627F1">
        <w:t>(</w:t>
      </w:r>
      <w:r w:rsidR="00EE455E">
        <w:t xml:space="preserve">Figure </w:t>
      </w:r>
      <w:r w:rsidR="00EE455E">
        <w:rPr>
          <w:noProof/>
        </w:rPr>
        <w:t>19</w:t>
      </w:r>
      <w:r w:rsidR="00E627F1">
        <w:t xml:space="preserve">) </w:t>
      </w:r>
      <w:r>
        <w:t xml:space="preserve">of an open file or application window to: </w:t>
      </w:r>
    </w:p>
    <w:p w14:paraId="310CA0B7" w14:textId="25F6B754" w:rsidR="002A21AE" w:rsidRDefault="002A21AE">
      <w:pPr>
        <w:pStyle w:val="ListBullet"/>
      </w:pPr>
      <w:r>
        <w:t xml:space="preserve">Minimize: reduce the window </w:t>
      </w:r>
      <w:r>
        <w:rPr>
          <w:szCs w:val="24"/>
        </w:rPr>
        <w:t xml:space="preserve">to appear as a button (rectangle) at the bottom of the screen. Click the button to enlarge the window to its </w:t>
      </w:r>
      <w:r w:rsidR="00262E92">
        <w:rPr>
          <w:szCs w:val="24"/>
        </w:rPr>
        <w:t>previous</w:t>
      </w:r>
      <w:r>
        <w:rPr>
          <w:szCs w:val="24"/>
        </w:rPr>
        <w:t xml:space="preserve"> size.</w:t>
      </w:r>
    </w:p>
    <w:p w14:paraId="4C7E639F" w14:textId="2D921430" w:rsidR="002A21AE" w:rsidRDefault="002A21AE">
      <w:pPr>
        <w:pStyle w:val="ListBullet"/>
      </w:pPr>
      <w:r>
        <w:t>Maximize: enlarge a window to fill the entire screen</w:t>
      </w:r>
      <w:r w:rsidR="00262E92">
        <w:t xml:space="preserve"> or parent window</w:t>
      </w:r>
    </w:p>
    <w:p w14:paraId="27C0AE1E" w14:textId="73FC921A" w:rsidR="002A21AE" w:rsidRDefault="002A21AE">
      <w:pPr>
        <w:pStyle w:val="ListBullet"/>
      </w:pPr>
      <w:r>
        <w:t>Restore: return a window to a smaller size that can be adjusted</w:t>
      </w:r>
      <w:r w:rsidR="00486D34">
        <w:t xml:space="preserve"> </w:t>
      </w:r>
      <w:r w:rsidR="007A3208">
        <w:t>(</w:t>
      </w:r>
      <w:r w:rsidR="00EE455E">
        <w:t xml:space="preserve">Figure </w:t>
      </w:r>
      <w:r w:rsidR="00EE455E">
        <w:rPr>
          <w:noProof/>
        </w:rPr>
        <w:t>20</w:t>
      </w:r>
      <w:r w:rsidR="00E627F1">
        <w:t>)</w:t>
      </w:r>
    </w:p>
    <w:p w14:paraId="25E48932" w14:textId="347BDD6D" w:rsidR="002A21AE" w:rsidRDefault="002A21AE">
      <w:pPr>
        <w:pStyle w:val="ListBullet"/>
      </w:pPr>
      <w:r>
        <w:t xml:space="preserve">Close: shut down a </w:t>
      </w:r>
      <w:r w:rsidR="00262E92">
        <w:t>window</w:t>
      </w:r>
      <w:r>
        <w:t xml:space="preserve"> or application </w:t>
      </w:r>
    </w:p>
    <w:p w14:paraId="4B7003E7" w14:textId="77777777" w:rsidR="00DF4846" w:rsidRPr="00DF4846" w:rsidRDefault="00057948" w:rsidP="00DF4846">
      <w:pPr>
        <w:pStyle w:val="Caution"/>
      </w:pPr>
      <w:r>
        <w:rPr>
          <w:noProof/>
        </w:rPr>
        <w:drawing>
          <wp:inline distT="0" distB="0" distL="0" distR="0" wp14:anchorId="5C98482B" wp14:editId="73E50C44">
            <wp:extent cx="267970" cy="221615"/>
            <wp:effectExtent l="0" t="0" r="0" b="6985"/>
            <wp:docPr id="62" name="Picture 62" descr="Cau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62" descr="Caution icon"/>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67970" cy="221615"/>
                    </a:xfrm>
                    <a:prstGeom prst="rect">
                      <a:avLst/>
                    </a:prstGeom>
                    <a:noFill/>
                    <a:ln>
                      <a:noFill/>
                    </a:ln>
                  </pic:spPr>
                </pic:pic>
              </a:graphicData>
            </a:graphic>
          </wp:inline>
        </w:drawing>
      </w:r>
      <w:r w:rsidR="00DF4846">
        <w:t xml:space="preserve"> Maximize option windows</w:t>
      </w:r>
      <w:r w:rsidR="00DF4846" w:rsidRPr="00DF4846">
        <w:t xml:space="preserve"> to display safety-critical information</w:t>
      </w:r>
      <w:r w:rsidR="00DF4846">
        <w:t xml:space="preserve"> in full.</w:t>
      </w:r>
      <w:r w:rsidR="00DF4846" w:rsidRPr="00DF4846">
        <w:rPr>
          <w:vanish/>
        </w:rPr>
        <w:t xml:space="preserve"> UserDoc Task 1124.</w:t>
      </w:r>
    </w:p>
    <w:p w14:paraId="532558AC" w14:textId="095A7BC5" w:rsidR="007A3208" w:rsidRDefault="007E150C" w:rsidP="007A3208">
      <w:pPr>
        <w:pStyle w:val="Caption"/>
      </w:pPr>
      <w:bookmarkStart w:id="111" w:name="_Ref393444039"/>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7D1829">
        <w:rPr>
          <w:noProof/>
        </w:rPr>
        <w:t>19</w:t>
      </w:r>
      <w:r w:rsidR="004E20BD">
        <w:rPr>
          <w:noProof/>
        </w:rPr>
        <w:fldChar w:fldCharType="end"/>
      </w:r>
      <w:bookmarkEnd w:id="111"/>
      <w:r>
        <w:t xml:space="preserve">: </w:t>
      </w:r>
      <w:r w:rsidR="00DE2276">
        <w:t xml:space="preserve">Example of </w:t>
      </w:r>
      <w:r>
        <w:t>Resize or Close a Window</w:t>
      </w:r>
    </w:p>
    <w:p w14:paraId="11DF0C4B" w14:textId="307A4168" w:rsidR="00CB5D3F" w:rsidRPr="00CB5D3F" w:rsidRDefault="00CB5D3F" w:rsidP="00CB5D3F">
      <w:pPr>
        <w:pStyle w:val="BodyText"/>
      </w:pPr>
      <w:r>
        <w:rPr>
          <w:noProof/>
        </w:rPr>
        <mc:AlternateContent>
          <mc:Choice Requires="wpc">
            <w:drawing>
              <wp:inline distT="0" distB="0" distL="0" distR="0" wp14:anchorId="5D2C0520" wp14:editId="6801D754">
                <wp:extent cx="3848100" cy="1009650"/>
                <wp:effectExtent l="0" t="0" r="0" b="0"/>
                <wp:docPr id="68" name="Canvas 2" descr="Example of Resize or Close a Window screen capture"/>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58" name="Picture 4"/>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10160" y="494665"/>
                            <a:ext cx="3443605" cy="504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9" name="Line 5"/>
                        <wps:cNvCnPr/>
                        <wps:spPr bwMode="auto">
                          <a:xfrm flipH="1">
                            <a:off x="3299460" y="349250"/>
                            <a:ext cx="208280" cy="229235"/>
                          </a:xfrm>
                          <a:prstGeom prst="line">
                            <a:avLst/>
                          </a:prstGeom>
                          <a:noFill/>
                          <a:ln w="2540" cap="rnd">
                            <a:solidFill>
                              <a:srgbClr val="000000"/>
                            </a:solidFill>
                            <a:round/>
                            <a:headEnd/>
                            <a:tailEnd/>
                          </a:ln>
                          <a:extLst>
                            <a:ext uri="{909E8E84-426E-40DD-AFC4-6F175D3DCCD1}">
                              <a14:hiddenFill xmlns:a14="http://schemas.microsoft.com/office/drawing/2010/main">
                                <a:noFill/>
                              </a14:hiddenFill>
                            </a:ext>
                          </a:extLst>
                        </wps:spPr>
                        <wps:bodyPr/>
                      </wps:wsp>
                      <wps:wsp>
                        <wps:cNvPr id="60" name="Rectangle 6"/>
                        <wps:cNvSpPr>
                          <a:spLocks noChangeArrowheads="1"/>
                        </wps:cNvSpPr>
                        <wps:spPr bwMode="auto">
                          <a:xfrm>
                            <a:off x="3597910" y="298450"/>
                            <a:ext cx="227330" cy="204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E761A1" w14:textId="77777777" w:rsidR="00EA60B6" w:rsidRDefault="00EA60B6" w:rsidP="00CB5D3F">
                              <w:r>
                                <w:rPr>
                                  <w:rFonts w:ascii="Arial" w:hAnsi="Arial" w:cs="Arial"/>
                                  <w:color w:val="000000"/>
                                  <w:sz w:val="14"/>
                                  <w:szCs w:val="14"/>
                                </w:rPr>
                                <w:t>Close</w:t>
                              </w:r>
                            </w:p>
                          </w:txbxContent>
                        </wps:txbx>
                        <wps:bodyPr rot="0" vert="horz" wrap="square" lIns="0" tIns="0" rIns="0" bIns="0" anchor="t" anchorCtr="0" upright="1">
                          <a:noAutofit/>
                        </wps:bodyPr>
                      </wps:wsp>
                      <wps:wsp>
                        <wps:cNvPr id="61" name="Line 7"/>
                        <wps:cNvCnPr/>
                        <wps:spPr bwMode="auto">
                          <a:xfrm>
                            <a:off x="2880995" y="421005"/>
                            <a:ext cx="104775" cy="157480"/>
                          </a:xfrm>
                          <a:prstGeom prst="line">
                            <a:avLst/>
                          </a:prstGeom>
                          <a:noFill/>
                          <a:ln w="2540" cap="rnd">
                            <a:solidFill>
                              <a:srgbClr val="000000"/>
                            </a:solidFill>
                            <a:round/>
                            <a:headEnd/>
                            <a:tailEnd/>
                          </a:ln>
                          <a:extLst>
                            <a:ext uri="{909E8E84-426E-40DD-AFC4-6F175D3DCCD1}">
                              <a14:hiddenFill xmlns:a14="http://schemas.microsoft.com/office/drawing/2010/main">
                                <a:noFill/>
                              </a14:hiddenFill>
                            </a:ext>
                          </a:extLst>
                        </wps:spPr>
                        <wps:bodyPr/>
                      </wps:wsp>
                      <wps:wsp>
                        <wps:cNvPr id="65" name="Rectangle 8"/>
                        <wps:cNvSpPr>
                          <a:spLocks noChangeArrowheads="1"/>
                        </wps:cNvSpPr>
                        <wps:spPr bwMode="auto">
                          <a:xfrm>
                            <a:off x="2693035" y="267970"/>
                            <a:ext cx="351155" cy="204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D8C6A0" w14:textId="77777777" w:rsidR="00EA60B6" w:rsidRDefault="00EA60B6" w:rsidP="00CB5D3F">
                              <w:r>
                                <w:rPr>
                                  <w:rFonts w:ascii="Arial" w:hAnsi="Arial" w:cs="Arial"/>
                                  <w:color w:val="000000"/>
                                  <w:sz w:val="14"/>
                                  <w:szCs w:val="14"/>
                                </w:rPr>
                                <w:t>Minimize</w:t>
                              </w:r>
                            </w:p>
                          </w:txbxContent>
                        </wps:txbx>
                        <wps:bodyPr rot="0" vert="horz" wrap="square" lIns="0" tIns="0" rIns="0" bIns="0" anchor="t" anchorCtr="0" upright="1">
                          <a:noAutofit/>
                        </wps:bodyPr>
                      </wps:wsp>
                      <wps:wsp>
                        <wps:cNvPr id="66" name="Line 9"/>
                        <wps:cNvCnPr/>
                        <wps:spPr bwMode="auto">
                          <a:xfrm flipH="1">
                            <a:off x="3142615" y="185420"/>
                            <a:ext cx="52070" cy="366395"/>
                          </a:xfrm>
                          <a:prstGeom prst="line">
                            <a:avLst/>
                          </a:prstGeom>
                          <a:noFill/>
                          <a:ln w="2540" cap="rnd">
                            <a:solidFill>
                              <a:srgbClr val="000000"/>
                            </a:solidFill>
                            <a:round/>
                            <a:headEnd/>
                            <a:tailEnd/>
                          </a:ln>
                          <a:extLst>
                            <a:ext uri="{909E8E84-426E-40DD-AFC4-6F175D3DCCD1}">
                              <a14:hiddenFill xmlns:a14="http://schemas.microsoft.com/office/drawing/2010/main">
                                <a:noFill/>
                              </a14:hiddenFill>
                            </a:ext>
                          </a:extLst>
                        </wps:spPr>
                        <wps:bodyPr/>
                      </wps:wsp>
                      <wps:wsp>
                        <wps:cNvPr id="67" name="Rectangle 10"/>
                        <wps:cNvSpPr>
                          <a:spLocks noChangeArrowheads="1"/>
                        </wps:cNvSpPr>
                        <wps:spPr bwMode="auto">
                          <a:xfrm>
                            <a:off x="3011805" y="30480"/>
                            <a:ext cx="375920" cy="204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F318AE" w14:textId="77777777" w:rsidR="00EA60B6" w:rsidRDefault="00EA60B6" w:rsidP="00CB5D3F">
                              <w:r>
                                <w:rPr>
                                  <w:rFonts w:ascii="Arial" w:hAnsi="Arial" w:cs="Arial"/>
                                  <w:color w:val="000000"/>
                                  <w:sz w:val="14"/>
                                  <w:szCs w:val="14"/>
                                </w:rPr>
                                <w:t xml:space="preserve">Maximize </w:t>
                              </w:r>
                            </w:p>
                          </w:txbxContent>
                        </wps:txbx>
                        <wps:bodyPr rot="0" vert="horz" wrap="square" lIns="0" tIns="0" rIns="0" bIns="0" anchor="t" anchorCtr="0" upright="1">
                          <a:noAutofit/>
                        </wps:bodyPr>
                      </wps:wsp>
                    </wpc:wpc>
                  </a:graphicData>
                </a:graphic>
              </wp:inline>
            </w:drawing>
          </mc:Choice>
          <mc:Fallback>
            <w:pict>
              <v:group w14:anchorId="5D2C0520" id="Canvas 2" o:spid="_x0000_s1027" editas="canvas" alt="Example of Resize or Close a Window screen capture" style="width:303pt;height:79.5pt;mso-position-horizontal-relative:char;mso-position-vertical-relative:line" coordsize="38481,10096"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">
                <v:shape id="_x0000_s1028" type="#_x0000_t75" alt="Example of Resize or Close a Window screen capture" style="position:absolute;width:38481;height:10096;visibility:visible;mso-wrap-style:square">
                  <v:fill o:detectmouseclick="t"/>
                  <v:path o:connecttype="none"/>
                </v:shape>
                <v:shape id="Picture 4" o:spid="_x0000_s1029" type="#_x0000_t75" style="position:absolute;left:101;top:4946;width:34436;height:50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">
                  <v:imagedata r:id="rId59" o:title=""/>
                </v:shape>
                <v:line id="Line 5" o:spid="_x0000_s1030" style="position:absolute;flip:x;visibility:visible;mso-wrap-style:square" from="32994,3492" to="35077,57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" strokeweight=".2pt">
                  <v:stroke endcap="round"/>
                </v:line>
                <v:rect id="Rectangle 6" o:spid="_x0000_s1031" style="position:absolute;left:35979;top:2984;width:2273;height:20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" filled="f" stroked="f">
                  <v:textbox inset="0,0,0,0">
                    <w:txbxContent>
                      <w:p w14:paraId="34E761A1" w14:textId="77777777" w:rsidR="00EA60B6" w:rsidRDefault="00EA60B6" w:rsidP="00CB5D3F">
                        <w:r>
                          <w:rPr>
                            <w:rFonts w:ascii="Arial" w:hAnsi="Arial" w:cs="Arial"/>
                            <w:color w:val="000000"/>
                            <w:sz w:val="14"/>
                            <w:szCs w:val="14"/>
                          </w:rPr>
                          <w:t>Close</w:t>
                        </w:r>
                      </w:p>
                    </w:txbxContent>
                  </v:textbox>
                </v:rect>
                <v:line id="Line 7" o:spid="_x0000_s1032" style="position:absolute;visibility:visible;mso-wrap-style:square" from="28809,4210" to="29857,57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" strokeweight=".2pt">
                  <v:stroke endcap="round"/>
                </v:line>
                <v:rect id="Rectangle 8" o:spid="_x0000_s1033" style="position:absolute;left:26930;top:2679;width:3511;height:20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" filled="f" stroked="f">
                  <v:textbox inset="0,0,0,0">
                    <w:txbxContent>
                      <w:p w14:paraId="2CD8C6A0" w14:textId="77777777" w:rsidR="00EA60B6" w:rsidRDefault="00EA60B6" w:rsidP="00CB5D3F">
                        <w:r>
                          <w:rPr>
                            <w:rFonts w:ascii="Arial" w:hAnsi="Arial" w:cs="Arial"/>
                            <w:color w:val="000000"/>
                            <w:sz w:val="14"/>
                            <w:szCs w:val="14"/>
                          </w:rPr>
                          <w:t>Minimize</w:t>
                        </w:r>
                      </w:p>
                    </w:txbxContent>
                  </v:textbox>
                </v:rect>
                <v:line id="Line 9" o:spid="_x0000_s1034" style="position:absolute;flip:x;visibility:visible;mso-wrap-style:square" from="31426,1854" to="31946,55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" strokeweight=".2pt">
                  <v:stroke endcap="round"/>
                </v:line>
                <v:rect id="Rectangle 10" o:spid="_x0000_s1035" style="position:absolute;left:30118;top:304;width:3759;height:20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" filled="f" stroked="f">
                  <v:textbox inset="0,0,0,0">
                    <w:txbxContent>
                      <w:p w14:paraId="65F318AE" w14:textId="77777777" w:rsidR="00EA60B6" w:rsidRDefault="00EA60B6" w:rsidP="00CB5D3F">
                        <w:r>
                          <w:rPr>
                            <w:rFonts w:ascii="Arial" w:hAnsi="Arial" w:cs="Arial"/>
                            <w:color w:val="000000"/>
                            <w:sz w:val="14"/>
                            <w:szCs w:val="14"/>
                          </w:rPr>
                          <w:t xml:space="preserve">Maximize </w:t>
                        </w:r>
                      </w:p>
                    </w:txbxContent>
                  </v:textbox>
                </v:rect>
                <w10:anchorlock/>
              </v:group>
            </w:pict>
          </mc:Fallback>
        </mc:AlternateContent>
      </w:r>
    </w:p>
    <w:p w14:paraId="2BC7D727" w14:textId="4C352D92" w:rsidR="007A3208" w:rsidRDefault="007E150C" w:rsidP="007A3208">
      <w:pPr>
        <w:pStyle w:val="Caption"/>
      </w:pPr>
      <w:r>
        <w:tab/>
      </w:r>
      <w:r w:rsidR="007A3208">
        <w:tab/>
      </w:r>
      <w:r w:rsidR="007A3208">
        <w:tab/>
      </w:r>
      <w:r w:rsidR="007A3208">
        <w:tab/>
      </w:r>
    </w:p>
    <w:p w14:paraId="23528C5D" w14:textId="53CC2438" w:rsidR="007E150C" w:rsidRDefault="007A3208" w:rsidP="007A3208">
      <w:pPr>
        <w:pStyle w:val="Caption"/>
      </w:pPr>
      <w:bookmarkStart w:id="112" w:name="_Ref82537199"/>
      <w:r>
        <w:t xml:space="preserve">Figure </w:t>
      </w:r>
      <w:r w:rsidR="00901D8F">
        <w:fldChar w:fldCharType="begin"/>
      </w:r>
      <w:r w:rsidR="00901D8F">
        <w:instrText xml:space="preserve"> SEQ Figure \* ARABIC </w:instrText>
      </w:r>
      <w:r w:rsidR="00901D8F">
        <w:fldChar w:fldCharType="separate"/>
      </w:r>
      <w:r w:rsidR="007D1829">
        <w:rPr>
          <w:noProof/>
        </w:rPr>
        <w:t>20</w:t>
      </w:r>
      <w:r w:rsidR="00901D8F">
        <w:rPr>
          <w:noProof/>
        </w:rPr>
        <w:fldChar w:fldCharType="end"/>
      </w:r>
      <w:bookmarkEnd w:id="112"/>
      <w:r>
        <w:t xml:space="preserve">: </w:t>
      </w:r>
      <w:r w:rsidR="00DE2276">
        <w:t xml:space="preserve">Example of </w:t>
      </w:r>
      <w:r>
        <w:t>Restore a Window</w:t>
      </w:r>
    </w:p>
    <w:p w14:paraId="7E383778" w14:textId="5FA2F877" w:rsidR="007A3208" w:rsidRDefault="007A3208">
      <w:pPr>
        <w:pStyle w:val="BodyText"/>
      </w:pPr>
      <w:r>
        <w:rPr>
          <w:noProof/>
        </w:rPr>
        <w:drawing>
          <wp:inline distT="0" distB="0" distL="0" distR="0" wp14:anchorId="0A22D708" wp14:editId="33B3C096">
            <wp:extent cx="1597660" cy="591185"/>
            <wp:effectExtent l="0" t="0" r="2540" b="0"/>
            <wp:docPr id="50" name="Picture 50" descr="Example of Restore a Window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50" descr="Example of Restore a Window screen capture"/>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597660" cy="591185"/>
                    </a:xfrm>
                    <a:prstGeom prst="rect">
                      <a:avLst/>
                    </a:prstGeom>
                    <a:noFill/>
                    <a:ln>
                      <a:noFill/>
                    </a:ln>
                  </pic:spPr>
                </pic:pic>
              </a:graphicData>
            </a:graphic>
          </wp:inline>
        </w:drawing>
      </w:r>
    </w:p>
    <w:p w14:paraId="364E1037" w14:textId="77777777" w:rsidR="007A3208" w:rsidRDefault="007A3208">
      <w:pPr>
        <w:pStyle w:val="BodyText"/>
      </w:pPr>
    </w:p>
    <w:p w14:paraId="08FCA0B2" w14:textId="77777777" w:rsidR="002A21AE" w:rsidRPr="00762A84" w:rsidRDefault="00EF41C4" w:rsidP="00EF41C4">
      <w:pPr>
        <w:pStyle w:val="Caution"/>
      </w:pPr>
      <w:bookmarkStart w:id="113" w:name="OLE_LINK43"/>
      <w:bookmarkStart w:id="114" w:name="OLE_LINK44"/>
      <w:r>
        <w:t>When</w:t>
      </w:r>
      <w:r w:rsidR="00762A84">
        <w:t xml:space="preserve"> a</w:t>
      </w:r>
      <w:r>
        <w:t xml:space="preserve"> </w:t>
      </w:r>
      <w:r w:rsidR="00947497">
        <w:t xml:space="preserve">window is partially displayed or </w:t>
      </w:r>
      <w:r>
        <w:t>freezes</w:t>
      </w:r>
      <w:r w:rsidR="00762A84">
        <w:t>;</w:t>
      </w:r>
      <w:r>
        <w:t xml:space="preserve"> </w:t>
      </w:r>
      <w:r w:rsidR="00762A84">
        <w:t xml:space="preserve">or when you move from one window to another, enter information, return to the original window, and the entered information is not available, minimize then maximize the window to refresh it. </w:t>
      </w:r>
      <w:bookmarkEnd w:id="113"/>
      <w:bookmarkEnd w:id="114"/>
    </w:p>
    <w:p w14:paraId="5EAD8EE6" w14:textId="77777777" w:rsidR="002A21AE" w:rsidRDefault="002A21AE" w:rsidP="00FA7E65">
      <w:pPr>
        <w:pStyle w:val="BodyText"/>
      </w:pPr>
      <w:r>
        <w:t xml:space="preserve">To resize an open window: </w:t>
      </w:r>
    </w:p>
    <w:p w14:paraId="434FFD46" w14:textId="77777777" w:rsidR="002A21AE" w:rsidRDefault="002A21AE">
      <w:pPr>
        <w:pStyle w:val="ListBullet"/>
      </w:pPr>
      <w:r>
        <w:t>Make sure the Maximize symbol is visible.</w:t>
      </w:r>
    </w:p>
    <w:p w14:paraId="6EB43999" w14:textId="77777777" w:rsidR="002A21AE" w:rsidRDefault="002A21AE">
      <w:pPr>
        <w:pStyle w:val="ListBullet"/>
      </w:pPr>
      <w:r>
        <w:t xml:space="preserve">Change the width: move the mouse cursor to the left or right window border until the pointer changes into a horizontal double-headed arrow, then drag the border to the right or left. </w:t>
      </w:r>
    </w:p>
    <w:p w14:paraId="13129440" w14:textId="77777777" w:rsidR="002A21AE" w:rsidRDefault="002A21AE">
      <w:pPr>
        <w:pStyle w:val="ListBullet"/>
      </w:pPr>
      <w:r>
        <w:t xml:space="preserve">Change the height: move the mouse cursor to the top or bottom window border until the pointer changes into a vertical double-headed arrow, then drag the border up or down. </w:t>
      </w:r>
    </w:p>
    <w:p w14:paraId="4ACE23DB" w14:textId="77777777" w:rsidR="002A21AE" w:rsidRDefault="002A21AE">
      <w:pPr>
        <w:pStyle w:val="ListBullet"/>
      </w:pPr>
      <w:r>
        <w:lastRenderedPageBreak/>
        <w:t xml:space="preserve">Change the height and width together: move the mouse cursor to any window corner until the pointer changes into a diagonal double-headed arrow, and then drag the border in any direction. </w:t>
      </w:r>
    </w:p>
    <w:p w14:paraId="614262C5" w14:textId="77777777" w:rsidR="002A21AE" w:rsidRDefault="002A21AE">
      <w:pPr>
        <w:pStyle w:val="Caution"/>
      </w:pPr>
      <w:r>
        <w:t>A maximized window cannot be resized or moved.</w:t>
      </w:r>
    </w:p>
    <w:p w14:paraId="4AD41414" w14:textId="77777777" w:rsidR="003802FB" w:rsidRDefault="002A21AE" w:rsidP="003802FB">
      <w:pPr>
        <w:pStyle w:val="BodyText"/>
      </w:pPr>
      <w:r>
        <w:t xml:space="preserve">To move a window, click the dark blue bar at the top of the window. While </w:t>
      </w:r>
      <w:r w:rsidR="00DA43CD">
        <w:t>depressing</w:t>
      </w:r>
      <w:r>
        <w:t xml:space="preserve"> the mouse button, drag the </w:t>
      </w:r>
      <w:r w:rsidR="00B917A8">
        <w:t>window to the desired position.</w:t>
      </w:r>
    </w:p>
    <w:p w14:paraId="0BE8689C" w14:textId="77777777" w:rsidR="002A21AE" w:rsidRDefault="002A21AE" w:rsidP="00FA7E65">
      <w:pPr>
        <w:pStyle w:val="BodyText"/>
      </w:pPr>
      <w:r>
        <w:t xml:space="preserve">The </w:t>
      </w:r>
      <w:r w:rsidR="00794B04">
        <w:t>first time a user opens a form [</w:t>
      </w:r>
      <w:r>
        <w:t>such as the Blood Transfusion Record Form</w:t>
      </w:r>
      <w:r w:rsidR="00794B04">
        <w:t xml:space="preserve"> (BTRF</w:t>
      </w:r>
      <w:r>
        <w:t>)</w:t>
      </w:r>
      <w:r w:rsidR="00794B04">
        <w:t>]</w:t>
      </w:r>
      <w:r>
        <w:t>, VBECS displays it in cascade style. When a user opens the form again, VBECS displays it in the size and position last selected.</w:t>
      </w:r>
    </w:p>
    <w:p w14:paraId="6E01E2D0" w14:textId="77777777" w:rsidR="002A21AE" w:rsidRDefault="002A21AE">
      <w:pPr>
        <w:pStyle w:val="Caution"/>
      </w:pPr>
      <w:r>
        <w:t>Forms can be resized and moved in the same way that windows are resized and moved.</w:t>
      </w:r>
    </w:p>
    <w:p w14:paraId="6A47DD1E" w14:textId="364E4F4D" w:rsidR="00963F12" w:rsidRDefault="00963F12" w:rsidP="00963F12">
      <w:pPr>
        <w:pStyle w:val="Heading3"/>
      </w:pPr>
      <w:bookmarkStart w:id="115" w:name="_Toc203765837"/>
      <w:r>
        <w:t>Keyboard Shortcuts for Windows</w:t>
      </w:r>
      <w:bookmarkEnd w:id="115"/>
      <w:r>
        <w:fldChar w:fldCharType="begin"/>
      </w:r>
      <w:r>
        <w:instrText xml:space="preserve"> XE </w:instrText>
      </w:r>
      <w:r w:rsidR="00FA7E65">
        <w:instrText>“</w:instrText>
      </w:r>
      <w:r w:rsidRPr="00DB2C0F">
        <w:instrText>Keyboard Shortcuts for Windows</w:instrText>
      </w:r>
      <w:r w:rsidR="00FA7E65">
        <w:instrText>”</w:instrText>
      </w:r>
      <w:r>
        <w:instrText xml:space="preserve"> </w:instrText>
      </w:r>
      <w:r>
        <w:fldChar w:fldCharType="end"/>
      </w:r>
    </w:p>
    <w:p w14:paraId="61FAB31F" w14:textId="77777777" w:rsidR="00963F12" w:rsidRDefault="00963F12" w:rsidP="00FA7E65">
      <w:pPr>
        <w:pStyle w:val="BodyText"/>
      </w:pPr>
      <w:r w:rsidRPr="00FA7E65">
        <w:t>Using a mouse to navigate VBECS requires fewer steps than using the keyboard. A user who prefers using the keyboard may refer to these keyboard shortcuts</w:t>
      </w:r>
      <w:r w:rsidR="00327BDD" w:rsidRPr="00FA7E65">
        <w:t>. Keys precede</w:t>
      </w:r>
      <w:r w:rsidR="00031138" w:rsidRPr="00FA7E65">
        <w:t>d</w:t>
      </w:r>
      <w:r w:rsidR="00327BDD" w:rsidRPr="00FA7E65">
        <w:t xml:space="preserve"> </w:t>
      </w:r>
      <w:r w:rsidR="009A316C" w:rsidRPr="00FA7E65">
        <w:t>and/</w:t>
      </w:r>
      <w:r w:rsidR="00686D70">
        <w:t>or followed by “+” indicate</w:t>
      </w:r>
      <w:r w:rsidR="00327BDD" w:rsidRPr="00FA7E65">
        <w:t xml:space="preserve"> that they must be pressed simultaneously</w:t>
      </w:r>
      <w:r w:rsidRPr="00FA7E65">
        <w:t>:</w:t>
      </w:r>
    </w:p>
    <w:p w14:paraId="69B69A54" w14:textId="77777777" w:rsidR="00BC58B1" w:rsidRPr="008D0D9B" w:rsidRDefault="00BC58B1" w:rsidP="00BC58B1">
      <w:pPr>
        <w:pStyle w:val="Caution"/>
        <w:rPr>
          <w:i w:val="0"/>
        </w:rPr>
      </w:pPr>
      <w:r>
        <w:t>Keyboard navigation of VBECS does not accommodate the presentation of error providers or tool tips. A mouse is required to reveal this information as needed.</w:t>
      </w:r>
      <w:r>
        <w:rPr>
          <w:vanish/>
        </w:rPr>
        <w:t xml:space="preserve"> DR 3590</w:t>
      </w:r>
    </w:p>
    <w:p w14:paraId="1D4B8234" w14:textId="77777777" w:rsidR="00CD612D" w:rsidRDefault="00CD612D" w:rsidP="00CD612D">
      <w:pPr>
        <w:pStyle w:val="Heading4"/>
      </w:pPr>
      <w:r>
        <w:t>CPRS and VBECS</w:t>
      </w:r>
    </w:p>
    <w:p w14:paraId="74CEB7C4" w14:textId="77777777" w:rsidR="00CD612D" w:rsidRDefault="00CD612D" w:rsidP="00CD612D">
      <w:pPr>
        <w:pStyle w:val="ListBullet"/>
      </w:pPr>
      <w:r>
        <w:t xml:space="preserve">Toggle between </w:t>
      </w:r>
      <w:r w:rsidRPr="00634DAB">
        <w:rPr>
          <w:b/>
        </w:rPr>
        <w:t>VBECS</w:t>
      </w:r>
      <w:r>
        <w:t xml:space="preserve"> and </w:t>
      </w:r>
      <w:r w:rsidRPr="00634DAB">
        <w:rPr>
          <w:b/>
        </w:rPr>
        <w:t>CPRS</w:t>
      </w:r>
      <w:r>
        <w:t xml:space="preserve"> or another application: </w:t>
      </w:r>
      <w:r w:rsidRPr="00634DAB">
        <w:rPr>
          <w:b/>
        </w:rPr>
        <w:t>Alt</w:t>
      </w:r>
      <w:r w:rsidRPr="00823F58">
        <w:t xml:space="preserve"> + </w:t>
      </w:r>
      <w:r w:rsidRPr="00634DAB">
        <w:rPr>
          <w:b/>
        </w:rPr>
        <w:t>Tab</w:t>
      </w:r>
    </w:p>
    <w:p w14:paraId="396CC0DB" w14:textId="77777777" w:rsidR="00031138" w:rsidRDefault="00031138" w:rsidP="00031138">
      <w:pPr>
        <w:pStyle w:val="Heading4"/>
      </w:pPr>
      <w:r>
        <w:t>Menus</w:t>
      </w:r>
    </w:p>
    <w:p w14:paraId="1C2F65B5" w14:textId="77777777" w:rsidR="00CA479B" w:rsidRPr="007E7887" w:rsidRDefault="00CA479B" w:rsidP="00CA479B">
      <w:pPr>
        <w:pStyle w:val="ListBullet"/>
      </w:pPr>
      <w:r>
        <w:t>Display</w:t>
      </w:r>
      <w:r w:rsidRPr="007E7887">
        <w:t xml:space="preserve"> the </w:t>
      </w:r>
      <w:r w:rsidRPr="00634DAB">
        <w:rPr>
          <w:b/>
        </w:rPr>
        <w:t>Start</w:t>
      </w:r>
      <w:r w:rsidRPr="007E7887">
        <w:t xml:space="preserve"> menu (use the </w:t>
      </w:r>
      <w:r>
        <w:t>arrow</w:t>
      </w:r>
      <w:r w:rsidRPr="007E7887">
        <w:t xml:space="preserve"> keys to select an item)</w:t>
      </w:r>
      <w:r>
        <w:t xml:space="preserve">: </w:t>
      </w:r>
      <w:r w:rsidRPr="00634DAB">
        <w:rPr>
          <w:b/>
        </w:rPr>
        <w:t>Alt</w:t>
      </w:r>
      <w:r>
        <w:t xml:space="preserve"> + </w:t>
      </w:r>
      <w:r w:rsidRPr="00634DAB">
        <w:rPr>
          <w:b/>
        </w:rPr>
        <w:t>Home</w:t>
      </w:r>
    </w:p>
    <w:p w14:paraId="5B8CBE45" w14:textId="64C35DF5" w:rsidR="00CA479B" w:rsidRPr="007E7887" w:rsidRDefault="00CA479B" w:rsidP="00CA479B">
      <w:pPr>
        <w:pStyle w:val="ListBullet"/>
      </w:pPr>
      <w:r w:rsidRPr="007E7887">
        <w:t xml:space="preserve">Activate </w:t>
      </w:r>
      <w:r>
        <w:t xml:space="preserve">a </w:t>
      </w:r>
      <w:r w:rsidRPr="007E7887">
        <w:t>menu bar option</w:t>
      </w:r>
      <w:r>
        <w:t xml:space="preserve">: </w:t>
      </w:r>
      <w:r w:rsidRPr="00634DAB">
        <w:rPr>
          <w:b/>
        </w:rPr>
        <w:t>F10</w:t>
      </w:r>
      <w:r w:rsidR="00173A54">
        <w:rPr>
          <w:b/>
        </w:rPr>
        <w:t xml:space="preserve"> </w:t>
      </w:r>
      <w:r w:rsidR="00173A54" w:rsidRPr="00173A54">
        <w:rPr>
          <w:bCs/>
        </w:rPr>
        <w:t>or</w:t>
      </w:r>
      <w:r w:rsidR="00173A54">
        <w:rPr>
          <w:b/>
        </w:rPr>
        <w:t xml:space="preserve"> Alt</w:t>
      </w:r>
    </w:p>
    <w:p w14:paraId="416C352F" w14:textId="77777777" w:rsidR="00CA479B" w:rsidRPr="007E7887" w:rsidRDefault="00CA479B" w:rsidP="00CA479B">
      <w:pPr>
        <w:pStyle w:val="ListBullet"/>
      </w:pPr>
      <w:r w:rsidRPr="007E7887">
        <w:t>Open a menu</w:t>
      </w:r>
      <w:r>
        <w:t xml:space="preserve">: </w:t>
      </w:r>
      <w:r w:rsidRPr="00634DAB">
        <w:rPr>
          <w:b/>
        </w:rPr>
        <w:t>Alt</w:t>
      </w:r>
      <w:r w:rsidRPr="007E7887">
        <w:t xml:space="preserve"> + underscored letter</w:t>
      </w:r>
    </w:p>
    <w:p w14:paraId="6F4116ED" w14:textId="77777777" w:rsidR="00CA479B" w:rsidRPr="007E7887" w:rsidRDefault="00CA479B" w:rsidP="00CA479B">
      <w:pPr>
        <w:pStyle w:val="ListBullet"/>
      </w:pPr>
      <w:r>
        <w:t xml:space="preserve">Move to and select a menu item: Arrow key + </w:t>
      </w:r>
      <w:r w:rsidRPr="00634DAB">
        <w:rPr>
          <w:b/>
        </w:rPr>
        <w:t>Enter</w:t>
      </w:r>
    </w:p>
    <w:p w14:paraId="2F196D8C" w14:textId="77777777" w:rsidR="00CA479B" w:rsidRPr="007E7887" w:rsidRDefault="00CA479B" w:rsidP="00CA479B">
      <w:pPr>
        <w:pStyle w:val="ListBullet"/>
      </w:pPr>
      <w:r>
        <w:t xml:space="preserve">Open a submenu item: </w:t>
      </w:r>
      <w:r w:rsidRPr="00634DAB">
        <w:rPr>
          <w:b/>
        </w:rPr>
        <w:t>Shift</w:t>
      </w:r>
      <w:r>
        <w:t xml:space="preserve"> + letter (case insensitive)</w:t>
      </w:r>
    </w:p>
    <w:p w14:paraId="7D8C599D" w14:textId="77777777" w:rsidR="00CA479B" w:rsidRPr="007E7887" w:rsidRDefault="00CA479B" w:rsidP="00CA479B">
      <w:pPr>
        <w:pStyle w:val="ListBullet"/>
      </w:pPr>
      <w:r w:rsidRPr="007E7887">
        <w:t>Open a drop-down menu</w:t>
      </w:r>
      <w:r>
        <w:t xml:space="preserve">: </w:t>
      </w:r>
      <w:r w:rsidRPr="00634DAB">
        <w:rPr>
          <w:b/>
        </w:rPr>
        <w:t>Alt</w:t>
      </w:r>
      <w:r w:rsidRPr="007E7887">
        <w:t xml:space="preserve"> + </w:t>
      </w:r>
      <w:r>
        <w:t>down arrow key</w:t>
      </w:r>
    </w:p>
    <w:p w14:paraId="0C56E05D" w14:textId="4C875891" w:rsidR="00CA479B" w:rsidRPr="007E7887" w:rsidRDefault="00CA479B" w:rsidP="00CA479B">
      <w:pPr>
        <w:pStyle w:val="ListBullet"/>
      </w:pPr>
      <w:r w:rsidRPr="007E7887">
        <w:t>Close a drop-down menu</w:t>
      </w:r>
      <w:r>
        <w:t xml:space="preserve">: </w:t>
      </w:r>
      <w:r w:rsidRPr="00634DAB">
        <w:rPr>
          <w:b/>
        </w:rPr>
        <w:t>Alt</w:t>
      </w:r>
      <w:r w:rsidRPr="007E7887">
        <w:t xml:space="preserve"> + </w:t>
      </w:r>
      <w:r>
        <w:t>up arrow key</w:t>
      </w:r>
      <w:r w:rsidR="00140843">
        <w:t xml:space="preserve"> or </w:t>
      </w:r>
      <w:r w:rsidR="00140843" w:rsidRPr="00140843">
        <w:rPr>
          <w:b/>
          <w:bCs/>
        </w:rPr>
        <w:t>Escape</w:t>
      </w:r>
    </w:p>
    <w:p w14:paraId="7BE9FADE" w14:textId="154B0304" w:rsidR="00CA479B" w:rsidRPr="00031138" w:rsidRDefault="00CA479B" w:rsidP="00CA479B">
      <w:pPr>
        <w:pStyle w:val="ListBullet"/>
      </w:pPr>
      <w:r>
        <w:t>Display</w:t>
      </w:r>
      <w:r w:rsidRPr="007E7887">
        <w:t xml:space="preserve"> a shortcut menu for the selected item</w:t>
      </w:r>
      <w:r>
        <w:t xml:space="preserve">: </w:t>
      </w:r>
      <w:r w:rsidRPr="007E7887">
        <w:t>Application key</w:t>
      </w:r>
      <w:r>
        <w:t xml:space="preserve"> </w:t>
      </w:r>
      <w:r>
        <w:rPr>
          <w:rFonts w:ascii="Arial" w:hAnsi="Arial"/>
          <w:sz w:val="16"/>
          <w:szCs w:val="16"/>
        </w:rPr>
        <w:t>(</w:t>
      </w:r>
      <w:r w:rsidR="00D87841">
        <w:rPr>
          <w:noProof/>
        </w:rPr>
        <w:drawing>
          <wp:inline distT="0" distB="0" distL="0" distR="0" wp14:anchorId="0B204CBC" wp14:editId="4CDB1FB0">
            <wp:extent cx="333375" cy="276225"/>
            <wp:effectExtent l="0" t="0" r="9525" b="9525"/>
            <wp:docPr id="5" name="Picture 5" descr="Application key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pplication key icon"/>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333375" cy="276225"/>
                    </a:xfrm>
                    <a:prstGeom prst="rect">
                      <a:avLst/>
                    </a:prstGeom>
                    <a:noFill/>
                    <a:ln>
                      <a:noFill/>
                    </a:ln>
                  </pic:spPr>
                </pic:pic>
              </a:graphicData>
            </a:graphic>
          </wp:inline>
        </w:drawing>
      </w:r>
      <w:r>
        <w:rPr>
          <w:rFonts w:ascii="Arial" w:hAnsi="Arial"/>
          <w:sz w:val="16"/>
          <w:szCs w:val="16"/>
        </w:rPr>
        <w:t>)</w:t>
      </w:r>
    </w:p>
    <w:p w14:paraId="5A4A017F" w14:textId="77777777" w:rsidR="00957EE4" w:rsidRDefault="00C52F72" w:rsidP="00957EE4">
      <w:pPr>
        <w:pStyle w:val="Heading4"/>
      </w:pPr>
      <w:r>
        <w:t>Buttons, Check Boxes, and Fields</w:t>
      </w:r>
    </w:p>
    <w:p w14:paraId="64283FDF" w14:textId="545780C8" w:rsidR="00CA479B" w:rsidRPr="007E7887" w:rsidRDefault="00CA479B" w:rsidP="00CA479B">
      <w:pPr>
        <w:pStyle w:val="ListBullet"/>
      </w:pPr>
      <w:r>
        <w:t xml:space="preserve">Move to and select fields and buttons: </w:t>
      </w:r>
      <w:r w:rsidRPr="00634DAB">
        <w:rPr>
          <w:b/>
        </w:rPr>
        <w:t>Tab</w:t>
      </w:r>
      <w:r>
        <w:t xml:space="preserve"> </w:t>
      </w:r>
      <w:r w:rsidR="00D87841">
        <w:t xml:space="preserve">or </w:t>
      </w:r>
      <w:r w:rsidR="00D87841" w:rsidRPr="00D87841">
        <w:rPr>
          <w:b/>
          <w:bCs/>
        </w:rPr>
        <w:t>Alt</w:t>
      </w:r>
      <w:r w:rsidR="00D87841">
        <w:t xml:space="preserve"> </w:t>
      </w:r>
      <w:r>
        <w:t xml:space="preserve">+ </w:t>
      </w:r>
      <w:r w:rsidR="00140843" w:rsidRPr="00140843">
        <w:rPr>
          <w:bCs/>
        </w:rPr>
        <w:t>underscored letter</w:t>
      </w:r>
    </w:p>
    <w:p w14:paraId="77274CF0" w14:textId="77777777" w:rsidR="00CA479B" w:rsidRDefault="00CA479B" w:rsidP="00CA479B">
      <w:pPr>
        <w:pStyle w:val="ListBullet"/>
      </w:pPr>
      <w:r>
        <w:t xml:space="preserve">Select or clear a check box: </w:t>
      </w:r>
      <w:r w:rsidRPr="00634DAB">
        <w:rPr>
          <w:b/>
        </w:rPr>
        <w:t>Tab</w:t>
      </w:r>
      <w:r>
        <w:t xml:space="preserve">, arrow key (or </w:t>
      </w:r>
      <w:r w:rsidRPr="00634DAB">
        <w:rPr>
          <w:b/>
        </w:rPr>
        <w:t>Alt</w:t>
      </w:r>
      <w:r>
        <w:t xml:space="preserve"> + underscored letter), spacebar</w:t>
      </w:r>
    </w:p>
    <w:p w14:paraId="39BF87DA" w14:textId="291A73FA" w:rsidR="00CA479B" w:rsidRDefault="00CA479B" w:rsidP="00CA479B">
      <w:pPr>
        <w:pStyle w:val="ListBullet"/>
      </w:pPr>
      <w:r>
        <w:t xml:space="preserve">Select a </w:t>
      </w:r>
      <w:r w:rsidR="00140843">
        <w:t xml:space="preserve">different </w:t>
      </w:r>
      <w:r>
        <w:t xml:space="preserve">radio button: </w:t>
      </w:r>
      <w:r w:rsidRPr="00634DAB">
        <w:rPr>
          <w:b/>
        </w:rPr>
        <w:t>Tab</w:t>
      </w:r>
      <w:r>
        <w:t xml:space="preserve">, arrow key (or </w:t>
      </w:r>
      <w:r w:rsidRPr="00634DAB">
        <w:rPr>
          <w:b/>
        </w:rPr>
        <w:t>Alt</w:t>
      </w:r>
      <w:r>
        <w:t xml:space="preserve"> + underscored letter)</w:t>
      </w:r>
    </w:p>
    <w:p w14:paraId="76E00EAB" w14:textId="06725755" w:rsidR="0055000A" w:rsidRDefault="0055000A" w:rsidP="00CA479B">
      <w:pPr>
        <w:pStyle w:val="ListBullet"/>
      </w:pPr>
      <w:r>
        <w:t xml:space="preserve">Many windows contain a default </w:t>
      </w:r>
      <w:r w:rsidR="00D87841">
        <w:t>button</w:t>
      </w:r>
      <w:r>
        <w:t xml:space="preserve"> which is activated by pressing </w:t>
      </w:r>
      <w:r w:rsidRPr="0055000A">
        <w:rPr>
          <w:b/>
          <w:bCs/>
        </w:rPr>
        <w:t>Enter</w:t>
      </w:r>
    </w:p>
    <w:p w14:paraId="7F4126E9" w14:textId="4AE22FA5" w:rsidR="0055000A" w:rsidRDefault="0055000A" w:rsidP="0055000A">
      <w:pPr>
        <w:pStyle w:val="ListBullet"/>
      </w:pPr>
      <w:r>
        <w:t xml:space="preserve">Many windows contain a </w:t>
      </w:r>
      <w:r w:rsidRPr="0055000A">
        <w:rPr>
          <w:b/>
          <w:bCs/>
        </w:rPr>
        <w:t>Cancel/Close</w:t>
      </w:r>
      <w:r>
        <w:t xml:space="preserve"> button which is activated by pressing </w:t>
      </w:r>
      <w:r w:rsidRPr="0055000A">
        <w:rPr>
          <w:b/>
          <w:bCs/>
        </w:rPr>
        <w:t>Escape</w:t>
      </w:r>
    </w:p>
    <w:p w14:paraId="78285821" w14:textId="264DFFB8" w:rsidR="00CD612D" w:rsidRDefault="00CD612D" w:rsidP="00CD612D">
      <w:pPr>
        <w:pStyle w:val="Heading4"/>
      </w:pPr>
      <w:r>
        <w:lastRenderedPageBreak/>
        <w:t>Screen Prints</w:t>
      </w:r>
    </w:p>
    <w:p w14:paraId="3EC9DA9B" w14:textId="77777777" w:rsidR="00CD612D" w:rsidRDefault="00CD612D" w:rsidP="00CD612D">
      <w:pPr>
        <w:pStyle w:val="ListBullet"/>
      </w:pPr>
      <w:r>
        <w:t xml:space="preserve">Place a snapshot of the desktop on the local clipboard and paste it in another application: </w:t>
      </w:r>
      <w:r w:rsidRPr="00634DAB">
        <w:rPr>
          <w:b/>
        </w:rPr>
        <w:t>Ctrl</w:t>
      </w:r>
      <w:r>
        <w:t xml:space="preserve"> + </w:t>
      </w:r>
      <w:r w:rsidRPr="00634DAB">
        <w:rPr>
          <w:b/>
        </w:rPr>
        <w:t>Alt</w:t>
      </w:r>
      <w:r>
        <w:t xml:space="preserve"> + Plus (+ on the numeric keypad; </w:t>
      </w:r>
      <w:r w:rsidRPr="00634DAB">
        <w:rPr>
          <w:b/>
        </w:rPr>
        <w:t>Ctrl</w:t>
      </w:r>
      <w:r>
        <w:t xml:space="preserve"> + </w:t>
      </w:r>
      <w:r w:rsidRPr="00634DAB">
        <w:rPr>
          <w:b/>
        </w:rPr>
        <w:t>V</w:t>
      </w:r>
      <w:r>
        <w:t xml:space="preserve"> to paste)</w:t>
      </w:r>
    </w:p>
    <w:p w14:paraId="60D44672" w14:textId="1C7068A3" w:rsidR="00CD612D" w:rsidRDefault="00CD612D" w:rsidP="00CD612D">
      <w:pPr>
        <w:pStyle w:val="ListBullet"/>
      </w:pPr>
      <w:r>
        <w:t xml:space="preserve">Place a snapshot of the active window on the local clipboard and paste it in another application: </w:t>
      </w:r>
      <w:r w:rsidRPr="00634DAB">
        <w:rPr>
          <w:b/>
        </w:rPr>
        <w:t>Ctrl</w:t>
      </w:r>
      <w:r>
        <w:t xml:space="preserve"> + </w:t>
      </w:r>
      <w:r w:rsidRPr="00634DAB">
        <w:rPr>
          <w:b/>
        </w:rPr>
        <w:t>Alt</w:t>
      </w:r>
      <w:r>
        <w:t xml:space="preserve"> + Minus (</w:t>
      </w:r>
      <w:r w:rsidRPr="00634DAB">
        <w:rPr>
          <w:b/>
        </w:rPr>
        <w:t>–</w:t>
      </w:r>
      <w:r>
        <w:t xml:space="preserve"> on the numeric keypad; </w:t>
      </w:r>
      <w:r w:rsidRPr="00634DAB">
        <w:rPr>
          <w:b/>
        </w:rPr>
        <w:t>Ctrl</w:t>
      </w:r>
      <w:r>
        <w:t xml:space="preserve"> + </w:t>
      </w:r>
      <w:r w:rsidRPr="00634DAB">
        <w:rPr>
          <w:b/>
        </w:rPr>
        <w:t>V</w:t>
      </w:r>
      <w:r>
        <w:t xml:space="preserve"> to paste)</w:t>
      </w:r>
    </w:p>
    <w:p w14:paraId="1F6AF189" w14:textId="4EC17AE8" w:rsidR="007B32B4" w:rsidRDefault="007B32B4" w:rsidP="00CD612D">
      <w:pPr>
        <w:pStyle w:val="ListBullet"/>
      </w:pPr>
      <w:r>
        <w:t xml:space="preserve">See </w:t>
      </w:r>
      <w:r w:rsidRPr="00423A7F">
        <w:rPr>
          <w:i/>
          <w:iCs/>
        </w:rPr>
        <w:t>FAQ How to take faster screen shots from Remote Desktop Session</w:t>
      </w:r>
      <w:r w:rsidR="00911CAF">
        <w:t xml:space="preserve"> for additional information.</w:t>
      </w:r>
    </w:p>
    <w:p w14:paraId="4A9F70F5" w14:textId="00DF4F13" w:rsidR="002A21AE" w:rsidRDefault="002A21AE" w:rsidP="00963F12">
      <w:pPr>
        <w:pStyle w:val="Heading3"/>
      </w:pPr>
      <w:bookmarkStart w:id="116" w:name="_Toc203765838"/>
      <w:r>
        <w:t>Drop-Down Menus</w:t>
      </w:r>
      <w:bookmarkEnd w:id="116"/>
      <w:r>
        <w:fldChar w:fldCharType="begin"/>
      </w:r>
      <w:r>
        <w:instrText xml:space="preserve"> XE </w:instrText>
      </w:r>
      <w:r w:rsidR="00FA7E65">
        <w:instrText>“</w:instrText>
      </w:r>
      <w:r>
        <w:instrText>Drop-Down Menus</w:instrText>
      </w:r>
      <w:r w:rsidR="00FA7E65">
        <w:instrText>”</w:instrText>
      </w:r>
      <w:r>
        <w:instrText xml:space="preserve"> </w:instrText>
      </w:r>
      <w:r>
        <w:fldChar w:fldCharType="end"/>
      </w:r>
      <w:r>
        <w:t xml:space="preserve"> </w:t>
      </w:r>
    </w:p>
    <w:p w14:paraId="61BD5645" w14:textId="77777777" w:rsidR="002A21AE" w:rsidRDefault="002A21AE" w:rsidP="00FA7E65">
      <w:pPr>
        <w:pStyle w:val="BodyText"/>
      </w:pPr>
      <w:r>
        <w:t xml:space="preserve">A </w:t>
      </w:r>
      <w:r>
        <w:rPr>
          <w:i/>
        </w:rPr>
        <w:t>drop-down menu</w:t>
      </w:r>
      <w:r>
        <w:t xml:space="preserve"> may appear when a button is clicked or text is selected. Click or hold the mouse pointer over an item in a drop-down menu to reveal other items and submenus. Press an underscored letter (mnemonic) to select a menu it</w:t>
      </w:r>
      <w:r w:rsidR="000F5C7E">
        <w:t xml:space="preserve">em. To view underscored letters, press the </w:t>
      </w:r>
      <w:r w:rsidR="000F5C7E" w:rsidRPr="000F5C7E">
        <w:rPr>
          <w:b/>
        </w:rPr>
        <w:t>Alt</w:t>
      </w:r>
      <w:r w:rsidR="000F5C7E">
        <w:t xml:space="preserve"> key once.</w:t>
      </w:r>
    </w:p>
    <w:p w14:paraId="37A38B27" w14:textId="77777777" w:rsidR="002A21AE" w:rsidRDefault="002A21AE">
      <w:pPr>
        <w:pStyle w:val="Caution"/>
      </w:pPr>
      <w:r>
        <w:t xml:space="preserve">A </w:t>
      </w:r>
      <w:r w:rsidRPr="00092254">
        <w:rPr>
          <w:rFonts w:ascii="Webdings" w:hAnsi="Webdings"/>
          <w:i w:val="0"/>
        </w:rPr>
        <w:t></w:t>
      </w:r>
      <w:r w:rsidRPr="00092254">
        <w:rPr>
          <w:rFonts w:ascii="Webdings" w:hAnsi="Webdings"/>
        </w:rPr>
        <w:t></w:t>
      </w:r>
      <w:r>
        <w:t xml:space="preserve">(submenu arrow) next to a menu item indicates that a submenu is </w:t>
      </w:r>
      <w:r w:rsidR="00541DC0">
        <w:t>available. An</w:t>
      </w:r>
      <w:r>
        <w:t xml:space="preserve"> option that is not available to a user is visible but grayed out.</w:t>
      </w:r>
    </w:p>
    <w:p w14:paraId="181E3B33" w14:textId="77777777" w:rsidR="002A21AE" w:rsidRDefault="002A21AE">
      <w:pPr>
        <w:pStyle w:val="Heading3"/>
      </w:pPr>
      <w:bookmarkStart w:id="117" w:name="_Toc203765839"/>
      <w:r>
        <w:t>Tool Tips</w:t>
      </w:r>
      <w:bookmarkEnd w:id="117"/>
      <w:r>
        <w:fldChar w:fldCharType="begin"/>
      </w:r>
      <w:r>
        <w:instrText xml:space="preserve"> XE </w:instrText>
      </w:r>
      <w:r w:rsidR="00FA7E65">
        <w:instrText>“</w:instrText>
      </w:r>
      <w:r>
        <w:instrText>Tool Tips</w:instrText>
      </w:r>
      <w:r w:rsidR="00FA7E65">
        <w:instrText>”</w:instrText>
      </w:r>
      <w:r>
        <w:instrText xml:space="preserve"> </w:instrText>
      </w:r>
      <w:r>
        <w:fldChar w:fldCharType="end"/>
      </w:r>
    </w:p>
    <w:p w14:paraId="5AD1D9CF" w14:textId="77777777" w:rsidR="002A21AE" w:rsidRDefault="002A21AE" w:rsidP="00FA7E65">
      <w:pPr>
        <w:pStyle w:val="BodyText"/>
      </w:pPr>
      <w:bookmarkStart w:id="118" w:name="OLE_LINK49"/>
      <w:bookmarkStart w:id="119" w:name="OLE_LINK50"/>
      <w:r>
        <w:t xml:space="preserve">A </w:t>
      </w:r>
      <w:r>
        <w:rPr>
          <w:i/>
          <w:iCs/>
        </w:rPr>
        <w:t>tool tip</w:t>
      </w:r>
      <w:r>
        <w:t xml:space="preserve"> is a description or explanation that appears when the mouse pointer is held over </w:t>
      </w:r>
      <w:r w:rsidR="00DB268C">
        <w:t xml:space="preserve">(not selected or highlighted) </w:t>
      </w:r>
      <w:r>
        <w:t>a tool, button, or other object (without clicking a mouse button).</w:t>
      </w:r>
      <w:bookmarkEnd w:id="118"/>
      <w:bookmarkEnd w:id="119"/>
      <w:r>
        <w:t xml:space="preserve"> </w:t>
      </w:r>
    </w:p>
    <w:p w14:paraId="3F9DC293" w14:textId="77777777" w:rsidR="002A21AE" w:rsidRDefault="002A21AE">
      <w:pPr>
        <w:pStyle w:val="Caution"/>
      </w:pPr>
      <w:r>
        <w:t xml:space="preserve">When a tool tip does not </w:t>
      </w:r>
      <w:r w:rsidR="00643C9A">
        <w:t>appear</w:t>
      </w:r>
      <w:r>
        <w:t>, wait a few moments, then reposition the mouse pointer over the tool, button, or other object. If necessary, exit and reenter the window.</w:t>
      </w:r>
    </w:p>
    <w:p w14:paraId="223E5C38" w14:textId="77777777" w:rsidR="002A21AE" w:rsidRDefault="002A21AE" w:rsidP="00FA7E65">
      <w:pPr>
        <w:pStyle w:val="BodyText"/>
      </w:pPr>
      <w:r>
        <w:t>Tool tips appear with:</w:t>
      </w:r>
    </w:p>
    <w:p w14:paraId="4D648983" w14:textId="77777777" w:rsidR="002A21AE" w:rsidRDefault="002A21AE">
      <w:pPr>
        <w:pStyle w:val="ListBullet"/>
      </w:pPr>
      <w:r>
        <w:t>Some control buttons</w:t>
      </w:r>
    </w:p>
    <w:p w14:paraId="24FC5722" w14:textId="77777777" w:rsidR="002A21AE" w:rsidRDefault="002A21AE">
      <w:pPr>
        <w:pStyle w:val="ListBullet"/>
      </w:pPr>
      <w:r>
        <w:t>Icons in the Patient Information Toolbar</w:t>
      </w:r>
    </w:p>
    <w:p w14:paraId="7FA78672" w14:textId="77777777" w:rsidR="002A21AE" w:rsidRDefault="002A21AE">
      <w:pPr>
        <w:pStyle w:val="Caution"/>
      </w:pPr>
      <w:r>
        <w:t xml:space="preserve">Text enclosed in angle brackets (&lt; &gt;) in tool tips and messages </w:t>
      </w:r>
      <w:r w:rsidR="00443024">
        <w:t>will change</w:t>
      </w:r>
      <w:r>
        <w:t xml:space="preserve"> to reflect the current activity. </w:t>
      </w:r>
    </w:p>
    <w:p w14:paraId="58DDAE1C" w14:textId="77777777" w:rsidR="002A21AE" w:rsidRDefault="00040E3B" w:rsidP="00832E21">
      <w:pPr>
        <w:pStyle w:val="Caution"/>
        <w:pBdr>
          <w:top w:val="single" w:sz="4" w:space="3" w:color="auto"/>
        </w:pBdr>
      </w:pPr>
      <w:r>
        <w:t xml:space="preserve">The user may click column headings in some data displays, such as the Pending Task List, Pending Order List, and Select Units, to sort the information in those columns. </w:t>
      </w:r>
    </w:p>
    <w:p w14:paraId="4B6D5B30" w14:textId="613B55EE" w:rsidR="002A21AE" w:rsidRDefault="002A21AE">
      <w:pPr>
        <w:pStyle w:val="Heading3"/>
      </w:pPr>
      <w:bookmarkStart w:id="120" w:name="_Toc203765840"/>
      <w:r>
        <w:t>Icons and Buttons</w:t>
      </w:r>
      <w:bookmarkEnd w:id="120"/>
      <w:r>
        <w:fldChar w:fldCharType="begin"/>
      </w:r>
      <w:r>
        <w:instrText xml:space="preserve"> XE </w:instrText>
      </w:r>
      <w:r w:rsidR="00FA7E65">
        <w:instrText>“</w:instrText>
      </w:r>
      <w:r>
        <w:instrText>Icons and Buttons</w:instrText>
      </w:r>
      <w:r w:rsidR="00FA7E65">
        <w:instrText>”</w:instrText>
      </w:r>
      <w:r>
        <w:instrText xml:space="preserve"> </w:instrText>
      </w:r>
      <w:r>
        <w:fldChar w:fldCharType="end"/>
      </w:r>
    </w:p>
    <w:p w14:paraId="3D50134F" w14:textId="77777777" w:rsidR="002A21AE" w:rsidRDefault="002A21AE" w:rsidP="00FA7E65">
      <w:pPr>
        <w:pStyle w:val="BodyText"/>
      </w:pPr>
      <w:r>
        <w:t xml:space="preserve">VBECS uses several types of images to help you move through the system: </w:t>
      </w:r>
    </w:p>
    <w:p w14:paraId="4401937E" w14:textId="12EA0523" w:rsidR="002A21AE" w:rsidRDefault="002A21AE">
      <w:pPr>
        <w:pStyle w:val="ListBullet"/>
      </w:pPr>
      <w:r>
        <w:rPr>
          <w:i/>
          <w:iCs/>
        </w:rPr>
        <w:t>Icons</w:t>
      </w:r>
      <w:r>
        <w:t xml:space="preserve"> represent objects (information used in an application). The rectangular area in the lower</w:t>
      </w:r>
      <w:r w:rsidR="000E78EE">
        <w:t>-</w:t>
      </w:r>
      <w:r>
        <w:t>right corner of the screen (system tray) contains icons of programs that always run in the background</w:t>
      </w:r>
      <w:r w:rsidR="000E78EE">
        <w:t xml:space="preserve"> (see </w:t>
      </w:r>
      <w:r w:rsidR="00EE455E">
        <w:t>Main Status Bar</w:t>
      </w:r>
      <w:r w:rsidR="000E78EE">
        <w:t xml:space="preserve"> section).</w:t>
      </w:r>
    </w:p>
    <w:p w14:paraId="0B8421CB" w14:textId="77777777" w:rsidR="002A21AE" w:rsidRDefault="002A21AE">
      <w:pPr>
        <w:pStyle w:val="ListBullet"/>
      </w:pPr>
      <w:r>
        <w:rPr>
          <w:i/>
          <w:iCs/>
        </w:rPr>
        <w:t>Buttons</w:t>
      </w:r>
      <w:r>
        <w:t xml:space="preserve"> are icons that represent tools or commands. </w:t>
      </w:r>
    </w:p>
    <w:p w14:paraId="67111421" w14:textId="1BBA23DE" w:rsidR="002A21AE" w:rsidRDefault="002A21AE">
      <w:pPr>
        <w:pStyle w:val="ListBullet"/>
      </w:pPr>
      <w:r>
        <w:rPr>
          <w:i/>
          <w:iCs/>
        </w:rPr>
        <w:t xml:space="preserve">Radio buttons </w:t>
      </w:r>
      <w:r>
        <w:t xml:space="preserve">are small circles preceding text. Related radio buttons are grouped together. Only one </w:t>
      </w:r>
      <w:r w:rsidR="0055000A">
        <w:t xml:space="preserve">radio </w:t>
      </w:r>
      <w:r>
        <w:t>button in a group may be selected: clicking a</w:t>
      </w:r>
      <w:r w:rsidR="0055000A">
        <w:t xml:space="preserve"> radio</w:t>
      </w:r>
      <w:r>
        <w:t xml:space="preserve"> button turns the other radio buttons off.</w:t>
      </w:r>
    </w:p>
    <w:p w14:paraId="153E1659" w14:textId="77777777" w:rsidR="002A21AE" w:rsidRDefault="002A21AE">
      <w:pPr>
        <w:pStyle w:val="Heading3"/>
      </w:pPr>
      <w:bookmarkStart w:id="121" w:name="_Toc203765841"/>
      <w:r>
        <w:lastRenderedPageBreak/>
        <w:t>Toolbars</w:t>
      </w:r>
      <w:bookmarkEnd w:id="121"/>
      <w:r>
        <w:fldChar w:fldCharType="begin"/>
      </w:r>
      <w:r>
        <w:instrText xml:space="preserve"> XE </w:instrText>
      </w:r>
      <w:r w:rsidR="00FA7E65">
        <w:instrText>“</w:instrText>
      </w:r>
      <w:r>
        <w:instrText>Toolbars</w:instrText>
      </w:r>
      <w:r w:rsidR="00FA7E65">
        <w:instrText>”</w:instrText>
      </w:r>
      <w:r>
        <w:instrText xml:space="preserve"> </w:instrText>
      </w:r>
      <w:r>
        <w:fldChar w:fldCharType="end"/>
      </w:r>
      <w:r>
        <w:t xml:space="preserve"> </w:t>
      </w:r>
    </w:p>
    <w:p w14:paraId="09EC1E71" w14:textId="77777777" w:rsidR="002A21AE" w:rsidRDefault="002A21AE" w:rsidP="00FA7E65">
      <w:pPr>
        <w:pStyle w:val="BodyText"/>
      </w:pPr>
      <w:r>
        <w:t xml:space="preserve">A </w:t>
      </w:r>
      <w:r>
        <w:rPr>
          <w:i/>
        </w:rPr>
        <w:t>tool</w:t>
      </w:r>
      <w:r>
        <w:t xml:space="preserve"> is a shortcut button, usually shown on a bar near the top of a window. Tools provide quick access to commonly used functions. A </w:t>
      </w:r>
      <w:r>
        <w:rPr>
          <w:i/>
        </w:rPr>
        <w:t>toolbar</w:t>
      </w:r>
      <w:r>
        <w:t xml:space="preserve"> displays groups of tools. Toolbars may contain buttons, menus, or combinations of both. (See also Patient Information Toolbar.)</w:t>
      </w:r>
    </w:p>
    <w:p w14:paraId="42587AD1" w14:textId="77777777" w:rsidR="002A21AE" w:rsidRDefault="002A21AE">
      <w:pPr>
        <w:pStyle w:val="Caution"/>
      </w:pPr>
      <w:r>
        <w:t>A toolbar with tools for several options (Main Toolbar) appears near the top of the screen.</w:t>
      </w:r>
    </w:p>
    <w:p w14:paraId="576C6C61" w14:textId="77777777" w:rsidR="002A21AE" w:rsidRDefault="002A21AE" w:rsidP="00FA7E65">
      <w:pPr>
        <w:pStyle w:val="BodyText"/>
      </w:pPr>
      <w:r>
        <w:t>Click a tool to open a function</w:t>
      </w:r>
      <w:r w:rsidR="00541DC0">
        <w:t xml:space="preserve"> quickly</w:t>
      </w:r>
      <w:r>
        <w:t>.</w:t>
      </w:r>
    </w:p>
    <w:p w14:paraId="7586B7E0" w14:textId="77777777" w:rsidR="002A21AE" w:rsidRDefault="002A21AE">
      <w:pPr>
        <w:pStyle w:val="Caution"/>
      </w:pPr>
      <w:r>
        <w:t xml:space="preserve">A function may also be opened by pressing </w:t>
      </w:r>
      <w:r>
        <w:rPr>
          <w:b/>
        </w:rPr>
        <w:t>Alt</w:t>
      </w:r>
      <w:r>
        <w:t xml:space="preserve"> and the </w:t>
      </w:r>
      <w:r w:rsidRPr="00443024">
        <w:rPr>
          <w:b/>
        </w:rPr>
        <w:t xml:space="preserve">key for the </w:t>
      </w:r>
      <w:r>
        <w:rPr>
          <w:b/>
        </w:rPr>
        <w:t xml:space="preserve">underscored letter </w:t>
      </w:r>
      <w:r>
        <w:t>in the tool name.</w:t>
      </w:r>
    </w:p>
    <w:p w14:paraId="4C490921" w14:textId="77777777" w:rsidR="002A21AE" w:rsidRDefault="002A21AE">
      <w:pPr>
        <w:pStyle w:val="Heading4"/>
      </w:pPr>
      <w:r>
        <w:t>Main Toolbar</w:t>
      </w:r>
      <w:r>
        <w:fldChar w:fldCharType="begin"/>
      </w:r>
      <w:r>
        <w:instrText xml:space="preserve"> XE </w:instrText>
      </w:r>
      <w:r w:rsidR="00FA7E65">
        <w:instrText>“</w:instrText>
      </w:r>
      <w:r>
        <w:instrText>Main Toolbar</w:instrText>
      </w:r>
      <w:r w:rsidR="00FA7E65">
        <w:instrText>”</w:instrText>
      </w:r>
      <w:r>
        <w:instrText xml:space="preserve"> </w:instrText>
      </w:r>
      <w:r>
        <w:fldChar w:fldCharType="end"/>
      </w:r>
    </w:p>
    <w:p w14:paraId="28F02177" w14:textId="7F671A35" w:rsidR="002A21AE" w:rsidRDefault="002A21AE" w:rsidP="00FA7E65">
      <w:pPr>
        <w:pStyle w:val="BodyText"/>
      </w:pPr>
      <w:r w:rsidRPr="002532D0">
        <w:t xml:space="preserve">The </w:t>
      </w:r>
      <w:r w:rsidRPr="002532D0">
        <w:rPr>
          <w:i/>
          <w:iCs/>
        </w:rPr>
        <w:t>Main Toolbar</w:t>
      </w:r>
      <w:r w:rsidRPr="002532D0">
        <w:t xml:space="preserve"> appears at the top of the screen. </w:t>
      </w:r>
      <w:r w:rsidR="000359E4" w:rsidRPr="002532D0">
        <w:t xml:space="preserve">All icons will be greyed out (un-clickable) when VBECS has been set to </w:t>
      </w:r>
      <w:r w:rsidR="002532D0">
        <w:t>Read-Only</w:t>
      </w:r>
      <w:r w:rsidR="000359E4" w:rsidRPr="002532D0">
        <w:t>. If enabled, the icons can be clicked</w:t>
      </w:r>
      <w:r w:rsidRPr="002532D0">
        <w:t xml:space="preserve"> to access</w:t>
      </w:r>
      <w:r w:rsidRPr="002532D0">
        <w:rPr>
          <w:rStyle w:val="FootnoteReference"/>
        </w:rPr>
        <w:footnoteReference w:id="3"/>
      </w:r>
      <w:r w:rsidRPr="002532D0">
        <w:t>:</w:t>
      </w:r>
    </w:p>
    <w:p w14:paraId="1F4089FB" w14:textId="77777777" w:rsidR="002A21AE" w:rsidRDefault="00057948" w:rsidP="00246EC0">
      <w:pPr>
        <w:pStyle w:val="BodyText"/>
        <w:spacing w:after="60"/>
        <w:ind w:left="360" w:hanging="360"/>
      </w:pPr>
      <w:r>
        <w:rPr>
          <w:noProof/>
        </w:rPr>
        <w:drawing>
          <wp:inline distT="0" distB="0" distL="0" distR="0" wp14:anchorId="12CE4A4F" wp14:editId="3833E47D">
            <wp:extent cx="156845" cy="156845"/>
            <wp:effectExtent l="0" t="0" r="0" b="0"/>
            <wp:docPr id="74" name="Picture 74" descr="Logon Reagents icon">
              <a:hlinkClick xmlns:a="http://schemas.openxmlformats.org/drawingml/2006/main" r:id="rId6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Picture 74" descr="Logon Reagents icon">
                      <a:hlinkClick r:id="rId62"/>
                    </pic:cNvPr>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A21AE">
        <w:tab/>
        <w:t>Log In Reagents</w:t>
      </w:r>
    </w:p>
    <w:p w14:paraId="09FA1B0F" w14:textId="77777777" w:rsidR="002A21AE" w:rsidRDefault="00057948" w:rsidP="00246EC0">
      <w:pPr>
        <w:pStyle w:val="BodyText"/>
        <w:spacing w:after="60"/>
        <w:ind w:left="360" w:hanging="360"/>
      </w:pPr>
      <w:r>
        <w:rPr>
          <w:noProof/>
        </w:rPr>
        <w:drawing>
          <wp:inline distT="0" distB="0" distL="0" distR="0" wp14:anchorId="5D5EB42A" wp14:editId="491287D4">
            <wp:extent cx="156845" cy="156845"/>
            <wp:effectExtent l="0" t="0" r="0" b="0"/>
            <wp:docPr id="75" name="Picture 75" descr="Enter Daily QC Results icon">
              <a:hlinkClick xmlns:a="http://schemas.openxmlformats.org/drawingml/2006/main" r:id="rId6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Picture 75" descr="Enter Daily QC Results icon">
                      <a:hlinkClick r:id="rId64"/>
                    </pic:cNvPr>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A21AE">
        <w:tab/>
        <w:t>Enter Daily QC Results</w:t>
      </w:r>
    </w:p>
    <w:p w14:paraId="5AECBCC1" w14:textId="77777777" w:rsidR="002A21AE" w:rsidRDefault="00057948" w:rsidP="00246EC0">
      <w:pPr>
        <w:pStyle w:val="BodyText"/>
        <w:spacing w:after="60"/>
        <w:ind w:left="360" w:hanging="360"/>
      </w:pPr>
      <w:r>
        <w:rPr>
          <w:noProof/>
        </w:rPr>
        <w:drawing>
          <wp:inline distT="0" distB="0" distL="0" distR="0" wp14:anchorId="531AC3B4" wp14:editId="51EC7A1B">
            <wp:extent cx="156845" cy="156845"/>
            <wp:effectExtent l="0" t="0" r="0" b="0"/>
            <wp:docPr id="76" name="Picture 76" descr="Incoming Shipment icon">
              <a:hlinkClick xmlns:a="http://schemas.openxmlformats.org/drawingml/2006/main" r:id="rId6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Picture 76" descr="Incoming Shipment icon">
                      <a:hlinkClick r:id="rId66"/>
                    </pic:cNvPr>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A21AE">
        <w:tab/>
        <w:t>Incoming Shipment</w:t>
      </w:r>
    </w:p>
    <w:p w14:paraId="47121BB1" w14:textId="77777777" w:rsidR="002A21AE" w:rsidRDefault="00057948" w:rsidP="00246EC0">
      <w:pPr>
        <w:pStyle w:val="BodyText"/>
        <w:spacing w:after="60"/>
        <w:ind w:left="360" w:hanging="360"/>
      </w:pPr>
      <w:r>
        <w:rPr>
          <w:noProof/>
        </w:rPr>
        <w:drawing>
          <wp:inline distT="0" distB="0" distL="0" distR="0" wp14:anchorId="633DAF8F" wp14:editId="50C66AE8">
            <wp:extent cx="156845" cy="156845"/>
            <wp:effectExtent l="0" t="0" r="0" b="0"/>
            <wp:docPr id="77" name="Picture 77" descr="ABO/Rh Confirmation icon">
              <a:hlinkClick xmlns:a="http://schemas.openxmlformats.org/drawingml/2006/main" r:id="rId6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Picture 77" descr="ABO/Rh Confirmation icon">
                      <a:hlinkClick r:id="rId68"/>
                    </pic:cNvPr>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A21AE">
        <w:tab/>
        <w:t>ABO/Rh Confirmation</w:t>
      </w:r>
    </w:p>
    <w:p w14:paraId="1CBD3E81" w14:textId="77777777" w:rsidR="002A21AE" w:rsidRDefault="00057948" w:rsidP="00246EC0">
      <w:pPr>
        <w:pStyle w:val="BodyText"/>
        <w:spacing w:after="60"/>
        <w:ind w:left="360" w:hanging="360"/>
      </w:pPr>
      <w:r>
        <w:rPr>
          <w:noProof/>
        </w:rPr>
        <w:drawing>
          <wp:inline distT="0" distB="0" distL="0" distR="0" wp14:anchorId="146861F2" wp14:editId="41C559CF">
            <wp:extent cx="156845" cy="156845"/>
            <wp:effectExtent l="0" t="0" r="0" b="0"/>
            <wp:docPr id="78" name="Picture 78" descr="Modify Units icon">
              <a:hlinkClick xmlns:a="http://schemas.openxmlformats.org/drawingml/2006/main" r:id="rId7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Picture 78" descr="Modify Units icon">
                      <a:hlinkClick r:id="rId70"/>
                    </pic:cNvPr>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A21AE">
        <w:tab/>
        <w:t>Modify Units</w:t>
      </w:r>
    </w:p>
    <w:p w14:paraId="23138F3E" w14:textId="77777777" w:rsidR="002A21AE" w:rsidRDefault="00057948" w:rsidP="00246EC0">
      <w:pPr>
        <w:pStyle w:val="BodyText"/>
        <w:spacing w:after="60"/>
        <w:ind w:left="360" w:hanging="360"/>
      </w:pPr>
      <w:r>
        <w:rPr>
          <w:noProof/>
        </w:rPr>
        <w:drawing>
          <wp:inline distT="0" distB="0" distL="0" distR="0" wp14:anchorId="35968CB3" wp14:editId="32701072">
            <wp:extent cx="156845" cy="156845"/>
            <wp:effectExtent l="0" t="0" r="0" b="0"/>
            <wp:docPr id="79" name="Picture 79" descr="Unit Antigen Typing icon">
              <a:hlinkClick xmlns:a="http://schemas.openxmlformats.org/drawingml/2006/main" r:id="rId7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Picture 79" descr="Unit Antigen Typing icon">
                      <a:hlinkClick r:id="rId72"/>
                    </pic:cNvPr>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A21AE">
        <w:tab/>
        <w:t>Unit Antigen Typing</w:t>
      </w:r>
    </w:p>
    <w:p w14:paraId="406AEFBA" w14:textId="77777777" w:rsidR="002A21AE" w:rsidRDefault="00057948" w:rsidP="00246EC0">
      <w:pPr>
        <w:pStyle w:val="BodyText"/>
        <w:spacing w:after="60"/>
        <w:ind w:left="360" w:hanging="360"/>
      </w:pPr>
      <w:r>
        <w:rPr>
          <w:noProof/>
        </w:rPr>
        <w:drawing>
          <wp:inline distT="0" distB="0" distL="0" distR="0" wp14:anchorId="064B39DF" wp14:editId="39B05898">
            <wp:extent cx="156845" cy="156845"/>
            <wp:effectExtent l="0" t="0" r="0" b="0"/>
            <wp:docPr id="80" name="Picture 80" descr="Outgoing Shipment icon">
              <a:hlinkClick xmlns:a="http://schemas.openxmlformats.org/drawingml/2006/main" r:id="rId7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Picture 80" descr="Outgoing Shipment icon">
                      <a:hlinkClick r:id="rId74"/>
                    </pic:cNvPr>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A21AE">
        <w:tab/>
        <w:t>Outgoing Shipment</w:t>
      </w:r>
    </w:p>
    <w:p w14:paraId="617B80DE" w14:textId="77777777" w:rsidR="002A21AE" w:rsidRDefault="00057948" w:rsidP="00246EC0">
      <w:pPr>
        <w:pStyle w:val="BodyText"/>
        <w:spacing w:after="60"/>
        <w:ind w:left="360" w:hanging="360"/>
      </w:pPr>
      <w:r>
        <w:rPr>
          <w:noProof/>
        </w:rPr>
        <w:drawing>
          <wp:inline distT="0" distB="0" distL="0" distR="0" wp14:anchorId="53BB7C9E" wp14:editId="20D42203">
            <wp:extent cx="156845" cy="156845"/>
            <wp:effectExtent l="0" t="0" r="0" b="0"/>
            <wp:docPr id="81" name="Picture 81" descr="Accept Orders: Accept an Order icon">
              <a:hlinkClick xmlns:a="http://schemas.openxmlformats.org/drawingml/2006/main" r:id="rId7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Picture 81" descr="Accept Orders: Accept an Order icon">
                      <a:hlinkClick r:id="rId76"/>
                    </pic:cNvPr>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A21AE">
        <w:tab/>
        <w:t>Accept Orders: Accept an Order</w:t>
      </w:r>
    </w:p>
    <w:p w14:paraId="5A0BBDBB" w14:textId="77777777" w:rsidR="002A21AE" w:rsidRDefault="00057948" w:rsidP="00246EC0">
      <w:pPr>
        <w:pStyle w:val="BodyText"/>
        <w:spacing w:after="60"/>
        <w:ind w:left="360" w:hanging="360"/>
      </w:pPr>
      <w:r>
        <w:rPr>
          <w:noProof/>
        </w:rPr>
        <w:drawing>
          <wp:inline distT="0" distB="0" distL="0" distR="0" wp14:anchorId="109857AA" wp14:editId="6ED56EB7">
            <wp:extent cx="156845" cy="156845"/>
            <wp:effectExtent l="0" t="0" r="0" b="0"/>
            <wp:docPr id="82" name="Picture 82" descr="Maintain Specimen icon">
              <a:hlinkClick xmlns:a="http://schemas.openxmlformats.org/drawingml/2006/main" r:id="rId7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Picture 82" descr="Maintain Specimen icon">
                      <a:hlinkClick r:id="rId78"/>
                    </pic:cNvPr>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A21AE">
        <w:tab/>
        <w:t>Maintain Specimen</w:t>
      </w:r>
    </w:p>
    <w:p w14:paraId="0F7A9D28" w14:textId="77777777" w:rsidR="002A21AE" w:rsidRDefault="00057948" w:rsidP="00246EC0">
      <w:pPr>
        <w:pStyle w:val="BodyText"/>
        <w:spacing w:after="60"/>
        <w:ind w:left="360" w:hanging="360"/>
      </w:pPr>
      <w:r>
        <w:rPr>
          <w:noProof/>
        </w:rPr>
        <w:drawing>
          <wp:inline distT="0" distB="0" distL="0" distR="0" wp14:anchorId="09B34BE8" wp14:editId="2A18FAD3">
            <wp:extent cx="156845" cy="156845"/>
            <wp:effectExtent l="0" t="0" r="0" b="0"/>
            <wp:docPr id="83" name="Picture 83" descr="Patient Testing icon">
              <a:hlinkClick xmlns:a="http://schemas.openxmlformats.org/drawingml/2006/main" r:id="rId8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Picture 83" descr="Patient Testing icon">
                      <a:hlinkClick r:id="rId80"/>
                    </pic:cNvPr>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A21AE">
        <w:tab/>
        <w:t>Patient Testing</w:t>
      </w:r>
    </w:p>
    <w:p w14:paraId="6DEBC26C" w14:textId="77777777" w:rsidR="00246EC0" w:rsidRDefault="00057948" w:rsidP="00246EC0">
      <w:pPr>
        <w:pStyle w:val="BodyText"/>
        <w:spacing w:after="60"/>
        <w:ind w:left="360" w:hanging="360"/>
      </w:pPr>
      <w:r>
        <w:rPr>
          <w:noProof/>
        </w:rPr>
        <w:drawing>
          <wp:inline distT="0" distB="0" distL="0" distR="0" wp14:anchorId="77FD84BB" wp14:editId="4D47418E">
            <wp:extent cx="156845" cy="156845"/>
            <wp:effectExtent l="0" t="0" r="0" b="0"/>
            <wp:docPr id="84" name="Picture 84" descr="Automated Instrument Pending Blood Unit Tests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Picture 84" descr="Automated Instrument Pending Blood Unit Tests icon"/>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46EC0">
        <w:t xml:space="preserve">  Automated Instrument Pending </w:t>
      </w:r>
      <w:r w:rsidR="00E57FEA">
        <w:t>Blood Unit</w:t>
      </w:r>
      <w:r w:rsidR="00246EC0">
        <w:t xml:space="preserve"> Tests</w:t>
      </w:r>
    </w:p>
    <w:p w14:paraId="088EA099" w14:textId="77777777" w:rsidR="00246EC0" w:rsidRDefault="00057948" w:rsidP="00246EC0">
      <w:pPr>
        <w:pStyle w:val="BodyText"/>
        <w:spacing w:after="60"/>
        <w:ind w:left="360" w:hanging="360"/>
      </w:pPr>
      <w:r>
        <w:rPr>
          <w:noProof/>
        </w:rPr>
        <w:drawing>
          <wp:inline distT="0" distB="0" distL="0" distR="0" wp14:anchorId="6D271968" wp14:editId="7A98D8CA">
            <wp:extent cx="156845" cy="156845"/>
            <wp:effectExtent l="0" t="0" r="0" b="0"/>
            <wp:docPr id="85" name="Picture 85" descr="Automated Instrument Pending Patient Tests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Picture 85" descr="Automated Instrument Pending Patient Tests icon"/>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46EC0">
        <w:t xml:space="preserve">  Automated Inst</w:t>
      </w:r>
      <w:r w:rsidR="00E57FEA">
        <w:t>rument Pending Patient</w:t>
      </w:r>
      <w:r w:rsidR="00246EC0">
        <w:t xml:space="preserve"> Tests</w:t>
      </w:r>
    </w:p>
    <w:p w14:paraId="62B3CEB1" w14:textId="77777777" w:rsidR="002A21AE" w:rsidRDefault="00057948" w:rsidP="00246EC0">
      <w:pPr>
        <w:pStyle w:val="BodyText"/>
        <w:spacing w:after="60"/>
        <w:ind w:left="360" w:hanging="360"/>
      </w:pPr>
      <w:r>
        <w:rPr>
          <w:noProof/>
        </w:rPr>
        <w:drawing>
          <wp:inline distT="0" distB="0" distL="0" distR="0" wp14:anchorId="68D7CE5E" wp14:editId="560B7FF9">
            <wp:extent cx="156845" cy="156845"/>
            <wp:effectExtent l="0" t="0" r="0" b="0"/>
            <wp:docPr id="86" name="Picture 86" descr="Select Units icon">
              <a:hlinkClick xmlns:a="http://schemas.openxmlformats.org/drawingml/2006/main" r:id="rId8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Picture 86" descr="Select Units icon">
                      <a:hlinkClick r:id="rId84"/>
                    </pic:cNvPr>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A21AE">
        <w:tab/>
        <w:t>Select Units</w:t>
      </w:r>
    </w:p>
    <w:p w14:paraId="270D5696" w14:textId="77777777" w:rsidR="002A21AE" w:rsidRDefault="00057948" w:rsidP="00246EC0">
      <w:pPr>
        <w:pStyle w:val="BodyText"/>
        <w:spacing w:after="60"/>
        <w:ind w:left="360" w:hanging="360"/>
      </w:pPr>
      <w:r>
        <w:rPr>
          <w:noProof/>
        </w:rPr>
        <w:drawing>
          <wp:inline distT="0" distB="0" distL="0" distR="0" wp14:anchorId="4B3B5E3A" wp14:editId="772EF511">
            <wp:extent cx="156845" cy="156845"/>
            <wp:effectExtent l="0" t="0" r="0" b="0"/>
            <wp:docPr id="87" name="Picture 87" descr="Issue Blood Components icon">
              <a:hlinkClick xmlns:a="http://schemas.openxmlformats.org/drawingml/2006/main" r:id="rId8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Picture 87" descr="Issue Blood Components icon">
                      <a:hlinkClick r:id="rId86"/>
                    </pic:cNvPr>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A21AE">
        <w:tab/>
        <w:t>Issue Blood Components</w:t>
      </w:r>
    </w:p>
    <w:p w14:paraId="45BF7CC0" w14:textId="77777777" w:rsidR="002A21AE" w:rsidRDefault="00057948" w:rsidP="00246EC0">
      <w:pPr>
        <w:pStyle w:val="BodyText"/>
        <w:spacing w:after="60"/>
        <w:ind w:left="360" w:hanging="360"/>
      </w:pPr>
      <w:r>
        <w:rPr>
          <w:noProof/>
        </w:rPr>
        <w:drawing>
          <wp:inline distT="0" distB="0" distL="0" distR="0" wp14:anchorId="2CE0880D" wp14:editId="2BBCEE0A">
            <wp:extent cx="156845" cy="156845"/>
            <wp:effectExtent l="0" t="0" r="0" b="0"/>
            <wp:docPr id="88" name="Picture 88" descr="Post-Transfusion Information icon">
              <a:hlinkClick xmlns:a="http://schemas.openxmlformats.org/drawingml/2006/main" r:id="rId8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Picture 88" descr="Post-Transfusion Information icon">
                      <a:hlinkClick r:id="rId88"/>
                    </pic:cNvPr>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A21AE">
        <w:tab/>
        <w:t>Post-Transfusion Information</w:t>
      </w:r>
    </w:p>
    <w:p w14:paraId="5E21BDCC" w14:textId="77777777" w:rsidR="00E15889" w:rsidRDefault="00E15889" w:rsidP="00E15889">
      <w:pPr>
        <w:pStyle w:val="BodyText"/>
        <w:ind w:left="360"/>
      </w:pPr>
    </w:p>
    <w:p w14:paraId="4F7B121A" w14:textId="77777777" w:rsidR="002A21AE" w:rsidRDefault="002A21AE">
      <w:pPr>
        <w:pStyle w:val="Caution"/>
      </w:pPr>
      <w:r>
        <w:t>Clicking an icon in the Main Toolbar saves a step: it’s the same as clicking the main menu item, and then on the option.</w:t>
      </w:r>
    </w:p>
    <w:p w14:paraId="3F7244DD" w14:textId="0B13AFC5" w:rsidR="002A21AE" w:rsidRDefault="002A21AE">
      <w:pPr>
        <w:pStyle w:val="BodyText"/>
      </w:pPr>
      <w:r>
        <w:t>VBECS uses tree views to display list items. Click a plus sign (+) to expand a list. Click a minus sign (–) to condense a list.</w:t>
      </w:r>
    </w:p>
    <w:p w14:paraId="1DC8AED3" w14:textId="4E99C904" w:rsidR="002A21AE" w:rsidRDefault="002A21AE">
      <w:pPr>
        <w:pStyle w:val="Heading2"/>
      </w:pPr>
      <w:bookmarkStart w:id="122" w:name="_Toc203765842"/>
      <w:r>
        <w:lastRenderedPageBreak/>
        <w:t>Patient Information Toolbar</w:t>
      </w:r>
      <w:bookmarkEnd w:id="122"/>
      <w:r>
        <w:fldChar w:fldCharType="begin"/>
      </w:r>
      <w:r>
        <w:instrText xml:space="preserve"> XE </w:instrText>
      </w:r>
      <w:r w:rsidR="00FA7E65">
        <w:instrText>“</w:instrText>
      </w:r>
      <w:r>
        <w:instrText>Patient Information Toolbar</w:instrText>
      </w:r>
      <w:r w:rsidR="00FA7E65">
        <w:instrText>”</w:instrText>
      </w:r>
      <w:r>
        <w:instrText xml:space="preserve"> </w:instrText>
      </w:r>
      <w:r>
        <w:fldChar w:fldCharType="end"/>
      </w:r>
    </w:p>
    <w:p w14:paraId="36E794A4" w14:textId="77777777" w:rsidR="002A21AE" w:rsidRDefault="002A21AE" w:rsidP="00FA7E65">
      <w:pPr>
        <w:pStyle w:val="BodyText"/>
      </w:pPr>
      <w:r>
        <w:t xml:space="preserve">The </w:t>
      </w:r>
      <w:r>
        <w:rPr>
          <w:i/>
          <w:iCs/>
        </w:rPr>
        <w:t>Patient Information Toolbar</w:t>
      </w:r>
      <w:r>
        <w:t xml:space="preserve"> appears in the active window when a patient record is displayed.</w:t>
      </w:r>
      <w:r w:rsidR="00AD1B87">
        <w:t xml:space="preserve"> VBECS displays only the icons appropriate to the option. </w:t>
      </w:r>
      <w:r>
        <w:t>Click the icons in the Patient Information Toolbar to display:</w:t>
      </w:r>
    </w:p>
    <w:p w14:paraId="6D3E360F" w14:textId="77777777" w:rsidR="002A21AE" w:rsidRDefault="00057948">
      <w:pPr>
        <w:pStyle w:val="BodyText"/>
        <w:ind w:left="360" w:hanging="360"/>
      </w:pPr>
      <w:r>
        <w:rPr>
          <w:noProof/>
        </w:rPr>
        <w:drawing>
          <wp:inline distT="0" distB="0" distL="0" distR="0" wp14:anchorId="174A0ED8" wp14:editId="6E7E8CCF">
            <wp:extent cx="156845" cy="156845"/>
            <wp:effectExtent l="0" t="0" r="0" b="0"/>
            <wp:docPr id="89" name="Picture 89" descr="Blood Availability icon">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Picture 89" descr="Blood Availability icon">
                      <a:hlinkClick r:id="rId13"/>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A21AE">
        <w:tab/>
        <w:t xml:space="preserve">a Blood Availability Report (Blood Availability) </w:t>
      </w:r>
      <w:r w:rsidR="002A21AE">
        <w:rPr>
          <w:vanish/>
        </w:rPr>
        <w:t>UC_49</w:t>
      </w:r>
    </w:p>
    <w:p w14:paraId="06ACDF87" w14:textId="77777777" w:rsidR="002A21AE" w:rsidRDefault="00057948">
      <w:pPr>
        <w:pStyle w:val="BodyText"/>
        <w:ind w:left="360" w:hanging="360"/>
      </w:pPr>
      <w:r>
        <w:rPr>
          <w:noProof/>
        </w:rPr>
        <w:drawing>
          <wp:inline distT="0" distB="0" distL="0" distR="0" wp14:anchorId="160978A1" wp14:editId="00D5EE83">
            <wp:extent cx="156845" cy="156845"/>
            <wp:effectExtent l="0" t="0" r="0" b="0"/>
            <wp:docPr id="90" name="Picture 90" descr="Medication Profile icon">
              <a:hlinkClick xmlns:a="http://schemas.openxmlformats.org/drawingml/2006/main" r:id="rId9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Picture 90" descr="Medication Profile icon">
                      <a:hlinkClick r:id="rId90"/>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A21AE">
        <w:tab/>
        <w:t>a patient’s current medication profile (Medication Profile)</w:t>
      </w:r>
      <w:r w:rsidR="002A21AE">
        <w:rPr>
          <w:vanish/>
        </w:rPr>
        <w:t xml:space="preserve"> UC_46</w:t>
      </w:r>
    </w:p>
    <w:p w14:paraId="3107FE1C" w14:textId="77777777" w:rsidR="002A21AE" w:rsidRDefault="00057948">
      <w:pPr>
        <w:pStyle w:val="BodyText"/>
        <w:ind w:left="360" w:hanging="360"/>
      </w:pPr>
      <w:r>
        <w:rPr>
          <w:noProof/>
        </w:rPr>
        <w:drawing>
          <wp:inline distT="0" distB="0" distL="0" distR="0" wp14:anchorId="40BDE1FB" wp14:editId="3F462321">
            <wp:extent cx="156845" cy="156845"/>
            <wp:effectExtent l="0" t="0" r="0" b="0"/>
            <wp:docPr id="91" name="Picture 91" descr="Recent Orders icon">
              <a:hlinkClick xmlns:a="http://schemas.openxmlformats.org/drawingml/2006/main" r:id="rId9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Picture 91" descr="Recent Orders icon">
                      <a:hlinkClick r:id="rId91"/>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A21AE">
        <w:tab/>
        <w:t>a patient’s recent orders (Recent Orders)</w:t>
      </w:r>
      <w:r w:rsidR="002A21AE">
        <w:rPr>
          <w:vanish/>
        </w:rPr>
        <w:t xml:space="preserve"> UC_65</w:t>
      </w:r>
    </w:p>
    <w:p w14:paraId="1AAC3744" w14:textId="77777777" w:rsidR="002A21AE" w:rsidRDefault="00057948">
      <w:pPr>
        <w:pStyle w:val="BodyText"/>
        <w:ind w:left="360" w:hanging="360"/>
      </w:pPr>
      <w:r>
        <w:rPr>
          <w:noProof/>
        </w:rPr>
        <w:drawing>
          <wp:inline distT="0" distB="0" distL="0" distR="0" wp14:anchorId="5EC96A22" wp14:editId="029DB91B">
            <wp:extent cx="156845" cy="156845"/>
            <wp:effectExtent l="0" t="0" r="0" b="0"/>
            <wp:docPr id="92" name="Picture 92" descr="View Special Instructions and Transfusion Requirements icon">
              <a:hlinkClick xmlns:a="http://schemas.openxmlformats.org/drawingml/2006/main" r:id="rId9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Picture 92" descr="View Special Instructions and Transfusion Requirements icon">
                      <a:hlinkClick r:id="rId92"/>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A21AE">
        <w:tab/>
        <w:t xml:space="preserve">a patient’s Special Instructions and/or Transfusion Requirements (View Special Instructions and Transfusion Requirements) </w:t>
      </w:r>
      <w:r w:rsidR="002A21AE">
        <w:rPr>
          <w:vanish/>
        </w:rPr>
        <w:t>UC_36</w:t>
      </w:r>
    </w:p>
    <w:p w14:paraId="5BD0DCEE" w14:textId="77777777" w:rsidR="002A21AE" w:rsidRDefault="00057948">
      <w:pPr>
        <w:pStyle w:val="BodyText"/>
        <w:ind w:left="360" w:hanging="360"/>
      </w:pPr>
      <w:r>
        <w:rPr>
          <w:noProof/>
        </w:rPr>
        <w:drawing>
          <wp:inline distT="0" distB="0" distL="0" distR="0" wp14:anchorId="517ADB7F" wp14:editId="591D3BD0">
            <wp:extent cx="156845" cy="156845"/>
            <wp:effectExtent l="0" t="0" r="0" b="0"/>
            <wp:docPr id="93" name="Picture 93" descr="Recent Transfusions/Issued Units icon">
              <a:hlinkClick xmlns:a="http://schemas.openxmlformats.org/drawingml/2006/main" r:id="rId9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Picture 93" descr="Recent Transfusions/Issued Units icon">
                      <a:hlinkClick r:id="rId93"/>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A21AE">
        <w:tab/>
        <w:t>a patient’s recent transfusion history (Recent Transfusions/Issued Units)</w:t>
      </w:r>
      <w:r w:rsidR="002A21AE">
        <w:rPr>
          <w:vanish/>
        </w:rPr>
        <w:t xml:space="preserve"> UC_65</w:t>
      </w:r>
    </w:p>
    <w:p w14:paraId="1EAA5546" w14:textId="086DE2FA" w:rsidR="00C12CF8" w:rsidRDefault="00057948" w:rsidP="00591A3B">
      <w:pPr>
        <w:pStyle w:val="BodyText"/>
        <w:ind w:left="360" w:hanging="360"/>
      </w:pPr>
      <w:r>
        <w:rPr>
          <w:noProof/>
        </w:rPr>
        <w:drawing>
          <wp:inline distT="0" distB="0" distL="0" distR="0" wp14:anchorId="43A8349D" wp14:editId="55CFF468">
            <wp:extent cx="156845" cy="156845"/>
            <wp:effectExtent l="0" t="0" r="0" b="0"/>
            <wp:docPr id="94" name="Picture 94" descr="Transfusion Reaction History icon">
              <a:hlinkClick xmlns:a="http://schemas.openxmlformats.org/drawingml/2006/main" r:id="rId9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Picture 94" descr="Transfusion Reaction History icon">
                      <a:hlinkClick r:id="rId94"/>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A21AE">
        <w:tab/>
        <w:t>a patient’s transfusion reaction history (Transfusion Reaction History)</w:t>
      </w:r>
      <w:r w:rsidR="00547F23" w:rsidRPr="00547F23">
        <w:rPr>
          <w:vanish/>
        </w:rPr>
        <w:t xml:space="preserve"> </w:t>
      </w:r>
      <w:r w:rsidR="00547F23">
        <w:rPr>
          <w:vanish/>
        </w:rPr>
        <w:t>UC_65</w:t>
      </w:r>
      <w:r w:rsidR="002A21AE">
        <w:rPr>
          <w:vanish/>
        </w:rPr>
        <w:t xml:space="preserve"> </w:t>
      </w:r>
    </w:p>
    <w:p w14:paraId="0796217F" w14:textId="57A3D504" w:rsidR="00577C1F" w:rsidRDefault="006F799E" w:rsidP="00577C1F">
      <w:pPr>
        <w:pStyle w:val="Heading3"/>
      </w:pPr>
      <w:bookmarkStart w:id="123" w:name="_Medication_Profile_UC_46"/>
      <w:bookmarkStart w:id="124" w:name="_Toc203765843"/>
      <w:bookmarkEnd w:id="123"/>
      <w:r>
        <w:rPr>
          <w:noProof/>
        </w:rPr>
        <w:drawing>
          <wp:inline distT="0" distB="0" distL="0" distR="0" wp14:anchorId="681F04FD" wp14:editId="787985F4">
            <wp:extent cx="156845" cy="156845"/>
            <wp:effectExtent l="0" t="0" r="0" b="0"/>
            <wp:docPr id="70" name="Picture 70" descr="Blood Availability icon">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Picture 70" descr="Blood Availability icon">
                      <a:hlinkClick r:id="rId13"/>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t xml:space="preserve"> P</w:t>
      </w:r>
      <w:r w:rsidR="00577C1F">
        <w:t>atient Blood Availability</w:t>
      </w:r>
      <w:bookmarkEnd w:id="124"/>
      <w:r w:rsidR="00B973E2">
        <w:fldChar w:fldCharType="begin"/>
      </w:r>
      <w:r w:rsidR="00B973E2">
        <w:instrText xml:space="preserve"> XE "</w:instrText>
      </w:r>
      <w:r w:rsidR="00B973E2" w:rsidRPr="00DC29FC">
        <w:instrText>Patient Blood Availability</w:instrText>
      </w:r>
      <w:r w:rsidR="00B973E2">
        <w:instrText xml:space="preserve">" </w:instrText>
      </w:r>
      <w:r w:rsidR="00B973E2">
        <w:fldChar w:fldCharType="end"/>
      </w:r>
    </w:p>
    <w:p w14:paraId="258FA80E" w14:textId="77777777" w:rsidR="00971D59" w:rsidRPr="00971D59" w:rsidRDefault="00971D59" w:rsidP="00971D59">
      <w:pPr>
        <w:pStyle w:val="BodyText"/>
      </w:pPr>
      <w:r w:rsidRPr="00971D59">
        <w:t>The user views blood products available to a patient. The Blood Availability Report does not include unassigned, restricted blood products. To view unassigned, restricted blood products and other custom reports, see Blood Availability.</w:t>
      </w:r>
      <w:r w:rsidR="00D407D0" w:rsidRPr="00D407D0">
        <w:rPr>
          <w:vanish/>
        </w:rPr>
        <w:t>DR 1,041</w:t>
      </w:r>
    </w:p>
    <w:p w14:paraId="132EED4B" w14:textId="77777777" w:rsidR="002A21AE" w:rsidRPr="001F24A4" w:rsidRDefault="00E75E0A" w:rsidP="001F24A4">
      <w:pPr>
        <w:pStyle w:val="Heading3"/>
      </w:pPr>
      <w:r>
        <w:br w:type="page"/>
      </w:r>
      <w:bookmarkStart w:id="125" w:name="_Toc203765844"/>
      <w:r w:rsidR="00057948">
        <w:rPr>
          <w:noProof/>
        </w:rPr>
        <w:lastRenderedPageBreak/>
        <w:drawing>
          <wp:inline distT="0" distB="0" distL="0" distR="0" wp14:anchorId="7FAAFBB7" wp14:editId="501F1FD2">
            <wp:extent cx="156845" cy="193675"/>
            <wp:effectExtent l="0" t="0" r="0" b="0"/>
            <wp:docPr id="96" name="Picture 96" descr="Medication Profil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Picture 96" descr="Medication Profile icon"/>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6845" cy="193675"/>
                    </a:xfrm>
                    <a:prstGeom prst="rect">
                      <a:avLst/>
                    </a:prstGeom>
                    <a:noFill/>
                    <a:ln>
                      <a:noFill/>
                    </a:ln>
                  </pic:spPr>
                </pic:pic>
              </a:graphicData>
            </a:graphic>
          </wp:inline>
        </w:drawing>
      </w:r>
      <w:r w:rsidR="002A21AE" w:rsidRPr="004C2A71">
        <w:t xml:space="preserve"> Medication Profile</w:t>
      </w:r>
      <w:bookmarkEnd w:id="125"/>
      <w:r w:rsidR="002A21AE" w:rsidRPr="004C2A71">
        <w:fldChar w:fldCharType="begin"/>
      </w:r>
      <w:r w:rsidR="002A21AE" w:rsidRPr="004C2A71">
        <w:instrText xml:space="preserve"> XE </w:instrText>
      </w:r>
      <w:r w:rsidR="00FA7E65" w:rsidRPr="004C2A71">
        <w:instrText>“</w:instrText>
      </w:r>
      <w:r w:rsidR="002A21AE" w:rsidRPr="004C2A71">
        <w:instrText>Medication Profile</w:instrText>
      </w:r>
      <w:r w:rsidR="00FA7E65" w:rsidRPr="004C2A71">
        <w:instrText>”</w:instrText>
      </w:r>
      <w:r w:rsidR="002A21AE" w:rsidRPr="004C2A71">
        <w:instrText xml:space="preserve"> </w:instrText>
      </w:r>
      <w:r w:rsidR="002A21AE" w:rsidRPr="004C2A71">
        <w:fldChar w:fldCharType="end"/>
      </w:r>
      <w:r w:rsidR="002A21AE">
        <w:t xml:space="preserve"> </w:t>
      </w:r>
      <w:r w:rsidR="002A21AE" w:rsidRPr="00C12CF8">
        <w:rPr>
          <w:vanish/>
        </w:rPr>
        <w:t>UC_46</w:t>
      </w:r>
      <w:r w:rsidR="002A21AE">
        <w:t xml:space="preserve"> </w:t>
      </w:r>
    </w:p>
    <w:p w14:paraId="0A51FF4F" w14:textId="77777777" w:rsidR="002A21AE" w:rsidRDefault="002A21AE" w:rsidP="004C2A71">
      <w:pPr>
        <w:pStyle w:val="BodyText"/>
      </w:pPr>
      <w:r>
        <w:t>The user views a patient’s current medication profile.</w:t>
      </w:r>
    </w:p>
    <w:p w14:paraId="06BC41DC" w14:textId="77777777" w:rsidR="002A21AE" w:rsidRDefault="002A21AE">
      <w:pPr>
        <w:pStyle w:val="Heading4"/>
      </w:pPr>
      <w:r>
        <w:t xml:space="preserve">Assumptions </w:t>
      </w:r>
    </w:p>
    <w:p w14:paraId="7F374552" w14:textId="77777777" w:rsidR="002A21AE" w:rsidRDefault="002A21AE">
      <w:pPr>
        <w:pStyle w:val="ListBullet"/>
      </w:pPr>
      <w:r>
        <w:t xml:space="preserve">The connection to </w:t>
      </w:r>
      <w:r w:rsidR="00CA0045" w:rsidRPr="00CA0045">
        <w:rPr>
          <w:bCs/>
        </w:rPr>
        <w:t>VistA</w:t>
      </w:r>
      <w:r>
        <w:t xml:space="preserve"> is active. </w:t>
      </w:r>
    </w:p>
    <w:p w14:paraId="066B6808" w14:textId="77777777" w:rsidR="00DD75E5" w:rsidRDefault="002A21AE" w:rsidP="00DD75E5">
      <w:pPr>
        <w:pStyle w:val="Heading4"/>
      </w:pPr>
      <w:r>
        <w:t>Outcome</w:t>
      </w:r>
    </w:p>
    <w:p w14:paraId="6182BD84" w14:textId="77777777" w:rsidR="002A21AE" w:rsidRDefault="002A21AE" w:rsidP="00DD75E5">
      <w:pPr>
        <w:pStyle w:val="ListBullet"/>
      </w:pPr>
      <w:r>
        <w:t>VBECS displays a patient’s current medications.</w:t>
      </w:r>
    </w:p>
    <w:p w14:paraId="6FAD5D26" w14:textId="77777777" w:rsidR="002A21AE" w:rsidRDefault="002A21AE">
      <w:pPr>
        <w:pStyle w:val="Heading4"/>
      </w:pPr>
      <w:r>
        <w:t>Limitations and Restrictions</w:t>
      </w:r>
    </w:p>
    <w:p w14:paraId="68DB5FBB" w14:textId="77777777" w:rsidR="002A21AE" w:rsidRDefault="002A21AE">
      <w:pPr>
        <w:pStyle w:val="ListBullet"/>
      </w:pPr>
      <w:r>
        <w:t>None</w:t>
      </w:r>
    </w:p>
    <w:p w14:paraId="42F47C8C" w14:textId="77777777" w:rsidR="002A21AE" w:rsidRDefault="00DD75E5">
      <w:pPr>
        <w:pStyle w:val="Heading4"/>
      </w:pPr>
      <w:r>
        <w:t>Additional Information</w:t>
      </w:r>
    </w:p>
    <w:p w14:paraId="385AEB1D" w14:textId="77777777" w:rsidR="002A21AE" w:rsidRDefault="002A21AE">
      <w:pPr>
        <w:pStyle w:val="ListBullet"/>
      </w:pPr>
      <w:r>
        <w:t xml:space="preserve">The user may access CPRS for </w:t>
      </w:r>
      <w:r w:rsidR="00E90A01">
        <w:t>additional</w:t>
      </w:r>
      <w:r>
        <w:t xml:space="preserve"> information on a patient medication order.</w:t>
      </w:r>
    </w:p>
    <w:p w14:paraId="12FA92BA" w14:textId="77777777" w:rsidR="002A21AE" w:rsidRDefault="002A21AE">
      <w:pPr>
        <w:pStyle w:val="ListBullet"/>
      </w:pPr>
      <w:r>
        <w:t>These data are accessible to the user through the Patient Information Toolbar on all patient-specific screens.</w:t>
      </w:r>
    </w:p>
    <w:p w14:paraId="31DB9F38" w14:textId="77777777" w:rsidR="002A21AE" w:rsidRDefault="002A21AE">
      <w:pPr>
        <w:pStyle w:val="Heading4"/>
        <w:rPr>
          <w:b w:val="0"/>
        </w:rPr>
      </w:pPr>
      <w:r>
        <w:t>User Roles with Access to This Option</w:t>
      </w:r>
      <w:r>
        <w:rPr>
          <w:b w:val="0"/>
        </w:rPr>
        <w:t xml:space="preserve"> </w:t>
      </w:r>
    </w:p>
    <w:p w14:paraId="51780348" w14:textId="77777777" w:rsidR="002A21AE" w:rsidRDefault="00237C52" w:rsidP="00237C52">
      <w:pPr>
        <w:pStyle w:val="Roles"/>
      </w:pPr>
      <w:r>
        <w:t>All users</w:t>
      </w:r>
    </w:p>
    <w:p w14:paraId="0422B621" w14:textId="77777777" w:rsidR="002A21AE" w:rsidRDefault="002A21AE">
      <w:pPr>
        <w:pStyle w:val="Heading4"/>
      </w:pPr>
      <w:r>
        <w:t xml:space="preserve">Medication Profile </w:t>
      </w:r>
    </w:p>
    <w:p w14:paraId="42B1C2B7" w14:textId="77777777" w:rsidR="002A21AE" w:rsidRDefault="002A21AE" w:rsidP="00FA7E65">
      <w:pPr>
        <w:pStyle w:val="BodyText"/>
      </w:pPr>
      <w:r>
        <w:rPr>
          <w:bCs/>
        </w:rPr>
        <w:t>At the user’s request, VBECS queries</w:t>
      </w:r>
      <w:r>
        <w:rPr>
          <w:b/>
          <w:bCs/>
        </w:rPr>
        <w:t xml:space="preserve"> </w:t>
      </w:r>
      <w:r w:rsidR="00CA0045" w:rsidRPr="00CA0045">
        <w:rPr>
          <w:bCs/>
        </w:rPr>
        <w:t>VistA</w:t>
      </w:r>
      <w:r>
        <w:t xml:space="preserve"> to search for active prescriptions within a user-specified time frame or a default time frame of six months, regardless of division, in a multidivisional database.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1274E2E6" w14:textId="77777777">
        <w:trPr>
          <w:tblHeader/>
        </w:trPr>
        <w:tc>
          <w:tcPr>
            <w:tcW w:w="3240" w:type="dxa"/>
            <w:shd w:val="pct30" w:color="auto" w:fill="FFFFFF"/>
            <w:vAlign w:val="bottom"/>
          </w:tcPr>
          <w:p w14:paraId="3887BF32" w14:textId="77777777" w:rsidR="002A21AE" w:rsidRDefault="002A21AE">
            <w:pPr>
              <w:pStyle w:val="TableText"/>
              <w:rPr>
                <w:b/>
              </w:rPr>
            </w:pPr>
            <w:r>
              <w:rPr>
                <w:b/>
              </w:rPr>
              <w:t>User Action</w:t>
            </w:r>
          </w:p>
        </w:tc>
        <w:tc>
          <w:tcPr>
            <w:tcW w:w="6120" w:type="dxa"/>
            <w:shd w:val="pct30" w:color="auto" w:fill="FFFFFF"/>
            <w:vAlign w:val="bottom"/>
          </w:tcPr>
          <w:p w14:paraId="4ABEBD67" w14:textId="77777777" w:rsidR="002A21AE" w:rsidRDefault="002A21AE">
            <w:pPr>
              <w:pStyle w:val="TableText"/>
              <w:rPr>
                <w:b/>
              </w:rPr>
            </w:pPr>
            <w:r>
              <w:rPr>
                <w:b/>
              </w:rPr>
              <w:t>VBECS</w:t>
            </w:r>
          </w:p>
        </w:tc>
      </w:tr>
      <w:tr w:rsidR="002A21AE" w14:paraId="4B1668CD" w14:textId="77777777">
        <w:tc>
          <w:tcPr>
            <w:tcW w:w="3240" w:type="dxa"/>
          </w:tcPr>
          <w:p w14:paraId="29315A29" w14:textId="77777777" w:rsidR="002A21AE" w:rsidRDefault="002A21AE" w:rsidP="009D60F4">
            <w:pPr>
              <w:pStyle w:val="TableTextNumbers"/>
            </w:pPr>
            <w:r>
              <w:t xml:space="preserve">Select </w:t>
            </w:r>
            <w:r>
              <w:rPr>
                <w:b/>
              </w:rPr>
              <w:t>Reports</w:t>
            </w:r>
            <w:r>
              <w:t xml:space="preserve"> from the main menu.</w:t>
            </w:r>
          </w:p>
          <w:p w14:paraId="655CB11B" w14:textId="77777777" w:rsidR="002A21AE" w:rsidRDefault="002A21AE">
            <w:pPr>
              <w:pStyle w:val="TableTextNumbersContinued"/>
              <w:rPr>
                <w:b/>
                <w:bCs/>
              </w:rPr>
            </w:pPr>
          </w:p>
          <w:p w14:paraId="30034D53" w14:textId="77777777" w:rsidR="002A21AE" w:rsidRDefault="002A21AE">
            <w:pPr>
              <w:pStyle w:val="TableTextNumbersContinued"/>
              <w:rPr>
                <w:b/>
                <w:bCs/>
              </w:rPr>
            </w:pPr>
            <w:r>
              <w:rPr>
                <w:bCs/>
              </w:rPr>
              <w:t>Select</w:t>
            </w:r>
            <w:r>
              <w:rPr>
                <w:b/>
                <w:bCs/>
              </w:rPr>
              <w:t xml:space="preserve"> Medication Profile.</w:t>
            </w:r>
          </w:p>
          <w:p w14:paraId="09BA2DF1" w14:textId="77777777" w:rsidR="002A21AE" w:rsidRDefault="002A21AE">
            <w:pPr>
              <w:pStyle w:val="TableTextNumbersContinued"/>
              <w:rPr>
                <w:b/>
                <w:bCs/>
              </w:rPr>
            </w:pPr>
          </w:p>
          <w:p w14:paraId="46812049" w14:textId="77777777" w:rsidR="002A21AE" w:rsidRDefault="002A21AE">
            <w:pPr>
              <w:pStyle w:val="TableTextNumbersContinued"/>
              <w:rPr>
                <w:bCs/>
              </w:rPr>
            </w:pPr>
            <w:r>
              <w:rPr>
                <w:bCs/>
              </w:rPr>
              <w:t>Select a patient, or</w:t>
            </w:r>
          </w:p>
          <w:p w14:paraId="62C07106" w14:textId="77777777" w:rsidR="002A21AE" w:rsidRDefault="002A21AE">
            <w:pPr>
              <w:pStyle w:val="TableTextNumbersContinued"/>
              <w:rPr>
                <w:bCs/>
              </w:rPr>
            </w:pPr>
          </w:p>
          <w:p w14:paraId="0BBCF196" w14:textId="77777777" w:rsidR="002A21AE" w:rsidRDefault="002A21AE">
            <w:pPr>
              <w:pStyle w:val="TableTextNumbersContinued"/>
              <w:rPr>
                <w:bCs/>
              </w:rPr>
            </w:pPr>
            <w:r>
              <w:rPr>
                <w:bCs/>
              </w:rPr>
              <w:t>Select an option that displays the Patient Information Toolbar.</w:t>
            </w:r>
          </w:p>
          <w:p w14:paraId="6A8CCB60" w14:textId="77777777" w:rsidR="002A21AE" w:rsidRDefault="002A21AE">
            <w:pPr>
              <w:pStyle w:val="TableTextNumbersContinued"/>
              <w:rPr>
                <w:bCs/>
              </w:rPr>
            </w:pPr>
          </w:p>
          <w:p w14:paraId="36631172" w14:textId="77777777" w:rsidR="002A21AE" w:rsidRDefault="002A21AE">
            <w:pPr>
              <w:pStyle w:val="TableTextNumbersContinued"/>
              <w:rPr>
                <w:b/>
                <w:bCs/>
              </w:rPr>
            </w:pPr>
            <w:r>
              <w:rPr>
                <w:bCs/>
              </w:rPr>
              <w:t xml:space="preserve">Click </w:t>
            </w:r>
            <w:r w:rsidR="00057948">
              <w:rPr>
                <w:bCs/>
                <w:noProof/>
              </w:rPr>
              <w:drawing>
                <wp:inline distT="0" distB="0" distL="0" distR="0" wp14:anchorId="35724580" wp14:editId="4F6FA4E2">
                  <wp:extent cx="156845" cy="193675"/>
                  <wp:effectExtent l="0" t="0" r="0" b="0"/>
                  <wp:docPr id="97" name="Picture 97" descr="Medication Profil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Picture 97" descr="Medication Profile icon"/>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6845" cy="193675"/>
                          </a:xfrm>
                          <a:prstGeom prst="rect">
                            <a:avLst/>
                          </a:prstGeom>
                          <a:noFill/>
                          <a:ln>
                            <a:noFill/>
                          </a:ln>
                        </pic:spPr>
                      </pic:pic>
                    </a:graphicData>
                  </a:graphic>
                </wp:inline>
              </w:drawing>
            </w:r>
            <w:r>
              <w:rPr>
                <w:bCs/>
              </w:rPr>
              <w:t xml:space="preserve"> to view a patient’s current medication list.</w:t>
            </w:r>
          </w:p>
        </w:tc>
        <w:tc>
          <w:tcPr>
            <w:tcW w:w="6120" w:type="dxa"/>
          </w:tcPr>
          <w:p w14:paraId="11A107A7" w14:textId="77777777" w:rsidR="002A21AE" w:rsidRDefault="002A21AE">
            <w:pPr>
              <w:pStyle w:val="TableTextBullet"/>
            </w:pPr>
            <w:r>
              <w:t>Lists report names.</w:t>
            </w:r>
          </w:p>
          <w:p w14:paraId="69AF3ED9" w14:textId="77777777" w:rsidR="002A21AE" w:rsidRDefault="002A21AE">
            <w:pPr>
              <w:pStyle w:val="TableTextBullet"/>
            </w:pPr>
            <w:r>
              <w:t>Displays the report date range, sections, and compilation criteria.</w:t>
            </w:r>
          </w:p>
          <w:p w14:paraId="030AF8FB" w14:textId="77777777" w:rsidR="002A21AE" w:rsidRDefault="002A21AE">
            <w:pPr>
              <w:pStyle w:val="TableTextBullet"/>
            </w:pPr>
            <w:r>
              <w:t>Displays options for processing patient-related functions.</w:t>
            </w:r>
          </w:p>
          <w:p w14:paraId="56FE691C" w14:textId="77777777" w:rsidR="002A21AE" w:rsidRDefault="002A21AE">
            <w:pPr>
              <w:pStyle w:val="TableTextBullet"/>
            </w:pPr>
            <w:r>
              <w:t>Compiles the active patient identification data.</w:t>
            </w:r>
          </w:p>
          <w:p w14:paraId="79132C4A" w14:textId="77777777" w:rsidR="002A21AE" w:rsidRDefault="002A21AE">
            <w:pPr>
              <w:pStyle w:val="TableText"/>
            </w:pPr>
          </w:p>
          <w:p w14:paraId="6F9710E9" w14:textId="21EE37CD" w:rsidR="002A21AE" w:rsidRDefault="002A21AE">
            <w:pPr>
              <w:pStyle w:val="TableText"/>
              <w:rPr>
                <w:b/>
                <w:bCs/>
                <w:szCs w:val="18"/>
              </w:rPr>
            </w:pPr>
            <w:r>
              <w:rPr>
                <w:b/>
                <w:bCs/>
                <w:szCs w:val="18"/>
              </w:rPr>
              <w:t>NOTES</w:t>
            </w:r>
          </w:p>
          <w:p w14:paraId="1170A891" w14:textId="77777777" w:rsidR="002A21AE" w:rsidRDefault="002A21AE">
            <w:pPr>
              <w:pStyle w:val="NotesText"/>
            </w:pPr>
          </w:p>
          <w:p w14:paraId="29FF8823" w14:textId="77777777" w:rsidR="002A21AE" w:rsidRDefault="002A21AE">
            <w:pPr>
              <w:pStyle w:val="NotesText"/>
            </w:pPr>
            <w:r w:rsidRPr="00E274BF">
              <w:rPr>
                <w:rFonts w:cs="Arial"/>
                <w:vanish/>
                <w:szCs w:val="18"/>
              </w:rPr>
              <w:t xml:space="preserve">BR_46.02 </w:t>
            </w:r>
            <w:r>
              <w:t>The user may edit the default start date (six months before the current date) for the patient medication search.</w:t>
            </w:r>
          </w:p>
        </w:tc>
      </w:tr>
      <w:tr w:rsidR="002A21AE" w14:paraId="6F01B4A7" w14:textId="77777777">
        <w:tc>
          <w:tcPr>
            <w:tcW w:w="3240" w:type="dxa"/>
          </w:tcPr>
          <w:p w14:paraId="35BF6241" w14:textId="77777777" w:rsidR="002A21AE" w:rsidRDefault="002A21AE">
            <w:pPr>
              <w:pStyle w:val="TableTextNumbers"/>
            </w:pPr>
            <w:r>
              <w:t>Accept or edit the default start and end dates.</w:t>
            </w:r>
          </w:p>
        </w:tc>
        <w:tc>
          <w:tcPr>
            <w:tcW w:w="6120" w:type="dxa"/>
          </w:tcPr>
          <w:p w14:paraId="0A293308" w14:textId="77777777" w:rsidR="002A21AE" w:rsidRDefault="002A21AE">
            <w:pPr>
              <w:pStyle w:val="TableTextBullet"/>
            </w:pPr>
            <w:r>
              <w:t xml:space="preserve">Displays each medication name status, order number, and issue/start date returned from the </w:t>
            </w:r>
            <w:r w:rsidR="00CA0045" w:rsidRPr="00CA0045">
              <w:rPr>
                <w:bCs/>
              </w:rPr>
              <w:t>VistA</w:t>
            </w:r>
            <w:r>
              <w:t xml:space="preserve"> query. </w:t>
            </w:r>
          </w:p>
          <w:p w14:paraId="69975E18" w14:textId="77777777" w:rsidR="002A21AE" w:rsidRDefault="002A21AE">
            <w:pPr>
              <w:pStyle w:val="TableTextBullet"/>
            </w:pPr>
            <w:r w:rsidRPr="00E274BF">
              <w:rPr>
                <w:rFonts w:cs="Arial"/>
                <w:vanish/>
                <w:szCs w:val="18"/>
              </w:rPr>
              <w:t>BR_46.04</w:t>
            </w:r>
            <w:r w:rsidRPr="009660C3">
              <w:rPr>
                <w:vanish/>
                <w:szCs w:val="18"/>
              </w:rPr>
              <w:t xml:space="preserve"> </w:t>
            </w:r>
            <w:r>
              <w:t>When a query does not return any medications, notifies the user that he may repeat the query with a different date range.</w:t>
            </w:r>
          </w:p>
        </w:tc>
      </w:tr>
      <w:tr w:rsidR="002A21AE" w14:paraId="070E4A4E" w14:textId="77777777">
        <w:tc>
          <w:tcPr>
            <w:tcW w:w="3240" w:type="dxa"/>
          </w:tcPr>
          <w:p w14:paraId="2F7C6720" w14:textId="77777777" w:rsidR="002A21AE" w:rsidRDefault="002A21AE">
            <w:pPr>
              <w:pStyle w:val="TableTextNumbers"/>
            </w:pPr>
            <w:r>
              <w:t xml:space="preserve">View the display. When desired, go to Step 1 to repeat the query, </w:t>
            </w:r>
          </w:p>
        </w:tc>
        <w:tc>
          <w:tcPr>
            <w:tcW w:w="6120" w:type="dxa"/>
          </w:tcPr>
          <w:p w14:paraId="528D0539" w14:textId="77777777" w:rsidR="002A21AE" w:rsidRDefault="002A21AE">
            <w:pPr>
              <w:pStyle w:val="TableTextBullet"/>
            </w:pPr>
            <w:r>
              <w:t>Allows the user to print the displayed patient medication profile.</w:t>
            </w:r>
          </w:p>
        </w:tc>
      </w:tr>
      <w:tr w:rsidR="002A21AE" w14:paraId="57406F80" w14:textId="77777777">
        <w:tc>
          <w:tcPr>
            <w:tcW w:w="3240" w:type="dxa"/>
          </w:tcPr>
          <w:p w14:paraId="4A4549B5" w14:textId="77777777" w:rsidR="002A21AE" w:rsidRDefault="002A21AE">
            <w:pPr>
              <w:pStyle w:val="TableTextNumbers"/>
            </w:pPr>
            <w:r>
              <w:t xml:space="preserve">Print the profile or click </w:t>
            </w:r>
            <w:r>
              <w:rPr>
                <w:b/>
              </w:rPr>
              <w:t>Cancel</w:t>
            </w:r>
            <w:r>
              <w:t xml:space="preserve"> to exit. </w:t>
            </w:r>
            <w:r>
              <w:rPr>
                <w:vanish/>
                <w:color w:val="FFFFFF"/>
                <w:szCs w:val="18"/>
              </w:rPr>
              <w:fldChar w:fldCharType="begin"/>
            </w:r>
            <w:r>
              <w:rPr>
                <w:vanish/>
                <w:color w:val="FFFFFF"/>
                <w:szCs w:val="18"/>
              </w:rPr>
              <w:instrText xml:space="preserve"> LISTNUM \l 1 \s 0 </w:instrText>
            </w:r>
            <w:r>
              <w:rPr>
                <w:vanish/>
                <w:color w:val="FFFFFF"/>
                <w:szCs w:val="18"/>
              </w:rPr>
              <w:fldChar w:fldCharType="end">
                <w:numberingChange w:id="126" w:author="MUSZYNSKI, THOMAS D. (SIERRA 7 INC)" w:date="2024-11-26T07:15:00Z" w:original="0."/>
              </w:fldChar>
            </w:r>
          </w:p>
        </w:tc>
        <w:tc>
          <w:tcPr>
            <w:tcW w:w="6120" w:type="dxa"/>
          </w:tcPr>
          <w:p w14:paraId="5F298782" w14:textId="77777777" w:rsidR="002A21AE" w:rsidRDefault="002A21AE">
            <w:pPr>
              <w:pStyle w:val="TableTextBullet"/>
            </w:pPr>
            <w:r>
              <w:t xml:space="preserve">Displays and prints the medication information profile. </w:t>
            </w:r>
          </w:p>
        </w:tc>
      </w:tr>
    </w:tbl>
    <w:p w14:paraId="5E026334" w14:textId="77777777" w:rsidR="002A21AE" w:rsidRDefault="002A21AE">
      <w:pPr>
        <w:pStyle w:val="Heading3"/>
        <w:sectPr w:rsidR="002A21AE" w:rsidSect="009516A4">
          <w:type w:val="continuous"/>
          <w:pgSz w:w="12240" w:h="15840" w:code="1"/>
          <w:pgMar w:top="1440" w:right="1440" w:bottom="1440" w:left="1440" w:header="720" w:footer="720" w:gutter="0"/>
          <w:pgNumType w:start="16"/>
          <w:cols w:space="720"/>
          <w:docGrid w:linePitch="360"/>
        </w:sectPr>
      </w:pPr>
    </w:p>
    <w:p w14:paraId="1CA4BCB3" w14:textId="77777777" w:rsidR="002A21AE" w:rsidRDefault="00057948">
      <w:pPr>
        <w:pStyle w:val="Heading3"/>
      </w:pPr>
      <w:bookmarkStart w:id="127" w:name="_View_Special_Instructions_and_Trans"/>
      <w:bookmarkStart w:id="128" w:name="_Toc92426411"/>
      <w:bookmarkStart w:id="129" w:name="_Toc203765845"/>
      <w:bookmarkEnd w:id="127"/>
      <w:r>
        <w:rPr>
          <w:noProof/>
        </w:rPr>
        <w:lastRenderedPageBreak/>
        <w:drawing>
          <wp:inline distT="0" distB="0" distL="0" distR="0" wp14:anchorId="2F6FBD08" wp14:editId="0886C13C">
            <wp:extent cx="156845" cy="156845"/>
            <wp:effectExtent l="0" t="0" r="0" b="0"/>
            <wp:docPr id="98" name="Picture 98" descr="View Special Instructions and Transfusion Requirements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Picture 98" descr="View Special Instructions and Transfusion Requirements icon"/>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A21AE">
        <w:t xml:space="preserve"> View Special Instructions and Transfusion Requirements</w:t>
      </w:r>
      <w:bookmarkEnd w:id="128"/>
      <w:bookmarkEnd w:id="129"/>
      <w:r w:rsidR="002A21AE">
        <w:rPr>
          <w:rFonts w:ascii="Times New Roman" w:hAnsi="Times New Roman" w:cs="Times New Roman"/>
          <w:b w:val="0"/>
          <w:vanish/>
          <w:sz w:val="22"/>
        </w:rPr>
        <w:fldChar w:fldCharType="begin"/>
      </w:r>
      <w:r w:rsidR="002A21AE">
        <w:rPr>
          <w:rFonts w:ascii="Times New Roman" w:hAnsi="Times New Roman" w:cs="Times New Roman"/>
          <w:b w:val="0"/>
          <w:vanish/>
          <w:sz w:val="22"/>
        </w:rPr>
        <w:instrText xml:space="preserve"> XE </w:instrText>
      </w:r>
      <w:r w:rsidR="00FA7E65">
        <w:rPr>
          <w:rFonts w:ascii="Times New Roman" w:hAnsi="Times New Roman" w:cs="Times New Roman"/>
          <w:b w:val="0"/>
          <w:vanish/>
          <w:sz w:val="22"/>
        </w:rPr>
        <w:instrText>“</w:instrText>
      </w:r>
      <w:r w:rsidR="002A21AE">
        <w:rPr>
          <w:rFonts w:ascii="Times New Roman" w:hAnsi="Times New Roman" w:cs="Times New Roman"/>
          <w:b w:val="0"/>
          <w:vanish/>
          <w:sz w:val="22"/>
        </w:rPr>
        <w:instrText>View Special Instructions and Transfusion Requirements</w:instrText>
      </w:r>
      <w:r w:rsidR="00FA7E65">
        <w:rPr>
          <w:rFonts w:ascii="Times New Roman" w:hAnsi="Times New Roman" w:cs="Times New Roman"/>
          <w:b w:val="0"/>
          <w:vanish/>
          <w:sz w:val="22"/>
        </w:rPr>
        <w:instrText>”</w:instrText>
      </w:r>
      <w:r w:rsidR="002A21AE">
        <w:rPr>
          <w:rFonts w:ascii="Times New Roman" w:hAnsi="Times New Roman" w:cs="Times New Roman"/>
          <w:b w:val="0"/>
          <w:vanish/>
          <w:sz w:val="22"/>
        </w:rPr>
        <w:instrText xml:space="preserve"> </w:instrText>
      </w:r>
      <w:r w:rsidR="002A21AE">
        <w:rPr>
          <w:rFonts w:ascii="Times New Roman" w:hAnsi="Times New Roman" w:cs="Times New Roman"/>
          <w:b w:val="0"/>
          <w:vanish/>
          <w:sz w:val="22"/>
        </w:rPr>
        <w:fldChar w:fldCharType="end"/>
      </w:r>
      <w:r w:rsidR="002A21AE">
        <w:rPr>
          <w:rFonts w:ascii="Times New Roman" w:hAnsi="Times New Roman" w:cs="Times New Roman"/>
          <w:b w:val="0"/>
          <w:vanish/>
          <w:sz w:val="22"/>
        </w:rPr>
        <w:t xml:space="preserve"> UC_36</w:t>
      </w:r>
    </w:p>
    <w:p w14:paraId="76E7EDB3" w14:textId="77777777" w:rsidR="002A21AE" w:rsidRDefault="002A21AE" w:rsidP="00FA7E65">
      <w:pPr>
        <w:pStyle w:val="BodyText"/>
      </w:pPr>
      <w:r>
        <w:t xml:space="preserve">The user views patient-specific Special Instructions (SIs) and Transfusion Requirements (TRs). </w:t>
      </w:r>
    </w:p>
    <w:p w14:paraId="3A96E197" w14:textId="77777777" w:rsidR="002A21AE" w:rsidRDefault="002A21AE">
      <w:pPr>
        <w:pStyle w:val="Heading4"/>
      </w:pPr>
      <w:r>
        <w:t>Assumptions</w:t>
      </w:r>
    </w:p>
    <w:p w14:paraId="4959378B" w14:textId="77777777" w:rsidR="002A21AE" w:rsidRDefault="002A21AE">
      <w:pPr>
        <w:pStyle w:val="ListBullet"/>
      </w:pPr>
      <w:r>
        <w:t xml:space="preserve">SI entries were created through Special Instructions &amp; Transfusion Requirements: Enter a Special Instruction or from </w:t>
      </w:r>
      <w:r w:rsidR="00150930">
        <w:t>database conversion</w:t>
      </w:r>
      <w:r>
        <w:t>.</w:t>
      </w:r>
    </w:p>
    <w:p w14:paraId="7EB4B997" w14:textId="77777777" w:rsidR="002A21AE" w:rsidRDefault="002A21AE">
      <w:pPr>
        <w:pStyle w:val="ListBullet"/>
      </w:pPr>
      <w:r>
        <w:t xml:space="preserve">TR entries were entered through Special Instructions &amp; Transfusion Requirements: Enter a Transfusion Requirement or Patient Testing: </w:t>
      </w:r>
      <w:r w:rsidR="00244FCD">
        <w:t>Enter Antibody Identification Results</w:t>
      </w:r>
      <w:r>
        <w:t>.</w:t>
      </w:r>
    </w:p>
    <w:p w14:paraId="7640DDD9" w14:textId="77777777" w:rsidR="002A21AE" w:rsidRDefault="002A21AE">
      <w:pPr>
        <w:pStyle w:val="Heading4"/>
        <w:rPr>
          <w:i/>
        </w:rPr>
      </w:pPr>
      <w:r>
        <w:t>Outcome</w:t>
      </w:r>
      <w:r>
        <w:rPr>
          <w:i/>
        </w:rPr>
        <w:t xml:space="preserve"> </w:t>
      </w:r>
    </w:p>
    <w:p w14:paraId="318BC1BF" w14:textId="77777777" w:rsidR="002A21AE" w:rsidRDefault="002A21AE">
      <w:pPr>
        <w:pStyle w:val="ListBullet"/>
      </w:pPr>
      <w:r>
        <w:t>VBECS displays a patient’s SIs and TRs.</w:t>
      </w:r>
    </w:p>
    <w:p w14:paraId="345400BE" w14:textId="77777777" w:rsidR="002A21AE" w:rsidRDefault="002A21AE" w:rsidP="00C602D5">
      <w:pPr>
        <w:pStyle w:val="Heading4"/>
      </w:pPr>
      <w:r>
        <w:t>Limitations and Restrictions</w:t>
      </w:r>
      <w:r>
        <w:rPr>
          <w:b w:val="0"/>
        </w:rPr>
        <w:t xml:space="preserve"> </w:t>
      </w:r>
    </w:p>
    <w:p w14:paraId="15AD526A" w14:textId="77777777" w:rsidR="00C602D5" w:rsidRDefault="00C602D5" w:rsidP="00C602D5">
      <w:pPr>
        <w:pStyle w:val="ListBullet"/>
      </w:pPr>
      <w:r w:rsidRPr="00633316">
        <w:t xml:space="preserve">Changing a patient's antigen negative requirement or antibody identified after a unit is crossmatched does not provide an alert at Issue Unit regarding the type of crossmatch </w:t>
      </w:r>
      <w:r>
        <w:t xml:space="preserve">(electronic or serologic) </w:t>
      </w:r>
      <w:r w:rsidRPr="00633316">
        <w:t xml:space="preserve">performed on </w:t>
      </w:r>
      <w:r>
        <w:t xml:space="preserve">a </w:t>
      </w:r>
      <w:r w:rsidRPr="00633316">
        <w:t>unit</w:t>
      </w:r>
      <w:r>
        <w:t xml:space="preserve"> available for issue</w:t>
      </w:r>
      <w:r w:rsidRPr="00633316">
        <w:t>.</w:t>
      </w:r>
    </w:p>
    <w:p w14:paraId="353F7ABC" w14:textId="77777777" w:rsidR="0014357E" w:rsidRDefault="0083732D" w:rsidP="0083732D">
      <w:pPr>
        <w:pStyle w:val="ListBullet"/>
      </w:pPr>
      <w:r w:rsidRPr="00A2186F">
        <w:t xml:space="preserve">This icon </w:t>
      </w:r>
      <w:r w:rsidR="00057948">
        <w:rPr>
          <w:noProof/>
        </w:rPr>
        <w:drawing>
          <wp:inline distT="0" distB="0" distL="0" distR="0" wp14:anchorId="4F3EAAA0" wp14:editId="599FCD0C">
            <wp:extent cx="156845" cy="156845"/>
            <wp:effectExtent l="0" t="0" r="0" b="0"/>
            <wp:docPr id="100" name="Picture 100" descr="View Special Instructions and Transfusion Requirements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Picture 100" descr="View Special Instructions and Transfusion Requirements icon"/>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Pr="00A2186F">
        <w:t xml:space="preserve"> will be disabled </w:t>
      </w:r>
      <w:r w:rsidR="00B814B4">
        <w:t>when</w:t>
      </w:r>
      <w:r w:rsidRPr="00A2186F">
        <w:t xml:space="preserve"> the icon is displayed</w:t>
      </w:r>
      <w:r w:rsidR="0014357E">
        <w:t>:</w:t>
      </w:r>
    </w:p>
    <w:p w14:paraId="5F544A0C" w14:textId="77777777" w:rsidR="0014357E" w:rsidRDefault="0014357E" w:rsidP="00925CAD">
      <w:pPr>
        <w:pStyle w:val="ListBullet"/>
        <w:numPr>
          <w:ilvl w:val="0"/>
          <w:numId w:val="69"/>
        </w:numPr>
      </w:pPr>
      <w:r w:rsidRPr="00A2186F">
        <w:t xml:space="preserve">within the </w:t>
      </w:r>
      <w:r w:rsidR="00102E3E" w:rsidRPr="004F7630">
        <w:t xml:space="preserve">patient </w:t>
      </w:r>
      <w:r w:rsidR="00102E3E">
        <w:t>search window</w:t>
      </w:r>
      <w:r w:rsidRPr="00A2186F">
        <w:t xml:space="preserve"> because special instructions and transfusion requirements are </w:t>
      </w:r>
      <w:r>
        <w:t>already displayed automatically within this option.</w:t>
      </w:r>
    </w:p>
    <w:p w14:paraId="5BA5E287" w14:textId="1F4A18FC" w:rsidR="00BD09FD" w:rsidRDefault="00BD09FD" w:rsidP="00925CAD">
      <w:pPr>
        <w:pStyle w:val="ListBullet"/>
        <w:numPr>
          <w:ilvl w:val="0"/>
          <w:numId w:val="69"/>
        </w:numPr>
      </w:pPr>
      <w:r>
        <w:t>within this option to view S</w:t>
      </w:r>
      <w:r w:rsidR="00C72B3B">
        <w:t>I</w:t>
      </w:r>
      <w:r>
        <w:t>s and TRs.</w:t>
      </w:r>
    </w:p>
    <w:p w14:paraId="48A62B18" w14:textId="20F04548" w:rsidR="00D167B0" w:rsidRDefault="00C72B3B" w:rsidP="00925CAD">
      <w:pPr>
        <w:pStyle w:val="ListBullet"/>
        <w:numPr>
          <w:ilvl w:val="0"/>
          <w:numId w:val="69"/>
        </w:numPr>
      </w:pPr>
      <w:r>
        <w:t xml:space="preserve">When </w:t>
      </w:r>
      <w:r w:rsidR="00487A0E">
        <w:t>the selected patient does not have S</w:t>
      </w:r>
      <w:r w:rsidR="00476A15">
        <w:t>I</w:t>
      </w:r>
      <w:r w:rsidR="00487A0E">
        <w:t>s or TRs to display.</w:t>
      </w:r>
      <w:r w:rsidR="00766C20">
        <w:t xml:space="preserve"> </w:t>
      </w:r>
      <w:r w:rsidR="00766C20" w:rsidRPr="00766C20">
        <w:rPr>
          <w:vanish/>
        </w:rPr>
        <w:t>Task 606914</w:t>
      </w:r>
    </w:p>
    <w:p w14:paraId="6986D3E8" w14:textId="3681CAD2" w:rsidR="002A21AE" w:rsidRDefault="002A21AE">
      <w:pPr>
        <w:pStyle w:val="Heading4"/>
      </w:pPr>
      <w:r>
        <w:t>Additional Information</w:t>
      </w:r>
    </w:p>
    <w:p w14:paraId="747C6629" w14:textId="77777777" w:rsidR="002A21AE" w:rsidRDefault="002A21AE">
      <w:pPr>
        <w:pStyle w:val="ListBullet"/>
      </w:pPr>
      <w:r>
        <w:t>VBECS displays a patient’s known antibodies in all divisions in a multidivisional database. VBECS does not restrict viewing SI and TR entries by division; they are linked to the patient’s record and not to an order, a specimen, or a unit.</w:t>
      </w:r>
    </w:p>
    <w:p w14:paraId="63682EE6" w14:textId="77777777" w:rsidR="002A21AE" w:rsidRDefault="002A21AE" w:rsidP="00C602D5">
      <w:pPr>
        <w:pStyle w:val="ListBullet"/>
      </w:pPr>
      <w:r>
        <w:t>VBECS does not enforce SIs; VBECS enforces TRs and persistent antigen negative requirements throughout the database.</w:t>
      </w:r>
    </w:p>
    <w:p w14:paraId="2EDC1F13" w14:textId="77777777" w:rsidR="002A21AE" w:rsidRDefault="002A21AE">
      <w:pPr>
        <w:pStyle w:val="Heading4"/>
      </w:pPr>
      <w:r>
        <w:t>User Roles with Access to This Option</w:t>
      </w:r>
    </w:p>
    <w:p w14:paraId="4DA0D67F" w14:textId="77777777" w:rsidR="002A21AE" w:rsidRPr="00237C52" w:rsidRDefault="00237C52" w:rsidP="00237C52">
      <w:pPr>
        <w:pStyle w:val="Roles"/>
      </w:pPr>
      <w:r>
        <w:t xml:space="preserve">All users </w:t>
      </w:r>
    </w:p>
    <w:p w14:paraId="2E51A1A0" w14:textId="77777777" w:rsidR="002A21AE" w:rsidRDefault="002A21AE">
      <w:pPr>
        <w:pStyle w:val="Heading4"/>
      </w:pPr>
      <w:bookmarkStart w:id="130" w:name="_Toc90551769"/>
      <w:r>
        <w:t>View Special Instructions and Transfusion Requirements</w:t>
      </w:r>
      <w:bookmarkEnd w:id="130"/>
    </w:p>
    <w:p w14:paraId="0CB248A7" w14:textId="77777777" w:rsidR="002A21AE" w:rsidRDefault="002A21AE" w:rsidP="00FA7E65">
      <w:pPr>
        <w:pStyle w:val="BodyText"/>
      </w:pPr>
      <w:r>
        <w:t xml:space="preserve">The user views a patient record. When SIs and TRs are available for the patient, VBECS activates the Patient Information Toolbar icons. VBECS alerts the user when a patient’s record includes SIs and TRs. </w:t>
      </w:r>
    </w:p>
    <w:p w14:paraId="2E99D3C2" w14:textId="4D43082A" w:rsidR="002A21AE" w:rsidRDefault="00057948">
      <w:pPr>
        <w:pStyle w:val="Caution"/>
      </w:pPr>
      <w:r>
        <w:rPr>
          <w:noProof/>
        </w:rPr>
        <w:drawing>
          <wp:inline distT="0" distB="0" distL="0" distR="0" wp14:anchorId="42FB5AFC" wp14:editId="2DF233FB">
            <wp:extent cx="267970" cy="221615"/>
            <wp:effectExtent l="0" t="0" r="0" b="6985"/>
            <wp:docPr id="101" name="Picture 101" descr="Cau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Picture 101" descr="Caution icon"/>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67970" cy="221615"/>
                    </a:xfrm>
                    <a:prstGeom prst="rect">
                      <a:avLst/>
                    </a:prstGeom>
                    <a:noFill/>
                    <a:ln>
                      <a:noFill/>
                    </a:ln>
                  </pic:spPr>
                </pic:pic>
              </a:graphicData>
            </a:graphic>
          </wp:inline>
        </w:drawing>
      </w:r>
      <w:r w:rsidR="00443024">
        <w:t xml:space="preserve"> </w:t>
      </w:r>
      <w:r w:rsidR="002A21AE">
        <w:t xml:space="preserve">It is highly recommended that the user </w:t>
      </w:r>
      <w:r w:rsidR="00671459">
        <w:t>clicks</w:t>
      </w:r>
      <w:r w:rsidR="002A21AE">
        <w:t xml:space="preserve"> every active icon when reviewing patient data. </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1F1E6765" w14:textId="77777777">
        <w:trPr>
          <w:tblHeader/>
        </w:trPr>
        <w:tc>
          <w:tcPr>
            <w:tcW w:w="3240" w:type="dxa"/>
            <w:shd w:val="pct30" w:color="auto" w:fill="FFFFFF"/>
            <w:vAlign w:val="bottom"/>
          </w:tcPr>
          <w:p w14:paraId="5E5D8FF1" w14:textId="77777777" w:rsidR="002A21AE" w:rsidRDefault="002A21AE">
            <w:pPr>
              <w:pStyle w:val="TableText"/>
              <w:rPr>
                <w:b/>
              </w:rPr>
            </w:pPr>
            <w:bookmarkStart w:id="131" w:name="_Toc90551770"/>
            <w:r>
              <w:rPr>
                <w:b/>
              </w:rPr>
              <w:t>User Action</w:t>
            </w:r>
          </w:p>
        </w:tc>
        <w:tc>
          <w:tcPr>
            <w:tcW w:w="6120" w:type="dxa"/>
            <w:shd w:val="pct30" w:color="auto" w:fill="FFFFFF"/>
            <w:vAlign w:val="bottom"/>
          </w:tcPr>
          <w:p w14:paraId="466801EB" w14:textId="77777777" w:rsidR="002A21AE" w:rsidRDefault="002A21AE">
            <w:pPr>
              <w:pStyle w:val="TableText"/>
              <w:rPr>
                <w:b/>
              </w:rPr>
            </w:pPr>
            <w:r>
              <w:rPr>
                <w:b/>
              </w:rPr>
              <w:t>VBECS</w:t>
            </w:r>
          </w:p>
        </w:tc>
      </w:tr>
      <w:tr w:rsidR="002A21AE" w14:paraId="13ACD7DC" w14:textId="77777777">
        <w:tc>
          <w:tcPr>
            <w:tcW w:w="3240" w:type="dxa"/>
          </w:tcPr>
          <w:p w14:paraId="6C714B0E" w14:textId="77777777" w:rsidR="002A21AE" w:rsidRDefault="002A21AE">
            <w:pPr>
              <w:pStyle w:val="TableTextNumbers"/>
            </w:pPr>
            <w:r>
              <w:t xml:space="preserve">Select </w:t>
            </w:r>
            <w:r>
              <w:rPr>
                <w:b/>
              </w:rPr>
              <w:t>Patients</w:t>
            </w:r>
            <w:r>
              <w:t xml:space="preserve"> from the main menu.</w:t>
            </w:r>
          </w:p>
          <w:p w14:paraId="51594F39" w14:textId="77777777" w:rsidR="002A21AE" w:rsidRDefault="002A21AE">
            <w:pPr>
              <w:pStyle w:val="TableTextNumbersContinued"/>
              <w:rPr>
                <w:b/>
                <w:bCs/>
              </w:rPr>
            </w:pPr>
          </w:p>
          <w:p w14:paraId="6A41105A" w14:textId="77777777" w:rsidR="002A21AE" w:rsidRDefault="002A21AE">
            <w:pPr>
              <w:pStyle w:val="TableTextNumbersContinued"/>
            </w:pPr>
            <w:r>
              <w:t xml:space="preserve">Select </w:t>
            </w:r>
            <w:r>
              <w:rPr>
                <w:b/>
              </w:rPr>
              <w:t>Special Instructions &amp; Transfusion Requirements</w:t>
            </w:r>
            <w:r>
              <w:t>, or</w:t>
            </w:r>
          </w:p>
          <w:p w14:paraId="5D1D33F2" w14:textId="77777777" w:rsidR="002A21AE" w:rsidRDefault="002A21AE">
            <w:pPr>
              <w:pStyle w:val="TableTextNumbersContinued"/>
            </w:pPr>
          </w:p>
          <w:p w14:paraId="445EB04B" w14:textId="77777777" w:rsidR="002A21AE" w:rsidRDefault="002A21AE">
            <w:pPr>
              <w:pStyle w:val="TableTextNumbersContinued"/>
            </w:pPr>
            <w:r>
              <w:lastRenderedPageBreak/>
              <w:t xml:space="preserve">Click </w:t>
            </w:r>
            <w:r w:rsidR="00057948">
              <w:rPr>
                <w:noProof/>
              </w:rPr>
              <w:drawing>
                <wp:inline distT="0" distB="0" distL="0" distR="0" wp14:anchorId="4FD48C69" wp14:editId="3B21BCC3">
                  <wp:extent cx="156845" cy="156845"/>
                  <wp:effectExtent l="0" t="0" r="0" b="0"/>
                  <wp:docPr id="102" name="Picture 102" descr="View Special Instructions and Transfusion Requirements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Picture 102" descr="View Special Instructions and Transfusion Requirements icon"/>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t xml:space="preserve"> in the Patient Information Toolbar, when it is active.</w:t>
            </w:r>
          </w:p>
        </w:tc>
        <w:tc>
          <w:tcPr>
            <w:tcW w:w="6120" w:type="dxa"/>
          </w:tcPr>
          <w:p w14:paraId="7F9DFDDE" w14:textId="77777777" w:rsidR="002A21AE" w:rsidRDefault="002A21AE">
            <w:pPr>
              <w:pStyle w:val="TableTextBullet"/>
            </w:pPr>
            <w:r>
              <w:lastRenderedPageBreak/>
              <w:t>Displays options for processing patient-related functions.</w:t>
            </w:r>
          </w:p>
          <w:p w14:paraId="6B211892" w14:textId="77777777" w:rsidR="002A21AE" w:rsidRDefault="002A21AE">
            <w:pPr>
              <w:pStyle w:val="TableTextBullet"/>
            </w:pPr>
            <w:r>
              <w:t xml:space="preserve">Displays the option to select a patient, when one is not already selected. </w:t>
            </w:r>
          </w:p>
          <w:p w14:paraId="6FB87AAB" w14:textId="77777777" w:rsidR="002A21AE" w:rsidRDefault="002A21AE">
            <w:pPr>
              <w:pStyle w:val="TableText"/>
              <w:rPr>
                <w:b/>
                <w:bCs/>
                <w:szCs w:val="18"/>
              </w:rPr>
            </w:pPr>
          </w:p>
          <w:p w14:paraId="1346E60A" w14:textId="4ADF6945" w:rsidR="002A21AE" w:rsidRDefault="002A21AE">
            <w:pPr>
              <w:pStyle w:val="TableText"/>
              <w:rPr>
                <w:b/>
                <w:bCs/>
                <w:szCs w:val="18"/>
              </w:rPr>
            </w:pPr>
            <w:r>
              <w:rPr>
                <w:b/>
                <w:bCs/>
                <w:szCs w:val="18"/>
              </w:rPr>
              <w:t>NOTES</w:t>
            </w:r>
          </w:p>
          <w:p w14:paraId="21F3C11C" w14:textId="77777777" w:rsidR="002A21AE" w:rsidRDefault="002A21AE">
            <w:pPr>
              <w:pStyle w:val="NotesText"/>
            </w:pPr>
          </w:p>
          <w:p w14:paraId="1F4420D9" w14:textId="77777777" w:rsidR="002A21AE" w:rsidRDefault="00D62E87">
            <w:pPr>
              <w:pStyle w:val="NotesText"/>
            </w:pPr>
            <w:r w:rsidRPr="00896F17">
              <w:rPr>
                <w:rStyle w:val="BullhornChar"/>
              </w:rPr>
              <w:lastRenderedPageBreak/>
              <w:t></w:t>
            </w:r>
            <w:r w:rsidRPr="00D62E87">
              <w:rPr>
                <w:rFonts w:ascii="Webdings" w:hAnsi="Webdings"/>
                <w:szCs w:val="22"/>
              </w:rPr>
              <w:t></w:t>
            </w:r>
            <w:r w:rsidR="002A21AE">
              <w:t>When a patient’s VBECS record includes an active TR, SI, or antigen negative requirement, VBECS emits an audible alert and notifies the user by enabling the icon.</w:t>
            </w:r>
          </w:p>
        </w:tc>
      </w:tr>
      <w:tr w:rsidR="002A21AE" w14:paraId="314BFCC5" w14:textId="77777777">
        <w:tc>
          <w:tcPr>
            <w:tcW w:w="3240" w:type="dxa"/>
          </w:tcPr>
          <w:p w14:paraId="68E1E125" w14:textId="77777777" w:rsidR="002A21AE" w:rsidRDefault="002A21AE">
            <w:pPr>
              <w:pStyle w:val="TableTextNumbers"/>
            </w:pPr>
            <w:r>
              <w:lastRenderedPageBreak/>
              <w:t xml:space="preserve">Select a patient and click </w:t>
            </w:r>
            <w:r>
              <w:rPr>
                <w:b/>
              </w:rPr>
              <w:t>OK</w:t>
            </w:r>
            <w:r>
              <w:t>.</w:t>
            </w:r>
          </w:p>
          <w:p w14:paraId="3C873A8F" w14:textId="77777777" w:rsidR="002A21AE" w:rsidRDefault="002A21AE">
            <w:pPr>
              <w:pStyle w:val="TableTextNumbersContinued"/>
              <w:rPr>
                <w:b/>
                <w:bCs/>
              </w:rPr>
            </w:pPr>
          </w:p>
          <w:p w14:paraId="2ADE4BEE" w14:textId="77777777" w:rsidR="002A21AE" w:rsidRDefault="002A21AE">
            <w:pPr>
              <w:pStyle w:val="TableTextNumbersContinued"/>
            </w:pPr>
            <w:r>
              <w:t xml:space="preserve">View the data. </w:t>
            </w:r>
          </w:p>
          <w:p w14:paraId="2D13A3FB" w14:textId="77777777" w:rsidR="002A21AE" w:rsidRDefault="002A21AE">
            <w:pPr>
              <w:pStyle w:val="TableTextNumbersContinued"/>
            </w:pPr>
          </w:p>
          <w:p w14:paraId="6586A8B3" w14:textId="77777777" w:rsidR="002A21AE" w:rsidRDefault="002A21AE">
            <w:pPr>
              <w:pStyle w:val="TableTextNumbersContinued"/>
            </w:pPr>
            <w:r>
              <w:t xml:space="preserve">Click </w:t>
            </w:r>
            <w:r>
              <w:rPr>
                <w:b/>
              </w:rPr>
              <w:t>OK</w:t>
            </w:r>
            <w:r>
              <w:t xml:space="preserve"> to continue.</w:t>
            </w:r>
          </w:p>
        </w:tc>
        <w:tc>
          <w:tcPr>
            <w:tcW w:w="6120" w:type="dxa"/>
          </w:tcPr>
          <w:p w14:paraId="7A02D708" w14:textId="77777777" w:rsidR="002A21AE" w:rsidRDefault="002A21AE">
            <w:pPr>
              <w:pStyle w:val="TableTextBullet"/>
            </w:pPr>
            <w:r>
              <w:t xml:space="preserve">Displays the data. </w:t>
            </w:r>
          </w:p>
          <w:p w14:paraId="5A003F59" w14:textId="77777777" w:rsidR="002A21AE" w:rsidRDefault="002A21AE">
            <w:pPr>
              <w:pStyle w:val="TableText"/>
            </w:pPr>
          </w:p>
          <w:p w14:paraId="568B1378" w14:textId="77D665F0" w:rsidR="002A21AE" w:rsidRDefault="002A21AE">
            <w:pPr>
              <w:pStyle w:val="TableText"/>
              <w:rPr>
                <w:b/>
                <w:bCs/>
                <w:szCs w:val="18"/>
              </w:rPr>
            </w:pPr>
            <w:r>
              <w:rPr>
                <w:b/>
                <w:bCs/>
                <w:szCs w:val="18"/>
              </w:rPr>
              <w:t>NOTES</w:t>
            </w:r>
          </w:p>
          <w:p w14:paraId="3076D024" w14:textId="77777777" w:rsidR="002A21AE" w:rsidRDefault="002A21AE">
            <w:pPr>
              <w:pStyle w:val="NotesText"/>
            </w:pPr>
          </w:p>
          <w:p w14:paraId="591BBDFB" w14:textId="77777777" w:rsidR="002A21AE" w:rsidRPr="008D574C" w:rsidRDefault="002A21AE">
            <w:pPr>
              <w:pStyle w:val="NotesText"/>
              <w:rPr>
                <w:rFonts w:cs="Arial"/>
                <w:szCs w:val="18"/>
              </w:rPr>
            </w:pPr>
            <w:r w:rsidRPr="008D574C">
              <w:rPr>
                <w:rFonts w:cs="Arial"/>
                <w:vanish/>
                <w:szCs w:val="18"/>
              </w:rPr>
              <w:t xml:space="preserve">BR_36.02 </w:t>
            </w:r>
            <w:r w:rsidR="0058054E">
              <w:rPr>
                <w:rFonts w:cs="Arial"/>
                <w:szCs w:val="18"/>
              </w:rPr>
              <w:t xml:space="preserve">VBECS displays active TRs to all divisions within a multidivisional database. </w:t>
            </w:r>
          </w:p>
          <w:p w14:paraId="18543C46" w14:textId="77777777" w:rsidR="002A21AE" w:rsidRPr="008D574C" w:rsidRDefault="002A21AE">
            <w:pPr>
              <w:pStyle w:val="NotesText"/>
              <w:rPr>
                <w:rFonts w:cs="Arial"/>
                <w:szCs w:val="18"/>
              </w:rPr>
            </w:pPr>
          </w:p>
          <w:p w14:paraId="72990718" w14:textId="77777777" w:rsidR="00201E35" w:rsidRPr="008D574C" w:rsidRDefault="00201E35">
            <w:pPr>
              <w:pStyle w:val="NotesText"/>
              <w:rPr>
                <w:rFonts w:cs="Arial"/>
                <w:szCs w:val="18"/>
              </w:rPr>
            </w:pPr>
            <w:r w:rsidRPr="008D574C">
              <w:rPr>
                <w:rFonts w:cs="Arial"/>
                <w:vanish/>
                <w:szCs w:val="18"/>
              </w:rPr>
              <w:t>BR_36.07</w:t>
            </w:r>
            <w:r w:rsidRPr="008D574C">
              <w:rPr>
                <w:rFonts w:cs="Arial"/>
                <w:szCs w:val="18"/>
              </w:rPr>
              <w:t xml:space="preserve"> VBECS alerts the user when an active TR, SI, or antigen negative requirement is in a patient’s record.</w:t>
            </w:r>
          </w:p>
          <w:p w14:paraId="73B2105D" w14:textId="77777777" w:rsidR="00201E35" w:rsidRPr="008D574C" w:rsidRDefault="00201E35">
            <w:pPr>
              <w:pStyle w:val="NotesText"/>
              <w:rPr>
                <w:rFonts w:cs="Arial"/>
                <w:szCs w:val="18"/>
              </w:rPr>
            </w:pPr>
          </w:p>
          <w:p w14:paraId="112AA850" w14:textId="77777777" w:rsidR="002A21AE" w:rsidRPr="008D574C" w:rsidRDefault="002A21AE">
            <w:pPr>
              <w:pStyle w:val="NotesText"/>
              <w:rPr>
                <w:rFonts w:cs="Arial"/>
                <w:szCs w:val="18"/>
              </w:rPr>
            </w:pPr>
            <w:r w:rsidRPr="008D574C">
              <w:rPr>
                <w:rFonts w:cs="Arial"/>
                <w:vanish/>
                <w:szCs w:val="18"/>
              </w:rPr>
              <w:t xml:space="preserve">BR_38.08 </w:t>
            </w:r>
            <w:r w:rsidRPr="008D574C">
              <w:rPr>
                <w:rFonts w:cs="Arial"/>
                <w:szCs w:val="18"/>
              </w:rPr>
              <w:t>VBECS displays component requirements to all divisions in a multidivisional database. No division allows issue until requirements are met.</w:t>
            </w:r>
          </w:p>
          <w:p w14:paraId="2C87C787" w14:textId="77777777" w:rsidR="002A21AE" w:rsidRPr="008D574C" w:rsidRDefault="002A21AE">
            <w:pPr>
              <w:pStyle w:val="NotesText"/>
              <w:rPr>
                <w:rFonts w:cs="Arial"/>
                <w:szCs w:val="18"/>
              </w:rPr>
            </w:pPr>
          </w:p>
          <w:p w14:paraId="6FFE3DF0" w14:textId="77777777" w:rsidR="002A21AE" w:rsidRDefault="002A21AE">
            <w:pPr>
              <w:pStyle w:val="NotesText"/>
            </w:pPr>
            <w:r w:rsidRPr="008D574C">
              <w:rPr>
                <w:rFonts w:cs="Arial"/>
                <w:vanish/>
                <w:szCs w:val="18"/>
              </w:rPr>
              <w:t>BR_36.05</w:t>
            </w:r>
            <w:r w:rsidR="00E274BF">
              <w:rPr>
                <w:rFonts w:cs="Arial"/>
                <w:vanish/>
                <w:szCs w:val="18"/>
              </w:rPr>
              <w:t>,</w:t>
            </w:r>
            <w:r w:rsidRPr="008D574C">
              <w:rPr>
                <w:rFonts w:cs="Arial"/>
                <w:vanish/>
                <w:szCs w:val="18"/>
              </w:rPr>
              <w:t xml:space="preserve"> BR_36.06</w:t>
            </w:r>
            <w:r w:rsidRPr="00E274BF">
              <w:rPr>
                <w:rFonts w:cs="Arial"/>
                <w:vanish/>
                <w:szCs w:val="18"/>
              </w:rPr>
              <w:t xml:space="preserve"> </w:t>
            </w:r>
            <w:r w:rsidRPr="008D574C">
              <w:rPr>
                <w:szCs w:val="18"/>
              </w:rPr>
              <w:t>When</w:t>
            </w:r>
            <w:r>
              <w:t xml:space="preserve"> VBECS displays the </w:t>
            </w:r>
            <w:r>
              <w:rPr>
                <w:rFonts w:cs="Arial"/>
                <w:snapToGrid w:val="0"/>
                <w:color w:val="000000"/>
              </w:rPr>
              <w:t>Patient Information Toolbar, it</w:t>
            </w:r>
            <w:r>
              <w:t xml:space="preserve"> calculates the overall compatibility percentage of units to be screened to find compatible units.</w:t>
            </w:r>
          </w:p>
          <w:p w14:paraId="079B0D5D" w14:textId="77777777" w:rsidR="007109BA" w:rsidRDefault="007109BA">
            <w:pPr>
              <w:pStyle w:val="NotesText"/>
            </w:pPr>
          </w:p>
          <w:p w14:paraId="625C4EEC" w14:textId="77777777" w:rsidR="007109BA" w:rsidRDefault="00115A2A">
            <w:pPr>
              <w:pStyle w:val="NotesText"/>
            </w:pPr>
            <w:r w:rsidRPr="00115A2A">
              <w:rPr>
                <w:vanish/>
              </w:rPr>
              <w:t>DR 4503</w:t>
            </w:r>
            <w:r>
              <w:rPr>
                <w:vanish/>
              </w:rPr>
              <w:t xml:space="preserve"> </w:t>
            </w:r>
            <w:r w:rsidR="007109BA">
              <w:t>The compatibility percentage displayed is based on the following calculation:</w:t>
            </w:r>
          </w:p>
          <w:p w14:paraId="0A4C9F09" w14:textId="77777777" w:rsidR="007109BA" w:rsidRDefault="007109BA">
            <w:pPr>
              <w:pStyle w:val="NotesText"/>
            </w:pPr>
          </w:p>
          <w:p w14:paraId="387DD3F1" w14:textId="77777777" w:rsidR="007109BA" w:rsidRDefault="007109BA">
            <w:pPr>
              <w:pStyle w:val="NotesText"/>
            </w:pPr>
            <w:r>
              <w:t>Type Specific ABO % x Antigen compatibility % as defined in Antibodies equals % compatible.</w:t>
            </w:r>
          </w:p>
          <w:p w14:paraId="4E389CD1" w14:textId="77777777" w:rsidR="007109BA" w:rsidRDefault="007109BA">
            <w:pPr>
              <w:pStyle w:val="NotesText"/>
            </w:pPr>
          </w:p>
          <w:p w14:paraId="6CE4D6B7" w14:textId="77777777" w:rsidR="007109BA" w:rsidRDefault="007109BA">
            <w:pPr>
              <w:pStyle w:val="NotesText"/>
            </w:pPr>
            <w:r>
              <w:t>For example, if a patient is A Positive and has both Anti-E (</w:t>
            </w:r>
            <w:r w:rsidR="00C242AA">
              <w:t>compatibility</w:t>
            </w:r>
            <w:r>
              <w:t xml:space="preserve"> percentage = 75%) and Anti-K (compatibility percentage = 91%) antigen negative requirements, the percentage of the population considered compatible for this patient would be .45 x .75 x .91 = .30 (rounded).</w:t>
            </w:r>
          </w:p>
          <w:p w14:paraId="220E0DB0" w14:textId="77777777" w:rsidR="007109BA" w:rsidRDefault="007109BA" w:rsidP="007109BA">
            <w:pPr>
              <w:pStyle w:val="NotesText"/>
            </w:pPr>
            <w:r>
              <w:t>Rh type of the patient is not used in the calculation when the patient does not have an Anti-D as Rh Pos or Rh Neg units may be screened.</w:t>
            </w:r>
          </w:p>
          <w:p w14:paraId="102FDF4C" w14:textId="77777777" w:rsidR="007109BA" w:rsidRDefault="007109BA" w:rsidP="007109BA">
            <w:pPr>
              <w:pStyle w:val="NotesText"/>
            </w:pPr>
          </w:p>
          <w:p w14:paraId="17962F98" w14:textId="1BF7D19A" w:rsidR="007109BA" w:rsidRDefault="007109BA" w:rsidP="007556BD">
            <w:pPr>
              <w:pStyle w:val="NotesText"/>
            </w:pPr>
            <w:r>
              <w:t>The blood type percentages in VBECS are as follows and are general percentages for the American population: A is 4</w:t>
            </w:r>
            <w:r w:rsidR="00D11F30">
              <w:t>5</w:t>
            </w:r>
            <w:r>
              <w:t>%, B</w:t>
            </w:r>
            <w:r w:rsidR="007556BD">
              <w:t xml:space="preserve"> is 1</w:t>
            </w:r>
            <w:r w:rsidR="00D11F30">
              <w:t>5</w:t>
            </w:r>
            <w:r w:rsidR="007556BD">
              <w:t xml:space="preserve">%, AB is </w:t>
            </w:r>
            <w:r w:rsidR="00D11F30">
              <w:t>6</w:t>
            </w:r>
            <w:r w:rsidR="007556BD">
              <w:t>% and O is 45%.</w:t>
            </w:r>
          </w:p>
          <w:p w14:paraId="77AC8A8B" w14:textId="77777777" w:rsidR="007109BA" w:rsidRDefault="007109BA">
            <w:pPr>
              <w:pStyle w:val="NotesText"/>
            </w:pPr>
          </w:p>
        </w:tc>
      </w:tr>
      <w:tr w:rsidR="002A21AE" w14:paraId="6A134585" w14:textId="77777777">
        <w:tc>
          <w:tcPr>
            <w:tcW w:w="3240" w:type="dxa"/>
          </w:tcPr>
          <w:p w14:paraId="4B2CD839" w14:textId="77777777" w:rsidR="002A21AE" w:rsidRDefault="002A21AE">
            <w:pPr>
              <w:pStyle w:val="TableTextNumbers"/>
            </w:pPr>
            <w:r>
              <w:t>Select another patient and return to Step 2, if desired.</w:t>
            </w:r>
          </w:p>
        </w:tc>
        <w:tc>
          <w:tcPr>
            <w:tcW w:w="6120" w:type="dxa"/>
          </w:tcPr>
          <w:p w14:paraId="126FE790" w14:textId="77777777" w:rsidR="002A21AE" w:rsidRDefault="002A21AE">
            <w:pPr>
              <w:pStyle w:val="TableText"/>
            </w:pPr>
          </w:p>
        </w:tc>
      </w:tr>
      <w:tr w:rsidR="002A21AE" w14:paraId="753F5C3C" w14:textId="77777777">
        <w:tc>
          <w:tcPr>
            <w:tcW w:w="3240" w:type="dxa"/>
          </w:tcPr>
          <w:p w14:paraId="005EE0BA" w14:textId="452F69A9" w:rsidR="002A21AE" w:rsidRDefault="002A21AE">
            <w:pPr>
              <w:pStyle w:val="TableTextNumbers"/>
            </w:pPr>
            <w:r>
              <w:t xml:space="preserve">Click </w:t>
            </w:r>
            <w:r>
              <w:rPr>
                <w:b/>
              </w:rPr>
              <w:t>OK</w:t>
            </w:r>
            <w:r>
              <w:t xml:space="preserve"> to exit.</w:t>
            </w:r>
          </w:p>
        </w:tc>
        <w:tc>
          <w:tcPr>
            <w:tcW w:w="6120" w:type="dxa"/>
          </w:tcPr>
          <w:p w14:paraId="52DFF824" w14:textId="77777777" w:rsidR="002A21AE" w:rsidRDefault="002A21AE">
            <w:pPr>
              <w:pStyle w:val="TableText"/>
            </w:pPr>
          </w:p>
        </w:tc>
      </w:tr>
      <w:bookmarkEnd w:id="131"/>
    </w:tbl>
    <w:p w14:paraId="1AC26C40" w14:textId="77777777" w:rsidR="003E1A45" w:rsidRDefault="003E1A45">
      <w:pPr>
        <w:pStyle w:val="Heading3"/>
      </w:pPr>
    </w:p>
    <w:p w14:paraId="2FBF8FDE" w14:textId="77777777" w:rsidR="002A21AE" w:rsidRDefault="003E1A45">
      <w:pPr>
        <w:pStyle w:val="Heading3"/>
      </w:pPr>
      <w:r>
        <w:br w:type="page"/>
      </w:r>
      <w:bookmarkStart w:id="132" w:name="_Toc203765846"/>
      <w:r w:rsidR="002A21AE">
        <w:lastRenderedPageBreak/>
        <w:t>View Recent Orders, Recent Transfusions/Issued Units, and Transfusion Reaction History</w:t>
      </w:r>
      <w:bookmarkEnd w:id="132"/>
    </w:p>
    <w:p w14:paraId="62FF0F76" w14:textId="77777777" w:rsidR="002A21AE" w:rsidRDefault="002A21AE" w:rsidP="00FA7E65">
      <w:pPr>
        <w:pStyle w:val="BodyText"/>
      </w:pPr>
      <w:r>
        <w:t>The user views portions of a patient’s data previously recorded in VBECS in three formats:</w:t>
      </w:r>
      <w:r w:rsidR="00573228">
        <w:t xml:space="preserve"> recent orders, recent transfusions/issued units, and transfusion reaction history.</w:t>
      </w:r>
    </w:p>
    <w:p w14:paraId="6E011D92" w14:textId="77777777" w:rsidR="002A21AE" w:rsidRDefault="002A21AE">
      <w:pPr>
        <w:pStyle w:val="Heading4"/>
      </w:pPr>
      <w:r>
        <w:t>Assumptions</w:t>
      </w:r>
    </w:p>
    <w:p w14:paraId="3BD865F9" w14:textId="77777777" w:rsidR="002A21AE" w:rsidRDefault="002A21AE" w:rsidP="00C00476">
      <w:pPr>
        <w:pStyle w:val="ListBullet"/>
        <w:rPr>
          <w:b/>
        </w:rPr>
      </w:pPr>
      <w:r>
        <w:t>A VBECS record must be established for a patient in this database in at least one division, if multidivisional.</w:t>
      </w:r>
    </w:p>
    <w:p w14:paraId="77CCC5B7" w14:textId="77777777" w:rsidR="002A21AE" w:rsidRDefault="002A21AE">
      <w:pPr>
        <w:pStyle w:val="Heading4"/>
      </w:pPr>
      <w:r>
        <w:t xml:space="preserve">Outcome </w:t>
      </w:r>
    </w:p>
    <w:p w14:paraId="05C9E988" w14:textId="77777777" w:rsidR="002A21AE" w:rsidRDefault="002A21AE" w:rsidP="00C00476">
      <w:pPr>
        <w:pStyle w:val="ListBullet"/>
      </w:pPr>
      <w:r>
        <w:t xml:space="preserve">The user </w:t>
      </w:r>
      <w:r w:rsidRPr="00C00476">
        <w:t>views</w:t>
      </w:r>
      <w:r>
        <w:t>:</w:t>
      </w:r>
    </w:p>
    <w:p w14:paraId="2E10B730" w14:textId="77777777" w:rsidR="002A21AE" w:rsidRDefault="002A21AE" w:rsidP="00716ED8">
      <w:pPr>
        <w:pStyle w:val="ListBullet2"/>
      </w:pPr>
      <w:r>
        <w:t>A patient’s active order data (recent orders).</w:t>
      </w:r>
    </w:p>
    <w:p w14:paraId="5250696E" w14:textId="77777777" w:rsidR="002A21AE" w:rsidRDefault="002A21AE" w:rsidP="00716ED8">
      <w:pPr>
        <w:pStyle w:val="ListBullet2"/>
      </w:pPr>
      <w:r>
        <w:t>A patient’s transfusions and currently issued units (recent transfusion history).</w:t>
      </w:r>
    </w:p>
    <w:p w14:paraId="71E97541" w14:textId="77777777" w:rsidR="002A21AE" w:rsidRDefault="002A21AE" w:rsidP="00716ED8">
      <w:pPr>
        <w:pStyle w:val="ListBullet2"/>
      </w:pPr>
      <w:r>
        <w:t>A snapshot of the patient’s VBECS clinical record (transfusion reaction history).</w:t>
      </w:r>
    </w:p>
    <w:p w14:paraId="244425B7" w14:textId="77777777" w:rsidR="002A21AE" w:rsidRDefault="002A21AE">
      <w:pPr>
        <w:pStyle w:val="Heading4"/>
      </w:pPr>
      <w:r>
        <w:t>Limitations and Restrictions</w:t>
      </w:r>
    </w:p>
    <w:p w14:paraId="6567B4EB" w14:textId="1EE73624" w:rsidR="002A21AE" w:rsidRDefault="006A4AFF" w:rsidP="00C00476">
      <w:pPr>
        <w:pStyle w:val="ListBullet"/>
      </w:pPr>
      <w:r>
        <w:t>Recent Orders is showing Order Status values like “Not Started” and “Filled”, which are actually Task Statuses.</w:t>
      </w:r>
      <w:r w:rsidR="00B7221D">
        <w:t xml:space="preserve"> </w:t>
      </w:r>
      <w:r w:rsidR="00B7221D" w:rsidRPr="00B7221D">
        <w:rPr>
          <w:vanish/>
        </w:rPr>
        <w:t>Defect 214974</w:t>
      </w:r>
    </w:p>
    <w:p w14:paraId="2714D461" w14:textId="1448AC26" w:rsidR="003209A5" w:rsidRDefault="003209A5" w:rsidP="00C00476">
      <w:pPr>
        <w:pStyle w:val="ListBullet"/>
      </w:pPr>
      <w:r>
        <w:t xml:space="preserve">Completed TRWs do not display on the Recent Orders screen. Completed TRWs can be found by searching in the Reports, Finalize/Print TRW option. </w:t>
      </w:r>
      <w:r w:rsidRPr="003209A5">
        <w:rPr>
          <w:vanish/>
        </w:rPr>
        <w:t>Defect 2</w:t>
      </w:r>
      <w:r w:rsidR="008C5F1E">
        <w:rPr>
          <w:vanish/>
        </w:rPr>
        <w:t>10171</w:t>
      </w:r>
    </w:p>
    <w:p w14:paraId="56949A99" w14:textId="77777777" w:rsidR="002A21AE" w:rsidRDefault="002A21AE">
      <w:pPr>
        <w:pStyle w:val="Heading4"/>
      </w:pPr>
      <w:r>
        <w:t>Additional Information</w:t>
      </w:r>
    </w:p>
    <w:p w14:paraId="1DFBC9C2" w14:textId="77777777" w:rsidR="002A21AE" w:rsidRDefault="002A21AE" w:rsidP="00C00476">
      <w:pPr>
        <w:pStyle w:val="ListBullet"/>
        <w:rPr>
          <w:b/>
        </w:rPr>
      </w:pPr>
      <w:r w:rsidRPr="00C00476">
        <w:t>None</w:t>
      </w:r>
    </w:p>
    <w:p w14:paraId="5F77D9B6" w14:textId="77777777" w:rsidR="002A21AE" w:rsidRDefault="002A21AE">
      <w:pPr>
        <w:pStyle w:val="Heading4"/>
        <w:rPr>
          <w:b w:val="0"/>
        </w:rPr>
      </w:pPr>
      <w:r>
        <w:t>User Roles with Access to This Option</w:t>
      </w:r>
      <w:r>
        <w:rPr>
          <w:b w:val="0"/>
        </w:rPr>
        <w:t xml:space="preserve"> </w:t>
      </w:r>
    </w:p>
    <w:p w14:paraId="13E80AD7" w14:textId="77777777" w:rsidR="002A21AE" w:rsidRDefault="00237C52">
      <w:pPr>
        <w:pStyle w:val="Roles"/>
      </w:pPr>
      <w:r>
        <w:t>All users</w:t>
      </w:r>
    </w:p>
    <w:p w14:paraId="47F486EA" w14:textId="77777777" w:rsidR="002A21AE" w:rsidRDefault="00057948">
      <w:pPr>
        <w:pStyle w:val="Heading3"/>
      </w:pPr>
      <w:bookmarkStart w:id="133" w:name="_Patient_Information_Toolbar:_Recent"/>
      <w:bookmarkStart w:id="134" w:name="_Toc203765847"/>
      <w:bookmarkEnd w:id="133"/>
      <w:r>
        <w:rPr>
          <w:noProof/>
        </w:rPr>
        <w:drawing>
          <wp:inline distT="0" distB="0" distL="0" distR="0" wp14:anchorId="7EE88B24" wp14:editId="3875D715">
            <wp:extent cx="156845" cy="156845"/>
            <wp:effectExtent l="0" t="0" r="0" b="0"/>
            <wp:docPr id="103" name="Picture 103" descr="Recent Orders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Picture 103" descr="Recent Orders icon"/>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A21AE">
        <w:t xml:space="preserve"> Patient Information Toolbar: Recent Orders</w:t>
      </w:r>
      <w:bookmarkEnd w:id="134"/>
      <w:r w:rsidR="002A21AE">
        <w:rPr>
          <w:rFonts w:ascii="Times New Roman" w:hAnsi="Times New Roman" w:cs="Times New Roman"/>
          <w:b w:val="0"/>
          <w:vanish/>
          <w:sz w:val="22"/>
        </w:rPr>
        <w:fldChar w:fldCharType="begin"/>
      </w:r>
      <w:r w:rsidR="002A21AE">
        <w:rPr>
          <w:rFonts w:ascii="Times New Roman" w:hAnsi="Times New Roman" w:cs="Times New Roman"/>
          <w:b w:val="0"/>
          <w:vanish/>
          <w:sz w:val="22"/>
        </w:rPr>
        <w:instrText xml:space="preserve"> XE </w:instrText>
      </w:r>
      <w:r w:rsidR="00FA7E65">
        <w:rPr>
          <w:rFonts w:ascii="Times New Roman" w:hAnsi="Times New Roman" w:cs="Times New Roman"/>
          <w:b w:val="0"/>
          <w:vanish/>
          <w:sz w:val="22"/>
        </w:rPr>
        <w:instrText>“</w:instrText>
      </w:r>
      <w:r w:rsidR="002A21AE">
        <w:rPr>
          <w:rFonts w:ascii="Times New Roman" w:hAnsi="Times New Roman" w:cs="Times New Roman"/>
          <w:b w:val="0"/>
          <w:vanish/>
          <w:sz w:val="22"/>
        </w:rPr>
        <w:instrText>Patient Information Toolbar\: Recent Orders</w:instrText>
      </w:r>
      <w:r w:rsidR="00FA7E65">
        <w:rPr>
          <w:rFonts w:ascii="Times New Roman" w:hAnsi="Times New Roman" w:cs="Times New Roman"/>
          <w:b w:val="0"/>
          <w:vanish/>
          <w:sz w:val="22"/>
        </w:rPr>
        <w:instrText>”</w:instrText>
      </w:r>
      <w:r w:rsidR="002A21AE">
        <w:rPr>
          <w:rFonts w:ascii="Times New Roman" w:hAnsi="Times New Roman" w:cs="Times New Roman"/>
          <w:b w:val="0"/>
          <w:vanish/>
          <w:sz w:val="22"/>
        </w:rPr>
        <w:instrText xml:space="preserve"> </w:instrText>
      </w:r>
      <w:r w:rsidR="002A21AE">
        <w:rPr>
          <w:rFonts w:ascii="Times New Roman" w:hAnsi="Times New Roman" w:cs="Times New Roman"/>
          <w:b w:val="0"/>
          <w:vanish/>
          <w:sz w:val="22"/>
        </w:rPr>
        <w:fldChar w:fldCharType="end"/>
      </w:r>
      <w:r w:rsidR="002A21AE">
        <w:rPr>
          <w:rFonts w:ascii="Times New Roman" w:hAnsi="Times New Roman" w:cs="Times New Roman"/>
          <w:b w:val="0"/>
          <w:vanish/>
          <w:sz w:val="22"/>
        </w:rPr>
        <w:t xml:space="preserve"> UC_65</w:t>
      </w:r>
    </w:p>
    <w:p w14:paraId="0AE88A50" w14:textId="77777777" w:rsidR="002A21AE" w:rsidRDefault="002A21AE" w:rsidP="00FA7E65">
      <w:pPr>
        <w:pStyle w:val="BodyText"/>
      </w:pPr>
      <w:r>
        <w:t xml:space="preserve">The user views current (pending and active) order data (including reflex tests), which include clinical data from all divisions within a multidivisional database. </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6B27F880" w14:textId="77777777">
        <w:trPr>
          <w:tblHeader/>
        </w:trPr>
        <w:tc>
          <w:tcPr>
            <w:tcW w:w="3240" w:type="dxa"/>
            <w:shd w:val="clear" w:color="auto" w:fill="B3B3B3"/>
          </w:tcPr>
          <w:p w14:paraId="160EE799" w14:textId="77777777" w:rsidR="002A21AE" w:rsidRDefault="002A21AE">
            <w:pPr>
              <w:pStyle w:val="TableText"/>
              <w:rPr>
                <w:b/>
              </w:rPr>
            </w:pPr>
            <w:r>
              <w:rPr>
                <w:b/>
              </w:rPr>
              <w:t>User Action</w:t>
            </w:r>
          </w:p>
        </w:tc>
        <w:tc>
          <w:tcPr>
            <w:tcW w:w="6120" w:type="dxa"/>
            <w:shd w:val="clear" w:color="auto" w:fill="B3B3B3"/>
          </w:tcPr>
          <w:p w14:paraId="54D78577" w14:textId="77777777" w:rsidR="002A21AE" w:rsidRDefault="002A21AE">
            <w:pPr>
              <w:pStyle w:val="TableText"/>
              <w:rPr>
                <w:b/>
              </w:rPr>
            </w:pPr>
            <w:r>
              <w:rPr>
                <w:b/>
              </w:rPr>
              <w:t>VBECS</w:t>
            </w:r>
          </w:p>
        </w:tc>
      </w:tr>
      <w:tr w:rsidR="002A21AE" w14:paraId="562927DD" w14:textId="77777777">
        <w:tc>
          <w:tcPr>
            <w:tcW w:w="3240" w:type="dxa"/>
          </w:tcPr>
          <w:p w14:paraId="77753145" w14:textId="77777777" w:rsidR="002A21AE" w:rsidRDefault="002A21AE">
            <w:pPr>
              <w:pStyle w:val="TableTextNumbers"/>
            </w:pPr>
            <w:r>
              <w:t xml:space="preserve">In the Patient Information Toolbar, click </w:t>
            </w:r>
            <w:r w:rsidR="00057948">
              <w:rPr>
                <w:noProof/>
              </w:rPr>
              <w:drawing>
                <wp:inline distT="0" distB="0" distL="0" distR="0" wp14:anchorId="3207265A" wp14:editId="0BC74DC1">
                  <wp:extent cx="156845" cy="156845"/>
                  <wp:effectExtent l="0" t="0" r="0" b="0"/>
                  <wp:docPr id="104" name="Picture 104" descr="Recent Orders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Picture 104" descr="Recent Orders icon"/>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t xml:space="preserve"> to view the patient’s recent orders. </w:t>
            </w:r>
          </w:p>
        </w:tc>
        <w:tc>
          <w:tcPr>
            <w:tcW w:w="6120" w:type="dxa"/>
          </w:tcPr>
          <w:p w14:paraId="65F01E1F" w14:textId="77777777" w:rsidR="002A21AE" w:rsidRDefault="002A21AE">
            <w:pPr>
              <w:pStyle w:val="TableTextBullet"/>
            </w:pPr>
            <w:r>
              <w:t>Allows the user to click an icon to view a patient’s recent orders.</w:t>
            </w:r>
          </w:p>
          <w:p w14:paraId="47C0876B" w14:textId="77777777" w:rsidR="002A21AE" w:rsidRDefault="002A21AE">
            <w:pPr>
              <w:pStyle w:val="TableText"/>
            </w:pPr>
          </w:p>
          <w:p w14:paraId="4017ECE3" w14:textId="77119B46" w:rsidR="002A21AE" w:rsidRDefault="002A21AE">
            <w:pPr>
              <w:pStyle w:val="TableText"/>
              <w:rPr>
                <w:b/>
                <w:bCs/>
                <w:szCs w:val="18"/>
              </w:rPr>
            </w:pPr>
            <w:r>
              <w:rPr>
                <w:b/>
                <w:bCs/>
                <w:szCs w:val="18"/>
              </w:rPr>
              <w:t>NOTES</w:t>
            </w:r>
          </w:p>
          <w:p w14:paraId="70E79235" w14:textId="77777777" w:rsidR="002A21AE" w:rsidRDefault="002A21AE">
            <w:pPr>
              <w:pStyle w:val="NotesText"/>
            </w:pPr>
          </w:p>
          <w:p w14:paraId="7EE101F9" w14:textId="77777777" w:rsidR="002A21AE" w:rsidRDefault="002A21AE">
            <w:pPr>
              <w:pStyle w:val="NotesText"/>
              <w:rPr>
                <w:snapToGrid w:val="0"/>
              </w:rPr>
            </w:pPr>
            <w:r w:rsidRPr="00E274BF">
              <w:rPr>
                <w:rFonts w:cs="Arial"/>
                <w:vanish/>
                <w:szCs w:val="18"/>
              </w:rPr>
              <w:t>BR_65.08</w:t>
            </w:r>
            <w:r w:rsidRPr="009660C3">
              <w:rPr>
                <w:vanish/>
                <w:szCs w:val="18"/>
              </w:rPr>
              <w:t xml:space="preserve"> </w:t>
            </w:r>
            <w:r>
              <w:t xml:space="preserve">When the user selects </w:t>
            </w:r>
            <w:r w:rsidR="00057948">
              <w:rPr>
                <w:noProof/>
              </w:rPr>
              <w:drawing>
                <wp:inline distT="0" distB="0" distL="0" distR="0" wp14:anchorId="3B80A396" wp14:editId="51107E71">
                  <wp:extent cx="156845" cy="156845"/>
                  <wp:effectExtent l="0" t="0" r="0" b="0"/>
                  <wp:docPr id="105" name="Picture 105" descr="small_recent_ord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small_recent_orders"/>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Pr>
                <w:snapToGrid w:val="0"/>
              </w:rPr>
              <w:t>, VBECS displays all orders associated with the selected patient, including open orders and orders placed and processed within the last 14 days.</w:t>
            </w:r>
          </w:p>
          <w:p w14:paraId="19159E14" w14:textId="77777777" w:rsidR="00173A2B" w:rsidRDefault="00173A2B">
            <w:pPr>
              <w:pStyle w:val="NotesText"/>
              <w:rPr>
                <w:snapToGrid w:val="0"/>
              </w:rPr>
            </w:pPr>
          </w:p>
          <w:p w14:paraId="6D5E190A" w14:textId="77777777" w:rsidR="001970AB" w:rsidRDefault="00D806A1" w:rsidP="00173A2B">
            <w:pPr>
              <w:pStyle w:val="NotesText"/>
            </w:pPr>
            <w:r>
              <w:t>Diagnostic Test</w:t>
            </w:r>
            <w:r w:rsidR="00173A2B">
              <w:t xml:space="preserve"> orders sort and display by the date the order was placed in CPRS. Component orders sort and display by the date the order was accepted in VBECS.</w:t>
            </w:r>
          </w:p>
          <w:p w14:paraId="4DF3822D" w14:textId="77777777" w:rsidR="001970AB" w:rsidRDefault="001970AB" w:rsidP="00173A2B">
            <w:pPr>
              <w:pStyle w:val="NotesText"/>
            </w:pPr>
          </w:p>
          <w:p w14:paraId="11D5E7C5" w14:textId="0B42570F" w:rsidR="00173A2B" w:rsidRPr="00522BC8" w:rsidRDefault="001970AB" w:rsidP="001970AB">
            <w:pPr>
              <w:pStyle w:val="NotesText"/>
              <w:rPr>
                <w:vanish/>
              </w:rPr>
            </w:pPr>
            <w:r>
              <w:t>Orders with a status of Cance</w:t>
            </w:r>
            <w:r w:rsidR="002F7E19">
              <w:t>l</w:t>
            </w:r>
            <w:r>
              <w:t xml:space="preserve">led, Completed, Expired or Filled are not displayed in this view. See Order History Report. </w:t>
            </w:r>
            <w:r w:rsidRPr="004F0095">
              <w:rPr>
                <w:vanish/>
              </w:rPr>
              <w:t>DR 2218</w:t>
            </w:r>
            <w:r w:rsidR="00522BC8">
              <w:rPr>
                <w:vanish/>
              </w:rPr>
              <w:t xml:space="preserve"> DR 3727</w:t>
            </w:r>
          </w:p>
        </w:tc>
      </w:tr>
      <w:tr w:rsidR="002A21AE" w14:paraId="0A688229" w14:textId="77777777">
        <w:tc>
          <w:tcPr>
            <w:tcW w:w="3240" w:type="dxa"/>
          </w:tcPr>
          <w:p w14:paraId="03EB2514" w14:textId="77777777" w:rsidR="002A21AE" w:rsidRDefault="002A21AE">
            <w:pPr>
              <w:pStyle w:val="TableTextNumbers"/>
            </w:pPr>
            <w:r>
              <w:t xml:space="preserve">View the data and click </w:t>
            </w:r>
            <w:r>
              <w:rPr>
                <w:b/>
              </w:rPr>
              <w:t>Close</w:t>
            </w:r>
            <w:r>
              <w:t xml:space="preserve"> to exit. </w:t>
            </w:r>
            <w:r>
              <w:rPr>
                <w:vanish/>
                <w:color w:val="FFFFFF"/>
                <w:szCs w:val="18"/>
              </w:rPr>
              <w:fldChar w:fldCharType="begin"/>
            </w:r>
            <w:r>
              <w:rPr>
                <w:vanish/>
                <w:color w:val="FFFFFF"/>
                <w:szCs w:val="18"/>
              </w:rPr>
              <w:instrText xml:space="preserve"> LISTNUM \l 1 \s 0 </w:instrText>
            </w:r>
            <w:r>
              <w:rPr>
                <w:vanish/>
                <w:color w:val="FFFFFF"/>
                <w:szCs w:val="18"/>
              </w:rPr>
              <w:fldChar w:fldCharType="end">
                <w:numberingChange w:id="135" w:author="MUSZYNSKI, THOMAS D. (SIERRA 7 INC)" w:date="2024-11-26T07:15:00Z" w:original="0."/>
              </w:fldChar>
            </w:r>
          </w:p>
        </w:tc>
        <w:tc>
          <w:tcPr>
            <w:tcW w:w="6120" w:type="dxa"/>
          </w:tcPr>
          <w:p w14:paraId="6EFA10EF" w14:textId="77777777" w:rsidR="002A21AE" w:rsidRDefault="002A21AE">
            <w:pPr>
              <w:pStyle w:val="TableText"/>
            </w:pPr>
          </w:p>
        </w:tc>
      </w:tr>
    </w:tbl>
    <w:p w14:paraId="32C6E23A" w14:textId="18516FF3" w:rsidR="00060C94" w:rsidRDefault="00060C94" w:rsidP="00060C94">
      <w:pPr>
        <w:pStyle w:val="Heading3"/>
      </w:pPr>
      <w:bookmarkStart w:id="136" w:name="_Patient_Information_Toolbar:_Recent_1"/>
      <w:bookmarkStart w:id="137" w:name="_Toc203765848"/>
      <w:bookmarkEnd w:id="136"/>
      <w:r>
        <w:rPr>
          <w:noProof/>
        </w:rPr>
        <w:lastRenderedPageBreak/>
        <w:drawing>
          <wp:inline distT="0" distB="0" distL="0" distR="0" wp14:anchorId="6723740B" wp14:editId="265D15D6">
            <wp:extent cx="156845" cy="156845"/>
            <wp:effectExtent l="0" t="0" r="0" b="0"/>
            <wp:docPr id="37" name="Picture 37" descr="Recent Transfusions/Issued Units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Recent Transfusions/Issued Units icon"/>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t xml:space="preserve"> Patient Information Toolbar: Recent Transfusions/Issued Units</w:t>
      </w:r>
      <w:bookmarkEnd w:id="137"/>
      <w:r>
        <w:rPr>
          <w:rFonts w:ascii="Times New Roman" w:hAnsi="Times New Roman" w:cs="Times New Roman"/>
          <w:b w:val="0"/>
          <w:vanish/>
          <w:sz w:val="22"/>
        </w:rPr>
        <w:fldChar w:fldCharType="begin"/>
      </w:r>
      <w:r>
        <w:rPr>
          <w:rFonts w:ascii="Times New Roman" w:hAnsi="Times New Roman" w:cs="Times New Roman"/>
          <w:b w:val="0"/>
          <w:vanish/>
          <w:sz w:val="22"/>
        </w:rPr>
        <w:instrText xml:space="preserve"> XE “Patient Information Toolbar\: Recent Orders” </w:instrText>
      </w:r>
      <w:r>
        <w:rPr>
          <w:rFonts w:ascii="Times New Roman" w:hAnsi="Times New Roman" w:cs="Times New Roman"/>
          <w:b w:val="0"/>
          <w:vanish/>
          <w:sz w:val="22"/>
        </w:rPr>
        <w:fldChar w:fldCharType="end"/>
      </w:r>
      <w:r>
        <w:rPr>
          <w:rFonts w:ascii="Times New Roman" w:hAnsi="Times New Roman" w:cs="Times New Roman"/>
          <w:b w:val="0"/>
          <w:vanish/>
          <w:sz w:val="22"/>
        </w:rPr>
        <w:t xml:space="preserve"> UC_65</w:t>
      </w:r>
    </w:p>
    <w:p w14:paraId="74402F16" w14:textId="284EA55B" w:rsidR="002A21AE" w:rsidRDefault="002A21AE" w:rsidP="00FA7E65">
      <w:pPr>
        <w:pStyle w:val="BodyText"/>
      </w:pPr>
      <w:r>
        <w:t xml:space="preserve">The user views transfused and currently issued units for a patient. </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22847534" w14:textId="77777777">
        <w:trPr>
          <w:tblHeader/>
        </w:trPr>
        <w:tc>
          <w:tcPr>
            <w:tcW w:w="3240" w:type="dxa"/>
            <w:shd w:val="clear" w:color="auto" w:fill="B3B3B3"/>
          </w:tcPr>
          <w:p w14:paraId="5D5B4A96" w14:textId="77777777" w:rsidR="002A21AE" w:rsidRDefault="002A21AE">
            <w:pPr>
              <w:pStyle w:val="TableText"/>
              <w:rPr>
                <w:b/>
              </w:rPr>
            </w:pPr>
            <w:r>
              <w:rPr>
                <w:b/>
              </w:rPr>
              <w:t>User Action</w:t>
            </w:r>
          </w:p>
        </w:tc>
        <w:tc>
          <w:tcPr>
            <w:tcW w:w="6120" w:type="dxa"/>
            <w:shd w:val="clear" w:color="auto" w:fill="B3B3B3"/>
          </w:tcPr>
          <w:p w14:paraId="12495667" w14:textId="77777777" w:rsidR="002A21AE" w:rsidRDefault="002A21AE">
            <w:pPr>
              <w:pStyle w:val="TableText"/>
              <w:rPr>
                <w:b/>
              </w:rPr>
            </w:pPr>
            <w:r>
              <w:rPr>
                <w:b/>
              </w:rPr>
              <w:t>VBECS</w:t>
            </w:r>
          </w:p>
        </w:tc>
      </w:tr>
      <w:tr w:rsidR="002A21AE" w14:paraId="1DCAD95B" w14:textId="77777777">
        <w:tc>
          <w:tcPr>
            <w:tcW w:w="3240" w:type="dxa"/>
          </w:tcPr>
          <w:p w14:paraId="4E90FFD1" w14:textId="77777777" w:rsidR="002A21AE" w:rsidRDefault="002A21AE">
            <w:pPr>
              <w:pStyle w:val="TableTextNumbers"/>
            </w:pPr>
            <w:r>
              <w:t>In the Patient Information Toolbar,</w:t>
            </w:r>
            <w:r w:rsidR="00716ED8">
              <w:t xml:space="preserve"> click</w:t>
            </w:r>
            <w:r>
              <w:t xml:space="preserve"> </w:t>
            </w:r>
            <w:r w:rsidR="00057948">
              <w:rPr>
                <w:noProof/>
              </w:rPr>
              <w:drawing>
                <wp:inline distT="0" distB="0" distL="0" distR="0" wp14:anchorId="74237962" wp14:editId="23BFB1E9">
                  <wp:extent cx="156845" cy="156845"/>
                  <wp:effectExtent l="0" t="0" r="0" b="0"/>
                  <wp:docPr id="107" name="Picture 107" descr="Recent Transfusions/Issued Units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Picture 107" descr="Recent Transfusions/Issued Units icon"/>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t xml:space="preserve"> to view the recent transfusion history. </w:t>
            </w:r>
          </w:p>
        </w:tc>
        <w:tc>
          <w:tcPr>
            <w:tcW w:w="6120" w:type="dxa"/>
          </w:tcPr>
          <w:p w14:paraId="2BB2CA0C" w14:textId="77777777" w:rsidR="002A21AE" w:rsidRDefault="002A21AE">
            <w:pPr>
              <w:pStyle w:val="TableTextBullet"/>
            </w:pPr>
            <w:r>
              <w:t>Allows the user to click an icon to view a patient’s</w:t>
            </w:r>
            <w:r>
              <w:rPr>
                <w:snapToGrid w:val="0"/>
              </w:rPr>
              <w:t xml:space="preserve"> recent transfusion history.</w:t>
            </w:r>
          </w:p>
          <w:p w14:paraId="04FDEF07" w14:textId="77777777" w:rsidR="002A21AE" w:rsidRDefault="002A21AE">
            <w:pPr>
              <w:pStyle w:val="TableText"/>
            </w:pPr>
          </w:p>
          <w:p w14:paraId="1CC789A8" w14:textId="797ECCA1" w:rsidR="002A21AE" w:rsidRDefault="002A21AE">
            <w:pPr>
              <w:pStyle w:val="TableText"/>
              <w:rPr>
                <w:b/>
                <w:bCs/>
                <w:szCs w:val="18"/>
              </w:rPr>
            </w:pPr>
            <w:r>
              <w:rPr>
                <w:b/>
                <w:bCs/>
                <w:szCs w:val="18"/>
              </w:rPr>
              <w:t>NOTES</w:t>
            </w:r>
          </w:p>
          <w:p w14:paraId="2DF8A8A8" w14:textId="77777777" w:rsidR="002A21AE" w:rsidRDefault="002A21AE">
            <w:pPr>
              <w:pStyle w:val="NotesText"/>
            </w:pPr>
          </w:p>
          <w:p w14:paraId="376AF878" w14:textId="77777777" w:rsidR="00A8302F" w:rsidRPr="00522BC8" w:rsidRDefault="002A21AE" w:rsidP="000A3D20">
            <w:pPr>
              <w:pStyle w:val="NotesText"/>
              <w:rPr>
                <w:szCs w:val="18"/>
              </w:rPr>
            </w:pPr>
            <w:r w:rsidRPr="00E274BF">
              <w:rPr>
                <w:rFonts w:cs="Arial"/>
                <w:vanish/>
                <w:szCs w:val="18"/>
              </w:rPr>
              <w:t>BR_65.07</w:t>
            </w:r>
            <w:r w:rsidR="00E274BF" w:rsidRPr="00E274BF">
              <w:rPr>
                <w:rFonts w:cs="Arial"/>
                <w:vanish/>
                <w:szCs w:val="18"/>
              </w:rPr>
              <w:t>,</w:t>
            </w:r>
            <w:r w:rsidRPr="00E274BF">
              <w:rPr>
                <w:rFonts w:cs="Arial"/>
                <w:vanish/>
                <w:szCs w:val="18"/>
              </w:rPr>
              <w:t xml:space="preserve"> BR_65.09</w:t>
            </w:r>
            <w:r w:rsidRPr="009660C3">
              <w:rPr>
                <w:vanish/>
                <w:szCs w:val="18"/>
              </w:rPr>
              <w:t xml:space="preserve"> </w:t>
            </w:r>
            <w:r>
              <w:t xml:space="preserve">When the user selects </w:t>
            </w:r>
            <w:r w:rsidR="00057948">
              <w:rPr>
                <w:noProof/>
              </w:rPr>
              <w:drawing>
                <wp:inline distT="0" distB="0" distL="0" distR="0" wp14:anchorId="6CDE96A0" wp14:editId="32456F1D">
                  <wp:extent cx="156845" cy="156845"/>
                  <wp:effectExtent l="0" t="0" r="0" b="0"/>
                  <wp:docPr id="108" name="Picture 108" descr="small_transfusion_histo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small_transfusion_history"/>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t xml:space="preserve">, </w:t>
            </w:r>
            <w:r w:rsidRPr="00A8302F">
              <w:rPr>
                <w:rStyle w:val="CommentReference"/>
                <w:sz w:val="18"/>
                <w:szCs w:val="18"/>
              </w:rPr>
              <w:t>VBECS displays blood units issued and transfused within the last seven days in reverse chronological order</w:t>
            </w:r>
            <w:r w:rsidR="000A3D20">
              <w:rPr>
                <w:rStyle w:val="CommentReference"/>
                <w:sz w:val="18"/>
                <w:szCs w:val="18"/>
              </w:rPr>
              <w:t>. The date and time issued or the location issued to does not display.</w:t>
            </w:r>
            <w:r w:rsidR="00522BC8">
              <w:rPr>
                <w:rStyle w:val="CommentReference"/>
                <w:vanish/>
                <w:sz w:val="18"/>
                <w:szCs w:val="18"/>
              </w:rPr>
              <w:t>DR 3666</w:t>
            </w:r>
          </w:p>
        </w:tc>
      </w:tr>
      <w:tr w:rsidR="002A21AE" w14:paraId="673BA06D" w14:textId="77777777">
        <w:tc>
          <w:tcPr>
            <w:tcW w:w="3240" w:type="dxa"/>
          </w:tcPr>
          <w:p w14:paraId="0A012FA9" w14:textId="77777777" w:rsidR="002A21AE" w:rsidRDefault="002A21AE">
            <w:pPr>
              <w:pStyle w:val="TableTextNumbers"/>
            </w:pPr>
            <w:r>
              <w:t xml:space="preserve">View the data and exit. </w:t>
            </w:r>
            <w:r>
              <w:rPr>
                <w:vanish/>
                <w:color w:val="FFFFFF"/>
                <w:szCs w:val="18"/>
              </w:rPr>
              <w:fldChar w:fldCharType="begin"/>
            </w:r>
            <w:r>
              <w:rPr>
                <w:vanish/>
                <w:color w:val="FFFFFF"/>
                <w:szCs w:val="18"/>
              </w:rPr>
              <w:instrText xml:space="preserve"> LISTNUM \l 1 \s 0 </w:instrText>
            </w:r>
            <w:r>
              <w:rPr>
                <w:vanish/>
                <w:color w:val="FFFFFF"/>
                <w:szCs w:val="18"/>
              </w:rPr>
              <w:fldChar w:fldCharType="end">
                <w:numberingChange w:id="138" w:author="MUSZYNSKI, THOMAS D. (SIERRA 7 INC)" w:date="2024-11-26T07:15:00Z" w:original="0."/>
              </w:fldChar>
            </w:r>
          </w:p>
        </w:tc>
        <w:tc>
          <w:tcPr>
            <w:tcW w:w="6120" w:type="dxa"/>
          </w:tcPr>
          <w:p w14:paraId="6A8E1154" w14:textId="77777777" w:rsidR="002A21AE" w:rsidRDefault="002A21AE">
            <w:pPr>
              <w:pStyle w:val="TableText"/>
            </w:pPr>
          </w:p>
        </w:tc>
      </w:tr>
    </w:tbl>
    <w:p w14:paraId="7586586D" w14:textId="77777777" w:rsidR="002A21AE" w:rsidRDefault="00057948">
      <w:pPr>
        <w:pStyle w:val="Heading3"/>
      </w:pPr>
      <w:bookmarkStart w:id="139" w:name="_Patient_Information_Toolbar:_Transf"/>
      <w:bookmarkStart w:id="140" w:name="_Toc203765849"/>
      <w:bookmarkEnd w:id="139"/>
      <w:r>
        <w:rPr>
          <w:noProof/>
        </w:rPr>
        <w:drawing>
          <wp:inline distT="0" distB="0" distL="0" distR="0" wp14:anchorId="2CC47019" wp14:editId="7D4D693B">
            <wp:extent cx="156845" cy="156845"/>
            <wp:effectExtent l="0" t="0" r="0" b="0"/>
            <wp:docPr id="109" name="Picture 109" descr="Transfusion Reaction History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Picture 109" descr="Transfusion Reaction History icon"/>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A21AE">
        <w:t xml:space="preserve"> Patient Information Toolbar: Transfusion Reaction History</w:t>
      </w:r>
      <w:bookmarkEnd w:id="140"/>
      <w:r w:rsidR="002A21AE">
        <w:rPr>
          <w:rFonts w:ascii="Times New Roman" w:hAnsi="Times New Roman" w:cs="Times New Roman"/>
          <w:b w:val="0"/>
          <w:vanish/>
          <w:sz w:val="22"/>
        </w:rPr>
        <w:fldChar w:fldCharType="begin"/>
      </w:r>
      <w:r w:rsidR="002A21AE">
        <w:rPr>
          <w:rFonts w:ascii="Times New Roman" w:hAnsi="Times New Roman" w:cs="Times New Roman"/>
          <w:b w:val="0"/>
          <w:vanish/>
          <w:sz w:val="22"/>
        </w:rPr>
        <w:instrText xml:space="preserve"> XE </w:instrText>
      </w:r>
      <w:r w:rsidR="00FA7E65">
        <w:rPr>
          <w:rFonts w:ascii="Times New Roman" w:hAnsi="Times New Roman" w:cs="Times New Roman"/>
          <w:b w:val="0"/>
          <w:vanish/>
          <w:sz w:val="22"/>
        </w:rPr>
        <w:instrText>“</w:instrText>
      </w:r>
      <w:r w:rsidR="002A21AE">
        <w:rPr>
          <w:rFonts w:ascii="Times New Roman" w:hAnsi="Times New Roman" w:cs="Times New Roman"/>
          <w:b w:val="0"/>
          <w:vanish/>
          <w:sz w:val="22"/>
        </w:rPr>
        <w:instrText>Patient Information Toolbar\: Transfusion Reaction History</w:instrText>
      </w:r>
      <w:r w:rsidR="00FA7E65">
        <w:rPr>
          <w:rFonts w:ascii="Times New Roman" w:hAnsi="Times New Roman" w:cs="Times New Roman"/>
          <w:b w:val="0"/>
          <w:vanish/>
          <w:sz w:val="22"/>
        </w:rPr>
        <w:instrText>”</w:instrText>
      </w:r>
      <w:r w:rsidR="002A21AE">
        <w:rPr>
          <w:rFonts w:ascii="Times New Roman" w:hAnsi="Times New Roman" w:cs="Times New Roman"/>
          <w:b w:val="0"/>
          <w:vanish/>
          <w:sz w:val="22"/>
        </w:rPr>
        <w:instrText xml:space="preserve"> </w:instrText>
      </w:r>
      <w:r w:rsidR="002A21AE">
        <w:rPr>
          <w:rFonts w:ascii="Times New Roman" w:hAnsi="Times New Roman" w:cs="Times New Roman"/>
          <w:b w:val="0"/>
          <w:vanish/>
          <w:sz w:val="22"/>
        </w:rPr>
        <w:fldChar w:fldCharType="end"/>
      </w:r>
      <w:r w:rsidR="002A21AE">
        <w:rPr>
          <w:rFonts w:ascii="Times New Roman" w:hAnsi="Times New Roman" w:cs="Times New Roman"/>
          <w:b w:val="0"/>
          <w:vanish/>
          <w:sz w:val="22"/>
        </w:rPr>
        <w:t xml:space="preserve"> UC_65</w:t>
      </w:r>
    </w:p>
    <w:p w14:paraId="3DFB3DD7" w14:textId="77777777" w:rsidR="002A21AE" w:rsidRDefault="002A21AE" w:rsidP="00FA7E65">
      <w:pPr>
        <w:pStyle w:val="BodyText"/>
      </w:pPr>
      <w:r>
        <w:t>The user views a snapshot of the patient’s transfusion reaction record.</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3AE30132" w14:textId="77777777">
        <w:trPr>
          <w:tblHeader/>
        </w:trPr>
        <w:tc>
          <w:tcPr>
            <w:tcW w:w="3240" w:type="dxa"/>
            <w:shd w:val="clear" w:color="auto" w:fill="B3B3B3"/>
          </w:tcPr>
          <w:p w14:paraId="6A803ED7" w14:textId="77777777" w:rsidR="002A21AE" w:rsidRDefault="002A21AE">
            <w:pPr>
              <w:pStyle w:val="TableText"/>
              <w:rPr>
                <w:b/>
              </w:rPr>
            </w:pPr>
            <w:r>
              <w:rPr>
                <w:b/>
              </w:rPr>
              <w:t>User Action</w:t>
            </w:r>
          </w:p>
        </w:tc>
        <w:tc>
          <w:tcPr>
            <w:tcW w:w="6120" w:type="dxa"/>
            <w:shd w:val="clear" w:color="auto" w:fill="B3B3B3"/>
          </w:tcPr>
          <w:p w14:paraId="54F7A0DC" w14:textId="77777777" w:rsidR="002A21AE" w:rsidRDefault="002A21AE">
            <w:pPr>
              <w:pStyle w:val="TableText"/>
              <w:rPr>
                <w:b/>
              </w:rPr>
            </w:pPr>
            <w:r>
              <w:rPr>
                <w:b/>
              </w:rPr>
              <w:t>VBECS</w:t>
            </w:r>
          </w:p>
        </w:tc>
      </w:tr>
      <w:tr w:rsidR="002A21AE" w14:paraId="3A465590" w14:textId="77777777">
        <w:tc>
          <w:tcPr>
            <w:tcW w:w="3240" w:type="dxa"/>
          </w:tcPr>
          <w:p w14:paraId="31B1BCDF" w14:textId="77777777" w:rsidR="002A21AE" w:rsidRDefault="002A21AE">
            <w:pPr>
              <w:pStyle w:val="TableTextNumbers"/>
            </w:pPr>
            <w:r>
              <w:t xml:space="preserve">In the Patient Information Toolbar, click </w:t>
            </w:r>
            <w:r w:rsidR="00057948">
              <w:rPr>
                <w:noProof/>
              </w:rPr>
              <w:drawing>
                <wp:inline distT="0" distB="0" distL="0" distR="0" wp14:anchorId="1F1BAC4E" wp14:editId="3C0523C1">
                  <wp:extent cx="156845" cy="156845"/>
                  <wp:effectExtent l="0" t="0" r="0" b="0"/>
                  <wp:docPr id="110" name="Picture 110" descr="Transfusion Reaction History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Picture 110" descr="Transfusion Reaction History icon"/>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t xml:space="preserve"> to view the transfusion reaction history. </w:t>
            </w:r>
          </w:p>
        </w:tc>
        <w:tc>
          <w:tcPr>
            <w:tcW w:w="6120" w:type="dxa"/>
          </w:tcPr>
          <w:p w14:paraId="0AA78B76" w14:textId="77777777" w:rsidR="002A21AE" w:rsidRDefault="002A21AE">
            <w:pPr>
              <w:pStyle w:val="TableTextBullet"/>
            </w:pPr>
            <w:r>
              <w:t>Allows the user to click an icon to view a patient’s t</w:t>
            </w:r>
            <w:r>
              <w:rPr>
                <w:snapToGrid w:val="0"/>
              </w:rPr>
              <w:t>ransfusion reaction history.</w:t>
            </w:r>
          </w:p>
          <w:p w14:paraId="589DD62D" w14:textId="77777777" w:rsidR="002A21AE" w:rsidRDefault="002A21AE">
            <w:pPr>
              <w:pStyle w:val="TableText"/>
            </w:pPr>
          </w:p>
          <w:p w14:paraId="3A2E71E9" w14:textId="107D349A" w:rsidR="002A21AE" w:rsidRDefault="002A21AE">
            <w:pPr>
              <w:pStyle w:val="TableText"/>
              <w:rPr>
                <w:b/>
                <w:bCs/>
                <w:szCs w:val="18"/>
              </w:rPr>
            </w:pPr>
            <w:r>
              <w:rPr>
                <w:b/>
                <w:bCs/>
                <w:szCs w:val="18"/>
              </w:rPr>
              <w:t>NOTES</w:t>
            </w:r>
          </w:p>
          <w:p w14:paraId="22D4D143" w14:textId="77777777" w:rsidR="002A21AE" w:rsidRDefault="002A21AE">
            <w:pPr>
              <w:pStyle w:val="NotesText"/>
            </w:pPr>
          </w:p>
          <w:p w14:paraId="596CB41B" w14:textId="43F8DDA1" w:rsidR="002A21AE" w:rsidRDefault="002A21AE">
            <w:pPr>
              <w:pStyle w:val="NotesText"/>
            </w:pPr>
            <w:r w:rsidRPr="00E274BF">
              <w:rPr>
                <w:rFonts w:cs="Arial"/>
                <w:vanish/>
                <w:szCs w:val="18"/>
              </w:rPr>
              <w:t>BR_65.03</w:t>
            </w:r>
            <w:r w:rsidR="00E274BF" w:rsidRPr="00E274BF">
              <w:rPr>
                <w:rFonts w:cs="Arial"/>
                <w:vanish/>
                <w:szCs w:val="18"/>
              </w:rPr>
              <w:t>,</w:t>
            </w:r>
            <w:r w:rsidRPr="00E274BF">
              <w:rPr>
                <w:rFonts w:cs="Arial"/>
                <w:vanish/>
                <w:szCs w:val="18"/>
              </w:rPr>
              <w:t xml:space="preserve"> BR_65.05</w:t>
            </w:r>
            <w:r w:rsidRPr="009660C3">
              <w:rPr>
                <w:vanish/>
                <w:szCs w:val="18"/>
              </w:rPr>
              <w:t xml:space="preserve"> </w:t>
            </w:r>
            <w:r>
              <w:t xml:space="preserve">When the user selects </w:t>
            </w:r>
            <w:r w:rsidR="00057948">
              <w:rPr>
                <w:noProof/>
              </w:rPr>
              <w:drawing>
                <wp:inline distT="0" distB="0" distL="0" distR="0" wp14:anchorId="773CE2C0" wp14:editId="75D3E81E">
                  <wp:extent cx="156845" cy="156845"/>
                  <wp:effectExtent l="0" t="0" r="0" b="0"/>
                  <wp:docPr id="111" name="Picture 111" descr="small_transfusion_reac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small_transfusion_reactions"/>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t>, VBECS displays all</w:t>
            </w:r>
            <w:r w:rsidR="00DE6AA7">
              <w:t xml:space="preserve"> finalized</w:t>
            </w:r>
            <w:r>
              <w:t xml:space="preserve"> transfusion reaction entries in the database.</w:t>
            </w:r>
            <w:r w:rsidR="00AB4BD9">
              <w:t xml:space="preserve"> </w:t>
            </w:r>
            <w:r w:rsidR="00AB4BD9" w:rsidRPr="00AB4BD9">
              <w:rPr>
                <w:vanish/>
              </w:rPr>
              <w:t>Defect 208590</w:t>
            </w:r>
          </w:p>
        </w:tc>
      </w:tr>
      <w:tr w:rsidR="002A21AE" w14:paraId="6B4E2C14" w14:textId="77777777">
        <w:tc>
          <w:tcPr>
            <w:tcW w:w="3240" w:type="dxa"/>
          </w:tcPr>
          <w:p w14:paraId="374D426A" w14:textId="77777777" w:rsidR="002A21AE" w:rsidRDefault="002A21AE">
            <w:pPr>
              <w:pStyle w:val="TableTextNumbers"/>
            </w:pPr>
            <w:r>
              <w:t xml:space="preserve">View the data and exit. </w:t>
            </w:r>
            <w:r>
              <w:rPr>
                <w:vanish/>
                <w:color w:val="FFFFFF"/>
                <w:szCs w:val="18"/>
              </w:rPr>
              <w:fldChar w:fldCharType="begin"/>
            </w:r>
            <w:r>
              <w:rPr>
                <w:vanish/>
                <w:color w:val="FFFFFF"/>
                <w:szCs w:val="18"/>
              </w:rPr>
              <w:instrText xml:space="preserve"> LISTNUM \l 1 \s 0 </w:instrText>
            </w:r>
            <w:r>
              <w:rPr>
                <w:vanish/>
                <w:color w:val="FFFFFF"/>
                <w:szCs w:val="18"/>
              </w:rPr>
              <w:fldChar w:fldCharType="end">
                <w:numberingChange w:id="141" w:author="MUSZYNSKI, THOMAS D. (SIERRA 7 INC)" w:date="2024-11-26T07:15:00Z" w:original="0."/>
              </w:fldChar>
            </w:r>
          </w:p>
        </w:tc>
        <w:tc>
          <w:tcPr>
            <w:tcW w:w="6120" w:type="dxa"/>
          </w:tcPr>
          <w:p w14:paraId="29F9B2D4" w14:textId="77777777" w:rsidR="002A21AE" w:rsidRDefault="002A21AE">
            <w:pPr>
              <w:pStyle w:val="TableText"/>
            </w:pPr>
          </w:p>
        </w:tc>
      </w:tr>
    </w:tbl>
    <w:p w14:paraId="30FDFCE5" w14:textId="77777777" w:rsidR="00AF089A" w:rsidRDefault="00AF089A">
      <w:pPr>
        <w:pStyle w:val="Heading4"/>
      </w:pPr>
    </w:p>
    <w:p w14:paraId="1ADB99F6" w14:textId="77777777" w:rsidR="002A21AE" w:rsidRDefault="00AF089A" w:rsidP="00D823F2">
      <w:pPr>
        <w:pStyle w:val="Heading3"/>
      </w:pPr>
      <w:r>
        <w:br w:type="page"/>
      </w:r>
      <w:bookmarkStart w:id="142" w:name="_Ref100905838"/>
      <w:bookmarkStart w:id="143" w:name="_Toc203765850"/>
      <w:r w:rsidR="002A21AE">
        <w:lastRenderedPageBreak/>
        <w:t>Main Status Bar</w:t>
      </w:r>
      <w:bookmarkEnd w:id="142"/>
      <w:bookmarkEnd w:id="143"/>
      <w:r w:rsidR="002A21AE">
        <w:fldChar w:fldCharType="begin"/>
      </w:r>
      <w:r w:rsidR="002A21AE">
        <w:instrText xml:space="preserve"> XE </w:instrText>
      </w:r>
      <w:r w:rsidR="00FA7E65">
        <w:instrText>“</w:instrText>
      </w:r>
      <w:r w:rsidR="002A21AE">
        <w:instrText>Main Status Bar</w:instrText>
      </w:r>
      <w:r w:rsidR="00FA7E65">
        <w:instrText>”</w:instrText>
      </w:r>
      <w:r w:rsidR="002A21AE">
        <w:instrText xml:space="preserve"> </w:instrText>
      </w:r>
      <w:r w:rsidR="002A21AE">
        <w:fldChar w:fldCharType="end"/>
      </w:r>
    </w:p>
    <w:p w14:paraId="75AE31C1" w14:textId="77777777" w:rsidR="002A21AE" w:rsidRDefault="002A21AE" w:rsidP="00FA7E65">
      <w:pPr>
        <w:pStyle w:val="BodyText"/>
      </w:pPr>
      <w:r>
        <w:t>The following icons are displayed in the main status bar:</w:t>
      </w:r>
    </w:p>
    <w:p w14:paraId="36B7AC94" w14:textId="77777777" w:rsidR="002A21AE" w:rsidRDefault="00057948">
      <w:pPr>
        <w:pStyle w:val="BodyText"/>
        <w:ind w:left="360" w:hanging="360"/>
      </w:pPr>
      <w:r>
        <w:rPr>
          <w:noProof/>
        </w:rPr>
        <w:drawing>
          <wp:inline distT="0" distB="0" distL="0" distR="0" wp14:anchorId="5D7CB737" wp14:editId="6879C049">
            <wp:extent cx="156845" cy="156845"/>
            <wp:effectExtent l="0" t="0" r="0" b="0"/>
            <wp:docPr id="112" name="Picture 112" descr="Order Alert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Picture 112" descr="Order Alert icon"/>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A21AE">
        <w:tab/>
        <w:t xml:space="preserve">The Order Alert icon </w:t>
      </w:r>
      <w:r w:rsidR="00267432">
        <w:t>blinks</w:t>
      </w:r>
      <w:r w:rsidR="002A21AE">
        <w:t xml:space="preserve"> </w:t>
      </w:r>
      <w:r w:rsidR="00716FBE">
        <w:t xml:space="preserve">three times and remains </w:t>
      </w:r>
      <w:r w:rsidR="00267432">
        <w:t>visible</w:t>
      </w:r>
      <w:r w:rsidR="00716FBE">
        <w:t xml:space="preserve"> </w:t>
      </w:r>
      <w:r w:rsidR="002A21AE">
        <w:t xml:space="preserve">when orders are added to the system. Hold the mouse pointer over the icon to see order information. Click the associated button to open the Pending Order List. </w:t>
      </w:r>
      <w:r w:rsidR="00267432" w:rsidRPr="00267432">
        <w:rPr>
          <w:vanish/>
        </w:rPr>
        <w:t>DR 4963</w:t>
      </w:r>
    </w:p>
    <w:p w14:paraId="3F648029" w14:textId="77777777" w:rsidR="002A21AE" w:rsidRDefault="00057948">
      <w:pPr>
        <w:pStyle w:val="BodyText"/>
        <w:ind w:left="360" w:hanging="360"/>
      </w:pPr>
      <w:r>
        <w:rPr>
          <w:noProof/>
        </w:rPr>
        <w:drawing>
          <wp:inline distT="0" distB="0" distL="0" distR="0" wp14:anchorId="17E44157" wp14:editId="61080D05">
            <wp:extent cx="156845" cy="138430"/>
            <wp:effectExtent l="0" t="0" r="0" b="0"/>
            <wp:docPr id="113" name="Picture 113" descr="Patient Alert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Picture 113" descr="Patient Alert icon"/>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156845" cy="138430"/>
                    </a:xfrm>
                    <a:prstGeom prst="rect">
                      <a:avLst/>
                    </a:prstGeom>
                    <a:noFill/>
                    <a:ln>
                      <a:noFill/>
                    </a:ln>
                  </pic:spPr>
                </pic:pic>
              </a:graphicData>
            </a:graphic>
          </wp:inline>
        </w:drawing>
      </w:r>
      <w:r w:rsidR="002A21AE">
        <w:tab/>
        <w:t xml:space="preserve">The Patient Alert icon flashes </w:t>
      </w:r>
      <w:r w:rsidR="00716FBE">
        <w:t xml:space="preserve">three times and remains displayed </w:t>
      </w:r>
      <w:r w:rsidR="002A21AE">
        <w:t>when patient information is updated. Hold the mouse pointer over the icon to see what type of patient change occu</w:t>
      </w:r>
      <w:r w:rsidR="005C271B">
        <w:t>rred. Click the Patient Alert Icon</w:t>
      </w:r>
      <w:r w:rsidR="002A21AE">
        <w:t xml:space="preserve"> to view</w:t>
      </w:r>
      <w:r w:rsidR="005C271B">
        <w:t xml:space="preserve"> the menu which allows navigation to Updated Patients, Deceased Patients, Patient Merge</w:t>
      </w:r>
      <w:r w:rsidR="002A21AE">
        <w:t>.</w:t>
      </w:r>
      <w:r w:rsidR="005C271B">
        <w:t xml:space="preserve"> These menu options enable when alerts exist in each category.</w:t>
      </w:r>
      <w:r w:rsidR="002A21AE">
        <w:t xml:space="preserve"> </w:t>
      </w:r>
    </w:p>
    <w:p w14:paraId="0D9568EF" w14:textId="77777777" w:rsidR="002A21AE" w:rsidRDefault="00057948">
      <w:pPr>
        <w:pStyle w:val="BodyText"/>
        <w:ind w:left="360" w:hanging="360"/>
      </w:pPr>
      <w:r>
        <w:rPr>
          <w:noProof/>
        </w:rPr>
        <w:drawing>
          <wp:inline distT="0" distB="0" distL="0" distR="0" wp14:anchorId="0DA846E7" wp14:editId="6A5F98CE">
            <wp:extent cx="156845" cy="156845"/>
            <wp:effectExtent l="0" t="0" r="0" b="0"/>
            <wp:docPr id="114" name="Picture 114" descr="VistALink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Picture 114" descr="VistALink icon"/>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A21AE">
        <w:tab/>
        <w:t xml:space="preserve">The VistALink icon indicates that the connection to </w:t>
      </w:r>
      <w:r w:rsidR="00CA0045" w:rsidRPr="00CA0045">
        <w:rPr>
          <w:bCs/>
        </w:rPr>
        <w:t>VistA</w:t>
      </w:r>
      <w:r w:rsidR="002A21AE">
        <w:t xml:space="preserve"> is active.</w:t>
      </w:r>
    </w:p>
    <w:p w14:paraId="5B053655" w14:textId="5D631C67" w:rsidR="00E95BB0" w:rsidRDefault="002A21AE" w:rsidP="00925CAD">
      <w:pPr>
        <w:pStyle w:val="BodyText"/>
        <w:numPr>
          <w:ilvl w:val="0"/>
          <w:numId w:val="75"/>
        </w:numPr>
      </w:pPr>
      <w:r>
        <w:t xml:space="preserve">The VistALink Failure icon indicates that the connection to </w:t>
      </w:r>
      <w:r w:rsidR="00CA0045" w:rsidRPr="00CA0045">
        <w:rPr>
          <w:bCs/>
        </w:rPr>
        <w:t>VistA</w:t>
      </w:r>
      <w:r>
        <w:t xml:space="preserve"> is severed.</w:t>
      </w:r>
    </w:p>
    <w:p w14:paraId="3E458DAF" w14:textId="77777777" w:rsidR="00C96CC3" w:rsidRDefault="00C96CC3" w:rsidP="00C96CC3">
      <w:pPr>
        <w:pStyle w:val="BodyText"/>
        <w:ind w:left="360" w:hanging="360"/>
        <w:rPr>
          <w:noProof/>
        </w:rPr>
      </w:pPr>
      <w:r w:rsidRPr="00C96CC3">
        <w:rPr>
          <w:noProof/>
        </w:rPr>
        <w:drawing>
          <wp:inline distT="0" distB="0" distL="0" distR="0" wp14:anchorId="35D8300D" wp14:editId="25372186">
            <wp:extent cx="161925" cy="161925"/>
            <wp:effectExtent l="0" t="0" r="9525" b="9525"/>
            <wp:docPr id="4" name="Picture 3" descr="CPRS Communications Error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CPRS Communications Error icon"/>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r w:rsidRPr="00C96CC3">
        <w:rPr>
          <w:noProof/>
        </w:rPr>
        <w:t xml:space="preserve"> CPRS Communications Error</w:t>
      </w:r>
      <w:r w:rsidRPr="00C81B15">
        <w:rPr>
          <w:noProof/>
        </w:rPr>
        <w:t>.</w:t>
      </w:r>
      <w:r>
        <w:rPr>
          <w:noProof/>
        </w:rPr>
        <w:t xml:space="preserve"> Some orders in CPRS will not reflect the same status as VBECS. Contact Customer Support to have the issue investigated and resolved. Most problems can typically be resolved by restarting the VBECS-OERR HL7 link in VistA.</w:t>
      </w:r>
    </w:p>
    <w:p w14:paraId="087DCA36" w14:textId="0DE90D61" w:rsidR="00C96CC3" w:rsidRDefault="00C96CC3" w:rsidP="00C96CC3">
      <w:pPr>
        <w:pStyle w:val="BodyText"/>
        <w:ind w:left="360" w:hanging="360"/>
        <w:rPr>
          <w:noProof/>
        </w:rPr>
      </w:pPr>
      <w:r w:rsidRPr="00C96CC3">
        <w:rPr>
          <w:noProof/>
        </w:rPr>
        <w:drawing>
          <wp:inline distT="0" distB="0" distL="0" distR="0" wp14:anchorId="5348D9DF" wp14:editId="534095A9">
            <wp:extent cx="152400" cy="152400"/>
            <wp:effectExtent l="0" t="0" r="0" b="0"/>
            <wp:docPr id="49" name="Picture 49" descr="CPRS Communications Good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9" descr="CPRS Communications Good icon"/>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C96CC3">
        <w:rPr>
          <w:noProof/>
        </w:rPr>
        <w:t xml:space="preserve"> CPRS Communications Good</w:t>
      </w:r>
      <w:r w:rsidRPr="00CE404D">
        <w:rPr>
          <w:noProof/>
        </w:rPr>
        <w:t>.</w:t>
      </w:r>
      <w:r w:rsidRPr="00C96CC3">
        <w:rPr>
          <w:noProof/>
        </w:rPr>
        <w:t xml:space="preserve"> </w:t>
      </w:r>
      <w:r w:rsidRPr="00CE404D">
        <w:rPr>
          <w:noProof/>
        </w:rPr>
        <w:t>All VBECS order</w:t>
      </w:r>
      <w:r>
        <w:rPr>
          <w:noProof/>
        </w:rPr>
        <w:t xml:space="preserve"> status messages have been sent to CPRS.</w:t>
      </w:r>
    </w:p>
    <w:p w14:paraId="3EFF7C4D" w14:textId="77777777" w:rsidR="002A21AE" w:rsidRDefault="002A21AE" w:rsidP="00D823F2">
      <w:pPr>
        <w:pStyle w:val="Heading3"/>
      </w:pPr>
      <w:bookmarkStart w:id="144" w:name="_Toc203765851"/>
      <w:r>
        <w:t>Throughout VBECS</w:t>
      </w:r>
      <w:bookmarkEnd w:id="144"/>
      <w:r>
        <w:fldChar w:fldCharType="begin"/>
      </w:r>
      <w:r>
        <w:instrText xml:space="preserve"> XE </w:instrText>
      </w:r>
      <w:r w:rsidR="00FA7E65">
        <w:instrText>“</w:instrText>
      </w:r>
      <w:r>
        <w:instrText>Throughout VBECS</w:instrText>
      </w:r>
      <w:r w:rsidR="00FA7E65">
        <w:instrText>”</w:instrText>
      </w:r>
      <w:r>
        <w:instrText xml:space="preserve"> </w:instrText>
      </w:r>
      <w:r>
        <w:fldChar w:fldCharType="end"/>
      </w:r>
    </w:p>
    <w:p w14:paraId="6A506A44" w14:textId="77777777" w:rsidR="002A21AE" w:rsidRDefault="00057948">
      <w:pPr>
        <w:pStyle w:val="BodyText"/>
        <w:ind w:left="360" w:hanging="360"/>
      </w:pPr>
      <w:r>
        <w:rPr>
          <w:noProof/>
        </w:rPr>
        <w:drawing>
          <wp:inline distT="0" distB="0" distL="0" distR="0" wp14:anchorId="7DAD4B8E" wp14:editId="60C60F98">
            <wp:extent cx="156845" cy="156845"/>
            <wp:effectExtent l="0" t="0" r="0" b="0"/>
            <wp:docPr id="116" name="Picture 116" descr="Delete/Invalidat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Picture 116" descr="Delete/Invalidate icon"/>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A21AE">
        <w:tab/>
        <w:t>The Delete/Invalidate icon appears on buttons that cause entries to be deleted or invalidated in the database.</w:t>
      </w:r>
    </w:p>
    <w:p w14:paraId="2A0999CE" w14:textId="77777777" w:rsidR="005A3214" w:rsidRDefault="005A3214" w:rsidP="000E3E6B">
      <w:pPr>
        <w:pStyle w:val="BodyText"/>
        <w:ind w:left="360" w:hangingChars="153" w:hanging="360"/>
      </w:pPr>
      <w:r w:rsidRPr="005742CF">
        <w:rPr>
          <w:rFonts w:ascii="Wingdings" w:hAnsi="Wingdings"/>
          <w:spacing w:val="-5"/>
          <w:sz w:val="24"/>
          <w:szCs w:val="24"/>
        </w:rPr>
        <w:t></w:t>
      </w:r>
      <w:r>
        <w:rPr>
          <w:rFonts w:ascii="Wingdings" w:hAnsi="Wingdings"/>
        </w:rPr>
        <w:tab/>
      </w:r>
      <w:r>
        <w:t>Click to select all items in a list.</w:t>
      </w:r>
    </w:p>
    <w:p w14:paraId="4D5E4B47" w14:textId="77777777" w:rsidR="005A3214" w:rsidRDefault="005A3214" w:rsidP="000E3E6B">
      <w:pPr>
        <w:pStyle w:val="BodyText"/>
        <w:ind w:left="359" w:hangingChars="149" w:hanging="359"/>
      </w:pPr>
      <w:r w:rsidRPr="005742CF">
        <w:rPr>
          <w:rFonts w:ascii="Wingdings 2" w:hAnsi="Wingdings 2" w:cs="Geneva"/>
          <w:b/>
          <w:sz w:val="24"/>
          <w:szCs w:val="24"/>
        </w:rPr>
        <w:t></w:t>
      </w:r>
      <w:r>
        <w:rPr>
          <w:rFonts w:ascii="Wingdings 2" w:hAnsi="Wingdings 2" w:cs="Geneva"/>
          <w:b/>
        </w:rPr>
        <w:tab/>
      </w:r>
      <w:r>
        <w:t>Click to clear all items in list.</w:t>
      </w:r>
    </w:p>
    <w:p w14:paraId="357ABBA9" w14:textId="77777777" w:rsidR="002A21AE" w:rsidRDefault="00057948" w:rsidP="00FC6604">
      <w:pPr>
        <w:pStyle w:val="BodyText"/>
      </w:pPr>
      <w:r>
        <w:rPr>
          <w:noProof/>
        </w:rPr>
        <w:drawing>
          <wp:inline distT="0" distB="0" distL="0" distR="0" wp14:anchorId="2094B9C0" wp14:editId="5FF0D268">
            <wp:extent cx="258445" cy="203200"/>
            <wp:effectExtent l="0" t="0" r="8255" b="6350"/>
            <wp:docPr id="117" name="Picture 117" descr="Find butt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Picture 117" descr="Find button icon"/>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258445" cy="203200"/>
                    </a:xfrm>
                    <a:prstGeom prst="rect">
                      <a:avLst/>
                    </a:prstGeom>
                    <a:noFill/>
                    <a:ln>
                      <a:noFill/>
                    </a:ln>
                  </pic:spPr>
                </pic:pic>
              </a:graphicData>
            </a:graphic>
          </wp:inline>
        </w:drawing>
      </w:r>
      <w:r w:rsidR="002A21AE" w:rsidRPr="00FC6604">
        <w:t xml:space="preserve">Click the </w:t>
      </w:r>
      <w:r w:rsidR="00FC6604" w:rsidRPr="00FC6604">
        <w:rPr>
          <w:b/>
        </w:rPr>
        <w:t>find</w:t>
      </w:r>
      <w:r w:rsidR="002A21AE" w:rsidRPr="00FC6604">
        <w:rPr>
          <w:b/>
        </w:rPr>
        <w:t xml:space="preserve"> </w:t>
      </w:r>
      <w:r w:rsidR="002A21AE" w:rsidRPr="00FC6604">
        <w:t>button to display a list of items for selection.</w:t>
      </w:r>
    </w:p>
    <w:p w14:paraId="407E0634" w14:textId="77777777" w:rsidR="002A21AE" w:rsidRDefault="00057948">
      <w:pPr>
        <w:pStyle w:val="BodyText"/>
        <w:ind w:left="360" w:hanging="360"/>
      </w:pPr>
      <w:r>
        <w:rPr>
          <w:noProof/>
        </w:rPr>
        <w:drawing>
          <wp:inline distT="0" distB="0" distL="0" distR="0" wp14:anchorId="0D988927" wp14:editId="5E3CD9D7">
            <wp:extent cx="156845" cy="156845"/>
            <wp:effectExtent l="0" t="0" r="0" b="0"/>
            <wp:docPr id="118" name="Picture 118" descr="Print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Picture 118" descr="Print icon"/>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A21AE">
        <w:tab/>
        <w:t xml:space="preserve">Click the </w:t>
      </w:r>
      <w:r w:rsidR="002A21AE">
        <w:rPr>
          <w:b/>
        </w:rPr>
        <w:t>Print</w:t>
      </w:r>
      <w:r w:rsidR="002A21AE">
        <w:t xml:space="preserve"> icon’s associated button to print a document.</w:t>
      </w:r>
    </w:p>
    <w:p w14:paraId="3DC0E17E" w14:textId="77777777" w:rsidR="002A21AE" w:rsidRDefault="00057948">
      <w:pPr>
        <w:pStyle w:val="BodyText"/>
        <w:ind w:left="360" w:hanging="360"/>
      </w:pPr>
      <w:r>
        <w:rPr>
          <w:noProof/>
        </w:rPr>
        <w:drawing>
          <wp:inline distT="0" distB="0" distL="0" distR="0" wp14:anchorId="350D3D5A" wp14:editId="053BE36D">
            <wp:extent cx="156845" cy="156845"/>
            <wp:effectExtent l="0" t="0" r="0" b="0"/>
            <wp:docPr id="119" name="Picture 119" descr="Sav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Picture 119" descr="Save icon"/>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A21AE">
        <w:tab/>
        <w:t xml:space="preserve">Click the </w:t>
      </w:r>
      <w:r w:rsidR="002A21AE">
        <w:rPr>
          <w:b/>
        </w:rPr>
        <w:t>Save</w:t>
      </w:r>
      <w:r w:rsidR="002A21AE">
        <w:t xml:space="preserve"> icon’s associated button to update the database.</w:t>
      </w:r>
    </w:p>
    <w:p w14:paraId="2B976821" w14:textId="77777777" w:rsidR="002A21AE" w:rsidRDefault="00057948">
      <w:pPr>
        <w:pStyle w:val="BodyText"/>
        <w:ind w:left="360" w:hanging="360"/>
      </w:pPr>
      <w:r>
        <w:rPr>
          <w:noProof/>
        </w:rPr>
        <w:drawing>
          <wp:inline distT="0" distB="0" distL="0" distR="0" wp14:anchorId="4C0A0645" wp14:editId="5AE6AE74">
            <wp:extent cx="156845" cy="156845"/>
            <wp:effectExtent l="0" t="0" r="0" b="0"/>
            <wp:docPr id="120" name="Picture 120" descr="Scanner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Picture 120" descr="Scanner icon"/>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A21AE">
        <w:tab/>
        <w:t>The Scanner icon indicates which screen prompts permit scanned entries.</w:t>
      </w:r>
    </w:p>
    <w:p w14:paraId="6A828D28" w14:textId="77777777" w:rsidR="002A21AE" w:rsidRDefault="00057948">
      <w:pPr>
        <w:pStyle w:val="BodyText"/>
        <w:ind w:left="360" w:hanging="360"/>
      </w:pPr>
      <w:r>
        <w:rPr>
          <w:noProof/>
        </w:rPr>
        <w:drawing>
          <wp:inline distT="0" distB="0" distL="0" distR="0" wp14:anchorId="78E8F1DD" wp14:editId="66629716">
            <wp:extent cx="156845" cy="156845"/>
            <wp:effectExtent l="0" t="0" r="0" b="0"/>
            <wp:docPr id="121" name="Picture 121" descr="Search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Picture 121" descr="Search icon"/>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A21AE">
        <w:tab/>
        <w:t xml:space="preserve">Click the </w:t>
      </w:r>
      <w:r w:rsidR="002A21AE">
        <w:rPr>
          <w:b/>
        </w:rPr>
        <w:t>Search</w:t>
      </w:r>
      <w:r w:rsidR="002A21AE">
        <w:t xml:space="preserve"> icon’s associated button to search for entries meeting search criteria entered.</w:t>
      </w:r>
    </w:p>
    <w:p w14:paraId="2D6E2933" w14:textId="77777777" w:rsidR="002A21AE" w:rsidRDefault="00057948">
      <w:pPr>
        <w:pStyle w:val="BodyText"/>
        <w:ind w:left="360" w:hanging="360"/>
      </w:pPr>
      <w:r>
        <w:rPr>
          <w:noProof/>
        </w:rPr>
        <w:drawing>
          <wp:inline distT="0" distB="0" distL="0" distR="0" wp14:anchorId="08E7C607" wp14:editId="5E18DBC5">
            <wp:extent cx="156845" cy="156845"/>
            <wp:effectExtent l="0" t="0" r="0" b="0"/>
            <wp:docPr id="122" name="Picture 122" descr="Order Details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Picture 122" descr="Order Details icon"/>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A21AE">
        <w:tab/>
        <w:t xml:space="preserve">Click the </w:t>
      </w:r>
      <w:r w:rsidR="002A21AE">
        <w:rPr>
          <w:b/>
        </w:rPr>
        <w:t>Order Details</w:t>
      </w:r>
      <w:r w:rsidR="002A21AE">
        <w:t xml:space="preserve"> icon’s associated button to display the full details of a selected order.</w:t>
      </w:r>
    </w:p>
    <w:p w14:paraId="762F520E" w14:textId="77777777" w:rsidR="002A21AE" w:rsidRDefault="00057948">
      <w:pPr>
        <w:pStyle w:val="BodyText"/>
        <w:ind w:left="360" w:hanging="360"/>
      </w:pPr>
      <w:r>
        <w:rPr>
          <w:noProof/>
        </w:rPr>
        <w:drawing>
          <wp:inline distT="0" distB="0" distL="0" distR="0" wp14:anchorId="4CB7FE61" wp14:editId="3391BDB6">
            <wp:extent cx="156845" cy="156845"/>
            <wp:effectExtent l="0" t="0" r="0" b="0"/>
            <wp:docPr id="123" name="Picture 123" descr="Input Error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Picture 123" descr="Input Error icon"/>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A21AE">
        <w:tab/>
        <w:t>The Input Error icon indicates that a user made an invalid entry at a screen prompt. The icon appears and flashes next to the invalid entry. Hold the mouse pointer over the icon to see a message explaining the problem. Enter valid information to make the icon disappear.</w:t>
      </w:r>
    </w:p>
    <w:p w14:paraId="3DAAF228" w14:textId="77777777" w:rsidR="00486D34" w:rsidRDefault="00486D34">
      <w:pPr>
        <w:rPr>
          <w:rFonts w:ascii="Arial" w:hAnsi="Arial" w:cs="Arial"/>
          <w:b/>
          <w:bCs/>
          <w:i/>
          <w:iCs/>
          <w:sz w:val="28"/>
          <w:szCs w:val="28"/>
        </w:rPr>
      </w:pPr>
      <w:r>
        <w:br w:type="page"/>
      </w:r>
    </w:p>
    <w:p w14:paraId="54819CB9" w14:textId="5064424D" w:rsidR="00CF3887" w:rsidRPr="002532D0" w:rsidRDefault="006C0EB9" w:rsidP="00CF3887">
      <w:pPr>
        <w:pStyle w:val="Heading2"/>
      </w:pPr>
      <w:bookmarkStart w:id="145" w:name="_Toc203765852"/>
      <w:r>
        <w:lastRenderedPageBreak/>
        <w:t>VBECS Read-Only</w:t>
      </w:r>
      <w:bookmarkEnd w:id="145"/>
    </w:p>
    <w:p w14:paraId="0B663708" w14:textId="0D3109ED" w:rsidR="00CF3887" w:rsidRPr="002532D0" w:rsidRDefault="00CF3887" w:rsidP="00CF3887">
      <w:pPr>
        <w:pStyle w:val="BodyText"/>
      </w:pPr>
      <w:r w:rsidRPr="002532D0">
        <w:t xml:space="preserve">When a VBECS site is set to </w:t>
      </w:r>
      <w:r w:rsidR="002532D0">
        <w:t>Read-Only</w:t>
      </w:r>
      <w:r w:rsidRPr="002532D0">
        <w:t xml:space="preserve">, the application restricts access </w:t>
      </w:r>
      <w:r w:rsidR="00F03ABE" w:rsidRPr="002532D0">
        <w:t xml:space="preserve">for all user roles </w:t>
      </w:r>
      <w:r w:rsidRPr="002532D0">
        <w:t xml:space="preserve">to menu options that </w:t>
      </w:r>
      <w:r w:rsidR="00F03ABE" w:rsidRPr="002532D0">
        <w:t xml:space="preserve">would </w:t>
      </w:r>
      <w:r w:rsidRPr="002532D0">
        <w:t xml:space="preserve">allow adding or modifying </w:t>
      </w:r>
      <w:r w:rsidR="00F03ABE" w:rsidRPr="002532D0">
        <w:t>blood bank data</w:t>
      </w:r>
      <w:r w:rsidRPr="002532D0">
        <w:t xml:space="preserve"> </w:t>
      </w:r>
      <w:r w:rsidR="00F77E99" w:rsidRPr="002532D0">
        <w:t>(</w:t>
      </w:r>
      <w:r w:rsidR="00F77E99" w:rsidRPr="002532D0">
        <w:fldChar w:fldCharType="begin"/>
      </w:r>
      <w:r w:rsidR="00F77E99" w:rsidRPr="002532D0">
        <w:instrText xml:space="preserve"> REF _Ref162428524 \h </w:instrText>
      </w:r>
      <w:r w:rsidR="00F03ABE" w:rsidRPr="002532D0">
        <w:instrText xml:space="preserve"> \* MERGEFORMAT </w:instrText>
      </w:r>
      <w:r w:rsidR="00F77E99" w:rsidRPr="002532D0">
        <w:fldChar w:fldCharType="separate"/>
      </w:r>
      <w:r w:rsidR="007D1829" w:rsidRPr="002532D0">
        <w:t xml:space="preserve">Figure </w:t>
      </w:r>
      <w:r w:rsidR="007D1829">
        <w:rPr>
          <w:noProof/>
        </w:rPr>
        <w:t>21</w:t>
      </w:r>
      <w:r w:rsidR="00F77E99" w:rsidRPr="002532D0">
        <w:fldChar w:fldCharType="end"/>
      </w:r>
      <w:r w:rsidR="00F77E99" w:rsidRPr="002532D0">
        <w:t>). Top-level menus are disabled if all sub-level menu</w:t>
      </w:r>
      <w:r w:rsidR="00F03ABE" w:rsidRPr="002532D0">
        <w:t>s</w:t>
      </w:r>
      <w:r w:rsidR="00F77E99" w:rsidRPr="002532D0">
        <w:t xml:space="preserve"> are disabled. For example, the top-level </w:t>
      </w:r>
      <w:r w:rsidR="00F77E99" w:rsidRPr="002532D0">
        <w:rPr>
          <w:i/>
          <w:iCs/>
        </w:rPr>
        <w:t>Reagents</w:t>
      </w:r>
      <w:r w:rsidR="00F77E99" w:rsidRPr="002532D0">
        <w:t xml:space="preserve"> menu is disabled because every menu option beneath the </w:t>
      </w:r>
      <w:r w:rsidR="00F77E99" w:rsidRPr="002532D0">
        <w:rPr>
          <w:i/>
          <w:iCs/>
        </w:rPr>
        <w:t>Reagents</w:t>
      </w:r>
      <w:r w:rsidR="00F77E99" w:rsidRPr="002532D0">
        <w:t xml:space="preserve"> menu can modify data</w:t>
      </w:r>
      <w:r w:rsidRPr="002532D0">
        <w:t xml:space="preserve">. </w:t>
      </w:r>
      <w:r w:rsidR="00F03ABE" w:rsidRPr="002532D0">
        <w:t xml:space="preserve">Any report printed in a </w:t>
      </w:r>
      <w:r w:rsidR="006C0EB9">
        <w:t>VBECS Read-Only</w:t>
      </w:r>
      <w:r w:rsidR="00F03ABE" w:rsidRPr="002532D0">
        <w:t xml:space="preserve"> will contain a watermark in the upper-right corner of each printed page to indicate VBECS has been set to </w:t>
      </w:r>
      <w:r w:rsidR="005633D8">
        <w:t>Read-Only</w:t>
      </w:r>
      <w:r w:rsidR="00F03ABE" w:rsidRPr="002532D0">
        <w:t xml:space="preserve">. </w:t>
      </w:r>
      <w:r w:rsidRPr="002532D0">
        <w:t xml:space="preserve">Refer to the </w:t>
      </w:r>
      <w:r w:rsidRPr="002532D0">
        <w:rPr>
          <w:i/>
          <w:iCs/>
        </w:rPr>
        <w:t xml:space="preserve">FAQ </w:t>
      </w:r>
      <w:r w:rsidR="002532D0">
        <w:rPr>
          <w:i/>
          <w:iCs/>
        </w:rPr>
        <w:t xml:space="preserve">What is </w:t>
      </w:r>
      <w:r w:rsidR="006C0EB9">
        <w:rPr>
          <w:i/>
          <w:iCs/>
        </w:rPr>
        <w:t>VBECS Read-Only</w:t>
      </w:r>
      <w:r w:rsidRPr="002532D0">
        <w:t xml:space="preserve"> for more details.</w:t>
      </w:r>
    </w:p>
    <w:p w14:paraId="62EA098D" w14:textId="66FE37BE" w:rsidR="005755DC" w:rsidRDefault="005755DC" w:rsidP="005755DC">
      <w:pPr>
        <w:pStyle w:val="Caption"/>
      </w:pPr>
      <w:bookmarkStart w:id="146" w:name="_Ref162428524"/>
      <w:r w:rsidRPr="002532D0">
        <w:t xml:space="preserve">Figure </w:t>
      </w:r>
      <w:r w:rsidRPr="002532D0">
        <w:rPr>
          <w:noProof/>
        </w:rPr>
        <w:fldChar w:fldCharType="begin"/>
      </w:r>
      <w:r w:rsidRPr="002532D0">
        <w:rPr>
          <w:noProof/>
        </w:rPr>
        <w:instrText xml:space="preserve"> SEQ Figure \* ARABIC </w:instrText>
      </w:r>
      <w:r w:rsidRPr="002532D0">
        <w:rPr>
          <w:noProof/>
        </w:rPr>
        <w:fldChar w:fldCharType="separate"/>
      </w:r>
      <w:r w:rsidR="007D1829">
        <w:rPr>
          <w:noProof/>
        </w:rPr>
        <w:t>21</w:t>
      </w:r>
      <w:r w:rsidRPr="002532D0">
        <w:rPr>
          <w:noProof/>
        </w:rPr>
        <w:fldChar w:fldCharType="end"/>
      </w:r>
      <w:bookmarkEnd w:id="146"/>
      <w:r w:rsidRPr="002532D0">
        <w:t xml:space="preserve">: </w:t>
      </w:r>
      <w:r w:rsidR="00F77E99" w:rsidRPr="002532D0">
        <w:t xml:space="preserve">Example of </w:t>
      </w:r>
      <w:r w:rsidR="00F03ABE" w:rsidRPr="002532D0">
        <w:t xml:space="preserve">the Appearance of a </w:t>
      </w:r>
      <w:r w:rsidR="006C0EB9">
        <w:t>VBECS Read-Only</w:t>
      </w:r>
    </w:p>
    <w:p w14:paraId="2CA4D0B7" w14:textId="6D1CD4CC" w:rsidR="005755DC" w:rsidRDefault="00F77E99" w:rsidP="00CF3887">
      <w:pPr>
        <w:pStyle w:val="BodyText"/>
      </w:pPr>
      <w:r>
        <w:rPr>
          <w:noProof/>
        </w:rPr>
        <w:drawing>
          <wp:inline distT="0" distB="0" distL="0" distR="0" wp14:anchorId="47293AA2" wp14:editId="34A26766">
            <wp:extent cx="5939790" cy="540385"/>
            <wp:effectExtent l="0" t="0" r="3810" b="0"/>
            <wp:docPr id="1166" name="Picture 1166" descr="Example of the Appearance of a Read-Only VBE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6" name="Picture 1166" descr="Example of the Appearance of a Read-Only VBECS"/>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5939790" cy="540385"/>
                    </a:xfrm>
                    <a:prstGeom prst="rect">
                      <a:avLst/>
                    </a:prstGeom>
                    <a:noFill/>
                    <a:ln>
                      <a:noFill/>
                    </a:ln>
                  </pic:spPr>
                </pic:pic>
              </a:graphicData>
            </a:graphic>
          </wp:inline>
        </w:drawing>
      </w:r>
    </w:p>
    <w:p w14:paraId="106BDCB3" w14:textId="481D0FBC" w:rsidR="002A21AE" w:rsidRDefault="002A21AE">
      <w:pPr>
        <w:pStyle w:val="Heading2"/>
      </w:pPr>
      <w:bookmarkStart w:id="147" w:name="_Toc203765853"/>
      <w:r>
        <w:t>Other VBECS Functions</w:t>
      </w:r>
      <w:bookmarkEnd w:id="147"/>
      <w:r>
        <w:fldChar w:fldCharType="begin"/>
      </w:r>
      <w:r>
        <w:instrText xml:space="preserve"> XE </w:instrText>
      </w:r>
      <w:r w:rsidR="00FA7E65">
        <w:instrText>“</w:instrText>
      </w:r>
      <w:r>
        <w:instrText>Other VBECS Functions</w:instrText>
      </w:r>
      <w:r w:rsidR="00FA7E65">
        <w:instrText>”</w:instrText>
      </w:r>
      <w:r>
        <w:instrText xml:space="preserve"> </w:instrText>
      </w:r>
      <w:r>
        <w:fldChar w:fldCharType="end"/>
      </w:r>
    </w:p>
    <w:p w14:paraId="14FE6B03" w14:textId="306693EC" w:rsidR="002A21AE" w:rsidRDefault="002A21AE">
      <w:pPr>
        <w:pStyle w:val="Heading3"/>
      </w:pPr>
      <w:bookmarkStart w:id="148" w:name="_Toc203765854"/>
      <w:r>
        <w:t>Collecting Workload</w:t>
      </w:r>
      <w:bookmarkEnd w:id="148"/>
      <w:r>
        <w:fldChar w:fldCharType="begin"/>
      </w:r>
      <w:r>
        <w:instrText xml:space="preserve"> XE </w:instrText>
      </w:r>
      <w:r w:rsidR="00FA7E65">
        <w:instrText>“</w:instrText>
      </w:r>
      <w:r>
        <w:instrText>Collecting Workload</w:instrText>
      </w:r>
      <w:r w:rsidR="00FA7E65">
        <w:instrText>”</w:instrText>
      </w:r>
      <w:r>
        <w:instrText xml:space="preserve"> </w:instrText>
      </w:r>
      <w:r>
        <w:fldChar w:fldCharType="end"/>
      </w:r>
      <w:r w:rsidR="006C187F">
        <w:t xml:space="preserve"> </w:t>
      </w:r>
      <w:r w:rsidR="006C187F">
        <w:rPr>
          <w:rFonts w:ascii="Arial Bold" w:hAnsi="Arial Bold"/>
          <w:vanish/>
        </w:rPr>
        <w:t>UC_15</w:t>
      </w:r>
    </w:p>
    <w:p w14:paraId="7F5C1D77" w14:textId="77777777" w:rsidR="002A21AE" w:rsidRDefault="002A21AE" w:rsidP="00FA7E65">
      <w:pPr>
        <w:pStyle w:val="BodyText"/>
      </w:pPr>
      <w:r>
        <w:t xml:space="preserve">In some options, VBECS collects workload (statistical data used to calculate productivity) when the user saves data: </w:t>
      </w:r>
    </w:p>
    <w:p w14:paraId="0BE35419" w14:textId="77777777" w:rsidR="002A21AE" w:rsidRDefault="002A21AE" w:rsidP="007716F7">
      <w:pPr>
        <w:pStyle w:val="ListBullet"/>
      </w:pPr>
      <w:r>
        <w:t>ABO/</w:t>
      </w:r>
      <w:r w:rsidRPr="007716F7">
        <w:t>Rh Confirmation</w:t>
      </w:r>
    </w:p>
    <w:p w14:paraId="65367373" w14:textId="3C3208A6" w:rsidR="00A04D4D" w:rsidRDefault="00A04D4D" w:rsidP="007716F7">
      <w:pPr>
        <w:pStyle w:val="ListBullet"/>
      </w:pPr>
      <w:r>
        <w:t>Accept Order</w:t>
      </w:r>
    </w:p>
    <w:p w14:paraId="2B1DEBEB" w14:textId="77777777" w:rsidR="00645BE3" w:rsidRDefault="00645BE3" w:rsidP="007716F7">
      <w:pPr>
        <w:pStyle w:val="ListBullet"/>
      </w:pPr>
      <w:r>
        <w:t>Automated Testing</w:t>
      </w:r>
    </w:p>
    <w:p w14:paraId="3EE52D67" w14:textId="38928633" w:rsidR="00051962" w:rsidRDefault="00051962" w:rsidP="007716F7">
      <w:pPr>
        <w:pStyle w:val="ListBullet"/>
      </w:pPr>
      <w:r>
        <w:t>Cancel Active Order</w:t>
      </w:r>
    </w:p>
    <w:p w14:paraId="0AE155D4" w14:textId="469685CF" w:rsidR="00051962" w:rsidRPr="007716F7" w:rsidRDefault="00051962" w:rsidP="007716F7">
      <w:pPr>
        <w:pStyle w:val="ListBullet"/>
      </w:pPr>
      <w:r>
        <w:t>Cancel Pending Order</w:t>
      </w:r>
    </w:p>
    <w:p w14:paraId="35F06FFC" w14:textId="77777777" w:rsidR="002A21AE" w:rsidRDefault="002A21AE" w:rsidP="007716F7">
      <w:pPr>
        <w:pStyle w:val="ListBullet"/>
      </w:pPr>
      <w:r w:rsidRPr="007716F7">
        <w:t xml:space="preserve">Discard </w:t>
      </w:r>
      <w:r>
        <w:t>or Quarantine</w:t>
      </w:r>
    </w:p>
    <w:p w14:paraId="6404F9AD" w14:textId="77777777" w:rsidR="002A21AE" w:rsidRDefault="002A21AE">
      <w:pPr>
        <w:pStyle w:val="ListBullet"/>
      </w:pPr>
      <w:r>
        <w:t>Document ABO Incompatible Transfusion</w:t>
      </w:r>
    </w:p>
    <w:p w14:paraId="2DEB479A" w14:textId="77777777" w:rsidR="002A21AE" w:rsidRDefault="002A21AE">
      <w:pPr>
        <w:pStyle w:val="ListBullet"/>
      </w:pPr>
      <w:r>
        <w:t>Edit Unit Information</w:t>
      </w:r>
    </w:p>
    <w:p w14:paraId="3626AC0C" w14:textId="77777777" w:rsidR="002A21AE" w:rsidRDefault="002A21AE">
      <w:pPr>
        <w:pStyle w:val="ListBullet"/>
      </w:pPr>
      <w:r>
        <w:t>Enter Daily QC Results</w:t>
      </w:r>
    </w:p>
    <w:p w14:paraId="04A31EAE" w14:textId="77777777" w:rsidR="002A21AE" w:rsidRDefault="002A21AE">
      <w:pPr>
        <w:pStyle w:val="ListBullet"/>
      </w:pPr>
      <w:r>
        <w:t>Finalize/Print TRW</w:t>
      </w:r>
    </w:p>
    <w:p w14:paraId="00DCB648" w14:textId="77777777" w:rsidR="002A21AE" w:rsidRDefault="002A21AE">
      <w:pPr>
        <w:pStyle w:val="ListBullet"/>
      </w:pPr>
      <w:r>
        <w:rPr>
          <w:snapToGrid w:val="0"/>
        </w:rPr>
        <w:t>Free Directed Unit For Crossover</w:t>
      </w:r>
    </w:p>
    <w:p w14:paraId="2E499D0F" w14:textId="77777777" w:rsidR="002A21AE" w:rsidRDefault="002A21AE">
      <w:pPr>
        <w:pStyle w:val="ListBullet"/>
        <w:rPr>
          <w:bCs/>
        </w:rPr>
      </w:pPr>
      <w:r>
        <w:t>Invalidate Test Results</w:t>
      </w:r>
    </w:p>
    <w:p w14:paraId="591B0511" w14:textId="77777777" w:rsidR="002A21AE" w:rsidRPr="00051962" w:rsidRDefault="002A21AE">
      <w:pPr>
        <w:pStyle w:val="ListBullet"/>
      </w:pPr>
      <w:r>
        <w:rPr>
          <w:snapToGrid w:val="0"/>
        </w:rPr>
        <w:t>Issue Blood Components</w:t>
      </w:r>
    </w:p>
    <w:p w14:paraId="43F946FF" w14:textId="641CE7D0" w:rsidR="00051962" w:rsidRPr="00491590" w:rsidRDefault="00051962">
      <w:pPr>
        <w:pStyle w:val="ListBullet"/>
      </w:pPr>
      <w:r>
        <w:rPr>
          <w:snapToGrid w:val="0"/>
        </w:rPr>
        <w:t>Justify</w:t>
      </w:r>
      <w:r w:rsidR="00491590">
        <w:rPr>
          <w:snapToGrid w:val="0"/>
        </w:rPr>
        <w:t xml:space="preserve"> Patient ABO/Rh Change</w:t>
      </w:r>
    </w:p>
    <w:p w14:paraId="51E2B9BD" w14:textId="75BE4B07" w:rsidR="00491590" w:rsidRPr="00491590" w:rsidRDefault="00491590">
      <w:pPr>
        <w:pStyle w:val="ListBullet"/>
      </w:pPr>
      <w:r>
        <w:rPr>
          <w:snapToGrid w:val="0"/>
        </w:rPr>
        <w:t>Maintain Equipment</w:t>
      </w:r>
    </w:p>
    <w:p w14:paraId="6AED6375" w14:textId="299531AC" w:rsidR="00491590" w:rsidRPr="00491590" w:rsidRDefault="00491590">
      <w:pPr>
        <w:pStyle w:val="ListBullet"/>
      </w:pPr>
      <w:r>
        <w:rPr>
          <w:snapToGrid w:val="0"/>
        </w:rPr>
        <w:t>Maintain Reagent Inventory</w:t>
      </w:r>
    </w:p>
    <w:p w14:paraId="0C716F01" w14:textId="4A849978" w:rsidR="00491590" w:rsidRPr="00B56957" w:rsidRDefault="00B56957">
      <w:pPr>
        <w:pStyle w:val="ListBullet"/>
      </w:pPr>
      <w:r>
        <w:rPr>
          <w:snapToGrid w:val="0"/>
        </w:rPr>
        <w:t>Maintain Specimen</w:t>
      </w:r>
    </w:p>
    <w:p w14:paraId="1522CB78" w14:textId="16A5F274" w:rsidR="00B56957" w:rsidRDefault="00B56957">
      <w:pPr>
        <w:pStyle w:val="ListBullet"/>
      </w:pPr>
      <w:r>
        <w:rPr>
          <w:snapToGrid w:val="0"/>
        </w:rPr>
        <w:t>Maintain Supplier</w:t>
      </w:r>
    </w:p>
    <w:p w14:paraId="7C9E407D" w14:textId="77777777" w:rsidR="002A21AE" w:rsidRDefault="002A21AE">
      <w:pPr>
        <w:pStyle w:val="ListBullet"/>
      </w:pPr>
      <w:r>
        <w:t>Modify Units</w:t>
      </w:r>
    </w:p>
    <w:p w14:paraId="12A39B21" w14:textId="77777777" w:rsidR="002A21AE" w:rsidRDefault="002A21AE">
      <w:pPr>
        <w:pStyle w:val="ListBullet"/>
      </w:pPr>
      <w:r>
        <w:t>Outgoing Shipment</w:t>
      </w:r>
    </w:p>
    <w:p w14:paraId="2982ECD3" w14:textId="045E2F1B" w:rsidR="002A21AE" w:rsidRDefault="002A21AE">
      <w:pPr>
        <w:pStyle w:val="ListBullet"/>
      </w:pPr>
      <w:r>
        <w:t>Patient Testing</w:t>
      </w:r>
    </w:p>
    <w:p w14:paraId="02E3F537" w14:textId="77777777" w:rsidR="002A21AE" w:rsidRDefault="002A21AE">
      <w:pPr>
        <w:pStyle w:val="ListBullet"/>
      </w:pPr>
      <w:r>
        <w:t xml:space="preserve">Post-Transfusion Information </w:t>
      </w:r>
    </w:p>
    <w:p w14:paraId="7E4302B6" w14:textId="6D67CEA0" w:rsidR="002A21AE" w:rsidRDefault="002A21AE">
      <w:pPr>
        <w:pStyle w:val="ListBullet"/>
      </w:pPr>
      <w:r>
        <w:t>Process Incoming Shipment</w:t>
      </w:r>
    </w:p>
    <w:p w14:paraId="258356D9" w14:textId="11A0824D" w:rsidR="00C31F6F" w:rsidRDefault="00C31F6F">
      <w:pPr>
        <w:pStyle w:val="ListBullet"/>
      </w:pPr>
      <w:r>
        <w:t>Record Transfusion Reaction Workup</w:t>
      </w:r>
    </w:p>
    <w:p w14:paraId="6BCC081D" w14:textId="77777777" w:rsidR="002A21AE" w:rsidRDefault="002A21AE">
      <w:pPr>
        <w:pStyle w:val="ListBullet"/>
      </w:pPr>
      <w:r>
        <w:t>Release Units From Patient Assignment</w:t>
      </w:r>
    </w:p>
    <w:p w14:paraId="0D602504" w14:textId="77777777" w:rsidR="002A21AE" w:rsidRDefault="002A21AE">
      <w:pPr>
        <w:pStyle w:val="ListBullet"/>
      </w:pPr>
      <w:r>
        <w:rPr>
          <w:snapToGrid w:val="0"/>
        </w:rPr>
        <w:t>Remove Final Status</w:t>
      </w:r>
    </w:p>
    <w:p w14:paraId="3C78D442" w14:textId="77777777" w:rsidR="002A21AE" w:rsidRDefault="002A21AE">
      <w:pPr>
        <w:pStyle w:val="ListBullet"/>
      </w:pPr>
      <w:r>
        <w:lastRenderedPageBreak/>
        <w:t>Return Issued Units To Blood Bank</w:t>
      </w:r>
    </w:p>
    <w:p w14:paraId="0273BE99" w14:textId="77777777" w:rsidR="002A21AE" w:rsidRDefault="002A21AE">
      <w:pPr>
        <w:pStyle w:val="ListBullet"/>
      </w:pPr>
      <w:r>
        <w:t>Select Units</w:t>
      </w:r>
    </w:p>
    <w:p w14:paraId="2D63A629" w14:textId="77777777" w:rsidR="002A21AE" w:rsidRDefault="002A21AE" w:rsidP="0065457E">
      <w:pPr>
        <w:pStyle w:val="ListBullet"/>
      </w:pPr>
      <w:r>
        <w:t>Unit Antigen Typing</w:t>
      </w:r>
    </w:p>
    <w:p w14:paraId="4EAF48A9" w14:textId="77777777" w:rsidR="00F4409D" w:rsidRDefault="00F4409D">
      <w:pPr>
        <w:rPr>
          <w:rStyle w:val="BodyTextChar"/>
        </w:rPr>
      </w:pPr>
    </w:p>
    <w:p w14:paraId="4F4CEAF7" w14:textId="5870689F" w:rsidR="002A21AE" w:rsidRDefault="002A21AE" w:rsidP="001E5CC3">
      <w:pPr>
        <w:pStyle w:val="BodyText"/>
      </w:pPr>
      <w:bookmarkStart w:id="149" w:name="_Toc203765855"/>
      <w:r w:rsidRPr="005944FC">
        <w:rPr>
          <w:rStyle w:val="Heading1Char"/>
        </w:rPr>
        <w:t>Configuring Site Parameters</w:t>
      </w:r>
      <w:bookmarkEnd w:id="149"/>
      <w:r>
        <w:fldChar w:fldCharType="begin"/>
      </w:r>
      <w:r>
        <w:instrText xml:space="preserve"> XE </w:instrText>
      </w:r>
      <w:r w:rsidR="00FA7E65">
        <w:instrText>“</w:instrText>
      </w:r>
      <w:r>
        <w:instrText>Configuring Site Parameters</w:instrText>
      </w:r>
      <w:r w:rsidR="00FA7E65">
        <w:instrText>”</w:instrText>
      </w:r>
      <w:r>
        <w:instrText xml:space="preserve"> </w:instrText>
      </w:r>
      <w:r>
        <w:fldChar w:fldCharType="end"/>
      </w:r>
    </w:p>
    <w:p w14:paraId="54DEECC2" w14:textId="77777777" w:rsidR="002A21AE" w:rsidRPr="002A6D29" w:rsidRDefault="002A21AE" w:rsidP="002A6D29">
      <w:pPr>
        <w:rPr>
          <w:sz w:val="22"/>
          <w:szCs w:val="22"/>
        </w:rPr>
      </w:pPr>
      <w:r w:rsidRPr="002A6D29">
        <w:rPr>
          <w:sz w:val="22"/>
          <w:szCs w:val="22"/>
        </w:rPr>
        <w:t>Configuration must be done as part of the VBECS installation.</w:t>
      </w:r>
    </w:p>
    <w:p w14:paraId="072D9EF4" w14:textId="77777777" w:rsidR="00B51CFF" w:rsidRDefault="00B51CFF" w:rsidP="00B51CFF">
      <w:pPr>
        <w:pStyle w:val="Heading2"/>
      </w:pPr>
      <w:bookmarkStart w:id="150" w:name="_Toc203765856"/>
      <w:r>
        <w:t>Update User Roles</w:t>
      </w:r>
      <w:bookmarkEnd w:id="150"/>
      <w:r w:rsidRPr="00AB67A6">
        <w:rPr>
          <w:rFonts w:ascii="Arial Bold" w:hAnsi="Arial Bold"/>
          <w:vanish/>
        </w:rPr>
        <w:fldChar w:fldCharType="begin"/>
      </w:r>
      <w:r w:rsidRPr="00AB67A6">
        <w:rPr>
          <w:rFonts w:ascii="Arial Bold" w:hAnsi="Arial Bold"/>
          <w:vanish/>
        </w:rPr>
        <w:instrText xml:space="preserve"> XE “Update User Roles” </w:instrText>
      </w:r>
      <w:r w:rsidRPr="00AB67A6">
        <w:rPr>
          <w:rFonts w:ascii="Arial Bold" w:hAnsi="Arial Bold"/>
          <w:vanish/>
        </w:rPr>
        <w:fldChar w:fldCharType="end"/>
      </w:r>
      <w:r w:rsidRPr="00AB67A6">
        <w:rPr>
          <w:rFonts w:ascii="Arial Bold" w:hAnsi="Arial Bold"/>
          <w:vanish/>
        </w:rPr>
        <w:t xml:space="preserve"> UC_19</w:t>
      </w:r>
    </w:p>
    <w:p w14:paraId="7C37AD43" w14:textId="77777777" w:rsidR="00B51CFF" w:rsidRDefault="00B51CFF" w:rsidP="00B51CFF">
      <w:pPr>
        <w:pStyle w:val="BodyText"/>
      </w:pPr>
      <w:r>
        <w:t>The user reviews and changes the user roles and associated security levels that determine which options and functions are available to a user in the division.</w:t>
      </w:r>
    </w:p>
    <w:p w14:paraId="7EFECD23" w14:textId="77777777" w:rsidR="00B51CFF" w:rsidRDefault="00B51CFF" w:rsidP="00B51CFF">
      <w:pPr>
        <w:pStyle w:val="Heading4"/>
      </w:pPr>
      <w:r>
        <w:t>Assumptions</w:t>
      </w:r>
    </w:p>
    <w:p w14:paraId="1010A3D7" w14:textId="77777777" w:rsidR="00B51CFF" w:rsidRDefault="00B51CFF" w:rsidP="00B51CFF">
      <w:pPr>
        <w:pStyle w:val="ListBullet"/>
      </w:pPr>
      <w:r>
        <w:t>The user is logged into VBECS in the division of the users to be edited.</w:t>
      </w:r>
    </w:p>
    <w:p w14:paraId="696A26C6" w14:textId="77777777" w:rsidR="00B51CFF" w:rsidRDefault="00B51CFF" w:rsidP="00B51CFF">
      <w:pPr>
        <w:pStyle w:val="ListBullet"/>
      </w:pPr>
      <w:r>
        <w:t xml:space="preserve">A </w:t>
      </w:r>
      <w:r w:rsidR="0093195D">
        <w:t>VBECS Application</w:t>
      </w:r>
      <w:r>
        <w:t xml:space="preserve"> Administrator </w:t>
      </w:r>
      <w:r w:rsidR="006E4408">
        <w:t>defined</w:t>
      </w:r>
      <w:r>
        <w:t xml:space="preserve"> the users to the VBECS database and assigned </w:t>
      </w:r>
      <w:r w:rsidR="00E95395">
        <w:t>a</w:t>
      </w:r>
      <w:r>
        <w:t xml:space="preserve"> division-specific role to each user. </w:t>
      </w:r>
    </w:p>
    <w:p w14:paraId="285E788F" w14:textId="77777777" w:rsidR="00B51CFF" w:rsidRDefault="00B51CFF" w:rsidP="00B51CFF">
      <w:pPr>
        <w:pStyle w:val="Heading4"/>
      </w:pPr>
      <w:r>
        <w:t>Outcome</w:t>
      </w:r>
    </w:p>
    <w:p w14:paraId="4B43DEBD" w14:textId="77777777" w:rsidR="00B51CFF" w:rsidRDefault="00B51CFF" w:rsidP="00B51CFF">
      <w:pPr>
        <w:pStyle w:val="ListBullet"/>
      </w:pPr>
      <w:r>
        <w:t xml:space="preserve">A user’s role code changed. </w:t>
      </w:r>
    </w:p>
    <w:p w14:paraId="05C4DBDE" w14:textId="77777777" w:rsidR="00B51CFF" w:rsidRDefault="00B51CFF" w:rsidP="00B51CFF">
      <w:pPr>
        <w:pStyle w:val="Heading4"/>
      </w:pPr>
      <w:r>
        <w:t>Limitations and Restrictions</w:t>
      </w:r>
    </w:p>
    <w:p w14:paraId="6C339A01" w14:textId="77777777" w:rsidR="00B51CFF" w:rsidRDefault="00B51CFF" w:rsidP="00B51CFF">
      <w:pPr>
        <w:pStyle w:val="ListBullet"/>
      </w:pPr>
      <w:r>
        <w:rPr>
          <w:vanish/>
          <w:spacing w:val="0"/>
        </w:rPr>
        <w:t>BR_19.01</w:t>
      </w:r>
      <w:r w:rsidR="009660C3">
        <w:rPr>
          <w:vanish/>
          <w:spacing w:val="0"/>
        </w:rPr>
        <w:t>,</w:t>
      </w:r>
      <w:r>
        <w:rPr>
          <w:vanish/>
          <w:spacing w:val="0"/>
        </w:rPr>
        <w:t xml:space="preserve"> BR_19.03 </w:t>
      </w:r>
      <w:r>
        <w:t>One role at a time may be assigned to a user at a division. The role may be reset.</w:t>
      </w:r>
    </w:p>
    <w:p w14:paraId="12A807B6" w14:textId="77777777" w:rsidR="00B51CFF" w:rsidRDefault="002A7EE9" w:rsidP="00B51CFF">
      <w:pPr>
        <w:pStyle w:val="ListBullet"/>
      </w:pPr>
      <w:r>
        <w:rPr>
          <w:spacing w:val="0"/>
        </w:rPr>
        <w:t xml:space="preserve">VBECS does not allow users </w:t>
      </w:r>
      <w:r w:rsidR="00B51CFF">
        <w:rPr>
          <w:vanish/>
          <w:spacing w:val="0"/>
        </w:rPr>
        <w:t xml:space="preserve">BR_19.06 </w:t>
      </w:r>
      <w:r w:rsidR="004D224B">
        <w:t>t</w:t>
      </w:r>
      <w:r>
        <w:t>o</w:t>
      </w:r>
      <w:r w:rsidR="00B51CFF">
        <w:t xml:space="preserve"> </w:t>
      </w:r>
      <w:r w:rsidR="004D224B">
        <w:t>edit or delete</w:t>
      </w:r>
      <w:r w:rsidR="00B51CFF">
        <w:t xml:space="preserve"> the </w:t>
      </w:r>
      <w:r w:rsidR="004D5297">
        <w:t>sole</w:t>
      </w:r>
      <w:r w:rsidR="00B51CFF">
        <w:t xml:space="preserve"> Administrator/Supervisor.</w:t>
      </w:r>
    </w:p>
    <w:p w14:paraId="533C8198" w14:textId="77777777" w:rsidR="00B51CFF" w:rsidRDefault="00B51CFF" w:rsidP="00B51CFF">
      <w:pPr>
        <w:pStyle w:val="Heading4"/>
      </w:pPr>
      <w:r>
        <w:t>Additional Information</w:t>
      </w:r>
    </w:p>
    <w:p w14:paraId="53449210" w14:textId="77777777" w:rsidR="003234B3" w:rsidRDefault="003234B3" w:rsidP="003234B3">
      <w:pPr>
        <w:pStyle w:val="ListBullet"/>
      </w:pPr>
      <w:r>
        <w:t xml:space="preserve">An </w:t>
      </w:r>
      <w:r w:rsidR="006E4408">
        <w:t>undefined</w:t>
      </w:r>
      <w:r>
        <w:t xml:space="preserve"> user remains in the VBECS database.</w:t>
      </w:r>
    </w:p>
    <w:p w14:paraId="08A45498" w14:textId="77777777" w:rsidR="003234B3" w:rsidRDefault="003234B3" w:rsidP="003234B3">
      <w:pPr>
        <w:pStyle w:val="ListBullet"/>
      </w:pPr>
      <w:r>
        <w:rPr>
          <w:vanish/>
          <w:spacing w:val="0"/>
        </w:rPr>
        <w:t xml:space="preserve">BR_19.16, BR_19.11 </w:t>
      </w:r>
      <w:r w:rsidR="006F3D70">
        <w:t>There must be at least one Administrator/Supervisor in the division to maintain users.</w:t>
      </w:r>
    </w:p>
    <w:p w14:paraId="234E0A76" w14:textId="77777777" w:rsidR="00B51CFF" w:rsidRDefault="00B51CFF" w:rsidP="00B51CFF">
      <w:pPr>
        <w:pStyle w:val="ListBullet"/>
      </w:pPr>
      <w:r>
        <w:t xml:space="preserve">A VBECS user ID is the user’s </w:t>
      </w:r>
      <w:r w:rsidR="006E4408">
        <w:t>Windows</w:t>
      </w:r>
      <w:r>
        <w:t xml:space="preserve"> Logon ID. </w:t>
      </w:r>
    </w:p>
    <w:p w14:paraId="03F41009" w14:textId="77777777" w:rsidR="00B51CFF" w:rsidRDefault="00B51CFF" w:rsidP="00B51CFF">
      <w:pPr>
        <w:pStyle w:val="ListBullet"/>
      </w:pPr>
      <w:r>
        <w:t>One or more users may be selected for batch update.</w:t>
      </w:r>
    </w:p>
    <w:p w14:paraId="4517E177" w14:textId="43F0293F" w:rsidR="00B51CFF" w:rsidRDefault="00B51CFF" w:rsidP="00B51CFF">
      <w:pPr>
        <w:pStyle w:val="ListBullet"/>
      </w:pPr>
      <w:r>
        <w:t xml:space="preserve">A </w:t>
      </w:r>
      <w:r w:rsidR="0093195D">
        <w:t>VBECS Application</w:t>
      </w:r>
      <w:r>
        <w:t xml:space="preserve"> Administrator </w:t>
      </w:r>
      <w:r w:rsidR="006E4408">
        <w:t>defines</w:t>
      </w:r>
      <w:r>
        <w:t xml:space="preserve"> and </w:t>
      </w:r>
      <w:r w:rsidR="006E4408">
        <w:t>undefines</w:t>
      </w:r>
      <w:r>
        <w:t xml:space="preserve"> VBECS users.</w:t>
      </w:r>
      <w:r w:rsidR="00BA2EAA">
        <w:t xml:space="preserve"> See </w:t>
      </w:r>
      <w:r w:rsidR="00BA2EAA">
        <w:rPr>
          <w:i/>
          <w:iCs/>
        </w:rPr>
        <w:t>VBECS 2.</w:t>
      </w:r>
      <w:r w:rsidR="00397587">
        <w:rPr>
          <w:i/>
          <w:iCs/>
        </w:rPr>
        <w:t>4.0</w:t>
      </w:r>
      <w:r w:rsidR="00BA2EAA">
        <w:rPr>
          <w:i/>
          <w:iCs/>
        </w:rPr>
        <w:t xml:space="preserve"> Admin User Guide</w:t>
      </w:r>
      <w:r w:rsidR="00BA2EAA">
        <w:t>.</w:t>
      </w:r>
    </w:p>
    <w:p w14:paraId="403174E9" w14:textId="5DEAF080" w:rsidR="00B51CFF" w:rsidRDefault="00B51CFF" w:rsidP="00B51CFF">
      <w:pPr>
        <w:pStyle w:val="ListBullet"/>
      </w:pPr>
      <w:r>
        <w:t>A user may be defined at multiple divisions within a multidivisional database. The settings for a user may differ from division to division and are</w:t>
      </w:r>
      <w:r w:rsidR="00FB7B47">
        <w:t xml:space="preserve"> independent</w:t>
      </w:r>
      <w:r>
        <w:t xml:space="preserve">. </w:t>
      </w:r>
    </w:p>
    <w:p w14:paraId="348C0CF0" w14:textId="77777777" w:rsidR="00B51CFF" w:rsidRDefault="00B51CFF" w:rsidP="00B51CFF">
      <w:pPr>
        <w:pStyle w:val="Heading4"/>
      </w:pPr>
      <w:r>
        <w:t>User Roles with Access to This Option</w:t>
      </w:r>
    </w:p>
    <w:p w14:paraId="7BD910A0" w14:textId="77777777" w:rsidR="00B51CFF" w:rsidRDefault="00B51CFF" w:rsidP="00B51CFF">
      <w:pPr>
        <w:pStyle w:val="Roles"/>
        <w:rPr>
          <w:snapToGrid w:val="0"/>
        </w:rPr>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Administrator/Supervisor</w:t>
      </w:r>
      <w:r>
        <w:rPr>
          <w:snapToGrid w:val="0"/>
        </w:rPr>
        <w:t xml:space="preserve"> </w:t>
      </w:r>
    </w:p>
    <w:p w14:paraId="515FC83B" w14:textId="77777777" w:rsidR="00B51CFF" w:rsidRDefault="00B51CFF" w:rsidP="00B51CFF">
      <w:pPr>
        <w:pStyle w:val="Roles"/>
        <w:rPr>
          <w:snapToGrid w:val="0"/>
        </w:rPr>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w:t>
      </w:r>
      <w:r>
        <w:rPr>
          <w:snapToGrid w:val="0"/>
        </w:rPr>
        <w:t>Lead Technologist</w:t>
      </w:r>
    </w:p>
    <w:p w14:paraId="62914DE2" w14:textId="77777777" w:rsidR="00B51CFF" w:rsidRDefault="00B51CFF" w:rsidP="00B51CFF">
      <w:pPr>
        <w:pStyle w:val="Heading4"/>
      </w:pPr>
      <w:r>
        <w:t>Update User Roles</w:t>
      </w:r>
    </w:p>
    <w:p w14:paraId="7B65B7C1" w14:textId="77777777" w:rsidR="00B51CFF" w:rsidRDefault="00154095" w:rsidP="00B51CFF">
      <w:pPr>
        <w:pStyle w:val="BodyText"/>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w:t>
      </w:r>
      <w:r w:rsidR="00B51CFF">
        <w:t xml:space="preserve">An Administrator/Supervisor maintains assigned user roles, including associated levels of system access and the ability to process system overrides. These roles determine the available </w:t>
      </w:r>
      <w:r w:rsidR="00932460">
        <w:t xml:space="preserve">options </w:t>
      </w:r>
      <w:r w:rsidR="00B51CFF">
        <w:t xml:space="preserve">and the ability to override certain warnings. </w:t>
      </w:r>
    </w:p>
    <w:p w14:paraId="08477375" w14:textId="77777777" w:rsidR="00F317E7" w:rsidRDefault="003B4BF0" w:rsidP="00E87A80">
      <w:pPr>
        <w:pStyle w:val="Caution"/>
      </w:pPr>
      <w:bookmarkStart w:id="151" w:name="OLE_LINK13"/>
      <w:bookmarkStart w:id="152" w:name="OLE_LINK14"/>
      <w:r>
        <w:lastRenderedPageBreak/>
        <w:t xml:space="preserve">It is recommended that </w:t>
      </w:r>
      <w:r w:rsidR="00A868BE">
        <w:t>more than</w:t>
      </w:r>
      <w:r>
        <w:t xml:space="preserve"> one staff member be assigned the role of Administrator/Supervisor: when more than one Administrator/Supervisor updates roles simultaneously, changes made by one user are not visible to the other.</w:t>
      </w:r>
    </w:p>
    <w:bookmarkEnd w:id="151"/>
    <w:bookmarkEnd w:id="152"/>
    <w:p w14:paraId="38250B39" w14:textId="77777777" w:rsidR="00B51CFF" w:rsidRDefault="00B51CFF" w:rsidP="007E3EE1">
      <w:pPr>
        <w:pStyle w:val="BodyText"/>
        <w:keepNext/>
      </w:pPr>
      <w:r>
        <w:t xml:space="preserve">One of six user roles may be assigned to users, by division: </w:t>
      </w:r>
    </w:p>
    <w:p w14:paraId="002C5AA2" w14:textId="77777777" w:rsidR="00B51CFF" w:rsidRDefault="00B51CFF" w:rsidP="007E3EE1">
      <w:pPr>
        <w:pStyle w:val="ListBullet"/>
        <w:keepNext/>
      </w:pPr>
      <w:r>
        <w:t>Level 1: Technologist</w:t>
      </w:r>
      <w:r w:rsidR="00491BEC">
        <w:t xml:space="preserve"> </w:t>
      </w:r>
      <w:r w:rsidR="00491BEC" w:rsidRPr="00EC7489">
        <w:rPr>
          <w:rFonts w:ascii="Wingdings 3" w:hAnsi="Wingdings 3" w:cs="Wingdings"/>
        </w:rPr>
        <w:t></w:t>
      </w:r>
    </w:p>
    <w:p w14:paraId="409DB2EC" w14:textId="77777777" w:rsidR="00B51CFF" w:rsidRDefault="00B51CFF" w:rsidP="00B51CFF">
      <w:pPr>
        <w:pStyle w:val="ListBullet"/>
      </w:pPr>
      <w:r>
        <w:t>Level 2: Enhanced Technologist</w:t>
      </w:r>
      <w:r w:rsidR="00491BEC">
        <w:t xml:space="preserve"> </w:t>
      </w:r>
      <w:r w:rsidR="00491BEC" w:rsidRPr="00EC7489">
        <w:rPr>
          <w:rFonts w:ascii="Wingdings 3" w:hAnsi="Wingdings 3" w:cs="Wingdings"/>
        </w:rPr>
        <w:t></w:t>
      </w:r>
      <w:r w:rsidR="00491BEC" w:rsidRPr="00EC7489">
        <w:rPr>
          <w:rFonts w:ascii="Wingdings 3" w:hAnsi="Wingdings 3" w:cs="Wingdings"/>
        </w:rPr>
        <w:t></w:t>
      </w:r>
    </w:p>
    <w:p w14:paraId="7CE5D8CE" w14:textId="77777777" w:rsidR="00B51CFF" w:rsidRDefault="00B51CFF" w:rsidP="00B51CFF">
      <w:pPr>
        <w:pStyle w:val="ListBullet"/>
      </w:pPr>
      <w:r>
        <w:t>Level 3: Lead Technologist</w:t>
      </w:r>
      <w:r w:rsidR="00491BEC">
        <w:t xml:space="preserve"> </w:t>
      </w:r>
      <w:r w:rsidR="00491BEC" w:rsidRPr="00EC7489">
        <w:rPr>
          <w:rFonts w:ascii="Wingdings 3" w:hAnsi="Wingdings 3" w:cs="Wingdings"/>
        </w:rPr>
        <w:t></w:t>
      </w:r>
      <w:r w:rsidR="00491BEC" w:rsidRPr="00EC7489">
        <w:rPr>
          <w:rFonts w:ascii="Wingdings 3" w:hAnsi="Wingdings 3" w:cs="Wingdings"/>
        </w:rPr>
        <w:t></w:t>
      </w:r>
      <w:r w:rsidR="00491BEC" w:rsidRPr="00EC7489">
        <w:rPr>
          <w:rFonts w:ascii="Wingdings 3" w:hAnsi="Wingdings 3" w:cs="Wingdings"/>
        </w:rPr>
        <w:t></w:t>
      </w:r>
    </w:p>
    <w:p w14:paraId="18BB5398" w14:textId="77777777" w:rsidR="00B51CFF" w:rsidRDefault="00B51CFF" w:rsidP="00B51CFF">
      <w:pPr>
        <w:pStyle w:val="ListBullet"/>
      </w:pPr>
      <w:r>
        <w:t>Level 4: Traditional Supervisor</w:t>
      </w:r>
      <w:r w:rsidR="00491BEC">
        <w:t xml:space="preserve"> </w:t>
      </w:r>
      <w:r w:rsidR="00491BEC" w:rsidRPr="00EC7489">
        <w:rPr>
          <w:rFonts w:ascii="Wingdings 3" w:hAnsi="Wingdings 3" w:cs="Wingdings"/>
        </w:rPr>
        <w:t></w:t>
      </w:r>
      <w:r w:rsidR="00491BEC" w:rsidRPr="00EC7489">
        <w:rPr>
          <w:rFonts w:ascii="Wingdings 3" w:hAnsi="Wingdings 3" w:cs="Wingdings"/>
        </w:rPr>
        <w:t></w:t>
      </w:r>
      <w:r w:rsidR="00491BEC" w:rsidRPr="00EC7489">
        <w:rPr>
          <w:rFonts w:ascii="Wingdings 3" w:hAnsi="Wingdings 3" w:cs="Wingdings"/>
        </w:rPr>
        <w:t></w:t>
      </w:r>
      <w:r w:rsidR="00491BEC" w:rsidRPr="00EC7489">
        <w:rPr>
          <w:rFonts w:ascii="Wingdings 3" w:hAnsi="Wingdings 3" w:cs="Wingdings"/>
        </w:rPr>
        <w:t></w:t>
      </w:r>
    </w:p>
    <w:p w14:paraId="6582B254" w14:textId="77777777" w:rsidR="00B51CFF" w:rsidRDefault="00B51CFF" w:rsidP="00B51CFF">
      <w:pPr>
        <w:pStyle w:val="ListBullet"/>
      </w:pPr>
      <w:r>
        <w:t>Level 5: Enhanced Supervisor</w:t>
      </w:r>
      <w:r w:rsidR="00491BEC">
        <w:t xml:space="preserve"> </w:t>
      </w:r>
      <w:r w:rsidR="00491BEC" w:rsidRPr="00EC7489">
        <w:rPr>
          <w:rFonts w:ascii="Wingdings 3" w:hAnsi="Wingdings 3" w:cs="Wingdings"/>
        </w:rPr>
        <w:t></w:t>
      </w:r>
      <w:r w:rsidR="00491BEC" w:rsidRPr="00EC7489">
        <w:rPr>
          <w:rFonts w:ascii="Wingdings 3" w:hAnsi="Wingdings 3" w:cs="Wingdings"/>
        </w:rPr>
        <w:t></w:t>
      </w:r>
      <w:r w:rsidR="00491BEC" w:rsidRPr="00EC7489">
        <w:rPr>
          <w:rFonts w:ascii="Wingdings 3" w:hAnsi="Wingdings 3" w:cs="Wingdings"/>
        </w:rPr>
        <w:t></w:t>
      </w:r>
      <w:r w:rsidR="00491BEC" w:rsidRPr="00EC7489">
        <w:rPr>
          <w:rFonts w:ascii="Wingdings 3" w:hAnsi="Wingdings 3" w:cs="Wingdings"/>
        </w:rPr>
        <w:t></w:t>
      </w:r>
      <w:r w:rsidR="00491BEC" w:rsidRPr="00EC7489">
        <w:rPr>
          <w:rFonts w:ascii="Wingdings 3" w:hAnsi="Wingdings 3" w:cs="Wingdings"/>
        </w:rPr>
        <w:t></w:t>
      </w:r>
    </w:p>
    <w:p w14:paraId="62001EA0" w14:textId="472C8522" w:rsidR="00B51CFF" w:rsidRDefault="00B51CFF" w:rsidP="00B51CFF">
      <w:pPr>
        <w:pStyle w:val="ListBullet"/>
      </w:pPr>
      <w:r>
        <w:t xml:space="preserve">Level 6: Administrator/Supervisor </w:t>
      </w:r>
      <w:r w:rsidR="00491BEC" w:rsidRPr="00EC7489">
        <w:rPr>
          <w:rFonts w:ascii="Wingdings 3" w:hAnsi="Wingdings 3" w:cs="Wingdings"/>
        </w:rPr>
        <w:t></w:t>
      </w:r>
      <w:r w:rsidR="00491BEC" w:rsidRPr="00EC7489">
        <w:rPr>
          <w:rFonts w:ascii="Wingdings 3" w:hAnsi="Wingdings 3" w:cs="Wingdings"/>
        </w:rPr>
        <w:t></w:t>
      </w:r>
      <w:r w:rsidR="00491BEC" w:rsidRPr="00EC7489">
        <w:rPr>
          <w:rFonts w:ascii="Wingdings 3" w:hAnsi="Wingdings 3" w:cs="Wingdings"/>
        </w:rPr>
        <w:t></w:t>
      </w:r>
      <w:r w:rsidR="00491BEC" w:rsidRPr="00EC7489">
        <w:rPr>
          <w:rFonts w:ascii="Wingdings 3" w:hAnsi="Wingdings 3" w:cs="Wingdings"/>
        </w:rPr>
        <w:t></w:t>
      </w:r>
      <w:r w:rsidR="00491BEC" w:rsidRPr="00EC7489">
        <w:rPr>
          <w:rFonts w:ascii="Wingdings 3" w:hAnsi="Wingdings 3" w:cs="Wingdings"/>
        </w:rPr>
        <w:t></w:t>
      </w:r>
      <w:r w:rsidR="00491BEC" w:rsidRPr="00EC7489">
        <w:rPr>
          <w:rFonts w:ascii="Wingdings 3" w:hAnsi="Wingdings 3" w:cs="Wingdings"/>
        </w:rPr>
        <w:t></w:t>
      </w:r>
    </w:p>
    <w:p w14:paraId="39A3BF5C" w14:textId="02292B47" w:rsidR="00B51CFF" w:rsidRDefault="00B51CFF" w:rsidP="00B51CFF">
      <w:pPr>
        <w:pStyle w:val="BodyText"/>
      </w:pPr>
      <w:r>
        <w:t>The functions associated with each user role are described in</w:t>
      </w:r>
      <w:r w:rsidR="00DA05C9">
        <w:t xml:space="preserve"> </w:t>
      </w:r>
      <w:r w:rsidR="00EE455E">
        <w:t xml:space="preserve">Table </w:t>
      </w:r>
      <w:r w:rsidR="00EE455E">
        <w:rPr>
          <w:noProof/>
        </w:rPr>
        <w:t>1</w:t>
      </w:r>
      <w:r w:rsidR="00EE455E">
        <w:t xml:space="preserve">: </w:t>
      </w:r>
      <w:r w:rsidR="00EE455E">
        <w:rPr>
          <w:vanish/>
        </w:rPr>
        <w:t xml:space="preserve">PT_19.01 </w:t>
      </w:r>
      <w:r w:rsidR="00EE455E">
        <w:t>User Roles and Functions</w:t>
      </w:r>
      <w:r>
        <w: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B51CFF" w14:paraId="27B46406" w14:textId="77777777">
        <w:trPr>
          <w:cantSplit/>
          <w:tblHeader/>
        </w:trPr>
        <w:tc>
          <w:tcPr>
            <w:tcW w:w="3240" w:type="dxa"/>
            <w:shd w:val="pct30" w:color="auto" w:fill="FFFFFF"/>
            <w:vAlign w:val="bottom"/>
          </w:tcPr>
          <w:p w14:paraId="59F10117" w14:textId="77777777" w:rsidR="00B51CFF" w:rsidRDefault="00B51CFF" w:rsidP="00DB1D38">
            <w:pPr>
              <w:pStyle w:val="TableText"/>
              <w:rPr>
                <w:b/>
              </w:rPr>
            </w:pPr>
            <w:r>
              <w:rPr>
                <w:b/>
              </w:rPr>
              <w:t>User Action</w:t>
            </w:r>
          </w:p>
        </w:tc>
        <w:tc>
          <w:tcPr>
            <w:tcW w:w="6120" w:type="dxa"/>
            <w:shd w:val="pct30" w:color="auto" w:fill="FFFFFF"/>
            <w:vAlign w:val="bottom"/>
          </w:tcPr>
          <w:p w14:paraId="0DC3B2F0" w14:textId="77777777" w:rsidR="00B51CFF" w:rsidRDefault="00B51CFF" w:rsidP="00DB1D38">
            <w:pPr>
              <w:pStyle w:val="TableText"/>
              <w:rPr>
                <w:b/>
              </w:rPr>
            </w:pPr>
            <w:r>
              <w:rPr>
                <w:b/>
              </w:rPr>
              <w:t>VBECS</w:t>
            </w:r>
          </w:p>
        </w:tc>
      </w:tr>
      <w:tr w:rsidR="00B51CFF" w14:paraId="0A8082C7" w14:textId="77777777">
        <w:trPr>
          <w:cantSplit/>
        </w:trPr>
        <w:tc>
          <w:tcPr>
            <w:tcW w:w="3240" w:type="dxa"/>
            <w:tcBorders>
              <w:top w:val="single" w:sz="4" w:space="0" w:color="auto"/>
              <w:left w:val="single" w:sz="4" w:space="0" w:color="auto"/>
              <w:bottom w:val="single" w:sz="4" w:space="0" w:color="auto"/>
              <w:right w:val="single" w:sz="4" w:space="0" w:color="auto"/>
            </w:tcBorders>
          </w:tcPr>
          <w:p w14:paraId="4E6E14EB" w14:textId="77777777" w:rsidR="00B51CFF" w:rsidRDefault="00B51CFF" w:rsidP="00DB1D38">
            <w:pPr>
              <w:pStyle w:val="TableTextNumbers"/>
            </w:pPr>
            <w:r>
              <w:t xml:space="preserve">Select </w:t>
            </w:r>
            <w:r>
              <w:rPr>
                <w:b/>
              </w:rPr>
              <w:t>Tools</w:t>
            </w:r>
            <w:r>
              <w:t xml:space="preserve"> from the main menu.</w:t>
            </w:r>
          </w:p>
          <w:p w14:paraId="702553EF" w14:textId="77777777" w:rsidR="00B51CFF" w:rsidRDefault="00B51CFF" w:rsidP="00DB1D38">
            <w:pPr>
              <w:pStyle w:val="TableTextNumbersContinued"/>
            </w:pPr>
          </w:p>
          <w:p w14:paraId="6311EC7C" w14:textId="3744B143" w:rsidR="00B51CFF" w:rsidRDefault="00B51CFF" w:rsidP="008D26FD">
            <w:pPr>
              <w:pStyle w:val="TableTextNumbersContinued"/>
            </w:pPr>
            <w:r>
              <w:t xml:space="preserve">Select </w:t>
            </w:r>
            <w:r>
              <w:rPr>
                <w:b/>
              </w:rPr>
              <w:t>Update User Roles</w:t>
            </w:r>
            <w:r w:rsidR="007A18CD" w:rsidRPr="007A18CD">
              <w:t xml:space="preserve"> (</w:t>
            </w:r>
            <w:r w:rsidR="00EE455E">
              <w:t xml:space="preserve">Figure </w:t>
            </w:r>
            <w:r w:rsidR="00EE455E">
              <w:rPr>
                <w:noProof/>
              </w:rPr>
              <w:t>21</w:t>
            </w:r>
            <w:r w:rsidR="007A18CD" w:rsidRPr="007A18CD">
              <w:t>).</w:t>
            </w:r>
          </w:p>
        </w:tc>
        <w:tc>
          <w:tcPr>
            <w:tcW w:w="6120" w:type="dxa"/>
            <w:tcBorders>
              <w:top w:val="single" w:sz="4" w:space="0" w:color="auto"/>
              <w:left w:val="single" w:sz="4" w:space="0" w:color="auto"/>
              <w:bottom w:val="single" w:sz="4" w:space="0" w:color="auto"/>
              <w:right w:val="single" w:sz="4" w:space="0" w:color="auto"/>
            </w:tcBorders>
          </w:tcPr>
          <w:p w14:paraId="41AA4A35" w14:textId="77777777" w:rsidR="00B51CFF" w:rsidRDefault="00B51CFF" w:rsidP="00DB1D38">
            <w:pPr>
              <w:pStyle w:val="TableTextBullet"/>
            </w:pPr>
            <w:r>
              <w:t>Displays options for processing administrative functions.</w:t>
            </w:r>
          </w:p>
          <w:p w14:paraId="3CEDA214" w14:textId="77777777" w:rsidR="00B51CFF" w:rsidRDefault="00B51CFF" w:rsidP="00DB1D38">
            <w:pPr>
              <w:pStyle w:val="TableTextBullet"/>
            </w:pPr>
            <w:r>
              <w:t>Lists active users and associated information, including user name, ID, role, initials and email address.</w:t>
            </w:r>
          </w:p>
          <w:p w14:paraId="036FB668" w14:textId="77777777" w:rsidR="00B51CFF" w:rsidRDefault="00B51CFF" w:rsidP="00DB1D38">
            <w:pPr>
              <w:pStyle w:val="TableTextBullet"/>
            </w:pPr>
            <w:r>
              <w:t>Displays an option to print a VBECS User Report.</w:t>
            </w:r>
          </w:p>
          <w:p w14:paraId="6FB55ECA" w14:textId="77777777" w:rsidR="00B51CFF" w:rsidRDefault="00B51CFF" w:rsidP="00DB1D38">
            <w:pPr>
              <w:pStyle w:val="TableText"/>
            </w:pPr>
          </w:p>
          <w:p w14:paraId="1C024F44" w14:textId="2E57B204" w:rsidR="00B51CFF" w:rsidRDefault="00B51CFF" w:rsidP="00DB1D38">
            <w:pPr>
              <w:pStyle w:val="TableText"/>
              <w:rPr>
                <w:b/>
                <w:bCs/>
                <w:szCs w:val="18"/>
              </w:rPr>
            </w:pPr>
            <w:r>
              <w:rPr>
                <w:b/>
                <w:bCs/>
                <w:szCs w:val="18"/>
              </w:rPr>
              <w:t>NOTES</w:t>
            </w:r>
          </w:p>
          <w:p w14:paraId="1FA79C20" w14:textId="77777777" w:rsidR="00B51CFF" w:rsidRDefault="00B51CFF" w:rsidP="00DB1D38">
            <w:pPr>
              <w:pStyle w:val="NotesText"/>
            </w:pPr>
          </w:p>
          <w:p w14:paraId="7C1D48D8" w14:textId="77777777" w:rsidR="00B51CFF" w:rsidRDefault="00B51CFF" w:rsidP="00DB1D38">
            <w:pPr>
              <w:pStyle w:val="NotesText"/>
            </w:pPr>
            <w:r w:rsidRPr="00E274BF">
              <w:rPr>
                <w:rFonts w:cs="Arial"/>
                <w:vanish/>
                <w:szCs w:val="18"/>
              </w:rPr>
              <w:t>BR_19.17</w:t>
            </w:r>
            <w:r w:rsidRPr="009660C3">
              <w:rPr>
                <w:vanish/>
                <w:szCs w:val="18"/>
              </w:rPr>
              <w:t xml:space="preserve"> </w:t>
            </w:r>
            <w:r>
              <w:t xml:space="preserve">Click </w:t>
            </w:r>
            <w:r>
              <w:rPr>
                <w:b/>
              </w:rPr>
              <w:t>Print</w:t>
            </w:r>
            <w:r>
              <w:t xml:space="preserve"> at any time in this process to print a VBECS User Report.</w:t>
            </w:r>
          </w:p>
        </w:tc>
      </w:tr>
      <w:tr w:rsidR="00B51CFF" w14:paraId="7B1DF3EA" w14:textId="77777777">
        <w:trPr>
          <w:cantSplit/>
        </w:trPr>
        <w:tc>
          <w:tcPr>
            <w:tcW w:w="3240" w:type="dxa"/>
            <w:tcBorders>
              <w:bottom w:val="single" w:sz="4" w:space="0" w:color="auto"/>
            </w:tcBorders>
          </w:tcPr>
          <w:p w14:paraId="7F25CCF4" w14:textId="77777777" w:rsidR="00B51CFF" w:rsidRDefault="00B51CFF" w:rsidP="00DB1D38">
            <w:pPr>
              <w:pStyle w:val="TableTextNumbers"/>
            </w:pPr>
            <w:r>
              <w:t>Click one or more check boxes to select users.</w:t>
            </w:r>
          </w:p>
          <w:p w14:paraId="6834A37A" w14:textId="77777777" w:rsidR="00B51CFF" w:rsidRDefault="00B51CFF" w:rsidP="00DB1D38">
            <w:pPr>
              <w:pStyle w:val="TableTextNumbersContinued"/>
            </w:pPr>
          </w:p>
          <w:p w14:paraId="46705C75" w14:textId="77777777" w:rsidR="00B51CFF" w:rsidRDefault="00B51CFF" w:rsidP="00DB1D38">
            <w:pPr>
              <w:pStyle w:val="TableTextNumbersContinued"/>
            </w:pPr>
          </w:p>
        </w:tc>
        <w:tc>
          <w:tcPr>
            <w:tcW w:w="6120" w:type="dxa"/>
            <w:tcBorders>
              <w:bottom w:val="single" w:sz="4" w:space="0" w:color="auto"/>
            </w:tcBorders>
          </w:tcPr>
          <w:p w14:paraId="5F97C5E0" w14:textId="77777777" w:rsidR="00B51CFF" w:rsidRDefault="00B51CFF" w:rsidP="00DB1D38">
            <w:pPr>
              <w:pStyle w:val="TableTextBullet"/>
            </w:pPr>
            <w:r w:rsidRPr="00E274BF">
              <w:rPr>
                <w:rFonts w:cs="Arial"/>
                <w:vanish/>
                <w:szCs w:val="18"/>
              </w:rPr>
              <w:t>BR_19.05</w:t>
            </w:r>
            <w:r w:rsidRPr="009660C3">
              <w:rPr>
                <w:vanish/>
                <w:szCs w:val="18"/>
              </w:rPr>
              <w:t xml:space="preserve"> </w:t>
            </w:r>
            <w:r>
              <w:t>Allows the assignment of a security level to one or more users at a time.</w:t>
            </w:r>
          </w:p>
          <w:p w14:paraId="5C8F0641" w14:textId="77777777" w:rsidR="00B51CFF" w:rsidRDefault="00B51CFF" w:rsidP="00DB1D38">
            <w:pPr>
              <w:pStyle w:val="TableText"/>
            </w:pPr>
          </w:p>
          <w:p w14:paraId="75EFCA52" w14:textId="75551486" w:rsidR="00B51CFF" w:rsidRDefault="00B51CFF" w:rsidP="00DB1D38">
            <w:pPr>
              <w:pStyle w:val="TableText"/>
              <w:rPr>
                <w:b/>
                <w:bCs/>
                <w:szCs w:val="18"/>
              </w:rPr>
            </w:pPr>
            <w:r>
              <w:rPr>
                <w:b/>
                <w:bCs/>
                <w:szCs w:val="18"/>
              </w:rPr>
              <w:t>NOTES</w:t>
            </w:r>
          </w:p>
          <w:p w14:paraId="0B319C69" w14:textId="77777777" w:rsidR="00B51CFF" w:rsidRDefault="00B51CFF" w:rsidP="00DB1D38">
            <w:pPr>
              <w:pStyle w:val="NotesText"/>
            </w:pPr>
          </w:p>
          <w:p w14:paraId="094A1BEC" w14:textId="77777777" w:rsidR="00B51CFF" w:rsidRDefault="00B51CFF" w:rsidP="00DB1D38">
            <w:pPr>
              <w:pStyle w:val="NotesText"/>
            </w:pPr>
            <w:r>
              <w:t>The role that a user selects is assigned to all selected users.</w:t>
            </w:r>
          </w:p>
        </w:tc>
      </w:tr>
      <w:tr w:rsidR="00B51CFF" w14:paraId="47BB3B98" w14:textId="77777777">
        <w:trPr>
          <w:cantSplit/>
        </w:trPr>
        <w:tc>
          <w:tcPr>
            <w:tcW w:w="3240" w:type="dxa"/>
            <w:tcBorders>
              <w:bottom w:val="single" w:sz="4" w:space="0" w:color="auto"/>
            </w:tcBorders>
          </w:tcPr>
          <w:p w14:paraId="47234747" w14:textId="327EA562" w:rsidR="00B51CFF" w:rsidRDefault="00B51CFF" w:rsidP="00DB1D38">
            <w:pPr>
              <w:pStyle w:val="TableTextNumbersContinued"/>
            </w:pPr>
            <w:r>
              <w:t>Select a user role from the drop-down list in the Use</w:t>
            </w:r>
            <w:r w:rsidR="0039783A">
              <w:t>r</w:t>
            </w:r>
            <w:r>
              <w:t xml:space="preserve"> Role field.</w:t>
            </w:r>
          </w:p>
          <w:p w14:paraId="2F723E98" w14:textId="77777777" w:rsidR="00B51CFF" w:rsidRDefault="00B51CFF" w:rsidP="00DB1D38">
            <w:pPr>
              <w:pStyle w:val="TableTextNumbersContinued"/>
            </w:pPr>
          </w:p>
          <w:p w14:paraId="4CD811DA" w14:textId="77777777" w:rsidR="00B51CFF" w:rsidRDefault="00B51CFF" w:rsidP="00DB1D38">
            <w:pPr>
              <w:pStyle w:val="TableTextNumbers"/>
            </w:pPr>
            <w:r>
              <w:t xml:space="preserve">Click </w:t>
            </w:r>
            <w:r>
              <w:rPr>
                <w:b/>
              </w:rPr>
              <w:t>OK</w:t>
            </w:r>
            <w:r>
              <w:t>.</w:t>
            </w:r>
          </w:p>
        </w:tc>
        <w:tc>
          <w:tcPr>
            <w:tcW w:w="6120" w:type="dxa"/>
            <w:tcBorders>
              <w:bottom w:val="single" w:sz="4" w:space="0" w:color="auto"/>
            </w:tcBorders>
          </w:tcPr>
          <w:p w14:paraId="1831C0B9" w14:textId="77777777" w:rsidR="00B51CFF" w:rsidRDefault="00B51CFF" w:rsidP="00DB1D38">
            <w:pPr>
              <w:pStyle w:val="TableTextBullet"/>
            </w:pPr>
            <w:r>
              <w:t>Requests confirmation of the names of users to be changed and the role to be assigned.</w:t>
            </w:r>
          </w:p>
        </w:tc>
      </w:tr>
      <w:tr w:rsidR="00B51CFF" w14:paraId="36C72455" w14:textId="77777777">
        <w:trPr>
          <w:cantSplit/>
        </w:trPr>
        <w:tc>
          <w:tcPr>
            <w:tcW w:w="3240" w:type="dxa"/>
          </w:tcPr>
          <w:p w14:paraId="74EA0D82" w14:textId="77777777" w:rsidR="00B51CFF" w:rsidRDefault="00B51CFF" w:rsidP="00DB1D38">
            <w:pPr>
              <w:pStyle w:val="TableTextNumbers"/>
            </w:pPr>
            <w:r>
              <w:t xml:space="preserve">Click </w:t>
            </w:r>
            <w:r>
              <w:rPr>
                <w:b/>
              </w:rPr>
              <w:t>Yes</w:t>
            </w:r>
            <w:r>
              <w:t xml:space="preserve"> to confirm the save or </w:t>
            </w:r>
            <w:r>
              <w:rPr>
                <w:b/>
              </w:rPr>
              <w:t>No</w:t>
            </w:r>
            <w:r>
              <w:t xml:space="preserve"> to change the users selected.</w:t>
            </w:r>
          </w:p>
        </w:tc>
        <w:tc>
          <w:tcPr>
            <w:tcW w:w="6120" w:type="dxa"/>
          </w:tcPr>
          <w:p w14:paraId="52152584" w14:textId="77777777" w:rsidR="00B51CFF" w:rsidRDefault="00B51CFF" w:rsidP="00DB1D38">
            <w:pPr>
              <w:pStyle w:val="TableTextBullet"/>
            </w:pPr>
            <w:r>
              <w:t>Creates an Audit Trail Report entry.</w:t>
            </w:r>
          </w:p>
          <w:p w14:paraId="1974F426" w14:textId="2E883D10" w:rsidR="00B51CFF" w:rsidRDefault="00B51CFF" w:rsidP="00001639">
            <w:pPr>
              <w:pStyle w:val="NotesText"/>
              <w:ind w:left="0"/>
            </w:pPr>
          </w:p>
        </w:tc>
      </w:tr>
      <w:tr w:rsidR="00B51CFF" w14:paraId="1445C335" w14:textId="77777777">
        <w:trPr>
          <w:cantSplit/>
        </w:trPr>
        <w:tc>
          <w:tcPr>
            <w:tcW w:w="3240" w:type="dxa"/>
          </w:tcPr>
          <w:p w14:paraId="10C99225" w14:textId="2023D1BF" w:rsidR="00B51CFF" w:rsidRDefault="00B51CFF" w:rsidP="00DB1D38">
            <w:pPr>
              <w:pStyle w:val="TableTextNumbers"/>
            </w:pPr>
            <w:r>
              <w:t>Repeat Steps 2</w:t>
            </w:r>
            <w:r w:rsidR="004F5589">
              <w:t xml:space="preserve"> through </w:t>
            </w:r>
            <w:r>
              <w:t>4 to change the roles of additional users.</w:t>
            </w:r>
          </w:p>
        </w:tc>
        <w:tc>
          <w:tcPr>
            <w:tcW w:w="6120" w:type="dxa"/>
          </w:tcPr>
          <w:p w14:paraId="1FF850F0" w14:textId="77777777" w:rsidR="00B51CFF" w:rsidRDefault="00B51CFF" w:rsidP="00DB1D38">
            <w:pPr>
              <w:pStyle w:val="TableText"/>
            </w:pPr>
          </w:p>
        </w:tc>
      </w:tr>
      <w:tr w:rsidR="00B51CFF" w14:paraId="7F786808" w14:textId="77777777">
        <w:trPr>
          <w:cantSplit/>
        </w:trPr>
        <w:tc>
          <w:tcPr>
            <w:tcW w:w="3240" w:type="dxa"/>
          </w:tcPr>
          <w:p w14:paraId="535E8EB0" w14:textId="77777777" w:rsidR="00B51CFF" w:rsidRDefault="00B51CFF" w:rsidP="00DB1D38">
            <w:pPr>
              <w:pStyle w:val="TableTextNumbers"/>
            </w:pPr>
            <w:r>
              <w:t xml:space="preserve">Click </w:t>
            </w:r>
            <w:r>
              <w:rPr>
                <w:b/>
              </w:rPr>
              <w:t>Cancel</w:t>
            </w:r>
            <w:r>
              <w:t xml:space="preserve"> to exit. </w:t>
            </w:r>
            <w:r>
              <w:rPr>
                <w:vanish/>
                <w:color w:val="FFFFFF"/>
                <w:szCs w:val="18"/>
              </w:rPr>
              <w:fldChar w:fldCharType="begin"/>
            </w:r>
            <w:r>
              <w:rPr>
                <w:vanish/>
                <w:color w:val="FFFFFF"/>
                <w:szCs w:val="18"/>
              </w:rPr>
              <w:instrText xml:space="preserve"> LISTNUM \l 1 \s 0 </w:instrText>
            </w:r>
            <w:r>
              <w:rPr>
                <w:vanish/>
                <w:color w:val="FFFFFF"/>
                <w:szCs w:val="18"/>
              </w:rPr>
              <w:fldChar w:fldCharType="end">
                <w:numberingChange w:id="153" w:author="MUSZYNSKI, THOMAS D. (SIERRA 7 INC)" w:date="2024-11-26T07:15:00Z" w:original="0."/>
              </w:fldChar>
            </w:r>
          </w:p>
        </w:tc>
        <w:tc>
          <w:tcPr>
            <w:tcW w:w="6120" w:type="dxa"/>
          </w:tcPr>
          <w:p w14:paraId="6D94C5E2" w14:textId="77777777" w:rsidR="00B51CFF" w:rsidRDefault="00B51CFF" w:rsidP="00DB1D38">
            <w:pPr>
              <w:pStyle w:val="TableText"/>
            </w:pPr>
          </w:p>
        </w:tc>
      </w:tr>
    </w:tbl>
    <w:p w14:paraId="493C01B4" w14:textId="12977876" w:rsidR="007A18CD" w:rsidRDefault="007A18CD" w:rsidP="007A18CD">
      <w:pPr>
        <w:pStyle w:val="Caption"/>
      </w:pPr>
      <w:bookmarkStart w:id="154" w:name="_Ref508779548"/>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7D1829">
        <w:rPr>
          <w:noProof/>
        </w:rPr>
        <w:t>22</w:t>
      </w:r>
      <w:r w:rsidR="004E20BD">
        <w:rPr>
          <w:noProof/>
        </w:rPr>
        <w:fldChar w:fldCharType="end"/>
      </w:r>
      <w:bookmarkEnd w:id="154"/>
      <w:r>
        <w:t>: Update User Roles</w:t>
      </w:r>
    </w:p>
    <w:p w14:paraId="1E1A278A" w14:textId="77777777" w:rsidR="007A18CD" w:rsidRPr="007A18CD" w:rsidRDefault="00057948" w:rsidP="007A18CD">
      <w:pPr>
        <w:pStyle w:val="BodyText"/>
      </w:pPr>
      <w:r>
        <w:rPr>
          <w:noProof/>
        </w:rPr>
        <w:drawing>
          <wp:inline distT="0" distB="0" distL="0" distR="0" wp14:anchorId="5BD8E4F8" wp14:editId="3B569379">
            <wp:extent cx="5939155" cy="3269615"/>
            <wp:effectExtent l="0" t="0" r="4445" b="6985"/>
            <wp:docPr id="124" name="Picture 124" descr="Example of Update User Roles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Picture 124" descr="Example of Update User Roles screen capture"/>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5939155" cy="3269615"/>
                    </a:xfrm>
                    <a:prstGeom prst="rect">
                      <a:avLst/>
                    </a:prstGeom>
                    <a:noFill/>
                    <a:ln>
                      <a:noFill/>
                    </a:ln>
                  </pic:spPr>
                </pic:pic>
              </a:graphicData>
            </a:graphic>
          </wp:inline>
        </w:drawing>
      </w:r>
    </w:p>
    <w:p w14:paraId="6C6BA81B" w14:textId="77777777" w:rsidR="00B51CFF" w:rsidRDefault="00B51CFF" w:rsidP="00B51CFF">
      <w:pPr>
        <w:pStyle w:val="Heading4"/>
      </w:pPr>
      <w:r>
        <w:t>VBECS User Report</w:t>
      </w:r>
      <w:r>
        <w:fldChar w:fldCharType="begin"/>
      </w:r>
      <w:r>
        <w:instrText xml:space="preserve"> XE “VBECS User Report” </w:instrText>
      </w:r>
      <w:r>
        <w:fldChar w:fldCharType="end"/>
      </w:r>
    </w:p>
    <w:p w14:paraId="791CFEE1" w14:textId="77777777" w:rsidR="00B51CFF" w:rsidRDefault="00B51CFF" w:rsidP="00B51CFF">
      <w:pPr>
        <w:pStyle w:val="BodyText"/>
      </w:pPr>
      <w:r>
        <w:t xml:space="preserve">The user may generate a </w:t>
      </w:r>
      <w:r w:rsidR="00F55505">
        <w:t xml:space="preserve">division </w:t>
      </w:r>
      <w:r>
        <w:t xml:space="preserve">report that includes the names, VBECS user IDs, and roles of active users. </w:t>
      </w:r>
      <w:r w:rsidR="005C768D" w:rsidRPr="00EC7489">
        <w:rPr>
          <w:rFonts w:ascii="Wingdings 3" w:hAnsi="Wingdings 3" w:cs="Wingdings"/>
        </w:rPr>
        <w:t></w:t>
      </w:r>
      <w:r w:rsidR="005C768D" w:rsidRPr="00EC7489">
        <w:rPr>
          <w:rFonts w:ascii="Wingdings 3" w:hAnsi="Wingdings 3" w:cs="Wingdings"/>
        </w:rPr>
        <w:t></w:t>
      </w:r>
      <w:r w:rsidR="005C768D" w:rsidRPr="00EC7489">
        <w:rPr>
          <w:rFonts w:ascii="Wingdings 3" w:hAnsi="Wingdings 3" w:cs="Wingdings"/>
        </w:rPr>
        <w:t></w:t>
      </w:r>
      <w:r w:rsidR="005C768D">
        <w:t xml:space="preserve"> </w:t>
      </w:r>
      <w:r w:rsidR="002E7EBF">
        <w:t xml:space="preserve">A </w:t>
      </w:r>
      <w:r w:rsidR="002E7EBF">
        <w:rPr>
          <w:snapToGrid w:val="0"/>
        </w:rPr>
        <w:t>Lead Technologist</w:t>
      </w:r>
      <w:r w:rsidR="002E7EBF">
        <w:t xml:space="preserve"> may generate a report of current VBECS users, by division, that includes the users’ name, user ID, division, and role. </w:t>
      </w:r>
    </w:p>
    <w:p w14:paraId="686AED4E" w14:textId="77777777" w:rsidR="00B51CFF" w:rsidRDefault="00B51CFF" w:rsidP="00B51CFF">
      <w:pPr>
        <w:pStyle w:val="Heading2"/>
      </w:pPr>
      <w:bookmarkStart w:id="155" w:name="_Toc49233584"/>
      <w:bookmarkStart w:id="156" w:name="_Toc61845162"/>
      <w:r>
        <w:br w:type="page"/>
      </w:r>
      <w:bookmarkStart w:id="157" w:name="_Toc203765857"/>
      <w:bookmarkEnd w:id="155"/>
      <w:bookmarkEnd w:id="156"/>
      <w:r>
        <w:lastRenderedPageBreak/>
        <w:t>Component Classes</w:t>
      </w:r>
      <w:bookmarkEnd w:id="157"/>
      <w:r w:rsidRPr="00AB67A6">
        <w:rPr>
          <w:rFonts w:ascii="Arial Bold" w:hAnsi="Arial Bold"/>
          <w:vanish/>
        </w:rPr>
        <w:fldChar w:fldCharType="begin"/>
      </w:r>
      <w:r w:rsidRPr="00AB67A6">
        <w:rPr>
          <w:rFonts w:ascii="Arial Bold" w:hAnsi="Arial Bold"/>
          <w:vanish/>
        </w:rPr>
        <w:instrText xml:space="preserve"> XE “Component Classes” </w:instrText>
      </w:r>
      <w:r w:rsidRPr="00AB67A6">
        <w:rPr>
          <w:rFonts w:ascii="Arial Bold" w:hAnsi="Arial Bold"/>
          <w:vanish/>
        </w:rPr>
        <w:fldChar w:fldCharType="end"/>
      </w:r>
      <w:r w:rsidRPr="00AB67A6">
        <w:rPr>
          <w:rFonts w:ascii="Arial Bold" w:hAnsi="Arial Bold"/>
          <w:vanish/>
        </w:rPr>
        <w:t xml:space="preserve"> UC_50</w:t>
      </w:r>
    </w:p>
    <w:p w14:paraId="691EB501" w14:textId="2BB3B4FA" w:rsidR="00B51CFF" w:rsidRDefault="00B51CFF" w:rsidP="00B51CFF">
      <w:pPr>
        <w:pStyle w:val="BodyText"/>
      </w:pPr>
      <w:r>
        <w:t>The user configures the component class parameters for the selected division.</w:t>
      </w:r>
      <w:r w:rsidR="008D2779">
        <w:t xml:space="preserve"> For more information, see </w:t>
      </w:r>
      <w:r w:rsidR="00EE455E">
        <w:t xml:space="preserve">Appendix </w:t>
      </w:r>
      <w:r w:rsidR="00EE455E">
        <w:rPr>
          <w:noProof/>
        </w:rPr>
        <w:t>G</w:t>
      </w:r>
      <w:r w:rsidR="00EE455E">
        <w:t>: Work Process Flowcharts</w:t>
      </w:r>
      <w:r w:rsidR="008D2779">
        <w:t>.</w:t>
      </w:r>
    </w:p>
    <w:p w14:paraId="5A12E83D" w14:textId="77777777" w:rsidR="00B51CFF" w:rsidRDefault="00B51CFF" w:rsidP="00B51CFF">
      <w:pPr>
        <w:pStyle w:val="Heading4"/>
      </w:pPr>
      <w:r>
        <w:t>Assumptions</w:t>
      </w:r>
    </w:p>
    <w:p w14:paraId="22645630" w14:textId="77777777" w:rsidR="00B51CFF" w:rsidRDefault="00B51CFF" w:rsidP="00B51CFF">
      <w:pPr>
        <w:pStyle w:val="ListBullet"/>
      </w:pPr>
      <w:r>
        <w:t xml:space="preserve">The connection to </w:t>
      </w:r>
      <w:r w:rsidRPr="00CA0045">
        <w:rPr>
          <w:bCs/>
        </w:rPr>
        <w:t>VistA</w:t>
      </w:r>
      <w:r>
        <w:t xml:space="preserve"> is active.</w:t>
      </w:r>
    </w:p>
    <w:p w14:paraId="7E4B23BC" w14:textId="77777777" w:rsidR="00B51CFF" w:rsidRDefault="00B51CFF" w:rsidP="00B51CFF">
      <w:pPr>
        <w:pStyle w:val="ListBullet"/>
      </w:pPr>
      <w:r>
        <w:rPr>
          <w:vanish/>
          <w:spacing w:val="0"/>
        </w:rPr>
        <w:t xml:space="preserve">BR_50.03 </w:t>
      </w:r>
      <w:r>
        <w:t>The WHOLE BLOOD and RED BLOOD CELLS component classes are deployed as requiring current specimen ABO/Rh results before issue and may not be edited.</w:t>
      </w:r>
    </w:p>
    <w:p w14:paraId="23A6DB42" w14:textId="77777777" w:rsidR="00B51CFF" w:rsidRDefault="00B51CFF" w:rsidP="00B51CFF">
      <w:pPr>
        <w:pStyle w:val="ListBullet"/>
      </w:pPr>
      <w:r>
        <w:t xml:space="preserve">The FFP, PLT, CRYO and OTHER component classes do not have a specimen requirement defined at deployment. </w:t>
      </w:r>
    </w:p>
    <w:p w14:paraId="53364579" w14:textId="77777777" w:rsidR="00B51CFF" w:rsidRDefault="00B51CFF" w:rsidP="00B51CFF">
      <w:pPr>
        <w:pStyle w:val="Heading4"/>
      </w:pPr>
      <w:r>
        <w:t>Outcome</w:t>
      </w:r>
    </w:p>
    <w:p w14:paraId="64140C45" w14:textId="77777777" w:rsidR="00B51CFF" w:rsidRDefault="00B51CFF" w:rsidP="00B51CFF">
      <w:pPr>
        <w:pStyle w:val="ListBullet"/>
      </w:pPr>
      <w:r>
        <w:t>Divisions have local settings for all component classes.</w:t>
      </w:r>
    </w:p>
    <w:p w14:paraId="7027A0AF" w14:textId="77777777" w:rsidR="00B51CFF" w:rsidRDefault="00B51CFF" w:rsidP="00B51CFF">
      <w:pPr>
        <w:pStyle w:val="Heading4"/>
      </w:pPr>
      <w:r>
        <w:t>Limitations and Restrictions</w:t>
      </w:r>
    </w:p>
    <w:p w14:paraId="3B4C4FD0" w14:textId="77777777" w:rsidR="00B51CFF" w:rsidRDefault="00B51CFF" w:rsidP="00B51CFF">
      <w:pPr>
        <w:pStyle w:val="ListBullet"/>
      </w:pPr>
      <w:r>
        <w:t xml:space="preserve">The user may not change the specimen requirement for a component class when there are incomplete orders for that component class. </w:t>
      </w:r>
    </w:p>
    <w:p w14:paraId="799EAA50" w14:textId="77777777" w:rsidR="00B51CFF" w:rsidRDefault="00B51CFF" w:rsidP="00B51CFF">
      <w:pPr>
        <w:pStyle w:val="ListBullet"/>
      </w:pPr>
      <w:r>
        <w:t xml:space="preserve">There is no retrospective data entry or user selection </w:t>
      </w:r>
      <w:r w:rsidR="00F468B5">
        <w:t>for this</w:t>
      </w:r>
      <w:r>
        <w:t xml:space="preserve"> </w:t>
      </w:r>
      <w:r w:rsidR="00932460">
        <w:t>option</w:t>
      </w:r>
      <w:r>
        <w:t xml:space="preserve">. </w:t>
      </w:r>
    </w:p>
    <w:p w14:paraId="56F8B167" w14:textId="77777777" w:rsidR="00B51CFF" w:rsidRDefault="00B51CFF" w:rsidP="00B51CFF">
      <w:pPr>
        <w:pStyle w:val="Heading4"/>
      </w:pPr>
      <w:r>
        <w:t>Additional Information</w:t>
      </w:r>
    </w:p>
    <w:p w14:paraId="1DBA9D74" w14:textId="77777777" w:rsidR="00B51CFF" w:rsidRDefault="00B51CFF" w:rsidP="00B51CFF">
      <w:pPr>
        <w:pStyle w:val="ListBullet"/>
      </w:pPr>
      <w:r>
        <w:t xml:space="preserve">None </w:t>
      </w:r>
    </w:p>
    <w:p w14:paraId="1B37273C" w14:textId="77777777" w:rsidR="00B51CFF" w:rsidRDefault="00B51CFF" w:rsidP="00B51CFF">
      <w:pPr>
        <w:pStyle w:val="Heading4"/>
      </w:pPr>
      <w:r>
        <w:t>User Roles with Access to This Option</w:t>
      </w:r>
    </w:p>
    <w:p w14:paraId="2DE8F633" w14:textId="426EC40A" w:rsidR="00B51CFF" w:rsidRDefault="00B51CFF" w:rsidP="00B51CFF">
      <w:pPr>
        <w:pStyle w:val="Roles"/>
        <w:rPr>
          <w:i/>
        </w:rPr>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w:t>
      </w:r>
      <w:r w:rsidR="00BD61F6">
        <w:t>Enhanced Supervisor</w:t>
      </w:r>
    </w:p>
    <w:p w14:paraId="5D39CE5A" w14:textId="77777777" w:rsidR="00B51CFF" w:rsidRDefault="00B51CFF" w:rsidP="00B51CFF">
      <w:pPr>
        <w:pStyle w:val="Heading4"/>
      </w:pPr>
      <w:r>
        <w:t>Component Classes</w:t>
      </w:r>
    </w:p>
    <w:p w14:paraId="0DAE4C02" w14:textId="77777777" w:rsidR="00B51CFF" w:rsidRDefault="00B51CFF" w:rsidP="00B51CFF">
      <w:pPr>
        <w:pStyle w:val="BodyText"/>
      </w:pPr>
      <w:r>
        <w:t>The user configures the parameters for the division’s component classes. These parameters are applied to all blood units that descend from this class. Component classes may be reset when business practices affecting the use of component classes change at a division.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B51CFF" w14:paraId="377DB783" w14:textId="77777777">
        <w:trPr>
          <w:tblHeader/>
        </w:trPr>
        <w:tc>
          <w:tcPr>
            <w:tcW w:w="3240" w:type="dxa"/>
            <w:shd w:val="pct30" w:color="auto" w:fill="FFFFFF"/>
            <w:vAlign w:val="bottom"/>
          </w:tcPr>
          <w:p w14:paraId="72A69F1F" w14:textId="77777777" w:rsidR="00B51CFF" w:rsidRDefault="00B51CFF" w:rsidP="00DB1D38">
            <w:pPr>
              <w:pStyle w:val="TableText"/>
              <w:rPr>
                <w:b/>
              </w:rPr>
            </w:pPr>
            <w:r>
              <w:rPr>
                <w:b/>
              </w:rPr>
              <w:t>User Action</w:t>
            </w:r>
          </w:p>
        </w:tc>
        <w:tc>
          <w:tcPr>
            <w:tcW w:w="6120" w:type="dxa"/>
            <w:shd w:val="pct30" w:color="auto" w:fill="FFFFFF"/>
            <w:vAlign w:val="bottom"/>
          </w:tcPr>
          <w:p w14:paraId="7D336384" w14:textId="77777777" w:rsidR="00B51CFF" w:rsidRDefault="00B51CFF" w:rsidP="00DB1D38">
            <w:pPr>
              <w:pStyle w:val="TableText"/>
              <w:rPr>
                <w:b/>
              </w:rPr>
            </w:pPr>
            <w:r>
              <w:rPr>
                <w:b/>
              </w:rPr>
              <w:t>VBECS</w:t>
            </w:r>
          </w:p>
        </w:tc>
      </w:tr>
      <w:tr w:rsidR="00B51CFF" w14:paraId="61FF3A9A" w14:textId="77777777">
        <w:tc>
          <w:tcPr>
            <w:tcW w:w="3240" w:type="dxa"/>
          </w:tcPr>
          <w:p w14:paraId="6CF60078" w14:textId="77777777" w:rsidR="00B51CFF" w:rsidRDefault="00B51CFF" w:rsidP="00DB1D38">
            <w:pPr>
              <w:pStyle w:val="TableTextNumbers"/>
            </w:pPr>
            <w:r>
              <w:t xml:space="preserve">Select </w:t>
            </w:r>
            <w:r>
              <w:rPr>
                <w:b/>
                <w:bCs/>
              </w:rPr>
              <w:t>Tools</w:t>
            </w:r>
            <w:r>
              <w:t xml:space="preserve"> from the main menu.</w:t>
            </w:r>
          </w:p>
          <w:p w14:paraId="347CDA4E" w14:textId="77777777" w:rsidR="00B51CFF" w:rsidRDefault="00B51CFF" w:rsidP="00DB1D38">
            <w:pPr>
              <w:pStyle w:val="TableTextNumbersContinued"/>
            </w:pPr>
          </w:p>
          <w:p w14:paraId="34CFAC97" w14:textId="4688916D" w:rsidR="00B51CFF" w:rsidRDefault="00B51CFF" w:rsidP="00DB1D38">
            <w:pPr>
              <w:pStyle w:val="TableTextNumbersContinued"/>
            </w:pPr>
            <w:r>
              <w:t xml:space="preserve">Select </w:t>
            </w:r>
            <w:r>
              <w:rPr>
                <w:b/>
              </w:rPr>
              <w:t>Component Classes</w:t>
            </w:r>
            <w:r w:rsidR="00255293" w:rsidRPr="00255293">
              <w:t xml:space="preserve"> (</w:t>
            </w:r>
            <w:r w:rsidR="00EE455E">
              <w:t xml:space="preserve">Figure </w:t>
            </w:r>
            <w:r w:rsidR="00EE455E">
              <w:rPr>
                <w:noProof/>
              </w:rPr>
              <w:t>22</w:t>
            </w:r>
            <w:r w:rsidR="00255293">
              <w:t>)</w:t>
            </w:r>
            <w:r>
              <w:t>.</w:t>
            </w:r>
          </w:p>
        </w:tc>
        <w:tc>
          <w:tcPr>
            <w:tcW w:w="6120" w:type="dxa"/>
          </w:tcPr>
          <w:p w14:paraId="1E1CF6EC" w14:textId="77777777" w:rsidR="00B51CFF" w:rsidRDefault="00B51CFF" w:rsidP="00DB1D38">
            <w:pPr>
              <w:pStyle w:val="TableTextBullet"/>
            </w:pPr>
            <w:r>
              <w:t>Displays options for processing administrative functions.</w:t>
            </w:r>
          </w:p>
          <w:p w14:paraId="58397BF2" w14:textId="77777777" w:rsidR="00B51CFF" w:rsidRDefault="00B51CFF" w:rsidP="00DB1D38">
            <w:pPr>
              <w:pStyle w:val="TableTextBullet"/>
            </w:pPr>
            <w:r>
              <w:t>Lists component classes.</w:t>
            </w:r>
          </w:p>
          <w:p w14:paraId="3054E64E" w14:textId="77777777" w:rsidR="00B51CFF" w:rsidRDefault="00B51CFF" w:rsidP="00DB1D38">
            <w:pPr>
              <w:pStyle w:val="TableTextBullet"/>
            </w:pPr>
            <w:r>
              <w:t>Displays options for configuring division component classes:</w:t>
            </w:r>
          </w:p>
          <w:p w14:paraId="44140DAF" w14:textId="77777777" w:rsidR="00B51CFF" w:rsidRDefault="00B51CFF" w:rsidP="00DB1D38">
            <w:pPr>
              <w:pStyle w:val="TableTextBullet1"/>
            </w:pPr>
            <w:r>
              <w:t>Require Current Specimen ABO/Rh Results?</w:t>
            </w:r>
          </w:p>
          <w:p w14:paraId="505DDA20" w14:textId="77777777" w:rsidR="00B51CFF" w:rsidRDefault="0052794C" w:rsidP="00DB1D38">
            <w:pPr>
              <w:pStyle w:val="TableTextBullet1"/>
            </w:pPr>
            <w:r>
              <w:t>Maximum Transfusion Time.</w:t>
            </w:r>
          </w:p>
          <w:p w14:paraId="3B85D883" w14:textId="77777777" w:rsidR="00B51CFF" w:rsidRDefault="00B51CFF" w:rsidP="00DB1D38">
            <w:pPr>
              <w:pStyle w:val="TableTextBullet"/>
            </w:pPr>
            <w:r>
              <w:t>Displays options for defining inappropriate request indicators.</w:t>
            </w:r>
          </w:p>
          <w:p w14:paraId="18D00018" w14:textId="77777777" w:rsidR="00B51CFF" w:rsidRDefault="00B51CFF" w:rsidP="00DB1D38">
            <w:pPr>
              <w:pStyle w:val="TableText"/>
              <w:rPr>
                <w:b/>
                <w:bCs/>
                <w:szCs w:val="18"/>
              </w:rPr>
            </w:pPr>
          </w:p>
          <w:p w14:paraId="7EA05EC6" w14:textId="5C01470C" w:rsidR="00B51CFF" w:rsidRDefault="00B51CFF" w:rsidP="00DB1D38">
            <w:pPr>
              <w:pStyle w:val="TableText"/>
              <w:rPr>
                <w:b/>
                <w:bCs/>
                <w:szCs w:val="18"/>
              </w:rPr>
            </w:pPr>
            <w:r>
              <w:rPr>
                <w:b/>
                <w:bCs/>
                <w:szCs w:val="18"/>
              </w:rPr>
              <w:t>NOTES</w:t>
            </w:r>
          </w:p>
          <w:p w14:paraId="6960CBC3" w14:textId="77777777" w:rsidR="00B51CFF" w:rsidRDefault="00B51CFF" w:rsidP="00DB1D38">
            <w:pPr>
              <w:pStyle w:val="NotesText"/>
            </w:pPr>
          </w:p>
          <w:p w14:paraId="4175DF2B" w14:textId="4AEF580B" w:rsidR="00B51CFF" w:rsidRDefault="00B51CFF" w:rsidP="006A576D">
            <w:pPr>
              <w:pStyle w:val="NotesText"/>
            </w:pPr>
            <w:r>
              <w:t xml:space="preserve">See </w:t>
            </w:r>
            <w:r w:rsidR="00EE455E">
              <w:t xml:space="preserve">Appendix </w:t>
            </w:r>
            <w:r w:rsidR="00EE455E">
              <w:rPr>
                <w:noProof/>
              </w:rPr>
              <w:t>B</w:t>
            </w:r>
            <w:r>
              <w:t>:</w:t>
            </w:r>
            <w:r w:rsidR="006A576D">
              <w:t xml:space="preserve"> </w:t>
            </w:r>
            <w:r w:rsidR="00EE455E" w:rsidRPr="00575E6D">
              <w:t xml:space="preserve">Table </w:t>
            </w:r>
            <w:r w:rsidR="00EE455E">
              <w:rPr>
                <w:noProof/>
              </w:rPr>
              <w:t>19</w:t>
            </w:r>
            <w:r w:rsidR="00EE455E" w:rsidRPr="00575E6D">
              <w:t xml:space="preserve">: </w:t>
            </w:r>
            <w:r w:rsidR="00EE455E" w:rsidRPr="00575E6D">
              <w:rPr>
                <w:vanish/>
              </w:rPr>
              <w:t xml:space="preserve">PT_1.06 </w:t>
            </w:r>
            <w:r w:rsidR="00EE455E" w:rsidRPr="00575E6D">
              <w:t>CPRS Orderable Blood Components (Component Classes) Mapped to ICCBBA Component Classes</w:t>
            </w:r>
            <w:r w:rsidR="006A576D">
              <w:t>.</w:t>
            </w:r>
          </w:p>
        </w:tc>
      </w:tr>
      <w:tr w:rsidR="00B51CFF" w14:paraId="0D077E49" w14:textId="77777777" w:rsidTr="007E500E">
        <w:trPr>
          <w:cantSplit/>
        </w:trPr>
        <w:tc>
          <w:tcPr>
            <w:tcW w:w="3240" w:type="dxa"/>
          </w:tcPr>
          <w:p w14:paraId="177818D0" w14:textId="77777777" w:rsidR="00B51CFF" w:rsidRDefault="00B51CFF" w:rsidP="00DB1D38">
            <w:pPr>
              <w:pStyle w:val="TableTextNumbers"/>
            </w:pPr>
            <w:r>
              <w:lastRenderedPageBreak/>
              <w:t>Select a class from the Select Component Class list.</w:t>
            </w:r>
          </w:p>
          <w:p w14:paraId="755CA87E" w14:textId="77777777" w:rsidR="00B51CFF" w:rsidRDefault="00B51CFF" w:rsidP="00DB1D38">
            <w:pPr>
              <w:pStyle w:val="TableTextNumbersContinued"/>
              <w:rPr>
                <w:b/>
                <w:bCs/>
              </w:rPr>
            </w:pPr>
          </w:p>
          <w:p w14:paraId="7EB8EE2B" w14:textId="77777777" w:rsidR="00B51CFF" w:rsidRDefault="00B51CFF" w:rsidP="00DB1D38">
            <w:pPr>
              <w:pStyle w:val="TableTextNumbersContinued"/>
            </w:pPr>
            <w:r>
              <w:t xml:space="preserve">Click </w:t>
            </w:r>
            <w:r>
              <w:rPr>
                <w:b/>
              </w:rPr>
              <w:t>OK</w:t>
            </w:r>
            <w:r>
              <w:t xml:space="preserve"> to accept the list, or click the </w:t>
            </w:r>
            <w:r>
              <w:rPr>
                <w:b/>
              </w:rPr>
              <w:t xml:space="preserve">Require Current Specimen ABO/Rh Results? </w:t>
            </w:r>
            <w:r w:rsidRPr="00D1100E">
              <w:t>check box</w:t>
            </w:r>
            <w:r>
              <w:t>, when appropriate.</w:t>
            </w:r>
          </w:p>
        </w:tc>
        <w:tc>
          <w:tcPr>
            <w:tcW w:w="6120" w:type="dxa"/>
          </w:tcPr>
          <w:p w14:paraId="1795E654" w14:textId="77777777" w:rsidR="00B51CFF" w:rsidRDefault="00B51CFF" w:rsidP="00DB1D38">
            <w:pPr>
              <w:pStyle w:val="TableTextBullet"/>
            </w:pPr>
            <w:r>
              <w:t xml:space="preserve">Requires current specimen ABO/Rh results for issue. </w:t>
            </w:r>
          </w:p>
          <w:p w14:paraId="6CB1DDFC" w14:textId="77777777" w:rsidR="00B51CFF" w:rsidRDefault="00B51CFF" w:rsidP="00DB1D38">
            <w:pPr>
              <w:pStyle w:val="TableTextBullet"/>
            </w:pPr>
            <w:r>
              <w:t xml:space="preserve">Defines the maximum transfusion times. </w:t>
            </w:r>
          </w:p>
          <w:p w14:paraId="7E9DF299" w14:textId="77777777" w:rsidR="00B51CFF" w:rsidRDefault="00B51CFF" w:rsidP="00DB1D38">
            <w:pPr>
              <w:pStyle w:val="TableTextBullet"/>
            </w:pPr>
            <w:r>
              <w:t>Defines inappropriate request indicators.</w:t>
            </w:r>
          </w:p>
          <w:p w14:paraId="0C70C0B6" w14:textId="77777777" w:rsidR="00B51CFF" w:rsidRDefault="00B51CFF" w:rsidP="00DB1D38">
            <w:pPr>
              <w:pStyle w:val="TableTextBullet"/>
            </w:pPr>
            <w:r>
              <w:t>Allows the user to edit this parameter for component classes that do not contain only red blood cells.</w:t>
            </w:r>
          </w:p>
          <w:p w14:paraId="5C9DB399" w14:textId="77777777" w:rsidR="00B51CFF" w:rsidRDefault="00B51CFF" w:rsidP="00DB1D38">
            <w:pPr>
              <w:pStyle w:val="TableTextBullet"/>
            </w:pPr>
            <w:r>
              <w:t>Saves the component to the division list.</w:t>
            </w:r>
          </w:p>
          <w:p w14:paraId="28FFD83D" w14:textId="77777777" w:rsidR="00B51CFF" w:rsidRDefault="00B51CFF" w:rsidP="00DB1D38">
            <w:pPr>
              <w:pStyle w:val="TableText"/>
            </w:pPr>
          </w:p>
          <w:p w14:paraId="7A1765F6" w14:textId="380F86A1" w:rsidR="00B51CFF" w:rsidRDefault="00B51CFF" w:rsidP="00DB1D38">
            <w:pPr>
              <w:pStyle w:val="TableText"/>
              <w:rPr>
                <w:b/>
                <w:bCs/>
                <w:szCs w:val="18"/>
              </w:rPr>
            </w:pPr>
            <w:r>
              <w:rPr>
                <w:b/>
                <w:bCs/>
                <w:szCs w:val="18"/>
              </w:rPr>
              <w:t>NOTES</w:t>
            </w:r>
          </w:p>
          <w:p w14:paraId="6EAF8B58" w14:textId="77777777" w:rsidR="00B51CFF" w:rsidRDefault="00B51CFF" w:rsidP="00DB1D38">
            <w:pPr>
              <w:pStyle w:val="NotesText"/>
            </w:pPr>
          </w:p>
          <w:p w14:paraId="5F81AE45" w14:textId="77777777" w:rsidR="00B51CFF" w:rsidRDefault="00B51CFF" w:rsidP="00DB1D38">
            <w:pPr>
              <w:pStyle w:val="NotesText"/>
            </w:pPr>
            <w:r>
              <w:t>Component class configuration is required. Component classes: RED BLOOD CELLS, FFP, CRYO, PLT, WHOLE BLOOD, and OTHER.</w:t>
            </w:r>
          </w:p>
        </w:tc>
      </w:tr>
      <w:tr w:rsidR="00B51CFF" w14:paraId="36CC9029" w14:textId="77777777">
        <w:tc>
          <w:tcPr>
            <w:tcW w:w="3240" w:type="dxa"/>
          </w:tcPr>
          <w:p w14:paraId="73847B9A" w14:textId="77777777" w:rsidR="00B51CFF" w:rsidRDefault="00B51CFF" w:rsidP="00DB1D38">
            <w:pPr>
              <w:pStyle w:val="TableTextNumbers"/>
            </w:pPr>
            <w:r>
              <w:t>Edit the maximum transfusion time.</w:t>
            </w:r>
          </w:p>
        </w:tc>
        <w:tc>
          <w:tcPr>
            <w:tcW w:w="6120" w:type="dxa"/>
          </w:tcPr>
          <w:p w14:paraId="3C86AEEB" w14:textId="77777777" w:rsidR="00B51CFF" w:rsidRDefault="00B51CFF" w:rsidP="00DB1D38">
            <w:pPr>
              <w:pStyle w:val="TableText"/>
            </w:pPr>
          </w:p>
          <w:p w14:paraId="15F13D79" w14:textId="46AC9E36" w:rsidR="00B51CFF" w:rsidRDefault="00B51CFF" w:rsidP="00DB1D38">
            <w:pPr>
              <w:pStyle w:val="TableText"/>
              <w:rPr>
                <w:b/>
                <w:bCs/>
                <w:szCs w:val="18"/>
              </w:rPr>
            </w:pPr>
            <w:r>
              <w:rPr>
                <w:b/>
                <w:bCs/>
                <w:szCs w:val="18"/>
              </w:rPr>
              <w:t>NOTES</w:t>
            </w:r>
          </w:p>
          <w:p w14:paraId="62D00519" w14:textId="77777777" w:rsidR="00B51CFF" w:rsidRDefault="00B51CFF" w:rsidP="00DB1D38">
            <w:pPr>
              <w:pStyle w:val="NotesText"/>
            </w:pPr>
          </w:p>
          <w:p w14:paraId="61608E7C" w14:textId="77777777" w:rsidR="00B51CFF" w:rsidRDefault="00B51CFF" w:rsidP="00DB1D38">
            <w:pPr>
              <w:pStyle w:val="NotesText"/>
            </w:pPr>
            <w:r w:rsidRPr="00C21893">
              <w:rPr>
                <w:rFonts w:cs="Arial"/>
                <w:vanish/>
                <w:szCs w:val="18"/>
              </w:rPr>
              <w:t xml:space="preserve">BR_50.04 </w:t>
            </w:r>
            <w:r w:rsidRPr="00C21893">
              <w:rPr>
                <w:rFonts w:cs="Arial"/>
                <w:szCs w:val="18"/>
              </w:rPr>
              <w:t>V</w:t>
            </w:r>
            <w:r>
              <w:t>BECS records the maximum transfusion time from the transfusion start to the transfusion end time in minutes with a default of 270 minutes. The user may edit the maximum transfusion time to a minimum time of 5 minutes and a maximum time of 999 minutes.</w:t>
            </w:r>
          </w:p>
          <w:p w14:paraId="5047154B" w14:textId="77777777" w:rsidR="00B51CFF" w:rsidRDefault="00B51CFF" w:rsidP="00DB1D38">
            <w:pPr>
              <w:pStyle w:val="NotesText"/>
            </w:pPr>
          </w:p>
          <w:p w14:paraId="5208CDD0" w14:textId="77777777" w:rsidR="00B51CFF" w:rsidRDefault="00B51CFF" w:rsidP="00DB1D38">
            <w:pPr>
              <w:pStyle w:val="NotesText"/>
            </w:pPr>
            <w:r>
              <w:t xml:space="preserve">VBECS uses the maximum transfusion times in minutes to determine whether the time used to transfuse a unit of blood is inappropriate for a class. </w:t>
            </w:r>
          </w:p>
        </w:tc>
      </w:tr>
      <w:tr w:rsidR="00B51CFF" w14:paraId="0BA631FE" w14:textId="77777777">
        <w:tc>
          <w:tcPr>
            <w:tcW w:w="3240" w:type="dxa"/>
          </w:tcPr>
          <w:p w14:paraId="60C34870" w14:textId="77777777" w:rsidR="00B51CFF" w:rsidRDefault="00B51CFF" w:rsidP="00DB1D38">
            <w:pPr>
              <w:pStyle w:val="TableTextNumbers"/>
            </w:pPr>
            <w:r>
              <w:t>Define the inappropriate request indicators.</w:t>
            </w:r>
          </w:p>
          <w:p w14:paraId="3EBEDED5" w14:textId="77777777" w:rsidR="00B51CFF" w:rsidRDefault="00B51CFF" w:rsidP="00DB1D38">
            <w:pPr>
              <w:pStyle w:val="TableTextNumbersContinued"/>
              <w:rPr>
                <w:b/>
                <w:bCs/>
              </w:rPr>
            </w:pPr>
          </w:p>
          <w:p w14:paraId="3B776BAB" w14:textId="77777777" w:rsidR="00B51CFF" w:rsidRDefault="00B51CFF" w:rsidP="00DB1D38">
            <w:pPr>
              <w:pStyle w:val="TableTextNumbersContinued"/>
            </w:pPr>
            <w:r>
              <w:t xml:space="preserve">Click the </w:t>
            </w:r>
            <w:r w:rsidR="00A6373D">
              <w:rPr>
                <w:b/>
              </w:rPr>
              <w:t>find</w:t>
            </w:r>
            <w:r w:rsidRPr="00BF2E41">
              <w:t xml:space="preserve"> button</w:t>
            </w:r>
            <w:r>
              <w:t xml:space="preserve"> to search for a new laboratory test name.</w:t>
            </w:r>
          </w:p>
          <w:p w14:paraId="6F6A543D" w14:textId="77777777" w:rsidR="00B51CFF" w:rsidRDefault="00B51CFF" w:rsidP="00DB1D38">
            <w:pPr>
              <w:pStyle w:val="TableTextNumbersContinued"/>
            </w:pPr>
          </w:p>
          <w:p w14:paraId="5D2E8F2F" w14:textId="77777777" w:rsidR="00B51CFF" w:rsidRDefault="00B51CFF" w:rsidP="00DB1D38">
            <w:pPr>
              <w:pStyle w:val="TableTextNumbersContinued"/>
            </w:pPr>
            <w:r>
              <w:t>Enter a partial lab</w:t>
            </w:r>
            <w:r w:rsidR="008632FE">
              <w:t>oratory</w:t>
            </w:r>
            <w:r>
              <w:t xml:space="preserve"> test name and click </w:t>
            </w:r>
            <w:r w:rsidR="00173187" w:rsidRPr="00173187">
              <w:rPr>
                <w:b/>
              </w:rPr>
              <w:t>Search</w:t>
            </w:r>
            <w:r>
              <w:t>.</w:t>
            </w:r>
          </w:p>
          <w:p w14:paraId="5E37F4FC" w14:textId="77777777" w:rsidR="00B51CFF" w:rsidRDefault="00B51CFF" w:rsidP="00DB1D38">
            <w:pPr>
              <w:pStyle w:val="TableTextNumbersContinued"/>
            </w:pPr>
          </w:p>
          <w:p w14:paraId="23BE4B81" w14:textId="77777777" w:rsidR="00B51CFF" w:rsidRDefault="00B51CFF" w:rsidP="00DB1D38">
            <w:pPr>
              <w:pStyle w:val="TableTextNumbersContinued"/>
            </w:pPr>
            <w:r>
              <w:t>Select a lab</w:t>
            </w:r>
            <w:r w:rsidR="008632FE">
              <w:t>oratory</w:t>
            </w:r>
            <w:r>
              <w:t xml:space="preserve"> test name and click </w:t>
            </w:r>
            <w:r>
              <w:rPr>
                <w:b/>
              </w:rPr>
              <w:t>OK</w:t>
            </w:r>
            <w:r>
              <w:t xml:space="preserve"> to add it.</w:t>
            </w:r>
          </w:p>
          <w:p w14:paraId="5663532D" w14:textId="77777777" w:rsidR="00B51CFF" w:rsidRDefault="00B51CFF" w:rsidP="00DB1D38">
            <w:pPr>
              <w:pStyle w:val="TableTextNumbersContinued"/>
            </w:pPr>
          </w:p>
          <w:p w14:paraId="3B7AD1D8" w14:textId="77777777" w:rsidR="00B51CFF" w:rsidRDefault="00B51CFF" w:rsidP="00DB1D38">
            <w:pPr>
              <w:pStyle w:val="TableTextNumbersContinued"/>
            </w:pPr>
            <w:r>
              <w:t xml:space="preserve">Click the </w:t>
            </w:r>
            <w:r>
              <w:rPr>
                <w:b/>
              </w:rPr>
              <w:t xml:space="preserve">Show Inactive Inappropriate Request Indicators </w:t>
            </w:r>
            <w:r w:rsidRPr="00D1100E">
              <w:t>check box</w:t>
            </w:r>
            <w:r>
              <w:t>, if desired.</w:t>
            </w:r>
          </w:p>
        </w:tc>
        <w:tc>
          <w:tcPr>
            <w:tcW w:w="6120" w:type="dxa"/>
          </w:tcPr>
          <w:p w14:paraId="71D125E8" w14:textId="77777777" w:rsidR="00B51CFF" w:rsidRDefault="00B51CFF" w:rsidP="00DB1D38">
            <w:pPr>
              <w:pStyle w:val="TableTextBullet"/>
            </w:pPr>
            <w:r>
              <w:t>Facilitates data entry of one or more inappropriate request indicators:</w:t>
            </w:r>
          </w:p>
          <w:p w14:paraId="7FA81855" w14:textId="77777777" w:rsidR="00B51CFF" w:rsidRDefault="00B51CFF" w:rsidP="00DB1D38">
            <w:pPr>
              <w:pStyle w:val="TableTextBullet1"/>
            </w:pPr>
            <w:r>
              <w:t>Laboratory Test Name</w:t>
            </w:r>
          </w:p>
          <w:p w14:paraId="6EBA7A2C" w14:textId="77777777" w:rsidR="00B51CFF" w:rsidRDefault="00B51CFF" w:rsidP="00DB1D38">
            <w:pPr>
              <w:pStyle w:val="TableTextBullet1"/>
            </w:pPr>
            <w:r>
              <w:t>Specimen Type</w:t>
            </w:r>
          </w:p>
          <w:p w14:paraId="02EDEF96" w14:textId="77777777" w:rsidR="00B51CFF" w:rsidRDefault="00B51CFF" w:rsidP="00DB1D38">
            <w:pPr>
              <w:pStyle w:val="TableTextBullet1"/>
            </w:pPr>
            <w:r>
              <w:t>Threshold Result</w:t>
            </w:r>
          </w:p>
          <w:p w14:paraId="7D0CFBDF" w14:textId="77777777" w:rsidR="00B51CFF" w:rsidRDefault="00B51CFF" w:rsidP="00DB1D38">
            <w:pPr>
              <w:pStyle w:val="TableTextBullet"/>
            </w:pPr>
            <w:r>
              <w:t>Uses VistALink to retrieve the laboratory test name and specimen type indicators. The user enters the threshold result indicator.</w:t>
            </w:r>
          </w:p>
          <w:p w14:paraId="7627848F" w14:textId="77777777" w:rsidR="00B51CFF" w:rsidRDefault="00B51CFF" w:rsidP="00DB1D38">
            <w:pPr>
              <w:pStyle w:val="TableTextBullet"/>
            </w:pPr>
            <w:r>
              <w:t>Displays the entry and allows the user to edit it.</w:t>
            </w:r>
          </w:p>
          <w:p w14:paraId="65155E1A" w14:textId="77777777" w:rsidR="008632FE" w:rsidRDefault="00595334" w:rsidP="00DB1D38">
            <w:pPr>
              <w:pStyle w:val="TableTextBullet"/>
            </w:pPr>
            <w:r>
              <w:t>Displays inactive tests and allows the user to reactivate them.</w:t>
            </w:r>
          </w:p>
          <w:p w14:paraId="7FC80AE5" w14:textId="77777777" w:rsidR="00B51CFF" w:rsidRDefault="00B51CFF" w:rsidP="00DB1D38">
            <w:pPr>
              <w:pStyle w:val="TableText"/>
            </w:pPr>
          </w:p>
          <w:p w14:paraId="3856F245" w14:textId="673E61A5" w:rsidR="00B51CFF" w:rsidRDefault="00B51CFF" w:rsidP="00DB1D38">
            <w:pPr>
              <w:pStyle w:val="TableText"/>
              <w:rPr>
                <w:b/>
                <w:bCs/>
                <w:szCs w:val="18"/>
              </w:rPr>
            </w:pPr>
            <w:r>
              <w:rPr>
                <w:b/>
                <w:bCs/>
                <w:szCs w:val="18"/>
              </w:rPr>
              <w:t>NOTES</w:t>
            </w:r>
          </w:p>
          <w:p w14:paraId="7A991D4D" w14:textId="77777777" w:rsidR="00B51CFF" w:rsidRDefault="00B51CFF" w:rsidP="00DB1D38">
            <w:pPr>
              <w:pStyle w:val="NotesText"/>
            </w:pPr>
          </w:p>
          <w:p w14:paraId="5F0603D0" w14:textId="77777777" w:rsidR="00B51CFF" w:rsidRDefault="00B51CFF" w:rsidP="00DB1D38">
            <w:pPr>
              <w:pStyle w:val="NotesText"/>
            </w:pPr>
            <w:r w:rsidRPr="00E274BF">
              <w:rPr>
                <w:rFonts w:cs="Arial"/>
                <w:vanish/>
                <w:szCs w:val="18"/>
              </w:rPr>
              <w:t>BR_33.01</w:t>
            </w:r>
            <w:r w:rsidRPr="009660C3">
              <w:rPr>
                <w:vanish/>
                <w:szCs w:val="18"/>
              </w:rPr>
              <w:t xml:space="preserve"> </w:t>
            </w:r>
            <w:r>
              <w:t xml:space="preserve">VBECS uses the laboratory test name as the only input parameter to search for all possible matches and return the Laboratory Test Name, Specimen Type(s), and </w:t>
            </w:r>
            <w:r w:rsidRPr="00CA0045">
              <w:t>VistA</w:t>
            </w:r>
            <w:r>
              <w:t xml:space="preserve"> Lab Test </w:t>
            </w:r>
            <w:r w:rsidR="001A1559">
              <w:t>Internal Entry Number (</w:t>
            </w:r>
            <w:r>
              <w:t>IEN</w:t>
            </w:r>
            <w:r w:rsidR="001A1559">
              <w:t>)</w:t>
            </w:r>
            <w:r>
              <w:t>.</w:t>
            </w:r>
          </w:p>
          <w:p w14:paraId="04CD31AF" w14:textId="77777777" w:rsidR="00B51CFF" w:rsidRDefault="00B51CFF" w:rsidP="00DB1D38">
            <w:pPr>
              <w:pStyle w:val="NotesText"/>
            </w:pPr>
          </w:p>
          <w:p w14:paraId="4EF7C85C" w14:textId="77777777" w:rsidR="00B51CFF" w:rsidRDefault="00B51CFF" w:rsidP="00DB1D38">
            <w:pPr>
              <w:pStyle w:val="NotesText"/>
            </w:pPr>
            <w:r w:rsidRPr="00E274BF">
              <w:rPr>
                <w:rFonts w:cs="Arial"/>
                <w:vanish/>
                <w:szCs w:val="18"/>
              </w:rPr>
              <w:t>BR_50.05</w:t>
            </w:r>
            <w:r w:rsidRPr="009660C3">
              <w:rPr>
                <w:vanish/>
                <w:szCs w:val="18"/>
              </w:rPr>
              <w:t xml:space="preserve"> </w:t>
            </w:r>
            <w:r>
              <w:t>A numeric threshold result must include “&lt;” or “&gt;”and a numerical result, e.g., “&gt;8.0.”</w:t>
            </w:r>
          </w:p>
          <w:p w14:paraId="12CE5DB2" w14:textId="77777777" w:rsidR="00B51CFF" w:rsidRDefault="00B51CFF" w:rsidP="00DB1D38">
            <w:pPr>
              <w:pStyle w:val="NotesText"/>
            </w:pPr>
          </w:p>
          <w:p w14:paraId="11ED3B33" w14:textId="77777777" w:rsidR="00B51CFF" w:rsidRDefault="00B51CFF" w:rsidP="00DB1D38">
            <w:pPr>
              <w:pStyle w:val="NotesText"/>
            </w:pPr>
            <w:r>
              <w:t xml:space="preserve">The settings here indicate predetermined levels used to determine the appropriateness of a component order. Settings are different for each component class. The example of a “&gt;8.0” hemoglobin level is set according to local policy. </w:t>
            </w:r>
          </w:p>
          <w:p w14:paraId="5504DC95" w14:textId="77777777" w:rsidR="00B51CFF" w:rsidRDefault="00B51CFF" w:rsidP="00DB1D38">
            <w:pPr>
              <w:pStyle w:val="NotesText"/>
            </w:pPr>
          </w:p>
          <w:p w14:paraId="368F1DCA" w14:textId="77777777" w:rsidR="00B51CFF" w:rsidRDefault="00B51CFF" w:rsidP="00DB1D38">
            <w:pPr>
              <w:pStyle w:val="NotesText"/>
            </w:pPr>
            <w:r>
              <w:t>An example of an inappropriate request indicator:</w:t>
            </w:r>
          </w:p>
          <w:p w14:paraId="2B76AA2C" w14:textId="77777777" w:rsidR="00B51CFF" w:rsidRDefault="00B51CFF" w:rsidP="00DB1D38">
            <w:pPr>
              <w:pStyle w:val="NotesTextBullet"/>
              <w:rPr>
                <w:b/>
              </w:rPr>
            </w:pPr>
            <w:r>
              <w:t>The test name is “HGB.”</w:t>
            </w:r>
          </w:p>
          <w:p w14:paraId="026B2105" w14:textId="77777777" w:rsidR="00B51CFF" w:rsidRDefault="00B51CFF" w:rsidP="00DB1D38">
            <w:pPr>
              <w:pStyle w:val="NotesTextBullet"/>
            </w:pPr>
            <w:r>
              <w:t>The specimen is entered as “Blood.”</w:t>
            </w:r>
          </w:p>
          <w:p w14:paraId="62DE77C8" w14:textId="77777777" w:rsidR="00B51CFF" w:rsidRDefault="00B51CFF" w:rsidP="00DB1D38">
            <w:pPr>
              <w:pStyle w:val="NotesTextBullet"/>
              <w:rPr>
                <w:b/>
              </w:rPr>
            </w:pPr>
            <w:r>
              <w:t>The threshold result is set to “&gt;8.0.”</w:t>
            </w:r>
          </w:p>
        </w:tc>
      </w:tr>
      <w:tr w:rsidR="00B51CFF" w14:paraId="5A316669" w14:textId="77777777">
        <w:tc>
          <w:tcPr>
            <w:tcW w:w="3240" w:type="dxa"/>
          </w:tcPr>
          <w:p w14:paraId="01D88AD5" w14:textId="77777777" w:rsidR="00B51CFF" w:rsidRDefault="00B51CFF" w:rsidP="00DB1D38">
            <w:pPr>
              <w:pStyle w:val="TableTextNumbers"/>
            </w:pPr>
            <w:r>
              <w:t xml:space="preserve">Click </w:t>
            </w:r>
            <w:r>
              <w:rPr>
                <w:b/>
              </w:rPr>
              <w:t>Add</w:t>
            </w:r>
            <w:r>
              <w:t xml:space="preserve"> to add the VBECS component class site parameters to the database.</w:t>
            </w:r>
          </w:p>
        </w:tc>
        <w:tc>
          <w:tcPr>
            <w:tcW w:w="6120" w:type="dxa"/>
          </w:tcPr>
          <w:p w14:paraId="6B52D1A3" w14:textId="77777777" w:rsidR="00B51CFF" w:rsidRDefault="00B51CFF" w:rsidP="00DB1D38">
            <w:pPr>
              <w:pStyle w:val="TableTextBullet"/>
            </w:pPr>
            <w:r>
              <w:t>Displays the component class parameters and allows the user to edit them before saving.</w:t>
            </w:r>
          </w:p>
          <w:p w14:paraId="63414643" w14:textId="77777777" w:rsidR="00B51CFF" w:rsidRDefault="00B51CFF" w:rsidP="00DB1D38">
            <w:pPr>
              <w:pStyle w:val="TableText"/>
            </w:pPr>
          </w:p>
        </w:tc>
      </w:tr>
      <w:tr w:rsidR="00B51CFF" w14:paraId="7FBE5D3E" w14:textId="77777777">
        <w:tc>
          <w:tcPr>
            <w:tcW w:w="3240" w:type="dxa"/>
          </w:tcPr>
          <w:p w14:paraId="34329D77" w14:textId="769ED8B9" w:rsidR="00B51CFF" w:rsidRDefault="00047C63" w:rsidP="00DB1D38">
            <w:pPr>
              <w:pStyle w:val="TableTextNumbers"/>
            </w:pPr>
            <w:r>
              <w:lastRenderedPageBreak/>
              <w:t>Repeat Steps 2</w:t>
            </w:r>
            <w:r w:rsidR="004F5589">
              <w:t xml:space="preserve"> through </w:t>
            </w:r>
            <w:r>
              <w:t>5</w:t>
            </w:r>
            <w:r w:rsidR="00B51CFF">
              <w:t xml:space="preserve"> for each component class to be edited.</w:t>
            </w:r>
          </w:p>
        </w:tc>
        <w:tc>
          <w:tcPr>
            <w:tcW w:w="6120" w:type="dxa"/>
          </w:tcPr>
          <w:p w14:paraId="14CFB779" w14:textId="77777777" w:rsidR="00B51CFF" w:rsidRDefault="00B51CFF" w:rsidP="00DB1D38">
            <w:pPr>
              <w:pStyle w:val="TableText"/>
            </w:pPr>
          </w:p>
        </w:tc>
      </w:tr>
      <w:tr w:rsidR="00B51CFF" w14:paraId="1DAAF0F9" w14:textId="77777777">
        <w:tc>
          <w:tcPr>
            <w:tcW w:w="3240" w:type="dxa"/>
          </w:tcPr>
          <w:p w14:paraId="450C0DE2" w14:textId="77777777" w:rsidR="00B51CFF" w:rsidRDefault="00B51CFF" w:rsidP="00DB1D38">
            <w:pPr>
              <w:pStyle w:val="TableTextNumbers"/>
            </w:pPr>
            <w:r>
              <w:t xml:space="preserve">Click </w:t>
            </w:r>
            <w:r>
              <w:rPr>
                <w:b/>
              </w:rPr>
              <w:t>OK</w:t>
            </w:r>
            <w:r>
              <w:t xml:space="preserve"> to save.</w:t>
            </w:r>
          </w:p>
          <w:p w14:paraId="7A7D6267" w14:textId="77777777" w:rsidR="00B51CFF" w:rsidRDefault="00B51CFF" w:rsidP="00DB1D38">
            <w:pPr>
              <w:pStyle w:val="TableTextNumbersContinued"/>
              <w:rPr>
                <w:b/>
                <w:bCs/>
              </w:rPr>
            </w:pPr>
          </w:p>
          <w:p w14:paraId="3734F850" w14:textId="77777777" w:rsidR="00B51CFF" w:rsidRDefault="00B51CFF" w:rsidP="00DB1D38">
            <w:pPr>
              <w:pStyle w:val="TableTextNumbersContinued"/>
              <w:rPr>
                <w:b/>
                <w:bCs/>
              </w:rPr>
            </w:pPr>
            <w:r>
              <w:rPr>
                <w:rStyle w:val="TableTextNumbersChar"/>
              </w:rPr>
              <w:t xml:space="preserve">Click </w:t>
            </w:r>
            <w:r>
              <w:rPr>
                <w:rStyle w:val="TableTextNumbersChar"/>
                <w:b/>
              </w:rPr>
              <w:t>Yes</w:t>
            </w:r>
            <w:r>
              <w:rPr>
                <w:rStyle w:val="TableTextNumbersChar"/>
              </w:rPr>
              <w:t xml:space="preserve"> to confirm changes and exit.</w:t>
            </w:r>
            <w:r>
              <w:rPr>
                <w:b/>
                <w:bCs/>
              </w:rPr>
              <w:t xml:space="preserve"> </w:t>
            </w:r>
            <w:r>
              <w:rPr>
                <w:rStyle w:val="TableTextNumbersChar"/>
                <w:vanish/>
                <w:color w:val="FFFFFF"/>
                <w:szCs w:val="18"/>
              </w:rPr>
              <w:fldChar w:fldCharType="begin"/>
            </w:r>
            <w:r>
              <w:rPr>
                <w:rStyle w:val="TableTextNumbersChar"/>
                <w:vanish/>
                <w:color w:val="FFFFFF"/>
                <w:szCs w:val="18"/>
              </w:rPr>
              <w:instrText xml:space="preserve"> LISTNUM \l 1 \s 0 </w:instrText>
            </w:r>
            <w:r>
              <w:rPr>
                <w:rStyle w:val="TableTextNumbersChar"/>
                <w:vanish/>
                <w:color w:val="FFFFFF"/>
                <w:szCs w:val="18"/>
              </w:rPr>
              <w:fldChar w:fldCharType="end">
                <w:numberingChange w:id="158" w:author="MUSZYNSKI, THOMAS D. (SIERRA 7 INC)" w:date="2024-11-26T07:15:00Z" w:original="0."/>
              </w:fldChar>
            </w:r>
          </w:p>
        </w:tc>
        <w:tc>
          <w:tcPr>
            <w:tcW w:w="6120" w:type="dxa"/>
          </w:tcPr>
          <w:p w14:paraId="0626E850" w14:textId="77777777" w:rsidR="00B51CFF" w:rsidRDefault="00B51CFF" w:rsidP="00DB1D38">
            <w:pPr>
              <w:pStyle w:val="TableTextBullet"/>
            </w:pPr>
            <w:r>
              <w:t>Updates the database and captures changes to previously defined parameters for inclusion in an Audit Trail Report.</w:t>
            </w:r>
          </w:p>
        </w:tc>
      </w:tr>
    </w:tbl>
    <w:p w14:paraId="79BDCC44" w14:textId="64BD5EF6" w:rsidR="002118B0" w:rsidRDefault="002118B0" w:rsidP="002118B0">
      <w:pPr>
        <w:pStyle w:val="Caption"/>
      </w:pPr>
      <w:bookmarkStart w:id="159" w:name="_Ref126470219"/>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7D1829">
        <w:rPr>
          <w:noProof/>
        </w:rPr>
        <w:t>23</w:t>
      </w:r>
      <w:r w:rsidR="004E20BD">
        <w:rPr>
          <w:noProof/>
        </w:rPr>
        <w:fldChar w:fldCharType="end"/>
      </w:r>
      <w:bookmarkEnd w:id="159"/>
      <w:r>
        <w:t xml:space="preserve">: </w:t>
      </w:r>
      <w:r w:rsidR="00E76E36">
        <w:t xml:space="preserve">Example of </w:t>
      </w:r>
      <w:r>
        <w:t>Component Classes</w:t>
      </w:r>
    </w:p>
    <w:p w14:paraId="015241D2" w14:textId="77777777" w:rsidR="002118B0" w:rsidRPr="002118B0" w:rsidRDefault="00057948" w:rsidP="0066425F">
      <w:pPr>
        <w:pStyle w:val="BodyText"/>
      </w:pPr>
      <w:r>
        <w:rPr>
          <w:noProof/>
        </w:rPr>
        <w:drawing>
          <wp:inline distT="0" distB="0" distL="0" distR="0" wp14:anchorId="7B7A5E12" wp14:editId="4CAE2C8A">
            <wp:extent cx="5356860" cy="3971925"/>
            <wp:effectExtent l="0" t="0" r="0" b="9525"/>
            <wp:docPr id="125" name="Picture 125" descr="Example of Component Class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Picture 125" descr="Example of Component Class screen capture"/>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5356860" cy="3971925"/>
                    </a:xfrm>
                    <a:prstGeom prst="rect">
                      <a:avLst/>
                    </a:prstGeom>
                    <a:noFill/>
                    <a:ln>
                      <a:noFill/>
                    </a:ln>
                  </pic:spPr>
                </pic:pic>
              </a:graphicData>
            </a:graphic>
          </wp:inline>
        </w:drawing>
      </w:r>
    </w:p>
    <w:p w14:paraId="4BB3C52B" w14:textId="77777777" w:rsidR="00B51CFF" w:rsidRDefault="00AE1227" w:rsidP="00B51CFF">
      <w:pPr>
        <w:pStyle w:val="Heading2"/>
      </w:pPr>
      <w:r>
        <w:br w:type="page"/>
      </w:r>
      <w:bookmarkStart w:id="160" w:name="_Toc203765858"/>
      <w:r w:rsidR="00B51CFF">
        <w:lastRenderedPageBreak/>
        <w:t>Configure Daily QC</w:t>
      </w:r>
      <w:bookmarkEnd w:id="160"/>
      <w:r w:rsidR="00B51CFF" w:rsidRPr="00AB67A6">
        <w:rPr>
          <w:rFonts w:ascii="Arial Bold" w:hAnsi="Arial Bold"/>
          <w:vanish/>
        </w:rPr>
        <w:fldChar w:fldCharType="begin"/>
      </w:r>
      <w:r w:rsidR="00B51CFF" w:rsidRPr="00AB67A6">
        <w:rPr>
          <w:rFonts w:ascii="Arial Bold" w:hAnsi="Arial Bold"/>
          <w:vanish/>
        </w:rPr>
        <w:instrText xml:space="preserve"> XE “Configure Daily QC” </w:instrText>
      </w:r>
      <w:r w:rsidR="00B51CFF" w:rsidRPr="00AB67A6">
        <w:rPr>
          <w:rFonts w:ascii="Arial Bold" w:hAnsi="Arial Bold"/>
          <w:vanish/>
        </w:rPr>
        <w:fldChar w:fldCharType="end"/>
      </w:r>
      <w:r w:rsidR="00B51CFF" w:rsidRPr="00AB67A6">
        <w:rPr>
          <w:rFonts w:ascii="Arial Bold" w:hAnsi="Arial Bold"/>
          <w:vanish/>
        </w:rPr>
        <w:t xml:space="preserve"> UC_51</w:t>
      </w:r>
    </w:p>
    <w:p w14:paraId="4A9FDF15" w14:textId="77777777" w:rsidR="00B51CFF" w:rsidRDefault="00B51CFF" w:rsidP="00B51CFF">
      <w:pPr>
        <w:pStyle w:val="BodyText"/>
      </w:pPr>
      <w:bookmarkStart w:id="161" w:name="_Toc63680373"/>
      <w:r>
        <w:t>The user sets up the routine reagent racks and QC template for the division before performing daily reagent QC.</w:t>
      </w:r>
    </w:p>
    <w:p w14:paraId="723E1379" w14:textId="77777777" w:rsidR="00B51CFF" w:rsidRDefault="00B51CFF" w:rsidP="00B51CFF">
      <w:pPr>
        <w:pStyle w:val="Heading4"/>
      </w:pPr>
      <w:r>
        <w:t>Assumptions</w:t>
      </w:r>
      <w:r>
        <w:rPr>
          <w:b w:val="0"/>
        </w:rPr>
        <w:t xml:space="preserve"> </w:t>
      </w:r>
    </w:p>
    <w:p w14:paraId="527E09E8" w14:textId="77777777" w:rsidR="00B51CFF" w:rsidRDefault="00B51CFF" w:rsidP="00B51CFF">
      <w:pPr>
        <w:pStyle w:val="ListBullet"/>
      </w:pPr>
      <w:r>
        <w:t xml:space="preserve">The division is “full service.” </w:t>
      </w:r>
    </w:p>
    <w:p w14:paraId="484EFA59" w14:textId="77777777" w:rsidR="00B51CFF" w:rsidRDefault="00B51CFF" w:rsidP="00B51CFF">
      <w:pPr>
        <w:pStyle w:val="ListBullet"/>
      </w:pPr>
      <w:r>
        <w:t>In the first use of this option, there are no defaults or data in place until the user selects the type of QC template (commercial or non-commercial).</w:t>
      </w:r>
    </w:p>
    <w:p w14:paraId="18E705D8" w14:textId="77777777" w:rsidR="00B51CFF" w:rsidRDefault="00DD75E5" w:rsidP="00B51CFF">
      <w:pPr>
        <w:pStyle w:val="Heading4"/>
      </w:pPr>
      <w:r>
        <w:t>Outcome</w:t>
      </w:r>
    </w:p>
    <w:p w14:paraId="71D7FD51" w14:textId="77777777" w:rsidR="00B51CFF" w:rsidRDefault="00B51CFF" w:rsidP="00B51CFF">
      <w:pPr>
        <w:pStyle w:val="ListBullet"/>
      </w:pPr>
      <w:r>
        <w:t>A testing template is available for Enter Daily QC Results; reagent racks and identifiers were created.</w:t>
      </w:r>
    </w:p>
    <w:p w14:paraId="061E0211" w14:textId="77777777" w:rsidR="00B51CFF" w:rsidRDefault="00B51CFF" w:rsidP="00B51CFF">
      <w:pPr>
        <w:pStyle w:val="ListBullet"/>
      </w:pPr>
      <w:r>
        <w:t>Minimum reaction strengths for each reagent type are defined and used by Enter Daily QC Results.</w:t>
      </w:r>
    </w:p>
    <w:p w14:paraId="4842008B" w14:textId="77777777" w:rsidR="00B51CFF" w:rsidRDefault="00B51CFF" w:rsidP="00B51CFF">
      <w:pPr>
        <w:pStyle w:val="ListBullet"/>
      </w:pPr>
      <w:r>
        <w:rPr>
          <w:rFonts w:ascii="Arial" w:hAnsi="Arial" w:cs="Arial"/>
          <w:vanish/>
          <w:spacing w:val="0"/>
          <w:sz w:val="18"/>
        </w:rPr>
        <w:t xml:space="preserve">BR_51.16 </w:t>
      </w:r>
      <w:r>
        <w:t>A historical record for each rack will be maintained.</w:t>
      </w:r>
    </w:p>
    <w:p w14:paraId="271BC172" w14:textId="77777777" w:rsidR="00B51CFF" w:rsidRDefault="00B51CFF" w:rsidP="00B51CFF">
      <w:pPr>
        <w:pStyle w:val="ListBullet"/>
      </w:pPr>
      <w:r>
        <w:rPr>
          <w:rFonts w:ascii="Arial" w:hAnsi="Arial" w:cs="Arial"/>
          <w:vanish/>
          <w:spacing w:val="0"/>
          <w:sz w:val="18"/>
        </w:rPr>
        <w:t xml:space="preserve">BR_51.11 </w:t>
      </w:r>
      <w:r>
        <w:t>Rack names created are available for use by other options.</w:t>
      </w:r>
    </w:p>
    <w:p w14:paraId="6ED8E9EF" w14:textId="77777777" w:rsidR="00B51CFF" w:rsidRDefault="00B51CFF" w:rsidP="00B51CFF">
      <w:pPr>
        <w:pStyle w:val="Heading4"/>
      </w:pPr>
      <w:r>
        <w:t>Limitations and Restrictions</w:t>
      </w:r>
      <w:r>
        <w:rPr>
          <w:b w:val="0"/>
        </w:rPr>
        <w:t xml:space="preserve"> </w:t>
      </w:r>
    </w:p>
    <w:p w14:paraId="12936685" w14:textId="77777777" w:rsidR="00B51CFF" w:rsidRDefault="00B51CFF" w:rsidP="00B51CFF">
      <w:pPr>
        <w:pStyle w:val="ListBullet"/>
      </w:pPr>
      <w:r>
        <w:t xml:space="preserve">This option pertains only to routine reagents. </w:t>
      </w:r>
    </w:p>
    <w:p w14:paraId="3BD0B6FC" w14:textId="77777777" w:rsidR="00FC35D4" w:rsidRDefault="00FC35D4" w:rsidP="00B51CFF">
      <w:pPr>
        <w:pStyle w:val="ListBullet"/>
      </w:pPr>
      <w:r>
        <w:rPr>
          <w:rFonts w:cs="Arial"/>
        </w:rPr>
        <w:t xml:space="preserve">When there are partially or currently QC’d racks in the system, the user may not change the QC template. </w:t>
      </w:r>
    </w:p>
    <w:p w14:paraId="5108C400" w14:textId="77777777" w:rsidR="00B51CFF" w:rsidRDefault="00B51CFF" w:rsidP="00B51CFF">
      <w:pPr>
        <w:pStyle w:val="Heading4"/>
      </w:pPr>
      <w:r>
        <w:t>Additional Information</w:t>
      </w:r>
    </w:p>
    <w:p w14:paraId="585427C3" w14:textId="1BF80EEA" w:rsidR="00852AC1" w:rsidRPr="00852AC1" w:rsidRDefault="00852AC1" w:rsidP="00852AC1">
      <w:pPr>
        <w:pStyle w:val="ListBullet"/>
      </w:pPr>
      <w:r w:rsidRPr="00852AC1">
        <w:rPr>
          <w:snapToGrid w:val="0"/>
          <w:vanish/>
        </w:rPr>
        <w:t>BR_</w:t>
      </w:r>
      <w:r w:rsidR="00F63A03">
        <w:rPr>
          <w:snapToGrid w:val="0"/>
          <w:vanish/>
        </w:rPr>
        <w:t>2.43</w:t>
      </w:r>
      <w:r>
        <w:rPr>
          <w:snapToGrid w:val="0"/>
        </w:rPr>
        <w:t>This option is disabled for transfusion-only facilities.</w:t>
      </w:r>
      <w:r w:rsidR="003D71A3">
        <w:rPr>
          <w:snapToGrid w:val="0"/>
        </w:rPr>
        <w:t xml:space="preserve"> </w:t>
      </w:r>
    </w:p>
    <w:p w14:paraId="2F865608" w14:textId="1F55374C" w:rsidR="00B51CFF" w:rsidRPr="00AB4BD9" w:rsidRDefault="00B51CFF" w:rsidP="00384190">
      <w:pPr>
        <w:pStyle w:val="ListBullet"/>
        <w:rPr>
          <w:vanish/>
        </w:rPr>
      </w:pPr>
      <w:r>
        <w:rPr>
          <w:snapToGrid w:val="0"/>
        </w:rPr>
        <w:t>The naming convention for the active template is not editable.</w:t>
      </w:r>
      <w:r>
        <w:t xml:space="preserve"> When fewer racks are indicated, the system will inactivate existing rack names to keep the list in order without skipping a number or letter. Rack names are reusable.</w:t>
      </w:r>
      <w:r w:rsidR="00FC4E14">
        <w:t xml:space="preserve"> </w:t>
      </w:r>
      <w:r w:rsidR="00A922BB">
        <w:t>It is recommended for</w:t>
      </w:r>
      <w:r w:rsidR="00FC4E14">
        <w:t xml:space="preserve"> s</w:t>
      </w:r>
      <w:r w:rsidR="00FC4E14" w:rsidRPr="00FC4E14">
        <w:t>ites comprisi</w:t>
      </w:r>
      <w:r w:rsidR="00A922BB">
        <w:t xml:space="preserve">ng a multidivision to </w:t>
      </w:r>
      <w:r w:rsidR="00FC4E14" w:rsidRPr="00FC4E14">
        <w:t>assign different reagent rack names to prevent overlap</w:t>
      </w:r>
      <w:r w:rsidR="002B64D8">
        <w:t xml:space="preserve"> (See </w:t>
      </w:r>
      <w:r w:rsidR="002B64D8" w:rsidRPr="00423A7F">
        <w:rPr>
          <w:i/>
          <w:iCs/>
        </w:rPr>
        <w:t xml:space="preserve">FAQ </w:t>
      </w:r>
      <w:r w:rsidR="00384190" w:rsidRPr="00423A7F">
        <w:rPr>
          <w:i/>
          <w:iCs/>
        </w:rPr>
        <w:t>Multidivisional QC Rack Workaround</w:t>
      </w:r>
      <w:r w:rsidR="00384190">
        <w:t>).</w:t>
      </w:r>
      <w:r w:rsidR="00AB4BD9">
        <w:t xml:space="preserve"> </w:t>
      </w:r>
      <w:r w:rsidR="00AB4BD9" w:rsidRPr="00AB4BD9">
        <w:rPr>
          <w:vanish/>
        </w:rPr>
        <w:t>Defect 209622</w:t>
      </w:r>
    </w:p>
    <w:p w14:paraId="4F9F43DA" w14:textId="77777777" w:rsidR="00B51CFF" w:rsidRDefault="00B51CFF" w:rsidP="00B51CFF">
      <w:pPr>
        <w:pStyle w:val="ListBullet"/>
      </w:pPr>
      <w:r>
        <w:rPr>
          <w:rFonts w:ascii="Arial" w:hAnsi="Arial" w:cs="Arial"/>
          <w:vanish/>
          <w:spacing w:val="0"/>
          <w:sz w:val="18"/>
        </w:rPr>
        <w:t xml:space="preserve">BR_51.09 </w:t>
      </w:r>
      <w:r>
        <w:t>The daily use field for QC Rack template entries exported as REQUIRED for Daily Use are not editable by the user. The daily use field for entries exported with the daily use as OPTIONAL may be changed to be REQUIRED and remain editable by the user at any time.</w:t>
      </w:r>
    </w:p>
    <w:p w14:paraId="2BFADEF5" w14:textId="3B01F2DC" w:rsidR="00B51CFF" w:rsidRDefault="00B51CFF" w:rsidP="00B51CFF">
      <w:pPr>
        <w:pStyle w:val="ListBullet"/>
      </w:pPr>
      <w:r>
        <w:rPr>
          <w:rFonts w:ascii="Arial" w:hAnsi="Arial" w:cs="Arial"/>
          <w:vanish/>
          <w:spacing w:val="0"/>
          <w:sz w:val="18"/>
        </w:rPr>
        <w:t xml:space="preserve">BR_51.08 </w:t>
      </w:r>
      <w:r>
        <w:t xml:space="preserve">If Screening Cell 3 (SC3) and/or (SC4) are set to “required” as part of the configuration of the antibody screening cell </w:t>
      </w:r>
      <w:r w:rsidR="008848DB">
        <w:t>set,</w:t>
      </w:r>
      <w:r>
        <w:t xml:space="preserve"> they are enabled on the antibody screen data grid.</w:t>
      </w:r>
    </w:p>
    <w:p w14:paraId="524831E6" w14:textId="77777777" w:rsidR="00B51CFF" w:rsidRDefault="00B51CFF" w:rsidP="00B51CFF">
      <w:pPr>
        <w:pStyle w:val="ListBullet"/>
      </w:pPr>
      <w:r>
        <w:rPr>
          <w:rFonts w:ascii="Arial" w:hAnsi="Arial" w:cs="Arial"/>
          <w:vanish/>
          <w:spacing w:val="0"/>
          <w:sz w:val="18"/>
        </w:rPr>
        <w:t xml:space="preserve">BR_51.07 </w:t>
      </w:r>
      <w:r w:rsidR="009D7320">
        <w:t xml:space="preserve">The user must identify an enhancement media reagent type as the primary. </w:t>
      </w:r>
      <w:r w:rsidR="00256CC3">
        <w:t>I</w:t>
      </w:r>
      <w:r>
        <w:t>n addition</w:t>
      </w:r>
      <w:r w:rsidR="00256CC3">
        <w:t xml:space="preserve">, the user </w:t>
      </w:r>
      <w:r>
        <w:t xml:space="preserve">must identify </w:t>
      </w:r>
      <w:r w:rsidR="004A1342">
        <w:t>the Anti-</w:t>
      </w:r>
      <w:r>
        <w:t>Human Globulin serum used during daily quality control testing of the screening cells and primary enhancement media.</w:t>
      </w:r>
    </w:p>
    <w:p w14:paraId="36AF16AD" w14:textId="77777777" w:rsidR="00B51CFF" w:rsidRDefault="00B51CFF" w:rsidP="00B51CFF">
      <w:pPr>
        <w:pStyle w:val="ListBullet"/>
      </w:pPr>
      <w:r>
        <w:t>VBECS does not evaluate maximum strength of reaction for daily QC, as required by CAP. Local policy must define maximum strength of reaction.</w:t>
      </w:r>
    </w:p>
    <w:p w14:paraId="7605C7AE" w14:textId="77777777" w:rsidR="00B51CFF" w:rsidRDefault="00B51CFF" w:rsidP="00B51CFF">
      <w:pPr>
        <w:pStyle w:val="Heading4"/>
        <w:rPr>
          <w:b w:val="0"/>
        </w:rPr>
      </w:pPr>
      <w:r>
        <w:t>User Roles with Access to This Option</w:t>
      </w:r>
      <w:r>
        <w:rPr>
          <w:b w:val="0"/>
        </w:rPr>
        <w:t xml:space="preserve"> </w:t>
      </w:r>
    </w:p>
    <w:p w14:paraId="56CA606F" w14:textId="77777777" w:rsidR="00B51CFF" w:rsidRDefault="00B51CFF" w:rsidP="00B51CFF">
      <w:pPr>
        <w:pStyle w:val="Roles"/>
        <w:rPr>
          <w:snapToGrid w:val="0"/>
        </w:rPr>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Enhanced Supervisor</w:t>
      </w:r>
    </w:p>
    <w:p w14:paraId="2CE276D7" w14:textId="77777777" w:rsidR="00B51CFF" w:rsidRDefault="00B51CFF" w:rsidP="007E3EE1">
      <w:pPr>
        <w:pStyle w:val="Heading4"/>
        <w:keepLines/>
      </w:pPr>
      <w:r>
        <w:lastRenderedPageBreak/>
        <w:t xml:space="preserve">Configure Daily QC </w:t>
      </w:r>
    </w:p>
    <w:p w14:paraId="06F5DAE5" w14:textId="5968A6D9" w:rsidR="00B51CFF" w:rsidRDefault="00B51CFF" w:rsidP="007E3EE1">
      <w:pPr>
        <w:pStyle w:val="BodyText"/>
        <w:keepNext/>
        <w:keepLines/>
      </w:pPr>
      <w:r>
        <w:t xml:space="preserve">The user sets up the daily reagent QC template for reagent rack testing for the division. In the first use of this option, all fields default to blank with no template preferred. </w:t>
      </w:r>
      <w:r>
        <w:rPr>
          <w:rFonts w:ascii="Arial" w:hAnsi="Arial" w:cs="Arial"/>
          <w:vanish/>
          <w:sz w:val="18"/>
        </w:rPr>
        <w:t xml:space="preserve">BR_51.19 </w:t>
      </w:r>
      <w:r w:rsidR="00F92E73">
        <w:t xml:space="preserve">Additional tests are available and may be included in the daily QC testing template in accordance with local </w:t>
      </w:r>
      <w:r w:rsidR="00541DC0">
        <w:t>practice. When</w:t>
      </w:r>
      <w:r>
        <w:t xml:space="preserve"> a user changes the active template, there is no carryover of field settings to the new template. All are set to the default and configuration must be completed.</w:t>
      </w:r>
      <w:r w:rsidR="00F92E73" w:rsidRPr="00F92E73">
        <w:t xml:space="preserve"> </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B51CFF" w14:paraId="1A21F25A" w14:textId="77777777">
        <w:trPr>
          <w:cantSplit/>
          <w:tblHeader/>
        </w:trPr>
        <w:tc>
          <w:tcPr>
            <w:tcW w:w="3240" w:type="dxa"/>
            <w:shd w:val="pct30" w:color="auto" w:fill="FFFFFF"/>
            <w:vAlign w:val="bottom"/>
          </w:tcPr>
          <w:p w14:paraId="20DB2CEE" w14:textId="77777777" w:rsidR="00B51CFF" w:rsidRDefault="00B51CFF" w:rsidP="00DB1D38">
            <w:pPr>
              <w:pStyle w:val="TableText"/>
              <w:rPr>
                <w:b/>
              </w:rPr>
            </w:pPr>
            <w:r>
              <w:rPr>
                <w:b/>
              </w:rPr>
              <w:t>User Action</w:t>
            </w:r>
          </w:p>
        </w:tc>
        <w:tc>
          <w:tcPr>
            <w:tcW w:w="6120" w:type="dxa"/>
            <w:shd w:val="pct30" w:color="auto" w:fill="FFFFFF"/>
            <w:vAlign w:val="bottom"/>
          </w:tcPr>
          <w:p w14:paraId="1357609C" w14:textId="77777777" w:rsidR="00B51CFF" w:rsidRDefault="00B51CFF" w:rsidP="00DB1D38">
            <w:pPr>
              <w:pStyle w:val="TableText"/>
              <w:rPr>
                <w:b/>
              </w:rPr>
            </w:pPr>
            <w:r>
              <w:rPr>
                <w:b/>
              </w:rPr>
              <w:t>VBECS</w:t>
            </w:r>
          </w:p>
        </w:tc>
      </w:tr>
      <w:tr w:rsidR="00B51CFF" w14:paraId="654EBC3F" w14:textId="77777777">
        <w:trPr>
          <w:cantSplit/>
        </w:trPr>
        <w:tc>
          <w:tcPr>
            <w:tcW w:w="3240" w:type="dxa"/>
          </w:tcPr>
          <w:p w14:paraId="235B2A95" w14:textId="77777777" w:rsidR="00B51CFF" w:rsidRDefault="00B51CFF" w:rsidP="00DB1D38">
            <w:pPr>
              <w:pStyle w:val="TableTextNumbers"/>
            </w:pPr>
            <w:r>
              <w:t xml:space="preserve">Select </w:t>
            </w:r>
            <w:r>
              <w:rPr>
                <w:b/>
              </w:rPr>
              <w:t>Reagents</w:t>
            </w:r>
            <w:r>
              <w:t xml:space="preserve"> from the main menu. </w:t>
            </w:r>
          </w:p>
          <w:p w14:paraId="7B7D5F55" w14:textId="77777777" w:rsidR="00B51CFF" w:rsidRDefault="00B51CFF" w:rsidP="00DB1D38">
            <w:pPr>
              <w:pStyle w:val="TableTextNumbersContinued"/>
            </w:pPr>
          </w:p>
          <w:p w14:paraId="13BF2B7B" w14:textId="77777777" w:rsidR="00B51CFF" w:rsidRDefault="00B51CFF" w:rsidP="00DB1D38">
            <w:pPr>
              <w:pStyle w:val="TableTextNumbersContinued"/>
            </w:pPr>
            <w:r>
              <w:t xml:space="preserve">Select </w:t>
            </w:r>
            <w:r>
              <w:rPr>
                <w:b/>
              </w:rPr>
              <w:t>Configure Daily QC</w:t>
            </w:r>
            <w:r>
              <w:t>.</w:t>
            </w:r>
          </w:p>
        </w:tc>
        <w:tc>
          <w:tcPr>
            <w:tcW w:w="6120" w:type="dxa"/>
          </w:tcPr>
          <w:p w14:paraId="27F3BADE" w14:textId="77777777" w:rsidR="00B51CFF" w:rsidRDefault="00B51CFF" w:rsidP="00DB1D38">
            <w:pPr>
              <w:pStyle w:val="TableTextBullet"/>
            </w:pPr>
            <w:r>
              <w:t>Displays options for processing reagents.</w:t>
            </w:r>
          </w:p>
          <w:p w14:paraId="4C549E6E" w14:textId="77777777" w:rsidR="00B51CFF" w:rsidRDefault="00B51CFF" w:rsidP="00DB1D38">
            <w:pPr>
              <w:pStyle w:val="TableTextBullet"/>
            </w:pPr>
            <w:r>
              <w:t>Displays an option to configure online Daily Reagent Rack Quality Control.</w:t>
            </w:r>
          </w:p>
        </w:tc>
      </w:tr>
      <w:tr w:rsidR="00B51CFF" w14:paraId="7337E5C2" w14:textId="77777777">
        <w:trPr>
          <w:cantSplit/>
        </w:trPr>
        <w:tc>
          <w:tcPr>
            <w:tcW w:w="3240" w:type="dxa"/>
          </w:tcPr>
          <w:p w14:paraId="1898B85F" w14:textId="7E68FF00" w:rsidR="00B51CFF" w:rsidRDefault="00B51CFF" w:rsidP="00DB1D38">
            <w:pPr>
              <w:pStyle w:val="TableTextNumbers"/>
            </w:pPr>
            <w:r>
              <w:t xml:space="preserve">Click the </w:t>
            </w:r>
            <w:r>
              <w:rPr>
                <w:b/>
              </w:rPr>
              <w:t>Commercial</w:t>
            </w:r>
            <w:r>
              <w:t xml:space="preserve"> or </w:t>
            </w:r>
            <w:r>
              <w:rPr>
                <w:b/>
              </w:rPr>
              <w:t>Non-Commercial</w:t>
            </w:r>
            <w:r>
              <w:t xml:space="preserve"> </w:t>
            </w:r>
            <w:r w:rsidRPr="00BF2E41">
              <w:t>radio button</w:t>
            </w:r>
            <w:r w:rsidR="00EC1B75">
              <w:t xml:space="preserve"> (</w:t>
            </w:r>
            <w:r w:rsidR="00EE455E" w:rsidRPr="00584AF9">
              <w:t xml:space="preserve">Figure </w:t>
            </w:r>
            <w:r w:rsidR="00EE455E">
              <w:rPr>
                <w:noProof/>
                <w:lang w:val="fr-CA"/>
              </w:rPr>
              <w:t>23</w:t>
            </w:r>
            <w:r w:rsidR="00910AA5" w:rsidRPr="00910AA5">
              <w:t>)</w:t>
            </w:r>
            <w:r>
              <w:t>.</w:t>
            </w:r>
          </w:p>
          <w:p w14:paraId="35E5D52D" w14:textId="77777777" w:rsidR="00B51CFF" w:rsidRDefault="00B51CFF" w:rsidP="00DB1D38">
            <w:pPr>
              <w:pStyle w:val="TableText"/>
            </w:pPr>
          </w:p>
        </w:tc>
        <w:tc>
          <w:tcPr>
            <w:tcW w:w="6120" w:type="dxa"/>
          </w:tcPr>
          <w:p w14:paraId="4D2FEFD2" w14:textId="77777777" w:rsidR="00B51CFF" w:rsidRDefault="00B51CFF" w:rsidP="00DB1D38">
            <w:pPr>
              <w:pStyle w:val="TableTextBullet"/>
            </w:pPr>
            <w:r>
              <w:t>Lists the two system-supplied Daily QC templates.</w:t>
            </w:r>
          </w:p>
          <w:p w14:paraId="43102846" w14:textId="77777777" w:rsidR="00B51CFF" w:rsidRDefault="00B51CFF" w:rsidP="00DB1D38">
            <w:pPr>
              <w:pStyle w:val="TableTextBullet1"/>
            </w:pPr>
            <w:r>
              <w:t>Commercial Daily QC</w:t>
            </w:r>
          </w:p>
          <w:p w14:paraId="5DE5EF3A" w14:textId="77777777" w:rsidR="00B51CFF" w:rsidRDefault="00B51CFF" w:rsidP="00DB1D38">
            <w:pPr>
              <w:pStyle w:val="TableTextBullet1"/>
            </w:pPr>
            <w:r>
              <w:t>Non-commercial Daily QC</w:t>
            </w:r>
          </w:p>
          <w:p w14:paraId="59177031" w14:textId="77777777" w:rsidR="00545664" w:rsidRDefault="00545664" w:rsidP="00545664">
            <w:pPr>
              <w:pStyle w:val="TableTextBullet"/>
            </w:pPr>
            <w:r>
              <w:t>When there are partially or currently QC’d racks in the system, warns the user to wait until QC expires (passes the daily alert time) and then make the changes.</w:t>
            </w:r>
          </w:p>
        </w:tc>
      </w:tr>
      <w:tr w:rsidR="00B51CFF" w14:paraId="154E1D3C" w14:textId="77777777">
        <w:trPr>
          <w:cantSplit/>
        </w:trPr>
        <w:tc>
          <w:tcPr>
            <w:tcW w:w="3240" w:type="dxa"/>
          </w:tcPr>
          <w:p w14:paraId="42763B23" w14:textId="77777777" w:rsidR="00B51CFF" w:rsidRDefault="00B51CFF" w:rsidP="00DB1D38">
            <w:pPr>
              <w:pStyle w:val="TableTextNumbers"/>
            </w:pPr>
            <w:r>
              <w:t>Set the daily alert time.</w:t>
            </w:r>
          </w:p>
        </w:tc>
        <w:tc>
          <w:tcPr>
            <w:tcW w:w="6120" w:type="dxa"/>
          </w:tcPr>
          <w:p w14:paraId="4CC78AB3" w14:textId="77777777" w:rsidR="00B51CFF" w:rsidRDefault="00B51CFF" w:rsidP="00DB1D38">
            <w:pPr>
              <w:pStyle w:val="TableTextBullet"/>
            </w:pPr>
            <w:r>
              <w:t>Asks the user to set the time the daily alert to all users at the site will begin.</w:t>
            </w:r>
          </w:p>
          <w:p w14:paraId="1E20DED4" w14:textId="77777777" w:rsidR="00B51CFF" w:rsidRDefault="00B51CFF" w:rsidP="00DB1D38">
            <w:pPr>
              <w:pStyle w:val="TableText"/>
            </w:pPr>
          </w:p>
          <w:p w14:paraId="6E1130C5" w14:textId="5F34E396" w:rsidR="00B51CFF" w:rsidRDefault="00B51CFF" w:rsidP="00DB1D38">
            <w:pPr>
              <w:pStyle w:val="TableText"/>
              <w:rPr>
                <w:b/>
                <w:bCs/>
                <w:szCs w:val="18"/>
              </w:rPr>
            </w:pPr>
            <w:r>
              <w:rPr>
                <w:b/>
                <w:bCs/>
                <w:szCs w:val="18"/>
              </w:rPr>
              <w:t>NOTES</w:t>
            </w:r>
          </w:p>
          <w:p w14:paraId="2488F9E4" w14:textId="77777777" w:rsidR="00B51CFF" w:rsidRDefault="00B51CFF" w:rsidP="00DB1D38">
            <w:pPr>
              <w:pStyle w:val="NotesText"/>
            </w:pPr>
          </w:p>
          <w:p w14:paraId="35E77147" w14:textId="77777777" w:rsidR="00B51CFF" w:rsidRDefault="00B51CFF" w:rsidP="00DB1D38">
            <w:pPr>
              <w:pStyle w:val="NotesText"/>
            </w:pPr>
            <w:r>
              <w:rPr>
                <w:rFonts w:cs="Arial"/>
                <w:vanish/>
              </w:rPr>
              <w:t xml:space="preserve">BR_51.02 </w:t>
            </w:r>
            <w:r>
              <w:t>The user indicates the local time that defines the start of the 24-hour period (the QC day) during which a rack is considered QC’d. VBECS alerts users when a rack was not performed after this local time passed.</w:t>
            </w:r>
          </w:p>
          <w:p w14:paraId="0AF17548" w14:textId="77777777" w:rsidR="00122EF8" w:rsidRDefault="00122EF8" w:rsidP="00122EF8">
            <w:pPr>
              <w:pStyle w:val="NotesText"/>
              <w:rPr>
                <w:rFonts w:cs="Arial"/>
                <w:szCs w:val="18"/>
              </w:rPr>
            </w:pPr>
          </w:p>
          <w:p w14:paraId="6C2CFF61" w14:textId="77777777" w:rsidR="000D0722" w:rsidRPr="00122EF8" w:rsidRDefault="000D0722" w:rsidP="00122EF8">
            <w:pPr>
              <w:pStyle w:val="NotesText"/>
              <w:rPr>
                <w:rFonts w:cs="Arial"/>
                <w:szCs w:val="18"/>
              </w:rPr>
            </w:pPr>
            <w:r>
              <w:t>The user may test a rack no earlier than the alert time</w:t>
            </w:r>
            <w:r w:rsidR="00543DAF">
              <w:t xml:space="preserve"> for the next 24 hours</w:t>
            </w:r>
            <w:r>
              <w:t xml:space="preserve">. </w:t>
            </w:r>
            <w:r w:rsidR="00D94DA3" w:rsidRPr="00D94DA3">
              <w:rPr>
                <w:vanish/>
              </w:rPr>
              <w:t xml:space="preserve"> (DR 2,716)</w:t>
            </w:r>
          </w:p>
        </w:tc>
      </w:tr>
      <w:tr w:rsidR="00B51CFF" w14:paraId="78628DC8" w14:textId="77777777">
        <w:trPr>
          <w:cantSplit/>
        </w:trPr>
        <w:tc>
          <w:tcPr>
            <w:tcW w:w="3240" w:type="dxa"/>
          </w:tcPr>
          <w:p w14:paraId="70C436F9" w14:textId="77777777" w:rsidR="00B51CFF" w:rsidRDefault="00B51CFF" w:rsidP="00DB1D38">
            <w:pPr>
              <w:pStyle w:val="TableTextNumbers"/>
            </w:pPr>
            <w:r>
              <w:t>Enter the number of racks at the site.</w:t>
            </w:r>
          </w:p>
          <w:p w14:paraId="327DE6CB" w14:textId="77777777" w:rsidR="00B51CFF" w:rsidRDefault="00B51CFF" w:rsidP="00DB1D38">
            <w:pPr>
              <w:pStyle w:val="TableTextNumbersContinued"/>
            </w:pPr>
          </w:p>
          <w:p w14:paraId="230BC8CC" w14:textId="77777777" w:rsidR="00B51CFF" w:rsidRDefault="00B51CFF" w:rsidP="00DB1D38">
            <w:pPr>
              <w:pStyle w:val="TableTextNumbersContinued"/>
            </w:pPr>
            <w:r>
              <w:t>Select a naming convention.</w:t>
            </w:r>
          </w:p>
        </w:tc>
        <w:tc>
          <w:tcPr>
            <w:tcW w:w="6120" w:type="dxa"/>
          </w:tcPr>
          <w:p w14:paraId="162305CA" w14:textId="77777777" w:rsidR="00B51CFF" w:rsidRDefault="00B51CFF" w:rsidP="00DB1D38">
            <w:pPr>
              <w:pStyle w:val="TableTextBullet"/>
            </w:pPr>
            <w:r>
              <w:t>Asks the user to set the number of racks to be QC’d daily at the division.</w:t>
            </w:r>
          </w:p>
          <w:p w14:paraId="58A1DB64" w14:textId="77777777" w:rsidR="00B51CFF" w:rsidRDefault="00B51CFF" w:rsidP="00DB1D38">
            <w:pPr>
              <w:pStyle w:val="TableTextBullet"/>
            </w:pPr>
            <w:r>
              <w:t>Asks the user to set the naming convention for racks.</w:t>
            </w:r>
          </w:p>
          <w:p w14:paraId="546A7055" w14:textId="77777777" w:rsidR="00B51CFF" w:rsidRDefault="00B51CFF" w:rsidP="00DB1D38">
            <w:pPr>
              <w:pStyle w:val="TableText"/>
              <w:rPr>
                <w:b/>
                <w:bCs/>
                <w:szCs w:val="18"/>
              </w:rPr>
            </w:pPr>
          </w:p>
          <w:p w14:paraId="12644107" w14:textId="0B0BD9DF" w:rsidR="00B51CFF" w:rsidRDefault="00B51CFF" w:rsidP="00DB1D38">
            <w:pPr>
              <w:pStyle w:val="TableText"/>
              <w:rPr>
                <w:b/>
                <w:bCs/>
                <w:szCs w:val="18"/>
              </w:rPr>
            </w:pPr>
            <w:r>
              <w:rPr>
                <w:b/>
                <w:bCs/>
                <w:szCs w:val="18"/>
              </w:rPr>
              <w:t>NOTES</w:t>
            </w:r>
          </w:p>
          <w:p w14:paraId="2B1F5C59" w14:textId="77777777" w:rsidR="00B51CFF" w:rsidRDefault="00B51CFF" w:rsidP="00DB1D38">
            <w:pPr>
              <w:pStyle w:val="NotesText"/>
              <w:ind w:left="0"/>
            </w:pPr>
          </w:p>
          <w:p w14:paraId="6D267BA6" w14:textId="77777777" w:rsidR="00B51CFF" w:rsidRDefault="00B51CFF" w:rsidP="00DB1D38">
            <w:pPr>
              <w:pStyle w:val="NotesText"/>
            </w:pPr>
            <w:r>
              <w:rPr>
                <w:rFonts w:cs="Arial"/>
                <w:vanish/>
                <w:szCs w:val="18"/>
              </w:rPr>
              <w:t>BR_51.01</w:t>
            </w:r>
            <w:r w:rsidR="00CE3961">
              <w:rPr>
                <w:rFonts w:cs="Arial"/>
                <w:vanish/>
                <w:szCs w:val="18"/>
              </w:rPr>
              <w:t>,</w:t>
            </w:r>
            <w:r>
              <w:rPr>
                <w:rFonts w:cs="Arial"/>
                <w:vanish/>
                <w:szCs w:val="18"/>
              </w:rPr>
              <w:t xml:space="preserve"> </w:t>
            </w:r>
            <w:r>
              <w:rPr>
                <w:vanish/>
                <w:szCs w:val="18"/>
              </w:rPr>
              <w:t>BR_51.13</w:t>
            </w:r>
            <w:r w:rsidR="00CE3961">
              <w:rPr>
                <w:vanish/>
                <w:szCs w:val="18"/>
              </w:rPr>
              <w:t>,</w:t>
            </w:r>
            <w:r>
              <w:rPr>
                <w:vanish/>
                <w:szCs w:val="18"/>
              </w:rPr>
              <w:t xml:space="preserve"> BR_51.14 </w:t>
            </w:r>
            <w:r>
              <w:t>A user may indicate 1–26 racks per site and names them according to the convention selected (A–Z or 1–26).</w:t>
            </w:r>
          </w:p>
        </w:tc>
      </w:tr>
      <w:tr w:rsidR="00B51CFF" w14:paraId="795CB94E" w14:textId="77777777">
        <w:trPr>
          <w:cantSplit/>
        </w:trPr>
        <w:tc>
          <w:tcPr>
            <w:tcW w:w="3240" w:type="dxa"/>
          </w:tcPr>
          <w:p w14:paraId="77E622DF" w14:textId="77777777" w:rsidR="00B51CFF" w:rsidRDefault="00B51CFF" w:rsidP="00DB1D38">
            <w:pPr>
              <w:pStyle w:val="TableTextNumbers"/>
            </w:pPr>
            <w:r>
              <w:t>Accept or edit the default settings of the template.</w:t>
            </w:r>
          </w:p>
          <w:p w14:paraId="52D4B088" w14:textId="77777777" w:rsidR="00B51CFF" w:rsidRDefault="00B51CFF" w:rsidP="00DB1D38">
            <w:pPr>
              <w:pStyle w:val="TableTextNumbersContinued"/>
            </w:pPr>
          </w:p>
          <w:p w14:paraId="4485446C" w14:textId="77777777" w:rsidR="00B51CFF" w:rsidRDefault="00B51CFF" w:rsidP="00DB1D38">
            <w:pPr>
              <w:pStyle w:val="TableTextNumbersContinued"/>
            </w:pPr>
            <w:r>
              <w:t>Select primary and secondary enhancement medium options from the drop-down menus.</w:t>
            </w:r>
          </w:p>
        </w:tc>
        <w:tc>
          <w:tcPr>
            <w:tcW w:w="6120" w:type="dxa"/>
          </w:tcPr>
          <w:p w14:paraId="479EB61B" w14:textId="77777777" w:rsidR="00B51CFF" w:rsidRDefault="00B51CFF" w:rsidP="00DB1D38">
            <w:pPr>
              <w:pStyle w:val="TableTextBullet"/>
            </w:pPr>
            <w:r>
              <w:t xml:space="preserve">Lists the default reagent types for inclusion in the daily reagent rack quality control and expected minimum reactions for each test type. </w:t>
            </w:r>
          </w:p>
          <w:p w14:paraId="2EBCFF9A" w14:textId="77777777" w:rsidR="00B51CFF" w:rsidRDefault="00B51CFF" w:rsidP="00DB1D38">
            <w:pPr>
              <w:pStyle w:val="TableTextBullet"/>
            </w:pPr>
            <w:r>
              <w:t>Displays changes and edits for review before saving.</w:t>
            </w:r>
          </w:p>
          <w:p w14:paraId="23A68FF6" w14:textId="77777777" w:rsidR="00B51CFF" w:rsidRDefault="00B51CFF" w:rsidP="00DB1D38">
            <w:pPr>
              <w:pStyle w:val="TableText"/>
            </w:pPr>
          </w:p>
          <w:p w14:paraId="47EDA21D" w14:textId="60B1F476" w:rsidR="00B51CFF" w:rsidRDefault="00B51CFF" w:rsidP="00DB1D38">
            <w:pPr>
              <w:pStyle w:val="TableText"/>
              <w:rPr>
                <w:b/>
                <w:bCs/>
                <w:szCs w:val="18"/>
              </w:rPr>
            </w:pPr>
            <w:r>
              <w:rPr>
                <w:b/>
                <w:bCs/>
                <w:szCs w:val="18"/>
              </w:rPr>
              <w:t>NOTES</w:t>
            </w:r>
          </w:p>
          <w:p w14:paraId="027112E6" w14:textId="77777777" w:rsidR="00B51CFF" w:rsidRDefault="00B51CFF" w:rsidP="00DB1D38">
            <w:pPr>
              <w:pStyle w:val="NotesText"/>
            </w:pPr>
          </w:p>
          <w:p w14:paraId="46EEA54C" w14:textId="77777777" w:rsidR="00B51CFF" w:rsidRDefault="00B51CFF" w:rsidP="00DB1D38">
            <w:pPr>
              <w:pStyle w:val="NotesText"/>
            </w:pPr>
            <w:r>
              <w:t xml:space="preserve">One setting covers all racks at the site. </w:t>
            </w:r>
          </w:p>
          <w:p w14:paraId="4C4820BD" w14:textId="77777777" w:rsidR="00B51CFF" w:rsidRDefault="00B51CFF" w:rsidP="00DB1D38">
            <w:pPr>
              <w:pStyle w:val="NotesText"/>
            </w:pPr>
          </w:p>
          <w:p w14:paraId="061CD21F" w14:textId="7A078D70" w:rsidR="00B51CFF" w:rsidRDefault="00B51CFF" w:rsidP="00DB1D38">
            <w:pPr>
              <w:pStyle w:val="NotesText"/>
            </w:pPr>
            <w:r>
              <w:rPr>
                <w:rFonts w:cs="Arial"/>
                <w:vanish/>
              </w:rPr>
              <w:t xml:space="preserve">BR_51.10 </w:t>
            </w:r>
            <w:r>
              <w:t>Reagent types selected display on the rack lot number template and the reaction result entry worksheet for each rack in Enter Daily QC Results with some exceptions: gel kit, selected AHG, and automated testing lot numbers.</w:t>
            </w:r>
          </w:p>
          <w:p w14:paraId="1AB5B27A" w14:textId="77777777" w:rsidR="00B51CFF" w:rsidRDefault="00B51CFF" w:rsidP="00DB1D38">
            <w:pPr>
              <w:pStyle w:val="NotesText"/>
            </w:pPr>
          </w:p>
          <w:p w14:paraId="478CA32C" w14:textId="77777777" w:rsidR="00B51CFF" w:rsidRDefault="00B51CFF" w:rsidP="00DB1D38">
            <w:pPr>
              <w:pStyle w:val="NotesText"/>
            </w:pPr>
            <w:r>
              <w:rPr>
                <w:rFonts w:cs="Arial"/>
                <w:vanish/>
              </w:rPr>
              <w:t xml:space="preserve">BR_51.15 </w:t>
            </w:r>
            <w:r>
              <w:t>When previously entered parameters for daily QC rack definitions are changed, VBECS requires a comment before the user saves the update.</w:t>
            </w:r>
          </w:p>
        </w:tc>
      </w:tr>
      <w:tr w:rsidR="00B51CFF" w14:paraId="78650C25" w14:textId="77777777">
        <w:trPr>
          <w:cantSplit/>
        </w:trPr>
        <w:tc>
          <w:tcPr>
            <w:tcW w:w="3240" w:type="dxa"/>
          </w:tcPr>
          <w:p w14:paraId="753DDBDF" w14:textId="77777777" w:rsidR="00B51CFF" w:rsidRDefault="00B51CFF" w:rsidP="00DB1D38">
            <w:pPr>
              <w:pStyle w:val="TableTextNumbers"/>
            </w:pPr>
            <w:r>
              <w:t xml:space="preserve">Click </w:t>
            </w:r>
            <w:r>
              <w:rPr>
                <w:b/>
              </w:rPr>
              <w:t>OK</w:t>
            </w:r>
            <w:r>
              <w:t xml:space="preserve"> to save. </w:t>
            </w:r>
            <w:r>
              <w:rPr>
                <w:vanish/>
                <w:color w:val="FFFFFF"/>
                <w:szCs w:val="18"/>
              </w:rPr>
              <w:fldChar w:fldCharType="begin"/>
            </w:r>
            <w:r>
              <w:rPr>
                <w:vanish/>
                <w:color w:val="FFFFFF"/>
                <w:szCs w:val="18"/>
              </w:rPr>
              <w:instrText xml:space="preserve"> LISTNUM \l 1 \s 0 </w:instrText>
            </w:r>
            <w:r>
              <w:rPr>
                <w:vanish/>
                <w:color w:val="FFFFFF"/>
                <w:szCs w:val="18"/>
              </w:rPr>
              <w:fldChar w:fldCharType="end">
                <w:numberingChange w:id="162" w:author="MUSZYNSKI, THOMAS D. (SIERRA 7 INC)" w:date="2024-11-26T07:15:00Z" w:original="0."/>
              </w:fldChar>
            </w:r>
          </w:p>
        </w:tc>
        <w:tc>
          <w:tcPr>
            <w:tcW w:w="6120" w:type="dxa"/>
          </w:tcPr>
          <w:p w14:paraId="6128E1A3" w14:textId="77777777" w:rsidR="00B51CFF" w:rsidRDefault="00B51CFF" w:rsidP="00DB1D38">
            <w:pPr>
              <w:pStyle w:val="TableText"/>
            </w:pPr>
          </w:p>
        </w:tc>
      </w:tr>
    </w:tbl>
    <w:p w14:paraId="578FD0CA" w14:textId="0C258527" w:rsidR="008F0A39" w:rsidRDefault="008F0A39" w:rsidP="008F0A39">
      <w:pPr>
        <w:pStyle w:val="Caption"/>
      </w:pPr>
      <w:bookmarkStart w:id="163" w:name="_Ref126467867"/>
      <w:bookmarkEnd w:id="161"/>
      <w:r w:rsidRPr="00584AF9">
        <w:lastRenderedPageBreak/>
        <w:t xml:space="preserve">Figure </w:t>
      </w:r>
      <w:r w:rsidR="00C17F7C">
        <w:fldChar w:fldCharType="begin"/>
      </w:r>
      <w:r w:rsidR="00C17F7C" w:rsidRPr="001E3F01">
        <w:rPr>
          <w:lang w:val="fr-CA"/>
        </w:rPr>
        <w:instrText xml:space="preserve"> SEQ Figure \* ARABIC </w:instrText>
      </w:r>
      <w:r w:rsidR="00C17F7C">
        <w:fldChar w:fldCharType="separate"/>
      </w:r>
      <w:r w:rsidR="007D1829">
        <w:rPr>
          <w:noProof/>
          <w:lang w:val="fr-CA"/>
        </w:rPr>
        <w:t>24</w:t>
      </w:r>
      <w:r w:rsidR="00C17F7C">
        <w:fldChar w:fldCharType="end"/>
      </w:r>
      <w:bookmarkEnd w:id="163"/>
      <w:r w:rsidRPr="00584AF9">
        <w:t>: Commercial and Non-Commercial Radio Buttons</w:t>
      </w:r>
    </w:p>
    <w:p w14:paraId="67597968" w14:textId="6E938463" w:rsidR="009A11E3" w:rsidRPr="009A11E3" w:rsidRDefault="009A11E3" w:rsidP="009A11E3">
      <w:pPr>
        <w:pStyle w:val="BodyText"/>
      </w:pPr>
      <w:r>
        <w:rPr>
          <w:noProof/>
        </w:rPr>
        <w:drawing>
          <wp:inline distT="0" distB="0" distL="0" distR="0" wp14:anchorId="2C4AC29A" wp14:editId="43B4FC9A">
            <wp:extent cx="5943600" cy="4345167"/>
            <wp:effectExtent l="0" t="0" r="0" b="0"/>
            <wp:docPr id="1" name="Picture 1" descr="Example of Commercial and Non-Commercial Radio Buttons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xample of Commercial and Non-Commercial Radio Buttons screen capture"/>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5943600" cy="4345167"/>
                    </a:xfrm>
                    <a:prstGeom prst="rect">
                      <a:avLst/>
                    </a:prstGeom>
                    <a:noFill/>
                    <a:ln>
                      <a:noFill/>
                    </a:ln>
                  </pic:spPr>
                </pic:pic>
              </a:graphicData>
            </a:graphic>
          </wp:inline>
        </w:drawing>
      </w:r>
    </w:p>
    <w:p w14:paraId="4349BE35" w14:textId="2D9F4FD8" w:rsidR="0053799A" w:rsidRDefault="0053799A" w:rsidP="00424F28">
      <w:pPr>
        <w:pStyle w:val="BodyText"/>
      </w:pPr>
    </w:p>
    <w:p w14:paraId="7F12D583" w14:textId="77777777" w:rsidR="00733B28" w:rsidRPr="008000E5" w:rsidRDefault="00B51CFF" w:rsidP="0053799A">
      <w:pPr>
        <w:pStyle w:val="Heading2"/>
      </w:pPr>
      <w:r w:rsidRPr="008000E5">
        <w:br w:type="page"/>
      </w:r>
      <w:bookmarkStart w:id="164" w:name="_Ref100826654"/>
      <w:bookmarkStart w:id="165" w:name="_Toc203765859"/>
      <w:r w:rsidR="00733B28" w:rsidRPr="008000E5">
        <w:lastRenderedPageBreak/>
        <w:t>Configure Division</w:t>
      </w:r>
      <w:bookmarkEnd w:id="164"/>
      <w:bookmarkEnd w:id="165"/>
      <w:r w:rsidR="00733B28">
        <w:fldChar w:fldCharType="begin"/>
      </w:r>
      <w:r w:rsidR="00733B28" w:rsidRPr="008000E5">
        <w:instrText xml:space="preserve"> XE "Configure Division" </w:instrText>
      </w:r>
      <w:r w:rsidR="00733B28">
        <w:fldChar w:fldCharType="end"/>
      </w:r>
    </w:p>
    <w:p w14:paraId="1095EFC3" w14:textId="77777777" w:rsidR="002A21AE" w:rsidRPr="008000E5" w:rsidRDefault="00D567C9" w:rsidP="007716F7">
      <w:pPr>
        <w:pStyle w:val="Heading3"/>
      </w:pPr>
      <w:bookmarkStart w:id="166" w:name="_Toc63680384"/>
      <w:bookmarkStart w:id="167" w:name="_Toc87166918"/>
      <w:bookmarkStart w:id="168" w:name="_Toc203765860"/>
      <w:r w:rsidRPr="008000E5">
        <w:t>Configure Division</w:t>
      </w:r>
      <w:bookmarkEnd w:id="166"/>
      <w:bookmarkEnd w:id="167"/>
      <w:bookmarkEnd w:id="168"/>
      <w:r w:rsidR="00733B28">
        <w:fldChar w:fldCharType="begin"/>
      </w:r>
      <w:r w:rsidR="00733B28" w:rsidRPr="008000E5">
        <w:instrText xml:space="preserve"> XE "Configure Division" </w:instrText>
      </w:r>
      <w:r w:rsidR="00733B28">
        <w:fldChar w:fldCharType="end"/>
      </w:r>
      <w:r w:rsidR="002A21AE" w:rsidRPr="008000E5">
        <w:rPr>
          <w:rFonts w:ascii="Arial Bold" w:hAnsi="Arial Bold"/>
          <w:vanish/>
        </w:rPr>
        <w:t xml:space="preserve"> UC_09</w:t>
      </w:r>
    </w:p>
    <w:p w14:paraId="631BD857" w14:textId="07D7291A" w:rsidR="002A21AE" w:rsidRDefault="002A21AE" w:rsidP="00FA7E65">
      <w:pPr>
        <w:pStyle w:val="BodyText"/>
      </w:pPr>
      <w:r>
        <w:t xml:space="preserve">A user defines site parameters that affect how VBECS behaves at a specific division. VBECS may be configured to function differently at each division within a </w:t>
      </w:r>
      <w:r w:rsidR="002F48C2">
        <w:t xml:space="preserve">multidivisional </w:t>
      </w:r>
      <w:r>
        <w:t>database. Site parameters may be redefined.</w:t>
      </w:r>
      <w:r w:rsidR="00E90A01">
        <w:t xml:space="preserve"> For additional information, see </w:t>
      </w:r>
      <w:r w:rsidR="00EE455E">
        <w:t xml:space="preserve">Appendix </w:t>
      </w:r>
      <w:r w:rsidR="00EE455E">
        <w:rPr>
          <w:noProof/>
        </w:rPr>
        <w:t>G</w:t>
      </w:r>
      <w:r w:rsidR="00EE455E">
        <w:t>: Work Process Flowcharts</w:t>
      </w:r>
      <w:r w:rsidR="00E90A01">
        <w:t>.</w:t>
      </w:r>
    </w:p>
    <w:p w14:paraId="3E476CE7" w14:textId="77777777" w:rsidR="002A21AE" w:rsidRDefault="002A21AE">
      <w:pPr>
        <w:pStyle w:val="Heading4"/>
      </w:pPr>
      <w:r>
        <w:t>Assumptions</w:t>
      </w:r>
    </w:p>
    <w:p w14:paraId="5529B7F4" w14:textId="77777777" w:rsidR="002A21AE" w:rsidRDefault="002A21AE">
      <w:pPr>
        <w:pStyle w:val="ListBullet"/>
      </w:pPr>
      <w:r>
        <w:t xml:space="preserve">The site administrator defines the VBECS configuration, adds users, and assigns privileges for each division so that they mirror the associated </w:t>
      </w:r>
      <w:r w:rsidR="00CA0045" w:rsidRPr="00CA0045">
        <w:rPr>
          <w:bCs/>
        </w:rPr>
        <w:t>VistA</w:t>
      </w:r>
      <w:r>
        <w:t xml:space="preserve"> database.</w:t>
      </w:r>
    </w:p>
    <w:p w14:paraId="3C82E3E8" w14:textId="77777777" w:rsidR="002A21AE" w:rsidRDefault="002A21AE">
      <w:pPr>
        <w:pStyle w:val="Heading4"/>
      </w:pPr>
      <w:r>
        <w:t>Outcome</w:t>
      </w:r>
    </w:p>
    <w:p w14:paraId="046E1413" w14:textId="77777777" w:rsidR="002A21AE" w:rsidRDefault="002A21AE">
      <w:pPr>
        <w:pStyle w:val="ListBullet"/>
      </w:pPr>
      <w:r>
        <w:t xml:space="preserve">Functional parameters are set for divisions that use the </w:t>
      </w:r>
      <w:r w:rsidR="00CA0045" w:rsidRPr="00CA0045">
        <w:rPr>
          <w:bCs/>
        </w:rPr>
        <w:t>VistA</w:t>
      </w:r>
      <w:r>
        <w:t xml:space="preserve"> database.</w:t>
      </w:r>
    </w:p>
    <w:p w14:paraId="0E04D9BF" w14:textId="77777777" w:rsidR="002A21AE" w:rsidRDefault="002A21AE">
      <w:pPr>
        <w:pStyle w:val="Heading4"/>
      </w:pPr>
      <w:r>
        <w:t>Limitations and Restrictions</w:t>
      </w:r>
    </w:p>
    <w:p w14:paraId="6B223ABE" w14:textId="0346E109" w:rsidR="002A21AE" w:rsidRDefault="0041670F">
      <w:pPr>
        <w:pStyle w:val="ListBullet"/>
      </w:pPr>
      <w:r>
        <w:t xml:space="preserve">Changes made to the division setting are not applied to a user until they re-connect to VBECS after the change is made. It is highly recommended that all users </w:t>
      </w:r>
      <w:r w:rsidR="00262E92">
        <w:t>sign out</w:t>
      </w:r>
      <w:r>
        <w:t xml:space="preserve"> of VBECS prior to any configuration setting change.</w:t>
      </w:r>
      <w:r>
        <w:rPr>
          <w:vanish/>
        </w:rPr>
        <w:t xml:space="preserve"> DR 4136</w:t>
      </w:r>
    </w:p>
    <w:p w14:paraId="1B347A5F" w14:textId="77777777" w:rsidR="002E7EBF" w:rsidRDefault="002E7EBF" w:rsidP="002E7EBF">
      <w:pPr>
        <w:pStyle w:val="Caution"/>
      </w:pPr>
      <w:r>
        <w:t xml:space="preserve">It is recommended that users configure a division before configuring testing (click the </w:t>
      </w:r>
      <w:r>
        <w:rPr>
          <w:b/>
        </w:rPr>
        <w:t xml:space="preserve">Configure Testing </w:t>
      </w:r>
      <w:r w:rsidRPr="007004B1">
        <w:t>tab</w:t>
      </w:r>
      <w:r>
        <w:t>).</w:t>
      </w:r>
    </w:p>
    <w:p w14:paraId="47473EFD" w14:textId="77777777" w:rsidR="002A21AE" w:rsidRDefault="002A21AE">
      <w:pPr>
        <w:pStyle w:val="Heading4"/>
      </w:pPr>
      <w:r>
        <w:t>Additional Information</w:t>
      </w:r>
    </w:p>
    <w:p w14:paraId="13485DC2" w14:textId="2CB956BB" w:rsidR="002A21AE" w:rsidRPr="000C7C69" w:rsidRDefault="00C428B3" w:rsidP="004D7ECB">
      <w:pPr>
        <w:pStyle w:val="ListBullet"/>
      </w:pPr>
      <w:r>
        <w:t>To incorporate changes in division codes and names from</w:t>
      </w:r>
      <w:r w:rsidR="004D7ECB">
        <w:t xml:space="preserve"> V</w:t>
      </w:r>
      <w:r>
        <w:t>istA to VBECS,</w:t>
      </w:r>
      <w:r w:rsidR="00844E41">
        <w:t xml:space="preserve"> and to change time zones, </w:t>
      </w:r>
      <w:r w:rsidR="004D7ECB">
        <w:t>see</w:t>
      </w:r>
      <w:r w:rsidR="00BA2EAA">
        <w:t xml:space="preserve"> the</w:t>
      </w:r>
      <w:r w:rsidR="004D7ECB">
        <w:t xml:space="preserve"> </w:t>
      </w:r>
      <w:r w:rsidR="004D7ECB" w:rsidRPr="004D7ECB">
        <w:rPr>
          <w:i/>
        </w:rPr>
        <w:t>V</w:t>
      </w:r>
      <w:r w:rsidR="00BA2EAA">
        <w:rPr>
          <w:i/>
        </w:rPr>
        <w:t>BECS 2.</w:t>
      </w:r>
      <w:r w:rsidR="00397587">
        <w:rPr>
          <w:i/>
        </w:rPr>
        <w:t>4.0</w:t>
      </w:r>
      <w:r w:rsidR="00BA2EAA">
        <w:rPr>
          <w:i/>
        </w:rPr>
        <w:t xml:space="preserve"> Admin User</w:t>
      </w:r>
      <w:r w:rsidR="004D7ECB" w:rsidRPr="004D7ECB">
        <w:rPr>
          <w:i/>
        </w:rPr>
        <w:t xml:space="preserve"> Guid</w:t>
      </w:r>
      <w:r w:rsidR="004D7ECB" w:rsidRPr="00461A0A">
        <w:rPr>
          <w:i/>
        </w:rPr>
        <w:t>e</w:t>
      </w:r>
      <w:r w:rsidR="004D7ECB" w:rsidRPr="00461A0A">
        <w:rPr>
          <w:rFonts w:ascii="Arial" w:hAnsi="Arial"/>
          <w:snapToGrid w:val="0"/>
          <w:sz w:val="18"/>
        </w:rPr>
        <w:t>.</w:t>
      </w:r>
    </w:p>
    <w:p w14:paraId="5A4199E4" w14:textId="77777777" w:rsidR="000C7C69" w:rsidRPr="00844E41" w:rsidRDefault="000C7C69" w:rsidP="004D7ECB">
      <w:pPr>
        <w:pStyle w:val="ListBullet"/>
      </w:pPr>
      <w:r>
        <w:t xml:space="preserve">VBECS records configuration changes </w:t>
      </w:r>
      <w:r w:rsidR="00D84237">
        <w:t xml:space="preserve">(such as time zone) </w:t>
      </w:r>
      <w:r>
        <w:t>on the Audit Trail Report.</w:t>
      </w:r>
    </w:p>
    <w:p w14:paraId="21B9A56F" w14:textId="77777777" w:rsidR="002A21AE" w:rsidRDefault="002A21AE" w:rsidP="00461A0A">
      <w:pPr>
        <w:pStyle w:val="Heading4"/>
        <w:tabs>
          <w:tab w:val="center" w:pos="4680"/>
        </w:tabs>
      </w:pPr>
      <w:r>
        <w:t xml:space="preserve">User Roles with Access to This Option </w:t>
      </w:r>
      <w:r w:rsidR="00461A0A">
        <w:tab/>
      </w:r>
    </w:p>
    <w:p w14:paraId="6A0C527D" w14:textId="77777777" w:rsidR="00237C52" w:rsidRDefault="00237C52" w:rsidP="00237C52">
      <w:pPr>
        <w:pStyle w:val="Roles"/>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Administrator/Supervisor</w:t>
      </w:r>
    </w:p>
    <w:p w14:paraId="75C563F7" w14:textId="77777777" w:rsidR="002A21AE" w:rsidRDefault="00D567C9">
      <w:pPr>
        <w:pStyle w:val="Heading4"/>
      </w:pPr>
      <w:r>
        <w:t>Configure Division</w:t>
      </w:r>
    </w:p>
    <w:p w14:paraId="309903C7" w14:textId="77777777" w:rsidR="002A21AE" w:rsidRDefault="002A21AE" w:rsidP="00FA7E65">
      <w:pPr>
        <w:pStyle w:val="BodyText"/>
      </w:pPr>
      <w:r>
        <w:t>Once VBECS is configured to identify all of the divisions, the user sets up critical fields required for routine use of VBECS.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47A53C16" w14:textId="77777777">
        <w:trPr>
          <w:cantSplit/>
          <w:tblHeader/>
        </w:trPr>
        <w:tc>
          <w:tcPr>
            <w:tcW w:w="3240" w:type="dxa"/>
            <w:shd w:val="pct30" w:color="auto" w:fill="FFFFFF"/>
            <w:vAlign w:val="bottom"/>
          </w:tcPr>
          <w:p w14:paraId="7932A54F" w14:textId="77777777" w:rsidR="002A21AE" w:rsidRDefault="002A21AE">
            <w:pPr>
              <w:pStyle w:val="TableText"/>
              <w:rPr>
                <w:b/>
              </w:rPr>
            </w:pPr>
            <w:r>
              <w:rPr>
                <w:b/>
              </w:rPr>
              <w:t>User Action</w:t>
            </w:r>
          </w:p>
        </w:tc>
        <w:tc>
          <w:tcPr>
            <w:tcW w:w="6120" w:type="dxa"/>
            <w:shd w:val="pct30" w:color="auto" w:fill="FFFFFF"/>
            <w:vAlign w:val="bottom"/>
          </w:tcPr>
          <w:p w14:paraId="26FCB47F" w14:textId="77777777" w:rsidR="002A21AE" w:rsidRDefault="002A21AE">
            <w:pPr>
              <w:pStyle w:val="TableText"/>
              <w:rPr>
                <w:b/>
              </w:rPr>
            </w:pPr>
            <w:r>
              <w:rPr>
                <w:b/>
              </w:rPr>
              <w:t>VBECS</w:t>
            </w:r>
          </w:p>
        </w:tc>
      </w:tr>
      <w:tr w:rsidR="002A21AE" w14:paraId="1000E946" w14:textId="77777777">
        <w:tc>
          <w:tcPr>
            <w:tcW w:w="3240" w:type="dxa"/>
          </w:tcPr>
          <w:p w14:paraId="28FEEA91" w14:textId="77777777" w:rsidR="002A21AE" w:rsidRDefault="002A21AE">
            <w:pPr>
              <w:pStyle w:val="TableTextNumbers"/>
            </w:pPr>
            <w:r>
              <w:t xml:space="preserve">Select </w:t>
            </w:r>
            <w:r>
              <w:rPr>
                <w:b/>
                <w:bCs/>
              </w:rPr>
              <w:t>Tools</w:t>
            </w:r>
            <w:r>
              <w:t xml:space="preserve"> from the main menu.</w:t>
            </w:r>
          </w:p>
          <w:p w14:paraId="56797698" w14:textId="77777777" w:rsidR="002A21AE" w:rsidRDefault="002A21AE">
            <w:pPr>
              <w:pStyle w:val="TableTextNumbersContinued"/>
              <w:rPr>
                <w:b/>
                <w:bCs/>
              </w:rPr>
            </w:pPr>
          </w:p>
          <w:p w14:paraId="0CC78EB9" w14:textId="207BDAFA" w:rsidR="002A21AE" w:rsidRDefault="002A21AE">
            <w:pPr>
              <w:pStyle w:val="TableTextNumbersContinued"/>
              <w:rPr>
                <w:b/>
                <w:bCs/>
              </w:rPr>
            </w:pPr>
            <w:r w:rsidRPr="00090795">
              <w:rPr>
                <w:bCs/>
              </w:rPr>
              <w:t>Select</w:t>
            </w:r>
            <w:r>
              <w:rPr>
                <w:b/>
                <w:bCs/>
              </w:rPr>
              <w:t xml:space="preserve"> Configure Division</w:t>
            </w:r>
            <w:r w:rsidR="004E4889">
              <w:rPr>
                <w:b/>
                <w:bCs/>
              </w:rPr>
              <w:t xml:space="preserve"> </w:t>
            </w:r>
            <w:r w:rsidR="004E4889" w:rsidRPr="004E4889">
              <w:rPr>
                <w:bCs/>
              </w:rPr>
              <w:t>(</w:t>
            </w:r>
            <w:r w:rsidR="00EE455E">
              <w:t xml:space="preserve">Figure </w:t>
            </w:r>
            <w:r w:rsidR="00EE455E">
              <w:rPr>
                <w:noProof/>
              </w:rPr>
              <w:t>24</w:t>
            </w:r>
            <w:r w:rsidR="004E4889" w:rsidRPr="004E4889">
              <w:rPr>
                <w:bCs/>
              </w:rPr>
              <w:t>)</w:t>
            </w:r>
            <w:r w:rsidRPr="00090795">
              <w:rPr>
                <w:bCs/>
              </w:rPr>
              <w:t>.</w:t>
            </w:r>
          </w:p>
        </w:tc>
        <w:tc>
          <w:tcPr>
            <w:tcW w:w="6120" w:type="dxa"/>
          </w:tcPr>
          <w:p w14:paraId="5EBAF917" w14:textId="77777777" w:rsidR="002A21AE" w:rsidRDefault="002A21AE">
            <w:pPr>
              <w:pStyle w:val="TableTextBullet"/>
            </w:pPr>
            <w:r>
              <w:t>Displays options for processing administrative functions.</w:t>
            </w:r>
          </w:p>
          <w:p w14:paraId="45F2D5CD" w14:textId="77777777" w:rsidR="002A21AE" w:rsidRDefault="002A21AE">
            <w:pPr>
              <w:pStyle w:val="TableTextBullet"/>
            </w:pPr>
            <w:r>
              <w:t>Displays the Configure Division tab with fields for entering division-specific blood product information.</w:t>
            </w:r>
          </w:p>
        </w:tc>
      </w:tr>
      <w:tr w:rsidR="002A21AE" w14:paraId="5551F766" w14:textId="77777777" w:rsidTr="007E500E">
        <w:trPr>
          <w:cantSplit/>
        </w:trPr>
        <w:tc>
          <w:tcPr>
            <w:tcW w:w="3240" w:type="dxa"/>
          </w:tcPr>
          <w:p w14:paraId="0E01E711" w14:textId="77777777" w:rsidR="002A21AE" w:rsidRDefault="002A21AE">
            <w:pPr>
              <w:pStyle w:val="TableTextNumbers"/>
            </w:pPr>
            <w:r>
              <w:lastRenderedPageBreak/>
              <w:t xml:space="preserve">Enter the ICCBBA </w:t>
            </w:r>
            <w:r w:rsidR="00B85812">
              <w:t>Registration Number</w:t>
            </w:r>
            <w:r>
              <w:t>, the medical director’s name (or select it from the drop-down list), and the maximum number of days until the specimen expires in their respective fields.</w:t>
            </w:r>
          </w:p>
        </w:tc>
        <w:tc>
          <w:tcPr>
            <w:tcW w:w="6120" w:type="dxa"/>
          </w:tcPr>
          <w:p w14:paraId="7A0A3956" w14:textId="77777777" w:rsidR="002A21AE" w:rsidRDefault="002A21AE">
            <w:pPr>
              <w:pStyle w:val="TableText"/>
            </w:pPr>
          </w:p>
          <w:p w14:paraId="754680FD" w14:textId="25FC3267" w:rsidR="002A21AE" w:rsidRDefault="002A21AE">
            <w:pPr>
              <w:pStyle w:val="TableText"/>
              <w:rPr>
                <w:b/>
                <w:bCs/>
                <w:szCs w:val="18"/>
              </w:rPr>
            </w:pPr>
            <w:r>
              <w:rPr>
                <w:b/>
                <w:bCs/>
                <w:szCs w:val="18"/>
              </w:rPr>
              <w:t>NOTES</w:t>
            </w:r>
          </w:p>
          <w:p w14:paraId="2CCF67B7" w14:textId="77777777" w:rsidR="002A21AE" w:rsidRDefault="002A21AE">
            <w:pPr>
              <w:pStyle w:val="NotesText"/>
            </w:pPr>
          </w:p>
          <w:p w14:paraId="2BCAB06C" w14:textId="77777777" w:rsidR="002A21AE" w:rsidRDefault="002A21AE">
            <w:pPr>
              <w:pStyle w:val="NotesText"/>
            </w:pPr>
            <w:r w:rsidRPr="00E274BF">
              <w:rPr>
                <w:rFonts w:cs="Arial"/>
                <w:vanish/>
                <w:szCs w:val="18"/>
              </w:rPr>
              <w:t>BR_9.04</w:t>
            </w:r>
            <w:r w:rsidRPr="009660C3">
              <w:rPr>
                <w:vanish/>
                <w:szCs w:val="18"/>
              </w:rPr>
              <w:t xml:space="preserve"> </w:t>
            </w:r>
            <w:r>
              <w:t xml:space="preserve">An ICCBBA </w:t>
            </w:r>
            <w:r w:rsidR="00B85812">
              <w:t>Registration Number</w:t>
            </w:r>
            <w:r>
              <w:t xml:space="preserve"> contains an alphabetical character followed by four numeric characters.</w:t>
            </w:r>
          </w:p>
          <w:p w14:paraId="19DEEA04" w14:textId="77777777" w:rsidR="002A21AE" w:rsidRDefault="002A21AE">
            <w:pPr>
              <w:pStyle w:val="NotesText"/>
            </w:pPr>
          </w:p>
          <w:p w14:paraId="17C45992" w14:textId="77777777" w:rsidR="002A21AE" w:rsidRDefault="002A21AE">
            <w:pPr>
              <w:pStyle w:val="NotesText"/>
            </w:pPr>
            <w:r w:rsidRPr="00E274BF">
              <w:rPr>
                <w:rFonts w:cs="Arial"/>
                <w:vanish/>
                <w:szCs w:val="18"/>
              </w:rPr>
              <w:t>BR_9.07</w:t>
            </w:r>
            <w:r w:rsidRPr="009660C3">
              <w:rPr>
                <w:vanish/>
                <w:szCs w:val="18"/>
              </w:rPr>
              <w:t xml:space="preserve"> </w:t>
            </w:r>
            <w:r>
              <w:t>A user may enter the name of the blood bank medical director or acting medical director to appear on reports. The user may edit the name and title but may select only one name at a time for use. VBECS saves these edits for retrieval.</w:t>
            </w:r>
          </w:p>
          <w:p w14:paraId="62ACFFC4" w14:textId="77777777" w:rsidR="002A21AE" w:rsidRDefault="002A21AE">
            <w:pPr>
              <w:pStyle w:val="NotesText"/>
            </w:pPr>
          </w:p>
          <w:p w14:paraId="21DCF838" w14:textId="77777777" w:rsidR="002A21AE" w:rsidRDefault="002A21AE">
            <w:pPr>
              <w:pStyle w:val="NotesText"/>
            </w:pPr>
            <w:r w:rsidRPr="00E274BF">
              <w:rPr>
                <w:rFonts w:cs="Arial"/>
                <w:vanish/>
                <w:szCs w:val="18"/>
              </w:rPr>
              <w:t>BR_9.05</w:t>
            </w:r>
            <w:r w:rsidRPr="009660C3">
              <w:rPr>
                <w:vanish/>
                <w:szCs w:val="18"/>
              </w:rPr>
              <w:t xml:space="preserve"> </w:t>
            </w:r>
            <w:r>
              <w:t>The user may edit the default setting for the maximum number of specimen expiration days from “3” to any value from “3” to “93.”</w:t>
            </w:r>
          </w:p>
          <w:p w14:paraId="352B330B" w14:textId="77777777" w:rsidR="00B24419" w:rsidRPr="0015382B" w:rsidRDefault="00B24419">
            <w:pPr>
              <w:pStyle w:val="NotesText"/>
            </w:pPr>
            <w:r w:rsidRPr="00B24419">
              <w:t>This setting allows the user to extend the expiration date of any one specimen to the maximum date indicated.  This does not change the normal specimen expiration date of all specimens received</w:t>
            </w:r>
            <w:r>
              <w:t>.</w:t>
            </w:r>
            <w:r w:rsidR="0015382B">
              <w:rPr>
                <w:vanish/>
              </w:rPr>
              <w:t xml:space="preserve"> DR 3592</w:t>
            </w:r>
          </w:p>
        </w:tc>
      </w:tr>
      <w:tr w:rsidR="002A21AE" w14:paraId="50815A23" w14:textId="77777777">
        <w:tc>
          <w:tcPr>
            <w:tcW w:w="3240" w:type="dxa"/>
          </w:tcPr>
          <w:p w14:paraId="448CEC0E" w14:textId="77777777" w:rsidR="002A21AE" w:rsidRDefault="002A21AE">
            <w:pPr>
              <w:pStyle w:val="TableTextNumbers"/>
            </w:pPr>
            <w:r>
              <w:t xml:space="preserve">Click </w:t>
            </w:r>
            <w:r>
              <w:rPr>
                <w:b/>
              </w:rPr>
              <w:t xml:space="preserve">OK </w:t>
            </w:r>
            <w:r>
              <w:t xml:space="preserve">to save and click </w:t>
            </w:r>
            <w:r>
              <w:rPr>
                <w:b/>
              </w:rPr>
              <w:t>OK</w:t>
            </w:r>
            <w:r>
              <w:t xml:space="preserve"> again to confirm the save and exit, or click another tab. </w:t>
            </w:r>
            <w:r>
              <w:rPr>
                <w:vanish/>
                <w:color w:val="FFFFFF"/>
                <w:szCs w:val="18"/>
              </w:rPr>
              <w:fldChar w:fldCharType="begin"/>
            </w:r>
            <w:r>
              <w:rPr>
                <w:vanish/>
                <w:color w:val="FFFFFF"/>
                <w:szCs w:val="18"/>
              </w:rPr>
              <w:instrText xml:space="preserve"> LISTNUM \l 1 \s 0 </w:instrText>
            </w:r>
            <w:r>
              <w:rPr>
                <w:vanish/>
                <w:color w:val="FFFFFF"/>
                <w:szCs w:val="18"/>
              </w:rPr>
              <w:fldChar w:fldCharType="end">
                <w:numberingChange w:id="169" w:author="MUSZYNSKI, THOMAS D. (SIERRA 7 INC)" w:date="2024-11-26T07:15:00Z" w:original="0."/>
              </w:fldChar>
            </w:r>
          </w:p>
        </w:tc>
        <w:tc>
          <w:tcPr>
            <w:tcW w:w="6120" w:type="dxa"/>
          </w:tcPr>
          <w:p w14:paraId="6D48B36B" w14:textId="77777777" w:rsidR="002A21AE" w:rsidRDefault="002A21AE">
            <w:pPr>
              <w:pStyle w:val="TableTextBullet"/>
            </w:pPr>
            <w:r>
              <w:t>Displays the information entered.</w:t>
            </w:r>
          </w:p>
          <w:p w14:paraId="19180403" w14:textId="77777777" w:rsidR="002A21AE" w:rsidRDefault="002A21AE">
            <w:pPr>
              <w:pStyle w:val="TableTextBullet"/>
            </w:pPr>
            <w:r>
              <w:t>Requests confirmation to update the database.</w:t>
            </w:r>
          </w:p>
          <w:p w14:paraId="495EAF8C" w14:textId="77777777" w:rsidR="002A21AE" w:rsidRDefault="002A21AE" w:rsidP="002E7EBF">
            <w:pPr>
              <w:pStyle w:val="TableTextBullet"/>
            </w:pPr>
            <w:r>
              <w:t>Updates the database.</w:t>
            </w:r>
          </w:p>
        </w:tc>
      </w:tr>
    </w:tbl>
    <w:p w14:paraId="0D6BC71C" w14:textId="0833AA72" w:rsidR="00D43EF7" w:rsidRDefault="00D43EF7" w:rsidP="00D43EF7">
      <w:pPr>
        <w:pStyle w:val="Caption"/>
      </w:pPr>
      <w:bookmarkStart w:id="170" w:name="_Ref126467884"/>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7D1829">
        <w:rPr>
          <w:noProof/>
        </w:rPr>
        <w:t>25</w:t>
      </w:r>
      <w:r w:rsidR="004E20BD">
        <w:rPr>
          <w:noProof/>
        </w:rPr>
        <w:fldChar w:fldCharType="end"/>
      </w:r>
      <w:bookmarkEnd w:id="170"/>
      <w:r>
        <w:t xml:space="preserve">: </w:t>
      </w:r>
      <w:r w:rsidR="00954B38">
        <w:t xml:space="preserve">Example of </w:t>
      </w:r>
      <w:r>
        <w:t>Configure Division Tabs</w:t>
      </w:r>
    </w:p>
    <w:p w14:paraId="7AC24134" w14:textId="77777777" w:rsidR="008D2925" w:rsidRDefault="00057948" w:rsidP="008D2925">
      <w:pPr>
        <w:pStyle w:val="BodyText"/>
      </w:pPr>
      <w:r>
        <w:rPr>
          <w:noProof/>
        </w:rPr>
        <mc:AlternateContent>
          <mc:Choice Requires="wps">
            <w:drawing>
              <wp:anchor distT="0" distB="0" distL="114300" distR="114300" simplePos="0" relativeHeight="251658241" behindDoc="0" locked="0" layoutInCell="1" allowOverlap="1" wp14:anchorId="325F0D8A" wp14:editId="55061BF0">
                <wp:simplePos x="0" y="0"/>
                <wp:positionH relativeFrom="column">
                  <wp:posOffset>0</wp:posOffset>
                </wp:positionH>
                <wp:positionV relativeFrom="paragraph">
                  <wp:posOffset>478790</wp:posOffset>
                </wp:positionV>
                <wp:extent cx="3086100" cy="457200"/>
                <wp:effectExtent l="9525" t="12065" r="9525" b="6985"/>
                <wp:wrapNone/>
                <wp:docPr id="566" name="Oval 114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86100" cy="457200"/>
                        </a:xfrm>
                        <a:prstGeom prst="ellipse">
                          <a:avLst/>
                        </a:prstGeom>
                        <a:solidFill>
                          <a:srgbClr val="FFFFFF">
                            <a:alpha val="0"/>
                          </a:srgbClr>
                        </a:solidFill>
                        <a:ln w="9525" algn="ctr">
                          <a:solidFill>
                            <a:srgbClr val="FF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E867BF1" id="Oval 1144" o:spid="_x0000_s1026" alt="&quot;&quot;" style="position:absolute;margin-left:0;margin-top:37.7pt;width:243pt;height:36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" strokecolor="red">
                <v:fill opacity="0"/>
              </v:oval>
            </w:pict>
          </mc:Fallback>
        </mc:AlternateContent>
      </w:r>
      <w:r>
        <w:rPr>
          <w:noProof/>
        </w:rPr>
        <w:drawing>
          <wp:inline distT="0" distB="0" distL="0" distR="0" wp14:anchorId="5BDB2B2E" wp14:editId="6778162A">
            <wp:extent cx="3195955" cy="3204845"/>
            <wp:effectExtent l="0" t="0" r="4445" b="0"/>
            <wp:docPr id="127" name="Picture 127" descr="Example of Configure Division Tabs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Picture 127" descr="Example of Configure Division Tabs screen capture"/>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3195955" cy="3204845"/>
                    </a:xfrm>
                    <a:prstGeom prst="rect">
                      <a:avLst/>
                    </a:prstGeom>
                    <a:noFill/>
                    <a:ln>
                      <a:noFill/>
                    </a:ln>
                  </pic:spPr>
                </pic:pic>
              </a:graphicData>
            </a:graphic>
          </wp:inline>
        </w:drawing>
      </w:r>
    </w:p>
    <w:p w14:paraId="094C6566" w14:textId="77777777" w:rsidR="002A21AE" w:rsidRDefault="00AF089A" w:rsidP="007716F7">
      <w:pPr>
        <w:pStyle w:val="Heading3"/>
      </w:pPr>
      <w:r>
        <w:br w:type="page"/>
      </w:r>
      <w:bookmarkStart w:id="171" w:name="_Toc203765861"/>
      <w:r w:rsidR="002A21AE" w:rsidRPr="007716F7">
        <w:lastRenderedPageBreak/>
        <w:t>Configure Testing</w:t>
      </w:r>
      <w:bookmarkEnd w:id="171"/>
      <w:r w:rsidR="002A21AE" w:rsidRPr="00796039">
        <w:rPr>
          <w:rFonts w:ascii="Arial Bold" w:hAnsi="Arial Bold"/>
          <w:vanish/>
        </w:rPr>
        <w:fldChar w:fldCharType="begin"/>
      </w:r>
      <w:r w:rsidR="002A21AE" w:rsidRPr="00796039">
        <w:rPr>
          <w:rFonts w:ascii="Arial Bold" w:hAnsi="Arial Bold"/>
          <w:vanish/>
        </w:rPr>
        <w:instrText xml:space="preserve"> XE </w:instrText>
      </w:r>
      <w:r w:rsidR="00FA7E65" w:rsidRPr="00796039">
        <w:rPr>
          <w:rFonts w:ascii="Arial Bold" w:hAnsi="Arial Bold"/>
          <w:vanish/>
        </w:rPr>
        <w:instrText>“</w:instrText>
      </w:r>
      <w:r w:rsidR="007716F7" w:rsidRPr="00796039">
        <w:rPr>
          <w:rFonts w:ascii="Arial Bold" w:hAnsi="Arial Bold"/>
          <w:vanish/>
        </w:rPr>
        <w:instrText xml:space="preserve">Configure </w:instrText>
      </w:r>
      <w:r w:rsidR="002A21AE" w:rsidRPr="00796039">
        <w:rPr>
          <w:rFonts w:ascii="Arial Bold" w:hAnsi="Arial Bold"/>
          <w:vanish/>
        </w:rPr>
        <w:instrText>Testing</w:instrText>
      </w:r>
      <w:r w:rsidR="00FA7E65" w:rsidRPr="00796039">
        <w:rPr>
          <w:rFonts w:ascii="Arial Bold" w:hAnsi="Arial Bold"/>
          <w:vanish/>
        </w:rPr>
        <w:instrText>”</w:instrText>
      </w:r>
      <w:r w:rsidR="002A21AE" w:rsidRPr="00796039">
        <w:rPr>
          <w:rFonts w:ascii="Arial Bold" w:hAnsi="Arial Bold"/>
          <w:vanish/>
        </w:rPr>
        <w:instrText xml:space="preserve"> </w:instrText>
      </w:r>
      <w:r w:rsidR="002A21AE" w:rsidRPr="00796039">
        <w:rPr>
          <w:rFonts w:ascii="Arial Bold" w:hAnsi="Arial Bold"/>
          <w:vanish/>
        </w:rPr>
        <w:fldChar w:fldCharType="end"/>
      </w:r>
      <w:r w:rsidR="002A21AE" w:rsidRPr="00796039">
        <w:rPr>
          <w:rFonts w:ascii="Arial Bold" w:hAnsi="Arial Bold"/>
          <w:vanish/>
        </w:rPr>
        <w:t xml:space="preserve"> UC_55</w:t>
      </w:r>
    </w:p>
    <w:p w14:paraId="52DAB71F" w14:textId="77777777" w:rsidR="002A21AE" w:rsidRDefault="002A21AE" w:rsidP="00FA7E65">
      <w:pPr>
        <w:pStyle w:val="BodyText"/>
      </w:pPr>
      <w:r>
        <w:t xml:space="preserve">The user sets testing preferences according to a division’s medical policies. </w:t>
      </w:r>
    </w:p>
    <w:p w14:paraId="2BAFFB87" w14:textId="77777777" w:rsidR="002A21AE" w:rsidRDefault="002A21AE">
      <w:pPr>
        <w:pStyle w:val="Heading4"/>
      </w:pPr>
      <w:r>
        <w:t>Assumptions</w:t>
      </w:r>
    </w:p>
    <w:p w14:paraId="195126AA" w14:textId="77777777" w:rsidR="002A21AE" w:rsidRDefault="002A21AE">
      <w:pPr>
        <w:pStyle w:val="ListBullet"/>
      </w:pPr>
      <w:r>
        <w:t>A division’s worksheets affected by the option are not open or incomplete at the time of configuration.</w:t>
      </w:r>
    </w:p>
    <w:p w14:paraId="5944F936" w14:textId="77777777" w:rsidR="002A21AE" w:rsidRDefault="002A21AE">
      <w:pPr>
        <w:pStyle w:val="Heading4"/>
      </w:pPr>
      <w:r>
        <w:t>Outcome</w:t>
      </w:r>
    </w:p>
    <w:p w14:paraId="461961F6" w14:textId="77777777" w:rsidR="002A21AE" w:rsidRDefault="002A21AE">
      <w:pPr>
        <w:pStyle w:val="ListBullet"/>
      </w:pPr>
      <w:r>
        <w:t>Division testing preferences are configured.</w:t>
      </w:r>
    </w:p>
    <w:p w14:paraId="56CFEFEF" w14:textId="77777777" w:rsidR="002A21AE" w:rsidRDefault="002A21AE">
      <w:pPr>
        <w:pStyle w:val="Heading4"/>
        <w:rPr>
          <w:b w:val="0"/>
        </w:rPr>
      </w:pPr>
      <w:r>
        <w:t>Limitations and Restrictions</w:t>
      </w:r>
      <w:r>
        <w:rPr>
          <w:b w:val="0"/>
        </w:rPr>
        <w:t xml:space="preserve"> </w:t>
      </w:r>
    </w:p>
    <w:p w14:paraId="02348E4D" w14:textId="77777777" w:rsidR="002A21AE" w:rsidRDefault="002A21AE">
      <w:pPr>
        <w:pStyle w:val="ListBullet"/>
      </w:pPr>
      <w:r>
        <w:t>None</w:t>
      </w:r>
    </w:p>
    <w:p w14:paraId="3543D7B8" w14:textId="77777777" w:rsidR="002E7EBF" w:rsidRDefault="002E7EBF" w:rsidP="002E7EBF">
      <w:pPr>
        <w:pStyle w:val="Caution"/>
      </w:pPr>
      <w:r>
        <w:t xml:space="preserve">It is recommended that users configure testing before modifying products (click the </w:t>
      </w:r>
      <w:r>
        <w:rPr>
          <w:b/>
        </w:rPr>
        <w:t xml:space="preserve">Product Modifications </w:t>
      </w:r>
      <w:r w:rsidRPr="003814BF">
        <w:t>tab</w:t>
      </w:r>
      <w:r>
        <w:t>).</w:t>
      </w:r>
    </w:p>
    <w:p w14:paraId="06B78D15" w14:textId="77777777" w:rsidR="002A21AE" w:rsidRDefault="002A21AE">
      <w:pPr>
        <w:pStyle w:val="Heading4"/>
      </w:pPr>
      <w:r>
        <w:t xml:space="preserve">Additional Information </w:t>
      </w:r>
    </w:p>
    <w:p w14:paraId="4AAC23F0" w14:textId="77777777" w:rsidR="002A21AE" w:rsidRDefault="002A21AE">
      <w:pPr>
        <w:pStyle w:val="ListBullet"/>
      </w:pPr>
      <w:r>
        <w:t>None</w:t>
      </w:r>
    </w:p>
    <w:p w14:paraId="48EB88B3" w14:textId="77777777" w:rsidR="002A21AE" w:rsidRDefault="002A21AE">
      <w:pPr>
        <w:pStyle w:val="Heading4"/>
        <w:rPr>
          <w:b w:val="0"/>
        </w:rPr>
      </w:pPr>
      <w:r>
        <w:t>User Roles with Access to This Option</w:t>
      </w:r>
      <w:r>
        <w:rPr>
          <w:b w:val="0"/>
        </w:rPr>
        <w:t xml:space="preserve"> </w:t>
      </w:r>
    </w:p>
    <w:p w14:paraId="0EE8250E" w14:textId="77777777" w:rsidR="002A21AE" w:rsidRDefault="00237C52">
      <w:pPr>
        <w:pStyle w:val="Roles"/>
        <w:rPr>
          <w:snapToGrid w:val="0"/>
        </w:rPr>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Administrator/Supervisor</w:t>
      </w:r>
    </w:p>
    <w:p w14:paraId="7AE23E62" w14:textId="77777777" w:rsidR="002A21AE" w:rsidRDefault="002A21AE">
      <w:pPr>
        <w:pStyle w:val="Heading4"/>
      </w:pPr>
      <w:r>
        <w:t>Configure Testing</w:t>
      </w:r>
    </w:p>
    <w:p w14:paraId="54802D90" w14:textId="77777777" w:rsidR="002A21AE" w:rsidRDefault="002A21AE" w:rsidP="00FA7E65">
      <w:pPr>
        <w:pStyle w:val="BodyText"/>
      </w:pPr>
      <w:r>
        <w:t xml:space="preserve">The user sets the system to display testing grids to the users in their division. The user determines whether an autocontrol is used and whether a Direct Antiglobulin Test (DAT) is added as part of the routine </w:t>
      </w:r>
      <w:r w:rsidR="008E2E30">
        <w:t>A</w:t>
      </w:r>
      <w:r>
        <w:t xml:space="preserve">ntibody </w:t>
      </w:r>
      <w:r w:rsidR="008E2E30">
        <w:t>Screen T</w:t>
      </w:r>
      <w:r>
        <w:t>est (ABS) described in Patient Testing: Record a Patient Antibody Screen.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2AFD2C36" w14:textId="77777777">
        <w:trPr>
          <w:tblHeader/>
        </w:trPr>
        <w:tc>
          <w:tcPr>
            <w:tcW w:w="3240" w:type="dxa"/>
            <w:shd w:val="pct30" w:color="auto" w:fill="FFFFFF"/>
            <w:vAlign w:val="bottom"/>
          </w:tcPr>
          <w:p w14:paraId="5460BFCF" w14:textId="77777777" w:rsidR="002A21AE" w:rsidRDefault="002A21AE">
            <w:pPr>
              <w:pStyle w:val="TableText"/>
              <w:rPr>
                <w:b/>
              </w:rPr>
            </w:pPr>
            <w:r>
              <w:rPr>
                <w:b/>
              </w:rPr>
              <w:t>User Action</w:t>
            </w:r>
          </w:p>
        </w:tc>
        <w:tc>
          <w:tcPr>
            <w:tcW w:w="6120" w:type="dxa"/>
            <w:shd w:val="pct30" w:color="auto" w:fill="FFFFFF"/>
            <w:vAlign w:val="bottom"/>
          </w:tcPr>
          <w:p w14:paraId="1EAB4184" w14:textId="77777777" w:rsidR="002A21AE" w:rsidRDefault="002A21AE">
            <w:pPr>
              <w:pStyle w:val="TableText"/>
              <w:rPr>
                <w:b/>
              </w:rPr>
            </w:pPr>
            <w:r>
              <w:rPr>
                <w:b/>
              </w:rPr>
              <w:t>VBECS</w:t>
            </w:r>
          </w:p>
        </w:tc>
      </w:tr>
      <w:tr w:rsidR="002A21AE" w14:paraId="48EFF3EA" w14:textId="77777777">
        <w:tc>
          <w:tcPr>
            <w:tcW w:w="3240" w:type="dxa"/>
          </w:tcPr>
          <w:p w14:paraId="4D95E37E" w14:textId="77777777" w:rsidR="002A21AE" w:rsidRDefault="002A21AE">
            <w:pPr>
              <w:pStyle w:val="TableTextNumbers"/>
            </w:pPr>
            <w:r>
              <w:t xml:space="preserve">Select </w:t>
            </w:r>
            <w:r>
              <w:rPr>
                <w:b/>
                <w:bCs/>
              </w:rPr>
              <w:t>Tools</w:t>
            </w:r>
            <w:r>
              <w:t xml:space="preserve"> from the main menu.</w:t>
            </w:r>
          </w:p>
          <w:p w14:paraId="0A452461" w14:textId="77777777" w:rsidR="002A21AE" w:rsidRDefault="002A21AE">
            <w:pPr>
              <w:pStyle w:val="TableTextNumbersContinued"/>
              <w:rPr>
                <w:b/>
                <w:bCs/>
              </w:rPr>
            </w:pPr>
          </w:p>
          <w:p w14:paraId="19915B48" w14:textId="77777777" w:rsidR="002A21AE" w:rsidRDefault="002A21AE">
            <w:pPr>
              <w:pStyle w:val="TableTextNumbersContinued"/>
            </w:pPr>
            <w:r>
              <w:t xml:space="preserve">Select </w:t>
            </w:r>
            <w:r>
              <w:rPr>
                <w:b/>
              </w:rPr>
              <w:t>Configure Division</w:t>
            </w:r>
            <w:r>
              <w:t>.</w:t>
            </w:r>
          </w:p>
        </w:tc>
        <w:tc>
          <w:tcPr>
            <w:tcW w:w="6120" w:type="dxa"/>
          </w:tcPr>
          <w:p w14:paraId="78679BEA" w14:textId="77777777" w:rsidR="002A21AE" w:rsidRDefault="002A21AE">
            <w:pPr>
              <w:pStyle w:val="TableTextBullet"/>
            </w:pPr>
            <w:r>
              <w:t>Displays options for processing administrative functions.</w:t>
            </w:r>
          </w:p>
          <w:p w14:paraId="39D55A24" w14:textId="77777777" w:rsidR="002A21AE" w:rsidRDefault="002A21AE">
            <w:pPr>
              <w:pStyle w:val="TableTextBullet"/>
            </w:pPr>
            <w:r>
              <w:t>Displays the Configure Division tab with fields for entering division-specific testing information.</w:t>
            </w:r>
          </w:p>
        </w:tc>
      </w:tr>
      <w:tr w:rsidR="002A21AE" w14:paraId="531F06D2" w14:textId="77777777">
        <w:tc>
          <w:tcPr>
            <w:tcW w:w="3240" w:type="dxa"/>
          </w:tcPr>
          <w:p w14:paraId="386D33DF" w14:textId="779BF1C5" w:rsidR="002A21AE" w:rsidRDefault="002A21AE">
            <w:pPr>
              <w:pStyle w:val="TableTextNumbers"/>
            </w:pPr>
            <w:r>
              <w:t xml:space="preserve">Click the </w:t>
            </w:r>
            <w:r>
              <w:rPr>
                <w:b/>
                <w:bCs/>
              </w:rPr>
              <w:t xml:space="preserve">Configure Testing </w:t>
            </w:r>
            <w:r w:rsidRPr="00773FF6">
              <w:rPr>
                <w:bCs/>
              </w:rPr>
              <w:t>tab</w:t>
            </w:r>
            <w:r w:rsidR="00B22EAF">
              <w:t xml:space="preserve"> </w:t>
            </w:r>
            <w:r w:rsidR="000A273B">
              <w:t>(</w:t>
            </w:r>
            <w:r w:rsidR="00EE455E">
              <w:t xml:space="preserve">Figure </w:t>
            </w:r>
            <w:r w:rsidR="00EE455E">
              <w:rPr>
                <w:noProof/>
              </w:rPr>
              <w:t>25</w:t>
            </w:r>
            <w:r w:rsidR="000A273B">
              <w:t>)</w:t>
            </w:r>
            <w:r w:rsidR="00B22EAF" w:rsidRPr="00090795">
              <w:rPr>
                <w:bCs/>
              </w:rPr>
              <w:t>.</w:t>
            </w:r>
          </w:p>
          <w:p w14:paraId="506BC003" w14:textId="77777777" w:rsidR="002A21AE" w:rsidRPr="00EF0F79" w:rsidRDefault="002A21AE" w:rsidP="007270C3">
            <w:pPr>
              <w:pStyle w:val="TableTextNumbersContinued"/>
              <w:ind w:left="0"/>
              <w:rPr>
                <w:strike/>
              </w:rPr>
            </w:pPr>
          </w:p>
        </w:tc>
        <w:tc>
          <w:tcPr>
            <w:tcW w:w="6120" w:type="dxa"/>
          </w:tcPr>
          <w:p w14:paraId="50B2104D" w14:textId="77777777" w:rsidR="002A21AE" w:rsidRDefault="002A21AE">
            <w:pPr>
              <w:pStyle w:val="TableTextBullet"/>
            </w:pPr>
            <w:r>
              <w:t>Displays the Configure Testing tab with fields for entering division-specific blood product information.</w:t>
            </w:r>
          </w:p>
          <w:p w14:paraId="5A283250" w14:textId="77777777" w:rsidR="004E0061" w:rsidRPr="007270C3" w:rsidRDefault="002A21AE" w:rsidP="007270C3">
            <w:pPr>
              <w:pStyle w:val="TableTextBullet"/>
            </w:pPr>
            <w:r>
              <w:t>Displays options to set standard operating procedures for a division’s laboratory testing.</w:t>
            </w:r>
          </w:p>
        </w:tc>
      </w:tr>
      <w:tr w:rsidR="00EF0F79" w14:paraId="2576FA41" w14:textId="77777777">
        <w:tc>
          <w:tcPr>
            <w:tcW w:w="3240" w:type="dxa"/>
          </w:tcPr>
          <w:p w14:paraId="6855855F" w14:textId="77777777" w:rsidR="00C7159B" w:rsidRDefault="00EF0F79" w:rsidP="00EF0F79">
            <w:pPr>
              <w:pStyle w:val="TableTextNumbers"/>
            </w:pPr>
            <w:r>
              <w:t>Click the appropriate radio buttons to</w:t>
            </w:r>
            <w:r w:rsidR="00C7159B">
              <w:t>:</w:t>
            </w:r>
          </w:p>
          <w:p w14:paraId="33EA7A9C" w14:textId="77777777" w:rsidR="00C7159B" w:rsidRDefault="00C7159B" w:rsidP="00C7159B">
            <w:pPr>
              <w:pStyle w:val="TableTextNumbers"/>
              <w:numPr>
                <w:ilvl w:val="0"/>
                <w:numId w:val="0"/>
              </w:numPr>
              <w:ind w:left="288"/>
            </w:pPr>
          </w:p>
          <w:p w14:paraId="456E7821" w14:textId="77777777" w:rsidR="00C7159B" w:rsidRDefault="00C7159B" w:rsidP="00C7159B">
            <w:pPr>
              <w:pStyle w:val="TableTextNumbers"/>
              <w:numPr>
                <w:ilvl w:val="0"/>
                <w:numId w:val="0"/>
              </w:numPr>
              <w:ind w:left="288"/>
            </w:pPr>
            <w:r w:rsidRPr="00C7159B">
              <w:rPr>
                <w:b/>
              </w:rPr>
              <w:t>E</w:t>
            </w:r>
            <w:r w:rsidR="00EF0F79" w:rsidRPr="00C7159B">
              <w:rPr>
                <w:b/>
              </w:rPr>
              <w:t>nable</w:t>
            </w:r>
            <w:r w:rsidR="00EF0F79">
              <w:t xml:space="preserve"> Electronic Crossmatch</w:t>
            </w:r>
          </w:p>
          <w:p w14:paraId="3A037270" w14:textId="77777777" w:rsidR="00C7159B" w:rsidRDefault="00C7159B" w:rsidP="00C7159B">
            <w:pPr>
              <w:pStyle w:val="TableTextNumbers"/>
              <w:numPr>
                <w:ilvl w:val="0"/>
                <w:numId w:val="0"/>
              </w:numPr>
              <w:ind w:left="288"/>
            </w:pPr>
          </w:p>
          <w:p w14:paraId="314A1478" w14:textId="77777777" w:rsidR="00C7159B" w:rsidRDefault="00C7159B" w:rsidP="00C7159B">
            <w:pPr>
              <w:pStyle w:val="TableTextNumbers"/>
              <w:numPr>
                <w:ilvl w:val="0"/>
                <w:numId w:val="0"/>
              </w:numPr>
              <w:ind w:left="288"/>
            </w:pPr>
            <w:r>
              <w:t>D</w:t>
            </w:r>
            <w:r w:rsidR="00EF0F79">
              <w:t>etermine antibody screen (display antibody screen only, or with a DAT or Autocontrol)</w:t>
            </w:r>
          </w:p>
          <w:p w14:paraId="02001B03" w14:textId="77777777" w:rsidR="00C7159B" w:rsidRDefault="00C7159B" w:rsidP="00C7159B">
            <w:pPr>
              <w:pStyle w:val="TableTextNumbers"/>
              <w:numPr>
                <w:ilvl w:val="0"/>
                <w:numId w:val="0"/>
              </w:numPr>
              <w:ind w:left="288"/>
            </w:pPr>
          </w:p>
          <w:p w14:paraId="5918E647" w14:textId="77777777" w:rsidR="00EF0F79" w:rsidRDefault="00C7159B" w:rsidP="00C7159B">
            <w:pPr>
              <w:pStyle w:val="TableTextNumbers"/>
              <w:numPr>
                <w:ilvl w:val="0"/>
                <w:numId w:val="0"/>
              </w:numPr>
              <w:ind w:left="288"/>
            </w:pPr>
            <w:r>
              <w:t xml:space="preserve">Determine the default test grid displayed </w:t>
            </w:r>
            <w:r w:rsidR="00EF0F79">
              <w:t>for ABS and XM Testing Phases</w:t>
            </w:r>
          </w:p>
        </w:tc>
        <w:tc>
          <w:tcPr>
            <w:tcW w:w="6120" w:type="dxa"/>
          </w:tcPr>
          <w:p w14:paraId="2B4727BC" w14:textId="77777777" w:rsidR="00E77D78" w:rsidRDefault="00A4668B" w:rsidP="002E7EBF">
            <w:pPr>
              <w:pStyle w:val="TableTextBullet"/>
            </w:pPr>
            <w:r>
              <w:t>Displays default configuration settings of</w:t>
            </w:r>
            <w:r w:rsidR="00E77D78">
              <w:t>:</w:t>
            </w:r>
          </w:p>
          <w:p w14:paraId="63CC1E07" w14:textId="77777777" w:rsidR="00E77D78" w:rsidRDefault="00A4668B" w:rsidP="00E77D78">
            <w:pPr>
              <w:pStyle w:val="TableTextBullet1"/>
            </w:pPr>
            <w:r>
              <w:t>Electronic Crossmatch</w:t>
            </w:r>
            <w:r w:rsidR="00E77D78">
              <w:t>:</w:t>
            </w:r>
            <w:r>
              <w:t xml:space="preserve"> Disabled</w:t>
            </w:r>
          </w:p>
          <w:p w14:paraId="28A8DE5E" w14:textId="77777777" w:rsidR="00EF0F79" w:rsidRDefault="00E77D78" w:rsidP="00E77D78">
            <w:pPr>
              <w:pStyle w:val="TableTextBullet1"/>
            </w:pPr>
            <w:r>
              <w:t>Antibody Screen: Antibody Screen Only</w:t>
            </w:r>
          </w:p>
          <w:p w14:paraId="71677E3C" w14:textId="77777777" w:rsidR="00E77D78" w:rsidRDefault="00E77D78" w:rsidP="00E77D78">
            <w:pPr>
              <w:pStyle w:val="TableTextBullet1"/>
            </w:pPr>
            <w:r>
              <w:t>ABS and XM Testing Phases: All Phases</w:t>
            </w:r>
          </w:p>
          <w:p w14:paraId="2A62A594" w14:textId="77777777" w:rsidR="00E77D78" w:rsidRDefault="00E77D78" w:rsidP="00E77D78">
            <w:pPr>
              <w:pStyle w:val="TableTextBullet"/>
            </w:pPr>
            <w:r>
              <w:rPr>
                <w:vanish/>
              </w:rPr>
              <w:t xml:space="preserve">BR_55.04 </w:t>
            </w:r>
            <w:r>
              <w:t>Changes to the configuration settings are captured for the Audit Trail Report.</w:t>
            </w:r>
          </w:p>
        </w:tc>
      </w:tr>
      <w:tr w:rsidR="002A21AE" w14:paraId="78091316" w14:textId="77777777">
        <w:tc>
          <w:tcPr>
            <w:tcW w:w="3240" w:type="dxa"/>
          </w:tcPr>
          <w:p w14:paraId="606B6122" w14:textId="77777777" w:rsidR="002A21AE" w:rsidRDefault="002A21AE">
            <w:pPr>
              <w:pStyle w:val="TableTextNumbers"/>
            </w:pPr>
            <w:r>
              <w:t xml:space="preserve">Click </w:t>
            </w:r>
            <w:r>
              <w:rPr>
                <w:b/>
              </w:rPr>
              <w:t xml:space="preserve">OK </w:t>
            </w:r>
            <w:r>
              <w:t xml:space="preserve">to save and click </w:t>
            </w:r>
            <w:r>
              <w:rPr>
                <w:b/>
              </w:rPr>
              <w:t>OK</w:t>
            </w:r>
            <w:r>
              <w:t xml:space="preserve"> again to confirm the save and exit, or click another tab. </w:t>
            </w:r>
            <w:r>
              <w:rPr>
                <w:vanish/>
                <w:color w:val="FFFFFF"/>
                <w:szCs w:val="18"/>
              </w:rPr>
              <w:fldChar w:fldCharType="begin"/>
            </w:r>
            <w:r>
              <w:rPr>
                <w:vanish/>
                <w:color w:val="FFFFFF"/>
                <w:szCs w:val="18"/>
              </w:rPr>
              <w:instrText xml:space="preserve"> LISTNUM \l 1 \s 0 </w:instrText>
            </w:r>
            <w:r>
              <w:rPr>
                <w:vanish/>
                <w:color w:val="FFFFFF"/>
                <w:szCs w:val="18"/>
              </w:rPr>
              <w:fldChar w:fldCharType="end">
                <w:numberingChange w:id="172" w:author="MUSZYNSKI, THOMAS D. (SIERRA 7 INC)" w:date="2024-11-26T07:15:00Z" w:original="0."/>
              </w:fldChar>
            </w:r>
          </w:p>
        </w:tc>
        <w:tc>
          <w:tcPr>
            <w:tcW w:w="6120" w:type="dxa"/>
          </w:tcPr>
          <w:p w14:paraId="127A472C" w14:textId="77777777" w:rsidR="002A21AE" w:rsidRPr="002E7EBF" w:rsidRDefault="002A21AE" w:rsidP="002E7EBF">
            <w:pPr>
              <w:pStyle w:val="TableTextBullet"/>
            </w:pPr>
            <w:r>
              <w:t>Displays the appropriate testing grids for subsequent patient orders.</w:t>
            </w:r>
          </w:p>
        </w:tc>
      </w:tr>
    </w:tbl>
    <w:p w14:paraId="0F2E245D" w14:textId="4EFD50A4" w:rsidR="000A273B" w:rsidRDefault="000A273B" w:rsidP="000A273B">
      <w:pPr>
        <w:pStyle w:val="Caption"/>
      </w:pPr>
      <w:bookmarkStart w:id="173" w:name="_Ref300722854"/>
      <w:bookmarkStart w:id="174" w:name="_Ref300722837"/>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7D1829">
        <w:rPr>
          <w:noProof/>
        </w:rPr>
        <w:t>26</w:t>
      </w:r>
      <w:r w:rsidR="004E20BD">
        <w:rPr>
          <w:noProof/>
        </w:rPr>
        <w:fldChar w:fldCharType="end"/>
      </w:r>
      <w:bookmarkEnd w:id="173"/>
      <w:r>
        <w:t xml:space="preserve">: </w:t>
      </w:r>
      <w:r w:rsidR="00954B38">
        <w:t xml:space="preserve">Example of </w:t>
      </w:r>
      <w:r>
        <w:t>Configure Testing Tab</w:t>
      </w:r>
      <w:bookmarkEnd w:id="174"/>
    </w:p>
    <w:p w14:paraId="7835B084" w14:textId="77777777" w:rsidR="000A273B" w:rsidRPr="000A273B" w:rsidRDefault="00057948" w:rsidP="000A273B">
      <w:pPr>
        <w:pStyle w:val="BodyText"/>
      </w:pPr>
      <w:r>
        <w:rPr>
          <w:noProof/>
        </w:rPr>
        <w:drawing>
          <wp:inline distT="0" distB="0" distL="0" distR="0" wp14:anchorId="65411A45" wp14:editId="6569B61E">
            <wp:extent cx="3657600" cy="3657600"/>
            <wp:effectExtent l="0" t="0" r="0" b="0"/>
            <wp:docPr id="128" name="Picture 128" descr="Example of Configure Testing Tab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Picture 128" descr="Example of Configure Testing Tab screen capture"/>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3657600" cy="3657600"/>
                    </a:xfrm>
                    <a:prstGeom prst="rect">
                      <a:avLst/>
                    </a:prstGeom>
                    <a:noFill/>
                    <a:ln>
                      <a:noFill/>
                    </a:ln>
                  </pic:spPr>
                </pic:pic>
              </a:graphicData>
            </a:graphic>
          </wp:inline>
        </w:drawing>
      </w:r>
    </w:p>
    <w:p w14:paraId="3EC1A2A7" w14:textId="77777777" w:rsidR="00AF089A" w:rsidRDefault="00AF089A" w:rsidP="007716F7">
      <w:pPr>
        <w:pStyle w:val="Heading3"/>
      </w:pPr>
    </w:p>
    <w:p w14:paraId="2589AD52" w14:textId="77777777" w:rsidR="002A21AE" w:rsidRDefault="00AF089A" w:rsidP="007716F7">
      <w:pPr>
        <w:pStyle w:val="Heading3"/>
      </w:pPr>
      <w:r>
        <w:br w:type="page"/>
      </w:r>
      <w:bookmarkStart w:id="175" w:name="_Toc203765862"/>
      <w:r w:rsidR="00046402">
        <w:lastRenderedPageBreak/>
        <w:t>Product Modifications</w:t>
      </w:r>
      <w:bookmarkEnd w:id="175"/>
      <w:r w:rsidR="002A21AE">
        <w:fldChar w:fldCharType="begin"/>
      </w:r>
      <w:r w:rsidR="002A21AE">
        <w:instrText xml:space="preserve"> XE </w:instrText>
      </w:r>
      <w:r w:rsidR="00FA7E65">
        <w:instrText>“</w:instrText>
      </w:r>
      <w:r w:rsidR="00046402">
        <w:instrText>Product Modifications</w:instrText>
      </w:r>
      <w:r w:rsidR="00FA7E65">
        <w:instrText>”</w:instrText>
      </w:r>
      <w:r w:rsidR="002A21AE">
        <w:instrText xml:space="preserve"> </w:instrText>
      </w:r>
      <w:r w:rsidR="002A21AE">
        <w:fldChar w:fldCharType="end"/>
      </w:r>
      <w:r w:rsidR="002A21AE">
        <w:t xml:space="preserve"> </w:t>
      </w:r>
      <w:r w:rsidR="002A21AE" w:rsidRPr="00796039">
        <w:rPr>
          <w:rFonts w:ascii="Arial Bold" w:hAnsi="Arial Bold"/>
          <w:vanish/>
        </w:rPr>
        <w:t>UC_10</w:t>
      </w:r>
    </w:p>
    <w:p w14:paraId="2DCAF5A9" w14:textId="7D587774" w:rsidR="002A21AE" w:rsidRDefault="002A21AE" w:rsidP="00FA7E65">
      <w:pPr>
        <w:pStyle w:val="BodyText"/>
      </w:pPr>
      <w:r>
        <w:t xml:space="preserve">The user enables the types of modifications made at a division. </w:t>
      </w:r>
      <w:r w:rsidR="0056674A">
        <w:t xml:space="preserve">For additional information, see </w:t>
      </w:r>
      <w:r w:rsidR="00EE455E">
        <w:t xml:space="preserve">Appendix </w:t>
      </w:r>
      <w:r w:rsidR="00EE455E">
        <w:rPr>
          <w:noProof/>
        </w:rPr>
        <w:t>G</w:t>
      </w:r>
      <w:r w:rsidR="00EE455E">
        <w:t>: Work Process Flowcharts</w:t>
      </w:r>
      <w:r w:rsidR="0056674A">
        <w:t>.</w:t>
      </w:r>
    </w:p>
    <w:p w14:paraId="5E3F2A30" w14:textId="77777777" w:rsidR="002A21AE" w:rsidRDefault="002A21AE">
      <w:pPr>
        <w:pStyle w:val="Heading4"/>
      </w:pPr>
      <w:r>
        <w:t>Assumptions</w:t>
      </w:r>
      <w:r>
        <w:rPr>
          <w:b w:val="0"/>
        </w:rPr>
        <w:t xml:space="preserve"> </w:t>
      </w:r>
    </w:p>
    <w:p w14:paraId="38424C74" w14:textId="77777777" w:rsidR="002A21AE" w:rsidRDefault="002A21AE">
      <w:pPr>
        <w:pStyle w:val="ListBullet"/>
      </w:pPr>
      <w:r>
        <w:t>An ICCBBA number was entered for the division.</w:t>
      </w:r>
    </w:p>
    <w:p w14:paraId="627BCFE3" w14:textId="77777777" w:rsidR="002A21AE" w:rsidRDefault="002A21AE">
      <w:pPr>
        <w:pStyle w:val="ListBullet"/>
      </w:pPr>
      <w:r>
        <w:rPr>
          <w:vanish/>
          <w:spacing w:val="0"/>
        </w:rPr>
        <w:t xml:space="preserve">BR_55.02 </w:t>
      </w:r>
      <w:r>
        <w:t>VBECS locks a user out when the user attempts to change the configuration and there are open or partially completed worksheets or processes in the division.</w:t>
      </w:r>
    </w:p>
    <w:p w14:paraId="42E317D3" w14:textId="77777777" w:rsidR="002A21AE" w:rsidRDefault="002A21AE">
      <w:pPr>
        <w:pStyle w:val="Heading4"/>
      </w:pPr>
      <w:r>
        <w:t xml:space="preserve">Outcome </w:t>
      </w:r>
    </w:p>
    <w:p w14:paraId="1D15C3C2" w14:textId="77777777" w:rsidR="002A21AE" w:rsidRDefault="002A21AE">
      <w:pPr>
        <w:pStyle w:val="ListBullet"/>
      </w:pPr>
      <w:r>
        <w:t>This option dictates the available modification types displayed in Modify Units: Pool Units, Modify Units: Split a Unit, and Modify Units.</w:t>
      </w:r>
    </w:p>
    <w:p w14:paraId="6703B59A" w14:textId="77777777" w:rsidR="002A21AE" w:rsidRDefault="002A21AE">
      <w:pPr>
        <w:pStyle w:val="Heading4"/>
        <w:rPr>
          <w:b w:val="0"/>
        </w:rPr>
      </w:pPr>
      <w:r>
        <w:t>Limitations and Restrictions</w:t>
      </w:r>
      <w:r>
        <w:rPr>
          <w:b w:val="0"/>
        </w:rPr>
        <w:t xml:space="preserve"> </w:t>
      </w:r>
    </w:p>
    <w:p w14:paraId="145AC3C4" w14:textId="77777777" w:rsidR="002A21AE" w:rsidRDefault="002A21AE">
      <w:pPr>
        <w:pStyle w:val="ListBullet"/>
      </w:pPr>
      <w:r>
        <w:rPr>
          <w:snapToGrid w:val="0"/>
        </w:rPr>
        <w:t>None</w:t>
      </w:r>
    </w:p>
    <w:p w14:paraId="7915027A" w14:textId="77777777" w:rsidR="002A21AE" w:rsidRDefault="002A21AE">
      <w:pPr>
        <w:pStyle w:val="Heading4"/>
      </w:pPr>
      <w:r>
        <w:t xml:space="preserve">Additional Information </w:t>
      </w:r>
    </w:p>
    <w:p w14:paraId="360CFF14" w14:textId="77777777" w:rsidR="002A21AE" w:rsidRDefault="002A21AE">
      <w:pPr>
        <w:pStyle w:val="ListBullet"/>
      </w:pPr>
      <w:r>
        <w:rPr>
          <w:snapToGrid w:val="0"/>
        </w:rPr>
        <w:t>None</w:t>
      </w:r>
    </w:p>
    <w:p w14:paraId="2BA26661" w14:textId="77777777" w:rsidR="002A21AE" w:rsidRDefault="002A21AE">
      <w:pPr>
        <w:pStyle w:val="Heading4"/>
      </w:pPr>
      <w:r>
        <w:t xml:space="preserve">User Roles with Access to This Option </w:t>
      </w:r>
    </w:p>
    <w:p w14:paraId="103E4EFD" w14:textId="77777777" w:rsidR="002A21AE" w:rsidRDefault="00237C52">
      <w:pPr>
        <w:pStyle w:val="Roles"/>
        <w:rPr>
          <w:snapToGrid w:val="0"/>
        </w:rPr>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Administrator/Supervisor</w:t>
      </w:r>
    </w:p>
    <w:p w14:paraId="4168F8C8" w14:textId="77777777" w:rsidR="002A21AE" w:rsidRDefault="00046402">
      <w:pPr>
        <w:pStyle w:val="Heading4"/>
        <w:rPr>
          <w:u w:val="single"/>
        </w:rPr>
      </w:pPr>
      <w:r>
        <w:t>Product Modifications</w:t>
      </w:r>
    </w:p>
    <w:p w14:paraId="731CE553" w14:textId="77777777" w:rsidR="002A21AE" w:rsidRDefault="002A21AE" w:rsidP="00FA7E65">
      <w:pPr>
        <w:pStyle w:val="BodyText"/>
      </w:pPr>
      <w:r>
        <w:t>The user enables specific modification type procedures performed in the blood bank in the hospital division. The user may enable one, all, or some of the modification processes. Once the types of modifications are enabled, individual blood unit modification is controlled by the rules of modification truth tables. VBECS is exported with all modification types disabled. VBECS allows for full customization upon deployment as well as changes to the enabled modifications when a division’s capabilities and procedures change.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040F49F7" w14:textId="77777777">
        <w:trPr>
          <w:tblHeader/>
        </w:trPr>
        <w:tc>
          <w:tcPr>
            <w:tcW w:w="3240" w:type="dxa"/>
            <w:shd w:val="pct30" w:color="auto" w:fill="FFFFFF"/>
            <w:vAlign w:val="bottom"/>
          </w:tcPr>
          <w:p w14:paraId="369684BC" w14:textId="77777777" w:rsidR="002A21AE" w:rsidRDefault="002A21AE">
            <w:pPr>
              <w:pStyle w:val="TableText"/>
              <w:rPr>
                <w:b/>
              </w:rPr>
            </w:pPr>
            <w:r>
              <w:rPr>
                <w:b/>
              </w:rPr>
              <w:t>User Action</w:t>
            </w:r>
          </w:p>
        </w:tc>
        <w:tc>
          <w:tcPr>
            <w:tcW w:w="6120" w:type="dxa"/>
            <w:shd w:val="pct30" w:color="auto" w:fill="FFFFFF"/>
            <w:vAlign w:val="bottom"/>
          </w:tcPr>
          <w:p w14:paraId="476EE335" w14:textId="77777777" w:rsidR="002A21AE" w:rsidRDefault="002A21AE">
            <w:pPr>
              <w:pStyle w:val="TableText"/>
              <w:rPr>
                <w:b/>
              </w:rPr>
            </w:pPr>
            <w:r>
              <w:rPr>
                <w:b/>
              </w:rPr>
              <w:t>VBECS</w:t>
            </w:r>
          </w:p>
        </w:tc>
      </w:tr>
      <w:tr w:rsidR="002A21AE" w14:paraId="68FECCCE" w14:textId="77777777">
        <w:tc>
          <w:tcPr>
            <w:tcW w:w="3240" w:type="dxa"/>
          </w:tcPr>
          <w:p w14:paraId="599536CF" w14:textId="77777777" w:rsidR="002A21AE" w:rsidRDefault="002A21AE">
            <w:pPr>
              <w:pStyle w:val="TableTextNumbers"/>
            </w:pPr>
            <w:r>
              <w:t xml:space="preserve">Select </w:t>
            </w:r>
            <w:r>
              <w:rPr>
                <w:b/>
                <w:bCs/>
              </w:rPr>
              <w:t>Tools</w:t>
            </w:r>
            <w:r>
              <w:t xml:space="preserve"> from the main menu.</w:t>
            </w:r>
          </w:p>
          <w:p w14:paraId="4C64983D" w14:textId="77777777" w:rsidR="002A21AE" w:rsidRDefault="002A21AE">
            <w:pPr>
              <w:pStyle w:val="TableTextNumbersContinued"/>
              <w:rPr>
                <w:b/>
                <w:bCs/>
              </w:rPr>
            </w:pPr>
          </w:p>
          <w:p w14:paraId="4A312B5C" w14:textId="77777777" w:rsidR="002A21AE" w:rsidRDefault="002A21AE">
            <w:pPr>
              <w:pStyle w:val="TableTextNumbersContinued"/>
            </w:pPr>
            <w:r>
              <w:t xml:space="preserve">Select </w:t>
            </w:r>
            <w:r>
              <w:rPr>
                <w:b/>
              </w:rPr>
              <w:t>Configure Division</w:t>
            </w:r>
            <w:r>
              <w:t>.</w:t>
            </w:r>
          </w:p>
        </w:tc>
        <w:tc>
          <w:tcPr>
            <w:tcW w:w="6120" w:type="dxa"/>
          </w:tcPr>
          <w:p w14:paraId="5B594209" w14:textId="77777777" w:rsidR="002A21AE" w:rsidRDefault="002A21AE">
            <w:pPr>
              <w:pStyle w:val="TableTextBullet"/>
            </w:pPr>
            <w:r>
              <w:t>Displays options for processing administrative functions.</w:t>
            </w:r>
          </w:p>
          <w:p w14:paraId="0A473667" w14:textId="77777777" w:rsidR="002A21AE" w:rsidRDefault="002A21AE">
            <w:pPr>
              <w:pStyle w:val="TableTextBullet"/>
            </w:pPr>
            <w:r>
              <w:t>Displays the Configure Division tab with fields for entering division-specific testing information.</w:t>
            </w:r>
          </w:p>
        </w:tc>
      </w:tr>
      <w:tr w:rsidR="002A21AE" w14:paraId="529BF1D6" w14:textId="77777777">
        <w:tc>
          <w:tcPr>
            <w:tcW w:w="3240" w:type="dxa"/>
          </w:tcPr>
          <w:p w14:paraId="1203EE4E" w14:textId="562F7412" w:rsidR="002A21AE" w:rsidRDefault="002A21AE">
            <w:pPr>
              <w:pStyle w:val="TableTextNumbers"/>
            </w:pPr>
            <w:r>
              <w:t xml:space="preserve">Click the </w:t>
            </w:r>
            <w:r>
              <w:rPr>
                <w:b/>
              </w:rPr>
              <w:t xml:space="preserve">Product Modifications </w:t>
            </w:r>
            <w:r w:rsidRPr="00CC3C89">
              <w:t>tab</w:t>
            </w:r>
            <w:r w:rsidR="001266F5" w:rsidRPr="00CC3C89">
              <w:t xml:space="preserve"> </w:t>
            </w:r>
            <w:r w:rsidR="001266F5">
              <w:t>(</w:t>
            </w:r>
            <w:r w:rsidR="00EE455E">
              <w:t xml:space="preserve">Figure </w:t>
            </w:r>
            <w:r w:rsidR="00EE455E">
              <w:rPr>
                <w:noProof/>
              </w:rPr>
              <w:t>26</w:t>
            </w:r>
            <w:r w:rsidR="001266F5">
              <w:t>)</w:t>
            </w:r>
            <w:r>
              <w:t>.</w:t>
            </w:r>
          </w:p>
        </w:tc>
        <w:tc>
          <w:tcPr>
            <w:tcW w:w="6120" w:type="dxa"/>
          </w:tcPr>
          <w:p w14:paraId="3BD9D64A" w14:textId="77777777" w:rsidR="002A21AE" w:rsidRDefault="002A21AE">
            <w:pPr>
              <w:pStyle w:val="TableTextBullet"/>
            </w:pPr>
            <w:r>
              <w:t xml:space="preserve">Lists valid modification procedures. </w:t>
            </w:r>
          </w:p>
          <w:p w14:paraId="2EFEB850" w14:textId="77777777" w:rsidR="002A21AE" w:rsidRDefault="002A21AE">
            <w:pPr>
              <w:pStyle w:val="TableText"/>
            </w:pPr>
          </w:p>
          <w:p w14:paraId="7CF1B052" w14:textId="57266399" w:rsidR="002A21AE" w:rsidRDefault="002A21AE">
            <w:pPr>
              <w:pStyle w:val="TableText"/>
              <w:rPr>
                <w:b/>
                <w:bCs/>
                <w:szCs w:val="18"/>
              </w:rPr>
            </w:pPr>
            <w:r>
              <w:rPr>
                <w:b/>
                <w:bCs/>
                <w:szCs w:val="18"/>
              </w:rPr>
              <w:t>NOTES</w:t>
            </w:r>
          </w:p>
          <w:p w14:paraId="5F064322" w14:textId="77777777" w:rsidR="002A21AE" w:rsidRDefault="002A21AE">
            <w:pPr>
              <w:pStyle w:val="NotesText"/>
            </w:pPr>
          </w:p>
          <w:p w14:paraId="0E4A473F" w14:textId="77777777" w:rsidR="002A21AE" w:rsidRDefault="002A21AE">
            <w:pPr>
              <w:pStyle w:val="NotesText"/>
              <w:rPr>
                <w:strike/>
              </w:rPr>
            </w:pPr>
            <w:r>
              <w:t xml:space="preserve">A user may enable one, more, or all modification types. </w:t>
            </w:r>
          </w:p>
        </w:tc>
      </w:tr>
      <w:tr w:rsidR="002A21AE" w14:paraId="4A96F405" w14:textId="77777777" w:rsidTr="007E500E">
        <w:trPr>
          <w:cantSplit/>
        </w:trPr>
        <w:tc>
          <w:tcPr>
            <w:tcW w:w="3240" w:type="dxa"/>
          </w:tcPr>
          <w:p w14:paraId="43997030" w14:textId="77777777" w:rsidR="002A21AE" w:rsidRDefault="002A21AE">
            <w:pPr>
              <w:pStyle w:val="TableTextNumbers"/>
            </w:pPr>
            <w:r>
              <w:lastRenderedPageBreak/>
              <w:t>Click one or more check boxes to enable modification types.</w:t>
            </w:r>
          </w:p>
          <w:p w14:paraId="7071CC48" w14:textId="77777777" w:rsidR="002A21AE" w:rsidRDefault="002A21AE">
            <w:pPr>
              <w:pStyle w:val="TableTextNumbersContinued"/>
              <w:rPr>
                <w:b/>
                <w:bCs/>
              </w:rPr>
            </w:pPr>
          </w:p>
          <w:p w14:paraId="58B6E71B" w14:textId="77777777" w:rsidR="002A21AE" w:rsidRDefault="002A21AE">
            <w:pPr>
              <w:pStyle w:val="TableTextNumbersContinued"/>
            </w:pPr>
            <w:r>
              <w:t>Enter the</w:t>
            </w:r>
            <w:r w:rsidR="00B917A8">
              <w:t xml:space="preserve"> processing cost </w:t>
            </w:r>
            <w:r>
              <w:t xml:space="preserve">associated with each modification procedure. </w:t>
            </w:r>
          </w:p>
        </w:tc>
        <w:tc>
          <w:tcPr>
            <w:tcW w:w="6120" w:type="dxa"/>
          </w:tcPr>
          <w:p w14:paraId="7BCCE7DF" w14:textId="77777777" w:rsidR="002A21AE" w:rsidRDefault="002A21AE">
            <w:pPr>
              <w:pStyle w:val="TableTextBullet"/>
            </w:pPr>
            <w:r>
              <w:t>Lists modification procedures.</w:t>
            </w:r>
          </w:p>
          <w:p w14:paraId="7EE859E2" w14:textId="77777777" w:rsidR="002A21AE" w:rsidRDefault="002A21AE">
            <w:pPr>
              <w:pStyle w:val="TableText"/>
              <w:rPr>
                <w:b/>
                <w:bCs/>
                <w:szCs w:val="18"/>
              </w:rPr>
            </w:pPr>
          </w:p>
          <w:p w14:paraId="32CD2751" w14:textId="76C7B7AD" w:rsidR="002A21AE" w:rsidRDefault="002A21AE">
            <w:pPr>
              <w:pStyle w:val="TableText"/>
              <w:rPr>
                <w:b/>
                <w:bCs/>
                <w:szCs w:val="18"/>
              </w:rPr>
            </w:pPr>
            <w:r>
              <w:rPr>
                <w:b/>
                <w:bCs/>
                <w:szCs w:val="18"/>
              </w:rPr>
              <w:t>NOTES</w:t>
            </w:r>
          </w:p>
          <w:p w14:paraId="036A1DC7" w14:textId="77777777" w:rsidR="002A21AE" w:rsidRDefault="002A21AE">
            <w:pPr>
              <w:pStyle w:val="NotesText"/>
            </w:pPr>
          </w:p>
          <w:p w14:paraId="19051C7C" w14:textId="77777777" w:rsidR="002A21AE" w:rsidRDefault="002A21AE">
            <w:pPr>
              <w:pStyle w:val="NotesText"/>
            </w:pPr>
            <w:r>
              <w:t>Modification procedures:</w:t>
            </w:r>
          </w:p>
          <w:p w14:paraId="74227592" w14:textId="77777777" w:rsidR="002A21AE" w:rsidRDefault="002A21AE">
            <w:pPr>
              <w:pStyle w:val="NotesTextBullet"/>
            </w:pPr>
            <w:r>
              <w:t xml:space="preserve">Thaw </w:t>
            </w:r>
          </w:p>
          <w:p w14:paraId="6905488A" w14:textId="77777777" w:rsidR="002A21AE" w:rsidRDefault="002A21AE">
            <w:pPr>
              <w:pStyle w:val="NotesTextBullet"/>
            </w:pPr>
            <w:r>
              <w:t>Pool</w:t>
            </w:r>
          </w:p>
          <w:p w14:paraId="0ABCC28F" w14:textId="77777777" w:rsidR="002A21AE" w:rsidRDefault="002A21AE">
            <w:pPr>
              <w:pStyle w:val="NotesTextBullet"/>
            </w:pPr>
            <w:r>
              <w:t>Thaw/Pool Cryo</w:t>
            </w:r>
          </w:p>
          <w:p w14:paraId="0680950F" w14:textId="77777777" w:rsidR="002A21AE" w:rsidRDefault="002A21AE">
            <w:pPr>
              <w:pStyle w:val="NotesTextBullet"/>
            </w:pPr>
            <w:r>
              <w:t>Split/Divide</w:t>
            </w:r>
          </w:p>
          <w:p w14:paraId="0DE32144" w14:textId="77777777" w:rsidR="002A21AE" w:rsidRDefault="002A21AE">
            <w:pPr>
              <w:pStyle w:val="NotesTextBullet"/>
            </w:pPr>
            <w:r>
              <w:t>Irradiate</w:t>
            </w:r>
          </w:p>
          <w:p w14:paraId="5D7FE5BF" w14:textId="77777777" w:rsidR="002A21AE" w:rsidRDefault="002A21AE">
            <w:pPr>
              <w:pStyle w:val="NotesTextBullet"/>
            </w:pPr>
            <w:r>
              <w:t>Leukoreduce</w:t>
            </w:r>
          </w:p>
          <w:p w14:paraId="0E9DCB7F" w14:textId="77777777" w:rsidR="002A21AE" w:rsidRDefault="002A21AE">
            <w:pPr>
              <w:pStyle w:val="NotesTextBullet"/>
            </w:pPr>
            <w:r>
              <w:t>Volume reduce</w:t>
            </w:r>
          </w:p>
          <w:p w14:paraId="56948B52" w14:textId="77777777" w:rsidR="002A21AE" w:rsidRDefault="002A21AE">
            <w:pPr>
              <w:pStyle w:val="NotesTextBullet"/>
            </w:pPr>
            <w:r>
              <w:t>Wash</w:t>
            </w:r>
          </w:p>
          <w:p w14:paraId="1BB1ADDF" w14:textId="77777777" w:rsidR="002A21AE" w:rsidRDefault="002A21AE">
            <w:pPr>
              <w:pStyle w:val="NotesTextBullet"/>
            </w:pPr>
            <w:r>
              <w:t xml:space="preserve">Rejuvenate </w:t>
            </w:r>
          </w:p>
          <w:p w14:paraId="0A67F8C4" w14:textId="77777777" w:rsidR="002A21AE" w:rsidRDefault="002A21AE">
            <w:pPr>
              <w:pStyle w:val="NotesTextBullet"/>
            </w:pPr>
            <w:r>
              <w:t>Freeze</w:t>
            </w:r>
          </w:p>
          <w:p w14:paraId="51BF25E2" w14:textId="77777777" w:rsidR="002A21AE" w:rsidRDefault="002A21AE">
            <w:pPr>
              <w:pStyle w:val="NotesTextBullet"/>
            </w:pPr>
            <w:r>
              <w:t>Deglycerolize</w:t>
            </w:r>
          </w:p>
          <w:p w14:paraId="2D1D2F29" w14:textId="77777777" w:rsidR="002A21AE" w:rsidRPr="009D316D" w:rsidRDefault="002A21AE" w:rsidP="009D316D">
            <w:pPr>
              <w:pStyle w:val="NotesText"/>
            </w:pPr>
          </w:p>
          <w:p w14:paraId="53A70C7D" w14:textId="77777777" w:rsidR="000E19EE" w:rsidRDefault="002A21AE" w:rsidP="009D316D">
            <w:pPr>
              <w:pStyle w:val="NotesText"/>
            </w:pPr>
            <w:r w:rsidRPr="009D316D">
              <w:rPr>
                <w:vanish/>
                <w:szCs w:val="18"/>
              </w:rPr>
              <w:t xml:space="preserve">BR_10.03 </w:t>
            </w:r>
            <w:r w:rsidRPr="009D316D">
              <w:t xml:space="preserve">The modification process fee is added to the base unit cost </w:t>
            </w:r>
            <w:r w:rsidR="00D2265D" w:rsidRPr="009D316D">
              <w:t xml:space="preserve">of the first target unit </w:t>
            </w:r>
            <w:r w:rsidRPr="009D316D">
              <w:t>and special testing costs, creating a patient bill for a transfused blood product, not including on-site antigen typing performed. The modification process fee may be U.S. $0.00 to $9,999.99.</w:t>
            </w:r>
            <w:r w:rsidR="00A76634">
              <w:t xml:space="preserve"> VBECS will generate an audit trail report entry when this field is filled or changed.</w:t>
            </w:r>
          </w:p>
        </w:tc>
      </w:tr>
      <w:tr w:rsidR="002A21AE" w14:paraId="0961895B" w14:textId="77777777">
        <w:tc>
          <w:tcPr>
            <w:tcW w:w="3240" w:type="dxa"/>
          </w:tcPr>
          <w:p w14:paraId="1C1C5124" w14:textId="77777777" w:rsidR="002A21AE" w:rsidRDefault="002A21AE">
            <w:pPr>
              <w:pStyle w:val="TableTextNumbers"/>
            </w:pPr>
            <w:r>
              <w:t xml:space="preserve">Click </w:t>
            </w:r>
            <w:r>
              <w:rPr>
                <w:b/>
              </w:rPr>
              <w:t xml:space="preserve">OK </w:t>
            </w:r>
            <w:r>
              <w:t xml:space="preserve">to save and click </w:t>
            </w:r>
            <w:r>
              <w:rPr>
                <w:b/>
              </w:rPr>
              <w:t>OK</w:t>
            </w:r>
            <w:r>
              <w:t xml:space="preserve"> again to confirm the save and exit, or click another tab. </w:t>
            </w:r>
            <w:r>
              <w:rPr>
                <w:vanish/>
                <w:color w:val="FFFFFF"/>
                <w:szCs w:val="18"/>
              </w:rPr>
              <w:fldChar w:fldCharType="begin"/>
            </w:r>
            <w:r>
              <w:rPr>
                <w:vanish/>
                <w:color w:val="FFFFFF"/>
                <w:szCs w:val="18"/>
              </w:rPr>
              <w:instrText xml:space="preserve"> LISTNUM \l 1 \s 0 </w:instrText>
            </w:r>
            <w:r>
              <w:rPr>
                <w:vanish/>
                <w:color w:val="FFFFFF"/>
                <w:szCs w:val="18"/>
              </w:rPr>
              <w:fldChar w:fldCharType="end">
                <w:numberingChange w:id="176" w:author="MUSZYNSKI, THOMAS D. (SIERRA 7 INC)" w:date="2024-11-26T07:15:00Z" w:original="0."/>
              </w:fldChar>
            </w:r>
          </w:p>
        </w:tc>
        <w:tc>
          <w:tcPr>
            <w:tcW w:w="6120" w:type="dxa"/>
          </w:tcPr>
          <w:p w14:paraId="05618615" w14:textId="77777777" w:rsidR="002A21AE" w:rsidRDefault="002A21AE">
            <w:pPr>
              <w:pStyle w:val="TableTextBullet"/>
            </w:pPr>
            <w:r>
              <w:t>Updates the database and captures changes to any previously defined parameters for inclusion in the Audit Trail Report.</w:t>
            </w:r>
          </w:p>
        </w:tc>
      </w:tr>
    </w:tbl>
    <w:p w14:paraId="7DDF2499" w14:textId="3911D153" w:rsidR="001266F5" w:rsidRDefault="001266F5" w:rsidP="001266F5">
      <w:pPr>
        <w:pStyle w:val="Caption"/>
      </w:pPr>
      <w:bookmarkStart w:id="177" w:name="_Ref126470383"/>
      <w:bookmarkStart w:id="178" w:name="_Toc63680385"/>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7D1829">
        <w:rPr>
          <w:noProof/>
        </w:rPr>
        <w:t>27</w:t>
      </w:r>
      <w:r w:rsidR="004E20BD">
        <w:rPr>
          <w:noProof/>
        </w:rPr>
        <w:fldChar w:fldCharType="end"/>
      </w:r>
      <w:bookmarkEnd w:id="177"/>
      <w:r>
        <w:t xml:space="preserve">: </w:t>
      </w:r>
      <w:r w:rsidR="00954B38">
        <w:t xml:space="preserve">Example of </w:t>
      </w:r>
      <w:r>
        <w:t>Product Modifications Tab</w:t>
      </w:r>
    </w:p>
    <w:p w14:paraId="748BF8CA" w14:textId="77777777" w:rsidR="0066425F" w:rsidRDefault="00057948" w:rsidP="0066425F">
      <w:pPr>
        <w:pStyle w:val="BodyText"/>
      </w:pPr>
      <w:r>
        <w:rPr>
          <w:noProof/>
        </w:rPr>
        <w:drawing>
          <wp:inline distT="0" distB="0" distL="0" distR="0" wp14:anchorId="58CB2321" wp14:editId="36255AC8">
            <wp:extent cx="3195955" cy="3214370"/>
            <wp:effectExtent l="0" t="0" r="4445" b="5080"/>
            <wp:docPr id="129" name="Picture 129" descr="Example of Product Modifications Tab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Picture 129" descr="Example of Product Modifications Tab screen capture"/>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3195955" cy="3214370"/>
                    </a:xfrm>
                    <a:prstGeom prst="rect">
                      <a:avLst/>
                    </a:prstGeom>
                    <a:noFill/>
                    <a:ln>
                      <a:noFill/>
                    </a:ln>
                  </pic:spPr>
                </pic:pic>
              </a:graphicData>
            </a:graphic>
          </wp:inline>
        </w:drawing>
      </w:r>
      <w:r w:rsidR="001266F5">
        <w:t xml:space="preserve"> </w:t>
      </w:r>
    </w:p>
    <w:p w14:paraId="38D45D49" w14:textId="77777777" w:rsidR="00796039" w:rsidRDefault="00AF089A" w:rsidP="0066425F">
      <w:pPr>
        <w:pStyle w:val="Heading3"/>
      </w:pPr>
      <w:r>
        <w:br w:type="page"/>
      </w:r>
      <w:bookmarkStart w:id="179" w:name="_Toc203765863"/>
      <w:r w:rsidR="006068DE">
        <w:lastRenderedPageBreak/>
        <w:t>Order Alerts</w:t>
      </w:r>
      <w:bookmarkEnd w:id="179"/>
      <w:r w:rsidR="00796039">
        <w:fldChar w:fldCharType="begin"/>
      </w:r>
      <w:r w:rsidR="00796039">
        <w:instrText xml:space="preserve"> XE “</w:instrText>
      </w:r>
      <w:r w:rsidR="006068DE">
        <w:instrText>Order Alerts</w:instrText>
      </w:r>
      <w:r w:rsidR="00796039">
        <w:instrText xml:space="preserve">” </w:instrText>
      </w:r>
      <w:r w:rsidR="00796039">
        <w:fldChar w:fldCharType="end"/>
      </w:r>
      <w:r w:rsidR="00796039">
        <w:t xml:space="preserve"> </w:t>
      </w:r>
      <w:r w:rsidR="00796039">
        <w:rPr>
          <w:vanish/>
        </w:rPr>
        <w:t>UC_95</w:t>
      </w:r>
    </w:p>
    <w:p w14:paraId="460B95C2" w14:textId="57BB6B6B" w:rsidR="00796039" w:rsidRDefault="00796039" w:rsidP="00796039">
      <w:pPr>
        <w:pStyle w:val="BodyText"/>
      </w:pPr>
      <w:r>
        <w:t xml:space="preserve">The user configures </w:t>
      </w:r>
      <w:r w:rsidRPr="00CA0045">
        <w:rPr>
          <w:bCs/>
        </w:rPr>
        <w:t>VistA</w:t>
      </w:r>
      <w:r>
        <w:t xml:space="preserve"> alerts that appear at login. </w:t>
      </w:r>
      <w:r w:rsidR="00E90A01">
        <w:t xml:space="preserve">For additional information, see </w:t>
      </w:r>
      <w:r w:rsidR="00EE455E">
        <w:t xml:space="preserve">Appendix </w:t>
      </w:r>
      <w:r w:rsidR="00EE455E">
        <w:rPr>
          <w:noProof/>
        </w:rPr>
        <w:t>G</w:t>
      </w:r>
      <w:r w:rsidR="00EE455E">
        <w:t>: Work Process Flowcharts</w:t>
      </w:r>
      <w:r w:rsidR="00E90A01">
        <w:t>.</w:t>
      </w:r>
    </w:p>
    <w:p w14:paraId="457CFDF5" w14:textId="77777777" w:rsidR="00796039" w:rsidRDefault="00796039" w:rsidP="00796039">
      <w:pPr>
        <w:pStyle w:val="Heading4"/>
      </w:pPr>
      <w:r>
        <w:t>Assumptions</w:t>
      </w:r>
      <w:r>
        <w:rPr>
          <w:b w:val="0"/>
        </w:rPr>
        <w:t xml:space="preserve"> </w:t>
      </w:r>
    </w:p>
    <w:p w14:paraId="6727689B" w14:textId="77777777" w:rsidR="00796039" w:rsidRDefault="00796039" w:rsidP="00796039">
      <w:pPr>
        <w:pStyle w:val="ListBullet"/>
      </w:pPr>
      <w:r>
        <w:t>None</w:t>
      </w:r>
    </w:p>
    <w:p w14:paraId="6DE502E2" w14:textId="77777777" w:rsidR="00796039" w:rsidRDefault="00796039" w:rsidP="00796039">
      <w:pPr>
        <w:pStyle w:val="Heading4"/>
      </w:pPr>
      <w:r>
        <w:t xml:space="preserve">Outcome </w:t>
      </w:r>
    </w:p>
    <w:p w14:paraId="05AC8C9E" w14:textId="77777777" w:rsidR="00796039" w:rsidRDefault="00796039" w:rsidP="00796039">
      <w:pPr>
        <w:pStyle w:val="ListBullet"/>
      </w:pPr>
      <w:r>
        <w:t>User alerts of physician orders for blood bank diagnostic tests and blood components are configured.</w:t>
      </w:r>
    </w:p>
    <w:p w14:paraId="479B4E42" w14:textId="77777777" w:rsidR="00796039" w:rsidRDefault="00796039" w:rsidP="00796039">
      <w:pPr>
        <w:pStyle w:val="Heading4"/>
      </w:pPr>
      <w:r>
        <w:t>Limitations and Restrictions</w:t>
      </w:r>
      <w:r>
        <w:rPr>
          <w:b w:val="0"/>
        </w:rPr>
        <w:t xml:space="preserve"> </w:t>
      </w:r>
    </w:p>
    <w:p w14:paraId="2C16110B" w14:textId="77777777" w:rsidR="000D7828" w:rsidRDefault="000D7828" w:rsidP="00796039">
      <w:pPr>
        <w:pStyle w:val="ListBullet"/>
      </w:pPr>
      <w:r>
        <w:t xml:space="preserve">This is an alert only and contains limited information from the CPRS order. </w:t>
      </w:r>
      <w:r w:rsidRPr="000D7828">
        <w:rPr>
          <w:vanish/>
        </w:rPr>
        <w:t>Defect 368207</w:t>
      </w:r>
    </w:p>
    <w:p w14:paraId="6598AF61" w14:textId="77777777" w:rsidR="00796039" w:rsidRDefault="00796039" w:rsidP="00796039">
      <w:pPr>
        <w:pStyle w:val="ListBullet"/>
      </w:pPr>
      <w:r>
        <w:t>This option does not create a mechanism to accept or reject orders or specimens or define reports for viewing orders.</w:t>
      </w:r>
    </w:p>
    <w:p w14:paraId="2D8D1B05" w14:textId="77777777" w:rsidR="00796039" w:rsidRDefault="00796039" w:rsidP="00796039">
      <w:pPr>
        <w:pStyle w:val="ListBullet"/>
      </w:pPr>
      <w:r>
        <w:t>The user may select the option to display printer alerts only when the designated printer is configured and available.</w:t>
      </w:r>
    </w:p>
    <w:p w14:paraId="19524F2F" w14:textId="77777777" w:rsidR="00796039" w:rsidRDefault="00796039" w:rsidP="00796039">
      <w:pPr>
        <w:pStyle w:val="ListBullet"/>
      </w:pPr>
      <w:r>
        <w:t>The printer</w:t>
      </w:r>
      <w:r w:rsidR="006C2ED3" w:rsidRPr="006C2ED3">
        <w:t xml:space="preserve"> </w:t>
      </w:r>
      <w:r w:rsidR="006C2ED3">
        <w:t>must be configured by the System Administrator</w:t>
      </w:r>
      <w:r>
        <w:t>.</w:t>
      </w:r>
    </w:p>
    <w:p w14:paraId="17DB53D5" w14:textId="7F930824" w:rsidR="00325C70" w:rsidRPr="00C32C1A" w:rsidRDefault="00325C70" w:rsidP="00325C70">
      <w:pPr>
        <w:pStyle w:val="ListBullet"/>
      </w:pPr>
      <w:r w:rsidRPr="00C32C1A">
        <w:t xml:space="preserve">The Order alert functionality is disabled when VBECS is set to </w:t>
      </w:r>
      <w:r w:rsidR="00F63A03">
        <w:t>Read-Only</w:t>
      </w:r>
      <w:r w:rsidRPr="00C32C1A">
        <w:t xml:space="preserve">. </w:t>
      </w:r>
    </w:p>
    <w:p w14:paraId="05B472AE" w14:textId="77777777" w:rsidR="00796039" w:rsidRDefault="00796039" w:rsidP="00796039">
      <w:pPr>
        <w:pStyle w:val="Heading4"/>
      </w:pPr>
      <w:r>
        <w:t xml:space="preserve">Additional Information </w:t>
      </w:r>
    </w:p>
    <w:p w14:paraId="76A01DF4" w14:textId="77777777" w:rsidR="00796039" w:rsidRDefault="00796039" w:rsidP="00796039">
      <w:pPr>
        <w:pStyle w:val="ListBullet"/>
      </w:pPr>
      <w:r>
        <w:t>A user may review current user alert configurations.</w:t>
      </w:r>
    </w:p>
    <w:p w14:paraId="77AA01F0" w14:textId="77777777" w:rsidR="00796039" w:rsidRDefault="00796039" w:rsidP="00796039">
      <w:pPr>
        <w:pStyle w:val="ListBullet"/>
      </w:pPr>
      <w:r>
        <w:t>VBECS uses other alerts (patient update alerts, VistALink status alerts) that do not require configuration.</w:t>
      </w:r>
    </w:p>
    <w:p w14:paraId="50194E65" w14:textId="77777777" w:rsidR="007004B1" w:rsidRDefault="007004B1" w:rsidP="00796039">
      <w:pPr>
        <w:pStyle w:val="ListBullet"/>
      </w:pPr>
      <w:r>
        <w:t xml:space="preserve">The user may set </w:t>
      </w:r>
      <w:r w:rsidR="00922AD8">
        <w:t>VBECS to</w:t>
      </w:r>
      <w:r>
        <w:t xml:space="preserve"> automatically print an order alert on the designated printer when VBECS ackn</w:t>
      </w:r>
      <w:r w:rsidR="000D7828">
        <w:t xml:space="preserve">owledges the order. </w:t>
      </w:r>
      <w:r>
        <w:t>The CPRS can be configured to print a copy of the order on a printer in the blood bank.</w:t>
      </w:r>
    </w:p>
    <w:p w14:paraId="75E15C6B" w14:textId="77777777" w:rsidR="00491BEC" w:rsidRDefault="00491BEC" w:rsidP="00796039">
      <w:pPr>
        <w:pStyle w:val="ListBullet"/>
      </w:pPr>
      <w:r>
        <w:t>Printed order alerts are not queued.</w:t>
      </w:r>
    </w:p>
    <w:p w14:paraId="61A36C01" w14:textId="77777777" w:rsidR="00796039" w:rsidRDefault="00796039" w:rsidP="00796039">
      <w:pPr>
        <w:pStyle w:val="Heading4"/>
        <w:rPr>
          <w:b w:val="0"/>
        </w:rPr>
      </w:pPr>
      <w:r>
        <w:t>User Roles with Access to This Option</w:t>
      </w:r>
      <w:r>
        <w:rPr>
          <w:b w:val="0"/>
        </w:rPr>
        <w:t xml:space="preserve"> </w:t>
      </w:r>
    </w:p>
    <w:p w14:paraId="55735B5F" w14:textId="77777777" w:rsidR="00237C52" w:rsidRDefault="00237C52" w:rsidP="00796039">
      <w:pPr>
        <w:pStyle w:val="Roles"/>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Administrator/Supervisor</w:t>
      </w:r>
    </w:p>
    <w:p w14:paraId="458532C3" w14:textId="77777777" w:rsidR="00796039" w:rsidRDefault="006068DE" w:rsidP="00796039">
      <w:pPr>
        <w:pStyle w:val="Heading4"/>
      </w:pPr>
      <w:r>
        <w:t>Order Alerts</w:t>
      </w:r>
    </w:p>
    <w:p w14:paraId="21F94838" w14:textId="1EA151BE" w:rsidR="00796039" w:rsidRDefault="00796039" w:rsidP="00796039">
      <w:pPr>
        <w:pStyle w:val="BodyText"/>
      </w:pPr>
      <w:r>
        <w:t xml:space="preserve">The user configures diagnostic test or component order </w:t>
      </w:r>
      <w:r w:rsidR="00702CFB">
        <w:t>alerts and</w:t>
      </w:r>
      <w:r>
        <w:t xml:space="preserve"> turns them on or off. The alerts notify users when new orders are entered, updated, or cancel</w:t>
      </w:r>
      <w:r w:rsidR="002F7E19">
        <w:t>l</w:t>
      </w:r>
      <w:r>
        <w:t xml:space="preserve">ed in </w:t>
      </w:r>
      <w:r w:rsidRPr="00CA0045">
        <w:rPr>
          <w:bCs/>
        </w:rPr>
        <w:t>VistA</w:t>
      </w:r>
      <w:r>
        <w:rPr>
          <w:bCs/>
        </w:rPr>
        <w: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796039" w14:paraId="5EC59A4C" w14:textId="77777777">
        <w:trPr>
          <w:cantSplit/>
          <w:tblHeader/>
        </w:trPr>
        <w:tc>
          <w:tcPr>
            <w:tcW w:w="3240" w:type="dxa"/>
            <w:shd w:val="pct30" w:color="auto" w:fill="FFFFFF"/>
            <w:vAlign w:val="bottom"/>
          </w:tcPr>
          <w:p w14:paraId="73545CF7" w14:textId="77777777" w:rsidR="00796039" w:rsidRDefault="00796039" w:rsidP="00796039">
            <w:pPr>
              <w:pStyle w:val="TableText"/>
              <w:rPr>
                <w:b/>
              </w:rPr>
            </w:pPr>
            <w:r>
              <w:rPr>
                <w:b/>
              </w:rPr>
              <w:t>User Action</w:t>
            </w:r>
          </w:p>
        </w:tc>
        <w:tc>
          <w:tcPr>
            <w:tcW w:w="6120" w:type="dxa"/>
            <w:shd w:val="pct30" w:color="auto" w:fill="FFFFFF"/>
            <w:vAlign w:val="bottom"/>
          </w:tcPr>
          <w:p w14:paraId="067F5AA8" w14:textId="77777777" w:rsidR="00796039" w:rsidRDefault="00796039" w:rsidP="00796039">
            <w:pPr>
              <w:pStyle w:val="TableText"/>
              <w:rPr>
                <w:b/>
              </w:rPr>
            </w:pPr>
            <w:r>
              <w:rPr>
                <w:b/>
              </w:rPr>
              <w:t>VBECS</w:t>
            </w:r>
          </w:p>
        </w:tc>
      </w:tr>
      <w:tr w:rsidR="00796039" w14:paraId="2A200728" w14:textId="77777777">
        <w:tc>
          <w:tcPr>
            <w:tcW w:w="3240" w:type="dxa"/>
          </w:tcPr>
          <w:p w14:paraId="5DBD4972" w14:textId="77777777" w:rsidR="00796039" w:rsidRDefault="00796039" w:rsidP="00796039">
            <w:pPr>
              <w:pStyle w:val="TableTextNumbers"/>
            </w:pPr>
            <w:r>
              <w:t xml:space="preserve">Select </w:t>
            </w:r>
            <w:r>
              <w:rPr>
                <w:b/>
                <w:bCs/>
              </w:rPr>
              <w:t>Tools</w:t>
            </w:r>
            <w:r>
              <w:t xml:space="preserve"> from the main menu.</w:t>
            </w:r>
          </w:p>
          <w:p w14:paraId="41B79393" w14:textId="77777777" w:rsidR="00796039" w:rsidRDefault="00796039" w:rsidP="00796039">
            <w:pPr>
              <w:pStyle w:val="TableTextNumbersContinued"/>
              <w:rPr>
                <w:b/>
                <w:bCs/>
              </w:rPr>
            </w:pPr>
          </w:p>
          <w:p w14:paraId="3AA53D3A" w14:textId="77777777" w:rsidR="00796039" w:rsidRDefault="00796039" w:rsidP="00796039">
            <w:pPr>
              <w:pStyle w:val="TableTextNumbersContinued"/>
              <w:rPr>
                <w:b/>
                <w:bCs/>
              </w:rPr>
            </w:pPr>
            <w:r>
              <w:rPr>
                <w:b/>
                <w:bCs/>
              </w:rPr>
              <w:t>Select Configure Division.</w:t>
            </w:r>
          </w:p>
        </w:tc>
        <w:tc>
          <w:tcPr>
            <w:tcW w:w="6120" w:type="dxa"/>
          </w:tcPr>
          <w:p w14:paraId="702AB734" w14:textId="77777777" w:rsidR="00796039" w:rsidRDefault="00796039" w:rsidP="00796039">
            <w:pPr>
              <w:pStyle w:val="TableTextBullet"/>
            </w:pPr>
            <w:r>
              <w:t>Displays options for processing administrative functions.</w:t>
            </w:r>
          </w:p>
          <w:p w14:paraId="31C33DA1" w14:textId="77777777" w:rsidR="00796039" w:rsidRDefault="00796039" w:rsidP="00796039">
            <w:pPr>
              <w:pStyle w:val="TableTextBullet"/>
            </w:pPr>
            <w:r>
              <w:t>Displays configuration tabs.</w:t>
            </w:r>
          </w:p>
        </w:tc>
      </w:tr>
      <w:tr w:rsidR="00796039" w14:paraId="3B5D0941" w14:textId="77777777" w:rsidTr="007E500E">
        <w:trPr>
          <w:cantSplit/>
        </w:trPr>
        <w:tc>
          <w:tcPr>
            <w:tcW w:w="3240" w:type="dxa"/>
          </w:tcPr>
          <w:p w14:paraId="29BF4FD1" w14:textId="01AC235A" w:rsidR="00796039" w:rsidRDefault="00796039" w:rsidP="00796039">
            <w:pPr>
              <w:pStyle w:val="TableTextNumbers"/>
            </w:pPr>
            <w:r>
              <w:lastRenderedPageBreak/>
              <w:t xml:space="preserve">Click the </w:t>
            </w:r>
            <w:r>
              <w:rPr>
                <w:b/>
                <w:bCs/>
              </w:rPr>
              <w:t xml:space="preserve">Order Alerts </w:t>
            </w:r>
            <w:r w:rsidRPr="00CC3C89">
              <w:rPr>
                <w:bCs/>
              </w:rPr>
              <w:t>tab</w:t>
            </w:r>
            <w:r w:rsidR="008A6E48" w:rsidRPr="00CC3C89">
              <w:rPr>
                <w:bCs/>
              </w:rPr>
              <w:t xml:space="preserve"> </w:t>
            </w:r>
            <w:r w:rsidR="008A6E48">
              <w:rPr>
                <w:bCs/>
              </w:rPr>
              <w:t>(</w:t>
            </w:r>
            <w:r w:rsidR="00EE455E">
              <w:t xml:space="preserve">Figure </w:t>
            </w:r>
            <w:r w:rsidR="00EE455E">
              <w:rPr>
                <w:noProof/>
              </w:rPr>
              <w:t>27</w:t>
            </w:r>
            <w:r w:rsidR="008A6E48">
              <w:rPr>
                <w:bCs/>
              </w:rPr>
              <w:t>)</w:t>
            </w:r>
            <w:r>
              <w:t xml:space="preserve">. </w:t>
            </w:r>
          </w:p>
          <w:p w14:paraId="2B65C6F0" w14:textId="77777777" w:rsidR="00796039" w:rsidRDefault="00796039" w:rsidP="00796039">
            <w:pPr>
              <w:pStyle w:val="TableTextNumbersContinued"/>
            </w:pPr>
          </w:p>
          <w:p w14:paraId="7A8DBFFF" w14:textId="77777777" w:rsidR="00796039" w:rsidRDefault="00796039" w:rsidP="00796039">
            <w:pPr>
              <w:pStyle w:val="TableTextNumbersContinued"/>
            </w:pPr>
            <w:r>
              <w:t xml:space="preserve">Click the </w:t>
            </w:r>
            <w:r>
              <w:rPr>
                <w:b/>
              </w:rPr>
              <w:t>Printer Alerts On</w:t>
            </w:r>
            <w:r>
              <w:t xml:space="preserve"> and/or the</w:t>
            </w:r>
            <w:r>
              <w:rPr>
                <w:b/>
              </w:rPr>
              <w:t xml:space="preserve"> Icon Alerts On </w:t>
            </w:r>
            <w:r w:rsidRPr="00D1100E">
              <w:t>check box</w:t>
            </w:r>
            <w:r>
              <w:t>.</w:t>
            </w:r>
          </w:p>
          <w:p w14:paraId="2B0B9F89" w14:textId="77777777" w:rsidR="00796039" w:rsidRDefault="00796039" w:rsidP="00796039">
            <w:pPr>
              <w:pStyle w:val="TableTextNumbersContinued"/>
            </w:pPr>
          </w:p>
          <w:p w14:paraId="77F41505" w14:textId="77777777" w:rsidR="00796039" w:rsidRDefault="00796039" w:rsidP="00796039">
            <w:pPr>
              <w:pStyle w:val="TableTextNumbersContinued"/>
              <w:rPr>
                <w:b/>
                <w:bCs/>
              </w:rPr>
            </w:pPr>
            <w:r>
              <w:t>Select the order alert type from the drop-down menus in the Order Alert Type fields.</w:t>
            </w:r>
          </w:p>
        </w:tc>
        <w:tc>
          <w:tcPr>
            <w:tcW w:w="6120" w:type="dxa"/>
          </w:tcPr>
          <w:p w14:paraId="69D7613E" w14:textId="77777777" w:rsidR="00796039" w:rsidRDefault="00796039" w:rsidP="00796039">
            <w:pPr>
              <w:pStyle w:val="TableTextBullet"/>
            </w:pPr>
            <w:r>
              <w:t xml:space="preserve">Displays the existing order alert configuration and allows the user to edit it. </w:t>
            </w:r>
          </w:p>
          <w:p w14:paraId="06BA6E41" w14:textId="77777777" w:rsidR="00796039" w:rsidRDefault="00796039" w:rsidP="00796039">
            <w:pPr>
              <w:pStyle w:val="TableTextBullet"/>
            </w:pPr>
            <w:r>
              <w:rPr>
                <w:rFonts w:cs="Arial"/>
                <w:vanish/>
              </w:rPr>
              <w:t xml:space="preserve">BR_95.08 </w:t>
            </w:r>
            <w:r>
              <w:t>Requires the user to select a printer name and to define which orders to print.</w:t>
            </w:r>
          </w:p>
          <w:p w14:paraId="39246837" w14:textId="77777777" w:rsidR="00796039" w:rsidRDefault="00796039" w:rsidP="00796039">
            <w:pPr>
              <w:pStyle w:val="TableTextBullet"/>
            </w:pPr>
            <w:r>
              <w:rPr>
                <w:rFonts w:cs="Arial"/>
                <w:vanish/>
              </w:rPr>
              <w:t xml:space="preserve">BR_95.05 </w:t>
            </w:r>
            <w:r>
              <w:t>Displays the selected printer, the selected order alert type, and the number of hours (default: 48 hours) entered for review.</w:t>
            </w:r>
          </w:p>
          <w:p w14:paraId="44BECD16" w14:textId="77777777" w:rsidR="00796039" w:rsidRDefault="00796039" w:rsidP="00796039">
            <w:pPr>
              <w:pStyle w:val="TableText"/>
            </w:pPr>
          </w:p>
          <w:p w14:paraId="66CEAD4A" w14:textId="66DE528B" w:rsidR="00796039" w:rsidRDefault="00796039" w:rsidP="00796039">
            <w:pPr>
              <w:pStyle w:val="TableText"/>
              <w:rPr>
                <w:b/>
                <w:bCs/>
                <w:szCs w:val="18"/>
              </w:rPr>
            </w:pPr>
            <w:r>
              <w:rPr>
                <w:b/>
                <w:bCs/>
                <w:szCs w:val="18"/>
              </w:rPr>
              <w:t>NOTES</w:t>
            </w:r>
          </w:p>
          <w:p w14:paraId="21DAEA18" w14:textId="77777777" w:rsidR="00796039" w:rsidRDefault="00796039" w:rsidP="00796039">
            <w:pPr>
              <w:pStyle w:val="NotesText"/>
            </w:pPr>
          </w:p>
          <w:p w14:paraId="66535802" w14:textId="77777777" w:rsidR="00796039" w:rsidRDefault="002E301F" w:rsidP="00796039">
            <w:pPr>
              <w:pStyle w:val="NotesText"/>
            </w:pPr>
            <w:r w:rsidRPr="002E301F">
              <w:t>VBECS lists app</w:t>
            </w:r>
            <w:r>
              <w:t>lication</w:t>
            </w:r>
            <w:r w:rsidRPr="002E301F">
              <w:t xml:space="preserve"> server printers</w:t>
            </w:r>
            <w:r w:rsidR="00796039">
              <w:t>.</w:t>
            </w:r>
          </w:p>
          <w:p w14:paraId="266434E5" w14:textId="77777777" w:rsidR="00796039" w:rsidRDefault="00796039" w:rsidP="00796039">
            <w:pPr>
              <w:pStyle w:val="NotesText"/>
            </w:pPr>
          </w:p>
          <w:p w14:paraId="6D4E0BCE" w14:textId="77777777" w:rsidR="00796039" w:rsidRDefault="00796039" w:rsidP="00796039">
            <w:pPr>
              <w:pStyle w:val="NotesText"/>
            </w:pPr>
            <w:r>
              <w:rPr>
                <w:rFonts w:cs="Arial"/>
                <w:vanish/>
              </w:rPr>
              <w:t xml:space="preserve">BR_95.04 </w:t>
            </w:r>
            <w:r>
              <w:t>The user must select an order alert type:</w:t>
            </w:r>
          </w:p>
          <w:p w14:paraId="6627DD23" w14:textId="77777777" w:rsidR="00796039" w:rsidRDefault="00796039" w:rsidP="00796039">
            <w:pPr>
              <w:pStyle w:val="NotesTextBullet"/>
            </w:pPr>
            <w:r>
              <w:t>All orders (orders received by VBECS)</w:t>
            </w:r>
          </w:p>
          <w:p w14:paraId="225B78EF" w14:textId="77777777" w:rsidR="00796039" w:rsidRDefault="00796039" w:rsidP="00796039">
            <w:pPr>
              <w:pStyle w:val="NotesTextBullet"/>
            </w:pPr>
            <w:r>
              <w:t xml:space="preserve">Hours limit to fill </w:t>
            </w:r>
            <w:r w:rsidR="008426BA">
              <w:t>o</w:t>
            </w:r>
            <w:r>
              <w:t xml:space="preserve">rder (orders received by VBECS needed in the next </w:t>
            </w:r>
            <w:r w:rsidRPr="00A65947">
              <w:rPr>
                <w:i/>
              </w:rPr>
              <w:t>n</w:t>
            </w:r>
            <w:r>
              <w:t xml:space="preserve"> hours) </w:t>
            </w:r>
          </w:p>
          <w:p w14:paraId="2A3B2DE9" w14:textId="77777777" w:rsidR="00796039" w:rsidRDefault="00796039" w:rsidP="00796039">
            <w:pPr>
              <w:pStyle w:val="NotesTextBullet"/>
            </w:pPr>
            <w:r>
              <w:t>Spec</w:t>
            </w:r>
            <w:r w:rsidR="00802EE9">
              <w:t>imen OK or N/A (orders where</w:t>
            </w:r>
            <w:r>
              <w:t xml:space="preserve"> no specimen is require</w:t>
            </w:r>
            <w:r w:rsidR="00802EE9">
              <w:t>d</w:t>
            </w:r>
            <w:r>
              <w:t>)</w:t>
            </w:r>
          </w:p>
        </w:tc>
      </w:tr>
      <w:tr w:rsidR="00796039" w14:paraId="4CEB29F4" w14:textId="77777777">
        <w:tc>
          <w:tcPr>
            <w:tcW w:w="3240" w:type="dxa"/>
          </w:tcPr>
          <w:p w14:paraId="7B38D2A2" w14:textId="77777777" w:rsidR="00796039" w:rsidRDefault="00796039" w:rsidP="00796039">
            <w:pPr>
              <w:pStyle w:val="TableTextNumbers"/>
            </w:pPr>
            <w:r>
              <w:t>Enter or select a refresh rate</w:t>
            </w:r>
            <w:r w:rsidR="00B917A8">
              <w:t xml:space="preserve"> (the interval between searches for new orders)</w:t>
            </w:r>
            <w:r>
              <w:t xml:space="preserve"> for the order alert in the Refresh Rate field. </w:t>
            </w:r>
          </w:p>
        </w:tc>
        <w:tc>
          <w:tcPr>
            <w:tcW w:w="6120" w:type="dxa"/>
          </w:tcPr>
          <w:p w14:paraId="4DF590C1" w14:textId="77777777" w:rsidR="00796039" w:rsidRDefault="00796039" w:rsidP="00796039">
            <w:pPr>
              <w:pStyle w:val="TableTextBullet"/>
            </w:pPr>
            <w:r>
              <w:rPr>
                <w:rFonts w:cs="Arial"/>
                <w:vanish/>
              </w:rPr>
              <w:t xml:space="preserve">BR_95.07 </w:t>
            </w:r>
            <w:r>
              <w:t>Requires the user to enter a refresh rate (default: 60 seconds) (Icon Alerts On).</w:t>
            </w:r>
          </w:p>
          <w:p w14:paraId="60BF1859" w14:textId="77777777" w:rsidR="00796039" w:rsidRDefault="00796039" w:rsidP="00796039">
            <w:pPr>
              <w:pStyle w:val="TableTextBullet"/>
            </w:pPr>
            <w:r>
              <w:t>Displays the updated refresh rate.</w:t>
            </w:r>
          </w:p>
          <w:p w14:paraId="1E15FF2D" w14:textId="77777777" w:rsidR="00796039" w:rsidRDefault="00796039" w:rsidP="00796039">
            <w:pPr>
              <w:pStyle w:val="TableTextBullet"/>
            </w:pPr>
            <w:r>
              <w:t xml:space="preserve">Displays the selected order alert type. </w:t>
            </w:r>
          </w:p>
        </w:tc>
      </w:tr>
      <w:tr w:rsidR="00796039" w14:paraId="2F02D4FA" w14:textId="77777777">
        <w:tc>
          <w:tcPr>
            <w:tcW w:w="3240" w:type="dxa"/>
          </w:tcPr>
          <w:p w14:paraId="74B54FDA" w14:textId="77777777" w:rsidR="00796039" w:rsidRDefault="00796039" w:rsidP="00796039">
            <w:pPr>
              <w:pStyle w:val="TableTextNumbers"/>
            </w:pPr>
            <w:r>
              <w:t xml:space="preserve">Click </w:t>
            </w:r>
            <w:r>
              <w:rPr>
                <w:b/>
              </w:rPr>
              <w:t>OK</w:t>
            </w:r>
            <w:r>
              <w:t xml:space="preserve"> to save</w:t>
            </w:r>
          </w:p>
        </w:tc>
        <w:tc>
          <w:tcPr>
            <w:tcW w:w="6120" w:type="dxa"/>
          </w:tcPr>
          <w:p w14:paraId="6AC552B5" w14:textId="77777777" w:rsidR="00796039" w:rsidRDefault="00796039" w:rsidP="00796039">
            <w:pPr>
              <w:pStyle w:val="TableTextBullet"/>
            </w:pPr>
            <w:r>
              <w:t>Saves the user alert configuration settings.</w:t>
            </w:r>
          </w:p>
        </w:tc>
      </w:tr>
      <w:tr w:rsidR="00796039" w14:paraId="2BC0E681" w14:textId="77777777">
        <w:tc>
          <w:tcPr>
            <w:tcW w:w="3240" w:type="dxa"/>
          </w:tcPr>
          <w:p w14:paraId="1AB151F7" w14:textId="77777777" w:rsidR="00796039" w:rsidRDefault="00796039" w:rsidP="00796039">
            <w:pPr>
              <w:pStyle w:val="TableTextNumbers"/>
            </w:pPr>
            <w:r>
              <w:t xml:space="preserve">Click </w:t>
            </w:r>
            <w:r>
              <w:rPr>
                <w:b/>
              </w:rPr>
              <w:t>Yes</w:t>
            </w:r>
            <w:r>
              <w:t xml:space="preserve"> to confirm the changes and exit. </w:t>
            </w:r>
            <w:r>
              <w:rPr>
                <w:vanish/>
                <w:color w:val="FFFFFF"/>
                <w:szCs w:val="18"/>
              </w:rPr>
              <w:fldChar w:fldCharType="begin"/>
            </w:r>
            <w:r>
              <w:rPr>
                <w:vanish/>
                <w:color w:val="FFFFFF"/>
                <w:szCs w:val="18"/>
              </w:rPr>
              <w:instrText xml:space="preserve"> LISTNUM \l 1 \s 0 </w:instrText>
            </w:r>
            <w:r>
              <w:rPr>
                <w:vanish/>
                <w:color w:val="FFFFFF"/>
                <w:szCs w:val="18"/>
              </w:rPr>
              <w:fldChar w:fldCharType="end">
                <w:numberingChange w:id="180" w:author="MUSZYNSKI, THOMAS D. (SIERRA 7 INC)" w:date="2024-11-26T07:15:00Z" w:original="0."/>
              </w:fldChar>
            </w:r>
          </w:p>
        </w:tc>
        <w:tc>
          <w:tcPr>
            <w:tcW w:w="6120" w:type="dxa"/>
          </w:tcPr>
          <w:p w14:paraId="1FA22DB9" w14:textId="77777777" w:rsidR="00796039" w:rsidRDefault="00796039" w:rsidP="00796039">
            <w:pPr>
              <w:pStyle w:val="NotesText"/>
            </w:pPr>
          </w:p>
        </w:tc>
      </w:tr>
    </w:tbl>
    <w:p w14:paraId="2257A39A" w14:textId="5A85ED91" w:rsidR="008A6E48" w:rsidRDefault="008A6E48" w:rsidP="008A6E48">
      <w:pPr>
        <w:pStyle w:val="Caption"/>
      </w:pPr>
      <w:bookmarkStart w:id="181" w:name="_Ref126470573"/>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7D1829">
        <w:rPr>
          <w:noProof/>
        </w:rPr>
        <w:t>28</w:t>
      </w:r>
      <w:r w:rsidR="004E20BD">
        <w:rPr>
          <w:noProof/>
        </w:rPr>
        <w:fldChar w:fldCharType="end"/>
      </w:r>
      <w:bookmarkEnd w:id="181"/>
      <w:r>
        <w:t xml:space="preserve">: </w:t>
      </w:r>
      <w:r w:rsidR="00954B38">
        <w:t xml:space="preserve">Example of </w:t>
      </w:r>
      <w:r>
        <w:t>Order Alerts Tab</w:t>
      </w:r>
    </w:p>
    <w:p w14:paraId="172C2264" w14:textId="77777777" w:rsidR="00796039" w:rsidRDefault="00057948" w:rsidP="0066425F">
      <w:pPr>
        <w:pStyle w:val="BodyText"/>
      </w:pPr>
      <w:r>
        <w:rPr>
          <w:noProof/>
        </w:rPr>
        <w:drawing>
          <wp:inline distT="0" distB="0" distL="0" distR="0" wp14:anchorId="14646D10" wp14:editId="132E3002">
            <wp:extent cx="3195955" cy="3186430"/>
            <wp:effectExtent l="0" t="0" r="4445" b="0"/>
            <wp:docPr id="130" name="Picture 130" descr="Example of Order Alerts Tab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Picture 130" descr="Example of Order Alerts Tab screen capture"/>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3195955" cy="3186430"/>
                    </a:xfrm>
                    <a:prstGeom prst="rect">
                      <a:avLst/>
                    </a:prstGeom>
                    <a:noFill/>
                    <a:ln>
                      <a:noFill/>
                    </a:ln>
                  </pic:spPr>
                </pic:pic>
              </a:graphicData>
            </a:graphic>
          </wp:inline>
        </w:drawing>
      </w:r>
    </w:p>
    <w:p w14:paraId="133008D5" w14:textId="77777777" w:rsidR="00796039" w:rsidRDefault="00AF089A" w:rsidP="00796039">
      <w:pPr>
        <w:pStyle w:val="Heading3"/>
      </w:pPr>
      <w:r>
        <w:br w:type="page"/>
      </w:r>
      <w:bookmarkStart w:id="182" w:name="_Toc203765864"/>
      <w:r w:rsidR="006068DE">
        <w:lastRenderedPageBreak/>
        <w:t>Login Message</w:t>
      </w:r>
      <w:bookmarkEnd w:id="182"/>
      <w:r w:rsidR="00796039">
        <w:fldChar w:fldCharType="begin"/>
      </w:r>
      <w:r w:rsidR="00796039">
        <w:instrText xml:space="preserve"> XE “</w:instrText>
      </w:r>
      <w:r w:rsidR="006068DE">
        <w:instrText>Login Message</w:instrText>
      </w:r>
      <w:r w:rsidR="00796039">
        <w:instrText xml:space="preserve">” </w:instrText>
      </w:r>
      <w:r w:rsidR="00796039">
        <w:fldChar w:fldCharType="end"/>
      </w:r>
    </w:p>
    <w:p w14:paraId="34CF9731" w14:textId="77777777" w:rsidR="00796039" w:rsidRDefault="00796039" w:rsidP="00796039">
      <w:pPr>
        <w:pStyle w:val="BodyText"/>
      </w:pPr>
      <w:r>
        <w:t>The user creates a division-wide VBECS message that appears at login.</w:t>
      </w:r>
    </w:p>
    <w:p w14:paraId="1AE7F50A" w14:textId="77777777" w:rsidR="00796039" w:rsidRDefault="00796039" w:rsidP="00796039">
      <w:pPr>
        <w:pStyle w:val="Heading4"/>
      </w:pPr>
      <w:r>
        <w:t>Assumptions</w:t>
      </w:r>
      <w:r>
        <w:rPr>
          <w:b w:val="0"/>
        </w:rPr>
        <w:t xml:space="preserve"> </w:t>
      </w:r>
    </w:p>
    <w:p w14:paraId="4FB049FD" w14:textId="77777777" w:rsidR="00796039" w:rsidRDefault="00796039" w:rsidP="00796039">
      <w:pPr>
        <w:pStyle w:val="ListBullet"/>
      </w:pPr>
      <w:r>
        <w:t xml:space="preserve">None </w:t>
      </w:r>
    </w:p>
    <w:p w14:paraId="39134215" w14:textId="77777777" w:rsidR="00796039" w:rsidRDefault="00796039" w:rsidP="00796039">
      <w:pPr>
        <w:pStyle w:val="Heading4"/>
      </w:pPr>
      <w:r>
        <w:t>Outcome</w:t>
      </w:r>
      <w:r>
        <w:rPr>
          <w:i/>
          <w:color w:val="0000FF"/>
          <w:sz w:val="24"/>
        </w:rPr>
        <w:t xml:space="preserve"> </w:t>
      </w:r>
    </w:p>
    <w:p w14:paraId="32DAEAEF" w14:textId="77777777" w:rsidR="00796039" w:rsidRDefault="00796039" w:rsidP="00796039">
      <w:pPr>
        <w:pStyle w:val="ListBullet"/>
      </w:pPr>
      <w:r>
        <w:t>A message was created for display when users log into a VBECS division.</w:t>
      </w:r>
    </w:p>
    <w:p w14:paraId="13739B5C" w14:textId="77777777" w:rsidR="00796039" w:rsidRDefault="00796039" w:rsidP="00796039">
      <w:pPr>
        <w:pStyle w:val="Heading4"/>
      </w:pPr>
      <w:r>
        <w:t>Limitations and Restrictions</w:t>
      </w:r>
      <w:r>
        <w:rPr>
          <w:b w:val="0"/>
        </w:rPr>
        <w:t xml:space="preserve"> </w:t>
      </w:r>
    </w:p>
    <w:p w14:paraId="551BC54E" w14:textId="77777777" w:rsidR="00796039" w:rsidRDefault="00796039" w:rsidP="00796039">
      <w:pPr>
        <w:pStyle w:val="ListBullet"/>
      </w:pPr>
      <w:r>
        <w:t>None</w:t>
      </w:r>
    </w:p>
    <w:p w14:paraId="256D139C" w14:textId="77777777" w:rsidR="00796039" w:rsidRDefault="00796039" w:rsidP="00796039">
      <w:pPr>
        <w:pStyle w:val="Heading4"/>
      </w:pPr>
      <w:r>
        <w:t>Additional Information</w:t>
      </w:r>
    </w:p>
    <w:p w14:paraId="64960C14" w14:textId="77777777" w:rsidR="00796039" w:rsidRDefault="00796039" w:rsidP="00796039">
      <w:pPr>
        <w:pStyle w:val="ListBullet"/>
      </w:pPr>
      <w:r>
        <w:t>None</w:t>
      </w:r>
    </w:p>
    <w:p w14:paraId="6B5A553F" w14:textId="77777777" w:rsidR="00796039" w:rsidRDefault="00796039" w:rsidP="00796039">
      <w:pPr>
        <w:pStyle w:val="Heading4"/>
        <w:rPr>
          <w:b w:val="0"/>
        </w:rPr>
      </w:pPr>
      <w:r>
        <w:t>User Roles with Access to This Option</w:t>
      </w:r>
      <w:r>
        <w:rPr>
          <w:b w:val="0"/>
        </w:rPr>
        <w:t xml:space="preserve"> </w:t>
      </w:r>
    </w:p>
    <w:p w14:paraId="03854701" w14:textId="77777777" w:rsidR="00796039" w:rsidRDefault="00237C52" w:rsidP="00796039">
      <w:pPr>
        <w:pStyle w:val="Roles"/>
        <w:rPr>
          <w:snapToGrid w:val="0"/>
        </w:rPr>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Lead Technologist</w:t>
      </w:r>
    </w:p>
    <w:p w14:paraId="2B01A13E" w14:textId="77777777" w:rsidR="00796039" w:rsidRDefault="006068DE" w:rsidP="00796039">
      <w:pPr>
        <w:pStyle w:val="Heading4"/>
      </w:pPr>
      <w:r>
        <w:t>Login Message</w:t>
      </w:r>
    </w:p>
    <w:p w14:paraId="7893A3FB" w14:textId="77777777" w:rsidR="00796039" w:rsidRDefault="00796039" w:rsidP="00796039">
      <w:pPr>
        <w:pStyle w:val="BodyText"/>
      </w:pPr>
      <w:r>
        <w:t>The user may add, update, or delete a message that VBECS displays to users logging into the division.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796039" w14:paraId="5638E162" w14:textId="77777777">
        <w:trPr>
          <w:cantSplit/>
          <w:tblHeader/>
        </w:trPr>
        <w:tc>
          <w:tcPr>
            <w:tcW w:w="3240" w:type="dxa"/>
            <w:shd w:val="pct30" w:color="auto" w:fill="FFFFFF"/>
            <w:vAlign w:val="bottom"/>
          </w:tcPr>
          <w:p w14:paraId="5306D9EE" w14:textId="77777777" w:rsidR="00796039" w:rsidRDefault="00796039" w:rsidP="00796039">
            <w:pPr>
              <w:pStyle w:val="TableText"/>
              <w:rPr>
                <w:b/>
              </w:rPr>
            </w:pPr>
            <w:r>
              <w:rPr>
                <w:b/>
              </w:rPr>
              <w:t>User Action</w:t>
            </w:r>
          </w:p>
        </w:tc>
        <w:tc>
          <w:tcPr>
            <w:tcW w:w="6120" w:type="dxa"/>
            <w:shd w:val="pct30" w:color="auto" w:fill="FFFFFF"/>
            <w:vAlign w:val="bottom"/>
          </w:tcPr>
          <w:p w14:paraId="48E36224" w14:textId="77777777" w:rsidR="00796039" w:rsidRDefault="00796039" w:rsidP="00796039">
            <w:pPr>
              <w:pStyle w:val="TableText"/>
              <w:rPr>
                <w:b/>
              </w:rPr>
            </w:pPr>
            <w:r>
              <w:rPr>
                <w:b/>
              </w:rPr>
              <w:t>VBECS</w:t>
            </w:r>
          </w:p>
        </w:tc>
      </w:tr>
      <w:tr w:rsidR="00796039" w14:paraId="11DEF8BA" w14:textId="77777777">
        <w:tc>
          <w:tcPr>
            <w:tcW w:w="3240" w:type="dxa"/>
          </w:tcPr>
          <w:p w14:paraId="5F2B526D" w14:textId="77777777" w:rsidR="00796039" w:rsidRDefault="00796039" w:rsidP="00796039">
            <w:pPr>
              <w:pStyle w:val="TableTextNumbers"/>
            </w:pPr>
            <w:r>
              <w:t xml:space="preserve">Select </w:t>
            </w:r>
            <w:r>
              <w:rPr>
                <w:b/>
                <w:bCs/>
              </w:rPr>
              <w:t>Tools</w:t>
            </w:r>
            <w:r>
              <w:t xml:space="preserve"> from the main menu.</w:t>
            </w:r>
          </w:p>
          <w:p w14:paraId="1C061A08" w14:textId="77777777" w:rsidR="00796039" w:rsidRDefault="00796039" w:rsidP="00796039">
            <w:pPr>
              <w:pStyle w:val="TableTextNumbersContinued"/>
            </w:pPr>
          </w:p>
          <w:p w14:paraId="3121771B" w14:textId="77777777" w:rsidR="00796039" w:rsidRDefault="00796039" w:rsidP="00796039">
            <w:pPr>
              <w:pStyle w:val="TableTextNumbersContinued"/>
            </w:pPr>
            <w:r>
              <w:t xml:space="preserve">Select </w:t>
            </w:r>
            <w:r>
              <w:rPr>
                <w:b/>
              </w:rPr>
              <w:t>Configure Division</w:t>
            </w:r>
            <w:r>
              <w:t>.</w:t>
            </w:r>
          </w:p>
        </w:tc>
        <w:tc>
          <w:tcPr>
            <w:tcW w:w="6120" w:type="dxa"/>
          </w:tcPr>
          <w:p w14:paraId="6BE3043F" w14:textId="77777777" w:rsidR="00796039" w:rsidRDefault="00796039" w:rsidP="00796039">
            <w:pPr>
              <w:pStyle w:val="TableTextBullet"/>
            </w:pPr>
            <w:r>
              <w:t>Displays options for processing administrative functions.</w:t>
            </w:r>
          </w:p>
          <w:p w14:paraId="7F26E2FD" w14:textId="77777777" w:rsidR="00796039" w:rsidRDefault="00796039" w:rsidP="00796039">
            <w:pPr>
              <w:pStyle w:val="TableTextBullet"/>
            </w:pPr>
            <w:r>
              <w:t>Displays configuration tabs.</w:t>
            </w:r>
          </w:p>
        </w:tc>
      </w:tr>
      <w:tr w:rsidR="00796039" w14:paraId="3864E959" w14:textId="77777777">
        <w:tc>
          <w:tcPr>
            <w:tcW w:w="3240" w:type="dxa"/>
            <w:tcBorders>
              <w:top w:val="single" w:sz="4" w:space="0" w:color="auto"/>
              <w:left w:val="single" w:sz="4" w:space="0" w:color="auto"/>
              <w:bottom w:val="single" w:sz="4" w:space="0" w:color="auto"/>
              <w:right w:val="single" w:sz="4" w:space="0" w:color="auto"/>
            </w:tcBorders>
          </w:tcPr>
          <w:p w14:paraId="31F8B1F1" w14:textId="1DF5F592" w:rsidR="00796039" w:rsidRDefault="00796039" w:rsidP="00796039">
            <w:pPr>
              <w:pStyle w:val="TableTextNumbers"/>
            </w:pPr>
            <w:r>
              <w:t xml:space="preserve">Click the </w:t>
            </w:r>
            <w:r>
              <w:rPr>
                <w:b/>
              </w:rPr>
              <w:t xml:space="preserve">Login Message </w:t>
            </w:r>
            <w:r w:rsidRPr="00CC3C89">
              <w:t>tab</w:t>
            </w:r>
            <w:r w:rsidR="008A6E48" w:rsidRPr="00CC3C89">
              <w:t xml:space="preserve"> </w:t>
            </w:r>
            <w:r w:rsidR="008A6E48">
              <w:t>(</w:t>
            </w:r>
            <w:r w:rsidR="00EE455E">
              <w:t xml:space="preserve">Figure </w:t>
            </w:r>
            <w:r w:rsidR="00EE455E">
              <w:rPr>
                <w:noProof/>
              </w:rPr>
              <w:t>28</w:t>
            </w:r>
            <w:r w:rsidR="008A6E48">
              <w:t>)</w:t>
            </w:r>
            <w:r>
              <w:t>.</w:t>
            </w:r>
          </w:p>
          <w:p w14:paraId="2CCF3122" w14:textId="77777777" w:rsidR="00796039" w:rsidRDefault="00796039" w:rsidP="00796039">
            <w:pPr>
              <w:pStyle w:val="TableTextNumbersContinued"/>
            </w:pPr>
          </w:p>
          <w:p w14:paraId="239CC33D" w14:textId="77777777" w:rsidR="00796039" w:rsidRDefault="00796039" w:rsidP="00796039">
            <w:pPr>
              <w:pStyle w:val="TableTextNumbersContinued"/>
            </w:pPr>
            <w:r>
              <w:t>Enter a message in the message field to display at login.</w:t>
            </w:r>
          </w:p>
        </w:tc>
        <w:tc>
          <w:tcPr>
            <w:tcW w:w="6120" w:type="dxa"/>
            <w:tcBorders>
              <w:top w:val="single" w:sz="4" w:space="0" w:color="auto"/>
              <w:left w:val="single" w:sz="4" w:space="0" w:color="auto"/>
              <w:bottom w:val="single" w:sz="4" w:space="0" w:color="auto"/>
              <w:right w:val="single" w:sz="4" w:space="0" w:color="auto"/>
            </w:tcBorders>
          </w:tcPr>
          <w:p w14:paraId="4FFAC57D" w14:textId="77777777" w:rsidR="00796039" w:rsidRDefault="00796039" w:rsidP="00796039">
            <w:pPr>
              <w:pStyle w:val="TableTextBullet"/>
            </w:pPr>
            <w:r>
              <w:t>Displays the existing login message and allows the user to edit or delete it.</w:t>
            </w:r>
          </w:p>
          <w:p w14:paraId="62772D71" w14:textId="77777777" w:rsidR="00796039" w:rsidRDefault="00796039" w:rsidP="00796039">
            <w:pPr>
              <w:pStyle w:val="TableTextBullet"/>
            </w:pPr>
            <w:r>
              <w:t>Displays the updated login message.</w:t>
            </w:r>
          </w:p>
          <w:p w14:paraId="11172A82" w14:textId="77777777" w:rsidR="00796039" w:rsidRDefault="00796039" w:rsidP="00796039">
            <w:pPr>
              <w:pStyle w:val="TableText"/>
            </w:pPr>
          </w:p>
          <w:p w14:paraId="40C68AA1" w14:textId="7A119182" w:rsidR="00796039" w:rsidRDefault="00796039" w:rsidP="00796039">
            <w:pPr>
              <w:pStyle w:val="TableText"/>
              <w:rPr>
                <w:b/>
              </w:rPr>
            </w:pPr>
            <w:r>
              <w:rPr>
                <w:b/>
              </w:rPr>
              <w:t>NOTES</w:t>
            </w:r>
          </w:p>
          <w:p w14:paraId="1BC10E51" w14:textId="77777777" w:rsidR="00796039" w:rsidRDefault="00796039" w:rsidP="00796039">
            <w:pPr>
              <w:pStyle w:val="NotesText"/>
            </w:pPr>
          </w:p>
          <w:p w14:paraId="584F0C5F" w14:textId="77777777" w:rsidR="00796039" w:rsidRDefault="00796039" w:rsidP="00796039">
            <w:pPr>
              <w:pStyle w:val="NotesText"/>
            </w:pPr>
            <w:r>
              <w:t>VBECS does not display a blank login message.</w:t>
            </w:r>
          </w:p>
          <w:p w14:paraId="6B9A7545" w14:textId="77777777" w:rsidR="00796039" w:rsidRDefault="00796039" w:rsidP="00796039">
            <w:pPr>
              <w:pStyle w:val="NotesText"/>
            </w:pPr>
          </w:p>
          <w:p w14:paraId="1F91D353" w14:textId="77777777" w:rsidR="00796039" w:rsidRDefault="00796039" w:rsidP="00796039">
            <w:pPr>
              <w:pStyle w:val="NotesText"/>
            </w:pPr>
            <w:r>
              <w:t xml:space="preserve">The user may click </w:t>
            </w:r>
            <w:r>
              <w:rPr>
                <w:b/>
              </w:rPr>
              <w:t>Clear</w:t>
            </w:r>
            <w:r>
              <w:t xml:space="preserve"> to clear the message field and enter a new login message.</w:t>
            </w:r>
          </w:p>
        </w:tc>
      </w:tr>
      <w:tr w:rsidR="00796039" w14:paraId="055E6BE2" w14:textId="77777777">
        <w:tc>
          <w:tcPr>
            <w:tcW w:w="3240" w:type="dxa"/>
          </w:tcPr>
          <w:p w14:paraId="1258DF24" w14:textId="77777777" w:rsidR="00796039" w:rsidRDefault="00796039" w:rsidP="00796039">
            <w:pPr>
              <w:pStyle w:val="TableTextNumbers"/>
            </w:pPr>
            <w:r>
              <w:t xml:space="preserve">Click </w:t>
            </w:r>
            <w:r>
              <w:rPr>
                <w:b/>
              </w:rPr>
              <w:t>OK</w:t>
            </w:r>
            <w:r>
              <w:t xml:space="preserve"> to save.</w:t>
            </w:r>
          </w:p>
        </w:tc>
        <w:tc>
          <w:tcPr>
            <w:tcW w:w="6120" w:type="dxa"/>
          </w:tcPr>
          <w:p w14:paraId="76751974" w14:textId="77777777" w:rsidR="00796039" w:rsidRDefault="00796039" w:rsidP="00796039">
            <w:pPr>
              <w:pStyle w:val="TableTextBullet"/>
            </w:pPr>
            <w:r>
              <w:t>Saves the login message changes.</w:t>
            </w:r>
          </w:p>
        </w:tc>
      </w:tr>
      <w:tr w:rsidR="00796039" w14:paraId="1FBB3514" w14:textId="77777777">
        <w:tc>
          <w:tcPr>
            <w:tcW w:w="3240" w:type="dxa"/>
          </w:tcPr>
          <w:p w14:paraId="125D7095" w14:textId="77777777" w:rsidR="00796039" w:rsidRDefault="00796039" w:rsidP="00796039">
            <w:pPr>
              <w:pStyle w:val="TableTextNumbers"/>
            </w:pPr>
            <w:r>
              <w:t xml:space="preserve">Click </w:t>
            </w:r>
            <w:r>
              <w:rPr>
                <w:b/>
              </w:rPr>
              <w:t>Yes</w:t>
            </w:r>
            <w:r>
              <w:t xml:space="preserve"> to confirm the changes and exit. </w:t>
            </w:r>
            <w:r>
              <w:rPr>
                <w:vanish/>
                <w:color w:val="FFFFFF"/>
                <w:szCs w:val="18"/>
              </w:rPr>
              <w:fldChar w:fldCharType="begin"/>
            </w:r>
            <w:r>
              <w:rPr>
                <w:vanish/>
                <w:color w:val="FFFFFF"/>
                <w:szCs w:val="18"/>
              </w:rPr>
              <w:instrText xml:space="preserve"> LISTNUM \l 1 \s 0 </w:instrText>
            </w:r>
            <w:r>
              <w:rPr>
                <w:vanish/>
                <w:color w:val="FFFFFF"/>
                <w:szCs w:val="18"/>
              </w:rPr>
              <w:fldChar w:fldCharType="end">
                <w:numberingChange w:id="183" w:author="MUSZYNSKI, THOMAS D. (SIERRA 7 INC)" w:date="2024-11-26T07:15:00Z" w:original="0."/>
              </w:fldChar>
            </w:r>
          </w:p>
        </w:tc>
        <w:tc>
          <w:tcPr>
            <w:tcW w:w="6120" w:type="dxa"/>
          </w:tcPr>
          <w:p w14:paraId="25B4AF70" w14:textId="77777777" w:rsidR="00796039" w:rsidRDefault="00796039" w:rsidP="00796039">
            <w:pPr>
              <w:pStyle w:val="NotesText"/>
            </w:pPr>
          </w:p>
        </w:tc>
      </w:tr>
    </w:tbl>
    <w:p w14:paraId="6BF00E7D" w14:textId="55ED0E8D" w:rsidR="008A6E48" w:rsidRDefault="008A6E48" w:rsidP="008A6E48">
      <w:pPr>
        <w:pStyle w:val="Caption"/>
      </w:pPr>
      <w:bookmarkStart w:id="184" w:name="_Ref126470750"/>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7D1829">
        <w:rPr>
          <w:noProof/>
        </w:rPr>
        <w:t>29</w:t>
      </w:r>
      <w:r w:rsidR="004E20BD">
        <w:rPr>
          <w:noProof/>
        </w:rPr>
        <w:fldChar w:fldCharType="end"/>
      </w:r>
      <w:bookmarkEnd w:id="184"/>
      <w:r>
        <w:t xml:space="preserve">: </w:t>
      </w:r>
      <w:r w:rsidR="00954B38">
        <w:t xml:space="preserve">Example of </w:t>
      </w:r>
      <w:r>
        <w:t>Login Message Tab</w:t>
      </w:r>
    </w:p>
    <w:p w14:paraId="7368C386" w14:textId="77777777" w:rsidR="0066425F" w:rsidRDefault="00057948" w:rsidP="0066425F">
      <w:pPr>
        <w:pStyle w:val="BodyText"/>
      </w:pPr>
      <w:r>
        <w:rPr>
          <w:noProof/>
        </w:rPr>
        <w:drawing>
          <wp:inline distT="0" distB="0" distL="0" distR="0" wp14:anchorId="2EEF5702" wp14:editId="65C2E99A">
            <wp:extent cx="3204845" cy="3159125"/>
            <wp:effectExtent l="0" t="0" r="0" b="3175"/>
            <wp:docPr id="131" name="Picture 131" descr="Example of Login Message Tab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Picture 131" descr="Example of Login Message Tab screen capture"/>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3204845" cy="3159125"/>
                    </a:xfrm>
                    <a:prstGeom prst="rect">
                      <a:avLst/>
                    </a:prstGeom>
                    <a:noFill/>
                    <a:ln>
                      <a:noFill/>
                    </a:ln>
                  </pic:spPr>
                </pic:pic>
              </a:graphicData>
            </a:graphic>
          </wp:inline>
        </w:drawing>
      </w:r>
      <w:r w:rsidR="008A6E48">
        <w:t xml:space="preserve"> </w:t>
      </w:r>
    </w:p>
    <w:p w14:paraId="1521DE19" w14:textId="77777777" w:rsidR="002A21AE" w:rsidRDefault="00AE1227" w:rsidP="00B937AA">
      <w:pPr>
        <w:pStyle w:val="Heading2"/>
      </w:pPr>
      <w:bookmarkStart w:id="185" w:name="_Toc63680387"/>
      <w:bookmarkEnd w:id="178"/>
      <w:r>
        <w:br w:type="page"/>
      </w:r>
      <w:bookmarkStart w:id="186" w:name="_Toc203765865"/>
      <w:r w:rsidR="002A21AE">
        <w:lastRenderedPageBreak/>
        <w:t>Local Facilities</w:t>
      </w:r>
      <w:bookmarkEnd w:id="185"/>
      <w:bookmarkEnd w:id="186"/>
      <w:r w:rsidR="002A21AE" w:rsidRPr="00C74523">
        <w:rPr>
          <w:rFonts w:ascii="Arial Bold" w:hAnsi="Arial Bold"/>
          <w:vanish/>
        </w:rPr>
        <w:fldChar w:fldCharType="begin"/>
      </w:r>
      <w:r w:rsidR="002A21AE" w:rsidRPr="00C74523">
        <w:rPr>
          <w:rFonts w:ascii="Arial Bold" w:hAnsi="Arial Bold"/>
          <w:vanish/>
        </w:rPr>
        <w:instrText xml:space="preserve"> XE </w:instrText>
      </w:r>
      <w:r w:rsidR="00FA7E65" w:rsidRPr="00C74523">
        <w:rPr>
          <w:rFonts w:ascii="Arial Bold" w:hAnsi="Arial Bold"/>
          <w:vanish/>
        </w:rPr>
        <w:instrText>“</w:instrText>
      </w:r>
      <w:r w:rsidR="002A21AE" w:rsidRPr="00C74523">
        <w:rPr>
          <w:rFonts w:ascii="Arial Bold" w:hAnsi="Arial Bold"/>
          <w:vanish/>
        </w:rPr>
        <w:instrText>Local Facilities</w:instrText>
      </w:r>
      <w:r w:rsidR="00FA7E65" w:rsidRPr="00C74523">
        <w:rPr>
          <w:rFonts w:ascii="Arial Bold" w:hAnsi="Arial Bold"/>
          <w:vanish/>
        </w:rPr>
        <w:instrText>”</w:instrText>
      </w:r>
      <w:r w:rsidR="002A21AE" w:rsidRPr="00C74523">
        <w:rPr>
          <w:rFonts w:ascii="Arial Bold" w:hAnsi="Arial Bold"/>
          <w:vanish/>
        </w:rPr>
        <w:instrText xml:space="preserve"> </w:instrText>
      </w:r>
      <w:r w:rsidR="002A21AE" w:rsidRPr="00C74523">
        <w:rPr>
          <w:rFonts w:ascii="Arial Bold" w:hAnsi="Arial Bold"/>
          <w:vanish/>
        </w:rPr>
        <w:fldChar w:fldCharType="end"/>
      </w:r>
      <w:r w:rsidR="002A21AE" w:rsidRPr="00C74523">
        <w:rPr>
          <w:rFonts w:ascii="Arial Bold" w:hAnsi="Arial Bold"/>
          <w:vanish/>
        </w:rPr>
        <w:t xml:space="preserve"> UC_06</w:t>
      </w:r>
    </w:p>
    <w:p w14:paraId="4F5226A5" w14:textId="19E9366A" w:rsidR="002A21AE" w:rsidRDefault="002A21AE" w:rsidP="00FA7E65">
      <w:pPr>
        <w:pStyle w:val="BodyText"/>
      </w:pPr>
      <w:bookmarkStart w:id="187" w:name="_Toc63680388"/>
      <w:r>
        <w:t xml:space="preserve">The user customizes </w:t>
      </w:r>
      <w:r w:rsidR="0013497C">
        <w:t>local</w:t>
      </w:r>
      <w:r>
        <w:t xml:space="preserve"> facility information.</w:t>
      </w:r>
      <w:r w:rsidR="00DD635C">
        <w:t xml:space="preserve"> (A </w:t>
      </w:r>
      <w:r w:rsidR="00F06ADF">
        <w:t>“</w:t>
      </w:r>
      <w:r w:rsidR="00DD635C">
        <w:t>collection facility</w:t>
      </w:r>
      <w:r w:rsidR="00F06ADF">
        <w:t>”</w:t>
      </w:r>
      <w:r w:rsidR="00DD635C">
        <w:t xml:space="preserve"> </w:t>
      </w:r>
      <w:r w:rsidR="00F06ADF">
        <w:t>is not</w:t>
      </w:r>
      <w:r w:rsidR="00DD635C">
        <w:t xml:space="preserve"> a facility for blood collection</w:t>
      </w:r>
      <w:r w:rsidR="00F06ADF">
        <w:t>:</w:t>
      </w:r>
      <w:r w:rsidR="00DD635C">
        <w:t xml:space="preserve"> it is </w:t>
      </w:r>
      <w:r w:rsidR="00F06ADF">
        <w:t>for</w:t>
      </w:r>
      <w:r w:rsidR="00DD635C">
        <w:t xml:space="preserve"> blood distribution </w:t>
      </w:r>
      <w:r w:rsidR="00F06ADF">
        <w:t>only</w:t>
      </w:r>
      <w:r w:rsidR="00DD635C">
        <w:t>.</w:t>
      </w:r>
      <w:r w:rsidR="00E3508E">
        <w:t xml:space="preserve"> See </w:t>
      </w:r>
      <w:r w:rsidR="00E3508E" w:rsidRPr="00423A7F">
        <w:rPr>
          <w:i/>
          <w:iCs/>
        </w:rPr>
        <w:t>FAQ Local Facilities</w:t>
      </w:r>
      <w:r w:rsidR="00DD635C">
        <w:t>)</w:t>
      </w:r>
    </w:p>
    <w:p w14:paraId="1DA15F4F" w14:textId="77777777" w:rsidR="002A21AE" w:rsidRDefault="002A21AE">
      <w:pPr>
        <w:pStyle w:val="Heading4"/>
      </w:pPr>
      <w:r>
        <w:t>Assumptions</w:t>
      </w:r>
    </w:p>
    <w:p w14:paraId="52D22B98" w14:textId="77777777" w:rsidR="002A21AE" w:rsidRDefault="002A21AE">
      <w:pPr>
        <w:pStyle w:val="ListBullet"/>
      </w:pPr>
      <w:r>
        <w:t>A table of known FDA-registered facilities accompanies VBECS.</w:t>
      </w:r>
    </w:p>
    <w:p w14:paraId="63DF5483" w14:textId="77777777" w:rsidR="002A21AE" w:rsidRDefault="002A21AE">
      <w:pPr>
        <w:pStyle w:val="Heading4"/>
      </w:pPr>
      <w:r>
        <w:t>Outcome</w:t>
      </w:r>
    </w:p>
    <w:p w14:paraId="09BA0DD2" w14:textId="025B2911" w:rsidR="002A21AE" w:rsidRDefault="002A21AE">
      <w:pPr>
        <w:pStyle w:val="ListBullet"/>
      </w:pPr>
      <w:r>
        <w:t xml:space="preserve">The </w:t>
      </w:r>
      <w:r w:rsidR="0013497C">
        <w:t>local facility</w:t>
      </w:r>
      <w:r>
        <w:t xml:space="preserve"> is configured for a division.</w:t>
      </w:r>
    </w:p>
    <w:p w14:paraId="41B0D7CD" w14:textId="77777777" w:rsidR="002A21AE" w:rsidRDefault="002A21AE">
      <w:pPr>
        <w:pStyle w:val="Heading4"/>
      </w:pPr>
      <w:r>
        <w:t>Limitations and Restrictions</w:t>
      </w:r>
    </w:p>
    <w:p w14:paraId="3853BB40" w14:textId="77777777" w:rsidR="002A21AE" w:rsidRDefault="002A21AE">
      <w:pPr>
        <w:pStyle w:val="ListBullet"/>
      </w:pPr>
      <w:bookmarkStart w:id="188" w:name="OLE_LINK55"/>
      <w:bookmarkStart w:id="189" w:name="OLE_LINK56"/>
      <w:r>
        <w:t>A user may:</w:t>
      </w:r>
    </w:p>
    <w:p w14:paraId="7F434FAD" w14:textId="519E7BB2" w:rsidR="002A21AE" w:rsidRDefault="002A21AE" w:rsidP="001414E9">
      <w:pPr>
        <w:pStyle w:val="ListBullet2"/>
        <w:tabs>
          <w:tab w:val="clear" w:pos="648"/>
        </w:tabs>
        <w:ind w:left="1080" w:hanging="432"/>
      </w:pPr>
      <w:r>
        <w:t xml:space="preserve">Activate and edit </w:t>
      </w:r>
      <w:r w:rsidR="0013497C">
        <w:t>local</w:t>
      </w:r>
      <w:r>
        <w:t xml:space="preserve"> facility records distributed with VBECS.</w:t>
      </w:r>
    </w:p>
    <w:p w14:paraId="5454A059" w14:textId="05437494" w:rsidR="002A21AE" w:rsidRDefault="002A21AE" w:rsidP="001414E9">
      <w:pPr>
        <w:pStyle w:val="ListBullet2"/>
        <w:tabs>
          <w:tab w:val="clear" w:pos="648"/>
        </w:tabs>
        <w:ind w:left="1080" w:hanging="432"/>
      </w:pPr>
      <w:r>
        <w:t xml:space="preserve">Add and edit active </w:t>
      </w:r>
      <w:r w:rsidR="0013497C">
        <w:t>local</w:t>
      </w:r>
      <w:r>
        <w:t xml:space="preserve"> facilities.</w:t>
      </w:r>
    </w:p>
    <w:p w14:paraId="4D9863F4" w14:textId="32977C49" w:rsidR="002A21AE" w:rsidRDefault="002A21AE" w:rsidP="001414E9">
      <w:pPr>
        <w:pStyle w:val="ListBullet2"/>
        <w:tabs>
          <w:tab w:val="clear" w:pos="648"/>
        </w:tabs>
        <w:ind w:left="1080" w:hanging="432"/>
      </w:pPr>
      <w:r>
        <w:t xml:space="preserve">Activate and/or deactivate local facilities. </w:t>
      </w:r>
    </w:p>
    <w:p w14:paraId="6A3F5783" w14:textId="77777777" w:rsidR="004B1F58" w:rsidRPr="00742F59" w:rsidRDefault="004B1F58" w:rsidP="001414E9">
      <w:pPr>
        <w:pStyle w:val="ListBullet2"/>
        <w:tabs>
          <w:tab w:val="clear" w:pos="648"/>
        </w:tabs>
        <w:ind w:left="1080" w:hanging="432"/>
      </w:pPr>
      <w:r>
        <w:t>Edit a division name, which may result in a mismatch between VistA and VBECS division names.</w:t>
      </w:r>
      <w:r w:rsidR="00072131" w:rsidRPr="00524280">
        <w:rPr>
          <w:vanish/>
        </w:rPr>
        <w:t xml:space="preserve"> (DR 2,113)</w:t>
      </w:r>
    </w:p>
    <w:p w14:paraId="1B0D2E8F" w14:textId="77777777" w:rsidR="00742F59" w:rsidRPr="00DF363F" w:rsidRDefault="00742F59" w:rsidP="001414E9">
      <w:pPr>
        <w:pStyle w:val="ListBullet2"/>
        <w:tabs>
          <w:tab w:val="clear" w:pos="648"/>
        </w:tabs>
        <w:ind w:left="1080" w:hanging="432"/>
      </w:pPr>
      <w:r w:rsidRPr="005705B4">
        <w:t xml:space="preserve">The </w:t>
      </w:r>
      <w:r w:rsidR="004853C7" w:rsidRPr="005705B4">
        <w:t xml:space="preserve">Local Facility Address </w:t>
      </w:r>
      <w:r w:rsidRPr="005705B4">
        <w:t xml:space="preserve">maximum length </w:t>
      </w:r>
      <w:r w:rsidR="00467976" w:rsidRPr="005705B4">
        <w:t>is 45 characters</w:t>
      </w:r>
      <w:r w:rsidR="00AE19A0">
        <w:t xml:space="preserve"> including spaces </w:t>
      </w:r>
      <w:r w:rsidR="005705B4" w:rsidRPr="005705B4">
        <w:t xml:space="preserve">to allow the address to display </w:t>
      </w:r>
      <w:r w:rsidRPr="005705B4">
        <w:t>on VBECS repo</w:t>
      </w:r>
      <w:r w:rsidR="005705B4">
        <w:t>rts. The third line of the facility address is not displayed on VBECS reports</w:t>
      </w:r>
      <w:r w:rsidRPr="005705B4">
        <w:t xml:space="preserve">. </w:t>
      </w:r>
      <w:r w:rsidRPr="005705B4">
        <w:rPr>
          <w:vanish/>
        </w:rPr>
        <w:t>DR 4980</w:t>
      </w:r>
    </w:p>
    <w:p w14:paraId="02198916" w14:textId="45341D8A" w:rsidR="00DF363F" w:rsidRPr="00DF363F" w:rsidRDefault="00DF363F" w:rsidP="001414E9">
      <w:pPr>
        <w:pStyle w:val="ListBullet2"/>
        <w:tabs>
          <w:tab w:val="clear" w:pos="648"/>
        </w:tabs>
        <w:ind w:left="1080" w:hanging="432"/>
      </w:pPr>
      <w:r>
        <w:t>FDA registration number</w:t>
      </w:r>
      <w:r w:rsidRPr="00DF363F">
        <w:t xml:space="preserve"> is limited to 7 or 10 characters. </w:t>
      </w:r>
      <w:r>
        <w:t>Copy and paste can be used for entry of 10 characters.</w:t>
      </w:r>
      <w:r>
        <w:rPr>
          <w:vanish/>
        </w:rPr>
        <w:t xml:space="preserve"> (Bug 64944)</w:t>
      </w:r>
    </w:p>
    <w:bookmarkEnd w:id="188"/>
    <w:bookmarkEnd w:id="189"/>
    <w:p w14:paraId="63BFE1FD" w14:textId="77777777" w:rsidR="002A21AE" w:rsidRDefault="002A21AE">
      <w:pPr>
        <w:pStyle w:val="Heading4"/>
      </w:pPr>
      <w:r>
        <w:t>Additional Information</w:t>
      </w:r>
    </w:p>
    <w:p w14:paraId="534D9009" w14:textId="3B8BD120" w:rsidR="00B62541" w:rsidRDefault="00B62541">
      <w:pPr>
        <w:pStyle w:val="ListBullet"/>
      </w:pPr>
      <w:r>
        <w:t xml:space="preserve">A </w:t>
      </w:r>
      <w:r w:rsidR="0013497C">
        <w:t xml:space="preserve">local </w:t>
      </w:r>
      <w:r>
        <w:t xml:space="preserve">facility must be </w:t>
      </w:r>
      <w:r w:rsidR="009D390D">
        <w:t>activated and have</w:t>
      </w:r>
      <w:r>
        <w:t xml:space="preserve"> at least one blood product defined to be a shipper.</w:t>
      </w:r>
    </w:p>
    <w:p w14:paraId="619B7D0A" w14:textId="77777777" w:rsidR="00F17965" w:rsidRPr="00F17965" w:rsidRDefault="00F17965">
      <w:pPr>
        <w:pStyle w:val="ListBullet"/>
      </w:pPr>
      <w:r>
        <w:t xml:space="preserve">A user may </w:t>
      </w:r>
      <w:r w:rsidR="00DD635C">
        <w:t xml:space="preserve">identify </w:t>
      </w:r>
      <w:r>
        <w:t>his</w:t>
      </w:r>
      <w:r w:rsidR="00706360">
        <w:t xml:space="preserve"> site as</w:t>
      </w:r>
      <w:r>
        <w:t xml:space="preserve"> a collection facility through this option.</w:t>
      </w:r>
    </w:p>
    <w:p w14:paraId="2518C552" w14:textId="25F86E83" w:rsidR="002A21AE" w:rsidRDefault="002A21AE">
      <w:pPr>
        <w:pStyle w:val="ListBullet"/>
      </w:pPr>
      <w:r>
        <w:rPr>
          <w:vanish/>
          <w:spacing w:val="0"/>
        </w:rPr>
        <w:t xml:space="preserve">BR_6.11 </w:t>
      </w:r>
      <w:r>
        <w:t xml:space="preserve">An ICCBBA </w:t>
      </w:r>
      <w:r w:rsidR="00B85812">
        <w:t>Registration Number</w:t>
      </w:r>
      <w:r>
        <w:t xml:space="preserve"> has one letter, indicating the country of origin (“W” for the U.S.) and four </w:t>
      </w:r>
      <w:r w:rsidR="0013497C">
        <w:t>alphanumeric characters</w:t>
      </w:r>
      <w:r>
        <w:t>. The field is five characters long.</w:t>
      </w:r>
    </w:p>
    <w:p w14:paraId="4256A8B7" w14:textId="77777777" w:rsidR="00E507A1" w:rsidRPr="00E507A1" w:rsidRDefault="00E507A1">
      <w:pPr>
        <w:pStyle w:val="ListBullet"/>
      </w:pPr>
      <w:bookmarkStart w:id="190" w:name="OLE_LINK3"/>
      <w:bookmarkStart w:id="191" w:name="OLE_LINK4"/>
      <w:r>
        <w:rPr>
          <w:spacing w:val="0"/>
        </w:rPr>
        <w:t>The user may change facility addresses that appear on reports.</w:t>
      </w:r>
    </w:p>
    <w:bookmarkEnd w:id="190"/>
    <w:bookmarkEnd w:id="191"/>
    <w:p w14:paraId="11934ABA" w14:textId="77777777" w:rsidR="002A21AE" w:rsidRDefault="002A21AE">
      <w:pPr>
        <w:pStyle w:val="Heading4"/>
      </w:pPr>
      <w:r>
        <w:t xml:space="preserve">User Roles with Access to This Option </w:t>
      </w:r>
    </w:p>
    <w:p w14:paraId="5AA677AB" w14:textId="77777777" w:rsidR="00215931" w:rsidRDefault="00215931" w:rsidP="00215931">
      <w:pPr>
        <w:pStyle w:val="Roles"/>
      </w:pPr>
      <w:r>
        <w:rPr>
          <w:snapToGrid w:val="0"/>
        </w:rPr>
        <w:t xml:space="preserve">All users </w:t>
      </w:r>
    </w:p>
    <w:p w14:paraId="3F49BA81" w14:textId="77777777" w:rsidR="002A21AE" w:rsidRDefault="002A21AE">
      <w:pPr>
        <w:pStyle w:val="Heading4"/>
      </w:pPr>
      <w:r>
        <w:t>Local Facilities</w:t>
      </w:r>
    </w:p>
    <w:p w14:paraId="0A84C979" w14:textId="72CB3199" w:rsidR="002A21AE" w:rsidRDefault="002A21AE" w:rsidP="00FA7E65">
      <w:pPr>
        <w:pStyle w:val="BodyText"/>
      </w:pPr>
      <w:r>
        <w:t xml:space="preserve">This option allows a user to activate an entry from the national facility table, thereby adding it to a division’s local facility table, and add or update the facility’s information (except for the FDA </w:t>
      </w:r>
      <w:r w:rsidR="00B85812">
        <w:t>Registration Number</w:t>
      </w:r>
      <w:r>
        <w:t xml:space="preserve">). A user may select an active </w:t>
      </w:r>
      <w:r w:rsidR="0013497C">
        <w:t>local</w:t>
      </w:r>
      <w:r>
        <w:t xml:space="preserve"> facility to associate blood products (which makes the facility a shipper). </w:t>
      </w:r>
    </w:p>
    <w:p w14:paraId="2331DBEF" w14:textId="613531E4" w:rsidR="002A21AE" w:rsidRDefault="002A21AE" w:rsidP="00FA7E65">
      <w:pPr>
        <w:pStyle w:val="BodyText"/>
      </w:pPr>
      <w:r>
        <w:t xml:space="preserve">This option also allows a user to create a </w:t>
      </w:r>
      <w:r w:rsidR="0013497C">
        <w:t>local</w:t>
      </w:r>
      <w:r>
        <w:t xml:space="preserve"> facility.</w:t>
      </w:r>
    </w:p>
    <w:p w14:paraId="4ACF2369" w14:textId="77777777" w:rsidR="00D210F0" w:rsidRDefault="00D210F0" w:rsidP="00D210F0">
      <w:pPr>
        <w:pStyle w:val="Caution"/>
      </w:pPr>
      <w:r>
        <w:t>Verify that site information entered during installation is correct prior to adding local facilities.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5CDB1FB3" w14:textId="77777777" w:rsidTr="007E3EE1">
        <w:trPr>
          <w:cantSplit/>
          <w:tblHeader/>
        </w:trPr>
        <w:tc>
          <w:tcPr>
            <w:tcW w:w="3240" w:type="dxa"/>
            <w:shd w:val="pct30" w:color="auto" w:fill="FFFFFF"/>
            <w:vAlign w:val="bottom"/>
          </w:tcPr>
          <w:p w14:paraId="078E46D8" w14:textId="77777777" w:rsidR="002A21AE" w:rsidRDefault="002A21AE">
            <w:pPr>
              <w:pStyle w:val="TableText"/>
              <w:rPr>
                <w:b/>
              </w:rPr>
            </w:pPr>
            <w:r>
              <w:rPr>
                <w:b/>
              </w:rPr>
              <w:lastRenderedPageBreak/>
              <w:t>User Action</w:t>
            </w:r>
          </w:p>
        </w:tc>
        <w:tc>
          <w:tcPr>
            <w:tcW w:w="6120" w:type="dxa"/>
            <w:shd w:val="pct30" w:color="auto" w:fill="FFFFFF"/>
            <w:vAlign w:val="bottom"/>
          </w:tcPr>
          <w:p w14:paraId="78407BD2" w14:textId="77777777" w:rsidR="002A21AE" w:rsidRDefault="002A21AE">
            <w:pPr>
              <w:pStyle w:val="TableText"/>
              <w:rPr>
                <w:b/>
              </w:rPr>
            </w:pPr>
            <w:r>
              <w:rPr>
                <w:b/>
              </w:rPr>
              <w:t>VBECS</w:t>
            </w:r>
          </w:p>
        </w:tc>
      </w:tr>
      <w:tr w:rsidR="002A21AE" w14:paraId="02D3ACC5" w14:textId="77777777" w:rsidTr="007E3EE1">
        <w:trPr>
          <w:cantSplit/>
        </w:trPr>
        <w:tc>
          <w:tcPr>
            <w:tcW w:w="3240" w:type="dxa"/>
            <w:tcBorders>
              <w:top w:val="single" w:sz="4" w:space="0" w:color="auto"/>
              <w:left w:val="single" w:sz="4" w:space="0" w:color="auto"/>
              <w:bottom w:val="single" w:sz="4" w:space="0" w:color="auto"/>
              <w:right w:val="single" w:sz="4" w:space="0" w:color="auto"/>
            </w:tcBorders>
          </w:tcPr>
          <w:p w14:paraId="5D5BEBF8" w14:textId="77777777" w:rsidR="002A21AE" w:rsidRDefault="002A21AE">
            <w:pPr>
              <w:pStyle w:val="TableTextNumbers"/>
            </w:pPr>
            <w:r>
              <w:t xml:space="preserve">Select </w:t>
            </w:r>
            <w:r>
              <w:rPr>
                <w:b/>
              </w:rPr>
              <w:t>Tools</w:t>
            </w:r>
            <w:r>
              <w:t xml:space="preserve"> from the main menu.</w:t>
            </w:r>
          </w:p>
          <w:p w14:paraId="2A78700C" w14:textId="77777777" w:rsidR="002A21AE" w:rsidRDefault="002A21AE">
            <w:pPr>
              <w:pStyle w:val="TableTextNumbersContinued"/>
              <w:rPr>
                <w:b/>
                <w:bCs/>
              </w:rPr>
            </w:pPr>
          </w:p>
          <w:p w14:paraId="696F45DD" w14:textId="77777777" w:rsidR="002A21AE" w:rsidRDefault="002A21AE">
            <w:pPr>
              <w:pStyle w:val="TableTextNumbersContinued"/>
            </w:pPr>
            <w:r>
              <w:t xml:space="preserve">Select </w:t>
            </w:r>
            <w:r>
              <w:rPr>
                <w:b/>
              </w:rPr>
              <w:t>Local Facilities</w:t>
            </w:r>
            <w:r>
              <w:t>.</w:t>
            </w:r>
          </w:p>
        </w:tc>
        <w:tc>
          <w:tcPr>
            <w:tcW w:w="6120" w:type="dxa"/>
            <w:tcBorders>
              <w:top w:val="single" w:sz="4" w:space="0" w:color="auto"/>
              <w:left w:val="single" w:sz="4" w:space="0" w:color="auto"/>
              <w:bottom w:val="single" w:sz="4" w:space="0" w:color="auto"/>
              <w:right w:val="single" w:sz="4" w:space="0" w:color="auto"/>
            </w:tcBorders>
          </w:tcPr>
          <w:p w14:paraId="6CD81064" w14:textId="77777777" w:rsidR="002A21AE" w:rsidRDefault="002A21AE">
            <w:pPr>
              <w:pStyle w:val="TableTextBullet"/>
            </w:pPr>
            <w:r>
              <w:t>Displays options for processing administrative functions.</w:t>
            </w:r>
          </w:p>
          <w:p w14:paraId="37F9B5C1" w14:textId="77777777" w:rsidR="002A21AE" w:rsidRDefault="002A21AE">
            <w:pPr>
              <w:pStyle w:val="TableTextBullet"/>
            </w:pPr>
            <w:r>
              <w:t>Displays fields for entering facility information.</w:t>
            </w:r>
          </w:p>
          <w:p w14:paraId="01BE7679" w14:textId="77777777" w:rsidR="002A21AE" w:rsidRDefault="002A21AE">
            <w:pPr>
              <w:pStyle w:val="TableTextBullet"/>
            </w:pPr>
            <w:r>
              <w:t>Allows a user to access an existing facility record.</w:t>
            </w:r>
          </w:p>
        </w:tc>
      </w:tr>
      <w:tr w:rsidR="002A21AE" w14:paraId="3EE5DD08" w14:textId="77777777" w:rsidTr="007E3EE1">
        <w:trPr>
          <w:cantSplit/>
        </w:trPr>
        <w:tc>
          <w:tcPr>
            <w:tcW w:w="3240" w:type="dxa"/>
          </w:tcPr>
          <w:p w14:paraId="0D97A683" w14:textId="50C7E705" w:rsidR="002A21AE" w:rsidRDefault="002A21AE">
            <w:pPr>
              <w:pStyle w:val="TableTextNumbers"/>
            </w:pPr>
            <w:r>
              <w:t xml:space="preserve">To find a facility, scan or enter an FDA </w:t>
            </w:r>
            <w:r w:rsidR="00B85812">
              <w:t>Registration Number</w:t>
            </w:r>
            <w:r>
              <w:t xml:space="preserve"> in the FDA Reg. No. field and go to Step 4 (or click the </w:t>
            </w:r>
            <w:r w:rsidR="00A6373D">
              <w:rPr>
                <w:b/>
              </w:rPr>
              <w:t>find</w:t>
            </w:r>
            <w:r w:rsidRPr="00BF2E41">
              <w:t xml:space="preserve"> button</w:t>
            </w:r>
            <w:r>
              <w:t xml:space="preserve"> to open the Facility Search window).</w:t>
            </w:r>
            <w:r w:rsidR="004277F6">
              <w:t xml:space="preserve"> FDA Reg. No. must be 7 or 10 characters long. </w:t>
            </w:r>
          </w:p>
        </w:tc>
        <w:tc>
          <w:tcPr>
            <w:tcW w:w="6120" w:type="dxa"/>
          </w:tcPr>
          <w:p w14:paraId="0DDBA8C2" w14:textId="6D6DDFC6" w:rsidR="002A21AE" w:rsidRDefault="002A21AE">
            <w:pPr>
              <w:pStyle w:val="TableTextBullet"/>
            </w:pPr>
            <w:r>
              <w:t>Displays the facilities that match the search criteria.</w:t>
            </w:r>
          </w:p>
        </w:tc>
      </w:tr>
      <w:tr w:rsidR="002A21AE" w14:paraId="1F7E922B" w14:textId="77777777" w:rsidTr="007E3EE1">
        <w:trPr>
          <w:cantSplit/>
        </w:trPr>
        <w:tc>
          <w:tcPr>
            <w:tcW w:w="3240" w:type="dxa"/>
          </w:tcPr>
          <w:p w14:paraId="135D594A" w14:textId="2B2E9B81" w:rsidR="002A21AE" w:rsidRDefault="002A21AE">
            <w:pPr>
              <w:pStyle w:val="TableTextNumbers"/>
            </w:pPr>
            <w:r>
              <w:t xml:space="preserve">In the Facility Search window, enter a full or partial facility name in the Partial Facility Name field (or enter a full or partial FDA </w:t>
            </w:r>
            <w:r w:rsidR="00B85812">
              <w:t>Registration Number</w:t>
            </w:r>
            <w:r>
              <w:t xml:space="preserve"> in the FDA Reg. No. field), and click </w:t>
            </w:r>
            <w:r w:rsidR="00173187" w:rsidRPr="00173187">
              <w:rPr>
                <w:b/>
              </w:rPr>
              <w:t>Search</w:t>
            </w:r>
            <w:r>
              <w:t xml:space="preserve"> to view a list of facilities.</w:t>
            </w:r>
          </w:p>
          <w:p w14:paraId="7F3723ED" w14:textId="77777777" w:rsidR="002A21AE" w:rsidRDefault="002A21AE">
            <w:pPr>
              <w:pStyle w:val="TableTextNumbersContinued"/>
              <w:rPr>
                <w:b/>
                <w:bCs/>
              </w:rPr>
            </w:pPr>
          </w:p>
          <w:p w14:paraId="016A3636" w14:textId="77777777" w:rsidR="002A21AE" w:rsidRDefault="002A21AE">
            <w:pPr>
              <w:pStyle w:val="TableTextNumbersContinued"/>
            </w:pPr>
            <w:r>
              <w:t xml:space="preserve">Select a facility name from the list and click </w:t>
            </w:r>
            <w:r>
              <w:rPr>
                <w:b/>
              </w:rPr>
              <w:t>OK</w:t>
            </w:r>
            <w:r>
              <w:t>.</w:t>
            </w:r>
          </w:p>
        </w:tc>
        <w:tc>
          <w:tcPr>
            <w:tcW w:w="6120" w:type="dxa"/>
          </w:tcPr>
          <w:p w14:paraId="62AE5383" w14:textId="36105EFC" w:rsidR="002A21AE" w:rsidRDefault="002A21AE">
            <w:pPr>
              <w:pStyle w:val="TableTextBullet"/>
            </w:pPr>
            <w:r>
              <w:t xml:space="preserve">Displays properties of the selected facility. </w:t>
            </w:r>
          </w:p>
          <w:p w14:paraId="54C6B4A3" w14:textId="77777777" w:rsidR="002A21AE" w:rsidRDefault="002A21AE">
            <w:pPr>
              <w:pStyle w:val="TableText"/>
            </w:pPr>
          </w:p>
          <w:p w14:paraId="660CB3AB" w14:textId="0F082177" w:rsidR="002A21AE" w:rsidRDefault="002A21AE">
            <w:pPr>
              <w:pStyle w:val="TableText"/>
              <w:rPr>
                <w:b/>
                <w:bCs/>
                <w:szCs w:val="18"/>
              </w:rPr>
            </w:pPr>
            <w:r>
              <w:rPr>
                <w:b/>
                <w:bCs/>
                <w:szCs w:val="18"/>
              </w:rPr>
              <w:t>NOTES</w:t>
            </w:r>
          </w:p>
          <w:p w14:paraId="10559AE3" w14:textId="77777777" w:rsidR="002A21AE" w:rsidRDefault="002A21AE">
            <w:pPr>
              <w:pStyle w:val="NotesText"/>
            </w:pPr>
          </w:p>
          <w:p w14:paraId="3F23C24B" w14:textId="10C02010" w:rsidR="002A21AE" w:rsidRDefault="005B79AE">
            <w:pPr>
              <w:pStyle w:val="NotesText"/>
            </w:pPr>
            <w:r>
              <w:t>A local</w:t>
            </w:r>
            <w:r w:rsidR="002A21AE">
              <w:t xml:space="preserve"> facility is tied to the user’s current login division.</w:t>
            </w:r>
          </w:p>
          <w:p w14:paraId="59E18A31" w14:textId="77777777" w:rsidR="002A21AE" w:rsidRDefault="002A21AE">
            <w:pPr>
              <w:pStyle w:val="NotesText"/>
            </w:pPr>
          </w:p>
          <w:p w14:paraId="3C7F5690" w14:textId="0FE493C0" w:rsidR="002A21AE" w:rsidRDefault="002A21AE">
            <w:pPr>
              <w:pStyle w:val="NotesText"/>
            </w:pPr>
            <w:r w:rsidRPr="009660C3">
              <w:rPr>
                <w:vanish/>
                <w:szCs w:val="18"/>
              </w:rPr>
              <w:t xml:space="preserve">BR_6.05 </w:t>
            </w:r>
            <w:r>
              <w:t xml:space="preserve">A user may activate a </w:t>
            </w:r>
            <w:r w:rsidR="005B79AE">
              <w:t xml:space="preserve">national facility or can create a unique local </w:t>
            </w:r>
            <w:r>
              <w:t xml:space="preserve">facility. By default, VBECS marks facilities as </w:t>
            </w:r>
            <w:r w:rsidR="005B79AE">
              <w:t>local</w:t>
            </w:r>
            <w:r>
              <w:t xml:space="preserve"> facilities.</w:t>
            </w:r>
          </w:p>
          <w:p w14:paraId="7C28A734" w14:textId="77777777" w:rsidR="002A21AE" w:rsidRDefault="002A21AE">
            <w:pPr>
              <w:pStyle w:val="NotesText"/>
            </w:pPr>
          </w:p>
          <w:p w14:paraId="67EF62FA" w14:textId="725476BC" w:rsidR="002A21AE" w:rsidRDefault="002A21AE">
            <w:pPr>
              <w:pStyle w:val="NotesText"/>
            </w:pPr>
            <w:r w:rsidRPr="009660C3">
              <w:rPr>
                <w:vanish/>
                <w:szCs w:val="18"/>
              </w:rPr>
              <w:t xml:space="preserve">BR_6.06 </w:t>
            </w:r>
            <w:r>
              <w:t xml:space="preserve">When a user clears the Active Facility check box for a </w:t>
            </w:r>
            <w:r w:rsidR="005B79AE">
              <w:t xml:space="preserve">local </w:t>
            </w:r>
            <w:r>
              <w:t>facility in a division, warns the user, and asks whether he wishes to inactivate this facility and continue.</w:t>
            </w:r>
          </w:p>
          <w:p w14:paraId="65B5052F" w14:textId="77777777" w:rsidR="002A21AE" w:rsidRDefault="002A21AE">
            <w:pPr>
              <w:pStyle w:val="NotesText"/>
            </w:pPr>
          </w:p>
          <w:p w14:paraId="6C94B948" w14:textId="58124A83" w:rsidR="002A21AE" w:rsidRDefault="002A21AE">
            <w:pPr>
              <w:pStyle w:val="NotesText"/>
            </w:pPr>
            <w:r>
              <w:rPr>
                <w:b/>
              </w:rPr>
              <w:t>Yes</w:t>
            </w:r>
            <w:r>
              <w:t xml:space="preserve"> allows the action to continue. </w:t>
            </w:r>
            <w:r>
              <w:rPr>
                <w:b/>
              </w:rPr>
              <w:t>No</w:t>
            </w:r>
            <w:r>
              <w:t xml:space="preserve"> leaves the </w:t>
            </w:r>
            <w:r w:rsidR="005B79AE">
              <w:t>local</w:t>
            </w:r>
            <w:r>
              <w:t xml:space="preserve"> facility marked as active for the division.</w:t>
            </w:r>
          </w:p>
          <w:p w14:paraId="2094FDDD" w14:textId="77777777" w:rsidR="002A21AE" w:rsidRDefault="002A21AE">
            <w:pPr>
              <w:pStyle w:val="NotesText"/>
            </w:pPr>
          </w:p>
          <w:p w14:paraId="0EDBC0C2" w14:textId="24F938D5" w:rsidR="00143160" w:rsidRDefault="00143160">
            <w:pPr>
              <w:pStyle w:val="NotesText"/>
            </w:pPr>
            <w:r w:rsidRPr="00143160">
              <w:rPr>
                <w:vanish/>
              </w:rPr>
              <w:t xml:space="preserve">BR_8.11 </w:t>
            </w:r>
            <w:r>
              <w:t xml:space="preserve">In order to inactivate a facility that has been previously configured as a shipper, you must first inactivate all product shipper entries for that facility. To deactivate </w:t>
            </w:r>
            <w:r w:rsidR="005375AC">
              <w:t xml:space="preserve">shippers, refer to the </w:t>
            </w:r>
            <w:r w:rsidR="00EE455E">
              <w:t>Blood Products</w:t>
            </w:r>
            <w:r w:rsidR="005375AC">
              <w:t xml:space="preserve"> section</w:t>
            </w:r>
            <w:r>
              <w:t>. Contact the Service Desk if you would like a list of products linked to the facility you want to inactivate.</w:t>
            </w:r>
          </w:p>
        </w:tc>
      </w:tr>
      <w:tr w:rsidR="002A21AE" w14:paraId="3986EDCF" w14:textId="77777777" w:rsidTr="007E3EE1">
        <w:trPr>
          <w:cantSplit/>
        </w:trPr>
        <w:tc>
          <w:tcPr>
            <w:tcW w:w="3240" w:type="dxa"/>
          </w:tcPr>
          <w:p w14:paraId="55BA3E3B" w14:textId="5B242184" w:rsidR="002A21AE" w:rsidRDefault="002A21AE">
            <w:pPr>
              <w:pStyle w:val="TableTextNumbers"/>
            </w:pPr>
            <w:r>
              <w:t xml:space="preserve">Edit or enter information in the </w:t>
            </w:r>
            <w:r w:rsidR="005B79AE">
              <w:t>local</w:t>
            </w:r>
            <w:r>
              <w:t xml:space="preserve"> facility information fields (for example, address, telephone number, whether the facility is a testing and/or collection facility) </w:t>
            </w:r>
            <w:r w:rsidR="00363757">
              <w:t>(</w:t>
            </w:r>
            <w:r w:rsidR="00EE455E">
              <w:t xml:space="preserve">Figure </w:t>
            </w:r>
            <w:r w:rsidR="00EE455E">
              <w:rPr>
                <w:noProof/>
              </w:rPr>
              <w:t>29</w:t>
            </w:r>
            <w:r w:rsidR="00363757">
              <w:t xml:space="preserve">) </w:t>
            </w:r>
            <w:r>
              <w:t xml:space="preserve">and click </w:t>
            </w:r>
            <w:r>
              <w:rPr>
                <w:b/>
              </w:rPr>
              <w:t>OK</w:t>
            </w:r>
            <w:r>
              <w:t xml:space="preserve"> to save the updated information.</w:t>
            </w:r>
          </w:p>
        </w:tc>
        <w:tc>
          <w:tcPr>
            <w:tcW w:w="6120" w:type="dxa"/>
          </w:tcPr>
          <w:p w14:paraId="64F249A1" w14:textId="77777777" w:rsidR="002A21AE" w:rsidRDefault="002A21AE">
            <w:pPr>
              <w:pStyle w:val="TableTextBullet"/>
            </w:pPr>
            <w:r>
              <w:t xml:space="preserve">Displays entries for review and acceptance. </w:t>
            </w:r>
          </w:p>
          <w:p w14:paraId="3DFF8A6B" w14:textId="77777777" w:rsidR="002A21AE" w:rsidRDefault="002A21AE">
            <w:pPr>
              <w:pStyle w:val="TableTextBullet"/>
            </w:pPr>
            <w:r>
              <w:t>Prompts to save.</w:t>
            </w:r>
          </w:p>
          <w:p w14:paraId="0F6DF80D" w14:textId="77777777" w:rsidR="002A21AE" w:rsidRDefault="002A21AE">
            <w:pPr>
              <w:pStyle w:val="TableText"/>
            </w:pPr>
          </w:p>
          <w:p w14:paraId="08D1C1A6" w14:textId="45F881CF" w:rsidR="002A21AE" w:rsidRDefault="002A21AE">
            <w:pPr>
              <w:pStyle w:val="TableText"/>
              <w:rPr>
                <w:b/>
                <w:bCs/>
                <w:szCs w:val="18"/>
              </w:rPr>
            </w:pPr>
            <w:r>
              <w:rPr>
                <w:b/>
                <w:bCs/>
                <w:szCs w:val="18"/>
              </w:rPr>
              <w:t>NOTES</w:t>
            </w:r>
          </w:p>
          <w:p w14:paraId="71FEB63F" w14:textId="77777777" w:rsidR="002A21AE" w:rsidRDefault="002A21AE">
            <w:pPr>
              <w:pStyle w:val="NotesText"/>
            </w:pPr>
          </w:p>
          <w:p w14:paraId="714D8BAF" w14:textId="77777777" w:rsidR="002A21AE" w:rsidRDefault="002A21AE" w:rsidP="004E5EEE">
            <w:pPr>
              <w:pStyle w:val="NotesText"/>
            </w:pPr>
            <w:r>
              <w:rPr>
                <w:b/>
              </w:rPr>
              <w:t>OK</w:t>
            </w:r>
            <w:r>
              <w:t xml:space="preserve"> remains disabled until the user edits or enters information or simply clicks in a field or check box.</w:t>
            </w:r>
          </w:p>
          <w:p w14:paraId="33F18C98" w14:textId="77777777" w:rsidR="00962AB7" w:rsidRDefault="00962AB7" w:rsidP="004E5EEE">
            <w:pPr>
              <w:pStyle w:val="NotesText"/>
            </w:pPr>
          </w:p>
          <w:p w14:paraId="0FE0AE2F" w14:textId="0A8E3DF9" w:rsidR="00962AB7" w:rsidRDefault="005E0BEC" w:rsidP="004E5EEE">
            <w:pPr>
              <w:pStyle w:val="NotesText"/>
            </w:pPr>
            <w:r w:rsidRPr="005E0BEC">
              <w:rPr>
                <w:vanish/>
              </w:rPr>
              <w:t xml:space="preserve">BR_6.07 </w:t>
            </w:r>
            <w:r w:rsidR="00962AB7">
              <w:t>The eye-readable prefix (when used) is always a 2-character numeric field.</w:t>
            </w:r>
          </w:p>
        </w:tc>
      </w:tr>
      <w:tr w:rsidR="002A21AE" w14:paraId="1BC092BD" w14:textId="77777777" w:rsidTr="007E3EE1">
        <w:trPr>
          <w:cantSplit/>
        </w:trPr>
        <w:tc>
          <w:tcPr>
            <w:tcW w:w="3240" w:type="dxa"/>
          </w:tcPr>
          <w:p w14:paraId="085DE28A" w14:textId="77777777" w:rsidR="002A21AE" w:rsidRDefault="002A21AE">
            <w:pPr>
              <w:pStyle w:val="TableTextNumbers"/>
            </w:pPr>
            <w:r>
              <w:t xml:space="preserve">Click </w:t>
            </w:r>
            <w:r>
              <w:rPr>
                <w:b/>
              </w:rPr>
              <w:t>Yes</w:t>
            </w:r>
            <w:r>
              <w:t xml:space="preserve"> to confirm the save.</w:t>
            </w:r>
          </w:p>
        </w:tc>
        <w:tc>
          <w:tcPr>
            <w:tcW w:w="6120" w:type="dxa"/>
          </w:tcPr>
          <w:p w14:paraId="14C86E6D" w14:textId="2F667B40" w:rsidR="002A21AE" w:rsidRDefault="002A21AE">
            <w:pPr>
              <w:pStyle w:val="TableTextBullet"/>
            </w:pPr>
            <w:r>
              <w:t xml:space="preserve">Saves the active </w:t>
            </w:r>
            <w:r w:rsidR="000966CE">
              <w:t>local</w:t>
            </w:r>
            <w:r>
              <w:t xml:space="preserve"> facility record and prompts to add or edit another facility.</w:t>
            </w:r>
          </w:p>
          <w:p w14:paraId="6840F81A" w14:textId="77777777" w:rsidR="002A21AE" w:rsidRDefault="002A21AE">
            <w:pPr>
              <w:pStyle w:val="TableText"/>
            </w:pPr>
          </w:p>
          <w:p w14:paraId="1F7AF99B" w14:textId="6998C926" w:rsidR="002A21AE" w:rsidRDefault="002A21AE">
            <w:pPr>
              <w:pStyle w:val="TableText"/>
              <w:rPr>
                <w:b/>
                <w:bCs/>
                <w:szCs w:val="18"/>
              </w:rPr>
            </w:pPr>
            <w:r>
              <w:rPr>
                <w:b/>
                <w:bCs/>
                <w:szCs w:val="18"/>
              </w:rPr>
              <w:t>NOTES</w:t>
            </w:r>
          </w:p>
          <w:p w14:paraId="4BC661F6" w14:textId="77777777" w:rsidR="002A21AE" w:rsidRDefault="002A21AE">
            <w:pPr>
              <w:pStyle w:val="NotesText"/>
            </w:pPr>
          </w:p>
          <w:p w14:paraId="14A8EC1E" w14:textId="77777777" w:rsidR="00B62541" w:rsidRDefault="002A21AE">
            <w:pPr>
              <w:pStyle w:val="NotesText"/>
            </w:pPr>
            <w:r w:rsidRPr="009660C3">
              <w:rPr>
                <w:vanish/>
                <w:szCs w:val="18"/>
              </w:rPr>
              <w:t xml:space="preserve">BR_6.09 </w:t>
            </w:r>
            <w:r>
              <w:t>VBECS saves an active collection facility only when it is iden</w:t>
            </w:r>
            <w:r w:rsidR="00836F52">
              <w:t>tified as a collection facility</w:t>
            </w:r>
            <w:r>
              <w:t>.</w:t>
            </w:r>
          </w:p>
          <w:p w14:paraId="2F76F4E5" w14:textId="77777777" w:rsidR="00B62541" w:rsidRDefault="00B62541">
            <w:pPr>
              <w:pStyle w:val="NotesText"/>
            </w:pPr>
          </w:p>
          <w:p w14:paraId="019DBF4D" w14:textId="77777777" w:rsidR="002A21AE" w:rsidRDefault="00B62541" w:rsidP="00E90A01">
            <w:pPr>
              <w:pStyle w:val="NotesText"/>
            </w:pPr>
            <w:r>
              <w:t xml:space="preserve">A facility must be activated and </w:t>
            </w:r>
            <w:r w:rsidR="009D390D">
              <w:t xml:space="preserve">have </w:t>
            </w:r>
            <w:r>
              <w:t xml:space="preserve">at least one blood product defined to be a shipper. Refer to Blood Products section for </w:t>
            </w:r>
            <w:r w:rsidR="00E90A01">
              <w:t>additional</w:t>
            </w:r>
            <w:r>
              <w:t xml:space="preserve"> information.</w:t>
            </w:r>
          </w:p>
        </w:tc>
      </w:tr>
      <w:tr w:rsidR="002A21AE" w14:paraId="273F1CDA" w14:textId="77777777" w:rsidTr="007E3EE1">
        <w:trPr>
          <w:cantSplit/>
        </w:trPr>
        <w:tc>
          <w:tcPr>
            <w:tcW w:w="3240" w:type="dxa"/>
          </w:tcPr>
          <w:p w14:paraId="45CA251E" w14:textId="77777777" w:rsidR="002A21AE" w:rsidRDefault="002A21AE">
            <w:pPr>
              <w:pStyle w:val="TableTextNumbers"/>
            </w:pPr>
            <w:r>
              <w:t>Repeat these steps to process another facility.</w:t>
            </w:r>
          </w:p>
        </w:tc>
        <w:tc>
          <w:tcPr>
            <w:tcW w:w="6120" w:type="dxa"/>
          </w:tcPr>
          <w:p w14:paraId="76FEC7AD" w14:textId="77777777" w:rsidR="002A21AE" w:rsidRDefault="002A21AE">
            <w:pPr>
              <w:pStyle w:val="TableText"/>
            </w:pPr>
          </w:p>
        </w:tc>
      </w:tr>
      <w:tr w:rsidR="002A21AE" w14:paraId="748CE95D" w14:textId="77777777" w:rsidTr="007E3EE1">
        <w:trPr>
          <w:cantSplit/>
        </w:trPr>
        <w:tc>
          <w:tcPr>
            <w:tcW w:w="3240" w:type="dxa"/>
          </w:tcPr>
          <w:p w14:paraId="3B42AB57" w14:textId="77777777" w:rsidR="002A21AE" w:rsidRDefault="002A21AE">
            <w:pPr>
              <w:pStyle w:val="TableTextNumbers"/>
            </w:pPr>
            <w:r>
              <w:lastRenderedPageBreak/>
              <w:t xml:space="preserve">Click </w:t>
            </w:r>
            <w:r>
              <w:rPr>
                <w:b/>
              </w:rPr>
              <w:t>Cancel</w:t>
            </w:r>
            <w:r>
              <w:t xml:space="preserve"> in the Maintain Facility screen to exit. </w:t>
            </w:r>
            <w:r>
              <w:rPr>
                <w:vanish/>
                <w:color w:val="FFFFFF"/>
                <w:szCs w:val="18"/>
              </w:rPr>
              <w:fldChar w:fldCharType="begin"/>
            </w:r>
            <w:r>
              <w:rPr>
                <w:vanish/>
                <w:color w:val="FFFFFF"/>
                <w:szCs w:val="18"/>
              </w:rPr>
              <w:instrText xml:space="preserve"> LISTNUM \l 1 \s 0 </w:instrText>
            </w:r>
            <w:r>
              <w:rPr>
                <w:vanish/>
                <w:color w:val="FFFFFF"/>
                <w:szCs w:val="18"/>
              </w:rPr>
              <w:fldChar w:fldCharType="end">
                <w:numberingChange w:id="192" w:author="MUSZYNSKI, THOMAS D. (SIERRA 7 INC)" w:date="2024-11-26T07:15:00Z" w:original="0."/>
              </w:fldChar>
            </w:r>
          </w:p>
        </w:tc>
        <w:tc>
          <w:tcPr>
            <w:tcW w:w="6120" w:type="dxa"/>
          </w:tcPr>
          <w:p w14:paraId="07B401C6" w14:textId="77777777" w:rsidR="002A21AE" w:rsidRDefault="002A21AE">
            <w:pPr>
              <w:pStyle w:val="TableText"/>
            </w:pPr>
          </w:p>
          <w:p w14:paraId="1FB4C241" w14:textId="77777777" w:rsidR="002A21AE" w:rsidRDefault="002A21AE">
            <w:pPr>
              <w:pStyle w:val="TableText"/>
            </w:pPr>
          </w:p>
        </w:tc>
      </w:tr>
    </w:tbl>
    <w:p w14:paraId="5CE18600" w14:textId="77777777" w:rsidR="002A21AE" w:rsidRDefault="002A21AE" w:rsidP="00FA7E65">
      <w:pPr>
        <w:pStyle w:val="BodyText"/>
      </w:pPr>
    </w:p>
    <w:p w14:paraId="52DE9985" w14:textId="5FAB2E79" w:rsidR="00363757" w:rsidRDefault="00363757" w:rsidP="00363757">
      <w:pPr>
        <w:pStyle w:val="Caption"/>
      </w:pPr>
      <w:bookmarkStart w:id="193" w:name="_Ref126471029"/>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7D1829">
        <w:rPr>
          <w:noProof/>
        </w:rPr>
        <w:t>30</w:t>
      </w:r>
      <w:r w:rsidR="004E20BD">
        <w:rPr>
          <w:noProof/>
        </w:rPr>
        <w:fldChar w:fldCharType="end"/>
      </w:r>
      <w:bookmarkEnd w:id="193"/>
      <w:r>
        <w:t xml:space="preserve">: </w:t>
      </w:r>
      <w:r w:rsidR="00954B38">
        <w:t xml:space="preserve">Example of </w:t>
      </w:r>
      <w:r>
        <w:t>Maintain Facility</w:t>
      </w:r>
    </w:p>
    <w:p w14:paraId="40B47642" w14:textId="77777777" w:rsidR="0066425F" w:rsidRDefault="00057948" w:rsidP="0066425F">
      <w:pPr>
        <w:pStyle w:val="BodyText"/>
      </w:pPr>
      <w:r>
        <w:rPr>
          <w:noProof/>
        </w:rPr>
        <w:drawing>
          <wp:inline distT="0" distB="0" distL="0" distR="0" wp14:anchorId="7BAC7860" wp14:editId="679F75F7">
            <wp:extent cx="4304030" cy="5135245"/>
            <wp:effectExtent l="0" t="0" r="1270" b="8255"/>
            <wp:docPr id="132" name="Picture 132" descr="Example of Maintain Facility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Picture 132" descr="Example of Maintain Facility screen capture"/>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4304030" cy="5135245"/>
                    </a:xfrm>
                    <a:prstGeom prst="rect">
                      <a:avLst/>
                    </a:prstGeom>
                    <a:noFill/>
                    <a:ln>
                      <a:noFill/>
                    </a:ln>
                  </pic:spPr>
                </pic:pic>
              </a:graphicData>
            </a:graphic>
          </wp:inline>
        </w:drawing>
      </w:r>
      <w:r w:rsidR="00363757">
        <w:t xml:space="preserve"> </w:t>
      </w:r>
    </w:p>
    <w:p w14:paraId="66298DE0" w14:textId="77777777" w:rsidR="002A21AE" w:rsidRDefault="00AF089A" w:rsidP="00A6079E">
      <w:pPr>
        <w:pStyle w:val="Heading2"/>
      </w:pPr>
      <w:r>
        <w:br w:type="page"/>
      </w:r>
      <w:bookmarkStart w:id="194" w:name="_Ref1732323"/>
      <w:bookmarkStart w:id="195" w:name="_Toc203765866"/>
      <w:r w:rsidR="002A21AE">
        <w:lastRenderedPageBreak/>
        <w:t>Blood Products</w:t>
      </w:r>
      <w:bookmarkEnd w:id="187"/>
      <w:bookmarkEnd w:id="194"/>
      <w:bookmarkEnd w:id="195"/>
      <w:r w:rsidR="002A21AE" w:rsidRPr="00C74523">
        <w:rPr>
          <w:vanish/>
        </w:rPr>
        <w:fldChar w:fldCharType="begin"/>
      </w:r>
      <w:r w:rsidR="002A21AE" w:rsidRPr="00C74523">
        <w:rPr>
          <w:vanish/>
        </w:rPr>
        <w:instrText xml:space="preserve"> XE </w:instrText>
      </w:r>
      <w:r w:rsidR="00FA7E65" w:rsidRPr="00C74523">
        <w:rPr>
          <w:vanish/>
        </w:rPr>
        <w:instrText>“</w:instrText>
      </w:r>
      <w:r w:rsidR="002A21AE" w:rsidRPr="00C74523">
        <w:rPr>
          <w:vanish/>
        </w:rPr>
        <w:instrText>Blood Products</w:instrText>
      </w:r>
      <w:r w:rsidR="00FA7E65" w:rsidRPr="00C74523">
        <w:rPr>
          <w:vanish/>
        </w:rPr>
        <w:instrText>”</w:instrText>
      </w:r>
      <w:r w:rsidR="002A21AE" w:rsidRPr="00C74523">
        <w:rPr>
          <w:vanish/>
        </w:rPr>
        <w:instrText xml:space="preserve"> </w:instrText>
      </w:r>
      <w:r w:rsidR="002A21AE" w:rsidRPr="00C74523">
        <w:rPr>
          <w:vanish/>
        </w:rPr>
        <w:fldChar w:fldCharType="end"/>
      </w:r>
      <w:r w:rsidR="002A21AE" w:rsidRPr="00C74523">
        <w:rPr>
          <w:vanish/>
        </w:rPr>
        <w:t xml:space="preserve"> </w:t>
      </w:r>
      <w:r w:rsidR="002A21AE" w:rsidRPr="00C74523">
        <w:rPr>
          <w:rFonts w:ascii="Arial Bold" w:hAnsi="Arial Bold"/>
          <w:vanish/>
        </w:rPr>
        <w:t>UC_08</w:t>
      </w:r>
    </w:p>
    <w:p w14:paraId="6334CAA7" w14:textId="7C4D783B" w:rsidR="002A21AE" w:rsidRDefault="002A21AE" w:rsidP="00FA7E65">
      <w:pPr>
        <w:pStyle w:val="BodyText"/>
      </w:pPr>
      <w:r>
        <w:t xml:space="preserve">The user activates, deactivates, and edits a limited number of variables for an existing blood product site parameter. VBECS </w:t>
      </w:r>
      <w:r w:rsidR="003D3067">
        <w:t>provides.</w:t>
      </w:r>
      <w:r>
        <w:t xml:space="preserve"> an ISBT 128 Blood Product reference table to facilitate these and other actions.</w:t>
      </w:r>
      <w:r w:rsidR="002F5EE5">
        <w:t xml:space="preserve"> (See </w:t>
      </w:r>
      <w:r w:rsidR="002F5EE5" w:rsidRPr="00423A7F">
        <w:rPr>
          <w:i/>
          <w:iCs/>
        </w:rPr>
        <w:t>FAQ Blood Product Table Processes</w:t>
      </w:r>
      <w:r w:rsidR="0054074A">
        <w:t xml:space="preserve"> and </w:t>
      </w:r>
      <w:r w:rsidR="0054074A" w:rsidRPr="00423A7F">
        <w:rPr>
          <w:i/>
          <w:iCs/>
        </w:rPr>
        <w:t>FAQ Identifying a Comparable Blood Product Code</w:t>
      </w:r>
      <w:r w:rsidR="002F5EE5">
        <w:t>)</w:t>
      </w:r>
    </w:p>
    <w:p w14:paraId="7B4F414E" w14:textId="77777777" w:rsidR="002A21AE" w:rsidRDefault="002A21AE">
      <w:pPr>
        <w:pStyle w:val="Heading4"/>
      </w:pPr>
      <w:r>
        <w:t>Assumptions</w:t>
      </w:r>
    </w:p>
    <w:p w14:paraId="2A8948F8" w14:textId="77777777" w:rsidR="002A21AE" w:rsidRDefault="002A21AE">
      <w:pPr>
        <w:pStyle w:val="ListBullet"/>
      </w:pPr>
      <w:r>
        <w:t xml:space="preserve">The connection to </w:t>
      </w:r>
      <w:r w:rsidR="00CA0045" w:rsidRPr="00CA0045">
        <w:t>VistA</w:t>
      </w:r>
      <w:r>
        <w:t xml:space="preserve"> is active.</w:t>
      </w:r>
    </w:p>
    <w:p w14:paraId="6FC120D7" w14:textId="77777777" w:rsidR="002A21AE" w:rsidRDefault="002A21AE">
      <w:pPr>
        <w:pStyle w:val="ListBullet"/>
      </w:pPr>
      <w:r>
        <w:t xml:space="preserve">The user understands </w:t>
      </w:r>
      <w:r w:rsidR="00735532">
        <w:t>Healthcare Common Procedure Coding System (</w:t>
      </w:r>
      <w:r>
        <w:t>HCPCS</w:t>
      </w:r>
      <w:r w:rsidR="00735532">
        <w:t>)</w:t>
      </w:r>
      <w:r>
        <w:t xml:space="preserve"> codes. (See Additional Information.)</w:t>
      </w:r>
    </w:p>
    <w:p w14:paraId="5F15D4A2" w14:textId="12DE9DD0" w:rsidR="002A21AE" w:rsidRDefault="002A21AE">
      <w:pPr>
        <w:pStyle w:val="ListBullet"/>
      </w:pPr>
      <w:r>
        <w:rPr>
          <w:vanish/>
          <w:spacing w:val="0"/>
        </w:rPr>
        <w:t xml:space="preserve">BR_8.03 </w:t>
      </w:r>
      <w:r>
        <w:t xml:space="preserve">A shipper must be marked as an active </w:t>
      </w:r>
      <w:r w:rsidR="0013497C">
        <w:t>local</w:t>
      </w:r>
      <w:r>
        <w:t xml:space="preserve"> facility for a division before a user may select it as a valid shipper for a blood product for that division. This includes marking the division facility itself as an active </w:t>
      </w:r>
      <w:r w:rsidR="0013497C">
        <w:t>local</w:t>
      </w:r>
      <w:r>
        <w:t xml:space="preserve"> facility to accommodate the creation of new blood products through modification.</w:t>
      </w:r>
    </w:p>
    <w:p w14:paraId="638B46DB" w14:textId="77777777" w:rsidR="002A21AE" w:rsidRDefault="002A21AE">
      <w:pPr>
        <w:pStyle w:val="Heading4"/>
      </w:pPr>
      <w:r>
        <w:t>Outcome</w:t>
      </w:r>
    </w:p>
    <w:p w14:paraId="712A30FF" w14:textId="77777777" w:rsidR="002A21AE" w:rsidRDefault="002A21AE">
      <w:pPr>
        <w:pStyle w:val="ListBullet"/>
      </w:pPr>
      <w:r>
        <w:t xml:space="preserve">Blood product codes are activated in the user’s division. </w:t>
      </w:r>
    </w:p>
    <w:p w14:paraId="7AA6A6FC" w14:textId="77777777" w:rsidR="002A21AE" w:rsidRDefault="002A21AE">
      <w:pPr>
        <w:pStyle w:val="ListBullet"/>
      </w:pPr>
      <w:r>
        <w:rPr>
          <w:vanish/>
          <w:spacing w:val="0"/>
        </w:rPr>
        <w:t xml:space="preserve">BR_8.07 </w:t>
      </w:r>
      <w:r>
        <w:t xml:space="preserve">Each product’s HCPCS code and its activation and deactivation dates are maintained in a permanent historical record. </w:t>
      </w:r>
    </w:p>
    <w:p w14:paraId="66611797" w14:textId="77777777" w:rsidR="002A21AE" w:rsidRDefault="002A21AE">
      <w:pPr>
        <w:pStyle w:val="Heading4"/>
      </w:pPr>
      <w:r>
        <w:t>Limitations and Restrictions</w:t>
      </w:r>
    </w:p>
    <w:p w14:paraId="35D2FA69" w14:textId="77777777" w:rsidR="002A21AE" w:rsidRDefault="002A21AE">
      <w:pPr>
        <w:pStyle w:val="ListBullet"/>
      </w:pPr>
      <w:r>
        <w:t xml:space="preserve">Blood product records distributed through VBECS are national standards. </w:t>
      </w:r>
    </w:p>
    <w:p w14:paraId="79DD5FF7" w14:textId="77777777" w:rsidR="002A21AE" w:rsidRDefault="002A21AE">
      <w:pPr>
        <w:pStyle w:val="ListBullet"/>
      </w:pPr>
      <w:r>
        <w:t>The division must have activated the valid target blood products for modification.</w:t>
      </w:r>
    </w:p>
    <w:p w14:paraId="3CB76E0F" w14:textId="77777777" w:rsidR="002A21AE" w:rsidRDefault="002A21AE" w:rsidP="00755193">
      <w:pPr>
        <w:pStyle w:val="Heading4"/>
        <w:tabs>
          <w:tab w:val="left" w:pos="3060"/>
        </w:tabs>
      </w:pPr>
      <w:r>
        <w:t>Additional Information</w:t>
      </w:r>
      <w:r w:rsidR="00755193">
        <w:tab/>
      </w:r>
    </w:p>
    <w:p w14:paraId="6405FB81" w14:textId="77777777" w:rsidR="002A21AE" w:rsidRDefault="00735532">
      <w:pPr>
        <w:pStyle w:val="ListBullet"/>
      </w:pPr>
      <w:r>
        <w:t>HCPCS</w:t>
      </w:r>
      <w:r w:rsidR="002A21AE">
        <w:t xml:space="preserve"> codes are required for medical and surgical services and supplies for the outpatient setting under the final code set standards for the Health Insurance Portability and Accountability Act of 1996 (HIPAA). See your local </w:t>
      </w:r>
      <w:r w:rsidR="002A21AE">
        <w:rPr>
          <w:szCs w:val="24"/>
        </w:rPr>
        <w:t>Current Procedural Terminology</w:t>
      </w:r>
      <w:r w:rsidR="002A21AE">
        <w:t xml:space="preserve"> (CPT) coordinator for </w:t>
      </w:r>
      <w:r w:rsidR="00E90A01">
        <w:t>additional</w:t>
      </w:r>
      <w:r w:rsidR="002A21AE">
        <w:t xml:space="preserve"> information.</w:t>
      </w:r>
    </w:p>
    <w:p w14:paraId="548E7DB2" w14:textId="77777777" w:rsidR="002A21AE" w:rsidRDefault="002A21AE">
      <w:pPr>
        <w:pStyle w:val="ListBullet"/>
      </w:pPr>
      <w:r>
        <w:rPr>
          <w:vanish/>
          <w:spacing w:val="0"/>
        </w:rPr>
        <w:t xml:space="preserve">BR_8.04 </w:t>
      </w:r>
      <w:r>
        <w:t>At least one valid shipper and product cost must be defined for each active product code in use in the division; multiple shippers may be associated with a blood product code.</w:t>
      </w:r>
    </w:p>
    <w:p w14:paraId="7978FCD6" w14:textId="77777777" w:rsidR="002A21AE" w:rsidRDefault="002A21AE">
      <w:pPr>
        <w:pStyle w:val="Heading4"/>
      </w:pPr>
      <w:r>
        <w:t>User Roles with Access to This Option</w:t>
      </w:r>
    </w:p>
    <w:p w14:paraId="3188A284" w14:textId="77777777" w:rsidR="002A21AE" w:rsidRDefault="0007426E">
      <w:pPr>
        <w:pStyle w:val="Roles"/>
      </w:pPr>
      <w:r>
        <w:t>All users</w:t>
      </w:r>
    </w:p>
    <w:p w14:paraId="61CF76B2" w14:textId="77777777" w:rsidR="002A21AE" w:rsidRDefault="002A21AE">
      <w:pPr>
        <w:pStyle w:val="Heading4"/>
      </w:pPr>
      <w:r>
        <w:t>Blood Products</w:t>
      </w:r>
    </w:p>
    <w:p w14:paraId="6F097536" w14:textId="77777777" w:rsidR="002A21AE" w:rsidRDefault="002A21AE" w:rsidP="00FA7E65">
      <w:pPr>
        <w:pStyle w:val="BodyText"/>
      </w:pPr>
      <w:r>
        <w:t>Before processing a blood unit in an incoming shipment, or activating or creating a blood unit in-house, the user identifies the shipper(s), cost, and return credit percentage for each shipper. The user also tags each product as active for use within the division and assigns a</w:t>
      </w:r>
      <w:r w:rsidR="00C43566">
        <w:t>n</w:t>
      </w:r>
      <w:r>
        <w:t xml:space="preserve"> HCPCS code to each. These are the only fields the user may edit when maintaining an existing blood product</w:t>
      </w:r>
      <w:r w:rsidR="00C816A6">
        <w:t xml:space="preserve"> code</w:t>
      </w:r>
      <w:r>
        <w:t xml:space="preserve">. </w:t>
      </w:r>
    </w:p>
    <w:p w14:paraId="58E27DB2" w14:textId="33A6C237" w:rsidR="00776377" w:rsidRDefault="002A21AE" w:rsidP="00FA7E65">
      <w:pPr>
        <w:pStyle w:val="BodyText"/>
      </w:pPr>
      <w:r>
        <w:t>A “shipper” is the facility that delivers and bills for the blood product, regardless of the facility named on the unit’s label. The facility that delivers the product to the shipper is not considered a shipper nor does it have a product cost associated with it, but it needs to be activated in the division for VBECS to interpret the unit ID. When components are modified within the division, the shipper is defined as the division. The cost may be $0.00 or other U.S. dollar value assigned by the shipper.</w:t>
      </w:r>
    </w:p>
    <w:p w14:paraId="03FCF0DB" w14:textId="77777777" w:rsidR="002A21AE" w:rsidRDefault="00776377" w:rsidP="00FA7E65">
      <w:pPr>
        <w:pStyle w:val="BodyText"/>
      </w:pPr>
      <w:r>
        <w:br w:type="page"/>
      </w:r>
    </w:p>
    <w:tbl>
      <w:tblPr>
        <w:tblW w:w="92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32"/>
        <w:gridCol w:w="6120"/>
      </w:tblGrid>
      <w:tr w:rsidR="002A21AE" w14:paraId="33EB54C5" w14:textId="77777777">
        <w:trPr>
          <w:tblHeader/>
        </w:trPr>
        <w:tc>
          <w:tcPr>
            <w:tcW w:w="3132" w:type="dxa"/>
            <w:shd w:val="pct30" w:color="auto" w:fill="FFFFFF"/>
            <w:vAlign w:val="bottom"/>
          </w:tcPr>
          <w:p w14:paraId="19B0B736" w14:textId="77777777" w:rsidR="002A21AE" w:rsidRDefault="002A21AE">
            <w:pPr>
              <w:pStyle w:val="TableText"/>
              <w:rPr>
                <w:b/>
              </w:rPr>
            </w:pPr>
            <w:r>
              <w:rPr>
                <w:b/>
              </w:rPr>
              <w:lastRenderedPageBreak/>
              <w:t>User Action</w:t>
            </w:r>
          </w:p>
        </w:tc>
        <w:tc>
          <w:tcPr>
            <w:tcW w:w="6120" w:type="dxa"/>
            <w:shd w:val="pct30" w:color="auto" w:fill="FFFFFF"/>
            <w:vAlign w:val="bottom"/>
          </w:tcPr>
          <w:p w14:paraId="2B714831" w14:textId="77777777" w:rsidR="002A21AE" w:rsidRDefault="002A21AE">
            <w:pPr>
              <w:pStyle w:val="TableText"/>
              <w:rPr>
                <w:b/>
              </w:rPr>
            </w:pPr>
            <w:r>
              <w:rPr>
                <w:b/>
              </w:rPr>
              <w:t>VBECS</w:t>
            </w:r>
          </w:p>
        </w:tc>
      </w:tr>
      <w:tr w:rsidR="002A21AE" w14:paraId="66DC890E" w14:textId="77777777">
        <w:tc>
          <w:tcPr>
            <w:tcW w:w="3132" w:type="dxa"/>
          </w:tcPr>
          <w:p w14:paraId="661FE2A7" w14:textId="77777777" w:rsidR="002A21AE" w:rsidRDefault="002A21AE">
            <w:pPr>
              <w:pStyle w:val="TableTextNumbers"/>
            </w:pPr>
            <w:r>
              <w:t xml:space="preserve">Select </w:t>
            </w:r>
            <w:r>
              <w:rPr>
                <w:b/>
              </w:rPr>
              <w:t xml:space="preserve">Tools </w:t>
            </w:r>
            <w:r>
              <w:t>from the main menu.</w:t>
            </w:r>
          </w:p>
          <w:p w14:paraId="70471FBE" w14:textId="77777777" w:rsidR="002A21AE" w:rsidRDefault="002A21AE">
            <w:pPr>
              <w:pStyle w:val="TableTextNumbersContinued"/>
              <w:rPr>
                <w:b/>
                <w:bCs/>
              </w:rPr>
            </w:pPr>
          </w:p>
          <w:p w14:paraId="7399BE9F" w14:textId="77777777" w:rsidR="002A21AE" w:rsidRDefault="002A21AE">
            <w:pPr>
              <w:pStyle w:val="TableTextNumbersContinued"/>
              <w:rPr>
                <w:b/>
                <w:bCs/>
              </w:rPr>
            </w:pPr>
            <w:r w:rsidRPr="00FA0EEB">
              <w:rPr>
                <w:bCs/>
              </w:rPr>
              <w:t>Select</w:t>
            </w:r>
            <w:r>
              <w:rPr>
                <w:b/>
                <w:bCs/>
              </w:rPr>
              <w:t xml:space="preserve"> Blood Products</w:t>
            </w:r>
            <w:r w:rsidRPr="00FA0EEB">
              <w:rPr>
                <w:bCs/>
              </w:rPr>
              <w:t>.</w:t>
            </w:r>
          </w:p>
        </w:tc>
        <w:tc>
          <w:tcPr>
            <w:tcW w:w="6120" w:type="dxa"/>
          </w:tcPr>
          <w:p w14:paraId="6C32CAAD" w14:textId="77777777" w:rsidR="002A21AE" w:rsidRDefault="002A21AE">
            <w:pPr>
              <w:pStyle w:val="TableTextBullet"/>
            </w:pPr>
            <w:r>
              <w:t>Displays options for processing administrative functions.</w:t>
            </w:r>
          </w:p>
          <w:p w14:paraId="739644DB" w14:textId="77777777" w:rsidR="002A21AE" w:rsidRDefault="002A21AE">
            <w:pPr>
              <w:pStyle w:val="TableTextBullet"/>
            </w:pPr>
            <w:r>
              <w:t>Displays fields for entering blood product information.</w:t>
            </w:r>
          </w:p>
        </w:tc>
      </w:tr>
      <w:tr w:rsidR="002A21AE" w14:paraId="327AEE4C" w14:textId="77777777">
        <w:tc>
          <w:tcPr>
            <w:tcW w:w="3132" w:type="dxa"/>
          </w:tcPr>
          <w:p w14:paraId="3582D5E6" w14:textId="6339CABE" w:rsidR="002A21AE" w:rsidRDefault="002A21AE">
            <w:pPr>
              <w:pStyle w:val="TableTextNumbers"/>
            </w:pPr>
            <w:r>
              <w:t xml:space="preserve">To identify the product, scan or enter </w:t>
            </w:r>
            <w:r w:rsidR="00430715">
              <w:t>an</w:t>
            </w:r>
            <w:r>
              <w:t xml:space="preserve"> ISBT product code.</w:t>
            </w:r>
          </w:p>
          <w:p w14:paraId="77549D09" w14:textId="77777777" w:rsidR="002A21AE" w:rsidRDefault="002A21AE">
            <w:pPr>
              <w:pStyle w:val="TableTextNumbersContinued"/>
            </w:pPr>
          </w:p>
          <w:p w14:paraId="0419633A" w14:textId="77777777" w:rsidR="002A21AE" w:rsidRDefault="002A21AE">
            <w:pPr>
              <w:pStyle w:val="TableTextNumbersContinued"/>
            </w:pPr>
            <w:r>
              <w:t xml:space="preserve">Click the </w:t>
            </w:r>
            <w:r w:rsidR="00A6373D">
              <w:rPr>
                <w:b/>
              </w:rPr>
              <w:t>find</w:t>
            </w:r>
            <w:r w:rsidRPr="00BF2E41">
              <w:t xml:space="preserve"> button</w:t>
            </w:r>
            <w:r>
              <w:t xml:space="preserve"> to search for a product.</w:t>
            </w:r>
          </w:p>
          <w:p w14:paraId="5D004C69" w14:textId="77777777" w:rsidR="002A21AE" w:rsidRDefault="002A21AE">
            <w:pPr>
              <w:pStyle w:val="TableTextNumbersContinued"/>
            </w:pPr>
          </w:p>
          <w:p w14:paraId="6F8035A7" w14:textId="77777777" w:rsidR="002A21AE" w:rsidRDefault="002A21AE">
            <w:pPr>
              <w:pStyle w:val="TableTextNumbersContinued"/>
            </w:pPr>
            <w:r>
              <w:t>Select a product type from the drop-down Product Type list or enter a partial product name in the Partial Product Name field.</w:t>
            </w:r>
          </w:p>
          <w:p w14:paraId="24973BE2" w14:textId="77777777" w:rsidR="002A21AE" w:rsidRDefault="002A21AE">
            <w:pPr>
              <w:pStyle w:val="TableTextNumbersContinued"/>
            </w:pPr>
          </w:p>
          <w:p w14:paraId="58E11C73" w14:textId="77777777" w:rsidR="002A21AE" w:rsidRDefault="002A21AE">
            <w:pPr>
              <w:pStyle w:val="TableTextNumbersContinued"/>
            </w:pPr>
            <w:r>
              <w:t xml:space="preserve">Click </w:t>
            </w:r>
            <w:r>
              <w:rPr>
                <w:b/>
              </w:rPr>
              <w:t>Search</w:t>
            </w:r>
            <w:r>
              <w:t>.</w:t>
            </w:r>
          </w:p>
        </w:tc>
        <w:tc>
          <w:tcPr>
            <w:tcW w:w="6120" w:type="dxa"/>
          </w:tcPr>
          <w:p w14:paraId="4F0D4F54" w14:textId="77777777" w:rsidR="002A21AE" w:rsidRDefault="002A21AE">
            <w:pPr>
              <w:pStyle w:val="TableTextBullet"/>
            </w:pPr>
            <w:r>
              <w:t>Displays current blood product information.</w:t>
            </w:r>
          </w:p>
          <w:p w14:paraId="4CA92467" w14:textId="77777777" w:rsidR="002A21AE" w:rsidRDefault="002A21AE">
            <w:pPr>
              <w:pStyle w:val="TableText"/>
            </w:pPr>
          </w:p>
          <w:p w14:paraId="0FE669EC" w14:textId="2569A6AD" w:rsidR="002A21AE" w:rsidRDefault="002A21AE">
            <w:pPr>
              <w:pStyle w:val="TableText"/>
              <w:rPr>
                <w:b/>
                <w:bCs/>
                <w:szCs w:val="18"/>
              </w:rPr>
            </w:pPr>
            <w:r>
              <w:rPr>
                <w:b/>
                <w:bCs/>
                <w:szCs w:val="18"/>
              </w:rPr>
              <w:t>NOTES</w:t>
            </w:r>
          </w:p>
          <w:p w14:paraId="157A48CC" w14:textId="77777777" w:rsidR="002A21AE" w:rsidRDefault="002A21AE">
            <w:pPr>
              <w:pStyle w:val="NotesText"/>
            </w:pPr>
          </w:p>
          <w:p w14:paraId="0F476738" w14:textId="77777777" w:rsidR="002A21AE" w:rsidRDefault="002A21AE">
            <w:pPr>
              <w:pStyle w:val="NotesText"/>
            </w:pPr>
            <w:r w:rsidRPr="009660C3">
              <w:rPr>
                <w:vanish/>
                <w:szCs w:val="18"/>
              </w:rPr>
              <w:t xml:space="preserve">BR_8.12 </w:t>
            </w:r>
            <w:r>
              <w:t>When a user enters a product code</w:t>
            </w:r>
            <w:r w:rsidR="00DA09BD">
              <w:t xml:space="preserve"> that VBECS does not recognize</w:t>
            </w:r>
            <w:r>
              <w:t>, VBECS warns that the blood product was not found and that it does not support entry of new blood products.</w:t>
            </w:r>
          </w:p>
          <w:p w14:paraId="414F9028" w14:textId="77777777" w:rsidR="002A21AE" w:rsidRDefault="002A21AE">
            <w:pPr>
              <w:pStyle w:val="NotesText"/>
            </w:pPr>
          </w:p>
          <w:p w14:paraId="245A2CF1" w14:textId="77777777" w:rsidR="002A21AE" w:rsidRDefault="002A21AE">
            <w:pPr>
              <w:pStyle w:val="NotesText"/>
            </w:pPr>
            <w:r>
              <w:rPr>
                <w:b/>
                <w:bCs/>
              </w:rPr>
              <w:t>OK</w:t>
            </w:r>
            <w:r>
              <w:t xml:space="preserve"> returns the user to a blank screen to enter a different product. VBECS clears the screen. The user may enter a different product code.</w:t>
            </w:r>
            <w:r>
              <w:rPr>
                <w:rStyle w:val="CommentReference"/>
                <w:rFonts w:ascii="Times New Roman" w:hAnsi="Times New Roman"/>
                <w:vanish/>
              </w:rPr>
              <w:t xml:space="preserve"> </w:t>
            </w:r>
          </w:p>
        </w:tc>
      </w:tr>
      <w:tr w:rsidR="002A21AE" w14:paraId="00DD85F1" w14:textId="77777777">
        <w:tc>
          <w:tcPr>
            <w:tcW w:w="3132" w:type="dxa"/>
            <w:tcBorders>
              <w:bottom w:val="single" w:sz="4" w:space="0" w:color="auto"/>
            </w:tcBorders>
          </w:tcPr>
          <w:p w14:paraId="31149DCC" w14:textId="35248279" w:rsidR="002A21AE" w:rsidRDefault="002A21AE">
            <w:pPr>
              <w:pStyle w:val="TableTextNumbers"/>
            </w:pPr>
            <w:r>
              <w:t xml:space="preserve">Select a product from the Search Results list and click </w:t>
            </w:r>
            <w:r>
              <w:rPr>
                <w:b/>
                <w:bCs/>
              </w:rPr>
              <w:t>OK</w:t>
            </w:r>
            <w:r w:rsidR="00FF1B65">
              <w:rPr>
                <w:bCs/>
              </w:rPr>
              <w:t xml:space="preserve"> (</w:t>
            </w:r>
            <w:r w:rsidR="00EE455E">
              <w:t xml:space="preserve">Figure </w:t>
            </w:r>
            <w:r w:rsidR="00EE455E">
              <w:rPr>
                <w:noProof/>
              </w:rPr>
              <w:t>30</w:t>
            </w:r>
            <w:r w:rsidR="00FF1B65">
              <w:rPr>
                <w:bCs/>
              </w:rPr>
              <w:t>)</w:t>
            </w:r>
            <w:r>
              <w:t>.</w:t>
            </w:r>
          </w:p>
          <w:p w14:paraId="7EF659D2" w14:textId="77777777" w:rsidR="002A21AE" w:rsidRDefault="002A21AE">
            <w:pPr>
              <w:pStyle w:val="TableTextNumbersContinued"/>
            </w:pPr>
          </w:p>
          <w:p w14:paraId="4BE0CEC4" w14:textId="77777777" w:rsidR="002A21AE" w:rsidRDefault="002A21AE">
            <w:pPr>
              <w:pStyle w:val="TableTextNumbersContinued"/>
            </w:pPr>
            <w:r>
              <w:t>Select an HCPCS code from the drop-down HCPCS Code list or enter an HCPCS code.</w:t>
            </w:r>
          </w:p>
        </w:tc>
        <w:tc>
          <w:tcPr>
            <w:tcW w:w="6120" w:type="dxa"/>
            <w:tcBorders>
              <w:bottom w:val="single" w:sz="4" w:space="0" w:color="auto"/>
            </w:tcBorders>
          </w:tcPr>
          <w:p w14:paraId="0A690A40" w14:textId="77777777" w:rsidR="002A21AE" w:rsidRDefault="002A21AE">
            <w:pPr>
              <w:pStyle w:val="TableTextBullet"/>
            </w:pPr>
            <w:r>
              <w:t xml:space="preserve">Allows a user to enter the HCPCS code. </w:t>
            </w:r>
          </w:p>
          <w:p w14:paraId="7ABAF2F1" w14:textId="77777777" w:rsidR="002A21AE" w:rsidRDefault="002A21AE">
            <w:pPr>
              <w:pStyle w:val="TableText"/>
            </w:pPr>
          </w:p>
          <w:p w14:paraId="71070281" w14:textId="4660CEDA" w:rsidR="002A21AE" w:rsidRDefault="002A21AE">
            <w:pPr>
              <w:pStyle w:val="TableText"/>
              <w:rPr>
                <w:b/>
                <w:bCs/>
                <w:szCs w:val="18"/>
              </w:rPr>
            </w:pPr>
            <w:r>
              <w:rPr>
                <w:b/>
                <w:bCs/>
                <w:szCs w:val="18"/>
              </w:rPr>
              <w:t>NOTES</w:t>
            </w:r>
          </w:p>
          <w:p w14:paraId="34F811EA" w14:textId="77777777" w:rsidR="002A21AE" w:rsidRDefault="002A21AE">
            <w:pPr>
              <w:pStyle w:val="NotesText"/>
            </w:pPr>
          </w:p>
          <w:p w14:paraId="66A22EA8" w14:textId="77777777" w:rsidR="002A21AE" w:rsidRDefault="002A21AE">
            <w:pPr>
              <w:pStyle w:val="NotesText"/>
            </w:pPr>
            <w:r w:rsidRPr="009660C3">
              <w:rPr>
                <w:vanish/>
                <w:szCs w:val="18"/>
              </w:rPr>
              <w:t xml:space="preserve">BR_8.06 </w:t>
            </w:r>
            <w:r>
              <w:t>A blood product may have only one HCPCS code at a time.</w:t>
            </w:r>
          </w:p>
          <w:p w14:paraId="1C1201B1" w14:textId="77777777" w:rsidR="007C5D69" w:rsidRDefault="007C5D69">
            <w:pPr>
              <w:pStyle w:val="NotesText"/>
            </w:pPr>
          </w:p>
          <w:p w14:paraId="2BD40C02" w14:textId="3B23C3C6" w:rsidR="007C5D69" w:rsidRDefault="007C5D69">
            <w:pPr>
              <w:pStyle w:val="NotesText"/>
            </w:pPr>
            <w:r>
              <w:t>A user may also add a</w:t>
            </w:r>
            <w:r w:rsidR="00430715">
              <w:t>n</w:t>
            </w:r>
            <w:r>
              <w:t xml:space="preserve"> </w:t>
            </w:r>
            <w:r w:rsidRPr="007C5D69">
              <w:t>HCPCS code after the blood product code is activated.</w:t>
            </w:r>
            <w:r w:rsidR="00AB4BD9">
              <w:t xml:space="preserve"> </w:t>
            </w:r>
            <w:r w:rsidR="00AB4BD9" w:rsidRPr="00AB4BD9">
              <w:rPr>
                <w:vanish/>
              </w:rPr>
              <w:t>Defect 208150</w:t>
            </w:r>
          </w:p>
        </w:tc>
      </w:tr>
      <w:tr w:rsidR="002A21AE" w14:paraId="0B25FDF6" w14:textId="77777777">
        <w:tc>
          <w:tcPr>
            <w:tcW w:w="3132" w:type="dxa"/>
            <w:tcBorders>
              <w:bottom w:val="single" w:sz="4" w:space="0" w:color="auto"/>
            </w:tcBorders>
          </w:tcPr>
          <w:p w14:paraId="4D682087" w14:textId="77777777" w:rsidR="002A21AE" w:rsidRPr="007144AE" w:rsidRDefault="002A21AE" w:rsidP="007144AE">
            <w:pPr>
              <w:pStyle w:val="TableTextNumbers"/>
              <w:rPr>
                <w:bCs/>
              </w:rPr>
            </w:pPr>
            <w:r>
              <w:t xml:space="preserve">Select or enter product shipper information: shipper name, FDA </w:t>
            </w:r>
            <w:r w:rsidR="00B85812">
              <w:t>Registration Number</w:t>
            </w:r>
            <w:r>
              <w:t>, c</w:t>
            </w:r>
            <w:r>
              <w:rPr>
                <w:bCs/>
              </w:rPr>
              <w:t>ost, and return credit percentage.</w:t>
            </w:r>
          </w:p>
        </w:tc>
        <w:tc>
          <w:tcPr>
            <w:tcW w:w="6120" w:type="dxa"/>
            <w:tcBorders>
              <w:bottom w:val="single" w:sz="4" w:space="0" w:color="auto"/>
            </w:tcBorders>
          </w:tcPr>
          <w:p w14:paraId="2EB4BACE" w14:textId="77777777" w:rsidR="002A21AE" w:rsidRDefault="002A21AE">
            <w:pPr>
              <w:pStyle w:val="TableText"/>
            </w:pPr>
          </w:p>
          <w:p w14:paraId="666F3505" w14:textId="612BF597" w:rsidR="002A21AE" w:rsidRDefault="002A21AE">
            <w:pPr>
              <w:pStyle w:val="TableText"/>
              <w:rPr>
                <w:b/>
                <w:bCs/>
                <w:szCs w:val="18"/>
              </w:rPr>
            </w:pPr>
            <w:r>
              <w:rPr>
                <w:b/>
                <w:bCs/>
                <w:szCs w:val="18"/>
              </w:rPr>
              <w:t>NOTES</w:t>
            </w:r>
          </w:p>
          <w:p w14:paraId="5351E5E5" w14:textId="77777777" w:rsidR="002A21AE" w:rsidRDefault="002A21AE">
            <w:pPr>
              <w:pStyle w:val="NotesText"/>
            </w:pPr>
          </w:p>
          <w:p w14:paraId="07ED5D4F" w14:textId="77777777" w:rsidR="002A21AE" w:rsidRDefault="002A21AE">
            <w:pPr>
              <w:pStyle w:val="NotesText"/>
              <w:rPr>
                <w:color w:val="000000"/>
                <w:szCs w:val="18"/>
              </w:rPr>
            </w:pPr>
            <w:r w:rsidRPr="009660C3">
              <w:rPr>
                <w:vanish/>
                <w:szCs w:val="18"/>
              </w:rPr>
              <w:t xml:space="preserve">BR_8.01 </w:t>
            </w:r>
            <w:r>
              <w:t xml:space="preserve">Site parameters determine which products are active for a division. Products marked as active can be received in an incoming shipment or created in-house through modification. </w:t>
            </w:r>
          </w:p>
          <w:p w14:paraId="38214E61" w14:textId="77777777" w:rsidR="002A21AE" w:rsidRDefault="002A21AE">
            <w:pPr>
              <w:pStyle w:val="NotesText"/>
            </w:pPr>
          </w:p>
          <w:p w14:paraId="70C8BF4B" w14:textId="77777777" w:rsidR="002A21AE" w:rsidRDefault="002A21AE">
            <w:pPr>
              <w:pStyle w:val="NotesText"/>
              <w:tabs>
                <w:tab w:val="center" w:pos="3312"/>
              </w:tabs>
            </w:pPr>
            <w:r w:rsidRPr="009660C3">
              <w:rPr>
                <w:vanish/>
                <w:szCs w:val="18"/>
              </w:rPr>
              <w:t xml:space="preserve">BR_8.02 </w:t>
            </w:r>
            <w:r>
              <w:t>A user with no increased security can maintain an existing blood product for use only within the user’s current division.</w:t>
            </w:r>
            <w:r>
              <w:tab/>
            </w:r>
          </w:p>
          <w:p w14:paraId="605F9B34" w14:textId="77777777" w:rsidR="002A21AE" w:rsidRDefault="002A21AE">
            <w:pPr>
              <w:pStyle w:val="NotesText"/>
            </w:pPr>
          </w:p>
          <w:p w14:paraId="4ED1F694" w14:textId="77777777" w:rsidR="002A21AE" w:rsidRDefault="002A21AE">
            <w:pPr>
              <w:pStyle w:val="NotesText"/>
            </w:pPr>
            <w:r>
              <w:t>The return credit default is “100%.”</w:t>
            </w:r>
          </w:p>
          <w:p w14:paraId="67ED59B0" w14:textId="77777777" w:rsidR="002A21AE" w:rsidRDefault="002A21AE">
            <w:pPr>
              <w:pStyle w:val="NotesText"/>
            </w:pPr>
          </w:p>
          <w:p w14:paraId="13DCC20D" w14:textId="56FA062A" w:rsidR="002A21AE" w:rsidRDefault="002A21AE">
            <w:pPr>
              <w:pStyle w:val="NotesText"/>
            </w:pPr>
            <w:r w:rsidRPr="009660C3">
              <w:rPr>
                <w:rFonts w:cs="Arial"/>
                <w:vanish/>
                <w:color w:val="0000FF"/>
                <w:szCs w:val="18"/>
              </w:rPr>
              <w:t>BR_8.11</w:t>
            </w:r>
            <w:r w:rsidRPr="009660C3">
              <w:rPr>
                <w:vanish/>
                <w:szCs w:val="18"/>
              </w:rPr>
              <w:t xml:space="preserve"> </w:t>
            </w:r>
            <w:r w:rsidR="00CC5FE9">
              <w:t xml:space="preserve">In order to inactivate a product shipper, all units via that shipper must be in a final status (or inactivated). </w:t>
            </w:r>
            <w:r w:rsidR="00276D7F">
              <w:t>Contact the Service Desk if you would like a list of units linked to the product shipper you want to inactivate.</w:t>
            </w:r>
          </w:p>
          <w:p w14:paraId="50CB63A8" w14:textId="25BAFB2D" w:rsidR="00EA7FA8" w:rsidRDefault="00EA7FA8">
            <w:pPr>
              <w:pStyle w:val="NotesText"/>
            </w:pPr>
          </w:p>
          <w:p w14:paraId="1796B18C" w14:textId="07407507" w:rsidR="00EA7FA8" w:rsidRDefault="00EA7FA8" w:rsidP="00EA7FA8">
            <w:pPr>
              <w:pStyle w:val="NotesText"/>
            </w:pPr>
            <w:r w:rsidRPr="00EA7FA8">
              <w:rPr>
                <w:vanish/>
              </w:rPr>
              <w:t>BR_8.13</w:t>
            </w:r>
            <w:r>
              <w:t>User role Traditional Supervisor or higher</w:t>
            </w:r>
            <w:r>
              <w:rPr>
                <w:rFonts w:cs="Arial"/>
              </w:rPr>
              <w:t xml:space="preserve"> can override the default Maximum Storage Time of ISBT-128 blood products. This change is shown in the Audit Trail Report.</w:t>
            </w:r>
          </w:p>
        </w:tc>
      </w:tr>
      <w:tr w:rsidR="002A21AE" w14:paraId="2487F159" w14:textId="77777777">
        <w:tc>
          <w:tcPr>
            <w:tcW w:w="3132" w:type="dxa"/>
            <w:tcBorders>
              <w:bottom w:val="single" w:sz="4" w:space="0" w:color="auto"/>
            </w:tcBorders>
          </w:tcPr>
          <w:p w14:paraId="4B8C7F63" w14:textId="77777777" w:rsidR="002A21AE" w:rsidRDefault="002A21AE">
            <w:pPr>
              <w:pStyle w:val="TableTextNumbers"/>
            </w:pPr>
            <w:r>
              <w:t xml:space="preserve">Repeat Steps 3 and 4 for each selected product’s shipper and for other products. </w:t>
            </w:r>
          </w:p>
        </w:tc>
        <w:tc>
          <w:tcPr>
            <w:tcW w:w="6120" w:type="dxa"/>
            <w:tcBorders>
              <w:bottom w:val="single" w:sz="4" w:space="0" w:color="auto"/>
            </w:tcBorders>
          </w:tcPr>
          <w:p w14:paraId="67FFDB92" w14:textId="77777777" w:rsidR="002A21AE" w:rsidRDefault="002A21AE">
            <w:pPr>
              <w:pStyle w:val="TableTextBullet"/>
            </w:pPr>
            <w:r>
              <w:t>Displays the information entered.</w:t>
            </w:r>
          </w:p>
          <w:p w14:paraId="5D974B60" w14:textId="77777777" w:rsidR="002A21AE" w:rsidRDefault="002A21AE">
            <w:pPr>
              <w:pStyle w:val="TableTextBullet"/>
            </w:pPr>
            <w:r>
              <w:t>Requests confirmation to update the database.</w:t>
            </w:r>
          </w:p>
          <w:p w14:paraId="10338BD4" w14:textId="77777777" w:rsidR="002A21AE" w:rsidRDefault="002A21AE">
            <w:pPr>
              <w:pStyle w:val="TableTextBullet"/>
            </w:pPr>
            <w:r>
              <w:t>Updates the database or warns the user with no override for discrepancies.</w:t>
            </w:r>
          </w:p>
        </w:tc>
      </w:tr>
      <w:tr w:rsidR="002A21AE" w14:paraId="1C97D070" w14:textId="77777777">
        <w:tc>
          <w:tcPr>
            <w:tcW w:w="3132" w:type="dxa"/>
            <w:tcBorders>
              <w:bottom w:val="single" w:sz="4" w:space="0" w:color="auto"/>
            </w:tcBorders>
          </w:tcPr>
          <w:p w14:paraId="0E42B90E" w14:textId="77777777" w:rsidR="002A21AE" w:rsidRDefault="002A21AE">
            <w:pPr>
              <w:pStyle w:val="TableTextNumbers"/>
            </w:pPr>
            <w:r>
              <w:t xml:space="preserve">Click </w:t>
            </w:r>
            <w:r>
              <w:rPr>
                <w:b/>
              </w:rPr>
              <w:t xml:space="preserve">OK </w:t>
            </w:r>
            <w:r>
              <w:t xml:space="preserve">to exit. </w:t>
            </w:r>
            <w:r>
              <w:rPr>
                <w:vanish/>
                <w:color w:val="FFFFFF"/>
                <w:szCs w:val="18"/>
              </w:rPr>
              <w:fldChar w:fldCharType="begin"/>
            </w:r>
            <w:r>
              <w:rPr>
                <w:vanish/>
                <w:color w:val="FFFFFF"/>
                <w:szCs w:val="18"/>
              </w:rPr>
              <w:instrText xml:space="preserve"> LISTNUM \l 1 \s 0 </w:instrText>
            </w:r>
            <w:r>
              <w:rPr>
                <w:vanish/>
                <w:color w:val="FFFFFF"/>
                <w:szCs w:val="18"/>
              </w:rPr>
              <w:fldChar w:fldCharType="end">
                <w:numberingChange w:id="196" w:author="MUSZYNSKI, THOMAS D. (SIERRA 7 INC)" w:date="2024-11-26T07:15:00Z" w:original="0."/>
              </w:fldChar>
            </w:r>
          </w:p>
        </w:tc>
        <w:tc>
          <w:tcPr>
            <w:tcW w:w="6120" w:type="dxa"/>
            <w:tcBorders>
              <w:bottom w:val="single" w:sz="4" w:space="0" w:color="auto"/>
            </w:tcBorders>
          </w:tcPr>
          <w:p w14:paraId="30C1F9C5" w14:textId="77777777" w:rsidR="002A21AE" w:rsidRDefault="002A21AE">
            <w:pPr>
              <w:pStyle w:val="NotesText"/>
            </w:pPr>
          </w:p>
        </w:tc>
      </w:tr>
    </w:tbl>
    <w:p w14:paraId="07241250" w14:textId="77777777" w:rsidR="002A21AE" w:rsidRDefault="002A21AE">
      <w:pPr>
        <w:pStyle w:val="BodyText"/>
      </w:pPr>
    </w:p>
    <w:p w14:paraId="0DDF2E54" w14:textId="7637CAC0" w:rsidR="00FF1B65" w:rsidRDefault="00FF1B65" w:rsidP="00FF1B65">
      <w:pPr>
        <w:pStyle w:val="Caption"/>
      </w:pPr>
      <w:bookmarkStart w:id="197" w:name="_Ref126471445"/>
      <w:bookmarkStart w:id="198" w:name="_Toc63680389"/>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7D1829">
        <w:rPr>
          <w:noProof/>
        </w:rPr>
        <w:t>31</w:t>
      </w:r>
      <w:r w:rsidR="004E20BD">
        <w:rPr>
          <w:noProof/>
        </w:rPr>
        <w:fldChar w:fldCharType="end"/>
      </w:r>
      <w:bookmarkEnd w:id="197"/>
      <w:r>
        <w:t xml:space="preserve">: </w:t>
      </w:r>
      <w:r w:rsidR="00954B38">
        <w:t xml:space="preserve">Example of </w:t>
      </w:r>
      <w:r>
        <w:t>Maintain Blood Products</w:t>
      </w:r>
    </w:p>
    <w:p w14:paraId="460106E2" w14:textId="2A202998" w:rsidR="0066425F" w:rsidRDefault="005C6D50" w:rsidP="0066425F">
      <w:pPr>
        <w:pStyle w:val="BodyText"/>
      </w:pPr>
      <w:r>
        <w:rPr>
          <w:noProof/>
        </w:rPr>
        <w:drawing>
          <wp:inline distT="0" distB="0" distL="0" distR="0" wp14:anchorId="52460EC3" wp14:editId="123D6119">
            <wp:extent cx="5941060" cy="3218815"/>
            <wp:effectExtent l="0" t="0" r="2540" b="635"/>
            <wp:docPr id="40" name="Picture 40" descr="Example of Maintain Blood Products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descr="Example of Maintain Blood Products screen capture"/>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5941060" cy="3218815"/>
                    </a:xfrm>
                    <a:prstGeom prst="rect">
                      <a:avLst/>
                    </a:prstGeom>
                    <a:noFill/>
                    <a:ln>
                      <a:noFill/>
                    </a:ln>
                  </pic:spPr>
                </pic:pic>
              </a:graphicData>
            </a:graphic>
          </wp:inline>
        </w:drawing>
      </w:r>
      <w:r w:rsidR="00FF1B65">
        <w:t xml:space="preserve"> </w:t>
      </w:r>
    </w:p>
    <w:p w14:paraId="3071F90C" w14:textId="77777777" w:rsidR="002A21AE" w:rsidRDefault="003A2D61" w:rsidP="00A6079E">
      <w:pPr>
        <w:pStyle w:val="Heading2"/>
      </w:pPr>
      <w:r>
        <w:br w:type="page"/>
      </w:r>
      <w:bookmarkStart w:id="199" w:name="_Toc203765867"/>
      <w:r w:rsidR="002A21AE">
        <w:lastRenderedPageBreak/>
        <w:t>Antibodies</w:t>
      </w:r>
      <w:bookmarkEnd w:id="198"/>
      <w:bookmarkEnd w:id="199"/>
      <w:r w:rsidR="002A21AE" w:rsidRPr="00C74523">
        <w:rPr>
          <w:vanish/>
        </w:rPr>
        <w:fldChar w:fldCharType="begin"/>
      </w:r>
      <w:r w:rsidR="002A21AE" w:rsidRPr="00C74523">
        <w:rPr>
          <w:vanish/>
        </w:rPr>
        <w:instrText xml:space="preserve"> XE </w:instrText>
      </w:r>
      <w:r w:rsidR="00FA7E65" w:rsidRPr="00C74523">
        <w:rPr>
          <w:vanish/>
        </w:rPr>
        <w:instrText>“</w:instrText>
      </w:r>
      <w:r w:rsidR="002A21AE" w:rsidRPr="00C74523">
        <w:rPr>
          <w:vanish/>
        </w:rPr>
        <w:instrText>Antibodies</w:instrText>
      </w:r>
      <w:r w:rsidR="00FA7E65" w:rsidRPr="00C74523">
        <w:rPr>
          <w:vanish/>
        </w:rPr>
        <w:instrText>”</w:instrText>
      </w:r>
      <w:r w:rsidR="002A21AE" w:rsidRPr="00C74523">
        <w:rPr>
          <w:vanish/>
        </w:rPr>
        <w:instrText xml:space="preserve"> </w:instrText>
      </w:r>
      <w:r w:rsidR="002A21AE" w:rsidRPr="00C74523">
        <w:rPr>
          <w:vanish/>
        </w:rPr>
        <w:fldChar w:fldCharType="end"/>
      </w:r>
      <w:r w:rsidR="002A21AE" w:rsidRPr="00C74523">
        <w:rPr>
          <w:vanish/>
        </w:rPr>
        <w:t xml:space="preserve"> </w:t>
      </w:r>
      <w:r w:rsidR="002A21AE" w:rsidRPr="00C74523">
        <w:rPr>
          <w:rFonts w:ascii="Arial Bold" w:hAnsi="Arial Bold"/>
          <w:vanish/>
        </w:rPr>
        <w:t>UC_23</w:t>
      </w:r>
    </w:p>
    <w:p w14:paraId="1F6C1F3F" w14:textId="77777777" w:rsidR="002A21AE" w:rsidRDefault="002A21AE" w:rsidP="00FA7E65">
      <w:pPr>
        <w:pStyle w:val="BodyText"/>
      </w:pPr>
      <w:r>
        <w:t>The user edit</w:t>
      </w:r>
      <w:r w:rsidR="00657A5C">
        <w:t xml:space="preserve">s </w:t>
      </w:r>
      <w:r>
        <w:t>certain fields in the supplied antibody table.</w:t>
      </w:r>
    </w:p>
    <w:p w14:paraId="11F77E38" w14:textId="77777777" w:rsidR="002A21AE" w:rsidRDefault="002A21AE">
      <w:pPr>
        <w:pStyle w:val="Heading4"/>
      </w:pPr>
      <w:r>
        <w:t xml:space="preserve">Assumptions </w:t>
      </w:r>
    </w:p>
    <w:p w14:paraId="5EB1E503" w14:textId="77777777" w:rsidR="002A21AE" w:rsidRDefault="002A21AE">
      <w:pPr>
        <w:pStyle w:val="ListBullet"/>
      </w:pPr>
      <w:r>
        <w:t>VBECS is configured to reflect antibody reference parameters. Only some of these parameters may be changed locally.</w:t>
      </w:r>
    </w:p>
    <w:p w14:paraId="69AB868B" w14:textId="77777777" w:rsidR="002A21AE" w:rsidRDefault="002A21AE">
      <w:pPr>
        <w:pStyle w:val="ListBullet"/>
      </w:pPr>
      <w:r>
        <w:t>The default settings are enforced without user interaction.</w:t>
      </w:r>
    </w:p>
    <w:p w14:paraId="74557642" w14:textId="77777777" w:rsidR="002A21AE" w:rsidRDefault="002A21AE">
      <w:pPr>
        <w:pStyle w:val="Heading4"/>
      </w:pPr>
      <w:r>
        <w:t>Outcome</w:t>
      </w:r>
    </w:p>
    <w:p w14:paraId="0DA6B42C" w14:textId="77777777" w:rsidR="002A21AE" w:rsidRDefault="002A21AE">
      <w:pPr>
        <w:pStyle w:val="ListBullet"/>
      </w:pPr>
      <w:r>
        <w:t xml:space="preserve">Each division has a populated antibody table whether or not the user makes any edits. </w:t>
      </w:r>
    </w:p>
    <w:p w14:paraId="4F5AA891" w14:textId="77777777" w:rsidR="002A21AE" w:rsidRDefault="002A21AE">
      <w:pPr>
        <w:pStyle w:val="Heading4"/>
      </w:pPr>
      <w:r>
        <w:t>Limitations and Restrictions</w:t>
      </w:r>
    </w:p>
    <w:p w14:paraId="64019F6F" w14:textId="77777777" w:rsidR="002A21AE" w:rsidRDefault="002A21AE">
      <w:pPr>
        <w:pStyle w:val="ListBullet"/>
      </w:pPr>
      <w:r>
        <w:t>None</w:t>
      </w:r>
    </w:p>
    <w:p w14:paraId="2D4E6095" w14:textId="77777777" w:rsidR="002A21AE" w:rsidRDefault="002A21AE">
      <w:pPr>
        <w:pStyle w:val="Heading4"/>
      </w:pPr>
      <w:r>
        <w:t>Additional Information</w:t>
      </w:r>
    </w:p>
    <w:p w14:paraId="32DC0640" w14:textId="0CAC4ADF" w:rsidR="002A21AE" w:rsidRDefault="002A21AE">
      <w:pPr>
        <w:pStyle w:val="ListBullet"/>
      </w:pPr>
      <w:r>
        <w:t xml:space="preserve">The </w:t>
      </w:r>
      <w:r w:rsidR="007F7AC7">
        <w:t>antibody table</w:t>
      </w:r>
      <w:r>
        <w:t xml:space="preserve"> define</w:t>
      </w:r>
      <w:r w:rsidR="005321B0">
        <w:t>s</w:t>
      </w:r>
      <w:r>
        <w:t xml:space="preserve"> an antigen negative requirement for all instances of the antibody for all patients in the division. When an antibody specificity does not generally require antigen negative blood but a patient has a unique appearance of that antibody </w:t>
      </w:r>
      <w:r w:rsidR="005321B0">
        <w:t xml:space="preserve">that </w:t>
      </w:r>
      <w:r>
        <w:t>require</w:t>
      </w:r>
      <w:r w:rsidR="004547A0">
        <w:t>s</w:t>
      </w:r>
      <w:r>
        <w:t xml:space="preserve"> antigen negative blood, the user may enter the antigen negative requirement for that patient in Special Instructions &amp; Transfusion Requirements: Enter a Transfusion Requirement.</w:t>
      </w:r>
    </w:p>
    <w:p w14:paraId="3DE8A216" w14:textId="77777777" w:rsidR="002A21AE" w:rsidRDefault="002A21AE">
      <w:pPr>
        <w:pStyle w:val="Heading4"/>
      </w:pPr>
      <w:r>
        <w:t>User Roles with Access to This Option</w:t>
      </w:r>
    </w:p>
    <w:p w14:paraId="209F01DB" w14:textId="77777777" w:rsidR="002A21AE" w:rsidRDefault="00A91BAF">
      <w:pPr>
        <w:pStyle w:val="Roles"/>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Enhanced Supervisor</w:t>
      </w:r>
    </w:p>
    <w:p w14:paraId="0F16FC90" w14:textId="77777777" w:rsidR="002A21AE" w:rsidRDefault="002A21AE">
      <w:pPr>
        <w:pStyle w:val="Heading4"/>
      </w:pPr>
      <w:r>
        <w:t>Antibodies</w:t>
      </w:r>
    </w:p>
    <w:p w14:paraId="7FE3D728" w14:textId="77777777" w:rsidR="002A21AE" w:rsidRDefault="002A21AE" w:rsidP="00FA7E65">
      <w:pPr>
        <w:pStyle w:val="BodyText"/>
      </w:pPr>
      <w:r>
        <w:t xml:space="preserve">The user chooses to edit the system-supplied blood antibody table. The Compatibility Percentage field is fully editable </w:t>
      </w:r>
      <w:r w:rsidR="00F276FF">
        <w:t xml:space="preserve">(except for ABO antibodies and anti-D) </w:t>
      </w:r>
      <w:r>
        <w:t>to allow facilities to reflect local populations. The user may edit only the Clinically Significant entries initially exported as “No.”</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6F01278A" w14:textId="77777777">
        <w:trPr>
          <w:tblHeader/>
        </w:trPr>
        <w:tc>
          <w:tcPr>
            <w:tcW w:w="3240" w:type="dxa"/>
            <w:shd w:val="pct30" w:color="auto" w:fill="FFFFFF"/>
            <w:vAlign w:val="bottom"/>
          </w:tcPr>
          <w:p w14:paraId="62C2183C" w14:textId="77777777" w:rsidR="002A21AE" w:rsidRDefault="002A21AE">
            <w:pPr>
              <w:pStyle w:val="TableText"/>
              <w:rPr>
                <w:b/>
              </w:rPr>
            </w:pPr>
            <w:r>
              <w:rPr>
                <w:b/>
              </w:rPr>
              <w:t>User Action</w:t>
            </w:r>
          </w:p>
        </w:tc>
        <w:tc>
          <w:tcPr>
            <w:tcW w:w="6120" w:type="dxa"/>
            <w:shd w:val="pct30" w:color="auto" w:fill="FFFFFF"/>
            <w:vAlign w:val="bottom"/>
          </w:tcPr>
          <w:p w14:paraId="4B2895A1" w14:textId="77777777" w:rsidR="002A21AE" w:rsidRDefault="002A21AE">
            <w:pPr>
              <w:pStyle w:val="TableText"/>
              <w:rPr>
                <w:b/>
              </w:rPr>
            </w:pPr>
            <w:r>
              <w:rPr>
                <w:b/>
              </w:rPr>
              <w:t>VBECS</w:t>
            </w:r>
          </w:p>
        </w:tc>
      </w:tr>
      <w:tr w:rsidR="002A21AE" w14:paraId="4D14B97C" w14:textId="77777777">
        <w:tc>
          <w:tcPr>
            <w:tcW w:w="3240" w:type="dxa"/>
          </w:tcPr>
          <w:p w14:paraId="1A56C21C" w14:textId="77777777" w:rsidR="002A21AE" w:rsidRDefault="002A21AE">
            <w:pPr>
              <w:pStyle w:val="TableTextNumbers"/>
            </w:pPr>
            <w:r>
              <w:t xml:space="preserve">Select </w:t>
            </w:r>
            <w:r>
              <w:rPr>
                <w:b/>
              </w:rPr>
              <w:t>Tools</w:t>
            </w:r>
            <w:r>
              <w:t xml:space="preserve"> from the main menu. </w:t>
            </w:r>
          </w:p>
          <w:p w14:paraId="0D617215" w14:textId="77777777" w:rsidR="002A21AE" w:rsidRDefault="002A21AE">
            <w:pPr>
              <w:pStyle w:val="TableTextNumbersContinued"/>
            </w:pPr>
          </w:p>
          <w:p w14:paraId="6E625529" w14:textId="77777777" w:rsidR="002A21AE" w:rsidRDefault="002A21AE">
            <w:pPr>
              <w:pStyle w:val="TableTextNumbersContinued"/>
            </w:pPr>
            <w:r>
              <w:t xml:space="preserve">Select </w:t>
            </w:r>
            <w:r>
              <w:rPr>
                <w:b/>
              </w:rPr>
              <w:t>Antibodies</w:t>
            </w:r>
            <w:r>
              <w:t>.</w:t>
            </w:r>
          </w:p>
        </w:tc>
        <w:tc>
          <w:tcPr>
            <w:tcW w:w="6120" w:type="dxa"/>
          </w:tcPr>
          <w:p w14:paraId="4D69F550" w14:textId="77777777" w:rsidR="002A21AE" w:rsidRDefault="002A21AE">
            <w:pPr>
              <w:pStyle w:val="TableTextBullet"/>
            </w:pPr>
            <w:r>
              <w:t>Displays options for processing administrative functions.</w:t>
            </w:r>
          </w:p>
          <w:p w14:paraId="74F4DBCB" w14:textId="77777777" w:rsidR="002A21AE" w:rsidRDefault="002A21AE">
            <w:pPr>
              <w:pStyle w:val="TableTextBullet"/>
            </w:pPr>
            <w:r>
              <w:t>Lists available antibodies based on the system-supplied table.</w:t>
            </w:r>
          </w:p>
          <w:p w14:paraId="70A103DD" w14:textId="77777777" w:rsidR="002A21AE" w:rsidRDefault="002A21AE">
            <w:pPr>
              <w:pStyle w:val="TableText"/>
            </w:pPr>
          </w:p>
          <w:p w14:paraId="6C1E1EB5" w14:textId="6E798B47" w:rsidR="002A21AE" w:rsidRDefault="002A21AE">
            <w:pPr>
              <w:pStyle w:val="TableText"/>
              <w:rPr>
                <w:b/>
                <w:bCs/>
                <w:szCs w:val="18"/>
              </w:rPr>
            </w:pPr>
            <w:r>
              <w:rPr>
                <w:b/>
                <w:bCs/>
                <w:szCs w:val="18"/>
              </w:rPr>
              <w:t>NOTES</w:t>
            </w:r>
          </w:p>
          <w:p w14:paraId="5A8CF578" w14:textId="77777777" w:rsidR="002A21AE" w:rsidRDefault="002A21AE">
            <w:pPr>
              <w:pStyle w:val="NotesText"/>
            </w:pPr>
          </w:p>
          <w:p w14:paraId="6CB1F633" w14:textId="5659E1EE" w:rsidR="002A21AE" w:rsidRDefault="002A21AE">
            <w:pPr>
              <w:pStyle w:val="NotesText"/>
            </w:pPr>
            <w:r>
              <w:t xml:space="preserve">See </w:t>
            </w:r>
            <w:r w:rsidR="00EE455E">
              <w:t xml:space="preserve">Appendix </w:t>
            </w:r>
            <w:r w:rsidR="00EE455E">
              <w:rPr>
                <w:noProof/>
              </w:rPr>
              <w:t>B</w:t>
            </w:r>
            <w:r>
              <w:t xml:space="preserve">: </w:t>
            </w:r>
            <w:r w:rsidR="00EE455E">
              <w:t xml:space="preserve">Table </w:t>
            </w:r>
            <w:r w:rsidR="00EE455E">
              <w:rPr>
                <w:noProof/>
              </w:rPr>
              <w:t>14</w:t>
            </w:r>
            <w:r w:rsidR="00EE455E">
              <w:t xml:space="preserve">: </w:t>
            </w:r>
            <w:r w:rsidR="00EE455E">
              <w:rPr>
                <w:vanish/>
              </w:rPr>
              <w:t xml:space="preserve">TT_23.01A </w:t>
            </w:r>
            <w:r w:rsidR="00EE455E">
              <w:t>Antibody and Antigen Table: Irregular Antibodies</w:t>
            </w:r>
            <w:r>
              <w:t>.</w:t>
            </w:r>
          </w:p>
          <w:p w14:paraId="023EFB2A" w14:textId="77777777" w:rsidR="002A21AE" w:rsidRDefault="002A21AE">
            <w:pPr>
              <w:pStyle w:val="NotesText"/>
            </w:pPr>
          </w:p>
          <w:p w14:paraId="45363ED1" w14:textId="77777777" w:rsidR="002A21AE" w:rsidRDefault="002A21AE">
            <w:pPr>
              <w:pStyle w:val="NotesText"/>
            </w:pPr>
            <w:r w:rsidRPr="009660C3">
              <w:rPr>
                <w:vanish/>
                <w:szCs w:val="18"/>
              </w:rPr>
              <w:t xml:space="preserve">BR_31.07 </w:t>
            </w:r>
            <w:r>
              <w:t>The table’s presentation order is predefined at implementation and may not be sorted.</w:t>
            </w:r>
          </w:p>
        </w:tc>
      </w:tr>
      <w:tr w:rsidR="002A21AE" w14:paraId="222B47C8" w14:textId="77777777" w:rsidTr="007E500E">
        <w:trPr>
          <w:cantSplit/>
        </w:trPr>
        <w:tc>
          <w:tcPr>
            <w:tcW w:w="3240" w:type="dxa"/>
          </w:tcPr>
          <w:p w14:paraId="2F1CA78F" w14:textId="420F0E14" w:rsidR="002A21AE" w:rsidRDefault="002A21AE">
            <w:pPr>
              <w:pStyle w:val="TableTextNumbers"/>
            </w:pPr>
            <w:r>
              <w:lastRenderedPageBreak/>
              <w:t xml:space="preserve">Select the antibody, edit each field, and click </w:t>
            </w:r>
            <w:r>
              <w:rPr>
                <w:b/>
              </w:rPr>
              <w:t>Update</w:t>
            </w:r>
            <w:r w:rsidR="006E74F2" w:rsidRPr="006E74F2">
              <w:t xml:space="preserve"> </w:t>
            </w:r>
            <w:r w:rsidR="006E74F2">
              <w:t>(</w:t>
            </w:r>
            <w:r w:rsidR="00EE455E">
              <w:t xml:space="preserve">Figure </w:t>
            </w:r>
            <w:r w:rsidR="00EE455E">
              <w:rPr>
                <w:noProof/>
              </w:rPr>
              <w:t>31</w:t>
            </w:r>
            <w:r w:rsidR="006E74F2">
              <w:t>)</w:t>
            </w:r>
            <w:r w:rsidRPr="00B65BA7">
              <w:t xml:space="preserve">. </w:t>
            </w:r>
          </w:p>
        </w:tc>
        <w:tc>
          <w:tcPr>
            <w:tcW w:w="6120" w:type="dxa"/>
          </w:tcPr>
          <w:p w14:paraId="7954E6CC" w14:textId="77777777" w:rsidR="002A21AE" w:rsidRDefault="002A21AE">
            <w:pPr>
              <w:pStyle w:val="TableTextBullet"/>
            </w:pPr>
            <w:r>
              <w:t>Displays data and allows the user to edit them.</w:t>
            </w:r>
          </w:p>
          <w:p w14:paraId="492715BF" w14:textId="79A7201B" w:rsidR="002A21AE" w:rsidRDefault="002A21AE" w:rsidP="005321B0">
            <w:pPr>
              <w:pStyle w:val="TableTextBullet"/>
            </w:pPr>
            <w:r>
              <w:t>Accommodates data entry</w:t>
            </w:r>
            <w:r w:rsidR="00D037D5">
              <w:t xml:space="preserve"> of whole numbers</w:t>
            </w:r>
            <w:r w:rsidR="005321B0">
              <w:t xml:space="preserve"> </w:t>
            </w:r>
            <w:r w:rsidR="000F2235">
              <w:t xml:space="preserve">(0–100) </w:t>
            </w:r>
            <w:r w:rsidR="005321B0">
              <w:t xml:space="preserve">and </w:t>
            </w:r>
            <w:r>
              <w:t>edit of the</w:t>
            </w:r>
            <w:r w:rsidR="005321B0">
              <w:t xml:space="preserve"> </w:t>
            </w:r>
            <w:r w:rsidR="000F2235">
              <w:t xml:space="preserve">Antigen Negative </w:t>
            </w:r>
            <w:r w:rsidR="005321B0">
              <w:t>C</w:t>
            </w:r>
            <w:r>
              <w:t xml:space="preserve">ompatibility </w:t>
            </w:r>
            <w:r w:rsidR="005321B0">
              <w:t>P</w:t>
            </w:r>
            <w:r>
              <w:t xml:space="preserve">ercentage </w:t>
            </w:r>
            <w:r w:rsidR="005321B0">
              <w:t xml:space="preserve">and </w:t>
            </w:r>
            <w:r w:rsidR="00435F15">
              <w:t>Higher-Level O</w:t>
            </w:r>
            <w:r>
              <w:t xml:space="preserve">verride </w:t>
            </w:r>
            <w:r w:rsidR="005321B0">
              <w:t>fields.</w:t>
            </w:r>
            <w:r w:rsidR="00EE3F5F">
              <w:t xml:space="preserve"> The user may not edit field</w:t>
            </w:r>
            <w:r w:rsidR="009363FF">
              <w:t>s</w:t>
            </w:r>
            <w:r w:rsidR="00EE3F5F">
              <w:t xml:space="preserve"> </w:t>
            </w:r>
            <w:r w:rsidR="007A3914">
              <w:t xml:space="preserve">displayed </w:t>
            </w:r>
            <w:r w:rsidR="00EE3F5F">
              <w:t>on a gray background.</w:t>
            </w:r>
            <w:r w:rsidR="00B72A6B">
              <w:t xml:space="preserve"> </w:t>
            </w:r>
            <w:r w:rsidR="00B72A6B" w:rsidRPr="00B72A6B">
              <w:rPr>
                <w:vanish/>
              </w:rPr>
              <w:t>Defect 208774</w:t>
            </w:r>
          </w:p>
          <w:p w14:paraId="7B7A211E" w14:textId="77777777" w:rsidR="002A21AE" w:rsidRDefault="002A21AE">
            <w:pPr>
              <w:pStyle w:val="TableText"/>
            </w:pPr>
          </w:p>
          <w:p w14:paraId="175568D9" w14:textId="47E11270" w:rsidR="002A21AE" w:rsidRDefault="002A21AE">
            <w:pPr>
              <w:pStyle w:val="TableText"/>
              <w:rPr>
                <w:b/>
                <w:bCs/>
                <w:szCs w:val="18"/>
              </w:rPr>
            </w:pPr>
            <w:r>
              <w:rPr>
                <w:b/>
                <w:bCs/>
                <w:szCs w:val="18"/>
              </w:rPr>
              <w:t>NOTES</w:t>
            </w:r>
          </w:p>
          <w:p w14:paraId="42A40481" w14:textId="77777777" w:rsidR="002A21AE" w:rsidRDefault="002A21AE">
            <w:pPr>
              <w:pStyle w:val="NotesText"/>
            </w:pPr>
          </w:p>
          <w:p w14:paraId="294DA121" w14:textId="15EE8833" w:rsidR="002A21AE" w:rsidRDefault="002A21AE">
            <w:pPr>
              <w:pStyle w:val="NotesText"/>
            </w:pPr>
            <w:r>
              <w:rPr>
                <w:rFonts w:cs="Arial"/>
                <w:vanish/>
              </w:rPr>
              <w:t xml:space="preserve">BR_23.01 </w:t>
            </w:r>
            <w:r>
              <w:t xml:space="preserve">When </w:t>
            </w:r>
            <w:r w:rsidR="00EE455E">
              <w:t xml:space="preserve">Table </w:t>
            </w:r>
            <w:r w:rsidR="00EE455E">
              <w:rPr>
                <w:noProof/>
              </w:rPr>
              <w:t>14</w:t>
            </w:r>
            <w:r w:rsidR="00EE455E">
              <w:t xml:space="preserve">: </w:t>
            </w:r>
            <w:r w:rsidR="00EE455E">
              <w:rPr>
                <w:vanish/>
              </w:rPr>
              <w:t xml:space="preserve">TT_23.01A </w:t>
            </w:r>
            <w:r w:rsidR="00EE455E">
              <w:t>Antibody and Antigen Table: Irregular Antibodies</w:t>
            </w:r>
            <w:r>
              <w:t xml:space="preserve"> “antibody sets an antigen negative requirement” field is defined as REQ (required) at installation, it is not editable. When the default settings </w:t>
            </w:r>
            <w:r w:rsidR="00702CFB">
              <w:t>are</w:t>
            </w:r>
            <w:r>
              <w:t xml:space="preserve"> OPT (optional), the user may change the name to REQ at any time and it will remain editable. </w:t>
            </w:r>
          </w:p>
        </w:tc>
      </w:tr>
      <w:tr w:rsidR="002A21AE" w14:paraId="1A7AE4FB" w14:textId="77777777">
        <w:tc>
          <w:tcPr>
            <w:tcW w:w="3240" w:type="dxa"/>
          </w:tcPr>
          <w:p w14:paraId="716D807F" w14:textId="77777777" w:rsidR="002A21AE" w:rsidRDefault="002A21AE">
            <w:pPr>
              <w:pStyle w:val="TableTextNumbers"/>
            </w:pPr>
            <w:r>
              <w:t xml:space="preserve">Repeat for each antibody to be edited. </w:t>
            </w:r>
          </w:p>
        </w:tc>
        <w:tc>
          <w:tcPr>
            <w:tcW w:w="6120" w:type="dxa"/>
          </w:tcPr>
          <w:p w14:paraId="10E774DC" w14:textId="77777777" w:rsidR="002A21AE" w:rsidRDefault="002A21AE">
            <w:pPr>
              <w:pStyle w:val="TableText"/>
            </w:pPr>
          </w:p>
        </w:tc>
      </w:tr>
      <w:tr w:rsidR="002A21AE" w14:paraId="3B873311" w14:textId="77777777">
        <w:tc>
          <w:tcPr>
            <w:tcW w:w="3240" w:type="dxa"/>
          </w:tcPr>
          <w:p w14:paraId="77AF287A" w14:textId="77777777" w:rsidR="002A21AE" w:rsidRDefault="002A21AE">
            <w:pPr>
              <w:pStyle w:val="TableTextNumbers"/>
            </w:pPr>
            <w:r>
              <w:t xml:space="preserve">Click </w:t>
            </w:r>
            <w:r>
              <w:rPr>
                <w:b/>
              </w:rPr>
              <w:t>OK</w:t>
            </w:r>
            <w:r>
              <w:t xml:space="preserve"> and </w:t>
            </w:r>
            <w:r>
              <w:rPr>
                <w:b/>
              </w:rPr>
              <w:t>Yes</w:t>
            </w:r>
            <w:r>
              <w:t xml:space="preserve"> to confirm changes and exit. </w:t>
            </w:r>
            <w:r>
              <w:rPr>
                <w:vanish/>
                <w:color w:val="FFFFFF"/>
                <w:szCs w:val="18"/>
              </w:rPr>
              <w:fldChar w:fldCharType="begin"/>
            </w:r>
            <w:r>
              <w:rPr>
                <w:vanish/>
                <w:color w:val="FFFFFF"/>
                <w:szCs w:val="18"/>
              </w:rPr>
              <w:instrText xml:space="preserve"> LISTNUM \l 1 \s 0 </w:instrText>
            </w:r>
            <w:r>
              <w:rPr>
                <w:vanish/>
                <w:color w:val="FFFFFF"/>
                <w:szCs w:val="18"/>
              </w:rPr>
              <w:fldChar w:fldCharType="end">
                <w:numberingChange w:id="200" w:author="MUSZYNSKI, THOMAS D. (SIERRA 7 INC)" w:date="2024-11-26T07:15:00Z" w:original="0."/>
              </w:fldChar>
            </w:r>
          </w:p>
        </w:tc>
        <w:tc>
          <w:tcPr>
            <w:tcW w:w="6120" w:type="dxa"/>
          </w:tcPr>
          <w:p w14:paraId="15B0D279" w14:textId="77777777" w:rsidR="002A21AE" w:rsidRDefault="002A21AE">
            <w:pPr>
              <w:pStyle w:val="TableText"/>
            </w:pPr>
          </w:p>
        </w:tc>
      </w:tr>
    </w:tbl>
    <w:p w14:paraId="4CBED51D" w14:textId="11B1BF07" w:rsidR="006E74F2" w:rsidRDefault="006E74F2" w:rsidP="006E74F2">
      <w:pPr>
        <w:pStyle w:val="Caption"/>
      </w:pPr>
      <w:bookmarkStart w:id="201" w:name="_Ref126471658"/>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7D1829">
        <w:rPr>
          <w:noProof/>
        </w:rPr>
        <w:t>32</w:t>
      </w:r>
      <w:r w:rsidR="004E20BD">
        <w:rPr>
          <w:noProof/>
        </w:rPr>
        <w:fldChar w:fldCharType="end"/>
      </w:r>
      <w:bookmarkEnd w:id="201"/>
      <w:r>
        <w:t>: Maintain Antibodies</w:t>
      </w:r>
    </w:p>
    <w:p w14:paraId="50028D61" w14:textId="77777777" w:rsidR="002A21AE" w:rsidRDefault="00057948">
      <w:pPr>
        <w:pStyle w:val="BodyText"/>
      </w:pPr>
      <w:r>
        <w:rPr>
          <w:noProof/>
        </w:rPr>
        <w:drawing>
          <wp:inline distT="0" distB="0" distL="0" distR="0" wp14:anchorId="5ECC81AD" wp14:editId="07ADCAD2">
            <wp:extent cx="3546475" cy="2835275"/>
            <wp:effectExtent l="0" t="0" r="0" b="3175"/>
            <wp:docPr id="134" name="Picture 134" descr="Example of Maintain Antibodies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Picture 134" descr="Example of Maintain Antibodies screen capture"/>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3546475" cy="2835275"/>
                    </a:xfrm>
                    <a:prstGeom prst="rect">
                      <a:avLst/>
                    </a:prstGeom>
                    <a:noFill/>
                    <a:ln>
                      <a:noFill/>
                    </a:ln>
                  </pic:spPr>
                </pic:pic>
              </a:graphicData>
            </a:graphic>
          </wp:inline>
        </w:drawing>
      </w:r>
    </w:p>
    <w:p w14:paraId="0CF6A5E5" w14:textId="77777777" w:rsidR="002A21AE" w:rsidRDefault="00AF089A" w:rsidP="00A6079E">
      <w:pPr>
        <w:pStyle w:val="Heading2"/>
      </w:pPr>
      <w:bookmarkStart w:id="202" w:name="_Toc63680390"/>
      <w:r>
        <w:br w:type="page"/>
      </w:r>
      <w:bookmarkStart w:id="203" w:name="_Toc203765868"/>
      <w:r w:rsidR="002A21AE">
        <w:lastRenderedPageBreak/>
        <w:t>Canned Comments</w:t>
      </w:r>
      <w:bookmarkEnd w:id="202"/>
      <w:bookmarkEnd w:id="203"/>
      <w:r w:rsidR="002A21AE" w:rsidRPr="00C74523">
        <w:rPr>
          <w:vanish/>
        </w:rPr>
        <w:fldChar w:fldCharType="begin"/>
      </w:r>
      <w:r w:rsidR="002A21AE" w:rsidRPr="00C74523">
        <w:rPr>
          <w:vanish/>
        </w:rPr>
        <w:instrText xml:space="preserve"> XE </w:instrText>
      </w:r>
      <w:r w:rsidR="00FA7E65" w:rsidRPr="00C74523">
        <w:rPr>
          <w:vanish/>
        </w:rPr>
        <w:instrText>“</w:instrText>
      </w:r>
      <w:r w:rsidR="002A21AE" w:rsidRPr="00C74523">
        <w:rPr>
          <w:vanish/>
        </w:rPr>
        <w:instrText>Canned Comments</w:instrText>
      </w:r>
      <w:r w:rsidR="00FA7E65" w:rsidRPr="00C74523">
        <w:rPr>
          <w:vanish/>
        </w:rPr>
        <w:instrText>”</w:instrText>
      </w:r>
      <w:r w:rsidR="002A21AE" w:rsidRPr="00C74523">
        <w:rPr>
          <w:vanish/>
        </w:rPr>
        <w:instrText xml:space="preserve"> </w:instrText>
      </w:r>
      <w:r w:rsidR="002A21AE" w:rsidRPr="00C74523">
        <w:rPr>
          <w:vanish/>
        </w:rPr>
        <w:fldChar w:fldCharType="end"/>
      </w:r>
      <w:r w:rsidR="002A21AE" w:rsidRPr="00C74523">
        <w:rPr>
          <w:vanish/>
        </w:rPr>
        <w:t xml:space="preserve"> </w:t>
      </w:r>
      <w:r w:rsidR="002A21AE" w:rsidRPr="00C74523">
        <w:rPr>
          <w:rFonts w:ascii="Arial Bold" w:hAnsi="Arial Bold"/>
          <w:vanish/>
        </w:rPr>
        <w:t>UC_31</w:t>
      </w:r>
    </w:p>
    <w:p w14:paraId="6D470BFE" w14:textId="77777777" w:rsidR="002A21AE" w:rsidRDefault="002A21AE" w:rsidP="00FA7E65">
      <w:pPr>
        <w:pStyle w:val="BodyText"/>
      </w:pPr>
      <w:r>
        <w:t>The user defines canned comments for a division.</w:t>
      </w:r>
    </w:p>
    <w:p w14:paraId="59A40C41" w14:textId="77777777" w:rsidR="002A21AE" w:rsidRDefault="002A21AE">
      <w:pPr>
        <w:pStyle w:val="Heading4"/>
      </w:pPr>
      <w:r>
        <w:t>Assumptions</w:t>
      </w:r>
    </w:p>
    <w:p w14:paraId="0576F28F" w14:textId="77777777" w:rsidR="002A21AE" w:rsidRDefault="002A21AE">
      <w:pPr>
        <w:pStyle w:val="ListBullet"/>
      </w:pPr>
      <w:r>
        <w:t>None</w:t>
      </w:r>
    </w:p>
    <w:p w14:paraId="3F43FC5D" w14:textId="77777777" w:rsidR="002A21AE" w:rsidRDefault="002A21AE">
      <w:pPr>
        <w:pStyle w:val="Heading4"/>
      </w:pPr>
      <w:r>
        <w:t>Outcome</w:t>
      </w:r>
    </w:p>
    <w:p w14:paraId="2E356044" w14:textId="77777777" w:rsidR="002A21AE" w:rsidRDefault="002A21AE">
      <w:pPr>
        <w:pStyle w:val="ListBullet"/>
      </w:pPr>
      <w:r>
        <w:t>Canned comments for a division are available for selection.</w:t>
      </w:r>
    </w:p>
    <w:p w14:paraId="50BADA6F" w14:textId="77777777" w:rsidR="002A21AE" w:rsidRDefault="002A21AE">
      <w:pPr>
        <w:pStyle w:val="Heading4"/>
      </w:pPr>
      <w:r>
        <w:t>Limitations and Restrictions</w:t>
      </w:r>
    </w:p>
    <w:p w14:paraId="2B5AA3F9" w14:textId="28441C6C" w:rsidR="002F3BCC" w:rsidRDefault="002A21AE" w:rsidP="00C973F9">
      <w:pPr>
        <w:pStyle w:val="ListBullet"/>
      </w:pPr>
      <w:r>
        <w:t>The user may not edit comments</w:t>
      </w:r>
      <w:r w:rsidR="00E47F66">
        <w:t xml:space="preserve"> provided with VBECS </w:t>
      </w:r>
      <w:r>
        <w:t xml:space="preserve">but may create </w:t>
      </w:r>
      <w:r w:rsidR="00B97198">
        <w:t>additional comments</w:t>
      </w:r>
      <w:r>
        <w:t>.</w:t>
      </w:r>
      <w:r w:rsidR="0002020B">
        <w:t xml:space="preserve"> </w:t>
      </w:r>
      <w:r w:rsidR="00C973F9">
        <w:t xml:space="preserve">Although comments can </w:t>
      </w:r>
      <w:r w:rsidR="002211C7">
        <w:t xml:space="preserve">also </w:t>
      </w:r>
      <w:r w:rsidR="00C973F9">
        <w:t xml:space="preserve">be removed, there should remain at least one comment </w:t>
      </w:r>
      <w:r w:rsidR="00B72A6B">
        <w:t xml:space="preserve">per category </w:t>
      </w:r>
      <w:r w:rsidR="00C973F9">
        <w:t>available for selection, (e.g., “Other”).</w:t>
      </w:r>
      <w:r w:rsidR="0002020B">
        <w:t xml:space="preserve"> </w:t>
      </w:r>
      <w:r w:rsidR="0002020B" w:rsidRPr="0002020B">
        <w:rPr>
          <w:vanish/>
        </w:rPr>
        <w:t>Defect 209175</w:t>
      </w:r>
    </w:p>
    <w:p w14:paraId="4F516484" w14:textId="0B5237BE" w:rsidR="002C6BD1" w:rsidRDefault="002C6BD1" w:rsidP="002C6BD1">
      <w:pPr>
        <w:pStyle w:val="ListBullet"/>
      </w:pPr>
      <w:r>
        <w:t>Site personnel must enter comments in accordance with local policy and procedures.</w:t>
      </w:r>
    </w:p>
    <w:p w14:paraId="66099088" w14:textId="3A9BB3CF" w:rsidR="00536609" w:rsidRDefault="003D1011" w:rsidP="002C6BD1">
      <w:pPr>
        <w:pStyle w:val="ListBullet"/>
      </w:pPr>
      <w:r>
        <w:t>Canned comments cannot include an apostrophe (</w:t>
      </w:r>
      <w:r w:rsidR="00413842">
        <w:t>‘</w:t>
      </w:r>
      <w:r>
        <w:t>).</w:t>
      </w:r>
    </w:p>
    <w:p w14:paraId="008A0CB9" w14:textId="77777777" w:rsidR="002A21AE" w:rsidRDefault="002A21AE">
      <w:pPr>
        <w:pStyle w:val="Heading4"/>
      </w:pPr>
      <w:r>
        <w:t>Additional Information</w:t>
      </w:r>
    </w:p>
    <w:p w14:paraId="4B16D6D8" w14:textId="7B59A3F9" w:rsidR="002A21AE" w:rsidRDefault="002A21AE">
      <w:pPr>
        <w:pStyle w:val="ListBullet"/>
      </w:pPr>
      <w:r>
        <w:rPr>
          <w:rFonts w:ascii="Arial" w:hAnsi="Arial" w:cs="Arial"/>
          <w:vanish/>
          <w:spacing w:val="0"/>
          <w:sz w:val="18"/>
        </w:rPr>
        <w:t xml:space="preserve">BR_31.01 </w:t>
      </w:r>
      <w:r>
        <w:t xml:space="preserve">Canned comments are specific to each division. See </w:t>
      </w:r>
      <w:r w:rsidR="00EE455E">
        <w:t xml:space="preserve">Appendix </w:t>
      </w:r>
      <w:r w:rsidR="00EE455E">
        <w:rPr>
          <w:noProof/>
        </w:rPr>
        <w:t>B</w:t>
      </w:r>
      <w:r>
        <w:t xml:space="preserve">: </w:t>
      </w:r>
      <w:r w:rsidR="00EE455E">
        <w:t xml:space="preserve">Table </w:t>
      </w:r>
      <w:r w:rsidR="00EE455E">
        <w:rPr>
          <w:noProof/>
        </w:rPr>
        <w:t>17</w:t>
      </w:r>
      <w:r w:rsidR="00EE455E">
        <w:t xml:space="preserve">: </w:t>
      </w:r>
      <w:r w:rsidR="00EE455E">
        <w:rPr>
          <w:vanish/>
        </w:rPr>
        <w:t xml:space="preserve">PT_31.01 </w:t>
      </w:r>
      <w:r w:rsidR="00EE455E">
        <w:t>Canned Comment Category Types and Message Text</w:t>
      </w:r>
      <w:r w:rsidR="00DA05C9">
        <w:t xml:space="preserve"> </w:t>
      </w:r>
      <w:r>
        <w:t>defines the category types and comments.</w:t>
      </w:r>
    </w:p>
    <w:p w14:paraId="4AB251BA" w14:textId="025160A9" w:rsidR="00EF0B68" w:rsidRDefault="00EF0B68" w:rsidP="00867DFC">
      <w:pPr>
        <w:pStyle w:val="ListBullet"/>
      </w:pPr>
      <w:r w:rsidRPr="00AE3748">
        <w:t xml:space="preserve">Currently, VBECS does not </w:t>
      </w:r>
      <w:r w:rsidR="00867DFC" w:rsidRPr="00AE3748">
        <w:t xml:space="preserve">identify the testing laboratory and include its address on results reports in CPRS. </w:t>
      </w:r>
      <w:r w:rsidR="00D44689">
        <w:t>A</w:t>
      </w:r>
      <w:r w:rsidR="00867DFC" w:rsidRPr="00AE3748">
        <w:t xml:space="preserve"> workaround for the issue is to create Canned Comments for the missing information and apply them to blood bank results.</w:t>
      </w:r>
    </w:p>
    <w:p w14:paraId="463CFACE" w14:textId="77777777" w:rsidR="002A21AE" w:rsidRPr="00AE3748" w:rsidRDefault="002A21AE">
      <w:pPr>
        <w:pStyle w:val="Heading4"/>
        <w:rPr>
          <w:rFonts w:ascii="Times New Roman" w:hAnsi="Times New Roman"/>
          <w:b w:val="0"/>
          <w:spacing w:val="-5"/>
          <w:szCs w:val="22"/>
        </w:rPr>
      </w:pPr>
      <w:r w:rsidRPr="00AE3748">
        <w:rPr>
          <w:rFonts w:ascii="Times New Roman" w:hAnsi="Times New Roman"/>
          <w:b w:val="0"/>
          <w:spacing w:val="-5"/>
          <w:szCs w:val="22"/>
        </w:rPr>
        <w:t>User Roles with Access to This Option</w:t>
      </w:r>
    </w:p>
    <w:p w14:paraId="2C6E8A14" w14:textId="77777777" w:rsidR="002A21AE" w:rsidRDefault="00785DA1">
      <w:pPr>
        <w:pStyle w:val="Roles"/>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Enhanced Supervisor</w:t>
      </w:r>
    </w:p>
    <w:p w14:paraId="27B3E18E" w14:textId="77777777" w:rsidR="002A21AE" w:rsidRDefault="002A21AE">
      <w:pPr>
        <w:pStyle w:val="Heading4"/>
      </w:pPr>
      <w:r>
        <w:t>Canned Comments</w:t>
      </w:r>
    </w:p>
    <w:p w14:paraId="3AE0D895" w14:textId="77777777" w:rsidR="00434F15" w:rsidRPr="00A0090C" w:rsidRDefault="00434F15" w:rsidP="00434F15">
      <w:pPr>
        <w:pStyle w:val="BodyText"/>
      </w:pPr>
      <w:r>
        <w:t xml:space="preserve">It is recommended that the user </w:t>
      </w:r>
      <w:r w:rsidRPr="00A0090C">
        <w:t xml:space="preserve">review the canned comments </w:t>
      </w:r>
      <w:r w:rsidR="0011459B">
        <w:t xml:space="preserve">provided with VBECS </w:t>
      </w:r>
      <w:r w:rsidRPr="00A0090C">
        <w:t xml:space="preserve">for each </w:t>
      </w:r>
      <w:r>
        <w:t>category type</w:t>
      </w:r>
      <w:r w:rsidRPr="00A0090C">
        <w:t xml:space="preserve"> and inactivate those that </w:t>
      </w:r>
      <w:r>
        <w:t>will not be used</w:t>
      </w:r>
      <w:r w:rsidRPr="00A0090C">
        <w:t>.</w:t>
      </w:r>
      <w:r w:rsidR="0011459B">
        <w:t xml:space="preserve"> </w:t>
      </w:r>
    </w:p>
    <w:p w14:paraId="5EE1975B" w14:textId="77777777" w:rsidR="002A21AE" w:rsidRDefault="002A21AE" w:rsidP="00FA7E65">
      <w:pPr>
        <w:pStyle w:val="BodyText"/>
      </w:pPr>
      <w:r>
        <w:t xml:space="preserve">The user creates canned comments to use in lieu of entering text. Canned comments are restricted for selection based on the </w:t>
      </w:r>
      <w:r w:rsidR="0036471F">
        <w:t>category type</w:t>
      </w:r>
      <w:r>
        <w:t xml:space="preserve"> of the comment field. </w:t>
      </w:r>
    </w:p>
    <w:p w14:paraId="0F7865FD" w14:textId="77777777" w:rsidR="002A21AE" w:rsidRDefault="002A21AE" w:rsidP="00FA7E65">
      <w:pPr>
        <w:pStyle w:val="BodyText"/>
      </w:pPr>
      <w:r>
        <w:t>The user may select a comment and has the option to enter explanatory text in the details field.</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4ECF8936" w14:textId="77777777">
        <w:trPr>
          <w:tblHeader/>
        </w:trPr>
        <w:tc>
          <w:tcPr>
            <w:tcW w:w="3240" w:type="dxa"/>
            <w:shd w:val="pct30" w:color="auto" w:fill="FFFFFF"/>
            <w:vAlign w:val="bottom"/>
          </w:tcPr>
          <w:p w14:paraId="18ED4BEA" w14:textId="77777777" w:rsidR="002A21AE" w:rsidRDefault="002A21AE">
            <w:pPr>
              <w:pStyle w:val="TableText"/>
              <w:rPr>
                <w:b/>
              </w:rPr>
            </w:pPr>
            <w:bookmarkStart w:id="204" w:name="_Toc63680392"/>
            <w:r>
              <w:rPr>
                <w:b/>
              </w:rPr>
              <w:t>User Action</w:t>
            </w:r>
          </w:p>
        </w:tc>
        <w:tc>
          <w:tcPr>
            <w:tcW w:w="6120" w:type="dxa"/>
            <w:shd w:val="pct30" w:color="auto" w:fill="FFFFFF"/>
            <w:vAlign w:val="bottom"/>
          </w:tcPr>
          <w:p w14:paraId="628621E7" w14:textId="77777777" w:rsidR="002A21AE" w:rsidRDefault="002A21AE">
            <w:pPr>
              <w:pStyle w:val="TableText"/>
              <w:rPr>
                <w:b/>
              </w:rPr>
            </w:pPr>
            <w:r>
              <w:rPr>
                <w:b/>
              </w:rPr>
              <w:t>VBECS</w:t>
            </w:r>
          </w:p>
        </w:tc>
      </w:tr>
      <w:tr w:rsidR="002A21AE" w14:paraId="0012DE12" w14:textId="77777777">
        <w:tc>
          <w:tcPr>
            <w:tcW w:w="3240" w:type="dxa"/>
          </w:tcPr>
          <w:p w14:paraId="0ACFC4D9" w14:textId="77777777" w:rsidR="002A21AE" w:rsidRDefault="002A21AE">
            <w:pPr>
              <w:pStyle w:val="TableTextNumbers"/>
            </w:pPr>
            <w:r>
              <w:t xml:space="preserve">Select </w:t>
            </w:r>
            <w:r>
              <w:rPr>
                <w:b/>
              </w:rPr>
              <w:t>Tools</w:t>
            </w:r>
            <w:r>
              <w:t xml:space="preserve"> from the main menu.</w:t>
            </w:r>
          </w:p>
          <w:p w14:paraId="5FBF5F58" w14:textId="77777777" w:rsidR="002A21AE" w:rsidRDefault="002A21AE">
            <w:pPr>
              <w:pStyle w:val="TableTextNumbersContinued"/>
            </w:pPr>
          </w:p>
          <w:p w14:paraId="4BB99ABE" w14:textId="77777777" w:rsidR="002A21AE" w:rsidRDefault="002A21AE">
            <w:pPr>
              <w:pStyle w:val="TableTextNumbersContinued"/>
            </w:pPr>
            <w:r>
              <w:t xml:space="preserve">Select </w:t>
            </w:r>
            <w:r>
              <w:rPr>
                <w:b/>
              </w:rPr>
              <w:t>Canned Comments</w:t>
            </w:r>
            <w:r>
              <w:t>.</w:t>
            </w:r>
          </w:p>
        </w:tc>
        <w:tc>
          <w:tcPr>
            <w:tcW w:w="6120" w:type="dxa"/>
          </w:tcPr>
          <w:p w14:paraId="2A725AD1" w14:textId="77777777" w:rsidR="002A21AE" w:rsidRDefault="002A21AE">
            <w:pPr>
              <w:pStyle w:val="TableTextBullet"/>
            </w:pPr>
            <w:r>
              <w:t>Displays options for processing administrative functions.</w:t>
            </w:r>
          </w:p>
        </w:tc>
      </w:tr>
      <w:tr w:rsidR="002A21AE" w14:paraId="5E069D85" w14:textId="77777777">
        <w:tc>
          <w:tcPr>
            <w:tcW w:w="3240" w:type="dxa"/>
          </w:tcPr>
          <w:p w14:paraId="6EDDF95B" w14:textId="458E2D02" w:rsidR="002A21AE" w:rsidRDefault="002A21AE">
            <w:pPr>
              <w:pStyle w:val="TableTextNumbers"/>
            </w:pPr>
            <w:r>
              <w:t>Select a comment category type from the drop-down list</w:t>
            </w:r>
            <w:r w:rsidR="00A9458F">
              <w:t xml:space="preserve"> (</w:t>
            </w:r>
            <w:r w:rsidR="00EE455E">
              <w:t xml:space="preserve">Figure </w:t>
            </w:r>
            <w:r w:rsidR="00EE455E">
              <w:rPr>
                <w:noProof/>
              </w:rPr>
              <w:t>32</w:t>
            </w:r>
            <w:r w:rsidR="00A9458F">
              <w:t>)</w:t>
            </w:r>
            <w:r>
              <w:t>.</w:t>
            </w:r>
          </w:p>
        </w:tc>
        <w:tc>
          <w:tcPr>
            <w:tcW w:w="6120" w:type="dxa"/>
          </w:tcPr>
          <w:p w14:paraId="54B40754" w14:textId="77777777" w:rsidR="002A21AE" w:rsidRDefault="002A21AE">
            <w:pPr>
              <w:pStyle w:val="TableTextBullet"/>
            </w:pPr>
            <w:r>
              <w:t>Lists the category types for canned comments.</w:t>
            </w:r>
          </w:p>
          <w:p w14:paraId="1989FEF4" w14:textId="77777777" w:rsidR="002A21AE" w:rsidRDefault="002A21AE">
            <w:pPr>
              <w:pStyle w:val="TableTextBullet"/>
            </w:pPr>
            <w:r>
              <w:t>Allows the user to create a comment or inactivate an existing one.</w:t>
            </w:r>
          </w:p>
        </w:tc>
      </w:tr>
      <w:tr w:rsidR="002A21AE" w14:paraId="7FAA57A9" w14:textId="77777777" w:rsidTr="007E500E">
        <w:trPr>
          <w:cantSplit/>
        </w:trPr>
        <w:tc>
          <w:tcPr>
            <w:tcW w:w="3240" w:type="dxa"/>
          </w:tcPr>
          <w:p w14:paraId="3ED5F113" w14:textId="77777777" w:rsidR="002A21AE" w:rsidRDefault="002A21AE">
            <w:pPr>
              <w:pStyle w:val="TableTextNumbers"/>
            </w:pPr>
            <w:r>
              <w:lastRenderedPageBreak/>
              <w:t xml:space="preserve">Enter text in the Comment field and click </w:t>
            </w:r>
            <w:r>
              <w:rPr>
                <w:b/>
              </w:rPr>
              <w:t>Add</w:t>
            </w:r>
            <w:r>
              <w:t xml:space="preserve"> to add a comment.</w:t>
            </w:r>
          </w:p>
          <w:p w14:paraId="308E461D" w14:textId="77777777" w:rsidR="002A21AE" w:rsidRDefault="002A21AE">
            <w:pPr>
              <w:pStyle w:val="TableTextNumbersContinued"/>
            </w:pPr>
          </w:p>
          <w:p w14:paraId="5D2482B3" w14:textId="77777777" w:rsidR="002A21AE" w:rsidRDefault="002A21AE">
            <w:pPr>
              <w:pStyle w:val="TableTextNumbersContinued"/>
            </w:pPr>
            <w:r>
              <w:t>Click one or more check boxes to inactivate existing comments.</w:t>
            </w:r>
          </w:p>
        </w:tc>
        <w:tc>
          <w:tcPr>
            <w:tcW w:w="6120" w:type="dxa"/>
          </w:tcPr>
          <w:p w14:paraId="5CB707C2" w14:textId="77777777" w:rsidR="002A21AE" w:rsidRDefault="002A21AE">
            <w:pPr>
              <w:pStyle w:val="TableTextBullet"/>
            </w:pPr>
            <w:r>
              <w:t>Displays entered data and allows the user to edit them before saving.</w:t>
            </w:r>
          </w:p>
          <w:p w14:paraId="74B18B8B" w14:textId="77777777" w:rsidR="000144A0" w:rsidRDefault="000144A0" w:rsidP="000144A0">
            <w:pPr>
              <w:pStyle w:val="TableText"/>
            </w:pPr>
          </w:p>
          <w:p w14:paraId="5A434D2E" w14:textId="208D1F0B" w:rsidR="000144A0" w:rsidRDefault="000144A0" w:rsidP="000144A0">
            <w:pPr>
              <w:pStyle w:val="TableText"/>
              <w:rPr>
                <w:b/>
                <w:bCs/>
                <w:szCs w:val="18"/>
              </w:rPr>
            </w:pPr>
            <w:r>
              <w:rPr>
                <w:b/>
                <w:bCs/>
                <w:szCs w:val="18"/>
              </w:rPr>
              <w:t>NOTES</w:t>
            </w:r>
          </w:p>
          <w:p w14:paraId="62F4B6F3" w14:textId="77777777" w:rsidR="000144A0" w:rsidRDefault="000144A0" w:rsidP="000144A0">
            <w:pPr>
              <w:pStyle w:val="NotesText"/>
            </w:pPr>
          </w:p>
          <w:p w14:paraId="611B6EED" w14:textId="77777777" w:rsidR="002A21AE" w:rsidRDefault="002A21AE">
            <w:pPr>
              <w:pStyle w:val="NotesText"/>
            </w:pPr>
            <w:r>
              <w:rPr>
                <w:vanish/>
                <w:szCs w:val="18"/>
              </w:rPr>
              <w:t xml:space="preserve">BR_31.03, BR_31.04, BR_31.06, BR_31.05, BR_31.02 </w:t>
            </w:r>
            <w:r>
              <w:t>A user may:</w:t>
            </w:r>
          </w:p>
          <w:p w14:paraId="747B7474" w14:textId="77777777" w:rsidR="002A21AE" w:rsidRDefault="002A21AE">
            <w:pPr>
              <w:pStyle w:val="NotesTextBullet"/>
            </w:pPr>
            <w:r>
              <w:t>Add canned comments.</w:t>
            </w:r>
          </w:p>
          <w:p w14:paraId="3F2F77BB" w14:textId="77777777" w:rsidR="002A21AE" w:rsidRDefault="002A21AE">
            <w:pPr>
              <w:pStyle w:val="NotesTextBullet"/>
            </w:pPr>
            <w:r>
              <w:t>Inactivate canned comments.</w:t>
            </w:r>
          </w:p>
          <w:p w14:paraId="1B1128DD" w14:textId="77777777" w:rsidR="002A21AE" w:rsidRDefault="002A21AE">
            <w:pPr>
              <w:pStyle w:val="NotesTextBullet"/>
            </w:pPr>
            <w:r>
              <w:t>Reactivate inactive comments.</w:t>
            </w:r>
          </w:p>
          <w:p w14:paraId="7C595749" w14:textId="77777777" w:rsidR="002A21AE" w:rsidRDefault="002A21AE">
            <w:pPr>
              <w:pStyle w:val="NotesTextBullet"/>
            </w:pPr>
            <w:r>
              <w:t>View inactive comments and dates of inactivation.</w:t>
            </w:r>
          </w:p>
          <w:p w14:paraId="0A7683C8" w14:textId="77777777" w:rsidR="002A21AE" w:rsidRDefault="002A21AE" w:rsidP="000144A0">
            <w:pPr>
              <w:pStyle w:val="NotesTextBullet"/>
            </w:pPr>
            <w:r>
              <w:t>Control the order in which VBECS displays comments in a context.</w:t>
            </w:r>
          </w:p>
        </w:tc>
      </w:tr>
      <w:tr w:rsidR="002A21AE" w14:paraId="57D8AFD8" w14:textId="77777777">
        <w:tc>
          <w:tcPr>
            <w:tcW w:w="3240" w:type="dxa"/>
          </w:tcPr>
          <w:p w14:paraId="44F1DD97" w14:textId="1C0407A3" w:rsidR="002A21AE" w:rsidRDefault="002A21AE">
            <w:pPr>
              <w:pStyle w:val="TableTextNumbers"/>
            </w:pPr>
            <w:r>
              <w:t xml:space="preserve">Click the </w:t>
            </w:r>
            <w:r>
              <w:rPr>
                <w:b/>
              </w:rPr>
              <w:t xml:space="preserve">Show </w:t>
            </w:r>
            <w:r w:rsidR="00430715">
              <w:rPr>
                <w:b/>
              </w:rPr>
              <w:t>I</w:t>
            </w:r>
            <w:r>
              <w:rPr>
                <w:b/>
              </w:rPr>
              <w:t xml:space="preserve">nactive Comments </w:t>
            </w:r>
            <w:r w:rsidRPr="00D1100E">
              <w:t>check box</w:t>
            </w:r>
            <w:r>
              <w:t xml:space="preserve"> to view inactive comments.</w:t>
            </w:r>
          </w:p>
          <w:p w14:paraId="0DCEB29D" w14:textId="77777777" w:rsidR="002A21AE" w:rsidRDefault="002A21AE">
            <w:pPr>
              <w:pStyle w:val="TableTextNumbersContinued"/>
            </w:pPr>
          </w:p>
          <w:p w14:paraId="4DA6F2D2" w14:textId="77777777" w:rsidR="002A21AE" w:rsidRDefault="002A21AE">
            <w:pPr>
              <w:pStyle w:val="TableTextNumbersContinued"/>
            </w:pPr>
            <w:r>
              <w:t>Click one or more check boxes to reactivate inactive comments.</w:t>
            </w:r>
          </w:p>
        </w:tc>
        <w:tc>
          <w:tcPr>
            <w:tcW w:w="6120" w:type="dxa"/>
          </w:tcPr>
          <w:p w14:paraId="18BE4E90" w14:textId="77777777" w:rsidR="002A21AE" w:rsidRDefault="002A21AE">
            <w:pPr>
              <w:pStyle w:val="TableTextBullet"/>
            </w:pPr>
            <w:r>
              <w:t>Displays inactive comments and allows the user to reactivate them.</w:t>
            </w:r>
          </w:p>
        </w:tc>
      </w:tr>
      <w:tr w:rsidR="002A21AE" w14:paraId="76575D76" w14:textId="77777777">
        <w:tc>
          <w:tcPr>
            <w:tcW w:w="3240" w:type="dxa"/>
          </w:tcPr>
          <w:p w14:paraId="2EDEE0E3" w14:textId="113D56D3" w:rsidR="002A21AE" w:rsidRDefault="002A21AE">
            <w:pPr>
              <w:pStyle w:val="TableTextNumbers"/>
            </w:pPr>
            <w:r>
              <w:t>Repeat Steps 2</w:t>
            </w:r>
            <w:r w:rsidR="004F5589">
              <w:t xml:space="preserve"> through </w:t>
            </w:r>
            <w:r>
              <w:t xml:space="preserve">4, as needed. </w:t>
            </w:r>
          </w:p>
          <w:p w14:paraId="37664220" w14:textId="77777777" w:rsidR="002A21AE" w:rsidRDefault="002A21AE">
            <w:pPr>
              <w:pStyle w:val="TableTextNumbersContinued"/>
            </w:pPr>
          </w:p>
          <w:p w14:paraId="6903A169" w14:textId="77777777" w:rsidR="002A21AE" w:rsidRDefault="002A21AE">
            <w:pPr>
              <w:pStyle w:val="TableTextNumbersContinued"/>
            </w:pPr>
            <w:r>
              <w:t xml:space="preserve">Click </w:t>
            </w:r>
            <w:r>
              <w:rPr>
                <w:b/>
              </w:rPr>
              <w:t>OK</w:t>
            </w:r>
            <w:r>
              <w:t xml:space="preserve"> and </w:t>
            </w:r>
            <w:r>
              <w:rPr>
                <w:b/>
              </w:rPr>
              <w:t>Yes</w:t>
            </w:r>
            <w:r>
              <w:t xml:space="preserve"> to save and exit, or </w:t>
            </w:r>
            <w:r>
              <w:rPr>
                <w:b/>
              </w:rPr>
              <w:t>Cancel</w:t>
            </w:r>
            <w:r>
              <w:t xml:space="preserve"> to exit without saving. </w:t>
            </w:r>
            <w:r>
              <w:rPr>
                <w:vanish/>
                <w:color w:val="FFFFFF"/>
                <w:szCs w:val="18"/>
              </w:rPr>
              <w:fldChar w:fldCharType="begin"/>
            </w:r>
            <w:r>
              <w:rPr>
                <w:vanish/>
                <w:color w:val="FFFFFF"/>
                <w:szCs w:val="18"/>
              </w:rPr>
              <w:instrText xml:space="preserve"> LISTNUM \l 1 \s 0 </w:instrText>
            </w:r>
            <w:r>
              <w:rPr>
                <w:vanish/>
                <w:color w:val="FFFFFF"/>
                <w:szCs w:val="18"/>
              </w:rPr>
              <w:fldChar w:fldCharType="end">
                <w:numberingChange w:id="205" w:author="MUSZYNSKI, THOMAS D. (SIERRA 7 INC)" w:date="2024-11-26T07:15:00Z" w:original="0."/>
              </w:fldChar>
            </w:r>
          </w:p>
        </w:tc>
        <w:tc>
          <w:tcPr>
            <w:tcW w:w="6120" w:type="dxa"/>
          </w:tcPr>
          <w:p w14:paraId="4B54268A" w14:textId="77777777" w:rsidR="002A21AE" w:rsidRDefault="002A21AE">
            <w:pPr>
              <w:pStyle w:val="TableTextBullet"/>
            </w:pPr>
            <w:r>
              <w:t>Updates the database.</w:t>
            </w:r>
          </w:p>
        </w:tc>
      </w:tr>
    </w:tbl>
    <w:p w14:paraId="10A97633" w14:textId="06DAC17F" w:rsidR="00A9458F" w:rsidRDefault="00A9458F" w:rsidP="00A9458F">
      <w:pPr>
        <w:pStyle w:val="Caption"/>
      </w:pPr>
      <w:bookmarkStart w:id="206" w:name="_Ref126471989"/>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7D1829">
        <w:rPr>
          <w:noProof/>
        </w:rPr>
        <w:t>33</w:t>
      </w:r>
      <w:r w:rsidR="004E20BD">
        <w:rPr>
          <w:noProof/>
        </w:rPr>
        <w:fldChar w:fldCharType="end"/>
      </w:r>
      <w:bookmarkEnd w:id="206"/>
      <w:r>
        <w:t>: Maintain Comments</w:t>
      </w:r>
    </w:p>
    <w:p w14:paraId="50283F98" w14:textId="77777777" w:rsidR="002A21AE" w:rsidRDefault="00057948" w:rsidP="0066425F">
      <w:pPr>
        <w:pStyle w:val="BodyText"/>
      </w:pPr>
      <w:r>
        <w:rPr>
          <w:noProof/>
        </w:rPr>
        <w:drawing>
          <wp:inline distT="0" distB="0" distL="0" distR="0" wp14:anchorId="4424B221" wp14:editId="03F03E64">
            <wp:extent cx="3657600" cy="3315970"/>
            <wp:effectExtent l="0" t="0" r="0" b="0"/>
            <wp:docPr id="135" name="Picture 135" descr="Example of Maintain Comments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Picture 135" descr="Example of Maintain Comments screen capture"/>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3657600" cy="3315970"/>
                    </a:xfrm>
                    <a:prstGeom prst="rect">
                      <a:avLst/>
                    </a:prstGeom>
                    <a:noFill/>
                    <a:ln>
                      <a:noFill/>
                    </a:ln>
                  </pic:spPr>
                </pic:pic>
              </a:graphicData>
            </a:graphic>
          </wp:inline>
        </w:drawing>
      </w:r>
    </w:p>
    <w:p w14:paraId="331C857C" w14:textId="77777777" w:rsidR="002A21AE" w:rsidRDefault="00AF089A">
      <w:pPr>
        <w:pStyle w:val="Heading2"/>
      </w:pPr>
      <w:r>
        <w:br w:type="page"/>
      </w:r>
      <w:bookmarkStart w:id="207" w:name="_Toc203765869"/>
      <w:r w:rsidR="002A21AE">
        <w:lastRenderedPageBreak/>
        <w:t>Setting Transfusion Parameters</w:t>
      </w:r>
      <w:bookmarkEnd w:id="204"/>
      <w:bookmarkEnd w:id="207"/>
      <w:r w:rsidR="002A21AE">
        <w:fldChar w:fldCharType="begin"/>
      </w:r>
      <w:r w:rsidR="002A21AE">
        <w:instrText xml:space="preserve"> XE </w:instrText>
      </w:r>
      <w:r w:rsidR="00FA7E65">
        <w:instrText>“</w:instrText>
      </w:r>
      <w:r w:rsidR="002A21AE">
        <w:instrText>Setting Transfusion Parameters</w:instrText>
      </w:r>
      <w:r w:rsidR="00FA7E65">
        <w:instrText>”</w:instrText>
      </w:r>
      <w:r w:rsidR="002A21AE">
        <w:instrText xml:space="preserve"> </w:instrText>
      </w:r>
      <w:r w:rsidR="002A21AE">
        <w:fldChar w:fldCharType="end"/>
      </w:r>
    </w:p>
    <w:p w14:paraId="6839A2A9" w14:textId="77777777" w:rsidR="002A21AE" w:rsidRDefault="002A21AE">
      <w:pPr>
        <w:pStyle w:val="Heading3"/>
      </w:pPr>
      <w:bookmarkStart w:id="208" w:name="_Toc203765870"/>
      <w:r>
        <w:t>Transfusion Complications</w:t>
      </w:r>
      <w:bookmarkEnd w:id="208"/>
      <w:r w:rsidRPr="0050203A">
        <w:rPr>
          <w:rFonts w:ascii="Arial Bold" w:hAnsi="Arial Bold"/>
          <w:vanish/>
        </w:rPr>
        <w:fldChar w:fldCharType="begin"/>
      </w:r>
      <w:r w:rsidRPr="0050203A">
        <w:rPr>
          <w:rFonts w:ascii="Arial Bold" w:hAnsi="Arial Bold"/>
          <w:vanish/>
        </w:rPr>
        <w:instrText xml:space="preserve"> XE </w:instrText>
      </w:r>
      <w:r w:rsidR="00FA7E65" w:rsidRPr="0050203A">
        <w:rPr>
          <w:rFonts w:ascii="Arial Bold" w:hAnsi="Arial Bold"/>
          <w:vanish/>
        </w:rPr>
        <w:instrText>“</w:instrText>
      </w:r>
      <w:r w:rsidRPr="0050203A">
        <w:rPr>
          <w:rFonts w:ascii="Arial Bold" w:hAnsi="Arial Bold"/>
          <w:vanish/>
        </w:rPr>
        <w:instrText>Transfusion Complications</w:instrText>
      </w:r>
      <w:r w:rsidR="00FA7E65" w:rsidRPr="0050203A">
        <w:rPr>
          <w:rFonts w:ascii="Arial Bold" w:hAnsi="Arial Bold"/>
          <w:vanish/>
        </w:rPr>
        <w:instrText>”</w:instrText>
      </w:r>
      <w:r w:rsidRPr="0050203A">
        <w:rPr>
          <w:rFonts w:ascii="Arial Bold" w:hAnsi="Arial Bold"/>
          <w:vanish/>
        </w:rPr>
        <w:instrText xml:space="preserve"> </w:instrText>
      </w:r>
      <w:r w:rsidRPr="0050203A">
        <w:rPr>
          <w:rFonts w:ascii="Arial Bold" w:hAnsi="Arial Bold"/>
          <w:vanish/>
        </w:rPr>
        <w:fldChar w:fldCharType="end"/>
      </w:r>
      <w:r w:rsidRPr="0050203A">
        <w:rPr>
          <w:rFonts w:ascii="Arial Bold" w:hAnsi="Arial Bold"/>
          <w:vanish/>
        </w:rPr>
        <w:t xml:space="preserve"> UC_34</w:t>
      </w:r>
    </w:p>
    <w:p w14:paraId="06222B94" w14:textId="2C171C27" w:rsidR="002A21AE" w:rsidRDefault="002A21AE" w:rsidP="00FA7E65">
      <w:pPr>
        <w:pStyle w:val="BodyText"/>
      </w:pPr>
      <w:r>
        <w:t xml:space="preserve">The user defines Laboratory tests and threshold values used to generate a report listing patients who were transfused within a specified period and who may have developed a transfusion-associated disease. </w:t>
      </w:r>
      <w:r w:rsidR="00E90A01">
        <w:t xml:space="preserve">For additional information, see </w:t>
      </w:r>
      <w:r w:rsidR="00EE455E">
        <w:t xml:space="preserve">Appendix </w:t>
      </w:r>
      <w:r w:rsidR="00EE455E">
        <w:rPr>
          <w:noProof/>
        </w:rPr>
        <w:t>G</w:t>
      </w:r>
      <w:r w:rsidR="00EE455E">
        <w:t>: Work Process Flowcharts</w:t>
      </w:r>
      <w:r w:rsidR="00E90A01">
        <w:t>.</w:t>
      </w:r>
    </w:p>
    <w:p w14:paraId="67EE7BBE" w14:textId="77777777" w:rsidR="002A21AE" w:rsidRDefault="002A21AE">
      <w:pPr>
        <w:pStyle w:val="Heading4"/>
      </w:pPr>
      <w:r>
        <w:t>Assumptions</w:t>
      </w:r>
    </w:p>
    <w:p w14:paraId="430E23F4" w14:textId="77777777" w:rsidR="002A21AE" w:rsidRDefault="00CA0045">
      <w:pPr>
        <w:pStyle w:val="ListBullet"/>
      </w:pPr>
      <w:r w:rsidRPr="00CA0045">
        <w:rPr>
          <w:bCs/>
        </w:rPr>
        <w:t>VistA</w:t>
      </w:r>
      <w:r w:rsidR="002A21AE">
        <w:t xml:space="preserve"> tests are defined.</w:t>
      </w:r>
    </w:p>
    <w:p w14:paraId="1086321E" w14:textId="77777777" w:rsidR="002A21AE" w:rsidRDefault="002A21AE">
      <w:pPr>
        <w:pStyle w:val="ListBullet"/>
      </w:pPr>
      <w:r>
        <w:t xml:space="preserve">The connection to </w:t>
      </w:r>
      <w:r w:rsidR="00CA0045" w:rsidRPr="00CA0045">
        <w:rPr>
          <w:bCs/>
        </w:rPr>
        <w:t>VistA</w:t>
      </w:r>
      <w:r>
        <w:t xml:space="preserve"> is active.</w:t>
      </w:r>
    </w:p>
    <w:p w14:paraId="073D60A6" w14:textId="77777777" w:rsidR="002A21AE" w:rsidRDefault="002A21AE">
      <w:pPr>
        <w:pStyle w:val="Heading4"/>
      </w:pPr>
      <w:r>
        <w:t>Outcome</w:t>
      </w:r>
    </w:p>
    <w:p w14:paraId="58B1792D" w14:textId="77777777" w:rsidR="002A21AE" w:rsidRDefault="002A21AE">
      <w:pPr>
        <w:pStyle w:val="ListBullet"/>
      </w:pPr>
      <w:r>
        <w:t>Parameters are defined for future Transfusion Complication Reports.</w:t>
      </w:r>
    </w:p>
    <w:p w14:paraId="2B828805" w14:textId="77777777" w:rsidR="002A21AE" w:rsidRDefault="002A21AE">
      <w:pPr>
        <w:pStyle w:val="Heading4"/>
      </w:pPr>
      <w:r>
        <w:t>Limitations and Restrictions</w:t>
      </w:r>
    </w:p>
    <w:p w14:paraId="49A8E508" w14:textId="77777777" w:rsidR="002A21AE" w:rsidRDefault="002A21AE">
      <w:pPr>
        <w:pStyle w:val="ListBullet"/>
      </w:pPr>
      <w:r>
        <w:t>None</w:t>
      </w:r>
    </w:p>
    <w:p w14:paraId="6F674D1A" w14:textId="77777777" w:rsidR="002A21AE" w:rsidRDefault="002A21AE">
      <w:pPr>
        <w:pStyle w:val="Heading4"/>
      </w:pPr>
      <w:r>
        <w:t>Additional Information</w:t>
      </w:r>
    </w:p>
    <w:p w14:paraId="6905DF8B" w14:textId="06ECFF11" w:rsidR="002A21AE" w:rsidRDefault="00E35EAC" w:rsidP="00E35EAC">
      <w:pPr>
        <w:pStyle w:val="ListBullet"/>
      </w:pPr>
      <w:r>
        <w:t>None</w:t>
      </w:r>
    </w:p>
    <w:p w14:paraId="215DD680" w14:textId="77777777" w:rsidR="002A21AE" w:rsidRDefault="002A21AE">
      <w:pPr>
        <w:pStyle w:val="Heading4"/>
      </w:pPr>
      <w:r>
        <w:t>User Roles with Access to This Option</w:t>
      </w:r>
    </w:p>
    <w:p w14:paraId="27FAC1C5" w14:textId="77777777" w:rsidR="002A21AE" w:rsidRDefault="00804DED">
      <w:pPr>
        <w:pStyle w:val="Roles"/>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Enhanced Supervisor</w:t>
      </w:r>
    </w:p>
    <w:p w14:paraId="59E8712A" w14:textId="77777777" w:rsidR="002A21AE" w:rsidRDefault="002A21AE">
      <w:pPr>
        <w:pStyle w:val="Heading4"/>
      </w:pPr>
      <w:r>
        <w:t>Transfusion Complications</w:t>
      </w:r>
    </w:p>
    <w:p w14:paraId="454A46DA" w14:textId="77777777" w:rsidR="002A21AE" w:rsidRDefault="002A21AE" w:rsidP="00FA7E65">
      <w:pPr>
        <w:pStyle w:val="BodyText"/>
      </w:pPr>
      <w:r>
        <w:t>The user defines Laboratory tests for use in the transfusion complication table.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2FF18642" w14:textId="77777777">
        <w:trPr>
          <w:tblHeader/>
        </w:trPr>
        <w:tc>
          <w:tcPr>
            <w:tcW w:w="3240" w:type="dxa"/>
            <w:shd w:val="pct30" w:color="auto" w:fill="FFFFFF"/>
            <w:vAlign w:val="bottom"/>
          </w:tcPr>
          <w:p w14:paraId="4D8CF6EE" w14:textId="77777777" w:rsidR="002A21AE" w:rsidRDefault="002A21AE">
            <w:pPr>
              <w:pStyle w:val="TableText"/>
              <w:rPr>
                <w:b/>
              </w:rPr>
            </w:pPr>
            <w:r>
              <w:rPr>
                <w:b/>
              </w:rPr>
              <w:t>User Action</w:t>
            </w:r>
          </w:p>
        </w:tc>
        <w:tc>
          <w:tcPr>
            <w:tcW w:w="6120" w:type="dxa"/>
            <w:shd w:val="pct30" w:color="auto" w:fill="FFFFFF"/>
            <w:vAlign w:val="bottom"/>
          </w:tcPr>
          <w:p w14:paraId="33E9EB38" w14:textId="77777777" w:rsidR="002A21AE" w:rsidRDefault="002A21AE">
            <w:pPr>
              <w:pStyle w:val="TableText"/>
              <w:rPr>
                <w:b/>
              </w:rPr>
            </w:pPr>
            <w:r>
              <w:rPr>
                <w:b/>
              </w:rPr>
              <w:t>VBECS</w:t>
            </w:r>
          </w:p>
        </w:tc>
      </w:tr>
      <w:tr w:rsidR="002A21AE" w14:paraId="28BEE293" w14:textId="77777777">
        <w:tc>
          <w:tcPr>
            <w:tcW w:w="3240" w:type="dxa"/>
          </w:tcPr>
          <w:p w14:paraId="5FB84D51" w14:textId="77777777" w:rsidR="002A21AE" w:rsidRDefault="002A21AE">
            <w:pPr>
              <w:pStyle w:val="TableTextNumbers"/>
            </w:pPr>
            <w:r>
              <w:t xml:space="preserve">Select </w:t>
            </w:r>
            <w:r>
              <w:rPr>
                <w:b/>
                <w:bCs/>
              </w:rPr>
              <w:t>Tools</w:t>
            </w:r>
            <w:r>
              <w:t xml:space="preserve"> from the main menu.</w:t>
            </w:r>
          </w:p>
          <w:p w14:paraId="3C7B173C" w14:textId="77777777" w:rsidR="002A21AE" w:rsidRDefault="002A21AE">
            <w:pPr>
              <w:pStyle w:val="TableTextNumbersContinued"/>
              <w:rPr>
                <w:b/>
                <w:bCs/>
              </w:rPr>
            </w:pPr>
          </w:p>
          <w:p w14:paraId="59372778" w14:textId="77777777" w:rsidR="002A21AE" w:rsidRDefault="002A21AE">
            <w:pPr>
              <w:pStyle w:val="TableTextNumbersContinued"/>
            </w:pPr>
            <w:r>
              <w:t xml:space="preserve">Select </w:t>
            </w:r>
            <w:r>
              <w:rPr>
                <w:b/>
              </w:rPr>
              <w:t>Transfusion Complications</w:t>
            </w:r>
            <w:r>
              <w:t>.</w:t>
            </w:r>
          </w:p>
        </w:tc>
        <w:tc>
          <w:tcPr>
            <w:tcW w:w="6120" w:type="dxa"/>
          </w:tcPr>
          <w:p w14:paraId="33F21C28" w14:textId="77777777" w:rsidR="002A21AE" w:rsidRDefault="002A21AE">
            <w:pPr>
              <w:pStyle w:val="TableTextBullet"/>
            </w:pPr>
            <w:r>
              <w:t>Displays options for processing administrative functions.</w:t>
            </w:r>
          </w:p>
          <w:p w14:paraId="6A2F0425" w14:textId="77777777" w:rsidR="002A21AE" w:rsidRDefault="002A21AE">
            <w:pPr>
              <w:pStyle w:val="TableTextBullet"/>
            </w:pPr>
            <w:r>
              <w:t>Displays fields for entering transfusion complication threshold data.</w:t>
            </w:r>
          </w:p>
        </w:tc>
      </w:tr>
      <w:tr w:rsidR="002A21AE" w14:paraId="5AE838BC" w14:textId="77777777">
        <w:tc>
          <w:tcPr>
            <w:tcW w:w="3240" w:type="dxa"/>
          </w:tcPr>
          <w:p w14:paraId="3E06E0CB" w14:textId="77777777" w:rsidR="002A21AE" w:rsidRDefault="002A21AE">
            <w:pPr>
              <w:pStyle w:val="TableTextNumbers"/>
            </w:pPr>
            <w:r>
              <w:t xml:space="preserve">Click the </w:t>
            </w:r>
            <w:r w:rsidR="00A6373D">
              <w:rPr>
                <w:b/>
              </w:rPr>
              <w:t>find</w:t>
            </w:r>
            <w:r w:rsidRPr="00BF2E41">
              <w:t xml:space="preserve"> button</w:t>
            </w:r>
            <w:r>
              <w:t xml:space="preserve"> to search for a Laboratory test.</w:t>
            </w:r>
          </w:p>
          <w:p w14:paraId="28EA98D9" w14:textId="77777777" w:rsidR="002A21AE" w:rsidRDefault="002A21AE">
            <w:pPr>
              <w:pStyle w:val="TableTextNumbersContinued"/>
            </w:pPr>
          </w:p>
          <w:p w14:paraId="4AF69326" w14:textId="77777777" w:rsidR="002A21AE" w:rsidRDefault="002A21AE">
            <w:pPr>
              <w:pStyle w:val="TableTextNumbersContinued"/>
            </w:pPr>
            <w:r>
              <w:t>Select a test.</w:t>
            </w:r>
          </w:p>
          <w:p w14:paraId="7077FC3B" w14:textId="77777777" w:rsidR="002A21AE" w:rsidRDefault="002A21AE">
            <w:pPr>
              <w:pStyle w:val="TableTextNumbersContinued"/>
            </w:pPr>
          </w:p>
          <w:p w14:paraId="4614650F" w14:textId="77777777" w:rsidR="002A21AE" w:rsidRDefault="002A21AE">
            <w:pPr>
              <w:pStyle w:val="TableTextNumbersContinued"/>
            </w:pPr>
            <w:r>
              <w:t xml:space="preserve">Click </w:t>
            </w:r>
            <w:r>
              <w:rPr>
                <w:b/>
              </w:rPr>
              <w:t>OK</w:t>
            </w:r>
            <w:r>
              <w:t>.</w:t>
            </w:r>
          </w:p>
        </w:tc>
        <w:tc>
          <w:tcPr>
            <w:tcW w:w="6120" w:type="dxa"/>
          </w:tcPr>
          <w:p w14:paraId="1775D395" w14:textId="77777777" w:rsidR="0048718E" w:rsidRDefault="002A21AE">
            <w:pPr>
              <w:pStyle w:val="TableTextBullet"/>
            </w:pPr>
            <w:r>
              <w:t xml:space="preserve">Allows the user to edit or add previously defined tests for use in a Transfusion Complication Report. </w:t>
            </w:r>
          </w:p>
          <w:p w14:paraId="1E42BA85" w14:textId="77777777" w:rsidR="00CB6A89" w:rsidRDefault="00CB6A89" w:rsidP="00CB6A89">
            <w:pPr>
              <w:pStyle w:val="TableText"/>
              <w:rPr>
                <w:b/>
                <w:bCs/>
                <w:szCs w:val="18"/>
              </w:rPr>
            </w:pPr>
          </w:p>
          <w:p w14:paraId="00FA4D6C" w14:textId="60EC9FFE" w:rsidR="00CB6A89" w:rsidRDefault="00CB6A89" w:rsidP="00CB6A89">
            <w:pPr>
              <w:pStyle w:val="TableText"/>
              <w:rPr>
                <w:b/>
                <w:bCs/>
                <w:szCs w:val="18"/>
              </w:rPr>
            </w:pPr>
            <w:r>
              <w:rPr>
                <w:b/>
                <w:bCs/>
                <w:szCs w:val="18"/>
              </w:rPr>
              <w:t>NOTES</w:t>
            </w:r>
          </w:p>
          <w:p w14:paraId="1D78D831" w14:textId="77777777" w:rsidR="00CB6A89" w:rsidRDefault="00CB6A89" w:rsidP="00CB6A89">
            <w:pPr>
              <w:pStyle w:val="NotesText"/>
            </w:pPr>
          </w:p>
          <w:p w14:paraId="400A8CDE" w14:textId="77777777" w:rsidR="002A21AE" w:rsidRDefault="00CB6A89" w:rsidP="00CB6A89">
            <w:pPr>
              <w:pStyle w:val="TableTextBullet"/>
              <w:numPr>
                <w:ilvl w:val="0"/>
                <w:numId w:val="0"/>
              </w:numPr>
              <w:ind w:left="720" w:hanging="720"/>
              <w:rPr>
                <w:rFonts w:ascii="MS Shell Dlg 2" w:hAnsi="MS Shell Dlg 2"/>
                <w:color w:val="000000"/>
                <w:szCs w:val="18"/>
              </w:rPr>
            </w:pPr>
            <w:r w:rsidRPr="00D0406D">
              <w:rPr>
                <w:rFonts w:cs="Arial"/>
                <w:vanish/>
              </w:rPr>
              <w:t>BR_34</w:t>
            </w:r>
            <w:r w:rsidR="00E170B3" w:rsidRPr="00D0406D">
              <w:rPr>
                <w:rFonts w:cs="Arial"/>
                <w:vanish/>
              </w:rPr>
              <w:t>.03, DR 4364</w:t>
            </w:r>
            <w:r w:rsidR="0048718E" w:rsidRPr="00D0406D">
              <w:tab/>
              <w:t xml:space="preserve">VBECS displays the </w:t>
            </w:r>
            <w:r w:rsidR="0043684E">
              <w:t xml:space="preserve">entered </w:t>
            </w:r>
            <w:r w:rsidR="0048718E" w:rsidRPr="00D0406D">
              <w:t>l</w:t>
            </w:r>
            <w:r w:rsidR="009C4F04">
              <w:t xml:space="preserve">aboratory test names in all uppercase </w:t>
            </w:r>
            <w:r w:rsidR="00A403FD">
              <w:t>letters</w:t>
            </w:r>
            <w:r w:rsidR="0048718E" w:rsidRPr="00D0406D">
              <w:t xml:space="preserve">. The retrieval of lab tests </w:t>
            </w:r>
            <w:r w:rsidR="00A1211F">
              <w:t>occurs</w:t>
            </w:r>
            <w:r w:rsidR="009C4F04">
              <w:t xml:space="preserve"> in VistA </w:t>
            </w:r>
            <w:r w:rsidR="0048718E" w:rsidRPr="00D0406D">
              <w:t>and results for the Transfusion Complications Report are not case sensitive. There is a limit of 25 active entries. (If the user enters all of the available results for the test, he can get results that are not filtered by VBECS.)</w:t>
            </w:r>
          </w:p>
          <w:p w14:paraId="6FCB0769" w14:textId="77777777" w:rsidR="00CB6A89" w:rsidRPr="00CB6A89" w:rsidRDefault="00CB6A89" w:rsidP="00CB6A89">
            <w:pPr>
              <w:pStyle w:val="TableTextBullet"/>
              <w:numPr>
                <w:ilvl w:val="0"/>
                <w:numId w:val="0"/>
              </w:numPr>
              <w:ind w:left="720" w:hanging="720"/>
              <w:rPr>
                <w:rFonts w:ascii="MS Shell Dlg 2" w:hAnsi="MS Shell Dlg 2"/>
                <w:color w:val="000000"/>
                <w:szCs w:val="18"/>
              </w:rPr>
            </w:pPr>
          </w:p>
        </w:tc>
      </w:tr>
      <w:tr w:rsidR="002A21AE" w14:paraId="00F19155" w14:textId="77777777" w:rsidTr="006C058D">
        <w:trPr>
          <w:cantSplit/>
        </w:trPr>
        <w:tc>
          <w:tcPr>
            <w:tcW w:w="3240" w:type="dxa"/>
          </w:tcPr>
          <w:p w14:paraId="19D56C3A" w14:textId="39EC501F" w:rsidR="002A21AE" w:rsidRDefault="002A21AE">
            <w:pPr>
              <w:pStyle w:val="TableTextNumbers"/>
            </w:pPr>
            <w:r>
              <w:lastRenderedPageBreak/>
              <w:t xml:space="preserve">Click the </w:t>
            </w:r>
            <w:r>
              <w:rPr>
                <w:b/>
              </w:rPr>
              <w:t xml:space="preserve">Numeric Threshold </w:t>
            </w:r>
            <w:r w:rsidRPr="00BF2E41">
              <w:t>radio button</w:t>
            </w:r>
            <w:r>
              <w:t xml:space="preserve"> and enter or edit test threshold information</w:t>
            </w:r>
            <w:r w:rsidR="00E1279C">
              <w:t xml:space="preserve"> (</w:t>
            </w:r>
            <w:r w:rsidR="00EE455E">
              <w:t xml:space="preserve">Figure </w:t>
            </w:r>
            <w:r w:rsidR="00EE455E">
              <w:rPr>
                <w:noProof/>
              </w:rPr>
              <w:t>33</w:t>
            </w:r>
            <w:r w:rsidR="00E1279C">
              <w:t>)</w:t>
            </w:r>
            <w:r>
              <w:t>.</w:t>
            </w:r>
          </w:p>
          <w:p w14:paraId="2BA59E13" w14:textId="77777777" w:rsidR="002A21AE" w:rsidRDefault="002A21AE">
            <w:pPr>
              <w:pStyle w:val="TableTextNumbersContinued"/>
            </w:pPr>
          </w:p>
          <w:p w14:paraId="0BAE10CD" w14:textId="77777777" w:rsidR="002A21AE" w:rsidRDefault="002A21AE">
            <w:pPr>
              <w:pStyle w:val="TableTextNumbersContinued"/>
            </w:pPr>
            <w:r>
              <w:t xml:space="preserve">Click </w:t>
            </w:r>
            <w:r>
              <w:rPr>
                <w:b/>
              </w:rPr>
              <w:t>Add</w:t>
            </w:r>
            <w:r>
              <w:t xml:space="preserve"> to add the test to the list, or</w:t>
            </w:r>
          </w:p>
          <w:p w14:paraId="2FC75068" w14:textId="77777777" w:rsidR="002A21AE" w:rsidRDefault="002A21AE">
            <w:pPr>
              <w:pStyle w:val="TableTextNumbersContinued"/>
            </w:pPr>
          </w:p>
          <w:p w14:paraId="0C6467A6" w14:textId="77777777" w:rsidR="002A21AE" w:rsidRDefault="002A21AE">
            <w:pPr>
              <w:pStyle w:val="TableTextNumbersContinued"/>
            </w:pPr>
            <w:r>
              <w:t xml:space="preserve">Click </w:t>
            </w:r>
            <w:r>
              <w:rPr>
                <w:b/>
              </w:rPr>
              <w:t>Update</w:t>
            </w:r>
            <w:r>
              <w:t xml:space="preserve"> to save changes to a previously saved test.</w:t>
            </w:r>
          </w:p>
          <w:p w14:paraId="02E8F1D2" w14:textId="77777777" w:rsidR="002A21AE" w:rsidRDefault="002A21AE">
            <w:pPr>
              <w:pStyle w:val="TableTextNumbersContinued"/>
            </w:pPr>
          </w:p>
          <w:p w14:paraId="3D91C6B4" w14:textId="77777777" w:rsidR="002A21AE" w:rsidRDefault="002A21AE">
            <w:pPr>
              <w:pStyle w:val="TableTextNumbersContinued"/>
            </w:pPr>
            <w:r>
              <w:t xml:space="preserve">Click </w:t>
            </w:r>
            <w:r>
              <w:rPr>
                <w:b/>
              </w:rPr>
              <w:t>OK</w:t>
            </w:r>
            <w:r>
              <w:t xml:space="preserve"> to save and </w:t>
            </w:r>
            <w:r>
              <w:rPr>
                <w:b/>
              </w:rPr>
              <w:t>Yes</w:t>
            </w:r>
            <w:r>
              <w:t xml:space="preserve"> to confirm the save.</w:t>
            </w:r>
          </w:p>
        </w:tc>
        <w:tc>
          <w:tcPr>
            <w:tcW w:w="6120" w:type="dxa"/>
          </w:tcPr>
          <w:p w14:paraId="1C80B0D3" w14:textId="77777777" w:rsidR="002A21AE" w:rsidRDefault="002A21AE">
            <w:pPr>
              <w:pStyle w:val="TableTextBullet"/>
            </w:pPr>
            <w:r>
              <w:t>Allows the user to enter one or more tests.</w:t>
            </w:r>
          </w:p>
          <w:p w14:paraId="100C596F" w14:textId="77777777" w:rsidR="002A21AE" w:rsidRDefault="002A21AE">
            <w:pPr>
              <w:pStyle w:val="TableTextBullet"/>
            </w:pPr>
            <w:r>
              <w:t>Uses VistALink to retrieve test data.</w:t>
            </w:r>
          </w:p>
          <w:p w14:paraId="44CFB571" w14:textId="77777777" w:rsidR="002A21AE" w:rsidRDefault="002A21AE">
            <w:pPr>
              <w:pStyle w:val="TableText"/>
            </w:pPr>
          </w:p>
          <w:p w14:paraId="6F7079C7" w14:textId="70C2B98C" w:rsidR="002A21AE" w:rsidRDefault="002A21AE">
            <w:pPr>
              <w:pStyle w:val="TableText"/>
              <w:rPr>
                <w:b/>
                <w:bCs/>
                <w:szCs w:val="18"/>
              </w:rPr>
            </w:pPr>
            <w:r>
              <w:rPr>
                <w:b/>
                <w:bCs/>
                <w:szCs w:val="18"/>
              </w:rPr>
              <w:t>NOTES</w:t>
            </w:r>
          </w:p>
          <w:p w14:paraId="48FCBD4E" w14:textId="77777777" w:rsidR="002A21AE" w:rsidRDefault="002A21AE">
            <w:pPr>
              <w:pStyle w:val="NotesText"/>
            </w:pPr>
          </w:p>
          <w:p w14:paraId="22F73679" w14:textId="411E7E44" w:rsidR="002A21AE" w:rsidRDefault="002A21AE">
            <w:pPr>
              <w:pStyle w:val="NotesText"/>
            </w:pPr>
            <w:r w:rsidRPr="008879B5">
              <w:rPr>
                <w:rFonts w:cs="Arial"/>
                <w:vanish/>
              </w:rPr>
              <w:t xml:space="preserve">BR_34.02 </w:t>
            </w:r>
            <w:r w:rsidRPr="008879B5">
              <w:t>When defining a test reported as a text value, VBECS accommodates the input of specific text (1</w:t>
            </w:r>
            <w:r w:rsidR="004D0A70">
              <w:t xml:space="preserve"> through </w:t>
            </w:r>
            <w:r w:rsidRPr="008879B5">
              <w:t xml:space="preserve">255 characters) that </w:t>
            </w:r>
            <w:r w:rsidR="004D0A70">
              <w:t>are</w:t>
            </w:r>
            <w:r w:rsidRPr="008879B5">
              <w:t xml:space="preserve"> used to search for matching values.</w:t>
            </w:r>
          </w:p>
        </w:tc>
      </w:tr>
      <w:tr w:rsidR="002A21AE" w14:paraId="79814122" w14:textId="77777777">
        <w:tc>
          <w:tcPr>
            <w:tcW w:w="3240" w:type="dxa"/>
          </w:tcPr>
          <w:p w14:paraId="4E612765" w14:textId="77777777" w:rsidR="002A21AE" w:rsidRDefault="002A21AE">
            <w:pPr>
              <w:pStyle w:val="TableTextNumbers"/>
            </w:pPr>
            <w:r>
              <w:t xml:space="preserve">Click </w:t>
            </w:r>
            <w:r>
              <w:rPr>
                <w:b/>
              </w:rPr>
              <w:t>OK</w:t>
            </w:r>
            <w:r>
              <w:t xml:space="preserve"> to save and </w:t>
            </w:r>
            <w:r>
              <w:rPr>
                <w:b/>
              </w:rPr>
              <w:t>Yes</w:t>
            </w:r>
            <w:r>
              <w:t xml:space="preserve"> to confirm the save and exit.</w:t>
            </w:r>
          </w:p>
        </w:tc>
        <w:tc>
          <w:tcPr>
            <w:tcW w:w="6120" w:type="dxa"/>
          </w:tcPr>
          <w:p w14:paraId="00312C68" w14:textId="77777777" w:rsidR="002A21AE" w:rsidRDefault="002A21AE">
            <w:pPr>
              <w:pStyle w:val="TableTextBullet"/>
            </w:pPr>
            <w:r>
              <w:t>Updates the database.</w:t>
            </w:r>
          </w:p>
        </w:tc>
      </w:tr>
      <w:tr w:rsidR="002A21AE" w14:paraId="2DFAB1DB" w14:textId="77777777">
        <w:tc>
          <w:tcPr>
            <w:tcW w:w="3240" w:type="dxa"/>
          </w:tcPr>
          <w:p w14:paraId="6EACADC3" w14:textId="5BB1B17F" w:rsidR="002A21AE" w:rsidRDefault="002A21AE">
            <w:pPr>
              <w:pStyle w:val="TableTextNumbers"/>
            </w:pPr>
            <w:r>
              <w:t>Repeat Steps 2</w:t>
            </w:r>
            <w:r w:rsidR="004F5589">
              <w:t xml:space="preserve"> through </w:t>
            </w:r>
            <w:r>
              <w:t xml:space="preserve">4 for each transfusion complication test to be defined or click </w:t>
            </w:r>
            <w:r>
              <w:rPr>
                <w:b/>
              </w:rPr>
              <w:t>Cancel</w:t>
            </w:r>
            <w:r>
              <w:t xml:space="preserve"> to exit. </w:t>
            </w:r>
            <w:r>
              <w:rPr>
                <w:vanish/>
                <w:color w:val="FFFFFF"/>
                <w:szCs w:val="18"/>
              </w:rPr>
              <w:fldChar w:fldCharType="begin"/>
            </w:r>
            <w:r>
              <w:rPr>
                <w:vanish/>
                <w:color w:val="FFFFFF"/>
                <w:szCs w:val="18"/>
              </w:rPr>
              <w:instrText xml:space="preserve"> LISTNUM \l 1 \s 0 </w:instrText>
            </w:r>
            <w:r>
              <w:rPr>
                <w:vanish/>
                <w:color w:val="FFFFFF"/>
                <w:szCs w:val="18"/>
              </w:rPr>
              <w:fldChar w:fldCharType="end">
                <w:numberingChange w:id="209" w:author="MUSZYNSKI, THOMAS D. (SIERRA 7 INC)" w:date="2024-11-26T07:15:00Z" w:original="0."/>
              </w:fldChar>
            </w:r>
          </w:p>
        </w:tc>
        <w:tc>
          <w:tcPr>
            <w:tcW w:w="6120" w:type="dxa"/>
          </w:tcPr>
          <w:p w14:paraId="7192F62B" w14:textId="77777777" w:rsidR="002A21AE" w:rsidRDefault="002A21AE">
            <w:pPr>
              <w:pStyle w:val="TableText"/>
            </w:pPr>
          </w:p>
        </w:tc>
      </w:tr>
    </w:tbl>
    <w:p w14:paraId="0585D722" w14:textId="1CFA77A1" w:rsidR="00E1279C" w:rsidRDefault="00E1279C" w:rsidP="00E1279C">
      <w:pPr>
        <w:pStyle w:val="Caption"/>
      </w:pPr>
      <w:bookmarkStart w:id="210" w:name="_Ref126472169"/>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7D1829">
        <w:rPr>
          <w:noProof/>
        </w:rPr>
        <w:t>34</w:t>
      </w:r>
      <w:r w:rsidR="004E20BD">
        <w:rPr>
          <w:noProof/>
        </w:rPr>
        <w:fldChar w:fldCharType="end"/>
      </w:r>
      <w:bookmarkEnd w:id="210"/>
      <w:r>
        <w:t>: Transfusion Complication Thresholds</w:t>
      </w:r>
    </w:p>
    <w:p w14:paraId="7A9AEC25" w14:textId="77777777" w:rsidR="00E1279C" w:rsidRDefault="00057948" w:rsidP="00E1279C">
      <w:pPr>
        <w:pStyle w:val="BodyText"/>
      </w:pPr>
      <w:r>
        <w:rPr>
          <w:noProof/>
        </w:rPr>
        <w:drawing>
          <wp:inline distT="0" distB="0" distL="0" distR="0" wp14:anchorId="29045821" wp14:editId="26284DCA">
            <wp:extent cx="3888740" cy="2909570"/>
            <wp:effectExtent l="0" t="0" r="0" b="5080"/>
            <wp:docPr id="136" name="Picture 136" descr="Example of Transfusion Complication Thresholds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Picture 136" descr="Example of Transfusion Complication Thresholds screen capture"/>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3888740" cy="2909570"/>
                    </a:xfrm>
                    <a:prstGeom prst="rect">
                      <a:avLst/>
                    </a:prstGeom>
                    <a:noFill/>
                    <a:ln>
                      <a:noFill/>
                    </a:ln>
                  </pic:spPr>
                </pic:pic>
              </a:graphicData>
            </a:graphic>
          </wp:inline>
        </w:drawing>
      </w:r>
    </w:p>
    <w:p w14:paraId="24623B82" w14:textId="77777777" w:rsidR="002A21AE" w:rsidRDefault="00466CF2">
      <w:pPr>
        <w:pStyle w:val="Heading3"/>
      </w:pPr>
      <w:r>
        <w:br w:type="page"/>
      </w:r>
      <w:bookmarkStart w:id="211" w:name="_Toc203765871"/>
      <w:r w:rsidR="002A21AE">
        <w:lastRenderedPageBreak/>
        <w:t>Transfusion Effectiveness</w:t>
      </w:r>
      <w:bookmarkEnd w:id="211"/>
      <w:r w:rsidR="002A21AE">
        <w:fldChar w:fldCharType="begin"/>
      </w:r>
      <w:r w:rsidR="002A21AE">
        <w:instrText xml:space="preserve"> XE </w:instrText>
      </w:r>
      <w:r w:rsidR="00FA7E65">
        <w:instrText>“</w:instrText>
      </w:r>
      <w:r w:rsidR="002A21AE">
        <w:instrText>Transfusion Effectiveness</w:instrText>
      </w:r>
      <w:r w:rsidR="00FA7E65">
        <w:instrText>”</w:instrText>
      </w:r>
      <w:r w:rsidR="002A21AE">
        <w:instrText xml:space="preserve"> </w:instrText>
      </w:r>
      <w:r w:rsidR="002A21AE">
        <w:fldChar w:fldCharType="end"/>
      </w:r>
      <w:r w:rsidR="002A21AE">
        <w:t xml:space="preserve"> </w:t>
      </w:r>
      <w:r w:rsidR="002A21AE">
        <w:rPr>
          <w:rFonts w:ascii="Times New Roman" w:hAnsi="Times New Roman" w:cs="Times New Roman"/>
          <w:b w:val="0"/>
          <w:vanish/>
          <w:sz w:val="22"/>
        </w:rPr>
        <w:t>UC_33</w:t>
      </w:r>
    </w:p>
    <w:p w14:paraId="6791ABA3" w14:textId="77777777" w:rsidR="002A21AE" w:rsidRDefault="00095BAC" w:rsidP="00FA7E65">
      <w:pPr>
        <w:pStyle w:val="BodyText"/>
      </w:pPr>
      <w:bookmarkStart w:id="212" w:name="_Toc63680393"/>
      <w:r>
        <w:t>The user defines L</w:t>
      </w:r>
      <w:r w:rsidR="002A21AE">
        <w:t xml:space="preserve">aboratory tests to monitor the effectiveness of transfusions. </w:t>
      </w:r>
    </w:p>
    <w:p w14:paraId="5A727C02" w14:textId="77777777" w:rsidR="002A21AE" w:rsidRDefault="002A21AE">
      <w:pPr>
        <w:pStyle w:val="Heading4"/>
      </w:pPr>
      <w:r>
        <w:t>Assumptions</w:t>
      </w:r>
    </w:p>
    <w:p w14:paraId="750C32DD" w14:textId="77777777" w:rsidR="00CA0045" w:rsidRDefault="00CA0045">
      <w:pPr>
        <w:pStyle w:val="ListBullet"/>
      </w:pPr>
      <w:r w:rsidRPr="00CA0045">
        <w:rPr>
          <w:bCs/>
        </w:rPr>
        <w:t>VistA</w:t>
      </w:r>
      <w:r w:rsidR="002A21AE">
        <w:t xml:space="preserve"> lab tests are defined</w:t>
      </w:r>
      <w:r>
        <w:t>.</w:t>
      </w:r>
    </w:p>
    <w:p w14:paraId="700835D4" w14:textId="77777777" w:rsidR="002A21AE" w:rsidRDefault="00CA0045">
      <w:pPr>
        <w:pStyle w:val="ListBullet"/>
      </w:pPr>
      <w:r>
        <w:t>T</w:t>
      </w:r>
      <w:r w:rsidR="002A21AE">
        <w:t xml:space="preserve">he connection to </w:t>
      </w:r>
      <w:r w:rsidRPr="00CA0045">
        <w:rPr>
          <w:bCs/>
        </w:rPr>
        <w:t>VistA</w:t>
      </w:r>
      <w:r w:rsidR="002A21AE">
        <w:t xml:space="preserve"> is active.</w:t>
      </w:r>
    </w:p>
    <w:p w14:paraId="0605F570" w14:textId="77777777" w:rsidR="002A21AE" w:rsidRDefault="002A21AE">
      <w:pPr>
        <w:pStyle w:val="Heading4"/>
      </w:pPr>
      <w:r>
        <w:t>Outcome</w:t>
      </w:r>
    </w:p>
    <w:p w14:paraId="2DA58110" w14:textId="77777777" w:rsidR="002A21AE" w:rsidRDefault="002A21AE">
      <w:pPr>
        <w:pStyle w:val="ListBullet"/>
      </w:pPr>
      <w:r>
        <w:t>Parameters are defined for future reports.</w:t>
      </w:r>
    </w:p>
    <w:p w14:paraId="4154FF34" w14:textId="77777777" w:rsidR="002A21AE" w:rsidRDefault="002A21AE">
      <w:pPr>
        <w:pStyle w:val="Heading4"/>
      </w:pPr>
      <w:r>
        <w:t>Limitations and Restrictions</w:t>
      </w:r>
    </w:p>
    <w:p w14:paraId="74CF5729" w14:textId="77777777" w:rsidR="002A21AE" w:rsidRDefault="002A21AE">
      <w:pPr>
        <w:pStyle w:val="ListBullet"/>
      </w:pPr>
      <w:r>
        <w:t xml:space="preserve">None </w:t>
      </w:r>
    </w:p>
    <w:p w14:paraId="514FC7F7" w14:textId="77777777" w:rsidR="002A21AE" w:rsidRDefault="002A21AE">
      <w:pPr>
        <w:pStyle w:val="Heading4"/>
      </w:pPr>
      <w:r>
        <w:t>Additional Information</w:t>
      </w:r>
    </w:p>
    <w:p w14:paraId="7CB7232C" w14:textId="77777777" w:rsidR="002A21AE" w:rsidRDefault="002A21AE">
      <w:pPr>
        <w:pStyle w:val="ListBullet"/>
      </w:pPr>
      <w:r>
        <w:t xml:space="preserve">None </w:t>
      </w:r>
    </w:p>
    <w:p w14:paraId="18CD4406" w14:textId="77777777" w:rsidR="002A21AE" w:rsidRDefault="002A21AE">
      <w:pPr>
        <w:pStyle w:val="Heading4"/>
      </w:pPr>
      <w:r>
        <w:t xml:space="preserve">User Roles with Access to This Option </w:t>
      </w:r>
    </w:p>
    <w:p w14:paraId="15B76988" w14:textId="77777777" w:rsidR="002A21AE" w:rsidRDefault="002A09A9">
      <w:pPr>
        <w:pStyle w:val="Roles"/>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Enhanced Supervisor</w:t>
      </w:r>
    </w:p>
    <w:p w14:paraId="38584798" w14:textId="77777777" w:rsidR="002A21AE" w:rsidRDefault="002A21AE">
      <w:pPr>
        <w:pStyle w:val="Heading4"/>
      </w:pPr>
      <w:r>
        <w:t>Transfusion Effectiveness</w:t>
      </w:r>
    </w:p>
    <w:p w14:paraId="2DBF6D1C" w14:textId="77777777" w:rsidR="002A21AE" w:rsidRDefault="002A21AE" w:rsidP="00FA7E65">
      <w:pPr>
        <w:pStyle w:val="BodyText"/>
      </w:pPr>
      <w:r>
        <w:t>The user enters the tests to be included in the Transfusion Effectiveness Report.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39DF72BC" w14:textId="77777777">
        <w:trPr>
          <w:tblHeader/>
        </w:trPr>
        <w:tc>
          <w:tcPr>
            <w:tcW w:w="3240" w:type="dxa"/>
            <w:shd w:val="pct30" w:color="auto" w:fill="FFFFFF"/>
            <w:vAlign w:val="bottom"/>
          </w:tcPr>
          <w:p w14:paraId="23C98B50" w14:textId="77777777" w:rsidR="002A21AE" w:rsidRDefault="002A21AE">
            <w:pPr>
              <w:pStyle w:val="TableText"/>
              <w:rPr>
                <w:b/>
              </w:rPr>
            </w:pPr>
            <w:r>
              <w:rPr>
                <w:b/>
              </w:rPr>
              <w:t>User Action</w:t>
            </w:r>
          </w:p>
        </w:tc>
        <w:tc>
          <w:tcPr>
            <w:tcW w:w="6120" w:type="dxa"/>
            <w:shd w:val="pct30" w:color="auto" w:fill="FFFFFF"/>
            <w:vAlign w:val="bottom"/>
          </w:tcPr>
          <w:p w14:paraId="05F24220" w14:textId="77777777" w:rsidR="002A21AE" w:rsidRDefault="002A21AE">
            <w:pPr>
              <w:pStyle w:val="TableText"/>
              <w:rPr>
                <w:b/>
              </w:rPr>
            </w:pPr>
            <w:r>
              <w:rPr>
                <w:b/>
              </w:rPr>
              <w:t>VBECS</w:t>
            </w:r>
          </w:p>
        </w:tc>
      </w:tr>
      <w:tr w:rsidR="002A21AE" w14:paraId="2D1E86D3" w14:textId="77777777">
        <w:tc>
          <w:tcPr>
            <w:tcW w:w="3240" w:type="dxa"/>
          </w:tcPr>
          <w:p w14:paraId="4C41571C" w14:textId="77777777" w:rsidR="002A21AE" w:rsidRDefault="002A21AE">
            <w:pPr>
              <w:pStyle w:val="TableTextNumbers"/>
            </w:pPr>
            <w:r>
              <w:t xml:space="preserve">Select </w:t>
            </w:r>
            <w:r>
              <w:rPr>
                <w:b/>
                <w:bCs/>
              </w:rPr>
              <w:t>Tools</w:t>
            </w:r>
            <w:r>
              <w:t xml:space="preserve"> from the main menu.</w:t>
            </w:r>
          </w:p>
          <w:p w14:paraId="01B7AB96" w14:textId="77777777" w:rsidR="002A21AE" w:rsidRDefault="002A21AE">
            <w:pPr>
              <w:pStyle w:val="TableTextNumbersContinued"/>
              <w:rPr>
                <w:bCs/>
              </w:rPr>
            </w:pPr>
          </w:p>
          <w:p w14:paraId="7E3E47DF" w14:textId="77777777" w:rsidR="002A21AE" w:rsidRDefault="002A21AE">
            <w:pPr>
              <w:pStyle w:val="TableTextNumbersContinued"/>
              <w:rPr>
                <w:b/>
                <w:bCs/>
              </w:rPr>
            </w:pPr>
            <w:r>
              <w:rPr>
                <w:bCs/>
              </w:rPr>
              <w:t>Select</w:t>
            </w:r>
            <w:r>
              <w:rPr>
                <w:b/>
                <w:bCs/>
              </w:rPr>
              <w:t xml:space="preserve"> Transfusion Effectiveness</w:t>
            </w:r>
            <w:r>
              <w:rPr>
                <w:bCs/>
              </w:rPr>
              <w:t>.</w:t>
            </w:r>
          </w:p>
        </w:tc>
        <w:tc>
          <w:tcPr>
            <w:tcW w:w="6120" w:type="dxa"/>
          </w:tcPr>
          <w:p w14:paraId="36582090" w14:textId="77777777" w:rsidR="002A21AE" w:rsidRDefault="002A21AE">
            <w:pPr>
              <w:pStyle w:val="TableTextBullet"/>
            </w:pPr>
            <w:r>
              <w:t xml:space="preserve">Displays options for processing administrative functions. </w:t>
            </w:r>
          </w:p>
          <w:p w14:paraId="6DE60A1A" w14:textId="77777777" w:rsidR="002A21AE" w:rsidRDefault="002A21AE">
            <w:pPr>
              <w:pStyle w:val="TableTextBullet"/>
            </w:pPr>
            <w:r>
              <w:t>Allows the user to edit a previously defined Transfusion Effectiveness Tests or add a test.</w:t>
            </w:r>
          </w:p>
        </w:tc>
      </w:tr>
      <w:tr w:rsidR="002A21AE" w14:paraId="009083DB" w14:textId="77777777">
        <w:tc>
          <w:tcPr>
            <w:tcW w:w="3240" w:type="dxa"/>
          </w:tcPr>
          <w:p w14:paraId="07271E67" w14:textId="77777777" w:rsidR="002A21AE" w:rsidRDefault="002A21AE">
            <w:pPr>
              <w:pStyle w:val="TableTextNumbers"/>
            </w:pPr>
            <w:r>
              <w:t xml:space="preserve">Click the </w:t>
            </w:r>
            <w:r w:rsidR="00A6373D">
              <w:rPr>
                <w:b/>
              </w:rPr>
              <w:t>find</w:t>
            </w:r>
            <w:r w:rsidRPr="00BF2E41">
              <w:t xml:space="preserve"> button</w:t>
            </w:r>
            <w:r>
              <w:t xml:space="preserve"> to search for a Transfusion Effectiveness Test. </w:t>
            </w:r>
          </w:p>
          <w:p w14:paraId="02C60F6B" w14:textId="77777777" w:rsidR="002A21AE" w:rsidRDefault="002A21AE">
            <w:pPr>
              <w:pStyle w:val="TableTextNumbersContinued"/>
            </w:pPr>
          </w:p>
          <w:p w14:paraId="034A1F9E" w14:textId="77777777" w:rsidR="005E16D4" w:rsidRDefault="005E16D4">
            <w:pPr>
              <w:pStyle w:val="TableTextNumbersContinued"/>
            </w:pPr>
            <w:r>
              <w:t>Enter part or all of a laboratory test name.</w:t>
            </w:r>
          </w:p>
          <w:p w14:paraId="4DAB962A" w14:textId="77777777" w:rsidR="005E16D4" w:rsidRDefault="005E16D4">
            <w:pPr>
              <w:pStyle w:val="TableTextNumbersContinued"/>
            </w:pPr>
          </w:p>
          <w:p w14:paraId="4AACA8B6" w14:textId="77777777" w:rsidR="005E16D4" w:rsidRDefault="005E16D4">
            <w:pPr>
              <w:pStyle w:val="TableTextNumbersContinued"/>
            </w:pPr>
            <w:r>
              <w:t xml:space="preserve">Click </w:t>
            </w:r>
            <w:r w:rsidRPr="005E16D4">
              <w:rPr>
                <w:b/>
              </w:rPr>
              <w:t>Search</w:t>
            </w:r>
            <w:r>
              <w:t>.</w:t>
            </w:r>
          </w:p>
          <w:p w14:paraId="5CD1300C" w14:textId="77777777" w:rsidR="005E16D4" w:rsidRDefault="005E16D4">
            <w:pPr>
              <w:pStyle w:val="TableTextNumbersContinued"/>
            </w:pPr>
          </w:p>
          <w:p w14:paraId="602D25B5" w14:textId="77777777" w:rsidR="002A21AE" w:rsidRDefault="002A21AE">
            <w:pPr>
              <w:pStyle w:val="TableTextNumbersContinued"/>
            </w:pPr>
            <w:r>
              <w:t xml:space="preserve">Click one </w:t>
            </w:r>
            <w:r w:rsidR="005E16D4">
              <w:t>to four</w:t>
            </w:r>
            <w:r>
              <w:t xml:space="preserve"> check boxes to select tests.</w:t>
            </w:r>
          </w:p>
          <w:p w14:paraId="3F0C796E" w14:textId="77777777" w:rsidR="002A21AE" w:rsidRDefault="002A21AE">
            <w:pPr>
              <w:pStyle w:val="TableTextNumbersContinued"/>
            </w:pPr>
          </w:p>
          <w:p w14:paraId="5C9B4148" w14:textId="77777777" w:rsidR="00E959B5" w:rsidRDefault="00E959B5">
            <w:pPr>
              <w:pStyle w:val="TableTextNumbersContinued"/>
            </w:pPr>
            <w:r>
              <w:t xml:space="preserve">Click </w:t>
            </w:r>
            <w:r w:rsidRPr="00E959B5">
              <w:rPr>
                <w:b/>
              </w:rPr>
              <w:t>OK</w:t>
            </w:r>
            <w:r>
              <w:t>.</w:t>
            </w:r>
          </w:p>
          <w:p w14:paraId="4B245C92" w14:textId="77777777" w:rsidR="00E959B5" w:rsidRDefault="00E959B5">
            <w:pPr>
              <w:pStyle w:val="TableTextNumbersContinued"/>
            </w:pPr>
          </w:p>
          <w:p w14:paraId="4D0018B7" w14:textId="1B0D708D" w:rsidR="002A21AE" w:rsidRDefault="002A21AE">
            <w:pPr>
              <w:pStyle w:val="TableTextNumbersContinued"/>
            </w:pPr>
            <w:r>
              <w:t xml:space="preserve">Click </w:t>
            </w:r>
            <w:r>
              <w:rPr>
                <w:b/>
              </w:rPr>
              <w:t>Add</w:t>
            </w:r>
            <w:r>
              <w:t xml:space="preserve"> to add the tests</w:t>
            </w:r>
            <w:r w:rsidR="005E5594">
              <w:t xml:space="preserve"> (</w:t>
            </w:r>
            <w:r w:rsidR="00EE455E">
              <w:t xml:space="preserve">Figure </w:t>
            </w:r>
            <w:r w:rsidR="00EE455E">
              <w:rPr>
                <w:noProof/>
              </w:rPr>
              <w:t>34</w:t>
            </w:r>
            <w:r w:rsidR="005E5594">
              <w:t>)</w:t>
            </w:r>
            <w:r>
              <w:t>, or</w:t>
            </w:r>
          </w:p>
          <w:p w14:paraId="17C10FDB" w14:textId="77777777" w:rsidR="002A21AE" w:rsidRDefault="002A21AE">
            <w:pPr>
              <w:pStyle w:val="TableTextNumbersContinued"/>
            </w:pPr>
          </w:p>
          <w:p w14:paraId="648A0332" w14:textId="77777777" w:rsidR="002A21AE" w:rsidRDefault="00C15633">
            <w:pPr>
              <w:pStyle w:val="TableTextNumbersContinued"/>
            </w:pPr>
            <w:r>
              <w:t xml:space="preserve">Click the </w:t>
            </w:r>
            <w:r>
              <w:rPr>
                <w:b/>
              </w:rPr>
              <w:t>Show Inactive Transfusion Effectiveness Report</w:t>
            </w:r>
            <w:r w:rsidR="008632FE">
              <w:rPr>
                <w:b/>
              </w:rPr>
              <w:t xml:space="preserve"> </w:t>
            </w:r>
            <w:r>
              <w:rPr>
                <w:b/>
              </w:rPr>
              <w:t xml:space="preserve">Tests </w:t>
            </w:r>
            <w:r w:rsidRPr="00D1100E">
              <w:t>check box</w:t>
            </w:r>
            <w:r>
              <w:t>, if desired.</w:t>
            </w:r>
            <w:r w:rsidR="002A21AE">
              <w:t xml:space="preserve"> </w:t>
            </w:r>
          </w:p>
          <w:p w14:paraId="1DA98FAD" w14:textId="77777777" w:rsidR="002A21AE" w:rsidRDefault="002A21AE">
            <w:pPr>
              <w:pStyle w:val="TableTextNumbersContinued"/>
            </w:pPr>
          </w:p>
          <w:p w14:paraId="0CF992A7" w14:textId="77777777" w:rsidR="002A21AE" w:rsidRDefault="002A21AE">
            <w:pPr>
              <w:pStyle w:val="TableTextNumbersContinued"/>
            </w:pPr>
            <w:r>
              <w:t xml:space="preserve">Click </w:t>
            </w:r>
            <w:r>
              <w:rPr>
                <w:b/>
              </w:rPr>
              <w:t>Update</w:t>
            </w:r>
            <w:r>
              <w:t xml:space="preserve"> to edit the tests.</w:t>
            </w:r>
          </w:p>
        </w:tc>
        <w:tc>
          <w:tcPr>
            <w:tcW w:w="6120" w:type="dxa"/>
          </w:tcPr>
          <w:p w14:paraId="5D7BC9FD" w14:textId="77777777" w:rsidR="002A21AE" w:rsidRDefault="002A21AE">
            <w:pPr>
              <w:pStyle w:val="TableTextBullet"/>
            </w:pPr>
            <w:r>
              <w:t xml:space="preserve">Allows the user to enter one or more Transfusion Effectiveness Tests. </w:t>
            </w:r>
          </w:p>
          <w:p w14:paraId="7100C706" w14:textId="77777777" w:rsidR="002A21AE" w:rsidRDefault="002A21AE">
            <w:pPr>
              <w:pStyle w:val="TableTextBullet"/>
            </w:pPr>
            <w:r>
              <w:t>Uses VistALink to retrieve Laboratory test data for each of these indicators:</w:t>
            </w:r>
          </w:p>
          <w:p w14:paraId="45E02265" w14:textId="77777777" w:rsidR="002A21AE" w:rsidRDefault="002A21AE">
            <w:pPr>
              <w:pStyle w:val="TableTextBullet1"/>
            </w:pPr>
            <w:r>
              <w:t>Laboratory test name</w:t>
            </w:r>
          </w:p>
          <w:p w14:paraId="42946837" w14:textId="77777777" w:rsidR="002A21AE" w:rsidRDefault="00CA0045">
            <w:pPr>
              <w:pStyle w:val="TableTextBullet1"/>
            </w:pPr>
            <w:r w:rsidRPr="00CA0045">
              <w:rPr>
                <w:bCs/>
              </w:rPr>
              <w:t>VistA</w:t>
            </w:r>
            <w:r w:rsidR="002A21AE">
              <w:t xml:space="preserve"> Laboratory test Internal Entry Number (IEN)</w:t>
            </w:r>
          </w:p>
          <w:p w14:paraId="526ED28E" w14:textId="77777777" w:rsidR="002A21AE" w:rsidRDefault="002A21AE">
            <w:pPr>
              <w:pStyle w:val="TableTextBullet1"/>
            </w:pPr>
            <w:r>
              <w:t>Specimen type</w:t>
            </w:r>
          </w:p>
        </w:tc>
      </w:tr>
      <w:tr w:rsidR="002A21AE" w14:paraId="06F1AA4C" w14:textId="77777777">
        <w:tc>
          <w:tcPr>
            <w:tcW w:w="3240" w:type="dxa"/>
          </w:tcPr>
          <w:p w14:paraId="431F1C1C" w14:textId="77777777" w:rsidR="002A21AE" w:rsidRDefault="002A21AE">
            <w:pPr>
              <w:pStyle w:val="TableTextNumbers"/>
            </w:pPr>
            <w:r>
              <w:lastRenderedPageBreak/>
              <w:t xml:space="preserve">Repeat Step 2 for each Transfusion Effectiveness Test to be defined, or click </w:t>
            </w:r>
            <w:r>
              <w:rPr>
                <w:b/>
              </w:rPr>
              <w:t>Cancel</w:t>
            </w:r>
            <w:r>
              <w:t xml:space="preserve"> to exit. </w:t>
            </w:r>
          </w:p>
        </w:tc>
        <w:tc>
          <w:tcPr>
            <w:tcW w:w="6120" w:type="dxa"/>
          </w:tcPr>
          <w:p w14:paraId="1B8636D1" w14:textId="77777777" w:rsidR="002A21AE" w:rsidRDefault="002A21AE">
            <w:pPr>
              <w:pStyle w:val="TableText"/>
            </w:pPr>
          </w:p>
        </w:tc>
      </w:tr>
      <w:tr w:rsidR="00E51B8B" w14:paraId="71DFB744" w14:textId="77777777">
        <w:tc>
          <w:tcPr>
            <w:tcW w:w="3240" w:type="dxa"/>
            <w:tcBorders>
              <w:top w:val="single" w:sz="4" w:space="0" w:color="auto"/>
              <w:left w:val="single" w:sz="4" w:space="0" w:color="auto"/>
              <w:bottom w:val="single" w:sz="4" w:space="0" w:color="auto"/>
              <w:right w:val="single" w:sz="4" w:space="0" w:color="auto"/>
            </w:tcBorders>
          </w:tcPr>
          <w:p w14:paraId="001EEC32" w14:textId="77777777" w:rsidR="00E51B8B" w:rsidRDefault="00E51B8B" w:rsidP="00E51B8B">
            <w:pPr>
              <w:pStyle w:val="TableTextNumbers"/>
            </w:pPr>
            <w:r>
              <w:t xml:space="preserve">Click </w:t>
            </w:r>
            <w:r w:rsidRPr="00E51B8B">
              <w:rPr>
                <w:b/>
              </w:rPr>
              <w:t>OK</w:t>
            </w:r>
            <w:r>
              <w:t xml:space="preserve"> to save</w:t>
            </w:r>
            <w:r w:rsidR="00F8353F">
              <w:t xml:space="preserve"> and </w:t>
            </w:r>
            <w:r w:rsidR="00F8353F" w:rsidRPr="00F8353F">
              <w:rPr>
                <w:b/>
              </w:rPr>
              <w:t>Yes</w:t>
            </w:r>
            <w:r w:rsidR="00F8353F">
              <w:t xml:space="preserve"> to confirm the save</w:t>
            </w:r>
            <w:r>
              <w:t xml:space="preserve">. </w:t>
            </w:r>
            <w:r>
              <w:rPr>
                <w:vanish/>
                <w:color w:val="FFFFFF"/>
                <w:szCs w:val="18"/>
              </w:rPr>
              <w:fldChar w:fldCharType="begin"/>
            </w:r>
            <w:r>
              <w:rPr>
                <w:vanish/>
                <w:color w:val="FFFFFF"/>
                <w:szCs w:val="18"/>
              </w:rPr>
              <w:instrText xml:space="preserve"> LISTNUM \l 1 \s 0 </w:instrText>
            </w:r>
            <w:r>
              <w:rPr>
                <w:vanish/>
                <w:color w:val="FFFFFF"/>
                <w:szCs w:val="18"/>
              </w:rPr>
              <w:fldChar w:fldCharType="end">
                <w:numberingChange w:id="213" w:author="MUSZYNSKI, THOMAS D. (SIERRA 7 INC)" w:date="2024-11-26T07:15:00Z" w:original="0."/>
              </w:fldChar>
            </w:r>
          </w:p>
        </w:tc>
        <w:tc>
          <w:tcPr>
            <w:tcW w:w="6120" w:type="dxa"/>
            <w:tcBorders>
              <w:top w:val="single" w:sz="4" w:space="0" w:color="auto"/>
              <w:left w:val="single" w:sz="4" w:space="0" w:color="auto"/>
              <w:bottom w:val="single" w:sz="4" w:space="0" w:color="auto"/>
              <w:right w:val="single" w:sz="4" w:space="0" w:color="auto"/>
            </w:tcBorders>
          </w:tcPr>
          <w:p w14:paraId="3D57F1B0" w14:textId="77777777" w:rsidR="00E51B8B" w:rsidRDefault="00E51B8B" w:rsidP="00EF41C4">
            <w:pPr>
              <w:pStyle w:val="TableTextBullet"/>
            </w:pPr>
            <w:r>
              <w:t>Updates the database, including the date and time and the technologist ID. Saves changes to previously defined tests for inclusion in an Audit Trail Report.</w:t>
            </w:r>
          </w:p>
        </w:tc>
      </w:tr>
    </w:tbl>
    <w:p w14:paraId="2E869B1F" w14:textId="3C9C182B" w:rsidR="005E5594" w:rsidRDefault="005E5594" w:rsidP="005E5594">
      <w:pPr>
        <w:pStyle w:val="Caption"/>
      </w:pPr>
      <w:bookmarkStart w:id="214" w:name="_Ref126472575"/>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7D1829">
        <w:rPr>
          <w:noProof/>
        </w:rPr>
        <w:t>35</w:t>
      </w:r>
      <w:r w:rsidR="004E20BD">
        <w:rPr>
          <w:noProof/>
        </w:rPr>
        <w:fldChar w:fldCharType="end"/>
      </w:r>
      <w:bookmarkEnd w:id="214"/>
      <w:r>
        <w:t>: Transfusion Effectiveness Report Tests</w:t>
      </w:r>
    </w:p>
    <w:p w14:paraId="7CF9D1FE" w14:textId="77777777" w:rsidR="005E5594" w:rsidRDefault="00057948" w:rsidP="005E5594">
      <w:pPr>
        <w:pStyle w:val="BodyText"/>
      </w:pPr>
      <w:r>
        <w:rPr>
          <w:noProof/>
        </w:rPr>
        <w:drawing>
          <wp:inline distT="0" distB="0" distL="0" distR="0" wp14:anchorId="23606DA2" wp14:editId="4C07C908">
            <wp:extent cx="3454400" cy="2891155"/>
            <wp:effectExtent l="0" t="0" r="0" b="4445"/>
            <wp:docPr id="137" name="Picture 137" descr="Example of Transfusion Effectiveness Report Tests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Picture 137" descr="Example of Transfusion Effectiveness Report Tests screen capture"/>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3454400" cy="2891155"/>
                    </a:xfrm>
                    <a:prstGeom prst="rect">
                      <a:avLst/>
                    </a:prstGeom>
                    <a:noFill/>
                    <a:ln>
                      <a:noFill/>
                    </a:ln>
                  </pic:spPr>
                </pic:pic>
              </a:graphicData>
            </a:graphic>
          </wp:inline>
        </w:drawing>
      </w:r>
    </w:p>
    <w:bookmarkEnd w:id="212"/>
    <w:p w14:paraId="16FA0665" w14:textId="77777777" w:rsidR="00D75EF6" w:rsidRDefault="00466CF2" w:rsidP="005E5594">
      <w:pPr>
        <w:pStyle w:val="Heading3"/>
      </w:pPr>
      <w:r>
        <w:br w:type="page"/>
      </w:r>
      <w:bookmarkStart w:id="215" w:name="_Toc203765872"/>
      <w:r w:rsidR="00D75EF6">
        <w:lastRenderedPageBreak/>
        <w:t>MSBOS</w:t>
      </w:r>
      <w:bookmarkEnd w:id="215"/>
      <w:r w:rsidR="00D75EF6">
        <w:fldChar w:fldCharType="begin"/>
      </w:r>
      <w:r w:rsidR="00D75EF6">
        <w:instrText xml:space="preserve"> XE “MSBOS” </w:instrText>
      </w:r>
      <w:r w:rsidR="00D75EF6">
        <w:fldChar w:fldCharType="end"/>
      </w:r>
      <w:r w:rsidR="00D75EF6">
        <w:t xml:space="preserve"> </w:t>
      </w:r>
      <w:r w:rsidR="00D75EF6">
        <w:rPr>
          <w:rFonts w:ascii="Times New Roman" w:hAnsi="Times New Roman" w:cs="Times New Roman"/>
          <w:vanish/>
          <w:sz w:val="22"/>
        </w:rPr>
        <w:t>UC_32</w:t>
      </w:r>
    </w:p>
    <w:p w14:paraId="10D413C1" w14:textId="77777777" w:rsidR="00D75EF6" w:rsidRDefault="00D75EF6" w:rsidP="00D75EF6">
      <w:pPr>
        <w:pStyle w:val="BodyText"/>
      </w:pPr>
      <w:r>
        <w:t xml:space="preserve">The user defines parameters for comparing blood component orders placed by a clinician with the Maximum Surgical Blood Ordering Schedule (MSBOS). </w:t>
      </w:r>
    </w:p>
    <w:p w14:paraId="33069C65" w14:textId="77777777" w:rsidR="00D75EF6" w:rsidRDefault="00D75EF6" w:rsidP="00D75EF6">
      <w:pPr>
        <w:pStyle w:val="Heading4"/>
      </w:pPr>
      <w:r>
        <w:t>Assumptions</w:t>
      </w:r>
    </w:p>
    <w:p w14:paraId="1FAA9AE5" w14:textId="77777777" w:rsidR="00D75EF6" w:rsidRDefault="00D75EF6" w:rsidP="00D75EF6">
      <w:pPr>
        <w:pStyle w:val="ListBullet"/>
      </w:pPr>
      <w:r>
        <w:t>A table of generic surgery names is available for MSBOS activation.</w:t>
      </w:r>
      <w:r>
        <w:rPr>
          <w:noProof/>
        </w:rPr>
        <w:t xml:space="preserve"> </w:t>
      </w:r>
    </w:p>
    <w:p w14:paraId="6F05129D" w14:textId="77777777" w:rsidR="00D75EF6" w:rsidRDefault="00D75EF6" w:rsidP="00D75EF6">
      <w:pPr>
        <w:pStyle w:val="Heading4"/>
      </w:pPr>
      <w:r>
        <w:t>Outcome</w:t>
      </w:r>
    </w:p>
    <w:p w14:paraId="30A7FF8E" w14:textId="77777777" w:rsidR="00D75EF6" w:rsidRDefault="00D75EF6" w:rsidP="00D75EF6">
      <w:pPr>
        <w:pStyle w:val="ListBullet"/>
      </w:pPr>
      <w:r>
        <w:t xml:space="preserve">CPRS users will see only active surgery names when placing a blood bank order. </w:t>
      </w:r>
    </w:p>
    <w:p w14:paraId="3803C16E" w14:textId="77777777" w:rsidR="00D75EF6" w:rsidRDefault="00D75EF6" w:rsidP="00D75EF6">
      <w:pPr>
        <w:pStyle w:val="ListBullet"/>
      </w:pPr>
      <w:r>
        <w:t xml:space="preserve">MSBOS will be available to VBECS users to evaluate the appropriateness of </w:t>
      </w:r>
      <w:r w:rsidR="00200425">
        <w:t xml:space="preserve">pre-op </w:t>
      </w:r>
      <w:r>
        <w:t>orders.</w:t>
      </w:r>
    </w:p>
    <w:p w14:paraId="03206072" w14:textId="77777777" w:rsidR="00D75EF6" w:rsidRDefault="00D75EF6" w:rsidP="00D75EF6">
      <w:pPr>
        <w:pStyle w:val="Heading4"/>
      </w:pPr>
      <w:r>
        <w:t>Limitations and Restrictions</w:t>
      </w:r>
    </w:p>
    <w:p w14:paraId="0C20B3D5" w14:textId="77777777" w:rsidR="00D75EF6" w:rsidRDefault="00D75EF6" w:rsidP="00D75EF6">
      <w:pPr>
        <w:pStyle w:val="ListBullet"/>
      </w:pPr>
      <w:r>
        <w:t>None</w:t>
      </w:r>
    </w:p>
    <w:p w14:paraId="5D9FB19F" w14:textId="77777777" w:rsidR="00D75EF6" w:rsidRDefault="00D75EF6" w:rsidP="00D75EF6">
      <w:pPr>
        <w:pStyle w:val="Heading4"/>
      </w:pPr>
      <w:r>
        <w:t>Additional Information</w:t>
      </w:r>
    </w:p>
    <w:p w14:paraId="526DF6EB" w14:textId="77777777" w:rsidR="00D75EF6" w:rsidRDefault="00D75EF6" w:rsidP="00D75EF6">
      <w:pPr>
        <w:pStyle w:val="ListBullet"/>
      </w:pPr>
      <w:r>
        <w:t>The maximum number of blood products serves as a guideline. Orders in excess of the MSBOS are not prohibited.</w:t>
      </w:r>
    </w:p>
    <w:p w14:paraId="5FA681F1" w14:textId="77777777" w:rsidR="00D75EF6" w:rsidRDefault="00D75EF6" w:rsidP="00D75EF6">
      <w:pPr>
        <w:pStyle w:val="ListBullet"/>
      </w:pPr>
      <w:r>
        <w:t>The VBECS user may view active and inactive surgery names.</w:t>
      </w:r>
    </w:p>
    <w:p w14:paraId="11D3DBF6" w14:textId="77777777" w:rsidR="00D75EF6" w:rsidRDefault="00D75EF6" w:rsidP="00D75EF6">
      <w:pPr>
        <w:pStyle w:val="Heading4"/>
      </w:pPr>
      <w:r>
        <w:t>User Roles with Access to This Option</w:t>
      </w:r>
    </w:p>
    <w:p w14:paraId="07AA24F1" w14:textId="77777777" w:rsidR="00D75EF6" w:rsidRDefault="00D75EF6" w:rsidP="00D75EF6">
      <w:pPr>
        <w:pStyle w:val="Roles"/>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Enhanced Supervisor</w:t>
      </w:r>
    </w:p>
    <w:p w14:paraId="2557EA59" w14:textId="77777777" w:rsidR="00D75EF6" w:rsidRDefault="00D75EF6" w:rsidP="00D75EF6">
      <w:pPr>
        <w:pStyle w:val="Heading4"/>
      </w:pPr>
      <w:r>
        <w:t>MSBOS</w:t>
      </w:r>
    </w:p>
    <w:p w14:paraId="38C62609" w14:textId="77777777" w:rsidR="00D75EF6" w:rsidRDefault="00D75EF6" w:rsidP="00D75EF6">
      <w:pPr>
        <w:pStyle w:val="BodyText"/>
      </w:pPr>
      <w:r>
        <w:t xml:space="preserve">The user selects a surgery name from the generic surgery list or creates a new surgery name, then defines the associated MSBOS recommendation. MSBOS is used when VBECS acknowledges orders from </w:t>
      </w:r>
      <w:r w:rsidRPr="00CA0045">
        <w:rPr>
          <w:bCs/>
        </w:rPr>
        <w:t>VistA</w:t>
      </w:r>
      <w:r>
        <w:t xml:space="preserve"> that are written for preoperative patients.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D75EF6" w14:paraId="1D37D59D" w14:textId="77777777">
        <w:trPr>
          <w:tblHeader/>
        </w:trPr>
        <w:tc>
          <w:tcPr>
            <w:tcW w:w="3240" w:type="dxa"/>
            <w:shd w:val="pct30" w:color="auto" w:fill="FFFFFF"/>
            <w:vAlign w:val="bottom"/>
          </w:tcPr>
          <w:p w14:paraId="24ADE89C" w14:textId="77777777" w:rsidR="00D75EF6" w:rsidRDefault="00D75EF6" w:rsidP="00DB1D38">
            <w:pPr>
              <w:pStyle w:val="TableText"/>
              <w:rPr>
                <w:b/>
              </w:rPr>
            </w:pPr>
            <w:r>
              <w:rPr>
                <w:b/>
              </w:rPr>
              <w:t>User Action</w:t>
            </w:r>
          </w:p>
        </w:tc>
        <w:tc>
          <w:tcPr>
            <w:tcW w:w="6120" w:type="dxa"/>
            <w:shd w:val="pct30" w:color="auto" w:fill="FFFFFF"/>
            <w:vAlign w:val="bottom"/>
          </w:tcPr>
          <w:p w14:paraId="3EC16B22" w14:textId="77777777" w:rsidR="00D75EF6" w:rsidRDefault="00D75EF6" w:rsidP="00DB1D38">
            <w:pPr>
              <w:pStyle w:val="TableText"/>
              <w:rPr>
                <w:b/>
              </w:rPr>
            </w:pPr>
            <w:r>
              <w:rPr>
                <w:b/>
              </w:rPr>
              <w:t>VBECS</w:t>
            </w:r>
          </w:p>
        </w:tc>
      </w:tr>
      <w:tr w:rsidR="00D75EF6" w14:paraId="36EF6B73" w14:textId="77777777">
        <w:tc>
          <w:tcPr>
            <w:tcW w:w="3240" w:type="dxa"/>
          </w:tcPr>
          <w:p w14:paraId="020AAED9" w14:textId="77777777" w:rsidR="00D75EF6" w:rsidRDefault="00D75EF6" w:rsidP="00DB1D38">
            <w:pPr>
              <w:pStyle w:val="TableTextNumbers"/>
            </w:pPr>
            <w:r>
              <w:t xml:space="preserve">Select </w:t>
            </w:r>
            <w:r>
              <w:rPr>
                <w:b/>
                <w:bCs/>
              </w:rPr>
              <w:t>Tools</w:t>
            </w:r>
            <w:r>
              <w:t xml:space="preserve"> from the main menu.</w:t>
            </w:r>
          </w:p>
          <w:p w14:paraId="6EE260E5" w14:textId="77777777" w:rsidR="00D75EF6" w:rsidRDefault="00D75EF6" w:rsidP="00DB1D38">
            <w:pPr>
              <w:pStyle w:val="TableTextNumbersContinued"/>
            </w:pPr>
          </w:p>
          <w:p w14:paraId="7DAC1585" w14:textId="77777777" w:rsidR="00D75EF6" w:rsidRDefault="00D75EF6" w:rsidP="00DB1D38">
            <w:pPr>
              <w:pStyle w:val="TableTextNumbersContinued"/>
            </w:pPr>
            <w:r>
              <w:t xml:space="preserve">Select </w:t>
            </w:r>
            <w:r>
              <w:rPr>
                <w:b/>
              </w:rPr>
              <w:t>MSBOS</w:t>
            </w:r>
            <w:r>
              <w:t>.</w:t>
            </w:r>
          </w:p>
        </w:tc>
        <w:tc>
          <w:tcPr>
            <w:tcW w:w="6120" w:type="dxa"/>
          </w:tcPr>
          <w:p w14:paraId="4DC2887A" w14:textId="77777777" w:rsidR="00D75EF6" w:rsidRDefault="00D75EF6" w:rsidP="00DB1D38">
            <w:pPr>
              <w:pStyle w:val="TableTextBullet"/>
            </w:pPr>
            <w:r>
              <w:t>Displays options for processing administrative functions.</w:t>
            </w:r>
          </w:p>
          <w:p w14:paraId="3AFA7F38" w14:textId="77777777" w:rsidR="00D75EF6" w:rsidRDefault="00D75EF6" w:rsidP="00DB1D38">
            <w:pPr>
              <w:pStyle w:val="TableTextBullet"/>
            </w:pPr>
            <w:r>
              <w:t xml:space="preserve">Displays the schedule and component recommendation options. </w:t>
            </w:r>
          </w:p>
        </w:tc>
      </w:tr>
      <w:tr w:rsidR="00D75EF6" w14:paraId="3A051B4E" w14:textId="77777777" w:rsidTr="007E500E">
        <w:trPr>
          <w:cantSplit/>
        </w:trPr>
        <w:tc>
          <w:tcPr>
            <w:tcW w:w="3240" w:type="dxa"/>
          </w:tcPr>
          <w:p w14:paraId="19F9E808" w14:textId="3ECAAC2D" w:rsidR="00D75EF6" w:rsidRDefault="00D75EF6" w:rsidP="00DB1D38">
            <w:pPr>
              <w:pStyle w:val="TableTextNumbers"/>
            </w:pPr>
            <w:r>
              <w:lastRenderedPageBreak/>
              <w:t xml:space="preserve">To activate an existing surgery name, click the </w:t>
            </w:r>
            <w:r>
              <w:rPr>
                <w:b/>
                <w:bCs/>
              </w:rPr>
              <w:t xml:space="preserve">Show Inactive MSBOS entries </w:t>
            </w:r>
            <w:r w:rsidRPr="00D1100E">
              <w:rPr>
                <w:bCs/>
              </w:rPr>
              <w:t>check box</w:t>
            </w:r>
            <w:r w:rsidR="00070D1C">
              <w:rPr>
                <w:bCs/>
              </w:rPr>
              <w:t xml:space="preserve"> (</w:t>
            </w:r>
            <w:r w:rsidR="00EE455E">
              <w:t xml:space="preserve">Figure </w:t>
            </w:r>
            <w:r w:rsidR="00EE455E">
              <w:rPr>
                <w:noProof/>
              </w:rPr>
              <w:t>35</w:t>
            </w:r>
            <w:r w:rsidR="00070D1C">
              <w:rPr>
                <w:bCs/>
              </w:rPr>
              <w:t>)</w:t>
            </w:r>
            <w:r>
              <w:t>.</w:t>
            </w:r>
          </w:p>
          <w:p w14:paraId="234738CD" w14:textId="77777777" w:rsidR="00D75EF6" w:rsidRDefault="00D75EF6" w:rsidP="00DB1D38">
            <w:pPr>
              <w:pStyle w:val="TableTextNumbersContinued"/>
            </w:pPr>
          </w:p>
          <w:p w14:paraId="7E5AC54B" w14:textId="77777777" w:rsidR="00D75EF6" w:rsidRDefault="00D75EF6" w:rsidP="00DB1D38">
            <w:pPr>
              <w:pStyle w:val="TableTextNumbersContinued"/>
            </w:pPr>
            <w:r>
              <w:t>Select a surgery name.</w:t>
            </w:r>
          </w:p>
          <w:p w14:paraId="7B4FD09E" w14:textId="77777777" w:rsidR="00D75EF6" w:rsidRDefault="00D75EF6" w:rsidP="00DB1D38">
            <w:pPr>
              <w:pStyle w:val="TableTextNumbersContinued"/>
            </w:pPr>
          </w:p>
          <w:p w14:paraId="40033FB3" w14:textId="77777777" w:rsidR="00D75EF6" w:rsidRDefault="00D75EF6" w:rsidP="00DB1D38">
            <w:pPr>
              <w:pStyle w:val="TableTextNumbersContinued"/>
            </w:pPr>
            <w:r>
              <w:t xml:space="preserve">Click the </w:t>
            </w:r>
            <w:r>
              <w:rPr>
                <w:b/>
                <w:bCs/>
              </w:rPr>
              <w:t xml:space="preserve">Active MSBOS Entry? </w:t>
            </w:r>
            <w:r w:rsidRPr="00D1100E">
              <w:rPr>
                <w:bCs/>
              </w:rPr>
              <w:t>check box</w:t>
            </w:r>
            <w:r>
              <w:t>, or</w:t>
            </w:r>
          </w:p>
          <w:p w14:paraId="57AF8B12" w14:textId="77777777" w:rsidR="00D75EF6" w:rsidRDefault="00D75EF6" w:rsidP="00DB1D38">
            <w:pPr>
              <w:pStyle w:val="TableTextNumbersContinued"/>
            </w:pPr>
          </w:p>
          <w:p w14:paraId="0477119A" w14:textId="77777777" w:rsidR="00D75EF6" w:rsidRDefault="00D75EF6" w:rsidP="00DB1D38">
            <w:pPr>
              <w:pStyle w:val="TableTextNumbersContinued"/>
            </w:pPr>
            <w:r>
              <w:t xml:space="preserve">To add and activate a surgery name, click </w:t>
            </w:r>
            <w:r>
              <w:rPr>
                <w:b/>
                <w:bCs/>
              </w:rPr>
              <w:t xml:space="preserve">New Surgery </w:t>
            </w:r>
            <w:r>
              <w:t xml:space="preserve">and enter a surgery name in the Surgery Name field. Click </w:t>
            </w:r>
            <w:r>
              <w:rPr>
                <w:b/>
                <w:bCs/>
              </w:rPr>
              <w:t>Add</w:t>
            </w:r>
            <w:r>
              <w:t xml:space="preserve">, or </w:t>
            </w:r>
          </w:p>
          <w:p w14:paraId="66EAEF2D" w14:textId="77777777" w:rsidR="00D75EF6" w:rsidRDefault="00D75EF6" w:rsidP="00DB1D38">
            <w:pPr>
              <w:pStyle w:val="TableTextNumbersContinued"/>
            </w:pPr>
          </w:p>
          <w:p w14:paraId="5DE66DF5" w14:textId="77777777" w:rsidR="00D75EF6" w:rsidRDefault="00D75EF6" w:rsidP="00DB1D38">
            <w:pPr>
              <w:pStyle w:val="TableTextNumbersContinued"/>
            </w:pPr>
            <w:r>
              <w:t xml:space="preserve">To edit and/or inactivate an existing surgery name, click the appropriate options in the MSBOS Component Recommendation area of the screen edit. Click </w:t>
            </w:r>
            <w:r>
              <w:rPr>
                <w:b/>
                <w:bCs/>
              </w:rPr>
              <w:t>Update</w:t>
            </w:r>
            <w:r>
              <w:t>.</w:t>
            </w:r>
          </w:p>
        </w:tc>
        <w:tc>
          <w:tcPr>
            <w:tcW w:w="6120" w:type="dxa"/>
          </w:tcPr>
          <w:p w14:paraId="6C153D52" w14:textId="77777777" w:rsidR="00D75EF6" w:rsidRDefault="00D75EF6" w:rsidP="00DB1D38">
            <w:pPr>
              <w:pStyle w:val="TableTextBullet"/>
            </w:pPr>
            <w:r>
              <w:t>Lists active surgery names or allows the user to create an entry.</w:t>
            </w:r>
          </w:p>
          <w:p w14:paraId="05DE7385" w14:textId="77777777" w:rsidR="00D75EF6" w:rsidRDefault="00D75EF6" w:rsidP="00DB1D38">
            <w:pPr>
              <w:pStyle w:val="TableTextBullet"/>
            </w:pPr>
            <w:r>
              <w:t>Activate, add, or edit a MSBOS entry and its associated data.</w:t>
            </w:r>
          </w:p>
          <w:p w14:paraId="42026B31" w14:textId="77777777" w:rsidR="00D75EF6" w:rsidRDefault="00D75EF6" w:rsidP="00DB1D38">
            <w:pPr>
              <w:pStyle w:val="TableTextBullet"/>
            </w:pPr>
            <w:r>
              <w:t>Displays surgery names available for activation.</w:t>
            </w:r>
          </w:p>
          <w:p w14:paraId="71D70147" w14:textId="77777777" w:rsidR="00D75EF6" w:rsidRDefault="00D75EF6" w:rsidP="00DB1D38">
            <w:pPr>
              <w:pStyle w:val="TableTextBullet"/>
            </w:pPr>
            <w:r>
              <w:t>Displays entries for review and acceptance.</w:t>
            </w:r>
          </w:p>
          <w:p w14:paraId="6058EFC3" w14:textId="77777777" w:rsidR="00D75EF6" w:rsidRDefault="00D75EF6" w:rsidP="00DB1D38">
            <w:pPr>
              <w:pStyle w:val="TableText"/>
            </w:pPr>
          </w:p>
          <w:p w14:paraId="4EF2E621" w14:textId="79552DBC" w:rsidR="00D75EF6" w:rsidRDefault="00D75EF6" w:rsidP="00DB1D38">
            <w:pPr>
              <w:pStyle w:val="TableText"/>
              <w:rPr>
                <w:b/>
                <w:bCs/>
                <w:szCs w:val="18"/>
              </w:rPr>
            </w:pPr>
            <w:r>
              <w:rPr>
                <w:b/>
                <w:bCs/>
                <w:szCs w:val="18"/>
              </w:rPr>
              <w:t>NOTES</w:t>
            </w:r>
          </w:p>
          <w:p w14:paraId="5773551B" w14:textId="77777777" w:rsidR="00D75EF6" w:rsidRDefault="00D75EF6" w:rsidP="00DB1D38">
            <w:pPr>
              <w:pStyle w:val="NotesText"/>
            </w:pPr>
          </w:p>
          <w:p w14:paraId="7E94D3D5" w14:textId="77777777" w:rsidR="00D75EF6" w:rsidRDefault="00D75EF6" w:rsidP="00DB1D38">
            <w:pPr>
              <w:pStyle w:val="NotesText"/>
            </w:pPr>
            <w:r w:rsidRPr="009660C3">
              <w:rPr>
                <w:vanish/>
                <w:szCs w:val="18"/>
              </w:rPr>
              <w:t xml:space="preserve">BR_32.01 </w:t>
            </w:r>
            <w:r>
              <w:t>MSBOS is specific to the division.</w:t>
            </w:r>
          </w:p>
          <w:p w14:paraId="2E8F8937" w14:textId="77777777" w:rsidR="00D75EF6" w:rsidRDefault="00D75EF6" w:rsidP="00DB1D38">
            <w:pPr>
              <w:pStyle w:val="NotesText"/>
            </w:pPr>
          </w:p>
          <w:p w14:paraId="538FE01E" w14:textId="59E51744" w:rsidR="00D75EF6" w:rsidRDefault="00D75EF6" w:rsidP="00DB1D38">
            <w:pPr>
              <w:pStyle w:val="NotesText"/>
            </w:pPr>
            <w:r>
              <w:t xml:space="preserve">See </w:t>
            </w:r>
            <w:r w:rsidR="00EE455E">
              <w:t xml:space="preserve">Appendix </w:t>
            </w:r>
            <w:r w:rsidR="00EE455E">
              <w:rPr>
                <w:noProof/>
              </w:rPr>
              <w:t>B</w:t>
            </w:r>
            <w:r w:rsidR="00DB529D">
              <w:t xml:space="preserve">: </w:t>
            </w:r>
            <w:r w:rsidR="00EE455E">
              <w:t xml:space="preserve">Table </w:t>
            </w:r>
            <w:r w:rsidR="00EE455E">
              <w:rPr>
                <w:noProof/>
              </w:rPr>
              <w:t>23</w:t>
            </w:r>
            <w:r w:rsidR="00EE455E">
              <w:t xml:space="preserve">: </w:t>
            </w:r>
            <w:r w:rsidR="00EE455E">
              <w:rPr>
                <w:vanish/>
              </w:rPr>
              <w:t>PT_32.01</w:t>
            </w:r>
            <w:r w:rsidR="00EE455E">
              <w:rPr>
                <w:vanish/>
                <w:sz w:val="16"/>
              </w:rPr>
              <w:t xml:space="preserve"> </w:t>
            </w:r>
            <w:r w:rsidR="00EE455E">
              <w:t>VBECS Maximum Surgical Blood Order Schedule (MSBOS)</w:t>
            </w:r>
            <w:r>
              <w:t>.</w:t>
            </w:r>
          </w:p>
          <w:p w14:paraId="5195B045" w14:textId="77777777" w:rsidR="00D75EF6" w:rsidRDefault="00D75EF6" w:rsidP="00DB1D38">
            <w:pPr>
              <w:pStyle w:val="NotesText"/>
            </w:pPr>
          </w:p>
          <w:p w14:paraId="76982AF1" w14:textId="77777777" w:rsidR="00D75EF6" w:rsidRDefault="00D75EF6" w:rsidP="00DB1D38">
            <w:pPr>
              <w:pStyle w:val="NotesText"/>
            </w:pPr>
            <w:r w:rsidRPr="009660C3">
              <w:rPr>
                <w:vanish/>
                <w:szCs w:val="18"/>
              </w:rPr>
              <w:t xml:space="preserve">BR_32.04 </w:t>
            </w:r>
            <w:r>
              <w:t>Each surgery name has a Type &amp; Screen (TAS) (no blood order recommended) or one or more component classes defined as recommended orders.</w:t>
            </w:r>
          </w:p>
          <w:p w14:paraId="46B464A0" w14:textId="77777777" w:rsidR="00D75EF6" w:rsidRDefault="00D75EF6" w:rsidP="00DB1D38">
            <w:pPr>
              <w:pStyle w:val="NotesText"/>
            </w:pPr>
          </w:p>
          <w:p w14:paraId="11851862" w14:textId="77777777" w:rsidR="00D75EF6" w:rsidRDefault="00D75EF6" w:rsidP="00DB1D38">
            <w:pPr>
              <w:pStyle w:val="NotesText"/>
            </w:pPr>
            <w:r w:rsidRPr="009660C3">
              <w:rPr>
                <w:vanish/>
                <w:szCs w:val="18"/>
              </w:rPr>
              <w:t>BR_32.02</w:t>
            </w:r>
            <w:r w:rsidR="009660C3" w:rsidRPr="009660C3">
              <w:rPr>
                <w:vanish/>
                <w:szCs w:val="18"/>
              </w:rPr>
              <w:t>,</w:t>
            </w:r>
            <w:r w:rsidRPr="009660C3">
              <w:rPr>
                <w:vanish/>
                <w:szCs w:val="18"/>
              </w:rPr>
              <w:t xml:space="preserve"> BR_32.03 </w:t>
            </w:r>
            <w:r>
              <w:t>The user may select one or more component classes for MSBOS recommendation. Each defined component class must have an associated maximum number recommended. The user may inactivate previously activated component classes for an MSBOS recommendation. The OTHER component class is not available for selection.</w:t>
            </w:r>
          </w:p>
        </w:tc>
      </w:tr>
      <w:tr w:rsidR="00D75EF6" w14:paraId="476AC749" w14:textId="77777777">
        <w:tc>
          <w:tcPr>
            <w:tcW w:w="3240" w:type="dxa"/>
          </w:tcPr>
          <w:p w14:paraId="70F53F8C" w14:textId="77777777" w:rsidR="00D75EF6" w:rsidRDefault="00D75EF6" w:rsidP="00DB1D38">
            <w:pPr>
              <w:pStyle w:val="TableTextNumbers"/>
            </w:pPr>
            <w:r>
              <w:t>Repeat Step 2 until all new entries are created or existing entries are edited.</w:t>
            </w:r>
          </w:p>
          <w:p w14:paraId="0B93D141" w14:textId="77777777" w:rsidR="00D75EF6" w:rsidRDefault="00D75EF6" w:rsidP="00DB1D38">
            <w:pPr>
              <w:pStyle w:val="TableTextNumbersContinued"/>
            </w:pPr>
          </w:p>
          <w:p w14:paraId="40CF5399" w14:textId="77777777" w:rsidR="00D75EF6" w:rsidRDefault="00D75EF6" w:rsidP="00DB1D38">
            <w:pPr>
              <w:pStyle w:val="TableTextNumbersContinued"/>
            </w:pPr>
            <w:r>
              <w:t xml:space="preserve">Click </w:t>
            </w:r>
            <w:r>
              <w:rPr>
                <w:b/>
              </w:rPr>
              <w:t>OK</w:t>
            </w:r>
            <w:r>
              <w:t xml:space="preserve"> to save the updated data.</w:t>
            </w:r>
          </w:p>
        </w:tc>
        <w:tc>
          <w:tcPr>
            <w:tcW w:w="6120" w:type="dxa"/>
          </w:tcPr>
          <w:p w14:paraId="6CC6FC21" w14:textId="77777777" w:rsidR="00D75EF6" w:rsidRDefault="00D75EF6" w:rsidP="00DB1D38">
            <w:pPr>
              <w:pStyle w:val="TableText"/>
              <w:rPr>
                <w:b/>
                <w:bCs/>
                <w:szCs w:val="18"/>
              </w:rPr>
            </w:pPr>
          </w:p>
          <w:p w14:paraId="28C37F3E" w14:textId="53C88B7E" w:rsidR="00D75EF6" w:rsidRDefault="00D75EF6" w:rsidP="00DB1D38">
            <w:pPr>
              <w:pStyle w:val="TableText"/>
              <w:rPr>
                <w:b/>
                <w:bCs/>
                <w:szCs w:val="18"/>
              </w:rPr>
            </w:pPr>
            <w:r>
              <w:rPr>
                <w:b/>
                <w:bCs/>
                <w:szCs w:val="18"/>
              </w:rPr>
              <w:t>NOTES</w:t>
            </w:r>
          </w:p>
          <w:p w14:paraId="6EF52DBC" w14:textId="77777777" w:rsidR="00D75EF6" w:rsidRDefault="00D75EF6" w:rsidP="00DB1D38">
            <w:pPr>
              <w:pStyle w:val="NotesText"/>
            </w:pPr>
          </w:p>
          <w:p w14:paraId="4EE878B0" w14:textId="77777777" w:rsidR="00D75EF6" w:rsidRDefault="00D75EF6" w:rsidP="00DB1D38">
            <w:pPr>
              <w:pStyle w:val="NotesText"/>
            </w:pPr>
            <w:r>
              <w:t xml:space="preserve">VBECS does not save changes to the database when the user clicks </w:t>
            </w:r>
            <w:r>
              <w:rPr>
                <w:b/>
                <w:bCs/>
              </w:rPr>
              <w:t>Cancel</w:t>
            </w:r>
            <w:r>
              <w:t xml:space="preserve"> without clicking </w:t>
            </w:r>
            <w:r>
              <w:rPr>
                <w:b/>
                <w:bCs/>
              </w:rPr>
              <w:t>OK</w:t>
            </w:r>
            <w:r>
              <w:t>.</w:t>
            </w:r>
          </w:p>
        </w:tc>
      </w:tr>
      <w:tr w:rsidR="00D75EF6" w14:paraId="1C6FF01A" w14:textId="77777777">
        <w:tc>
          <w:tcPr>
            <w:tcW w:w="3240" w:type="dxa"/>
          </w:tcPr>
          <w:p w14:paraId="666C2312" w14:textId="77777777" w:rsidR="00D75EF6" w:rsidRDefault="00D75EF6" w:rsidP="00DB1D38">
            <w:pPr>
              <w:pStyle w:val="TableTextNumbers"/>
            </w:pPr>
            <w:r>
              <w:t xml:space="preserve">Click </w:t>
            </w:r>
            <w:r>
              <w:rPr>
                <w:b/>
              </w:rPr>
              <w:t>Cancel</w:t>
            </w:r>
            <w:r>
              <w:rPr>
                <w:bCs/>
              </w:rPr>
              <w:t xml:space="preserve"> to exit</w:t>
            </w:r>
            <w:r>
              <w:t xml:space="preserve">. </w:t>
            </w:r>
            <w:r>
              <w:rPr>
                <w:rStyle w:val="TableTextNumbersChar"/>
                <w:vanish/>
                <w:color w:val="FFFFFF"/>
                <w:szCs w:val="18"/>
              </w:rPr>
              <w:fldChar w:fldCharType="begin"/>
            </w:r>
            <w:r>
              <w:rPr>
                <w:rStyle w:val="TableTextNumbersChar"/>
                <w:vanish/>
                <w:color w:val="FFFFFF"/>
                <w:szCs w:val="18"/>
              </w:rPr>
              <w:instrText xml:space="preserve"> LISTNUM \l 1 \s 0 </w:instrText>
            </w:r>
            <w:r>
              <w:rPr>
                <w:rStyle w:val="TableTextNumbersChar"/>
                <w:vanish/>
                <w:color w:val="FFFFFF"/>
                <w:szCs w:val="18"/>
              </w:rPr>
              <w:fldChar w:fldCharType="end">
                <w:numberingChange w:id="216" w:author="MUSZYNSKI, THOMAS D. (SIERRA 7 INC)" w:date="2024-11-26T07:15:00Z" w:original="0."/>
              </w:fldChar>
            </w:r>
          </w:p>
        </w:tc>
        <w:tc>
          <w:tcPr>
            <w:tcW w:w="6120" w:type="dxa"/>
          </w:tcPr>
          <w:p w14:paraId="5D8A446D" w14:textId="77777777" w:rsidR="00D75EF6" w:rsidRDefault="00D75EF6" w:rsidP="00DB1D38">
            <w:pPr>
              <w:pStyle w:val="TableText"/>
            </w:pPr>
          </w:p>
        </w:tc>
      </w:tr>
    </w:tbl>
    <w:p w14:paraId="0D5ADB82" w14:textId="7CB18351" w:rsidR="00070D1C" w:rsidRDefault="00070D1C" w:rsidP="00070D1C">
      <w:pPr>
        <w:pStyle w:val="Caption"/>
      </w:pPr>
      <w:bookmarkStart w:id="217" w:name="_Ref126472861"/>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7D1829">
        <w:rPr>
          <w:noProof/>
        </w:rPr>
        <w:t>36</w:t>
      </w:r>
      <w:r w:rsidR="004E20BD">
        <w:rPr>
          <w:noProof/>
        </w:rPr>
        <w:fldChar w:fldCharType="end"/>
      </w:r>
      <w:bookmarkEnd w:id="217"/>
      <w:r>
        <w:t>: Maintain MSBOS</w:t>
      </w:r>
    </w:p>
    <w:p w14:paraId="71A3B755" w14:textId="77777777" w:rsidR="00D75EF6" w:rsidRDefault="00057948" w:rsidP="00070D1C">
      <w:pPr>
        <w:pStyle w:val="BodyText"/>
      </w:pPr>
      <w:r>
        <w:rPr>
          <w:noProof/>
        </w:rPr>
        <w:drawing>
          <wp:inline distT="0" distB="0" distL="0" distR="0" wp14:anchorId="1027D1CB" wp14:editId="5F2EA27E">
            <wp:extent cx="3546475" cy="2936875"/>
            <wp:effectExtent l="0" t="0" r="0" b="0"/>
            <wp:docPr id="138" name="Picture 138" descr="Example of Maintain MSBOS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Picture 138" descr="Example of Maintain MSBOS screen capture"/>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3546475" cy="2936875"/>
                    </a:xfrm>
                    <a:prstGeom prst="rect">
                      <a:avLst/>
                    </a:prstGeom>
                    <a:noFill/>
                    <a:ln>
                      <a:noFill/>
                    </a:ln>
                  </pic:spPr>
                </pic:pic>
              </a:graphicData>
            </a:graphic>
          </wp:inline>
        </w:drawing>
      </w:r>
    </w:p>
    <w:p w14:paraId="30BD1F0E" w14:textId="77777777" w:rsidR="002A21AE" w:rsidRDefault="00466CF2" w:rsidP="00D75EF6">
      <w:pPr>
        <w:pStyle w:val="Heading3"/>
      </w:pPr>
      <w:r>
        <w:br w:type="page"/>
      </w:r>
      <w:bookmarkStart w:id="218" w:name="_Toc203765873"/>
      <w:r w:rsidR="002A21AE">
        <w:lastRenderedPageBreak/>
        <w:t>Workload Codes</w:t>
      </w:r>
      <w:bookmarkEnd w:id="218"/>
      <w:r w:rsidR="002A21AE">
        <w:fldChar w:fldCharType="begin"/>
      </w:r>
      <w:r w:rsidR="002A21AE">
        <w:instrText xml:space="preserve"> XE </w:instrText>
      </w:r>
      <w:r w:rsidR="00FA7E65">
        <w:instrText>“</w:instrText>
      </w:r>
      <w:r w:rsidR="002A21AE">
        <w:instrText>Workload Codes</w:instrText>
      </w:r>
      <w:r w:rsidR="00FA7E65">
        <w:instrText>”</w:instrText>
      </w:r>
      <w:r w:rsidR="002A21AE">
        <w:instrText xml:space="preserve"> </w:instrText>
      </w:r>
      <w:r w:rsidR="002A21AE">
        <w:fldChar w:fldCharType="end"/>
      </w:r>
      <w:r w:rsidR="002A21AE">
        <w:t xml:space="preserve"> </w:t>
      </w:r>
      <w:r w:rsidR="002A21AE">
        <w:rPr>
          <w:rFonts w:ascii="Times New Roman" w:hAnsi="Times New Roman" w:cs="Times New Roman"/>
          <w:b w:val="0"/>
          <w:vanish/>
          <w:sz w:val="22"/>
        </w:rPr>
        <w:t>UC_29</w:t>
      </w:r>
    </w:p>
    <w:p w14:paraId="625D3A92" w14:textId="2E680492" w:rsidR="009D7052" w:rsidRDefault="009D7052" w:rsidP="009D7052">
      <w:pPr>
        <w:pStyle w:val="BodyText"/>
      </w:pPr>
      <w:r>
        <w:t xml:space="preserve">The user assigns workload Laboratory Management Index Program/National Laboratory Test (LMIP/NLT) tests to processes performed through VBECS. VBECS test names are associated with </w:t>
      </w:r>
      <w:r w:rsidRPr="00CA0045">
        <w:rPr>
          <w:bCs/>
        </w:rPr>
        <w:t>VistA</w:t>
      </w:r>
      <w:r>
        <w:t xml:space="preserve"> workload codes, which VBECS uses when compiling and storing data to provide workload-related reports to </w:t>
      </w:r>
      <w:r w:rsidRPr="00CA0045">
        <w:rPr>
          <w:bCs/>
        </w:rPr>
        <w:t>VistA</w:t>
      </w:r>
      <w:r>
        <w:t>.</w:t>
      </w:r>
      <w:r w:rsidR="001414E9">
        <w:t xml:space="preserve"> See </w:t>
      </w:r>
      <w:r w:rsidR="001414E9" w:rsidRPr="00423A7F">
        <w:rPr>
          <w:i/>
          <w:iCs/>
        </w:rPr>
        <w:t xml:space="preserve">FAQ </w:t>
      </w:r>
      <w:r w:rsidR="002F7CC9" w:rsidRPr="00423A7F">
        <w:rPr>
          <w:i/>
          <w:iCs/>
        </w:rPr>
        <w:t xml:space="preserve">Workload Assignments </w:t>
      </w:r>
      <w:r w:rsidR="001414E9" w:rsidRPr="00423A7F">
        <w:rPr>
          <w:i/>
          <w:iCs/>
        </w:rPr>
        <w:t>Single vs Batch Processing</w:t>
      </w:r>
      <w:r w:rsidR="001414E9">
        <w:t>.</w:t>
      </w:r>
      <w:r w:rsidR="00E90A01">
        <w:t xml:space="preserve"> For additional information, see </w:t>
      </w:r>
      <w:r w:rsidR="00EE455E">
        <w:t xml:space="preserve">Appendix </w:t>
      </w:r>
      <w:r w:rsidR="00EE455E">
        <w:rPr>
          <w:noProof/>
        </w:rPr>
        <w:t>G</w:t>
      </w:r>
      <w:r w:rsidR="00EE455E">
        <w:t>: Work Process Flowcharts</w:t>
      </w:r>
      <w:r w:rsidR="00E90A01">
        <w:t>.</w:t>
      </w:r>
    </w:p>
    <w:p w14:paraId="2D9CCEC1" w14:textId="77777777" w:rsidR="002A21AE" w:rsidRDefault="002A21AE">
      <w:pPr>
        <w:pStyle w:val="Heading4"/>
      </w:pPr>
      <w:r>
        <w:t>Assumptions</w:t>
      </w:r>
    </w:p>
    <w:p w14:paraId="73B4822D" w14:textId="77777777" w:rsidR="002A21AE" w:rsidRDefault="002A21AE">
      <w:pPr>
        <w:pStyle w:val="ListBullet"/>
      </w:pPr>
      <w:r>
        <w:t xml:space="preserve">The </w:t>
      </w:r>
      <w:r w:rsidR="00CA0045" w:rsidRPr="00CA0045">
        <w:rPr>
          <w:bCs/>
        </w:rPr>
        <w:t>VistA</w:t>
      </w:r>
      <w:r>
        <w:t xml:space="preserve"> database was updated to include all required workload codes for the VBECS process.</w:t>
      </w:r>
    </w:p>
    <w:p w14:paraId="6EF2DDCC" w14:textId="77777777" w:rsidR="002A21AE" w:rsidRDefault="002A21AE">
      <w:pPr>
        <w:pStyle w:val="ListBullet"/>
      </w:pPr>
      <w:r>
        <w:t xml:space="preserve">The </w:t>
      </w:r>
      <w:r w:rsidR="00CA0045" w:rsidRPr="00CA0045">
        <w:rPr>
          <w:bCs/>
        </w:rPr>
        <w:t>VistA</w:t>
      </w:r>
      <w:r>
        <w:t xml:space="preserve"> database was updated to associate CPT codes and costs with the workload codes to be used by VBECS.</w:t>
      </w:r>
    </w:p>
    <w:p w14:paraId="7633D936" w14:textId="77777777" w:rsidR="002A21AE" w:rsidRDefault="002A21AE">
      <w:pPr>
        <w:pStyle w:val="ListBullet"/>
      </w:pPr>
      <w:r>
        <w:t xml:space="preserve">The connection to </w:t>
      </w:r>
      <w:r w:rsidR="00CA0045" w:rsidRPr="00CA0045">
        <w:rPr>
          <w:bCs/>
        </w:rPr>
        <w:t>VistA</w:t>
      </w:r>
      <w:r>
        <w:t xml:space="preserve"> is active.</w:t>
      </w:r>
    </w:p>
    <w:p w14:paraId="3E20E16E" w14:textId="77777777" w:rsidR="002A21AE" w:rsidRDefault="002A21AE">
      <w:pPr>
        <w:pStyle w:val="Heading4"/>
      </w:pPr>
      <w:r>
        <w:t>Outcome</w:t>
      </w:r>
    </w:p>
    <w:p w14:paraId="0E7519B2" w14:textId="77777777" w:rsidR="002A21AE" w:rsidRDefault="002A21AE">
      <w:pPr>
        <w:pStyle w:val="ListBullet"/>
      </w:pPr>
      <w:r>
        <w:t xml:space="preserve">Data are available to the </w:t>
      </w:r>
      <w:r w:rsidR="00CA0045" w:rsidRPr="00CA0045">
        <w:rPr>
          <w:bCs/>
        </w:rPr>
        <w:t>VistA</w:t>
      </w:r>
      <w:r>
        <w:t xml:space="preserve"> workload package.</w:t>
      </w:r>
    </w:p>
    <w:p w14:paraId="3D67883F" w14:textId="77777777" w:rsidR="002A21AE" w:rsidRDefault="002A21AE">
      <w:pPr>
        <w:pStyle w:val="Heading4"/>
      </w:pPr>
      <w:r>
        <w:t>Limitations and Restrictions</w:t>
      </w:r>
    </w:p>
    <w:p w14:paraId="47E2B6C6" w14:textId="77777777" w:rsidR="002A21AE" w:rsidRDefault="001016A5">
      <w:pPr>
        <w:pStyle w:val="ListBullet"/>
      </w:pPr>
      <w:r>
        <w:t>Transfusion-only sites must not map workload codes to processes</w:t>
      </w:r>
      <w:r w:rsidR="009D4700">
        <w:t xml:space="preserve">, such as ABO/Rh testing, </w:t>
      </w:r>
      <w:r>
        <w:t>not performed on site.</w:t>
      </w:r>
    </w:p>
    <w:p w14:paraId="5F8A9442" w14:textId="5C992680" w:rsidR="0024008D" w:rsidRDefault="0024008D">
      <w:pPr>
        <w:pStyle w:val="ListBullet"/>
      </w:pPr>
      <w:r>
        <w:t xml:space="preserve">Retrieved </w:t>
      </w:r>
      <w:r w:rsidR="00D34F22">
        <w:t xml:space="preserve">LMIP/NLT </w:t>
      </w:r>
      <w:r>
        <w:t>codes from VistA may have multiple CPT codes. Inactivating any of the associated CPT codes in VBECS will inactivate the LMIP</w:t>
      </w:r>
      <w:r w:rsidR="00D34F22">
        <w:t>/NLT</w:t>
      </w:r>
      <w:r>
        <w:t xml:space="preserve"> code. Editing of the LMIP/NLT code associations </w:t>
      </w:r>
      <w:r w:rsidR="00D34F22">
        <w:t xml:space="preserve">must be done in </w:t>
      </w:r>
      <w:r w:rsidR="00D34F22" w:rsidRPr="00D34F22">
        <w:t>VistA</w:t>
      </w:r>
      <w:r w:rsidR="00D34F22">
        <w:t>.</w:t>
      </w:r>
      <w:r w:rsidR="00395ABB">
        <w:rPr>
          <w:vanish/>
        </w:rPr>
        <w:t xml:space="preserve"> DR 3090</w:t>
      </w:r>
      <w:r w:rsidR="00377878">
        <w:t xml:space="preserve"> </w:t>
      </w:r>
      <w:r w:rsidR="00377878" w:rsidRPr="00377878">
        <w:rPr>
          <w:vanish/>
        </w:rPr>
        <w:t>Defect 209370</w:t>
      </w:r>
    </w:p>
    <w:p w14:paraId="7A66F236" w14:textId="5687C1D7" w:rsidR="002C4355" w:rsidRDefault="002C4355">
      <w:pPr>
        <w:pStyle w:val="ListBullet"/>
      </w:pPr>
      <w:r>
        <w:t xml:space="preserve">Invalidating split units will result in extra workload equal to the number of splits created applied to the total number of units logged in. This occurs when split units are incorrectly processed in VBECS. </w:t>
      </w:r>
      <w:r w:rsidRPr="002C4355">
        <w:rPr>
          <w:vanish/>
        </w:rPr>
        <w:t>Defect 209156</w:t>
      </w:r>
    </w:p>
    <w:p w14:paraId="62668902" w14:textId="77777777" w:rsidR="002A21AE" w:rsidRDefault="002A21AE">
      <w:pPr>
        <w:pStyle w:val="Heading4"/>
      </w:pPr>
      <w:r>
        <w:t>Additional Information</w:t>
      </w:r>
    </w:p>
    <w:p w14:paraId="12A2F42F" w14:textId="77777777" w:rsidR="002A21AE" w:rsidRDefault="002A21AE">
      <w:pPr>
        <w:pStyle w:val="ListBullet"/>
      </w:pPr>
      <w:r>
        <w:t xml:space="preserve">VistALink is required to query </w:t>
      </w:r>
      <w:r w:rsidR="00CA0045" w:rsidRPr="00CA0045">
        <w:rPr>
          <w:bCs/>
        </w:rPr>
        <w:t>VistA</w:t>
      </w:r>
      <w:r>
        <w:t xml:space="preserve"> files 64 (NLT/LMIP) and 81 (CPT) for appropriate entries.</w:t>
      </w:r>
    </w:p>
    <w:p w14:paraId="107E7C7A" w14:textId="77777777" w:rsidR="001B4207" w:rsidRDefault="003605E3" w:rsidP="001B4207">
      <w:pPr>
        <w:pStyle w:val="ListBullet"/>
      </w:pPr>
      <w:r>
        <w:t>The division provides CPT codes and costs associated with the workload codes when they need updating.</w:t>
      </w:r>
    </w:p>
    <w:p w14:paraId="5F7A2025" w14:textId="77777777" w:rsidR="003605E3" w:rsidRDefault="001B4207" w:rsidP="001B4207">
      <w:pPr>
        <w:pStyle w:val="ListBullet"/>
      </w:pPr>
      <w:r w:rsidRPr="001B4207">
        <w:t>Each</w:t>
      </w:r>
      <w:r>
        <w:t xml:space="preserve"> site is responsible for notifying users when incorrect CPT codes are used.</w:t>
      </w:r>
    </w:p>
    <w:p w14:paraId="6B3024BF" w14:textId="77777777" w:rsidR="00B32F1A" w:rsidRDefault="00B32F1A" w:rsidP="00B32F1A">
      <w:pPr>
        <w:pStyle w:val="ListBullet"/>
      </w:pPr>
      <w:r w:rsidRPr="009F086D">
        <w:rPr>
          <w:vanish/>
        </w:rPr>
        <w:t xml:space="preserve">BR_15.09 </w:t>
      </w:r>
      <w:r>
        <w:t xml:space="preserve">Workload events are placed in a queue for transmission via </w:t>
      </w:r>
      <w:r w:rsidR="00922AD8">
        <w:t>VistALink</w:t>
      </w:r>
      <w:r>
        <w:t>.</w:t>
      </w:r>
    </w:p>
    <w:p w14:paraId="30FEB683" w14:textId="77777777" w:rsidR="002A21AE" w:rsidRDefault="002A21AE">
      <w:pPr>
        <w:pStyle w:val="Heading4"/>
      </w:pPr>
      <w:r>
        <w:t>User Roles with Access to This Option</w:t>
      </w:r>
    </w:p>
    <w:p w14:paraId="36AC94A2" w14:textId="77777777" w:rsidR="002A21AE" w:rsidRDefault="00230841">
      <w:pPr>
        <w:pStyle w:val="Roles"/>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Administrator/Supervisor</w:t>
      </w:r>
    </w:p>
    <w:p w14:paraId="15CEEAEA" w14:textId="77777777" w:rsidR="002A21AE" w:rsidRDefault="002A21AE">
      <w:pPr>
        <w:pStyle w:val="Heading4"/>
      </w:pPr>
      <w:r>
        <w:t>Workload Codes</w:t>
      </w:r>
    </w:p>
    <w:p w14:paraId="3E16C13D" w14:textId="77777777" w:rsidR="002A21AE" w:rsidRDefault="002A21AE" w:rsidP="00FA7E65">
      <w:pPr>
        <w:pStyle w:val="BodyText"/>
      </w:pPr>
      <w:r>
        <w:t xml:space="preserve">As part of record-keeping activity, VBECS allows the user to account for workload units associated with each activity and to assign costs incurred by the blood bank due to these activities. Data gathered because of this workload collection are available to </w:t>
      </w:r>
      <w:r w:rsidR="00CA0045" w:rsidRPr="00CA0045">
        <w:rPr>
          <w:bCs/>
        </w:rPr>
        <w:t>VistA</w:t>
      </w:r>
      <w:r>
        <w:t>, as needed, for various reports.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59060DD4" w14:textId="77777777">
        <w:trPr>
          <w:tblHeader/>
        </w:trPr>
        <w:tc>
          <w:tcPr>
            <w:tcW w:w="3240" w:type="dxa"/>
            <w:shd w:val="pct30" w:color="auto" w:fill="FFFFFF"/>
            <w:vAlign w:val="bottom"/>
          </w:tcPr>
          <w:p w14:paraId="0A001DC6" w14:textId="77777777" w:rsidR="002A21AE" w:rsidRDefault="002A21AE">
            <w:pPr>
              <w:pStyle w:val="TableText"/>
              <w:rPr>
                <w:b/>
              </w:rPr>
            </w:pPr>
            <w:r>
              <w:rPr>
                <w:b/>
              </w:rPr>
              <w:t>User Action</w:t>
            </w:r>
          </w:p>
        </w:tc>
        <w:tc>
          <w:tcPr>
            <w:tcW w:w="6120" w:type="dxa"/>
            <w:shd w:val="pct30" w:color="auto" w:fill="FFFFFF"/>
            <w:vAlign w:val="bottom"/>
          </w:tcPr>
          <w:p w14:paraId="4182FBE3" w14:textId="77777777" w:rsidR="002A21AE" w:rsidRDefault="002A21AE">
            <w:pPr>
              <w:pStyle w:val="TableText"/>
              <w:rPr>
                <w:b/>
              </w:rPr>
            </w:pPr>
            <w:r>
              <w:rPr>
                <w:b/>
              </w:rPr>
              <w:t>VBECS</w:t>
            </w:r>
          </w:p>
        </w:tc>
      </w:tr>
      <w:tr w:rsidR="002A21AE" w14:paraId="37F81144" w14:textId="77777777">
        <w:tc>
          <w:tcPr>
            <w:tcW w:w="3240" w:type="dxa"/>
          </w:tcPr>
          <w:p w14:paraId="584D5A1A" w14:textId="77777777" w:rsidR="002A21AE" w:rsidRDefault="002A21AE">
            <w:pPr>
              <w:pStyle w:val="TableTextNumbers"/>
            </w:pPr>
            <w:r>
              <w:t xml:space="preserve">Select </w:t>
            </w:r>
            <w:r>
              <w:rPr>
                <w:b/>
              </w:rPr>
              <w:t>Tools</w:t>
            </w:r>
            <w:r>
              <w:t xml:space="preserve"> from the main menu.</w:t>
            </w:r>
          </w:p>
          <w:p w14:paraId="2A867A5A" w14:textId="77777777" w:rsidR="002A21AE" w:rsidRDefault="002A21AE">
            <w:pPr>
              <w:pStyle w:val="TableTextNumbersContinued"/>
              <w:rPr>
                <w:b/>
                <w:bCs/>
              </w:rPr>
            </w:pPr>
          </w:p>
          <w:p w14:paraId="04109F8C" w14:textId="77777777" w:rsidR="002A21AE" w:rsidRDefault="002A21AE">
            <w:pPr>
              <w:pStyle w:val="TableTextNumbersContinued"/>
            </w:pPr>
            <w:r>
              <w:t xml:space="preserve">Select </w:t>
            </w:r>
            <w:r>
              <w:rPr>
                <w:b/>
              </w:rPr>
              <w:t>Workload Codes</w:t>
            </w:r>
            <w:r>
              <w:t>.</w:t>
            </w:r>
          </w:p>
        </w:tc>
        <w:tc>
          <w:tcPr>
            <w:tcW w:w="6120" w:type="dxa"/>
          </w:tcPr>
          <w:p w14:paraId="0CC570F7" w14:textId="77777777" w:rsidR="002A21AE" w:rsidRDefault="002A21AE">
            <w:pPr>
              <w:pStyle w:val="TableTextBullet"/>
            </w:pPr>
            <w:r>
              <w:t>Displays options for processing administrative functions.</w:t>
            </w:r>
          </w:p>
          <w:p w14:paraId="0D8B6290" w14:textId="77777777" w:rsidR="002A21AE" w:rsidRDefault="002A21AE">
            <w:pPr>
              <w:pStyle w:val="TableTextBullet"/>
            </w:pPr>
            <w:r>
              <w:t>Displays fields for entering workload-related data.</w:t>
            </w:r>
          </w:p>
          <w:p w14:paraId="3750F5F2" w14:textId="77777777" w:rsidR="002A21AE" w:rsidRDefault="002A21AE" w:rsidP="00FE130E">
            <w:pPr>
              <w:pStyle w:val="TableTextBullet"/>
            </w:pPr>
            <w:r>
              <w:t xml:space="preserve">Lists and retrieves processes that may involve workload. </w:t>
            </w:r>
          </w:p>
        </w:tc>
      </w:tr>
      <w:tr w:rsidR="002A21AE" w14:paraId="7A072B56" w14:textId="77777777" w:rsidTr="007E500E">
        <w:trPr>
          <w:cantSplit/>
        </w:trPr>
        <w:tc>
          <w:tcPr>
            <w:tcW w:w="3240" w:type="dxa"/>
          </w:tcPr>
          <w:p w14:paraId="42BB3B10" w14:textId="77777777" w:rsidR="002A21AE" w:rsidRDefault="002A21AE">
            <w:pPr>
              <w:pStyle w:val="TableTextNumbers"/>
            </w:pPr>
            <w:r>
              <w:lastRenderedPageBreak/>
              <w:t>Select a process for which to define workload codes.</w:t>
            </w:r>
          </w:p>
        </w:tc>
        <w:tc>
          <w:tcPr>
            <w:tcW w:w="6120" w:type="dxa"/>
          </w:tcPr>
          <w:p w14:paraId="23D5BB17" w14:textId="77777777" w:rsidR="002A21AE" w:rsidRDefault="002A21AE">
            <w:pPr>
              <w:pStyle w:val="TableTextBullet"/>
            </w:pPr>
            <w:r>
              <w:t>Allows the user to edit existing data or add data.</w:t>
            </w:r>
          </w:p>
          <w:p w14:paraId="597738DF" w14:textId="77777777" w:rsidR="002A21AE" w:rsidRDefault="002A21AE">
            <w:pPr>
              <w:pStyle w:val="TableText"/>
            </w:pPr>
          </w:p>
          <w:p w14:paraId="4DCDA2D8" w14:textId="4F9C46E6" w:rsidR="002A21AE" w:rsidRDefault="002A21AE">
            <w:pPr>
              <w:pStyle w:val="TableText"/>
              <w:rPr>
                <w:b/>
                <w:bCs/>
                <w:szCs w:val="18"/>
              </w:rPr>
            </w:pPr>
            <w:r>
              <w:rPr>
                <w:b/>
                <w:bCs/>
                <w:szCs w:val="18"/>
              </w:rPr>
              <w:t>NOTES</w:t>
            </w:r>
          </w:p>
          <w:p w14:paraId="64ED1E85" w14:textId="77777777" w:rsidR="002A21AE" w:rsidRDefault="002A21AE">
            <w:pPr>
              <w:pStyle w:val="NotesText"/>
            </w:pPr>
          </w:p>
          <w:p w14:paraId="77B8BD4A" w14:textId="77777777" w:rsidR="002A21AE" w:rsidRDefault="002A21AE">
            <w:pPr>
              <w:pStyle w:val="NotesText"/>
            </w:pPr>
            <w:r>
              <w:rPr>
                <w:rFonts w:cs="Arial"/>
                <w:vanish/>
              </w:rPr>
              <w:t xml:space="preserve">BR_29.02 </w:t>
            </w:r>
            <w:r>
              <w:t>The user may assign multiple LMIP and CPT workload codes to a process.</w:t>
            </w:r>
          </w:p>
          <w:p w14:paraId="0542AC15" w14:textId="77777777" w:rsidR="002A21AE" w:rsidRDefault="002A21AE">
            <w:pPr>
              <w:pStyle w:val="NotesText"/>
            </w:pPr>
          </w:p>
          <w:p w14:paraId="69D06031" w14:textId="77777777" w:rsidR="0024008D" w:rsidRDefault="002A21AE" w:rsidP="0024008D">
            <w:pPr>
              <w:pStyle w:val="NotesText"/>
            </w:pPr>
            <w:r>
              <w:rPr>
                <w:rFonts w:cs="Arial"/>
                <w:vanish/>
              </w:rPr>
              <w:t xml:space="preserve">BR_29.08 </w:t>
            </w:r>
            <w:r>
              <w:t xml:space="preserve">VBECS checks for active and </w:t>
            </w:r>
            <w:r w:rsidR="00F1401D">
              <w:t>inactivated</w:t>
            </w:r>
            <w:r>
              <w:t xml:space="preserve"> workload associations and does not allow the user to enter a duplicate association. VBECS allows the user to reactivate previously inactivate entries and add workload associations.</w:t>
            </w:r>
          </w:p>
        </w:tc>
      </w:tr>
      <w:tr w:rsidR="002A21AE" w14:paraId="0484A684" w14:textId="77777777">
        <w:tc>
          <w:tcPr>
            <w:tcW w:w="3240" w:type="dxa"/>
          </w:tcPr>
          <w:p w14:paraId="001685E5" w14:textId="77777777" w:rsidR="002A21AE" w:rsidRDefault="002A21AE">
            <w:pPr>
              <w:pStyle w:val="TableTextNumbers"/>
            </w:pPr>
            <w:r>
              <w:t>Select an LMIP/NLT code.</w:t>
            </w:r>
          </w:p>
          <w:p w14:paraId="7B1B5B35" w14:textId="77777777" w:rsidR="002A21AE" w:rsidRDefault="002A21AE">
            <w:pPr>
              <w:pStyle w:val="TableTextNumbersContinued"/>
              <w:rPr>
                <w:b/>
                <w:bCs/>
              </w:rPr>
            </w:pPr>
          </w:p>
          <w:p w14:paraId="63870939" w14:textId="77777777" w:rsidR="002A21AE" w:rsidRDefault="002A21AE">
            <w:pPr>
              <w:pStyle w:val="TableTextNumbersContinued"/>
            </w:pPr>
            <w:r>
              <w:t xml:space="preserve">Click </w:t>
            </w:r>
            <w:r>
              <w:rPr>
                <w:b/>
              </w:rPr>
              <w:t>Add</w:t>
            </w:r>
            <w:r>
              <w:t xml:space="preserve"> to add the code, or click </w:t>
            </w:r>
            <w:r>
              <w:rPr>
                <w:b/>
              </w:rPr>
              <w:t>Update</w:t>
            </w:r>
            <w:r>
              <w:t xml:space="preserve"> to select a current association to edit.</w:t>
            </w:r>
          </w:p>
          <w:p w14:paraId="4E79B8D5" w14:textId="77777777" w:rsidR="002A21AE" w:rsidRDefault="002A21AE">
            <w:pPr>
              <w:pStyle w:val="TableTextNumbersContinued"/>
            </w:pPr>
          </w:p>
          <w:p w14:paraId="2EB49726" w14:textId="77777777" w:rsidR="002A21AE" w:rsidRDefault="002A21AE">
            <w:pPr>
              <w:pStyle w:val="TableTextNumbersContinued"/>
            </w:pPr>
          </w:p>
        </w:tc>
        <w:tc>
          <w:tcPr>
            <w:tcW w:w="6120" w:type="dxa"/>
          </w:tcPr>
          <w:p w14:paraId="6117697D" w14:textId="77777777" w:rsidR="002A21AE" w:rsidRDefault="002A21AE">
            <w:pPr>
              <w:pStyle w:val="TableTextBullet"/>
            </w:pPr>
            <w:r>
              <w:t>Lists previously assigned LMIP/NLT codes for the selected process.</w:t>
            </w:r>
          </w:p>
          <w:p w14:paraId="5A36D4B3" w14:textId="189D27F3" w:rsidR="002A21AE" w:rsidRDefault="002A21AE">
            <w:pPr>
              <w:pStyle w:val="TableTextBullet"/>
            </w:pPr>
            <w:r>
              <w:t xml:space="preserve">Allows the user to select an </w:t>
            </w:r>
            <w:r w:rsidR="00F8401C">
              <w:t>LMIP</w:t>
            </w:r>
            <w:r>
              <w:t>/NLT code.</w:t>
            </w:r>
          </w:p>
          <w:p w14:paraId="048AAD46" w14:textId="77777777" w:rsidR="002A21AE" w:rsidRDefault="002A21AE">
            <w:pPr>
              <w:pStyle w:val="TableText"/>
            </w:pPr>
          </w:p>
          <w:p w14:paraId="57260C87" w14:textId="3958D580" w:rsidR="002A21AE" w:rsidRDefault="002A21AE">
            <w:pPr>
              <w:pStyle w:val="TableText"/>
              <w:rPr>
                <w:b/>
                <w:bCs/>
                <w:szCs w:val="18"/>
              </w:rPr>
            </w:pPr>
            <w:r>
              <w:rPr>
                <w:b/>
                <w:bCs/>
                <w:szCs w:val="18"/>
              </w:rPr>
              <w:t>NOTES</w:t>
            </w:r>
          </w:p>
          <w:p w14:paraId="69BB766D" w14:textId="77777777" w:rsidR="002A21AE" w:rsidRDefault="002A21AE">
            <w:pPr>
              <w:pStyle w:val="NotesText"/>
            </w:pPr>
          </w:p>
          <w:p w14:paraId="57BB1634" w14:textId="77777777" w:rsidR="002A21AE" w:rsidRDefault="002A21AE">
            <w:pPr>
              <w:pStyle w:val="NotesText"/>
            </w:pPr>
            <w:r>
              <w:t xml:space="preserve">VBECS uses VistALink to query the </w:t>
            </w:r>
            <w:r w:rsidR="00CA0045" w:rsidRPr="00CA0045">
              <w:rPr>
                <w:bCs/>
              </w:rPr>
              <w:t>VistA</w:t>
            </w:r>
            <w:r>
              <w:t xml:space="preserve"> WKLD CODE File (#64) for valid LMIP/NLT codes. </w:t>
            </w:r>
          </w:p>
          <w:p w14:paraId="3F4FA43B" w14:textId="77777777" w:rsidR="002A21AE" w:rsidRDefault="002A21AE">
            <w:pPr>
              <w:pStyle w:val="NotesText"/>
            </w:pPr>
          </w:p>
          <w:p w14:paraId="6D5C2F04" w14:textId="35208642" w:rsidR="002A21AE" w:rsidRDefault="00CA0045">
            <w:pPr>
              <w:pStyle w:val="NotesText"/>
            </w:pPr>
            <w:r w:rsidRPr="00CA0045">
              <w:rPr>
                <w:bCs/>
              </w:rPr>
              <w:t>VistA</w:t>
            </w:r>
            <w:r w:rsidR="002A21AE">
              <w:t xml:space="preserve"> uses the LMIP/NLT code to create workload reports as well as reports to </w:t>
            </w:r>
            <w:r w:rsidR="009B5B80">
              <w:t>patient care encounter (</w:t>
            </w:r>
            <w:r w:rsidR="002A21AE">
              <w:t>PCE</w:t>
            </w:r>
            <w:r w:rsidR="009B5B80">
              <w:t>)</w:t>
            </w:r>
            <w:r w:rsidR="002A21AE">
              <w:t xml:space="preserve"> and the</w:t>
            </w:r>
            <w:r w:rsidR="00A814C4">
              <w:t xml:space="preserve"> decision support system (</w:t>
            </w:r>
            <w:r w:rsidR="002A21AE">
              <w:t>DSS</w:t>
            </w:r>
            <w:r w:rsidR="00A814C4">
              <w:t>)</w:t>
            </w:r>
            <w:r w:rsidR="002A21AE">
              <w:t xml:space="preserve"> database.</w:t>
            </w:r>
          </w:p>
        </w:tc>
      </w:tr>
      <w:tr w:rsidR="002A21AE" w14:paraId="1697C986" w14:textId="77777777">
        <w:tc>
          <w:tcPr>
            <w:tcW w:w="3240" w:type="dxa"/>
          </w:tcPr>
          <w:p w14:paraId="6FF4C561" w14:textId="681FC681" w:rsidR="002A21AE" w:rsidRDefault="007E004C">
            <w:pPr>
              <w:pStyle w:val="TableTextNumbers"/>
            </w:pPr>
            <w:r>
              <w:t>Enter</w:t>
            </w:r>
            <w:r w:rsidR="002A21AE">
              <w:t xml:space="preserve"> the </w:t>
            </w:r>
            <w:r w:rsidR="000144A0">
              <w:t>start</w:t>
            </w:r>
            <w:r w:rsidR="002A21AE">
              <w:t xml:space="preserve"> or </w:t>
            </w:r>
            <w:r w:rsidR="000144A0">
              <w:t>stop</w:t>
            </w:r>
            <w:r w:rsidR="002A21AE">
              <w:t xml:space="preserve"> date (whichever is appropriate) of the workload code association with the VBECS process</w:t>
            </w:r>
            <w:r w:rsidR="006A1989">
              <w:t xml:space="preserve"> (</w:t>
            </w:r>
            <w:r w:rsidR="00EE455E">
              <w:t xml:space="preserve">Figure </w:t>
            </w:r>
            <w:r w:rsidR="00EE455E">
              <w:rPr>
                <w:noProof/>
              </w:rPr>
              <w:t>36</w:t>
            </w:r>
            <w:r w:rsidR="006A1989">
              <w:t>)</w:t>
            </w:r>
            <w:r w:rsidR="002A21AE">
              <w:t>.</w:t>
            </w:r>
          </w:p>
        </w:tc>
        <w:tc>
          <w:tcPr>
            <w:tcW w:w="6120" w:type="dxa"/>
          </w:tcPr>
          <w:p w14:paraId="1C45199E" w14:textId="77777777" w:rsidR="002A21AE" w:rsidRDefault="002A21AE">
            <w:pPr>
              <w:pStyle w:val="TableTextBullet"/>
            </w:pPr>
            <w:r>
              <w:t xml:space="preserve">Allows the user to enter a date. </w:t>
            </w:r>
          </w:p>
          <w:p w14:paraId="21F49426" w14:textId="77777777" w:rsidR="002A21AE" w:rsidRDefault="002A21AE">
            <w:pPr>
              <w:pStyle w:val="TableText"/>
            </w:pPr>
          </w:p>
          <w:p w14:paraId="3EE42FCD" w14:textId="20035137" w:rsidR="002A21AE" w:rsidRDefault="002A21AE">
            <w:pPr>
              <w:pStyle w:val="TableText"/>
              <w:rPr>
                <w:b/>
                <w:bCs/>
                <w:szCs w:val="18"/>
              </w:rPr>
            </w:pPr>
            <w:r>
              <w:rPr>
                <w:b/>
                <w:bCs/>
                <w:szCs w:val="18"/>
              </w:rPr>
              <w:t>NOTES</w:t>
            </w:r>
          </w:p>
          <w:p w14:paraId="530A9593" w14:textId="77777777" w:rsidR="002A21AE" w:rsidRDefault="002A21AE">
            <w:pPr>
              <w:pStyle w:val="NotesText"/>
            </w:pPr>
          </w:p>
          <w:p w14:paraId="58191AE4" w14:textId="77777777" w:rsidR="002A21AE" w:rsidRDefault="002A21AE">
            <w:pPr>
              <w:pStyle w:val="NotesText"/>
            </w:pPr>
            <w:r>
              <w:rPr>
                <w:rFonts w:cs="Arial"/>
                <w:vanish/>
              </w:rPr>
              <w:t xml:space="preserve">BR_29.05 </w:t>
            </w:r>
            <w:r>
              <w:t>The user may enter an inactivation date only when an activation date was previously entered (default start date and time: current date and time).</w:t>
            </w:r>
          </w:p>
          <w:p w14:paraId="56298BA5" w14:textId="77777777" w:rsidR="002A21AE" w:rsidRDefault="002A21AE">
            <w:pPr>
              <w:pStyle w:val="NotesText"/>
            </w:pPr>
          </w:p>
          <w:p w14:paraId="12DF2B96" w14:textId="77777777" w:rsidR="002A21AE" w:rsidRDefault="002A21AE">
            <w:pPr>
              <w:pStyle w:val="NotesText"/>
            </w:pPr>
            <w:r>
              <w:rPr>
                <w:rFonts w:cs="Arial"/>
                <w:vanish/>
              </w:rPr>
              <w:t xml:space="preserve">BR_29.06 </w:t>
            </w:r>
            <w:r>
              <w:t>The inactivation date must be later than or the same as the activation date. When the user attempts to enter an inactivation date that is earlier than the activation date, VBECS warns the user. There is no override.</w:t>
            </w:r>
          </w:p>
        </w:tc>
      </w:tr>
      <w:tr w:rsidR="002A21AE" w14:paraId="57F7931E" w14:textId="77777777">
        <w:tc>
          <w:tcPr>
            <w:tcW w:w="3240" w:type="dxa"/>
          </w:tcPr>
          <w:p w14:paraId="581ADDB7" w14:textId="1F00285A" w:rsidR="002A21AE" w:rsidRDefault="00047C63">
            <w:pPr>
              <w:pStyle w:val="TableTextNumbers"/>
            </w:pPr>
            <w:r>
              <w:t>Repeat Steps 3</w:t>
            </w:r>
            <w:r w:rsidR="004F5589">
              <w:t xml:space="preserve"> through </w:t>
            </w:r>
            <w:r>
              <w:t>4</w:t>
            </w:r>
            <w:r w:rsidR="002A21AE">
              <w:t xml:space="preserve"> for each LMIP/NLT code to be associated with the selected process.</w:t>
            </w:r>
          </w:p>
        </w:tc>
        <w:tc>
          <w:tcPr>
            <w:tcW w:w="6120" w:type="dxa"/>
          </w:tcPr>
          <w:p w14:paraId="19B88CA0" w14:textId="77777777" w:rsidR="002A21AE" w:rsidRDefault="002A21AE" w:rsidP="0037534D">
            <w:pPr>
              <w:pStyle w:val="TableText"/>
            </w:pPr>
          </w:p>
        </w:tc>
      </w:tr>
      <w:tr w:rsidR="002A21AE" w14:paraId="364D055C" w14:textId="77777777">
        <w:tc>
          <w:tcPr>
            <w:tcW w:w="3240" w:type="dxa"/>
          </w:tcPr>
          <w:p w14:paraId="4FD3BA31" w14:textId="77777777" w:rsidR="002A21AE" w:rsidRDefault="002A21AE">
            <w:pPr>
              <w:pStyle w:val="TableTextNumbers"/>
            </w:pPr>
            <w:r>
              <w:t>Add the selected parameters to the selected process.</w:t>
            </w:r>
          </w:p>
        </w:tc>
        <w:tc>
          <w:tcPr>
            <w:tcW w:w="6120" w:type="dxa"/>
          </w:tcPr>
          <w:p w14:paraId="089AD0E8" w14:textId="77777777" w:rsidR="002A21AE" w:rsidRDefault="002A21AE">
            <w:pPr>
              <w:pStyle w:val="TableTextBullet"/>
            </w:pPr>
            <w:r>
              <w:t xml:space="preserve">Allows the user to add the selected parameters. </w:t>
            </w:r>
          </w:p>
        </w:tc>
      </w:tr>
      <w:tr w:rsidR="002A21AE" w14:paraId="2719EBE7" w14:textId="77777777">
        <w:tc>
          <w:tcPr>
            <w:tcW w:w="3240" w:type="dxa"/>
          </w:tcPr>
          <w:p w14:paraId="43D37349" w14:textId="493077D0" w:rsidR="002A21AE" w:rsidRDefault="002A21AE" w:rsidP="00047C63">
            <w:pPr>
              <w:pStyle w:val="TableTextNumbers"/>
            </w:pPr>
            <w:r>
              <w:t>Repeat Steps 1</w:t>
            </w:r>
            <w:r w:rsidR="004F5589">
              <w:t xml:space="preserve"> through </w:t>
            </w:r>
            <w:r w:rsidR="00047C63">
              <w:t>6</w:t>
            </w:r>
            <w:r>
              <w:t xml:space="preserve"> for to define workload parameters for another process, or exit. </w:t>
            </w:r>
            <w:r w:rsidRPr="0079067D">
              <w:rPr>
                <w:vanish/>
                <w:color w:val="FFFFFF"/>
                <w:szCs w:val="18"/>
              </w:rPr>
              <w:fldChar w:fldCharType="begin"/>
            </w:r>
            <w:r w:rsidRPr="0079067D">
              <w:rPr>
                <w:vanish/>
                <w:color w:val="FFFFFF"/>
                <w:szCs w:val="18"/>
              </w:rPr>
              <w:instrText xml:space="preserve"> LISTNUM \l 1 \s 0 </w:instrText>
            </w:r>
            <w:r w:rsidRPr="0079067D">
              <w:rPr>
                <w:vanish/>
                <w:color w:val="FFFFFF"/>
                <w:szCs w:val="18"/>
              </w:rPr>
              <w:fldChar w:fldCharType="end">
                <w:numberingChange w:id="219" w:author="MUSZYNSKI, THOMAS D. (SIERRA 7 INC)" w:date="2024-11-26T07:15:00Z" w:original="0."/>
              </w:fldChar>
            </w:r>
          </w:p>
        </w:tc>
        <w:tc>
          <w:tcPr>
            <w:tcW w:w="6120" w:type="dxa"/>
          </w:tcPr>
          <w:p w14:paraId="21FAA1B2" w14:textId="77777777" w:rsidR="002A21AE" w:rsidRDefault="002A21AE">
            <w:pPr>
              <w:pStyle w:val="TableText"/>
            </w:pPr>
          </w:p>
        </w:tc>
      </w:tr>
    </w:tbl>
    <w:p w14:paraId="287BC646" w14:textId="2B984E06" w:rsidR="006A1989" w:rsidRDefault="006A1989" w:rsidP="006A1989">
      <w:pPr>
        <w:pStyle w:val="Caption"/>
      </w:pPr>
      <w:bookmarkStart w:id="220" w:name="_Ref126473082"/>
      <w:bookmarkStart w:id="221" w:name="_Toc63680394"/>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7D1829">
        <w:rPr>
          <w:noProof/>
        </w:rPr>
        <w:t>37</w:t>
      </w:r>
      <w:r w:rsidR="004E20BD">
        <w:rPr>
          <w:noProof/>
        </w:rPr>
        <w:fldChar w:fldCharType="end"/>
      </w:r>
      <w:bookmarkEnd w:id="220"/>
      <w:r>
        <w:t>: Assign Workload Codes</w:t>
      </w:r>
    </w:p>
    <w:p w14:paraId="2F723E9A" w14:textId="77777777" w:rsidR="00AA3950" w:rsidRDefault="00057948" w:rsidP="006A1989">
      <w:pPr>
        <w:pStyle w:val="BodyText"/>
      </w:pPr>
      <w:r>
        <w:rPr>
          <w:noProof/>
        </w:rPr>
        <w:drawing>
          <wp:inline distT="0" distB="0" distL="0" distR="0" wp14:anchorId="2CEA1965" wp14:editId="1CE20B1B">
            <wp:extent cx="3657600" cy="2484755"/>
            <wp:effectExtent l="0" t="0" r="0" b="0"/>
            <wp:docPr id="139" name="Picture 139" descr="Example of Assign Workload Codes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Picture 139" descr="Example of Assign Workload Codes screen capture"/>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3657600" cy="2484755"/>
                    </a:xfrm>
                    <a:prstGeom prst="rect">
                      <a:avLst/>
                    </a:prstGeom>
                    <a:noFill/>
                    <a:ln>
                      <a:noFill/>
                    </a:ln>
                  </pic:spPr>
                </pic:pic>
              </a:graphicData>
            </a:graphic>
          </wp:inline>
        </w:drawing>
      </w:r>
    </w:p>
    <w:p w14:paraId="4CD8653F" w14:textId="7A1D7D79" w:rsidR="00F46B5A" w:rsidRDefault="00F46B5A" w:rsidP="00F46B5A">
      <w:pPr>
        <w:pStyle w:val="Heading4"/>
      </w:pPr>
      <w:bookmarkStart w:id="222" w:name="_Toc91651289"/>
      <w:bookmarkStart w:id="223" w:name="_Toc91651290"/>
      <w:bookmarkStart w:id="224" w:name="_Toc63680374"/>
      <w:bookmarkStart w:id="225" w:name="_Toc63680383"/>
      <w:bookmarkEnd w:id="221"/>
      <w:r>
        <w:t>Remapping Workload Codes</w:t>
      </w:r>
      <w:r w:rsidR="00DC3DA1">
        <w:t xml:space="preserve"> </w:t>
      </w:r>
      <w:r w:rsidR="00F067E0">
        <w:rPr>
          <w:rFonts w:ascii="Arial Bold" w:hAnsi="Arial Bold"/>
          <w:vanish/>
        </w:rPr>
        <w:t xml:space="preserve"> DR 3762</w:t>
      </w:r>
    </w:p>
    <w:p w14:paraId="37DD9BE7" w14:textId="77777777" w:rsidR="00F46B5A" w:rsidRDefault="00F46B5A" w:rsidP="00F46B5A">
      <w:pPr>
        <w:pStyle w:val="BodyText"/>
      </w:pPr>
      <w:r>
        <w:t xml:space="preserve">When workload codes or a workload code multiplier is </w:t>
      </w:r>
      <w:r w:rsidR="004641B8">
        <w:t>changed,</w:t>
      </w:r>
      <w:r>
        <w:t xml:space="preserve"> VBECS must be updated. The active workload process to LMIP/NLT Code association must be inactivated and remapped for VBECS to track workload correctly.</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F46B5A" w14:paraId="54E60E3C" w14:textId="77777777" w:rsidTr="00F46B5A">
        <w:trPr>
          <w:tblHeader/>
        </w:trPr>
        <w:tc>
          <w:tcPr>
            <w:tcW w:w="3240" w:type="dxa"/>
            <w:shd w:val="pct30" w:color="auto" w:fill="FFFFFF"/>
            <w:vAlign w:val="bottom"/>
          </w:tcPr>
          <w:p w14:paraId="4BB2BF30" w14:textId="77777777" w:rsidR="00F46B5A" w:rsidRDefault="00F46B5A" w:rsidP="00F46B5A">
            <w:pPr>
              <w:pStyle w:val="TableText"/>
              <w:rPr>
                <w:b/>
              </w:rPr>
            </w:pPr>
            <w:r>
              <w:rPr>
                <w:b/>
              </w:rPr>
              <w:t>User Action</w:t>
            </w:r>
          </w:p>
        </w:tc>
        <w:tc>
          <w:tcPr>
            <w:tcW w:w="6120" w:type="dxa"/>
            <w:shd w:val="pct30" w:color="auto" w:fill="FFFFFF"/>
            <w:vAlign w:val="bottom"/>
          </w:tcPr>
          <w:p w14:paraId="235D7F36" w14:textId="77777777" w:rsidR="00F46B5A" w:rsidRDefault="00F46B5A" w:rsidP="00F46B5A">
            <w:pPr>
              <w:pStyle w:val="TableText"/>
              <w:rPr>
                <w:b/>
              </w:rPr>
            </w:pPr>
            <w:r>
              <w:rPr>
                <w:b/>
              </w:rPr>
              <w:t>VBECS</w:t>
            </w:r>
          </w:p>
        </w:tc>
      </w:tr>
      <w:tr w:rsidR="00F46B5A" w14:paraId="728AE562" w14:textId="77777777" w:rsidTr="00F46B5A">
        <w:tc>
          <w:tcPr>
            <w:tcW w:w="3240" w:type="dxa"/>
          </w:tcPr>
          <w:p w14:paraId="18BD08EA" w14:textId="77777777" w:rsidR="00F46B5A" w:rsidRDefault="00F46B5A" w:rsidP="00F46B5A">
            <w:pPr>
              <w:pStyle w:val="TableTextNumbers"/>
            </w:pPr>
            <w:r>
              <w:t xml:space="preserve">Select </w:t>
            </w:r>
            <w:r>
              <w:rPr>
                <w:b/>
              </w:rPr>
              <w:t>Tools</w:t>
            </w:r>
            <w:r>
              <w:t xml:space="preserve"> from the main menu.</w:t>
            </w:r>
          </w:p>
          <w:p w14:paraId="270BA8D0" w14:textId="77777777" w:rsidR="00F46B5A" w:rsidRDefault="00F46B5A" w:rsidP="00F46B5A">
            <w:pPr>
              <w:pStyle w:val="TableTextNumbersContinued"/>
              <w:rPr>
                <w:b/>
                <w:bCs/>
              </w:rPr>
            </w:pPr>
          </w:p>
          <w:p w14:paraId="0558090F" w14:textId="77777777" w:rsidR="00F46B5A" w:rsidRDefault="00F46B5A" w:rsidP="00F46B5A">
            <w:pPr>
              <w:pStyle w:val="TableTextNumbersContinued"/>
            </w:pPr>
            <w:r>
              <w:t xml:space="preserve">Select </w:t>
            </w:r>
            <w:r>
              <w:rPr>
                <w:b/>
              </w:rPr>
              <w:t>Workload Codes</w:t>
            </w:r>
            <w:r>
              <w:t>.</w:t>
            </w:r>
          </w:p>
        </w:tc>
        <w:tc>
          <w:tcPr>
            <w:tcW w:w="6120" w:type="dxa"/>
          </w:tcPr>
          <w:p w14:paraId="1D604198" w14:textId="77777777" w:rsidR="00F46B5A" w:rsidRDefault="00F46B5A" w:rsidP="00F46B5A">
            <w:pPr>
              <w:pStyle w:val="TableTextBullet"/>
            </w:pPr>
            <w:r>
              <w:t>Displays options for processing administrative functions.</w:t>
            </w:r>
          </w:p>
          <w:p w14:paraId="10C12017" w14:textId="77777777" w:rsidR="00F46B5A" w:rsidRDefault="00F46B5A" w:rsidP="00F46B5A">
            <w:pPr>
              <w:pStyle w:val="TableTextBullet"/>
            </w:pPr>
            <w:r>
              <w:t>Displays fields for entering workload-related data.</w:t>
            </w:r>
          </w:p>
          <w:p w14:paraId="5BF8CADA" w14:textId="77777777" w:rsidR="00F46B5A" w:rsidRDefault="00F46B5A" w:rsidP="00F46B5A">
            <w:pPr>
              <w:pStyle w:val="TableTextBullet"/>
            </w:pPr>
            <w:r>
              <w:t xml:space="preserve">Lists and retrieves processes that may involve workload. </w:t>
            </w:r>
          </w:p>
        </w:tc>
      </w:tr>
      <w:tr w:rsidR="00F46B5A" w14:paraId="273EE251" w14:textId="77777777" w:rsidTr="00F46B5A">
        <w:tc>
          <w:tcPr>
            <w:tcW w:w="3240" w:type="dxa"/>
          </w:tcPr>
          <w:p w14:paraId="558ED8C9" w14:textId="77777777" w:rsidR="00F46B5A" w:rsidRDefault="00F46B5A" w:rsidP="00F46B5A">
            <w:pPr>
              <w:pStyle w:val="TableTextNumbers"/>
            </w:pPr>
            <w:r>
              <w:t xml:space="preserve">Select a process to </w:t>
            </w:r>
            <w:r w:rsidR="008B6D25">
              <w:t>edit</w:t>
            </w:r>
            <w:r>
              <w:t xml:space="preserve"> workload codes.</w:t>
            </w:r>
          </w:p>
        </w:tc>
        <w:tc>
          <w:tcPr>
            <w:tcW w:w="6120" w:type="dxa"/>
          </w:tcPr>
          <w:p w14:paraId="641F7E58" w14:textId="77777777" w:rsidR="00F46B5A" w:rsidRDefault="00F46B5A" w:rsidP="00F46B5A">
            <w:pPr>
              <w:pStyle w:val="TableTextBullet"/>
            </w:pPr>
            <w:r>
              <w:t>Allows the user to edit existing data or add data.</w:t>
            </w:r>
          </w:p>
        </w:tc>
      </w:tr>
      <w:tr w:rsidR="00F46B5A" w14:paraId="190970BD" w14:textId="77777777" w:rsidTr="00F46B5A">
        <w:tc>
          <w:tcPr>
            <w:tcW w:w="3240" w:type="dxa"/>
          </w:tcPr>
          <w:p w14:paraId="327D09EE" w14:textId="77777777" w:rsidR="00F46B5A" w:rsidRDefault="00F46B5A" w:rsidP="00F46B5A">
            <w:pPr>
              <w:pStyle w:val="TableTextNumbers"/>
            </w:pPr>
            <w:r>
              <w:t>Click one or more check boxes to inactivate LMIP/NLT Code.</w:t>
            </w:r>
          </w:p>
          <w:p w14:paraId="01F2B466" w14:textId="77777777" w:rsidR="00202ACF" w:rsidRDefault="00202ACF" w:rsidP="00202ACF">
            <w:pPr>
              <w:pStyle w:val="TableTextNumbers"/>
              <w:numPr>
                <w:ilvl w:val="0"/>
                <w:numId w:val="0"/>
              </w:numPr>
              <w:ind w:left="288"/>
            </w:pPr>
          </w:p>
          <w:p w14:paraId="56FF64BA" w14:textId="77777777" w:rsidR="00202ACF" w:rsidRDefault="00202ACF" w:rsidP="00202ACF">
            <w:pPr>
              <w:pStyle w:val="TableTextNumbers"/>
              <w:numPr>
                <w:ilvl w:val="0"/>
                <w:numId w:val="0"/>
              </w:numPr>
              <w:ind w:left="288"/>
            </w:pPr>
            <w:r>
              <w:t xml:space="preserve">Click </w:t>
            </w:r>
            <w:r>
              <w:rPr>
                <w:b/>
              </w:rPr>
              <w:t>OK</w:t>
            </w:r>
            <w:r>
              <w:t xml:space="preserve"> and </w:t>
            </w:r>
            <w:r>
              <w:rPr>
                <w:b/>
              </w:rPr>
              <w:t xml:space="preserve">Yes </w:t>
            </w:r>
            <w:r>
              <w:t>to save and exit.</w:t>
            </w:r>
          </w:p>
        </w:tc>
        <w:tc>
          <w:tcPr>
            <w:tcW w:w="6120" w:type="dxa"/>
          </w:tcPr>
          <w:p w14:paraId="1EC80BD7" w14:textId="77777777" w:rsidR="00F46B5A" w:rsidRDefault="00F46B5A" w:rsidP="00202ACF">
            <w:pPr>
              <w:pStyle w:val="TableTextBullet"/>
            </w:pPr>
            <w:r>
              <w:t>Removes the code from the Current Associations window.</w:t>
            </w:r>
          </w:p>
          <w:p w14:paraId="7B7B0088" w14:textId="77777777" w:rsidR="00202ACF" w:rsidRDefault="00202ACF" w:rsidP="00202ACF">
            <w:pPr>
              <w:pStyle w:val="TableText"/>
            </w:pPr>
          </w:p>
          <w:p w14:paraId="38D061E9" w14:textId="3A4F69EC" w:rsidR="00202ACF" w:rsidRDefault="00202ACF" w:rsidP="00202ACF">
            <w:pPr>
              <w:pStyle w:val="TableText"/>
              <w:rPr>
                <w:b/>
                <w:bCs/>
                <w:szCs w:val="18"/>
              </w:rPr>
            </w:pPr>
            <w:r>
              <w:rPr>
                <w:b/>
                <w:bCs/>
                <w:szCs w:val="18"/>
              </w:rPr>
              <w:t>NOTES</w:t>
            </w:r>
          </w:p>
          <w:p w14:paraId="7D8CAE58" w14:textId="6809A33C" w:rsidR="00202ACF" w:rsidRDefault="00344E38" w:rsidP="007E3EE1">
            <w:pPr>
              <w:pStyle w:val="NotesText"/>
            </w:pPr>
            <w:r>
              <w:t>Inactive codes can be viewed by clicking the Show Inactive Workload Codes checkbox.</w:t>
            </w:r>
          </w:p>
        </w:tc>
      </w:tr>
      <w:tr w:rsidR="00F46B5A" w14:paraId="427AC70D" w14:textId="77777777" w:rsidTr="00F46B5A">
        <w:tc>
          <w:tcPr>
            <w:tcW w:w="3240" w:type="dxa"/>
          </w:tcPr>
          <w:p w14:paraId="1A36C56D" w14:textId="77777777" w:rsidR="00F46B5A" w:rsidRDefault="00202ACF" w:rsidP="00F46B5A">
            <w:pPr>
              <w:pStyle w:val="TableTextNumbers"/>
            </w:pPr>
            <w:r>
              <w:t xml:space="preserve">Click </w:t>
            </w:r>
            <w:r>
              <w:rPr>
                <w:b/>
              </w:rPr>
              <w:t>OK</w:t>
            </w:r>
            <w:r>
              <w:t xml:space="preserve"> and </w:t>
            </w:r>
            <w:r>
              <w:rPr>
                <w:b/>
              </w:rPr>
              <w:t xml:space="preserve">Yes </w:t>
            </w:r>
            <w:r>
              <w:t>to save and exit.</w:t>
            </w:r>
          </w:p>
        </w:tc>
        <w:tc>
          <w:tcPr>
            <w:tcW w:w="6120" w:type="dxa"/>
          </w:tcPr>
          <w:p w14:paraId="42409401" w14:textId="77777777" w:rsidR="00F46B5A" w:rsidRDefault="00202ACF" w:rsidP="00F46B5A">
            <w:pPr>
              <w:pStyle w:val="TableTextBullet"/>
            </w:pPr>
            <w:r>
              <w:t>Saves the changes to the workload code mapping.</w:t>
            </w:r>
          </w:p>
        </w:tc>
      </w:tr>
      <w:tr w:rsidR="00202ACF" w14:paraId="4CCF2452" w14:textId="77777777" w:rsidTr="00F46B5A">
        <w:tc>
          <w:tcPr>
            <w:tcW w:w="3240" w:type="dxa"/>
          </w:tcPr>
          <w:p w14:paraId="7B330BA5" w14:textId="77777777" w:rsidR="00202ACF" w:rsidRDefault="00202ACF" w:rsidP="00202ACF">
            <w:pPr>
              <w:pStyle w:val="TableTextNumbers"/>
            </w:pPr>
            <w:r>
              <w:t xml:space="preserve">Select </w:t>
            </w:r>
            <w:r>
              <w:rPr>
                <w:b/>
              </w:rPr>
              <w:t>Tools</w:t>
            </w:r>
            <w:r>
              <w:t xml:space="preserve"> from the main menu.</w:t>
            </w:r>
          </w:p>
          <w:p w14:paraId="7052B58B" w14:textId="77777777" w:rsidR="00202ACF" w:rsidRDefault="00202ACF" w:rsidP="00202ACF">
            <w:pPr>
              <w:pStyle w:val="TableTextNumbersContinued"/>
              <w:rPr>
                <w:b/>
                <w:bCs/>
              </w:rPr>
            </w:pPr>
          </w:p>
          <w:p w14:paraId="300B9866" w14:textId="77777777" w:rsidR="00202ACF" w:rsidRDefault="00202ACF" w:rsidP="00202ACF">
            <w:pPr>
              <w:pStyle w:val="TableTextNumbers"/>
              <w:numPr>
                <w:ilvl w:val="0"/>
                <w:numId w:val="0"/>
              </w:numPr>
              <w:ind w:left="288"/>
            </w:pPr>
            <w:r>
              <w:t xml:space="preserve">Select </w:t>
            </w:r>
            <w:r>
              <w:rPr>
                <w:b/>
              </w:rPr>
              <w:t>Workload Codes</w:t>
            </w:r>
          </w:p>
        </w:tc>
        <w:tc>
          <w:tcPr>
            <w:tcW w:w="6120" w:type="dxa"/>
          </w:tcPr>
          <w:p w14:paraId="47E2411E" w14:textId="77777777" w:rsidR="008D0D9B" w:rsidRDefault="008D0D9B" w:rsidP="008D0D9B">
            <w:pPr>
              <w:pStyle w:val="TableTextBullet"/>
            </w:pPr>
            <w:r>
              <w:t>Displays options for processing administrative functions.</w:t>
            </w:r>
          </w:p>
          <w:p w14:paraId="4DE9015A" w14:textId="77777777" w:rsidR="008D0D9B" w:rsidRDefault="008D0D9B" w:rsidP="008D0D9B">
            <w:pPr>
              <w:pStyle w:val="TableTextBullet"/>
            </w:pPr>
            <w:r>
              <w:t>Displays fields for entering workload-related data.</w:t>
            </w:r>
          </w:p>
          <w:p w14:paraId="7EE5B148" w14:textId="77777777" w:rsidR="00202ACF" w:rsidRDefault="00857128" w:rsidP="00857128">
            <w:pPr>
              <w:pStyle w:val="TableTextBullet"/>
            </w:pPr>
            <w:r>
              <w:t>Lists and retrieves processes that may involve workload.</w:t>
            </w:r>
          </w:p>
        </w:tc>
      </w:tr>
      <w:tr w:rsidR="00202ACF" w14:paraId="6BDEC379" w14:textId="77777777" w:rsidTr="00F46B5A">
        <w:tc>
          <w:tcPr>
            <w:tcW w:w="3240" w:type="dxa"/>
          </w:tcPr>
          <w:p w14:paraId="41B13FB8" w14:textId="77777777" w:rsidR="00202ACF" w:rsidRDefault="00202ACF" w:rsidP="00202ACF">
            <w:pPr>
              <w:pStyle w:val="TableTextNumbers"/>
            </w:pPr>
            <w:r>
              <w:t xml:space="preserve">Select a process to </w:t>
            </w:r>
            <w:r w:rsidR="008B6D25">
              <w:t>edit</w:t>
            </w:r>
            <w:r>
              <w:t xml:space="preserve"> workload codes.</w:t>
            </w:r>
          </w:p>
        </w:tc>
        <w:tc>
          <w:tcPr>
            <w:tcW w:w="6120" w:type="dxa"/>
          </w:tcPr>
          <w:p w14:paraId="47E65F31" w14:textId="77777777" w:rsidR="00202ACF" w:rsidRDefault="00344E38" w:rsidP="00F46B5A">
            <w:pPr>
              <w:pStyle w:val="TableTextBullet"/>
            </w:pPr>
            <w:r>
              <w:t>Allows the user to edit existing data or add data.</w:t>
            </w:r>
          </w:p>
        </w:tc>
      </w:tr>
      <w:tr w:rsidR="00202ACF" w14:paraId="782F3FDF" w14:textId="77777777" w:rsidTr="007E500E">
        <w:trPr>
          <w:cantSplit/>
        </w:trPr>
        <w:tc>
          <w:tcPr>
            <w:tcW w:w="3240" w:type="dxa"/>
          </w:tcPr>
          <w:p w14:paraId="5BFDEFA4" w14:textId="77777777" w:rsidR="00202ACF" w:rsidRDefault="00202ACF" w:rsidP="00202ACF">
            <w:pPr>
              <w:pStyle w:val="TableTextNumbers"/>
            </w:pPr>
            <w:r>
              <w:t>Select an LMIP/NLT code.</w:t>
            </w:r>
          </w:p>
          <w:p w14:paraId="37DF5BFE" w14:textId="77777777" w:rsidR="00202ACF" w:rsidRDefault="00202ACF" w:rsidP="00202ACF">
            <w:pPr>
              <w:pStyle w:val="TableTextNumbersContinued"/>
            </w:pPr>
          </w:p>
          <w:p w14:paraId="0ED8EAF4" w14:textId="77777777" w:rsidR="00202ACF" w:rsidRPr="00202ACF" w:rsidRDefault="00202ACF" w:rsidP="00202ACF">
            <w:pPr>
              <w:pStyle w:val="TableTextNumbersContinued"/>
              <w:rPr>
                <w:b/>
                <w:bCs/>
              </w:rPr>
            </w:pPr>
            <w:r>
              <w:t xml:space="preserve">Click </w:t>
            </w:r>
            <w:r>
              <w:rPr>
                <w:b/>
              </w:rPr>
              <w:t>Add</w:t>
            </w:r>
            <w:r>
              <w:t xml:space="preserve"> to add the code.</w:t>
            </w:r>
          </w:p>
        </w:tc>
        <w:tc>
          <w:tcPr>
            <w:tcW w:w="6120" w:type="dxa"/>
          </w:tcPr>
          <w:p w14:paraId="32BA57A7" w14:textId="601249CD" w:rsidR="00344E38" w:rsidRDefault="00344E38" w:rsidP="00344E38">
            <w:pPr>
              <w:pStyle w:val="TableTextBullet"/>
            </w:pPr>
            <w:r>
              <w:t xml:space="preserve">Allows the user to select an </w:t>
            </w:r>
            <w:r w:rsidR="00F8401C">
              <w:t>LMIP</w:t>
            </w:r>
            <w:r>
              <w:t>/NLT code.</w:t>
            </w:r>
          </w:p>
          <w:p w14:paraId="31C1604F" w14:textId="77777777" w:rsidR="00202ACF" w:rsidRDefault="00202ACF" w:rsidP="00344E38">
            <w:pPr>
              <w:pStyle w:val="TableTextBullet"/>
              <w:numPr>
                <w:ilvl w:val="0"/>
                <w:numId w:val="0"/>
              </w:numPr>
            </w:pPr>
          </w:p>
          <w:p w14:paraId="62988AD8" w14:textId="139F4C64" w:rsidR="00344E38" w:rsidRPr="00344E38" w:rsidRDefault="00344E38" w:rsidP="00344E38">
            <w:pPr>
              <w:pStyle w:val="TableText"/>
              <w:rPr>
                <w:b/>
                <w:bCs/>
              </w:rPr>
            </w:pPr>
            <w:r w:rsidRPr="00344E38">
              <w:rPr>
                <w:b/>
                <w:bCs/>
              </w:rPr>
              <w:t>NOTES</w:t>
            </w:r>
          </w:p>
          <w:p w14:paraId="2E627B89" w14:textId="77777777" w:rsidR="00F067E0" w:rsidRDefault="00F067E0" w:rsidP="00F067E0">
            <w:pPr>
              <w:pStyle w:val="NotesText"/>
            </w:pPr>
            <w:r>
              <w:t>LMIP/NLT weight multipliers values are set in VistA and that value is imported into VBECS.</w:t>
            </w:r>
          </w:p>
          <w:p w14:paraId="132A0EE3" w14:textId="77777777" w:rsidR="00F067E0" w:rsidRDefault="00F067E0" w:rsidP="00F067E0">
            <w:pPr>
              <w:pStyle w:val="NotesText"/>
            </w:pPr>
          </w:p>
          <w:p w14:paraId="4F89E551" w14:textId="561ACE92" w:rsidR="00F067E0" w:rsidRDefault="00344E38" w:rsidP="00F067E0">
            <w:pPr>
              <w:pStyle w:val="NotesText"/>
            </w:pPr>
            <w:r>
              <w:t xml:space="preserve">Changes made to </w:t>
            </w:r>
            <w:r w:rsidRPr="00CA0045">
              <w:rPr>
                <w:bCs/>
              </w:rPr>
              <w:t>VistA</w:t>
            </w:r>
            <w:r>
              <w:t xml:space="preserve"> files 64 (NLT/LMIP) and 81 (CPT) are updated in VBECS </w:t>
            </w:r>
            <w:r w:rsidR="00F067E0">
              <w:t xml:space="preserve">on a rolling </w:t>
            </w:r>
            <w:r w:rsidR="002E5AC8">
              <w:t>24-hour</w:t>
            </w:r>
            <w:r w:rsidR="00F067E0">
              <w:t xml:space="preserve"> clock. The first user to log in 24 hours after the last update will trigger the next update.</w:t>
            </w:r>
          </w:p>
        </w:tc>
      </w:tr>
      <w:tr w:rsidR="00202ACF" w14:paraId="645AC272" w14:textId="77777777" w:rsidTr="00F46B5A">
        <w:tc>
          <w:tcPr>
            <w:tcW w:w="3240" w:type="dxa"/>
          </w:tcPr>
          <w:p w14:paraId="47B239FC" w14:textId="4F79CCFF" w:rsidR="00202ACF" w:rsidRDefault="00202ACF" w:rsidP="00722DBF">
            <w:pPr>
              <w:pStyle w:val="TableTextNumbers"/>
            </w:pPr>
            <w:r>
              <w:t>Repeat Steps 1</w:t>
            </w:r>
            <w:r w:rsidR="004F5589">
              <w:t xml:space="preserve"> through </w:t>
            </w:r>
            <w:r>
              <w:t>7 for to edit workload parameters for another process</w:t>
            </w:r>
            <w:r w:rsidR="00722DBF">
              <w:t xml:space="preserve">. </w:t>
            </w:r>
            <w:r w:rsidR="00722DBF" w:rsidRPr="0079067D">
              <w:rPr>
                <w:vanish/>
                <w:color w:val="FFFFFF"/>
                <w:szCs w:val="18"/>
              </w:rPr>
              <w:fldChar w:fldCharType="begin"/>
            </w:r>
            <w:r w:rsidR="00722DBF" w:rsidRPr="0079067D">
              <w:rPr>
                <w:vanish/>
                <w:color w:val="FFFFFF"/>
                <w:szCs w:val="18"/>
              </w:rPr>
              <w:instrText xml:space="preserve"> LISTNUM \l 1 \s 0 </w:instrText>
            </w:r>
            <w:r w:rsidR="00722DBF" w:rsidRPr="0079067D">
              <w:rPr>
                <w:vanish/>
                <w:color w:val="FFFFFF"/>
                <w:szCs w:val="18"/>
              </w:rPr>
              <w:fldChar w:fldCharType="end">
                <w:numberingChange w:id="226" w:author="MUSZYNSKI, THOMAS D. (SIERRA 7 INC)" w:date="2024-11-26T07:15:00Z" w:original="0."/>
              </w:fldChar>
            </w:r>
          </w:p>
        </w:tc>
        <w:tc>
          <w:tcPr>
            <w:tcW w:w="6120" w:type="dxa"/>
          </w:tcPr>
          <w:p w14:paraId="1B6748A6" w14:textId="77777777" w:rsidR="00202ACF" w:rsidRDefault="00202ACF" w:rsidP="00F067E0">
            <w:pPr>
              <w:pStyle w:val="TableTextBullet"/>
              <w:numPr>
                <w:ilvl w:val="0"/>
                <w:numId w:val="0"/>
              </w:numPr>
            </w:pPr>
          </w:p>
        </w:tc>
      </w:tr>
    </w:tbl>
    <w:p w14:paraId="7667752C" w14:textId="3B81DE11" w:rsidR="002A21AE" w:rsidRDefault="002A21AE" w:rsidP="007E3EE1">
      <w:pPr>
        <w:pStyle w:val="Heading2"/>
        <w:pageBreakBefore/>
      </w:pPr>
      <w:bookmarkStart w:id="227" w:name="_Toc203765874"/>
      <w:r>
        <w:lastRenderedPageBreak/>
        <w:t>Reagents and Supplies</w:t>
      </w:r>
      <w:bookmarkEnd w:id="222"/>
      <w:bookmarkEnd w:id="223"/>
      <w:bookmarkEnd w:id="227"/>
      <w:r>
        <w:fldChar w:fldCharType="begin"/>
      </w:r>
      <w:r>
        <w:instrText xml:space="preserve"> XE </w:instrText>
      </w:r>
      <w:r w:rsidR="00FA7E65">
        <w:instrText>“</w:instrText>
      </w:r>
      <w:r>
        <w:instrText>Reagents and Supplies</w:instrText>
      </w:r>
      <w:r w:rsidR="00FA7E65">
        <w:instrText>”</w:instrText>
      </w:r>
      <w:r>
        <w:instrText xml:space="preserve"> </w:instrText>
      </w:r>
      <w:r>
        <w:fldChar w:fldCharType="end"/>
      </w:r>
    </w:p>
    <w:p w14:paraId="7A07088D" w14:textId="77777777" w:rsidR="002A21AE" w:rsidRDefault="002A21AE">
      <w:pPr>
        <w:pStyle w:val="Heading3"/>
      </w:pPr>
      <w:bookmarkStart w:id="228" w:name="_Enter_Daily_QC_Results"/>
      <w:bookmarkStart w:id="229" w:name="_Toc203765875"/>
      <w:bookmarkEnd w:id="228"/>
      <w:r>
        <w:t>Enter Daily QC Results</w:t>
      </w:r>
      <w:bookmarkEnd w:id="229"/>
      <w:r>
        <w:fldChar w:fldCharType="begin"/>
      </w:r>
      <w:r>
        <w:instrText xml:space="preserve"> XE </w:instrText>
      </w:r>
      <w:r w:rsidR="00FA7E65">
        <w:instrText>“</w:instrText>
      </w:r>
      <w:r>
        <w:instrText>Enter Daily QC Results</w:instrText>
      </w:r>
      <w:r w:rsidR="00FA7E65">
        <w:instrText>”</w:instrText>
      </w:r>
      <w:r>
        <w:instrText xml:space="preserve"> </w:instrText>
      </w:r>
      <w:r>
        <w:fldChar w:fldCharType="end"/>
      </w:r>
      <w:r>
        <w:t xml:space="preserve"> </w:t>
      </w:r>
      <w:r>
        <w:rPr>
          <w:rFonts w:ascii="Times New Roman" w:hAnsi="Times New Roman" w:cs="Times New Roman"/>
          <w:b w:val="0"/>
          <w:vanish/>
          <w:sz w:val="22"/>
        </w:rPr>
        <w:t>UC_28</w:t>
      </w:r>
    </w:p>
    <w:p w14:paraId="7ADFF4E4" w14:textId="77777777" w:rsidR="002A21AE" w:rsidRDefault="002A21AE" w:rsidP="00FA7E65">
      <w:pPr>
        <w:pStyle w:val="BodyText"/>
      </w:pPr>
      <w:r>
        <w:t>The user enters observed serological reactions for all phases of testing and interpretations of the various routine reagents.</w:t>
      </w:r>
    </w:p>
    <w:p w14:paraId="7CC2CFC7" w14:textId="77777777" w:rsidR="002A21AE" w:rsidRDefault="002A21AE">
      <w:pPr>
        <w:pStyle w:val="Heading4"/>
      </w:pPr>
      <w:r>
        <w:t>Assumptions</w:t>
      </w:r>
      <w:r>
        <w:rPr>
          <w:b w:val="0"/>
        </w:rPr>
        <w:t xml:space="preserve"> </w:t>
      </w:r>
    </w:p>
    <w:p w14:paraId="58A9F65C" w14:textId="77777777" w:rsidR="002A21AE" w:rsidRDefault="002A21AE">
      <w:pPr>
        <w:pStyle w:val="ListBullet"/>
      </w:pPr>
      <w:r>
        <w:t>The division is “full service.”</w:t>
      </w:r>
    </w:p>
    <w:p w14:paraId="0B5D0503" w14:textId="77777777" w:rsidR="002A21AE" w:rsidRDefault="002A21AE">
      <w:pPr>
        <w:pStyle w:val="ListBullet"/>
      </w:pPr>
      <w:r>
        <w:t>Site parameters regarding reagent quality control are set up.</w:t>
      </w:r>
    </w:p>
    <w:p w14:paraId="0A95F28D" w14:textId="77777777" w:rsidR="002A21AE" w:rsidRDefault="002A21AE">
      <w:pPr>
        <w:pStyle w:val="ListBullet"/>
      </w:pPr>
      <w:r>
        <w:t xml:space="preserve">Minimum inventory levels for reagent types are defined. </w:t>
      </w:r>
    </w:p>
    <w:p w14:paraId="3586B003" w14:textId="77777777" w:rsidR="002A21AE" w:rsidRDefault="002A21AE">
      <w:pPr>
        <w:pStyle w:val="ListBullet"/>
      </w:pPr>
      <w:r>
        <w:t xml:space="preserve">Inventory control functionality is in use and reagents are in the inventory of the user’s division. </w:t>
      </w:r>
    </w:p>
    <w:p w14:paraId="0B1B440D" w14:textId="77777777" w:rsidR="002A21AE" w:rsidRDefault="002A21AE">
      <w:pPr>
        <w:pStyle w:val="ListBullet"/>
      </w:pPr>
      <w:r>
        <w:t>Daily QC testing does not include reagents used in special antigen typing.</w:t>
      </w:r>
    </w:p>
    <w:p w14:paraId="300E5BD9" w14:textId="77777777" w:rsidR="002A21AE" w:rsidRDefault="002A21AE">
      <w:pPr>
        <w:pStyle w:val="Heading4"/>
      </w:pPr>
      <w:r>
        <w:t xml:space="preserve">Outcome </w:t>
      </w:r>
    </w:p>
    <w:p w14:paraId="31E6655B" w14:textId="77777777" w:rsidR="002A21AE" w:rsidRDefault="002A21AE">
      <w:pPr>
        <w:pStyle w:val="ListBullet"/>
      </w:pPr>
      <w:r>
        <w:t>Routine reagents are available for use, shutting down the alert for the day associated with the rack.</w:t>
      </w:r>
    </w:p>
    <w:p w14:paraId="6ECB1F82" w14:textId="77777777" w:rsidR="002A21AE" w:rsidRDefault="002A21AE">
      <w:pPr>
        <w:pStyle w:val="ListBullet"/>
      </w:pPr>
      <w:r>
        <w:t>The user may enter and save reaction results below the minimum expected reaction; an Exception Report may be generated for supervisory review; the rack may or may not be used by the site for routine testing throughout that day.</w:t>
      </w:r>
    </w:p>
    <w:p w14:paraId="6B9B4A40" w14:textId="77777777" w:rsidR="00561829" w:rsidRDefault="00561829" w:rsidP="00561829">
      <w:pPr>
        <w:pStyle w:val="ListBullet"/>
      </w:pPr>
      <w:r>
        <w:t>If workload codes are assigned for this process, workload-related data collected as the result of this process are stored for inclusion in Workload Reports.</w:t>
      </w:r>
    </w:p>
    <w:p w14:paraId="0184BB10" w14:textId="77777777" w:rsidR="002A21AE" w:rsidRDefault="002A21AE">
      <w:pPr>
        <w:pStyle w:val="Heading4"/>
      </w:pPr>
      <w:r>
        <w:t>Limitations and Restrictions</w:t>
      </w:r>
      <w:r>
        <w:rPr>
          <w:b w:val="0"/>
        </w:rPr>
        <w:t xml:space="preserve"> </w:t>
      </w:r>
    </w:p>
    <w:p w14:paraId="5C08F99A" w14:textId="77777777" w:rsidR="002A21AE" w:rsidRDefault="002A21AE">
      <w:pPr>
        <w:pStyle w:val="ListBullet"/>
      </w:pPr>
      <w:r>
        <w:t xml:space="preserve">Additional user-defined reagent types not available in Configure Daily QC or Enter Daily QC Results are not part of a reagent rack’s daily QC testing. </w:t>
      </w:r>
    </w:p>
    <w:p w14:paraId="5F5C69E7" w14:textId="77777777" w:rsidR="002A21AE" w:rsidRDefault="002A21AE">
      <w:pPr>
        <w:pStyle w:val="Heading4"/>
      </w:pPr>
      <w:r>
        <w:t xml:space="preserve">Additional Information </w:t>
      </w:r>
    </w:p>
    <w:p w14:paraId="7757A9DE" w14:textId="77777777" w:rsidR="002A21AE" w:rsidRDefault="002A21AE">
      <w:pPr>
        <w:pStyle w:val="ListBullet"/>
      </w:pPr>
      <w:r>
        <w:rPr>
          <w:rFonts w:ascii="Arial" w:hAnsi="Arial" w:cs="Arial"/>
          <w:vanish/>
          <w:spacing w:val="0"/>
          <w:sz w:val="18"/>
        </w:rPr>
        <w:t xml:space="preserve">BR_28.19 </w:t>
      </w:r>
      <w:r>
        <w:t>VBECS allows the user to save a partially filled worksheet for a specific QC rack ID and allows the same or a different user to redisplay the form for the entry of remaining test results at a later time. The user, first or second, may enter new results but may not edit prior entries. VBECS records the ID of each user who enters test observations on a worksheet.</w:t>
      </w:r>
    </w:p>
    <w:p w14:paraId="791C9983" w14:textId="77777777" w:rsidR="002A21AE" w:rsidRDefault="002A21AE">
      <w:pPr>
        <w:pStyle w:val="ListBullet"/>
      </w:pPr>
      <w:r>
        <w:t>VBECS issues warnings when they are defined in Maintain Minimum Levels.</w:t>
      </w:r>
    </w:p>
    <w:p w14:paraId="593A3E22" w14:textId="77777777" w:rsidR="002A21AE" w:rsidRDefault="002A21AE">
      <w:pPr>
        <w:pStyle w:val="ListBullet"/>
      </w:pPr>
      <w:r>
        <w:t xml:space="preserve">VistALink does not need to be active when a user enters </w:t>
      </w:r>
      <w:r>
        <w:rPr>
          <w:bCs/>
        </w:rPr>
        <w:t>daily quality control results</w:t>
      </w:r>
      <w:r>
        <w:t>.</w:t>
      </w:r>
    </w:p>
    <w:p w14:paraId="2A6E8ED2" w14:textId="77777777" w:rsidR="002A21AE" w:rsidRDefault="002A21AE">
      <w:pPr>
        <w:pStyle w:val="ListBullet"/>
      </w:pPr>
      <w:r>
        <w:t>A testing template is generated for daily quality control testing of routine reagents for each rack in a division. (Multiple templates may be used on a given day.)</w:t>
      </w:r>
    </w:p>
    <w:p w14:paraId="6E69DA6A" w14:textId="77777777" w:rsidR="002A21AE" w:rsidRDefault="002A21AE">
      <w:pPr>
        <w:pStyle w:val="ListBullet"/>
      </w:pPr>
      <w:r>
        <w:t>System rules</w:t>
      </w:r>
      <w:r w:rsidR="00AA6C54">
        <w:t xml:space="preserve"> </w:t>
      </w:r>
      <w:r>
        <w:t>determine the validity of the test interpretations and determine if all phases of testing were recorded for both scenarios.</w:t>
      </w:r>
    </w:p>
    <w:p w14:paraId="6DED0353" w14:textId="77777777" w:rsidR="002A21AE" w:rsidRDefault="002A21AE">
      <w:pPr>
        <w:pStyle w:val="ListBullet"/>
      </w:pPr>
      <w:r>
        <w:t>A user must enter and may view one day’s QC data at a time. The supervisor or administrator must review these entries and the reagent information daily.</w:t>
      </w:r>
    </w:p>
    <w:p w14:paraId="38A579DE" w14:textId="77777777" w:rsidR="002A21AE" w:rsidRDefault="002A21AE">
      <w:pPr>
        <w:pStyle w:val="ListBullet"/>
      </w:pPr>
      <w:r>
        <w:t xml:space="preserve">VBECS compares the current rack QC results with the prior day’s QC results. </w:t>
      </w:r>
    </w:p>
    <w:p w14:paraId="3F411716" w14:textId="77777777" w:rsidR="002A21AE" w:rsidRDefault="002A21AE">
      <w:pPr>
        <w:pStyle w:val="ListBullet"/>
      </w:pPr>
      <w:r>
        <w:t xml:space="preserve">Multiple technologists may use the same rack. </w:t>
      </w:r>
    </w:p>
    <w:p w14:paraId="3F1F6DE0" w14:textId="77777777" w:rsidR="002A21AE" w:rsidRDefault="002A21AE">
      <w:pPr>
        <w:pStyle w:val="ListBullet"/>
      </w:pPr>
      <w:r>
        <w:t>Rack number and reagents used to test a specimen are linked to the lot number, manufacturer, and expiration date of the reagent type as well as the rack identifier.</w:t>
      </w:r>
    </w:p>
    <w:p w14:paraId="33C6FDC5" w14:textId="77777777" w:rsidR="00254E7B" w:rsidRDefault="00254E7B">
      <w:pPr>
        <w:pStyle w:val="ListBullet"/>
      </w:pPr>
      <w:r>
        <w:t>A user may use more than one testing method in accordance with local policies and procedures.</w:t>
      </w:r>
    </w:p>
    <w:p w14:paraId="74024EC5" w14:textId="15F691AC" w:rsidR="00F62041" w:rsidRDefault="00F62041" w:rsidP="00F62041">
      <w:pPr>
        <w:pStyle w:val="ListBullet"/>
      </w:pPr>
      <w:r w:rsidRPr="00622C54">
        <w:t xml:space="preserve">If a rack has never been used with reagents prior to using the QC Documentation Offline option and the rack is not so checked when the user attempts to use this untested rack, the message appears that this </w:t>
      </w:r>
      <w:r w:rsidRPr="00622C54">
        <w:lastRenderedPageBreak/>
        <w:t xml:space="preserve">rack has never been tested and cannot be used. The user may not proceed. To use this rack on this date, the QC Offline check needs to be indicated or testing performed. </w:t>
      </w:r>
      <w:r w:rsidRPr="00622C54">
        <w:rPr>
          <w:vanish/>
        </w:rPr>
        <w:t>DR 4317</w:t>
      </w:r>
    </w:p>
    <w:p w14:paraId="2F3F2BE8" w14:textId="741D13C4" w:rsidR="00A03C1C" w:rsidRDefault="00A03C1C" w:rsidP="00A03C1C">
      <w:pPr>
        <w:pStyle w:val="ListBullet"/>
      </w:pPr>
      <w:r w:rsidRPr="00A03C1C">
        <w:t>A rack can be set as pa</w:t>
      </w:r>
      <w:r w:rsidR="00AE3748">
        <w:t>rtially tested and marked as "QC</w:t>
      </w:r>
      <w:r w:rsidRPr="00A03C1C">
        <w:t xml:space="preserve">’d Offline" at the same time. </w:t>
      </w:r>
      <w:r>
        <w:t>The r</w:t>
      </w:r>
      <w:r w:rsidRPr="00A03C1C">
        <w:t>ack wi</w:t>
      </w:r>
      <w:r>
        <w:t>ll be listed as "Tested = No", S</w:t>
      </w:r>
      <w:r w:rsidRPr="00A03C1C">
        <w:t>electing it will prompt for the "Rack QC not performed" override</w:t>
      </w:r>
      <w:r>
        <w:t>,</w:t>
      </w:r>
      <w:r w:rsidRPr="00A03C1C">
        <w:t xml:space="preserve"> as the partially tested rack setting is enforced.</w:t>
      </w:r>
      <w:r w:rsidR="00AB4BD9">
        <w:t xml:space="preserve"> </w:t>
      </w:r>
      <w:r w:rsidR="00AB4BD9" w:rsidRPr="00AB4BD9">
        <w:rPr>
          <w:vanish/>
        </w:rPr>
        <w:t>Defect 210297</w:t>
      </w:r>
    </w:p>
    <w:p w14:paraId="66D9AC81" w14:textId="725EBE85" w:rsidR="003A7501" w:rsidRDefault="003A7501" w:rsidP="003A7501">
      <w:pPr>
        <w:pStyle w:val="ListBullet"/>
      </w:pPr>
      <w:r>
        <w:t xml:space="preserve">The </w:t>
      </w:r>
      <w:r w:rsidRPr="003A7501">
        <w:t>antiglobulin testing grids for QC have a title of IAT. The same grid for patient testing is titled AHG.</w:t>
      </w:r>
      <w:r w:rsidR="00AB4BD9">
        <w:t xml:space="preserve"> </w:t>
      </w:r>
      <w:r w:rsidR="00AB4BD9" w:rsidRPr="00AB4BD9">
        <w:rPr>
          <w:vanish/>
        </w:rPr>
        <w:t>Defect 211747</w:t>
      </w:r>
    </w:p>
    <w:p w14:paraId="1794E477" w14:textId="26A0D3CA" w:rsidR="00E86766" w:rsidRPr="00622C54" w:rsidRDefault="009A1817" w:rsidP="00F62041">
      <w:pPr>
        <w:pStyle w:val="ListBullet"/>
      </w:pPr>
      <w:r>
        <w:t xml:space="preserve">If two instances of Enter Daily QC are opened, the second instance will not recognize testing performed in the first </w:t>
      </w:r>
      <w:r w:rsidR="00523215">
        <w:t>instance and</w:t>
      </w:r>
      <w:r>
        <w:t xml:space="preserve"> will accept retesting of the rack.</w:t>
      </w:r>
      <w:r w:rsidR="00AB4BD9">
        <w:t xml:space="preserve"> </w:t>
      </w:r>
      <w:r w:rsidR="00203682">
        <w:t>(</w:t>
      </w:r>
      <w:r w:rsidR="004C63BA">
        <w:t>See</w:t>
      </w:r>
      <w:r w:rsidR="00AC093B">
        <w:t xml:space="preserve"> </w:t>
      </w:r>
      <w:r w:rsidR="00E86766" w:rsidRPr="00423A7F">
        <w:rPr>
          <w:i/>
          <w:iCs/>
        </w:rPr>
        <w:t>FAQ QC Setup</w:t>
      </w:r>
      <w:r w:rsidR="00AB4BD9">
        <w:t xml:space="preserve"> </w:t>
      </w:r>
      <w:r w:rsidR="00AC093B">
        <w:t xml:space="preserve">and </w:t>
      </w:r>
      <w:r w:rsidR="00AC093B" w:rsidRPr="00423A7F">
        <w:rPr>
          <w:i/>
          <w:iCs/>
        </w:rPr>
        <w:t>FAQ Re</w:t>
      </w:r>
      <w:r w:rsidR="004C63BA" w:rsidRPr="00423A7F">
        <w:rPr>
          <w:i/>
          <w:iCs/>
        </w:rPr>
        <w:t>testing QC</w:t>
      </w:r>
      <w:r w:rsidR="004C63BA">
        <w:t xml:space="preserve"> for </w:t>
      </w:r>
      <w:r w:rsidR="00E90A01">
        <w:t>additional</w:t>
      </w:r>
      <w:r w:rsidR="004C63BA">
        <w:t xml:space="preserve"> information.</w:t>
      </w:r>
      <w:r w:rsidR="00A868BE" w:rsidRPr="00A868BE">
        <w:rPr>
          <w:vanish/>
        </w:rPr>
        <w:t xml:space="preserve"> Task 628088</w:t>
      </w:r>
      <w:r w:rsidR="00203682">
        <w:t>)</w:t>
      </w:r>
      <w:r w:rsidR="0002020B">
        <w:t xml:space="preserve"> </w:t>
      </w:r>
      <w:r w:rsidR="0002020B" w:rsidRPr="0002020B">
        <w:rPr>
          <w:vanish/>
        </w:rPr>
        <w:t>Defect 210503</w:t>
      </w:r>
    </w:p>
    <w:p w14:paraId="460D5750" w14:textId="77777777" w:rsidR="002A21AE" w:rsidRDefault="002A21AE">
      <w:pPr>
        <w:pStyle w:val="Heading4"/>
        <w:rPr>
          <w:b w:val="0"/>
        </w:rPr>
      </w:pPr>
      <w:r>
        <w:t>User Roles with Access to This Option</w:t>
      </w:r>
      <w:r>
        <w:rPr>
          <w:b w:val="0"/>
        </w:rPr>
        <w:t xml:space="preserve"> </w:t>
      </w:r>
    </w:p>
    <w:p w14:paraId="08DB66BE" w14:textId="77777777" w:rsidR="002A21AE" w:rsidRDefault="00046C55">
      <w:pPr>
        <w:pStyle w:val="Roles"/>
        <w:rPr>
          <w:snapToGrid w:val="0"/>
        </w:rPr>
      </w:pPr>
      <w:r>
        <w:t>All users</w:t>
      </w:r>
    </w:p>
    <w:p w14:paraId="64012FDC" w14:textId="77777777" w:rsidR="002A21AE" w:rsidRDefault="002A21AE">
      <w:pPr>
        <w:pStyle w:val="Heading4"/>
      </w:pPr>
      <w:r>
        <w:t xml:space="preserve">Enter Daily QC Results </w:t>
      </w:r>
    </w:p>
    <w:p w14:paraId="1C95E48A" w14:textId="77777777" w:rsidR="002A21AE" w:rsidRDefault="002A21AE" w:rsidP="00FA7E65">
      <w:pPr>
        <w:pStyle w:val="BodyText"/>
      </w:pPr>
      <w:r>
        <w:t xml:space="preserve">The American Association of Blood Banks’ </w:t>
      </w:r>
      <w:r>
        <w:rPr>
          <w:i/>
        </w:rPr>
        <w:t>Standards for Blood Banks and Transfusion Services</w:t>
      </w:r>
      <w:r>
        <w:t xml:space="preserve"> requires that commercial reagents in the blood bank—antisera and routinely-used red cell reagents—must be tested for performance “on the day of use.” As routine reagents are always used, they are tested daily. Records of these reagents, their lot numbers, and their testing results must be stored for reference. VBECS verifies and indicates whether the reagent is satisfactory for use. </w:t>
      </w:r>
    </w:p>
    <w:p w14:paraId="3D6D3EE6" w14:textId="77777777" w:rsidR="002A21AE" w:rsidRDefault="002A21AE" w:rsidP="00FA7E65">
      <w:pPr>
        <w:pStyle w:val="BodyText"/>
      </w:pPr>
      <w:r>
        <w:t xml:space="preserve">This option facilitates the direct entry of reaction results and interpretations, constituting daily reagent quality control testing for a rack of reagents. </w:t>
      </w:r>
    </w:p>
    <w:p w14:paraId="2312E34F" w14:textId="77777777" w:rsidR="002A21AE" w:rsidRDefault="002A21AE" w:rsidP="00FA7E65">
      <w:pPr>
        <w:pStyle w:val="BodyText"/>
      </w:pPr>
      <w:r>
        <w:t>VBECS allows the user to change individual reagents without repeating the QC for the full rack during the day.</w:t>
      </w:r>
    </w:p>
    <w:tbl>
      <w:tblPr>
        <w:tblW w:w="9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356"/>
      </w:tblGrid>
      <w:tr w:rsidR="002A21AE" w14:paraId="0E7728D1" w14:textId="77777777">
        <w:trPr>
          <w:tblHeader/>
        </w:trPr>
        <w:tc>
          <w:tcPr>
            <w:tcW w:w="3240" w:type="dxa"/>
            <w:shd w:val="pct30" w:color="auto" w:fill="FFFFFF"/>
            <w:vAlign w:val="bottom"/>
          </w:tcPr>
          <w:p w14:paraId="26A71ACD" w14:textId="77777777" w:rsidR="002A21AE" w:rsidRDefault="002A21AE">
            <w:pPr>
              <w:pStyle w:val="TableText"/>
              <w:rPr>
                <w:b/>
              </w:rPr>
            </w:pPr>
            <w:bookmarkStart w:id="230" w:name="_Toc30304250"/>
            <w:bookmarkStart w:id="231" w:name="_Toc30912571"/>
            <w:bookmarkStart w:id="232" w:name="_Toc49251208"/>
            <w:bookmarkStart w:id="233" w:name="_Toc49251692"/>
            <w:bookmarkStart w:id="234" w:name="_Toc68448916"/>
            <w:r>
              <w:rPr>
                <w:b/>
              </w:rPr>
              <w:t>User Action</w:t>
            </w:r>
          </w:p>
        </w:tc>
        <w:tc>
          <w:tcPr>
            <w:tcW w:w="6356" w:type="dxa"/>
            <w:shd w:val="pct30" w:color="auto" w:fill="FFFFFF"/>
            <w:vAlign w:val="bottom"/>
          </w:tcPr>
          <w:p w14:paraId="73BC00CA" w14:textId="77777777" w:rsidR="002A21AE" w:rsidRDefault="002A21AE">
            <w:pPr>
              <w:pStyle w:val="TableText"/>
              <w:rPr>
                <w:b/>
              </w:rPr>
            </w:pPr>
            <w:r>
              <w:rPr>
                <w:b/>
              </w:rPr>
              <w:t>VBECS</w:t>
            </w:r>
          </w:p>
        </w:tc>
      </w:tr>
      <w:tr w:rsidR="002A21AE" w14:paraId="2812042B" w14:textId="77777777">
        <w:tc>
          <w:tcPr>
            <w:tcW w:w="3240" w:type="dxa"/>
          </w:tcPr>
          <w:p w14:paraId="0C658EE7" w14:textId="77777777" w:rsidR="002A21AE" w:rsidRDefault="002A21AE">
            <w:pPr>
              <w:pStyle w:val="TableTextNumbers"/>
            </w:pPr>
            <w:r>
              <w:t xml:space="preserve">Select </w:t>
            </w:r>
            <w:r>
              <w:rPr>
                <w:b/>
              </w:rPr>
              <w:t>Reagents</w:t>
            </w:r>
            <w:r>
              <w:t xml:space="preserve"> from the main menu.</w:t>
            </w:r>
          </w:p>
          <w:p w14:paraId="2F27F781" w14:textId="77777777" w:rsidR="002A21AE" w:rsidRDefault="002A21AE">
            <w:pPr>
              <w:pStyle w:val="TableTextNumbersContinued"/>
              <w:rPr>
                <w:b/>
                <w:bCs/>
              </w:rPr>
            </w:pPr>
          </w:p>
          <w:p w14:paraId="2B4EE38F" w14:textId="77777777" w:rsidR="002A21AE" w:rsidRDefault="002A21AE">
            <w:pPr>
              <w:pStyle w:val="TableTextNumbersContinued"/>
            </w:pPr>
            <w:r>
              <w:t xml:space="preserve">Select </w:t>
            </w:r>
            <w:r>
              <w:rPr>
                <w:b/>
              </w:rPr>
              <w:t>Enter Daily QC Results</w:t>
            </w:r>
            <w:r>
              <w:t>.</w:t>
            </w:r>
          </w:p>
        </w:tc>
        <w:tc>
          <w:tcPr>
            <w:tcW w:w="6356" w:type="dxa"/>
          </w:tcPr>
          <w:p w14:paraId="0C7CBAAC" w14:textId="77777777" w:rsidR="002A21AE" w:rsidRDefault="002A21AE" w:rsidP="003356B8">
            <w:pPr>
              <w:pStyle w:val="TableTextBullet"/>
            </w:pPr>
            <w:r>
              <w:t>Displays options to perform daily reagent rack QC</w:t>
            </w:r>
            <w:r w:rsidR="000D380C">
              <w:t>.</w:t>
            </w:r>
          </w:p>
        </w:tc>
      </w:tr>
      <w:tr w:rsidR="000B5EBA" w14:paraId="2D6D8A80" w14:textId="77777777">
        <w:tc>
          <w:tcPr>
            <w:tcW w:w="3240" w:type="dxa"/>
          </w:tcPr>
          <w:p w14:paraId="5636BB7D" w14:textId="77777777" w:rsidR="000B5EBA" w:rsidRDefault="00003AD3" w:rsidP="00D148D7">
            <w:pPr>
              <w:pStyle w:val="TableTextNumbers"/>
            </w:pPr>
            <w:r>
              <w:t>Verify</w:t>
            </w:r>
            <w:r w:rsidR="000B5EBA">
              <w:t xml:space="preserve"> the default date tested and tester</w:t>
            </w:r>
            <w:r>
              <w:t xml:space="preserve">, </w:t>
            </w:r>
            <w:r w:rsidR="00686785">
              <w:t>and</w:t>
            </w:r>
            <w:r>
              <w:t xml:space="preserve"> edit them</w:t>
            </w:r>
            <w:r w:rsidR="000B5EBA">
              <w:t>, if needed.</w:t>
            </w:r>
          </w:p>
        </w:tc>
        <w:tc>
          <w:tcPr>
            <w:tcW w:w="6356" w:type="dxa"/>
          </w:tcPr>
          <w:p w14:paraId="0CC38A66" w14:textId="77777777" w:rsidR="000B5EBA" w:rsidRDefault="000B5EBA" w:rsidP="00D148D7">
            <w:pPr>
              <w:pStyle w:val="TableTextBullet"/>
            </w:pPr>
            <w:r>
              <w:t>Displays the date and time the testing was performed; the default is the current date and time, which are editable to allow retrospective entry.</w:t>
            </w:r>
          </w:p>
          <w:p w14:paraId="44A11251" w14:textId="77777777" w:rsidR="000B5EBA" w:rsidRDefault="000B5EBA" w:rsidP="00D148D7">
            <w:pPr>
              <w:pStyle w:val="TableTextBullet"/>
            </w:pPr>
            <w:r>
              <w:t>Displays the testing technologist’s identification; the default is the current user. Lists valid division users for selection.</w:t>
            </w:r>
          </w:p>
          <w:p w14:paraId="72488E28" w14:textId="77777777" w:rsidR="000B5EBA" w:rsidRDefault="000B5EBA" w:rsidP="00D148D7">
            <w:pPr>
              <w:pStyle w:val="TableTextBullet"/>
            </w:pPr>
            <w:r>
              <w:t>Displays the option to indicate the rack number of the reagents to test, a list of racks to be tested for the current date, and a retest option for the racks with testing completed for the date.</w:t>
            </w:r>
          </w:p>
          <w:p w14:paraId="6482817A" w14:textId="77777777" w:rsidR="000B5EBA" w:rsidRDefault="000B5EBA" w:rsidP="00D148D7">
            <w:pPr>
              <w:pStyle w:val="TableText"/>
            </w:pPr>
          </w:p>
          <w:p w14:paraId="7DAE035A" w14:textId="61426102" w:rsidR="000B5EBA" w:rsidRDefault="000B5EBA" w:rsidP="00D148D7">
            <w:pPr>
              <w:pStyle w:val="TableText"/>
              <w:rPr>
                <w:b/>
                <w:bCs/>
                <w:szCs w:val="18"/>
              </w:rPr>
            </w:pPr>
            <w:r>
              <w:rPr>
                <w:b/>
                <w:bCs/>
                <w:szCs w:val="18"/>
              </w:rPr>
              <w:t>NOTES</w:t>
            </w:r>
          </w:p>
          <w:p w14:paraId="17C39254" w14:textId="77777777" w:rsidR="000B5EBA" w:rsidRDefault="000B5EBA" w:rsidP="00D148D7">
            <w:pPr>
              <w:pStyle w:val="NotesText"/>
            </w:pPr>
          </w:p>
          <w:p w14:paraId="44D15318" w14:textId="77777777" w:rsidR="000B5EBA" w:rsidRDefault="000B5EBA" w:rsidP="001272CA">
            <w:pPr>
              <w:pStyle w:val="NotesText"/>
            </w:pPr>
            <w:r>
              <w:t>Daily QC testing does not include reagents used in special antigen typing.</w:t>
            </w:r>
          </w:p>
        </w:tc>
      </w:tr>
      <w:tr w:rsidR="002A21AE" w14:paraId="37D8DEBB" w14:textId="77777777" w:rsidTr="007E500E">
        <w:trPr>
          <w:cantSplit/>
        </w:trPr>
        <w:tc>
          <w:tcPr>
            <w:tcW w:w="3240" w:type="dxa"/>
            <w:tcBorders>
              <w:top w:val="single" w:sz="4" w:space="0" w:color="auto"/>
              <w:left w:val="single" w:sz="4" w:space="0" w:color="auto"/>
              <w:bottom w:val="single" w:sz="4" w:space="0" w:color="auto"/>
              <w:right w:val="single" w:sz="4" w:space="0" w:color="auto"/>
            </w:tcBorders>
          </w:tcPr>
          <w:p w14:paraId="5E670E9D" w14:textId="63EB54BB" w:rsidR="000D380C" w:rsidRDefault="000D380C">
            <w:pPr>
              <w:pStyle w:val="TableTextNumbers"/>
            </w:pPr>
            <w:r>
              <w:lastRenderedPageBreak/>
              <w:t xml:space="preserve">Select the </w:t>
            </w:r>
            <w:r w:rsidRPr="000D380C">
              <w:rPr>
                <w:b/>
              </w:rPr>
              <w:t>Test Rack(s)</w:t>
            </w:r>
            <w:r w:rsidRPr="000D380C">
              <w:t>,</w:t>
            </w:r>
            <w:r w:rsidRPr="000D380C">
              <w:rPr>
                <w:b/>
              </w:rPr>
              <w:t xml:space="preserve"> </w:t>
            </w:r>
            <w:r>
              <w:rPr>
                <w:b/>
              </w:rPr>
              <w:t>P</w:t>
            </w:r>
            <w:r w:rsidRPr="000D380C">
              <w:rPr>
                <w:b/>
              </w:rPr>
              <w:t>artially Tested Rack(s)</w:t>
            </w:r>
            <w:r w:rsidRPr="00F62D64">
              <w:t>, or</w:t>
            </w:r>
            <w:r w:rsidRPr="000D380C">
              <w:rPr>
                <w:b/>
              </w:rPr>
              <w:t xml:space="preserve"> Retest Rack(s</w:t>
            </w:r>
            <w:r w:rsidRPr="00F62D64">
              <w:rPr>
                <w:b/>
              </w:rPr>
              <w:t xml:space="preserve">) </w:t>
            </w:r>
            <w:r w:rsidRPr="00CC3C89">
              <w:t>tab</w:t>
            </w:r>
            <w:r w:rsidR="00957095" w:rsidRPr="00CC3C89">
              <w:t xml:space="preserve"> </w:t>
            </w:r>
            <w:r w:rsidR="00957095">
              <w:t>(</w:t>
            </w:r>
            <w:r w:rsidR="00EE455E">
              <w:t xml:space="preserve">Figure </w:t>
            </w:r>
            <w:r w:rsidR="00EE455E">
              <w:rPr>
                <w:noProof/>
              </w:rPr>
              <w:t>37</w:t>
            </w:r>
            <w:r w:rsidR="00957095">
              <w:t>)</w:t>
            </w:r>
            <w:r>
              <w:t>.</w:t>
            </w:r>
          </w:p>
          <w:p w14:paraId="32A88D21" w14:textId="77777777" w:rsidR="000D380C" w:rsidRDefault="000D380C" w:rsidP="000D380C">
            <w:pPr>
              <w:pStyle w:val="TableTextNumbersContinued"/>
            </w:pPr>
          </w:p>
          <w:p w14:paraId="073AFAA4" w14:textId="77777777" w:rsidR="002A21AE" w:rsidRDefault="00922EBC" w:rsidP="000D380C">
            <w:pPr>
              <w:pStyle w:val="TableTextNumbersContinued"/>
            </w:pPr>
            <w:r>
              <w:t>Click one or more check boxes to select</w:t>
            </w:r>
            <w:r w:rsidR="002A21AE">
              <w:t xml:space="preserve"> rack numbers.</w:t>
            </w:r>
          </w:p>
          <w:p w14:paraId="7CAE1C46" w14:textId="77777777" w:rsidR="00C36763" w:rsidRDefault="00C36763" w:rsidP="000D380C">
            <w:pPr>
              <w:pStyle w:val="TableTextNumbersContinued"/>
            </w:pPr>
          </w:p>
          <w:p w14:paraId="3E7F9A32" w14:textId="77777777" w:rsidR="00C36763" w:rsidRDefault="00C36763" w:rsidP="000D380C">
            <w:pPr>
              <w:pStyle w:val="TableTextNumbersContinued"/>
            </w:pPr>
            <w:r>
              <w:t xml:space="preserve">Click </w:t>
            </w:r>
            <w:r w:rsidRPr="00C36763">
              <w:rPr>
                <w:b/>
              </w:rPr>
              <w:t>OK</w:t>
            </w:r>
            <w:r>
              <w:t>.</w:t>
            </w:r>
          </w:p>
          <w:p w14:paraId="404B583D" w14:textId="77777777" w:rsidR="002A21AE" w:rsidRDefault="002A21AE" w:rsidP="00107CEB">
            <w:pPr>
              <w:pStyle w:val="TableTextNumbersContinued"/>
            </w:pPr>
          </w:p>
        </w:tc>
        <w:tc>
          <w:tcPr>
            <w:tcW w:w="6356" w:type="dxa"/>
            <w:tcBorders>
              <w:top w:val="single" w:sz="4" w:space="0" w:color="auto"/>
              <w:left w:val="single" w:sz="4" w:space="0" w:color="auto"/>
              <w:bottom w:val="single" w:sz="4" w:space="0" w:color="auto"/>
              <w:right w:val="single" w:sz="4" w:space="0" w:color="auto"/>
            </w:tcBorders>
          </w:tcPr>
          <w:p w14:paraId="25850177" w14:textId="77777777" w:rsidR="002A21AE" w:rsidRDefault="002A21AE">
            <w:pPr>
              <w:pStyle w:val="TableTextBullet"/>
            </w:pPr>
            <w:r>
              <w:t>Displays the lot number verification template for each rack selected.</w:t>
            </w:r>
          </w:p>
          <w:p w14:paraId="7A95FBE2" w14:textId="77777777" w:rsidR="002A21AE" w:rsidRDefault="002A21AE">
            <w:pPr>
              <w:pStyle w:val="TableText"/>
            </w:pPr>
          </w:p>
          <w:p w14:paraId="66ECFC25" w14:textId="4A906AE9" w:rsidR="002A21AE" w:rsidRDefault="002A21AE">
            <w:pPr>
              <w:pStyle w:val="TableText"/>
              <w:rPr>
                <w:b/>
                <w:bCs/>
                <w:szCs w:val="18"/>
              </w:rPr>
            </w:pPr>
            <w:r>
              <w:rPr>
                <w:b/>
                <w:bCs/>
                <w:szCs w:val="18"/>
              </w:rPr>
              <w:t>NOTES</w:t>
            </w:r>
          </w:p>
          <w:p w14:paraId="2C91F8C6" w14:textId="77777777" w:rsidR="00A013ED" w:rsidRDefault="00A013ED" w:rsidP="00A013ED">
            <w:pPr>
              <w:pStyle w:val="NotesText"/>
            </w:pPr>
          </w:p>
          <w:p w14:paraId="77019BE4" w14:textId="77777777" w:rsidR="00F233CC" w:rsidRDefault="005C1490" w:rsidP="00F233CC">
            <w:pPr>
              <w:pStyle w:val="NotesText"/>
            </w:pPr>
            <w:r>
              <w:rPr>
                <w:vanish/>
              </w:rPr>
              <w:t>BR_</w:t>
            </w:r>
            <w:r w:rsidRPr="00707B78">
              <w:rPr>
                <w:vanish/>
              </w:rPr>
              <w:t>28.3</w:t>
            </w:r>
            <w:r w:rsidR="00324E04" w:rsidRPr="00707B78">
              <w:rPr>
                <w:vanish/>
              </w:rPr>
              <w:t xml:space="preserve">3 </w:t>
            </w:r>
            <w:r w:rsidRPr="005C1490">
              <w:t>A</w:t>
            </w:r>
            <w:r w:rsidR="00F233CC" w:rsidRPr="005C1490">
              <w:t xml:space="preserve"> </w:t>
            </w:r>
            <w:r>
              <w:t xml:space="preserve">reagent </w:t>
            </w:r>
            <w:r w:rsidR="00F233CC">
              <w:t xml:space="preserve">rack </w:t>
            </w:r>
            <w:r>
              <w:t>is</w:t>
            </w:r>
            <w:r w:rsidR="00F233CC">
              <w:t xml:space="preserve"> displayed on one of three tabs based on its testing status and the daily alert time setting:</w:t>
            </w:r>
          </w:p>
          <w:p w14:paraId="13C68379" w14:textId="77777777" w:rsidR="00F233CC" w:rsidRDefault="00F233CC" w:rsidP="00F233CC">
            <w:pPr>
              <w:pStyle w:val="NotesTextBullet"/>
            </w:pPr>
            <w:r>
              <w:t>Test Rack(s): the current alert time has passed and is/are considered “untested”</w:t>
            </w:r>
          </w:p>
          <w:p w14:paraId="41AE865C" w14:textId="3880B745" w:rsidR="00F233CC" w:rsidRDefault="00F233CC" w:rsidP="00F233CC">
            <w:pPr>
              <w:pStyle w:val="NotesTextBullet"/>
            </w:pPr>
            <w:r>
              <w:t xml:space="preserve">Partially tested: racks that have incomplete test results for the current </w:t>
            </w:r>
            <w:r w:rsidR="002E5AC8">
              <w:t>24-hour</w:t>
            </w:r>
            <w:r>
              <w:t xml:space="preserve"> time clock and are considered “untested”</w:t>
            </w:r>
          </w:p>
          <w:p w14:paraId="5F65433F" w14:textId="77777777" w:rsidR="00F233CC" w:rsidRDefault="00F233CC" w:rsidP="00F233CC">
            <w:pPr>
              <w:pStyle w:val="NotesTextBullet"/>
            </w:pPr>
            <w:r>
              <w:t>Retest Racks: racks that are fully tested within the current alert time and are available for new lot number selection and its testing.</w:t>
            </w:r>
          </w:p>
          <w:p w14:paraId="4AD1C132" w14:textId="77777777" w:rsidR="00503F5E" w:rsidRDefault="00503F5E" w:rsidP="00A013ED">
            <w:pPr>
              <w:pStyle w:val="NotesText"/>
            </w:pPr>
          </w:p>
          <w:p w14:paraId="6BED77EC" w14:textId="77777777" w:rsidR="00F233CC" w:rsidRPr="00503F5E" w:rsidRDefault="00503F5E" w:rsidP="00A013ED">
            <w:pPr>
              <w:pStyle w:val="NotesText"/>
            </w:pPr>
            <w:r w:rsidRPr="00503F5E">
              <w:t>The user may test a rack no earlier than the alert time for the next 24 hours</w:t>
            </w:r>
            <w:r>
              <w:t>.</w:t>
            </w:r>
            <w:r>
              <w:rPr>
                <w:vanish/>
              </w:rPr>
              <w:t xml:space="preserve"> DR 4014</w:t>
            </w:r>
          </w:p>
          <w:p w14:paraId="101E93FF" w14:textId="77777777" w:rsidR="00503F5E" w:rsidRDefault="00503F5E" w:rsidP="00A013ED">
            <w:pPr>
              <w:pStyle w:val="NotesText"/>
            </w:pPr>
          </w:p>
          <w:p w14:paraId="00204979" w14:textId="77777777" w:rsidR="00A013ED" w:rsidRDefault="00A013ED" w:rsidP="00A013ED">
            <w:pPr>
              <w:pStyle w:val="NotesText"/>
            </w:pPr>
            <w:r>
              <w:t>On occasion, a user may save a partially completed QC worksheet and finish it later. The same user or a different user may complete the testing.</w:t>
            </w:r>
          </w:p>
          <w:p w14:paraId="71AF6465" w14:textId="77777777" w:rsidR="00A013ED" w:rsidRDefault="00A013ED" w:rsidP="00A013ED">
            <w:pPr>
              <w:pStyle w:val="NotesText"/>
            </w:pPr>
          </w:p>
          <w:p w14:paraId="70AB74CB" w14:textId="77777777" w:rsidR="00A013ED" w:rsidRDefault="00A013ED" w:rsidP="00A013ED">
            <w:pPr>
              <w:pStyle w:val="NotesText"/>
            </w:pPr>
            <w:r>
              <w:t>The user may retest a rack when a reagent lot number changes after initial testing. VBECS does not allow the user to retest saved valid results.</w:t>
            </w:r>
          </w:p>
          <w:p w14:paraId="7CAC92F1" w14:textId="77777777" w:rsidR="00A013ED" w:rsidRDefault="00A013ED" w:rsidP="00A013ED">
            <w:pPr>
              <w:pStyle w:val="NotesText"/>
              <w:rPr>
                <w:vanish/>
                <w:szCs w:val="18"/>
              </w:rPr>
            </w:pPr>
          </w:p>
          <w:p w14:paraId="038E29DB" w14:textId="77777777" w:rsidR="002A21AE" w:rsidRDefault="002A21AE">
            <w:pPr>
              <w:pStyle w:val="NotesText"/>
            </w:pPr>
            <w:r>
              <w:rPr>
                <w:vanish/>
                <w:szCs w:val="18"/>
              </w:rPr>
              <w:t xml:space="preserve">PT_28.01 </w:t>
            </w:r>
            <w:r>
              <w:t xml:space="preserve">VBECS requires the user to indicate the rack identifier to provide a testing template for each daily reagent rack QC. </w:t>
            </w:r>
          </w:p>
          <w:p w14:paraId="7FE8653C" w14:textId="77777777" w:rsidR="002A21AE" w:rsidRDefault="002A21AE" w:rsidP="00995EAA">
            <w:pPr>
              <w:pStyle w:val="NotesText"/>
            </w:pPr>
          </w:p>
          <w:p w14:paraId="1180B539" w14:textId="77777777" w:rsidR="002A21AE" w:rsidRDefault="002A21AE">
            <w:pPr>
              <w:pStyle w:val="NotesText"/>
            </w:pPr>
            <w:r>
              <w:rPr>
                <w:rFonts w:cs="Arial"/>
                <w:vanish/>
                <w:szCs w:val="18"/>
              </w:rPr>
              <w:t>BR_28.11</w:t>
            </w:r>
            <w:r w:rsidR="00CE3961">
              <w:rPr>
                <w:rFonts w:cs="Arial"/>
                <w:vanish/>
                <w:szCs w:val="18"/>
              </w:rPr>
              <w:t>,</w:t>
            </w:r>
            <w:r>
              <w:rPr>
                <w:rFonts w:cs="Arial"/>
                <w:vanish/>
                <w:szCs w:val="18"/>
              </w:rPr>
              <w:t xml:space="preserve"> </w:t>
            </w:r>
            <w:r>
              <w:rPr>
                <w:vanish/>
                <w:szCs w:val="18"/>
              </w:rPr>
              <w:t xml:space="preserve">BR_28.23 </w:t>
            </w:r>
            <w:r>
              <w:t>Site settings determine reagent types and lot numbers present. VBECS displays only reagent types previously entered for the division using the reagent inventory function. VBECS allows entry of lot numbers only. When VBECS displays lot numbers for selection, it checks the inventory system for the reagent name and lot numbers in use in a rack. VBECS does not offer a reagent with an unsatisfactory value in the “Inspection” field or with a quantity of zero as a selectable reagent. The user cannot force the entry of a lot number that VBECS disallowed on the selection list. The user must choose a different reagent.</w:t>
            </w:r>
          </w:p>
          <w:p w14:paraId="11B4FA17" w14:textId="77777777" w:rsidR="002A21AE" w:rsidRDefault="002A21AE">
            <w:pPr>
              <w:pStyle w:val="NotesText"/>
            </w:pPr>
          </w:p>
          <w:p w14:paraId="66EB088A" w14:textId="77777777" w:rsidR="002A21AE" w:rsidRDefault="002A21AE">
            <w:pPr>
              <w:pStyle w:val="NotesText"/>
            </w:pPr>
            <w:r>
              <w:rPr>
                <w:rFonts w:cs="Arial"/>
                <w:vanish/>
              </w:rPr>
              <w:t xml:space="preserve">BR_28.24 </w:t>
            </w:r>
            <w:r w:rsidR="00D62E87" w:rsidRPr="00896F17">
              <w:rPr>
                <w:rStyle w:val="BullhornChar"/>
              </w:rPr>
              <w:t></w:t>
            </w:r>
            <w:r w:rsidR="00D62E87" w:rsidRPr="00D62E87">
              <w:rPr>
                <w:rFonts w:ascii="Webdings" w:hAnsi="Webdings"/>
              </w:rPr>
              <w:t></w:t>
            </w:r>
            <w:r w:rsidR="00D62E87" w:rsidRPr="00D62E87">
              <w:t>V</w:t>
            </w:r>
            <w:r>
              <w:t>BECS compares the expiration date of each reagent on the selected rack to the testing date, emits an audible alert, and warns when the reagent is expired.</w:t>
            </w:r>
          </w:p>
          <w:p w14:paraId="61B37B36" w14:textId="77777777" w:rsidR="002A21AE" w:rsidRDefault="002A21AE">
            <w:pPr>
              <w:pStyle w:val="NotesText"/>
            </w:pPr>
          </w:p>
          <w:p w14:paraId="3D8AA1BB" w14:textId="77777777" w:rsidR="002A21AE" w:rsidRDefault="002A21AE">
            <w:pPr>
              <w:pStyle w:val="NotesText"/>
            </w:pPr>
            <w:r>
              <w:rPr>
                <w:b/>
              </w:rPr>
              <w:t>Yes</w:t>
            </w:r>
            <w:r>
              <w:t xml:space="preserve"> requires a comment and VBECS captures details for inclusion in an Exception Report (exception type: expired reagent QC’d).</w:t>
            </w:r>
          </w:p>
          <w:p w14:paraId="0A6B57FB" w14:textId="77777777" w:rsidR="002A21AE" w:rsidRDefault="002A21AE">
            <w:pPr>
              <w:pStyle w:val="NotesText"/>
            </w:pPr>
          </w:p>
          <w:p w14:paraId="531AF1E1" w14:textId="77777777" w:rsidR="002A21AE" w:rsidRDefault="002A21AE">
            <w:pPr>
              <w:pStyle w:val="NotesText"/>
            </w:pPr>
            <w:r>
              <w:rPr>
                <w:b/>
              </w:rPr>
              <w:t>No</w:t>
            </w:r>
            <w:r>
              <w:t xml:space="preserve"> removes the unsatisfactory reagent from the daily QC rack. The user must select a new one. VBECS does not display unsatisfactory lot numbers.</w:t>
            </w:r>
          </w:p>
          <w:p w14:paraId="4BBE1955" w14:textId="77777777" w:rsidR="002A21AE" w:rsidRDefault="002A21AE">
            <w:pPr>
              <w:pStyle w:val="NotesText"/>
            </w:pPr>
          </w:p>
          <w:p w14:paraId="56DEAE7D" w14:textId="77777777" w:rsidR="002A21AE" w:rsidRDefault="002A21AE">
            <w:pPr>
              <w:pStyle w:val="NotesText"/>
            </w:pPr>
            <w:r>
              <w:rPr>
                <w:rFonts w:cs="Arial"/>
                <w:vanish/>
              </w:rPr>
              <w:t xml:space="preserve">BR_28.32 </w:t>
            </w:r>
            <w:r>
              <w:t>The user may enter the lot numbers of the reagents used for the daily QC rack and the lot numbers of the enhancement media reagents defined in Configure Daily QC. VBECS does not display these reagents on the reaction results grid for a rack.</w:t>
            </w:r>
          </w:p>
        </w:tc>
      </w:tr>
      <w:tr w:rsidR="002A21AE" w14:paraId="260979B4" w14:textId="77777777" w:rsidTr="007E500E">
        <w:trPr>
          <w:cantSplit/>
        </w:trPr>
        <w:tc>
          <w:tcPr>
            <w:tcW w:w="3240" w:type="dxa"/>
            <w:tcBorders>
              <w:top w:val="single" w:sz="4" w:space="0" w:color="auto"/>
              <w:left w:val="single" w:sz="4" w:space="0" w:color="auto"/>
              <w:bottom w:val="single" w:sz="4" w:space="0" w:color="auto"/>
              <w:right w:val="single" w:sz="4" w:space="0" w:color="auto"/>
            </w:tcBorders>
          </w:tcPr>
          <w:p w14:paraId="15E5864D" w14:textId="58EA3C71" w:rsidR="002A21AE" w:rsidRDefault="002A21AE">
            <w:pPr>
              <w:pStyle w:val="TableTextNumbers"/>
            </w:pPr>
            <w:r>
              <w:lastRenderedPageBreak/>
              <w:t>Select a wo</w:t>
            </w:r>
            <w:r w:rsidR="0086218A">
              <w:t>rksheet to complete the testing</w:t>
            </w:r>
            <w:r w:rsidR="00F20BC5">
              <w:t xml:space="preserve"> (</w:t>
            </w:r>
            <w:r w:rsidR="00EE455E">
              <w:t xml:space="preserve">Figure </w:t>
            </w:r>
            <w:r w:rsidR="00EE455E">
              <w:rPr>
                <w:noProof/>
              </w:rPr>
              <w:t>38</w:t>
            </w:r>
            <w:r w:rsidR="00F20BC5">
              <w:t>)</w:t>
            </w:r>
            <w:r w:rsidR="0086218A">
              <w:t>, or</w:t>
            </w:r>
          </w:p>
          <w:p w14:paraId="215DEDB3" w14:textId="77777777" w:rsidR="0086218A" w:rsidRDefault="0086218A" w:rsidP="0086218A">
            <w:pPr>
              <w:pStyle w:val="TableTextNumbersContinued"/>
            </w:pPr>
          </w:p>
          <w:p w14:paraId="2B74A892" w14:textId="77777777" w:rsidR="002A21AE" w:rsidRDefault="0086218A" w:rsidP="001D6DF1">
            <w:pPr>
              <w:pStyle w:val="TableTextNumbersContinued"/>
            </w:pPr>
            <w:r>
              <w:rPr>
                <w:rFonts w:cs="Arial"/>
                <w:vanish/>
              </w:rPr>
              <w:t xml:space="preserve">BR_28.05 </w:t>
            </w:r>
            <w:r>
              <w:t xml:space="preserve">Click the </w:t>
            </w:r>
            <w:r w:rsidRPr="0086218A">
              <w:rPr>
                <w:b/>
              </w:rPr>
              <w:t xml:space="preserve">Rack not in use today </w:t>
            </w:r>
            <w:r w:rsidRPr="00D1100E">
              <w:t>check box</w:t>
            </w:r>
            <w:r>
              <w:t xml:space="preserve"> to indicate that testing of a rack will not be performed.</w:t>
            </w:r>
          </w:p>
          <w:p w14:paraId="3573B9E3" w14:textId="77777777" w:rsidR="006D3D24" w:rsidRDefault="006D3D24" w:rsidP="001D6DF1">
            <w:pPr>
              <w:pStyle w:val="TableTextNumbersContinued"/>
            </w:pPr>
          </w:p>
          <w:p w14:paraId="33AF12EE" w14:textId="77777777" w:rsidR="006D3D24" w:rsidRPr="006D3D24" w:rsidRDefault="006D3D24" w:rsidP="006D3D24">
            <w:pPr>
              <w:pStyle w:val="TableTextNumbersContinued"/>
            </w:pPr>
            <w:r>
              <w:rPr>
                <w:vanish/>
              </w:rPr>
              <w:t xml:space="preserve">BR_28.34 </w:t>
            </w:r>
            <w:r>
              <w:t xml:space="preserve">Click the </w:t>
            </w:r>
            <w:r>
              <w:rPr>
                <w:b/>
              </w:rPr>
              <w:t>QC Testing Documentation Offline</w:t>
            </w:r>
            <w:r>
              <w:t xml:space="preserve"> check box to acknowledge QC is not performed in VBECS but has been properly documented.</w:t>
            </w:r>
            <w:r w:rsidR="00D827B9">
              <w:t xml:space="preserve"> Click </w:t>
            </w:r>
            <w:r w:rsidR="00D827B9" w:rsidRPr="00D827B9">
              <w:rPr>
                <w:b/>
              </w:rPr>
              <w:t>Yes</w:t>
            </w:r>
            <w:r w:rsidR="00D827B9">
              <w:t xml:space="preserve"> to save changes. Close the window.</w:t>
            </w:r>
          </w:p>
        </w:tc>
        <w:tc>
          <w:tcPr>
            <w:tcW w:w="6356" w:type="dxa"/>
            <w:tcBorders>
              <w:top w:val="single" w:sz="4" w:space="0" w:color="auto"/>
              <w:left w:val="single" w:sz="4" w:space="0" w:color="auto"/>
              <w:bottom w:val="single" w:sz="4" w:space="0" w:color="auto"/>
              <w:right w:val="single" w:sz="4" w:space="0" w:color="auto"/>
            </w:tcBorders>
          </w:tcPr>
          <w:p w14:paraId="5E7609A7" w14:textId="77777777" w:rsidR="002A21AE" w:rsidRDefault="002A21AE">
            <w:pPr>
              <w:pStyle w:val="TableTextBullet"/>
            </w:pPr>
            <w:r>
              <w:t>Displays the selected worksheet.</w:t>
            </w:r>
          </w:p>
          <w:p w14:paraId="715D39A9" w14:textId="77777777" w:rsidR="002A21AE" w:rsidRDefault="002A21AE">
            <w:pPr>
              <w:pStyle w:val="TableTextBullet"/>
            </w:pPr>
            <w:r>
              <w:t>Displays the selected partially completed worksheet with the option to cancel the worksheet or continue to enter more testing information.</w:t>
            </w:r>
          </w:p>
          <w:p w14:paraId="2079FB1D" w14:textId="77777777" w:rsidR="002A21AE" w:rsidRDefault="002A21AE">
            <w:pPr>
              <w:pStyle w:val="TableText"/>
            </w:pPr>
          </w:p>
          <w:p w14:paraId="02A33E9D" w14:textId="216236AD" w:rsidR="002A21AE" w:rsidRDefault="002A21AE">
            <w:pPr>
              <w:pStyle w:val="TableText"/>
              <w:rPr>
                <w:b/>
                <w:bCs/>
                <w:szCs w:val="18"/>
              </w:rPr>
            </w:pPr>
            <w:r>
              <w:rPr>
                <w:b/>
                <w:bCs/>
                <w:szCs w:val="18"/>
              </w:rPr>
              <w:t>NOTES</w:t>
            </w:r>
          </w:p>
          <w:p w14:paraId="4BA5AD8E" w14:textId="77777777" w:rsidR="002A21AE" w:rsidRDefault="002A21AE">
            <w:pPr>
              <w:pStyle w:val="NotesText"/>
            </w:pPr>
          </w:p>
          <w:p w14:paraId="2DFFF3FC" w14:textId="77777777" w:rsidR="00CF0BDB" w:rsidRDefault="006D3D24">
            <w:pPr>
              <w:pStyle w:val="NotesText"/>
              <w:rPr>
                <w:rFonts w:cs="Arial"/>
              </w:rPr>
            </w:pPr>
            <w:r>
              <w:rPr>
                <w:rFonts w:cs="Arial"/>
              </w:rPr>
              <w:t xml:space="preserve">When the QC Testing Documentation Offline check box is checked </w:t>
            </w:r>
            <w:r w:rsidR="00CF0BDB">
              <w:rPr>
                <w:rFonts w:cs="Arial"/>
              </w:rPr>
              <w:t>for a reagent rack</w:t>
            </w:r>
            <w:r w:rsidR="00FE130E">
              <w:rPr>
                <w:rFonts w:cs="Arial"/>
              </w:rPr>
              <w:t>,</w:t>
            </w:r>
            <w:r w:rsidR="00CF0BDB">
              <w:rPr>
                <w:rFonts w:cs="Arial"/>
              </w:rPr>
              <w:t xml:space="preserve"> VBECS allows the rack to be used for patient testing until the next daily alert time.</w:t>
            </w:r>
          </w:p>
          <w:p w14:paraId="4F3FDB65" w14:textId="77777777" w:rsidR="006D3D24" w:rsidRPr="006D3D24" w:rsidRDefault="006D3D24">
            <w:pPr>
              <w:pStyle w:val="NotesText"/>
              <w:rPr>
                <w:rFonts w:cs="Arial"/>
              </w:rPr>
            </w:pPr>
            <w:r>
              <w:rPr>
                <w:rFonts w:cs="Arial"/>
              </w:rPr>
              <w:t xml:space="preserve"> </w:t>
            </w:r>
          </w:p>
          <w:p w14:paraId="5FD08B27" w14:textId="77777777" w:rsidR="002A21AE" w:rsidRDefault="00E10815">
            <w:pPr>
              <w:pStyle w:val="NotesText"/>
            </w:pPr>
            <w:r>
              <w:t>The primary lot number can be tested and changed and the results for both will display on the Testing Worklist Report.</w:t>
            </w:r>
          </w:p>
          <w:p w14:paraId="5E7752B9" w14:textId="77777777" w:rsidR="002A21AE" w:rsidRDefault="002A21AE">
            <w:pPr>
              <w:pStyle w:val="NotesText"/>
            </w:pPr>
          </w:p>
          <w:p w14:paraId="22AD7134" w14:textId="77777777" w:rsidR="002A21AE" w:rsidRDefault="00D62E87">
            <w:pPr>
              <w:pStyle w:val="NotesText"/>
            </w:pPr>
            <w:r w:rsidRPr="00896F17">
              <w:rPr>
                <w:rStyle w:val="BullhornChar"/>
              </w:rPr>
              <w:t></w:t>
            </w:r>
            <w:r w:rsidRPr="00D62E87">
              <w:rPr>
                <w:rFonts w:ascii="Webdings" w:hAnsi="Webdings"/>
              </w:rPr>
              <w:t></w:t>
            </w:r>
            <w:r w:rsidR="002A21AE">
              <w:t>A user may cancel or invalidate a partially completed QC rack worksheet when it is available. VBECS emits an audible alert and warns that invalidating this worksheet will necessitate starting over and asks whether the user wishes to continue.</w:t>
            </w:r>
          </w:p>
          <w:p w14:paraId="72DCA43D" w14:textId="77777777" w:rsidR="002A21AE" w:rsidRDefault="002A21AE">
            <w:pPr>
              <w:pStyle w:val="NotesText"/>
            </w:pPr>
          </w:p>
          <w:p w14:paraId="1595BBE3" w14:textId="64470EDD" w:rsidR="002A21AE" w:rsidRDefault="002A21AE">
            <w:pPr>
              <w:pStyle w:val="NotesText"/>
            </w:pPr>
            <w:r>
              <w:rPr>
                <w:b/>
              </w:rPr>
              <w:t>No</w:t>
            </w:r>
            <w:r>
              <w:t xml:space="preserve"> returns the user to the partially</w:t>
            </w:r>
            <w:r w:rsidR="004D2026">
              <w:t xml:space="preserve"> </w:t>
            </w:r>
            <w:r>
              <w:t xml:space="preserve">completed worksheet. </w:t>
            </w:r>
          </w:p>
          <w:p w14:paraId="2C55B388" w14:textId="77777777" w:rsidR="002A21AE" w:rsidRDefault="002A21AE">
            <w:pPr>
              <w:pStyle w:val="NotesText"/>
            </w:pPr>
            <w:r>
              <w:rPr>
                <w:b/>
              </w:rPr>
              <w:t>Yes</w:t>
            </w:r>
            <w:r>
              <w:t xml:space="preserve"> invalidates the worksheet. VBECS does not delete reaction results from the database. </w:t>
            </w:r>
          </w:p>
          <w:p w14:paraId="6ED5277E" w14:textId="77777777" w:rsidR="002A21AE" w:rsidRDefault="002A21AE">
            <w:pPr>
              <w:pStyle w:val="NotesText"/>
            </w:pPr>
          </w:p>
          <w:p w14:paraId="02590ABB" w14:textId="77777777" w:rsidR="002A21AE" w:rsidRDefault="002A21AE">
            <w:pPr>
              <w:pStyle w:val="NotesText"/>
            </w:pPr>
            <w:r>
              <w:t>An Exception Report comment documents the invalidation of the rack’s worksheet. VBECS does not record workload calculation for invalidated testing. The invalidated reaction results and associated testing information remain in the database for future retrieval (exception type: deletion of partially completed QC).</w:t>
            </w:r>
          </w:p>
          <w:p w14:paraId="2CFD6873" w14:textId="77777777" w:rsidR="002A21AE" w:rsidRDefault="002A21AE">
            <w:pPr>
              <w:pStyle w:val="NotesText"/>
            </w:pPr>
          </w:p>
          <w:p w14:paraId="109CC652" w14:textId="77777777" w:rsidR="002A21AE" w:rsidRDefault="002A21AE">
            <w:pPr>
              <w:pStyle w:val="NotesText"/>
            </w:pPr>
            <w:r>
              <w:rPr>
                <w:rFonts w:cs="Arial"/>
                <w:vanish/>
              </w:rPr>
              <w:t xml:space="preserve">BR_28.12 </w:t>
            </w:r>
            <w:r w:rsidR="00D62E87" w:rsidRPr="00896F17">
              <w:rPr>
                <w:rStyle w:val="BullhornChar"/>
              </w:rPr>
              <w:t></w:t>
            </w:r>
            <w:r w:rsidR="00D62E87" w:rsidRPr="00D62E87">
              <w:rPr>
                <w:rFonts w:ascii="Webdings" w:hAnsi="Webdings"/>
              </w:rPr>
              <w:t></w:t>
            </w:r>
            <w:r w:rsidR="00D62E87" w:rsidRPr="00D62E87">
              <w:t>V</w:t>
            </w:r>
            <w:r>
              <w:t xml:space="preserve">BECS compares the results entered to those of the previous day for the same rack number and alerts the user when there is a </w:t>
            </w:r>
            <w:r w:rsidR="001F4C96">
              <w:t>change</w:t>
            </w:r>
            <w:r>
              <w:t xml:space="preserve"> in reactivity of two or more </w:t>
            </w:r>
            <w:r w:rsidR="001F4C96">
              <w:t>or when the result is changed from positive to negative</w:t>
            </w:r>
            <w:r>
              <w:t xml:space="preserve"> for each reagent type by lot number. VBECS </w:t>
            </w:r>
            <w:r>
              <w:rPr>
                <w:noProof/>
              </w:rPr>
              <w:t>emits an audible a</w:t>
            </w:r>
            <w:r w:rsidR="000C0766">
              <w:rPr>
                <w:noProof/>
              </w:rPr>
              <w:t xml:space="preserve">lert and warns that there is a </w:t>
            </w:r>
            <w:r w:rsidR="000C0766">
              <w:t>decrease</w:t>
            </w:r>
            <w:r>
              <w:t xml:space="preserve"> in reagent reactivity of two or more and asks whether the user wishes to continue to use this vial.</w:t>
            </w:r>
          </w:p>
          <w:p w14:paraId="6970E74B" w14:textId="77777777" w:rsidR="002A21AE" w:rsidRDefault="002A21AE">
            <w:pPr>
              <w:pStyle w:val="NotesText"/>
            </w:pPr>
          </w:p>
          <w:p w14:paraId="2B66083B" w14:textId="77777777" w:rsidR="002A21AE" w:rsidRDefault="002A21AE">
            <w:pPr>
              <w:pStyle w:val="NotesText"/>
            </w:pPr>
            <w:r>
              <w:rPr>
                <w:b/>
              </w:rPr>
              <w:t>Yes</w:t>
            </w:r>
            <w:r>
              <w:t xml:space="preserve"> allows the user to continue and requires a comment. VBECS captures details for inclusion in an Exception Report and allows this reagent to be used with the change (within acceptable limits) (exception type: QC decrease reagent reactivity </w:t>
            </w:r>
            <w:r w:rsidR="00DE5EF3" w:rsidRPr="00DE5EF3">
              <w:rPr>
                <w:rStyle w:val="Char"/>
                <w:rFonts w:cs="Arial"/>
                <w:sz w:val="18"/>
                <w:szCs w:val="18"/>
              </w:rPr>
              <w:t>≥</w:t>
            </w:r>
            <w:r>
              <w:t>2).</w:t>
            </w:r>
            <w:r w:rsidR="00DE5EF3">
              <w:t xml:space="preserve"> </w:t>
            </w:r>
          </w:p>
          <w:p w14:paraId="04568D10" w14:textId="77777777" w:rsidR="002A21AE" w:rsidRDefault="002A21AE">
            <w:pPr>
              <w:pStyle w:val="NotesText"/>
            </w:pPr>
          </w:p>
          <w:p w14:paraId="076E592F" w14:textId="77777777" w:rsidR="002A21AE" w:rsidRDefault="002A21AE">
            <w:pPr>
              <w:pStyle w:val="NotesText"/>
            </w:pPr>
            <w:r>
              <w:rPr>
                <w:b/>
              </w:rPr>
              <w:t>No</w:t>
            </w:r>
            <w:r>
              <w:t xml:space="preserve"> allows the user to return to the lot number entry for this reagent type and approve this lot number (different vial) or enter a new lot number. VBECS returns to the testing worksheet where the user left off. (An individual vial of the same lot number may replace the one losing its reactivity.)</w:t>
            </w:r>
          </w:p>
          <w:p w14:paraId="2F6026A8" w14:textId="77777777" w:rsidR="002A21AE" w:rsidRDefault="002A21AE">
            <w:pPr>
              <w:pStyle w:val="NotesText"/>
            </w:pPr>
          </w:p>
          <w:p w14:paraId="16B7D8EB" w14:textId="77777777" w:rsidR="002A21AE" w:rsidRDefault="002A21AE">
            <w:pPr>
              <w:pStyle w:val="NotesText"/>
            </w:pPr>
            <w:r>
              <w:rPr>
                <w:rFonts w:cs="Arial"/>
                <w:vanish/>
              </w:rPr>
              <w:t>BR_28.30</w:t>
            </w:r>
            <w:r w:rsidR="00C852BF">
              <w:rPr>
                <w:rFonts w:cs="Arial"/>
                <w:vanish/>
              </w:rPr>
              <w:t>,</w:t>
            </w:r>
            <w:r>
              <w:rPr>
                <w:rFonts w:cs="Arial"/>
                <w:vanish/>
              </w:rPr>
              <w:t xml:space="preserve"> </w:t>
            </w:r>
            <w:r w:rsidR="00C852BF">
              <w:rPr>
                <w:rFonts w:cs="Arial"/>
                <w:vanish/>
              </w:rPr>
              <w:t>BR_28.31</w:t>
            </w:r>
            <w:r>
              <w:t xml:space="preserve">The </w:t>
            </w:r>
            <w:r w:rsidR="00C377F3">
              <w:t>s</w:t>
            </w:r>
            <w:r>
              <w:t xml:space="preserve">creening </w:t>
            </w:r>
            <w:r w:rsidR="00C377F3">
              <w:t>c</w:t>
            </w:r>
            <w:r w:rsidR="00F20BC5">
              <w:t>ell</w:t>
            </w:r>
            <w:r w:rsidR="00462FB1">
              <w:t xml:space="preserve"> and reverse typing</w:t>
            </w:r>
            <w:r>
              <w:t xml:space="preserve"> reagents are delivered in set</w:t>
            </w:r>
            <w:r w:rsidR="00462FB1">
              <w:t>s</w:t>
            </w:r>
            <w:r>
              <w:t xml:space="preserve"> and share the same lot number; therefore, VBECS displays only one reagent type on the lot number template.</w:t>
            </w:r>
          </w:p>
        </w:tc>
      </w:tr>
      <w:tr w:rsidR="002A21AE" w14:paraId="7C6BD218" w14:textId="77777777" w:rsidTr="007E500E">
        <w:trPr>
          <w:cantSplit/>
        </w:trPr>
        <w:tc>
          <w:tcPr>
            <w:tcW w:w="3240" w:type="dxa"/>
          </w:tcPr>
          <w:p w14:paraId="548EA90F" w14:textId="77777777" w:rsidR="00A83F42" w:rsidRDefault="00A83F42" w:rsidP="00A83F42">
            <w:pPr>
              <w:pStyle w:val="TableTextNumbers"/>
            </w:pPr>
            <w:r>
              <w:lastRenderedPageBreak/>
              <w:t>Verify or select from the drop-down menu the reagent type lot number and test method for each rack chosen for processing.</w:t>
            </w:r>
          </w:p>
          <w:p w14:paraId="7FF886E7" w14:textId="77777777" w:rsidR="00107CEB" w:rsidRDefault="00107CEB" w:rsidP="00107CEB">
            <w:pPr>
              <w:pStyle w:val="TableTextNumbersContinued"/>
            </w:pPr>
          </w:p>
          <w:p w14:paraId="7C5C3FAE" w14:textId="77777777" w:rsidR="00107CEB" w:rsidRDefault="00A83F42" w:rsidP="00107CEB">
            <w:pPr>
              <w:pStyle w:val="TableTextNumbersContinued"/>
            </w:pPr>
            <w:r>
              <w:t xml:space="preserve">Click </w:t>
            </w:r>
            <w:r w:rsidRPr="001272CA">
              <w:rPr>
                <w:b/>
              </w:rPr>
              <w:t>OK</w:t>
            </w:r>
            <w:r>
              <w:t>.</w:t>
            </w:r>
          </w:p>
          <w:p w14:paraId="7A03E879" w14:textId="77777777" w:rsidR="00107CEB" w:rsidRDefault="00107CEB" w:rsidP="00A83F42">
            <w:pPr>
              <w:pStyle w:val="TableTextNumbersContinued"/>
            </w:pPr>
          </w:p>
        </w:tc>
        <w:tc>
          <w:tcPr>
            <w:tcW w:w="6356" w:type="dxa"/>
          </w:tcPr>
          <w:p w14:paraId="02FA6A50" w14:textId="77777777" w:rsidR="00A83F42" w:rsidRDefault="00A83F42" w:rsidP="00A83F42">
            <w:pPr>
              <w:pStyle w:val="TableTextBullet"/>
            </w:pPr>
            <w:r>
              <w:t xml:space="preserve">Displays the lot numbers and expiration dates for verification, if any. </w:t>
            </w:r>
          </w:p>
          <w:p w14:paraId="5BCD3862" w14:textId="77777777" w:rsidR="00687D72" w:rsidRDefault="00687D72" w:rsidP="00A83F42">
            <w:pPr>
              <w:pStyle w:val="TableTextBullet"/>
            </w:pPr>
            <w:r>
              <w:t>Displays each rack in its own tab.</w:t>
            </w:r>
          </w:p>
          <w:p w14:paraId="6AF8DFB8" w14:textId="77777777" w:rsidR="00A83F42" w:rsidRDefault="00A83F42" w:rsidP="00A83F42">
            <w:pPr>
              <w:pStyle w:val="TableText"/>
            </w:pPr>
          </w:p>
          <w:p w14:paraId="68AB77B3" w14:textId="4FD85001" w:rsidR="00A83F42" w:rsidRDefault="00A83F42" w:rsidP="00A83F42">
            <w:pPr>
              <w:pStyle w:val="TableText"/>
              <w:rPr>
                <w:b/>
                <w:bCs/>
                <w:szCs w:val="18"/>
              </w:rPr>
            </w:pPr>
            <w:r>
              <w:rPr>
                <w:b/>
                <w:bCs/>
                <w:szCs w:val="18"/>
              </w:rPr>
              <w:t>NOTES</w:t>
            </w:r>
          </w:p>
          <w:p w14:paraId="151BF090" w14:textId="77777777" w:rsidR="00A83F42" w:rsidRDefault="00A83F42" w:rsidP="00A83F42">
            <w:pPr>
              <w:pStyle w:val="NotesText"/>
            </w:pPr>
          </w:p>
          <w:p w14:paraId="6BE87251" w14:textId="77777777" w:rsidR="00A83F42" w:rsidRDefault="00A83F42" w:rsidP="00A83F42">
            <w:pPr>
              <w:pStyle w:val="NotesText"/>
            </w:pPr>
            <w:r>
              <w:rPr>
                <w:vanish/>
                <w:szCs w:val="18"/>
              </w:rPr>
              <w:t>BR_28.02</w:t>
            </w:r>
            <w:r w:rsidR="00CE3961">
              <w:rPr>
                <w:vanish/>
                <w:szCs w:val="18"/>
              </w:rPr>
              <w:t>,</w:t>
            </w:r>
            <w:r>
              <w:rPr>
                <w:vanish/>
                <w:szCs w:val="18"/>
              </w:rPr>
              <w:t xml:space="preserve"> BR_28.03 </w:t>
            </w:r>
            <w:r>
              <w:t xml:space="preserve">VBECS allows for one lot number entry per reagent type per rack template. </w:t>
            </w:r>
          </w:p>
          <w:p w14:paraId="4F767B7F" w14:textId="77777777" w:rsidR="00A83F42" w:rsidRDefault="00A83F42" w:rsidP="00A83F42">
            <w:pPr>
              <w:pStyle w:val="NotesText"/>
              <w:rPr>
                <w:rFonts w:cs="Arial"/>
                <w:vanish/>
              </w:rPr>
            </w:pPr>
          </w:p>
          <w:p w14:paraId="0F6C8A89" w14:textId="77777777" w:rsidR="002A21AE" w:rsidRDefault="00A83F42" w:rsidP="00A83F42">
            <w:pPr>
              <w:pStyle w:val="NotesText"/>
            </w:pPr>
            <w:r>
              <w:rPr>
                <w:rFonts w:cs="Arial"/>
                <w:vanish/>
              </w:rPr>
              <w:t xml:space="preserve">BR_28.13 </w:t>
            </w:r>
            <w:r>
              <w:t xml:space="preserve">When an entry was made, VBECS fills in the reagent type lot number, the expiration date of that lot number, and the manufacturer. The user may edit the lot number. </w:t>
            </w:r>
            <w:r w:rsidR="002A21AE">
              <w:t>The user must verify the lot numbers of racks in the selected batch before VBECS allows the user to move to the reaction results grids.</w:t>
            </w:r>
          </w:p>
          <w:p w14:paraId="520B639D" w14:textId="77777777" w:rsidR="002A21AE" w:rsidRDefault="002A21AE">
            <w:pPr>
              <w:pStyle w:val="NotesText"/>
            </w:pPr>
          </w:p>
          <w:p w14:paraId="19F96092" w14:textId="77777777" w:rsidR="002A21AE" w:rsidRDefault="002A21AE">
            <w:pPr>
              <w:pStyle w:val="NotesText"/>
            </w:pPr>
            <w:r>
              <w:rPr>
                <w:rFonts w:cs="Arial"/>
                <w:vanish/>
              </w:rPr>
              <w:t xml:space="preserve">BR_28.15 </w:t>
            </w:r>
            <w:r>
              <w:t xml:space="preserve">Each reagent rack has a separate reaction results grid to collect the user’s direct observations. </w:t>
            </w:r>
            <w:r>
              <w:rPr>
                <w:vanish/>
                <w:szCs w:val="18"/>
              </w:rPr>
              <w:t>See PT_28.02 Commercial QC Kit in Use and PT_28.03 Non-Commercial Daily QC Template.</w:t>
            </w:r>
          </w:p>
          <w:p w14:paraId="0EFA6F0C" w14:textId="77777777" w:rsidR="002A21AE" w:rsidRDefault="002A21AE">
            <w:pPr>
              <w:pStyle w:val="NotesText"/>
            </w:pPr>
          </w:p>
          <w:p w14:paraId="3882E711" w14:textId="77777777" w:rsidR="002A21AE" w:rsidRDefault="002A21AE">
            <w:pPr>
              <w:pStyle w:val="NotesText"/>
              <w:rPr>
                <w:vanish/>
                <w:szCs w:val="18"/>
              </w:rPr>
            </w:pPr>
            <w:r>
              <w:rPr>
                <w:rFonts w:cs="Arial"/>
                <w:vanish/>
              </w:rPr>
              <w:t xml:space="preserve">BR_51.10 </w:t>
            </w:r>
            <w:r>
              <w:t>VBECS displays reagent types (except for the gel and the instrument lot numbers) listed as REQUIRED (by VBECS or by the user) in the daily use field on the rack lot number template and the reaction result entry worksheet for each rack in Enter Daily QC Results.</w:t>
            </w:r>
          </w:p>
          <w:p w14:paraId="10E74A80" w14:textId="77777777" w:rsidR="00DF355E" w:rsidRDefault="00DF355E" w:rsidP="00DF355E">
            <w:pPr>
              <w:pStyle w:val="NotesText"/>
            </w:pPr>
          </w:p>
          <w:p w14:paraId="1421C361" w14:textId="77777777" w:rsidR="00DF355E" w:rsidRDefault="00DF355E" w:rsidP="00DF355E">
            <w:pPr>
              <w:pStyle w:val="NotesText"/>
            </w:pPr>
            <w:r>
              <w:rPr>
                <w:vanish/>
                <w:szCs w:val="18"/>
              </w:rPr>
              <w:t>BR_28.06</w:t>
            </w:r>
            <w:r w:rsidR="00CE3961">
              <w:rPr>
                <w:vanish/>
                <w:szCs w:val="18"/>
              </w:rPr>
              <w:t>,</w:t>
            </w:r>
            <w:r>
              <w:rPr>
                <w:vanish/>
                <w:szCs w:val="18"/>
              </w:rPr>
              <w:t xml:space="preserve"> BR_28.07 </w:t>
            </w:r>
            <w:r>
              <w:t xml:space="preserve">When a rack is tested, VBECS displays a retest option at the daily reagent QC prompt with the untested rack numbers. When a user requests to retest a rack on a given date, VBECS displays the option to reenter a lot number for reagent types for all or part of the daily QC with a comment. All other reagent type results previously entered are locked and may not be edited. VBECS saves the new information and the original data, then generates a report entry. </w:t>
            </w:r>
          </w:p>
          <w:p w14:paraId="6E512086" w14:textId="77777777" w:rsidR="00DF355E" w:rsidRDefault="00DF355E" w:rsidP="00DF355E">
            <w:pPr>
              <w:pStyle w:val="NotesText"/>
            </w:pPr>
          </w:p>
          <w:p w14:paraId="69CB4C1A" w14:textId="521A0DD0" w:rsidR="001055DF" w:rsidRDefault="00DF355E">
            <w:pPr>
              <w:pStyle w:val="NotesText"/>
              <w:rPr>
                <w:vanish/>
                <w:szCs w:val="18"/>
              </w:rPr>
            </w:pPr>
            <w:r>
              <w:t>When a user changes a reagent lot number, VBECS clears the testing template for that reagent type and allows the user to enter new results.</w:t>
            </w:r>
          </w:p>
          <w:p w14:paraId="3A2CAAEC" w14:textId="487A5168" w:rsidR="001055DF" w:rsidRDefault="001055DF">
            <w:pPr>
              <w:pStyle w:val="NotesText"/>
              <w:rPr>
                <w:vanish/>
                <w:szCs w:val="18"/>
              </w:rPr>
            </w:pPr>
          </w:p>
          <w:p w14:paraId="5CFB08B7" w14:textId="1E8163CE" w:rsidR="002A21AE" w:rsidRDefault="001055DF">
            <w:pPr>
              <w:pStyle w:val="NotesText"/>
              <w:rPr>
                <w:vanish/>
                <w:szCs w:val="18"/>
              </w:rPr>
            </w:pPr>
            <w:r>
              <w:rPr>
                <w:vanish/>
                <w:szCs w:val="18"/>
              </w:rPr>
              <w:t>TT</w:t>
            </w:r>
            <w:r w:rsidR="002A21AE">
              <w:rPr>
                <w:vanish/>
                <w:szCs w:val="18"/>
              </w:rPr>
              <w:t xml:space="preserve">_28.01 Daily QC Using a Commercial QC Template or PT_28.02 Commercial QC Kit </w:t>
            </w:r>
          </w:p>
          <w:p w14:paraId="258A4E17" w14:textId="77777777" w:rsidR="002A21AE" w:rsidRDefault="002A21AE">
            <w:pPr>
              <w:pStyle w:val="NotesText"/>
              <w:rPr>
                <w:vanish/>
                <w:szCs w:val="18"/>
              </w:rPr>
            </w:pPr>
          </w:p>
          <w:p w14:paraId="45E29AA0" w14:textId="77777777" w:rsidR="002A21AE" w:rsidRDefault="002A21AE">
            <w:pPr>
              <w:pStyle w:val="NotesText"/>
              <w:rPr>
                <w:vanish/>
                <w:szCs w:val="18"/>
              </w:rPr>
            </w:pPr>
            <w:r>
              <w:rPr>
                <w:vanish/>
                <w:szCs w:val="18"/>
              </w:rPr>
              <w:t>TT_28.02 Daily QC Using Non-Commercial QC Template</w:t>
            </w:r>
          </w:p>
          <w:p w14:paraId="2152D6E6" w14:textId="77777777" w:rsidR="002A21AE" w:rsidRDefault="002A21AE">
            <w:pPr>
              <w:pStyle w:val="NotesText"/>
              <w:rPr>
                <w:vanish/>
                <w:szCs w:val="18"/>
              </w:rPr>
            </w:pPr>
          </w:p>
          <w:p w14:paraId="020B092E" w14:textId="77777777" w:rsidR="002A21AE" w:rsidRDefault="002A21AE">
            <w:pPr>
              <w:pStyle w:val="NotesText"/>
            </w:pPr>
            <w:r>
              <w:rPr>
                <w:vanish/>
                <w:szCs w:val="18"/>
              </w:rPr>
              <w:t>PT_28.03 Non-Commercial Daily QC Template</w:t>
            </w:r>
          </w:p>
        </w:tc>
      </w:tr>
      <w:tr w:rsidR="002A21AE" w14:paraId="2B4763C8" w14:textId="77777777" w:rsidTr="007E500E">
        <w:trPr>
          <w:cantSplit/>
        </w:trPr>
        <w:tc>
          <w:tcPr>
            <w:tcW w:w="3240" w:type="dxa"/>
          </w:tcPr>
          <w:p w14:paraId="4F67DF40" w14:textId="6E7D9726" w:rsidR="002A21AE" w:rsidRDefault="002A21AE">
            <w:pPr>
              <w:pStyle w:val="TableTextNumbers"/>
            </w:pPr>
            <w:r>
              <w:lastRenderedPageBreak/>
              <w:t>Enter the observed serologic reacti</w:t>
            </w:r>
            <w:r w:rsidR="009C1A31">
              <w:t>ons</w:t>
            </w:r>
            <w:r w:rsidR="00462FB1">
              <w:t xml:space="preserve"> (</w:t>
            </w:r>
            <w:r w:rsidR="00EE455E">
              <w:t xml:space="preserve">Figure </w:t>
            </w:r>
            <w:r w:rsidR="00EE455E">
              <w:rPr>
                <w:noProof/>
              </w:rPr>
              <w:t>39</w:t>
            </w:r>
            <w:r w:rsidR="00462FB1">
              <w:t>)</w:t>
            </w:r>
            <w:r>
              <w:t>.</w:t>
            </w:r>
          </w:p>
          <w:p w14:paraId="5EEC86D2" w14:textId="77777777" w:rsidR="007D23B5" w:rsidRDefault="007D23B5" w:rsidP="007D23B5">
            <w:pPr>
              <w:pStyle w:val="TableTextNumbersContinued"/>
            </w:pPr>
          </w:p>
          <w:p w14:paraId="32FD07B2" w14:textId="77777777" w:rsidR="007D23B5" w:rsidRDefault="007D23B5" w:rsidP="007D23B5">
            <w:pPr>
              <w:pStyle w:val="TableTextNumbersContinued"/>
            </w:pPr>
            <w:r>
              <w:t xml:space="preserve">Click </w:t>
            </w:r>
            <w:r w:rsidRPr="007D23B5">
              <w:rPr>
                <w:b/>
              </w:rPr>
              <w:t>OK</w:t>
            </w:r>
            <w:r>
              <w:t xml:space="preserve"> and </w:t>
            </w:r>
            <w:r w:rsidRPr="007D23B5">
              <w:rPr>
                <w:b/>
              </w:rPr>
              <w:t>Yes</w:t>
            </w:r>
            <w:r>
              <w:t xml:space="preserve"> to save</w:t>
            </w:r>
            <w:r w:rsidR="00281172">
              <w:t xml:space="preserve"> and exit</w:t>
            </w:r>
            <w:r>
              <w:t>.</w:t>
            </w:r>
          </w:p>
          <w:p w14:paraId="301D1699" w14:textId="77777777" w:rsidR="00881170" w:rsidRDefault="00881170" w:rsidP="00881170">
            <w:pPr>
              <w:pStyle w:val="TableTextNumbersContinued"/>
            </w:pPr>
          </w:p>
          <w:p w14:paraId="66F8CABD" w14:textId="77777777" w:rsidR="00881170" w:rsidRDefault="00881170" w:rsidP="00881170">
            <w:pPr>
              <w:pStyle w:val="TableTextNumbersContinued"/>
            </w:pPr>
            <w:r>
              <w:t xml:space="preserve">Repeat for </w:t>
            </w:r>
            <w:r w:rsidR="00281172">
              <w:t>each rack</w:t>
            </w:r>
            <w:r>
              <w:t xml:space="preserve"> selected in Step 3. </w:t>
            </w:r>
            <w:r w:rsidR="005F23AD">
              <w:rPr>
                <w:rStyle w:val="TableTextNumbersChar"/>
                <w:vanish/>
                <w:color w:val="FFFFFF"/>
                <w:szCs w:val="18"/>
              </w:rPr>
              <w:fldChar w:fldCharType="begin"/>
            </w:r>
            <w:r w:rsidR="005F23AD">
              <w:rPr>
                <w:rStyle w:val="TableTextNumbersChar"/>
                <w:vanish/>
                <w:color w:val="FFFFFF"/>
                <w:szCs w:val="18"/>
              </w:rPr>
              <w:instrText xml:space="preserve"> LISTNUM \l 1 \s 0 </w:instrText>
            </w:r>
            <w:r w:rsidR="005F23AD">
              <w:rPr>
                <w:rStyle w:val="TableTextNumbersChar"/>
                <w:vanish/>
                <w:color w:val="FFFFFF"/>
                <w:szCs w:val="18"/>
              </w:rPr>
              <w:fldChar w:fldCharType="end">
                <w:numberingChange w:id="235" w:author="MUSZYNSKI, THOMAS D. (SIERRA 7 INC)" w:date="2024-11-26T07:15:00Z" w:original="0."/>
              </w:fldChar>
            </w:r>
          </w:p>
        </w:tc>
        <w:tc>
          <w:tcPr>
            <w:tcW w:w="6356" w:type="dxa"/>
          </w:tcPr>
          <w:p w14:paraId="7186A8B9" w14:textId="77777777" w:rsidR="000F2E95" w:rsidRDefault="000F2E95" w:rsidP="000F2E95">
            <w:pPr>
              <w:pStyle w:val="TableTextBullet"/>
            </w:pPr>
            <w:r>
              <w:t>Displays the testing template reaction results grid for each rack selected, when</w:t>
            </w:r>
            <w:r>
              <w:rPr>
                <w:i/>
              </w:rPr>
              <w:t xml:space="preserve"> </w:t>
            </w:r>
            <w:r>
              <w:t>no lot number changes were made.</w:t>
            </w:r>
          </w:p>
          <w:p w14:paraId="5603A8E8" w14:textId="77777777" w:rsidR="002A21AE" w:rsidRDefault="002A21AE">
            <w:pPr>
              <w:pStyle w:val="TableTextBullet"/>
            </w:pPr>
            <w:r>
              <w:t>Determines whether the entered results are acceptable and indicates acceptability of the lot number for the reagent type.</w:t>
            </w:r>
          </w:p>
          <w:p w14:paraId="6573B51B" w14:textId="77777777" w:rsidR="00881170" w:rsidRDefault="002A21AE" w:rsidP="00881170">
            <w:pPr>
              <w:pStyle w:val="TableTextBullet"/>
            </w:pPr>
            <w:r>
              <w:t>Verifies (by type and lot number) that the reagent is satisfactory or unsatisfactory for use.</w:t>
            </w:r>
            <w:r w:rsidR="00881170">
              <w:t xml:space="preserve"> </w:t>
            </w:r>
          </w:p>
          <w:p w14:paraId="22F7AB12" w14:textId="77777777" w:rsidR="002A21AE" w:rsidRDefault="00881170" w:rsidP="00881170">
            <w:pPr>
              <w:pStyle w:val="TableTextBullet"/>
            </w:pPr>
            <w:r>
              <w:t xml:space="preserve">Saves the partially or fully completed data. </w:t>
            </w:r>
          </w:p>
          <w:p w14:paraId="126A9859" w14:textId="77777777" w:rsidR="002A21AE" w:rsidRDefault="002A21AE">
            <w:pPr>
              <w:pStyle w:val="TableText"/>
            </w:pPr>
          </w:p>
          <w:p w14:paraId="1E635AC3" w14:textId="3882294E" w:rsidR="002A21AE" w:rsidRDefault="002A21AE">
            <w:pPr>
              <w:pStyle w:val="TableText"/>
              <w:rPr>
                <w:b/>
                <w:bCs/>
                <w:szCs w:val="18"/>
              </w:rPr>
            </w:pPr>
            <w:r>
              <w:rPr>
                <w:b/>
                <w:bCs/>
                <w:szCs w:val="18"/>
              </w:rPr>
              <w:t>NOTES</w:t>
            </w:r>
          </w:p>
          <w:p w14:paraId="649DA8CE" w14:textId="77777777" w:rsidR="002A21AE" w:rsidRDefault="002A21AE">
            <w:pPr>
              <w:pStyle w:val="NotesText"/>
            </w:pPr>
          </w:p>
          <w:p w14:paraId="0F61C8FF" w14:textId="77777777" w:rsidR="002A21AE" w:rsidRDefault="002A21AE">
            <w:pPr>
              <w:pStyle w:val="NotesText"/>
            </w:pPr>
            <w:r>
              <w:t xml:space="preserve">The user may enter results on multiple reagent racks. VBECS displays each rack in its own tab. </w:t>
            </w:r>
          </w:p>
          <w:p w14:paraId="3568902A" w14:textId="77777777" w:rsidR="00881170" w:rsidRDefault="00881170">
            <w:pPr>
              <w:pStyle w:val="NotesText"/>
            </w:pPr>
          </w:p>
          <w:p w14:paraId="076F7793" w14:textId="77777777" w:rsidR="00881170" w:rsidRDefault="00881170" w:rsidP="00881170">
            <w:pPr>
              <w:pStyle w:val="NotesText"/>
            </w:pPr>
            <w:r>
              <w:rPr>
                <w:rFonts w:cs="Arial"/>
                <w:vanish/>
              </w:rPr>
              <w:t xml:space="preserve">BR_28.20 </w:t>
            </w:r>
            <w:r>
              <w:t>VBECS verifies satisfactory and unsatisfactory QC testing based on site parameters and user data entry. If the user-entered test results indicate a satisfactory interpretation, VBECS displays “Satisfactory.” VBECS saves results that are satisfactory only when the testing for a row is complete and the worksheet is saved. VBECS clears results associated with an unsatisfactory interpretation from the screen/worksheet and the testing for the affected QC rack is considered incomplete until the rack is retested with satisfactory results for the affected row. (Warnings generated by other options when QC testing is incomplete apply).</w:t>
            </w:r>
          </w:p>
          <w:p w14:paraId="5A4AED7C" w14:textId="77777777" w:rsidR="00881170" w:rsidRDefault="00881170" w:rsidP="00881170">
            <w:pPr>
              <w:pStyle w:val="NotesText"/>
            </w:pPr>
          </w:p>
          <w:p w14:paraId="078598E6" w14:textId="77777777" w:rsidR="00881170" w:rsidRDefault="00881170" w:rsidP="00881170">
            <w:pPr>
              <w:pStyle w:val="NotesText"/>
            </w:pPr>
            <w:r>
              <w:rPr>
                <w:rFonts w:cs="Arial"/>
                <w:vanish/>
              </w:rPr>
              <w:t xml:space="preserve">BR_28.14 </w:t>
            </w:r>
            <w:r>
              <w:t>The daily reagent QC for a date requires a valid entry for each reagent displayed on the worksheet. VBECS considers a rack ready and available for patient testing on that date when all reagents on a rack have valid test results.</w:t>
            </w:r>
          </w:p>
        </w:tc>
      </w:tr>
    </w:tbl>
    <w:p w14:paraId="6CCBBA48" w14:textId="260FB13D" w:rsidR="00957095" w:rsidRDefault="00957095" w:rsidP="00957095">
      <w:pPr>
        <w:pStyle w:val="Caption"/>
      </w:pPr>
      <w:bookmarkStart w:id="236" w:name="_Ref126641381"/>
      <w:bookmarkStart w:id="237" w:name="_Ref126548442"/>
      <w:bookmarkEnd w:id="230"/>
      <w:bookmarkEnd w:id="231"/>
      <w:bookmarkEnd w:id="232"/>
      <w:bookmarkEnd w:id="233"/>
      <w:bookmarkEnd w:id="234"/>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7D1829">
        <w:rPr>
          <w:noProof/>
        </w:rPr>
        <w:t>38</w:t>
      </w:r>
      <w:r w:rsidR="004E20BD">
        <w:rPr>
          <w:noProof/>
        </w:rPr>
        <w:fldChar w:fldCharType="end"/>
      </w:r>
      <w:bookmarkEnd w:id="236"/>
      <w:r>
        <w:t>: Enter Daily QC Results</w:t>
      </w:r>
    </w:p>
    <w:p w14:paraId="5EB6590F" w14:textId="77777777" w:rsidR="00957095" w:rsidRDefault="00057948" w:rsidP="00957095">
      <w:pPr>
        <w:pStyle w:val="BodyText"/>
      </w:pPr>
      <w:r>
        <w:rPr>
          <w:noProof/>
        </w:rPr>
        <w:drawing>
          <wp:inline distT="0" distB="0" distL="0" distR="0" wp14:anchorId="76731457" wp14:editId="4A4E1882">
            <wp:extent cx="4460875" cy="4220845"/>
            <wp:effectExtent l="0" t="0" r="0" b="8255"/>
            <wp:docPr id="140" name="Picture 140" descr="Example of Enter Daily QC Results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Picture 140" descr="Example of Enter Daily QC Results screen capture"/>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4460875" cy="4220845"/>
                    </a:xfrm>
                    <a:prstGeom prst="rect">
                      <a:avLst/>
                    </a:prstGeom>
                    <a:noFill/>
                    <a:ln>
                      <a:noFill/>
                    </a:ln>
                  </pic:spPr>
                </pic:pic>
              </a:graphicData>
            </a:graphic>
          </wp:inline>
        </w:drawing>
      </w:r>
    </w:p>
    <w:p w14:paraId="14838CDD" w14:textId="16C91632" w:rsidR="002118B0" w:rsidRDefault="002118B0" w:rsidP="002118B0">
      <w:pPr>
        <w:pStyle w:val="Caption"/>
      </w:pPr>
      <w:bookmarkStart w:id="238" w:name="_Ref126641476"/>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7D1829">
        <w:rPr>
          <w:noProof/>
        </w:rPr>
        <w:t>39</w:t>
      </w:r>
      <w:r w:rsidR="004E20BD">
        <w:rPr>
          <w:noProof/>
        </w:rPr>
        <w:fldChar w:fldCharType="end"/>
      </w:r>
      <w:bookmarkEnd w:id="237"/>
      <w:bookmarkEnd w:id="238"/>
      <w:r>
        <w:t>:</w:t>
      </w:r>
      <w:r w:rsidR="00F20BC5">
        <w:t xml:space="preserve"> </w:t>
      </w:r>
      <w:r w:rsidR="00957095">
        <w:t>Record Lot Numbers for</w:t>
      </w:r>
      <w:r w:rsidR="00F20BC5">
        <w:t xml:space="preserve"> Daily QC </w:t>
      </w:r>
      <w:r w:rsidR="00957095">
        <w:t>Testing</w:t>
      </w:r>
    </w:p>
    <w:p w14:paraId="15BFA9CB" w14:textId="77777777" w:rsidR="00F20BC5" w:rsidRPr="00F20BC5" w:rsidRDefault="00057948" w:rsidP="00580E36">
      <w:pPr>
        <w:pStyle w:val="BodyText"/>
      </w:pPr>
      <w:r>
        <w:rPr>
          <w:noProof/>
        </w:rPr>
        <w:drawing>
          <wp:inline distT="0" distB="0" distL="0" distR="0" wp14:anchorId="31CB3EBF" wp14:editId="18732C76">
            <wp:extent cx="4728845" cy="3444875"/>
            <wp:effectExtent l="0" t="0" r="0" b="3175"/>
            <wp:docPr id="141" name="Picture 141" descr="Example of Record Lot Numbers for Daily QC Testing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Picture 141" descr="Example of Record Lot Numbers for Daily QC Testing screen capture"/>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4728845" cy="3444875"/>
                    </a:xfrm>
                    <a:prstGeom prst="rect">
                      <a:avLst/>
                    </a:prstGeom>
                    <a:noFill/>
                    <a:ln>
                      <a:noFill/>
                    </a:ln>
                  </pic:spPr>
                </pic:pic>
              </a:graphicData>
            </a:graphic>
          </wp:inline>
        </w:drawing>
      </w:r>
    </w:p>
    <w:p w14:paraId="74E18A5D" w14:textId="5BED663F" w:rsidR="00462FB1" w:rsidRDefault="00462FB1" w:rsidP="00462FB1">
      <w:pPr>
        <w:pStyle w:val="Caption"/>
      </w:pPr>
      <w:bookmarkStart w:id="239" w:name="_Ref126642061"/>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7D1829">
        <w:rPr>
          <w:noProof/>
        </w:rPr>
        <w:t>40</w:t>
      </w:r>
      <w:r w:rsidR="004E20BD">
        <w:rPr>
          <w:noProof/>
        </w:rPr>
        <w:fldChar w:fldCharType="end"/>
      </w:r>
      <w:bookmarkEnd w:id="239"/>
      <w:r>
        <w:t>: Enter Daily QC Results with Serologic Reactions</w:t>
      </w:r>
    </w:p>
    <w:p w14:paraId="0B8605C7" w14:textId="77777777" w:rsidR="00F759ED" w:rsidRDefault="00057948" w:rsidP="00462FB1">
      <w:pPr>
        <w:pStyle w:val="BodyText"/>
      </w:pPr>
      <w:r>
        <w:rPr>
          <w:noProof/>
        </w:rPr>
        <w:drawing>
          <wp:inline distT="0" distB="0" distL="0" distR="0" wp14:anchorId="04AD7154" wp14:editId="63C896C4">
            <wp:extent cx="4803140" cy="3509645"/>
            <wp:effectExtent l="0" t="0" r="0" b="0"/>
            <wp:docPr id="142" name="Picture 142" descr="Example of Enter Daily QC Results with Serologic Reactions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Picture 142" descr="Example of Enter Daily QC Results with Serologic Reactions screen capture"/>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4803140" cy="3509645"/>
                    </a:xfrm>
                    <a:prstGeom prst="rect">
                      <a:avLst/>
                    </a:prstGeom>
                    <a:noFill/>
                    <a:ln>
                      <a:noFill/>
                    </a:ln>
                  </pic:spPr>
                </pic:pic>
              </a:graphicData>
            </a:graphic>
          </wp:inline>
        </w:drawing>
      </w:r>
    </w:p>
    <w:p w14:paraId="2205461F" w14:textId="7B291BEE" w:rsidR="0049125E" w:rsidRPr="008000E5" w:rsidRDefault="0049125E" w:rsidP="0049125E">
      <w:pPr>
        <w:pStyle w:val="Heading3"/>
      </w:pPr>
      <w:bookmarkStart w:id="240" w:name="_Toc203765876"/>
      <w:r>
        <w:lastRenderedPageBreak/>
        <w:t>Reagents</w:t>
      </w:r>
      <w:bookmarkEnd w:id="240"/>
      <w:r>
        <w:fldChar w:fldCharType="begin"/>
      </w:r>
      <w:r w:rsidRPr="008000E5">
        <w:instrText xml:space="preserve"> XE "</w:instrText>
      </w:r>
      <w:r w:rsidR="0034022A">
        <w:instrText>Reagents</w:instrText>
      </w:r>
      <w:r w:rsidRPr="008000E5">
        <w:instrText xml:space="preserve">" </w:instrText>
      </w:r>
      <w:r>
        <w:fldChar w:fldCharType="end"/>
      </w:r>
      <w:r w:rsidRPr="008000E5">
        <w:rPr>
          <w:rFonts w:ascii="Arial Bold" w:hAnsi="Arial Bold"/>
          <w:vanish/>
        </w:rPr>
        <w:t xml:space="preserve"> UC_</w:t>
      </w:r>
      <w:r w:rsidR="0034022A">
        <w:rPr>
          <w:rFonts w:ascii="Arial Bold" w:hAnsi="Arial Bold"/>
          <w:vanish/>
        </w:rPr>
        <w:t>20</w:t>
      </w:r>
    </w:p>
    <w:p w14:paraId="034E0958" w14:textId="77777777" w:rsidR="002A21AE" w:rsidRDefault="002A21AE" w:rsidP="00FA7E65">
      <w:pPr>
        <w:pStyle w:val="BodyText"/>
      </w:pPr>
      <w:r>
        <w:t>The options related to reagent inventory control record the receipt of specific reagents by reagent type for each division.</w:t>
      </w:r>
    </w:p>
    <w:p w14:paraId="63C92C7D" w14:textId="77777777" w:rsidR="002A21AE" w:rsidRDefault="002A21AE">
      <w:pPr>
        <w:pStyle w:val="Heading4"/>
      </w:pPr>
      <w:bookmarkStart w:id="241" w:name="_Log_In_Reagents,_Update_Inventory,_"/>
      <w:bookmarkEnd w:id="224"/>
      <w:bookmarkEnd w:id="241"/>
      <w:r>
        <w:t>Log In Reagents, Update Inventory,</w:t>
      </w:r>
      <w:bookmarkStart w:id="242" w:name="_Toc63680376"/>
      <w:r>
        <w:t xml:space="preserve"> View/Print Inventory</w:t>
      </w:r>
      <w:bookmarkEnd w:id="242"/>
      <w:r w:rsidR="00771C65">
        <w:t xml:space="preserve">, Maintain </w:t>
      </w:r>
      <w:r w:rsidR="005F6016">
        <w:t>Minimum Levels</w:t>
      </w:r>
    </w:p>
    <w:p w14:paraId="37BCA81B" w14:textId="77777777" w:rsidR="002A21AE" w:rsidRDefault="002A21AE" w:rsidP="00FA7E65">
      <w:pPr>
        <w:pStyle w:val="BodyText"/>
      </w:pPr>
      <w:r>
        <w:t>The reagent log is maintained by individual division even in a multidivisional database. Update Inventory allows the user to update reagent inventory by changing the number of vials available. The user may view inventory online using various search criteria and prin</w:t>
      </w:r>
      <w:r w:rsidR="00447051">
        <w:t>t a copy of the search results.</w:t>
      </w:r>
    </w:p>
    <w:p w14:paraId="5B89E57B" w14:textId="77777777" w:rsidR="002A21AE" w:rsidRDefault="002A21AE">
      <w:pPr>
        <w:pStyle w:val="Heading4"/>
      </w:pPr>
      <w:r>
        <w:t>Assumptions</w:t>
      </w:r>
      <w:r>
        <w:rPr>
          <w:b w:val="0"/>
        </w:rPr>
        <w:t xml:space="preserve"> </w:t>
      </w:r>
    </w:p>
    <w:p w14:paraId="54357912" w14:textId="77777777" w:rsidR="00852AC1" w:rsidRDefault="00852AC1" w:rsidP="00852AC1">
      <w:pPr>
        <w:pStyle w:val="ListBullet"/>
      </w:pPr>
      <w:r>
        <w:t>The division is “full service.”</w:t>
      </w:r>
    </w:p>
    <w:p w14:paraId="22729C21" w14:textId="77777777" w:rsidR="002A21AE" w:rsidRDefault="002A21AE">
      <w:pPr>
        <w:pStyle w:val="ListBullet"/>
      </w:pPr>
      <w:r>
        <w:t>Reagents are in the inventory of the user’s division.</w:t>
      </w:r>
    </w:p>
    <w:p w14:paraId="21DC69BE" w14:textId="77777777" w:rsidR="002A21AE" w:rsidRDefault="002A21AE">
      <w:pPr>
        <w:pStyle w:val="Heading4"/>
      </w:pPr>
      <w:r>
        <w:t xml:space="preserve">Outcome </w:t>
      </w:r>
    </w:p>
    <w:p w14:paraId="1FD16A01" w14:textId="77777777" w:rsidR="002A21AE" w:rsidRDefault="002A21AE">
      <w:pPr>
        <w:pStyle w:val="ListBullet"/>
      </w:pPr>
      <w:r>
        <w:t>A user may select previously logged-in reagents through Enter Daily QC Results, Patient Testing: Record a Patient Antigen Typing, and Unit Antigen Typing.</w:t>
      </w:r>
    </w:p>
    <w:p w14:paraId="3FDC62E2" w14:textId="77777777" w:rsidR="002A21AE" w:rsidRDefault="002A21AE">
      <w:pPr>
        <w:pStyle w:val="ListBullet"/>
      </w:pPr>
      <w:r>
        <w:t>Reagents entered are accessible only within the division in which they were entered.</w:t>
      </w:r>
    </w:p>
    <w:p w14:paraId="2B28F970" w14:textId="77777777" w:rsidR="00561829" w:rsidRDefault="00561829" w:rsidP="00561829">
      <w:pPr>
        <w:pStyle w:val="ListBullet"/>
      </w:pPr>
      <w:r>
        <w:t>If workload codes are assigned for this process, workload-related data collected as the result of this process are stored for inclusion in Workload Reports.</w:t>
      </w:r>
    </w:p>
    <w:p w14:paraId="04CA4CA0" w14:textId="77777777" w:rsidR="002A21AE" w:rsidRDefault="002A21AE">
      <w:pPr>
        <w:pStyle w:val="Heading4"/>
      </w:pPr>
      <w:r>
        <w:t>Limitations and Restrictions</w:t>
      </w:r>
      <w:r>
        <w:rPr>
          <w:b w:val="0"/>
        </w:rPr>
        <w:t xml:space="preserve"> </w:t>
      </w:r>
    </w:p>
    <w:p w14:paraId="5FEA4567" w14:textId="77777777" w:rsidR="002A21AE" w:rsidRDefault="002A21AE">
      <w:pPr>
        <w:pStyle w:val="ListBullet"/>
      </w:pPr>
      <w:r>
        <w:t>VBECS does not display a reagent report by invoice number.</w:t>
      </w:r>
    </w:p>
    <w:p w14:paraId="397571DC" w14:textId="77777777" w:rsidR="0029147B" w:rsidRDefault="0029147B">
      <w:pPr>
        <w:pStyle w:val="ListBullet"/>
      </w:pPr>
      <w:r>
        <w:t>The unsatisfactory portion of a shipment must be recorded individually.</w:t>
      </w:r>
    </w:p>
    <w:p w14:paraId="699DDEE9" w14:textId="77777777" w:rsidR="00BE53DD" w:rsidRDefault="00BE53DD" w:rsidP="00BE53DD">
      <w:pPr>
        <w:pStyle w:val="ListBullet"/>
      </w:pPr>
      <w:r>
        <w:t>There is no retrospective data entry or user selection for th</w:t>
      </w:r>
      <w:r w:rsidR="0061702F">
        <w:t>ese</w:t>
      </w:r>
      <w:r>
        <w:t xml:space="preserve"> </w:t>
      </w:r>
      <w:r w:rsidR="0061702F">
        <w:t>options</w:t>
      </w:r>
      <w:r>
        <w:t>.</w:t>
      </w:r>
    </w:p>
    <w:p w14:paraId="687D7040" w14:textId="77777777" w:rsidR="00053349" w:rsidRDefault="00053349" w:rsidP="00053349">
      <w:pPr>
        <w:pStyle w:val="ListBullet"/>
      </w:pPr>
      <w:r>
        <w:t xml:space="preserve">Each site must set a standard for recording quantity: it may use the number of cases or the number of units within the cases. </w:t>
      </w:r>
    </w:p>
    <w:p w14:paraId="2F483EC3" w14:textId="77777777" w:rsidR="00F759ED" w:rsidRPr="00993A74" w:rsidRDefault="00F759ED" w:rsidP="00053349">
      <w:pPr>
        <w:pStyle w:val="ListBullet"/>
      </w:pPr>
      <w:r>
        <w:t xml:space="preserve">When a user enters a lot number in the Lot # field and clicks the </w:t>
      </w:r>
      <w:r>
        <w:rPr>
          <w:b/>
        </w:rPr>
        <w:t>magnifying glass</w:t>
      </w:r>
      <w:r>
        <w:t xml:space="preserve">, VBECS displays only the first instance of a duplicate lot number. </w:t>
      </w:r>
      <w:r w:rsidRPr="00F759ED">
        <w:rPr>
          <w:vanish/>
        </w:rPr>
        <w:t>(UserDoc Task 1083)</w:t>
      </w:r>
    </w:p>
    <w:p w14:paraId="23508AFF" w14:textId="7D31D4E0" w:rsidR="004F5DF6" w:rsidRDefault="004F5DF6" w:rsidP="00053349">
      <w:pPr>
        <w:pStyle w:val="ListBullet"/>
      </w:pPr>
      <w:r>
        <w:t>When reagents with the same Manufacturer Reagent Name and Lot Number are entered from multiple invoices, only one of the reagents is visible for update.</w:t>
      </w:r>
      <w:r w:rsidR="005E3B7C">
        <w:t xml:space="preserve"> </w:t>
      </w:r>
      <w:r w:rsidR="005E3B7C" w:rsidRPr="005E3B7C">
        <w:rPr>
          <w:vanish/>
        </w:rPr>
        <w:t>Defect 209141</w:t>
      </w:r>
    </w:p>
    <w:p w14:paraId="7BC088B0" w14:textId="14B9F091" w:rsidR="00917168" w:rsidRDefault="00917168" w:rsidP="00053349">
      <w:pPr>
        <w:pStyle w:val="ListBullet"/>
      </w:pPr>
      <w:r>
        <w:t>Reagents that have had their Number of Vials Available set to zero (0) are no longer visible on the Update Reagent Inventory screen o</w:t>
      </w:r>
      <w:r w:rsidR="00A11CA3">
        <w:t>r</w:t>
      </w:r>
      <w:r>
        <w:t xml:space="preserve"> the Reagent Inventory Report. Print a copy of the Reagent Inventory Report prior to setting the Number of Vials Available to zero (0). </w:t>
      </w:r>
      <w:r w:rsidRPr="00917168">
        <w:rPr>
          <w:vanish/>
        </w:rPr>
        <w:t>Defects 208863, 208890, 210063</w:t>
      </w:r>
    </w:p>
    <w:p w14:paraId="6DF94FA2" w14:textId="77777777" w:rsidR="002A21AE" w:rsidRDefault="002A21AE">
      <w:pPr>
        <w:pStyle w:val="Heading4"/>
      </w:pPr>
      <w:r>
        <w:t>Additional Information</w:t>
      </w:r>
    </w:p>
    <w:p w14:paraId="1070E959" w14:textId="1F92AED8" w:rsidR="00852AC1" w:rsidRPr="00852AC1" w:rsidRDefault="00852AC1" w:rsidP="00852AC1">
      <w:pPr>
        <w:pStyle w:val="ListBullet"/>
      </w:pPr>
      <w:r w:rsidRPr="00852AC1">
        <w:rPr>
          <w:snapToGrid w:val="0"/>
          <w:vanish/>
        </w:rPr>
        <w:t>BR_</w:t>
      </w:r>
      <w:r w:rsidR="00F63A03">
        <w:rPr>
          <w:snapToGrid w:val="0"/>
          <w:vanish/>
        </w:rPr>
        <w:t>2.43</w:t>
      </w:r>
      <w:r>
        <w:rPr>
          <w:snapToGrid w:val="0"/>
        </w:rPr>
        <w:t xml:space="preserve">This option is disabled for transfusion-only facilities. </w:t>
      </w:r>
    </w:p>
    <w:p w14:paraId="56B4C523" w14:textId="77777777" w:rsidR="002A21AE" w:rsidRDefault="002A21AE">
      <w:pPr>
        <w:pStyle w:val="ListBullet"/>
      </w:pPr>
      <w:r>
        <w:t>VBECS displays alerts, as appropriate, during execution of Enter Daily QC Results to notify the user when reagent inventory levels fall below minimum inventory levels, as defined in Maintain Minimum Levels.</w:t>
      </w:r>
    </w:p>
    <w:p w14:paraId="6FFBA654" w14:textId="77777777" w:rsidR="00CA67F2" w:rsidRDefault="00CA67F2">
      <w:pPr>
        <w:pStyle w:val="ListBullet"/>
      </w:pPr>
      <w:r>
        <w:t>Local policies and procedures must define the use of patient antisera as reagents.</w:t>
      </w:r>
    </w:p>
    <w:p w14:paraId="2428E3D2" w14:textId="77777777" w:rsidR="002A21AE" w:rsidRDefault="002A21AE">
      <w:pPr>
        <w:pStyle w:val="Heading4"/>
        <w:rPr>
          <w:b w:val="0"/>
        </w:rPr>
      </w:pPr>
      <w:r>
        <w:t>User Roles with Access to This Option</w:t>
      </w:r>
      <w:r>
        <w:rPr>
          <w:b w:val="0"/>
        </w:rPr>
        <w:t xml:space="preserve"> </w:t>
      </w:r>
    </w:p>
    <w:p w14:paraId="4FB8BA24" w14:textId="77777777" w:rsidR="002A21AE" w:rsidRDefault="00560BC1">
      <w:pPr>
        <w:pStyle w:val="Roles"/>
        <w:rPr>
          <w:snapToGrid w:val="0"/>
        </w:rPr>
      </w:pPr>
      <w:r>
        <w:t>All users</w:t>
      </w:r>
    </w:p>
    <w:p w14:paraId="7CC9E286" w14:textId="77777777" w:rsidR="00D34814" w:rsidRDefault="00D34814" w:rsidP="00D34814">
      <w:pPr>
        <w:pStyle w:val="Heading4"/>
      </w:pPr>
      <w:r>
        <w:lastRenderedPageBreak/>
        <w:t>Log in Reagents</w:t>
      </w:r>
      <w:r>
        <w:fldChar w:fldCharType="begin"/>
      </w:r>
      <w:r>
        <w:instrText xml:space="preserve"> XE </w:instrText>
      </w:r>
      <w:r w:rsidR="00FA7E65">
        <w:instrText>“</w:instrText>
      </w:r>
      <w:r>
        <w:instrText>Log in Reagents</w:instrText>
      </w:r>
      <w:r w:rsidR="00FA7E65">
        <w:instrText>”</w:instrText>
      </w:r>
      <w:r>
        <w:instrText xml:space="preserve"> </w:instrText>
      </w:r>
      <w:r>
        <w:fldChar w:fldCharType="end"/>
      </w:r>
      <w:r>
        <w:t xml:space="preserve"> </w:t>
      </w:r>
    </w:p>
    <w:p w14:paraId="68041AA6" w14:textId="77777777" w:rsidR="009C34E7" w:rsidRDefault="00D34814" w:rsidP="00FA7E65">
      <w:pPr>
        <w:pStyle w:val="BodyText"/>
      </w:pPr>
      <w:r w:rsidRPr="00FA7E65">
        <w:t>A user records the receipt of specific reagents by type. The reagent record includes the date the shipment was received, reagent name, lot number, expiration date, manufacturer, and number of vials received in a shipment.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FB4E58" w14:paraId="52F28929" w14:textId="77777777">
        <w:trPr>
          <w:cantSplit/>
          <w:tblHeader/>
        </w:trPr>
        <w:tc>
          <w:tcPr>
            <w:tcW w:w="3240" w:type="dxa"/>
            <w:shd w:val="pct30" w:color="auto" w:fill="FFFFFF"/>
            <w:vAlign w:val="bottom"/>
          </w:tcPr>
          <w:p w14:paraId="007F48C5" w14:textId="77777777" w:rsidR="00FB4E58" w:rsidRDefault="009C34E7" w:rsidP="00A65805">
            <w:pPr>
              <w:pStyle w:val="TableText"/>
              <w:rPr>
                <w:b/>
              </w:rPr>
            </w:pPr>
            <w:r>
              <w:br w:type="page"/>
            </w:r>
            <w:r w:rsidR="00FB4E58">
              <w:rPr>
                <w:b/>
              </w:rPr>
              <w:t>User Action</w:t>
            </w:r>
          </w:p>
        </w:tc>
        <w:tc>
          <w:tcPr>
            <w:tcW w:w="6120" w:type="dxa"/>
            <w:shd w:val="pct30" w:color="auto" w:fill="FFFFFF"/>
            <w:vAlign w:val="bottom"/>
          </w:tcPr>
          <w:p w14:paraId="2E1767B6" w14:textId="77777777" w:rsidR="00FB4E58" w:rsidRDefault="00FB4E58" w:rsidP="00A65805">
            <w:pPr>
              <w:pStyle w:val="TableText"/>
              <w:rPr>
                <w:b/>
              </w:rPr>
            </w:pPr>
            <w:r>
              <w:rPr>
                <w:b/>
              </w:rPr>
              <w:t>VBECS</w:t>
            </w:r>
          </w:p>
        </w:tc>
      </w:tr>
      <w:tr w:rsidR="00FB4E58" w14:paraId="236B050B" w14:textId="77777777">
        <w:tc>
          <w:tcPr>
            <w:tcW w:w="3240" w:type="dxa"/>
            <w:tcBorders>
              <w:top w:val="single" w:sz="4" w:space="0" w:color="auto"/>
              <w:left w:val="single" w:sz="4" w:space="0" w:color="auto"/>
              <w:bottom w:val="single" w:sz="4" w:space="0" w:color="auto"/>
              <w:right w:val="single" w:sz="4" w:space="0" w:color="auto"/>
            </w:tcBorders>
          </w:tcPr>
          <w:p w14:paraId="3D84B948" w14:textId="77777777" w:rsidR="00FB4E58" w:rsidRDefault="00FB4E58" w:rsidP="00FB4E58">
            <w:pPr>
              <w:pStyle w:val="TableTextNumbers"/>
            </w:pPr>
            <w:r>
              <w:t xml:space="preserve">Select </w:t>
            </w:r>
            <w:r>
              <w:rPr>
                <w:b/>
              </w:rPr>
              <w:t>Reagents</w:t>
            </w:r>
            <w:r>
              <w:t xml:space="preserve"> from the main menu.</w:t>
            </w:r>
          </w:p>
        </w:tc>
        <w:tc>
          <w:tcPr>
            <w:tcW w:w="6120" w:type="dxa"/>
            <w:tcBorders>
              <w:top w:val="single" w:sz="4" w:space="0" w:color="auto"/>
              <w:left w:val="single" w:sz="4" w:space="0" w:color="auto"/>
              <w:bottom w:val="single" w:sz="4" w:space="0" w:color="auto"/>
              <w:right w:val="single" w:sz="4" w:space="0" w:color="auto"/>
            </w:tcBorders>
          </w:tcPr>
          <w:p w14:paraId="27C4D6F9" w14:textId="77777777" w:rsidR="00FB4E58" w:rsidRDefault="00FB4E58" w:rsidP="00A65805">
            <w:pPr>
              <w:pStyle w:val="TableTextBullet"/>
            </w:pPr>
            <w:r>
              <w:t xml:space="preserve">Displays options for Quality Control functions. </w:t>
            </w:r>
          </w:p>
          <w:p w14:paraId="4577E3CD" w14:textId="77777777" w:rsidR="00FB4E58" w:rsidRDefault="00FB4E58" w:rsidP="00A65805">
            <w:pPr>
              <w:pStyle w:val="TableTextBullet"/>
            </w:pPr>
            <w:r>
              <w:t>Displays options for processing reagents.</w:t>
            </w:r>
          </w:p>
        </w:tc>
      </w:tr>
      <w:tr w:rsidR="00FB4E58" w14:paraId="577D0E9B" w14:textId="77777777">
        <w:tc>
          <w:tcPr>
            <w:tcW w:w="3240" w:type="dxa"/>
          </w:tcPr>
          <w:p w14:paraId="5BAD3B1B" w14:textId="77777777" w:rsidR="00FB4E58" w:rsidRDefault="00FB4E58" w:rsidP="00A65805">
            <w:pPr>
              <w:pStyle w:val="TableTextNumbers"/>
            </w:pPr>
            <w:r>
              <w:t xml:space="preserve">Select </w:t>
            </w:r>
            <w:r>
              <w:rPr>
                <w:b/>
              </w:rPr>
              <w:t>Log In Reagents</w:t>
            </w:r>
            <w:r w:rsidRPr="00FB4E58">
              <w:t>.</w:t>
            </w:r>
          </w:p>
        </w:tc>
        <w:tc>
          <w:tcPr>
            <w:tcW w:w="6120" w:type="dxa"/>
          </w:tcPr>
          <w:p w14:paraId="1FC158EC" w14:textId="77777777" w:rsidR="00FB4E58" w:rsidRDefault="00FB4E58" w:rsidP="00A65805">
            <w:pPr>
              <w:pStyle w:val="TableTextBullet"/>
            </w:pPr>
            <w:r>
              <w:t>Displays fields for entering invoice and reagent information.</w:t>
            </w:r>
          </w:p>
        </w:tc>
      </w:tr>
      <w:tr w:rsidR="00FB4E58" w14:paraId="55B29153" w14:textId="77777777">
        <w:tc>
          <w:tcPr>
            <w:tcW w:w="3240" w:type="dxa"/>
            <w:tcBorders>
              <w:top w:val="single" w:sz="4" w:space="0" w:color="auto"/>
              <w:left w:val="single" w:sz="4" w:space="0" w:color="auto"/>
              <w:bottom w:val="single" w:sz="4" w:space="0" w:color="auto"/>
              <w:right w:val="single" w:sz="4" w:space="0" w:color="auto"/>
            </w:tcBorders>
          </w:tcPr>
          <w:p w14:paraId="73A624FA" w14:textId="77777777" w:rsidR="00FB4E58" w:rsidRDefault="00FB4E58" w:rsidP="00A65805">
            <w:pPr>
              <w:pStyle w:val="TableTextNumbers"/>
            </w:pPr>
            <w:r>
              <w:t>Invoice Information:</w:t>
            </w:r>
          </w:p>
          <w:p w14:paraId="47E56E66" w14:textId="77777777" w:rsidR="00FB4E58" w:rsidRDefault="00FB4E58" w:rsidP="00A65805">
            <w:pPr>
              <w:pStyle w:val="TableTextNumbersContinued"/>
              <w:rPr>
                <w:b/>
                <w:bCs/>
              </w:rPr>
            </w:pPr>
          </w:p>
          <w:p w14:paraId="47C92854" w14:textId="77777777" w:rsidR="00FB4E58" w:rsidRDefault="00FB4E58" w:rsidP="00A65805">
            <w:pPr>
              <w:pStyle w:val="TableTextNumbersContinued"/>
            </w:pPr>
            <w:r>
              <w:t>Select or edit the date and time in the Date Received field.</w:t>
            </w:r>
          </w:p>
          <w:p w14:paraId="0B1D003A" w14:textId="77777777" w:rsidR="00FB4E58" w:rsidRDefault="00FB4E58" w:rsidP="00A65805">
            <w:pPr>
              <w:pStyle w:val="TableTextNumbersContinued"/>
            </w:pPr>
          </w:p>
          <w:p w14:paraId="729E5F26" w14:textId="77777777" w:rsidR="00FB4E58" w:rsidRDefault="00FB4E58" w:rsidP="00A65805">
            <w:pPr>
              <w:pStyle w:val="TableTextNumbersContinued"/>
            </w:pPr>
            <w:r>
              <w:t>Enter the invoice number in the Invoice Number field.</w:t>
            </w:r>
          </w:p>
          <w:p w14:paraId="40B529D8" w14:textId="77777777" w:rsidR="00FB4E58" w:rsidRDefault="00FB4E58" w:rsidP="00A65805">
            <w:pPr>
              <w:pStyle w:val="TableTextNumbersContinued"/>
            </w:pPr>
          </w:p>
          <w:p w14:paraId="011312D2" w14:textId="77777777" w:rsidR="00FB4E58" w:rsidRDefault="00FB4E58" w:rsidP="00A65805">
            <w:pPr>
              <w:pStyle w:val="TableTextNumbersContinued"/>
            </w:pPr>
            <w:r>
              <w:t>Enter the name of the manufacturer in the Manufacturer field, or select a name from the drop-down list.</w:t>
            </w:r>
          </w:p>
        </w:tc>
        <w:tc>
          <w:tcPr>
            <w:tcW w:w="6120" w:type="dxa"/>
            <w:tcBorders>
              <w:top w:val="single" w:sz="4" w:space="0" w:color="auto"/>
              <w:left w:val="single" w:sz="4" w:space="0" w:color="auto"/>
              <w:bottom w:val="single" w:sz="4" w:space="0" w:color="auto"/>
              <w:right w:val="single" w:sz="4" w:space="0" w:color="auto"/>
            </w:tcBorders>
          </w:tcPr>
          <w:p w14:paraId="53C5C37A" w14:textId="77777777" w:rsidR="00FB4E58" w:rsidRDefault="00FB4E58" w:rsidP="00A65805">
            <w:pPr>
              <w:pStyle w:val="TableText"/>
            </w:pPr>
          </w:p>
          <w:p w14:paraId="64E8FA35" w14:textId="7477613C" w:rsidR="00FB4E58" w:rsidRDefault="00FB4E58" w:rsidP="00A65805">
            <w:pPr>
              <w:pStyle w:val="TableText"/>
              <w:rPr>
                <w:b/>
                <w:bCs/>
                <w:szCs w:val="18"/>
              </w:rPr>
            </w:pPr>
            <w:r>
              <w:rPr>
                <w:b/>
                <w:bCs/>
                <w:szCs w:val="18"/>
              </w:rPr>
              <w:t>NOTES</w:t>
            </w:r>
          </w:p>
          <w:p w14:paraId="58D3B538" w14:textId="77777777" w:rsidR="00FB4E58" w:rsidRDefault="00FB4E58" w:rsidP="00A65805">
            <w:pPr>
              <w:pStyle w:val="NotesText"/>
            </w:pPr>
          </w:p>
          <w:p w14:paraId="4CDC09BF" w14:textId="77777777" w:rsidR="00FB4E58" w:rsidRDefault="00FB4E58" w:rsidP="00A65805">
            <w:pPr>
              <w:pStyle w:val="NotesText"/>
            </w:pPr>
            <w:r w:rsidRPr="00FB4E58">
              <w:rPr>
                <w:rFonts w:cs="Arial"/>
                <w:vanish/>
                <w:szCs w:val="18"/>
              </w:rPr>
              <w:t xml:space="preserve">BR_81.10 </w:t>
            </w:r>
            <w:r>
              <w:t xml:space="preserve">More than one technologist at a time may process a large shipment of reagents; only one technologist at a time may process individual reagents in the shipment. </w:t>
            </w:r>
          </w:p>
          <w:p w14:paraId="306ECD83" w14:textId="77777777" w:rsidR="00FB4E58" w:rsidRDefault="00FB4E58" w:rsidP="00A65805">
            <w:pPr>
              <w:pStyle w:val="NotesText"/>
            </w:pPr>
          </w:p>
          <w:p w14:paraId="25CEEE5D" w14:textId="77777777" w:rsidR="00FB4E58" w:rsidRDefault="00FB4E58" w:rsidP="00A65805">
            <w:pPr>
              <w:pStyle w:val="NotesText"/>
            </w:pPr>
            <w:r w:rsidRPr="00FB4E58">
              <w:rPr>
                <w:rFonts w:cs="Arial"/>
                <w:vanish/>
                <w:szCs w:val="18"/>
              </w:rPr>
              <w:t xml:space="preserve">BR_20.01 </w:t>
            </w:r>
            <w:r>
              <w:t>The default date received is the current date and time. The user may edit it to a past date and time only.</w:t>
            </w:r>
          </w:p>
          <w:p w14:paraId="0E9B1C1D" w14:textId="77777777" w:rsidR="00FB4E58" w:rsidRDefault="00FB4E58" w:rsidP="00A65805">
            <w:pPr>
              <w:pStyle w:val="NotesText"/>
            </w:pPr>
          </w:p>
          <w:p w14:paraId="6F922C18" w14:textId="77777777" w:rsidR="00FB4E58" w:rsidRDefault="00FB4E58" w:rsidP="00A65805">
            <w:pPr>
              <w:pStyle w:val="NotesText"/>
            </w:pPr>
            <w:r w:rsidRPr="001017A2">
              <w:rPr>
                <w:rFonts w:cs="Arial"/>
                <w:vanish/>
                <w:szCs w:val="18"/>
              </w:rPr>
              <w:t xml:space="preserve">BR_81.07 </w:t>
            </w:r>
            <w:r>
              <w:t xml:space="preserve">When the reagent type and lot number were already entered for this invoice, VBECS </w:t>
            </w:r>
            <w:r>
              <w:rPr>
                <w:noProof/>
              </w:rPr>
              <w:t>warns that the user is</w:t>
            </w:r>
            <w:r>
              <w:t xml:space="preserve"> trying to enter </w:t>
            </w:r>
            <w:r w:rsidR="001017A2">
              <w:t xml:space="preserve">a </w:t>
            </w:r>
            <w:r>
              <w:t xml:space="preserve">reagent that was already logged into the system for this invoice. </w:t>
            </w:r>
            <w:r>
              <w:rPr>
                <w:b/>
              </w:rPr>
              <w:t>Yes</w:t>
            </w:r>
            <w:r>
              <w:t xml:space="preserve"> takes the user to the </w:t>
            </w:r>
            <w:r w:rsidR="00FA7E65">
              <w:t>“</w:t>
            </w:r>
            <w:r>
              <w:t>Update Reagent Inventory</w:t>
            </w:r>
            <w:r w:rsidR="00FA7E65">
              <w:t>”</w:t>
            </w:r>
            <w:r>
              <w:t xml:space="preserve"> screen where VBECS displays the reagent type and lot number for update. </w:t>
            </w:r>
            <w:r>
              <w:rPr>
                <w:b/>
              </w:rPr>
              <w:t>No</w:t>
            </w:r>
            <w:r>
              <w:t xml:space="preserve"> clears all fields on the screen, allowing the user to log in another reagent. </w:t>
            </w:r>
          </w:p>
        </w:tc>
      </w:tr>
      <w:tr w:rsidR="00FB4E58" w14:paraId="78DAC8C7" w14:textId="77777777">
        <w:tc>
          <w:tcPr>
            <w:tcW w:w="3240" w:type="dxa"/>
            <w:tcBorders>
              <w:top w:val="single" w:sz="4" w:space="0" w:color="auto"/>
              <w:left w:val="single" w:sz="4" w:space="0" w:color="auto"/>
              <w:bottom w:val="single" w:sz="4" w:space="0" w:color="auto"/>
              <w:right w:val="single" w:sz="4" w:space="0" w:color="auto"/>
            </w:tcBorders>
          </w:tcPr>
          <w:p w14:paraId="3E7DF9B0" w14:textId="77777777" w:rsidR="00FB4E58" w:rsidRDefault="00FB4E58" w:rsidP="00A65805">
            <w:pPr>
              <w:pStyle w:val="TableTextNumbers"/>
            </w:pPr>
            <w:r>
              <w:t>Reagent Information:</w:t>
            </w:r>
          </w:p>
          <w:p w14:paraId="01E0BB4B" w14:textId="77777777" w:rsidR="00FB4E58" w:rsidRDefault="00FB4E58" w:rsidP="00A65805">
            <w:pPr>
              <w:pStyle w:val="TableTextNumbersContinued"/>
              <w:rPr>
                <w:b/>
                <w:bCs/>
              </w:rPr>
            </w:pPr>
          </w:p>
          <w:p w14:paraId="257DE45F" w14:textId="77777777" w:rsidR="00FB4E58" w:rsidRDefault="00FB4E58" w:rsidP="00A65805">
            <w:pPr>
              <w:pStyle w:val="TableTextNumbersContinued"/>
            </w:pPr>
            <w:r>
              <w:t>Enter the reagent name and reagent type in the Manufacturer Reagent Name and Reagent Type fields, or select from the drop-down lists.</w:t>
            </w:r>
          </w:p>
          <w:p w14:paraId="69AEC5DC" w14:textId="77777777" w:rsidR="00FB4E58" w:rsidRDefault="00FB4E58" w:rsidP="00A65805">
            <w:pPr>
              <w:pStyle w:val="TableTextNumbersContinued"/>
            </w:pPr>
          </w:p>
          <w:p w14:paraId="70E98659" w14:textId="77777777" w:rsidR="00FB4E58" w:rsidRDefault="00FB4E58" w:rsidP="00A65805">
            <w:pPr>
              <w:pStyle w:val="TableTextNumbersContinued"/>
            </w:pPr>
            <w:r>
              <w:t>Enter the lot number in the Lot Number field.</w:t>
            </w:r>
          </w:p>
          <w:p w14:paraId="49D40715" w14:textId="77777777" w:rsidR="00FB4E58" w:rsidRDefault="00FB4E58" w:rsidP="00A65805">
            <w:pPr>
              <w:pStyle w:val="TableTextNumbersContinued"/>
            </w:pPr>
          </w:p>
          <w:p w14:paraId="6620891E" w14:textId="77777777" w:rsidR="00FB4E58" w:rsidRDefault="00FB4E58" w:rsidP="00A65805">
            <w:pPr>
              <w:pStyle w:val="TableTextNumbersContinued"/>
            </w:pPr>
            <w:r>
              <w:t>Select or edit the date and time in the Lot Expiration Date field.</w:t>
            </w:r>
          </w:p>
          <w:p w14:paraId="09393199" w14:textId="77777777" w:rsidR="00FB4E58" w:rsidRDefault="00FB4E58" w:rsidP="00A65805">
            <w:pPr>
              <w:pStyle w:val="TableTextNumbersContinued"/>
            </w:pPr>
          </w:p>
          <w:p w14:paraId="72306B0F" w14:textId="77777777" w:rsidR="00FB4E58" w:rsidRDefault="00FB4E58" w:rsidP="00A65805">
            <w:pPr>
              <w:pStyle w:val="TableTextNumbersContinued"/>
            </w:pPr>
            <w:r>
              <w:t>Enter (or select) a quantity (1–999) in the Vials Received per Lot Number field.</w:t>
            </w:r>
          </w:p>
        </w:tc>
        <w:tc>
          <w:tcPr>
            <w:tcW w:w="6120" w:type="dxa"/>
            <w:tcBorders>
              <w:top w:val="single" w:sz="4" w:space="0" w:color="auto"/>
              <w:left w:val="single" w:sz="4" w:space="0" w:color="auto"/>
              <w:bottom w:val="single" w:sz="4" w:space="0" w:color="auto"/>
              <w:right w:val="single" w:sz="4" w:space="0" w:color="auto"/>
            </w:tcBorders>
          </w:tcPr>
          <w:p w14:paraId="46880C4B" w14:textId="77777777" w:rsidR="00FB4E58" w:rsidRDefault="00FB4E58" w:rsidP="00A65805">
            <w:pPr>
              <w:pStyle w:val="TableText"/>
              <w:rPr>
                <w:b/>
                <w:bCs/>
                <w:szCs w:val="18"/>
              </w:rPr>
            </w:pPr>
          </w:p>
          <w:p w14:paraId="6C4C7E2C" w14:textId="22DA3B14" w:rsidR="00FB4E58" w:rsidRDefault="00FB4E58" w:rsidP="00A65805">
            <w:pPr>
              <w:pStyle w:val="TableText"/>
              <w:rPr>
                <w:b/>
                <w:bCs/>
                <w:szCs w:val="18"/>
              </w:rPr>
            </w:pPr>
            <w:r>
              <w:rPr>
                <w:b/>
                <w:bCs/>
                <w:szCs w:val="18"/>
              </w:rPr>
              <w:t>NOTES</w:t>
            </w:r>
          </w:p>
          <w:p w14:paraId="4D915186" w14:textId="77777777" w:rsidR="00FB4E58" w:rsidRDefault="00FB4E58" w:rsidP="00A65805">
            <w:pPr>
              <w:pStyle w:val="NotesText"/>
            </w:pPr>
          </w:p>
          <w:p w14:paraId="5AF15F1D" w14:textId="77777777" w:rsidR="00FB4E58" w:rsidRDefault="00FB4E58" w:rsidP="00F95BCA">
            <w:pPr>
              <w:pStyle w:val="NotesText"/>
            </w:pPr>
            <w:r>
              <w:t>The default lot expiration date is one minute before midnig</w:t>
            </w:r>
            <w:r w:rsidR="00F95BCA">
              <w:t>ht (23:59) of the current date.</w:t>
            </w:r>
          </w:p>
        </w:tc>
      </w:tr>
      <w:tr w:rsidR="00FB4E58" w14:paraId="6F903EB3" w14:textId="77777777">
        <w:tc>
          <w:tcPr>
            <w:tcW w:w="3240" w:type="dxa"/>
            <w:tcBorders>
              <w:top w:val="single" w:sz="4" w:space="0" w:color="auto"/>
              <w:left w:val="single" w:sz="4" w:space="0" w:color="auto"/>
              <w:bottom w:val="single" w:sz="4" w:space="0" w:color="auto"/>
              <w:right w:val="single" w:sz="4" w:space="0" w:color="auto"/>
            </w:tcBorders>
          </w:tcPr>
          <w:p w14:paraId="7C55740C" w14:textId="77777777" w:rsidR="00FB4E58" w:rsidRDefault="00FB4E58" w:rsidP="00A65805">
            <w:pPr>
              <w:pStyle w:val="TableTextNumbers"/>
            </w:pPr>
            <w:r>
              <w:t>Visual Inspection Information:</w:t>
            </w:r>
          </w:p>
          <w:p w14:paraId="7551F701" w14:textId="77777777" w:rsidR="00FB4E58" w:rsidRDefault="00FB4E58" w:rsidP="00A65805">
            <w:pPr>
              <w:pStyle w:val="TableTextNumbersContinued"/>
              <w:rPr>
                <w:b/>
                <w:bCs/>
              </w:rPr>
            </w:pPr>
          </w:p>
          <w:p w14:paraId="647DCAEF" w14:textId="47ACCF1C" w:rsidR="00FB4E58" w:rsidRDefault="00FB4E58" w:rsidP="00A65805">
            <w:pPr>
              <w:pStyle w:val="TableTextNumbersContinued"/>
            </w:pPr>
            <w:r>
              <w:t xml:space="preserve">Click the </w:t>
            </w:r>
            <w:r>
              <w:rPr>
                <w:b/>
              </w:rPr>
              <w:t xml:space="preserve">Satisfactory </w:t>
            </w:r>
            <w:r w:rsidRPr="00BF2E41">
              <w:t>radio button</w:t>
            </w:r>
            <w:r>
              <w:t xml:space="preserve">, or click the </w:t>
            </w:r>
            <w:r>
              <w:rPr>
                <w:b/>
              </w:rPr>
              <w:t xml:space="preserve">Unsatisfactory </w:t>
            </w:r>
            <w:r w:rsidRPr="00BF2E41">
              <w:t>radio button</w:t>
            </w:r>
            <w:r>
              <w:t xml:space="preserve"> and select a comment from the drop-down list</w:t>
            </w:r>
            <w:r w:rsidR="00EF7A1C">
              <w:t xml:space="preserve"> or enter a free text comment</w:t>
            </w:r>
            <w:r>
              <w:t xml:space="preserve"> in the Comment field.</w:t>
            </w:r>
          </w:p>
          <w:p w14:paraId="48DF307B" w14:textId="77777777" w:rsidR="00FB4E58" w:rsidRDefault="00FB4E58" w:rsidP="00A65805">
            <w:pPr>
              <w:pStyle w:val="TableTextNumbersContinued"/>
            </w:pPr>
          </w:p>
          <w:p w14:paraId="3553A99D" w14:textId="77777777" w:rsidR="00FB4E58" w:rsidRDefault="00FB4E58" w:rsidP="00A65805">
            <w:pPr>
              <w:pStyle w:val="TableTextNumbersContinued"/>
            </w:pPr>
            <w:r>
              <w:t xml:space="preserve">Click </w:t>
            </w:r>
            <w:r>
              <w:rPr>
                <w:b/>
              </w:rPr>
              <w:t>Add</w:t>
            </w:r>
            <w:r>
              <w:t xml:space="preserve"> to add the reagents to the inventory list.</w:t>
            </w:r>
          </w:p>
        </w:tc>
        <w:tc>
          <w:tcPr>
            <w:tcW w:w="6120" w:type="dxa"/>
            <w:tcBorders>
              <w:top w:val="single" w:sz="4" w:space="0" w:color="auto"/>
              <w:left w:val="single" w:sz="4" w:space="0" w:color="auto"/>
              <w:bottom w:val="single" w:sz="4" w:space="0" w:color="auto"/>
              <w:right w:val="single" w:sz="4" w:space="0" w:color="auto"/>
            </w:tcBorders>
          </w:tcPr>
          <w:p w14:paraId="659EB816" w14:textId="77777777" w:rsidR="00FB4E58" w:rsidRDefault="00FB4E58" w:rsidP="00A65805">
            <w:pPr>
              <w:pStyle w:val="TableText"/>
              <w:rPr>
                <w:b/>
                <w:bCs/>
                <w:szCs w:val="18"/>
              </w:rPr>
            </w:pPr>
          </w:p>
          <w:p w14:paraId="15090BD9" w14:textId="2919208B" w:rsidR="00FB4E58" w:rsidRDefault="00FB4E58" w:rsidP="00A65805">
            <w:pPr>
              <w:pStyle w:val="TableText"/>
              <w:rPr>
                <w:b/>
                <w:bCs/>
                <w:szCs w:val="18"/>
              </w:rPr>
            </w:pPr>
            <w:r>
              <w:rPr>
                <w:b/>
                <w:bCs/>
                <w:szCs w:val="18"/>
              </w:rPr>
              <w:t>NOTES</w:t>
            </w:r>
          </w:p>
          <w:p w14:paraId="17182DDF" w14:textId="77777777" w:rsidR="00FB4E58" w:rsidRDefault="00FB4E58" w:rsidP="00A65805">
            <w:pPr>
              <w:pStyle w:val="NotesText"/>
            </w:pPr>
          </w:p>
          <w:p w14:paraId="15A473AB" w14:textId="77777777" w:rsidR="00FB4E58" w:rsidRDefault="00FB4E58" w:rsidP="00A65805">
            <w:pPr>
              <w:pStyle w:val="NotesText"/>
            </w:pPr>
            <w:r>
              <w:t>Satisfactory reagent</w:t>
            </w:r>
            <w:r w:rsidR="001017A2">
              <w:t>s are</w:t>
            </w:r>
            <w:r>
              <w:t xml:space="preserve"> available for later selection, unsatisfactory reagent</w:t>
            </w:r>
            <w:r w:rsidR="001017A2">
              <w:t>s</w:t>
            </w:r>
            <w:r>
              <w:t xml:space="preserve"> are not.</w:t>
            </w:r>
          </w:p>
          <w:p w14:paraId="60F62EAD" w14:textId="77777777" w:rsidR="00FB4E58" w:rsidRDefault="00FB4E58" w:rsidP="00A65805">
            <w:pPr>
              <w:pStyle w:val="NotesText"/>
            </w:pPr>
          </w:p>
          <w:p w14:paraId="5F698E98" w14:textId="77777777" w:rsidR="00FB4E58" w:rsidRDefault="00FB4E58" w:rsidP="00A65805">
            <w:pPr>
              <w:pStyle w:val="NotesText"/>
            </w:pPr>
            <w:r>
              <w:t>When a user selects Other from the drop-down list in the Comment field, entry of additional text in the Details field is required.</w:t>
            </w:r>
          </w:p>
        </w:tc>
      </w:tr>
      <w:tr w:rsidR="00FB4E58" w14:paraId="56B42877" w14:textId="77777777" w:rsidTr="007E500E">
        <w:trPr>
          <w:cantSplit/>
        </w:trPr>
        <w:tc>
          <w:tcPr>
            <w:tcW w:w="3240" w:type="dxa"/>
            <w:tcBorders>
              <w:top w:val="single" w:sz="4" w:space="0" w:color="auto"/>
              <w:left w:val="single" w:sz="4" w:space="0" w:color="auto"/>
              <w:bottom w:val="single" w:sz="4" w:space="0" w:color="auto"/>
              <w:right w:val="single" w:sz="4" w:space="0" w:color="auto"/>
            </w:tcBorders>
          </w:tcPr>
          <w:p w14:paraId="0BC23EEF" w14:textId="60EA1738" w:rsidR="00FB4E58" w:rsidRDefault="00FB4E58" w:rsidP="00A65805">
            <w:pPr>
              <w:pStyle w:val="TableTextNumbers"/>
            </w:pPr>
            <w:r>
              <w:lastRenderedPageBreak/>
              <w:t>Repeat Steps 3</w:t>
            </w:r>
            <w:r w:rsidR="004F5589">
              <w:t xml:space="preserve"> through </w:t>
            </w:r>
            <w:r>
              <w:t>5 to log in more supplies, as desired.</w:t>
            </w:r>
          </w:p>
        </w:tc>
        <w:tc>
          <w:tcPr>
            <w:tcW w:w="6120" w:type="dxa"/>
            <w:tcBorders>
              <w:top w:val="single" w:sz="4" w:space="0" w:color="auto"/>
              <w:left w:val="single" w:sz="4" w:space="0" w:color="auto"/>
              <w:bottom w:val="single" w:sz="4" w:space="0" w:color="auto"/>
              <w:right w:val="single" w:sz="4" w:space="0" w:color="auto"/>
            </w:tcBorders>
          </w:tcPr>
          <w:p w14:paraId="35F50B80" w14:textId="77777777" w:rsidR="00FB4E58" w:rsidRDefault="00FB4E58" w:rsidP="00A65805">
            <w:pPr>
              <w:pStyle w:val="TableText"/>
              <w:rPr>
                <w:b/>
                <w:bCs/>
                <w:szCs w:val="18"/>
              </w:rPr>
            </w:pPr>
          </w:p>
          <w:p w14:paraId="14C6FB94" w14:textId="440249C4" w:rsidR="00FB4E58" w:rsidRDefault="00FB4E58" w:rsidP="00A65805">
            <w:pPr>
              <w:pStyle w:val="TableText"/>
              <w:rPr>
                <w:b/>
                <w:bCs/>
                <w:szCs w:val="18"/>
              </w:rPr>
            </w:pPr>
            <w:r>
              <w:rPr>
                <w:b/>
                <w:bCs/>
                <w:szCs w:val="18"/>
              </w:rPr>
              <w:t>NOTES</w:t>
            </w:r>
          </w:p>
          <w:p w14:paraId="30AE1A95" w14:textId="77777777" w:rsidR="00FB4E58" w:rsidRDefault="00FB4E58" w:rsidP="00A65805">
            <w:pPr>
              <w:pStyle w:val="NotesText"/>
            </w:pPr>
          </w:p>
          <w:p w14:paraId="223E9A5A" w14:textId="77777777" w:rsidR="00FB4E58" w:rsidRDefault="00FB4E58" w:rsidP="00A65805">
            <w:pPr>
              <w:pStyle w:val="NotesText"/>
            </w:pPr>
            <w:r>
              <w:rPr>
                <w:rFonts w:cs="Arial"/>
                <w:vanish/>
              </w:rPr>
              <w:t xml:space="preserve">BR_81.03 </w:t>
            </w:r>
            <w:r>
              <w:t xml:space="preserve">Click </w:t>
            </w:r>
            <w:r>
              <w:rPr>
                <w:b/>
              </w:rPr>
              <w:t>Clear</w:t>
            </w:r>
            <w:r>
              <w:t xml:space="preserve"> to clear all but the Invoice Number, Date Received, Manufacturer, and Lot Expiration Date fields.</w:t>
            </w:r>
          </w:p>
        </w:tc>
      </w:tr>
      <w:tr w:rsidR="00FB4E58" w14:paraId="12ADDBE2" w14:textId="77777777">
        <w:tc>
          <w:tcPr>
            <w:tcW w:w="3240" w:type="dxa"/>
            <w:tcBorders>
              <w:top w:val="single" w:sz="4" w:space="0" w:color="auto"/>
              <w:left w:val="single" w:sz="4" w:space="0" w:color="auto"/>
              <w:bottom w:val="single" w:sz="4" w:space="0" w:color="auto"/>
              <w:right w:val="single" w:sz="4" w:space="0" w:color="auto"/>
            </w:tcBorders>
          </w:tcPr>
          <w:p w14:paraId="588138CB" w14:textId="77777777" w:rsidR="00FB4E58" w:rsidRDefault="00FB4E58" w:rsidP="00A65805">
            <w:pPr>
              <w:pStyle w:val="TableTextNumbers"/>
            </w:pPr>
            <w:r>
              <w:t xml:space="preserve">Click </w:t>
            </w:r>
            <w:r>
              <w:rPr>
                <w:b/>
              </w:rPr>
              <w:t>OK</w:t>
            </w:r>
            <w:r>
              <w:t xml:space="preserve"> to save.</w:t>
            </w:r>
          </w:p>
          <w:p w14:paraId="706C9C3C" w14:textId="77777777" w:rsidR="00FB4E58" w:rsidRDefault="00FB4E58" w:rsidP="00A65805">
            <w:pPr>
              <w:pStyle w:val="TableTextNumbersContinued"/>
              <w:rPr>
                <w:b/>
                <w:bCs/>
              </w:rPr>
            </w:pPr>
          </w:p>
          <w:p w14:paraId="11B2977F" w14:textId="77777777" w:rsidR="00FB4E58" w:rsidRDefault="00FB4E58" w:rsidP="00A65805">
            <w:pPr>
              <w:pStyle w:val="TableTextNumbersContinued"/>
              <w:rPr>
                <w:b/>
                <w:bCs/>
              </w:rPr>
            </w:pPr>
            <w:r>
              <w:rPr>
                <w:bCs/>
              </w:rPr>
              <w:t>Clic</w:t>
            </w:r>
            <w:r>
              <w:t xml:space="preserve">k </w:t>
            </w:r>
            <w:r>
              <w:rPr>
                <w:b/>
              </w:rPr>
              <w:t>Yes</w:t>
            </w:r>
            <w:r>
              <w:t xml:space="preserve"> to confirm the save and exit</w:t>
            </w:r>
            <w:r>
              <w:rPr>
                <w:bCs/>
              </w:rPr>
              <w:t>.</w:t>
            </w:r>
            <w:r>
              <w:rPr>
                <w:b/>
                <w:bCs/>
              </w:rPr>
              <w:t xml:space="preserve"> </w:t>
            </w:r>
            <w:r>
              <w:rPr>
                <w:rStyle w:val="TableTextNumbersChar"/>
                <w:vanish/>
                <w:color w:val="FFFFFF"/>
                <w:szCs w:val="18"/>
              </w:rPr>
              <w:fldChar w:fldCharType="begin"/>
            </w:r>
            <w:r>
              <w:rPr>
                <w:rStyle w:val="TableTextNumbersChar"/>
                <w:vanish/>
                <w:color w:val="FFFFFF"/>
                <w:szCs w:val="18"/>
              </w:rPr>
              <w:instrText xml:space="preserve"> LISTNUM \l 1 \s 0 </w:instrText>
            </w:r>
            <w:r>
              <w:rPr>
                <w:rStyle w:val="TableTextNumbersChar"/>
                <w:vanish/>
                <w:color w:val="FFFFFF"/>
                <w:szCs w:val="18"/>
              </w:rPr>
              <w:fldChar w:fldCharType="end">
                <w:numberingChange w:id="243" w:author="MUSZYNSKI, THOMAS D. (SIERRA 7 INC)" w:date="2024-11-26T07:15:00Z" w:original="0."/>
              </w:fldChar>
            </w:r>
          </w:p>
        </w:tc>
        <w:tc>
          <w:tcPr>
            <w:tcW w:w="6120" w:type="dxa"/>
            <w:tcBorders>
              <w:top w:val="single" w:sz="4" w:space="0" w:color="auto"/>
              <w:left w:val="single" w:sz="4" w:space="0" w:color="auto"/>
              <w:bottom w:val="single" w:sz="4" w:space="0" w:color="auto"/>
              <w:right w:val="single" w:sz="4" w:space="0" w:color="auto"/>
            </w:tcBorders>
          </w:tcPr>
          <w:p w14:paraId="0B6A939E" w14:textId="77777777" w:rsidR="00FB4E58" w:rsidRDefault="00FB4E58" w:rsidP="00A65805">
            <w:pPr>
              <w:pStyle w:val="TableTextBullet"/>
            </w:pPr>
            <w:r>
              <w:t>Requests confirmation to update the database.</w:t>
            </w:r>
          </w:p>
        </w:tc>
      </w:tr>
    </w:tbl>
    <w:p w14:paraId="32D92B85" w14:textId="77777777" w:rsidR="00466CF2" w:rsidRDefault="00466CF2" w:rsidP="00613D46">
      <w:pPr>
        <w:pStyle w:val="Heading4"/>
      </w:pPr>
    </w:p>
    <w:p w14:paraId="50674C8E" w14:textId="77777777" w:rsidR="00613D46" w:rsidRDefault="00466CF2" w:rsidP="00613D46">
      <w:pPr>
        <w:pStyle w:val="Heading4"/>
      </w:pPr>
      <w:r>
        <w:br w:type="page"/>
      </w:r>
      <w:r w:rsidR="00613D46">
        <w:lastRenderedPageBreak/>
        <w:t>Update Reagent Inventory</w:t>
      </w:r>
      <w:r w:rsidR="00613D46">
        <w:fldChar w:fldCharType="begin"/>
      </w:r>
      <w:r w:rsidR="00613D46">
        <w:instrText xml:space="preserve"> XE </w:instrText>
      </w:r>
      <w:r w:rsidR="00FA7E65">
        <w:instrText>“</w:instrText>
      </w:r>
      <w:r w:rsidR="00613D46">
        <w:instrText>Update Reagent Inventory</w:instrText>
      </w:r>
      <w:r w:rsidR="00FA7E65">
        <w:instrText>”</w:instrText>
      </w:r>
      <w:r w:rsidR="00613D46">
        <w:instrText xml:space="preserve"> </w:instrText>
      </w:r>
      <w:r w:rsidR="00613D46">
        <w:fldChar w:fldCharType="end"/>
      </w:r>
      <w:r w:rsidR="00613D46">
        <w:t xml:space="preserve"> </w:t>
      </w:r>
    </w:p>
    <w:p w14:paraId="25F0C91E" w14:textId="77777777" w:rsidR="002A21AE" w:rsidRDefault="00C461C7" w:rsidP="007F12F1">
      <w:pPr>
        <w:pStyle w:val="BodyText"/>
      </w:pPr>
      <w:r>
        <w:t>The</w:t>
      </w:r>
      <w:r w:rsidR="00613D46">
        <w:t xml:space="preserve"> user change</w:t>
      </w:r>
      <w:r w:rsidR="003B2E74">
        <w:t>s</w:t>
      </w:r>
      <w:r w:rsidR="00613D46">
        <w:t xml:space="preserve"> the number of available items in the reagent inventory.</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613D46" w14:paraId="6735F65C" w14:textId="77777777">
        <w:trPr>
          <w:cantSplit/>
          <w:tblHeader/>
        </w:trPr>
        <w:tc>
          <w:tcPr>
            <w:tcW w:w="3240" w:type="dxa"/>
            <w:shd w:val="pct30" w:color="auto" w:fill="FFFFFF"/>
            <w:vAlign w:val="bottom"/>
          </w:tcPr>
          <w:p w14:paraId="21603C19" w14:textId="77777777" w:rsidR="00613D46" w:rsidRDefault="00613D46" w:rsidP="00A65805">
            <w:pPr>
              <w:pStyle w:val="TableText"/>
              <w:rPr>
                <w:b/>
              </w:rPr>
            </w:pPr>
            <w:r>
              <w:rPr>
                <w:b/>
              </w:rPr>
              <w:t>User Action</w:t>
            </w:r>
          </w:p>
        </w:tc>
        <w:tc>
          <w:tcPr>
            <w:tcW w:w="6120" w:type="dxa"/>
            <w:shd w:val="pct30" w:color="auto" w:fill="FFFFFF"/>
            <w:vAlign w:val="bottom"/>
          </w:tcPr>
          <w:p w14:paraId="03EE4767" w14:textId="77777777" w:rsidR="00613D46" w:rsidRDefault="00613D46" w:rsidP="00A65805">
            <w:pPr>
              <w:pStyle w:val="TableText"/>
              <w:rPr>
                <w:b/>
              </w:rPr>
            </w:pPr>
            <w:r>
              <w:rPr>
                <w:b/>
              </w:rPr>
              <w:t>VBECS</w:t>
            </w:r>
          </w:p>
        </w:tc>
      </w:tr>
      <w:tr w:rsidR="00613D46" w14:paraId="2A31BA5A" w14:textId="77777777">
        <w:tc>
          <w:tcPr>
            <w:tcW w:w="3240" w:type="dxa"/>
            <w:tcBorders>
              <w:top w:val="single" w:sz="4" w:space="0" w:color="auto"/>
              <w:left w:val="single" w:sz="4" w:space="0" w:color="auto"/>
              <w:bottom w:val="single" w:sz="4" w:space="0" w:color="auto"/>
              <w:right w:val="single" w:sz="4" w:space="0" w:color="auto"/>
            </w:tcBorders>
          </w:tcPr>
          <w:p w14:paraId="1C390D40" w14:textId="77777777" w:rsidR="00613D46" w:rsidRDefault="00613D46" w:rsidP="002244F1">
            <w:pPr>
              <w:pStyle w:val="TableTextNumbers"/>
            </w:pPr>
            <w:r>
              <w:t xml:space="preserve">Select </w:t>
            </w:r>
            <w:r>
              <w:rPr>
                <w:b/>
              </w:rPr>
              <w:t>Reagents</w:t>
            </w:r>
            <w:r>
              <w:t xml:space="preserve"> from the main menu.</w:t>
            </w:r>
          </w:p>
        </w:tc>
        <w:tc>
          <w:tcPr>
            <w:tcW w:w="6120" w:type="dxa"/>
            <w:tcBorders>
              <w:top w:val="single" w:sz="4" w:space="0" w:color="auto"/>
              <w:left w:val="single" w:sz="4" w:space="0" w:color="auto"/>
              <w:bottom w:val="single" w:sz="4" w:space="0" w:color="auto"/>
              <w:right w:val="single" w:sz="4" w:space="0" w:color="auto"/>
            </w:tcBorders>
          </w:tcPr>
          <w:p w14:paraId="53BE2452" w14:textId="77777777" w:rsidR="00613D46" w:rsidRDefault="00613D46" w:rsidP="00A65805">
            <w:pPr>
              <w:pStyle w:val="TableTextBullet"/>
            </w:pPr>
            <w:r>
              <w:t xml:space="preserve">Displays options for Quality Control functions. </w:t>
            </w:r>
          </w:p>
          <w:p w14:paraId="40842FFC" w14:textId="77777777" w:rsidR="00613D46" w:rsidRDefault="00613D46" w:rsidP="00A65805">
            <w:pPr>
              <w:pStyle w:val="TableTextBullet"/>
            </w:pPr>
            <w:r>
              <w:t>Displays options for processing reagents.</w:t>
            </w:r>
          </w:p>
        </w:tc>
      </w:tr>
      <w:tr w:rsidR="00613D46" w14:paraId="3731B081" w14:textId="77777777">
        <w:tc>
          <w:tcPr>
            <w:tcW w:w="3240" w:type="dxa"/>
          </w:tcPr>
          <w:p w14:paraId="50C6E670" w14:textId="77777777" w:rsidR="00613D46" w:rsidRDefault="00613D46" w:rsidP="00AB00F0">
            <w:pPr>
              <w:pStyle w:val="TableTextNumbers"/>
            </w:pPr>
            <w:r>
              <w:t xml:space="preserve">Select </w:t>
            </w:r>
            <w:r>
              <w:rPr>
                <w:b/>
              </w:rPr>
              <w:t>Update Inventory</w:t>
            </w:r>
            <w:r>
              <w:t>.</w:t>
            </w:r>
          </w:p>
        </w:tc>
        <w:tc>
          <w:tcPr>
            <w:tcW w:w="6120" w:type="dxa"/>
          </w:tcPr>
          <w:p w14:paraId="7983250F" w14:textId="77777777" w:rsidR="00613D46" w:rsidRDefault="00613D46" w:rsidP="00A65805">
            <w:pPr>
              <w:pStyle w:val="TableTextBullet"/>
            </w:pPr>
            <w:r>
              <w:t>Lists existing satisfactory reagents by default.</w:t>
            </w:r>
          </w:p>
        </w:tc>
      </w:tr>
      <w:tr w:rsidR="00613D46" w14:paraId="4EBCA6C7" w14:textId="77777777">
        <w:tc>
          <w:tcPr>
            <w:tcW w:w="3240" w:type="dxa"/>
            <w:tcBorders>
              <w:top w:val="single" w:sz="4" w:space="0" w:color="auto"/>
              <w:left w:val="single" w:sz="4" w:space="0" w:color="auto"/>
              <w:bottom w:val="single" w:sz="4" w:space="0" w:color="auto"/>
              <w:right w:val="single" w:sz="4" w:space="0" w:color="auto"/>
            </w:tcBorders>
          </w:tcPr>
          <w:p w14:paraId="084D08AD" w14:textId="77777777" w:rsidR="00613D46" w:rsidRDefault="00613D46" w:rsidP="00A65805">
            <w:pPr>
              <w:pStyle w:val="TableTextNumbers"/>
            </w:pPr>
            <w:r>
              <w:t>Select a reagent to edit.</w:t>
            </w:r>
          </w:p>
          <w:p w14:paraId="0E529716" w14:textId="77777777" w:rsidR="00613D46" w:rsidRDefault="00613D46" w:rsidP="00A65805">
            <w:pPr>
              <w:pStyle w:val="TableTextNumbersContinued"/>
            </w:pPr>
          </w:p>
          <w:p w14:paraId="117AF05A" w14:textId="77777777" w:rsidR="00613D46" w:rsidRDefault="00613D46" w:rsidP="00A65805">
            <w:pPr>
              <w:pStyle w:val="TableTextNumbersContinued"/>
            </w:pPr>
            <w:r>
              <w:t xml:space="preserve">To view </w:t>
            </w:r>
            <w:r w:rsidR="00E516F6">
              <w:t>reagents</w:t>
            </w:r>
            <w:r>
              <w:t xml:space="preserve"> with a specific lot number, enter the lot number in the Lot # field and click the </w:t>
            </w:r>
            <w:r>
              <w:rPr>
                <w:b/>
              </w:rPr>
              <w:t>magnifying glass</w:t>
            </w:r>
            <w:r>
              <w:t>.</w:t>
            </w:r>
          </w:p>
        </w:tc>
        <w:tc>
          <w:tcPr>
            <w:tcW w:w="6120" w:type="dxa"/>
            <w:tcBorders>
              <w:top w:val="single" w:sz="4" w:space="0" w:color="auto"/>
              <w:left w:val="single" w:sz="4" w:space="0" w:color="auto"/>
              <w:bottom w:val="single" w:sz="4" w:space="0" w:color="auto"/>
              <w:right w:val="single" w:sz="4" w:space="0" w:color="auto"/>
            </w:tcBorders>
          </w:tcPr>
          <w:p w14:paraId="34635981" w14:textId="77777777" w:rsidR="00613D46" w:rsidRDefault="00613D46" w:rsidP="00A65805">
            <w:pPr>
              <w:pStyle w:val="TableText"/>
            </w:pPr>
          </w:p>
          <w:p w14:paraId="626D752A" w14:textId="26D4B2CE" w:rsidR="00613D46" w:rsidRDefault="00613D46" w:rsidP="00A65805">
            <w:pPr>
              <w:pStyle w:val="TableText"/>
              <w:rPr>
                <w:b/>
                <w:bCs/>
                <w:szCs w:val="18"/>
              </w:rPr>
            </w:pPr>
            <w:r>
              <w:rPr>
                <w:b/>
                <w:bCs/>
                <w:szCs w:val="18"/>
              </w:rPr>
              <w:t>NOTES</w:t>
            </w:r>
          </w:p>
          <w:p w14:paraId="1C34BB27" w14:textId="77777777" w:rsidR="00613D46" w:rsidRDefault="00613D46" w:rsidP="00A65805">
            <w:pPr>
              <w:pStyle w:val="NotesText"/>
            </w:pPr>
          </w:p>
          <w:p w14:paraId="2DFC9A6A" w14:textId="77777777" w:rsidR="00613D46" w:rsidRDefault="00613D46" w:rsidP="00A65805">
            <w:pPr>
              <w:pStyle w:val="NotesText"/>
            </w:pPr>
            <w:r>
              <w:t>Click a reagent type to reveal manufacturer names. Click a manufacturer name to reveal lot numbers.</w:t>
            </w:r>
          </w:p>
        </w:tc>
      </w:tr>
      <w:tr w:rsidR="00613D46" w14:paraId="257998E3" w14:textId="77777777">
        <w:tc>
          <w:tcPr>
            <w:tcW w:w="3240" w:type="dxa"/>
            <w:tcBorders>
              <w:top w:val="single" w:sz="4" w:space="0" w:color="auto"/>
              <w:left w:val="single" w:sz="4" w:space="0" w:color="auto"/>
              <w:bottom w:val="single" w:sz="4" w:space="0" w:color="auto"/>
              <w:right w:val="single" w:sz="4" w:space="0" w:color="auto"/>
            </w:tcBorders>
          </w:tcPr>
          <w:p w14:paraId="36570B11" w14:textId="77777777" w:rsidR="00613D46" w:rsidRDefault="00613D46" w:rsidP="00A65805">
            <w:pPr>
              <w:pStyle w:val="TableTextNumbers"/>
            </w:pPr>
            <w:r>
              <w:t>Click a lot number to enable the Number of Vials Available field.</w:t>
            </w:r>
          </w:p>
          <w:p w14:paraId="44505ECC" w14:textId="77777777" w:rsidR="00613D46" w:rsidRDefault="00613D46" w:rsidP="00A65805">
            <w:pPr>
              <w:pStyle w:val="TableTextNumbersContinued"/>
            </w:pPr>
          </w:p>
          <w:p w14:paraId="5A5186DC" w14:textId="77777777" w:rsidR="00613D46" w:rsidRDefault="00613D46" w:rsidP="00A65805">
            <w:pPr>
              <w:pStyle w:val="TableTextNumbersContinued"/>
            </w:pPr>
            <w:r>
              <w:t>Enter (or select) a quantity that is less than or equal to the current entry in the Quantity Available field.</w:t>
            </w:r>
          </w:p>
          <w:p w14:paraId="04AF7C18" w14:textId="77777777" w:rsidR="00613D46" w:rsidRDefault="00613D46" w:rsidP="00A65805">
            <w:pPr>
              <w:pStyle w:val="TableTextNumbersContinued"/>
            </w:pPr>
          </w:p>
          <w:p w14:paraId="5B3853D9" w14:textId="46B16922" w:rsidR="00613D46" w:rsidRDefault="00613D46" w:rsidP="00A65805">
            <w:pPr>
              <w:pStyle w:val="TableTextNumbersContinued"/>
            </w:pPr>
            <w:r>
              <w:t>Select or edit the date and time in the Date Changed field</w:t>
            </w:r>
            <w:r w:rsidR="00580E36">
              <w:t xml:space="preserve"> (</w:t>
            </w:r>
            <w:r w:rsidR="00EE455E">
              <w:t xml:space="preserve">Figure </w:t>
            </w:r>
            <w:r w:rsidR="00EE455E">
              <w:rPr>
                <w:noProof/>
              </w:rPr>
              <w:t>40</w:t>
            </w:r>
            <w:r w:rsidR="00580E36">
              <w:t>)</w:t>
            </w:r>
            <w:r>
              <w:t>.</w:t>
            </w:r>
          </w:p>
        </w:tc>
        <w:tc>
          <w:tcPr>
            <w:tcW w:w="6120" w:type="dxa"/>
            <w:tcBorders>
              <w:top w:val="single" w:sz="4" w:space="0" w:color="auto"/>
              <w:left w:val="single" w:sz="4" w:space="0" w:color="auto"/>
              <w:bottom w:val="single" w:sz="4" w:space="0" w:color="auto"/>
              <w:right w:val="single" w:sz="4" w:space="0" w:color="auto"/>
            </w:tcBorders>
          </w:tcPr>
          <w:p w14:paraId="1AF58F57" w14:textId="77777777" w:rsidR="00613D46" w:rsidRDefault="00613D46" w:rsidP="00A65805">
            <w:pPr>
              <w:pStyle w:val="TableText"/>
            </w:pPr>
          </w:p>
          <w:p w14:paraId="5988B879" w14:textId="48DC5111" w:rsidR="00613D46" w:rsidRDefault="00613D46" w:rsidP="00A65805">
            <w:pPr>
              <w:pStyle w:val="TableText"/>
              <w:rPr>
                <w:b/>
                <w:bCs/>
                <w:szCs w:val="18"/>
              </w:rPr>
            </w:pPr>
            <w:r>
              <w:rPr>
                <w:b/>
                <w:bCs/>
                <w:szCs w:val="18"/>
              </w:rPr>
              <w:t>NOTES</w:t>
            </w:r>
          </w:p>
          <w:p w14:paraId="6D19D8D0" w14:textId="77777777" w:rsidR="00613D46" w:rsidRDefault="00613D46" w:rsidP="00A65805">
            <w:pPr>
              <w:pStyle w:val="NotesText"/>
            </w:pPr>
          </w:p>
          <w:p w14:paraId="139FA21F" w14:textId="77777777" w:rsidR="00613D46" w:rsidRDefault="00613D46" w:rsidP="00A65805">
            <w:pPr>
              <w:pStyle w:val="NotesText"/>
            </w:pPr>
            <w:r>
              <w:t>The default change date is the current date and time. The user may edit it to a past date and time only.</w:t>
            </w:r>
          </w:p>
          <w:p w14:paraId="6E1B2ACB" w14:textId="77777777" w:rsidR="00613D46" w:rsidRDefault="00613D46" w:rsidP="00A65805">
            <w:pPr>
              <w:pStyle w:val="NotesText"/>
            </w:pPr>
          </w:p>
          <w:p w14:paraId="23459C0B" w14:textId="5E12FEB6" w:rsidR="00613D46" w:rsidRDefault="00AC4234" w:rsidP="00A65805">
            <w:pPr>
              <w:pStyle w:val="NotesText"/>
            </w:pPr>
            <w:r w:rsidRPr="00AC4234">
              <w:t xml:space="preserve">The list of selectable comments in Reason for Change field is not associated with a canned comment category. </w:t>
            </w:r>
            <w:r w:rsidR="00613D46">
              <w:t>When a user selects Other from the drop-down list in the Reason for Change field, he may enter additional text in the Comments field.</w:t>
            </w:r>
          </w:p>
          <w:p w14:paraId="408013DC" w14:textId="67AEB418" w:rsidR="006B451C" w:rsidRDefault="006B451C" w:rsidP="00A65805">
            <w:pPr>
              <w:pStyle w:val="NotesText"/>
            </w:pPr>
            <w:r>
              <w:t>To avoid a system error, d</w:t>
            </w:r>
            <w:r w:rsidRPr="006B451C">
              <w:t>o not remove the reason for change before saving.</w:t>
            </w:r>
            <w:r w:rsidR="0002020B">
              <w:t xml:space="preserve"> </w:t>
            </w:r>
            <w:r w:rsidR="0002020B" w:rsidRPr="0002020B">
              <w:rPr>
                <w:vanish/>
              </w:rPr>
              <w:t>Defect 209684</w:t>
            </w:r>
            <w:r w:rsidR="0002020B">
              <w:rPr>
                <w:vanish/>
              </w:rPr>
              <w:t>, 210320</w:t>
            </w:r>
          </w:p>
          <w:p w14:paraId="0C86ABCD" w14:textId="77777777" w:rsidR="00613D46" w:rsidRDefault="00613D46" w:rsidP="00A65805">
            <w:pPr>
              <w:pStyle w:val="NotesText"/>
            </w:pPr>
          </w:p>
        </w:tc>
      </w:tr>
      <w:tr w:rsidR="00613D46" w14:paraId="55D6100F" w14:textId="77777777">
        <w:tc>
          <w:tcPr>
            <w:tcW w:w="3240" w:type="dxa"/>
            <w:tcBorders>
              <w:top w:val="single" w:sz="4" w:space="0" w:color="auto"/>
              <w:left w:val="single" w:sz="4" w:space="0" w:color="auto"/>
              <w:bottom w:val="single" w:sz="4" w:space="0" w:color="auto"/>
              <w:right w:val="single" w:sz="4" w:space="0" w:color="auto"/>
            </w:tcBorders>
          </w:tcPr>
          <w:p w14:paraId="44EB05E5" w14:textId="77777777" w:rsidR="00613D46" w:rsidRDefault="00613D46" w:rsidP="00A65805">
            <w:pPr>
              <w:pStyle w:val="TableTextNumbers"/>
            </w:pPr>
            <w:r>
              <w:t>Repeat Steps 3 and 4 to edit more reagents</w:t>
            </w:r>
            <w:r w:rsidR="00E516F6">
              <w:t>,</w:t>
            </w:r>
            <w:r>
              <w:t xml:space="preserve"> as desired.</w:t>
            </w:r>
          </w:p>
        </w:tc>
        <w:tc>
          <w:tcPr>
            <w:tcW w:w="6120" w:type="dxa"/>
            <w:tcBorders>
              <w:top w:val="single" w:sz="4" w:space="0" w:color="auto"/>
              <w:left w:val="single" w:sz="4" w:space="0" w:color="auto"/>
              <w:bottom w:val="single" w:sz="4" w:space="0" w:color="auto"/>
              <w:right w:val="single" w:sz="4" w:space="0" w:color="auto"/>
            </w:tcBorders>
          </w:tcPr>
          <w:p w14:paraId="074DFC55" w14:textId="77777777" w:rsidR="00613D46" w:rsidRDefault="00613D46" w:rsidP="00A65805">
            <w:pPr>
              <w:pStyle w:val="TableText"/>
            </w:pPr>
          </w:p>
        </w:tc>
      </w:tr>
      <w:tr w:rsidR="00613D46" w14:paraId="3E9E568F" w14:textId="77777777">
        <w:tc>
          <w:tcPr>
            <w:tcW w:w="3240" w:type="dxa"/>
            <w:tcBorders>
              <w:top w:val="single" w:sz="4" w:space="0" w:color="auto"/>
              <w:left w:val="single" w:sz="4" w:space="0" w:color="auto"/>
              <w:bottom w:val="single" w:sz="4" w:space="0" w:color="auto"/>
              <w:right w:val="single" w:sz="4" w:space="0" w:color="auto"/>
            </w:tcBorders>
          </w:tcPr>
          <w:p w14:paraId="1032FEB9" w14:textId="77777777" w:rsidR="00613D46" w:rsidRDefault="00613D46" w:rsidP="00A65805">
            <w:pPr>
              <w:pStyle w:val="TableTextNumbers"/>
            </w:pPr>
            <w:r>
              <w:t xml:space="preserve">Click </w:t>
            </w:r>
            <w:r>
              <w:rPr>
                <w:b/>
              </w:rPr>
              <w:t>OK</w:t>
            </w:r>
            <w:r>
              <w:t xml:space="preserve"> to save.</w:t>
            </w:r>
          </w:p>
          <w:p w14:paraId="0F62A892" w14:textId="77777777" w:rsidR="00613D46" w:rsidRDefault="00613D46" w:rsidP="00A65805">
            <w:pPr>
              <w:pStyle w:val="TableTextNumbersContinued"/>
            </w:pPr>
          </w:p>
          <w:p w14:paraId="56E9A6B4" w14:textId="77777777" w:rsidR="00613D46" w:rsidRDefault="00613D46" w:rsidP="00A65805">
            <w:pPr>
              <w:pStyle w:val="TableTextNumbersContinued"/>
            </w:pPr>
            <w:r>
              <w:t xml:space="preserve">Click </w:t>
            </w:r>
            <w:r>
              <w:rPr>
                <w:b/>
              </w:rPr>
              <w:t>Yes</w:t>
            </w:r>
            <w:r>
              <w:t xml:space="preserve"> to confirm the save and view the updated list.</w:t>
            </w:r>
          </w:p>
        </w:tc>
        <w:tc>
          <w:tcPr>
            <w:tcW w:w="6120" w:type="dxa"/>
            <w:tcBorders>
              <w:top w:val="single" w:sz="4" w:space="0" w:color="auto"/>
              <w:left w:val="single" w:sz="4" w:space="0" w:color="auto"/>
              <w:bottom w:val="single" w:sz="4" w:space="0" w:color="auto"/>
              <w:right w:val="single" w:sz="4" w:space="0" w:color="auto"/>
            </w:tcBorders>
          </w:tcPr>
          <w:p w14:paraId="5CAD3409" w14:textId="77777777" w:rsidR="00613D46" w:rsidRDefault="00613D46" w:rsidP="00A65805">
            <w:pPr>
              <w:pStyle w:val="TableTextBullet"/>
            </w:pPr>
            <w:r>
              <w:t xml:space="preserve">Prompts </w:t>
            </w:r>
            <w:r w:rsidR="00E516F6">
              <w:t>the user to confirm</w:t>
            </w:r>
            <w:r>
              <w:t xml:space="preserve"> the save.</w:t>
            </w:r>
          </w:p>
          <w:p w14:paraId="7BB225A4" w14:textId="77777777" w:rsidR="00613D46" w:rsidRDefault="00613D46" w:rsidP="00A65805">
            <w:pPr>
              <w:pStyle w:val="TableTextBullet"/>
            </w:pPr>
            <w:r>
              <w:t xml:space="preserve">Saves the record and redisplays current inventory, as in Step 3. </w:t>
            </w:r>
          </w:p>
          <w:p w14:paraId="7C5B05C0" w14:textId="77777777" w:rsidR="00613D46" w:rsidRDefault="00613D46" w:rsidP="00A65805">
            <w:pPr>
              <w:pStyle w:val="TableTextBullet"/>
            </w:pPr>
            <w:r>
              <w:t>Displays an option to exit.</w:t>
            </w:r>
          </w:p>
          <w:p w14:paraId="4AF89CA6" w14:textId="68C39AB3" w:rsidR="0050266C" w:rsidRDefault="0050266C" w:rsidP="0050266C">
            <w:pPr>
              <w:pStyle w:val="TableTextBullet"/>
            </w:pPr>
            <w:r w:rsidRPr="0050266C">
              <w:t>Click the Clear button to continue</w:t>
            </w:r>
            <w:r>
              <w:t xml:space="preserve"> if a warning message displays after selecting “No” to the entry confirmation message.</w:t>
            </w:r>
            <w:r w:rsidR="0002020B">
              <w:t xml:space="preserve"> </w:t>
            </w:r>
            <w:r w:rsidR="0002020B" w:rsidRPr="0002020B">
              <w:rPr>
                <w:vanish/>
              </w:rPr>
              <w:t>Defect 208884</w:t>
            </w:r>
          </w:p>
        </w:tc>
      </w:tr>
      <w:tr w:rsidR="00613D46" w14:paraId="0D8FF827" w14:textId="77777777">
        <w:tc>
          <w:tcPr>
            <w:tcW w:w="3240" w:type="dxa"/>
            <w:tcBorders>
              <w:top w:val="single" w:sz="4" w:space="0" w:color="auto"/>
              <w:left w:val="single" w:sz="4" w:space="0" w:color="auto"/>
              <w:bottom w:val="single" w:sz="4" w:space="0" w:color="auto"/>
              <w:right w:val="single" w:sz="4" w:space="0" w:color="auto"/>
            </w:tcBorders>
          </w:tcPr>
          <w:p w14:paraId="5B6B8603" w14:textId="77777777" w:rsidR="00613D46" w:rsidRDefault="00613D46" w:rsidP="00A65805">
            <w:pPr>
              <w:pStyle w:val="TableTextNumbers"/>
            </w:pPr>
            <w:r>
              <w:t xml:space="preserve">Click </w:t>
            </w:r>
            <w:r>
              <w:rPr>
                <w:b/>
              </w:rPr>
              <w:t>Close</w:t>
            </w:r>
            <w:r>
              <w:t xml:space="preserve"> to exit. </w:t>
            </w:r>
            <w:r>
              <w:rPr>
                <w:vanish/>
                <w:color w:val="FFFFFF"/>
                <w:szCs w:val="18"/>
              </w:rPr>
              <w:fldChar w:fldCharType="begin"/>
            </w:r>
            <w:r>
              <w:rPr>
                <w:vanish/>
                <w:color w:val="FFFFFF"/>
                <w:szCs w:val="18"/>
              </w:rPr>
              <w:instrText xml:space="preserve"> LISTNUM \l 1 \s 0 </w:instrText>
            </w:r>
            <w:r>
              <w:rPr>
                <w:vanish/>
                <w:color w:val="FFFFFF"/>
                <w:szCs w:val="18"/>
              </w:rPr>
              <w:fldChar w:fldCharType="end">
                <w:numberingChange w:id="244" w:author="MUSZYNSKI, THOMAS D. (SIERRA 7 INC)" w:date="2024-11-26T07:15:00Z" w:original="0."/>
              </w:fldChar>
            </w:r>
          </w:p>
        </w:tc>
        <w:tc>
          <w:tcPr>
            <w:tcW w:w="6120" w:type="dxa"/>
            <w:tcBorders>
              <w:top w:val="single" w:sz="4" w:space="0" w:color="auto"/>
              <w:left w:val="single" w:sz="4" w:space="0" w:color="auto"/>
              <w:bottom w:val="single" w:sz="4" w:space="0" w:color="auto"/>
              <w:right w:val="single" w:sz="4" w:space="0" w:color="auto"/>
            </w:tcBorders>
          </w:tcPr>
          <w:p w14:paraId="470107AB" w14:textId="77777777" w:rsidR="00613D46" w:rsidRDefault="00613D46" w:rsidP="00A65805">
            <w:pPr>
              <w:pStyle w:val="NotesText"/>
              <w:ind w:left="0"/>
            </w:pPr>
          </w:p>
        </w:tc>
      </w:tr>
    </w:tbl>
    <w:p w14:paraId="672F9927" w14:textId="130659DF" w:rsidR="00580E36" w:rsidRDefault="00580E36" w:rsidP="00580E36">
      <w:pPr>
        <w:pStyle w:val="Caption"/>
      </w:pPr>
      <w:bookmarkStart w:id="245" w:name="_Ref126549074"/>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7D1829">
        <w:rPr>
          <w:noProof/>
        </w:rPr>
        <w:t>41</w:t>
      </w:r>
      <w:r w:rsidR="004E20BD">
        <w:rPr>
          <w:noProof/>
        </w:rPr>
        <w:fldChar w:fldCharType="end"/>
      </w:r>
      <w:bookmarkEnd w:id="245"/>
      <w:r>
        <w:t>: Update Reagent Inventory</w:t>
      </w:r>
    </w:p>
    <w:p w14:paraId="281354B8" w14:textId="77777777" w:rsidR="00580E36" w:rsidRDefault="00057948" w:rsidP="00580E36">
      <w:pPr>
        <w:pStyle w:val="BodyText"/>
      </w:pPr>
      <w:r>
        <w:rPr>
          <w:noProof/>
        </w:rPr>
        <w:drawing>
          <wp:inline distT="0" distB="0" distL="0" distR="0" wp14:anchorId="00E18D60" wp14:editId="7089A521">
            <wp:extent cx="4460875" cy="3667125"/>
            <wp:effectExtent l="0" t="0" r="0" b="9525"/>
            <wp:docPr id="143" name="Picture 143" descr="Example of Update Reagent Inventory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Picture 143" descr="Example of Update Reagent Inventory screen capture"/>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4460875" cy="3667125"/>
                    </a:xfrm>
                    <a:prstGeom prst="rect">
                      <a:avLst/>
                    </a:prstGeom>
                    <a:noFill/>
                    <a:ln>
                      <a:noFill/>
                    </a:ln>
                  </pic:spPr>
                </pic:pic>
              </a:graphicData>
            </a:graphic>
          </wp:inline>
        </w:drawing>
      </w:r>
    </w:p>
    <w:p w14:paraId="08A5F1BC" w14:textId="77777777" w:rsidR="00FE6B9A" w:rsidRDefault="00466CF2" w:rsidP="00FE6B9A">
      <w:pPr>
        <w:pStyle w:val="Heading4"/>
      </w:pPr>
      <w:r>
        <w:br w:type="page"/>
      </w:r>
      <w:r w:rsidR="00FE6B9A">
        <w:lastRenderedPageBreak/>
        <w:t>View/Print Reagent Inventory</w:t>
      </w:r>
      <w:r w:rsidR="00FE6B9A">
        <w:fldChar w:fldCharType="begin"/>
      </w:r>
      <w:r w:rsidR="00FE6B9A">
        <w:instrText xml:space="preserve"> XE </w:instrText>
      </w:r>
      <w:r w:rsidR="00FA7E65">
        <w:instrText>“</w:instrText>
      </w:r>
      <w:r w:rsidR="00FE6B9A">
        <w:instrText>View/Print Reagent Inventory</w:instrText>
      </w:r>
      <w:r w:rsidR="00FA7E65">
        <w:instrText>”</w:instrText>
      </w:r>
      <w:r w:rsidR="00FE6B9A">
        <w:instrText xml:space="preserve"> </w:instrText>
      </w:r>
      <w:r w:rsidR="00FE6B9A">
        <w:fldChar w:fldCharType="end"/>
      </w:r>
      <w:r w:rsidR="00FE6B9A">
        <w:t xml:space="preserve"> </w:t>
      </w:r>
    </w:p>
    <w:p w14:paraId="6137796F" w14:textId="77777777" w:rsidR="002A21AE" w:rsidRDefault="00C461C7" w:rsidP="007F12F1">
      <w:pPr>
        <w:pStyle w:val="BodyText"/>
      </w:pPr>
      <w:r>
        <w:t>The</w:t>
      </w:r>
      <w:r w:rsidR="00FE6B9A">
        <w:t xml:space="preserve"> user view</w:t>
      </w:r>
      <w:r w:rsidR="00F859D5">
        <w:t>s</w:t>
      </w:r>
      <w:r w:rsidR="00FE6B9A">
        <w:t xml:space="preserve"> inventory online based on various search criteria and print</w:t>
      </w:r>
      <w:r w:rsidR="00F859D5">
        <w:t>s</w:t>
      </w:r>
      <w:r w:rsidR="00FE6B9A">
        <w:t xml:space="preserve"> the search results.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FE6B9A" w14:paraId="25CFFDBD" w14:textId="77777777">
        <w:trPr>
          <w:cantSplit/>
          <w:tblHeader/>
        </w:trPr>
        <w:tc>
          <w:tcPr>
            <w:tcW w:w="3240" w:type="dxa"/>
            <w:shd w:val="pct30" w:color="auto" w:fill="FFFFFF"/>
            <w:vAlign w:val="bottom"/>
          </w:tcPr>
          <w:p w14:paraId="283A83BF" w14:textId="77777777" w:rsidR="00FE6B9A" w:rsidRDefault="00FE6B9A" w:rsidP="00A65805">
            <w:pPr>
              <w:pStyle w:val="TableText"/>
              <w:rPr>
                <w:b/>
              </w:rPr>
            </w:pPr>
            <w:r>
              <w:rPr>
                <w:b/>
              </w:rPr>
              <w:t>User Action</w:t>
            </w:r>
          </w:p>
        </w:tc>
        <w:tc>
          <w:tcPr>
            <w:tcW w:w="6120" w:type="dxa"/>
            <w:shd w:val="pct30" w:color="auto" w:fill="FFFFFF"/>
            <w:vAlign w:val="bottom"/>
          </w:tcPr>
          <w:p w14:paraId="67DD09DB" w14:textId="77777777" w:rsidR="00FE6B9A" w:rsidRDefault="00FE6B9A" w:rsidP="00A65805">
            <w:pPr>
              <w:pStyle w:val="TableText"/>
              <w:rPr>
                <w:b/>
              </w:rPr>
            </w:pPr>
            <w:r>
              <w:rPr>
                <w:b/>
              </w:rPr>
              <w:t>VBECS</w:t>
            </w:r>
          </w:p>
        </w:tc>
      </w:tr>
      <w:tr w:rsidR="00FE6B9A" w14:paraId="35D6F0C8" w14:textId="77777777">
        <w:tc>
          <w:tcPr>
            <w:tcW w:w="3240" w:type="dxa"/>
            <w:tcBorders>
              <w:top w:val="single" w:sz="4" w:space="0" w:color="auto"/>
              <w:left w:val="single" w:sz="4" w:space="0" w:color="auto"/>
              <w:bottom w:val="single" w:sz="4" w:space="0" w:color="auto"/>
              <w:right w:val="single" w:sz="4" w:space="0" w:color="auto"/>
            </w:tcBorders>
          </w:tcPr>
          <w:p w14:paraId="3745F3B5" w14:textId="77777777" w:rsidR="00FE6B9A" w:rsidRDefault="00FE6B9A" w:rsidP="00A65805">
            <w:pPr>
              <w:pStyle w:val="TableTextNumbers"/>
            </w:pPr>
            <w:r>
              <w:t xml:space="preserve">Select </w:t>
            </w:r>
            <w:r>
              <w:rPr>
                <w:b/>
              </w:rPr>
              <w:t>Reagents</w:t>
            </w:r>
            <w:r>
              <w:t xml:space="preserve"> from the main menu.</w:t>
            </w:r>
          </w:p>
          <w:p w14:paraId="11A33B80" w14:textId="77777777" w:rsidR="00FE6B9A" w:rsidRDefault="00FE6B9A" w:rsidP="00A65805">
            <w:pPr>
              <w:pStyle w:val="TableTextNumbersContinued"/>
            </w:pPr>
          </w:p>
        </w:tc>
        <w:tc>
          <w:tcPr>
            <w:tcW w:w="6120" w:type="dxa"/>
            <w:tcBorders>
              <w:top w:val="single" w:sz="4" w:space="0" w:color="auto"/>
              <w:left w:val="single" w:sz="4" w:space="0" w:color="auto"/>
              <w:bottom w:val="single" w:sz="4" w:space="0" w:color="auto"/>
              <w:right w:val="single" w:sz="4" w:space="0" w:color="auto"/>
            </w:tcBorders>
          </w:tcPr>
          <w:p w14:paraId="3E2E61AF" w14:textId="77777777" w:rsidR="00FE6B9A" w:rsidRDefault="00FE6B9A" w:rsidP="00A65805">
            <w:pPr>
              <w:pStyle w:val="TableTextBullet"/>
            </w:pPr>
            <w:r>
              <w:t xml:space="preserve">Displays options for Quality Control functions. </w:t>
            </w:r>
          </w:p>
          <w:p w14:paraId="14665BA8" w14:textId="77777777" w:rsidR="00FE6B9A" w:rsidRDefault="00FE6B9A" w:rsidP="00A65805">
            <w:pPr>
              <w:pStyle w:val="TableTextBullet"/>
            </w:pPr>
            <w:r>
              <w:t>Displays options for processing reagents.</w:t>
            </w:r>
          </w:p>
        </w:tc>
      </w:tr>
      <w:tr w:rsidR="00FE6B9A" w14:paraId="06B4CC97" w14:textId="77777777">
        <w:tc>
          <w:tcPr>
            <w:tcW w:w="3240" w:type="dxa"/>
          </w:tcPr>
          <w:p w14:paraId="11DFFDB4" w14:textId="77777777" w:rsidR="00FE6B9A" w:rsidRDefault="00FE6B9A" w:rsidP="00A65805">
            <w:pPr>
              <w:pStyle w:val="TableTextNumbers"/>
            </w:pPr>
            <w:r>
              <w:t xml:space="preserve">Select </w:t>
            </w:r>
            <w:r>
              <w:rPr>
                <w:b/>
              </w:rPr>
              <w:t>View/Print Inventory</w:t>
            </w:r>
            <w:r>
              <w:t>.</w:t>
            </w:r>
          </w:p>
        </w:tc>
        <w:tc>
          <w:tcPr>
            <w:tcW w:w="6120" w:type="dxa"/>
          </w:tcPr>
          <w:p w14:paraId="59149C16" w14:textId="77777777" w:rsidR="00FE6B9A" w:rsidRDefault="00FE6B9A" w:rsidP="00A65805">
            <w:pPr>
              <w:pStyle w:val="TableTextBullet"/>
            </w:pPr>
            <w:r>
              <w:t xml:space="preserve">Lists </w:t>
            </w:r>
            <w:r w:rsidR="006B2239">
              <w:t>r</w:t>
            </w:r>
            <w:r>
              <w:t xml:space="preserve">eagent </w:t>
            </w:r>
            <w:r w:rsidR="006B2239">
              <w:t>t</w:t>
            </w:r>
            <w:r>
              <w:t>ypes.</w:t>
            </w:r>
          </w:p>
        </w:tc>
      </w:tr>
      <w:tr w:rsidR="00FE6B9A" w14:paraId="3FEFAD77" w14:textId="77777777">
        <w:tc>
          <w:tcPr>
            <w:tcW w:w="3240" w:type="dxa"/>
            <w:tcBorders>
              <w:top w:val="single" w:sz="4" w:space="0" w:color="auto"/>
              <w:left w:val="single" w:sz="4" w:space="0" w:color="auto"/>
              <w:bottom w:val="single" w:sz="4" w:space="0" w:color="auto"/>
              <w:right w:val="single" w:sz="4" w:space="0" w:color="auto"/>
            </w:tcBorders>
          </w:tcPr>
          <w:p w14:paraId="6119731A" w14:textId="77777777" w:rsidR="00FE6B9A" w:rsidRDefault="00FE6B9A" w:rsidP="00A65805">
            <w:pPr>
              <w:pStyle w:val="TableTextNumbers"/>
            </w:pPr>
            <w:r>
              <w:t>Click one or more check boxes in the Reagent Type list to select reagent types.</w:t>
            </w:r>
          </w:p>
        </w:tc>
        <w:tc>
          <w:tcPr>
            <w:tcW w:w="6120" w:type="dxa"/>
            <w:tcBorders>
              <w:top w:val="single" w:sz="4" w:space="0" w:color="auto"/>
              <w:left w:val="single" w:sz="4" w:space="0" w:color="auto"/>
              <w:bottom w:val="single" w:sz="4" w:space="0" w:color="auto"/>
              <w:right w:val="single" w:sz="4" w:space="0" w:color="auto"/>
            </w:tcBorders>
          </w:tcPr>
          <w:p w14:paraId="286199C4" w14:textId="77777777" w:rsidR="00FE6B9A" w:rsidRDefault="00FE6B9A" w:rsidP="00A65805">
            <w:pPr>
              <w:pStyle w:val="TableTextBullet"/>
            </w:pPr>
            <w:r>
              <w:t xml:space="preserve">Displays or allows </w:t>
            </w:r>
            <w:r w:rsidR="006B2239">
              <w:t xml:space="preserve">the </w:t>
            </w:r>
            <w:r>
              <w:t>user to print a report of all current in-date, unsatisfactory, expired reagent inventory and minimum stock levels as a read-only display based on the selection criteria entered:</w:t>
            </w:r>
          </w:p>
          <w:p w14:paraId="4354CE91" w14:textId="77777777" w:rsidR="00FE6B9A" w:rsidRDefault="00FE6B9A" w:rsidP="00A65805">
            <w:pPr>
              <w:pStyle w:val="TableTextBullet1"/>
            </w:pPr>
            <w:r>
              <w:t xml:space="preserve">Reagent </w:t>
            </w:r>
            <w:r w:rsidR="006B2239">
              <w:t>t</w:t>
            </w:r>
            <w:r>
              <w:t>ype</w:t>
            </w:r>
          </w:p>
          <w:p w14:paraId="27856CC4" w14:textId="77777777" w:rsidR="00FE6B9A" w:rsidRDefault="00FE6B9A" w:rsidP="00A65805">
            <w:pPr>
              <w:pStyle w:val="TableTextBullet1"/>
            </w:pPr>
            <w:r>
              <w:t xml:space="preserve">In-date (active) </w:t>
            </w:r>
            <w:r w:rsidR="006B2239">
              <w:t>r</w:t>
            </w:r>
            <w:r>
              <w:t>eagents</w:t>
            </w:r>
          </w:p>
          <w:p w14:paraId="44AA57BF" w14:textId="77777777" w:rsidR="00FE6B9A" w:rsidRDefault="00FE6B9A" w:rsidP="00A65805">
            <w:pPr>
              <w:pStyle w:val="TableTextBullet1"/>
            </w:pPr>
            <w:r>
              <w:t xml:space="preserve">Unsatisfactory </w:t>
            </w:r>
            <w:r w:rsidR="006B2239">
              <w:t>r</w:t>
            </w:r>
            <w:r>
              <w:t>eagents</w:t>
            </w:r>
          </w:p>
          <w:p w14:paraId="55F50B3C" w14:textId="77777777" w:rsidR="00FE6B9A" w:rsidRDefault="00FE6B9A" w:rsidP="00A65805">
            <w:pPr>
              <w:pStyle w:val="TableTextBullet1"/>
            </w:pPr>
            <w:r>
              <w:t xml:space="preserve">Expired (inactive) </w:t>
            </w:r>
            <w:r w:rsidR="006B2239">
              <w:t>r</w:t>
            </w:r>
            <w:r>
              <w:t>eagents</w:t>
            </w:r>
          </w:p>
          <w:p w14:paraId="34BCD643" w14:textId="77777777" w:rsidR="00FE6B9A" w:rsidRDefault="00FE6B9A" w:rsidP="00A65805">
            <w:pPr>
              <w:pStyle w:val="TableTextBullet1"/>
            </w:pPr>
            <w:r>
              <w:t xml:space="preserve">Expiration </w:t>
            </w:r>
            <w:r w:rsidR="006B2239">
              <w:t>d</w:t>
            </w:r>
            <w:r>
              <w:t xml:space="preserve">ate </w:t>
            </w:r>
            <w:r w:rsidR="006B2239">
              <w:t>r</w:t>
            </w:r>
            <w:r>
              <w:t>ange (</w:t>
            </w:r>
            <w:r w:rsidR="006B2239">
              <w:t xml:space="preserve">the </w:t>
            </w:r>
            <w:r>
              <w:t>user enters a date to begin and end the search)</w:t>
            </w:r>
          </w:p>
          <w:p w14:paraId="4B749D88" w14:textId="77777777" w:rsidR="00FE6B9A" w:rsidRDefault="00A517D3" w:rsidP="00A65805">
            <w:pPr>
              <w:pStyle w:val="TableTextBullet1"/>
            </w:pPr>
            <w:r>
              <w:t>Date received</w:t>
            </w:r>
            <w:r w:rsidR="00FE6B9A">
              <w:t xml:space="preserve"> (</w:t>
            </w:r>
            <w:r w:rsidR="006B2239">
              <w:t xml:space="preserve">the </w:t>
            </w:r>
            <w:r w:rsidR="00FE6B9A">
              <w:t>user enters a date to begin and end the search)</w:t>
            </w:r>
          </w:p>
          <w:p w14:paraId="53CC5866" w14:textId="77777777" w:rsidR="00FE6B9A" w:rsidRDefault="00FE6B9A" w:rsidP="00A65805">
            <w:pPr>
              <w:pStyle w:val="TableText"/>
            </w:pPr>
          </w:p>
          <w:p w14:paraId="616833C5" w14:textId="471ED6E9" w:rsidR="00FE6B9A" w:rsidRDefault="00FE6B9A" w:rsidP="00A65805">
            <w:pPr>
              <w:pStyle w:val="TableText"/>
              <w:rPr>
                <w:b/>
                <w:bCs/>
                <w:szCs w:val="18"/>
              </w:rPr>
            </w:pPr>
            <w:r>
              <w:rPr>
                <w:b/>
                <w:bCs/>
                <w:szCs w:val="18"/>
              </w:rPr>
              <w:t>NOTES</w:t>
            </w:r>
          </w:p>
          <w:p w14:paraId="7596E9ED" w14:textId="77777777" w:rsidR="00FE6B9A" w:rsidRDefault="00FE6B9A" w:rsidP="00A65805">
            <w:pPr>
              <w:pStyle w:val="NotesText"/>
            </w:pPr>
          </w:p>
          <w:p w14:paraId="6944DAF5" w14:textId="31970020" w:rsidR="00FE6B9A" w:rsidRDefault="00FE6B9A" w:rsidP="00165119">
            <w:pPr>
              <w:pStyle w:val="NotesText"/>
            </w:pPr>
            <w:r>
              <w:rPr>
                <w:rFonts w:cs="Arial"/>
                <w:vanish/>
              </w:rPr>
              <w:t>BR_</w:t>
            </w:r>
            <w:r w:rsidR="00C8315E">
              <w:rPr>
                <w:rFonts w:cs="Arial"/>
                <w:vanish/>
              </w:rPr>
              <w:t>20.16</w:t>
            </w:r>
            <w:r>
              <w:rPr>
                <w:rFonts w:cs="Arial"/>
                <w:vanish/>
              </w:rPr>
              <w:t xml:space="preserve"> </w:t>
            </w:r>
            <w:bookmarkStart w:id="246" w:name="OLE_LINK11"/>
            <w:bookmarkStart w:id="247" w:name="OLE_LINK12"/>
            <w:r w:rsidR="00C8315E">
              <w:t>VBECS display</w:t>
            </w:r>
            <w:r w:rsidR="005E01BC">
              <w:t>s</w:t>
            </w:r>
            <w:r w:rsidR="00C8315E">
              <w:t xml:space="preserve"> only reagents selected based on search criteria.</w:t>
            </w:r>
            <w:bookmarkEnd w:id="246"/>
            <w:bookmarkEnd w:id="247"/>
          </w:p>
          <w:p w14:paraId="6A6822B8" w14:textId="77777777" w:rsidR="005E01BC" w:rsidRDefault="005E01BC" w:rsidP="00165119">
            <w:pPr>
              <w:pStyle w:val="NotesText"/>
            </w:pPr>
          </w:p>
          <w:p w14:paraId="1AFABB26" w14:textId="0C0BFCC5" w:rsidR="005E01BC" w:rsidRDefault="0055690F" w:rsidP="00165119">
            <w:pPr>
              <w:pStyle w:val="NotesText"/>
              <w:rPr>
                <w:szCs w:val="18"/>
              </w:rPr>
            </w:pPr>
            <w:r w:rsidRPr="0055690F">
              <w:rPr>
                <w:szCs w:val="18"/>
              </w:rPr>
              <w:t>In a multidivi</w:t>
            </w:r>
            <w:r>
              <w:rPr>
                <w:szCs w:val="18"/>
              </w:rPr>
              <w:t xml:space="preserve">sional environment, the </w:t>
            </w:r>
            <w:r w:rsidRPr="0055690F">
              <w:rPr>
                <w:szCs w:val="18"/>
              </w:rPr>
              <w:t>repor</w:t>
            </w:r>
            <w:r w:rsidR="002C71AF">
              <w:rPr>
                <w:szCs w:val="18"/>
              </w:rPr>
              <w:t xml:space="preserve">t for a division will print one </w:t>
            </w:r>
            <w:r w:rsidR="00AE3748">
              <w:rPr>
                <w:szCs w:val="18"/>
              </w:rPr>
              <w:t>line-</w:t>
            </w:r>
            <w:r w:rsidRPr="0055690F">
              <w:rPr>
                <w:szCs w:val="18"/>
              </w:rPr>
              <w:t>item for each division that has set minimum levels for that reagent type.</w:t>
            </w:r>
            <w:r w:rsidR="0002020B">
              <w:rPr>
                <w:szCs w:val="18"/>
              </w:rPr>
              <w:t xml:space="preserve"> </w:t>
            </w:r>
            <w:r w:rsidR="0002020B" w:rsidRPr="0002020B">
              <w:rPr>
                <w:vanish/>
                <w:szCs w:val="18"/>
              </w:rPr>
              <w:t>Defect 209165</w:t>
            </w:r>
          </w:p>
          <w:p w14:paraId="69396FBC" w14:textId="77777777" w:rsidR="00817083" w:rsidRDefault="00817083" w:rsidP="00165119">
            <w:pPr>
              <w:pStyle w:val="NotesText"/>
              <w:rPr>
                <w:szCs w:val="18"/>
              </w:rPr>
            </w:pPr>
          </w:p>
          <w:p w14:paraId="39990F60" w14:textId="16B11285" w:rsidR="00817083" w:rsidRPr="00165119" w:rsidRDefault="00817083" w:rsidP="00165119">
            <w:pPr>
              <w:pStyle w:val="NotesText"/>
              <w:rPr>
                <w:vanish/>
                <w:szCs w:val="18"/>
              </w:rPr>
            </w:pPr>
            <w:r w:rsidRPr="00817083">
              <w:rPr>
                <w:szCs w:val="18"/>
              </w:rPr>
              <w:t>Multiple shipments of the same lot number of a reagent type can cause a discrepancy in the total number available displayed on the</w:t>
            </w:r>
            <w:r w:rsidR="00D14259">
              <w:rPr>
                <w:szCs w:val="18"/>
              </w:rPr>
              <w:t xml:space="preserve"> report. Always r</w:t>
            </w:r>
            <w:r w:rsidR="00D14259" w:rsidRPr="00D14259">
              <w:rPr>
                <w:szCs w:val="18"/>
              </w:rPr>
              <w:t>efer to the most recent entry of a reagent for the number of vials available when the shipment was received.</w:t>
            </w:r>
            <w:r w:rsidR="0002020B">
              <w:rPr>
                <w:szCs w:val="18"/>
              </w:rPr>
              <w:t xml:space="preserve"> </w:t>
            </w:r>
            <w:r w:rsidR="0002020B" w:rsidRPr="0002020B">
              <w:rPr>
                <w:vanish/>
                <w:szCs w:val="18"/>
              </w:rPr>
              <w:t>Defect 209</w:t>
            </w:r>
            <w:r w:rsidR="00963554">
              <w:rPr>
                <w:vanish/>
                <w:szCs w:val="18"/>
              </w:rPr>
              <w:t>531</w:t>
            </w:r>
          </w:p>
        </w:tc>
      </w:tr>
      <w:tr w:rsidR="00FE6B9A" w14:paraId="763C2707" w14:textId="77777777">
        <w:tc>
          <w:tcPr>
            <w:tcW w:w="3240" w:type="dxa"/>
            <w:tcBorders>
              <w:top w:val="single" w:sz="4" w:space="0" w:color="auto"/>
              <w:left w:val="single" w:sz="4" w:space="0" w:color="auto"/>
              <w:bottom w:val="single" w:sz="4" w:space="0" w:color="auto"/>
              <w:right w:val="single" w:sz="4" w:space="0" w:color="auto"/>
            </w:tcBorders>
          </w:tcPr>
          <w:p w14:paraId="68DE9508" w14:textId="3479845B" w:rsidR="00FE6B9A" w:rsidRDefault="000D70D6" w:rsidP="00A65805">
            <w:pPr>
              <w:pStyle w:val="TableTextNumbers"/>
            </w:pPr>
            <w:r>
              <w:t xml:space="preserve">Click </w:t>
            </w:r>
            <w:r w:rsidRPr="000D70D6">
              <w:rPr>
                <w:b/>
              </w:rPr>
              <w:t>OK</w:t>
            </w:r>
            <w:r>
              <w:t xml:space="preserve"> to a</w:t>
            </w:r>
            <w:r w:rsidR="00FE6B9A">
              <w:t>ccept the displayed selection criteria</w:t>
            </w:r>
            <w:r w:rsidR="00686D38">
              <w:t xml:space="preserve"> (</w:t>
            </w:r>
            <w:r w:rsidR="00EE455E">
              <w:t xml:space="preserve">Figure </w:t>
            </w:r>
            <w:r w:rsidR="00EE455E">
              <w:rPr>
                <w:noProof/>
              </w:rPr>
              <w:t>41</w:t>
            </w:r>
            <w:r w:rsidR="00686D38">
              <w:t>)</w:t>
            </w:r>
            <w:r w:rsidR="00FE6B9A">
              <w:t>.</w:t>
            </w:r>
          </w:p>
          <w:p w14:paraId="3E0835D7" w14:textId="77777777" w:rsidR="00FE6B9A" w:rsidRDefault="00FE6B9A" w:rsidP="00A65805">
            <w:pPr>
              <w:pStyle w:val="TableTextNumbers"/>
              <w:numPr>
                <w:ilvl w:val="0"/>
                <w:numId w:val="0"/>
              </w:numPr>
            </w:pPr>
          </w:p>
        </w:tc>
        <w:tc>
          <w:tcPr>
            <w:tcW w:w="6120" w:type="dxa"/>
            <w:tcBorders>
              <w:top w:val="single" w:sz="4" w:space="0" w:color="auto"/>
              <w:left w:val="single" w:sz="4" w:space="0" w:color="auto"/>
              <w:bottom w:val="single" w:sz="4" w:space="0" w:color="auto"/>
              <w:right w:val="single" w:sz="4" w:space="0" w:color="auto"/>
            </w:tcBorders>
          </w:tcPr>
          <w:p w14:paraId="5C063C17" w14:textId="77777777" w:rsidR="00FE6B9A" w:rsidRDefault="00FE6B9A" w:rsidP="00A65805">
            <w:pPr>
              <w:pStyle w:val="TableTextBullet"/>
            </w:pPr>
            <w:r>
              <w:t>Compiles the report and displays an option to print or exit the report.</w:t>
            </w:r>
          </w:p>
        </w:tc>
      </w:tr>
      <w:tr w:rsidR="00FE6B9A" w14:paraId="6E7CCCCC" w14:textId="77777777">
        <w:tc>
          <w:tcPr>
            <w:tcW w:w="3240" w:type="dxa"/>
            <w:tcBorders>
              <w:top w:val="single" w:sz="4" w:space="0" w:color="auto"/>
              <w:left w:val="single" w:sz="4" w:space="0" w:color="auto"/>
              <w:bottom w:val="single" w:sz="4" w:space="0" w:color="auto"/>
              <w:right w:val="single" w:sz="4" w:space="0" w:color="auto"/>
            </w:tcBorders>
          </w:tcPr>
          <w:p w14:paraId="7CB22E3A" w14:textId="77777777" w:rsidR="00FE6B9A" w:rsidRDefault="00FE6B9A" w:rsidP="00A65805">
            <w:pPr>
              <w:pStyle w:val="TableTextNumbers"/>
            </w:pPr>
            <w:r>
              <w:t xml:space="preserve">Click </w:t>
            </w:r>
            <w:r>
              <w:rPr>
                <w:b/>
              </w:rPr>
              <w:t xml:space="preserve">Print </w:t>
            </w:r>
            <w:r>
              <w:t>to print the list of reagents.</w:t>
            </w:r>
          </w:p>
        </w:tc>
        <w:tc>
          <w:tcPr>
            <w:tcW w:w="6120" w:type="dxa"/>
            <w:tcBorders>
              <w:top w:val="single" w:sz="4" w:space="0" w:color="auto"/>
              <w:left w:val="single" w:sz="4" w:space="0" w:color="auto"/>
              <w:bottom w:val="single" w:sz="4" w:space="0" w:color="auto"/>
              <w:right w:val="single" w:sz="4" w:space="0" w:color="auto"/>
            </w:tcBorders>
          </w:tcPr>
          <w:p w14:paraId="5AA45C7B" w14:textId="77777777" w:rsidR="00FE6B9A" w:rsidRDefault="00FE6B9A" w:rsidP="009710F9">
            <w:pPr>
              <w:pStyle w:val="TableTextBullet"/>
            </w:pPr>
            <w:r>
              <w:t>Sends the report to print on the printer selected by the user.</w:t>
            </w:r>
          </w:p>
        </w:tc>
      </w:tr>
      <w:tr w:rsidR="00FE6B9A" w14:paraId="2AB2B3A8" w14:textId="77777777">
        <w:tc>
          <w:tcPr>
            <w:tcW w:w="3240" w:type="dxa"/>
            <w:tcBorders>
              <w:top w:val="single" w:sz="4" w:space="0" w:color="auto"/>
              <w:left w:val="single" w:sz="4" w:space="0" w:color="auto"/>
              <w:bottom w:val="single" w:sz="4" w:space="0" w:color="auto"/>
              <w:right w:val="single" w:sz="4" w:space="0" w:color="auto"/>
            </w:tcBorders>
          </w:tcPr>
          <w:p w14:paraId="44C9A073" w14:textId="77777777" w:rsidR="00FE6B9A" w:rsidRDefault="00FE6B9A" w:rsidP="00A65805">
            <w:pPr>
              <w:pStyle w:val="TableTextNumbers"/>
            </w:pPr>
            <w:r>
              <w:t xml:space="preserve">Print another report or </w:t>
            </w:r>
            <w:r w:rsidR="000D70D6">
              <w:t xml:space="preserve">click </w:t>
            </w:r>
            <w:r w:rsidR="000D70D6" w:rsidRPr="000D70D6">
              <w:rPr>
                <w:b/>
              </w:rPr>
              <w:t>Close</w:t>
            </w:r>
            <w:r w:rsidR="000D70D6">
              <w:t xml:space="preserve"> </w:t>
            </w:r>
            <w:r w:rsidR="005D7E72">
              <w:t xml:space="preserve">to </w:t>
            </w:r>
            <w:r>
              <w:t xml:space="preserve">exit. </w:t>
            </w:r>
            <w:r>
              <w:rPr>
                <w:vanish/>
                <w:color w:val="FFFFFF"/>
                <w:szCs w:val="18"/>
              </w:rPr>
              <w:fldChar w:fldCharType="begin"/>
            </w:r>
            <w:r>
              <w:rPr>
                <w:vanish/>
                <w:color w:val="FFFFFF"/>
                <w:szCs w:val="18"/>
              </w:rPr>
              <w:instrText xml:space="preserve"> LISTNUM \l 1 \s 0 </w:instrText>
            </w:r>
            <w:r>
              <w:rPr>
                <w:vanish/>
                <w:color w:val="FFFFFF"/>
                <w:szCs w:val="18"/>
              </w:rPr>
              <w:fldChar w:fldCharType="end">
                <w:numberingChange w:id="248" w:author="MUSZYNSKI, THOMAS D. (SIERRA 7 INC)" w:date="2024-11-26T07:15:00Z" w:original="0."/>
              </w:fldChar>
            </w:r>
          </w:p>
        </w:tc>
        <w:tc>
          <w:tcPr>
            <w:tcW w:w="6120" w:type="dxa"/>
            <w:tcBorders>
              <w:top w:val="single" w:sz="4" w:space="0" w:color="auto"/>
              <w:left w:val="single" w:sz="4" w:space="0" w:color="auto"/>
              <w:bottom w:val="single" w:sz="4" w:space="0" w:color="auto"/>
              <w:right w:val="single" w:sz="4" w:space="0" w:color="auto"/>
            </w:tcBorders>
          </w:tcPr>
          <w:p w14:paraId="061D3CD0" w14:textId="77777777" w:rsidR="00FE6B9A" w:rsidRDefault="00FE6B9A" w:rsidP="00A65805">
            <w:pPr>
              <w:pStyle w:val="TableText"/>
            </w:pPr>
          </w:p>
        </w:tc>
      </w:tr>
    </w:tbl>
    <w:p w14:paraId="24A3016F" w14:textId="7EFF8288" w:rsidR="00686D38" w:rsidRDefault="00686D38" w:rsidP="00686D38">
      <w:pPr>
        <w:pStyle w:val="Caption"/>
      </w:pPr>
      <w:bookmarkStart w:id="249" w:name="_Ref126550016"/>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7D1829">
        <w:rPr>
          <w:noProof/>
        </w:rPr>
        <w:t>42</w:t>
      </w:r>
      <w:r w:rsidR="004E20BD">
        <w:rPr>
          <w:noProof/>
        </w:rPr>
        <w:fldChar w:fldCharType="end"/>
      </w:r>
      <w:bookmarkEnd w:id="249"/>
      <w:r>
        <w:t xml:space="preserve">: Reagent </w:t>
      </w:r>
      <w:r w:rsidR="006406D8">
        <w:t>Search</w:t>
      </w:r>
    </w:p>
    <w:p w14:paraId="1C7ACB27" w14:textId="77777777" w:rsidR="00307D76" w:rsidRDefault="00057948" w:rsidP="00307D76">
      <w:pPr>
        <w:pStyle w:val="BodyText"/>
      </w:pPr>
      <w:r>
        <w:rPr>
          <w:noProof/>
        </w:rPr>
        <w:drawing>
          <wp:inline distT="0" distB="0" distL="0" distR="0" wp14:anchorId="18FA9AC9" wp14:editId="0AA49529">
            <wp:extent cx="4017645" cy="2872740"/>
            <wp:effectExtent l="0" t="0" r="1905" b="3810"/>
            <wp:docPr id="144" name="Picture 144" descr="Example of Reagent Search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Picture 144" descr="Example of Reagent Search screen capture"/>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4017645" cy="2872740"/>
                    </a:xfrm>
                    <a:prstGeom prst="rect">
                      <a:avLst/>
                    </a:prstGeom>
                    <a:noFill/>
                    <a:ln>
                      <a:noFill/>
                    </a:ln>
                  </pic:spPr>
                </pic:pic>
              </a:graphicData>
            </a:graphic>
          </wp:inline>
        </w:drawing>
      </w:r>
    </w:p>
    <w:p w14:paraId="2DD06A1D" w14:textId="77777777" w:rsidR="00771C65" w:rsidRDefault="00B06E01" w:rsidP="00FD24BA">
      <w:pPr>
        <w:pStyle w:val="Heading4"/>
      </w:pPr>
      <w:r>
        <w:br w:type="page"/>
      </w:r>
      <w:r w:rsidR="005F6016">
        <w:lastRenderedPageBreak/>
        <w:t xml:space="preserve">Maintain Minimum Levels </w:t>
      </w:r>
      <w:r w:rsidR="00771C65">
        <w:fldChar w:fldCharType="begin"/>
      </w:r>
      <w:r w:rsidR="00771C65">
        <w:instrText xml:space="preserve"> XE </w:instrText>
      </w:r>
      <w:r w:rsidR="00FA7E65">
        <w:instrText>“</w:instrText>
      </w:r>
      <w:r w:rsidR="005F6016">
        <w:instrText xml:space="preserve">Maintain Minimum Levels </w:instrText>
      </w:r>
      <w:r w:rsidR="00FA7E65">
        <w:instrText>”</w:instrText>
      </w:r>
      <w:r w:rsidR="00771C65">
        <w:instrText xml:space="preserve"> </w:instrText>
      </w:r>
      <w:r w:rsidR="00771C65">
        <w:fldChar w:fldCharType="end"/>
      </w:r>
      <w:r w:rsidR="00771C65">
        <w:t xml:space="preserve"> </w:t>
      </w:r>
    </w:p>
    <w:p w14:paraId="2F83B74C" w14:textId="77777777" w:rsidR="002A21AE" w:rsidRPr="00CF3293" w:rsidRDefault="00CF3293" w:rsidP="00CF3293">
      <w:pPr>
        <w:pStyle w:val="BodyText"/>
        <w:rPr>
          <w:rFonts w:cs="Arial"/>
          <w:snapToGrid w:val="0"/>
          <w:color w:val="000000"/>
          <w:szCs w:val="18"/>
        </w:rPr>
      </w:pPr>
      <w:r>
        <w:t>The user sets minimum stock levels for reagent types used in the division.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1B61D3" w14:paraId="546AF962" w14:textId="77777777">
        <w:trPr>
          <w:cantSplit/>
          <w:tblHeader/>
        </w:trPr>
        <w:tc>
          <w:tcPr>
            <w:tcW w:w="3240" w:type="dxa"/>
            <w:shd w:val="pct30" w:color="auto" w:fill="FFFFFF"/>
            <w:vAlign w:val="bottom"/>
          </w:tcPr>
          <w:p w14:paraId="6B1BB380" w14:textId="77777777" w:rsidR="001B61D3" w:rsidRDefault="001B61D3" w:rsidP="00A65805">
            <w:pPr>
              <w:pStyle w:val="TableText"/>
              <w:rPr>
                <w:b/>
              </w:rPr>
            </w:pPr>
            <w:r>
              <w:rPr>
                <w:b/>
              </w:rPr>
              <w:t>User Action</w:t>
            </w:r>
          </w:p>
        </w:tc>
        <w:tc>
          <w:tcPr>
            <w:tcW w:w="6120" w:type="dxa"/>
            <w:shd w:val="pct30" w:color="auto" w:fill="FFFFFF"/>
            <w:vAlign w:val="bottom"/>
          </w:tcPr>
          <w:p w14:paraId="20C22DFD" w14:textId="77777777" w:rsidR="001B61D3" w:rsidRDefault="001B61D3" w:rsidP="00A65805">
            <w:pPr>
              <w:pStyle w:val="TableText"/>
              <w:rPr>
                <w:b/>
              </w:rPr>
            </w:pPr>
            <w:r>
              <w:rPr>
                <w:b/>
              </w:rPr>
              <w:t>VBECS</w:t>
            </w:r>
          </w:p>
        </w:tc>
      </w:tr>
      <w:tr w:rsidR="001B61D3" w14:paraId="63CAF148" w14:textId="77777777">
        <w:tc>
          <w:tcPr>
            <w:tcW w:w="3240" w:type="dxa"/>
          </w:tcPr>
          <w:p w14:paraId="26EE0077" w14:textId="77777777" w:rsidR="001B61D3" w:rsidRDefault="001B61D3" w:rsidP="006D628A">
            <w:pPr>
              <w:pStyle w:val="TableTextNumbers"/>
            </w:pPr>
            <w:r>
              <w:t xml:space="preserve">Select </w:t>
            </w:r>
            <w:r>
              <w:rPr>
                <w:b/>
              </w:rPr>
              <w:t>Reagents</w:t>
            </w:r>
            <w:r w:rsidR="006D628A">
              <w:t xml:space="preserve"> from the main menu.</w:t>
            </w:r>
          </w:p>
        </w:tc>
        <w:tc>
          <w:tcPr>
            <w:tcW w:w="6120" w:type="dxa"/>
          </w:tcPr>
          <w:p w14:paraId="1394A33C" w14:textId="77777777" w:rsidR="001B61D3" w:rsidRDefault="001B61D3" w:rsidP="006D628A">
            <w:pPr>
              <w:pStyle w:val="TableTextBullet"/>
            </w:pPr>
            <w:r>
              <w:t>Displays o</w:t>
            </w:r>
            <w:r w:rsidR="006D628A">
              <w:t>ptions for processing reagents.</w:t>
            </w:r>
          </w:p>
          <w:p w14:paraId="4846EBA5" w14:textId="77777777" w:rsidR="001B61D3" w:rsidRDefault="001B61D3" w:rsidP="00A65805">
            <w:pPr>
              <w:pStyle w:val="NotesText"/>
            </w:pPr>
          </w:p>
        </w:tc>
      </w:tr>
      <w:tr w:rsidR="001B61D3" w14:paraId="0FB1F587" w14:textId="77777777">
        <w:tc>
          <w:tcPr>
            <w:tcW w:w="3240" w:type="dxa"/>
            <w:tcBorders>
              <w:top w:val="single" w:sz="4" w:space="0" w:color="auto"/>
              <w:left w:val="single" w:sz="4" w:space="0" w:color="auto"/>
              <w:bottom w:val="single" w:sz="4" w:space="0" w:color="auto"/>
              <w:right w:val="single" w:sz="4" w:space="0" w:color="auto"/>
            </w:tcBorders>
          </w:tcPr>
          <w:p w14:paraId="7B9736E9" w14:textId="77777777" w:rsidR="001B61D3" w:rsidRDefault="001B61D3" w:rsidP="00A65805">
            <w:pPr>
              <w:pStyle w:val="TableTextNumbers"/>
            </w:pPr>
            <w:r>
              <w:t xml:space="preserve">Select </w:t>
            </w:r>
            <w:r>
              <w:rPr>
                <w:b/>
              </w:rPr>
              <w:t>Maintain Minimum Levels</w:t>
            </w:r>
            <w:r>
              <w:rPr>
                <w:rStyle w:val="TableTextNumbersContinuedChar"/>
              </w:rPr>
              <w:t>.</w:t>
            </w:r>
          </w:p>
        </w:tc>
        <w:tc>
          <w:tcPr>
            <w:tcW w:w="6120" w:type="dxa"/>
            <w:tcBorders>
              <w:top w:val="single" w:sz="4" w:space="0" w:color="auto"/>
              <w:left w:val="single" w:sz="4" w:space="0" w:color="auto"/>
              <w:bottom w:val="single" w:sz="4" w:space="0" w:color="auto"/>
              <w:right w:val="single" w:sz="4" w:space="0" w:color="auto"/>
            </w:tcBorders>
          </w:tcPr>
          <w:p w14:paraId="73228E17" w14:textId="77777777" w:rsidR="001B61D3" w:rsidRDefault="001B61D3" w:rsidP="00A65805">
            <w:pPr>
              <w:pStyle w:val="TableTextBullet"/>
            </w:pPr>
            <w:r>
              <w:t>Lists available reagent types and their associated minimum stock levels.</w:t>
            </w:r>
          </w:p>
        </w:tc>
      </w:tr>
      <w:tr w:rsidR="001B61D3" w14:paraId="44362FD3" w14:textId="77777777">
        <w:tc>
          <w:tcPr>
            <w:tcW w:w="3240" w:type="dxa"/>
            <w:tcBorders>
              <w:top w:val="single" w:sz="4" w:space="0" w:color="auto"/>
              <w:left w:val="single" w:sz="4" w:space="0" w:color="auto"/>
              <w:bottom w:val="single" w:sz="4" w:space="0" w:color="auto"/>
              <w:right w:val="single" w:sz="4" w:space="0" w:color="auto"/>
            </w:tcBorders>
          </w:tcPr>
          <w:p w14:paraId="3925088C" w14:textId="77777777" w:rsidR="001B61D3" w:rsidRDefault="001B61D3" w:rsidP="00A65805">
            <w:pPr>
              <w:pStyle w:val="TableTextNumbers"/>
            </w:pPr>
            <w:r>
              <w:t xml:space="preserve">Select a </w:t>
            </w:r>
            <w:r w:rsidRPr="00A96756">
              <w:rPr>
                <w:b/>
              </w:rPr>
              <w:t>Reagent Type</w:t>
            </w:r>
            <w:r>
              <w:t xml:space="preserve"> to edit the minimum level threshold. </w:t>
            </w:r>
          </w:p>
        </w:tc>
        <w:tc>
          <w:tcPr>
            <w:tcW w:w="6120" w:type="dxa"/>
            <w:tcBorders>
              <w:top w:val="single" w:sz="4" w:space="0" w:color="auto"/>
              <w:left w:val="single" w:sz="4" w:space="0" w:color="auto"/>
              <w:bottom w:val="single" w:sz="4" w:space="0" w:color="auto"/>
              <w:right w:val="single" w:sz="4" w:space="0" w:color="auto"/>
            </w:tcBorders>
          </w:tcPr>
          <w:p w14:paraId="5CC5A7CB" w14:textId="77777777" w:rsidR="001B61D3" w:rsidRDefault="006D628A" w:rsidP="00A65805">
            <w:pPr>
              <w:pStyle w:val="TableTextBullet"/>
            </w:pPr>
            <w:r>
              <w:t>Displays the r</w:t>
            </w:r>
            <w:r w:rsidR="001B61D3">
              <w:t xml:space="preserve">eagent </w:t>
            </w:r>
            <w:r>
              <w:t>t</w:t>
            </w:r>
            <w:r w:rsidR="001B61D3">
              <w:t xml:space="preserve">ype selected and allows the user to edit the Minimum Stock Level field or select </w:t>
            </w:r>
            <w:r>
              <w:t>another</w:t>
            </w:r>
            <w:r w:rsidR="001B61D3">
              <w:t xml:space="preserve"> reagent.</w:t>
            </w:r>
          </w:p>
          <w:p w14:paraId="25C2F4C8" w14:textId="77777777" w:rsidR="001B61D3" w:rsidRDefault="001B61D3" w:rsidP="006D628A">
            <w:pPr>
              <w:pStyle w:val="TableText"/>
            </w:pPr>
          </w:p>
          <w:p w14:paraId="433574EC" w14:textId="05278B67" w:rsidR="001B61D3" w:rsidRDefault="001B61D3" w:rsidP="00A65805">
            <w:pPr>
              <w:pStyle w:val="TableText"/>
              <w:rPr>
                <w:b/>
                <w:bCs/>
                <w:szCs w:val="18"/>
              </w:rPr>
            </w:pPr>
            <w:r>
              <w:rPr>
                <w:b/>
                <w:bCs/>
                <w:szCs w:val="18"/>
              </w:rPr>
              <w:t>NOTES</w:t>
            </w:r>
          </w:p>
          <w:p w14:paraId="74D35A86" w14:textId="77777777" w:rsidR="001B61D3" w:rsidRDefault="001B61D3" w:rsidP="00A65805">
            <w:pPr>
              <w:pStyle w:val="NotesText"/>
            </w:pPr>
          </w:p>
          <w:p w14:paraId="6B44A9E2" w14:textId="77777777" w:rsidR="001B61D3" w:rsidRDefault="001B61D3" w:rsidP="006D628A">
            <w:pPr>
              <w:pStyle w:val="NotesText"/>
            </w:pPr>
            <w:r w:rsidRPr="00A96756">
              <w:rPr>
                <w:rFonts w:cs="Arial"/>
              </w:rPr>
              <w:t xml:space="preserve">A minimum inventory level (a whole number from 0 to 999) is set for each reagent type. This is related to the reagent type, independent of manufacturer name and lot numbers. </w:t>
            </w:r>
          </w:p>
        </w:tc>
      </w:tr>
      <w:tr w:rsidR="001B61D3" w14:paraId="653E05BC" w14:textId="77777777">
        <w:tc>
          <w:tcPr>
            <w:tcW w:w="3240" w:type="dxa"/>
            <w:tcBorders>
              <w:top w:val="single" w:sz="4" w:space="0" w:color="auto"/>
              <w:left w:val="single" w:sz="4" w:space="0" w:color="auto"/>
              <w:bottom w:val="single" w:sz="4" w:space="0" w:color="auto"/>
              <w:right w:val="single" w:sz="4" w:space="0" w:color="auto"/>
            </w:tcBorders>
          </w:tcPr>
          <w:p w14:paraId="6DD57AB4" w14:textId="77777777" w:rsidR="001B61D3" w:rsidRDefault="001B61D3" w:rsidP="00A65805">
            <w:pPr>
              <w:pStyle w:val="TableTextNumbers"/>
            </w:pPr>
            <w:r>
              <w:t xml:space="preserve">Enter (or select) a minimum number of vials in the </w:t>
            </w:r>
            <w:r w:rsidRPr="00A96756">
              <w:rPr>
                <w:b/>
              </w:rPr>
              <w:t xml:space="preserve">Minimum Stock </w:t>
            </w:r>
            <w:r>
              <w:rPr>
                <w:b/>
              </w:rPr>
              <w:t>L</w:t>
            </w:r>
            <w:r w:rsidRPr="00A96756">
              <w:rPr>
                <w:b/>
              </w:rPr>
              <w:t>evel</w:t>
            </w:r>
            <w:r>
              <w:t xml:space="preserve"> field.</w:t>
            </w:r>
          </w:p>
        </w:tc>
        <w:tc>
          <w:tcPr>
            <w:tcW w:w="6120" w:type="dxa"/>
            <w:tcBorders>
              <w:top w:val="single" w:sz="4" w:space="0" w:color="auto"/>
              <w:left w:val="single" w:sz="4" w:space="0" w:color="auto"/>
              <w:bottom w:val="single" w:sz="4" w:space="0" w:color="auto"/>
              <w:right w:val="single" w:sz="4" w:space="0" w:color="auto"/>
            </w:tcBorders>
          </w:tcPr>
          <w:p w14:paraId="31D14F6A" w14:textId="77777777" w:rsidR="001B61D3" w:rsidRDefault="001B61D3" w:rsidP="00A65805">
            <w:pPr>
              <w:pStyle w:val="TableTextBullet"/>
            </w:pPr>
            <w:r>
              <w:t>Displays the changes and allows the user to</w:t>
            </w:r>
            <w:r w:rsidR="00BC0E81">
              <w:t xml:space="preserve"> select another reagent to edit.</w:t>
            </w:r>
          </w:p>
          <w:p w14:paraId="45E07172" w14:textId="77777777" w:rsidR="001B61D3" w:rsidRDefault="001B61D3" w:rsidP="00A65805">
            <w:pPr>
              <w:pStyle w:val="TableText"/>
            </w:pPr>
          </w:p>
          <w:p w14:paraId="4E6CF762" w14:textId="591BB154" w:rsidR="001B61D3" w:rsidRDefault="001B61D3" w:rsidP="00A65805">
            <w:pPr>
              <w:pStyle w:val="TableText"/>
              <w:rPr>
                <w:b/>
                <w:bCs/>
                <w:szCs w:val="18"/>
              </w:rPr>
            </w:pPr>
            <w:r>
              <w:rPr>
                <w:b/>
                <w:bCs/>
                <w:szCs w:val="18"/>
              </w:rPr>
              <w:t>NOTES</w:t>
            </w:r>
          </w:p>
          <w:p w14:paraId="455B43B1" w14:textId="77777777" w:rsidR="001B61D3" w:rsidRDefault="001B61D3" w:rsidP="00A65805">
            <w:pPr>
              <w:pStyle w:val="NotesText"/>
            </w:pPr>
          </w:p>
          <w:p w14:paraId="5940B604" w14:textId="77777777" w:rsidR="001B61D3" w:rsidRDefault="001B61D3" w:rsidP="00A65805">
            <w:pPr>
              <w:pStyle w:val="NotesText"/>
            </w:pPr>
            <w:r>
              <w:rPr>
                <w:rFonts w:cs="Arial"/>
                <w:vanish/>
              </w:rPr>
              <w:t xml:space="preserve">BR_20.09 </w:t>
            </w:r>
            <w:r>
              <w:t xml:space="preserve">When the number of vials in stock is at or is less than the stock minimum, VBECS notifies the user and instructs him to check the inventory. </w:t>
            </w:r>
          </w:p>
          <w:p w14:paraId="229393B1" w14:textId="77777777" w:rsidR="001B61D3" w:rsidRDefault="001B61D3" w:rsidP="00A65805">
            <w:pPr>
              <w:pStyle w:val="NotesText"/>
            </w:pPr>
          </w:p>
          <w:p w14:paraId="1295B7C8" w14:textId="77777777" w:rsidR="001B61D3" w:rsidRDefault="001B61D3" w:rsidP="00A65805">
            <w:pPr>
              <w:pStyle w:val="NotesText"/>
            </w:pPr>
            <w:r>
              <w:t>Inventory levels are tied to the reagent type, not to the manufacturer reagent name or the lot number. A particular type may have multiple manufacturer reagent names and multiple lot numbers associated with that manufacturer reagent name, all of which are summed to create the inventory of that reagent type. VBECS tracks the total number of vials in the system for a particular reagent type.</w:t>
            </w:r>
          </w:p>
          <w:p w14:paraId="14B83C44" w14:textId="77777777" w:rsidR="0079067D" w:rsidRDefault="0079067D" w:rsidP="00A65805">
            <w:pPr>
              <w:pStyle w:val="NotesText"/>
            </w:pPr>
          </w:p>
          <w:p w14:paraId="7AECB08D" w14:textId="77777777" w:rsidR="0079067D" w:rsidRDefault="0079067D" w:rsidP="00A65805">
            <w:pPr>
              <w:pStyle w:val="NotesText"/>
            </w:pPr>
            <w:r>
              <w:rPr>
                <w:rFonts w:cs="Arial"/>
                <w:vanish/>
              </w:rPr>
              <w:t xml:space="preserve">BR_58.02 </w:t>
            </w:r>
            <w:r>
              <w:t xml:space="preserve">Each reagent type has one minimum inventory level established regardless of manufacturer name and lot numbers. Valid entries are whole numbers from </w:t>
            </w:r>
            <w:r w:rsidR="00133C70">
              <w:t>0</w:t>
            </w:r>
            <w:r>
              <w:t xml:space="preserve"> to 999.</w:t>
            </w:r>
          </w:p>
        </w:tc>
      </w:tr>
      <w:tr w:rsidR="001B61D3" w14:paraId="566C7653" w14:textId="77777777">
        <w:tc>
          <w:tcPr>
            <w:tcW w:w="3240" w:type="dxa"/>
            <w:tcBorders>
              <w:top w:val="single" w:sz="4" w:space="0" w:color="auto"/>
              <w:left w:val="single" w:sz="4" w:space="0" w:color="auto"/>
              <w:bottom w:val="single" w:sz="4" w:space="0" w:color="auto"/>
              <w:right w:val="single" w:sz="4" w:space="0" w:color="auto"/>
            </w:tcBorders>
          </w:tcPr>
          <w:p w14:paraId="176EE886" w14:textId="78E41AFB" w:rsidR="001B61D3" w:rsidRDefault="001B61D3" w:rsidP="00A65805">
            <w:pPr>
              <w:pStyle w:val="TableTextNumbers"/>
            </w:pPr>
            <w:r>
              <w:t xml:space="preserve">Review the displayed information and click </w:t>
            </w:r>
            <w:r>
              <w:rPr>
                <w:b/>
              </w:rPr>
              <w:t>U</w:t>
            </w:r>
            <w:r w:rsidR="00B31DEA">
              <w:rPr>
                <w:b/>
              </w:rPr>
              <w:t>pdate</w:t>
            </w:r>
            <w:r w:rsidR="00307D76" w:rsidRPr="00307D76">
              <w:t xml:space="preserve"> (</w:t>
            </w:r>
            <w:r w:rsidR="00EE455E">
              <w:t xml:space="preserve">Figure </w:t>
            </w:r>
            <w:r w:rsidR="00EE455E">
              <w:rPr>
                <w:noProof/>
              </w:rPr>
              <w:t>42</w:t>
            </w:r>
            <w:r w:rsidR="00307D76" w:rsidRPr="00307D76">
              <w:t>)</w:t>
            </w:r>
            <w:r>
              <w:t>.</w:t>
            </w:r>
          </w:p>
        </w:tc>
        <w:tc>
          <w:tcPr>
            <w:tcW w:w="6120" w:type="dxa"/>
            <w:tcBorders>
              <w:top w:val="single" w:sz="4" w:space="0" w:color="auto"/>
              <w:left w:val="single" w:sz="4" w:space="0" w:color="auto"/>
              <w:bottom w:val="single" w:sz="4" w:space="0" w:color="auto"/>
              <w:right w:val="single" w:sz="4" w:space="0" w:color="auto"/>
            </w:tcBorders>
          </w:tcPr>
          <w:p w14:paraId="14DB0D63" w14:textId="77777777" w:rsidR="001B61D3" w:rsidRDefault="001B61D3" w:rsidP="00A65805">
            <w:pPr>
              <w:pStyle w:val="TableTextBullet"/>
            </w:pPr>
            <w:r>
              <w:t>Displays the changes and allows the user to select another reagent to edit</w:t>
            </w:r>
            <w:r w:rsidR="002F1731">
              <w:t>.</w:t>
            </w:r>
          </w:p>
          <w:p w14:paraId="329D44FD" w14:textId="77777777" w:rsidR="001B61D3" w:rsidRDefault="001B61D3" w:rsidP="00A65805">
            <w:pPr>
              <w:pStyle w:val="TableTextBullet"/>
            </w:pPr>
            <w:r>
              <w:t xml:space="preserve">Prompts </w:t>
            </w:r>
            <w:r w:rsidR="00B31DEA">
              <w:t>the user to confirm</w:t>
            </w:r>
            <w:r>
              <w:t xml:space="preserve"> the save. </w:t>
            </w:r>
          </w:p>
        </w:tc>
      </w:tr>
      <w:tr w:rsidR="00BE3C21" w14:paraId="386F9E80" w14:textId="77777777">
        <w:tc>
          <w:tcPr>
            <w:tcW w:w="3240" w:type="dxa"/>
            <w:tcBorders>
              <w:top w:val="single" w:sz="4" w:space="0" w:color="auto"/>
              <w:left w:val="single" w:sz="4" w:space="0" w:color="auto"/>
              <w:bottom w:val="single" w:sz="4" w:space="0" w:color="auto"/>
              <w:right w:val="single" w:sz="4" w:space="0" w:color="auto"/>
            </w:tcBorders>
          </w:tcPr>
          <w:p w14:paraId="1A0434E2" w14:textId="5890BA9A" w:rsidR="00BE3C21" w:rsidRDefault="00BE3C21" w:rsidP="004A7373">
            <w:pPr>
              <w:pStyle w:val="TableTextNumbers"/>
            </w:pPr>
            <w:r>
              <w:t>Repeat Steps 3</w:t>
            </w:r>
            <w:r w:rsidR="004F5589">
              <w:t xml:space="preserve"> through </w:t>
            </w:r>
            <w:r>
              <w:t>5 until all minimum reagent levels are set.</w:t>
            </w:r>
          </w:p>
        </w:tc>
        <w:tc>
          <w:tcPr>
            <w:tcW w:w="6120" w:type="dxa"/>
            <w:tcBorders>
              <w:top w:val="single" w:sz="4" w:space="0" w:color="auto"/>
              <w:left w:val="single" w:sz="4" w:space="0" w:color="auto"/>
              <w:bottom w:val="single" w:sz="4" w:space="0" w:color="auto"/>
              <w:right w:val="single" w:sz="4" w:space="0" w:color="auto"/>
            </w:tcBorders>
          </w:tcPr>
          <w:p w14:paraId="2E6D76B4" w14:textId="77777777" w:rsidR="00BE3C21" w:rsidRDefault="00BE3C21" w:rsidP="00BE3C21">
            <w:pPr>
              <w:pStyle w:val="TableText"/>
            </w:pPr>
          </w:p>
        </w:tc>
      </w:tr>
      <w:tr w:rsidR="001B61D3" w14:paraId="51EC770F" w14:textId="77777777">
        <w:tc>
          <w:tcPr>
            <w:tcW w:w="3240" w:type="dxa"/>
            <w:tcBorders>
              <w:top w:val="single" w:sz="4" w:space="0" w:color="auto"/>
              <w:left w:val="single" w:sz="4" w:space="0" w:color="auto"/>
              <w:bottom w:val="single" w:sz="4" w:space="0" w:color="auto"/>
              <w:right w:val="single" w:sz="4" w:space="0" w:color="auto"/>
            </w:tcBorders>
          </w:tcPr>
          <w:p w14:paraId="2D205670" w14:textId="77777777" w:rsidR="001B61D3" w:rsidRDefault="001B61D3" w:rsidP="004A7373">
            <w:pPr>
              <w:pStyle w:val="TableTextNumbers"/>
            </w:pPr>
            <w:r>
              <w:t xml:space="preserve">Click </w:t>
            </w:r>
            <w:r>
              <w:rPr>
                <w:b/>
              </w:rPr>
              <w:t>OK</w:t>
            </w:r>
            <w:r>
              <w:t xml:space="preserve"> to save</w:t>
            </w:r>
            <w:r w:rsidR="004A7373">
              <w:t>,</w:t>
            </w:r>
            <w:r w:rsidR="00B31DEA">
              <w:t xml:space="preserve"> and </w:t>
            </w:r>
            <w:r>
              <w:rPr>
                <w:b/>
              </w:rPr>
              <w:t>Yes</w:t>
            </w:r>
            <w:r>
              <w:t xml:space="preserve"> to confirm the save.</w:t>
            </w:r>
            <w:r w:rsidR="005D6F0D">
              <w:rPr>
                <w:vanish/>
                <w:color w:val="FFFFFF"/>
                <w:szCs w:val="18"/>
              </w:rPr>
              <w:t xml:space="preserve"> </w:t>
            </w:r>
            <w:r w:rsidR="005D6F0D">
              <w:rPr>
                <w:vanish/>
                <w:color w:val="FFFFFF"/>
                <w:szCs w:val="18"/>
              </w:rPr>
              <w:fldChar w:fldCharType="begin"/>
            </w:r>
            <w:r w:rsidR="005D6F0D">
              <w:rPr>
                <w:vanish/>
                <w:color w:val="FFFFFF"/>
                <w:szCs w:val="18"/>
              </w:rPr>
              <w:instrText xml:space="preserve"> LISTNUM \l 1 \s 0 </w:instrText>
            </w:r>
            <w:r w:rsidR="005D6F0D">
              <w:rPr>
                <w:vanish/>
                <w:color w:val="FFFFFF"/>
                <w:szCs w:val="18"/>
              </w:rPr>
              <w:fldChar w:fldCharType="end">
                <w:numberingChange w:id="250" w:author="MUSZYNSKI, THOMAS D. (SIERRA 7 INC)" w:date="2024-11-26T07:15:00Z" w:original="0."/>
              </w:fldChar>
            </w:r>
          </w:p>
        </w:tc>
        <w:tc>
          <w:tcPr>
            <w:tcW w:w="6120" w:type="dxa"/>
            <w:tcBorders>
              <w:top w:val="single" w:sz="4" w:space="0" w:color="auto"/>
              <w:left w:val="single" w:sz="4" w:space="0" w:color="auto"/>
              <w:bottom w:val="single" w:sz="4" w:space="0" w:color="auto"/>
              <w:right w:val="single" w:sz="4" w:space="0" w:color="auto"/>
            </w:tcBorders>
          </w:tcPr>
          <w:p w14:paraId="4CA0DA88" w14:textId="77777777" w:rsidR="001B61D3" w:rsidRDefault="001B61D3" w:rsidP="00A65805">
            <w:pPr>
              <w:pStyle w:val="TableTextBullet"/>
            </w:pPr>
            <w:r>
              <w:t>Saves the record and exits.</w:t>
            </w:r>
          </w:p>
        </w:tc>
      </w:tr>
    </w:tbl>
    <w:p w14:paraId="77A06A9D" w14:textId="062AE229" w:rsidR="00307D76" w:rsidRDefault="00307D76" w:rsidP="00307D76">
      <w:pPr>
        <w:pStyle w:val="Caption"/>
      </w:pPr>
      <w:bookmarkStart w:id="251" w:name="_Ref126550654"/>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7D1829">
        <w:rPr>
          <w:noProof/>
        </w:rPr>
        <w:t>43</w:t>
      </w:r>
      <w:r w:rsidR="004E20BD">
        <w:rPr>
          <w:noProof/>
        </w:rPr>
        <w:fldChar w:fldCharType="end"/>
      </w:r>
      <w:bookmarkEnd w:id="251"/>
      <w:r>
        <w:t>: Maintain Minimum Reagent Levels</w:t>
      </w:r>
    </w:p>
    <w:p w14:paraId="60270604" w14:textId="77777777" w:rsidR="00771C65" w:rsidRDefault="00057948" w:rsidP="00771C65">
      <w:pPr>
        <w:pStyle w:val="BodyText"/>
      </w:pPr>
      <w:r>
        <w:rPr>
          <w:noProof/>
        </w:rPr>
        <w:drawing>
          <wp:inline distT="0" distB="0" distL="0" distR="0" wp14:anchorId="6101395D" wp14:editId="1DB80FA5">
            <wp:extent cx="3417570" cy="3519170"/>
            <wp:effectExtent l="0" t="0" r="0" b="5080"/>
            <wp:docPr id="145" name="Picture 145" descr="Example of Maintain Minimum Reagent Levels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Picture 145" descr="Example of Maintain Minimum Reagent Levels screen capture"/>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3417570" cy="3519170"/>
                    </a:xfrm>
                    <a:prstGeom prst="rect">
                      <a:avLst/>
                    </a:prstGeom>
                    <a:noFill/>
                    <a:ln>
                      <a:noFill/>
                    </a:ln>
                  </pic:spPr>
                </pic:pic>
              </a:graphicData>
            </a:graphic>
          </wp:inline>
        </w:drawing>
      </w:r>
    </w:p>
    <w:p w14:paraId="541EA064" w14:textId="77777777" w:rsidR="002A21AE" w:rsidRDefault="00864906">
      <w:pPr>
        <w:pStyle w:val="Heading3"/>
      </w:pPr>
      <w:r>
        <w:br w:type="page"/>
      </w:r>
      <w:bookmarkStart w:id="252" w:name="_Toc203765877"/>
      <w:r w:rsidR="00FF225E">
        <w:lastRenderedPageBreak/>
        <w:t>Supplies</w:t>
      </w:r>
      <w:bookmarkEnd w:id="252"/>
      <w:r w:rsidR="002A21AE">
        <w:fldChar w:fldCharType="begin"/>
      </w:r>
      <w:r w:rsidR="002A21AE">
        <w:instrText xml:space="preserve"> XE </w:instrText>
      </w:r>
      <w:r w:rsidR="00FA7E65">
        <w:instrText>“</w:instrText>
      </w:r>
      <w:r w:rsidR="00FF225E">
        <w:instrText>Supplies</w:instrText>
      </w:r>
      <w:r w:rsidR="00FA7E65">
        <w:instrText>”</w:instrText>
      </w:r>
      <w:r w:rsidR="002A21AE">
        <w:instrText xml:space="preserve"> </w:instrText>
      </w:r>
      <w:r w:rsidR="002A21AE">
        <w:fldChar w:fldCharType="end"/>
      </w:r>
      <w:r w:rsidR="002A21AE">
        <w:t xml:space="preserve"> </w:t>
      </w:r>
      <w:r w:rsidR="002A21AE">
        <w:rPr>
          <w:rFonts w:ascii="Times New Roman" w:hAnsi="Times New Roman" w:cs="Times New Roman"/>
          <w:b w:val="0"/>
          <w:vanish/>
          <w:sz w:val="22"/>
        </w:rPr>
        <w:t>UC_81</w:t>
      </w:r>
    </w:p>
    <w:p w14:paraId="35FC0D79" w14:textId="77777777" w:rsidR="002A21AE" w:rsidRDefault="002A21AE" w:rsidP="00FA7E65">
      <w:pPr>
        <w:pStyle w:val="BodyText"/>
      </w:pPr>
      <w:r>
        <w:t xml:space="preserve">The user documents the receipt of supplies, and updates and views the supply inventory. </w:t>
      </w:r>
    </w:p>
    <w:p w14:paraId="219D9913" w14:textId="77777777" w:rsidR="002A21AE" w:rsidRDefault="002A21AE">
      <w:pPr>
        <w:pStyle w:val="Heading4"/>
      </w:pPr>
      <w:r>
        <w:t>Assumptions</w:t>
      </w:r>
      <w:r>
        <w:rPr>
          <w:b w:val="0"/>
        </w:rPr>
        <w:t xml:space="preserve"> </w:t>
      </w:r>
    </w:p>
    <w:p w14:paraId="360637A2" w14:textId="77777777" w:rsidR="002A21AE" w:rsidRDefault="002A21AE">
      <w:pPr>
        <w:pStyle w:val="ListBullet"/>
      </w:pPr>
      <w:r>
        <w:rPr>
          <w:rFonts w:ascii="Arial" w:hAnsi="Arial" w:cs="Arial"/>
          <w:vanish/>
          <w:spacing w:val="0"/>
          <w:sz w:val="18"/>
        </w:rPr>
        <w:t xml:space="preserve">BR_81.01 </w:t>
      </w:r>
      <w:r>
        <w:t>A user may maintain supply inventory only in the division logged into.</w:t>
      </w:r>
    </w:p>
    <w:p w14:paraId="27911181" w14:textId="77777777" w:rsidR="002A21AE" w:rsidRDefault="002A21AE">
      <w:pPr>
        <w:pStyle w:val="Heading4"/>
      </w:pPr>
      <w:r>
        <w:t xml:space="preserve">Outcome </w:t>
      </w:r>
    </w:p>
    <w:p w14:paraId="03593891" w14:textId="77777777" w:rsidR="002A21AE" w:rsidRDefault="002A21AE">
      <w:pPr>
        <w:pStyle w:val="ListBullet"/>
      </w:pPr>
      <w:r>
        <w:t>A supply inventory that is accessible only within the division of entry was established.</w:t>
      </w:r>
    </w:p>
    <w:p w14:paraId="21689973" w14:textId="77777777" w:rsidR="00561829" w:rsidRDefault="00561829" w:rsidP="00561829">
      <w:pPr>
        <w:pStyle w:val="ListBullet"/>
      </w:pPr>
      <w:r>
        <w:t>If workload codes are assigned for this process, workload-related data collected as the result of this process are stored for inclusion in Workload Reports.</w:t>
      </w:r>
    </w:p>
    <w:p w14:paraId="10DBB6B8" w14:textId="77777777" w:rsidR="002A21AE" w:rsidRDefault="002A21AE">
      <w:pPr>
        <w:pStyle w:val="Heading4"/>
      </w:pPr>
      <w:r>
        <w:t>Limitations and Restrictions</w:t>
      </w:r>
      <w:r>
        <w:rPr>
          <w:b w:val="0"/>
        </w:rPr>
        <w:t xml:space="preserve"> </w:t>
      </w:r>
    </w:p>
    <w:p w14:paraId="57FD727B" w14:textId="77777777" w:rsidR="002A21AE" w:rsidRDefault="002A21AE">
      <w:pPr>
        <w:pStyle w:val="ListBullet"/>
      </w:pPr>
      <w:r>
        <w:t xml:space="preserve">The division’s modification processes may allow or require the user to select previously entered supplies for association with a blood unit’s modification. An inventory of containers (transfer bags) and sterile </w:t>
      </w:r>
      <w:r w:rsidR="00AD29E0">
        <w:t>connection</w:t>
      </w:r>
      <w:r>
        <w:t xml:space="preserve"> device (SCD) wafers is </w:t>
      </w:r>
      <w:r>
        <w:rPr>
          <w:i/>
        </w:rPr>
        <w:t>required</w:t>
      </w:r>
      <w:r>
        <w:t xml:space="preserve"> for various modification processes. </w:t>
      </w:r>
    </w:p>
    <w:p w14:paraId="311DB705" w14:textId="77777777" w:rsidR="002A21AE" w:rsidRDefault="002A21AE">
      <w:pPr>
        <w:pStyle w:val="ListBullet"/>
      </w:pPr>
      <w:r>
        <w:t>There is no retrospective data entry or user selection for th</w:t>
      </w:r>
      <w:r w:rsidR="00932460">
        <w:t>is</w:t>
      </w:r>
      <w:r>
        <w:t xml:space="preserve"> </w:t>
      </w:r>
      <w:r w:rsidR="00932460">
        <w:t>option</w:t>
      </w:r>
      <w:r>
        <w:t>.</w:t>
      </w:r>
    </w:p>
    <w:p w14:paraId="5C030897" w14:textId="77777777" w:rsidR="0007472F" w:rsidRDefault="0007472F" w:rsidP="0007472F">
      <w:pPr>
        <w:pStyle w:val="ListBullet"/>
      </w:pPr>
      <w:r>
        <w:t>The unsatisfactory portion of a shipment must be recorded individually.</w:t>
      </w:r>
    </w:p>
    <w:p w14:paraId="7B6D7785" w14:textId="77777777" w:rsidR="00A90872" w:rsidRDefault="007F4949">
      <w:pPr>
        <w:pStyle w:val="ListBullet"/>
      </w:pPr>
      <w:r>
        <w:t>Each site must set a standard for recording quantity: it may</w:t>
      </w:r>
      <w:r w:rsidR="00A90872">
        <w:t xml:space="preserve"> </w:t>
      </w:r>
      <w:r>
        <w:t>use</w:t>
      </w:r>
      <w:r w:rsidR="00A90872">
        <w:t xml:space="preserve"> </w:t>
      </w:r>
      <w:r>
        <w:t xml:space="preserve">the number of </w:t>
      </w:r>
      <w:r w:rsidR="009335DA">
        <w:t>case</w:t>
      </w:r>
      <w:r>
        <w:t>s</w:t>
      </w:r>
      <w:r w:rsidR="00A90872">
        <w:t xml:space="preserve"> or the number of units </w:t>
      </w:r>
      <w:r>
        <w:t>within the cases</w:t>
      </w:r>
      <w:r w:rsidR="00A90872">
        <w:t>.</w:t>
      </w:r>
      <w:r>
        <w:t xml:space="preserve"> </w:t>
      </w:r>
    </w:p>
    <w:p w14:paraId="318F3462" w14:textId="77777777" w:rsidR="002A21AE" w:rsidRDefault="002A21AE">
      <w:pPr>
        <w:pStyle w:val="Heading4"/>
      </w:pPr>
      <w:r>
        <w:t xml:space="preserve">Additional Information </w:t>
      </w:r>
    </w:p>
    <w:p w14:paraId="5DD9723C" w14:textId="77777777" w:rsidR="002A21AE" w:rsidRDefault="002A21AE">
      <w:pPr>
        <w:pStyle w:val="ListBullet"/>
      </w:pPr>
      <w:r>
        <w:t xml:space="preserve">Maintaining Blood Bank Equipment (Equipment: Log In Equipment, Equipment: Maintain Equipment) and </w:t>
      </w:r>
      <w:r w:rsidR="005F6016">
        <w:t>Reagents</w:t>
      </w:r>
      <w:r>
        <w:t xml:space="preserve"> (Log In Reagents, Update Inventory, View/Print Inventory</w:t>
      </w:r>
      <w:r w:rsidR="005F6016">
        <w:t>, Maintain Minimum Levels</w:t>
      </w:r>
      <w:r>
        <w:t xml:space="preserve">) accommodate the maintenance of reagents and equipment, respectively. </w:t>
      </w:r>
    </w:p>
    <w:p w14:paraId="7A005171" w14:textId="77777777" w:rsidR="002A21AE" w:rsidRDefault="002A21AE">
      <w:pPr>
        <w:pStyle w:val="ListBullet"/>
      </w:pPr>
      <w:r>
        <w:t xml:space="preserve">VBECS saves the lot number, manufacturer name, and expiration date of supplies used in a unit’s modification process as part of a unit’s modification record when associated during the modification transaction. </w:t>
      </w:r>
    </w:p>
    <w:p w14:paraId="79416099" w14:textId="77777777" w:rsidR="002A21AE" w:rsidRDefault="002A21AE">
      <w:pPr>
        <w:pStyle w:val="ListBullet"/>
      </w:pPr>
      <w:r>
        <w:t>VBECS creates a list of manufacturers as they are entered and makes the list available for selection. Users may not edit entries.</w:t>
      </w:r>
    </w:p>
    <w:p w14:paraId="5C23B3DC" w14:textId="77777777" w:rsidR="002A21AE" w:rsidRDefault="002A21AE">
      <w:pPr>
        <w:pStyle w:val="Heading4"/>
        <w:rPr>
          <w:b w:val="0"/>
        </w:rPr>
      </w:pPr>
      <w:r>
        <w:t>User Roles with Access to This Option</w:t>
      </w:r>
      <w:r>
        <w:rPr>
          <w:b w:val="0"/>
        </w:rPr>
        <w:t xml:space="preserve"> </w:t>
      </w:r>
    </w:p>
    <w:p w14:paraId="60B7D683" w14:textId="77777777" w:rsidR="002A21AE" w:rsidRDefault="00BB1B50">
      <w:pPr>
        <w:pStyle w:val="Roles"/>
        <w:rPr>
          <w:snapToGrid w:val="0"/>
        </w:rPr>
      </w:pPr>
      <w:r>
        <w:t>All users</w:t>
      </w:r>
    </w:p>
    <w:p w14:paraId="07AD4665" w14:textId="77777777" w:rsidR="002A21AE" w:rsidRDefault="002A21AE">
      <w:pPr>
        <w:pStyle w:val="Heading4"/>
      </w:pPr>
      <w:r>
        <w:t>Log in Supplies</w:t>
      </w:r>
      <w:r>
        <w:fldChar w:fldCharType="begin"/>
      </w:r>
      <w:r>
        <w:instrText xml:space="preserve"> XE </w:instrText>
      </w:r>
      <w:r w:rsidR="00FA7E65">
        <w:instrText>“</w:instrText>
      </w:r>
      <w:r>
        <w:instrText>Log in Supplies</w:instrText>
      </w:r>
      <w:r w:rsidR="00FA7E65">
        <w:instrText>”</w:instrText>
      </w:r>
      <w:r>
        <w:instrText xml:space="preserve"> </w:instrText>
      </w:r>
      <w:r>
        <w:fldChar w:fldCharType="end"/>
      </w:r>
      <w:r>
        <w:t xml:space="preserve"> </w:t>
      </w:r>
    </w:p>
    <w:p w14:paraId="1D724C43" w14:textId="77777777" w:rsidR="002A21AE" w:rsidRDefault="00153A27" w:rsidP="00FA7E65">
      <w:pPr>
        <w:pStyle w:val="BodyText"/>
      </w:pPr>
      <w:r>
        <w:t>The</w:t>
      </w:r>
      <w:r w:rsidR="002A21AE">
        <w:t xml:space="preserve"> user records the receipt of specific supplies by type. The supply record includes the date the shipment was received, supply name, lot number, expiration date, manufacturer, and number of items received in a shipment. </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464CFE57" w14:textId="77777777">
        <w:trPr>
          <w:cantSplit/>
          <w:tblHeader/>
        </w:trPr>
        <w:tc>
          <w:tcPr>
            <w:tcW w:w="3240" w:type="dxa"/>
            <w:shd w:val="pct30" w:color="auto" w:fill="FFFFFF"/>
            <w:vAlign w:val="bottom"/>
          </w:tcPr>
          <w:p w14:paraId="44E46953" w14:textId="77777777" w:rsidR="002A21AE" w:rsidRDefault="002A21AE">
            <w:pPr>
              <w:pStyle w:val="TableText"/>
              <w:rPr>
                <w:b/>
              </w:rPr>
            </w:pPr>
            <w:r>
              <w:rPr>
                <w:b/>
              </w:rPr>
              <w:t>User Action</w:t>
            </w:r>
          </w:p>
        </w:tc>
        <w:tc>
          <w:tcPr>
            <w:tcW w:w="6120" w:type="dxa"/>
            <w:shd w:val="pct30" w:color="auto" w:fill="FFFFFF"/>
            <w:vAlign w:val="bottom"/>
          </w:tcPr>
          <w:p w14:paraId="09A97DD5" w14:textId="77777777" w:rsidR="002A21AE" w:rsidRDefault="002A21AE">
            <w:pPr>
              <w:pStyle w:val="TableText"/>
              <w:rPr>
                <w:b/>
              </w:rPr>
            </w:pPr>
            <w:r>
              <w:rPr>
                <w:b/>
              </w:rPr>
              <w:t>VBECS</w:t>
            </w:r>
          </w:p>
        </w:tc>
      </w:tr>
      <w:tr w:rsidR="002A21AE" w14:paraId="29366905" w14:textId="77777777">
        <w:tc>
          <w:tcPr>
            <w:tcW w:w="3240" w:type="dxa"/>
            <w:tcBorders>
              <w:top w:val="single" w:sz="4" w:space="0" w:color="auto"/>
              <w:left w:val="single" w:sz="4" w:space="0" w:color="auto"/>
              <w:bottom w:val="single" w:sz="4" w:space="0" w:color="auto"/>
              <w:right w:val="single" w:sz="4" w:space="0" w:color="auto"/>
            </w:tcBorders>
          </w:tcPr>
          <w:p w14:paraId="12C61EA8" w14:textId="77777777" w:rsidR="002A21AE" w:rsidRDefault="002A21AE">
            <w:pPr>
              <w:pStyle w:val="TableTextNumbers"/>
            </w:pPr>
            <w:r>
              <w:t xml:space="preserve">Select </w:t>
            </w:r>
            <w:r>
              <w:rPr>
                <w:b/>
              </w:rPr>
              <w:t>Tools</w:t>
            </w:r>
            <w:r>
              <w:t xml:space="preserve"> from the main menu.</w:t>
            </w:r>
          </w:p>
          <w:p w14:paraId="5592DEB5" w14:textId="77777777" w:rsidR="002A21AE" w:rsidRDefault="002A21AE">
            <w:pPr>
              <w:pStyle w:val="TableTextNumbersContinued"/>
            </w:pPr>
          </w:p>
          <w:p w14:paraId="7E76B11F" w14:textId="77777777" w:rsidR="002A21AE" w:rsidRDefault="002A21AE">
            <w:pPr>
              <w:pStyle w:val="TableTextNumbersContinued"/>
            </w:pPr>
            <w:r>
              <w:t xml:space="preserve">Select </w:t>
            </w:r>
            <w:r>
              <w:rPr>
                <w:b/>
              </w:rPr>
              <w:t>Supplies</w:t>
            </w:r>
            <w:r>
              <w:t>.</w:t>
            </w:r>
          </w:p>
        </w:tc>
        <w:tc>
          <w:tcPr>
            <w:tcW w:w="6120" w:type="dxa"/>
            <w:tcBorders>
              <w:top w:val="single" w:sz="4" w:space="0" w:color="auto"/>
              <w:left w:val="single" w:sz="4" w:space="0" w:color="auto"/>
              <w:bottom w:val="single" w:sz="4" w:space="0" w:color="auto"/>
              <w:right w:val="single" w:sz="4" w:space="0" w:color="auto"/>
            </w:tcBorders>
          </w:tcPr>
          <w:p w14:paraId="2A75FDA1" w14:textId="77777777" w:rsidR="002A21AE" w:rsidRDefault="002A21AE">
            <w:pPr>
              <w:pStyle w:val="TableTextBullet"/>
            </w:pPr>
            <w:r>
              <w:t xml:space="preserve">Displays options for processing administrative functions. </w:t>
            </w:r>
          </w:p>
          <w:p w14:paraId="0B8FDDA3" w14:textId="77777777" w:rsidR="002A21AE" w:rsidRDefault="002A21AE">
            <w:pPr>
              <w:pStyle w:val="TableTextBullet"/>
            </w:pPr>
            <w:r>
              <w:t>Displays options for processing supplies.</w:t>
            </w:r>
          </w:p>
        </w:tc>
      </w:tr>
      <w:tr w:rsidR="002A21AE" w14:paraId="7203C23B" w14:textId="77777777">
        <w:tc>
          <w:tcPr>
            <w:tcW w:w="3240" w:type="dxa"/>
          </w:tcPr>
          <w:p w14:paraId="27679E23" w14:textId="77777777" w:rsidR="002A21AE" w:rsidRDefault="002A21AE">
            <w:pPr>
              <w:pStyle w:val="TableTextNumbers"/>
            </w:pPr>
            <w:r>
              <w:t xml:space="preserve">Select </w:t>
            </w:r>
            <w:r>
              <w:rPr>
                <w:b/>
              </w:rPr>
              <w:t>Log In Supplies</w:t>
            </w:r>
            <w:r>
              <w:t>.</w:t>
            </w:r>
          </w:p>
        </w:tc>
        <w:tc>
          <w:tcPr>
            <w:tcW w:w="6120" w:type="dxa"/>
          </w:tcPr>
          <w:p w14:paraId="4D2A7CD4" w14:textId="77777777" w:rsidR="002A21AE" w:rsidRDefault="002A21AE">
            <w:pPr>
              <w:pStyle w:val="TableTextBullet"/>
            </w:pPr>
            <w:r>
              <w:t>Displays fields for entering invoice and supply information.</w:t>
            </w:r>
          </w:p>
        </w:tc>
      </w:tr>
      <w:tr w:rsidR="002A21AE" w14:paraId="42D51A75" w14:textId="77777777" w:rsidTr="007E500E">
        <w:trPr>
          <w:cantSplit/>
        </w:trPr>
        <w:tc>
          <w:tcPr>
            <w:tcW w:w="3240" w:type="dxa"/>
            <w:tcBorders>
              <w:top w:val="single" w:sz="4" w:space="0" w:color="auto"/>
              <w:left w:val="single" w:sz="4" w:space="0" w:color="auto"/>
              <w:bottom w:val="single" w:sz="4" w:space="0" w:color="auto"/>
              <w:right w:val="single" w:sz="4" w:space="0" w:color="auto"/>
            </w:tcBorders>
          </w:tcPr>
          <w:p w14:paraId="153F3CE2" w14:textId="77777777" w:rsidR="002A21AE" w:rsidRDefault="002A21AE">
            <w:pPr>
              <w:pStyle w:val="TableTextNumbers"/>
            </w:pPr>
            <w:r>
              <w:lastRenderedPageBreak/>
              <w:t>Invoice Information:</w:t>
            </w:r>
          </w:p>
          <w:p w14:paraId="360F6FDC" w14:textId="77777777" w:rsidR="002A21AE" w:rsidRDefault="002A21AE">
            <w:pPr>
              <w:pStyle w:val="TableTextNumbersContinued"/>
              <w:rPr>
                <w:b/>
                <w:bCs/>
              </w:rPr>
            </w:pPr>
          </w:p>
          <w:p w14:paraId="094328E3" w14:textId="77777777" w:rsidR="002A21AE" w:rsidRDefault="002A21AE">
            <w:pPr>
              <w:pStyle w:val="TableTextNumbersContinued"/>
            </w:pPr>
            <w:r>
              <w:t>Enter the invoice number in the Invoice Number field.</w:t>
            </w:r>
          </w:p>
          <w:p w14:paraId="70843765" w14:textId="77777777" w:rsidR="002A21AE" w:rsidRDefault="002A21AE">
            <w:pPr>
              <w:pStyle w:val="TableTextNumbersContinued"/>
            </w:pPr>
          </w:p>
          <w:p w14:paraId="1B4E20F8" w14:textId="77777777" w:rsidR="002A21AE" w:rsidRDefault="002A21AE">
            <w:pPr>
              <w:pStyle w:val="TableTextNumbersContinued"/>
            </w:pPr>
            <w:r>
              <w:t>Select or edit the date and time in the Date Received field</w:t>
            </w:r>
            <w:r w:rsidR="00FB4E58">
              <w:t>.</w:t>
            </w:r>
          </w:p>
          <w:p w14:paraId="1F538690" w14:textId="77777777" w:rsidR="002A21AE" w:rsidRDefault="002A21AE">
            <w:pPr>
              <w:pStyle w:val="TableTextNumbersContinued"/>
            </w:pPr>
          </w:p>
          <w:p w14:paraId="625E0C31" w14:textId="77777777" w:rsidR="002A21AE" w:rsidRDefault="002A21AE">
            <w:pPr>
              <w:pStyle w:val="TableTextNumbersContinued"/>
            </w:pPr>
            <w:r>
              <w:t>Enter the name of the manufacturer in the Manufacturer field, or select a name from the drop-down list.</w:t>
            </w:r>
          </w:p>
        </w:tc>
        <w:tc>
          <w:tcPr>
            <w:tcW w:w="6120" w:type="dxa"/>
            <w:tcBorders>
              <w:top w:val="single" w:sz="4" w:space="0" w:color="auto"/>
              <w:left w:val="single" w:sz="4" w:space="0" w:color="auto"/>
              <w:bottom w:val="single" w:sz="4" w:space="0" w:color="auto"/>
              <w:right w:val="single" w:sz="4" w:space="0" w:color="auto"/>
            </w:tcBorders>
          </w:tcPr>
          <w:p w14:paraId="4D069163" w14:textId="77777777" w:rsidR="002A21AE" w:rsidRDefault="002A21AE">
            <w:pPr>
              <w:pStyle w:val="TableText"/>
            </w:pPr>
          </w:p>
          <w:p w14:paraId="100457C9" w14:textId="166EC53A" w:rsidR="002A21AE" w:rsidRDefault="002A21AE">
            <w:pPr>
              <w:pStyle w:val="TableText"/>
              <w:rPr>
                <w:b/>
                <w:bCs/>
                <w:szCs w:val="18"/>
              </w:rPr>
            </w:pPr>
            <w:r>
              <w:rPr>
                <w:b/>
                <w:bCs/>
                <w:szCs w:val="18"/>
              </w:rPr>
              <w:t>NOTES</w:t>
            </w:r>
          </w:p>
          <w:p w14:paraId="11A8852D" w14:textId="77777777" w:rsidR="002A21AE" w:rsidRDefault="002A21AE">
            <w:pPr>
              <w:pStyle w:val="NotesText"/>
            </w:pPr>
          </w:p>
          <w:p w14:paraId="0909C9F2" w14:textId="77777777" w:rsidR="002A21AE" w:rsidRDefault="002A21AE">
            <w:pPr>
              <w:pStyle w:val="NotesText"/>
            </w:pPr>
            <w:r>
              <w:rPr>
                <w:rFonts w:cs="Arial"/>
                <w:vanish/>
              </w:rPr>
              <w:t xml:space="preserve">BR_81.10 </w:t>
            </w:r>
            <w:r>
              <w:t xml:space="preserve">More than one technologist at a time may process a large shipment of supplies; only one technologist at a time may process individual supplies in the shipment. </w:t>
            </w:r>
          </w:p>
          <w:p w14:paraId="5794FE0A" w14:textId="77777777" w:rsidR="002A21AE" w:rsidRDefault="002A21AE">
            <w:pPr>
              <w:pStyle w:val="NotesText"/>
            </w:pPr>
          </w:p>
          <w:p w14:paraId="09E29729" w14:textId="77777777" w:rsidR="002A21AE" w:rsidRDefault="002A21AE">
            <w:pPr>
              <w:pStyle w:val="NotesText"/>
            </w:pPr>
            <w:r>
              <w:rPr>
                <w:rFonts w:cs="Arial"/>
                <w:vanish/>
              </w:rPr>
              <w:t xml:space="preserve">BR_20.01 </w:t>
            </w:r>
            <w:r>
              <w:t>The default date received is the current date and time. The user may edit it to a past date and time only.</w:t>
            </w:r>
          </w:p>
          <w:p w14:paraId="54CDA4FC" w14:textId="77777777" w:rsidR="002A21AE" w:rsidRDefault="002A21AE">
            <w:pPr>
              <w:pStyle w:val="NotesText"/>
            </w:pPr>
          </w:p>
          <w:p w14:paraId="703F2E03" w14:textId="77777777" w:rsidR="002A21AE" w:rsidRDefault="002A21AE">
            <w:pPr>
              <w:pStyle w:val="NotesText"/>
            </w:pPr>
            <w:r>
              <w:rPr>
                <w:rFonts w:cs="Arial"/>
                <w:vanish/>
              </w:rPr>
              <w:t xml:space="preserve">BR_81.07 </w:t>
            </w:r>
            <w:r>
              <w:t xml:space="preserve">When the supply type and lot number were already entered for this invoice, VBECS </w:t>
            </w:r>
            <w:r>
              <w:rPr>
                <w:noProof/>
              </w:rPr>
              <w:t>warns that the user is</w:t>
            </w:r>
            <w:r>
              <w:t xml:space="preserve"> trying to enter </w:t>
            </w:r>
            <w:r w:rsidR="001017A2">
              <w:t xml:space="preserve">a </w:t>
            </w:r>
            <w:r>
              <w:t xml:space="preserve">supply that was already logged into the system for this invoice. </w:t>
            </w:r>
            <w:r>
              <w:rPr>
                <w:b/>
              </w:rPr>
              <w:t>Yes</w:t>
            </w:r>
            <w:r>
              <w:t xml:space="preserve"> takes the user to the </w:t>
            </w:r>
            <w:r w:rsidR="00FA7E65">
              <w:t>“</w:t>
            </w:r>
            <w:r>
              <w:t>Update Supply Inventory</w:t>
            </w:r>
            <w:r w:rsidR="00FA7E65">
              <w:t>”</w:t>
            </w:r>
            <w:r>
              <w:t xml:space="preserve"> screen where VBECS displays the supply type and lot number for update. </w:t>
            </w:r>
            <w:r>
              <w:rPr>
                <w:b/>
              </w:rPr>
              <w:t>No</w:t>
            </w:r>
            <w:r>
              <w:t xml:space="preserve"> clears all fields on the screen, allowing the user to log in another supply. </w:t>
            </w:r>
          </w:p>
        </w:tc>
      </w:tr>
      <w:tr w:rsidR="002A21AE" w14:paraId="2847B64B" w14:textId="77777777">
        <w:tc>
          <w:tcPr>
            <w:tcW w:w="3240" w:type="dxa"/>
            <w:tcBorders>
              <w:top w:val="single" w:sz="4" w:space="0" w:color="auto"/>
              <w:left w:val="single" w:sz="4" w:space="0" w:color="auto"/>
              <w:bottom w:val="single" w:sz="4" w:space="0" w:color="auto"/>
              <w:right w:val="single" w:sz="4" w:space="0" w:color="auto"/>
            </w:tcBorders>
          </w:tcPr>
          <w:p w14:paraId="0464CD9A" w14:textId="77777777" w:rsidR="002A21AE" w:rsidRDefault="002A21AE">
            <w:pPr>
              <w:pStyle w:val="TableTextNumbers"/>
            </w:pPr>
            <w:r>
              <w:t>Supply Information:</w:t>
            </w:r>
          </w:p>
          <w:p w14:paraId="2A305148" w14:textId="77777777" w:rsidR="002A21AE" w:rsidRDefault="002A21AE">
            <w:pPr>
              <w:pStyle w:val="TableTextNumbersContinued"/>
              <w:rPr>
                <w:b/>
                <w:bCs/>
              </w:rPr>
            </w:pPr>
          </w:p>
          <w:p w14:paraId="1AAB03CF" w14:textId="77777777" w:rsidR="002A21AE" w:rsidRDefault="002A21AE">
            <w:pPr>
              <w:pStyle w:val="TableTextNumbersContinued"/>
            </w:pPr>
            <w:r>
              <w:t>Enter the name of the manufacturer and supply type in the Manufacturer and Supply Type fields, or select from the drop-down lists.</w:t>
            </w:r>
          </w:p>
          <w:p w14:paraId="2DBDEF12" w14:textId="77777777" w:rsidR="002A21AE" w:rsidRDefault="002A21AE">
            <w:pPr>
              <w:pStyle w:val="TableTextNumbersContinued"/>
            </w:pPr>
          </w:p>
          <w:p w14:paraId="6A895B54" w14:textId="77777777" w:rsidR="002A21AE" w:rsidRDefault="002A21AE">
            <w:pPr>
              <w:pStyle w:val="TableTextNumbersContinued"/>
            </w:pPr>
            <w:r>
              <w:t>Enter the lot number in the Lot Number field.</w:t>
            </w:r>
          </w:p>
          <w:p w14:paraId="3281A4E5" w14:textId="77777777" w:rsidR="002A21AE" w:rsidRDefault="002A21AE">
            <w:pPr>
              <w:pStyle w:val="TableTextNumbersContinued"/>
            </w:pPr>
          </w:p>
          <w:p w14:paraId="329FB6F0" w14:textId="77777777" w:rsidR="002A21AE" w:rsidRDefault="002A21AE">
            <w:pPr>
              <w:pStyle w:val="TableTextNumbersContinued"/>
            </w:pPr>
            <w:r>
              <w:t>Select or edit the date and time in the Lot Expiration Date field.</w:t>
            </w:r>
          </w:p>
          <w:p w14:paraId="3439F58C" w14:textId="77777777" w:rsidR="002A21AE" w:rsidRDefault="002A21AE">
            <w:pPr>
              <w:pStyle w:val="TableTextNumbersContinued"/>
            </w:pPr>
          </w:p>
          <w:p w14:paraId="2E8DC5F7" w14:textId="77777777" w:rsidR="002A21AE" w:rsidRDefault="002A21AE">
            <w:pPr>
              <w:pStyle w:val="TableTextNumbersContinued"/>
            </w:pPr>
            <w:r>
              <w:t>Enter (or select) a quantity (1–999) in the Quantity Received field.</w:t>
            </w:r>
          </w:p>
        </w:tc>
        <w:tc>
          <w:tcPr>
            <w:tcW w:w="6120" w:type="dxa"/>
            <w:tcBorders>
              <w:top w:val="single" w:sz="4" w:space="0" w:color="auto"/>
              <w:left w:val="single" w:sz="4" w:space="0" w:color="auto"/>
              <w:bottom w:val="single" w:sz="4" w:space="0" w:color="auto"/>
              <w:right w:val="single" w:sz="4" w:space="0" w:color="auto"/>
            </w:tcBorders>
          </w:tcPr>
          <w:p w14:paraId="0FF060DC" w14:textId="77777777" w:rsidR="002A21AE" w:rsidRDefault="002A21AE">
            <w:pPr>
              <w:pStyle w:val="TableText"/>
              <w:rPr>
                <w:b/>
                <w:bCs/>
                <w:szCs w:val="18"/>
              </w:rPr>
            </w:pPr>
          </w:p>
          <w:p w14:paraId="13C0A061" w14:textId="3290F027" w:rsidR="002A21AE" w:rsidRDefault="002A21AE">
            <w:pPr>
              <w:pStyle w:val="TableText"/>
              <w:rPr>
                <w:b/>
                <w:bCs/>
                <w:szCs w:val="18"/>
              </w:rPr>
            </w:pPr>
            <w:r>
              <w:rPr>
                <w:b/>
                <w:bCs/>
                <w:szCs w:val="18"/>
              </w:rPr>
              <w:t>NOTES</w:t>
            </w:r>
          </w:p>
          <w:p w14:paraId="5FD57583" w14:textId="77777777" w:rsidR="002A21AE" w:rsidRDefault="002A21AE">
            <w:pPr>
              <w:pStyle w:val="NotesText"/>
            </w:pPr>
          </w:p>
          <w:p w14:paraId="1B0A1F59" w14:textId="77777777" w:rsidR="002A21AE" w:rsidRDefault="002A21AE">
            <w:pPr>
              <w:pStyle w:val="NotesText"/>
            </w:pPr>
            <w:r>
              <w:t>The default lot expiration date is one minute before midnight (23:59) of the current date.</w:t>
            </w:r>
          </w:p>
          <w:p w14:paraId="6E615D5D" w14:textId="77777777" w:rsidR="002A21AE" w:rsidRDefault="002A21AE">
            <w:pPr>
              <w:pStyle w:val="TableText"/>
            </w:pPr>
          </w:p>
        </w:tc>
      </w:tr>
      <w:tr w:rsidR="002A21AE" w14:paraId="0C00DEB5" w14:textId="77777777">
        <w:tc>
          <w:tcPr>
            <w:tcW w:w="3240" w:type="dxa"/>
            <w:tcBorders>
              <w:top w:val="single" w:sz="4" w:space="0" w:color="auto"/>
              <w:left w:val="single" w:sz="4" w:space="0" w:color="auto"/>
              <w:bottom w:val="single" w:sz="4" w:space="0" w:color="auto"/>
              <w:right w:val="single" w:sz="4" w:space="0" w:color="auto"/>
            </w:tcBorders>
          </w:tcPr>
          <w:p w14:paraId="62291850" w14:textId="77777777" w:rsidR="002A21AE" w:rsidRDefault="002A21AE">
            <w:pPr>
              <w:pStyle w:val="TableTextNumbers"/>
            </w:pPr>
            <w:r>
              <w:t>Visual Inspection Information:</w:t>
            </w:r>
          </w:p>
          <w:p w14:paraId="5D969053" w14:textId="77777777" w:rsidR="002A21AE" w:rsidRDefault="002A21AE">
            <w:pPr>
              <w:pStyle w:val="TableTextNumbersContinued"/>
              <w:rPr>
                <w:b/>
                <w:bCs/>
              </w:rPr>
            </w:pPr>
          </w:p>
          <w:p w14:paraId="742BA321" w14:textId="77777777" w:rsidR="002A21AE" w:rsidRDefault="002A21AE">
            <w:pPr>
              <w:pStyle w:val="TableTextNumbersContinued"/>
            </w:pPr>
            <w:r>
              <w:t xml:space="preserve">Click the </w:t>
            </w:r>
            <w:r>
              <w:rPr>
                <w:b/>
              </w:rPr>
              <w:t xml:space="preserve">Satisfactory </w:t>
            </w:r>
            <w:r w:rsidRPr="00BF2E41">
              <w:t>radio button</w:t>
            </w:r>
            <w:r>
              <w:t xml:space="preserve">, or click the </w:t>
            </w:r>
            <w:r>
              <w:rPr>
                <w:b/>
              </w:rPr>
              <w:t xml:space="preserve">Unsatisfactory </w:t>
            </w:r>
            <w:r w:rsidRPr="00BF2E41">
              <w:t>radio button</w:t>
            </w:r>
            <w:r>
              <w:t xml:space="preserve"> and select a comment from the drop-down list in the Comment field.</w:t>
            </w:r>
          </w:p>
          <w:p w14:paraId="491E272B" w14:textId="77777777" w:rsidR="002A21AE" w:rsidRDefault="002A21AE">
            <w:pPr>
              <w:pStyle w:val="TableTextNumbersContinued"/>
            </w:pPr>
          </w:p>
          <w:p w14:paraId="24D171F7" w14:textId="77B534B4" w:rsidR="002A21AE" w:rsidRDefault="002A21AE">
            <w:pPr>
              <w:pStyle w:val="TableTextNumbersContinued"/>
            </w:pPr>
            <w:r>
              <w:t xml:space="preserve">Click </w:t>
            </w:r>
            <w:r>
              <w:rPr>
                <w:b/>
              </w:rPr>
              <w:t>Add</w:t>
            </w:r>
            <w:r>
              <w:t xml:space="preserve"> to add the supplies to the inventory list</w:t>
            </w:r>
            <w:r w:rsidR="00FD24BA">
              <w:t xml:space="preserve"> (</w:t>
            </w:r>
            <w:r w:rsidR="00EE455E">
              <w:t xml:space="preserve">Figure </w:t>
            </w:r>
            <w:r w:rsidR="00EE455E">
              <w:rPr>
                <w:noProof/>
              </w:rPr>
              <w:t>43</w:t>
            </w:r>
            <w:r w:rsidR="00FD24BA">
              <w:t>)</w:t>
            </w:r>
            <w:r>
              <w:t>.</w:t>
            </w:r>
          </w:p>
        </w:tc>
        <w:tc>
          <w:tcPr>
            <w:tcW w:w="6120" w:type="dxa"/>
            <w:tcBorders>
              <w:top w:val="single" w:sz="4" w:space="0" w:color="auto"/>
              <w:left w:val="single" w:sz="4" w:space="0" w:color="auto"/>
              <w:bottom w:val="single" w:sz="4" w:space="0" w:color="auto"/>
              <w:right w:val="single" w:sz="4" w:space="0" w:color="auto"/>
            </w:tcBorders>
          </w:tcPr>
          <w:p w14:paraId="120DE64D" w14:textId="77777777" w:rsidR="002A21AE" w:rsidRDefault="002A21AE">
            <w:pPr>
              <w:pStyle w:val="TableText"/>
              <w:rPr>
                <w:b/>
                <w:bCs/>
                <w:szCs w:val="18"/>
              </w:rPr>
            </w:pPr>
          </w:p>
          <w:p w14:paraId="3A48DC15" w14:textId="7D59D6D7" w:rsidR="002A21AE" w:rsidRDefault="002A21AE">
            <w:pPr>
              <w:pStyle w:val="TableText"/>
              <w:rPr>
                <w:b/>
                <w:bCs/>
                <w:szCs w:val="18"/>
              </w:rPr>
            </w:pPr>
            <w:r>
              <w:rPr>
                <w:b/>
                <w:bCs/>
                <w:szCs w:val="18"/>
              </w:rPr>
              <w:t>NOTES</w:t>
            </w:r>
          </w:p>
          <w:p w14:paraId="182FEFBE" w14:textId="77777777" w:rsidR="002A21AE" w:rsidRDefault="002A21AE">
            <w:pPr>
              <w:pStyle w:val="NotesText"/>
            </w:pPr>
          </w:p>
          <w:p w14:paraId="020D04E6" w14:textId="77777777" w:rsidR="002A21AE" w:rsidRDefault="002A21AE">
            <w:pPr>
              <w:pStyle w:val="NotesText"/>
            </w:pPr>
            <w:r>
              <w:t xml:space="preserve">Satisfactory inventory is available for later selection, unsatisfactory inventory </w:t>
            </w:r>
            <w:r w:rsidR="001017A2">
              <w:t xml:space="preserve">is </w:t>
            </w:r>
            <w:r>
              <w:t>not.</w:t>
            </w:r>
          </w:p>
          <w:p w14:paraId="488199DC" w14:textId="77777777" w:rsidR="002A21AE" w:rsidRDefault="002A21AE">
            <w:pPr>
              <w:pStyle w:val="NotesText"/>
            </w:pPr>
          </w:p>
          <w:p w14:paraId="2EF87081" w14:textId="77777777" w:rsidR="002A21AE" w:rsidRDefault="002A21AE">
            <w:pPr>
              <w:pStyle w:val="NotesText"/>
            </w:pPr>
            <w:r>
              <w:t>When a user selects Other from the drop-down list in the Comment field, entry of additional text in the Details field is required.</w:t>
            </w:r>
          </w:p>
        </w:tc>
      </w:tr>
      <w:tr w:rsidR="002A21AE" w14:paraId="305F07D3" w14:textId="77777777">
        <w:tc>
          <w:tcPr>
            <w:tcW w:w="3240" w:type="dxa"/>
            <w:tcBorders>
              <w:top w:val="single" w:sz="4" w:space="0" w:color="auto"/>
              <w:left w:val="single" w:sz="4" w:space="0" w:color="auto"/>
              <w:bottom w:val="single" w:sz="4" w:space="0" w:color="auto"/>
              <w:right w:val="single" w:sz="4" w:space="0" w:color="auto"/>
            </w:tcBorders>
          </w:tcPr>
          <w:p w14:paraId="186C7111" w14:textId="099303B9" w:rsidR="002A21AE" w:rsidRDefault="002A21AE">
            <w:pPr>
              <w:pStyle w:val="TableTextNumbers"/>
            </w:pPr>
            <w:r>
              <w:t>Repeat Steps 3</w:t>
            </w:r>
            <w:r w:rsidR="004F5589">
              <w:t xml:space="preserve"> through </w:t>
            </w:r>
            <w:r>
              <w:t>5 to log in more supplies, as desired.</w:t>
            </w:r>
          </w:p>
        </w:tc>
        <w:tc>
          <w:tcPr>
            <w:tcW w:w="6120" w:type="dxa"/>
            <w:tcBorders>
              <w:top w:val="single" w:sz="4" w:space="0" w:color="auto"/>
              <w:left w:val="single" w:sz="4" w:space="0" w:color="auto"/>
              <w:bottom w:val="single" w:sz="4" w:space="0" w:color="auto"/>
              <w:right w:val="single" w:sz="4" w:space="0" w:color="auto"/>
            </w:tcBorders>
          </w:tcPr>
          <w:p w14:paraId="133A4C34" w14:textId="77777777" w:rsidR="002A21AE" w:rsidRDefault="002A21AE">
            <w:pPr>
              <w:pStyle w:val="TableText"/>
              <w:rPr>
                <w:b/>
                <w:bCs/>
                <w:szCs w:val="18"/>
              </w:rPr>
            </w:pPr>
          </w:p>
          <w:p w14:paraId="3E8A351E" w14:textId="7A93EBAA" w:rsidR="002A21AE" w:rsidRDefault="002A21AE">
            <w:pPr>
              <w:pStyle w:val="TableText"/>
              <w:rPr>
                <w:b/>
                <w:bCs/>
                <w:szCs w:val="18"/>
              </w:rPr>
            </w:pPr>
            <w:r>
              <w:rPr>
                <w:b/>
                <w:bCs/>
                <w:szCs w:val="18"/>
              </w:rPr>
              <w:t>NOTES</w:t>
            </w:r>
          </w:p>
          <w:p w14:paraId="57248BA6" w14:textId="77777777" w:rsidR="002A21AE" w:rsidRDefault="002A21AE">
            <w:pPr>
              <w:pStyle w:val="NotesText"/>
            </w:pPr>
          </w:p>
          <w:p w14:paraId="300E51A6" w14:textId="77777777" w:rsidR="002A21AE" w:rsidRDefault="002A21AE">
            <w:pPr>
              <w:pStyle w:val="NotesText"/>
            </w:pPr>
            <w:r>
              <w:rPr>
                <w:rFonts w:cs="Arial"/>
                <w:vanish/>
              </w:rPr>
              <w:t xml:space="preserve">BR_81.03 </w:t>
            </w:r>
            <w:r>
              <w:t xml:space="preserve">Click </w:t>
            </w:r>
            <w:r>
              <w:rPr>
                <w:b/>
              </w:rPr>
              <w:t>Clear</w:t>
            </w:r>
            <w:r>
              <w:t xml:space="preserve"> to clear all but the Invoice Number, Date Received, Manufacturer, and Lot Expiration Date fields.</w:t>
            </w:r>
          </w:p>
        </w:tc>
      </w:tr>
      <w:tr w:rsidR="002A21AE" w14:paraId="4F64DF1B" w14:textId="77777777">
        <w:tc>
          <w:tcPr>
            <w:tcW w:w="3240" w:type="dxa"/>
            <w:tcBorders>
              <w:top w:val="single" w:sz="4" w:space="0" w:color="auto"/>
              <w:left w:val="single" w:sz="4" w:space="0" w:color="auto"/>
              <w:bottom w:val="single" w:sz="4" w:space="0" w:color="auto"/>
              <w:right w:val="single" w:sz="4" w:space="0" w:color="auto"/>
            </w:tcBorders>
          </w:tcPr>
          <w:p w14:paraId="48BBFE2C" w14:textId="77777777" w:rsidR="002A21AE" w:rsidRDefault="002A21AE">
            <w:pPr>
              <w:pStyle w:val="TableTextNumbers"/>
            </w:pPr>
            <w:r>
              <w:t xml:space="preserve">Click </w:t>
            </w:r>
            <w:r>
              <w:rPr>
                <w:b/>
              </w:rPr>
              <w:t>OK</w:t>
            </w:r>
            <w:r>
              <w:t xml:space="preserve"> to save.</w:t>
            </w:r>
          </w:p>
          <w:p w14:paraId="6F12B3A0" w14:textId="77777777" w:rsidR="002A21AE" w:rsidRDefault="002A21AE">
            <w:pPr>
              <w:pStyle w:val="TableTextNumbersContinued"/>
              <w:rPr>
                <w:b/>
                <w:bCs/>
              </w:rPr>
            </w:pPr>
          </w:p>
          <w:p w14:paraId="3B81F291" w14:textId="77777777" w:rsidR="002A21AE" w:rsidRDefault="002A21AE">
            <w:pPr>
              <w:pStyle w:val="TableTextNumbersContinued"/>
              <w:rPr>
                <w:b/>
                <w:bCs/>
              </w:rPr>
            </w:pPr>
            <w:r>
              <w:rPr>
                <w:bCs/>
              </w:rPr>
              <w:t>Clic</w:t>
            </w:r>
            <w:r>
              <w:t xml:space="preserve">k </w:t>
            </w:r>
            <w:r>
              <w:rPr>
                <w:b/>
              </w:rPr>
              <w:t>Yes</w:t>
            </w:r>
            <w:r>
              <w:t xml:space="preserve"> to confirm the save and exit</w:t>
            </w:r>
            <w:r>
              <w:rPr>
                <w:bCs/>
              </w:rPr>
              <w:t>.</w:t>
            </w:r>
            <w:r>
              <w:rPr>
                <w:b/>
                <w:bCs/>
              </w:rPr>
              <w:t xml:space="preserve"> </w:t>
            </w:r>
            <w:r>
              <w:rPr>
                <w:rStyle w:val="TableTextNumbersChar"/>
                <w:vanish/>
                <w:color w:val="FFFFFF"/>
                <w:szCs w:val="18"/>
              </w:rPr>
              <w:fldChar w:fldCharType="begin"/>
            </w:r>
            <w:r>
              <w:rPr>
                <w:rStyle w:val="TableTextNumbersChar"/>
                <w:vanish/>
                <w:color w:val="FFFFFF"/>
                <w:szCs w:val="18"/>
              </w:rPr>
              <w:instrText xml:space="preserve"> LISTNUM \l 1 \s 0 </w:instrText>
            </w:r>
            <w:r>
              <w:rPr>
                <w:rStyle w:val="TableTextNumbersChar"/>
                <w:vanish/>
                <w:color w:val="FFFFFF"/>
                <w:szCs w:val="18"/>
              </w:rPr>
              <w:fldChar w:fldCharType="end">
                <w:numberingChange w:id="253" w:author="MUSZYNSKI, THOMAS D. (SIERRA 7 INC)" w:date="2024-11-26T07:15:00Z" w:original="0."/>
              </w:fldChar>
            </w:r>
          </w:p>
        </w:tc>
        <w:tc>
          <w:tcPr>
            <w:tcW w:w="6120" w:type="dxa"/>
            <w:tcBorders>
              <w:top w:val="single" w:sz="4" w:space="0" w:color="auto"/>
              <w:left w:val="single" w:sz="4" w:space="0" w:color="auto"/>
              <w:bottom w:val="single" w:sz="4" w:space="0" w:color="auto"/>
              <w:right w:val="single" w:sz="4" w:space="0" w:color="auto"/>
            </w:tcBorders>
          </w:tcPr>
          <w:p w14:paraId="03437ED2" w14:textId="77777777" w:rsidR="002A21AE" w:rsidRDefault="002A21AE">
            <w:pPr>
              <w:pStyle w:val="TableTextBullet"/>
            </w:pPr>
            <w:r>
              <w:t>Requests confirmation to update the database.</w:t>
            </w:r>
          </w:p>
        </w:tc>
      </w:tr>
    </w:tbl>
    <w:p w14:paraId="6BCFFE14" w14:textId="758390A2" w:rsidR="00FD24BA" w:rsidRDefault="00FD24BA" w:rsidP="00FD24BA">
      <w:pPr>
        <w:pStyle w:val="Caption"/>
      </w:pPr>
      <w:bookmarkStart w:id="254" w:name="_Ref126551514"/>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7D1829">
        <w:rPr>
          <w:noProof/>
        </w:rPr>
        <w:t>44</w:t>
      </w:r>
      <w:r w:rsidR="004E20BD">
        <w:rPr>
          <w:noProof/>
        </w:rPr>
        <w:fldChar w:fldCharType="end"/>
      </w:r>
      <w:bookmarkEnd w:id="254"/>
      <w:r>
        <w:t>: Log In Supplies</w:t>
      </w:r>
    </w:p>
    <w:p w14:paraId="25532BFF" w14:textId="77777777" w:rsidR="00FD24BA" w:rsidRDefault="00057948" w:rsidP="00FD24BA">
      <w:pPr>
        <w:pStyle w:val="BodyText"/>
      </w:pPr>
      <w:r>
        <w:rPr>
          <w:noProof/>
        </w:rPr>
        <w:drawing>
          <wp:inline distT="0" distB="0" distL="0" distR="0" wp14:anchorId="2A3BD9B0" wp14:editId="755E8D95">
            <wp:extent cx="5144770" cy="3444875"/>
            <wp:effectExtent l="0" t="0" r="0" b="3175"/>
            <wp:docPr id="146" name="Picture 146" descr="Example of Log In Supplies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Picture 146" descr="Example of Log In Supplies screen capture"/>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5144770" cy="3444875"/>
                    </a:xfrm>
                    <a:prstGeom prst="rect">
                      <a:avLst/>
                    </a:prstGeom>
                    <a:noFill/>
                    <a:ln>
                      <a:noFill/>
                    </a:ln>
                  </pic:spPr>
                </pic:pic>
              </a:graphicData>
            </a:graphic>
          </wp:inline>
        </w:drawing>
      </w:r>
    </w:p>
    <w:p w14:paraId="02CB8A51" w14:textId="77777777" w:rsidR="002A21AE" w:rsidRDefault="002A21AE">
      <w:pPr>
        <w:pStyle w:val="Heading4"/>
      </w:pPr>
      <w:r>
        <w:t>Update Supply Inventory</w:t>
      </w:r>
      <w:r>
        <w:fldChar w:fldCharType="begin"/>
      </w:r>
      <w:r>
        <w:instrText xml:space="preserve"> XE </w:instrText>
      </w:r>
      <w:r w:rsidR="00FA7E65">
        <w:instrText>“</w:instrText>
      </w:r>
      <w:r>
        <w:instrText>Update Supply Inventory</w:instrText>
      </w:r>
      <w:r w:rsidR="00FA7E65">
        <w:instrText>”</w:instrText>
      </w:r>
      <w:r>
        <w:instrText xml:space="preserve"> </w:instrText>
      </w:r>
      <w:r>
        <w:fldChar w:fldCharType="end"/>
      </w:r>
      <w:r>
        <w:t xml:space="preserve"> </w:t>
      </w:r>
    </w:p>
    <w:p w14:paraId="5585ED23" w14:textId="77777777" w:rsidR="002A21AE" w:rsidRDefault="00153A27" w:rsidP="00FA7E65">
      <w:pPr>
        <w:pStyle w:val="BodyText"/>
      </w:pPr>
      <w:r>
        <w:t>The</w:t>
      </w:r>
      <w:r w:rsidR="002A21AE">
        <w:t xml:space="preserve"> user change</w:t>
      </w:r>
      <w:r w:rsidR="00CE6B22">
        <w:t>s</w:t>
      </w:r>
      <w:r w:rsidR="002A21AE">
        <w:t xml:space="preserve"> the number of available items in the supply inventory.</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2449D894" w14:textId="77777777">
        <w:trPr>
          <w:cantSplit/>
          <w:tblHeader/>
        </w:trPr>
        <w:tc>
          <w:tcPr>
            <w:tcW w:w="3240" w:type="dxa"/>
            <w:shd w:val="pct30" w:color="auto" w:fill="FFFFFF"/>
            <w:vAlign w:val="bottom"/>
          </w:tcPr>
          <w:p w14:paraId="0DE73BE6" w14:textId="77777777" w:rsidR="002A21AE" w:rsidRDefault="002A21AE">
            <w:pPr>
              <w:pStyle w:val="TableText"/>
              <w:rPr>
                <w:b/>
              </w:rPr>
            </w:pPr>
            <w:r>
              <w:rPr>
                <w:b/>
              </w:rPr>
              <w:t>User Action</w:t>
            </w:r>
          </w:p>
        </w:tc>
        <w:tc>
          <w:tcPr>
            <w:tcW w:w="6120" w:type="dxa"/>
            <w:shd w:val="pct30" w:color="auto" w:fill="FFFFFF"/>
            <w:vAlign w:val="bottom"/>
          </w:tcPr>
          <w:p w14:paraId="7AF1AB69" w14:textId="77777777" w:rsidR="002A21AE" w:rsidRDefault="002A21AE">
            <w:pPr>
              <w:pStyle w:val="TableText"/>
              <w:rPr>
                <w:b/>
              </w:rPr>
            </w:pPr>
            <w:r>
              <w:rPr>
                <w:b/>
              </w:rPr>
              <w:t>VBECS</w:t>
            </w:r>
          </w:p>
        </w:tc>
      </w:tr>
      <w:tr w:rsidR="002A21AE" w14:paraId="614B841C" w14:textId="77777777">
        <w:tc>
          <w:tcPr>
            <w:tcW w:w="3240" w:type="dxa"/>
            <w:tcBorders>
              <w:top w:val="single" w:sz="4" w:space="0" w:color="auto"/>
              <w:left w:val="single" w:sz="4" w:space="0" w:color="auto"/>
              <w:bottom w:val="single" w:sz="4" w:space="0" w:color="auto"/>
              <w:right w:val="single" w:sz="4" w:space="0" w:color="auto"/>
            </w:tcBorders>
          </w:tcPr>
          <w:p w14:paraId="40065BF0" w14:textId="77777777" w:rsidR="002A21AE" w:rsidRDefault="002A21AE">
            <w:pPr>
              <w:pStyle w:val="TableTextNumbers"/>
            </w:pPr>
            <w:r>
              <w:t xml:space="preserve">Select </w:t>
            </w:r>
            <w:r>
              <w:rPr>
                <w:b/>
              </w:rPr>
              <w:t>Tools</w:t>
            </w:r>
            <w:r>
              <w:t xml:space="preserve"> from the main menu.</w:t>
            </w:r>
          </w:p>
          <w:p w14:paraId="4F01EC8A" w14:textId="77777777" w:rsidR="002A21AE" w:rsidRDefault="002A21AE">
            <w:pPr>
              <w:pStyle w:val="TableTextNumbersContinued"/>
            </w:pPr>
          </w:p>
          <w:p w14:paraId="17DC489F" w14:textId="77777777" w:rsidR="002A21AE" w:rsidRDefault="002A21AE">
            <w:pPr>
              <w:pStyle w:val="TableTextNumbersContinued"/>
            </w:pPr>
            <w:r>
              <w:t xml:space="preserve">Select </w:t>
            </w:r>
            <w:r>
              <w:rPr>
                <w:b/>
              </w:rPr>
              <w:t>Supplies</w:t>
            </w:r>
            <w:r>
              <w:t>.</w:t>
            </w:r>
          </w:p>
        </w:tc>
        <w:tc>
          <w:tcPr>
            <w:tcW w:w="6120" w:type="dxa"/>
            <w:tcBorders>
              <w:top w:val="single" w:sz="4" w:space="0" w:color="auto"/>
              <w:left w:val="single" w:sz="4" w:space="0" w:color="auto"/>
              <w:bottom w:val="single" w:sz="4" w:space="0" w:color="auto"/>
              <w:right w:val="single" w:sz="4" w:space="0" w:color="auto"/>
            </w:tcBorders>
          </w:tcPr>
          <w:p w14:paraId="78DAB11C" w14:textId="77777777" w:rsidR="002A21AE" w:rsidRDefault="002A21AE">
            <w:pPr>
              <w:pStyle w:val="TableTextBullet"/>
            </w:pPr>
            <w:r>
              <w:t xml:space="preserve">Displays options for processing administrative functions. </w:t>
            </w:r>
          </w:p>
          <w:p w14:paraId="78C96599" w14:textId="77777777" w:rsidR="002A21AE" w:rsidRDefault="002A21AE">
            <w:pPr>
              <w:pStyle w:val="TableTextBullet"/>
            </w:pPr>
            <w:r>
              <w:t>Displays options for processing supplies.</w:t>
            </w:r>
          </w:p>
        </w:tc>
      </w:tr>
      <w:tr w:rsidR="002A21AE" w14:paraId="47035DC3" w14:textId="77777777">
        <w:tc>
          <w:tcPr>
            <w:tcW w:w="3240" w:type="dxa"/>
          </w:tcPr>
          <w:p w14:paraId="291804CF" w14:textId="77777777" w:rsidR="002A21AE" w:rsidRDefault="002A21AE">
            <w:pPr>
              <w:pStyle w:val="TableTextNumbers"/>
            </w:pPr>
            <w:r>
              <w:t xml:space="preserve">Select </w:t>
            </w:r>
            <w:r>
              <w:rPr>
                <w:b/>
              </w:rPr>
              <w:t>Update Supply Inventory</w:t>
            </w:r>
            <w:r>
              <w:t>.</w:t>
            </w:r>
          </w:p>
          <w:p w14:paraId="197D3C7D" w14:textId="77777777" w:rsidR="002A21AE" w:rsidRDefault="002A21AE">
            <w:pPr>
              <w:pStyle w:val="TableTextNumbersContinued"/>
            </w:pPr>
          </w:p>
          <w:p w14:paraId="74863F3B" w14:textId="77777777" w:rsidR="002A21AE" w:rsidRDefault="002A21AE">
            <w:pPr>
              <w:pStyle w:val="TableTextNumbersContinued"/>
            </w:pPr>
            <w:r>
              <w:rPr>
                <w:rFonts w:cs="Arial"/>
                <w:vanish/>
              </w:rPr>
              <w:t xml:space="preserve">BR_81.12 </w:t>
            </w:r>
            <w:r>
              <w:t xml:space="preserve">Click the </w:t>
            </w:r>
            <w:r>
              <w:rPr>
                <w:b/>
              </w:rPr>
              <w:t xml:space="preserve">Include Expired Supplies </w:t>
            </w:r>
            <w:r w:rsidRPr="00D1100E">
              <w:t>check box</w:t>
            </w:r>
            <w:r>
              <w:t xml:space="preserve"> to include expired supplies in the list.</w:t>
            </w:r>
          </w:p>
        </w:tc>
        <w:tc>
          <w:tcPr>
            <w:tcW w:w="6120" w:type="dxa"/>
          </w:tcPr>
          <w:p w14:paraId="5D34A0A2" w14:textId="77777777" w:rsidR="002A21AE" w:rsidRDefault="002A21AE">
            <w:pPr>
              <w:pStyle w:val="TableTextBullet"/>
            </w:pPr>
            <w:r>
              <w:t>Lists existing satisfactory supplies by default.</w:t>
            </w:r>
          </w:p>
        </w:tc>
      </w:tr>
      <w:tr w:rsidR="002A21AE" w14:paraId="0B8DE93C" w14:textId="77777777">
        <w:tc>
          <w:tcPr>
            <w:tcW w:w="3240" w:type="dxa"/>
            <w:tcBorders>
              <w:top w:val="single" w:sz="4" w:space="0" w:color="auto"/>
              <w:left w:val="single" w:sz="4" w:space="0" w:color="auto"/>
              <w:bottom w:val="single" w:sz="4" w:space="0" w:color="auto"/>
              <w:right w:val="single" w:sz="4" w:space="0" w:color="auto"/>
            </w:tcBorders>
          </w:tcPr>
          <w:p w14:paraId="6730E5CB" w14:textId="77777777" w:rsidR="002A21AE" w:rsidRDefault="002A21AE">
            <w:pPr>
              <w:pStyle w:val="TableTextNumbers"/>
            </w:pPr>
            <w:r>
              <w:t>Select a supply to edit.</w:t>
            </w:r>
          </w:p>
          <w:p w14:paraId="59EC826C" w14:textId="77777777" w:rsidR="002A21AE" w:rsidRDefault="002A21AE">
            <w:pPr>
              <w:pStyle w:val="TableTextNumbersContinued"/>
            </w:pPr>
          </w:p>
          <w:p w14:paraId="615455BB" w14:textId="77777777" w:rsidR="002A21AE" w:rsidRDefault="002A21AE">
            <w:pPr>
              <w:pStyle w:val="TableTextNumbersContinued"/>
            </w:pPr>
            <w:r>
              <w:t xml:space="preserve">To view supplies with a specific lot number, enter the lot number in the Lot # field and click the </w:t>
            </w:r>
            <w:r>
              <w:rPr>
                <w:b/>
              </w:rPr>
              <w:t>magnifying glass</w:t>
            </w:r>
            <w:r>
              <w:t>.</w:t>
            </w:r>
          </w:p>
        </w:tc>
        <w:tc>
          <w:tcPr>
            <w:tcW w:w="6120" w:type="dxa"/>
            <w:tcBorders>
              <w:top w:val="single" w:sz="4" w:space="0" w:color="auto"/>
              <w:left w:val="single" w:sz="4" w:space="0" w:color="auto"/>
              <w:bottom w:val="single" w:sz="4" w:space="0" w:color="auto"/>
              <w:right w:val="single" w:sz="4" w:space="0" w:color="auto"/>
            </w:tcBorders>
          </w:tcPr>
          <w:p w14:paraId="7B69C15E" w14:textId="77777777" w:rsidR="002A21AE" w:rsidRDefault="002A21AE">
            <w:pPr>
              <w:pStyle w:val="TableText"/>
            </w:pPr>
          </w:p>
          <w:p w14:paraId="232C3C92" w14:textId="17C4D8D0" w:rsidR="002A21AE" w:rsidRDefault="002A21AE">
            <w:pPr>
              <w:pStyle w:val="TableText"/>
              <w:rPr>
                <w:b/>
                <w:bCs/>
                <w:szCs w:val="18"/>
              </w:rPr>
            </w:pPr>
            <w:r>
              <w:rPr>
                <w:b/>
                <w:bCs/>
                <w:szCs w:val="18"/>
              </w:rPr>
              <w:t>NOTES</w:t>
            </w:r>
          </w:p>
          <w:p w14:paraId="731C659B" w14:textId="77777777" w:rsidR="002A21AE" w:rsidRDefault="002A21AE">
            <w:pPr>
              <w:pStyle w:val="NotesText"/>
            </w:pPr>
          </w:p>
          <w:p w14:paraId="2372F0D5" w14:textId="77777777" w:rsidR="002A21AE" w:rsidRDefault="002A21AE">
            <w:pPr>
              <w:pStyle w:val="NotesText"/>
            </w:pPr>
            <w:r>
              <w:t>Click a supply type to reveal manufacturer supply names. Click a manufacturer supply name to reveal lot numbers.</w:t>
            </w:r>
          </w:p>
        </w:tc>
      </w:tr>
      <w:tr w:rsidR="002A21AE" w14:paraId="6F9B7FE5" w14:textId="77777777" w:rsidTr="007E500E">
        <w:trPr>
          <w:cantSplit/>
        </w:trPr>
        <w:tc>
          <w:tcPr>
            <w:tcW w:w="3240" w:type="dxa"/>
            <w:tcBorders>
              <w:top w:val="single" w:sz="4" w:space="0" w:color="auto"/>
              <w:left w:val="single" w:sz="4" w:space="0" w:color="auto"/>
              <w:bottom w:val="single" w:sz="4" w:space="0" w:color="auto"/>
              <w:right w:val="single" w:sz="4" w:space="0" w:color="auto"/>
            </w:tcBorders>
          </w:tcPr>
          <w:p w14:paraId="5E394BB5" w14:textId="77777777" w:rsidR="002A21AE" w:rsidRDefault="002A21AE">
            <w:pPr>
              <w:pStyle w:val="TableTextNumbers"/>
            </w:pPr>
            <w:r>
              <w:lastRenderedPageBreak/>
              <w:t>Click a lot number to enable the Quantity Available field.</w:t>
            </w:r>
          </w:p>
          <w:p w14:paraId="571A3F56" w14:textId="77777777" w:rsidR="002A21AE" w:rsidRDefault="002A21AE">
            <w:pPr>
              <w:pStyle w:val="TableTextNumbersContinued"/>
            </w:pPr>
          </w:p>
          <w:p w14:paraId="24FCA541" w14:textId="77777777" w:rsidR="002A21AE" w:rsidRDefault="002A21AE">
            <w:pPr>
              <w:pStyle w:val="TableTextNumbersContinued"/>
            </w:pPr>
            <w:r>
              <w:t>Enter (or select) a quantity that is less than or equal to the current entry in the Quantity Available field.</w:t>
            </w:r>
          </w:p>
          <w:p w14:paraId="0B5C6E61" w14:textId="77777777" w:rsidR="002A21AE" w:rsidRDefault="002A21AE">
            <w:pPr>
              <w:pStyle w:val="TableTextNumbersContinued"/>
            </w:pPr>
          </w:p>
          <w:p w14:paraId="740348D1" w14:textId="376525AC" w:rsidR="002A21AE" w:rsidRDefault="002A21AE">
            <w:pPr>
              <w:pStyle w:val="TableTextNumbersContinued"/>
            </w:pPr>
            <w:r>
              <w:t>Select or edit the date and time in the Date Changed field</w:t>
            </w:r>
            <w:r w:rsidR="001556AE">
              <w:t xml:space="preserve"> (</w:t>
            </w:r>
            <w:r w:rsidR="00EE455E">
              <w:t xml:space="preserve">Figure </w:t>
            </w:r>
            <w:r w:rsidR="00EE455E">
              <w:rPr>
                <w:noProof/>
              </w:rPr>
              <w:t>44</w:t>
            </w:r>
            <w:r w:rsidR="001556AE">
              <w:t>)</w:t>
            </w:r>
            <w:r>
              <w:t>.</w:t>
            </w:r>
          </w:p>
        </w:tc>
        <w:tc>
          <w:tcPr>
            <w:tcW w:w="6120" w:type="dxa"/>
            <w:tcBorders>
              <w:top w:val="single" w:sz="4" w:space="0" w:color="auto"/>
              <w:left w:val="single" w:sz="4" w:space="0" w:color="auto"/>
              <w:bottom w:val="single" w:sz="4" w:space="0" w:color="auto"/>
              <w:right w:val="single" w:sz="4" w:space="0" w:color="auto"/>
            </w:tcBorders>
          </w:tcPr>
          <w:p w14:paraId="3D0D6200" w14:textId="77777777" w:rsidR="002A21AE" w:rsidRDefault="002A21AE">
            <w:pPr>
              <w:pStyle w:val="TableText"/>
            </w:pPr>
          </w:p>
          <w:p w14:paraId="45757F61" w14:textId="75BE675F" w:rsidR="002A21AE" w:rsidRDefault="002A21AE">
            <w:pPr>
              <w:pStyle w:val="TableText"/>
              <w:rPr>
                <w:b/>
                <w:bCs/>
                <w:szCs w:val="18"/>
              </w:rPr>
            </w:pPr>
            <w:r>
              <w:rPr>
                <w:b/>
                <w:bCs/>
                <w:szCs w:val="18"/>
              </w:rPr>
              <w:t>NOTES</w:t>
            </w:r>
          </w:p>
          <w:p w14:paraId="47A47CDC" w14:textId="77777777" w:rsidR="002A21AE" w:rsidRDefault="002A21AE">
            <w:pPr>
              <w:pStyle w:val="NotesText"/>
            </w:pPr>
          </w:p>
          <w:p w14:paraId="0C56EED9" w14:textId="77777777" w:rsidR="002A21AE" w:rsidRDefault="002A21AE">
            <w:pPr>
              <w:pStyle w:val="NotesText"/>
            </w:pPr>
            <w:r>
              <w:t>The default change date is the current date and time. The user may edit it to a past date and time only.</w:t>
            </w:r>
          </w:p>
          <w:p w14:paraId="7E15B606" w14:textId="77777777" w:rsidR="002A21AE" w:rsidRDefault="002A21AE">
            <w:pPr>
              <w:pStyle w:val="NotesText"/>
            </w:pPr>
          </w:p>
          <w:p w14:paraId="21F4F10D" w14:textId="77777777" w:rsidR="002A21AE" w:rsidRDefault="002A21AE">
            <w:pPr>
              <w:pStyle w:val="NotesText"/>
            </w:pPr>
            <w:r>
              <w:t>When a user selects Other from the drop-down list in the Reason for Change field, he may enter additional text in the Comments field.</w:t>
            </w:r>
          </w:p>
          <w:p w14:paraId="4CD056B7" w14:textId="77777777" w:rsidR="002A21AE" w:rsidRDefault="002A21AE">
            <w:pPr>
              <w:pStyle w:val="NotesText"/>
            </w:pPr>
          </w:p>
        </w:tc>
      </w:tr>
      <w:tr w:rsidR="002A21AE" w14:paraId="2899451C" w14:textId="77777777">
        <w:tc>
          <w:tcPr>
            <w:tcW w:w="3240" w:type="dxa"/>
            <w:tcBorders>
              <w:top w:val="single" w:sz="4" w:space="0" w:color="auto"/>
              <w:left w:val="single" w:sz="4" w:space="0" w:color="auto"/>
              <w:bottom w:val="single" w:sz="4" w:space="0" w:color="auto"/>
              <w:right w:val="single" w:sz="4" w:space="0" w:color="auto"/>
            </w:tcBorders>
          </w:tcPr>
          <w:p w14:paraId="3B867717" w14:textId="77777777" w:rsidR="002A21AE" w:rsidRDefault="002A21AE">
            <w:pPr>
              <w:pStyle w:val="TableTextNumbers"/>
            </w:pPr>
            <w:r>
              <w:t>Repeat Steps 3 and 4 to edit more supplies, as desired.</w:t>
            </w:r>
          </w:p>
        </w:tc>
        <w:tc>
          <w:tcPr>
            <w:tcW w:w="6120" w:type="dxa"/>
            <w:tcBorders>
              <w:top w:val="single" w:sz="4" w:space="0" w:color="auto"/>
              <w:left w:val="single" w:sz="4" w:space="0" w:color="auto"/>
              <w:bottom w:val="single" w:sz="4" w:space="0" w:color="auto"/>
              <w:right w:val="single" w:sz="4" w:space="0" w:color="auto"/>
            </w:tcBorders>
          </w:tcPr>
          <w:p w14:paraId="309393C9" w14:textId="77777777" w:rsidR="002A21AE" w:rsidRDefault="002A21AE">
            <w:pPr>
              <w:pStyle w:val="TableText"/>
            </w:pPr>
          </w:p>
        </w:tc>
      </w:tr>
      <w:tr w:rsidR="002A21AE" w14:paraId="22AED5F3" w14:textId="77777777">
        <w:tc>
          <w:tcPr>
            <w:tcW w:w="3240" w:type="dxa"/>
            <w:tcBorders>
              <w:top w:val="single" w:sz="4" w:space="0" w:color="auto"/>
              <w:left w:val="single" w:sz="4" w:space="0" w:color="auto"/>
              <w:bottom w:val="single" w:sz="4" w:space="0" w:color="auto"/>
              <w:right w:val="single" w:sz="4" w:space="0" w:color="auto"/>
            </w:tcBorders>
          </w:tcPr>
          <w:p w14:paraId="1AFD1AC4" w14:textId="77777777" w:rsidR="002A21AE" w:rsidRDefault="002A21AE">
            <w:pPr>
              <w:pStyle w:val="TableTextNumbers"/>
            </w:pPr>
            <w:r>
              <w:t xml:space="preserve">Click </w:t>
            </w:r>
            <w:r>
              <w:rPr>
                <w:b/>
              </w:rPr>
              <w:t>OK</w:t>
            </w:r>
            <w:r>
              <w:t xml:space="preserve"> to save.</w:t>
            </w:r>
          </w:p>
          <w:p w14:paraId="7AF891A3" w14:textId="77777777" w:rsidR="002A21AE" w:rsidRDefault="002A21AE">
            <w:pPr>
              <w:pStyle w:val="TableTextNumbersContinued"/>
            </w:pPr>
          </w:p>
          <w:p w14:paraId="2CF82283" w14:textId="77777777" w:rsidR="002A21AE" w:rsidRDefault="002A21AE">
            <w:pPr>
              <w:pStyle w:val="TableTextNumbersContinued"/>
            </w:pPr>
            <w:r>
              <w:t xml:space="preserve">Click </w:t>
            </w:r>
            <w:r>
              <w:rPr>
                <w:b/>
              </w:rPr>
              <w:t>Yes</w:t>
            </w:r>
            <w:r>
              <w:t xml:space="preserve"> to confirm the save and view the updated list.</w:t>
            </w:r>
          </w:p>
        </w:tc>
        <w:tc>
          <w:tcPr>
            <w:tcW w:w="6120" w:type="dxa"/>
            <w:tcBorders>
              <w:top w:val="single" w:sz="4" w:space="0" w:color="auto"/>
              <w:left w:val="single" w:sz="4" w:space="0" w:color="auto"/>
              <w:bottom w:val="single" w:sz="4" w:space="0" w:color="auto"/>
              <w:right w:val="single" w:sz="4" w:space="0" w:color="auto"/>
            </w:tcBorders>
          </w:tcPr>
          <w:p w14:paraId="4650BEA7" w14:textId="77777777" w:rsidR="002A21AE" w:rsidRDefault="002A21AE">
            <w:pPr>
              <w:pStyle w:val="TableText"/>
            </w:pPr>
          </w:p>
        </w:tc>
      </w:tr>
      <w:tr w:rsidR="002A21AE" w14:paraId="63F20F53" w14:textId="77777777">
        <w:tc>
          <w:tcPr>
            <w:tcW w:w="3240" w:type="dxa"/>
            <w:tcBorders>
              <w:top w:val="single" w:sz="4" w:space="0" w:color="auto"/>
              <w:left w:val="single" w:sz="4" w:space="0" w:color="auto"/>
              <w:bottom w:val="single" w:sz="4" w:space="0" w:color="auto"/>
              <w:right w:val="single" w:sz="4" w:space="0" w:color="auto"/>
            </w:tcBorders>
          </w:tcPr>
          <w:p w14:paraId="2852977B" w14:textId="77777777" w:rsidR="002A21AE" w:rsidRDefault="002A21AE">
            <w:pPr>
              <w:pStyle w:val="TableTextNumbers"/>
            </w:pPr>
            <w:r>
              <w:t xml:space="preserve">Click </w:t>
            </w:r>
            <w:r>
              <w:rPr>
                <w:b/>
              </w:rPr>
              <w:t>Print Supply Inventory</w:t>
            </w:r>
            <w:r>
              <w:t xml:space="preserve"> to print the list of supplies.</w:t>
            </w:r>
          </w:p>
        </w:tc>
        <w:tc>
          <w:tcPr>
            <w:tcW w:w="6120" w:type="dxa"/>
            <w:tcBorders>
              <w:top w:val="single" w:sz="4" w:space="0" w:color="auto"/>
              <w:left w:val="single" w:sz="4" w:space="0" w:color="auto"/>
              <w:bottom w:val="single" w:sz="4" w:space="0" w:color="auto"/>
              <w:right w:val="single" w:sz="4" w:space="0" w:color="auto"/>
            </w:tcBorders>
          </w:tcPr>
          <w:p w14:paraId="038A191D" w14:textId="77777777" w:rsidR="002A21AE" w:rsidRDefault="002A21AE">
            <w:pPr>
              <w:pStyle w:val="TableTextBullet"/>
            </w:pPr>
            <w:r>
              <w:t>Displays the Supply Inventory window (see View/Print Supply Inventory).</w:t>
            </w:r>
          </w:p>
        </w:tc>
      </w:tr>
      <w:tr w:rsidR="002A21AE" w14:paraId="42D148CE" w14:textId="77777777">
        <w:tc>
          <w:tcPr>
            <w:tcW w:w="3240" w:type="dxa"/>
            <w:tcBorders>
              <w:top w:val="single" w:sz="4" w:space="0" w:color="auto"/>
              <w:left w:val="single" w:sz="4" w:space="0" w:color="auto"/>
              <w:bottom w:val="single" w:sz="4" w:space="0" w:color="auto"/>
              <w:right w:val="single" w:sz="4" w:space="0" w:color="auto"/>
            </w:tcBorders>
          </w:tcPr>
          <w:p w14:paraId="5842E048" w14:textId="77777777" w:rsidR="002A21AE" w:rsidRDefault="002A21AE">
            <w:pPr>
              <w:pStyle w:val="TableTextNumbers"/>
            </w:pPr>
            <w:r>
              <w:t xml:space="preserve">Click </w:t>
            </w:r>
            <w:r>
              <w:rPr>
                <w:b/>
              </w:rPr>
              <w:t>Cancel</w:t>
            </w:r>
            <w:r>
              <w:t xml:space="preserve"> to exit. </w:t>
            </w:r>
            <w:r>
              <w:rPr>
                <w:vanish/>
                <w:color w:val="FFFFFF"/>
                <w:szCs w:val="18"/>
              </w:rPr>
              <w:fldChar w:fldCharType="begin"/>
            </w:r>
            <w:r>
              <w:rPr>
                <w:vanish/>
                <w:color w:val="FFFFFF"/>
                <w:szCs w:val="18"/>
              </w:rPr>
              <w:instrText xml:space="preserve"> LISTNUM \l 1 \s 0 </w:instrText>
            </w:r>
            <w:r>
              <w:rPr>
                <w:vanish/>
                <w:color w:val="FFFFFF"/>
                <w:szCs w:val="18"/>
              </w:rPr>
              <w:fldChar w:fldCharType="end">
                <w:numberingChange w:id="255" w:author="MUSZYNSKI, THOMAS D. (SIERRA 7 INC)" w:date="2024-11-26T07:15:00Z" w:original="0."/>
              </w:fldChar>
            </w:r>
          </w:p>
        </w:tc>
        <w:tc>
          <w:tcPr>
            <w:tcW w:w="6120" w:type="dxa"/>
            <w:tcBorders>
              <w:top w:val="single" w:sz="4" w:space="0" w:color="auto"/>
              <w:left w:val="single" w:sz="4" w:space="0" w:color="auto"/>
              <w:bottom w:val="single" w:sz="4" w:space="0" w:color="auto"/>
              <w:right w:val="single" w:sz="4" w:space="0" w:color="auto"/>
            </w:tcBorders>
          </w:tcPr>
          <w:p w14:paraId="18A31109" w14:textId="77777777" w:rsidR="002A21AE" w:rsidRDefault="002A21AE">
            <w:pPr>
              <w:pStyle w:val="NotesText"/>
              <w:ind w:left="0"/>
            </w:pPr>
          </w:p>
        </w:tc>
      </w:tr>
    </w:tbl>
    <w:p w14:paraId="71E2EC10" w14:textId="48611DC7" w:rsidR="001556AE" w:rsidRDefault="001556AE" w:rsidP="001556AE">
      <w:pPr>
        <w:pStyle w:val="Caption"/>
      </w:pPr>
      <w:bookmarkStart w:id="256" w:name="_Ref126552250"/>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7D1829">
        <w:rPr>
          <w:noProof/>
        </w:rPr>
        <w:t>45</w:t>
      </w:r>
      <w:r w:rsidR="004E20BD">
        <w:rPr>
          <w:noProof/>
        </w:rPr>
        <w:fldChar w:fldCharType="end"/>
      </w:r>
      <w:bookmarkEnd w:id="256"/>
      <w:r>
        <w:t>: Update Supplies</w:t>
      </w:r>
    </w:p>
    <w:p w14:paraId="29870ADD" w14:textId="77777777" w:rsidR="001556AE" w:rsidRDefault="00057948" w:rsidP="001556AE">
      <w:pPr>
        <w:pStyle w:val="BodyText"/>
      </w:pPr>
      <w:r>
        <w:rPr>
          <w:noProof/>
        </w:rPr>
        <w:drawing>
          <wp:inline distT="0" distB="0" distL="0" distR="0" wp14:anchorId="0F04B074" wp14:editId="091C2FC9">
            <wp:extent cx="5144770" cy="3888740"/>
            <wp:effectExtent l="0" t="0" r="0" b="0"/>
            <wp:docPr id="147" name="Picture 147" descr="Example of Update Supplies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Picture 147" descr="Example of Update Supplies screen capture"/>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5144770" cy="3888740"/>
                    </a:xfrm>
                    <a:prstGeom prst="rect">
                      <a:avLst/>
                    </a:prstGeom>
                    <a:noFill/>
                    <a:ln>
                      <a:noFill/>
                    </a:ln>
                  </pic:spPr>
                </pic:pic>
              </a:graphicData>
            </a:graphic>
          </wp:inline>
        </w:drawing>
      </w:r>
    </w:p>
    <w:p w14:paraId="2F5B271B" w14:textId="77777777" w:rsidR="007E500E" w:rsidRDefault="007E500E">
      <w:pPr>
        <w:rPr>
          <w:rFonts w:ascii="Arial" w:hAnsi="Arial"/>
          <w:b/>
          <w:sz w:val="22"/>
        </w:rPr>
      </w:pPr>
      <w:r>
        <w:br w:type="page"/>
      </w:r>
    </w:p>
    <w:p w14:paraId="3CB88D3D" w14:textId="37CC3006" w:rsidR="002A21AE" w:rsidRDefault="002A21AE">
      <w:pPr>
        <w:pStyle w:val="Heading4"/>
      </w:pPr>
      <w:r>
        <w:lastRenderedPageBreak/>
        <w:t>View/Print Supply Inventory</w:t>
      </w:r>
      <w:r>
        <w:fldChar w:fldCharType="begin"/>
      </w:r>
      <w:r>
        <w:instrText xml:space="preserve"> XE </w:instrText>
      </w:r>
      <w:r w:rsidR="00FA7E65">
        <w:instrText>“</w:instrText>
      </w:r>
      <w:r>
        <w:instrText>View/Print Supply Inventory</w:instrText>
      </w:r>
      <w:r w:rsidR="00FA7E65">
        <w:instrText>”</w:instrText>
      </w:r>
      <w:r>
        <w:instrText xml:space="preserve"> </w:instrText>
      </w:r>
      <w:r>
        <w:fldChar w:fldCharType="end"/>
      </w:r>
      <w:r>
        <w:t xml:space="preserve"> </w:t>
      </w:r>
    </w:p>
    <w:p w14:paraId="0F0F258B" w14:textId="77777777" w:rsidR="002A21AE" w:rsidRDefault="00153A27" w:rsidP="00FA7E65">
      <w:pPr>
        <w:pStyle w:val="BodyText"/>
      </w:pPr>
      <w:r>
        <w:t>The</w:t>
      </w:r>
      <w:r w:rsidR="002A21AE">
        <w:t xml:space="preserve"> user view</w:t>
      </w:r>
      <w:r w:rsidR="00A91655">
        <w:t>s</w:t>
      </w:r>
      <w:r w:rsidR="002A21AE">
        <w:t xml:space="preserve"> inventory online based on various search criteria and print</w:t>
      </w:r>
      <w:r w:rsidR="00A91655">
        <w:t>s</w:t>
      </w:r>
      <w:r w:rsidR="002A21AE">
        <w:t xml:space="preserve"> the search results.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58FC4F5B" w14:textId="77777777">
        <w:trPr>
          <w:cantSplit/>
          <w:tblHeader/>
        </w:trPr>
        <w:tc>
          <w:tcPr>
            <w:tcW w:w="3240" w:type="dxa"/>
            <w:shd w:val="pct30" w:color="auto" w:fill="FFFFFF"/>
            <w:vAlign w:val="bottom"/>
          </w:tcPr>
          <w:p w14:paraId="53200ACE" w14:textId="77777777" w:rsidR="002A21AE" w:rsidRDefault="002A21AE">
            <w:pPr>
              <w:pStyle w:val="TableText"/>
              <w:rPr>
                <w:b/>
              </w:rPr>
            </w:pPr>
            <w:bookmarkStart w:id="257" w:name="_Toc73176862"/>
            <w:r>
              <w:rPr>
                <w:b/>
              </w:rPr>
              <w:t>User Action</w:t>
            </w:r>
          </w:p>
        </w:tc>
        <w:tc>
          <w:tcPr>
            <w:tcW w:w="6120" w:type="dxa"/>
            <w:shd w:val="pct30" w:color="auto" w:fill="FFFFFF"/>
            <w:vAlign w:val="bottom"/>
          </w:tcPr>
          <w:p w14:paraId="0F4B5B5A" w14:textId="77777777" w:rsidR="002A21AE" w:rsidRDefault="002A21AE">
            <w:pPr>
              <w:pStyle w:val="TableText"/>
              <w:rPr>
                <w:b/>
              </w:rPr>
            </w:pPr>
            <w:r>
              <w:rPr>
                <w:b/>
              </w:rPr>
              <w:t>VBECS</w:t>
            </w:r>
          </w:p>
        </w:tc>
      </w:tr>
      <w:tr w:rsidR="002A21AE" w14:paraId="0B27150F" w14:textId="77777777">
        <w:tc>
          <w:tcPr>
            <w:tcW w:w="3240" w:type="dxa"/>
            <w:tcBorders>
              <w:top w:val="single" w:sz="4" w:space="0" w:color="auto"/>
              <w:left w:val="single" w:sz="4" w:space="0" w:color="auto"/>
              <w:bottom w:val="single" w:sz="4" w:space="0" w:color="auto"/>
              <w:right w:val="single" w:sz="4" w:space="0" w:color="auto"/>
            </w:tcBorders>
          </w:tcPr>
          <w:p w14:paraId="627D30B8" w14:textId="77777777" w:rsidR="002A21AE" w:rsidRDefault="002A21AE">
            <w:pPr>
              <w:pStyle w:val="TableTextNumbers"/>
            </w:pPr>
            <w:r>
              <w:t xml:space="preserve">Select </w:t>
            </w:r>
            <w:r>
              <w:rPr>
                <w:b/>
              </w:rPr>
              <w:t>Tools</w:t>
            </w:r>
            <w:r>
              <w:t xml:space="preserve"> from the main menu.</w:t>
            </w:r>
          </w:p>
          <w:p w14:paraId="77C2FACD" w14:textId="77777777" w:rsidR="002A21AE" w:rsidRDefault="002A21AE">
            <w:pPr>
              <w:pStyle w:val="TableTextNumbersContinued"/>
            </w:pPr>
          </w:p>
          <w:p w14:paraId="0E1C8343" w14:textId="77777777" w:rsidR="002A21AE" w:rsidRDefault="002A21AE">
            <w:pPr>
              <w:pStyle w:val="TableTextNumbersContinued"/>
            </w:pPr>
            <w:r>
              <w:t xml:space="preserve">Select </w:t>
            </w:r>
            <w:r>
              <w:rPr>
                <w:b/>
              </w:rPr>
              <w:t>Supplies</w:t>
            </w:r>
            <w:r>
              <w:t>.</w:t>
            </w:r>
          </w:p>
        </w:tc>
        <w:tc>
          <w:tcPr>
            <w:tcW w:w="6120" w:type="dxa"/>
            <w:tcBorders>
              <w:top w:val="single" w:sz="4" w:space="0" w:color="auto"/>
              <w:left w:val="single" w:sz="4" w:space="0" w:color="auto"/>
              <w:bottom w:val="single" w:sz="4" w:space="0" w:color="auto"/>
              <w:right w:val="single" w:sz="4" w:space="0" w:color="auto"/>
            </w:tcBorders>
          </w:tcPr>
          <w:p w14:paraId="76E44D52" w14:textId="77777777" w:rsidR="002A21AE" w:rsidRDefault="002A21AE">
            <w:pPr>
              <w:pStyle w:val="TableTextBullet"/>
            </w:pPr>
            <w:r>
              <w:t xml:space="preserve">Displays options for processing administrative functions. </w:t>
            </w:r>
          </w:p>
          <w:p w14:paraId="2F773488" w14:textId="77777777" w:rsidR="002A21AE" w:rsidRDefault="002A21AE">
            <w:pPr>
              <w:pStyle w:val="TableTextBullet"/>
            </w:pPr>
            <w:r>
              <w:t>Displays options for processing supplies.</w:t>
            </w:r>
          </w:p>
        </w:tc>
      </w:tr>
      <w:tr w:rsidR="002A21AE" w14:paraId="12BC7455" w14:textId="77777777">
        <w:tc>
          <w:tcPr>
            <w:tcW w:w="3240" w:type="dxa"/>
          </w:tcPr>
          <w:p w14:paraId="755F9725" w14:textId="77777777" w:rsidR="002A21AE" w:rsidRDefault="002A21AE">
            <w:pPr>
              <w:pStyle w:val="TableTextNumbers"/>
            </w:pPr>
            <w:r>
              <w:t xml:space="preserve">Select </w:t>
            </w:r>
            <w:r>
              <w:rPr>
                <w:b/>
              </w:rPr>
              <w:t>View/Print Supply Inventory</w:t>
            </w:r>
            <w:r>
              <w:t>.</w:t>
            </w:r>
          </w:p>
        </w:tc>
        <w:tc>
          <w:tcPr>
            <w:tcW w:w="6120" w:type="dxa"/>
          </w:tcPr>
          <w:p w14:paraId="6F365735" w14:textId="77777777" w:rsidR="002A21AE" w:rsidRDefault="002A21AE">
            <w:pPr>
              <w:pStyle w:val="TableTextBullet"/>
            </w:pPr>
            <w:r>
              <w:t>Lists supply types.</w:t>
            </w:r>
          </w:p>
        </w:tc>
      </w:tr>
      <w:tr w:rsidR="002A21AE" w14:paraId="2E0E87BF" w14:textId="77777777">
        <w:tc>
          <w:tcPr>
            <w:tcW w:w="3240" w:type="dxa"/>
            <w:tcBorders>
              <w:top w:val="single" w:sz="4" w:space="0" w:color="auto"/>
              <w:left w:val="single" w:sz="4" w:space="0" w:color="auto"/>
              <w:bottom w:val="single" w:sz="4" w:space="0" w:color="auto"/>
              <w:right w:val="single" w:sz="4" w:space="0" w:color="auto"/>
            </w:tcBorders>
          </w:tcPr>
          <w:p w14:paraId="62C79FE4" w14:textId="77777777" w:rsidR="002A21AE" w:rsidRDefault="002A21AE">
            <w:pPr>
              <w:pStyle w:val="TableTextNumbers"/>
            </w:pPr>
            <w:r>
              <w:t>Click one or more check boxes in the Supply Type list to select supply types.</w:t>
            </w:r>
          </w:p>
        </w:tc>
        <w:tc>
          <w:tcPr>
            <w:tcW w:w="6120" w:type="dxa"/>
            <w:tcBorders>
              <w:top w:val="single" w:sz="4" w:space="0" w:color="auto"/>
              <w:left w:val="single" w:sz="4" w:space="0" w:color="auto"/>
              <w:bottom w:val="single" w:sz="4" w:space="0" w:color="auto"/>
              <w:right w:val="single" w:sz="4" w:space="0" w:color="auto"/>
            </w:tcBorders>
          </w:tcPr>
          <w:p w14:paraId="1F4DE4D1" w14:textId="77777777" w:rsidR="002A21AE" w:rsidRDefault="002A21AE">
            <w:pPr>
              <w:pStyle w:val="TableTextBullet"/>
            </w:pPr>
            <w:r>
              <w:t>Displays or allows</w:t>
            </w:r>
            <w:r w:rsidR="006B2239">
              <w:t xml:space="preserve"> the</w:t>
            </w:r>
            <w:r>
              <w:t xml:space="preserve"> user to print a report of all current in-date, expired, and unsatisfactory supply inventory and minimum stock levels as a read-only display based on the selection criteria entered:</w:t>
            </w:r>
          </w:p>
          <w:p w14:paraId="0A4FEA7D" w14:textId="77777777" w:rsidR="002A21AE" w:rsidRDefault="002A21AE">
            <w:pPr>
              <w:pStyle w:val="TableTextBullet1"/>
            </w:pPr>
            <w:r>
              <w:t>Date range (</w:t>
            </w:r>
            <w:r w:rsidR="006B2239">
              <w:t xml:space="preserve">the </w:t>
            </w:r>
            <w:r>
              <w:t>user enter</w:t>
            </w:r>
            <w:r w:rsidR="006B2239">
              <w:t>s</w:t>
            </w:r>
            <w:r>
              <w:t xml:space="preserve"> a date to begin and end the search)</w:t>
            </w:r>
          </w:p>
          <w:p w14:paraId="36E3789B" w14:textId="77777777" w:rsidR="002A21AE" w:rsidRDefault="002A21AE">
            <w:pPr>
              <w:pStyle w:val="TableTextBullet1"/>
            </w:pPr>
            <w:r>
              <w:t>Supply type</w:t>
            </w:r>
          </w:p>
          <w:p w14:paraId="4F9698D1" w14:textId="77777777" w:rsidR="002A21AE" w:rsidRDefault="002A21AE">
            <w:pPr>
              <w:pStyle w:val="TableTextBullet1"/>
            </w:pPr>
            <w:r>
              <w:t>In-date (active) Supplies</w:t>
            </w:r>
          </w:p>
          <w:p w14:paraId="5F7160D7" w14:textId="77777777" w:rsidR="002A21AE" w:rsidRDefault="002A21AE">
            <w:pPr>
              <w:pStyle w:val="TableTextBullet1"/>
            </w:pPr>
            <w:r>
              <w:t>Expired (inactive) Supplies</w:t>
            </w:r>
          </w:p>
          <w:p w14:paraId="1B9D0CEC" w14:textId="77777777" w:rsidR="002A21AE" w:rsidRDefault="002A21AE">
            <w:pPr>
              <w:pStyle w:val="TableTextBullet1"/>
            </w:pPr>
            <w:r>
              <w:t>Expiration date of the supply</w:t>
            </w:r>
          </w:p>
          <w:p w14:paraId="73057407" w14:textId="77777777" w:rsidR="002A21AE" w:rsidRDefault="002A21AE">
            <w:pPr>
              <w:pStyle w:val="TableTextBullet1"/>
            </w:pPr>
            <w:r>
              <w:t>Date received</w:t>
            </w:r>
          </w:p>
          <w:p w14:paraId="33411685" w14:textId="77777777" w:rsidR="002A21AE" w:rsidRDefault="002A21AE">
            <w:pPr>
              <w:pStyle w:val="TableText"/>
            </w:pPr>
          </w:p>
          <w:p w14:paraId="6309CE65" w14:textId="2490901D" w:rsidR="002A21AE" w:rsidRDefault="002A21AE">
            <w:pPr>
              <w:pStyle w:val="TableText"/>
              <w:rPr>
                <w:b/>
                <w:bCs/>
                <w:szCs w:val="18"/>
              </w:rPr>
            </w:pPr>
            <w:r>
              <w:rPr>
                <w:b/>
                <w:bCs/>
                <w:szCs w:val="18"/>
              </w:rPr>
              <w:t>NOTES</w:t>
            </w:r>
          </w:p>
          <w:p w14:paraId="0A3FEFFB" w14:textId="77777777" w:rsidR="002A21AE" w:rsidRDefault="002A21AE">
            <w:pPr>
              <w:pStyle w:val="NotesText"/>
            </w:pPr>
          </w:p>
          <w:p w14:paraId="51E62A41" w14:textId="77777777" w:rsidR="002A21AE" w:rsidRDefault="002A21AE">
            <w:pPr>
              <w:pStyle w:val="NotesText"/>
              <w:rPr>
                <w:vanish/>
                <w:szCs w:val="18"/>
              </w:rPr>
            </w:pPr>
            <w:r>
              <w:rPr>
                <w:rFonts w:cs="Arial"/>
                <w:vanish/>
              </w:rPr>
              <w:t xml:space="preserve">BR_81.08 </w:t>
            </w:r>
            <w:r>
              <w:t>A user may view the supply inventory by one, some, or all of the selection criteria.</w:t>
            </w:r>
          </w:p>
          <w:p w14:paraId="05EFD0B1" w14:textId="77777777" w:rsidR="002A21AE" w:rsidRDefault="002A21AE">
            <w:pPr>
              <w:pStyle w:val="NotesText"/>
              <w:rPr>
                <w:vanish/>
                <w:szCs w:val="18"/>
              </w:rPr>
            </w:pPr>
          </w:p>
          <w:p w14:paraId="5C25B7F1" w14:textId="77777777" w:rsidR="002A21AE" w:rsidRDefault="002A21AE">
            <w:pPr>
              <w:pStyle w:val="NotesText"/>
            </w:pPr>
            <w:r>
              <w:rPr>
                <w:vanish/>
                <w:szCs w:val="18"/>
              </w:rPr>
              <w:t>PT_81.01 Supply Types</w:t>
            </w:r>
          </w:p>
        </w:tc>
      </w:tr>
      <w:tr w:rsidR="002A21AE" w14:paraId="2A34E17E" w14:textId="77777777">
        <w:tc>
          <w:tcPr>
            <w:tcW w:w="3240" w:type="dxa"/>
            <w:tcBorders>
              <w:top w:val="single" w:sz="4" w:space="0" w:color="auto"/>
              <w:left w:val="single" w:sz="4" w:space="0" w:color="auto"/>
              <w:bottom w:val="single" w:sz="4" w:space="0" w:color="auto"/>
              <w:right w:val="single" w:sz="4" w:space="0" w:color="auto"/>
            </w:tcBorders>
          </w:tcPr>
          <w:p w14:paraId="7E7A7323" w14:textId="77777777" w:rsidR="002A21AE" w:rsidRDefault="00165119">
            <w:pPr>
              <w:pStyle w:val="TableTextNumbers"/>
            </w:pPr>
            <w:r>
              <w:t xml:space="preserve">Click </w:t>
            </w:r>
            <w:r w:rsidRPr="00165119">
              <w:rPr>
                <w:b/>
              </w:rPr>
              <w:t>OK</w:t>
            </w:r>
            <w:r>
              <w:t xml:space="preserve"> to a</w:t>
            </w:r>
            <w:r w:rsidR="002A21AE">
              <w:t>ccept the displayed selection criteria.</w:t>
            </w:r>
          </w:p>
        </w:tc>
        <w:tc>
          <w:tcPr>
            <w:tcW w:w="6120" w:type="dxa"/>
            <w:tcBorders>
              <w:top w:val="single" w:sz="4" w:space="0" w:color="auto"/>
              <w:left w:val="single" w:sz="4" w:space="0" w:color="auto"/>
              <w:bottom w:val="single" w:sz="4" w:space="0" w:color="auto"/>
              <w:right w:val="single" w:sz="4" w:space="0" w:color="auto"/>
            </w:tcBorders>
          </w:tcPr>
          <w:p w14:paraId="3AA0143B" w14:textId="77777777" w:rsidR="002A21AE" w:rsidRDefault="002A21AE">
            <w:pPr>
              <w:pStyle w:val="TableTextBullet"/>
            </w:pPr>
            <w:r>
              <w:t>Compiles the report and displays an option to print or exit the report.</w:t>
            </w:r>
          </w:p>
        </w:tc>
      </w:tr>
      <w:tr w:rsidR="002A21AE" w14:paraId="184BAAFD" w14:textId="77777777">
        <w:tc>
          <w:tcPr>
            <w:tcW w:w="3240" w:type="dxa"/>
            <w:tcBorders>
              <w:top w:val="single" w:sz="4" w:space="0" w:color="auto"/>
              <w:left w:val="single" w:sz="4" w:space="0" w:color="auto"/>
              <w:bottom w:val="single" w:sz="4" w:space="0" w:color="auto"/>
              <w:right w:val="single" w:sz="4" w:space="0" w:color="auto"/>
            </w:tcBorders>
          </w:tcPr>
          <w:p w14:paraId="49BB723E" w14:textId="77777777" w:rsidR="002A21AE" w:rsidRDefault="002A21AE">
            <w:pPr>
              <w:pStyle w:val="TableTextNumbers"/>
            </w:pPr>
            <w:r>
              <w:t xml:space="preserve">Click </w:t>
            </w:r>
            <w:r>
              <w:rPr>
                <w:b/>
              </w:rPr>
              <w:t>Print Supply Inventory</w:t>
            </w:r>
            <w:r>
              <w:t xml:space="preserve"> to print the list of supplies.</w:t>
            </w:r>
          </w:p>
        </w:tc>
        <w:tc>
          <w:tcPr>
            <w:tcW w:w="6120" w:type="dxa"/>
            <w:tcBorders>
              <w:top w:val="single" w:sz="4" w:space="0" w:color="auto"/>
              <w:left w:val="single" w:sz="4" w:space="0" w:color="auto"/>
              <w:bottom w:val="single" w:sz="4" w:space="0" w:color="auto"/>
              <w:right w:val="single" w:sz="4" w:space="0" w:color="auto"/>
            </w:tcBorders>
          </w:tcPr>
          <w:p w14:paraId="371A9BB3" w14:textId="77777777" w:rsidR="002A21AE" w:rsidRDefault="002A21AE">
            <w:pPr>
              <w:pStyle w:val="TableTextBullet"/>
            </w:pPr>
            <w:r>
              <w:t>Sends the report to print on the printer selected by the user.</w:t>
            </w:r>
          </w:p>
          <w:p w14:paraId="12D40071" w14:textId="77777777" w:rsidR="002A21AE" w:rsidRDefault="002A21AE">
            <w:pPr>
              <w:pStyle w:val="TableText"/>
            </w:pPr>
          </w:p>
          <w:p w14:paraId="6A219D6E" w14:textId="58F571E4" w:rsidR="002A21AE" w:rsidRDefault="002A21AE">
            <w:pPr>
              <w:pStyle w:val="TableText"/>
              <w:rPr>
                <w:b/>
                <w:bCs/>
                <w:szCs w:val="18"/>
              </w:rPr>
            </w:pPr>
            <w:r>
              <w:rPr>
                <w:b/>
                <w:bCs/>
                <w:szCs w:val="18"/>
              </w:rPr>
              <w:t>NOTES</w:t>
            </w:r>
          </w:p>
          <w:p w14:paraId="26A16F83" w14:textId="77777777" w:rsidR="002A21AE" w:rsidRDefault="002A21AE">
            <w:pPr>
              <w:pStyle w:val="NotesText"/>
            </w:pPr>
          </w:p>
          <w:p w14:paraId="1A3FB34F" w14:textId="77777777" w:rsidR="002A21AE" w:rsidRDefault="002A21AE">
            <w:pPr>
              <w:pStyle w:val="NotesText"/>
            </w:pPr>
            <w:r>
              <w:rPr>
                <w:rFonts w:cs="Arial"/>
                <w:vanish/>
              </w:rPr>
              <w:t xml:space="preserve">BR_81.09 </w:t>
            </w:r>
            <w:r>
              <w:t>VBECS displays and prints the report in the supply type order</w:t>
            </w:r>
            <w:r w:rsidR="00F85F11">
              <w:t xml:space="preserve"> </w:t>
            </w:r>
            <w:r>
              <w:rPr>
                <w:vanish/>
                <w:szCs w:val="18"/>
              </w:rPr>
              <w:t>(as defined in PT_81.01)</w:t>
            </w:r>
            <w:r>
              <w:t>: in-date by lot number in reverse chronological order of expiration date, followed by expired and unsatisfactory supplies. Details included in the report:</w:t>
            </w:r>
          </w:p>
          <w:p w14:paraId="18CE9274" w14:textId="77777777" w:rsidR="002A21AE" w:rsidRDefault="002A21AE">
            <w:pPr>
              <w:pStyle w:val="NotesTextBullet"/>
            </w:pPr>
            <w:r>
              <w:t xml:space="preserve">Supply Type (Unit of Measure) </w:t>
            </w:r>
          </w:p>
          <w:p w14:paraId="47D51AD2" w14:textId="77777777" w:rsidR="002A21AE" w:rsidRDefault="002A21AE">
            <w:pPr>
              <w:pStyle w:val="NotesTextBullet"/>
            </w:pPr>
            <w:r>
              <w:t>Manufacturer</w:t>
            </w:r>
          </w:p>
          <w:p w14:paraId="5572CA59" w14:textId="77777777" w:rsidR="002A21AE" w:rsidRDefault="002A21AE">
            <w:pPr>
              <w:pStyle w:val="NotesTextBullet"/>
            </w:pPr>
            <w:r>
              <w:t>Manufacturer’s Supply Name</w:t>
            </w:r>
          </w:p>
          <w:p w14:paraId="2FC98CED" w14:textId="77777777" w:rsidR="002A21AE" w:rsidRDefault="002A21AE">
            <w:pPr>
              <w:pStyle w:val="NotesTextBullet"/>
            </w:pPr>
            <w:r>
              <w:t>Lot Number</w:t>
            </w:r>
          </w:p>
          <w:p w14:paraId="62303CB5" w14:textId="77777777" w:rsidR="002A21AE" w:rsidRDefault="002A21AE">
            <w:pPr>
              <w:pStyle w:val="NotesTextBullet"/>
            </w:pPr>
            <w:r>
              <w:t>Expiration Date</w:t>
            </w:r>
          </w:p>
          <w:p w14:paraId="6F95D912" w14:textId="77777777" w:rsidR="002A21AE" w:rsidRDefault="002A21AE">
            <w:pPr>
              <w:pStyle w:val="NotesTextBullet"/>
            </w:pPr>
            <w:r>
              <w:t>Number Available</w:t>
            </w:r>
          </w:p>
          <w:p w14:paraId="62B58844" w14:textId="77777777" w:rsidR="002A21AE" w:rsidRDefault="002A21AE">
            <w:pPr>
              <w:pStyle w:val="NotesTextBullet"/>
            </w:pPr>
            <w:r>
              <w:t>Inspection upon receipt</w:t>
            </w:r>
          </w:p>
          <w:p w14:paraId="693974F0" w14:textId="77777777" w:rsidR="002A21AE" w:rsidRDefault="002A21AE">
            <w:pPr>
              <w:pStyle w:val="NotesTextBullet"/>
            </w:pPr>
            <w:r>
              <w:t>Invoice Number</w:t>
            </w:r>
          </w:p>
          <w:p w14:paraId="5C480C07" w14:textId="77777777" w:rsidR="002A21AE" w:rsidRDefault="002A21AE">
            <w:pPr>
              <w:pStyle w:val="NotesTextBullet"/>
            </w:pPr>
            <w:r>
              <w:t xml:space="preserve">Received Date/Time </w:t>
            </w:r>
          </w:p>
          <w:p w14:paraId="53025783" w14:textId="77777777" w:rsidR="002A21AE" w:rsidRDefault="002A21AE">
            <w:pPr>
              <w:pStyle w:val="NotesTextBullet"/>
            </w:pPr>
            <w:r>
              <w:t>Received by Tech Name</w:t>
            </w:r>
          </w:p>
          <w:p w14:paraId="1BE416CE" w14:textId="77777777" w:rsidR="002A21AE" w:rsidRDefault="002A21AE" w:rsidP="000C4324">
            <w:pPr>
              <w:pStyle w:val="NotesTextBullet"/>
            </w:pPr>
            <w:r>
              <w:t>Comments</w:t>
            </w:r>
          </w:p>
        </w:tc>
      </w:tr>
      <w:tr w:rsidR="002A21AE" w14:paraId="2075155A" w14:textId="77777777">
        <w:tc>
          <w:tcPr>
            <w:tcW w:w="3240" w:type="dxa"/>
            <w:tcBorders>
              <w:top w:val="single" w:sz="4" w:space="0" w:color="auto"/>
              <w:left w:val="single" w:sz="4" w:space="0" w:color="auto"/>
              <w:bottom w:val="single" w:sz="4" w:space="0" w:color="auto"/>
              <w:right w:val="single" w:sz="4" w:space="0" w:color="auto"/>
            </w:tcBorders>
          </w:tcPr>
          <w:p w14:paraId="29EB70B2" w14:textId="77777777" w:rsidR="002A21AE" w:rsidRDefault="002A21AE">
            <w:pPr>
              <w:pStyle w:val="TableTextNumbers"/>
            </w:pPr>
            <w:r>
              <w:t>Print another report or</w:t>
            </w:r>
            <w:r w:rsidR="00165119">
              <w:t xml:space="preserve"> click </w:t>
            </w:r>
            <w:r w:rsidR="00165119" w:rsidRPr="00165119">
              <w:rPr>
                <w:b/>
              </w:rPr>
              <w:t>Cancel</w:t>
            </w:r>
            <w:r w:rsidR="00165119">
              <w:t xml:space="preserve"> to</w:t>
            </w:r>
            <w:r>
              <w:t xml:space="preserve"> exit. </w:t>
            </w:r>
            <w:r>
              <w:rPr>
                <w:vanish/>
                <w:color w:val="FFFFFF"/>
                <w:szCs w:val="18"/>
              </w:rPr>
              <w:fldChar w:fldCharType="begin"/>
            </w:r>
            <w:r>
              <w:rPr>
                <w:vanish/>
                <w:color w:val="FFFFFF"/>
                <w:szCs w:val="18"/>
              </w:rPr>
              <w:instrText xml:space="preserve"> LISTNUM \l 1 \s 0 </w:instrText>
            </w:r>
            <w:r>
              <w:rPr>
                <w:vanish/>
                <w:color w:val="FFFFFF"/>
                <w:szCs w:val="18"/>
              </w:rPr>
              <w:fldChar w:fldCharType="end">
                <w:numberingChange w:id="258" w:author="MUSZYNSKI, THOMAS D. (SIERRA 7 INC)" w:date="2024-11-26T07:15:00Z" w:original="0."/>
              </w:fldChar>
            </w:r>
          </w:p>
        </w:tc>
        <w:tc>
          <w:tcPr>
            <w:tcW w:w="6120" w:type="dxa"/>
            <w:tcBorders>
              <w:top w:val="single" w:sz="4" w:space="0" w:color="auto"/>
              <w:left w:val="single" w:sz="4" w:space="0" w:color="auto"/>
              <w:bottom w:val="single" w:sz="4" w:space="0" w:color="auto"/>
              <w:right w:val="single" w:sz="4" w:space="0" w:color="auto"/>
            </w:tcBorders>
          </w:tcPr>
          <w:p w14:paraId="484F2CC3" w14:textId="77777777" w:rsidR="002A21AE" w:rsidRDefault="002A21AE">
            <w:pPr>
              <w:pStyle w:val="TableText"/>
            </w:pPr>
          </w:p>
        </w:tc>
      </w:tr>
      <w:bookmarkEnd w:id="257"/>
    </w:tbl>
    <w:p w14:paraId="46C0CF5F" w14:textId="77777777" w:rsidR="00DC6F96" w:rsidRDefault="00DC6F96">
      <w:pPr>
        <w:pStyle w:val="Heading3"/>
      </w:pPr>
    </w:p>
    <w:p w14:paraId="6DE059C2" w14:textId="77777777" w:rsidR="002A21AE" w:rsidRDefault="00DC6F96">
      <w:pPr>
        <w:pStyle w:val="Heading3"/>
      </w:pPr>
      <w:r>
        <w:br w:type="page"/>
      </w:r>
      <w:bookmarkStart w:id="259" w:name="_Toc203765878"/>
      <w:r w:rsidR="002A21AE">
        <w:lastRenderedPageBreak/>
        <w:t>Equipment</w:t>
      </w:r>
      <w:bookmarkEnd w:id="259"/>
      <w:r w:rsidR="002A21AE">
        <w:fldChar w:fldCharType="begin"/>
      </w:r>
      <w:r w:rsidR="002A21AE">
        <w:instrText xml:space="preserve"> XE </w:instrText>
      </w:r>
      <w:r w:rsidR="00FA7E65">
        <w:instrText>“</w:instrText>
      </w:r>
      <w:r w:rsidR="002A21AE">
        <w:instrText>Equipment</w:instrText>
      </w:r>
      <w:r w:rsidR="00FA7E65">
        <w:instrText>”</w:instrText>
      </w:r>
      <w:r w:rsidR="002A21AE">
        <w:instrText xml:space="preserve"> </w:instrText>
      </w:r>
      <w:r w:rsidR="002A21AE">
        <w:fldChar w:fldCharType="end"/>
      </w:r>
      <w:r w:rsidR="002A21AE">
        <w:t xml:space="preserve"> </w:t>
      </w:r>
      <w:r w:rsidR="002A21AE">
        <w:rPr>
          <w:rFonts w:ascii="Times New Roman" w:hAnsi="Times New Roman" w:cs="Times New Roman"/>
          <w:b w:val="0"/>
          <w:vanish/>
          <w:sz w:val="22"/>
        </w:rPr>
        <w:t>UC_22</w:t>
      </w:r>
    </w:p>
    <w:p w14:paraId="52E0570B" w14:textId="77777777" w:rsidR="002A21AE" w:rsidRDefault="002A21AE" w:rsidP="00FA7E65">
      <w:pPr>
        <w:pStyle w:val="BodyText"/>
      </w:pPr>
      <w:r>
        <w:t>The user registers blood bank instruments and other equipment (refrigerators, freezers, thawing bath, incubators, centrifuges, etc.) and records associated maintenance activities.</w:t>
      </w:r>
    </w:p>
    <w:p w14:paraId="03782CAC" w14:textId="77777777" w:rsidR="002A21AE" w:rsidRDefault="002A21AE">
      <w:pPr>
        <w:pStyle w:val="Heading4"/>
        <w:rPr>
          <w:b w:val="0"/>
        </w:rPr>
      </w:pPr>
      <w:r>
        <w:t>Assumptions</w:t>
      </w:r>
    </w:p>
    <w:p w14:paraId="345676A3" w14:textId="77777777" w:rsidR="002A21AE" w:rsidRDefault="002A21AE">
      <w:pPr>
        <w:pStyle w:val="ListBullet"/>
      </w:pPr>
      <w:r>
        <w:rPr>
          <w:rFonts w:ascii="Arial" w:hAnsi="Arial" w:cs="Arial"/>
          <w:vanish/>
          <w:spacing w:val="0"/>
          <w:sz w:val="18"/>
        </w:rPr>
        <w:t xml:space="preserve">BR_22.01 </w:t>
      </w:r>
      <w:r>
        <w:t>A user may maintain equipment inventory only in the division currently logged into.</w:t>
      </w:r>
    </w:p>
    <w:p w14:paraId="74120EDF" w14:textId="77777777" w:rsidR="002A21AE" w:rsidRDefault="002A21AE">
      <w:pPr>
        <w:pStyle w:val="Heading4"/>
      </w:pPr>
      <w:r>
        <w:t xml:space="preserve">Outcome </w:t>
      </w:r>
    </w:p>
    <w:p w14:paraId="73D18209" w14:textId="77777777" w:rsidR="002A21AE" w:rsidRDefault="002A21AE">
      <w:pPr>
        <w:pStyle w:val="ListBullet"/>
        <w:rPr>
          <w:b/>
        </w:rPr>
      </w:pPr>
      <w:r>
        <w:t>An equipment maintenance record, accessible within the division of entry, was established.</w:t>
      </w:r>
    </w:p>
    <w:p w14:paraId="46C28F8A" w14:textId="77777777" w:rsidR="00561829" w:rsidRDefault="00561829" w:rsidP="00561829">
      <w:pPr>
        <w:pStyle w:val="ListBullet"/>
      </w:pPr>
      <w:r>
        <w:t>If workload codes are assigned for this process, workload-related data collected as the result of this process are stored for inclusion in Workload Reports.</w:t>
      </w:r>
    </w:p>
    <w:p w14:paraId="47768B61" w14:textId="77777777" w:rsidR="002A21AE" w:rsidRDefault="002A21AE">
      <w:pPr>
        <w:pStyle w:val="Heading4"/>
      </w:pPr>
      <w:r>
        <w:t xml:space="preserve">Limitations and Restrictions </w:t>
      </w:r>
    </w:p>
    <w:p w14:paraId="29CDE8AC" w14:textId="77777777" w:rsidR="002A21AE" w:rsidRDefault="002A21AE">
      <w:pPr>
        <w:pStyle w:val="ListBullet"/>
      </w:pPr>
      <w:r>
        <w:t>VBECS does not check for duplicate entries of equipment names and identifiers.</w:t>
      </w:r>
    </w:p>
    <w:p w14:paraId="5B63DF8E" w14:textId="77777777" w:rsidR="002A21AE" w:rsidRDefault="002A21AE">
      <w:pPr>
        <w:pStyle w:val="ListBullet"/>
      </w:pPr>
      <w:r>
        <w:t xml:space="preserve">There is no retrospective data entry or user selection for </w:t>
      </w:r>
      <w:r w:rsidR="00932460">
        <w:t>this option</w:t>
      </w:r>
      <w:r>
        <w:t>.</w:t>
      </w:r>
    </w:p>
    <w:p w14:paraId="218438F5" w14:textId="77777777" w:rsidR="002A21AE" w:rsidRDefault="002A21AE">
      <w:pPr>
        <w:pStyle w:val="Heading4"/>
      </w:pPr>
      <w:r>
        <w:t xml:space="preserve">Additional Information </w:t>
      </w:r>
    </w:p>
    <w:p w14:paraId="6889D7D5" w14:textId="77777777" w:rsidR="002A21AE" w:rsidRDefault="002A21AE">
      <w:pPr>
        <w:pStyle w:val="ListBullet"/>
      </w:pPr>
      <w:r>
        <w:t>VBECS does not calculate inventory levels for supplies or equipment.</w:t>
      </w:r>
    </w:p>
    <w:p w14:paraId="0B29F580" w14:textId="77777777" w:rsidR="002A21AE" w:rsidRDefault="002A21AE">
      <w:pPr>
        <w:pStyle w:val="Heading4"/>
        <w:rPr>
          <w:b w:val="0"/>
        </w:rPr>
      </w:pPr>
      <w:r>
        <w:t>User Roles with Access to This Option</w:t>
      </w:r>
      <w:r>
        <w:rPr>
          <w:b w:val="0"/>
        </w:rPr>
        <w:t xml:space="preserve"> </w:t>
      </w:r>
    </w:p>
    <w:p w14:paraId="63BBF149" w14:textId="77777777" w:rsidR="002A21AE" w:rsidRDefault="00410B0E">
      <w:pPr>
        <w:pStyle w:val="Roles"/>
        <w:rPr>
          <w:snapToGrid w:val="0"/>
        </w:rPr>
      </w:pPr>
      <w:r>
        <w:t>All users</w:t>
      </w:r>
    </w:p>
    <w:p w14:paraId="3C2469CB" w14:textId="77777777" w:rsidR="002A21AE" w:rsidRDefault="002A21AE">
      <w:pPr>
        <w:pStyle w:val="Heading4"/>
      </w:pPr>
      <w:r>
        <w:t>Equipment: Log In Equipment</w:t>
      </w:r>
      <w:r>
        <w:fldChar w:fldCharType="begin"/>
      </w:r>
      <w:r>
        <w:instrText xml:space="preserve"> XE </w:instrText>
      </w:r>
      <w:r w:rsidR="00FA7E65">
        <w:instrText>“</w:instrText>
      </w:r>
      <w:r>
        <w:instrText>Equipment\: Log In Equipment</w:instrText>
      </w:r>
      <w:r w:rsidR="00FA7E65">
        <w:instrText>”</w:instrText>
      </w:r>
      <w:r>
        <w:instrText xml:space="preserve"> </w:instrText>
      </w:r>
      <w:r>
        <w:fldChar w:fldCharType="end"/>
      </w:r>
    </w:p>
    <w:p w14:paraId="5BFB5647" w14:textId="77777777" w:rsidR="002A21AE" w:rsidRDefault="002A21AE" w:rsidP="00FA7E65">
      <w:pPr>
        <w:pStyle w:val="BodyText"/>
      </w:pPr>
      <w:r>
        <w:t>A user add</w:t>
      </w:r>
      <w:r w:rsidR="0000095B">
        <w:t>s</w:t>
      </w:r>
      <w:r>
        <w:t xml:space="preserve"> new equipment or maintain</w:t>
      </w:r>
      <w:r w:rsidR="0000095B">
        <w:t>s</w:t>
      </w:r>
      <w:r>
        <w:t xml:space="preserve"> existing equipment. After equipment is registered, the user must record periodic maintenance. The equipment records are updated and retained according to local procedure and policy. Once an equipment record is established, it may be selected as equipment used during a blood product modification.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71349994" w14:textId="77777777">
        <w:trPr>
          <w:cantSplit/>
          <w:tblHeader/>
        </w:trPr>
        <w:tc>
          <w:tcPr>
            <w:tcW w:w="3240" w:type="dxa"/>
            <w:shd w:val="pct30" w:color="auto" w:fill="FFFFFF"/>
            <w:vAlign w:val="bottom"/>
          </w:tcPr>
          <w:p w14:paraId="5429D136" w14:textId="77777777" w:rsidR="002A21AE" w:rsidRDefault="002A21AE">
            <w:pPr>
              <w:pStyle w:val="TableText"/>
              <w:rPr>
                <w:b/>
              </w:rPr>
            </w:pPr>
            <w:r>
              <w:rPr>
                <w:b/>
              </w:rPr>
              <w:t>User Action</w:t>
            </w:r>
          </w:p>
        </w:tc>
        <w:tc>
          <w:tcPr>
            <w:tcW w:w="6120" w:type="dxa"/>
            <w:shd w:val="pct30" w:color="auto" w:fill="FFFFFF"/>
            <w:vAlign w:val="bottom"/>
          </w:tcPr>
          <w:p w14:paraId="634BE247" w14:textId="77777777" w:rsidR="002A21AE" w:rsidRDefault="002A21AE">
            <w:pPr>
              <w:pStyle w:val="TableText"/>
              <w:rPr>
                <w:b/>
              </w:rPr>
            </w:pPr>
            <w:r>
              <w:rPr>
                <w:b/>
              </w:rPr>
              <w:t>VBECS</w:t>
            </w:r>
          </w:p>
        </w:tc>
      </w:tr>
      <w:tr w:rsidR="002A21AE" w14:paraId="546EFB15" w14:textId="77777777">
        <w:tc>
          <w:tcPr>
            <w:tcW w:w="3240" w:type="dxa"/>
          </w:tcPr>
          <w:p w14:paraId="09F4B02A" w14:textId="77777777" w:rsidR="002A21AE" w:rsidRDefault="002A21AE">
            <w:pPr>
              <w:pStyle w:val="TableTextNumbers"/>
            </w:pPr>
            <w:r>
              <w:t xml:space="preserve">To add new equipment, select </w:t>
            </w:r>
            <w:r>
              <w:rPr>
                <w:b/>
              </w:rPr>
              <w:t>Tools</w:t>
            </w:r>
            <w:r>
              <w:t xml:space="preserve"> from the main menu.</w:t>
            </w:r>
          </w:p>
          <w:p w14:paraId="0B16F63B" w14:textId="77777777" w:rsidR="002A21AE" w:rsidRDefault="002A21AE">
            <w:pPr>
              <w:pStyle w:val="TableTextNumbersContinued"/>
            </w:pPr>
          </w:p>
          <w:p w14:paraId="0AF0E70A" w14:textId="77777777" w:rsidR="002A21AE" w:rsidRDefault="002A21AE">
            <w:pPr>
              <w:pStyle w:val="TableTextNumbersContinued"/>
            </w:pPr>
            <w:r>
              <w:t xml:space="preserve">Select </w:t>
            </w:r>
            <w:r>
              <w:rPr>
                <w:b/>
              </w:rPr>
              <w:t>Equipment</w:t>
            </w:r>
            <w:r>
              <w:t>.</w:t>
            </w:r>
          </w:p>
        </w:tc>
        <w:tc>
          <w:tcPr>
            <w:tcW w:w="6120" w:type="dxa"/>
          </w:tcPr>
          <w:p w14:paraId="56DC278C" w14:textId="77777777" w:rsidR="002A21AE" w:rsidRDefault="002A21AE">
            <w:pPr>
              <w:pStyle w:val="TableTextBullet"/>
            </w:pPr>
            <w:r>
              <w:t>Displays options to maintain equipment maintenance.</w:t>
            </w:r>
          </w:p>
          <w:p w14:paraId="56E6198C" w14:textId="77777777" w:rsidR="002A21AE" w:rsidRDefault="002A21AE">
            <w:pPr>
              <w:pStyle w:val="NotesText"/>
            </w:pPr>
          </w:p>
        </w:tc>
      </w:tr>
      <w:tr w:rsidR="002A21AE" w14:paraId="088B4C72" w14:textId="77777777">
        <w:tc>
          <w:tcPr>
            <w:tcW w:w="3240" w:type="dxa"/>
            <w:tcBorders>
              <w:top w:val="single" w:sz="4" w:space="0" w:color="auto"/>
              <w:left w:val="single" w:sz="4" w:space="0" w:color="auto"/>
              <w:bottom w:val="single" w:sz="4" w:space="0" w:color="auto"/>
              <w:right w:val="single" w:sz="4" w:space="0" w:color="auto"/>
            </w:tcBorders>
          </w:tcPr>
          <w:p w14:paraId="40A32BB2" w14:textId="77777777" w:rsidR="002A21AE" w:rsidRDefault="002A21AE">
            <w:pPr>
              <w:pStyle w:val="TableTextNumbers"/>
            </w:pPr>
            <w:r>
              <w:t xml:space="preserve">Select </w:t>
            </w:r>
            <w:r>
              <w:rPr>
                <w:b/>
              </w:rPr>
              <w:t>Log In Equipment</w:t>
            </w:r>
            <w:r>
              <w:t xml:space="preserve"> to create an equipment record or </w:t>
            </w:r>
            <w:r>
              <w:rPr>
                <w:b/>
              </w:rPr>
              <w:t>Maintain Equipment</w:t>
            </w:r>
            <w:r>
              <w:t xml:space="preserve"> to record maintenance (see Equipment: Maintain Equipment).</w:t>
            </w:r>
          </w:p>
        </w:tc>
        <w:tc>
          <w:tcPr>
            <w:tcW w:w="6120" w:type="dxa"/>
            <w:tcBorders>
              <w:top w:val="single" w:sz="4" w:space="0" w:color="auto"/>
              <w:left w:val="single" w:sz="4" w:space="0" w:color="auto"/>
              <w:bottom w:val="single" w:sz="4" w:space="0" w:color="auto"/>
              <w:right w:val="single" w:sz="4" w:space="0" w:color="auto"/>
            </w:tcBorders>
          </w:tcPr>
          <w:p w14:paraId="4ED0280D" w14:textId="77777777" w:rsidR="002A21AE" w:rsidRDefault="002A21AE">
            <w:pPr>
              <w:pStyle w:val="TableTextBullet"/>
            </w:pPr>
            <w:r>
              <w:rPr>
                <w:rFonts w:cs="Arial"/>
                <w:vanish/>
              </w:rPr>
              <w:t xml:space="preserve">BR_22.05 </w:t>
            </w:r>
            <w:r>
              <w:t>Displays an empty equipment property template.</w:t>
            </w:r>
          </w:p>
          <w:p w14:paraId="229D5324" w14:textId="77777777" w:rsidR="002A21AE" w:rsidRDefault="002A21AE">
            <w:pPr>
              <w:pStyle w:val="TableTextBullet"/>
            </w:pPr>
            <w:r>
              <w:t>Displays all in-service equipment items for the blood bank associated with the user’s division and offers the option to display out-of-service equipment.</w:t>
            </w:r>
          </w:p>
        </w:tc>
      </w:tr>
      <w:tr w:rsidR="002A21AE" w14:paraId="10E5BC00" w14:textId="77777777" w:rsidTr="007E500E">
        <w:trPr>
          <w:cantSplit/>
        </w:trPr>
        <w:tc>
          <w:tcPr>
            <w:tcW w:w="3240" w:type="dxa"/>
            <w:tcBorders>
              <w:top w:val="single" w:sz="4" w:space="0" w:color="auto"/>
              <w:left w:val="single" w:sz="4" w:space="0" w:color="auto"/>
              <w:bottom w:val="single" w:sz="4" w:space="0" w:color="auto"/>
              <w:right w:val="single" w:sz="4" w:space="0" w:color="auto"/>
            </w:tcBorders>
          </w:tcPr>
          <w:p w14:paraId="63006603" w14:textId="77777777" w:rsidR="002A21AE" w:rsidRDefault="002A21AE">
            <w:pPr>
              <w:pStyle w:val="TableTextNumbers"/>
            </w:pPr>
            <w:r>
              <w:lastRenderedPageBreak/>
              <w:t>Equipment Info area: Enter the equipment information in the appropriate fields. Enter or select an equipment type from the drop-down menu.</w:t>
            </w:r>
          </w:p>
          <w:p w14:paraId="21566E90" w14:textId="77777777" w:rsidR="002A21AE" w:rsidRDefault="002A21AE">
            <w:pPr>
              <w:pStyle w:val="TableTextNumbersContinued"/>
              <w:rPr>
                <w:b/>
                <w:bCs/>
              </w:rPr>
            </w:pPr>
          </w:p>
          <w:p w14:paraId="0BDC4C41" w14:textId="77777777" w:rsidR="002A21AE" w:rsidRDefault="002A21AE">
            <w:pPr>
              <w:pStyle w:val="TableTextNumbersContinued"/>
            </w:pPr>
            <w:r>
              <w:t>Installation Info area: Select or edit the date and time in the Date Received/Installed field.</w:t>
            </w:r>
          </w:p>
          <w:p w14:paraId="1D660719" w14:textId="77777777" w:rsidR="002A21AE" w:rsidRDefault="002A21AE">
            <w:pPr>
              <w:pStyle w:val="TableTextNumbersContinued"/>
            </w:pPr>
          </w:p>
          <w:p w14:paraId="6E2B075F" w14:textId="77777777" w:rsidR="002A21AE" w:rsidRDefault="002A21AE">
            <w:pPr>
              <w:pStyle w:val="TableTextNumbersContinued"/>
            </w:pPr>
            <w:r>
              <w:t xml:space="preserve">Click the </w:t>
            </w:r>
            <w:r>
              <w:rPr>
                <w:b/>
              </w:rPr>
              <w:t xml:space="preserve">Expiration/Renewal Date </w:t>
            </w:r>
            <w:r w:rsidRPr="00D1100E">
              <w:t>check box</w:t>
            </w:r>
            <w:r>
              <w:rPr>
                <w:b/>
              </w:rPr>
              <w:t xml:space="preserve"> </w:t>
            </w:r>
            <w:r>
              <w:t xml:space="preserve">when there’s an expiration or renewal date, and edit the date as above. </w:t>
            </w:r>
          </w:p>
          <w:p w14:paraId="03C6B7AF" w14:textId="77777777" w:rsidR="002A21AE" w:rsidRDefault="002A21AE">
            <w:pPr>
              <w:pStyle w:val="TableTextNumbersContinued"/>
            </w:pPr>
          </w:p>
          <w:p w14:paraId="798164E6" w14:textId="77777777" w:rsidR="002A21AE" w:rsidRDefault="002A21AE">
            <w:pPr>
              <w:pStyle w:val="TableTextNumbersContinued"/>
            </w:pPr>
            <w:r>
              <w:t>Manufacturer Info area: Enter the manufacturer name or select a manufacturer from the drop-down list.</w:t>
            </w:r>
          </w:p>
          <w:p w14:paraId="7408D1D3" w14:textId="77777777" w:rsidR="002A21AE" w:rsidRDefault="002A21AE">
            <w:pPr>
              <w:pStyle w:val="TableTextNumbersContinued"/>
            </w:pPr>
          </w:p>
          <w:p w14:paraId="116678AD" w14:textId="77777777" w:rsidR="002A21AE" w:rsidRDefault="002A21AE">
            <w:pPr>
              <w:pStyle w:val="TableTextNumbersContinued"/>
            </w:pPr>
            <w:r>
              <w:t xml:space="preserve">Enter the manufacturer’s contact information in the appropriate fields or click the </w:t>
            </w:r>
            <w:r w:rsidR="00A6373D">
              <w:rPr>
                <w:b/>
              </w:rPr>
              <w:t>find</w:t>
            </w:r>
            <w:r w:rsidRPr="00BF2E41">
              <w:t xml:space="preserve"> button</w:t>
            </w:r>
            <w:r>
              <w:t xml:space="preserve"> to select the manufacturer’s address.</w:t>
            </w:r>
          </w:p>
          <w:p w14:paraId="2330436A" w14:textId="77777777" w:rsidR="002A21AE" w:rsidRDefault="002A21AE">
            <w:pPr>
              <w:pStyle w:val="TableTextNumbersContinued"/>
            </w:pPr>
          </w:p>
          <w:p w14:paraId="0D9706B0" w14:textId="019772D5" w:rsidR="002A21AE" w:rsidRDefault="002A21AE">
            <w:pPr>
              <w:pStyle w:val="TableTextNumbersContinued"/>
            </w:pPr>
            <w:r>
              <w:t xml:space="preserve">Click </w:t>
            </w:r>
            <w:r>
              <w:rPr>
                <w:b/>
              </w:rPr>
              <w:t>Add</w:t>
            </w:r>
            <w:r>
              <w:t xml:space="preserve"> to add the equipment to inventory</w:t>
            </w:r>
            <w:r w:rsidR="00D33C56">
              <w:t xml:space="preserve"> (</w:t>
            </w:r>
            <w:r w:rsidR="00EE455E">
              <w:t xml:space="preserve">Figure </w:t>
            </w:r>
            <w:r w:rsidR="00EE455E">
              <w:rPr>
                <w:noProof/>
              </w:rPr>
              <w:t>45</w:t>
            </w:r>
            <w:r w:rsidR="00D33C56">
              <w:t>)</w:t>
            </w:r>
            <w:r>
              <w:t>.</w:t>
            </w:r>
          </w:p>
        </w:tc>
        <w:tc>
          <w:tcPr>
            <w:tcW w:w="6120" w:type="dxa"/>
            <w:tcBorders>
              <w:top w:val="single" w:sz="4" w:space="0" w:color="auto"/>
              <w:left w:val="single" w:sz="4" w:space="0" w:color="auto"/>
              <w:bottom w:val="single" w:sz="4" w:space="0" w:color="auto"/>
              <w:right w:val="single" w:sz="4" w:space="0" w:color="auto"/>
            </w:tcBorders>
          </w:tcPr>
          <w:p w14:paraId="75E844DB" w14:textId="77777777" w:rsidR="002A21AE" w:rsidRDefault="002A21AE">
            <w:pPr>
              <w:pStyle w:val="TableTextBullet"/>
            </w:pPr>
            <w:r>
              <w:t>Displays fields for entering equipment name, ID, serial number, and type in the Equipment Info area.</w:t>
            </w:r>
          </w:p>
          <w:p w14:paraId="6AA68B3A" w14:textId="77777777" w:rsidR="002A21AE" w:rsidRDefault="002A21AE">
            <w:pPr>
              <w:pStyle w:val="TableTextBullet"/>
            </w:pPr>
            <w:r>
              <w:t>Displays fields for entering the date the equipment was received or installed, warranty or service contract number, and expiration or renewal service contract date in the Installation Info area.</w:t>
            </w:r>
          </w:p>
          <w:p w14:paraId="12383213" w14:textId="77777777" w:rsidR="002A21AE" w:rsidRDefault="002A21AE">
            <w:pPr>
              <w:pStyle w:val="TableTextBullet"/>
            </w:pPr>
            <w:r>
              <w:t>Displays fields for entering the manufacturer name, address, and phone in the Manufacturer Info area.</w:t>
            </w:r>
          </w:p>
        </w:tc>
      </w:tr>
      <w:tr w:rsidR="002A21AE" w14:paraId="00DB82BD" w14:textId="77777777">
        <w:tc>
          <w:tcPr>
            <w:tcW w:w="3240" w:type="dxa"/>
            <w:tcBorders>
              <w:top w:val="single" w:sz="4" w:space="0" w:color="auto"/>
              <w:left w:val="single" w:sz="4" w:space="0" w:color="auto"/>
              <w:bottom w:val="single" w:sz="4" w:space="0" w:color="auto"/>
              <w:right w:val="single" w:sz="4" w:space="0" w:color="auto"/>
            </w:tcBorders>
          </w:tcPr>
          <w:p w14:paraId="586A0F36" w14:textId="77777777" w:rsidR="002A21AE" w:rsidRDefault="002A21AE">
            <w:pPr>
              <w:pStyle w:val="TableTextNumbers"/>
            </w:pPr>
            <w:r>
              <w:t>Repeat Step 3 to add new items to the equipment list.</w:t>
            </w:r>
          </w:p>
          <w:p w14:paraId="77D661D5" w14:textId="77777777" w:rsidR="002A21AE" w:rsidRDefault="002A21AE">
            <w:pPr>
              <w:pStyle w:val="TableTextNumbersContinued"/>
            </w:pPr>
          </w:p>
          <w:p w14:paraId="767412B3" w14:textId="77777777" w:rsidR="002A21AE" w:rsidRDefault="002A21AE">
            <w:pPr>
              <w:pStyle w:val="TableTextNumbersContinued"/>
            </w:pPr>
            <w:r>
              <w:t xml:space="preserve">Click </w:t>
            </w:r>
            <w:r>
              <w:rPr>
                <w:b/>
              </w:rPr>
              <w:t>OK</w:t>
            </w:r>
            <w:r>
              <w:t xml:space="preserve"> to save.</w:t>
            </w:r>
          </w:p>
        </w:tc>
        <w:tc>
          <w:tcPr>
            <w:tcW w:w="6120" w:type="dxa"/>
            <w:tcBorders>
              <w:top w:val="single" w:sz="4" w:space="0" w:color="auto"/>
              <w:left w:val="single" w:sz="4" w:space="0" w:color="auto"/>
              <w:bottom w:val="single" w:sz="4" w:space="0" w:color="auto"/>
              <w:right w:val="single" w:sz="4" w:space="0" w:color="auto"/>
            </w:tcBorders>
          </w:tcPr>
          <w:p w14:paraId="5DFE53A3" w14:textId="77777777" w:rsidR="002A21AE" w:rsidRDefault="002A21AE">
            <w:pPr>
              <w:pStyle w:val="TableTextBullet"/>
            </w:pPr>
            <w:r>
              <w:rPr>
                <w:rFonts w:cs="Arial"/>
                <w:vanish/>
              </w:rPr>
              <w:t xml:space="preserve">BR_22.02 </w:t>
            </w:r>
            <w:r>
              <w:t>VBECS maintains a historical record for each piece of equipment entered.</w:t>
            </w:r>
          </w:p>
        </w:tc>
      </w:tr>
      <w:tr w:rsidR="002A21AE" w14:paraId="3441D556" w14:textId="77777777">
        <w:tc>
          <w:tcPr>
            <w:tcW w:w="3240" w:type="dxa"/>
            <w:tcBorders>
              <w:top w:val="single" w:sz="4" w:space="0" w:color="auto"/>
              <w:left w:val="single" w:sz="4" w:space="0" w:color="auto"/>
              <w:bottom w:val="single" w:sz="4" w:space="0" w:color="auto"/>
              <w:right w:val="single" w:sz="4" w:space="0" w:color="auto"/>
            </w:tcBorders>
          </w:tcPr>
          <w:p w14:paraId="00333D11" w14:textId="77777777" w:rsidR="002A21AE" w:rsidRDefault="002A21AE">
            <w:pPr>
              <w:pStyle w:val="TableTextNumbers"/>
            </w:pPr>
            <w:r>
              <w:t xml:space="preserve">Click </w:t>
            </w:r>
            <w:r>
              <w:rPr>
                <w:b/>
              </w:rPr>
              <w:t>Yes</w:t>
            </w:r>
            <w:r>
              <w:t xml:space="preserve"> to confirm and exit.</w:t>
            </w:r>
            <w:r>
              <w:rPr>
                <w:vanish/>
                <w:szCs w:val="18"/>
              </w:rPr>
              <w:t xml:space="preserve"> </w:t>
            </w:r>
            <w:r>
              <w:rPr>
                <w:vanish/>
                <w:color w:val="FFFFFF"/>
                <w:szCs w:val="18"/>
              </w:rPr>
              <w:fldChar w:fldCharType="begin"/>
            </w:r>
            <w:r>
              <w:rPr>
                <w:vanish/>
                <w:color w:val="FFFFFF"/>
                <w:szCs w:val="18"/>
              </w:rPr>
              <w:instrText xml:space="preserve"> LISTNUM \l 1 \s 0 </w:instrText>
            </w:r>
            <w:r>
              <w:rPr>
                <w:vanish/>
                <w:color w:val="FFFFFF"/>
                <w:szCs w:val="18"/>
              </w:rPr>
              <w:fldChar w:fldCharType="end">
                <w:numberingChange w:id="260" w:author="MUSZYNSKI, THOMAS D. (SIERRA 7 INC)" w:date="2024-11-26T07:15:00Z" w:original="0."/>
              </w:fldChar>
            </w:r>
          </w:p>
        </w:tc>
        <w:tc>
          <w:tcPr>
            <w:tcW w:w="6120" w:type="dxa"/>
            <w:tcBorders>
              <w:top w:val="single" w:sz="4" w:space="0" w:color="auto"/>
              <w:left w:val="single" w:sz="4" w:space="0" w:color="auto"/>
              <w:bottom w:val="single" w:sz="4" w:space="0" w:color="auto"/>
              <w:right w:val="single" w:sz="4" w:space="0" w:color="auto"/>
            </w:tcBorders>
          </w:tcPr>
          <w:p w14:paraId="48BA75B1" w14:textId="77777777" w:rsidR="002A21AE" w:rsidRDefault="002A21AE">
            <w:pPr>
              <w:pStyle w:val="TableText"/>
            </w:pPr>
          </w:p>
        </w:tc>
      </w:tr>
    </w:tbl>
    <w:p w14:paraId="5CA22400" w14:textId="2543702A" w:rsidR="00D33C56" w:rsidRDefault="00D33C56" w:rsidP="00D33C56">
      <w:pPr>
        <w:pStyle w:val="Caption"/>
      </w:pPr>
      <w:bookmarkStart w:id="261" w:name="_Toc67109534"/>
      <w:bookmarkStart w:id="262" w:name="_Ref126556319"/>
      <w:bookmarkEnd w:id="261"/>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7D1829">
        <w:rPr>
          <w:noProof/>
        </w:rPr>
        <w:t>46</w:t>
      </w:r>
      <w:r w:rsidR="004E20BD">
        <w:rPr>
          <w:noProof/>
        </w:rPr>
        <w:fldChar w:fldCharType="end"/>
      </w:r>
      <w:bookmarkEnd w:id="262"/>
      <w:r>
        <w:t>: Log In Equipment</w:t>
      </w:r>
    </w:p>
    <w:p w14:paraId="534BF315" w14:textId="77777777" w:rsidR="00F00E49" w:rsidRDefault="00057948" w:rsidP="00F00E49">
      <w:pPr>
        <w:pStyle w:val="BodyText"/>
      </w:pPr>
      <w:r>
        <w:rPr>
          <w:noProof/>
        </w:rPr>
        <w:drawing>
          <wp:inline distT="0" distB="0" distL="0" distR="0" wp14:anchorId="5CF459A1" wp14:editId="324D7434">
            <wp:extent cx="5939155" cy="3814445"/>
            <wp:effectExtent l="0" t="0" r="4445" b="0"/>
            <wp:docPr id="148" name="Picture 148" descr="Example of Log In Equipment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Picture 148" descr="Example of Log In Equipment screen capture"/>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5939155" cy="3814445"/>
                    </a:xfrm>
                    <a:prstGeom prst="rect">
                      <a:avLst/>
                    </a:prstGeom>
                    <a:noFill/>
                    <a:ln>
                      <a:noFill/>
                    </a:ln>
                  </pic:spPr>
                </pic:pic>
              </a:graphicData>
            </a:graphic>
          </wp:inline>
        </w:drawing>
      </w:r>
    </w:p>
    <w:p w14:paraId="23B959BA" w14:textId="77777777" w:rsidR="002A21AE" w:rsidRDefault="00DC6F96">
      <w:pPr>
        <w:pStyle w:val="Heading4"/>
      </w:pPr>
      <w:r>
        <w:br w:type="page"/>
      </w:r>
      <w:r w:rsidR="002A21AE">
        <w:lastRenderedPageBreak/>
        <w:t>Equipment: Maintain Equipment</w:t>
      </w:r>
      <w:r w:rsidR="002A21AE">
        <w:fldChar w:fldCharType="begin"/>
      </w:r>
      <w:r w:rsidR="002A21AE">
        <w:instrText xml:space="preserve"> XE </w:instrText>
      </w:r>
      <w:r w:rsidR="00FA7E65">
        <w:instrText>“</w:instrText>
      </w:r>
      <w:r w:rsidR="002A21AE">
        <w:instrText>Equipment\: Maintain Equipment</w:instrText>
      </w:r>
      <w:r w:rsidR="00FA7E65">
        <w:instrText>”</w:instrText>
      </w:r>
      <w:r w:rsidR="002A21AE">
        <w:instrText xml:space="preserve"> </w:instrText>
      </w:r>
      <w:r w:rsidR="002A21AE">
        <w:fldChar w:fldCharType="end"/>
      </w:r>
      <w:r w:rsidR="002A21AE">
        <w:t xml:space="preserve"> </w:t>
      </w:r>
    </w:p>
    <w:p w14:paraId="18B3FA08" w14:textId="77777777" w:rsidR="002A21AE" w:rsidRDefault="002A21AE" w:rsidP="00FA7E65">
      <w:pPr>
        <w:pStyle w:val="BodyText"/>
      </w:pPr>
      <w:r>
        <w:t>The user maintain</w:t>
      </w:r>
      <w:r w:rsidR="00D268A9">
        <w:t>s</w:t>
      </w:r>
      <w:r>
        <w:t xml:space="preserve"> an online equipment record to record periodic maintenance. Equipment records are updated and retained according to local procedure and policy.</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48695480" w14:textId="77777777">
        <w:trPr>
          <w:tblHeader/>
        </w:trPr>
        <w:tc>
          <w:tcPr>
            <w:tcW w:w="3240" w:type="dxa"/>
            <w:shd w:val="clear" w:color="auto" w:fill="B3B3B3"/>
            <w:vAlign w:val="bottom"/>
          </w:tcPr>
          <w:p w14:paraId="4B8BC6FE" w14:textId="77777777" w:rsidR="002A21AE" w:rsidRDefault="002A21AE">
            <w:pPr>
              <w:pStyle w:val="TableText"/>
              <w:rPr>
                <w:b/>
              </w:rPr>
            </w:pPr>
            <w:r>
              <w:rPr>
                <w:b/>
              </w:rPr>
              <w:t>User Action</w:t>
            </w:r>
          </w:p>
        </w:tc>
        <w:tc>
          <w:tcPr>
            <w:tcW w:w="6120" w:type="dxa"/>
            <w:shd w:val="clear" w:color="auto" w:fill="B3B3B3"/>
            <w:vAlign w:val="bottom"/>
          </w:tcPr>
          <w:p w14:paraId="4C5DE00E" w14:textId="77777777" w:rsidR="002A21AE" w:rsidRDefault="002A21AE">
            <w:pPr>
              <w:pStyle w:val="TableText"/>
              <w:rPr>
                <w:b/>
              </w:rPr>
            </w:pPr>
            <w:r>
              <w:rPr>
                <w:b/>
              </w:rPr>
              <w:t>VBECS</w:t>
            </w:r>
          </w:p>
        </w:tc>
      </w:tr>
      <w:tr w:rsidR="002A21AE" w14:paraId="4997DE86" w14:textId="77777777">
        <w:tc>
          <w:tcPr>
            <w:tcW w:w="3240" w:type="dxa"/>
          </w:tcPr>
          <w:p w14:paraId="0BDB7D0F" w14:textId="77777777" w:rsidR="002A21AE" w:rsidRDefault="002A21AE">
            <w:pPr>
              <w:pStyle w:val="TableTextNumbers"/>
            </w:pPr>
            <w:r>
              <w:t xml:space="preserve">To maintain equipment, select </w:t>
            </w:r>
            <w:r>
              <w:rPr>
                <w:b/>
              </w:rPr>
              <w:t>Tools</w:t>
            </w:r>
            <w:r>
              <w:t xml:space="preserve"> from the main menu.</w:t>
            </w:r>
          </w:p>
          <w:p w14:paraId="7E5951A8" w14:textId="77777777" w:rsidR="002A21AE" w:rsidRDefault="002A21AE">
            <w:pPr>
              <w:pStyle w:val="TableTextNumbersContinued"/>
              <w:rPr>
                <w:b/>
                <w:bCs/>
              </w:rPr>
            </w:pPr>
          </w:p>
          <w:p w14:paraId="439E967D" w14:textId="77777777" w:rsidR="002A21AE" w:rsidRDefault="002A21AE">
            <w:pPr>
              <w:pStyle w:val="TableTextNumbersContinued"/>
            </w:pPr>
            <w:r>
              <w:t xml:space="preserve">Select </w:t>
            </w:r>
            <w:r>
              <w:rPr>
                <w:b/>
              </w:rPr>
              <w:t>Equipment</w:t>
            </w:r>
            <w:r>
              <w:t>.</w:t>
            </w:r>
          </w:p>
        </w:tc>
        <w:tc>
          <w:tcPr>
            <w:tcW w:w="6120" w:type="dxa"/>
          </w:tcPr>
          <w:p w14:paraId="36000803" w14:textId="77777777" w:rsidR="002A21AE" w:rsidRDefault="002A21AE">
            <w:pPr>
              <w:pStyle w:val="TableTextBullet"/>
            </w:pPr>
            <w:r>
              <w:t>Displays options to maintain equipment maintenance.</w:t>
            </w:r>
          </w:p>
          <w:p w14:paraId="3A402352" w14:textId="77777777" w:rsidR="002A21AE" w:rsidRDefault="002A21AE">
            <w:pPr>
              <w:pStyle w:val="NotesText"/>
            </w:pPr>
          </w:p>
        </w:tc>
      </w:tr>
      <w:tr w:rsidR="002A21AE" w14:paraId="5325934A" w14:textId="77777777">
        <w:tc>
          <w:tcPr>
            <w:tcW w:w="3240" w:type="dxa"/>
            <w:tcBorders>
              <w:top w:val="single" w:sz="4" w:space="0" w:color="auto"/>
              <w:left w:val="single" w:sz="4" w:space="0" w:color="auto"/>
              <w:bottom w:val="single" w:sz="4" w:space="0" w:color="auto"/>
              <w:right w:val="single" w:sz="4" w:space="0" w:color="auto"/>
            </w:tcBorders>
          </w:tcPr>
          <w:p w14:paraId="62409D6F" w14:textId="77777777" w:rsidR="002A21AE" w:rsidRDefault="002A21AE">
            <w:pPr>
              <w:pStyle w:val="TableTextNumbers"/>
            </w:pPr>
            <w:r>
              <w:t xml:space="preserve">Select </w:t>
            </w:r>
            <w:r>
              <w:rPr>
                <w:b/>
              </w:rPr>
              <w:t>Maintain Equipment</w:t>
            </w:r>
            <w:r>
              <w:t xml:space="preserve"> to record maintenance or </w:t>
            </w:r>
            <w:r>
              <w:rPr>
                <w:b/>
              </w:rPr>
              <w:t>Log In Equipment</w:t>
            </w:r>
            <w:r>
              <w:t xml:space="preserve"> to create an equipment record (see Equipment: Log In Equipment).</w:t>
            </w:r>
            <w:r>
              <w:rPr>
                <w:b/>
              </w:rPr>
              <w:t xml:space="preserve"> </w:t>
            </w:r>
          </w:p>
        </w:tc>
        <w:tc>
          <w:tcPr>
            <w:tcW w:w="6120" w:type="dxa"/>
            <w:tcBorders>
              <w:top w:val="single" w:sz="4" w:space="0" w:color="auto"/>
              <w:left w:val="single" w:sz="4" w:space="0" w:color="auto"/>
              <w:bottom w:val="single" w:sz="4" w:space="0" w:color="auto"/>
              <w:right w:val="single" w:sz="4" w:space="0" w:color="auto"/>
            </w:tcBorders>
          </w:tcPr>
          <w:p w14:paraId="63E49499" w14:textId="77777777" w:rsidR="002A21AE" w:rsidRDefault="002A21AE">
            <w:pPr>
              <w:pStyle w:val="TableTextBullet"/>
            </w:pPr>
            <w:r>
              <w:t>Displays entered in-service equipment items for the blood bank associated with the user’s division and offers the option to display out-of-service equipment.</w:t>
            </w:r>
          </w:p>
        </w:tc>
      </w:tr>
      <w:tr w:rsidR="002A21AE" w14:paraId="70F0D41E" w14:textId="77777777">
        <w:tc>
          <w:tcPr>
            <w:tcW w:w="3240" w:type="dxa"/>
          </w:tcPr>
          <w:p w14:paraId="63905253" w14:textId="1A2B2658" w:rsidR="002A21AE" w:rsidRDefault="002A21AE">
            <w:pPr>
              <w:pStyle w:val="TableTextNumbers"/>
            </w:pPr>
            <w:r>
              <w:t>In the Equipment tab, enter the equipment serial number</w:t>
            </w:r>
            <w:r w:rsidR="005B4E11">
              <w:t xml:space="preserve"> (or </w:t>
            </w:r>
            <w:r>
              <w:t xml:space="preserve">enter part of the serial number and click the </w:t>
            </w:r>
            <w:r>
              <w:rPr>
                <w:b/>
              </w:rPr>
              <w:t>magnifying glass</w:t>
            </w:r>
            <w:r>
              <w:t xml:space="preserve"> to view serial numbers</w:t>
            </w:r>
            <w:r w:rsidR="005B4E11">
              <w:t>)</w:t>
            </w:r>
            <w:r>
              <w:t xml:space="preserve">, or click </w:t>
            </w:r>
            <w:r>
              <w:rPr>
                <w:bdr w:val="single" w:sz="4" w:space="0" w:color="auto"/>
              </w:rPr>
              <w:fldChar w:fldCharType="begin">
                <w:ffData>
                  <w:name w:val=""/>
                  <w:enabled w:val="0"/>
                  <w:calcOnExit w:val="0"/>
                  <w:textInput>
                    <w:default w:val=" + "/>
                  </w:textInput>
                </w:ffData>
              </w:fldChar>
            </w:r>
            <w:r>
              <w:rPr>
                <w:bdr w:val="single" w:sz="4" w:space="0" w:color="auto"/>
              </w:rPr>
              <w:instrText xml:space="preserve"> FORMTEXT </w:instrText>
            </w:r>
            <w:r>
              <w:rPr>
                <w:bdr w:val="single" w:sz="4" w:space="0" w:color="auto"/>
              </w:rPr>
            </w:r>
            <w:r>
              <w:rPr>
                <w:bdr w:val="single" w:sz="4" w:space="0" w:color="auto"/>
              </w:rPr>
              <w:fldChar w:fldCharType="separate"/>
            </w:r>
            <w:r w:rsidR="004E2B6A">
              <w:rPr>
                <w:noProof/>
                <w:bdr w:val="single" w:sz="4" w:space="0" w:color="auto"/>
              </w:rPr>
              <w:t xml:space="preserve"> + </w:t>
            </w:r>
            <w:r>
              <w:rPr>
                <w:bdr w:val="single" w:sz="4" w:space="0" w:color="auto"/>
              </w:rPr>
              <w:fldChar w:fldCharType="end"/>
            </w:r>
            <w:r>
              <w:t xml:space="preserve"> in front of each equipment type and name to view equipment items.</w:t>
            </w:r>
          </w:p>
          <w:p w14:paraId="32B32F31" w14:textId="77777777" w:rsidR="002A21AE" w:rsidRDefault="002A21AE">
            <w:pPr>
              <w:pStyle w:val="TableTextNumbersContinued"/>
            </w:pPr>
          </w:p>
          <w:p w14:paraId="1F263A01" w14:textId="77777777" w:rsidR="002A21AE" w:rsidRDefault="002A21AE">
            <w:pPr>
              <w:pStyle w:val="TableTextNumbersContinued"/>
            </w:pPr>
            <w:r>
              <w:t>Select the serial number of the item whose record will be maintained.</w:t>
            </w:r>
          </w:p>
          <w:p w14:paraId="188BEB9E" w14:textId="77777777" w:rsidR="002A21AE" w:rsidRDefault="002A21AE">
            <w:pPr>
              <w:pStyle w:val="TableTextNumbersContinued"/>
            </w:pPr>
          </w:p>
          <w:p w14:paraId="4ADAC92A" w14:textId="77777777" w:rsidR="002A21AE" w:rsidRDefault="002A21AE">
            <w:pPr>
              <w:pStyle w:val="TableTextNumbersContinued"/>
            </w:pPr>
            <w:r>
              <w:t xml:space="preserve">Click the </w:t>
            </w:r>
            <w:r>
              <w:rPr>
                <w:b/>
              </w:rPr>
              <w:t xml:space="preserve">Include Out of Service Equipment </w:t>
            </w:r>
            <w:r w:rsidRPr="00D1100E">
              <w:t>check box</w:t>
            </w:r>
            <w:r>
              <w:t>, if desired.</w:t>
            </w:r>
          </w:p>
        </w:tc>
        <w:tc>
          <w:tcPr>
            <w:tcW w:w="6120" w:type="dxa"/>
          </w:tcPr>
          <w:p w14:paraId="46643603" w14:textId="77777777" w:rsidR="002A21AE" w:rsidRDefault="002A21AE">
            <w:pPr>
              <w:pStyle w:val="TableTextBullet"/>
            </w:pPr>
            <w:r>
              <w:t>Displays fields for entering the type of maintenance event performed, the date the maintenance was performed, the results of the event, the next scheduled event, the next scheduled maintenance date, and pending maintenance issues in the Maintenance tab, and allows the user to select a maintenance event type and event details.</w:t>
            </w:r>
          </w:p>
          <w:p w14:paraId="0D78DE32" w14:textId="77777777" w:rsidR="002A21AE" w:rsidRDefault="002A21AE">
            <w:pPr>
              <w:pStyle w:val="TableTextBullet"/>
            </w:pPr>
            <w:r>
              <w:t>Displays entered information.</w:t>
            </w:r>
          </w:p>
        </w:tc>
      </w:tr>
      <w:tr w:rsidR="002A21AE" w14:paraId="0485B826" w14:textId="77777777">
        <w:tc>
          <w:tcPr>
            <w:tcW w:w="3240" w:type="dxa"/>
          </w:tcPr>
          <w:p w14:paraId="62066654" w14:textId="77777777" w:rsidR="002A21AE" w:rsidRDefault="002A21AE">
            <w:pPr>
              <w:pStyle w:val="TableTextNumbers"/>
            </w:pPr>
            <w:r>
              <w:t>Review and edit the equipment data in the Equipment tab.</w:t>
            </w:r>
          </w:p>
        </w:tc>
        <w:tc>
          <w:tcPr>
            <w:tcW w:w="6120" w:type="dxa"/>
          </w:tcPr>
          <w:p w14:paraId="2A907FDB" w14:textId="77777777" w:rsidR="002A21AE" w:rsidRDefault="002A21AE">
            <w:pPr>
              <w:pStyle w:val="TableTextBullet"/>
            </w:pPr>
            <w:r>
              <w:t>Displays entered information.</w:t>
            </w:r>
          </w:p>
        </w:tc>
      </w:tr>
      <w:tr w:rsidR="002A21AE" w14:paraId="33DA3297" w14:textId="77777777">
        <w:tc>
          <w:tcPr>
            <w:tcW w:w="3240" w:type="dxa"/>
          </w:tcPr>
          <w:p w14:paraId="18F63724" w14:textId="77777777" w:rsidR="002A21AE" w:rsidRDefault="002A21AE">
            <w:pPr>
              <w:pStyle w:val="TableTextNumbers"/>
            </w:pPr>
            <w:r>
              <w:t xml:space="preserve">Select the </w:t>
            </w:r>
            <w:r>
              <w:rPr>
                <w:b/>
              </w:rPr>
              <w:t>Maintenance</w:t>
            </w:r>
            <w:r>
              <w:t xml:space="preserve"> </w:t>
            </w:r>
            <w:r>
              <w:rPr>
                <w:b/>
              </w:rPr>
              <w:t>tab</w:t>
            </w:r>
            <w:r>
              <w:t>.</w:t>
            </w:r>
          </w:p>
          <w:p w14:paraId="38AE0F6F" w14:textId="77777777" w:rsidR="002A21AE" w:rsidRDefault="002A21AE">
            <w:pPr>
              <w:pStyle w:val="TableTextNumbersContinued"/>
            </w:pPr>
          </w:p>
          <w:p w14:paraId="0892E760" w14:textId="77777777" w:rsidR="002A21AE" w:rsidRDefault="002A21AE">
            <w:pPr>
              <w:pStyle w:val="TableTextNumbersContinued"/>
            </w:pPr>
            <w:r>
              <w:t xml:space="preserve">To add a maintenance event, enter the maintenance type or select it from the drop-down list. </w:t>
            </w:r>
          </w:p>
          <w:p w14:paraId="06C2FD62" w14:textId="77777777" w:rsidR="002A21AE" w:rsidRDefault="002A21AE">
            <w:pPr>
              <w:pStyle w:val="TableTextNumbersContinued"/>
            </w:pPr>
          </w:p>
          <w:p w14:paraId="017F523A" w14:textId="77777777" w:rsidR="002A21AE" w:rsidRDefault="002A21AE">
            <w:pPr>
              <w:pStyle w:val="TableTextNumbersContinued"/>
            </w:pPr>
            <w:r>
              <w:t>Select or edit the date and time in the Maintenance Date field.</w:t>
            </w:r>
          </w:p>
          <w:p w14:paraId="0C822256" w14:textId="77777777" w:rsidR="002A21AE" w:rsidRDefault="002A21AE">
            <w:pPr>
              <w:pStyle w:val="TableTextNumbersContinued"/>
            </w:pPr>
          </w:p>
          <w:p w14:paraId="776BF79C" w14:textId="77777777" w:rsidR="002A21AE" w:rsidRDefault="002A21AE">
            <w:pPr>
              <w:pStyle w:val="TableTextNumbersContinued"/>
            </w:pPr>
            <w:r>
              <w:t>Enter details in the Maintenance Results and Pending Issues fields.</w:t>
            </w:r>
          </w:p>
          <w:p w14:paraId="04071420" w14:textId="77777777" w:rsidR="002A21AE" w:rsidRDefault="002A21AE">
            <w:pPr>
              <w:pStyle w:val="TableTextNumbersContinued"/>
            </w:pPr>
          </w:p>
          <w:p w14:paraId="1E9BAF79" w14:textId="3EE309C7" w:rsidR="002A21AE" w:rsidRDefault="002A21AE">
            <w:pPr>
              <w:pStyle w:val="TableTextNumbersContinued"/>
            </w:pPr>
            <w:r>
              <w:t xml:space="preserve">Click </w:t>
            </w:r>
            <w:r>
              <w:rPr>
                <w:b/>
              </w:rPr>
              <w:t>Add</w:t>
            </w:r>
            <w:r>
              <w:t xml:space="preserve"> to add the maintenance event to the Maintenance Events list</w:t>
            </w:r>
            <w:r w:rsidR="005B4E11">
              <w:t xml:space="preserve"> (</w:t>
            </w:r>
            <w:r w:rsidR="00EE455E">
              <w:t xml:space="preserve">Figure </w:t>
            </w:r>
            <w:r w:rsidR="00EE455E">
              <w:rPr>
                <w:noProof/>
              </w:rPr>
              <w:t>46</w:t>
            </w:r>
            <w:r w:rsidR="005B4E11">
              <w:t>)</w:t>
            </w:r>
            <w:r>
              <w:t>.</w:t>
            </w:r>
          </w:p>
          <w:p w14:paraId="55A77000" w14:textId="77777777" w:rsidR="002A21AE" w:rsidRDefault="002A21AE">
            <w:pPr>
              <w:pStyle w:val="TableTextNumbersContinued"/>
            </w:pPr>
          </w:p>
          <w:p w14:paraId="13808EF0" w14:textId="77777777" w:rsidR="002A21AE" w:rsidRDefault="002A21AE">
            <w:pPr>
              <w:pStyle w:val="TableTextNumbersContinued"/>
            </w:pPr>
            <w:r>
              <w:t xml:space="preserve">Click </w:t>
            </w:r>
            <w:r>
              <w:rPr>
                <w:b/>
              </w:rPr>
              <w:t>Print</w:t>
            </w:r>
            <w:r>
              <w:t xml:space="preserve"> to print the record.</w:t>
            </w:r>
          </w:p>
        </w:tc>
        <w:tc>
          <w:tcPr>
            <w:tcW w:w="6120" w:type="dxa"/>
          </w:tcPr>
          <w:p w14:paraId="45F845FC" w14:textId="77777777" w:rsidR="002A21AE" w:rsidRDefault="002A21AE">
            <w:pPr>
              <w:pStyle w:val="TableTextBullet"/>
            </w:pPr>
            <w:r>
              <w:t>Displays recorded maintenance information and allows the user to update information.</w:t>
            </w:r>
          </w:p>
          <w:p w14:paraId="60A1A23F" w14:textId="77777777" w:rsidR="002A21AE" w:rsidRDefault="002A21AE">
            <w:pPr>
              <w:pStyle w:val="TableTextBullet"/>
            </w:pPr>
            <w:r>
              <w:t>Displays an option to print an Equipment Report.</w:t>
            </w:r>
          </w:p>
        </w:tc>
      </w:tr>
      <w:tr w:rsidR="002A21AE" w14:paraId="259538BF" w14:textId="77777777">
        <w:tc>
          <w:tcPr>
            <w:tcW w:w="3240" w:type="dxa"/>
          </w:tcPr>
          <w:p w14:paraId="54D38D51" w14:textId="77777777" w:rsidR="002A21AE" w:rsidRDefault="002A21AE">
            <w:pPr>
              <w:pStyle w:val="TableTextNumbers"/>
            </w:pPr>
            <w:r>
              <w:t xml:space="preserve">Click the </w:t>
            </w:r>
            <w:r>
              <w:rPr>
                <w:b/>
              </w:rPr>
              <w:t>Out of Service Equipment</w:t>
            </w:r>
            <w:r>
              <w:t xml:space="preserve"> </w:t>
            </w:r>
            <w:r w:rsidRPr="00D1100E">
              <w:t>check box</w:t>
            </w:r>
            <w:r>
              <w:t xml:space="preserve"> to remove equipment.</w:t>
            </w:r>
          </w:p>
        </w:tc>
        <w:tc>
          <w:tcPr>
            <w:tcW w:w="6120" w:type="dxa"/>
          </w:tcPr>
          <w:p w14:paraId="52E13AAF" w14:textId="77777777" w:rsidR="002A21AE" w:rsidRDefault="002A21AE">
            <w:pPr>
              <w:pStyle w:val="TableTextBullet"/>
            </w:pPr>
            <w:r>
              <w:t>Removes the equipment from the list of currently maintained equipment.</w:t>
            </w:r>
          </w:p>
        </w:tc>
      </w:tr>
      <w:tr w:rsidR="002A21AE" w14:paraId="38989AFC" w14:textId="77777777">
        <w:tc>
          <w:tcPr>
            <w:tcW w:w="3240" w:type="dxa"/>
          </w:tcPr>
          <w:p w14:paraId="68AEC3D0" w14:textId="6BEAB35E" w:rsidR="002A21AE" w:rsidRDefault="002A21AE">
            <w:pPr>
              <w:pStyle w:val="TableTextNumbers"/>
            </w:pPr>
            <w:r>
              <w:t>Repeat Steps 3</w:t>
            </w:r>
            <w:r w:rsidR="004F5589">
              <w:t xml:space="preserve"> through </w:t>
            </w:r>
            <w:r>
              <w:t>6, as desired.</w:t>
            </w:r>
          </w:p>
        </w:tc>
        <w:tc>
          <w:tcPr>
            <w:tcW w:w="6120" w:type="dxa"/>
          </w:tcPr>
          <w:p w14:paraId="139AE6E5" w14:textId="77777777" w:rsidR="002A21AE" w:rsidRDefault="002A21AE">
            <w:pPr>
              <w:pStyle w:val="TableText"/>
            </w:pPr>
          </w:p>
        </w:tc>
      </w:tr>
      <w:tr w:rsidR="002A21AE" w14:paraId="6D03E5D9" w14:textId="77777777" w:rsidTr="007E500E">
        <w:trPr>
          <w:cantSplit/>
        </w:trPr>
        <w:tc>
          <w:tcPr>
            <w:tcW w:w="3240" w:type="dxa"/>
          </w:tcPr>
          <w:p w14:paraId="517E8D70" w14:textId="77777777" w:rsidR="002A21AE" w:rsidRDefault="002A21AE">
            <w:pPr>
              <w:pStyle w:val="TableTextNumbers"/>
            </w:pPr>
            <w:r>
              <w:lastRenderedPageBreak/>
              <w:t xml:space="preserve">Click </w:t>
            </w:r>
            <w:r>
              <w:rPr>
                <w:b/>
              </w:rPr>
              <w:t xml:space="preserve">OK </w:t>
            </w:r>
            <w:r>
              <w:t xml:space="preserve">and </w:t>
            </w:r>
            <w:r>
              <w:rPr>
                <w:b/>
              </w:rPr>
              <w:t>Yes</w:t>
            </w:r>
            <w:r>
              <w:t xml:space="preserve"> to save and continue, or </w:t>
            </w:r>
            <w:r>
              <w:rPr>
                <w:b/>
              </w:rPr>
              <w:t>No</w:t>
            </w:r>
            <w:r>
              <w:t xml:space="preserve"> to return to the screen and continue.</w:t>
            </w:r>
          </w:p>
          <w:p w14:paraId="7F04DDFF" w14:textId="77777777" w:rsidR="002A21AE" w:rsidRDefault="002A21AE">
            <w:pPr>
              <w:pStyle w:val="TableTextNumbersContinued"/>
            </w:pPr>
          </w:p>
          <w:p w14:paraId="78C57772" w14:textId="77777777" w:rsidR="002A21AE" w:rsidRDefault="002A21AE">
            <w:pPr>
              <w:pStyle w:val="TableTextNumbersContinued"/>
            </w:pPr>
            <w:r>
              <w:t xml:space="preserve">Click </w:t>
            </w:r>
            <w:r>
              <w:rPr>
                <w:b/>
              </w:rPr>
              <w:t>Cancel</w:t>
            </w:r>
            <w:r>
              <w:t xml:space="preserve"> to exit without saving.</w:t>
            </w:r>
            <w:r>
              <w:rPr>
                <w:vanish/>
                <w:szCs w:val="18"/>
              </w:rPr>
              <w:t xml:space="preserve"> </w:t>
            </w:r>
            <w:r>
              <w:rPr>
                <w:rStyle w:val="TableTextNumbersChar"/>
                <w:vanish/>
                <w:color w:val="FFFFFF"/>
                <w:szCs w:val="18"/>
              </w:rPr>
              <w:fldChar w:fldCharType="begin"/>
            </w:r>
            <w:r>
              <w:rPr>
                <w:rStyle w:val="TableTextNumbersChar"/>
                <w:vanish/>
                <w:color w:val="FFFFFF"/>
                <w:szCs w:val="18"/>
              </w:rPr>
              <w:instrText xml:space="preserve"> LISTNUM \l 1 \s 0 </w:instrText>
            </w:r>
            <w:r>
              <w:rPr>
                <w:rStyle w:val="TableTextNumbersChar"/>
                <w:vanish/>
                <w:color w:val="FFFFFF"/>
                <w:szCs w:val="18"/>
              </w:rPr>
              <w:fldChar w:fldCharType="end">
                <w:numberingChange w:id="263" w:author="MUSZYNSKI, THOMAS D. (SIERRA 7 INC)" w:date="2024-11-26T07:15:00Z" w:original="0."/>
              </w:fldChar>
            </w:r>
          </w:p>
        </w:tc>
        <w:tc>
          <w:tcPr>
            <w:tcW w:w="6120" w:type="dxa"/>
          </w:tcPr>
          <w:p w14:paraId="4A843B56" w14:textId="77777777" w:rsidR="002A21AE" w:rsidRDefault="002A21AE">
            <w:pPr>
              <w:pStyle w:val="TableTextBullet"/>
              <w:ind w:left="0" w:firstLine="0"/>
            </w:pPr>
            <w:r>
              <w:t>Prompts the user to confirm the save.</w:t>
            </w:r>
          </w:p>
          <w:p w14:paraId="4DE533E0" w14:textId="77777777" w:rsidR="002A21AE" w:rsidRDefault="002A21AE">
            <w:pPr>
              <w:pStyle w:val="TableTextBullet"/>
              <w:ind w:left="0" w:firstLine="0"/>
            </w:pPr>
            <w:r>
              <w:t>Saves the updates to the equipment record.</w:t>
            </w:r>
          </w:p>
        </w:tc>
      </w:tr>
    </w:tbl>
    <w:p w14:paraId="4995AEFE" w14:textId="649A82DB" w:rsidR="005B4E11" w:rsidRDefault="005B4E11" w:rsidP="005B4E11">
      <w:pPr>
        <w:pStyle w:val="Caption"/>
      </w:pPr>
      <w:bookmarkStart w:id="264" w:name="_Ref126556751"/>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7D1829">
        <w:rPr>
          <w:noProof/>
        </w:rPr>
        <w:t>47</w:t>
      </w:r>
      <w:r w:rsidR="004E20BD">
        <w:rPr>
          <w:noProof/>
        </w:rPr>
        <w:fldChar w:fldCharType="end"/>
      </w:r>
      <w:bookmarkEnd w:id="264"/>
      <w:r>
        <w:t>: Maintain Equipment</w:t>
      </w:r>
    </w:p>
    <w:p w14:paraId="0E67152D" w14:textId="77777777" w:rsidR="009516A4" w:rsidRDefault="00057948" w:rsidP="005B4E11">
      <w:pPr>
        <w:pStyle w:val="BodyText"/>
      </w:pPr>
      <w:r>
        <w:rPr>
          <w:noProof/>
        </w:rPr>
        <w:drawing>
          <wp:inline distT="0" distB="0" distL="0" distR="0" wp14:anchorId="3CD71F54" wp14:editId="5C6828C6">
            <wp:extent cx="5597525" cy="4405630"/>
            <wp:effectExtent l="0" t="0" r="3175" b="0"/>
            <wp:docPr id="149" name="Picture 149" descr="Example of Maintain Equipment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Picture 149" descr="Example of Maintain Equipment screen capture"/>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5597525" cy="4405630"/>
                    </a:xfrm>
                    <a:prstGeom prst="rect">
                      <a:avLst/>
                    </a:prstGeom>
                    <a:noFill/>
                    <a:ln>
                      <a:noFill/>
                    </a:ln>
                  </pic:spPr>
                </pic:pic>
              </a:graphicData>
            </a:graphic>
          </wp:inline>
        </w:drawing>
      </w:r>
    </w:p>
    <w:p w14:paraId="69FCC89B" w14:textId="77777777" w:rsidR="002A21AE" w:rsidRDefault="003C25CC">
      <w:pPr>
        <w:pStyle w:val="Heading1"/>
      </w:pPr>
      <w:bookmarkStart w:id="265" w:name="_Toc63680360"/>
      <w:bookmarkEnd w:id="225"/>
      <w:r>
        <w:br w:type="page"/>
      </w:r>
      <w:bookmarkStart w:id="266" w:name="_Toc203765879"/>
      <w:r w:rsidR="002A21AE">
        <w:lastRenderedPageBreak/>
        <w:t>Component Processing</w:t>
      </w:r>
      <w:bookmarkEnd w:id="266"/>
      <w:r w:rsidR="002A21AE">
        <w:fldChar w:fldCharType="begin"/>
      </w:r>
      <w:r w:rsidR="002A21AE">
        <w:instrText xml:space="preserve"> XE </w:instrText>
      </w:r>
      <w:r w:rsidR="00FA7E65">
        <w:instrText>“</w:instrText>
      </w:r>
      <w:r w:rsidR="002A21AE">
        <w:instrText>Component Processing</w:instrText>
      </w:r>
      <w:r w:rsidR="00FA7E65">
        <w:instrText>”</w:instrText>
      </w:r>
      <w:r w:rsidR="002A21AE">
        <w:instrText xml:space="preserve"> </w:instrText>
      </w:r>
      <w:r w:rsidR="002A21AE">
        <w:fldChar w:fldCharType="end"/>
      </w:r>
    </w:p>
    <w:p w14:paraId="21A8C691" w14:textId="77777777" w:rsidR="002A21AE" w:rsidRDefault="002A21AE">
      <w:pPr>
        <w:pStyle w:val="Heading2"/>
      </w:pPr>
      <w:bookmarkStart w:id="267" w:name="_Toc63680357"/>
      <w:bookmarkStart w:id="268" w:name="_Toc203765880"/>
      <w:bookmarkStart w:id="269" w:name="_Toc63680361"/>
      <w:bookmarkEnd w:id="265"/>
      <w:r>
        <w:t>Shipments</w:t>
      </w:r>
      <w:bookmarkEnd w:id="267"/>
      <w:bookmarkEnd w:id="268"/>
      <w:r>
        <w:fldChar w:fldCharType="begin"/>
      </w:r>
      <w:r>
        <w:instrText xml:space="preserve"> XE </w:instrText>
      </w:r>
      <w:r w:rsidR="00FA7E65">
        <w:instrText>“</w:instrText>
      </w:r>
      <w:r>
        <w:instrText>Shipments</w:instrText>
      </w:r>
      <w:r w:rsidR="00FA7E65">
        <w:instrText>”</w:instrText>
      </w:r>
      <w:r>
        <w:instrText xml:space="preserve"> </w:instrText>
      </w:r>
      <w:r>
        <w:fldChar w:fldCharType="end"/>
      </w:r>
    </w:p>
    <w:p w14:paraId="62D65D80" w14:textId="77777777" w:rsidR="002A21AE" w:rsidRDefault="002A21AE">
      <w:pPr>
        <w:pStyle w:val="Heading3"/>
      </w:pPr>
      <w:bookmarkStart w:id="270" w:name="_Incoming_Shipment"/>
      <w:bookmarkStart w:id="271" w:name="_Toc203765881"/>
      <w:bookmarkStart w:id="272" w:name="_Toc63680358"/>
      <w:bookmarkEnd w:id="270"/>
      <w:r>
        <w:t>Incoming Shipment</w:t>
      </w:r>
      <w:bookmarkEnd w:id="271"/>
      <w:r w:rsidRPr="007716F7">
        <w:rPr>
          <w:vanish/>
        </w:rPr>
        <w:fldChar w:fldCharType="begin"/>
      </w:r>
      <w:r w:rsidRPr="007716F7">
        <w:rPr>
          <w:vanish/>
        </w:rPr>
        <w:instrText xml:space="preserve"> XE </w:instrText>
      </w:r>
      <w:r w:rsidR="00FA7E65" w:rsidRPr="007716F7">
        <w:rPr>
          <w:vanish/>
        </w:rPr>
        <w:instrText>“</w:instrText>
      </w:r>
      <w:r w:rsidRPr="007716F7">
        <w:rPr>
          <w:vanish/>
        </w:rPr>
        <w:instrText>Incoming Shipment</w:instrText>
      </w:r>
      <w:r w:rsidR="00FA7E65" w:rsidRPr="007716F7">
        <w:rPr>
          <w:vanish/>
        </w:rPr>
        <w:instrText>”</w:instrText>
      </w:r>
      <w:r w:rsidRPr="007716F7">
        <w:rPr>
          <w:vanish/>
        </w:rPr>
        <w:instrText xml:space="preserve"> </w:instrText>
      </w:r>
      <w:r w:rsidRPr="007716F7">
        <w:rPr>
          <w:vanish/>
        </w:rPr>
        <w:fldChar w:fldCharType="end"/>
      </w:r>
      <w:r w:rsidRPr="007716F7">
        <w:rPr>
          <w:vanish/>
        </w:rPr>
        <w:t xml:space="preserve"> UC_01</w:t>
      </w:r>
    </w:p>
    <w:p w14:paraId="54CDD383" w14:textId="77777777" w:rsidR="002A21AE" w:rsidRDefault="002A21AE" w:rsidP="00FA7E65">
      <w:pPr>
        <w:pStyle w:val="BodyText"/>
      </w:pPr>
      <w:r>
        <w:t xml:space="preserve">A shipment handled in this option contains one or more containers of human blood products. </w:t>
      </w:r>
    </w:p>
    <w:p w14:paraId="77382486" w14:textId="5E2DDD54" w:rsidR="002A21AE" w:rsidRDefault="002A21AE" w:rsidP="00FA7E65">
      <w:pPr>
        <w:pStyle w:val="BodyText"/>
      </w:pPr>
      <w:r>
        <w:t>The user may use a barcode scanner to read information from a unit blood bag (recommended) or enter this information. The user reviews and confirms the information before adding a unit to the database.</w:t>
      </w:r>
    </w:p>
    <w:p w14:paraId="13079940" w14:textId="30E2FEEB" w:rsidR="008A3500" w:rsidRDefault="008A3500" w:rsidP="00FA7E65">
      <w:pPr>
        <w:pStyle w:val="BodyText"/>
      </w:pPr>
      <w:r>
        <w:t>The user may enter a comment in the ‘Incoming Shipment’ comment context. The comment will be displayed</w:t>
      </w:r>
      <w:r w:rsidR="00F551B2">
        <w:t xml:space="preserve"> in the Unit History Report, Incoming Shipment section and may be edited in Edit Unit Information.</w:t>
      </w:r>
      <w:r w:rsidR="002D072F">
        <w:rPr>
          <w:vanish/>
        </w:rPr>
        <w:t xml:space="preserve"> BR_1.77</w:t>
      </w:r>
    </w:p>
    <w:p w14:paraId="3FDE2403" w14:textId="77777777" w:rsidR="002A21AE" w:rsidRDefault="002A21AE">
      <w:pPr>
        <w:pStyle w:val="Heading4"/>
      </w:pPr>
      <w:r>
        <w:t>Assumptions</w:t>
      </w:r>
    </w:p>
    <w:p w14:paraId="48186054" w14:textId="77777777" w:rsidR="002A21AE" w:rsidRDefault="002A21AE">
      <w:pPr>
        <w:pStyle w:val="ListBullet"/>
      </w:pPr>
      <w:r>
        <w:t>The division is configured.</w:t>
      </w:r>
    </w:p>
    <w:p w14:paraId="6A345D2A" w14:textId="77777777" w:rsidR="006B4DCB" w:rsidRDefault="00AF37DA" w:rsidP="006B4DCB">
      <w:pPr>
        <w:pStyle w:val="ListBullet"/>
      </w:pPr>
      <w:r>
        <w:t>The shipper is active.</w:t>
      </w:r>
    </w:p>
    <w:p w14:paraId="75E70E9D" w14:textId="77777777" w:rsidR="00AE02FE" w:rsidRDefault="00AE02FE">
      <w:pPr>
        <w:pStyle w:val="ListBullet"/>
      </w:pPr>
      <w:r>
        <w:t>Units are inspected and deemed satisfactory for receipt before they are entered in VBECS.</w:t>
      </w:r>
    </w:p>
    <w:p w14:paraId="3C288EA1" w14:textId="77777777" w:rsidR="002A21AE" w:rsidRDefault="002A21AE">
      <w:pPr>
        <w:pStyle w:val="Heading4"/>
      </w:pPr>
      <w:r>
        <w:t>Outcome</w:t>
      </w:r>
    </w:p>
    <w:p w14:paraId="7AF4780C" w14:textId="77777777" w:rsidR="002A21AE" w:rsidRDefault="002A21AE">
      <w:pPr>
        <w:pStyle w:val="ListBullet"/>
      </w:pPr>
      <w:r>
        <w:t>A shipment or partial shipment of blood units was processed and added to the blood bank inventory.</w:t>
      </w:r>
    </w:p>
    <w:p w14:paraId="0FAE6218" w14:textId="77777777" w:rsidR="002A21AE" w:rsidRDefault="002A21AE">
      <w:pPr>
        <w:pStyle w:val="ListBullet"/>
      </w:pPr>
      <w:r>
        <w:t>The initial status for each unit was set in accordance with component class.</w:t>
      </w:r>
    </w:p>
    <w:p w14:paraId="3E4CD7E0" w14:textId="77777777" w:rsidR="00561829" w:rsidRDefault="00561829" w:rsidP="00561829">
      <w:pPr>
        <w:pStyle w:val="ListBullet"/>
      </w:pPr>
      <w:r>
        <w:t>If workload codes are assigned for this process, workload-related data collected as the result of this process are stored for inclusion in Workload Reports.</w:t>
      </w:r>
    </w:p>
    <w:p w14:paraId="2FF5DE67" w14:textId="77777777" w:rsidR="002A21AE" w:rsidRDefault="002A21AE">
      <w:pPr>
        <w:pStyle w:val="Heading4"/>
      </w:pPr>
      <w:r>
        <w:t>Limitations and Restrictions</w:t>
      </w:r>
    </w:p>
    <w:p w14:paraId="758C2F80" w14:textId="77777777" w:rsidR="007B6D4B" w:rsidRDefault="007B6D4B" w:rsidP="007B6D4B">
      <w:pPr>
        <w:pStyle w:val="ListBullet"/>
      </w:pPr>
      <w:bookmarkStart w:id="273" w:name="OLE_LINK29"/>
      <w:bookmarkStart w:id="274" w:name="OLE_LINK30"/>
      <w:r w:rsidRPr="009212B0">
        <w:t>VBECS does not check whether blood products with the same unit ID and different product</w:t>
      </w:r>
      <w:r>
        <w:t xml:space="preserve"> codes are the same blood type.</w:t>
      </w:r>
    </w:p>
    <w:p w14:paraId="1E07357E" w14:textId="77777777" w:rsidR="00F862E5" w:rsidRDefault="00F862E5" w:rsidP="009212B0">
      <w:pPr>
        <w:pStyle w:val="ListBullet"/>
      </w:pPr>
      <w:r>
        <w:t>VBECS d</w:t>
      </w:r>
      <w:r w:rsidRPr="00F862E5">
        <w:t xml:space="preserve">oes not </w:t>
      </w:r>
      <w:r w:rsidR="008C657D">
        <w:t>compare</w:t>
      </w:r>
      <w:r w:rsidRPr="00F862E5">
        <w:t xml:space="preserve"> </w:t>
      </w:r>
      <w:r w:rsidR="008C657D">
        <w:t xml:space="preserve">the ABO/Rh </w:t>
      </w:r>
      <w:r w:rsidRPr="00F862E5">
        <w:t xml:space="preserve">of </w:t>
      </w:r>
      <w:r>
        <w:t>a</w:t>
      </w:r>
      <w:r w:rsidR="008C657D">
        <w:t>n</w:t>
      </w:r>
      <w:r w:rsidRPr="00F862E5">
        <w:t xml:space="preserve"> </w:t>
      </w:r>
      <w:r w:rsidR="008C657D">
        <w:t>a</w:t>
      </w:r>
      <w:r w:rsidRPr="00F862E5">
        <w:t xml:space="preserve">utologous unit </w:t>
      </w:r>
      <w:r w:rsidR="008C657D">
        <w:t xml:space="preserve">or display a message when the ABO/Rh </w:t>
      </w:r>
      <w:r w:rsidRPr="00F862E5">
        <w:t xml:space="preserve">is incompatible with the </w:t>
      </w:r>
      <w:r>
        <w:t>r</w:t>
      </w:r>
      <w:r w:rsidRPr="00F862E5">
        <w:t xml:space="preserve">estricted </w:t>
      </w:r>
      <w:r>
        <w:t>f</w:t>
      </w:r>
      <w:r w:rsidRPr="00F862E5">
        <w:t>or patient</w:t>
      </w:r>
      <w:r>
        <w:t>.</w:t>
      </w:r>
    </w:p>
    <w:bookmarkEnd w:id="273"/>
    <w:bookmarkEnd w:id="274"/>
    <w:p w14:paraId="159BDD25" w14:textId="03C8921A" w:rsidR="00DC5A13" w:rsidRDefault="00DC5A13" w:rsidP="004B3753">
      <w:pPr>
        <w:pStyle w:val="Caution"/>
        <w:pBdr>
          <w:top w:val="single" w:sz="4" w:space="5" w:color="auto"/>
        </w:pBdr>
      </w:pPr>
      <w:r w:rsidRPr="009A667D">
        <w:t>When a product typ</w:t>
      </w:r>
      <w:r w:rsidR="009A667D" w:rsidRPr="009A667D">
        <w:t>e, cod</w:t>
      </w:r>
      <w:r w:rsidRPr="009A667D">
        <w:t>e</w:t>
      </w:r>
      <w:r w:rsidR="009A667D" w:rsidRPr="009A667D">
        <w:t>,</w:t>
      </w:r>
      <w:r w:rsidRPr="009A667D">
        <w:t xml:space="preserve"> or</w:t>
      </w:r>
      <w:r w:rsidR="009A667D" w:rsidRPr="009A667D">
        <w:t xml:space="preserve"> local</w:t>
      </w:r>
      <w:r w:rsidRPr="009A667D">
        <w:t xml:space="preserve"> code is not in</w:t>
      </w:r>
      <w:r>
        <w:t xml:space="preserve"> VBECS or a blood supplier creates a</w:t>
      </w:r>
      <w:r w:rsidR="00C230C9">
        <w:t xml:space="preserve"> product code, contact the </w:t>
      </w:r>
      <w:r w:rsidR="005364D9">
        <w:t xml:space="preserve">Service </w:t>
      </w:r>
      <w:r>
        <w:t>Desk. See Customer Support for contact information.</w:t>
      </w:r>
      <w:r w:rsidR="00703780" w:rsidRPr="00703780">
        <w:rPr>
          <w:vanish/>
        </w:rPr>
        <w:t>(DR 2,640)</w:t>
      </w:r>
    </w:p>
    <w:p w14:paraId="177F9B07" w14:textId="77777777" w:rsidR="00E63663" w:rsidRDefault="00E63663" w:rsidP="00E63663">
      <w:pPr>
        <w:pStyle w:val="ListBullet"/>
      </w:pPr>
      <w:r w:rsidRPr="00E63663">
        <w:rPr>
          <w:vanish/>
        </w:rPr>
        <w:t xml:space="preserve">BR_1.72 </w:t>
      </w:r>
      <w:r w:rsidRPr="00E63663">
        <w:t>T</w:t>
      </w:r>
      <w:r w:rsidRPr="0030088C">
        <w:t>he user may not save the unit record until the donation type and its requirements are satisfied.</w:t>
      </w:r>
    </w:p>
    <w:p w14:paraId="156B1311" w14:textId="77777777" w:rsidR="001131F9" w:rsidRPr="009212B0" w:rsidRDefault="001131F9" w:rsidP="001131F9">
      <w:pPr>
        <w:pStyle w:val="ListBullet"/>
      </w:pPr>
      <w:r w:rsidRPr="001131F9">
        <w:t>No longer supports the entry of blood products labeled in Codabar label type to new or existing invoices.</w:t>
      </w:r>
    </w:p>
    <w:p w14:paraId="47C73D81" w14:textId="611E5535" w:rsidR="008C1BD3" w:rsidRDefault="008C1BD3" w:rsidP="00C805FB">
      <w:pPr>
        <w:pStyle w:val="ListBullet"/>
      </w:pPr>
      <w:r>
        <w:t>T</w:t>
      </w:r>
      <w:r w:rsidRPr="008C1BD3">
        <w:t xml:space="preserve">he </w:t>
      </w:r>
      <w:r w:rsidR="00F551B2">
        <w:t xml:space="preserve">default </w:t>
      </w:r>
      <w:r>
        <w:t>unit expiration [</w:t>
      </w:r>
      <w:r w:rsidRPr="008C1BD3">
        <w:t>Maximum Storage Time (MST)</w:t>
      </w:r>
      <w:r>
        <w:t>]</w:t>
      </w:r>
      <w:r w:rsidRPr="008C1BD3">
        <w:t xml:space="preserve"> is set to the longest possible storage time based on product type, core condition</w:t>
      </w:r>
      <w:r w:rsidR="00922AD8" w:rsidRPr="008C1BD3">
        <w:t>, attributes</w:t>
      </w:r>
      <w:r w:rsidRPr="008C1BD3">
        <w:t>, and available references as a guide</w:t>
      </w:r>
      <w:r w:rsidR="006E30BA">
        <w:t xml:space="preserve">, but a user with the Traditional Supervisor role or higher can override the default MST </w:t>
      </w:r>
      <w:r w:rsidR="00F551B2">
        <w:t xml:space="preserve"> (see Blood Product</w:t>
      </w:r>
      <w:r w:rsidR="00B65FD0">
        <w:t>s</w:t>
      </w:r>
      <w:r w:rsidR="00F551B2">
        <w:t xml:space="preserve"> section for more info)</w:t>
      </w:r>
      <w:r w:rsidRPr="008C1BD3">
        <w:t>. The MST is set at a higher leve</w:t>
      </w:r>
      <w:r>
        <w:t>l</w:t>
      </w:r>
      <w:r w:rsidRPr="008C1BD3">
        <w:t xml:space="preserve"> than an individual collection product code. VBECS does not know the specific collection details.  It is the </w:t>
      </w:r>
      <w:r w:rsidR="008B6D25" w:rsidRPr="008C1BD3">
        <w:t>responsibility</w:t>
      </w:r>
      <w:r w:rsidRPr="008C1BD3">
        <w:t xml:space="preserve"> of each user to accurately enter and process any one blood unit based on its expiration date/time as labeled by the collection facility.</w:t>
      </w:r>
      <w:r>
        <w:rPr>
          <w:vanish/>
        </w:rPr>
        <w:t xml:space="preserve"> Task 1280</w:t>
      </w:r>
    </w:p>
    <w:p w14:paraId="418F5EE5" w14:textId="77777777" w:rsidR="00947FF8" w:rsidRDefault="003D0CA1" w:rsidP="009212B0">
      <w:pPr>
        <w:pStyle w:val="ListBullet"/>
      </w:pPr>
      <w:r w:rsidRPr="009212B0">
        <w:t>When blood products intended for quarantine are scanned, VBECS does not automatically quarantine them: the user must do so.</w:t>
      </w:r>
    </w:p>
    <w:p w14:paraId="343859A6" w14:textId="77777777" w:rsidR="00B4679A" w:rsidRPr="009212B0" w:rsidRDefault="005D3F4F" w:rsidP="009212B0">
      <w:pPr>
        <w:pStyle w:val="ListBullet"/>
      </w:pPr>
      <w:r>
        <w:t>VBECS does not recognize scanned</w:t>
      </w:r>
      <w:r w:rsidR="00190AFA" w:rsidRPr="009212B0">
        <w:t xml:space="preserve"> labels for </w:t>
      </w:r>
      <w:r w:rsidR="00EF77F8">
        <w:t>para-Bombay or B</w:t>
      </w:r>
      <w:r w:rsidR="00B4679A" w:rsidRPr="009212B0">
        <w:t xml:space="preserve">ombay </w:t>
      </w:r>
      <w:r w:rsidR="00190AFA" w:rsidRPr="009212B0">
        <w:t xml:space="preserve">ISBT </w:t>
      </w:r>
      <w:r w:rsidR="00B4679A" w:rsidRPr="009212B0">
        <w:t>unit</w:t>
      </w:r>
      <w:r w:rsidR="00190AFA" w:rsidRPr="009212B0">
        <w:t>s</w:t>
      </w:r>
      <w:r w:rsidR="00B4679A" w:rsidRPr="009212B0">
        <w:t>.</w:t>
      </w:r>
    </w:p>
    <w:p w14:paraId="70D402B4" w14:textId="77777777" w:rsidR="0078512B" w:rsidRDefault="005D3F4F" w:rsidP="009212B0">
      <w:pPr>
        <w:pStyle w:val="ListBullet"/>
      </w:pPr>
      <w:r>
        <w:lastRenderedPageBreak/>
        <w:t>VBECS does not allow duplicate IDs for the same product code.</w:t>
      </w:r>
    </w:p>
    <w:p w14:paraId="1078A596" w14:textId="77FCD2F8" w:rsidR="00452BA4" w:rsidRDefault="00452BA4" w:rsidP="009212B0">
      <w:pPr>
        <w:pStyle w:val="ListBullet"/>
      </w:pPr>
      <w:r>
        <w:t>When a user scans a p</w:t>
      </w:r>
      <w:r w:rsidRPr="00452BA4">
        <w:t xml:space="preserve">roduct </w:t>
      </w:r>
      <w:r>
        <w:t>c</w:t>
      </w:r>
      <w:r w:rsidRPr="00452BA4">
        <w:t xml:space="preserve">ode </w:t>
      </w:r>
      <w:r>
        <w:t>or</w:t>
      </w:r>
      <w:r w:rsidRPr="00452BA4">
        <w:t xml:space="preserve"> </w:t>
      </w:r>
      <w:r>
        <w:t>e</w:t>
      </w:r>
      <w:r w:rsidRPr="00452BA4">
        <w:t xml:space="preserve">xpiration </w:t>
      </w:r>
      <w:r>
        <w:t>d</w:t>
      </w:r>
      <w:r w:rsidRPr="00452BA4">
        <w:t>ate barcode in the Unit ID field</w:t>
      </w:r>
      <w:r>
        <w:t>, VBECS does not displ</w:t>
      </w:r>
      <w:r w:rsidR="00940D48">
        <w:t>ay the entered information</w:t>
      </w:r>
      <w:r w:rsidRPr="00452BA4">
        <w:t xml:space="preserve">. </w:t>
      </w:r>
    </w:p>
    <w:p w14:paraId="39367B91" w14:textId="5267916A" w:rsidR="009B0984" w:rsidRDefault="009B0984" w:rsidP="009B0984">
      <w:pPr>
        <w:pStyle w:val="ListBullet"/>
      </w:pPr>
      <w:r w:rsidRPr="004E2550">
        <w:t>VBECS supports the scanning of ISBT 128 special testing information barcodes by detecting the appropriate hidden identifiers.</w:t>
      </w:r>
      <w:r>
        <w:t xml:space="preserve"> </w:t>
      </w:r>
      <w:r w:rsidRPr="0030088C">
        <w:rPr>
          <w:rFonts w:cs="Arial"/>
        </w:rPr>
        <w:t xml:space="preserve">Once the hidden identifier is removed, the </w:t>
      </w:r>
      <w:r>
        <w:rPr>
          <w:rFonts w:cs="Arial"/>
        </w:rPr>
        <w:t>special testing code is a varying length of digits, depending on the type of special testing barcode scanned.</w:t>
      </w:r>
    </w:p>
    <w:p w14:paraId="7F751812" w14:textId="77777777" w:rsidR="00DC22C9" w:rsidRDefault="00DC22C9" w:rsidP="007E3EE1">
      <w:pPr>
        <w:pStyle w:val="ListBullet"/>
        <w:keepLines/>
      </w:pPr>
      <w:bookmarkStart w:id="275" w:name="OLE_LINK33"/>
      <w:bookmarkStart w:id="276" w:name="OLE_LINK34"/>
      <w:r w:rsidRPr="00DC22C9">
        <w:t xml:space="preserve">When </w:t>
      </w:r>
      <w:r>
        <w:t>a user scans an ISBT</w:t>
      </w:r>
      <w:r w:rsidR="00940D48">
        <w:t xml:space="preserve"> blood</w:t>
      </w:r>
      <w:r>
        <w:t xml:space="preserve"> </w:t>
      </w:r>
      <w:r w:rsidR="00D723CF">
        <w:t xml:space="preserve">product </w:t>
      </w:r>
      <w:r w:rsidR="00940D48">
        <w:t xml:space="preserve">code </w:t>
      </w:r>
      <w:r w:rsidR="00D723CF">
        <w:t xml:space="preserve">ID </w:t>
      </w:r>
      <w:r>
        <w:t xml:space="preserve">with “0” as </w:t>
      </w:r>
      <w:r w:rsidR="004F2A80">
        <w:t xml:space="preserve">the </w:t>
      </w:r>
      <w:r w:rsidR="00D723CF">
        <w:t>donation type (</w:t>
      </w:r>
      <w:r>
        <w:t>sixth character</w:t>
      </w:r>
      <w:r w:rsidR="00D723CF">
        <w:t>)</w:t>
      </w:r>
      <w:r>
        <w:t xml:space="preserve">, VBECS indicates that the donation type is not specified. </w:t>
      </w:r>
      <w:r w:rsidR="004F2A80">
        <w:t>W</w:t>
      </w:r>
      <w:r w:rsidR="00205693">
        <w:t>h</w:t>
      </w:r>
      <w:r>
        <w:t xml:space="preserve">en the user selects </w:t>
      </w:r>
      <w:r w:rsidR="00DF2243">
        <w:t xml:space="preserve">a donation type </w:t>
      </w:r>
      <w:r>
        <w:t>from</w:t>
      </w:r>
      <w:r w:rsidRPr="00DC22C9">
        <w:t xml:space="preserve"> the </w:t>
      </w:r>
      <w:r w:rsidR="005131BC">
        <w:t>drop-down</w:t>
      </w:r>
      <w:r w:rsidRPr="00DC22C9">
        <w:t xml:space="preserve"> </w:t>
      </w:r>
      <w:r>
        <w:t xml:space="preserve">menu, VBECS </w:t>
      </w:r>
      <w:r w:rsidR="00DF2243">
        <w:t xml:space="preserve">replaces “0” with </w:t>
      </w:r>
      <w:r w:rsidR="00FD697C">
        <w:t>a</w:t>
      </w:r>
      <w:r w:rsidR="004F2A80">
        <w:t xml:space="preserve"> recognizable</w:t>
      </w:r>
      <w:r w:rsidR="00DF2243">
        <w:t xml:space="preserve"> </w:t>
      </w:r>
      <w:r w:rsidRPr="00DC22C9">
        <w:t>character in the product code text box and store</w:t>
      </w:r>
      <w:r w:rsidR="00DF2243">
        <w:t>s it as such</w:t>
      </w:r>
      <w:r w:rsidRPr="00DC22C9">
        <w:t xml:space="preserve">. </w:t>
      </w:r>
      <w:r w:rsidR="004F2A80">
        <w:t xml:space="preserve">When the user rescans the product ID, </w:t>
      </w:r>
      <w:r w:rsidR="00693E8E">
        <w:t xml:space="preserve">he </w:t>
      </w:r>
      <w:r w:rsidR="004F2A80">
        <w:t xml:space="preserve">must </w:t>
      </w:r>
      <w:r w:rsidRPr="00DC22C9">
        <w:t xml:space="preserve">manually </w:t>
      </w:r>
      <w:r w:rsidR="004F2A80">
        <w:t>replace</w:t>
      </w:r>
      <w:r w:rsidRPr="00DC22C9">
        <w:t xml:space="preserve"> </w:t>
      </w:r>
      <w:r w:rsidR="00693E8E">
        <w:t>“0”</w:t>
      </w:r>
      <w:r w:rsidR="004F2A80">
        <w:t xml:space="preserve"> or search using the unit ID alone, or the unit ID and the first five characters of the product ID</w:t>
      </w:r>
      <w:r w:rsidRPr="00DC22C9">
        <w:t xml:space="preserve">. </w:t>
      </w:r>
      <w:r w:rsidR="00940D48">
        <w:t>When scanning a blood product derivative, this does not apply.</w:t>
      </w:r>
    </w:p>
    <w:p w14:paraId="4A296DAA" w14:textId="77777777" w:rsidR="000E07BD" w:rsidRDefault="000E07BD" w:rsidP="000E07BD">
      <w:pPr>
        <w:pStyle w:val="ListBullet"/>
      </w:pPr>
      <w:bookmarkStart w:id="277" w:name="_Toc76279374"/>
      <w:bookmarkEnd w:id="275"/>
      <w:bookmarkEnd w:id="276"/>
      <w:r>
        <w:t xml:space="preserve">Blood product code entries in the blood product table include those from ICCBBA for ISBT 128. Product codes created after </w:t>
      </w:r>
      <w:r w:rsidR="00D76A13">
        <w:t>the release of VBECS</w:t>
      </w:r>
      <w:r>
        <w:t xml:space="preserve"> cannot be entered until the updated tables are incorporated through patches to VBECS. Refuse acceptance of the unit, if possible.</w:t>
      </w:r>
      <w:r w:rsidR="003D71A3">
        <w:t xml:space="preserve"> </w:t>
      </w:r>
      <w:r>
        <w:t>U</w:t>
      </w:r>
      <w:r w:rsidRPr="009212B0">
        <w:t>ser</w:t>
      </w:r>
      <w:r>
        <w:t>s</w:t>
      </w:r>
      <w:r w:rsidRPr="009212B0">
        <w:t xml:space="preserve"> may not </w:t>
      </w:r>
      <w:r>
        <w:t>edit the blood product table.</w:t>
      </w:r>
    </w:p>
    <w:p w14:paraId="3260E7CD" w14:textId="77777777" w:rsidR="009C0C39" w:rsidRDefault="009C0C39" w:rsidP="009C0C39">
      <w:pPr>
        <w:pStyle w:val="ListBullet"/>
      </w:pPr>
      <w:r>
        <w:t>ISBT 128 tables include blood product codes labeled as not for manufacturing or transfusion.</w:t>
      </w:r>
      <w:r w:rsidR="00A25BC9">
        <w:t xml:space="preserve"> </w:t>
      </w:r>
      <w:r>
        <w:t>VBECS does not restrict such products from being entered, issued, or transferred</w:t>
      </w:r>
      <w:r w:rsidR="00F964B4">
        <w:t xml:space="preserve"> (</w:t>
      </w:r>
      <w:r>
        <w:t>local policy controls their use</w:t>
      </w:r>
      <w:r w:rsidR="00F964B4">
        <w:t>), but</w:t>
      </w:r>
      <w:r>
        <w:t xml:space="preserve"> does not accommodate blood modification for </w:t>
      </w:r>
      <w:r w:rsidR="00F964B4">
        <w:t>the</w:t>
      </w:r>
      <w:r w:rsidR="00976013">
        <w:t>se products</w:t>
      </w:r>
      <w:r w:rsidR="00F964B4">
        <w:t>.</w:t>
      </w:r>
    </w:p>
    <w:p w14:paraId="4AA98388" w14:textId="6E9B7D8E" w:rsidR="00DC382A" w:rsidRDefault="00DC382A" w:rsidP="009C0C39">
      <w:pPr>
        <w:pStyle w:val="ListBullet"/>
      </w:pPr>
      <w:r>
        <w:t xml:space="preserve">No entry of an ICCBBA </w:t>
      </w:r>
      <w:r w:rsidRPr="00630C68">
        <w:t xml:space="preserve">Product Description Code </w:t>
      </w:r>
      <w:r>
        <w:t>starting with A, B, C, or D aka</w:t>
      </w:r>
      <w:r w:rsidRPr="00630C68">
        <w:t xml:space="preserve"> National or Local Codes A0000-D9999</w:t>
      </w:r>
      <w:r>
        <w:t>.</w:t>
      </w:r>
      <w:r w:rsidRPr="00630C68">
        <w:rPr>
          <w:i/>
        </w:rPr>
        <w:t xml:space="preserve"> If use of such a code is necessary for patient care, contact Service Desk and file a request fo</w:t>
      </w:r>
      <w:r>
        <w:rPr>
          <w:i/>
        </w:rPr>
        <w:t>r the code to be added to VBECS</w:t>
      </w:r>
      <w:r w:rsidR="00526F70">
        <w:rPr>
          <w:i/>
        </w:rPr>
        <w:t>.</w:t>
      </w:r>
    </w:p>
    <w:p w14:paraId="6427CD00" w14:textId="77777777" w:rsidR="002A21AE" w:rsidRDefault="002A21AE">
      <w:pPr>
        <w:pStyle w:val="Heading4"/>
      </w:pPr>
      <w:r>
        <w:t>Additional Information</w:t>
      </w:r>
      <w:bookmarkEnd w:id="277"/>
    </w:p>
    <w:p w14:paraId="65F0559C" w14:textId="77777777" w:rsidR="00B743A4" w:rsidRPr="00922928" w:rsidRDefault="0004202A" w:rsidP="00B743A4">
      <w:pPr>
        <w:pStyle w:val="ListBullet"/>
      </w:pPr>
      <w:bookmarkStart w:id="278" w:name="_Toc76279375"/>
      <w:r w:rsidRPr="00B743A4">
        <w:rPr>
          <w:vanish/>
        </w:rPr>
        <w:t xml:space="preserve">BR_1.14 </w:t>
      </w:r>
      <w:r w:rsidR="00B743A4" w:rsidRPr="00922928">
        <w:t xml:space="preserve">A unique blood unit record is defined by the following data elements: </w:t>
      </w:r>
    </w:p>
    <w:p w14:paraId="50112EFE" w14:textId="77777777" w:rsidR="00B743A4" w:rsidRPr="00922928" w:rsidRDefault="00B743A4" w:rsidP="00B743A4">
      <w:pPr>
        <w:pStyle w:val="ListBullet2"/>
        <w:tabs>
          <w:tab w:val="clear" w:pos="648"/>
          <w:tab w:val="num" w:pos="576"/>
        </w:tabs>
        <w:ind w:left="1008" w:hanging="360"/>
      </w:pPr>
      <w:r w:rsidRPr="00922928">
        <w:t>VBECS Division</w:t>
      </w:r>
    </w:p>
    <w:p w14:paraId="3E44A0A3" w14:textId="77777777" w:rsidR="00B743A4" w:rsidRPr="00922928" w:rsidRDefault="00B743A4" w:rsidP="00B743A4">
      <w:pPr>
        <w:pStyle w:val="ListBullet2"/>
        <w:tabs>
          <w:tab w:val="clear" w:pos="648"/>
          <w:tab w:val="num" w:pos="576"/>
        </w:tabs>
        <w:ind w:left="1008" w:hanging="360"/>
      </w:pPr>
      <w:r w:rsidRPr="00922928">
        <w:t>Unit ID</w:t>
      </w:r>
    </w:p>
    <w:p w14:paraId="69D3694D" w14:textId="77777777" w:rsidR="00B743A4" w:rsidRPr="00922928" w:rsidRDefault="00B743A4" w:rsidP="00B743A4">
      <w:pPr>
        <w:pStyle w:val="ListBullet2"/>
        <w:tabs>
          <w:tab w:val="clear" w:pos="648"/>
          <w:tab w:val="num" w:pos="576"/>
        </w:tabs>
        <w:ind w:left="1008" w:hanging="360"/>
      </w:pPr>
      <w:r w:rsidRPr="00922928">
        <w:t>Product code</w:t>
      </w:r>
    </w:p>
    <w:p w14:paraId="6E7B91E0" w14:textId="77777777" w:rsidR="00B743A4" w:rsidRPr="0029712B" w:rsidRDefault="00B743A4" w:rsidP="00925CAD">
      <w:pPr>
        <w:pStyle w:val="TableText"/>
        <w:numPr>
          <w:ilvl w:val="2"/>
          <w:numId w:val="37"/>
        </w:numPr>
        <w:tabs>
          <w:tab w:val="clear" w:pos="2160"/>
          <w:tab w:val="num" w:pos="1528"/>
        </w:tabs>
        <w:ind w:hanging="992"/>
        <w:rPr>
          <w:rFonts w:ascii="Times New Roman" w:hAnsi="Times New Roman"/>
          <w:sz w:val="22"/>
          <w:szCs w:val="22"/>
        </w:rPr>
      </w:pPr>
      <w:r w:rsidRPr="0029712B">
        <w:rPr>
          <w:rFonts w:ascii="Times New Roman" w:hAnsi="Times New Roman"/>
          <w:sz w:val="22"/>
          <w:szCs w:val="22"/>
        </w:rPr>
        <w:t>ISBT 128 (8 alphanumeric characters).</w:t>
      </w:r>
    </w:p>
    <w:p w14:paraId="15983597" w14:textId="77777777" w:rsidR="0004202A" w:rsidRDefault="0004202A" w:rsidP="0004202A">
      <w:pPr>
        <w:pStyle w:val="ListBullet"/>
      </w:pPr>
      <w:r>
        <w:t>VBECS stores scanned ISBT 128 product codes and displays them as eight characters:</w:t>
      </w:r>
    </w:p>
    <w:p w14:paraId="0B4C9509" w14:textId="77777777" w:rsidR="0004202A" w:rsidRDefault="0004202A" w:rsidP="0004202A">
      <w:pPr>
        <w:pStyle w:val="ListBullet2"/>
      </w:pPr>
      <w:r>
        <w:t>Characters 1–5: product type</w:t>
      </w:r>
    </w:p>
    <w:p w14:paraId="13FE3012" w14:textId="77777777" w:rsidR="0004202A" w:rsidRDefault="0004202A" w:rsidP="0004202A">
      <w:pPr>
        <w:pStyle w:val="ListBullet2"/>
      </w:pPr>
      <w:r>
        <w:t>Character 6: donation type</w:t>
      </w:r>
    </w:p>
    <w:p w14:paraId="1986E60D" w14:textId="77777777" w:rsidR="0004202A" w:rsidRDefault="0004202A" w:rsidP="0004202A">
      <w:pPr>
        <w:pStyle w:val="ListBullet2"/>
      </w:pPr>
      <w:r>
        <w:t>Characters 7 and 8: division code (split)</w:t>
      </w:r>
    </w:p>
    <w:p w14:paraId="67344D72" w14:textId="77777777" w:rsidR="00467C77" w:rsidRPr="00467C77" w:rsidRDefault="0087742E" w:rsidP="00363509">
      <w:pPr>
        <w:pStyle w:val="ListBullet"/>
      </w:pPr>
      <w:r w:rsidRPr="00467C77">
        <w:t xml:space="preserve">When </w:t>
      </w:r>
      <w:r w:rsidR="0004065B" w:rsidRPr="00467C77">
        <w:t xml:space="preserve">ISBT 128 </w:t>
      </w:r>
      <w:r w:rsidRPr="00467C77">
        <w:t xml:space="preserve">units received during downtime must be issued, it is recommended that the user record the check character. </w:t>
      </w:r>
      <w:r w:rsidR="00871BF5" w:rsidRPr="00467C77">
        <w:t xml:space="preserve">When a blood unit is to be logged in after downtime and the unit is unavailable for scanning, the user must enter the </w:t>
      </w:r>
      <w:r w:rsidR="00DC36C4" w:rsidRPr="00467C77">
        <w:t xml:space="preserve">ISBT </w:t>
      </w:r>
      <w:r w:rsidR="00363509" w:rsidRPr="00467C77">
        <w:t>unit ID</w:t>
      </w:r>
      <w:r w:rsidR="00871BF5" w:rsidRPr="00467C77">
        <w:t xml:space="preserve"> and </w:t>
      </w:r>
      <w:r w:rsidR="00DC36C4" w:rsidRPr="00467C77">
        <w:t>the case-sensitive check character (</w:t>
      </w:r>
      <w:r w:rsidR="00363509" w:rsidRPr="00467C77">
        <w:t xml:space="preserve">the character in the </w:t>
      </w:r>
      <w:r w:rsidR="00DC36C4" w:rsidRPr="00467C77">
        <w:t xml:space="preserve">square following the </w:t>
      </w:r>
      <w:r w:rsidR="00363509" w:rsidRPr="00467C77">
        <w:t>unit ID</w:t>
      </w:r>
      <w:r w:rsidR="00DC36C4" w:rsidRPr="00467C77">
        <w:t>).</w:t>
      </w:r>
      <w:r w:rsidR="00871BF5" w:rsidRPr="00467C77">
        <w:t xml:space="preserve"> </w:t>
      </w:r>
      <w:bookmarkStart w:id="279" w:name="OLE_LINK9"/>
      <w:bookmarkStart w:id="280" w:name="OLE_LINK10"/>
    </w:p>
    <w:p w14:paraId="5C8C0E9D" w14:textId="77777777" w:rsidR="00467C77" w:rsidRPr="00467C77" w:rsidRDefault="00363509">
      <w:pPr>
        <w:pStyle w:val="ListBullet"/>
      </w:pPr>
      <w:r w:rsidRPr="00467C77">
        <w:t>To calculate a check character</w:t>
      </w:r>
      <w:r w:rsidRPr="00467C77">
        <w:fldChar w:fldCharType="begin"/>
      </w:r>
      <w:r w:rsidRPr="00467C77">
        <w:instrText xml:space="preserve"> XE "check character" </w:instrText>
      </w:r>
      <w:r w:rsidRPr="00467C77">
        <w:fldChar w:fldCharType="end"/>
      </w:r>
      <w:r w:rsidRPr="00467C77">
        <w:t>, see the Quick K Calculator</w:t>
      </w:r>
      <w:r w:rsidR="00985C7F" w:rsidRPr="00467C77">
        <w:fldChar w:fldCharType="begin"/>
      </w:r>
      <w:r w:rsidR="00985C7F" w:rsidRPr="00467C77">
        <w:instrText xml:space="preserve"> XE "Quick K Calculator" </w:instrText>
      </w:r>
      <w:r w:rsidR="00985C7F" w:rsidRPr="00467C77">
        <w:fldChar w:fldCharType="end"/>
      </w:r>
      <w:r w:rsidRPr="00467C77">
        <w:t xml:space="preserve"> on the ICCBBA Web page under ISBT 128, Other Tools. Follow the instructions to download the application.</w:t>
      </w:r>
      <w:bookmarkEnd w:id="279"/>
      <w:bookmarkEnd w:id="280"/>
    </w:p>
    <w:p w14:paraId="04199513" w14:textId="77777777" w:rsidR="00467C77" w:rsidRPr="00467C77" w:rsidRDefault="002A21AE" w:rsidP="00C718D7">
      <w:pPr>
        <w:pStyle w:val="ListBullet"/>
      </w:pPr>
      <w:r w:rsidRPr="00467C77">
        <w:t>Each division may have only one blood unit record of the same product type, product code, and unit ID. A unit shipped out (transferred) and subsequently shipped to (received by) a division in the same database will maintain individual records of the unit ID and product code for each division.</w:t>
      </w:r>
    </w:p>
    <w:p w14:paraId="6478ACED" w14:textId="77777777" w:rsidR="00467C77" w:rsidRPr="00467C77" w:rsidRDefault="00C718D7" w:rsidP="00C718D7">
      <w:pPr>
        <w:pStyle w:val="ListBullet"/>
      </w:pPr>
      <w:r w:rsidRPr="00467C77">
        <w:t xml:space="preserve">Several data elements, including the unit ID and product code, define a blood unit record as unique. </w:t>
      </w:r>
      <w:r w:rsidR="0078512B" w:rsidRPr="00467C77">
        <w:t xml:space="preserve">The unit record also includes </w:t>
      </w:r>
      <w:r w:rsidRPr="00467C77">
        <w:t>expiration date</w:t>
      </w:r>
      <w:r w:rsidR="0078512B" w:rsidRPr="00467C77">
        <w:t xml:space="preserve"> and </w:t>
      </w:r>
      <w:r w:rsidRPr="00467C77">
        <w:t>time, blood type</w:t>
      </w:r>
      <w:r w:rsidR="0078512B" w:rsidRPr="00467C77">
        <w:t>,</w:t>
      </w:r>
      <w:r w:rsidRPr="00467C77">
        <w:t xml:space="preserve"> and donation type. </w:t>
      </w:r>
      <w:r w:rsidR="0078512B" w:rsidRPr="00467C77">
        <w:t>These data elements are not editable.</w:t>
      </w:r>
    </w:p>
    <w:p w14:paraId="048EF4B1" w14:textId="77777777" w:rsidR="00992C7D" w:rsidRPr="00467C77" w:rsidRDefault="00992C7D" w:rsidP="00C718D7">
      <w:pPr>
        <w:pStyle w:val="ListBullet"/>
      </w:pPr>
      <w:r w:rsidRPr="00467C77">
        <w:lastRenderedPageBreak/>
        <w:t xml:space="preserve">Some suppliers relabel blood products and do not affix their own FDA Registration Number to </w:t>
      </w:r>
      <w:r w:rsidR="009026B6" w:rsidRPr="00467C77">
        <w:t xml:space="preserve">those </w:t>
      </w:r>
      <w:r w:rsidRPr="00467C77">
        <w:t xml:space="preserve">units. </w:t>
      </w:r>
      <w:r w:rsidR="00D86843" w:rsidRPr="00467C77">
        <w:t xml:space="preserve">It is recommended that the user obtain FDA Registration Number barcodes from their suppliers and </w:t>
      </w:r>
      <w:r w:rsidR="00DD5226" w:rsidRPr="00467C77">
        <w:t>use them for</w:t>
      </w:r>
      <w:r w:rsidR="00D86843" w:rsidRPr="00467C77">
        <w:t xml:space="preserve"> scanning </w:t>
      </w:r>
      <w:r w:rsidRPr="00467C77">
        <w:t>the shipper.</w:t>
      </w:r>
    </w:p>
    <w:p w14:paraId="7B4DCFB0" w14:textId="77777777" w:rsidR="002A21AE" w:rsidRDefault="002A21AE">
      <w:pPr>
        <w:pStyle w:val="Heading4"/>
      </w:pPr>
      <w:r>
        <w:t>User Roles with Access to This Option</w:t>
      </w:r>
      <w:bookmarkEnd w:id="278"/>
    </w:p>
    <w:p w14:paraId="73258546" w14:textId="77777777" w:rsidR="002A21AE" w:rsidRDefault="00873EEB">
      <w:pPr>
        <w:pStyle w:val="Roles"/>
        <w:rPr>
          <w:snapToGrid w:val="0"/>
        </w:rPr>
      </w:pPr>
      <w:r>
        <w:t>All users</w:t>
      </w:r>
    </w:p>
    <w:p w14:paraId="0176D5D4" w14:textId="77777777" w:rsidR="002A21AE" w:rsidRDefault="00057948">
      <w:pPr>
        <w:pStyle w:val="Heading4"/>
      </w:pPr>
      <w:r>
        <w:rPr>
          <w:noProof/>
        </w:rPr>
        <w:drawing>
          <wp:inline distT="0" distB="0" distL="0" distR="0" wp14:anchorId="6E7561C0" wp14:editId="586E2766">
            <wp:extent cx="156845" cy="156845"/>
            <wp:effectExtent l="0" t="0" r="0" b="0"/>
            <wp:docPr id="150" name="Picture 150" descr="Outgoing Shipment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Picture 150" descr="Outgoing Shipment icon"/>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A21AE">
        <w:t xml:space="preserve"> Incoming Shipment </w:t>
      </w:r>
    </w:p>
    <w:p w14:paraId="46F5E22F" w14:textId="77777777" w:rsidR="002A21AE" w:rsidRDefault="00A367A9" w:rsidP="00FA7E65">
      <w:pPr>
        <w:pStyle w:val="BodyText"/>
      </w:pPr>
      <w:r>
        <w:t>I</w:t>
      </w:r>
      <w:r w:rsidR="002A21AE">
        <w:t>n a “transfusion-only” facility, units must be restricted for use by a specific patient while an incoming shipment is processed. VBECS identifies the original collection facility to determine the presence of</w:t>
      </w:r>
      <w:r w:rsidR="0029712B">
        <w:t xml:space="preserve"> an eye-readable prefix</w:t>
      </w:r>
      <w:r w:rsidR="002A21AE">
        <w:t>. A user may enter unique unit information regarding special testing and antigen phenotyping. The user confirms that all entered units from the shipment were added to the database in the blood bank.</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760B0ECB" w14:textId="77777777">
        <w:trPr>
          <w:tblHeader/>
        </w:trPr>
        <w:tc>
          <w:tcPr>
            <w:tcW w:w="3240" w:type="dxa"/>
            <w:shd w:val="pct30" w:color="auto" w:fill="FFFFFF"/>
            <w:vAlign w:val="bottom"/>
          </w:tcPr>
          <w:p w14:paraId="61F2F971" w14:textId="77777777" w:rsidR="002A21AE" w:rsidRDefault="002A21AE">
            <w:pPr>
              <w:pStyle w:val="TableText"/>
              <w:rPr>
                <w:b/>
              </w:rPr>
            </w:pPr>
            <w:r>
              <w:rPr>
                <w:b/>
              </w:rPr>
              <w:t>User Action</w:t>
            </w:r>
          </w:p>
        </w:tc>
        <w:tc>
          <w:tcPr>
            <w:tcW w:w="6120" w:type="dxa"/>
            <w:shd w:val="pct30" w:color="auto" w:fill="FFFFFF"/>
            <w:vAlign w:val="bottom"/>
          </w:tcPr>
          <w:p w14:paraId="41585D96" w14:textId="77777777" w:rsidR="002A21AE" w:rsidRDefault="002A21AE">
            <w:pPr>
              <w:pStyle w:val="TableText"/>
              <w:rPr>
                <w:b/>
              </w:rPr>
            </w:pPr>
            <w:r>
              <w:rPr>
                <w:b/>
              </w:rPr>
              <w:t>VBECS</w:t>
            </w:r>
          </w:p>
        </w:tc>
      </w:tr>
      <w:tr w:rsidR="002A21AE" w14:paraId="12010085" w14:textId="77777777">
        <w:tc>
          <w:tcPr>
            <w:tcW w:w="3240" w:type="dxa"/>
          </w:tcPr>
          <w:p w14:paraId="214370A4" w14:textId="77777777" w:rsidR="002A21AE" w:rsidRDefault="002A21AE">
            <w:pPr>
              <w:pStyle w:val="TableTextNumbers"/>
            </w:pPr>
            <w:r>
              <w:t xml:space="preserve">Select </w:t>
            </w:r>
            <w:r>
              <w:rPr>
                <w:b/>
              </w:rPr>
              <w:t>Shipments</w:t>
            </w:r>
            <w:r>
              <w:t xml:space="preserve"> from the main menu.</w:t>
            </w:r>
          </w:p>
          <w:p w14:paraId="334516D3" w14:textId="77777777" w:rsidR="002A21AE" w:rsidRDefault="002A21AE">
            <w:pPr>
              <w:pStyle w:val="TableTextNumbersContinued"/>
              <w:rPr>
                <w:b/>
                <w:bCs/>
              </w:rPr>
            </w:pPr>
          </w:p>
          <w:p w14:paraId="7C896EEC" w14:textId="77777777" w:rsidR="002A21AE" w:rsidRDefault="002A21AE">
            <w:pPr>
              <w:pStyle w:val="TableTextNumbersContinued"/>
              <w:rPr>
                <w:b/>
                <w:bCs/>
              </w:rPr>
            </w:pPr>
            <w:r w:rsidRPr="00C761CD">
              <w:rPr>
                <w:bCs/>
              </w:rPr>
              <w:t>Select</w:t>
            </w:r>
            <w:r>
              <w:rPr>
                <w:b/>
                <w:bCs/>
              </w:rPr>
              <w:t xml:space="preserve"> Incoming Shipment</w:t>
            </w:r>
            <w:r w:rsidRPr="00C761CD">
              <w:rPr>
                <w:bCs/>
              </w:rPr>
              <w:t>.</w:t>
            </w:r>
          </w:p>
        </w:tc>
        <w:tc>
          <w:tcPr>
            <w:tcW w:w="6120" w:type="dxa"/>
          </w:tcPr>
          <w:p w14:paraId="3F713E82" w14:textId="77777777" w:rsidR="002A21AE" w:rsidRDefault="002A21AE">
            <w:pPr>
              <w:pStyle w:val="TableTextBullet"/>
            </w:pPr>
            <w:r>
              <w:t xml:space="preserve">Displays options for processing blood product shipments. </w:t>
            </w:r>
          </w:p>
          <w:p w14:paraId="7677D4EB" w14:textId="77777777" w:rsidR="0038298F" w:rsidRDefault="002A21AE" w:rsidP="0038298F">
            <w:pPr>
              <w:pStyle w:val="TableTextBullet"/>
            </w:pPr>
            <w:r>
              <w:t>Displays invoice information fields for entering shipment information.</w:t>
            </w:r>
          </w:p>
          <w:p w14:paraId="6E303773" w14:textId="77777777" w:rsidR="0038298F" w:rsidRDefault="0038298F" w:rsidP="0038298F">
            <w:pPr>
              <w:pStyle w:val="TableTextBullet"/>
              <w:numPr>
                <w:ilvl w:val="0"/>
                <w:numId w:val="0"/>
              </w:numPr>
              <w:ind w:left="288"/>
            </w:pPr>
          </w:p>
          <w:p w14:paraId="4ACC2F30" w14:textId="5B1F0AFF" w:rsidR="0038298F" w:rsidRDefault="0038298F" w:rsidP="0038298F">
            <w:pPr>
              <w:pStyle w:val="TableText"/>
              <w:rPr>
                <w:b/>
                <w:bCs/>
                <w:szCs w:val="18"/>
              </w:rPr>
            </w:pPr>
            <w:r>
              <w:rPr>
                <w:b/>
                <w:bCs/>
                <w:szCs w:val="18"/>
              </w:rPr>
              <w:t>NOTES</w:t>
            </w:r>
          </w:p>
          <w:p w14:paraId="163B1A62" w14:textId="77777777" w:rsidR="0038298F" w:rsidRDefault="0038298F" w:rsidP="0038298F">
            <w:pPr>
              <w:pStyle w:val="TableTextBullet"/>
              <w:numPr>
                <w:ilvl w:val="0"/>
                <w:numId w:val="0"/>
              </w:numPr>
              <w:ind w:left="288" w:hanging="288"/>
              <w:rPr>
                <w:rFonts w:cs="Arial"/>
                <w:szCs w:val="18"/>
              </w:rPr>
            </w:pPr>
          </w:p>
          <w:p w14:paraId="03453B4F" w14:textId="1F5C070F" w:rsidR="009F2A03" w:rsidRDefault="0038298F" w:rsidP="007E3EE1">
            <w:pPr>
              <w:pStyle w:val="NotesText"/>
            </w:pPr>
            <w:r w:rsidRPr="0038298F">
              <w:rPr>
                <w:vanish/>
              </w:rPr>
              <w:t xml:space="preserve">BR_1.62 </w:t>
            </w:r>
            <w:r w:rsidRPr="0038298F">
              <w:t>The system is s</w:t>
            </w:r>
            <w:r>
              <w:t xml:space="preserve">et as a default to ISBT </w:t>
            </w:r>
            <w:r w:rsidRPr="0038298F">
              <w:t>128 label type.</w:t>
            </w:r>
          </w:p>
        </w:tc>
      </w:tr>
      <w:tr w:rsidR="002A21AE" w14:paraId="2625EF2D" w14:textId="77777777" w:rsidTr="007E500E">
        <w:trPr>
          <w:cantSplit/>
        </w:trPr>
        <w:tc>
          <w:tcPr>
            <w:tcW w:w="3240" w:type="dxa"/>
          </w:tcPr>
          <w:p w14:paraId="4B7DB859" w14:textId="77777777" w:rsidR="002A21AE" w:rsidRDefault="002A21AE">
            <w:pPr>
              <w:pStyle w:val="TableTextNumbers"/>
            </w:pPr>
            <w:r>
              <w:lastRenderedPageBreak/>
              <w:t xml:space="preserve">Scan the invoice number barcode or enter the invoice number. </w:t>
            </w:r>
          </w:p>
          <w:p w14:paraId="31160A7F" w14:textId="77777777" w:rsidR="002A21AE" w:rsidRDefault="002A21AE">
            <w:pPr>
              <w:pStyle w:val="TableTextNumbersContinued"/>
            </w:pPr>
          </w:p>
          <w:p w14:paraId="359D6DA6" w14:textId="77777777" w:rsidR="002A21AE" w:rsidRDefault="002A21AE">
            <w:pPr>
              <w:pStyle w:val="TableTextNumbersContinued"/>
            </w:pPr>
            <w:r>
              <w:t xml:space="preserve">To search for an existing invoice, click the </w:t>
            </w:r>
            <w:r w:rsidR="00A6373D">
              <w:rPr>
                <w:b/>
              </w:rPr>
              <w:t>find</w:t>
            </w:r>
            <w:r w:rsidRPr="00BF2E41">
              <w:t xml:space="preserve"> button</w:t>
            </w:r>
            <w:r>
              <w:t xml:space="preserve">. Enter an invoice number and/or select a shipper from the drop-down list, then click </w:t>
            </w:r>
            <w:r>
              <w:rPr>
                <w:b/>
              </w:rPr>
              <w:t>Search</w:t>
            </w:r>
            <w:r>
              <w:t xml:space="preserve">. Click an invoice number to select it and click </w:t>
            </w:r>
            <w:r>
              <w:rPr>
                <w:b/>
              </w:rPr>
              <w:t>OK</w:t>
            </w:r>
            <w:r>
              <w:t>.</w:t>
            </w:r>
          </w:p>
        </w:tc>
        <w:tc>
          <w:tcPr>
            <w:tcW w:w="6120" w:type="dxa"/>
          </w:tcPr>
          <w:p w14:paraId="73844607" w14:textId="77777777" w:rsidR="002A21AE" w:rsidRDefault="002A21AE">
            <w:pPr>
              <w:pStyle w:val="TableTextBullet"/>
            </w:pPr>
            <w:r>
              <w:t>When an identified invoice does not exist, asks the user whether he wants to create an invoice and add units to it.</w:t>
            </w:r>
          </w:p>
          <w:p w14:paraId="347F7ABF" w14:textId="77777777" w:rsidR="002A21AE" w:rsidRDefault="002A21AE">
            <w:pPr>
              <w:pStyle w:val="TableTextBullet"/>
            </w:pPr>
            <w:r>
              <w:t>Displays the option to search for existing invoices by invoice number and/or by active shipper. When no match is found, notifies the user.</w:t>
            </w:r>
          </w:p>
          <w:p w14:paraId="1994C323" w14:textId="77777777" w:rsidR="002A21AE" w:rsidRDefault="002A21AE">
            <w:pPr>
              <w:pStyle w:val="TableText"/>
              <w:rPr>
                <w:b/>
                <w:bCs/>
                <w:szCs w:val="18"/>
              </w:rPr>
            </w:pPr>
          </w:p>
          <w:p w14:paraId="7B0ECFB5" w14:textId="50F5CA4D" w:rsidR="002A21AE" w:rsidRDefault="002A21AE">
            <w:pPr>
              <w:pStyle w:val="TableText"/>
              <w:rPr>
                <w:b/>
                <w:bCs/>
                <w:szCs w:val="18"/>
              </w:rPr>
            </w:pPr>
            <w:r>
              <w:rPr>
                <w:b/>
                <w:bCs/>
                <w:szCs w:val="18"/>
              </w:rPr>
              <w:t>NOTES</w:t>
            </w:r>
          </w:p>
          <w:p w14:paraId="0243433A" w14:textId="77777777" w:rsidR="002A21AE" w:rsidRPr="0051299B" w:rsidRDefault="002A21AE" w:rsidP="0051299B">
            <w:pPr>
              <w:pStyle w:val="NotesText"/>
            </w:pPr>
          </w:p>
          <w:p w14:paraId="6976ADE8" w14:textId="77777777" w:rsidR="002A21AE" w:rsidRDefault="002A21AE" w:rsidP="0051299B">
            <w:pPr>
              <w:pStyle w:val="NotesText"/>
            </w:pPr>
            <w:r w:rsidRPr="00A800FB">
              <w:rPr>
                <w:vanish/>
                <w:szCs w:val="18"/>
              </w:rPr>
              <w:t xml:space="preserve">BR_1.63 </w:t>
            </w:r>
            <w:r w:rsidRPr="00A800FB">
              <w:t>When a user chooses to select an existing invoice to add units, VBECS ensures that the shipper is marked as active. VBECS displays and allows the user to edit existing invoices associated with active shippers.</w:t>
            </w:r>
          </w:p>
          <w:p w14:paraId="08FA9313" w14:textId="77777777" w:rsidR="00126AF8" w:rsidRDefault="00126AF8">
            <w:pPr>
              <w:pStyle w:val="NotesText"/>
            </w:pPr>
          </w:p>
          <w:p w14:paraId="0FE8F8B4" w14:textId="7CD20F7D" w:rsidR="00126AF8" w:rsidRDefault="00126AF8">
            <w:pPr>
              <w:pStyle w:val="NotesText"/>
            </w:pPr>
            <w:r w:rsidRPr="004B0900">
              <w:t>To correct an invoice associated with an inactive shipper, the user must reactivate the shipper.</w:t>
            </w:r>
            <w:r w:rsidRPr="00126AF8">
              <w:t xml:space="preserve"> </w:t>
            </w:r>
            <w:r w:rsidR="004B0900">
              <w:t xml:space="preserve">(See </w:t>
            </w:r>
            <w:r w:rsidR="004B0900" w:rsidRPr="00423A7F">
              <w:rPr>
                <w:i/>
                <w:iCs/>
              </w:rPr>
              <w:t>FAQ CAP Comprehensive Transfusion Medicine Crossmatch Survey</w:t>
            </w:r>
            <w:r w:rsidR="004B0900">
              <w:t>)</w:t>
            </w:r>
          </w:p>
          <w:p w14:paraId="01880B9E" w14:textId="77777777" w:rsidR="00117986" w:rsidRDefault="00117986">
            <w:pPr>
              <w:pStyle w:val="NotesText"/>
            </w:pPr>
          </w:p>
          <w:p w14:paraId="5F509F45" w14:textId="77777777" w:rsidR="002A21AE" w:rsidRDefault="002A21AE" w:rsidP="00297B57">
            <w:pPr>
              <w:pStyle w:val="NotesText"/>
            </w:pPr>
            <w:r w:rsidRPr="009660C3">
              <w:rPr>
                <w:vanish/>
                <w:szCs w:val="18"/>
              </w:rPr>
              <w:t xml:space="preserve">BR_1.38 </w:t>
            </w:r>
            <w:r>
              <w:t xml:space="preserve">Multiple users may process different units from a </w:t>
            </w:r>
            <w:r>
              <w:rPr>
                <w:iCs/>
              </w:rPr>
              <w:t>shipment</w:t>
            </w:r>
            <w:r w:rsidR="00297B57">
              <w:t xml:space="preserve">. </w:t>
            </w:r>
            <w:r w:rsidR="009F2A03">
              <w:t xml:space="preserve"> </w:t>
            </w:r>
            <w:r w:rsidR="009F2A03" w:rsidRPr="0030088C">
              <w:rPr>
                <w:rFonts w:cs="Arial"/>
                <w:szCs w:val="18"/>
              </w:rPr>
              <w:t>A large shipment of blood can be physically processed by more than one tech simultaneously, however, each individual unit in the shipment can only be processed by one tech.</w:t>
            </w:r>
          </w:p>
          <w:p w14:paraId="32FB02E4" w14:textId="77777777" w:rsidR="009A7DAC" w:rsidRDefault="009A7DAC" w:rsidP="00297B57">
            <w:pPr>
              <w:pStyle w:val="NotesText"/>
            </w:pPr>
          </w:p>
          <w:p w14:paraId="62AAC316" w14:textId="77777777" w:rsidR="009A7DAC" w:rsidRDefault="009A7DAC" w:rsidP="00297B57">
            <w:pPr>
              <w:pStyle w:val="NotesText"/>
            </w:pPr>
            <w:bookmarkStart w:id="281" w:name="OLE_LINK31"/>
            <w:bookmarkStart w:id="282" w:name="OLE_LINK32"/>
            <w:r w:rsidRPr="009A7DAC">
              <w:t xml:space="preserve">When </w:t>
            </w:r>
            <w:r w:rsidR="006829C9">
              <w:t>more than one user</w:t>
            </w:r>
            <w:r w:rsidRPr="009A7DAC">
              <w:t xml:space="preserve"> intend</w:t>
            </w:r>
            <w:r w:rsidR="006829C9">
              <w:t>s</w:t>
            </w:r>
            <w:r w:rsidRPr="009A7DAC">
              <w:t xml:space="preserve"> to work on </w:t>
            </w:r>
            <w:r w:rsidR="006829C9">
              <w:t>an</w:t>
            </w:r>
            <w:r w:rsidRPr="009A7DAC">
              <w:t xml:space="preserve"> invoice, one </w:t>
            </w:r>
            <w:r>
              <w:t>user</w:t>
            </w:r>
            <w:r w:rsidRPr="009A7DAC">
              <w:t xml:space="preserve"> </w:t>
            </w:r>
            <w:r>
              <w:t>must</w:t>
            </w:r>
            <w:r w:rsidRPr="009A7DAC">
              <w:t xml:space="preserve"> create </w:t>
            </w:r>
            <w:r w:rsidR="006829C9">
              <w:t>the</w:t>
            </w:r>
            <w:r w:rsidRPr="009A7DAC">
              <w:t xml:space="preserve"> invoice</w:t>
            </w:r>
            <w:r>
              <w:t>. T</w:t>
            </w:r>
            <w:r w:rsidRPr="009A7DAC">
              <w:t xml:space="preserve">he other users </w:t>
            </w:r>
            <w:r>
              <w:t>must</w:t>
            </w:r>
            <w:r w:rsidRPr="009A7DAC">
              <w:t xml:space="preserve"> select </w:t>
            </w:r>
            <w:r w:rsidR="00551508">
              <w:t>that</w:t>
            </w:r>
            <w:r w:rsidRPr="009A7DAC">
              <w:t xml:space="preserve"> invoice and add units to it.</w:t>
            </w:r>
            <w:bookmarkEnd w:id="281"/>
            <w:bookmarkEnd w:id="282"/>
          </w:p>
          <w:p w14:paraId="4C0B102A" w14:textId="77777777" w:rsidR="005710CE" w:rsidRDefault="005710CE" w:rsidP="00297B57">
            <w:pPr>
              <w:pStyle w:val="NotesText"/>
            </w:pPr>
          </w:p>
          <w:p w14:paraId="5F77E7AF" w14:textId="77777777" w:rsidR="005710CE" w:rsidRDefault="005710CE" w:rsidP="00297B57">
            <w:pPr>
              <w:pStyle w:val="NotesText"/>
            </w:pPr>
            <w:r w:rsidRPr="005710CE">
              <w:rPr>
                <w:vanish/>
              </w:rPr>
              <w:t xml:space="preserve">BR_1.07 </w:t>
            </w:r>
            <w:r>
              <w:t>When using a scanner to read barcodes on blood product bags, the system must display the input to the user in the eye-readable form that appears on the blood bag.</w:t>
            </w:r>
          </w:p>
          <w:p w14:paraId="160008E8" w14:textId="77777777" w:rsidR="005710CE" w:rsidRDefault="005710CE" w:rsidP="00297B57">
            <w:pPr>
              <w:pStyle w:val="NotesText"/>
            </w:pPr>
          </w:p>
          <w:p w14:paraId="1A626814" w14:textId="5DE84791" w:rsidR="005710CE" w:rsidRDefault="009F2A03" w:rsidP="00297B57">
            <w:pPr>
              <w:pStyle w:val="NotesText"/>
              <w:rPr>
                <w:rFonts w:cs="Arial"/>
                <w:szCs w:val="18"/>
              </w:rPr>
            </w:pPr>
            <w:r w:rsidRPr="009F2A03">
              <w:rPr>
                <w:rFonts w:cs="Arial"/>
                <w:vanish/>
                <w:szCs w:val="18"/>
              </w:rPr>
              <w:t xml:space="preserve">BR_1.06 </w:t>
            </w:r>
            <w:r w:rsidRPr="0030088C">
              <w:rPr>
                <w:rFonts w:cs="Arial"/>
                <w:szCs w:val="18"/>
              </w:rPr>
              <w:t xml:space="preserve">When processing a shipment, the system should provide an indication to the user which specific barcode the system is expecting. Once the scan is complete, the system automatically ‘moves’ the indication to the next logical input. The user can override this progression by manually selecting a different input field. It is assumed that the scanners </w:t>
            </w:r>
            <w:r w:rsidR="004D0A70">
              <w:rPr>
                <w:rFonts w:cs="Arial"/>
                <w:szCs w:val="18"/>
              </w:rPr>
              <w:t>are</w:t>
            </w:r>
            <w:r w:rsidRPr="0030088C">
              <w:rPr>
                <w:rFonts w:cs="Arial"/>
                <w:szCs w:val="18"/>
              </w:rPr>
              <w:t xml:space="preserve"> configured to append the proper command at the completion of each scan.</w:t>
            </w:r>
          </w:p>
          <w:p w14:paraId="4C3F78CB" w14:textId="77777777" w:rsidR="009F2A03" w:rsidRDefault="009F2A03" w:rsidP="00297B57">
            <w:pPr>
              <w:pStyle w:val="NotesText"/>
              <w:rPr>
                <w:rFonts w:cs="Arial"/>
                <w:szCs w:val="18"/>
              </w:rPr>
            </w:pPr>
          </w:p>
          <w:p w14:paraId="3A09E00F" w14:textId="77777777" w:rsidR="009F2A03" w:rsidRDefault="00EC25E3" w:rsidP="00297B57">
            <w:pPr>
              <w:pStyle w:val="NotesText"/>
              <w:rPr>
                <w:rFonts w:cs="Arial"/>
                <w:szCs w:val="18"/>
              </w:rPr>
            </w:pPr>
            <w:r w:rsidRPr="00EC25E3">
              <w:rPr>
                <w:rFonts w:cs="Arial"/>
                <w:vanish/>
                <w:szCs w:val="18"/>
              </w:rPr>
              <w:t xml:space="preserve">BR_1.54 </w:t>
            </w:r>
            <w:r w:rsidRPr="0030088C">
              <w:rPr>
                <w:rFonts w:cs="Arial"/>
                <w:szCs w:val="18"/>
              </w:rPr>
              <w:t>If the user entered shipment propertie</w:t>
            </w:r>
            <w:r>
              <w:rPr>
                <w:rFonts w:cs="Arial"/>
                <w:szCs w:val="18"/>
              </w:rPr>
              <w:t xml:space="preserve">s for an existing invoice, VBECS </w:t>
            </w:r>
            <w:r w:rsidRPr="0030088C">
              <w:rPr>
                <w:rFonts w:cs="Arial"/>
                <w:szCs w:val="18"/>
              </w:rPr>
              <w:t>displays a message: Do you want to continue and add units to an existing invoice? (Select “No” to use another invoice.) If the user responds “No,” the shipment property fields are cleared, allowing the user to enter data for anothe</w:t>
            </w:r>
            <w:r>
              <w:rPr>
                <w:rFonts w:cs="Arial"/>
                <w:szCs w:val="18"/>
              </w:rPr>
              <w:t>r invoice; otherwise, VBECS</w:t>
            </w:r>
            <w:r w:rsidRPr="0030088C">
              <w:rPr>
                <w:rFonts w:cs="Arial"/>
                <w:szCs w:val="18"/>
              </w:rPr>
              <w:t xml:space="preserve"> continues to the next step.</w:t>
            </w:r>
          </w:p>
          <w:p w14:paraId="27E570E6" w14:textId="77777777" w:rsidR="00EC25E3" w:rsidRDefault="00EC25E3" w:rsidP="00297B57">
            <w:pPr>
              <w:pStyle w:val="NotesText"/>
              <w:rPr>
                <w:rFonts w:cs="Arial"/>
                <w:szCs w:val="18"/>
              </w:rPr>
            </w:pPr>
          </w:p>
          <w:p w14:paraId="2828EC0A" w14:textId="77777777" w:rsidR="00EC25E3" w:rsidRDefault="00EC25E3" w:rsidP="00297B57">
            <w:pPr>
              <w:pStyle w:val="NotesText"/>
              <w:rPr>
                <w:rFonts w:cs="Arial"/>
                <w:szCs w:val="18"/>
              </w:rPr>
            </w:pPr>
            <w:r w:rsidRPr="00EC25E3">
              <w:rPr>
                <w:rFonts w:cs="Arial"/>
                <w:vanish/>
                <w:szCs w:val="18"/>
              </w:rPr>
              <w:t xml:space="preserve">BR_1.55 </w:t>
            </w:r>
            <w:r w:rsidRPr="0030088C">
              <w:rPr>
                <w:rFonts w:cs="Arial"/>
                <w:szCs w:val="18"/>
              </w:rPr>
              <w:t>If the user entered shipment properties</w:t>
            </w:r>
            <w:r>
              <w:rPr>
                <w:rFonts w:cs="Arial"/>
                <w:szCs w:val="18"/>
              </w:rPr>
              <w:t xml:space="preserve"> for a new invoice, VBECS</w:t>
            </w:r>
            <w:r w:rsidRPr="0030088C">
              <w:rPr>
                <w:rFonts w:cs="Arial"/>
                <w:szCs w:val="18"/>
              </w:rPr>
              <w:t xml:space="preserve"> displays a message: Do you want to continue and add units to the new invoice? (Select “No” to use another invoice.) If the user responds “No,” the shipment property fields are cleared, allowing the user to enter data for another invoice; otherwise, the system continues to the next step.</w:t>
            </w:r>
          </w:p>
          <w:p w14:paraId="44F41639" w14:textId="77777777" w:rsidR="00EC25E3" w:rsidRDefault="00EC25E3" w:rsidP="00297B57">
            <w:pPr>
              <w:pStyle w:val="NotesText"/>
              <w:rPr>
                <w:rFonts w:cs="Arial"/>
                <w:szCs w:val="18"/>
              </w:rPr>
            </w:pPr>
          </w:p>
          <w:p w14:paraId="5F6E50FD" w14:textId="452A4890" w:rsidR="004B3753" w:rsidRPr="007E3EE1" w:rsidRDefault="004B3753" w:rsidP="007E3EE1">
            <w:pPr>
              <w:pStyle w:val="NotesText"/>
              <w:rPr>
                <w:rFonts w:cs="Arial"/>
                <w:szCs w:val="18"/>
              </w:rPr>
            </w:pPr>
            <w:r w:rsidRPr="004B3753">
              <w:rPr>
                <w:rFonts w:cs="Arial"/>
                <w:vanish/>
                <w:szCs w:val="18"/>
              </w:rPr>
              <w:t xml:space="preserve">BR_1.56 </w:t>
            </w:r>
            <w:r w:rsidRPr="0030088C">
              <w:rPr>
                <w:rFonts w:cs="Arial"/>
                <w:szCs w:val="18"/>
              </w:rPr>
              <w:t xml:space="preserve">The combination of invoice number, shipper, and date received uniquely identifies </w:t>
            </w:r>
            <w:r w:rsidR="00B556ED">
              <w:rPr>
                <w:rFonts w:cs="Arial"/>
                <w:szCs w:val="18"/>
              </w:rPr>
              <w:t>an incoming</w:t>
            </w:r>
            <w:r w:rsidR="00B556ED" w:rsidRPr="0030088C">
              <w:rPr>
                <w:rFonts w:cs="Arial"/>
                <w:szCs w:val="18"/>
              </w:rPr>
              <w:t xml:space="preserve"> </w:t>
            </w:r>
            <w:r w:rsidRPr="0030088C">
              <w:rPr>
                <w:rFonts w:cs="Arial"/>
                <w:szCs w:val="18"/>
              </w:rPr>
              <w:t>shipment for data retrieval.</w:t>
            </w:r>
          </w:p>
        </w:tc>
      </w:tr>
      <w:tr w:rsidR="00DA1590" w14:paraId="22E50377" w14:textId="77777777" w:rsidTr="006C058D">
        <w:trPr>
          <w:cantSplit/>
        </w:trPr>
        <w:tc>
          <w:tcPr>
            <w:tcW w:w="3240" w:type="dxa"/>
          </w:tcPr>
          <w:p w14:paraId="18554F17" w14:textId="77777777" w:rsidR="00DA1590" w:rsidRDefault="00DA1590">
            <w:pPr>
              <w:pStyle w:val="TableTextNumbers"/>
            </w:pPr>
            <w:r>
              <w:lastRenderedPageBreak/>
              <w:t>Select a source</w:t>
            </w:r>
            <w:r w:rsidR="007536F3">
              <w:t xml:space="preserve"> from the Source (Shipper) drop-down list. If needed, edit the date received in the Date Received field.</w:t>
            </w:r>
          </w:p>
        </w:tc>
        <w:tc>
          <w:tcPr>
            <w:tcW w:w="6120" w:type="dxa"/>
          </w:tcPr>
          <w:p w14:paraId="1BC7F29C" w14:textId="77777777" w:rsidR="00297B57" w:rsidRDefault="00297B57" w:rsidP="00297B57">
            <w:pPr>
              <w:pStyle w:val="TableText"/>
              <w:rPr>
                <w:b/>
                <w:bCs/>
                <w:szCs w:val="18"/>
              </w:rPr>
            </w:pPr>
          </w:p>
          <w:p w14:paraId="60B30890" w14:textId="005EDADF" w:rsidR="00297B57" w:rsidRDefault="00297B57" w:rsidP="00297B57">
            <w:pPr>
              <w:pStyle w:val="TableText"/>
              <w:rPr>
                <w:b/>
                <w:bCs/>
                <w:szCs w:val="18"/>
              </w:rPr>
            </w:pPr>
            <w:r>
              <w:rPr>
                <w:b/>
                <w:bCs/>
                <w:szCs w:val="18"/>
              </w:rPr>
              <w:t>NOTES</w:t>
            </w:r>
          </w:p>
          <w:p w14:paraId="17CC0604" w14:textId="77777777" w:rsidR="00297B57" w:rsidRDefault="00297B57" w:rsidP="00297B57">
            <w:pPr>
              <w:pStyle w:val="NotesText"/>
            </w:pPr>
            <w:r>
              <w:t>After a user enters or selects an invoice number, the user may enter information in the shipper, date received, and processing technologist fields.</w:t>
            </w:r>
          </w:p>
          <w:p w14:paraId="090F7A2F" w14:textId="77777777" w:rsidR="00297B57" w:rsidRDefault="00297B57" w:rsidP="00297B57">
            <w:pPr>
              <w:pStyle w:val="NotesText"/>
            </w:pPr>
          </w:p>
          <w:p w14:paraId="31CF0F6D" w14:textId="77777777" w:rsidR="00DA1590" w:rsidRDefault="00297B57" w:rsidP="00297B57">
            <w:pPr>
              <w:pStyle w:val="NotesText"/>
            </w:pPr>
            <w:r>
              <w:t>During retrospective entry, the user must enter the shipment date and time before entering any other unit transaction.</w:t>
            </w:r>
          </w:p>
          <w:p w14:paraId="6F8FA4D5" w14:textId="77777777" w:rsidR="009F2A03" w:rsidRDefault="009F2A03" w:rsidP="00297B57">
            <w:pPr>
              <w:pStyle w:val="NotesText"/>
            </w:pPr>
          </w:p>
          <w:p w14:paraId="74B37038" w14:textId="2C1FEA1C" w:rsidR="009F2A03" w:rsidRDefault="009F2A03" w:rsidP="00297B57">
            <w:pPr>
              <w:pStyle w:val="NotesText"/>
            </w:pPr>
            <w:r w:rsidRPr="009F2A03">
              <w:rPr>
                <w:rFonts w:cs="Arial"/>
                <w:vanish/>
                <w:szCs w:val="18"/>
              </w:rPr>
              <w:t xml:space="preserve">BR_1.51 </w:t>
            </w:r>
            <w:r w:rsidRPr="0030088C">
              <w:rPr>
                <w:rFonts w:cs="Arial"/>
                <w:szCs w:val="18"/>
              </w:rPr>
              <w:t>Shipment received date/time cannot be a future date/time</w:t>
            </w:r>
            <w:r>
              <w:rPr>
                <w:rFonts w:cs="Arial"/>
                <w:szCs w:val="18"/>
              </w:rPr>
              <w:t>.</w:t>
            </w:r>
          </w:p>
        </w:tc>
      </w:tr>
      <w:tr w:rsidR="002A21AE" w14:paraId="4A4C0AFE" w14:textId="77777777">
        <w:tc>
          <w:tcPr>
            <w:tcW w:w="3240" w:type="dxa"/>
          </w:tcPr>
          <w:p w14:paraId="46C2AE18" w14:textId="77777777" w:rsidR="002A21AE" w:rsidRDefault="002A21AE">
            <w:pPr>
              <w:pStyle w:val="TableTextNumbers"/>
            </w:pPr>
            <w:r>
              <w:t xml:space="preserve">Click </w:t>
            </w:r>
            <w:r>
              <w:rPr>
                <w:b/>
              </w:rPr>
              <w:t>OK</w:t>
            </w:r>
            <w:r>
              <w:t xml:space="preserve"> again to continue. </w:t>
            </w:r>
          </w:p>
        </w:tc>
        <w:tc>
          <w:tcPr>
            <w:tcW w:w="6120" w:type="dxa"/>
          </w:tcPr>
          <w:p w14:paraId="7A66FDFE" w14:textId="77777777" w:rsidR="0038298F" w:rsidRDefault="0038298F" w:rsidP="0038298F">
            <w:pPr>
              <w:pStyle w:val="TableTextBullet"/>
              <w:numPr>
                <w:ilvl w:val="0"/>
                <w:numId w:val="0"/>
              </w:numPr>
              <w:ind w:left="288" w:hanging="288"/>
            </w:pPr>
          </w:p>
          <w:p w14:paraId="5C2AE911" w14:textId="51FF49E5" w:rsidR="0038298F" w:rsidRDefault="0038298F" w:rsidP="0038298F">
            <w:pPr>
              <w:pStyle w:val="TableText"/>
              <w:rPr>
                <w:b/>
                <w:bCs/>
                <w:szCs w:val="18"/>
              </w:rPr>
            </w:pPr>
            <w:r>
              <w:rPr>
                <w:b/>
                <w:bCs/>
                <w:szCs w:val="18"/>
              </w:rPr>
              <w:t>NOTES</w:t>
            </w:r>
          </w:p>
          <w:p w14:paraId="753C0B50" w14:textId="77777777" w:rsidR="0038298F" w:rsidRDefault="0038298F" w:rsidP="0038298F">
            <w:pPr>
              <w:pStyle w:val="NotesText"/>
              <w:rPr>
                <w:vanish/>
              </w:rPr>
            </w:pPr>
          </w:p>
          <w:p w14:paraId="26F2C3BE" w14:textId="0A381DEC" w:rsidR="004B3753" w:rsidRDefault="0038298F" w:rsidP="0039783A">
            <w:pPr>
              <w:pStyle w:val="NotesText"/>
            </w:pPr>
            <w:r w:rsidRPr="0038298F">
              <w:rPr>
                <w:vanish/>
              </w:rPr>
              <w:t xml:space="preserve">BR_1.71 </w:t>
            </w:r>
            <w:r>
              <w:t>Entry of Codabar labeled blood units is disabled.</w:t>
            </w:r>
          </w:p>
        </w:tc>
      </w:tr>
      <w:tr w:rsidR="002A21AE" w14:paraId="58B4A160" w14:textId="77777777">
        <w:tc>
          <w:tcPr>
            <w:tcW w:w="3240" w:type="dxa"/>
          </w:tcPr>
          <w:p w14:paraId="624E8A3D" w14:textId="77777777" w:rsidR="002A21AE" w:rsidRDefault="002A21AE">
            <w:pPr>
              <w:pStyle w:val="TableTextNumbers"/>
            </w:pPr>
            <w:r>
              <w:t xml:space="preserve">Click </w:t>
            </w:r>
            <w:r>
              <w:rPr>
                <w:b/>
              </w:rPr>
              <w:t>Yes</w:t>
            </w:r>
            <w:r>
              <w:t xml:space="preserve"> to add units to the invoice or click </w:t>
            </w:r>
            <w:r>
              <w:rPr>
                <w:b/>
              </w:rPr>
              <w:t>No</w:t>
            </w:r>
            <w:r>
              <w:t xml:space="preserve"> to select another invoice.</w:t>
            </w:r>
          </w:p>
        </w:tc>
        <w:tc>
          <w:tcPr>
            <w:tcW w:w="6120" w:type="dxa"/>
          </w:tcPr>
          <w:p w14:paraId="7A1A2970" w14:textId="77777777" w:rsidR="002A21AE" w:rsidRDefault="002A21AE">
            <w:pPr>
              <w:pStyle w:val="TableTextBullet"/>
            </w:pPr>
            <w:r>
              <w:t>When a user selects an existing invoice, displays the shipment information and blood unit details associated with the invoice.</w:t>
            </w:r>
          </w:p>
        </w:tc>
      </w:tr>
      <w:tr w:rsidR="002A21AE" w14:paraId="14D1B863" w14:textId="77777777">
        <w:tc>
          <w:tcPr>
            <w:tcW w:w="3240" w:type="dxa"/>
          </w:tcPr>
          <w:p w14:paraId="249FCB19" w14:textId="77777777" w:rsidR="00F5287E" w:rsidRDefault="00F5287E">
            <w:pPr>
              <w:pStyle w:val="TableTextNumbers"/>
            </w:pPr>
            <w:r>
              <w:t>Select a unit to add.</w:t>
            </w:r>
          </w:p>
          <w:p w14:paraId="213F5527" w14:textId="0EFB2B46" w:rsidR="002A21AE" w:rsidRDefault="002A21AE" w:rsidP="00F5287E">
            <w:pPr>
              <w:pStyle w:val="TableTextNumbers"/>
              <w:numPr>
                <w:ilvl w:val="0"/>
                <w:numId w:val="0"/>
              </w:numPr>
              <w:ind w:left="288"/>
            </w:pPr>
            <w:r>
              <w:t>For an ISBT 128-labeled unit, scan</w:t>
            </w:r>
            <w:r w:rsidR="00A83A22">
              <w:t xml:space="preserve"> the label</w:t>
            </w:r>
            <w:r>
              <w:t xml:space="preserve"> or enter the unit ID</w:t>
            </w:r>
            <w:r w:rsidR="00A83A22">
              <w:t xml:space="preserve"> and check character (in that order)</w:t>
            </w:r>
            <w:r>
              <w:t>.</w:t>
            </w:r>
          </w:p>
        </w:tc>
        <w:tc>
          <w:tcPr>
            <w:tcW w:w="6120" w:type="dxa"/>
          </w:tcPr>
          <w:p w14:paraId="15B26F32" w14:textId="77777777" w:rsidR="002A21AE" w:rsidRDefault="002A21AE">
            <w:pPr>
              <w:pStyle w:val="TableTextBullet"/>
            </w:pPr>
            <w:r>
              <w:t xml:space="preserve">Disables the FDA </w:t>
            </w:r>
            <w:r w:rsidR="00B85812">
              <w:t>Registration Number</w:t>
            </w:r>
            <w:r>
              <w:t xml:space="preserve"> field.</w:t>
            </w:r>
          </w:p>
          <w:p w14:paraId="79608337" w14:textId="5DE8375D" w:rsidR="002A21AE" w:rsidRDefault="002A21AE">
            <w:pPr>
              <w:pStyle w:val="TableTextBullet"/>
            </w:pPr>
            <w:r>
              <w:t>Displays information corresponding to the unit ID barcode</w:t>
            </w:r>
            <w:r w:rsidR="00931D60">
              <w:t xml:space="preserve"> </w:t>
            </w:r>
            <w:r>
              <w:t>scanned. When a user enters an ISBT 128-labeled unit ID, VBECS prompts the user to enter the check character from the blood bag.</w:t>
            </w:r>
          </w:p>
          <w:p w14:paraId="0696BBB6" w14:textId="77777777" w:rsidR="002A21AE" w:rsidRDefault="002A21AE">
            <w:pPr>
              <w:pStyle w:val="TableTextBullet1"/>
            </w:pPr>
            <w:r>
              <w:rPr>
                <w:vanish/>
              </w:rPr>
              <w:t xml:space="preserve">BR_1.08 </w:t>
            </w:r>
            <w:r>
              <w:t xml:space="preserve">When a user scans ISBT 128 labels units and the cursor is in an inappropriate field, VBECS </w:t>
            </w:r>
            <w:r>
              <w:rPr>
                <w:noProof/>
              </w:rPr>
              <w:t xml:space="preserve">warns that the </w:t>
            </w:r>
            <w:r w:rsidR="00346B6E">
              <w:rPr>
                <w:noProof/>
              </w:rPr>
              <w:t>incorrect</w:t>
            </w:r>
            <w:r>
              <w:t xml:space="preserve"> barcode was scanned.</w:t>
            </w:r>
          </w:p>
          <w:p w14:paraId="5FABE9CA" w14:textId="77777777" w:rsidR="002A21AE" w:rsidRDefault="002A21AE">
            <w:pPr>
              <w:pStyle w:val="TableText"/>
            </w:pPr>
          </w:p>
          <w:p w14:paraId="6134DED2" w14:textId="49C2A877" w:rsidR="002A21AE" w:rsidRDefault="002A21AE">
            <w:pPr>
              <w:pStyle w:val="TableText"/>
              <w:rPr>
                <w:b/>
                <w:bCs/>
                <w:szCs w:val="18"/>
              </w:rPr>
            </w:pPr>
            <w:r>
              <w:rPr>
                <w:b/>
                <w:bCs/>
                <w:szCs w:val="18"/>
              </w:rPr>
              <w:t>NOTES</w:t>
            </w:r>
          </w:p>
          <w:p w14:paraId="44550278" w14:textId="77777777" w:rsidR="002A21AE" w:rsidRDefault="002A21AE">
            <w:pPr>
              <w:pStyle w:val="NotesText"/>
            </w:pPr>
          </w:p>
          <w:p w14:paraId="0C4C89D1" w14:textId="77777777" w:rsidR="002A21AE" w:rsidRDefault="002A21AE">
            <w:pPr>
              <w:pStyle w:val="NotesText"/>
              <w:ind w:left="0"/>
            </w:pPr>
            <w:r>
              <w:t>For ISBT 128-labeled units:</w:t>
            </w:r>
          </w:p>
          <w:p w14:paraId="6F4FD0B1" w14:textId="77777777" w:rsidR="002A21AE" w:rsidRDefault="002A21AE">
            <w:pPr>
              <w:pStyle w:val="NotesText"/>
            </w:pPr>
            <w:r w:rsidRPr="00DC786E">
              <w:rPr>
                <w:rFonts w:cs="Arial"/>
                <w:vanish/>
                <w:szCs w:val="18"/>
              </w:rPr>
              <w:t>BR_1.19</w:t>
            </w:r>
            <w:r w:rsidRPr="009660C3">
              <w:rPr>
                <w:vanish/>
                <w:szCs w:val="18"/>
              </w:rPr>
              <w:t xml:space="preserve"> </w:t>
            </w:r>
            <w:r>
              <w:t>When the user-entered check character from the label does not match the VBECS-generated check character, VBECS warns the user.</w:t>
            </w:r>
          </w:p>
          <w:p w14:paraId="64061839" w14:textId="77777777" w:rsidR="002A21AE" w:rsidRDefault="002A21AE">
            <w:pPr>
              <w:pStyle w:val="NotesText"/>
            </w:pPr>
          </w:p>
          <w:p w14:paraId="0E6010F6" w14:textId="4B10F637" w:rsidR="002A21AE" w:rsidRDefault="002A21AE">
            <w:pPr>
              <w:pStyle w:val="NotesText"/>
            </w:pPr>
            <w:r w:rsidRPr="00781DAE">
              <w:rPr>
                <w:rFonts w:cs="Arial"/>
                <w:vanish/>
                <w:szCs w:val="18"/>
              </w:rPr>
              <w:t>BR_1.64</w:t>
            </w:r>
            <w:r w:rsidRPr="009660C3">
              <w:rPr>
                <w:vanish/>
                <w:szCs w:val="18"/>
              </w:rPr>
              <w:t xml:space="preserve"> </w:t>
            </w:r>
            <w:r>
              <w:t xml:space="preserve">When VBECS does not find a matching entry for the ICCBBA </w:t>
            </w:r>
            <w:r w:rsidR="00B85812">
              <w:t>Registration Number</w:t>
            </w:r>
            <w:r>
              <w:t xml:space="preserve"> on the local </w:t>
            </w:r>
            <w:r w:rsidR="0013497C">
              <w:t>facility</w:t>
            </w:r>
            <w:r>
              <w:t xml:space="preserve"> table, the user must activate or add a local </w:t>
            </w:r>
            <w:r w:rsidR="0013497C">
              <w:t>facility</w:t>
            </w:r>
            <w:r>
              <w:t xml:space="preserve"> before continuing.</w:t>
            </w:r>
          </w:p>
          <w:p w14:paraId="7B63C04E" w14:textId="77777777" w:rsidR="0039783A" w:rsidRDefault="0039783A">
            <w:pPr>
              <w:pStyle w:val="NotesText"/>
            </w:pPr>
          </w:p>
          <w:p w14:paraId="58DC41B6" w14:textId="07445A5C" w:rsidR="0039783A" w:rsidRPr="0039783A" w:rsidRDefault="0039783A" w:rsidP="0039783A">
            <w:pPr>
              <w:pStyle w:val="NotesText"/>
              <w:rPr>
                <w:rFonts w:cs="Arial"/>
                <w:szCs w:val="18"/>
              </w:rPr>
            </w:pPr>
            <w:r w:rsidRPr="00C92599">
              <w:rPr>
                <w:rFonts w:cs="Arial"/>
                <w:vanish/>
                <w:szCs w:val="18"/>
              </w:rPr>
              <w:t xml:space="preserve">BR_1.18 </w:t>
            </w:r>
            <w:r w:rsidR="00C51D45">
              <w:rPr>
                <w:rFonts w:cs="Arial"/>
                <w:vanish/>
                <w:szCs w:val="18"/>
              </w:rPr>
              <w:t xml:space="preserve">BR_1.79 </w:t>
            </w:r>
            <w:r w:rsidRPr="00030C52">
              <w:rPr>
                <w:rFonts w:cs="Arial"/>
                <w:szCs w:val="18"/>
              </w:rPr>
              <w:t xml:space="preserve">A scanned ISBT 128 Unit ID barcode </w:t>
            </w:r>
            <w:r w:rsidR="00C51D45" w:rsidRPr="00C51D45">
              <w:rPr>
                <w:rFonts w:cs="Arial"/>
                <w:szCs w:val="18"/>
              </w:rPr>
              <w:t>or 2-d barcode</w:t>
            </w:r>
            <w:r w:rsidR="00C51D45">
              <w:rPr>
                <w:rFonts w:cs="Arial"/>
                <w:szCs w:val="18"/>
              </w:rPr>
              <w:t xml:space="preserve"> </w:t>
            </w:r>
            <w:r w:rsidRPr="00030C52">
              <w:rPr>
                <w:rFonts w:cs="Arial"/>
                <w:szCs w:val="18"/>
              </w:rPr>
              <w:t>is identified by the presence of hidden identifier</w:t>
            </w:r>
            <w:r w:rsidR="0017525B">
              <w:rPr>
                <w:rFonts w:cs="Arial"/>
                <w:szCs w:val="18"/>
              </w:rPr>
              <w:t>s</w:t>
            </w:r>
            <w:r w:rsidRPr="00030C52">
              <w:rPr>
                <w:rFonts w:cs="Arial"/>
                <w:szCs w:val="18"/>
              </w:rPr>
              <w:t>. Once the hidden identifier is removed</w:t>
            </w:r>
            <w:r>
              <w:rPr>
                <w:rFonts w:cs="Arial"/>
                <w:szCs w:val="18"/>
              </w:rPr>
              <w:t xml:space="preserve"> or when the </w:t>
            </w:r>
            <w:r w:rsidRPr="00030C52">
              <w:rPr>
                <w:rFonts w:cs="Arial"/>
                <w:szCs w:val="18"/>
              </w:rPr>
              <w:t xml:space="preserve">Unit ID </w:t>
            </w:r>
            <w:r>
              <w:rPr>
                <w:rFonts w:cs="Arial"/>
                <w:szCs w:val="18"/>
              </w:rPr>
              <w:t>is manually entered</w:t>
            </w:r>
            <w:r w:rsidRPr="00030C52">
              <w:rPr>
                <w:rFonts w:cs="Arial"/>
                <w:szCs w:val="18"/>
              </w:rPr>
              <w:t xml:space="preserve">, the Unit ID is validated to ensure that the first five characters are alphanumeric and the remaining </w:t>
            </w:r>
            <w:r>
              <w:rPr>
                <w:rFonts w:cs="Arial"/>
                <w:szCs w:val="18"/>
              </w:rPr>
              <w:t>eight</w:t>
            </w:r>
            <w:r w:rsidRPr="00030C52">
              <w:rPr>
                <w:rFonts w:cs="Arial"/>
                <w:szCs w:val="18"/>
              </w:rPr>
              <w:t xml:space="preserve"> characters are numeric; totaling a 13-character unit ID. The Unit record is flagged as scanned during initial receipt</w:t>
            </w:r>
            <w:r>
              <w:rPr>
                <w:rFonts w:cs="Arial"/>
                <w:szCs w:val="18"/>
              </w:rPr>
              <w:t xml:space="preserve"> only if the hidden identifier was present</w:t>
            </w:r>
            <w:r w:rsidRPr="00030C52">
              <w:rPr>
                <w:rFonts w:cs="Arial"/>
                <w:szCs w:val="18"/>
              </w:rPr>
              <w:t>.</w:t>
            </w:r>
          </w:p>
        </w:tc>
      </w:tr>
      <w:tr w:rsidR="002A21AE" w14:paraId="3E57AECE" w14:textId="77777777">
        <w:tc>
          <w:tcPr>
            <w:tcW w:w="3240" w:type="dxa"/>
          </w:tcPr>
          <w:p w14:paraId="4C9B7C90" w14:textId="7370B39F" w:rsidR="002A21AE" w:rsidRDefault="002A21AE">
            <w:pPr>
              <w:pStyle w:val="TableTextNumbers"/>
            </w:pPr>
            <w:r>
              <w:t>Scan the product code barcode</w:t>
            </w:r>
            <w:r w:rsidR="00C51D45">
              <w:t xml:space="preserve"> or the </w:t>
            </w:r>
            <w:r w:rsidR="00C51D45" w:rsidRPr="00C51D45">
              <w:t>2-d barcode</w:t>
            </w:r>
            <w:r w:rsidRPr="00C51D45">
              <w:t xml:space="preserve"> or</w:t>
            </w:r>
            <w:r>
              <w:t xml:space="preserve"> enter the product code. </w:t>
            </w:r>
          </w:p>
        </w:tc>
        <w:tc>
          <w:tcPr>
            <w:tcW w:w="6120" w:type="dxa"/>
          </w:tcPr>
          <w:p w14:paraId="04068EE9" w14:textId="46303D82" w:rsidR="004641E8" w:rsidRPr="004641E8" w:rsidRDefault="004641E8">
            <w:pPr>
              <w:pStyle w:val="TableTextBullet"/>
              <w:rPr>
                <w:color w:val="000000"/>
              </w:rPr>
            </w:pPr>
            <w:r>
              <w:t xml:space="preserve">When a user scans a product code </w:t>
            </w:r>
            <w:r w:rsidR="006D09BD">
              <w:t>barcode</w:t>
            </w:r>
            <w:r w:rsidR="00931D60">
              <w:t xml:space="preserve"> </w:t>
            </w:r>
            <w:r w:rsidR="006D09BD">
              <w:t>that is not activ</w:t>
            </w:r>
            <w:r>
              <w:t>ated in the user’s division, prompts the user to activate the code.</w:t>
            </w:r>
            <w:r w:rsidR="006D09BD">
              <w:t xml:space="preserve"> (See Blood Products.)</w:t>
            </w:r>
          </w:p>
          <w:p w14:paraId="0AA53805" w14:textId="77777777" w:rsidR="002A21AE" w:rsidRDefault="002A21AE">
            <w:pPr>
              <w:pStyle w:val="TableTextBullet"/>
              <w:rPr>
                <w:color w:val="000000"/>
              </w:rPr>
            </w:pPr>
            <w:r>
              <w:t xml:space="preserve">Displays the corresponding product code, product name, and (for </w:t>
            </w:r>
            <w:r w:rsidR="00073282">
              <w:t>ISBT) donation type (see Step 10</w:t>
            </w:r>
            <w:r>
              <w:t>).</w:t>
            </w:r>
          </w:p>
          <w:p w14:paraId="7F62D434" w14:textId="77777777" w:rsidR="002A21AE" w:rsidRDefault="002A21AE">
            <w:pPr>
              <w:pStyle w:val="TableTextBullet"/>
            </w:pPr>
            <w:r>
              <w:rPr>
                <w:color w:val="000000"/>
              </w:rPr>
              <w:t>When a unit ID of the same product type and code exists in a division, t</w:t>
            </w:r>
            <w:r>
              <w:t>he expiration date is in the future, and there is no record of inactivation or transfer of that unit ID and product code in the division’s record:</w:t>
            </w:r>
          </w:p>
          <w:p w14:paraId="0D73DE88" w14:textId="77777777" w:rsidR="002A21AE" w:rsidRDefault="002A21AE">
            <w:pPr>
              <w:pStyle w:val="TableTextBullet1"/>
            </w:pPr>
            <w:r>
              <w:t>Warns that the blood unit already exists in the division.</w:t>
            </w:r>
          </w:p>
          <w:p w14:paraId="312CC2D3" w14:textId="77777777" w:rsidR="002A21AE" w:rsidRDefault="002A21AE">
            <w:pPr>
              <w:pStyle w:val="TableTextBullet1"/>
            </w:pPr>
            <w:r>
              <w:t>Clears the data entry fields. The user may enter a different unit ID and product code.</w:t>
            </w:r>
          </w:p>
          <w:p w14:paraId="1D3AF411" w14:textId="77777777" w:rsidR="002A21AE" w:rsidRDefault="002A21AE">
            <w:pPr>
              <w:pStyle w:val="TableTextBullet"/>
            </w:pPr>
            <w:r>
              <w:rPr>
                <w:color w:val="000000"/>
              </w:rPr>
              <w:lastRenderedPageBreak/>
              <w:t>When a unit ID of the same product type and code exists in a division and t</w:t>
            </w:r>
            <w:r>
              <w:t xml:space="preserve">he unit in the division has an expiration date in the past, </w:t>
            </w:r>
            <w:r>
              <w:rPr>
                <w:noProof/>
              </w:rPr>
              <w:t>warns that t</w:t>
            </w:r>
            <w:r>
              <w:t>he blood unit already exists in the division.</w:t>
            </w:r>
          </w:p>
          <w:p w14:paraId="79B1FABA" w14:textId="77777777" w:rsidR="002A21AE" w:rsidRDefault="002A21AE">
            <w:pPr>
              <w:pStyle w:val="TableTextBullet"/>
            </w:pPr>
            <w:r>
              <w:rPr>
                <w:color w:val="000000"/>
              </w:rPr>
              <w:t>When a unit ID of the same product type and code exists in a division, t</w:t>
            </w:r>
            <w:r>
              <w:t>he unit status is “Transferred,” and the ABO/Rh and unit expiration date are identical to the existing unit of record:</w:t>
            </w:r>
          </w:p>
          <w:p w14:paraId="3BECA782" w14:textId="77777777" w:rsidR="002A21AE" w:rsidRDefault="002A21AE">
            <w:pPr>
              <w:pStyle w:val="TableTextBullet1"/>
            </w:pPr>
            <w:r>
              <w:t>Makes the existing unit record available.</w:t>
            </w:r>
          </w:p>
          <w:p w14:paraId="00E2FC79" w14:textId="77777777" w:rsidR="002A21AE" w:rsidRDefault="002A21AE">
            <w:pPr>
              <w:pStyle w:val="TableTextBullet1"/>
            </w:pPr>
            <w:r>
              <w:t xml:space="preserve">Warns that the user is attempting to reenter a unit in inventory. </w:t>
            </w:r>
            <w:r>
              <w:rPr>
                <w:b/>
              </w:rPr>
              <w:t>No</w:t>
            </w:r>
            <w:r>
              <w:t xml:space="preserve"> clears the unit. </w:t>
            </w:r>
            <w:r>
              <w:rPr>
                <w:b/>
              </w:rPr>
              <w:t>Yes</w:t>
            </w:r>
            <w:r>
              <w:t xml:space="preserve"> and saves the unit.</w:t>
            </w:r>
          </w:p>
          <w:p w14:paraId="1EFC640F" w14:textId="77777777" w:rsidR="002A21AE" w:rsidRDefault="002A21AE">
            <w:pPr>
              <w:pStyle w:val="TableTextBullet1"/>
            </w:pPr>
            <w:r>
              <w:t>Updates the unit status to “Limited” or “Available</w:t>
            </w:r>
            <w:r w:rsidR="00BA7846">
              <w:t>.</w:t>
            </w:r>
            <w:r>
              <w:t xml:space="preserve">” </w:t>
            </w:r>
          </w:p>
          <w:p w14:paraId="53974C78" w14:textId="77777777" w:rsidR="002A21AE" w:rsidRDefault="002A21AE">
            <w:pPr>
              <w:pStyle w:val="TableTextBullet1"/>
            </w:pPr>
            <w:r>
              <w:t>Updates the unit record to reflect the reentry of the unit in the division’s inventory. The user may add new information about this unit through Edit Unit Information.</w:t>
            </w:r>
          </w:p>
          <w:p w14:paraId="6E5D85B3" w14:textId="77777777" w:rsidR="004B4CE8" w:rsidRDefault="004B4CE8" w:rsidP="004B4CE8">
            <w:pPr>
              <w:pStyle w:val="TableTextBullet"/>
            </w:pPr>
            <w:r>
              <w:t>System determines barcode type(s) scanned based on hidden identifiers. System interprets and displays product name and donation type, as appropriate.</w:t>
            </w:r>
          </w:p>
          <w:p w14:paraId="14DF0DFB" w14:textId="77777777" w:rsidR="004B4CE8" w:rsidRDefault="004B4CE8" w:rsidP="004B4CE8">
            <w:pPr>
              <w:pStyle w:val="TableTextBullet"/>
            </w:pPr>
            <w:r>
              <w:t>System determines if the facility it full service or transfusion only.</w:t>
            </w:r>
          </w:p>
          <w:p w14:paraId="4C2803AA" w14:textId="77777777" w:rsidR="004B4CE8" w:rsidRDefault="004B4CE8" w:rsidP="004B4CE8">
            <w:pPr>
              <w:pStyle w:val="TableTextBullet"/>
            </w:pPr>
            <w:r>
              <w:t>System assigns the donation type to the unit or requires user input, as appropriate.</w:t>
            </w:r>
          </w:p>
          <w:p w14:paraId="3621746A" w14:textId="77777777" w:rsidR="002A21AE" w:rsidRDefault="002A21AE">
            <w:pPr>
              <w:pStyle w:val="TableText"/>
            </w:pPr>
          </w:p>
          <w:p w14:paraId="3C7BD050" w14:textId="4BC5B007" w:rsidR="002A21AE" w:rsidRDefault="002A21AE">
            <w:pPr>
              <w:pStyle w:val="TableText"/>
              <w:rPr>
                <w:b/>
                <w:bCs/>
                <w:szCs w:val="18"/>
              </w:rPr>
            </w:pPr>
            <w:r>
              <w:rPr>
                <w:b/>
                <w:bCs/>
                <w:szCs w:val="18"/>
              </w:rPr>
              <w:t>NOTES</w:t>
            </w:r>
          </w:p>
          <w:p w14:paraId="74F363AD" w14:textId="77777777" w:rsidR="002A21AE" w:rsidRDefault="002A21AE">
            <w:pPr>
              <w:pStyle w:val="NotesText"/>
              <w:ind w:left="0"/>
            </w:pPr>
            <w:r>
              <w:br/>
              <w:t>Scanned Product Codes</w:t>
            </w:r>
          </w:p>
          <w:p w14:paraId="3843E327" w14:textId="2AA5AF3C" w:rsidR="002A21AE" w:rsidRPr="00DE7667" w:rsidRDefault="002A21AE" w:rsidP="00DE7667">
            <w:pPr>
              <w:pStyle w:val="NotesText"/>
            </w:pPr>
            <w:r w:rsidRPr="00781DAE">
              <w:rPr>
                <w:rFonts w:cs="Arial"/>
                <w:vanish/>
              </w:rPr>
              <w:t>BR_1.42</w:t>
            </w:r>
            <w:r w:rsidRPr="009660C3">
              <w:rPr>
                <w:vanish/>
                <w:szCs w:val="18"/>
              </w:rPr>
              <w:t xml:space="preserve"> </w:t>
            </w:r>
            <w:r>
              <w:t xml:space="preserve">When a unit is transferred between facilities in a </w:t>
            </w:r>
            <w:r w:rsidR="0064398B">
              <w:t>multidivisional</w:t>
            </w:r>
            <w:r>
              <w:t xml:space="preserve"> database or is reentered after transfer to an unrelated facility, VBECS records all unit activity.</w:t>
            </w:r>
          </w:p>
          <w:p w14:paraId="1F6E1A06" w14:textId="77777777" w:rsidR="002A21AE" w:rsidRDefault="002A21AE">
            <w:pPr>
              <w:pStyle w:val="NotesText"/>
            </w:pPr>
          </w:p>
          <w:p w14:paraId="5DE91D43" w14:textId="77777777" w:rsidR="002A21AE" w:rsidRDefault="002A21AE">
            <w:pPr>
              <w:pStyle w:val="NotesText"/>
            </w:pPr>
            <w:r>
              <w:rPr>
                <w:b/>
                <w:bCs/>
              </w:rPr>
              <w:t>OK</w:t>
            </w:r>
            <w:r>
              <w:t xml:space="preserve"> returns the user to a blank screen to enter a different product. The user may enter a different product code.</w:t>
            </w:r>
          </w:p>
          <w:p w14:paraId="53147F50" w14:textId="77777777" w:rsidR="00185119" w:rsidRDefault="00185119">
            <w:pPr>
              <w:pStyle w:val="NotesText"/>
            </w:pPr>
          </w:p>
          <w:p w14:paraId="5464F016" w14:textId="4EC48D86" w:rsidR="00185119" w:rsidRDefault="00185119" w:rsidP="00185119">
            <w:pPr>
              <w:pStyle w:val="NotesText"/>
            </w:pPr>
            <w:r>
              <w:t xml:space="preserve">VBECS requires the full 8-digit ISBT 128 product code. The user should enter the 8-digit ISBT 128 product code as it appears on the blood unit label of the actual blood unit being entered into VBECS. When a user does not enter the sixth through eighth characters, VBECS automatically completes the required information with defaults, V and 00, respectively. This may be changed by clearing the unit information and entering the complete 8-digit ISBT </w:t>
            </w:r>
            <w:r w:rsidR="002E5AC8">
              <w:t>128-unit</w:t>
            </w:r>
            <w:r>
              <w:t xml:space="preserve"> product code.</w:t>
            </w:r>
            <w:r>
              <w:rPr>
                <w:vanish/>
              </w:rPr>
              <w:t xml:space="preserve"> </w:t>
            </w:r>
            <w:r w:rsidRPr="00185119">
              <w:rPr>
                <w:vanish/>
              </w:rPr>
              <w:t>DR 4484</w:t>
            </w:r>
          </w:p>
          <w:p w14:paraId="3F5B5588" w14:textId="77777777" w:rsidR="002A21AE" w:rsidRDefault="002A21AE">
            <w:pPr>
              <w:pStyle w:val="NotesText"/>
            </w:pPr>
          </w:p>
          <w:p w14:paraId="2DED1E92" w14:textId="239CA412" w:rsidR="002A21AE" w:rsidRPr="00D676C0" w:rsidRDefault="002A21AE">
            <w:pPr>
              <w:pStyle w:val="NotesText"/>
            </w:pPr>
            <w:r w:rsidRPr="00D676C0">
              <w:rPr>
                <w:rFonts w:cs="Arial"/>
                <w:vanish/>
              </w:rPr>
              <w:t xml:space="preserve">BR_1.50 </w:t>
            </w:r>
            <w:r w:rsidR="00084027" w:rsidRPr="00D676C0">
              <w:rPr>
                <w:rFonts w:cs="Arial"/>
              </w:rPr>
              <w:t>When adding an individual blood unit to the database, the volume default is based on the volume field from the Blood Product table entry that corresponds to the blood product code of the unit. The volume may be edited by the user within the range of 1 mL to 2000 mL</w:t>
            </w:r>
          </w:p>
          <w:p w14:paraId="00C97B00" w14:textId="4C805A4F" w:rsidR="000B3F35" w:rsidRPr="00D13D9B" w:rsidRDefault="000B3F35">
            <w:pPr>
              <w:pStyle w:val="NotesText"/>
              <w:rPr>
                <w:highlight w:val="green"/>
              </w:rPr>
            </w:pPr>
          </w:p>
          <w:p w14:paraId="1B620FF4" w14:textId="77777777" w:rsidR="002A21AE" w:rsidRDefault="002A21AE" w:rsidP="003947ED">
            <w:pPr>
              <w:pStyle w:val="NotesText"/>
              <w:rPr>
                <w:rFonts w:cs="Arial"/>
                <w:szCs w:val="18"/>
              </w:rPr>
            </w:pPr>
            <w:r>
              <w:rPr>
                <w:rFonts w:cs="Arial"/>
                <w:vanish/>
              </w:rPr>
              <w:t xml:space="preserve">BR_1.02 </w:t>
            </w:r>
            <w:r>
              <w:t>For each product type in a shipment, site parameters must indicate that the product is marked as active for the division and that a cost is associated with the shipper. If not, VBECS prompts the user to</w:t>
            </w:r>
            <w:r w:rsidR="003947ED">
              <w:t xml:space="preserve"> mark the component as active.</w:t>
            </w:r>
            <w:r w:rsidR="00AA6C54">
              <w:t xml:space="preserve"> </w:t>
            </w:r>
            <w:r w:rsidR="00D53BD0" w:rsidRPr="0030088C">
              <w:rPr>
                <w:rFonts w:cs="Arial"/>
                <w:szCs w:val="18"/>
              </w:rPr>
              <w:t>Blood product data entry cannot continue until the product is marked as active and a base unit cost is associated with the shipper.</w:t>
            </w:r>
          </w:p>
          <w:p w14:paraId="78D1796D" w14:textId="77777777" w:rsidR="008E48F6" w:rsidRDefault="008E48F6" w:rsidP="008E48F6">
            <w:pPr>
              <w:pStyle w:val="NotesText"/>
            </w:pPr>
          </w:p>
          <w:p w14:paraId="172C3F30" w14:textId="77777777" w:rsidR="008E48F6" w:rsidRDefault="008E48F6" w:rsidP="008E48F6">
            <w:pPr>
              <w:pStyle w:val="NotesText"/>
              <w:ind w:left="0"/>
            </w:pPr>
            <w:r>
              <w:t>For ISBT 128-labeled units:</w:t>
            </w:r>
          </w:p>
          <w:p w14:paraId="1780E031" w14:textId="77777777" w:rsidR="008E48F6" w:rsidRDefault="008E48F6" w:rsidP="008E48F6">
            <w:pPr>
              <w:pStyle w:val="NotesText"/>
            </w:pPr>
            <w:r>
              <w:rPr>
                <w:rFonts w:cs="Arial"/>
                <w:vanish/>
              </w:rPr>
              <w:t xml:space="preserve">BR_1.14 </w:t>
            </w:r>
            <w:r>
              <w:t>VBECS stores scanned ISBT 128 product codes and displays them as eight characters:</w:t>
            </w:r>
          </w:p>
          <w:p w14:paraId="462583C7" w14:textId="77777777" w:rsidR="008E48F6" w:rsidRDefault="008E48F6" w:rsidP="008E48F6">
            <w:pPr>
              <w:pStyle w:val="NotesTextBullet"/>
            </w:pPr>
            <w:r>
              <w:lastRenderedPageBreak/>
              <w:t>Characters 1–5 are used to search the ISBT Blood Product Table to identify the product type.</w:t>
            </w:r>
          </w:p>
          <w:p w14:paraId="283D4A2D" w14:textId="77777777" w:rsidR="008E48F6" w:rsidRDefault="008E48F6" w:rsidP="008E48F6">
            <w:pPr>
              <w:pStyle w:val="NotesTextBullet"/>
            </w:pPr>
            <w:r>
              <w:t>Character 6 indicates donation type.</w:t>
            </w:r>
          </w:p>
          <w:p w14:paraId="525374DE" w14:textId="77777777" w:rsidR="008E48F6" w:rsidRDefault="008E48F6" w:rsidP="008E48F6">
            <w:pPr>
              <w:pStyle w:val="NotesTextBullet"/>
            </w:pPr>
            <w:r>
              <w:t>Character 7 indicates a division at the time of collection.</w:t>
            </w:r>
          </w:p>
          <w:p w14:paraId="66B73E4A" w14:textId="2D6EDA3A" w:rsidR="008E48F6" w:rsidRDefault="008E48F6" w:rsidP="008E48F6">
            <w:pPr>
              <w:pStyle w:val="NotesTextBullet"/>
            </w:pPr>
            <w:r>
              <w:t>Character 8 indicates an additional aliquot.</w:t>
            </w:r>
          </w:p>
          <w:p w14:paraId="2BD41828" w14:textId="77777777" w:rsidR="00A5635C" w:rsidRDefault="00A5635C" w:rsidP="00A5635C">
            <w:pPr>
              <w:pStyle w:val="NotesTextBullet"/>
              <w:numPr>
                <w:ilvl w:val="0"/>
                <w:numId w:val="0"/>
              </w:numPr>
              <w:ind w:left="1008" w:hanging="288"/>
            </w:pPr>
          </w:p>
          <w:p w14:paraId="10B6A682" w14:textId="7FE791BD" w:rsidR="00A5635C" w:rsidRDefault="00A5635C" w:rsidP="00A5635C">
            <w:pPr>
              <w:pStyle w:val="NotesTextBullet"/>
              <w:numPr>
                <w:ilvl w:val="0"/>
                <w:numId w:val="0"/>
              </w:numPr>
              <w:ind w:left="1008" w:hanging="288"/>
            </w:pPr>
            <w:r w:rsidRPr="00447DC2">
              <w:rPr>
                <w:vanish/>
              </w:rPr>
              <w:t xml:space="preserve">BR_1.79 </w:t>
            </w:r>
            <w:r>
              <w:t>VBECS supports the scanning of ISB</w:t>
            </w:r>
            <w:r w:rsidR="00447DC2">
              <w:t>T</w:t>
            </w:r>
            <w:r>
              <w:t>-128 2-d barcodes by detecting  the appropriate hidden identifier.</w:t>
            </w:r>
          </w:p>
          <w:p w14:paraId="1EDD8E54" w14:textId="77777777" w:rsidR="00FF1194" w:rsidRDefault="00FF1194" w:rsidP="00FF1194">
            <w:pPr>
              <w:pStyle w:val="NotesTextBullet"/>
              <w:numPr>
                <w:ilvl w:val="0"/>
                <w:numId w:val="0"/>
              </w:numPr>
              <w:ind w:left="1008" w:hanging="288"/>
            </w:pPr>
          </w:p>
          <w:p w14:paraId="34A9E024" w14:textId="77777777" w:rsidR="00FF1194" w:rsidRDefault="00FF1194" w:rsidP="0086447D">
            <w:pPr>
              <w:pStyle w:val="NotesText"/>
            </w:pPr>
            <w:r w:rsidRPr="0086447D">
              <w:rPr>
                <w:vanish/>
              </w:rPr>
              <w:t xml:space="preserve">BR_1.75 </w:t>
            </w:r>
            <w:r w:rsidRPr="00FF1194">
              <w:t>When the user does not enter a donation type and unit division codes when manually entering a unit, the donation type is defaulted to "V" and defaults to "00" for the division characters. These are not editable after the unit is saved to the invoice.</w:t>
            </w:r>
          </w:p>
          <w:p w14:paraId="7408A4AF" w14:textId="77777777" w:rsidR="0086447D" w:rsidRDefault="0086447D" w:rsidP="0086447D">
            <w:pPr>
              <w:pStyle w:val="NotesText"/>
            </w:pPr>
          </w:p>
          <w:p w14:paraId="0AA2C517" w14:textId="77777777" w:rsidR="0086447D" w:rsidRDefault="0086447D" w:rsidP="0086447D">
            <w:pPr>
              <w:pStyle w:val="NotesText"/>
            </w:pPr>
            <w:r w:rsidRPr="0086447D">
              <w:rPr>
                <w:vanish/>
              </w:rPr>
              <w:t xml:space="preserve">BR_1.70 </w:t>
            </w:r>
            <w:r w:rsidRPr="0086447D">
              <w:t>Allow the entry of individual products associated with the active product categories.</w:t>
            </w:r>
          </w:p>
          <w:p w14:paraId="216FAC0B" w14:textId="77777777" w:rsidR="00813AE2" w:rsidRDefault="00813AE2" w:rsidP="0086447D">
            <w:pPr>
              <w:pStyle w:val="NotesText"/>
            </w:pPr>
          </w:p>
          <w:p w14:paraId="5427EDAC" w14:textId="77777777" w:rsidR="00813AE2" w:rsidRDefault="00813AE2" w:rsidP="0086447D">
            <w:pPr>
              <w:pStyle w:val="NotesText"/>
            </w:pPr>
            <w:r>
              <w:t>When a blood product code in the RED BLOOD CELLS or WHOLE BLOOD component class is entered, VBECS enables data entry of sickle cell negative and antigen typing.</w:t>
            </w:r>
          </w:p>
          <w:p w14:paraId="1AD5CADC" w14:textId="77777777" w:rsidR="006223D2" w:rsidRDefault="006223D2" w:rsidP="0086447D">
            <w:pPr>
              <w:pStyle w:val="NotesText"/>
            </w:pPr>
          </w:p>
          <w:p w14:paraId="16D41891" w14:textId="77777777" w:rsidR="006223D2" w:rsidRDefault="006223D2" w:rsidP="0086447D">
            <w:pPr>
              <w:pStyle w:val="NotesText"/>
            </w:pPr>
            <w:r>
              <w:t>The cytomegalovirus (CMV) negative data entry option is always enabled.</w:t>
            </w:r>
          </w:p>
          <w:p w14:paraId="61BF2075" w14:textId="77777777" w:rsidR="00462CAD" w:rsidRDefault="00462CAD" w:rsidP="0086447D">
            <w:pPr>
              <w:pStyle w:val="NotesText"/>
            </w:pPr>
          </w:p>
          <w:p w14:paraId="7C4D01AA" w14:textId="77777777" w:rsidR="00462CAD" w:rsidRPr="00462CAD" w:rsidRDefault="00462CAD" w:rsidP="00462CAD">
            <w:pPr>
              <w:pStyle w:val="NotesText"/>
            </w:pPr>
            <w:r w:rsidRPr="00462CAD">
              <w:rPr>
                <w:vanish/>
              </w:rPr>
              <w:t xml:space="preserve">BR_1.73 </w:t>
            </w:r>
            <w:r w:rsidR="00645BE3">
              <w:t xml:space="preserve">The system </w:t>
            </w:r>
            <w:r w:rsidRPr="00462CAD">
              <w:t>present</w:t>
            </w:r>
            <w:r w:rsidR="00645BE3">
              <w:t>s</w:t>
            </w:r>
            <w:r w:rsidRPr="00462CAD">
              <w:t xml:space="preserve"> </w:t>
            </w:r>
            <w:r w:rsidR="00645BE3">
              <w:t xml:space="preserve">an indicator for RBC </w:t>
            </w:r>
            <w:r w:rsidRPr="00462CAD">
              <w:t>contamination of equal to or greater than (</w:t>
            </w:r>
            <w:r w:rsidR="00C233B7">
              <w:t xml:space="preserve">= </w:t>
            </w:r>
            <w:r w:rsidRPr="00462CAD">
              <w:t xml:space="preserve">&gt;) 2 mL. </w:t>
            </w:r>
            <w:r w:rsidR="00645BE3">
              <w:t>RBC, WB and plasma products are set and not editable. PLATELET and OTHER products require evaluation and entry by the user.</w:t>
            </w:r>
          </w:p>
          <w:p w14:paraId="3145DCCE" w14:textId="77777777" w:rsidR="00462CAD" w:rsidRPr="00462CAD" w:rsidRDefault="00462CAD" w:rsidP="00462CAD">
            <w:pPr>
              <w:pStyle w:val="NotesText"/>
            </w:pPr>
          </w:p>
          <w:p w14:paraId="6034A306" w14:textId="77777777" w:rsidR="00462CAD" w:rsidRDefault="00462CAD" w:rsidP="00462CAD">
            <w:pPr>
              <w:pStyle w:val="NotesText"/>
            </w:pPr>
            <w:r w:rsidRPr="00462CAD">
              <w:rPr>
                <w:vanish/>
              </w:rPr>
              <w:t xml:space="preserve">BR_1.73 </w:t>
            </w:r>
            <w:r w:rsidRPr="00462CAD">
              <w:t>The</w:t>
            </w:r>
            <w:r w:rsidR="00813AE2">
              <w:t xml:space="preserve"> RBC contamination</w:t>
            </w:r>
            <w:r w:rsidRPr="00462CAD">
              <w:t xml:space="preserve"> indicator setting as saved is recorded as part of the unit record. The indicator displays with the Incoming Shipment entry on the Unit History Report</w:t>
            </w:r>
            <w:r>
              <w:t>.</w:t>
            </w:r>
          </w:p>
          <w:p w14:paraId="5E5F155D" w14:textId="77777777" w:rsidR="008B5229" w:rsidRDefault="008B5229" w:rsidP="00462CAD">
            <w:pPr>
              <w:pStyle w:val="NotesText"/>
            </w:pPr>
          </w:p>
          <w:p w14:paraId="00C3781E" w14:textId="77777777" w:rsidR="008B5229" w:rsidRDefault="008B5229" w:rsidP="00462CAD">
            <w:pPr>
              <w:pStyle w:val="NotesText"/>
              <w:rPr>
                <w:rFonts w:cs="Arial"/>
                <w:szCs w:val="18"/>
              </w:rPr>
            </w:pPr>
            <w:r w:rsidRPr="008B5229">
              <w:rPr>
                <w:rStyle w:val="StyleTableText9ptCharChar"/>
                <w:rFonts w:cs="Arial"/>
                <w:vanish/>
                <w:szCs w:val="18"/>
              </w:rPr>
              <w:t xml:space="preserve">BR_1.30 </w:t>
            </w:r>
            <w:r w:rsidRPr="0030088C">
              <w:rPr>
                <w:rStyle w:val="StyleTableText9ptCharChar"/>
                <w:rFonts w:cs="Arial"/>
                <w:szCs w:val="18"/>
              </w:rPr>
              <w:t>When the site parameter indicates that the site is</w:t>
            </w:r>
            <w:r w:rsidRPr="0030088C">
              <w:rPr>
                <w:rFonts w:cs="Arial"/>
                <w:szCs w:val="18"/>
              </w:rPr>
              <w:t xml:space="preserve"> a ‘Transfusion Only’ facility when units are added to the database, they are given a status of Available regardless of the required need for ABO/Rh confirmation testing as it is not required in this configuration.</w:t>
            </w:r>
          </w:p>
          <w:p w14:paraId="65E3B684" w14:textId="77777777" w:rsidR="008B5229" w:rsidRDefault="008B5229" w:rsidP="00462CAD">
            <w:pPr>
              <w:pStyle w:val="NotesText"/>
            </w:pPr>
          </w:p>
          <w:p w14:paraId="6BDDD8D1" w14:textId="77777777" w:rsidR="008B5229" w:rsidRPr="008B5229" w:rsidRDefault="008B5229" w:rsidP="008B5229">
            <w:pPr>
              <w:pStyle w:val="NotesText"/>
              <w:rPr>
                <w:rStyle w:val="StyleTableText9ptCharChar"/>
                <w:szCs w:val="18"/>
              </w:rPr>
            </w:pPr>
            <w:r w:rsidRPr="008B5229">
              <w:rPr>
                <w:rStyle w:val="StyleTableText9ptCharChar"/>
                <w:vanish/>
                <w:szCs w:val="18"/>
              </w:rPr>
              <w:t xml:space="preserve">BR_1.35 </w:t>
            </w:r>
            <w:r w:rsidRPr="008B5229">
              <w:rPr>
                <w:rStyle w:val="StyleTableText9ptCharChar"/>
                <w:szCs w:val="18"/>
              </w:rPr>
              <w:t>When processing units labeled using ISBT 128, all eight (8) characters are required when either:</w:t>
            </w:r>
          </w:p>
          <w:p w14:paraId="38D3C0B0" w14:textId="77777777" w:rsidR="008B5229" w:rsidRPr="0030088C" w:rsidRDefault="008B5229" w:rsidP="00925CAD">
            <w:pPr>
              <w:pStyle w:val="StyleTableText9ptChar"/>
              <w:numPr>
                <w:ilvl w:val="0"/>
                <w:numId w:val="60"/>
              </w:numPr>
              <w:rPr>
                <w:rFonts w:cs="Arial"/>
              </w:rPr>
            </w:pPr>
            <w:r w:rsidRPr="0030088C">
              <w:rPr>
                <w:rFonts w:cs="Arial"/>
              </w:rPr>
              <w:t>The site parameter indicates the site is a ‘transfusion only’ facility</w:t>
            </w:r>
          </w:p>
          <w:p w14:paraId="2E93F608" w14:textId="77777777" w:rsidR="008B5229" w:rsidRDefault="008B5229" w:rsidP="00925CAD">
            <w:pPr>
              <w:pStyle w:val="StyleTableText9ptChar"/>
              <w:numPr>
                <w:ilvl w:val="0"/>
                <w:numId w:val="60"/>
              </w:numPr>
              <w:rPr>
                <w:rFonts w:cs="Arial"/>
              </w:rPr>
            </w:pPr>
            <w:r w:rsidRPr="0030088C">
              <w:rPr>
                <w:rFonts w:cs="Arial"/>
              </w:rPr>
              <w:t>The donation type re</w:t>
            </w:r>
            <w:r>
              <w:rPr>
                <w:rFonts w:cs="Arial"/>
              </w:rPr>
              <w:t>quires restriction</w:t>
            </w:r>
            <w:r w:rsidRPr="0030088C">
              <w:rPr>
                <w:rFonts w:cs="Arial"/>
              </w:rPr>
              <w:t>. The blood unit processed must be restricted with a specific patient.</w:t>
            </w:r>
          </w:p>
          <w:p w14:paraId="7D525F6D" w14:textId="77777777" w:rsidR="008B5229" w:rsidRDefault="008B5229" w:rsidP="008B5229">
            <w:pPr>
              <w:pStyle w:val="NotesText"/>
              <w:rPr>
                <w:rFonts w:cs="Arial"/>
              </w:rPr>
            </w:pPr>
          </w:p>
          <w:p w14:paraId="299B1A96" w14:textId="6956F088" w:rsidR="00545FFE" w:rsidRPr="0032634C" w:rsidRDefault="00545FFE" w:rsidP="0032634C">
            <w:pPr>
              <w:pStyle w:val="NotesText"/>
              <w:rPr>
                <w:rFonts w:cs="Arial"/>
                <w:szCs w:val="18"/>
              </w:rPr>
            </w:pPr>
            <w:r w:rsidRPr="00545FFE">
              <w:rPr>
                <w:rFonts w:cs="Arial"/>
                <w:vanish/>
                <w:szCs w:val="18"/>
              </w:rPr>
              <w:t xml:space="preserve">BR_1.21 </w:t>
            </w:r>
            <w:r w:rsidRPr="0030088C">
              <w:rPr>
                <w:rFonts w:cs="Arial"/>
                <w:szCs w:val="18"/>
              </w:rPr>
              <w:t>An ISBT 128 ABO/Rh barcode is identified by the presence of</w:t>
            </w:r>
            <w:r w:rsidR="00372501">
              <w:rPr>
                <w:rFonts w:cs="Arial"/>
                <w:szCs w:val="18"/>
              </w:rPr>
              <w:t xml:space="preserve"> </w:t>
            </w:r>
            <w:r w:rsidRPr="0030088C">
              <w:rPr>
                <w:rFonts w:cs="Arial"/>
                <w:szCs w:val="18"/>
              </w:rPr>
              <w:t>hidden identifier</w:t>
            </w:r>
            <w:r w:rsidR="00372501">
              <w:rPr>
                <w:rFonts w:cs="Arial"/>
                <w:szCs w:val="18"/>
              </w:rPr>
              <w:t>s</w:t>
            </w:r>
            <w:r w:rsidRPr="0030088C">
              <w:rPr>
                <w:rFonts w:cs="Arial"/>
                <w:szCs w:val="18"/>
              </w:rPr>
              <w:t>. Once the hidden identifier is removed, the ABO/Rh is a four-character code.</w:t>
            </w:r>
          </w:p>
        </w:tc>
      </w:tr>
      <w:tr w:rsidR="002A21AE" w14:paraId="1FA2ACD1" w14:textId="77777777" w:rsidTr="0032634C">
        <w:trPr>
          <w:cantSplit/>
        </w:trPr>
        <w:tc>
          <w:tcPr>
            <w:tcW w:w="3240" w:type="dxa"/>
          </w:tcPr>
          <w:p w14:paraId="44D9E529" w14:textId="77777777" w:rsidR="002A21AE" w:rsidRDefault="00073282">
            <w:pPr>
              <w:pStyle w:val="TableTextNumbers"/>
            </w:pPr>
            <w:r>
              <w:lastRenderedPageBreak/>
              <w:t xml:space="preserve">For </w:t>
            </w:r>
            <w:r w:rsidR="002A21AE">
              <w:t xml:space="preserve">ISBT 128-labeled units, scan the ABO/Rh number barcode, enter the ABO/Rh, or select the ABO/Rh from the drop-down list. </w:t>
            </w:r>
          </w:p>
        </w:tc>
        <w:tc>
          <w:tcPr>
            <w:tcW w:w="6120" w:type="dxa"/>
          </w:tcPr>
          <w:p w14:paraId="763924F1" w14:textId="77777777" w:rsidR="002A21AE" w:rsidRDefault="002A21AE">
            <w:pPr>
              <w:pStyle w:val="TableTextBullet"/>
            </w:pPr>
            <w:r>
              <w:t>Displays the corresponding ABO/Rh.</w:t>
            </w:r>
          </w:p>
          <w:p w14:paraId="094B2398" w14:textId="77777777" w:rsidR="002A21AE" w:rsidRDefault="002A21AE">
            <w:pPr>
              <w:pStyle w:val="TableTextBullet"/>
              <w:rPr>
                <w:color w:val="000000"/>
              </w:rPr>
            </w:pPr>
            <w:r>
              <w:t>Allows the selection of only ABO/Rh types acceptable for ICCBBA component classes.</w:t>
            </w:r>
          </w:p>
          <w:p w14:paraId="22A14361" w14:textId="77777777" w:rsidR="002A21AE" w:rsidRDefault="002A21AE">
            <w:pPr>
              <w:pStyle w:val="TableTextBullet"/>
            </w:pPr>
            <w:r>
              <w:rPr>
                <w:rFonts w:cs="Arial"/>
                <w:vanish/>
              </w:rPr>
              <w:t xml:space="preserve">BR_1.66 </w:t>
            </w:r>
            <w:r>
              <w:t xml:space="preserve">Enables the ABO/Rh field when a valid product code is entered. </w:t>
            </w:r>
          </w:p>
        </w:tc>
      </w:tr>
      <w:tr w:rsidR="002A21AE" w14:paraId="1906F6F9" w14:textId="77777777" w:rsidTr="0032634C">
        <w:trPr>
          <w:cantSplit/>
        </w:trPr>
        <w:tc>
          <w:tcPr>
            <w:tcW w:w="3240" w:type="dxa"/>
          </w:tcPr>
          <w:p w14:paraId="3ECC99D4" w14:textId="77777777" w:rsidR="002A21AE" w:rsidRDefault="002A21AE">
            <w:pPr>
              <w:pStyle w:val="TableTextNumbers"/>
            </w:pPr>
            <w:r>
              <w:lastRenderedPageBreak/>
              <w:t>Scan the expiration date barcode or enter the expiration date and time when an expiration time is required.</w:t>
            </w:r>
          </w:p>
        </w:tc>
        <w:tc>
          <w:tcPr>
            <w:tcW w:w="6120" w:type="dxa"/>
          </w:tcPr>
          <w:p w14:paraId="4A3633EE" w14:textId="77777777" w:rsidR="002A21AE" w:rsidRDefault="002A21AE">
            <w:pPr>
              <w:pStyle w:val="TableTextBullet"/>
            </w:pPr>
            <w:r>
              <w:t>Displays the corresponding expiration date and time.</w:t>
            </w:r>
          </w:p>
          <w:p w14:paraId="1C730A1B" w14:textId="77777777" w:rsidR="002A21AE" w:rsidRDefault="002A21AE">
            <w:pPr>
              <w:pStyle w:val="TableText"/>
              <w:ind w:left="720"/>
            </w:pPr>
          </w:p>
          <w:p w14:paraId="04575CB8" w14:textId="79FECB5D" w:rsidR="002A21AE" w:rsidRDefault="002A21AE">
            <w:pPr>
              <w:pStyle w:val="TableText"/>
              <w:rPr>
                <w:b/>
                <w:bCs/>
                <w:szCs w:val="18"/>
              </w:rPr>
            </w:pPr>
            <w:r>
              <w:rPr>
                <w:b/>
                <w:bCs/>
                <w:szCs w:val="18"/>
              </w:rPr>
              <w:t>NOTES</w:t>
            </w:r>
          </w:p>
          <w:p w14:paraId="268CA715" w14:textId="77777777" w:rsidR="002A21AE" w:rsidRDefault="002A21AE">
            <w:pPr>
              <w:pStyle w:val="NotesText"/>
            </w:pPr>
          </w:p>
          <w:p w14:paraId="7CF298DB" w14:textId="79D47526" w:rsidR="00FF1194" w:rsidRPr="00FF1194" w:rsidRDefault="002A21AE" w:rsidP="00FF1194">
            <w:pPr>
              <w:pStyle w:val="NotesText"/>
            </w:pPr>
            <w:r w:rsidRPr="00FF1194">
              <w:rPr>
                <w:vanish/>
              </w:rPr>
              <w:t xml:space="preserve">BR_1.23 </w:t>
            </w:r>
            <w:r w:rsidR="00FF1194" w:rsidRPr="00FF1194">
              <w:t>A scanned ISBT 128 expiration date barcode is identified by the presence of hidden identifier</w:t>
            </w:r>
            <w:r w:rsidR="0017525B">
              <w:t>s</w:t>
            </w:r>
            <w:r w:rsidR="00FF1194" w:rsidRPr="00FF1194">
              <w:t>. Once the hidden identifier is removed, there are two possible formats of the barcode, one involving the date only and another involving date and time. If no time in the barcode, the default expiration time is 23:59.</w:t>
            </w:r>
          </w:p>
          <w:p w14:paraId="01DF0DA9" w14:textId="103C8CF6" w:rsidR="002A21AE" w:rsidRDefault="002A21AE" w:rsidP="00FF1194">
            <w:pPr>
              <w:pStyle w:val="NotesText"/>
            </w:pPr>
          </w:p>
          <w:p w14:paraId="651BC8DC" w14:textId="77777777" w:rsidR="002A21AE" w:rsidRDefault="002A21AE">
            <w:pPr>
              <w:pStyle w:val="NotesText"/>
            </w:pPr>
            <w:r>
              <w:rPr>
                <w:rFonts w:cs="Arial"/>
                <w:vanish/>
              </w:rPr>
              <w:t xml:space="preserve">BR_1.31 </w:t>
            </w:r>
            <w:r>
              <w:t xml:space="preserve">VBECS compares the entered blood product’s expiration date to the maximum storage date and time limit for the </w:t>
            </w:r>
            <w:r w:rsidR="00B10B13">
              <w:t>blood product</w:t>
            </w:r>
            <w:r>
              <w:t xml:space="preserve">. The date and time of shipment receipt are used as the collection date and time. When the expiration date entered exceeds the defined maximum storage time, VBECS displays an error message and clears the field. The user may reenter an expiration date and time for the product. </w:t>
            </w:r>
          </w:p>
          <w:p w14:paraId="75F5902A" w14:textId="77777777" w:rsidR="002A21AE" w:rsidRDefault="002A21AE">
            <w:pPr>
              <w:pStyle w:val="NotesText"/>
            </w:pPr>
            <w:r>
              <w:t> </w:t>
            </w:r>
          </w:p>
          <w:p w14:paraId="68A88FD8" w14:textId="3D7C1BB2" w:rsidR="002A21AE" w:rsidRDefault="002A21AE">
            <w:pPr>
              <w:pStyle w:val="NotesText"/>
            </w:pPr>
            <w:r>
              <w:t xml:space="preserve">Products </w:t>
            </w:r>
            <w:r w:rsidR="00352C41">
              <w:t>with</w:t>
            </w:r>
            <w:r>
              <w:t xml:space="preserve"> a maximum expiration date and time of </w:t>
            </w:r>
            <w:r>
              <w:rPr>
                <w:u w:val="single"/>
              </w:rPr>
              <w:t>&lt;</w:t>
            </w:r>
            <w:r>
              <w:t xml:space="preserve">24 hours default to an expiration time </w:t>
            </w:r>
            <w:r w:rsidR="00352C41">
              <w:rPr>
                <w:u w:val="single"/>
              </w:rPr>
              <w:t>&lt;</w:t>
            </w:r>
            <w:r>
              <w:t xml:space="preserve">24 hours from the time of the </w:t>
            </w:r>
            <w:r w:rsidR="00B10B13">
              <w:t xml:space="preserve">incoming shipment. Blood products </w:t>
            </w:r>
            <w:r>
              <w:t xml:space="preserve">with a maximum expiration date and time of </w:t>
            </w:r>
            <w:r>
              <w:rPr>
                <w:u w:val="single"/>
              </w:rPr>
              <w:t>&gt;</w:t>
            </w:r>
            <w:r>
              <w:t xml:space="preserve"> 24 hours have a default expiration time of 23:59.</w:t>
            </w:r>
          </w:p>
          <w:p w14:paraId="5D3F3F3F" w14:textId="77777777" w:rsidR="00B51FD4" w:rsidRDefault="00B51FD4">
            <w:pPr>
              <w:pStyle w:val="NotesText"/>
            </w:pPr>
          </w:p>
          <w:p w14:paraId="404937CD" w14:textId="25149AD4" w:rsidR="00B51FD4" w:rsidRDefault="004A34A4">
            <w:pPr>
              <w:pStyle w:val="NotesText"/>
            </w:pPr>
            <w:r>
              <w:t>Expiration date entries can be c</w:t>
            </w:r>
            <w:r w:rsidR="00B51FD4" w:rsidRPr="00B51FD4">
              <w:t>orrect</w:t>
            </w:r>
            <w:r>
              <w:t>ed before saving, as th</w:t>
            </w:r>
            <w:r w:rsidR="00B51FD4" w:rsidRPr="00B51FD4">
              <w:t>e</w:t>
            </w:r>
            <w:r>
              <w:t xml:space="preserve"> date</w:t>
            </w:r>
            <w:r w:rsidR="00B51FD4" w:rsidRPr="00B51FD4">
              <w:t xml:space="preserve"> is prese</w:t>
            </w:r>
            <w:r>
              <w:t xml:space="preserve">nted for review before final acceptance. </w:t>
            </w:r>
            <w:r w:rsidR="00E66ACD">
              <w:t>To correct a saved,</w:t>
            </w:r>
            <w:r>
              <w:t xml:space="preserve"> invalid Expiration Date, i</w:t>
            </w:r>
            <w:r w:rsidRPr="004A34A4">
              <w:t>nactivate and reente</w:t>
            </w:r>
            <w:r>
              <w:t>r the unit.</w:t>
            </w:r>
          </w:p>
          <w:p w14:paraId="76C7DB3D" w14:textId="24D0FE24" w:rsidR="00B51FD4" w:rsidRDefault="00B51FD4">
            <w:pPr>
              <w:pStyle w:val="NotesText"/>
            </w:pPr>
            <w:r>
              <w:t xml:space="preserve"> </w:t>
            </w:r>
          </w:p>
          <w:p w14:paraId="25A34396" w14:textId="77777777" w:rsidR="002A21AE" w:rsidRDefault="002A21AE">
            <w:pPr>
              <w:pStyle w:val="NotesText"/>
            </w:pPr>
          </w:p>
          <w:p w14:paraId="03649D79" w14:textId="77777777" w:rsidR="002A21AE" w:rsidRDefault="002A21AE">
            <w:pPr>
              <w:pStyle w:val="NotesText"/>
            </w:pPr>
            <w:r>
              <w:rPr>
                <w:rFonts w:cs="Arial"/>
                <w:vanish/>
              </w:rPr>
              <w:t xml:space="preserve">BR_1.61 </w:t>
            </w:r>
            <w:r w:rsidR="009965B7" w:rsidRPr="00896F17">
              <w:rPr>
                <w:rStyle w:val="BullhornChar"/>
              </w:rPr>
              <w:t></w:t>
            </w:r>
            <w:r w:rsidR="009965B7" w:rsidRPr="00D62E87">
              <w:rPr>
                <w:rFonts w:ascii="Webdings" w:hAnsi="Webdings"/>
              </w:rPr>
              <w:t></w:t>
            </w:r>
            <w:r>
              <w:t xml:space="preserve">When a unit expiration date precedes the incoming shipment date and time, VBECS emits an audible alert, </w:t>
            </w:r>
            <w:r>
              <w:rPr>
                <w:noProof/>
              </w:rPr>
              <w:t>warns that the user</w:t>
            </w:r>
            <w:r>
              <w:t xml:space="preserve"> is attempting to enter an expired unit, and asks whether the user wishes to continue. </w:t>
            </w:r>
          </w:p>
          <w:p w14:paraId="45F9E57A" w14:textId="77777777" w:rsidR="002A21AE" w:rsidRDefault="002A21AE">
            <w:pPr>
              <w:pStyle w:val="NotesText"/>
              <w:rPr>
                <w:b/>
              </w:rPr>
            </w:pPr>
          </w:p>
          <w:p w14:paraId="1EE54DD7" w14:textId="77777777" w:rsidR="002A21AE" w:rsidRDefault="002A21AE">
            <w:pPr>
              <w:pStyle w:val="NotesText"/>
            </w:pPr>
            <w:r>
              <w:rPr>
                <w:b/>
              </w:rPr>
              <w:t>No</w:t>
            </w:r>
            <w:r>
              <w:t xml:space="preserve"> clears the unit expiration date field. The user must enter a new, acceptable expiration date. </w:t>
            </w:r>
            <w:r>
              <w:rPr>
                <w:b/>
              </w:rPr>
              <w:t>Yes</w:t>
            </w:r>
            <w:r>
              <w:t xml:space="preserve"> requires the user to enter a comment.</w:t>
            </w:r>
          </w:p>
          <w:p w14:paraId="5DE806BF" w14:textId="77777777" w:rsidR="002A21AE" w:rsidRDefault="002A21AE">
            <w:pPr>
              <w:pStyle w:val="NotesText"/>
              <w:rPr>
                <w:rFonts w:cs="Arial"/>
              </w:rPr>
            </w:pPr>
          </w:p>
          <w:p w14:paraId="2957BED4" w14:textId="77777777" w:rsidR="002A21AE" w:rsidRDefault="002A21AE">
            <w:pPr>
              <w:pStyle w:val="NotesText"/>
              <w:rPr>
                <w:rFonts w:cs="Arial"/>
              </w:rPr>
            </w:pPr>
            <w:r>
              <w:rPr>
                <w:rFonts w:cs="Arial"/>
              </w:rPr>
              <w:t>VBECS captures details of this override in an Exception Report.</w:t>
            </w:r>
          </w:p>
          <w:p w14:paraId="2640A502" w14:textId="77777777" w:rsidR="00D30BE6" w:rsidRDefault="00D30BE6" w:rsidP="004C6F72">
            <w:pPr>
              <w:pStyle w:val="TableText"/>
              <w:rPr>
                <w:rFonts w:cs="Arial"/>
              </w:rPr>
            </w:pPr>
          </w:p>
        </w:tc>
      </w:tr>
      <w:tr w:rsidR="002A21AE" w14:paraId="7037DE73" w14:textId="77777777" w:rsidTr="0032634C">
        <w:trPr>
          <w:cantSplit/>
        </w:trPr>
        <w:tc>
          <w:tcPr>
            <w:tcW w:w="3240" w:type="dxa"/>
          </w:tcPr>
          <w:p w14:paraId="3B3D7F9B" w14:textId="77777777" w:rsidR="002A21AE" w:rsidRDefault="00073282" w:rsidP="00073282">
            <w:pPr>
              <w:pStyle w:val="TableTextNumbers"/>
            </w:pPr>
            <w:r>
              <w:t xml:space="preserve"> </w:t>
            </w:r>
            <w:r w:rsidR="002A21AE">
              <w:t>For ISBT 128-labeled units, accept the donation type based on character 6 of the product code (cannot be edited) or, when character 6 is “0,” indicate a donation type.</w:t>
            </w:r>
          </w:p>
        </w:tc>
        <w:tc>
          <w:tcPr>
            <w:tcW w:w="6120" w:type="dxa"/>
          </w:tcPr>
          <w:p w14:paraId="41552C49" w14:textId="77777777" w:rsidR="002A21AE" w:rsidRDefault="002A21AE">
            <w:pPr>
              <w:pStyle w:val="TableTextBullet"/>
            </w:pPr>
            <w:r>
              <w:t xml:space="preserve">Assigns the donation type to the unit or requires user input, as needed. </w:t>
            </w:r>
          </w:p>
          <w:p w14:paraId="7B90B13A" w14:textId="77777777" w:rsidR="002A21AE" w:rsidRDefault="002A21AE">
            <w:pPr>
              <w:pStyle w:val="TableTextBullet"/>
            </w:pPr>
            <w:r>
              <w:t>Requires data entry of the “reserved for” patient name and/or patient ID and the disease market testing status for “autologous” and “directed” donation types.</w:t>
            </w:r>
          </w:p>
          <w:p w14:paraId="78EBED8F" w14:textId="77777777" w:rsidR="002A21AE" w:rsidRDefault="002A21AE">
            <w:pPr>
              <w:pStyle w:val="TableText"/>
              <w:ind w:left="720"/>
            </w:pPr>
          </w:p>
          <w:p w14:paraId="0E0591F2" w14:textId="3ECCB249" w:rsidR="002A21AE" w:rsidRDefault="002A21AE">
            <w:pPr>
              <w:pStyle w:val="TableText"/>
              <w:rPr>
                <w:b/>
                <w:bCs/>
                <w:szCs w:val="18"/>
              </w:rPr>
            </w:pPr>
            <w:r>
              <w:rPr>
                <w:b/>
                <w:bCs/>
                <w:szCs w:val="18"/>
              </w:rPr>
              <w:t>NOTES</w:t>
            </w:r>
          </w:p>
          <w:p w14:paraId="06BCA24C" w14:textId="77777777" w:rsidR="002A21AE" w:rsidRDefault="002A21AE">
            <w:pPr>
              <w:pStyle w:val="NotesText"/>
            </w:pPr>
          </w:p>
          <w:p w14:paraId="0DAAE5A0" w14:textId="77777777" w:rsidR="002A21AE" w:rsidRDefault="002A21AE">
            <w:pPr>
              <w:pStyle w:val="NotesText"/>
            </w:pPr>
            <w:r>
              <w:rPr>
                <w:rFonts w:cs="Arial"/>
                <w:vanish/>
              </w:rPr>
              <w:t xml:space="preserve">BR_1.26 </w:t>
            </w:r>
            <w:r>
              <w:t>When a site is a transfusion-only facility, each unit processed must be restricted to a specific patient regardless of donation type.</w:t>
            </w:r>
          </w:p>
        </w:tc>
      </w:tr>
      <w:tr w:rsidR="002A21AE" w14:paraId="6B529E43" w14:textId="77777777" w:rsidTr="0032634C">
        <w:trPr>
          <w:cantSplit/>
        </w:trPr>
        <w:tc>
          <w:tcPr>
            <w:tcW w:w="3240" w:type="dxa"/>
          </w:tcPr>
          <w:p w14:paraId="2A5DCBE1" w14:textId="77777777" w:rsidR="002A21AE" w:rsidRDefault="0017553F">
            <w:pPr>
              <w:pStyle w:val="TableTextNumbers"/>
            </w:pPr>
            <w:r>
              <w:lastRenderedPageBreak/>
              <w:t xml:space="preserve">Click the </w:t>
            </w:r>
            <w:r w:rsidR="00A6373D">
              <w:rPr>
                <w:b/>
              </w:rPr>
              <w:t>find</w:t>
            </w:r>
            <w:r w:rsidRPr="00BF2E41">
              <w:t xml:space="preserve"> button</w:t>
            </w:r>
            <w:r>
              <w:t xml:space="preserve"> next to the Restricted For Patient field to </w:t>
            </w:r>
            <w:r w:rsidR="00034390">
              <w:t>i</w:t>
            </w:r>
            <w:r w:rsidR="002A21AE">
              <w:t>ndicate the patient for whom the unit is reserved, as needed.</w:t>
            </w:r>
          </w:p>
        </w:tc>
        <w:tc>
          <w:tcPr>
            <w:tcW w:w="6120" w:type="dxa"/>
          </w:tcPr>
          <w:p w14:paraId="6B633201" w14:textId="77777777" w:rsidR="002A21AE" w:rsidRDefault="002A21AE">
            <w:pPr>
              <w:pStyle w:val="TableTextBullet"/>
            </w:pPr>
            <w:r>
              <w:t xml:space="preserve">Allows the user to search for active </w:t>
            </w:r>
            <w:r w:rsidR="00CA0045" w:rsidRPr="00CA0045">
              <w:rPr>
                <w:bCs/>
              </w:rPr>
              <w:t>VistA</w:t>
            </w:r>
            <w:r>
              <w:rPr>
                <w:bCs/>
              </w:rPr>
              <w:t xml:space="preserve"> patients to associate with the unit.</w:t>
            </w:r>
          </w:p>
          <w:p w14:paraId="57824434" w14:textId="77777777" w:rsidR="002A21AE" w:rsidRDefault="002A21AE">
            <w:pPr>
              <w:pStyle w:val="TableTextBullet"/>
            </w:pPr>
            <w:r>
              <w:t>Requires data entry of a patient name and/or patient ID to associate the unit with that patient when a unit has a “directed” or “autologous” donation type or the receiving facility is a “transfusion-only” facility.</w:t>
            </w:r>
          </w:p>
          <w:p w14:paraId="3B7F51D6" w14:textId="77777777" w:rsidR="002A21AE" w:rsidRDefault="002A21AE">
            <w:pPr>
              <w:pStyle w:val="TableTextBullet"/>
            </w:pPr>
            <w:r>
              <w:t xml:space="preserve">When no match exists, </w:t>
            </w:r>
            <w:r>
              <w:rPr>
                <w:noProof/>
              </w:rPr>
              <w:t>warns the user.</w:t>
            </w:r>
          </w:p>
          <w:p w14:paraId="1E735B81" w14:textId="77777777" w:rsidR="002A21AE" w:rsidRDefault="002A21AE">
            <w:pPr>
              <w:pStyle w:val="TableTextBullet"/>
            </w:pPr>
            <w:r>
              <w:t>When the unit is autologous, requires a user to indicate the disease marker testing status:</w:t>
            </w:r>
          </w:p>
          <w:p w14:paraId="4A8A38C2" w14:textId="77777777" w:rsidR="002A21AE" w:rsidRDefault="002A21AE">
            <w:pPr>
              <w:pStyle w:val="TableTextBullet1"/>
            </w:pPr>
            <w:r>
              <w:t>NEG: unit fully tested and negative for all disease markers</w:t>
            </w:r>
          </w:p>
          <w:p w14:paraId="33B03C99" w14:textId="77777777" w:rsidR="002A21AE" w:rsidRDefault="002A21AE">
            <w:pPr>
              <w:pStyle w:val="TableTextBullet1"/>
            </w:pPr>
            <w:r>
              <w:t>POS: unit tested and positive for one or more disease markers (biohazard)</w:t>
            </w:r>
          </w:p>
          <w:p w14:paraId="0B11966C" w14:textId="77777777" w:rsidR="002A21AE" w:rsidRDefault="002A21AE">
            <w:pPr>
              <w:pStyle w:val="TableTextBullet1"/>
            </w:pPr>
            <w:r>
              <w:t>NFT: unit not fully tested for one or more disease markers (biohazard)</w:t>
            </w:r>
          </w:p>
          <w:p w14:paraId="3CC462BC" w14:textId="77777777" w:rsidR="002A21AE" w:rsidRDefault="002A21AE">
            <w:pPr>
              <w:pStyle w:val="TableText"/>
            </w:pPr>
          </w:p>
          <w:p w14:paraId="550C944C" w14:textId="4DE06BF7" w:rsidR="002A21AE" w:rsidRDefault="002A21AE">
            <w:pPr>
              <w:pStyle w:val="TableText"/>
              <w:rPr>
                <w:b/>
                <w:bCs/>
                <w:szCs w:val="18"/>
              </w:rPr>
            </w:pPr>
            <w:r>
              <w:rPr>
                <w:b/>
                <w:bCs/>
                <w:szCs w:val="18"/>
              </w:rPr>
              <w:t>NOTES</w:t>
            </w:r>
          </w:p>
          <w:p w14:paraId="5EA204D2" w14:textId="77777777" w:rsidR="002A21AE" w:rsidRDefault="002A21AE">
            <w:pPr>
              <w:pStyle w:val="NotesText"/>
            </w:pPr>
          </w:p>
          <w:p w14:paraId="089FC4A2" w14:textId="77777777" w:rsidR="001C50C2" w:rsidRDefault="001C50C2">
            <w:pPr>
              <w:pStyle w:val="NotesText"/>
              <w:rPr>
                <w:rFonts w:cs="Arial"/>
              </w:rPr>
            </w:pPr>
            <w:r w:rsidRPr="001C50C2">
              <w:rPr>
                <w:rFonts w:cs="Arial"/>
              </w:rPr>
              <w:t xml:space="preserve">Displays a message when the user selects a patient with a blank first or last name, or the name is too long. The user is instructed to contact the VBECS Administrator for assistance. </w:t>
            </w:r>
            <w:r w:rsidRPr="001C50C2">
              <w:rPr>
                <w:rFonts w:cs="Arial"/>
                <w:vanish/>
              </w:rPr>
              <w:t>DR 3444</w:t>
            </w:r>
          </w:p>
          <w:p w14:paraId="7447343E" w14:textId="77777777" w:rsidR="001C50C2" w:rsidRDefault="001C50C2">
            <w:pPr>
              <w:pStyle w:val="NotesText"/>
              <w:rPr>
                <w:rFonts w:cs="Arial"/>
              </w:rPr>
            </w:pPr>
          </w:p>
          <w:p w14:paraId="6AAC33F8" w14:textId="77777777" w:rsidR="002A21AE" w:rsidRDefault="00D407D0">
            <w:pPr>
              <w:pStyle w:val="NotesText"/>
            </w:pPr>
            <w:r>
              <w:rPr>
                <w:rFonts w:cs="Arial"/>
                <w:vanish/>
              </w:rPr>
              <w:t>DR 1,041</w:t>
            </w:r>
            <w:r w:rsidRPr="00D407D0">
              <w:rPr>
                <w:rFonts w:cs="Arial"/>
                <w:szCs w:val="18"/>
              </w:rPr>
              <w:t xml:space="preserve">The Patient Blood Availability Report does not include restricted units not assigned </w:t>
            </w:r>
            <w:r>
              <w:rPr>
                <w:rFonts w:cs="Arial"/>
                <w:szCs w:val="18"/>
              </w:rPr>
              <w:t xml:space="preserve">to a patient. To track such units, the user may enter restricted units’ IDs in the Special Instruction field in Special Instructions &amp; Transfusion Requirements: Enter and Remove Special </w:t>
            </w:r>
            <w:r w:rsidR="00541DC0">
              <w:rPr>
                <w:rFonts w:cs="Arial"/>
                <w:szCs w:val="18"/>
              </w:rPr>
              <w:t>Instructions. When</w:t>
            </w:r>
            <w:r w:rsidR="002A21AE">
              <w:t xml:space="preserve"> a user restricts a unit to a patient and VBECS does not find that patient in its database, VBECS searches </w:t>
            </w:r>
            <w:r w:rsidR="00CA0045" w:rsidRPr="00CA0045">
              <w:rPr>
                <w:bCs/>
              </w:rPr>
              <w:t>VistA</w:t>
            </w:r>
            <w:r w:rsidR="002A21AE">
              <w:t>. When it finds a valid patient, VBECS adds the patient to the database.</w:t>
            </w:r>
          </w:p>
        </w:tc>
      </w:tr>
      <w:tr w:rsidR="002A21AE" w14:paraId="15299BBF" w14:textId="77777777" w:rsidTr="0032634C">
        <w:trPr>
          <w:cantSplit/>
        </w:trPr>
        <w:tc>
          <w:tcPr>
            <w:tcW w:w="3240" w:type="dxa"/>
          </w:tcPr>
          <w:p w14:paraId="5B8E6321" w14:textId="77777777" w:rsidR="002A21AE" w:rsidRDefault="002A21AE">
            <w:pPr>
              <w:pStyle w:val="TableTextNumbers"/>
            </w:pPr>
            <w:r>
              <w:lastRenderedPageBreak/>
              <w:t>Do one or more:</w:t>
            </w:r>
          </w:p>
          <w:p w14:paraId="007DCD52" w14:textId="77777777" w:rsidR="002A21AE" w:rsidRDefault="002A21AE">
            <w:pPr>
              <w:pStyle w:val="TableTextNumbersContinued"/>
            </w:pPr>
          </w:p>
          <w:p w14:paraId="753A7E94" w14:textId="77777777" w:rsidR="002A21AE" w:rsidRDefault="002A21AE">
            <w:pPr>
              <w:pStyle w:val="TableTextNumbersContinued"/>
            </w:pPr>
            <w:r>
              <w:t xml:space="preserve">Accept the blank check boxes or click a check box to indicate that a unit is CMV Negative or Sickle Cell Negative. </w:t>
            </w:r>
          </w:p>
          <w:p w14:paraId="6016F205" w14:textId="77777777" w:rsidR="002A21AE" w:rsidRDefault="002A21AE">
            <w:pPr>
              <w:pStyle w:val="TableTextNumbersContinued"/>
            </w:pPr>
          </w:p>
          <w:p w14:paraId="6B4F91BD" w14:textId="77777777" w:rsidR="002A21AE" w:rsidRDefault="002A21AE">
            <w:pPr>
              <w:pStyle w:val="TableTextNumbersContinued"/>
            </w:pPr>
            <w:r>
              <w:t>Enter an additional cost.</w:t>
            </w:r>
          </w:p>
          <w:p w14:paraId="6696FD63" w14:textId="77777777" w:rsidR="002A21AE" w:rsidRDefault="002A21AE">
            <w:pPr>
              <w:pStyle w:val="TableTextNumbersContinued"/>
            </w:pPr>
          </w:p>
          <w:p w14:paraId="4983B760" w14:textId="0C1ED57A" w:rsidR="002A21AE" w:rsidRDefault="002A21AE">
            <w:pPr>
              <w:pStyle w:val="TableTextNumbersContinued"/>
            </w:pPr>
            <w:r>
              <w:t>Enter an antigen phenotype for a unit</w:t>
            </w:r>
            <w:r w:rsidR="00DC6B68">
              <w:t xml:space="preserve"> (</w:t>
            </w:r>
            <w:r w:rsidR="00EE455E">
              <w:t xml:space="preserve">Figure </w:t>
            </w:r>
            <w:r w:rsidR="00EE455E">
              <w:rPr>
                <w:noProof/>
              </w:rPr>
              <w:t>47</w:t>
            </w:r>
            <w:r w:rsidR="00DC6B68">
              <w:t>)</w:t>
            </w:r>
            <w:r>
              <w:t xml:space="preserve">. </w:t>
            </w:r>
          </w:p>
        </w:tc>
        <w:tc>
          <w:tcPr>
            <w:tcW w:w="6120" w:type="dxa"/>
          </w:tcPr>
          <w:p w14:paraId="5D1EB3BE" w14:textId="09F0DFFB" w:rsidR="002A21AE" w:rsidRDefault="002A21AE">
            <w:pPr>
              <w:pStyle w:val="TableTextBullet"/>
            </w:pPr>
            <w:r>
              <w:t>Displays an option to save or clear unit information.</w:t>
            </w:r>
          </w:p>
          <w:p w14:paraId="78CD4D4A" w14:textId="498B0EB7" w:rsidR="00CA2E17" w:rsidRDefault="00CA2E17">
            <w:pPr>
              <w:pStyle w:val="TableTextBullet"/>
            </w:pPr>
            <w:r>
              <w:t>Allows the user to enter a comment.</w:t>
            </w:r>
          </w:p>
          <w:p w14:paraId="7DE26001" w14:textId="77777777" w:rsidR="002A21AE" w:rsidRDefault="002A21AE">
            <w:pPr>
              <w:pStyle w:val="TableText"/>
            </w:pPr>
          </w:p>
          <w:p w14:paraId="7089FA5A" w14:textId="359ACD94" w:rsidR="002A21AE" w:rsidRDefault="002A21AE">
            <w:pPr>
              <w:pStyle w:val="TableText"/>
              <w:rPr>
                <w:b/>
                <w:bCs/>
                <w:szCs w:val="18"/>
              </w:rPr>
            </w:pPr>
            <w:r>
              <w:rPr>
                <w:b/>
                <w:bCs/>
                <w:szCs w:val="18"/>
              </w:rPr>
              <w:t>NOTES</w:t>
            </w:r>
          </w:p>
          <w:p w14:paraId="78562F6D" w14:textId="77777777" w:rsidR="002A21AE" w:rsidRDefault="002A21AE">
            <w:pPr>
              <w:pStyle w:val="NotesText"/>
            </w:pPr>
          </w:p>
          <w:p w14:paraId="1D66559F" w14:textId="77777777" w:rsidR="002A21AE" w:rsidRDefault="002A21AE" w:rsidP="00137C68">
            <w:pPr>
              <w:pStyle w:val="NotesText"/>
            </w:pPr>
            <w:r>
              <w:t>VBECS accommodates data entry of:</w:t>
            </w:r>
          </w:p>
          <w:p w14:paraId="79EF7353" w14:textId="18180E8B" w:rsidR="002A21AE" w:rsidRDefault="002A21AE">
            <w:pPr>
              <w:pStyle w:val="NotesTextBullet"/>
            </w:pPr>
            <w:r>
              <w:rPr>
                <w:rFonts w:cs="Arial"/>
                <w:vanish/>
              </w:rPr>
              <w:t xml:space="preserve">BR_1.46 </w:t>
            </w:r>
            <w:r>
              <w:t xml:space="preserve">A single special </w:t>
            </w:r>
            <w:r w:rsidR="001C07FE">
              <w:t>testing</w:t>
            </w:r>
            <w:r>
              <w:t xml:space="preserve"> cost (the sum of charges from $0.00 to $</w:t>
            </w:r>
            <w:r w:rsidR="001C07FE">
              <w:t>9,</w:t>
            </w:r>
            <w:r>
              <w:t>999.</w:t>
            </w:r>
            <w:r w:rsidR="001C07FE">
              <w:t>99</w:t>
            </w:r>
            <w:r>
              <w:t>, other than the base unit cost) to associate with a unit.</w:t>
            </w:r>
          </w:p>
          <w:p w14:paraId="72282AB0" w14:textId="77777777" w:rsidR="002A21AE" w:rsidRDefault="002A21AE">
            <w:pPr>
              <w:pStyle w:val="NotesText"/>
            </w:pPr>
          </w:p>
          <w:p w14:paraId="09FAA5BD" w14:textId="6D860022" w:rsidR="002A21AE" w:rsidRDefault="002A21AE">
            <w:pPr>
              <w:pStyle w:val="NotesText"/>
            </w:pPr>
            <w:r>
              <w:rPr>
                <w:rFonts w:cs="Arial"/>
                <w:vanish/>
              </w:rPr>
              <w:t xml:space="preserve">BR_1.45 </w:t>
            </w:r>
            <w:r>
              <w:t xml:space="preserve">An antigen type may be positive or negative for any antigen listed as a VBECS corresponding antigen in </w:t>
            </w:r>
            <w:r w:rsidR="00EE455E">
              <w:t xml:space="preserve">Appendix </w:t>
            </w:r>
            <w:r w:rsidR="00EE455E">
              <w:rPr>
                <w:noProof/>
              </w:rPr>
              <w:t>B</w:t>
            </w:r>
            <w:r>
              <w:t xml:space="preserve">: </w:t>
            </w:r>
            <w:r w:rsidR="00EE455E">
              <w:t xml:space="preserve">Table </w:t>
            </w:r>
            <w:r w:rsidR="00EE455E">
              <w:rPr>
                <w:noProof/>
              </w:rPr>
              <w:t>14</w:t>
            </w:r>
            <w:r w:rsidR="00EE455E">
              <w:t xml:space="preserve">: </w:t>
            </w:r>
            <w:r w:rsidR="00EE455E">
              <w:rPr>
                <w:vanish/>
              </w:rPr>
              <w:t xml:space="preserve">TT_23.01A </w:t>
            </w:r>
            <w:r w:rsidR="00EE455E">
              <w:t>Antibody and Antigen Table: Irregular Antibodies</w:t>
            </w:r>
            <w:r>
              <w:t>. An antigen may not be positive and negative for the same unit.</w:t>
            </w:r>
          </w:p>
          <w:p w14:paraId="6FB50A9D" w14:textId="77777777" w:rsidR="005710CE" w:rsidRDefault="005710CE">
            <w:pPr>
              <w:pStyle w:val="NotesText"/>
            </w:pPr>
          </w:p>
          <w:p w14:paraId="4B2FA7D2" w14:textId="77777777" w:rsidR="005710CE" w:rsidRDefault="005710CE" w:rsidP="0032634C">
            <w:pPr>
              <w:pStyle w:val="NotesText"/>
              <w:rPr>
                <w:rFonts w:cs="Arial"/>
                <w:szCs w:val="18"/>
              </w:rPr>
            </w:pPr>
            <w:r w:rsidRPr="005710CE">
              <w:rPr>
                <w:rFonts w:cs="Arial"/>
                <w:vanish/>
                <w:szCs w:val="18"/>
              </w:rPr>
              <w:t xml:space="preserve">BR_1.01 </w:t>
            </w:r>
            <w:r w:rsidRPr="0030088C">
              <w:rPr>
                <w:rFonts w:cs="Arial"/>
                <w:szCs w:val="18"/>
              </w:rPr>
              <w:t>The shipper of the shipment is used to determine the actual costs of the blood products contained in the shipment. The shipper is the “ship from/ship to” shipper and may or may not be the same as the shipper that collected and/or processed the blood product as indicated on the blood component label. A user can select a shipper from previously activated shipper entries that have been marked as active shipper for a division.</w:t>
            </w:r>
          </w:p>
          <w:p w14:paraId="7286B8D1" w14:textId="77777777" w:rsidR="006E30BA" w:rsidRDefault="006E30BA" w:rsidP="006E30BA">
            <w:pPr>
              <w:pStyle w:val="NotesText"/>
            </w:pPr>
          </w:p>
          <w:p w14:paraId="1AEB2CF4" w14:textId="77777777" w:rsidR="006E30BA" w:rsidRDefault="006E30BA" w:rsidP="006E30BA">
            <w:pPr>
              <w:pStyle w:val="NotesText"/>
              <w:rPr>
                <w:rFonts w:cs="Arial"/>
                <w:szCs w:val="18"/>
              </w:rPr>
            </w:pPr>
            <w:r w:rsidRPr="005710CE">
              <w:rPr>
                <w:rFonts w:cs="Arial"/>
                <w:vanish/>
                <w:szCs w:val="18"/>
              </w:rPr>
              <w:t>BR_1.</w:t>
            </w:r>
            <w:r>
              <w:rPr>
                <w:rFonts w:cs="Arial"/>
                <w:vanish/>
                <w:szCs w:val="18"/>
              </w:rPr>
              <w:t>77</w:t>
            </w:r>
            <w:r w:rsidRPr="005710CE">
              <w:rPr>
                <w:rFonts w:cs="Arial"/>
                <w:vanish/>
                <w:szCs w:val="18"/>
              </w:rPr>
              <w:t xml:space="preserve"> </w:t>
            </w:r>
            <w:r w:rsidRPr="0030088C">
              <w:rPr>
                <w:rFonts w:cs="Arial"/>
                <w:szCs w:val="18"/>
              </w:rPr>
              <w:t xml:space="preserve">The </w:t>
            </w:r>
            <w:r>
              <w:rPr>
                <w:rFonts w:cs="Arial"/>
                <w:szCs w:val="18"/>
              </w:rPr>
              <w:t>user may enter a comment in the "Incoming Shipment" comment context and a free text comment</w:t>
            </w:r>
            <w:r w:rsidRPr="0030088C">
              <w:rPr>
                <w:rFonts w:cs="Arial"/>
                <w:szCs w:val="18"/>
              </w:rPr>
              <w:t>.</w:t>
            </w:r>
            <w:r>
              <w:rPr>
                <w:rFonts w:cs="Arial"/>
                <w:szCs w:val="18"/>
              </w:rPr>
              <w:t xml:space="preserve"> </w:t>
            </w:r>
            <w:r w:rsidRPr="006E30BA">
              <w:rPr>
                <w:rFonts w:cs="Arial"/>
                <w:szCs w:val="18"/>
              </w:rPr>
              <w:t>The comment will be displayed in the Unit History Report, Incoming Shipment section and may be edited in Edit Unit Information</w:t>
            </w:r>
            <w:r>
              <w:rPr>
                <w:rFonts w:cs="Arial"/>
                <w:szCs w:val="18"/>
              </w:rPr>
              <w:t xml:space="preserve">. </w:t>
            </w:r>
          </w:p>
          <w:p w14:paraId="6601E499" w14:textId="77777777" w:rsidR="004C7721" w:rsidRDefault="004C7721" w:rsidP="006E30BA">
            <w:pPr>
              <w:pStyle w:val="NotesText"/>
              <w:rPr>
                <w:rFonts w:cs="Arial"/>
                <w:szCs w:val="18"/>
              </w:rPr>
            </w:pPr>
          </w:p>
          <w:p w14:paraId="36FFFA14" w14:textId="427F79E3" w:rsidR="004C7721" w:rsidRPr="0032634C" w:rsidRDefault="004C7721" w:rsidP="006E30BA">
            <w:pPr>
              <w:pStyle w:val="NotesText"/>
              <w:rPr>
                <w:rFonts w:cs="Arial"/>
                <w:szCs w:val="18"/>
              </w:rPr>
            </w:pPr>
            <w:r w:rsidRPr="004C7721">
              <w:rPr>
                <w:rFonts w:cs="Arial"/>
                <w:vanish/>
                <w:szCs w:val="18"/>
              </w:rPr>
              <w:t>BR_1.78</w:t>
            </w:r>
            <w:r w:rsidR="006A7B5C">
              <w:rPr>
                <w:rFonts w:cs="Arial"/>
                <w:vanish/>
                <w:szCs w:val="18"/>
              </w:rPr>
              <w:t xml:space="preserve"> </w:t>
            </w:r>
            <w:r>
              <w:rPr>
                <w:rFonts w:cs="Arial"/>
                <w:szCs w:val="18"/>
              </w:rPr>
              <w:t>VBECS supports the scanning of ISBT 128 special testing information barcodes by detecting the appropriate hidden identifiers. The scanned special testing value may populate the CMV Negative field, the Antigen list, and/or the Comment, based on the value scanned.</w:t>
            </w:r>
          </w:p>
        </w:tc>
      </w:tr>
      <w:tr w:rsidR="002A21AE" w14:paraId="18974901" w14:textId="77777777" w:rsidTr="0032634C">
        <w:trPr>
          <w:cantSplit/>
        </w:trPr>
        <w:tc>
          <w:tcPr>
            <w:tcW w:w="3240" w:type="dxa"/>
          </w:tcPr>
          <w:p w14:paraId="7848B6FD" w14:textId="77777777" w:rsidR="002A21AE" w:rsidRDefault="002A21AE">
            <w:pPr>
              <w:pStyle w:val="TableTextNumbers"/>
            </w:pPr>
            <w:r>
              <w:lastRenderedPageBreak/>
              <w:t xml:space="preserve">Review and click </w:t>
            </w:r>
            <w:r>
              <w:rPr>
                <w:b/>
              </w:rPr>
              <w:t>Save</w:t>
            </w:r>
            <w:r>
              <w:t xml:space="preserve"> to accept the unit.</w:t>
            </w:r>
          </w:p>
        </w:tc>
        <w:tc>
          <w:tcPr>
            <w:tcW w:w="6120" w:type="dxa"/>
          </w:tcPr>
          <w:p w14:paraId="18A1087D" w14:textId="77777777" w:rsidR="002A21AE" w:rsidRDefault="00590A7C" w:rsidP="004A4FC6">
            <w:pPr>
              <w:pStyle w:val="TableTextBullet"/>
            </w:pPr>
            <w:r w:rsidRPr="004A4FC6">
              <w:rPr>
                <w:vanish/>
              </w:rPr>
              <w:t xml:space="preserve">BR_1.68 </w:t>
            </w:r>
            <w:r w:rsidR="004A4FC6" w:rsidRPr="004A4FC6">
              <w:t>The confirmation message presented when saving a unit record states: “Are you sure you want to add this unit, by clicking Yes, you acknowledge that you inspected this uni</w:t>
            </w:r>
            <w:r w:rsidR="004A4FC6">
              <w:t>t and that it is satisfactory.”</w:t>
            </w:r>
          </w:p>
          <w:p w14:paraId="327F447F" w14:textId="14DBF897" w:rsidR="0074412C" w:rsidRDefault="000E3E6B" w:rsidP="0074412C">
            <w:pPr>
              <w:pStyle w:val="TableTextBullet"/>
            </w:pPr>
            <w:r>
              <w:t xml:space="preserve">When the user clicks yes, the unit record is added to the division’s inventory.  When the user clicks no, </w:t>
            </w:r>
            <w:r w:rsidR="00EF64BD" w:rsidRPr="0030088C">
              <w:rPr>
                <w:rFonts w:cs="Arial"/>
                <w:szCs w:val="18"/>
              </w:rPr>
              <w:t>the user is allowed to edit information, clear the unit information or may attempt to save again.</w:t>
            </w:r>
            <w:r w:rsidR="0074412C">
              <w:rPr>
                <w:rFonts w:cs="Arial"/>
              </w:rPr>
              <w:t xml:space="preserve"> The visual inspection indicator will be displayed in the Unit History Report, Incoming Shipment section.</w:t>
            </w:r>
          </w:p>
          <w:p w14:paraId="74CF718F" w14:textId="38B2CE57" w:rsidR="000E3E6B" w:rsidRDefault="0074412C" w:rsidP="0074412C">
            <w:pPr>
              <w:pStyle w:val="TableTextBullet"/>
            </w:pPr>
            <w:r>
              <w:t>Adds the unit to the database.</w:t>
            </w:r>
          </w:p>
          <w:p w14:paraId="3C0D9D55" w14:textId="77777777" w:rsidR="002A21AE" w:rsidRDefault="002A21AE">
            <w:pPr>
              <w:pStyle w:val="TableTextBullet"/>
            </w:pPr>
            <w:r>
              <w:t xml:space="preserve">Lists summary information for the accepted unit. </w:t>
            </w:r>
          </w:p>
          <w:p w14:paraId="71598DF5" w14:textId="77777777" w:rsidR="002A21AE" w:rsidRDefault="002A21AE">
            <w:pPr>
              <w:pStyle w:val="TableTextBullet"/>
            </w:pPr>
            <w:r>
              <w:t xml:space="preserve">Allows the user to begin processing a new unit. </w:t>
            </w:r>
          </w:p>
          <w:p w14:paraId="13A7E62B" w14:textId="77777777" w:rsidR="002A21AE" w:rsidRDefault="002A21AE">
            <w:pPr>
              <w:pStyle w:val="TableText"/>
            </w:pPr>
          </w:p>
          <w:p w14:paraId="2B35C455" w14:textId="0ECD815B" w:rsidR="002A21AE" w:rsidRDefault="002A21AE">
            <w:pPr>
              <w:pStyle w:val="TableText"/>
              <w:rPr>
                <w:b/>
                <w:bCs/>
                <w:szCs w:val="18"/>
              </w:rPr>
            </w:pPr>
            <w:r>
              <w:rPr>
                <w:b/>
                <w:bCs/>
                <w:szCs w:val="18"/>
              </w:rPr>
              <w:t>NOTES</w:t>
            </w:r>
          </w:p>
          <w:p w14:paraId="48B9BA02" w14:textId="77777777" w:rsidR="002A21AE" w:rsidRDefault="002A21AE">
            <w:pPr>
              <w:pStyle w:val="NotesText"/>
            </w:pPr>
          </w:p>
          <w:p w14:paraId="1821C35C" w14:textId="77777777" w:rsidR="00B21CEA" w:rsidRPr="00B21CEA" w:rsidRDefault="00B21CEA" w:rsidP="00B21CEA">
            <w:pPr>
              <w:pStyle w:val="NotesText"/>
            </w:pPr>
            <w:r w:rsidRPr="00B21CEA">
              <w:t>If the unit is not satisfactory per the visual inspection, the user must click no. The unit is not entered into VBECS inventory and should be processed according to local procedure and policy.</w:t>
            </w:r>
          </w:p>
          <w:p w14:paraId="625051B9" w14:textId="77777777" w:rsidR="00B21CEA" w:rsidRDefault="00B21CEA">
            <w:pPr>
              <w:pStyle w:val="NotesText"/>
            </w:pPr>
          </w:p>
          <w:p w14:paraId="3E5C13FA" w14:textId="77777777" w:rsidR="002A21AE" w:rsidRDefault="002A21AE">
            <w:pPr>
              <w:pStyle w:val="NotesText"/>
            </w:pPr>
            <w:r>
              <w:t>VBECS assigns unit statuses based on a site’s configuration in Configure Division. For a:</w:t>
            </w:r>
          </w:p>
          <w:p w14:paraId="6D773BA1" w14:textId="77777777" w:rsidR="002A21AE" w:rsidRDefault="002A21AE">
            <w:pPr>
              <w:pStyle w:val="NotesTextBullet"/>
            </w:pPr>
            <w:r>
              <w:t>“Full-service” facility, VBECS assigns “Limited” status to blood products that contain red cells and “Available” status to all other components.</w:t>
            </w:r>
          </w:p>
          <w:p w14:paraId="12377937" w14:textId="77777777" w:rsidR="002A21AE" w:rsidRDefault="002A21AE">
            <w:pPr>
              <w:pStyle w:val="NotesTextBullet"/>
            </w:pPr>
            <w:r>
              <w:t>“Transfusion-only” facility, VBECS assigns “Available” status to the units. ABO/Rh confirmation testing is not required.</w:t>
            </w:r>
          </w:p>
          <w:p w14:paraId="7531F1D8" w14:textId="77777777" w:rsidR="002A21AE" w:rsidRDefault="002A21AE">
            <w:pPr>
              <w:pStyle w:val="NotesText"/>
            </w:pPr>
          </w:p>
          <w:p w14:paraId="1817D485" w14:textId="77777777" w:rsidR="002A21AE" w:rsidRDefault="002A21AE">
            <w:pPr>
              <w:pStyle w:val="NotesText"/>
            </w:pPr>
            <w:r>
              <w:t>Units are available only to users in the division in which the units were processed (separate inventories are maintained in a multidivisional site).</w:t>
            </w:r>
          </w:p>
          <w:p w14:paraId="6540BF44" w14:textId="77777777" w:rsidR="00260D14" w:rsidRDefault="00260D14">
            <w:pPr>
              <w:pStyle w:val="NotesText"/>
            </w:pPr>
          </w:p>
          <w:p w14:paraId="7FF68272" w14:textId="77777777" w:rsidR="00260D14" w:rsidRDefault="00260D14">
            <w:pPr>
              <w:pStyle w:val="NotesText"/>
            </w:pPr>
            <w:r>
              <w:t>To edit incorrect saved information, inactivate the unit through Edit Unit Information</w:t>
            </w:r>
            <w:r w:rsidR="00AB2CA4">
              <w:t>, then ree</w:t>
            </w:r>
            <w:r>
              <w:t xml:space="preserve">nter </w:t>
            </w:r>
            <w:r w:rsidR="00AB2CA4">
              <w:t xml:space="preserve">unit </w:t>
            </w:r>
            <w:r>
              <w:t>information in Incoming Shipment.</w:t>
            </w:r>
          </w:p>
          <w:p w14:paraId="2EF73B16" w14:textId="77777777" w:rsidR="00CE13F4" w:rsidRDefault="00CE13F4">
            <w:pPr>
              <w:pStyle w:val="NotesText"/>
            </w:pPr>
          </w:p>
          <w:p w14:paraId="5DA29594" w14:textId="21655E82" w:rsidR="00CE13F4" w:rsidRDefault="00CE13F4">
            <w:pPr>
              <w:pStyle w:val="NotesText"/>
              <w:rPr>
                <w:rFonts w:cs="Arial"/>
                <w:szCs w:val="18"/>
              </w:rPr>
            </w:pPr>
            <w:r w:rsidRPr="00CE13F4">
              <w:rPr>
                <w:rFonts w:cs="Arial"/>
                <w:vanish/>
                <w:szCs w:val="18"/>
              </w:rPr>
              <w:t xml:space="preserve">BR_1.74 </w:t>
            </w:r>
            <w:r w:rsidRPr="0030088C">
              <w:rPr>
                <w:rFonts w:cs="Arial"/>
                <w:szCs w:val="18"/>
              </w:rPr>
              <w:t xml:space="preserve">Existing invoices continue </w:t>
            </w:r>
            <w:r w:rsidR="00073282">
              <w:rPr>
                <w:rFonts w:cs="Arial"/>
                <w:szCs w:val="18"/>
              </w:rPr>
              <w:t xml:space="preserve">to display historic </w:t>
            </w:r>
            <w:r w:rsidRPr="0030088C">
              <w:rPr>
                <w:rFonts w:cs="Arial"/>
                <w:szCs w:val="18"/>
              </w:rPr>
              <w:t>ISBT 128 labeled units.</w:t>
            </w:r>
          </w:p>
          <w:p w14:paraId="41513FC2" w14:textId="77777777" w:rsidR="0040523B" w:rsidRDefault="0040523B">
            <w:pPr>
              <w:pStyle w:val="NotesText"/>
            </w:pPr>
          </w:p>
          <w:p w14:paraId="6507CC04" w14:textId="77777777" w:rsidR="0040523B" w:rsidRDefault="0040523B" w:rsidP="0040523B">
            <w:pPr>
              <w:pStyle w:val="NotesText"/>
            </w:pPr>
            <w:r w:rsidRPr="0040523B">
              <w:rPr>
                <w:vanish/>
              </w:rPr>
              <w:t xml:space="preserve">BR_1.72 </w:t>
            </w:r>
            <w:r w:rsidRPr="0040523B">
              <w:t>The user may not save the unit record until the donation type and its requirements are satisfied.</w:t>
            </w:r>
          </w:p>
          <w:p w14:paraId="772AADC9" w14:textId="77777777" w:rsidR="00674B59" w:rsidRDefault="00674B59" w:rsidP="0040523B">
            <w:pPr>
              <w:pStyle w:val="NotesText"/>
              <w:rPr>
                <w:rFonts w:cs="Arial"/>
                <w:szCs w:val="18"/>
              </w:rPr>
            </w:pPr>
          </w:p>
          <w:p w14:paraId="3B59ED48" w14:textId="77777777" w:rsidR="00674B59" w:rsidRDefault="00674B59" w:rsidP="0040523B">
            <w:pPr>
              <w:pStyle w:val="NotesText"/>
              <w:rPr>
                <w:rFonts w:cs="Arial"/>
                <w:szCs w:val="18"/>
              </w:rPr>
            </w:pPr>
            <w:r w:rsidRPr="00674B59">
              <w:rPr>
                <w:rFonts w:cs="Arial"/>
                <w:vanish/>
                <w:szCs w:val="18"/>
              </w:rPr>
              <w:t xml:space="preserve">BR_1.10 </w:t>
            </w:r>
            <w:r w:rsidRPr="0030088C">
              <w:rPr>
                <w:rFonts w:cs="Arial"/>
                <w:szCs w:val="18"/>
              </w:rPr>
              <w:t>The system determines that valid required data exist for individual units before adding to the database. The newly added unit displays in a list. This list includes Unit ID, ABO/Rh, Product Code, and Expiration date.</w:t>
            </w:r>
          </w:p>
          <w:p w14:paraId="03F0C757" w14:textId="77777777" w:rsidR="00674B59" w:rsidRDefault="00674B59" w:rsidP="0040523B">
            <w:pPr>
              <w:pStyle w:val="NotesText"/>
              <w:rPr>
                <w:rFonts w:cs="Arial"/>
                <w:szCs w:val="18"/>
              </w:rPr>
            </w:pPr>
          </w:p>
          <w:p w14:paraId="471C0276" w14:textId="77777777" w:rsidR="00674B59" w:rsidRPr="0040523B" w:rsidRDefault="00674B59" w:rsidP="0040523B">
            <w:pPr>
              <w:pStyle w:val="NotesText"/>
              <w:rPr>
                <w:rFonts w:cs="Arial"/>
                <w:szCs w:val="18"/>
              </w:rPr>
            </w:pPr>
            <w:r>
              <w:rPr>
                <w:vanish/>
              </w:rPr>
              <w:t>BR_1.47</w:t>
            </w:r>
            <w:r w:rsidRPr="00674B59">
              <w:rPr>
                <w:vanish/>
              </w:rPr>
              <w:t xml:space="preserve"> </w:t>
            </w:r>
            <w:r>
              <w:t>When units are added to the database, the records must be created in a manner that the units are retrievable for other VBECS functionality by scanning the Unit ID and Product Code barcodes.</w:t>
            </w:r>
          </w:p>
        </w:tc>
      </w:tr>
      <w:tr w:rsidR="002A21AE" w14:paraId="0978423F" w14:textId="77777777" w:rsidTr="0032634C">
        <w:trPr>
          <w:cantSplit/>
        </w:trPr>
        <w:tc>
          <w:tcPr>
            <w:tcW w:w="3240" w:type="dxa"/>
          </w:tcPr>
          <w:p w14:paraId="7ED8608F" w14:textId="77777777" w:rsidR="002A21AE" w:rsidRDefault="002A21AE">
            <w:pPr>
              <w:pStyle w:val="TableTextNumbers"/>
            </w:pPr>
            <w:r>
              <w:t>Repeat until all units are entered.</w:t>
            </w:r>
          </w:p>
        </w:tc>
        <w:tc>
          <w:tcPr>
            <w:tcW w:w="6120" w:type="dxa"/>
          </w:tcPr>
          <w:p w14:paraId="4DFD4CCD" w14:textId="77777777" w:rsidR="002A21AE" w:rsidRDefault="002A21AE">
            <w:pPr>
              <w:pStyle w:val="TableTextBullet"/>
            </w:pPr>
            <w:r>
              <w:t>Displays all unit data entries.</w:t>
            </w:r>
          </w:p>
        </w:tc>
      </w:tr>
      <w:tr w:rsidR="002A21AE" w14:paraId="42EFF919" w14:textId="77777777" w:rsidTr="0032634C">
        <w:trPr>
          <w:cantSplit/>
        </w:trPr>
        <w:tc>
          <w:tcPr>
            <w:tcW w:w="3240" w:type="dxa"/>
            <w:tcBorders>
              <w:bottom w:val="single" w:sz="4" w:space="0" w:color="auto"/>
            </w:tcBorders>
          </w:tcPr>
          <w:p w14:paraId="65922255" w14:textId="77777777" w:rsidR="002A21AE" w:rsidRDefault="002A21AE">
            <w:pPr>
              <w:pStyle w:val="TableTextNumbers"/>
            </w:pPr>
            <w:r>
              <w:t xml:space="preserve">Click </w:t>
            </w:r>
            <w:r>
              <w:rPr>
                <w:b/>
              </w:rPr>
              <w:t>Close</w:t>
            </w:r>
            <w:r>
              <w:t xml:space="preserve">. </w:t>
            </w:r>
            <w:r>
              <w:rPr>
                <w:vanish/>
                <w:color w:val="FFFFFF"/>
                <w:szCs w:val="18"/>
              </w:rPr>
              <w:fldChar w:fldCharType="begin"/>
            </w:r>
            <w:r>
              <w:rPr>
                <w:vanish/>
                <w:color w:val="FFFFFF"/>
                <w:szCs w:val="18"/>
              </w:rPr>
              <w:instrText xml:space="preserve"> LISTNUM \l 1 \s 0 </w:instrText>
            </w:r>
            <w:r>
              <w:rPr>
                <w:vanish/>
                <w:color w:val="FFFFFF"/>
                <w:szCs w:val="18"/>
              </w:rPr>
              <w:fldChar w:fldCharType="end">
                <w:numberingChange w:id="283" w:author="MUSZYNSKI, THOMAS D. (SIERRA 7 INC)" w:date="2024-11-26T07:15:00Z" w:original="0."/>
              </w:fldChar>
            </w:r>
          </w:p>
        </w:tc>
        <w:tc>
          <w:tcPr>
            <w:tcW w:w="6120" w:type="dxa"/>
            <w:tcBorders>
              <w:bottom w:val="single" w:sz="4" w:space="0" w:color="auto"/>
            </w:tcBorders>
          </w:tcPr>
          <w:p w14:paraId="323C009B" w14:textId="77777777" w:rsidR="002A21AE" w:rsidRDefault="002A21AE">
            <w:pPr>
              <w:pStyle w:val="TableText"/>
            </w:pPr>
          </w:p>
        </w:tc>
      </w:tr>
    </w:tbl>
    <w:p w14:paraId="0B34162B" w14:textId="576B18E1" w:rsidR="00DC6B68" w:rsidRDefault="00DC6B68" w:rsidP="00DC6B68">
      <w:pPr>
        <w:pStyle w:val="Caption"/>
      </w:pPr>
      <w:bookmarkStart w:id="284" w:name="_Ref126645045"/>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7D1829">
        <w:rPr>
          <w:noProof/>
        </w:rPr>
        <w:t>48</w:t>
      </w:r>
      <w:r w:rsidR="004E20BD">
        <w:rPr>
          <w:noProof/>
        </w:rPr>
        <w:fldChar w:fldCharType="end"/>
      </w:r>
      <w:bookmarkEnd w:id="284"/>
      <w:r>
        <w:t>: Process Incoming Shipment</w:t>
      </w:r>
    </w:p>
    <w:p w14:paraId="68431A2E" w14:textId="595301E0" w:rsidR="00DA7128" w:rsidRDefault="00756E5A" w:rsidP="00DA7128">
      <w:pPr>
        <w:pStyle w:val="BodyText"/>
      </w:pPr>
      <w:bookmarkStart w:id="285" w:name="_Outgoing_Shipment"/>
      <w:bookmarkStart w:id="286" w:name="_Toc63680359"/>
      <w:bookmarkEnd w:id="272"/>
      <w:bookmarkEnd w:id="285"/>
      <w:r>
        <w:rPr>
          <w:noProof/>
        </w:rPr>
        <w:drawing>
          <wp:inline distT="0" distB="0" distL="0" distR="0" wp14:anchorId="0DC9CABA" wp14:editId="2ED0BE9F">
            <wp:extent cx="5943600" cy="4079875"/>
            <wp:effectExtent l="0" t="0" r="0" b="0"/>
            <wp:docPr id="45" name="Picture 45" descr="Example of Process Incoming Shipment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descr="Example of Process Incoming Shipment screen capture"/>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5943600" cy="4079875"/>
                    </a:xfrm>
                    <a:prstGeom prst="rect">
                      <a:avLst/>
                    </a:prstGeom>
                    <a:noFill/>
                    <a:ln>
                      <a:noFill/>
                    </a:ln>
                  </pic:spPr>
                </pic:pic>
              </a:graphicData>
            </a:graphic>
          </wp:inline>
        </w:drawing>
      </w:r>
    </w:p>
    <w:p w14:paraId="3DB08C47" w14:textId="77777777" w:rsidR="001A459B" w:rsidRDefault="001A459B">
      <w:pPr>
        <w:rPr>
          <w:rFonts w:ascii="Arial" w:hAnsi="Arial"/>
          <w:b/>
          <w:sz w:val="22"/>
        </w:rPr>
      </w:pPr>
      <w:r>
        <w:br w:type="page"/>
      </w:r>
    </w:p>
    <w:p w14:paraId="71503724" w14:textId="44A30982" w:rsidR="002A21AE" w:rsidRPr="008A3222" w:rsidRDefault="002A21AE" w:rsidP="008A3222">
      <w:pPr>
        <w:pStyle w:val="Heading3"/>
      </w:pPr>
      <w:bookmarkStart w:id="287" w:name="_Toc203765882"/>
      <w:r>
        <w:lastRenderedPageBreak/>
        <w:t>Outgoing Shipment</w:t>
      </w:r>
      <w:bookmarkEnd w:id="286"/>
      <w:bookmarkEnd w:id="287"/>
      <w:r w:rsidRPr="008A3222">
        <w:rPr>
          <w:rFonts w:ascii="Arial Bold" w:hAnsi="Arial Bold"/>
          <w:vanish/>
        </w:rPr>
        <w:fldChar w:fldCharType="begin"/>
      </w:r>
      <w:r w:rsidRPr="008A3222">
        <w:rPr>
          <w:rFonts w:ascii="Arial Bold" w:hAnsi="Arial Bold"/>
          <w:vanish/>
        </w:rPr>
        <w:instrText xml:space="preserve"> XE </w:instrText>
      </w:r>
      <w:r w:rsidR="00FA7E65" w:rsidRPr="008A3222">
        <w:rPr>
          <w:rFonts w:ascii="Arial Bold" w:hAnsi="Arial Bold"/>
          <w:vanish/>
        </w:rPr>
        <w:instrText>“</w:instrText>
      </w:r>
      <w:r w:rsidRPr="008A3222">
        <w:rPr>
          <w:rFonts w:ascii="Arial Bold" w:hAnsi="Arial Bold"/>
          <w:vanish/>
        </w:rPr>
        <w:instrText>Outgoing Shipment</w:instrText>
      </w:r>
      <w:r w:rsidR="00FA7E65" w:rsidRPr="008A3222">
        <w:rPr>
          <w:rFonts w:ascii="Arial Bold" w:hAnsi="Arial Bold"/>
          <w:vanish/>
        </w:rPr>
        <w:instrText>”</w:instrText>
      </w:r>
      <w:r w:rsidRPr="008A3222">
        <w:rPr>
          <w:rFonts w:ascii="Arial Bold" w:hAnsi="Arial Bold"/>
          <w:vanish/>
        </w:rPr>
        <w:instrText xml:space="preserve"> </w:instrText>
      </w:r>
      <w:r w:rsidRPr="008A3222">
        <w:rPr>
          <w:rFonts w:ascii="Arial Bold" w:hAnsi="Arial Bold"/>
          <w:vanish/>
        </w:rPr>
        <w:fldChar w:fldCharType="end"/>
      </w:r>
      <w:r w:rsidRPr="008A3222">
        <w:rPr>
          <w:rFonts w:ascii="Arial Bold" w:hAnsi="Arial Bold"/>
          <w:vanish/>
        </w:rPr>
        <w:t xml:space="preserve"> UC_11</w:t>
      </w:r>
    </w:p>
    <w:p w14:paraId="2D605784" w14:textId="77777777" w:rsidR="002A21AE" w:rsidRDefault="002A21AE" w:rsidP="00FA7E65">
      <w:pPr>
        <w:pStyle w:val="BodyText"/>
      </w:pPr>
      <w:bookmarkStart w:id="288" w:name="_Toc49225137"/>
      <w:bookmarkStart w:id="289" w:name="_Toc49225235"/>
      <w:bookmarkStart w:id="290" w:name="_Toc75920287"/>
      <w:r>
        <w:t xml:space="preserve">The user processes and ships available blood units from his division to an outside facility, blood center, or hospital. </w:t>
      </w:r>
    </w:p>
    <w:p w14:paraId="640A2B1B" w14:textId="77777777" w:rsidR="002A21AE" w:rsidRDefault="002A21AE" w:rsidP="00FA7E65">
      <w:pPr>
        <w:pStyle w:val="BodyText"/>
      </w:pPr>
      <w:r>
        <w:t>The user may edit return credits (additional fees or credits may be issued from one site to another) before processing the shipment.</w:t>
      </w:r>
    </w:p>
    <w:p w14:paraId="7524A7F0" w14:textId="4D074FD4" w:rsidR="002A21AE" w:rsidRDefault="002A21AE" w:rsidP="00FA7E65">
      <w:pPr>
        <w:pStyle w:val="BodyText"/>
      </w:pPr>
      <w:r>
        <w:t>VBECS generates a shipping invoice.</w:t>
      </w:r>
    </w:p>
    <w:p w14:paraId="2C8E43EB" w14:textId="1376B1C0" w:rsidR="00991787" w:rsidRDefault="00991787" w:rsidP="00FA7E65">
      <w:pPr>
        <w:pStyle w:val="BodyText"/>
      </w:pPr>
      <w:r>
        <w:t>The user may enter a comment in the ‘Outgoing Shipment’ comment context. The comment will be displayed in the Unit History Report, Outgoing Shipmen</w:t>
      </w:r>
      <w:r w:rsidR="009F5B93">
        <w:t xml:space="preserve">t section. </w:t>
      </w:r>
      <w:r w:rsidR="009F5B93" w:rsidRPr="009F5B93">
        <w:rPr>
          <w:vanish/>
        </w:rPr>
        <w:t>BR_11.23</w:t>
      </w:r>
    </w:p>
    <w:p w14:paraId="1A4B8911" w14:textId="77777777" w:rsidR="002A21AE" w:rsidRDefault="002A21AE">
      <w:pPr>
        <w:pStyle w:val="Heading4"/>
      </w:pPr>
      <w:r>
        <w:t>Assumptions</w:t>
      </w:r>
    </w:p>
    <w:p w14:paraId="5ED613C9" w14:textId="77777777" w:rsidR="002A21AE" w:rsidRDefault="002A21AE">
      <w:pPr>
        <w:pStyle w:val="ListBullet"/>
      </w:pPr>
      <w:r>
        <w:t>Users are authorized to release units from inventory.</w:t>
      </w:r>
    </w:p>
    <w:p w14:paraId="55C1F237" w14:textId="77777777" w:rsidR="002A21AE" w:rsidRDefault="002A21AE">
      <w:pPr>
        <w:pStyle w:val="ListBullet"/>
      </w:pPr>
      <w:r>
        <w:t>Blood units being shipped:</w:t>
      </w:r>
    </w:p>
    <w:p w14:paraId="27DA13D3" w14:textId="77777777" w:rsidR="002A21AE" w:rsidRDefault="002A21AE" w:rsidP="00802EE9">
      <w:pPr>
        <w:pStyle w:val="ListBullet2"/>
        <w:tabs>
          <w:tab w:val="clear" w:pos="648"/>
        </w:tabs>
        <w:ind w:left="900" w:hanging="270"/>
      </w:pPr>
      <w:r>
        <w:t>Are available for scanning.</w:t>
      </w:r>
    </w:p>
    <w:p w14:paraId="74373C92" w14:textId="77777777" w:rsidR="002A21AE" w:rsidRDefault="002A21AE" w:rsidP="00802EE9">
      <w:pPr>
        <w:pStyle w:val="ListBullet2"/>
        <w:tabs>
          <w:tab w:val="clear" w:pos="648"/>
        </w:tabs>
        <w:ind w:left="900" w:hanging="270"/>
      </w:pPr>
      <w:r>
        <w:t>Are located in the user’s division.</w:t>
      </w:r>
    </w:p>
    <w:p w14:paraId="061BB2B7" w14:textId="77777777" w:rsidR="002A21AE" w:rsidRDefault="002A21AE">
      <w:pPr>
        <w:pStyle w:val="Heading4"/>
      </w:pPr>
      <w:r>
        <w:t>Outcome</w:t>
      </w:r>
    </w:p>
    <w:p w14:paraId="6FA3CBC0" w14:textId="213F30C0" w:rsidR="002A21AE" w:rsidRDefault="002A21AE">
      <w:pPr>
        <w:pStyle w:val="ListBullet"/>
      </w:pPr>
      <w:r>
        <w:t xml:space="preserve">An invoice for a </w:t>
      </w:r>
      <w:r w:rsidR="00F551B2">
        <w:t>confirmed</w:t>
      </w:r>
      <w:r>
        <w:t xml:space="preserve"> shipment is closed and may not be modified.</w:t>
      </w:r>
    </w:p>
    <w:p w14:paraId="79CC8A92" w14:textId="77777777" w:rsidR="002A21AE" w:rsidRDefault="002A21AE">
      <w:pPr>
        <w:pStyle w:val="ListBullet"/>
      </w:pPr>
      <w:r>
        <w:t>An invoice for a shipment that is not confirmed is open and may be edited.</w:t>
      </w:r>
    </w:p>
    <w:p w14:paraId="36ECECC4" w14:textId="77777777" w:rsidR="002A21AE" w:rsidRDefault="002A21AE">
      <w:pPr>
        <w:pStyle w:val="ListBullet"/>
      </w:pPr>
      <w:r>
        <w:t>The units are not available in the division’s inventory.</w:t>
      </w:r>
    </w:p>
    <w:p w14:paraId="3A43DA12" w14:textId="4ED6466A" w:rsidR="002A21AE" w:rsidRDefault="002A21AE">
      <w:pPr>
        <w:pStyle w:val="ListBullet"/>
      </w:pPr>
      <w:r>
        <w:t>When a unit is transferred</w:t>
      </w:r>
      <w:r w:rsidR="00F551B2">
        <w:t xml:space="preserve"> out of one division and logged in</w:t>
      </w:r>
      <w:r>
        <w:t xml:space="preserve">to another division in the database, VBECS </w:t>
      </w:r>
      <w:r w:rsidR="00A73EA2">
        <w:t xml:space="preserve">keeps </w:t>
      </w:r>
      <w:r>
        <w:t xml:space="preserve">the history of the unit </w:t>
      </w:r>
      <w:r w:rsidR="00A73EA2">
        <w:t xml:space="preserve">individually </w:t>
      </w:r>
      <w:r>
        <w:t>at both divisions.</w:t>
      </w:r>
    </w:p>
    <w:p w14:paraId="5811A739" w14:textId="77777777" w:rsidR="002A21AE" w:rsidRDefault="002A21AE">
      <w:pPr>
        <w:pStyle w:val="ListBullet"/>
      </w:pPr>
      <w:r>
        <w:t>A credit for a returned product may be assigned.</w:t>
      </w:r>
    </w:p>
    <w:p w14:paraId="7588391D" w14:textId="77777777" w:rsidR="00561829" w:rsidRDefault="00561829" w:rsidP="00561829">
      <w:pPr>
        <w:pStyle w:val="ListBullet"/>
      </w:pPr>
      <w:r>
        <w:t>If workload codes are assigned for this process, workload-related data collected as the result of this process are stored for inclusion in Workload Reports.</w:t>
      </w:r>
    </w:p>
    <w:p w14:paraId="384928DF" w14:textId="77777777" w:rsidR="002A21AE" w:rsidRDefault="002A21AE">
      <w:pPr>
        <w:pStyle w:val="Heading4"/>
      </w:pPr>
      <w:r>
        <w:t>Limitations and Restrictions</w:t>
      </w:r>
    </w:p>
    <w:p w14:paraId="69B1D3D1" w14:textId="77777777" w:rsidR="002A21AE" w:rsidRDefault="002A21AE">
      <w:pPr>
        <w:pStyle w:val="ListBullet"/>
      </w:pPr>
      <w:r>
        <w:t>A user may edit only unconfirmed invoices.</w:t>
      </w:r>
    </w:p>
    <w:p w14:paraId="6617ECD6" w14:textId="2F0B08E4" w:rsidR="007F1742" w:rsidRDefault="007F1742">
      <w:pPr>
        <w:pStyle w:val="ListBullet"/>
      </w:pPr>
      <w:bookmarkStart w:id="291" w:name="OLE_LINK25"/>
      <w:bookmarkStart w:id="292" w:name="OLE_LINK26"/>
      <w:r>
        <w:t xml:space="preserve">The </w:t>
      </w:r>
      <w:r w:rsidR="00313B75">
        <w:t>unit testing data</w:t>
      </w:r>
      <w:r>
        <w:t xml:space="preserve"> </w:t>
      </w:r>
      <w:r w:rsidRPr="007F1742">
        <w:t xml:space="preserve">displayed on </w:t>
      </w:r>
      <w:r>
        <w:t>an</w:t>
      </w:r>
      <w:r w:rsidRPr="007F1742">
        <w:t xml:space="preserve"> invoice is limited to 8</w:t>
      </w:r>
      <w:r>
        <w:t>,000 characters</w:t>
      </w:r>
      <w:r w:rsidR="0083592C">
        <w:t xml:space="preserve"> per unit</w:t>
      </w:r>
      <w:r>
        <w:t>.</w:t>
      </w:r>
    </w:p>
    <w:bookmarkEnd w:id="291"/>
    <w:bookmarkEnd w:id="292"/>
    <w:p w14:paraId="1117AEB8" w14:textId="77777777" w:rsidR="002A21AE" w:rsidRDefault="002A21AE">
      <w:pPr>
        <w:pStyle w:val="Heading4"/>
      </w:pPr>
      <w:r>
        <w:t>Additional Information</w:t>
      </w:r>
    </w:p>
    <w:p w14:paraId="54967FFD" w14:textId="77777777" w:rsidR="002A21AE" w:rsidRDefault="002A21AE">
      <w:pPr>
        <w:pStyle w:val="ListBullet"/>
      </w:pPr>
      <w:r>
        <w:t>None</w:t>
      </w:r>
    </w:p>
    <w:p w14:paraId="2CB90120" w14:textId="77777777" w:rsidR="002A21AE" w:rsidRDefault="002A21AE">
      <w:pPr>
        <w:pStyle w:val="Heading4"/>
      </w:pPr>
      <w:r>
        <w:t>User Roles with Access to This Option</w:t>
      </w:r>
    </w:p>
    <w:p w14:paraId="506CF7E6" w14:textId="77777777" w:rsidR="002A21AE" w:rsidRDefault="00873EEB">
      <w:pPr>
        <w:pStyle w:val="Roles"/>
        <w:rPr>
          <w:snapToGrid w:val="0"/>
        </w:rPr>
      </w:pPr>
      <w:r>
        <w:t>All users</w:t>
      </w:r>
    </w:p>
    <w:bookmarkEnd w:id="288"/>
    <w:bookmarkEnd w:id="289"/>
    <w:bookmarkEnd w:id="290"/>
    <w:p w14:paraId="7F6F1322" w14:textId="77777777" w:rsidR="002A21AE" w:rsidRDefault="00057948">
      <w:pPr>
        <w:pStyle w:val="Heading4"/>
      </w:pPr>
      <w:r>
        <w:rPr>
          <w:noProof/>
        </w:rPr>
        <w:drawing>
          <wp:inline distT="0" distB="0" distL="0" distR="0" wp14:anchorId="6187B61B" wp14:editId="644C8A50">
            <wp:extent cx="156845" cy="156845"/>
            <wp:effectExtent l="0" t="0" r="0" b="0"/>
            <wp:docPr id="152" name="Picture 152" descr="Incoming Shipment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Picture 152" descr="Incoming Shipment icon"/>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A21AE">
        <w:t xml:space="preserve"> Outgoing Shipment </w:t>
      </w:r>
    </w:p>
    <w:p w14:paraId="633E04B9" w14:textId="77777777" w:rsidR="002A21AE" w:rsidRDefault="002A21AE" w:rsidP="00FA7E65">
      <w:pPr>
        <w:pStyle w:val="BodyText"/>
      </w:pPr>
      <w:r>
        <w:t xml:space="preserve">A user ships blood units from his division’s inventory to a facility that is not a transfusion location of his division. These units were removed from inventory and are available for scanning and packaging. </w:t>
      </w:r>
    </w:p>
    <w:p w14:paraId="5D481355" w14:textId="088965C8" w:rsidR="002A21AE" w:rsidRDefault="002A21AE" w:rsidP="00FA7E65">
      <w:pPr>
        <w:pStyle w:val="BodyText"/>
      </w:pPr>
      <w:r>
        <w:t xml:space="preserve">The user identifies the shipment destination, scans the unit ID and product code for the first unit in the shipment, and repeats this process for each unit added to the shipment. The user completes the data entry and then reviews and accepts the shipment information. </w:t>
      </w:r>
      <w:r w:rsidR="00DA0D7E">
        <w:t xml:space="preserve">A user may edit return credits (additional fees or credits may be issued from one site to another) before confirming the shipment. </w:t>
      </w:r>
      <w:r>
        <w:t>When the shipment is confirmed, the user may print a shipping invoice.</w:t>
      </w:r>
    </w:p>
    <w:p w14:paraId="63A5C75D" w14:textId="50A22F75" w:rsidR="002A21AE" w:rsidRDefault="002A21AE" w:rsidP="00FA7E65">
      <w:pPr>
        <w:pStyle w:val="BodyText"/>
      </w:pPr>
      <w:r>
        <w:lastRenderedPageBreak/>
        <w:t>VBECS generates an invoice that includes information for the blood units.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55E227C5" w14:textId="77777777">
        <w:trPr>
          <w:tblHeader/>
        </w:trPr>
        <w:tc>
          <w:tcPr>
            <w:tcW w:w="3240" w:type="dxa"/>
            <w:shd w:val="pct30" w:color="auto" w:fill="FFFFFF"/>
            <w:vAlign w:val="bottom"/>
          </w:tcPr>
          <w:p w14:paraId="69DE2016" w14:textId="77777777" w:rsidR="002A21AE" w:rsidRDefault="002A21AE">
            <w:pPr>
              <w:pStyle w:val="TableText"/>
              <w:rPr>
                <w:b/>
              </w:rPr>
            </w:pPr>
            <w:r>
              <w:rPr>
                <w:b/>
              </w:rPr>
              <w:t>User Action</w:t>
            </w:r>
          </w:p>
        </w:tc>
        <w:tc>
          <w:tcPr>
            <w:tcW w:w="6120" w:type="dxa"/>
            <w:shd w:val="pct30" w:color="auto" w:fill="FFFFFF"/>
            <w:vAlign w:val="bottom"/>
          </w:tcPr>
          <w:p w14:paraId="0981DC03" w14:textId="77777777" w:rsidR="002A21AE" w:rsidRDefault="002A21AE">
            <w:pPr>
              <w:pStyle w:val="TableText"/>
              <w:rPr>
                <w:b/>
              </w:rPr>
            </w:pPr>
            <w:r>
              <w:rPr>
                <w:b/>
              </w:rPr>
              <w:t>VBECS</w:t>
            </w:r>
          </w:p>
        </w:tc>
      </w:tr>
      <w:tr w:rsidR="002A21AE" w14:paraId="7F42141D" w14:textId="77777777">
        <w:tc>
          <w:tcPr>
            <w:tcW w:w="3240" w:type="dxa"/>
          </w:tcPr>
          <w:p w14:paraId="601C91BF" w14:textId="77777777" w:rsidR="002A21AE" w:rsidRDefault="002A21AE">
            <w:pPr>
              <w:pStyle w:val="TableTextNumbers"/>
            </w:pPr>
            <w:r>
              <w:t xml:space="preserve">Select </w:t>
            </w:r>
            <w:r>
              <w:rPr>
                <w:b/>
              </w:rPr>
              <w:t>Shipments</w:t>
            </w:r>
            <w:r>
              <w:t xml:space="preserve"> from the main menu.</w:t>
            </w:r>
          </w:p>
          <w:p w14:paraId="43103CC7" w14:textId="77777777" w:rsidR="002A21AE" w:rsidRDefault="002A21AE">
            <w:pPr>
              <w:pStyle w:val="TableTextNumbersContinued"/>
              <w:rPr>
                <w:b/>
                <w:bCs/>
              </w:rPr>
            </w:pPr>
          </w:p>
          <w:p w14:paraId="60F889D0" w14:textId="77777777" w:rsidR="002A21AE" w:rsidRDefault="002A21AE">
            <w:pPr>
              <w:pStyle w:val="TableTextNumbersContinued"/>
              <w:rPr>
                <w:b/>
                <w:bCs/>
              </w:rPr>
            </w:pPr>
            <w:r>
              <w:rPr>
                <w:b/>
                <w:bCs/>
              </w:rPr>
              <w:t>Select Outgoing Shipment.</w:t>
            </w:r>
          </w:p>
        </w:tc>
        <w:tc>
          <w:tcPr>
            <w:tcW w:w="6120" w:type="dxa"/>
          </w:tcPr>
          <w:p w14:paraId="39CBE381" w14:textId="77777777" w:rsidR="002A21AE" w:rsidRDefault="002A21AE">
            <w:pPr>
              <w:pStyle w:val="TableTextBullet"/>
            </w:pPr>
            <w:r>
              <w:t xml:space="preserve">Displays options for processing shipments. </w:t>
            </w:r>
          </w:p>
          <w:p w14:paraId="5DE397C4" w14:textId="77777777" w:rsidR="002A21AE" w:rsidRDefault="002A21AE">
            <w:pPr>
              <w:pStyle w:val="TableTextBullet"/>
            </w:pPr>
            <w:r>
              <w:t>Displays options for selecting a new invoice or an existing (recent) invoice.</w:t>
            </w:r>
          </w:p>
        </w:tc>
      </w:tr>
      <w:tr w:rsidR="002A21AE" w14:paraId="49CCD582" w14:textId="77777777">
        <w:tc>
          <w:tcPr>
            <w:tcW w:w="3240" w:type="dxa"/>
          </w:tcPr>
          <w:p w14:paraId="250A9B8A" w14:textId="77777777" w:rsidR="002A21AE" w:rsidRDefault="002A21AE">
            <w:pPr>
              <w:pStyle w:val="TableTextNumbers"/>
            </w:pPr>
            <w:r>
              <w:t xml:space="preserve">To process a new invoice, select </w:t>
            </w:r>
            <w:r>
              <w:rPr>
                <w:b/>
              </w:rPr>
              <w:t>New Invoice</w:t>
            </w:r>
            <w:r>
              <w:t xml:space="preserve">. (To process an existing invoice, </w:t>
            </w:r>
            <w:r w:rsidR="0059575A">
              <w:t>continue at</w:t>
            </w:r>
            <w:r>
              <w:t xml:space="preserve"> Step </w:t>
            </w:r>
            <w:r w:rsidR="007E11BF">
              <w:t>3</w:t>
            </w:r>
            <w:r>
              <w:t>.)</w:t>
            </w:r>
          </w:p>
          <w:p w14:paraId="22FDD27A" w14:textId="77777777" w:rsidR="002A21AE" w:rsidRDefault="002A21AE">
            <w:pPr>
              <w:pStyle w:val="TableTextNumbersContinued"/>
            </w:pPr>
          </w:p>
          <w:p w14:paraId="7E8067E3" w14:textId="77777777" w:rsidR="002A21AE" w:rsidRDefault="002A21AE">
            <w:pPr>
              <w:pStyle w:val="TableTextNumbersContinued"/>
            </w:pPr>
            <w:r>
              <w:t>Enter the invoice number provided by the outside facility or leave the Invoice Number field blank.</w:t>
            </w:r>
          </w:p>
          <w:p w14:paraId="1F1E59F1" w14:textId="77777777" w:rsidR="002A21AE" w:rsidRDefault="002A21AE">
            <w:pPr>
              <w:pStyle w:val="TableTextNumbersContinued"/>
            </w:pPr>
          </w:p>
          <w:p w14:paraId="6A6D2A5F" w14:textId="77777777" w:rsidR="002A21AE" w:rsidRDefault="002A21AE">
            <w:pPr>
              <w:pStyle w:val="TableTextNumbersContinued"/>
            </w:pPr>
            <w:r>
              <w:t>Select a shipment destination from the drop-down list.</w:t>
            </w:r>
          </w:p>
          <w:p w14:paraId="78FF64B6" w14:textId="77777777" w:rsidR="002A21AE" w:rsidRDefault="002A21AE">
            <w:pPr>
              <w:pStyle w:val="TableTextNumbersContinued"/>
            </w:pPr>
          </w:p>
          <w:p w14:paraId="78C79106" w14:textId="5CC4E433" w:rsidR="002A21AE" w:rsidRDefault="007E11BF">
            <w:pPr>
              <w:pStyle w:val="TableTextNumbersContinued"/>
            </w:pPr>
            <w:r>
              <w:t xml:space="preserve">Click the </w:t>
            </w:r>
            <w:r w:rsidRPr="007E11BF">
              <w:rPr>
                <w:b/>
              </w:rPr>
              <w:t>Return to Shipper</w:t>
            </w:r>
            <w:r>
              <w:t xml:space="preserve"> or </w:t>
            </w:r>
            <w:r w:rsidRPr="007E11BF">
              <w:rPr>
                <w:b/>
              </w:rPr>
              <w:t xml:space="preserve">Send to Unrelated Shipper </w:t>
            </w:r>
            <w:r w:rsidRPr="00BF2E41">
              <w:t>radio button</w:t>
            </w:r>
            <w:r>
              <w:t xml:space="preserve"> to select a shipment type</w:t>
            </w:r>
            <w:r w:rsidR="00D039A6">
              <w:t xml:space="preserve"> (</w:t>
            </w:r>
            <w:r w:rsidR="00EE455E">
              <w:t xml:space="preserve">Figure </w:t>
            </w:r>
            <w:r w:rsidR="00EE455E">
              <w:rPr>
                <w:noProof/>
              </w:rPr>
              <w:t>48</w:t>
            </w:r>
            <w:r w:rsidR="00D039A6">
              <w:t>)</w:t>
            </w:r>
            <w:r>
              <w:t>.</w:t>
            </w:r>
          </w:p>
          <w:p w14:paraId="1B139D93" w14:textId="77777777" w:rsidR="002A21AE" w:rsidRDefault="002A21AE">
            <w:pPr>
              <w:pStyle w:val="TableTextNumbersContinued"/>
            </w:pPr>
          </w:p>
          <w:p w14:paraId="5A90D6C2" w14:textId="77777777" w:rsidR="002A21AE" w:rsidRDefault="002A21AE">
            <w:pPr>
              <w:pStyle w:val="TableTextNumbersContinued"/>
            </w:pPr>
            <w:r>
              <w:t>Continue at Step 4.</w:t>
            </w:r>
          </w:p>
        </w:tc>
        <w:tc>
          <w:tcPr>
            <w:tcW w:w="6120" w:type="dxa"/>
          </w:tcPr>
          <w:p w14:paraId="018BBFD3" w14:textId="77777777" w:rsidR="002A21AE" w:rsidRDefault="002A21AE">
            <w:pPr>
              <w:pStyle w:val="TableTextBullet"/>
            </w:pPr>
            <w:r>
              <w:t>Displays fields for entering shipment information.</w:t>
            </w:r>
          </w:p>
          <w:p w14:paraId="694AB1FB" w14:textId="77777777" w:rsidR="002A21AE" w:rsidRDefault="002A21AE">
            <w:pPr>
              <w:pStyle w:val="TableTextBullet"/>
            </w:pPr>
            <w:r>
              <w:t>Generates an invoice number when the Invoice Number field is blank.</w:t>
            </w:r>
          </w:p>
          <w:p w14:paraId="719ACA17" w14:textId="77777777" w:rsidR="002A21AE" w:rsidRDefault="002A21AE">
            <w:pPr>
              <w:pStyle w:val="TableText"/>
            </w:pPr>
          </w:p>
          <w:p w14:paraId="5A47CCD7" w14:textId="7CE84AAF" w:rsidR="002A21AE" w:rsidRDefault="002A21AE">
            <w:pPr>
              <w:pStyle w:val="TableText"/>
              <w:rPr>
                <w:b/>
                <w:bCs/>
                <w:szCs w:val="18"/>
              </w:rPr>
            </w:pPr>
            <w:r>
              <w:rPr>
                <w:b/>
                <w:bCs/>
                <w:szCs w:val="18"/>
              </w:rPr>
              <w:t>NOTES</w:t>
            </w:r>
          </w:p>
          <w:p w14:paraId="0F8A30F2" w14:textId="77777777" w:rsidR="002A21AE" w:rsidRDefault="002A21AE">
            <w:pPr>
              <w:pStyle w:val="NotesText"/>
            </w:pPr>
          </w:p>
          <w:p w14:paraId="0DA73E5F" w14:textId="77777777" w:rsidR="00B556ED" w:rsidRDefault="002A21AE" w:rsidP="00B556ED">
            <w:pPr>
              <w:pStyle w:val="NotesText"/>
              <w:rPr>
                <w:rFonts w:cs="Arial"/>
                <w:szCs w:val="18"/>
              </w:rPr>
            </w:pPr>
            <w:r>
              <w:t xml:space="preserve">To select an existing invoice while in the new invoice window, click </w:t>
            </w:r>
            <w:r>
              <w:rPr>
                <w:b/>
              </w:rPr>
              <w:t>Use Existing Invoice</w:t>
            </w:r>
            <w:r>
              <w:t>.</w:t>
            </w:r>
          </w:p>
          <w:p w14:paraId="641082E0" w14:textId="77777777" w:rsidR="00B556ED" w:rsidRDefault="00B556ED" w:rsidP="00B556ED">
            <w:pPr>
              <w:pStyle w:val="NotesText"/>
              <w:rPr>
                <w:rFonts w:cs="Arial"/>
                <w:szCs w:val="18"/>
              </w:rPr>
            </w:pPr>
          </w:p>
          <w:p w14:paraId="4384696A" w14:textId="3DC7B49B" w:rsidR="002A21AE" w:rsidRDefault="00B556ED" w:rsidP="00B556ED">
            <w:pPr>
              <w:pStyle w:val="NotesText"/>
            </w:pPr>
            <w:r w:rsidRPr="004B3753">
              <w:rPr>
                <w:rFonts w:cs="Arial"/>
                <w:vanish/>
                <w:szCs w:val="18"/>
              </w:rPr>
              <w:t xml:space="preserve">BR_1.56 </w:t>
            </w:r>
            <w:r w:rsidRPr="0030088C">
              <w:rPr>
                <w:rFonts w:cs="Arial"/>
                <w:szCs w:val="18"/>
              </w:rPr>
              <w:t>The combination of invoice number</w:t>
            </w:r>
            <w:r>
              <w:rPr>
                <w:rFonts w:cs="Arial"/>
                <w:szCs w:val="18"/>
              </w:rPr>
              <w:t xml:space="preserve"> and</w:t>
            </w:r>
            <w:r w:rsidRPr="0030088C">
              <w:rPr>
                <w:rFonts w:cs="Arial"/>
                <w:szCs w:val="18"/>
              </w:rPr>
              <w:t xml:space="preserve"> shipper uniquely identifies </w:t>
            </w:r>
            <w:r>
              <w:rPr>
                <w:rFonts w:cs="Arial"/>
                <w:szCs w:val="18"/>
              </w:rPr>
              <w:t xml:space="preserve">an outgoing </w:t>
            </w:r>
            <w:r w:rsidRPr="0030088C">
              <w:rPr>
                <w:rFonts w:cs="Arial"/>
                <w:szCs w:val="18"/>
              </w:rPr>
              <w:t>shipment for data retrieval.</w:t>
            </w:r>
          </w:p>
        </w:tc>
      </w:tr>
      <w:tr w:rsidR="002A21AE" w14:paraId="62FD769F" w14:textId="77777777">
        <w:tc>
          <w:tcPr>
            <w:tcW w:w="3240" w:type="dxa"/>
          </w:tcPr>
          <w:p w14:paraId="5227B970" w14:textId="77777777" w:rsidR="002A21AE" w:rsidRDefault="002A21AE">
            <w:pPr>
              <w:pStyle w:val="TableTextNumbers"/>
            </w:pPr>
            <w:r>
              <w:t xml:space="preserve">To process an existing invoice, select </w:t>
            </w:r>
            <w:r>
              <w:rPr>
                <w:b/>
              </w:rPr>
              <w:t>Recent Invoice</w:t>
            </w:r>
            <w:r>
              <w:t xml:space="preserve"> from the Outgoing Shipment menu. </w:t>
            </w:r>
          </w:p>
          <w:p w14:paraId="5901D607" w14:textId="77777777" w:rsidR="002A21AE" w:rsidRDefault="002A21AE">
            <w:pPr>
              <w:pStyle w:val="TableTextNumbersContinued"/>
            </w:pPr>
          </w:p>
          <w:p w14:paraId="367CAA4D" w14:textId="77777777" w:rsidR="002A21AE" w:rsidRDefault="002A21AE">
            <w:pPr>
              <w:pStyle w:val="TableTextNumbersContinued"/>
            </w:pPr>
            <w:r>
              <w:t>Select an invoice.</w:t>
            </w:r>
          </w:p>
        </w:tc>
        <w:tc>
          <w:tcPr>
            <w:tcW w:w="6120" w:type="dxa"/>
          </w:tcPr>
          <w:p w14:paraId="679E2B0E" w14:textId="77777777" w:rsidR="002A21AE" w:rsidRDefault="002A21AE">
            <w:pPr>
              <w:pStyle w:val="TableTextBullet"/>
            </w:pPr>
            <w:r>
              <w:t>Displays a list of open (unconfirmed) invoices.</w:t>
            </w:r>
          </w:p>
          <w:p w14:paraId="39E6A52F" w14:textId="77777777" w:rsidR="002A21AE" w:rsidRDefault="002A21AE">
            <w:pPr>
              <w:pStyle w:val="TableText"/>
            </w:pPr>
          </w:p>
          <w:p w14:paraId="605BC188" w14:textId="7686187A" w:rsidR="002A21AE" w:rsidRDefault="002A21AE">
            <w:pPr>
              <w:pStyle w:val="TableText"/>
              <w:rPr>
                <w:b/>
                <w:bCs/>
                <w:szCs w:val="18"/>
              </w:rPr>
            </w:pPr>
            <w:r>
              <w:rPr>
                <w:b/>
                <w:bCs/>
                <w:szCs w:val="18"/>
              </w:rPr>
              <w:t>NOTES</w:t>
            </w:r>
          </w:p>
          <w:p w14:paraId="3B1C66DB" w14:textId="77777777" w:rsidR="002A21AE" w:rsidRDefault="002A21AE">
            <w:pPr>
              <w:pStyle w:val="NotesText"/>
            </w:pPr>
          </w:p>
          <w:p w14:paraId="4BA2C157" w14:textId="77777777" w:rsidR="002A21AE" w:rsidRDefault="002A21AE">
            <w:pPr>
              <w:pStyle w:val="NotesText"/>
            </w:pPr>
            <w:r>
              <w:t xml:space="preserve">To select a new invoice while in the existing invoice window, click </w:t>
            </w:r>
            <w:r>
              <w:rPr>
                <w:b/>
              </w:rPr>
              <w:t>Create New Invoice</w:t>
            </w:r>
            <w:r>
              <w:t>.</w:t>
            </w:r>
          </w:p>
          <w:p w14:paraId="3DE00205" w14:textId="77777777" w:rsidR="002A21AE" w:rsidRDefault="002A21AE">
            <w:pPr>
              <w:pStyle w:val="NotesText"/>
            </w:pPr>
          </w:p>
          <w:p w14:paraId="55EF9394" w14:textId="24049D37" w:rsidR="002A21AE" w:rsidRDefault="002A21AE" w:rsidP="00A7524F">
            <w:pPr>
              <w:pStyle w:val="NotesText"/>
            </w:pPr>
            <w:r>
              <w:rPr>
                <w:rFonts w:cs="Arial"/>
                <w:vanish/>
              </w:rPr>
              <w:t xml:space="preserve">BR_11.20 </w:t>
            </w:r>
            <w:r>
              <w:t xml:space="preserve">A user may edit only saved, </w:t>
            </w:r>
            <w:r w:rsidR="00051401">
              <w:t>unconfirmed</w:t>
            </w:r>
            <w:r>
              <w:t xml:space="preserve"> invoices.</w:t>
            </w:r>
          </w:p>
        </w:tc>
      </w:tr>
      <w:tr w:rsidR="002A21AE" w14:paraId="12300254" w14:textId="77777777">
        <w:tc>
          <w:tcPr>
            <w:tcW w:w="3240" w:type="dxa"/>
          </w:tcPr>
          <w:p w14:paraId="30BC9425" w14:textId="61077144" w:rsidR="002A21AE" w:rsidRDefault="002A21AE">
            <w:pPr>
              <w:pStyle w:val="TableTextNumbers"/>
            </w:pPr>
            <w:r>
              <w:t xml:space="preserve">Click </w:t>
            </w:r>
            <w:r>
              <w:rPr>
                <w:b/>
              </w:rPr>
              <w:t>OK</w:t>
            </w:r>
            <w:r>
              <w:t xml:space="preserve"> to</w:t>
            </w:r>
            <w:r w:rsidR="00A7524F">
              <w:t xml:space="preserve"> proceed to unit selection</w:t>
            </w:r>
            <w:r w:rsidR="0023533F">
              <w:t xml:space="preserve"> (</w:t>
            </w:r>
            <w:r w:rsidR="00EE455E">
              <w:t xml:space="preserve">Figure </w:t>
            </w:r>
            <w:r w:rsidR="00EE455E">
              <w:rPr>
                <w:noProof/>
              </w:rPr>
              <w:t>48</w:t>
            </w:r>
            <w:r w:rsidR="0023533F">
              <w:t>)</w:t>
            </w:r>
            <w:r>
              <w:t>.</w:t>
            </w:r>
          </w:p>
        </w:tc>
        <w:tc>
          <w:tcPr>
            <w:tcW w:w="6120" w:type="dxa"/>
          </w:tcPr>
          <w:p w14:paraId="4D8C15E0" w14:textId="77777777" w:rsidR="002A21AE" w:rsidRDefault="002A21AE">
            <w:pPr>
              <w:pStyle w:val="TableTextBullet"/>
            </w:pPr>
            <w:r>
              <w:t>Displays fields for entering unit information.</w:t>
            </w:r>
          </w:p>
        </w:tc>
      </w:tr>
      <w:tr w:rsidR="002A21AE" w14:paraId="2BB5319A" w14:textId="77777777" w:rsidTr="001A459B">
        <w:trPr>
          <w:cantSplit/>
        </w:trPr>
        <w:tc>
          <w:tcPr>
            <w:tcW w:w="3240" w:type="dxa"/>
          </w:tcPr>
          <w:p w14:paraId="4198A91D" w14:textId="77777777" w:rsidR="00F35773" w:rsidRDefault="002A21AE" w:rsidP="00F35773">
            <w:pPr>
              <w:pStyle w:val="TableTextNumbers"/>
            </w:pPr>
            <w:r>
              <w:lastRenderedPageBreak/>
              <w:t>For each unit to be added to the shipping invoice, scan the unit ID and product barcodes or enter them in</w:t>
            </w:r>
            <w:r w:rsidR="007D28E0">
              <w:t xml:space="preserve"> the Unit ID and Product fields.</w:t>
            </w:r>
          </w:p>
          <w:p w14:paraId="4C39BA98" w14:textId="77777777" w:rsidR="00D14968" w:rsidRDefault="00D14968" w:rsidP="00D14968">
            <w:pPr>
              <w:pStyle w:val="TableTextNumbers"/>
              <w:numPr>
                <w:ilvl w:val="0"/>
                <w:numId w:val="0"/>
              </w:numPr>
              <w:ind w:left="288" w:hanging="288"/>
            </w:pPr>
          </w:p>
          <w:p w14:paraId="06DBCDDB" w14:textId="3F24914F" w:rsidR="00D14968" w:rsidRDefault="00D14968" w:rsidP="00127DFF">
            <w:pPr>
              <w:pStyle w:val="TableTextNumbersContinued"/>
            </w:pPr>
            <w:r>
              <w:t>Clic</w:t>
            </w:r>
            <w:r w:rsidRPr="00127DFF">
              <w:t xml:space="preserve">k </w:t>
            </w:r>
            <w:r w:rsidRPr="008D1739">
              <w:rPr>
                <w:b/>
                <w:bCs/>
              </w:rPr>
              <w:t>Select</w:t>
            </w:r>
            <w:r w:rsidRPr="00127DFF">
              <w:t xml:space="preserve"> to add the entered unit t</w:t>
            </w:r>
            <w:r>
              <w:t xml:space="preserve">o the shipping invoice or click </w:t>
            </w:r>
            <w:r w:rsidRPr="008D1739">
              <w:rPr>
                <w:b/>
                <w:bCs/>
              </w:rPr>
              <w:t>Clear</w:t>
            </w:r>
            <w:r>
              <w:t xml:space="preserve"> to remove the entered unit (</w:t>
            </w:r>
            <w:r w:rsidR="00EE455E">
              <w:t>Figure 49</w:t>
            </w:r>
            <w:r>
              <w:t>).</w:t>
            </w:r>
          </w:p>
          <w:p w14:paraId="561D80A3" w14:textId="77777777" w:rsidR="00D14968" w:rsidRDefault="00D14968" w:rsidP="00D14968">
            <w:pPr>
              <w:pStyle w:val="TableTextNumbers"/>
              <w:numPr>
                <w:ilvl w:val="0"/>
                <w:numId w:val="0"/>
              </w:numPr>
              <w:ind w:left="288" w:hanging="288"/>
            </w:pPr>
          </w:p>
          <w:p w14:paraId="2CA415E9" w14:textId="45173BC7" w:rsidR="00D14968" w:rsidRDefault="00D14968" w:rsidP="00127DFF">
            <w:pPr>
              <w:pStyle w:val="TableTextNumbersContinued"/>
            </w:pPr>
            <w:r>
              <w:t>Respond to warnings, when indicated.</w:t>
            </w:r>
          </w:p>
        </w:tc>
        <w:tc>
          <w:tcPr>
            <w:tcW w:w="6120" w:type="dxa"/>
          </w:tcPr>
          <w:p w14:paraId="2DE95BE5" w14:textId="3CF880B4" w:rsidR="002A21AE" w:rsidRDefault="002A21AE">
            <w:pPr>
              <w:pStyle w:val="TableTextBullet"/>
            </w:pPr>
            <w:r>
              <w:t>Displays corresponding unit data.</w:t>
            </w:r>
          </w:p>
          <w:p w14:paraId="246E418C" w14:textId="0130F726" w:rsidR="00051401" w:rsidRDefault="00051401">
            <w:pPr>
              <w:pStyle w:val="TableTextBullet"/>
            </w:pPr>
            <w:r>
              <w:t>Adds the unit to the list of selected units.</w:t>
            </w:r>
          </w:p>
          <w:p w14:paraId="6C772845" w14:textId="77777777" w:rsidR="002A21AE" w:rsidRDefault="002A21AE">
            <w:pPr>
              <w:pStyle w:val="TableText"/>
            </w:pPr>
          </w:p>
          <w:p w14:paraId="3250D53B" w14:textId="1165F8BC" w:rsidR="002A21AE" w:rsidRDefault="002A21AE">
            <w:pPr>
              <w:pStyle w:val="TableText"/>
              <w:rPr>
                <w:b/>
                <w:bCs/>
                <w:szCs w:val="18"/>
              </w:rPr>
            </w:pPr>
            <w:r>
              <w:rPr>
                <w:b/>
                <w:bCs/>
                <w:szCs w:val="18"/>
              </w:rPr>
              <w:t>NOTES</w:t>
            </w:r>
          </w:p>
          <w:p w14:paraId="6210FD24" w14:textId="77777777" w:rsidR="002A21AE" w:rsidRDefault="002A21AE">
            <w:pPr>
              <w:pStyle w:val="NotesText"/>
            </w:pPr>
          </w:p>
          <w:p w14:paraId="218953F0" w14:textId="08EC6D84" w:rsidR="002A21AE" w:rsidRDefault="002A21AE">
            <w:pPr>
              <w:pStyle w:val="NotesText"/>
            </w:pPr>
            <w:r>
              <w:rPr>
                <w:rFonts w:cs="Arial"/>
                <w:vanish/>
              </w:rPr>
              <w:t xml:space="preserve">BR_11.03 </w:t>
            </w:r>
            <w:r>
              <w:t>VBECS allows the shipment or transfer of units located only in the same division as the user and in the blood bank (for “Limited,” “Available,” “Assigned,” and “Crossmatched” unit statuses only).</w:t>
            </w:r>
          </w:p>
          <w:p w14:paraId="71320BBC" w14:textId="27F920A3" w:rsidR="00127DFF" w:rsidRDefault="00127DFF">
            <w:pPr>
              <w:pStyle w:val="NotesText"/>
            </w:pPr>
          </w:p>
          <w:p w14:paraId="1B65D214" w14:textId="20DA7B7C" w:rsidR="00127DFF" w:rsidRDefault="00127DFF" w:rsidP="00127DFF">
            <w:pPr>
              <w:pStyle w:val="NotesText"/>
            </w:pPr>
            <w:r>
              <w:rPr>
                <w:rFonts w:cs="Arial"/>
                <w:vanish/>
              </w:rPr>
              <w:t xml:space="preserve">BR_11.15 </w:t>
            </w:r>
            <w:r>
              <w:t xml:space="preserve">When a unit is quarantined, VBECS </w:t>
            </w:r>
            <w:r>
              <w:rPr>
                <w:noProof/>
              </w:rPr>
              <w:t>warns the user.</w:t>
            </w:r>
            <w:r>
              <w:t xml:space="preserve"> </w:t>
            </w:r>
          </w:p>
          <w:p w14:paraId="4C00AD06" w14:textId="50FA99EB" w:rsidR="00127DFF" w:rsidRDefault="00127DFF">
            <w:pPr>
              <w:pStyle w:val="NotesText"/>
            </w:pPr>
          </w:p>
          <w:p w14:paraId="5A4E6B3D" w14:textId="77777777" w:rsidR="002A21AE" w:rsidRDefault="002A21AE">
            <w:pPr>
              <w:pStyle w:val="NotesText"/>
            </w:pPr>
            <w:r>
              <w:rPr>
                <w:rFonts w:cs="Arial"/>
                <w:vanish/>
              </w:rPr>
              <w:t xml:space="preserve">BR_11.12 </w:t>
            </w:r>
            <w:r>
              <w:t>When a unit is expired, VBECS warns the user.</w:t>
            </w:r>
          </w:p>
          <w:p w14:paraId="0D74DE34" w14:textId="77777777" w:rsidR="002A21AE" w:rsidRDefault="002A21AE">
            <w:pPr>
              <w:pStyle w:val="NotesText"/>
            </w:pPr>
          </w:p>
          <w:p w14:paraId="577D189A" w14:textId="77777777" w:rsidR="002A21AE" w:rsidRDefault="002A21AE">
            <w:pPr>
              <w:pStyle w:val="NotesText"/>
            </w:pPr>
            <w:r>
              <w:rPr>
                <w:rFonts w:cs="Arial"/>
                <w:vanish/>
              </w:rPr>
              <w:t xml:space="preserve">BR_11.05 </w:t>
            </w:r>
            <w:r>
              <w:t xml:space="preserve">When units selected for shipment are assigned </w:t>
            </w:r>
            <w:r w:rsidR="0009383F">
              <w:t xml:space="preserve">or crossmatched </w:t>
            </w:r>
            <w:r>
              <w:t xml:space="preserve">to a patient, VBECS warns the user and asks the user whether to release the unit before shipping. </w:t>
            </w:r>
          </w:p>
          <w:p w14:paraId="7525B01F" w14:textId="77777777" w:rsidR="002A21AE" w:rsidRDefault="002A21AE">
            <w:pPr>
              <w:pStyle w:val="NotesText"/>
            </w:pPr>
          </w:p>
          <w:p w14:paraId="07E71E47" w14:textId="77777777" w:rsidR="00D31A97" w:rsidRDefault="0009383F" w:rsidP="00D31A97">
            <w:pPr>
              <w:pStyle w:val="NotesText"/>
            </w:pPr>
            <w:r>
              <w:rPr>
                <w:b/>
              </w:rPr>
              <w:t>Yes</w:t>
            </w:r>
            <w:r>
              <w:t xml:space="preserve"> releases all patient assignments from the unit </w:t>
            </w:r>
            <w:r w:rsidRPr="00203AFF">
              <w:t>prior to adding the unit to the invoic</w:t>
            </w:r>
            <w:r w:rsidR="00F35773">
              <w:t>e</w:t>
            </w:r>
            <w:r>
              <w:t>.</w:t>
            </w:r>
          </w:p>
          <w:p w14:paraId="1F85E3D9" w14:textId="77777777" w:rsidR="00127DFF" w:rsidRDefault="00127DFF" w:rsidP="00D31A97">
            <w:pPr>
              <w:pStyle w:val="NotesText"/>
            </w:pPr>
          </w:p>
          <w:p w14:paraId="73B4EE7E" w14:textId="5AB4C73C" w:rsidR="00127DFF" w:rsidRDefault="007C5E77" w:rsidP="00D31A97">
            <w:pPr>
              <w:pStyle w:val="NotesText"/>
            </w:pPr>
            <w:r>
              <w:rPr>
                <w:rFonts w:cs="Arial"/>
                <w:vanish/>
              </w:rPr>
              <w:t xml:space="preserve">BR_11.24 </w:t>
            </w:r>
            <w:r w:rsidR="00127DFF">
              <w:t>The confirmation message displays: “Are you sure you want to add this unit? By clicking Yes, you acknowledge that you have inspected this unit and it is satisfactory.”</w:t>
            </w:r>
          </w:p>
          <w:p w14:paraId="2FF4C35D" w14:textId="77777777" w:rsidR="00127DFF" w:rsidRDefault="00127DFF" w:rsidP="00D31A97">
            <w:pPr>
              <w:pStyle w:val="NotesText"/>
            </w:pPr>
          </w:p>
          <w:p w14:paraId="41E28FD8" w14:textId="002C3F16" w:rsidR="008D1739" w:rsidRDefault="00127DFF" w:rsidP="00051401">
            <w:pPr>
              <w:pStyle w:val="NotesText"/>
            </w:pPr>
            <w:r>
              <w:t>If the user clicks Yes, the unit is added to the selected units list. When the user clicks No, the unit is cleared. The visual inspection indicator will be displayed in the Unit History Report, Outgoing Shipment section.</w:t>
            </w:r>
          </w:p>
        </w:tc>
      </w:tr>
      <w:tr w:rsidR="008D1739" w14:paraId="2B29E1B3" w14:textId="77777777" w:rsidTr="001A459B">
        <w:trPr>
          <w:cantSplit/>
        </w:trPr>
        <w:tc>
          <w:tcPr>
            <w:tcW w:w="3240" w:type="dxa"/>
          </w:tcPr>
          <w:p w14:paraId="6734B50A" w14:textId="77777777" w:rsidR="008D1739" w:rsidRDefault="008D1739" w:rsidP="00F35773">
            <w:pPr>
              <w:pStyle w:val="TableTextNumbers"/>
            </w:pPr>
            <w:r>
              <w:t xml:space="preserve">To change the return credit amount for a unit in a “Return to Shipper” unconfirmed shipment, select a unit and click </w:t>
            </w:r>
            <w:r w:rsidRPr="008D1739">
              <w:rPr>
                <w:b/>
                <w:bCs/>
              </w:rPr>
              <w:t>Return Credit</w:t>
            </w:r>
            <w:r>
              <w:t>.</w:t>
            </w:r>
          </w:p>
          <w:p w14:paraId="0E6E9B8B" w14:textId="77777777" w:rsidR="00D34858" w:rsidRDefault="00D34858" w:rsidP="00D34858">
            <w:pPr>
              <w:pStyle w:val="TableTextNumbers"/>
              <w:numPr>
                <w:ilvl w:val="0"/>
                <w:numId w:val="0"/>
              </w:numPr>
              <w:ind w:left="288" w:hanging="288"/>
            </w:pPr>
          </w:p>
          <w:p w14:paraId="7CA095B6" w14:textId="77777777" w:rsidR="00D34858" w:rsidRDefault="00D34858" w:rsidP="00D34858">
            <w:pPr>
              <w:pStyle w:val="TableTextNumbersContinued"/>
            </w:pPr>
            <w:r>
              <w:t>Enter the return credit amount.</w:t>
            </w:r>
          </w:p>
          <w:p w14:paraId="07065D06" w14:textId="77777777" w:rsidR="00D34858" w:rsidRDefault="00D34858" w:rsidP="00D34858">
            <w:pPr>
              <w:pStyle w:val="TableTextNumbersContinued"/>
            </w:pPr>
          </w:p>
          <w:p w14:paraId="15D9225A" w14:textId="2A18C131" w:rsidR="00D34858" w:rsidRDefault="00D34858" w:rsidP="00D34858">
            <w:pPr>
              <w:pStyle w:val="TableTextNumbersContinued"/>
            </w:pPr>
            <w:r>
              <w:t xml:space="preserve">Click </w:t>
            </w:r>
            <w:r w:rsidRPr="00D34858">
              <w:rPr>
                <w:b/>
                <w:bCs/>
              </w:rPr>
              <w:t>OK</w:t>
            </w:r>
            <w:r>
              <w:t xml:space="preserve"> to save the amount entered or </w:t>
            </w:r>
            <w:r w:rsidRPr="00D34858">
              <w:rPr>
                <w:b/>
                <w:bCs/>
              </w:rPr>
              <w:t>Cancel</w:t>
            </w:r>
            <w:r>
              <w:t xml:space="preserve"> to return to the invoice.</w:t>
            </w:r>
          </w:p>
        </w:tc>
        <w:tc>
          <w:tcPr>
            <w:tcW w:w="6120" w:type="dxa"/>
          </w:tcPr>
          <w:p w14:paraId="1C495261" w14:textId="77777777" w:rsidR="008D1739" w:rsidRDefault="00D34858">
            <w:pPr>
              <w:pStyle w:val="TableTextBullet"/>
            </w:pPr>
            <w:r>
              <w:t>Displays the unit’s financial information and allows the user to edit the return credit amount.</w:t>
            </w:r>
          </w:p>
          <w:p w14:paraId="7B0CEFDB" w14:textId="77777777" w:rsidR="00D34858" w:rsidRDefault="00362960">
            <w:pPr>
              <w:pStyle w:val="TableTextBullet"/>
            </w:pPr>
            <w:r>
              <w:t>Prompts the user to accept the new amount.</w:t>
            </w:r>
          </w:p>
          <w:p w14:paraId="289B5BAD" w14:textId="2BFB885D" w:rsidR="00362960" w:rsidRDefault="00362960">
            <w:pPr>
              <w:pStyle w:val="TableTextBullet"/>
            </w:pPr>
            <w:r>
              <w:t>Returns to the invoice and displays the return credit amount on the invoice.</w:t>
            </w:r>
          </w:p>
          <w:p w14:paraId="6BAB129A" w14:textId="77777777" w:rsidR="00362960" w:rsidRDefault="00362960" w:rsidP="00362960">
            <w:pPr>
              <w:pStyle w:val="TableTextBullet"/>
              <w:numPr>
                <w:ilvl w:val="0"/>
                <w:numId w:val="0"/>
              </w:numPr>
            </w:pPr>
          </w:p>
          <w:p w14:paraId="6B18CB59" w14:textId="77777777" w:rsidR="00362960" w:rsidRDefault="00362960" w:rsidP="00362960">
            <w:pPr>
              <w:pStyle w:val="TableText"/>
              <w:rPr>
                <w:b/>
                <w:bCs/>
                <w:szCs w:val="18"/>
              </w:rPr>
            </w:pPr>
            <w:r>
              <w:rPr>
                <w:b/>
                <w:bCs/>
                <w:szCs w:val="18"/>
              </w:rPr>
              <w:t>NOTES</w:t>
            </w:r>
          </w:p>
          <w:p w14:paraId="313DFB76" w14:textId="77777777" w:rsidR="00362960" w:rsidRPr="00362960" w:rsidRDefault="00362960" w:rsidP="00362960">
            <w:pPr>
              <w:pStyle w:val="TableText"/>
              <w:rPr>
                <w:b/>
                <w:bCs/>
                <w:szCs w:val="18"/>
              </w:rPr>
            </w:pPr>
          </w:p>
          <w:p w14:paraId="46078FF1" w14:textId="7D4986FA" w:rsidR="00362960" w:rsidRDefault="00362960" w:rsidP="00047819">
            <w:pPr>
              <w:pStyle w:val="NotesText"/>
            </w:pPr>
            <w:r w:rsidRPr="00362960">
              <w:rPr>
                <w:vanish/>
              </w:rPr>
              <w:t>BR_11.</w:t>
            </w:r>
            <w:r w:rsidR="00047819">
              <w:rPr>
                <w:vanish/>
              </w:rPr>
              <w:t>14</w:t>
            </w:r>
            <w:r w:rsidRPr="00362960">
              <w:rPr>
                <w:vanish/>
              </w:rPr>
              <w:t xml:space="preserve"> </w:t>
            </w:r>
            <w:r w:rsidRPr="00362960">
              <w:t xml:space="preserve">VBECS </w:t>
            </w:r>
            <w:r>
              <w:t>applies a return credit (equal to the return credit percentage of the original cost of the unit) to units processed in an outgoing shipment to the original shipper. Users may edit return credits for individual units.</w:t>
            </w:r>
          </w:p>
        </w:tc>
      </w:tr>
      <w:tr w:rsidR="009C2E0C" w14:paraId="5C61E91E" w14:textId="77777777" w:rsidTr="00615FC3">
        <w:tc>
          <w:tcPr>
            <w:tcW w:w="3240" w:type="dxa"/>
            <w:tcBorders>
              <w:bottom w:val="single" w:sz="4" w:space="0" w:color="auto"/>
            </w:tcBorders>
          </w:tcPr>
          <w:p w14:paraId="76C2701D" w14:textId="623BA51C" w:rsidR="009C2E0C" w:rsidRDefault="007441D3" w:rsidP="006F799E">
            <w:pPr>
              <w:pStyle w:val="TableTextNumbers"/>
            </w:pPr>
            <w:r>
              <w:t xml:space="preserve">To </w:t>
            </w:r>
            <w:r w:rsidR="00F35773">
              <w:t xml:space="preserve">add or </w:t>
            </w:r>
            <w:r>
              <w:t>edit a comment</w:t>
            </w:r>
            <w:r w:rsidR="00331054">
              <w:t xml:space="preserve"> for a unit</w:t>
            </w:r>
            <w:r>
              <w:t>, s</w:t>
            </w:r>
            <w:r w:rsidR="009C2E0C">
              <w:t xml:space="preserve">elect a </w:t>
            </w:r>
            <w:r w:rsidR="00331054">
              <w:t>unit</w:t>
            </w:r>
            <w:r w:rsidR="009C2E0C">
              <w:t xml:space="preserve"> from the list of selected units and click </w:t>
            </w:r>
            <w:r w:rsidR="009C2E0C">
              <w:rPr>
                <w:b/>
                <w:bCs/>
              </w:rPr>
              <w:t xml:space="preserve">Comment </w:t>
            </w:r>
            <w:r w:rsidR="009C2E0C">
              <w:t>(</w:t>
            </w:r>
            <w:r w:rsidR="00EE455E">
              <w:t xml:space="preserve">Figure </w:t>
            </w:r>
            <w:r w:rsidR="00EE455E">
              <w:rPr>
                <w:noProof/>
              </w:rPr>
              <w:t>50</w:t>
            </w:r>
            <w:r w:rsidR="009C2E0C">
              <w:t>).</w:t>
            </w:r>
          </w:p>
        </w:tc>
        <w:tc>
          <w:tcPr>
            <w:tcW w:w="6120" w:type="dxa"/>
            <w:tcBorders>
              <w:bottom w:val="single" w:sz="4" w:space="0" w:color="auto"/>
            </w:tcBorders>
          </w:tcPr>
          <w:p w14:paraId="155E84BB" w14:textId="77777777" w:rsidR="009C2E0C" w:rsidRDefault="009C2E0C" w:rsidP="00615FC3">
            <w:pPr>
              <w:pStyle w:val="TableTextBullet"/>
            </w:pPr>
            <w:r>
              <w:t>Displays the current unit's outgoing shipment comment, allowing edit of the comment.</w:t>
            </w:r>
          </w:p>
          <w:p w14:paraId="6616BFFD" w14:textId="77777777" w:rsidR="009C2E0C" w:rsidRDefault="009C2E0C" w:rsidP="009C2E0C">
            <w:pPr>
              <w:pStyle w:val="TableText"/>
            </w:pPr>
          </w:p>
          <w:p w14:paraId="11D046BF" w14:textId="77777777" w:rsidR="009C2E0C" w:rsidRDefault="009C2E0C" w:rsidP="009C2E0C">
            <w:pPr>
              <w:pStyle w:val="TableText"/>
              <w:rPr>
                <w:b/>
                <w:bCs/>
                <w:szCs w:val="18"/>
              </w:rPr>
            </w:pPr>
            <w:r>
              <w:rPr>
                <w:b/>
                <w:bCs/>
                <w:szCs w:val="18"/>
              </w:rPr>
              <w:t>NOTES</w:t>
            </w:r>
          </w:p>
          <w:p w14:paraId="7E36CE32" w14:textId="77777777" w:rsidR="009C2E0C" w:rsidRDefault="009C2E0C" w:rsidP="009C2E0C">
            <w:pPr>
              <w:pStyle w:val="NotesText"/>
            </w:pPr>
          </w:p>
          <w:p w14:paraId="1C53F81B" w14:textId="46851701" w:rsidR="009C2E0C" w:rsidRPr="009C2E0C" w:rsidRDefault="009C2E0C" w:rsidP="006F799E">
            <w:pPr>
              <w:pStyle w:val="NotesText"/>
              <w:rPr>
                <w:rFonts w:cs="Arial"/>
                <w:szCs w:val="18"/>
              </w:rPr>
            </w:pPr>
            <w:r w:rsidRPr="005710CE">
              <w:rPr>
                <w:rFonts w:cs="Arial"/>
                <w:vanish/>
                <w:szCs w:val="18"/>
              </w:rPr>
              <w:t>BR_1</w:t>
            </w:r>
            <w:r>
              <w:rPr>
                <w:rFonts w:cs="Arial"/>
                <w:vanish/>
                <w:szCs w:val="18"/>
              </w:rPr>
              <w:t>1.23</w:t>
            </w:r>
            <w:r w:rsidRPr="005710CE">
              <w:rPr>
                <w:rFonts w:cs="Arial"/>
                <w:vanish/>
                <w:szCs w:val="18"/>
              </w:rPr>
              <w:t xml:space="preserve"> </w:t>
            </w:r>
            <w:r w:rsidRPr="0030088C">
              <w:rPr>
                <w:rFonts w:cs="Arial"/>
                <w:szCs w:val="18"/>
              </w:rPr>
              <w:t xml:space="preserve">The </w:t>
            </w:r>
            <w:r>
              <w:rPr>
                <w:rFonts w:cs="Arial"/>
                <w:szCs w:val="18"/>
              </w:rPr>
              <w:t xml:space="preserve">user may </w:t>
            </w:r>
            <w:r w:rsidR="00331054">
              <w:rPr>
                <w:rFonts w:cs="Arial"/>
                <w:szCs w:val="18"/>
              </w:rPr>
              <w:t>select an</w:t>
            </w:r>
            <w:r>
              <w:rPr>
                <w:rFonts w:cs="Arial"/>
                <w:szCs w:val="18"/>
              </w:rPr>
              <w:t xml:space="preserve"> "Outgoing Shipment" </w:t>
            </w:r>
            <w:r w:rsidR="00331054">
              <w:rPr>
                <w:rFonts w:cs="Arial"/>
                <w:szCs w:val="18"/>
              </w:rPr>
              <w:t xml:space="preserve">canned </w:t>
            </w:r>
            <w:r>
              <w:rPr>
                <w:rFonts w:cs="Arial"/>
                <w:szCs w:val="18"/>
              </w:rPr>
              <w:t xml:space="preserve">comment context and </w:t>
            </w:r>
            <w:r w:rsidR="00331054">
              <w:rPr>
                <w:rFonts w:cs="Arial"/>
                <w:szCs w:val="18"/>
              </w:rPr>
              <w:t>enter</w:t>
            </w:r>
            <w:r>
              <w:rPr>
                <w:rFonts w:cs="Arial"/>
                <w:szCs w:val="18"/>
              </w:rPr>
              <w:t xml:space="preserve"> free text </w:t>
            </w:r>
            <w:r w:rsidR="00331054">
              <w:rPr>
                <w:rFonts w:cs="Arial"/>
                <w:szCs w:val="18"/>
              </w:rPr>
              <w:t>details</w:t>
            </w:r>
            <w:r w:rsidRPr="0030088C">
              <w:rPr>
                <w:rFonts w:cs="Arial"/>
                <w:szCs w:val="18"/>
              </w:rPr>
              <w:t>.</w:t>
            </w:r>
            <w:r>
              <w:rPr>
                <w:rFonts w:cs="Arial"/>
                <w:szCs w:val="18"/>
              </w:rPr>
              <w:t xml:space="preserve"> </w:t>
            </w:r>
            <w:r w:rsidRPr="006E30BA">
              <w:rPr>
                <w:rFonts w:cs="Arial"/>
                <w:szCs w:val="18"/>
              </w:rPr>
              <w:t xml:space="preserve">The comment will be displayed in the Unit History Report, </w:t>
            </w:r>
            <w:r>
              <w:rPr>
                <w:rFonts w:cs="Arial"/>
                <w:szCs w:val="18"/>
              </w:rPr>
              <w:t>Outgoing</w:t>
            </w:r>
            <w:r w:rsidRPr="006E30BA">
              <w:rPr>
                <w:rFonts w:cs="Arial"/>
                <w:szCs w:val="18"/>
              </w:rPr>
              <w:t xml:space="preserve"> Shipment section</w:t>
            </w:r>
            <w:r w:rsidR="00331054">
              <w:rPr>
                <w:rFonts w:cs="Arial"/>
                <w:szCs w:val="18"/>
              </w:rPr>
              <w:t xml:space="preserve"> and printed invoice</w:t>
            </w:r>
            <w:r>
              <w:rPr>
                <w:rFonts w:cs="Arial"/>
                <w:szCs w:val="18"/>
              </w:rPr>
              <w:t>.</w:t>
            </w:r>
          </w:p>
        </w:tc>
      </w:tr>
      <w:tr w:rsidR="00351221" w14:paraId="552EE931" w14:textId="77777777" w:rsidTr="00047819">
        <w:trPr>
          <w:cantSplit/>
        </w:trPr>
        <w:tc>
          <w:tcPr>
            <w:tcW w:w="3240" w:type="dxa"/>
            <w:tcBorders>
              <w:bottom w:val="single" w:sz="4" w:space="0" w:color="auto"/>
            </w:tcBorders>
          </w:tcPr>
          <w:p w14:paraId="7A8E7FEE" w14:textId="31836CE6" w:rsidR="00CB20E3" w:rsidRPr="002742DD" w:rsidRDefault="00CB20E3" w:rsidP="00CB20E3">
            <w:pPr>
              <w:pStyle w:val="TableTextNumbers"/>
              <w:rPr>
                <w:rFonts w:cs="Arial"/>
                <w:szCs w:val="18"/>
              </w:rPr>
            </w:pPr>
            <w:r w:rsidRPr="002742DD">
              <w:rPr>
                <w:rFonts w:cs="Arial"/>
                <w:szCs w:val="18"/>
              </w:rPr>
              <w:t>Repeat Steps 5</w:t>
            </w:r>
            <w:r w:rsidR="00AB1D6F" w:rsidRPr="002742DD">
              <w:rPr>
                <w:rFonts w:cs="Arial"/>
                <w:szCs w:val="18"/>
              </w:rPr>
              <w:t>, 6</w:t>
            </w:r>
            <w:r w:rsidRPr="002742DD">
              <w:rPr>
                <w:rFonts w:cs="Arial"/>
                <w:szCs w:val="18"/>
              </w:rPr>
              <w:t xml:space="preserve"> and </w:t>
            </w:r>
            <w:r w:rsidR="00AB1D6F" w:rsidRPr="002742DD">
              <w:rPr>
                <w:rFonts w:cs="Arial"/>
                <w:szCs w:val="18"/>
              </w:rPr>
              <w:t xml:space="preserve">7 </w:t>
            </w:r>
            <w:r w:rsidRPr="002742DD">
              <w:rPr>
                <w:rFonts w:cs="Arial"/>
                <w:szCs w:val="18"/>
              </w:rPr>
              <w:t>until all units for</w:t>
            </w:r>
            <w:r w:rsidR="00331054">
              <w:rPr>
                <w:rFonts w:cs="Arial"/>
                <w:szCs w:val="18"/>
              </w:rPr>
              <w:t xml:space="preserve"> the current invoice</w:t>
            </w:r>
            <w:r w:rsidRPr="002742DD">
              <w:rPr>
                <w:rFonts w:cs="Arial"/>
                <w:szCs w:val="18"/>
              </w:rPr>
              <w:t xml:space="preserve"> are entered.</w:t>
            </w:r>
          </w:p>
          <w:p w14:paraId="47CED96D" w14:textId="77777777" w:rsidR="00CB20E3" w:rsidRPr="002742DD" w:rsidRDefault="00CB20E3" w:rsidP="00CB20E3">
            <w:pPr>
              <w:pStyle w:val="TableTextNumbersContinued"/>
              <w:rPr>
                <w:rFonts w:cs="Arial"/>
                <w:szCs w:val="18"/>
              </w:rPr>
            </w:pPr>
          </w:p>
          <w:p w14:paraId="4ECF3FC1" w14:textId="3AFDFC8F" w:rsidR="003B03EA" w:rsidRPr="00362960" w:rsidRDefault="00CB20E3" w:rsidP="00362960">
            <w:pPr>
              <w:pStyle w:val="TableTextNumbersContinued"/>
              <w:rPr>
                <w:rFonts w:cs="Arial"/>
                <w:szCs w:val="18"/>
              </w:rPr>
            </w:pPr>
            <w:r w:rsidRPr="002742DD">
              <w:rPr>
                <w:rFonts w:cs="Arial"/>
                <w:szCs w:val="18"/>
              </w:rPr>
              <w:t xml:space="preserve">Click </w:t>
            </w:r>
            <w:r w:rsidRPr="002742DD">
              <w:rPr>
                <w:rFonts w:cs="Arial"/>
                <w:b/>
                <w:bCs/>
                <w:szCs w:val="18"/>
              </w:rPr>
              <w:t>Save</w:t>
            </w:r>
            <w:r w:rsidRPr="002742DD">
              <w:rPr>
                <w:rFonts w:cs="Arial"/>
                <w:szCs w:val="18"/>
              </w:rPr>
              <w:t xml:space="preserve"> to save the information entered</w:t>
            </w:r>
            <w:r w:rsidR="00AA511E" w:rsidRPr="002742DD">
              <w:rPr>
                <w:rFonts w:cs="Arial"/>
                <w:szCs w:val="18"/>
              </w:rPr>
              <w:t xml:space="preserve"> (</w:t>
            </w:r>
            <w:r w:rsidR="00EE455E">
              <w:t xml:space="preserve">Figure </w:t>
            </w:r>
            <w:r w:rsidR="00EE455E">
              <w:rPr>
                <w:noProof/>
              </w:rPr>
              <w:t>51</w:t>
            </w:r>
            <w:r w:rsidR="00AA511E" w:rsidRPr="002742DD">
              <w:rPr>
                <w:rFonts w:cs="Arial"/>
                <w:szCs w:val="18"/>
              </w:rPr>
              <w:t xml:space="preserve">) and </w:t>
            </w:r>
            <w:r w:rsidR="00AA511E" w:rsidRPr="002742DD">
              <w:rPr>
                <w:rFonts w:cs="Arial"/>
                <w:b/>
                <w:bCs/>
                <w:szCs w:val="18"/>
              </w:rPr>
              <w:t>Yes</w:t>
            </w:r>
            <w:r w:rsidR="00AA511E" w:rsidRPr="002742DD">
              <w:rPr>
                <w:rFonts w:cs="Arial"/>
                <w:szCs w:val="18"/>
              </w:rPr>
              <w:t xml:space="preserve"> to confirm the save</w:t>
            </w:r>
            <w:r w:rsidRPr="002742DD">
              <w:rPr>
                <w:rFonts w:cs="Arial"/>
                <w:szCs w:val="18"/>
              </w:rPr>
              <w:t>.</w:t>
            </w:r>
          </w:p>
        </w:tc>
        <w:tc>
          <w:tcPr>
            <w:tcW w:w="6120" w:type="dxa"/>
            <w:tcBorders>
              <w:bottom w:val="single" w:sz="4" w:space="0" w:color="auto"/>
            </w:tcBorders>
          </w:tcPr>
          <w:p w14:paraId="791C7E87" w14:textId="09F1AFF2" w:rsidR="00351221" w:rsidRDefault="00047819" w:rsidP="00047819">
            <w:pPr>
              <w:pStyle w:val="TableTextBullet"/>
            </w:pPr>
            <w:r>
              <w:t xml:space="preserve">Confirms the user action. </w:t>
            </w:r>
            <w:r>
              <w:rPr>
                <w:b/>
                <w:bCs/>
              </w:rPr>
              <w:t>Yes</w:t>
            </w:r>
            <w:r>
              <w:t xml:space="preserve"> saves all changes to the invoice.</w:t>
            </w:r>
          </w:p>
        </w:tc>
      </w:tr>
      <w:tr w:rsidR="00047819" w14:paraId="2D4AA34A" w14:textId="77777777" w:rsidTr="001A459B">
        <w:trPr>
          <w:cantSplit/>
        </w:trPr>
        <w:tc>
          <w:tcPr>
            <w:tcW w:w="3240" w:type="dxa"/>
            <w:tcBorders>
              <w:bottom w:val="single" w:sz="4" w:space="0" w:color="auto"/>
            </w:tcBorders>
          </w:tcPr>
          <w:p w14:paraId="794D88AC" w14:textId="6EF3439D" w:rsidR="00047819" w:rsidRDefault="00047819" w:rsidP="005C043C">
            <w:pPr>
              <w:pStyle w:val="TableTextNumbers"/>
            </w:pPr>
            <w:r>
              <w:lastRenderedPageBreak/>
              <w:t xml:space="preserve">To cancel the shipment, click </w:t>
            </w:r>
            <w:r>
              <w:rPr>
                <w:b/>
                <w:bCs/>
              </w:rPr>
              <w:t>Cancel Shipment</w:t>
            </w:r>
            <w:r>
              <w:t>.</w:t>
            </w:r>
          </w:p>
        </w:tc>
        <w:tc>
          <w:tcPr>
            <w:tcW w:w="6120" w:type="dxa"/>
            <w:tcBorders>
              <w:bottom w:val="single" w:sz="4" w:space="0" w:color="auto"/>
            </w:tcBorders>
          </w:tcPr>
          <w:p w14:paraId="0D217BAA" w14:textId="77777777" w:rsidR="00047819" w:rsidRDefault="00047819" w:rsidP="0035003C">
            <w:pPr>
              <w:pStyle w:val="TableTextBullet"/>
            </w:pPr>
            <w:r>
              <w:t xml:space="preserve">Confirms the user action. </w:t>
            </w:r>
            <w:r>
              <w:rPr>
                <w:b/>
                <w:bCs/>
              </w:rPr>
              <w:t>Yes</w:t>
            </w:r>
            <w:r>
              <w:t xml:space="preserve"> deletes the invoice and all selected units are returned to their previous status.</w:t>
            </w:r>
          </w:p>
          <w:p w14:paraId="57F89504" w14:textId="77777777" w:rsidR="00047819" w:rsidRDefault="00047819" w:rsidP="00047819">
            <w:pPr>
              <w:pStyle w:val="TableText"/>
            </w:pPr>
          </w:p>
          <w:p w14:paraId="767997A9" w14:textId="77777777" w:rsidR="00047819" w:rsidRDefault="00047819" w:rsidP="00047819">
            <w:pPr>
              <w:pStyle w:val="TableText"/>
              <w:rPr>
                <w:b/>
                <w:bCs/>
                <w:szCs w:val="18"/>
              </w:rPr>
            </w:pPr>
            <w:r>
              <w:rPr>
                <w:b/>
                <w:bCs/>
                <w:szCs w:val="18"/>
              </w:rPr>
              <w:t>NOTES</w:t>
            </w:r>
          </w:p>
          <w:p w14:paraId="31BC2D19" w14:textId="77777777" w:rsidR="00047819" w:rsidRDefault="00047819" w:rsidP="00047819">
            <w:pPr>
              <w:pStyle w:val="NotesText"/>
            </w:pPr>
          </w:p>
          <w:p w14:paraId="2E81313C" w14:textId="4878A574" w:rsidR="00047819" w:rsidRDefault="00047819" w:rsidP="00047819">
            <w:pPr>
              <w:pStyle w:val="NotesText"/>
            </w:pPr>
            <w:r>
              <w:t>Canceled shipments are not visible on any report or menu option within VBECS.</w:t>
            </w:r>
          </w:p>
        </w:tc>
      </w:tr>
      <w:tr w:rsidR="002A21AE" w14:paraId="571421F9" w14:textId="77777777">
        <w:tc>
          <w:tcPr>
            <w:tcW w:w="3240" w:type="dxa"/>
            <w:tcBorders>
              <w:bottom w:val="single" w:sz="4" w:space="0" w:color="auto"/>
            </w:tcBorders>
          </w:tcPr>
          <w:p w14:paraId="4DE90953" w14:textId="6B1BDEFA" w:rsidR="002A21AE" w:rsidRDefault="002A21AE" w:rsidP="007C5E77">
            <w:pPr>
              <w:pStyle w:val="TableTextNumbers"/>
            </w:pPr>
            <w:r>
              <w:t xml:space="preserve">To confirm the shipment, </w:t>
            </w:r>
            <w:r w:rsidR="009F225E">
              <w:t xml:space="preserve">it must first be saved. Click </w:t>
            </w:r>
            <w:r w:rsidR="009F225E" w:rsidRPr="006F799E">
              <w:rPr>
                <w:b/>
                <w:bCs/>
              </w:rPr>
              <w:t>Confirm Shipment</w:t>
            </w:r>
            <w:r>
              <w:t>.</w:t>
            </w:r>
          </w:p>
        </w:tc>
        <w:tc>
          <w:tcPr>
            <w:tcW w:w="6120" w:type="dxa"/>
            <w:tcBorders>
              <w:bottom w:val="single" w:sz="4" w:space="0" w:color="auto"/>
            </w:tcBorders>
          </w:tcPr>
          <w:p w14:paraId="3BA57F5F" w14:textId="1DAF59FC" w:rsidR="0016671A" w:rsidRDefault="0016671A" w:rsidP="007C5E77">
            <w:pPr>
              <w:pStyle w:val="TableTextBullet"/>
            </w:pPr>
            <w:r>
              <w:t>Displays a</w:t>
            </w:r>
            <w:r w:rsidR="00413CD5">
              <w:t>n</w:t>
            </w:r>
            <w:r>
              <w:t xml:space="preserve"> “</w:t>
            </w:r>
            <w:r w:rsidR="00413CD5">
              <w:t>Edit</w:t>
            </w:r>
            <w:r>
              <w:t xml:space="preserve"> Shipment</w:t>
            </w:r>
            <w:r w:rsidR="00413CD5">
              <w:t xml:space="preserve"> Date</w:t>
            </w:r>
            <w:r>
              <w:t xml:space="preserve">” </w:t>
            </w:r>
            <w:r w:rsidR="00413CD5">
              <w:t>window</w:t>
            </w:r>
            <w:r>
              <w:t>.</w:t>
            </w:r>
          </w:p>
        </w:tc>
      </w:tr>
      <w:tr w:rsidR="002A21AE" w14:paraId="0BFAF546" w14:textId="77777777" w:rsidTr="001A459B">
        <w:trPr>
          <w:cantSplit/>
        </w:trPr>
        <w:tc>
          <w:tcPr>
            <w:tcW w:w="3240" w:type="dxa"/>
          </w:tcPr>
          <w:p w14:paraId="66871509" w14:textId="6326E2D2" w:rsidR="002A21AE" w:rsidRDefault="00C34657">
            <w:pPr>
              <w:pStyle w:val="TableTextNumbers"/>
            </w:pPr>
            <w:r>
              <w:t>S</w:t>
            </w:r>
            <w:r w:rsidR="002A21AE">
              <w:t>elect or edit the date and time in the Shipment Date/Time field</w:t>
            </w:r>
            <w:r w:rsidR="0016671A">
              <w:t xml:space="preserve"> (</w:t>
            </w:r>
            <w:r w:rsidR="00EE455E">
              <w:t xml:space="preserve">Figure </w:t>
            </w:r>
            <w:r w:rsidR="00EE455E">
              <w:rPr>
                <w:noProof/>
              </w:rPr>
              <w:t>52</w:t>
            </w:r>
            <w:r w:rsidR="00AB1D6F">
              <w:t>)</w:t>
            </w:r>
            <w:r w:rsidR="002A21AE">
              <w:t>.</w:t>
            </w:r>
          </w:p>
          <w:p w14:paraId="673EE7E3" w14:textId="77777777" w:rsidR="002A21AE" w:rsidRDefault="002A21AE">
            <w:pPr>
              <w:pStyle w:val="TableTextNumbersContinued"/>
            </w:pPr>
          </w:p>
          <w:p w14:paraId="7352E5B3" w14:textId="714E061B" w:rsidR="002A21AE" w:rsidRDefault="002A21AE">
            <w:pPr>
              <w:pStyle w:val="TableTextNumbersContinued"/>
            </w:pPr>
            <w:r>
              <w:t xml:space="preserve">Click </w:t>
            </w:r>
            <w:r>
              <w:rPr>
                <w:b/>
              </w:rPr>
              <w:t>OK</w:t>
            </w:r>
            <w:r>
              <w:t xml:space="preserve"> to save the information entered or </w:t>
            </w:r>
            <w:r>
              <w:rPr>
                <w:b/>
              </w:rPr>
              <w:t>Cancel</w:t>
            </w:r>
            <w:r>
              <w:t xml:space="preserve"> to return to </w:t>
            </w:r>
            <w:r w:rsidR="00C34657">
              <w:t>leave the invoice unconfirmed</w:t>
            </w:r>
            <w:r>
              <w:t>.</w:t>
            </w:r>
          </w:p>
        </w:tc>
        <w:tc>
          <w:tcPr>
            <w:tcW w:w="6120" w:type="dxa"/>
          </w:tcPr>
          <w:p w14:paraId="4E42F5FE" w14:textId="77777777" w:rsidR="002A21AE" w:rsidRDefault="002A21AE">
            <w:pPr>
              <w:pStyle w:val="TableTextBullet"/>
            </w:pPr>
            <w:r>
              <w:t>Displays shipment information, including the shipment date and time. When a user accepts the entered date and time, displays the invoice to be printed.</w:t>
            </w:r>
          </w:p>
          <w:p w14:paraId="79E3F5C0" w14:textId="77777777" w:rsidR="002A21AE" w:rsidRDefault="002A21AE">
            <w:pPr>
              <w:pStyle w:val="TableTextBullet"/>
            </w:pPr>
            <w:r>
              <w:t xml:space="preserve">Updates the status of each unit in the shipment to show that each unit was transferred to the ship-to facility and assigns the shipment date and time as the date and time of the transaction. </w:t>
            </w:r>
          </w:p>
          <w:p w14:paraId="3957B6D8" w14:textId="77777777" w:rsidR="002A21AE" w:rsidRDefault="002A21AE">
            <w:pPr>
              <w:pStyle w:val="TableText"/>
            </w:pPr>
          </w:p>
          <w:p w14:paraId="750E4C1D" w14:textId="5F569929" w:rsidR="002A21AE" w:rsidRDefault="002A21AE">
            <w:pPr>
              <w:pStyle w:val="TableText"/>
              <w:rPr>
                <w:b/>
                <w:bCs/>
                <w:szCs w:val="18"/>
              </w:rPr>
            </w:pPr>
            <w:r>
              <w:rPr>
                <w:b/>
                <w:bCs/>
                <w:szCs w:val="18"/>
              </w:rPr>
              <w:t>NOTES</w:t>
            </w:r>
          </w:p>
          <w:p w14:paraId="408AF7F6" w14:textId="77777777" w:rsidR="002A21AE" w:rsidRDefault="002A21AE">
            <w:pPr>
              <w:pStyle w:val="NotesText"/>
            </w:pPr>
          </w:p>
          <w:p w14:paraId="2E5762EC" w14:textId="77777777" w:rsidR="002A21AE" w:rsidRDefault="002A21AE">
            <w:pPr>
              <w:pStyle w:val="NotesText"/>
            </w:pPr>
            <w:r>
              <w:t>When VBECS confirms an outgoing shipment, it:</w:t>
            </w:r>
          </w:p>
          <w:p w14:paraId="697AC74E" w14:textId="508BE419" w:rsidR="002A21AE" w:rsidRDefault="002A21AE">
            <w:pPr>
              <w:pStyle w:val="NotesTextBullet"/>
            </w:pPr>
            <w:r>
              <w:rPr>
                <w:rFonts w:cs="Arial"/>
                <w:vanish/>
              </w:rPr>
              <w:t>BR_11.08</w:t>
            </w:r>
            <w:r w:rsidR="009E64CB">
              <w:t xml:space="preserve">Upon confirmation of an outgoing shipment, the system </w:t>
            </w:r>
            <w:r w:rsidR="001B1F53">
              <w:t>updates</w:t>
            </w:r>
            <w:r w:rsidR="009E64CB">
              <w:t xml:space="preserve"> the unit record with the shipment information. The system updates the status of each unit in the shipment to “transferred”.</w:t>
            </w:r>
          </w:p>
          <w:p w14:paraId="21BA638F" w14:textId="14D33F04" w:rsidR="00662C08" w:rsidRDefault="00662C08">
            <w:pPr>
              <w:pStyle w:val="NotesTextBullet"/>
            </w:pPr>
            <w:r>
              <w:rPr>
                <w:rFonts w:cs="Arial"/>
              </w:rPr>
              <w:t>(Transfusion-Only division configuration only) removes the unit restriction.</w:t>
            </w:r>
          </w:p>
          <w:p w14:paraId="263CF7CB" w14:textId="07254177" w:rsidR="002A21AE" w:rsidRDefault="002A21AE" w:rsidP="009E64CB">
            <w:pPr>
              <w:pStyle w:val="NotesTextBullet"/>
            </w:pPr>
            <w:r>
              <w:rPr>
                <w:rFonts w:cs="Arial"/>
                <w:vanish/>
              </w:rPr>
              <w:t>BR_11.09</w:t>
            </w:r>
            <w:r w:rsidR="00662C08">
              <w:t>T</w:t>
            </w:r>
            <w:r w:rsidR="009E64CB" w:rsidRPr="00374A4B">
              <w:t>he system captures the logged on user as the processed by information (Tech ID, print Tech name)</w:t>
            </w:r>
            <w:r w:rsidR="00662C08">
              <w:t xml:space="preserve">. </w:t>
            </w:r>
            <w:r w:rsidR="009E64CB">
              <w:t>The date and time</w:t>
            </w:r>
            <w:r w:rsidR="00662C08">
              <w:t xml:space="preserve"> entered are saved</w:t>
            </w:r>
            <w:r w:rsidR="009E64CB">
              <w:t xml:space="preserve"> as the actual date/time of shipment. No future date/time may be entered. A default of the current date/time is displayed for the user to accept or edit.</w:t>
            </w:r>
          </w:p>
        </w:tc>
      </w:tr>
      <w:tr w:rsidR="002A21AE" w14:paraId="3EBF274A" w14:textId="77777777">
        <w:tc>
          <w:tcPr>
            <w:tcW w:w="3240" w:type="dxa"/>
            <w:tcBorders>
              <w:top w:val="single" w:sz="4" w:space="0" w:color="auto"/>
              <w:left w:val="single" w:sz="4" w:space="0" w:color="auto"/>
              <w:bottom w:val="single" w:sz="4" w:space="0" w:color="auto"/>
              <w:right w:val="single" w:sz="4" w:space="0" w:color="auto"/>
            </w:tcBorders>
          </w:tcPr>
          <w:p w14:paraId="35A03FB1" w14:textId="53708062" w:rsidR="002A21AE" w:rsidRDefault="002A21AE">
            <w:pPr>
              <w:pStyle w:val="TableTextNumbers"/>
            </w:pPr>
            <w:r>
              <w:t xml:space="preserve">Click </w:t>
            </w:r>
            <w:r>
              <w:rPr>
                <w:b/>
              </w:rPr>
              <w:t>Print Invoice</w:t>
            </w:r>
            <w:r>
              <w:t xml:space="preserve"> to generate and view an invoice or click </w:t>
            </w:r>
            <w:r>
              <w:rPr>
                <w:b/>
              </w:rPr>
              <w:t>Cancel</w:t>
            </w:r>
            <w:r>
              <w:t xml:space="preserve"> to exit. </w:t>
            </w:r>
            <w:r>
              <w:rPr>
                <w:vanish/>
                <w:color w:val="FFFFFF"/>
                <w:szCs w:val="18"/>
              </w:rPr>
              <w:fldChar w:fldCharType="begin"/>
            </w:r>
            <w:r>
              <w:rPr>
                <w:vanish/>
                <w:color w:val="FFFFFF"/>
                <w:szCs w:val="18"/>
              </w:rPr>
              <w:instrText xml:space="preserve"> LISTNUM \l 1 \s 0 </w:instrText>
            </w:r>
            <w:r>
              <w:rPr>
                <w:vanish/>
                <w:color w:val="FFFFFF"/>
                <w:szCs w:val="18"/>
              </w:rPr>
              <w:fldChar w:fldCharType="end">
                <w:numberingChange w:id="293" w:author="MUSZYNSKI, THOMAS D. (SIERRA 7 INC)" w:date="2024-11-26T07:15:00Z" w:original="0."/>
              </w:fldChar>
            </w:r>
          </w:p>
        </w:tc>
        <w:tc>
          <w:tcPr>
            <w:tcW w:w="6120" w:type="dxa"/>
            <w:tcBorders>
              <w:top w:val="single" w:sz="4" w:space="0" w:color="auto"/>
              <w:left w:val="single" w:sz="4" w:space="0" w:color="auto"/>
              <w:bottom w:val="single" w:sz="4" w:space="0" w:color="auto"/>
              <w:right w:val="single" w:sz="4" w:space="0" w:color="auto"/>
            </w:tcBorders>
          </w:tcPr>
          <w:p w14:paraId="5FB84B28" w14:textId="77777777" w:rsidR="002A21AE" w:rsidRDefault="002A21AE">
            <w:pPr>
              <w:pStyle w:val="TableTextBullet"/>
            </w:pPr>
            <w:r>
              <w:t xml:space="preserve">Displays the information to be printed on the invoice. </w:t>
            </w:r>
          </w:p>
          <w:p w14:paraId="3C281FEA" w14:textId="1D4AF013" w:rsidR="002A21AE" w:rsidRDefault="00662C08">
            <w:pPr>
              <w:pStyle w:val="TableTextBullet"/>
            </w:pPr>
            <w:r>
              <w:t>Displays an option to send</w:t>
            </w:r>
            <w:r w:rsidR="002A21AE">
              <w:t xml:space="preserve"> the shipping invoice</w:t>
            </w:r>
            <w:r>
              <w:t xml:space="preserve"> to a printer</w:t>
            </w:r>
            <w:r w:rsidR="002A21AE">
              <w:t>.</w:t>
            </w:r>
          </w:p>
          <w:p w14:paraId="33798BB9" w14:textId="77777777" w:rsidR="002A21AE" w:rsidRDefault="002A21AE" w:rsidP="00753212">
            <w:pPr>
              <w:pStyle w:val="TableText"/>
            </w:pPr>
          </w:p>
          <w:p w14:paraId="4D7234B6" w14:textId="4BC3CE0E" w:rsidR="00753212" w:rsidRDefault="00753212" w:rsidP="00753212">
            <w:pPr>
              <w:pStyle w:val="TableText"/>
              <w:rPr>
                <w:b/>
                <w:bCs/>
                <w:szCs w:val="18"/>
              </w:rPr>
            </w:pPr>
            <w:r w:rsidRPr="00753212">
              <w:rPr>
                <w:b/>
                <w:bCs/>
                <w:szCs w:val="18"/>
              </w:rPr>
              <w:t>N</w:t>
            </w:r>
            <w:r>
              <w:rPr>
                <w:b/>
                <w:bCs/>
                <w:szCs w:val="18"/>
              </w:rPr>
              <w:t>OTES</w:t>
            </w:r>
          </w:p>
          <w:p w14:paraId="31C4D5D0" w14:textId="674B6786" w:rsidR="00753212" w:rsidRDefault="00753212" w:rsidP="00753212">
            <w:pPr>
              <w:pStyle w:val="TableText"/>
              <w:rPr>
                <w:b/>
                <w:bCs/>
                <w:szCs w:val="18"/>
              </w:rPr>
            </w:pPr>
          </w:p>
          <w:p w14:paraId="5C6031D3" w14:textId="77777777" w:rsidR="00753212" w:rsidRDefault="00753212" w:rsidP="00753212">
            <w:pPr>
              <w:pStyle w:val="NotesText"/>
            </w:pPr>
            <w:r w:rsidRPr="00753212">
              <w:rPr>
                <w:vanish/>
              </w:rPr>
              <w:t xml:space="preserve">BR_11.18 </w:t>
            </w:r>
            <w:r>
              <w:t>When a shipment is saved but not confirmed, VBECS displays “NOT CONFIRMED” as the shipment date.</w:t>
            </w:r>
          </w:p>
          <w:p w14:paraId="71646482" w14:textId="77777777" w:rsidR="00753212" w:rsidRDefault="00753212" w:rsidP="00753212">
            <w:pPr>
              <w:pStyle w:val="NotesText"/>
            </w:pPr>
          </w:p>
          <w:p w14:paraId="55768452" w14:textId="3B4D30DF" w:rsidR="00753212" w:rsidRDefault="00753212" w:rsidP="007C5E77">
            <w:pPr>
              <w:pStyle w:val="NotesText"/>
            </w:pPr>
            <w:r w:rsidRPr="00753212">
              <w:rPr>
                <w:vanish/>
              </w:rPr>
              <w:t xml:space="preserve">BR_17.02 </w:t>
            </w:r>
            <w:r>
              <w:t>The shipping invoice includes patient restriction, quarantine status, biohazard information, antigen typing (specificity and interpretation only), special testing information, the autologous unit testing status, and comment.</w:t>
            </w:r>
          </w:p>
        </w:tc>
      </w:tr>
    </w:tbl>
    <w:p w14:paraId="46531222" w14:textId="419EFDC7" w:rsidR="00D039A6" w:rsidRDefault="00D039A6" w:rsidP="00D039A6">
      <w:pPr>
        <w:pStyle w:val="Caption"/>
      </w:pPr>
      <w:bookmarkStart w:id="294" w:name="_Ref126554236"/>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7D1829">
        <w:rPr>
          <w:noProof/>
        </w:rPr>
        <w:t>49</w:t>
      </w:r>
      <w:r w:rsidR="004E20BD">
        <w:rPr>
          <w:noProof/>
        </w:rPr>
        <w:fldChar w:fldCharType="end"/>
      </w:r>
      <w:bookmarkEnd w:id="294"/>
      <w:r>
        <w:t>: Process Outgoing Shipment</w:t>
      </w:r>
    </w:p>
    <w:p w14:paraId="7BEB6A6E" w14:textId="55E1D252" w:rsidR="00D039A6" w:rsidRDefault="00535F97" w:rsidP="00D039A6">
      <w:pPr>
        <w:pStyle w:val="BodyText"/>
      </w:pPr>
      <w:r>
        <w:rPr>
          <w:noProof/>
        </w:rPr>
        <w:drawing>
          <wp:inline distT="0" distB="0" distL="0" distR="0" wp14:anchorId="64C75D8B" wp14:editId="16A6BFE1">
            <wp:extent cx="4572000" cy="2567940"/>
            <wp:effectExtent l="0" t="0" r="0" b="3810"/>
            <wp:docPr id="154" name="Picture 154" descr="Example of Process Outgoing Shipment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Picture 154" descr="Example of Process Outgoing Shipment screen capture"/>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4572000" cy="2567940"/>
                    </a:xfrm>
                    <a:prstGeom prst="rect">
                      <a:avLst/>
                    </a:prstGeom>
                    <a:noFill/>
                    <a:ln>
                      <a:noFill/>
                    </a:ln>
                  </pic:spPr>
                </pic:pic>
              </a:graphicData>
            </a:graphic>
          </wp:inline>
        </w:drawing>
      </w:r>
    </w:p>
    <w:p w14:paraId="5C8060BF" w14:textId="3A0C1B6C" w:rsidR="0084755D" w:rsidRDefault="0084755D" w:rsidP="0084755D">
      <w:pPr>
        <w:pStyle w:val="Caption"/>
      </w:pPr>
      <w:bookmarkStart w:id="295" w:name="_Ref137888427"/>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7D1829">
        <w:rPr>
          <w:noProof/>
        </w:rPr>
        <w:t>50</w:t>
      </w:r>
      <w:r w:rsidR="004E20BD">
        <w:rPr>
          <w:noProof/>
        </w:rPr>
        <w:fldChar w:fldCharType="end"/>
      </w:r>
      <w:bookmarkEnd w:id="295"/>
      <w:r>
        <w:t>: Select Units</w:t>
      </w:r>
    </w:p>
    <w:p w14:paraId="440C6417" w14:textId="7A677183" w:rsidR="0084755D" w:rsidRDefault="00653A4D" w:rsidP="00D039A6">
      <w:pPr>
        <w:pStyle w:val="BodyText"/>
      </w:pPr>
      <w:r>
        <w:rPr>
          <w:noProof/>
        </w:rPr>
        <w:drawing>
          <wp:inline distT="0" distB="0" distL="0" distR="0" wp14:anchorId="72605E6E" wp14:editId="2865F334">
            <wp:extent cx="5943600" cy="2567503"/>
            <wp:effectExtent l="0" t="0" r="0" b="4445"/>
            <wp:docPr id="161" name="Picture 161" descr="Example of Select Units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Example of Select Units screen capture"/>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5943600" cy="2567503"/>
                    </a:xfrm>
                    <a:prstGeom prst="rect">
                      <a:avLst/>
                    </a:prstGeom>
                    <a:noFill/>
                    <a:ln>
                      <a:noFill/>
                    </a:ln>
                  </pic:spPr>
                </pic:pic>
              </a:graphicData>
            </a:graphic>
          </wp:inline>
        </w:drawing>
      </w:r>
    </w:p>
    <w:p w14:paraId="5934488D" w14:textId="747DE233" w:rsidR="00535F97" w:rsidRDefault="00535F97" w:rsidP="00535F97">
      <w:pPr>
        <w:pStyle w:val="Caption"/>
      </w:pPr>
      <w:bookmarkStart w:id="296" w:name="_Ref123909328"/>
      <w:bookmarkStart w:id="297" w:name="_Ref137888482"/>
      <w:r>
        <w:lastRenderedPageBreak/>
        <w:t xml:space="preserve">Figure </w:t>
      </w:r>
      <w:r>
        <w:rPr>
          <w:noProof/>
        </w:rPr>
        <w:fldChar w:fldCharType="begin"/>
      </w:r>
      <w:r>
        <w:rPr>
          <w:noProof/>
        </w:rPr>
        <w:instrText xml:space="preserve"> SEQ Figure \* ARABIC </w:instrText>
      </w:r>
      <w:r>
        <w:rPr>
          <w:noProof/>
        </w:rPr>
        <w:fldChar w:fldCharType="separate"/>
      </w:r>
      <w:r w:rsidR="007D1829">
        <w:rPr>
          <w:noProof/>
        </w:rPr>
        <w:t>51</w:t>
      </w:r>
      <w:r>
        <w:rPr>
          <w:noProof/>
        </w:rPr>
        <w:fldChar w:fldCharType="end"/>
      </w:r>
      <w:bookmarkEnd w:id="296"/>
      <w:r>
        <w:t>: Outgoing Shipment Comment</w:t>
      </w:r>
    </w:p>
    <w:p w14:paraId="45D01D38" w14:textId="32715492" w:rsidR="00535F97" w:rsidRDefault="00653A4D" w:rsidP="00535F97">
      <w:pPr>
        <w:pStyle w:val="BodyText"/>
      </w:pPr>
      <w:r>
        <w:rPr>
          <w:noProof/>
        </w:rPr>
        <w:drawing>
          <wp:inline distT="0" distB="0" distL="0" distR="0" wp14:anchorId="25FC1901" wp14:editId="40C62A6C">
            <wp:extent cx="5295900" cy="3552825"/>
            <wp:effectExtent l="0" t="0" r="0" b="9525"/>
            <wp:docPr id="162" name="Picture 162" descr="Example of Outgoing Shipment Comment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descr="Example of Outgoing Shipment Comment screen capture"/>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5295900" cy="3552825"/>
                    </a:xfrm>
                    <a:prstGeom prst="rect">
                      <a:avLst/>
                    </a:prstGeom>
                    <a:noFill/>
                    <a:ln>
                      <a:noFill/>
                    </a:ln>
                  </pic:spPr>
                </pic:pic>
              </a:graphicData>
            </a:graphic>
          </wp:inline>
        </w:drawing>
      </w:r>
    </w:p>
    <w:p w14:paraId="2A68A4FE" w14:textId="1EF0CEDC" w:rsidR="0084755D" w:rsidRDefault="0084755D" w:rsidP="0084755D">
      <w:pPr>
        <w:pStyle w:val="Caption"/>
      </w:pPr>
      <w:bookmarkStart w:id="298" w:name="_Ref124159145"/>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7D1829">
        <w:rPr>
          <w:noProof/>
        </w:rPr>
        <w:t>52</w:t>
      </w:r>
      <w:r w:rsidR="004E20BD">
        <w:rPr>
          <w:noProof/>
        </w:rPr>
        <w:fldChar w:fldCharType="end"/>
      </w:r>
      <w:bookmarkEnd w:id="297"/>
      <w:bookmarkEnd w:id="298"/>
      <w:r>
        <w:t xml:space="preserve">: </w:t>
      </w:r>
      <w:r w:rsidR="00F44E08">
        <w:t>Saving Outgoing Shipment</w:t>
      </w:r>
    </w:p>
    <w:p w14:paraId="3F5806D8" w14:textId="6704ED21" w:rsidR="00B4455C" w:rsidRDefault="00B4455C" w:rsidP="00333E75">
      <w:pPr>
        <w:pStyle w:val="BodyText"/>
      </w:pPr>
      <w:r>
        <w:rPr>
          <w:noProof/>
        </w:rPr>
        <w:drawing>
          <wp:inline distT="0" distB="0" distL="0" distR="0" wp14:anchorId="0B7FE55C" wp14:editId="14594B5C">
            <wp:extent cx="6241235" cy="2543175"/>
            <wp:effectExtent l="0" t="0" r="7620" b="0"/>
            <wp:docPr id="51" name="Picture 51" descr="Example of Outgoing Shipment Save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descr="Example of Outgoing Shipment Save screen capture"/>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6243010" cy="2543898"/>
                    </a:xfrm>
                    <a:prstGeom prst="rect">
                      <a:avLst/>
                    </a:prstGeom>
                    <a:noFill/>
                    <a:ln>
                      <a:noFill/>
                    </a:ln>
                  </pic:spPr>
                </pic:pic>
              </a:graphicData>
            </a:graphic>
          </wp:inline>
        </w:drawing>
      </w:r>
    </w:p>
    <w:p w14:paraId="2369B54F" w14:textId="67365732" w:rsidR="00FC76B3" w:rsidRDefault="00FC76B3" w:rsidP="00D039A6">
      <w:pPr>
        <w:pStyle w:val="BodyText"/>
      </w:pPr>
    </w:p>
    <w:p w14:paraId="3A25959C" w14:textId="7C799234" w:rsidR="002041DB" w:rsidRDefault="002041DB" w:rsidP="002041DB">
      <w:pPr>
        <w:pStyle w:val="Caption"/>
      </w:pPr>
      <w:bookmarkStart w:id="299" w:name="_Ref123908175"/>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7D1829">
        <w:rPr>
          <w:noProof/>
        </w:rPr>
        <w:t>53</w:t>
      </w:r>
      <w:r w:rsidR="004E20BD">
        <w:rPr>
          <w:noProof/>
        </w:rPr>
        <w:fldChar w:fldCharType="end"/>
      </w:r>
      <w:bookmarkEnd w:id="299"/>
      <w:r>
        <w:t>: Confirm Shipment</w:t>
      </w:r>
      <w:r w:rsidR="00535F97">
        <w:t xml:space="preserve"> Date</w:t>
      </w:r>
    </w:p>
    <w:p w14:paraId="2E97CC51" w14:textId="28762CF8" w:rsidR="002041DB" w:rsidRDefault="009F327A" w:rsidP="00A815F7">
      <w:pPr>
        <w:pStyle w:val="BodyText"/>
      </w:pPr>
      <w:r w:rsidRPr="009F327A">
        <w:t xml:space="preserve"> </w:t>
      </w:r>
      <w:r w:rsidR="00653A4D">
        <w:rPr>
          <w:noProof/>
        </w:rPr>
        <w:drawing>
          <wp:inline distT="0" distB="0" distL="0" distR="0" wp14:anchorId="65F6A2D2" wp14:editId="0C3F6FC8">
            <wp:extent cx="4038600" cy="2219325"/>
            <wp:effectExtent l="0" t="0" r="0" b="9525"/>
            <wp:docPr id="163" name="Picture 163" descr="Example of Confirm Shipment Date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descr="Example of Confirm Shipment Date screen capture"/>
                    <pic:cNvPicPr>
                      <a:picLocks noChangeAspect="1" noChangeArrowheads="1"/>
                    </pic:cNvPicPr>
                  </pic:nvPicPr>
                  <pic:blipFill>
                    <a:blip r:embed="rId140" cstate="print">
                      <a:extLst>
                        <a:ext uri="{28A0092B-C50C-407E-A947-70E740481C1C}">
                          <a14:useLocalDpi xmlns:a14="http://schemas.microsoft.com/office/drawing/2010/main" val="0"/>
                        </a:ext>
                      </a:extLst>
                    </a:blip>
                    <a:srcRect/>
                    <a:stretch>
                      <a:fillRect/>
                    </a:stretch>
                  </pic:blipFill>
                  <pic:spPr bwMode="auto">
                    <a:xfrm>
                      <a:off x="0" y="0"/>
                      <a:ext cx="4038600" cy="2219325"/>
                    </a:xfrm>
                    <a:prstGeom prst="rect">
                      <a:avLst/>
                    </a:prstGeom>
                    <a:noFill/>
                    <a:ln>
                      <a:noFill/>
                    </a:ln>
                  </pic:spPr>
                </pic:pic>
              </a:graphicData>
            </a:graphic>
          </wp:inline>
        </w:drawing>
      </w:r>
    </w:p>
    <w:p w14:paraId="6C860F8B" w14:textId="77777777" w:rsidR="00736D67" w:rsidRDefault="00736D67">
      <w:pPr>
        <w:rPr>
          <w:rFonts w:ascii="Arial" w:hAnsi="Arial" w:cs="Arial"/>
          <w:b/>
          <w:bCs/>
          <w:sz w:val="26"/>
          <w:szCs w:val="26"/>
        </w:rPr>
      </w:pPr>
      <w:r>
        <w:br w:type="page"/>
      </w:r>
    </w:p>
    <w:p w14:paraId="2CBB7330" w14:textId="2894B8E6" w:rsidR="002A21AE" w:rsidRDefault="002A21AE" w:rsidP="00597EEA">
      <w:pPr>
        <w:pStyle w:val="Heading3"/>
      </w:pPr>
      <w:bookmarkStart w:id="300" w:name="_Toc203765883"/>
      <w:r>
        <w:lastRenderedPageBreak/>
        <w:t>Edit Invoice Text</w:t>
      </w:r>
      <w:bookmarkEnd w:id="300"/>
      <w:r w:rsidRPr="009F1B54">
        <w:rPr>
          <w:rFonts w:ascii="Arial Bold" w:hAnsi="Arial Bold"/>
          <w:vanish/>
        </w:rPr>
        <w:fldChar w:fldCharType="begin"/>
      </w:r>
      <w:r w:rsidRPr="009F1B54">
        <w:rPr>
          <w:rFonts w:ascii="Arial Bold" w:hAnsi="Arial Bold"/>
          <w:vanish/>
        </w:rPr>
        <w:instrText xml:space="preserve"> XE </w:instrText>
      </w:r>
      <w:r w:rsidR="00FA7E65" w:rsidRPr="009F1B54">
        <w:rPr>
          <w:rFonts w:ascii="Arial Bold" w:hAnsi="Arial Bold"/>
          <w:vanish/>
        </w:rPr>
        <w:instrText>“</w:instrText>
      </w:r>
      <w:r w:rsidRPr="009F1B54">
        <w:rPr>
          <w:rFonts w:ascii="Arial Bold" w:hAnsi="Arial Bold"/>
          <w:vanish/>
        </w:rPr>
        <w:instrText>Edit Invoice Text</w:instrText>
      </w:r>
      <w:r w:rsidR="00FA7E65" w:rsidRPr="009F1B54">
        <w:rPr>
          <w:rFonts w:ascii="Arial Bold" w:hAnsi="Arial Bold"/>
          <w:vanish/>
        </w:rPr>
        <w:instrText>”</w:instrText>
      </w:r>
      <w:r w:rsidRPr="009F1B54">
        <w:rPr>
          <w:rFonts w:ascii="Arial Bold" w:hAnsi="Arial Bold"/>
          <w:vanish/>
        </w:rPr>
        <w:instrText xml:space="preserve"> </w:instrText>
      </w:r>
      <w:r w:rsidRPr="009F1B54">
        <w:rPr>
          <w:rFonts w:ascii="Arial Bold" w:hAnsi="Arial Bold"/>
          <w:vanish/>
        </w:rPr>
        <w:fldChar w:fldCharType="end"/>
      </w:r>
      <w:r w:rsidRPr="009F1B54">
        <w:rPr>
          <w:rFonts w:ascii="Arial Bold" w:hAnsi="Arial Bold"/>
          <w:vanish/>
        </w:rPr>
        <w:t xml:space="preserve"> UC_17</w:t>
      </w:r>
    </w:p>
    <w:p w14:paraId="2E3ECDC8" w14:textId="77777777" w:rsidR="002A21AE" w:rsidRDefault="002A21AE" w:rsidP="00FA7E65">
      <w:pPr>
        <w:pStyle w:val="BodyText"/>
      </w:pPr>
      <w:r>
        <w:t xml:space="preserve">VBECS includes a shipping invoice. The user may edit the explanatory text above the signature on the last page of a shipping invoice. </w:t>
      </w:r>
    </w:p>
    <w:p w14:paraId="3A69473A" w14:textId="77777777" w:rsidR="002A21AE" w:rsidRDefault="002A21AE">
      <w:pPr>
        <w:pStyle w:val="Heading4"/>
        <w:rPr>
          <w:b w:val="0"/>
        </w:rPr>
      </w:pPr>
      <w:r>
        <w:t>Assumptions</w:t>
      </w:r>
      <w:r>
        <w:rPr>
          <w:b w:val="0"/>
        </w:rPr>
        <w:t xml:space="preserve"> </w:t>
      </w:r>
    </w:p>
    <w:p w14:paraId="73DE402D" w14:textId="77777777" w:rsidR="002A21AE" w:rsidRDefault="002A21AE">
      <w:pPr>
        <w:pStyle w:val="ListBullet"/>
      </w:pPr>
      <w:r>
        <w:t>Information on the outgoing shipment invoice is generated during Outgoing Shipment.</w:t>
      </w:r>
    </w:p>
    <w:p w14:paraId="305102D2" w14:textId="77777777" w:rsidR="002A21AE" w:rsidRDefault="002A21AE">
      <w:pPr>
        <w:pStyle w:val="Heading4"/>
      </w:pPr>
      <w:r>
        <w:t>Outcome</w:t>
      </w:r>
    </w:p>
    <w:p w14:paraId="2EE61186" w14:textId="77777777" w:rsidR="002A21AE" w:rsidRDefault="002A21AE">
      <w:pPr>
        <w:pStyle w:val="ListBullet"/>
      </w:pPr>
      <w:r>
        <w:t>A division customized the text displayed on an outgoing shipment invoice.</w:t>
      </w:r>
    </w:p>
    <w:p w14:paraId="4B3B1659" w14:textId="77777777" w:rsidR="002A21AE" w:rsidRDefault="002A21AE">
      <w:pPr>
        <w:pStyle w:val="Heading4"/>
        <w:rPr>
          <w:b w:val="0"/>
        </w:rPr>
      </w:pPr>
      <w:r>
        <w:t>Limitations and Restrictions</w:t>
      </w:r>
      <w:r>
        <w:rPr>
          <w:b w:val="0"/>
        </w:rPr>
        <w:t xml:space="preserve"> </w:t>
      </w:r>
    </w:p>
    <w:p w14:paraId="34D537EA" w14:textId="77777777" w:rsidR="002A21AE" w:rsidRDefault="002A21AE">
      <w:pPr>
        <w:pStyle w:val="ListBullet"/>
        <w:ind w:left="720"/>
      </w:pPr>
      <w:r>
        <w:t>None</w:t>
      </w:r>
    </w:p>
    <w:p w14:paraId="72CECED7" w14:textId="77777777" w:rsidR="002A21AE" w:rsidRDefault="002A21AE">
      <w:pPr>
        <w:pStyle w:val="Heading4"/>
      </w:pPr>
      <w:r>
        <w:t xml:space="preserve">Additional Information </w:t>
      </w:r>
    </w:p>
    <w:p w14:paraId="02E20F36" w14:textId="77777777" w:rsidR="000D6A15" w:rsidRDefault="000D6A15" w:rsidP="000D6A15">
      <w:pPr>
        <w:pStyle w:val="ListBullet"/>
      </w:pPr>
      <w:r w:rsidRPr="000D6A15">
        <w:rPr>
          <w:vanish/>
        </w:rPr>
        <w:t>BR_17.05</w:t>
      </w:r>
      <w:r w:rsidRPr="00D21BA8">
        <w:t>T</w:t>
      </w:r>
      <w:r>
        <w:t>he default explanatory text</w:t>
      </w:r>
      <w:r w:rsidR="00D21BA8">
        <w:t xml:space="preserve"> reads</w:t>
      </w:r>
      <w:r>
        <w:t>: “</w:t>
      </w:r>
      <w:r w:rsidRPr="005861CC">
        <w:t>I certify that the blood products listed were properly maintained, in accordance with the Code of Federal Regulations, while in storage at this institution. Components were inspected when packed for shipment and found to be satisfactory in color and appearance.</w:t>
      </w:r>
      <w:r>
        <w:t>”</w:t>
      </w:r>
    </w:p>
    <w:p w14:paraId="356E3CE5" w14:textId="77777777" w:rsidR="002A21AE" w:rsidRDefault="002A21AE">
      <w:pPr>
        <w:pStyle w:val="Heading4"/>
        <w:tabs>
          <w:tab w:val="left" w:pos="4140"/>
        </w:tabs>
        <w:rPr>
          <w:snapToGrid w:val="0"/>
        </w:rPr>
      </w:pPr>
      <w:r>
        <w:rPr>
          <w:snapToGrid w:val="0"/>
        </w:rPr>
        <w:t xml:space="preserve">User Roles with Access to This Option </w:t>
      </w:r>
    </w:p>
    <w:p w14:paraId="6122F276" w14:textId="77777777" w:rsidR="002A21AE" w:rsidRDefault="00B2267D">
      <w:pPr>
        <w:pStyle w:val="Roles"/>
        <w:rPr>
          <w:snapToGrid w:val="0"/>
        </w:rPr>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w:t>
      </w:r>
      <w:r>
        <w:rPr>
          <w:snapToGrid w:val="0"/>
        </w:rPr>
        <w:t>Enhanced Supervisor</w:t>
      </w:r>
    </w:p>
    <w:p w14:paraId="14BC7E79" w14:textId="77777777" w:rsidR="002A21AE" w:rsidRDefault="002A21AE">
      <w:pPr>
        <w:pStyle w:val="Heading4"/>
        <w:rPr>
          <w:snapToGrid w:val="0"/>
        </w:rPr>
      </w:pPr>
      <w:r>
        <w:rPr>
          <w:snapToGrid w:val="0"/>
        </w:rPr>
        <w:t>Edit Invoice Text</w:t>
      </w:r>
    </w:p>
    <w:p w14:paraId="1E4CA720" w14:textId="77777777" w:rsidR="002A21AE" w:rsidRDefault="002A21AE" w:rsidP="00FA7E65">
      <w:pPr>
        <w:pStyle w:val="BodyText"/>
      </w:pPr>
      <w:r>
        <w:t>The blood bank user needs to edit the shipping invoice text box to conform to changes in regulations or division requirements. When the edit is complete, the user saves the altered text for future shipping invoices. An audit trail of changes is maintained.</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1A18DC7A" w14:textId="77777777">
        <w:trPr>
          <w:cantSplit/>
          <w:tblHeader/>
        </w:trPr>
        <w:tc>
          <w:tcPr>
            <w:tcW w:w="3240" w:type="dxa"/>
            <w:shd w:val="pct30" w:color="auto" w:fill="FFFFFF"/>
            <w:vAlign w:val="bottom"/>
          </w:tcPr>
          <w:p w14:paraId="7DB42ED1" w14:textId="77777777" w:rsidR="002A21AE" w:rsidRDefault="002A21AE">
            <w:pPr>
              <w:pStyle w:val="TableText"/>
              <w:rPr>
                <w:b/>
              </w:rPr>
            </w:pPr>
            <w:r>
              <w:rPr>
                <w:b/>
              </w:rPr>
              <w:t>User Action</w:t>
            </w:r>
          </w:p>
        </w:tc>
        <w:tc>
          <w:tcPr>
            <w:tcW w:w="6120" w:type="dxa"/>
            <w:shd w:val="pct30" w:color="auto" w:fill="FFFFFF"/>
            <w:vAlign w:val="bottom"/>
          </w:tcPr>
          <w:p w14:paraId="047510F9" w14:textId="77777777" w:rsidR="002A21AE" w:rsidRDefault="002A21AE">
            <w:pPr>
              <w:pStyle w:val="TableText"/>
              <w:rPr>
                <w:b/>
              </w:rPr>
            </w:pPr>
            <w:r>
              <w:rPr>
                <w:b/>
              </w:rPr>
              <w:t>VBECS</w:t>
            </w:r>
          </w:p>
        </w:tc>
      </w:tr>
      <w:tr w:rsidR="002A21AE" w14:paraId="42DA7C32" w14:textId="77777777">
        <w:trPr>
          <w:cantSplit/>
        </w:trPr>
        <w:tc>
          <w:tcPr>
            <w:tcW w:w="3240" w:type="dxa"/>
          </w:tcPr>
          <w:p w14:paraId="46CEFAC1" w14:textId="77777777" w:rsidR="002A21AE" w:rsidRDefault="002A21AE">
            <w:pPr>
              <w:pStyle w:val="TableTextNumbers"/>
            </w:pPr>
            <w:r>
              <w:t xml:space="preserve">Select </w:t>
            </w:r>
            <w:r>
              <w:rPr>
                <w:b/>
              </w:rPr>
              <w:t>Shipments</w:t>
            </w:r>
            <w:r>
              <w:t xml:space="preserve"> from the main menu. </w:t>
            </w:r>
          </w:p>
          <w:p w14:paraId="0D768E11" w14:textId="77777777" w:rsidR="002A21AE" w:rsidRDefault="002A21AE">
            <w:pPr>
              <w:pStyle w:val="TableTextNumbersContinued"/>
            </w:pPr>
          </w:p>
          <w:p w14:paraId="1834CE63" w14:textId="77777777" w:rsidR="002A21AE" w:rsidRDefault="002A21AE">
            <w:pPr>
              <w:pStyle w:val="TableTextNumbersContinued"/>
            </w:pPr>
            <w:r>
              <w:t xml:space="preserve">Select </w:t>
            </w:r>
            <w:r>
              <w:rPr>
                <w:b/>
              </w:rPr>
              <w:t>Edit Invoice Text.</w:t>
            </w:r>
          </w:p>
        </w:tc>
        <w:tc>
          <w:tcPr>
            <w:tcW w:w="6120" w:type="dxa"/>
          </w:tcPr>
          <w:p w14:paraId="3CDE65E3" w14:textId="77777777" w:rsidR="002A21AE" w:rsidRDefault="002A21AE">
            <w:pPr>
              <w:pStyle w:val="TableTextBullet"/>
            </w:pPr>
            <w:r>
              <w:t xml:space="preserve">Displays options for processing blood product shipments. </w:t>
            </w:r>
          </w:p>
          <w:p w14:paraId="3AF7789A" w14:textId="77777777" w:rsidR="002A21AE" w:rsidRDefault="002A21AE">
            <w:pPr>
              <w:pStyle w:val="TableTextBullet"/>
            </w:pPr>
            <w:r>
              <w:t>Displays the current text for outgoing shipment invoice.</w:t>
            </w:r>
          </w:p>
        </w:tc>
      </w:tr>
      <w:tr w:rsidR="002A21AE" w14:paraId="45C3B790" w14:textId="77777777">
        <w:trPr>
          <w:cantSplit/>
        </w:trPr>
        <w:tc>
          <w:tcPr>
            <w:tcW w:w="3240" w:type="dxa"/>
          </w:tcPr>
          <w:p w14:paraId="52DB523F" w14:textId="77777777" w:rsidR="002A21AE" w:rsidRDefault="002A21AE">
            <w:pPr>
              <w:pStyle w:val="TableTextNumbers"/>
            </w:pPr>
            <w:r>
              <w:t>Edit the text.</w:t>
            </w:r>
          </w:p>
        </w:tc>
        <w:tc>
          <w:tcPr>
            <w:tcW w:w="6120" w:type="dxa"/>
          </w:tcPr>
          <w:p w14:paraId="42EF0AAF" w14:textId="77777777" w:rsidR="002A21AE" w:rsidRDefault="002A21AE">
            <w:pPr>
              <w:pStyle w:val="TableTextBullet"/>
            </w:pPr>
            <w:r>
              <w:t xml:space="preserve">Displays entered data and changes for review. </w:t>
            </w:r>
          </w:p>
          <w:p w14:paraId="6779C692" w14:textId="77777777" w:rsidR="002A21AE" w:rsidRDefault="002A21AE">
            <w:pPr>
              <w:pStyle w:val="TableTextBullet"/>
            </w:pPr>
            <w:r>
              <w:t>Prompts the user to save or reject the changes.</w:t>
            </w:r>
          </w:p>
        </w:tc>
      </w:tr>
      <w:tr w:rsidR="002A21AE" w14:paraId="5ED702CC" w14:textId="77777777">
        <w:trPr>
          <w:cantSplit/>
        </w:trPr>
        <w:tc>
          <w:tcPr>
            <w:tcW w:w="3240" w:type="dxa"/>
          </w:tcPr>
          <w:p w14:paraId="0065F811" w14:textId="77777777" w:rsidR="002A21AE" w:rsidRDefault="002A21AE">
            <w:pPr>
              <w:pStyle w:val="TableTextNumbers"/>
            </w:pPr>
            <w:r>
              <w:t>Review the changes.</w:t>
            </w:r>
          </w:p>
          <w:p w14:paraId="62EA551A" w14:textId="77777777" w:rsidR="002A21AE" w:rsidRDefault="002A21AE">
            <w:pPr>
              <w:pStyle w:val="TableTextNumbersContinued"/>
            </w:pPr>
          </w:p>
          <w:p w14:paraId="52CFB7BD" w14:textId="77777777" w:rsidR="002A21AE" w:rsidRDefault="002A21AE">
            <w:pPr>
              <w:pStyle w:val="TableTextNumbersContinued"/>
            </w:pPr>
            <w:r>
              <w:t xml:space="preserve">Click </w:t>
            </w:r>
            <w:r>
              <w:rPr>
                <w:b/>
              </w:rPr>
              <w:t>OK</w:t>
            </w:r>
            <w:r>
              <w:t xml:space="preserve"> to save the text.</w:t>
            </w:r>
          </w:p>
          <w:p w14:paraId="05C8A81A" w14:textId="77777777" w:rsidR="002A21AE" w:rsidRDefault="002A21AE">
            <w:pPr>
              <w:pStyle w:val="TableTextNumbersContinued"/>
            </w:pPr>
          </w:p>
          <w:p w14:paraId="7DE5AA22" w14:textId="77777777" w:rsidR="002A21AE" w:rsidRDefault="002A21AE">
            <w:pPr>
              <w:pStyle w:val="TableTextNumbersContinued"/>
            </w:pPr>
            <w:r>
              <w:t xml:space="preserve">Click </w:t>
            </w:r>
            <w:r>
              <w:rPr>
                <w:b/>
              </w:rPr>
              <w:t>Yes</w:t>
            </w:r>
            <w:r>
              <w:t xml:space="preserve"> to confirm the save and exit. </w:t>
            </w:r>
            <w:r>
              <w:rPr>
                <w:vanish/>
                <w:color w:val="FFFFFF"/>
                <w:szCs w:val="18"/>
              </w:rPr>
              <w:fldChar w:fldCharType="begin"/>
            </w:r>
            <w:r>
              <w:rPr>
                <w:vanish/>
                <w:color w:val="FFFFFF"/>
                <w:szCs w:val="18"/>
              </w:rPr>
              <w:instrText xml:space="preserve"> LISTNUM \l 1 \s 0 </w:instrText>
            </w:r>
            <w:r>
              <w:rPr>
                <w:vanish/>
                <w:color w:val="FFFFFF"/>
                <w:szCs w:val="18"/>
              </w:rPr>
              <w:fldChar w:fldCharType="end">
                <w:numberingChange w:id="301" w:author="MUSZYNSKI, THOMAS D. (SIERRA 7 INC)" w:date="2024-11-26T07:15:00Z" w:original="0."/>
              </w:fldChar>
            </w:r>
          </w:p>
        </w:tc>
        <w:tc>
          <w:tcPr>
            <w:tcW w:w="6120" w:type="dxa"/>
          </w:tcPr>
          <w:p w14:paraId="6EBCDF7F" w14:textId="77777777" w:rsidR="002A21AE" w:rsidRDefault="002A21AE">
            <w:pPr>
              <w:pStyle w:val="TableTextBullet"/>
            </w:pPr>
            <w:r>
              <w:t>Saves the new text and makes it available for outgoing shipment invoices.</w:t>
            </w:r>
          </w:p>
        </w:tc>
      </w:tr>
    </w:tbl>
    <w:p w14:paraId="79932918" w14:textId="77777777" w:rsidR="00696609" w:rsidRDefault="00D53FD3" w:rsidP="00696609">
      <w:pPr>
        <w:pStyle w:val="Heading2"/>
      </w:pPr>
      <w:bookmarkStart w:id="302" w:name="_Toc203765884"/>
      <w:r>
        <w:t>Unit Search</w:t>
      </w:r>
      <w:r w:rsidR="005259AC">
        <w:t xml:space="preserve"> </w:t>
      </w:r>
      <w:r w:rsidR="00696609">
        <w:t>Screen</w:t>
      </w:r>
      <w:bookmarkEnd w:id="302"/>
      <w:r w:rsidR="00696609">
        <w:fldChar w:fldCharType="begin"/>
      </w:r>
      <w:r w:rsidR="00696609">
        <w:instrText xml:space="preserve"> XE “</w:instrText>
      </w:r>
      <w:r>
        <w:instrText>Unit Search</w:instrText>
      </w:r>
      <w:r w:rsidR="00696609">
        <w:instrText xml:space="preserve"> Screen” </w:instrText>
      </w:r>
      <w:r w:rsidR="00696609">
        <w:fldChar w:fldCharType="end"/>
      </w:r>
    </w:p>
    <w:p w14:paraId="1D9C6785" w14:textId="1955A10F" w:rsidR="00696609" w:rsidRDefault="00696609" w:rsidP="00696609">
      <w:pPr>
        <w:pStyle w:val="BodyText"/>
      </w:pPr>
      <w:r>
        <w:t xml:space="preserve">VBECS displays the </w:t>
      </w:r>
      <w:r w:rsidR="000E2F87">
        <w:t>Unit Search</w:t>
      </w:r>
      <w:r>
        <w:t xml:space="preserve"> screen </w:t>
      </w:r>
      <w:r w:rsidR="00A86D14">
        <w:t>(</w:t>
      </w:r>
      <w:r w:rsidR="00EE455E">
        <w:t xml:space="preserve">Figure </w:t>
      </w:r>
      <w:r w:rsidR="00EE455E">
        <w:rPr>
          <w:noProof/>
        </w:rPr>
        <w:t>53</w:t>
      </w:r>
      <w:r w:rsidR="00A86D14">
        <w:t xml:space="preserve">) </w:t>
      </w:r>
      <w:r>
        <w:t xml:space="preserve">when the user </w:t>
      </w:r>
      <w:r w:rsidR="00C57F9C">
        <w:t xml:space="preserve">clicks the </w:t>
      </w:r>
      <w:r w:rsidR="00A6373D">
        <w:rPr>
          <w:b/>
        </w:rPr>
        <w:t>find</w:t>
      </w:r>
      <w:r w:rsidR="00C57F9C" w:rsidRPr="00C57F9C">
        <w:rPr>
          <w:b/>
        </w:rPr>
        <w:t xml:space="preserve"> </w:t>
      </w:r>
      <w:r w:rsidR="00C57F9C" w:rsidRPr="00BF2E41">
        <w:t>button</w:t>
      </w:r>
      <w:r w:rsidR="002A36EF" w:rsidRPr="002A36EF">
        <w:t xml:space="preserve"> </w:t>
      </w:r>
      <w:r w:rsidR="00CA2640">
        <w:t>to select a unit</w:t>
      </w:r>
      <w:r w:rsidR="00574388">
        <w:t xml:space="preserve"> through some of the Blood Units, Patients, Shipments, and Supervisor main menu items</w:t>
      </w:r>
      <w:r>
        <w:t>.</w:t>
      </w:r>
      <w:r w:rsidR="005259AC">
        <w:t xml:space="preserve"> The title of the screen may vary </w:t>
      </w:r>
      <w:r w:rsidR="00A134BA">
        <w:t xml:space="preserve">(e.g., </w:t>
      </w:r>
      <w:r w:rsidR="003B7116">
        <w:t xml:space="preserve">Select Unit for Printing, Unit ABO/Rh Confirmation, </w:t>
      </w:r>
      <w:r w:rsidR="001A7E50">
        <w:t>Unit Antigen Typing,</w:t>
      </w:r>
      <w:r w:rsidR="005627A6">
        <w:t xml:space="preserve"> </w:t>
      </w:r>
      <w:r w:rsidR="00F47488">
        <w:t>Edit Unit Information</w:t>
      </w:r>
      <w:r w:rsidR="00A86581">
        <w:t>)</w:t>
      </w:r>
      <w:r w:rsidR="009046B4" w:rsidRPr="009046B4">
        <w:t xml:space="preserve"> </w:t>
      </w:r>
      <w:r w:rsidR="009046B4">
        <w:t>depending on the option selected.</w:t>
      </w:r>
      <w:r w:rsidR="003308A2">
        <w:t xml:space="preserve"> (The user then selects criteria to continue the search.)</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696609" w14:paraId="2BFE6495" w14:textId="77777777">
        <w:trPr>
          <w:cantSplit/>
          <w:tblHeader/>
        </w:trPr>
        <w:tc>
          <w:tcPr>
            <w:tcW w:w="3240" w:type="dxa"/>
            <w:shd w:val="pct30" w:color="auto" w:fill="FFFFFF"/>
            <w:vAlign w:val="bottom"/>
          </w:tcPr>
          <w:p w14:paraId="143C1F14" w14:textId="77777777" w:rsidR="00696609" w:rsidRDefault="00696609" w:rsidP="00F52014">
            <w:pPr>
              <w:pStyle w:val="TableText"/>
              <w:rPr>
                <w:b/>
              </w:rPr>
            </w:pPr>
            <w:r>
              <w:rPr>
                <w:b/>
              </w:rPr>
              <w:lastRenderedPageBreak/>
              <w:t>User Action</w:t>
            </w:r>
          </w:p>
        </w:tc>
        <w:tc>
          <w:tcPr>
            <w:tcW w:w="6120" w:type="dxa"/>
            <w:shd w:val="pct30" w:color="auto" w:fill="FFFFFF"/>
            <w:vAlign w:val="bottom"/>
          </w:tcPr>
          <w:p w14:paraId="6180F9DC" w14:textId="77777777" w:rsidR="00696609" w:rsidRDefault="00696609" w:rsidP="00F52014">
            <w:pPr>
              <w:pStyle w:val="TableText"/>
              <w:rPr>
                <w:b/>
              </w:rPr>
            </w:pPr>
            <w:r>
              <w:rPr>
                <w:b/>
              </w:rPr>
              <w:t>VBECS</w:t>
            </w:r>
          </w:p>
        </w:tc>
      </w:tr>
      <w:tr w:rsidR="00696609" w14:paraId="681C0D2A" w14:textId="77777777" w:rsidTr="006C058D">
        <w:trPr>
          <w:cantSplit/>
        </w:trPr>
        <w:tc>
          <w:tcPr>
            <w:tcW w:w="3240" w:type="dxa"/>
            <w:tcBorders>
              <w:top w:val="single" w:sz="4" w:space="0" w:color="auto"/>
              <w:left w:val="single" w:sz="4" w:space="0" w:color="auto"/>
              <w:bottom w:val="single" w:sz="4" w:space="0" w:color="auto"/>
              <w:right w:val="single" w:sz="4" w:space="0" w:color="auto"/>
            </w:tcBorders>
          </w:tcPr>
          <w:p w14:paraId="5965850A" w14:textId="77777777" w:rsidR="00696609" w:rsidRDefault="00574388" w:rsidP="00F52014">
            <w:pPr>
              <w:pStyle w:val="TableTextNumbers"/>
            </w:pPr>
            <w:r>
              <w:t>Select an item from the main menu and the desired option.</w:t>
            </w:r>
          </w:p>
          <w:p w14:paraId="26ADB377" w14:textId="77777777" w:rsidR="00574388" w:rsidRDefault="00574388" w:rsidP="00574388">
            <w:pPr>
              <w:pStyle w:val="TableTextNumbersContinued"/>
            </w:pPr>
          </w:p>
          <w:p w14:paraId="70CAA61B" w14:textId="77777777" w:rsidR="00653EEA" w:rsidRPr="00653EEA" w:rsidRDefault="00574388" w:rsidP="00574388">
            <w:pPr>
              <w:pStyle w:val="TableTextNumbersContinued"/>
            </w:pPr>
            <w:r>
              <w:t>Click additional buttons as needed.</w:t>
            </w:r>
          </w:p>
        </w:tc>
        <w:tc>
          <w:tcPr>
            <w:tcW w:w="6120" w:type="dxa"/>
            <w:tcBorders>
              <w:top w:val="single" w:sz="4" w:space="0" w:color="auto"/>
              <w:left w:val="single" w:sz="4" w:space="0" w:color="auto"/>
              <w:bottom w:val="single" w:sz="4" w:space="0" w:color="auto"/>
              <w:right w:val="single" w:sz="4" w:space="0" w:color="auto"/>
            </w:tcBorders>
          </w:tcPr>
          <w:p w14:paraId="29535DC2" w14:textId="77777777" w:rsidR="00696609" w:rsidRDefault="00696609" w:rsidP="00F52014">
            <w:pPr>
              <w:pStyle w:val="TableTextBullet"/>
            </w:pPr>
            <w:r>
              <w:t xml:space="preserve">Displays the </w:t>
            </w:r>
            <w:r w:rsidR="000E2F87">
              <w:t>Unit</w:t>
            </w:r>
            <w:r>
              <w:t xml:space="preserve"> Search screen.</w:t>
            </w:r>
          </w:p>
          <w:p w14:paraId="7E40B05E" w14:textId="77777777" w:rsidR="00EC1534" w:rsidRDefault="00EC1534" w:rsidP="00EC1534">
            <w:pPr>
              <w:pStyle w:val="TableText"/>
              <w:rPr>
                <w:b/>
                <w:bCs/>
              </w:rPr>
            </w:pPr>
          </w:p>
          <w:p w14:paraId="12BAFEA3" w14:textId="359F0EFC" w:rsidR="00EC1534" w:rsidRDefault="00EC1534" w:rsidP="00EC1534">
            <w:pPr>
              <w:pStyle w:val="TableText"/>
              <w:rPr>
                <w:b/>
                <w:bCs/>
              </w:rPr>
            </w:pPr>
            <w:r>
              <w:rPr>
                <w:b/>
                <w:bCs/>
              </w:rPr>
              <w:t xml:space="preserve">NOTES </w:t>
            </w:r>
          </w:p>
          <w:p w14:paraId="2AC769B0" w14:textId="77777777" w:rsidR="00EC1534" w:rsidRPr="0008348E" w:rsidRDefault="00EC1534" w:rsidP="00EC1534">
            <w:pPr>
              <w:pStyle w:val="NotesText"/>
            </w:pPr>
            <w:r w:rsidRPr="00EC1534">
              <w:t xml:space="preserve">Although multiple </w:t>
            </w:r>
            <w:r>
              <w:t xml:space="preserve">search </w:t>
            </w:r>
            <w:r w:rsidRPr="00EC1534">
              <w:t>criteria can be c</w:t>
            </w:r>
            <w:r>
              <w:t xml:space="preserve">hecked, the Unit Search screen </w:t>
            </w:r>
            <w:r w:rsidRPr="00EC1534">
              <w:t>perform</w:t>
            </w:r>
            <w:r>
              <w:t>s</w:t>
            </w:r>
            <w:r w:rsidRPr="00EC1534">
              <w:t xml:space="preserve"> independent searches not a summary search </w:t>
            </w:r>
            <w:r>
              <w:t>for all the selected variables.</w:t>
            </w:r>
            <w:r w:rsidR="0008348E">
              <w:rPr>
                <w:vanish/>
              </w:rPr>
              <w:t xml:space="preserve"> DR 3597</w:t>
            </w:r>
          </w:p>
          <w:p w14:paraId="3F2E60CD" w14:textId="77777777" w:rsidR="00EC1534" w:rsidRDefault="00EC1534" w:rsidP="00EC1534">
            <w:pPr>
              <w:pStyle w:val="NotesText"/>
            </w:pPr>
          </w:p>
          <w:p w14:paraId="71446678" w14:textId="77777777" w:rsidR="00EC1534" w:rsidRPr="0008348E" w:rsidRDefault="00EC1534" w:rsidP="00EC1534">
            <w:pPr>
              <w:pStyle w:val="NotesText"/>
            </w:pPr>
            <w:r>
              <w:t>Users can obtain a listing of all available unit specifics by creating a custom Blood Availability Report allowing them to make the appropriate selections without looking at each unit’s record.</w:t>
            </w:r>
            <w:r w:rsidR="0008348E">
              <w:rPr>
                <w:vanish/>
              </w:rPr>
              <w:t xml:space="preserve"> DR 3597</w:t>
            </w:r>
          </w:p>
        </w:tc>
      </w:tr>
      <w:tr w:rsidR="00696609" w14:paraId="1E355C9F" w14:textId="77777777">
        <w:tc>
          <w:tcPr>
            <w:tcW w:w="3240" w:type="dxa"/>
            <w:tcBorders>
              <w:top w:val="single" w:sz="4" w:space="0" w:color="auto"/>
              <w:left w:val="single" w:sz="4" w:space="0" w:color="auto"/>
              <w:bottom w:val="single" w:sz="4" w:space="0" w:color="auto"/>
              <w:right w:val="single" w:sz="4" w:space="0" w:color="auto"/>
            </w:tcBorders>
          </w:tcPr>
          <w:p w14:paraId="173202F7" w14:textId="5B730393" w:rsidR="000C426C" w:rsidRDefault="00696609" w:rsidP="008E012C">
            <w:pPr>
              <w:pStyle w:val="TableTextNumbers"/>
            </w:pPr>
            <w:r>
              <w:t xml:space="preserve">To search for a </w:t>
            </w:r>
            <w:r w:rsidR="000C426C">
              <w:t>unit</w:t>
            </w:r>
            <w:r w:rsidR="008E012C">
              <w:t xml:space="preserve">, </w:t>
            </w:r>
            <w:r w:rsidR="00415C5B">
              <w:t>enter the full or partial unit ID</w:t>
            </w:r>
            <w:r w:rsidR="00ED20E2">
              <w:t xml:space="preserve"> and click the </w:t>
            </w:r>
            <w:r w:rsidR="00A6373D" w:rsidRPr="00A6373D">
              <w:rPr>
                <w:b/>
              </w:rPr>
              <w:t>find</w:t>
            </w:r>
            <w:r w:rsidR="00ED20E2" w:rsidRPr="00ED20E2">
              <w:rPr>
                <w:b/>
              </w:rPr>
              <w:t xml:space="preserve"> </w:t>
            </w:r>
            <w:r w:rsidR="00ED20E2" w:rsidRPr="00D1100E">
              <w:t>button</w:t>
            </w:r>
            <w:r w:rsidR="00415C5B">
              <w:t xml:space="preserve">, or </w:t>
            </w:r>
            <w:r w:rsidR="00ED20E2">
              <w:t xml:space="preserve">just </w:t>
            </w:r>
            <w:r w:rsidR="008E012C">
              <w:t>c</w:t>
            </w:r>
            <w:r w:rsidR="000C426C">
              <w:t xml:space="preserve">lick the </w:t>
            </w:r>
            <w:r w:rsidR="00A6373D" w:rsidRPr="00A6373D">
              <w:rPr>
                <w:b/>
              </w:rPr>
              <w:t>find</w:t>
            </w:r>
            <w:r w:rsidR="000C426C" w:rsidRPr="008E012C">
              <w:rPr>
                <w:b/>
              </w:rPr>
              <w:t xml:space="preserve"> </w:t>
            </w:r>
            <w:r w:rsidR="000C426C" w:rsidRPr="00D1100E">
              <w:t>button</w:t>
            </w:r>
            <w:r w:rsidR="00A86D14">
              <w:rPr>
                <w:b/>
              </w:rPr>
              <w:t xml:space="preserve"> </w:t>
            </w:r>
            <w:r w:rsidR="00A86D14" w:rsidRPr="00A86D14">
              <w:t>(</w:t>
            </w:r>
            <w:r w:rsidR="00EE455E">
              <w:t xml:space="preserve">Figure </w:t>
            </w:r>
            <w:r w:rsidR="00EE455E">
              <w:rPr>
                <w:noProof/>
              </w:rPr>
              <w:t>53</w:t>
            </w:r>
            <w:r w:rsidR="000275FF">
              <w:t>)</w:t>
            </w:r>
            <w:r w:rsidR="000C426C">
              <w:t>.</w:t>
            </w:r>
          </w:p>
          <w:p w14:paraId="74A8771F" w14:textId="77777777" w:rsidR="008E012C" w:rsidRDefault="008E012C" w:rsidP="008E012C">
            <w:pPr>
              <w:pStyle w:val="TableTextNumbersContinued"/>
            </w:pPr>
          </w:p>
          <w:p w14:paraId="7DEEE5B5" w14:textId="77777777" w:rsidR="00696609" w:rsidRDefault="008E012C" w:rsidP="008E012C">
            <w:pPr>
              <w:pStyle w:val="TableTextNumbersContinued"/>
            </w:pPr>
            <w:r>
              <w:t>Click a check box to select a unit.</w:t>
            </w:r>
          </w:p>
          <w:p w14:paraId="50EF3DEC" w14:textId="77777777" w:rsidR="008E012C" w:rsidRDefault="008E012C" w:rsidP="008E012C">
            <w:pPr>
              <w:pStyle w:val="TableTextNumbersContinued"/>
            </w:pPr>
          </w:p>
          <w:p w14:paraId="0527799A" w14:textId="77777777" w:rsidR="00696609" w:rsidRDefault="008E012C" w:rsidP="008E012C">
            <w:pPr>
              <w:pStyle w:val="TableTextNumbersContinued"/>
            </w:pPr>
            <w:r>
              <w:t xml:space="preserve">Click </w:t>
            </w:r>
            <w:r w:rsidRPr="008E012C">
              <w:rPr>
                <w:b/>
              </w:rPr>
              <w:t>OK</w:t>
            </w:r>
            <w:r w:rsidR="00696609">
              <w:t>.</w:t>
            </w:r>
            <w:r w:rsidR="003F7207">
              <w:t xml:space="preserve"> </w:t>
            </w:r>
            <w:r w:rsidR="003F7207">
              <w:rPr>
                <w:vanish/>
                <w:color w:val="FFFFFF"/>
                <w:szCs w:val="18"/>
              </w:rPr>
              <w:fldChar w:fldCharType="begin"/>
            </w:r>
            <w:r w:rsidR="003F7207">
              <w:rPr>
                <w:vanish/>
                <w:color w:val="FFFFFF"/>
                <w:szCs w:val="18"/>
              </w:rPr>
              <w:instrText xml:space="preserve"> LISTNUM \l 1 \s 0 </w:instrText>
            </w:r>
            <w:r w:rsidR="003F7207">
              <w:rPr>
                <w:vanish/>
                <w:color w:val="FFFFFF"/>
                <w:szCs w:val="18"/>
              </w:rPr>
              <w:fldChar w:fldCharType="end">
                <w:numberingChange w:id="303" w:author="MUSZYNSKI, THOMAS D. (SIERRA 7 INC)" w:date="2024-11-26T07:15:00Z" w:original="0."/>
              </w:fldChar>
            </w:r>
          </w:p>
        </w:tc>
        <w:tc>
          <w:tcPr>
            <w:tcW w:w="6120" w:type="dxa"/>
            <w:tcBorders>
              <w:top w:val="single" w:sz="4" w:space="0" w:color="auto"/>
              <w:left w:val="single" w:sz="4" w:space="0" w:color="auto"/>
              <w:bottom w:val="single" w:sz="4" w:space="0" w:color="auto"/>
              <w:right w:val="single" w:sz="4" w:space="0" w:color="auto"/>
            </w:tcBorders>
          </w:tcPr>
          <w:p w14:paraId="5670CDE1" w14:textId="77777777" w:rsidR="00050576" w:rsidRDefault="00696609" w:rsidP="00050576">
            <w:pPr>
              <w:pStyle w:val="TableTextBullet"/>
            </w:pPr>
            <w:r>
              <w:t xml:space="preserve">Lists </w:t>
            </w:r>
            <w:r w:rsidR="000C426C">
              <w:t>units</w:t>
            </w:r>
            <w:r>
              <w:t xml:space="preserve"> that meet the search criteria.</w:t>
            </w:r>
            <w:r w:rsidR="00050576">
              <w:t xml:space="preserve"> </w:t>
            </w:r>
          </w:p>
          <w:p w14:paraId="40970EC6" w14:textId="77777777" w:rsidR="00696609" w:rsidRDefault="00050576" w:rsidP="00574388">
            <w:pPr>
              <w:pStyle w:val="TableTextBullet"/>
            </w:pPr>
            <w:r>
              <w:t>Displays unit-associated data.</w:t>
            </w:r>
          </w:p>
          <w:p w14:paraId="7E1E9A31" w14:textId="77777777" w:rsidR="00415C5B" w:rsidRDefault="00415C5B" w:rsidP="00415C5B">
            <w:pPr>
              <w:pStyle w:val="TableText"/>
            </w:pPr>
          </w:p>
          <w:p w14:paraId="770E48F3" w14:textId="320EA8E6" w:rsidR="00415C5B" w:rsidRDefault="00415C5B" w:rsidP="00415C5B">
            <w:pPr>
              <w:pStyle w:val="TableText"/>
              <w:rPr>
                <w:b/>
                <w:bCs/>
              </w:rPr>
            </w:pPr>
            <w:r>
              <w:rPr>
                <w:b/>
                <w:bCs/>
              </w:rPr>
              <w:t xml:space="preserve">NOTES </w:t>
            </w:r>
          </w:p>
          <w:p w14:paraId="7A119BEB" w14:textId="77777777" w:rsidR="00415C5B" w:rsidRDefault="00415C5B" w:rsidP="00415C5B">
            <w:pPr>
              <w:pStyle w:val="NotesText"/>
            </w:pPr>
          </w:p>
          <w:p w14:paraId="10977A23" w14:textId="77777777" w:rsidR="00415C5B" w:rsidRDefault="00ED20E2" w:rsidP="00A6373D">
            <w:pPr>
              <w:pStyle w:val="NotesText"/>
            </w:pPr>
            <w:r>
              <w:t>To speed the search, e</w:t>
            </w:r>
            <w:r w:rsidR="00415C5B">
              <w:t xml:space="preserve">nter a </w:t>
            </w:r>
            <w:r>
              <w:t xml:space="preserve">full or partial </w:t>
            </w:r>
            <w:r w:rsidR="00415C5B">
              <w:t xml:space="preserve">unit ID instead </w:t>
            </w:r>
            <w:r>
              <w:t xml:space="preserve">of just clicking the </w:t>
            </w:r>
            <w:r w:rsidR="00A6373D">
              <w:rPr>
                <w:b/>
              </w:rPr>
              <w:t>find</w:t>
            </w:r>
            <w:r>
              <w:t xml:space="preserve"> button</w:t>
            </w:r>
            <w:r w:rsidR="00C54571">
              <w:t xml:space="preserve"> (which causes VBECS to search the entire database and takes longer)</w:t>
            </w:r>
            <w:r>
              <w:t>.</w:t>
            </w:r>
          </w:p>
        </w:tc>
      </w:tr>
    </w:tbl>
    <w:p w14:paraId="002EF351" w14:textId="77777777" w:rsidR="00DB3F75" w:rsidRDefault="0002560C" w:rsidP="0002560C">
      <w:pPr>
        <w:pStyle w:val="Caution"/>
      </w:pPr>
      <w:r>
        <w:t>VBECS checks unit IDs and product codes after the user enters the product code. When there is a discrepancy, VBECS displays the Input Error icon and allows the user to edit the data.</w:t>
      </w:r>
    </w:p>
    <w:p w14:paraId="24391CB4" w14:textId="7C1F01F1" w:rsidR="00156636" w:rsidRPr="00A6373D" w:rsidRDefault="00A6373D" w:rsidP="00A6373D">
      <w:pPr>
        <w:pStyle w:val="Caption"/>
      </w:pPr>
      <w:bookmarkStart w:id="304" w:name="_Ref300839358"/>
      <w:bookmarkStart w:id="305" w:name="_Ref300839353"/>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7D1829">
        <w:rPr>
          <w:noProof/>
        </w:rPr>
        <w:t>54</w:t>
      </w:r>
      <w:r w:rsidR="004E20BD">
        <w:rPr>
          <w:noProof/>
        </w:rPr>
        <w:fldChar w:fldCharType="end"/>
      </w:r>
      <w:bookmarkEnd w:id="304"/>
      <w:r>
        <w:t xml:space="preserve">: </w:t>
      </w:r>
      <w:r w:rsidR="00156636" w:rsidRPr="00A6373D">
        <w:t>Click the Find Button</w:t>
      </w:r>
      <w:bookmarkEnd w:id="305"/>
    </w:p>
    <w:p w14:paraId="3E0EFAA9" w14:textId="77777777" w:rsidR="00A6373D" w:rsidRDefault="00057948" w:rsidP="00A6373D">
      <w:pPr>
        <w:pStyle w:val="BodyText"/>
      </w:pPr>
      <w:r>
        <w:rPr>
          <w:noProof/>
        </w:rPr>
        <w:drawing>
          <wp:inline distT="0" distB="0" distL="0" distR="0" wp14:anchorId="7E5255E7" wp14:editId="43C2F4F5">
            <wp:extent cx="4627245" cy="2733675"/>
            <wp:effectExtent l="0" t="0" r="1905" b="9525"/>
            <wp:docPr id="166" name="Picture 166" descr="Example of Click the Find Button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Picture 166" descr="Example of Click the Find Button screen capture"/>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4627245" cy="2733675"/>
                    </a:xfrm>
                    <a:prstGeom prst="rect">
                      <a:avLst/>
                    </a:prstGeom>
                    <a:noFill/>
                    <a:ln>
                      <a:noFill/>
                    </a:ln>
                  </pic:spPr>
                </pic:pic>
              </a:graphicData>
            </a:graphic>
          </wp:inline>
        </w:drawing>
      </w:r>
    </w:p>
    <w:p w14:paraId="5FB30261" w14:textId="3EFFAF62" w:rsidR="00A6373D" w:rsidRPr="00A6373D" w:rsidRDefault="00A6373D" w:rsidP="00A6373D">
      <w:pPr>
        <w:pStyle w:val="Caption"/>
      </w:pPr>
      <w:bookmarkStart w:id="306" w:name="_Ref300839381"/>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7D1829">
        <w:rPr>
          <w:noProof/>
        </w:rPr>
        <w:t>55</w:t>
      </w:r>
      <w:r w:rsidR="004E20BD">
        <w:rPr>
          <w:noProof/>
        </w:rPr>
        <w:fldChar w:fldCharType="end"/>
      </w:r>
      <w:bookmarkEnd w:id="306"/>
      <w:r>
        <w:t xml:space="preserve">: </w:t>
      </w:r>
      <w:r w:rsidRPr="00A6373D">
        <w:t>Display Unit Search Screen</w:t>
      </w:r>
    </w:p>
    <w:p w14:paraId="716F2D09" w14:textId="77777777" w:rsidR="00156636" w:rsidRDefault="00057948" w:rsidP="00156636">
      <w:pPr>
        <w:pStyle w:val="BodyText"/>
      </w:pPr>
      <w:r>
        <w:rPr>
          <w:noProof/>
        </w:rPr>
        <w:drawing>
          <wp:inline distT="0" distB="0" distL="0" distR="0" wp14:anchorId="6C68FA56" wp14:editId="5DF70F67">
            <wp:extent cx="5939155" cy="3352800"/>
            <wp:effectExtent l="0" t="0" r="4445" b="0"/>
            <wp:docPr id="167" name="Picture 167" descr="Example of Display Unit Search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Picture 167" descr="Example of Display Unit Search screen capture"/>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5939155" cy="3352800"/>
                    </a:xfrm>
                    <a:prstGeom prst="rect">
                      <a:avLst/>
                    </a:prstGeom>
                    <a:noFill/>
                    <a:ln>
                      <a:noFill/>
                    </a:ln>
                  </pic:spPr>
                </pic:pic>
              </a:graphicData>
            </a:graphic>
          </wp:inline>
        </w:drawing>
      </w:r>
    </w:p>
    <w:p w14:paraId="511F9E64" w14:textId="77777777" w:rsidR="00156636" w:rsidRDefault="00156636" w:rsidP="00156636">
      <w:pPr>
        <w:pStyle w:val="BodyText"/>
      </w:pPr>
    </w:p>
    <w:p w14:paraId="450C405D" w14:textId="77777777" w:rsidR="00156636" w:rsidRPr="00156636" w:rsidRDefault="00156636" w:rsidP="00156636">
      <w:pPr>
        <w:pStyle w:val="BodyText"/>
        <w:sectPr w:rsidR="00156636" w:rsidRPr="00156636" w:rsidSect="00EE771C">
          <w:headerReference w:type="default" r:id="rId143"/>
          <w:pgSz w:w="12240" w:h="15840" w:code="1"/>
          <w:pgMar w:top="1440" w:right="1440" w:bottom="1440" w:left="1440" w:header="720" w:footer="720" w:gutter="0"/>
          <w:cols w:space="720"/>
          <w:docGrid w:linePitch="360"/>
        </w:sectPr>
      </w:pPr>
    </w:p>
    <w:p w14:paraId="020E080E" w14:textId="77777777" w:rsidR="002A21AE" w:rsidRDefault="002A21AE" w:rsidP="00CE6B6A">
      <w:pPr>
        <w:pStyle w:val="Heading2"/>
      </w:pPr>
      <w:bookmarkStart w:id="307" w:name="_Toc203765885"/>
      <w:r>
        <w:lastRenderedPageBreak/>
        <w:t>Test Units</w:t>
      </w:r>
      <w:bookmarkEnd w:id="269"/>
      <w:bookmarkEnd w:id="307"/>
      <w:r>
        <w:fldChar w:fldCharType="begin"/>
      </w:r>
      <w:r>
        <w:instrText xml:space="preserve"> XE </w:instrText>
      </w:r>
      <w:r w:rsidR="00FA7E65">
        <w:instrText>“</w:instrText>
      </w:r>
      <w:r>
        <w:instrText>Test Units</w:instrText>
      </w:r>
      <w:r w:rsidR="00FA7E65">
        <w:instrText>”</w:instrText>
      </w:r>
      <w:r>
        <w:instrText xml:space="preserve"> </w:instrText>
      </w:r>
      <w:r>
        <w:fldChar w:fldCharType="end"/>
      </w:r>
    </w:p>
    <w:p w14:paraId="6F57B383" w14:textId="77777777" w:rsidR="002A21AE" w:rsidRDefault="002A21AE">
      <w:pPr>
        <w:pStyle w:val="Heading3"/>
      </w:pPr>
      <w:bookmarkStart w:id="308" w:name="_ABO/Rh_Confirmation"/>
      <w:bookmarkStart w:id="309" w:name="_Toc203765886"/>
      <w:bookmarkEnd w:id="308"/>
      <w:r>
        <w:t>ABO/Rh Confirmation</w:t>
      </w:r>
      <w:bookmarkEnd w:id="309"/>
      <w:r w:rsidRPr="007716F7">
        <w:rPr>
          <w:vanish/>
        </w:rPr>
        <w:fldChar w:fldCharType="begin"/>
      </w:r>
      <w:r w:rsidRPr="007716F7">
        <w:rPr>
          <w:vanish/>
        </w:rPr>
        <w:instrText xml:space="preserve"> XE </w:instrText>
      </w:r>
      <w:r w:rsidR="00FA7E65" w:rsidRPr="007716F7">
        <w:rPr>
          <w:vanish/>
        </w:rPr>
        <w:instrText>“</w:instrText>
      </w:r>
      <w:r w:rsidRPr="007716F7">
        <w:rPr>
          <w:vanish/>
        </w:rPr>
        <w:instrText>ABO/Rh Confirmation</w:instrText>
      </w:r>
      <w:r w:rsidR="00FA7E65" w:rsidRPr="007716F7">
        <w:rPr>
          <w:vanish/>
        </w:rPr>
        <w:instrText>”</w:instrText>
      </w:r>
      <w:r w:rsidRPr="007716F7">
        <w:rPr>
          <w:vanish/>
        </w:rPr>
        <w:instrText xml:space="preserve"> </w:instrText>
      </w:r>
      <w:r w:rsidRPr="007716F7">
        <w:rPr>
          <w:vanish/>
        </w:rPr>
        <w:fldChar w:fldCharType="end"/>
      </w:r>
      <w:r w:rsidRPr="007716F7">
        <w:rPr>
          <w:vanish/>
        </w:rPr>
        <w:t xml:space="preserve"> UC_02</w:t>
      </w:r>
    </w:p>
    <w:p w14:paraId="128E8BCD" w14:textId="77777777" w:rsidR="002A21AE" w:rsidRDefault="002A21AE" w:rsidP="00FA7E65">
      <w:pPr>
        <w:pStyle w:val="BodyText"/>
      </w:pPr>
      <w:r>
        <w:t>Blood produc</w:t>
      </w:r>
      <w:r w:rsidR="006C5ACC">
        <w:t xml:space="preserve">ts </w:t>
      </w:r>
      <w:r w:rsidR="00C55227">
        <w:t xml:space="preserve">that contain </w:t>
      </w:r>
      <w:r w:rsidR="00C0155E">
        <w:t xml:space="preserve">equal to or greater than (= &gt;) of </w:t>
      </w:r>
      <w:r w:rsidR="00C55227">
        <w:t xml:space="preserve">red blood cells (Red Blood Cells, Whole Blood, Granulocytes and Leukocytes) </w:t>
      </w:r>
      <w:r>
        <w:t>require ABO/Rh confirmation</w:t>
      </w:r>
      <w:r w:rsidR="00D2652F" w:rsidRPr="00D2652F">
        <w:rPr>
          <w:vanish/>
        </w:rPr>
        <w:t>(PT_1.06 Product Types)</w:t>
      </w:r>
      <w:r>
        <w:t>. The user may process ABO/Rh confirmation results by selecting an invoice or individual units of blood received in a shipment. VBECS records the ABO/Rh test results for the list of blood units tested.</w:t>
      </w:r>
    </w:p>
    <w:p w14:paraId="0195EE8D" w14:textId="77777777" w:rsidR="002A21AE" w:rsidRDefault="002A21AE">
      <w:pPr>
        <w:pStyle w:val="Heading4"/>
      </w:pPr>
      <w:r>
        <w:t>Assumptions</w:t>
      </w:r>
    </w:p>
    <w:p w14:paraId="6FED37BD" w14:textId="77777777" w:rsidR="00852AC1" w:rsidRDefault="00852AC1" w:rsidP="00852AC1">
      <w:pPr>
        <w:pStyle w:val="ListBullet"/>
      </w:pPr>
      <w:r>
        <w:t>The division is “full service.”</w:t>
      </w:r>
    </w:p>
    <w:p w14:paraId="7A80476B" w14:textId="77777777" w:rsidR="002A21AE" w:rsidRDefault="002A21AE">
      <w:pPr>
        <w:pStyle w:val="ListBullet"/>
      </w:pPr>
      <w:r>
        <w:t xml:space="preserve">A unit’s labeled ABO/Rh was entered in the same division as the user during login of an incoming shipment. </w:t>
      </w:r>
    </w:p>
    <w:p w14:paraId="2640BFB2" w14:textId="77777777" w:rsidR="002A21AE" w:rsidRDefault="002A21AE">
      <w:pPr>
        <w:pStyle w:val="ListBullet"/>
      </w:pPr>
      <w:r>
        <w:rPr>
          <w:rFonts w:ascii="Arial" w:hAnsi="Arial" w:cs="Arial"/>
          <w:vanish/>
          <w:spacing w:val="0"/>
          <w:sz w:val="18"/>
        </w:rPr>
        <w:t xml:space="preserve">BR_2.02 </w:t>
      </w:r>
      <w:r>
        <w:t>Only invoices processed within a user’s division may be accessed to create an ABO/Rh confirmation worklist.</w:t>
      </w:r>
    </w:p>
    <w:p w14:paraId="1D06D1D4" w14:textId="77777777" w:rsidR="002A21AE" w:rsidRDefault="002A21AE">
      <w:pPr>
        <w:pStyle w:val="Heading4"/>
      </w:pPr>
      <w:r>
        <w:t>Outcome</w:t>
      </w:r>
    </w:p>
    <w:p w14:paraId="29AC7467" w14:textId="77777777" w:rsidR="002A21AE" w:rsidRDefault="002A21AE">
      <w:pPr>
        <w:pStyle w:val="ListBullet"/>
      </w:pPr>
      <w:r>
        <w:t>Unit ABO/Rh observed test results and interpretations are available for selection for patient use.</w:t>
      </w:r>
    </w:p>
    <w:p w14:paraId="57FA6AB5" w14:textId="77777777" w:rsidR="002A21AE" w:rsidRDefault="002A21AE">
      <w:pPr>
        <w:pStyle w:val="Heading4"/>
      </w:pPr>
      <w:r>
        <w:t>Limitations and Restrictions</w:t>
      </w:r>
    </w:p>
    <w:p w14:paraId="3CDC930C" w14:textId="24A2AFCC" w:rsidR="00164B44" w:rsidRPr="00164B44" w:rsidRDefault="00164B44">
      <w:pPr>
        <w:pStyle w:val="ListBullet"/>
      </w:pPr>
      <w:r w:rsidRPr="00164B44">
        <w:rPr>
          <w:vanish/>
        </w:rPr>
        <w:t>BR_</w:t>
      </w:r>
      <w:r w:rsidR="00F63A03">
        <w:rPr>
          <w:vanish/>
        </w:rPr>
        <w:t>2.43</w:t>
      </w:r>
      <w:r w:rsidRPr="00164B44">
        <w:rPr>
          <w:vanish/>
        </w:rPr>
        <w:t xml:space="preserve"> </w:t>
      </w:r>
      <w:r>
        <w:t>This option is disabled for transfusion-only facilities.</w:t>
      </w:r>
    </w:p>
    <w:p w14:paraId="7501FF69" w14:textId="77777777" w:rsidR="002A21AE" w:rsidRDefault="002A21AE">
      <w:pPr>
        <w:pStyle w:val="ListBullet"/>
      </w:pPr>
      <w:r>
        <w:rPr>
          <w:rFonts w:ascii="Arial" w:hAnsi="Arial" w:cs="Arial"/>
          <w:vanish/>
          <w:spacing w:val="0"/>
          <w:sz w:val="18"/>
        </w:rPr>
        <w:t xml:space="preserve">BR_2.04 </w:t>
      </w:r>
      <w:r w:rsidR="007D535F">
        <w:t>When building a worklist by invoice number, only invoiced units not previously tested and confirmed appear on the worklist. The user may deselect or add additional units.</w:t>
      </w:r>
    </w:p>
    <w:p w14:paraId="68B046FE" w14:textId="77777777" w:rsidR="00513A28" w:rsidRPr="008631E9" w:rsidRDefault="002A21AE" w:rsidP="008631E9">
      <w:pPr>
        <w:pStyle w:val="ListBullet"/>
      </w:pPr>
      <w:r>
        <w:rPr>
          <w:rFonts w:ascii="Arial" w:hAnsi="Arial" w:cs="Arial"/>
          <w:vanish/>
          <w:spacing w:val="0"/>
          <w:sz w:val="18"/>
        </w:rPr>
        <w:t xml:space="preserve">BR_27.09 </w:t>
      </w:r>
      <w:r w:rsidR="001E3F16">
        <w:t>For batch processing, the user can select incoming shipment invoices from his division, processed within the previous five days</w:t>
      </w:r>
      <w:r w:rsidR="001E3F16" w:rsidRPr="008631E9">
        <w:t>.</w:t>
      </w:r>
    </w:p>
    <w:p w14:paraId="4DA0752F" w14:textId="77777777" w:rsidR="00E44A83" w:rsidRDefault="008631E9" w:rsidP="008631E9">
      <w:pPr>
        <w:pStyle w:val="ListBullet"/>
      </w:pPr>
      <w:r>
        <w:t xml:space="preserve">VBECS does not display product </w:t>
      </w:r>
      <w:r w:rsidRPr="008631E9">
        <w:t>code</w:t>
      </w:r>
      <w:r>
        <w:t xml:space="preserve">s associated with unit IDs in ABO/Rh Confirmation. </w:t>
      </w:r>
      <w:r w:rsidR="0011459B">
        <w:t>Therefore, d</w:t>
      </w:r>
      <w:r>
        <w:t>o not create ABO/Rh confirmation worklists containing units with the same unit ID.</w:t>
      </w:r>
    </w:p>
    <w:p w14:paraId="1FBC7008" w14:textId="5C03DDCB" w:rsidR="00E44A83" w:rsidRPr="00D12C95" w:rsidRDefault="00E44A83" w:rsidP="00E44A83">
      <w:pPr>
        <w:pStyle w:val="ListBullet"/>
      </w:pPr>
      <w:r>
        <w:t xml:space="preserve">POOLED </w:t>
      </w:r>
      <w:r w:rsidRPr="00D12C95">
        <w:t xml:space="preserve">GRANULOCYTES </w:t>
      </w:r>
      <w:r w:rsidRPr="00C60EBB">
        <w:rPr>
          <w:vanish/>
        </w:rPr>
        <w:t xml:space="preserve">(ICCBBA Component Class E036) </w:t>
      </w:r>
      <w:r w:rsidRPr="00D12C95">
        <w:t xml:space="preserve">labeled with </w:t>
      </w:r>
      <w:r w:rsidR="00523215" w:rsidRPr="00D12C95">
        <w:t>a</w:t>
      </w:r>
      <w:r w:rsidR="00D7366E">
        <w:t>n</w:t>
      </w:r>
      <w:r w:rsidRPr="00D12C95">
        <w:t xml:space="preserve"> Rh type of “Pooled” is considered </w:t>
      </w:r>
      <w:r w:rsidR="00523215" w:rsidRPr="00D12C95">
        <w:t>a</w:t>
      </w:r>
      <w:r w:rsidR="00D7366E">
        <w:t>n</w:t>
      </w:r>
      <w:r w:rsidRPr="00D12C95">
        <w:t xml:space="preserve"> Rh Positive unit which does not require confirmation testing.</w:t>
      </w:r>
    </w:p>
    <w:p w14:paraId="1B22A239" w14:textId="3CE5C96D" w:rsidR="008631E9" w:rsidRDefault="00E44A83" w:rsidP="00E44A83">
      <w:pPr>
        <w:pStyle w:val="ListBullet"/>
      </w:pPr>
      <w:r w:rsidRPr="00E44A83">
        <w:t xml:space="preserve">POOLED GRANULOCYTES </w:t>
      </w:r>
      <w:r w:rsidRPr="00C60EBB">
        <w:rPr>
          <w:vanish/>
        </w:rPr>
        <w:t xml:space="preserve">(ICCBBA Component Class E036) </w:t>
      </w:r>
      <w:r w:rsidRPr="00E44A83">
        <w:t>labeled with an ABO group of “Pooled” cannot be confirmed. A blood component unit received as “POOLED ABO” will have to be transfused using the Supervisory option, Document ABO Incompatible Transfusion.</w:t>
      </w:r>
    </w:p>
    <w:p w14:paraId="566D2932" w14:textId="30DCE1B7" w:rsidR="00FE6750" w:rsidRPr="008631E9" w:rsidRDefault="00AA7B45" w:rsidP="00AA7B45">
      <w:pPr>
        <w:pStyle w:val="ListBullet"/>
      </w:pPr>
      <w:r w:rsidRPr="00B26970">
        <w:rPr>
          <w:rFonts w:cs="Arial"/>
          <w:szCs w:val="18"/>
        </w:rPr>
        <w:t>Patient assignment is not released automatically when a unit is quarantined due to discrepant ABO/Rh retype testing.</w:t>
      </w:r>
      <w:r>
        <w:rPr>
          <w:rFonts w:cs="Arial"/>
          <w:szCs w:val="18"/>
        </w:rPr>
        <w:t xml:space="preserve"> </w:t>
      </w:r>
      <w:r w:rsidRPr="00B26970">
        <w:rPr>
          <w:rFonts w:cs="Arial"/>
          <w:szCs w:val="18"/>
        </w:rPr>
        <w:t xml:space="preserve">The unit is quarantined and cannot be selected for a different patient or issued for </w:t>
      </w:r>
      <w:r>
        <w:rPr>
          <w:rFonts w:cs="Arial"/>
          <w:szCs w:val="18"/>
        </w:rPr>
        <w:t>the current</w:t>
      </w:r>
      <w:r w:rsidRPr="00B26970">
        <w:rPr>
          <w:rFonts w:cs="Arial"/>
          <w:szCs w:val="18"/>
        </w:rPr>
        <w:t xml:space="preserve"> patient.</w:t>
      </w:r>
      <w:r>
        <w:rPr>
          <w:rFonts w:cs="Arial"/>
          <w:szCs w:val="18"/>
        </w:rPr>
        <w:t xml:space="preserve"> Quarantined units are clearly marked in VBECS and cannot be issued. </w:t>
      </w:r>
      <w:r w:rsidRPr="00C11B6E">
        <w:rPr>
          <w:rFonts w:cs="Arial"/>
          <w:vanish/>
          <w:szCs w:val="18"/>
        </w:rPr>
        <w:t>Task 213499</w:t>
      </w:r>
    </w:p>
    <w:p w14:paraId="1AB62AD8" w14:textId="77777777" w:rsidR="00852AC1" w:rsidRPr="00852AC1" w:rsidRDefault="002A21AE" w:rsidP="002F55AF">
      <w:pPr>
        <w:pStyle w:val="Heading4"/>
      </w:pPr>
      <w:r>
        <w:t>Additional Information</w:t>
      </w:r>
    </w:p>
    <w:p w14:paraId="5996548B" w14:textId="77777777" w:rsidR="002A21AE" w:rsidRPr="00995EAA" w:rsidRDefault="002A21AE">
      <w:pPr>
        <w:pStyle w:val="ListBullet"/>
        <w:rPr>
          <w:rStyle w:val="CommentReference"/>
          <w:sz w:val="22"/>
          <w:szCs w:val="22"/>
        </w:rPr>
      </w:pPr>
      <w:r>
        <w:rPr>
          <w:rFonts w:ascii="Arial" w:hAnsi="Arial" w:cs="Arial"/>
          <w:vanish/>
          <w:spacing w:val="0"/>
          <w:sz w:val="18"/>
        </w:rPr>
        <w:t xml:space="preserve">BR_2.11 </w:t>
      </w:r>
      <w:r>
        <w:t>Within a multidivisional facility when ABO/Rh confirmation is repeated on units from a facility within the same database, both the originating facility ABO/Rh confirmation testing results and the current testing results are stored.</w:t>
      </w:r>
      <w:r>
        <w:rPr>
          <w:rStyle w:val="CommentReference"/>
          <w:b/>
          <w:vanish/>
        </w:rPr>
        <w:t xml:space="preserve"> </w:t>
      </w:r>
    </w:p>
    <w:p w14:paraId="77363B8C" w14:textId="77777777" w:rsidR="002A21AE" w:rsidRDefault="002A21AE">
      <w:pPr>
        <w:pStyle w:val="Heading4"/>
      </w:pPr>
      <w:r>
        <w:t>User Roles with Access to This Option</w:t>
      </w:r>
    </w:p>
    <w:p w14:paraId="76976F01" w14:textId="77777777" w:rsidR="002A21AE" w:rsidRDefault="002B1D25">
      <w:pPr>
        <w:pStyle w:val="Roles"/>
        <w:rPr>
          <w:snapToGrid w:val="0"/>
        </w:rPr>
      </w:pPr>
      <w:r>
        <w:t>All users</w:t>
      </w:r>
    </w:p>
    <w:p w14:paraId="2A8A7107" w14:textId="77777777" w:rsidR="002A21AE" w:rsidRDefault="00057948">
      <w:pPr>
        <w:pStyle w:val="Heading4"/>
      </w:pPr>
      <w:r>
        <w:rPr>
          <w:noProof/>
        </w:rPr>
        <w:lastRenderedPageBreak/>
        <w:drawing>
          <wp:inline distT="0" distB="0" distL="0" distR="0" wp14:anchorId="705B0667" wp14:editId="3A916B94">
            <wp:extent cx="156845" cy="156845"/>
            <wp:effectExtent l="0" t="0" r="0" b="0"/>
            <wp:docPr id="168" name="Picture 168" descr="ABO/Rh Confirmation Testing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Picture 168" descr="ABO/Rh Confirmation Testing icon"/>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A21AE">
        <w:t xml:space="preserve"> ABO/Rh Confirmation Testing</w:t>
      </w:r>
    </w:p>
    <w:p w14:paraId="1C1ED02B" w14:textId="77777777" w:rsidR="002A21AE" w:rsidRDefault="002A21AE" w:rsidP="00FA7E65">
      <w:pPr>
        <w:pStyle w:val="BodyText"/>
      </w:pPr>
      <w:r>
        <w:t>To confirm ABO/Rh testing, the user creates a worklist of individual units from an invoice, or creates a custom worklist. The user records observed test reactions and interpretations. VBECS uses truth tables to verify that user-entered interpretations are consistent with observed reactions. VBECS compares ABO and/or Rh interpretations to units labeled “ABO/Rh” during login and displays warnings when there are inconsistencies.</w:t>
      </w:r>
    </w:p>
    <w:p w14:paraId="6524C50E" w14:textId="77777777" w:rsidR="006F25B6" w:rsidRPr="00D73AB9" w:rsidRDefault="00057948" w:rsidP="006F25B6">
      <w:pPr>
        <w:pStyle w:val="Caution"/>
        <w:rPr>
          <w:spacing w:val="-5"/>
        </w:rPr>
      </w:pPr>
      <w:r>
        <w:rPr>
          <w:noProof/>
        </w:rPr>
        <w:drawing>
          <wp:inline distT="0" distB="0" distL="0" distR="0" wp14:anchorId="0F7FE99E" wp14:editId="0CF8B2D7">
            <wp:extent cx="267970" cy="221615"/>
            <wp:effectExtent l="0" t="0" r="0" b="6985"/>
            <wp:docPr id="169" name="Picture 169" descr="Cau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Picture 169" descr="Caution icon"/>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67970" cy="221615"/>
                    </a:xfrm>
                    <a:prstGeom prst="rect">
                      <a:avLst/>
                    </a:prstGeom>
                    <a:noFill/>
                    <a:ln>
                      <a:noFill/>
                    </a:ln>
                  </pic:spPr>
                </pic:pic>
              </a:graphicData>
            </a:graphic>
          </wp:inline>
        </w:drawing>
      </w:r>
      <w:r w:rsidR="00443024">
        <w:t xml:space="preserve"> </w:t>
      </w:r>
      <w:r w:rsidR="006F25B6" w:rsidRPr="00D73AB9">
        <w:t>When a unit</w:t>
      </w:r>
      <w:r w:rsidR="006F25B6">
        <w:t>’</w:t>
      </w:r>
      <w:r w:rsidR="006F25B6" w:rsidRPr="00D73AB9">
        <w:t>s ABO/Rh confirmation test is repea</w:t>
      </w:r>
      <w:r w:rsidR="006F25B6">
        <w:t>ted after issue to a patient</w:t>
      </w:r>
      <w:r w:rsidR="006F25B6" w:rsidRPr="00D73AB9">
        <w:t xml:space="preserve">, </w:t>
      </w:r>
      <w:r w:rsidR="006F25B6">
        <w:t xml:space="preserve">VBECS does not compare the </w:t>
      </w:r>
      <w:r w:rsidR="006F25B6" w:rsidRPr="00D73AB9">
        <w:t>test result</w:t>
      </w:r>
      <w:r w:rsidR="006F25B6">
        <w:t>s</w:t>
      </w:r>
      <w:r w:rsidR="006F25B6" w:rsidRPr="00D73AB9">
        <w:t xml:space="preserve"> </w:t>
      </w:r>
      <w:r w:rsidR="006F25B6">
        <w:t>to</w:t>
      </w:r>
      <w:r w:rsidR="006F25B6" w:rsidRPr="00D73AB9">
        <w:t xml:space="preserve"> the patient</w:t>
      </w:r>
      <w:r w:rsidR="006F25B6">
        <w:t>’</w:t>
      </w:r>
      <w:r w:rsidR="006F25B6" w:rsidRPr="00D73AB9">
        <w:t xml:space="preserve">s blood type at time of issue. </w:t>
      </w:r>
      <w:r w:rsidR="006F25B6">
        <w:t>T</w:t>
      </w:r>
      <w:r w:rsidR="006F25B6" w:rsidRPr="00D73AB9">
        <w:t xml:space="preserve">he user </w:t>
      </w:r>
      <w:r w:rsidR="006F25B6">
        <w:t>must</w:t>
      </w:r>
      <w:r w:rsidR="006F25B6" w:rsidRPr="00D73AB9">
        <w:t xml:space="preserve"> </w:t>
      </w:r>
      <w:r w:rsidR="006F25B6">
        <w:t>detect discrepancies</w:t>
      </w:r>
      <w:r w:rsidR="006F25B6" w:rsidRPr="00D73AB9">
        <w:t xml:space="preserve"> and </w:t>
      </w:r>
      <w:r w:rsidR="006F25B6">
        <w:t xml:space="preserve">notify </w:t>
      </w:r>
      <w:r w:rsidR="006F25B6" w:rsidRPr="00D73AB9">
        <w:t>clinical personnel</w:t>
      </w:r>
      <w:r w:rsidR="006F25B6">
        <w:t>, in accordance with local policy</w:t>
      </w:r>
      <w:r w:rsidR="006F25B6" w:rsidRPr="00D73AB9">
        <w: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2B7A0847" w14:textId="77777777">
        <w:trPr>
          <w:tblHeader/>
        </w:trPr>
        <w:tc>
          <w:tcPr>
            <w:tcW w:w="3240" w:type="dxa"/>
            <w:shd w:val="pct30" w:color="auto" w:fill="FFFFFF"/>
            <w:vAlign w:val="bottom"/>
          </w:tcPr>
          <w:p w14:paraId="4EA89635" w14:textId="77777777" w:rsidR="002A21AE" w:rsidRDefault="002A21AE">
            <w:pPr>
              <w:pStyle w:val="TableText"/>
              <w:rPr>
                <w:b/>
              </w:rPr>
            </w:pPr>
            <w:bookmarkStart w:id="310" w:name="_Toc78036833"/>
            <w:r>
              <w:rPr>
                <w:b/>
              </w:rPr>
              <w:t>User Action</w:t>
            </w:r>
          </w:p>
        </w:tc>
        <w:tc>
          <w:tcPr>
            <w:tcW w:w="6120" w:type="dxa"/>
            <w:shd w:val="pct30" w:color="auto" w:fill="FFFFFF"/>
            <w:vAlign w:val="bottom"/>
          </w:tcPr>
          <w:p w14:paraId="34974D37" w14:textId="77777777" w:rsidR="002A21AE" w:rsidRDefault="002A21AE">
            <w:pPr>
              <w:pStyle w:val="TableText"/>
              <w:rPr>
                <w:b/>
              </w:rPr>
            </w:pPr>
            <w:r>
              <w:rPr>
                <w:b/>
              </w:rPr>
              <w:t>VBECS</w:t>
            </w:r>
          </w:p>
        </w:tc>
      </w:tr>
      <w:tr w:rsidR="002A21AE" w14:paraId="7112FB46" w14:textId="77777777">
        <w:tc>
          <w:tcPr>
            <w:tcW w:w="3240" w:type="dxa"/>
          </w:tcPr>
          <w:p w14:paraId="039C68B5" w14:textId="77777777" w:rsidR="002A21AE" w:rsidRDefault="002A21AE">
            <w:pPr>
              <w:pStyle w:val="TableTextNumbers"/>
            </w:pPr>
            <w:r>
              <w:t xml:space="preserve">When processing a shipment, select </w:t>
            </w:r>
            <w:r>
              <w:rPr>
                <w:b/>
              </w:rPr>
              <w:t>Shipments</w:t>
            </w:r>
            <w:r>
              <w:t xml:space="preserve"> from the main menu. </w:t>
            </w:r>
          </w:p>
          <w:p w14:paraId="2269A439" w14:textId="77777777" w:rsidR="002A21AE" w:rsidRDefault="002A21AE">
            <w:pPr>
              <w:pStyle w:val="TableTextNumbersContinued"/>
              <w:rPr>
                <w:b/>
                <w:bCs/>
              </w:rPr>
            </w:pPr>
          </w:p>
          <w:p w14:paraId="49CDE896" w14:textId="77777777" w:rsidR="002A21AE" w:rsidRDefault="002A21AE">
            <w:pPr>
              <w:pStyle w:val="TableTextNumbersContinued"/>
            </w:pPr>
            <w:r>
              <w:t xml:space="preserve">When processing selected units, select </w:t>
            </w:r>
            <w:r>
              <w:rPr>
                <w:b/>
              </w:rPr>
              <w:t>Blood Units</w:t>
            </w:r>
            <w:r>
              <w:t xml:space="preserve"> from the main menu.</w:t>
            </w:r>
          </w:p>
          <w:p w14:paraId="7B60A013" w14:textId="77777777" w:rsidR="002A21AE" w:rsidRDefault="002A21AE">
            <w:pPr>
              <w:pStyle w:val="TableTextNumbersContinued"/>
            </w:pPr>
          </w:p>
          <w:p w14:paraId="44E9F416" w14:textId="77777777" w:rsidR="002A21AE" w:rsidRDefault="002A21AE">
            <w:pPr>
              <w:pStyle w:val="TableTextNumbersContinued"/>
            </w:pPr>
            <w:r>
              <w:t xml:space="preserve">Select </w:t>
            </w:r>
            <w:r>
              <w:rPr>
                <w:b/>
              </w:rPr>
              <w:t>ABO/Rh Confirmation</w:t>
            </w:r>
            <w:r>
              <w:t>.</w:t>
            </w:r>
          </w:p>
          <w:p w14:paraId="5E45BB25" w14:textId="77777777" w:rsidR="002A21AE" w:rsidRDefault="002A21AE">
            <w:pPr>
              <w:pStyle w:val="TableTextNumbersContinued"/>
            </w:pPr>
          </w:p>
          <w:p w14:paraId="34295B66" w14:textId="77777777" w:rsidR="002A21AE" w:rsidRDefault="002A21AE">
            <w:pPr>
              <w:pStyle w:val="TableTextNumbersContinued"/>
            </w:pPr>
            <w:r>
              <w:t>Select an invoice or units.</w:t>
            </w:r>
          </w:p>
          <w:p w14:paraId="31A4338B" w14:textId="77777777" w:rsidR="002A21AE" w:rsidRDefault="002A21AE">
            <w:pPr>
              <w:pStyle w:val="TableTextNumbersContinued"/>
            </w:pPr>
            <w:r>
              <w:t xml:space="preserve"> </w:t>
            </w:r>
          </w:p>
          <w:p w14:paraId="035A2D06" w14:textId="77777777" w:rsidR="002A21AE" w:rsidRDefault="002A21AE">
            <w:pPr>
              <w:pStyle w:val="TableTextNumbersContinued"/>
            </w:pPr>
            <w:r>
              <w:t xml:space="preserve">Click </w:t>
            </w:r>
            <w:r>
              <w:rPr>
                <w:b/>
              </w:rPr>
              <w:t>OK</w:t>
            </w:r>
            <w:r>
              <w:t>.</w:t>
            </w:r>
          </w:p>
        </w:tc>
        <w:tc>
          <w:tcPr>
            <w:tcW w:w="6120" w:type="dxa"/>
          </w:tcPr>
          <w:p w14:paraId="357DE445" w14:textId="77777777" w:rsidR="002A21AE" w:rsidRDefault="002A21AE">
            <w:pPr>
              <w:pStyle w:val="TableTextBullet"/>
            </w:pPr>
            <w:r>
              <w:t xml:space="preserve">Displays options for processing blood product shipments. By default, displays units in the worklist in the order in which they were entered during Incoming Shipment. </w:t>
            </w:r>
          </w:p>
          <w:p w14:paraId="39AB0189" w14:textId="77777777" w:rsidR="002A21AE" w:rsidRDefault="002A21AE">
            <w:pPr>
              <w:pStyle w:val="TableTextBullet"/>
            </w:pPr>
            <w:r>
              <w:t>Lists invoices processed within the last five days in reverse chronological order.</w:t>
            </w:r>
          </w:p>
          <w:p w14:paraId="7066AFC5" w14:textId="77777777" w:rsidR="002A21AE" w:rsidRDefault="002A21AE">
            <w:pPr>
              <w:pStyle w:val="TableTextBullet"/>
            </w:pPr>
            <w:r>
              <w:t xml:space="preserve">Displays fields for entering rack information. </w:t>
            </w:r>
          </w:p>
          <w:p w14:paraId="2E7211F4" w14:textId="77777777" w:rsidR="002A21AE" w:rsidRDefault="002A21AE">
            <w:pPr>
              <w:pStyle w:val="TableTextBullet"/>
            </w:pPr>
            <w:r>
              <w:t>Allows units to be deleted from or added to the worklist.</w:t>
            </w:r>
          </w:p>
          <w:p w14:paraId="69277B01" w14:textId="77777777" w:rsidR="002A21AE" w:rsidRDefault="002A21AE">
            <w:pPr>
              <w:pStyle w:val="TableText"/>
            </w:pPr>
          </w:p>
          <w:p w14:paraId="2AA6CC80" w14:textId="777240BD" w:rsidR="002A21AE" w:rsidRDefault="002A21AE">
            <w:pPr>
              <w:pStyle w:val="TableText"/>
              <w:rPr>
                <w:b/>
                <w:bCs/>
              </w:rPr>
            </w:pPr>
            <w:r>
              <w:rPr>
                <w:b/>
                <w:bCs/>
              </w:rPr>
              <w:t xml:space="preserve">NOTES </w:t>
            </w:r>
          </w:p>
          <w:p w14:paraId="5C001CFF" w14:textId="77777777" w:rsidR="002A21AE" w:rsidRDefault="002A21AE">
            <w:pPr>
              <w:pStyle w:val="NotesText"/>
            </w:pPr>
          </w:p>
          <w:p w14:paraId="0B653BF4" w14:textId="77777777" w:rsidR="006C18E7" w:rsidRDefault="006C18E7" w:rsidP="006C18E7">
            <w:pPr>
              <w:pStyle w:val="NotesText"/>
            </w:pPr>
            <w:r>
              <w:rPr>
                <w:rFonts w:cs="Arial"/>
                <w:vanish/>
              </w:rPr>
              <w:t xml:space="preserve">BR_5.03 </w:t>
            </w:r>
            <w:r>
              <w:t xml:space="preserve">The user may select only active units and those not in an inactive or final status. </w:t>
            </w:r>
          </w:p>
          <w:p w14:paraId="45B9C6E6" w14:textId="77777777" w:rsidR="006C18E7" w:rsidRDefault="006C18E7">
            <w:pPr>
              <w:pStyle w:val="NotesText"/>
            </w:pPr>
          </w:p>
          <w:p w14:paraId="0310356F" w14:textId="77777777" w:rsidR="002A21AE" w:rsidRDefault="002A21AE">
            <w:pPr>
              <w:pStyle w:val="NotesText"/>
            </w:pPr>
            <w:r>
              <w:t>To create a customized list of units:</w:t>
            </w:r>
          </w:p>
          <w:p w14:paraId="1FDE8891" w14:textId="77777777" w:rsidR="002A21AE" w:rsidRDefault="002A21AE">
            <w:pPr>
              <w:pStyle w:val="NotesTextBullet"/>
            </w:pPr>
            <w:r>
              <w:t xml:space="preserve">Enter a unit ID or click the </w:t>
            </w:r>
            <w:r w:rsidR="00A6373D">
              <w:rPr>
                <w:b/>
              </w:rPr>
              <w:t>find</w:t>
            </w:r>
            <w:r>
              <w:rPr>
                <w:b/>
              </w:rPr>
              <w:t xml:space="preserve"> </w:t>
            </w:r>
            <w:r w:rsidRPr="00D1100E">
              <w:t>button</w:t>
            </w:r>
            <w:r>
              <w:t xml:space="preserve"> to search for a unit. VBECS lists</w:t>
            </w:r>
            <w:r>
              <w:rPr>
                <w:rStyle w:val="historydatafont1"/>
              </w:rPr>
              <w:t xml:space="preserve"> units with “limited” status</w:t>
            </w:r>
            <w:r>
              <w:t>.</w:t>
            </w:r>
          </w:p>
          <w:p w14:paraId="3729E0B8" w14:textId="77777777" w:rsidR="002A21AE" w:rsidRDefault="002A21AE">
            <w:pPr>
              <w:pStyle w:val="NotesTextBullet"/>
            </w:pPr>
            <w:r>
              <w:t>Select parameters from the options on the Select Units for ABO/Rh Confirmation screen.</w:t>
            </w:r>
          </w:p>
          <w:p w14:paraId="5C9ECC9B" w14:textId="77777777" w:rsidR="002A21AE" w:rsidRDefault="002A21AE">
            <w:pPr>
              <w:pStyle w:val="NotesTextBullet"/>
            </w:pPr>
            <w:r>
              <w:t xml:space="preserve">Select </w:t>
            </w:r>
            <w:r>
              <w:rPr>
                <w:b/>
              </w:rPr>
              <w:t>Units within Criteria</w:t>
            </w:r>
            <w:r>
              <w:t xml:space="preserve"> to work with.</w:t>
            </w:r>
          </w:p>
          <w:p w14:paraId="531C4760" w14:textId="77777777" w:rsidR="002A21AE" w:rsidRDefault="002A21AE">
            <w:pPr>
              <w:pStyle w:val="NotesTextBullet"/>
            </w:pPr>
            <w:r>
              <w:t xml:space="preserve">Click </w:t>
            </w:r>
            <w:r>
              <w:rPr>
                <w:b/>
              </w:rPr>
              <w:t>OK</w:t>
            </w:r>
            <w:r>
              <w:t>.</w:t>
            </w:r>
          </w:p>
          <w:p w14:paraId="7EEB0B62" w14:textId="77777777" w:rsidR="002A21AE" w:rsidRDefault="002A21AE">
            <w:pPr>
              <w:pStyle w:val="NotesTextBullet"/>
            </w:pPr>
            <w:r>
              <w:t>Repeat this step until all units are included in the Selected Units list on the Unit ABO/Rh Confirmation screen.</w:t>
            </w:r>
          </w:p>
          <w:p w14:paraId="1A20A2D1" w14:textId="77777777" w:rsidR="002A21AE" w:rsidRDefault="002A21AE">
            <w:pPr>
              <w:pStyle w:val="NotesTextBullet"/>
            </w:pPr>
            <w:r>
              <w:t xml:space="preserve">Click </w:t>
            </w:r>
            <w:r>
              <w:rPr>
                <w:b/>
              </w:rPr>
              <w:t>OK</w:t>
            </w:r>
            <w:r>
              <w:t>.</w:t>
            </w:r>
          </w:p>
        </w:tc>
      </w:tr>
      <w:tr w:rsidR="002A21AE" w14:paraId="6BD916CE" w14:textId="77777777" w:rsidTr="001A459B">
        <w:trPr>
          <w:cantSplit/>
        </w:trPr>
        <w:tc>
          <w:tcPr>
            <w:tcW w:w="3240" w:type="dxa"/>
          </w:tcPr>
          <w:p w14:paraId="003E93FC" w14:textId="77777777" w:rsidR="002A21AE" w:rsidRDefault="002A21AE" w:rsidP="009023E2">
            <w:pPr>
              <w:pStyle w:val="TableTextNumbers"/>
            </w:pPr>
            <w:r>
              <w:t>Select a rack.</w:t>
            </w:r>
          </w:p>
          <w:p w14:paraId="7BBFDF38" w14:textId="77777777" w:rsidR="002A21AE" w:rsidRDefault="002A21AE">
            <w:pPr>
              <w:pStyle w:val="TableTextNumbersContinued"/>
            </w:pPr>
          </w:p>
          <w:p w14:paraId="0AE35BCA" w14:textId="77777777" w:rsidR="002A21AE" w:rsidRDefault="002A21AE">
            <w:pPr>
              <w:pStyle w:val="TableTextNumbersContinued"/>
            </w:pPr>
            <w:r>
              <w:t>Select a date or accept the default.</w:t>
            </w:r>
          </w:p>
          <w:p w14:paraId="4F44FA39" w14:textId="77777777" w:rsidR="002A21AE" w:rsidRDefault="002A21AE">
            <w:pPr>
              <w:pStyle w:val="TableTextNumbersContinued"/>
            </w:pPr>
          </w:p>
          <w:p w14:paraId="24402C22" w14:textId="77777777" w:rsidR="002A21AE" w:rsidRDefault="002A21AE">
            <w:pPr>
              <w:pStyle w:val="TableTextNumbersContinued"/>
            </w:pPr>
            <w:r>
              <w:t>Select a Tested By name.</w:t>
            </w:r>
          </w:p>
          <w:p w14:paraId="4CE9DC82" w14:textId="77777777" w:rsidR="002A21AE" w:rsidRDefault="002A21AE">
            <w:pPr>
              <w:pStyle w:val="TableTextNumbersContinued"/>
            </w:pPr>
          </w:p>
          <w:p w14:paraId="42BD3DFE" w14:textId="77777777" w:rsidR="002A21AE" w:rsidRDefault="002A21AE">
            <w:pPr>
              <w:pStyle w:val="TableTextNumbersContinued"/>
            </w:pPr>
            <w:r>
              <w:t xml:space="preserve">Click </w:t>
            </w:r>
            <w:r>
              <w:rPr>
                <w:b/>
              </w:rPr>
              <w:t>Using Automated Instrument</w:t>
            </w:r>
            <w:r>
              <w:t xml:space="preserve">, as appropriate. </w:t>
            </w:r>
          </w:p>
          <w:p w14:paraId="71002026" w14:textId="77777777" w:rsidR="002A21AE" w:rsidRDefault="002A21AE">
            <w:pPr>
              <w:pStyle w:val="TableTextNumbersContinued"/>
            </w:pPr>
          </w:p>
          <w:p w14:paraId="2CDE3AB5" w14:textId="77777777" w:rsidR="002A21AE" w:rsidRDefault="002A21AE">
            <w:pPr>
              <w:pStyle w:val="TableTextNumbersContinued"/>
            </w:pPr>
            <w:r>
              <w:t xml:space="preserve">Click the </w:t>
            </w:r>
            <w:r>
              <w:rPr>
                <w:b/>
              </w:rPr>
              <w:t xml:space="preserve">Perform Anti-D Testing </w:t>
            </w:r>
            <w:r w:rsidRPr="00D1100E">
              <w:t>check box</w:t>
            </w:r>
            <w:r>
              <w:t>, when appropriate.</w:t>
            </w:r>
          </w:p>
          <w:p w14:paraId="647EF09E" w14:textId="77777777" w:rsidR="002A21AE" w:rsidRDefault="002A21AE">
            <w:pPr>
              <w:pStyle w:val="TableTextNumbersContinued"/>
            </w:pPr>
          </w:p>
          <w:p w14:paraId="74E1C672" w14:textId="77777777" w:rsidR="002A21AE" w:rsidRDefault="002A21AE">
            <w:pPr>
              <w:pStyle w:val="TableTextNumbersContinued"/>
            </w:pPr>
            <w:r>
              <w:t xml:space="preserve">Click </w:t>
            </w:r>
            <w:r>
              <w:rPr>
                <w:b/>
              </w:rPr>
              <w:t>OK</w:t>
            </w:r>
            <w:r>
              <w:t>.</w:t>
            </w:r>
          </w:p>
        </w:tc>
        <w:tc>
          <w:tcPr>
            <w:tcW w:w="6120" w:type="dxa"/>
          </w:tcPr>
          <w:p w14:paraId="1486F695" w14:textId="77777777" w:rsidR="002A21AE" w:rsidRDefault="002A21AE">
            <w:pPr>
              <w:pStyle w:val="TableTextBullet"/>
            </w:pPr>
            <w:r>
              <w:t xml:space="preserve">Displays the racks available using the pick list provided. </w:t>
            </w:r>
          </w:p>
          <w:p w14:paraId="18AE6CA7" w14:textId="77777777" w:rsidR="002A21AE" w:rsidRDefault="002A21AE">
            <w:pPr>
              <w:pStyle w:val="TableTextBullet"/>
            </w:pPr>
            <w:r>
              <w:t xml:space="preserve">Displays the date and time testing was performed. The default is the current date and time. The date may be edited using the pick list provided. </w:t>
            </w:r>
          </w:p>
          <w:p w14:paraId="768AF0D2" w14:textId="77777777" w:rsidR="002A21AE" w:rsidRDefault="002A21AE">
            <w:pPr>
              <w:pStyle w:val="TableTextBullet"/>
            </w:pPr>
            <w:r>
              <w:t xml:space="preserve">Displays the testing technologist’s identification. The default is the current user. Select a name from the pick list of valid division users to show a different testing technologist. </w:t>
            </w:r>
          </w:p>
          <w:p w14:paraId="4B45A44C" w14:textId="77777777" w:rsidR="002A21AE" w:rsidRDefault="002A21AE">
            <w:pPr>
              <w:pStyle w:val="TableTextBullet"/>
            </w:pPr>
            <w:r>
              <w:t>Displays warnings and the option to indicate that the user is ready to begin entering results after all warnings are addressed.</w:t>
            </w:r>
          </w:p>
          <w:p w14:paraId="49BCC2C3" w14:textId="77777777" w:rsidR="002A21AE" w:rsidRDefault="002A21AE">
            <w:pPr>
              <w:pStyle w:val="TableTextBullet"/>
            </w:pPr>
            <w:r>
              <w:t>Generates an Exception Report entry when the user inactivates or deletes the partially completed result grids and enters a comment.</w:t>
            </w:r>
          </w:p>
          <w:p w14:paraId="698893CB" w14:textId="77777777" w:rsidR="002A21AE" w:rsidRDefault="002A21AE">
            <w:pPr>
              <w:pStyle w:val="TableText"/>
            </w:pPr>
          </w:p>
          <w:p w14:paraId="379AD499" w14:textId="752A93E9" w:rsidR="002A21AE" w:rsidRDefault="002A21AE">
            <w:pPr>
              <w:pStyle w:val="TableText"/>
              <w:rPr>
                <w:b/>
                <w:bCs/>
              </w:rPr>
            </w:pPr>
            <w:r>
              <w:rPr>
                <w:b/>
                <w:bCs/>
              </w:rPr>
              <w:t xml:space="preserve">NOTES </w:t>
            </w:r>
          </w:p>
          <w:p w14:paraId="49DAC31B" w14:textId="77777777" w:rsidR="002A21AE" w:rsidRDefault="002A21AE">
            <w:pPr>
              <w:pStyle w:val="NotesText"/>
            </w:pPr>
          </w:p>
          <w:p w14:paraId="687BAE42" w14:textId="77777777" w:rsidR="002A21AE" w:rsidRDefault="002A21AE" w:rsidP="00C0155E">
            <w:pPr>
              <w:pStyle w:val="NotesText"/>
            </w:pPr>
            <w:r>
              <w:rPr>
                <w:rFonts w:cs="Arial"/>
                <w:vanish/>
              </w:rPr>
              <w:t xml:space="preserve">BR_2.47 </w:t>
            </w:r>
            <w:r>
              <w:t>A user may disable the anti-D testing grid column in the ABO/Rh unit confirmation worksheet.</w:t>
            </w:r>
            <w:r w:rsidR="00632245">
              <w:t xml:space="preserve"> When the Anti-D testing grid display is disabled, the user </w:t>
            </w:r>
            <w:r w:rsidR="00C0155E">
              <w:t>may</w:t>
            </w:r>
            <w:r w:rsidR="00632245">
              <w:t xml:space="preserve"> select only RH Positive labeled units for confirmation testing.</w:t>
            </w:r>
          </w:p>
        </w:tc>
      </w:tr>
      <w:tr w:rsidR="002A21AE" w14:paraId="4D42A5BA" w14:textId="77777777">
        <w:tc>
          <w:tcPr>
            <w:tcW w:w="3240" w:type="dxa"/>
          </w:tcPr>
          <w:p w14:paraId="024CCE35" w14:textId="77777777" w:rsidR="002A21AE" w:rsidRDefault="002A21AE">
            <w:pPr>
              <w:pStyle w:val="TableTextNumbers"/>
            </w:pPr>
            <w:r>
              <w:lastRenderedPageBreak/>
              <w:t>Select a unit for which to record test results.</w:t>
            </w:r>
          </w:p>
          <w:p w14:paraId="578F73FC" w14:textId="77777777" w:rsidR="002A21AE" w:rsidRDefault="002A21AE">
            <w:pPr>
              <w:pStyle w:val="TableTextNumbersContinued"/>
            </w:pPr>
          </w:p>
          <w:p w14:paraId="35617540" w14:textId="77777777" w:rsidR="002A21AE" w:rsidRDefault="002A21AE">
            <w:pPr>
              <w:pStyle w:val="TableTextNumbersContinued"/>
            </w:pPr>
            <w:r>
              <w:t>Select a cell and enter an observed test result from the legend at the bottom of the screen.</w:t>
            </w:r>
          </w:p>
          <w:p w14:paraId="76DBD58A" w14:textId="77777777" w:rsidR="002A21AE" w:rsidRDefault="002A21AE">
            <w:pPr>
              <w:pStyle w:val="TableTextNumbersContinued"/>
            </w:pPr>
          </w:p>
          <w:p w14:paraId="6A9BFF4C" w14:textId="77777777" w:rsidR="002A21AE" w:rsidRDefault="002A21AE">
            <w:pPr>
              <w:pStyle w:val="TableTextNumbersContinued"/>
            </w:pPr>
            <w:r>
              <w:rPr>
                <w:rFonts w:cs="Arial"/>
                <w:vanish/>
                <w:szCs w:val="18"/>
              </w:rPr>
              <w:t>BR_2.30</w:t>
            </w:r>
            <w:r w:rsidR="00CE3961">
              <w:rPr>
                <w:rFonts w:cs="Arial"/>
                <w:vanish/>
                <w:szCs w:val="18"/>
              </w:rPr>
              <w:t>,</w:t>
            </w:r>
            <w:r>
              <w:rPr>
                <w:rFonts w:cs="Arial"/>
                <w:vanish/>
                <w:szCs w:val="18"/>
              </w:rPr>
              <w:t xml:space="preserve"> </w:t>
            </w:r>
            <w:r>
              <w:rPr>
                <w:vanish/>
                <w:szCs w:val="18"/>
              </w:rPr>
              <w:t xml:space="preserve">BR_2.31 </w:t>
            </w:r>
            <w:r>
              <w:t xml:space="preserve">Enter a valid interpretation, then press </w:t>
            </w:r>
            <w:r w:rsidR="00DF74D1">
              <w:t xml:space="preserve">the </w:t>
            </w:r>
            <w:r>
              <w:rPr>
                <w:b/>
              </w:rPr>
              <w:t>Enter</w:t>
            </w:r>
            <w:r w:rsidR="00DF74D1">
              <w:rPr>
                <w:b/>
              </w:rPr>
              <w:t xml:space="preserve"> key</w:t>
            </w:r>
            <w:r>
              <w:t xml:space="preserve"> to go to the next data grid interpretation or Comment cell.</w:t>
            </w:r>
          </w:p>
          <w:p w14:paraId="7D9E03A9" w14:textId="77777777" w:rsidR="002A21AE" w:rsidRDefault="002A21AE">
            <w:pPr>
              <w:pStyle w:val="TableTextNumbersContinued"/>
            </w:pPr>
          </w:p>
          <w:p w14:paraId="31FF70AB" w14:textId="77777777" w:rsidR="002A21AE" w:rsidRDefault="002A21AE">
            <w:pPr>
              <w:pStyle w:val="TableTextNumbersContinued"/>
            </w:pPr>
            <w:r>
              <w:t>Select enter comments from the Unit Testing for the ABO and Rh interpretations, as needed.</w:t>
            </w:r>
          </w:p>
          <w:p w14:paraId="2F9216C8" w14:textId="77777777" w:rsidR="002A21AE" w:rsidRDefault="002A21AE">
            <w:pPr>
              <w:pStyle w:val="TableTextNumbersContinued"/>
            </w:pPr>
          </w:p>
          <w:p w14:paraId="1280B526" w14:textId="77777777" w:rsidR="002A21AE" w:rsidRDefault="002A21AE">
            <w:pPr>
              <w:pStyle w:val="TableTextNumbersContinued"/>
            </w:pPr>
            <w:r>
              <w:t>Repeat until all test results for the selected unit are entered.</w:t>
            </w:r>
          </w:p>
        </w:tc>
        <w:tc>
          <w:tcPr>
            <w:tcW w:w="6120" w:type="dxa"/>
          </w:tcPr>
          <w:p w14:paraId="6EB23903" w14:textId="77777777" w:rsidR="002A21AE" w:rsidRDefault="002A21AE">
            <w:pPr>
              <w:pStyle w:val="TableTextBullet"/>
            </w:pPr>
            <w:r>
              <w:t>Creates a grid for data entry of results and interpretations, displaying units in the order selected.</w:t>
            </w:r>
          </w:p>
          <w:p w14:paraId="4642097F" w14:textId="77777777" w:rsidR="002A21AE" w:rsidRDefault="002A21AE">
            <w:pPr>
              <w:pStyle w:val="TableTextBullet"/>
            </w:pPr>
            <w:r>
              <w:t>Allows the user to select a blood test type and enter a test result for the unit.</w:t>
            </w:r>
          </w:p>
          <w:p w14:paraId="6E732C11" w14:textId="77777777" w:rsidR="002A21AE" w:rsidRDefault="002A21AE">
            <w:pPr>
              <w:pStyle w:val="TableTextBullet"/>
            </w:pPr>
            <w:r>
              <w:t>Restricts data entry to valid selections for testing results. Displays testing results and interpretations entered.</w:t>
            </w:r>
          </w:p>
          <w:p w14:paraId="536E8DB2" w14:textId="77777777" w:rsidR="002A21AE" w:rsidRDefault="002A21AE">
            <w:pPr>
              <w:pStyle w:val="TableTextBullet"/>
            </w:pPr>
            <w:r>
              <w:t>An interpretation indicates that all appropriate test results were entered for the unit.</w:t>
            </w:r>
          </w:p>
          <w:p w14:paraId="533ED9E1" w14:textId="77777777" w:rsidR="002A21AE" w:rsidRDefault="002A21AE">
            <w:pPr>
              <w:pStyle w:val="TableText"/>
            </w:pPr>
          </w:p>
          <w:p w14:paraId="2D395C04" w14:textId="7D793838" w:rsidR="002A21AE" w:rsidRDefault="002A21AE">
            <w:pPr>
              <w:pStyle w:val="TableText"/>
              <w:rPr>
                <w:b/>
                <w:bCs/>
                <w:szCs w:val="18"/>
              </w:rPr>
            </w:pPr>
            <w:r>
              <w:rPr>
                <w:b/>
                <w:bCs/>
                <w:szCs w:val="18"/>
              </w:rPr>
              <w:t>NOTES</w:t>
            </w:r>
          </w:p>
          <w:p w14:paraId="0C8BBFAD" w14:textId="77777777" w:rsidR="002A21AE" w:rsidRDefault="009965B7">
            <w:pPr>
              <w:pStyle w:val="NotesText"/>
              <w:spacing w:before="240"/>
            </w:pPr>
            <w:r w:rsidRPr="00896F17">
              <w:rPr>
                <w:rStyle w:val="BullhornChar"/>
              </w:rPr>
              <w:t></w:t>
            </w:r>
            <w:r w:rsidRPr="00D62E87">
              <w:rPr>
                <w:rFonts w:ascii="Webdings" w:hAnsi="Webdings"/>
              </w:rPr>
              <w:t></w:t>
            </w:r>
            <w:r w:rsidRPr="00D62E87">
              <w:t>V</w:t>
            </w:r>
            <w:r w:rsidR="002A21AE">
              <w:t xml:space="preserve">BECS emits an audible alert and generates a warning requiring override when the ABO and/or Rh confirmation interpretation does not match the ABO and/or Rh of the unit at initial login. When the user confirms the discrepancy, inventory units whose ABO/Rh confirmation does not match the ABO/Rh at login are marked “Quarantined.” VBECS captures details for inclusion in an Exception Report (exception type: Unit ABO/Rh </w:t>
            </w:r>
            <w:r w:rsidR="00922AD8">
              <w:t>login</w:t>
            </w:r>
            <w:r w:rsidR="002A21AE">
              <w:t xml:space="preserve"> vs. confirmation do not match, unit quarantined).</w:t>
            </w:r>
          </w:p>
          <w:p w14:paraId="6845087E" w14:textId="77777777" w:rsidR="002A21AE" w:rsidRDefault="002A21AE">
            <w:pPr>
              <w:pStyle w:val="NotesText"/>
            </w:pPr>
          </w:p>
          <w:p w14:paraId="3B63AFE7" w14:textId="77777777" w:rsidR="002A21AE" w:rsidRDefault="002A21AE" w:rsidP="005F1F08">
            <w:pPr>
              <w:pStyle w:val="NotesText"/>
            </w:pPr>
            <w:r>
              <w:rPr>
                <w:rFonts w:cs="Arial"/>
                <w:vanish/>
              </w:rPr>
              <w:t xml:space="preserve">BR_2.03 </w:t>
            </w:r>
            <w:r>
              <w:t>ABO/Rh confirmation testing data grids accommodate uniform data entry for Forward ABO testing</w:t>
            </w:r>
            <w:r w:rsidR="005F1F08">
              <w:t>.</w:t>
            </w:r>
          </w:p>
          <w:p w14:paraId="7A5FFA7F" w14:textId="77777777" w:rsidR="002A21AE" w:rsidRDefault="002A21AE">
            <w:pPr>
              <w:pStyle w:val="NotesText"/>
            </w:pPr>
          </w:p>
          <w:p w14:paraId="4F19C236" w14:textId="77777777" w:rsidR="002A21AE" w:rsidRDefault="002A21AE">
            <w:pPr>
              <w:pStyle w:val="NotesText"/>
            </w:pPr>
            <w:r>
              <w:rPr>
                <w:rFonts w:cs="Arial"/>
                <w:vanish/>
              </w:rPr>
              <w:t xml:space="preserve">BR_2.27 </w:t>
            </w:r>
            <w:r w:rsidR="00EC34E1" w:rsidRPr="0094281E">
              <w:t>The cursor move</w:t>
            </w:r>
            <w:r w:rsidR="00EC34E1">
              <w:t>s</w:t>
            </w:r>
            <w:r w:rsidR="00EC34E1" w:rsidRPr="0094281E">
              <w:t xml:space="preserve"> with a single valid keystroke from the top left cell </w:t>
            </w:r>
            <w:r w:rsidR="00EC34E1">
              <w:t>across</w:t>
            </w:r>
            <w:r w:rsidR="00EC34E1" w:rsidRPr="0094281E">
              <w:t xml:space="preserve"> the row</w:t>
            </w:r>
            <w:r w:rsidR="00EC34E1">
              <w:t>,</w:t>
            </w:r>
            <w:r w:rsidR="00EC34E1" w:rsidRPr="0094281E">
              <w:t xml:space="preserve"> returning to the </w:t>
            </w:r>
            <w:r w:rsidR="00EC34E1">
              <w:t>left</w:t>
            </w:r>
            <w:r w:rsidR="00EC34E1" w:rsidRPr="0094281E">
              <w:t>most cell in the next row</w:t>
            </w:r>
            <w:r w:rsidR="00EC34E1">
              <w:t>,</w:t>
            </w:r>
            <w:r w:rsidR="00EC34E1" w:rsidRPr="0094281E">
              <w:t xml:space="preserve"> and so on down the worksheet grid.</w:t>
            </w:r>
            <w:r>
              <w:t xml:space="preserve"> The cursor stays in the reaction results cells by default (the technologist may use the mouse to click in the interpretation area) until the last entry is made in the reaction result portion of the grid. The cursor then goes to the first (top) interpretation cell.</w:t>
            </w:r>
          </w:p>
          <w:p w14:paraId="2A3C76FF" w14:textId="77777777" w:rsidR="002A21AE" w:rsidRDefault="002A21AE">
            <w:pPr>
              <w:pStyle w:val="NotesText"/>
              <w:ind w:left="0"/>
            </w:pPr>
          </w:p>
          <w:p w14:paraId="6CADE542" w14:textId="1D8E72A1" w:rsidR="002A21AE" w:rsidRDefault="002A21AE">
            <w:pPr>
              <w:pStyle w:val="NotesText"/>
            </w:pPr>
            <w:r>
              <w:t>The user may enter free-text comments or comments from the Unit Testing for the ABO and Rh interpretations</w:t>
            </w:r>
            <w:r w:rsidR="002106D5">
              <w:t xml:space="preserve"> (</w:t>
            </w:r>
            <w:r w:rsidR="00EE455E">
              <w:t xml:space="preserve">Table </w:t>
            </w:r>
            <w:r w:rsidR="00EE455E">
              <w:rPr>
                <w:noProof/>
              </w:rPr>
              <w:t>4</w:t>
            </w:r>
            <w:r w:rsidR="002106D5">
              <w:t>)</w:t>
            </w:r>
            <w:r>
              <w:t>.</w:t>
            </w:r>
          </w:p>
          <w:p w14:paraId="6640FFE6" w14:textId="41CCF2C0" w:rsidR="002A21AE" w:rsidRDefault="002A21AE">
            <w:pPr>
              <w:pStyle w:val="Caption"/>
              <w:ind w:left="720"/>
            </w:pPr>
            <w:bookmarkStart w:id="311" w:name="_Ref256686527"/>
            <w:bookmarkStart w:id="312" w:name="_Toc97523616"/>
            <w:bookmarkStart w:id="313" w:name="_Toc97527586"/>
            <w:bookmarkStart w:id="314" w:name="_Ref126504333"/>
            <w:r>
              <w:t xml:space="preserve">Table </w:t>
            </w:r>
            <w:r w:rsidR="004E20BD">
              <w:rPr>
                <w:noProof/>
              </w:rPr>
              <w:fldChar w:fldCharType="begin"/>
            </w:r>
            <w:r w:rsidR="004E20BD">
              <w:rPr>
                <w:noProof/>
              </w:rPr>
              <w:instrText xml:space="preserve"> SEQ Table \* ARABIC </w:instrText>
            </w:r>
            <w:r w:rsidR="004E20BD">
              <w:rPr>
                <w:noProof/>
              </w:rPr>
              <w:fldChar w:fldCharType="separate"/>
            </w:r>
            <w:r w:rsidR="007D1829">
              <w:rPr>
                <w:noProof/>
              </w:rPr>
              <w:t>4</w:t>
            </w:r>
            <w:r w:rsidR="004E20BD">
              <w:rPr>
                <w:noProof/>
              </w:rPr>
              <w:fldChar w:fldCharType="end"/>
            </w:r>
            <w:bookmarkEnd w:id="311"/>
            <w:r>
              <w:t xml:space="preserve">: </w:t>
            </w:r>
            <w:r>
              <w:rPr>
                <w:rFonts w:ascii="Arial" w:hAnsi="Arial" w:cs="Arial"/>
                <w:b w:val="0"/>
                <w:vanish/>
                <w:sz w:val="18"/>
              </w:rPr>
              <w:t xml:space="preserve">BR_2.10 </w:t>
            </w:r>
            <w:r>
              <w:t>Valid Interpretations</w:t>
            </w:r>
            <w:bookmarkEnd w:id="312"/>
            <w:bookmarkEnd w:id="313"/>
            <w:bookmarkEnd w:id="314"/>
            <w:r>
              <w:fldChar w:fldCharType="begin"/>
            </w:r>
            <w:r>
              <w:instrText xml:space="preserve"> XE </w:instrText>
            </w:r>
            <w:r w:rsidR="00FA7E65">
              <w:instrText>“</w:instrText>
            </w:r>
            <w:r>
              <w:instrText>Tables:Valid Interpretations</w:instrText>
            </w:r>
            <w:r w:rsidR="00FA7E65">
              <w:instrText>”</w:instrText>
            </w:r>
            <w:r>
              <w:instrText xml:space="preserve"> </w:instrText>
            </w:r>
            <w:r>
              <w:fldChar w:fldCharType="end"/>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15"/>
              <w:gridCol w:w="1800"/>
            </w:tblGrid>
            <w:tr w:rsidR="002A21AE" w14:paraId="108605CF" w14:textId="77777777">
              <w:trPr>
                <w:tblHeader/>
              </w:trPr>
              <w:tc>
                <w:tcPr>
                  <w:tcW w:w="1615" w:type="dxa"/>
                  <w:shd w:val="clear" w:color="auto" w:fill="B3B3B3"/>
                  <w:vAlign w:val="bottom"/>
                </w:tcPr>
                <w:p w14:paraId="66A5FC2F" w14:textId="77777777" w:rsidR="002A21AE" w:rsidRDefault="002A21AE">
                  <w:pPr>
                    <w:pStyle w:val="TableText"/>
                    <w:jc w:val="center"/>
                    <w:rPr>
                      <w:b/>
                    </w:rPr>
                  </w:pPr>
                  <w:r>
                    <w:rPr>
                      <w:b/>
                    </w:rPr>
                    <w:t>ABO</w:t>
                  </w:r>
                </w:p>
              </w:tc>
              <w:tc>
                <w:tcPr>
                  <w:tcW w:w="1800" w:type="dxa"/>
                  <w:shd w:val="clear" w:color="auto" w:fill="B3B3B3"/>
                  <w:vAlign w:val="bottom"/>
                </w:tcPr>
                <w:p w14:paraId="08C88AEB" w14:textId="77777777" w:rsidR="002A21AE" w:rsidRDefault="002A21AE">
                  <w:pPr>
                    <w:pStyle w:val="TableText"/>
                    <w:jc w:val="center"/>
                    <w:rPr>
                      <w:b/>
                    </w:rPr>
                  </w:pPr>
                  <w:r>
                    <w:rPr>
                      <w:b/>
                    </w:rPr>
                    <w:t>Rh</w:t>
                  </w:r>
                </w:p>
              </w:tc>
            </w:tr>
            <w:tr w:rsidR="002A21AE" w14:paraId="6FAA90C7" w14:textId="77777777">
              <w:tc>
                <w:tcPr>
                  <w:tcW w:w="1615" w:type="dxa"/>
                  <w:vAlign w:val="bottom"/>
                </w:tcPr>
                <w:p w14:paraId="00997EAA" w14:textId="77777777" w:rsidR="002A21AE" w:rsidRDefault="002A21AE">
                  <w:pPr>
                    <w:pStyle w:val="TableText"/>
                  </w:pPr>
                  <w:r>
                    <w:t>A</w:t>
                  </w:r>
                </w:p>
              </w:tc>
              <w:tc>
                <w:tcPr>
                  <w:tcW w:w="1800" w:type="dxa"/>
                  <w:vAlign w:val="bottom"/>
                </w:tcPr>
                <w:p w14:paraId="1B9CF688" w14:textId="77777777" w:rsidR="002A21AE" w:rsidRDefault="002A21AE">
                  <w:pPr>
                    <w:pStyle w:val="TableText"/>
                  </w:pPr>
                  <w:r>
                    <w:t>P, POS (positive)</w:t>
                  </w:r>
                </w:p>
              </w:tc>
            </w:tr>
            <w:tr w:rsidR="002A21AE" w14:paraId="39B5D904" w14:textId="77777777">
              <w:tc>
                <w:tcPr>
                  <w:tcW w:w="1615" w:type="dxa"/>
                  <w:vAlign w:val="bottom"/>
                </w:tcPr>
                <w:p w14:paraId="7D8111AC" w14:textId="77777777" w:rsidR="002A21AE" w:rsidRDefault="002A21AE">
                  <w:pPr>
                    <w:pStyle w:val="TableText"/>
                  </w:pPr>
                  <w:r>
                    <w:t>B</w:t>
                  </w:r>
                </w:p>
              </w:tc>
              <w:tc>
                <w:tcPr>
                  <w:tcW w:w="1800" w:type="dxa"/>
                  <w:vAlign w:val="bottom"/>
                </w:tcPr>
                <w:p w14:paraId="5B8FE0F4" w14:textId="77777777" w:rsidR="002A21AE" w:rsidRDefault="002A21AE">
                  <w:pPr>
                    <w:pStyle w:val="TableText"/>
                  </w:pPr>
                  <w:r>
                    <w:t>N, NEG (negative)</w:t>
                  </w:r>
                </w:p>
              </w:tc>
            </w:tr>
            <w:tr w:rsidR="002A21AE" w14:paraId="24200F57" w14:textId="77777777">
              <w:tc>
                <w:tcPr>
                  <w:tcW w:w="1615" w:type="dxa"/>
                  <w:vAlign w:val="bottom"/>
                </w:tcPr>
                <w:p w14:paraId="10534945" w14:textId="77777777" w:rsidR="002A21AE" w:rsidRDefault="002A21AE">
                  <w:pPr>
                    <w:pStyle w:val="TableText"/>
                  </w:pPr>
                  <w:r>
                    <w:t>AB</w:t>
                  </w:r>
                </w:p>
              </w:tc>
              <w:tc>
                <w:tcPr>
                  <w:tcW w:w="1800" w:type="dxa"/>
                  <w:tcBorders>
                    <w:bottom w:val="single" w:sz="4" w:space="0" w:color="auto"/>
                  </w:tcBorders>
                  <w:vAlign w:val="bottom"/>
                </w:tcPr>
                <w:p w14:paraId="662E953C" w14:textId="77777777" w:rsidR="002A21AE" w:rsidRDefault="002A21AE">
                  <w:pPr>
                    <w:pStyle w:val="TableText"/>
                  </w:pPr>
                  <w:r>
                    <w:t>I, Inconclusive</w:t>
                  </w:r>
                </w:p>
              </w:tc>
            </w:tr>
            <w:tr w:rsidR="002A21AE" w14:paraId="7EB85C38" w14:textId="77777777">
              <w:trPr>
                <w:cantSplit/>
              </w:trPr>
              <w:tc>
                <w:tcPr>
                  <w:tcW w:w="1615" w:type="dxa"/>
                  <w:vAlign w:val="bottom"/>
                </w:tcPr>
                <w:p w14:paraId="7CF94FB3" w14:textId="77777777" w:rsidR="002A21AE" w:rsidRDefault="002A21AE">
                  <w:pPr>
                    <w:pStyle w:val="TableText"/>
                  </w:pPr>
                  <w:r>
                    <w:t>O</w:t>
                  </w:r>
                </w:p>
              </w:tc>
              <w:tc>
                <w:tcPr>
                  <w:tcW w:w="1800" w:type="dxa"/>
                  <w:vMerge w:val="restart"/>
                  <w:shd w:val="clear" w:color="auto" w:fill="B3B3B3"/>
                  <w:vAlign w:val="bottom"/>
                </w:tcPr>
                <w:p w14:paraId="037370BB" w14:textId="77777777" w:rsidR="002A21AE" w:rsidRDefault="002A21AE">
                  <w:pPr>
                    <w:pStyle w:val="TableText"/>
                  </w:pPr>
                </w:p>
              </w:tc>
            </w:tr>
            <w:tr w:rsidR="002A21AE" w14:paraId="6B3AEEB5" w14:textId="77777777">
              <w:trPr>
                <w:cantSplit/>
              </w:trPr>
              <w:tc>
                <w:tcPr>
                  <w:tcW w:w="1615" w:type="dxa"/>
                  <w:vAlign w:val="bottom"/>
                </w:tcPr>
                <w:p w14:paraId="01B6C995" w14:textId="77777777" w:rsidR="002A21AE" w:rsidRDefault="002A21AE">
                  <w:pPr>
                    <w:pStyle w:val="TableText"/>
                  </w:pPr>
                  <w:r>
                    <w:t>I, Inconclusive</w:t>
                  </w:r>
                </w:p>
              </w:tc>
              <w:tc>
                <w:tcPr>
                  <w:tcW w:w="1800" w:type="dxa"/>
                  <w:vMerge/>
                  <w:vAlign w:val="bottom"/>
                </w:tcPr>
                <w:p w14:paraId="5C6008B5" w14:textId="77777777" w:rsidR="002A21AE" w:rsidRDefault="002A21AE">
                  <w:pPr>
                    <w:pStyle w:val="NotesText"/>
                  </w:pPr>
                </w:p>
              </w:tc>
            </w:tr>
          </w:tbl>
          <w:p w14:paraId="4EE47643" w14:textId="77777777" w:rsidR="002A21AE" w:rsidRDefault="002A21AE">
            <w:pPr>
              <w:pStyle w:val="NotesText"/>
              <w:ind w:left="0"/>
            </w:pPr>
          </w:p>
          <w:p w14:paraId="2D99C062" w14:textId="77777777" w:rsidR="002A21AE" w:rsidRDefault="002A21AE">
            <w:pPr>
              <w:pStyle w:val="NotesText"/>
            </w:pPr>
            <w:r>
              <w:rPr>
                <w:rFonts w:cs="Arial"/>
                <w:vanish/>
              </w:rPr>
              <w:t xml:space="preserve">BR_2.15 </w:t>
            </w:r>
            <w:r>
              <w:t>When a user saves a partially completed ABO/Rh testing worklist, VBECS clears unit entries with incomplete or no results, releases them from the worklist, and makes them available for inclusion in a future worklist.</w:t>
            </w:r>
          </w:p>
          <w:p w14:paraId="7E76337C" w14:textId="77777777" w:rsidR="002A21AE" w:rsidRDefault="002A21AE">
            <w:pPr>
              <w:pStyle w:val="NotesText"/>
            </w:pPr>
          </w:p>
          <w:p w14:paraId="17A20B9E" w14:textId="77777777" w:rsidR="002A21AE" w:rsidRDefault="002A21AE">
            <w:pPr>
              <w:pStyle w:val="NotesText"/>
            </w:pPr>
            <w:r>
              <w:rPr>
                <w:rFonts w:cs="Arial"/>
                <w:vanish/>
              </w:rPr>
              <w:t xml:space="preserve">BR_2.35 </w:t>
            </w:r>
            <w:r>
              <w:t>Row validation is established for the interpretation vs. reaction results pattern by system rules</w:t>
            </w:r>
            <w:r>
              <w:rPr>
                <w:vanish/>
                <w:szCs w:val="18"/>
              </w:rPr>
              <w:t>TT_2.01 Forward ABO Confirmation and TT_2.02 Rh Confirmation: Forward Testing Truth Tables</w:t>
            </w:r>
            <w:r>
              <w:t>.</w:t>
            </w:r>
          </w:p>
          <w:p w14:paraId="3EA471B5" w14:textId="77777777" w:rsidR="00C55908" w:rsidRPr="00200B6D" w:rsidRDefault="00C55908" w:rsidP="00200B6D">
            <w:pPr>
              <w:pStyle w:val="NotesText"/>
            </w:pPr>
          </w:p>
          <w:p w14:paraId="45AB0744" w14:textId="77777777" w:rsidR="002A21AE" w:rsidRDefault="002A21AE" w:rsidP="00200B6D">
            <w:pPr>
              <w:pStyle w:val="NotesText"/>
              <w:rPr>
                <w:noProof/>
                <w:color w:val="000000"/>
              </w:rPr>
            </w:pPr>
            <w:r w:rsidRPr="00200B6D">
              <w:rPr>
                <w:vanish/>
                <w:szCs w:val="18"/>
              </w:rPr>
              <w:t>BR_2.05</w:t>
            </w:r>
            <w:r w:rsidR="00CE3961">
              <w:rPr>
                <w:vanish/>
                <w:szCs w:val="18"/>
              </w:rPr>
              <w:t>,</w:t>
            </w:r>
            <w:r w:rsidRPr="00200B6D">
              <w:rPr>
                <w:vanish/>
                <w:szCs w:val="18"/>
              </w:rPr>
              <w:t xml:space="preserve"> BR_2.06 </w:t>
            </w:r>
            <w:r w:rsidRPr="00200B6D">
              <w:t>ABO</w:t>
            </w:r>
            <w:r w:rsidR="004A178C" w:rsidRPr="00200B6D">
              <w:t>/Rh</w:t>
            </w:r>
            <w:r w:rsidRPr="00200B6D">
              <w:t xml:space="preserve"> interpretations are consistent with observed test results based on system rules. Discrepancies are resolved before VBECS can verify ABO</w:t>
            </w:r>
            <w:r w:rsidR="004A178C" w:rsidRPr="00200B6D">
              <w:t>/Rh</w:t>
            </w:r>
            <w:r w:rsidRPr="00200B6D">
              <w:t xml:space="preserve"> confirmation results and add them to the database. The user may reenter valid results or delete entries and start over. </w:t>
            </w:r>
          </w:p>
        </w:tc>
      </w:tr>
      <w:tr w:rsidR="002A21AE" w14:paraId="20F59AF1" w14:textId="77777777">
        <w:tc>
          <w:tcPr>
            <w:tcW w:w="3240" w:type="dxa"/>
          </w:tcPr>
          <w:p w14:paraId="10DCAB3D" w14:textId="77777777" w:rsidR="002A21AE" w:rsidRDefault="002A21AE">
            <w:pPr>
              <w:pStyle w:val="TableTextNumbers"/>
            </w:pPr>
            <w:r>
              <w:lastRenderedPageBreak/>
              <w:t>Confirm that all results were reviewed and are acceptable.</w:t>
            </w:r>
          </w:p>
          <w:p w14:paraId="7CA1EE64" w14:textId="77777777" w:rsidR="002A21AE" w:rsidRDefault="002A21AE">
            <w:pPr>
              <w:pStyle w:val="TableTextNumbersContinued"/>
            </w:pPr>
          </w:p>
        </w:tc>
        <w:tc>
          <w:tcPr>
            <w:tcW w:w="6120" w:type="dxa"/>
          </w:tcPr>
          <w:p w14:paraId="6B436B1C" w14:textId="77777777" w:rsidR="002A21AE" w:rsidRDefault="002A21AE">
            <w:pPr>
              <w:pStyle w:val="TableTextBullet"/>
            </w:pPr>
            <w:r>
              <w:t>Repeats data validation and prompts the user to save.</w:t>
            </w:r>
          </w:p>
          <w:p w14:paraId="147109E2" w14:textId="77777777" w:rsidR="002A21AE" w:rsidRDefault="002A21AE">
            <w:pPr>
              <w:pStyle w:val="TableText"/>
            </w:pPr>
          </w:p>
          <w:p w14:paraId="4F94EE8E" w14:textId="7C210945" w:rsidR="002A21AE" w:rsidRDefault="002A21AE">
            <w:pPr>
              <w:pStyle w:val="TableText"/>
              <w:rPr>
                <w:b/>
                <w:bCs/>
                <w:szCs w:val="18"/>
              </w:rPr>
            </w:pPr>
            <w:r>
              <w:rPr>
                <w:b/>
                <w:bCs/>
                <w:szCs w:val="18"/>
              </w:rPr>
              <w:t>NOTES</w:t>
            </w:r>
          </w:p>
          <w:p w14:paraId="1F90940E" w14:textId="77777777" w:rsidR="002A21AE" w:rsidRDefault="002A21AE">
            <w:pPr>
              <w:pStyle w:val="NotesText"/>
            </w:pPr>
          </w:p>
          <w:p w14:paraId="088CA818" w14:textId="77777777" w:rsidR="002A21AE" w:rsidRDefault="002A21AE">
            <w:pPr>
              <w:pStyle w:val="NotesText"/>
            </w:pPr>
            <w:r>
              <w:rPr>
                <w:rFonts w:cs="Arial"/>
                <w:vanish/>
              </w:rPr>
              <w:t xml:space="preserve">BR_2.44 </w:t>
            </w:r>
            <w:r>
              <w:t xml:space="preserve">VBECS warns that it doesn’t save partially completed unit ABO/Rh confirmation worksheets. </w:t>
            </w:r>
          </w:p>
          <w:p w14:paraId="17194D61" w14:textId="77777777" w:rsidR="002A21AE" w:rsidRDefault="002A21AE">
            <w:pPr>
              <w:pStyle w:val="NotesText"/>
            </w:pPr>
          </w:p>
          <w:p w14:paraId="40BA3F9B" w14:textId="4792E62E" w:rsidR="002A21AE" w:rsidRDefault="002A21AE">
            <w:pPr>
              <w:pStyle w:val="NotesText"/>
            </w:pPr>
            <w:r>
              <w:rPr>
                <w:rFonts w:cs="Arial"/>
                <w:vanish/>
              </w:rPr>
              <w:t xml:space="preserve">BR_2.21 </w:t>
            </w:r>
            <w:r w:rsidR="009965B7">
              <w:rPr>
                <w:rFonts w:ascii="Webdings" w:hAnsi="Webdings"/>
                <w:sz w:val="40"/>
                <w:szCs w:val="40"/>
              </w:rPr>
              <w:t></w:t>
            </w:r>
            <w:r w:rsidR="009965B7" w:rsidRPr="00D62E87">
              <w:rPr>
                <w:rFonts w:ascii="Webdings" w:hAnsi="Webdings"/>
              </w:rPr>
              <w:t></w:t>
            </w:r>
            <w:r w:rsidR="009965B7">
              <w:t>W</w:t>
            </w:r>
            <w:r>
              <w:t xml:space="preserve">hen VBECS verifies that the ABO or Rh interpretation is “Inconclusive,” it assigns the unit a “Quarantine” indicator, emits an audible alert, and captures details for inclusion in an Exception Report (exception type: </w:t>
            </w:r>
            <w:r w:rsidR="00372501">
              <w:t xml:space="preserve">Unit </w:t>
            </w:r>
            <w:r>
              <w:t>ABO/Rh confirmation Inconclusiv</w:t>
            </w:r>
            <w:r w:rsidR="0038568C">
              <w:t>e, unit quarantined).</w:t>
            </w:r>
            <w:r w:rsidR="0002020B">
              <w:t xml:space="preserve"> </w:t>
            </w:r>
            <w:r w:rsidR="00C4296C">
              <w:t>An Exception Report entry is not created when a unit is r</w:t>
            </w:r>
            <w:r w:rsidR="00C4296C" w:rsidRPr="00C4296C">
              <w:t>esulted as weak D positive or weak D inconclusive and is properly quarantined.</w:t>
            </w:r>
            <w:r w:rsidR="0002020B">
              <w:t xml:space="preserve"> </w:t>
            </w:r>
            <w:r w:rsidR="0002020B" w:rsidRPr="0002020B">
              <w:rPr>
                <w:vanish/>
              </w:rPr>
              <w:t>Defect 214349</w:t>
            </w:r>
            <w:r w:rsidR="00C4296C" w:rsidRPr="0002020B">
              <w:rPr>
                <w:vanish/>
              </w:rPr>
              <w:t xml:space="preserve">  </w:t>
            </w:r>
          </w:p>
          <w:p w14:paraId="4426EE15" w14:textId="77777777" w:rsidR="002A21AE" w:rsidRDefault="002A21AE">
            <w:pPr>
              <w:pStyle w:val="NotesText"/>
            </w:pPr>
          </w:p>
          <w:p w14:paraId="24886E21" w14:textId="77777777" w:rsidR="002A21AE" w:rsidRDefault="002A21AE">
            <w:pPr>
              <w:pStyle w:val="NotesText"/>
            </w:pPr>
            <w:r>
              <w:rPr>
                <w:rFonts w:cs="Arial"/>
                <w:vanish/>
              </w:rPr>
              <w:t xml:space="preserve">BR_2.12 </w:t>
            </w:r>
            <w:r w:rsidR="00D91CEA">
              <w:t>Upon successful completion of ABO/Rh confirmation, the unit status is</w:t>
            </w:r>
            <w:r w:rsidR="001C17DF">
              <w:t xml:space="preserve"> updated</w:t>
            </w:r>
            <w:r w:rsidR="00D91CEA">
              <w:t>. Successful completion means that the ABO and Rh (if required) interpretation is consistent with recorded observed results and matches the ABO/Rh at unit login and any repeat ABO/Rh tests on the unit that are not invalidated.</w:t>
            </w:r>
          </w:p>
        </w:tc>
      </w:tr>
      <w:tr w:rsidR="00A751E4" w14:paraId="7C6D0B80" w14:textId="77777777">
        <w:tc>
          <w:tcPr>
            <w:tcW w:w="3240" w:type="dxa"/>
          </w:tcPr>
          <w:p w14:paraId="0945D6D0" w14:textId="77777777" w:rsidR="00A751E4" w:rsidRDefault="00A751E4">
            <w:pPr>
              <w:pStyle w:val="TableTextNumbers"/>
            </w:pPr>
            <w:r>
              <w:t xml:space="preserve">Click </w:t>
            </w:r>
            <w:r w:rsidRPr="008C3BED">
              <w:rPr>
                <w:b/>
              </w:rPr>
              <w:t>OK</w:t>
            </w:r>
            <w:r>
              <w:t xml:space="preserve"> to save the ABO/Rh confirmation testing.</w:t>
            </w:r>
          </w:p>
        </w:tc>
        <w:tc>
          <w:tcPr>
            <w:tcW w:w="6120" w:type="dxa"/>
          </w:tcPr>
          <w:p w14:paraId="574E9312" w14:textId="77777777" w:rsidR="00A751E4" w:rsidRDefault="00A751E4" w:rsidP="00A751E4">
            <w:pPr>
              <w:pStyle w:val="TableTextBullet"/>
              <w:rPr>
                <w:b/>
                <w:bCs/>
                <w:szCs w:val="18"/>
              </w:rPr>
            </w:pPr>
            <w:r>
              <w:t>Prompts the user to confirm that all results were reviewed and are acceptable.</w:t>
            </w:r>
          </w:p>
        </w:tc>
      </w:tr>
      <w:tr w:rsidR="002A21AE" w14:paraId="2D61A5DD" w14:textId="77777777">
        <w:tc>
          <w:tcPr>
            <w:tcW w:w="3240" w:type="dxa"/>
          </w:tcPr>
          <w:p w14:paraId="7E5F3844" w14:textId="77777777" w:rsidR="002A21AE" w:rsidRDefault="002A21AE">
            <w:pPr>
              <w:pStyle w:val="TableTextNumbers"/>
            </w:pPr>
            <w:r>
              <w:t xml:space="preserve">Click </w:t>
            </w:r>
            <w:r>
              <w:rPr>
                <w:b/>
              </w:rPr>
              <w:t>OK</w:t>
            </w:r>
            <w:r>
              <w:t xml:space="preserve">. </w:t>
            </w:r>
            <w:r>
              <w:rPr>
                <w:vanish/>
                <w:color w:val="FFFFFF"/>
                <w:szCs w:val="18"/>
              </w:rPr>
              <w:fldChar w:fldCharType="begin"/>
            </w:r>
            <w:r>
              <w:rPr>
                <w:vanish/>
                <w:color w:val="FFFFFF"/>
                <w:szCs w:val="18"/>
              </w:rPr>
              <w:instrText xml:space="preserve"> LISTNUM \l 1 \s 0 </w:instrText>
            </w:r>
            <w:r>
              <w:rPr>
                <w:vanish/>
                <w:color w:val="FFFFFF"/>
                <w:szCs w:val="18"/>
              </w:rPr>
              <w:fldChar w:fldCharType="end">
                <w:numberingChange w:id="315" w:author="MUSZYNSKI, THOMAS D. (SIERRA 7 INC)" w:date="2024-11-26T07:15:00Z" w:original="0."/>
              </w:fldChar>
            </w:r>
          </w:p>
        </w:tc>
        <w:tc>
          <w:tcPr>
            <w:tcW w:w="6120" w:type="dxa"/>
          </w:tcPr>
          <w:p w14:paraId="25FE71D4" w14:textId="77777777" w:rsidR="002A21AE" w:rsidRDefault="002A21AE">
            <w:pPr>
              <w:pStyle w:val="TableText"/>
              <w:keepNext/>
              <w:rPr>
                <w:b/>
                <w:bCs/>
                <w:szCs w:val="18"/>
              </w:rPr>
            </w:pPr>
          </w:p>
        </w:tc>
      </w:tr>
    </w:tbl>
    <w:p w14:paraId="1624CC94" w14:textId="77777777" w:rsidR="00C0155E" w:rsidRDefault="00C0155E">
      <w:pPr>
        <w:pStyle w:val="Heading3"/>
      </w:pPr>
      <w:bookmarkStart w:id="316" w:name="_Unit_Antigen_Typing"/>
      <w:bookmarkEnd w:id="310"/>
      <w:bookmarkEnd w:id="316"/>
    </w:p>
    <w:p w14:paraId="1CC91393" w14:textId="77777777" w:rsidR="002A21AE" w:rsidRDefault="00C0155E">
      <w:pPr>
        <w:pStyle w:val="Heading3"/>
      </w:pPr>
      <w:r>
        <w:br w:type="page"/>
      </w:r>
      <w:bookmarkStart w:id="317" w:name="_Toc203765887"/>
      <w:r w:rsidR="002A21AE">
        <w:lastRenderedPageBreak/>
        <w:t>Unit Antigen Typing</w:t>
      </w:r>
      <w:bookmarkEnd w:id="317"/>
      <w:r w:rsidR="002A21AE" w:rsidRPr="00796039">
        <w:rPr>
          <w:rFonts w:ascii="Arial Bold" w:hAnsi="Arial Bold"/>
          <w:vanish/>
        </w:rPr>
        <w:fldChar w:fldCharType="begin"/>
      </w:r>
      <w:r w:rsidR="002A21AE" w:rsidRPr="00796039">
        <w:rPr>
          <w:rFonts w:ascii="Arial Bold" w:hAnsi="Arial Bold"/>
          <w:vanish/>
        </w:rPr>
        <w:instrText xml:space="preserve"> XE </w:instrText>
      </w:r>
      <w:r w:rsidR="00FA7E65" w:rsidRPr="00796039">
        <w:rPr>
          <w:rFonts w:ascii="Arial Bold" w:hAnsi="Arial Bold"/>
          <w:vanish/>
        </w:rPr>
        <w:instrText>“</w:instrText>
      </w:r>
      <w:r w:rsidR="002A21AE" w:rsidRPr="00796039">
        <w:rPr>
          <w:rFonts w:ascii="Arial Bold" w:hAnsi="Arial Bold"/>
          <w:vanish/>
        </w:rPr>
        <w:instrText>Unit Antigen Typing</w:instrText>
      </w:r>
      <w:r w:rsidR="00FA7E65" w:rsidRPr="00796039">
        <w:rPr>
          <w:rFonts w:ascii="Arial Bold" w:hAnsi="Arial Bold"/>
          <w:vanish/>
        </w:rPr>
        <w:instrText>”</w:instrText>
      </w:r>
      <w:r w:rsidR="002A21AE" w:rsidRPr="00796039">
        <w:rPr>
          <w:rFonts w:ascii="Arial Bold" w:hAnsi="Arial Bold"/>
          <w:vanish/>
        </w:rPr>
        <w:instrText xml:space="preserve"> </w:instrText>
      </w:r>
      <w:r w:rsidR="002A21AE" w:rsidRPr="00796039">
        <w:rPr>
          <w:rFonts w:ascii="Arial Bold" w:hAnsi="Arial Bold"/>
          <w:vanish/>
        </w:rPr>
        <w:fldChar w:fldCharType="end"/>
      </w:r>
      <w:r w:rsidR="002A21AE" w:rsidRPr="00796039">
        <w:rPr>
          <w:rFonts w:ascii="Arial Bold" w:hAnsi="Arial Bold"/>
          <w:vanish/>
        </w:rPr>
        <w:t xml:space="preserve"> UC_41 </w:t>
      </w:r>
    </w:p>
    <w:p w14:paraId="69009EA7" w14:textId="77777777" w:rsidR="002A21AE" w:rsidRDefault="002A21AE" w:rsidP="00FA7E65">
      <w:pPr>
        <w:pStyle w:val="BodyText"/>
      </w:pPr>
      <w:bookmarkStart w:id="318" w:name="_Toc78171570"/>
      <w:r>
        <w:t>The user performs antigen typing for one or more of the antigens in a blood unit and records the results in a worklist.</w:t>
      </w:r>
    </w:p>
    <w:p w14:paraId="57D36BF8" w14:textId="77777777" w:rsidR="002A21AE" w:rsidRDefault="002A21AE">
      <w:pPr>
        <w:pStyle w:val="Heading4"/>
      </w:pPr>
      <w:r>
        <w:t>Assumptions</w:t>
      </w:r>
    </w:p>
    <w:p w14:paraId="64E1FA3C" w14:textId="77777777" w:rsidR="002A21AE" w:rsidRDefault="002A21AE">
      <w:pPr>
        <w:pStyle w:val="ListBullet"/>
      </w:pPr>
      <w:r>
        <w:rPr>
          <w:rFonts w:ascii="Arial" w:hAnsi="Arial" w:cs="Arial"/>
          <w:vanish/>
          <w:spacing w:val="0"/>
          <w:sz w:val="18"/>
        </w:rPr>
        <w:t xml:space="preserve">BR_2.43 </w:t>
      </w:r>
      <w:r w:rsidR="00B540C0">
        <w:t>The division is “full service”.</w:t>
      </w:r>
    </w:p>
    <w:p w14:paraId="4C49B446" w14:textId="77777777" w:rsidR="002A21AE" w:rsidRDefault="00A8101B">
      <w:pPr>
        <w:pStyle w:val="ListBullet"/>
      </w:pPr>
      <w:r>
        <w:t>The units</w:t>
      </w:r>
      <w:r w:rsidR="002A21AE">
        <w:t xml:space="preserve"> and the user are in the same division.</w:t>
      </w:r>
    </w:p>
    <w:p w14:paraId="4295D186" w14:textId="77777777" w:rsidR="002A21AE" w:rsidRDefault="002A21AE">
      <w:pPr>
        <w:pStyle w:val="ListBullet"/>
      </w:pPr>
      <w:r>
        <w:t>Antiserum inventory is entered during Log In Reagents.</w:t>
      </w:r>
    </w:p>
    <w:p w14:paraId="29D26094" w14:textId="77777777" w:rsidR="002A21AE" w:rsidRDefault="002A21AE">
      <w:pPr>
        <w:pStyle w:val="Heading4"/>
      </w:pPr>
      <w:r>
        <w:t>Outcome</w:t>
      </w:r>
    </w:p>
    <w:p w14:paraId="06CFD82C" w14:textId="77777777" w:rsidR="002A21AE" w:rsidRDefault="002A21AE">
      <w:pPr>
        <w:pStyle w:val="ListBullet"/>
      </w:pPr>
      <w:r>
        <w:t>Antigen typing was applied in the unit record for informational purposes in other options.</w:t>
      </w:r>
    </w:p>
    <w:p w14:paraId="6EA4D19E" w14:textId="77777777" w:rsidR="002A21AE" w:rsidRDefault="002A21AE">
      <w:pPr>
        <w:pStyle w:val="ListBullet"/>
      </w:pPr>
      <w:r>
        <w:rPr>
          <w:rFonts w:ascii="Arial" w:hAnsi="Arial" w:cs="Arial"/>
          <w:vanish/>
          <w:spacing w:val="0"/>
          <w:sz w:val="18"/>
        </w:rPr>
        <w:t xml:space="preserve">BR_41.06 </w:t>
      </w:r>
      <w:r>
        <w:t>VBECS stores the lot number, vial identifier, manufacturer, and expiration date of the positive and negative control cells with the testing record.</w:t>
      </w:r>
    </w:p>
    <w:p w14:paraId="10B3A6D6" w14:textId="77777777" w:rsidR="00561829" w:rsidRDefault="00561829" w:rsidP="00561829">
      <w:pPr>
        <w:pStyle w:val="ListBullet"/>
      </w:pPr>
      <w:r>
        <w:t>If workload codes are assigned for this process, workload-related data collected as the result of this process are stored for inclusion in Workload Reports.</w:t>
      </w:r>
    </w:p>
    <w:p w14:paraId="440A9F19" w14:textId="77777777" w:rsidR="002A21AE" w:rsidRDefault="002A21AE">
      <w:pPr>
        <w:pStyle w:val="Heading4"/>
      </w:pPr>
      <w:r>
        <w:t>Limitations and Restrictions</w:t>
      </w:r>
    </w:p>
    <w:p w14:paraId="66864FEE" w14:textId="77777777" w:rsidR="002A21AE" w:rsidRDefault="002A21AE">
      <w:pPr>
        <w:pStyle w:val="ListBullet"/>
      </w:pPr>
      <w:r>
        <w:t>Antigen ty</w:t>
      </w:r>
      <w:r w:rsidR="00C0155E">
        <w:t>ping applies only to red blood cell antigens</w:t>
      </w:r>
      <w:r>
        <w:t xml:space="preserve">. This option does not address platelet, </w:t>
      </w:r>
      <w:r w:rsidR="007A6452">
        <w:t>histocompatibility locus antigens (</w:t>
      </w:r>
      <w:r>
        <w:t>HLA</w:t>
      </w:r>
      <w:r w:rsidR="00FF15AD">
        <w:t>s</w:t>
      </w:r>
      <w:r w:rsidR="007A6452">
        <w:t>)</w:t>
      </w:r>
      <w:r>
        <w:t xml:space="preserve">, or </w:t>
      </w:r>
      <w:r w:rsidR="007A6452">
        <w:t>Immunoglobulin A (</w:t>
      </w:r>
      <w:r>
        <w:t>IgA</w:t>
      </w:r>
      <w:r w:rsidR="007A6452">
        <w:t>)</w:t>
      </w:r>
      <w:r>
        <w:t xml:space="preserve"> antigenicity.</w:t>
      </w:r>
    </w:p>
    <w:p w14:paraId="49B55319" w14:textId="77777777" w:rsidR="00391084" w:rsidRDefault="00391084">
      <w:pPr>
        <w:pStyle w:val="ListBullet"/>
      </w:pPr>
      <w:r>
        <w:t>Only blood units of the “WHOLE BLOOD” and “RED BLOOD CELLS” ICCBBA component classes can be selected for inclusion in the antigen type worklist.</w:t>
      </w:r>
    </w:p>
    <w:p w14:paraId="4C41C6AA" w14:textId="6D86D09D" w:rsidR="00C0155E" w:rsidRDefault="00C0155E">
      <w:pPr>
        <w:pStyle w:val="ListBullet"/>
      </w:pPr>
      <w:r>
        <w:t>Antigen typing is not required on products with = &gt; 2 mL of RBC contamination that are not Red Blood Cells or Whole Blood.</w:t>
      </w:r>
    </w:p>
    <w:p w14:paraId="126F46C5" w14:textId="77777777" w:rsidR="002A21AE" w:rsidRDefault="002A21AE">
      <w:pPr>
        <w:pStyle w:val="ListBullet"/>
      </w:pPr>
      <w:r>
        <w:t>VBECS does not check whether the lot and vial numbers selected for the positive control cells differ from those of the negative control cells.</w:t>
      </w:r>
    </w:p>
    <w:p w14:paraId="51FAB354" w14:textId="51C2C1CC" w:rsidR="00AC52D9" w:rsidRDefault="00FF15AD" w:rsidP="00383985">
      <w:pPr>
        <w:pStyle w:val="ListBullet"/>
      </w:pPr>
      <w:r>
        <w:t>D antigen typing must not be combined in batch testing of Rh positive units.</w:t>
      </w:r>
    </w:p>
    <w:p w14:paraId="37919144" w14:textId="73A002D2" w:rsidR="00C86AB4" w:rsidRDefault="002C4355" w:rsidP="00383985">
      <w:pPr>
        <w:pStyle w:val="ListBullet"/>
      </w:pPr>
      <w:r>
        <w:t xml:space="preserve">The sort order of the selected units may not be inherited by the testing grid. Organize physical test materials according to the order of units presented on the testing grid. </w:t>
      </w:r>
      <w:r w:rsidRPr="002C4355">
        <w:rPr>
          <w:vanish/>
        </w:rPr>
        <w:t>Defect 209578</w:t>
      </w:r>
    </w:p>
    <w:p w14:paraId="19BE8D76" w14:textId="169F154D" w:rsidR="004675C2" w:rsidRDefault="004675C2" w:rsidP="00383985">
      <w:pPr>
        <w:pStyle w:val="ListBullet"/>
        <w:numPr>
          <w:ilvl w:val="0"/>
          <w:numId w:val="0"/>
        </w:numPr>
        <w:ind w:left="648"/>
      </w:pPr>
    </w:p>
    <w:p w14:paraId="3E45A994" w14:textId="77777777" w:rsidR="002A21AE" w:rsidRDefault="002A21AE" w:rsidP="005B025F">
      <w:pPr>
        <w:pStyle w:val="Heading4"/>
      </w:pPr>
      <w:r>
        <w:t>Additional Information</w:t>
      </w:r>
    </w:p>
    <w:p w14:paraId="11877812" w14:textId="26C2E00A" w:rsidR="00852AC1" w:rsidRPr="00852AC1" w:rsidRDefault="00852AC1" w:rsidP="009A6575">
      <w:pPr>
        <w:pStyle w:val="ListBullet"/>
      </w:pPr>
      <w:r w:rsidRPr="00852AC1">
        <w:rPr>
          <w:snapToGrid w:val="0"/>
          <w:vanish/>
        </w:rPr>
        <w:t>BR_</w:t>
      </w:r>
      <w:r w:rsidR="00F63A03">
        <w:rPr>
          <w:snapToGrid w:val="0"/>
          <w:vanish/>
        </w:rPr>
        <w:t>2.43</w:t>
      </w:r>
      <w:r>
        <w:rPr>
          <w:snapToGrid w:val="0"/>
        </w:rPr>
        <w:t xml:space="preserve">This option is disabled for transfusion-only facilities. </w:t>
      </w:r>
    </w:p>
    <w:p w14:paraId="15161432" w14:textId="77777777" w:rsidR="009A6575" w:rsidRDefault="009A6575" w:rsidP="009A6575">
      <w:pPr>
        <w:pStyle w:val="ListBullet"/>
      </w:pPr>
      <w:r>
        <w:t>Clinical significance and availability of typing reagents are not implied when antigens are included in the list of antigen type tests.</w:t>
      </w:r>
    </w:p>
    <w:p w14:paraId="0B118AD9" w14:textId="77777777" w:rsidR="002A21AE" w:rsidRDefault="002A21AE">
      <w:pPr>
        <w:pStyle w:val="ListBullet"/>
      </w:pPr>
      <w:r>
        <w:t xml:space="preserve">A CPRS patient order is not required to perform antigen typing of units. </w:t>
      </w:r>
    </w:p>
    <w:p w14:paraId="3B0861A7" w14:textId="77777777" w:rsidR="002A21AE" w:rsidRDefault="002A21AE">
      <w:pPr>
        <w:pStyle w:val="ListBullet"/>
      </w:pPr>
      <w:r>
        <w:t>A user may query the database for the presence of antigen-typed units and display or print the query results</w:t>
      </w:r>
      <w:r w:rsidR="006D5D06">
        <w:t xml:space="preserve"> in Blood Availability.</w:t>
      </w:r>
    </w:p>
    <w:p w14:paraId="4B970DB2" w14:textId="77777777" w:rsidR="002A21AE" w:rsidRDefault="002A21AE">
      <w:pPr>
        <w:pStyle w:val="ListBullet"/>
      </w:pPr>
      <w:r>
        <w:t>A user may retrieve evidence of antigen typing for any date or date range. Regulatory agencies require documentation of the reagent name, lot number, reagent expiration date, and positive and negative control.</w:t>
      </w:r>
    </w:p>
    <w:p w14:paraId="7CF5512F" w14:textId="7CE89508" w:rsidR="00AC52D9" w:rsidRDefault="00AC52D9">
      <w:pPr>
        <w:pStyle w:val="ListBullet"/>
      </w:pPr>
      <w:r>
        <w:t>A user is required to complete antigen typing QC in order to save test results. If an antigen testing worklist is started but not saved and a second testing worklist is started for the same antigen</w:t>
      </w:r>
      <w:r w:rsidR="00FE130E">
        <w:t>,</w:t>
      </w:r>
      <w:r>
        <w:t xml:space="preserve"> the QC grid will display and require completion because the first worklist has not been saved.</w:t>
      </w:r>
      <w:r>
        <w:rPr>
          <w:vanish/>
        </w:rPr>
        <w:t xml:space="preserve"> Task 1307</w:t>
      </w:r>
    </w:p>
    <w:p w14:paraId="01AA52C4" w14:textId="2CE7F570" w:rsidR="00261D97" w:rsidRDefault="00261D97" w:rsidP="00383985">
      <w:pPr>
        <w:pStyle w:val="ListBullet"/>
      </w:pPr>
      <w:r w:rsidRPr="00261D97">
        <w:lastRenderedPageBreak/>
        <w:t>When invalidating results from Unit Antigen Typing</w:t>
      </w:r>
      <w:r w:rsidR="00383985">
        <w:t>,</w:t>
      </w:r>
      <w:r w:rsidRPr="00261D97">
        <w:t xml:space="preserve"> the Exception Report does not show all invalidated values.</w:t>
      </w:r>
      <w:r w:rsidR="00383985" w:rsidRPr="00383985">
        <w:t xml:space="preserve"> View the invalidated tests on the Testing Worklist Report and the Unit History Report.</w:t>
      </w:r>
      <w:r w:rsidR="005A75E0">
        <w:t xml:space="preserve"> </w:t>
      </w:r>
      <w:r w:rsidR="005A75E0" w:rsidRPr="005A75E0">
        <w:rPr>
          <w:vanish/>
        </w:rPr>
        <w:t>Defect 210521</w:t>
      </w:r>
    </w:p>
    <w:p w14:paraId="6A386B03" w14:textId="77777777" w:rsidR="002A21AE" w:rsidRDefault="002A21AE">
      <w:pPr>
        <w:pStyle w:val="Heading4"/>
      </w:pPr>
      <w:r>
        <w:t>User Roles with Access to This Option</w:t>
      </w:r>
    </w:p>
    <w:p w14:paraId="116E4482" w14:textId="77777777" w:rsidR="002A21AE" w:rsidRDefault="002B1D25">
      <w:pPr>
        <w:pStyle w:val="Roles"/>
        <w:rPr>
          <w:snapToGrid w:val="0"/>
        </w:rPr>
      </w:pPr>
      <w:r>
        <w:t>All users</w:t>
      </w:r>
    </w:p>
    <w:bookmarkEnd w:id="318"/>
    <w:p w14:paraId="4E46F0B7" w14:textId="77777777" w:rsidR="002A21AE" w:rsidRDefault="002A21AE">
      <w:pPr>
        <w:pStyle w:val="Heading4"/>
      </w:pPr>
      <w:r>
        <w:t xml:space="preserve">Unit Antigen Typing </w:t>
      </w:r>
    </w:p>
    <w:p w14:paraId="128D6CE2" w14:textId="77777777" w:rsidR="002A21AE" w:rsidRDefault="002A21AE" w:rsidP="00FA7E65">
      <w:pPr>
        <w:pStyle w:val="BodyText"/>
      </w:pPr>
      <w:r>
        <w:t>The user performs antigen typing for one or more of the antigens on blood units. VBECS creates a list of available antigen specificities, including weak D, that can be tested. For each antigen tested, the user must select a reagent from available inventory. VBECS will check to see if valid positive and negative controls were tested for the selected reagent on the calendar day of testing. When controls are not tested, VBECS adds tests for the positive and negative controls to the worksheet.</w:t>
      </w:r>
    </w:p>
    <w:p w14:paraId="5696C9C1" w14:textId="77777777" w:rsidR="002A21AE" w:rsidRDefault="002A21AE" w:rsidP="00FA7E65">
      <w:pPr>
        <w:pStyle w:val="BodyText"/>
      </w:pPr>
      <w:r>
        <w:t>Red cell units prepared for patient transfusion may need to be negative for this antibody specificity based on their setting in the antibody table defined in Antibodies.</w:t>
      </w:r>
    </w:p>
    <w:p w14:paraId="71C6DF08" w14:textId="77777777" w:rsidR="00970274" w:rsidRDefault="00057948" w:rsidP="00970274">
      <w:pPr>
        <w:pStyle w:val="Caution"/>
      </w:pPr>
      <w:r>
        <w:rPr>
          <w:noProof/>
        </w:rPr>
        <w:drawing>
          <wp:inline distT="0" distB="0" distL="0" distR="0" wp14:anchorId="55CC5395" wp14:editId="3DA84AF1">
            <wp:extent cx="267970" cy="221615"/>
            <wp:effectExtent l="0" t="0" r="0" b="6985"/>
            <wp:docPr id="170" name="Picture 170" descr="Cau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Picture 170" descr="Caution icon"/>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67970" cy="221615"/>
                    </a:xfrm>
                    <a:prstGeom prst="rect">
                      <a:avLst/>
                    </a:prstGeom>
                    <a:noFill/>
                    <a:ln>
                      <a:noFill/>
                    </a:ln>
                  </pic:spPr>
                </pic:pic>
              </a:graphicData>
            </a:graphic>
          </wp:inline>
        </w:drawing>
      </w:r>
      <w:r w:rsidR="00970274">
        <w:t xml:space="preserve"> Deletion of a partially completed antigen typing worklist invalidates any completed tests contained on the worklist regardless of the status of the unit, including transfused units.</w:t>
      </w:r>
    </w:p>
    <w:p w14:paraId="756721A6" w14:textId="77777777" w:rsidR="00970274" w:rsidRPr="00D73AB9" w:rsidRDefault="00970274" w:rsidP="00970274">
      <w:pPr>
        <w:pStyle w:val="Caution"/>
        <w:rPr>
          <w:spacing w:val="-5"/>
        </w:rPr>
      </w:pPr>
      <w:r>
        <w:t>It is the user’s responsibility to verify that the records are being invalidated appropriately.</w:t>
      </w:r>
    </w:p>
    <w:p w14:paraId="1082E54E" w14:textId="77777777" w:rsidR="00970274" w:rsidRDefault="00970274" w:rsidP="00FA7E65">
      <w:pPr>
        <w:pStyle w:val="BodyText"/>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55361E1E" w14:textId="77777777">
        <w:trPr>
          <w:tblHeader/>
        </w:trPr>
        <w:tc>
          <w:tcPr>
            <w:tcW w:w="3240" w:type="dxa"/>
            <w:shd w:val="pct30" w:color="auto" w:fill="FFFFFF"/>
            <w:vAlign w:val="bottom"/>
          </w:tcPr>
          <w:p w14:paraId="08A38887" w14:textId="77777777" w:rsidR="002A21AE" w:rsidRDefault="002A21AE">
            <w:pPr>
              <w:pStyle w:val="TableText"/>
              <w:rPr>
                <w:b/>
                <w:bCs/>
              </w:rPr>
            </w:pPr>
            <w:r>
              <w:rPr>
                <w:b/>
                <w:bCs/>
              </w:rPr>
              <w:t>User Action</w:t>
            </w:r>
          </w:p>
        </w:tc>
        <w:tc>
          <w:tcPr>
            <w:tcW w:w="6120" w:type="dxa"/>
            <w:shd w:val="pct30" w:color="auto" w:fill="FFFFFF"/>
            <w:vAlign w:val="bottom"/>
          </w:tcPr>
          <w:p w14:paraId="04B95673" w14:textId="77777777" w:rsidR="002A21AE" w:rsidRDefault="002A21AE">
            <w:pPr>
              <w:pStyle w:val="TableText"/>
              <w:rPr>
                <w:b/>
                <w:bCs/>
              </w:rPr>
            </w:pPr>
            <w:r>
              <w:rPr>
                <w:b/>
                <w:bCs/>
              </w:rPr>
              <w:t>VBECS</w:t>
            </w:r>
          </w:p>
        </w:tc>
      </w:tr>
      <w:tr w:rsidR="002A21AE" w14:paraId="3347A465" w14:textId="77777777">
        <w:tc>
          <w:tcPr>
            <w:tcW w:w="3240" w:type="dxa"/>
          </w:tcPr>
          <w:p w14:paraId="182E4269" w14:textId="77777777" w:rsidR="002A21AE" w:rsidRDefault="002A21AE">
            <w:pPr>
              <w:pStyle w:val="TableTextNumbers"/>
            </w:pPr>
            <w:r>
              <w:t xml:space="preserve">Select </w:t>
            </w:r>
            <w:r>
              <w:rPr>
                <w:b/>
              </w:rPr>
              <w:t>Blood Units</w:t>
            </w:r>
            <w:r>
              <w:t xml:space="preserve"> from the main menu. </w:t>
            </w:r>
          </w:p>
          <w:p w14:paraId="41B683FF" w14:textId="77777777" w:rsidR="002A21AE" w:rsidRDefault="002A21AE">
            <w:pPr>
              <w:pStyle w:val="TableTextNumbersContinued"/>
            </w:pPr>
          </w:p>
          <w:p w14:paraId="11F29CEA" w14:textId="77777777" w:rsidR="002A21AE" w:rsidRDefault="002A21AE">
            <w:pPr>
              <w:pStyle w:val="TableTextNumbersContinued"/>
            </w:pPr>
            <w:r>
              <w:t xml:space="preserve">Select </w:t>
            </w:r>
            <w:r>
              <w:rPr>
                <w:b/>
              </w:rPr>
              <w:t>Unit Antigen Typing</w:t>
            </w:r>
            <w:r>
              <w:t>.</w:t>
            </w:r>
          </w:p>
        </w:tc>
        <w:tc>
          <w:tcPr>
            <w:tcW w:w="6120" w:type="dxa"/>
          </w:tcPr>
          <w:p w14:paraId="237A773B" w14:textId="77777777" w:rsidR="002A21AE" w:rsidRDefault="002A21AE">
            <w:pPr>
              <w:pStyle w:val="TableTextBullet"/>
            </w:pPr>
            <w:r>
              <w:t>Displays options for processing blood units.</w:t>
            </w:r>
          </w:p>
          <w:p w14:paraId="2C3CCB15" w14:textId="77777777" w:rsidR="002A21AE" w:rsidRDefault="002A21AE">
            <w:pPr>
              <w:pStyle w:val="TableTextBullet"/>
            </w:pPr>
            <w:r>
              <w:t>Displays options for processing antisera.</w:t>
            </w:r>
          </w:p>
        </w:tc>
      </w:tr>
      <w:tr w:rsidR="002A21AE" w14:paraId="3A20B377" w14:textId="77777777">
        <w:tc>
          <w:tcPr>
            <w:tcW w:w="3240" w:type="dxa"/>
          </w:tcPr>
          <w:p w14:paraId="5E7A8045" w14:textId="77777777" w:rsidR="002A21AE" w:rsidRDefault="002A21AE">
            <w:pPr>
              <w:pStyle w:val="TableTextNumbers"/>
            </w:pPr>
            <w:r>
              <w:t xml:space="preserve">Click </w:t>
            </w:r>
            <w:r>
              <w:rPr>
                <w:b/>
              </w:rPr>
              <w:t>Create New Worklist</w:t>
            </w:r>
          </w:p>
          <w:p w14:paraId="1C97BF25" w14:textId="50E323DD" w:rsidR="002A21AE" w:rsidRDefault="00F465E9">
            <w:pPr>
              <w:pStyle w:val="TableTextNumbersContinued"/>
            </w:pPr>
            <w:r w:rsidRPr="00F465E9">
              <w:t>(</w:t>
            </w:r>
            <w:r w:rsidR="00EE455E">
              <w:t xml:space="preserve">Figure </w:t>
            </w:r>
            <w:r w:rsidR="00EE455E">
              <w:rPr>
                <w:noProof/>
              </w:rPr>
              <w:t>55</w:t>
            </w:r>
            <w:r>
              <w:t xml:space="preserve">, </w:t>
            </w:r>
            <w:r w:rsidR="00EE455E">
              <w:t xml:space="preserve">Figure </w:t>
            </w:r>
            <w:r w:rsidR="00EE455E">
              <w:rPr>
                <w:noProof/>
              </w:rPr>
              <w:t>56</w:t>
            </w:r>
            <w:r w:rsidRPr="00F465E9">
              <w:t>)</w:t>
            </w:r>
            <w:r>
              <w:t>.</w:t>
            </w:r>
          </w:p>
          <w:p w14:paraId="048CAD63" w14:textId="77777777" w:rsidR="00F465E9" w:rsidRDefault="00F465E9">
            <w:pPr>
              <w:pStyle w:val="TableTextNumbersContinued"/>
            </w:pPr>
          </w:p>
          <w:p w14:paraId="23E45242" w14:textId="3D549119" w:rsidR="002A21AE" w:rsidRDefault="002A21AE">
            <w:pPr>
              <w:pStyle w:val="TableTextNumbersContinued"/>
            </w:pPr>
            <w:r>
              <w:t>When partially completed worklists exist, click a check box to select an existing worklist and go to Step 5</w:t>
            </w:r>
            <w:r w:rsidR="00F465E9">
              <w:t xml:space="preserve"> (</w:t>
            </w:r>
            <w:r w:rsidR="00EE455E">
              <w:t xml:space="preserve">Figure </w:t>
            </w:r>
            <w:r w:rsidR="00EE455E">
              <w:rPr>
                <w:noProof/>
              </w:rPr>
              <w:t>57</w:t>
            </w:r>
            <w:r w:rsidR="00F465E9">
              <w:t>)</w:t>
            </w:r>
            <w:r>
              <w:t xml:space="preserve">. </w:t>
            </w:r>
          </w:p>
          <w:p w14:paraId="093476A9" w14:textId="77777777" w:rsidR="002A21AE" w:rsidRDefault="002A21AE">
            <w:pPr>
              <w:pStyle w:val="TableTextNumbersContinued"/>
            </w:pPr>
          </w:p>
          <w:p w14:paraId="3CB8EC37" w14:textId="77777777" w:rsidR="002A21AE" w:rsidRDefault="002A21AE">
            <w:pPr>
              <w:pStyle w:val="TableTextNumbersContinued"/>
            </w:pPr>
            <w:r>
              <w:t xml:space="preserve">Click </w:t>
            </w:r>
            <w:r>
              <w:rPr>
                <w:b/>
              </w:rPr>
              <w:t>Delete</w:t>
            </w:r>
            <w:r>
              <w:t xml:space="preserve"> to delete the worklist from the list or </w:t>
            </w:r>
            <w:r>
              <w:rPr>
                <w:b/>
              </w:rPr>
              <w:t>OK</w:t>
            </w:r>
            <w:r>
              <w:t xml:space="preserve"> to continue.</w:t>
            </w:r>
          </w:p>
          <w:p w14:paraId="1D4AC403" w14:textId="77777777" w:rsidR="002A21AE" w:rsidRDefault="002A21AE">
            <w:pPr>
              <w:pStyle w:val="TableTextNumbersContinued"/>
              <w:rPr>
                <w:b/>
                <w:bCs/>
              </w:rPr>
            </w:pPr>
          </w:p>
          <w:p w14:paraId="584E6C3F" w14:textId="77777777" w:rsidR="002A21AE" w:rsidRDefault="002A21AE"/>
        </w:tc>
        <w:tc>
          <w:tcPr>
            <w:tcW w:w="6120" w:type="dxa"/>
          </w:tcPr>
          <w:p w14:paraId="539B9FD3" w14:textId="77777777" w:rsidR="002A21AE" w:rsidRDefault="002A21AE">
            <w:pPr>
              <w:pStyle w:val="TableTextBullet"/>
            </w:pPr>
            <w:r>
              <w:t>Accommodates selection of a partially completed testing worklist or creation of a new testing worklist.</w:t>
            </w:r>
          </w:p>
          <w:p w14:paraId="144F53EC" w14:textId="77777777" w:rsidR="002A21AE" w:rsidRDefault="002A21AE">
            <w:pPr>
              <w:pStyle w:val="TableTextBullet"/>
            </w:pPr>
            <w:r>
              <w:t>Displays an option to select or delete a partially completed worksheet.</w:t>
            </w:r>
          </w:p>
          <w:p w14:paraId="42533849" w14:textId="77777777" w:rsidR="002A21AE" w:rsidRDefault="002A21AE">
            <w:pPr>
              <w:pStyle w:val="TableTextBullet"/>
            </w:pPr>
            <w:r>
              <w:rPr>
                <w:rFonts w:cs="Arial"/>
                <w:vanish/>
              </w:rPr>
              <w:t xml:space="preserve">BR_41.15 </w:t>
            </w:r>
            <w:r>
              <w:t>When selecting a partially completed worklist, the user verifies the lot numbers, manufacturer name, and expiration date of the antiserum and control cells previously selected. These may not be edited. When a discrepancy is found, the user must delete the worklist and start over.</w:t>
            </w:r>
          </w:p>
          <w:p w14:paraId="0DA3212A" w14:textId="77777777" w:rsidR="002A21AE" w:rsidRDefault="002A21AE">
            <w:pPr>
              <w:pStyle w:val="TableText"/>
            </w:pPr>
          </w:p>
          <w:p w14:paraId="463BF72A" w14:textId="1A6DA3FD" w:rsidR="002A21AE" w:rsidRDefault="002A21AE">
            <w:pPr>
              <w:pStyle w:val="TableText"/>
              <w:rPr>
                <w:b/>
                <w:bCs/>
                <w:szCs w:val="18"/>
              </w:rPr>
            </w:pPr>
            <w:r>
              <w:rPr>
                <w:b/>
                <w:bCs/>
                <w:szCs w:val="18"/>
              </w:rPr>
              <w:t>NOTES</w:t>
            </w:r>
          </w:p>
          <w:p w14:paraId="0585D4DD" w14:textId="77777777" w:rsidR="002A21AE" w:rsidRDefault="002A21AE">
            <w:pPr>
              <w:pStyle w:val="NotesText"/>
            </w:pPr>
          </w:p>
          <w:p w14:paraId="7A43C426" w14:textId="77777777" w:rsidR="002A21AE" w:rsidRDefault="002A21AE">
            <w:pPr>
              <w:pStyle w:val="NotesText"/>
            </w:pPr>
            <w:r>
              <w:t>VBECS displays the date and time the testing was performed (default: current date and time). These are editable to allow for retrospective entry.</w:t>
            </w:r>
          </w:p>
          <w:p w14:paraId="14C8E9E8" w14:textId="77777777" w:rsidR="002A21AE" w:rsidRDefault="002A21AE">
            <w:pPr>
              <w:pStyle w:val="NotesText"/>
            </w:pPr>
          </w:p>
          <w:p w14:paraId="7AC225BF" w14:textId="77777777" w:rsidR="002A21AE" w:rsidRDefault="002A21AE">
            <w:pPr>
              <w:pStyle w:val="NotesText"/>
            </w:pPr>
            <w:r>
              <w:t>VBECS displays the testing technologist ID (default: current user). A pick list of valid division users is available for the user’s selection.</w:t>
            </w:r>
          </w:p>
          <w:p w14:paraId="052F00A2" w14:textId="77777777" w:rsidR="002A21AE" w:rsidRDefault="002A21AE">
            <w:pPr>
              <w:pStyle w:val="NotesText"/>
              <w:ind w:left="0"/>
            </w:pPr>
          </w:p>
          <w:p w14:paraId="7737FE38" w14:textId="77777777" w:rsidR="002A21AE" w:rsidRDefault="002A21AE">
            <w:pPr>
              <w:pStyle w:val="NotesText"/>
            </w:pPr>
            <w:r>
              <w:rPr>
                <w:rFonts w:cs="Arial"/>
                <w:vanish/>
              </w:rPr>
              <w:t xml:space="preserve">BR_56.14 </w:t>
            </w:r>
            <w:r>
              <w:t>When an automated instrument was used for testing, the user enters the name of the instrument and may indicate that successful quality control testing was done for the date.</w:t>
            </w:r>
          </w:p>
        </w:tc>
      </w:tr>
      <w:tr w:rsidR="002A21AE" w14:paraId="0B9F8EF5" w14:textId="77777777" w:rsidTr="006C058D">
        <w:trPr>
          <w:cantSplit/>
        </w:trPr>
        <w:tc>
          <w:tcPr>
            <w:tcW w:w="3240" w:type="dxa"/>
          </w:tcPr>
          <w:p w14:paraId="13919F4B" w14:textId="77777777" w:rsidR="002A21AE" w:rsidRDefault="002A21AE">
            <w:pPr>
              <w:pStyle w:val="TableTextNumbers"/>
            </w:pPr>
            <w:r>
              <w:lastRenderedPageBreak/>
              <w:t>To create a new testing worklist, select a date or accept the default.</w:t>
            </w:r>
          </w:p>
          <w:p w14:paraId="5498C986" w14:textId="77777777" w:rsidR="002A21AE" w:rsidRDefault="002A21AE">
            <w:pPr>
              <w:pStyle w:val="TableTextNumbersContinued"/>
            </w:pPr>
          </w:p>
          <w:p w14:paraId="04780C40" w14:textId="77777777" w:rsidR="002A21AE" w:rsidRDefault="002A21AE">
            <w:pPr>
              <w:pStyle w:val="TableTextNumbersContinued"/>
            </w:pPr>
            <w:r>
              <w:t>Select a “Tested By” name.</w:t>
            </w:r>
          </w:p>
          <w:p w14:paraId="0C7A9C50" w14:textId="77777777" w:rsidR="002A21AE" w:rsidRDefault="002A21AE">
            <w:pPr>
              <w:pStyle w:val="TableTextNumbersContinued"/>
            </w:pPr>
          </w:p>
          <w:p w14:paraId="56CB7138" w14:textId="77777777" w:rsidR="002A21AE" w:rsidRDefault="002A21AE">
            <w:pPr>
              <w:pStyle w:val="TableTextNumbersContinued"/>
            </w:pPr>
            <w:r>
              <w:t>Click a radio button to select Tube, Gel, or Solid Phase.</w:t>
            </w:r>
          </w:p>
          <w:p w14:paraId="55C3481C" w14:textId="77777777" w:rsidR="002A21AE" w:rsidRDefault="002A21AE">
            <w:pPr>
              <w:pStyle w:val="TableTextNumbersContinued"/>
            </w:pPr>
          </w:p>
          <w:p w14:paraId="3FB2410C" w14:textId="77777777" w:rsidR="002A21AE" w:rsidRDefault="002A21AE">
            <w:pPr>
              <w:pStyle w:val="TableTextNumbersContinued"/>
            </w:pPr>
            <w:r>
              <w:t xml:space="preserve">Click </w:t>
            </w:r>
            <w:r>
              <w:rPr>
                <w:b/>
              </w:rPr>
              <w:t>Using Automated Instrument</w:t>
            </w:r>
            <w:r>
              <w:t xml:space="preserve">, as appropriate. </w:t>
            </w:r>
          </w:p>
          <w:p w14:paraId="34765243" w14:textId="77777777" w:rsidR="002A21AE" w:rsidRDefault="002A21AE">
            <w:pPr>
              <w:pStyle w:val="TableTextNumbersContinued"/>
            </w:pPr>
          </w:p>
          <w:p w14:paraId="3A3E9335" w14:textId="77777777" w:rsidR="002A21AE" w:rsidRDefault="002A21AE">
            <w:pPr>
              <w:pStyle w:val="TableTextNumbersContinued"/>
            </w:pPr>
            <w:r>
              <w:t xml:space="preserve">Click </w:t>
            </w:r>
            <w:r>
              <w:rPr>
                <w:b/>
              </w:rPr>
              <w:t>OK</w:t>
            </w:r>
            <w:r>
              <w:t>.</w:t>
            </w:r>
          </w:p>
          <w:p w14:paraId="0DA21AF2" w14:textId="77777777" w:rsidR="002A21AE" w:rsidRDefault="002A21AE">
            <w:pPr>
              <w:pStyle w:val="TableTextNumbersContinued"/>
            </w:pPr>
          </w:p>
        </w:tc>
        <w:tc>
          <w:tcPr>
            <w:tcW w:w="6120" w:type="dxa"/>
          </w:tcPr>
          <w:p w14:paraId="1EF05C5B" w14:textId="77777777" w:rsidR="002A21AE" w:rsidRDefault="002A21AE">
            <w:pPr>
              <w:pStyle w:val="TableTextBullet"/>
            </w:pPr>
            <w:r>
              <w:t xml:space="preserve">Displays an option to select antiserum types. </w:t>
            </w:r>
          </w:p>
          <w:p w14:paraId="0613C982" w14:textId="77777777" w:rsidR="002A21AE" w:rsidRDefault="002A21AE">
            <w:pPr>
              <w:pStyle w:val="TableTextBullet"/>
            </w:pPr>
            <w:r>
              <w:t xml:space="preserve">Displays an option to select a lot number for each antiserum type selected. </w:t>
            </w:r>
          </w:p>
          <w:p w14:paraId="4026276A" w14:textId="77777777" w:rsidR="002A21AE" w:rsidRDefault="002A21AE">
            <w:pPr>
              <w:pStyle w:val="TableTextBullet"/>
            </w:pPr>
            <w:r>
              <w:t>Displays the lot number information.</w:t>
            </w:r>
          </w:p>
          <w:p w14:paraId="12C2E746" w14:textId="77777777" w:rsidR="002A21AE" w:rsidRDefault="002A21AE">
            <w:pPr>
              <w:pStyle w:val="TableTextBullet"/>
            </w:pPr>
            <w:r>
              <w:t>Prompts the user to select the correct antiserum entry for the specificity selected.</w:t>
            </w:r>
          </w:p>
          <w:p w14:paraId="5A2F3322" w14:textId="77777777" w:rsidR="002A21AE" w:rsidRDefault="002A21AE">
            <w:pPr>
              <w:pStyle w:val="TableText"/>
            </w:pPr>
          </w:p>
          <w:p w14:paraId="5FC97CDC" w14:textId="7B38E790" w:rsidR="002A21AE" w:rsidRDefault="002A21AE">
            <w:pPr>
              <w:pStyle w:val="TableText"/>
              <w:rPr>
                <w:b/>
                <w:bCs/>
                <w:szCs w:val="18"/>
              </w:rPr>
            </w:pPr>
            <w:r>
              <w:rPr>
                <w:b/>
                <w:bCs/>
                <w:szCs w:val="18"/>
              </w:rPr>
              <w:t>NOTES</w:t>
            </w:r>
          </w:p>
          <w:p w14:paraId="4FC7F823" w14:textId="77777777" w:rsidR="002A21AE" w:rsidRDefault="002A21AE">
            <w:pPr>
              <w:pStyle w:val="NotesText"/>
            </w:pPr>
          </w:p>
          <w:p w14:paraId="458725FD" w14:textId="0805B980" w:rsidR="002A21AE" w:rsidRDefault="002A21AE">
            <w:pPr>
              <w:pStyle w:val="NotesText"/>
            </w:pPr>
            <w:r>
              <w:rPr>
                <w:rFonts w:cs="Arial"/>
                <w:vanish/>
              </w:rPr>
              <w:t xml:space="preserve">BR_41.01 </w:t>
            </w:r>
            <w:r>
              <w:t xml:space="preserve">VBECS lists available antigen type tests from which the user may select and allows the user to enter the specificity to expedite the search. The list of antigen type tests is derived from the Corresponding Antigens field from </w:t>
            </w:r>
            <w:r w:rsidR="00EE455E">
              <w:t xml:space="preserve">Appendix </w:t>
            </w:r>
            <w:r w:rsidR="00EE455E">
              <w:rPr>
                <w:noProof/>
              </w:rPr>
              <w:t>B</w:t>
            </w:r>
            <w:r>
              <w:t>:</w:t>
            </w:r>
            <w:r w:rsidR="0059553A">
              <w:t xml:space="preserve"> </w:t>
            </w:r>
            <w:r w:rsidR="00EE455E">
              <w:t xml:space="preserve">Table </w:t>
            </w:r>
            <w:r w:rsidR="00EE455E">
              <w:rPr>
                <w:noProof/>
              </w:rPr>
              <w:t>14</w:t>
            </w:r>
            <w:r w:rsidR="00EE455E">
              <w:t xml:space="preserve">: </w:t>
            </w:r>
            <w:r w:rsidR="00EE455E">
              <w:rPr>
                <w:vanish/>
              </w:rPr>
              <w:t xml:space="preserve">TT_23.01A </w:t>
            </w:r>
            <w:r w:rsidR="00EE455E">
              <w:t>Antibody and Antigen Table: Irregular Antibodies</w:t>
            </w:r>
            <w:r>
              <w:t xml:space="preserve">. </w:t>
            </w:r>
          </w:p>
          <w:p w14:paraId="6CC93B7E" w14:textId="77777777" w:rsidR="002A21AE" w:rsidRDefault="002A21AE">
            <w:pPr>
              <w:pStyle w:val="NotesText"/>
            </w:pPr>
          </w:p>
          <w:p w14:paraId="7EFC2FC7" w14:textId="099EE1D7" w:rsidR="002A21AE" w:rsidRDefault="002A21AE">
            <w:pPr>
              <w:pStyle w:val="NotesText"/>
            </w:pPr>
            <w:r>
              <w:rPr>
                <w:rFonts w:cs="Arial"/>
                <w:vanish/>
              </w:rPr>
              <w:t xml:space="preserve">BR_41.04 </w:t>
            </w:r>
            <w:r w:rsidR="009965B7" w:rsidRPr="00896F17">
              <w:rPr>
                <w:rStyle w:val="BullhornChar"/>
              </w:rPr>
              <w:t></w:t>
            </w:r>
            <w:r w:rsidR="009965B7" w:rsidRPr="00D62E87">
              <w:rPr>
                <w:rFonts w:ascii="Webdings" w:hAnsi="Webdings"/>
              </w:rPr>
              <w:t></w:t>
            </w:r>
            <w:r w:rsidR="009965B7" w:rsidRPr="00D62E87">
              <w:t>V</w:t>
            </w:r>
            <w:r>
              <w:t xml:space="preserve">BECS displays data fields for the user to select or enter the lot number, and displays the manufacturer and expiration date of each antiserum to be used in this transaction to allow the user to choose the correct antiserum. VBECS displays in-date antisera and allows the selection of outdated antisera, if needed, emits an audible alert, and requires an override and generation of an Exception Report (exception type: expired antisera used). A comment </w:t>
            </w:r>
            <w:r w:rsidR="003B25C3">
              <w:t xml:space="preserve">from the "Unit Testing" context </w:t>
            </w:r>
            <w:r>
              <w:t>is required.</w:t>
            </w:r>
          </w:p>
          <w:p w14:paraId="2BC1F1C9" w14:textId="77777777" w:rsidR="002A21AE" w:rsidRDefault="002A21AE">
            <w:pPr>
              <w:pStyle w:val="NotesText"/>
            </w:pPr>
          </w:p>
          <w:p w14:paraId="4A6575AC" w14:textId="77777777" w:rsidR="002A21AE" w:rsidRDefault="002A21AE">
            <w:pPr>
              <w:pStyle w:val="NotesText"/>
            </w:pPr>
            <w:r>
              <w:rPr>
                <w:rFonts w:cs="Arial"/>
                <w:vanish/>
              </w:rPr>
              <w:t xml:space="preserve">BR_41.26 </w:t>
            </w:r>
            <w:r w:rsidR="00263B24" w:rsidRPr="00896F17">
              <w:rPr>
                <w:rStyle w:val="BullhornChar"/>
              </w:rPr>
              <w:t></w:t>
            </w:r>
            <w:r w:rsidR="00263B24">
              <w:rPr>
                <w:rFonts w:ascii="Webdings" w:hAnsi="Webdings"/>
              </w:rPr>
              <w:t></w:t>
            </w:r>
            <w:r w:rsidR="00263B24">
              <w:t>W</w:t>
            </w:r>
            <w:r>
              <w:t>hen a user attempts to change the phases of reactivity, VBECS emits an audible alert, warns that the user selected phases that were not used previously for this reagent, and asks whether the user wishes to continue.</w:t>
            </w:r>
          </w:p>
          <w:p w14:paraId="31603688" w14:textId="77777777" w:rsidR="002A21AE" w:rsidRDefault="002A21AE">
            <w:pPr>
              <w:pStyle w:val="NotesText"/>
            </w:pPr>
          </w:p>
          <w:p w14:paraId="5318BA39" w14:textId="591DADA2" w:rsidR="002A21AE" w:rsidRDefault="002A21AE">
            <w:pPr>
              <w:pStyle w:val="NotesText"/>
            </w:pPr>
            <w:r>
              <w:rPr>
                <w:b/>
              </w:rPr>
              <w:t>No</w:t>
            </w:r>
            <w:r>
              <w:t xml:space="preserve"> returns the user to the screen to select the correct testing phases. </w:t>
            </w:r>
            <w:r>
              <w:rPr>
                <w:b/>
              </w:rPr>
              <w:t>Yes</w:t>
            </w:r>
            <w:r>
              <w:t xml:space="preserve"> requires the user to enter a comment</w:t>
            </w:r>
            <w:r w:rsidR="00425884">
              <w:t xml:space="preserve"> from the </w:t>
            </w:r>
            <w:r w:rsidR="00306439">
              <w:t>“</w:t>
            </w:r>
            <w:r w:rsidR="000A4A47">
              <w:t>Reagent and Supply”</w:t>
            </w:r>
            <w:r w:rsidR="00306439">
              <w:t xml:space="preserve"> context explaining </w:t>
            </w:r>
            <w:r>
              <w:t>why different testing phases are selected, and captures details for inclusion in an Exception Report (exception type: antigen testing phase change).</w:t>
            </w:r>
          </w:p>
          <w:p w14:paraId="76AD0D19" w14:textId="77777777" w:rsidR="002A21AE" w:rsidRDefault="002A21AE">
            <w:pPr>
              <w:pStyle w:val="NotesText"/>
            </w:pPr>
          </w:p>
          <w:p w14:paraId="67DC639A" w14:textId="77777777" w:rsidR="00722DBF" w:rsidRDefault="00722DBF" w:rsidP="00722DBF">
            <w:pPr>
              <w:pStyle w:val="NotesText"/>
            </w:pPr>
            <w:r>
              <w:rPr>
                <w:snapToGrid w:val="0"/>
                <w:vanish/>
              </w:rPr>
              <w:t xml:space="preserve">BR_41.30 </w:t>
            </w:r>
            <w:r>
              <w:t>When a user selects a reagent rack for which quality control (QC) testing was never performed in Enter Daily QC Results, VBECS displays a warning message, clears the selection, and allows the user to select a different rack.</w:t>
            </w:r>
            <w:r w:rsidR="000371B2">
              <w:rPr>
                <w:vanish/>
              </w:rPr>
              <w:t xml:space="preserve"> DR 3945</w:t>
            </w:r>
          </w:p>
          <w:p w14:paraId="0CE5FDF7" w14:textId="77777777" w:rsidR="00722DBF" w:rsidRDefault="00722DBF">
            <w:pPr>
              <w:pStyle w:val="NotesText"/>
              <w:rPr>
                <w:rFonts w:cs="Arial"/>
                <w:vanish/>
              </w:rPr>
            </w:pPr>
          </w:p>
          <w:p w14:paraId="6E4C993C" w14:textId="77777777" w:rsidR="002A21AE" w:rsidRDefault="002A21AE">
            <w:pPr>
              <w:pStyle w:val="NotesText"/>
            </w:pPr>
            <w:r>
              <w:rPr>
                <w:rFonts w:cs="Arial"/>
                <w:vanish/>
              </w:rPr>
              <w:t xml:space="preserve">BR_41.27 </w:t>
            </w:r>
            <w:r>
              <w:t>When the user QC’d the antigen typing reagent lot number and performed patient antigen typing on the same date under different testing phases, VBECS enables the QC grid for the antisera in the phases the user selected.</w:t>
            </w:r>
          </w:p>
        </w:tc>
      </w:tr>
      <w:tr w:rsidR="002A21AE" w14:paraId="036D2862" w14:textId="77777777" w:rsidTr="006C058D">
        <w:trPr>
          <w:cantSplit/>
        </w:trPr>
        <w:tc>
          <w:tcPr>
            <w:tcW w:w="3240" w:type="dxa"/>
          </w:tcPr>
          <w:p w14:paraId="033BFFBC" w14:textId="77777777" w:rsidR="002A21AE" w:rsidRDefault="002A21AE">
            <w:pPr>
              <w:pStyle w:val="TableTextNumbers"/>
            </w:pPr>
            <w:r>
              <w:lastRenderedPageBreak/>
              <w:t xml:space="preserve">Define the antiserum used. </w:t>
            </w:r>
          </w:p>
          <w:p w14:paraId="2FCE81A6" w14:textId="77777777" w:rsidR="002A21AE" w:rsidRDefault="002A21AE">
            <w:pPr>
              <w:pStyle w:val="TableTextNumbersContinued"/>
            </w:pPr>
          </w:p>
          <w:p w14:paraId="2050998C" w14:textId="77777777" w:rsidR="002A21AE" w:rsidRDefault="002A21AE">
            <w:pPr>
              <w:pStyle w:val="TableTextNumbersContinued"/>
            </w:pPr>
            <w:r>
              <w:t>Enter a lot number for each antiserum specificity.</w:t>
            </w:r>
          </w:p>
          <w:p w14:paraId="4F1F4AFA" w14:textId="77777777" w:rsidR="002A21AE" w:rsidRDefault="002A21AE">
            <w:pPr>
              <w:pStyle w:val="TableTextNumbersContinued"/>
            </w:pPr>
          </w:p>
          <w:p w14:paraId="7E8C3EB8" w14:textId="77777777" w:rsidR="002A21AE" w:rsidRDefault="002A21AE">
            <w:pPr>
              <w:pStyle w:val="TableTextNumbersContinued"/>
            </w:pPr>
            <w:r>
              <w:t>Select the testing phase:</w:t>
            </w:r>
          </w:p>
          <w:p w14:paraId="654F1A3E" w14:textId="77777777" w:rsidR="002A21AE" w:rsidRDefault="002A21AE">
            <w:pPr>
              <w:pStyle w:val="TableTextNumbersBullet"/>
            </w:pPr>
            <w:r>
              <w:t>IS</w:t>
            </w:r>
          </w:p>
          <w:p w14:paraId="26AEB10A" w14:textId="77777777" w:rsidR="002A21AE" w:rsidRDefault="002A21AE">
            <w:pPr>
              <w:pStyle w:val="TableTextNumbersBullet"/>
            </w:pPr>
            <w:r>
              <w:t>IS/RT</w:t>
            </w:r>
          </w:p>
          <w:p w14:paraId="16CA916B" w14:textId="77777777" w:rsidR="002A21AE" w:rsidRDefault="002A21AE">
            <w:pPr>
              <w:pStyle w:val="TableTextNumbersBullet"/>
            </w:pPr>
            <w:r>
              <w:t>IS/37</w:t>
            </w:r>
          </w:p>
          <w:p w14:paraId="743985F7" w14:textId="77777777" w:rsidR="002A21AE" w:rsidRDefault="002A21AE">
            <w:pPr>
              <w:pStyle w:val="TableTextNumbersBullet"/>
            </w:pPr>
            <w:r>
              <w:t>AHG/CC.</w:t>
            </w:r>
            <w:r>
              <w:br/>
            </w:r>
          </w:p>
          <w:p w14:paraId="5DD55B9A" w14:textId="77777777" w:rsidR="002A21AE" w:rsidRDefault="002A21AE">
            <w:pPr>
              <w:pStyle w:val="TableTextNumbersContinued"/>
            </w:pPr>
            <w:r>
              <w:t>Select the rack, if applicable.</w:t>
            </w:r>
            <w:r>
              <w:br/>
            </w:r>
          </w:p>
          <w:p w14:paraId="5D27FAFC" w14:textId="77777777" w:rsidR="002A21AE" w:rsidRDefault="002A21AE">
            <w:pPr>
              <w:pStyle w:val="TableTextNumbersContinued"/>
            </w:pPr>
            <w:r>
              <w:t xml:space="preserve">Select </w:t>
            </w:r>
            <w:r>
              <w:rPr>
                <w:b/>
              </w:rPr>
              <w:t>Add</w:t>
            </w:r>
            <w:r>
              <w:t xml:space="preserve">. </w:t>
            </w:r>
          </w:p>
          <w:p w14:paraId="61D47FCB" w14:textId="77777777" w:rsidR="002A21AE" w:rsidRDefault="002A21AE">
            <w:pPr>
              <w:pStyle w:val="TableTextNumbersContinued"/>
            </w:pPr>
          </w:p>
          <w:p w14:paraId="30377E51" w14:textId="77777777" w:rsidR="002A21AE" w:rsidRDefault="002A21AE">
            <w:pPr>
              <w:pStyle w:val="TableTextNumbersContinued"/>
            </w:pPr>
            <w:r>
              <w:t>Select additional antisera, if desired.</w:t>
            </w:r>
          </w:p>
          <w:p w14:paraId="5BF5AEA8" w14:textId="77777777" w:rsidR="002A21AE" w:rsidRDefault="002A21AE">
            <w:pPr>
              <w:pStyle w:val="TableTextNumbersContinued"/>
            </w:pPr>
          </w:p>
          <w:p w14:paraId="7B3A5CF0" w14:textId="77777777" w:rsidR="002A21AE" w:rsidRDefault="002A21AE">
            <w:pPr>
              <w:pStyle w:val="TableTextNumbersContinued"/>
            </w:pPr>
            <w:r>
              <w:t>Respond to warnings and enter comments, when indicated.</w:t>
            </w:r>
            <w:r>
              <w:br/>
            </w:r>
          </w:p>
          <w:p w14:paraId="090C5156" w14:textId="2FD827E1" w:rsidR="002A21AE" w:rsidRDefault="002A21AE" w:rsidP="0027394C">
            <w:pPr>
              <w:pStyle w:val="TableTextNumbersContinued"/>
              <w:rPr>
                <w:b/>
                <w:bCs/>
              </w:rPr>
            </w:pPr>
            <w:r>
              <w:t xml:space="preserve">Select </w:t>
            </w:r>
            <w:r>
              <w:rPr>
                <w:b/>
              </w:rPr>
              <w:t>OK</w:t>
            </w:r>
            <w:r w:rsidR="00030E55" w:rsidRPr="00030E55">
              <w:t xml:space="preserve"> (</w:t>
            </w:r>
            <w:r w:rsidR="00EE455E">
              <w:t xml:space="preserve">Figure </w:t>
            </w:r>
            <w:r w:rsidR="00EE455E">
              <w:rPr>
                <w:noProof/>
              </w:rPr>
              <w:t>58</w:t>
            </w:r>
            <w:r w:rsidR="00030E55" w:rsidRPr="00030E55">
              <w:t>)</w:t>
            </w:r>
            <w:r>
              <w:t>.</w:t>
            </w:r>
          </w:p>
        </w:tc>
        <w:tc>
          <w:tcPr>
            <w:tcW w:w="6120" w:type="dxa"/>
          </w:tcPr>
          <w:p w14:paraId="38990451" w14:textId="77777777" w:rsidR="002A21AE" w:rsidRDefault="002A21AE">
            <w:pPr>
              <w:pStyle w:val="TableTextBullet"/>
            </w:pPr>
            <w:r>
              <w:t xml:space="preserve">Displays an option to select the testing phases for the antiserum specificity by lot number. </w:t>
            </w:r>
          </w:p>
          <w:p w14:paraId="61477A7B" w14:textId="77777777" w:rsidR="002A21AE" w:rsidRDefault="002A21AE">
            <w:pPr>
              <w:pStyle w:val="TableTextBullet"/>
            </w:pPr>
            <w:r>
              <w:t>Displays a testing grid disabling the phases not to be entered.</w:t>
            </w:r>
          </w:p>
          <w:p w14:paraId="0E329F79" w14:textId="77777777" w:rsidR="002A21AE" w:rsidRDefault="002A21AE">
            <w:pPr>
              <w:pStyle w:val="TableTextBullet"/>
            </w:pPr>
            <w:r>
              <w:t>Stores the antiserum information and checks whether the positive and negative controls need to be tested with this batch.</w:t>
            </w:r>
          </w:p>
          <w:p w14:paraId="471C8FD1" w14:textId="77777777" w:rsidR="002A21AE" w:rsidRDefault="002A21AE">
            <w:pPr>
              <w:pStyle w:val="TableTextBullet"/>
            </w:pPr>
            <w:r>
              <w:t>Prompts the user to enter the lot number and vial identifier for the positive and negative control used for each antiserum tested.</w:t>
            </w:r>
          </w:p>
          <w:p w14:paraId="2DC61ADF" w14:textId="77777777" w:rsidR="002A21AE" w:rsidRDefault="002A21AE">
            <w:pPr>
              <w:pStyle w:val="TableText"/>
            </w:pPr>
          </w:p>
          <w:p w14:paraId="24019D9A" w14:textId="51188A87" w:rsidR="002A21AE" w:rsidRDefault="002A21AE">
            <w:pPr>
              <w:pStyle w:val="TableText"/>
              <w:rPr>
                <w:b/>
                <w:bCs/>
                <w:szCs w:val="18"/>
              </w:rPr>
            </w:pPr>
            <w:r>
              <w:rPr>
                <w:b/>
                <w:bCs/>
                <w:szCs w:val="18"/>
              </w:rPr>
              <w:t>NOTES</w:t>
            </w:r>
          </w:p>
          <w:p w14:paraId="6D07E673" w14:textId="77777777" w:rsidR="002A21AE" w:rsidRDefault="002A21AE">
            <w:pPr>
              <w:pStyle w:val="NotesText"/>
            </w:pPr>
          </w:p>
          <w:p w14:paraId="6320AAE2" w14:textId="77777777" w:rsidR="002A21AE" w:rsidRDefault="002A21AE">
            <w:pPr>
              <w:pStyle w:val="NotesText"/>
            </w:pPr>
            <w:r>
              <w:rPr>
                <w:rFonts w:cs="Arial"/>
                <w:vanish/>
              </w:rPr>
              <w:t xml:space="preserve">BR_28.23 </w:t>
            </w:r>
            <w:r>
              <w:t>When VBECS displays lot numbers for selection, it checks the inventory system for the reagent name and lot numbers in a rack. The user cannot force the entry of a lot number that VBECS disallowed on the selection list. The user must choose a different reagent. The user may not select a reagent with an “unsatisfactory” value in the Inspection field or with a quantity of zero.</w:t>
            </w:r>
          </w:p>
          <w:p w14:paraId="77488986" w14:textId="77777777" w:rsidR="008C5A8F" w:rsidRDefault="008C5A8F">
            <w:pPr>
              <w:pStyle w:val="NotesText"/>
            </w:pPr>
          </w:p>
          <w:p w14:paraId="34D0C953" w14:textId="77777777" w:rsidR="008C5A8F" w:rsidRDefault="008C5A8F" w:rsidP="008C5A8F">
            <w:pPr>
              <w:pStyle w:val="NotesText"/>
            </w:pPr>
            <w:r>
              <w:rPr>
                <w:rFonts w:cs="Arial"/>
                <w:vanish/>
              </w:rPr>
              <w:t xml:space="preserve">BR_28.24 </w:t>
            </w:r>
            <w:r w:rsidRPr="00896F17">
              <w:rPr>
                <w:rStyle w:val="BullhornChar"/>
              </w:rPr>
              <w:t></w:t>
            </w:r>
            <w:r w:rsidRPr="00D62E87">
              <w:rPr>
                <w:rFonts w:ascii="Webdings" w:hAnsi="Webdings"/>
              </w:rPr>
              <w:t></w:t>
            </w:r>
            <w:r w:rsidRPr="00D62E87">
              <w:t>V</w:t>
            </w:r>
            <w:r>
              <w:t>BECS compares the expiration date of each reagent on the selected rack to the testing date, emits an audible alert, and warns when the reagent is expired.</w:t>
            </w:r>
          </w:p>
          <w:p w14:paraId="48C84181" w14:textId="77777777" w:rsidR="002A21AE" w:rsidRDefault="002A21AE">
            <w:pPr>
              <w:pStyle w:val="NotesText"/>
            </w:pPr>
          </w:p>
          <w:p w14:paraId="4585CF39" w14:textId="77777777" w:rsidR="002A21AE" w:rsidRDefault="002A21AE">
            <w:pPr>
              <w:pStyle w:val="NotesText"/>
            </w:pPr>
            <w:r>
              <w:rPr>
                <w:rFonts w:cs="Arial"/>
                <w:vanish/>
              </w:rPr>
              <w:t xml:space="preserve">BR_41.02 </w:t>
            </w:r>
            <w:r>
              <w:t xml:space="preserve">VBECS enables the rack identifier field when a user selects the weak D or AHG/CC phase and disables the field when a user selects other phases. </w:t>
            </w:r>
          </w:p>
          <w:p w14:paraId="396BA3FC" w14:textId="77777777" w:rsidR="002A21AE" w:rsidRDefault="002A21AE">
            <w:pPr>
              <w:pStyle w:val="NotesText"/>
            </w:pPr>
          </w:p>
          <w:p w14:paraId="717ED20F" w14:textId="77777777" w:rsidR="002A21AE" w:rsidRPr="00D452FC" w:rsidRDefault="002A21AE">
            <w:pPr>
              <w:pStyle w:val="NotesText"/>
              <w:rPr>
                <w:vanish/>
              </w:rPr>
            </w:pPr>
            <w:r>
              <w:rPr>
                <w:rFonts w:cs="Arial"/>
                <w:vanish/>
              </w:rPr>
              <w:t xml:space="preserve">BR_41.03 </w:t>
            </w:r>
            <w:r w:rsidR="004F2D49">
              <w:t>VBECS automatically adds the positive and negative control tests to the selected reagent type worklist if they have not been tested on that calendar date for the selected antisera lot number</w:t>
            </w:r>
            <w:r>
              <w:t>.</w:t>
            </w:r>
            <w:r w:rsidR="00D452FC">
              <w:t xml:space="preserve"> </w:t>
            </w:r>
            <w:r w:rsidR="00D452FC" w:rsidRPr="00D452FC">
              <w:rPr>
                <w:vanish/>
              </w:rPr>
              <w:t>DR 3717</w:t>
            </w:r>
          </w:p>
          <w:p w14:paraId="294D8FA6" w14:textId="77777777" w:rsidR="002A21AE" w:rsidRDefault="002A21AE">
            <w:pPr>
              <w:pStyle w:val="NotesText"/>
            </w:pPr>
          </w:p>
          <w:p w14:paraId="1F8C9312" w14:textId="77777777" w:rsidR="002A21AE" w:rsidRDefault="002A21AE">
            <w:pPr>
              <w:pStyle w:val="NotesText"/>
            </w:pPr>
            <w:r>
              <w:rPr>
                <w:rFonts w:cs="Arial"/>
                <w:vanish/>
              </w:rPr>
              <w:t xml:space="preserve">BR_41.25 </w:t>
            </w:r>
            <w:r>
              <w:t xml:space="preserve">Reagent lot numbers that are selectable for positive and negative control cells: </w:t>
            </w:r>
          </w:p>
          <w:p w14:paraId="6EF2E31E" w14:textId="77777777" w:rsidR="002A21AE" w:rsidRDefault="002A21AE">
            <w:pPr>
              <w:pStyle w:val="NotesTextBullet"/>
            </w:pPr>
            <w:r>
              <w:t>Reverse ABO Typing Cells (set)</w:t>
            </w:r>
          </w:p>
          <w:p w14:paraId="76FFDDF9" w14:textId="77777777" w:rsidR="002A21AE" w:rsidRDefault="002A21AE">
            <w:pPr>
              <w:pStyle w:val="NotesTextBullet"/>
            </w:pPr>
            <w:r>
              <w:t>A2 cell (vial)</w:t>
            </w:r>
          </w:p>
          <w:p w14:paraId="50F37ED6" w14:textId="77777777" w:rsidR="002A21AE" w:rsidRDefault="002A21AE">
            <w:pPr>
              <w:pStyle w:val="NotesTextBullet"/>
            </w:pPr>
            <w:r>
              <w:t>Screening Cells (set)</w:t>
            </w:r>
          </w:p>
          <w:p w14:paraId="2855A871" w14:textId="77777777" w:rsidR="002A21AE" w:rsidRDefault="002A21AE">
            <w:pPr>
              <w:pStyle w:val="NotesTextBullet"/>
            </w:pPr>
            <w:r>
              <w:t>Check Cells (vial)</w:t>
            </w:r>
          </w:p>
          <w:p w14:paraId="792BC293" w14:textId="77777777" w:rsidR="002A21AE" w:rsidRDefault="002A21AE">
            <w:pPr>
              <w:pStyle w:val="NotesTextBullet"/>
            </w:pPr>
            <w:r>
              <w:t>Panel (set)</w:t>
            </w:r>
          </w:p>
          <w:p w14:paraId="1ED48534" w14:textId="77777777" w:rsidR="002A21AE" w:rsidRDefault="002A21AE">
            <w:pPr>
              <w:pStyle w:val="NotesTextBullet"/>
            </w:pPr>
            <w:r>
              <w:t>Other (set)</w:t>
            </w:r>
          </w:p>
          <w:p w14:paraId="5A06E2D9" w14:textId="77777777" w:rsidR="00B062CD" w:rsidRDefault="00B062CD" w:rsidP="00B062CD">
            <w:pPr>
              <w:pStyle w:val="NotesText"/>
            </w:pPr>
          </w:p>
          <w:p w14:paraId="55397932" w14:textId="77777777" w:rsidR="00B062CD" w:rsidRDefault="00B062CD" w:rsidP="00B062CD">
            <w:pPr>
              <w:pStyle w:val="NotesText"/>
            </w:pPr>
            <w:r>
              <w:t>VBECS r</w:t>
            </w:r>
            <w:r w:rsidRPr="00AA089C">
              <w:t>equest</w:t>
            </w:r>
            <w:r>
              <w:t>s</w:t>
            </w:r>
            <w:r w:rsidRPr="00AA089C">
              <w:t xml:space="preserve"> information about </w:t>
            </w:r>
            <w:r>
              <w:t>an antigen</w:t>
            </w:r>
            <w:r w:rsidRPr="00AA089C">
              <w:t xml:space="preserve"> lot number </w:t>
            </w:r>
            <w:r>
              <w:t xml:space="preserve">only </w:t>
            </w:r>
            <w:r w:rsidRPr="00AA089C">
              <w:t xml:space="preserve">the first time it is used </w:t>
            </w:r>
            <w:r>
              <w:t>on a specific</w:t>
            </w:r>
            <w:r w:rsidRPr="00AA089C">
              <w:t xml:space="preserve"> day. </w:t>
            </w:r>
          </w:p>
          <w:p w14:paraId="18EB4F41" w14:textId="77777777" w:rsidR="00B062CD" w:rsidRDefault="00B062CD" w:rsidP="00B062CD">
            <w:pPr>
              <w:pStyle w:val="NotesText"/>
            </w:pPr>
          </w:p>
          <w:p w14:paraId="164C2D29" w14:textId="77777777" w:rsidR="00B062CD" w:rsidRDefault="00B062CD" w:rsidP="00B062CD">
            <w:pPr>
              <w:pStyle w:val="NotesText"/>
            </w:pPr>
            <w:r w:rsidRPr="00AA089C">
              <w:t xml:space="preserve">If there are multiple test tabs, </w:t>
            </w:r>
            <w:r>
              <w:t>VBECS displays a</w:t>
            </w:r>
            <w:r w:rsidRPr="00AA089C">
              <w:t xml:space="preserve"> </w:t>
            </w:r>
            <w:r>
              <w:t>message</w:t>
            </w:r>
            <w:r w:rsidRPr="00AA089C">
              <w:t xml:space="preserve"> </w:t>
            </w:r>
            <w:r>
              <w:t xml:space="preserve">that </w:t>
            </w:r>
            <w:r w:rsidRPr="00AA089C">
              <w:t xml:space="preserve">may not </w:t>
            </w:r>
            <w:r>
              <w:t>correspond to</w:t>
            </w:r>
            <w:r w:rsidRPr="00AA089C">
              <w:t xml:space="preserve"> the</w:t>
            </w:r>
            <w:r>
              <w:t xml:space="preserve"> selected</w:t>
            </w:r>
            <w:r w:rsidRPr="00AA089C">
              <w:t xml:space="preserve"> tab, but will </w:t>
            </w:r>
            <w:r>
              <w:t xml:space="preserve">correspond to </w:t>
            </w:r>
            <w:r w:rsidRPr="00AA089C">
              <w:t xml:space="preserve">information </w:t>
            </w:r>
            <w:r>
              <w:t xml:space="preserve">required by </w:t>
            </w:r>
            <w:r w:rsidRPr="00AA089C">
              <w:t>one of the requested tests.</w:t>
            </w:r>
          </w:p>
        </w:tc>
      </w:tr>
      <w:tr w:rsidR="002A21AE" w14:paraId="5EEE1B3C" w14:textId="77777777">
        <w:tc>
          <w:tcPr>
            <w:tcW w:w="3240" w:type="dxa"/>
          </w:tcPr>
          <w:p w14:paraId="0DB2EAB5" w14:textId="77777777" w:rsidR="002A21AE" w:rsidRDefault="002A21AE">
            <w:pPr>
              <w:pStyle w:val="TableTextNumbers"/>
            </w:pPr>
            <w:r>
              <w:t xml:space="preserve">Select one or more blood units to add to the worklist. </w:t>
            </w:r>
          </w:p>
          <w:p w14:paraId="23E2D096" w14:textId="77777777" w:rsidR="002A21AE" w:rsidRDefault="002A21AE">
            <w:pPr>
              <w:pStyle w:val="TableTextNumbersContinued"/>
            </w:pPr>
          </w:p>
          <w:p w14:paraId="4F68D21F" w14:textId="77777777" w:rsidR="002A21AE" w:rsidRDefault="002A21AE">
            <w:pPr>
              <w:pStyle w:val="TableTextNumbersContinued"/>
            </w:pPr>
            <w:r>
              <w:t xml:space="preserve">Enter the unit ID and the product code from the inventory, or click the </w:t>
            </w:r>
            <w:r w:rsidR="00A6373D">
              <w:rPr>
                <w:b/>
              </w:rPr>
              <w:t>find</w:t>
            </w:r>
            <w:r>
              <w:rPr>
                <w:b/>
              </w:rPr>
              <w:t xml:space="preserve"> </w:t>
            </w:r>
            <w:r w:rsidRPr="00D1100E">
              <w:t>button</w:t>
            </w:r>
            <w:r>
              <w:t xml:space="preserve"> to search for a blood unit and select from the list of available units.</w:t>
            </w:r>
          </w:p>
          <w:p w14:paraId="0351E1FB" w14:textId="77777777" w:rsidR="002A21AE" w:rsidRDefault="002A21AE">
            <w:pPr>
              <w:pStyle w:val="TableTextNumbersContinued"/>
            </w:pPr>
          </w:p>
          <w:p w14:paraId="7757112E" w14:textId="77777777" w:rsidR="002A21AE" w:rsidRDefault="002A21AE" w:rsidP="001E4417">
            <w:pPr>
              <w:pStyle w:val="TableTextNumbersContinued"/>
            </w:pPr>
            <w:r>
              <w:t xml:space="preserve">Click </w:t>
            </w:r>
            <w:r>
              <w:rPr>
                <w:b/>
              </w:rPr>
              <w:t>OK</w:t>
            </w:r>
            <w:r>
              <w:t xml:space="preserve"> when all units are selected.</w:t>
            </w:r>
          </w:p>
        </w:tc>
        <w:tc>
          <w:tcPr>
            <w:tcW w:w="6120" w:type="dxa"/>
          </w:tcPr>
          <w:p w14:paraId="623AF7FD" w14:textId="77777777" w:rsidR="002A21AE" w:rsidRDefault="002A21AE">
            <w:pPr>
              <w:pStyle w:val="TableTextBullet"/>
            </w:pPr>
            <w:r>
              <w:t>Allows the user to scan or enter units to be included in the worklist or select them from a list.</w:t>
            </w:r>
          </w:p>
          <w:p w14:paraId="0B48936F" w14:textId="77777777" w:rsidR="001C07B3" w:rsidRPr="000B4589" w:rsidRDefault="002A21AE" w:rsidP="001C07B3">
            <w:pPr>
              <w:pStyle w:val="TableTextBullet"/>
              <w:rPr>
                <w:bCs/>
              </w:rPr>
            </w:pPr>
            <w:r>
              <w:t>Lists the selected units</w:t>
            </w:r>
            <w:r w:rsidRPr="001E4417">
              <w:rPr>
                <w:bCs/>
              </w:rPr>
              <w:t>.</w:t>
            </w:r>
          </w:p>
          <w:p w14:paraId="7A4CB9BA" w14:textId="77777777" w:rsidR="000B4589" w:rsidRDefault="000B4589">
            <w:pPr>
              <w:pStyle w:val="TableTextBullet"/>
              <w:numPr>
                <w:ilvl w:val="0"/>
                <w:numId w:val="0"/>
              </w:numPr>
              <w:rPr>
                <w:bCs/>
              </w:rPr>
            </w:pPr>
          </w:p>
          <w:p w14:paraId="38242D64" w14:textId="05F91D9E" w:rsidR="000B4589" w:rsidRPr="001C07B3" w:rsidRDefault="000B4589" w:rsidP="002B3455">
            <w:pPr>
              <w:pStyle w:val="NotesText"/>
              <w:rPr>
                <w:b/>
                <w:bCs/>
              </w:rPr>
            </w:pPr>
          </w:p>
        </w:tc>
      </w:tr>
      <w:tr w:rsidR="002A21AE" w14:paraId="27382E5E" w14:textId="77777777">
        <w:tc>
          <w:tcPr>
            <w:tcW w:w="3240" w:type="dxa"/>
          </w:tcPr>
          <w:p w14:paraId="6F97B8B1" w14:textId="77777777" w:rsidR="00B6515C" w:rsidRDefault="00B6515C" w:rsidP="00B6515C">
            <w:pPr>
              <w:pStyle w:val="TableTextNumbers"/>
            </w:pPr>
            <w:r>
              <w:lastRenderedPageBreak/>
              <w:t>Select the lot number for the reagent and the positive and negative control cells. Enter the vial identifiers, if required. Enter “0” when not using panel cells.</w:t>
            </w:r>
          </w:p>
          <w:p w14:paraId="2A954DB9" w14:textId="77777777" w:rsidR="00B6515C" w:rsidRDefault="00B6515C" w:rsidP="00B6515C">
            <w:pPr>
              <w:pStyle w:val="TableTextNumbersContinued"/>
            </w:pPr>
          </w:p>
          <w:p w14:paraId="3CD36994" w14:textId="77777777" w:rsidR="0048389A" w:rsidRDefault="00B6515C" w:rsidP="00B6515C">
            <w:pPr>
              <w:pStyle w:val="TableTextNumbersContinued"/>
            </w:pPr>
            <w:r>
              <w:t>Verify the reagent type and the positive and negative control cell lot numbers selected and vial identifiers entered, if required.</w:t>
            </w:r>
          </w:p>
        </w:tc>
        <w:tc>
          <w:tcPr>
            <w:tcW w:w="6120" w:type="dxa"/>
          </w:tcPr>
          <w:p w14:paraId="15863586" w14:textId="77777777" w:rsidR="002A21AE" w:rsidRDefault="002A21AE">
            <w:pPr>
              <w:pStyle w:val="TableTextBullet"/>
            </w:pPr>
            <w:r>
              <w:t xml:space="preserve">Displays the reagent type and lot numbers, including the vial identifier. </w:t>
            </w:r>
          </w:p>
          <w:p w14:paraId="58C01897" w14:textId="77777777" w:rsidR="002A21AE" w:rsidRDefault="002A21AE">
            <w:pPr>
              <w:pStyle w:val="TableText"/>
            </w:pPr>
          </w:p>
          <w:p w14:paraId="5C7C3A90" w14:textId="2225AD2F" w:rsidR="002A21AE" w:rsidRDefault="002A21AE">
            <w:pPr>
              <w:pStyle w:val="TableText"/>
              <w:rPr>
                <w:b/>
                <w:bCs/>
                <w:szCs w:val="18"/>
              </w:rPr>
            </w:pPr>
            <w:r>
              <w:rPr>
                <w:b/>
                <w:bCs/>
                <w:szCs w:val="18"/>
              </w:rPr>
              <w:t>NOTES</w:t>
            </w:r>
          </w:p>
          <w:p w14:paraId="24DF7AC2" w14:textId="77777777" w:rsidR="002A21AE" w:rsidRDefault="002A21AE">
            <w:pPr>
              <w:pStyle w:val="NotesText"/>
            </w:pPr>
          </w:p>
          <w:p w14:paraId="2C753327" w14:textId="77777777" w:rsidR="002A21AE" w:rsidRDefault="00B6515C">
            <w:pPr>
              <w:pStyle w:val="NotesText"/>
            </w:pPr>
            <w:r>
              <w:t>The vial identifier, comprising one or two digits, identifies the vial contained in a kit of reagent red blood cells. A vial contains antigen positive or antigen negative blood cells to be used in quality control of the antisera.</w:t>
            </w:r>
          </w:p>
        </w:tc>
      </w:tr>
      <w:tr w:rsidR="002A21AE" w14:paraId="125A891F" w14:textId="77777777">
        <w:tc>
          <w:tcPr>
            <w:tcW w:w="3240" w:type="dxa"/>
          </w:tcPr>
          <w:p w14:paraId="3157A5C4" w14:textId="77777777" w:rsidR="002A21AE" w:rsidRDefault="002A21AE">
            <w:pPr>
              <w:pStyle w:val="TableTextNumbers"/>
            </w:pPr>
            <w:r>
              <w:t xml:space="preserve">Respond to warnings and continue with antigen typing. </w:t>
            </w:r>
          </w:p>
          <w:p w14:paraId="0A7F0CF9" w14:textId="77777777" w:rsidR="002A21AE" w:rsidRDefault="002A21AE">
            <w:pPr>
              <w:pStyle w:val="TableTextNumbersContinued"/>
            </w:pPr>
          </w:p>
          <w:p w14:paraId="47216BD9" w14:textId="77777777" w:rsidR="002A21AE" w:rsidRDefault="002A21AE">
            <w:pPr>
              <w:pStyle w:val="TableTextNumbersContinued"/>
            </w:pPr>
            <w:r>
              <w:t>Review the lot number, manufacturer name, and expiration date for the antiserum and control cells. If they are not correct, start over.</w:t>
            </w:r>
          </w:p>
          <w:p w14:paraId="683330EE" w14:textId="77777777" w:rsidR="002A21AE" w:rsidRDefault="002A21AE">
            <w:pPr>
              <w:pStyle w:val="TableTextNumbersContinued"/>
            </w:pPr>
          </w:p>
          <w:p w14:paraId="0EE91725" w14:textId="77777777" w:rsidR="002A21AE" w:rsidRDefault="002A21AE">
            <w:pPr>
              <w:pStyle w:val="TableTextNumbersContinued"/>
            </w:pPr>
            <w:r>
              <w:t>Select a control cell or unit to begin entering serologic reactions and interpretations in the data entry grid.</w:t>
            </w:r>
          </w:p>
          <w:p w14:paraId="1F29A383" w14:textId="77777777" w:rsidR="002A21AE" w:rsidRDefault="002A21AE">
            <w:pPr>
              <w:pStyle w:val="TableTextNumbersContinued"/>
            </w:pPr>
          </w:p>
          <w:p w14:paraId="1B728D7E" w14:textId="77777777" w:rsidR="002A21AE" w:rsidRDefault="002A21AE">
            <w:pPr>
              <w:pStyle w:val="TableTextNumbersContinued"/>
              <w:rPr>
                <w:b/>
                <w:bCs/>
              </w:rPr>
            </w:pPr>
          </w:p>
          <w:p w14:paraId="14AAD765" w14:textId="77777777" w:rsidR="002A21AE" w:rsidRDefault="002A21AE">
            <w:pPr>
              <w:pStyle w:val="TableTextNumbersContinued"/>
            </w:pPr>
          </w:p>
        </w:tc>
        <w:tc>
          <w:tcPr>
            <w:tcW w:w="6120" w:type="dxa"/>
          </w:tcPr>
          <w:p w14:paraId="7915EF24" w14:textId="77777777" w:rsidR="002A21AE" w:rsidRDefault="002A21AE">
            <w:pPr>
              <w:pStyle w:val="TableTextBullet"/>
            </w:pPr>
            <w:r>
              <w:t>Displays each selected unit in a separate tab for each selected specificity with its own grids and quality control.</w:t>
            </w:r>
          </w:p>
          <w:p w14:paraId="598433C9" w14:textId="77777777" w:rsidR="002A21AE" w:rsidRDefault="002A21AE">
            <w:pPr>
              <w:pStyle w:val="TableTextBullet"/>
            </w:pPr>
            <w:r>
              <w:t xml:space="preserve">Displays a direct data entry </w:t>
            </w:r>
            <w:r w:rsidR="00917E9F">
              <w:t xml:space="preserve">(DDE) </w:t>
            </w:r>
            <w:r>
              <w:t>grid to enter serologic reaction results for antigen typing of units. This may already be filled with results from a previously saved partially completed worksheet.</w:t>
            </w:r>
          </w:p>
          <w:p w14:paraId="3FC37BAA" w14:textId="77777777" w:rsidR="002A21AE" w:rsidRDefault="002A21AE">
            <w:pPr>
              <w:pStyle w:val="TableTextBullet"/>
            </w:pPr>
            <w:r>
              <w:t>Allows a user to select a unit or control cell and enter a test result.</w:t>
            </w:r>
          </w:p>
          <w:p w14:paraId="496BF3D6" w14:textId="77777777" w:rsidR="002A21AE" w:rsidRDefault="002A21AE">
            <w:pPr>
              <w:pStyle w:val="TableTextBullet"/>
            </w:pPr>
            <w:r>
              <w:t>Allows only valid data entries in the grid reaction result and interpretation cells.</w:t>
            </w:r>
          </w:p>
          <w:p w14:paraId="4D7632BB" w14:textId="77777777" w:rsidR="002A21AE" w:rsidRDefault="002A21AE">
            <w:pPr>
              <w:pStyle w:val="TableTextBullet"/>
            </w:pPr>
            <w:r>
              <w:t>Restricts data entry to valid selections for testing results.</w:t>
            </w:r>
          </w:p>
          <w:p w14:paraId="4A850F8B" w14:textId="77777777" w:rsidR="002A21AE" w:rsidRDefault="002A21AE">
            <w:pPr>
              <w:pStyle w:val="TableTextBullet"/>
            </w:pPr>
            <w:r>
              <w:t>Keeps all testing results and entered interpretations on the screen until the user saves them.</w:t>
            </w:r>
          </w:p>
          <w:p w14:paraId="6DB218A4" w14:textId="77777777" w:rsidR="002A21AE" w:rsidRDefault="002A21AE">
            <w:pPr>
              <w:pStyle w:val="TableText"/>
            </w:pPr>
          </w:p>
          <w:p w14:paraId="646840EA" w14:textId="1A71BAC5" w:rsidR="002A21AE" w:rsidRDefault="002A21AE">
            <w:pPr>
              <w:pStyle w:val="TableText"/>
              <w:rPr>
                <w:b/>
                <w:bCs/>
                <w:szCs w:val="18"/>
              </w:rPr>
            </w:pPr>
            <w:r>
              <w:rPr>
                <w:b/>
                <w:bCs/>
                <w:szCs w:val="18"/>
              </w:rPr>
              <w:t>NOTES</w:t>
            </w:r>
          </w:p>
          <w:p w14:paraId="0E8F3C3C" w14:textId="77777777" w:rsidR="002A21AE" w:rsidRDefault="002A21AE">
            <w:pPr>
              <w:pStyle w:val="NotesText"/>
            </w:pPr>
          </w:p>
          <w:p w14:paraId="28067A81" w14:textId="77777777" w:rsidR="002A21AE" w:rsidRDefault="002A21AE">
            <w:pPr>
              <w:pStyle w:val="NotesText"/>
            </w:pPr>
            <w:r>
              <w:rPr>
                <w:rFonts w:cs="Arial"/>
                <w:vanish/>
              </w:rPr>
              <w:t xml:space="preserve">BR_41.07 </w:t>
            </w:r>
            <w:r>
              <w:t>VBECS displays the worklist for the grids by antiserum types.</w:t>
            </w:r>
          </w:p>
          <w:p w14:paraId="1B965CE4" w14:textId="77777777" w:rsidR="002A21AE" w:rsidRDefault="002A21AE">
            <w:pPr>
              <w:pStyle w:val="NotesText"/>
            </w:pPr>
          </w:p>
          <w:p w14:paraId="727648E1" w14:textId="77777777" w:rsidR="002A21AE" w:rsidRDefault="002A21AE">
            <w:pPr>
              <w:pStyle w:val="NotesText"/>
            </w:pPr>
            <w:r>
              <w:rPr>
                <w:rFonts w:cs="Arial"/>
                <w:vanish/>
              </w:rPr>
              <w:t xml:space="preserve">BR_41.09 </w:t>
            </w:r>
            <w:r>
              <w:t>Valid observed test results entered by a user:</w:t>
            </w:r>
          </w:p>
          <w:p w14:paraId="3ED6C677" w14:textId="77777777" w:rsidR="002A21AE" w:rsidRDefault="002A21AE">
            <w:pPr>
              <w:pStyle w:val="NotesTextBullet"/>
            </w:pPr>
            <w:r>
              <w:t>1 [1+ (positive)]</w:t>
            </w:r>
          </w:p>
          <w:p w14:paraId="50889E45" w14:textId="77777777" w:rsidR="002A21AE" w:rsidRDefault="002A21AE">
            <w:pPr>
              <w:pStyle w:val="NotesTextBullet"/>
            </w:pPr>
            <w:r>
              <w:t>2 [2+ (positive)]</w:t>
            </w:r>
          </w:p>
          <w:p w14:paraId="242C8B25" w14:textId="77777777" w:rsidR="002A21AE" w:rsidRDefault="002A21AE">
            <w:pPr>
              <w:pStyle w:val="NotesTextBullet"/>
            </w:pPr>
            <w:r>
              <w:t>3 [3+ (positive)]</w:t>
            </w:r>
          </w:p>
          <w:p w14:paraId="5BE2C842" w14:textId="77777777" w:rsidR="002A21AE" w:rsidRDefault="002A21AE">
            <w:pPr>
              <w:pStyle w:val="NotesTextBullet"/>
            </w:pPr>
            <w:r>
              <w:t>4 [4+ (positive)]</w:t>
            </w:r>
          </w:p>
          <w:p w14:paraId="26296033" w14:textId="77777777" w:rsidR="002A21AE" w:rsidRDefault="002A21AE">
            <w:pPr>
              <w:pStyle w:val="NotesTextBullet"/>
            </w:pPr>
            <w:r>
              <w:t>W [Weak (</w:t>
            </w:r>
            <w:r w:rsidR="006D384A">
              <w:t>positive</w:t>
            </w:r>
            <w:r>
              <w:t>)]</w:t>
            </w:r>
          </w:p>
          <w:p w14:paraId="1C5C3E4D" w14:textId="77777777" w:rsidR="002A21AE" w:rsidRDefault="002A21AE">
            <w:pPr>
              <w:pStyle w:val="NotesTextBullet"/>
            </w:pPr>
            <w:r>
              <w:t>F [Mixed Field (</w:t>
            </w:r>
            <w:r w:rsidR="006D384A">
              <w:t>positive</w:t>
            </w:r>
            <w:r>
              <w:t>)]</w:t>
            </w:r>
          </w:p>
          <w:p w14:paraId="19CEC52D" w14:textId="77777777" w:rsidR="002A21AE" w:rsidRDefault="002A21AE">
            <w:pPr>
              <w:pStyle w:val="NotesTextBullet"/>
            </w:pPr>
            <w:r>
              <w:t>M [Microscopic (</w:t>
            </w:r>
            <w:r w:rsidR="006D384A">
              <w:t>positive</w:t>
            </w:r>
            <w:r>
              <w:t>)]</w:t>
            </w:r>
          </w:p>
          <w:p w14:paraId="2C6F017A" w14:textId="77777777" w:rsidR="002A21AE" w:rsidRDefault="002A21AE">
            <w:pPr>
              <w:pStyle w:val="NotesTextBullet"/>
            </w:pPr>
            <w:r>
              <w:t>R [rouleaux (negative)]</w:t>
            </w:r>
          </w:p>
          <w:p w14:paraId="39986CA7" w14:textId="77777777" w:rsidR="002A21AE" w:rsidRDefault="002A21AE">
            <w:pPr>
              <w:pStyle w:val="NotesTextBullet"/>
            </w:pPr>
            <w:r>
              <w:t>0 (zero) [No Agglutination (negative)]</w:t>
            </w:r>
          </w:p>
          <w:p w14:paraId="278D1983" w14:textId="77777777" w:rsidR="002A21AE" w:rsidRDefault="002A21AE">
            <w:pPr>
              <w:pStyle w:val="NotesTextBullet"/>
            </w:pPr>
            <w:r>
              <w:t>X (Not Tested)</w:t>
            </w:r>
            <w:r w:rsidR="002F7FF1">
              <w:t xml:space="preserve"> (does not indicate a disabled cell)</w:t>
            </w:r>
          </w:p>
          <w:p w14:paraId="6B187E12" w14:textId="77777777" w:rsidR="002A21AE" w:rsidRDefault="002A21AE">
            <w:pPr>
              <w:pStyle w:val="NotesText"/>
            </w:pPr>
          </w:p>
          <w:p w14:paraId="25A95D52" w14:textId="77777777" w:rsidR="002A21AE" w:rsidRDefault="002A21AE">
            <w:pPr>
              <w:pStyle w:val="NotesText"/>
            </w:pPr>
            <w:r>
              <w:t>When the AHG phase is selected for testing, the AHG must be negative and the CC must be at least 1+ positive to consider the test negative for a unit or for the negative control cell.</w:t>
            </w:r>
          </w:p>
          <w:p w14:paraId="6D6DD21A" w14:textId="77777777" w:rsidR="002A21AE" w:rsidRDefault="002A21AE">
            <w:pPr>
              <w:pStyle w:val="NotesText"/>
            </w:pPr>
          </w:p>
          <w:p w14:paraId="29221BF1" w14:textId="77777777" w:rsidR="002A21AE" w:rsidRDefault="002A21AE">
            <w:pPr>
              <w:pStyle w:val="NotesText"/>
            </w:pPr>
            <w:r>
              <w:rPr>
                <w:rFonts w:cs="Arial"/>
                <w:vanish/>
              </w:rPr>
              <w:t xml:space="preserve">BR_41.17 </w:t>
            </w:r>
            <w:r>
              <w:t xml:space="preserve">The column heading of the data grid specifies the phases of reactivity that may be used in a test selected for the specificity. </w:t>
            </w:r>
          </w:p>
          <w:p w14:paraId="1C96C6FE" w14:textId="77777777" w:rsidR="002A21AE" w:rsidRDefault="002A21AE">
            <w:pPr>
              <w:pStyle w:val="NotesText"/>
            </w:pPr>
          </w:p>
          <w:p w14:paraId="5F5CBAF7" w14:textId="77777777" w:rsidR="002A21AE" w:rsidRDefault="002A21AE">
            <w:pPr>
              <w:pStyle w:val="NotesText"/>
            </w:pPr>
            <w:r>
              <w:rPr>
                <w:rFonts w:cs="Arial"/>
                <w:vanish/>
              </w:rPr>
              <w:t xml:space="preserve">BR_41.18 </w:t>
            </w:r>
            <w:r>
              <w:t>The row heading of the data grid specifies the unit ID being tested. These fields cannot be edited.</w:t>
            </w:r>
          </w:p>
          <w:p w14:paraId="037D7485" w14:textId="77777777" w:rsidR="002A21AE" w:rsidRDefault="002A21AE">
            <w:pPr>
              <w:pStyle w:val="NotesText"/>
            </w:pPr>
          </w:p>
          <w:p w14:paraId="7EEBBD2C" w14:textId="77777777" w:rsidR="002A21AE" w:rsidRDefault="002A21AE">
            <w:pPr>
              <w:pStyle w:val="NotesText"/>
            </w:pPr>
            <w:r>
              <w:rPr>
                <w:rFonts w:cs="Arial"/>
                <w:vanish/>
              </w:rPr>
              <w:t xml:space="preserve">BR_41.21 </w:t>
            </w:r>
            <w:r>
              <w:t>The rows for each antiserum type grid display the positive and negative control cells, then units, in the order in which a user added units to the worklist.</w:t>
            </w:r>
          </w:p>
          <w:p w14:paraId="34C53D4B" w14:textId="77777777" w:rsidR="002A21AE" w:rsidRDefault="002A21AE">
            <w:pPr>
              <w:pStyle w:val="NotesText"/>
            </w:pPr>
          </w:p>
          <w:p w14:paraId="0DCD26EA" w14:textId="77777777" w:rsidR="002A21AE" w:rsidRDefault="002A21AE">
            <w:pPr>
              <w:pStyle w:val="NotesText"/>
            </w:pPr>
            <w:r>
              <w:rPr>
                <w:rFonts w:cs="Arial"/>
                <w:vanish/>
              </w:rPr>
              <w:t xml:space="preserve">BR_41.14 </w:t>
            </w:r>
            <w:r>
              <w:t xml:space="preserve">A comment can be associated with any antigen test performed. A user may select canned comments required by an override from the drop-down list or select </w:t>
            </w:r>
            <w:r>
              <w:rPr>
                <w:b/>
              </w:rPr>
              <w:t>Other</w:t>
            </w:r>
            <w:r>
              <w:t xml:space="preserve"> to enter free-text comments.</w:t>
            </w:r>
          </w:p>
        </w:tc>
      </w:tr>
      <w:tr w:rsidR="002A21AE" w14:paraId="1571F2FC" w14:textId="77777777" w:rsidTr="001A459B">
        <w:trPr>
          <w:cantSplit/>
        </w:trPr>
        <w:tc>
          <w:tcPr>
            <w:tcW w:w="3240" w:type="dxa"/>
          </w:tcPr>
          <w:p w14:paraId="364B20E3" w14:textId="34C0BA3D" w:rsidR="002A21AE" w:rsidRDefault="002A21AE" w:rsidP="0027394C">
            <w:pPr>
              <w:pStyle w:val="TableTextNumbers"/>
            </w:pPr>
            <w:r>
              <w:lastRenderedPageBreak/>
              <w:t>Enter results for the control cells and for all selected units. Refer to the legend at the bottom of the screen</w:t>
            </w:r>
            <w:r w:rsidR="002A4159">
              <w:t xml:space="preserve"> (</w:t>
            </w:r>
            <w:r w:rsidR="00EE455E">
              <w:t xml:space="preserve">Figure </w:t>
            </w:r>
            <w:r w:rsidR="00EE455E">
              <w:rPr>
                <w:noProof/>
              </w:rPr>
              <w:t>59</w:t>
            </w:r>
            <w:r w:rsidR="002A4159">
              <w:t>)</w:t>
            </w:r>
            <w:r>
              <w:t>.</w:t>
            </w:r>
          </w:p>
        </w:tc>
        <w:tc>
          <w:tcPr>
            <w:tcW w:w="6120" w:type="dxa"/>
          </w:tcPr>
          <w:p w14:paraId="7B3967E6" w14:textId="77777777" w:rsidR="002A21AE" w:rsidRDefault="002A21AE">
            <w:pPr>
              <w:pStyle w:val="TableTextBullet"/>
            </w:pPr>
            <w:r>
              <w:t>Prompts the user to confirm that all results were reviewed and are acceptable.</w:t>
            </w:r>
          </w:p>
          <w:p w14:paraId="6453CEAD" w14:textId="77777777" w:rsidR="002A21AE" w:rsidRDefault="002A21AE">
            <w:pPr>
              <w:pStyle w:val="TableText"/>
            </w:pPr>
          </w:p>
          <w:p w14:paraId="7E2CA0E1" w14:textId="1816D11D" w:rsidR="002A21AE" w:rsidRDefault="002A21AE">
            <w:pPr>
              <w:pStyle w:val="TableText"/>
              <w:rPr>
                <w:b/>
                <w:bCs/>
                <w:szCs w:val="18"/>
              </w:rPr>
            </w:pPr>
            <w:r>
              <w:rPr>
                <w:b/>
                <w:bCs/>
                <w:szCs w:val="18"/>
              </w:rPr>
              <w:t>NOTES</w:t>
            </w:r>
          </w:p>
          <w:p w14:paraId="1124D65F" w14:textId="77777777" w:rsidR="002A21AE" w:rsidRDefault="002A21AE">
            <w:pPr>
              <w:pStyle w:val="NotesText"/>
            </w:pPr>
          </w:p>
          <w:p w14:paraId="4D40AD16" w14:textId="77777777" w:rsidR="002A21AE" w:rsidRDefault="002A21AE" w:rsidP="009256FE">
            <w:pPr>
              <w:pStyle w:val="NotesText"/>
            </w:pPr>
            <w:r>
              <w:t xml:space="preserve">The positive and/or negative control cell test results on the date of testing must be </w:t>
            </w:r>
            <w:r w:rsidR="009256FE">
              <w:t>a valid positive or negative.</w:t>
            </w:r>
          </w:p>
          <w:p w14:paraId="453D1622" w14:textId="77777777" w:rsidR="002A21AE" w:rsidRDefault="002A21AE">
            <w:pPr>
              <w:pStyle w:val="NotesText"/>
            </w:pPr>
          </w:p>
          <w:p w14:paraId="5386FAD4" w14:textId="77777777" w:rsidR="002A21AE" w:rsidRDefault="002A21AE">
            <w:pPr>
              <w:pStyle w:val="NotesText"/>
            </w:pPr>
            <w:r>
              <w:rPr>
                <w:rFonts w:cs="Arial"/>
                <w:vanish/>
              </w:rPr>
              <w:t xml:space="preserve">BR_41.22 </w:t>
            </w:r>
            <w:r>
              <w:t xml:space="preserve">When a weak D interpretation is positive </w:t>
            </w:r>
            <w:r w:rsidR="00C749CF">
              <w:t xml:space="preserve">or inconclusive </w:t>
            </w:r>
            <w:r>
              <w:t xml:space="preserve">and is verified for a tested blood unit that was labeled as (Rh) D negative, VBECS warns the user and adds the quarantine indicator to the unit. </w:t>
            </w:r>
          </w:p>
          <w:p w14:paraId="7C51871B" w14:textId="77777777" w:rsidR="002A21AE" w:rsidRDefault="002A21AE">
            <w:pPr>
              <w:pStyle w:val="NotesText"/>
            </w:pPr>
          </w:p>
          <w:p w14:paraId="5EB90CD2" w14:textId="77777777" w:rsidR="00A33DDA" w:rsidRDefault="002A21AE" w:rsidP="00A33DDA">
            <w:pPr>
              <w:pStyle w:val="NotesText"/>
              <w:rPr>
                <w:rFonts w:cs="Arial"/>
                <w:vanish/>
              </w:rPr>
            </w:pPr>
            <w:r>
              <w:rPr>
                <w:rFonts w:cs="Arial"/>
                <w:vanish/>
              </w:rPr>
              <w:t xml:space="preserve">BR_41.12 </w:t>
            </w:r>
            <w:r w:rsidR="00A33DDA">
              <w:t>VBECS compares the antigen typing interpretation a user enters to previously assigned antigen typings for the same antigen (as assigned during Incoming Shipment, Edit Unit Information, or previous testing). When the previous interpretation was not “inconclusive” and the current interpretation does not match the previously identified antigen type, VBECS warns the user and quarantines the unit.</w:t>
            </w:r>
          </w:p>
          <w:p w14:paraId="7C2DB16C" w14:textId="77777777" w:rsidR="00BC3648" w:rsidRDefault="00BC3648">
            <w:pPr>
              <w:pStyle w:val="NotesText"/>
            </w:pPr>
          </w:p>
          <w:p w14:paraId="7A93D3F8" w14:textId="6D3B5DEE" w:rsidR="009F3B6F" w:rsidRPr="0084688E" w:rsidRDefault="009F3B6F" w:rsidP="009F3B6F">
            <w:pPr>
              <w:pStyle w:val="NotesText"/>
            </w:pPr>
            <w:r w:rsidRPr="0084688E">
              <w:rPr>
                <w:vanish/>
              </w:rPr>
              <w:t xml:space="preserve">BR_27.15 </w:t>
            </w:r>
            <w:r w:rsidRPr="0084688E">
              <w:t>When a unit has had a quarantine indicator assigned, VBECS releases any patient assignments. Patient restrictions associated with the unit remain intact.</w:t>
            </w:r>
          </w:p>
          <w:p w14:paraId="7FFC73F7" w14:textId="77777777" w:rsidR="009230AA" w:rsidRDefault="009230AA" w:rsidP="00BC3648">
            <w:pPr>
              <w:pStyle w:val="NotesText"/>
              <w:rPr>
                <w:rFonts w:cs="Arial"/>
                <w:szCs w:val="18"/>
              </w:rPr>
            </w:pPr>
          </w:p>
          <w:p w14:paraId="12F9D520" w14:textId="77777777" w:rsidR="00BC3648" w:rsidRDefault="00BC3648" w:rsidP="00BC3648">
            <w:pPr>
              <w:pStyle w:val="NotesText"/>
            </w:pPr>
            <w:r w:rsidRPr="00BC3648">
              <w:rPr>
                <w:rFonts w:cs="Arial"/>
                <w:vanish/>
                <w:szCs w:val="18"/>
              </w:rPr>
              <w:t>BR_41.19</w:t>
            </w:r>
            <w:r>
              <w:t>System rules establish row validation for the interpretation vs. reaction results pattern [for all user-indicated phase(s) of reactivity] for blood unit and quality control tests.</w:t>
            </w:r>
          </w:p>
        </w:tc>
      </w:tr>
      <w:tr w:rsidR="002A21AE" w14:paraId="6507DF34" w14:textId="77777777">
        <w:tc>
          <w:tcPr>
            <w:tcW w:w="3240" w:type="dxa"/>
          </w:tcPr>
          <w:p w14:paraId="4F837687" w14:textId="07D43255" w:rsidR="002A21AE" w:rsidRDefault="002A21AE">
            <w:pPr>
              <w:pStyle w:val="TableTextNumbers"/>
            </w:pPr>
            <w:r>
              <w:t>Repeat Steps 4</w:t>
            </w:r>
            <w:r w:rsidR="004F5589">
              <w:t xml:space="preserve"> through </w:t>
            </w:r>
            <w:r>
              <w:t>8 for each antiserum type.</w:t>
            </w:r>
          </w:p>
        </w:tc>
        <w:tc>
          <w:tcPr>
            <w:tcW w:w="6120" w:type="dxa"/>
          </w:tcPr>
          <w:p w14:paraId="0166EFBD" w14:textId="77777777" w:rsidR="002A21AE" w:rsidRDefault="002A21AE">
            <w:pPr>
              <w:pStyle w:val="TableTextBullet"/>
            </w:pPr>
            <w:r>
              <w:t>Displays the option to save.</w:t>
            </w:r>
          </w:p>
        </w:tc>
      </w:tr>
      <w:tr w:rsidR="002A21AE" w14:paraId="541F9216" w14:textId="77777777">
        <w:tc>
          <w:tcPr>
            <w:tcW w:w="3240" w:type="dxa"/>
          </w:tcPr>
          <w:p w14:paraId="7A0ABAE9" w14:textId="77777777" w:rsidR="002A21AE" w:rsidRDefault="002A21AE">
            <w:pPr>
              <w:pStyle w:val="TableTextNumbers"/>
            </w:pPr>
            <w:r>
              <w:t>Respond to warnings and save.</w:t>
            </w:r>
          </w:p>
        </w:tc>
        <w:tc>
          <w:tcPr>
            <w:tcW w:w="6120" w:type="dxa"/>
          </w:tcPr>
          <w:p w14:paraId="08B16CF7" w14:textId="77777777" w:rsidR="002A21AE" w:rsidRDefault="00C96530">
            <w:pPr>
              <w:pStyle w:val="TableTextBullet"/>
            </w:pPr>
            <w:r>
              <w:t xml:space="preserve">Saves the completed QC results with </w:t>
            </w:r>
            <w:r w:rsidR="002A21AE">
              <w:t xml:space="preserve">partially or fully completed </w:t>
            </w:r>
            <w:r>
              <w:t xml:space="preserve">unit testing </w:t>
            </w:r>
            <w:r w:rsidR="002A21AE">
              <w:t xml:space="preserve">data. </w:t>
            </w:r>
          </w:p>
          <w:p w14:paraId="19ADFE00" w14:textId="77777777" w:rsidR="002A21AE" w:rsidRDefault="002A21AE">
            <w:pPr>
              <w:pStyle w:val="TableTextBullet"/>
            </w:pPr>
            <w:r>
              <w:t xml:space="preserve">Reconfirms that all appropriate test results were entered, repeats all data validation, and saves the information on the worksheet displayed. </w:t>
            </w:r>
          </w:p>
          <w:p w14:paraId="42F5F74E" w14:textId="77777777" w:rsidR="002A21AE" w:rsidRDefault="002A21AE">
            <w:pPr>
              <w:pStyle w:val="TableText"/>
            </w:pPr>
          </w:p>
          <w:p w14:paraId="711D32BD" w14:textId="3E610C31" w:rsidR="002A21AE" w:rsidRDefault="002A21AE">
            <w:pPr>
              <w:pStyle w:val="TableText"/>
              <w:rPr>
                <w:b/>
                <w:bCs/>
                <w:szCs w:val="18"/>
              </w:rPr>
            </w:pPr>
            <w:r>
              <w:rPr>
                <w:b/>
                <w:bCs/>
                <w:szCs w:val="18"/>
              </w:rPr>
              <w:t>NOTES</w:t>
            </w:r>
          </w:p>
          <w:p w14:paraId="083080D6" w14:textId="77777777" w:rsidR="002A21AE" w:rsidRDefault="002A21AE">
            <w:pPr>
              <w:pStyle w:val="NotesText"/>
            </w:pPr>
          </w:p>
          <w:p w14:paraId="47CB551A" w14:textId="77777777" w:rsidR="002A21AE" w:rsidRDefault="002A21AE">
            <w:pPr>
              <w:pStyle w:val="NotesText"/>
            </w:pPr>
            <w:r>
              <w:rPr>
                <w:rFonts w:cs="Arial"/>
                <w:vanish/>
              </w:rPr>
              <w:t xml:space="preserve">BR_41.16 </w:t>
            </w:r>
            <w:r>
              <w:t>VBECS saves the testing of one antiserum specificity at a time.</w:t>
            </w:r>
          </w:p>
          <w:p w14:paraId="5E8CAB99" w14:textId="77777777" w:rsidR="00C96530" w:rsidRDefault="00C96530">
            <w:pPr>
              <w:pStyle w:val="NotesText"/>
            </w:pPr>
          </w:p>
          <w:p w14:paraId="559FEEAA" w14:textId="77777777" w:rsidR="002A21AE" w:rsidRDefault="00C96530">
            <w:pPr>
              <w:pStyle w:val="NotesText"/>
            </w:pPr>
            <w:r>
              <w:rPr>
                <w:vanish/>
              </w:rPr>
              <w:t xml:space="preserve">BR_41.33 </w:t>
            </w:r>
            <w:r w:rsidRPr="00C96530">
              <w:t>T</w:t>
            </w:r>
            <w:r w:rsidRPr="00176F35">
              <w:t xml:space="preserve">he Positive and Negative control cells must be complete and valid prior to the save of a unit antigen typing result. </w:t>
            </w:r>
            <w:r>
              <w:t>VBECS will d</w:t>
            </w:r>
            <w:r w:rsidRPr="00176F35">
              <w:t xml:space="preserve">isplay a </w:t>
            </w:r>
            <w:r w:rsidR="00D51933">
              <w:t xml:space="preserve">tooltip </w:t>
            </w:r>
            <w:r w:rsidRPr="00176F35">
              <w:t xml:space="preserve">message to the user </w:t>
            </w:r>
            <w:r>
              <w:t>if an attempt to save is made and the QC is not valid.</w:t>
            </w:r>
          </w:p>
          <w:p w14:paraId="7393C0AD" w14:textId="77777777" w:rsidR="00C96530" w:rsidRDefault="00C96530">
            <w:pPr>
              <w:pStyle w:val="NotesText"/>
            </w:pPr>
          </w:p>
          <w:p w14:paraId="0653B3A6" w14:textId="77777777" w:rsidR="002A21AE" w:rsidRDefault="002A21AE">
            <w:pPr>
              <w:pStyle w:val="NotesText"/>
            </w:pPr>
            <w:r>
              <w:rPr>
                <w:rFonts w:cs="Arial"/>
                <w:vanish/>
              </w:rPr>
              <w:t xml:space="preserve">BR_41.06 </w:t>
            </w:r>
            <w:r>
              <w:t>VBECS stores the lot number, vial identifier, manufacturer, and expiration date of the positive and negative control cells with the testing record.</w:t>
            </w:r>
          </w:p>
        </w:tc>
      </w:tr>
      <w:tr w:rsidR="002A21AE" w14:paraId="1FFB29FD" w14:textId="77777777">
        <w:tc>
          <w:tcPr>
            <w:tcW w:w="3240" w:type="dxa"/>
          </w:tcPr>
          <w:p w14:paraId="5A344B54" w14:textId="77777777" w:rsidR="002A21AE" w:rsidRDefault="002A21AE">
            <w:pPr>
              <w:pStyle w:val="TableTextNumbers"/>
            </w:pPr>
            <w:r>
              <w:t xml:space="preserve">Click </w:t>
            </w:r>
            <w:r>
              <w:rPr>
                <w:b/>
              </w:rPr>
              <w:t xml:space="preserve">OK </w:t>
            </w:r>
            <w:r>
              <w:t xml:space="preserve">to exit. </w:t>
            </w:r>
            <w:r>
              <w:rPr>
                <w:vanish/>
                <w:color w:val="FFFFFF"/>
                <w:szCs w:val="18"/>
              </w:rPr>
              <w:fldChar w:fldCharType="begin"/>
            </w:r>
            <w:r>
              <w:rPr>
                <w:vanish/>
                <w:color w:val="FFFFFF"/>
                <w:szCs w:val="18"/>
              </w:rPr>
              <w:instrText xml:space="preserve"> LISTNUM \l 1 \s 0 </w:instrText>
            </w:r>
            <w:r>
              <w:rPr>
                <w:vanish/>
                <w:color w:val="FFFFFF"/>
                <w:szCs w:val="18"/>
              </w:rPr>
              <w:fldChar w:fldCharType="end">
                <w:numberingChange w:id="319" w:author="MUSZYNSKI, THOMAS D. (SIERRA 7 INC)" w:date="2024-11-26T07:15:00Z" w:original="0."/>
              </w:fldChar>
            </w:r>
          </w:p>
        </w:tc>
        <w:tc>
          <w:tcPr>
            <w:tcW w:w="6120" w:type="dxa"/>
          </w:tcPr>
          <w:p w14:paraId="233AC097" w14:textId="77777777" w:rsidR="002A21AE" w:rsidRDefault="002A21AE">
            <w:pPr>
              <w:pStyle w:val="TableText"/>
            </w:pPr>
          </w:p>
        </w:tc>
      </w:tr>
    </w:tbl>
    <w:p w14:paraId="01868D2E" w14:textId="0D5D65DA" w:rsidR="00030E55" w:rsidRDefault="00030E55" w:rsidP="00030E55">
      <w:pPr>
        <w:pStyle w:val="Caption"/>
      </w:pPr>
      <w:bookmarkStart w:id="320" w:name="_Ref126648704"/>
      <w:bookmarkStart w:id="321" w:name="_Toc63680362"/>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7D1829">
        <w:rPr>
          <w:noProof/>
        </w:rPr>
        <w:t>56</w:t>
      </w:r>
      <w:r w:rsidR="004E20BD">
        <w:rPr>
          <w:noProof/>
        </w:rPr>
        <w:fldChar w:fldCharType="end"/>
      </w:r>
      <w:bookmarkEnd w:id="320"/>
      <w:r>
        <w:t>: Unit Antigen Typing</w:t>
      </w:r>
      <w:r w:rsidR="004E0AFB">
        <w:t xml:space="preserve"> (Initial screen)</w:t>
      </w:r>
    </w:p>
    <w:p w14:paraId="21E2CF04" w14:textId="306EE18E" w:rsidR="0004496F" w:rsidRPr="0004496F" w:rsidRDefault="002117D4" w:rsidP="0004496F">
      <w:pPr>
        <w:pStyle w:val="BodyText"/>
      </w:pPr>
      <w:r>
        <w:rPr>
          <w:noProof/>
        </w:rPr>
        <w:drawing>
          <wp:inline distT="0" distB="0" distL="0" distR="0" wp14:anchorId="596E00D7" wp14:editId="70CD6D8C">
            <wp:extent cx="5086350" cy="4733925"/>
            <wp:effectExtent l="0" t="0" r="0" b="9525"/>
            <wp:docPr id="15" name="Picture 15" descr="Example of Unit Antigen Typing (Initial screen)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Example of Unit Antigen Typing (Initial screen) screen capture"/>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5086350" cy="4733925"/>
                    </a:xfrm>
                    <a:prstGeom prst="rect">
                      <a:avLst/>
                    </a:prstGeom>
                    <a:noFill/>
                    <a:ln>
                      <a:noFill/>
                    </a:ln>
                  </pic:spPr>
                </pic:pic>
              </a:graphicData>
            </a:graphic>
          </wp:inline>
        </w:drawing>
      </w:r>
    </w:p>
    <w:p w14:paraId="152C93DD" w14:textId="77F0A864" w:rsidR="0004496F" w:rsidRDefault="0004496F" w:rsidP="0004496F">
      <w:pPr>
        <w:pStyle w:val="Caption"/>
      </w:pPr>
      <w:bookmarkStart w:id="322" w:name="_Ref508957032"/>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7D1829">
        <w:rPr>
          <w:noProof/>
        </w:rPr>
        <w:t>57</w:t>
      </w:r>
      <w:r w:rsidR="004E20BD">
        <w:rPr>
          <w:noProof/>
        </w:rPr>
        <w:fldChar w:fldCharType="end"/>
      </w:r>
      <w:bookmarkEnd w:id="322"/>
      <w:r>
        <w:t>: Unit Antigen Typing (New worklist)</w:t>
      </w:r>
    </w:p>
    <w:p w14:paraId="6A31483B" w14:textId="77777777" w:rsidR="0004496F" w:rsidRDefault="00057948" w:rsidP="0004496F">
      <w:pPr>
        <w:pStyle w:val="BodyText"/>
      </w:pPr>
      <w:r>
        <w:rPr>
          <w:noProof/>
        </w:rPr>
        <w:drawing>
          <wp:inline distT="0" distB="0" distL="0" distR="0" wp14:anchorId="763AC125" wp14:editId="654F389B">
            <wp:extent cx="5080000" cy="4756785"/>
            <wp:effectExtent l="0" t="0" r="6350" b="5715"/>
            <wp:docPr id="172" name="Picture 172" descr="Example of Unit Antigen Typing (New worklist)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Picture 172" descr="Example of Unit Antigen Typing (New worklist) screen capture"/>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5080000" cy="4756785"/>
                    </a:xfrm>
                    <a:prstGeom prst="rect">
                      <a:avLst/>
                    </a:prstGeom>
                    <a:noFill/>
                    <a:ln>
                      <a:noFill/>
                    </a:ln>
                  </pic:spPr>
                </pic:pic>
              </a:graphicData>
            </a:graphic>
          </wp:inline>
        </w:drawing>
      </w:r>
    </w:p>
    <w:p w14:paraId="29AB7F71" w14:textId="6DDA39E7" w:rsidR="0004496F" w:rsidRDefault="0004496F" w:rsidP="0004496F">
      <w:pPr>
        <w:pStyle w:val="Caption"/>
      </w:pPr>
      <w:bookmarkStart w:id="323" w:name="_Ref508957112"/>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7D1829">
        <w:rPr>
          <w:noProof/>
        </w:rPr>
        <w:t>58</w:t>
      </w:r>
      <w:r w:rsidR="004E20BD">
        <w:rPr>
          <w:noProof/>
        </w:rPr>
        <w:fldChar w:fldCharType="end"/>
      </w:r>
      <w:bookmarkEnd w:id="323"/>
      <w:r>
        <w:t>: Unit Antigen Typing (Partially Completed Worklist)</w:t>
      </w:r>
    </w:p>
    <w:p w14:paraId="3344D137" w14:textId="77777777" w:rsidR="0004496F" w:rsidRPr="0004496F" w:rsidRDefault="00057948" w:rsidP="0004496F">
      <w:pPr>
        <w:pStyle w:val="BodyText"/>
      </w:pPr>
      <w:r>
        <w:rPr>
          <w:noProof/>
        </w:rPr>
        <w:drawing>
          <wp:inline distT="0" distB="0" distL="0" distR="0" wp14:anchorId="6619C890" wp14:editId="04A01C45">
            <wp:extent cx="5939155" cy="4230370"/>
            <wp:effectExtent l="0" t="0" r="4445" b="0"/>
            <wp:docPr id="173" name="Picture 173" descr="Example of Unit Antigen Typing (Partially Completed Worklist)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Picture 173" descr="Example of Unit Antigen Typing (Partially Completed Worklist) screen capture"/>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5939155" cy="4230370"/>
                    </a:xfrm>
                    <a:prstGeom prst="rect">
                      <a:avLst/>
                    </a:prstGeom>
                    <a:noFill/>
                    <a:ln>
                      <a:noFill/>
                    </a:ln>
                  </pic:spPr>
                </pic:pic>
              </a:graphicData>
            </a:graphic>
          </wp:inline>
        </w:drawing>
      </w:r>
    </w:p>
    <w:p w14:paraId="721B098A" w14:textId="3EA6D2F5" w:rsidR="0004496F" w:rsidRPr="0004496F" w:rsidRDefault="0004496F" w:rsidP="004E0AFB">
      <w:pPr>
        <w:pStyle w:val="Caption"/>
        <w:widowControl w:val="0"/>
      </w:pPr>
      <w:bookmarkStart w:id="324" w:name="_Ref508953074"/>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7D1829">
        <w:rPr>
          <w:noProof/>
        </w:rPr>
        <w:t>59</w:t>
      </w:r>
      <w:r w:rsidR="004E20BD">
        <w:rPr>
          <w:noProof/>
        </w:rPr>
        <w:fldChar w:fldCharType="end"/>
      </w:r>
      <w:bookmarkEnd w:id="324"/>
      <w:r>
        <w:t>: Unit Antigen Typing</w:t>
      </w:r>
    </w:p>
    <w:p w14:paraId="1249D5D1" w14:textId="77777777" w:rsidR="002A4159" w:rsidRDefault="00057948" w:rsidP="0032634C">
      <w:pPr>
        <w:pStyle w:val="BodyText"/>
        <w:widowControl w:val="0"/>
      </w:pPr>
      <w:r>
        <w:rPr>
          <w:noProof/>
        </w:rPr>
        <w:drawing>
          <wp:inline distT="0" distB="0" distL="0" distR="0" wp14:anchorId="0329CA28" wp14:editId="132C2778">
            <wp:extent cx="5939155" cy="4073525"/>
            <wp:effectExtent l="0" t="0" r="4445" b="3175"/>
            <wp:docPr id="174" name="Picture 174" descr="Example of Unit Antigen Typing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Picture 174" descr="Example of Unit Antigen Typing screen capture"/>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5939155" cy="4073525"/>
                    </a:xfrm>
                    <a:prstGeom prst="rect">
                      <a:avLst/>
                    </a:prstGeom>
                    <a:noFill/>
                    <a:ln>
                      <a:noFill/>
                    </a:ln>
                  </pic:spPr>
                </pic:pic>
              </a:graphicData>
            </a:graphic>
          </wp:inline>
        </w:drawing>
      </w:r>
      <w:r w:rsidR="00030E55">
        <w:t xml:space="preserve"> </w:t>
      </w:r>
    </w:p>
    <w:p w14:paraId="359C6EF2" w14:textId="29CADA27" w:rsidR="002A4159" w:rsidRDefault="002A4159" w:rsidP="002A4159">
      <w:pPr>
        <w:pStyle w:val="Caption"/>
      </w:pPr>
      <w:bookmarkStart w:id="325" w:name="_Ref126649091"/>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7D1829">
        <w:rPr>
          <w:noProof/>
        </w:rPr>
        <w:t>60</w:t>
      </w:r>
      <w:r w:rsidR="004E20BD">
        <w:rPr>
          <w:noProof/>
        </w:rPr>
        <w:fldChar w:fldCharType="end"/>
      </w:r>
      <w:bookmarkEnd w:id="325"/>
      <w:r>
        <w:t>: Unit Antigen Typing Serologic Results</w:t>
      </w:r>
    </w:p>
    <w:p w14:paraId="4D590059" w14:textId="125171E5" w:rsidR="001B4885" w:rsidRDefault="00653A4D" w:rsidP="00030E55">
      <w:pPr>
        <w:pStyle w:val="BodyText"/>
      </w:pPr>
      <w:r>
        <w:rPr>
          <w:noProof/>
        </w:rPr>
        <w:drawing>
          <wp:inline distT="0" distB="0" distL="0" distR="0" wp14:anchorId="0C9E37DB" wp14:editId="78B00BCB">
            <wp:extent cx="5943600" cy="4333240"/>
            <wp:effectExtent l="0" t="0" r="0" b="0"/>
            <wp:docPr id="165" name="Picture 165" descr="Example of Unit Antigen Typing Serologic Results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63" descr="Example of Unit Antigen Typing Serologic Results screen capture"/>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5943600" cy="4333240"/>
                    </a:xfrm>
                    <a:prstGeom prst="rect">
                      <a:avLst/>
                    </a:prstGeom>
                    <a:noFill/>
                    <a:ln>
                      <a:noFill/>
                    </a:ln>
                  </pic:spPr>
                </pic:pic>
              </a:graphicData>
            </a:graphic>
          </wp:inline>
        </w:drawing>
      </w:r>
    </w:p>
    <w:p w14:paraId="6A6F2647" w14:textId="77777777" w:rsidR="002A21AE" w:rsidRDefault="002A21AE" w:rsidP="00E3402B">
      <w:pPr>
        <w:pStyle w:val="Heading2"/>
      </w:pPr>
      <w:r>
        <w:br w:type="page"/>
      </w:r>
      <w:bookmarkStart w:id="326" w:name="_Toc203765888"/>
      <w:bookmarkStart w:id="327" w:name="_Toc92426453"/>
      <w:bookmarkStart w:id="328" w:name="_Toc94349314"/>
      <w:bookmarkEnd w:id="321"/>
      <w:r>
        <w:lastRenderedPageBreak/>
        <w:t>Modify Components</w:t>
      </w:r>
      <w:bookmarkEnd w:id="326"/>
      <w:r>
        <w:fldChar w:fldCharType="begin"/>
      </w:r>
      <w:r>
        <w:instrText xml:space="preserve"> XE </w:instrText>
      </w:r>
      <w:r w:rsidR="00FA7E65">
        <w:instrText>“</w:instrText>
      </w:r>
      <w:r>
        <w:instrText>Modify Component</w:instrText>
      </w:r>
      <w:r w:rsidR="00FA7E65">
        <w:instrText>”</w:instrText>
      </w:r>
      <w:r>
        <w:instrText xml:space="preserve"> </w:instrText>
      </w:r>
      <w:r>
        <w:fldChar w:fldCharType="end"/>
      </w:r>
      <w:bookmarkEnd w:id="327"/>
      <w:bookmarkEnd w:id="328"/>
    </w:p>
    <w:p w14:paraId="451C6ABA" w14:textId="77777777" w:rsidR="002A21AE" w:rsidRDefault="002A21AE">
      <w:pPr>
        <w:pStyle w:val="Heading3"/>
      </w:pPr>
      <w:bookmarkStart w:id="329" w:name="_Modify_Units"/>
      <w:bookmarkStart w:id="330" w:name="_Toc203765889"/>
      <w:bookmarkStart w:id="331" w:name="_Toc94349315"/>
      <w:bookmarkEnd w:id="329"/>
      <w:r>
        <w:t>Modify Units</w:t>
      </w:r>
      <w:bookmarkEnd w:id="330"/>
      <w:r w:rsidRPr="00796039">
        <w:rPr>
          <w:rFonts w:ascii="Arial Bold" w:hAnsi="Arial Bold"/>
          <w:vanish/>
        </w:rPr>
        <w:fldChar w:fldCharType="begin"/>
      </w:r>
      <w:r w:rsidRPr="00796039">
        <w:rPr>
          <w:rFonts w:ascii="Arial Bold" w:hAnsi="Arial Bold"/>
          <w:vanish/>
        </w:rPr>
        <w:instrText xml:space="preserve"> XE </w:instrText>
      </w:r>
      <w:r w:rsidR="00FA7E65" w:rsidRPr="00796039">
        <w:rPr>
          <w:rFonts w:ascii="Arial Bold" w:hAnsi="Arial Bold"/>
          <w:vanish/>
        </w:rPr>
        <w:instrText>“</w:instrText>
      </w:r>
      <w:r w:rsidRPr="00796039">
        <w:rPr>
          <w:rFonts w:ascii="Arial Bold" w:hAnsi="Arial Bold"/>
          <w:vanish/>
        </w:rPr>
        <w:instrText>Modify Units</w:instrText>
      </w:r>
      <w:r w:rsidR="00FA7E65" w:rsidRPr="00796039">
        <w:rPr>
          <w:rFonts w:ascii="Arial Bold" w:hAnsi="Arial Bold"/>
          <w:vanish/>
        </w:rPr>
        <w:instrText>”</w:instrText>
      </w:r>
      <w:r w:rsidRPr="00796039">
        <w:rPr>
          <w:rFonts w:ascii="Arial Bold" w:hAnsi="Arial Bold"/>
          <w:vanish/>
        </w:rPr>
        <w:instrText xml:space="preserve"> </w:instrText>
      </w:r>
      <w:r w:rsidRPr="00796039">
        <w:rPr>
          <w:rFonts w:ascii="Arial Bold" w:hAnsi="Arial Bold"/>
          <w:vanish/>
        </w:rPr>
        <w:fldChar w:fldCharType="end"/>
      </w:r>
      <w:r w:rsidRPr="00796039">
        <w:rPr>
          <w:rFonts w:ascii="Arial Bold" w:hAnsi="Arial Bold"/>
          <w:vanish/>
        </w:rPr>
        <w:t xml:space="preserve"> UC_26</w:t>
      </w:r>
      <w:bookmarkEnd w:id="331"/>
    </w:p>
    <w:p w14:paraId="6E3741DA" w14:textId="529F5102" w:rsidR="002A21AE" w:rsidRDefault="002A21AE" w:rsidP="00FA7E65">
      <w:pPr>
        <w:pStyle w:val="BodyText"/>
      </w:pPr>
      <w:bookmarkStart w:id="332" w:name="_Toc77662608"/>
      <w:r>
        <w:t xml:space="preserve">The user modifies a unit, which results in a different blood product (target product) with </w:t>
      </w:r>
      <w:r w:rsidR="00AC457B">
        <w:t>its own</w:t>
      </w:r>
      <w:r>
        <w:t xml:space="preserve"> properties. A division’s configuration determines the available modification types</w:t>
      </w:r>
      <w:r w:rsidR="003B6DCF">
        <w:t>.</w:t>
      </w:r>
    </w:p>
    <w:p w14:paraId="58E631B1" w14:textId="77777777" w:rsidR="002A21AE" w:rsidRDefault="002A21AE">
      <w:pPr>
        <w:pStyle w:val="Heading4"/>
      </w:pPr>
      <w:bookmarkStart w:id="333" w:name="_Toc94349316"/>
      <w:r>
        <w:t>Assumptions</w:t>
      </w:r>
      <w:bookmarkEnd w:id="333"/>
      <w:r w:rsidR="00AC457B">
        <w:fldChar w:fldCharType="begin"/>
      </w:r>
      <w:r w:rsidR="00AC457B">
        <w:instrText xml:space="preserve"> XE "</w:instrText>
      </w:r>
      <w:r w:rsidR="00AC457B" w:rsidRPr="00A60D38">
        <w:instrText>Assumptions</w:instrText>
      </w:r>
      <w:r w:rsidR="00AC457B">
        <w:instrText xml:space="preserve">" </w:instrText>
      </w:r>
      <w:r w:rsidR="00AC457B">
        <w:fldChar w:fldCharType="end"/>
      </w:r>
    </w:p>
    <w:p w14:paraId="120D49EA" w14:textId="77777777" w:rsidR="002A21AE" w:rsidRDefault="00046402">
      <w:pPr>
        <w:pStyle w:val="ListBullet"/>
      </w:pPr>
      <w:r>
        <w:t>Product Modifications</w:t>
      </w:r>
      <w:r w:rsidR="002A21AE">
        <w:t xml:space="preserve"> was executed.</w:t>
      </w:r>
    </w:p>
    <w:p w14:paraId="22D95E17" w14:textId="77777777" w:rsidR="002A21AE" w:rsidRDefault="00CB7D9B">
      <w:pPr>
        <w:pStyle w:val="ListBullet"/>
      </w:pPr>
      <w:r>
        <w:t>The division is the active shipper for target blood products.</w:t>
      </w:r>
    </w:p>
    <w:p w14:paraId="07FB6828" w14:textId="77777777" w:rsidR="002A21AE" w:rsidRDefault="002A21AE">
      <w:pPr>
        <w:pStyle w:val="ListBullet"/>
      </w:pPr>
      <w:r>
        <w:t>A unit may be modified with or without patient assignment or restriction.</w:t>
      </w:r>
    </w:p>
    <w:p w14:paraId="52D78B2A" w14:textId="77777777" w:rsidR="002A21AE" w:rsidRDefault="002A21AE">
      <w:pPr>
        <w:pStyle w:val="ListBullet"/>
      </w:pPr>
      <w:r>
        <w:t>A unit may be modified with or without a patient order.</w:t>
      </w:r>
    </w:p>
    <w:p w14:paraId="3202B2C9" w14:textId="77777777" w:rsidR="002A21AE" w:rsidRDefault="002A21AE">
      <w:pPr>
        <w:pStyle w:val="ListBullet"/>
      </w:pPr>
      <w:r>
        <w:t>Units selected for modification must be in the same division as the user.</w:t>
      </w:r>
    </w:p>
    <w:p w14:paraId="2C918B68" w14:textId="77777777" w:rsidR="00F81D5E" w:rsidRDefault="00F81D5E">
      <w:pPr>
        <w:pStyle w:val="ListBullet"/>
      </w:pPr>
      <w:r>
        <w:t>Product labels and unit numbers for modified products</w:t>
      </w:r>
      <w:r w:rsidRPr="00F81D5E">
        <w:t xml:space="preserve"> </w:t>
      </w:r>
      <w:r>
        <w:t>are on hand.</w:t>
      </w:r>
    </w:p>
    <w:p w14:paraId="669DEC12" w14:textId="77777777" w:rsidR="0014066B" w:rsidRDefault="0014066B">
      <w:pPr>
        <w:pStyle w:val="ListBullet"/>
      </w:pPr>
      <w:r>
        <w:t>Supplies needed for the unit modification were entered in VBECS.</w:t>
      </w:r>
    </w:p>
    <w:p w14:paraId="53765FD4" w14:textId="77777777" w:rsidR="002A21AE" w:rsidRDefault="002A21AE">
      <w:pPr>
        <w:pStyle w:val="Heading4"/>
      </w:pPr>
      <w:bookmarkStart w:id="334" w:name="_Toc94349317"/>
      <w:r>
        <w:t>Outcome</w:t>
      </w:r>
      <w:bookmarkEnd w:id="334"/>
    </w:p>
    <w:p w14:paraId="7F473A6D" w14:textId="77777777" w:rsidR="002A21AE" w:rsidRDefault="002A21AE">
      <w:pPr>
        <w:pStyle w:val="ListBullet"/>
      </w:pPr>
      <w:r>
        <w:t>Data generated for an Exception Report are stored for inclusion in the next Exception Report.</w:t>
      </w:r>
    </w:p>
    <w:p w14:paraId="6A9975CF" w14:textId="3B4AF185" w:rsidR="002A21AE" w:rsidRDefault="0029405C">
      <w:pPr>
        <w:pStyle w:val="ListBullet"/>
      </w:pPr>
      <w:r>
        <w:t xml:space="preserve">If workload codes are assigned </w:t>
      </w:r>
      <w:r w:rsidR="002549A8">
        <w:t>for this process</w:t>
      </w:r>
      <w:r>
        <w:t>, w</w:t>
      </w:r>
      <w:r w:rsidR="002A21AE">
        <w:t xml:space="preserve">orkload-related data collected as the result of </w:t>
      </w:r>
      <w:r>
        <w:t>this process</w:t>
      </w:r>
      <w:r w:rsidR="002A21AE">
        <w:t xml:space="preserve"> are stored for inclusion in Workload Reports.</w:t>
      </w:r>
    </w:p>
    <w:p w14:paraId="1C497D1D" w14:textId="77777777" w:rsidR="002A21AE" w:rsidRDefault="002A21AE">
      <w:pPr>
        <w:pStyle w:val="ListBullet"/>
      </w:pPr>
      <w:r>
        <w:t>At the completion of a unit modification, VBECS assigns the original unit a final status of “modified.”</w:t>
      </w:r>
    </w:p>
    <w:p w14:paraId="4A517F20" w14:textId="77777777" w:rsidR="002A21AE" w:rsidRDefault="002A21AE">
      <w:pPr>
        <w:pStyle w:val="ListBullet"/>
      </w:pPr>
      <w:r>
        <w:t>A permanent virtual link exists between the original unit and target units created.</w:t>
      </w:r>
    </w:p>
    <w:p w14:paraId="3386D44E" w14:textId="77777777" w:rsidR="002A21AE" w:rsidRDefault="002A21AE">
      <w:pPr>
        <w:pStyle w:val="ListBullet"/>
      </w:pPr>
      <w:r>
        <w:t>The shipper of the target unit created is the division in which the modification was performed. The cost assigned to the target unit is based on what was defined in Blood Products.</w:t>
      </w:r>
    </w:p>
    <w:p w14:paraId="568B7A78" w14:textId="77777777" w:rsidR="002A21AE" w:rsidRDefault="002A21AE">
      <w:pPr>
        <w:pStyle w:val="Heading4"/>
      </w:pPr>
      <w:bookmarkStart w:id="335" w:name="_Toc94349318"/>
      <w:r>
        <w:t>Limitations and Restrictions</w:t>
      </w:r>
      <w:bookmarkEnd w:id="335"/>
    </w:p>
    <w:p w14:paraId="3FE62808" w14:textId="77777777" w:rsidR="002A21AE" w:rsidRDefault="00CC5F64">
      <w:pPr>
        <w:pStyle w:val="ListBullet"/>
      </w:pPr>
      <w:r>
        <w:t>VBECS allows modification of units only in limited, assigned, crossmatched, and available statuses.</w:t>
      </w:r>
    </w:p>
    <w:p w14:paraId="7B9A9DF5" w14:textId="77777777" w:rsidR="002D6306" w:rsidRPr="004E1DF1" w:rsidRDefault="002D6306" w:rsidP="002D6306">
      <w:pPr>
        <w:pStyle w:val="ListBullet"/>
      </w:pPr>
      <w:r>
        <w:t>VBECS presents the conservative expiration date for target units. VBECS does not know th</w:t>
      </w:r>
      <w:r w:rsidR="008B6D25">
        <w:t xml:space="preserve">e specific collection details. </w:t>
      </w:r>
      <w:r>
        <w:t>It is the responsib</w:t>
      </w:r>
      <w:r w:rsidR="008B6D25">
        <w:t>i</w:t>
      </w:r>
      <w:r>
        <w:t>lity of each user to accurately enter and process any one blood unit based on its expiration date/time as labeled by the collection facility.</w:t>
      </w:r>
      <w:r>
        <w:rPr>
          <w:vanish/>
        </w:rPr>
        <w:t xml:space="preserve"> Task 1324</w:t>
      </w:r>
    </w:p>
    <w:p w14:paraId="75AAC526" w14:textId="2D2C2501" w:rsidR="004E1DF1" w:rsidRPr="0050055B" w:rsidRDefault="004E1DF1" w:rsidP="002D6306">
      <w:pPr>
        <w:pStyle w:val="ListBullet"/>
      </w:pPr>
      <w:r>
        <w:t xml:space="preserve">Pooling of units that have the attribute form </w:t>
      </w:r>
      <w:r>
        <w:rPr>
          <w:rFonts w:cs="Arial"/>
          <w:szCs w:val="18"/>
        </w:rPr>
        <w:t xml:space="preserve">V0013 (irradiated) and attribute </w:t>
      </w:r>
      <w:r w:rsidRPr="00DC60F9">
        <w:rPr>
          <w:rFonts w:cs="Arial"/>
          <w:szCs w:val="18"/>
        </w:rPr>
        <w:t>V0021005</w:t>
      </w:r>
      <w:r>
        <w:rPr>
          <w:rFonts w:cs="Arial"/>
          <w:szCs w:val="18"/>
        </w:rPr>
        <w:t xml:space="preserve"> (psoralen treatment) does not produce a target.</w:t>
      </w:r>
    </w:p>
    <w:p w14:paraId="335A3A77" w14:textId="77777777" w:rsidR="002A21AE" w:rsidRDefault="002A21AE">
      <w:pPr>
        <w:pStyle w:val="Heading4"/>
      </w:pPr>
      <w:bookmarkStart w:id="336" w:name="_Toc94349319"/>
      <w:r>
        <w:t>Additional Information</w:t>
      </w:r>
      <w:bookmarkEnd w:id="336"/>
    </w:p>
    <w:p w14:paraId="2781C438" w14:textId="77777777" w:rsidR="002A21AE" w:rsidRDefault="002A21AE">
      <w:pPr>
        <w:pStyle w:val="ListBullet"/>
      </w:pPr>
      <w:r>
        <w:t>VBECS requires the identification of the transferred-to container when using an open method</w:t>
      </w:r>
      <w:r w:rsidR="00C249B1">
        <w:t xml:space="preserve"> or </w:t>
      </w:r>
      <w:r w:rsidR="00922AD8">
        <w:t>a</w:t>
      </w:r>
      <w:r w:rsidR="00C249B1">
        <w:t xml:space="preserve"> </w:t>
      </w:r>
      <w:r w:rsidR="00AD29E0">
        <w:t>sterile connection</w:t>
      </w:r>
      <w:r w:rsidR="00F17F64">
        <w:t xml:space="preserve"> device (SCD)</w:t>
      </w:r>
      <w:r w:rsidR="00C249B1">
        <w:t>.</w:t>
      </w:r>
    </w:p>
    <w:p w14:paraId="38515BC8" w14:textId="77777777" w:rsidR="002A21AE" w:rsidRDefault="002A21AE">
      <w:pPr>
        <w:pStyle w:val="ListBullet"/>
      </w:pPr>
      <w:r>
        <w:t xml:space="preserve">VBECS requires the identification of the SCD wafer data when using an SCD. </w:t>
      </w:r>
    </w:p>
    <w:p w14:paraId="243ACD6B" w14:textId="77777777" w:rsidR="00B57CCA" w:rsidRDefault="00B57CCA">
      <w:pPr>
        <w:pStyle w:val="ListBullet"/>
      </w:pPr>
      <w:r w:rsidRPr="00B57CCA">
        <w:t xml:space="preserve">When </w:t>
      </w:r>
      <w:r>
        <w:t>a user extends an</w:t>
      </w:r>
      <w:r w:rsidRPr="00B57CCA">
        <w:t xml:space="preserve"> expiration date</w:t>
      </w:r>
      <w:r>
        <w:t xml:space="preserve"> beyond the default expiration date</w:t>
      </w:r>
      <w:r w:rsidRPr="00B57CCA">
        <w:t xml:space="preserve">, </w:t>
      </w:r>
      <w:r>
        <w:t xml:space="preserve">the override message </w:t>
      </w:r>
      <w:r w:rsidRPr="00B57CCA">
        <w:t xml:space="preserve">displays the </w:t>
      </w:r>
      <w:r>
        <w:t xml:space="preserve">original </w:t>
      </w:r>
      <w:r w:rsidRPr="00B57CCA">
        <w:t>expiration date.</w:t>
      </w:r>
    </w:p>
    <w:p w14:paraId="7EE73977" w14:textId="77777777" w:rsidR="002A21AE" w:rsidRDefault="002A21AE">
      <w:pPr>
        <w:pStyle w:val="ListBullet"/>
      </w:pPr>
      <w:r>
        <w:t xml:space="preserve">Due to the variations in supplies </w:t>
      </w:r>
      <w:r w:rsidR="00C249B1">
        <w:t xml:space="preserve">and equipment </w:t>
      </w:r>
      <w:r>
        <w:t>used for other modification types, VBECS does not require supply</w:t>
      </w:r>
      <w:r w:rsidR="00C249B1">
        <w:t xml:space="preserve"> or equipment</w:t>
      </w:r>
      <w:r>
        <w:t xml:space="preserve"> entry</w:t>
      </w:r>
      <w:r w:rsidR="00C249B1">
        <w:t>,</w:t>
      </w:r>
      <w:r>
        <w:t xml:space="preserve"> but allows entry of those data as part of the modification record.</w:t>
      </w:r>
    </w:p>
    <w:p w14:paraId="079481E5" w14:textId="77777777" w:rsidR="002A21AE" w:rsidRDefault="002A21AE">
      <w:pPr>
        <w:pStyle w:val="ListBullet"/>
      </w:pPr>
      <w:r>
        <w:t>During the modification options (Modify Units: Pool Units; Modify Units: Split a Unit; Modify Units), a user may select an assigned blood unit for modification and transfer one patient assignment to the target units created.</w:t>
      </w:r>
    </w:p>
    <w:p w14:paraId="6747E4D0" w14:textId="77777777" w:rsidR="000145FB" w:rsidRDefault="000145FB" w:rsidP="000145FB">
      <w:pPr>
        <w:pStyle w:val="ListBullet"/>
      </w:pPr>
      <w:r>
        <w:t xml:space="preserve">To reverse other modifications, remove the “modified” status from each unit through </w:t>
      </w:r>
      <w:r w:rsidR="00F078F4">
        <w:t xml:space="preserve">Supervisor Menu, </w:t>
      </w:r>
      <w:r>
        <w:t>Remove Final Status.</w:t>
      </w:r>
    </w:p>
    <w:p w14:paraId="4C21E95C" w14:textId="77777777" w:rsidR="003221B7" w:rsidRDefault="003221B7" w:rsidP="000145FB">
      <w:pPr>
        <w:pStyle w:val="ListBullet"/>
      </w:pPr>
      <w:r>
        <w:lastRenderedPageBreak/>
        <w:t>To edit the number of units in a</w:t>
      </w:r>
      <w:r w:rsidR="00892AB1">
        <w:t>n existing pool, use Add/Remove Units from a Pool.</w:t>
      </w:r>
    </w:p>
    <w:p w14:paraId="4C025A8B" w14:textId="165E6A67" w:rsidR="003F0E80" w:rsidRDefault="003F0E80" w:rsidP="000145FB">
      <w:pPr>
        <w:pStyle w:val="ListBullet"/>
      </w:pPr>
      <w:r>
        <w:t>The user can scan to select the target</w:t>
      </w:r>
      <w:r w:rsidR="00A032AC">
        <w:t>,</w:t>
      </w:r>
      <w:r w:rsidR="00110B97">
        <w:t xml:space="preserve"> </w:t>
      </w:r>
      <w:r>
        <w:t>but it will only present the product codes available as a target by VBECS</w:t>
      </w:r>
      <w:r w:rsidR="002F7E19">
        <w:t xml:space="preserve"> (See </w:t>
      </w:r>
      <w:r w:rsidR="00311F17" w:rsidRPr="00423A7F">
        <w:rPr>
          <w:i/>
          <w:iCs/>
        </w:rPr>
        <w:t xml:space="preserve">FAQ </w:t>
      </w:r>
      <w:r w:rsidR="002F7E19" w:rsidRPr="00423A7F">
        <w:rPr>
          <w:i/>
          <w:iCs/>
        </w:rPr>
        <w:t>Modification Target Not Available</w:t>
      </w:r>
      <w:r w:rsidR="002F7E19">
        <w:t>)</w:t>
      </w:r>
      <w:r>
        <w:t>.</w:t>
      </w:r>
    </w:p>
    <w:p w14:paraId="11586476" w14:textId="77777777" w:rsidR="00C61ED6" w:rsidRDefault="00C61ED6" w:rsidP="00C61ED6">
      <w:pPr>
        <w:pStyle w:val="ListBullet"/>
      </w:pPr>
      <w:r>
        <w:t>The user can change the expiration date and time prior to completing bl</w:t>
      </w:r>
      <w:r w:rsidR="00071143">
        <w:t>ood unit’s modification</w:t>
      </w:r>
      <w:r w:rsidR="003502C9">
        <w:t xml:space="preserve">. </w:t>
      </w:r>
      <w:r w:rsidR="003502C9" w:rsidRPr="003502C9">
        <w:rPr>
          <w:vanish/>
        </w:rPr>
        <w:t>Task 618684</w:t>
      </w:r>
    </w:p>
    <w:p w14:paraId="0712ADCE" w14:textId="77777777" w:rsidR="002A21AE" w:rsidRDefault="002A21AE">
      <w:pPr>
        <w:pStyle w:val="Heading4"/>
      </w:pPr>
      <w:bookmarkStart w:id="337" w:name="_Toc94349320"/>
      <w:r>
        <w:t>User Roles with Access to This Option</w:t>
      </w:r>
      <w:bookmarkEnd w:id="337"/>
    </w:p>
    <w:bookmarkEnd w:id="332"/>
    <w:p w14:paraId="72A26E62" w14:textId="77777777" w:rsidR="000D69CE" w:rsidRDefault="000D69CE" w:rsidP="000D69CE">
      <w:pPr>
        <w:pStyle w:val="Roles"/>
        <w:rPr>
          <w:snapToGrid w:val="0"/>
        </w:rPr>
      </w:pPr>
      <w:r>
        <w:t>All users</w:t>
      </w:r>
    </w:p>
    <w:p w14:paraId="5C71886E" w14:textId="77777777" w:rsidR="002A21AE" w:rsidRDefault="002A21AE">
      <w:pPr>
        <w:pStyle w:val="Heading4"/>
      </w:pPr>
      <w:bookmarkStart w:id="338" w:name="OLE_LINK27"/>
      <w:bookmarkStart w:id="339" w:name="OLE_LINK28"/>
      <w:r>
        <w:t>Modify Units</w:t>
      </w:r>
      <w:bookmarkEnd w:id="338"/>
      <w:bookmarkEnd w:id="339"/>
    </w:p>
    <w:p w14:paraId="0A8BD448" w14:textId="77777777" w:rsidR="002A21AE" w:rsidRDefault="002A21AE" w:rsidP="00FA7E65">
      <w:pPr>
        <w:pStyle w:val="BodyText"/>
      </w:pPr>
      <w:r>
        <w:t xml:space="preserve">The user selects the units to be modified. The user indicates the type of modification to be performed, then enters (preferably by scanning) the unit ID and product code. </w:t>
      </w:r>
    </w:p>
    <w:p w14:paraId="315B8C59" w14:textId="77777777" w:rsidR="002A21AE" w:rsidRDefault="002A21AE" w:rsidP="00FA7E65">
      <w:pPr>
        <w:pStyle w:val="BodyText"/>
      </w:pPr>
      <w:r>
        <w:t>VBECS displays a creation date and time (default: current date and time) for the target units, which the user may change to a date and time in the past and not before the login date and time of the original unit. VBECS calculates a new expiration date for the target unit (based on the creation date and time</w:t>
      </w:r>
      <w:r w:rsidR="00C5700C">
        <w:t>, modification type, method, and original unit product type</w:t>
      </w:r>
      <w:r w:rsidR="00B14F35">
        <w:t>)</w:t>
      </w:r>
      <w:r>
        <w:t xml:space="preserve"> and records the date and time the original unit was modified. Some modification procedures require materials in addition to the new container. VBECS requires the entry of a new container lot number and SCD wafer, if indicated. </w:t>
      </w:r>
    </w:p>
    <w:p w14:paraId="20240308" w14:textId="77777777" w:rsidR="002A21AE" w:rsidRDefault="00AA7C63" w:rsidP="00FA7E65">
      <w:pPr>
        <w:pStyle w:val="BodyText"/>
      </w:pPr>
      <w:r>
        <w:t>The modified target unit is now available for use.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26499FB9" w14:textId="77777777">
        <w:trPr>
          <w:tblHeader/>
        </w:trPr>
        <w:tc>
          <w:tcPr>
            <w:tcW w:w="3240" w:type="dxa"/>
            <w:shd w:val="pct30" w:color="auto" w:fill="FFFFFF"/>
            <w:vAlign w:val="bottom"/>
          </w:tcPr>
          <w:p w14:paraId="20951570" w14:textId="77777777" w:rsidR="002A21AE" w:rsidRDefault="002A21AE">
            <w:pPr>
              <w:pStyle w:val="TableText"/>
              <w:rPr>
                <w:b/>
              </w:rPr>
            </w:pPr>
            <w:bookmarkStart w:id="340" w:name="_Toc79478694"/>
            <w:bookmarkStart w:id="341" w:name="_Toc63680363"/>
            <w:r>
              <w:rPr>
                <w:b/>
              </w:rPr>
              <w:t>User Action</w:t>
            </w:r>
          </w:p>
        </w:tc>
        <w:tc>
          <w:tcPr>
            <w:tcW w:w="6120" w:type="dxa"/>
            <w:shd w:val="pct30" w:color="auto" w:fill="FFFFFF"/>
            <w:vAlign w:val="bottom"/>
          </w:tcPr>
          <w:p w14:paraId="126420C3" w14:textId="77777777" w:rsidR="002A21AE" w:rsidRDefault="002A21AE">
            <w:pPr>
              <w:pStyle w:val="TableText"/>
              <w:rPr>
                <w:b/>
              </w:rPr>
            </w:pPr>
            <w:r>
              <w:rPr>
                <w:b/>
              </w:rPr>
              <w:t>VBECS</w:t>
            </w:r>
          </w:p>
        </w:tc>
      </w:tr>
      <w:tr w:rsidR="002A21AE" w14:paraId="2316F43D" w14:textId="77777777">
        <w:tc>
          <w:tcPr>
            <w:tcW w:w="3240" w:type="dxa"/>
          </w:tcPr>
          <w:p w14:paraId="71814F99" w14:textId="77777777" w:rsidR="002A21AE" w:rsidRDefault="002A21AE" w:rsidP="002C6BD1">
            <w:pPr>
              <w:pStyle w:val="TableTextNumbers"/>
            </w:pPr>
            <w:r>
              <w:t xml:space="preserve">Select </w:t>
            </w:r>
            <w:r>
              <w:rPr>
                <w:b/>
              </w:rPr>
              <w:t>Blood Units</w:t>
            </w:r>
            <w:r>
              <w:t xml:space="preserve"> from the main menu. </w:t>
            </w:r>
          </w:p>
          <w:p w14:paraId="08D7A728" w14:textId="77777777" w:rsidR="002A21AE" w:rsidRDefault="002A21AE">
            <w:pPr>
              <w:pStyle w:val="TableTextNumbersContinued"/>
            </w:pPr>
          </w:p>
          <w:p w14:paraId="543465B3" w14:textId="77777777" w:rsidR="002A21AE" w:rsidRDefault="002A21AE">
            <w:pPr>
              <w:pStyle w:val="TableTextNumbersContinued"/>
            </w:pPr>
            <w:r>
              <w:t xml:space="preserve">Select </w:t>
            </w:r>
            <w:r>
              <w:rPr>
                <w:b/>
              </w:rPr>
              <w:t>Modify Units</w:t>
            </w:r>
            <w:r>
              <w:t>.</w:t>
            </w:r>
          </w:p>
        </w:tc>
        <w:tc>
          <w:tcPr>
            <w:tcW w:w="6120" w:type="dxa"/>
          </w:tcPr>
          <w:p w14:paraId="792E5865" w14:textId="77777777" w:rsidR="002A21AE" w:rsidRDefault="002A21AE">
            <w:pPr>
              <w:pStyle w:val="TableTextBullet"/>
            </w:pPr>
            <w:r>
              <w:t>Displays options for processing blood units.</w:t>
            </w:r>
          </w:p>
          <w:p w14:paraId="020208C4" w14:textId="77777777" w:rsidR="002A21AE" w:rsidRDefault="00792C64">
            <w:pPr>
              <w:pStyle w:val="TableTextBullet"/>
            </w:pPr>
            <w:r w:rsidRPr="00792C64">
              <w:rPr>
                <w:vanish/>
                <w:szCs w:val="18"/>
              </w:rPr>
              <w:t>BR_26.32</w:t>
            </w:r>
            <w:r w:rsidR="002B1949">
              <w:rPr>
                <w:vanish/>
                <w:szCs w:val="18"/>
              </w:rPr>
              <w:t xml:space="preserve"> </w:t>
            </w:r>
            <w:r w:rsidR="002A21AE">
              <w:t xml:space="preserve">Displays valid modification options </w:t>
            </w:r>
            <w:r w:rsidR="00794BA2">
              <w:t xml:space="preserve">configured </w:t>
            </w:r>
            <w:r w:rsidR="002A21AE">
              <w:t xml:space="preserve">for the division and allows the user to select an option. </w:t>
            </w:r>
          </w:p>
        </w:tc>
      </w:tr>
      <w:tr w:rsidR="00504CD6" w14:paraId="6AE2BFD7" w14:textId="77777777">
        <w:tc>
          <w:tcPr>
            <w:tcW w:w="3240" w:type="dxa"/>
          </w:tcPr>
          <w:p w14:paraId="42A48202" w14:textId="77777777" w:rsidR="00504CD6" w:rsidRDefault="00504CD6" w:rsidP="00C92722">
            <w:pPr>
              <w:pStyle w:val="TableTextNumbers"/>
            </w:pPr>
            <w:r>
              <w:t>Enter the date and time of the unit modification.</w:t>
            </w:r>
          </w:p>
          <w:p w14:paraId="3C1C59E6" w14:textId="77777777" w:rsidR="00504CD6" w:rsidRDefault="00504CD6" w:rsidP="007C035C">
            <w:pPr>
              <w:pStyle w:val="TableTextNumbersContinued"/>
            </w:pPr>
          </w:p>
          <w:p w14:paraId="26B197DC" w14:textId="77777777" w:rsidR="00504CD6" w:rsidRDefault="00504CD6" w:rsidP="007C035C">
            <w:pPr>
              <w:pStyle w:val="TableTextNumbersContinued"/>
            </w:pPr>
            <w:r>
              <w:t xml:space="preserve">Enter the </w:t>
            </w:r>
            <w:r w:rsidR="007C035C">
              <w:t>name of the user who modifies the unit.</w:t>
            </w:r>
          </w:p>
        </w:tc>
        <w:tc>
          <w:tcPr>
            <w:tcW w:w="6120" w:type="dxa"/>
          </w:tcPr>
          <w:p w14:paraId="061B9B75" w14:textId="77777777" w:rsidR="00504CD6" w:rsidRDefault="00504CD6" w:rsidP="00C92722">
            <w:pPr>
              <w:pStyle w:val="TableTextBullet"/>
            </w:pPr>
            <w:r>
              <w:t xml:space="preserve">Displays the default (current) date and time as the modification date and time. </w:t>
            </w:r>
          </w:p>
          <w:p w14:paraId="6C278462" w14:textId="77777777" w:rsidR="00504CD6" w:rsidRDefault="00504CD6" w:rsidP="00C92722">
            <w:pPr>
              <w:pStyle w:val="TableTextBullet"/>
            </w:pPr>
            <w:r>
              <w:t>Allows the user to change the date and time to a past date and time.</w:t>
            </w:r>
          </w:p>
          <w:p w14:paraId="430E9C3C" w14:textId="77777777" w:rsidR="00504CD6" w:rsidRDefault="00504CD6" w:rsidP="00C92722">
            <w:pPr>
              <w:pStyle w:val="TableText"/>
            </w:pPr>
          </w:p>
          <w:p w14:paraId="228C94B9" w14:textId="2C1D98A8" w:rsidR="00504CD6" w:rsidRDefault="00504CD6" w:rsidP="00C92722">
            <w:pPr>
              <w:pStyle w:val="TableText"/>
              <w:rPr>
                <w:b/>
                <w:bCs/>
                <w:szCs w:val="18"/>
              </w:rPr>
            </w:pPr>
            <w:r>
              <w:rPr>
                <w:b/>
                <w:bCs/>
                <w:szCs w:val="18"/>
              </w:rPr>
              <w:t>NOTES</w:t>
            </w:r>
          </w:p>
          <w:p w14:paraId="06323867" w14:textId="77777777" w:rsidR="00504CD6" w:rsidRDefault="00504CD6" w:rsidP="00C92722">
            <w:pPr>
              <w:pStyle w:val="NotesText"/>
            </w:pPr>
          </w:p>
          <w:p w14:paraId="4FAA8DED" w14:textId="77777777" w:rsidR="00504CD6" w:rsidRDefault="00504CD6" w:rsidP="00C92722">
            <w:pPr>
              <w:pStyle w:val="NotesText"/>
            </w:pPr>
            <w:r>
              <w:rPr>
                <w:rFonts w:cs="Arial"/>
                <w:vanish/>
              </w:rPr>
              <w:t xml:space="preserve">BR_26.01 </w:t>
            </w:r>
            <w:r>
              <w:t>The user may not enter a future date and time.</w:t>
            </w:r>
          </w:p>
          <w:p w14:paraId="5D139403" w14:textId="77777777" w:rsidR="000430E8" w:rsidRDefault="000430E8" w:rsidP="00C92722">
            <w:pPr>
              <w:pStyle w:val="NotesText"/>
            </w:pPr>
          </w:p>
          <w:p w14:paraId="53222BE7" w14:textId="77777777" w:rsidR="000430E8" w:rsidRDefault="000430E8" w:rsidP="000430E8">
            <w:pPr>
              <w:pStyle w:val="NotesText"/>
            </w:pPr>
            <w:r w:rsidRPr="004E2963">
              <w:rPr>
                <w:vanish/>
              </w:rPr>
              <w:t xml:space="preserve">BR_25.57 </w:t>
            </w:r>
            <w:r>
              <w:t>When a unit is modified, the processing fee is added to the cost of a modified unit target.</w:t>
            </w:r>
          </w:p>
          <w:p w14:paraId="60FB1D93" w14:textId="77777777" w:rsidR="000430E8" w:rsidRDefault="000430E8" w:rsidP="000430E8">
            <w:pPr>
              <w:pStyle w:val="NotesText"/>
            </w:pPr>
            <w:r>
              <w:t>A single unit modification has the processing fee added to the target unit.</w:t>
            </w:r>
          </w:p>
          <w:p w14:paraId="1CAA7662" w14:textId="77777777" w:rsidR="000430E8" w:rsidRDefault="000430E8" w:rsidP="000430E8">
            <w:pPr>
              <w:pStyle w:val="NotesText"/>
            </w:pPr>
            <w:r>
              <w:t>When split, the processing fee is divided and a portion is added to each target unit.</w:t>
            </w:r>
          </w:p>
          <w:p w14:paraId="528C493E" w14:textId="77777777" w:rsidR="000430E8" w:rsidRDefault="000430E8" w:rsidP="000430E8">
            <w:pPr>
              <w:pStyle w:val="NotesText"/>
            </w:pPr>
            <w:r>
              <w:t>When pooling, the processing fee is multiplied for each original unit included in the pool.</w:t>
            </w:r>
          </w:p>
        </w:tc>
      </w:tr>
      <w:tr w:rsidR="00504CD6" w14:paraId="4A4AA0B2" w14:textId="77777777" w:rsidTr="001A459B">
        <w:trPr>
          <w:cantSplit/>
          <w:hidden/>
        </w:trPr>
        <w:tc>
          <w:tcPr>
            <w:tcW w:w="3240" w:type="dxa"/>
          </w:tcPr>
          <w:p w14:paraId="17E67FA9" w14:textId="77777777" w:rsidR="00504CD6" w:rsidRDefault="00504CD6" w:rsidP="00C92722">
            <w:pPr>
              <w:pStyle w:val="TableTextNumbers"/>
              <w:rPr>
                <w:b/>
              </w:rPr>
            </w:pPr>
            <w:r>
              <w:rPr>
                <w:rFonts w:cs="Arial"/>
                <w:vanish/>
              </w:rPr>
              <w:lastRenderedPageBreak/>
              <w:t xml:space="preserve">BR_26.10 </w:t>
            </w:r>
            <w:r>
              <w:t>Click a radio button to select a modification type:</w:t>
            </w:r>
            <w:r>
              <w:rPr>
                <w:b/>
              </w:rPr>
              <w:t xml:space="preserve"> </w:t>
            </w:r>
          </w:p>
          <w:p w14:paraId="00BC473F" w14:textId="77777777" w:rsidR="00504CD6" w:rsidRDefault="00504CD6" w:rsidP="004A7B44">
            <w:pPr>
              <w:pStyle w:val="TableTextNumbersBullet"/>
              <w:ind w:left="576" w:hanging="288"/>
            </w:pPr>
            <w:r>
              <w:t xml:space="preserve">Thaw </w:t>
            </w:r>
          </w:p>
          <w:p w14:paraId="5205EEFD" w14:textId="77777777" w:rsidR="00504CD6" w:rsidRDefault="00504CD6" w:rsidP="004A7B44">
            <w:pPr>
              <w:pStyle w:val="TableTextNumbersBullet"/>
              <w:ind w:left="576" w:hanging="288"/>
            </w:pPr>
            <w:r>
              <w:t>Pool (See Modify Units: Pool Units.)</w:t>
            </w:r>
          </w:p>
          <w:p w14:paraId="48AE351B" w14:textId="77777777" w:rsidR="00504CD6" w:rsidRDefault="00504CD6" w:rsidP="004A7B44">
            <w:pPr>
              <w:pStyle w:val="TableTextNumbersBullet"/>
              <w:ind w:left="576" w:hanging="288"/>
            </w:pPr>
            <w:r>
              <w:t>Thaw/Pool Cryo (See Modify Units: Pool Units.)</w:t>
            </w:r>
          </w:p>
          <w:p w14:paraId="5E381FE7" w14:textId="77777777" w:rsidR="00504CD6" w:rsidRDefault="00504CD6" w:rsidP="004A7B44">
            <w:pPr>
              <w:pStyle w:val="TableTextNumbersBullet"/>
              <w:ind w:left="576" w:hanging="288"/>
            </w:pPr>
            <w:r>
              <w:t>Split/Divide (See Modify Units: Split a Unit.)</w:t>
            </w:r>
          </w:p>
          <w:p w14:paraId="2A2CCB9E" w14:textId="77777777" w:rsidR="00504CD6" w:rsidRDefault="00504CD6" w:rsidP="004A7B44">
            <w:pPr>
              <w:pStyle w:val="TableTextNumbersBullet"/>
              <w:ind w:left="576" w:hanging="288"/>
            </w:pPr>
            <w:r>
              <w:t>Irradiate</w:t>
            </w:r>
          </w:p>
          <w:p w14:paraId="138C390E" w14:textId="77777777" w:rsidR="00504CD6" w:rsidRDefault="00504CD6" w:rsidP="004A7B44">
            <w:pPr>
              <w:pStyle w:val="TableTextNumbersBullet"/>
              <w:ind w:left="576" w:hanging="288"/>
            </w:pPr>
            <w:r>
              <w:t>Leukoreduce</w:t>
            </w:r>
          </w:p>
          <w:p w14:paraId="05757A99" w14:textId="77777777" w:rsidR="00504CD6" w:rsidRDefault="00504CD6" w:rsidP="004A7B44">
            <w:pPr>
              <w:pStyle w:val="TableTextNumbersBullet"/>
              <w:ind w:left="576" w:hanging="288"/>
            </w:pPr>
            <w:r>
              <w:t>Volume Reduce</w:t>
            </w:r>
          </w:p>
          <w:p w14:paraId="06ECEF04" w14:textId="77777777" w:rsidR="00504CD6" w:rsidRDefault="00504CD6" w:rsidP="004A7B44">
            <w:pPr>
              <w:pStyle w:val="TableTextNumbersBullet"/>
              <w:ind w:left="576" w:hanging="288"/>
            </w:pPr>
            <w:r>
              <w:t>Wash</w:t>
            </w:r>
          </w:p>
          <w:p w14:paraId="4A9A1F1B" w14:textId="77777777" w:rsidR="00504CD6" w:rsidRDefault="00504CD6" w:rsidP="004A7B44">
            <w:pPr>
              <w:pStyle w:val="TableTextNumbersBullet"/>
              <w:ind w:left="576" w:hanging="288"/>
            </w:pPr>
            <w:r>
              <w:t xml:space="preserve">Rejuvenate </w:t>
            </w:r>
          </w:p>
          <w:p w14:paraId="15A8208F" w14:textId="77777777" w:rsidR="00504CD6" w:rsidRDefault="00504CD6" w:rsidP="004A7B44">
            <w:pPr>
              <w:pStyle w:val="TableTextNumbersBullet"/>
              <w:ind w:left="576" w:hanging="288"/>
            </w:pPr>
            <w:r>
              <w:t xml:space="preserve">Freeze </w:t>
            </w:r>
          </w:p>
          <w:p w14:paraId="6DF5C7F1" w14:textId="77777777" w:rsidR="00504CD6" w:rsidRDefault="00504CD6" w:rsidP="004A7B44">
            <w:pPr>
              <w:pStyle w:val="TableTextNumbersBullet"/>
              <w:ind w:left="576" w:hanging="288"/>
            </w:pPr>
            <w:r>
              <w:t>Deglycerolize</w:t>
            </w:r>
          </w:p>
          <w:p w14:paraId="09045906" w14:textId="77777777" w:rsidR="00504CD6" w:rsidRDefault="00504CD6" w:rsidP="004A7B44">
            <w:pPr>
              <w:pStyle w:val="TableTextNumbersBullet"/>
              <w:ind w:left="576" w:hanging="288"/>
            </w:pPr>
            <w:r>
              <w:t>Add/Remove Units from Pool (See Add/Remove Units from a Pool.)</w:t>
            </w:r>
          </w:p>
        </w:tc>
        <w:tc>
          <w:tcPr>
            <w:tcW w:w="6120" w:type="dxa"/>
          </w:tcPr>
          <w:p w14:paraId="06D7E106" w14:textId="77777777" w:rsidR="00504CD6" w:rsidRDefault="00504CD6" w:rsidP="00C92722">
            <w:pPr>
              <w:pStyle w:val="TableTextBullet"/>
            </w:pPr>
            <w:r>
              <w:t>Allows the user to enter data based on the modification type selected.</w:t>
            </w:r>
          </w:p>
          <w:p w14:paraId="22E04C3E" w14:textId="77777777" w:rsidR="00504CD6" w:rsidRDefault="00504CD6" w:rsidP="00C92722">
            <w:pPr>
              <w:pStyle w:val="TableTextBullet"/>
            </w:pPr>
            <w:r>
              <w:t>Allows the user to select a different processing technologist.</w:t>
            </w:r>
          </w:p>
          <w:p w14:paraId="11D9AEAF" w14:textId="77777777" w:rsidR="00504CD6" w:rsidRDefault="00504CD6" w:rsidP="00C92722">
            <w:pPr>
              <w:pStyle w:val="TableTextBullet"/>
            </w:pPr>
            <w:r>
              <w:t>Displays only modifications enabled for the division.</w:t>
            </w:r>
          </w:p>
          <w:p w14:paraId="670F1FFA" w14:textId="77777777" w:rsidR="00504CD6" w:rsidRDefault="00504CD6" w:rsidP="00C92722">
            <w:pPr>
              <w:pStyle w:val="NotesText"/>
            </w:pPr>
          </w:p>
        </w:tc>
      </w:tr>
      <w:tr w:rsidR="002A21AE" w14:paraId="5C882EB7" w14:textId="77777777">
        <w:tc>
          <w:tcPr>
            <w:tcW w:w="3240" w:type="dxa"/>
          </w:tcPr>
          <w:p w14:paraId="753BC02A" w14:textId="22158006" w:rsidR="0039783A" w:rsidRDefault="0039783A" w:rsidP="0007120F">
            <w:pPr>
              <w:pStyle w:val="TableTextNumbers"/>
            </w:pPr>
            <w:r>
              <w:t>Click a radio button to select a modification method, if required:</w:t>
            </w:r>
          </w:p>
          <w:p w14:paraId="2DDD3C93" w14:textId="0EA22877" w:rsidR="00B87C33" w:rsidRDefault="00B87C33" w:rsidP="00B87C33">
            <w:pPr>
              <w:pStyle w:val="TableTextNumbersBullet"/>
              <w:ind w:left="576" w:hanging="288"/>
            </w:pPr>
            <w:r>
              <w:t>Open</w:t>
            </w:r>
          </w:p>
          <w:p w14:paraId="7DF7210A" w14:textId="3035A87E" w:rsidR="00B87C33" w:rsidRDefault="00B87C33" w:rsidP="00B87C33">
            <w:pPr>
              <w:pStyle w:val="TableTextNumbersBullet"/>
              <w:ind w:left="576" w:hanging="288"/>
            </w:pPr>
            <w:r>
              <w:t>Closed</w:t>
            </w:r>
          </w:p>
          <w:p w14:paraId="158DAE56" w14:textId="016AEBDA" w:rsidR="00B87C33" w:rsidRDefault="00B87C33" w:rsidP="00B87C33">
            <w:pPr>
              <w:pStyle w:val="TableTextNumbersBullet"/>
              <w:ind w:left="576" w:hanging="288"/>
            </w:pPr>
            <w:r>
              <w:t>Sterile Connection Device</w:t>
            </w:r>
          </w:p>
          <w:p w14:paraId="7DE6BAAC" w14:textId="171DBFEB" w:rsidR="00B87C33" w:rsidRDefault="00B87C33" w:rsidP="00B87C33">
            <w:pPr>
              <w:pStyle w:val="TableTextNumbersBullet"/>
              <w:numPr>
                <w:ilvl w:val="0"/>
                <w:numId w:val="0"/>
              </w:numPr>
              <w:ind w:left="288"/>
            </w:pPr>
            <w:r>
              <w:t>(</w:t>
            </w:r>
            <w:r w:rsidR="00EE455E">
              <w:t xml:space="preserve">Figure </w:t>
            </w:r>
            <w:r w:rsidR="00EE455E">
              <w:rPr>
                <w:noProof/>
              </w:rPr>
              <w:t>60</w:t>
            </w:r>
            <w:r>
              <w:t>)</w:t>
            </w:r>
          </w:p>
          <w:p w14:paraId="339F65A3" w14:textId="77777777" w:rsidR="0039783A" w:rsidRDefault="0039783A" w:rsidP="0039783A">
            <w:pPr>
              <w:pStyle w:val="TableTextNumbers"/>
              <w:numPr>
                <w:ilvl w:val="0"/>
                <w:numId w:val="0"/>
              </w:numPr>
            </w:pPr>
          </w:p>
          <w:p w14:paraId="6B923CE0" w14:textId="38BF6886" w:rsidR="00AA3DF4" w:rsidRDefault="0007120F" w:rsidP="00B87C33">
            <w:pPr>
              <w:pStyle w:val="TableTextNumbers"/>
              <w:numPr>
                <w:ilvl w:val="0"/>
                <w:numId w:val="0"/>
              </w:numPr>
              <w:ind w:left="288"/>
            </w:pPr>
            <w:r>
              <w:t xml:space="preserve">Click the </w:t>
            </w:r>
            <w:r w:rsidRPr="00764A64">
              <w:rPr>
                <w:b/>
              </w:rPr>
              <w:t>Weld Complete</w:t>
            </w:r>
            <w:r>
              <w:t xml:space="preserve"> or </w:t>
            </w:r>
            <w:r w:rsidRPr="00764A64">
              <w:rPr>
                <w:b/>
              </w:rPr>
              <w:t xml:space="preserve">Weld Incomplete </w:t>
            </w:r>
            <w:r w:rsidRPr="00BF2E41">
              <w:t>radio button</w:t>
            </w:r>
            <w:r>
              <w:t xml:space="preserve"> to indicate the integrity of the SCD weld, when indicated.</w:t>
            </w:r>
          </w:p>
        </w:tc>
        <w:tc>
          <w:tcPr>
            <w:tcW w:w="6120" w:type="dxa"/>
          </w:tcPr>
          <w:p w14:paraId="64363E41" w14:textId="77777777" w:rsidR="002A21AE" w:rsidRDefault="002A21AE">
            <w:pPr>
              <w:pStyle w:val="TableTextBullet"/>
            </w:pPr>
            <w:r>
              <w:t>Displays the selected method.</w:t>
            </w:r>
          </w:p>
          <w:p w14:paraId="0FFF3E93" w14:textId="77777777" w:rsidR="002A21AE" w:rsidRDefault="002A21AE" w:rsidP="0009404D">
            <w:pPr>
              <w:pStyle w:val="TableText"/>
            </w:pPr>
          </w:p>
          <w:p w14:paraId="4E1043A6" w14:textId="06762B3E" w:rsidR="002A21AE" w:rsidRDefault="002A21AE">
            <w:pPr>
              <w:pStyle w:val="TableText"/>
              <w:rPr>
                <w:b/>
                <w:bCs/>
                <w:szCs w:val="18"/>
              </w:rPr>
            </w:pPr>
            <w:r>
              <w:rPr>
                <w:b/>
                <w:bCs/>
                <w:szCs w:val="18"/>
              </w:rPr>
              <w:t>NOTES</w:t>
            </w:r>
          </w:p>
          <w:p w14:paraId="610024A0" w14:textId="77777777" w:rsidR="002A21AE" w:rsidRDefault="002A21AE">
            <w:pPr>
              <w:pStyle w:val="NotesText"/>
            </w:pPr>
          </w:p>
          <w:p w14:paraId="5D89E87D" w14:textId="77777777" w:rsidR="002A21AE" w:rsidRDefault="002A21AE">
            <w:pPr>
              <w:pStyle w:val="NotesText"/>
            </w:pPr>
            <w:r>
              <w:rPr>
                <w:rFonts w:cs="Arial"/>
                <w:vanish/>
              </w:rPr>
              <w:t xml:space="preserve">BR_26.22 </w:t>
            </w:r>
            <w:r>
              <w:t xml:space="preserve">VBECS stores the date and time for the original unit when it is modified. The </w:t>
            </w:r>
            <w:r w:rsidR="00600F6F">
              <w:t xml:space="preserve">modification </w:t>
            </w:r>
            <w:r>
              <w:t>date and time are also stored as the creation time for the target unit</w:t>
            </w:r>
            <w:r w:rsidR="00071143">
              <w:t xml:space="preserve"> for splits and pools only</w:t>
            </w:r>
            <w:r>
              <w:t>.</w:t>
            </w:r>
          </w:p>
          <w:p w14:paraId="0EA8DF80" w14:textId="77777777" w:rsidR="002A21AE" w:rsidRDefault="002A21AE">
            <w:pPr>
              <w:pStyle w:val="NotesText"/>
            </w:pPr>
          </w:p>
          <w:p w14:paraId="7F92EE0A" w14:textId="77777777" w:rsidR="002A21AE" w:rsidRDefault="002A21AE">
            <w:pPr>
              <w:pStyle w:val="NotesText"/>
            </w:pPr>
            <w:r>
              <w:rPr>
                <w:rFonts w:cs="Arial"/>
                <w:vanish/>
              </w:rPr>
              <w:t xml:space="preserve">BR_26.37 </w:t>
            </w:r>
            <w:r>
              <w:t>When the modification method is “Open” or “Sterile Connection Device (SCD),” the user must select a container supply type. When the modification method is “Closed,” VBECS does not allow the user to select a container supply type.</w:t>
            </w:r>
          </w:p>
          <w:p w14:paraId="42C2ECD8" w14:textId="77777777" w:rsidR="002A21AE" w:rsidRDefault="002A21AE">
            <w:pPr>
              <w:pStyle w:val="NotesText"/>
            </w:pPr>
          </w:p>
          <w:p w14:paraId="4B04F402" w14:textId="77777777" w:rsidR="002A21AE" w:rsidRDefault="002A21AE">
            <w:pPr>
              <w:pStyle w:val="NotesText"/>
            </w:pPr>
            <w:r>
              <w:rPr>
                <w:rFonts w:cs="Arial"/>
                <w:vanish/>
              </w:rPr>
              <w:t xml:space="preserve">BR_26.30 </w:t>
            </w:r>
            <w:r>
              <w:t>For an SCD modification method, the user must indicate the completeness of the weld</w:t>
            </w:r>
            <w:r w:rsidR="00725E6E">
              <w:t>, in accordance with local policy and procedures. VBECS defines weld status</w:t>
            </w:r>
            <w:r w:rsidR="007E2543">
              <w:t xml:space="preserve"> as</w:t>
            </w:r>
            <w:r>
              <w:t xml:space="preserve">: </w:t>
            </w:r>
          </w:p>
          <w:p w14:paraId="1811CCE4" w14:textId="77777777" w:rsidR="00396A5D" w:rsidRDefault="002A21AE" w:rsidP="00396A5D">
            <w:pPr>
              <w:pStyle w:val="NotesTextBullet"/>
            </w:pPr>
            <w:r>
              <w:t>Complete: the weld is complete and has no leakage or air bubbles.</w:t>
            </w:r>
          </w:p>
          <w:p w14:paraId="7DEE0A56" w14:textId="77777777" w:rsidR="002A21AE" w:rsidRDefault="002A21AE" w:rsidP="00396A5D">
            <w:pPr>
              <w:pStyle w:val="NotesTextBullet"/>
            </w:pPr>
            <w:r>
              <w:t>Incomplete: the weld has a leak or air bubbles are present.</w:t>
            </w:r>
            <w:r w:rsidR="00396A5D">
              <w:t xml:space="preserve"> </w:t>
            </w:r>
            <w:r>
              <w:t xml:space="preserve">VBECS changes the expiration date and time of the unit to those of an open system for that product type. VBECS stores this weld check with the </w:t>
            </w:r>
            <w:r w:rsidR="0051757B">
              <w:t>historic</w:t>
            </w:r>
            <w:r>
              <w:t xml:space="preserve"> record of the target unit created in the modification.</w:t>
            </w:r>
          </w:p>
          <w:p w14:paraId="300F7855" w14:textId="77777777" w:rsidR="0039034C" w:rsidRDefault="0039034C" w:rsidP="004E2963">
            <w:pPr>
              <w:pStyle w:val="NotesText"/>
            </w:pPr>
            <w:r>
              <w:t>The system store</w:t>
            </w:r>
            <w:r w:rsidR="004E2963">
              <w:t>s</w:t>
            </w:r>
            <w:r>
              <w:t xml:space="preserve"> this weld check with the longitudinal record of the target unit </w:t>
            </w:r>
            <w:r w:rsidR="004E2963">
              <w:t>created</w:t>
            </w:r>
            <w:r>
              <w:t>.</w:t>
            </w:r>
          </w:p>
        </w:tc>
      </w:tr>
      <w:tr w:rsidR="002A21AE" w14:paraId="2AFDE545" w14:textId="77777777">
        <w:tc>
          <w:tcPr>
            <w:tcW w:w="3240" w:type="dxa"/>
          </w:tcPr>
          <w:p w14:paraId="6F751A83" w14:textId="77777777" w:rsidR="002A21AE" w:rsidRDefault="00764A64">
            <w:pPr>
              <w:pStyle w:val="TableTextNumbers"/>
            </w:pPr>
            <w:r>
              <w:t xml:space="preserve">Click </w:t>
            </w:r>
            <w:r w:rsidRPr="00764A64">
              <w:rPr>
                <w:b/>
              </w:rPr>
              <w:t>OK</w:t>
            </w:r>
            <w:r>
              <w:t xml:space="preserve"> to a</w:t>
            </w:r>
            <w:r w:rsidR="002A21AE">
              <w:t xml:space="preserve">ccept </w:t>
            </w:r>
            <w:r w:rsidR="00403743">
              <w:t>the selected method</w:t>
            </w:r>
            <w:r>
              <w:t xml:space="preserve">, </w:t>
            </w:r>
            <w:r w:rsidR="002A21AE">
              <w:t xml:space="preserve">or edit </w:t>
            </w:r>
            <w:r>
              <w:t>it</w:t>
            </w:r>
            <w:r w:rsidR="002A21AE">
              <w:t>.</w:t>
            </w:r>
          </w:p>
        </w:tc>
        <w:tc>
          <w:tcPr>
            <w:tcW w:w="6120" w:type="dxa"/>
          </w:tcPr>
          <w:p w14:paraId="7A871357" w14:textId="77777777" w:rsidR="002A21AE" w:rsidRDefault="002A21AE">
            <w:pPr>
              <w:pStyle w:val="TableTextBullet"/>
            </w:pPr>
            <w:r>
              <w:t>Allows the user to scan, enter, or select units to modify.</w:t>
            </w:r>
          </w:p>
        </w:tc>
      </w:tr>
      <w:tr w:rsidR="002A21AE" w14:paraId="51C12A53" w14:textId="77777777" w:rsidTr="006C058D">
        <w:trPr>
          <w:cantSplit/>
        </w:trPr>
        <w:tc>
          <w:tcPr>
            <w:tcW w:w="3240" w:type="dxa"/>
          </w:tcPr>
          <w:p w14:paraId="69515ADC" w14:textId="77777777" w:rsidR="002A21AE" w:rsidRDefault="002A21AE">
            <w:pPr>
              <w:pStyle w:val="TableTextNumbers"/>
            </w:pPr>
            <w:r>
              <w:lastRenderedPageBreak/>
              <w:t>Scan, enter, or select the ID and product code of the unit to be modified.</w:t>
            </w:r>
          </w:p>
        </w:tc>
        <w:tc>
          <w:tcPr>
            <w:tcW w:w="6120" w:type="dxa"/>
          </w:tcPr>
          <w:p w14:paraId="71179F1B" w14:textId="77777777" w:rsidR="002A21AE" w:rsidRDefault="002A21AE">
            <w:pPr>
              <w:pStyle w:val="TableTextBullet"/>
            </w:pPr>
            <w:r>
              <w:t>Displays current data for the selected unit.</w:t>
            </w:r>
          </w:p>
          <w:p w14:paraId="323FD24F" w14:textId="77777777" w:rsidR="002A21AE" w:rsidRDefault="002A21AE">
            <w:pPr>
              <w:pStyle w:val="TableTextBullet"/>
            </w:pPr>
            <w:r>
              <w:t>Verifies the appropriateness of the selected unit based on system rules and truth tables and displays error and warning messages based on the modification type selected and the user’s security level.</w:t>
            </w:r>
          </w:p>
          <w:p w14:paraId="5573F225" w14:textId="77777777" w:rsidR="002A21AE" w:rsidRDefault="002A21AE">
            <w:pPr>
              <w:pStyle w:val="TableTextBullet"/>
            </w:pPr>
            <w:r>
              <w:t>Prompts the user to continue with the selected unit or select a new unit based on the data in the review window.</w:t>
            </w:r>
          </w:p>
          <w:p w14:paraId="5C1D604A" w14:textId="77777777" w:rsidR="002A21AE" w:rsidRDefault="002A21AE">
            <w:pPr>
              <w:pStyle w:val="TableText"/>
            </w:pPr>
          </w:p>
          <w:p w14:paraId="6E03D178" w14:textId="7E65A490" w:rsidR="002A21AE" w:rsidRDefault="002A21AE">
            <w:pPr>
              <w:pStyle w:val="TableText"/>
              <w:rPr>
                <w:b/>
                <w:bCs/>
                <w:szCs w:val="18"/>
              </w:rPr>
            </w:pPr>
            <w:r>
              <w:rPr>
                <w:b/>
                <w:bCs/>
                <w:szCs w:val="18"/>
              </w:rPr>
              <w:t>NOTES</w:t>
            </w:r>
          </w:p>
          <w:p w14:paraId="2387D996" w14:textId="77777777" w:rsidR="002A21AE" w:rsidRDefault="002A21AE">
            <w:pPr>
              <w:pStyle w:val="NotesText"/>
            </w:pPr>
          </w:p>
          <w:p w14:paraId="2DB32609" w14:textId="31E3E320" w:rsidR="002A21AE" w:rsidRDefault="002A21AE">
            <w:pPr>
              <w:pStyle w:val="NotesText"/>
              <w:rPr>
                <w:rFonts w:cs="Arial"/>
              </w:rPr>
            </w:pPr>
            <w:r>
              <w:rPr>
                <w:rFonts w:cs="Arial"/>
                <w:vanish/>
              </w:rPr>
              <w:t xml:space="preserve">BR_26.43 </w:t>
            </w:r>
            <w:r w:rsidR="0039034C" w:rsidRPr="00CF3A1F">
              <w:rPr>
                <w:rFonts w:cs="Arial"/>
              </w:rPr>
              <w:t>The modification</w:t>
            </w:r>
            <w:r w:rsidR="0039034C">
              <w:rPr>
                <w:rFonts w:cs="Arial"/>
              </w:rPr>
              <w:t xml:space="preserve"> types</w:t>
            </w:r>
            <w:r w:rsidR="0039034C" w:rsidRPr="00CF3A1F">
              <w:rPr>
                <w:rFonts w:cs="Arial"/>
              </w:rPr>
              <w:t xml:space="preserve"> are </w:t>
            </w:r>
            <w:r w:rsidR="0039034C">
              <w:rPr>
                <w:rFonts w:cs="Arial"/>
              </w:rPr>
              <w:t>presented in the</w:t>
            </w:r>
            <w:r w:rsidR="00F14DF3">
              <w:rPr>
                <w:rFonts w:cs="Arial"/>
              </w:rPr>
              <w:t xml:space="preserve"> sort order displayed</w:t>
            </w:r>
            <w:r w:rsidR="0039034C">
              <w:rPr>
                <w:rFonts w:cs="Arial"/>
              </w:rPr>
              <w:t xml:space="preserve"> followed by </w:t>
            </w:r>
            <w:r w:rsidR="0039034C" w:rsidRPr="009E0726">
              <w:rPr>
                <w:rFonts w:cs="Arial"/>
              </w:rPr>
              <w:t>Add/Remove Units from Pool</w:t>
            </w:r>
            <w:r w:rsidR="0039034C">
              <w:rPr>
                <w:rFonts w:cs="Arial"/>
              </w:rPr>
              <w:t>.</w:t>
            </w:r>
          </w:p>
          <w:p w14:paraId="0E8D0C82" w14:textId="77777777" w:rsidR="006F799E" w:rsidRDefault="006F799E">
            <w:pPr>
              <w:pStyle w:val="NotesText"/>
            </w:pPr>
          </w:p>
          <w:p w14:paraId="2EB53BDC" w14:textId="77777777" w:rsidR="00B00DEF" w:rsidRDefault="00B00DEF" w:rsidP="00B00DEF">
            <w:pPr>
              <w:pStyle w:val="NotesText"/>
            </w:pPr>
            <w:r>
              <w:rPr>
                <w:rFonts w:cs="Arial"/>
                <w:vanish/>
              </w:rPr>
              <w:t xml:space="preserve">BR_5.03 </w:t>
            </w:r>
            <w:r>
              <w:t xml:space="preserve">The user may select only active units and those not in an inactive or final status. </w:t>
            </w:r>
          </w:p>
          <w:p w14:paraId="79C624CF" w14:textId="77777777" w:rsidR="002A21AE" w:rsidRDefault="002A21AE">
            <w:pPr>
              <w:pStyle w:val="NotesText"/>
            </w:pPr>
          </w:p>
          <w:p w14:paraId="417F1AC0" w14:textId="77777777" w:rsidR="002A21AE" w:rsidRDefault="002A21AE">
            <w:pPr>
              <w:pStyle w:val="NotesText"/>
            </w:pPr>
            <w:r w:rsidRPr="00636659">
              <w:rPr>
                <w:rFonts w:cs="Arial"/>
                <w:vanish/>
                <w:color w:val="0000FF"/>
              </w:rPr>
              <w:t>BR_26.33</w:t>
            </w:r>
            <w:r>
              <w:rPr>
                <w:rFonts w:cs="Arial"/>
                <w:vanish/>
              </w:rPr>
              <w:t xml:space="preserve"> </w:t>
            </w:r>
            <w:r>
              <w:t>When the user selects a status other than “limited,” “available,” “assigned,” or “crossmatched” for an original unit, VBECS warns the user. There is no override.</w:t>
            </w:r>
          </w:p>
          <w:p w14:paraId="443213D6" w14:textId="77777777" w:rsidR="002A21AE" w:rsidRDefault="002A21AE">
            <w:pPr>
              <w:pStyle w:val="NotesText"/>
            </w:pPr>
          </w:p>
          <w:p w14:paraId="502FDBA6" w14:textId="0DBDBAB0" w:rsidR="002A21AE" w:rsidRDefault="002A21AE">
            <w:pPr>
              <w:pStyle w:val="NotesText"/>
            </w:pPr>
            <w:r w:rsidRPr="00FD2A6F">
              <w:rPr>
                <w:rFonts w:cs="Arial"/>
                <w:vanish/>
                <w:color w:val="0000FF"/>
              </w:rPr>
              <w:t>BR_26.36</w:t>
            </w:r>
            <w:r>
              <w:rPr>
                <w:rFonts w:cs="Arial"/>
                <w:vanish/>
              </w:rPr>
              <w:t xml:space="preserve"> </w:t>
            </w:r>
            <w:r>
              <w:t>When the selected unit is not appropriate for the modification type selected, VBECS warns the user and instructs him to verify the selected unit and modification type. There is no override. When the unit is expired or quarantined, VBECS displays an error message.</w:t>
            </w:r>
            <w:r w:rsidR="00643699">
              <w:t xml:space="preserve"> </w:t>
            </w:r>
            <w:r w:rsidR="00643699">
              <w:rPr>
                <w:rFonts w:cs="Arial"/>
                <w:szCs w:val="18"/>
              </w:rPr>
              <w:t>When multiple selected units that individually may be pooled or thaw/pooled, but together do not have a target product, the system does not display this warning message.</w:t>
            </w:r>
            <w:r w:rsidR="001B5B84">
              <w:rPr>
                <w:rFonts w:cs="Arial"/>
                <w:szCs w:val="18"/>
              </w:rPr>
              <w:t xml:space="preserve"> </w:t>
            </w:r>
            <w:r w:rsidR="00DE7D81" w:rsidRPr="00DE7D81">
              <w:rPr>
                <w:rFonts w:cs="Arial"/>
                <w:vanish/>
                <w:szCs w:val="18"/>
              </w:rPr>
              <w:t>Task 733924</w:t>
            </w:r>
          </w:p>
          <w:p w14:paraId="570A4027" w14:textId="77777777" w:rsidR="002A21AE" w:rsidRDefault="002A21AE">
            <w:pPr>
              <w:pStyle w:val="NotesText"/>
            </w:pPr>
          </w:p>
          <w:p w14:paraId="3F4BF1A2" w14:textId="77777777" w:rsidR="002A21AE" w:rsidRDefault="002A21AE">
            <w:pPr>
              <w:pStyle w:val="NotesText"/>
            </w:pPr>
            <w:r>
              <w:rPr>
                <w:rFonts w:cs="Arial"/>
                <w:vanish/>
              </w:rPr>
              <w:t xml:space="preserve">BR_26.09 </w:t>
            </w:r>
            <w:r>
              <w:t>The user may select units containing red blood cells chosen for rejuvenation within three full days past their labeled expiration date. (For example, when a unit’s expiration date is the current day, VBECS counts this day as “day 0,” the next day as “day 1,” etc. The last acceptable date and time for selection is day 3 at 23:59). After this three-day period, VBECS considers the unit to be expired.</w:t>
            </w:r>
          </w:p>
          <w:p w14:paraId="5F81A90B" w14:textId="77777777" w:rsidR="002A21AE" w:rsidRDefault="002A21AE">
            <w:pPr>
              <w:pStyle w:val="NotesText"/>
            </w:pPr>
          </w:p>
          <w:p w14:paraId="0C3EF8FF" w14:textId="77777777" w:rsidR="002A21AE" w:rsidRDefault="002A21AE">
            <w:pPr>
              <w:pStyle w:val="NotesText"/>
            </w:pPr>
            <w:r>
              <w:rPr>
                <w:rFonts w:cs="Arial"/>
                <w:vanish/>
              </w:rPr>
              <w:t xml:space="preserve">BR_26.41 </w:t>
            </w:r>
            <w:r>
              <w:t>When the modification type is “volume reduce,” VBECS records the discarded plasma volume on the unit record. Otherwise, the user may not edit the Discarded Plasma Volume field. The discarded plasma volume may not be “0” (zero).</w:t>
            </w:r>
          </w:p>
          <w:p w14:paraId="66E2F4A0" w14:textId="77777777" w:rsidR="008847B8" w:rsidRDefault="008847B8">
            <w:pPr>
              <w:pStyle w:val="NotesText"/>
            </w:pPr>
          </w:p>
          <w:p w14:paraId="2BCF7B7D" w14:textId="27AA20FB" w:rsidR="002A21AE" w:rsidRDefault="002A21AE" w:rsidP="006A576D">
            <w:pPr>
              <w:pStyle w:val="NotesText"/>
            </w:pPr>
            <w:r w:rsidRPr="00896F17">
              <w:rPr>
                <w:rStyle w:val="BullhornChar"/>
              </w:rPr>
              <w:t></w:t>
            </w:r>
            <w:r w:rsidR="00C51C45" w:rsidRPr="00C51C45">
              <w:t xml:space="preserve"> </w:t>
            </w:r>
            <w:r>
              <w:t xml:space="preserve">See </w:t>
            </w:r>
            <w:r w:rsidR="00EE455E">
              <w:t xml:space="preserve">Table </w:t>
            </w:r>
            <w:r w:rsidR="00EE455E">
              <w:rPr>
                <w:noProof/>
              </w:rPr>
              <w:t>5</w:t>
            </w:r>
            <w:r w:rsidR="006A576D">
              <w:t xml:space="preserve"> </w:t>
            </w:r>
            <w:r>
              <w:t>for alerts that may occur during this option.</w:t>
            </w:r>
          </w:p>
        </w:tc>
      </w:tr>
      <w:tr w:rsidR="002A21AE" w14:paraId="3CC50B97" w14:textId="77777777">
        <w:tc>
          <w:tcPr>
            <w:tcW w:w="3240" w:type="dxa"/>
          </w:tcPr>
          <w:p w14:paraId="7A8189AA" w14:textId="77777777" w:rsidR="002A21AE" w:rsidRDefault="00764A64">
            <w:pPr>
              <w:pStyle w:val="TableTextNumbers"/>
            </w:pPr>
            <w:r>
              <w:t xml:space="preserve">Click </w:t>
            </w:r>
            <w:r w:rsidRPr="00764A64">
              <w:rPr>
                <w:b/>
              </w:rPr>
              <w:t>OK</w:t>
            </w:r>
            <w:r>
              <w:t xml:space="preserve"> to accept </w:t>
            </w:r>
            <w:r w:rsidR="002A21AE">
              <w:t xml:space="preserve">the unit for modification. </w:t>
            </w:r>
          </w:p>
        </w:tc>
        <w:tc>
          <w:tcPr>
            <w:tcW w:w="6120" w:type="dxa"/>
          </w:tcPr>
          <w:p w14:paraId="568B44F4" w14:textId="77777777" w:rsidR="002A21AE" w:rsidRDefault="002A21AE">
            <w:pPr>
              <w:pStyle w:val="TableTextBullet"/>
            </w:pPr>
            <w:r>
              <w:t xml:space="preserve">When the modification type is “thaw” or “irradiate,” </w:t>
            </w:r>
            <w:r w:rsidR="00971715">
              <w:t>allows</w:t>
            </w:r>
            <w:r>
              <w:t xml:space="preserve"> the user to select additional units to process or to continue processing the selected units. Otherwise, go to Step 8.</w:t>
            </w:r>
          </w:p>
          <w:p w14:paraId="37E12AC5" w14:textId="77777777" w:rsidR="002A21AE" w:rsidRDefault="002A21AE">
            <w:pPr>
              <w:pStyle w:val="TableText"/>
            </w:pPr>
          </w:p>
          <w:p w14:paraId="54329125" w14:textId="1C672D9D" w:rsidR="002A21AE" w:rsidRDefault="002A21AE">
            <w:pPr>
              <w:pStyle w:val="TableText"/>
              <w:rPr>
                <w:b/>
                <w:bCs/>
                <w:szCs w:val="18"/>
              </w:rPr>
            </w:pPr>
            <w:r>
              <w:rPr>
                <w:b/>
                <w:bCs/>
                <w:szCs w:val="18"/>
              </w:rPr>
              <w:t>NOTES</w:t>
            </w:r>
          </w:p>
          <w:p w14:paraId="32F72085" w14:textId="77777777" w:rsidR="002A21AE" w:rsidRDefault="002A21AE">
            <w:pPr>
              <w:pStyle w:val="NotesText"/>
            </w:pPr>
          </w:p>
          <w:p w14:paraId="4DA74D41" w14:textId="77777777" w:rsidR="002A21AE" w:rsidRDefault="002A21AE">
            <w:pPr>
              <w:pStyle w:val="NotesText"/>
            </w:pPr>
            <w:r>
              <w:rPr>
                <w:rFonts w:cs="Arial"/>
                <w:vanish/>
              </w:rPr>
              <w:t xml:space="preserve">BR_26.02 </w:t>
            </w:r>
            <w:r>
              <w:t>The user may process multiple products in a batch when the units are thawed or irradiated. The creation date and time apply to all units in the batch.</w:t>
            </w:r>
          </w:p>
          <w:p w14:paraId="264BA6A2" w14:textId="77777777" w:rsidR="003C1A05" w:rsidRDefault="003C1A05">
            <w:pPr>
              <w:pStyle w:val="NotesText"/>
            </w:pPr>
          </w:p>
          <w:p w14:paraId="3F445D88" w14:textId="77777777" w:rsidR="003C1A05" w:rsidRDefault="003C1A05" w:rsidP="003C1A05">
            <w:pPr>
              <w:pStyle w:val="NotesText"/>
            </w:pPr>
            <w:r w:rsidRPr="003C1A05">
              <w:rPr>
                <w:vanish/>
              </w:rPr>
              <w:t xml:space="preserve">BR_29.04 </w:t>
            </w:r>
            <w:r w:rsidR="000A126F">
              <w:t>VBECS</w:t>
            </w:r>
            <w:r>
              <w:t xml:space="preserve"> record</w:t>
            </w:r>
            <w:r w:rsidR="000A126F">
              <w:t xml:space="preserve">s the </w:t>
            </w:r>
            <w:r>
              <w:t>codes/costs assigned or unassigned with a date/time stam</w:t>
            </w:r>
            <w:r w:rsidR="000A126F">
              <w:t xml:space="preserve">p and the user ID and </w:t>
            </w:r>
            <w:r>
              <w:t>user name on any reports of the person creating the update.</w:t>
            </w:r>
          </w:p>
        </w:tc>
      </w:tr>
      <w:tr w:rsidR="002A21AE" w14:paraId="4A948136" w14:textId="77777777" w:rsidTr="006C058D">
        <w:trPr>
          <w:cantSplit/>
        </w:trPr>
        <w:tc>
          <w:tcPr>
            <w:tcW w:w="3240" w:type="dxa"/>
          </w:tcPr>
          <w:p w14:paraId="287B3CC7" w14:textId="78E5D9D5" w:rsidR="002A21AE" w:rsidRDefault="00F437F8" w:rsidP="00751755">
            <w:pPr>
              <w:pStyle w:val="TableTextNumbers"/>
            </w:pPr>
            <w:r>
              <w:lastRenderedPageBreak/>
              <w:t xml:space="preserve">Click the </w:t>
            </w:r>
            <w:r w:rsidRPr="00751755">
              <w:rPr>
                <w:b/>
              </w:rPr>
              <w:t>Container</w:t>
            </w:r>
            <w:r>
              <w:t xml:space="preserve">, </w:t>
            </w:r>
            <w:r w:rsidRPr="00751755">
              <w:rPr>
                <w:b/>
              </w:rPr>
              <w:t>Supplies</w:t>
            </w:r>
            <w:r w:rsidRPr="007B7DEC">
              <w:t>,</w:t>
            </w:r>
            <w:r w:rsidR="0023261D">
              <w:t xml:space="preserve"> </w:t>
            </w:r>
            <w:r w:rsidRPr="00751755">
              <w:rPr>
                <w:b/>
              </w:rPr>
              <w:t>Equipment</w:t>
            </w:r>
            <w:r w:rsidRPr="007B7DEC">
              <w:t>, or</w:t>
            </w:r>
            <w:r w:rsidRPr="00751755">
              <w:rPr>
                <w:b/>
              </w:rPr>
              <w:t xml:space="preserve"> SCD Wafer </w:t>
            </w:r>
            <w:r w:rsidRPr="00CC3C89">
              <w:t>tab</w:t>
            </w:r>
            <w:r w:rsidR="00764A64" w:rsidRPr="00CC3C89">
              <w:t xml:space="preserve"> </w:t>
            </w:r>
            <w:r w:rsidR="00764A64">
              <w:t>and enter</w:t>
            </w:r>
            <w:r w:rsidR="002A21AE">
              <w:t xml:space="preserve"> </w:t>
            </w:r>
            <w:r w:rsidR="00764A64">
              <w:t>an</w:t>
            </w:r>
            <w:r w:rsidR="002A21AE">
              <w:t>other supply and</w:t>
            </w:r>
            <w:r w:rsidR="00764A64">
              <w:t>/</w:t>
            </w:r>
            <w:r w:rsidR="002A21AE">
              <w:t>or equipment lot or ID number</w:t>
            </w:r>
            <w:r w:rsidR="00443BD5">
              <w:t xml:space="preserve"> (</w:t>
            </w:r>
            <w:r w:rsidR="00EE455E">
              <w:t xml:space="preserve">Figure </w:t>
            </w:r>
            <w:r w:rsidR="00EE455E">
              <w:rPr>
                <w:noProof/>
              </w:rPr>
              <w:t>61</w:t>
            </w:r>
            <w:r w:rsidR="00443BD5">
              <w:t>)</w:t>
            </w:r>
            <w:r w:rsidR="002A21AE">
              <w:t xml:space="preserve">. </w:t>
            </w:r>
          </w:p>
          <w:p w14:paraId="1AD7712B" w14:textId="77777777" w:rsidR="002A21AE" w:rsidRDefault="002A21AE">
            <w:pPr>
              <w:pStyle w:val="TableTextNumbers"/>
              <w:numPr>
                <w:ilvl w:val="0"/>
                <w:numId w:val="0"/>
              </w:numPr>
            </w:pPr>
          </w:p>
        </w:tc>
        <w:tc>
          <w:tcPr>
            <w:tcW w:w="6120" w:type="dxa"/>
          </w:tcPr>
          <w:p w14:paraId="561D2E0D" w14:textId="77777777" w:rsidR="002A21AE" w:rsidRDefault="002A21AE">
            <w:pPr>
              <w:pStyle w:val="TableTextBullet"/>
            </w:pPr>
            <w:r>
              <w:t>Calculates and displays a default expiration date and time of the target unit based on rules specific to the original blood product, the modification type, and processing conditions (open, closed); prompts the user to accept the date and time; and allows the user to edit them.</w:t>
            </w:r>
          </w:p>
          <w:p w14:paraId="387C81BD" w14:textId="77777777" w:rsidR="002A21AE" w:rsidRDefault="002A21AE">
            <w:pPr>
              <w:pStyle w:val="TableText"/>
            </w:pPr>
          </w:p>
          <w:p w14:paraId="1B8A0169" w14:textId="3D4D98E8" w:rsidR="002A21AE" w:rsidRDefault="002A21AE">
            <w:pPr>
              <w:pStyle w:val="TableText"/>
              <w:rPr>
                <w:b/>
                <w:bCs/>
                <w:szCs w:val="18"/>
              </w:rPr>
            </w:pPr>
            <w:r>
              <w:rPr>
                <w:b/>
                <w:bCs/>
                <w:szCs w:val="18"/>
              </w:rPr>
              <w:t>NOTES</w:t>
            </w:r>
          </w:p>
          <w:p w14:paraId="1864D324" w14:textId="77777777" w:rsidR="002A21AE" w:rsidRDefault="002A21AE">
            <w:pPr>
              <w:pStyle w:val="NotesText"/>
            </w:pPr>
          </w:p>
          <w:p w14:paraId="6F04D62E" w14:textId="77777777" w:rsidR="002A21AE" w:rsidRDefault="002A21AE">
            <w:pPr>
              <w:pStyle w:val="NotesText"/>
            </w:pPr>
            <w:r>
              <w:rPr>
                <w:rFonts w:cs="Arial"/>
                <w:vanish/>
              </w:rPr>
              <w:t xml:space="preserve">BR_26.31 </w:t>
            </w:r>
            <w:r>
              <w:t xml:space="preserve">VBECS maintains lot and ID numbers entered, the new container lot number in the unit modification record, and the </w:t>
            </w:r>
            <w:r w:rsidR="0051757B">
              <w:t>historic</w:t>
            </w:r>
            <w:r>
              <w:t xml:space="preserve"> record of the target unit.</w:t>
            </w:r>
          </w:p>
          <w:p w14:paraId="27999534" w14:textId="77777777" w:rsidR="002A21AE" w:rsidRDefault="002A21AE">
            <w:pPr>
              <w:pStyle w:val="NotesText"/>
            </w:pPr>
          </w:p>
          <w:p w14:paraId="49FDB459" w14:textId="77777777" w:rsidR="002A21AE" w:rsidRDefault="002A21AE">
            <w:pPr>
              <w:pStyle w:val="NotesText"/>
            </w:pPr>
            <w:r w:rsidRPr="009174D5">
              <w:rPr>
                <w:rFonts w:cs="Arial"/>
                <w:vanish/>
              </w:rPr>
              <w:t>BR_26.45</w:t>
            </w:r>
            <w:r>
              <w:rPr>
                <w:rFonts w:cs="Arial"/>
                <w:vanish/>
              </w:rPr>
              <w:t xml:space="preserve"> </w:t>
            </w:r>
            <w:r>
              <w:t>VBECS checks the inventory system for the supply name, lot numbers, expiration date, and a quantity greater than “0” (zero). VBECS does not allow the user to select supplies with an “unsatisfactory” value in the Inspection field. When the user enters an unsatisfactory supply lot number, VBECS warns the user. The user must select a different supply item.</w:t>
            </w:r>
          </w:p>
          <w:p w14:paraId="24FC869C" w14:textId="77777777" w:rsidR="002A21AE" w:rsidRDefault="002A21AE">
            <w:pPr>
              <w:pStyle w:val="NotesText"/>
            </w:pPr>
          </w:p>
          <w:p w14:paraId="06C4E511" w14:textId="6C1C5154" w:rsidR="002A21AE" w:rsidRDefault="00C51C45" w:rsidP="006A576D">
            <w:pPr>
              <w:pStyle w:val="NotesText"/>
            </w:pPr>
            <w:r w:rsidRPr="00896F17">
              <w:rPr>
                <w:rStyle w:val="BullhornChar"/>
              </w:rPr>
              <w:t></w:t>
            </w:r>
            <w:r w:rsidRPr="00C51C45">
              <w:t xml:space="preserve"> </w:t>
            </w:r>
            <w:r>
              <w:t>See</w:t>
            </w:r>
            <w:r w:rsidR="002A21AE">
              <w:t xml:space="preserve"> </w:t>
            </w:r>
            <w:r w:rsidR="00EE455E">
              <w:t xml:space="preserve">Table </w:t>
            </w:r>
            <w:r w:rsidR="00EE455E">
              <w:rPr>
                <w:noProof/>
              </w:rPr>
              <w:t>5</w:t>
            </w:r>
            <w:r w:rsidR="006A576D">
              <w:t xml:space="preserve"> </w:t>
            </w:r>
            <w:r w:rsidR="002A21AE">
              <w:t>for alerts that may occur during this option.</w:t>
            </w:r>
          </w:p>
        </w:tc>
      </w:tr>
      <w:tr w:rsidR="002A21AE" w14:paraId="70C6A68C" w14:textId="77777777">
        <w:tc>
          <w:tcPr>
            <w:tcW w:w="3240" w:type="dxa"/>
          </w:tcPr>
          <w:p w14:paraId="3E2DCBC2" w14:textId="77777777" w:rsidR="002A21AE" w:rsidRDefault="002A21AE">
            <w:pPr>
              <w:pStyle w:val="TableTextNumbers"/>
            </w:pPr>
            <w:r>
              <w:t>Select</w:t>
            </w:r>
            <w:r w:rsidR="00764A64">
              <w:t xml:space="preserve"> a target product type from the drop-down list in the Product field.</w:t>
            </w:r>
          </w:p>
        </w:tc>
        <w:tc>
          <w:tcPr>
            <w:tcW w:w="6120" w:type="dxa"/>
          </w:tcPr>
          <w:p w14:paraId="7DEEB4D4" w14:textId="77777777" w:rsidR="002A21AE" w:rsidRDefault="002A21AE">
            <w:pPr>
              <w:pStyle w:val="TableTextBullet"/>
            </w:pPr>
            <w:r>
              <w:t xml:space="preserve">Displays target component types for the modification, conditions selected, and the original unit product type, and allows the user to select a single </w:t>
            </w:r>
            <w:r w:rsidR="00AF09D3">
              <w:t xml:space="preserve">product </w:t>
            </w:r>
            <w:r>
              <w:t>type.</w:t>
            </w:r>
          </w:p>
          <w:p w14:paraId="499C23AC" w14:textId="77777777" w:rsidR="002A21AE" w:rsidRDefault="002A21AE">
            <w:pPr>
              <w:pStyle w:val="TableTextBullet"/>
            </w:pPr>
            <w:r>
              <w:t>Verifies that an active target component was selected and warns the user.</w:t>
            </w:r>
          </w:p>
          <w:p w14:paraId="061164AA" w14:textId="77777777" w:rsidR="002A21AE" w:rsidRDefault="002A21AE">
            <w:pPr>
              <w:pStyle w:val="TableTextBullet"/>
            </w:pPr>
            <w:r>
              <w:t>Allows the user to enter lot and ID numbers (with auto-completion) or select multiple items from the supply and equipment lists.</w:t>
            </w:r>
          </w:p>
          <w:p w14:paraId="644F85CD" w14:textId="77777777" w:rsidR="002A21AE" w:rsidRDefault="002A21AE">
            <w:pPr>
              <w:pStyle w:val="TableTextBullet"/>
            </w:pPr>
            <w:r>
              <w:t>Warns that the target unit is not active and allows the user to activate the target component.</w:t>
            </w:r>
          </w:p>
          <w:p w14:paraId="59CD0494" w14:textId="77777777" w:rsidR="002A21AE" w:rsidRDefault="002A21AE">
            <w:pPr>
              <w:pStyle w:val="TableText"/>
            </w:pPr>
          </w:p>
          <w:p w14:paraId="29358C51" w14:textId="64EFD0F3" w:rsidR="002A21AE" w:rsidRDefault="002A21AE">
            <w:pPr>
              <w:pStyle w:val="TableText"/>
              <w:rPr>
                <w:b/>
                <w:bCs/>
                <w:szCs w:val="18"/>
              </w:rPr>
            </w:pPr>
            <w:r>
              <w:rPr>
                <w:b/>
                <w:bCs/>
                <w:szCs w:val="18"/>
              </w:rPr>
              <w:t>NOTES</w:t>
            </w:r>
          </w:p>
          <w:p w14:paraId="0654BE25" w14:textId="77777777" w:rsidR="002A21AE" w:rsidRDefault="002A21AE">
            <w:pPr>
              <w:pStyle w:val="NotesText"/>
            </w:pPr>
          </w:p>
          <w:p w14:paraId="7C0F4630" w14:textId="36893B41" w:rsidR="002A21AE" w:rsidRDefault="002A21AE">
            <w:pPr>
              <w:pStyle w:val="NotesText"/>
            </w:pPr>
            <w:r>
              <w:rPr>
                <w:rFonts w:cs="Arial"/>
                <w:vanish/>
              </w:rPr>
              <w:t xml:space="preserve">BR_26.13 </w:t>
            </w:r>
            <w:r>
              <w:t>The user must select a modification method (open, closed, Sterile Connection Device) for modification types.</w:t>
            </w:r>
          </w:p>
          <w:p w14:paraId="71049AD7" w14:textId="77777777" w:rsidR="002A21AE" w:rsidRDefault="002A21AE">
            <w:pPr>
              <w:pStyle w:val="NotesText"/>
            </w:pPr>
          </w:p>
          <w:p w14:paraId="58B5309A" w14:textId="77777777" w:rsidR="002A21AE" w:rsidRDefault="002A21AE">
            <w:pPr>
              <w:pStyle w:val="NotesText"/>
            </w:pPr>
            <w:r>
              <w:rPr>
                <w:rFonts w:cs="Arial"/>
                <w:vanish/>
              </w:rPr>
              <w:t xml:space="preserve">BR_26.12 </w:t>
            </w:r>
            <w:r>
              <w:t>VBECS displays available target component types based on ISBT 128 modification rules and site parameters for the division.</w:t>
            </w:r>
            <w:r w:rsidR="00B15FBF">
              <w:t xml:space="preserve"> </w:t>
            </w:r>
            <w:r w:rsidR="00B15FBF" w:rsidRPr="00E14216">
              <w:t>When no target is found, VBECS indicates this to the user and prevents the modification from being saved.</w:t>
            </w:r>
          </w:p>
          <w:p w14:paraId="3A165F95" w14:textId="77777777" w:rsidR="002A21AE" w:rsidRDefault="002A21AE">
            <w:pPr>
              <w:pStyle w:val="NotesText"/>
            </w:pPr>
          </w:p>
          <w:p w14:paraId="075DB697" w14:textId="77777777" w:rsidR="002A21AE" w:rsidRDefault="002A21AE">
            <w:pPr>
              <w:pStyle w:val="NotesText"/>
            </w:pPr>
            <w:r>
              <w:rPr>
                <w:rFonts w:cs="Arial"/>
                <w:vanish/>
              </w:rPr>
              <w:t xml:space="preserve">BR_26.11 </w:t>
            </w:r>
            <w:r>
              <w:t>When the user selects a target component type not marked as active, VBECS warns the user, allows him to mark the target component as active, and returns him to this step in the modification process. Otherwise, VBECS returns the user to this step and allows him to select another target component type.</w:t>
            </w:r>
          </w:p>
          <w:p w14:paraId="31328211" w14:textId="77777777" w:rsidR="002A21AE" w:rsidRDefault="002A21AE">
            <w:pPr>
              <w:pStyle w:val="NotesText"/>
            </w:pPr>
          </w:p>
          <w:p w14:paraId="79B49D64" w14:textId="77777777" w:rsidR="002A21AE" w:rsidRDefault="002A21AE">
            <w:pPr>
              <w:pStyle w:val="NotesText"/>
            </w:pPr>
            <w:r>
              <w:rPr>
                <w:rFonts w:cs="Arial"/>
                <w:vanish/>
              </w:rPr>
              <w:t xml:space="preserve">BR_26.16 </w:t>
            </w:r>
            <w:r>
              <w:t>When the original unit type did not require ABO/Rh confirmation, the target unit</w:t>
            </w:r>
            <w:r w:rsidR="00004786">
              <w:t>, when created,</w:t>
            </w:r>
            <w:r>
              <w:t xml:space="preserve"> does not either. The target unit is immediately available for assignment, crossmatch, issue, or transfusion on completion of the modification. </w:t>
            </w:r>
          </w:p>
          <w:p w14:paraId="2106EFA7" w14:textId="77777777" w:rsidR="002A21AE" w:rsidRDefault="002A21AE">
            <w:pPr>
              <w:pStyle w:val="NotesText"/>
            </w:pPr>
          </w:p>
          <w:p w14:paraId="2224A9EB" w14:textId="77777777" w:rsidR="00B15FBF" w:rsidRPr="00B15FBF" w:rsidRDefault="00B15FBF" w:rsidP="00B15FBF">
            <w:pPr>
              <w:pStyle w:val="NotesText"/>
            </w:pPr>
            <w:r w:rsidRPr="00B15FBF">
              <w:rPr>
                <w:vanish/>
              </w:rPr>
              <w:t xml:space="preserve">BR_26.23 </w:t>
            </w:r>
            <w:r w:rsidRPr="00B15FBF">
              <w:t>When the original (parent) unit type required A</w:t>
            </w:r>
            <w:r>
              <w:t>BO/Rh confirmation</w:t>
            </w:r>
            <w:r w:rsidRPr="00B15FBF">
              <w:t xml:space="preserve">, the target (child) unit, when created, does too. </w:t>
            </w:r>
          </w:p>
          <w:p w14:paraId="73976473" w14:textId="77777777" w:rsidR="00B15FBF" w:rsidRPr="00A301B0" w:rsidRDefault="00B15FBF" w:rsidP="00B15FBF">
            <w:pPr>
              <w:pStyle w:val="TableText"/>
              <w:tabs>
                <w:tab w:val="left" w:pos="1526"/>
              </w:tabs>
              <w:ind w:left="36"/>
              <w:rPr>
                <w:rFonts w:cs="Arial"/>
                <w:szCs w:val="18"/>
              </w:rPr>
            </w:pPr>
          </w:p>
          <w:p w14:paraId="11F585F1" w14:textId="77777777" w:rsidR="00B15FBF" w:rsidRPr="00A301B0" w:rsidRDefault="00B15FBF" w:rsidP="00925CAD">
            <w:pPr>
              <w:pStyle w:val="TableText"/>
              <w:numPr>
                <w:ilvl w:val="1"/>
                <w:numId w:val="66"/>
              </w:numPr>
              <w:tabs>
                <w:tab w:val="left" w:pos="252"/>
              </w:tabs>
              <w:ind w:left="1116" w:hanging="198"/>
              <w:rPr>
                <w:rFonts w:cs="Arial"/>
                <w:szCs w:val="18"/>
              </w:rPr>
            </w:pPr>
            <w:r w:rsidRPr="00A301B0">
              <w:rPr>
                <w:rFonts w:cs="Arial"/>
                <w:szCs w:val="18"/>
              </w:rPr>
              <w:t>If the target is not inheriting ABORh con</w:t>
            </w:r>
            <w:r>
              <w:rPr>
                <w:rFonts w:cs="Arial"/>
                <w:szCs w:val="18"/>
              </w:rPr>
              <w:t>firmation testing</w:t>
            </w:r>
            <w:r w:rsidRPr="00A301B0">
              <w:rPr>
                <w:rFonts w:cs="Arial"/>
                <w:szCs w:val="18"/>
              </w:rPr>
              <w:t>, then the target unit’s status is Limited.</w:t>
            </w:r>
          </w:p>
          <w:p w14:paraId="13203343" w14:textId="77777777" w:rsidR="00B15FBF" w:rsidRPr="00A301B0" w:rsidRDefault="00B15FBF" w:rsidP="00B15FBF">
            <w:pPr>
              <w:pStyle w:val="TableText"/>
              <w:tabs>
                <w:tab w:val="left" w:pos="1526"/>
              </w:tabs>
              <w:ind w:left="1116" w:hanging="198"/>
              <w:rPr>
                <w:rFonts w:cs="Arial"/>
                <w:szCs w:val="18"/>
              </w:rPr>
            </w:pPr>
          </w:p>
          <w:p w14:paraId="555B5A78" w14:textId="77777777" w:rsidR="00B15FBF" w:rsidRDefault="00B15FBF" w:rsidP="00925CAD">
            <w:pPr>
              <w:pStyle w:val="TableText"/>
              <w:numPr>
                <w:ilvl w:val="1"/>
                <w:numId w:val="66"/>
              </w:numPr>
              <w:tabs>
                <w:tab w:val="left" w:pos="252"/>
              </w:tabs>
              <w:ind w:left="1116" w:hanging="198"/>
            </w:pPr>
            <w:r w:rsidRPr="00A301B0">
              <w:rPr>
                <w:rFonts w:cs="Arial"/>
                <w:szCs w:val="18"/>
              </w:rPr>
              <w:lastRenderedPageBreak/>
              <w:t>If the target is inheriting ABORh con</w:t>
            </w:r>
            <w:r>
              <w:rPr>
                <w:rFonts w:cs="Arial"/>
                <w:szCs w:val="18"/>
              </w:rPr>
              <w:t>firmation testing</w:t>
            </w:r>
            <w:r w:rsidRPr="00A301B0">
              <w:rPr>
                <w:rFonts w:cs="Arial"/>
                <w:szCs w:val="18"/>
              </w:rPr>
              <w:t>, then the target unit is immediately available for assignment, crossmatch, issuance, or transfusion upon completion of modification.</w:t>
            </w:r>
          </w:p>
          <w:p w14:paraId="2CAA9239" w14:textId="77777777" w:rsidR="002A21AE" w:rsidRDefault="002A21AE">
            <w:pPr>
              <w:pStyle w:val="NotesText"/>
            </w:pPr>
            <w:r>
              <w:tab/>
            </w:r>
          </w:p>
          <w:p w14:paraId="26B86C60" w14:textId="77777777" w:rsidR="002A21AE" w:rsidRDefault="002A21AE">
            <w:pPr>
              <w:pStyle w:val="NotesText"/>
            </w:pPr>
            <w:r w:rsidRPr="003F0C14">
              <w:rPr>
                <w:rFonts w:cs="Arial"/>
                <w:vanish/>
                <w:color w:val="0000FF"/>
              </w:rPr>
              <w:t>BR_26.25</w:t>
            </w:r>
            <w:r>
              <w:rPr>
                <w:rFonts w:cs="Arial"/>
                <w:vanish/>
              </w:rPr>
              <w:t xml:space="preserve"> </w:t>
            </w:r>
            <w:r>
              <w:t xml:space="preserve">When the original unit is assigned or crossmatched to a patient at the time of modification, VBECS notifies the user and asks whether he wishes to automatically assign the modified units to the patient. </w:t>
            </w:r>
            <w:r>
              <w:rPr>
                <w:b/>
              </w:rPr>
              <w:t>Yes</w:t>
            </w:r>
            <w:r>
              <w:t xml:space="preserve"> (default) applies the unit’s assignment or crossmatch data to the target component. </w:t>
            </w:r>
            <w:r>
              <w:rPr>
                <w:b/>
              </w:rPr>
              <w:t>No</w:t>
            </w:r>
            <w:r>
              <w:t xml:space="preserve"> does not apply the assignment to the target, and changes the target unit status to “available.” The original unit </w:t>
            </w:r>
            <w:r w:rsidR="006212E6">
              <w:t>retains patient assignment</w:t>
            </w:r>
            <w:r w:rsidR="00AA6C54">
              <w:t xml:space="preserve"> </w:t>
            </w:r>
            <w:r>
              <w:t>in both cases.</w:t>
            </w:r>
          </w:p>
          <w:p w14:paraId="0C226649" w14:textId="77777777" w:rsidR="00C26FA7" w:rsidRDefault="00C26FA7">
            <w:pPr>
              <w:pStyle w:val="NotesText"/>
            </w:pPr>
          </w:p>
          <w:p w14:paraId="1EBAB5F8" w14:textId="77777777" w:rsidR="00C26FA7" w:rsidRDefault="00C26FA7">
            <w:pPr>
              <w:pStyle w:val="NotesText"/>
              <w:rPr>
                <w:rFonts w:cs="Arial"/>
                <w:szCs w:val="18"/>
              </w:rPr>
            </w:pPr>
            <w:r>
              <w:rPr>
                <w:rFonts w:cs="Arial"/>
                <w:vanish/>
                <w:szCs w:val="18"/>
              </w:rPr>
              <w:t>BR_26.58</w:t>
            </w:r>
            <w:r w:rsidRPr="00C26FA7">
              <w:rPr>
                <w:rFonts w:cs="Arial"/>
                <w:vanish/>
                <w:szCs w:val="18"/>
              </w:rPr>
              <w:t xml:space="preserve"> </w:t>
            </w:r>
            <w:r>
              <w:rPr>
                <w:rFonts w:cs="Arial"/>
                <w:szCs w:val="18"/>
              </w:rPr>
              <w:t>The user may select the target product code from available targets by scanning.</w:t>
            </w:r>
          </w:p>
          <w:p w14:paraId="0C0D02BE" w14:textId="5FC1FA58" w:rsidR="002A21AE" w:rsidRDefault="002A21AE" w:rsidP="000C5084">
            <w:pPr>
              <w:pStyle w:val="NotesText"/>
              <w:ind w:left="0"/>
            </w:pPr>
          </w:p>
          <w:p w14:paraId="6A2EF3FC" w14:textId="77777777" w:rsidR="00B448CE" w:rsidRDefault="00562516" w:rsidP="00032278">
            <w:pPr>
              <w:pStyle w:val="NotesText"/>
            </w:pPr>
            <w:r w:rsidRPr="00562516">
              <w:rPr>
                <w:vanish/>
              </w:rPr>
              <w:t xml:space="preserve">BR_26.49 </w:t>
            </w:r>
            <w:r w:rsidRPr="00F02C5D">
              <w:t xml:space="preserve">When the Blood Group (V0076) attribute </w:t>
            </w:r>
            <w:r>
              <w:t>group</w:t>
            </w:r>
            <w:r w:rsidRPr="00F02C5D">
              <w:t>, is present in the original it is required in the target</w:t>
            </w:r>
            <w:r w:rsidR="000A126F">
              <w:t xml:space="preserve"> but is not used by VBECS</w:t>
            </w:r>
            <w:r w:rsidRPr="00F02C5D">
              <w:t>.</w:t>
            </w:r>
          </w:p>
          <w:p w14:paraId="2652F6E5" w14:textId="77777777" w:rsidR="00B448CE" w:rsidRDefault="00B448CE" w:rsidP="00032278">
            <w:pPr>
              <w:pStyle w:val="NotesText"/>
            </w:pPr>
          </w:p>
          <w:p w14:paraId="57D67BB1" w14:textId="77777777" w:rsidR="00B448CE" w:rsidRDefault="00B448CE" w:rsidP="00B448CE">
            <w:pPr>
              <w:pStyle w:val="NotesText"/>
            </w:pPr>
            <w:r w:rsidRPr="00B448CE">
              <w:rPr>
                <w:vanish/>
              </w:rPr>
              <w:t xml:space="preserve">BR_26.57 </w:t>
            </w:r>
            <w:r>
              <w:t xml:space="preserve">When a unit is modified, the processing fee as set in </w:t>
            </w:r>
            <w:r w:rsidR="000A126F">
              <w:t>Configure Division</w:t>
            </w:r>
            <w:r>
              <w:t xml:space="preserve"> is added to the cost of a modified unit target.</w:t>
            </w:r>
          </w:p>
          <w:p w14:paraId="5A542099" w14:textId="77777777" w:rsidR="00B448CE" w:rsidRDefault="00B448CE" w:rsidP="00B448CE">
            <w:pPr>
              <w:pStyle w:val="NotesText"/>
            </w:pPr>
            <w:r>
              <w:t>When split, the processing fee is divided and a portion is added to each target unit.</w:t>
            </w:r>
          </w:p>
          <w:p w14:paraId="68736B9D" w14:textId="77777777" w:rsidR="00E1658C" w:rsidRDefault="00E1658C" w:rsidP="00B448CE">
            <w:pPr>
              <w:pStyle w:val="NotesText"/>
            </w:pPr>
          </w:p>
          <w:p w14:paraId="2EF464AA" w14:textId="76149BF5" w:rsidR="002A21AE" w:rsidRDefault="00C51C45" w:rsidP="006A576D">
            <w:pPr>
              <w:pStyle w:val="NotesText"/>
            </w:pPr>
            <w:r w:rsidRPr="00896F17">
              <w:rPr>
                <w:rStyle w:val="BullhornChar"/>
              </w:rPr>
              <w:t></w:t>
            </w:r>
            <w:r w:rsidRPr="00C51C45">
              <w:t xml:space="preserve"> </w:t>
            </w:r>
            <w:r>
              <w:t>See</w:t>
            </w:r>
            <w:r w:rsidR="002A21AE">
              <w:t xml:space="preserve"> </w:t>
            </w:r>
            <w:r w:rsidR="00EE455E">
              <w:t xml:space="preserve">Table </w:t>
            </w:r>
            <w:r w:rsidR="00EE455E">
              <w:rPr>
                <w:noProof/>
              </w:rPr>
              <w:t>5</w:t>
            </w:r>
            <w:r w:rsidR="006A576D">
              <w:t xml:space="preserve"> </w:t>
            </w:r>
            <w:r w:rsidR="002A21AE">
              <w:t>for alerts that may occur during this option.</w:t>
            </w:r>
          </w:p>
        </w:tc>
      </w:tr>
      <w:tr w:rsidR="002A21AE" w14:paraId="7146408D" w14:textId="77777777">
        <w:tc>
          <w:tcPr>
            <w:tcW w:w="3240" w:type="dxa"/>
          </w:tcPr>
          <w:p w14:paraId="0FF02C11" w14:textId="77777777" w:rsidR="002A21AE" w:rsidRDefault="00C239D1" w:rsidP="00C239D1">
            <w:pPr>
              <w:pStyle w:val="TableTextNumbers"/>
            </w:pPr>
            <w:r>
              <w:lastRenderedPageBreak/>
              <w:t>Accept or edit</w:t>
            </w:r>
            <w:r w:rsidR="00A77D1F">
              <w:t xml:space="preserve"> the</w:t>
            </w:r>
            <w:r w:rsidR="002A21AE">
              <w:t xml:space="preserve"> expiration date.</w:t>
            </w:r>
          </w:p>
        </w:tc>
        <w:tc>
          <w:tcPr>
            <w:tcW w:w="6120" w:type="dxa"/>
          </w:tcPr>
          <w:p w14:paraId="0BD74E89" w14:textId="77777777" w:rsidR="002A21AE" w:rsidRDefault="002A21AE">
            <w:pPr>
              <w:pStyle w:val="TableTextBullet"/>
            </w:pPr>
            <w:r>
              <w:t>Verifies the validity of the expiration date and warns the user, if indicated.</w:t>
            </w:r>
          </w:p>
          <w:p w14:paraId="5DECA6C0" w14:textId="77777777" w:rsidR="002A21AE" w:rsidRDefault="002A21AE">
            <w:pPr>
              <w:pStyle w:val="TableText"/>
            </w:pPr>
          </w:p>
          <w:p w14:paraId="5AC5EA71" w14:textId="5F2FDDDB" w:rsidR="002A21AE" w:rsidRDefault="002A21AE">
            <w:pPr>
              <w:pStyle w:val="TableText"/>
              <w:rPr>
                <w:b/>
                <w:bCs/>
                <w:szCs w:val="18"/>
              </w:rPr>
            </w:pPr>
            <w:r>
              <w:rPr>
                <w:b/>
                <w:bCs/>
                <w:szCs w:val="18"/>
              </w:rPr>
              <w:t>NOTES</w:t>
            </w:r>
          </w:p>
          <w:p w14:paraId="1A98AF1C" w14:textId="71007535" w:rsidR="002A21AE" w:rsidRDefault="002A21AE" w:rsidP="003D61DB">
            <w:pPr>
              <w:pStyle w:val="NotesText"/>
              <w:ind w:left="0"/>
            </w:pPr>
          </w:p>
          <w:p w14:paraId="6E829258" w14:textId="77777777" w:rsidR="00B448CE" w:rsidRPr="00B448CE" w:rsidRDefault="00B448CE" w:rsidP="00B448CE">
            <w:pPr>
              <w:pStyle w:val="NotesText"/>
            </w:pPr>
            <w:r w:rsidRPr="00B448CE">
              <w:rPr>
                <w:vanish/>
              </w:rPr>
              <w:t xml:space="preserve">BR_26.20 </w:t>
            </w:r>
            <w:r>
              <w:t>VBECS</w:t>
            </w:r>
            <w:r w:rsidRPr="00B448CE">
              <w:t xml:space="preserve"> calculate</w:t>
            </w:r>
            <w:r>
              <w:t>s</w:t>
            </w:r>
            <w:r w:rsidRPr="00B448CE">
              <w:t xml:space="preserve"> an expiration date for the target component type and the system integrity (Open or Closed).</w:t>
            </w:r>
          </w:p>
          <w:p w14:paraId="22353D9F" w14:textId="77777777" w:rsidR="00B448CE" w:rsidRPr="00B448CE" w:rsidRDefault="00B448CE" w:rsidP="00B448CE">
            <w:pPr>
              <w:pStyle w:val="NotesText"/>
            </w:pPr>
            <w:r w:rsidRPr="00B448CE">
              <w:t>The system will calculate an expiration date for the target component based</w:t>
            </w:r>
            <w:r>
              <w:t xml:space="preserve"> on the following. (Due to the nature of the process, the calculated expiration date will greatly exceed the original expiration date of the original unit for Rejuvenate and Freeze, and will supersede the unit’s original expiration date.)</w:t>
            </w:r>
          </w:p>
          <w:p w14:paraId="6F89B5C8" w14:textId="77777777" w:rsidR="00B448CE" w:rsidRPr="007B53AE" w:rsidRDefault="00B448CE" w:rsidP="00B448CE">
            <w:pPr>
              <w:pStyle w:val="StyleTableText9ptChar"/>
              <w:rPr>
                <w:rFonts w:cs="Arial"/>
              </w:rPr>
            </w:pPr>
          </w:p>
          <w:p w14:paraId="110F9C44" w14:textId="77777777" w:rsidR="00B448CE" w:rsidRPr="007B53AE" w:rsidRDefault="00B448CE" w:rsidP="00B448CE">
            <w:pPr>
              <w:pStyle w:val="CommentText"/>
              <w:rPr>
                <w:rFonts w:ascii="Arial" w:hAnsi="Arial" w:cs="Arial"/>
                <w:sz w:val="18"/>
                <w:szCs w:val="18"/>
              </w:rPr>
            </w:pPr>
            <w:r w:rsidRPr="007B53AE">
              <w:rPr>
                <w:rFonts w:ascii="Arial" w:hAnsi="Arial" w:cs="Arial"/>
                <w:sz w:val="18"/>
                <w:szCs w:val="18"/>
              </w:rPr>
              <w:t>Expiration Date is the shortest of:</w:t>
            </w:r>
          </w:p>
          <w:p w14:paraId="1EEA91AE" w14:textId="4DF6F712" w:rsidR="00B448CE" w:rsidRDefault="00B448CE" w:rsidP="00925CAD">
            <w:pPr>
              <w:pStyle w:val="CommentText"/>
              <w:numPr>
                <w:ilvl w:val="0"/>
                <w:numId w:val="68"/>
              </w:numPr>
              <w:ind w:left="1080"/>
              <w:rPr>
                <w:rFonts w:ascii="Arial" w:hAnsi="Arial" w:cs="Arial"/>
                <w:sz w:val="18"/>
                <w:szCs w:val="18"/>
              </w:rPr>
            </w:pPr>
            <w:r w:rsidRPr="007B53AE">
              <w:rPr>
                <w:rFonts w:ascii="Arial" w:hAnsi="Arial" w:cs="Arial"/>
                <w:sz w:val="18"/>
                <w:szCs w:val="18"/>
              </w:rPr>
              <w:t>Original unit’s expiration date/time (For Rejuv</w:t>
            </w:r>
            <w:r>
              <w:rPr>
                <w:rFonts w:ascii="Arial" w:hAnsi="Arial" w:cs="Arial"/>
                <w:sz w:val="18"/>
                <w:szCs w:val="18"/>
              </w:rPr>
              <w:t>enate and Freeze</w:t>
            </w:r>
            <w:r w:rsidRPr="007B53AE">
              <w:rPr>
                <w:rFonts w:ascii="Arial" w:hAnsi="Arial" w:cs="Arial"/>
                <w:sz w:val="18"/>
                <w:szCs w:val="18"/>
              </w:rPr>
              <w:t>, the Original unit’s expiration is not factored in the calculation)</w:t>
            </w:r>
          </w:p>
          <w:p w14:paraId="16715727" w14:textId="0BF28041" w:rsidR="008E2CB0" w:rsidRDefault="008E2CB0" w:rsidP="00925CAD">
            <w:pPr>
              <w:pStyle w:val="CommentText"/>
              <w:numPr>
                <w:ilvl w:val="0"/>
                <w:numId w:val="68"/>
              </w:numPr>
              <w:ind w:left="1080"/>
              <w:rPr>
                <w:rFonts w:ascii="Arial" w:hAnsi="Arial" w:cs="Arial"/>
                <w:sz w:val="18"/>
                <w:szCs w:val="18"/>
              </w:rPr>
            </w:pPr>
            <w:r>
              <w:rPr>
                <w:rFonts w:ascii="Arial" w:hAnsi="Arial" w:cs="Arial"/>
                <w:sz w:val="18"/>
                <w:szCs w:val="18"/>
              </w:rPr>
              <w:t>If Expiration hours is &gt; 0, the Modification date/time + Expiration hours**</w:t>
            </w:r>
          </w:p>
          <w:p w14:paraId="472E6289" w14:textId="77777777" w:rsidR="00B448CE" w:rsidRDefault="008E2CB0" w:rsidP="00925CAD">
            <w:pPr>
              <w:pStyle w:val="CommentText"/>
              <w:numPr>
                <w:ilvl w:val="0"/>
                <w:numId w:val="68"/>
              </w:numPr>
              <w:ind w:left="1080"/>
              <w:rPr>
                <w:rFonts w:ascii="Arial" w:hAnsi="Arial" w:cs="Arial"/>
                <w:sz w:val="18"/>
                <w:szCs w:val="18"/>
              </w:rPr>
            </w:pPr>
            <w:r>
              <w:rPr>
                <w:rFonts w:ascii="Arial" w:hAnsi="Arial" w:cs="Arial"/>
                <w:sz w:val="18"/>
                <w:szCs w:val="18"/>
              </w:rPr>
              <w:t>Modification date/time + Target blood product’s maximum storage time (MST)**</w:t>
            </w:r>
          </w:p>
          <w:p w14:paraId="04A1B8AC" w14:textId="77777777" w:rsidR="008E2CB0" w:rsidRDefault="008E2CB0" w:rsidP="008E2CB0">
            <w:pPr>
              <w:pStyle w:val="CommentText"/>
              <w:tabs>
                <w:tab w:val="clear" w:pos="1080"/>
              </w:tabs>
              <w:rPr>
                <w:rFonts w:ascii="Arial" w:hAnsi="Arial" w:cs="Arial"/>
                <w:sz w:val="18"/>
                <w:szCs w:val="18"/>
              </w:rPr>
            </w:pPr>
          </w:p>
          <w:p w14:paraId="5E43FCCE" w14:textId="2958DA5B" w:rsidR="008E2CB0" w:rsidRPr="008E2CB0" w:rsidRDefault="008E2CB0" w:rsidP="008E2CB0">
            <w:pPr>
              <w:pStyle w:val="CommentText"/>
              <w:tabs>
                <w:tab w:val="clear" w:pos="1080"/>
              </w:tabs>
              <w:rPr>
                <w:rFonts w:ascii="Arial" w:hAnsi="Arial" w:cs="Arial"/>
                <w:sz w:val="18"/>
                <w:szCs w:val="18"/>
              </w:rPr>
            </w:pPr>
            <w:r>
              <w:rPr>
                <w:rFonts w:ascii="Arial" w:hAnsi="Arial"/>
                <w:sz w:val="18"/>
                <w:szCs w:val="24"/>
              </w:rPr>
              <w:t xml:space="preserve">    </w:t>
            </w:r>
            <w:r w:rsidRPr="008E2CB0">
              <w:rPr>
                <w:rFonts w:ascii="Arial" w:hAnsi="Arial"/>
                <w:sz w:val="18"/>
                <w:szCs w:val="24"/>
              </w:rPr>
              <w:t>**If Expiration hours or Target blood product’s MST is greater than (&gt;) 24 hours: divide the hours by 24 to get the number of days (no rounding); add the number of days to the Modification date/time and the time will be 23:59.</w:t>
            </w:r>
          </w:p>
        </w:tc>
      </w:tr>
      <w:tr w:rsidR="002A21AE" w14:paraId="0ABE9EC8" w14:textId="77777777" w:rsidTr="006C058D">
        <w:trPr>
          <w:cantSplit/>
        </w:trPr>
        <w:tc>
          <w:tcPr>
            <w:tcW w:w="3240" w:type="dxa"/>
          </w:tcPr>
          <w:p w14:paraId="2F2759A2" w14:textId="77777777" w:rsidR="002A21AE" w:rsidRDefault="002A21AE">
            <w:pPr>
              <w:pStyle w:val="TableTextNumbers"/>
            </w:pPr>
            <w:r>
              <w:lastRenderedPageBreak/>
              <w:t xml:space="preserve">Review the displayed unit data and </w:t>
            </w:r>
            <w:r w:rsidR="00A77D1F">
              <w:t xml:space="preserve">click </w:t>
            </w:r>
            <w:r w:rsidR="00A77D1F" w:rsidRPr="00A77D1F">
              <w:rPr>
                <w:b/>
              </w:rPr>
              <w:t>OK</w:t>
            </w:r>
            <w:r w:rsidR="00A77D1F">
              <w:t xml:space="preserve"> to </w:t>
            </w:r>
            <w:r>
              <w:t>confirm the modification.</w:t>
            </w:r>
          </w:p>
          <w:p w14:paraId="13A671CC" w14:textId="77777777" w:rsidR="00A77D1F" w:rsidRDefault="00A77D1F" w:rsidP="00A77D1F">
            <w:pPr>
              <w:pStyle w:val="TableTextNumbersContinued"/>
            </w:pPr>
          </w:p>
          <w:p w14:paraId="73685FB2" w14:textId="6179EA85" w:rsidR="00A77D1F" w:rsidRDefault="00C239D1" w:rsidP="00A77D1F">
            <w:pPr>
              <w:pStyle w:val="TableTextNumbersContinued"/>
            </w:pPr>
            <w:r>
              <w:t>If the unit has been relabeled, c</w:t>
            </w:r>
            <w:r w:rsidR="00A77D1F">
              <w:t xml:space="preserve">lick </w:t>
            </w:r>
            <w:r w:rsidR="00A77D1F" w:rsidRPr="00A77D1F">
              <w:rPr>
                <w:b/>
              </w:rPr>
              <w:t>Yes</w:t>
            </w:r>
            <w:r w:rsidR="00A77D1F">
              <w:t xml:space="preserve"> to verify the label</w:t>
            </w:r>
            <w:r>
              <w:t xml:space="preserve"> </w:t>
            </w:r>
            <w:r w:rsidR="00F331EC">
              <w:t>(</w:t>
            </w:r>
            <w:r w:rsidR="00EE455E">
              <w:t xml:space="preserve">Figure </w:t>
            </w:r>
            <w:r w:rsidR="00EE455E">
              <w:rPr>
                <w:noProof/>
              </w:rPr>
              <w:t>62</w:t>
            </w:r>
            <w:r w:rsidR="00F331EC">
              <w:t>)</w:t>
            </w:r>
            <w:r w:rsidR="00A77D1F">
              <w:t>.</w:t>
            </w:r>
          </w:p>
          <w:p w14:paraId="062C1F89" w14:textId="77777777" w:rsidR="0014066B" w:rsidRDefault="0014066B" w:rsidP="00A77D1F">
            <w:pPr>
              <w:pStyle w:val="TableTextNumbersContinued"/>
            </w:pPr>
          </w:p>
          <w:p w14:paraId="65C28596" w14:textId="77777777" w:rsidR="0014066B" w:rsidRDefault="0014066B" w:rsidP="00A77D1F">
            <w:pPr>
              <w:pStyle w:val="TableTextNumbersContinued"/>
            </w:pPr>
            <w:r>
              <w:t xml:space="preserve">Click </w:t>
            </w:r>
            <w:r w:rsidRPr="0014066B">
              <w:rPr>
                <w:b/>
              </w:rPr>
              <w:t>No</w:t>
            </w:r>
            <w:r>
              <w:t xml:space="preserve"> to cancel and continue at Step 14.</w:t>
            </w:r>
          </w:p>
        </w:tc>
        <w:tc>
          <w:tcPr>
            <w:tcW w:w="6120" w:type="dxa"/>
          </w:tcPr>
          <w:p w14:paraId="728BBBE2" w14:textId="77777777" w:rsidR="005D32B0" w:rsidRDefault="005D32B0" w:rsidP="005D32B0">
            <w:pPr>
              <w:pStyle w:val="TableTextBullet"/>
            </w:pPr>
            <w:r>
              <w:t>When the original unit is currently assigned to a patient, notifies the user and asks whether he wishes to transfer the status to the target un</w:t>
            </w:r>
            <w:r w:rsidR="00E1658C">
              <w:t>it.</w:t>
            </w:r>
          </w:p>
          <w:p w14:paraId="75B3B89F" w14:textId="77777777" w:rsidR="002A21AE" w:rsidRDefault="002A21AE">
            <w:pPr>
              <w:pStyle w:val="NotesText"/>
            </w:pPr>
          </w:p>
        </w:tc>
      </w:tr>
      <w:tr w:rsidR="002A21AE" w14:paraId="649CEFE7" w14:textId="77777777">
        <w:tc>
          <w:tcPr>
            <w:tcW w:w="3240" w:type="dxa"/>
          </w:tcPr>
          <w:p w14:paraId="4DDE0B3D" w14:textId="77777777" w:rsidR="002A21AE" w:rsidRDefault="00A77D1F">
            <w:pPr>
              <w:pStyle w:val="TableTextNumbers"/>
            </w:pPr>
            <w:r>
              <w:t>Scan the label barcodes to v</w:t>
            </w:r>
            <w:r w:rsidR="002A21AE">
              <w:t>erify the target labels, based on local practice and labeling type of the modified unit.</w:t>
            </w:r>
          </w:p>
          <w:p w14:paraId="5A61FFEC" w14:textId="77777777" w:rsidR="00A77D1F" w:rsidRDefault="00A77D1F" w:rsidP="00A77D1F">
            <w:pPr>
              <w:pStyle w:val="TableTextNumbersContinued"/>
            </w:pPr>
          </w:p>
          <w:p w14:paraId="7CA3D5A0" w14:textId="77777777" w:rsidR="00A77D1F" w:rsidRDefault="00A77D1F" w:rsidP="00A77D1F">
            <w:pPr>
              <w:pStyle w:val="TableTextNumbersContinued"/>
            </w:pPr>
            <w:r>
              <w:t>Enter a comment to complete the verification.</w:t>
            </w:r>
            <w:r w:rsidR="00403743">
              <w:t xml:space="preserve"> (This step is optional.)</w:t>
            </w:r>
          </w:p>
        </w:tc>
        <w:tc>
          <w:tcPr>
            <w:tcW w:w="6120" w:type="dxa"/>
          </w:tcPr>
          <w:p w14:paraId="3447539C" w14:textId="77777777" w:rsidR="002A21AE" w:rsidRDefault="002A21AE">
            <w:pPr>
              <w:pStyle w:val="TableTextBullet"/>
            </w:pPr>
            <w:r>
              <w:t>Displays the label verification window.</w:t>
            </w:r>
          </w:p>
          <w:p w14:paraId="2F5F6482" w14:textId="77777777" w:rsidR="00A77D1F" w:rsidRDefault="00A77D1F">
            <w:pPr>
              <w:pStyle w:val="TableTextBullet"/>
            </w:pPr>
            <w:r>
              <w:t>Indicates whether the scanned barcodes match those in the label.</w:t>
            </w:r>
          </w:p>
          <w:p w14:paraId="799FAB16" w14:textId="77777777" w:rsidR="00403743" w:rsidRDefault="00403743" w:rsidP="00403743">
            <w:pPr>
              <w:pStyle w:val="TableTextBullet"/>
              <w:tabs>
                <w:tab w:val="num" w:pos="360"/>
              </w:tabs>
            </w:pPr>
            <w:r>
              <w:t xml:space="preserve">For each target created, system prompts user to indicate readiness to verify the labeling of the modified product. </w:t>
            </w:r>
          </w:p>
          <w:p w14:paraId="7D735F5A" w14:textId="77777777" w:rsidR="00403743" w:rsidRDefault="00403743" w:rsidP="00403743">
            <w:pPr>
              <w:pStyle w:val="TableTextBullet"/>
              <w:tabs>
                <w:tab w:val="num" w:pos="360"/>
              </w:tabs>
            </w:pPr>
            <w:r>
              <w:t>No new labels applied to modified product. Proceed to save the unit.</w:t>
            </w:r>
          </w:p>
          <w:p w14:paraId="4E1E0358" w14:textId="77777777" w:rsidR="00403743" w:rsidRDefault="00403743" w:rsidP="00403743">
            <w:pPr>
              <w:pStyle w:val="TableTextBullet"/>
              <w:tabs>
                <w:tab w:val="num" w:pos="360"/>
              </w:tabs>
            </w:pPr>
            <w:r>
              <w:t>Displays a screen to accommodate data entry of the modified unit’s:</w:t>
            </w:r>
          </w:p>
          <w:p w14:paraId="7073265A" w14:textId="77777777" w:rsidR="00403743" w:rsidRDefault="00403743" w:rsidP="00403743">
            <w:pPr>
              <w:pStyle w:val="TableTextBullet1"/>
              <w:tabs>
                <w:tab w:val="clear" w:pos="576"/>
                <w:tab w:val="num" w:pos="288"/>
              </w:tabs>
            </w:pPr>
            <w:r>
              <w:t>ABO/Rh</w:t>
            </w:r>
          </w:p>
          <w:p w14:paraId="0C932D4E" w14:textId="77777777" w:rsidR="00403743" w:rsidRDefault="00403743" w:rsidP="00403743">
            <w:pPr>
              <w:pStyle w:val="TableTextBullet1"/>
              <w:tabs>
                <w:tab w:val="clear" w:pos="576"/>
                <w:tab w:val="num" w:pos="288"/>
              </w:tabs>
            </w:pPr>
            <w:r>
              <w:t>Product Code</w:t>
            </w:r>
          </w:p>
          <w:p w14:paraId="053DBE50" w14:textId="77777777" w:rsidR="00403743" w:rsidRDefault="00403743" w:rsidP="00403743">
            <w:pPr>
              <w:pStyle w:val="TableTextBullet1"/>
              <w:tabs>
                <w:tab w:val="clear" w:pos="576"/>
                <w:tab w:val="num" w:pos="288"/>
              </w:tabs>
            </w:pPr>
            <w:r>
              <w:t>Expiration Date</w:t>
            </w:r>
          </w:p>
          <w:p w14:paraId="2CBAC6A6" w14:textId="77777777" w:rsidR="00403743" w:rsidRDefault="00403743" w:rsidP="00403743">
            <w:pPr>
              <w:pStyle w:val="TableTextBullet"/>
              <w:tabs>
                <w:tab w:val="num" w:pos="360"/>
              </w:tabs>
            </w:pPr>
            <w:r>
              <w:t>This step repeats until all targets have been labeled and/or are ready for continued processing.</w:t>
            </w:r>
          </w:p>
          <w:p w14:paraId="1463A201" w14:textId="77777777" w:rsidR="00403743" w:rsidRDefault="00403743" w:rsidP="00403743">
            <w:pPr>
              <w:pStyle w:val="TableText"/>
            </w:pPr>
          </w:p>
          <w:p w14:paraId="4D4AAFB8" w14:textId="4A5F03C2" w:rsidR="00403743" w:rsidRDefault="00403743" w:rsidP="00403743">
            <w:pPr>
              <w:pStyle w:val="TableText"/>
              <w:rPr>
                <w:b/>
                <w:bCs/>
                <w:szCs w:val="18"/>
              </w:rPr>
            </w:pPr>
            <w:r>
              <w:rPr>
                <w:b/>
                <w:bCs/>
                <w:szCs w:val="18"/>
              </w:rPr>
              <w:t>NOTES</w:t>
            </w:r>
          </w:p>
          <w:p w14:paraId="4543F7E4" w14:textId="77777777" w:rsidR="00403743" w:rsidRDefault="00403743" w:rsidP="00403743">
            <w:pPr>
              <w:pStyle w:val="NotesText"/>
            </w:pPr>
          </w:p>
          <w:p w14:paraId="5B89BBB2" w14:textId="77777777" w:rsidR="00403743" w:rsidRDefault="00403743" w:rsidP="00403743">
            <w:pPr>
              <w:pStyle w:val="NotesText"/>
            </w:pPr>
            <w:r>
              <w:t>The user may select “Verify modified unit label” to verify the modified unit label</w:t>
            </w:r>
            <w:r w:rsidR="00380967">
              <w:t>.</w:t>
            </w:r>
            <w:r>
              <w:t xml:space="preserve"> </w:t>
            </w:r>
            <w:r w:rsidR="00542972">
              <w:t xml:space="preserve">When the user does not verify the label, he </w:t>
            </w:r>
            <w:r w:rsidR="006832A2">
              <w:t xml:space="preserve">must enter a comment and </w:t>
            </w:r>
            <w:r w:rsidR="00BD738E">
              <w:t xml:space="preserve">then </w:t>
            </w:r>
            <w:r w:rsidR="006832A2">
              <w:t>click</w:t>
            </w:r>
            <w:r w:rsidR="00542972">
              <w:t xml:space="preserve"> </w:t>
            </w:r>
            <w:r w:rsidR="00542972" w:rsidRPr="00542972">
              <w:rPr>
                <w:b/>
              </w:rPr>
              <w:t>Cancel</w:t>
            </w:r>
            <w:r w:rsidR="006832A2">
              <w:t xml:space="preserve"> </w:t>
            </w:r>
            <w:r>
              <w:t>to exit.</w:t>
            </w:r>
          </w:p>
          <w:p w14:paraId="4DF27BA6" w14:textId="77777777" w:rsidR="00403743" w:rsidRDefault="00403743" w:rsidP="00403743">
            <w:pPr>
              <w:pStyle w:val="NotesText"/>
            </w:pPr>
          </w:p>
          <w:p w14:paraId="6A7E5CEE" w14:textId="77777777" w:rsidR="00403743" w:rsidRDefault="00403743" w:rsidP="00403743">
            <w:pPr>
              <w:pStyle w:val="NotesText"/>
            </w:pPr>
            <w:r>
              <w:t>When the user does not select “Verify modified unit label,” he may continue at Step 1</w:t>
            </w:r>
            <w:r w:rsidR="00027FF5">
              <w:t>4</w:t>
            </w:r>
            <w:r>
              <w:t xml:space="preserve">. VBECS bypasses the label verification and does not create an Exception Report. </w:t>
            </w:r>
          </w:p>
          <w:p w14:paraId="0CBFF732" w14:textId="77777777" w:rsidR="00403743" w:rsidRDefault="00403743" w:rsidP="00403743">
            <w:pPr>
              <w:pStyle w:val="NotesText"/>
            </w:pPr>
          </w:p>
          <w:p w14:paraId="3B7AFFBF" w14:textId="77777777" w:rsidR="00403743" w:rsidRDefault="00403743" w:rsidP="00403743">
            <w:pPr>
              <w:pStyle w:val="NotesText"/>
              <w:rPr>
                <w:b/>
              </w:rPr>
            </w:pPr>
            <w:r>
              <w:t xml:space="preserve">When a component is modified and a new label is applied, </w:t>
            </w:r>
            <w:r w:rsidR="002A6CE1">
              <w:t>American Association of Blood Banks (</w:t>
            </w:r>
            <w:r>
              <w:t>AABB</w:t>
            </w:r>
            <w:r w:rsidR="002A6CE1">
              <w:t>)</w:t>
            </w:r>
            <w:r>
              <w:t xml:space="preserve"> standards require the labeling process to include a method to ensure the correctness of the unit number, ABO/Rh, expiration date, and component label.</w:t>
            </w:r>
          </w:p>
          <w:p w14:paraId="78B22045" w14:textId="77777777" w:rsidR="00403743" w:rsidRDefault="00403743" w:rsidP="00403743">
            <w:pPr>
              <w:pStyle w:val="NotesText"/>
              <w:rPr>
                <w:b/>
              </w:rPr>
            </w:pPr>
          </w:p>
          <w:p w14:paraId="648CE7C2" w14:textId="77777777" w:rsidR="00403743" w:rsidRDefault="00403743" w:rsidP="00403743">
            <w:pPr>
              <w:pStyle w:val="NotesText"/>
            </w:pPr>
            <w:r w:rsidRPr="00DE10EE">
              <w:rPr>
                <w:rFonts w:cs="Arial"/>
                <w:vanish/>
                <w:color w:val="0000FF"/>
              </w:rPr>
              <w:t>BR_26.29</w:t>
            </w:r>
            <w:r>
              <w:rPr>
                <w:rFonts w:cs="Arial"/>
                <w:vanish/>
              </w:rPr>
              <w:t xml:space="preserve"> </w:t>
            </w:r>
            <w:r>
              <w:t>To verify the label, VBECS compares the entered data with the data of the target unit from the database. The user may scan or enter:</w:t>
            </w:r>
          </w:p>
          <w:p w14:paraId="0CA3DE83" w14:textId="77777777" w:rsidR="00403743" w:rsidRDefault="00403743" w:rsidP="00403743">
            <w:pPr>
              <w:pStyle w:val="NotesTextBullet"/>
            </w:pPr>
            <w:r>
              <w:t>Unit ABO/Rh Label</w:t>
            </w:r>
            <w:r w:rsidR="00682656">
              <w:t xml:space="preserve"> (scan or manual entry)</w:t>
            </w:r>
          </w:p>
          <w:p w14:paraId="059C03B0" w14:textId="77777777" w:rsidR="00403743" w:rsidRDefault="00403743" w:rsidP="00403743">
            <w:pPr>
              <w:pStyle w:val="NotesTextBullet"/>
            </w:pPr>
            <w:r>
              <w:t>Unit Product Code</w:t>
            </w:r>
            <w:r w:rsidR="00682656">
              <w:t xml:space="preserve"> (scan or manual entry)</w:t>
            </w:r>
          </w:p>
          <w:p w14:paraId="4D461DFA" w14:textId="77777777" w:rsidR="00403743" w:rsidRDefault="00403743" w:rsidP="00027FF5">
            <w:pPr>
              <w:pStyle w:val="NotesTextBullet"/>
            </w:pPr>
            <w:r>
              <w:t>Unit Expiration Date</w:t>
            </w:r>
            <w:r w:rsidR="00682656">
              <w:t xml:space="preserve"> (scan or manual entry)</w:t>
            </w:r>
          </w:p>
          <w:p w14:paraId="15F8CBA7" w14:textId="77777777" w:rsidR="00682656" w:rsidRDefault="00682656" w:rsidP="00682656">
            <w:pPr>
              <w:rPr>
                <w:rFonts w:ascii="Arial" w:hAnsi="Arial"/>
                <w:sz w:val="18"/>
              </w:rPr>
            </w:pPr>
          </w:p>
          <w:p w14:paraId="04A97241" w14:textId="77777777" w:rsidR="00682656" w:rsidRDefault="00682656" w:rsidP="00682656">
            <w:pPr>
              <w:pStyle w:val="NotesText"/>
            </w:pPr>
            <w:r>
              <w:t>If all comparisons are okay, VBECS displays a message stating that label verification is complete and asks whether the user wishes to continue.</w:t>
            </w:r>
          </w:p>
          <w:p w14:paraId="7390DE02" w14:textId="77777777" w:rsidR="00682656" w:rsidRDefault="00682656" w:rsidP="00682656">
            <w:pPr>
              <w:pStyle w:val="NotesText"/>
            </w:pPr>
          </w:p>
          <w:p w14:paraId="17A1EDFD" w14:textId="77777777" w:rsidR="00682656" w:rsidRDefault="00682656" w:rsidP="00682656">
            <w:pPr>
              <w:pStyle w:val="NotesText"/>
            </w:pPr>
            <w:r>
              <w:t>If there is not a match, VBECS</w:t>
            </w:r>
            <w:r w:rsidRPr="00682656">
              <w:t xml:space="preserve"> provides an audible alert and displays</w:t>
            </w:r>
            <w:r>
              <w:t xml:space="preserve"> an error message stating that &lt;data element&gt; does NOT match &lt;data element&gt; of record and asks the user to verify labeling and reenter, or select </w:t>
            </w:r>
            <w:r w:rsidRPr="00682656">
              <w:rPr>
                <w:b/>
              </w:rPr>
              <w:t>Continue</w:t>
            </w:r>
            <w:r>
              <w:t>.</w:t>
            </w:r>
          </w:p>
          <w:p w14:paraId="3A33AEBE" w14:textId="77777777" w:rsidR="00682656" w:rsidRDefault="00682656" w:rsidP="00682656">
            <w:pPr>
              <w:pStyle w:val="NotesText"/>
            </w:pPr>
          </w:p>
          <w:p w14:paraId="6BC392D3" w14:textId="77777777" w:rsidR="00682656" w:rsidRDefault="00682656" w:rsidP="00682656">
            <w:pPr>
              <w:pStyle w:val="NotesText"/>
            </w:pPr>
            <w:r>
              <w:lastRenderedPageBreak/>
              <w:t xml:space="preserve">If there is a null or no user entry for one of the fields, VBECS displays an error message stating that &lt;data element&gt; was not entered and asks the user to enter a value or select </w:t>
            </w:r>
            <w:r w:rsidRPr="00682656">
              <w:rPr>
                <w:b/>
              </w:rPr>
              <w:t>Continue</w:t>
            </w:r>
            <w:r>
              <w:t>.</w:t>
            </w:r>
          </w:p>
          <w:p w14:paraId="48E4A6C2" w14:textId="77777777" w:rsidR="00682656" w:rsidRDefault="00682656" w:rsidP="00682656">
            <w:pPr>
              <w:pStyle w:val="NotesText"/>
            </w:pPr>
          </w:p>
          <w:p w14:paraId="06DE2EEE" w14:textId="77777777" w:rsidR="00682656" w:rsidRDefault="00682656" w:rsidP="00682656">
            <w:pPr>
              <w:pStyle w:val="NotesText"/>
            </w:pPr>
            <w:r>
              <w:t>If checks were either invalid or incomplete, VBECS</w:t>
            </w:r>
            <w:r w:rsidRPr="00682656">
              <w:t xml:space="preserve"> will not allow unit issue to this </w:t>
            </w:r>
            <w:r>
              <w:t>or any other patient. VBECS</w:t>
            </w:r>
            <w:r w:rsidRPr="00682656">
              <w:t xml:space="preserve"> displays a warning message: “Unit is unacceptable for transfusion. Releasing all patient assignments and qu</w:t>
            </w:r>
            <w:r>
              <w:t>arantining the unit.” VBECS</w:t>
            </w:r>
            <w:r w:rsidRPr="00682656">
              <w:t xml:space="preserve"> clears the unit data and allows for entry of a different unit number. </w:t>
            </w:r>
            <w:r>
              <w:t xml:space="preserve">When the user selects </w:t>
            </w:r>
            <w:r w:rsidRPr="00682656">
              <w:rPr>
                <w:b/>
              </w:rPr>
              <w:t>Continue</w:t>
            </w:r>
            <w:r>
              <w:t>, a comment is required and details are captured in an exception report. Details in the exception report include:</w:t>
            </w:r>
          </w:p>
          <w:p w14:paraId="14BB1AC2" w14:textId="2E611D9B" w:rsidR="00682656" w:rsidRDefault="00372501" w:rsidP="00925CAD">
            <w:pPr>
              <w:pStyle w:val="StyleTableText9ptChar"/>
              <w:numPr>
                <w:ilvl w:val="0"/>
                <w:numId w:val="65"/>
              </w:numPr>
            </w:pPr>
            <w:r>
              <w:t>Exception</w:t>
            </w:r>
            <w:r w:rsidR="00682656">
              <w:t xml:space="preserve"> type: Target Product Label Failed checks </w:t>
            </w:r>
          </w:p>
          <w:p w14:paraId="68FE4417" w14:textId="77777777" w:rsidR="00682656" w:rsidRDefault="00682656" w:rsidP="00925CAD">
            <w:pPr>
              <w:pStyle w:val="StyleTableText9ptChar"/>
              <w:numPr>
                <w:ilvl w:val="0"/>
                <w:numId w:val="65"/>
              </w:numPr>
            </w:pPr>
            <w:r>
              <w:t>Type of modification: &lt;insert type defined by the transaction&gt;</w:t>
            </w:r>
          </w:p>
          <w:p w14:paraId="7D87085C" w14:textId="77777777" w:rsidR="00682656" w:rsidRDefault="00682656" w:rsidP="00925CAD">
            <w:pPr>
              <w:pStyle w:val="StyleTableText9ptChar"/>
              <w:numPr>
                <w:ilvl w:val="0"/>
                <w:numId w:val="65"/>
              </w:numPr>
            </w:pPr>
            <w:r>
              <w:t>Target Unit ID</w:t>
            </w:r>
          </w:p>
          <w:p w14:paraId="4058A1BD" w14:textId="77777777" w:rsidR="00682656" w:rsidRDefault="00682656" w:rsidP="00925CAD">
            <w:pPr>
              <w:pStyle w:val="StyleTableText9ptChar"/>
              <w:numPr>
                <w:ilvl w:val="0"/>
                <w:numId w:val="65"/>
              </w:numPr>
            </w:pPr>
            <w:r>
              <w:t>Target Unit ABO/Rh</w:t>
            </w:r>
          </w:p>
          <w:p w14:paraId="2341B44A" w14:textId="77777777" w:rsidR="00682656" w:rsidRDefault="00682656" w:rsidP="00925CAD">
            <w:pPr>
              <w:pStyle w:val="StyleTableText9ptChar"/>
              <w:numPr>
                <w:ilvl w:val="0"/>
                <w:numId w:val="65"/>
              </w:numPr>
            </w:pPr>
            <w:r>
              <w:t>Target Unit Product Code</w:t>
            </w:r>
          </w:p>
          <w:p w14:paraId="2AAE528D" w14:textId="77777777" w:rsidR="00682656" w:rsidRDefault="00682656" w:rsidP="00925CAD">
            <w:pPr>
              <w:pStyle w:val="StyleTableText9ptChar"/>
              <w:numPr>
                <w:ilvl w:val="0"/>
                <w:numId w:val="65"/>
              </w:numPr>
            </w:pPr>
            <w:r>
              <w:t>Target Unit Product (Short) Name</w:t>
            </w:r>
          </w:p>
          <w:p w14:paraId="7CA1B2A0" w14:textId="77777777" w:rsidR="00682656" w:rsidRDefault="00682656" w:rsidP="00925CAD">
            <w:pPr>
              <w:pStyle w:val="StyleTableText9ptChar"/>
              <w:numPr>
                <w:ilvl w:val="0"/>
                <w:numId w:val="65"/>
              </w:numPr>
            </w:pPr>
            <w:r>
              <w:t>Target Expiration Date</w:t>
            </w:r>
          </w:p>
          <w:p w14:paraId="624EA84C" w14:textId="77777777" w:rsidR="00682656" w:rsidRDefault="00682656" w:rsidP="00925CAD">
            <w:pPr>
              <w:pStyle w:val="StyleTableText9ptChar"/>
              <w:numPr>
                <w:ilvl w:val="0"/>
                <w:numId w:val="65"/>
              </w:numPr>
            </w:pPr>
            <w:r>
              <w:t>Date/Time of Modification (transaction)</w:t>
            </w:r>
          </w:p>
          <w:p w14:paraId="7E9B5554" w14:textId="77777777" w:rsidR="00682656" w:rsidRDefault="00682656" w:rsidP="00925CAD">
            <w:pPr>
              <w:pStyle w:val="StyleTableText9ptChar"/>
              <w:numPr>
                <w:ilvl w:val="0"/>
                <w:numId w:val="65"/>
              </w:numPr>
            </w:pPr>
            <w:r>
              <w:t>Data Field User Entered Value or “no entry” if null</w:t>
            </w:r>
          </w:p>
          <w:p w14:paraId="28258309" w14:textId="77777777" w:rsidR="00682656" w:rsidRDefault="00682656" w:rsidP="00925CAD">
            <w:pPr>
              <w:pStyle w:val="StyleTableText9ptChar"/>
              <w:numPr>
                <w:ilvl w:val="0"/>
                <w:numId w:val="65"/>
              </w:numPr>
            </w:pPr>
            <w:r>
              <w:t>Data Field Correct or Expected Value</w:t>
            </w:r>
          </w:p>
          <w:p w14:paraId="4220AC23" w14:textId="6E9ACE95" w:rsidR="00682656" w:rsidRDefault="00682656" w:rsidP="00925CAD">
            <w:pPr>
              <w:pStyle w:val="StyleTableText9ptChar"/>
              <w:numPr>
                <w:ilvl w:val="0"/>
                <w:numId w:val="65"/>
              </w:numPr>
            </w:pPr>
            <w:r>
              <w:t>Comment</w:t>
            </w:r>
          </w:p>
          <w:p w14:paraId="7A789992" w14:textId="77777777" w:rsidR="00682656" w:rsidRDefault="00682656" w:rsidP="00925CAD">
            <w:pPr>
              <w:pStyle w:val="StyleTableText9ptChar"/>
              <w:numPr>
                <w:ilvl w:val="0"/>
                <w:numId w:val="65"/>
              </w:numPr>
            </w:pPr>
            <w:r>
              <w:t>Modifying Tech ID, print Tech name on report</w:t>
            </w:r>
          </w:p>
          <w:p w14:paraId="7FA87497" w14:textId="77777777" w:rsidR="00682656" w:rsidRDefault="00682656" w:rsidP="00925CAD">
            <w:pPr>
              <w:pStyle w:val="StyleTableText9ptChar"/>
              <w:numPr>
                <w:ilvl w:val="0"/>
                <w:numId w:val="65"/>
              </w:numPr>
            </w:pPr>
            <w:r>
              <w:t>Login Tech ID, print Tech name on report</w:t>
            </w:r>
          </w:p>
          <w:p w14:paraId="7C8DBD1D" w14:textId="77777777" w:rsidR="00682656" w:rsidRDefault="00682656" w:rsidP="00925CAD">
            <w:pPr>
              <w:pStyle w:val="StyleTableText9ptChar"/>
              <w:numPr>
                <w:ilvl w:val="0"/>
                <w:numId w:val="65"/>
              </w:numPr>
            </w:pPr>
            <w:r>
              <w:t>Division</w:t>
            </w:r>
          </w:p>
        </w:tc>
      </w:tr>
      <w:tr w:rsidR="002A21AE" w14:paraId="7A454AAF" w14:textId="77777777">
        <w:tc>
          <w:tcPr>
            <w:tcW w:w="3240" w:type="dxa"/>
          </w:tcPr>
          <w:p w14:paraId="73AC602F" w14:textId="77777777" w:rsidR="002A21AE" w:rsidRDefault="002A21AE">
            <w:pPr>
              <w:pStyle w:val="TableTextNumbers"/>
            </w:pPr>
            <w:r>
              <w:lastRenderedPageBreak/>
              <w:t>Scan or enter each label on the target unit.</w:t>
            </w:r>
          </w:p>
        </w:tc>
        <w:tc>
          <w:tcPr>
            <w:tcW w:w="6120" w:type="dxa"/>
          </w:tcPr>
          <w:p w14:paraId="36F2E129" w14:textId="77777777" w:rsidR="002A21AE" w:rsidRDefault="002A21AE">
            <w:pPr>
              <w:pStyle w:val="TableTextBullet"/>
            </w:pPr>
            <w:r>
              <w:t xml:space="preserve">Compares the data entered in each field to the database. </w:t>
            </w:r>
          </w:p>
          <w:p w14:paraId="1EB4C5ED" w14:textId="77777777" w:rsidR="002A21AE" w:rsidRDefault="002A21AE">
            <w:pPr>
              <w:pStyle w:val="TableTextBullet"/>
            </w:pPr>
            <w:r>
              <w:t>Asks whether the user wishes to save the data. When the user confirms that the data are correct, notifies him that the label verification is complete.</w:t>
            </w:r>
          </w:p>
          <w:p w14:paraId="1819DB62" w14:textId="77777777" w:rsidR="002A21AE" w:rsidRDefault="002A21AE">
            <w:pPr>
              <w:pStyle w:val="TableTextBullet"/>
            </w:pPr>
            <w:r>
              <w:rPr>
                <w:rFonts w:cs="Arial"/>
                <w:vanish/>
              </w:rPr>
              <w:t xml:space="preserve">BR_26.27 </w:t>
            </w:r>
            <w:r>
              <w:t xml:space="preserve">Records the modified or restriction-released unit relabeling data as part of the unit record and stores the data for inclusion in the unit </w:t>
            </w:r>
            <w:r w:rsidR="0051757B">
              <w:t>history</w:t>
            </w:r>
            <w:r>
              <w:t xml:space="preserve"> report.</w:t>
            </w:r>
          </w:p>
          <w:p w14:paraId="3302009D" w14:textId="77777777" w:rsidR="002A21AE" w:rsidRDefault="002A21AE">
            <w:pPr>
              <w:pStyle w:val="TableTextBullet"/>
              <w:tabs>
                <w:tab w:val="clear" w:pos="288"/>
              </w:tabs>
            </w:pPr>
            <w:r>
              <w:t>When the user confirms that the comparisons are correct, notifies him and asks whether he wishes to continue.</w:t>
            </w:r>
          </w:p>
          <w:p w14:paraId="6EDE61D9" w14:textId="77777777" w:rsidR="002A21AE" w:rsidRDefault="002A21AE">
            <w:pPr>
              <w:pStyle w:val="TableText"/>
            </w:pPr>
          </w:p>
          <w:p w14:paraId="645CA15D" w14:textId="3A200437" w:rsidR="002A21AE" w:rsidRDefault="002A21AE">
            <w:pPr>
              <w:pStyle w:val="TableText"/>
              <w:rPr>
                <w:b/>
                <w:bCs/>
                <w:szCs w:val="18"/>
              </w:rPr>
            </w:pPr>
            <w:r>
              <w:rPr>
                <w:b/>
                <w:bCs/>
                <w:szCs w:val="18"/>
              </w:rPr>
              <w:t>NOTES</w:t>
            </w:r>
          </w:p>
          <w:p w14:paraId="3FB7127B" w14:textId="77777777" w:rsidR="002A21AE" w:rsidRDefault="00E979DB">
            <w:pPr>
              <w:pStyle w:val="NotesText"/>
            </w:pPr>
            <w:r>
              <w:t xml:space="preserve"> </w:t>
            </w:r>
          </w:p>
          <w:p w14:paraId="6D4CDF42" w14:textId="77777777" w:rsidR="002A21AE" w:rsidRDefault="002A21AE">
            <w:pPr>
              <w:pStyle w:val="NotesText"/>
            </w:pPr>
            <w:r>
              <w:t xml:space="preserve">When there is no previous entry for a field, VBECS notifies the user and instructs him to enter a value or select </w:t>
            </w:r>
            <w:r w:rsidR="0082101B">
              <w:rPr>
                <w:b/>
              </w:rPr>
              <w:t>Cancel</w:t>
            </w:r>
            <w:r>
              <w:t>.</w:t>
            </w:r>
          </w:p>
          <w:p w14:paraId="391DDA5E" w14:textId="77777777" w:rsidR="002A21AE" w:rsidRDefault="002A21AE">
            <w:pPr>
              <w:pStyle w:val="NotesText"/>
            </w:pPr>
          </w:p>
          <w:p w14:paraId="494F177F" w14:textId="77777777" w:rsidR="002A21AE" w:rsidRDefault="00892350">
            <w:pPr>
              <w:pStyle w:val="NotesText"/>
            </w:pPr>
            <w:r>
              <w:t>VBECS requires a comment w</w:t>
            </w:r>
            <w:r w:rsidR="002A21AE">
              <w:t xml:space="preserve">hen the user selects </w:t>
            </w:r>
            <w:r w:rsidR="0082101B">
              <w:rPr>
                <w:b/>
              </w:rPr>
              <w:t>Cancel</w:t>
            </w:r>
            <w:r w:rsidR="002A21AE">
              <w:t>, and captures details for inclusion in an Exception Report (exception type: target product label failed checks).</w:t>
            </w:r>
          </w:p>
        </w:tc>
      </w:tr>
      <w:tr w:rsidR="002A21AE" w14:paraId="3EBDA77C" w14:textId="77777777">
        <w:tc>
          <w:tcPr>
            <w:tcW w:w="3240" w:type="dxa"/>
          </w:tcPr>
          <w:p w14:paraId="4F4F1CD3" w14:textId="77777777" w:rsidR="002A21AE" w:rsidRDefault="002A21AE">
            <w:pPr>
              <w:pStyle w:val="TableTextNumbers"/>
            </w:pPr>
            <w:r>
              <w:t xml:space="preserve">Click </w:t>
            </w:r>
            <w:r>
              <w:rPr>
                <w:b/>
              </w:rPr>
              <w:t>OK</w:t>
            </w:r>
            <w:r>
              <w:t xml:space="preserve"> to confirm the save.</w:t>
            </w:r>
          </w:p>
        </w:tc>
        <w:tc>
          <w:tcPr>
            <w:tcW w:w="6120" w:type="dxa"/>
          </w:tcPr>
          <w:p w14:paraId="2911B13B" w14:textId="77777777" w:rsidR="002A21AE" w:rsidRDefault="002A21AE">
            <w:pPr>
              <w:pStyle w:val="TableTextBullet"/>
              <w:tabs>
                <w:tab w:val="clear" w:pos="288"/>
              </w:tabs>
            </w:pPr>
            <w:r>
              <w:t>Saves the new modified unit data.</w:t>
            </w:r>
          </w:p>
          <w:p w14:paraId="26C8F176" w14:textId="77777777" w:rsidR="002A21AE" w:rsidRDefault="002A21AE">
            <w:pPr>
              <w:pStyle w:val="TableTextBullet"/>
              <w:tabs>
                <w:tab w:val="clear" w:pos="288"/>
              </w:tabs>
            </w:pPr>
            <w:r>
              <w:t>Updates the status of the original unit to “modified.”</w:t>
            </w:r>
          </w:p>
          <w:p w14:paraId="05E40B38" w14:textId="77777777" w:rsidR="00EE2911" w:rsidRDefault="00EE2911">
            <w:pPr>
              <w:pStyle w:val="TableTextBullet"/>
              <w:tabs>
                <w:tab w:val="clear" w:pos="288"/>
              </w:tabs>
            </w:pPr>
            <w:r>
              <w:t>Records the unit ID of the target unit on the record of the original unit.</w:t>
            </w:r>
          </w:p>
          <w:p w14:paraId="188F2489" w14:textId="77777777" w:rsidR="002A21AE" w:rsidRDefault="002A21AE">
            <w:pPr>
              <w:pStyle w:val="TableTextBullet"/>
              <w:tabs>
                <w:tab w:val="clear" w:pos="288"/>
              </w:tabs>
            </w:pPr>
            <w:r>
              <w:t>Prompts the user to modify another unit.</w:t>
            </w:r>
          </w:p>
          <w:p w14:paraId="4679504B" w14:textId="77777777" w:rsidR="002A21AE" w:rsidRDefault="002A21AE">
            <w:pPr>
              <w:pStyle w:val="TableText"/>
            </w:pPr>
          </w:p>
          <w:p w14:paraId="370A33C0" w14:textId="794E8A8B" w:rsidR="002A21AE" w:rsidRDefault="002A21AE">
            <w:pPr>
              <w:pStyle w:val="TableText"/>
              <w:rPr>
                <w:b/>
                <w:bCs/>
                <w:szCs w:val="18"/>
              </w:rPr>
            </w:pPr>
            <w:r>
              <w:rPr>
                <w:b/>
                <w:bCs/>
                <w:szCs w:val="18"/>
              </w:rPr>
              <w:t>NOTES</w:t>
            </w:r>
          </w:p>
          <w:p w14:paraId="1D7012CF" w14:textId="77777777" w:rsidR="002A21AE" w:rsidRDefault="002A21AE">
            <w:pPr>
              <w:pStyle w:val="NotesText"/>
            </w:pPr>
          </w:p>
          <w:p w14:paraId="6F8E62AB" w14:textId="77777777" w:rsidR="002A21AE" w:rsidRDefault="002A21AE">
            <w:pPr>
              <w:pStyle w:val="NotesText"/>
              <w:rPr>
                <w:i/>
              </w:rPr>
            </w:pPr>
            <w:r>
              <w:rPr>
                <w:rFonts w:cs="Arial"/>
                <w:vanish/>
              </w:rPr>
              <w:t xml:space="preserve">BR_26.15 </w:t>
            </w:r>
            <w:r>
              <w:t>The target unit automatically inh</w:t>
            </w:r>
            <w:r w:rsidR="00131240">
              <w:t>erits original unit data</w:t>
            </w:r>
            <w:r>
              <w:t>:</w:t>
            </w:r>
            <w:r>
              <w:rPr>
                <w:i/>
              </w:rPr>
              <w:t xml:space="preserve"> </w:t>
            </w:r>
          </w:p>
          <w:p w14:paraId="446C214C" w14:textId="77777777" w:rsidR="00391084" w:rsidRDefault="00391084">
            <w:pPr>
              <w:pStyle w:val="NotesTextBullet"/>
            </w:pPr>
            <w:r>
              <w:t>Additional unit testing (CMV, Sickle Cell, antigen typings, = &gt; 2 mL RBC contamination)</w:t>
            </w:r>
          </w:p>
          <w:p w14:paraId="03463F19" w14:textId="77777777" w:rsidR="002A21AE" w:rsidRDefault="002A21AE">
            <w:pPr>
              <w:pStyle w:val="NotesTextBullet"/>
            </w:pPr>
            <w:r>
              <w:t>Unit ABO/Rh (from login)</w:t>
            </w:r>
          </w:p>
          <w:p w14:paraId="38EF576F" w14:textId="77777777" w:rsidR="002A21AE" w:rsidRDefault="002A21AE">
            <w:pPr>
              <w:pStyle w:val="NotesTextBullet"/>
            </w:pPr>
            <w:r>
              <w:lastRenderedPageBreak/>
              <w:t>ABO/Rh confirmation testing information (when performed)</w:t>
            </w:r>
          </w:p>
          <w:p w14:paraId="50F9FD64" w14:textId="77777777" w:rsidR="002A21AE" w:rsidRDefault="002A21AE">
            <w:pPr>
              <w:pStyle w:val="NotesTextBullet"/>
            </w:pPr>
            <w:r>
              <w:t>Unit ID</w:t>
            </w:r>
          </w:p>
          <w:p w14:paraId="217ABB6C" w14:textId="77777777" w:rsidR="002A21AE" w:rsidRDefault="002A21AE">
            <w:pPr>
              <w:pStyle w:val="NotesTextBullet"/>
            </w:pPr>
            <w:r>
              <w:t xml:space="preserve">Unit Volume </w:t>
            </w:r>
            <w:r w:rsidR="0039034C">
              <w:t>(exceptions – target unit created as a result of Split or Volume Reduce does not inherit original unit volume. Target unit volume must be manually entered for volume reduced units)</w:t>
            </w:r>
          </w:p>
          <w:p w14:paraId="7C74ECC2" w14:textId="77777777" w:rsidR="002A21AE" w:rsidRDefault="002A21AE">
            <w:pPr>
              <w:pStyle w:val="NotesTextBullet"/>
            </w:pPr>
            <w:r>
              <w:t>Donation type</w:t>
            </w:r>
          </w:p>
          <w:p w14:paraId="2CABB61B" w14:textId="77777777" w:rsidR="002A21AE" w:rsidRDefault="002A21AE">
            <w:pPr>
              <w:pStyle w:val="NotesTextBullet"/>
            </w:pPr>
            <w:r>
              <w:t>Disease marker testing information, when autologous.</w:t>
            </w:r>
          </w:p>
          <w:p w14:paraId="5275E560" w14:textId="77777777" w:rsidR="002A21AE" w:rsidRDefault="002A21AE">
            <w:pPr>
              <w:pStyle w:val="NotesTextBullet"/>
            </w:pPr>
            <w:r>
              <w:t>Restricted for patient name, ID.</w:t>
            </w:r>
          </w:p>
          <w:p w14:paraId="0FED7D3A" w14:textId="77777777" w:rsidR="002A21AE" w:rsidRDefault="002A21AE">
            <w:pPr>
              <w:pStyle w:val="NotesTextBullet"/>
            </w:pPr>
            <w:r>
              <w:t>Current status</w:t>
            </w:r>
          </w:p>
          <w:p w14:paraId="24E9DC62" w14:textId="77777777" w:rsidR="002A21AE" w:rsidRDefault="002A21AE">
            <w:pPr>
              <w:pStyle w:val="NotesTextBullet"/>
            </w:pPr>
            <w:r>
              <w:t>Biohazard Indicator</w:t>
            </w:r>
          </w:p>
          <w:p w14:paraId="3AB86BED" w14:textId="77777777" w:rsidR="002A21AE" w:rsidRDefault="002A21AE">
            <w:pPr>
              <w:pStyle w:val="NotesTextBullet"/>
            </w:pPr>
            <w:r>
              <w:t>Quarantine Indicator</w:t>
            </w:r>
          </w:p>
          <w:p w14:paraId="50113225" w14:textId="77777777" w:rsidR="002A21AE" w:rsidRDefault="002A21AE" w:rsidP="00391084">
            <w:pPr>
              <w:pStyle w:val="NotesTextBullet"/>
            </w:pPr>
            <w:r>
              <w:t>Division</w:t>
            </w:r>
          </w:p>
        </w:tc>
      </w:tr>
      <w:tr w:rsidR="002A21AE" w14:paraId="49727980" w14:textId="77777777">
        <w:tc>
          <w:tcPr>
            <w:tcW w:w="3240" w:type="dxa"/>
          </w:tcPr>
          <w:p w14:paraId="0CCF050F" w14:textId="2A0490B2" w:rsidR="002A21AE" w:rsidRDefault="002A21AE">
            <w:pPr>
              <w:pStyle w:val="TableTextNumbers"/>
            </w:pPr>
            <w:r>
              <w:lastRenderedPageBreak/>
              <w:t>Repeat Steps 3</w:t>
            </w:r>
            <w:r w:rsidR="004F5589">
              <w:t xml:space="preserve"> through </w:t>
            </w:r>
            <w:r>
              <w:t xml:space="preserve">14 to modify another unit or exit. </w:t>
            </w:r>
            <w:r>
              <w:rPr>
                <w:vanish/>
                <w:color w:val="FFFFFF"/>
                <w:szCs w:val="18"/>
              </w:rPr>
              <w:fldChar w:fldCharType="begin"/>
            </w:r>
            <w:r>
              <w:rPr>
                <w:vanish/>
                <w:color w:val="FFFFFF"/>
                <w:szCs w:val="18"/>
              </w:rPr>
              <w:instrText xml:space="preserve"> LISTNUM \l 1 \s 0 </w:instrText>
            </w:r>
            <w:r>
              <w:rPr>
                <w:vanish/>
                <w:color w:val="FFFFFF"/>
                <w:szCs w:val="18"/>
              </w:rPr>
              <w:fldChar w:fldCharType="end">
                <w:numberingChange w:id="342" w:author="MUSZYNSKI, THOMAS D. (SIERRA 7 INC)" w:date="2024-11-26T07:15:00Z" w:original="0."/>
              </w:fldChar>
            </w:r>
          </w:p>
        </w:tc>
        <w:tc>
          <w:tcPr>
            <w:tcW w:w="6120" w:type="dxa"/>
          </w:tcPr>
          <w:p w14:paraId="7D01CF16" w14:textId="77777777" w:rsidR="002A21AE" w:rsidRDefault="002A21AE">
            <w:pPr>
              <w:pStyle w:val="TableText"/>
            </w:pPr>
          </w:p>
        </w:tc>
      </w:tr>
    </w:tbl>
    <w:p w14:paraId="47ABFCBD" w14:textId="4D2A8BA0" w:rsidR="001B4885" w:rsidRDefault="001B4885" w:rsidP="001B4885">
      <w:pPr>
        <w:pStyle w:val="Caption"/>
      </w:pPr>
      <w:bookmarkStart w:id="343" w:name="_Ref126649536"/>
      <w:bookmarkStart w:id="344" w:name="_Ref23852327"/>
      <w:bookmarkStart w:id="345" w:name="_Toc94349322"/>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7D1829">
        <w:rPr>
          <w:noProof/>
        </w:rPr>
        <w:t>61</w:t>
      </w:r>
      <w:r w:rsidR="004E20BD">
        <w:rPr>
          <w:noProof/>
        </w:rPr>
        <w:fldChar w:fldCharType="end"/>
      </w:r>
      <w:bookmarkEnd w:id="343"/>
      <w:r>
        <w:t>: Modify Unit(s)</w:t>
      </w:r>
      <w:bookmarkEnd w:id="344"/>
    </w:p>
    <w:p w14:paraId="2C0BC550" w14:textId="734E5C47" w:rsidR="001B4885" w:rsidRDefault="00570C93" w:rsidP="00AB1E83">
      <w:pPr>
        <w:pStyle w:val="BodyText"/>
      </w:pPr>
      <w:r>
        <w:rPr>
          <w:noProof/>
        </w:rPr>
        <w:drawing>
          <wp:inline distT="0" distB="0" distL="0" distR="0" wp14:anchorId="0777C66E" wp14:editId="00E015E6">
            <wp:extent cx="3752850" cy="4965700"/>
            <wp:effectExtent l="0" t="0" r="0" b="6350"/>
            <wp:docPr id="64" name="Picture 64" descr="Example of Modify Unit(s)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Picture 64" descr="Example of Modify Unit(s) screen capture"/>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3752850" cy="4965700"/>
                    </a:xfrm>
                    <a:prstGeom prst="rect">
                      <a:avLst/>
                    </a:prstGeom>
                    <a:noFill/>
                    <a:ln>
                      <a:noFill/>
                    </a:ln>
                  </pic:spPr>
                </pic:pic>
              </a:graphicData>
            </a:graphic>
          </wp:inline>
        </w:drawing>
      </w:r>
    </w:p>
    <w:p w14:paraId="5A9D620E" w14:textId="055EC3DE" w:rsidR="00443BD5" w:rsidRDefault="00443BD5" w:rsidP="00443BD5">
      <w:pPr>
        <w:pStyle w:val="Caption"/>
      </w:pPr>
      <w:bookmarkStart w:id="346" w:name="_Ref126650409"/>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7D1829">
        <w:rPr>
          <w:noProof/>
        </w:rPr>
        <w:t>62</w:t>
      </w:r>
      <w:r w:rsidR="004E20BD">
        <w:rPr>
          <w:noProof/>
        </w:rPr>
        <w:fldChar w:fldCharType="end"/>
      </w:r>
      <w:bookmarkEnd w:id="346"/>
      <w:r>
        <w:t>: Split/Divide Unit</w:t>
      </w:r>
    </w:p>
    <w:p w14:paraId="62C7A4AD" w14:textId="56AE3E47" w:rsidR="00443BD5" w:rsidRDefault="00570C93" w:rsidP="00443BD5">
      <w:pPr>
        <w:pStyle w:val="BodyText"/>
      </w:pPr>
      <w:r>
        <w:rPr>
          <w:noProof/>
        </w:rPr>
        <w:drawing>
          <wp:inline distT="0" distB="0" distL="0" distR="0" wp14:anchorId="5653F3A0" wp14:editId="72CE6C76">
            <wp:extent cx="5943600" cy="4898390"/>
            <wp:effectExtent l="0" t="0" r="0" b="0"/>
            <wp:docPr id="55" name="Picture 55" descr="Example of Split/Divide Unit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55" descr="Example of Split/Divide Unit screen capture"/>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5943600" cy="4898390"/>
                    </a:xfrm>
                    <a:prstGeom prst="rect">
                      <a:avLst/>
                    </a:prstGeom>
                    <a:noFill/>
                    <a:ln>
                      <a:noFill/>
                    </a:ln>
                  </pic:spPr>
                </pic:pic>
              </a:graphicData>
            </a:graphic>
          </wp:inline>
        </w:drawing>
      </w:r>
    </w:p>
    <w:p w14:paraId="200568C7" w14:textId="732C4C20" w:rsidR="00051E30" w:rsidRDefault="00051E30" w:rsidP="00051E30">
      <w:pPr>
        <w:pStyle w:val="Caption"/>
      </w:pPr>
      <w:bookmarkStart w:id="347" w:name="_Ref126650852"/>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7D1829">
        <w:rPr>
          <w:noProof/>
        </w:rPr>
        <w:t>63</w:t>
      </w:r>
      <w:r w:rsidR="004E20BD">
        <w:rPr>
          <w:noProof/>
        </w:rPr>
        <w:fldChar w:fldCharType="end"/>
      </w:r>
      <w:bookmarkEnd w:id="347"/>
      <w:r>
        <w:t>: Verify Printed Label</w:t>
      </w:r>
    </w:p>
    <w:p w14:paraId="0A914B4D" w14:textId="2923D8AD" w:rsidR="00051E30" w:rsidRDefault="008C4FF4" w:rsidP="00443BD5">
      <w:pPr>
        <w:pStyle w:val="BodyText"/>
      </w:pPr>
      <w:r w:rsidRPr="008C4FF4">
        <w:t xml:space="preserve"> </w:t>
      </w:r>
      <w:r w:rsidR="00653A4D">
        <w:rPr>
          <w:noProof/>
        </w:rPr>
        <w:drawing>
          <wp:inline distT="0" distB="0" distL="0" distR="0" wp14:anchorId="4BD7D278" wp14:editId="14C1572C">
            <wp:extent cx="5905500" cy="3695700"/>
            <wp:effectExtent l="0" t="0" r="0" b="0"/>
            <wp:docPr id="171" name="Picture 171" descr="Example of Verify Printed Label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Picture 69" descr="Example of Verify Printed Label screen capture"/>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5905500" cy="3695700"/>
                    </a:xfrm>
                    <a:prstGeom prst="rect">
                      <a:avLst/>
                    </a:prstGeom>
                    <a:noFill/>
                    <a:ln>
                      <a:noFill/>
                    </a:ln>
                  </pic:spPr>
                </pic:pic>
              </a:graphicData>
            </a:graphic>
          </wp:inline>
        </w:drawing>
      </w:r>
    </w:p>
    <w:p w14:paraId="03027483" w14:textId="77777777" w:rsidR="002A21AE" w:rsidRDefault="00263B24">
      <w:pPr>
        <w:pStyle w:val="Heading4"/>
      </w:pPr>
      <w:r w:rsidRPr="00896F17">
        <w:rPr>
          <w:rStyle w:val="BullhornChar"/>
        </w:rPr>
        <w:t></w:t>
      </w:r>
      <w:r>
        <w:rPr>
          <w:rFonts w:ascii="Webdings" w:hAnsi="Webdings"/>
        </w:rPr>
        <w:t></w:t>
      </w:r>
      <w:r>
        <w:t>A</w:t>
      </w:r>
      <w:r w:rsidR="002A21AE">
        <w:t>lerts</w:t>
      </w:r>
      <w:bookmarkEnd w:id="345"/>
    </w:p>
    <w:p w14:paraId="103C6729" w14:textId="05A3C9B7" w:rsidR="002A21AE" w:rsidRDefault="00B94CA8" w:rsidP="00B94CA8">
      <w:pPr>
        <w:pStyle w:val="Caption"/>
      </w:pPr>
      <w:bookmarkStart w:id="348" w:name="_Ref509898996"/>
      <w:r>
        <w:t xml:space="preserve">Table </w:t>
      </w:r>
      <w:r w:rsidR="004E20BD">
        <w:rPr>
          <w:noProof/>
        </w:rPr>
        <w:fldChar w:fldCharType="begin"/>
      </w:r>
      <w:r w:rsidR="004E20BD">
        <w:rPr>
          <w:noProof/>
        </w:rPr>
        <w:instrText xml:space="preserve"> SEQ Table \* ARABIC </w:instrText>
      </w:r>
      <w:r w:rsidR="004E20BD">
        <w:rPr>
          <w:noProof/>
        </w:rPr>
        <w:fldChar w:fldCharType="separate"/>
      </w:r>
      <w:r w:rsidR="007D1829">
        <w:rPr>
          <w:noProof/>
        </w:rPr>
        <w:t>5</w:t>
      </w:r>
      <w:r w:rsidR="004E20BD">
        <w:rPr>
          <w:noProof/>
        </w:rPr>
        <w:fldChar w:fldCharType="end"/>
      </w:r>
      <w:bookmarkEnd w:id="348"/>
      <w:r>
        <w:t>: Alerts That May Occur in Modify Units</w:t>
      </w:r>
      <w:r w:rsidR="00812371">
        <w:fldChar w:fldCharType="begin"/>
      </w:r>
      <w:r w:rsidR="00812371">
        <w:instrText xml:space="preserve"> XE "Tables:Alerts That May Occur in Modify Units" </w:instrText>
      </w:r>
      <w:r w:rsidR="00812371">
        <w:fldChar w:fldCharType="end"/>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80"/>
        <w:gridCol w:w="8580"/>
      </w:tblGrid>
      <w:tr w:rsidR="002A21AE" w14:paraId="6A2778D7" w14:textId="77777777" w:rsidTr="004A7B44">
        <w:trPr>
          <w:cantSplit/>
          <w:tblHeader/>
        </w:trPr>
        <w:tc>
          <w:tcPr>
            <w:tcW w:w="780" w:type="dxa"/>
            <w:shd w:val="clear" w:color="auto" w:fill="B3B3B3"/>
          </w:tcPr>
          <w:p w14:paraId="784E51C1" w14:textId="77777777" w:rsidR="002A21AE" w:rsidRDefault="002A21AE">
            <w:pPr>
              <w:pStyle w:val="TableText"/>
              <w:rPr>
                <w:b/>
              </w:rPr>
            </w:pPr>
            <w:r>
              <w:rPr>
                <w:b/>
              </w:rPr>
              <w:t>Step</w:t>
            </w:r>
          </w:p>
        </w:tc>
        <w:tc>
          <w:tcPr>
            <w:tcW w:w="8580" w:type="dxa"/>
            <w:shd w:val="clear" w:color="auto" w:fill="B3B3B3"/>
          </w:tcPr>
          <w:p w14:paraId="6FA3635A" w14:textId="77777777" w:rsidR="002A21AE" w:rsidRDefault="002A21AE">
            <w:pPr>
              <w:pStyle w:val="TableText"/>
              <w:rPr>
                <w:b/>
              </w:rPr>
            </w:pPr>
            <w:r>
              <w:rPr>
                <w:b/>
              </w:rPr>
              <w:t>Alerts</w:t>
            </w:r>
          </w:p>
        </w:tc>
      </w:tr>
      <w:tr w:rsidR="002A21AE" w14:paraId="7A514020" w14:textId="77777777" w:rsidTr="004A7B44">
        <w:trPr>
          <w:cantSplit/>
        </w:trPr>
        <w:tc>
          <w:tcPr>
            <w:tcW w:w="780" w:type="dxa"/>
          </w:tcPr>
          <w:p w14:paraId="0753C7C5" w14:textId="77777777" w:rsidR="002A21AE" w:rsidRDefault="002A21AE">
            <w:pPr>
              <w:pStyle w:val="TableText"/>
            </w:pPr>
            <w:r>
              <w:t>6</w:t>
            </w:r>
          </w:p>
        </w:tc>
        <w:tc>
          <w:tcPr>
            <w:tcW w:w="8580" w:type="dxa"/>
          </w:tcPr>
          <w:p w14:paraId="3423871E" w14:textId="77777777" w:rsidR="002A21AE" w:rsidRDefault="002A21AE">
            <w:pPr>
              <w:pStyle w:val="TableText"/>
            </w:pPr>
            <w:r w:rsidRPr="002D7202">
              <w:rPr>
                <w:rFonts w:cs="Arial"/>
                <w:vanish/>
                <w:color w:val="0000FF"/>
                <w:szCs w:val="18"/>
              </w:rPr>
              <w:t>BR_26.03</w:t>
            </w:r>
            <w:r w:rsidR="00CE3961" w:rsidRPr="00CE3961">
              <w:rPr>
                <w:vanish/>
                <w:szCs w:val="18"/>
              </w:rPr>
              <w:t>,</w:t>
            </w:r>
            <w:r w:rsidRPr="00CE3961">
              <w:rPr>
                <w:vanish/>
                <w:szCs w:val="18"/>
              </w:rPr>
              <w:t xml:space="preserve"> </w:t>
            </w:r>
            <w:r>
              <w:rPr>
                <w:vanish/>
                <w:szCs w:val="18"/>
              </w:rPr>
              <w:t xml:space="preserve">BR_26.44 </w:t>
            </w:r>
            <w:r>
              <w:t xml:space="preserve">VBECS compares the original unit’s expiration date and time to those of the modification to determine whether the selected unit was expired at the time of modification. When the user is a Blood Bank Technologist and the unit selected for modification expired, VBECS </w:t>
            </w:r>
            <w:r w:rsidR="007313EB">
              <w:t xml:space="preserve">emits an audible alert, </w:t>
            </w:r>
            <w:r>
              <w:t>displays an error message, clears the selected unit, and allows the user to select another unit for modification.</w:t>
            </w:r>
          </w:p>
          <w:p w14:paraId="5203465D" w14:textId="77777777" w:rsidR="002A21AE" w:rsidRDefault="002A21AE">
            <w:pPr>
              <w:pStyle w:val="TableText"/>
            </w:pPr>
          </w:p>
          <w:p w14:paraId="62AF4E07" w14:textId="5867EC46" w:rsidR="002A21AE" w:rsidRDefault="002A21AE">
            <w:pPr>
              <w:pStyle w:val="TableTextBullet1"/>
              <w:numPr>
                <w:ilvl w:val="0"/>
                <w:numId w:val="0"/>
              </w:numPr>
            </w:pPr>
            <w:r w:rsidRPr="00EC7489">
              <w:rPr>
                <w:rFonts w:ascii="Wingdings 3" w:hAnsi="Wingdings 3" w:cs="Wingdings"/>
              </w:rPr>
              <w:t></w:t>
            </w:r>
            <w:r w:rsidRPr="00EC7489">
              <w:rPr>
                <w:rFonts w:ascii="Wingdings 3" w:hAnsi="Wingdings 3" w:cs="Wingdings"/>
              </w:rPr>
              <w:t></w:t>
            </w:r>
            <w:r>
              <w:t xml:space="preserve"> When the user is an Enhanced Technologist and the unit selected for modification is expired, VBECS emits an audible alert, notifies the user, and asks him to verify to continue, or cancel to correct the entry data. </w:t>
            </w:r>
            <w:r w:rsidR="00692DD1">
              <w:rPr>
                <w:b/>
              </w:rPr>
              <w:t>Override</w:t>
            </w:r>
            <w:r w:rsidR="00692DD1">
              <w:t xml:space="preserve"> </w:t>
            </w:r>
            <w:r>
              <w:t xml:space="preserve">requires a comment </w:t>
            </w:r>
            <w:r w:rsidR="003726A9">
              <w:t>from</w:t>
            </w:r>
            <w:r w:rsidR="002E3561">
              <w:t xml:space="preserve"> the “Unit Modification” context </w:t>
            </w:r>
            <w:r>
              <w:t xml:space="preserve">and VBECS captures details for inclusion in an Exception Report (exception type: expires unit modified). </w:t>
            </w:r>
            <w:r>
              <w:rPr>
                <w:b/>
              </w:rPr>
              <w:t>Cancel</w:t>
            </w:r>
            <w:r>
              <w:t xml:space="preserve"> clears the selected unit and allows the user to select another unit for modification.</w:t>
            </w:r>
          </w:p>
        </w:tc>
      </w:tr>
      <w:tr w:rsidR="002A21AE" w14:paraId="329DA3A7" w14:textId="77777777" w:rsidTr="004A7B44">
        <w:trPr>
          <w:cantSplit/>
        </w:trPr>
        <w:tc>
          <w:tcPr>
            <w:tcW w:w="780" w:type="dxa"/>
          </w:tcPr>
          <w:p w14:paraId="1A1606CF" w14:textId="77777777" w:rsidR="002A21AE" w:rsidRDefault="002A21AE">
            <w:pPr>
              <w:pStyle w:val="TableText"/>
            </w:pPr>
            <w:r>
              <w:t>6</w:t>
            </w:r>
          </w:p>
        </w:tc>
        <w:tc>
          <w:tcPr>
            <w:tcW w:w="8580" w:type="dxa"/>
          </w:tcPr>
          <w:p w14:paraId="5A0FFE5A" w14:textId="77777777" w:rsidR="002A21AE" w:rsidRDefault="002A21AE">
            <w:pPr>
              <w:pStyle w:val="TableText"/>
            </w:pPr>
            <w:r w:rsidRPr="00317A8A">
              <w:rPr>
                <w:rFonts w:cs="Arial"/>
                <w:vanish/>
                <w:color w:val="0000FF"/>
              </w:rPr>
              <w:t>BR_26.07</w:t>
            </w:r>
            <w:r>
              <w:rPr>
                <w:rFonts w:cs="Arial"/>
                <w:vanish/>
              </w:rPr>
              <w:t xml:space="preserve"> </w:t>
            </w:r>
            <w:r>
              <w:t>When ABO/Rh confirmation testing is required but not performed, VBECS notifies the user that testing must be completed before issuing a target unit. The user may continue with the modification.</w:t>
            </w:r>
          </w:p>
        </w:tc>
      </w:tr>
      <w:tr w:rsidR="002A21AE" w14:paraId="044B4FF4" w14:textId="77777777" w:rsidTr="004A7B44">
        <w:trPr>
          <w:cantSplit/>
        </w:trPr>
        <w:tc>
          <w:tcPr>
            <w:tcW w:w="780" w:type="dxa"/>
          </w:tcPr>
          <w:p w14:paraId="649C1927" w14:textId="77777777" w:rsidR="002A21AE" w:rsidRDefault="002A21AE">
            <w:pPr>
              <w:pStyle w:val="TableText"/>
            </w:pPr>
            <w:r>
              <w:t>6</w:t>
            </w:r>
          </w:p>
        </w:tc>
        <w:tc>
          <w:tcPr>
            <w:tcW w:w="8580" w:type="dxa"/>
          </w:tcPr>
          <w:p w14:paraId="537DE50D" w14:textId="77777777" w:rsidR="00A36571" w:rsidRDefault="00A36571" w:rsidP="00A36571">
            <w:pPr>
              <w:pStyle w:val="TableText"/>
            </w:pPr>
            <w:r w:rsidRPr="004A4EC2">
              <w:rPr>
                <w:rFonts w:cs="Arial"/>
                <w:vanish/>
                <w:color w:val="0000FF"/>
              </w:rPr>
              <w:t>BR_26.05</w:t>
            </w:r>
            <w:r>
              <w:rPr>
                <w:rFonts w:cs="Arial"/>
                <w:vanish/>
              </w:rPr>
              <w:t xml:space="preserve"> </w:t>
            </w:r>
            <w:r>
              <w:t>When a unit has an indicator of “quarantined,” VBECS notifies the user that it must be released before processing may continue, clears the selected unit, and allows the user to select another unit.</w:t>
            </w:r>
          </w:p>
          <w:p w14:paraId="1FC9158B" w14:textId="77777777" w:rsidR="00A36571" w:rsidRDefault="00A36571" w:rsidP="00A36571">
            <w:pPr>
              <w:pStyle w:val="TableText"/>
            </w:pPr>
          </w:p>
          <w:p w14:paraId="004C259B" w14:textId="77777777" w:rsidR="002A21AE" w:rsidRDefault="00A36571" w:rsidP="00A36571">
            <w:pPr>
              <w:pStyle w:val="TableText"/>
            </w:pPr>
            <w:r w:rsidRPr="004A4EC2">
              <w:rPr>
                <w:rFonts w:cs="Arial"/>
                <w:vanish/>
                <w:color w:val="0000FF"/>
              </w:rPr>
              <w:t>BR_26.06</w:t>
            </w:r>
            <w:r>
              <w:rPr>
                <w:rFonts w:cs="Arial"/>
                <w:vanish/>
              </w:rPr>
              <w:t xml:space="preserve"> </w:t>
            </w:r>
            <w:r w:rsidRPr="00EC7489">
              <w:rPr>
                <w:rFonts w:ascii="Wingdings 3" w:hAnsi="Wingdings 3" w:cs="Wingdings"/>
              </w:rPr>
              <w:t></w:t>
            </w:r>
            <w:r w:rsidRPr="00EC7489">
              <w:rPr>
                <w:rFonts w:ascii="Wingdings 3" w:hAnsi="Wingdings 3" w:cs="Wingdings"/>
              </w:rPr>
              <w:t></w:t>
            </w:r>
            <w:r>
              <w:t xml:space="preserve"> When the user is an Enhanced Technologist and a unit has an indicator of “quarantined,” VBECS notifies the user that it must be released before processing may continue and asks whether the user wishes to release the unit. </w:t>
            </w:r>
            <w:r>
              <w:rPr>
                <w:b/>
              </w:rPr>
              <w:t>Cancel</w:t>
            </w:r>
            <w:r>
              <w:t xml:space="preserve"> clears the selected unit and allows the user to select another unit. </w:t>
            </w:r>
            <w:r>
              <w:rPr>
                <w:b/>
              </w:rPr>
              <w:t>Override</w:t>
            </w:r>
            <w:r>
              <w:t xml:space="preserve"> releases the unit through Discard or Quarantine.</w:t>
            </w:r>
          </w:p>
        </w:tc>
      </w:tr>
      <w:tr w:rsidR="002A21AE" w14:paraId="0A5C75D6" w14:textId="77777777" w:rsidTr="004A7B44">
        <w:trPr>
          <w:cantSplit/>
        </w:trPr>
        <w:tc>
          <w:tcPr>
            <w:tcW w:w="780" w:type="dxa"/>
          </w:tcPr>
          <w:p w14:paraId="5846F04C" w14:textId="77777777" w:rsidR="002A21AE" w:rsidRDefault="002A21AE">
            <w:pPr>
              <w:pStyle w:val="TableText"/>
            </w:pPr>
            <w:r>
              <w:lastRenderedPageBreak/>
              <w:t>6</w:t>
            </w:r>
          </w:p>
        </w:tc>
        <w:tc>
          <w:tcPr>
            <w:tcW w:w="8580" w:type="dxa"/>
          </w:tcPr>
          <w:p w14:paraId="347D85B6" w14:textId="77777777" w:rsidR="002A21AE" w:rsidRDefault="002A21AE">
            <w:pPr>
              <w:pStyle w:val="TableText"/>
            </w:pPr>
            <w:r w:rsidRPr="00150E0F">
              <w:rPr>
                <w:rFonts w:cs="Arial"/>
                <w:vanish/>
                <w:color w:val="0000FF"/>
              </w:rPr>
              <w:t>BR_26.42</w:t>
            </w:r>
            <w:r>
              <w:rPr>
                <w:rFonts w:cs="Arial"/>
                <w:vanish/>
              </w:rPr>
              <w:t xml:space="preserve"> </w:t>
            </w:r>
            <w:r>
              <w:t xml:space="preserve">When the selected unit has a positive biohazard Indicator, </w:t>
            </w:r>
            <w:r w:rsidR="00796883">
              <w:t>VBECS will not allow modification unless the user role is Enhanced Technologist, VBECS security levels 2 and above. When the user role is Technologist, VBECS security level 1, the system emits an audible alert and displays a warning message stating that the user does not have the proper security to perform this function. The system does not allow an override.</w:t>
            </w:r>
          </w:p>
          <w:p w14:paraId="4E7F729B" w14:textId="77777777" w:rsidR="00796883" w:rsidRDefault="00796883">
            <w:pPr>
              <w:pStyle w:val="TableText"/>
            </w:pPr>
            <w:r>
              <w:t>When the user role is Enhanced Technologist, VBECS security levels 2 and above, VBECS provides an audible alert and displays a warning message: "&lt;Unit ID, Product Name&gt; is Biohazardous. Do you wish to continue with the modification?" If the user responds “No,” the unit is cleared from the screen and a new unit can be selected. If the user responds “Yes,” a comment (context: Unit modification) is required. Details of this override are captured for inclusion in an exception report.</w:t>
            </w:r>
          </w:p>
        </w:tc>
      </w:tr>
      <w:tr w:rsidR="002A21AE" w14:paraId="1FC49BD6" w14:textId="77777777" w:rsidTr="004A7B44">
        <w:trPr>
          <w:cantSplit/>
        </w:trPr>
        <w:tc>
          <w:tcPr>
            <w:tcW w:w="780" w:type="dxa"/>
          </w:tcPr>
          <w:p w14:paraId="182137D6" w14:textId="77777777" w:rsidR="002A21AE" w:rsidRDefault="007B681E">
            <w:pPr>
              <w:pStyle w:val="TableText"/>
            </w:pPr>
            <w:r>
              <w:t>8</w:t>
            </w:r>
          </w:p>
        </w:tc>
        <w:tc>
          <w:tcPr>
            <w:tcW w:w="8580" w:type="dxa"/>
          </w:tcPr>
          <w:p w14:paraId="4D67BCD8" w14:textId="77777777" w:rsidR="002A21AE" w:rsidRDefault="002A21AE">
            <w:pPr>
              <w:pStyle w:val="TableText"/>
            </w:pPr>
            <w:r>
              <w:rPr>
                <w:rFonts w:cs="Arial"/>
                <w:vanish/>
              </w:rPr>
              <w:t xml:space="preserve">BR_26.46 </w:t>
            </w:r>
            <w:r>
              <w:t xml:space="preserve">When a supply item is expired, VBECS emits an audible alert, warns the user, and asks whether the user still wishes to use the item. </w:t>
            </w:r>
            <w:r>
              <w:rPr>
                <w:b/>
              </w:rPr>
              <w:t>Yes</w:t>
            </w:r>
            <w:r>
              <w:t xml:space="preserve"> requires a comment and VBECS captures details for inclusion in an Exception Report (exception type: expires supply used in unit modification). </w:t>
            </w:r>
            <w:r>
              <w:rPr>
                <w:b/>
              </w:rPr>
              <w:t>No</w:t>
            </w:r>
            <w:r>
              <w:t xml:space="preserve"> requires the user to select another supply lot number.</w:t>
            </w:r>
          </w:p>
        </w:tc>
      </w:tr>
      <w:tr w:rsidR="002A21AE" w14:paraId="619486C3" w14:textId="77777777" w:rsidTr="004A7B44">
        <w:trPr>
          <w:cantSplit/>
        </w:trPr>
        <w:tc>
          <w:tcPr>
            <w:tcW w:w="780" w:type="dxa"/>
          </w:tcPr>
          <w:p w14:paraId="549B33C3" w14:textId="77777777" w:rsidR="002A21AE" w:rsidRDefault="002A21AE">
            <w:pPr>
              <w:pStyle w:val="TableText"/>
            </w:pPr>
            <w:r>
              <w:t>10</w:t>
            </w:r>
          </w:p>
        </w:tc>
        <w:tc>
          <w:tcPr>
            <w:tcW w:w="8580" w:type="dxa"/>
          </w:tcPr>
          <w:p w14:paraId="611DA391" w14:textId="77777777" w:rsidR="002A21AE" w:rsidRDefault="002A21AE">
            <w:pPr>
              <w:pStyle w:val="TableText"/>
            </w:pPr>
            <w:r w:rsidRPr="003354C6">
              <w:rPr>
                <w:rFonts w:cs="Arial"/>
                <w:vanish/>
                <w:color w:val="0000FF"/>
              </w:rPr>
              <w:t>BR_26.28</w:t>
            </w:r>
            <w:r>
              <w:rPr>
                <w:rFonts w:cs="Arial"/>
                <w:vanish/>
              </w:rPr>
              <w:t xml:space="preserve"> </w:t>
            </w:r>
            <w:r>
              <w:t xml:space="preserve">When the user </w:t>
            </w:r>
            <w:r w:rsidR="005C01E3">
              <w:t>extends</w:t>
            </w:r>
            <w:r>
              <w:t xml:space="preserve"> the </w:t>
            </w:r>
            <w:r w:rsidR="0003608A">
              <w:t>system-recommended</w:t>
            </w:r>
            <w:r>
              <w:t xml:space="preserve"> expiration date and time, VBECS warns the user, asks him to reenter the unit expiration date, and </w:t>
            </w:r>
            <w:r w:rsidR="00C877D1">
              <w:t>redisplays</w:t>
            </w:r>
            <w:r w:rsidR="00811354">
              <w:t xml:space="preserve"> </w:t>
            </w:r>
            <w:r>
              <w:t xml:space="preserve">the </w:t>
            </w:r>
            <w:r w:rsidR="00C877D1">
              <w:t xml:space="preserve">original </w:t>
            </w:r>
            <w:r>
              <w:t>entry. The user may enter another expiration date and time for the target unit.</w:t>
            </w:r>
          </w:p>
          <w:p w14:paraId="4918E8D0" w14:textId="77777777" w:rsidR="002A21AE" w:rsidRDefault="002A21AE">
            <w:pPr>
              <w:pStyle w:val="TableText"/>
            </w:pPr>
          </w:p>
          <w:p w14:paraId="5BA8460F" w14:textId="77777777" w:rsidR="002A21AE" w:rsidRDefault="002A21AE">
            <w:pPr>
              <w:pStyle w:val="TableText"/>
            </w:pPr>
            <w:r w:rsidRPr="003354C6">
              <w:rPr>
                <w:rFonts w:cs="Arial"/>
                <w:vanish/>
                <w:color w:val="0000FF"/>
              </w:rPr>
              <w:t>BR_26.21</w:t>
            </w:r>
            <w:r>
              <w:rPr>
                <w:rFonts w:cs="Arial"/>
                <w:vanish/>
              </w:rPr>
              <w:t xml:space="preserve"> </w:t>
            </w:r>
            <w:r w:rsidRPr="00EC7489">
              <w:rPr>
                <w:rFonts w:ascii="Wingdings 3" w:hAnsi="Wingdings 3" w:cs="Wingdings"/>
              </w:rPr>
              <w:t></w:t>
            </w:r>
            <w:r w:rsidRPr="00EC7489">
              <w:rPr>
                <w:rFonts w:ascii="Wingdings 3" w:hAnsi="Wingdings 3" w:cs="Wingdings"/>
              </w:rPr>
              <w:t></w:t>
            </w:r>
            <w:r>
              <w:t xml:space="preserve"> When an Enhanced Technologist extends the target unit expiration date and time past the system-recommended expiration date and time, VBECS emits an audible alert, warns the user, and asks whether he wishes to continue.</w:t>
            </w:r>
            <w:r w:rsidR="00323872">
              <w:t xml:space="preserve"> </w:t>
            </w:r>
            <w:r w:rsidR="00323872" w:rsidRPr="00323872">
              <w:rPr>
                <w:b/>
              </w:rPr>
              <w:t>Cancel</w:t>
            </w:r>
            <w:r w:rsidR="00323872">
              <w:t xml:space="preserve"> restores the expiration</w:t>
            </w:r>
            <w:r w:rsidR="00E00D0E">
              <w:t xml:space="preserve"> date</w:t>
            </w:r>
            <w:r w:rsidR="00323872">
              <w:t xml:space="preserve">. </w:t>
            </w:r>
            <w:r w:rsidR="00323872" w:rsidRPr="00323872">
              <w:rPr>
                <w:b/>
              </w:rPr>
              <w:t>Override</w:t>
            </w:r>
            <w:r w:rsidR="00323872">
              <w:t xml:space="preserve"> allows the user to</w:t>
            </w:r>
            <w:r w:rsidR="00AA6C54">
              <w:t xml:space="preserve"> </w:t>
            </w:r>
            <w:r w:rsidR="00323872">
              <w:t>continue</w:t>
            </w:r>
            <w:r>
              <w:t xml:space="preserve"> with this date</w:t>
            </w:r>
            <w:r w:rsidR="00323872">
              <w:t>,</w:t>
            </w:r>
            <w:r>
              <w:t xml:space="preserve"> requires a comment</w:t>
            </w:r>
            <w:r w:rsidR="00323872">
              <w:t>,</w:t>
            </w:r>
            <w:r>
              <w:t xml:space="preserve"> and captures details for inclusion in an Exception Report (exception type: target product outdate extended).</w:t>
            </w:r>
            <w:r w:rsidR="00D76D67">
              <w:t xml:space="preserve"> </w:t>
            </w:r>
            <w:r w:rsidR="00D76D67">
              <w:rPr>
                <w:rStyle w:val="StyleTableText9ptCharChar"/>
              </w:rPr>
              <w:t>Information about this transaction and the comment are queued for an exception report.</w:t>
            </w:r>
          </w:p>
        </w:tc>
      </w:tr>
      <w:tr w:rsidR="00E979DB" w14:paraId="5CDFA49A" w14:textId="77777777" w:rsidTr="004A7B44">
        <w:trPr>
          <w:cantSplit/>
        </w:trPr>
        <w:tc>
          <w:tcPr>
            <w:tcW w:w="780" w:type="dxa"/>
          </w:tcPr>
          <w:p w14:paraId="1A02D476" w14:textId="77777777" w:rsidR="00E979DB" w:rsidRDefault="00E979DB">
            <w:pPr>
              <w:pStyle w:val="TableText"/>
            </w:pPr>
            <w:r>
              <w:t>13</w:t>
            </w:r>
          </w:p>
        </w:tc>
        <w:tc>
          <w:tcPr>
            <w:tcW w:w="8580" w:type="dxa"/>
          </w:tcPr>
          <w:p w14:paraId="799D82BD" w14:textId="77777777" w:rsidR="00E979DB" w:rsidRDefault="00E979DB" w:rsidP="00E979DB">
            <w:pPr>
              <w:pStyle w:val="NotesText"/>
              <w:ind w:left="0"/>
            </w:pPr>
            <w:r>
              <w:t>When there is no match,</w:t>
            </w:r>
            <w:r>
              <w:rPr>
                <w:noProof/>
                <w:color w:val="000000"/>
              </w:rPr>
              <w:t xml:space="preserve"> VBECS emits an audible alert, notifies the user, </w:t>
            </w:r>
            <w:r>
              <w:t xml:space="preserve">and instructs him to verify the labeling and reenter label data or select </w:t>
            </w:r>
            <w:r>
              <w:rPr>
                <w:b/>
              </w:rPr>
              <w:t>Cancel</w:t>
            </w:r>
            <w:r>
              <w:t xml:space="preserve">. </w:t>
            </w:r>
          </w:p>
          <w:p w14:paraId="2AAD7EA1" w14:textId="77777777" w:rsidR="00E979DB" w:rsidRPr="003354C6" w:rsidRDefault="00E979DB">
            <w:pPr>
              <w:pStyle w:val="TableText"/>
              <w:rPr>
                <w:rFonts w:cs="Arial"/>
                <w:vanish/>
                <w:color w:val="0000FF"/>
              </w:rPr>
            </w:pPr>
          </w:p>
        </w:tc>
      </w:tr>
    </w:tbl>
    <w:p w14:paraId="33678748" w14:textId="77777777" w:rsidR="002A21AE" w:rsidRDefault="000A126F">
      <w:pPr>
        <w:pStyle w:val="Heading3"/>
      </w:pPr>
      <w:bookmarkStart w:id="349" w:name="_Toc94349323"/>
      <w:bookmarkEnd w:id="340"/>
      <w:r>
        <w:br w:type="page"/>
      </w:r>
      <w:bookmarkStart w:id="350" w:name="_Toc203765890"/>
      <w:r w:rsidR="002A21AE">
        <w:lastRenderedPageBreak/>
        <w:t>Modify Units: Split a Unit</w:t>
      </w:r>
      <w:bookmarkEnd w:id="350"/>
      <w:r w:rsidR="002A21AE" w:rsidRPr="007716F7">
        <w:rPr>
          <w:vanish/>
        </w:rPr>
        <w:fldChar w:fldCharType="begin"/>
      </w:r>
      <w:r w:rsidR="002A21AE" w:rsidRPr="007716F7">
        <w:rPr>
          <w:vanish/>
        </w:rPr>
        <w:instrText xml:space="preserve"> XE </w:instrText>
      </w:r>
      <w:r w:rsidR="00FA7E65" w:rsidRPr="007716F7">
        <w:rPr>
          <w:vanish/>
        </w:rPr>
        <w:instrText>“</w:instrText>
      </w:r>
      <w:r w:rsidR="002A21AE" w:rsidRPr="007716F7">
        <w:rPr>
          <w:vanish/>
        </w:rPr>
        <w:instrText>Modify Units\: Split a Unit</w:instrText>
      </w:r>
      <w:r w:rsidR="00FA7E65" w:rsidRPr="007716F7">
        <w:rPr>
          <w:vanish/>
        </w:rPr>
        <w:instrText>”</w:instrText>
      </w:r>
      <w:r w:rsidR="002A21AE" w:rsidRPr="007716F7">
        <w:rPr>
          <w:vanish/>
        </w:rPr>
        <w:instrText xml:space="preserve"> </w:instrText>
      </w:r>
      <w:r w:rsidR="002A21AE" w:rsidRPr="007716F7">
        <w:rPr>
          <w:vanish/>
        </w:rPr>
        <w:fldChar w:fldCharType="end"/>
      </w:r>
      <w:r w:rsidR="002A21AE" w:rsidRPr="007716F7">
        <w:rPr>
          <w:vanish/>
        </w:rPr>
        <w:t xml:space="preserve"> UC_2</w:t>
      </w:r>
      <w:bookmarkEnd w:id="349"/>
      <w:r w:rsidR="00B30CE5">
        <w:rPr>
          <w:vanish/>
        </w:rPr>
        <w:t>6</w:t>
      </w:r>
    </w:p>
    <w:p w14:paraId="25BDB238" w14:textId="77777777" w:rsidR="002A21AE" w:rsidRDefault="002A21AE" w:rsidP="00FA7E65">
      <w:pPr>
        <w:pStyle w:val="BodyText"/>
      </w:pPr>
      <w:bookmarkStart w:id="351" w:name="_Toc77662537"/>
      <w:r>
        <w:t xml:space="preserve">The user selects the unit to be split (divided) for transfusion. </w:t>
      </w:r>
    </w:p>
    <w:p w14:paraId="796AD8BF" w14:textId="77777777" w:rsidR="002A21AE" w:rsidRDefault="002A21AE">
      <w:pPr>
        <w:pStyle w:val="Heading4"/>
      </w:pPr>
      <w:bookmarkStart w:id="352" w:name="_Toc94349324"/>
      <w:r>
        <w:t>Assumptions</w:t>
      </w:r>
      <w:bookmarkEnd w:id="352"/>
    </w:p>
    <w:p w14:paraId="1309FF64" w14:textId="77777777" w:rsidR="002A21AE" w:rsidRDefault="002A21AE">
      <w:pPr>
        <w:pStyle w:val="ListBullet"/>
      </w:pPr>
      <w:r>
        <w:t>See Modify Units.</w:t>
      </w:r>
    </w:p>
    <w:p w14:paraId="0197574E" w14:textId="77777777" w:rsidR="002A21AE" w:rsidRDefault="002A21AE">
      <w:pPr>
        <w:pStyle w:val="Heading4"/>
      </w:pPr>
      <w:bookmarkStart w:id="353" w:name="_Toc94349325"/>
      <w:r>
        <w:t>Outcome</w:t>
      </w:r>
      <w:bookmarkEnd w:id="353"/>
    </w:p>
    <w:p w14:paraId="25FCF2C0" w14:textId="77777777" w:rsidR="002A21AE" w:rsidRDefault="002A21AE">
      <w:pPr>
        <w:pStyle w:val="ListBullet"/>
      </w:pPr>
      <w:r>
        <w:t>See Modify Units.</w:t>
      </w:r>
    </w:p>
    <w:p w14:paraId="73F9780E" w14:textId="77777777" w:rsidR="002A21AE" w:rsidRDefault="002A21AE">
      <w:pPr>
        <w:pStyle w:val="Heading4"/>
      </w:pPr>
      <w:bookmarkStart w:id="354" w:name="_Toc94349326"/>
      <w:r>
        <w:t>Limitations and Restrictions</w:t>
      </w:r>
      <w:bookmarkEnd w:id="354"/>
    </w:p>
    <w:p w14:paraId="447FA14B" w14:textId="77777777" w:rsidR="00516343" w:rsidRDefault="002A21AE">
      <w:pPr>
        <w:pStyle w:val="ListBullet"/>
      </w:pPr>
      <w:r>
        <w:rPr>
          <w:rFonts w:ascii="Arial" w:hAnsi="Arial" w:cs="Arial"/>
          <w:vanish/>
          <w:spacing w:val="0"/>
          <w:sz w:val="18"/>
        </w:rPr>
        <w:t xml:space="preserve">BR_25.21 </w:t>
      </w:r>
      <w:r>
        <w:t xml:space="preserve">A </w:t>
      </w:r>
      <w:r w:rsidR="004248F5">
        <w:t xml:space="preserve">unit </w:t>
      </w:r>
      <w:r>
        <w:t xml:space="preserve">previously split </w:t>
      </w:r>
      <w:r w:rsidR="004248F5">
        <w:t xml:space="preserve">in VBECS </w:t>
      </w:r>
      <w:r>
        <w:t xml:space="preserve">cannot be split again. </w:t>
      </w:r>
      <w:r w:rsidR="00516343">
        <w:t>Only an ISBT unit that was split outside of VBECS can be split again.</w:t>
      </w:r>
    </w:p>
    <w:p w14:paraId="6F5B8133" w14:textId="6F313010" w:rsidR="00516343" w:rsidRDefault="00516343">
      <w:pPr>
        <w:pStyle w:val="ListBullet"/>
      </w:pPr>
      <w:r w:rsidRPr="00516343">
        <w:rPr>
          <w:vanish/>
        </w:rPr>
        <w:t xml:space="preserve">BR_25.21 </w:t>
      </w:r>
      <w:r w:rsidR="00CD635A">
        <w:t>A unit pooled in VBECS may no</w:t>
      </w:r>
      <w:r w:rsidR="00F744C5">
        <w:t>t be split</w:t>
      </w:r>
      <w:r>
        <w:t>.</w:t>
      </w:r>
    </w:p>
    <w:p w14:paraId="3E29D3DA" w14:textId="24DC1859" w:rsidR="002A21AE" w:rsidRDefault="00516343" w:rsidP="00F744C5">
      <w:pPr>
        <w:pStyle w:val="ListBullet"/>
      </w:pPr>
      <w:r w:rsidRPr="00516343">
        <w:rPr>
          <w:vanish/>
        </w:rPr>
        <w:t xml:space="preserve">BR_25.21 </w:t>
      </w:r>
      <w:r w:rsidR="00CD635A">
        <w:t>A unit that has a division code present upon receipt in incoming shipment may be split in VBECS.</w:t>
      </w:r>
    </w:p>
    <w:p w14:paraId="65B11CAC" w14:textId="77777777" w:rsidR="002A21AE" w:rsidRDefault="002A21AE">
      <w:pPr>
        <w:pStyle w:val="Heading4"/>
      </w:pPr>
      <w:bookmarkStart w:id="355" w:name="_Toc94349327"/>
      <w:r>
        <w:t>Additional Information</w:t>
      </w:r>
      <w:bookmarkEnd w:id="355"/>
    </w:p>
    <w:p w14:paraId="56A5E174" w14:textId="77777777" w:rsidR="00A03B5F" w:rsidRDefault="00A03B5F" w:rsidP="00A03B5F">
      <w:pPr>
        <w:pStyle w:val="ListBullet"/>
      </w:pPr>
      <w:r>
        <w:t xml:space="preserve">To reverse other modifications, remove the “modified” status from each unit through </w:t>
      </w:r>
      <w:r w:rsidR="00131240">
        <w:t xml:space="preserve">Supervisor Menu, </w:t>
      </w:r>
      <w:r>
        <w:t>Remove Final Status.</w:t>
      </w:r>
    </w:p>
    <w:p w14:paraId="34C6F95B" w14:textId="77777777" w:rsidR="002A21AE" w:rsidRDefault="002A21AE">
      <w:pPr>
        <w:pStyle w:val="Heading4"/>
      </w:pPr>
      <w:bookmarkStart w:id="356" w:name="_Toc94349328"/>
      <w:r>
        <w:t>User Roles with Access to This Option</w:t>
      </w:r>
      <w:bookmarkEnd w:id="356"/>
    </w:p>
    <w:p w14:paraId="5058E635" w14:textId="77777777" w:rsidR="00700CAA" w:rsidRDefault="00700CAA" w:rsidP="00700CAA">
      <w:pPr>
        <w:pStyle w:val="Roles"/>
        <w:rPr>
          <w:snapToGrid w:val="0"/>
        </w:rPr>
      </w:pPr>
      <w:r>
        <w:t>All users</w:t>
      </w:r>
    </w:p>
    <w:bookmarkEnd w:id="351"/>
    <w:p w14:paraId="7D846A66" w14:textId="77777777" w:rsidR="002A21AE" w:rsidRDefault="002A21AE">
      <w:pPr>
        <w:pStyle w:val="Heading4"/>
      </w:pPr>
      <w:r w:rsidRPr="00FA2D4C">
        <w:t>Modify Units: Split a Unit</w:t>
      </w:r>
    </w:p>
    <w:p w14:paraId="5BF2C184" w14:textId="77777777" w:rsidR="002A21AE" w:rsidRDefault="002A21AE" w:rsidP="00FA7E65">
      <w:pPr>
        <w:pStyle w:val="BodyText"/>
      </w:pPr>
      <w:r>
        <w:t>The user selects the unit to be split for transfusion. VBECS automatically applies directed and autologous restrictions to aliquots created. The user may or may not maintain patient assignments (usually, these units are crossmatched and available for the patient before the split is made). This section lists only rules unique to the division of a blood unit.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31A2736C" w14:textId="77777777" w:rsidTr="004A7B44">
        <w:trPr>
          <w:cantSplit/>
          <w:tblHeader/>
        </w:trPr>
        <w:tc>
          <w:tcPr>
            <w:tcW w:w="3240" w:type="dxa"/>
            <w:shd w:val="pct30" w:color="auto" w:fill="FFFFFF"/>
            <w:vAlign w:val="bottom"/>
          </w:tcPr>
          <w:p w14:paraId="0AF6C58A" w14:textId="77777777" w:rsidR="002A21AE" w:rsidRDefault="002A21AE">
            <w:pPr>
              <w:pStyle w:val="TableText"/>
              <w:rPr>
                <w:b/>
              </w:rPr>
            </w:pPr>
            <w:r>
              <w:rPr>
                <w:b/>
              </w:rPr>
              <w:t>User Action</w:t>
            </w:r>
          </w:p>
        </w:tc>
        <w:tc>
          <w:tcPr>
            <w:tcW w:w="6120" w:type="dxa"/>
            <w:shd w:val="pct30" w:color="auto" w:fill="FFFFFF"/>
            <w:vAlign w:val="bottom"/>
          </w:tcPr>
          <w:p w14:paraId="3804F7C8" w14:textId="77777777" w:rsidR="002A21AE" w:rsidRDefault="002A21AE">
            <w:pPr>
              <w:pStyle w:val="TableText"/>
              <w:rPr>
                <w:b/>
              </w:rPr>
            </w:pPr>
            <w:r>
              <w:rPr>
                <w:b/>
              </w:rPr>
              <w:t>VBECS</w:t>
            </w:r>
          </w:p>
        </w:tc>
      </w:tr>
      <w:tr w:rsidR="002A21AE" w14:paraId="7E6FD3E5" w14:textId="77777777" w:rsidTr="004A7B44">
        <w:trPr>
          <w:cantSplit/>
        </w:trPr>
        <w:tc>
          <w:tcPr>
            <w:tcW w:w="3240" w:type="dxa"/>
          </w:tcPr>
          <w:p w14:paraId="4032BFD0" w14:textId="77777777" w:rsidR="002A21AE" w:rsidRDefault="002A21AE">
            <w:pPr>
              <w:pStyle w:val="TableTextNumbers"/>
            </w:pPr>
            <w:r>
              <w:t xml:space="preserve">Select </w:t>
            </w:r>
            <w:r>
              <w:rPr>
                <w:b/>
              </w:rPr>
              <w:t>Blood Units</w:t>
            </w:r>
            <w:r>
              <w:t xml:space="preserve"> from the main menu. </w:t>
            </w:r>
          </w:p>
          <w:p w14:paraId="75F576A3" w14:textId="77777777" w:rsidR="002A21AE" w:rsidRDefault="002A21AE">
            <w:pPr>
              <w:pStyle w:val="TableTextNumbersContinued"/>
            </w:pPr>
          </w:p>
          <w:p w14:paraId="64D53084" w14:textId="77777777" w:rsidR="002A21AE" w:rsidRDefault="002A21AE">
            <w:pPr>
              <w:pStyle w:val="TableTextNumbersContinued"/>
            </w:pPr>
            <w:r>
              <w:t xml:space="preserve">Select </w:t>
            </w:r>
            <w:r>
              <w:rPr>
                <w:b/>
              </w:rPr>
              <w:t>Modify Units</w:t>
            </w:r>
            <w:r>
              <w:t>.</w:t>
            </w:r>
          </w:p>
        </w:tc>
        <w:tc>
          <w:tcPr>
            <w:tcW w:w="6120" w:type="dxa"/>
          </w:tcPr>
          <w:p w14:paraId="61B327F8" w14:textId="77777777" w:rsidR="002A21AE" w:rsidRDefault="002A21AE">
            <w:pPr>
              <w:pStyle w:val="TableTextBullet"/>
            </w:pPr>
            <w:r>
              <w:t>Displays options for processing blood units.</w:t>
            </w:r>
          </w:p>
          <w:p w14:paraId="31114424" w14:textId="77777777" w:rsidR="002A21AE" w:rsidRDefault="002A21AE">
            <w:pPr>
              <w:pStyle w:val="TableTextBullet"/>
            </w:pPr>
            <w:r>
              <w:t>Displays valid modification types for selection.</w:t>
            </w:r>
          </w:p>
        </w:tc>
      </w:tr>
      <w:tr w:rsidR="002A21AE" w14:paraId="52BE394C" w14:textId="77777777" w:rsidTr="004A7B44">
        <w:trPr>
          <w:cantSplit/>
        </w:trPr>
        <w:tc>
          <w:tcPr>
            <w:tcW w:w="3240" w:type="dxa"/>
          </w:tcPr>
          <w:p w14:paraId="2320E896" w14:textId="2312B04F" w:rsidR="002A21AE" w:rsidRDefault="002A21AE">
            <w:pPr>
              <w:pStyle w:val="TableTextNumbers"/>
            </w:pPr>
            <w:r>
              <w:t xml:space="preserve">Click the </w:t>
            </w:r>
            <w:r>
              <w:rPr>
                <w:b/>
              </w:rPr>
              <w:t xml:space="preserve">Split/Divide </w:t>
            </w:r>
            <w:r w:rsidRPr="00BF2E41">
              <w:t>radio button</w:t>
            </w:r>
            <w:r>
              <w:t>.</w:t>
            </w:r>
          </w:p>
          <w:p w14:paraId="1F029574" w14:textId="412C32F2" w:rsidR="00B87C33" w:rsidRDefault="00B87C33" w:rsidP="00B87C33">
            <w:pPr>
              <w:pStyle w:val="TableTextNumbers"/>
              <w:numPr>
                <w:ilvl w:val="0"/>
                <w:numId w:val="0"/>
              </w:numPr>
              <w:ind w:left="288" w:hanging="288"/>
            </w:pPr>
          </w:p>
          <w:p w14:paraId="2EA7B5D9" w14:textId="77777777" w:rsidR="00B87C33" w:rsidRPr="00D431F7" w:rsidRDefault="00B87C33" w:rsidP="00D431F7">
            <w:pPr>
              <w:pStyle w:val="TableText"/>
              <w:ind w:left="288"/>
              <w:rPr>
                <w:rFonts w:cs="Arial"/>
                <w:szCs w:val="18"/>
              </w:rPr>
            </w:pPr>
            <w:r w:rsidRPr="00D431F7">
              <w:rPr>
                <w:rFonts w:cs="Arial"/>
                <w:szCs w:val="18"/>
              </w:rPr>
              <w:t>Click a radio button to select a modification method, if required:</w:t>
            </w:r>
          </w:p>
          <w:p w14:paraId="72F824EA" w14:textId="77777777" w:rsidR="00B87C33" w:rsidRPr="00D431F7" w:rsidRDefault="00B87C33" w:rsidP="00925CAD">
            <w:pPr>
              <w:pStyle w:val="TableText"/>
              <w:numPr>
                <w:ilvl w:val="0"/>
                <w:numId w:val="76"/>
              </w:numPr>
              <w:ind w:left="604"/>
              <w:rPr>
                <w:rFonts w:cs="Arial"/>
                <w:szCs w:val="18"/>
              </w:rPr>
            </w:pPr>
            <w:r w:rsidRPr="00D431F7">
              <w:rPr>
                <w:rFonts w:cs="Arial"/>
                <w:szCs w:val="18"/>
              </w:rPr>
              <w:t>Open</w:t>
            </w:r>
          </w:p>
          <w:p w14:paraId="34AD121B" w14:textId="40DE6DB5" w:rsidR="00B87C33" w:rsidRPr="00D431F7" w:rsidRDefault="00B87C33" w:rsidP="00925CAD">
            <w:pPr>
              <w:pStyle w:val="TableText"/>
              <w:numPr>
                <w:ilvl w:val="0"/>
                <w:numId w:val="76"/>
              </w:numPr>
              <w:ind w:left="604"/>
              <w:rPr>
                <w:rFonts w:cs="Arial"/>
                <w:szCs w:val="18"/>
              </w:rPr>
            </w:pPr>
            <w:r w:rsidRPr="00D431F7">
              <w:rPr>
                <w:rFonts w:cs="Arial"/>
                <w:szCs w:val="18"/>
              </w:rPr>
              <w:t>Closed</w:t>
            </w:r>
          </w:p>
          <w:p w14:paraId="57AB4368" w14:textId="5D66239B" w:rsidR="00B87C33" w:rsidRPr="00D431F7" w:rsidRDefault="00B87C33" w:rsidP="00925CAD">
            <w:pPr>
              <w:pStyle w:val="TableText"/>
              <w:numPr>
                <w:ilvl w:val="0"/>
                <w:numId w:val="76"/>
              </w:numPr>
              <w:ind w:left="604"/>
              <w:rPr>
                <w:rFonts w:cs="Arial"/>
                <w:szCs w:val="18"/>
              </w:rPr>
            </w:pPr>
            <w:r w:rsidRPr="00D431F7">
              <w:rPr>
                <w:rFonts w:cs="Arial"/>
                <w:szCs w:val="18"/>
              </w:rPr>
              <w:t xml:space="preserve">Sterile </w:t>
            </w:r>
            <w:r w:rsidR="00D431F7" w:rsidRPr="00D431F7">
              <w:rPr>
                <w:rFonts w:cs="Arial"/>
                <w:szCs w:val="18"/>
              </w:rPr>
              <w:t>Connection Device</w:t>
            </w:r>
          </w:p>
          <w:p w14:paraId="171C08E3" w14:textId="77777777" w:rsidR="00C96CC3" w:rsidRDefault="00C96CC3" w:rsidP="00C96CC3">
            <w:pPr>
              <w:pStyle w:val="TableTextNumbers"/>
              <w:numPr>
                <w:ilvl w:val="0"/>
                <w:numId w:val="0"/>
              </w:numPr>
              <w:ind w:left="288"/>
            </w:pPr>
          </w:p>
          <w:p w14:paraId="488F5BC5" w14:textId="76C0044E" w:rsidR="00C96CC3" w:rsidRDefault="00C96CC3" w:rsidP="00C96CC3">
            <w:pPr>
              <w:pStyle w:val="TableTextNumbersContinued"/>
            </w:pPr>
            <w:r>
              <w:t xml:space="preserve">For a Sterile Connection Device modification method, click the </w:t>
            </w:r>
            <w:r>
              <w:rPr>
                <w:b/>
              </w:rPr>
              <w:t>Weld Complete</w:t>
            </w:r>
            <w:r>
              <w:t xml:space="preserve"> or</w:t>
            </w:r>
            <w:r>
              <w:rPr>
                <w:b/>
              </w:rPr>
              <w:t xml:space="preserve"> Weld Incomplete </w:t>
            </w:r>
            <w:r w:rsidRPr="00BF2E41">
              <w:t>radio button</w:t>
            </w:r>
            <w:r>
              <w:rPr>
                <w:b/>
              </w:rPr>
              <w:t xml:space="preserve"> </w:t>
            </w:r>
            <w:r>
              <w:t>to indicate the condition of the weld.</w:t>
            </w:r>
          </w:p>
          <w:p w14:paraId="408787A7" w14:textId="77777777" w:rsidR="002A21AE" w:rsidRDefault="002A21AE">
            <w:pPr>
              <w:pStyle w:val="TableTextNumbersContinued"/>
            </w:pPr>
          </w:p>
          <w:p w14:paraId="2A6BDE3F" w14:textId="77777777" w:rsidR="002A21AE" w:rsidRDefault="002A21AE">
            <w:pPr>
              <w:pStyle w:val="TableTextNumbersContinued"/>
            </w:pPr>
            <w:r>
              <w:t xml:space="preserve">Click </w:t>
            </w:r>
            <w:r>
              <w:rPr>
                <w:b/>
              </w:rPr>
              <w:t>OK</w:t>
            </w:r>
            <w:r>
              <w:t>.</w:t>
            </w:r>
          </w:p>
        </w:tc>
        <w:tc>
          <w:tcPr>
            <w:tcW w:w="6120" w:type="dxa"/>
          </w:tcPr>
          <w:p w14:paraId="0739E2CB" w14:textId="77777777" w:rsidR="002A21AE" w:rsidRDefault="002A21AE">
            <w:pPr>
              <w:pStyle w:val="TableTextBullet"/>
              <w:tabs>
                <w:tab w:val="num" w:pos="360"/>
              </w:tabs>
            </w:pPr>
            <w:r>
              <w:t>Allows the user to search for a unit.</w:t>
            </w:r>
          </w:p>
        </w:tc>
      </w:tr>
      <w:tr w:rsidR="002A21AE" w14:paraId="4FA3ED8D" w14:textId="77777777" w:rsidTr="004A7B44">
        <w:trPr>
          <w:cantSplit/>
        </w:trPr>
        <w:tc>
          <w:tcPr>
            <w:tcW w:w="3240" w:type="dxa"/>
          </w:tcPr>
          <w:p w14:paraId="66A8F13F" w14:textId="77777777" w:rsidR="002A21AE" w:rsidRDefault="002A21AE">
            <w:pPr>
              <w:pStyle w:val="TableTextNumbers"/>
            </w:pPr>
            <w:r>
              <w:lastRenderedPageBreak/>
              <w:t xml:space="preserve">Select a unit and click </w:t>
            </w:r>
            <w:r>
              <w:rPr>
                <w:b/>
              </w:rPr>
              <w:t>OK</w:t>
            </w:r>
            <w:r>
              <w:t>.</w:t>
            </w:r>
          </w:p>
          <w:p w14:paraId="7A3BF984" w14:textId="77777777" w:rsidR="002A21AE" w:rsidRDefault="002A21AE">
            <w:pPr>
              <w:pStyle w:val="TableTextNumbersContinued"/>
            </w:pPr>
          </w:p>
          <w:p w14:paraId="69E031EA" w14:textId="77777777" w:rsidR="002A21AE" w:rsidRDefault="002A21AE">
            <w:pPr>
              <w:pStyle w:val="TableTextNumbersContinued"/>
            </w:pPr>
            <w:r>
              <w:t xml:space="preserve">Click </w:t>
            </w:r>
            <w:r>
              <w:rPr>
                <w:b/>
              </w:rPr>
              <w:t>Select</w:t>
            </w:r>
            <w:r w:rsidR="00462E2C" w:rsidRPr="00462E2C">
              <w:t xml:space="preserve"> to confirm the unit selected.</w:t>
            </w:r>
          </w:p>
        </w:tc>
        <w:tc>
          <w:tcPr>
            <w:tcW w:w="6120" w:type="dxa"/>
          </w:tcPr>
          <w:p w14:paraId="58E7CCAD" w14:textId="77777777" w:rsidR="002A21AE" w:rsidRDefault="002A21AE">
            <w:pPr>
              <w:pStyle w:val="TableTextBullet"/>
              <w:tabs>
                <w:tab w:val="num" w:pos="360"/>
              </w:tabs>
            </w:pPr>
            <w:r>
              <w:t>Displays data for the original and target units.</w:t>
            </w:r>
          </w:p>
        </w:tc>
      </w:tr>
      <w:tr w:rsidR="002A21AE" w14:paraId="4305180F" w14:textId="77777777" w:rsidTr="004A7B44">
        <w:trPr>
          <w:cantSplit/>
        </w:trPr>
        <w:tc>
          <w:tcPr>
            <w:tcW w:w="3240" w:type="dxa"/>
          </w:tcPr>
          <w:p w14:paraId="5EDD18DB" w14:textId="60691104" w:rsidR="002A21AE" w:rsidRDefault="002A21AE">
            <w:pPr>
              <w:pStyle w:val="TableTextNumbers"/>
            </w:pPr>
            <w:r>
              <w:t>Edit the number of adult splits to be created, if required</w:t>
            </w:r>
            <w:r w:rsidR="004C6777">
              <w:t xml:space="preserve"> (</w:t>
            </w:r>
            <w:r w:rsidR="00EE455E">
              <w:t xml:space="preserve">Figure </w:t>
            </w:r>
            <w:r w:rsidR="00EE455E">
              <w:rPr>
                <w:noProof/>
              </w:rPr>
              <w:t>61</w:t>
            </w:r>
            <w:r w:rsidR="004C6777">
              <w:t>)</w:t>
            </w:r>
            <w:r>
              <w:t>.</w:t>
            </w:r>
          </w:p>
          <w:p w14:paraId="630F7335" w14:textId="77777777" w:rsidR="002A21AE" w:rsidRDefault="002A21AE">
            <w:pPr>
              <w:pStyle w:val="TableTextNumbersContinued"/>
            </w:pPr>
          </w:p>
          <w:p w14:paraId="62C39670" w14:textId="77777777" w:rsidR="002A21AE" w:rsidRDefault="002A21AE">
            <w:pPr>
              <w:pStyle w:val="TableTextNumbersContinued"/>
            </w:pPr>
            <w:r>
              <w:t xml:space="preserve">Click </w:t>
            </w:r>
            <w:r>
              <w:rPr>
                <w:b/>
              </w:rPr>
              <w:t>Split*</w:t>
            </w:r>
            <w:r>
              <w:t xml:space="preserve"> to verify the number of splits to be created and add the appropriate number of target unit tabs.</w:t>
            </w:r>
          </w:p>
          <w:p w14:paraId="046F2CE5" w14:textId="77777777" w:rsidR="002A21AE" w:rsidRDefault="002A21AE">
            <w:pPr>
              <w:pStyle w:val="TableTextNumbers"/>
              <w:numPr>
                <w:ilvl w:val="0"/>
                <w:numId w:val="0"/>
              </w:numPr>
            </w:pPr>
          </w:p>
        </w:tc>
        <w:tc>
          <w:tcPr>
            <w:tcW w:w="6120" w:type="dxa"/>
          </w:tcPr>
          <w:p w14:paraId="3819F760" w14:textId="77777777" w:rsidR="002A21AE" w:rsidRDefault="002A21AE">
            <w:pPr>
              <w:pStyle w:val="TableTextBullet"/>
              <w:tabs>
                <w:tab w:val="num" w:pos="360"/>
              </w:tabs>
            </w:pPr>
            <w:r>
              <w:t xml:space="preserve">Displays the number of splits to be created (default: 2) for verification. </w:t>
            </w:r>
          </w:p>
          <w:p w14:paraId="573401D4" w14:textId="77777777" w:rsidR="002A21AE" w:rsidRDefault="002A21AE">
            <w:pPr>
              <w:pStyle w:val="TableTextBullet"/>
              <w:tabs>
                <w:tab w:val="num" w:pos="360"/>
              </w:tabs>
            </w:pPr>
            <w:r>
              <w:t>Requires entry of the number of splits to be created.</w:t>
            </w:r>
          </w:p>
          <w:p w14:paraId="013707B3" w14:textId="77777777" w:rsidR="002A21AE" w:rsidRDefault="002A21AE">
            <w:pPr>
              <w:pStyle w:val="TableText"/>
            </w:pPr>
          </w:p>
          <w:p w14:paraId="372EFDCC" w14:textId="5525EB29" w:rsidR="002A21AE" w:rsidRDefault="002A21AE">
            <w:pPr>
              <w:pStyle w:val="TableText"/>
              <w:rPr>
                <w:b/>
                <w:bCs/>
                <w:szCs w:val="18"/>
              </w:rPr>
            </w:pPr>
            <w:r>
              <w:rPr>
                <w:b/>
                <w:bCs/>
                <w:szCs w:val="18"/>
              </w:rPr>
              <w:t>NOTES</w:t>
            </w:r>
          </w:p>
          <w:p w14:paraId="20CB558D" w14:textId="77777777" w:rsidR="002A21AE" w:rsidRDefault="002A21AE">
            <w:pPr>
              <w:pStyle w:val="NotesText"/>
            </w:pPr>
          </w:p>
          <w:p w14:paraId="339DCA61" w14:textId="77777777" w:rsidR="00A93FEA" w:rsidRDefault="00A93FEA" w:rsidP="001132DE">
            <w:pPr>
              <w:pStyle w:val="NotesText"/>
              <w:rPr>
                <w:rFonts w:cs="Arial"/>
                <w:szCs w:val="18"/>
              </w:rPr>
            </w:pPr>
            <w:r w:rsidRPr="00A93FEA">
              <w:rPr>
                <w:rFonts w:cs="Arial"/>
                <w:vanish/>
                <w:szCs w:val="18"/>
              </w:rPr>
              <w:t xml:space="preserve">BR_25.01 </w:t>
            </w:r>
            <w:r w:rsidRPr="00D06747">
              <w:rPr>
                <w:rFonts w:cs="Arial"/>
                <w:szCs w:val="18"/>
              </w:rPr>
              <w:t>The user may split a unit into 2 to 26 subunits (or however many available alphabetic characters remain) until the volume of the original container is consumed. The system will calculate the patient charge of each split (fraction) as its portion of the original unit cost in U.S. dollars ($0,000.00).</w:t>
            </w:r>
          </w:p>
          <w:p w14:paraId="4769C201" w14:textId="77777777" w:rsidR="00A93FEA" w:rsidRDefault="00A93FEA" w:rsidP="001132DE">
            <w:pPr>
              <w:pStyle w:val="NotesText"/>
              <w:rPr>
                <w:rFonts w:cs="Arial"/>
                <w:szCs w:val="18"/>
              </w:rPr>
            </w:pPr>
          </w:p>
          <w:p w14:paraId="3F44873D" w14:textId="77777777" w:rsidR="00A93FEA" w:rsidRDefault="00A93FEA" w:rsidP="00A93FEA">
            <w:pPr>
              <w:pStyle w:val="NotesText"/>
            </w:pPr>
            <w:r w:rsidRPr="00A93FEA">
              <w:rPr>
                <w:vanish/>
              </w:rPr>
              <w:t xml:space="preserve">BR_25.16 </w:t>
            </w:r>
            <w:r w:rsidRPr="00D06747">
              <w:t>When split is selected, users must indicate the number of split units to be created if other than the default number of 2.</w:t>
            </w:r>
          </w:p>
        </w:tc>
      </w:tr>
      <w:tr w:rsidR="002A21AE" w14:paraId="4A8DCA5A" w14:textId="77777777" w:rsidTr="004A7B44">
        <w:trPr>
          <w:cantSplit/>
        </w:trPr>
        <w:tc>
          <w:tcPr>
            <w:tcW w:w="3240" w:type="dxa"/>
          </w:tcPr>
          <w:p w14:paraId="3578DCAE" w14:textId="77777777" w:rsidR="002A21AE" w:rsidRDefault="002A21AE">
            <w:pPr>
              <w:pStyle w:val="TableTextNumbers"/>
            </w:pPr>
            <w:r>
              <w:t>Select or confirm the desired target component type.</w:t>
            </w:r>
          </w:p>
          <w:p w14:paraId="78B6C1E5" w14:textId="77777777" w:rsidR="002A21AE" w:rsidRDefault="002A21AE">
            <w:pPr>
              <w:pStyle w:val="TableTextNumbersContinued"/>
            </w:pPr>
          </w:p>
          <w:p w14:paraId="11EEB213" w14:textId="77777777" w:rsidR="000E6E10" w:rsidRDefault="00F437F8">
            <w:pPr>
              <w:pStyle w:val="TableTextNumbersContinued"/>
            </w:pPr>
            <w:r>
              <w:t xml:space="preserve">Click the </w:t>
            </w:r>
            <w:r w:rsidRPr="007B7DEC">
              <w:rPr>
                <w:b/>
              </w:rPr>
              <w:t>Container</w:t>
            </w:r>
            <w:r>
              <w:t xml:space="preserve">, </w:t>
            </w:r>
            <w:r w:rsidRPr="00764A64">
              <w:rPr>
                <w:b/>
              </w:rPr>
              <w:t>Supplies</w:t>
            </w:r>
            <w:r w:rsidRPr="007B7DEC">
              <w:t>,</w:t>
            </w:r>
            <w:r w:rsidR="0023261D">
              <w:t xml:space="preserve"> </w:t>
            </w:r>
            <w:r w:rsidRPr="00764A64">
              <w:rPr>
                <w:b/>
              </w:rPr>
              <w:t>Equipment</w:t>
            </w:r>
            <w:r w:rsidRPr="007B7DEC">
              <w:t>, or</w:t>
            </w:r>
            <w:r>
              <w:rPr>
                <w:b/>
              </w:rPr>
              <w:t xml:space="preserve"> SCD Wafer</w:t>
            </w:r>
            <w:r w:rsidRPr="00764A64">
              <w:rPr>
                <w:b/>
              </w:rPr>
              <w:t xml:space="preserve"> </w:t>
            </w:r>
            <w:r w:rsidRPr="00CC3C89">
              <w:t>tab</w:t>
            </w:r>
            <w:r w:rsidR="000E6E10" w:rsidRPr="00CC3C89">
              <w:t xml:space="preserve"> </w:t>
            </w:r>
            <w:r w:rsidR="000E6E10">
              <w:t>and enter another supply and/or equipment lot or ID number.</w:t>
            </w:r>
          </w:p>
          <w:p w14:paraId="0D32322F" w14:textId="77777777" w:rsidR="002A21AE" w:rsidRDefault="002A21AE">
            <w:pPr>
              <w:pStyle w:val="TableTextNumbers"/>
              <w:numPr>
                <w:ilvl w:val="0"/>
                <w:numId w:val="0"/>
              </w:numPr>
            </w:pPr>
          </w:p>
        </w:tc>
        <w:tc>
          <w:tcPr>
            <w:tcW w:w="6120" w:type="dxa"/>
          </w:tcPr>
          <w:p w14:paraId="59BC0027" w14:textId="77777777" w:rsidR="002A21AE" w:rsidRDefault="002A21AE">
            <w:pPr>
              <w:pStyle w:val="TableTextBullet"/>
              <w:tabs>
                <w:tab w:val="num" w:pos="360"/>
              </w:tabs>
            </w:pPr>
            <w:r>
              <w:t>Allows the user to enter lot and ID numbers or select multiple items from the supply and equipment lists.</w:t>
            </w:r>
          </w:p>
          <w:p w14:paraId="1C5EB229" w14:textId="77777777" w:rsidR="002A21AE" w:rsidRDefault="002A21AE">
            <w:pPr>
              <w:pStyle w:val="TableText"/>
            </w:pPr>
          </w:p>
          <w:p w14:paraId="77E58823" w14:textId="2ABB56B1" w:rsidR="002A21AE" w:rsidRDefault="002A21AE">
            <w:pPr>
              <w:pStyle w:val="TableText"/>
              <w:rPr>
                <w:b/>
                <w:bCs/>
                <w:szCs w:val="18"/>
              </w:rPr>
            </w:pPr>
            <w:r>
              <w:rPr>
                <w:b/>
                <w:bCs/>
                <w:szCs w:val="18"/>
              </w:rPr>
              <w:t>NOTES</w:t>
            </w:r>
          </w:p>
          <w:p w14:paraId="3BA49E3A" w14:textId="77777777" w:rsidR="002A21AE" w:rsidRDefault="002A21AE">
            <w:pPr>
              <w:pStyle w:val="NotesText"/>
            </w:pPr>
          </w:p>
          <w:p w14:paraId="3556E61F" w14:textId="77777777" w:rsidR="002A21AE" w:rsidRDefault="002A21AE">
            <w:pPr>
              <w:pStyle w:val="NotesText"/>
              <w:rPr>
                <w:color w:val="000000"/>
              </w:rPr>
            </w:pPr>
            <w:r>
              <w:rPr>
                <w:rFonts w:cs="Arial"/>
                <w:vanish/>
              </w:rPr>
              <w:t xml:space="preserve">BR_25.04 </w:t>
            </w:r>
            <w:r>
              <w:rPr>
                <w:color w:val="000000"/>
              </w:rPr>
              <w:t xml:space="preserve">When multiple </w:t>
            </w:r>
            <w:r w:rsidR="003133AE">
              <w:rPr>
                <w:color w:val="000000"/>
              </w:rPr>
              <w:t>aliquot/split</w:t>
            </w:r>
            <w:r>
              <w:rPr>
                <w:color w:val="000000"/>
              </w:rPr>
              <w:t xml:space="preserve"> units are created, the user must associate a container lot number with each unit created. “Original container” may serve as the lot number for one of the aliquots created.</w:t>
            </w:r>
          </w:p>
          <w:p w14:paraId="61C6FEF0" w14:textId="77777777" w:rsidR="002A21AE" w:rsidRDefault="002A21AE">
            <w:pPr>
              <w:pStyle w:val="NotesText"/>
            </w:pPr>
          </w:p>
          <w:p w14:paraId="2A2F2890" w14:textId="0158E1AC" w:rsidR="002A21AE" w:rsidRDefault="002A21AE">
            <w:pPr>
              <w:pStyle w:val="NotesText"/>
            </w:pPr>
            <w:r>
              <w:t xml:space="preserve">The original blood facility must keep a record of the original container lot numbers so that, when a lot number is recalled, it is known which patient was exposed to it. </w:t>
            </w:r>
          </w:p>
          <w:p w14:paraId="459C7642" w14:textId="52C1E474" w:rsidR="00025409" w:rsidRDefault="00025409" w:rsidP="003D61DB">
            <w:pPr>
              <w:pStyle w:val="NotesText"/>
              <w:ind w:left="0"/>
            </w:pPr>
          </w:p>
          <w:p w14:paraId="1E71A8A1" w14:textId="77777777" w:rsidR="00025409" w:rsidRDefault="00025409">
            <w:pPr>
              <w:pStyle w:val="NotesText"/>
              <w:rPr>
                <w:rFonts w:cs="Arial"/>
                <w:szCs w:val="18"/>
              </w:rPr>
            </w:pPr>
            <w:r w:rsidRPr="00025409">
              <w:rPr>
                <w:rFonts w:cs="Arial"/>
                <w:vanish/>
                <w:szCs w:val="18"/>
              </w:rPr>
              <w:t xml:space="preserve">BR_26.58 </w:t>
            </w:r>
            <w:r>
              <w:rPr>
                <w:rFonts w:cs="Arial"/>
                <w:szCs w:val="18"/>
              </w:rPr>
              <w:t>The user may select the target product code from available targets by scanning.</w:t>
            </w:r>
          </w:p>
          <w:p w14:paraId="095EFC7D" w14:textId="77777777" w:rsidR="00025409" w:rsidRDefault="00025409">
            <w:pPr>
              <w:pStyle w:val="NotesText"/>
            </w:pPr>
          </w:p>
          <w:p w14:paraId="1C08EC47" w14:textId="77777777" w:rsidR="00025409" w:rsidRPr="00025409" w:rsidRDefault="00025409" w:rsidP="00025409">
            <w:pPr>
              <w:pStyle w:val="NotesText"/>
              <w:rPr>
                <w:rFonts w:cs="Arial"/>
                <w:szCs w:val="18"/>
              </w:rPr>
            </w:pPr>
            <w:r w:rsidRPr="00025409">
              <w:rPr>
                <w:rFonts w:cs="Arial"/>
                <w:vanish/>
                <w:szCs w:val="18"/>
              </w:rPr>
              <w:t xml:space="preserve">BR_26.59 </w:t>
            </w:r>
            <w:r w:rsidRPr="00025409">
              <w:rPr>
                <w:rFonts w:cs="Arial"/>
                <w:szCs w:val="18"/>
              </w:rPr>
              <w:t>For THAW modification type:</w:t>
            </w:r>
          </w:p>
          <w:p w14:paraId="1D5D215C" w14:textId="77777777" w:rsidR="00025409" w:rsidRPr="00C05AF1" w:rsidRDefault="00025409" w:rsidP="00025409">
            <w:pPr>
              <w:pStyle w:val="NotesTextBullet"/>
              <w:rPr>
                <w:rFonts w:cs="Arial"/>
                <w:szCs w:val="18"/>
              </w:rPr>
            </w:pPr>
            <w:r w:rsidRPr="00C05AF1">
              <w:rPr>
                <w:rFonts w:cs="Arial"/>
                <w:szCs w:val="18"/>
              </w:rPr>
              <w:t xml:space="preserve">There is no attribute assigned for thaw. </w:t>
            </w:r>
          </w:p>
          <w:p w14:paraId="18D5776D" w14:textId="77777777" w:rsidR="00025409" w:rsidRPr="00C05AF1" w:rsidRDefault="00025409" w:rsidP="00025409">
            <w:pPr>
              <w:pStyle w:val="NotesTextBullet"/>
              <w:rPr>
                <w:rFonts w:cs="Arial"/>
                <w:szCs w:val="18"/>
              </w:rPr>
            </w:pPr>
            <w:r w:rsidRPr="00C05AF1">
              <w:rPr>
                <w:rFonts w:cs="Arial"/>
                <w:szCs w:val="18"/>
              </w:rPr>
              <w:t>The product class, modifier and Blood Core (V001) change.</w:t>
            </w:r>
          </w:p>
          <w:p w14:paraId="5053627E" w14:textId="77777777" w:rsidR="00025409" w:rsidRPr="00C05AF1" w:rsidRDefault="00025409" w:rsidP="00025409">
            <w:pPr>
              <w:pStyle w:val="NotesTextBullet"/>
              <w:rPr>
                <w:rFonts w:cs="Arial"/>
                <w:szCs w:val="18"/>
              </w:rPr>
            </w:pPr>
            <w:r w:rsidRPr="00C05AF1">
              <w:rPr>
                <w:rFonts w:cs="Arial"/>
                <w:szCs w:val="18"/>
              </w:rPr>
              <w:t>The system integrity should not change (V0012)</w:t>
            </w:r>
          </w:p>
          <w:p w14:paraId="29F66A12" w14:textId="77777777" w:rsidR="00025409" w:rsidRPr="00C05AF1" w:rsidRDefault="00025409" w:rsidP="00025409">
            <w:pPr>
              <w:pStyle w:val="NotesTextBullet"/>
              <w:rPr>
                <w:rFonts w:cs="Arial"/>
                <w:szCs w:val="18"/>
              </w:rPr>
            </w:pPr>
            <w:r w:rsidRPr="00C05AF1">
              <w:rPr>
                <w:rFonts w:cs="Arial"/>
                <w:szCs w:val="18"/>
              </w:rPr>
              <w:t>Maintain original attribute groups to the target; do not add any attribute values.</w:t>
            </w:r>
          </w:p>
          <w:p w14:paraId="6D4FF666" w14:textId="77777777" w:rsidR="00025409" w:rsidRPr="00C05AF1" w:rsidRDefault="00025409" w:rsidP="00025409">
            <w:pPr>
              <w:pStyle w:val="NotesTextBullet"/>
              <w:rPr>
                <w:rFonts w:cs="Arial"/>
                <w:szCs w:val="18"/>
              </w:rPr>
            </w:pPr>
            <w:r w:rsidRPr="00C05AF1">
              <w:rPr>
                <w:rFonts w:cs="Arial"/>
                <w:szCs w:val="18"/>
              </w:rPr>
              <w:t>Maintain the original anticoagulant or NS.</w:t>
            </w:r>
          </w:p>
          <w:p w14:paraId="2FAC9A4C" w14:textId="7510C461" w:rsidR="00025409" w:rsidRDefault="00025409" w:rsidP="00025409">
            <w:pPr>
              <w:pStyle w:val="NotesTextBullet"/>
              <w:rPr>
                <w:rFonts w:cs="Arial"/>
                <w:szCs w:val="18"/>
              </w:rPr>
            </w:pPr>
            <w:r w:rsidRPr="00C05AF1">
              <w:rPr>
                <w:rFonts w:cs="Arial"/>
                <w:szCs w:val="18"/>
              </w:rPr>
              <w:t>Temperature must change to a non-frozen temperature</w:t>
            </w:r>
          </w:p>
          <w:p w14:paraId="1F4ABC2B" w14:textId="623DC10B" w:rsidR="00491E6F" w:rsidRPr="00025409" w:rsidRDefault="00491E6F" w:rsidP="00025409">
            <w:pPr>
              <w:pStyle w:val="NotesTextBullet"/>
              <w:rPr>
                <w:rFonts w:cs="Arial"/>
                <w:szCs w:val="18"/>
              </w:rPr>
            </w:pPr>
            <w:r>
              <w:rPr>
                <w:rFonts w:cs="Arial"/>
                <w:szCs w:val="18"/>
              </w:rPr>
              <w:t>Target volume may be XX, or match the volume of the parent</w:t>
            </w:r>
          </w:p>
          <w:p w14:paraId="0BA8172D" w14:textId="77777777" w:rsidR="00025409" w:rsidRDefault="00025409" w:rsidP="00025409">
            <w:pPr>
              <w:pStyle w:val="TableText"/>
              <w:ind w:left="252"/>
            </w:pPr>
          </w:p>
        </w:tc>
      </w:tr>
      <w:tr w:rsidR="002A21AE" w14:paraId="442B49D3" w14:textId="77777777" w:rsidTr="004A7B44">
        <w:trPr>
          <w:cantSplit/>
        </w:trPr>
        <w:tc>
          <w:tcPr>
            <w:tcW w:w="3240" w:type="dxa"/>
          </w:tcPr>
          <w:p w14:paraId="3C98B098" w14:textId="77777777" w:rsidR="002A21AE" w:rsidRDefault="002A21AE">
            <w:pPr>
              <w:pStyle w:val="TableTextNumbers"/>
            </w:pPr>
            <w:r>
              <w:lastRenderedPageBreak/>
              <w:t>Accept or edit the displayed expiration date.</w:t>
            </w:r>
          </w:p>
        </w:tc>
        <w:tc>
          <w:tcPr>
            <w:tcW w:w="6120" w:type="dxa"/>
          </w:tcPr>
          <w:p w14:paraId="48BB7F26" w14:textId="77777777" w:rsidR="002A21AE" w:rsidRDefault="002A21AE">
            <w:pPr>
              <w:pStyle w:val="TableTextBullet"/>
              <w:tabs>
                <w:tab w:val="num" w:pos="360"/>
              </w:tabs>
            </w:pPr>
            <w:r>
              <w:t>Displays the expiration date.</w:t>
            </w:r>
          </w:p>
          <w:p w14:paraId="5C09BD07" w14:textId="77777777" w:rsidR="002A21AE" w:rsidRDefault="002A21AE">
            <w:pPr>
              <w:pStyle w:val="TableTextBullet"/>
              <w:tabs>
                <w:tab w:val="num" w:pos="360"/>
              </w:tabs>
            </w:pPr>
            <w:r>
              <w:t xml:space="preserve">Calculates and displays the volume of each split unit. </w:t>
            </w:r>
          </w:p>
          <w:p w14:paraId="7CA5A8C8" w14:textId="77777777" w:rsidR="002A21AE" w:rsidRDefault="002A21AE">
            <w:pPr>
              <w:pStyle w:val="TableText"/>
            </w:pPr>
          </w:p>
          <w:p w14:paraId="7A48E86E" w14:textId="6FF9931F" w:rsidR="002A21AE" w:rsidRDefault="002A21AE">
            <w:pPr>
              <w:pStyle w:val="TableText"/>
              <w:rPr>
                <w:b/>
                <w:bCs/>
                <w:szCs w:val="18"/>
              </w:rPr>
            </w:pPr>
            <w:r>
              <w:rPr>
                <w:b/>
                <w:bCs/>
                <w:szCs w:val="18"/>
              </w:rPr>
              <w:t>NOTES</w:t>
            </w:r>
          </w:p>
          <w:p w14:paraId="02B54790" w14:textId="6B0C7D4D" w:rsidR="002A21AE" w:rsidRDefault="002A21AE">
            <w:pPr>
              <w:pStyle w:val="TableText"/>
              <w:rPr>
                <w:b/>
                <w:bCs/>
                <w:szCs w:val="18"/>
              </w:rPr>
            </w:pPr>
          </w:p>
          <w:p w14:paraId="7F86FE1B" w14:textId="51FF0F32" w:rsidR="00E93AC0" w:rsidRPr="00E93AC0" w:rsidRDefault="002A21AE" w:rsidP="00E93AC0">
            <w:pPr>
              <w:pStyle w:val="NotesText"/>
            </w:pPr>
            <w:r w:rsidRPr="00E93AC0">
              <w:rPr>
                <w:vanish/>
              </w:rPr>
              <w:t xml:space="preserve">BR_25.05 </w:t>
            </w:r>
            <w:r w:rsidR="00E93AC0" w:rsidRPr="00E93AC0">
              <w:t xml:space="preserve">VBECS calculates and displays default volumes for each target split (does not include pediatric aliquots) based on the volume of the original unit and the number of splits being created, consuming the total volume of the original unit. The system will restrict the user </w:t>
            </w:r>
            <w:r w:rsidR="00D676C0">
              <w:t>to enter a value between 1 and 2000</w:t>
            </w:r>
            <w:r w:rsidR="00E93AC0" w:rsidRPr="00E93AC0">
              <w:t>.</w:t>
            </w:r>
          </w:p>
          <w:p w14:paraId="78CF44BF" w14:textId="77777777" w:rsidR="00E93AC0" w:rsidRPr="00D06747" w:rsidRDefault="00E93AC0" w:rsidP="00E93AC0">
            <w:pPr>
              <w:pStyle w:val="TableText"/>
              <w:rPr>
                <w:rFonts w:cs="Arial"/>
                <w:szCs w:val="18"/>
              </w:rPr>
            </w:pPr>
          </w:p>
          <w:p w14:paraId="428D5CBB" w14:textId="77777777" w:rsidR="002A21AE" w:rsidRDefault="00E93AC0" w:rsidP="00E93AC0">
            <w:pPr>
              <w:pStyle w:val="NotesText"/>
            </w:pPr>
            <w:r w:rsidRPr="00D06747">
              <w:t>The system will split the volume evenly among the splits and add the remainder to the first split.</w:t>
            </w:r>
          </w:p>
        </w:tc>
      </w:tr>
      <w:tr w:rsidR="002A21AE" w14:paraId="77AB46E2" w14:textId="77777777" w:rsidTr="004A7B44">
        <w:trPr>
          <w:cantSplit/>
        </w:trPr>
        <w:tc>
          <w:tcPr>
            <w:tcW w:w="3240" w:type="dxa"/>
          </w:tcPr>
          <w:p w14:paraId="4BBBFFF7" w14:textId="77777777" w:rsidR="002A21AE" w:rsidRDefault="002A21AE">
            <w:pPr>
              <w:pStyle w:val="TableTextNumbers"/>
            </w:pPr>
            <w:r>
              <w:t>Accept or edit the displayed unit volumes.</w:t>
            </w:r>
          </w:p>
        </w:tc>
        <w:tc>
          <w:tcPr>
            <w:tcW w:w="6120" w:type="dxa"/>
          </w:tcPr>
          <w:p w14:paraId="0657782E" w14:textId="77777777" w:rsidR="002A21AE" w:rsidRDefault="002A21AE">
            <w:pPr>
              <w:pStyle w:val="TableTextBullet"/>
              <w:tabs>
                <w:tab w:val="num" w:pos="360"/>
              </w:tabs>
            </w:pPr>
            <w:r>
              <w:t>Displays the original and target unit data for review.</w:t>
            </w:r>
          </w:p>
          <w:p w14:paraId="64AA4132" w14:textId="77777777" w:rsidR="002A21AE" w:rsidRDefault="002A21AE">
            <w:pPr>
              <w:pStyle w:val="TableText"/>
            </w:pPr>
          </w:p>
          <w:p w14:paraId="7293F5C0" w14:textId="548E0FC3" w:rsidR="002A21AE" w:rsidRDefault="002A21AE">
            <w:pPr>
              <w:pStyle w:val="TableText"/>
              <w:rPr>
                <w:b/>
                <w:bCs/>
                <w:szCs w:val="18"/>
              </w:rPr>
            </w:pPr>
            <w:r>
              <w:rPr>
                <w:b/>
                <w:bCs/>
                <w:szCs w:val="18"/>
              </w:rPr>
              <w:t>NOTES</w:t>
            </w:r>
          </w:p>
          <w:p w14:paraId="3147B7BE" w14:textId="77777777" w:rsidR="002A21AE" w:rsidRDefault="002A21AE">
            <w:pPr>
              <w:pStyle w:val="NotesText"/>
            </w:pPr>
          </w:p>
          <w:p w14:paraId="2760CA91" w14:textId="77777777" w:rsidR="002A21AE" w:rsidRDefault="002A21AE">
            <w:pPr>
              <w:pStyle w:val="NotesText"/>
            </w:pPr>
            <w:r>
              <w:t>The user may not edit original unit data.</w:t>
            </w:r>
          </w:p>
          <w:p w14:paraId="4747EEA6" w14:textId="77777777" w:rsidR="002A21AE" w:rsidRDefault="002A21AE">
            <w:pPr>
              <w:pStyle w:val="NotesText"/>
            </w:pPr>
          </w:p>
          <w:p w14:paraId="087E7A6D" w14:textId="77777777" w:rsidR="00A40202" w:rsidRDefault="002A21AE" w:rsidP="00A40202">
            <w:pPr>
              <w:pStyle w:val="TableText"/>
              <w:rPr>
                <w:b/>
                <w:bCs/>
                <w:sz w:val="20"/>
              </w:rPr>
            </w:pPr>
            <w:r>
              <w:rPr>
                <w:rFonts w:cs="Arial"/>
                <w:vanish/>
              </w:rPr>
              <w:t xml:space="preserve">BR_25.11 </w:t>
            </w:r>
            <w:r w:rsidR="00A40202">
              <w:rPr>
                <w:b/>
                <w:bCs/>
              </w:rPr>
              <w:t>For Split modification type:</w:t>
            </w:r>
          </w:p>
          <w:p w14:paraId="772B5D78" w14:textId="77777777" w:rsidR="00A40202" w:rsidRDefault="00A40202" w:rsidP="00925CAD">
            <w:pPr>
              <w:pStyle w:val="TableText"/>
              <w:numPr>
                <w:ilvl w:val="0"/>
                <w:numId w:val="71"/>
              </w:numPr>
              <w:ind w:left="252" w:hanging="198"/>
            </w:pPr>
            <w:r>
              <w:t>Do not allow splitting frozen products.</w:t>
            </w:r>
          </w:p>
          <w:p w14:paraId="55ADB56F" w14:textId="4AB7A73C" w:rsidR="00A40202" w:rsidRDefault="00A40202" w:rsidP="00925CAD">
            <w:pPr>
              <w:pStyle w:val="TableText"/>
              <w:numPr>
                <w:ilvl w:val="0"/>
                <w:numId w:val="71"/>
              </w:numPr>
              <w:ind w:left="252" w:hanging="198"/>
            </w:pPr>
            <w:r>
              <w:t>There is no attribute assigned for split.</w:t>
            </w:r>
          </w:p>
          <w:p w14:paraId="33EF1FFF" w14:textId="0D20B381" w:rsidR="002A21AE" w:rsidRDefault="00F744C5" w:rsidP="00925CAD">
            <w:pPr>
              <w:pStyle w:val="TableText"/>
              <w:numPr>
                <w:ilvl w:val="0"/>
                <w:numId w:val="71"/>
              </w:numPr>
              <w:ind w:left="252" w:hanging="198"/>
            </w:pPr>
            <w:r>
              <w:t>Maintain original product type attributes to the target.</w:t>
            </w:r>
          </w:p>
        </w:tc>
      </w:tr>
      <w:tr w:rsidR="002A21AE" w14:paraId="3EED31AB" w14:textId="77777777" w:rsidTr="004A7B44">
        <w:trPr>
          <w:cantSplit/>
        </w:trPr>
        <w:tc>
          <w:tcPr>
            <w:tcW w:w="3240" w:type="dxa"/>
          </w:tcPr>
          <w:p w14:paraId="00CB56B9" w14:textId="77777777" w:rsidR="002A21AE" w:rsidRDefault="002A21AE">
            <w:pPr>
              <w:pStyle w:val="TableTextNumbers"/>
            </w:pPr>
            <w:r>
              <w:t>Review the displayed data for the target units and confirm the modification type.</w:t>
            </w:r>
          </w:p>
        </w:tc>
        <w:tc>
          <w:tcPr>
            <w:tcW w:w="6120" w:type="dxa"/>
          </w:tcPr>
          <w:p w14:paraId="13CAAC2F" w14:textId="77777777" w:rsidR="002A21AE" w:rsidRDefault="002A21AE" w:rsidP="000C3495">
            <w:pPr>
              <w:pStyle w:val="TableTextBullet"/>
            </w:pPr>
            <w:r>
              <w:t>Displays the target unit’s ID number.</w:t>
            </w:r>
          </w:p>
          <w:p w14:paraId="613C4AA9" w14:textId="77777777" w:rsidR="002A21AE" w:rsidRDefault="002A21AE">
            <w:pPr>
              <w:pStyle w:val="TableText"/>
            </w:pPr>
          </w:p>
          <w:p w14:paraId="61091497" w14:textId="68FF7D49" w:rsidR="002A21AE" w:rsidRDefault="002A21AE">
            <w:pPr>
              <w:pStyle w:val="TableText"/>
              <w:rPr>
                <w:b/>
                <w:bCs/>
                <w:szCs w:val="18"/>
              </w:rPr>
            </w:pPr>
            <w:r>
              <w:rPr>
                <w:b/>
                <w:bCs/>
                <w:szCs w:val="18"/>
              </w:rPr>
              <w:t>NOTES</w:t>
            </w:r>
          </w:p>
          <w:p w14:paraId="3467C943" w14:textId="77777777" w:rsidR="002A21AE" w:rsidRDefault="002A21AE">
            <w:pPr>
              <w:pStyle w:val="NotesText"/>
            </w:pPr>
          </w:p>
          <w:p w14:paraId="0CA0D21B" w14:textId="77777777" w:rsidR="002A21AE" w:rsidRPr="001416EA" w:rsidRDefault="002A21AE">
            <w:pPr>
              <w:pStyle w:val="NotesTextBullet"/>
              <w:rPr>
                <w:rStyle w:val="NotesTextBullet1Char"/>
                <w:color w:val="auto"/>
              </w:rPr>
            </w:pPr>
            <w:r>
              <w:rPr>
                <w:rFonts w:cs="Arial"/>
                <w:vanish/>
              </w:rPr>
              <w:t>BR</w:t>
            </w:r>
            <w:r>
              <w:rPr>
                <w:rStyle w:val="NotesTextBullet1Char"/>
                <w:rFonts w:cs="Arial"/>
                <w:vanish/>
                <w:color w:val="auto"/>
              </w:rPr>
              <w:t xml:space="preserve">_25.07 </w:t>
            </w:r>
            <w:r>
              <w:rPr>
                <w:rStyle w:val="NotesTextBullet1Char"/>
              </w:rPr>
              <w:t xml:space="preserve">ISBT 128: the unit ID, five-digit product description code, and sixth-character donation code remain the same. Characters 7 and 8 of the ISBT 128 product code barcode reflect the aliquot level: when a previously undivided unit is split, character 7 of the unique eight-digit ISBT 128 product code is incremented alphabetically in uppercase letters, resulting in characters 7 and 8: A0, B0, C0, </w:t>
            </w:r>
            <w:r w:rsidR="00A10483">
              <w:rPr>
                <w:rStyle w:val="NotesTextBullet1Char"/>
              </w:rPr>
              <w:t>D0 …</w:t>
            </w:r>
            <w:r>
              <w:rPr>
                <w:rStyle w:val="NotesTextBullet1Char"/>
              </w:rPr>
              <w:t xml:space="preserve"> Z0.</w:t>
            </w:r>
          </w:p>
          <w:p w14:paraId="10A90338" w14:textId="77777777" w:rsidR="001416EA" w:rsidRDefault="001416EA" w:rsidP="001416EA">
            <w:pPr>
              <w:pStyle w:val="NotesTextBullet"/>
              <w:numPr>
                <w:ilvl w:val="0"/>
                <w:numId w:val="0"/>
              </w:numPr>
              <w:ind w:left="1008" w:hanging="288"/>
            </w:pPr>
          </w:p>
        </w:tc>
      </w:tr>
      <w:tr w:rsidR="002A21AE" w14:paraId="738282F6" w14:textId="77777777" w:rsidTr="004A7B44">
        <w:trPr>
          <w:cantSplit/>
        </w:trPr>
        <w:tc>
          <w:tcPr>
            <w:tcW w:w="3240" w:type="dxa"/>
          </w:tcPr>
          <w:p w14:paraId="2C973B0C" w14:textId="77777777" w:rsidR="002A21AE" w:rsidRDefault="002A21AE">
            <w:pPr>
              <w:pStyle w:val="TableTextNumbers"/>
            </w:pPr>
            <w:r>
              <w:t xml:space="preserve">Click </w:t>
            </w:r>
            <w:r>
              <w:rPr>
                <w:b/>
              </w:rPr>
              <w:t>OK</w:t>
            </w:r>
            <w:r>
              <w:t xml:space="preserve"> to save.</w:t>
            </w:r>
          </w:p>
          <w:p w14:paraId="40C1119A" w14:textId="77777777" w:rsidR="00913F95" w:rsidRDefault="00913F95" w:rsidP="00913F95">
            <w:pPr>
              <w:pStyle w:val="TableTextNumbersContinued"/>
            </w:pPr>
          </w:p>
          <w:p w14:paraId="49CD1D68" w14:textId="77777777" w:rsidR="00913F95" w:rsidRDefault="00913F95" w:rsidP="00913F95">
            <w:pPr>
              <w:pStyle w:val="TableTextNumbersContinued"/>
            </w:pPr>
            <w:r>
              <w:t xml:space="preserve">Click </w:t>
            </w:r>
            <w:r w:rsidRPr="00A77D1F">
              <w:rPr>
                <w:b/>
              </w:rPr>
              <w:t>Yes</w:t>
            </w:r>
            <w:r>
              <w:t xml:space="preserve"> to verify the label.</w:t>
            </w:r>
          </w:p>
        </w:tc>
        <w:tc>
          <w:tcPr>
            <w:tcW w:w="6120" w:type="dxa"/>
          </w:tcPr>
          <w:p w14:paraId="5CEDFE2A" w14:textId="77777777" w:rsidR="000C3495" w:rsidRDefault="000C3495" w:rsidP="000C3495">
            <w:pPr>
              <w:pStyle w:val="TableTextBullet"/>
              <w:tabs>
                <w:tab w:val="num" w:pos="360"/>
              </w:tabs>
            </w:pPr>
            <w:r>
              <w:t xml:space="preserve">Prompts the user to save the data, including patient assignment and restriction information, if any. </w:t>
            </w:r>
          </w:p>
          <w:p w14:paraId="313C73DD" w14:textId="77777777" w:rsidR="002A21AE" w:rsidRDefault="002A21AE">
            <w:pPr>
              <w:pStyle w:val="TableTextBullet"/>
            </w:pPr>
            <w:r>
              <w:t>Saves aliquots created from the modified unit.</w:t>
            </w:r>
          </w:p>
          <w:p w14:paraId="7735C09F" w14:textId="77777777" w:rsidR="00913F95" w:rsidRDefault="00EE2911" w:rsidP="00913F95">
            <w:pPr>
              <w:pStyle w:val="TableTextBullet"/>
              <w:tabs>
                <w:tab w:val="clear" w:pos="288"/>
              </w:tabs>
            </w:pPr>
            <w:r>
              <w:t>Records the unit ID of the target unit on the record of the original unit.</w:t>
            </w:r>
          </w:p>
          <w:p w14:paraId="642B7DB5" w14:textId="77777777" w:rsidR="00E92B60" w:rsidRDefault="00E92B60" w:rsidP="00E92B60">
            <w:pPr>
              <w:pStyle w:val="TableTextBullet"/>
              <w:tabs>
                <w:tab w:val="clear" w:pos="288"/>
              </w:tabs>
            </w:pPr>
            <w:r>
              <w:t>Saves only the technologist name and the date and time the label was verified. When the user indicates that a new label applied fails to complete the verification process, releases the assignment, quarantines the unit, and captures details for inclusion in an Exception Report (exception type: target product label failed checks).</w:t>
            </w:r>
          </w:p>
        </w:tc>
      </w:tr>
      <w:tr w:rsidR="002A21AE" w14:paraId="4A38CD9A" w14:textId="77777777" w:rsidTr="004A7B44">
        <w:trPr>
          <w:cantSplit/>
        </w:trPr>
        <w:tc>
          <w:tcPr>
            <w:tcW w:w="3240" w:type="dxa"/>
            <w:tcBorders>
              <w:bottom w:val="single" w:sz="4" w:space="0" w:color="auto"/>
            </w:tcBorders>
          </w:tcPr>
          <w:p w14:paraId="70E6FB05" w14:textId="77777777" w:rsidR="000C3495" w:rsidRDefault="000C3495">
            <w:pPr>
              <w:pStyle w:val="TableTextNumbers"/>
            </w:pPr>
            <w:r>
              <w:t xml:space="preserve">Click </w:t>
            </w:r>
            <w:r w:rsidR="00913F95">
              <w:rPr>
                <w:b/>
              </w:rPr>
              <w:t>Yes</w:t>
            </w:r>
            <w:r>
              <w:t xml:space="preserve"> to save.</w:t>
            </w:r>
          </w:p>
          <w:p w14:paraId="6838DF22" w14:textId="77777777" w:rsidR="000C3495" w:rsidRDefault="000C3495" w:rsidP="000C3495">
            <w:pPr>
              <w:pStyle w:val="TableTextNumbersContinued"/>
            </w:pPr>
          </w:p>
          <w:p w14:paraId="68D4FFFA" w14:textId="01B79628" w:rsidR="002A21AE" w:rsidRDefault="002A21AE" w:rsidP="000C3495">
            <w:pPr>
              <w:pStyle w:val="TableTextNumbersContinued"/>
            </w:pPr>
            <w:r>
              <w:t>Repeat Steps 2</w:t>
            </w:r>
            <w:r w:rsidR="004F5589">
              <w:t xml:space="preserve"> through </w:t>
            </w:r>
            <w:r>
              <w:t>9 to split additional units, or return to Step 1 to use a different modification method on a</w:t>
            </w:r>
            <w:r w:rsidR="00C43733">
              <w:t>nother</w:t>
            </w:r>
            <w:r>
              <w:t xml:space="preserve"> unit.</w:t>
            </w:r>
          </w:p>
        </w:tc>
        <w:tc>
          <w:tcPr>
            <w:tcW w:w="6120" w:type="dxa"/>
            <w:tcBorders>
              <w:bottom w:val="single" w:sz="4" w:space="0" w:color="auto"/>
            </w:tcBorders>
          </w:tcPr>
          <w:p w14:paraId="4E6D17D9" w14:textId="77777777" w:rsidR="002A21AE" w:rsidRDefault="002A21AE">
            <w:pPr>
              <w:pStyle w:val="TableTextBullet"/>
            </w:pPr>
            <w:r>
              <w:t>Prompts the user to split or modify another unit.</w:t>
            </w:r>
          </w:p>
        </w:tc>
      </w:tr>
      <w:tr w:rsidR="002A21AE" w14:paraId="206691E6" w14:textId="77777777" w:rsidTr="004A7B44">
        <w:trPr>
          <w:cantSplit/>
        </w:trPr>
        <w:tc>
          <w:tcPr>
            <w:tcW w:w="3240" w:type="dxa"/>
            <w:tcBorders>
              <w:bottom w:val="single" w:sz="4" w:space="0" w:color="auto"/>
            </w:tcBorders>
          </w:tcPr>
          <w:p w14:paraId="00346AC2" w14:textId="77777777" w:rsidR="002A21AE" w:rsidRDefault="002A21AE">
            <w:pPr>
              <w:pStyle w:val="TableTextNumbers"/>
            </w:pPr>
            <w:r>
              <w:t xml:space="preserve">Exit. </w:t>
            </w:r>
            <w:r>
              <w:rPr>
                <w:vanish/>
                <w:color w:val="FFFFFF"/>
                <w:szCs w:val="18"/>
              </w:rPr>
              <w:fldChar w:fldCharType="begin"/>
            </w:r>
            <w:r>
              <w:rPr>
                <w:vanish/>
                <w:color w:val="FFFFFF"/>
                <w:szCs w:val="18"/>
              </w:rPr>
              <w:instrText xml:space="preserve"> LISTNUM \l 1 \s 0 </w:instrText>
            </w:r>
            <w:r>
              <w:rPr>
                <w:vanish/>
                <w:color w:val="FFFFFF"/>
                <w:szCs w:val="18"/>
              </w:rPr>
              <w:fldChar w:fldCharType="end">
                <w:numberingChange w:id="357" w:author="MUSZYNSKI, THOMAS D. (SIERRA 7 INC)" w:date="2024-11-26T07:15:00Z" w:original="0."/>
              </w:fldChar>
            </w:r>
          </w:p>
        </w:tc>
        <w:tc>
          <w:tcPr>
            <w:tcW w:w="6120" w:type="dxa"/>
            <w:tcBorders>
              <w:bottom w:val="single" w:sz="4" w:space="0" w:color="auto"/>
            </w:tcBorders>
          </w:tcPr>
          <w:p w14:paraId="75F057D6" w14:textId="77777777" w:rsidR="002A21AE" w:rsidRDefault="002A21AE">
            <w:pPr>
              <w:pStyle w:val="TableText"/>
            </w:pPr>
          </w:p>
        </w:tc>
      </w:tr>
    </w:tbl>
    <w:p w14:paraId="578B9585" w14:textId="77777777" w:rsidR="002A21AE" w:rsidRDefault="009F1B54">
      <w:pPr>
        <w:pStyle w:val="Heading3"/>
      </w:pPr>
      <w:bookmarkStart w:id="358" w:name="_Toc94349343"/>
      <w:r>
        <w:br w:type="page"/>
      </w:r>
      <w:bookmarkStart w:id="359" w:name="_Toc203765891"/>
      <w:r w:rsidR="002A21AE">
        <w:lastRenderedPageBreak/>
        <w:t>Modify Units: Pool Units</w:t>
      </w:r>
      <w:bookmarkEnd w:id="359"/>
      <w:r w:rsidR="002A21AE" w:rsidRPr="007716F7">
        <w:rPr>
          <w:vanish/>
        </w:rPr>
        <w:fldChar w:fldCharType="begin"/>
      </w:r>
      <w:r w:rsidR="002A21AE" w:rsidRPr="007716F7">
        <w:rPr>
          <w:vanish/>
        </w:rPr>
        <w:instrText xml:space="preserve"> XE </w:instrText>
      </w:r>
      <w:r w:rsidR="00FA7E65" w:rsidRPr="007716F7">
        <w:rPr>
          <w:vanish/>
        </w:rPr>
        <w:instrText>“</w:instrText>
      </w:r>
      <w:r w:rsidR="002A21AE" w:rsidRPr="007716F7">
        <w:rPr>
          <w:vanish/>
        </w:rPr>
        <w:instrText>Modify Units\: Pool Units</w:instrText>
      </w:r>
      <w:r w:rsidR="00FA7E65" w:rsidRPr="007716F7">
        <w:rPr>
          <w:vanish/>
        </w:rPr>
        <w:instrText>”</w:instrText>
      </w:r>
      <w:r w:rsidR="002A21AE" w:rsidRPr="007716F7">
        <w:rPr>
          <w:vanish/>
        </w:rPr>
        <w:instrText xml:space="preserve"> </w:instrText>
      </w:r>
      <w:r w:rsidR="002A21AE" w:rsidRPr="007716F7">
        <w:rPr>
          <w:vanish/>
        </w:rPr>
        <w:fldChar w:fldCharType="end"/>
      </w:r>
      <w:r w:rsidR="002A21AE" w:rsidRPr="007716F7">
        <w:rPr>
          <w:vanish/>
        </w:rPr>
        <w:t xml:space="preserve"> UC_2</w:t>
      </w:r>
      <w:bookmarkEnd w:id="358"/>
      <w:r w:rsidR="00B30CE5">
        <w:rPr>
          <w:vanish/>
        </w:rPr>
        <w:t>6</w:t>
      </w:r>
    </w:p>
    <w:p w14:paraId="20F3FE23" w14:textId="77777777" w:rsidR="002A21AE" w:rsidRDefault="002A21AE" w:rsidP="00FA7E65">
      <w:pPr>
        <w:pStyle w:val="BodyText"/>
      </w:pPr>
      <w:bookmarkStart w:id="360" w:name="_Toc78292638"/>
      <w:r>
        <w:t xml:space="preserve">The user selects units to be pooled. </w:t>
      </w:r>
    </w:p>
    <w:p w14:paraId="4B6950FE" w14:textId="77777777" w:rsidR="002A21AE" w:rsidRDefault="002A21AE">
      <w:pPr>
        <w:pStyle w:val="Heading4"/>
      </w:pPr>
      <w:bookmarkStart w:id="361" w:name="_Toc94349344"/>
      <w:r>
        <w:t>Assumptions</w:t>
      </w:r>
      <w:bookmarkEnd w:id="361"/>
    </w:p>
    <w:p w14:paraId="2254F6AB" w14:textId="77777777" w:rsidR="002A21AE" w:rsidRDefault="002A21AE">
      <w:pPr>
        <w:pStyle w:val="ListBullet"/>
      </w:pPr>
      <w:r>
        <w:t>See Modify Units.</w:t>
      </w:r>
    </w:p>
    <w:p w14:paraId="3087C228" w14:textId="77777777" w:rsidR="002A21AE" w:rsidRDefault="002A21AE">
      <w:pPr>
        <w:pStyle w:val="Heading4"/>
      </w:pPr>
      <w:bookmarkStart w:id="362" w:name="_Toc94349345"/>
      <w:r>
        <w:t>Outcome</w:t>
      </w:r>
      <w:bookmarkEnd w:id="362"/>
    </w:p>
    <w:p w14:paraId="63304FAC" w14:textId="77777777" w:rsidR="002A21AE" w:rsidRDefault="002A21AE">
      <w:pPr>
        <w:pStyle w:val="ListBullet"/>
      </w:pPr>
      <w:r>
        <w:t>See Modify Units.</w:t>
      </w:r>
    </w:p>
    <w:p w14:paraId="4F6D5CD7" w14:textId="77777777" w:rsidR="002A21AE" w:rsidRDefault="002A21AE">
      <w:pPr>
        <w:pStyle w:val="Heading4"/>
      </w:pPr>
      <w:bookmarkStart w:id="363" w:name="_Toc94349346"/>
      <w:r>
        <w:t>Limitations and Restrictions</w:t>
      </w:r>
      <w:bookmarkEnd w:id="363"/>
      <w:r w:rsidR="0004660C">
        <w:t xml:space="preserve"> </w:t>
      </w:r>
      <w:r w:rsidR="0004660C" w:rsidRPr="002546AC">
        <w:rPr>
          <w:rFonts w:ascii="Arial Bold" w:hAnsi="Arial Bold"/>
          <w:b w:val="0"/>
          <w:vanish/>
        </w:rPr>
        <w:t>DR 4474 removed third bullet</w:t>
      </w:r>
    </w:p>
    <w:p w14:paraId="318F7867" w14:textId="77777777" w:rsidR="00E11C56" w:rsidRDefault="00E11C56">
      <w:pPr>
        <w:pStyle w:val="ListBullet"/>
      </w:pPr>
      <w:r>
        <w:t>VBECS allows modification of units only in limited, assigned, crossmatched, and available statuses.</w:t>
      </w:r>
    </w:p>
    <w:p w14:paraId="680AC827" w14:textId="4D1733CE" w:rsidR="00971928" w:rsidRDefault="00D47D4A" w:rsidP="0004660C">
      <w:pPr>
        <w:pStyle w:val="ListBullet"/>
      </w:pPr>
      <w:r w:rsidRPr="00D47D4A">
        <w:t>When a</w:t>
      </w:r>
      <w:r>
        <w:t xml:space="preserve"> user adds a</w:t>
      </w:r>
      <w:r w:rsidRPr="00D47D4A">
        <w:t xml:space="preserve"> biohazardous unit to a pool, </w:t>
      </w:r>
      <w:r>
        <w:t xml:space="preserve">VBECS does not </w:t>
      </w:r>
      <w:r w:rsidR="0074247E">
        <w:t>designate</w:t>
      </w:r>
      <w:r>
        <w:t xml:space="preserve"> </w:t>
      </w:r>
      <w:r w:rsidR="002B51D0">
        <w:t xml:space="preserve">the </w:t>
      </w:r>
      <w:r w:rsidRPr="00D47D4A">
        <w:t xml:space="preserve">pool </w:t>
      </w:r>
      <w:r w:rsidR="0074247E">
        <w:t>as</w:t>
      </w:r>
      <w:r w:rsidRPr="00D47D4A">
        <w:t xml:space="preserve"> biohazardous</w:t>
      </w:r>
      <w:r w:rsidR="00785616">
        <w:t xml:space="preserve"> on the Blood Transfusion Record Form (BTRF) or Caution Tag</w:t>
      </w:r>
      <w:r w:rsidRPr="00D47D4A">
        <w:t>.</w:t>
      </w:r>
    </w:p>
    <w:p w14:paraId="00AD7DFA" w14:textId="77777777" w:rsidR="002A21AE" w:rsidRDefault="002A21AE">
      <w:pPr>
        <w:pStyle w:val="Heading4"/>
      </w:pPr>
      <w:bookmarkStart w:id="364" w:name="_Toc94349347"/>
      <w:r>
        <w:t>Additional Information</w:t>
      </w:r>
      <w:bookmarkEnd w:id="364"/>
    </w:p>
    <w:p w14:paraId="1AC69253" w14:textId="77777777" w:rsidR="002A21AE" w:rsidRDefault="002A21AE">
      <w:pPr>
        <w:pStyle w:val="ListBullet"/>
      </w:pPr>
      <w:r w:rsidRPr="009D4EED">
        <w:rPr>
          <w:vanish/>
        </w:rPr>
        <w:t>BR_24.16</w:t>
      </w:r>
      <w:r>
        <w:rPr>
          <w:rFonts w:ascii="Arial" w:hAnsi="Arial" w:cs="Arial"/>
          <w:vanish/>
          <w:spacing w:val="0"/>
          <w:sz w:val="18"/>
        </w:rPr>
        <w:t xml:space="preserve"> </w:t>
      </w:r>
      <w:r>
        <w:t xml:space="preserve">When autologous or directed units are pooled, the “restricted for” patient must be the same for all units. VBECS assigns the same donation type and applies the “restricted for” patient data to the pool. </w:t>
      </w:r>
    </w:p>
    <w:p w14:paraId="4EE83DF7" w14:textId="77777777" w:rsidR="00A03B5F" w:rsidRDefault="00A03B5F" w:rsidP="00A03B5F">
      <w:pPr>
        <w:pStyle w:val="ListBullet"/>
      </w:pPr>
      <w:r>
        <w:t>To reverse the pooling of units:</w:t>
      </w:r>
    </w:p>
    <w:p w14:paraId="3E9DFA78" w14:textId="77777777" w:rsidR="00EB1E75" w:rsidRDefault="00A03B5F" w:rsidP="00EB1E75">
      <w:pPr>
        <w:pStyle w:val="ListBullet2"/>
      </w:pPr>
      <w:r>
        <w:t xml:space="preserve">Inactivate the target </w:t>
      </w:r>
      <w:r w:rsidRPr="00234222">
        <w:t>through</w:t>
      </w:r>
      <w:r>
        <w:t xml:space="preserve"> Edit Unit Information. </w:t>
      </w:r>
    </w:p>
    <w:p w14:paraId="4D9EA58F" w14:textId="77777777" w:rsidR="00A03B5F" w:rsidRDefault="00A03B5F" w:rsidP="00EB1E75">
      <w:pPr>
        <w:pStyle w:val="ListBullet2"/>
      </w:pPr>
      <w:r>
        <w:t>Remove the “modified” status from each unit in the pool through Remove Final Status.</w:t>
      </w:r>
    </w:p>
    <w:p w14:paraId="5A42423A" w14:textId="77777777" w:rsidR="00A03B5F" w:rsidRDefault="00A03B5F" w:rsidP="00A03B5F">
      <w:pPr>
        <w:pStyle w:val="ListBullet"/>
      </w:pPr>
      <w:r>
        <w:t>To edit the number of units in an existing pool, use Add/Remove Units from a Pool.</w:t>
      </w:r>
    </w:p>
    <w:p w14:paraId="3AF39EC3" w14:textId="77777777" w:rsidR="002A21AE" w:rsidRDefault="002A21AE">
      <w:pPr>
        <w:pStyle w:val="Heading4"/>
      </w:pPr>
      <w:bookmarkStart w:id="365" w:name="_Toc94349348"/>
      <w:r>
        <w:t>User Roles with Access to This Option</w:t>
      </w:r>
      <w:bookmarkEnd w:id="365"/>
    </w:p>
    <w:bookmarkEnd w:id="360"/>
    <w:p w14:paraId="2F1E63B3" w14:textId="77777777" w:rsidR="001A3179" w:rsidRDefault="001A3179" w:rsidP="001A3179">
      <w:pPr>
        <w:pStyle w:val="Roles"/>
        <w:rPr>
          <w:snapToGrid w:val="0"/>
        </w:rPr>
      </w:pPr>
      <w:r>
        <w:t>All users</w:t>
      </w:r>
    </w:p>
    <w:p w14:paraId="3BE3A118" w14:textId="77777777" w:rsidR="002A21AE" w:rsidRDefault="002A21AE">
      <w:pPr>
        <w:pStyle w:val="Heading4"/>
      </w:pPr>
      <w:r>
        <w:t>Modify Units: Pool Units</w:t>
      </w:r>
    </w:p>
    <w:p w14:paraId="26A7F21B" w14:textId="77777777" w:rsidR="002A21AE" w:rsidRDefault="002A21AE" w:rsidP="00FA7E65">
      <w:pPr>
        <w:pStyle w:val="BodyText"/>
      </w:pPr>
      <w:r>
        <w:t xml:space="preserve">When the pooling is in process or almost complete, the user records it in VBECS. Data entry may also be completed retrospectively. The user pools units and enters the ID and product code of the original unit and the IDs and product codes for each unit added to the pool. </w:t>
      </w:r>
    </w:p>
    <w:p w14:paraId="13FFCE3A" w14:textId="77777777" w:rsidR="002A21AE" w:rsidRDefault="002A21AE" w:rsidP="00FA7E65">
      <w:pPr>
        <w:pStyle w:val="BodyText"/>
      </w:pPr>
      <w:r>
        <w:t xml:space="preserve">VBECS records the date and time the units are pooled, uses the date and time to calculate a new expiration date for the pool, and assigns a unit ID and ABO/Rh, as defined by system rules. When an original unit in a pool was previously assigned to a patient, VBECS asks the user whether the entire pool is to be assigned to that patient. VBECS automatically assigns autologous and directed patient restriction data from an individual unit to the pool. VBECS determines the volume of the pool based on the sum of the volumes of the units in the pool. </w:t>
      </w:r>
    </w:p>
    <w:p w14:paraId="5797476F" w14:textId="77777777" w:rsidR="002A21AE" w:rsidRDefault="002A21AE" w:rsidP="00FA7E65">
      <w:pPr>
        <w:pStyle w:val="BodyText"/>
      </w:pPr>
      <w:r>
        <w:t xml:space="preserve">The new, </w:t>
      </w:r>
      <w:r>
        <w:rPr>
          <w:iCs/>
        </w:rPr>
        <w:t>pooled</w:t>
      </w:r>
      <w:r>
        <w:t xml:space="preserve"> unit needs a full set of unit properties, some of which were defined by the original units’ properties. VBECS assigns new properties such as volume, date and time created, container lot number, and expiration date to the target.</w:t>
      </w:r>
    </w:p>
    <w:p w14:paraId="619C4849" w14:textId="77777777" w:rsidR="002A21AE" w:rsidRDefault="002A21AE" w:rsidP="00FA7E65">
      <w:pPr>
        <w:pStyle w:val="BodyText"/>
      </w:pPr>
      <w:r>
        <w:t xml:space="preserve">VBECS uses system rules to check pertinent blood bank requirements associated with pooling and displays appropriate target unit information for review. The user reviews and edits the information, as needed, and completes the transaction. VBECS updates internal records, including the collection of workload and unit statuses, for each unit involved. </w:t>
      </w:r>
    </w:p>
    <w:p w14:paraId="438E05FD" w14:textId="77777777" w:rsidR="002A21AE" w:rsidRDefault="002A21AE" w:rsidP="00FA7E65">
      <w:pPr>
        <w:pStyle w:val="BodyText"/>
      </w:pPr>
      <w:r>
        <w:t>The user may now assign the units or print the BTRF and Caution Tag, and notify appropriate personnel that the ordered units are ready for issue.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7F38EC85" w14:textId="77777777">
        <w:trPr>
          <w:tblHeader/>
        </w:trPr>
        <w:tc>
          <w:tcPr>
            <w:tcW w:w="3240" w:type="dxa"/>
            <w:shd w:val="pct30" w:color="auto" w:fill="FFFFFF"/>
            <w:vAlign w:val="bottom"/>
          </w:tcPr>
          <w:p w14:paraId="3A88A336" w14:textId="77777777" w:rsidR="002A21AE" w:rsidRDefault="002A21AE">
            <w:pPr>
              <w:pStyle w:val="TableText"/>
              <w:rPr>
                <w:b/>
              </w:rPr>
            </w:pPr>
            <w:r>
              <w:rPr>
                <w:b/>
              </w:rPr>
              <w:lastRenderedPageBreak/>
              <w:t>User Action</w:t>
            </w:r>
          </w:p>
        </w:tc>
        <w:tc>
          <w:tcPr>
            <w:tcW w:w="6120" w:type="dxa"/>
            <w:shd w:val="pct30" w:color="auto" w:fill="FFFFFF"/>
            <w:vAlign w:val="bottom"/>
          </w:tcPr>
          <w:p w14:paraId="26EA2277" w14:textId="77777777" w:rsidR="002A21AE" w:rsidRDefault="002A21AE">
            <w:pPr>
              <w:pStyle w:val="TableText"/>
              <w:rPr>
                <w:b/>
              </w:rPr>
            </w:pPr>
            <w:r>
              <w:rPr>
                <w:b/>
              </w:rPr>
              <w:t>VBECS</w:t>
            </w:r>
          </w:p>
        </w:tc>
      </w:tr>
      <w:tr w:rsidR="002A21AE" w14:paraId="304587AE" w14:textId="77777777">
        <w:tc>
          <w:tcPr>
            <w:tcW w:w="3240" w:type="dxa"/>
          </w:tcPr>
          <w:p w14:paraId="45D69A7C" w14:textId="77777777" w:rsidR="002A21AE" w:rsidRDefault="002A21AE" w:rsidP="007B7DEC">
            <w:pPr>
              <w:pStyle w:val="TableTextNumbers"/>
            </w:pPr>
            <w:r>
              <w:t xml:space="preserve">Select </w:t>
            </w:r>
            <w:r>
              <w:rPr>
                <w:b/>
              </w:rPr>
              <w:t>Blood Units</w:t>
            </w:r>
            <w:r>
              <w:t xml:space="preserve"> from the main menu. </w:t>
            </w:r>
          </w:p>
          <w:p w14:paraId="54F15DBD" w14:textId="77777777" w:rsidR="002A21AE" w:rsidRDefault="002A21AE">
            <w:pPr>
              <w:pStyle w:val="TableTextNumbersContinued"/>
            </w:pPr>
          </w:p>
          <w:p w14:paraId="4AA5FB91" w14:textId="77777777" w:rsidR="002A21AE" w:rsidRDefault="002A21AE">
            <w:pPr>
              <w:pStyle w:val="TableTextNumbersContinued"/>
            </w:pPr>
            <w:r>
              <w:t xml:space="preserve">Select </w:t>
            </w:r>
            <w:r>
              <w:rPr>
                <w:b/>
              </w:rPr>
              <w:t>Modify Units</w:t>
            </w:r>
            <w:r>
              <w:t>.</w:t>
            </w:r>
          </w:p>
        </w:tc>
        <w:tc>
          <w:tcPr>
            <w:tcW w:w="6120" w:type="dxa"/>
          </w:tcPr>
          <w:p w14:paraId="5CB0D6B2" w14:textId="77777777" w:rsidR="002A21AE" w:rsidRDefault="002A21AE">
            <w:pPr>
              <w:pStyle w:val="TableTextBullet"/>
            </w:pPr>
            <w:r>
              <w:t>Displays options for processing blood units.</w:t>
            </w:r>
          </w:p>
          <w:p w14:paraId="07294F85" w14:textId="77777777" w:rsidR="002A21AE" w:rsidRDefault="002A21AE">
            <w:pPr>
              <w:pStyle w:val="TableTextBullet"/>
              <w:tabs>
                <w:tab w:val="clear" w:pos="288"/>
              </w:tabs>
            </w:pPr>
            <w:r>
              <w:t xml:space="preserve">Displays valid modification types for selection. </w:t>
            </w:r>
          </w:p>
          <w:p w14:paraId="56DC6786" w14:textId="77777777" w:rsidR="008807BD" w:rsidRDefault="008807BD" w:rsidP="008807BD">
            <w:pPr>
              <w:pStyle w:val="TableText"/>
              <w:rPr>
                <w:b/>
                <w:bCs/>
                <w:szCs w:val="18"/>
              </w:rPr>
            </w:pPr>
          </w:p>
          <w:p w14:paraId="607C6116" w14:textId="2C76445E" w:rsidR="008807BD" w:rsidRDefault="008807BD" w:rsidP="008807BD">
            <w:pPr>
              <w:pStyle w:val="TableText"/>
              <w:rPr>
                <w:b/>
                <w:bCs/>
                <w:szCs w:val="18"/>
              </w:rPr>
            </w:pPr>
            <w:r>
              <w:rPr>
                <w:b/>
                <w:bCs/>
                <w:szCs w:val="18"/>
              </w:rPr>
              <w:t>NOTES</w:t>
            </w:r>
          </w:p>
          <w:p w14:paraId="1EA567EE" w14:textId="77777777" w:rsidR="008807BD" w:rsidRDefault="008807BD" w:rsidP="008807BD">
            <w:pPr>
              <w:pStyle w:val="NotesText"/>
            </w:pPr>
          </w:p>
          <w:p w14:paraId="4A90CE42" w14:textId="77777777" w:rsidR="008807BD" w:rsidRDefault="008807BD" w:rsidP="008807BD">
            <w:pPr>
              <w:pStyle w:val="NotesText"/>
            </w:pPr>
            <w:r w:rsidRPr="008807BD">
              <w:t xml:space="preserve">The </w:t>
            </w:r>
            <w:r w:rsidRPr="00EC7489">
              <w:rPr>
                <w:rFonts w:ascii="Wingdings 3" w:hAnsi="Wingdings 3" w:cs="Wingdings"/>
              </w:rPr>
              <w:t></w:t>
            </w:r>
            <w:r w:rsidRPr="00EC7489">
              <w:rPr>
                <w:rFonts w:ascii="Wingdings 3" w:hAnsi="Wingdings 3" w:cs="Wingdings"/>
              </w:rPr>
              <w:t></w:t>
            </w:r>
            <w:r>
              <w:t xml:space="preserve"> Enhanced Technologist </w:t>
            </w:r>
            <w:r w:rsidR="00915BD8">
              <w:t>or</w:t>
            </w:r>
            <w:r>
              <w:t xml:space="preserve"> above is authorized to modify expired blood products.</w:t>
            </w:r>
          </w:p>
        </w:tc>
      </w:tr>
      <w:tr w:rsidR="002A21AE" w14:paraId="4CF15C8A" w14:textId="77777777">
        <w:tc>
          <w:tcPr>
            <w:tcW w:w="3240" w:type="dxa"/>
          </w:tcPr>
          <w:p w14:paraId="7672DF8C" w14:textId="77777777" w:rsidR="002A21AE" w:rsidRDefault="002A21AE">
            <w:pPr>
              <w:pStyle w:val="TableTextNumbers"/>
            </w:pPr>
            <w:r>
              <w:t xml:space="preserve">Click the </w:t>
            </w:r>
            <w:r>
              <w:rPr>
                <w:b/>
              </w:rPr>
              <w:t xml:space="preserve">Pool </w:t>
            </w:r>
            <w:r>
              <w:t>or</w:t>
            </w:r>
            <w:r>
              <w:rPr>
                <w:b/>
              </w:rPr>
              <w:t xml:space="preserve"> Thaw/Pool Cryo </w:t>
            </w:r>
            <w:r w:rsidRPr="00BF2E41">
              <w:t>radio button</w:t>
            </w:r>
            <w:r>
              <w:t>.</w:t>
            </w:r>
          </w:p>
          <w:p w14:paraId="2FF6E6AF" w14:textId="77777777" w:rsidR="002A21AE" w:rsidRDefault="002A21AE">
            <w:pPr>
              <w:pStyle w:val="TableTextNumbersContinued"/>
            </w:pPr>
          </w:p>
          <w:p w14:paraId="2DFCA5E9" w14:textId="77777777" w:rsidR="002A21AE" w:rsidRDefault="002A21AE">
            <w:pPr>
              <w:pStyle w:val="TableTextNumbersContinued"/>
            </w:pPr>
            <w:r>
              <w:t xml:space="preserve">Click </w:t>
            </w:r>
            <w:r>
              <w:rPr>
                <w:b/>
              </w:rPr>
              <w:t>OK</w:t>
            </w:r>
            <w:r>
              <w:t>.</w:t>
            </w:r>
          </w:p>
        </w:tc>
        <w:tc>
          <w:tcPr>
            <w:tcW w:w="6120" w:type="dxa"/>
          </w:tcPr>
          <w:p w14:paraId="5075A96B" w14:textId="77777777" w:rsidR="002A21AE" w:rsidRDefault="002A21AE">
            <w:pPr>
              <w:pStyle w:val="TableTextBullet"/>
            </w:pPr>
            <w:r>
              <w:t>Allows the user to search for a unit.</w:t>
            </w:r>
          </w:p>
        </w:tc>
      </w:tr>
      <w:tr w:rsidR="002A21AE" w14:paraId="2B5920DC" w14:textId="77777777">
        <w:tc>
          <w:tcPr>
            <w:tcW w:w="3240" w:type="dxa"/>
          </w:tcPr>
          <w:p w14:paraId="6277FED6" w14:textId="77777777" w:rsidR="00DD68ED" w:rsidRDefault="002A21AE" w:rsidP="00054FA6">
            <w:pPr>
              <w:pStyle w:val="TableTextNumbers"/>
            </w:pPr>
            <w:r>
              <w:t xml:space="preserve">Scan, enter, or select the ID and product code </w:t>
            </w:r>
            <w:r w:rsidR="00DD68ED">
              <w:t xml:space="preserve">of the most restricted </w:t>
            </w:r>
            <w:r w:rsidR="00054FA6">
              <w:t>(e.g., biohazardous, autologous, directed)</w:t>
            </w:r>
            <w:r>
              <w:t xml:space="preserve"> unit to be pooled.</w:t>
            </w:r>
          </w:p>
        </w:tc>
        <w:tc>
          <w:tcPr>
            <w:tcW w:w="6120" w:type="dxa"/>
          </w:tcPr>
          <w:p w14:paraId="30783661" w14:textId="77777777" w:rsidR="002A21AE" w:rsidRDefault="002A21AE">
            <w:pPr>
              <w:pStyle w:val="TableTextBullet"/>
            </w:pPr>
            <w:r>
              <w:t>Displays current data for the selected unit.</w:t>
            </w:r>
          </w:p>
          <w:p w14:paraId="0ECAEA87" w14:textId="77777777" w:rsidR="002A21AE" w:rsidRDefault="002A21AE">
            <w:pPr>
              <w:pStyle w:val="TableText"/>
              <w:rPr>
                <w:b/>
                <w:bCs/>
                <w:szCs w:val="18"/>
              </w:rPr>
            </w:pPr>
          </w:p>
          <w:p w14:paraId="1993F4DE" w14:textId="5029A4BC" w:rsidR="002A21AE" w:rsidRDefault="002A21AE">
            <w:pPr>
              <w:pStyle w:val="TableText"/>
              <w:rPr>
                <w:b/>
                <w:bCs/>
                <w:szCs w:val="18"/>
              </w:rPr>
            </w:pPr>
            <w:r>
              <w:rPr>
                <w:b/>
                <w:bCs/>
                <w:szCs w:val="18"/>
              </w:rPr>
              <w:t>NOTES</w:t>
            </w:r>
          </w:p>
          <w:p w14:paraId="5C25A87C" w14:textId="77777777" w:rsidR="002A21AE" w:rsidRDefault="002A21AE">
            <w:pPr>
              <w:pStyle w:val="NotesText"/>
            </w:pPr>
          </w:p>
          <w:p w14:paraId="2BBD93F6" w14:textId="77777777" w:rsidR="00054FA6" w:rsidRDefault="00054FA6">
            <w:pPr>
              <w:pStyle w:val="NotesText"/>
            </w:pPr>
            <w:r>
              <w:t>VBECS applies the restriction of the first unit selected to the pool.</w:t>
            </w:r>
          </w:p>
          <w:p w14:paraId="22E201F6" w14:textId="77777777" w:rsidR="00054FA6" w:rsidRDefault="00054FA6">
            <w:pPr>
              <w:pStyle w:val="NotesText"/>
            </w:pPr>
          </w:p>
          <w:p w14:paraId="5371F9AE" w14:textId="77777777" w:rsidR="002A21AE" w:rsidRDefault="00C51C45" w:rsidP="00823261">
            <w:pPr>
              <w:pStyle w:val="NotesText"/>
              <w:rPr>
                <w:color w:val="000000"/>
                <w:szCs w:val="18"/>
              </w:rPr>
            </w:pPr>
            <w:r w:rsidRPr="00896F17">
              <w:rPr>
                <w:rStyle w:val="BullhornChar"/>
              </w:rPr>
              <w:t></w:t>
            </w:r>
            <w:r w:rsidR="005A3214">
              <w:t xml:space="preserve"> </w:t>
            </w:r>
            <w:r w:rsidR="002A21AE" w:rsidRPr="00613DA8">
              <w:rPr>
                <w:rFonts w:cs="Arial"/>
                <w:vanish/>
                <w:color w:val="0000FF"/>
              </w:rPr>
              <w:t>BR_24.02</w:t>
            </w:r>
            <w:r w:rsidR="002A21AE">
              <w:rPr>
                <w:rFonts w:cs="Arial"/>
                <w:vanish/>
              </w:rPr>
              <w:t xml:space="preserve"> </w:t>
            </w:r>
            <w:r w:rsidR="002A21AE">
              <w:t>B</w:t>
            </w:r>
            <w:r w:rsidR="002A21AE">
              <w:rPr>
                <w:color w:val="000000"/>
                <w:szCs w:val="18"/>
              </w:rPr>
              <w:t>ased on the product code, VBECS determines the component class of each selected unit to verify that the component class of the selected unit matches that of the first unit selected for the pool (only units from the same component class may be pooled). When the</w:t>
            </w:r>
            <w:r w:rsidR="00CE58C1">
              <w:rPr>
                <w:color w:val="000000"/>
                <w:szCs w:val="18"/>
              </w:rPr>
              <w:t>y</w:t>
            </w:r>
            <w:r w:rsidR="002A21AE">
              <w:rPr>
                <w:color w:val="000000"/>
                <w:szCs w:val="18"/>
              </w:rPr>
              <w:t xml:space="preserve"> do not match, VBECS warns the user and clears the entry. The user may enter another unit.</w:t>
            </w:r>
          </w:p>
          <w:p w14:paraId="568474B5" w14:textId="77777777" w:rsidR="000C5084" w:rsidRDefault="000C5084" w:rsidP="00823261">
            <w:pPr>
              <w:pStyle w:val="NotesText"/>
              <w:rPr>
                <w:color w:val="000000"/>
                <w:szCs w:val="18"/>
              </w:rPr>
            </w:pPr>
          </w:p>
          <w:p w14:paraId="327E1E32" w14:textId="77777777" w:rsidR="000C5084" w:rsidRDefault="000C5084" w:rsidP="00C45B80">
            <w:pPr>
              <w:pStyle w:val="NotesText"/>
            </w:pPr>
            <w:r w:rsidRPr="000C5084">
              <w:rPr>
                <w:iCs/>
                <w:vanish/>
              </w:rPr>
              <w:t xml:space="preserve">BR_24.34 </w:t>
            </w:r>
            <w:r w:rsidR="00C233B7">
              <w:rPr>
                <w:iCs/>
              </w:rPr>
              <w:t>If one unit containing</w:t>
            </w:r>
            <w:r w:rsidRPr="009D3134">
              <w:rPr>
                <w:iCs/>
              </w:rPr>
              <w:t xml:space="preserve"> = </w:t>
            </w:r>
            <w:r w:rsidR="00C233B7">
              <w:rPr>
                <w:iCs/>
              </w:rPr>
              <w:t xml:space="preserve">&gt; </w:t>
            </w:r>
            <w:r w:rsidRPr="009D3134">
              <w:rPr>
                <w:iCs/>
              </w:rPr>
              <w:t xml:space="preserve">2 mL of red blood cell contamination is added to a pool, the target </w:t>
            </w:r>
            <w:r w:rsidR="00C45B80">
              <w:rPr>
                <w:iCs/>
              </w:rPr>
              <w:t>is</w:t>
            </w:r>
            <w:r w:rsidRPr="009D3134">
              <w:rPr>
                <w:iCs/>
              </w:rPr>
              <w:t xml:space="preserve"> marked as containing </w:t>
            </w:r>
            <w:r w:rsidR="00C233B7">
              <w:rPr>
                <w:iCs/>
              </w:rPr>
              <w:t>=</w:t>
            </w:r>
            <w:r w:rsidRPr="009D3134">
              <w:rPr>
                <w:iCs/>
              </w:rPr>
              <w:t xml:space="preserve"> </w:t>
            </w:r>
            <w:r w:rsidR="00C233B7">
              <w:rPr>
                <w:iCs/>
              </w:rPr>
              <w:t xml:space="preserve">&gt; </w:t>
            </w:r>
            <w:r w:rsidRPr="009D3134">
              <w:rPr>
                <w:iCs/>
              </w:rPr>
              <w:t>2 mL of red blood cell contamination.</w:t>
            </w:r>
          </w:p>
        </w:tc>
      </w:tr>
      <w:tr w:rsidR="002A21AE" w14:paraId="61824A7A" w14:textId="77777777">
        <w:tc>
          <w:tcPr>
            <w:tcW w:w="3240" w:type="dxa"/>
            <w:tcBorders>
              <w:top w:val="single" w:sz="4" w:space="0" w:color="auto"/>
              <w:left w:val="single" w:sz="4" w:space="0" w:color="auto"/>
              <w:bottom w:val="single" w:sz="4" w:space="0" w:color="auto"/>
              <w:right w:val="single" w:sz="4" w:space="0" w:color="auto"/>
            </w:tcBorders>
          </w:tcPr>
          <w:p w14:paraId="154E5059" w14:textId="77777777" w:rsidR="002A21AE" w:rsidRDefault="002A21AE">
            <w:pPr>
              <w:pStyle w:val="TableTextNumbers"/>
            </w:pPr>
            <w:r>
              <w:t>Enter the ID and product code of a</w:t>
            </w:r>
            <w:r w:rsidR="0071381D">
              <w:t>nother</w:t>
            </w:r>
            <w:r>
              <w:t xml:space="preserve"> unit </w:t>
            </w:r>
            <w:r w:rsidR="0071381D">
              <w:t xml:space="preserve">of the same donation type </w:t>
            </w:r>
            <w:r>
              <w:t xml:space="preserve">for inclusion in the pool. </w:t>
            </w:r>
          </w:p>
        </w:tc>
        <w:tc>
          <w:tcPr>
            <w:tcW w:w="6120" w:type="dxa"/>
            <w:tcBorders>
              <w:top w:val="single" w:sz="4" w:space="0" w:color="auto"/>
              <w:left w:val="single" w:sz="4" w:space="0" w:color="auto"/>
              <w:bottom w:val="single" w:sz="4" w:space="0" w:color="auto"/>
              <w:right w:val="single" w:sz="4" w:space="0" w:color="auto"/>
            </w:tcBorders>
          </w:tcPr>
          <w:p w14:paraId="786D1130" w14:textId="77777777" w:rsidR="002A21AE" w:rsidRDefault="00CE58C1">
            <w:pPr>
              <w:pStyle w:val="TableTextBullet"/>
              <w:tabs>
                <w:tab w:val="num" w:pos="360"/>
              </w:tabs>
            </w:pPr>
            <w:r>
              <w:t xml:space="preserve">May warn </w:t>
            </w:r>
            <w:r w:rsidR="002A21AE">
              <w:t>the user and asks whether to release the unit from “restricted for patient.”</w:t>
            </w:r>
          </w:p>
          <w:p w14:paraId="0B395ABF" w14:textId="77777777" w:rsidR="002A21AE" w:rsidRDefault="002A21AE">
            <w:pPr>
              <w:pStyle w:val="TableText"/>
            </w:pPr>
          </w:p>
          <w:p w14:paraId="325B120D" w14:textId="68A1B149" w:rsidR="002A21AE" w:rsidRDefault="002A21AE">
            <w:pPr>
              <w:pStyle w:val="TableText"/>
              <w:rPr>
                <w:b/>
                <w:bCs/>
              </w:rPr>
            </w:pPr>
            <w:r>
              <w:rPr>
                <w:b/>
                <w:bCs/>
              </w:rPr>
              <w:t>NOTES</w:t>
            </w:r>
          </w:p>
          <w:p w14:paraId="6AD04D31" w14:textId="77777777" w:rsidR="002A21AE" w:rsidRDefault="002A21AE">
            <w:pPr>
              <w:pStyle w:val="NotesText"/>
            </w:pPr>
          </w:p>
          <w:p w14:paraId="542E5426" w14:textId="77777777" w:rsidR="002A21AE" w:rsidRDefault="002A21AE">
            <w:pPr>
              <w:pStyle w:val="NotesText"/>
            </w:pPr>
            <w:r>
              <w:t xml:space="preserve">When the donation type of a unit selected for inclusion in a pool is restricted, the user may release the directed unit to the general blood supply, if indicated, and complete the pooling process. </w:t>
            </w:r>
          </w:p>
          <w:p w14:paraId="105F1FAE" w14:textId="77777777" w:rsidR="00A33872" w:rsidRDefault="00A33872" w:rsidP="00A33872">
            <w:pPr>
              <w:pStyle w:val="NotesText"/>
            </w:pPr>
          </w:p>
          <w:p w14:paraId="2C4F22F0" w14:textId="77777777" w:rsidR="005E0061" w:rsidRDefault="00A33872" w:rsidP="00A33872">
            <w:pPr>
              <w:pStyle w:val="NotesText"/>
              <w:rPr>
                <w:iCs/>
                <w:szCs w:val="18"/>
              </w:rPr>
            </w:pPr>
            <w:r w:rsidRPr="001051D0">
              <w:rPr>
                <w:rFonts w:cs="Arial"/>
                <w:vanish/>
              </w:rPr>
              <w:t>BR_24.12</w:t>
            </w:r>
            <w:r>
              <w:rPr>
                <w:rFonts w:cs="Arial"/>
                <w:vanish/>
                <w:szCs w:val="18"/>
              </w:rPr>
              <w:t xml:space="preserve"> </w:t>
            </w:r>
            <w:r w:rsidR="00CD6052" w:rsidRPr="00CD6052">
              <w:rPr>
                <w:iCs/>
                <w:szCs w:val="18"/>
              </w:rPr>
              <w:t>When the first unit entered for a pool is labeled in ISBT 128, VBECS determines the unit ID of the pool created from ISBT-labeled units using the country and ICCBBA-assigned facility code (division preparing the pool), two-number year, and six-number sequential number of the pool event at the division, and displays it for acceptance only.</w:t>
            </w:r>
          </w:p>
          <w:p w14:paraId="72FC2B06" w14:textId="77777777" w:rsidR="00A33872" w:rsidRDefault="009439F8" w:rsidP="00A33872">
            <w:pPr>
              <w:pStyle w:val="NotesText"/>
              <w:rPr>
                <w:iCs/>
                <w:vanish/>
                <w:szCs w:val="18"/>
              </w:rPr>
            </w:pPr>
            <w:r>
              <w:rPr>
                <w:iCs/>
                <w:vanish/>
                <w:szCs w:val="18"/>
              </w:rPr>
              <w:t xml:space="preserve"> DR 3668</w:t>
            </w:r>
          </w:p>
          <w:p w14:paraId="4F0B7D37" w14:textId="77777777" w:rsidR="005E0061" w:rsidRDefault="005E0061" w:rsidP="00A33872">
            <w:pPr>
              <w:pStyle w:val="NotesText"/>
              <w:rPr>
                <w:color w:val="000000"/>
                <w:szCs w:val="18"/>
              </w:rPr>
            </w:pPr>
          </w:p>
          <w:p w14:paraId="06CF8086" w14:textId="77777777" w:rsidR="005E0061" w:rsidRPr="009439F8" w:rsidRDefault="005E0061" w:rsidP="00A33872">
            <w:pPr>
              <w:pStyle w:val="NotesText"/>
              <w:rPr>
                <w:color w:val="000000"/>
                <w:szCs w:val="18"/>
              </w:rPr>
            </w:pPr>
            <w:r w:rsidRPr="005E0061">
              <w:rPr>
                <w:iCs/>
                <w:vanish/>
              </w:rPr>
              <w:t xml:space="preserve">BR_24.34 </w:t>
            </w:r>
            <w:r w:rsidRPr="009D3134">
              <w:rPr>
                <w:iCs/>
              </w:rPr>
              <w:t>If one unit conta</w:t>
            </w:r>
            <w:r w:rsidR="00C233B7">
              <w:rPr>
                <w:iCs/>
              </w:rPr>
              <w:t xml:space="preserve">ining </w:t>
            </w:r>
            <w:r w:rsidRPr="009D3134">
              <w:rPr>
                <w:iCs/>
              </w:rPr>
              <w:t xml:space="preserve">= </w:t>
            </w:r>
            <w:r w:rsidR="00C233B7">
              <w:rPr>
                <w:iCs/>
              </w:rPr>
              <w:t xml:space="preserve">&gt; </w:t>
            </w:r>
            <w:r w:rsidRPr="009D3134">
              <w:rPr>
                <w:iCs/>
              </w:rPr>
              <w:t>2 mL of red blood cell contamination is added to a pool, the target</w:t>
            </w:r>
            <w:r w:rsidR="00DB1100">
              <w:rPr>
                <w:iCs/>
              </w:rPr>
              <w:t xml:space="preserve"> is</w:t>
            </w:r>
            <w:r w:rsidR="00C233B7">
              <w:rPr>
                <w:iCs/>
              </w:rPr>
              <w:t xml:space="preserve"> marked as containing </w:t>
            </w:r>
            <w:r w:rsidRPr="009D3134">
              <w:rPr>
                <w:iCs/>
              </w:rPr>
              <w:t xml:space="preserve">= </w:t>
            </w:r>
            <w:r w:rsidR="00C233B7">
              <w:rPr>
                <w:iCs/>
              </w:rPr>
              <w:t xml:space="preserve">&gt; </w:t>
            </w:r>
            <w:r w:rsidRPr="009D3134">
              <w:rPr>
                <w:iCs/>
              </w:rPr>
              <w:t>2 mL of red blood cell contamination.</w:t>
            </w:r>
          </w:p>
        </w:tc>
      </w:tr>
      <w:tr w:rsidR="002A21AE" w14:paraId="1CE912F2" w14:textId="77777777" w:rsidTr="001A459B">
        <w:trPr>
          <w:cantSplit/>
        </w:trPr>
        <w:tc>
          <w:tcPr>
            <w:tcW w:w="3240" w:type="dxa"/>
            <w:tcBorders>
              <w:top w:val="single" w:sz="4" w:space="0" w:color="auto"/>
              <w:left w:val="single" w:sz="4" w:space="0" w:color="auto"/>
              <w:bottom w:val="single" w:sz="4" w:space="0" w:color="auto"/>
              <w:right w:val="single" w:sz="4" w:space="0" w:color="auto"/>
            </w:tcBorders>
          </w:tcPr>
          <w:p w14:paraId="5E701431" w14:textId="77777777" w:rsidR="002A21AE" w:rsidRDefault="002A21AE">
            <w:pPr>
              <w:pStyle w:val="TableTextNumbers"/>
            </w:pPr>
            <w:r>
              <w:lastRenderedPageBreak/>
              <w:t>Accept the previously selected unit and repeat Step 4 to select another unit to add to the pool.</w:t>
            </w:r>
          </w:p>
        </w:tc>
        <w:tc>
          <w:tcPr>
            <w:tcW w:w="6120" w:type="dxa"/>
            <w:tcBorders>
              <w:top w:val="single" w:sz="4" w:space="0" w:color="auto"/>
              <w:left w:val="single" w:sz="4" w:space="0" w:color="auto"/>
              <w:bottom w:val="single" w:sz="4" w:space="0" w:color="auto"/>
              <w:right w:val="single" w:sz="4" w:space="0" w:color="auto"/>
            </w:tcBorders>
          </w:tcPr>
          <w:p w14:paraId="0CC38EE5" w14:textId="77777777" w:rsidR="002A21AE" w:rsidRDefault="002A21AE">
            <w:pPr>
              <w:pStyle w:val="TableTextBullet"/>
              <w:tabs>
                <w:tab w:val="num" w:pos="360"/>
              </w:tabs>
              <w:rPr>
                <w:color w:val="000000"/>
                <w:szCs w:val="20"/>
              </w:rPr>
            </w:pPr>
            <w:r>
              <w:rPr>
                <w:color w:val="000000"/>
                <w:szCs w:val="20"/>
              </w:rPr>
              <w:t>Displays all data for all original units.</w:t>
            </w:r>
          </w:p>
          <w:p w14:paraId="454D9AAB" w14:textId="77777777" w:rsidR="002A21AE" w:rsidRDefault="002A21AE">
            <w:pPr>
              <w:pStyle w:val="TableText"/>
            </w:pPr>
          </w:p>
          <w:p w14:paraId="4D3363CB" w14:textId="1E1B3A6D" w:rsidR="002A21AE" w:rsidRDefault="002A21AE">
            <w:pPr>
              <w:pStyle w:val="TableText"/>
              <w:rPr>
                <w:b/>
                <w:bCs/>
              </w:rPr>
            </w:pPr>
            <w:r>
              <w:rPr>
                <w:b/>
                <w:bCs/>
              </w:rPr>
              <w:t>NOTES</w:t>
            </w:r>
          </w:p>
          <w:p w14:paraId="47883C23" w14:textId="69561650" w:rsidR="002A21AE" w:rsidRDefault="00D431F7" w:rsidP="00D431F7">
            <w:pPr>
              <w:pStyle w:val="NotesText"/>
              <w:tabs>
                <w:tab w:val="left" w:pos="2580"/>
              </w:tabs>
            </w:pPr>
            <w:r>
              <w:tab/>
            </w:r>
          </w:p>
          <w:p w14:paraId="5077D8F0" w14:textId="0A67D2F6" w:rsidR="002A21AE" w:rsidRDefault="002A21AE">
            <w:pPr>
              <w:pStyle w:val="NotesText"/>
            </w:pPr>
            <w:r>
              <w:rPr>
                <w:rFonts w:cs="Arial"/>
                <w:vanish/>
              </w:rPr>
              <w:t>BR_24.03</w:t>
            </w:r>
            <w:r>
              <w:rPr>
                <w:rFonts w:cs="Arial"/>
                <w:vanish/>
                <w:szCs w:val="18"/>
              </w:rPr>
              <w:t xml:space="preserve"> </w:t>
            </w:r>
            <w:r w:rsidR="00D431F7">
              <w:rPr>
                <w:szCs w:val="18"/>
              </w:rPr>
              <w:t>The system will tally</w:t>
            </w:r>
            <w:r>
              <w:rPr>
                <w:szCs w:val="18"/>
              </w:rPr>
              <w:t xml:space="preserve"> the</w:t>
            </w:r>
            <w:r w:rsidR="00D431F7">
              <w:rPr>
                <w:szCs w:val="18"/>
              </w:rPr>
              <w:t xml:space="preserve"> total</w:t>
            </w:r>
            <w:r>
              <w:rPr>
                <w:szCs w:val="18"/>
              </w:rPr>
              <w:t xml:space="preserve"> number of units pooled</w:t>
            </w:r>
            <w:r w:rsidR="00E537E5">
              <w:rPr>
                <w:szCs w:val="18"/>
              </w:rPr>
              <w:t xml:space="preserve"> for this transaction. </w:t>
            </w:r>
            <w:r w:rsidR="00D431F7">
              <w:rPr>
                <w:szCs w:val="18"/>
              </w:rPr>
              <w:t>The system</w:t>
            </w:r>
            <w:r w:rsidR="00E537E5">
              <w:rPr>
                <w:szCs w:val="18"/>
              </w:rPr>
              <w:t xml:space="preserve"> will not allow the user to edit this number</w:t>
            </w:r>
            <w:r>
              <w:rPr>
                <w:szCs w:val="18"/>
              </w:rPr>
              <w:t xml:space="preserve">. The user may not edit this number. </w:t>
            </w:r>
            <w:r w:rsidR="00D431F7">
              <w:rPr>
                <w:szCs w:val="18"/>
              </w:rPr>
              <w:t>The system will calculate</w:t>
            </w:r>
            <w:r>
              <w:rPr>
                <w:szCs w:val="18"/>
              </w:rPr>
              <w:t xml:space="preserve"> </w:t>
            </w:r>
            <w:r w:rsidR="00D431F7">
              <w:rPr>
                <w:szCs w:val="18"/>
              </w:rPr>
              <w:t xml:space="preserve">sum of </w:t>
            </w:r>
            <w:r>
              <w:rPr>
                <w:szCs w:val="18"/>
              </w:rPr>
              <w:t>the pooled unit’s cost</w:t>
            </w:r>
            <w:r w:rsidR="00D431F7">
              <w:rPr>
                <w:szCs w:val="18"/>
              </w:rPr>
              <w:t>.</w:t>
            </w:r>
          </w:p>
          <w:p w14:paraId="20CA614E" w14:textId="77777777" w:rsidR="002A21AE" w:rsidRDefault="002A21AE">
            <w:pPr>
              <w:pStyle w:val="NotesText"/>
            </w:pPr>
          </w:p>
          <w:p w14:paraId="0F03B951" w14:textId="77777777" w:rsidR="002A21AE" w:rsidRDefault="002A21AE">
            <w:pPr>
              <w:pStyle w:val="NotesText"/>
            </w:pPr>
            <w:r w:rsidRPr="00D31A97">
              <w:rPr>
                <w:rFonts w:cs="Arial"/>
                <w:vanish/>
              </w:rPr>
              <w:t>BR_24.05</w:t>
            </w:r>
            <w:r>
              <w:rPr>
                <w:rFonts w:cs="Arial"/>
                <w:vanish/>
              </w:rPr>
              <w:t xml:space="preserve"> </w:t>
            </w:r>
            <w:r>
              <w:rPr>
                <w:szCs w:val="18"/>
              </w:rPr>
              <w:t xml:space="preserve">VBECS does not allow a unit to be entered twice in a pool. A split unit </w:t>
            </w:r>
            <w:r w:rsidR="00D31A97">
              <w:rPr>
                <w:szCs w:val="18"/>
              </w:rPr>
              <w:t xml:space="preserve">created in VBECS </w:t>
            </w:r>
            <w:r>
              <w:rPr>
                <w:szCs w:val="18"/>
              </w:rPr>
              <w:t>may not be pooled.</w:t>
            </w:r>
            <w:r w:rsidR="00D31A97">
              <w:rPr>
                <w:szCs w:val="18"/>
              </w:rPr>
              <w:t xml:space="preserve"> A </w:t>
            </w:r>
            <w:r w:rsidR="008B6D25">
              <w:rPr>
                <w:szCs w:val="18"/>
              </w:rPr>
              <w:t>unit</w:t>
            </w:r>
            <w:r w:rsidR="00D31A97">
              <w:rPr>
                <w:szCs w:val="18"/>
              </w:rPr>
              <w:t xml:space="preserve"> that has a division code (7</w:t>
            </w:r>
            <w:r w:rsidR="00D31A97" w:rsidRPr="00D31A97">
              <w:rPr>
                <w:szCs w:val="18"/>
                <w:vertAlign w:val="superscript"/>
              </w:rPr>
              <w:t>th</w:t>
            </w:r>
            <w:r w:rsidR="00D31A97">
              <w:rPr>
                <w:szCs w:val="18"/>
              </w:rPr>
              <w:t>/8</w:t>
            </w:r>
            <w:r w:rsidR="00D31A97" w:rsidRPr="00D31A97">
              <w:rPr>
                <w:szCs w:val="18"/>
                <w:vertAlign w:val="superscript"/>
              </w:rPr>
              <w:t>th</w:t>
            </w:r>
            <w:r w:rsidR="00D31A97">
              <w:rPr>
                <w:szCs w:val="18"/>
              </w:rPr>
              <w:t xml:space="preserve"> characters in the ISBT Product code) present upon receipt in incoming shipment may be pooled.</w:t>
            </w:r>
          </w:p>
        </w:tc>
      </w:tr>
      <w:tr w:rsidR="002A21AE" w14:paraId="5171622C" w14:textId="77777777">
        <w:tc>
          <w:tcPr>
            <w:tcW w:w="3240" w:type="dxa"/>
            <w:tcBorders>
              <w:top w:val="single" w:sz="4" w:space="0" w:color="auto"/>
              <w:left w:val="single" w:sz="4" w:space="0" w:color="auto"/>
              <w:bottom w:val="single" w:sz="4" w:space="0" w:color="auto"/>
              <w:right w:val="single" w:sz="4" w:space="0" w:color="auto"/>
            </w:tcBorders>
          </w:tcPr>
          <w:p w14:paraId="3488A26F" w14:textId="77777777" w:rsidR="002A21AE" w:rsidRDefault="002A21AE">
            <w:pPr>
              <w:pStyle w:val="TableTextNumbers"/>
            </w:pPr>
            <w:r>
              <w:t>Accept the displayed units’ data for the pool.</w:t>
            </w:r>
          </w:p>
        </w:tc>
        <w:tc>
          <w:tcPr>
            <w:tcW w:w="6120" w:type="dxa"/>
            <w:tcBorders>
              <w:top w:val="single" w:sz="4" w:space="0" w:color="auto"/>
              <w:left w:val="single" w:sz="4" w:space="0" w:color="auto"/>
              <w:bottom w:val="single" w:sz="4" w:space="0" w:color="auto"/>
              <w:right w:val="single" w:sz="4" w:space="0" w:color="auto"/>
            </w:tcBorders>
          </w:tcPr>
          <w:p w14:paraId="78CC51F7" w14:textId="77777777" w:rsidR="002A21AE" w:rsidRDefault="002A21AE">
            <w:pPr>
              <w:pStyle w:val="TableTextBullet"/>
              <w:tabs>
                <w:tab w:val="num" w:pos="360"/>
              </w:tabs>
            </w:pPr>
            <w:r>
              <w:t>Displays target component types for the modification, conditions selected, and the original unit product type, and allows the user to select a single modification type.</w:t>
            </w:r>
          </w:p>
        </w:tc>
      </w:tr>
      <w:tr w:rsidR="002A21AE" w14:paraId="45A8E6F8" w14:textId="77777777">
        <w:tc>
          <w:tcPr>
            <w:tcW w:w="3240" w:type="dxa"/>
            <w:tcBorders>
              <w:top w:val="single" w:sz="4" w:space="0" w:color="auto"/>
              <w:left w:val="single" w:sz="4" w:space="0" w:color="auto"/>
              <w:bottom w:val="single" w:sz="4" w:space="0" w:color="auto"/>
              <w:right w:val="single" w:sz="4" w:space="0" w:color="auto"/>
            </w:tcBorders>
          </w:tcPr>
          <w:p w14:paraId="05D00C21" w14:textId="77777777" w:rsidR="002A21AE" w:rsidRDefault="002A21AE">
            <w:pPr>
              <w:pStyle w:val="TableTextNumbers"/>
            </w:pPr>
            <w:r>
              <w:t xml:space="preserve">Select or confirm the desired target component type. </w:t>
            </w:r>
          </w:p>
          <w:p w14:paraId="196DEECF" w14:textId="77777777" w:rsidR="00CE58C1" w:rsidRDefault="00CE58C1" w:rsidP="00CE58C1">
            <w:pPr>
              <w:pStyle w:val="TableTextNumbersContinued"/>
            </w:pPr>
          </w:p>
          <w:p w14:paraId="296F441B" w14:textId="77777777" w:rsidR="002A21AE" w:rsidRDefault="00CE58C1" w:rsidP="00CE58C1">
            <w:pPr>
              <w:pStyle w:val="TableTextNumbersContinued"/>
            </w:pPr>
            <w:r>
              <w:t>Click the</w:t>
            </w:r>
            <w:r w:rsidR="007B7DEC">
              <w:t xml:space="preserve"> </w:t>
            </w:r>
            <w:r w:rsidR="007B7DEC" w:rsidRPr="007B7DEC">
              <w:rPr>
                <w:b/>
              </w:rPr>
              <w:t>Container</w:t>
            </w:r>
            <w:r w:rsidR="007B7DEC">
              <w:t>,</w:t>
            </w:r>
            <w:r>
              <w:t xml:space="preserve"> </w:t>
            </w:r>
            <w:r w:rsidRPr="00764A64">
              <w:rPr>
                <w:b/>
              </w:rPr>
              <w:t>Supplies</w:t>
            </w:r>
            <w:r w:rsidR="007B7DEC" w:rsidRPr="007B7DEC">
              <w:t>,</w:t>
            </w:r>
            <w:r w:rsidR="0023261D">
              <w:t xml:space="preserve"> </w:t>
            </w:r>
            <w:r w:rsidRPr="00764A64">
              <w:rPr>
                <w:b/>
              </w:rPr>
              <w:t>Equipment</w:t>
            </w:r>
            <w:r w:rsidR="007B7DEC" w:rsidRPr="007B7DEC">
              <w:t>, or</w:t>
            </w:r>
            <w:r w:rsidR="007B7DEC">
              <w:rPr>
                <w:b/>
              </w:rPr>
              <w:t xml:space="preserve"> SCD Wafer</w:t>
            </w:r>
            <w:r w:rsidRPr="00764A64">
              <w:rPr>
                <w:b/>
              </w:rPr>
              <w:t xml:space="preserve"> </w:t>
            </w:r>
            <w:r w:rsidRPr="00CC3C89">
              <w:t xml:space="preserve">tab </w:t>
            </w:r>
            <w:r>
              <w:t>and enter another supply and/or equipment lot or ID number.</w:t>
            </w:r>
          </w:p>
        </w:tc>
        <w:tc>
          <w:tcPr>
            <w:tcW w:w="6120" w:type="dxa"/>
            <w:tcBorders>
              <w:top w:val="single" w:sz="4" w:space="0" w:color="auto"/>
              <w:left w:val="single" w:sz="4" w:space="0" w:color="auto"/>
              <w:bottom w:val="single" w:sz="4" w:space="0" w:color="auto"/>
              <w:right w:val="single" w:sz="4" w:space="0" w:color="auto"/>
            </w:tcBorders>
          </w:tcPr>
          <w:p w14:paraId="2C948F89" w14:textId="77777777" w:rsidR="002A21AE" w:rsidRDefault="002A21AE">
            <w:pPr>
              <w:pStyle w:val="TableTextBullet"/>
              <w:tabs>
                <w:tab w:val="num" w:pos="360"/>
              </w:tabs>
              <w:rPr>
                <w:color w:val="000000"/>
                <w:szCs w:val="20"/>
              </w:rPr>
            </w:pPr>
            <w:r>
              <w:rPr>
                <w:color w:val="000000"/>
                <w:szCs w:val="20"/>
              </w:rPr>
              <w:t>Verifies that an active target component was selected. Requires activation, as needed.</w:t>
            </w:r>
          </w:p>
          <w:p w14:paraId="5A53386F" w14:textId="77777777" w:rsidR="002A21AE" w:rsidRDefault="002A21AE">
            <w:pPr>
              <w:pStyle w:val="TableTextBullet"/>
              <w:tabs>
                <w:tab w:val="num" w:pos="360"/>
              </w:tabs>
            </w:pPr>
            <w:r>
              <w:t>Allows the user to enter lot and ID numbers (with auto-completion) or select multiple items from the supply and equipment lists.</w:t>
            </w:r>
          </w:p>
        </w:tc>
      </w:tr>
      <w:tr w:rsidR="002A21AE" w14:paraId="666D3D97" w14:textId="77777777">
        <w:tc>
          <w:tcPr>
            <w:tcW w:w="3240" w:type="dxa"/>
            <w:tcBorders>
              <w:top w:val="single" w:sz="4" w:space="0" w:color="auto"/>
              <w:left w:val="single" w:sz="4" w:space="0" w:color="auto"/>
              <w:bottom w:val="single" w:sz="4" w:space="0" w:color="auto"/>
              <w:right w:val="single" w:sz="4" w:space="0" w:color="auto"/>
            </w:tcBorders>
          </w:tcPr>
          <w:p w14:paraId="7BB1A077" w14:textId="77777777" w:rsidR="002A21AE" w:rsidRDefault="002A21AE">
            <w:pPr>
              <w:pStyle w:val="TableTextNumbers"/>
            </w:pPr>
            <w:r>
              <w:t>Accept the displayed</w:t>
            </w:r>
            <w:r w:rsidR="00AA6C54">
              <w:t xml:space="preserve"> </w:t>
            </w:r>
            <w:r w:rsidR="00CE58C1">
              <w:t xml:space="preserve">expiration date </w:t>
            </w:r>
            <w:r>
              <w:t xml:space="preserve">or edit </w:t>
            </w:r>
            <w:r w:rsidR="00CE58C1">
              <w:t>it</w:t>
            </w:r>
            <w:r>
              <w:t>.</w:t>
            </w:r>
          </w:p>
        </w:tc>
        <w:tc>
          <w:tcPr>
            <w:tcW w:w="6120" w:type="dxa"/>
            <w:tcBorders>
              <w:top w:val="single" w:sz="4" w:space="0" w:color="auto"/>
              <w:left w:val="single" w:sz="4" w:space="0" w:color="auto"/>
              <w:bottom w:val="single" w:sz="4" w:space="0" w:color="auto"/>
              <w:right w:val="single" w:sz="4" w:space="0" w:color="auto"/>
            </w:tcBorders>
          </w:tcPr>
          <w:p w14:paraId="6865F668" w14:textId="77777777" w:rsidR="002A21AE" w:rsidRDefault="002A21AE">
            <w:pPr>
              <w:pStyle w:val="TableTextBullet"/>
              <w:tabs>
                <w:tab w:val="num" w:pos="360"/>
              </w:tabs>
              <w:rPr>
                <w:color w:val="000000"/>
                <w:szCs w:val="20"/>
              </w:rPr>
            </w:pPr>
            <w:r>
              <w:rPr>
                <w:color w:val="000000"/>
                <w:szCs w:val="20"/>
              </w:rPr>
              <w:t>Calculates and displays the expiration date of the pooled unit based on rules specific to the participant blood product.</w:t>
            </w:r>
          </w:p>
          <w:p w14:paraId="2AAAD351" w14:textId="77777777" w:rsidR="002A21AE" w:rsidRDefault="002A21AE">
            <w:pPr>
              <w:pStyle w:val="TableTextBullet"/>
              <w:tabs>
                <w:tab w:val="num" w:pos="360"/>
              </w:tabs>
              <w:rPr>
                <w:color w:val="000000"/>
                <w:szCs w:val="20"/>
              </w:rPr>
            </w:pPr>
            <w:r>
              <w:rPr>
                <w:color w:val="000000"/>
                <w:szCs w:val="20"/>
              </w:rPr>
              <w:t>Verifies the validity of the expiration date and warns the user, when indicated.</w:t>
            </w:r>
          </w:p>
          <w:p w14:paraId="7679949A" w14:textId="77777777" w:rsidR="002A21AE" w:rsidRDefault="002A21AE">
            <w:pPr>
              <w:pStyle w:val="TableText"/>
            </w:pPr>
          </w:p>
          <w:p w14:paraId="3146D168" w14:textId="159D3992" w:rsidR="002A21AE" w:rsidRDefault="002A21AE">
            <w:pPr>
              <w:pStyle w:val="TableText"/>
              <w:rPr>
                <w:b/>
                <w:bCs/>
              </w:rPr>
            </w:pPr>
            <w:r>
              <w:rPr>
                <w:b/>
                <w:bCs/>
              </w:rPr>
              <w:t>NOTES</w:t>
            </w:r>
          </w:p>
          <w:p w14:paraId="04DC4732" w14:textId="77777777" w:rsidR="002A21AE" w:rsidRDefault="002A21AE">
            <w:pPr>
              <w:pStyle w:val="NotesText"/>
            </w:pPr>
          </w:p>
          <w:p w14:paraId="11A3F66D" w14:textId="77777777" w:rsidR="00B37CE1" w:rsidRPr="00B37CE1" w:rsidRDefault="00B37CE1" w:rsidP="00B37CE1">
            <w:pPr>
              <w:pStyle w:val="NotesText"/>
              <w:rPr>
                <w:szCs w:val="18"/>
              </w:rPr>
            </w:pPr>
            <w:r w:rsidRPr="00B37CE1">
              <w:rPr>
                <w:vanish/>
                <w:szCs w:val="18"/>
              </w:rPr>
              <w:t xml:space="preserve">BR_24.10 </w:t>
            </w:r>
            <w:r w:rsidRPr="00B37CE1">
              <w:rPr>
                <w:szCs w:val="18"/>
              </w:rPr>
              <w:t>When the method selected is “Thaw/Pool Cryo”, The system shall ‘thaw’ frozen components automatically when they are being pooled.</w:t>
            </w:r>
          </w:p>
          <w:p w14:paraId="5A315BFC" w14:textId="77777777" w:rsidR="00B37CE1" w:rsidRPr="00B37CE1" w:rsidRDefault="00B37CE1" w:rsidP="00B37CE1">
            <w:pPr>
              <w:pStyle w:val="NotesText"/>
              <w:rPr>
                <w:szCs w:val="18"/>
              </w:rPr>
            </w:pPr>
          </w:p>
          <w:p w14:paraId="32A2A8B7" w14:textId="77777777" w:rsidR="00B37CE1" w:rsidRPr="00B37CE1" w:rsidRDefault="00B37CE1" w:rsidP="00B37CE1">
            <w:pPr>
              <w:pStyle w:val="NotesText"/>
              <w:rPr>
                <w:szCs w:val="18"/>
              </w:rPr>
            </w:pPr>
            <w:r w:rsidRPr="00B37CE1">
              <w:rPr>
                <w:szCs w:val="18"/>
              </w:rPr>
              <w:t xml:space="preserve">The workload for thawing each unit in the pool </w:t>
            </w:r>
            <w:r w:rsidR="00C45B80">
              <w:rPr>
                <w:szCs w:val="18"/>
              </w:rPr>
              <w:t xml:space="preserve">is </w:t>
            </w:r>
            <w:r w:rsidRPr="00B37CE1">
              <w:rPr>
                <w:szCs w:val="18"/>
              </w:rPr>
              <w:t>collected in addition to the pool workload.</w:t>
            </w:r>
          </w:p>
          <w:p w14:paraId="252F49FA" w14:textId="77777777" w:rsidR="00B37CE1" w:rsidRDefault="00B37CE1" w:rsidP="00B37CE1">
            <w:pPr>
              <w:pStyle w:val="TableText"/>
            </w:pPr>
          </w:p>
          <w:p w14:paraId="2235B8F7" w14:textId="77777777" w:rsidR="00B37CE1" w:rsidRDefault="00B37CE1" w:rsidP="00B37CE1">
            <w:pPr>
              <w:pStyle w:val="NotesText"/>
              <w:rPr>
                <w:szCs w:val="18"/>
              </w:rPr>
            </w:pPr>
            <w:r>
              <w:t>The new expiration date of the thawed unit is determined by the date/time of pooling.</w:t>
            </w:r>
          </w:p>
          <w:p w14:paraId="0205979A" w14:textId="77777777" w:rsidR="002A21AE" w:rsidRDefault="002A21AE">
            <w:pPr>
              <w:pStyle w:val="NotesText"/>
              <w:rPr>
                <w:szCs w:val="18"/>
              </w:rPr>
            </w:pPr>
          </w:p>
          <w:p w14:paraId="2B95A771" w14:textId="77777777" w:rsidR="002A21AE" w:rsidRDefault="002A21AE">
            <w:pPr>
              <w:pStyle w:val="NotesText"/>
            </w:pPr>
            <w:r>
              <w:rPr>
                <w:rFonts w:cs="Arial"/>
                <w:vanish/>
              </w:rPr>
              <w:t xml:space="preserve">BR_24.13 </w:t>
            </w:r>
            <w:r>
              <w:t>VBECS calculates an expiration date for the pool based on the product type, the date and time created, and the expiration dates and times of each pool participant. When one or more participants in the pool have an expiration date that is earlier than the calculated expiration date, VBECS uses the earlier date as the default expiration date for the pool.</w:t>
            </w:r>
          </w:p>
          <w:p w14:paraId="2745723F" w14:textId="77777777" w:rsidR="002A21AE" w:rsidRDefault="002A21AE">
            <w:pPr>
              <w:pStyle w:val="NotesText"/>
            </w:pPr>
          </w:p>
          <w:p w14:paraId="2E3C9D59" w14:textId="3AD207A9" w:rsidR="002A21AE" w:rsidRDefault="002A21AE">
            <w:pPr>
              <w:pStyle w:val="NotesText"/>
            </w:pPr>
            <w:r w:rsidRPr="00896F17">
              <w:rPr>
                <w:rStyle w:val="BullhornChar"/>
              </w:rPr>
              <w:t></w:t>
            </w:r>
            <w:r>
              <w:rPr>
                <w:color w:val="000000"/>
                <w:szCs w:val="18"/>
              </w:rPr>
              <w:t xml:space="preserve"> </w:t>
            </w:r>
            <w:r>
              <w:rPr>
                <w:rFonts w:cs="Arial"/>
                <w:vanish/>
              </w:rPr>
              <w:t>BR_24.07</w:t>
            </w:r>
            <w:r>
              <w:rPr>
                <w:rFonts w:cs="Arial"/>
                <w:vanish/>
                <w:szCs w:val="18"/>
              </w:rPr>
              <w:t xml:space="preserve"> </w:t>
            </w:r>
            <w:r>
              <w:rPr>
                <w:szCs w:val="18"/>
              </w:rPr>
              <w:t xml:space="preserve">For each unit in the pool that was previously assigned or crossmatched to a patient, VBECS warns the user and asks whether he wishes to assign the entire pool to that patient. </w:t>
            </w:r>
            <w:r>
              <w:rPr>
                <w:b/>
                <w:bCs/>
                <w:szCs w:val="18"/>
              </w:rPr>
              <w:t>Yes</w:t>
            </w:r>
            <w:r>
              <w:rPr>
                <w:szCs w:val="18"/>
              </w:rPr>
              <w:t xml:space="preserve"> applies the patient-assigned data to the pool. </w:t>
            </w:r>
            <w:r>
              <w:rPr>
                <w:b/>
                <w:bCs/>
                <w:szCs w:val="18"/>
              </w:rPr>
              <w:t>No</w:t>
            </w:r>
            <w:r>
              <w:rPr>
                <w:szCs w:val="18"/>
              </w:rPr>
              <w:t xml:space="preserve"> releases the unit from the patient.</w:t>
            </w:r>
            <w:r w:rsidR="001C3461">
              <w:rPr>
                <w:szCs w:val="18"/>
              </w:rPr>
              <w:t xml:space="preserve"> VBECS offers the user the ability to carry over any past assignment.</w:t>
            </w:r>
          </w:p>
        </w:tc>
      </w:tr>
      <w:tr w:rsidR="002A21AE" w14:paraId="0EA2A531" w14:textId="77777777">
        <w:tc>
          <w:tcPr>
            <w:tcW w:w="3240" w:type="dxa"/>
            <w:tcBorders>
              <w:top w:val="single" w:sz="4" w:space="0" w:color="auto"/>
              <w:left w:val="single" w:sz="4" w:space="0" w:color="auto"/>
              <w:bottom w:val="single" w:sz="4" w:space="0" w:color="auto"/>
              <w:right w:val="single" w:sz="4" w:space="0" w:color="auto"/>
            </w:tcBorders>
          </w:tcPr>
          <w:p w14:paraId="07E0B708" w14:textId="77777777" w:rsidR="002A21AE" w:rsidRDefault="00CE58C1">
            <w:pPr>
              <w:pStyle w:val="TableTextNumbers"/>
            </w:pPr>
            <w:r>
              <w:t xml:space="preserve">Click </w:t>
            </w:r>
            <w:r w:rsidRPr="00CE58C1">
              <w:rPr>
                <w:b/>
              </w:rPr>
              <w:t>OK</w:t>
            </w:r>
            <w:r>
              <w:t xml:space="preserve"> to </w:t>
            </w:r>
            <w:r w:rsidR="00913F95">
              <w:t>save</w:t>
            </w:r>
            <w:r w:rsidR="002A21AE">
              <w:t>.</w:t>
            </w:r>
          </w:p>
        </w:tc>
        <w:tc>
          <w:tcPr>
            <w:tcW w:w="6120" w:type="dxa"/>
            <w:tcBorders>
              <w:top w:val="single" w:sz="4" w:space="0" w:color="auto"/>
              <w:left w:val="single" w:sz="4" w:space="0" w:color="auto"/>
              <w:bottom w:val="single" w:sz="4" w:space="0" w:color="auto"/>
              <w:right w:val="single" w:sz="4" w:space="0" w:color="auto"/>
            </w:tcBorders>
          </w:tcPr>
          <w:p w14:paraId="52DA53F8" w14:textId="77777777" w:rsidR="002A21AE" w:rsidRDefault="002A21AE">
            <w:pPr>
              <w:pStyle w:val="TableTextBullet"/>
              <w:tabs>
                <w:tab w:val="clear" w:pos="288"/>
              </w:tabs>
            </w:pPr>
            <w:r>
              <w:t>Calculates the volume, total number of participants, ID, and ABO/Rh for the pool. Applies CMV negative status to the pool, when indicated.</w:t>
            </w:r>
          </w:p>
          <w:p w14:paraId="1CD4356D" w14:textId="77777777" w:rsidR="00CE58C1" w:rsidRDefault="00CE58C1" w:rsidP="00CE58C1">
            <w:pPr>
              <w:pStyle w:val="TableTextBullet"/>
              <w:tabs>
                <w:tab w:val="num" w:pos="360"/>
              </w:tabs>
              <w:rPr>
                <w:color w:val="000000"/>
                <w:szCs w:val="20"/>
              </w:rPr>
            </w:pPr>
            <w:r>
              <w:rPr>
                <w:color w:val="000000"/>
                <w:szCs w:val="20"/>
              </w:rPr>
              <w:lastRenderedPageBreak/>
              <w:t>Determines whether any pool participants were previously assigned to a patient and queries the user to maintain the association, when indicated.</w:t>
            </w:r>
          </w:p>
          <w:p w14:paraId="14125265" w14:textId="77777777" w:rsidR="002A21AE" w:rsidRDefault="002A21AE">
            <w:pPr>
              <w:pStyle w:val="TableText"/>
            </w:pPr>
          </w:p>
          <w:p w14:paraId="1DEF9E39" w14:textId="4BB664F0" w:rsidR="002A21AE" w:rsidRDefault="002A21AE">
            <w:pPr>
              <w:pStyle w:val="TableText"/>
              <w:rPr>
                <w:b/>
                <w:bCs/>
              </w:rPr>
            </w:pPr>
            <w:r>
              <w:rPr>
                <w:b/>
                <w:bCs/>
              </w:rPr>
              <w:t>NOTES</w:t>
            </w:r>
          </w:p>
          <w:p w14:paraId="0C95A6A9" w14:textId="77777777" w:rsidR="002A21AE" w:rsidRDefault="002A21AE">
            <w:pPr>
              <w:pStyle w:val="NotesText"/>
            </w:pPr>
          </w:p>
          <w:p w14:paraId="64274C7A" w14:textId="77777777" w:rsidR="002A21AE" w:rsidRDefault="002A21AE">
            <w:pPr>
              <w:pStyle w:val="NotesText"/>
            </w:pPr>
            <w:r>
              <w:rPr>
                <w:rFonts w:cs="Arial"/>
                <w:vanish/>
              </w:rPr>
              <w:t xml:space="preserve">BR_24.09 </w:t>
            </w:r>
            <w:r>
              <w:rPr>
                <w:szCs w:val="18"/>
              </w:rPr>
              <w:t>When the ABO/Rh of each unit in a pool is identical, VBECS assigns that ABO/Rh to the pool. When the ABO and/or Rh of the units in a pool are not identical, VBECS assigns “</w:t>
            </w:r>
            <w:r w:rsidR="00A33872">
              <w:rPr>
                <w:szCs w:val="18"/>
              </w:rPr>
              <w:t>mixed</w:t>
            </w:r>
            <w:r>
              <w:rPr>
                <w:szCs w:val="18"/>
              </w:rPr>
              <w:t>” as the ABO and/or Rh group and type.</w:t>
            </w:r>
          </w:p>
          <w:p w14:paraId="52ADCF2B" w14:textId="77777777" w:rsidR="002A21AE" w:rsidRDefault="002A21AE">
            <w:pPr>
              <w:pStyle w:val="NotesText"/>
            </w:pPr>
          </w:p>
          <w:p w14:paraId="70F17F35" w14:textId="77777777" w:rsidR="002A21AE" w:rsidRDefault="002A21AE">
            <w:pPr>
              <w:pStyle w:val="NotesText"/>
              <w:rPr>
                <w:szCs w:val="18"/>
              </w:rPr>
            </w:pPr>
            <w:r>
              <w:rPr>
                <w:rFonts w:cs="Arial"/>
                <w:vanish/>
              </w:rPr>
              <w:t xml:space="preserve">BR_24.08 </w:t>
            </w:r>
            <w:r>
              <w:rPr>
                <w:szCs w:val="18"/>
              </w:rPr>
              <w:t xml:space="preserve">VBECS determines the volume of the pooled unit based on the sum of the individual volumes of the original units included in the pool and displays that as the default. </w:t>
            </w:r>
            <w:r w:rsidR="00D1735B">
              <w:rPr>
                <w:szCs w:val="18"/>
              </w:rPr>
              <w:t>VBECS will restrict the user to a value between 1 and 2,000 mL</w:t>
            </w:r>
            <w:r>
              <w:rPr>
                <w:szCs w:val="18"/>
              </w:rPr>
              <w:t>.</w:t>
            </w:r>
          </w:p>
          <w:p w14:paraId="7BAA053E" w14:textId="77777777" w:rsidR="002A21AE" w:rsidRDefault="002A21AE">
            <w:pPr>
              <w:pStyle w:val="NotesText"/>
              <w:rPr>
                <w:szCs w:val="18"/>
              </w:rPr>
            </w:pPr>
          </w:p>
          <w:p w14:paraId="4498186E" w14:textId="77777777" w:rsidR="002216F3" w:rsidRDefault="002A21AE" w:rsidP="002216F3">
            <w:pPr>
              <w:pStyle w:val="NotesText"/>
            </w:pPr>
            <w:r>
              <w:rPr>
                <w:rFonts w:cs="Arial"/>
                <w:vanish/>
              </w:rPr>
              <w:t>BR_24.19</w:t>
            </w:r>
            <w:r w:rsidR="004248F5">
              <w:rPr>
                <w:rFonts w:cs="Arial"/>
                <w:vanish/>
              </w:rPr>
              <w:t xml:space="preserve"> </w:t>
            </w:r>
            <w:r w:rsidR="002216F3">
              <w:t>If all of the parent units selected for a pool are CMV negative, the child (pooled unit) will also be labeled CMV negative by the system. If any one unit is not CMV negative, the pool cannot be labeled CMV negative.</w:t>
            </w:r>
          </w:p>
          <w:p w14:paraId="19EE0603" w14:textId="77777777" w:rsidR="002216F3" w:rsidRDefault="002216F3" w:rsidP="002216F3">
            <w:pPr>
              <w:pStyle w:val="NotesText"/>
            </w:pPr>
          </w:p>
          <w:p w14:paraId="5B695098" w14:textId="77777777" w:rsidR="002216F3" w:rsidRDefault="002216F3" w:rsidP="002216F3">
            <w:pPr>
              <w:pStyle w:val="NotesText"/>
            </w:pPr>
            <w:r w:rsidRPr="002216F3">
              <w:rPr>
                <w:vanish/>
              </w:rPr>
              <w:t xml:space="preserve">BR_24.20 </w:t>
            </w:r>
            <w:r w:rsidRPr="00314E13">
              <w:t xml:space="preserve">A pooled unit cannot be labeled as </w:t>
            </w:r>
            <w:r>
              <w:t xml:space="preserve">“Pre-treated to Prevent GVHD” </w:t>
            </w:r>
            <w:r w:rsidRPr="00314E13">
              <w:t>unless all of the parent (original) units used in creating that pool</w:t>
            </w:r>
            <w:r>
              <w:t xml:space="preserve"> have at least one attribute form from attribute group </w:t>
            </w:r>
            <w:r w:rsidRPr="00E14EFC">
              <w:t>V0013</w:t>
            </w:r>
            <w:r>
              <w:t xml:space="preserve"> indicating that the unit is irradiated or the attribute form indicating the unit was psoralen treated, </w:t>
            </w:r>
            <w:r w:rsidRPr="00314E13">
              <w:t>V0021005</w:t>
            </w:r>
            <w:r>
              <w:t xml:space="preserve">. </w:t>
            </w:r>
            <w:r w:rsidRPr="00314E13">
              <w:t>There is no override.</w:t>
            </w:r>
          </w:p>
          <w:p w14:paraId="7245B733" w14:textId="77777777" w:rsidR="002216F3" w:rsidRDefault="002216F3" w:rsidP="002216F3">
            <w:pPr>
              <w:pStyle w:val="NotesText"/>
            </w:pPr>
          </w:p>
          <w:p w14:paraId="77921383" w14:textId="0ECA01AB" w:rsidR="002216F3" w:rsidRPr="00314E13" w:rsidRDefault="002216F3" w:rsidP="002216F3">
            <w:pPr>
              <w:pStyle w:val="NotesText"/>
            </w:pPr>
            <w:r w:rsidRPr="002216F3">
              <w:rPr>
                <w:vanish/>
              </w:rPr>
              <w:t xml:space="preserve">BR_24.20 </w:t>
            </w:r>
            <w:r w:rsidRPr="00314E13">
              <w:t xml:space="preserve">A pooled unit cannot be labeled as </w:t>
            </w:r>
            <w:r>
              <w:t>“</w:t>
            </w:r>
            <w:r w:rsidRPr="00314E13">
              <w:t>Leukocyte Reduced</w:t>
            </w:r>
            <w:r>
              <w:t>”</w:t>
            </w:r>
            <w:r w:rsidRPr="00314E13">
              <w:t xml:space="preserve"> </w:t>
            </w:r>
            <w:r>
              <w:t xml:space="preserve">unless all of </w:t>
            </w:r>
            <w:r w:rsidRPr="00314E13">
              <w:t xml:space="preserve">the parent (original) units used in creating that pool </w:t>
            </w:r>
            <w:r>
              <w:t xml:space="preserve">have at least one of the attribute forms from attribute group </w:t>
            </w:r>
            <w:r w:rsidRPr="00E14EFC">
              <w:t>V001</w:t>
            </w:r>
            <w:r>
              <w:t>4, indicating that the unit has an altered “</w:t>
            </w:r>
            <w:r w:rsidRPr="00E14EFC">
              <w:t>Residual Leukocyte Content</w:t>
            </w:r>
            <w:r>
              <w:t>”.</w:t>
            </w:r>
          </w:p>
          <w:p w14:paraId="3A038FB0" w14:textId="77777777" w:rsidR="002216F3" w:rsidRPr="00314E13" w:rsidRDefault="002216F3" w:rsidP="002216F3">
            <w:pPr>
              <w:pStyle w:val="NotesText"/>
            </w:pPr>
          </w:p>
          <w:p w14:paraId="35AC1999" w14:textId="77777777" w:rsidR="002216F3" w:rsidRDefault="002216F3" w:rsidP="002216F3">
            <w:pPr>
              <w:pStyle w:val="NotesText"/>
            </w:pPr>
            <w:r w:rsidRPr="002216F3">
              <w:rPr>
                <w:vanish/>
              </w:rPr>
              <w:t xml:space="preserve">BR_24.20 </w:t>
            </w:r>
            <w:r w:rsidRPr="00314E13">
              <w:t xml:space="preserve">Example, a pool is created from 5 units, </w:t>
            </w:r>
            <w:r>
              <w:t xml:space="preserve">if </w:t>
            </w:r>
            <w:r w:rsidRPr="00314E13">
              <w:t xml:space="preserve">any one of the units </w:t>
            </w:r>
            <w:r w:rsidR="00C45B80">
              <w:t>is not irradiated or psoralen related</w:t>
            </w:r>
            <w:r w:rsidRPr="00E14EFC">
              <w:t xml:space="preserve">, </w:t>
            </w:r>
            <w:r w:rsidRPr="00314E13">
              <w:t xml:space="preserve">then the target </w:t>
            </w:r>
            <w:r>
              <w:t>cannot be labeled as Pre-treated to Prevent GVHD”.</w:t>
            </w:r>
          </w:p>
          <w:p w14:paraId="265EC113" w14:textId="77777777" w:rsidR="002216F3" w:rsidRDefault="002216F3" w:rsidP="002216F3">
            <w:pPr>
              <w:pStyle w:val="NotesText"/>
            </w:pPr>
          </w:p>
          <w:p w14:paraId="1C21BC1D" w14:textId="76AEB9E3" w:rsidR="002216F3" w:rsidRDefault="002216F3" w:rsidP="002216F3">
            <w:pPr>
              <w:pStyle w:val="NotesText"/>
            </w:pPr>
            <w:r w:rsidRPr="002216F3">
              <w:rPr>
                <w:vanish/>
              </w:rPr>
              <w:t xml:space="preserve">BR_24.20 </w:t>
            </w:r>
            <w:r w:rsidRPr="00314E13">
              <w:t xml:space="preserve">Example, a pool is created from 5 units, </w:t>
            </w:r>
            <w:r>
              <w:t xml:space="preserve">if </w:t>
            </w:r>
            <w:r w:rsidRPr="00314E13">
              <w:t xml:space="preserve">any one of the units </w:t>
            </w:r>
            <w:r>
              <w:t xml:space="preserve">does not contain at least one of the attribute forms from </w:t>
            </w:r>
            <w:r w:rsidR="00C45B80">
              <w:t xml:space="preserve">the </w:t>
            </w:r>
            <w:r>
              <w:t>attribute group indicating that the unit has an altered “</w:t>
            </w:r>
            <w:r w:rsidRPr="00E14EFC">
              <w:t>Residual Leukocyte Content</w:t>
            </w:r>
            <w:r>
              <w:t>”</w:t>
            </w:r>
            <w:r w:rsidRPr="00314E13" w:rsidDel="00E14EFC">
              <w:t xml:space="preserve"> </w:t>
            </w:r>
            <w:r w:rsidRPr="00314E13">
              <w:t xml:space="preserve">then the target </w:t>
            </w:r>
            <w:r>
              <w:t>cannot be labeled as “</w:t>
            </w:r>
            <w:r w:rsidRPr="00314E13">
              <w:t>Leukocyte Reduced</w:t>
            </w:r>
            <w:r>
              <w:t>”</w:t>
            </w:r>
          </w:p>
          <w:p w14:paraId="553A5F94" w14:textId="77777777" w:rsidR="002216F3" w:rsidRDefault="002216F3" w:rsidP="002216F3">
            <w:pPr>
              <w:pStyle w:val="NotesText"/>
            </w:pPr>
          </w:p>
          <w:p w14:paraId="3B718FB3" w14:textId="77777777" w:rsidR="004248F5" w:rsidRPr="004248F5" w:rsidRDefault="0099483E" w:rsidP="00C45B80">
            <w:pPr>
              <w:pStyle w:val="NotesText"/>
            </w:pPr>
            <w:r w:rsidRPr="0099483E">
              <w:rPr>
                <w:iCs/>
                <w:vanish/>
              </w:rPr>
              <w:t xml:space="preserve">BR_24.31 </w:t>
            </w:r>
            <w:r w:rsidRPr="00314E13">
              <w:rPr>
                <w:iCs/>
              </w:rPr>
              <w:t xml:space="preserve">If one biohazardous unit is added to a pool, the target </w:t>
            </w:r>
            <w:r w:rsidR="00C45B80">
              <w:rPr>
                <w:iCs/>
              </w:rPr>
              <w:t>is</w:t>
            </w:r>
            <w:r w:rsidRPr="00314E13">
              <w:rPr>
                <w:iCs/>
              </w:rPr>
              <w:t xml:space="preserve"> marked biohazardous.</w:t>
            </w:r>
          </w:p>
        </w:tc>
      </w:tr>
      <w:tr w:rsidR="002A21AE" w14:paraId="0771E9D5" w14:textId="77777777" w:rsidTr="001A459B">
        <w:trPr>
          <w:cantSplit/>
        </w:trPr>
        <w:tc>
          <w:tcPr>
            <w:tcW w:w="3240" w:type="dxa"/>
            <w:tcBorders>
              <w:top w:val="single" w:sz="4" w:space="0" w:color="auto"/>
              <w:left w:val="single" w:sz="4" w:space="0" w:color="auto"/>
              <w:bottom w:val="single" w:sz="4" w:space="0" w:color="auto"/>
              <w:right w:val="single" w:sz="4" w:space="0" w:color="auto"/>
            </w:tcBorders>
          </w:tcPr>
          <w:p w14:paraId="10A7F024" w14:textId="77777777" w:rsidR="00913F95" w:rsidRDefault="00913F95" w:rsidP="00913F95">
            <w:pPr>
              <w:pStyle w:val="TableTextNumbers"/>
            </w:pPr>
            <w:r>
              <w:lastRenderedPageBreak/>
              <w:t xml:space="preserve">Click </w:t>
            </w:r>
            <w:r w:rsidRPr="00A77D1F">
              <w:rPr>
                <w:b/>
              </w:rPr>
              <w:t>Yes</w:t>
            </w:r>
            <w:r>
              <w:t xml:space="preserve"> to verify the label.</w:t>
            </w:r>
          </w:p>
          <w:p w14:paraId="15B4566B" w14:textId="77777777" w:rsidR="00913F95" w:rsidRDefault="00913F95" w:rsidP="00913F95">
            <w:pPr>
              <w:pStyle w:val="TableTextNumbersContinued"/>
            </w:pPr>
          </w:p>
          <w:p w14:paraId="42640955" w14:textId="77777777" w:rsidR="002A21AE" w:rsidRDefault="00913F95" w:rsidP="00913F95">
            <w:pPr>
              <w:pStyle w:val="TableTextNumbersContinued"/>
            </w:pPr>
            <w:r>
              <w:t xml:space="preserve">Click </w:t>
            </w:r>
            <w:r w:rsidRPr="00913F95">
              <w:rPr>
                <w:b/>
              </w:rPr>
              <w:t>OK</w:t>
            </w:r>
            <w:r>
              <w:t xml:space="preserve"> to save</w:t>
            </w:r>
            <w:r w:rsidR="002A21AE">
              <w:t>.</w:t>
            </w:r>
          </w:p>
        </w:tc>
        <w:tc>
          <w:tcPr>
            <w:tcW w:w="6120" w:type="dxa"/>
            <w:tcBorders>
              <w:top w:val="single" w:sz="4" w:space="0" w:color="auto"/>
              <w:left w:val="single" w:sz="4" w:space="0" w:color="auto"/>
              <w:bottom w:val="single" w:sz="4" w:space="0" w:color="auto"/>
              <w:right w:val="single" w:sz="4" w:space="0" w:color="auto"/>
            </w:tcBorders>
          </w:tcPr>
          <w:p w14:paraId="12C6E024" w14:textId="77777777" w:rsidR="002A21AE" w:rsidRDefault="002A21AE">
            <w:pPr>
              <w:pStyle w:val="TableTextBullet"/>
            </w:pPr>
            <w:r>
              <w:t>Saves the new pooled unit.</w:t>
            </w:r>
          </w:p>
          <w:p w14:paraId="72918BE2" w14:textId="77777777" w:rsidR="002A21AE" w:rsidRDefault="002A21AE">
            <w:pPr>
              <w:pStyle w:val="TableTextBullet"/>
            </w:pPr>
            <w:r>
              <w:t>Updates the status of each participant unit to “modified.”</w:t>
            </w:r>
          </w:p>
          <w:p w14:paraId="54B04FE4" w14:textId="77777777" w:rsidR="002A21AE" w:rsidRDefault="00EE2911" w:rsidP="00EE2911">
            <w:pPr>
              <w:pStyle w:val="TableTextBullet"/>
              <w:tabs>
                <w:tab w:val="clear" w:pos="288"/>
              </w:tabs>
            </w:pPr>
            <w:r>
              <w:t>Records the unit ID of the target unit on the record of the original unit.</w:t>
            </w:r>
          </w:p>
          <w:p w14:paraId="0AF5C229" w14:textId="77777777" w:rsidR="002A21AE" w:rsidRDefault="002A21AE">
            <w:pPr>
              <w:pStyle w:val="TableTextBullet"/>
            </w:pPr>
            <w:r>
              <w:t>Prompts the user to modify another unit.</w:t>
            </w:r>
          </w:p>
          <w:p w14:paraId="11265AB1" w14:textId="77777777" w:rsidR="00E92B60" w:rsidRDefault="00E92B60" w:rsidP="00E92B60">
            <w:pPr>
              <w:pStyle w:val="TableTextBullet"/>
              <w:tabs>
                <w:tab w:val="clear" w:pos="288"/>
              </w:tabs>
            </w:pPr>
            <w:r>
              <w:t>Saves only the technologist name and the date and time the label was verified. When the user indicates that a new label applied fails to complete the verification process, releases the assignment, quarantines the unit, and captures details for inclusion in an Exception Report (exception type: target product label failed checks).</w:t>
            </w:r>
          </w:p>
        </w:tc>
      </w:tr>
      <w:tr w:rsidR="002A21AE" w14:paraId="4EDF2937" w14:textId="77777777">
        <w:tc>
          <w:tcPr>
            <w:tcW w:w="3240" w:type="dxa"/>
            <w:tcBorders>
              <w:top w:val="single" w:sz="4" w:space="0" w:color="auto"/>
              <w:left w:val="single" w:sz="4" w:space="0" w:color="auto"/>
              <w:bottom w:val="single" w:sz="4" w:space="0" w:color="auto"/>
              <w:right w:val="single" w:sz="4" w:space="0" w:color="auto"/>
            </w:tcBorders>
          </w:tcPr>
          <w:p w14:paraId="38244654" w14:textId="3D6435BE" w:rsidR="002A21AE" w:rsidRDefault="002A21AE">
            <w:pPr>
              <w:pStyle w:val="TableTextNumbers"/>
            </w:pPr>
            <w:r>
              <w:t xml:space="preserve">Repeat Steps </w:t>
            </w:r>
            <w:r w:rsidR="006E5C1E">
              <w:t>2</w:t>
            </w:r>
            <w:r w:rsidR="004F5589">
              <w:t xml:space="preserve"> through </w:t>
            </w:r>
            <w:r w:rsidR="00047C63">
              <w:t>10</w:t>
            </w:r>
            <w:r>
              <w:t xml:space="preserve"> to modify another unit</w:t>
            </w:r>
            <w:r w:rsidR="00576D72">
              <w:t>,</w:t>
            </w:r>
            <w:r>
              <w:t xml:space="preserve"> or exit. </w:t>
            </w:r>
            <w:r>
              <w:rPr>
                <w:vanish/>
                <w:color w:val="FFFFFF"/>
                <w:szCs w:val="18"/>
              </w:rPr>
              <w:fldChar w:fldCharType="begin"/>
            </w:r>
            <w:r>
              <w:rPr>
                <w:vanish/>
                <w:color w:val="FFFFFF"/>
                <w:szCs w:val="18"/>
              </w:rPr>
              <w:instrText xml:space="preserve"> LISTNUM \l 1 \s 0 </w:instrText>
            </w:r>
            <w:r>
              <w:rPr>
                <w:vanish/>
                <w:color w:val="FFFFFF"/>
                <w:szCs w:val="18"/>
              </w:rPr>
              <w:fldChar w:fldCharType="end">
                <w:numberingChange w:id="366" w:author="MUSZYNSKI, THOMAS D. (SIERRA 7 INC)" w:date="2024-11-26T07:15:00Z" w:original="0."/>
              </w:fldChar>
            </w:r>
          </w:p>
        </w:tc>
        <w:tc>
          <w:tcPr>
            <w:tcW w:w="6120" w:type="dxa"/>
            <w:tcBorders>
              <w:top w:val="single" w:sz="4" w:space="0" w:color="auto"/>
              <w:left w:val="single" w:sz="4" w:space="0" w:color="auto"/>
              <w:bottom w:val="single" w:sz="4" w:space="0" w:color="auto"/>
              <w:right w:val="single" w:sz="4" w:space="0" w:color="auto"/>
            </w:tcBorders>
          </w:tcPr>
          <w:p w14:paraId="62AAD5F6" w14:textId="77777777" w:rsidR="002A21AE" w:rsidRDefault="002A21AE">
            <w:pPr>
              <w:pStyle w:val="TableText"/>
            </w:pPr>
          </w:p>
        </w:tc>
      </w:tr>
    </w:tbl>
    <w:p w14:paraId="58D894AB" w14:textId="77777777" w:rsidR="002A21AE" w:rsidRDefault="009F1B54">
      <w:pPr>
        <w:pStyle w:val="Heading3"/>
      </w:pPr>
      <w:bookmarkStart w:id="367" w:name="_Toc94349350"/>
      <w:r>
        <w:br w:type="page"/>
      </w:r>
      <w:bookmarkStart w:id="368" w:name="_Toc203765892"/>
      <w:r w:rsidR="003E28C1">
        <w:lastRenderedPageBreak/>
        <w:t xml:space="preserve">Add and/or </w:t>
      </w:r>
      <w:r w:rsidR="002A21AE">
        <w:t>Remove Units from a Pool</w:t>
      </w:r>
      <w:bookmarkEnd w:id="368"/>
      <w:r w:rsidR="002A21AE" w:rsidRPr="007716F7">
        <w:rPr>
          <w:vanish/>
        </w:rPr>
        <w:fldChar w:fldCharType="begin"/>
      </w:r>
      <w:r w:rsidR="002A21AE" w:rsidRPr="007716F7">
        <w:rPr>
          <w:vanish/>
        </w:rPr>
        <w:instrText xml:space="preserve"> XE </w:instrText>
      </w:r>
      <w:r w:rsidR="00FA7E65" w:rsidRPr="007716F7">
        <w:rPr>
          <w:vanish/>
        </w:rPr>
        <w:instrText>“</w:instrText>
      </w:r>
      <w:r w:rsidR="002A21AE" w:rsidRPr="007716F7">
        <w:rPr>
          <w:vanish/>
        </w:rPr>
        <w:instrText>Add/Remove Units from a Pool</w:instrText>
      </w:r>
      <w:r w:rsidR="00FA7E65" w:rsidRPr="007716F7">
        <w:rPr>
          <w:vanish/>
        </w:rPr>
        <w:instrText>”</w:instrText>
      </w:r>
      <w:r w:rsidR="002A21AE" w:rsidRPr="007716F7">
        <w:rPr>
          <w:vanish/>
        </w:rPr>
        <w:instrText xml:space="preserve"> </w:instrText>
      </w:r>
      <w:r w:rsidR="002A21AE" w:rsidRPr="007716F7">
        <w:rPr>
          <w:vanish/>
        </w:rPr>
        <w:fldChar w:fldCharType="end"/>
      </w:r>
      <w:r w:rsidR="002A21AE" w:rsidRPr="007716F7">
        <w:rPr>
          <w:vanish/>
        </w:rPr>
        <w:t xml:space="preserve"> UC_26</w:t>
      </w:r>
      <w:bookmarkEnd w:id="367"/>
    </w:p>
    <w:p w14:paraId="07CC3AAB" w14:textId="77777777" w:rsidR="002A21AE" w:rsidRDefault="002A21AE" w:rsidP="00FA7E65">
      <w:pPr>
        <w:pStyle w:val="BodyText"/>
      </w:pPr>
      <w:r>
        <w:t xml:space="preserve">The user selects a pooled unit to add and/or remove some of the participants. </w:t>
      </w:r>
    </w:p>
    <w:p w14:paraId="40F35DBB" w14:textId="77777777" w:rsidR="002A21AE" w:rsidRDefault="002A21AE">
      <w:pPr>
        <w:pStyle w:val="Heading4"/>
      </w:pPr>
      <w:bookmarkStart w:id="369" w:name="_Toc94349351"/>
      <w:r>
        <w:t>Assumptions</w:t>
      </w:r>
      <w:bookmarkEnd w:id="369"/>
    </w:p>
    <w:p w14:paraId="535F9DD5" w14:textId="77777777" w:rsidR="002A21AE" w:rsidRDefault="002A21AE">
      <w:pPr>
        <w:pStyle w:val="ListBullet"/>
      </w:pPr>
      <w:r>
        <w:t>See Modify Units.</w:t>
      </w:r>
    </w:p>
    <w:p w14:paraId="1636D87C" w14:textId="77777777" w:rsidR="002A21AE" w:rsidRDefault="002A21AE">
      <w:pPr>
        <w:pStyle w:val="Heading4"/>
      </w:pPr>
      <w:bookmarkStart w:id="370" w:name="_Toc94349352"/>
      <w:r>
        <w:t>Outcome</w:t>
      </w:r>
      <w:bookmarkEnd w:id="370"/>
    </w:p>
    <w:p w14:paraId="511BDA4C" w14:textId="77777777" w:rsidR="002A21AE" w:rsidRDefault="002A21AE">
      <w:pPr>
        <w:pStyle w:val="ListBullet"/>
      </w:pPr>
      <w:r>
        <w:t>See Modify Units.</w:t>
      </w:r>
    </w:p>
    <w:p w14:paraId="349279DD" w14:textId="77777777" w:rsidR="002A21AE" w:rsidRDefault="002A21AE">
      <w:pPr>
        <w:pStyle w:val="Heading4"/>
      </w:pPr>
      <w:bookmarkStart w:id="371" w:name="_Toc94349353"/>
      <w:r>
        <w:t>Limitations and Restrictions</w:t>
      </w:r>
      <w:bookmarkEnd w:id="371"/>
    </w:p>
    <w:p w14:paraId="7259EE78" w14:textId="77777777" w:rsidR="002A21AE" w:rsidRDefault="002A21AE">
      <w:pPr>
        <w:pStyle w:val="ListBullet"/>
      </w:pPr>
      <w:r>
        <w:t>See Modify Units.</w:t>
      </w:r>
    </w:p>
    <w:p w14:paraId="7F1E73F7" w14:textId="77777777" w:rsidR="002A21AE" w:rsidRDefault="002A21AE">
      <w:pPr>
        <w:pStyle w:val="Heading4"/>
      </w:pPr>
      <w:bookmarkStart w:id="372" w:name="_Toc94349354"/>
      <w:r>
        <w:t>Additional Information</w:t>
      </w:r>
      <w:bookmarkEnd w:id="372"/>
    </w:p>
    <w:p w14:paraId="4E53CD08" w14:textId="77777777" w:rsidR="002A21AE" w:rsidRDefault="00662057">
      <w:pPr>
        <w:pStyle w:val="ListBullet"/>
      </w:pPr>
      <w:r>
        <w:t>None</w:t>
      </w:r>
      <w:r w:rsidR="002A21AE">
        <w:t>.</w:t>
      </w:r>
    </w:p>
    <w:p w14:paraId="7FED80F2" w14:textId="77777777" w:rsidR="002A21AE" w:rsidRDefault="002A21AE">
      <w:pPr>
        <w:pStyle w:val="Heading4"/>
      </w:pPr>
      <w:bookmarkStart w:id="373" w:name="_Toc94349355"/>
      <w:r>
        <w:t>User Roles with Access to This Option</w:t>
      </w:r>
      <w:bookmarkEnd w:id="373"/>
    </w:p>
    <w:p w14:paraId="5578CA56" w14:textId="77777777" w:rsidR="005663D0" w:rsidRDefault="005663D0" w:rsidP="001A3179">
      <w:pPr>
        <w:pStyle w:val="Roles"/>
        <w:rPr>
          <w:rFonts w:ascii="Wingdings 3" w:hAnsi="Wingdings 3" w:cs="Wingdings"/>
        </w:rPr>
      </w:pPr>
      <w:r w:rsidRPr="00EC7489">
        <w:rPr>
          <w:rFonts w:ascii="Wingdings 3" w:hAnsi="Wingdings 3" w:cs="Wingdings"/>
        </w:rPr>
        <w:t></w:t>
      </w:r>
      <w:r w:rsidRPr="00EC7489">
        <w:rPr>
          <w:rFonts w:ascii="Wingdings 3" w:hAnsi="Wingdings 3" w:cs="Wingdings"/>
        </w:rPr>
        <w:t></w:t>
      </w:r>
      <w:r>
        <w:t xml:space="preserve"> Enhanced Technologist (add/remove prior to patient associations) </w:t>
      </w:r>
    </w:p>
    <w:p w14:paraId="15F719FD" w14:textId="77777777" w:rsidR="002A21AE" w:rsidRDefault="001A3179" w:rsidP="001A3179">
      <w:pPr>
        <w:pStyle w:val="Roles"/>
        <w:rPr>
          <w:snapToGrid w:val="0"/>
        </w:rPr>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Traditional Supervisor</w:t>
      </w:r>
      <w:r w:rsidR="005663D0">
        <w:t xml:space="preserve"> (add/remove with patient associations)</w:t>
      </w:r>
    </w:p>
    <w:p w14:paraId="43ACC318" w14:textId="77777777" w:rsidR="002A21AE" w:rsidRDefault="002A21AE">
      <w:pPr>
        <w:pStyle w:val="Heading4"/>
        <w:rPr>
          <w:rFonts w:ascii="Times New Roman" w:hAnsi="Times New Roman"/>
          <w:bCs/>
          <w:i/>
          <w:iCs/>
          <w:sz w:val="24"/>
        </w:rPr>
      </w:pPr>
      <w:bookmarkStart w:id="374" w:name="_Toc94349356"/>
      <w:bookmarkStart w:id="375" w:name="OLE_LINK24"/>
      <w:r>
        <w:t>Add/Remove Units from a Pool</w:t>
      </w:r>
      <w:bookmarkEnd w:id="374"/>
      <w:bookmarkEnd w:id="375"/>
    </w:p>
    <w:p w14:paraId="55C554CC" w14:textId="77777777" w:rsidR="002A21AE" w:rsidRDefault="002A21AE" w:rsidP="00FA7E65">
      <w:pPr>
        <w:pStyle w:val="BodyText"/>
      </w:pPr>
      <w:r>
        <w:t>The user adds or deletes units to or from a pool.</w:t>
      </w:r>
    </w:p>
    <w:tbl>
      <w:tblPr>
        <w:tblW w:w="9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08"/>
      </w:tblGrid>
      <w:tr w:rsidR="002A21AE" w14:paraId="681361CE" w14:textId="77777777">
        <w:trPr>
          <w:tblHeader/>
        </w:trPr>
        <w:tc>
          <w:tcPr>
            <w:tcW w:w="3240" w:type="dxa"/>
            <w:tcBorders>
              <w:top w:val="single" w:sz="4" w:space="0" w:color="auto"/>
              <w:left w:val="single" w:sz="4" w:space="0" w:color="auto"/>
              <w:bottom w:val="single" w:sz="4" w:space="0" w:color="auto"/>
              <w:right w:val="single" w:sz="4" w:space="0" w:color="auto"/>
            </w:tcBorders>
            <w:shd w:val="clear" w:color="auto" w:fill="C0C0C0"/>
            <w:vAlign w:val="bottom"/>
          </w:tcPr>
          <w:p w14:paraId="0E52F13A" w14:textId="77777777" w:rsidR="002A21AE" w:rsidRDefault="002A21AE">
            <w:pPr>
              <w:pStyle w:val="TableText"/>
              <w:rPr>
                <w:b/>
              </w:rPr>
            </w:pPr>
            <w:r>
              <w:rPr>
                <w:b/>
              </w:rPr>
              <w:t>User Action</w:t>
            </w:r>
          </w:p>
        </w:tc>
        <w:tc>
          <w:tcPr>
            <w:tcW w:w="6108" w:type="dxa"/>
            <w:tcBorders>
              <w:top w:val="single" w:sz="4" w:space="0" w:color="auto"/>
              <w:left w:val="single" w:sz="4" w:space="0" w:color="auto"/>
              <w:bottom w:val="single" w:sz="4" w:space="0" w:color="auto"/>
              <w:right w:val="single" w:sz="4" w:space="0" w:color="auto"/>
            </w:tcBorders>
            <w:shd w:val="clear" w:color="auto" w:fill="C0C0C0"/>
            <w:vAlign w:val="bottom"/>
          </w:tcPr>
          <w:p w14:paraId="1EFCECC1" w14:textId="77777777" w:rsidR="002A21AE" w:rsidRDefault="002A21AE">
            <w:pPr>
              <w:pStyle w:val="TableText"/>
              <w:rPr>
                <w:b/>
              </w:rPr>
            </w:pPr>
            <w:r>
              <w:rPr>
                <w:b/>
              </w:rPr>
              <w:t>VBECS</w:t>
            </w:r>
          </w:p>
        </w:tc>
      </w:tr>
      <w:tr w:rsidR="002A21AE" w14:paraId="614EF6E3" w14:textId="77777777">
        <w:tc>
          <w:tcPr>
            <w:tcW w:w="3240" w:type="dxa"/>
          </w:tcPr>
          <w:p w14:paraId="4A9C16CB" w14:textId="77777777" w:rsidR="002A21AE" w:rsidRDefault="002A21AE">
            <w:pPr>
              <w:pStyle w:val="TableTextNumbers"/>
            </w:pPr>
            <w:r>
              <w:t xml:space="preserve">Select </w:t>
            </w:r>
            <w:r>
              <w:rPr>
                <w:b/>
              </w:rPr>
              <w:t>Blood Units</w:t>
            </w:r>
            <w:r>
              <w:t xml:space="preserve"> from the main menu. </w:t>
            </w:r>
          </w:p>
          <w:p w14:paraId="6123465B" w14:textId="77777777" w:rsidR="002A21AE" w:rsidRDefault="002A21AE">
            <w:pPr>
              <w:pStyle w:val="TableTextNumbersContinued"/>
            </w:pPr>
          </w:p>
          <w:p w14:paraId="214EFE62" w14:textId="77777777" w:rsidR="002A21AE" w:rsidRDefault="002A21AE">
            <w:pPr>
              <w:pStyle w:val="TableTextNumbersContinued"/>
            </w:pPr>
            <w:r>
              <w:t xml:space="preserve">Select </w:t>
            </w:r>
            <w:r>
              <w:rPr>
                <w:b/>
              </w:rPr>
              <w:t>Modify Units</w:t>
            </w:r>
            <w:r>
              <w:t>.</w:t>
            </w:r>
          </w:p>
        </w:tc>
        <w:tc>
          <w:tcPr>
            <w:tcW w:w="6108" w:type="dxa"/>
          </w:tcPr>
          <w:p w14:paraId="6E81A999" w14:textId="77777777" w:rsidR="002A21AE" w:rsidRDefault="002A21AE">
            <w:pPr>
              <w:pStyle w:val="TableTextBullet"/>
            </w:pPr>
            <w:r>
              <w:t>Displays options for processing blood units.</w:t>
            </w:r>
          </w:p>
          <w:p w14:paraId="7F545507" w14:textId="77777777" w:rsidR="002A21AE" w:rsidRDefault="002A21AE">
            <w:pPr>
              <w:pStyle w:val="TableTextBullet"/>
            </w:pPr>
            <w:r>
              <w:t>Displays valid modification types and allows the user to select an option.</w:t>
            </w:r>
          </w:p>
        </w:tc>
      </w:tr>
      <w:tr w:rsidR="002A21AE" w14:paraId="08350CCA" w14:textId="77777777">
        <w:tc>
          <w:tcPr>
            <w:tcW w:w="3240" w:type="dxa"/>
          </w:tcPr>
          <w:p w14:paraId="2D623A5B" w14:textId="77777777" w:rsidR="002A21AE" w:rsidRDefault="002A21AE">
            <w:pPr>
              <w:pStyle w:val="TableTextNumbers"/>
            </w:pPr>
            <w:r>
              <w:t xml:space="preserve">Click the </w:t>
            </w:r>
            <w:r>
              <w:rPr>
                <w:b/>
              </w:rPr>
              <w:t xml:space="preserve">Add/Remove Units from a Pool </w:t>
            </w:r>
            <w:r w:rsidRPr="00BF2E41">
              <w:t>radio button</w:t>
            </w:r>
            <w:r>
              <w:t>.</w:t>
            </w:r>
          </w:p>
          <w:p w14:paraId="2C65915F" w14:textId="77777777" w:rsidR="002A21AE" w:rsidRDefault="002A21AE">
            <w:pPr>
              <w:pStyle w:val="TableTextNumbersContinued"/>
            </w:pPr>
          </w:p>
          <w:p w14:paraId="4F86BAF5" w14:textId="77777777" w:rsidR="002A21AE" w:rsidRDefault="002A21AE">
            <w:pPr>
              <w:pStyle w:val="TableTextNumbersContinued"/>
            </w:pPr>
            <w:r>
              <w:t xml:space="preserve">Click </w:t>
            </w:r>
            <w:r>
              <w:rPr>
                <w:b/>
              </w:rPr>
              <w:t>OK</w:t>
            </w:r>
            <w:r>
              <w:t>.</w:t>
            </w:r>
          </w:p>
        </w:tc>
        <w:tc>
          <w:tcPr>
            <w:tcW w:w="6108" w:type="dxa"/>
          </w:tcPr>
          <w:p w14:paraId="7EBF33D9" w14:textId="77777777" w:rsidR="002A21AE" w:rsidRDefault="002A21AE">
            <w:pPr>
              <w:pStyle w:val="TableTextBullet"/>
              <w:tabs>
                <w:tab w:val="num" w:pos="360"/>
              </w:tabs>
            </w:pPr>
            <w:r>
              <w:t>Allows the user to search for a pooled unit.</w:t>
            </w:r>
          </w:p>
        </w:tc>
      </w:tr>
      <w:tr w:rsidR="002A21AE" w14:paraId="0A66B1D5" w14:textId="77777777">
        <w:tc>
          <w:tcPr>
            <w:tcW w:w="3240" w:type="dxa"/>
            <w:tcBorders>
              <w:top w:val="single" w:sz="4" w:space="0" w:color="auto"/>
              <w:left w:val="single" w:sz="4" w:space="0" w:color="auto"/>
              <w:bottom w:val="single" w:sz="4" w:space="0" w:color="auto"/>
              <w:right w:val="single" w:sz="4" w:space="0" w:color="auto"/>
            </w:tcBorders>
          </w:tcPr>
          <w:p w14:paraId="763845B8" w14:textId="77777777" w:rsidR="002A21AE" w:rsidRDefault="002A21AE">
            <w:pPr>
              <w:pStyle w:val="TableTextNumbers"/>
            </w:pPr>
            <w:r>
              <w:t>Scan, enter, or select the ID and product code for a pooled unit.</w:t>
            </w:r>
          </w:p>
        </w:tc>
        <w:tc>
          <w:tcPr>
            <w:tcW w:w="6108" w:type="dxa"/>
            <w:tcBorders>
              <w:top w:val="single" w:sz="4" w:space="0" w:color="auto"/>
              <w:left w:val="single" w:sz="4" w:space="0" w:color="auto"/>
              <w:bottom w:val="single" w:sz="4" w:space="0" w:color="auto"/>
              <w:right w:val="single" w:sz="4" w:space="0" w:color="auto"/>
            </w:tcBorders>
          </w:tcPr>
          <w:p w14:paraId="67D7A7B7" w14:textId="77777777" w:rsidR="002A21AE" w:rsidRDefault="002A21AE">
            <w:pPr>
              <w:pStyle w:val="TableTextBullet"/>
              <w:tabs>
                <w:tab w:val="clear" w:pos="288"/>
                <w:tab w:val="num" w:pos="360"/>
              </w:tabs>
            </w:pPr>
            <w:r>
              <w:t>Displays current data for the selected unit.</w:t>
            </w:r>
          </w:p>
          <w:p w14:paraId="574A0BB1" w14:textId="77777777" w:rsidR="002A21AE" w:rsidRDefault="002A21AE">
            <w:pPr>
              <w:pStyle w:val="TableText"/>
            </w:pPr>
          </w:p>
          <w:p w14:paraId="4EAF7AF0" w14:textId="2F4B2F4B" w:rsidR="002A21AE" w:rsidRDefault="002A21AE">
            <w:pPr>
              <w:pStyle w:val="TableText"/>
              <w:rPr>
                <w:b/>
                <w:bCs/>
              </w:rPr>
            </w:pPr>
            <w:r>
              <w:rPr>
                <w:b/>
                <w:bCs/>
              </w:rPr>
              <w:t>NOTES</w:t>
            </w:r>
          </w:p>
          <w:p w14:paraId="3D0C29C5" w14:textId="77777777" w:rsidR="002A21AE" w:rsidRDefault="002A21AE">
            <w:pPr>
              <w:pStyle w:val="NotesText"/>
            </w:pPr>
          </w:p>
          <w:p w14:paraId="16AB4994" w14:textId="77777777" w:rsidR="002A21AE" w:rsidRDefault="002A21AE">
            <w:pPr>
              <w:pStyle w:val="NotesText"/>
            </w:pPr>
            <w:r>
              <w:rPr>
                <w:rFonts w:cs="Arial"/>
                <w:vanish/>
              </w:rPr>
              <w:t xml:space="preserve">BR_24.21 </w:t>
            </w:r>
            <w:r>
              <w:t>The user must select a unit that was previously pooled within the user’s division.</w:t>
            </w:r>
          </w:p>
          <w:p w14:paraId="44327288" w14:textId="77777777" w:rsidR="002A21AE" w:rsidRDefault="002A21AE">
            <w:pPr>
              <w:pStyle w:val="NotesText"/>
            </w:pPr>
          </w:p>
          <w:p w14:paraId="5E6094FC" w14:textId="77777777" w:rsidR="002A21AE" w:rsidRDefault="002A21AE">
            <w:pPr>
              <w:pStyle w:val="NotesText"/>
            </w:pPr>
            <w:r>
              <w:rPr>
                <w:rFonts w:cs="Arial"/>
                <w:vanish/>
              </w:rPr>
              <w:t xml:space="preserve">BR_24.30 </w:t>
            </w:r>
            <w:r>
              <w:t>The user may edit a pooled unit only once.</w:t>
            </w:r>
          </w:p>
          <w:p w14:paraId="3A406F9F" w14:textId="77777777" w:rsidR="002A21AE" w:rsidRDefault="002A21AE">
            <w:pPr>
              <w:pStyle w:val="NotesText"/>
            </w:pPr>
          </w:p>
          <w:p w14:paraId="55070C10" w14:textId="77777777" w:rsidR="002A21AE" w:rsidRDefault="00D51EEA">
            <w:pPr>
              <w:pStyle w:val="NotesText"/>
            </w:pPr>
            <w:r w:rsidRPr="00896F17">
              <w:rPr>
                <w:rStyle w:val="BullhornChar"/>
              </w:rPr>
              <w:t></w:t>
            </w:r>
            <w:r>
              <w:rPr>
                <w:color w:val="000000"/>
                <w:szCs w:val="18"/>
              </w:rPr>
              <w:t xml:space="preserve"> </w:t>
            </w:r>
            <w:r>
              <w:rPr>
                <w:rFonts w:cs="Arial"/>
                <w:vanish/>
              </w:rPr>
              <w:t xml:space="preserve">BR_70.06 </w:t>
            </w:r>
            <w:r>
              <w:t xml:space="preserve">VBECS does not list units (for selection) with a final status. When a user enters a unit with a final status, VBECS </w:t>
            </w:r>
            <w:r w:rsidR="007826D2">
              <w:t>alerts</w:t>
            </w:r>
            <w:r>
              <w:t xml:space="preserve"> the user and clears the screen. The user may select another unit.</w:t>
            </w:r>
          </w:p>
        </w:tc>
      </w:tr>
      <w:tr w:rsidR="002A21AE" w14:paraId="2915EB0B" w14:textId="77777777" w:rsidTr="004A7B44">
        <w:trPr>
          <w:cantSplit/>
        </w:trPr>
        <w:tc>
          <w:tcPr>
            <w:tcW w:w="3240" w:type="dxa"/>
            <w:tcBorders>
              <w:top w:val="single" w:sz="4" w:space="0" w:color="auto"/>
              <w:left w:val="single" w:sz="4" w:space="0" w:color="auto"/>
              <w:bottom w:val="single" w:sz="4" w:space="0" w:color="auto"/>
              <w:right w:val="single" w:sz="4" w:space="0" w:color="auto"/>
            </w:tcBorders>
          </w:tcPr>
          <w:p w14:paraId="20C10110" w14:textId="77777777" w:rsidR="002A21AE" w:rsidRDefault="002A21AE">
            <w:pPr>
              <w:pStyle w:val="TableTextNumbers"/>
            </w:pPr>
            <w:r>
              <w:lastRenderedPageBreak/>
              <w:t>Review the existing pooled unit data.</w:t>
            </w:r>
          </w:p>
          <w:p w14:paraId="27527DA2" w14:textId="77777777" w:rsidR="002A21AE" w:rsidRDefault="002A21AE">
            <w:pPr>
              <w:pStyle w:val="TableTextNumbersContinued"/>
            </w:pPr>
          </w:p>
          <w:p w14:paraId="22AA79E2" w14:textId="77777777" w:rsidR="002A21AE" w:rsidRDefault="00A31A8A">
            <w:pPr>
              <w:pStyle w:val="TableTextNumbersContinued"/>
            </w:pPr>
            <w:r>
              <w:t>Select one or more units to add to the pool</w:t>
            </w:r>
            <w:r w:rsidR="002A21AE">
              <w:t>.</w:t>
            </w:r>
          </w:p>
          <w:p w14:paraId="01129844" w14:textId="77777777" w:rsidR="00A31A8A" w:rsidRDefault="00A31A8A">
            <w:pPr>
              <w:pStyle w:val="TableTextNumbersContinued"/>
            </w:pPr>
          </w:p>
          <w:p w14:paraId="41680EEB" w14:textId="77777777" w:rsidR="002A21AE" w:rsidRDefault="00A31A8A">
            <w:pPr>
              <w:pStyle w:val="TableTextNumbersContinued"/>
            </w:pPr>
            <w:r>
              <w:t>Clear one or more check boxes to remove units from the pool.</w:t>
            </w:r>
          </w:p>
        </w:tc>
        <w:tc>
          <w:tcPr>
            <w:tcW w:w="6108" w:type="dxa"/>
            <w:tcBorders>
              <w:top w:val="single" w:sz="4" w:space="0" w:color="auto"/>
              <w:left w:val="single" w:sz="4" w:space="0" w:color="auto"/>
              <w:bottom w:val="single" w:sz="4" w:space="0" w:color="auto"/>
              <w:right w:val="single" w:sz="4" w:space="0" w:color="auto"/>
            </w:tcBorders>
          </w:tcPr>
          <w:p w14:paraId="50111946" w14:textId="77777777" w:rsidR="002A21AE" w:rsidRDefault="002A21AE">
            <w:pPr>
              <w:pStyle w:val="TableTextBullet"/>
              <w:tabs>
                <w:tab w:val="num" w:pos="360"/>
              </w:tabs>
            </w:pPr>
            <w:r>
              <w:t>Allows the user to select one or more units to add to or remove from the pool.</w:t>
            </w:r>
          </w:p>
          <w:p w14:paraId="3B0377CF" w14:textId="77777777" w:rsidR="002A21AE" w:rsidRDefault="002A21AE">
            <w:pPr>
              <w:pStyle w:val="TableText"/>
            </w:pPr>
          </w:p>
          <w:p w14:paraId="0F1810D3" w14:textId="72621D7F" w:rsidR="002A21AE" w:rsidRDefault="002A21AE">
            <w:pPr>
              <w:pStyle w:val="TableText"/>
              <w:rPr>
                <w:b/>
                <w:bCs/>
              </w:rPr>
            </w:pPr>
            <w:r>
              <w:rPr>
                <w:b/>
                <w:bCs/>
              </w:rPr>
              <w:t>NOTES</w:t>
            </w:r>
          </w:p>
          <w:p w14:paraId="294A3337" w14:textId="77777777" w:rsidR="002A21AE" w:rsidRDefault="002A21AE">
            <w:pPr>
              <w:pStyle w:val="NotesText"/>
            </w:pPr>
          </w:p>
          <w:p w14:paraId="1E9B802D" w14:textId="77777777" w:rsidR="002A21AE" w:rsidRDefault="002A21AE">
            <w:pPr>
              <w:pStyle w:val="NotesText"/>
            </w:pPr>
            <w:r>
              <w:rPr>
                <w:rFonts w:cs="Arial"/>
                <w:vanish/>
              </w:rPr>
              <w:t xml:space="preserve">BR_24.27 </w:t>
            </w:r>
            <w:r>
              <w:t>The user may not remove all of the original units.</w:t>
            </w:r>
          </w:p>
          <w:p w14:paraId="4E9104DB" w14:textId="77777777" w:rsidR="002A21AE" w:rsidRDefault="002A21AE">
            <w:pPr>
              <w:pStyle w:val="NotesText"/>
            </w:pPr>
          </w:p>
          <w:p w14:paraId="2C741C7A" w14:textId="77777777" w:rsidR="002A21AE" w:rsidRDefault="002A21AE">
            <w:pPr>
              <w:pStyle w:val="NotesText"/>
            </w:pPr>
            <w:r w:rsidRPr="009522A6">
              <w:rPr>
                <w:rFonts w:cs="Arial"/>
                <w:vanish/>
                <w:color w:val="0000FF"/>
              </w:rPr>
              <w:t>BR_24.28</w:t>
            </w:r>
            <w:r>
              <w:rPr>
                <w:rFonts w:cs="Arial"/>
                <w:vanish/>
              </w:rPr>
              <w:t xml:space="preserve"> </w:t>
            </w:r>
            <w:r>
              <w:t>The user may add only units with the same product and donation types as those of the previously pooled unit.</w:t>
            </w:r>
          </w:p>
          <w:p w14:paraId="7D7542C4" w14:textId="77777777" w:rsidR="0099483E" w:rsidRDefault="0099483E">
            <w:pPr>
              <w:pStyle w:val="NotesText"/>
            </w:pPr>
          </w:p>
          <w:p w14:paraId="168F603A" w14:textId="77777777" w:rsidR="0099483E" w:rsidRPr="0099483E" w:rsidRDefault="003133AE" w:rsidP="0099483E">
            <w:pPr>
              <w:pStyle w:val="NotesText"/>
            </w:pPr>
            <w:r w:rsidRPr="003133AE">
              <w:rPr>
                <w:vanish/>
              </w:rPr>
              <w:t xml:space="preserve">BR_24.28 </w:t>
            </w:r>
            <w:r w:rsidR="0099483E" w:rsidRPr="0099483E">
              <w:t>Properties that may be changed based on the edit of the target pool are:</w:t>
            </w:r>
          </w:p>
          <w:p w14:paraId="156B50D6" w14:textId="77777777" w:rsidR="0099483E" w:rsidRDefault="0099483E" w:rsidP="00925CAD">
            <w:pPr>
              <w:pStyle w:val="TableText"/>
              <w:numPr>
                <w:ilvl w:val="0"/>
                <w:numId w:val="67"/>
              </w:numPr>
              <w:ind w:left="1440"/>
              <w:rPr>
                <w:rFonts w:cs="Arial"/>
                <w:szCs w:val="18"/>
              </w:rPr>
            </w:pPr>
            <w:r>
              <w:rPr>
                <w:rFonts w:cs="Arial"/>
                <w:szCs w:val="18"/>
              </w:rPr>
              <w:t xml:space="preserve">Patient Assignment </w:t>
            </w:r>
          </w:p>
          <w:p w14:paraId="5108EB52" w14:textId="77777777" w:rsidR="0099483E" w:rsidRDefault="0099483E" w:rsidP="00925CAD">
            <w:pPr>
              <w:pStyle w:val="TableText"/>
              <w:numPr>
                <w:ilvl w:val="0"/>
                <w:numId w:val="67"/>
              </w:numPr>
              <w:ind w:left="1440"/>
              <w:rPr>
                <w:rFonts w:cs="Arial"/>
                <w:szCs w:val="18"/>
              </w:rPr>
            </w:pPr>
            <w:r>
              <w:rPr>
                <w:rFonts w:cs="Arial"/>
                <w:szCs w:val="18"/>
              </w:rPr>
              <w:t xml:space="preserve">ABO/RH </w:t>
            </w:r>
          </w:p>
          <w:p w14:paraId="5E3890DD" w14:textId="77777777" w:rsidR="0099483E" w:rsidRDefault="0099483E" w:rsidP="00925CAD">
            <w:pPr>
              <w:pStyle w:val="TableText"/>
              <w:numPr>
                <w:ilvl w:val="0"/>
                <w:numId w:val="67"/>
              </w:numPr>
              <w:ind w:left="1440"/>
              <w:rPr>
                <w:rFonts w:cs="Arial"/>
                <w:szCs w:val="18"/>
              </w:rPr>
            </w:pPr>
            <w:r>
              <w:rPr>
                <w:rFonts w:cs="Arial"/>
                <w:szCs w:val="18"/>
              </w:rPr>
              <w:t>Expiration date</w:t>
            </w:r>
          </w:p>
          <w:p w14:paraId="3B1A5397" w14:textId="77777777" w:rsidR="0099483E" w:rsidRDefault="0099483E" w:rsidP="00925CAD">
            <w:pPr>
              <w:pStyle w:val="TableText"/>
              <w:numPr>
                <w:ilvl w:val="0"/>
                <w:numId w:val="67"/>
              </w:numPr>
              <w:ind w:left="1440"/>
              <w:rPr>
                <w:rFonts w:cs="Arial"/>
                <w:szCs w:val="18"/>
              </w:rPr>
            </w:pPr>
            <w:r>
              <w:rPr>
                <w:rFonts w:cs="Arial"/>
                <w:szCs w:val="18"/>
              </w:rPr>
              <w:t xml:space="preserve">Volume </w:t>
            </w:r>
          </w:p>
          <w:p w14:paraId="7C059182" w14:textId="77777777" w:rsidR="0099483E" w:rsidRDefault="0099483E" w:rsidP="00925CAD">
            <w:pPr>
              <w:pStyle w:val="TableText"/>
              <w:numPr>
                <w:ilvl w:val="0"/>
                <w:numId w:val="67"/>
              </w:numPr>
              <w:ind w:left="1440"/>
              <w:rPr>
                <w:rFonts w:cs="Arial"/>
                <w:szCs w:val="18"/>
              </w:rPr>
            </w:pPr>
            <w:r>
              <w:rPr>
                <w:rFonts w:cs="Arial"/>
                <w:szCs w:val="18"/>
              </w:rPr>
              <w:t>CMV Negative indicator</w:t>
            </w:r>
          </w:p>
          <w:p w14:paraId="7CAC1744" w14:textId="77777777" w:rsidR="0099483E" w:rsidRDefault="0099483E" w:rsidP="00925CAD">
            <w:pPr>
              <w:pStyle w:val="TableText"/>
              <w:numPr>
                <w:ilvl w:val="0"/>
                <w:numId w:val="67"/>
              </w:numPr>
              <w:ind w:left="1440"/>
              <w:rPr>
                <w:rFonts w:cs="Arial"/>
                <w:szCs w:val="18"/>
              </w:rPr>
            </w:pPr>
            <w:r>
              <w:rPr>
                <w:rFonts w:cs="Arial"/>
                <w:szCs w:val="18"/>
              </w:rPr>
              <w:t>SC Negative indicator</w:t>
            </w:r>
          </w:p>
          <w:p w14:paraId="71059365" w14:textId="77777777" w:rsidR="0099483E" w:rsidRDefault="0099483E" w:rsidP="00925CAD">
            <w:pPr>
              <w:pStyle w:val="TableText"/>
              <w:numPr>
                <w:ilvl w:val="0"/>
                <w:numId w:val="67"/>
              </w:numPr>
              <w:ind w:left="1440"/>
              <w:rPr>
                <w:rFonts w:cs="Arial"/>
                <w:szCs w:val="18"/>
              </w:rPr>
            </w:pPr>
            <w:r>
              <w:rPr>
                <w:rFonts w:cs="Arial"/>
                <w:szCs w:val="18"/>
              </w:rPr>
              <w:t>Biohazardous indicator</w:t>
            </w:r>
          </w:p>
          <w:p w14:paraId="7DF48818" w14:textId="77777777" w:rsidR="0099483E" w:rsidRDefault="0099483E" w:rsidP="00C233B7">
            <w:pPr>
              <w:pStyle w:val="NotesText"/>
              <w:ind w:left="1440"/>
            </w:pPr>
            <w:r>
              <w:rPr>
                <w:rFonts w:cs="Arial"/>
                <w:szCs w:val="18"/>
              </w:rPr>
              <w:t>Required crossmatch if =</w:t>
            </w:r>
            <w:r w:rsidR="00C233B7">
              <w:rPr>
                <w:rFonts w:cs="Arial"/>
                <w:szCs w:val="18"/>
              </w:rPr>
              <w:t xml:space="preserve"> </w:t>
            </w:r>
            <w:r>
              <w:rPr>
                <w:rFonts w:cs="Arial"/>
                <w:szCs w:val="18"/>
              </w:rPr>
              <w:t>&gt; 2</w:t>
            </w:r>
            <w:r w:rsidR="00452A6C">
              <w:rPr>
                <w:rFonts w:cs="Arial"/>
                <w:szCs w:val="18"/>
              </w:rPr>
              <w:t xml:space="preserve"> </w:t>
            </w:r>
            <w:r w:rsidR="00C233B7">
              <w:rPr>
                <w:rFonts w:cs="Arial"/>
                <w:szCs w:val="18"/>
              </w:rPr>
              <w:t>mL</w:t>
            </w:r>
            <w:r>
              <w:rPr>
                <w:rFonts w:cs="Arial"/>
                <w:szCs w:val="18"/>
              </w:rPr>
              <w:t xml:space="preserve"> contamination changes</w:t>
            </w:r>
          </w:p>
        </w:tc>
      </w:tr>
      <w:tr w:rsidR="002A21AE" w14:paraId="1F6F5A8C" w14:textId="77777777">
        <w:tc>
          <w:tcPr>
            <w:tcW w:w="3240" w:type="dxa"/>
            <w:tcBorders>
              <w:top w:val="single" w:sz="4" w:space="0" w:color="auto"/>
              <w:left w:val="single" w:sz="4" w:space="0" w:color="auto"/>
              <w:bottom w:val="single" w:sz="4" w:space="0" w:color="auto"/>
              <w:right w:val="single" w:sz="4" w:space="0" w:color="auto"/>
            </w:tcBorders>
          </w:tcPr>
          <w:p w14:paraId="48E6D53E" w14:textId="532B154E" w:rsidR="002A21AE" w:rsidRDefault="002A21AE">
            <w:pPr>
              <w:pStyle w:val="TableTextNumbers"/>
            </w:pPr>
            <w:r>
              <w:t>Confirm to add the selected units to or remove them from the pool</w:t>
            </w:r>
            <w:r w:rsidR="007A0867">
              <w:t xml:space="preserve"> (</w:t>
            </w:r>
            <w:r w:rsidR="00EE455E">
              <w:t xml:space="preserve">Figure </w:t>
            </w:r>
            <w:r w:rsidR="00EE455E">
              <w:rPr>
                <w:noProof/>
              </w:rPr>
              <w:t>63</w:t>
            </w:r>
            <w:r w:rsidR="007A0867">
              <w:t>)</w:t>
            </w:r>
            <w:r>
              <w:t>.</w:t>
            </w:r>
          </w:p>
        </w:tc>
        <w:tc>
          <w:tcPr>
            <w:tcW w:w="6108" w:type="dxa"/>
            <w:tcBorders>
              <w:top w:val="single" w:sz="4" w:space="0" w:color="auto"/>
              <w:left w:val="single" w:sz="4" w:space="0" w:color="auto"/>
              <w:bottom w:val="single" w:sz="4" w:space="0" w:color="auto"/>
              <w:right w:val="single" w:sz="4" w:space="0" w:color="auto"/>
            </w:tcBorders>
          </w:tcPr>
          <w:p w14:paraId="5A8F99F7" w14:textId="77777777" w:rsidR="002A21AE" w:rsidRDefault="002A21AE">
            <w:pPr>
              <w:pStyle w:val="TableTextBullet"/>
              <w:tabs>
                <w:tab w:val="num" w:pos="360"/>
              </w:tabs>
            </w:pPr>
            <w:r>
              <w:t xml:space="preserve">Displays the updated pooled unit data. </w:t>
            </w:r>
          </w:p>
          <w:p w14:paraId="52128EE4" w14:textId="77777777" w:rsidR="002A21AE" w:rsidRDefault="002A21AE">
            <w:pPr>
              <w:pStyle w:val="TableTextBullet"/>
              <w:tabs>
                <w:tab w:val="num" w:pos="360"/>
              </w:tabs>
            </w:pPr>
            <w:r>
              <w:t xml:space="preserve">Requires the user to confirm to continue. </w:t>
            </w:r>
          </w:p>
          <w:p w14:paraId="2D00ABD4" w14:textId="77777777" w:rsidR="002A21AE" w:rsidRDefault="002A21AE">
            <w:pPr>
              <w:pStyle w:val="TableTextBullet"/>
              <w:tabs>
                <w:tab w:val="num" w:pos="360"/>
              </w:tabs>
            </w:pPr>
            <w:r>
              <w:t xml:space="preserve">Requires a comment. </w:t>
            </w:r>
          </w:p>
          <w:p w14:paraId="0DCCA62E" w14:textId="77777777" w:rsidR="002A21AE" w:rsidRDefault="002A21AE">
            <w:pPr>
              <w:pStyle w:val="TableText"/>
            </w:pPr>
          </w:p>
          <w:p w14:paraId="7F0FF518" w14:textId="39127564" w:rsidR="002A21AE" w:rsidRDefault="002A21AE">
            <w:pPr>
              <w:pStyle w:val="TableText"/>
              <w:rPr>
                <w:b/>
                <w:bCs/>
              </w:rPr>
            </w:pPr>
            <w:r>
              <w:rPr>
                <w:b/>
                <w:bCs/>
              </w:rPr>
              <w:t>NOTES</w:t>
            </w:r>
          </w:p>
          <w:p w14:paraId="223A9760" w14:textId="77777777" w:rsidR="002A21AE" w:rsidRDefault="002A21AE">
            <w:pPr>
              <w:pStyle w:val="NotesText"/>
            </w:pPr>
          </w:p>
          <w:p w14:paraId="3CCE08E1" w14:textId="77777777" w:rsidR="00552811" w:rsidRDefault="002A21AE" w:rsidP="00552811">
            <w:pPr>
              <w:pStyle w:val="NotesText"/>
              <w:rPr>
                <w:rFonts w:cs="Arial"/>
              </w:rPr>
            </w:pPr>
            <w:r w:rsidRPr="00552811">
              <w:rPr>
                <w:rFonts w:cs="Arial"/>
                <w:vanish/>
              </w:rPr>
              <w:t xml:space="preserve">BR_24.15 </w:t>
            </w:r>
            <w:r w:rsidRPr="00552811">
              <w:rPr>
                <w:rFonts w:cs="Arial"/>
              </w:rPr>
              <w:t xml:space="preserve">All units in a pool must be of the same </w:t>
            </w:r>
            <w:r w:rsidR="00552811" w:rsidRPr="00552811">
              <w:rPr>
                <w:rFonts w:cs="Arial"/>
              </w:rPr>
              <w:t>restriction</w:t>
            </w:r>
            <w:r w:rsidRPr="00552811">
              <w:rPr>
                <w:rFonts w:cs="Arial"/>
              </w:rPr>
              <w:t xml:space="preserve"> type (allogeneic, autologous, directed). </w:t>
            </w:r>
            <w:r w:rsidR="00552811" w:rsidRPr="00552811">
              <w:rPr>
                <w:rFonts w:cs="Arial"/>
              </w:rPr>
              <w:t>The specific donation type within the restriction type of the first unit selected for the pool is assigned to the target.</w:t>
            </w:r>
          </w:p>
          <w:p w14:paraId="473772C2" w14:textId="77777777" w:rsidR="00C45B80" w:rsidRPr="00552811" w:rsidRDefault="00C45B80" w:rsidP="00552811">
            <w:pPr>
              <w:pStyle w:val="NotesText"/>
              <w:rPr>
                <w:rFonts w:cs="Arial"/>
                <w:vanish/>
              </w:rPr>
            </w:pPr>
          </w:p>
          <w:p w14:paraId="353A6035" w14:textId="77777777" w:rsidR="002A21AE" w:rsidRDefault="002A21AE">
            <w:pPr>
              <w:pStyle w:val="NotesText"/>
            </w:pPr>
          </w:p>
          <w:p w14:paraId="1B89A207" w14:textId="77777777" w:rsidR="002A21AE" w:rsidRDefault="002A21AE">
            <w:pPr>
              <w:pStyle w:val="NotesText"/>
            </w:pPr>
            <w:r>
              <w:rPr>
                <w:rFonts w:cs="Arial"/>
                <w:vanish/>
              </w:rPr>
              <w:t xml:space="preserve">BR_24.24 </w:t>
            </w:r>
            <w:r>
              <w:t xml:space="preserve">For each individual unit removed from a pool, </w:t>
            </w:r>
            <w:r w:rsidR="00E93AC0">
              <w:t>the status is available</w:t>
            </w:r>
            <w:r>
              <w:t>.</w:t>
            </w:r>
          </w:p>
          <w:p w14:paraId="0A19B90B" w14:textId="77777777" w:rsidR="002A21AE" w:rsidRDefault="002A21AE">
            <w:pPr>
              <w:pStyle w:val="NotesText"/>
            </w:pPr>
          </w:p>
          <w:p w14:paraId="17DC8DF3" w14:textId="77777777" w:rsidR="002A21AE" w:rsidRDefault="002A21AE">
            <w:pPr>
              <w:pStyle w:val="NotesText"/>
            </w:pPr>
            <w:r>
              <w:t>When the unit</w:t>
            </w:r>
            <w:r w:rsidR="00FA7E65">
              <w:t>’</w:t>
            </w:r>
            <w:r>
              <w:t>s original expiration date and time is in the future, VBECS assigns units removed from the pool a status of “available.” When the unit</w:t>
            </w:r>
            <w:r w:rsidR="00FA7E65">
              <w:t>’</w:t>
            </w:r>
            <w:r>
              <w:t>s original expiration date and time is in the past, VBECS assigns units removed from the pool a status of “</w:t>
            </w:r>
            <w:r w:rsidR="0061366C">
              <w:t>available</w:t>
            </w:r>
            <w:r>
              <w:t>.”</w:t>
            </w:r>
          </w:p>
          <w:p w14:paraId="033E6A8A" w14:textId="77777777" w:rsidR="002A21AE" w:rsidRDefault="002A21AE">
            <w:pPr>
              <w:pStyle w:val="NotesText"/>
            </w:pPr>
          </w:p>
          <w:p w14:paraId="0C89D9A6" w14:textId="221A8416" w:rsidR="002A21AE" w:rsidRDefault="002A21AE">
            <w:pPr>
              <w:pStyle w:val="NotesText"/>
            </w:pPr>
            <w:r w:rsidRPr="001051D0">
              <w:rPr>
                <w:rFonts w:cs="Arial"/>
                <w:vanish/>
                <w:color w:val="0000FF"/>
              </w:rPr>
              <w:t>BR_24.25</w:t>
            </w:r>
            <w:r>
              <w:rPr>
                <w:rFonts w:cs="Arial"/>
                <w:vanish/>
              </w:rPr>
              <w:t xml:space="preserve"> </w:t>
            </w:r>
            <w:r w:rsidR="00263B24" w:rsidRPr="00896F17">
              <w:rPr>
                <w:rStyle w:val="BullhornChar"/>
              </w:rPr>
              <w:t></w:t>
            </w:r>
            <w:r w:rsidR="00263B24">
              <w:rPr>
                <w:rFonts w:ascii="Webdings" w:hAnsi="Webdings"/>
              </w:rPr>
              <w:t></w:t>
            </w:r>
            <w:r w:rsidR="00263B24">
              <w:t>W</w:t>
            </w:r>
            <w:r>
              <w:t xml:space="preserve">hen </w:t>
            </w:r>
            <w:r w:rsidR="008553F6">
              <w:t xml:space="preserve">the user adds a unit to a pool and </w:t>
            </w:r>
            <w:r>
              <w:t xml:space="preserve">the </w:t>
            </w:r>
            <w:r w:rsidR="00991A9A">
              <w:t>unit expires before</w:t>
            </w:r>
            <w:r>
              <w:t xml:space="preserve"> the pool</w:t>
            </w:r>
            <w:r w:rsidR="00991A9A">
              <w:t xml:space="preserve"> expires</w:t>
            </w:r>
            <w:r>
              <w:t xml:space="preserve">, VBECS emits an audible alert, warns the user, and asks the user to continue or cancel. </w:t>
            </w:r>
            <w:r w:rsidR="00C26BE6">
              <w:rPr>
                <w:b/>
                <w:bCs/>
              </w:rPr>
              <w:t xml:space="preserve">Override </w:t>
            </w:r>
            <w:r>
              <w:t xml:space="preserve">requires a comment </w:t>
            </w:r>
            <w:r w:rsidR="00CE236A">
              <w:t>from the</w:t>
            </w:r>
            <w:r w:rsidR="00A8783E">
              <w:t xml:space="preserve"> “Unit Modification</w:t>
            </w:r>
            <w:r w:rsidR="00E56F6F">
              <w:t xml:space="preserve">” context </w:t>
            </w:r>
            <w:r>
              <w:t xml:space="preserve">and VBECS captures details for inclusion in an Exception Report (exception type: expired unit modified). </w:t>
            </w:r>
            <w:r>
              <w:rPr>
                <w:b/>
                <w:bCs/>
              </w:rPr>
              <w:t>Cancel</w:t>
            </w:r>
            <w:r>
              <w:t xml:space="preserve"> clears the selected unit data and allows the user to select another unit to modify.</w:t>
            </w:r>
          </w:p>
        </w:tc>
      </w:tr>
      <w:tr w:rsidR="002A21AE" w14:paraId="78138C29" w14:textId="77777777">
        <w:tc>
          <w:tcPr>
            <w:tcW w:w="3240" w:type="dxa"/>
            <w:tcBorders>
              <w:top w:val="single" w:sz="4" w:space="0" w:color="auto"/>
              <w:left w:val="single" w:sz="4" w:space="0" w:color="auto"/>
              <w:bottom w:val="single" w:sz="4" w:space="0" w:color="auto"/>
              <w:right w:val="single" w:sz="4" w:space="0" w:color="auto"/>
            </w:tcBorders>
          </w:tcPr>
          <w:p w14:paraId="0DF181E6" w14:textId="77777777" w:rsidR="002A21AE" w:rsidRDefault="002A21AE">
            <w:pPr>
              <w:pStyle w:val="TableTextNumbers"/>
            </w:pPr>
            <w:r>
              <w:t>Review the entered data and save the updated pool record.</w:t>
            </w:r>
          </w:p>
        </w:tc>
        <w:tc>
          <w:tcPr>
            <w:tcW w:w="6108" w:type="dxa"/>
            <w:tcBorders>
              <w:top w:val="single" w:sz="4" w:space="0" w:color="auto"/>
              <w:left w:val="single" w:sz="4" w:space="0" w:color="auto"/>
              <w:bottom w:val="single" w:sz="4" w:space="0" w:color="auto"/>
              <w:right w:val="single" w:sz="4" w:space="0" w:color="auto"/>
            </w:tcBorders>
          </w:tcPr>
          <w:p w14:paraId="0510FF01" w14:textId="77777777" w:rsidR="002A21AE" w:rsidRDefault="002A21AE" w:rsidP="000C5C2A">
            <w:pPr>
              <w:pStyle w:val="TableTextBullet"/>
            </w:pPr>
            <w:r>
              <w:t xml:space="preserve">Saves the modified pooled unit. Updates the status of each added unit to “modified.” Updates the status of each removed unit. </w:t>
            </w:r>
            <w:r w:rsidR="000C5C2A">
              <w:t>Records the unit ID of the target unit on the record of the original unit.</w:t>
            </w:r>
            <w:r>
              <w:t xml:space="preserve"> </w:t>
            </w:r>
          </w:p>
        </w:tc>
      </w:tr>
      <w:tr w:rsidR="002A21AE" w14:paraId="43C60512" w14:textId="77777777">
        <w:tc>
          <w:tcPr>
            <w:tcW w:w="3240" w:type="dxa"/>
            <w:tcBorders>
              <w:top w:val="single" w:sz="4" w:space="0" w:color="auto"/>
              <w:left w:val="single" w:sz="4" w:space="0" w:color="auto"/>
              <w:bottom w:val="single" w:sz="4" w:space="0" w:color="auto"/>
              <w:right w:val="single" w:sz="4" w:space="0" w:color="auto"/>
            </w:tcBorders>
          </w:tcPr>
          <w:p w14:paraId="20F4EB55" w14:textId="00853C83" w:rsidR="002A21AE" w:rsidRDefault="002A21AE">
            <w:pPr>
              <w:pStyle w:val="TableTextNumbers"/>
            </w:pPr>
            <w:r>
              <w:t>Repeat Steps 1</w:t>
            </w:r>
            <w:r w:rsidR="004F5589">
              <w:t xml:space="preserve"> through </w:t>
            </w:r>
            <w:r>
              <w:t xml:space="preserve">6 to modify another unit or exit. </w:t>
            </w:r>
            <w:r>
              <w:rPr>
                <w:vanish/>
                <w:color w:val="FFFFFF"/>
                <w:szCs w:val="18"/>
              </w:rPr>
              <w:fldChar w:fldCharType="begin"/>
            </w:r>
            <w:r>
              <w:rPr>
                <w:vanish/>
                <w:color w:val="FFFFFF"/>
                <w:szCs w:val="18"/>
              </w:rPr>
              <w:instrText xml:space="preserve"> LISTNUM \l 1 \s 0 </w:instrText>
            </w:r>
            <w:r>
              <w:rPr>
                <w:vanish/>
                <w:color w:val="FFFFFF"/>
                <w:szCs w:val="18"/>
              </w:rPr>
              <w:fldChar w:fldCharType="end">
                <w:numberingChange w:id="376" w:author="MUSZYNSKI, THOMAS D. (SIERRA 7 INC)" w:date="2024-11-26T07:15:00Z" w:original="0."/>
              </w:fldChar>
            </w:r>
          </w:p>
        </w:tc>
        <w:tc>
          <w:tcPr>
            <w:tcW w:w="6108" w:type="dxa"/>
            <w:tcBorders>
              <w:top w:val="single" w:sz="4" w:space="0" w:color="auto"/>
              <w:left w:val="single" w:sz="4" w:space="0" w:color="auto"/>
              <w:bottom w:val="single" w:sz="4" w:space="0" w:color="auto"/>
              <w:right w:val="single" w:sz="4" w:space="0" w:color="auto"/>
            </w:tcBorders>
          </w:tcPr>
          <w:p w14:paraId="6EF4E36F" w14:textId="77777777" w:rsidR="002A21AE" w:rsidRDefault="004547D5">
            <w:pPr>
              <w:pStyle w:val="TableTextBullet"/>
              <w:tabs>
                <w:tab w:val="num" w:pos="360"/>
              </w:tabs>
              <w:rPr>
                <w:color w:val="000000"/>
                <w:szCs w:val="20"/>
              </w:rPr>
            </w:pPr>
            <w:r>
              <w:rPr>
                <w:color w:val="000000"/>
                <w:szCs w:val="20"/>
              </w:rPr>
              <w:t>Allows the user</w:t>
            </w:r>
            <w:r w:rsidR="002A21AE">
              <w:rPr>
                <w:color w:val="000000"/>
                <w:szCs w:val="20"/>
              </w:rPr>
              <w:t xml:space="preserve"> to modify</w:t>
            </w:r>
            <w:r>
              <w:rPr>
                <w:color w:val="000000"/>
                <w:szCs w:val="20"/>
              </w:rPr>
              <w:t xml:space="preserve"> another unit</w:t>
            </w:r>
            <w:r w:rsidR="002A21AE">
              <w:rPr>
                <w:color w:val="000000"/>
                <w:szCs w:val="20"/>
              </w:rPr>
              <w:t>.</w:t>
            </w:r>
          </w:p>
        </w:tc>
      </w:tr>
    </w:tbl>
    <w:p w14:paraId="1EBD652C" w14:textId="77777777" w:rsidR="002A21AE" w:rsidRDefault="002A21AE">
      <w:pPr>
        <w:pStyle w:val="BodyText"/>
      </w:pPr>
    </w:p>
    <w:p w14:paraId="62DF1675" w14:textId="4577F5C9" w:rsidR="007A0867" w:rsidRDefault="007A0867" w:rsidP="007A0867">
      <w:pPr>
        <w:pStyle w:val="Caption"/>
      </w:pPr>
      <w:bookmarkStart w:id="377" w:name="_Ref126651551"/>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7D1829">
        <w:rPr>
          <w:noProof/>
        </w:rPr>
        <w:t>64</w:t>
      </w:r>
      <w:r w:rsidR="004E20BD">
        <w:rPr>
          <w:noProof/>
        </w:rPr>
        <w:fldChar w:fldCharType="end"/>
      </w:r>
      <w:bookmarkEnd w:id="377"/>
      <w:r>
        <w:t>: Add/Remove Units from Pool</w:t>
      </w:r>
    </w:p>
    <w:p w14:paraId="236D7FAA" w14:textId="11C18AB4" w:rsidR="002A21AE" w:rsidRDefault="00F927FC" w:rsidP="007A0867">
      <w:pPr>
        <w:pStyle w:val="BodyText"/>
      </w:pPr>
      <w:r>
        <w:rPr>
          <w:noProof/>
        </w:rPr>
        <w:drawing>
          <wp:inline distT="0" distB="0" distL="0" distR="0" wp14:anchorId="3D5B7503" wp14:editId="5839E02A">
            <wp:extent cx="5943600" cy="4768215"/>
            <wp:effectExtent l="0" t="0" r="0" b="0"/>
            <wp:docPr id="176" name="Picture 176" descr="Example of Add/Remove Units from Pool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Picture 71" descr="Example of Add/Remove Units from Pool screen capture"/>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5943600" cy="4768215"/>
                    </a:xfrm>
                    <a:prstGeom prst="rect">
                      <a:avLst/>
                    </a:prstGeom>
                    <a:noFill/>
                    <a:ln>
                      <a:noFill/>
                    </a:ln>
                  </pic:spPr>
                </pic:pic>
              </a:graphicData>
            </a:graphic>
          </wp:inline>
        </w:drawing>
      </w:r>
    </w:p>
    <w:p w14:paraId="3AC76B95" w14:textId="77777777" w:rsidR="002A21AE" w:rsidRDefault="009F1B54">
      <w:pPr>
        <w:pStyle w:val="Heading2"/>
      </w:pPr>
      <w:r>
        <w:br w:type="page"/>
      </w:r>
      <w:bookmarkStart w:id="378" w:name="_Toc203765893"/>
      <w:r w:rsidR="002A21AE">
        <w:lastRenderedPageBreak/>
        <w:t>Maintain Unit Records</w:t>
      </w:r>
      <w:bookmarkEnd w:id="341"/>
      <w:bookmarkEnd w:id="378"/>
      <w:r w:rsidR="002A21AE">
        <w:fldChar w:fldCharType="begin"/>
      </w:r>
      <w:r w:rsidR="002A21AE">
        <w:instrText xml:space="preserve"> XE </w:instrText>
      </w:r>
      <w:r w:rsidR="00FA7E65">
        <w:instrText>“</w:instrText>
      </w:r>
      <w:r w:rsidR="002A21AE">
        <w:instrText>Maintain Unit Records</w:instrText>
      </w:r>
      <w:r w:rsidR="00FA7E65">
        <w:instrText>”</w:instrText>
      </w:r>
      <w:r w:rsidR="002A21AE">
        <w:instrText xml:space="preserve"> </w:instrText>
      </w:r>
      <w:r w:rsidR="002A21AE">
        <w:fldChar w:fldCharType="end"/>
      </w:r>
    </w:p>
    <w:p w14:paraId="0F771045" w14:textId="77777777" w:rsidR="002A21AE" w:rsidRDefault="002A21AE">
      <w:pPr>
        <w:pStyle w:val="Heading3"/>
        <w:jc w:val="both"/>
      </w:pPr>
      <w:bookmarkStart w:id="379" w:name="_Toc203765894"/>
      <w:r>
        <w:t>Edit Unit Information</w:t>
      </w:r>
      <w:bookmarkEnd w:id="379"/>
      <w:r w:rsidRPr="007716F7">
        <w:rPr>
          <w:vanish/>
        </w:rPr>
        <w:fldChar w:fldCharType="begin"/>
      </w:r>
      <w:r w:rsidRPr="007716F7">
        <w:rPr>
          <w:vanish/>
        </w:rPr>
        <w:instrText xml:space="preserve"> XE </w:instrText>
      </w:r>
      <w:r w:rsidR="00FA7E65" w:rsidRPr="007716F7">
        <w:rPr>
          <w:vanish/>
        </w:rPr>
        <w:instrText>“</w:instrText>
      </w:r>
      <w:r w:rsidRPr="007716F7">
        <w:rPr>
          <w:vanish/>
        </w:rPr>
        <w:instrText>Edit Unit Information</w:instrText>
      </w:r>
      <w:r w:rsidR="00FA7E65" w:rsidRPr="007716F7">
        <w:rPr>
          <w:vanish/>
        </w:rPr>
        <w:instrText>”</w:instrText>
      </w:r>
      <w:r w:rsidRPr="007716F7">
        <w:rPr>
          <w:vanish/>
        </w:rPr>
        <w:instrText xml:space="preserve"> </w:instrText>
      </w:r>
      <w:r w:rsidRPr="007716F7">
        <w:rPr>
          <w:vanish/>
        </w:rPr>
        <w:fldChar w:fldCharType="end"/>
      </w:r>
      <w:r w:rsidRPr="007716F7">
        <w:rPr>
          <w:vanish/>
        </w:rPr>
        <w:t xml:space="preserve"> UC_70</w:t>
      </w:r>
    </w:p>
    <w:p w14:paraId="65B7D213" w14:textId="77777777" w:rsidR="002A21AE" w:rsidRDefault="002A21AE" w:rsidP="00FA7E65">
      <w:pPr>
        <w:pStyle w:val="BodyText"/>
      </w:pPr>
      <w:r>
        <w:t>The user may inactivate unit tests, correct a data entry error from login, and add information about the unit that was not recorded during login.</w:t>
      </w:r>
    </w:p>
    <w:p w14:paraId="580306C8" w14:textId="77777777" w:rsidR="002A21AE" w:rsidRDefault="002A21AE">
      <w:pPr>
        <w:pStyle w:val="Heading4"/>
      </w:pPr>
      <w:r>
        <w:t xml:space="preserve">Assumptions </w:t>
      </w:r>
    </w:p>
    <w:p w14:paraId="0728055F" w14:textId="77777777" w:rsidR="002A21AE" w:rsidRDefault="002A21AE">
      <w:pPr>
        <w:pStyle w:val="ListBullet"/>
      </w:pPr>
      <w:r>
        <w:t>The user is logged into the division that contains the unit record.</w:t>
      </w:r>
    </w:p>
    <w:p w14:paraId="2562B168" w14:textId="77777777" w:rsidR="002A21AE" w:rsidRDefault="002A21AE">
      <w:pPr>
        <w:pStyle w:val="ListBullet"/>
      </w:pPr>
      <w:r>
        <w:t xml:space="preserve">The connection to </w:t>
      </w:r>
      <w:r w:rsidR="00CA0045" w:rsidRPr="00CA0045">
        <w:rPr>
          <w:bCs/>
        </w:rPr>
        <w:t>VistA</w:t>
      </w:r>
      <w:r>
        <w:t xml:space="preserve"> is active.</w:t>
      </w:r>
    </w:p>
    <w:p w14:paraId="563C967B" w14:textId="77777777" w:rsidR="002A21AE" w:rsidRDefault="002A21AE">
      <w:pPr>
        <w:pStyle w:val="Heading4"/>
      </w:pPr>
      <w:r>
        <w:t xml:space="preserve">Outcome </w:t>
      </w:r>
    </w:p>
    <w:p w14:paraId="6D65D342" w14:textId="77777777" w:rsidR="002A21AE" w:rsidRDefault="002A21AE">
      <w:pPr>
        <w:pStyle w:val="ListBullet"/>
      </w:pPr>
      <w:r>
        <w:t>The unit’s new or changed information was saved with its record.</w:t>
      </w:r>
    </w:p>
    <w:p w14:paraId="227485E9" w14:textId="77777777" w:rsidR="00561829" w:rsidRDefault="00561829" w:rsidP="00561829">
      <w:pPr>
        <w:pStyle w:val="ListBullet"/>
      </w:pPr>
      <w:r>
        <w:t>If workload codes are assigned for this process, workload-related data collected as the result of this process are stored for inclusion in Workload Reports.</w:t>
      </w:r>
    </w:p>
    <w:p w14:paraId="76667E5D" w14:textId="77777777" w:rsidR="002A21AE" w:rsidRDefault="002A21AE">
      <w:pPr>
        <w:pStyle w:val="Heading4"/>
      </w:pPr>
      <w:r>
        <w:t>Limitations and Restrictions</w:t>
      </w:r>
    </w:p>
    <w:p w14:paraId="550AAB7F" w14:textId="77777777" w:rsidR="009129BC" w:rsidRDefault="009129BC">
      <w:pPr>
        <w:pStyle w:val="ListBullet"/>
      </w:pPr>
      <w:r>
        <w:t>VBECS does not limit the discarded plasma</w:t>
      </w:r>
      <w:r w:rsidR="0031442B">
        <w:t xml:space="preserve"> volume.</w:t>
      </w:r>
    </w:p>
    <w:p w14:paraId="15620EC4" w14:textId="77777777" w:rsidR="002A21AE" w:rsidRDefault="006F51AC" w:rsidP="006F51AC">
      <w:pPr>
        <w:pStyle w:val="ListBullet"/>
      </w:pPr>
      <w:r>
        <w:rPr>
          <w:rFonts w:eastAsia="Arial Unicode MS"/>
        </w:rPr>
        <w:t>If errors are found in the unit</w:t>
      </w:r>
      <w:r w:rsidR="00D20331">
        <w:rPr>
          <w:rFonts w:eastAsia="Arial Unicode MS"/>
        </w:rPr>
        <w:t>’s</w:t>
      </w:r>
      <w:r>
        <w:rPr>
          <w:rFonts w:eastAsia="Arial Unicode MS"/>
        </w:rPr>
        <w:t xml:space="preserve"> product code</w:t>
      </w:r>
      <w:r w:rsidR="002A21AE">
        <w:t xml:space="preserve">, division </w:t>
      </w:r>
      <w:r>
        <w:t xml:space="preserve">or </w:t>
      </w:r>
      <w:r w:rsidR="002A21AE">
        <w:t xml:space="preserve">blood type at login, </w:t>
      </w:r>
      <w:r>
        <w:rPr>
          <w:rFonts w:eastAsia="Arial Unicode MS"/>
        </w:rPr>
        <w:t>supplier, or donation type, the user must inactivate the unit and reenter it correctly</w:t>
      </w:r>
      <w:r w:rsidR="002A21AE">
        <w:t>.</w:t>
      </w:r>
    </w:p>
    <w:p w14:paraId="6DDD30B2" w14:textId="3F386350" w:rsidR="002A21AE" w:rsidRDefault="00DD3B4E">
      <w:pPr>
        <w:pStyle w:val="ListBullet"/>
      </w:pPr>
      <w:r>
        <w:t xml:space="preserve">When </w:t>
      </w:r>
      <w:r w:rsidR="000F05B1">
        <w:t xml:space="preserve">a </w:t>
      </w:r>
      <w:r w:rsidR="002A21AE">
        <w:t xml:space="preserve">unit does not have a patient association, editable fields are available to an </w:t>
      </w:r>
      <w:r w:rsidR="008C4A72" w:rsidRPr="00EC7489">
        <w:rPr>
          <w:rFonts w:ascii="Wingdings 3" w:hAnsi="Wingdings 3" w:cs="Wingdings"/>
        </w:rPr>
        <w:t></w:t>
      </w:r>
      <w:r w:rsidR="008C4A72" w:rsidRPr="00EC7489">
        <w:rPr>
          <w:rFonts w:ascii="Wingdings 3" w:hAnsi="Wingdings 3" w:cs="Wingdings"/>
        </w:rPr>
        <w:t></w:t>
      </w:r>
      <w:r w:rsidR="008C4A72" w:rsidRPr="00AA7C58">
        <w:t xml:space="preserve"> </w:t>
      </w:r>
      <w:r w:rsidR="002A21AE">
        <w:t>Enhanced Technologist.</w:t>
      </w:r>
    </w:p>
    <w:p w14:paraId="59A1FF0B" w14:textId="77777777" w:rsidR="00FE4FDB" w:rsidRDefault="00C45B80">
      <w:pPr>
        <w:pStyle w:val="ListBullet"/>
      </w:pPr>
      <w:r>
        <w:t>Only units in a Limited or A</w:t>
      </w:r>
      <w:r w:rsidR="00FE4FDB">
        <w:t>vailable status may be edited.</w:t>
      </w:r>
    </w:p>
    <w:p w14:paraId="36C235DE" w14:textId="14540487" w:rsidR="00FE4FDB" w:rsidRDefault="00FE4FDB">
      <w:pPr>
        <w:pStyle w:val="ListBullet"/>
      </w:pPr>
      <w:r>
        <w:t>Inactivation of the unit record is required when the user needs to change the unit’s information recorded at login: unit identifica</w:t>
      </w:r>
      <w:r w:rsidR="00C45B80">
        <w:t>tion number, blood type</w:t>
      </w:r>
      <w:r>
        <w:t>, product code, unit expiration date, unit don</w:t>
      </w:r>
      <w:r w:rsidR="00C45B80">
        <w:t>ation type, VA division</w:t>
      </w:r>
      <w:r>
        <w:t xml:space="preserve"> or supplier.</w:t>
      </w:r>
    </w:p>
    <w:p w14:paraId="763E7087" w14:textId="79CEE0D7" w:rsidR="009B0984" w:rsidRDefault="009B0984" w:rsidP="009B0984">
      <w:pPr>
        <w:pStyle w:val="ListBullet"/>
      </w:pPr>
      <w:r w:rsidRPr="004E2550">
        <w:t>VBECS supports the scanning of ISBT 128 special testing information barcodes by detecting the appropriate hidden identifiers.</w:t>
      </w:r>
      <w:r>
        <w:t xml:space="preserve"> </w:t>
      </w:r>
      <w:r w:rsidRPr="0030088C">
        <w:rPr>
          <w:rFonts w:cs="Arial"/>
        </w:rPr>
        <w:t xml:space="preserve">Once the hidden identifier is removed, the </w:t>
      </w:r>
      <w:r>
        <w:rPr>
          <w:rFonts w:cs="Arial"/>
        </w:rPr>
        <w:t>special testing code is a varying length of digits, depending on the type of special testing barcode scanned.</w:t>
      </w:r>
    </w:p>
    <w:p w14:paraId="53995C90" w14:textId="77777777" w:rsidR="002A21AE" w:rsidRDefault="002A21AE">
      <w:pPr>
        <w:pStyle w:val="Heading4"/>
      </w:pPr>
      <w:r>
        <w:t>Additional Information</w:t>
      </w:r>
      <w:r>
        <w:rPr>
          <w:rFonts w:ascii="Times New Roman" w:hAnsi="Times New Roman"/>
          <w:i/>
          <w:sz w:val="24"/>
        </w:rPr>
        <w:t xml:space="preserve"> </w:t>
      </w:r>
    </w:p>
    <w:p w14:paraId="3D80F520" w14:textId="67FDFB83" w:rsidR="002A21AE" w:rsidRDefault="00C45B80">
      <w:pPr>
        <w:pStyle w:val="ListBullet"/>
      </w:pPr>
      <w:r>
        <w:t>Units must be in “Limited” or “A</w:t>
      </w:r>
      <w:r w:rsidR="002A21AE">
        <w:t>vailable” status to have information inactivated regardless of historic patient associations.</w:t>
      </w:r>
    </w:p>
    <w:p w14:paraId="1748AD49" w14:textId="77777777" w:rsidR="002A21AE" w:rsidRDefault="002A21AE">
      <w:pPr>
        <w:pStyle w:val="ListBullet"/>
      </w:pPr>
      <w:r>
        <w:t>Crossmatches are considered a patient test and are inactivated in Invalidate Test Results.</w:t>
      </w:r>
    </w:p>
    <w:p w14:paraId="5A2C8922" w14:textId="77777777" w:rsidR="002A21AE" w:rsidRDefault="002A21AE">
      <w:pPr>
        <w:pStyle w:val="Heading4"/>
        <w:rPr>
          <w:b w:val="0"/>
        </w:rPr>
      </w:pPr>
      <w:r>
        <w:t>User Roles with Access to This Option</w:t>
      </w:r>
      <w:r>
        <w:rPr>
          <w:b w:val="0"/>
        </w:rPr>
        <w:t xml:space="preserve"> </w:t>
      </w:r>
    </w:p>
    <w:p w14:paraId="7995BF5B" w14:textId="77777777" w:rsidR="00DF36B1" w:rsidRDefault="00DF36B1" w:rsidP="00DF36B1">
      <w:pPr>
        <w:pStyle w:val="Roles"/>
        <w:rPr>
          <w:snapToGrid w:val="0"/>
        </w:rPr>
      </w:pPr>
      <w:r w:rsidRPr="00EC7489">
        <w:rPr>
          <w:rFonts w:ascii="Wingdings 3" w:hAnsi="Wingdings 3" w:cs="Wingdings"/>
        </w:rPr>
        <w:t></w:t>
      </w:r>
      <w:r w:rsidRPr="00EC7489">
        <w:rPr>
          <w:rFonts w:ascii="Wingdings 3" w:hAnsi="Wingdings 3" w:cs="Wingdings"/>
        </w:rPr>
        <w:t></w:t>
      </w:r>
      <w:r>
        <w:t xml:space="preserve"> Enhanced Technologist</w:t>
      </w:r>
      <w:r w:rsidR="002329E3">
        <w:t xml:space="preserve"> </w:t>
      </w:r>
      <w:r w:rsidR="002329E3" w:rsidRPr="002329E3">
        <w:rPr>
          <w:vanish/>
        </w:rPr>
        <w:t>DR 3,012</w:t>
      </w:r>
    </w:p>
    <w:p w14:paraId="00DAF661" w14:textId="77777777" w:rsidR="002A21AE" w:rsidRDefault="002A21AE">
      <w:pPr>
        <w:pStyle w:val="Heading4"/>
      </w:pPr>
      <w:r>
        <w:t>Edit Unit Information</w:t>
      </w:r>
    </w:p>
    <w:p w14:paraId="6B2AA580" w14:textId="49B3081A" w:rsidR="002A21AE" w:rsidRDefault="002A21AE" w:rsidP="00FA7E65">
      <w:pPr>
        <w:pStyle w:val="BodyText"/>
      </w:pPr>
      <w:r>
        <w:t xml:space="preserve">The user records additional unit information normally recorded during incoming shipment (login), i.e., CMV negative, sickle cell negative, </w:t>
      </w:r>
      <w:r w:rsidR="00B65FD0">
        <w:t xml:space="preserve">RBC Contamination of =&gt; 2 mL setting, </w:t>
      </w:r>
      <w:r>
        <w:t>antigen typing provided by the supplier</w:t>
      </w:r>
      <w:r w:rsidR="00B65FD0">
        <w:t>, and blood unit comment</w:t>
      </w:r>
      <w:r>
        <w:t>.</w:t>
      </w:r>
    </w:p>
    <w:p w14:paraId="5E1C1D87" w14:textId="77777777" w:rsidR="00DA53D3" w:rsidRPr="00DA53D3" w:rsidRDefault="00DA53D3" w:rsidP="00A87DA2">
      <w:pPr>
        <w:pStyle w:val="Caution"/>
      </w:pPr>
      <w:r>
        <w:t xml:space="preserve">To inactivate a unit, </w:t>
      </w:r>
      <w:r w:rsidR="00A87DA2">
        <w:t xml:space="preserve">remove the final status, return the unit from issue, and </w:t>
      </w:r>
      <w:r>
        <w:t>r</w:t>
      </w:r>
      <w:r w:rsidRPr="00DA53D3">
        <w:t xml:space="preserve">elease </w:t>
      </w:r>
      <w:r>
        <w:t>i</w:t>
      </w:r>
      <w:r w:rsidRPr="00DA53D3">
        <w:t xml:space="preserve">t from </w:t>
      </w:r>
      <w:r w:rsidR="00A87DA2">
        <w:t>previous assignment</w:t>
      </w:r>
      <w:r w:rsidRPr="00DA53D3">
        <w:t>.</w:t>
      </w:r>
      <w:r w:rsidR="00A87DA2">
        <w:t xml:space="preserve"> No changes may be made to units in a final status.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2D91178D" w14:textId="77777777">
        <w:trPr>
          <w:tblHeader/>
        </w:trPr>
        <w:tc>
          <w:tcPr>
            <w:tcW w:w="3240" w:type="dxa"/>
            <w:shd w:val="pct30" w:color="auto" w:fill="FFFFFF"/>
            <w:vAlign w:val="bottom"/>
          </w:tcPr>
          <w:p w14:paraId="77A5BD59" w14:textId="77777777" w:rsidR="002A21AE" w:rsidRDefault="002A21AE">
            <w:pPr>
              <w:pStyle w:val="TableText"/>
              <w:rPr>
                <w:b/>
              </w:rPr>
            </w:pPr>
            <w:r>
              <w:rPr>
                <w:b/>
              </w:rPr>
              <w:lastRenderedPageBreak/>
              <w:t>User Action</w:t>
            </w:r>
          </w:p>
        </w:tc>
        <w:tc>
          <w:tcPr>
            <w:tcW w:w="6120" w:type="dxa"/>
            <w:shd w:val="pct30" w:color="auto" w:fill="FFFFFF"/>
            <w:vAlign w:val="bottom"/>
          </w:tcPr>
          <w:p w14:paraId="2C5E0275" w14:textId="77777777" w:rsidR="002A21AE" w:rsidRDefault="002A21AE">
            <w:pPr>
              <w:pStyle w:val="TableText"/>
              <w:rPr>
                <w:b/>
              </w:rPr>
            </w:pPr>
            <w:r>
              <w:rPr>
                <w:b/>
              </w:rPr>
              <w:t>VBECS</w:t>
            </w:r>
          </w:p>
        </w:tc>
      </w:tr>
      <w:tr w:rsidR="002A21AE" w14:paraId="1A8E42F5" w14:textId="77777777" w:rsidTr="006C058D">
        <w:trPr>
          <w:cantSplit/>
        </w:trPr>
        <w:tc>
          <w:tcPr>
            <w:tcW w:w="3240" w:type="dxa"/>
          </w:tcPr>
          <w:p w14:paraId="324135EB" w14:textId="77777777" w:rsidR="002A21AE" w:rsidRDefault="002A21AE">
            <w:pPr>
              <w:pStyle w:val="TableTextNumbers"/>
            </w:pPr>
            <w:r>
              <w:t xml:space="preserve">Select </w:t>
            </w:r>
            <w:r>
              <w:rPr>
                <w:b/>
              </w:rPr>
              <w:t>Blood Units</w:t>
            </w:r>
            <w:r>
              <w:t xml:space="preserve"> from the main menu. </w:t>
            </w:r>
          </w:p>
          <w:p w14:paraId="0ABE4CF8" w14:textId="77777777" w:rsidR="002A21AE" w:rsidRDefault="002A21AE">
            <w:pPr>
              <w:pStyle w:val="TableTextNumbersContinued"/>
            </w:pPr>
          </w:p>
          <w:p w14:paraId="419B7C58" w14:textId="77777777" w:rsidR="002A21AE" w:rsidRDefault="002A21AE">
            <w:pPr>
              <w:pStyle w:val="TableTextNumbersContinued"/>
            </w:pPr>
            <w:r>
              <w:t xml:space="preserve">Select </w:t>
            </w:r>
            <w:r>
              <w:rPr>
                <w:b/>
              </w:rPr>
              <w:t>Edit Unit Information</w:t>
            </w:r>
            <w:r>
              <w:t>.</w:t>
            </w:r>
          </w:p>
        </w:tc>
        <w:tc>
          <w:tcPr>
            <w:tcW w:w="6120" w:type="dxa"/>
          </w:tcPr>
          <w:p w14:paraId="04FE02EE" w14:textId="77777777" w:rsidR="002A21AE" w:rsidRDefault="002A21AE">
            <w:pPr>
              <w:pStyle w:val="TableTextBullet"/>
            </w:pPr>
            <w:r>
              <w:t>Displays options for processing blood units.</w:t>
            </w:r>
          </w:p>
          <w:p w14:paraId="1FC31877" w14:textId="77777777" w:rsidR="002A21AE" w:rsidRDefault="002A21AE">
            <w:pPr>
              <w:pStyle w:val="TableTextBullet"/>
            </w:pPr>
            <w:r>
              <w:t>Displays options for selecting and editing a unit.</w:t>
            </w:r>
          </w:p>
        </w:tc>
      </w:tr>
      <w:tr w:rsidR="002A21AE" w14:paraId="4AD2BF5E" w14:textId="77777777">
        <w:tc>
          <w:tcPr>
            <w:tcW w:w="3240" w:type="dxa"/>
          </w:tcPr>
          <w:p w14:paraId="5EAB6D8B" w14:textId="77777777" w:rsidR="002A21AE" w:rsidRDefault="002A21AE">
            <w:pPr>
              <w:pStyle w:val="TableTextNumbers"/>
            </w:pPr>
            <w:r>
              <w:t>Scan or enter a unit ID and product code. May cancel and select a different unit.</w:t>
            </w:r>
          </w:p>
          <w:p w14:paraId="719664B4" w14:textId="77777777" w:rsidR="00B100F7" w:rsidRDefault="00B100F7" w:rsidP="00B100F7">
            <w:pPr>
              <w:pStyle w:val="TableTextNumbersContinued"/>
            </w:pPr>
          </w:p>
          <w:p w14:paraId="31A24D38" w14:textId="77777777" w:rsidR="00B100F7" w:rsidRDefault="00B100F7" w:rsidP="00B100F7">
            <w:pPr>
              <w:pStyle w:val="TableTextNumbersContinued"/>
            </w:pPr>
            <w:r>
              <w:t xml:space="preserve">When the unit entered is in a final status, click </w:t>
            </w:r>
            <w:r w:rsidRPr="005B5E25">
              <w:rPr>
                <w:b/>
              </w:rPr>
              <w:t>Clear</w:t>
            </w:r>
            <w:r>
              <w:t xml:space="preserve"> to clear the </w:t>
            </w:r>
            <w:r w:rsidR="005B5E25">
              <w:t xml:space="preserve">Unit ID and Product </w:t>
            </w:r>
            <w:r>
              <w:t>field</w:t>
            </w:r>
            <w:r w:rsidR="005B5E25">
              <w:t>s</w:t>
            </w:r>
            <w:r>
              <w:t xml:space="preserve"> and enter </w:t>
            </w:r>
            <w:r w:rsidR="005B5E25">
              <w:t>another unit.</w:t>
            </w:r>
          </w:p>
        </w:tc>
        <w:tc>
          <w:tcPr>
            <w:tcW w:w="6120" w:type="dxa"/>
          </w:tcPr>
          <w:p w14:paraId="3A7932B0" w14:textId="77777777" w:rsidR="002A21AE" w:rsidRDefault="002A21AE">
            <w:pPr>
              <w:pStyle w:val="TableTextBullet"/>
            </w:pPr>
            <w:r>
              <w:t>Allows the user to scan or enter a unit ID and product code or select a unit.</w:t>
            </w:r>
          </w:p>
          <w:p w14:paraId="569A5F81" w14:textId="77777777" w:rsidR="002A21AE" w:rsidRDefault="002A21AE">
            <w:pPr>
              <w:pStyle w:val="TableTextBullet"/>
            </w:pPr>
            <w:r>
              <w:t>Displays the editable unit information based on the user‘s security level.</w:t>
            </w:r>
          </w:p>
          <w:p w14:paraId="7B4EC255" w14:textId="77777777" w:rsidR="002A21AE" w:rsidRDefault="002A21AE">
            <w:pPr>
              <w:pStyle w:val="TableText"/>
            </w:pPr>
          </w:p>
          <w:p w14:paraId="17823B5B" w14:textId="142E58AB" w:rsidR="002A21AE" w:rsidRDefault="002A21AE">
            <w:pPr>
              <w:pStyle w:val="TableText"/>
              <w:rPr>
                <w:b/>
                <w:bCs/>
                <w:szCs w:val="18"/>
              </w:rPr>
            </w:pPr>
            <w:r>
              <w:rPr>
                <w:b/>
                <w:bCs/>
                <w:szCs w:val="18"/>
              </w:rPr>
              <w:t>NOTES</w:t>
            </w:r>
          </w:p>
          <w:p w14:paraId="7A2BCAED" w14:textId="77777777" w:rsidR="002A21AE" w:rsidRDefault="002A21AE">
            <w:pPr>
              <w:pStyle w:val="NotesText"/>
            </w:pPr>
          </w:p>
          <w:p w14:paraId="7D14E120" w14:textId="77777777" w:rsidR="002A21AE" w:rsidRDefault="002A21AE">
            <w:pPr>
              <w:pStyle w:val="NotesText"/>
              <w:rPr>
                <w:rFonts w:cs="Arial"/>
              </w:rPr>
            </w:pPr>
            <w:r>
              <w:t>VBECS does not allow selection of a unit when</w:t>
            </w:r>
            <w:r>
              <w:rPr>
                <w:rFonts w:cs="Arial"/>
              </w:rPr>
              <w:t xml:space="preserve"> </w:t>
            </w:r>
            <w:r>
              <w:t>it:</w:t>
            </w:r>
          </w:p>
          <w:p w14:paraId="250D92B8" w14:textId="77777777" w:rsidR="002A21AE" w:rsidRDefault="002A21AE">
            <w:pPr>
              <w:pStyle w:val="NotesTextBullet"/>
            </w:pPr>
            <w:r>
              <w:rPr>
                <w:rFonts w:cs="Arial"/>
                <w:vanish/>
              </w:rPr>
              <w:t xml:space="preserve">BR_70.03 </w:t>
            </w:r>
            <w:r>
              <w:t>Is currently assigned to a patient.</w:t>
            </w:r>
          </w:p>
          <w:p w14:paraId="14C26DB2" w14:textId="77777777" w:rsidR="002A21AE" w:rsidRDefault="002A21AE">
            <w:pPr>
              <w:pStyle w:val="NotesTextBullet"/>
            </w:pPr>
            <w:r>
              <w:rPr>
                <w:rFonts w:cs="Arial"/>
                <w:vanish/>
              </w:rPr>
              <w:t xml:space="preserve">BR_70.06 </w:t>
            </w:r>
            <w:r>
              <w:t>Has a final unit status.</w:t>
            </w:r>
          </w:p>
          <w:p w14:paraId="01F6F8C5" w14:textId="77777777" w:rsidR="002A21AE" w:rsidRDefault="002A21AE">
            <w:pPr>
              <w:pStyle w:val="NotesTextBullet"/>
              <w:rPr>
                <w:rFonts w:cs="Arial"/>
              </w:rPr>
            </w:pPr>
            <w:r>
              <w:rPr>
                <w:rFonts w:cs="Arial"/>
                <w:vanish/>
              </w:rPr>
              <w:t xml:space="preserve">BR_70.07 </w:t>
            </w:r>
            <w:r>
              <w:t>Has a previous patient assignment record and the user is a Lead</w:t>
            </w:r>
            <w:r w:rsidR="00DF36B1">
              <w:t xml:space="preserve"> or </w:t>
            </w:r>
            <w:r w:rsidR="00BF0467">
              <w:t>Enhanced</w:t>
            </w:r>
            <w:r>
              <w:t xml:space="preserve"> Technologist.</w:t>
            </w:r>
            <w:r w:rsidR="002329E3">
              <w:t xml:space="preserve"> </w:t>
            </w:r>
            <w:r w:rsidR="002329E3" w:rsidRPr="002329E3">
              <w:rPr>
                <w:vanish/>
              </w:rPr>
              <w:t>DR 3,012</w:t>
            </w:r>
          </w:p>
          <w:p w14:paraId="7AB24C65" w14:textId="77777777" w:rsidR="002A21AE" w:rsidRDefault="002A21AE">
            <w:pPr>
              <w:pStyle w:val="NotesText"/>
            </w:pPr>
          </w:p>
          <w:p w14:paraId="2529ACB1" w14:textId="77777777" w:rsidR="00894624" w:rsidRPr="005104F5" w:rsidRDefault="002A21AE" w:rsidP="005104F5">
            <w:pPr>
              <w:pStyle w:val="NotesText"/>
            </w:pPr>
            <w:r>
              <w:t>There is no override. VBECS clears the screen and allows the user to select a new unit.</w:t>
            </w:r>
          </w:p>
        </w:tc>
      </w:tr>
      <w:tr w:rsidR="002A21AE" w14:paraId="76F38871" w14:textId="77777777">
        <w:tc>
          <w:tcPr>
            <w:tcW w:w="3240" w:type="dxa"/>
          </w:tcPr>
          <w:p w14:paraId="1204546A" w14:textId="3F56BDBB" w:rsidR="00152B83" w:rsidRDefault="002A21AE">
            <w:pPr>
              <w:pStyle w:val="TableTextNumbers"/>
            </w:pPr>
            <w:r>
              <w:t>Review and enter or edit the data</w:t>
            </w:r>
            <w:r w:rsidR="000A3D88">
              <w:t xml:space="preserve"> (</w:t>
            </w:r>
            <w:r w:rsidR="00EE455E">
              <w:t xml:space="preserve">Figure </w:t>
            </w:r>
            <w:r w:rsidR="00EE455E">
              <w:rPr>
                <w:noProof/>
              </w:rPr>
              <w:t>64</w:t>
            </w:r>
            <w:r w:rsidR="000A3D88">
              <w:t>)</w:t>
            </w:r>
            <w:r>
              <w:t xml:space="preserve">, </w:t>
            </w:r>
          </w:p>
          <w:p w14:paraId="4B272320" w14:textId="77777777" w:rsidR="00152B83" w:rsidRDefault="00152B83" w:rsidP="00152B83">
            <w:pPr>
              <w:pStyle w:val="TableTextNumbersContinued"/>
            </w:pPr>
          </w:p>
          <w:p w14:paraId="377B5A71" w14:textId="77777777" w:rsidR="002A21AE" w:rsidRDefault="002A21AE" w:rsidP="00152B83">
            <w:pPr>
              <w:pStyle w:val="TableTextNumbersContinued"/>
            </w:pPr>
            <w:r>
              <w:t>or</w:t>
            </w:r>
          </w:p>
          <w:p w14:paraId="12497666" w14:textId="77777777" w:rsidR="002A21AE" w:rsidRDefault="002A21AE" w:rsidP="00152B83">
            <w:pPr>
              <w:pStyle w:val="TableTextNumbersContinued"/>
            </w:pPr>
          </w:p>
          <w:p w14:paraId="274FD643" w14:textId="77777777" w:rsidR="002A21AE" w:rsidRDefault="009B557A">
            <w:pPr>
              <w:pStyle w:val="TableTextNumbersContinued"/>
            </w:pPr>
            <w:r>
              <w:t>Go to Inactivate</w:t>
            </w:r>
            <w:r w:rsidR="002A21AE">
              <w:t xml:space="preserve"> a Unit.</w:t>
            </w:r>
          </w:p>
        </w:tc>
        <w:tc>
          <w:tcPr>
            <w:tcW w:w="6120" w:type="dxa"/>
          </w:tcPr>
          <w:p w14:paraId="3CDB8C73" w14:textId="77777777" w:rsidR="002A21AE" w:rsidRDefault="002A21AE">
            <w:pPr>
              <w:pStyle w:val="TableTextBullet"/>
            </w:pPr>
            <w:r>
              <w:t xml:space="preserve">Displays tabs to select and edit: </w:t>
            </w:r>
          </w:p>
          <w:p w14:paraId="4DA7F5E3" w14:textId="77777777" w:rsidR="002A21AE" w:rsidRDefault="002A21AE">
            <w:pPr>
              <w:pStyle w:val="TableTextBullet1"/>
            </w:pPr>
            <w:r>
              <w:t xml:space="preserve">Unit information </w:t>
            </w:r>
          </w:p>
          <w:p w14:paraId="3F90E4B3" w14:textId="77777777" w:rsidR="002A21AE" w:rsidRDefault="002A21AE">
            <w:pPr>
              <w:pStyle w:val="TableTextBullet1"/>
            </w:pPr>
            <w:r>
              <w:t xml:space="preserve">Unit ABO/Rh confirmation </w:t>
            </w:r>
          </w:p>
          <w:p w14:paraId="34A27BB3" w14:textId="77777777" w:rsidR="002A21AE" w:rsidRDefault="002A21AE">
            <w:pPr>
              <w:pStyle w:val="TableTextBullet1"/>
            </w:pPr>
            <w:r>
              <w:t xml:space="preserve">Antigen typing </w:t>
            </w:r>
          </w:p>
          <w:p w14:paraId="58703F3E" w14:textId="77777777" w:rsidR="002A21AE" w:rsidRDefault="002A21AE">
            <w:pPr>
              <w:pStyle w:val="TableTextBullet"/>
            </w:pPr>
            <w:r>
              <w:t xml:space="preserve">Displays fields to add or inactivate unit information and an option to inactivate a unit based on the condition of the unit and the user’s security </w:t>
            </w:r>
            <w:r w:rsidR="00082F78">
              <w:t>level</w:t>
            </w:r>
            <w:r>
              <w:t>.</w:t>
            </w:r>
          </w:p>
          <w:p w14:paraId="653716B9" w14:textId="77777777" w:rsidR="002A21AE" w:rsidRDefault="002A21AE">
            <w:pPr>
              <w:pStyle w:val="TableText"/>
            </w:pPr>
          </w:p>
          <w:p w14:paraId="0D6F91F3" w14:textId="510C5BB5" w:rsidR="002A21AE" w:rsidRDefault="002A21AE">
            <w:pPr>
              <w:pStyle w:val="TableText"/>
              <w:rPr>
                <w:b/>
                <w:bCs/>
                <w:szCs w:val="18"/>
              </w:rPr>
            </w:pPr>
            <w:r>
              <w:rPr>
                <w:b/>
                <w:bCs/>
                <w:szCs w:val="18"/>
              </w:rPr>
              <w:t>NOTES</w:t>
            </w:r>
          </w:p>
          <w:p w14:paraId="0C3EC97C" w14:textId="77777777" w:rsidR="002A21AE" w:rsidRDefault="002A21AE">
            <w:pPr>
              <w:pStyle w:val="NotesText"/>
            </w:pPr>
          </w:p>
          <w:p w14:paraId="5FC441FB" w14:textId="54984BD1" w:rsidR="002A21AE" w:rsidRDefault="002A21AE">
            <w:pPr>
              <w:pStyle w:val="NotesText"/>
            </w:pPr>
            <w:r>
              <w:rPr>
                <w:rFonts w:cs="Arial"/>
                <w:vanish/>
              </w:rPr>
              <w:t xml:space="preserve">BR_70.20 </w:t>
            </w:r>
            <w:r>
              <w:t>The user may add data to a field with no previous entry.</w:t>
            </w:r>
            <w:r w:rsidR="00101EEF">
              <w:t xml:space="preserve"> </w:t>
            </w:r>
            <w:r w:rsidR="00101EEF" w:rsidRPr="00205737">
              <w:t xml:space="preserve">When the blood product code within the ICCBBA component classes is RED BLOOD CELLS, WHOLE BLOOD, the </w:t>
            </w:r>
            <w:r w:rsidR="00101EEF" w:rsidRPr="00205737">
              <w:rPr>
                <w:b/>
                <w:bCs/>
              </w:rPr>
              <w:t>Technologist</w:t>
            </w:r>
            <w:r w:rsidR="00101EEF" w:rsidRPr="00205737">
              <w:rPr>
                <w:bCs/>
              </w:rPr>
              <w:t xml:space="preserve"> and above</w:t>
            </w:r>
            <w:r w:rsidR="00101EEF">
              <w:t xml:space="preserve"> may add unit information:</w:t>
            </w:r>
            <w:r w:rsidR="00101EEF" w:rsidRPr="00205737">
              <w:t xml:space="preserve"> sickl</w:t>
            </w:r>
            <w:r w:rsidR="00A92813">
              <w:t>e cell negative, CMV negative, red blood c</w:t>
            </w:r>
            <w:r w:rsidR="00C233B7">
              <w:t>ell contamination of = &gt;</w:t>
            </w:r>
            <w:r w:rsidR="00101EEF" w:rsidRPr="00205737">
              <w:t xml:space="preserve"> 2 </w:t>
            </w:r>
            <w:r w:rsidR="003D3067" w:rsidRPr="00205737">
              <w:t>mL, and</w:t>
            </w:r>
            <w:r w:rsidR="00101EEF" w:rsidRPr="00205737">
              <w:t xml:space="preserve"> antigen typing to a unit when the unit has no patient assignment</w:t>
            </w:r>
            <w:r w:rsidR="00101EEF">
              <w:t>s.</w:t>
            </w:r>
          </w:p>
          <w:p w14:paraId="07243346" w14:textId="77777777" w:rsidR="002A21AE" w:rsidRDefault="002A21AE">
            <w:pPr>
              <w:pStyle w:val="NotesText"/>
            </w:pPr>
          </w:p>
          <w:p w14:paraId="12CFA5ED" w14:textId="52402692" w:rsidR="00EB5D2F" w:rsidRPr="00EB5D2F" w:rsidRDefault="00EB5D2F">
            <w:pPr>
              <w:pStyle w:val="NotesText"/>
              <w:rPr>
                <w:rFonts w:cs="Arial"/>
              </w:rPr>
            </w:pPr>
            <w:r w:rsidRPr="00EB5D2F">
              <w:rPr>
                <w:rFonts w:cs="Arial"/>
              </w:rPr>
              <w:t>Users may edit unit volume, add special testing and RBC antigens</w:t>
            </w:r>
            <w:r w:rsidR="002C0FA1">
              <w:rPr>
                <w:rFonts w:cs="Arial"/>
              </w:rPr>
              <w:t xml:space="preserve"> (manually or by scanning a special testing barcode)</w:t>
            </w:r>
            <w:r w:rsidRPr="00EB5D2F">
              <w:rPr>
                <w:rFonts w:cs="Arial"/>
              </w:rPr>
              <w:t>, mark a unit biohazardous, and change the patient restriction.</w:t>
            </w:r>
            <w:r>
              <w:rPr>
                <w:rFonts w:cs="Arial"/>
                <w:vanish/>
              </w:rPr>
              <w:t xml:space="preserve"> Task 1320</w:t>
            </w:r>
          </w:p>
          <w:p w14:paraId="431D2FFE" w14:textId="77777777" w:rsidR="00EB5D2F" w:rsidRPr="00EB5D2F" w:rsidRDefault="00EB5D2F">
            <w:pPr>
              <w:pStyle w:val="NotesText"/>
              <w:rPr>
                <w:rFonts w:cs="Arial"/>
              </w:rPr>
            </w:pPr>
          </w:p>
          <w:p w14:paraId="51C6F445" w14:textId="77777777" w:rsidR="002A21AE" w:rsidRDefault="002A21AE">
            <w:pPr>
              <w:pStyle w:val="NotesText"/>
            </w:pPr>
            <w:r>
              <w:rPr>
                <w:rFonts w:cs="Arial"/>
                <w:vanish/>
              </w:rPr>
              <w:t xml:space="preserve">BR_1.53 </w:t>
            </w:r>
            <w:r w:rsidR="00C153F2">
              <w:t>When a blood produ</w:t>
            </w:r>
            <w:r w:rsidR="00A92813">
              <w:t>ct code in the RED BLOOD CELLS or WHOLE BLOOD</w:t>
            </w:r>
            <w:r w:rsidR="00C153F2">
              <w:t xml:space="preserve"> component class is entered, VBECS enables data entry of sickle cell negative and antigen typing. The CMV negative data entry option is always enabled.</w:t>
            </w:r>
          </w:p>
          <w:p w14:paraId="5895E277" w14:textId="77777777" w:rsidR="002A21AE" w:rsidRDefault="002A21AE">
            <w:pPr>
              <w:pStyle w:val="NotesText"/>
            </w:pPr>
          </w:p>
          <w:p w14:paraId="091DE28C" w14:textId="5C17424B" w:rsidR="002A21AE" w:rsidRDefault="002A21AE">
            <w:pPr>
              <w:pStyle w:val="NotesText"/>
            </w:pPr>
            <w:r>
              <w:rPr>
                <w:rFonts w:cs="Arial"/>
                <w:vanish/>
              </w:rPr>
              <w:t xml:space="preserve">BR_1.45 </w:t>
            </w:r>
            <w:r>
              <w:t xml:space="preserve">An antigen type may be positive or negative for any antigen listed as a VBECS corresponding antigen in </w:t>
            </w:r>
            <w:r w:rsidR="00EE455E">
              <w:t xml:space="preserve">Appendix </w:t>
            </w:r>
            <w:r w:rsidR="00EE455E">
              <w:rPr>
                <w:noProof/>
              </w:rPr>
              <w:t>B</w:t>
            </w:r>
            <w:r>
              <w:t xml:space="preserve">: </w:t>
            </w:r>
            <w:r w:rsidR="00EE455E">
              <w:t xml:space="preserve">Table </w:t>
            </w:r>
            <w:r w:rsidR="00EE455E">
              <w:rPr>
                <w:noProof/>
              </w:rPr>
              <w:t>14</w:t>
            </w:r>
            <w:r w:rsidR="00EE455E">
              <w:t xml:space="preserve">: </w:t>
            </w:r>
            <w:r w:rsidR="00EE455E">
              <w:rPr>
                <w:vanish/>
              </w:rPr>
              <w:t xml:space="preserve">TT_23.01A </w:t>
            </w:r>
            <w:r w:rsidR="00EE455E">
              <w:t>Antibody and Antigen Table: Irregular Antibodies</w:t>
            </w:r>
            <w:r>
              <w:t>. An antigen may not be positive and negative for the same unit.</w:t>
            </w:r>
          </w:p>
          <w:p w14:paraId="5A88DD3D" w14:textId="77777777" w:rsidR="002A21AE" w:rsidRDefault="002A21AE">
            <w:pPr>
              <w:pStyle w:val="NotesText"/>
              <w:rPr>
                <w:rFonts w:cs="Arial"/>
              </w:rPr>
            </w:pPr>
          </w:p>
          <w:p w14:paraId="4F9C58D5" w14:textId="77777777" w:rsidR="002A21AE" w:rsidRDefault="002A21AE">
            <w:pPr>
              <w:pStyle w:val="NotesText"/>
              <w:rPr>
                <w:rFonts w:cs="Arial"/>
              </w:rPr>
            </w:pPr>
            <w:r>
              <w:rPr>
                <w:rFonts w:cs="Arial"/>
                <w:vanish/>
              </w:rPr>
              <w:t xml:space="preserve">BR_70.01 </w:t>
            </w:r>
            <w:r>
              <w:t>Only unit antigen type results originally entered through Incoming Shipment are avai</w:t>
            </w:r>
            <w:r w:rsidR="00F05C1D">
              <w:t>lable for invalidation. An Enhanced Technologist</w:t>
            </w:r>
            <w:r>
              <w:t xml:space="preserve"> must invalidate unit antigen type results originally entered through Unit Antigen Typing by selecting Inactivate Unit Testing.</w:t>
            </w:r>
          </w:p>
          <w:p w14:paraId="3C08BDE5" w14:textId="77777777" w:rsidR="002A21AE" w:rsidRDefault="002A21AE">
            <w:pPr>
              <w:pStyle w:val="NotesText"/>
            </w:pPr>
          </w:p>
          <w:p w14:paraId="3669BDDA" w14:textId="77777777" w:rsidR="002A21AE" w:rsidRDefault="002A21AE">
            <w:pPr>
              <w:pStyle w:val="NotesText"/>
              <w:rPr>
                <w:rFonts w:cs="Arial"/>
              </w:rPr>
            </w:pPr>
            <w:r>
              <w:rPr>
                <w:rFonts w:cs="Arial"/>
                <w:vanish/>
              </w:rPr>
              <w:lastRenderedPageBreak/>
              <w:t xml:space="preserve">BR_70.14 </w:t>
            </w:r>
            <w:r>
              <w:t xml:space="preserve">VBECS restricts the editing of disease marker testing to autologous units. </w:t>
            </w:r>
          </w:p>
          <w:p w14:paraId="11A52EDD" w14:textId="77777777" w:rsidR="002A21AE" w:rsidRDefault="002A21AE">
            <w:pPr>
              <w:pStyle w:val="NotesText"/>
              <w:rPr>
                <w:rFonts w:cs="Arial"/>
              </w:rPr>
            </w:pPr>
          </w:p>
          <w:p w14:paraId="09037F86" w14:textId="3FF5BBDC" w:rsidR="002A21AE" w:rsidRDefault="002A21AE">
            <w:pPr>
              <w:pStyle w:val="NotesText"/>
            </w:pPr>
            <w:r>
              <w:rPr>
                <w:rFonts w:cs="Arial"/>
                <w:vanish/>
              </w:rPr>
              <w:t xml:space="preserve">BR_70.16 </w:t>
            </w:r>
            <w:r>
              <w:t>When</w:t>
            </w:r>
            <w:r w:rsidR="00E27F2E">
              <w:t xml:space="preserve"> changing </w:t>
            </w:r>
            <w:r>
              <w:t xml:space="preserve">the disease marker testing </w:t>
            </w:r>
            <w:r w:rsidR="00E27F2E">
              <w:t>of an autologous unit from “NEG</w:t>
            </w:r>
            <w:r w:rsidR="00F90BBE">
              <w:t>”</w:t>
            </w:r>
            <w:r w:rsidR="00E27F2E">
              <w:t xml:space="preserve"> to “POS</w:t>
            </w:r>
            <w:r>
              <w:t>” or “NFT</w:t>
            </w:r>
            <w:r w:rsidR="002326F7">
              <w:t xml:space="preserve"> (not fully tested)</w:t>
            </w:r>
            <w:r w:rsidR="002A40BF">
              <w:t>”,</w:t>
            </w:r>
            <w:r>
              <w:t xml:space="preserve"> VBECS </w:t>
            </w:r>
            <w:r w:rsidR="00E27F2E">
              <w:t xml:space="preserve">automatically </w:t>
            </w:r>
            <w:r w:rsidR="00CB32C2">
              <w:t>enables</w:t>
            </w:r>
            <w:r>
              <w:t xml:space="preserve"> the biohazard indicator.</w:t>
            </w:r>
          </w:p>
          <w:p w14:paraId="663FE3BC" w14:textId="77777777" w:rsidR="002A21AE" w:rsidRDefault="002A21AE">
            <w:pPr>
              <w:pStyle w:val="NotesText"/>
            </w:pPr>
          </w:p>
          <w:p w14:paraId="3C109C02" w14:textId="77777777" w:rsidR="002A21AE" w:rsidRDefault="002A21AE">
            <w:pPr>
              <w:pStyle w:val="NotesText"/>
            </w:pPr>
            <w:r>
              <w:rPr>
                <w:rFonts w:cs="Arial"/>
                <w:vanish/>
              </w:rPr>
              <w:t xml:space="preserve">BR_12.13 </w:t>
            </w:r>
            <w:r>
              <w:t>The user may not clear the biohazard indicator for a unit when:</w:t>
            </w:r>
          </w:p>
          <w:p w14:paraId="643DC41A" w14:textId="77777777" w:rsidR="002A21AE" w:rsidRDefault="002A21AE">
            <w:pPr>
              <w:pStyle w:val="NotesTextBullet"/>
            </w:pPr>
            <w:r>
              <w:t>The disease marker testing is POS or NFT,</w:t>
            </w:r>
          </w:p>
          <w:p w14:paraId="30990F4F" w14:textId="77777777" w:rsidR="002A21AE" w:rsidRDefault="002A21AE">
            <w:pPr>
              <w:pStyle w:val="NotesTextBullet"/>
            </w:pPr>
            <w:r>
              <w:t xml:space="preserve">The ISBT 128 Donation Type codes are </w:t>
            </w:r>
            <w:r w:rsidR="00FA7E65">
              <w:t>“</w:t>
            </w:r>
            <w:r>
              <w:t>X, For Autologous Use Only, Biohazardous</w:t>
            </w:r>
            <w:r w:rsidR="00FA7E65">
              <w:t>”</w:t>
            </w:r>
            <w:r>
              <w:t xml:space="preserve"> or </w:t>
            </w:r>
            <w:r w:rsidR="00FA7E65">
              <w:t>“</w:t>
            </w:r>
            <w:r>
              <w:t>3, For Directed Donor Use Only, Biohazardous,</w:t>
            </w:r>
            <w:r w:rsidR="00FA7E65">
              <w:t>”</w:t>
            </w:r>
            <w:r>
              <w:t xml:space="preserve"> or</w:t>
            </w:r>
            <w:r w:rsidR="004F7C13">
              <w:t xml:space="preserve"> 6, Designated Donor Biohazardous”</w:t>
            </w:r>
          </w:p>
          <w:p w14:paraId="7AED18D2" w14:textId="77777777" w:rsidR="002A21AE" w:rsidRDefault="002A21AE">
            <w:pPr>
              <w:pStyle w:val="NotesTextBullet"/>
            </w:pPr>
            <w:r>
              <w:t>The unit is quarantined.</w:t>
            </w:r>
          </w:p>
          <w:p w14:paraId="74DE294C" w14:textId="77777777" w:rsidR="002A21AE" w:rsidRDefault="002A21AE">
            <w:pPr>
              <w:pStyle w:val="NotesText"/>
              <w:ind w:left="0"/>
              <w:rPr>
                <w:rFonts w:cs="Arial"/>
              </w:rPr>
            </w:pPr>
          </w:p>
          <w:p w14:paraId="09E32FF0" w14:textId="77777777" w:rsidR="002A21AE" w:rsidRDefault="002A21AE">
            <w:pPr>
              <w:pStyle w:val="NotesText"/>
              <w:rPr>
                <w:rFonts w:cs="Arial"/>
              </w:rPr>
            </w:pPr>
            <w:r>
              <w:rPr>
                <w:rFonts w:cs="Arial"/>
                <w:vanish/>
              </w:rPr>
              <w:t xml:space="preserve">BR_70.02 </w:t>
            </w:r>
            <w:r>
              <w:t>When editing the “restricted for” patient name for a unit, the user may change the name of a restricted patient but may not save the transaction without a new patient name for the restriction.</w:t>
            </w:r>
          </w:p>
          <w:p w14:paraId="6BB2D03E" w14:textId="77777777" w:rsidR="002A21AE" w:rsidRDefault="002A21AE">
            <w:pPr>
              <w:pStyle w:val="NotesText"/>
              <w:rPr>
                <w:rFonts w:cs="Arial"/>
              </w:rPr>
            </w:pPr>
          </w:p>
          <w:p w14:paraId="45EBD45B" w14:textId="77777777" w:rsidR="002A21AE" w:rsidRDefault="002A21AE">
            <w:pPr>
              <w:pStyle w:val="NotesText"/>
            </w:pPr>
            <w:r>
              <w:rPr>
                <w:rFonts w:cs="Arial"/>
                <w:vanish/>
              </w:rPr>
              <w:t xml:space="preserve">BR_70.10 </w:t>
            </w:r>
            <w:r>
              <w:t xml:space="preserve">When the user restricts a unit to a patient, the patient ID is the primary identifier of the intended recipient. When VBECS searches the </w:t>
            </w:r>
            <w:r w:rsidR="00CA0045" w:rsidRPr="00CA0045">
              <w:rPr>
                <w:bCs/>
              </w:rPr>
              <w:t>VistA</w:t>
            </w:r>
            <w:r>
              <w:t xml:space="preserve"> PATIENT File (#2) and finds a match, it populates the VBECS database with the selected patient name. When the intended recipient is not in the </w:t>
            </w:r>
            <w:r w:rsidR="00CA0045" w:rsidRPr="00CA0045">
              <w:rPr>
                <w:bCs/>
              </w:rPr>
              <w:t>VistA</w:t>
            </w:r>
            <w:r>
              <w:t xml:space="preserve"> database, VBECS </w:t>
            </w:r>
            <w:r w:rsidR="009E40D9">
              <w:t>warns</w:t>
            </w:r>
            <w:r>
              <w:t xml:space="preserve"> the user</w:t>
            </w:r>
            <w:r w:rsidR="009E40D9">
              <w:t>, clears the screen, and does not allow the unit to be further processed</w:t>
            </w:r>
            <w:r>
              <w:t xml:space="preserve">. </w:t>
            </w:r>
          </w:p>
          <w:p w14:paraId="033E8E64" w14:textId="77777777" w:rsidR="002A21AE" w:rsidRDefault="002A21AE">
            <w:pPr>
              <w:pStyle w:val="NotesText"/>
            </w:pPr>
          </w:p>
          <w:p w14:paraId="11E931F3" w14:textId="1F27D262" w:rsidR="002A21AE" w:rsidRDefault="002A21AE">
            <w:pPr>
              <w:pStyle w:val="NotesText"/>
            </w:pPr>
            <w:r>
              <w:rPr>
                <w:rFonts w:cs="Arial"/>
                <w:vanish/>
              </w:rPr>
              <w:t xml:space="preserve">BR_70.08 </w:t>
            </w:r>
            <w:r w:rsidRPr="00EC7489">
              <w:rPr>
                <w:rFonts w:ascii="Wingdings 3" w:hAnsi="Wingdings 3" w:cs="Wingdings"/>
              </w:rPr>
              <w:t></w:t>
            </w:r>
            <w:r w:rsidRPr="00EC7489">
              <w:rPr>
                <w:rFonts w:ascii="Wingdings 3" w:hAnsi="Wingdings 3" w:cs="Wingdings"/>
              </w:rPr>
              <w:t></w:t>
            </w:r>
            <w:r>
              <w:t xml:space="preserve"> The Enhanced Technologist may edit items associated with a unit and add the new data to the unit. </w:t>
            </w:r>
            <w:r w:rsidR="004971DB">
              <w:t xml:space="preserve">The system will require a comment from the "Incoming Shipment" context. </w:t>
            </w:r>
            <w:r>
              <w:t>VBECS displays only the latest entry for these fields to the Enhanced Technologist before the un</w:t>
            </w:r>
            <w:r w:rsidR="00264DEB">
              <w:t>it has any patient associations:</w:t>
            </w:r>
          </w:p>
          <w:p w14:paraId="3A2E03C8" w14:textId="77777777" w:rsidR="00264DEB" w:rsidRDefault="00264DEB" w:rsidP="00925CAD">
            <w:pPr>
              <w:pStyle w:val="StyleTableText9ptChar"/>
              <w:numPr>
                <w:ilvl w:val="0"/>
                <w:numId w:val="51"/>
              </w:numPr>
              <w:ind w:left="1440"/>
            </w:pPr>
            <w:r>
              <w:t>Restrictions</w:t>
            </w:r>
          </w:p>
          <w:p w14:paraId="1253EB99" w14:textId="77777777" w:rsidR="00264DEB" w:rsidRDefault="00264DEB" w:rsidP="00925CAD">
            <w:pPr>
              <w:pStyle w:val="StyleTableText9ptChar"/>
              <w:numPr>
                <w:ilvl w:val="0"/>
                <w:numId w:val="51"/>
              </w:numPr>
              <w:ind w:left="1440"/>
            </w:pPr>
            <w:r>
              <w:t xml:space="preserve">CMV negative </w:t>
            </w:r>
          </w:p>
          <w:p w14:paraId="3881FB30" w14:textId="77777777" w:rsidR="00264DEB" w:rsidRDefault="00264DEB" w:rsidP="00925CAD">
            <w:pPr>
              <w:pStyle w:val="StyleTableText9ptChar"/>
              <w:numPr>
                <w:ilvl w:val="0"/>
                <w:numId w:val="51"/>
              </w:numPr>
              <w:ind w:left="1440"/>
            </w:pPr>
            <w:r>
              <w:t>Sickle Cell negative</w:t>
            </w:r>
          </w:p>
          <w:p w14:paraId="6D8E3986" w14:textId="77777777" w:rsidR="00264DEB" w:rsidRDefault="00264DEB" w:rsidP="00925CAD">
            <w:pPr>
              <w:pStyle w:val="StyleTableText9ptChar"/>
              <w:numPr>
                <w:ilvl w:val="0"/>
                <w:numId w:val="51"/>
              </w:numPr>
              <w:ind w:left="1440"/>
            </w:pPr>
            <w:r>
              <w:t>Biohazard indicator</w:t>
            </w:r>
          </w:p>
          <w:p w14:paraId="0441C8C3" w14:textId="77777777" w:rsidR="00264DEB" w:rsidRDefault="00264DEB" w:rsidP="00925CAD">
            <w:pPr>
              <w:pStyle w:val="StyleTableText9ptChar"/>
              <w:numPr>
                <w:ilvl w:val="0"/>
                <w:numId w:val="51"/>
              </w:numPr>
              <w:ind w:left="1440"/>
            </w:pPr>
            <w:r>
              <w:t>Disease marker testing</w:t>
            </w:r>
          </w:p>
          <w:p w14:paraId="6ABF96B6" w14:textId="77777777" w:rsidR="00264DEB" w:rsidRDefault="00264DEB" w:rsidP="00925CAD">
            <w:pPr>
              <w:pStyle w:val="StyleTableText9ptChar"/>
              <w:numPr>
                <w:ilvl w:val="0"/>
                <w:numId w:val="51"/>
              </w:numPr>
              <w:ind w:left="1440"/>
            </w:pPr>
            <w:r>
              <w:t xml:space="preserve">Antigen typing entered at log-in </w:t>
            </w:r>
          </w:p>
          <w:p w14:paraId="5305B4F5" w14:textId="77777777" w:rsidR="00264DEB" w:rsidRDefault="00264DEB" w:rsidP="00925CAD">
            <w:pPr>
              <w:pStyle w:val="StyleTableText9ptChar"/>
              <w:numPr>
                <w:ilvl w:val="0"/>
                <w:numId w:val="51"/>
              </w:numPr>
              <w:ind w:left="1440"/>
            </w:pPr>
            <w:r>
              <w:t>Unit volume</w:t>
            </w:r>
          </w:p>
          <w:p w14:paraId="1CFC09FA" w14:textId="77777777" w:rsidR="00264DEB" w:rsidRDefault="002E5493" w:rsidP="00925CAD">
            <w:pPr>
              <w:pStyle w:val="TableText"/>
              <w:numPr>
                <w:ilvl w:val="0"/>
                <w:numId w:val="51"/>
              </w:numPr>
              <w:ind w:left="1440"/>
            </w:pPr>
            <w:r>
              <w:t>Discarded plasma volume, if one</w:t>
            </w:r>
          </w:p>
          <w:p w14:paraId="0C176FAD" w14:textId="0214885C" w:rsidR="00264DEB" w:rsidRDefault="00264DEB" w:rsidP="00925CAD">
            <w:pPr>
              <w:pStyle w:val="StyleTableText9ptChar"/>
              <w:numPr>
                <w:ilvl w:val="0"/>
                <w:numId w:val="51"/>
              </w:numPr>
              <w:ind w:left="1440"/>
            </w:pPr>
            <w:r w:rsidRPr="00205737">
              <w:t>R</w:t>
            </w:r>
            <w:r w:rsidR="00A92813">
              <w:t>ed blood c</w:t>
            </w:r>
            <w:r w:rsidR="00B06392">
              <w:t xml:space="preserve">ell contamination of </w:t>
            </w:r>
            <w:r w:rsidR="00A92813">
              <w:t xml:space="preserve">equal to or </w:t>
            </w:r>
            <w:r w:rsidR="00B06392">
              <w:t>g</w:t>
            </w:r>
            <w:r w:rsidRPr="00205737">
              <w:t>reater than (</w:t>
            </w:r>
            <w:r w:rsidR="00A92813">
              <w:t xml:space="preserve">= </w:t>
            </w:r>
            <w:r w:rsidRPr="00205737">
              <w:t>&gt;) 2 mL</w:t>
            </w:r>
            <w:r w:rsidR="00A92813">
              <w:t xml:space="preserve"> (non-RBC units)</w:t>
            </w:r>
          </w:p>
          <w:p w14:paraId="68BFD250" w14:textId="4A5C1E00" w:rsidR="002C0FA1" w:rsidRPr="00C8441F" w:rsidRDefault="002C0FA1" w:rsidP="00925CAD">
            <w:pPr>
              <w:pStyle w:val="StyleTableText9ptChar"/>
              <w:numPr>
                <w:ilvl w:val="0"/>
                <w:numId w:val="51"/>
              </w:numPr>
              <w:ind w:left="1440"/>
            </w:pPr>
            <w:r w:rsidRPr="00C8441F">
              <w:t xml:space="preserve">Blood </w:t>
            </w:r>
            <w:r w:rsidR="003C7340">
              <w:t>u</w:t>
            </w:r>
            <w:r w:rsidRPr="00C8441F">
              <w:t>nit</w:t>
            </w:r>
            <w:r w:rsidR="003C7340">
              <w:t xml:space="preserve"> comment</w:t>
            </w:r>
          </w:p>
          <w:p w14:paraId="7A23E7A2" w14:textId="77777777" w:rsidR="002A21AE" w:rsidRPr="00EC7489" w:rsidRDefault="002A21AE">
            <w:pPr>
              <w:pStyle w:val="NotesText"/>
              <w:rPr>
                <w:rFonts w:ascii="Wingdings 3" w:hAnsi="Wingdings 3" w:cs="Wingdings"/>
              </w:rPr>
            </w:pPr>
          </w:p>
          <w:p w14:paraId="1216276F" w14:textId="143A2CDA" w:rsidR="009D59DD" w:rsidRPr="00781303" w:rsidRDefault="002A21AE" w:rsidP="00781303">
            <w:pPr>
              <w:pStyle w:val="NotesText"/>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The Traditional Supervisor may edit items associated with a unit and add the new data when the unit has a history of patient associations.</w:t>
            </w:r>
          </w:p>
        </w:tc>
      </w:tr>
      <w:tr w:rsidR="002A21AE" w14:paraId="43B3A00B" w14:textId="77777777" w:rsidTr="004A7B44">
        <w:trPr>
          <w:cantSplit/>
        </w:trPr>
        <w:tc>
          <w:tcPr>
            <w:tcW w:w="3240" w:type="dxa"/>
          </w:tcPr>
          <w:p w14:paraId="77C63CF3" w14:textId="5D3C10C9" w:rsidR="002A21AE" w:rsidRDefault="002A21AE">
            <w:pPr>
              <w:pStyle w:val="TableTextNumbers"/>
            </w:pPr>
            <w:r>
              <w:lastRenderedPageBreak/>
              <w:t>Select a test for inactivation</w:t>
            </w:r>
            <w:r w:rsidR="000A3D88">
              <w:t xml:space="preserve"> (</w:t>
            </w:r>
            <w:r w:rsidR="00EE455E">
              <w:t xml:space="preserve">Figure </w:t>
            </w:r>
            <w:r w:rsidR="00EE455E">
              <w:rPr>
                <w:noProof/>
              </w:rPr>
              <w:t>65</w:t>
            </w:r>
            <w:r w:rsidR="000A3D88">
              <w:t>)</w:t>
            </w:r>
            <w:r>
              <w:t>.</w:t>
            </w:r>
          </w:p>
        </w:tc>
        <w:tc>
          <w:tcPr>
            <w:tcW w:w="6120" w:type="dxa"/>
          </w:tcPr>
          <w:p w14:paraId="0B1D37AF" w14:textId="77777777" w:rsidR="002A21AE" w:rsidRDefault="002A21AE">
            <w:pPr>
              <w:pStyle w:val="TableTextBullet"/>
              <w:tabs>
                <w:tab w:val="num" w:pos="360"/>
              </w:tabs>
            </w:pPr>
            <w:r>
              <w:t>Displays the previously recorded results for the selected test.</w:t>
            </w:r>
          </w:p>
          <w:p w14:paraId="7AEDDC5C" w14:textId="55C302BB" w:rsidR="002A21AE" w:rsidRDefault="002A21AE">
            <w:pPr>
              <w:pStyle w:val="TableTextBullet"/>
              <w:tabs>
                <w:tab w:val="num" w:pos="360"/>
              </w:tabs>
            </w:pPr>
            <w:r>
              <w:t xml:space="preserve">Requires a comment </w:t>
            </w:r>
            <w:r w:rsidR="00BF039B">
              <w:t xml:space="preserve">from the “Incoming Shipment” context </w:t>
            </w:r>
            <w:r>
              <w:t>to process the inactivation.</w:t>
            </w:r>
          </w:p>
          <w:p w14:paraId="122BA093" w14:textId="77777777" w:rsidR="002A21AE" w:rsidRDefault="002A21AE">
            <w:pPr>
              <w:pStyle w:val="TableText"/>
            </w:pPr>
          </w:p>
          <w:p w14:paraId="2EBBD14A" w14:textId="62270272" w:rsidR="002A21AE" w:rsidRDefault="002A21AE">
            <w:pPr>
              <w:pStyle w:val="TableText"/>
              <w:rPr>
                <w:b/>
                <w:bCs/>
                <w:szCs w:val="18"/>
              </w:rPr>
            </w:pPr>
            <w:r>
              <w:rPr>
                <w:b/>
                <w:bCs/>
                <w:szCs w:val="18"/>
              </w:rPr>
              <w:t>NOTES</w:t>
            </w:r>
          </w:p>
          <w:p w14:paraId="7658CBF6" w14:textId="77777777" w:rsidR="002A21AE" w:rsidRDefault="002A21AE">
            <w:pPr>
              <w:pStyle w:val="NotesText"/>
            </w:pPr>
          </w:p>
          <w:p w14:paraId="47959287" w14:textId="77777777" w:rsidR="002A21AE" w:rsidRDefault="002A21AE">
            <w:pPr>
              <w:pStyle w:val="NotesText"/>
            </w:pPr>
            <w:r>
              <w:rPr>
                <w:rFonts w:cs="Arial"/>
                <w:vanish/>
              </w:rPr>
              <w:t xml:space="preserve">BR_94.06 </w:t>
            </w:r>
            <w:r>
              <w:t>The user may view, not edit, previously entered serologic results and interpretations.</w:t>
            </w:r>
          </w:p>
          <w:p w14:paraId="5023301D" w14:textId="77777777" w:rsidR="002A21AE" w:rsidRDefault="002A21AE">
            <w:pPr>
              <w:pStyle w:val="NotesText"/>
              <w:rPr>
                <w:rFonts w:cs="Arial"/>
              </w:rPr>
            </w:pPr>
          </w:p>
          <w:p w14:paraId="70F9B807" w14:textId="77777777" w:rsidR="002A21AE" w:rsidRDefault="002A21AE">
            <w:pPr>
              <w:pStyle w:val="NotesText"/>
              <w:rPr>
                <w:rFonts w:cs="Arial"/>
              </w:rPr>
            </w:pPr>
            <w:r>
              <w:rPr>
                <w:rFonts w:cs="Arial"/>
                <w:vanish/>
              </w:rPr>
              <w:t xml:space="preserve">BR_70.04 </w:t>
            </w:r>
            <w:r>
              <w:t xml:space="preserve">When the user selects the unit antigen typing test, VBECS displays antigen typing reagent types and interpretations </w:t>
            </w:r>
            <w:r w:rsidR="00765FF5">
              <w:t>available for invalidation at the user’s division. Inherited testing is not available for invalidation</w:t>
            </w:r>
            <w:r>
              <w:t>.</w:t>
            </w:r>
          </w:p>
          <w:p w14:paraId="3715C92C" w14:textId="77777777" w:rsidR="002A21AE" w:rsidRDefault="002A21AE">
            <w:pPr>
              <w:pStyle w:val="NotesText"/>
              <w:rPr>
                <w:rFonts w:cs="Arial"/>
              </w:rPr>
            </w:pPr>
          </w:p>
          <w:p w14:paraId="59D374B9" w14:textId="77777777" w:rsidR="00C868B9" w:rsidRDefault="002A21AE" w:rsidP="00C868B9">
            <w:pPr>
              <w:pStyle w:val="NotesText"/>
            </w:pPr>
            <w:r>
              <w:rPr>
                <w:rFonts w:cs="Arial"/>
                <w:vanish/>
              </w:rPr>
              <w:t xml:space="preserve">BR_70.05 </w:t>
            </w:r>
            <w:r>
              <w:t xml:space="preserve">When the user selects the ABO/Rh confirmation test, VBECS displays the unit confirmation test </w:t>
            </w:r>
            <w:r w:rsidR="004C1CD0">
              <w:t xml:space="preserve">interpretations available for invalidation at the user’s division. </w:t>
            </w:r>
          </w:p>
          <w:p w14:paraId="2031D1F3" w14:textId="77777777" w:rsidR="002A21AE" w:rsidRDefault="002A21AE">
            <w:pPr>
              <w:pStyle w:val="NotesText"/>
            </w:pPr>
          </w:p>
          <w:p w14:paraId="32500A9B" w14:textId="77777777" w:rsidR="002A21AE" w:rsidRDefault="002A21AE">
            <w:pPr>
              <w:pStyle w:val="NotesText"/>
              <w:rPr>
                <w:rFonts w:cs="Arial"/>
              </w:rPr>
            </w:pPr>
            <w:r>
              <w:rPr>
                <w:rFonts w:cs="Arial"/>
                <w:vanish/>
              </w:rPr>
              <w:t xml:space="preserve">BR_70.21 </w:t>
            </w:r>
            <w:r w:rsidR="00C91E8D">
              <w:t>The system will check if the selected blood unit has current, valid ABO/Rh Confirmation or Antigen Typing associated with it. If the unit does have associated current, valid tests, the system does not allow the user to inactivate the unit and displays a warning message to the user: “Unit has current, valid tests, previous patient assignments, or crossmatches that must be invalidated before the unit can be inactivated." There is no override.</w:t>
            </w:r>
          </w:p>
        </w:tc>
      </w:tr>
      <w:tr w:rsidR="002A21AE" w14:paraId="2474C6FC" w14:textId="77777777">
        <w:tc>
          <w:tcPr>
            <w:tcW w:w="3240" w:type="dxa"/>
          </w:tcPr>
          <w:p w14:paraId="5D0FA7A0" w14:textId="77777777" w:rsidR="002A21AE" w:rsidRDefault="002A21AE">
            <w:pPr>
              <w:pStyle w:val="TableTextNumbers"/>
            </w:pPr>
            <w:r>
              <w:t xml:space="preserve">Verify the test to be inactivated and enter a comment. </w:t>
            </w:r>
          </w:p>
          <w:p w14:paraId="3C9E98F7" w14:textId="77777777" w:rsidR="002A21AE" w:rsidRDefault="002A21AE">
            <w:pPr>
              <w:pStyle w:val="TableTextNumbersContinued"/>
            </w:pPr>
          </w:p>
          <w:p w14:paraId="2B5F0E87" w14:textId="77777777" w:rsidR="002A21AE" w:rsidRDefault="002A21AE">
            <w:pPr>
              <w:pStyle w:val="TableTextNumbersContinued"/>
            </w:pPr>
            <w:r>
              <w:t xml:space="preserve">Click </w:t>
            </w:r>
            <w:r>
              <w:rPr>
                <w:b/>
              </w:rPr>
              <w:t>OK</w:t>
            </w:r>
            <w:r>
              <w:t xml:space="preserve"> to confirm and exit.</w:t>
            </w:r>
          </w:p>
        </w:tc>
        <w:tc>
          <w:tcPr>
            <w:tcW w:w="6120" w:type="dxa"/>
          </w:tcPr>
          <w:p w14:paraId="78BD1FDD" w14:textId="77777777" w:rsidR="002A21AE" w:rsidRDefault="002A21AE">
            <w:pPr>
              <w:pStyle w:val="TableTextBullet"/>
              <w:tabs>
                <w:tab w:val="num" w:pos="360"/>
              </w:tabs>
            </w:pPr>
            <w:r>
              <w:t>Displays “Test Result Invalidated” in the unit record for the selected test.</w:t>
            </w:r>
          </w:p>
          <w:p w14:paraId="0A7C64CA" w14:textId="77777777" w:rsidR="002A21AE" w:rsidRDefault="002A21AE">
            <w:pPr>
              <w:pStyle w:val="TableText"/>
            </w:pPr>
          </w:p>
          <w:p w14:paraId="61334477" w14:textId="0D95CB80" w:rsidR="002A21AE" w:rsidRDefault="002A21AE">
            <w:pPr>
              <w:pStyle w:val="TableText"/>
              <w:rPr>
                <w:b/>
                <w:bCs/>
                <w:szCs w:val="18"/>
              </w:rPr>
            </w:pPr>
            <w:r>
              <w:rPr>
                <w:b/>
                <w:bCs/>
                <w:szCs w:val="18"/>
              </w:rPr>
              <w:t>NOTES</w:t>
            </w:r>
          </w:p>
          <w:p w14:paraId="06D67415" w14:textId="77777777" w:rsidR="002A21AE" w:rsidRDefault="002A21AE">
            <w:pPr>
              <w:pStyle w:val="NotesText"/>
            </w:pPr>
          </w:p>
          <w:p w14:paraId="6C2FFDDA" w14:textId="77777777" w:rsidR="002A21AE" w:rsidRDefault="002A21AE">
            <w:pPr>
              <w:pStyle w:val="NotesText"/>
            </w:pPr>
            <w:r>
              <w:rPr>
                <w:rFonts w:cs="Arial"/>
                <w:vanish/>
              </w:rPr>
              <w:t xml:space="preserve">BR_70.25 </w:t>
            </w:r>
            <w:r>
              <w:t xml:space="preserve">When the last </w:t>
            </w:r>
            <w:r w:rsidR="00101EEF">
              <w:t xml:space="preserve">(or only) </w:t>
            </w:r>
            <w:r>
              <w:t>ABO/Rh confirmation testing is invalidated, VBECS returns the unit to a limited status and requires an ABO/Rh confirmation tes</w:t>
            </w:r>
            <w:r w:rsidR="00101EEF">
              <w:t xml:space="preserve">t for </w:t>
            </w:r>
            <w:r w:rsidR="00101EEF" w:rsidRPr="00205737">
              <w:rPr>
                <w:rFonts w:cs="Arial"/>
                <w:szCs w:val="18"/>
              </w:rPr>
              <w:t>R</w:t>
            </w:r>
            <w:r w:rsidR="00A92813">
              <w:rPr>
                <w:rFonts w:cs="Arial"/>
                <w:szCs w:val="18"/>
              </w:rPr>
              <w:t>ed Blood Cell contamination of equal to or g</w:t>
            </w:r>
            <w:r w:rsidR="00101EEF" w:rsidRPr="00205737">
              <w:rPr>
                <w:rFonts w:cs="Arial"/>
                <w:szCs w:val="18"/>
              </w:rPr>
              <w:t>reater than (</w:t>
            </w:r>
            <w:r w:rsidR="00A92813">
              <w:rPr>
                <w:rFonts w:cs="Arial"/>
                <w:szCs w:val="18"/>
              </w:rPr>
              <w:t xml:space="preserve">= </w:t>
            </w:r>
            <w:r w:rsidR="00101EEF" w:rsidRPr="00205737">
              <w:rPr>
                <w:rFonts w:cs="Arial"/>
                <w:szCs w:val="18"/>
              </w:rPr>
              <w:t>&gt;) 2 mL indicator</w:t>
            </w:r>
            <w:r w:rsidR="00C91E8D">
              <w:rPr>
                <w:rFonts w:cs="Arial"/>
                <w:szCs w:val="18"/>
              </w:rPr>
              <w:t>.</w:t>
            </w:r>
          </w:p>
          <w:p w14:paraId="082A8531" w14:textId="77777777" w:rsidR="002A21AE" w:rsidRDefault="002A21AE">
            <w:pPr>
              <w:pStyle w:val="TableText"/>
            </w:pPr>
          </w:p>
          <w:p w14:paraId="624458FA" w14:textId="77777777" w:rsidR="002A21AE" w:rsidRDefault="002A21AE">
            <w:pPr>
              <w:pStyle w:val="NotesText"/>
            </w:pPr>
            <w:r>
              <w:t>When a unit that requires ABO/Rh confirmation testing no longer has a valid test result in VBECS due to invalidation of previous unit tests, VBECS treats the unit as though no ABO/Rh confirmation testing was performed.</w:t>
            </w:r>
          </w:p>
          <w:p w14:paraId="73166727" w14:textId="77777777" w:rsidR="002A21AE" w:rsidRDefault="002A21AE">
            <w:pPr>
              <w:pStyle w:val="NotesText"/>
            </w:pPr>
          </w:p>
          <w:p w14:paraId="3D80386E" w14:textId="73E0977C" w:rsidR="002A21AE" w:rsidRDefault="002A21AE">
            <w:pPr>
              <w:pStyle w:val="NotesText"/>
            </w:pPr>
            <w:r>
              <w:rPr>
                <w:vanish/>
                <w:szCs w:val="18"/>
              </w:rPr>
              <w:t>BR_94.04</w:t>
            </w:r>
            <w:r w:rsidR="00CE3961">
              <w:rPr>
                <w:vanish/>
                <w:szCs w:val="18"/>
              </w:rPr>
              <w:t>,</w:t>
            </w:r>
            <w:r>
              <w:rPr>
                <w:vanish/>
                <w:szCs w:val="18"/>
              </w:rPr>
              <w:t xml:space="preserve"> BR_70.09 </w:t>
            </w:r>
            <w:r>
              <w:t xml:space="preserve">VBECS flags invalidated test results </w:t>
            </w:r>
            <w:r w:rsidR="001414E9">
              <w:t xml:space="preserve">with a message describing the reason for invalidation </w:t>
            </w:r>
            <w:r>
              <w:t>and captures details for inclusion in an Exception Report.</w:t>
            </w:r>
          </w:p>
          <w:p w14:paraId="7B01B823" w14:textId="77777777" w:rsidR="002A21AE" w:rsidRDefault="002A21AE">
            <w:pPr>
              <w:pStyle w:val="NotesText"/>
              <w:ind w:left="0"/>
            </w:pPr>
          </w:p>
          <w:p w14:paraId="0C02114D" w14:textId="77777777" w:rsidR="002A21AE" w:rsidRDefault="002A21AE">
            <w:pPr>
              <w:pStyle w:val="NotesText"/>
            </w:pPr>
            <w:r>
              <w:rPr>
                <w:rFonts w:cs="Arial"/>
                <w:vanish/>
              </w:rPr>
              <w:t xml:space="preserve">BR_70.12 </w:t>
            </w:r>
            <w:r>
              <w:t>VBECS does not inactivate workload associated with the invalidated test.</w:t>
            </w:r>
          </w:p>
          <w:p w14:paraId="465E70BE" w14:textId="77777777" w:rsidR="002A21AE" w:rsidRDefault="002A21AE">
            <w:pPr>
              <w:pStyle w:val="TableText"/>
              <w:rPr>
                <w:rFonts w:cs="Arial"/>
              </w:rPr>
            </w:pPr>
          </w:p>
          <w:p w14:paraId="1C786BB6" w14:textId="77777777" w:rsidR="000C5612" w:rsidRDefault="002A21AE" w:rsidP="000C5612">
            <w:pPr>
              <w:pStyle w:val="NotesText"/>
            </w:pPr>
            <w:r>
              <w:rPr>
                <w:rFonts w:cs="Arial"/>
              </w:rPr>
              <w:t>Replacement results are entered according to local policy.</w:t>
            </w:r>
          </w:p>
          <w:p w14:paraId="52C8D54C" w14:textId="77777777" w:rsidR="000C5612" w:rsidRDefault="000C5612" w:rsidP="000C5612">
            <w:pPr>
              <w:pStyle w:val="NotesText"/>
              <w:ind w:left="0"/>
            </w:pPr>
          </w:p>
          <w:p w14:paraId="30180496" w14:textId="41F61BB8" w:rsidR="002A21AE" w:rsidRPr="000C5612" w:rsidRDefault="000C5612" w:rsidP="000C5612">
            <w:pPr>
              <w:pStyle w:val="NotesText"/>
            </w:pPr>
            <w:r>
              <w:rPr>
                <w:rFonts w:cs="Arial"/>
                <w:vanish/>
              </w:rPr>
              <w:t xml:space="preserve">BR_70.28 </w:t>
            </w:r>
            <w:r>
              <w:t>If the user invalidates unit ABO/Rh confirmation or unit antigen testing, the user is required to enter a comment from the "Unit Testing" context.</w:t>
            </w:r>
          </w:p>
        </w:tc>
      </w:tr>
      <w:tr w:rsidR="002A21AE" w14:paraId="27A8E99D" w14:textId="77777777">
        <w:tc>
          <w:tcPr>
            <w:tcW w:w="3240" w:type="dxa"/>
          </w:tcPr>
          <w:p w14:paraId="2F0278E1" w14:textId="77777777" w:rsidR="002A21AE" w:rsidRDefault="002A21AE">
            <w:pPr>
              <w:pStyle w:val="TableTextNumbers"/>
            </w:pPr>
            <w:r>
              <w:t>Return to Step 1 to edit another unit.</w:t>
            </w:r>
          </w:p>
        </w:tc>
        <w:tc>
          <w:tcPr>
            <w:tcW w:w="6120" w:type="dxa"/>
          </w:tcPr>
          <w:p w14:paraId="0CE42695" w14:textId="77777777" w:rsidR="002A21AE" w:rsidRDefault="002A21AE" w:rsidP="00B100F7">
            <w:pPr>
              <w:pStyle w:val="TableText"/>
            </w:pPr>
          </w:p>
        </w:tc>
      </w:tr>
      <w:tr w:rsidR="002A21AE" w14:paraId="46B325C4" w14:textId="77777777">
        <w:tc>
          <w:tcPr>
            <w:tcW w:w="3240" w:type="dxa"/>
          </w:tcPr>
          <w:p w14:paraId="1616EA74" w14:textId="77777777" w:rsidR="002A21AE" w:rsidRDefault="002A21AE">
            <w:pPr>
              <w:pStyle w:val="TableTextNumbers"/>
            </w:pPr>
            <w:r>
              <w:t xml:space="preserve">Click </w:t>
            </w:r>
            <w:r>
              <w:rPr>
                <w:b/>
              </w:rPr>
              <w:t>OK</w:t>
            </w:r>
            <w:r>
              <w:t xml:space="preserve"> to save. </w:t>
            </w:r>
            <w:r>
              <w:rPr>
                <w:vanish/>
                <w:color w:val="FFFFFF"/>
                <w:szCs w:val="18"/>
              </w:rPr>
              <w:fldChar w:fldCharType="begin"/>
            </w:r>
            <w:r>
              <w:rPr>
                <w:vanish/>
                <w:color w:val="FFFFFF"/>
                <w:szCs w:val="18"/>
              </w:rPr>
              <w:instrText xml:space="preserve"> LISTNUM \l 1 \s 0 </w:instrText>
            </w:r>
            <w:r>
              <w:rPr>
                <w:vanish/>
                <w:color w:val="FFFFFF"/>
                <w:szCs w:val="18"/>
              </w:rPr>
              <w:fldChar w:fldCharType="end">
                <w:numberingChange w:id="380" w:author="MUSZYNSKI, THOMAS D. (SIERRA 7 INC)" w:date="2024-11-26T07:15:00Z" w:original="0."/>
              </w:fldChar>
            </w:r>
          </w:p>
        </w:tc>
        <w:tc>
          <w:tcPr>
            <w:tcW w:w="6120" w:type="dxa"/>
          </w:tcPr>
          <w:p w14:paraId="082D2362" w14:textId="77777777" w:rsidR="002A21AE" w:rsidRDefault="002A21AE">
            <w:pPr>
              <w:pStyle w:val="TableTextBullet"/>
              <w:tabs>
                <w:tab w:val="num" w:pos="360"/>
              </w:tabs>
            </w:pPr>
            <w:r>
              <w:t>Updates and saves the data.</w:t>
            </w:r>
          </w:p>
        </w:tc>
      </w:tr>
    </w:tbl>
    <w:p w14:paraId="61BCAEC3" w14:textId="044AFE94" w:rsidR="000A3D88" w:rsidRDefault="000A3D88" w:rsidP="000A3D88">
      <w:pPr>
        <w:pStyle w:val="Caption"/>
      </w:pPr>
      <w:bookmarkStart w:id="381" w:name="_Ref126651737"/>
      <w:bookmarkStart w:id="382" w:name="_Toc94349313"/>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7D1829">
        <w:rPr>
          <w:noProof/>
        </w:rPr>
        <w:t>65</w:t>
      </w:r>
      <w:r w:rsidR="004E20BD">
        <w:rPr>
          <w:noProof/>
        </w:rPr>
        <w:fldChar w:fldCharType="end"/>
      </w:r>
      <w:bookmarkEnd w:id="381"/>
      <w:r>
        <w:t>: Edit Unit Information</w:t>
      </w:r>
    </w:p>
    <w:p w14:paraId="1E895186" w14:textId="7F398D82" w:rsidR="000A3D88" w:rsidRDefault="000B176B" w:rsidP="000A3D88">
      <w:pPr>
        <w:pStyle w:val="BodyText"/>
      </w:pPr>
      <w:r>
        <w:rPr>
          <w:noProof/>
        </w:rPr>
        <w:drawing>
          <wp:inline distT="0" distB="0" distL="0" distR="0" wp14:anchorId="489B95C5" wp14:editId="73F4D93A">
            <wp:extent cx="5943600" cy="4956175"/>
            <wp:effectExtent l="0" t="0" r="0" b="0"/>
            <wp:docPr id="41" name="Picture 41" descr="Example of Edit Unit Information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descr="Example of Edit Unit Information screen capture"/>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5943600" cy="4956175"/>
                    </a:xfrm>
                    <a:prstGeom prst="rect">
                      <a:avLst/>
                    </a:prstGeom>
                    <a:noFill/>
                    <a:ln>
                      <a:noFill/>
                    </a:ln>
                  </pic:spPr>
                </pic:pic>
              </a:graphicData>
            </a:graphic>
          </wp:inline>
        </w:drawing>
      </w:r>
    </w:p>
    <w:p w14:paraId="15093DA0" w14:textId="7586FCD3" w:rsidR="000A3D88" w:rsidRDefault="000A3D88" w:rsidP="000A3D88">
      <w:pPr>
        <w:pStyle w:val="Caption"/>
      </w:pPr>
      <w:bookmarkStart w:id="383" w:name="_Ref126651913"/>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7D1829">
        <w:rPr>
          <w:noProof/>
        </w:rPr>
        <w:t>66</w:t>
      </w:r>
      <w:r w:rsidR="004E20BD">
        <w:rPr>
          <w:noProof/>
        </w:rPr>
        <w:fldChar w:fldCharType="end"/>
      </w:r>
      <w:bookmarkEnd w:id="383"/>
      <w:r>
        <w:t>: Edit Unit Information Invalidate Test</w:t>
      </w:r>
    </w:p>
    <w:p w14:paraId="1E8DE297" w14:textId="5C2F0F7E" w:rsidR="000A3D88" w:rsidRDefault="000B176B" w:rsidP="000A3D88">
      <w:pPr>
        <w:pStyle w:val="BodyText"/>
      </w:pPr>
      <w:r>
        <w:rPr>
          <w:noProof/>
        </w:rPr>
        <w:drawing>
          <wp:inline distT="0" distB="0" distL="0" distR="0" wp14:anchorId="5BDF56DE" wp14:editId="28EB79F0">
            <wp:extent cx="5943600" cy="4960620"/>
            <wp:effectExtent l="0" t="0" r="0" b="0"/>
            <wp:docPr id="42" name="Picture 42" descr="Example of Edit Unit Information Invalidate Test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descr="Example of Edit Unit Information Invalidate Test screen capture"/>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5943600" cy="4960620"/>
                    </a:xfrm>
                    <a:prstGeom prst="rect">
                      <a:avLst/>
                    </a:prstGeom>
                    <a:noFill/>
                    <a:ln>
                      <a:noFill/>
                    </a:ln>
                  </pic:spPr>
                </pic:pic>
              </a:graphicData>
            </a:graphic>
          </wp:inline>
        </w:drawing>
      </w:r>
    </w:p>
    <w:p w14:paraId="443A8EED" w14:textId="77777777" w:rsidR="002A21AE" w:rsidRDefault="002A21AE">
      <w:pPr>
        <w:pStyle w:val="Heading4"/>
      </w:pPr>
      <w:r>
        <w:t>Inactivate a Unit</w:t>
      </w:r>
      <w:bookmarkEnd w:id="382"/>
      <w:r>
        <w:fldChar w:fldCharType="begin"/>
      </w:r>
      <w:r>
        <w:instrText xml:space="preserve"> XE </w:instrText>
      </w:r>
      <w:r w:rsidR="00FA7E65">
        <w:instrText>“</w:instrText>
      </w:r>
      <w:r>
        <w:instrText>Inactivate a Unit</w:instrText>
      </w:r>
      <w:r w:rsidR="00FA7E65">
        <w:instrText>”</w:instrText>
      </w:r>
      <w:r>
        <w:instrText xml:space="preserve"> </w:instrText>
      </w:r>
      <w:r>
        <w:fldChar w:fldCharType="end"/>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583F1376" w14:textId="77777777">
        <w:trPr>
          <w:tblHeader/>
        </w:trPr>
        <w:tc>
          <w:tcPr>
            <w:tcW w:w="3240" w:type="dxa"/>
            <w:shd w:val="pct30" w:color="auto" w:fill="FFFFFF"/>
            <w:vAlign w:val="bottom"/>
          </w:tcPr>
          <w:p w14:paraId="1589EC4C" w14:textId="77777777" w:rsidR="002A21AE" w:rsidRDefault="002A21AE">
            <w:pPr>
              <w:pStyle w:val="TableText"/>
              <w:rPr>
                <w:b/>
              </w:rPr>
            </w:pPr>
            <w:r>
              <w:rPr>
                <w:b/>
              </w:rPr>
              <w:t>User Action</w:t>
            </w:r>
          </w:p>
        </w:tc>
        <w:tc>
          <w:tcPr>
            <w:tcW w:w="6120" w:type="dxa"/>
            <w:shd w:val="pct30" w:color="auto" w:fill="FFFFFF"/>
            <w:vAlign w:val="bottom"/>
          </w:tcPr>
          <w:p w14:paraId="673ADD0C" w14:textId="77777777" w:rsidR="002A21AE" w:rsidRDefault="002A21AE">
            <w:pPr>
              <w:pStyle w:val="TableText"/>
              <w:rPr>
                <w:b/>
              </w:rPr>
            </w:pPr>
            <w:r>
              <w:rPr>
                <w:b/>
              </w:rPr>
              <w:t>VBECS</w:t>
            </w:r>
          </w:p>
        </w:tc>
      </w:tr>
      <w:tr w:rsidR="002326F7" w14:paraId="090C2A73" w14:textId="77777777">
        <w:tc>
          <w:tcPr>
            <w:tcW w:w="3240" w:type="dxa"/>
            <w:tcBorders>
              <w:top w:val="single" w:sz="4" w:space="0" w:color="auto"/>
              <w:left w:val="single" w:sz="4" w:space="0" w:color="auto"/>
              <w:bottom w:val="single" w:sz="4" w:space="0" w:color="auto"/>
              <w:right w:val="single" w:sz="4" w:space="0" w:color="auto"/>
            </w:tcBorders>
          </w:tcPr>
          <w:p w14:paraId="06DA8A9C" w14:textId="77777777" w:rsidR="002326F7" w:rsidRDefault="002326F7" w:rsidP="00FA7E65">
            <w:pPr>
              <w:pStyle w:val="TableTextNumbers"/>
            </w:pPr>
            <w:r>
              <w:t xml:space="preserve">Select </w:t>
            </w:r>
            <w:r w:rsidRPr="00D64EFA">
              <w:rPr>
                <w:b/>
              </w:rPr>
              <w:t>Blood Units</w:t>
            </w:r>
            <w:r>
              <w:t xml:space="preserve"> from the main menu. </w:t>
            </w:r>
          </w:p>
          <w:p w14:paraId="09043600" w14:textId="77777777" w:rsidR="002326F7" w:rsidRDefault="002326F7" w:rsidP="002326F7">
            <w:pPr>
              <w:pStyle w:val="TableTextNumbersContinued"/>
            </w:pPr>
          </w:p>
          <w:p w14:paraId="019861BD" w14:textId="77777777" w:rsidR="002326F7" w:rsidRDefault="002326F7" w:rsidP="002326F7">
            <w:pPr>
              <w:pStyle w:val="TableTextNumbersContinued"/>
            </w:pPr>
            <w:r>
              <w:t xml:space="preserve">Select </w:t>
            </w:r>
            <w:r w:rsidRPr="00D64EFA">
              <w:rPr>
                <w:b/>
              </w:rPr>
              <w:t>Edit Unit Information</w:t>
            </w:r>
            <w:r>
              <w:t>.</w:t>
            </w:r>
          </w:p>
        </w:tc>
        <w:tc>
          <w:tcPr>
            <w:tcW w:w="6120" w:type="dxa"/>
            <w:tcBorders>
              <w:top w:val="single" w:sz="4" w:space="0" w:color="auto"/>
              <w:left w:val="single" w:sz="4" w:space="0" w:color="auto"/>
              <w:bottom w:val="single" w:sz="4" w:space="0" w:color="auto"/>
              <w:right w:val="single" w:sz="4" w:space="0" w:color="auto"/>
            </w:tcBorders>
          </w:tcPr>
          <w:p w14:paraId="4DEA4AEE" w14:textId="77777777" w:rsidR="002326F7" w:rsidRDefault="002326F7" w:rsidP="00FA7E65">
            <w:pPr>
              <w:pStyle w:val="TableTextBullet"/>
            </w:pPr>
            <w:r>
              <w:t>Displays options for processing blood units.</w:t>
            </w:r>
          </w:p>
          <w:p w14:paraId="304959F0" w14:textId="77777777" w:rsidR="002326F7" w:rsidRDefault="002326F7" w:rsidP="00FA7E65">
            <w:pPr>
              <w:pStyle w:val="TableTextBullet"/>
            </w:pPr>
            <w:r>
              <w:t>Displays options for selecting and editing a unit.</w:t>
            </w:r>
          </w:p>
        </w:tc>
      </w:tr>
      <w:tr w:rsidR="002326F7" w14:paraId="54BEB6C0" w14:textId="77777777" w:rsidTr="006C058D">
        <w:trPr>
          <w:cantSplit/>
        </w:trPr>
        <w:tc>
          <w:tcPr>
            <w:tcW w:w="3240" w:type="dxa"/>
            <w:tcBorders>
              <w:top w:val="single" w:sz="4" w:space="0" w:color="auto"/>
              <w:left w:val="single" w:sz="4" w:space="0" w:color="auto"/>
              <w:bottom w:val="single" w:sz="4" w:space="0" w:color="auto"/>
              <w:right w:val="single" w:sz="4" w:space="0" w:color="auto"/>
            </w:tcBorders>
          </w:tcPr>
          <w:p w14:paraId="32C54496" w14:textId="77777777" w:rsidR="002326F7" w:rsidRDefault="002326F7" w:rsidP="00FA7E65">
            <w:pPr>
              <w:pStyle w:val="TableTextNumbers"/>
            </w:pPr>
            <w:r>
              <w:lastRenderedPageBreak/>
              <w:t>Scan or enter a unit ID and product code. May cancel and select a different unit.</w:t>
            </w:r>
          </w:p>
        </w:tc>
        <w:tc>
          <w:tcPr>
            <w:tcW w:w="6120" w:type="dxa"/>
            <w:tcBorders>
              <w:top w:val="single" w:sz="4" w:space="0" w:color="auto"/>
              <w:left w:val="single" w:sz="4" w:space="0" w:color="auto"/>
              <w:bottom w:val="single" w:sz="4" w:space="0" w:color="auto"/>
              <w:right w:val="single" w:sz="4" w:space="0" w:color="auto"/>
            </w:tcBorders>
          </w:tcPr>
          <w:p w14:paraId="54E4FAEB" w14:textId="77777777" w:rsidR="002326F7" w:rsidRDefault="002326F7" w:rsidP="00FA7E65">
            <w:pPr>
              <w:pStyle w:val="TableTextBullet"/>
            </w:pPr>
            <w:r>
              <w:t>Allows the user to scan or enter a unit ID and product code or select a unit.</w:t>
            </w:r>
          </w:p>
          <w:p w14:paraId="6F7AEDB3" w14:textId="77777777" w:rsidR="002326F7" w:rsidRDefault="002326F7" w:rsidP="00FA7E65">
            <w:pPr>
              <w:pStyle w:val="TableTextBullet"/>
            </w:pPr>
            <w:r>
              <w:t>Displays the editable unit information based on the user‘s security level.</w:t>
            </w:r>
          </w:p>
          <w:p w14:paraId="59FDCE2F" w14:textId="77777777" w:rsidR="00732AEE" w:rsidRDefault="00732AEE" w:rsidP="00732AEE">
            <w:pPr>
              <w:pStyle w:val="TableText"/>
            </w:pPr>
          </w:p>
          <w:p w14:paraId="78DBB91D" w14:textId="46AC992F" w:rsidR="00732AEE" w:rsidRDefault="00732AEE" w:rsidP="00732AEE">
            <w:pPr>
              <w:pStyle w:val="TableText"/>
              <w:rPr>
                <w:b/>
                <w:bCs/>
                <w:szCs w:val="18"/>
              </w:rPr>
            </w:pPr>
            <w:r>
              <w:rPr>
                <w:b/>
                <w:bCs/>
                <w:szCs w:val="18"/>
              </w:rPr>
              <w:t>NOTES</w:t>
            </w:r>
          </w:p>
          <w:p w14:paraId="205977C9" w14:textId="77777777" w:rsidR="00732AEE" w:rsidRDefault="00732AEE" w:rsidP="00732AEE">
            <w:pPr>
              <w:pStyle w:val="NotesText"/>
            </w:pPr>
          </w:p>
          <w:p w14:paraId="23552360" w14:textId="77777777" w:rsidR="002326F7" w:rsidRPr="002326F7" w:rsidRDefault="002326F7" w:rsidP="00732AEE">
            <w:pPr>
              <w:pStyle w:val="NotesText"/>
            </w:pPr>
            <w:r>
              <w:t>VBECS does not allow selection of a unit when</w:t>
            </w:r>
            <w:r w:rsidRPr="002326F7">
              <w:t xml:space="preserve"> </w:t>
            </w:r>
            <w:r>
              <w:t>it:</w:t>
            </w:r>
          </w:p>
          <w:p w14:paraId="143AED0C" w14:textId="77777777" w:rsidR="002326F7" w:rsidRDefault="002326F7" w:rsidP="00732AEE">
            <w:pPr>
              <w:pStyle w:val="NotesTextBullet"/>
            </w:pPr>
            <w:r w:rsidRPr="00B6138E">
              <w:rPr>
                <w:vanish/>
                <w:szCs w:val="18"/>
              </w:rPr>
              <w:t xml:space="preserve">BR_70.03 </w:t>
            </w:r>
            <w:r>
              <w:t>Is currently assigned to a patient.</w:t>
            </w:r>
          </w:p>
          <w:p w14:paraId="33A4B0AA" w14:textId="77777777" w:rsidR="002326F7" w:rsidRDefault="002326F7" w:rsidP="00732AEE">
            <w:pPr>
              <w:pStyle w:val="NotesTextBullet"/>
            </w:pPr>
            <w:r w:rsidRPr="00B6138E">
              <w:rPr>
                <w:vanish/>
                <w:szCs w:val="18"/>
              </w:rPr>
              <w:t xml:space="preserve">BR_70.06 </w:t>
            </w:r>
            <w:r>
              <w:t>Has a final unit status.</w:t>
            </w:r>
          </w:p>
          <w:p w14:paraId="501A324A" w14:textId="77777777" w:rsidR="002326F7" w:rsidRPr="002326F7" w:rsidRDefault="002326F7" w:rsidP="00732AEE">
            <w:pPr>
              <w:pStyle w:val="NotesTextBullet"/>
            </w:pPr>
            <w:r w:rsidRPr="00B6138E">
              <w:rPr>
                <w:vanish/>
                <w:szCs w:val="18"/>
              </w:rPr>
              <w:t xml:space="preserve">BR_70.07 </w:t>
            </w:r>
            <w:r w:rsidR="00BF0467">
              <w:t>Has a previous patient assignmen</w:t>
            </w:r>
            <w:r w:rsidR="00DF36B1">
              <w:t>t record and the user is a Lead</w:t>
            </w:r>
            <w:r w:rsidR="00BF0467">
              <w:t xml:space="preserve"> </w:t>
            </w:r>
            <w:r w:rsidR="00DF36B1">
              <w:t xml:space="preserve">or </w:t>
            </w:r>
            <w:r w:rsidR="00BF0467">
              <w:t>Enhanced Technologist.</w:t>
            </w:r>
            <w:r w:rsidR="002329E3">
              <w:t xml:space="preserve"> </w:t>
            </w:r>
            <w:r w:rsidR="002329E3" w:rsidRPr="002329E3">
              <w:rPr>
                <w:vanish/>
              </w:rPr>
              <w:t>DR 3,012</w:t>
            </w:r>
          </w:p>
          <w:p w14:paraId="18081422" w14:textId="77777777" w:rsidR="002326F7" w:rsidRDefault="002326F7" w:rsidP="00732AEE">
            <w:pPr>
              <w:pStyle w:val="NotesText"/>
            </w:pPr>
          </w:p>
          <w:p w14:paraId="08F90843" w14:textId="77777777" w:rsidR="002326F7" w:rsidRPr="002326F7" w:rsidRDefault="002326F7" w:rsidP="00732AEE">
            <w:pPr>
              <w:pStyle w:val="NotesText"/>
            </w:pPr>
            <w:r>
              <w:t>There is no override. VBECS clears the screen and allows the user to select a new unit.</w:t>
            </w:r>
          </w:p>
        </w:tc>
      </w:tr>
      <w:tr w:rsidR="002A21AE" w14:paraId="2FDDF552" w14:textId="77777777" w:rsidTr="001A459B">
        <w:trPr>
          <w:cantSplit/>
        </w:trPr>
        <w:tc>
          <w:tcPr>
            <w:tcW w:w="3240" w:type="dxa"/>
            <w:tcBorders>
              <w:top w:val="single" w:sz="4" w:space="0" w:color="auto"/>
              <w:left w:val="single" w:sz="4" w:space="0" w:color="auto"/>
              <w:bottom w:val="single" w:sz="4" w:space="0" w:color="auto"/>
              <w:right w:val="single" w:sz="4" w:space="0" w:color="auto"/>
            </w:tcBorders>
          </w:tcPr>
          <w:p w14:paraId="3375B75F" w14:textId="77777777" w:rsidR="002A21AE" w:rsidRDefault="002A21AE">
            <w:pPr>
              <w:pStyle w:val="TableTextNumbers"/>
            </w:pPr>
            <w:r>
              <w:t xml:space="preserve">Click </w:t>
            </w:r>
            <w:r>
              <w:rPr>
                <w:b/>
              </w:rPr>
              <w:t xml:space="preserve">Inactivate Unit, </w:t>
            </w:r>
            <w:r>
              <w:t>as desired.</w:t>
            </w:r>
          </w:p>
        </w:tc>
        <w:tc>
          <w:tcPr>
            <w:tcW w:w="6120" w:type="dxa"/>
            <w:tcBorders>
              <w:top w:val="single" w:sz="4" w:space="0" w:color="auto"/>
              <w:left w:val="single" w:sz="4" w:space="0" w:color="auto"/>
              <w:bottom w:val="single" w:sz="4" w:space="0" w:color="auto"/>
              <w:right w:val="single" w:sz="4" w:space="0" w:color="auto"/>
            </w:tcBorders>
          </w:tcPr>
          <w:p w14:paraId="46088643" w14:textId="77777777" w:rsidR="00D64EFA" w:rsidRDefault="00D64EFA">
            <w:pPr>
              <w:pStyle w:val="TableTextBullet"/>
            </w:pPr>
            <w:r>
              <w:t>Displays fields to add or inactivate unit information and an option to inactivate a unit, based on the condition of the unit and the user’s security level.</w:t>
            </w:r>
          </w:p>
          <w:p w14:paraId="50138E82" w14:textId="77777777" w:rsidR="002A21AE" w:rsidRDefault="002A21AE">
            <w:pPr>
              <w:pStyle w:val="TableTextBullet"/>
            </w:pPr>
            <w:r>
              <w:t>Displays unit data.</w:t>
            </w:r>
          </w:p>
          <w:p w14:paraId="194EE6B9" w14:textId="77777777" w:rsidR="002A21AE" w:rsidRDefault="002A21AE">
            <w:pPr>
              <w:pStyle w:val="TableTextBullet"/>
            </w:pPr>
            <w:r>
              <w:t>Requires a comment to process the unit inactivation.</w:t>
            </w:r>
          </w:p>
          <w:p w14:paraId="02F6045A" w14:textId="77777777" w:rsidR="002A21AE" w:rsidRDefault="002A21AE">
            <w:pPr>
              <w:pStyle w:val="TableText"/>
            </w:pPr>
          </w:p>
          <w:p w14:paraId="3311AC90" w14:textId="667D75F1" w:rsidR="002A21AE" w:rsidRDefault="002A21AE">
            <w:pPr>
              <w:pStyle w:val="TableText"/>
              <w:rPr>
                <w:b/>
                <w:bCs/>
                <w:szCs w:val="18"/>
              </w:rPr>
            </w:pPr>
            <w:r>
              <w:rPr>
                <w:b/>
                <w:bCs/>
                <w:szCs w:val="18"/>
              </w:rPr>
              <w:t>NOTES</w:t>
            </w:r>
          </w:p>
          <w:p w14:paraId="4815EF2D" w14:textId="77777777" w:rsidR="002A21AE" w:rsidRDefault="002A21AE">
            <w:pPr>
              <w:pStyle w:val="NotesText"/>
            </w:pPr>
          </w:p>
          <w:p w14:paraId="0C855A2E" w14:textId="77777777" w:rsidR="002A21AE" w:rsidRDefault="002A21AE">
            <w:pPr>
              <w:pStyle w:val="NotesText"/>
            </w:pPr>
            <w:r>
              <w:rPr>
                <w:rFonts w:cs="Arial"/>
                <w:vanish/>
              </w:rPr>
              <w:t xml:space="preserve">BR_12.03 </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When the Traditional Supervisor attempts to </w:t>
            </w:r>
            <w:r w:rsidR="00932948">
              <w:t>inactivate</w:t>
            </w:r>
            <w:r>
              <w:t xml:space="preserve"> a unit’s record, VBECS warns the user.</w:t>
            </w:r>
            <w:r w:rsidR="000A70BE">
              <w:t xml:space="preserve"> A blood unit’s record cannot be destroyed or removed from the database for any reason. The system displays a warning message with no override to all users: “Inactivated unit records cannot be destroyed.”</w:t>
            </w:r>
          </w:p>
          <w:p w14:paraId="72E15F77" w14:textId="77777777" w:rsidR="003E636E" w:rsidRDefault="003E636E">
            <w:pPr>
              <w:pStyle w:val="NotesText"/>
              <w:rPr>
                <w:rFonts w:cs="Arial"/>
                <w:vanish/>
              </w:rPr>
            </w:pPr>
          </w:p>
          <w:p w14:paraId="4B184061" w14:textId="77777777" w:rsidR="002A21AE" w:rsidRDefault="00A74496">
            <w:pPr>
              <w:pStyle w:val="NotesText"/>
            </w:pPr>
            <w:r w:rsidRPr="00A74496">
              <w:rPr>
                <w:rFonts w:cs="Arial"/>
                <w:vanish/>
                <w:szCs w:val="18"/>
              </w:rPr>
              <w:t xml:space="preserve">BR_12.05 </w:t>
            </w:r>
            <w:r w:rsidR="00CE16C3" w:rsidRPr="00200B6D">
              <w:t>An inactiv</w:t>
            </w:r>
            <w:r w:rsidR="00234375" w:rsidRPr="00200B6D">
              <w:t>at</w:t>
            </w:r>
            <w:r w:rsidR="00CE16C3" w:rsidRPr="00200B6D">
              <w:t>e</w:t>
            </w:r>
            <w:r w:rsidR="00234375" w:rsidRPr="00200B6D">
              <w:t>d</w:t>
            </w:r>
            <w:r w:rsidRPr="00200B6D">
              <w:t xml:space="preserve"> unit is no</w:t>
            </w:r>
            <w:r w:rsidR="00CE16C3" w:rsidRPr="00200B6D">
              <w:t>t</w:t>
            </w:r>
            <w:r w:rsidRPr="00200B6D">
              <w:t xml:space="preserve"> </w:t>
            </w:r>
            <w:r>
              <w:t xml:space="preserve">accessible. The record </w:t>
            </w:r>
            <w:r w:rsidR="000A6572">
              <w:t>is available</w:t>
            </w:r>
            <w:r w:rsidR="00660511">
              <w:t xml:space="preserve"> in</w:t>
            </w:r>
            <w:r>
              <w:t xml:space="preserve"> the </w:t>
            </w:r>
            <w:r w:rsidR="00CE16C3">
              <w:t>A</w:t>
            </w:r>
            <w:r>
              <w:t xml:space="preserve">udit </w:t>
            </w:r>
            <w:r w:rsidR="00234375">
              <w:t xml:space="preserve">Trail </w:t>
            </w:r>
            <w:r w:rsidR="003E636E">
              <w:t xml:space="preserve">and Unit History </w:t>
            </w:r>
            <w:r w:rsidR="00CE16C3">
              <w:t>R</w:t>
            </w:r>
            <w:r>
              <w:t>eport</w:t>
            </w:r>
            <w:r w:rsidR="003E636E">
              <w:t>s</w:t>
            </w:r>
            <w:r>
              <w:t xml:space="preserve"> and </w:t>
            </w:r>
            <w:r w:rsidR="00660511">
              <w:t>in</w:t>
            </w:r>
            <w:r>
              <w:t xml:space="preserve"> division statistical and informational </w:t>
            </w:r>
            <w:r w:rsidR="00A10483">
              <w:t>reports. When</w:t>
            </w:r>
            <w:r w:rsidR="002A21AE">
              <w:t xml:space="preserve"> VBECS inactivates a unit, it also inactivates costs previously associated with that unit.</w:t>
            </w:r>
          </w:p>
          <w:p w14:paraId="7C6AB5A8" w14:textId="77777777" w:rsidR="002A21AE" w:rsidRDefault="002A21AE">
            <w:pPr>
              <w:pStyle w:val="NotesText"/>
            </w:pPr>
          </w:p>
          <w:p w14:paraId="24C7E7DE" w14:textId="7F015A5B" w:rsidR="002A21AE" w:rsidRDefault="002A21AE">
            <w:pPr>
              <w:pStyle w:val="NotesText"/>
            </w:pPr>
            <w:r>
              <w:rPr>
                <w:rFonts w:cs="Arial"/>
                <w:vanish/>
              </w:rPr>
              <w:t xml:space="preserve">BR_70.11 </w:t>
            </w:r>
            <w:r>
              <w:t xml:space="preserve">The user may </w:t>
            </w:r>
            <w:r w:rsidR="002326F7">
              <w:rPr>
                <w:rFonts w:cs="Arial"/>
                <w:szCs w:val="18"/>
              </w:rPr>
              <w:t>i</w:t>
            </w:r>
            <w:r>
              <w:rPr>
                <w:rFonts w:cs="Arial"/>
                <w:szCs w:val="18"/>
              </w:rPr>
              <w:t>nactivate the</w:t>
            </w:r>
            <w:r>
              <w:t xml:space="preserve"> unit with prior but no current patient </w:t>
            </w:r>
            <w:r w:rsidR="00D43534">
              <w:t>assignments</w:t>
            </w:r>
            <w:r>
              <w:t xml:space="preserve">. VBECS requires a comment </w:t>
            </w:r>
            <w:r w:rsidR="007A7507">
              <w:t>from the “</w:t>
            </w:r>
            <w:r w:rsidR="00C65531">
              <w:t xml:space="preserve">Unit Inactivation” context </w:t>
            </w:r>
            <w:r>
              <w:t xml:space="preserve">to explain the inactivation. </w:t>
            </w:r>
          </w:p>
          <w:p w14:paraId="2416F09D" w14:textId="77777777" w:rsidR="002326F7" w:rsidRDefault="002326F7">
            <w:pPr>
              <w:pStyle w:val="NotesText"/>
            </w:pPr>
          </w:p>
          <w:p w14:paraId="1F197D05" w14:textId="77777777" w:rsidR="002326F7" w:rsidRDefault="002326F7" w:rsidP="002326F7">
            <w:pPr>
              <w:pStyle w:val="NotesText"/>
            </w:pPr>
            <w:r>
              <w:t>Unit inactivation appears on the Audit Trail Report.</w:t>
            </w:r>
          </w:p>
        </w:tc>
      </w:tr>
      <w:tr w:rsidR="002A21AE" w14:paraId="6AD63F1A" w14:textId="77777777">
        <w:tc>
          <w:tcPr>
            <w:tcW w:w="3240" w:type="dxa"/>
            <w:tcBorders>
              <w:top w:val="single" w:sz="4" w:space="0" w:color="auto"/>
              <w:left w:val="single" w:sz="4" w:space="0" w:color="auto"/>
              <w:bottom w:val="single" w:sz="4" w:space="0" w:color="auto"/>
              <w:right w:val="single" w:sz="4" w:space="0" w:color="auto"/>
            </w:tcBorders>
          </w:tcPr>
          <w:p w14:paraId="71190FB8" w14:textId="77777777" w:rsidR="002A21AE" w:rsidRDefault="002A21AE">
            <w:pPr>
              <w:pStyle w:val="TableTextNumbers"/>
            </w:pPr>
            <w:r>
              <w:t>Enter a comment.</w:t>
            </w:r>
          </w:p>
          <w:p w14:paraId="697D0A3D" w14:textId="77777777" w:rsidR="002A21AE" w:rsidRDefault="002A21AE">
            <w:pPr>
              <w:pStyle w:val="TableTextNumbersContinued"/>
            </w:pPr>
          </w:p>
          <w:p w14:paraId="7CFEC4DC" w14:textId="77777777" w:rsidR="002A21AE" w:rsidRDefault="002A21AE">
            <w:pPr>
              <w:pStyle w:val="TableTextNumbersContinued"/>
            </w:pPr>
            <w:r>
              <w:t xml:space="preserve">Click </w:t>
            </w:r>
            <w:r>
              <w:rPr>
                <w:b/>
              </w:rPr>
              <w:t>OK</w:t>
            </w:r>
            <w:r>
              <w:t xml:space="preserve"> to save. </w:t>
            </w:r>
            <w:r w:rsidR="00F41673">
              <w:rPr>
                <w:vanish/>
                <w:color w:val="FFFFFF"/>
                <w:szCs w:val="18"/>
              </w:rPr>
              <w:fldChar w:fldCharType="begin"/>
            </w:r>
            <w:r w:rsidR="00F41673">
              <w:rPr>
                <w:vanish/>
                <w:color w:val="FFFFFF"/>
                <w:szCs w:val="18"/>
              </w:rPr>
              <w:instrText xml:space="preserve"> LISTNUM \l 1 \s 0 </w:instrText>
            </w:r>
            <w:r w:rsidR="00F41673">
              <w:rPr>
                <w:vanish/>
                <w:color w:val="FFFFFF"/>
                <w:szCs w:val="18"/>
              </w:rPr>
              <w:fldChar w:fldCharType="end">
                <w:numberingChange w:id="384" w:author="MUSZYNSKI, THOMAS D. (SIERRA 7 INC)" w:date="2024-11-26T07:15:00Z" w:original="0."/>
              </w:fldChar>
            </w:r>
          </w:p>
        </w:tc>
        <w:tc>
          <w:tcPr>
            <w:tcW w:w="6120" w:type="dxa"/>
            <w:tcBorders>
              <w:top w:val="single" w:sz="4" w:space="0" w:color="auto"/>
              <w:left w:val="single" w:sz="4" w:space="0" w:color="auto"/>
              <w:bottom w:val="single" w:sz="4" w:space="0" w:color="auto"/>
              <w:right w:val="single" w:sz="4" w:space="0" w:color="auto"/>
            </w:tcBorders>
          </w:tcPr>
          <w:p w14:paraId="54D3320B" w14:textId="77777777" w:rsidR="002A21AE" w:rsidRDefault="002A21AE">
            <w:pPr>
              <w:pStyle w:val="TableTextBullet"/>
            </w:pPr>
            <w:r>
              <w:t>Marks the selected unit record “inactive.”</w:t>
            </w:r>
          </w:p>
          <w:p w14:paraId="4533AF3B" w14:textId="77777777" w:rsidR="002A21AE" w:rsidRPr="00AE73C3" w:rsidRDefault="002A21AE" w:rsidP="00AE73C3">
            <w:pPr>
              <w:pStyle w:val="TableTextBullet"/>
            </w:pPr>
            <w:r>
              <w:t>Saves the record.</w:t>
            </w:r>
            <w:r w:rsidR="004840A0">
              <w:t xml:space="preserve"> </w:t>
            </w:r>
          </w:p>
        </w:tc>
      </w:tr>
    </w:tbl>
    <w:p w14:paraId="62E19919" w14:textId="77777777" w:rsidR="00DC3DA1" w:rsidRDefault="00DC3DA1">
      <w:pPr>
        <w:pStyle w:val="Heading3"/>
      </w:pPr>
    </w:p>
    <w:p w14:paraId="423BE19C" w14:textId="77777777" w:rsidR="00DC3DA1" w:rsidRDefault="00DC3DA1">
      <w:pPr>
        <w:rPr>
          <w:rFonts w:ascii="Arial" w:hAnsi="Arial" w:cs="Arial"/>
          <w:b/>
          <w:bCs/>
          <w:sz w:val="26"/>
          <w:szCs w:val="26"/>
        </w:rPr>
      </w:pPr>
      <w:r>
        <w:br w:type="page"/>
      </w:r>
    </w:p>
    <w:p w14:paraId="383FAC07" w14:textId="03BB4467" w:rsidR="002A21AE" w:rsidRDefault="002A21AE">
      <w:pPr>
        <w:pStyle w:val="Heading3"/>
      </w:pPr>
      <w:bookmarkStart w:id="385" w:name="_Toc203765895"/>
      <w:r>
        <w:lastRenderedPageBreak/>
        <w:t>Edit Financial Data</w:t>
      </w:r>
      <w:bookmarkEnd w:id="385"/>
      <w:r w:rsidRPr="007716F7">
        <w:rPr>
          <w:vanish/>
        </w:rPr>
        <w:fldChar w:fldCharType="begin"/>
      </w:r>
      <w:r w:rsidRPr="007716F7">
        <w:rPr>
          <w:vanish/>
        </w:rPr>
        <w:instrText xml:space="preserve"> XE </w:instrText>
      </w:r>
      <w:r w:rsidR="00FA7E65" w:rsidRPr="007716F7">
        <w:rPr>
          <w:vanish/>
        </w:rPr>
        <w:instrText>“</w:instrText>
      </w:r>
      <w:r w:rsidRPr="007716F7">
        <w:rPr>
          <w:vanish/>
        </w:rPr>
        <w:instrText>Edit Financial Data</w:instrText>
      </w:r>
      <w:r w:rsidR="00FA7E65" w:rsidRPr="007716F7">
        <w:rPr>
          <w:vanish/>
        </w:rPr>
        <w:instrText>”</w:instrText>
      </w:r>
      <w:r w:rsidRPr="007716F7">
        <w:rPr>
          <w:vanish/>
        </w:rPr>
        <w:instrText xml:space="preserve"> </w:instrText>
      </w:r>
      <w:r w:rsidRPr="007716F7">
        <w:rPr>
          <w:vanish/>
        </w:rPr>
        <w:fldChar w:fldCharType="end"/>
      </w:r>
      <w:r w:rsidRPr="007716F7">
        <w:rPr>
          <w:vanish/>
        </w:rPr>
        <w:t xml:space="preserve"> UC_14</w:t>
      </w:r>
    </w:p>
    <w:p w14:paraId="7DB74B73" w14:textId="77777777" w:rsidR="002A21AE" w:rsidRDefault="002A21AE" w:rsidP="00FA7E65">
      <w:pPr>
        <w:pStyle w:val="BodyText"/>
      </w:pPr>
      <w:r>
        <w:t>The user enters and/or edits charges associated with a unit after it is logged into inventory.</w:t>
      </w:r>
    </w:p>
    <w:p w14:paraId="7BD682D8" w14:textId="77777777" w:rsidR="002A21AE" w:rsidRDefault="002A21AE">
      <w:pPr>
        <w:pStyle w:val="Heading4"/>
      </w:pPr>
      <w:r>
        <w:t>Assumptions</w:t>
      </w:r>
      <w:r>
        <w:rPr>
          <w:b w:val="0"/>
        </w:rPr>
        <w:t xml:space="preserve"> </w:t>
      </w:r>
    </w:p>
    <w:p w14:paraId="6F669346" w14:textId="77777777" w:rsidR="002A21AE" w:rsidRDefault="002A21AE">
      <w:pPr>
        <w:pStyle w:val="ListBullet"/>
      </w:pPr>
      <w:r>
        <w:t>The user is logged into the division containing the unit to be edited.</w:t>
      </w:r>
    </w:p>
    <w:p w14:paraId="4D2CD98B" w14:textId="77777777" w:rsidR="002A21AE" w:rsidRDefault="002A21AE">
      <w:pPr>
        <w:pStyle w:val="Heading4"/>
      </w:pPr>
      <w:r>
        <w:t>Outcome</w:t>
      </w:r>
    </w:p>
    <w:p w14:paraId="4CA27FBD" w14:textId="77777777" w:rsidR="002A21AE" w:rsidRDefault="002A21AE">
      <w:pPr>
        <w:pStyle w:val="ListBullet"/>
      </w:pPr>
      <w:r>
        <w:t>Unit billing information was changed.</w:t>
      </w:r>
    </w:p>
    <w:p w14:paraId="110B5220" w14:textId="77777777" w:rsidR="002A21AE" w:rsidRDefault="002A21AE">
      <w:pPr>
        <w:pStyle w:val="Heading4"/>
        <w:rPr>
          <w:b w:val="0"/>
        </w:rPr>
      </w:pPr>
      <w:r>
        <w:t>Limitations and Restrictions</w:t>
      </w:r>
      <w:r>
        <w:rPr>
          <w:b w:val="0"/>
        </w:rPr>
        <w:t xml:space="preserve"> </w:t>
      </w:r>
    </w:p>
    <w:p w14:paraId="7A5A4EA4" w14:textId="19A55CDF" w:rsidR="002A21AE" w:rsidRPr="00657C98" w:rsidRDefault="00D4567F">
      <w:pPr>
        <w:pStyle w:val="ListBullet"/>
      </w:pPr>
      <w:r>
        <w:t>When a Technologist enters a unit ID and product code for a unit that is not in final status, VBECS does not enable the Special Test Cost field. An Enhanced Technologist or higher access can change the Special Test Cost field in the Edit Financial Data option.</w:t>
      </w:r>
      <w:r w:rsidR="00F8698E">
        <w:t xml:space="preserve"> </w:t>
      </w:r>
      <w:r w:rsidR="00F8698E" w:rsidRPr="00F8698E">
        <w:rPr>
          <w:vanish/>
        </w:rPr>
        <w:t>DR 5012</w:t>
      </w:r>
    </w:p>
    <w:p w14:paraId="77E8A90E" w14:textId="5C202829" w:rsidR="00657C98" w:rsidRDefault="00157ABC">
      <w:pPr>
        <w:pStyle w:val="ListBullet"/>
      </w:pPr>
      <w:r>
        <w:t xml:space="preserve">Base </w:t>
      </w:r>
      <w:r w:rsidR="00657C98">
        <w:t xml:space="preserve">Cost entry is capped at </w:t>
      </w:r>
      <w:r>
        <w:t>99,</w:t>
      </w:r>
      <w:r w:rsidR="00657C98">
        <w:t>999.</w:t>
      </w:r>
      <w:r>
        <w:t>00</w:t>
      </w:r>
    </w:p>
    <w:p w14:paraId="58B1987E" w14:textId="47B14824" w:rsidR="00157ABC" w:rsidRDefault="00157ABC">
      <w:pPr>
        <w:pStyle w:val="ListBullet"/>
      </w:pPr>
      <w:r>
        <w:t>Special Testing Cost is capped at 9,999.99</w:t>
      </w:r>
    </w:p>
    <w:p w14:paraId="77296A49" w14:textId="69B23825" w:rsidR="00157ABC" w:rsidRDefault="00157ABC">
      <w:pPr>
        <w:pStyle w:val="ListBullet"/>
      </w:pPr>
      <w:r>
        <w:t>Return Credit is capped at 99,999.00</w:t>
      </w:r>
    </w:p>
    <w:p w14:paraId="7587F28B" w14:textId="77777777" w:rsidR="002A21AE" w:rsidRDefault="002A21AE">
      <w:pPr>
        <w:pStyle w:val="Heading4"/>
      </w:pPr>
      <w:r>
        <w:t xml:space="preserve">Additional Information </w:t>
      </w:r>
    </w:p>
    <w:p w14:paraId="7B70C032" w14:textId="77777777" w:rsidR="002A21AE" w:rsidRDefault="002A21AE">
      <w:pPr>
        <w:pStyle w:val="ListBullet"/>
      </w:pPr>
      <w:r>
        <w:t>None</w:t>
      </w:r>
    </w:p>
    <w:p w14:paraId="2F8A2830" w14:textId="77777777" w:rsidR="002A21AE" w:rsidRDefault="002A21AE">
      <w:pPr>
        <w:pStyle w:val="Heading4"/>
        <w:rPr>
          <w:b w:val="0"/>
        </w:rPr>
      </w:pPr>
      <w:r>
        <w:t>User Roles with Access to This Option</w:t>
      </w:r>
      <w:r>
        <w:rPr>
          <w:b w:val="0"/>
        </w:rPr>
        <w:t xml:space="preserve"> </w:t>
      </w:r>
    </w:p>
    <w:p w14:paraId="6234942D" w14:textId="77777777" w:rsidR="00E01A40" w:rsidRDefault="00E01A40" w:rsidP="00E01A40">
      <w:pPr>
        <w:pStyle w:val="Roles"/>
        <w:rPr>
          <w:snapToGrid w:val="0"/>
        </w:rPr>
      </w:pPr>
      <w:r>
        <w:t>All users</w:t>
      </w:r>
      <w:r>
        <w:rPr>
          <w:snapToGrid w:val="0"/>
        </w:rPr>
        <w:t xml:space="preserve"> </w:t>
      </w:r>
    </w:p>
    <w:p w14:paraId="16255AEA" w14:textId="77777777" w:rsidR="002A21AE" w:rsidRDefault="00F8698E">
      <w:pPr>
        <w:pStyle w:val="Heading4"/>
      </w:pPr>
      <w:r>
        <w:br w:type="page"/>
      </w:r>
      <w:r w:rsidR="002A21AE">
        <w:lastRenderedPageBreak/>
        <w:t>Edit Financial Data</w:t>
      </w:r>
    </w:p>
    <w:p w14:paraId="321D914F" w14:textId="77777777" w:rsidR="002A21AE" w:rsidRDefault="002A21AE" w:rsidP="00FA7E65">
      <w:pPr>
        <w:pStyle w:val="BodyText"/>
      </w:pPr>
      <w:r>
        <w:t xml:space="preserve">The user adds and/or edits a unit charge. The user confirms the unit selection, enters the dollar amount of the charge, and reviews and accepts the charge entered. </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6A3D949C" w14:textId="77777777">
        <w:trPr>
          <w:cantSplit/>
          <w:tblHeader/>
        </w:trPr>
        <w:tc>
          <w:tcPr>
            <w:tcW w:w="3240" w:type="dxa"/>
            <w:shd w:val="pct30" w:color="auto" w:fill="FFFFFF"/>
            <w:vAlign w:val="bottom"/>
          </w:tcPr>
          <w:p w14:paraId="335C566C" w14:textId="77777777" w:rsidR="002A21AE" w:rsidRDefault="002A21AE">
            <w:pPr>
              <w:pStyle w:val="TableText"/>
              <w:rPr>
                <w:b/>
              </w:rPr>
            </w:pPr>
            <w:r>
              <w:rPr>
                <w:b/>
              </w:rPr>
              <w:t>User Action</w:t>
            </w:r>
          </w:p>
        </w:tc>
        <w:tc>
          <w:tcPr>
            <w:tcW w:w="6120" w:type="dxa"/>
            <w:shd w:val="pct30" w:color="auto" w:fill="FFFFFF"/>
            <w:vAlign w:val="bottom"/>
          </w:tcPr>
          <w:p w14:paraId="786C3516" w14:textId="77777777" w:rsidR="002A21AE" w:rsidRDefault="002A21AE">
            <w:pPr>
              <w:pStyle w:val="TableText"/>
              <w:rPr>
                <w:b/>
              </w:rPr>
            </w:pPr>
            <w:r>
              <w:rPr>
                <w:b/>
              </w:rPr>
              <w:t>VBECS</w:t>
            </w:r>
          </w:p>
        </w:tc>
      </w:tr>
      <w:tr w:rsidR="002A21AE" w14:paraId="6B5B473B" w14:textId="77777777">
        <w:tc>
          <w:tcPr>
            <w:tcW w:w="3240" w:type="dxa"/>
          </w:tcPr>
          <w:p w14:paraId="577B1C2E" w14:textId="77777777" w:rsidR="002A21AE" w:rsidRDefault="002A21AE">
            <w:pPr>
              <w:pStyle w:val="TableTextNumbers"/>
            </w:pPr>
            <w:r>
              <w:t xml:space="preserve">Select </w:t>
            </w:r>
            <w:r>
              <w:rPr>
                <w:b/>
              </w:rPr>
              <w:t>Blood Units</w:t>
            </w:r>
            <w:r>
              <w:t xml:space="preserve"> from the main menu. </w:t>
            </w:r>
          </w:p>
          <w:p w14:paraId="28F5060D" w14:textId="77777777" w:rsidR="002A21AE" w:rsidRDefault="002A21AE">
            <w:pPr>
              <w:pStyle w:val="TableTextNumbersContinued"/>
            </w:pPr>
          </w:p>
          <w:p w14:paraId="5AF5E56E" w14:textId="77777777" w:rsidR="002A21AE" w:rsidRDefault="002A21AE">
            <w:pPr>
              <w:pStyle w:val="TableTextNumbersContinued"/>
            </w:pPr>
            <w:r>
              <w:t xml:space="preserve">Select </w:t>
            </w:r>
            <w:r>
              <w:rPr>
                <w:b/>
                <w:bCs/>
              </w:rPr>
              <w:t>Edit Financial Data</w:t>
            </w:r>
            <w:r>
              <w:t>.</w:t>
            </w:r>
          </w:p>
        </w:tc>
        <w:tc>
          <w:tcPr>
            <w:tcW w:w="6120" w:type="dxa"/>
          </w:tcPr>
          <w:p w14:paraId="266F9C75" w14:textId="77777777" w:rsidR="002A21AE" w:rsidRDefault="002A21AE">
            <w:pPr>
              <w:pStyle w:val="TableTextBullet"/>
            </w:pPr>
            <w:r>
              <w:t>Displays options for processing blood units.</w:t>
            </w:r>
          </w:p>
          <w:p w14:paraId="22D1F2C5" w14:textId="77777777" w:rsidR="002A21AE" w:rsidRDefault="002A21AE">
            <w:pPr>
              <w:pStyle w:val="TableTextBullet"/>
            </w:pPr>
            <w:r>
              <w:t>Displays fields for selecting a unit and editing its financial data.</w:t>
            </w:r>
          </w:p>
        </w:tc>
      </w:tr>
      <w:tr w:rsidR="002A21AE" w14:paraId="4164B49F" w14:textId="77777777">
        <w:trPr>
          <w:tblHeader/>
        </w:trPr>
        <w:tc>
          <w:tcPr>
            <w:tcW w:w="3240" w:type="dxa"/>
          </w:tcPr>
          <w:p w14:paraId="27C89035" w14:textId="77777777" w:rsidR="002A21AE" w:rsidRDefault="002A21AE">
            <w:pPr>
              <w:pStyle w:val="TableTextNumbers"/>
            </w:pPr>
            <w:r>
              <w:t xml:space="preserve">Scan or enter a unit ID or product code, or click the </w:t>
            </w:r>
            <w:r w:rsidR="00A6373D">
              <w:rPr>
                <w:b/>
              </w:rPr>
              <w:t>find</w:t>
            </w:r>
            <w:r>
              <w:rPr>
                <w:b/>
              </w:rPr>
              <w:t xml:space="preserve"> </w:t>
            </w:r>
            <w:r w:rsidRPr="00D1100E">
              <w:t>button</w:t>
            </w:r>
            <w:r>
              <w:t xml:space="preserve"> to select a unit from the drop-down list.</w:t>
            </w:r>
          </w:p>
        </w:tc>
        <w:tc>
          <w:tcPr>
            <w:tcW w:w="6120" w:type="dxa"/>
          </w:tcPr>
          <w:p w14:paraId="5450F8C6" w14:textId="77777777" w:rsidR="002A21AE" w:rsidRDefault="002A21AE">
            <w:pPr>
              <w:pStyle w:val="TableTextBullet"/>
            </w:pPr>
            <w:r>
              <w:t>Displays unit data.</w:t>
            </w:r>
          </w:p>
        </w:tc>
      </w:tr>
      <w:tr w:rsidR="002A21AE" w14:paraId="6F86B85D" w14:textId="77777777">
        <w:tc>
          <w:tcPr>
            <w:tcW w:w="3240" w:type="dxa"/>
          </w:tcPr>
          <w:p w14:paraId="4F7218CB" w14:textId="2677F0BC" w:rsidR="002A21AE" w:rsidRDefault="002A21AE">
            <w:pPr>
              <w:pStyle w:val="TableTextNumbers"/>
            </w:pPr>
            <w:r>
              <w:t>Edit the Base Cost, Special Test Cost, and/or Return Credit fields</w:t>
            </w:r>
            <w:r w:rsidR="009A7383">
              <w:t xml:space="preserve"> (</w:t>
            </w:r>
            <w:r w:rsidR="00EE455E">
              <w:t xml:space="preserve">Figure </w:t>
            </w:r>
            <w:r w:rsidR="00EE455E">
              <w:rPr>
                <w:noProof/>
              </w:rPr>
              <w:t>66</w:t>
            </w:r>
            <w:r w:rsidR="009A7383">
              <w:t>)</w:t>
            </w:r>
            <w:r>
              <w:t>.</w:t>
            </w:r>
          </w:p>
        </w:tc>
        <w:tc>
          <w:tcPr>
            <w:tcW w:w="6120" w:type="dxa"/>
          </w:tcPr>
          <w:p w14:paraId="672E0633" w14:textId="77777777" w:rsidR="002A21AE" w:rsidRDefault="002A21AE">
            <w:pPr>
              <w:pStyle w:val="TableTextBullet"/>
            </w:pPr>
            <w:r>
              <w:t>Allows the user to edit the fields in the Financial Information area.</w:t>
            </w:r>
          </w:p>
          <w:p w14:paraId="6BB0C64A" w14:textId="77777777" w:rsidR="002A21AE" w:rsidRDefault="002A21AE">
            <w:pPr>
              <w:pStyle w:val="TableTextBullet"/>
            </w:pPr>
            <w:r>
              <w:t>Displays the edited data.</w:t>
            </w:r>
          </w:p>
          <w:p w14:paraId="77B3F712" w14:textId="77777777" w:rsidR="002A21AE" w:rsidRDefault="002A21AE">
            <w:pPr>
              <w:pStyle w:val="TableText"/>
            </w:pPr>
          </w:p>
          <w:p w14:paraId="4E1A66D9" w14:textId="76227E88" w:rsidR="002A21AE" w:rsidRDefault="002A21AE">
            <w:pPr>
              <w:pStyle w:val="TableText"/>
              <w:rPr>
                <w:b/>
                <w:bCs/>
                <w:szCs w:val="18"/>
              </w:rPr>
            </w:pPr>
            <w:r>
              <w:rPr>
                <w:b/>
                <w:bCs/>
                <w:szCs w:val="18"/>
              </w:rPr>
              <w:t>NOTES</w:t>
            </w:r>
          </w:p>
          <w:p w14:paraId="65E86FAB" w14:textId="77777777" w:rsidR="002A21AE" w:rsidRDefault="002A21AE">
            <w:pPr>
              <w:pStyle w:val="NotesText"/>
            </w:pPr>
          </w:p>
          <w:p w14:paraId="2110CEFC" w14:textId="77777777" w:rsidR="002A21AE" w:rsidRDefault="002A21AE">
            <w:pPr>
              <w:pStyle w:val="NotesText"/>
            </w:pPr>
            <w:r w:rsidRPr="00EC7489">
              <w:rPr>
                <w:rFonts w:ascii="Wingdings 3" w:hAnsi="Wingdings 3" w:cs="Wingdings"/>
              </w:rPr>
              <w:t></w:t>
            </w:r>
            <w:r w:rsidRPr="00EC7489">
              <w:rPr>
                <w:rFonts w:ascii="Wingdings 3" w:hAnsi="Wingdings 3" w:cs="Wingdings"/>
              </w:rPr>
              <w:t></w:t>
            </w:r>
            <w:r>
              <w:t xml:space="preserve"> The Enhanced Technologist may edit existing amounts.</w:t>
            </w:r>
          </w:p>
          <w:p w14:paraId="1CE1678D" w14:textId="77777777" w:rsidR="002A21AE" w:rsidRDefault="002A21AE">
            <w:pPr>
              <w:pStyle w:val="NotesText"/>
            </w:pPr>
          </w:p>
          <w:p w14:paraId="0E4E4313" w14:textId="16BCE3A9" w:rsidR="002A21AE" w:rsidRDefault="002A21AE">
            <w:pPr>
              <w:pStyle w:val="NotesText"/>
            </w:pPr>
            <w:r>
              <w:rPr>
                <w:rFonts w:cs="Arial"/>
                <w:vanish/>
              </w:rPr>
              <w:t xml:space="preserve">BR_1.46 </w:t>
            </w:r>
            <w:r>
              <w:t xml:space="preserve">VBECS allows the user to enter a single special </w:t>
            </w:r>
            <w:r w:rsidR="001C07FE">
              <w:t>testing</w:t>
            </w:r>
            <w:r>
              <w:t xml:space="preserve"> cost (the sum of charges from $</w:t>
            </w:r>
            <w:r w:rsidR="009E0A43">
              <w:t>0.00 to 9,999.99</w:t>
            </w:r>
            <w:r>
              <w:t xml:space="preserve">, other than the base unit cost, added to a unit by the shipper) to associate with a unit. </w:t>
            </w:r>
          </w:p>
          <w:p w14:paraId="6B6FE1E1" w14:textId="77777777" w:rsidR="002A21AE" w:rsidRDefault="002A21AE">
            <w:pPr>
              <w:pStyle w:val="NotesText"/>
            </w:pPr>
          </w:p>
          <w:p w14:paraId="3E39547F" w14:textId="77777777" w:rsidR="002A21AE" w:rsidRDefault="002A21AE">
            <w:pPr>
              <w:pStyle w:val="NotesText"/>
            </w:pPr>
            <w:r>
              <w:t>When no special typing costs are entered through Incoming Shipment, a user may enter them in this option until the unit is in a final status.</w:t>
            </w:r>
          </w:p>
          <w:p w14:paraId="386B6B5F" w14:textId="77777777" w:rsidR="002A21AE" w:rsidRDefault="002A21AE">
            <w:pPr>
              <w:pStyle w:val="NotesText"/>
            </w:pPr>
          </w:p>
          <w:p w14:paraId="0C02F02F" w14:textId="69DA2C04" w:rsidR="002A21AE" w:rsidRDefault="002A21AE">
            <w:pPr>
              <w:pStyle w:val="NotesText"/>
            </w:pPr>
            <w:r>
              <w:rPr>
                <w:rFonts w:cs="Arial"/>
                <w:vanish/>
              </w:rPr>
              <w:t xml:space="preserve">BR_14.02 </w:t>
            </w:r>
            <w:r w:rsidRPr="00EC7489">
              <w:rPr>
                <w:rFonts w:ascii="Wingdings 3" w:hAnsi="Wingdings 3" w:cs="Wingdings"/>
              </w:rPr>
              <w:t></w:t>
            </w:r>
            <w:r w:rsidRPr="00EC7489">
              <w:rPr>
                <w:rFonts w:ascii="Wingdings 3" w:hAnsi="Wingdings 3" w:cs="Wingdings"/>
              </w:rPr>
              <w:t></w:t>
            </w:r>
            <w:r>
              <w:t xml:space="preserve"> The Enhanced Technologist may </w:t>
            </w:r>
            <w:r w:rsidR="0080720F">
              <w:t>add/</w:t>
            </w:r>
            <w:r>
              <w:t>edit a previously entered unit cost (unit base cost, return credit or special testing cost).</w:t>
            </w:r>
          </w:p>
          <w:p w14:paraId="67C4F84A" w14:textId="77777777" w:rsidR="002A21AE" w:rsidRDefault="002A21AE">
            <w:pPr>
              <w:pStyle w:val="NotesText"/>
            </w:pPr>
          </w:p>
          <w:p w14:paraId="0A761816" w14:textId="77777777" w:rsidR="002A21AE" w:rsidRDefault="002A21AE">
            <w:pPr>
              <w:pStyle w:val="NotesText"/>
            </w:pPr>
            <w:r>
              <w:rPr>
                <w:rFonts w:cs="Arial"/>
                <w:vanish/>
              </w:rPr>
              <w:t xml:space="preserve">BR_14.01 </w:t>
            </w:r>
            <w:r>
              <w:t>VBECS displays a return credit in U.S. currency (defined by the return credit percentage multiplied by the base unit cost for the blood product type in Blood Products). A user may enter a return credit amount only when VBECS assigned the return credit percentage through Outgoing Shipment or Discard or Quarantine. Otherwise, VBECS disables the Return Credit field.</w:t>
            </w:r>
          </w:p>
        </w:tc>
      </w:tr>
      <w:tr w:rsidR="002A21AE" w14:paraId="78384BDF" w14:textId="77777777">
        <w:tc>
          <w:tcPr>
            <w:tcW w:w="3240" w:type="dxa"/>
          </w:tcPr>
          <w:p w14:paraId="1E5BC6B7" w14:textId="77777777" w:rsidR="002A21AE" w:rsidRDefault="002A21AE">
            <w:pPr>
              <w:pStyle w:val="TableTextNumbers"/>
            </w:pPr>
            <w:r>
              <w:t xml:space="preserve">Review the data, click </w:t>
            </w:r>
            <w:r>
              <w:rPr>
                <w:b/>
              </w:rPr>
              <w:t xml:space="preserve">OK </w:t>
            </w:r>
            <w:r>
              <w:t xml:space="preserve">to save, and click </w:t>
            </w:r>
            <w:r>
              <w:rPr>
                <w:b/>
              </w:rPr>
              <w:t>OK</w:t>
            </w:r>
            <w:r>
              <w:t xml:space="preserve"> again to confirm the save.</w:t>
            </w:r>
          </w:p>
        </w:tc>
        <w:tc>
          <w:tcPr>
            <w:tcW w:w="6120" w:type="dxa"/>
          </w:tcPr>
          <w:p w14:paraId="41E328EE" w14:textId="77777777" w:rsidR="002A21AE" w:rsidRDefault="002A21AE">
            <w:pPr>
              <w:pStyle w:val="TableTextBullet"/>
            </w:pPr>
            <w:r>
              <w:t>Requests confirmation to update the database.</w:t>
            </w:r>
          </w:p>
          <w:p w14:paraId="42A6131E" w14:textId="77777777" w:rsidR="002A21AE" w:rsidRDefault="002A21AE">
            <w:pPr>
              <w:pStyle w:val="TableTextBullet"/>
            </w:pPr>
            <w:r>
              <w:t>Saves and updates the unit record.</w:t>
            </w:r>
          </w:p>
        </w:tc>
      </w:tr>
      <w:tr w:rsidR="002A21AE" w14:paraId="1C23E324" w14:textId="77777777">
        <w:tc>
          <w:tcPr>
            <w:tcW w:w="3240" w:type="dxa"/>
          </w:tcPr>
          <w:p w14:paraId="22C3B262" w14:textId="071BC87F" w:rsidR="002A21AE" w:rsidRDefault="002A21AE">
            <w:pPr>
              <w:pStyle w:val="TableTextNumbers"/>
            </w:pPr>
            <w:r>
              <w:t>Repeat Steps 2</w:t>
            </w:r>
            <w:r w:rsidR="004F5589">
              <w:t xml:space="preserve"> through </w:t>
            </w:r>
            <w:r>
              <w:t>4, as needed, to update additional unit financial data.</w:t>
            </w:r>
          </w:p>
        </w:tc>
        <w:tc>
          <w:tcPr>
            <w:tcW w:w="6120" w:type="dxa"/>
          </w:tcPr>
          <w:p w14:paraId="489F238E" w14:textId="77777777" w:rsidR="002A21AE" w:rsidRDefault="002A21AE">
            <w:pPr>
              <w:pStyle w:val="TableText"/>
            </w:pPr>
          </w:p>
        </w:tc>
      </w:tr>
      <w:tr w:rsidR="002A21AE" w14:paraId="396D6ABA" w14:textId="77777777">
        <w:tc>
          <w:tcPr>
            <w:tcW w:w="3240" w:type="dxa"/>
          </w:tcPr>
          <w:p w14:paraId="27CDACC7" w14:textId="77777777" w:rsidR="002A21AE" w:rsidRDefault="002A21AE">
            <w:pPr>
              <w:pStyle w:val="TableTextNumbers"/>
            </w:pPr>
            <w:r>
              <w:t xml:space="preserve">Click </w:t>
            </w:r>
            <w:r>
              <w:rPr>
                <w:b/>
              </w:rPr>
              <w:t>Cancel</w:t>
            </w:r>
            <w:r>
              <w:t xml:space="preserve"> to exit. </w:t>
            </w:r>
            <w:r>
              <w:rPr>
                <w:vanish/>
                <w:color w:val="FFFFFF"/>
                <w:szCs w:val="18"/>
              </w:rPr>
              <w:fldChar w:fldCharType="begin"/>
            </w:r>
            <w:r>
              <w:rPr>
                <w:vanish/>
                <w:color w:val="FFFFFF"/>
                <w:szCs w:val="18"/>
              </w:rPr>
              <w:instrText xml:space="preserve"> LISTNUM \l 1 \s 0 </w:instrText>
            </w:r>
            <w:r>
              <w:rPr>
                <w:vanish/>
                <w:color w:val="FFFFFF"/>
                <w:szCs w:val="18"/>
              </w:rPr>
              <w:fldChar w:fldCharType="end">
                <w:numberingChange w:id="386" w:author="MUSZYNSKI, THOMAS D. (SIERRA 7 INC)" w:date="2024-11-26T07:15:00Z" w:original="0."/>
              </w:fldChar>
            </w:r>
          </w:p>
        </w:tc>
        <w:tc>
          <w:tcPr>
            <w:tcW w:w="6120" w:type="dxa"/>
          </w:tcPr>
          <w:p w14:paraId="186A19D3" w14:textId="77777777" w:rsidR="002A21AE" w:rsidRDefault="002A21AE">
            <w:pPr>
              <w:pStyle w:val="TableText"/>
            </w:pPr>
          </w:p>
        </w:tc>
      </w:tr>
    </w:tbl>
    <w:p w14:paraId="35A42874" w14:textId="78F3BF81" w:rsidR="009A7383" w:rsidRDefault="009A7383" w:rsidP="009A7383">
      <w:pPr>
        <w:pStyle w:val="Caption"/>
      </w:pPr>
      <w:bookmarkStart w:id="387" w:name="_Ref126652778"/>
      <w:bookmarkStart w:id="388" w:name="_Toc63680364"/>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7D1829">
        <w:rPr>
          <w:noProof/>
        </w:rPr>
        <w:t>67</w:t>
      </w:r>
      <w:r w:rsidR="004E20BD">
        <w:rPr>
          <w:noProof/>
        </w:rPr>
        <w:fldChar w:fldCharType="end"/>
      </w:r>
      <w:bookmarkEnd w:id="387"/>
      <w:r>
        <w:t>: Edit Unit Financial Data</w:t>
      </w:r>
    </w:p>
    <w:p w14:paraId="75B0BD88" w14:textId="77777777" w:rsidR="009A7383" w:rsidRDefault="00057948" w:rsidP="009A7383">
      <w:pPr>
        <w:pStyle w:val="BodyText"/>
      </w:pPr>
      <w:r>
        <w:rPr>
          <w:noProof/>
        </w:rPr>
        <w:drawing>
          <wp:inline distT="0" distB="0" distL="0" distR="0" wp14:anchorId="11B17E45" wp14:editId="6E959FD3">
            <wp:extent cx="5523230" cy="3879215"/>
            <wp:effectExtent l="0" t="0" r="1270" b="6985"/>
            <wp:docPr id="182" name="Picture 182" descr="Example of Edit Unit Financial Data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Picture 182" descr="Example of Edit Unit Financial Data screen capture"/>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5523230" cy="3879215"/>
                    </a:xfrm>
                    <a:prstGeom prst="rect">
                      <a:avLst/>
                    </a:prstGeom>
                    <a:noFill/>
                    <a:ln>
                      <a:noFill/>
                    </a:ln>
                  </pic:spPr>
                </pic:pic>
              </a:graphicData>
            </a:graphic>
          </wp:inline>
        </w:drawing>
      </w:r>
    </w:p>
    <w:p w14:paraId="186410FB" w14:textId="77777777" w:rsidR="002A21AE" w:rsidRDefault="002A21AE">
      <w:pPr>
        <w:pStyle w:val="Heading3"/>
      </w:pPr>
      <w:bookmarkStart w:id="389" w:name="_Toc203765896"/>
      <w:r>
        <w:t>Free Directed Unit For Crossover</w:t>
      </w:r>
      <w:bookmarkEnd w:id="389"/>
      <w:r w:rsidRPr="007716F7">
        <w:rPr>
          <w:vanish/>
        </w:rPr>
        <w:fldChar w:fldCharType="begin"/>
      </w:r>
      <w:r w:rsidRPr="007716F7">
        <w:rPr>
          <w:vanish/>
        </w:rPr>
        <w:instrText xml:space="preserve"> XE </w:instrText>
      </w:r>
      <w:r w:rsidR="00FA7E65" w:rsidRPr="007716F7">
        <w:rPr>
          <w:vanish/>
        </w:rPr>
        <w:instrText>“</w:instrText>
      </w:r>
      <w:r w:rsidRPr="007716F7">
        <w:rPr>
          <w:vanish/>
        </w:rPr>
        <w:instrText>Free Directed Unit For Crossover</w:instrText>
      </w:r>
      <w:r w:rsidR="00FA7E65" w:rsidRPr="007716F7">
        <w:rPr>
          <w:vanish/>
        </w:rPr>
        <w:instrText>”</w:instrText>
      </w:r>
      <w:r w:rsidRPr="007716F7">
        <w:rPr>
          <w:vanish/>
        </w:rPr>
        <w:instrText xml:space="preserve"> </w:instrText>
      </w:r>
      <w:r w:rsidRPr="007716F7">
        <w:rPr>
          <w:vanish/>
        </w:rPr>
        <w:fldChar w:fldCharType="end"/>
      </w:r>
      <w:r w:rsidRPr="007716F7">
        <w:rPr>
          <w:vanish/>
        </w:rPr>
        <w:t xml:space="preserve"> UC_71</w:t>
      </w:r>
    </w:p>
    <w:p w14:paraId="51EC295A" w14:textId="77777777" w:rsidR="002A21AE" w:rsidRDefault="002A21AE" w:rsidP="00FA7E65">
      <w:pPr>
        <w:pStyle w:val="BodyText"/>
      </w:pPr>
      <w:r>
        <w:t xml:space="preserve">The user removes a patient restriction </w:t>
      </w:r>
      <w:r w:rsidR="00757A26">
        <w:t>from</w:t>
      </w:r>
      <w:r>
        <w:t xml:space="preserve"> a directed unit that is eligible for crossover, making that unit available for any patient, according to system rules. </w:t>
      </w:r>
    </w:p>
    <w:p w14:paraId="6BFB3610" w14:textId="77777777" w:rsidR="002A21AE" w:rsidRDefault="002A21AE">
      <w:pPr>
        <w:pStyle w:val="Heading4"/>
      </w:pPr>
      <w:r>
        <w:t>Assumptions</w:t>
      </w:r>
      <w:r>
        <w:rPr>
          <w:b w:val="0"/>
        </w:rPr>
        <w:t xml:space="preserve"> </w:t>
      </w:r>
    </w:p>
    <w:p w14:paraId="1F55F1E2" w14:textId="77777777" w:rsidR="00852AC1" w:rsidRDefault="00852AC1">
      <w:pPr>
        <w:pStyle w:val="ListBullet"/>
      </w:pPr>
      <w:r>
        <w:t>The division is “full service.”</w:t>
      </w:r>
    </w:p>
    <w:p w14:paraId="3F2D3E7F" w14:textId="77777777" w:rsidR="002A21AE" w:rsidRDefault="002A21AE">
      <w:pPr>
        <w:pStyle w:val="ListBullet"/>
      </w:pPr>
      <w:r>
        <w:t>The unit and the user are in a blood bank in the same division.</w:t>
      </w:r>
    </w:p>
    <w:p w14:paraId="45C36E58" w14:textId="77777777" w:rsidR="002A21AE" w:rsidRDefault="002A21AE">
      <w:pPr>
        <w:pStyle w:val="ListBullet"/>
      </w:pPr>
      <w:r>
        <w:t>The unit is restricted for a patient.</w:t>
      </w:r>
    </w:p>
    <w:p w14:paraId="756D087F" w14:textId="77777777" w:rsidR="002A21AE" w:rsidRDefault="002A21AE">
      <w:pPr>
        <w:pStyle w:val="ListBullet"/>
      </w:pPr>
      <w:r>
        <w:t xml:space="preserve">The unit is not autologous. </w:t>
      </w:r>
    </w:p>
    <w:p w14:paraId="72EBEADE" w14:textId="77777777" w:rsidR="002A21AE" w:rsidRDefault="002A21AE">
      <w:pPr>
        <w:pStyle w:val="ListBullet"/>
      </w:pPr>
      <w:r>
        <w:t>The unit is not in a final status.</w:t>
      </w:r>
    </w:p>
    <w:p w14:paraId="5F9E34DE" w14:textId="77777777" w:rsidR="002A21AE" w:rsidRDefault="002A21AE">
      <w:pPr>
        <w:pStyle w:val="Heading4"/>
      </w:pPr>
      <w:r>
        <w:t xml:space="preserve">Outcome </w:t>
      </w:r>
    </w:p>
    <w:p w14:paraId="535F09FB" w14:textId="77777777" w:rsidR="002A21AE" w:rsidRDefault="002A21AE">
      <w:pPr>
        <w:pStyle w:val="ListBullet"/>
      </w:pPr>
      <w:r>
        <w:t>The unit has no restrictions.</w:t>
      </w:r>
    </w:p>
    <w:p w14:paraId="000EBA27" w14:textId="77777777" w:rsidR="002A21AE" w:rsidRDefault="002A21AE">
      <w:pPr>
        <w:pStyle w:val="ListBullet"/>
      </w:pPr>
      <w:r>
        <w:t>VBECS documents the restriction and its removal in the unit record.</w:t>
      </w:r>
    </w:p>
    <w:p w14:paraId="24EF7E75" w14:textId="77777777" w:rsidR="00561829" w:rsidRDefault="00561829" w:rsidP="00561829">
      <w:pPr>
        <w:pStyle w:val="ListBullet"/>
      </w:pPr>
      <w:r>
        <w:t>If workload codes are assigned for this process, workload-related data collected as the result of this process are stored for inclusion in Workload Reports.</w:t>
      </w:r>
    </w:p>
    <w:p w14:paraId="50082716" w14:textId="77777777" w:rsidR="002A21AE" w:rsidRDefault="007A4F14">
      <w:pPr>
        <w:pStyle w:val="Heading4"/>
      </w:pPr>
      <w:r>
        <w:br w:type="page"/>
      </w:r>
      <w:r w:rsidR="002A21AE">
        <w:lastRenderedPageBreak/>
        <w:t>Limitations and Restrictions</w:t>
      </w:r>
      <w:r w:rsidR="002A21AE">
        <w:rPr>
          <w:b w:val="0"/>
        </w:rPr>
        <w:t xml:space="preserve"> </w:t>
      </w:r>
    </w:p>
    <w:p w14:paraId="63D04451" w14:textId="77777777" w:rsidR="002A21AE" w:rsidRDefault="002A21AE">
      <w:pPr>
        <w:pStyle w:val="ListBullet"/>
      </w:pPr>
      <w:r>
        <w:t xml:space="preserve">The unit must not be in a final status to release the restriction. </w:t>
      </w:r>
    </w:p>
    <w:p w14:paraId="47D9D049" w14:textId="77777777" w:rsidR="002A21AE" w:rsidRDefault="002A21AE">
      <w:pPr>
        <w:pStyle w:val="ListBullet"/>
      </w:pPr>
      <w:r>
        <w:t>This option does not allow the removal of patient restrictions for most of the ISBT donation types that are eligible for crossover</w:t>
      </w:r>
      <w:r w:rsidR="00651291">
        <w:t>.</w:t>
      </w:r>
    </w:p>
    <w:p w14:paraId="0A1859D6" w14:textId="77777777" w:rsidR="002A21AE" w:rsidRDefault="002A21AE">
      <w:pPr>
        <w:pStyle w:val="ListBullet"/>
      </w:pPr>
      <w:r>
        <w:t>This option cannot process multiple directed units simultaneously.</w:t>
      </w:r>
    </w:p>
    <w:p w14:paraId="633B2DFF" w14:textId="77777777" w:rsidR="002A21AE" w:rsidRDefault="002A21AE">
      <w:pPr>
        <w:pStyle w:val="Heading4"/>
      </w:pPr>
      <w:r>
        <w:t xml:space="preserve">Additional Information </w:t>
      </w:r>
    </w:p>
    <w:p w14:paraId="706085DF" w14:textId="736012C7" w:rsidR="00852AC1" w:rsidRPr="00852AC1" w:rsidRDefault="00852AC1" w:rsidP="00852AC1">
      <w:pPr>
        <w:pStyle w:val="ListBullet"/>
      </w:pPr>
      <w:r w:rsidRPr="00852AC1">
        <w:rPr>
          <w:snapToGrid w:val="0"/>
          <w:vanish/>
        </w:rPr>
        <w:t>BR_</w:t>
      </w:r>
      <w:r w:rsidR="00F63A03">
        <w:rPr>
          <w:snapToGrid w:val="0"/>
          <w:vanish/>
        </w:rPr>
        <w:t>2.43</w:t>
      </w:r>
      <w:r>
        <w:rPr>
          <w:snapToGrid w:val="0"/>
        </w:rPr>
        <w:t xml:space="preserve">This option is disabled for transfusion-only facilities. </w:t>
      </w:r>
    </w:p>
    <w:p w14:paraId="41FCADFA" w14:textId="77777777" w:rsidR="002A21AE" w:rsidRDefault="002A21AE">
      <w:pPr>
        <w:pStyle w:val="Heading4"/>
        <w:rPr>
          <w:b w:val="0"/>
        </w:rPr>
      </w:pPr>
      <w:r>
        <w:t>User Roles with Access to This Option</w:t>
      </w:r>
      <w:r>
        <w:rPr>
          <w:b w:val="0"/>
        </w:rPr>
        <w:t xml:space="preserve"> </w:t>
      </w:r>
    </w:p>
    <w:p w14:paraId="15AB344D" w14:textId="77777777" w:rsidR="002A21AE" w:rsidRDefault="00CD2BE3">
      <w:pPr>
        <w:pStyle w:val="Roles"/>
        <w:rPr>
          <w:snapToGrid w:val="0"/>
        </w:rPr>
      </w:pPr>
      <w:r w:rsidRPr="00EC7489">
        <w:rPr>
          <w:rFonts w:ascii="Wingdings 3" w:hAnsi="Wingdings 3" w:cs="Wingdings"/>
        </w:rPr>
        <w:t></w:t>
      </w:r>
      <w:r w:rsidRPr="00EC7489">
        <w:rPr>
          <w:rFonts w:ascii="Wingdings 3" w:hAnsi="Wingdings 3" w:cs="Wingdings"/>
        </w:rPr>
        <w:t></w:t>
      </w:r>
      <w:r>
        <w:t xml:space="preserve"> Enhanced Technologist</w:t>
      </w:r>
    </w:p>
    <w:p w14:paraId="640237B3" w14:textId="77777777" w:rsidR="002A21AE" w:rsidRDefault="002A21AE">
      <w:pPr>
        <w:pStyle w:val="Heading4"/>
      </w:pPr>
      <w:r>
        <w:t>Free Directed Unit For Crossover</w:t>
      </w:r>
    </w:p>
    <w:p w14:paraId="441FC40A" w14:textId="77777777" w:rsidR="002A21AE" w:rsidRDefault="002A21AE" w:rsidP="00FA7E65">
      <w:pPr>
        <w:pStyle w:val="BodyText"/>
      </w:pPr>
      <w:r>
        <w:t>The user releases the restriction on a directed donor unit to make the unit available in general inventory.</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0200BF2E" w14:textId="77777777">
        <w:trPr>
          <w:cantSplit/>
          <w:tblHeader/>
        </w:trPr>
        <w:tc>
          <w:tcPr>
            <w:tcW w:w="3240" w:type="dxa"/>
            <w:shd w:val="pct30" w:color="auto" w:fill="FFFFFF"/>
            <w:vAlign w:val="bottom"/>
          </w:tcPr>
          <w:p w14:paraId="11B090B2" w14:textId="77777777" w:rsidR="002A21AE" w:rsidRDefault="002A21AE">
            <w:pPr>
              <w:pStyle w:val="TableText"/>
              <w:rPr>
                <w:b/>
              </w:rPr>
            </w:pPr>
            <w:r>
              <w:rPr>
                <w:b/>
              </w:rPr>
              <w:t>User Action</w:t>
            </w:r>
          </w:p>
        </w:tc>
        <w:tc>
          <w:tcPr>
            <w:tcW w:w="6120" w:type="dxa"/>
            <w:shd w:val="pct30" w:color="auto" w:fill="FFFFFF"/>
            <w:vAlign w:val="bottom"/>
          </w:tcPr>
          <w:p w14:paraId="3DABC711" w14:textId="77777777" w:rsidR="002A21AE" w:rsidRDefault="002A21AE">
            <w:pPr>
              <w:pStyle w:val="TableText"/>
              <w:rPr>
                <w:b/>
              </w:rPr>
            </w:pPr>
            <w:r>
              <w:rPr>
                <w:b/>
              </w:rPr>
              <w:t>VBECS</w:t>
            </w:r>
          </w:p>
        </w:tc>
      </w:tr>
      <w:tr w:rsidR="002A21AE" w14:paraId="5937371E" w14:textId="77777777">
        <w:tc>
          <w:tcPr>
            <w:tcW w:w="3240" w:type="dxa"/>
          </w:tcPr>
          <w:p w14:paraId="71B2FFAE" w14:textId="77777777" w:rsidR="002A21AE" w:rsidRDefault="002A21AE">
            <w:pPr>
              <w:pStyle w:val="TableTextNumbers"/>
            </w:pPr>
            <w:r>
              <w:t xml:space="preserve">Select </w:t>
            </w:r>
            <w:r>
              <w:rPr>
                <w:b/>
              </w:rPr>
              <w:t xml:space="preserve">Blood Units </w:t>
            </w:r>
            <w:r>
              <w:t>from the main menu.</w:t>
            </w:r>
          </w:p>
          <w:p w14:paraId="7B07AA59" w14:textId="77777777" w:rsidR="002A21AE" w:rsidRDefault="002A21AE">
            <w:pPr>
              <w:pStyle w:val="TableTextNumbersContinued"/>
            </w:pPr>
          </w:p>
          <w:p w14:paraId="701F1E14" w14:textId="77777777" w:rsidR="002A21AE" w:rsidRDefault="002A21AE">
            <w:pPr>
              <w:pStyle w:val="TableTextNumbersContinued"/>
            </w:pPr>
            <w:r>
              <w:t xml:space="preserve">Select </w:t>
            </w:r>
            <w:r>
              <w:rPr>
                <w:b/>
              </w:rPr>
              <w:t xml:space="preserve">Free Directed Unit </w:t>
            </w:r>
            <w:r w:rsidR="008251CD">
              <w:rPr>
                <w:b/>
              </w:rPr>
              <w:t>F</w:t>
            </w:r>
            <w:r>
              <w:rPr>
                <w:b/>
              </w:rPr>
              <w:t>or Crossover</w:t>
            </w:r>
            <w:r>
              <w:t>.</w:t>
            </w:r>
          </w:p>
        </w:tc>
        <w:tc>
          <w:tcPr>
            <w:tcW w:w="6120" w:type="dxa"/>
          </w:tcPr>
          <w:p w14:paraId="74D1C7F1" w14:textId="77777777" w:rsidR="002A21AE" w:rsidRDefault="002A21AE">
            <w:pPr>
              <w:pStyle w:val="TableTextBullet"/>
            </w:pPr>
            <w:r>
              <w:t>Displays options for processing units.</w:t>
            </w:r>
          </w:p>
          <w:p w14:paraId="2EF0714C" w14:textId="77777777" w:rsidR="002A21AE" w:rsidRDefault="002A21AE">
            <w:pPr>
              <w:pStyle w:val="TableTextBullet"/>
            </w:pPr>
            <w:r>
              <w:t>Prompts the user to scan or enter the unit ID and product code.</w:t>
            </w:r>
          </w:p>
        </w:tc>
      </w:tr>
      <w:tr w:rsidR="002A21AE" w14:paraId="09017B1F" w14:textId="77777777">
        <w:tc>
          <w:tcPr>
            <w:tcW w:w="3240" w:type="dxa"/>
          </w:tcPr>
          <w:p w14:paraId="364A50D1" w14:textId="77777777" w:rsidR="002A21AE" w:rsidRDefault="002A21AE">
            <w:pPr>
              <w:pStyle w:val="TableTextNumbers"/>
            </w:pPr>
            <w:r>
              <w:t>Scan or enter the unit ID and product code for each unit.</w:t>
            </w:r>
          </w:p>
        </w:tc>
        <w:tc>
          <w:tcPr>
            <w:tcW w:w="6120" w:type="dxa"/>
          </w:tcPr>
          <w:p w14:paraId="5C0B3060" w14:textId="77777777" w:rsidR="002A21AE" w:rsidRDefault="002A21AE">
            <w:pPr>
              <w:pStyle w:val="TableTextBullet"/>
            </w:pPr>
            <w:r>
              <w:t>Displays the unit information.</w:t>
            </w:r>
          </w:p>
          <w:p w14:paraId="344BB389" w14:textId="77777777" w:rsidR="002A21AE" w:rsidRDefault="002A21AE">
            <w:pPr>
              <w:pStyle w:val="TableText"/>
            </w:pPr>
          </w:p>
          <w:p w14:paraId="57334E62" w14:textId="245D1B66" w:rsidR="002A21AE" w:rsidRDefault="002A21AE">
            <w:pPr>
              <w:pStyle w:val="TableText"/>
              <w:rPr>
                <w:b/>
                <w:bCs/>
                <w:szCs w:val="18"/>
              </w:rPr>
            </w:pPr>
            <w:r>
              <w:rPr>
                <w:b/>
                <w:bCs/>
                <w:szCs w:val="18"/>
              </w:rPr>
              <w:t>NOTES</w:t>
            </w:r>
          </w:p>
          <w:p w14:paraId="6652E79B" w14:textId="77777777" w:rsidR="002A21AE" w:rsidRDefault="002A21AE">
            <w:pPr>
              <w:pStyle w:val="NotesText"/>
            </w:pPr>
          </w:p>
          <w:p w14:paraId="158C15A1" w14:textId="77777777" w:rsidR="002A21AE" w:rsidRDefault="002A21AE">
            <w:pPr>
              <w:pStyle w:val="NotesText"/>
            </w:pPr>
            <w:r>
              <w:t>When a user adds a directed unit to an undirected pool, VBECS queries the user regarding releasing the unit’s restriction.</w:t>
            </w:r>
          </w:p>
          <w:p w14:paraId="3A267FAE" w14:textId="77777777" w:rsidR="002A21AE" w:rsidRDefault="002A21AE">
            <w:pPr>
              <w:pStyle w:val="NotesText"/>
            </w:pPr>
          </w:p>
          <w:p w14:paraId="1F74EA27" w14:textId="3FBA00E0" w:rsidR="00FD7E6B" w:rsidRDefault="002A21AE" w:rsidP="00FD7E6B">
            <w:pPr>
              <w:pStyle w:val="NotesText"/>
            </w:pPr>
            <w:r w:rsidRPr="00896F17">
              <w:rPr>
                <w:rStyle w:val="BullhornChar"/>
              </w:rPr>
              <w:t></w:t>
            </w:r>
            <w:r>
              <w:t xml:space="preserve"> </w:t>
            </w:r>
            <w:r>
              <w:rPr>
                <w:rFonts w:cs="Arial"/>
                <w:vanish/>
              </w:rPr>
              <w:t>BR_71.01</w:t>
            </w:r>
            <w:r w:rsidR="002D770B">
              <w:rPr>
                <w:rFonts w:cs="Arial"/>
                <w:vanish/>
              </w:rPr>
              <w:t xml:space="preserve"> </w:t>
            </w:r>
            <w:r>
              <w:t>The unit must have a donation type of</w:t>
            </w:r>
            <w:r w:rsidR="00FD7E6B">
              <w:t xml:space="preserve"> one of the following:</w:t>
            </w:r>
          </w:p>
          <w:p w14:paraId="73C5183E" w14:textId="634795E2" w:rsidR="00FD7E6B" w:rsidRDefault="002A21AE" w:rsidP="005E17F4">
            <w:pPr>
              <w:pStyle w:val="NotesText"/>
              <w:numPr>
                <w:ilvl w:val="0"/>
                <w:numId w:val="82"/>
              </w:numPr>
            </w:pPr>
            <w:r>
              <w:t>Volunteer Directed</w:t>
            </w:r>
            <w:r w:rsidR="00FD7E6B">
              <w:t>, Eligible for Crossover</w:t>
            </w:r>
          </w:p>
          <w:p w14:paraId="3D1ACD08" w14:textId="0832F438" w:rsidR="00FD7E6B" w:rsidRDefault="00D77462" w:rsidP="005E17F4">
            <w:pPr>
              <w:pStyle w:val="NotesText"/>
              <w:numPr>
                <w:ilvl w:val="0"/>
                <w:numId w:val="82"/>
              </w:numPr>
            </w:pPr>
            <w:r>
              <w:t>Dedicated/Designated</w:t>
            </w:r>
            <w:r w:rsidR="0078306A">
              <w:t>/</w:t>
            </w:r>
            <w:r w:rsidR="002A21AE">
              <w:t>E</w:t>
            </w:r>
            <w:r>
              <w:t>l</w:t>
            </w:r>
            <w:r w:rsidR="00345379">
              <w:t>g</w:t>
            </w:r>
            <w:r>
              <w:t>b</w:t>
            </w:r>
            <w:r w:rsidR="002A21AE">
              <w:t xml:space="preserve"> for Crossover</w:t>
            </w:r>
          </w:p>
          <w:p w14:paraId="6A646B26" w14:textId="77777777" w:rsidR="00FD7E6B" w:rsidRDefault="002D770B" w:rsidP="005E17F4">
            <w:pPr>
              <w:pStyle w:val="NotesText"/>
              <w:numPr>
                <w:ilvl w:val="0"/>
                <w:numId w:val="82"/>
              </w:numPr>
            </w:pPr>
            <w:r>
              <w:t>Family Reserved</w:t>
            </w:r>
            <w:r w:rsidR="002A21AE">
              <w:t>.</w:t>
            </w:r>
          </w:p>
          <w:p w14:paraId="71FD06E8" w14:textId="31A38CFC" w:rsidR="002A21AE" w:rsidRDefault="002A21AE">
            <w:pPr>
              <w:pStyle w:val="NotesText"/>
            </w:pPr>
            <w:r>
              <w:t>If not, VBECS warns that the unit has an invalid donation type and is in a final status.</w:t>
            </w:r>
            <w:r w:rsidR="000A70BE">
              <w:t xml:space="preserve"> The unit must not be autologous.</w:t>
            </w:r>
            <w:r>
              <w:t xml:space="preserve">” </w:t>
            </w:r>
          </w:p>
          <w:p w14:paraId="12FEE42D" w14:textId="77777777" w:rsidR="002A21AE" w:rsidRDefault="002A21AE">
            <w:pPr>
              <w:pStyle w:val="NotesText"/>
            </w:pPr>
          </w:p>
          <w:p w14:paraId="5784496B" w14:textId="77777777" w:rsidR="002A21AE" w:rsidRDefault="002A21AE">
            <w:pPr>
              <w:pStyle w:val="NotesText"/>
            </w:pPr>
            <w:r w:rsidRPr="00896F17">
              <w:rPr>
                <w:rStyle w:val="BullhornChar"/>
              </w:rPr>
              <w:t></w:t>
            </w:r>
            <w:r>
              <w:rPr>
                <w:vanish/>
                <w:szCs w:val="18"/>
              </w:rPr>
              <w:t>BR_71.03</w:t>
            </w:r>
            <w:r>
              <w:t xml:space="preserve"> The unit must not be assigned to a patient to release the restriction. VBECS warns that the unit is currently assigned and that he must release the assignment before continuing.</w:t>
            </w:r>
          </w:p>
        </w:tc>
      </w:tr>
      <w:tr w:rsidR="002A21AE" w14:paraId="0F0FBACA" w14:textId="77777777">
        <w:tc>
          <w:tcPr>
            <w:tcW w:w="3240" w:type="dxa"/>
          </w:tcPr>
          <w:p w14:paraId="18DD014C" w14:textId="5276ACB7" w:rsidR="002A21AE" w:rsidRDefault="002A21AE">
            <w:pPr>
              <w:pStyle w:val="TableTextNumbers"/>
            </w:pPr>
            <w:r>
              <w:t>Enter a date and time and possibly a different user, or accept the defaults</w:t>
            </w:r>
            <w:r w:rsidR="000860BB">
              <w:t xml:space="preserve"> (</w:t>
            </w:r>
            <w:r w:rsidR="00EE455E">
              <w:t xml:space="preserve">Figure </w:t>
            </w:r>
            <w:r w:rsidR="00EE455E">
              <w:rPr>
                <w:noProof/>
              </w:rPr>
              <w:t>67</w:t>
            </w:r>
            <w:r w:rsidR="000860BB">
              <w:t>)</w:t>
            </w:r>
            <w:r>
              <w:t>.</w:t>
            </w:r>
          </w:p>
          <w:p w14:paraId="71877A74" w14:textId="77777777" w:rsidR="002A21AE" w:rsidRDefault="002A21AE">
            <w:pPr>
              <w:pStyle w:val="TableTextNumbersContinued"/>
            </w:pPr>
          </w:p>
          <w:p w14:paraId="757196AB" w14:textId="77777777" w:rsidR="002A21AE" w:rsidRDefault="002A21AE">
            <w:pPr>
              <w:pStyle w:val="TableTextNumbersContinued"/>
            </w:pPr>
            <w:r>
              <w:t>Enter the required comment.</w:t>
            </w:r>
          </w:p>
        </w:tc>
        <w:tc>
          <w:tcPr>
            <w:tcW w:w="6120" w:type="dxa"/>
          </w:tcPr>
          <w:p w14:paraId="21AE18EE" w14:textId="77777777" w:rsidR="002A21AE" w:rsidRDefault="002A21AE">
            <w:pPr>
              <w:pStyle w:val="TableTextBullet"/>
            </w:pPr>
            <w:r>
              <w:t>Displays the unit information.</w:t>
            </w:r>
          </w:p>
          <w:p w14:paraId="2EFF3136" w14:textId="14C388FE" w:rsidR="002A21AE" w:rsidRDefault="002A21AE">
            <w:pPr>
              <w:pStyle w:val="TableTextBullet"/>
            </w:pPr>
            <w:r>
              <w:rPr>
                <w:vanish/>
                <w:szCs w:val="18"/>
              </w:rPr>
              <w:t xml:space="preserve">BR_71.04 </w:t>
            </w:r>
            <w:r w:rsidR="00451640">
              <w:t>R</w:t>
            </w:r>
            <w:r w:rsidR="00523215">
              <w:t>equires</w:t>
            </w:r>
            <w:r>
              <w:t xml:space="preserve"> a comment, and captures details for inclusion in an Exception Report (exception type: released patient restriction). </w:t>
            </w:r>
          </w:p>
        </w:tc>
      </w:tr>
      <w:tr w:rsidR="00F9533F" w14:paraId="2BC064E8" w14:textId="77777777">
        <w:tc>
          <w:tcPr>
            <w:tcW w:w="3240" w:type="dxa"/>
          </w:tcPr>
          <w:p w14:paraId="697D8683" w14:textId="77777777" w:rsidR="00F9533F" w:rsidRDefault="00F9533F" w:rsidP="00FA7E65">
            <w:pPr>
              <w:pStyle w:val="TableTextNumbers"/>
            </w:pPr>
            <w:r>
              <w:t xml:space="preserve">Click </w:t>
            </w:r>
            <w:r>
              <w:rPr>
                <w:b/>
              </w:rPr>
              <w:t>OK</w:t>
            </w:r>
            <w:r>
              <w:t xml:space="preserve"> to process the unit and add it to available inventory.</w:t>
            </w:r>
          </w:p>
        </w:tc>
        <w:tc>
          <w:tcPr>
            <w:tcW w:w="6120" w:type="dxa"/>
          </w:tcPr>
          <w:p w14:paraId="0F9E3319" w14:textId="77777777" w:rsidR="00F9533F" w:rsidRDefault="00F9533F" w:rsidP="00FA7E65">
            <w:pPr>
              <w:pStyle w:val="TableTextBullet"/>
            </w:pPr>
            <w:r>
              <w:t xml:space="preserve">Displays the return time, the editable (past date and time) field (default: current date and time), and the list of users for selection. </w:t>
            </w:r>
          </w:p>
          <w:p w14:paraId="431B01F3" w14:textId="77777777" w:rsidR="00F9533F" w:rsidRDefault="00F9533F" w:rsidP="00F9533F">
            <w:pPr>
              <w:pStyle w:val="TableTextBullet"/>
            </w:pPr>
            <w:r>
              <w:t xml:space="preserve">Saves the information to the database. </w:t>
            </w:r>
          </w:p>
          <w:p w14:paraId="7E26A622" w14:textId="77777777" w:rsidR="00F9533F" w:rsidRDefault="00F9533F" w:rsidP="00F9533F">
            <w:pPr>
              <w:pStyle w:val="TableTextBullet"/>
            </w:pPr>
            <w:r>
              <w:t>Changes the donation type of the unit to “Voluntary Allogeneic” and removes the restriction associated with the unit.</w:t>
            </w:r>
          </w:p>
        </w:tc>
      </w:tr>
      <w:tr w:rsidR="002A21AE" w14:paraId="55CFB1CD" w14:textId="77777777">
        <w:tc>
          <w:tcPr>
            <w:tcW w:w="3240" w:type="dxa"/>
          </w:tcPr>
          <w:p w14:paraId="0EEBEA2E" w14:textId="77777777" w:rsidR="002A21AE" w:rsidRDefault="008251CD" w:rsidP="00F9533F">
            <w:pPr>
              <w:pStyle w:val="TableTextNumbers"/>
            </w:pPr>
            <w:r>
              <w:t xml:space="preserve">Click </w:t>
            </w:r>
            <w:r w:rsidRPr="008251CD">
              <w:rPr>
                <w:b/>
              </w:rPr>
              <w:t>Yes</w:t>
            </w:r>
            <w:r>
              <w:t xml:space="preserve"> to confirm</w:t>
            </w:r>
            <w:r w:rsidR="00F9533F">
              <w:t xml:space="preserve"> the save</w:t>
            </w:r>
            <w:r w:rsidR="002A21AE">
              <w:t xml:space="preserve">. </w:t>
            </w:r>
            <w:r w:rsidR="002A21AE">
              <w:rPr>
                <w:rStyle w:val="TableTextNumbersChar"/>
                <w:vanish/>
                <w:color w:val="FFFFFF"/>
                <w:szCs w:val="18"/>
              </w:rPr>
              <w:fldChar w:fldCharType="begin"/>
            </w:r>
            <w:r w:rsidR="002A21AE">
              <w:rPr>
                <w:rStyle w:val="TableTextNumbersChar"/>
                <w:vanish/>
                <w:color w:val="FFFFFF"/>
                <w:szCs w:val="18"/>
              </w:rPr>
              <w:instrText xml:space="preserve"> LISTNUM \l 1 \s 0 </w:instrText>
            </w:r>
            <w:r w:rsidR="002A21AE">
              <w:rPr>
                <w:rStyle w:val="TableTextNumbersChar"/>
                <w:vanish/>
                <w:color w:val="FFFFFF"/>
                <w:szCs w:val="18"/>
              </w:rPr>
              <w:fldChar w:fldCharType="end">
                <w:numberingChange w:id="390" w:author="MUSZYNSKI, THOMAS D. (SIERRA 7 INC)" w:date="2024-11-26T07:15:00Z" w:original="0."/>
              </w:fldChar>
            </w:r>
          </w:p>
        </w:tc>
        <w:tc>
          <w:tcPr>
            <w:tcW w:w="6120" w:type="dxa"/>
          </w:tcPr>
          <w:p w14:paraId="0B83AEA5" w14:textId="77777777" w:rsidR="002A21AE" w:rsidRDefault="002A21AE" w:rsidP="00771DBD">
            <w:pPr>
              <w:pStyle w:val="TableText"/>
            </w:pPr>
          </w:p>
        </w:tc>
      </w:tr>
    </w:tbl>
    <w:p w14:paraId="1BE4F8B7" w14:textId="5AAE1428" w:rsidR="000860BB" w:rsidRDefault="000860BB" w:rsidP="000860BB">
      <w:pPr>
        <w:pStyle w:val="Caption"/>
      </w:pPr>
      <w:bookmarkStart w:id="391" w:name="_Ref126653339"/>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7D1829">
        <w:rPr>
          <w:noProof/>
        </w:rPr>
        <w:t>68</w:t>
      </w:r>
      <w:r w:rsidR="004E20BD">
        <w:rPr>
          <w:noProof/>
        </w:rPr>
        <w:fldChar w:fldCharType="end"/>
      </w:r>
      <w:bookmarkEnd w:id="391"/>
      <w:r>
        <w:t xml:space="preserve">: Free Directed Unit </w:t>
      </w:r>
      <w:r w:rsidR="00F927FC">
        <w:t>F</w:t>
      </w:r>
      <w:r>
        <w:t>or Crossover</w:t>
      </w:r>
    </w:p>
    <w:p w14:paraId="3A2645E5" w14:textId="7D5D6157" w:rsidR="000860BB" w:rsidRDefault="00F927FC" w:rsidP="000860BB">
      <w:pPr>
        <w:pStyle w:val="BodyText"/>
      </w:pPr>
      <w:r>
        <w:rPr>
          <w:noProof/>
        </w:rPr>
        <w:drawing>
          <wp:inline distT="0" distB="0" distL="0" distR="0" wp14:anchorId="353E8F30" wp14:editId="3F599967">
            <wp:extent cx="5943600" cy="3772535"/>
            <wp:effectExtent l="0" t="0" r="0" b="0"/>
            <wp:docPr id="177" name="Picture 177" descr="Example of Free Directed Unit For Crossover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Picture 72" descr="Example of Free Directed Unit For Crossover screen capture"/>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5943600" cy="3772535"/>
                    </a:xfrm>
                    <a:prstGeom prst="rect">
                      <a:avLst/>
                    </a:prstGeom>
                    <a:noFill/>
                    <a:ln>
                      <a:noFill/>
                    </a:ln>
                  </pic:spPr>
                </pic:pic>
              </a:graphicData>
            </a:graphic>
          </wp:inline>
        </w:drawing>
      </w:r>
    </w:p>
    <w:p w14:paraId="69542B9E" w14:textId="77777777" w:rsidR="002A21AE" w:rsidRDefault="002A21AE">
      <w:pPr>
        <w:pStyle w:val="Heading3"/>
      </w:pPr>
      <w:bookmarkStart w:id="392" w:name="_Toc203765897"/>
      <w:r>
        <w:t>Discard or Quarantine</w:t>
      </w:r>
      <w:bookmarkEnd w:id="392"/>
      <w:r w:rsidRPr="007716F7">
        <w:rPr>
          <w:vanish/>
        </w:rPr>
        <w:fldChar w:fldCharType="begin"/>
      </w:r>
      <w:r w:rsidRPr="007716F7">
        <w:rPr>
          <w:vanish/>
        </w:rPr>
        <w:instrText xml:space="preserve"> XE </w:instrText>
      </w:r>
      <w:r w:rsidR="00FA7E65" w:rsidRPr="007716F7">
        <w:rPr>
          <w:vanish/>
        </w:rPr>
        <w:instrText>“</w:instrText>
      </w:r>
      <w:r w:rsidRPr="007716F7">
        <w:rPr>
          <w:vanish/>
        </w:rPr>
        <w:instrText>Discard or Quarantine</w:instrText>
      </w:r>
      <w:r w:rsidR="00FA7E65" w:rsidRPr="007716F7">
        <w:rPr>
          <w:vanish/>
        </w:rPr>
        <w:instrText>”</w:instrText>
      </w:r>
      <w:r w:rsidRPr="007716F7">
        <w:rPr>
          <w:vanish/>
        </w:rPr>
        <w:instrText xml:space="preserve"> </w:instrText>
      </w:r>
      <w:r w:rsidRPr="007716F7">
        <w:rPr>
          <w:vanish/>
        </w:rPr>
        <w:fldChar w:fldCharType="end"/>
      </w:r>
      <w:r w:rsidRPr="007716F7">
        <w:rPr>
          <w:vanish/>
        </w:rPr>
        <w:t xml:space="preserve"> UC_27</w:t>
      </w:r>
    </w:p>
    <w:p w14:paraId="5D1A4CE6" w14:textId="77777777" w:rsidR="002A21AE" w:rsidRDefault="002A21AE" w:rsidP="00FA7E65">
      <w:pPr>
        <w:pStyle w:val="BodyText"/>
      </w:pPr>
      <w:r>
        <w:t>The user discards, quarantines, or releases from quarantine one or more units of blood.</w:t>
      </w:r>
    </w:p>
    <w:p w14:paraId="55050119" w14:textId="77777777" w:rsidR="002A21AE" w:rsidRDefault="002A21AE">
      <w:pPr>
        <w:pStyle w:val="Heading4"/>
      </w:pPr>
      <w:r>
        <w:t>Assumptions</w:t>
      </w:r>
      <w:r>
        <w:rPr>
          <w:b w:val="0"/>
        </w:rPr>
        <w:t xml:space="preserve"> </w:t>
      </w:r>
    </w:p>
    <w:p w14:paraId="3C080B5A" w14:textId="77777777" w:rsidR="002A21AE" w:rsidRDefault="002A21AE">
      <w:pPr>
        <w:pStyle w:val="ListBullet"/>
      </w:pPr>
      <w:r>
        <w:t>The unit of blood is in the same division as the user.</w:t>
      </w:r>
    </w:p>
    <w:p w14:paraId="1BA84B6C" w14:textId="77777777" w:rsidR="002A21AE" w:rsidRDefault="002A21AE">
      <w:pPr>
        <w:pStyle w:val="Heading4"/>
      </w:pPr>
      <w:r>
        <w:t xml:space="preserve">Outcome </w:t>
      </w:r>
    </w:p>
    <w:p w14:paraId="22622BE7" w14:textId="77777777" w:rsidR="002A21AE" w:rsidRDefault="00AE3CC7">
      <w:pPr>
        <w:pStyle w:val="ListBullet"/>
      </w:pPr>
      <w:r>
        <w:rPr>
          <w:noProof/>
        </w:rPr>
        <w:t>Discarded</w:t>
      </w:r>
      <w:r w:rsidR="002A21AE">
        <w:t xml:space="preserve"> units are not available.</w:t>
      </w:r>
    </w:p>
    <w:p w14:paraId="2B3B0334" w14:textId="77777777" w:rsidR="002A21AE" w:rsidRDefault="002A21AE">
      <w:pPr>
        <w:pStyle w:val="ListBullet"/>
      </w:pPr>
      <w:r>
        <w:t>Quarantined units are available for limited processing, not for patient assignment.</w:t>
      </w:r>
    </w:p>
    <w:p w14:paraId="11F6A3E8" w14:textId="77777777" w:rsidR="002A21AE" w:rsidRDefault="002A21AE">
      <w:pPr>
        <w:pStyle w:val="ListBullet"/>
      </w:pPr>
      <w:r>
        <w:t>Units release</w:t>
      </w:r>
      <w:r>
        <w:rPr>
          <w:noProof/>
        </w:rPr>
        <w:t>d from quarantine are available.</w:t>
      </w:r>
    </w:p>
    <w:p w14:paraId="0A5F69F9" w14:textId="77777777" w:rsidR="00561829" w:rsidRDefault="00561829" w:rsidP="00561829">
      <w:pPr>
        <w:pStyle w:val="ListBullet"/>
      </w:pPr>
      <w:r>
        <w:t>If workload codes are assigned for this process, workload-related data collected as the result of this process are stored for inclusion in Workload Reports.</w:t>
      </w:r>
    </w:p>
    <w:p w14:paraId="3DFAAFBB" w14:textId="77777777" w:rsidR="002A21AE" w:rsidRDefault="002A21AE">
      <w:pPr>
        <w:pStyle w:val="Heading4"/>
        <w:rPr>
          <w:b w:val="0"/>
        </w:rPr>
      </w:pPr>
      <w:r>
        <w:t>Limitations and Restrictions</w:t>
      </w:r>
      <w:r>
        <w:rPr>
          <w:b w:val="0"/>
        </w:rPr>
        <w:t xml:space="preserve"> </w:t>
      </w:r>
    </w:p>
    <w:p w14:paraId="55347877" w14:textId="37972374" w:rsidR="002A21AE" w:rsidRDefault="00581FC8" w:rsidP="00581FC8">
      <w:pPr>
        <w:pStyle w:val="ListBullet"/>
      </w:pPr>
      <w:r>
        <w:t xml:space="preserve">When a user retroactively updates a unit status through this option, the Unit History Report displays the updated information, but does not display the date the change was made. </w:t>
      </w:r>
    </w:p>
    <w:p w14:paraId="3C37D802" w14:textId="43187321" w:rsidR="007E64EF" w:rsidRDefault="00E73D6B" w:rsidP="007E64EF">
      <w:pPr>
        <w:pStyle w:val="ListBullet"/>
      </w:pPr>
      <w:r>
        <w:t xml:space="preserve">The </w:t>
      </w:r>
      <w:r w:rsidR="007E64EF" w:rsidRPr="007E64EF">
        <w:t xml:space="preserve">option does not accommodate the entry of a second user for retrospective </w:t>
      </w:r>
      <w:r w:rsidR="00E36641">
        <w:t xml:space="preserve">data </w:t>
      </w:r>
      <w:r w:rsidR="007E64EF" w:rsidRPr="007E64EF">
        <w:t>entry.</w:t>
      </w:r>
      <w:r w:rsidR="00EF7C8A">
        <w:t xml:space="preserve"> </w:t>
      </w:r>
      <w:r w:rsidR="0063094B">
        <w:rPr>
          <w:vanish/>
        </w:rPr>
        <w:t>Defect</w:t>
      </w:r>
      <w:r w:rsidR="00EF7C8A" w:rsidRPr="00EF7C8A">
        <w:rPr>
          <w:vanish/>
        </w:rPr>
        <w:t xml:space="preserve"> 209008</w:t>
      </w:r>
    </w:p>
    <w:p w14:paraId="1C059A19" w14:textId="46B8A271" w:rsidR="00D141A2" w:rsidRDefault="00D141A2" w:rsidP="007E64EF">
      <w:pPr>
        <w:pStyle w:val="ListBullet"/>
      </w:pPr>
      <w:r>
        <w:t>Cost entry is capped at 999.</w:t>
      </w:r>
      <w:r w:rsidR="009E0A43">
        <w:t>00</w:t>
      </w:r>
      <w:r>
        <w:t xml:space="preserve">. </w:t>
      </w:r>
      <w:r w:rsidRPr="00D141A2">
        <w:rPr>
          <w:vanish/>
        </w:rPr>
        <w:t>Defect 942523</w:t>
      </w:r>
    </w:p>
    <w:p w14:paraId="58FE5DC6" w14:textId="77777777" w:rsidR="002A21AE" w:rsidRDefault="002A21AE">
      <w:pPr>
        <w:pStyle w:val="Heading4"/>
        <w:rPr>
          <w:b w:val="0"/>
        </w:rPr>
      </w:pPr>
      <w:r>
        <w:lastRenderedPageBreak/>
        <w:t>Additional Information</w:t>
      </w:r>
      <w:r>
        <w:rPr>
          <w:b w:val="0"/>
        </w:rPr>
        <w:t xml:space="preserve"> </w:t>
      </w:r>
    </w:p>
    <w:p w14:paraId="31604807" w14:textId="77777777" w:rsidR="002A21AE" w:rsidRDefault="002A21AE">
      <w:pPr>
        <w:pStyle w:val="ListBullet"/>
      </w:pPr>
      <w:r>
        <w:t xml:space="preserve">None </w:t>
      </w:r>
    </w:p>
    <w:p w14:paraId="55B7F8E0" w14:textId="77777777" w:rsidR="002A21AE" w:rsidRDefault="002A21AE">
      <w:pPr>
        <w:pStyle w:val="Heading4"/>
        <w:rPr>
          <w:snapToGrid w:val="0"/>
        </w:rPr>
      </w:pPr>
      <w:r>
        <w:rPr>
          <w:snapToGrid w:val="0"/>
        </w:rPr>
        <w:t>User Roles with Access to This Option</w:t>
      </w:r>
    </w:p>
    <w:p w14:paraId="0DD39C65" w14:textId="77777777" w:rsidR="00FC61FD" w:rsidRDefault="00FC61FD" w:rsidP="00FC61FD">
      <w:pPr>
        <w:pStyle w:val="Roles"/>
        <w:rPr>
          <w:snapToGrid w:val="0"/>
        </w:rPr>
      </w:pPr>
      <w:r>
        <w:rPr>
          <w:snapToGrid w:val="0"/>
        </w:rPr>
        <w:t>All users</w:t>
      </w:r>
    </w:p>
    <w:p w14:paraId="0A237B34" w14:textId="77777777" w:rsidR="008442AA" w:rsidRDefault="008442AA" w:rsidP="008442AA">
      <w:pPr>
        <w:pStyle w:val="Roles"/>
        <w:rPr>
          <w:rFonts w:ascii="Wingdings 3" w:hAnsi="Wingdings 3" w:cs="Wingdings"/>
        </w:rPr>
      </w:pPr>
      <w:r w:rsidRPr="00EC7489">
        <w:rPr>
          <w:rFonts w:ascii="Wingdings 3" w:hAnsi="Wingdings 3" w:cs="Wingdings"/>
        </w:rPr>
        <w:t></w:t>
      </w:r>
      <w:r w:rsidRPr="00EC7489">
        <w:rPr>
          <w:rFonts w:ascii="Wingdings 3" w:hAnsi="Wingdings 3" w:cs="Wingdings"/>
        </w:rPr>
        <w:t></w:t>
      </w:r>
      <w:r>
        <w:t xml:space="preserve"> Enhanced Technologist (release blood products from quarantine)</w:t>
      </w:r>
      <w:r>
        <w:rPr>
          <w:vanish/>
        </w:rPr>
        <w:t>BR_27.17</w:t>
      </w:r>
      <w:r>
        <w:t xml:space="preserve"> </w:t>
      </w:r>
    </w:p>
    <w:p w14:paraId="0E3A2953" w14:textId="77777777" w:rsidR="002A21AE" w:rsidRDefault="002A21AE">
      <w:pPr>
        <w:pStyle w:val="Heading4"/>
      </w:pPr>
      <w:r>
        <w:t>Discard or Quarantine</w:t>
      </w:r>
    </w:p>
    <w:p w14:paraId="685007CD" w14:textId="77777777" w:rsidR="002A21AE" w:rsidRDefault="002A21AE" w:rsidP="00FA7E65">
      <w:pPr>
        <w:pStyle w:val="BodyText"/>
      </w:pPr>
      <w:r>
        <w:t xml:space="preserve">The user changes the status (discard, quarantine, release from quarantine) of one or more units of blood. The user must indicate the ID and product code of the units to be updated. VBECS also allows batch data entry to process all units from an invoice. </w:t>
      </w:r>
    </w:p>
    <w:p w14:paraId="61483B95" w14:textId="77777777" w:rsidR="002A21AE" w:rsidRDefault="002A21AE" w:rsidP="00FA7E65">
      <w:pPr>
        <w:pStyle w:val="BodyText"/>
      </w:pPr>
      <w:r>
        <w:t xml:space="preserve">A quarantined unit has limited availability for continued processing. Under certain circumstances, VBECS assigns quarantine status automatically; otherwise, the user determines and enters the status. The user must </w:t>
      </w:r>
      <w:r w:rsidR="00D923F9">
        <w:t>specify</w:t>
      </w:r>
      <w:r>
        <w:t xml:space="preserve"> whether a discarded unit is for credit or for waste, which determines whether or not a return credit is assigned to the selected unit.</w:t>
      </w:r>
    </w:p>
    <w:p w14:paraId="2B22A37D" w14:textId="77777777" w:rsidR="007F12F1" w:rsidRDefault="007F12F1" w:rsidP="007F12F1">
      <w:pPr>
        <w:pStyle w:val="Heading4"/>
      </w:pPr>
      <w:r>
        <w:t>Discard or Quarantine Individual Units</w:t>
      </w:r>
      <w:r>
        <w:fldChar w:fldCharType="begin"/>
      </w:r>
      <w:r>
        <w:instrText xml:space="preserve"> XE "</w:instrText>
      </w:r>
      <w:r w:rsidRPr="00561E3F">
        <w:instrText>Discard or Quarantine Individual Units</w:instrText>
      </w:r>
      <w:r>
        <w:instrText xml:space="preserve">" </w:instrText>
      </w:r>
      <w:r>
        <w:fldChar w:fldCharType="end"/>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57D34E15" w14:textId="77777777">
        <w:trPr>
          <w:cantSplit/>
          <w:tblHeader/>
        </w:trPr>
        <w:tc>
          <w:tcPr>
            <w:tcW w:w="3240" w:type="dxa"/>
            <w:shd w:val="pct30" w:color="auto" w:fill="FFFFFF"/>
            <w:vAlign w:val="bottom"/>
          </w:tcPr>
          <w:p w14:paraId="6AE6BC83" w14:textId="77777777" w:rsidR="002A21AE" w:rsidRDefault="002A21AE">
            <w:pPr>
              <w:pStyle w:val="TableText"/>
              <w:rPr>
                <w:b/>
              </w:rPr>
            </w:pPr>
            <w:r>
              <w:rPr>
                <w:b/>
              </w:rPr>
              <w:t>User Action</w:t>
            </w:r>
          </w:p>
        </w:tc>
        <w:tc>
          <w:tcPr>
            <w:tcW w:w="6120" w:type="dxa"/>
            <w:shd w:val="pct30" w:color="auto" w:fill="FFFFFF"/>
            <w:vAlign w:val="bottom"/>
          </w:tcPr>
          <w:p w14:paraId="30DAE015" w14:textId="77777777" w:rsidR="002A21AE" w:rsidRDefault="002A21AE">
            <w:pPr>
              <w:pStyle w:val="TableText"/>
              <w:rPr>
                <w:b/>
              </w:rPr>
            </w:pPr>
            <w:r>
              <w:rPr>
                <w:b/>
              </w:rPr>
              <w:t>VBECS</w:t>
            </w:r>
          </w:p>
        </w:tc>
      </w:tr>
      <w:tr w:rsidR="002A21AE" w14:paraId="39FACC63" w14:textId="77777777">
        <w:tc>
          <w:tcPr>
            <w:tcW w:w="3240" w:type="dxa"/>
          </w:tcPr>
          <w:p w14:paraId="60676E44" w14:textId="77777777" w:rsidR="002A21AE" w:rsidRDefault="002A21AE">
            <w:pPr>
              <w:pStyle w:val="TableTextNumbers"/>
            </w:pPr>
            <w:r>
              <w:t xml:space="preserve">Select </w:t>
            </w:r>
            <w:r>
              <w:rPr>
                <w:b/>
              </w:rPr>
              <w:t>Blood Units</w:t>
            </w:r>
            <w:r>
              <w:t xml:space="preserve"> from the main menu.</w:t>
            </w:r>
          </w:p>
          <w:p w14:paraId="7AFE2375" w14:textId="77777777" w:rsidR="002A21AE" w:rsidRDefault="002A21AE">
            <w:pPr>
              <w:pStyle w:val="TableTextNumbersContinued"/>
            </w:pPr>
          </w:p>
          <w:p w14:paraId="02A329E8" w14:textId="77777777" w:rsidR="002A21AE" w:rsidRDefault="002A21AE">
            <w:pPr>
              <w:pStyle w:val="TableTextNumbersContinued"/>
            </w:pPr>
            <w:r>
              <w:t xml:space="preserve">Select </w:t>
            </w:r>
            <w:r>
              <w:rPr>
                <w:b/>
              </w:rPr>
              <w:t>Discard or Quarantine</w:t>
            </w:r>
            <w:r>
              <w:t>.</w:t>
            </w:r>
          </w:p>
        </w:tc>
        <w:tc>
          <w:tcPr>
            <w:tcW w:w="6120" w:type="dxa"/>
          </w:tcPr>
          <w:p w14:paraId="488B5A0F" w14:textId="77777777" w:rsidR="002A21AE" w:rsidRDefault="002A21AE">
            <w:pPr>
              <w:pStyle w:val="TableTextBullet"/>
            </w:pPr>
            <w:r>
              <w:t>Displays options for processing blood units.</w:t>
            </w:r>
          </w:p>
          <w:p w14:paraId="250AD4CF" w14:textId="77777777" w:rsidR="002A21AE" w:rsidRDefault="002A21AE">
            <w:pPr>
              <w:pStyle w:val="TableTextBullet"/>
            </w:pPr>
            <w:r>
              <w:t>Displays fields for entering unit information.</w:t>
            </w:r>
          </w:p>
          <w:p w14:paraId="2B92CE23" w14:textId="77777777" w:rsidR="002A21AE" w:rsidRDefault="002A21AE">
            <w:pPr>
              <w:pStyle w:val="TableTextBullet"/>
            </w:pPr>
            <w:r>
              <w:t xml:space="preserve">Allows </w:t>
            </w:r>
            <w:r w:rsidR="00CE0AAB">
              <w:t xml:space="preserve">the user to </w:t>
            </w:r>
            <w:r>
              <w:t>discard or quarantine</w:t>
            </w:r>
            <w:r w:rsidR="00CE0AAB">
              <w:t xml:space="preserve"> individual units</w:t>
            </w:r>
            <w:r>
              <w:t>.</w:t>
            </w:r>
          </w:p>
        </w:tc>
      </w:tr>
      <w:tr w:rsidR="002A21AE" w14:paraId="5C378C1E" w14:textId="77777777">
        <w:tc>
          <w:tcPr>
            <w:tcW w:w="3240" w:type="dxa"/>
          </w:tcPr>
          <w:p w14:paraId="657FCA3A" w14:textId="77777777" w:rsidR="002A21AE" w:rsidRDefault="002A21AE">
            <w:pPr>
              <w:pStyle w:val="TableTextNumbers"/>
            </w:pPr>
            <w:r>
              <w:t>Enter an ID and product code</w:t>
            </w:r>
            <w:r w:rsidR="009535FF">
              <w:t xml:space="preserve"> for a blood unit</w:t>
            </w:r>
            <w:r>
              <w:t>.</w:t>
            </w:r>
          </w:p>
        </w:tc>
        <w:tc>
          <w:tcPr>
            <w:tcW w:w="6120" w:type="dxa"/>
          </w:tcPr>
          <w:p w14:paraId="727E1239" w14:textId="77777777" w:rsidR="002A21AE" w:rsidRDefault="002A21AE">
            <w:pPr>
              <w:pStyle w:val="TableTextBullet"/>
            </w:pPr>
            <w:r>
              <w:t xml:space="preserve">When a unit is appropriate for processing, displays unit information, including the current status. </w:t>
            </w:r>
          </w:p>
          <w:p w14:paraId="698DF7E9" w14:textId="77777777" w:rsidR="002A21AE" w:rsidRDefault="002A21AE">
            <w:pPr>
              <w:pStyle w:val="TableText"/>
            </w:pPr>
          </w:p>
          <w:p w14:paraId="066C925F" w14:textId="22F0D26D" w:rsidR="002A21AE" w:rsidRDefault="002A21AE">
            <w:pPr>
              <w:pStyle w:val="TableText"/>
              <w:rPr>
                <w:b/>
                <w:bCs/>
                <w:szCs w:val="18"/>
              </w:rPr>
            </w:pPr>
            <w:r>
              <w:rPr>
                <w:b/>
                <w:bCs/>
                <w:szCs w:val="18"/>
              </w:rPr>
              <w:t>NOTES</w:t>
            </w:r>
          </w:p>
          <w:p w14:paraId="0E37E922" w14:textId="77777777" w:rsidR="002A21AE" w:rsidRDefault="002A21AE">
            <w:pPr>
              <w:pStyle w:val="NotesText"/>
            </w:pPr>
          </w:p>
          <w:p w14:paraId="11F76DAF" w14:textId="77777777" w:rsidR="002A21AE" w:rsidRDefault="002A21AE">
            <w:pPr>
              <w:pStyle w:val="NotesText"/>
            </w:pPr>
            <w:r>
              <w:t>The user may deselect units prior to editing.</w:t>
            </w:r>
          </w:p>
        </w:tc>
      </w:tr>
      <w:tr w:rsidR="009535FF" w14:paraId="27D96248" w14:textId="77777777">
        <w:tc>
          <w:tcPr>
            <w:tcW w:w="3240" w:type="dxa"/>
          </w:tcPr>
          <w:p w14:paraId="5A0747EB" w14:textId="77777777" w:rsidR="009535FF" w:rsidRDefault="009535FF">
            <w:pPr>
              <w:pStyle w:val="TableTextNumbers"/>
            </w:pPr>
            <w:r>
              <w:t xml:space="preserve">Click </w:t>
            </w:r>
            <w:r w:rsidRPr="009535FF">
              <w:rPr>
                <w:b/>
              </w:rPr>
              <w:t>Select</w:t>
            </w:r>
            <w:r>
              <w:t xml:space="preserve"> to add the selected unit to the worklist, or click </w:t>
            </w:r>
            <w:r w:rsidRPr="009535FF">
              <w:rPr>
                <w:b/>
              </w:rPr>
              <w:t>Clear</w:t>
            </w:r>
            <w:r>
              <w:t xml:space="preserve"> to select another unit.</w:t>
            </w:r>
          </w:p>
        </w:tc>
        <w:tc>
          <w:tcPr>
            <w:tcW w:w="6120" w:type="dxa"/>
          </w:tcPr>
          <w:p w14:paraId="645EE739" w14:textId="77777777" w:rsidR="009535FF" w:rsidRDefault="00CE0AAB">
            <w:pPr>
              <w:pStyle w:val="TableTextBullet"/>
            </w:pPr>
            <w:r>
              <w:t>Adds the unit to a temporary list of selected units.</w:t>
            </w:r>
          </w:p>
        </w:tc>
      </w:tr>
      <w:tr w:rsidR="002A21AE" w14:paraId="28FAC03A" w14:textId="77777777">
        <w:tc>
          <w:tcPr>
            <w:tcW w:w="3240" w:type="dxa"/>
          </w:tcPr>
          <w:p w14:paraId="599C1F33" w14:textId="77777777" w:rsidR="002A21AE" w:rsidRDefault="002A21AE">
            <w:pPr>
              <w:pStyle w:val="TableTextNumbers"/>
            </w:pPr>
            <w:r>
              <w:t>Repeat Step 3, as needed, to process multiple blood units as a single batch.</w:t>
            </w:r>
          </w:p>
          <w:p w14:paraId="5565C676" w14:textId="77777777" w:rsidR="009535FF" w:rsidRDefault="009535FF" w:rsidP="009535FF">
            <w:pPr>
              <w:pStyle w:val="TableTextNumbersContinued"/>
            </w:pPr>
          </w:p>
          <w:p w14:paraId="3C7B7C07" w14:textId="77777777" w:rsidR="009535FF" w:rsidRDefault="009535FF" w:rsidP="009535FF">
            <w:pPr>
              <w:pStyle w:val="TableTextNumbersContinued"/>
            </w:pPr>
            <w:r>
              <w:t xml:space="preserve">Click </w:t>
            </w:r>
            <w:r w:rsidRPr="009535FF">
              <w:rPr>
                <w:b/>
              </w:rPr>
              <w:t>OK</w:t>
            </w:r>
            <w:r>
              <w:t xml:space="preserve"> to continue.</w:t>
            </w:r>
          </w:p>
        </w:tc>
        <w:tc>
          <w:tcPr>
            <w:tcW w:w="6120" w:type="dxa"/>
          </w:tcPr>
          <w:p w14:paraId="6851E63E" w14:textId="77777777" w:rsidR="002A21AE" w:rsidRDefault="002A21AE">
            <w:pPr>
              <w:pStyle w:val="TableTextBullet"/>
            </w:pPr>
            <w:r>
              <w:t>Displays selected units.</w:t>
            </w:r>
          </w:p>
        </w:tc>
      </w:tr>
      <w:tr w:rsidR="002A21AE" w14:paraId="128BBACC" w14:textId="77777777">
        <w:tc>
          <w:tcPr>
            <w:tcW w:w="3240" w:type="dxa"/>
          </w:tcPr>
          <w:p w14:paraId="36AD3388" w14:textId="0D88D661" w:rsidR="002A21AE" w:rsidRDefault="009535FF">
            <w:pPr>
              <w:pStyle w:val="TableTextNumbers"/>
            </w:pPr>
            <w:r>
              <w:t xml:space="preserve">In the Activity area, click the </w:t>
            </w:r>
            <w:r w:rsidRPr="009535FF">
              <w:rPr>
                <w:b/>
              </w:rPr>
              <w:t>Discard</w:t>
            </w:r>
            <w:r>
              <w:t xml:space="preserve">, </w:t>
            </w:r>
            <w:r w:rsidRPr="009535FF">
              <w:rPr>
                <w:b/>
              </w:rPr>
              <w:t>Quarantine</w:t>
            </w:r>
            <w:r>
              <w:t xml:space="preserve">, or </w:t>
            </w:r>
            <w:r w:rsidRPr="009535FF">
              <w:rPr>
                <w:b/>
              </w:rPr>
              <w:t xml:space="preserve">Release from Quarantine </w:t>
            </w:r>
            <w:r w:rsidRPr="00BF2E41">
              <w:t>radio button</w:t>
            </w:r>
            <w:r w:rsidR="00550732">
              <w:rPr>
                <w:b/>
              </w:rPr>
              <w:t xml:space="preserve"> </w:t>
            </w:r>
            <w:r w:rsidR="00550732" w:rsidRPr="00550732">
              <w:t>(</w:t>
            </w:r>
            <w:r w:rsidR="00EE455E">
              <w:t xml:space="preserve">Figure </w:t>
            </w:r>
            <w:r w:rsidR="00EE455E">
              <w:rPr>
                <w:noProof/>
              </w:rPr>
              <w:t>68</w:t>
            </w:r>
            <w:r w:rsidR="00550732" w:rsidRPr="00550732">
              <w:t>)</w:t>
            </w:r>
            <w:r>
              <w:t>.</w:t>
            </w:r>
            <w:r w:rsidR="002A21AE">
              <w:t xml:space="preserve"> </w:t>
            </w:r>
          </w:p>
        </w:tc>
        <w:tc>
          <w:tcPr>
            <w:tcW w:w="6120" w:type="dxa"/>
          </w:tcPr>
          <w:p w14:paraId="2D9EC6AB" w14:textId="0BC5662F" w:rsidR="002A21AE" w:rsidRDefault="002A21AE">
            <w:pPr>
              <w:pStyle w:val="TableText"/>
              <w:rPr>
                <w:b/>
                <w:bCs/>
                <w:szCs w:val="18"/>
              </w:rPr>
            </w:pPr>
            <w:r>
              <w:rPr>
                <w:b/>
                <w:bCs/>
                <w:szCs w:val="18"/>
              </w:rPr>
              <w:t>NOTES</w:t>
            </w:r>
          </w:p>
          <w:p w14:paraId="3F3854EE" w14:textId="77777777" w:rsidR="002A21AE" w:rsidRDefault="002A21AE">
            <w:pPr>
              <w:pStyle w:val="NotesText"/>
            </w:pPr>
          </w:p>
          <w:p w14:paraId="6F1EFAE3" w14:textId="77777777" w:rsidR="002A21AE" w:rsidRDefault="004356BF">
            <w:pPr>
              <w:pStyle w:val="NotesText"/>
            </w:pPr>
            <w:r w:rsidRPr="00EC7489">
              <w:rPr>
                <w:rFonts w:ascii="Wingdings 3" w:hAnsi="Wingdings 3" w:cs="Wingdings"/>
              </w:rPr>
              <w:t></w:t>
            </w:r>
            <w:r w:rsidRPr="00EC7489">
              <w:rPr>
                <w:rFonts w:ascii="Wingdings 3" w:hAnsi="Wingdings 3" w:cs="Wingdings"/>
              </w:rPr>
              <w:t></w:t>
            </w:r>
            <w:r w:rsidRPr="004356BF">
              <w:t xml:space="preserve"> The Enhanced Technologist may release a unit from quarantine.</w:t>
            </w:r>
          </w:p>
        </w:tc>
      </w:tr>
      <w:tr w:rsidR="002A21AE" w14:paraId="0FBE1049" w14:textId="77777777">
        <w:tc>
          <w:tcPr>
            <w:tcW w:w="3240" w:type="dxa"/>
          </w:tcPr>
          <w:p w14:paraId="1589DFFB" w14:textId="77777777" w:rsidR="002A21AE" w:rsidRDefault="009535FF">
            <w:pPr>
              <w:pStyle w:val="TableTextNumbers"/>
            </w:pPr>
            <w:r>
              <w:t xml:space="preserve">Select or enter a comment in the Comment </w:t>
            </w:r>
            <w:r w:rsidR="00A41AE1">
              <w:t>field</w:t>
            </w:r>
            <w:r>
              <w:t xml:space="preserve"> to explain the change in status, when indicated</w:t>
            </w:r>
            <w:r w:rsidR="002A21AE">
              <w:t>.</w:t>
            </w:r>
            <w:r>
              <w:t xml:space="preserve"> Enter details, as needed.</w:t>
            </w:r>
          </w:p>
        </w:tc>
        <w:tc>
          <w:tcPr>
            <w:tcW w:w="6120" w:type="dxa"/>
          </w:tcPr>
          <w:p w14:paraId="656258AD" w14:textId="77777777" w:rsidR="002A21AE" w:rsidRDefault="002A21AE">
            <w:pPr>
              <w:pStyle w:val="TableTextBullet"/>
            </w:pPr>
            <w:r>
              <w:t>Displays entered data.</w:t>
            </w:r>
          </w:p>
          <w:p w14:paraId="08F0E368" w14:textId="77777777" w:rsidR="004356BF" w:rsidRDefault="004356BF" w:rsidP="004356BF">
            <w:pPr>
              <w:pStyle w:val="TableText"/>
            </w:pPr>
          </w:p>
          <w:p w14:paraId="1C50B83E" w14:textId="2EEDD099" w:rsidR="004356BF" w:rsidRDefault="004356BF" w:rsidP="004356BF">
            <w:pPr>
              <w:pStyle w:val="TableText"/>
              <w:rPr>
                <w:b/>
                <w:bCs/>
                <w:szCs w:val="18"/>
              </w:rPr>
            </w:pPr>
            <w:r>
              <w:rPr>
                <w:b/>
                <w:bCs/>
                <w:szCs w:val="18"/>
              </w:rPr>
              <w:t>NOTES</w:t>
            </w:r>
          </w:p>
          <w:p w14:paraId="5FB8E37C" w14:textId="77777777" w:rsidR="004356BF" w:rsidRDefault="004356BF" w:rsidP="004356BF">
            <w:pPr>
              <w:pStyle w:val="NotesText"/>
            </w:pPr>
          </w:p>
          <w:p w14:paraId="52FBF864" w14:textId="77777777" w:rsidR="004356BF" w:rsidRDefault="004356BF" w:rsidP="004356BF">
            <w:pPr>
              <w:pStyle w:val="NotesText"/>
            </w:pPr>
            <w:r>
              <w:rPr>
                <w:rFonts w:cs="Arial"/>
                <w:vanish/>
              </w:rPr>
              <w:t xml:space="preserve">BR_27.04 </w:t>
            </w:r>
            <w:r>
              <w:t>When a status of “Discard” is assigned to a unit, the user must enter a comment.</w:t>
            </w:r>
          </w:p>
          <w:p w14:paraId="27750732" w14:textId="77777777" w:rsidR="004356BF" w:rsidRDefault="004356BF" w:rsidP="004356BF">
            <w:pPr>
              <w:pStyle w:val="NotesText"/>
            </w:pPr>
          </w:p>
          <w:p w14:paraId="4FA1CE19" w14:textId="77777777" w:rsidR="004356BF" w:rsidRDefault="0097326A" w:rsidP="004356BF">
            <w:pPr>
              <w:pStyle w:val="NotesText"/>
            </w:pPr>
            <w:r w:rsidRPr="00896F17">
              <w:rPr>
                <w:rStyle w:val="BullhornChar"/>
              </w:rPr>
              <w:t></w:t>
            </w:r>
            <w:r>
              <w:rPr>
                <w:rFonts w:ascii="Webdings" w:hAnsi="Webdings"/>
              </w:rPr>
              <w:t></w:t>
            </w:r>
            <w:r w:rsidR="004356BF">
              <w:rPr>
                <w:vanish/>
                <w:szCs w:val="18"/>
              </w:rPr>
              <w:t>BR_27.08</w:t>
            </w:r>
            <w:r w:rsidR="00CE3961">
              <w:rPr>
                <w:vanish/>
                <w:szCs w:val="18"/>
              </w:rPr>
              <w:t>,</w:t>
            </w:r>
            <w:r w:rsidR="004356BF">
              <w:rPr>
                <w:vanish/>
                <w:szCs w:val="18"/>
              </w:rPr>
              <w:t xml:space="preserve"> BR_27.02</w:t>
            </w:r>
            <w:r w:rsidR="00263B24">
              <w:t>W</w:t>
            </w:r>
            <w:r w:rsidR="004356BF">
              <w:t>hen a blood unit is assigned an in</w:t>
            </w:r>
            <w:r w:rsidR="004356BF">
              <w:rPr>
                <w:noProof/>
              </w:rPr>
              <w:t>dicator of “quarantined,” VBECS emits an audible alert, requires a comment, and captures</w:t>
            </w:r>
            <w:r w:rsidR="00AE3CC7">
              <w:rPr>
                <w:noProof/>
              </w:rPr>
              <w:t xml:space="preserve"> details</w:t>
            </w:r>
            <w:r w:rsidR="004356BF">
              <w:t xml:space="preserve"> for inclusion in an Exception </w:t>
            </w:r>
            <w:r w:rsidR="004356BF">
              <w:lastRenderedPageBreak/>
              <w:t>Report (exception type: Quarantine, Discard or Release from Quarantine, depending on the user action).</w:t>
            </w:r>
          </w:p>
          <w:p w14:paraId="0D6C731F" w14:textId="77777777" w:rsidR="004356BF" w:rsidRDefault="004356BF" w:rsidP="004356BF">
            <w:pPr>
              <w:pStyle w:val="NotesText"/>
            </w:pPr>
            <w:r>
              <w:rPr>
                <w:rFonts w:cs="Arial"/>
                <w:vanish/>
              </w:rPr>
              <w:t xml:space="preserve">BR_27.11 </w:t>
            </w:r>
            <w:r w:rsidR="00263B24" w:rsidRPr="00896F17">
              <w:rPr>
                <w:rStyle w:val="BullhornChar"/>
              </w:rPr>
              <w:t></w:t>
            </w:r>
            <w:r w:rsidR="00263B24">
              <w:rPr>
                <w:rFonts w:ascii="Webdings" w:hAnsi="Webdings"/>
              </w:rPr>
              <w:t></w:t>
            </w:r>
            <w:r w:rsidR="00263B24">
              <w:t>W</w:t>
            </w:r>
            <w:r>
              <w:t xml:space="preserve">hen a unit is released from quarantine, a new status must be assigned. VBECS assigns the previous status as the default status. When the unit expiration date is in the past, VBECS </w:t>
            </w:r>
            <w:r>
              <w:rPr>
                <w:noProof/>
              </w:rPr>
              <w:t xml:space="preserve">emits an audible alert, warns the user, and asks whether </w:t>
            </w:r>
            <w:r w:rsidR="00782487">
              <w:rPr>
                <w:noProof/>
              </w:rPr>
              <w:t>he</w:t>
            </w:r>
            <w:r>
              <w:rPr>
                <w:noProof/>
              </w:rPr>
              <w:t xml:space="preserve"> wishes to </w:t>
            </w:r>
            <w:r w:rsidR="00AE3CC7">
              <w:rPr>
                <w:noProof/>
              </w:rPr>
              <w:t>continue</w:t>
            </w:r>
            <w:r>
              <w:t>.</w:t>
            </w:r>
          </w:p>
          <w:p w14:paraId="14891E2B" w14:textId="77777777" w:rsidR="004356BF" w:rsidRDefault="004356BF" w:rsidP="004356BF">
            <w:pPr>
              <w:pStyle w:val="NotesText"/>
              <w:rPr>
                <w:b/>
              </w:rPr>
            </w:pPr>
          </w:p>
          <w:p w14:paraId="6B570A0C" w14:textId="3988E378" w:rsidR="004356BF" w:rsidRDefault="004356BF" w:rsidP="004356BF">
            <w:pPr>
              <w:pStyle w:val="NotesText"/>
            </w:pPr>
            <w:r>
              <w:rPr>
                <w:b/>
              </w:rPr>
              <w:t>Yes</w:t>
            </w:r>
            <w:r>
              <w:t xml:space="preserve"> accepts the default status, requires a comment</w:t>
            </w:r>
            <w:r w:rsidR="007E2EFF">
              <w:t xml:space="preserve"> from</w:t>
            </w:r>
            <w:r w:rsidR="00986425">
              <w:t xml:space="preserve"> the “Release From Quarantine” context</w:t>
            </w:r>
            <w:r>
              <w:t xml:space="preserve">, and captures details for inclusion in an Exception Report (exception type: expired unit released from quarantine). </w:t>
            </w:r>
            <w:r>
              <w:rPr>
                <w:b/>
              </w:rPr>
              <w:t>No</w:t>
            </w:r>
            <w:r>
              <w:t xml:space="preserve"> stops the process; the unit remains marked as quarantined.</w:t>
            </w:r>
          </w:p>
          <w:p w14:paraId="05295191" w14:textId="77777777" w:rsidR="004356BF" w:rsidRDefault="004356BF" w:rsidP="004356BF">
            <w:pPr>
              <w:pStyle w:val="NotesText"/>
            </w:pPr>
          </w:p>
          <w:p w14:paraId="1D2AEE09" w14:textId="77777777" w:rsidR="004356BF" w:rsidRDefault="004356BF" w:rsidP="004356BF">
            <w:pPr>
              <w:pStyle w:val="NotesText"/>
            </w:pPr>
            <w:r>
              <w:rPr>
                <w:rFonts w:cs="Arial"/>
                <w:vanish/>
              </w:rPr>
              <w:t xml:space="preserve">BR_27.05 </w:t>
            </w:r>
            <w:r>
              <w:t>When the user assigns a status of “Discard,” he must indicate whether the discard is waste or credit.</w:t>
            </w:r>
          </w:p>
          <w:p w14:paraId="12FA9841" w14:textId="77777777" w:rsidR="004356BF" w:rsidRDefault="004356BF" w:rsidP="004356BF">
            <w:pPr>
              <w:pStyle w:val="NotesText"/>
            </w:pPr>
          </w:p>
          <w:p w14:paraId="32AFA5F1" w14:textId="77777777" w:rsidR="004356BF" w:rsidRDefault="004356BF" w:rsidP="004356BF">
            <w:pPr>
              <w:pStyle w:val="NotesText"/>
            </w:pPr>
            <w:r>
              <w:rPr>
                <w:rFonts w:cs="Arial"/>
                <w:vanish/>
              </w:rPr>
              <w:t xml:space="preserve">BR_27.06 </w:t>
            </w:r>
            <w:r>
              <w:t>When VBECS processes a unit as a discard that is waste, it does not apply a return credit to the discarded unit. (There is no refund of monies from the blood shipper.)</w:t>
            </w:r>
          </w:p>
          <w:p w14:paraId="177DEE76" w14:textId="77777777" w:rsidR="004356BF" w:rsidRDefault="004356BF" w:rsidP="004356BF">
            <w:pPr>
              <w:pStyle w:val="NotesText"/>
            </w:pPr>
          </w:p>
          <w:p w14:paraId="5531EB86" w14:textId="77777777" w:rsidR="004356BF" w:rsidRDefault="004356BF" w:rsidP="004356BF">
            <w:pPr>
              <w:pStyle w:val="NotesText"/>
            </w:pPr>
            <w:r>
              <w:rPr>
                <w:rFonts w:cs="Arial"/>
                <w:vanish/>
              </w:rPr>
              <w:t xml:space="preserve">BR_27.07 </w:t>
            </w:r>
            <w:r>
              <w:t>When VBECS saves a unit as “discard for credit,” it applies a default return credit. A user may edit the default return credit applied to the unit before updating the database.</w:t>
            </w:r>
          </w:p>
          <w:p w14:paraId="77255888" w14:textId="77777777" w:rsidR="004356BF" w:rsidRDefault="004356BF" w:rsidP="004356BF">
            <w:pPr>
              <w:pStyle w:val="NotesText"/>
            </w:pPr>
          </w:p>
          <w:p w14:paraId="6EC245FA" w14:textId="77777777" w:rsidR="004356BF" w:rsidRDefault="004356BF" w:rsidP="004356BF">
            <w:pPr>
              <w:pStyle w:val="NotesText"/>
            </w:pPr>
            <w:r>
              <w:rPr>
                <w:rFonts w:cs="Arial"/>
                <w:vanish/>
              </w:rPr>
              <w:t xml:space="preserve">BR_27.15 </w:t>
            </w:r>
            <w:r>
              <w:t xml:space="preserve">When a unit </w:t>
            </w:r>
            <w:r w:rsidR="00621E98">
              <w:t>has had a quarantine indicator</w:t>
            </w:r>
            <w:r>
              <w:t xml:space="preserve"> assigned, VBECS releases </w:t>
            </w:r>
            <w:r w:rsidR="00621E98">
              <w:t xml:space="preserve">any </w:t>
            </w:r>
            <w:r>
              <w:t>patient assignments. Patient restrictions associa</w:t>
            </w:r>
            <w:r w:rsidR="00621E98">
              <w:t>ted with the unit remain intact.</w:t>
            </w:r>
          </w:p>
          <w:p w14:paraId="2E03694E" w14:textId="77777777" w:rsidR="004356BF" w:rsidRDefault="004356BF" w:rsidP="004356BF">
            <w:pPr>
              <w:pStyle w:val="NotesText"/>
            </w:pPr>
          </w:p>
          <w:p w14:paraId="44BC672E" w14:textId="77777777" w:rsidR="004356BF" w:rsidRDefault="004356BF" w:rsidP="00782487">
            <w:pPr>
              <w:pStyle w:val="NotesText"/>
            </w:pPr>
            <w:r>
              <w:rPr>
                <w:rFonts w:cs="Arial"/>
                <w:vanish/>
              </w:rPr>
              <w:t xml:space="preserve">BR_27.16 </w:t>
            </w:r>
            <w:r>
              <w:t>When a user attempts to release a unit from quarantine and the unit was quarantined because of a data conflict, VBECS checks the inconsistency before allowing the unit to be released. VBECS warns the user. There is no override. The user must invalidate the incorrect information or test to resolve the data conflict.</w:t>
            </w:r>
          </w:p>
          <w:p w14:paraId="0ACF3A90" w14:textId="77777777" w:rsidR="00581D1A" w:rsidRDefault="00581D1A" w:rsidP="00581D1A">
            <w:pPr>
              <w:pStyle w:val="NotesText"/>
            </w:pPr>
          </w:p>
          <w:p w14:paraId="489BFAB8" w14:textId="65AE30C1" w:rsidR="00581D1A" w:rsidRDefault="00581D1A" w:rsidP="00581D1A">
            <w:pPr>
              <w:pStyle w:val="NotesText"/>
              <w:rPr>
                <w:rFonts w:cs="Arial"/>
                <w:vanish/>
              </w:rPr>
            </w:pPr>
            <w:r>
              <w:rPr>
                <w:rFonts w:cs="Arial"/>
                <w:vanish/>
              </w:rPr>
              <w:t>BR_27.20 A blood unit that is assigned or crossmatched may be Quarantined or Discarded.</w:t>
            </w:r>
          </w:p>
          <w:p w14:paraId="3C43B026" w14:textId="0BC96E16" w:rsidR="00581D1A" w:rsidRDefault="00581D1A" w:rsidP="00463A66">
            <w:pPr>
              <w:pStyle w:val="NotesText"/>
              <w:numPr>
                <w:ilvl w:val="0"/>
                <w:numId w:val="84"/>
              </w:numPr>
              <w:ind w:left="1051"/>
            </w:pPr>
            <w:r>
              <w:t>When quarantining an assigned or crossmatched unit, the system displays a message to the user before asking the user to confirm the save. “</w:t>
            </w:r>
            <w:r w:rsidRPr="0041003E">
              <w:t>The unit has been assigned/crossmatched, so if you quarantine it, then we will need to remove the assignment.</w:t>
            </w:r>
            <w:r>
              <w:t>” If the user confirms, the system will release the assignment.</w:t>
            </w:r>
          </w:p>
          <w:p w14:paraId="53EB94F3" w14:textId="7C894AB0" w:rsidR="00581D1A" w:rsidRDefault="00581D1A" w:rsidP="00463A66">
            <w:pPr>
              <w:pStyle w:val="NotesText"/>
              <w:numPr>
                <w:ilvl w:val="0"/>
                <w:numId w:val="84"/>
              </w:numPr>
              <w:ind w:left="1051"/>
            </w:pPr>
            <w:r>
              <w:t>When discarding an assigned or crossmatched unit, the system will leave the assignment in place.</w:t>
            </w:r>
          </w:p>
        </w:tc>
      </w:tr>
      <w:tr w:rsidR="002A21AE" w14:paraId="704A2DE7" w14:textId="77777777">
        <w:tc>
          <w:tcPr>
            <w:tcW w:w="3240" w:type="dxa"/>
          </w:tcPr>
          <w:p w14:paraId="09838A7A" w14:textId="77777777" w:rsidR="002A21AE" w:rsidRDefault="004724C0">
            <w:pPr>
              <w:pStyle w:val="TableTextNumbers"/>
            </w:pPr>
            <w:r>
              <w:lastRenderedPageBreak/>
              <w:t>E</w:t>
            </w:r>
            <w:r w:rsidR="00A41AE1">
              <w:t>nter</w:t>
            </w:r>
            <w:r w:rsidR="002A21AE">
              <w:t xml:space="preserve"> the date and time of the status update. </w:t>
            </w:r>
          </w:p>
          <w:p w14:paraId="16642883" w14:textId="77777777" w:rsidR="009535FF" w:rsidRDefault="009535FF" w:rsidP="009535FF">
            <w:pPr>
              <w:pStyle w:val="TableTextNumbersContinued"/>
            </w:pPr>
          </w:p>
          <w:p w14:paraId="1B72FA4A" w14:textId="77777777" w:rsidR="009535FF" w:rsidRDefault="009535FF" w:rsidP="009535FF">
            <w:pPr>
              <w:pStyle w:val="TableTextNumbersContinued"/>
            </w:pPr>
            <w:r>
              <w:t xml:space="preserve">Click the </w:t>
            </w:r>
            <w:r w:rsidRPr="009535FF">
              <w:rPr>
                <w:b/>
              </w:rPr>
              <w:t>Waste</w:t>
            </w:r>
            <w:r>
              <w:t xml:space="preserve"> or </w:t>
            </w:r>
            <w:r w:rsidRPr="009535FF">
              <w:rPr>
                <w:b/>
              </w:rPr>
              <w:t xml:space="preserve">Credit </w:t>
            </w:r>
            <w:r w:rsidRPr="00BF2E41">
              <w:t>radio button</w:t>
            </w:r>
            <w:r>
              <w:t>.</w:t>
            </w:r>
          </w:p>
        </w:tc>
        <w:tc>
          <w:tcPr>
            <w:tcW w:w="6120" w:type="dxa"/>
          </w:tcPr>
          <w:p w14:paraId="24F8B46A" w14:textId="77777777" w:rsidR="002A21AE" w:rsidRDefault="009D6D56">
            <w:pPr>
              <w:pStyle w:val="TableTextBullet"/>
            </w:pPr>
            <w:r>
              <w:rPr>
                <w:vanish/>
              </w:rPr>
              <w:t xml:space="preserve">DR 3241 </w:t>
            </w:r>
            <w:r>
              <w:t>VBECS defaults the date and time of the status update to the date and time the user opened the Discard or Quarantine option</w:t>
            </w:r>
          </w:p>
          <w:p w14:paraId="742DFD94" w14:textId="77777777" w:rsidR="002A21AE" w:rsidRDefault="002A21AE">
            <w:pPr>
              <w:pStyle w:val="TableTextBullet"/>
            </w:pPr>
            <w:r>
              <w:t>Displays entered data.</w:t>
            </w:r>
          </w:p>
          <w:p w14:paraId="23660403" w14:textId="77777777" w:rsidR="002A21AE" w:rsidRDefault="002A21AE">
            <w:pPr>
              <w:pStyle w:val="TableText"/>
            </w:pPr>
          </w:p>
          <w:p w14:paraId="1BB4BAA3" w14:textId="746847E8" w:rsidR="002A21AE" w:rsidRDefault="002A21AE">
            <w:pPr>
              <w:pStyle w:val="TableText"/>
              <w:rPr>
                <w:b/>
                <w:bCs/>
                <w:szCs w:val="18"/>
              </w:rPr>
            </w:pPr>
            <w:r>
              <w:rPr>
                <w:b/>
                <w:bCs/>
                <w:szCs w:val="18"/>
              </w:rPr>
              <w:t>NOTES</w:t>
            </w:r>
          </w:p>
          <w:p w14:paraId="7F68C6FE" w14:textId="77777777" w:rsidR="002A21AE" w:rsidRDefault="002A21AE">
            <w:pPr>
              <w:pStyle w:val="NotesText"/>
            </w:pPr>
          </w:p>
          <w:p w14:paraId="71A6FEEC" w14:textId="77777777" w:rsidR="002A21AE" w:rsidRDefault="002A21AE">
            <w:pPr>
              <w:pStyle w:val="NotesText"/>
            </w:pPr>
            <w:r>
              <w:t>The default date and time are the current date and time.</w:t>
            </w:r>
          </w:p>
          <w:p w14:paraId="2E8E9F4B" w14:textId="77777777" w:rsidR="002A21AE" w:rsidRDefault="002A21AE">
            <w:pPr>
              <w:pStyle w:val="NotesText"/>
            </w:pPr>
          </w:p>
          <w:p w14:paraId="3081C7F4" w14:textId="77777777" w:rsidR="002A21AE" w:rsidRDefault="002A21AE">
            <w:pPr>
              <w:pStyle w:val="NotesText"/>
            </w:pPr>
            <w:r>
              <w:rPr>
                <w:rFonts w:cs="Arial"/>
                <w:vanish/>
              </w:rPr>
              <w:t xml:space="preserve">BR_27.14 </w:t>
            </w:r>
            <w:r>
              <w:t>When the user updates the status of a unit and enters a date or time in the past, VBECS compares the retrospective date and time with the last record update for the unit. VBECS allows the user to update a unit record with a date and time between the last record update and the current date and time.</w:t>
            </w:r>
            <w:bookmarkStart w:id="393" w:name="one2511"/>
            <w:bookmarkEnd w:id="393"/>
          </w:p>
          <w:p w14:paraId="7DE0AEF5" w14:textId="77777777" w:rsidR="002A21AE" w:rsidRDefault="002A21AE">
            <w:pPr>
              <w:pStyle w:val="NotesText"/>
            </w:pPr>
          </w:p>
          <w:p w14:paraId="2FA4EC9C" w14:textId="77777777" w:rsidR="002A21AE" w:rsidRDefault="00263B24">
            <w:pPr>
              <w:pStyle w:val="NotesText"/>
            </w:pPr>
            <w:r w:rsidRPr="00896F17">
              <w:rPr>
                <w:rStyle w:val="BullhornChar"/>
              </w:rPr>
              <w:t></w:t>
            </w:r>
            <w:r w:rsidR="002A21AE" w:rsidRPr="00EC7489">
              <w:rPr>
                <w:rFonts w:ascii="Wingdings 3" w:hAnsi="Wingdings 3" w:cs="Wingdings"/>
              </w:rPr>
              <w:t></w:t>
            </w:r>
            <w:r w:rsidR="002A21AE" w:rsidRPr="00EC7489">
              <w:rPr>
                <w:rFonts w:ascii="Wingdings 3" w:hAnsi="Wingdings 3" w:cs="Wingdings"/>
              </w:rPr>
              <w:t></w:t>
            </w:r>
            <w:r w:rsidR="002A21AE">
              <w:t xml:space="preserve"> When the user attempts to update a unit record prior to the last record update, VBECS emits an audible alert, warns the Enhanced Technologist, and instructs him to check the date and time entered. There is no override.</w:t>
            </w:r>
          </w:p>
          <w:p w14:paraId="6515DD09" w14:textId="77777777" w:rsidR="002A21AE" w:rsidRDefault="002A21AE">
            <w:pPr>
              <w:pStyle w:val="NotesText"/>
            </w:pPr>
          </w:p>
          <w:p w14:paraId="12CD7D3C" w14:textId="114ACBB6" w:rsidR="002A21AE" w:rsidRDefault="005C768D">
            <w:pPr>
              <w:pStyle w:val="NotesText"/>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w:t>
            </w:r>
            <w:r w:rsidR="002A21AE">
              <w:t xml:space="preserve">When the user is a Lead Technologist, VBECS also requires a comment and asks whether the user wishes to continue. </w:t>
            </w:r>
            <w:r w:rsidR="002A21AE">
              <w:rPr>
                <w:b/>
              </w:rPr>
              <w:t>Yes</w:t>
            </w:r>
            <w:r w:rsidR="002A21AE">
              <w:t xml:space="preserve"> accepts the date and time entered, requires a comment</w:t>
            </w:r>
            <w:r w:rsidR="00566929">
              <w:t xml:space="preserve"> from the “Quarantine/Discard” context</w:t>
            </w:r>
            <w:r w:rsidR="002A21AE">
              <w:t xml:space="preserve">, and captures details for inclusion in an Exception Report (exception type: retrospective update prior to last record update). </w:t>
            </w:r>
            <w:r w:rsidR="002A21AE">
              <w:rPr>
                <w:b/>
              </w:rPr>
              <w:t>No</w:t>
            </w:r>
            <w:r w:rsidR="002A21AE">
              <w:t xml:space="preserve"> allows the user to correct the entry.</w:t>
            </w:r>
          </w:p>
        </w:tc>
      </w:tr>
      <w:tr w:rsidR="002A21AE" w14:paraId="777E294B" w14:textId="77777777">
        <w:tc>
          <w:tcPr>
            <w:tcW w:w="3240" w:type="dxa"/>
          </w:tcPr>
          <w:p w14:paraId="68CFDF37" w14:textId="77777777" w:rsidR="002A21AE" w:rsidRDefault="002A21AE" w:rsidP="00A41AE1">
            <w:pPr>
              <w:pStyle w:val="TableTextNumbers"/>
            </w:pPr>
            <w:r>
              <w:lastRenderedPageBreak/>
              <w:t xml:space="preserve">Review the unit status update information and </w:t>
            </w:r>
            <w:r w:rsidR="009535FF">
              <w:t>c</w:t>
            </w:r>
            <w:r>
              <w:t xml:space="preserve">lick </w:t>
            </w:r>
            <w:r w:rsidR="005122E2">
              <w:rPr>
                <w:b/>
              </w:rPr>
              <w:t>Save</w:t>
            </w:r>
            <w:r w:rsidR="005122E2" w:rsidRPr="009535FF">
              <w:t xml:space="preserve"> </w:t>
            </w:r>
            <w:r w:rsidR="009535FF" w:rsidRPr="009535FF">
              <w:t>to save</w:t>
            </w:r>
            <w:r>
              <w:t>.</w:t>
            </w:r>
          </w:p>
        </w:tc>
        <w:tc>
          <w:tcPr>
            <w:tcW w:w="6120" w:type="dxa"/>
          </w:tcPr>
          <w:p w14:paraId="09B33B31" w14:textId="77777777" w:rsidR="002A21AE" w:rsidRDefault="002A21AE">
            <w:pPr>
              <w:pStyle w:val="TableTextBullet"/>
            </w:pPr>
            <w:r>
              <w:t xml:space="preserve">Evaluates the unit’s current status to determine whether it is eligible for the selected function. </w:t>
            </w:r>
          </w:p>
          <w:p w14:paraId="3BF28418" w14:textId="77777777" w:rsidR="002A21AE" w:rsidRDefault="002A21AE">
            <w:pPr>
              <w:pStyle w:val="TableTextBullet"/>
            </w:pPr>
            <w:r>
              <w:t>Displays appropriate error messages when the unit cannot be processed.</w:t>
            </w:r>
          </w:p>
          <w:p w14:paraId="61C25685" w14:textId="77777777" w:rsidR="002A21AE" w:rsidRDefault="002A21AE">
            <w:pPr>
              <w:pStyle w:val="TableTextBullet"/>
            </w:pPr>
            <w:r>
              <w:t>Prompts the user to confirm the save.</w:t>
            </w:r>
          </w:p>
        </w:tc>
      </w:tr>
      <w:tr w:rsidR="002A21AE" w14:paraId="534B1687" w14:textId="77777777">
        <w:tc>
          <w:tcPr>
            <w:tcW w:w="3240" w:type="dxa"/>
          </w:tcPr>
          <w:p w14:paraId="3E03218D" w14:textId="77777777" w:rsidR="002A21AE" w:rsidRDefault="009535FF">
            <w:pPr>
              <w:pStyle w:val="TableTextNumbers"/>
            </w:pPr>
            <w:r>
              <w:t xml:space="preserve">Click </w:t>
            </w:r>
            <w:r w:rsidRPr="009535FF">
              <w:rPr>
                <w:b/>
              </w:rPr>
              <w:t>Yes</w:t>
            </w:r>
            <w:r>
              <w:t xml:space="preserve"> to c</w:t>
            </w:r>
            <w:r w:rsidR="002A21AE">
              <w:t>onfirm the save.</w:t>
            </w:r>
            <w:r>
              <w:rPr>
                <w:vanish/>
                <w:color w:val="FFFFFF"/>
                <w:szCs w:val="18"/>
              </w:rPr>
              <w:t xml:space="preserve"> </w:t>
            </w:r>
            <w:r w:rsidRPr="009D2C1A">
              <w:rPr>
                <w:vanish/>
                <w:szCs w:val="18"/>
              </w:rPr>
              <w:fldChar w:fldCharType="begin"/>
            </w:r>
            <w:r w:rsidRPr="009D2C1A">
              <w:rPr>
                <w:vanish/>
                <w:szCs w:val="18"/>
              </w:rPr>
              <w:instrText xml:space="preserve"> LISTNUM \l 1 \s 0 </w:instrText>
            </w:r>
            <w:r w:rsidRPr="009D2C1A">
              <w:rPr>
                <w:vanish/>
                <w:szCs w:val="18"/>
              </w:rPr>
              <w:fldChar w:fldCharType="end">
                <w:numberingChange w:id="394" w:author="MUSZYNSKI, THOMAS D. (SIERRA 7 INC)" w:date="2024-11-26T07:15:00Z" w:original="0."/>
              </w:fldChar>
            </w:r>
          </w:p>
        </w:tc>
        <w:tc>
          <w:tcPr>
            <w:tcW w:w="6120" w:type="dxa"/>
          </w:tcPr>
          <w:p w14:paraId="192AE914" w14:textId="77777777" w:rsidR="002A21AE" w:rsidRDefault="002A21AE">
            <w:pPr>
              <w:pStyle w:val="TableTextBullet"/>
            </w:pPr>
            <w:r>
              <w:t>Saves the data.</w:t>
            </w:r>
          </w:p>
          <w:p w14:paraId="1E3C695A" w14:textId="77777777" w:rsidR="002A21AE" w:rsidRDefault="002A21AE">
            <w:pPr>
              <w:pStyle w:val="TableText"/>
            </w:pPr>
          </w:p>
          <w:p w14:paraId="0EA2674F" w14:textId="5F9B96AD" w:rsidR="002A21AE" w:rsidRDefault="002A21AE">
            <w:pPr>
              <w:pStyle w:val="TableText"/>
              <w:rPr>
                <w:b/>
                <w:bCs/>
                <w:szCs w:val="18"/>
              </w:rPr>
            </w:pPr>
            <w:r>
              <w:rPr>
                <w:b/>
                <w:bCs/>
                <w:szCs w:val="18"/>
              </w:rPr>
              <w:t>NOTES</w:t>
            </w:r>
          </w:p>
          <w:p w14:paraId="0761EB5D" w14:textId="77777777" w:rsidR="002A21AE" w:rsidRDefault="002A21AE">
            <w:pPr>
              <w:pStyle w:val="NotesText"/>
            </w:pPr>
          </w:p>
          <w:p w14:paraId="528F01F6" w14:textId="77777777" w:rsidR="002A21AE" w:rsidRDefault="002A21AE">
            <w:pPr>
              <w:pStyle w:val="NotesText"/>
            </w:pPr>
            <w:r>
              <w:rPr>
                <w:rFonts w:cs="Arial"/>
                <w:vanish/>
              </w:rPr>
              <w:t xml:space="preserve">BR_27.01 </w:t>
            </w:r>
            <w:r>
              <w:t>During batch data entry of “Discard,” “Quarantine,” and “Release from Quarantine,” VBECS saves transaction details, including user-entered comments, to each blood unit included in the batch.</w:t>
            </w:r>
          </w:p>
        </w:tc>
      </w:tr>
    </w:tbl>
    <w:p w14:paraId="02AC22EC" w14:textId="33C2D5B2" w:rsidR="00550732" w:rsidRDefault="00550732" w:rsidP="00550732">
      <w:pPr>
        <w:pStyle w:val="Caption"/>
      </w:pPr>
      <w:bookmarkStart w:id="395" w:name="_Select_Units"/>
      <w:bookmarkStart w:id="396" w:name="_Ref126653702"/>
      <w:bookmarkEnd w:id="395"/>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7D1829">
        <w:rPr>
          <w:noProof/>
        </w:rPr>
        <w:t>69</w:t>
      </w:r>
      <w:r w:rsidR="004E20BD">
        <w:rPr>
          <w:noProof/>
        </w:rPr>
        <w:fldChar w:fldCharType="end"/>
      </w:r>
      <w:bookmarkEnd w:id="396"/>
      <w:r>
        <w:t>: Discard or Quarantine Units</w:t>
      </w:r>
    </w:p>
    <w:p w14:paraId="20C45E1A" w14:textId="22C5D0C9" w:rsidR="00550732" w:rsidRDefault="00F927FC" w:rsidP="00550732">
      <w:pPr>
        <w:pStyle w:val="BodyText"/>
      </w:pPr>
      <w:r>
        <w:rPr>
          <w:noProof/>
        </w:rPr>
        <w:drawing>
          <wp:inline distT="0" distB="0" distL="0" distR="0" wp14:anchorId="0DCE3A1F" wp14:editId="6B5EDEB4">
            <wp:extent cx="5943600" cy="3735070"/>
            <wp:effectExtent l="0" t="0" r="0" b="0"/>
            <wp:docPr id="178" name="Picture 178" descr="Example of Discard or Quarantine Units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Picture 99" descr="Example of Discard or Quarantine Units screen capture"/>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5943600" cy="3735070"/>
                    </a:xfrm>
                    <a:prstGeom prst="rect">
                      <a:avLst/>
                    </a:prstGeom>
                    <a:noFill/>
                    <a:ln>
                      <a:noFill/>
                    </a:ln>
                  </pic:spPr>
                </pic:pic>
              </a:graphicData>
            </a:graphic>
          </wp:inline>
        </w:drawing>
      </w:r>
    </w:p>
    <w:p w14:paraId="285ABEED" w14:textId="77777777" w:rsidR="002A21AE" w:rsidRDefault="00375257" w:rsidP="00E653FE">
      <w:pPr>
        <w:pStyle w:val="Heading4"/>
      </w:pPr>
      <w:r>
        <w:br w:type="page"/>
      </w:r>
      <w:r w:rsidR="00E653FE">
        <w:lastRenderedPageBreak/>
        <w:t>Discard or Quarantine Units by Invoice</w:t>
      </w:r>
      <w:r w:rsidR="00561EA7">
        <w:fldChar w:fldCharType="begin"/>
      </w:r>
      <w:r w:rsidR="00561EA7">
        <w:instrText xml:space="preserve"> XE "</w:instrText>
      </w:r>
      <w:r w:rsidR="00561EA7" w:rsidRPr="008B7F3F">
        <w:instrText>Discard or Quarantine Units by Invoice</w:instrText>
      </w:r>
      <w:r w:rsidR="00561EA7">
        <w:instrText xml:space="preserve">" </w:instrText>
      </w:r>
      <w:r w:rsidR="00561EA7">
        <w:fldChar w:fldCharType="end"/>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9535FF" w14:paraId="301052A5" w14:textId="77777777">
        <w:trPr>
          <w:cantSplit/>
          <w:tblHeader/>
        </w:trPr>
        <w:tc>
          <w:tcPr>
            <w:tcW w:w="3240" w:type="dxa"/>
            <w:shd w:val="pct30" w:color="auto" w:fill="FFFFFF"/>
            <w:vAlign w:val="bottom"/>
          </w:tcPr>
          <w:p w14:paraId="3C5B4C69" w14:textId="77777777" w:rsidR="009535FF" w:rsidRDefault="009535FF" w:rsidP="004356BF">
            <w:pPr>
              <w:pStyle w:val="TableText"/>
              <w:rPr>
                <w:b/>
              </w:rPr>
            </w:pPr>
            <w:r>
              <w:rPr>
                <w:b/>
              </w:rPr>
              <w:t>User Action</w:t>
            </w:r>
          </w:p>
        </w:tc>
        <w:tc>
          <w:tcPr>
            <w:tcW w:w="6120" w:type="dxa"/>
            <w:shd w:val="pct30" w:color="auto" w:fill="FFFFFF"/>
            <w:vAlign w:val="bottom"/>
          </w:tcPr>
          <w:p w14:paraId="158F2878" w14:textId="77777777" w:rsidR="009535FF" w:rsidRDefault="009535FF" w:rsidP="004356BF">
            <w:pPr>
              <w:pStyle w:val="TableText"/>
              <w:rPr>
                <w:b/>
              </w:rPr>
            </w:pPr>
            <w:r>
              <w:rPr>
                <w:b/>
              </w:rPr>
              <w:t>VBECS</w:t>
            </w:r>
          </w:p>
        </w:tc>
      </w:tr>
      <w:tr w:rsidR="009535FF" w14:paraId="77D10657" w14:textId="77777777">
        <w:tc>
          <w:tcPr>
            <w:tcW w:w="3240" w:type="dxa"/>
          </w:tcPr>
          <w:p w14:paraId="7D3F4F9E" w14:textId="77777777" w:rsidR="009535FF" w:rsidRDefault="009535FF" w:rsidP="006E12D3">
            <w:pPr>
              <w:pStyle w:val="TableTextNumbers"/>
            </w:pPr>
            <w:r>
              <w:t xml:space="preserve">Select </w:t>
            </w:r>
            <w:r>
              <w:rPr>
                <w:b/>
              </w:rPr>
              <w:t>Shipments</w:t>
            </w:r>
            <w:r>
              <w:t xml:space="preserve"> from the main menu.</w:t>
            </w:r>
          </w:p>
          <w:p w14:paraId="00DE4BC6" w14:textId="77777777" w:rsidR="009535FF" w:rsidRDefault="009535FF" w:rsidP="004356BF">
            <w:pPr>
              <w:pStyle w:val="TableTextNumbersContinued"/>
            </w:pPr>
          </w:p>
          <w:p w14:paraId="6B0DA9A4" w14:textId="77777777" w:rsidR="009535FF" w:rsidRDefault="009535FF" w:rsidP="004356BF">
            <w:pPr>
              <w:pStyle w:val="TableTextNumbersContinued"/>
            </w:pPr>
            <w:r>
              <w:t xml:space="preserve">Select </w:t>
            </w:r>
            <w:r>
              <w:rPr>
                <w:b/>
              </w:rPr>
              <w:t>Discard or Quarantine</w:t>
            </w:r>
            <w:r>
              <w:t>.</w:t>
            </w:r>
          </w:p>
          <w:p w14:paraId="0631FA0F" w14:textId="77777777" w:rsidR="009535FF" w:rsidRDefault="009535FF" w:rsidP="004356BF">
            <w:pPr>
              <w:pStyle w:val="TableTextNumbersContinued"/>
            </w:pPr>
          </w:p>
          <w:p w14:paraId="4652CBAB" w14:textId="77777777" w:rsidR="009535FF" w:rsidRDefault="009535FF" w:rsidP="004356BF">
            <w:pPr>
              <w:pStyle w:val="TableTextNumbersContinued"/>
            </w:pPr>
            <w:r>
              <w:t xml:space="preserve">Select an invoice and click </w:t>
            </w:r>
            <w:r>
              <w:rPr>
                <w:b/>
              </w:rPr>
              <w:t>OK</w:t>
            </w:r>
            <w:r>
              <w:t>.</w:t>
            </w:r>
          </w:p>
        </w:tc>
        <w:tc>
          <w:tcPr>
            <w:tcW w:w="6120" w:type="dxa"/>
          </w:tcPr>
          <w:p w14:paraId="715C3E21" w14:textId="77777777" w:rsidR="009535FF" w:rsidRDefault="009535FF" w:rsidP="004356BF">
            <w:pPr>
              <w:pStyle w:val="TableTextBullet"/>
            </w:pPr>
            <w:r>
              <w:t>Displays options for processing blood product shipments.</w:t>
            </w:r>
          </w:p>
          <w:p w14:paraId="7AC85E1D" w14:textId="77777777" w:rsidR="009535FF" w:rsidRDefault="009535FF" w:rsidP="004356BF">
            <w:pPr>
              <w:pStyle w:val="TableTextBullet"/>
            </w:pPr>
            <w:r>
              <w:t>Displays fields for entering shipment information.</w:t>
            </w:r>
          </w:p>
          <w:p w14:paraId="73CF6E8D" w14:textId="77777777" w:rsidR="009535FF" w:rsidRDefault="009535FF" w:rsidP="004356BF">
            <w:pPr>
              <w:pStyle w:val="TableTextBullet"/>
            </w:pPr>
            <w:r>
              <w:t xml:space="preserve">Allows </w:t>
            </w:r>
            <w:r w:rsidR="00E00A07">
              <w:t>the user to discard</w:t>
            </w:r>
            <w:r>
              <w:t xml:space="preserve"> or quarantine</w:t>
            </w:r>
            <w:r w:rsidR="00E00A07">
              <w:t xml:space="preserve"> units</w:t>
            </w:r>
            <w:r>
              <w:t xml:space="preserve"> by invoice.</w:t>
            </w:r>
          </w:p>
        </w:tc>
      </w:tr>
      <w:tr w:rsidR="009535FF" w14:paraId="62859EA8" w14:textId="77777777">
        <w:tc>
          <w:tcPr>
            <w:tcW w:w="3240" w:type="dxa"/>
          </w:tcPr>
          <w:p w14:paraId="28ED1FD5" w14:textId="77777777" w:rsidR="009535FF" w:rsidRDefault="006E12D3" w:rsidP="004356BF">
            <w:pPr>
              <w:pStyle w:val="TableTextNumbers"/>
            </w:pPr>
            <w:r>
              <w:t xml:space="preserve">Click </w:t>
            </w:r>
            <w:r w:rsidR="00E00A07">
              <w:t xml:space="preserve">(clear) </w:t>
            </w:r>
            <w:r>
              <w:t>one or more check boxes to remove units from the invoice.</w:t>
            </w:r>
          </w:p>
          <w:p w14:paraId="2BEAFB55" w14:textId="77777777" w:rsidR="006E12D3" w:rsidRDefault="006E12D3" w:rsidP="006E12D3">
            <w:pPr>
              <w:pStyle w:val="TableTextNumbersContinued"/>
            </w:pPr>
          </w:p>
          <w:p w14:paraId="70B8B442" w14:textId="77777777" w:rsidR="006E12D3" w:rsidRDefault="006E12D3" w:rsidP="006E12D3">
            <w:pPr>
              <w:pStyle w:val="TableTextNumbersContinued"/>
            </w:pPr>
            <w:r>
              <w:t xml:space="preserve">Click </w:t>
            </w:r>
            <w:r w:rsidRPr="006E12D3">
              <w:rPr>
                <w:b/>
              </w:rPr>
              <w:t>OK</w:t>
            </w:r>
            <w:r>
              <w:t>.</w:t>
            </w:r>
          </w:p>
        </w:tc>
        <w:tc>
          <w:tcPr>
            <w:tcW w:w="6120" w:type="dxa"/>
          </w:tcPr>
          <w:p w14:paraId="78E833A5" w14:textId="77777777" w:rsidR="003E1884" w:rsidRDefault="00EC1460" w:rsidP="003E1884">
            <w:pPr>
              <w:pStyle w:val="TableTextBullet"/>
            </w:pPr>
            <w:r>
              <w:t>Allows the user to select individual units.</w:t>
            </w:r>
          </w:p>
          <w:p w14:paraId="7F1241E4" w14:textId="77777777" w:rsidR="00EC1460" w:rsidRDefault="00EC1460" w:rsidP="003E1884">
            <w:pPr>
              <w:pStyle w:val="TableTextBullet"/>
            </w:pPr>
            <w:r>
              <w:t>Displays unit information, including the current status included in the invoice.</w:t>
            </w:r>
          </w:p>
          <w:p w14:paraId="7A76B8E4" w14:textId="77777777" w:rsidR="00EC1460" w:rsidRDefault="00EC1460" w:rsidP="003E1884">
            <w:pPr>
              <w:pStyle w:val="TableTextBullet"/>
            </w:pPr>
            <w:r>
              <w:t>Allows the user to deselect units from the batch prior to editing.</w:t>
            </w:r>
          </w:p>
          <w:p w14:paraId="37A006C7" w14:textId="77777777" w:rsidR="003E1884" w:rsidRDefault="003E1884" w:rsidP="004356BF">
            <w:pPr>
              <w:pStyle w:val="TableText"/>
              <w:rPr>
                <w:b/>
                <w:bCs/>
                <w:szCs w:val="18"/>
              </w:rPr>
            </w:pPr>
          </w:p>
          <w:p w14:paraId="1130D531" w14:textId="6EF04D60" w:rsidR="009535FF" w:rsidRDefault="009535FF" w:rsidP="004356BF">
            <w:pPr>
              <w:pStyle w:val="TableText"/>
              <w:rPr>
                <w:b/>
                <w:bCs/>
                <w:szCs w:val="18"/>
              </w:rPr>
            </w:pPr>
            <w:r>
              <w:rPr>
                <w:b/>
                <w:bCs/>
                <w:szCs w:val="18"/>
              </w:rPr>
              <w:t>NOTES</w:t>
            </w:r>
          </w:p>
          <w:p w14:paraId="196F6490" w14:textId="77777777" w:rsidR="009535FF" w:rsidRPr="00BE1A93" w:rsidRDefault="009535FF" w:rsidP="00BE1A93">
            <w:pPr>
              <w:pStyle w:val="NotesText"/>
            </w:pPr>
          </w:p>
          <w:p w14:paraId="61719EC9" w14:textId="77777777" w:rsidR="009535FF" w:rsidRDefault="00D1603E" w:rsidP="00BE1A93">
            <w:pPr>
              <w:pStyle w:val="NotesText"/>
            </w:pPr>
            <w:r w:rsidRPr="00D1603E">
              <w:rPr>
                <w:vanish/>
                <w:szCs w:val="18"/>
              </w:rPr>
              <w:t xml:space="preserve">BR_27.09 </w:t>
            </w:r>
            <w:r w:rsidR="00BE1A93" w:rsidRPr="00BE1A93">
              <w:t>For batch processing, the user may select incoming shipment invoic</w:t>
            </w:r>
            <w:r w:rsidR="00BE1A93">
              <w:t>es from t</w:t>
            </w:r>
            <w:r w:rsidR="00BE1A93" w:rsidRPr="00BE1A93">
              <w:t>h</w:t>
            </w:r>
            <w:r w:rsidR="00BE1A93">
              <w:t>e</w:t>
            </w:r>
            <w:r w:rsidR="00BE1A93" w:rsidRPr="00BE1A93">
              <w:t xml:space="preserve"> previous five days processed in the same division as the user.</w:t>
            </w:r>
          </w:p>
          <w:p w14:paraId="5EE560E1" w14:textId="77777777" w:rsidR="00D1603E" w:rsidRDefault="00D1603E" w:rsidP="00BE1A93">
            <w:pPr>
              <w:pStyle w:val="NotesText"/>
            </w:pPr>
          </w:p>
          <w:p w14:paraId="20C28C1B" w14:textId="77777777" w:rsidR="00D1603E" w:rsidRDefault="00D1603E" w:rsidP="00BE1A93">
            <w:pPr>
              <w:pStyle w:val="NotesText"/>
            </w:pPr>
            <w:r w:rsidRPr="00D1603E">
              <w:rPr>
                <w:vanish/>
                <w:szCs w:val="18"/>
              </w:rPr>
              <w:t xml:space="preserve">BR_27.12 </w:t>
            </w:r>
            <w:r>
              <w:t>Only incoming shipment invoices processed within the user’s division may be accessed for batch processing.</w:t>
            </w:r>
          </w:p>
        </w:tc>
      </w:tr>
      <w:tr w:rsidR="009544D4" w14:paraId="42E3B337" w14:textId="77777777">
        <w:tc>
          <w:tcPr>
            <w:tcW w:w="3240" w:type="dxa"/>
            <w:tcBorders>
              <w:top w:val="single" w:sz="4" w:space="0" w:color="auto"/>
              <w:left w:val="single" w:sz="4" w:space="0" w:color="auto"/>
              <w:bottom w:val="single" w:sz="4" w:space="0" w:color="auto"/>
              <w:right w:val="single" w:sz="4" w:space="0" w:color="auto"/>
            </w:tcBorders>
          </w:tcPr>
          <w:p w14:paraId="3B246B5F" w14:textId="77777777" w:rsidR="009544D4" w:rsidRDefault="009544D4" w:rsidP="00F90585">
            <w:pPr>
              <w:pStyle w:val="TableTextNumbers"/>
            </w:pPr>
            <w:r>
              <w:t xml:space="preserve">In the Activity area, click the </w:t>
            </w:r>
            <w:r w:rsidRPr="009544D4">
              <w:rPr>
                <w:b/>
              </w:rPr>
              <w:t>Discard</w:t>
            </w:r>
            <w:r>
              <w:t xml:space="preserve">, </w:t>
            </w:r>
            <w:r w:rsidRPr="009544D4">
              <w:rPr>
                <w:b/>
              </w:rPr>
              <w:t>Quarantine</w:t>
            </w:r>
            <w:r>
              <w:t xml:space="preserve">, or </w:t>
            </w:r>
            <w:r w:rsidRPr="009544D4">
              <w:rPr>
                <w:b/>
              </w:rPr>
              <w:t xml:space="preserve">Release from Quarantine </w:t>
            </w:r>
            <w:r w:rsidRPr="00BF2E41">
              <w:t>radio button</w:t>
            </w:r>
            <w:r>
              <w:t xml:space="preserve">. </w:t>
            </w:r>
          </w:p>
        </w:tc>
        <w:tc>
          <w:tcPr>
            <w:tcW w:w="6120" w:type="dxa"/>
            <w:tcBorders>
              <w:top w:val="single" w:sz="4" w:space="0" w:color="auto"/>
              <w:left w:val="single" w:sz="4" w:space="0" w:color="auto"/>
              <w:bottom w:val="single" w:sz="4" w:space="0" w:color="auto"/>
              <w:right w:val="single" w:sz="4" w:space="0" w:color="auto"/>
            </w:tcBorders>
          </w:tcPr>
          <w:p w14:paraId="7F37FB44" w14:textId="77777777" w:rsidR="00BE1A93" w:rsidRDefault="00BE1A93" w:rsidP="00BE1A93">
            <w:pPr>
              <w:pStyle w:val="TableText"/>
              <w:rPr>
                <w:b/>
                <w:bCs/>
                <w:szCs w:val="18"/>
              </w:rPr>
            </w:pPr>
          </w:p>
          <w:p w14:paraId="21AF6527" w14:textId="13D5569C" w:rsidR="00BE1A93" w:rsidRDefault="00BE1A93" w:rsidP="00BE1A93">
            <w:pPr>
              <w:pStyle w:val="TableText"/>
              <w:rPr>
                <w:b/>
                <w:bCs/>
                <w:szCs w:val="18"/>
              </w:rPr>
            </w:pPr>
            <w:r>
              <w:rPr>
                <w:b/>
                <w:bCs/>
                <w:szCs w:val="18"/>
              </w:rPr>
              <w:t>NOTES</w:t>
            </w:r>
          </w:p>
          <w:p w14:paraId="60C84FF9" w14:textId="77777777" w:rsidR="00BE1A93" w:rsidRDefault="00BE1A93" w:rsidP="00467E7D">
            <w:pPr>
              <w:pStyle w:val="NotesText"/>
            </w:pPr>
          </w:p>
          <w:p w14:paraId="7FB0F63E" w14:textId="77777777" w:rsidR="009544D4" w:rsidRDefault="00BE1A93" w:rsidP="00467E7D">
            <w:pPr>
              <w:pStyle w:val="NotesText"/>
            </w:pPr>
            <w:r w:rsidRPr="00EC7489">
              <w:rPr>
                <w:rFonts w:ascii="Wingdings 3" w:hAnsi="Wingdings 3" w:cs="Wingdings"/>
              </w:rPr>
              <w:t></w:t>
            </w:r>
            <w:r w:rsidRPr="00EC7489">
              <w:rPr>
                <w:rFonts w:ascii="Wingdings 3" w:hAnsi="Wingdings 3" w:cs="Wingdings"/>
              </w:rPr>
              <w:t></w:t>
            </w:r>
            <w:r>
              <w:t xml:space="preserve"> The</w:t>
            </w:r>
            <w:r w:rsidR="009544D4" w:rsidRPr="004356BF">
              <w:t xml:space="preserve"> Enhanced Technologist may release a unit from quarantine.</w:t>
            </w:r>
          </w:p>
        </w:tc>
      </w:tr>
      <w:tr w:rsidR="007E6BE0" w14:paraId="31581018" w14:textId="77777777">
        <w:tc>
          <w:tcPr>
            <w:tcW w:w="3240" w:type="dxa"/>
            <w:tcBorders>
              <w:top w:val="single" w:sz="4" w:space="0" w:color="auto"/>
              <w:left w:val="single" w:sz="4" w:space="0" w:color="auto"/>
              <w:bottom w:val="single" w:sz="4" w:space="0" w:color="auto"/>
              <w:right w:val="single" w:sz="4" w:space="0" w:color="auto"/>
            </w:tcBorders>
          </w:tcPr>
          <w:p w14:paraId="345F2736" w14:textId="77777777" w:rsidR="007E6BE0" w:rsidRDefault="007E6BE0" w:rsidP="00F90585">
            <w:pPr>
              <w:pStyle w:val="TableTextNumbers"/>
            </w:pPr>
            <w:r>
              <w:t>Select or enter a comment in the Comment field to explain the change in status, when indicated. Enter details, as needed.</w:t>
            </w:r>
          </w:p>
        </w:tc>
        <w:tc>
          <w:tcPr>
            <w:tcW w:w="6120" w:type="dxa"/>
            <w:tcBorders>
              <w:top w:val="single" w:sz="4" w:space="0" w:color="auto"/>
              <w:left w:val="single" w:sz="4" w:space="0" w:color="auto"/>
              <w:bottom w:val="single" w:sz="4" w:space="0" w:color="auto"/>
              <w:right w:val="single" w:sz="4" w:space="0" w:color="auto"/>
            </w:tcBorders>
          </w:tcPr>
          <w:p w14:paraId="4170217A" w14:textId="77777777" w:rsidR="007E6BE0" w:rsidRDefault="007E6BE0" w:rsidP="00F90585">
            <w:pPr>
              <w:pStyle w:val="TableTextBullet"/>
            </w:pPr>
            <w:r>
              <w:t>Displays entered data.</w:t>
            </w:r>
          </w:p>
          <w:p w14:paraId="05C11D84" w14:textId="77777777" w:rsidR="007E6BE0" w:rsidRDefault="007E6BE0" w:rsidP="00F90585">
            <w:pPr>
              <w:pStyle w:val="TableText"/>
            </w:pPr>
          </w:p>
          <w:p w14:paraId="5C95FC69" w14:textId="7A686686" w:rsidR="00D1603E" w:rsidRDefault="00D1603E" w:rsidP="00D1603E">
            <w:pPr>
              <w:pStyle w:val="TableText"/>
              <w:rPr>
                <w:b/>
                <w:bCs/>
                <w:szCs w:val="18"/>
              </w:rPr>
            </w:pPr>
            <w:r>
              <w:rPr>
                <w:b/>
                <w:bCs/>
                <w:szCs w:val="18"/>
              </w:rPr>
              <w:t>NOTES</w:t>
            </w:r>
          </w:p>
          <w:p w14:paraId="01012F7A" w14:textId="77777777" w:rsidR="00D1603E" w:rsidRDefault="00D1603E" w:rsidP="00D1603E">
            <w:pPr>
              <w:pStyle w:val="NotesText"/>
            </w:pPr>
          </w:p>
          <w:p w14:paraId="2586FAF1" w14:textId="77777777" w:rsidR="007E6BE0" w:rsidRDefault="007E6BE0" w:rsidP="00D1603E">
            <w:pPr>
              <w:pStyle w:val="NotesText"/>
            </w:pPr>
            <w:r w:rsidRPr="00D1603E">
              <w:rPr>
                <w:vanish/>
                <w:szCs w:val="18"/>
              </w:rPr>
              <w:t xml:space="preserve">BR_27.04 </w:t>
            </w:r>
            <w:r>
              <w:t>When a status of “Discard” is assigned to a unit, the user must enter a comment.</w:t>
            </w:r>
          </w:p>
          <w:p w14:paraId="4655BC0E" w14:textId="77777777" w:rsidR="007E6BE0" w:rsidRDefault="007E6BE0" w:rsidP="00D1603E">
            <w:pPr>
              <w:pStyle w:val="NotesText"/>
            </w:pPr>
          </w:p>
          <w:p w14:paraId="621C3585" w14:textId="77777777" w:rsidR="007E6BE0" w:rsidRDefault="007E6BE0" w:rsidP="00D1603E">
            <w:pPr>
              <w:pStyle w:val="NotesText"/>
            </w:pPr>
            <w:r w:rsidRPr="00D1603E">
              <w:rPr>
                <w:vanish/>
                <w:szCs w:val="18"/>
              </w:rPr>
              <w:t>BR_27.08</w:t>
            </w:r>
            <w:r w:rsidR="00CE3961">
              <w:rPr>
                <w:vanish/>
                <w:szCs w:val="18"/>
              </w:rPr>
              <w:t xml:space="preserve">, </w:t>
            </w:r>
            <w:r w:rsidRPr="00D1603E">
              <w:rPr>
                <w:vanish/>
                <w:szCs w:val="18"/>
              </w:rPr>
              <w:t>BR_27.02</w:t>
            </w:r>
            <w:r w:rsidR="00263B24" w:rsidRPr="00263B24">
              <w:t>W</w:t>
            </w:r>
            <w:r w:rsidRPr="00263B24">
              <w:t>h</w:t>
            </w:r>
            <w:r>
              <w:t>en a blood unit is assigned an indicator of “quarantined,” VBECS emits an audible alert, requires a comment, and captures details for inclusion in an Exception Report (exception type: Quarantine, Discard or Release from Quarantine, depending on the user action).</w:t>
            </w:r>
          </w:p>
          <w:p w14:paraId="6F3E1BF6" w14:textId="77777777" w:rsidR="00D1603E" w:rsidRDefault="00D1603E" w:rsidP="00D1603E">
            <w:pPr>
              <w:pStyle w:val="NotesText"/>
            </w:pPr>
          </w:p>
          <w:p w14:paraId="3CC394BE" w14:textId="77777777" w:rsidR="007E6BE0" w:rsidRDefault="007E6BE0" w:rsidP="00D1603E">
            <w:pPr>
              <w:pStyle w:val="NotesText"/>
            </w:pPr>
            <w:r w:rsidRPr="00D1603E">
              <w:rPr>
                <w:vanish/>
                <w:szCs w:val="18"/>
              </w:rPr>
              <w:t>BR_27.11</w:t>
            </w:r>
            <w:r w:rsidR="00263B24" w:rsidRPr="00896F17">
              <w:rPr>
                <w:rStyle w:val="BullhornChar"/>
              </w:rPr>
              <w:t></w:t>
            </w:r>
            <w:r w:rsidR="00263B24">
              <w:rPr>
                <w:rFonts w:ascii="Webdings" w:hAnsi="Webdings"/>
              </w:rPr>
              <w:t></w:t>
            </w:r>
            <w:r w:rsidR="00263B24" w:rsidRPr="00263B24">
              <w:t>Wh</w:t>
            </w:r>
            <w:r w:rsidR="00263B24">
              <w:t>en</w:t>
            </w:r>
            <w:r>
              <w:t xml:space="preserve"> a unit is released from quarantine, a new status must be assigned. VBECS assigns the previous status as the default status. When the unit expiration date is in the past, VBECS emits an audible alert, warns the user, and asks whether he wishes to continue.</w:t>
            </w:r>
          </w:p>
          <w:p w14:paraId="362E17EA" w14:textId="77777777" w:rsidR="007E6BE0" w:rsidRPr="007E6BE0" w:rsidRDefault="007E6BE0" w:rsidP="00D1603E">
            <w:pPr>
              <w:pStyle w:val="NotesText"/>
            </w:pPr>
          </w:p>
          <w:p w14:paraId="21582C26" w14:textId="1E1AEA14" w:rsidR="007E6BE0" w:rsidRDefault="007E6BE0" w:rsidP="00D1603E">
            <w:pPr>
              <w:pStyle w:val="NotesText"/>
            </w:pPr>
            <w:r w:rsidRPr="00D1603E">
              <w:rPr>
                <w:b/>
              </w:rPr>
              <w:t>Yes</w:t>
            </w:r>
            <w:r>
              <w:t xml:space="preserve"> accepts the default status, requires a comment</w:t>
            </w:r>
            <w:r w:rsidR="001241DC">
              <w:t xml:space="preserve"> from the “</w:t>
            </w:r>
            <w:r w:rsidR="00E92D31">
              <w:t>Release From Quarantine” context</w:t>
            </w:r>
            <w:r>
              <w:t xml:space="preserve">, and captures details for inclusion in an Exception Report (exception type: expired unit released from quarantine). </w:t>
            </w:r>
            <w:r w:rsidRPr="00D1603E">
              <w:rPr>
                <w:b/>
              </w:rPr>
              <w:t>No</w:t>
            </w:r>
            <w:r>
              <w:t xml:space="preserve"> stops the process; the unit remains marked as quarantined.</w:t>
            </w:r>
          </w:p>
          <w:p w14:paraId="4EA273DD" w14:textId="77777777" w:rsidR="007E6BE0" w:rsidRDefault="007E6BE0" w:rsidP="00D1603E">
            <w:pPr>
              <w:pStyle w:val="NotesText"/>
            </w:pPr>
          </w:p>
          <w:p w14:paraId="4943B8C1" w14:textId="77777777" w:rsidR="007E6BE0" w:rsidRDefault="007E6BE0" w:rsidP="00D1603E">
            <w:pPr>
              <w:pStyle w:val="NotesText"/>
            </w:pPr>
            <w:r w:rsidRPr="00D1603E">
              <w:rPr>
                <w:vanish/>
                <w:szCs w:val="18"/>
              </w:rPr>
              <w:t xml:space="preserve">BR_27.05 </w:t>
            </w:r>
            <w:r>
              <w:t>When the user assigns a status of “Discard,” he must indicate whether the discard is waste or credit.</w:t>
            </w:r>
          </w:p>
          <w:p w14:paraId="4613AB4A" w14:textId="77777777" w:rsidR="007E6BE0" w:rsidRDefault="007E6BE0" w:rsidP="00D1603E">
            <w:pPr>
              <w:pStyle w:val="NotesText"/>
            </w:pPr>
          </w:p>
          <w:p w14:paraId="7B9F144A" w14:textId="77777777" w:rsidR="007E6BE0" w:rsidRDefault="007E6BE0" w:rsidP="00D1603E">
            <w:pPr>
              <w:pStyle w:val="NotesText"/>
            </w:pPr>
            <w:r w:rsidRPr="00D1603E">
              <w:rPr>
                <w:vanish/>
                <w:szCs w:val="18"/>
              </w:rPr>
              <w:lastRenderedPageBreak/>
              <w:t xml:space="preserve">BR_27.06 </w:t>
            </w:r>
            <w:r>
              <w:t>When VBECS processes a unit as a discard that is waste, it does not apply a return credit is not applied to the discarded unit. (There is no refund of monies from the blood shipper.)</w:t>
            </w:r>
          </w:p>
          <w:p w14:paraId="20DA55FE" w14:textId="77777777" w:rsidR="007E6BE0" w:rsidRDefault="007E6BE0" w:rsidP="00D1603E">
            <w:pPr>
              <w:pStyle w:val="NotesText"/>
            </w:pPr>
          </w:p>
          <w:p w14:paraId="7321B588" w14:textId="77777777" w:rsidR="007E6BE0" w:rsidRDefault="007E6BE0" w:rsidP="00D1603E">
            <w:pPr>
              <w:pStyle w:val="NotesText"/>
            </w:pPr>
            <w:r w:rsidRPr="00D1603E">
              <w:rPr>
                <w:vanish/>
                <w:szCs w:val="18"/>
              </w:rPr>
              <w:t xml:space="preserve">BR_27.07 </w:t>
            </w:r>
            <w:r>
              <w:t>When VBECS saves a unit as “discard for credit,” it applies a default return credit. A user may edit the default return credit applied to the unit before updating the database.</w:t>
            </w:r>
          </w:p>
          <w:p w14:paraId="6F3E0E73" w14:textId="77777777" w:rsidR="007E6BE0" w:rsidRDefault="007E6BE0" w:rsidP="00D1603E">
            <w:pPr>
              <w:pStyle w:val="NotesText"/>
            </w:pPr>
          </w:p>
          <w:p w14:paraId="3ABD4F48" w14:textId="77777777" w:rsidR="007E6BE0" w:rsidRDefault="007E6BE0" w:rsidP="00D1603E">
            <w:pPr>
              <w:pStyle w:val="NotesText"/>
            </w:pPr>
            <w:r w:rsidRPr="00D1603E">
              <w:rPr>
                <w:vanish/>
                <w:szCs w:val="18"/>
              </w:rPr>
              <w:t xml:space="preserve">BR_27.15 </w:t>
            </w:r>
            <w:r w:rsidR="00DC63E8">
              <w:t>When a unit has had a quarantine indicator assigned, VBECS releases any patient assignments. Patient restrictions associated with the unit remain intact.</w:t>
            </w:r>
          </w:p>
          <w:p w14:paraId="0B976097" w14:textId="77777777" w:rsidR="007E6BE0" w:rsidRDefault="007E6BE0" w:rsidP="00D1603E">
            <w:pPr>
              <w:pStyle w:val="NotesText"/>
            </w:pPr>
          </w:p>
          <w:p w14:paraId="496135C1" w14:textId="77777777" w:rsidR="007E6BE0" w:rsidRDefault="007E6BE0" w:rsidP="00D1603E">
            <w:pPr>
              <w:pStyle w:val="NotesText"/>
            </w:pPr>
            <w:r w:rsidRPr="00D1603E">
              <w:rPr>
                <w:vanish/>
                <w:szCs w:val="18"/>
              </w:rPr>
              <w:t xml:space="preserve">BR_27.16 </w:t>
            </w:r>
            <w:r>
              <w:t>When a user attempts to release a unit from quarantine and the unit was quarantined because of a data conflict, VBECS checks the inconsistency before allowing the unit to be released. VBECS warns the user. There is no override. The user must invalidate the incorrect information or test to resolve the data conflict.</w:t>
            </w:r>
          </w:p>
        </w:tc>
      </w:tr>
      <w:tr w:rsidR="007E6BE0" w14:paraId="06981A4C" w14:textId="77777777">
        <w:tc>
          <w:tcPr>
            <w:tcW w:w="3240" w:type="dxa"/>
            <w:tcBorders>
              <w:top w:val="single" w:sz="4" w:space="0" w:color="auto"/>
              <w:left w:val="single" w:sz="4" w:space="0" w:color="auto"/>
              <w:bottom w:val="single" w:sz="4" w:space="0" w:color="auto"/>
              <w:right w:val="single" w:sz="4" w:space="0" w:color="auto"/>
            </w:tcBorders>
          </w:tcPr>
          <w:p w14:paraId="1A6E408A" w14:textId="77777777" w:rsidR="007E6BE0" w:rsidRDefault="004724C0" w:rsidP="00F90585">
            <w:pPr>
              <w:pStyle w:val="TableTextNumbers"/>
            </w:pPr>
            <w:r>
              <w:lastRenderedPageBreak/>
              <w:t>E</w:t>
            </w:r>
            <w:r w:rsidR="007E6BE0">
              <w:t xml:space="preserve">nter the date and time of the status update. </w:t>
            </w:r>
          </w:p>
          <w:p w14:paraId="12AE9D1E" w14:textId="77777777" w:rsidR="007E6BE0" w:rsidRDefault="007E6BE0" w:rsidP="00E00A07">
            <w:pPr>
              <w:pStyle w:val="TableTextNumbersContinued"/>
            </w:pPr>
          </w:p>
          <w:p w14:paraId="4FCE371A" w14:textId="77777777" w:rsidR="007E6BE0" w:rsidRDefault="007E6BE0" w:rsidP="00E00A07">
            <w:pPr>
              <w:pStyle w:val="TableTextNumbersContinued"/>
            </w:pPr>
            <w:r>
              <w:t xml:space="preserve">Click the </w:t>
            </w:r>
            <w:r w:rsidRPr="00E00A07">
              <w:rPr>
                <w:b/>
              </w:rPr>
              <w:t>Waste</w:t>
            </w:r>
            <w:r>
              <w:t xml:space="preserve"> or </w:t>
            </w:r>
            <w:r w:rsidRPr="00E00A07">
              <w:rPr>
                <w:b/>
              </w:rPr>
              <w:t xml:space="preserve">Credit </w:t>
            </w:r>
            <w:r w:rsidRPr="00BF2E41">
              <w:t>radio button</w:t>
            </w:r>
            <w:r>
              <w:t>.</w:t>
            </w:r>
          </w:p>
        </w:tc>
        <w:tc>
          <w:tcPr>
            <w:tcW w:w="6120" w:type="dxa"/>
            <w:tcBorders>
              <w:top w:val="single" w:sz="4" w:space="0" w:color="auto"/>
              <w:left w:val="single" w:sz="4" w:space="0" w:color="auto"/>
              <w:bottom w:val="single" w:sz="4" w:space="0" w:color="auto"/>
              <w:right w:val="single" w:sz="4" w:space="0" w:color="auto"/>
            </w:tcBorders>
          </w:tcPr>
          <w:p w14:paraId="3524CAEB" w14:textId="77777777" w:rsidR="00E831C2" w:rsidRDefault="00E831C2" w:rsidP="00F90585">
            <w:pPr>
              <w:pStyle w:val="TableTextBullet"/>
            </w:pPr>
            <w:r>
              <w:rPr>
                <w:vanish/>
              </w:rPr>
              <w:t xml:space="preserve">DR 3241 </w:t>
            </w:r>
            <w:r>
              <w:t xml:space="preserve">VBECS defaults the date and time of the status update to the date and time the user opened the Discard or Quarantine option </w:t>
            </w:r>
          </w:p>
          <w:p w14:paraId="5F89777B" w14:textId="77777777" w:rsidR="007E6BE0" w:rsidRDefault="007E6BE0" w:rsidP="00F90585">
            <w:pPr>
              <w:pStyle w:val="TableTextBullet"/>
            </w:pPr>
            <w:r>
              <w:t>Displays entered data.</w:t>
            </w:r>
          </w:p>
          <w:p w14:paraId="37B988EB" w14:textId="77777777" w:rsidR="00596172" w:rsidRDefault="00596172" w:rsidP="00596172">
            <w:pPr>
              <w:pStyle w:val="TableText"/>
            </w:pPr>
          </w:p>
          <w:p w14:paraId="63C6740A" w14:textId="12322A4E" w:rsidR="00596172" w:rsidRDefault="00596172" w:rsidP="00596172">
            <w:pPr>
              <w:pStyle w:val="TableText"/>
              <w:rPr>
                <w:b/>
                <w:bCs/>
                <w:szCs w:val="18"/>
              </w:rPr>
            </w:pPr>
            <w:r>
              <w:rPr>
                <w:b/>
                <w:bCs/>
                <w:szCs w:val="18"/>
              </w:rPr>
              <w:t>NOTES</w:t>
            </w:r>
          </w:p>
          <w:p w14:paraId="4F5E8736" w14:textId="77777777" w:rsidR="00596172" w:rsidRDefault="00596172" w:rsidP="00596172">
            <w:pPr>
              <w:pStyle w:val="NotesText"/>
            </w:pPr>
          </w:p>
          <w:p w14:paraId="78760BD0" w14:textId="77777777" w:rsidR="007E6BE0" w:rsidRDefault="007E6BE0" w:rsidP="00596172">
            <w:pPr>
              <w:pStyle w:val="NotesText"/>
            </w:pPr>
            <w:r>
              <w:t>The default date and time are the current date and time.</w:t>
            </w:r>
          </w:p>
          <w:p w14:paraId="63B02BA9" w14:textId="77777777" w:rsidR="007E6BE0" w:rsidRDefault="007E6BE0" w:rsidP="00596172">
            <w:pPr>
              <w:pStyle w:val="NotesText"/>
            </w:pPr>
          </w:p>
          <w:p w14:paraId="7887F165" w14:textId="77777777" w:rsidR="007E6BE0" w:rsidRDefault="007E6BE0" w:rsidP="00596172">
            <w:pPr>
              <w:pStyle w:val="NotesText"/>
            </w:pPr>
            <w:r w:rsidRPr="00596172">
              <w:rPr>
                <w:vanish/>
                <w:szCs w:val="18"/>
              </w:rPr>
              <w:t xml:space="preserve">BR_27.14 </w:t>
            </w:r>
            <w:r>
              <w:t>When the user updates the status of a unit and enters a date or time in the past, VBECS compares the retrospective date and time with the last record update for the unit. VBECS allows the user to update a unit record with a date and time between the last record update and the current date and time.</w:t>
            </w:r>
            <w:bookmarkStart w:id="397" w:name="two2511"/>
            <w:bookmarkEnd w:id="397"/>
          </w:p>
          <w:p w14:paraId="1244AB54" w14:textId="77777777" w:rsidR="007E6BE0" w:rsidRDefault="007E6BE0" w:rsidP="00596172">
            <w:pPr>
              <w:pStyle w:val="NotesText"/>
            </w:pPr>
          </w:p>
          <w:p w14:paraId="6F6D5DE6" w14:textId="77777777" w:rsidR="007E6BE0" w:rsidRDefault="00263B24" w:rsidP="00596172">
            <w:pPr>
              <w:pStyle w:val="NotesText"/>
            </w:pPr>
            <w:r w:rsidRPr="00896F17">
              <w:rPr>
                <w:rStyle w:val="BullhornChar"/>
              </w:rPr>
              <w:t></w:t>
            </w:r>
            <w:r w:rsidR="00596172" w:rsidRPr="00EC7489">
              <w:rPr>
                <w:rFonts w:ascii="Wingdings 3" w:hAnsi="Wingdings 3" w:cs="Wingdings"/>
              </w:rPr>
              <w:t></w:t>
            </w:r>
            <w:r w:rsidR="00596172" w:rsidRPr="00EC7489">
              <w:rPr>
                <w:rFonts w:ascii="Wingdings 3" w:hAnsi="Wingdings 3" w:cs="Wingdings"/>
              </w:rPr>
              <w:t></w:t>
            </w:r>
            <w:r w:rsidR="00596172">
              <w:t xml:space="preserve"> When</w:t>
            </w:r>
            <w:r w:rsidR="007E6BE0">
              <w:t xml:space="preserve"> the user attempts to update a unit record prior to the last record update, VBECS emits an audible alert, warns the Enhanced Technologist, and instructs him to check the date and time entered. There is no override.</w:t>
            </w:r>
          </w:p>
          <w:p w14:paraId="51B83D16" w14:textId="77777777" w:rsidR="007E6BE0" w:rsidRDefault="007E6BE0" w:rsidP="00596172">
            <w:pPr>
              <w:pStyle w:val="NotesText"/>
            </w:pPr>
          </w:p>
          <w:p w14:paraId="240C4AA3" w14:textId="1F903CC9" w:rsidR="007E6BE0" w:rsidRDefault="005C768D" w:rsidP="00596172">
            <w:pPr>
              <w:pStyle w:val="NotesText"/>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w:t>
            </w:r>
            <w:r w:rsidR="007E6BE0">
              <w:t xml:space="preserve">When the user is a Lead Technologist, VBECS also requires a comment and asks whether the user wishes to continue. </w:t>
            </w:r>
            <w:r w:rsidR="007E6BE0" w:rsidRPr="00596172">
              <w:rPr>
                <w:b/>
              </w:rPr>
              <w:t>Yes</w:t>
            </w:r>
            <w:r w:rsidR="007E6BE0">
              <w:t xml:space="preserve"> accepts the date and time entered, requires a comment</w:t>
            </w:r>
            <w:r w:rsidR="00992E3B">
              <w:t xml:space="preserve"> </w:t>
            </w:r>
            <w:r w:rsidR="00AA607F">
              <w:t>from the “Quarantine/Discard” context</w:t>
            </w:r>
            <w:r w:rsidR="007E6BE0">
              <w:t xml:space="preserve">, and captures details for inclusion in an Exception Report (exception type: retrospective update prior to last record update). </w:t>
            </w:r>
            <w:r w:rsidR="007E6BE0" w:rsidRPr="00596172">
              <w:rPr>
                <w:b/>
              </w:rPr>
              <w:t>No</w:t>
            </w:r>
            <w:r w:rsidR="007E6BE0">
              <w:t xml:space="preserve"> allows the user to correct the entry.</w:t>
            </w:r>
          </w:p>
        </w:tc>
      </w:tr>
      <w:tr w:rsidR="007E6BE0" w14:paraId="7532C265" w14:textId="77777777">
        <w:tc>
          <w:tcPr>
            <w:tcW w:w="3240" w:type="dxa"/>
            <w:tcBorders>
              <w:top w:val="single" w:sz="4" w:space="0" w:color="auto"/>
              <w:left w:val="single" w:sz="4" w:space="0" w:color="auto"/>
              <w:bottom w:val="single" w:sz="4" w:space="0" w:color="auto"/>
              <w:right w:val="single" w:sz="4" w:space="0" w:color="auto"/>
            </w:tcBorders>
          </w:tcPr>
          <w:p w14:paraId="1435893D" w14:textId="77777777" w:rsidR="007E6BE0" w:rsidRDefault="007E6BE0" w:rsidP="00F90585">
            <w:pPr>
              <w:pStyle w:val="TableTextNumbers"/>
            </w:pPr>
            <w:r>
              <w:t xml:space="preserve">Review the unit status update information and click </w:t>
            </w:r>
            <w:r w:rsidR="005122E2">
              <w:rPr>
                <w:b/>
              </w:rPr>
              <w:t>Save</w:t>
            </w:r>
            <w:r w:rsidR="005122E2" w:rsidRPr="009535FF">
              <w:t xml:space="preserve"> </w:t>
            </w:r>
            <w:r w:rsidRPr="009535FF">
              <w:t>to save</w:t>
            </w:r>
            <w:r>
              <w:t>.</w:t>
            </w:r>
          </w:p>
        </w:tc>
        <w:tc>
          <w:tcPr>
            <w:tcW w:w="6120" w:type="dxa"/>
            <w:tcBorders>
              <w:top w:val="single" w:sz="4" w:space="0" w:color="auto"/>
              <w:left w:val="single" w:sz="4" w:space="0" w:color="auto"/>
              <w:bottom w:val="single" w:sz="4" w:space="0" w:color="auto"/>
              <w:right w:val="single" w:sz="4" w:space="0" w:color="auto"/>
            </w:tcBorders>
          </w:tcPr>
          <w:p w14:paraId="64DEA267" w14:textId="77777777" w:rsidR="007E6BE0" w:rsidRDefault="007E6BE0" w:rsidP="00F90585">
            <w:pPr>
              <w:pStyle w:val="TableTextBullet"/>
            </w:pPr>
            <w:r>
              <w:t xml:space="preserve">Evaluates the unit’s current status to determine whether it is eligible for the selected function. </w:t>
            </w:r>
          </w:p>
          <w:p w14:paraId="4C0940EE" w14:textId="77777777" w:rsidR="007E6BE0" w:rsidRDefault="007E6BE0" w:rsidP="00F90585">
            <w:pPr>
              <w:pStyle w:val="TableTextBullet"/>
            </w:pPr>
            <w:r>
              <w:t>Displays appropriate error messages when the unit cannot be processed.</w:t>
            </w:r>
          </w:p>
          <w:p w14:paraId="1A0CB970" w14:textId="77777777" w:rsidR="007E6BE0" w:rsidRDefault="007E6BE0" w:rsidP="00F90585">
            <w:pPr>
              <w:pStyle w:val="TableTextBullet"/>
            </w:pPr>
            <w:r>
              <w:t>Prompts the user to confirm the save.</w:t>
            </w:r>
          </w:p>
        </w:tc>
      </w:tr>
      <w:tr w:rsidR="007E6BE0" w14:paraId="5ADA082A" w14:textId="77777777">
        <w:tc>
          <w:tcPr>
            <w:tcW w:w="3240" w:type="dxa"/>
            <w:tcBorders>
              <w:top w:val="single" w:sz="4" w:space="0" w:color="auto"/>
              <w:left w:val="single" w:sz="4" w:space="0" w:color="auto"/>
              <w:bottom w:val="single" w:sz="4" w:space="0" w:color="auto"/>
              <w:right w:val="single" w:sz="4" w:space="0" w:color="auto"/>
            </w:tcBorders>
          </w:tcPr>
          <w:p w14:paraId="37588C30" w14:textId="77777777" w:rsidR="007E6BE0" w:rsidRDefault="007E6BE0" w:rsidP="00F90585">
            <w:pPr>
              <w:pStyle w:val="TableTextNumbers"/>
            </w:pPr>
            <w:r>
              <w:t xml:space="preserve">Click </w:t>
            </w:r>
            <w:r w:rsidRPr="00E00A07">
              <w:rPr>
                <w:b/>
              </w:rPr>
              <w:t>Yes</w:t>
            </w:r>
            <w:r>
              <w:t xml:space="preserve"> to confirm the save.</w:t>
            </w:r>
            <w:r w:rsidRPr="007E6BE0">
              <w:t xml:space="preserve"> </w:t>
            </w:r>
            <w:r w:rsidRPr="009D2C1A">
              <w:rPr>
                <w:vanish/>
                <w:szCs w:val="18"/>
              </w:rPr>
              <w:fldChar w:fldCharType="begin"/>
            </w:r>
            <w:r w:rsidRPr="009D2C1A">
              <w:rPr>
                <w:vanish/>
                <w:szCs w:val="18"/>
              </w:rPr>
              <w:instrText xml:space="preserve"> LISTNUM \l 1 \s 0 </w:instrText>
            </w:r>
            <w:r w:rsidRPr="009D2C1A">
              <w:rPr>
                <w:vanish/>
                <w:szCs w:val="18"/>
              </w:rPr>
              <w:fldChar w:fldCharType="end">
                <w:numberingChange w:id="398" w:author="MUSZYNSKI, THOMAS D. (SIERRA 7 INC)" w:date="2024-11-26T07:15:00Z" w:original="0."/>
              </w:fldChar>
            </w:r>
          </w:p>
        </w:tc>
        <w:tc>
          <w:tcPr>
            <w:tcW w:w="6120" w:type="dxa"/>
            <w:tcBorders>
              <w:top w:val="single" w:sz="4" w:space="0" w:color="auto"/>
              <w:left w:val="single" w:sz="4" w:space="0" w:color="auto"/>
              <w:bottom w:val="single" w:sz="4" w:space="0" w:color="auto"/>
              <w:right w:val="single" w:sz="4" w:space="0" w:color="auto"/>
            </w:tcBorders>
          </w:tcPr>
          <w:p w14:paraId="5B06CBB4" w14:textId="77777777" w:rsidR="007E6BE0" w:rsidRDefault="007E6BE0" w:rsidP="00F90585">
            <w:pPr>
              <w:pStyle w:val="TableTextBullet"/>
            </w:pPr>
            <w:r>
              <w:t>Saves the data.</w:t>
            </w:r>
          </w:p>
          <w:p w14:paraId="2EC1900F" w14:textId="77777777" w:rsidR="00596172" w:rsidRDefault="00596172" w:rsidP="00596172">
            <w:pPr>
              <w:pStyle w:val="TableText"/>
            </w:pPr>
          </w:p>
          <w:p w14:paraId="52C056DB" w14:textId="298D9D1F" w:rsidR="00596172" w:rsidRDefault="00596172" w:rsidP="00596172">
            <w:pPr>
              <w:pStyle w:val="TableText"/>
              <w:rPr>
                <w:b/>
                <w:bCs/>
                <w:szCs w:val="18"/>
              </w:rPr>
            </w:pPr>
            <w:r>
              <w:rPr>
                <w:b/>
                <w:bCs/>
                <w:szCs w:val="18"/>
              </w:rPr>
              <w:t>NOTES</w:t>
            </w:r>
          </w:p>
          <w:p w14:paraId="37D0ED5F" w14:textId="77777777" w:rsidR="00596172" w:rsidRDefault="00596172" w:rsidP="00596172">
            <w:pPr>
              <w:pStyle w:val="NotesText"/>
            </w:pPr>
          </w:p>
          <w:p w14:paraId="652F18DF" w14:textId="77777777" w:rsidR="007E6BE0" w:rsidRDefault="007E6BE0" w:rsidP="00596172">
            <w:pPr>
              <w:pStyle w:val="NotesText"/>
            </w:pPr>
            <w:r w:rsidRPr="00596172">
              <w:rPr>
                <w:vanish/>
                <w:szCs w:val="18"/>
              </w:rPr>
              <w:t xml:space="preserve">BR_27.01 </w:t>
            </w:r>
            <w:r>
              <w:t>During batch data entry of “Discard,” “Quarantine,” and “Release from Quarantine,” VBECS saves transaction details, including user-entered comments, to each blood unit included in the batch.</w:t>
            </w:r>
          </w:p>
        </w:tc>
      </w:tr>
    </w:tbl>
    <w:p w14:paraId="0ED77B88" w14:textId="77777777" w:rsidR="002A21AE" w:rsidRDefault="00C909C1">
      <w:pPr>
        <w:pStyle w:val="Heading2"/>
      </w:pPr>
      <w:bookmarkStart w:id="399" w:name="_Select_Units_1"/>
      <w:bookmarkEnd w:id="399"/>
      <w:r>
        <w:br w:type="page"/>
      </w:r>
      <w:bookmarkStart w:id="400" w:name="_Ref507079957"/>
      <w:bookmarkStart w:id="401" w:name="_Toc203765898"/>
      <w:r w:rsidR="002A21AE">
        <w:lastRenderedPageBreak/>
        <w:t>Select Units</w:t>
      </w:r>
      <w:bookmarkEnd w:id="400"/>
      <w:bookmarkEnd w:id="401"/>
      <w:r w:rsidR="002A21AE" w:rsidRPr="007716F7">
        <w:rPr>
          <w:vanish/>
        </w:rPr>
        <w:fldChar w:fldCharType="begin"/>
      </w:r>
      <w:r w:rsidR="002A21AE" w:rsidRPr="007716F7">
        <w:rPr>
          <w:vanish/>
        </w:rPr>
        <w:instrText xml:space="preserve"> XE </w:instrText>
      </w:r>
      <w:r w:rsidR="00FA7E65" w:rsidRPr="007716F7">
        <w:rPr>
          <w:vanish/>
        </w:rPr>
        <w:instrText>“</w:instrText>
      </w:r>
      <w:r w:rsidR="002A21AE" w:rsidRPr="007716F7">
        <w:rPr>
          <w:vanish/>
        </w:rPr>
        <w:instrText>Select Units</w:instrText>
      </w:r>
      <w:r w:rsidR="00FA7E65" w:rsidRPr="007716F7">
        <w:rPr>
          <w:vanish/>
        </w:rPr>
        <w:instrText>”</w:instrText>
      </w:r>
      <w:r w:rsidR="002A21AE" w:rsidRPr="007716F7">
        <w:rPr>
          <w:vanish/>
        </w:rPr>
        <w:instrText xml:space="preserve"> </w:instrText>
      </w:r>
      <w:r w:rsidR="002A21AE" w:rsidRPr="007716F7">
        <w:rPr>
          <w:vanish/>
        </w:rPr>
        <w:fldChar w:fldCharType="end"/>
      </w:r>
      <w:r w:rsidR="002A21AE" w:rsidRPr="007716F7">
        <w:rPr>
          <w:vanish/>
        </w:rPr>
        <w:t xml:space="preserve"> UC_03</w:t>
      </w:r>
    </w:p>
    <w:p w14:paraId="7BAACA79" w14:textId="77777777" w:rsidR="002A21AE" w:rsidRDefault="002A21AE" w:rsidP="00FA7E65">
      <w:pPr>
        <w:pStyle w:val="BodyText"/>
      </w:pPr>
      <w:bookmarkStart w:id="402" w:name="_Toc77662463"/>
      <w:r>
        <w:t xml:space="preserve">A user selects a patient component order and assigns one or more products to a patient for possible transfusion. </w:t>
      </w:r>
    </w:p>
    <w:p w14:paraId="62267B64" w14:textId="77777777" w:rsidR="002A21AE" w:rsidRDefault="002A21AE">
      <w:pPr>
        <w:pStyle w:val="Heading4"/>
      </w:pPr>
      <w:r>
        <w:t>Assumptions</w:t>
      </w:r>
    </w:p>
    <w:p w14:paraId="795899D8" w14:textId="77777777" w:rsidR="002A21AE" w:rsidRDefault="002A21AE">
      <w:pPr>
        <w:pStyle w:val="ListBullet"/>
      </w:pPr>
      <w:r>
        <w:t xml:space="preserve">An appropriate current order was accepted through Accept Orders: Accept an Order. </w:t>
      </w:r>
    </w:p>
    <w:p w14:paraId="5712F099" w14:textId="77777777" w:rsidR="002A21AE" w:rsidRDefault="002A21AE">
      <w:pPr>
        <w:pStyle w:val="ListBullet"/>
      </w:pPr>
      <w:r>
        <w:rPr>
          <w:rFonts w:cs="Arial"/>
        </w:rPr>
        <w:t xml:space="preserve">The </w:t>
      </w:r>
      <w:r>
        <w:t>division</w:t>
      </w:r>
      <w:r>
        <w:rPr>
          <w:rFonts w:cs="Arial"/>
        </w:rPr>
        <w:t xml:space="preserve"> </w:t>
      </w:r>
      <w:r>
        <w:t xml:space="preserve">may or may not allow electronic crossmatch (eXM). </w:t>
      </w:r>
    </w:p>
    <w:p w14:paraId="0CA5049D" w14:textId="77777777" w:rsidR="002A21AE" w:rsidRDefault="002A21AE">
      <w:pPr>
        <w:pStyle w:val="ListBullet"/>
      </w:pPr>
      <w:r>
        <w:t>When a division is “transfusion only,” eXM is not available. The user must enter a serologic crossmatch (XM) interpretation.</w:t>
      </w:r>
    </w:p>
    <w:p w14:paraId="31AEA525" w14:textId="77777777" w:rsidR="006B0DD4" w:rsidRDefault="006B0DD4">
      <w:pPr>
        <w:pStyle w:val="ListBullet"/>
      </w:pPr>
      <w:r>
        <w:t>Current patient TAS specimen is required for (ABO/Rh and Antibody Screen) required tests for “WHOLE BLOOD” and “RED BLOOD CELLS” component classes and individual “PLATELET” and “OTHER” units that contain equal to or greater than (= &gt;) 2 mL of RBC contamination which requires crossmatch.</w:t>
      </w:r>
    </w:p>
    <w:p w14:paraId="1402596E" w14:textId="77777777" w:rsidR="002A21AE" w:rsidRDefault="002A21AE">
      <w:pPr>
        <w:pStyle w:val="Heading4"/>
      </w:pPr>
      <w:r>
        <w:t>Outcome</w:t>
      </w:r>
    </w:p>
    <w:p w14:paraId="392D9466" w14:textId="77777777" w:rsidR="002A21AE" w:rsidRDefault="002A21AE">
      <w:pPr>
        <w:pStyle w:val="ListBullet"/>
      </w:pPr>
      <w:r>
        <w:t>The status of the unit and the associated component order task status are updated.</w:t>
      </w:r>
    </w:p>
    <w:p w14:paraId="24A2D2D1" w14:textId="77777777" w:rsidR="002A21AE" w:rsidRDefault="002A21AE">
      <w:pPr>
        <w:pStyle w:val="ListBullet"/>
      </w:pPr>
      <w:r>
        <w:t>VBECS indicates that units are available for issue when units do not require XM or other additional testing.</w:t>
      </w:r>
    </w:p>
    <w:p w14:paraId="157E5387" w14:textId="77777777" w:rsidR="002A21AE" w:rsidRDefault="002A21AE">
      <w:pPr>
        <w:pStyle w:val="ListBullet"/>
      </w:pPr>
      <w:r>
        <w:t>VBECS allows the user to print a Blood Transfusion Record Form (BTRF) and a Caution Tag for available blood products.</w:t>
      </w:r>
    </w:p>
    <w:p w14:paraId="2A570CFB" w14:textId="77777777" w:rsidR="002B7882" w:rsidRDefault="002A21AE" w:rsidP="00B01176">
      <w:pPr>
        <w:pStyle w:val="ListBullet"/>
      </w:pPr>
      <w:r>
        <w:t>When serologic XM is required, VBECS automatically adds units to the XM data entry grid when Patient Testing: Record a Crossmatch is accessed.</w:t>
      </w:r>
    </w:p>
    <w:p w14:paraId="6899AFBB" w14:textId="5DCCCCA3" w:rsidR="00B01176" w:rsidRDefault="00B01176" w:rsidP="00B01176">
      <w:pPr>
        <w:pStyle w:val="ListBullet"/>
      </w:pPr>
      <w:r>
        <w:t xml:space="preserve">When eXM is enabled for the facility, the patient is eligible for eXM in accordance with system rules (see </w:t>
      </w:r>
      <w:r w:rsidR="00EE455E">
        <w:t xml:space="preserve">Table </w:t>
      </w:r>
      <w:r w:rsidR="00EE455E">
        <w:rPr>
          <w:noProof/>
        </w:rPr>
        <w:t>22</w:t>
      </w:r>
      <w:r w:rsidR="00EE455E">
        <w:t xml:space="preserve">: </w:t>
      </w:r>
      <w:r w:rsidR="00EE455E">
        <w:rPr>
          <w:vanish/>
        </w:rPr>
        <w:t xml:space="preserve">TT_3.05 </w:t>
      </w:r>
      <w:r w:rsidR="00EE455E">
        <w:t>Rules for Electronic and Serologic Crossmatch</w:t>
      </w:r>
      <w:r>
        <w:t xml:space="preserve">), and the user selects a unit, </w:t>
      </w:r>
      <w:r w:rsidR="002F6113">
        <w:t xml:space="preserve">and processes the eXM. </w:t>
      </w:r>
      <w:r>
        <w:t>VBECS assigns the unit to the patient without further testing.</w:t>
      </w:r>
    </w:p>
    <w:p w14:paraId="1FBA9516" w14:textId="77777777" w:rsidR="00561829" w:rsidRDefault="00561829" w:rsidP="00561829">
      <w:pPr>
        <w:pStyle w:val="ListBullet"/>
      </w:pPr>
      <w:r>
        <w:t>If workload codes are assigned for this process, workload-related data collected as the result of this process are stored for inclusion in Workload Reports.</w:t>
      </w:r>
    </w:p>
    <w:p w14:paraId="6AF77BC3" w14:textId="77777777" w:rsidR="002A21AE" w:rsidRDefault="002A21AE">
      <w:pPr>
        <w:pStyle w:val="Heading4"/>
      </w:pPr>
      <w:r>
        <w:t>Limitations and Restrictions</w:t>
      </w:r>
    </w:p>
    <w:p w14:paraId="3353D815" w14:textId="77777777" w:rsidR="002A21AE" w:rsidRPr="007A44E4" w:rsidRDefault="00320DAE">
      <w:pPr>
        <w:pStyle w:val="ListBullet"/>
        <w:rPr>
          <w:spacing w:val="0"/>
        </w:rPr>
      </w:pPr>
      <w:r>
        <w:rPr>
          <w:vanish/>
          <w:spacing w:val="0"/>
        </w:rPr>
        <w:t>Task 1,126</w:t>
      </w:r>
      <w:r w:rsidR="002F6113">
        <w:rPr>
          <w:vanish/>
          <w:spacing w:val="0"/>
        </w:rPr>
        <w:t xml:space="preserve"> </w:t>
      </w:r>
      <w:r>
        <w:rPr>
          <w:spacing w:val="0"/>
        </w:rPr>
        <w:t>When a u</w:t>
      </w:r>
      <w:r w:rsidRPr="00320DAE">
        <w:rPr>
          <w:spacing w:val="0"/>
        </w:rPr>
        <w:t>ser check</w:t>
      </w:r>
      <w:r>
        <w:rPr>
          <w:spacing w:val="0"/>
        </w:rPr>
        <w:t>s</w:t>
      </w:r>
      <w:r w:rsidRPr="00320DAE">
        <w:rPr>
          <w:spacing w:val="0"/>
        </w:rPr>
        <w:t xml:space="preserve"> the </w:t>
      </w:r>
      <w:r>
        <w:rPr>
          <w:spacing w:val="0"/>
        </w:rPr>
        <w:t>“</w:t>
      </w:r>
      <w:r w:rsidRPr="00320DAE">
        <w:rPr>
          <w:spacing w:val="0"/>
        </w:rPr>
        <w:t xml:space="preserve">D </w:t>
      </w:r>
      <w:r>
        <w:rPr>
          <w:spacing w:val="0"/>
        </w:rPr>
        <w:t>P</w:t>
      </w:r>
      <w:r w:rsidRPr="00320DAE">
        <w:rPr>
          <w:spacing w:val="0"/>
        </w:rPr>
        <w:t>os</w:t>
      </w:r>
      <w:r>
        <w:rPr>
          <w:spacing w:val="0"/>
        </w:rPr>
        <w:t>”</w:t>
      </w:r>
      <w:r w:rsidRPr="00320DAE">
        <w:rPr>
          <w:spacing w:val="0"/>
        </w:rPr>
        <w:t xml:space="preserve"> or </w:t>
      </w:r>
      <w:r>
        <w:rPr>
          <w:spacing w:val="0"/>
        </w:rPr>
        <w:t>“</w:t>
      </w:r>
      <w:r w:rsidRPr="00320DAE">
        <w:rPr>
          <w:spacing w:val="0"/>
        </w:rPr>
        <w:t xml:space="preserve">D </w:t>
      </w:r>
      <w:r>
        <w:rPr>
          <w:spacing w:val="0"/>
        </w:rPr>
        <w:t>N</w:t>
      </w:r>
      <w:r w:rsidRPr="00320DAE">
        <w:rPr>
          <w:spacing w:val="0"/>
        </w:rPr>
        <w:t>eg</w:t>
      </w:r>
      <w:r>
        <w:rPr>
          <w:spacing w:val="0"/>
        </w:rPr>
        <w:t>”</w:t>
      </w:r>
      <w:r w:rsidRPr="00320DAE">
        <w:rPr>
          <w:spacing w:val="0"/>
        </w:rPr>
        <w:t xml:space="preserve"> check box to modify a search for blood</w:t>
      </w:r>
      <w:r>
        <w:rPr>
          <w:spacing w:val="0"/>
        </w:rPr>
        <w:t>, VBECS returns no units, regardless of the availability of units</w:t>
      </w:r>
      <w:r w:rsidRPr="00320DAE">
        <w:rPr>
          <w:spacing w:val="0"/>
        </w:rPr>
        <w:t xml:space="preserve">. </w:t>
      </w:r>
    </w:p>
    <w:p w14:paraId="32957B5E" w14:textId="77777777" w:rsidR="004E4368" w:rsidRDefault="004E75A5" w:rsidP="004E75A5">
      <w:pPr>
        <w:pStyle w:val="ListBullet"/>
      </w:pPr>
      <w:r w:rsidRPr="0065187A">
        <w:rPr>
          <w:vanish/>
        </w:rPr>
        <w:t xml:space="preserve">DR 2,578 </w:t>
      </w:r>
      <w:r w:rsidR="004E4368" w:rsidRPr="0065187A">
        <w:rPr>
          <w:vanish/>
        </w:rPr>
        <w:t>DR 2,808</w:t>
      </w:r>
      <w:r w:rsidR="004E4368" w:rsidRPr="004E4368">
        <w:t>VBECS displays a</w:t>
      </w:r>
      <w:r w:rsidR="000E6B9F">
        <w:t xml:space="preserve"> compo</w:t>
      </w:r>
      <w:r w:rsidR="004E4368">
        <w:t>n</w:t>
      </w:r>
      <w:r w:rsidR="000E6B9F">
        <w:t>ent</w:t>
      </w:r>
      <w:r w:rsidR="004E4368" w:rsidRPr="004E4368">
        <w:t xml:space="preserve"> order </w:t>
      </w:r>
      <w:r w:rsidR="004E4368">
        <w:t xml:space="preserve">as </w:t>
      </w:r>
      <w:r w:rsidR="00955DA3">
        <w:t>“F</w:t>
      </w:r>
      <w:r w:rsidR="002316B0">
        <w:t xml:space="preserve">illed” </w:t>
      </w:r>
      <w:r w:rsidR="004E4368" w:rsidRPr="004E4368">
        <w:t xml:space="preserve">when the number of units </w:t>
      </w:r>
      <w:r w:rsidR="002316B0">
        <w:t>transfused</w:t>
      </w:r>
      <w:r w:rsidR="002316B0" w:rsidRPr="004E4368">
        <w:t xml:space="preserve"> </w:t>
      </w:r>
      <w:r w:rsidR="004E4368" w:rsidRPr="004E4368">
        <w:t>and the number of units ordered are the same</w:t>
      </w:r>
      <w:r w:rsidR="00955DA3">
        <w:t xml:space="preserve"> and continues to display the</w:t>
      </w:r>
      <w:r w:rsidR="000E6B9F">
        <w:t xml:space="preserve"> component </w:t>
      </w:r>
      <w:r w:rsidR="004E4368">
        <w:t xml:space="preserve">order </w:t>
      </w:r>
      <w:r w:rsidR="00955DA3">
        <w:t xml:space="preserve">until the order expires. CPRS displays a component order </w:t>
      </w:r>
      <w:r w:rsidR="004E4368">
        <w:t xml:space="preserve">as </w:t>
      </w:r>
      <w:r w:rsidR="00505F89">
        <w:t>“</w:t>
      </w:r>
      <w:r w:rsidR="00955DA3">
        <w:t>C</w:t>
      </w:r>
      <w:r w:rsidR="004E4368">
        <w:t>ompleted</w:t>
      </w:r>
      <w:r w:rsidR="00505F89">
        <w:t>”</w:t>
      </w:r>
      <w:r w:rsidR="004E4368">
        <w:t xml:space="preserve">. Therefore, CPRS displays the order as </w:t>
      </w:r>
      <w:r w:rsidR="00505F89">
        <w:t>“</w:t>
      </w:r>
      <w:r w:rsidR="00955DA3">
        <w:t>C</w:t>
      </w:r>
      <w:r w:rsidR="004E4368">
        <w:t>ompleted</w:t>
      </w:r>
      <w:r w:rsidR="00505F89">
        <w:t>”</w:t>
      </w:r>
      <w:r w:rsidR="004E4368">
        <w:t xml:space="preserve"> before VBECS </w:t>
      </w:r>
      <w:r w:rsidR="00955DA3">
        <w:t>displays the order as “F</w:t>
      </w:r>
      <w:r w:rsidR="002316B0">
        <w:t>illed</w:t>
      </w:r>
      <w:r w:rsidR="004E4368">
        <w:t>.</w:t>
      </w:r>
      <w:r w:rsidR="002316B0">
        <w:t>”</w:t>
      </w:r>
      <w:r w:rsidR="0065187A">
        <w:t xml:space="preserve"> The associated LAB orde</w:t>
      </w:r>
      <w:r w:rsidR="00955DA3">
        <w:t>r will then also be marked as “C</w:t>
      </w:r>
      <w:r w:rsidR="0065187A">
        <w:t>ompleted”.</w:t>
      </w:r>
    </w:p>
    <w:p w14:paraId="2BAA818B" w14:textId="77777777" w:rsidR="00C43E70" w:rsidRDefault="00C43E70" w:rsidP="004E75A5">
      <w:pPr>
        <w:pStyle w:val="ListBullet"/>
      </w:pPr>
      <w:r>
        <w:t>A Specimen UID must be accepted in</w:t>
      </w:r>
      <w:r w:rsidR="006C7D2B">
        <w:t xml:space="preserve"> </w:t>
      </w:r>
      <w:r>
        <w:t>VBECS to associate it with a component order. Any VBECS maintained TAS specimen UID may be associated with a component order by entering the number in the UID field.</w:t>
      </w:r>
      <w:r w:rsidRPr="00C43E70">
        <w:rPr>
          <w:vanish/>
        </w:rPr>
        <w:t xml:space="preserve"> Task 635428</w:t>
      </w:r>
    </w:p>
    <w:p w14:paraId="2E1BFB18" w14:textId="257CE2CC" w:rsidR="00A11CA3" w:rsidRDefault="00F17535" w:rsidP="006C5C75">
      <w:pPr>
        <w:pStyle w:val="ListBullet"/>
      </w:pPr>
      <w:r>
        <w:t>When associating a specimen with a patient in the “Select Unit for a Patient” window, the “Expires”</w:t>
      </w:r>
      <w:r w:rsidR="008F74B3">
        <w:t xml:space="preserve"> </w:t>
      </w:r>
      <w:r>
        <w:t xml:space="preserve">field within the “Associate with Specimen” panel displays the time in AM/PM format. VBECS normally displays date/time fields in “military” time format.  The workaround is to look in Maintain Specimen and check the expiration time military time format. </w:t>
      </w:r>
      <w:r w:rsidRPr="008F74B3">
        <w:rPr>
          <w:vanish/>
        </w:rPr>
        <w:t>Defect 209052</w:t>
      </w:r>
    </w:p>
    <w:p w14:paraId="4315728B" w14:textId="6597FC24" w:rsidR="002168B5" w:rsidRDefault="002168B5" w:rsidP="006C5C75">
      <w:pPr>
        <w:pStyle w:val="ListBullet"/>
      </w:pPr>
      <w:r>
        <w:t xml:space="preserve">When </w:t>
      </w:r>
      <w:r w:rsidR="00523215">
        <w:t>a</w:t>
      </w:r>
      <w:r w:rsidR="00D7366E">
        <w:t>n</w:t>
      </w:r>
      <w:r>
        <w:t xml:space="preserve"> Rh positive unit is selected for </w:t>
      </w:r>
      <w:r w:rsidR="00523215">
        <w:t>a</w:t>
      </w:r>
      <w:r w:rsidR="00D7366E">
        <w:t>n</w:t>
      </w:r>
      <w:r>
        <w:t xml:space="preserve"> Rh negative patient with an antigen negative requirement for D, the user receives a message about unit not satisfying patient negative requirements for D instead of a message about unit being positive for D. The proper</w:t>
      </w:r>
      <w:r w:rsidR="00C0050E">
        <w:t xml:space="preserve"> message is displayed</w:t>
      </w:r>
      <w:r w:rsidR="009B37AA">
        <w:t xml:space="preserve"> upon unit issue. </w:t>
      </w:r>
      <w:r w:rsidR="009B37AA" w:rsidRPr="009B37AA">
        <w:rPr>
          <w:vanish/>
        </w:rPr>
        <w:t>Defects 209338, 213537</w:t>
      </w:r>
    </w:p>
    <w:p w14:paraId="5BD69B7D" w14:textId="77777777" w:rsidR="006C5C75" w:rsidRDefault="006C5C75" w:rsidP="001E391F">
      <w:pPr>
        <w:pStyle w:val="ListBullet"/>
        <w:numPr>
          <w:ilvl w:val="0"/>
          <w:numId w:val="0"/>
        </w:numPr>
        <w:ind w:left="648" w:hanging="360"/>
      </w:pPr>
    </w:p>
    <w:p w14:paraId="5317DEDA" w14:textId="77777777" w:rsidR="002A21AE" w:rsidRDefault="002A21AE">
      <w:pPr>
        <w:pStyle w:val="Heading4"/>
      </w:pPr>
      <w:r>
        <w:t>Additional Information</w:t>
      </w:r>
    </w:p>
    <w:p w14:paraId="55CD463B" w14:textId="77777777" w:rsidR="00B71592" w:rsidRDefault="00B71592">
      <w:pPr>
        <w:pStyle w:val="ListBullet"/>
      </w:pPr>
      <w:r>
        <w:t>Under certain conditions in a blood bank, more than one user can select units for the same blood component order at the same time.</w:t>
      </w:r>
    </w:p>
    <w:p w14:paraId="3F0C3AFF" w14:textId="77777777" w:rsidR="00B71592" w:rsidRPr="00B71592" w:rsidRDefault="00B71592">
      <w:pPr>
        <w:pStyle w:val="ListBullet"/>
      </w:pPr>
      <w:r>
        <w:t>When a patient order is selected, the system must search for physically available (in limited, available, or crossmatched unit status and with a future expiration date) autologous and directed units within a multidivisional database regardless of the unit’s current division, display the unit information to the user, and allow assignment of the unit if it is in the same division as the user.</w:t>
      </w:r>
    </w:p>
    <w:p w14:paraId="5E6ED461" w14:textId="77777777" w:rsidR="002A21AE" w:rsidRDefault="002A21AE">
      <w:pPr>
        <w:pStyle w:val="ListBullet"/>
      </w:pPr>
      <w:r>
        <w:t>Multiple users may select units ass</w:t>
      </w:r>
      <w:r w:rsidR="0065187A">
        <w:t>ociated with a component order.</w:t>
      </w:r>
    </w:p>
    <w:p w14:paraId="5CD672FD" w14:textId="77777777" w:rsidR="0065187A" w:rsidRDefault="000D3C6E">
      <w:pPr>
        <w:pStyle w:val="ListBullet"/>
      </w:pPr>
      <w:r w:rsidRPr="000D3C6E">
        <w:rPr>
          <w:vanish/>
        </w:rPr>
        <w:t xml:space="preserve">BR_3.61 </w:t>
      </w:r>
      <w:r w:rsidR="0065187A">
        <w:t>Product codes associated with a component order are limited to those in that Component Class.</w:t>
      </w:r>
    </w:p>
    <w:p w14:paraId="2A064760" w14:textId="77777777" w:rsidR="002A21AE" w:rsidRDefault="002A21AE">
      <w:pPr>
        <w:pStyle w:val="ListBullet"/>
      </w:pPr>
      <w:r>
        <w:t>When a user selects a patient order</w:t>
      </w:r>
      <w:r w:rsidR="00534B75">
        <w:t xml:space="preserve"> within a multidivisional dat</w:t>
      </w:r>
      <w:r w:rsidR="0065187A">
        <w:t>abase</w:t>
      </w:r>
      <w:r>
        <w:t>, VBECS searches for available autologous and directed units regardless of the unit’s current division, displays the unit information, and allows the user to assign the unit when it is in the user’s division.</w:t>
      </w:r>
    </w:p>
    <w:p w14:paraId="4DED0431" w14:textId="77777777" w:rsidR="002A21AE" w:rsidRDefault="002A21AE">
      <w:pPr>
        <w:pStyle w:val="ListBullet"/>
      </w:pPr>
      <w:r>
        <w:t xml:space="preserve">A user may select units for only one </w:t>
      </w:r>
      <w:r w:rsidR="0065187A">
        <w:t>component order</w:t>
      </w:r>
      <w:r>
        <w:t xml:space="preserve"> at a time.</w:t>
      </w:r>
    </w:p>
    <w:p w14:paraId="18C6AF3C" w14:textId="77777777" w:rsidR="002A21AE" w:rsidRDefault="002A21AE">
      <w:pPr>
        <w:pStyle w:val="ListBullet"/>
      </w:pPr>
      <w:r>
        <w:t xml:space="preserve">An existing </w:t>
      </w:r>
      <w:r w:rsidR="00A9198B">
        <w:t>specimen and its associated component</w:t>
      </w:r>
      <w:r w:rsidR="00B71592">
        <w:t xml:space="preserve"> </w:t>
      </w:r>
      <w:r>
        <w:t>order</w:t>
      </w:r>
      <w:r w:rsidR="00A9198B">
        <w:t>(s)</w:t>
      </w:r>
      <w:r>
        <w:t xml:space="preserve"> remains available to select</w:t>
      </w:r>
      <w:r w:rsidR="00A9198B">
        <w:t xml:space="preserve"> </w:t>
      </w:r>
      <w:r w:rsidR="00B71592">
        <w:t>additional units</w:t>
      </w:r>
      <w:r w:rsidR="00A9198B">
        <w:t>, until</w:t>
      </w:r>
      <w:r w:rsidR="00B71592">
        <w:t xml:space="preserve"> its</w:t>
      </w:r>
      <w:r>
        <w:t xml:space="preserve"> expiration date. </w:t>
      </w:r>
    </w:p>
    <w:p w14:paraId="193D45B3" w14:textId="3586CDDD" w:rsidR="002A21AE" w:rsidRDefault="00B71592" w:rsidP="00B71592">
      <w:pPr>
        <w:pStyle w:val="ListBullet"/>
      </w:pPr>
      <w:r>
        <w:t>The selection of blood units completes a CPRS order when the number of units are selected that “fill” the order per the number requested.</w:t>
      </w:r>
    </w:p>
    <w:p w14:paraId="5EA7A0A5" w14:textId="77777777" w:rsidR="00B71592" w:rsidRDefault="00B71592" w:rsidP="00B71592">
      <w:pPr>
        <w:pStyle w:val="ListBullet"/>
      </w:pPr>
      <w:r>
        <w:t>Each component task is accepted or cancelled individually.</w:t>
      </w:r>
    </w:p>
    <w:p w14:paraId="5FCAB1C1" w14:textId="77777777" w:rsidR="00F1409F" w:rsidRDefault="00F1409F" w:rsidP="00B71592">
      <w:pPr>
        <w:pStyle w:val="ListBullet"/>
      </w:pPr>
      <w:r>
        <w:t>When a component order is cancelled or rejected, the order is no longer retrievable.</w:t>
      </w:r>
    </w:p>
    <w:p w14:paraId="7E1234D1" w14:textId="77777777" w:rsidR="00F1409F" w:rsidRDefault="00F1409F" w:rsidP="00B71592">
      <w:pPr>
        <w:pStyle w:val="ListBullet"/>
      </w:pPr>
      <w:r>
        <w:t>When a patient has only Component Requirements, the system does not prohibit the use of electronic crossmatch.</w:t>
      </w:r>
    </w:p>
    <w:p w14:paraId="1B8131DC" w14:textId="77777777" w:rsidR="002A21AE" w:rsidRDefault="002A21AE">
      <w:pPr>
        <w:pStyle w:val="ListBullet"/>
      </w:pPr>
      <w:r>
        <w:t xml:space="preserve">A user must accept or cancel each component task in its entirety. </w:t>
      </w:r>
    </w:p>
    <w:p w14:paraId="4662892E" w14:textId="77777777" w:rsidR="002A21AE" w:rsidRDefault="002A21AE">
      <w:pPr>
        <w:pStyle w:val="ListBullet"/>
      </w:pPr>
      <w:r>
        <w:rPr>
          <w:rFonts w:ascii="Arial" w:hAnsi="Arial" w:cs="Arial"/>
          <w:vanish/>
          <w:spacing w:val="0"/>
          <w:sz w:val="18"/>
        </w:rPr>
        <w:t xml:space="preserve">BR_3.38 </w:t>
      </w:r>
      <w:r>
        <w:t xml:space="preserve">The user reserves autologous and directed units and all units processed in a “transfusion-only” facility, regardless of donation type, for a specific patient. VBECS displays this information to all divisions in a multidivisional database and accommodates immediate selection of the unit for the patient when the user is in the same division. </w:t>
      </w:r>
    </w:p>
    <w:p w14:paraId="4D3595C2" w14:textId="77777777" w:rsidR="002A21AE" w:rsidRDefault="002A21AE">
      <w:pPr>
        <w:pStyle w:val="ListBullet"/>
      </w:pPr>
      <w:r>
        <w:rPr>
          <w:rFonts w:ascii="Arial" w:hAnsi="Arial" w:cs="Arial"/>
          <w:vanish/>
          <w:spacing w:val="0"/>
          <w:sz w:val="18"/>
        </w:rPr>
        <w:t xml:space="preserve">BR_3.42 </w:t>
      </w:r>
      <w:r>
        <w:t>When VBECS compares a patient’s current and previous ABO/Rh results, it does not evaluate previously recorded ABO/Rh results marked “Test Result Invalidated.”</w:t>
      </w:r>
    </w:p>
    <w:p w14:paraId="1BBF0A79" w14:textId="77777777" w:rsidR="00083F3A" w:rsidRDefault="00083F3A">
      <w:pPr>
        <w:pStyle w:val="ListBullet"/>
      </w:pPr>
      <w:r>
        <w:t>An ABO/Rh confirmation test interpretation</w:t>
      </w:r>
      <w:r w:rsidR="0044172D">
        <w:t xml:space="preserve"> is required</w:t>
      </w:r>
      <w:r w:rsidR="00A9198B">
        <w:t xml:space="preserve"> when a unit is indicated to contain = &gt; 2 mL of RBC contamination</w:t>
      </w:r>
      <w:r w:rsidR="0044172D">
        <w:t>. The confirmation</w:t>
      </w:r>
      <w:r w:rsidR="00A9198B">
        <w:t xml:space="preserve"> test</w:t>
      </w:r>
      <w:r w:rsidR="0044172D">
        <w:t xml:space="preserve"> must match the unit ABO/Rh at login and repeat tests, when repeat tests are not invalidated. The unit must have a satisfactory confirmation result before VBECS allows the unit to be available for selection for patient use.</w:t>
      </w:r>
    </w:p>
    <w:p w14:paraId="0B017304" w14:textId="0F947912" w:rsidR="00304D65" w:rsidRDefault="000D3C6E">
      <w:pPr>
        <w:pStyle w:val="ListBullet"/>
      </w:pPr>
      <w:r w:rsidRPr="000D3C6E">
        <w:rPr>
          <w:vanish/>
        </w:rPr>
        <w:t xml:space="preserve">BR_3.60 </w:t>
      </w:r>
      <w:r w:rsidR="00304D65">
        <w:t>When the CPRS order is WB or RBC, the user may select products from either product cl</w:t>
      </w:r>
      <w:r w:rsidR="00955DA3">
        <w:t>ass</w:t>
      </w:r>
      <w:r w:rsidR="005452C9">
        <w:t>, RBC or WB to fill the order</w:t>
      </w:r>
    </w:p>
    <w:p w14:paraId="51A616A0" w14:textId="77777777" w:rsidR="00304D65" w:rsidRDefault="000D3C6E">
      <w:pPr>
        <w:pStyle w:val="ListBullet"/>
      </w:pPr>
      <w:r w:rsidRPr="000D3C6E">
        <w:rPr>
          <w:vanish/>
        </w:rPr>
        <w:t xml:space="preserve">BR_3.62 </w:t>
      </w:r>
      <w:r w:rsidR="00304D65">
        <w:t xml:space="preserve">When Whole Blood is selected for a WB or RBC CPRS order and the unit is not ABO compatible for the selected patient, the system presents a message to the user stating that the unit is </w:t>
      </w:r>
      <w:r w:rsidR="0044172D">
        <w:t xml:space="preserve">not ABO compatible </w:t>
      </w:r>
      <w:r w:rsidR="00304D65">
        <w:t>and releases the unit from selection (assignment).</w:t>
      </w:r>
    </w:p>
    <w:p w14:paraId="6BBEDE7A" w14:textId="20B317A4" w:rsidR="006C5C75" w:rsidRDefault="00E359FB" w:rsidP="001E391F">
      <w:pPr>
        <w:pStyle w:val="ListBullet"/>
      </w:pPr>
      <w:r>
        <w:t>U</w:t>
      </w:r>
      <w:r w:rsidR="001E391F">
        <w:t>sers</w:t>
      </w:r>
      <w:r w:rsidR="001E391F" w:rsidRPr="001E391F">
        <w:t xml:space="preserve"> can view the Lab Order number using the Pending Order List or the Order History Report</w:t>
      </w:r>
      <w:r>
        <w:t>, if it is needed in areas where it is not already provided.</w:t>
      </w:r>
      <w:r w:rsidR="00730CAA">
        <w:t xml:space="preserve"> </w:t>
      </w:r>
      <w:r w:rsidR="00730CAA" w:rsidRPr="00730CAA">
        <w:rPr>
          <w:vanish/>
        </w:rPr>
        <w:t>Defect 209122</w:t>
      </w:r>
    </w:p>
    <w:p w14:paraId="1469CCCF" w14:textId="4A1CF532" w:rsidR="00936BD4" w:rsidRDefault="00936BD4" w:rsidP="00936BD4">
      <w:pPr>
        <w:pStyle w:val="ListBullet"/>
      </w:pPr>
      <w:r>
        <w:t>In a multi</w:t>
      </w:r>
      <w:r w:rsidRPr="00936BD4">
        <w:t xml:space="preserve">divisional database, restricted units residing in another division </w:t>
      </w:r>
      <w:r w:rsidR="004D0A70">
        <w:t>are</w:t>
      </w:r>
      <w:r w:rsidRPr="00936BD4">
        <w:t xml:space="preserve"> displayed but are not selectable. The tooltip (mouseover) message wording incorrectly states "Unit is not in division ###". The division shown will be the division where the unit IS located.</w:t>
      </w:r>
      <w:r w:rsidR="00730CAA">
        <w:t xml:space="preserve"> </w:t>
      </w:r>
      <w:r w:rsidR="00730CAA" w:rsidRPr="00730CAA">
        <w:rPr>
          <w:vanish/>
        </w:rPr>
        <w:t>Defect 209039</w:t>
      </w:r>
    </w:p>
    <w:p w14:paraId="39E2D6A0" w14:textId="5EDE7015" w:rsidR="00957008" w:rsidRDefault="00735C30" w:rsidP="00735C30">
      <w:pPr>
        <w:pStyle w:val="ListBullet"/>
      </w:pPr>
      <w:r w:rsidRPr="00735C30">
        <w:t>The "Success" message</w:t>
      </w:r>
      <w:r>
        <w:t xml:space="preserve"> received after electing to print caution tags is a message that the job</w:t>
      </w:r>
      <w:r w:rsidRPr="00735C30">
        <w:t xml:space="preserve"> has queued to the print queue, and does not verify</w:t>
      </w:r>
      <w:r w:rsidR="00E36641">
        <w:t xml:space="preserve"> that the printing has actually </w:t>
      </w:r>
      <w:r w:rsidRPr="00735C30">
        <w:t>occurre</w:t>
      </w:r>
      <w:r>
        <w:t>d.</w:t>
      </w:r>
      <w:r w:rsidR="00730CAA">
        <w:t xml:space="preserve"> </w:t>
      </w:r>
      <w:r w:rsidR="00730CAA" w:rsidRPr="00730CAA">
        <w:rPr>
          <w:vanish/>
        </w:rPr>
        <w:t>Defect 208991</w:t>
      </w:r>
    </w:p>
    <w:p w14:paraId="4E507F28" w14:textId="77777777" w:rsidR="002A21AE" w:rsidRDefault="002A21AE" w:rsidP="00174BD8">
      <w:pPr>
        <w:pStyle w:val="Heading4"/>
        <w:tabs>
          <w:tab w:val="left" w:pos="5490"/>
        </w:tabs>
      </w:pPr>
      <w:r>
        <w:lastRenderedPageBreak/>
        <w:t>User Roles with Access to This Option</w:t>
      </w:r>
      <w:r w:rsidR="00174BD8">
        <w:tab/>
      </w:r>
    </w:p>
    <w:p w14:paraId="012B02DE" w14:textId="77777777" w:rsidR="005C42D0" w:rsidRDefault="005C42D0" w:rsidP="005C42D0">
      <w:pPr>
        <w:pStyle w:val="Roles"/>
        <w:rPr>
          <w:snapToGrid w:val="0"/>
        </w:rPr>
      </w:pPr>
      <w:r>
        <w:t xml:space="preserve">All users </w:t>
      </w:r>
    </w:p>
    <w:bookmarkEnd w:id="402"/>
    <w:p w14:paraId="6A19B040" w14:textId="77777777" w:rsidR="002A21AE" w:rsidRDefault="00057948">
      <w:pPr>
        <w:pStyle w:val="Heading4"/>
      </w:pPr>
      <w:r>
        <w:rPr>
          <w:noProof/>
        </w:rPr>
        <w:drawing>
          <wp:inline distT="0" distB="0" distL="0" distR="0" wp14:anchorId="6D6211D1" wp14:editId="7869B582">
            <wp:extent cx="156845" cy="156845"/>
            <wp:effectExtent l="0" t="0" r="0" b="0"/>
            <wp:docPr id="185" name="Picture 185" descr="Select Units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Picture 185" descr="Select Units icon"/>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A21AE">
        <w:t xml:space="preserve"> Select Units</w:t>
      </w:r>
    </w:p>
    <w:p w14:paraId="768B6A87" w14:textId="77777777" w:rsidR="008A248A" w:rsidRDefault="002A21AE" w:rsidP="00FA7E65">
      <w:pPr>
        <w:pStyle w:val="BodyText"/>
      </w:pPr>
      <w:r>
        <w:t>A user selects a patient’s component order and assigns one or more products to a patient. The user may then enter individual units or select units from a list of selectable, potentially compatible units for each component order.</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2C5CBBBE" w14:textId="77777777">
        <w:trPr>
          <w:cantSplit/>
          <w:tblHeader/>
        </w:trPr>
        <w:tc>
          <w:tcPr>
            <w:tcW w:w="3240" w:type="dxa"/>
            <w:shd w:val="pct30" w:color="auto" w:fill="FFFFFF"/>
            <w:vAlign w:val="bottom"/>
          </w:tcPr>
          <w:p w14:paraId="5D82BC32" w14:textId="77777777" w:rsidR="002A21AE" w:rsidRDefault="002A21AE">
            <w:pPr>
              <w:pStyle w:val="TableText"/>
              <w:rPr>
                <w:b/>
              </w:rPr>
            </w:pPr>
            <w:r>
              <w:rPr>
                <w:b/>
              </w:rPr>
              <w:t>User Action</w:t>
            </w:r>
          </w:p>
        </w:tc>
        <w:tc>
          <w:tcPr>
            <w:tcW w:w="6120" w:type="dxa"/>
            <w:shd w:val="pct30" w:color="auto" w:fill="FFFFFF"/>
            <w:vAlign w:val="bottom"/>
          </w:tcPr>
          <w:p w14:paraId="7B7AAD71" w14:textId="77777777" w:rsidR="002A21AE" w:rsidRDefault="002A21AE">
            <w:pPr>
              <w:pStyle w:val="TableText"/>
              <w:rPr>
                <w:b/>
              </w:rPr>
            </w:pPr>
            <w:r>
              <w:rPr>
                <w:b/>
              </w:rPr>
              <w:t>VBECS</w:t>
            </w:r>
          </w:p>
        </w:tc>
      </w:tr>
      <w:tr w:rsidR="002A21AE" w14:paraId="756BAD34" w14:textId="77777777">
        <w:tc>
          <w:tcPr>
            <w:tcW w:w="3240" w:type="dxa"/>
          </w:tcPr>
          <w:p w14:paraId="7C9B2CE1" w14:textId="670E62F5" w:rsidR="002A21AE" w:rsidRDefault="003D3067">
            <w:pPr>
              <w:pStyle w:val="TableTextNumbers"/>
              <w:rPr>
                <w:b/>
              </w:rPr>
            </w:pPr>
            <w:r>
              <w:t>Select Patients</w:t>
            </w:r>
            <w:r w:rsidR="002A21AE">
              <w:t xml:space="preserve"> from the main menu and </w:t>
            </w:r>
            <w:r>
              <w:t>select Patient</w:t>
            </w:r>
            <w:r w:rsidR="002A21AE">
              <w:rPr>
                <w:b/>
              </w:rPr>
              <w:t xml:space="preserve"> Testing</w:t>
            </w:r>
            <w:r w:rsidR="002A21AE">
              <w:t>, or</w:t>
            </w:r>
          </w:p>
          <w:p w14:paraId="6815B12B" w14:textId="77777777" w:rsidR="002A21AE" w:rsidRDefault="002A21AE">
            <w:pPr>
              <w:pStyle w:val="TableTextNumbersContinued"/>
            </w:pPr>
          </w:p>
          <w:p w14:paraId="233A9B29" w14:textId="77777777" w:rsidR="002A21AE" w:rsidRDefault="00922AD8">
            <w:pPr>
              <w:pStyle w:val="TableTextNumbersContinued"/>
            </w:pPr>
            <w:r>
              <w:t xml:space="preserve">Select </w:t>
            </w:r>
            <w:r w:rsidRPr="005E0472">
              <w:rPr>
                <w:b/>
              </w:rPr>
              <w:t>Blood</w:t>
            </w:r>
            <w:r w:rsidR="002A21AE" w:rsidRPr="005E0472">
              <w:rPr>
                <w:b/>
              </w:rPr>
              <w:t xml:space="preserve"> Units</w:t>
            </w:r>
            <w:r w:rsidR="002A21AE">
              <w:t xml:space="preserve"> from the main menu and select </w:t>
            </w:r>
            <w:r w:rsidR="002A21AE">
              <w:rPr>
                <w:b/>
              </w:rPr>
              <w:t>Select Units</w:t>
            </w:r>
            <w:r w:rsidR="002A21AE">
              <w:t>.</w:t>
            </w:r>
          </w:p>
        </w:tc>
        <w:tc>
          <w:tcPr>
            <w:tcW w:w="6120" w:type="dxa"/>
          </w:tcPr>
          <w:p w14:paraId="1A5F33E3" w14:textId="77777777" w:rsidR="002A21AE" w:rsidRDefault="002A21AE">
            <w:pPr>
              <w:pStyle w:val="TableTextBullet"/>
            </w:pPr>
            <w:r>
              <w:t>Displays options for processing patient-related functions.</w:t>
            </w:r>
          </w:p>
          <w:p w14:paraId="51564396" w14:textId="77777777" w:rsidR="002A21AE" w:rsidRDefault="002A21AE">
            <w:pPr>
              <w:pStyle w:val="TableTextBullet"/>
            </w:pPr>
            <w:r>
              <w:t>Displays the Pending Task List (PTL) and PTL search parameters in the Diagnostic Tests tab or in the Component Orders tab.</w:t>
            </w:r>
          </w:p>
        </w:tc>
      </w:tr>
      <w:tr w:rsidR="002A21AE" w14:paraId="2CCBD4FD" w14:textId="77777777">
        <w:tc>
          <w:tcPr>
            <w:tcW w:w="3240" w:type="dxa"/>
          </w:tcPr>
          <w:p w14:paraId="3EE08A51" w14:textId="546B2E66" w:rsidR="002A21AE" w:rsidRDefault="002A21AE">
            <w:pPr>
              <w:pStyle w:val="TableTextNumbers"/>
            </w:pPr>
            <w:r>
              <w:t>Enter or select PTL search parameters, if appropriate</w:t>
            </w:r>
            <w:r w:rsidR="004728E4">
              <w:t xml:space="preserve"> (</w:t>
            </w:r>
            <w:r w:rsidR="00EE455E">
              <w:t xml:space="preserve">Figure </w:t>
            </w:r>
            <w:r w:rsidR="00EE455E">
              <w:rPr>
                <w:noProof/>
              </w:rPr>
              <w:t>69</w:t>
            </w:r>
            <w:r w:rsidR="004728E4">
              <w:t>)</w:t>
            </w:r>
            <w:r>
              <w:t xml:space="preserve">. </w:t>
            </w:r>
          </w:p>
          <w:p w14:paraId="47272AF4" w14:textId="77777777" w:rsidR="002A21AE" w:rsidRDefault="002A21AE">
            <w:pPr>
              <w:pStyle w:val="TableTextNumbersContinued"/>
            </w:pPr>
          </w:p>
          <w:p w14:paraId="44A7B133" w14:textId="77777777" w:rsidR="002A21AE" w:rsidRDefault="002A21AE">
            <w:pPr>
              <w:pStyle w:val="TableTextNumbersContinued"/>
            </w:pPr>
            <w:r>
              <w:t xml:space="preserve">Click the check boxes in the PTL to select </w:t>
            </w:r>
            <w:r w:rsidR="00810E0A">
              <w:t>one to four</w:t>
            </w:r>
            <w:r>
              <w:t xml:space="preserve"> component orders. </w:t>
            </w:r>
          </w:p>
          <w:p w14:paraId="7045D435" w14:textId="77777777" w:rsidR="002A21AE" w:rsidRDefault="002A21AE">
            <w:pPr>
              <w:pStyle w:val="TableTextNumbersContinued"/>
            </w:pPr>
          </w:p>
          <w:p w14:paraId="41EAD78F" w14:textId="6A5FC244" w:rsidR="002A21AE" w:rsidRDefault="002A21AE">
            <w:pPr>
              <w:pStyle w:val="TableTextNumbersContinued"/>
            </w:pPr>
            <w:r>
              <w:t xml:space="preserve">Click </w:t>
            </w:r>
            <w:r>
              <w:rPr>
                <w:b/>
              </w:rPr>
              <w:t>OK</w:t>
            </w:r>
            <w:r>
              <w:t xml:space="preserve"> to continue</w:t>
            </w:r>
            <w:r w:rsidR="008C6185">
              <w:t xml:space="preserve"> (</w:t>
            </w:r>
            <w:r w:rsidR="00EE455E">
              <w:t xml:space="preserve">Figure </w:t>
            </w:r>
            <w:r w:rsidR="00EE455E">
              <w:rPr>
                <w:noProof/>
              </w:rPr>
              <w:t>70</w:t>
            </w:r>
            <w:r w:rsidR="008C6185">
              <w:t>)</w:t>
            </w:r>
            <w:r>
              <w:t>.</w:t>
            </w:r>
          </w:p>
        </w:tc>
        <w:tc>
          <w:tcPr>
            <w:tcW w:w="6120" w:type="dxa"/>
          </w:tcPr>
          <w:p w14:paraId="695C6EC6" w14:textId="77777777" w:rsidR="002A21AE" w:rsidRDefault="002A21AE">
            <w:pPr>
              <w:pStyle w:val="TableTextBullet"/>
            </w:pPr>
            <w:r>
              <w:t>Displays information for each component order.</w:t>
            </w:r>
          </w:p>
          <w:p w14:paraId="1A129C5D" w14:textId="77777777" w:rsidR="00605241" w:rsidRDefault="000D3C6E">
            <w:pPr>
              <w:pStyle w:val="TableTextBullet"/>
            </w:pPr>
            <w:r w:rsidRPr="000D3C6E">
              <w:rPr>
                <w:vanish/>
              </w:rPr>
              <w:t xml:space="preserve">BR_3.58 </w:t>
            </w:r>
            <w:r w:rsidR="00605241">
              <w:t xml:space="preserve">When the user selects a blood unit to fill a component order or RED BLOOD CELLS, “PLATELETS” </w:t>
            </w:r>
            <w:r w:rsidR="00955DA3">
              <w:t>or “OTHER” and has = &gt;</w:t>
            </w:r>
            <w:r w:rsidR="00605241">
              <w:t xml:space="preserve"> 2 mL RBC contamination, and the unit is ABO compatible, VBECS requires a crossmatch test and must require the user to associate a TAS specimen UID to the order to proceed to crossmatch of the unit.</w:t>
            </w:r>
          </w:p>
          <w:p w14:paraId="57056DFB" w14:textId="77777777" w:rsidR="00931B15" w:rsidRDefault="00931B15">
            <w:pPr>
              <w:pStyle w:val="TableTextBullet"/>
            </w:pPr>
            <w:r w:rsidRPr="00931B15">
              <w:rPr>
                <w:vanish/>
              </w:rPr>
              <w:t xml:space="preserve">BR_3.58 </w:t>
            </w:r>
            <w:r>
              <w:t>Upon completion of the selection process, evaluates the unit for eXM when enabled at the site or added to the serologic crossmatch data grid as appropriate.</w:t>
            </w:r>
          </w:p>
          <w:p w14:paraId="065919FE" w14:textId="77777777" w:rsidR="002A21AE" w:rsidRDefault="000D3C6E" w:rsidP="00931B15">
            <w:pPr>
              <w:pStyle w:val="TableTextBullet"/>
            </w:pPr>
            <w:r w:rsidRPr="000D3C6E">
              <w:rPr>
                <w:vanish/>
              </w:rPr>
              <w:t xml:space="preserve">BR_3.59 </w:t>
            </w:r>
            <w:r w:rsidR="00605241">
              <w:t>When the user selects blood units to fill a component order of “PLATELETS” or “OTHER” and is indicated as having less than (&lt;) 2 mL RBC contamination, electronic or serologic crossmatch are not required.</w:t>
            </w:r>
          </w:p>
          <w:p w14:paraId="2346D6A7" w14:textId="77777777" w:rsidR="00931B15" w:rsidRDefault="00931B15" w:rsidP="00931B15">
            <w:pPr>
              <w:pStyle w:val="TableTextBullet"/>
              <w:numPr>
                <w:ilvl w:val="0"/>
                <w:numId w:val="0"/>
              </w:numPr>
              <w:ind w:left="288"/>
            </w:pPr>
          </w:p>
          <w:p w14:paraId="6FA5930A" w14:textId="38D17D3D" w:rsidR="002A21AE" w:rsidRDefault="002A21AE">
            <w:pPr>
              <w:pStyle w:val="TableText"/>
              <w:rPr>
                <w:b/>
                <w:bCs/>
                <w:szCs w:val="18"/>
              </w:rPr>
            </w:pPr>
            <w:r>
              <w:rPr>
                <w:b/>
                <w:bCs/>
                <w:szCs w:val="18"/>
              </w:rPr>
              <w:t>NOTES</w:t>
            </w:r>
          </w:p>
          <w:p w14:paraId="3E06E6B0" w14:textId="77777777" w:rsidR="002A21AE" w:rsidRDefault="002A21AE">
            <w:pPr>
              <w:pStyle w:val="NotesText"/>
            </w:pPr>
          </w:p>
          <w:p w14:paraId="29CCB1C0" w14:textId="7FAC6AF2" w:rsidR="002A21AE" w:rsidRDefault="002A21AE">
            <w:pPr>
              <w:pStyle w:val="NotesText"/>
            </w:pPr>
            <w:r w:rsidRPr="00896F17">
              <w:rPr>
                <w:rStyle w:val="BullhornChar"/>
              </w:rPr>
              <w:t></w:t>
            </w:r>
            <w:r w:rsidRPr="00C51C45">
              <w:rPr>
                <w:rFonts w:ascii="Webdings" w:hAnsi="Webdings"/>
                <w:szCs w:val="22"/>
              </w:rPr>
              <w:t></w:t>
            </w:r>
            <w:r>
              <w:rPr>
                <w:rFonts w:cs="Arial"/>
                <w:szCs w:val="22"/>
              </w:rPr>
              <w:t xml:space="preserve">See </w:t>
            </w:r>
            <w:r w:rsidR="00EE455E">
              <w:t xml:space="preserve">Table </w:t>
            </w:r>
            <w:r w:rsidR="00EE455E">
              <w:rPr>
                <w:noProof/>
              </w:rPr>
              <w:t>6</w:t>
            </w:r>
            <w:r>
              <w:rPr>
                <w:rFonts w:cs="Arial"/>
                <w:szCs w:val="22"/>
              </w:rPr>
              <w:t xml:space="preserve"> for alerts that may occur during this option.</w:t>
            </w:r>
          </w:p>
        </w:tc>
      </w:tr>
      <w:tr w:rsidR="004D6F51" w14:paraId="5D051C13" w14:textId="77777777">
        <w:tc>
          <w:tcPr>
            <w:tcW w:w="3240" w:type="dxa"/>
          </w:tcPr>
          <w:p w14:paraId="22B6B744" w14:textId="51CA4FC6" w:rsidR="004D6F51" w:rsidRPr="002961EA" w:rsidRDefault="00234D60" w:rsidP="0020776C">
            <w:pPr>
              <w:pStyle w:val="TableTextNumbers"/>
              <w:rPr>
                <w:szCs w:val="18"/>
              </w:rPr>
            </w:pPr>
            <w:r w:rsidRPr="002961EA">
              <w:rPr>
                <w:b/>
                <w:szCs w:val="18"/>
              </w:rPr>
              <w:t>Steps 3 through 8 are optional. If a specimen is already associated with the order, skip to Step 9.</w:t>
            </w:r>
            <w:r w:rsidRPr="002961EA">
              <w:rPr>
                <w:szCs w:val="18"/>
              </w:rPr>
              <w:t xml:space="preserve"> </w:t>
            </w:r>
            <w:r w:rsidR="004D6F51" w:rsidRPr="002961EA">
              <w:rPr>
                <w:szCs w:val="18"/>
              </w:rPr>
              <w:t xml:space="preserve">To associate a specimen </w:t>
            </w:r>
            <w:r w:rsidR="00DC4386" w:rsidRPr="002961EA">
              <w:rPr>
                <w:szCs w:val="18"/>
              </w:rPr>
              <w:t>UID with a</w:t>
            </w:r>
            <w:r w:rsidR="004D6F51" w:rsidRPr="002961EA">
              <w:rPr>
                <w:szCs w:val="18"/>
              </w:rPr>
              <w:t xml:space="preserve"> unit requiring </w:t>
            </w:r>
            <w:r w:rsidR="00F92484" w:rsidRPr="002961EA">
              <w:rPr>
                <w:szCs w:val="18"/>
              </w:rPr>
              <w:t>XM</w:t>
            </w:r>
            <w:r w:rsidR="00DC4386" w:rsidRPr="002961EA">
              <w:rPr>
                <w:szCs w:val="18"/>
              </w:rPr>
              <w:t xml:space="preserve"> that was not previously associated with a specimen</w:t>
            </w:r>
            <w:r w:rsidR="004D6F51" w:rsidRPr="002961EA">
              <w:rPr>
                <w:szCs w:val="18"/>
              </w:rPr>
              <w:t>, select (highlight) an issued unit in the Order Group tree view in the left pane</w:t>
            </w:r>
            <w:r w:rsidR="009F0D10" w:rsidRPr="002961EA">
              <w:rPr>
                <w:szCs w:val="18"/>
              </w:rPr>
              <w:t xml:space="preserve"> (</w:t>
            </w:r>
            <w:r w:rsidR="00EE455E" w:rsidRPr="00EE455E">
              <w:rPr>
                <w:szCs w:val="18"/>
              </w:rPr>
              <w:t xml:space="preserve">Figure </w:t>
            </w:r>
            <w:r w:rsidR="00EE455E" w:rsidRPr="00EE455E">
              <w:rPr>
                <w:noProof/>
                <w:szCs w:val="18"/>
              </w:rPr>
              <w:t>71</w:t>
            </w:r>
            <w:r w:rsidR="009F0D10" w:rsidRPr="002961EA">
              <w:rPr>
                <w:szCs w:val="18"/>
              </w:rPr>
              <w:t>)</w:t>
            </w:r>
            <w:r w:rsidR="004D6F51" w:rsidRPr="002961EA">
              <w:rPr>
                <w:szCs w:val="18"/>
              </w:rPr>
              <w:t>.</w:t>
            </w:r>
          </w:p>
        </w:tc>
        <w:tc>
          <w:tcPr>
            <w:tcW w:w="6120" w:type="dxa"/>
          </w:tcPr>
          <w:p w14:paraId="56A17EDF" w14:textId="77777777" w:rsidR="004D6F51" w:rsidRDefault="004D6F51" w:rsidP="0020776C">
            <w:pPr>
              <w:pStyle w:val="TableTextBullet"/>
            </w:pPr>
            <w:r>
              <w:t>Enables the Associate Specimen check box.</w:t>
            </w:r>
          </w:p>
          <w:p w14:paraId="1D7835BE" w14:textId="405D2CA5" w:rsidR="000A2E5E" w:rsidRDefault="000A2E5E" w:rsidP="00673EF0">
            <w:pPr>
              <w:pStyle w:val="TableTextBullet"/>
            </w:pPr>
            <w:r>
              <w:t xml:space="preserve">When an order is accepted without a specimen, the user must associate the specimen prior to performing crossmatch testing. VBECS will not allow an expired specimen to be associated with the order unless the Unit </w:t>
            </w:r>
            <w:r w:rsidR="00931B15">
              <w:t>Assigned</w:t>
            </w:r>
            <w:r>
              <w:t xml:space="preserve"> Date is modified to be earlier than the Specimen Expiration Date (for retrospective data entry). See </w:t>
            </w:r>
            <w:r w:rsidR="00EE455E">
              <w:t xml:space="preserve">Figure </w:t>
            </w:r>
            <w:r w:rsidR="00EE455E">
              <w:rPr>
                <w:noProof/>
              </w:rPr>
              <w:t>71</w:t>
            </w:r>
            <w:r>
              <w:t>.</w:t>
            </w:r>
          </w:p>
          <w:p w14:paraId="27B28D45" w14:textId="77777777" w:rsidR="00F92484" w:rsidRDefault="00F92484" w:rsidP="00F92484">
            <w:pPr>
              <w:pStyle w:val="TableText"/>
            </w:pPr>
          </w:p>
          <w:p w14:paraId="07E26257" w14:textId="57BE51DE" w:rsidR="00F92484" w:rsidRDefault="00F92484" w:rsidP="00F92484">
            <w:pPr>
              <w:pStyle w:val="TableText"/>
              <w:rPr>
                <w:b/>
                <w:bCs/>
                <w:szCs w:val="18"/>
              </w:rPr>
            </w:pPr>
            <w:r>
              <w:rPr>
                <w:b/>
                <w:bCs/>
                <w:szCs w:val="18"/>
              </w:rPr>
              <w:t>NOTES</w:t>
            </w:r>
          </w:p>
          <w:p w14:paraId="12E36805" w14:textId="77777777" w:rsidR="00F92484" w:rsidRDefault="00F92484" w:rsidP="00F92484">
            <w:pPr>
              <w:pStyle w:val="NotesText"/>
            </w:pPr>
          </w:p>
          <w:p w14:paraId="391A3513" w14:textId="77777777" w:rsidR="00F92484" w:rsidRDefault="00F92484" w:rsidP="00F92484">
            <w:pPr>
              <w:pStyle w:val="NotesText"/>
              <w:rPr>
                <w:rFonts w:cs="Arial"/>
                <w:szCs w:val="22"/>
              </w:rPr>
            </w:pPr>
            <w:r>
              <w:rPr>
                <w:rFonts w:cs="Arial"/>
                <w:szCs w:val="22"/>
              </w:rPr>
              <w:t>If eXM is enabled, complete the TAS prior to associating the specimen UID with the emergency-issued units.</w:t>
            </w:r>
          </w:p>
          <w:p w14:paraId="3D72E8A7" w14:textId="77777777" w:rsidR="001F303C" w:rsidRDefault="001F303C" w:rsidP="00F92484">
            <w:pPr>
              <w:pStyle w:val="NotesText"/>
              <w:rPr>
                <w:rFonts w:cs="Arial"/>
                <w:szCs w:val="22"/>
              </w:rPr>
            </w:pPr>
          </w:p>
          <w:p w14:paraId="7C5424D5" w14:textId="2D5E309A" w:rsidR="001F303C" w:rsidRPr="00811AE6" w:rsidRDefault="001F303C" w:rsidP="001F303C">
            <w:pPr>
              <w:pStyle w:val="NotesText"/>
            </w:pPr>
            <w:r w:rsidRPr="00811AE6">
              <w:rPr>
                <w:vanish/>
                <w:szCs w:val="18"/>
              </w:rPr>
              <w:t xml:space="preserve">BR_3.17, BR_3.27 , BR_3.36 </w:t>
            </w:r>
            <w:r w:rsidRPr="00811AE6">
              <w:t>When eXM is enabled at the division and blood units require XM, VBECS determines whether the patient and units are eligible for eXM. When indicated, specific warning messages explaining the reason for the ineligibility are displayed. Users are given the opportunity to accept or reject the selected unit for selection</w:t>
            </w:r>
            <w:r w:rsidR="00931B15" w:rsidRPr="00811AE6">
              <w:t xml:space="preserve"> and may or may not process the eXM</w:t>
            </w:r>
            <w:r w:rsidRPr="00811AE6">
              <w:t xml:space="preserve">. All parameters listed in </w:t>
            </w:r>
            <w:r w:rsidR="00EE455E">
              <w:t xml:space="preserve">Appendix </w:t>
            </w:r>
            <w:r w:rsidR="00EE455E">
              <w:rPr>
                <w:noProof/>
              </w:rPr>
              <w:t>B</w:t>
            </w:r>
            <w:r w:rsidRPr="00811AE6">
              <w:t xml:space="preserve">: </w:t>
            </w:r>
            <w:r w:rsidR="00EE455E">
              <w:t xml:space="preserve">Table </w:t>
            </w:r>
            <w:r w:rsidR="00EE455E">
              <w:rPr>
                <w:noProof/>
              </w:rPr>
              <w:t>22</w:t>
            </w:r>
            <w:r w:rsidR="00EE455E">
              <w:t xml:space="preserve">: </w:t>
            </w:r>
            <w:r w:rsidR="00EE455E">
              <w:rPr>
                <w:vanish/>
              </w:rPr>
              <w:t xml:space="preserve">TT_3.05 </w:t>
            </w:r>
            <w:r w:rsidR="00EE455E">
              <w:t>Rules for Electronic and Serologic Crossmatch</w:t>
            </w:r>
            <w:r w:rsidRPr="00811AE6">
              <w:t xml:space="preserve"> must be met. Units not eligible for eXM must have serologic XM performed. </w:t>
            </w:r>
          </w:p>
          <w:p w14:paraId="4315FB3C" w14:textId="77777777" w:rsidR="001F303C" w:rsidRPr="00811AE6" w:rsidRDefault="001F303C" w:rsidP="001F303C">
            <w:pPr>
              <w:pStyle w:val="NotesText"/>
            </w:pPr>
          </w:p>
          <w:p w14:paraId="3D541061" w14:textId="77777777" w:rsidR="001F303C" w:rsidRDefault="001F303C" w:rsidP="001F303C">
            <w:pPr>
              <w:pStyle w:val="NotesText"/>
            </w:pPr>
            <w:r w:rsidRPr="00811AE6">
              <w:lastRenderedPageBreak/>
              <w:t>When eXM is not enabled, the user must enter serologic XM results for red blood cell classes or when the uni</w:t>
            </w:r>
            <w:r w:rsidR="00931B15" w:rsidRPr="00811AE6">
              <w:t>t has = &gt;</w:t>
            </w:r>
            <w:r w:rsidRPr="00811AE6">
              <w:t xml:space="preserve"> 2 mL RBC contamination. VBECS does not change the unit status to “crossmatched,” make units available for issue, or allow the Caution Tag or BTRF to be printed until a user enters a valid XM result, unless an emergency-issued unit is being processed.</w:t>
            </w:r>
          </w:p>
        </w:tc>
      </w:tr>
      <w:tr w:rsidR="004D6F51" w14:paraId="45A7921D" w14:textId="77777777">
        <w:tc>
          <w:tcPr>
            <w:tcW w:w="3240" w:type="dxa"/>
          </w:tcPr>
          <w:p w14:paraId="2812DFA4" w14:textId="77777777" w:rsidR="004D6F51" w:rsidRPr="001235FC" w:rsidRDefault="004D6F51" w:rsidP="0020776C">
            <w:pPr>
              <w:pStyle w:val="TableTextNumbers"/>
            </w:pPr>
            <w:r>
              <w:lastRenderedPageBreak/>
              <w:t xml:space="preserve">Click the </w:t>
            </w:r>
            <w:r>
              <w:rPr>
                <w:b/>
              </w:rPr>
              <w:t xml:space="preserve">Associate </w:t>
            </w:r>
            <w:r w:rsidR="00F92484">
              <w:rPr>
                <w:b/>
              </w:rPr>
              <w:t xml:space="preserve">with </w:t>
            </w:r>
            <w:r>
              <w:rPr>
                <w:b/>
              </w:rPr>
              <w:t xml:space="preserve">Specimen </w:t>
            </w:r>
            <w:r w:rsidRPr="00D1100E">
              <w:t>check box</w:t>
            </w:r>
            <w:r>
              <w:rPr>
                <w:b/>
              </w:rPr>
              <w:t>.</w:t>
            </w:r>
          </w:p>
          <w:p w14:paraId="771A6F24" w14:textId="77777777" w:rsidR="004D6F51" w:rsidRDefault="004D6F51" w:rsidP="0020776C">
            <w:pPr>
              <w:pStyle w:val="TableTextNumbers"/>
              <w:numPr>
                <w:ilvl w:val="0"/>
                <w:numId w:val="0"/>
              </w:numPr>
              <w:ind w:left="288" w:hanging="288"/>
              <w:rPr>
                <w:b/>
              </w:rPr>
            </w:pPr>
          </w:p>
          <w:p w14:paraId="4C26ACBE" w14:textId="17297993" w:rsidR="004D6F51" w:rsidRDefault="004D6F51" w:rsidP="0020776C">
            <w:pPr>
              <w:pStyle w:val="TableTextNumbersContinued"/>
            </w:pPr>
            <w:r>
              <w:t xml:space="preserve">Click the </w:t>
            </w:r>
            <w:r w:rsidR="00A6373D">
              <w:rPr>
                <w:b/>
              </w:rPr>
              <w:t>find</w:t>
            </w:r>
            <w:r w:rsidRPr="001235FC">
              <w:rPr>
                <w:b/>
              </w:rPr>
              <w:t xml:space="preserve"> </w:t>
            </w:r>
            <w:r w:rsidRPr="00D1100E">
              <w:t>button</w:t>
            </w:r>
            <w:r>
              <w:t xml:space="preserve"> to select</w:t>
            </w:r>
            <w:r w:rsidR="00F92484">
              <w:t xml:space="preserve"> a specimen</w:t>
            </w:r>
            <w:r>
              <w:t xml:space="preserve"> UID</w:t>
            </w:r>
            <w:r w:rsidR="009F0D10">
              <w:t xml:space="preserve"> (</w:t>
            </w:r>
            <w:r w:rsidR="00EE455E">
              <w:t xml:space="preserve">Figure </w:t>
            </w:r>
            <w:r w:rsidR="00EE455E">
              <w:rPr>
                <w:noProof/>
              </w:rPr>
              <w:t>71</w:t>
            </w:r>
            <w:r w:rsidR="009F0D10">
              <w:t>)</w:t>
            </w:r>
            <w:r>
              <w:t>.</w:t>
            </w:r>
          </w:p>
        </w:tc>
        <w:tc>
          <w:tcPr>
            <w:tcW w:w="6120" w:type="dxa"/>
          </w:tcPr>
          <w:p w14:paraId="02BDC7D3" w14:textId="77777777" w:rsidR="004D6F51" w:rsidRDefault="004D6F51" w:rsidP="0020776C">
            <w:pPr>
              <w:pStyle w:val="TableTextBullet"/>
            </w:pPr>
            <w:r>
              <w:t xml:space="preserve">Opens the </w:t>
            </w:r>
            <w:r w:rsidR="00F92484">
              <w:t>Select Patient Specimen window.</w:t>
            </w:r>
          </w:p>
        </w:tc>
      </w:tr>
      <w:tr w:rsidR="004D6F51" w14:paraId="52087FBC" w14:textId="77777777">
        <w:tc>
          <w:tcPr>
            <w:tcW w:w="3240" w:type="dxa"/>
          </w:tcPr>
          <w:p w14:paraId="489D3FAC" w14:textId="77777777" w:rsidR="004D6F51" w:rsidRDefault="004D6F51" w:rsidP="0020776C">
            <w:pPr>
              <w:pStyle w:val="TableTextNumbers"/>
            </w:pPr>
            <w:r>
              <w:t xml:space="preserve">Scan or enter the correct specimen UID and click </w:t>
            </w:r>
            <w:r>
              <w:rPr>
                <w:b/>
              </w:rPr>
              <w:t>Search</w:t>
            </w:r>
            <w:r>
              <w:t>.</w:t>
            </w:r>
          </w:p>
        </w:tc>
        <w:tc>
          <w:tcPr>
            <w:tcW w:w="6120" w:type="dxa"/>
          </w:tcPr>
          <w:p w14:paraId="53A091DC" w14:textId="77777777" w:rsidR="004D6F51" w:rsidRDefault="004D6F51" w:rsidP="0020776C">
            <w:pPr>
              <w:pStyle w:val="TableTextBullet"/>
            </w:pPr>
            <w:r>
              <w:t xml:space="preserve">Displays </w:t>
            </w:r>
            <w:r w:rsidR="00F92484">
              <w:t xml:space="preserve">the </w:t>
            </w:r>
            <w:r w:rsidR="00C3266A">
              <w:t>s</w:t>
            </w:r>
            <w:r w:rsidR="00F92484">
              <w:t xml:space="preserve">elected </w:t>
            </w:r>
            <w:r w:rsidR="00C3266A">
              <w:t>patient s</w:t>
            </w:r>
            <w:r w:rsidR="00F92484">
              <w:t xml:space="preserve">pecimen </w:t>
            </w:r>
            <w:r w:rsidR="00C3266A">
              <w:t>information</w:t>
            </w:r>
            <w:r w:rsidR="00F92484">
              <w:t>.</w:t>
            </w:r>
          </w:p>
        </w:tc>
      </w:tr>
      <w:tr w:rsidR="004D6F51" w14:paraId="5C4F30B2" w14:textId="77777777">
        <w:tc>
          <w:tcPr>
            <w:tcW w:w="3240" w:type="dxa"/>
          </w:tcPr>
          <w:p w14:paraId="2B192ED5" w14:textId="77777777" w:rsidR="004D6F51" w:rsidRDefault="004D6F51" w:rsidP="0020776C">
            <w:pPr>
              <w:pStyle w:val="TableTextNumbers"/>
            </w:pPr>
            <w:r>
              <w:t xml:space="preserve">Click </w:t>
            </w:r>
            <w:r w:rsidRPr="005457F3">
              <w:rPr>
                <w:b/>
              </w:rPr>
              <w:t>OK</w:t>
            </w:r>
            <w:r>
              <w:t>.</w:t>
            </w:r>
          </w:p>
        </w:tc>
        <w:tc>
          <w:tcPr>
            <w:tcW w:w="6120" w:type="dxa"/>
          </w:tcPr>
          <w:p w14:paraId="00266B90" w14:textId="77777777" w:rsidR="004D6F51" w:rsidRDefault="004D6F51" w:rsidP="0020776C">
            <w:pPr>
              <w:pStyle w:val="TableTextBullet"/>
            </w:pPr>
            <w:r>
              <w:t>Saves the specimen information and returns the user to the Select Units window.</w:t>
            </w:r>
          </w:p>
          <w:p w14:paraId="5CF9200B" w14:textId="77777777" w:rsidR="004D6F51" w:rsidRDefault="004D6F51" w:rsidP="0020776C">
            <w:pPr>
              <w:pStyle w:val="TableTextBullet"/>
            </w:pPr>
            <w:r>
              <w:t>Displays the associat</w:t>
            </w:r>
            <w:r w:rsidR="008D0654">
              <w:t>ed specimen UID in the Specimen</w:t>
            </w:r>
            <w:r>
              <w:t xml:space="preserve"> UID field.</w:t>
            </w:r>
          </w:p>
        </w:tc>
      </w:tr>
      <w:tr w:rsidR="004D6F51" w14:paraId="54DBF369" w14:textId="77777777">
        <w:tc>
          <w:tcPr>
            <w:tcW w:w="3240" w:type="dxa"/>
          </w:tcPr>
          <w:p w14:paraId="650BF7B3" w14:textId="77777777" w:rsidR="004D6F51" w:rsidRDefault="000A2E5E" w:rsidP="000A2E5E">
            <w:pPr>
              <w:pStyle w:val="TableTextNumbers"/>
            </w:pPr>
            <w:r>
              <w:t xml:space="preserve">Repeat Steps 3 through </w:t>
            </w:r>
            <w:r w:rsidR="004D6F51">
              <w:t xml:space="preserve">6 to associate the </w:t>
            </w:r>
            <w:r>
              <w:t>specimen UID</w:t>
            </w:r>
            <w:r w:rsidR="004D6F51">
              <w:t xml:space="preserve"> with other emergency-issued units, or click </w:t>
            </w:r>
            <w:r w:rsidR="004D6F51">
              <w:rPr>
                <w:b/>
              </w:rPr>
              <w:t>OK</w:t>
            </w:r>
            <w:r w:rsidR="004D6F51">
              <w:t xml:space="preserve"> to save.</w:t>
            </w:r>
          </w:p>
        </w:tc>
        <w:tc>
          <w:tcPr>
            <w:tcW w:w="6120" w:type="dxa"/>
          </w:tcPr>
          <w:p w14:paraId="172A8278" w14:textId="77777777" w:rsidR="004D6F51" w:rsidRDefault="008D0654" w:rsidP="0020776C">
            <w:pPr>
              <w:pStyle w:val="TableTextBullet"/>
            </w:pPr>
            <w:r>
              <w:t>When the user clicks OK, d</w:t>
            </w:r>
            <w:r w:rsidR="004D6F51">
              <w:t>isplays a message asking the user if he wishes to complete serologic crossmatch</w:t>
            </w:r>
            <w:r w:rsidR="003F629A">
              <w:t xml:space="preserve"> when at least one unit requires crossmatch</w:t>
            </w:r>
            <w:r w:rsidR="004D6F51">
              <w:t>.</w:t>
            </w:r>
          </w:p>
        </w:tc>
      </w:tr>
      <w:tr w:rsidR="004D6F51" w14:paraId="6F781AC0" w14:textId="77777777">
        <w:tc>
          <w:tcPr>
            <w:tcW w:w="3240" w:type="dxa"/>
          </w:tcPr>
          <w:p w14:paraId="1515D75E" w14:textId="77777777" w:rsidR="004D6F51" w:rsidRDefault="004D6F51" w:rsidP="0020776C">
            <w:pPr>
              <w:pStyle w:val="TableTextNumbers"/>
            </w:pPr>
            <w:r>
              <w:t xml:space="preserve">Click </w:t>
            </w:r>
            <w:r>
              <w:rPr>
                <w:b/>
              </w:rPr>
              <w:t>Yes</w:t>
            </w:r>
            <w:r>
              <w:t xml:space="preserve"> to complete the serologic crossmatch.</w:t>
            </w:r>
          </w:p>
          <w:p w14:paraId="01F3EAEC" w14:textId="77777777" w:rsidR="004D6F51" w:rsidRDefault="004D6F51" w:rsidP="0020776C">
            <w:pPr>
              <w:pStyle w:val="TableTextNumbers"/>
              <w:numPr>
                <w:ilvl w:val="0"/>
                <w:numId w:val="0"/>
              </w:numPr>
              <w:ind w:left="288" w:hanging="288"/>
            </w:pPr>
          </w:p>
          <w:p w14:paraId="058814F0" w14:textId="77777777" w:rsidR="004D6F51" w:rsidRPr="005457F3" w:rsidRDefault="004D6F51" w:rsidP="0020776C">
            <w:pPr>
              <w:pStyle w:val="TableTextNumbersContinued"/>
            </w:pPr>
            <w:r>
              <w:t xml:space="preserve">Click </w:t>
            </w:r>
            <w:r>
              <w:rPr>
                <w:b/>
              </w:rPr>
              <w:t>No</w:t>
            </w:r>
            <w:r>
              <w:t xml:space="preserve"> to return to the VBECS desktop.</w:t>
            </w:r>
          </w:p>
        </w:tc>
        <w:tc>
          <w:tcPr>
            <w:tcW w:w="6120" w:type="dxa"/>
          </w:tcPr>
          <w:p w14:paraId="5097ED51" w14:textId="77777777" w:rsidR="004D6F51" w:rsidRDefault="009B4224" w:rsidP="0020776C">
            <w:pPr>
              <w:pStyle w:val="TableTextBullet"/>
            </w:pPr>
            <w:r>
              <w:t>Allows the user to enter results in the Serologic Crossmatch (XM) cells in the patient testing grid.</w:t>
            </w:r>
          </w:p>
        </w:tc>
      </w:tr>
      <w:tr w:rsidR="002A21AE" w14:paraId="0D078998" w14:textId="77777777">
        <w:tc>
          <w:tcPr>
            <w:tcW w:w="3240" w:type="dxa"/>
          </w:tcPr>
          <w:p w14:paraId="6DA71C9A" w14:textId="77777777" w:rsidR="00772C9B" w:rsidRDefault="002A21AE" w:rsidP="008D18B9">
            <w:pPr>
              <w:pStyle w:val="TableTextNumbers"/>
            </w:pPr>
            <w:r>
              <w:t xml:space="preserve">Click </w:t>
            </w:r>
            <w:r>
              <w:rPr>
                <w:b/>
              </w:rPr>
              <w:t>Add Units</w:t>
            </w:r>
            <w:r>
              <w:t xml:space="preserve"> to add units to the component orders selected.</w:t>
            </w:r>
          </w:p>
        </w:tc>
        <w:tc>
          <w:tcPr>
            <w:tcW w:w="6120" w:type="dxa"/>
          </w:tcPr>
          <w:p w14:paraId="3F012CAB" w14:textId="77777777" w:rsidR="002A21AE" w:rsidRDefault="002A21AE">
            <w:pPr>
              <w:pStyle w:val="TableTextBullet"/>
            </w:pPr>
            <w:r>
              <w:t>Searches the database and displays available restricted autologous and directed units that the user must select before selecting allo</w:t>
            </w:r>
            <w:r w:rsidR="000A2E5E">
              <w:t xml:space="preserve">geneic units of the same </w:t>
            </w:r>
            <w:r>
              <w:t>component class.</w:t>
            </w:r>
          </w:p>
          <w:p w14:paraId="2B1B652E" w14:textId="77777777" w:rsidR="002A21AE" w:rsidRDefault="002A21AE">
            <w:pPr>
              <w:pStyle w:val="TableTextBullet"/>
            </w:pPr>
            <w:r>
              <w:t>Displays the unit ID, product type, unit ABO/Rh, unit expiration date, specimen UID, if applicable, of units assigned to the patient in the division’s blood bank on a different specimen or order. T</w:t>
            </w:r>
            <w:r w:rsidR="000A2E5E">
              <w:t>he user may add and remove</w:t>
            </w:r>
            <w:r>
              <w:t xml:space="preserve"> the units to the current order</w:t>
            </w:r>
            <w:r w:rsidR="00B41BC2">
              <w:t xml:space="preserve"> until saved</w:t>
            </w:r>
            <w:r>
              <w:t>.</w:t>
            </w:r>
          </w:p>
          <w:p w14:paraId="55054D02" w14:textId="77777777" w:rsidR="008D18B9" w:rsidRDefault="008D18B9">
            <w:pPr>
              <w:pStyle w:val="TableTextBullet"/>
            </w:pPr>
            <w:r>
              <w:t>When eXM was configured for the facility, displays the eXM status (eligible or not eligible) for the patient.</w:t>
            </w:r>
          </w:p>
          <w:p w14:paraId="47682183" w14:textId="77777777" w:rsidR="00931B15" w:rsidRDefault="00880CE3">
            <w:pPr>
              <w:pStyle w:val="TableTextBullet"/>
            </w:pPr>
            <w:r w:rsidRPr="00880CE3">
              <w:rPr>
                <w:vanish/>
              </w:rPr>
              <w:t xml:space="preserve">BR_3.63 </w:t>
            </w:r>
            <w:r w:rsidR="000A2E5E">
              <w:t>When the component order is for “PLATELETS” or “OTHER”, the</w:t>
            </w:r>
            <w:r w:rsidR="00931B15">
              <w:t xml:space="preserve"> units with = &gt;</w:t>
            </w:r>
            <w:r w:rsidR="000A2E5E">
              <w:t xml:space="preserve"> 2 mL of RBC contamination must be presented and will display </w:t>
            </w:r>
            <w:r w:rsidR="000A2E5E" w:rsidRPr="00B41BC2">
              <w:rPr>
                <w:i/>
              </w:rPr>
              <w:t>before</w:t>
            </w:r>
            <w:r w:rsidR="000A2E5E">
              <w:t xml:space="preserve"> products with less than (&lt;) 2 mL of RBC contamination. </w:t>
            </w:r>
          </w:p>
          <w:p w14:paraId="00DA8BFD" w14:textId="77777777" w:rsidR="000A2E5E" w:rsidRDefault="000A2E5E">
            <w:pPr>
              <w:pStyle w:val="TableTextBullet"/>
            </w:pPr>
            <w:r>
              <w:t>VBECS will present</w:t>
            </w:r>
            <w:r w:rsidR="00B41BC2">
              <w:t xml:space="preserve"> all available units when the Product Type is “PLATELETS” or “OTHER” non-plasma components that have less than (&lt;) 2 mL RBC contamination.</w:t>
            </w:r>
          </w:p>
          <w:p w14:paraId="5B3923E1" w14:textId="77777777" w:rsidR="002A21AE" w:rsidRDefault="002A21AE">
            <w:pPr>
              <w:pStyle w:val="TableText"/>
            </w:pPr>
          </w:p>
          <w:p w14:paraId="3A2246B5" w14:textId="3B57A124" w:rsidR="002A21AE" w:rsidRDefault="002A21AE">
            <w:pPr>
              <w:pStyle w:val="TableText"/>
              <w:rPr>
                <w:b/>
                <w:bCs/>
                <w:szCs w:val="18"/>
              </w:rPr>
            </w:pPr>
            <w:r>
              <w:rPr>
                <w:b/>
                <w:bCs/>
                <w:szCs w:val="18"/>
              </w:rPr>
              <w:t>NOTES</w:t>
            </w:r>
          </w:p>
          <w:p w14:paraId="4FFF5622" w14:textId="77777777" w:rsidR="002A21AE" w:rsidRDefault="002A21AE">
            <w:pPr>
              <w:pStyle w:val="NotesText"/>
            </w:pPr>
          </w:p>
          <w:p w14:paraId="11984207" w14:textId="40794C27" w:rsidR="002A21AE" w:rsidRDefault="00896F17">
            <w:pPr>
              <w:pStyle w:val="NotesText"/>
            </w:pPr>
            <w:r w:rsidRPr="00896F17">
              <w:rPr>
                <w:rStyle w:val="BullhornChar"/>
              </w:rPr>
              <w:t></w:t>
            </w:r>
            <w:r w:rsidRPr="00C51C45">
              <w:rPr>
                <w:rFonts w:ascii="Webdings" w:hAnsi="Webdings"/>
                <w:szCs w:val="22"/>
              </w:rPr>
              <w:t></w:t>
            </w:r>
            <w:r>
              <w:rPr>
                <w:rFonts w:cs="Arial"/>
                <w:szCs w:val="22"/>
              </w:rPr>
              <w:t>See</w:t>
            </w:r>
            <w:r w:rsidR="002A21AE">
              <w:rPr>
                <w:rFonts w:cs="Arial"/>
                <w:szCs w:val="22"/>
              </w:rPr>
              <w:t xml:space="preserve"> </w:t>
            </w:r>
            <w:r w:rsidR="00EE455E">
              <w:t xml:space="preserve">Table </w:t>
            </w:r>
            <w:r w:rsidR="00EE455E">
              <w:rPr>
                <w:noProof/>
              </w:rPr>
              <w:t>6</w:t>
            </w:r>
            <w:r w:rsidR="006E22F3">
              <w:rPr>
                <w:rFonts w:cs="Arial"/>
                <w:szCs w:val="22"/>
              </w:rPr>
              <w:t xml:space="preserve"> f</w:t>
            </w:r>
            <w:r w:rsidR="002A21AE">
              <w:rPr>
                <w:rFonts w:cs="Arial"/>
                <w:szCs w:val="22"/>
              </w:rPr>
              <w:t>or alerts that may occur during this option.</w:t>
            </w:r>
          </w:p>
          <w:p w14:paraId="1929BAB2" w14:textId="77777777" w:rsidR="002A21AE" w:rsidRDefault="002A21AE">
            <w:pPr>
              <w:pStyle w:val="NotesText"/>
            </w:pPr>
          </w:p>
          <w:p w14:paraId="70EC0252" w14:textId="77777777" w:rsidR="007A3EAF" w:rsidRPr="007A3EAF" w:rsidRDefault="007A3EAF">
            <w:pPr>
              <w:pStyle w:val="NotesText"/>
            </w:pPr>
            <w:r>
              <w:t xml:space="preserve">Units that are selectable with an override do not appear on the list of available units and must be scanned or entered by the user. </w:t>
            </w:r>
            <w:r>
              <w:rPr>
                <w:vanish/>
              </w:rPr>
              <w:t>DR 2819</w:t>
            </w:r>
          </w:p>
          <w:p w14:paraId="292204D1" w14:textId="77777777" w:rsidR="007A3EAF" w:rsidRDefault="007A3EAF">
            <w:pPr>
              <w:pStyle w:val="NotesText"/>
            </w:pPr>
          </w:p>
          <w:p w14:paraId="191F97AD" w14:textId="77777777" w:rsidR="00B41BC2" w:rsidRPr="00B41BC2" w:rsidRDefault="00B41BC2" w:rsidP="00B41BC2">
            <w:pPr>
              <w:pStyle w:val="NotesText"/>
            </w:pPr>
            <w:r w:rsidRPr="00AD0810">
              <w:rPr>
                <w:vanish/>
              </w:rPr>
              <w:t xml:space="preserve">BR_3.05 </w:t>
            </w:r>
            <w:r>
              <w:t>A patient’s historical ABO/Rh is displayed, when present. When the current specimen is not yet tested, is normally not required, or must be saved as inconclusive, a unit of blood can be selected based on the patient’s historical ABO/Rh.</w:t>
            </w:r>
          </w:p>
          <w:p w14:paraId="6C0A81D7" w14:textId="77777777" w:rsidR="00B41BC2" w:rsidRDefault="00B41BC2" w:rsidP="00B41BC2">
            <w:pPr>
              <w:pStyle w:val="TableText"/>
            </w:pPr>
          </w:p>
          <w:p w14:paraId="6A240592" w14:textId="77777777" w:rsidR="00B41BC2" w:rsidRDefault="00973AD0" w:rsidP="00B41BC2">
            <w:pPr>
              <w:pStyle w:val="NotesText"/>
            </w:pPr>
            <w:r w:rsidRPr="00973AD0">
              <w:rPr>
                <w:vanish/>
              </w:rPr>
              <w:lastRenderedPageBreak/>
              <w:t xml:space="preserve">BR_3.05 </w:t>
            </w:r>
            <w:r w:rsidR="00B41BC2">
              <w:t xml:space="preserve">When the patient’s historic ABO/Rh is “NR,” “inconclusive”, from database conversion, or the current specimen has an “emergency issue” order indicator present and/or the required ABO/Rh specimen testing is incomplete, the user may select components as follows, including autologous units: </w:t>
            </w:r>
          </w:p>
          <w:p w14:paraId="02F6A49C" w14:textId="77777777" w:rsidR="00B41BC2" w:rsidRDefault="00B41BC2" w:rsidP="00B41BC2">
            <w:pPr>
              <w:pStyle w:val="TableText"/>
            </w:pPr>
          </w:p>
          <w:p w14:paraId="4B159DBB" w14:textId="77777777" w:rsidR="00B41BC2" w:rsidRDefault="00B41BC2" w:rsidP="008D6E9E">
            <w:pPr>
              <w:pStyle w:val="TableText"/>
              <w:ind w:left="720"/>
            </w:pPr>
            <w:r>
              <w:t xml:space="preserve">For RBC or WB order: </w:t>
            </w:r>
          </w:p>
          <w:p w14:paraId="1750FD75" w14:textId="77777777" w:rsidR="00B41BC2" w:rsidRDefault="00B41BC2" w:rsidP="00925CAD">
            <w:pPr>
              <w:pStyle w:val="TableText"/>
              <w:numPr>
                <w:ilvl w:val="0"/>
                <w:numId w:val="62"/>
              </w:numPr>
              <w:ind w:left="1440"/>
            </w:pPr>
            <w:r>
              <w:t>Group O, Rh positive or O Rh negative RBC</w:t>
            </w:r>
          </w:p>
          <w:p w14:paraId="191838EA" w14:textId="77777777" w:rsidR="00B41BC2" w:rsidRDefault="00B41BC2" w:rsidP="00925CAD">
            <w:pPr>
              <w:pStyle w:val="TableText"/>
              <w:numPr>
                <w:ilvl w:val="0"/>
                <w:numId w:val="62"/>
              </w:numPr>
              <w:ind w:left="1440"/>
            </w:pPr>
            <w:r>
              <w:t>WHOLE BLOOD is not selectable</w:t>
            </w:r>
          </w:p>
          <w:p w14:paraId="514C2074" w14:textId="64645694" w:rsidR="00B41BC2" w:rsidRDefault="00B41BC2" w:rsidP="008D6E9E">
            <w:pPr>
              <w:pStyle w:val="TableText"/>
              <w:ind w:left="720"/>
            </w:pPr>
            <w:r>
              <w:t>For FFP order:</w:t>
            </w:r>
            <w:r w:rsidR="00BE1E4F">
              <w:t xml:space="preserve"> </w:t>
            </w:r>
            <w:r w:rsidR="00BE1E4F" w:rsidRPr="00BE1E4F">
              <w:rPr>
                <w:vanish/>
              </w:rPr>
              <w:t>Task 78435</w:t>
            </w:r>
          </w:p>
          <w:p w14:paraId="7085EBDD" w14:textId="77777777" w:rsidR="00B41BC2" w:rsidRDefault="00B41BC2" w:rsidP="00925CAD">
            <w:pPr>
              <w:pStyle w:val="TableText"/>
              <w:numPr>
                <w:ilvl w:val="0"/>
                <w:numId w:val="63"/>
              </w:numPr>
              <w:ind w:left="1440"/>
            </w:pPr>
            <w:r>
              <w:t>Group AB, Rh positive, Rh negative, or not specified</w:t>
            </w:r>
          </w:p>
          <w:p w14:paraId="5CB66270" w14:textId="77777777" w:rsidR="00B41BC2" w:rsidRPr="001A5BC5" w:rsidRDefault="00B41BC2" w:rsidP="008D6E9E">
            <w:pPr>
              <w:pStyle w:val="TableText"/>
              <w:tabs>
                <w:tab w:val="left" w:pos="2655"/>
              </w:tabs>
              <w:ind w:left="720"/>
            </w:pPr>
            <w:r>
              <w:t>F</w:t>
            </w:r>
            <w:r w:rsidRPr="001A5BC5">
              <w:t>or PLT order:</w:t>
            </w:r>
          </w:p>
          <w:p w14:paraId="5BEB44EB" w14:textId="77777777" w:rsidR="00B41BC2" w:rsidRPr="001A5BC5" w:rsidRDefault="00B41BC2" w:rsidP="00925CAD">
            <w:pPr>
              <w:pStyle w:val="TableText"/>
              <w:numPr>
                <w:ilvl w:val="0"/>
                <w:numId w:val="64"/>
              </w:numPr>
              <w:tabs>
                <w:tab w:val="left" w:pos="696"/>
              </w:tabs>
              <w:ind w:left="1416"/>
            </w:pPr>
            <w:r w:rsidRPr="001A5BC5">
              <w:t>All units with &lt; 2 mL RBC contamination are available</w:t>
            </w:r>
          </w:p>
          <w:p w14:paraId="6BBFCA3A" w14:textId="04E72199" w:rsidR="00B41BC2" w:rsidRPr="001A5BC5" w:rsidRDefault="00B41BC2" w:rsidP="00925CAD">
            <w:pPr>
              <w:pStyle w:val="TableText"/>
              <w:numPr>
                <w:ilvl w:val="0"/>
                <w:numId w:val="64"/>
              </w:numPr>
              <w:tabs>
                <w:tab w:val="left" w:pos="696"/>
              </w:tabs>
              <w:ind w:left="1416"/>
            </w:pPr>
            <w:r w:rsidRPr="001A5BC5">
              <w:t xml:space="preserve">Units with </w:t>
            </w:r>
            <w:r w:rsidR="00570C93">
              <w:t xml:space="preserve">(= &gt;) </w:t>
            </w:r>
            <w:r w:rsidRPr="001A5BC5">
              <w:t>2 mL RBC contamination are not available</w:t>
            </w:r>
          </w:p>
          <w:p w14:paraId="37BE11A0" w14:textId="77777777" w:rsidR="00B41BC2" w:rsidRPr="001A5BC5" w:rsidRDefault="00B41BC2" w:rsidP="008D6E9E">
            <w:pPr>
              <w:pStyle w:val="TableText"/>
              <w:tabs>
                <w:tab w:val="left" w:pos="2655"/>
              </w:tabs>
              <w:ind w:left="720"/>
            </w:pPr>
            <w:r w:rsidRPr="001A5BC5">
              <w:t>For CRYO order:</w:t>
            </w:r>
            <w:r w:rsidRPr="001A5BC5">
              <w:tab/>
            </w:r>
          </w:p>
          <w:p w14:paraId="11B6F906" w14:textId="77777777" w:rsidR="00B41BC2" w:rsidRPr="001A5BC5" w:rsidRDefault="00B41BC2" w:rsidP="00925CAD">
            <w:pPr>
              <w:pStyle w:val="TableText"/>
              <w:numPr>
                <w:ilvl w:val="0"/>
                <w:numId w:val="64"/>
              </w:numPr>
              <w:tabs>
                <w:tab w:val="left" w:pos="696"/>
              </w:tabs>
              <w:ind w:left="1416"/>
            </w:pPr>
            <w:r w:rsidRPr="001A5BC5">
              <w:t>All available units are selectable.</w:t>
            </w:r>
          </w:p>
          <w:p w14:paraId="337C231D" w14:textId="77777777" w:rsidR="00B41BC2" w:rsidRPr="001A5BC5" w:rsidRDefault="00B41BC2" w:rsidP="008D6E9E">
            <w:pPr>
              <w:pStyle w:val="TableText"/>
              <w:tabs>
                <w:tab w:val="left" w:pos="2655"/>
              </w:tabs>
              <w:ind w:left="720"/>
            </w:pPr>
            <w:r w:rsidRPr="001A5BC5">
              <w:t>For OTHER order:</w:t>
            </w:r>
            <w:r w:rsidRPr="001A5BC5">
              <w:tab/>
            </w:r>
          </w:p>
          <w:p w14:paraId="3C5BD166" w14:textId="77777777" w:rsidR="00B41BC2" w:rsidRPr="001A5BC5" w:rsidRDefault="00B41BC2" w:rsidP="00925CAD">
            <w:pPr>
              <w:pStyle w:val="TableText"/>
              <w:numPr>
                <w:ilvl w:val="0"/>
                <w:numId w:val="64"/>
              </w:numPr>
              <w:tabs>
                <w:tab w:val="left" w:pos="696"/>
              </w:tabs>
              <w:ind w:left="1416"/>
            </w:pPr>
            <w:r w:rsidRPr="001A5BC5">
              <w:t>All units with &lt; 2 mL RBC contamination are available</w:t>
            </w:r>
          </w:p>
          <w:p w14:paraId="297D02EF" w14:textId="77777777" w:rsidR="00B41BC2" w:rsidRPr="001A5BC5" w:rsidRDefault="00B41BC2" w:rsidP="00925CAD">
            <w:pPr>
              <w:pStyle w:val="TableText"/>
              <w:numPr>
                <w:ilvl w:val="0"/>
                <w:numId w:val="64"/>
              </w:numPr>
              <w:tabs>
                <w:tab w:val="left" w:pos="696"/>
              </w:tabs>
              <w:ind w:left="1416"/>
            </w:pPr>
            <w:r w:rsidRPr="001A5BC5">
              <w:t xml:space="preserve">Units with </w:t>
            </w:r>
            <w:r w:rsidRPr="001A5BC5">
              <w:rPr>
                <w:u w:val="single"/>
              </w:rPr>
              <w:t>&gt;</w:t>
            </w:r>
            <w:r w:rsidRPr="001A5BC5">
              <w:t xml:space="preserve"> 2 mL RBC contamination are not available</w:t>
            </w:r>
          </w:p>
          <w:p w14:paraId="3BE64C3D" w14:textId="77777777" w:rsidR="002A21AE" w:rsidRDefault="002A21AE" w:rsidP="00B41BC2">
            <w:pPr>
              <w:pStyle w:val="NotesTextBullet"/>
              <w:numPr>
                <w:ilvl w:val="0"/>
                <w:numId w:val="0"/>
              </w:numPr>
            </w:pPr>
          </w:p>
        </w:tc>
      </w:tr>
      <w:tr w:rsidR="002A21AE" w14:paraId="041DFC04" w14:textId="77777777">
        <w:tc>
          <w:tcPr>
            <w:tcW w:w="3240" w:type="dxa"/>
          </w:tcPr>
          <w:p w14:paraId="75363FFE" w14:textId="77777777" w:rsidR="00234D60" w:rsidRDefault="002A21AE" w:rsidP="00234D60">
            <w:pPr>
              <w:pStyle w:val="TableTextNumbers"/>
            </w:pPr>
            <w:r>
              <w:lastRenderedPageBreak/>
              <w:t>Scan</w:t>
            </w:r>
            <w:r w:rsidR="00B97587">
              <w:t xml:space="preserve">, </w:t>
            </w:r>
            <w:r w:rsidR="00234D60">
              <w:t>enter</w:t>
            </w:r>
            <w:r>
              <w:t xml:space="preserve"> or </w:t>
            </w:r>
            <w:r w:rsidR="00234D60">
              <w:t xml:space="preserve">select </w:t>
            </w:r>
            <w:r w:rsidR="00B97587" w:rsidRPr="00905C47">
              <w:rPr>
                <w:b/>
              </w:rPr>
              <w:t>*</w:t>
            </w:r>
            <w:r>
              <w:t>allogeneic units</w:t>
            </w:r>
            <w:r w:rsidR="00234D60">
              <w:t xml:space="preserve">. Units may be selected from the </w:t>
            </w:r>
            <w:r>
              <w:t xml:space="preserve">Order Group </w:t>
            </w:r>
            <w:r w:rsidR="0006424F">
              <w:t xml:space="preserve">tree view </w:t>
            </w:r>
            <w:r w:rsidR="00D509C6">
              <w:t xml:space="preserve">or </w:t>
            </w:r>
            <w:r w:rsidR="00234D60">
              <w:t>by clicking</w:t>
            </w:r>
            <w:r w:rsidR="00D509C6">
              <w:t xml:space="preserve"> the </w:t>
            </w:r>
            <w:r w:rsidR="00A6373D">
              <w:rPr>
                <w:b/>
              </w:rPr>
              <w:t>find</w:t>
            </w:r>
            <w:r w:rsidR="00D509C6" w:rsidRPr="00D509C6">
              <w:rPr>
                <w:b/>
              </w:rPr>
              <w:t xml:space="preserve"> </w:t>
            </w:r>
            <w:r w:rsidR="00D509C6" w:rsidRPr="00D1100E">
              <w:t>button</w:t>
            </w:r>
            <w:r w:rsidR="0006424F">
              <w:t xml:space="preserve"> for a list of compatible units</w:t>
            </w:r>
            <w:r>
              <w:t>.</w:t>
            </w:r>
          </w:p>
          <w:p w14:paraId="3D41E0D2" w14:textId="77777777" w:rsidR="00234D60" w:rsidRDefault="00234D60">
            <w:pPr>
              <w:pStyle w:val="TableTextNumbersContinued"/>
              <w:rPr>
                <w:b/>
              </w:rPr>
            </w:pPr>
          </w:p>
          <w:p w14:paraId="235AA159" w14:textId="77777777" w:rsidR="002A21AE" w:rsidRDefault="00234D60">
            <w:pPr>
              <w:pStyle w:val="TableTextNumbersContinued"/>
            </w:pPr>
            <w:r w:rsidRPr="00905C47">
              <w:rPr>
                <w:b/>
              </w:rPr>
              <w:t>*</w:t>
            </w:r>
            <w:r w:rsidR="003A514F">
              <w:t xml:space="preserve"> when typing in a</w:t>
            </w:r>
            <w:r>
              <w:t xml:space="preserve"> unit ID and Product Code, use the tab key or </w:t>
            </w:r>
            <w:r w:rsidR="0006424F">
              <w:t>mouse to leave the field.</w:t>
            </w:r>
          </w:p>
          <w:p w14:paraId="66EC8AA1" w14:textId="77777777" w:rsidR="0006424F" w:rsidRDefault="0006424F">
            <w:pPr>
              <w:pStyle w:val="TableTextNumbersContinued"/>
            </w:pPr>
          </w:p>
          <w:p w14:paraId="1B8F1E47" w14:textId="77777777" w:rsidR="002A21AE" w:rsidRDefault="002A21AE">
            <w:pPr>
              <w:pStyle w:val="TableTextNumbersContinued"/>
            </w:pPr>
            <w:r>
              <w:t>Enter or select a date in the Selection Date field.</w:t>
            </w:r>
            <w:r w:rsidR="00731BFF">
              <w:t xml:space="preserve"> </w:t>
            </w:r>
            <w:r>
              <w:t>Each unit may have its own selection date and time.</w:t>
            </w:r>
          </w:p>
          <w:p w14:paraId="5C8950D3" w14:textId="77777777" w:rsidR="002A21AE" w:rsidRDefault="002A21AE">
            <w:pPr>
              <w:pStyle w:val="TableTextNumbersContinued"/>
            </w:pPr>
          </w:p>
          <w:p w14:paraId="1AEE8FFD" w14:textId="77777777" w:rsidR="002A21AE" w:rsidRDefault="002A21AE">
            <w:pPr>
              <w:pStyle w:val="TableTextNumbersContinued"/>
            </w:pPr>
            <w:r>
              <w:t xml:space="preserve">Click </w:t>
            </w:r>
            <w:r>
              <w:rPr>
                <w:b/>
              </w:rPr>
              <w:t>Add Units</w:t>
            </w:r>
            <w:r>
              <w:t xml:space="preserve"> to display the unit selection form.</w:t>
            </w:r>
          </w:p>
          <w:p w14:paraId="6921AA56" w14:textId="1D40BEAC" w:rsidR="00B97587" w:rsidRDefault="00B97587" w:rsidP="0013497C">
            <w:pPr>
              <w:pStyle w:val="TableTextNumbersContinued"/>
              <w:ind w:left="0"/>
            </w:pPr>
          </w:p>
        </w:tc>
        <w:tc>
          <w:tcPr>
            <w:tcW w:w="6120" w:type="dxa"/>
          </w:tcPr>
          <w:p w14:paraId="4B909077" w14:textId="77777777" w:rsidR="002A21AE" w:rsidRPr="00710E7E" w:rsidRDefault="002A21AE" w:rsidP="007C4707">
            <w:pPr>
              <w:pStyle w:val="TableTextBullet"/>
            </w:pPr>
            <w:r w:rsidRPr="00710E7E">
              <w:t>Maintains a list of selected units. The user may deselect selected units.</w:t>
            </w:r>
          </w:p>
          <w:p w14:paraId="0402FC4D" w14:textId="77777777" w:rsidR="002A21AE" w:rsidRPr="00710E7E" w:rsidRDefault="002A21AE" w:rsidP="007C4707">
            <w:pPr>
              <w:pStyle w:val="TableTextBullet"/>
            </w:pPr>
            <w:r w:rsidRPr="00710E7E">
              <w:t>Evaluates the selected unit:</w:t>
            </w:r>
          </w:p>
          <w:p w14:paraId="0195CC00" w14:textId="77777777" w:rsidR="002A21AE" w:rsidRPr="007C4707" w:rsidRDefault="002A21AE" w:rsidP="007C4707">
            <w:pPr>
              <w:pStyle w:val="TableTextBullet1"/>
            </w:pPr>
            <w:r w:rsidRPr="007C4707">
              <w:t>For the ABO/Rh compatibility of each unit and warns the user.</w:t>
            </w:r>
          </w:p>
          <w:p w14:paraId="6ABFCE0D" w14:textId="77777777" w:rsidR="002A21AE" w:rsidRPr="007C4707" w:rsidRDefault="002A21AE" w:rsidP="007C4707">
            <w:pPr>
              <w:pStyle w:val="TableTextBullet1"/>
            </w:pPr>
            <w:r w:rsidRPr="007C4707">
              <w:t>Against patient Transfusion Requirements (TRs) and warns the user.</w:t>
            </w:r>
          </w:p>
          <w:p w14:paraId="5B50AF73" w14:textId="77777777" w:rsidR="002A21AE" w:rsidRPr="00710E7E" w:rsidRDefault="002A21AE" w:rsidP="007C4707">
            <w:pPr>
              <w:pStyle w:val="TableTextBullet1"/>
            </w:pPr>
            <w:r w:rsidRPr="007C4707">
              <w:t>For uni</w:t>
            </w:r>
            <w:r w:rsidRPr="00710E7E">
              <w:t>t antigen negative compatibility and warns the user.</w:t>
            </w:r>
          </w:p>
          <w:p w14:paraId="4167B534" w14:textId="77777777" w:rsidR="002A21AE" w:rsidRPr="00710E7E" w:rsidRDefault="002A21AE" w:rsidP="007C4707">
            <w:pPr>
              <w:pStyle w:val="TableTextBullet"/>
            </w:pPr>
            <w:r w:rsidRPr="00710E7E">
              <w:t>Performs additional checks that include days remaining until the unit’s expiration date, the current status, assignments to other patients, quarantine and biohazard indicators, when applied, and associated special testing.</w:t>
            </w:r>
          </w:p>
          <w:p w14:paraId="429F7158" w14:textId="77777777" w:rsidR="002A21AE" w:rsidRPr="00710E7E" w:rsidRDefault="002A21AE">
            <w:pPr>
              <w:pStyle w:val="TableText"/>
              <w:rPr>
                <w:i/>
              </w:rPr>
            </w:pPr>
          </w:p>
          <w:p w14:paraId="79CC148F" w14:textId="2BCDC6B5" w:rsidR="002A21AE" w:rsidRPr="00710E7E" w:rsidRDefault="002A21AE">
            <w:pPr>
              <w:pStyle w:val="TableText"/>
              <w:rPr>
                <w:b/>
                <w:bCs/>
                <w:i/>
                <w:szCs w:val="18"/>
              </w:rPr>
            </w:pPr>
            <w:r w:rsidRPr="00710E7E">
              <w:rPr>
                <w:b/>
                <w:bCs/>
                <w:i/>
                <w:szCs w:val="18"/>
              </w:rPr>
              <w:t>NOTES</w:t>
            </w:r>
          </w:p>
          <w:p w14:paraId="253D98C1" w14:textId="77777777" w:rsidR="002A21AE" w:rsidRPr="00710E7E" w:rsidRDefault="002A21AE">
            <w:pPr>
              <w:pStyle w:val="NotesText"/>
              <w:rPr>
                <w:i/>
              </w:rPr>
            </w:pPr>
          </w:p>
          <w:p w14:paraId="4719DFAE" w14:textId="5B2268AC" w:rsidR="002A21AE" w:rsidRPr="00710E7E" w:rsidRDefault="00896F17">
            <w:pPr>
              <w:pStyle w:val="NotesText"/>
              <w:rPr>
                <w:i/>
              </w:rPr>
            </w:pPr>
            <w:r w:rsidRPr="00D612C6">
              <w:rPr>
                <w:rStyle w:val="BullhornChar"/>
              </w:rPr>
              <w:t></w:t>
            </w:r>
            <w:r w:rsidRPr="00710E7E">
              <w:rPr>
                <w:rFonts w:ascii="Webdings" w:hAnsi="Webdings"/>
                <w:i/>
                <w:szCs w:val="22"/>
              </w:rPr>
              <w:t></w:t>
            </w:r>
            <w:r w:rsidRPr="007C4707">
              <w:t>See</w:t>
            </w:r>
            <w:r w:rsidR="002A21AE" w:rsidRPr="007C4707">
              <w:t xml:space="preserve"> </w:t>
            </w:r>
            <w:r w:rsidR="00EE455E">
              <w:t>Table 6</w:t>
            </w:r>
            <w:r w:rsidR="002A21AE" w:rsidRPr="007C4707">
              <w:t xml:space="preserve"> for alerts that may occur during this option.</w:t>
            </w:r>
          </w:p>
          <w:p w14:paraId="46A6FF8F" w14:textId="77777777" w:rsidR="002A21AE" w:rsidRPr="00710E7E" w:rsidRDefault="002A21AE">
            <w:pPr>
              <w:pStyle w:val="NotesText"/>
              <w:rPr>
                <w:i/>
              </w:rPr>
            </w:pPr>
          </w:p>
          <w:p w14:paraId="0FA6F9A1" w14:textId="77777777" w:rsidR="002A21AE" w:rsidRPr="00710E7E" w:rsidRDefault="00AC6F94">
            <w:pPr>
              <w:pStyle w:val="NotesText"/>
              <w:rPr>
                <w:i/>
              </w:rPr>
            </w:pPr>
            <w:r w:rsidRPr="00710E7E">
              <w:rPr>
                <w:i/>
              </w:rPr>
              <w:t>When the user selects a unit in the tree view, he</w:t>
            </w:r>
            <w:r w:rsidR="002A21AE" w:rsidRPr="00710E7E">
              <w:rPr>
                <w:i/>
              </w:rPr>
              <w:t xml:space="preserve"> may accept or edit the current date and time displayed; the date and time must be in the past. </w:t>
            </w:r>
          </w:p>
          <w:p w14:paraId="13C33F73" w14:textId="77777777" w:rsidR="002A21AE" w:rsidRPr="00710E7E" w:rsidRDefault="002A21AE">
            <w:pPr>
              <w:pStyle w:val="NotesText"/>
              <w:rPr>
                <w:i/>
              </w:rPr>
            </w:pPr>
          </w:p>
          <w:p w14:paraId="4465EDD4" w14:textId="77777777" w:rsidR="002A21AE" w:rsidRPr="007C4707" w:rsidRDefault="002A21AE">
            <w:pPr>
              <w:pStyle w:val="NotesText"/>
            </w:pPr>
            <w:r w:rsidRPr="007C4707">
              <w:rPr>
                <w:rFonts w:cs="Arial"/>
                <w:vanish/>
                <w:szCs w:val="18"/>
              </w:rPr>
              <w:t>BR_3.25</w:t>
            </w:r>
            <w:r w:rsidR="00CE3961" w:rsidRPr="007C4707">
              <w:rPr>
                <w:rFonts w:cs="Arial"/>
                <w:vanish/>
                <w:szCs w:val="18"/>
              </w:rPr>
              <w:t>,</w:t>
            </w:r>
            <w:r w:rsidRPr="007C4707">
              <w:rPr>
                <w:rFonts w:cs="Arial"/>
                <w:vanish/>
                <w:szCs w:val="18"/>
              </w:rPr>
              <w:t xml:space="preserve"> </w:t>
            </w:r>
            <w:r w:rsidRPr="007C4707">
              <w:rPr>
                <w:vanish/>
                <w:szCs w:val="18"/>
              </w:rPr>
              <w:t xml:space="preserve">BR_16.13 </w:t>
            </w:r>
            <w:r w:rsidRPr="007C4707">
              <w:t>Restricted (autologous or directed) unit selection eligibility criteria:</w:t>
            </w:r>
          </w:p>
          <w:p w14:paraId="1561A9B2" w14:textId="77777777" w:rsidR="002A21AE" w:rsidRPr="007C4707" w:rsidRDefault="002A21AE">
            <w:pPr>
              <w:pStyle w:val="NotesTextBullet"/>
            </w:pPr>
            <w:r w:rsidRPr="007C4707">
              <w:t>Restricted For Patient ID: must match</w:t>
            </w:r>
          </w:p>
          <w:p w14:paraId="5EB7D6AC" w14:textId="77777777" w:rsidR="002A21AE" w:rsidRPr="007C4707" w:rsidRDefault="002A21AE">
            <w:pPr>
              <w:pStyle w:val="NotesTextBullet"/>
            </w:pPr>
            <w:r w:rsidRPr="007C4707">
              <w:t>Restricted For Patient Name: must match</w:t>
            </w:r>
          </w:p>
          <w:p w14:paraId="4DB3697D" w14:textId="77777777" w:rsidR="002A21AE" w:rsidRPr="007C4707" w:rsidRDefault="002A21AE">
            <w:pPr>
              <w:pStyle w:val="NotesTextBullet"/>
            </w:pPr>
            <w:r w:rsidRPr="007C4707">
              <w:t xml:space="preserve">Unit expiration date must be in the future. </w:t>
            </w:r>
          </w:p>
          <w:p w14:paraId="76E2B48D" w14:textId="77777777" w:rsidR="002A21AE" w:rsidRPr="007C4707" w:rsidRDefault="002A21AE">
            <w:pPr>
              <w:pStyle w:val="NotesTextBullet"/>
            </w:pPr>
            <w:r w:rsidRPr="007C4707">
              <w:t>Component class (transfusion only requires restriction of all units)</w:t>
            </w:r>
          </w:p>
          <w:p w14:paraId="723584BF" w14:textId="77777777" w:rsidR="002A21AE" w:rsidRPr="007C4707" w:rsidRDefault="002A21AE">
            <w:pPr>
              <w:pStyle w:val="NotesTextBullet"/>
              <w:numPr>
                <w:ilvl w:val="0"/>
                <w:numId w:val="0"/>
              </w:numPr>
              <w:ind w:left="720"/>
            </w:pPr>
          </w:p>
          <w:p w14:paraId="0A329996" w14:textId="77777777" w:rsidR="002A21AE" w:rsidRPr="007C4707" w:rsidRDefault="002A21AE">
            <w:pPr>
              <w:pStyle w:val="NotesText"/>
            </w:pPr>
            <w:r w:rsidRPr="007C4707">
              <w:rPr>
                <w:rFonts w:cs="Arial"/>
                <w:vanish/>
              </w:rPr>
              <w:t xml:space="preserve">BR_3.19 </w:t>
            </w:r>
            <w:r w:rsidRPr="007C4707">
              <w:t>The criteria for selecting or including an individual unit in a pick list include evaluating a unit for:</w:t>
            </w:r>
          </w:p>
          <w:p w14:paraId="523ACF41" w14:textId="77777777" w:rsidR="002A21AE" w:rsidRPr="007C4707" w:rsidRDefault="002A21AE">
            <w:pPr>
              <w:pStyle w:val="NotesTextBullet"/>
            </w:pPr>
            <w:r w:rsidRPr="007C4707">
              <w:t>Considered substitutable for the order</w:t>
            </w:r>
          </w:p>
          <w:p w14:paraId="352DE08F" w14:textId="77777777" w:rsidR="002A21AE" w:rsidRPr="007C4707" w:rsidRDefault="002A21AE">
            <w:pPr>
              <w:pStyle w:val="NotesTextBullet"/>
            </w:pPr>
            <w:r w:rsidRPr="007C4707">
              <w:t>Same division as the user</w:t>
            </w:r>
          </w:p>
          <w:p w14:paraId="3C0C8FA9" w14:textId="77777777" w:rsidR="002A21AE" w:rsidRPr="007C4707" w:rsidRDefault="002A21AE">
            <w:pPr>
              <w:pStyle w:val="NotesTextBullet"/>
            </w:pPr>
            <w:r w:rsidRPr="007C4707">
              <w:t xml:space="preserve">Current location is in the blood bank </w:t>
            </w:r>
          </w:p>
          <w:p w14:paraId="40C93BAF" w14:textId="77777777" w:rsidR="002A21AE" w:rsidRPr="007C4707" w:rsidRDefault="002A21AE">
            <w:pPr>
              <w:pStyle w:val="NotesTextBullet"/>
            </w:pPr>
            <w:r w:rsidRPr="007C4707">
              <w:t>Is not already assigned or crossmatched to the patient</w:t>
            </w:r>
          </w:p>
          <w:p w14:paraId="03037142" w14:textId="77777777" w:rsidR="002A21AE" w:rsidRPr="007C4707" w:rsidRDefault="002A21AE">
            <w:pPr>
              <w:pStyle w:val="NotesTextBullet"/>
            </w:pPr>
            <w:r w:rsidRPr="007C4707">
              <w:lastRenderedPageBreak/>
              <w:t>Is not “restricted” for a different patient</w:t>
            </w:r>
          </w:p>
          <w:p w14:paraId="361CABCC" w14:textId="77777777" w:rsidR="002A21AE" w:rsidRPr="007C4707" w:rsidRDefault="002A21AE">
            <w:pPr>
              <w:pStyle w:val="NotesTextBullet"/>
            </w:pPr>
            <w:r w:rsidRPr="007C4707">
              <w:t xml:space="preserve">Meets ABO/Rh compatibility requirements specific to the component class </w:t>
            </w:r>
          </w:p>
          <w:p w14:paraId="04F77B25" w14:textId="77777777" w:rsidR="002A21AE" w:rsidRPr="007C4707" w:rsidRDefault="002A21AE">
            <w:pPr>
              <w:pStyle w:val="NotesTextBullet"/>
            </w:pPr>
            <w:r w:rsidRPr="007C4707">
              <w:t>Future expiration date</w:t>
            </w:r>
          </w:p>
          <w:p w14:paraId="253BF03E" w14:textId="77777777" w:rsidR="002A21AE" w:rsidRPr="007C4707" w:rsidRDefault="002A21AE">
            <w:pPr>
              <w:pStyle w:val="NotesText"/>
            </w:pPr>
          </w:p>
          <w:p w14:paraId="077C3E0A" w14:textId="390F7156" w:rsidR="002A21AE" w:rsidRDefault="002A21AE">
            <w:pPr>
              <w:pStyle w:val="NotesText"/>
              <w:rPr>
                <w:vanish/>
              </w:rPr>
            </w:pPr>
            <w:r w:rsidRPr="007C4707">
              <w:rPr>
                <w:rFonts w:cs="Arial"/>
                <w:vanish/>
              </w:rPr>
              <w:t xml:space="preserve">BR_3.04 </w:t>
            </w:r>
            <w:r w:rsidR="00332E10">
              <w:t xml:space="preserve">VBECS lists only ABO and </w:t>
            </w:r>
            <w:r w:rsidRPr="007C4707">
              <w:t>Rh compatible units for selection.</w:t>
            </w:r>
            <w:r w:rsidR="00EB00A3">
              <w:t xml:space="preserve"> </w:t>
            </w:r>
            <w:r w:rsidR="00973AD0">
              <w:t>The “select units” utility creates a system-generated pick list that is sorted and displayed using the following criteria: first, ABO/Rh identical, then expiration date (oldest units first); then, ABO/Rh compatible.</w:t>
            </w:r>
          </w:p>
          <w:p w14:paraId="4464ABFF" w14:textId="77777777" w:rsidR="0068309D" w:rsidRDefault="0068309D">
            <w:pPr>
              <w:pStyle w:val="NotesText"/>
              <w:rPr>
                <w:i/>
              </w:rPr>
            </w:pPr>
          </w:p>
          <w:p w14:paraId="65272F79" w14:textId="77777777" w:rsidR="0068309D" w:rsidRDefault="0068309D">
            <w:pPr>
              <w:pStyle w:val="NotesText"/>
              <w:rPr>
                <w:i/>
              </w:rPr>
            </w:pPr>
          </w:p>
          <w:p w14:paraId="2B552CFE" w14:textId="77777777" w:rsidR="0068309D" w:rsidRDefault="000150E9">
            <w:pPr>
              <w:pStyle w:val="NotesText"/>
            </w:pPr>
            <w:r w:rsidRPr="000150E9">
              <w:rPr>
                <w:vanish/>
              </w:rPr>
              <w:t xml:space="preserve">BR_3.04 </w:t>
            </w:r>
            <w:r w:rsidR="0068309D" w:rsidRPr="0068309D">
              <w:t>Th</w:t>
            </w:r>
            <w:r w:rsidR="005246E0">
              <w:t>e p</w:t>
            </w:r>
            <w:r w:rsidR="0068309D" w:rsidRPr="0068309D">
              <w:t xml:space="preserve">ick list </w:t>
            </w:r>
            <w:r>
              <w:t>or individually selected unit field display includes:</w:t>
            </w:r>
          </w:p>
          <w:p w14:paraId="7DABE5A9" w14:textId="77777777" w:rsidR="0068309D" w:rsidRDefault="000A70BE" w:rsidP="0068309D">
            <w:pPr>
              <w:pStyle w:val="NotesTextBullet"/>
            </w:pPr>
            <w:r>
              <w:t>Unit ID</w:t>
            </w:r>
          </w:p>
          <w:p w14:paraId="469678FC" w14:textId="77777777" w:rsidR="000A70BE" w:rsidRDefault="000A70BE" w:rsidP="0068309D">
            <w:pPr>
              <w:pStyle w:val="NotesTextBullet"/>
            </w:pPr>
            <w:r>
              <w:t>Product Short Name</w:t>
            </w:r>
          </w:p>
          <w:p w14:paraId="15AC274D" w14:textId="77777777" w:rsidR="000A70BE" w:rsidRDefault="000A70BE" w:rsidP="0068309D">
            <w:pPr>
              <w:pStyle w:val="NotesTextBullet"/>
            </w:pPr>
            <w:r>
              <w:t>ABO/Rh</w:t>
            </w:r>
          </w:p>
          <w:p w14:paraId="086C80F4" w14:textId="77777777" w:rsidR="000A70BE" w:rsidRDefault="000A70BE" w:rsidP="0068309D">
            <w:pPr>
              <w:pStyle w:val="NotesTextBullet"/>
            </w:pPr>
            <w:r>
              <w:t>Expiration Date</w:t>
            </w:r>
          </w:p>
          <w:p w14:paraId="459BCB29" w14:textId="77777777" w:rsidR="000A70BE" w:rsidRDefault="000A70BE" w:rsidP="0068309D">
            <w:pPr>
              <w:pStyle w:val="NotesTextBullet"/>
            </w:pPr>
            <w:r>
              <w:t>Unit Status</w:t>
            </w:r>
          </w:p>
          <w:p w14:paraId="04CDB86B" w14:textId="77777777" w:rsidR="000A70BE" w:rsidRDefault="000A70BE" w:rsidP="0068309D">
            <w:pPr>
              <w:pStyle w:val="NotesTextBullet"/>
            </w:pPr>
            <w:r>
              <w:t>Donation Type</w:t>
            </w:r>
          </w:p>
          <w:p w14:paraId="63289026" w14:textId="77777777" w:rsidR="0068309D" w:rsidRDefault="0064284B" w:rsidP="0064284B">
            <w:pPr>
              <w:pStyle w:val="NotesTextBullet"/>
            </w:pPr>
            <w:r>
              <w:t>Restricted for Patient Name and ID</w:t>
            </w:r>
          </w:p>
          <w:p w14:paraId="262EF33F" w14:textId="77777777" w:rsidR="0064284B" w:rsidRDefault="0064284B" w:rsidP="0064284B">
            <w:pPr>
              <w:pStyle w:val="NotesTextBullet"/>
            </w:pPr>
            <w:r>
              <w:t>Patient Assigned (if unit assigned to other patient but with location of blood bank)</w:t>
            </w:r>
          </w:p>
          <w:p w14:paraId="723691DF" w14:textId="77777777" w:rsidR="0064284B" w:rsidRDefault="0064284B" w:rsidP="0064284B">
            <w:pPr>
              <w:pStyle w:val="NotesTextBullet"/>
            </w:pPr>
            <w:r>
              <w:t>Antigen Type Results (if available)</w:t>
            </w:r>
          </w:p>
          <w:p w14:paraId="32871DFC" w14:textId="77777777" w:rsidR="002A21AE" w:rsidRPr="00710E7E" w:rsidRDefault="002A21AE">
            <w:pPr>
              <w:pStyle w:val="NotesText"/>
              <w:rPr>
                <w:i/>
              </w:rPr>
            </w:pPr>
          </w:p>
          <w:p w14:paraId="04961DB3" w14:textId="77777777" w:rsidR="002A21AE" w:rsidRPr="007C4707" w:rsidRDefault="002A21AE">
            <w:pPr>
              <w:pStyle w:val="NotesText"/>
            </w:pPr>
            <w:r w:rsidRPr="00166C27">
              <w:rPr>
                <w:rFonts w:cs="Arial"/>
                <w:vanish/>
              </w:rPr>
              <w:t xml:space="preserve">BR_3.11 </w:t>
            </w:r>
            <w:r w:rsidRPr="00166C27">
              <w:t>When ABO/Rh results were not created for the specimen associated with the component order and the order is not designated</w:t>
            </w:r>
            <w:r w:rsidRPr="007C4707">
              <w:t xml:space="preserve"> “emergency issue,” VBECS allows the user to select units using historic records, and notifies the user that ABO/Rh testing must be performed at this division on this patient before any selected units can be issued.</w:t>
            </w:r>
          </w:p>
          <w:p w14:paraId="0DFE04A4" w14:textId="77777777" w:rsidR="002A21AE" w:rsidRPr="007C4707" w:rsidRDefault="002A21AE">
            <w:pPr>
              <w:pStyle w:val="NotesText"/>
            </w:pPr>
          </w:p>
          <w:p w14:paraId="6504CC49" w14:textId="77777777" w:rsidR="002A21AE" w:rsidRPr="00710E7E" w:rsidRDefault="002A21AE">
            <w:pPr>
              <w:pStyle w:val="NotesText"/>
              <w:rPr>
                <w:i/>
              </w:rPr>
            </w:pPr>
            <w:r w:rsidRPr="007C4707">
              <w:rPr>
                <w:rFonts w:cs="Arial"/>
                <w:vanish/>
              </w:rPr>
              <w:t xml:space="preserve">BR_3.55 </w:t>
            </w:r>
            <w:r w:rsidRPr="007C4707">
              <w:t>VBECS displays and allows the user to complete a pending XM associated with a patient order without a final unit status.</w:t>
            </w:r>
          </w:p>
        </w:tc>
      </w:tr>
      <w:tr w:rsidR="002A21AE" w14:paraId="112CADBC" w14:textId="77777777">
        <w:tc>
          <w:tcPr>
            <w:tcW w:w="3240" w:type="dxa"/>
          </w:tcPr>
          <w:p w14:paraId="0D59E3B9" w14:textId="54B0E5CA" w:rsidR="002A21AE" w:rsidRDefault="002A21AE" w:rsidP="001F6038">
            <w:pPr>
              <w:pStyle w:val="TableTextNumbers"/>
            </w:pPr>
            <w:r>
              <w:lastRenderedPageBreak/>
              <w:t xml:space="preserve">Repeat Step </w:t>
            </w:r>
            <w:r w:rsidR="001F6038">
              <w:t>10</w:t>
            </w:r>
            <w:r>
              <w:t xml:space="preserve"> until all units are selected.</w:t>
            </w:r>
          </w:p>
        </w:tc>
        <w:tc>
          <w:tcPr>
            <w:tcW w:w="6120" w:type="dxa"/>
          </w:tcPr>
          <w:p w14:paraId="4C81E182" w14:textId="77777777" w:rsidR="002A21AE" w:rsidRDefault="002A21AE">
            <w:pPr>
              <w:pStyle w:val="TableTextBullet"/>
            </w:pPr>
            <w:r>
              <w:t>Requests the user to confirm the list of selected blood units.</w:t>
            </w:r>
          </w:p>
          <w:p w14:paraId="2DB525FF" w14:textId="77777777" w:rsidR="002A21AE" w:rsidRDefault="002A21AE">
            <w:pPr>
              <w:pStyle w:val="TableText"/>
            </w:pPr>
          </w:p>
          <w:p w14:paraId="197F8573" w14:textId="104CE56C" w:rsidR="002A21AE" w:rsidRDefault="002A21AE">
            <w:pPr>
              <w:pStyle w:val="TableText"/>
              <w:rPr>
                <w:b/>
                <w:bCs/>
                <w:szCs w:val="18"/>
              </w:rPr>
            </w:pPr>
            <w:r>
              <w:rPr>
                <w:b/>
                <w:bCs/>
                <w:szCs w:val="18"/>
              </w:rPr>
              <w:t>NOTES</w:t>
            </w:r>
          </w:p>
          <w:p w14:paraId="4C2F5023" w14:textId="77777777" w:rsidR="002A21AE" w:rsidRDefault="002A21AE">
            <w:pPr>
              <w:pStyle w:val="NotesText"/>
            </w:pPr>
          </w:p>
          <w:p w14:paraId="4E2233DE" w14:textId="77777777" w:rsidR="002A21AE" w:rsidRDefault="002A21AE">
            <w:pPr>
              <w:pStyle w:val="NotesText"/>
            </w:pPr>
            <w:r>
              <w:t>The user may select or deselect additional units.</w:t>
            </w:r>
          </w:p>
        </w:tc>
      </w:tr>
      <w:tr w:rsidR="002A21AE" w14:paraId="5F5A8C1D" w14:textId="77777777" w:rsidTr="001A459B">
        <w:trPr>
          <w:cantSplit/>
        </w:trPr>
        <w:tc>
          <w:tcPr>
            <w:tcW w:w="3240" w:type="dxa"/>
          </w:tcPr>
          <w:p w14:paraId="7A11AFDA" w14:textId="77777777" w:rsidR="002A21AE" w:rsidRDefault="002A21AE">
            <w:pPr>
              <w:pStyle w:val="TableTextNumbers"/>
            </w:pPr>
            <w:r>
              <w:t xml:space="preserve">Click </w:t>
            </w:r>
            <w:r>
              <w:rPr>
                <w:b/>
              </w:rPr>
              <w:t>OK</w:t>
            </w:r>
            <w:r>
              <w:t xml:space="preserve"> to confirm the selection of units.</w:t>
            </w:r>
          </w:p>
        </w:tc>
        <w:tc>
          <w:tcPr>
            <w:tcW w:w="6120" w:type="dxa"/>
          </w:tcPr>
          <w:p w14:paraId="139444FF" w14:textId="77777777" w:rsidR="002A21AE" w:rsidRDefault="002A21AE">
            <w:pPr>
              <w:pStyle w:val="TableTextBullet"/>
            </w:pPr>
            <w:r>
              <w:t xml:space="preserve">Determines whether the units are available for issue or whether they require additional modification and/or testing based on the component class. </w:t>
            </w:r>
          </w:p>
          <w:p w14:paraId="3A27956C" w14:textId="77777777" w:rsidR="002A21AE" w:rsidRDefault="002A21AE">
            <w:pPr>
              <w:pStyle w:val="TableTextBullet"/>
            </w:pPr>
            <w:r>
              <w:t>Updates the database, as appropriate.</w:t>
            </w:r>
          </w:p>
          <w:p w14:paraId="1B9C1F36" w14:textId="77777777" w:rsidR="001A3140" w:rsidRDefault="001A3140" w:rsidP="001A3140">
            <w:pPr>
              <w:pStyle w:val="TableTextBullet"/>
            </w:pPr>
            <w:r>
              <w:rPr>
                <w:rFonts w:cs="Arial"/>
                <w:szCs w:val="18"/>
              </w:rPr>
              <w:t>S</w:t>
            </w:r>
            <w:r w:rsidRPr="00CA212C">
              <w:rPr>
                <w:rFonts w:cs="Arial"/>
                <w:szCs w:val="18"/>
              </w:rPr>
              <w:t>ends</w:t>
            </w:r>
            <w:r>
              <w:rPr>
                <w:rFonts w:cs="Arial"/>
                <w:szCs w:val="18"/>
              </w:rPr>
              <w:t xml:space="preserve"> </w:t>
            </w:r>
            <w:r w:rsidRPr="00CA212C">
              <w:rPr>
                <w:rFonts w:cs="Arial"/>
                <w:szCs w:val="18"/>
              </w:rPr>
              <w:t>selected blood unit</w:t>
            </w:r>
            <w:r>
              <w:rPr>
                <w:rFonts w:cs="Arial"/>
                <w:szCs w:val="18"/>
              </w:rPr>
              <w:t>s</w:t>
            </w:r>
            <w:r w:rsidRPr="00CA212C">
              <w:rPr>
                <w:rFonts w:cs="Arial"/>
                <w:szCs w:val="18"/>
              </w:rPr>
              <w:t xml:space="preserve"> with patient details to the BCE COTS system via an HL7 message</w:t>
            </w:r>
            <w:r w:rsidR="005246E0">
              <w:rPr>
                <w:rFonts w:cs="Arial"/>
                <w:szCs w:val="18"/>
              </w:rPr>
              <w:t xml:space="preserve"> when that BCE COTS is available</w:t>
            </w:r>
            <w:r>
              <w:rPr>
                <w:rFonts w:cs="Arial"/>
                <w:szCs w:val="18"/>
              </w:rPr>
              <w:t>.</w:t>
            </w:r>
          </w:p>
          <w:p w14:paraId="4F661F53" w14:textId="77777777" w:rsidR="002A21AE" w:rsidRDefault="002A21AE">
            <w:pPr>
              <w:pStyle w:val="TableText"/>
            </w:pPr>
          </w:p>
          <w:p w14:paraId="1BCCA2A6" w14:textId="710A27A3" w:rsidR="002A21AE" w:rsidRDefault="002A21AE">
            <w:pPr>
              <w:pStyle w:val="TableText"/>
              <w:rPr>
                <w:b/>
                <w:bCs/>
                <w:szCs w:val="18"/>
              </w:rPr>
            </w:pPr>
            <w:r>
              <w:rPr>
                <w:b/>
                <w:bCs/>
                <w:szCs w:val="18"/>
              </w:rPr>
              <w:t>NOTES</w:t>
            </w:r>
          </w:p>
          <w:p w14:paraId="14887893" w14:textId="5E2CA1C1" w:rsidR="002A21AE" w:rsidRPr="00F83540" w:rsidRDefault="00F83540" w:rsidP="00026F72">
            <w:pPr>
              <w:pStyle w:val="NotesText"/>
            </w:pPr>
            <w:r w:rsidRPr="00F83540">
              <w:rPr>
                <w:vanish/>
              </w:rPr>
              <w:t xml:space="preserve">BR_56.31 </w:t>
            </w:r>
            <w:r w:rsidRPr="00F83540">
              <w:t xml:space="preserve">When the </w:t>
            </w:r>
            <w:r>
              <w:t xml:space="preserve">total </w:t>
            </w:r>
            <w:r w:rsidRPr="00F83540">
              <w:t>number of blood units eligible for issue, issued</w:t>
            </w:r>
            <w:r>
              <w:t xml:space="preserve">, </w:t>
            </w:r>
            <w:r w:rsidRPr="00F83540">
              <w:t xml:space="preserve">or transfused </w:t>
            </w:r>
            <w:r>
              <w:t xml:space="preserve">is </w:t>
            </w:r>
            <w:r w:rsidRPr="00F83540">
              <w:t>greater or equal</w:t>
            </w:r>
            <w:r>
              <w:t xml:space="preserve"> to the number of ordered units, VBECS sends an order</w:t>
            </w:r>
            <w:r w:rsidRPr="00F83540">
              <w:t xml:space="preserve"> completion message to CPRS.</w:t>
            </w:r>
          </w:p>
          <w:p w14:paraId="528650B4" w14:textId="77777777" w:rsidR="00F83540" w:rsidRDefault="00F83540">
            <w:pPr>
              <w:pStyle w:val="NotesText"/>
            </w:pPr>
          </w:p>
          <w:p w14:paraId="05D2F72A" w14:textId="3C6BA7B2" w:rsidR="002A21AE" w:rsidRDefault="00896F17">
            <w:pPr>
              <w:pStyle w:val="NotesText"/>
              <w:rPr>
                <w:rFonts w:cs="Arial"/>
                <w:szCs w:val="22"/>
              </w:rPr>
            </w:pPr>
            <w:r w:rsidRPr="00896F17">
              <w:rPr>
                <w:rStyle w:val="BullhornChar"/>
              </w:rPr>
              <w:t></w:t>
            </w:r>
            <w:r w:rsidRPr="00C51C45">
              <w:rPr>
                <w:rFonts w:ascii="Webdings" w:hAnsi="Webdings"/>
                <w:szCs w:val="22"/>
              </w:rPr>
              <w:t></w:t>
            </w:r>
            <w:r>
              <w:rPr>
                <w:rFonts w:cs="Arial"/>
                <w:szCs w:val="22"/>
              </w:rPr>
              <w:t>See</w:t>
            </w:r>
            <w:r w:rsidR="002A21AE">
              <w:rPr>
                <w:rFonts w:cs="Arial"/>
                <w:szCs w:val="22"/>
              </w:rPr>
              <w:t xml:space="preserve"> </w:t>
            </w:r>
            <w:r w:rsidR="00EE455E">
              <w:t xml:space="preserve">Table </w:t>
            </w:r>
            <w:r w:rsidR="00EE455E">
              <w:rPr>
                <w:noProof/>
              </w:rPr>
              <w:t>6</w:t>
            </w:r>
            <w:r w:rsidR="002A21AE">
              <w:rPr>
                <w:rFonts w:cs="Arial"/>
                <w:szCs w:val="22"/>
              </w:rPr>
              <w:t xml:space="preserve"> for alerts that may occur during this option.</w:t>
            </w:r>
          </w:p>
          <w:p w14:paraId="0960BDB5" w14:textId="77777777" w:rsidR="002A21AE" w:rsidRDefault="002A21AE" w:rsidP="001F303C">
            <w:pPr>
              <w:pStyle w:val="NotesText"/>
              <w:ind w:left="0"/>
            </w:pPr>
          </w:p>
        </w:tc>
      </w:tr>
      <w:tr w:rsidR="002A21AE" w14:paraId="47D32BBD" w14:textId="77777777">
        <w:tc>
          <w:tcPr>
            <w:tcW w:w="3240" w:type="dxa"/>
          </w:tcPr>
          <w:p w14:paraId="2FBE19B1" w14:textId="77777777" w:rsidR="002A21AE" w:rsidRDefault="002A21AE">
            <w:pPr>
              <w:pStyle w:val="TableTextNumbers"/>
            </w:pPr>
            <w:r>
              <w:t xml:space="preserve">Select another component order to continue selecting units, or exit. </w:t>
            </w:r>
            <w:r>
              <w:rPr>
                <w:vanish/>
                <w:color w:val="FFFFFF"/>
                <w:szCs w:val="18"/>
              </w:rPr>
              <w:fldChar w:fldCharType="begin"/>
            </w:r>
            <w:r>
              <w:rPr>
                <w:vanish/>
                <w:color w:val="FFFFFF"/>
                <w:szCs w:val="18"/>
              </w:rPr>
              <w:instrText xml:space="preserve"> LISTNUM \l 1 \s 0 </w:instrText>
            </w:r>
            <w:r>
              <w:rPr>
                <w:vanish/>
                <w:color w:val="FFFFFF"/>
                <w:szCs w:val="18"/>
              </w:rPr>
              <w:fldChar w:fldCharType="end">
                <w:numberingChange w:id="403" w:author="MUSZYNSKI, THOMAS D. (SIERRA 7 INC)" w:date="2024-11-26T07:15:00Z" w:original="0."/>
              </w:fldChar>
            </w:r>
          </w:p>
        </w:tc>
        <w:tc>
          <w:tcPr>
            <w:tcW w:w="6120" w:type="dxa"/>
          </w:tcPr>
          <w:p w14:paraId="2AEC5705" w14:textId="77777777" w:rsidR="002A21AE" w:rsidRDefault="002A21AE">
            <w:pPr>
              <w:pStyle w:val="TableTextBullet"/>
            </w:pPr>
            <w:r>
              <w:t>Displays orders for the next patient.</w:t>
            </w:r>
          </w:p>
        </w:tc>
      </w:tr>
    </w:tbl>
    <w:p w14:paraId="0B41D219" w14:textId="248EA4A9" w:rsidR="004728E4" w:rsidRDefault="004728E4" w:rsidP="004728E4">
      <w:pPr>
        <w:pStyle w:val="Caption"/>
      </w:pPr>
      <w:bookmarkStart w:id="404" w:name="_Ref126724671"/>
      <w:bookmarkStart w:id="405" w:name="_Ref126721456"/>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7D1829">
        <w:rPr>
          <w:noProof/>
        </w:rPr>
        <w:t>70</w:t>
      </w:r>
      <w:r w:rsidR="004E20BD">
        <w:rPr>
          <w:noProof/>
        </w:rPr>
        <w:fldChar w:fldCharType="end"/>
      </w:r>
      <w:bookmarkEnd w:id="404"/>
      <w:r>
        <w:t>: Pending Task List Component Orders</w:t>
      </w:r>
      <w:bookmarkEnd w:id="405"/>
    </w:p>
    <w:p w14:paraId="7725B3CA" w14:textId="77777777" w:rsidR="00120C4C" w:rsidRPr="00120C4C" w:rsidRDefault="00057948" w:rsidP="00120C4C">
      <w:pPr>
        <w:pStyle w:val="BodyText"/>
      </w:pPr>
      <w:r>
        <w:rPr>
          <w:noProof/>
        </w:rPr>
        <w:drawing>
          <wp:inline distT="0" distB="0" distL="0" distR="0" wp14:anchorId="0AD58B36" wp14:editId="3855C09C">
            <wp:extent cx="5939155" cy="2503170"/>
            <wp:effectExtent l="0" t="0" r="4445" b="0"/>
            <wp:docPr id="186" name="Picture 186" descr="Example of Pending Task List Component Orders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Picture 186" descr="Example of Pending Task List Component Orders screen capture"/>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5939155" cy="2503170"/>
                    </a:xfrm>
                    <a:prstGeom prst="rect">
                      <a:avLst/>
                    </a:prstGeom>
                    <a:noFill/>
                    <a:ln>
                      <a:noFill/>
                    </a:ln>
                  </pic:spPr>
                </pic:pic>
              </a:graphicData>
            </a:graphic>
          </wp:inline>
        </w:drawing>
      </w:r>
    </w:p>
    <w:p w14:paraId="7C6F3AC0" w14:textId="3B171DC1" w:rsidR="008C6185" w:rsidRDefault="008C6185" w:rsidP="008C6185">
      <w:pPr>
        <w:pStyle w:val="Caption"/>
      </w:pPr>
      <w:bookmarkStart w:id="406" w:name="_Ref126724700"/>
      <w:bookmarkStart w:id="407" w:name="_Ref126721588"/>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7D1829">
        <w:rPr>
          <w:noProof/>
        </w:rPr>
        <w:t>71</w:t>
      </w:r>
      <w:r w:rsidR="004E20BD">
        <w:rPr>
          <w:noProof/>
        </w:rPr>
        <w:fldChar w:fldCharType="end"/>
      </w:r>
      <w:bookmarkEnd w:id="406"/>
      <w:r>
        <w:t>: Select Units for a Patient</w:t>
      </w:r>
      <w:bookmarkEnd w:id="407"/>
    </w:p>
    <w:p w14:paraId="522DC705" w14:textId="565AD226" w:rsidR="008C6185" w:rsidRDefault="00570C93" w:rsidP="00DE69E1">
      <w:pPr>
        <w:pStyle w:val="BodyText"/>
      </w:pPr>
      <w:r>
        <w:rPr>
          <w:noProof/>
        </w:rPr>
        <w:drawing>
          <wp:inline distT="0" distB="0" distL="0" distR="0" wp14:anchorId="102FDE83" wp14:editId="7A7F7783">
            <wp:extent cx="5937250" cy="3479800"/>
            <wp:effectExtent l="0" t="0" r="6350" b="6350"/>
            <wp:docPr id="57" name="Picture 57" descr="Example of Select Units for a Patient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57" descr="Example of Select Units for a Patient screen capture"/>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5937250" cy="3479800"/>
                    </a:xfrm>
                    <a:prstGeom prst="rect">
                      <a:avLst/>
                    </a:prstGeom>
                    <a:noFill/>
                    <a:ln>
                      <a:noFill/>
                    </a:ln>
                  </pic:spPr>
                </pic:pic>
              </a:graphicData>
            </a:graphic>
          </wp:inline>
        </w:drawing>
      </w:r>
    </w:p>
    <w:p w14:paraId="4138DA9E" w14:textId="47D731D9" w:rsidR="009F0D10" w:rsidRDefault="009F0D10" w:rsidP="009F0D10">
      <w:pPr>
        <w:pStyle w:val="Caption"/>
      </w:pPr>
      <w:bookmarkStart w:id="408" w:name="_Ref169515158"/>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7D1829">
        <w:rPr>
          <w:noProof/>
        </w:rPr>
        <w:t>72</w:t>
      </w:r>
      <w:r w:rsidR="004E20BD">
        <w:rPr>
          <w:noProof/>
        </w:rPr>
        <w:fldChar w:fldCharType="end"/>
      </w:r>
      <w:bookmarkEnd w:id="408"/>
      <w:r>
        <w:t xml:space="preserve">: </w:t>
      </w:r>
      <w:r w:rsidR="00EE1017">
        <w:t>Associate a Specimen with an Emergency-Issued Unit</w:t>
      </w:r>
    </w:p>
    <w:p w14:paraId="3D27A409" w14:textId="1B1DCC6C" w:rsidR="00F3761C" w:rsidRPr="008C6185" w:rsidRDefault="00570C93" w:rsidP="00DE69E1">
      <w:pPr>
        <w:pStyle w:val="BodyText"/>
      </w:pPr>
      <w:r>
        <w:rPr>
          <w:noProof/>
        </w:rPr>
        <w:drawing>
          <wp:inline distT="0" distB="0" distL="0" distR="0" wp14:anchorId="09928942" wp14:editId="4EB264A8">
            <wp:extent cx="5943600" cy="3526790"/>
            <wp:effectExtent l="0" t="0" r="0" b="0"/>
            <wp:docPr id="228" name="Picture 228" descr="Example of Associate a Specimen with an Emergency-Issued Unit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Picture 228" descr="Example of Associate a Specimen with an Emergency-Issued Unit screen capture"/>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5943600" cy="3526790"/>
                    </a:xfrm>
                    <a:prstGeom prst="rect">
                      <a:avLst/>
                    </a:prstGeom>
                    <a:noFill/>
                    <a:ln>
                      <a:noFill/>
                    </a:ln>
                  </pic:spPr>
                </pic:pic>
              </a:graphicData>
            </a:graphic>
          </wp:inline>
        </w:drawing>
      </w:r>
    </w:p>
    <w:p w14:paraId="34CCAF6F" w14:textId="77777777" w:rsidR="002A21AE" w:rsidRDefault="00263B24">
      <w:pPr>
        <w:pStyle w:val="Heading4"/>
      </w:pPr>
      <w:r w:rsidRPr="00896F17">
        <w:rPr>
          <w:rStyle w:val="BullhornChar"/>
        </w:rPr>
        <w:t></w:t>
      </w:r>
      <w:r>
        <w:rPr>
          <w:rFonts w:ascii="Webdings" w:hAnsi="Webdings"/>
        </w:rPr>
        <w:t></w:t>
      </w:r>
      <w:r w:rsidR="002A21AE">
        <w:t>Alerts</w:t>
      </w:r>
    </w:p>
    <w:p w14:paraId="2B72F7B6" w14:textId="656C07CD" w:rsidR="002A21AE" w:rsidRDefault="002A21AE">
      <w:pPr>
        <w:pStyle w:val="Caption"/>
      </w:pPr>
      <w:bookmarkStart w:id="409" w:name="_Ref126486057"/>
      <w:bookmarkStart w:id="410" w:name="_Toc97523618"/>
      <w:bookmarkStart w:id="411" w:name="_Toc97527588"/>
      <w:r>
        <w:t xml:space="preserve">Table </w:t>
      </w:r>
      <w:r w:rsidR="004E20BD">
        <w:rPr>
          <w:noProof/>
        </w:rPr>
        <w:fldChar w:fldCharType="begin"/>
      </w:r>
      <w:r w:rsidR="004E20BD">
        <w:rPr>
          <w:noProof/>
        </w:rPr>
        <w:instrText xml:space="preserve"> SEQ Table \* ARABIC </w:instrText>
      </w:r>
      <w:r w:rsidR="004E20BD">
        <w:rPr>
          <w:noProof/>
        </w:rPr>
        <w:fldChar w:fldCharType="separate"/>
      </w:r>
      <w:r w:rsidR="007D1829">
        <w:rPr>
          <w:noProof/>
        </w:rPr>
        <w:t>6</w:t>
      </w:r>
      <w:r w:rsidR="004E20BD">
        <w:rPr>
          <w:noProof/>
        </w:rPr>
        <w:fldChar w:fldCharType="end"/>
      </w:r>
      <w:bookmarkEnd w:id="409"/>
      <w:r>
        <w:t>: Alerts That May Occur in Select Units</w:t>
      </w:r>
      <w:bookmarkEnd w:id="410"/>
      <w:bookmarkEnd w:id="411"/>
      <w:r>
        <w:fldChar w:fldCharType="begin"/>
      </w:r>
      <w:r>
        <w:instrText xml:space="preserve"> XE </w:instrText>
      </w:r>
      <w:r w:rsidR="00FA7E65">
        <w:instrText>“</w:instrText>
      </w:r>
      <w:r>
        <w:instrText>Tables:Alerts That May Occur in Select Units</w:instrText>
      </w:r>
      <w:r w:rsidR="00FA7E65">
        <w:instrText>”</w:instrText>
      </w:r>
      <w:r>
        <w:instrText xml:space="preserve"> </w:instrText>
      </w:r>
      <w:r>
        <w:fldChar w:fldCharType="end"/>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80"/>
        <w:gridCol w:w="8580"/>
      </w:tblGrid>
      <w:tr w:rsidR="002A21AE" w:rsidRPr="000921F1" w14:paraId="029547F5" w14:textId="77777777">
        <w:trPr>
          <w:tblHeader/>
        </w:trPr>
        <w:tc>
          <w:tcPr>
            <w:tcW w:w="780" w:type="dxa"/>
            <w:shd w:val="clear" w:color="auto" w:fill="B3B3B3"/>
          </w:tcPr>
          <w:p w14:paraId="7495D868" w14:textId="77777777" w:rsidR="002A21AE" w:rsidRPr="000921F1" w:rsidRDefault="002A21AE">
            <w:pPr>
              <w:pStyle w:val="TableText"/>
              <w:rPr>
                <w:b/>
              </w:rPr>
            </w:pPr>
            <w:r w:rsidRPr="000921F1">
              <w:rPr>
                <w:b/>
              </w:rPr>
              <w:t>Step</w:t>
            </w:r>
          </w:p>
        </w:tc>
        <w:tc>
          <w:tcPr>
            <w:tcW w:w="8580" w:type="dxa"/>
            <w:shd w:val="clear" w:color="auto" w:fill="B3B3B3"/>
          </w:tcPr>
          <w:p w14:paraId="339BFF13" w14:textId="77777777" w:rsidR="002A21AE" w:rsidRPr="000921F1" w:rsidRDefault="002A21AE">
            <w:pPr>
              <w:pStyle w:val="TableText"/>
              <w:rPr>
                <w:b/>
              </w:rPr>
            </w:pPr>
            <w:r w:rsidRPr="000921F1">
              <w:rPr>
                <w:b/>
              </w:rPr>
              <w:t>Alerts</w:t>
            </w:r>
          </w:p>
        </w:tc>
      </w:tr>
      <w:tr w:rsidR="002A21AE" w:rsidRPr="000921F1" w14:paraId="42D4CA01" w14:textId="77777777">
        <w:tc>
          <w:tcPr>
            <w:tcW w:w="780" w:type="dxa"/>
          </w:tcPr>
          <w:p w14:paraId="33F6437E" w14:textId="77777777" w:rsidR="002A21AE" w:rsidRPr="000921F1" w:rsidRDefault="002A21AE">
            <w:pPr>
              <w:pStyle w:val="TableText"/>
            </w:pPr>
            <w:r w:rsidRPr="000921F1">
              <w:t>2</w:t>
            </w:r>
          </w:p>
        </w:tc>
        <w:tc>
          <w:tcPr>
            <w:tcW w:w="8580" w:type="dxa"/>
          </w:tcPr>
          <w:p w14:paraId="0988092D" w14:textId="77777777" w:rsidR="002A21AE" w:rsidRPr="000921F1" w:rsidRDefault="002A21AE">
            <w:pPr>
              <w:pStyle w:val="TableText"/>
            </w:pPr>
            <w:r w:rsidRPr="000921F1">
              <w:rPr>
                <w:rFonts w:cs="Arial"/>
                <w:vanish/>
              </w:rPr>
              <w:t xml:space="preserve">BR_16.01 </w:t>
            </w:r>
            <w:r w:rsidRPr="000921F1">
              <w:t xml:space="preserve">VBECS displays </w:t>
            </w:r>
            <w:r w:rsidR="00057948">
              <w:rPr>
                <w:noProof/>
              </w:rPr>
              <w:drawing>
                <wp:inline distT="0" distB="0" distL="0" distR="0" wp14:anchorId="60260406" wp14:editId="3FD261C5">
                  <wp:extent cx="156845" cy="156845"/>
                  <wp:effectExtent l="0" t="0" r="0" b="0"/>
                  <wp:docPr id="189" name="Picture 189" descr="View Special Instructions and Transfusion Requirements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Picture 189" descr="View Special Instructions and Transfusion Requirements icon"/>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Pr="000921F1">
              <w:t xml:space="preserve"> and emits an audible alert when there are Special Instructions (SIs) or TRs for the patient.</w:t>
            </w:r>
          </w:p>
        </w:tc>
      </w:tr>
      <w:tr w:rsidR="002A21AE" w:rsidRPr="000921F1" w14:paraId="3362D9B5" w14:textId="77777777">
        <w:tc>
          <w:tcPr>
            <w:tcW w:w="780" w:type="dxa"/>
          </w:tcPr>
          <w:p w14:paraId="78566D37" w14:textId="77777777" w:rsidR="002A21AE" w:rsidRPr="000921F1" w:rsidRDefault="002A21AE">
            <w:pPr>
              <w:pStyle w:val="TableText"/>
            </w:pPr>
            <w:r w:rsidRPr="000921F1">
              <w:t>2</w:t>
            </w:r>
          </w:p>
        </w:tc>
        <w:tc>
          <w:tcPr>
            <w:tcW w:w="8580" w:type="dxa"/>
          </w:tcPr>
          <w:p w14:paraId="26A8C38E" w14:textId="77777777" w:rsidR="002A21AE" w:rsidRPr="000921F1" w:rsidRDefault="002A21AE">
            <w:pPr>
              <w:pStyle w:val="TableText"/>
            </w:pPr>
            <w:r w:rsidRPr="000921F1">
              <w:rPr>
                <w:rFonts w:cs="Arial"/>
                <w:vanish/>
              </w:rPr>
              <w:t xml:space="preserve">BR_3.18 </w:t>
            </w:r>
            <w:r w:rsidRPr="000921F1">
              <w:t xml:space="preserve">When the user selects blood units that require XM, and eXM is enabled at the division but the current patient is not eligible for eXMs, VBECS displays a warning that includes the reason for the ineligibility. Selected units must have serologic XM performed. The user may not print the Caution Tag or the BTRF. VBECS does not change the unit status to “crossmatched” until the user enters a valid serologic XM result in Patient Testing: Record a Crossmatch. </w:t>
            </w:r>
          </w:p>
        </w:tc>
      </w:tr>
      <w:tr w:rsidR="00831141" w:rsidRPr="000921F1" w14:paraId="3ECFCAAC" w14:textId="77777777">
        <w:tc>
          <w:tcPr>
            <w:tcW w:w="780" w:type="dxa"/>
          </w:tcPr>
          <w:p w14:paraId="7246B44A" w14:textId="77777777" w:rsidR="00831141" w:rsidRPr="000921F1" w:rsidRDefault="00831141">
            <w:pPr>
              <w:pStyle w:val="TableText"/>
            </w:pPr>
            <w:r w:rsidRPr="000921F1">
              <w:t>2</w:t>
            </w:r>
          </w:p>
        </w:tc>
        <w:tc>
          <w:tcPr>
            <w:tcW w:w="8580" w:type="dxa"/>
          </w:tcPr>
          <w:p w14:paraId="1D7F7C49" w14:textId="77777777" w:rsidR="00831141" w:rsidRPr="000921F1" w:rsidRDefault="00831141">
            <w:pPr>
              <w:pStyle w:val="TableText"/>
              <w:rPr>
                <w:rFonts w:cs="Arial"/>
                <w:vanish/>
              </w:rPr>
            </w:pPr>
            <w:r w:rsidRPr="000921F1">
              <w:rPr>
                <w:vanish/>
                <w:szCs w:val="18"/>
              </w:rPr>
              <w:t>BR_3.57</w:t>
            </w:r>
            <w:r w:rsidRPr="000921F1">
              <w:t xml:space="preserve"> When the user clicked the Emergency Order check box during specimen acceptance and selects blood units requiring crossmatch, VBECS does not allow the user to perform an electronic or serologic crossmatch.</w:t>
            </w:r>
          </w:p>
        </w:tc>
      </w:tr>
      <w:tr w:rsidR="002A21AE" w:rsidRPr="000921F1" w14:paraId="6B076BC3" w14:textId="77777777">
        <w:tc>
          <w:tcPr>
            <w:tcW w:w="780" w:type="dxa"/>
          </w:tcPr>
          <w:p w14:paraId="449EED45" w14:textId="77777777" w:rsidR="002A21AE" w:rsidRPr="000921F1" w:rsidRDefault="0024117A">
            <w:pPr>
              <w:pStyle w:val="TableText"/>
            </w:pPr>
            <w:r>
              <w:t>9</w:t>
            </w:r>
          </w:p>
        </w:tc>
        <w:tc>
          <w:tcPr>
            <w:tcW w:w="8580" w:type="dxa"/>
          </w:tcPr>
          <w:p w14:paraId="2001402B" w14:textId="77777777" w:rsidR="002A21AE" w:rsidRPr="000921F1" w:rsidRDefault="002A21AE">
            <w:pPr>
              <w:pStyle w:val="TableText"/>
            </w:pPr>
            <w:r w:rsidRPr="000921F1">
              <w:rPr>
                <w:rFonts w:cs="Arial"/>
                <w:vanish/>
              </w:rPr>
              <w:t xml:space="preserve">BR_3.01 </w:t>
            </w:r>
            <w:r w:rsidRPr="000921F1">
              <w:t>When a current specimen is required for the selected component class based on Component Classes and one does not exist for the patient, the user may not select ABO type-specific blood products. VBECS notifies the user that he is selecting units using the emergency issue compatibility rules.</w:t>
            </w:r>
          </w:p>
        </w:tc>
      </w:tr>
      <w:tr w:rsidR="002A21AE" w:rsidRPr="000921F1" w14:paraId="59737F01" w14:textId="77777777">
        <w:tc>
          <w:tcPr>
            <w:tcW w:w="780" w:type="dxa"/>
          </w:tcPr>
          <w:p w14:paraId="16BE163F" w14:textId="77777777" w:rsidR="002A21AE" w:rsidRPr="000921F1" w:rsidRDefault="0024117A">
            <w:pPr>
              <w:pStyle w:val="TableText"/>
            </w:pPr>
            <w:r>
              <w:t>9</w:t>
            </w:r>
          </w:p>
        </w:tc>
        <w:tc>
          <w:tcPr>
            <w:tcW w:w="8580" w:type="dxa"/>
          </w:tcPr>
          <w:p w14:paraId="156832D9" w14:textId="77777777" w:rsidR="002A21AE" w:rsidRPr="000921F1" w:rsidRDefault="002A21AE">
            <w:pPr>
              <w:pStyle w:val="TableText"/>
            </w:pPr>
            <w:r w:rsidRPr="000921F1">
              <w:rPr>
                <w:rFonts w:cs="Arial"/>
                <w:vanish/>
              </w:rPr>
              <w:t xml:space="preserve">BR_3.24 </w:t>
            </w:r>
            <w:r w:rsidRPr="000921F1">
              <w:t>When the patient record is marked as having a previous ABO/Rh discrepancy that was justified, a current specimen is required. The user must select units based on the current specimen ABO/Rh. When the current specimen ABO/Rh was not performed, VBECS warns that the patient had a previous ABO/Rh discrepancy and instructs the user to perform ABO/Rh on the current specimen to continue using normal rules and policies or follow emergency issue rules and policies.</w:t>
            </w:r>
          </w:p>
        </w:tc>
      </w:tr>
      <w:tr w:rsidR="002A21AE" w:rsidRPr="000921F1" w14:paraId="6484DCCD" w14:textId="77777777" w:rsidTr="006C058D">
        <w:trPr>
          <w:cantSplit/>
        </w:trPr>
        <w:tc>
          <w:tcPr>
            <w:tcW w:w="780" w:type="dxa"/>
          </w:tcPr>
          <w:p w14:paraId="3EDC30D7" w14:textId="77777777" w:rsidR="002A21AE" w:rsidRPr="000921F1" w:rsidRDefault="0024117A">
            <w:pPr>
              <w:pStyle w:val="TableText"/>
            </w:pPr>
            <w:r>
              <w:lastRenderedPageBreak/>
              <w:t>9</w:t>
            </w:r>
          </w:p>
        </w:tc>
        <w:tc>
          <w:tcPr>
            <w:tcW w:w="8580" w:type="dxa"/>
          </w:tcPr>
          <w:p w14:paraId="204A7C07" w14:textId="77777777" w:rsidR="002A21AE" w:rsidRPr="000921F1" w:rsidRDefault="002A21AE">
            <w:pPr>
              <w:pStyle w:val="TableText"/>
            </w:pPr>
            <w:r w:rsidRPr="000921F1">
              <w:rPr>
                <w:rFonts w:cs="Arial"/>
                <w:vanish/>
              </w:rPr>
              <w:t xml:space="preserve">BR_3.30 </w:t>
            </w:r>
            <w:r w:rsidRPr="000921F1">
              <w:t xml:space="preserve">When there is a current specimen and ABO/Rh testing was performed, VBECS compares the ABO/Rh of the current specimen to the historical ABO/Rh. When there is a discrepancy, the ABO type is inconclusive, and there is no previous justification for the discrepancy on the patient record, VBECS notifies the user that the ABO/Rh on the current specimen does not agree with the historical ABO/Rh and instructs the user to resolve the discrepancy to continue using normal rules and policies, and recommends that the user release previously selected units or follow emergency issue rules and </w:t>
            </w:r>
            <w:r w:rsidR="00F347B1" w:rsidRPr="000921F1">
              <w:t xml:space="preserve">local </w:t>
            </w:r>
            <w:r w:rsidRPr="000921F1">
              <w:t>policies.</w:t>
            </w:r>
          </w:p>
        </w:tc>
      </w:tr>
      <w:tr w:rsidR="002A21AE" w:rsidRPr="000921F1" w14:paraId="530E4D1E" w14:textId="77777777">
        <w:tc>
          <w:tcPr>
            <w:tcW w:w="780" w:type="dxa"/>
          </w:tcPr>
          <w:p w14:paraId="58179085" w14:textId="77777777" w:rsidR="002A21AE" w:rsidRPr="000921F1" w:rsidRDefault="0024117A">
            <w:pPr>
              <w:pStyle w:val="TableText"/>
            </w:pPr>
            <w:r>
              <w:t>9</w:t>
            </w:r>
          </w:p>
        </w:tc>
        <w:tc>
          <w:tcPr>
            <w:tcW w:w="8580" w:type="dxa"/>
          </w:tcPr>
          <w:p w14:paraId="1B101550" w14:textId="77777777" w:rsidR="002A21AE" w:rsidRPr="000921F1" w:rsidRDefault="002A21AE" w:rsidP="00CE12EA">
            <w:pPr>
              <w:pStyle w:val="TableText"/>
            </w:pPr>
            <w:r w:rsidRPr="000921F1">
              <w:rPr>
                <w:rFonts w:cs="Arial"/>
                <w:vanish/>
              </w:rPr>
              <w:t xml:space="preserve">BR_3.40 </w:t>
            </w:r>
            <w:r w:rsidRPr="000921F1">
              <w:t>When a repeat ABO/Rh is performed on the patient specimen and the interpretation does not match the original ABO/Rh interpretation</w:t>
            </w:r>
            <w:r w:rsidR="00CE12EA">
              <w:t>.</w:t>
            </w:r>
            <w:r w:rsidRPr="000921F1">
              <w:t xml:space="preserve"> </w:t>
            </w:r>
          </w:p>
        </w:tc>
      </w:tr>
      <w:tr w:rsidR="00E316CA" w:rsidRPr="000921F1" w14:paraId="0F502756" w14:textId="77777777">
        <w:tc>
          <w:tcPr>
            <w:tcW w:w="780" w:type="dxa"/>
          </w:tcPr>
          <w:p w14:paraId="66B1546F" w14:textId="77777777" w:rsidR="00E316CA" w:rsidRPr="000921F1" w:rsidRDefault="0024117A">
            <w:pPr>
              <w:pStyle w:val="TableText"/>
            </w:pPr>
            <w:r>
              <w:t>9</w:t>
            </w:r>
          </w:p>
        </w:tc>
        <w:tc>
          <w:tcPr>
            <w:tcW w:w="8580" w:type="dxa"/>
          </w:tcPr>
          <w:p w14:paraId="3C010CAD" w14:textId="77777777" w:rsidR="00E316CA" w:rsidRPr="000921F1" w:rsidRDefault="00E316CA">
            <w:pPr>
              <w:pStyle w:val="TableText"/>
              <w:rPr>
                <w:rFonts w:cs="Arial"/>
                <w:vanish/>
              </w:rPr>
            </w:pPr>
            <w:r w:rsidRPr="000921F1">
              <w:rPr>
                <w:vanish/>
                <w:szCs w:val="18"/>
              </w:rPr>
              <w:t>BR_3.10</w:t>
            </w:r>
            <w:r w:rsidRPr="000921F1">
              <w:t xml:space="preserve"> When a user selects a blood unit that is evaluated as ABO incompatible (based on comparison of the patient's current ABO/Rh entered by the user with the ABO/Rh on record), VBECS emits an audible alert and warns the user that the unit is not ABO compatible for this patient and that the user may not select the unit. There is no override; VBECS clears the screen and allows the user to select another unit.</w:t>
            </w:r>
          </w:p>
        </w:tc>
      </w:tr>
      <w:tr w:rsidR="00657663" w:rsidRPr="000921F1" w14:paraId="6162D59C" w14:textId="77777777">
        <w:tc>
          <w:tcPr>
            <w:tcW w:w="780" w:type="dxa"/>
          </w:tcPr>
          <w:p w14:paraId="1101C398" w14:textId="77777777" w:rsidR="00657663" w:rsidRDefault="00657663">
            <w:pPr>
              <w:pStyle w:val="TableText"/>
            </w:pPr>
            <w:r>
              <w:t>9</w:t>
            </w:r>
          </w:p>
        </w:tc>
        <w:tc>
          <w:tcPr>
            <w:tcW w:w="8580" w:type="dxa"/>
          </w:tcPr>
          <w:p w14:paraId="0BB95E49" w14:textId="77777777" w:rsidR="00657663" w:rsidRPr="000921F1" w:rsidRDefault="00657663" w:rsidP="00657663">
            <w:pPr>
              <w:pStyle w:val="TableText"/>
              <w:rPr>
                <w:vanish/>
                <w:szCs w:val="18"/>
              </w:rPr>
            </w:pPr>
            <w:r w:rsidRPr="00657663">
              <w:rPr>
                <w:vanish/>
                <w:szCs w:val="18"/>
              </w:rPr>
              <w:t xml:space="preserve">BR_3.12 </w:t>
            </w:r>
            <w:r>
              <w:rPr>
                <w:szCs w:val="18"/>
              </w:rPr>
              <w:t>When a blood compone</w:t>
            </w:r>
            <w:r w:rsidR="00931B15">
              <w:rPr>
                <w:szCs w:val="18"/>
              </w:rPr>
              <w:t>nt belongs to a Product Type and is indicated as “</w:t>
            </w:r>
            <w:r>
              <w:rPr>
                <w:szCs w:val="18"/>
              </w:rPr>
              <w:t>Frozen” and is selected for a patient, VBECS emits an audible alert and displays a warning message: “Selected blood unit must be thawed and may require additional processing prior to issue”. There is no user response required and the blood unit is not eligible for issue. The status of the units is updated to “assigned” to the indicated patient.</w:t>
            </w:r>
          </w:p>
        </w:tc>
      </w:tr>
      <w:tr w:rsidR="002A21AE" w:rsidRPr="000921F1" w14:paraId="5B4BF502" w14:textId="77777777">
        <w:tc>
          <w:tcPr>
            <w:tcW w:w="780" w:type="dxa"/>
          </w:tcPr>
          <w:p w14:paraId="27A99944" w14:textId="77777777" w:rsidR="002A21AE" w:rsidRPr="000921F1" w:rsidRDefault="0024117A">
            <w:pPr>
              <w:pStyle w:val="TableText"/>
            </w:pPr>
            <w:r>
              <w:t>10</w:t>
            </w:r>
          </w:p>
        </w:tc>
        <w:tc>
          <w:tcPr>
            <w:tcW w:w="8580" w:type="dxa"/>
          </w:tcPr>
          <w:p w14:paraId="30698625" w14:textId="49A6652F" w:rsidR="002A21AE" w:rsidRPr="000921F1" w:rsidRDefault="002A21AE">
            <w:pPr>
              <w:pStyle w:val="TableText"/>
            </w:pPr>
            <w:r w:rsidRPr="000921F1">
              <w:rPr>
                <w:rFonts w:cs="Arial"/>
                <w:vanish/>
              </w:rPr>
              <w:t xml:space="preserve">BR_3.34 </w:t>
            </w:r>
            <w:r w:rsidRPr="000921F1">
              <w:t xml:space="preserve">The user may override the selection of restricted units. VBECS warns that more restricted units were not selected for the patient and asks whether the user wishes to continue. The override requires a comment </w:t>
            </w:r>
            <w:r w:rsidR="00FE1173">
              <w:t xml:space="preserve">from the “Unit Modification” context </w:t>
            </w:r>
            <w:r w:rsidRPr="000921F1">
              <w:t>and captures details for inclusion in an Exception Report (exception type: less restrictive unit issued).</w:t>
            </w:r>
          </w:p>
        </w:tc>
      </w:tr>
      <w:tr w:rsidR="002A21AE" w:rsidRPr="000921F1" w14:paraId="1C5E2368" w14:textId="77777777">
        <w:tc>
          <w:tcPr>
            <w:tcW w:w="780" w:type="dxa"/>
          </w:tcPr>
          <w:p w14:paraId="0C033714" w14:textId="77777777" w:rsidR="002A21AE" w:rsidRPr="000921F1" w:rsidRDefault="0024117A">
            <w:pPr>
              <w:pStyle w:val="TableText"/>
            </w:pPr>
            <w:r>
              <w:t>10</w:t>
            </w:r>
          </w:p>
        </w:tc>
        <w:tc>
          <w:tcPr>
            <w:tcW w:w="8580" w:type="dxa"/>
          </w:tcPr>
          <w:p w14:paraId="7264BC93" w14:textId="77777777" w:rsidR="002A21AE" w:rsidRDefault="002A21AE">
            <w:pPr>
              <w:pStyle w:val="TableText"/>
            </w:pPr>
            <w:r w:rsidRPr="000921F1">
              <w:rPr>
                <w:rFonts w:cs="Arial"/>
                <w:vanish/>
              </w:rPr>
              <w:t xml:space="preserve">BR_3.52 </w:t>
            </w:r>
            <w:r w:rsidRPr="000921F1">
              <w:t>VBECS warns the use</w:t>
            </w:r>
            <w:r w:rsidR="004E0FCD">
              <w:t>r when he selects type-specific FFP/PLASMA</w:t>
            </w:r>
            <w:r w:rsidR="00EA44F9" w:rsidRPr="000921F1">
              <w:t xml:space="preserve"> products</w:t>
            </w:r>
            <w:r w:rsidRPr="000921F1">
              <w:t xml:space="preserve"> that do not require a specimen, according to the division configuration of component classes, for a patient with a history of justified ABO/Rh change.</w:t>
            </w:r>
          </w:p>
          <w:p w14:paraId="1DA34A17" w14:textId="67C81BF4" w:rsidR="00657663" w:rsidRPr="000921F1" w:rsidRDefault="00CA65FE">
            <w:pPr>
              <w:pStyle w:val="TableText"/>
            </w:pPr>
            <w:r>
              <w:t>Note: VBECS does not enforce type-specific compatibility rules for produ</w:t>
            </w:r>
            <w:r w:rsidR="004E0FCD">
              <w:t>ct types in the CRYOPRECIPITATE</w:t>
            </w:r>
            <w:r w:rsidR="004E5EEE">
              <w:t xml:space="preserve"> </w:t>
            </w:r>
            <w:r>
              <w:t xml:space="preserve">and PLATELETS </w:t>
            </w:r>
            <w:r w:rsidR="004E0FCD">
              <w:t>[</w:t>
            </w:r>
            <w:r>
              <w:t>with less than (&lt;) 2 mL of RBC contamination</w:t>
            </w:r>
            <w:r w:rsidR="004E0FCD">
              <w:t>]</w:t>
            </w:r>
            <w:r>
              <w:t xml:space="preserve"> component classes.</w:t>
            </w:r>
          </w:p>
        </w:tc>
      </w:tr>
      <w:tr w:rsidR="002A21AE" w:rsidRPr="000921F1" w14:paraId="08641562" w14:textId="77777777">
        <w:tc>
          <w:tcPr>
            <w:tcW w:w="780" w:type="dxa"/>
          </w:tcPr>
          <w:p w14:paraId="62811875" w14:textId="77777777" w:rsidR="002A21AE" w:rsidRPr="000921F1" w:rsidRDefault="0024117A">
            <w:pPr>
              <w:pStyle w:val="TableText"/>
            </w:pPr>
            <w:r>
              <w:t>10</w:t>
            </w:r>
          </w:p>
        </w:tc>
        <w:tc>
          <w:tcPr>
            <w:tcW w:w="8580" w:type="dxa"/>
          </w:tcPr>
          <w:p w14:paraId="0D942BE1" w14:textId="77777777" w:rsidR="002A21AE" w:rsidRPr="000921F1" w:rsidRDefault="002A21AE">
            <w:pPr>
              <w:pStyle w:val="TableText"/>
            </w:pPr>
            <w:r w:rsidRPr="000921F1">
              <w:rPr>
                <w:rFonts w:cs="Arial"/>
                <w:vanish/>
              </w:rPr>
              <w:t xml:space="preserve">BR_3.49 </w:t>
            </w:r>
            <w:r w:rsidRPr="000921F1">
              <w:t>Once a valid XM interpretation is verified and the unit is compatible, VBECS does not allow a user to select that unit (ID and product code) for the same specimen. The user may select the unit for a XM with the same patient</w:t>
            </w:r>
            <w:r w:rsidR="00FA7E65" w:rsidRPr="000921F1">
              <w:t>’</w:t>
            </w:r>
            <w:r w:rsidRPr="000921F1">
              <w:t>s new specimen</w:t>
            </w:r>
            <w:r w:rsidR="00290EF8" w:rsidRPr="000921F1">
              <w:t xml:space="preserve"> after the unit is released from the current assignment</w:t>
            </w:r>
            <w:r w:rsidRPr="000921F1">
              <w:t>. VBECS warns that the unit has a valid current XM with this patient. The user clears the warning and may continue or enter a new unit number for selection.</w:t>
            </w:r>
          </w:p>
        </w:tc>
      </w:tr>
      <w:tr w:rsidR="002A21AE" w:rsidRPr="000921F1" w14:paraId="28D33748" w14:textId="77777777">
        <w:tc>
          <w:tcPr>
            <w:tcW w:w="780" w:type="dxa"/>
          </w:tcPr>
          <w:p w14:paraId="0294FE63" w14:textId="77777777" w:rsidR="002A21AE" w:rsidRPr="000921F1" w:rsidRDefault="0024117A">
            <w:pPr>
              <w:pStyle w:val="TableText"/>
            </w:pPr>
            <w:r>
              <w:t>10</w:t>
            </w:r>
          </w:p>
        </w:tc>
        <w:tc>
          <w:tcPr>
            <w:tcW w:w="8580" w:type="dxa"/>
          </w:tcPr>
          <w:p w14:paraId="28EFCEC5" w14:textId="77777777" w:rsidR="002A21AE" w:rsidRPr="000921F1" w:rsidRDefault="002A21AE">
            <w:pPr>
              <w:pStyle w:val="TableText"/>
            </w:pPr>
            <w:r w:rsidRPr="000921F1">
              <w:rPr>
                <w:rFonts w:cs="Arial"/>
                <w:vanish/>
              </w:rPr>
              <w:t xml:space="preserve">BR_3.28 </w:t>
            </w:r>
            <w:r w:rsidRPr="000921F1">
              <w:t>When a selected unit is currently assigned to another patient, VBECS warns the user and asks whether the user wishes to continue to select for this patient.</w:t>
            </w:r>
          </w:p>
          <w:p w14:paraId="12DC14E4" w14:textId="77777777" w:rsidR="002A21AE" w:rsidRPr="000921F1" w:rsidRDefault="002A21AE">
            <w:pPr>
              <w:pStyle w:val="TableText"/>
            </w:pPr>
          </w:p>
          <w:p w14:paraId="201A3796" w14:textId="77777777" w:rsidR="002A21AE" w:rsidRPr="000921F1" w:rsidRDefault="002A21AE">
            <w:pPr>
              <w:pStyle w:val="TableText"/>
            </w:pPr>
            <w:r w:rsidRPr="000921F1">
              <w:rPr>
                <w:b/>
                <w:bCs/>
              </w:rPr>
              <w:t>Yes</w:t>
            </w:r>
            <w:r w:rsidRPr="000921F1">
              <w:t xml:space="preserve"> allows the user to continue. </w:t>
            </w:r>
            <w:r w:rsidRPr="000921F1">
              <w:rPr>
                <w:b/>
                <w:bCs/>
              </w:rPr>
              <w:t>No</w:t>
            </w:r>
            <w:r w:rsidRPr="000921F1">
              <w:t xml:space="preserve"> clears the screen and allows the user to select a new unit.</w:t>
            </w:r>
          </w:p>
        </w:tc>
      </w:tr>
      <w:tr w:rsidR="002A21AE" w:rsidRPr="000921F1" w14:paraId="032BD029" w14:textId="77777777">
        <w:tc>
          <w:tcPr>
            <w:tcW w:w="780" w:type="dxa"/>
          </w:tcPr>
          <w:p w14:paraId="49FC8B10" w14:textId="77777777" w:rsidR="002A21AE" w:rsidRPr="000921F1" w:rsidRDefault="0024117A">
            <w:pPr>
              <w:pStyle w:val="TableText"/>
            </w:pPr>
            <w:r>
              <w:t>10</w:t>
            </w:r>
          </w:p>
        </w:tc>
        <w:tc>
          <w:tcPr>
            <w:tcW w:w="8580" w:type="dxa"/>
          </w:tcPr>
          <w:p w14:paraId="786FD0B5" w14:textId="77777777" w:rsidR="002A21AE" w:rsidRPr="000921F1" w:rsidRDefault="002A21AE">
            <w:pPr>
              <w:pStyle w:val="TableText"/>
            </w:pPr>
            <w:r w:rsidRPr="000921F1">
              <w:rPr>
                <w:rFonts w:cs="Arial"/>
                <w:vanish/>
              </w:rPr>
              <w:t xml:space="preserve">BR_3.19 </w:t>
            </w:r>
            <w:r w:rsidRPr="000921F1">
              <w:t xml:space="preserve">When a user </w:t>
            </w:r>
            <w:r w:rsidR="0073125C" w:rsidRPr="000921F1">
              <w:t xml:space="preserve">is a Technologist and </w:t>
            </w:r>
            <w:r w:rsidR="00602A93" w:rsidRPr="000921F1">
              <w:t>selects</w:t>
            </w:r>
            <w:r w:rsidRPr="000921F1">
              <w:t xml:space="preserve"> an expired unit, VBECS warns him. There is no override. </w:t>
            </w:r>
          </w:p>
          <w:p w14:paraId="74A69F2B" w14:textId="77777777" w:rsidR="002A21AE" w:rsidRPr="000921F1" w:rsidRDefault="002A21AE">
            <w:pPr>
              <w:pStyle w:val="TableText"/>
            </w:pPr>
          </w:p>
          <w:p w14:paraId="373538B8" w14:textId="77777777" w:rsidR="002A21AE" w:rsidRPr="000921F1" w:rsidRDefault="002A21AE">
            <w:pPr>
              <w:pStyle w:val="TableText"/>
            </w:pPr>
            <w:r w:rsidRPr="000921F1">
              <w:rPr>
                <w:rFonts w:ascii="Wingdings 3" w:hAnsi="Wingdings 3" w:cs="Wingdings"/>
              </w:rPr>
              <w:t></w:t>
            </w:r>
            <w:r w:rsidRPr="000921F1">
              <w:rPr>
                <w:rFonts w:ascii="Wingdings 3" w:hAnsi="Wingdings 3" w:cs="Wingdings"/>
              </w:rPr>
              <w:t></w:t>
            </w:r>
            <w:r w:rsidRPr="000921F1">
              <w:t xml:space="preserve"> When the user is an Enhanced Technologist or above, VBECS warns that the unit is expired and asks whether the user wishes to continue to select.</w:t>
            </w:r>
          </w:p>
          <w:p w14:paraId="0FCDCDAD" w14:textId="77777777" w:rsidR="002A21AE" w:rsidRPr="000921F1" w:rsidRDefault="002A21AE">
            <w:pPr>
              <w:pStyle w:val="TableText"/>
            </w:pPr>
          </w:p>
          <w:p w14:paraId="65582FBA" w14:textId="77777777" w:rsidR="002A21AE" w:rsidRPr="000921F1" w:rsidRDefault="002A21AE">
            <w:pPr>
              <w:pStyle w:val="TableText"/>
            </w:pPr>
            <w:r w:rsidRPr="000921F1">
              <w:rPr>
                <w:b/>
                <w:bCs/>
              </w:rPr>
              <w:t>No</w:t>
            </w:r>
            <w:r w:rsidRPr="000921F1">
              <w:t xml:space="preserve"> clears the screen. </w:t>
            </w:r>
            <w:r w:rsidRPr="000921F1">
              <w:rPr>
                <w:b/>
                <w:bCs/>
              </w:rPr>
              <w:t>Yes</w:t>
            </w:r>
            <w:r w:rsidRPr="000921F1">
              <w:t xml:space="preserve"> requires a comment and captures details for inclusion in an Exception Report (exception type: expired unit selected).</w:t>
            </w:r>
          </w:p>
        </w:tc>
      </w:tr>
      <w:tr w:rsidR="008852A5" w:rsidRPr="000921F1" w14:paraId="292D02CB" w14:textId="77777777">
        <w:tc>
          <w:tcPr>
            <w:tcW w:w="780" w:type="dxa"/>
          </w:tcPr>
          <w:p w14:paraId="42DD635A" w14:textId="77777777" w:rsidR="008852A5" w:rsidRPr="000921F1" w:rsidRDefault="0024117A" w:rsidP="00FF6514">
            <w:pPr>
              <w:pStyle w:val="TableText"/>
            </w:pPr>
            <w:r>
              <w:t>10</w:t>
            </w:r>
          </w:p>
        </w:tc>
        <w:tc>
          <w:tcPr>
            <w:tcW w:w="8580" w:type="dxa"/>
          </w:tcPr>
          <w:p w14:paraId="42393EDA" w14:textId="77777777" w:rsidR="008852A5" w:rsidRPr="000921F1" w:rsidRDefault="008852A5" w:rsidP="008852A5">
            <w:pPr>
              <w:pStyle w:val="TableTextBullet"/>
              <w:numPr>
                <w:ilvl w:val="0"/>
                <w:numId w:val="0"/>
              </w:numPr>
            </w:pPr>
            <w:r w:rsidRPr="000921F1">
              <w:rPr>
                <w:rFonts w:cs="Arial"/>
                <w:vanish/>
              </w:rPr>
              <w:t xml:space="preserve">BR_3.13 </w:t>
            </w:r>
            <w:r w:rsidRPr="000921F1">
              <w:t>When a unit is selected for a patient</w:t>
            </w:r>
            <w:r w:rsidRPr="000921F1">
              <w:rPr>
                <w:szCs w:val="18"/>
              </w:rPr>
              <w:t xml:space="preserve">, VBECS displays a tool tip stating that the unit may not be selected or removed. </w:t>
            </w:r>
          </w:p>
        </w:tc>
      </w:tr>
      <w:tr w:rsidR="002A21AE" w:rsidRPr="000921F1" w14:paraId="646DE111" w14:textId="77777777">
        <w:tc>
          <w:tcPr>
            <w:tcW w:w="780" w:type="dxa"/>
          </w:tcPr>
          <w:p w14:paraId="3ED0F82B" w14:textId="77777777" w:rsidR="002A21AE" w:rsidRPr="000921F1" w:rsidRDefault="0024117A">
            <w:pPr>
              <w:pStyle w:val="TableText"/>
            </w:pPr>
            <w:r>
              <w:t>10</w:t>
            </w:r>
          </w:p>
        </w:tc>
        <w:tc>
          <w:tcPr>
            <w:tcW w:w="8580" w:type="dxa"/>
          </w:tcPr>
          <w:p w14:paraId="71CD5BF7" w14:textId="77777777" w:rsidR="002A21AE" w:rsidRPr="000921F1" w:rsidRDefault="002A21AE">
            <w:pPr>
              <w:pStyle w:val="TableText"/>
              <w:rPr>
                <w:rStyle w:val="StyleTableTextBlackChar"/>
                <w:color w:val="auto"/>
              </w:rPr>
            </w:pPr>
            <w:r w:rsidRPr="000921F1">
              <w:t>When the user selects a</w:t>
            </w:r>
            <w:r w:rsidRPr="000921F1">
              <w:rPr>
                <w:rStyle w:val="StyleTableTextBlackChar"/>
                <w:color w:val="auto"/>
              </w:rPr>
              <w:t xml:space="preserve"> unit and these conditions exist, VBECS </w:t>
            </w:r>
            <w:r w:rsidR="008852A5" w:rsidRPr="000921F1">
              <w:rPr>
                <w:rStyle w:val="StyleTableTextBlackChar"/>
                <w:color w:val="auto"/>
              </w:rPr>
              <w:t>warns the user.</w:t>
            </w:r>
            <w:r w:rsidRPr="000921F1">
              <w:rPr>
                <w:rStyle w:val="StyleTableTextBlackChar"/>
                <w:color w:val="auto"/>
              </w:rPr>
              <w:t xml:space="preserve"> There is no override</w:t>
            </w:r>
            <w:r w:rsidRPr="000921F1">
              <w:t>. VBECS clears the screen and the user may select another unit</w:t>
            </w:r>
            <w:r w:rsidRPr="000921F1">
              <w:rPr>
                <w:rStyle w:val="StyleTableTextBlackChar"/>
                <w:color w:val="auto"/>
              </w:rPr>
              <w:t>:</w:t>
            </w:r>
          </w:p>
          <w:p w14:paraId="6E4E0478" w14:textId="77777777" w:rsidR="002A21AE" w:rsidRPr="000921F1" w:rsidRDefault="002A21AE">
            <w:pPr>
              <w:pStyle w:val="TableTextBullet"/>
            </w:pPr>
            <w:r w:rsidRPr="000921F1">
              <w:t>For XM for the same patient, VBECS warns that the unit was already selected for the patient.</w:t>
            </w:r>
          </w:p>
          <w:p w14:paraId="420E659B" w14:textId="77777777" w:rsidR="002A21AE" w:rsidRPr="000921F1" w:rsidRDefault="002A21AE">
            <w:pPr>
              <w:pStyle w:val="TableTextBullet"/>
            </w:pPr>
            <w:r w:rsidRPr="000921F1">
              <w:rPr>
                <w:rFonts w:cs="Arial"/>
                <w:vanish/>
              </w:rPr>
              <w:t xml:space="preserve">BR_3.33 </w:t>
            </w:r>
            <w:r w:rsidRPr="000921F1">
              <w:t>That is not substitutable for the order, VBECS warns that the selected unit is not valid for order.</w:t>
            </w:r>
          </w:p>
          <w:p w14:paraId="3D5CC872" w14:textId="77777777" w:rsidR="002A21AE" w:rsidRPr="000921F1" w:rsidRDefault="002A21AE">
            <w:pPr>
              <w:pStyle w:val="TableTextBullet"/>
            </w:pPr>
            <w:r w:rsidRPr="000921F1">
              <w:rPr>
                <w:rFonts w:cs="Arial"/>
                <w:vanish/>
              </w:rPr>
              <w:t xml:space="preserve">BR_3.43 </w:t>
            </w:r>
            <w:r w:rsidRPr="000921F1">
              <w:t>That is quarantined, VBECS warns that the unit is quarantined and may not be selected.</w:t>
            </w:r>
          </w:p>
          <w:p w14:paraId="2B828ECA" w14:textId="77777777" w:rsidR="002A21AE" w:rsidRPr="000921F1" w:rsidRDefault="002A21AE">
            <w:pPr>
              <w:pStyle w:val="TableTextBullet"/>
            </w:pPr>
            <w:r w:rsidRPr="000921F1">
              <w:rPr>
                <w:rFonts w:cs="Arial"/>
                <w:vanish/>
              </w:rPr>
              <w:t xml:space="preserve">BR_3.45 </w:t>
            </w:r>
            <w:r w:rsidRPr="000921F1">
              <w:t>That is on a pending outgoing shipment list, VBECS warns that the unit is currently included on a pending outgoing shipment invoice and must be removed from the shipment invoice before it can be selected.</w:t>
            </w:r>
          </w:p>
          <w:p w14:paraId="4AAC98E6" w14:textId="77777777" w:rsidR="002A21AE" w:rsidRPr="000921F1" w:rsidRDefault="002A21AE">
            <w:pPr>
              <w:pStyle w:val="TableTextBullet"/>
            </w:pPr>
            <w:r w:rsidRPr="000921F1">
              <w:rPr>
                <w:rFonts w:cs="Arial"/>
                <w:vanish/>
              </w:rPr>
              <w:t xml:space="preserve">BR_3.44 </w:t>
            </w:r>
            <w:r w:rsidRPr="000921F1">
              <w:t>That is not in the blood bank or is issued to another patient, VBECS warns that the unit is not in the blood bank and may not be selected.</w:t>
            </w:r>
          </w:p>
          <w:p w14:paraId="5A728E43" w14:textId="77777777" w:rsidR="002A21AE" w:rsidRPr="000921F1" w:rsidRDefault="002A21AE">
            <w:pPr>
              <w:pStyle w:val="TableTextBullet"/>
            </w:pPr>
            <w:r w:rsidRPr="000921F1">
              <w:rPr>
                <w:rFonts w:cs="Arial"/>
                <w:vanish/>
              </w:rPr>
              <w:lastRenderedPageBreak/>
              <w:t xml:space="preserve">BR_3.46 </w:t>
            </w:r>
            <w:r w:rsidRPr="000921F1">
              <w:t>That is restricted for a different patient, VBECS warns that the unit is restricted for a different patient and may not be selected.</w:t>
            </w:r>
          </w:p>
          <w:p w14:paraId="77C890F4" w14:textId="77777777" w:rsidR="002A21AE" w:rsidRPr="000921F1" w:rsidRDefault="002C0830">
            <w:pPr>
              <w:pStyle w:val="TableTextBullet"/>
            </w:pPr>
            <w:r w:rsidRPr="000921F1">
              <w:rPr>
                <w:vanish/>
                <w:szCs w:val="18"/>
              </w:rPr>
              <w:t xml:space="preserve">BR_3.16 </w:t>
            </w:r>
            <w:r w:rsidRPr="000921F1">
              <w:t>T</w:t>
            </w:r>
            <w:r w:rsidR="002A21AE" w:rsidRPr="000921F1">
              <w:t>he confirmation is not performed or is incomplete, VBECS emits an audible alert and warns that the unit ABO/Rh confirmation was not performed or is incomplete and that the unit may not be selected.</w:t>
            </w:r>
          </w:p>
        </w:tc>
      </w:tr>
      <w:tr w:rsidR="002A21AE" w:rsidRPr="000921F1" w14:paraId="7C752435" w14:textId="77777777">
        <w:tc>
          <w:tcPr>
            <w:tcW w:w="780" w:type="dxa"/>
          </w:tcPr>
          <w:p w14:paraId="66602FE7" w14:textId="77777777" w:rsidR="002A21AE" w:rsidRPr="000921F1" w:rsidRDefault="0024117A">
            <w:pPr>
              <w:pStyle w:val="TableText"/>
            </w:pPr>
            <w:r>
              <w:lastRenderedPageBreak/>
              <w:t>10</w:t>
            </w:r>
          </w:p>
        </w:tc>
        <w:tc>
          <w:tcPr>
            <w:tcW w:w="8580" w:type="dxa"/>
          </w:tcPr>
          <w:p w14:paraId="131A8BE2" w14:textId="77777777" w:rsidR="002A21AE" w:rsidRPr="000921F1" w:rsidRDefault="002A21AE">
            <w:pPr>
              <w:pStyle w:val="TableText"/>
            </w:pPr>
            <w:r w:rsidRPr="000921F1">
              <w:rPr>
                <w:rFonts w:cs="Arial"/>
                <w:vanish/>
              </w:rPr>
              <w:t xml:space="preserve">BR_3.23 </w:t>
            </w:r>
            <w:r w:rsidRPr="000921F1">
              <w:t xml:space="preserve">When the selected unit had an incompatible crossmatch result with the current patient in the past, VBECS warns the user. </w:t>
            </w:r>
            <w:r w:rsidR="00141E2B" w:rsidRPr="000921F1">
              <w:t>The user may continue with this unit and proceed with electronic or serologic crossmatch testing.</w:t>
            </w:r>
          </w:p>
        </w:tc>
      </w:tr>
      <w:tr w:rsidR="002A21AE" w:rsidRPr="000921F1" w14:paraId="3380439E" w14:textId="77777777">
        <w:tc>
          <w:tcPr>
            <w:tcW w:w="780" w:type="dxa"/>
          </w:tcPr>
          <w:p w14:paraId="34FAED8E" w14:textId="77777777" w:rsidR="002A21AE" w:rsidRPr="000921F1" w:rsidRDefault="0024117A">
            <w:pPr>
              <w:pStyle w:val="TableText"/>
            </w:pPr>
            <w:r>
              <w:t>10</w:t>
            </w:r>
          </w:p>
        </w:tc>
        <w:tc>
          <w:tcPr>
            <w:tcW w:w="8580" w:type="dxa"/>
          </w:tcPr>
          <w:p w14:paraId="1978346F" w14:textId="77777777" w:rsidR="002A21AE" w:rsidRPr="000921F1" w:rsidRDefault="002A21AE">
            <w:pPr>
              <w:pStyle w:val="TableText"/>
            </w:pPr>
            <w:r w:rsidRPr="000921F1">
              <w:rPr>
                <w:rFonts w:cs="Arial"/>
                <w:vanish/>
              </w:rPr>
              <w:t xml:space="preserve">BR_3.06 </w:t>
            </w:r>
            <w:r w:rsidRPr="000921F1">
              <w:t>When the user selects an antigen positive (or inconclusive for testing) unit and the patient has the corresponding antigen negative requirement, VBECS warns the user and requires action determined by the user’s security level.</w:t>
            </w:r>
          </w:p>
        </w:tc>
      </w:tr>
      <w:tr w:rsidR="002A21AE" w:rsidRPr="000921F1" w14:paraId="74DA8F2A" w14:textId="77777777">
        <w:tc>
          <w:tcPr>
            <w:tcW w:w="780" w:type="dxa"/>
          </w:tcPr>
          <w:p w14:paraId="5AAECE34" w14:textId="77777777" w:rsidR="002A21AE" w:rsidRPr="000921F1" w:rsidRDefault="0024117A">
            <w:pPr>
              <w:pStyle w:val="TableText"/>
            </w:pPr>
            <w:r>
              <w:t>10</w:t>
            </w:r>
          </w:p>
        </w:tc>
        <w:tc>
          <w:tcPr>
            <w:tcW w:w="8580" w:type="dxa"/>
          </w:tcPr>
          <w:p w14:paraId="7F297781" w14:textId="77777777" w:rsidR="002A21AE" w:rsidRPr="000921F1" w:rsidRDefault="002A21AE">
            <w:pPr>
              <w:pStyle w:val="TableText"/>
            </w:pPr>
            <w:r w:rsidRPr="000921F1">
              <w:t xml:space="preserve"> </w:t>
            </w:r>
            <w:r w:rsidRPr="000921F1">
              <w:rPr>
                <w:rFonts w:ascii="Wingdings 3" w:hAnsi="Wingdings 3" w:cs="Wingdings"/>
              </w:rPr>
              <w:t></w:t>
            </w:r>
            <w:r w:rsidRPr="000921F1">
              <w:rPr>
                <w:rFonts w:ascii="Wingdings 3" w:hAnsi="Wingdings 3" w:cs="Wingdings"/>
              </w:rPr>
              <w:t></w:t>
            </w:r>
            <w:r w:rsidRPr="000921F1">
              <w:t xml:space="preserve"> When the user is an Enhanced Technologist or below</w:t>
            </w:r>
            <w:r w:rsidRPr="000921F1">
              <w:rPr>
                <w:b/>
              </w:rPr>
              <w:t xml:space="preserve">, </w:t>
            </w:r>
            <w:r w:rsidRPr="000921F1">
              <w:t xml:space="preserve">VBECS emits an audible alert and warns that the patient has a history of an antibody, that the unit does not have a negative test for the corresponding antigen, and that the user </w:t>
            </w:r>
            <w:r w:rsidR="00082F78" w:rsidRPr="000921F1">
              <w:t>does not have the proper security level</w:t>
            </w:r>
            <w:r w:rsidRPr="000921F1">
              <w:t xml:space="preserve"> to select the unit. There is no override.</w:t>
            </w:r>
          </w:p>
        </w:tc>
      </w:tr>
      <w:tr w:rsidR="002A21AE" w:rsidRPr="000921F1" w14:paraId="5D763F54" w14:textId="77777777">
        <w:tc>
          <w:tcPr>
            <w:tcW w:w="780" w:type="dxa"/>
          </w:tcPr>
          <w:p w14:paraId="7FB32F79" w14:textId="77777777" w:rsidR="002A21AE" w:rsidRPr="000921F1" w:rsidRDefault="0024117A">
            <w:pPr>
              <w:pStyle w:val="TableText"/>
            </w:pPr>
            <w:r>
              <w:t>10</w:t>
            </w:r>
          </w:p>
        </w:tc>
        <w:tc>
          <w:tcPr>
            <w:tcW w:w="8580" w:type="dxa"/>
          </w:tcPr>
          <w:p w14:paraId="1831207B" w14:textId="77777777" w:rsidR="002A21AE" w:rsidRPr="000921F1" w:rsidRDefault="002A21AE">
            <w:pPr>
              <w:pStyle w:val="TableText"/>
            </w:pPr>
            <w:r w:rsidRPr="000921F1">
              <w:t xml:space="preserve"> </w:t>
            </w:r>
            <w:r w:rsidRPr="000921F1">
              <w:rPr>
                <w:rFonts w:ascii="Wingdings 3" w:hAnsi="Wingdings 3" w:cs="Wingdings"/>
              </w:rPr>
              <w:t></w:t>
            </w:r>
            <w:r w:rsidRPr="000921F1">
              <w:rPr>
                <w:rFonts w:ascii="Wingdings 3" w:hAnsi="Wingdings 3" w:cs="Wingdings"/>
              </w:rPr>
              <w:t></w:t>
            </w:r>
            <w:r w:rsidRPr="000921F1">
              <w:rPr>
                <w:rFonts w:ascii="Wingdings 3" w:hAnsi="Wingdings 3" w:cs="Wingdings"/>
              </w:rPr>
              <w:t></w:t>
            </w:r>
            <w:r w:rsidRPr="000921F1">
              <w:t xml:space="preserve"> When the user is a Lead Technologist or above, VBECS emits an audible alert, warns that the patient has a history of an antibody and that the unit is positive or inconclusive for the corresponding antigen, and asks whether the user wishes to continue to select the unit. </w:t>
            </w:r>
          </w:p>
          <w:p w14:paraId="2FB7DB56" w14:textId="77777777" w:rsidR="002A21AE" w:rsidRPr="000921F1" w:rsidRDefault="002A21AE">
            <w:pPr>
              <w:pStyle w:val="TableText"/>
            </w:pPr>
          </w:p>
          <w:p w14:paraId="3B66451D" w14:textId="77777777" w:rsidR="002A21AE" w:rsidRPr="000921F1" w:rsidRDefault="002A21AE">
            <w:pPr>
              <w:pStyle w:val="TableText"/>
            </w:pPr>
            <w:r w:rsidRPr="000921F1">
              <w:rPr>
                <w:b/>
              </w:rPr>
              <w:t>No</w:t>
            </w:r>
            <w:r w:rsidRPr="000921F1">
              <w:t xml:space="preserve"> allows the user to continue to select units for the patient. </w:t>
            </w:r>
            <w:r w:rsidRPr="000921F1">
              <w:rPr>
                <w:b/>
                <w:bCs/>
              </w:rPr>
              <w:t>Yes</w:t>
            </w:r>
            <w:r w:rsidRPr="000921F1">
              <w:t xml:space="preserve"> requires a comment and captures details for inclusion in an Exception Report (exception type</w:t>
            </w:r>
            <w:r w:rsidRPr="000921F1">
              <w:rPr>
                <w:rStyle w:val="StyleTableTextBlackChar"/>
                <w:color w:val="auto"/>
              </w:rPr>
              <w:t>: antigen positive units selected).</w:t>
            </w:r>
          </w:p>
        </w:tc>
      </w:tr>
      <w:tr w:rsidR="002A21AE" w:rsidRPr="000921F1" w14:paraId="3E1FDA6F" w14:textId="77777777">
        <w:tc>
          <w:tcPr>
            <w:tcW w:w="780" w:type="dxa"/>
          </w:tcPr>
          <w:p w14:paraId="1C685288" w14:textId="77777777" w:rsidR="002A21AE" w:rsidRPr="000921F1" w:rsidRDefault="0024117A">
            <w:pPr>
              <w:pStyle w:val="TableText"/>
            </w:pPr>
            <w:r>
              <w:t>10</w:t>
            </w:r>
          </w:p>
        </w:tc>
        <w:tc>
          <w:tcPr>
            <w:tcW w:w="8580" w:type="dxa"/>
          </w:tcPr>
          <w:p w14:paraId="6932FD27" w14:textId="77777777" w:rsidR="002A21AE" w:rsidRPr="000921F1" w:rsidRDefault="002A21AE">
            <w:pPr>
              <w:pStyle w:val="TableText"/>
            </w:pPr>
            <w:r w:rsidRPr="000921F1">
              <w:rPr>
                <w:rFonts w:cs="Arial"/>
                <w:vanish/>
              </w:rPr>
              <w:t xml:space="preserve">BR_3.15 </w:t>
            </w:r>
            <w:r w:rsidRPr="000921F1">
              <w:t>When a unit was not antigen typed for the corresponding antigen, VBECS emits an audible alert, warns that the unit must be typed and found negative to be available for this patient, and asks whether the user wishes to continue to select this unit. The user may continue to select units for the patient.</w:t>
            </w:r>
          </w:p>
          <w:p w14:paraId="6426A186" w14:textId="77777777" w:rsidR="002A21AE" w:rsidRPr="000921F1" w:rsidRDefault="002A21AE">
            <w:pPr>
              <w:pStyle w:val="TableText"/>
            </w:pPr>
          </w:p>
          <w:p w14:paraId="390F8226" w14:textId="77777777" w:rsidR="002A21AE" w:rsidRPr="000921F1" w:rsidRDefault="002A21AE">
            <w:pPr>
              <w:pStyle w:val="TableText"/>
              <w:rPr>
                <w:rStyle w:val="StyleTableTextBlackChar"/>
                <w:color w:val="auto"/>
              </w:rPr>
            </w:pPr>
            <w:r w:rsidRPr="000921F1">
              <w:rPr>
                <w:b/>
                <w:bCs/>
              </w:rPr>
              <w:t>Yes</w:t>
            </w:r>
            <w:r w:rsidRPr="000921F1">
              <w:t xml:space="preserve"> requires a comment and captures details for inclusion in an Exception Report (exception type</w:t>
            </w:r>
            <w:r w:rsidRPr="000921F1">
              <w:rPr>
                <w:rStyle w:val="StyleTableTextBlackChar"/>
                <w:color w:val="auto"/>
              </w:rPr>
              <w:t>: antigen positive units selected).</w:t>
            </w:r>
          </w:p>
          <w:p w14:paraId="2300B7EF" w14:textId="77777777" w:rsidR="002A21AE" w:rsidRPr="000921F1" w:rsidRDefault="002A21AE">
            <w:pPr>
              <w:pStyle w:val="TableText"/>
            </w:pPr>
          </w:p>
          <w:p w14:paraId="6D9D1447" w14:textId="55A33BB8" w:rsidR="002A21AE" w:rsidRPr="000921F1" w:rsidRDefault="002A21AE">
            <w:pPr>
              <w:pStyle w:val="TableText"/>
              <w:rPr>
                <w:szCs w:val="18"/>
              </w:rPr>
            </w:pPr>
            <w:r w:rsidRPr="000921F1">
              <w:t xml:space="preserve">See </w:t>
            </w:r>
            <w:r w:rsidR="00EE455E">
              <w:t xml:space="preserve">Appendix </w:t>
            </w:r>
            <w:r w:rsidR="00EE455E">
              <w:rPr>
                <w:noProof/>
              </w:rPr>
              <w:t>B</w:t>
            </w:r>
            <w:r w:rsidRPr="000921F1">
              <w:t xml:space="preserve">: </w:t>
            </w:r>
            <w:r w:rsidR="00EE455E">
              <w:t xml:space="preserve">Table </w:t>
            </w:r>
            <w:r w:rsidR="00EE455E">
              <w:rPr>
                <w:noProof/>
              </w:rPr>
              <w:t>14:</w:t>
            </w:r>
            <w:r w:rsidR="00EE455E">
              <w:t xml:space="preserve"> </w:t>
            </w:r>
            <w:r w:rsidR="00EE455E">
              <w:rPr>
                <w:vanish/>
              </w:rPr>
              <w:t xml:space="preserve">TT_23.01A </w:t>
            </w:r>
            <w:r w:rsidR="00EE455E">
              <w:t>Antibody and Antigen Table: Irregular Antibodies</w:t>
            </w:r>
            <w:r w:rsidRPr="000921F1">
              <w:t>.</w:t>
            </w:r>
          </w:p>
        </w:tc>
      </w:tr>
      <w:tr w:rsidR="002E1F2B" w:rsidRPr="000921F1" w14:paraId="5E3964BB" w14:textId="77777777">
        <w:tc>
          <w:tcPr>
            <w:tcW w:w="780" w:type="dxa"/>
          </w:tcPr>
          <w:p w14:paraId="2B9010E0" w14:textId="0242A5F3" w:rsidR="002E1F2B" w:rsidRDefault="002E1F2B" w:rsidP="002E1F2B">
            <w:pPr>
              <w:pStyle w:val="TableText"/>
            </w:pPr>
            <w:r>
              <w:t>10</w:t>
            </w:r>
          </w:p>
        </w:tc>
        <w:tc>
          <w:tcPr>
            <w:tcW w:w="8580" w:type="dxa"/>
          </w:tcPr>
          <w:p w14:paraId="63EA4E77" w14:textId="12B0DA81" w:rsidR="002E1F2B" w:rsidRPr="00772260" w:rsidRDefault="002E1F2B" w:rsidP="002E1F2B">
            <w:pPr>
              <w:pStyle w:val="TableText"/>
              <w:rPr>
                <w:rFonts w:cs="Arial"/>
                <w:szCs w:val="18"/>
              </w:rPr>
            </w:pPr>
            <w:r w:rsidRPr="00772260">
              <w:rPr>
                <w:rFonts w:cs="Arial"/>
                <w:vanish/>
                <w:szCs w:val="18"/>
              </w:rPr>
              <w:t xml:space="preserve">BR_3.08 </w:t>
            </w:r>
            <w:r w:rsidRPr="00772260">
              <w:rPr>
                <w:rFonts w:cs="Arial"/>
                <w:szCs w:val="18"/>
              </w:rPr>
              <w:t xml:space="preserve">When </w:t>
            </w:r>
            <w:r w:rsidR="00523215" w:rsidRPr="00772260">
              <w:rPr>
                <w:rFonts w:cs="Arial"/>
                <w:szCs w:val="18"/>
              </w:rPr>
              <w:t>a</w:t>
            </w:r>
            <w:r w:rsidR="00D7366E">
              <w:rPr>
                <w:rFonts w:cs="Arial"/>
                <w:szCs w:val="18"/>
              </w:rPr>
              <w:t>n</w:t>
            </w:r>
            <w:r w:rsidRPr="00772260">
              <w:rPr>
                <w:rFonts w:cs="Arial"/>
                <w:szCs w:val="18"/>
              </w:rPr>
              <w:t xml:space="preserve"> Rh negative patient has an active anti-D antibody </w:t>
            </w:r>
            <w:r w:rsidRPr="003B1AEA">
              <w:rPr>
                <w:rFonts w:cs="Arial"/>
                <w:szCs w:val="18"/>
              </w:rPr>
              <w:t>or a D antigen negative requirement set in Special Instructions and Transfusion Requirements,</w:t>
            </w:r>
            <w:r w:rsidRPr="00772260">
              <w:rPr>
                <w:rFonts w:cs="Arial"/>
                <w:szCs w:val="18"/>
              </w:rPr>
              <w:t xml:space="preserve"> VBECS verifies the presence or absence of the corresponding antigen based on the ABO/Rh of the selected blood unit. When a user selects an Rh positive blood unit for a patient with anti-D, VBECS warns the user and requires action based on the user’s security level.</w:t>
            </w:r>
          </w:p>
          <w:p w14:paraId="2ED1140E" w14:textId="77777777" w:rsidR="002E1F2B" w:rsidRPr="000921F1" w:rsidRDefault="002E1F2B" w:rsidP="002E1F2B">
            <w:pPr>
              <w:pStyle w:val="TableText"/>
            </w:pPr>
          </w:p>
          <w:p w14:paraId="50E437B1" w14:textId="25FB3B59" w:rsidR="002E1F2B" w:rsidRPr="000921F1" w:rsidRDefault="002E1F2B" w:rsidP="002E1F2B">
            <w:pPr>
              <w:pStyle w:val="TableText"/>
              <w:rPr>
                <w:rFonts w:cs="Arial"/>
                <w:vanish/>
              </w:rPr>
            </w:pPr>
            <w:r w:rsidRPr="000921F1">
              <w:t>The antigen negative requirement for anti-</w:t>
            </w:r>
            <w:r>
              <w:t>D is D, not AGwD. AGwD is</w:t>
            </w:r>
            <w:r w:rsidRPr="000921F1">
              <w:t xml:space="preserve"> not </w:t>
            </w:r>
            <w:r>
              <w:t xml:space="preserve">a </w:t>
            </w:r>
            <w:r w:rsidRPr="000921F1">
              <w:t>selectab</w:t>
            </w:r>
            <w:r>
              <w:t>le antigen negative requirement</w:t>
            </w:r>
            <w:r w:rsidRPr="000921F1">
              <w:t xml:space="preserve"> in Special Instructions &amp; Transfusion Requirements: </w:t>
            </w:r>
            <w:r>
              <w:t>Antigen Negative RBCs.</w:t>
            </w:r>
            <w:r w:rsidRPr="000921F1">
              <w:t xml:space="preserve"> </w:t>
            </w:r>
          </w:p>
        </w:tc>
      </w:tr>
      <w:tr w:rsidR="002E1F2B" w:rsidRPr="000921F1" w14:paraId="1CEFD56B" w14:textId="77777777">
        <w:tc>
          <w:tcPr>
            <w:tcW w:w="780" w:type="dxa"/>
          </w:tcPr>
          <w:p w14:paraId="700B8A14" w14:textId="77777777" w:rsidR="002E1F2B" w:rsidRPr="000921F1" w:rsidRDefault="002E1F2B" w:rsidP="002E1F2B">
            <w:pPr>
              <w:pStyle w:val="TableText"/>
            </w:pPr>
            <w:r>
              <w:t>10</w:t>
            </w:r>
          </w:p>
        </w:tc>
        <w:tc>
          <w:tcPr>
            <w:tcW w:w="8580" w:type="dxa"/>
          </w:tcPr>
          <w:p w14:paraId="05BD036D" w14:textId="77777777" w:rsidR="002E1F2B" w:rsidRPr="000921F1" w:rsidRDefault="002E1F2B" w:rsidP="002E1F2B">
            <w:pPr>
              <w:pStyle w:val="TableText"/>
            </w:pPr>
            <w:r w:rsidRPr="00DE022E">
              <w:rPr>
                <w:rFonts w:cs="Arial"/>
                <w:vanish/>
              </w:rPr>
              <w:t xml:space="preserve">BR_3.21 </w:t>
            </w:r>
            <w:r w:rsidRPr="00DE022E">
              <w:t>For an Rh negative, unknown, or inconclusive patient: when the selection of Rh positive or Rh pooled units from the WHOLE BLOOD, RED BLOOD CELLS, PLATELETS, and OTHER VBECS compo</w:t>
            </w:r>
            <w:r>
              <w:t>nent classes</w:t>
            </w:r>
            <w:r w:rsidRPr="00DE022E">
              <w:t xml:space="preserve"> are individually entered and confi</w:t>
            </w:r>
            <w:r>
              <w:t>r</w:t>
            </w:r>
            <w:r w:rsidRPr="00DE022E">
              <w:t xml:space="preserve">med </w:t>
            </w:r>
            <w:r>
              <w:t>as required</w:t>
            </w:r>
            <w:r w:rsidRPr="00DE022E">
              <w:t>, VBECS emits an audible alert, warns that the patient is Rh negative and the selected unit is Rh positive, instructs the user to check the patient sex and hospital policy before continuing, and asks whether the user wishes to continue to select the unit.</w:t>
            </w:r>
          </w:p>
          <w:p w14:paraId="3F391E47" w14:textId="77777777" w:rsidR="002E1F2B" w:rsidRPr="000921F1" w:rsidRDefault="002E1F2B" w:rsidP="002E1F2B">
            <w:pPr>
              <w:pStyle w:val="TableText"/>
            </w:pPr>
          </w:p>
          <w:p w14:paraId="0D4B4DAE" w14:textId="77777777" w:rsidR="002E1F2B" w:rsidRPr="000921F1" w:rsidRDefault="002E1F2B" w:rsidP="002E1F2B">
            <w:pPr>
              <w:pStyle w:val="TableText"/>
            </w:pPr>
            <w:r w:rsidRPr="000921F1">
              <w:rPr>
                <w:b/>
              </w:rPr>
              <w:t>No</w:t>
            </w:r>
            <w:r w:rsidRPr="000921F1">
              <w:t xml:space="preserve"> clears the unit data and allows the user to select a different unit. </w:t>
            </w:r>
            <w:r w:rsidRPr="000921F1">
              <w:rPr>
                <w:b/>
              </w:rPr>
              <w:t>Yes</w:t>
            </w:r>
            <w:r w:rsidRPr="000921F1">
              <w:t xml:space="preserve"> requires additional comment </w:t>
            </w:r>
            <w:r w:rsidRPr="003B1AEA">
              <w:t>(unit selection canned comment context)</w:t>
            </w:r>
            <w:r>
              <w:t xml:space="preserve"> </w:t>
            </w:r>
            <w:r w:rsidRPr="000921F1">
              <w:t>and captures details for inclusion in an Exception Report (exception type: Rh positive units selected).</w:t>
            </w:r>
          </w:p>
        </w:tc>
      </w:tr>
      <w:tr w:rsidR="002E1F2B" w:rsidRPr="000921F1" w14:paraId="2F2054D7" w14:textId="77777777">
        <w:tc>
          <w:tcPr>
            <w:tcW w:w="780" w:type="dxa"/>
          </w:tcPr>
          <w:p w14:paraId="37DB2F1B" w14:textId="77777777" w:rsidR="002E1F2B" w:rsidRPr="000921F1" w:rsidRDefault="002E1F2B" w:rsidP="002E1F2B">
            <w:pPr>
              <w:pStyle w:val="TableText"/>
            </w:pPr>
            <w:r>
              <w:t>10</w:t>
            </w:r>
          </w:p>
        </w:tc>
        <w:tc>
          <w:tcPr>
            <w:tcW w:w="8580" w:type="dxa"/>
          </w:tcPr>
          <w:p w14:paraId="6EAAF25A" w14:textId="77777777" w:rsidR="002E1F2B" w:rsidRPr="000921F1" w:rsidRDefault="002E1F2B" w:rsidP="002E1F2B">
            <w:pPr>
              <w:pStyle w:val="TableText"/>
            </w:pPr>
            <w:r w:rsidRPr="000921F1">
              <w:rPr>
                <w:rFonts w:cs="Arial"/>
                <w:vanish/>
              </w:rPr>
              <w:t xml:space="preserve">BR_3.09 </w:t>
            </w:r>
            <w:r w:rsidRPr="000921F1">
              <w:t xml:space="preserve">When </w:t>
            </w:r>
            <w:r>
              <w:t>the</w:t>
            </w:r>
            <w:r w:rsidRPr="000921F1">
              <w:t xml:space="preserve"> user selects </w:t>
            </w:r>
            <w:r>
              <w:t xml:space="preserve">a blood unit to fill a </w:t>
            </w:r>
            <w:r w:rsidRPr="000921F1">
              <w:t>component order</w:t>
            </w:r>
            <w:r>
              <w:t xml:space="preserve"> of RED BLOOD CELLS, “PLATELETS” or “OTHER” and has = &gt; 2 mL RBC contamination, the unit will be evaluated for ABO/Rh red cell compatibility. When the unit is not ABO compatible for the selected patient, VBECS presents a message to the user stating that the unit is and releases the unit from selection (assignment).</w:t>
            </w:r>
          </w:p>
        </w:tc>
      </w:tr>
      <w:tr w:rsidR="002E1F2B" w:rsidRPr="000921F1" w14:paraId="053CD239" w14:textId="77777777">
        <w:tc>
          <w:tcPr>
            <w:tcW w:w="780" w:type="dxa"/>
          </w:tcPr>
          <w:p w14:paraId="0663968C" w14:textId="77777777" w:rsidR="002E1F2B" w:rsidRPr="000921F1" w:rsidRDefault="002E1F2B" w:rsidP="002E1F2B">
            <w:pPr>
              <w:pStyle w:val="TableText"/>
            </w:pPr>
            <w:r>
              <w:t>10</w:t>
            </w:r>
          </w:p>
        </w:tc>
        <w:tc>
          <w:tcPr>
            <w:tcW w:w="8580" w:type="dxa"/>
          </w:tcPr>
          <w:p w14:paraId="3593358D" w14:textId="71425F55" w:rsidR="002E1F2B" w:rsidRPr="000921F1" w:rsidRDefault="002E1F2B" w:rsidP="002E1F2B">
            <w:pPr>
              <w:pStyle w:val="TableText"/>
            </w:pPr>
            <w:r w:rsidRPr="000921F1">
              <w:rPr>
                <w:vanish/>
                <w:szCs w:val="18"/>
              </w:rPr>
              <w:t xml:space="preserve">BR_3.14 </w:t>
            </w:r>
            <w:r w:rsidRPr="000921F1">
              <w:t>When a patient has TRs other than CMV negative</w:t>
            </w:r>
            <w:r>
              <w:t xml:space="preserve"> or Sickle Cell negative</w:t>
            </w:r>
            <w:r w:rsidRPr="000921F1">
              <w:t>, VBECS verifies whether the selected unit satisfies the requirement based on system rules</w:t>
            </w:r>
            <w:r w:rsidRPr="000921F1">
              <w:rPr>
                <w:szCs w:val="18"/>
              </w:rPr>
              <w:t xml:space="preserve"> Blood Unit Substitution and the Fulfillment of Transfusion Requirements</w:t>
            </w:r>
            <w:r w:rsidRPr="000921F1">
              <w:t xml:space="preserve">. When the TR is not satisfied, VBECS emits an audible alert, warns that the unit does not satisfy all of the patient’s TRs, and asks whether the user wishes to continue to select the unit. </w:t>
            </w:r>
          </w:p>
          <w:p w14:paraId="6B7A4101" w14:textId="77777777" w:rsidR="002E1F2B" w:rsidRPr="000921F1" w:rsidRDefault="002E1F2B" w:rsidP="002E1F2B">
            <w:pPr>
              <w:pStyle w:val="TableText"/>
            </w:pPr>
          </w:p>
          <w:p w14:paraId="4C1CBAF3" w14:textId="77777777" w:rsidR="002E1F2B" w:rsidRPr="000921F1" w:rsidRDefault="002E1F2B" w:rsidP="002E1F2B">
            <w:pPr>
              <w:pStyle w:val="TableText"/>
            </w:pPr>
            <w:r w:rsidRPr="000921F1">
              <w:rPr>
                <w:b/>
              </w:rPr>
              <w:t>No</w:t>
            </w:r>
            <w:r w:rsidRPr="000921F1">
              <w:t xml:space="preserve"> clears the screen. </w:t>
            </w:r>
            <w:r w:rsidRPr="000921F1">
              <w:rPr>
                <w:b/>
              </w:rPr>
              <w:t>Yes</w:t>
            </w:r>
            <w:r w:rsidRPr="000921F1">
              <w:t xml:space="preserve"> allows the user to continue without comment. </w:t>
            </w:r>
          </w:p>
        </w:tc>
      </w:tr>
      <w:tr w:rsidR="002E1F2B" w:rsidRPr="000921F1" w14:paraId="558A9FA4" w14:textId="77777777">
        <w:tc>
          <w:tcPr>
            <w:tcW w:w="780" w:type="dxa"/>
          </w:tcPr>
          <w:p w14:paraId="0959954D" w14:textId="77777777" w:rsidR="002E1F2B" w:rsidRPr="000921F1" w:rsidRDefault="002E1F2B" w:rsidP="002E1F2B">
            <w:pPr>
              <w:pStyle w:val="TableText"/>
            </w:pPr>
            <w:r>
              <w:lastRenderedPageBreak/>
              <w:t>10</w:t>
            </w:r>
          </w:p>
        </w:tc>
        <w:tc>
          <w:tcPr>
            <w:tcW w:w="8580" w:type="dxa"/>
          </w:tcPr>
          <w:p w14:paraId="4CC14E1D" w14:textId="77777777" w:rsidR="002E1F2B" w:rsidRPr="000921F1" w:rsidRDefault="002E1F2B" w:rsidP="002E1F2B">
            <w:pPr>
              <w:pStyle w:val="TableText"/>
              <w:rPr>
                <w:szCs w:val="18"/>
              </w:rPr>
            </w:pPr>
            <w:r w:rsidRPr="000921F1">
              <w:rPr>
                <w:rFonts w:cs="Arial"/>
                <w:vanish/>
              </w:rPr>
              <w:t xml:space="preserve">BR_3.32 </w:t>
            </w:r>
            <w:r>
              <w:rPr>
                <w:szCs w:val="18"/>
              </w:rPr>
              <w:t>When a patient has a TR of CMV n</w:t>
            </w:r>
            <w:r w:rsidRPr="000921F1">
              <w:rPr>
                <w:szCs w:val="18"/>
              </w:rPr>
              <w:t>egative</w:t>
            </w:r>
            <w:r>
              <w:rPr>
                <w:szCs w:val="18"/>
              </w:rPr>
              <w:t xml:space="preserve"> or Sickle Cell negative</w:t>
            </w:r>
            <w:r w:rsidRPr="000921F1">
              <w:rPr>
                <w:szCs w:val="18"/>
              </w:rPr>
              <w:t>, VBECS verifies the selected unit for compliance. When the selected unit does not fit the criteria, VBECS emits an audible alert and warns the user:</w:t>
            </w:r>
          </w:p>
          <w:p w14:paraId="2EDE8FA5" w14:textId="77777777" w:rsidR="002E1F2B" w:rsidRPr="000921F1" w:rsidRDefault="002E1F2B" w:rsidP="002E1F2B">
            <w:pPr>
              <w:pStyle w:val="TableTextBullet"/>
            </w:pPr>
            <w:r w:rsidRPr="000921F1">
              <w:rPr>
                <w:rFonts w:ascii="Wingdings 3" w:hAnsi="Wingdings 3" w:cs="Wingdings"/>
              </w:rPr>
              <w:t></w:t>
            </w:r>
            <w:r w:rsidRPr="000921F1">
              <w:rPr>
                <w:rFonts w:ascii="Wingdings 3" w:hAnsi="Wingdings 3" w:cs="Wingdings"/>
              </w:rPr>
              <w:t></w:t>
            </w:r>
            <w:r w:rsidRPr="000921F1">
              <w:t xml:space="preserve"> Enhanced Technologist or below: VBECS warns</w:t>
            </w:r>
            <w:r>
              <w:t xml:space="preserve"> that the patient requires CMV n</w:t>
            </w:r>
            <w:r w:rsidRPr="000921F1">
              <w:t xml:space="preserve">egative </w:t>
            </w:r>
            <w:r>
              <w:t xml:space="preserve">or Sickle Cell negative </w:t>
            </w:r>
            <w:r w:rsidRPr="000921F1">
              <w:t>blood, that the selected unit is not CMV negative</w:t>
            </w:r>
            <w:r>
              <w:t xml:space="preserve"> or Sickle Cell negative</w:t>
            </w:r>
            <w:r w:rsidRPr="000921F1">
              <w:t>, and that the user does not have the proper security level to select the unit. There is no override. VBECS clears the screen, and the user must select another unit.</w:t>
            </w:r>
          </w:p>
          <w:p w14:paraId="2B397001" w14:textId="0169639F" w:rsidR="002E1F2B" w:rsidRPr="000921F1" w:rsidRDefault="002E1F2B" w:rsidP="002E1F2B">
            <w:pPr>
              <w:pStyle w:val="TableTextBullet"/>
            </w:pPr>
            <w:r w:rsidRPr="000921F1">
              <w:rPr>
                <w:rFonts w:ascii="Wingdings 3" w:hAnsi="Wingdings 3" w:cs="Wingdings"/>
              </w:rPr>
              <w:t></w:t>
            </w:r>
            <w:r w:rsidRPr="000921F1">
              <w:rPr>
                <w:rFonts w:ascii="Wingdings 3" w:hAnsi="Wingdings 3" w:cs="Wingdings"/>
              </w:rPr>
              <w:t></w:t>
            </w:r>
            <w:r w:rsidRPr="000921F1">
              <w:rPr>
                <w:rFonts w:ascii="Wingdings 3" w:hAnsi="Wingdings 3" w:cs="Wingdings"/>
              </w:rPr>
              <w:t></w:t>
            </w:r>
            <w:r w:rsidRPr="000921F1">
              <w:t xml:space="preserve"> Lead Technologist or above: VBECS warns that the patient requires CMV negative </w:t>
            </w:r>
            <w:r>
              <w:t xml:space="preserve">or Sickle Cell negative </w:t>
            </w:r>
            <w:r w:rsidRPr="000921F1">
              <w:t>blood, that the selected unit is not CMV negative</w:t>
            </w:r>
            <w:r>
              <w:t xml:space="preserve"> or Sickle Cell negative</w:t>
            </w:r>
            <w:r w:rsidRPr="000921F1">
              <w:t xml:space="preserve">, and asks whether the user wishes to continue to select. </w:t>
            </w:r>
            <w:r w:rsidRPr="000921F1">
              <w:rPr>
                <w:b/>
              </w:rPr>
              <w:t>No</w:t>
            </w:r>
            <w:r w:rsidRPr="000921F1">
              <w:t xml:space="preserve"> clears the screen and the user must select a new blood unit. </w:t>
            </w:r>
            <w:r w:rsidRPr="000921F1">
              <w:rPr>
                <w:b/>
              </w:rPr>
              <w:t>Yes</w:t>
            </w:r>
            <w:r w:rsidRPr="000921F1">
              <w:t xml:space="preserve"> requires a comment </w:t>
            </w:r>
            <w:r w:rsidR="00E340AC">
              <w:t>from the “Unit</w:t>
            </w:r>
            <w:r w:rsidR="00AE0651">
              <w:t xml:space="preserve"> Selection” conte</w:t>
            </w:r>
            <w:r w:rsidR="00DF168D">
              <w:t>x</w:t>
            </w:r>
            <w:r w:rsidR="00AE0651">
              <w:t xml:space="preserve">t </w:t>
            </w:r>
            <w:r w:rsidRPr="000921F1">
              <w:t>and captures details for inclusion in an Exception Report (exception type: Transfusion Requirement incompatible unit selected).</w:t>
            </w:r>
          </w:p>
        </w:tc>
      </w:tr>
      <w:tr w:rsidR="002E1F2B" w:rsidRPr="000921F1" w14:paraId="5F3782D2" w14:textId="77777777">
        <w:tc>
          <w:tcPr>
            <w:tcW w:w="780" w:type="dxa"/>
          </w:tcPr>
          <w:p w14:paraId="421B4925" w14:textId="77777777" w:rsidR="002E1F2B" w:rsidRPr="000921F1" w:rsidRDefault="002E1F2B" w:rsidP="002E1F2B">
            <w:pPr>
              <w:pStyle w:val="TableText"/>
            </w:pPr>
            <w:r>
              <w:t>10</w:t>
            </w:r>
          </w:p>
        </w:tc>
        <w:tc>
          <w:tcPr>
            <w:tcW w:w="8580" w:type="dxa"/>
          </w:tcPr>
          <w:p w14:paraId="2BD1DFDE" w14:textId="77777777" w:rsidR="002E1F2B" w:rsidRPr="000921F1" w:rsidRDefault="002E1F2B" w:rsidP="002E1F2B">
            <w:pPr>
              <w:pStyle w:val="TableText"/>
            </w:pPr>
            <w:r w:rsidRPr="000921F1">
              <w:rPr>
                <w:rFonts w:cs="Arial"/>
                <w:vanish/>
              </w:rPr>
              <w:t xml:space="preserve">BR_3.39 </w:t>
            </w:r>
            <w:r w:rsidRPr="000921F1">
              <w:t>When a user selects a unit with a biohazardous indicator for a patient, VBECS emits an audible alert, warns the user, and asks whether the user still wishes to select the unit.</w:t>
            </w:r>
          </w:p>
          <w:p w14:paraId="2D860FCE" w14:textId="77777777" w:rsidR="002E1F2B" w:rsidRPr="000921F1" w:rsidRDefault="002E1F2B" w:rsidP="002E1F2B">
            <w:pPr>
              <w:pStyle w:val="NotesText"/>
            </w:pPr>
          </w:p>
          <w:p w14:paraId="0B19289B" w14:textId="1D7CCDFD" w:rsidR="002E1F2B" w:rsidRPr="000921F1" w:rsidRDefault="002E1F2B" w:rsidP="002E1F2B">
            <w:pPr>
              <w:pStyle w:val="TableText"/>
            </w:pPr>
            <w:r w:rsidRPr="000921F1">
              <w:rPr>
                <w:b/>
              </w:rPr>
              <w:t>No</w:t>
            </w:r>
            <w:r w:rsidRPr="000921F1">
              <w:t xml:space="preserve"> clears the entry and allows the user to select a new unit. </w:t>
            </w:r>
            <w:r w:rsidRPr="000921F1">
              <w:rPr>
                <w:b/>
              </w:rPr>
              <w:t>Yes</w:t>
            </w:r>
            <w:r w:rsidRPr="000921F1">
              <w:t xml:space="preserve"> requires a comment </w:t>
            </w:r>
            <w:r w:rsidR="00C55B60">
              <w:t>from the “Unit</w:t>
            </w:r>
            <w:r w:rsidR="00BF2658">
              <w:t xml:space="preserve"> Selection” context </w:t>
            </w:r>
            <w:r w:rsidRPr="000921F1">
              <w:t>and captures details for inclusion in an Exception Report (exception type: biohazardous unit selected).</w:t>
            </w:r>
          </w:p>
        </w:tc>
      </w:tr>
      <w:tr w:rsidR="002E1F2B" w:rsidRPr="000921F1" w14:paraId="44D113E2" w14:textId="77777777">
        <w:tc>
          <w:tcPr>
            <w:tcW w:w="780" w:type="dxa"/>
          </w:tcPr>
          <w:p w14:paraId="6FA29B30" w14:textId="77777777" w:rsidR="002E1F2B" w:rsidRPr="000921F1" w:rsidRDefault="002E1F2B" w:rsidP="002E1F2B">
            <w:pPr>
              <w:pStyle w:val="TableText"/>
            </w:pPr>
            <w:r>
              <w:t>10</w:t>
            </w:r>
          </w:p>
        </w:tc>
        <w:tc>
          <w:tcPr>
            <w:tcW w:w="8580" w:type="dxa"/>
          </w:tcPr>
          <w:p w14:paraId="4C2865AA" w14:textId="77777777" w:rsidR="002E1F2B" w:rsidRPr="000921F1" w:rsidRDefault="002E1F2B" w:rsidP="002E1F2B">
            <w:pPr>
              <w:pStyle w:val="TableText"/>
            </w:pPr>
            <w:r w:rsidRPr="000921F1">
              <w:rPr>
                <w:rFonts w:cs="Arial"/>
                <w:vanish/>
              </w:rPr>
              <w:t xml:space="preserve">BR_3.12 </w:t>
            </w:r>
            <w:r w:rsidRPr="000921F1">
              <w:rPr>
                <w:szCs w:val="22"/>
              </w:rPr>
              <w:t></w:t>
            </w:r>
            <w:r w:rsidRPr="000921F1">
              <w:t>When the user selects blood components from the frozen product types for a patient, VBECS emits an audible alert and warns that the selected blood unit must be thawed and may require additional processing prior to issue</w:t>
            </w:r>
            <w:r>
              <w:t>.</w:t>
            </w:r>
            <w:r w:rsidRPr="000921F1">
              <w:t xml:space="preserve"> VBECS updates the blood unit status to “assigned” and the unit is no longer available for issue.</w:t>
            </w:r>
          </w:p>
        </w:tc>
      </w:tr>
      <w:tr w:rsidR="002E1F2B" w:rsidRPr="000921F1" w14:paraId="10C4C3F5" w14:textId="77777777">
        <w:tc>
          <w:tcPr>
            <w:tcW w:w="780" w:type="dxa"/>
          </w:tcPr>
          <w:p w14:paraId="23F498E0" w14:textId="77777777" w:rsidR="002E1F2B" w:rsidRPr="000921F1" w:rsidRDefault="002E1F2B" w:rsidP="002E1F2B">
            <w:pPr>
              <w:pStyle w:val="TableText"/>
            </w:pPr>
            <w:r>
              <w:t>10</w:t>
            </w:r>
          </w:p>
        </w:tc>
        <w:tc>
          <w:tcPr>
            <w:tcW w:w="8580" w:type="dxa"/>
          </w:tcPr>
          <w:p w14:paraId="79997FB2" w14:textId="615177A4" w:rsidR="002E1F2B" w:rsidRPr="000921F1" w:rsidRDefault="002E1F2B" w:rsidP="002E1F2B">
            <w:pPr>
              <w:pStyle w:val="TableText"/>
            </w:pPr>
            <w:r w:rsidRPr="00B01176">
              <w:rPr>
                <w:vanish/>
              </w:rPr>
              <w:t xml:space="preserve">BR_3.35 </w:t>
            </w:r>
            <w:r w:rsidRPr="000921F1">
              <w:t xml:space="preserve">When a user selects a unit requiring XM, eXM is enabled, and the patient is eligible, the selected unit ABO/Rh must be compatible with the patient ABO/Rh. VBECS displays a message based on </w:t>
            </w:r>
            <w:r w:rsidR="00EE455E">
              <w:t xml:space="preserve">Appendix </w:t>
            </w:r>
            <w:r w:rsidR="00EE455E">
              <w:rPr>
                <w:noProof/>
              </w:rPr>
              <w:t>B</w:t>
            </w:r>
            <w:r w:rsidRPr="000921F1">
              <w:t>:</w:t>
            </w:r>
            <w:r>
              <w:t xml:space="preserve"> </w:t>
            </w:r>
            <w:r w:rsidR="00EE455E">
              <w:t xml:space="preserve">Table </w:t>
            </w:r>
            <w:r w:rsidR="00EE455E">
              <w:rPr>
                <w:noProof/>
              </w:rPr>
              <w:t>22</w:t>
            </w:r>
            <w:r w:rsidR="00EE455E">
              <w:t xml:space="preserve">: </w:t>
            </w:r>
            <w:r w:rsidR="00EE455E">
              <w:rPr>
                <w:vanish/>
              </w:rPr>
              <w:t xml:space="preserve">TT_3.05 </w:t>
            </w:r>
            <w:r w:rsidR="00EE455E">
              <w:t>Rules for Electronic and Serologic Crossmatch</w:t>
            </w:r>
            <w:r w:rsidRPr="000921F1">
              <w:t>. If the user continues to select that unit in which VBECS requires a serologic XM, VBECS does not allow the Caution Tag or BTRF to be printed, and does not update the unit status to “crossmatched”’ under normal system rules and policies. When the selected unit is available for emergency issue to the patient, VBECS allows the Caution Tag and BTRF to be printed.</w:t>
            </w:r>
          </w:p>
        </w:tc>
      </w:tr>
      <w:tr w:rsidR="002E1F2B" w:rsidRPr="000921F1" w14:paraId="547E55D8" w14:textId="77777777">
        <w:tc>
          <w:tcPr>
            <w:tcW w:w="780" w:type="dxa"/>
          </w:tcPr>
          <w:p w14:paraId="679E3DE2" w14:textId="77777777" w:rsidR="002E1F2B" w:rsidRPr="000921F1" w:rsidRDefault="002E1F2B" w:rsidP="002E1F2B">
            <w:pPr>
              <w:pStyle w:val="TableText"/>
            </w:pPr>
            <w:r>
              <w:t>12</w:t>
            </w:r>
          </w:p>
        </w:tc>
        <w:tc>
          <w:tcPr>
            <w:tcW w:w="8580" w:type="dxa"/>
          </w:tcPr>
          <w:p w14:paraId="3CB8E390" w14:textId="77777777" w:rsidR="002E1F2B" w:rsidRPr="000921F1" w:rsidRDefault="002E1F2B" w:rsidP="002E1F2B">
            <w:pPr>
              <w:pStyle w:val="TableText"/>
            </w:pPr>
            <w:r w:rsidRPr="000921F1">
              <w:rPr>
                <w:rFonts w:cs="Arial"/>
                <w:vanish/>
              </w:rPr>
              <w:t xml:space="preserve">BR_3.29 </w:t>
            </w:r>
            <w:r w:rsidRPr="000921F1">
              <w:t>When eXM is enabled and the patient and selected units are eligible, VBECS notifies the user and asks whether he wishes to continue with eXM.</w:t>
            </w:r>
          </w:p>
          <w:p w14:paraId="1BFEEAB3" w14:textId="77777777" w:rsidR="002E1F2B" w:rsidRPr="000921F1" w:rsidRDefault="002E1F2B" w:rsidP="002E1F2B">
            <w:pPr>
              <w:pStyle w:val="TableText"/>
            </w:pPr>
          </w:p>
          <w:p w14:paraId="1D7E9146" w14:textId="77777777" w:rsidR="002E1F2B" w:rsidRPr="000921F1" w:rsidRDefault="002E1F2B" w:rsidP="002E1F2B">
            <w:pPr>
              <w:pStyle w:val="TableText"/>
            </w:pPr>
            <w:r w:rsidRPr="000921F1">
              <w:rPr>
                <w:b/>
              </w:rPr>
              <w:t>Yes</w:t>
            </w:r>
            <w:r w:rsidRPr="000921F1">
              <w:t xml:space="preserve"> assigns a XM result of “Compatible: Electronically Crossmatched.” VBECS updates the database with the XM result, date and time of XM, XM technologist, division, specimen UID, specimen phlebotomist, and specimen expiration date and time. VBECS allows a Caution Tag and BTRF to be printed and the unit is ready for issue and transfusion. VBECS changes the unit status to “crossmatched.”</w:t>
            </w:r>
          </w:p>
          <w:p w14:paraId="1B97DF68" w14:textId="77777777" w:rsidR="002E1F2B" w:rsidRPr="000921F1" w:rsidRDefault="002E1F2B" w:rsidP="002E1F2B">
            <w:pPr>
              <w:pStyle w:val="TableText"/>
            </w:pPr>
          </w:p>
          <w:p w14:paraId="2C625C5E" w14:textId="77777777" w:rsidR="002E1F2B" w:rsidRPr="000921F1" w:rsidRDefault="002E1F2B" w:rsidP="002E1F2B">
            <w:pPr>
              <w:pStyle w:val="TableText"/>
            </w:pPr>
            <w:r w:rsidRPr="000921F1">
              <w:rPr>
                <w:b/>
              </w:rPr>
              <w:t>No</w:t>
            </w:r>
            <w:r w:rsidRPr="000921F1">
              <w:t xml:space="preserve"> keeps the unit assigned to the patient and available for data entry of serologic XM. VBECS does not allow the Caution Tag or BTRF to be printed and does not change the unit status to “crossmatched.” When a division is “transfusion only,” the unit remains assigned to the patient and is available for the user to enter the serologic XM interpretation, VBECS does not allow the Caution Tag or BTRF to be printed, and the unit is not crossmatched.</w:t>
            </w:r>
          </w:p>
        </w:tc>
      </w:tr>
      <w:tr w:rsidR="002E1F2B" w:rsidRPr="000921F1" w14:paraId="74197BE5" w14:textId="77777777">
        <w:tc>
          <w:tcPr>
            <w:tcW w:w="780" w:type="dxa"/>
          </w:tcPr>
          <w:p w14:paraId="0DB01531" w14:textId="77777777" w:rsidR="002E1F2B" w:rsidRPr="000921F1" w:rsidRDefault="002E1F2B" w:rsidP="002E1F2B">
            <w:pPr>
              <w:pStyle w:val="TableText"/>
            </w:pPr>
            <w:r>
              <w:t>12</w:t>
            </w:r>
          </w:p>
        </w:tc>
        <w:tc>
          <w:tcPr>
            <w:tcW w:w="8580" w:type="dxa"/>
          </w:tcPr>
          <w:p w14:paraId="3729A47C" w14:textId="77777777" w:rsidR="002E1F2B" w:rsidRPr="000921F1" w:rsidRDefault="002E1F2B" w:rsidP="002E1F2B">
            <w:pPr>
              <w:pStyle w:val="TableText"/>
            </w:pPr>
            <w:r w:rsidRPr="000921F1">
              <w:rPr>
                <w:rFonts w:cs="Arial"/>
                <w:vanish/>
              </w:rPr>
              <w:t xml:space="preserve">BR_3.37 </w:t>
            </w:r>
            <w:r w:rsidRPr="000921F1">
              <w:t>When the user selects a unit requiring XM, the division is defined as “full service,” eXM is enabled, and the patient is not eligible for eXM, VBECS warns the user that the selected units require serologic XM and asks whether he wishes to continue.</w:t>
            </w:r>
          </w:p>
          <w:p w14:paraId="5397FEEA" w14:textId="77777777" w:rsidR="002E1F2B" w:rsidRPr="000921F1" w:rsidRDefault="002E1F2B" w:rsidP="002E1F2B">
            <w:pPr>
              <w:pStyle w:val="TableText"/>
            </w:pPr>
          </w:p>
          <w:p w14:paraId="091B36FF" w14:textId="77777777" w:rsidR="002E1F2B" w:rsidRPr="000921F1" w:rsidRDefault="002E1F2B" w:rsidP="002E1F2B">
            <w:pPr>
              <w:pStyle w:val="TableText"/>
            </w:pPr>
            <w:r w:rsidRPr="000921F1">
              <w:rPr>
                <w:b/>
              </w:rPr>
              <w:t>Yes</w:t>
            </w:r>
            <w:r w:rsidRPr="000921F1">
              <w:t xml:space="preserve"> adds the units to the XM data entry grid and transfers the user to Patient Testing: Record Patient Test Results to begin the XM process. </w:t>
            </w:r>
            <w:r w:rsidRPr="000921F1">
              <w:rPr>
                <w:b/>
              </w:rPr>
              <w:t>No</w:t>
            </w:r>
            <w:r w:rsidRPr="000921F1">
              <w:t xml:space="preserve"> records that a serologic XM test is needed. The user may not print a Caution Tag or Blood Transfusion Record Form; the unit status does not change to “crossmatched.”</w:t>
            </w:r>
          </w:p>
        </w:tc>
      </w:tr>
    </w:tbl>
    <w:p w14:paraId="10B3074A" w14:textId="77777777" w:rsidR="002118B0" w:rsidRDefault="002118B0" w:rsidP="00DD75E5">
      <w:pPr>
        <w:pStyle w:val="BodyText"/>
      </w:pPr>
    </w:p>
    <w:p w14:paraId="3F2B688A" w14:textId="77777777" w:rsidR="002A21AE" w:rsidRDefault="002A21AE" w:rsidP="00533A82">
      <w:pPr>
        <w:pStyle w:val="Heading2"/>
      </w:pPr>
      <w:r>
        <w:br w:type="page"/>
      </w:r>
      <w:bookmarkStart w:id="412" w:name="_Issue_Blood_Components"/>
      <w:bookmarkStart w:id="413" w:name="_Toc203765899"/>
      <w:bookmarkStart w:id="414" w:name="_Toc94349371"/>
      <w:bookmarkEnd w:id="412"/>
      <w:r>
        <w:lastRenderedPageBreak/>
        <w:t>Issue Blood Components</w:t>
      </w:r>
      <w:bookmarkEnd w:id="413"/>
      <w:r w:rsidRPr="007716F7">
        <w:fldChar w:fldCharType="begin"/>
      </w:r>
      <w:r w:rsidRPr="007716F7">
        <w:instrText xml:space="preserve"> XE </w:instrText>
      </w:r>
      <w:r w:rsidR="00FA7E65" w:rsidRPr="007716F7">
        <w:instrText>“</w:instrText>
      </w:r>
      <w:r w:rsidRPr="007716F7">
        <w:instrText>Issue Blood Components</w:instrText>
      </w:r>
      <w:r w:rsidR="00FA7E65" w:rsidRPr="007716F7">
        <w:instrText>”</w:instrText>
      </w:r>
      <w:r w:rsidRPr="007716F7">
        <w:instrText xml:space="preserve"> </w:instrText>
      </w:r>
      <w:r w:rsidRPr="007716F7">
        <w:fldChar w:fldCharType="end"/>
      </w:r>
      <w:r w:rsidRPr="007716F7">
        <w:t xml:space="preserve"> </w:t>
      </w:r>
      <w:r w:rsidRPr="00557A54">
        <w:rPr>
          <w:rFonts w:ascii="Arial Bold" w:hAnsi="Arial Bold"/>
          <w:vanish/>
        </w:rPr>
        <w:t>UC_73</w:t>
      </w:r>
      <w:bookmarkEnd w:id="414"/>
      <w:r>
        <w:t xml:space="preserve"> </w:t>
      </w:r>
    </w:p>
    <w:p w14:paraId="7F565AFC" w14:textId="77777777" w:rsidR="002A21AE" w:rsidRDefault="002A21AE" w:rsidP="00FA7E65">
      <w:pPr>
        <w:pStyle w:val="BodyText"/>
      </w:pPr>
      <w:bookmarkStart w:id="415" w:name="_Toc34537111"/>
      <w:bookmarkStart w:id="416" w:name="_Toc34635892"/>
      <w:bookmarkStart w:id="417" w:name="_Toc34720938"/>
      <w:bookmarkStart w:id="418" w:name="_Toc35743728"/>
      <w:bookmarkStart w:id="419" w:name="_Toc42940987"/>
      <w:bookmarkStart w:id="420" w:name="_Toc43285430"/>
      <w:bookmarkStart w:id="421" w:name="_Toc72829288"/>
      <w:r>
        <w:t>The user issues one or more patient-assigned blood units to a transporter for storage in a remote location or for possible transfusion</w:t>
      </w:r>
      <w:bookmarkStart w:id="422" w:name="warn"/>
      <w:bookmarkEnd w:id="422"/>
      <w:r w:rsidR="00BC58E2">
        <w:t>.</w:t>
      </w:r>
    </w:p>
    <w:p w14:paraId="2EED621F" w14:textId="77777777" w:rsidR="002A21AE" w:rsidRDefault="002A21AE">
      <w:pPr>
        <w:pStyle w:val="Heading4"/>
      </w:pPr>
      <w:bookmarkStart w:id="423" w:name="_Toc94349372"/>
      <w:r>
        <w:t>Assumptions</w:t>
      </w:r>
      <w:bookmarkEnd w:id="423"/>
    </w:p>
    <w:p w14:paraId="63D9FA61" w14:textId="77777777" w:rsidR="00DC673E" w:rsidRDefault="00DC673E">
      <w:pPr>
        <w:pStyle w:val="ListBullet"/>
      </w:pPr>
      <w:r>
        <w:t>The facility has a procedure for the emergency issue of blood products.</w:t>
      </w:r>
    </w:p>
    <w:p w14:paraId="3C674124" w14:textId="77777777" w:rsidR="002A21AE" w:rsidRDefault="002A21AE">
      <w:pPr>
        <w:pStyle w:val="ListBullet"/>
      </w:pPr>
      <w:r>
        <w:t>The unit and the user are in the same division.</w:t>
      </w:r>
    </w:p>
    <w:p w14:paraId="603ADD1D" w14:textId="77777777" w:rsidR="002A21AE" w:rsidRDefault="002A21AE">
      <w:pPr>
        <w:pStyle w:val="ListBullet"/>
      </w:pPr>
      <w:r>
        <w:t>The unit is assigned and/or crossmatched for the patient currently selected for issue.</w:t>
      </w:r>
    </w:p>
    <w:p w14:paraId="4D4195F9" w14:textId="77777777" w:rsidR="002A21AE" w:rsidRDefault="00CA0045">
      <w:pPr>
        <w:pStyle w:val="ListBullet"/>
      </w:pPr>
      <w:r w:rsidRPr="00CA0045">
        <w:rPr>
          <w:bCs/>
        </w:rPr>
        <w:t>VistA</w:t>
      </w:r>
      <w:r w:rsidR="002A21AE">
        <w:t xml:space="preserve"> is available for the user to choose a physician and valid hospital locations.</w:t>
      </w:r>
    </w:p>
    <w:p w14:paraId="682355A2" w14:textId="77777777" w:rsidR="000C22E7" w:rsidRDefault="000C22E7">
      <w:pPr>
        <w:pStyle w:val="ListBullet"/>
      </w:pPr>
      <w:r>
        <w:t>All issue-to locations must be valid entries in the VistA HOSPITAL LOCATION (</w:t>
      </w:r>
      <w:r w:rsidR="00FA65C4">
        <w:t>#44)</w:t>
      </w:r>
      <w:r>
        <w:t>.</w:t>
      </w:r>
    </w:p>
    <w:p w14:paraId="2E992270" w14:textId="77777777" w:rsidR="002A21AE" w:rsidRDefault="002A21AE">
      <w:pPr>
        <w:pStyle w:val="Heading4"/>
      </w:pPr>
      <w:bookmarkStart w:id="424" w:name="_Toc94349373"/>
      <w:r>
        <w:t>Outcome</w:t>
      </w:r>
      <w:bookmarkEnd w:id="424"/>
    </w:p>
    <w:p w14:paraId="43CADC75" w14:textId="77777777" w:rsidR="002A21AE" w:rsidRDefault="002A21AE">
      <w:pPr>
        <w:pStyle w:val="ListBullet"/>
      </w:pPr>
      <w:r>
        <w:t>The unit status was updated to “issued.”</w:t>
      </w:r>
    </w:p>
    <w:p w14:paraId="58785011" w14:textId="77777777" w:rsidR="002A21AE" w:rsidRDefault="002A21AE">
      <w:pPr>
        <w:pStyle w:val="ListBullet"/>
      </w:pPr>
      <w:r>
        <w:t>The unit’s current location was updated to the “issue-to” location.</w:t>
      </w:r>
    </w:p>
    <w:p w14:paraId="28ABE444" w14:textId="77777777" w:rsidR="00561829" w:rsidRDefault="00561829" w:rsidP="00561829">
      <w:pPr>
        <w:pStyle w:val="ListBullet"/>
      </w:pPr>
      <w:bookmarkStart w:id="425" w:name="_Toc94349374"/>
      <w:r>
        <w:t>If workload codes are assigned for this process, workload-related data collected as the result of this process are stored for inclusion in Workload Reports.</w:t>
      </w:r>
    </w:p>
    <w:p w14:paraId="1AA474AB" w14:textId="77777777" w:rsidR="002A21AE" w:rsidRDefault="002A21AE">
      <w:pPr>
        <w:pStyle w:val="Heading4"/>
      </w:pPr>
      <w:r>
        <w:t>Limitations and Restrictions</w:t>
      </w:r>
      <w:bookmarkEnd w:id="425"/>
    </w:p>
    <w:p w14:paraId="321C8B74" w14:textId="77777777" w:rsidR="00F26B72" w:rsidRDefault="00F26B72">
      <w:pPr>
        <w:pStyle w:val="ListBullet"/>
      </w:pPr>
      <w:r>
        <w:t xml:space="preserve">VBECS does not check </w:t>
      </w:r>
      <w:r w:rsidRPr="00F26B72">
        <w:t xml:space="preserve">for </w:t>
      </w:r>
      <w:r w:rsidR="00654CF2">
        <w:t>restricted</w:t>
      </w:r>
      <w:r w:rsidRPr="00F26B72">
        <w:t xml:space="preserve"> units </w:t>
      </w:r>
      <w:r w:rsidR="006E2907">
        <w:t>(</w:t>
      </w:r>
      <w:r>
        <w:t>not</w:t>
      </w:r>
      <w:r w:rsidRPr="00F26B72">
        <w:t xml:space="preserve"> assigned to the patient</w:t>
      </w:r>
      <w:r w:rsidR="006E2907">
        <w:t>)</w:t>
      </w:r>
      <w:r w:rsidRPr="00F26B72">
        <w:t xml:space="preserve"> received </w:t>
      </w:r>
      <w:r>
        <w:t>between selection and issue.</w:t>
      </w:r>
    </w:p>
    <w:p w14:paraId="0C1EB7FC" w14:textId="4E0F34A9" w:rsidR="00414644" w:rsidRDefault="002A21AE">
      <w:pPr>
        <w:pStyle w:val="ListBullet"/>
      </w:pPr>
      <w:r>
        <w:t xml:space="preserve">All issue-to locations must be valid entries in the </w:t>
      </w:r>
      <w:r w:rsidR="00CA0045" w:rsidRPr="00CA0045">
        <w:rPr>
          <w:bCs/>
        </w:rPr>
        <w:t>VistA</w:t>
      </w:r>
      <w:r>
        <w:t xml:space="preserve"> </w:t>
      </w:r>
      <w:r w:rsidR="00C925FB">
        <w:t>HOSPITAL LOCATION (#44)</w:t>
      </w:r>
      <w:r w:rsidR="008F2DE4">
        <w:t>.</w:t>
      </w:r>
    </w:p>
    <w:p w14:paraId="11850608" w14:textId="77777777" w:rsidR="002A21AE" w:rsidRDefault="009C7B46" w:rsidP="00215DFC">
      <w:pPr>
        <w:pStyle w:val="ListBullet"/>
      </w:pPr>
      <w:r>
        <w:t xml:space="preserve">If VistA link is not available, </w:t>
      </w:r>
      <w:r w:rsidR="00414644">
        <w:t>the user may proceed with the issue process but the current issue-to hospital location is not recorded.</w:t>
      </w:r>
      <w:r w:rsidR="00215DFC">
        <w:t xml:space="preserve"> All of the associated report records display “VistALink Down” in the Issue To location field.</w:t>
      </w:r>
      <w:r>
        <w:t xml:space="preserve"> </w:t>
      </w:r>
      <w:r w:rsidRPr="00215DFC">
        <w:rPr>
          <w:vanish/>
        </w:rPr>
        <w:t>DR 5073</w:t>
      </w:r>
    </w:p>
    <w:p w14:paraId="37451F53" w14:textId="77777777" w:rsidR="00A25BC9" w:rsidRDefault="00A25BC9" w:rsidP="00A25BC9">
      <w:pPr>
        <w:pStyle w:val="ListBullet"/>
      </w:pPr>
      <w:r>
        <w:t>ISBT 128 tables include blood product codes labeled as not for manufacturing or transfusion. VBECS does not restrict such products from being entered, issued, or transferred (l</w:t>
      </w:r>
      <w:r w:rsidR="00011036">
        <w:t>ocal policy controls their use)</w:t>
      </w:r>
      <w:r>
        <w:t xml:space="preserve"> </w:t>
      </w:r>
      <w:r w:rsidR="00011036">
        <w:t>and</w:t>
      </w:r>
      <w:r>
        <w:t xml:space="preserve"> does not accommodate blood modification for these products.</w:t>
      </w:r>
    </w:p>
    <w:p w14:paraId="71CF7264" w14:textId="77777777" w:rsidR="007E1B6B" w:rsidRDefault="007E1B6B" w:rsidP="00A25BC9">
      <w:pPr>
        <w:pStyle w:val="ListBullet"/>
      </w:pPr>
      <w:r>
        <w:t>W</w:t>
      </w:r>
      <w:r w:rsidRPr="007E1B6B">
        <w:t xml:space="preserve">hen a site has configured </w:t>
      </w:r>
      <w:r w:rsidR="009174D5" w:rsidRPr="007E1B6B">
        <w:t>subservient</w:t>
      </w:r>
      <w:r w:rsidRPr="007E1B6B">
        <w:t xml:space="preserve"> VistA ins</w:t>
      </w:r>
      <w:r>
        <w:t xml:space="preserve">titutions to the VBECS division, users </w:t>
      </w:r>
      <w:r w:rsidRPr="007E1B6B">
        <w:t xml:space="preserve">can only issue </w:t>
      </w:r>
      <w:r>
        <w:t xml:space="preserve">units </w:t>
      </w:r>
      <w:r w:rsidRPr="007E1B6B">
        <w:t xml:space="preserve">to locations in the primary VistA. Sites may add locations to VistA to account for the relocations to the </w:t>
      </w:r>
      <w:r w:rsidR="009174D5" w:rsidRPr="007E1B6B">
        <w:t>subservient</w:t>
      </w:r>
      <w:r w:rsidRPr="007E1B6B">
        <w:t xml:space="preserve"> VistA institutions.</w:t>
      </w:r>
      <w:r w:rsidRPr="007E1B6B">
        <w:rPr>
          <w:vanish/>
        </w:rPr>
        <w:t>DR 2,880</w:t>
      </w:r>
    </w:p>
    <w:p w14:paraId="3E644BDB" w14:textId="77777777" w:rsidR="0064308B" w:rsidRDefault="0064308B" w:rsidP="00A25BC9">
      <w:pPr>
        <w:pStyle w:val="ListBullet"/>
      </w:pPr>
      <w:r w:rsidRPr="00C01E45">
        <w:t>BCE information applies ONLY when a BCE COTS product is available for communication and is configured.</w:t>
      </w:r>
    </w:p>
    <w:p w14:paraId="28BEEF32" w14:textId="0684490A" w:rsidR="00B65627" w:rsidRDefault="00B65627" w:rsidP="00B65627">
      <w:pPr>
        <w:pStyle w:val="ListBullet"/>
      </w:pPr>
      <w:bookmarkStart w:id="426" w:name="_Toc94349375"/>
      <w:r w:rsidRPr="00633316">
        <w:t>Changing a patient's</w:t>
      </w:r>
      <w:r w:rsidR="00432F57">
        <w:t xml:space="preserve"> transfusion requirements</w:t>
      </w:r>
      <w:r w:rsidRPr="00633316">
        <w:t xml:space="preserve"> </w:t>
      </w:r>
      <w:r w:rsidR="00432F57">
        <w:t xml:space="preserve">(component requirements, </w:t>
      </w:r>
      <w:r w:rsidRPr="00633316">
        <w:t>antigen negative requirement or antibody identified</w:t>
      </w:r>
      <w:r w:rsidR="00432F57">
        <w:t>)</w:t>
      </w:r>
      <w:r w:rsidRPr="00633316">
        <w:t xml:space="preserve"> after a unit is crossmatched does not provide an alert at Issue Unit regarding the type of crossmatch </w:t>
      </w:r>
      <w:r>
        <w:t xml:space="preserve">(electronic or serologic) </w:t>
      </w:r>
      <w:r w:rsidRPr="00633316">
        <w:t xml:space="preserve">performed on </w:t>
      </w:r>
      <w:r>
        <w:t xml:space="preserve">a </w:t>
      </w:r>
      <w:r w:rsidRPr="00633316">
        <w:t>unit</w:t>
      </w:r>
      <w:r>
        <w:t xml:space="preserve"> available for issue</w:t>
      </w:r>
      <w:r w:rsidRPr="00633316">
        <w:t>.</w:t>
      </w:r>
    </w:p>
    <w:p w14:paraId="1BF2B544" w14:textId="2731189C" w:rsidR="002F25DF" w:rsidRDefault="002F25DF" w:rsidP="00B65627">
      <w:pPr>
        <w:pStyle w:val="ListBullet"/>
      </w:pPr>
      <w:r>
        <w:t>VBECS asks for a comment when issuing a unit that is assigned to two different patients. Enter a comment to issue the unit or release one of the patient assignments before issuing. The comment will appear on the Unit History Report in the Issue section.</w:t>
      </w:r>
      <w:r w:rsidR="00512B62">
        <w:t xml:space="preserve"> </w:t>
      </w:r>
      <w:r w:rsidR="00512B62" w:rsidRPr="004F5DF6">
        <w:rPr>
          <w:vanish/>
        </w:rPr>
        <w:t xml:space="preserve">Defect </w:t>
      </w:r>
      <w:r w:rsidR="004F5DF6" w:rsidRPr="004F5DF6">
        <w:rPr>
          <w:vanish/>
        </w:rPr>
        <w:t>208730</w:t>
      </w:r>
    </w:p>
    <w:p w14:paraId="66F2CDAD" w14:textId="41801BE0" w:rsidR="00FC5C81" w:rsidRPr="00A940F7" w:rsidRDefault="00425F42" w:rsidP="00B65627">
      <w:pPr>
        <w:pStyle w:val="ListBullet"/>
        <w:rPr>
          <w:vanish/>
        </w:rPr>
      </w:pPr>
      <w:r>
        <w:t>Users should issue units in a timely manner to avoid the units being released from patient assignment by another user prior to the issue unit process completion.</w:t>
      </w:r>
      <w:r w:rsidR="00A177DD">
        <w:t xml:space="preserve"> </w:t>
      </w:r>
      <w:r w:rsidR="00A177DD" w:rsidRPr="00A940F7">
        <w:rPr>
          <w:vanish/>
        </w:rPr>
        <w:t>Defect 127720</w:t>
      </w:r>
    </w:p>
    <w:p w14:paraId="2189DF08" w14:textId="1E3B7FAD" w:rsidR="00425F42" w:rsidRDefault="00FC5C81" w:rsidP="008E2E4C">
      <w:pPr>
        <w:pStyle w:val="ListBullet"/>
      </w:pPr>
      <w:r>
        <w:t xml:space="preserve">When no VistA order is available, the user must process the request manually until </w:t>
      </w:r>
      <w:r w:rsidRPr="00CA0045">
        <w:rPr>
          <w:bCs/>
        </w:rPr>
        <w:t>VistA</w:t>
      </w:r>
      <w:r>
        <w:t xml:space="preserve"> provides them to VBECS. The user must print blank Caution Tags and Blood Transfusion Record Forms (BTRFs) to accommodate this rare occurrence. When </w:t>
      </w:r>
      <w:r w:rsidRPr="00CA0045">
        <w:rPr>
          <w:bCs/>
        </w:rPr>
        <w:t>VistA</w:t>
      </w:r>
      <w:r>
        <w:t xml:space="preserve"> does not provide a pseudonym or associated pseudo-ID for the patient that allows placement of a VistA order, VBECS cannot create a patient order for emergency issue of blood.</w:t>
      </w:r>
    </w:p>
    <w:p w14:paraId="3FEB1473" w14:textId="77777777" w:rsidR="002A21AE" w:rsidRDefault="002A21AE">
      <w:pPr>
        <w:pStyle w:val="Heading4"/>
      </w:pPr>
      <w:r>
        <w:lastRenderedPageBreak/>
        <w:t>Additional Information</w:t>
      </w:r>
      <w:bookmarkEnd w:id="426"/>
    </w:p>
    <w:p w14:paraId="162D8C92" w14:textId="77777777" w:rsidR="002A21AE" w:rsidRDefault="002A21AE">
      <w:pPr>
        <w:pStyle w:val="ListBullet"/>
      </w:pPr>
      <w:r>
        <w:t xml:space="preserve">“Issue with Medical Director Approval” components must be approved prior to this option and do not require special handling by VBECS. </w:t>
      </w:r>
    </w:p>
    <w:p w14:paraId="6C768D96" w14:textId="77777777" w:rsidR="002A21AE" w:rsidRDefault="002A21AE">
      <w:pPr>
        <w:pStyle w:val="ListBullet"/>
      </w:pPr>
      <w:r>
        <w:t>Emergency issue processing accommodates the issue of blood to patients without completed specimen testing, as required.</w:t>
      </w:r>
    </w:p>
    <w:p w14:paraId="1B229773" w14:textId="77777777" w:rsidR="009605EB" w:rsidRDefault="009605EB">
      <w:pPr>
        <w:pStyle w:val="ListBullet"/>
      </w:pPr>
      <w:r>
        <w:t xml:space="preserve">Sites may enter the lot number of blood administration sets </w:t>
      </w:r>
      <w:r w:rsidR="00A07263">
        <w:t xml:space="preserve">and leukoreducing filters </w:t>
      </w:r>
      <w:r>
        <w:t>when they enter the name of the individual picking up the blood product. VBECS retains this information in the unit history record.</w:t>
      </w:r>
    </w:p>
    <w:p w14:paraId="1918D63F" w14:textId="77777777" w:rsidR="00D059AF" w:rsidRDefault="00D059AF">
      <w:pPr>
        <w:pStyle w:val="ListBullet"/>
      </w:pPr>
      <w:r>
        <w:t>User must date all signature lines on the BTRF dating of the signatures [i.e., Inspected and issued by, Issued to, First Identifier, Second Identifier, Transfusion Data section completed by, Transfusion Reaction Data section completed by (as needed)].</w:t>
      </w:r>
    </w:p>
    <w:p w14:paraId="68DFDC97" w14:textId="77777777" w:rsidR="002A21AE" w:rsidRDefault="002A21AE">
      <w:pPr>
        <w:pStyle w:val="Heading4"/>
      </w:pPr>
      <w:bookmarkStart w:id="427" w:name="_Toc94349376"/>
      <w:r>
        <w:t>User Roles with Access to This Option</w:t>
      </w:r>
      <w:bookmarkEnd w:id="427"/>
    </w:p>
    <w:p w14:paraId="6F1E856A" w14:textId="77777777" w:rsidR="005C42D0" w:rsidRDefault="005C42D0" w:rsidP="005C42D0">
      <w:pPr>
        <w:pStyle w:val="Roles"/>
        <w:rPr>
          <w:snapToGrid w:val="0"/>
        </w:rPr>
      </w:pPr>
      <w:r>
        <w:t>All users</w:t>
      </w:r>
      <w:r>
        <w:rPr>
          <w:rFonts w:cs="Arial"/>
          <w:szCs w:val="18"/>
        </w:rPr>
        <w:t xml:space="preserve"> </w:t>
      </w:r>
    </w:p>
    <w:p w14:paraId="00F11751" w14:textId="77777777" w:rsidR="001F1013" w:rsidRDefault="001F1013" w:rsidP="001F1013">
      <w:pPr>
        <w:pStyle w:val="Caution"/>
      </w:pPr>
      <w:bookmarkStart w:id="428" w:name="_Toc94349377"/>
      <w:bookmarkEnd w:id="415"/>
      <w:bookmarkEnd w:id="416"/>
      <w:bookmarkEnd w:id="417"/>
      <w:bookmarkEnd w:id="418"/>
      <w:bookmarkEnd w:id="419"/>
      <w:bookmarkEnd w:id="420"/>
      <w:bookmarkEnd w:id="421"/>
      <w:r>
        <w:t>To correct issue time and other errors, return the unit from issue and reissue it with the correct information.</w:t>
      </w:r>
    </w:p>
    <w:p w14:paraId="3C182FCE" w14:textId="77777777" w:rsidR="002A21AE" w:rsidRDefault="002A21AE">
      <w:pPr>
        <w:pStyle w:val="Heading4"/>
      </w:pPr>
      <w:r>
        <w:t>Issue Blood Components (Routine)</w:t>
      </w:r>
      <w:bookmarkEnd w:id="428"/>
      <w:r>
        <w:fldChar w:fldCharType="begin"/>
      </w:r>
      <w:r>
        <w:instrText xml:space="preserve"> XE </w:instrText>
      </w:r>
      <w:r w:rsidR="00FA7E65">
        <w:instrText>“</w:instrText>
      </w:r>
      <w:r>
        <w:instrText>Issue Blood Components (Routine)</w:instrText>
      </w:r>
      <w:r w:rsidR="00FA7E65">
        <w:instrText>”</w:instrText>
      </w:r>
      <w:r>
        <w:instrText xml:space="preserve"> </w:instrText>
      </w:r>
      <w:r>
        <w:fldChar w:fldCharType="end"/>
      </w:r>
    </w:p>
    <w:p w14:paraId="06EEC037" w14:textId="77777777" w:rsidR="002A21AE" w:rsidRDefault="002A21AE" w:rsidP="00FA7E65">
      <w:pPr>
        <w:pStyle w:val="BodyText"/>
      </w:pPr>
      <w:r>
        <w:t xml:space="preserve">The user issues assigned or crossmatched blood to a transporter for patient transfusion at valid inpatient and outpatient hospital locations, and records issue details, including the transporter’s name or identifier. </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7306B839" w14:textId="77777777">
        <w:trPr>
          <w:cantSplit/>
          <w:tblHeader/>
        </w:trPr>
        <w:tc>
          <w:tcPr>
            <w:tcW w:w="3240" w:type="dxa"/>
            <w:shd w:val="pct30" w:color="auto" w:fill="FFFFFF"/>
            <w:vAlign w:val="bottom"/>
          </w:tcPr>
          <w:p w14:paraId="1050BCC6" w14:textId="77777777" w:rsidR="002A21AE" w:rsidRDefault="002A21AE">
            <w:pPr>
              <w:pStyle w:val="TableText"/>
              <w:rPr>
                <w:b/>
              </w:rPr>
            </w:pPr>
            <w:r>
              <w:rPr>
                <w:b/>
              </w:rPr>
              <w:t>User Action</w:t>
            </w:r>
          </w:p>
        </w:tc>
        <w:tc>
          <w:tcPr>
            <w:tcW w:w="6120" w:type="dxa"/>
            <w:shd w:val="pct30" w:color="auto" w:fill="FFFFFF"/>
            <w:vAlign w:val="bottom"/>
          </w:tcPr>
          <w:p w14:paraId="0466B3A7" w14:textId="77777777" w:rsidR="002A21AE" w:rsidRDefault="002A21AE">
            <w:pPr>
              <w:pStyle w:val="TableText"/>
              <w:rPr>
                <w:b/>
              </w:rPr>
            </w:pPr>
            <w:r>
              <w:rPr>
                <w:b/>
              </w:rPr>
              <w:t>VBECS</w:t>
            </w:r>
          </w:p>
        </w:tc>
      </w:tr>
      <w:tr w:rsidR="002A21AE" w14:paraId="05685B88" w14:textId="77777777">
        <w:tc>
          <w:tcPr>
            <w:tcW w:w="3240" w:type="dxa"/>
            <w:tcBorders>
              <w:top w:val="single" w:sz="4" w:space="0" w:color="auto"/>
              <w:left w:val="single" w:sz="4" w:space="0" w:color="auto"/>
              <w:bottom w:val="single" w:sz="4" w:space="0" w:color="auto"/>
              <w:right w:val="single" w:sz="4" w:space="0" w:color="auto"/>
            </w:tcBorders>
          </w:tcPr>
          <w:p w14:paraId="63D66980" w14:textId="77777777" w:rsidR="002A21AE" w:rsidRDefault="002A21AE">
            <w:pPr>
              <w:pStyle w:val="TableTextNumbers"/>
            </w:pPr>
            <w:r>
              <w:t xml:space="preserve">Select </w:t>
            </w:r>
            <w:r>
              <w:rPr>
                <w:b/>
              </w:rPr>
              <w:t>Patients</w:t>
            </w:r>
            <w:r>
              <w:t xml:space="preserve"> from the main menu.</w:t>
            </w:r>
          </w:p>
          <w:p w14:paraId="339A4B03" w14:textId="77777777" w:rsidR="002A21AE" w:rsidRDefault="002A21AE">
            <w:pPr>
              <w:pStyle w:val="TableTextNumbersContinued"/>
            </w:pPr>
          </w:p>
          <w:p w14:paraId="413C8111" w14:textId="77777777" w:rsidR="002A21AE" w:rsidRDefault="002A21AE">
            <w:pPr>
              <w:pStyle w:val="TableTextNumbersContinued"/>
            </w:pPr>
            <w:r>
              <w:t xml:space="preserve">Select </w:t>
            </w:r>
            <w:r>
              <w:rPr>
                <w:b/>
              </w:rPr>
              <w:t>Issue Blood Components</w:t>
            </w:r>
            <w:r>
              <w:t>.</w:t>
            </w:r>
          </w:p>
        </w:tc>
        <w:tc>
          <w:tcPr>
            <w:tcW w:w="6120" w:type="dxa"/>
            <w:tcBorders>
              <w:top w:val="single" w:sz="4" w:space="0" w:color="auto"/>
              <w:left w:val="single" w:sz="4" w:space="0" w:color="auto"/>
              <w:bottom w:val="single" w:sz="4" w:space="0" w:color="auto"/>
              <w:right w:val="single" w:sz="4" w:space="0" w:color="auto"/>
            </w:tcBorders>
          </w:tcPr>
          <w:p w14:paraId="49302DE3" w14:textId="77777777" w:rsidR="002A21AE" w:rsidRDefault="002A21AE">
            <w:pPr>
              <w:pStyle w:val="TableTextBullet"/>
            </w:pPr>
            <w:r>
              <w:t>Displays options for processing patient-related functions.</w:t>
            </w:r>
          </w:p>
          <w:p w14:paraId="585D2698" w14:textId="77777777" w:rsidR="002A21AE" w:rsidRDefault="002A21AE">
            <w:pPr>
              <w:pStyle w:val="TableTextBullet"/>
            </w:pPr>
            <w:r>
              <w:t>Displays an option to scan the Caution Tag or enter a patient name or ID.</w:t>
            </w:r>
          </w:p>
          <w:p w14:paraId="089E79DA" w14:textId="77777777" w:rsidR="002A21AE" w:rsidRDefault="002A21AE">
            <w:pPr>
              <w:pStyle w:val="TableText"/>
            </w:pPr>
          </w:p>
          <w:p w14:paraId="42B55180" w14:textId="2D9F9C64" w:rsidR="002A21AE" w:rsidRDefault="002A21AE">
            <w:pPr>
              <w:pStyle w:val="TableText"/>
              <w:rPr>
                <w:b/>
                <w:bCs/>
                <w:szCs w:val="18"/>
              </w:rPr>
            </w:pPr>
            <w:r>
              <w:rPr>
                <w:b/>
                <w:bCs/>
                <w:szCs w:val="18"/>
              </w:rPr>
              <w:t>NOTES</w:t>
            </w:r>
          </w:p>
          <w:p w14:paraId="410462E8" w14:textId="77777777" w:rsidR="002A21AE" w:rsidRDefault="002A21AE">
            <w:pPr>
              <w:pStyle w:val="NotesText"/>
            </w:pPr>
          </w:p>
          <w:p w14:paraId="60533C17" w14:textId="77777777" w:rsidR="002A21AE" w:rsidRDefault="002A21AE">
            <w:pPr>
              <w:pStyle w:val="NotesText"/>
            </w:pPr>
            <w:r>
              <w:rPr>
                <w:rFonts w:cs="Arial"/>
                <w:vanish/>
              </w:rPr>
              <w:t xml:space="preserve">BR_73.22 </w:t>
            </w:r>
            <w:r>
              <w:t>The user must verify the correct patient selection</w:t>
            </w:r>
            <w:r w:rsidR="00F3010E">
              <w:t>.</w:t>
            </w:r>
            <w:r>
              <w:t xml:space="preserve"> </w:t>
            </w:r>
          </w:p>
          <w:p w14:paraId="74352814" w14:textId="77777777" w:rsidR="001E0858" w:rsidRDefault="001E0858" w:rsidP="00CA495D">
            <w:pPr>
              <w:pStyle w:val="NotesText"/>
            </w:pPr>
          </w:p>
          <w:p w14:paraId="364F6C6B" w14:textId="77777777" w:rsidR="001E0858" w:rsidRDefault="001E0858" w:rsidP="00CA495D">
            <w:pPr>
              <w:pStyle w:val="NotesText"/>
            </w:pPr>
            <w:r>
              <w:t xml:space="preserve">The </w:t>
            </w:r>
            <w:r w:rsidRPr="00EC7489">
              <w:rPr>
                <w:rFonts w:ascii="Wingdings 3" w:hAnsi="Wingdings 3"/>
              </w:rPr>
              <w:t></w:t>
            </w:r>
            <w:r w:rsidRPr="00EC7489">
              <w:rPr>
                <w:rFonts w:ascii="Wingdings 3" w:hAnsi="Wingdings 3"/>
              </w:rPr>
              <w:t></w:t>
            </w:r>
            <w:r>
              <w:t xml:space="preserve"> Enhanced Technologist </w:t>
            </w:r>
            <w:r w:rsidR="00915BD8">
              <w:t>or</w:t>
            </w:r>
            <w:r>
              <w:t xml:space="preserve"> above is authorized to issue expired blood products.</w:t>
            </w:r>
          </w:p>
          <w:p w14:paraId="1FFF271B" w14:textId="77777777" w:rsidR="001E0858" w:rsidRDefault="001E0858" w:rsidP="00CA495D">
            <w:pPr>
              <w:pStyle w:val="NotesText"/>
            </w:pPr>
          </w:p>
          <w:p w14:paraId="1A8BEF4F" w14:textId="77777777" w:rsidR="001E0858" w:rsidRPr="001E0858" w:rsidRDefault="001E0858" w:rsidP="00CA495D">
            <w:pPr>
              <w:pStyle w:val="NotesText"/>
              <w:rPr>
                <w:snapToGrid w:val="0"/>
              </w:rPr>
            </w:pPr>
            <w:r>
              <w:t xml:space="preserve">The </w:t>
            </w:r>
            <w:r w:rsidRPr="00EC7489">
              <w:rPr>
                <w:rFonts w:ascii="Wingdings 3" w:hAnsi="Wingdings 3"/>
              </w:rPr>
              <w:t></w:t>
            </w:r>
            <w:r w:rsidRPr="00EC7489">
              <w:rPr>
                <w:rFonts w:ascii="Wingdings 3" w:hAnsi="Wingdings 3"/>
              </w:rPr>
              <w:t></w:t>
            </w:r>
            <w:r w:rsidRPr="00EC7489">
              <w:rPr>
                <w:rFonts w:ascii="Wingdings 3" w:hAnsi="Wingdings 3"/>
              </w:rPr>
              <w:t></w:t>
            </w:r>
            <w:r>
              <w:t xml:space="preserve"> </w:t>
            </w:r>
            <w:r>
              <w:rPr>
                <w:rFonts w:cs="Arial"/>
              </w:rPr>
              <w:t>Lead Technologist</w:t>
            </w:r>
            <w:r>
              <w:rPr>
                <w:snapToGrid w:val="0"/>
              </w:rPr>
              <w:t xml:space="preserve"> </w:t>
            </w:r>
            <w:r w:rsidR="00915BD8">
              <w:rPr>
                <w:snapToGrid w:val="0"/>
              </w:rPr>
              <w:t>or</w:t>
            </w:r>
            <w:r>
              <w:rPr>
                <w:snapToGrid w:val="0"/>
              </w:rPr>
              <w:t xml:space="preserve"> above is authorized to issue antigen positive and untyped red blood cells.</w:t>
            </w:r>
          </w:p>
        </w:tc>
      </w:tr>
      <w:tr w:rsidR="002A21AE" w14:paraId="4431932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240" w:type="dxa"/>
            <w:tcBorders>
              <w:top w:val="single" w:sz="6" w:space="0" w:color="auto"/>
              <w:left w:val="single" w:sz="6" w:space="0" w:color="auto"/>
              <w:bottom w:val="single" w:sz="6" w:space="0" w:color="auto"/>
              <w:right w:val="single" w:sz="6" w:space="0" w:color="auto"/>
            </w:tcBorders>
          </w:tcPr>
          <w:p w14:paraId="0F8C1BDE" w14:textId="77777777" w:rsidR="002A21AE" w:rsidRDefault="002A21AE">
            <w:pPr>
              <w:pStyle w:val="TableTextNumbers"/>
            </w:pPr>
            <w:r>
              <w:t>Select a patient.</w:t>
            </w:r>
          </w:p>
        </w:tc>
        <w:tc>
          <w:tcPr>
            <w:tcW w:w="6120" w:type="dxa"/>
            <w:tcBorders>
              <w:top w:val="single" w:sz="6" w:space="0" w:color="auto"/>
              <w:left w:val="single" w:sz="6" w:space="0" w:color="auto"/>
              <w:bottom w:val="single" w:sz="6" w:space="0" w:color="auto"/>
              <w:right w:val="single" w:sz="6" w:space="0" w:color="auto"/>
            </w:tcBorders>
          </w:tcPr>
          <w:p w14:paraId="0D15D49D" w14:textId="77777777" w:rsidR="002A21AE" w:rsidRDefault="002A21AE">
            <w:pPr>
              <w:pStyle w:val="TableTextBullet"/>
            </w:pPr>
            <w:r>
              <w:t>Displays patient data, including entries that meet the entered patient criteria, and allows the user to select the correct patient.</w:t>
            </w:r>
          </w:p>
          <w:p w14:paraId="198A5105" w14:textId="77777777" w:rsidR="002A21AE" w:rsidRDefault="002A21AE">
            <w:pPr>
              <w:pStyle w:val="TableText"/>
            </w:pPr>
          </w:p>
          <w:p w14:paraId="6A52F951" w14:textId="5F3F6BB0" w:rsidR="002A21AE" w:rsidRDefault="002A21AE">
            <w:pPr>
              <w:pStyle w:val="TableText"/>
              <w:rPr>
                <w:b/>
                <w:bCs/>
                <w:szCs w:val="18"/>
              </w:rPr>
            </w:pPr>
            <w:r>
              <w:rPr>
                <w:b/>
                <w:bCs/>
                <w:szCs w:val="18"/>
              </w:rPr>
              <w:t>NOTES</w:t>
            </w:r>
          </w:p>
          <w:p w14:paraId="0C3383BA" w14:textId="77777777" w:rsidR="002A21AE" w:rsidRDefault="002A21AE">
            <w:pPr>
              <w:pStyle w:val="NotesText"/>
            </w:pPr>
          </w:p>
          <w:p w14:paraId="2F512E3E" w14:textId="150CC277" w:rsidR="002A21AE" w:rsidRDefault="00896F17">
            <w:pPr>
              <w:pStyle w:val="TableText"/>
              <w:ind w:left="360"/>
            </w:pPr>
            <w:r w:rsidRPr="00896F17">
              <w:rPr>
                <w:rStyle w:val="BullhornChar"/>
              </w:rPr>
              <w:t></w:t>
            </w:r>
            <w:r w:rsidRPr="00C51C45">
              <w:rPr>
                <w:rFonts w:ascii="Webdings" w:hAnsi="Webdings"/>
                <w:szCs w:val="22"/>
              </w:rPr>
              <w:t></w:t>
            </w:r>
            <w:r>
              <w:rPr>
                <w:rFonts w:cs="Arial"/>
                <w:szCs w:val="22"/>
              </w:rPr>
              <w:t>See</w:t>
            </w:r>
            <w:r w:rsidR="002A21AE">
              <w:t xml:space="preserve"> </w:t>
            </w:r>
            <w:r w:rsidR="00EE455E">
              <w:t xml:space="preserve">Table </w:t>
            </w:r>
            <w:r w:rsidR="00EE455E">
              <w:rPr>
                <w:noProof/>
              </w:rPr>
              <w:t>7</w:t>
            </w:r>
            <w:r w:rsidR="002A21AE">
              <w:t xml:space="preserve"> for alerts that may occur during this option.</w:t>
            </w:r>
          </w:p>
          <w:p w14:paraId="5867D8CA" w14:textId="77777777" w:rsidR="006E1BB2" w:rsidRDefault="006E1BB2">
            <w:pPr>
              <w:pStyle w:val="TableText"/>
              <w:ind w:left="360"/>
            </w:pPr>
          </w:p>
          <w:p w14:paraId="22F4962D" w14:textId="77777777" w:rsidR="006E1BB2" w:rsidRDefault="006E1BB2" w:rsidP="006E1BB2">
            <w:pPr>
              <w:pStyle w:val="TableText"/>
              <w:ind w:left="720"/>
            </w:pPr>
            <w:r>
              <w:t xml:space="preserve">Not all possible error messages may display when multiple messages may apply to the unit/patient. Correction of any one of the patient/unit problems and </w:t>
            </w:r>
            <w:r w:rsidR="008C7599">
              <w:t xml:space="preserve">subsequent re-attempts </w:t>
            </w:r>
            <w:r>
              <w:t>to issue the unit to the patient will display another of the possible messages until all</w:t>
            </w:r>
            <w:r w:rsidR="008C7599">
              <w:t xml:space="preserve"> errors</w:t>
            </w:r>
            <w:r>
              <w:t xml:space="preserve"> are corrected. </w:t>
            </w:r>
            <w:r w:rsidRPr="006E1BB2">
              <w:rPr>
                <w:vanish/>
              </w:rPr>
              <w:t>DR 4808</w:t>
            </w:r>
          </w:p>
          <w:p w14:paraId="1C31F931" w14:textId="77777777" w:rsidR="006E1BB2" w:rsidRDefault="006E1BB2" w:rsidP="006E1BB2">
            <w:pPr>
              <w:pStyle w:val="TableText"/>
              <w:ind w:left="720"/>
            </w:pPr>
          </w:p>
        </w:tc>
      </w:tr>
      <w:tr w:rsidR="002A21AE" w14:paraId="2500281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240" w:type="dxa"/>
            <w:tcBorders>
              <w:top w:val="single" w:sz="6" w:space="0" w:color="auto"/>
              <w:left w:val="single" w:sz="6" w:space="0" w:color="auto"/>
              <w:bottom w:val="single" w:sz="6" w:space="0" w:color="auto"/>
              <w:right w:val="single" w:sz="6" w:space="0" w:color="auto"/>
            </w:tcBorders>
          </w:tcPr>
          <w:p w14:paraId="3CE754E0" w14:textId="77777777" w:rsidR="002A21AE" w:rsidRDefault="002A21AE">
            <w:pPr>
              <w:pStyle w:val="TableTextNumbers"/>
            </w:pPr>
            <w:r>
              <w:t xml:space="preserve">Click </w:t>
            </w:r>
            <w:r>
              <w:rPr>
                <w:b/>
              </w:rPr>
              <w:t>OK</w:t>
            </w:r>
            <w:r>
              <w:t xml:space="preserve"> to verify that the correct patient was selected.</w:t>
            </w:r>
          </w:p>
        </w:tc>
        <w:tc>
          <w:tcPr>
            <w:tcW w:w="6120" w:type="dxa"/>
            <w:tcBorders>
              <w:top w:val="single" w:sz="6" w:space="0" w:color="auto"/>
              <w:left w:val="single" w:sz="6" w:space="0" w:color="auto"/>
              <w:bottom w:val="single" w:sz="6" w:space="0" w:color="auto"/>
              <w:right w:val="single" w:sz="6" w:space="0" w:color="auto"/>
            </w:tcBorders>
          </w:tcPr>
          <w:p w14:paraId="11AFEC12" w14:textId="77777777" w:rsidR="002A21AE" w:rsidRDefault="002A21AE" w:rsidP="003B4820">
            <w:pPr>
              <w:pStyle w:val="TableTextBullet"/>
            </w:pPr>
            <w:r>
              <w:t>Displays fields for the user to enter data for the issue transaction.</w:t>
            </w:r>
          </w:p>
        </w:tc>
      </w:tr>
      <w:tr w:rsidR="002A21AE" w14:paraId="752A197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240" w:type="dxa"/>
            <w:tcBorders>
              <w:top w:val="single" w:sz="6" w:space="0" w:color="auto"/>
              <w:left w:val="single" w:sz="6" w:space="0" w:color="auto"/>
              <w:bottom w:val="single" w:sz="6" w:space="0" w:color="auto"/>
              <w:right w:val="single" w:sz="6" w:space="0" w:color="auto"/>
            </w:tcBorders>
          </w:tcPr>
          <w:p w14:paraId="120E9AA7" w14:textId="33CCDABB" w:rsidR="002A21AE" w:rsidRDefault="002A21AE">
            <w:pPr>
              <w:pStyle w:val="TableTextNumbers"/>
            </w:pPr>
            <w:r>
              <w:lastRenderedPageBreak/>
              <w:t xml:space="preserve">Enter the required </w:t>
            </w:r>
            <w:r w:rsidR="003B4820">
              <w:t>data in the transporter name, issue-to location, and date and time fields</w:t>
            </w:r>
            <w:r w:rsidR="00A04663">
              <w:t xml:space="preserve"> </w:t>
            </w:r>
            <w:r w:rsidR="003767D2">
              <w:t>(</w:t>
            </w:r>
            <w:r w:rsidR="00EE455E">
              <w:t xml:space="preserve">Figure </w:t>
            </w:r>
            <w:r w:rsidR="00EE455E">
              <w:rPr>
                <w:noProof/>
              </w:rPr>
              <w:t>72</w:t>
            </w:r>
            <w:r w:rsidR="003767D2">
              <w:t>)</w:t>
            </w:r>
            <w:r>
              <w:t>.</w:t>
            </w:r>
          </w:p>
          <w:p w14:paraId="554FB728" w14:textId="77777777" w:rsidR="003B4820" w:rsidRDefault="003B4820" w:rsidP="003B4820">
            <w:pPr>
              <w:pStyle w:val="TableTextNumbersContinued"/>
            </w:pPr>
          </w:p>
          <w:p w14:paraId="6E32661A" w14:textId="77777777" w:rsidR="003B4820" w:rsidRPr="003B4820" w:rsidRDefault="003B4820" w:rsidP="003B4820">
            <w:pPr>
              <w:pStyle w:val="TableTextNumbersContinued"/>
            </w:pPr>
            <w:r>
              <w:t xml:space="preserve">Click </w:t>
            </w:r>
            <w:r>
              <w:rPr>
                <w:b/>
              </w:rPr>
              <w:t>OK</w:t>
            </w:r>
            <w:r w:rsidRPr="003B4820">
              <w:t>.</w:t>
            </w:r>
          </w:p>
        </w:tc>
        <w:tc>
          <w:tcPr>
            <w:tcW w:w="6120" w:type="dxa"/>
            <w:tcBorders>
              <w:top w:val="single" w:sz="6" w:space="0" w:color="auto"/>
              <w:left w:val="single" w:sz="6" w:space="0" w:color="auto"/>
              <w:bottom w:val="single" w:sz="6" w:space="0" w:color="auto"/>
              <w:right w:val="single" w:sz="6" w:space="0" w:color="auto"/>
            </w:tcBorders>
          </w:tcPr>
          <w:p w14:paraId="1E83D4DB" w14:textId="77777777" w:rsidR="003B4820" w:rsidRDefault="003B4820" w:rsidP="003B4820">
            <w:pPr>
              <w:pStyle w:val="TableText"/>
            </w:pPr>
          </w:p>
          <w:p w14:paraId="42898E21" w14:textId="1F132418" w:rsidR="003B4820" w:rsidRDefault="003B4820" w:rsidP="003B4820">
            <w:pPr>
              <w:pStyle w:val="TableText"/>
              <w:rPr>
                <w:b/>
                <w:bCs/>
                <w:szCs w:val="18"/>
              </w:rPr>
            </w:pPr>
            <w:r>
              <w:rPr>
                <w:b/>
                <w:bCs/>
                <w:szCs w:val="18"/>
              </w:rPr>
              <w:t>NOTES</w:t>
            </w:r>
          </w:p>
          <w:p w14:paraId="321E6726" w14:textId="77777777" w:rsidR="003B4820" w:rsidRDefault="003B4820" w:rsidP="003B4820">
            <w:pPr>
              <w:pStyle w:val="NotesText"/>
            </w:pPr>
          </w:p>
          <w:p w14:paraId="5367EA81" w14:textId="77777777" w:rsidR="003B4820" w:rsidRDefault="003B4820" w:rsidP="003B4820">
            <w:pPr>
              <w:pStyle w:val="NotesText"/>
            </w:pPr>
            <w:r>
              <w:rPr>
                <w:rFonts w:cs="Arial"/>
                <w:vanish/>
              </w:rPr>
              <w:t xml:space="preserve">BR_73.01 </w:t>
            </w:r>
            <w:r>
              <w:t>The user may edit the transfusion-ordering clinician, which does not change the blood-ordering clinician.</w:t>
            </w:r>
          </w:p>
          <w:p w14:paraId="549C3E90" w14:textId="77777777" w:rsidR="003B4820" w:rsidRDefault="003B4820" w:rsidP="003B4820">
            <w:pPr>
              <w:pStyle w:val="NotesText"/>
            </w:pPr>
          </w:p>
          <w:p w14:paraId="09190324" w14:textId="77777777" w:rsidR="003B4820" w:rsidRDefault="003B4820" w:rsidP="003B4820">
            <w:pPr>
              <w:pStyle w:val="NotesText"/>
            </w:pPr>
            <w:r>
              <w:rPr>
                <w:rFonts w:cs="Arial"/>
                <w:vanish/>
              </w:rPr>
              <w:t xml:space="preserve">BR_73.18 </w:t>
            </w:r>
            <w:r>
              <w:t xml:space="preserve">When the user updates the transfusion-ordering-clinician field, VistALink queries </w:t>
            </w:r>
            <w:r w:rsidRPr="00CA0045">
              <w:rPr>
                <w:bCs/>
              </w:rPr>
              <w:t>VistA</w:t>
            </w:r>
            <w:r>
              <w:t xml:space="preserve"> for valid providers only. The user may narrow the search by entering the provider’s name.</w:t>
            </w:r>
          </w:p>
          <w:p w14:paraId="1F9A33FA" w14:textId="77777777" w:rsidR="003B4820" w:rsidRDefault="003B4820" w:rsidP="003B4820">
            <w:pPr>
              <w:pStyle w:val="NotesText"/>
            </w:pPr>
          </w:p>
          <w:p w14:paraId="79C8C4A0" w14:textId="77777777" w:rsidR="003B4820" w:rsidRDefault="003B4820" w:rsidP="003B4820">
            <w:pPr>
              <w:pStyle w:val="NotesText"/>
            </w:pPr>
            <w:r>
              <w:rPr>
                <w:rFonts w:cs="Arial"/>
                <w:vanish/>
              </w:rPr>
              <w:t xml:space="preserve">BR_73.08 </w:t>
            </w:r>
            <w:r>
              <w:t>The user may edit the issue date and time (default: current date and time) to allow retrospective data entry; no future issue date or time is allowed. When the issue time is incorrect, the user must undo the issue and reissue the unit with the correct date and time.</w:t>
            </w:r>
          </w:p>
          <w:p w14:paraId="262C20EB" w14:textId="77777777" w:rsidR="003B4820" w:rsidRDefault="003B4820" w:rsidP="003B4820">
            <w:pPr>
              <w:pStyle w:val="NotesText"/>
            </w:pPr>
          </w:p>
          <w:p w14:paraId="05F79557" w14:textId="47A65B1C" w:rsidR="003B4820" w:rsidRDefault="003B4820" w:rsidP="00F11F45">
            <w:pPr>
              <w:pStyle w:val="NotesText"/>
            </w:pPr>
            <w:r w:rsidRPr="00F11F45">
              <w:rPr>
                <w:vanish/>
                <w:szCs w:val="18"/>
              </w:rPr>
              <w:t xml:space="preserve">BR_73.09, BR_30.02 </w:t>
            </w:r>
            <w:r w:rsidRPr="00F11F45">
              <w:t>A remote storage indicator is optional (default: No).</w:t>
            </w:r>
            <w:r w:rsidR="006549B7" w:rsidRPr="00F11F45">
              <w:t xml:space="preserve"> </w:t>
            </w:r>
            <w:r w:rsidRPr="00F11F45">
              <w:t xml:space="preserve">The transporter name field allows free text and does not display a selection list. </w:t>
            </w:r>
            <w:r w:rsidR="00F11F45" w:rsidRPr="00F11F45">
              <w:t xml:space="preserve">The issue-to location is a listing of current hospital locations, provided by VistALink when available. When VistALink is not available, the system indicates that an issue-to location is not available and disables the issue-to location field. </w:t>
            </w:r>
            <w:r w:rsidRPr="00F11F45">
              <w:t>This is related to billing reimbursement and is not an enabled field in the issue option.</w:t>
            </w:r>
          </w:p>
          <w:p w14:paraId="48180671" w14:textId="5CBBEC66" w:rsidR="00F11F45" w:rsidRDefault="00F11F45" w:rsidP="003B4820">
            <w:pPr>
              <w:pStyle w:val="NotesText"/>
            </w:pPr>
          </w:p>
          <w:p w14:paraId="6A1BAEF1" w14:textId="77777777" w:rsidR="00102607" w:rsidRDefault="00102607" w:rsidP="003B4820">
            <w:pPr>
              <w:pStyle w:val="NotesText"/>
            </w:pPr>
            <w:r>
              <w:t xml:space="preserve">A user could return the unit from issue and reissue it with a hospital location when VistALink is up again. </w:t>
            </w:r>
            <w:r w:rsidRPr="00102607">
              <w:rPr>
                <w:vanish/>
              </w:rPr>
              <w:t>DR 5073</w:t>
            </w:r>
          </w:p>
          <w:p w14:paraId="4313563A" w14:textId="77777777" w:rsidR="003B4820" w:rsidRDefault="003B4820" w:rsidP="003B4820">
            <w:pPr>
              <w:pStyle w:val="NotesText"/>
              <w:rPr>
                <w:rFonts w:cs="Arial"/>
              </w:rPr>
            </w:pPr>
          </w:p>
          <w:p w14:paraId="57DFC084" w14:textId="77777777" w:rsidR="003B4820" w:rsidRDefault="003B4820" w:rsidP="003B4820">
            <w:pPr>
              <w:pStyle w:val="NotesText"/>
            </w:pPr>
            <w:r>
              <w:rPr>
                <w:rFonts w:cs="Arial"/>
                <w:vanish/>
              </w:rPr>
              <w:t xml:space="preserve">BR_73.34 </w:t>
            </w:r>
            <w:r>
              <w:t>When a remote storage location indicator is checked, the user may select from a list of previously entered locations or enter a new, free-text location. Each location entered and saved is available for future selection as a remote location.</w:t>
            </w:r>
          </w:p>
          <w:p w14:paraId="3DE972CD" w14:textId="77777777" w:rsidR="00D43534" w:rsidRDefault="00D43534" w:rsidP="003B4820">
            <w:pPr>
              <w:pStyle w:val="NotesText"/>
            </w:pPr>
          </w:p>
          <w:p w14:paraId="3FE5FD10" w14:textId="77777777" w:rsidR="00D43534" w:rsidRDefault="00D43534" w:rsidP="003B4820">
            <w:pPr>
              <w:pStyle w:val="NotesText"/>
            </w:pPr>
            <w:r w:rsidRPr="00D43534">
              <w:rPr>
                <w:rFonts w:cs="Arial"/>
                <w:vanish/>
                <w:szCs w:val="18"/>
              </w:rPr>
              <w:t xml:space="preserve">BR_73.38 </w:t>
            </w:r>
            <w:r>
              <w:rPr>
                <w:rFonts w:cs="Arial"/>
                <w:szCs w:val="18"/>
              </w:rPr>
              <w:t>When the component order is for PLATE</w:t>
            </w:r>
            <w:r w:rsidR="00EF6C4B">
              <w:rPr>
                <w:rFonts w:cs="Arial"/>
                <w:szCs w:val="18"/>
              </w:rPr>
              <w:t>LETS or OTHER, the units with = &gt;</w:t>
            </w:r>
            <w:r>
              <w:rPr>
                <w:rFonts w:cs="Arial"/>
                <w:szCs w:val="18"/>
              </w:rPr>
              <w:t xml:space="preserve"> 2 mL of RBC contamination must be presented </w:t>
            </w:r>
            <w:r w:rsidRPr="005722FA">
              <w:rPr>
                <w:rFonts w:cs="Arial"/>
                <w:szCs w:val="18"/>
              </w:rPr>
              <w:t>and checke</w:t>
            </w:r>
            <w:r>
              <w:rPr>
                <w:rFonts w:cs="Arial"/>
                <w:szCs w:val="18"/>
              </w:rPr>
              <w:t>d for compatibility and will display before products with less than (&lt; ) 2 mL of RBC contamination. The system will present all available units when the Product Type is PLATELETS or OTHER non-plasma components that have &lt; 2 mL RBC contamination.</w:t>
            </w:r>
          </w:p>
        </w:tc>
      </w:tr>
      <w:tr w:rsidR="002A21AE" w14:paraId="6247BE4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240" w:type="dxa"/>
            <w:tcBorders>
              <w:top w:val="single" w:sz="6" w:space="0" w:color="auto"/>
              <w:left w:val="single" w:sz="6" w:space="0" w:color="auto"/>
              <w:bottom w:val="single" w:sz="6" w:space="0" w:color="auto"/>
              <w:right w:val="single" w:sz="6" w:space="0" w:color="auto"/>
            </w:tcBorders>
          </w:tcPr>
          <w:p w14:paraId="6B1EDA97" w14:textId="0E44CDAF" w:rsidR="002A21AE" w:rsidRDefault="002A21AE" w:rsidP="003B7F11">
            <w:pPr>
              <w:pStyle w:val="TableTextNumbers"/>
            </w:pPr>
            <w:r>
              <w:t xml:space="preserve">Scan </w:t>
            </w:r>
            <w:r w:rsidR="00323155">
              <w:t xml:space="preserve">the unit ID and product code, </w:t>
            </w:r>
            <w:r>
              <w:t>or click one or more check boxes to select units for issue to the selected patient</w:t>
            </w:r>
            <w:r w:rsidR="003767D2">
              <w:t xml:space="preserve"> (</w:t>
            </w:r>
            <w:r w:rsidR="00EE455E">
              <w:t xml:space="preserve">Figure </w:t>
            </w:r>
            <w:r w:rsidR="00EE455E">
              <w:rPr>
                <w:noProof/>
              </w:rPr>
              <w:t>73</w:t>
            </w:r>
            <w:r w:rsidR="003767D2">
              <w:t>)</w:t>
            </w:r>
            <w:r>
              <w:t>.</w:t>
            </w:r>
          </w:p>
        </w:tc>
        <w:tc>
          <w:tcPr>
            <w:tcW w:w="6120" w:type="dxa"/>
            <w:tcBorders>
              <w:top w:val="single" w:sz="6" w:space="0" w:color="auto"/>
              <w:left w:val="single" w:sz="6" w:space="0" w:color="auto"/>
              <w:bottom w:val="single" w:sz="6" w:space="0" w:color="auto"/>
              <w:right w:val="single" w:sz="6" w:space="0" w:color="auto"/>
            </w:tcBorders>
          </w:tcPr>
          <w:p w14:paraId="19B4CB45" w14:textId="77777777" w:rsidR="005D4DA6" w:rsidRDefault="005D4DA6" w:rsidP="005D4DA6">
            <w:pPr>
              <w:pStyle w:val="TableTextBullet"/>
            </w:pPr>
            <w:r>
              <w:t xml:space="preserve">Displays the option to select units from the Assigned Units or Emergency Issue Units tabs. </w:t>
            </w:r>
          </w:p>
          <w:p w14:paraId="47E6C5A5" w14:textId="77777777" w:rsidR="002A21AE" w:rsidRDefault="002A21AE">
            <w:pPr>
              <w:pStyle w:val="TableTextBullet"/>
              <w:tabs>
                <w:tab w:val="num" w:pos="360"/>
              </w:tabs>
            </w:pPr>
            <w:r>
              <w:t xml:space="preserve">Lists the selected units, allows the user to select additional units or deselect units, and prompts the user to indicate that the selections are complete. </w:t>
            </w:r>
          </w:p>
          <w:p w14:paraId="7B3931E4" w14:textId="77777777" w:rsidR="006709A3" w:rsidRDefault="006709A3" w:rsidP="006709A3">
            <w:pPr>
              <w:pStyle w:val="TableTextBullet"/>
              <w:tabs>
                <w:tab w:val="num" w:pos="360"/>
              </w:tabs>
            </w:pPr>
            <w:r>
              <w:t>Allows the user to select the unsatisfactory unit and edit its issue selections.</w:t>
            </w:r>
          </w:p>
          <w:p w14:paraId="5C3BE7B2" w14:textId="77777777" w:rsidR="002A21AE" w:rsidRDefault="002A21AE">
            <w:pPr>
              <w:pStyle w:val="TableText"/>
            </w:pPr>
          </w:p>
          <w:p w14:paraId="013478DA" w14:textId="3C5C6870" w:rsidR="002A21AE" w:rsidRDefault="002A21AE">
            <w:pPr>
              <w:pStyle w:val="TableText"/>
              <w:rPr>
                <w:b/>
                <w:bCs/>
                <w:szCs w:val="18"/>
              </w:rPr>
            </w:pPr>
            <w:r>
              <w:rPr>
                <w:b/>
                <w:bCs/>
                <w:szCs w:val="18"/>
              </w:rPr>
              <w:t>NOTES</w:t>
            </w:r>
          </w:p>
          <w:p w14:paraId="550CE6DC" w14:textId="77777777" w:rsidR="002A21AE" w:rsidRDefault="002A21AE">
            <w:pPr>
              <w:pStyle w:val="NotesText"/>
            </w:pPr>
          </w:p>
          <w:p w14:paraId="6B017171" w14:textId="13294F7A" w:rsidR="002A21AE" w:rsidRDefault="00896F17">
            <w:pPr>
              <w:pStyle w:val="NotesText"/>
            </w:pPr>
            <w:r w:rsidRPr="00896F17">
              <w:rPr>
                <w:rStyle w:val="BullhornChar"/>
              </w:rPr>
              <w:t></w:t>
            </w:r>
            <w:r w:rsidRPr="00C51C45">
              <w:rPr>
                <w:rFonts w:ascii="Webdings" w:hAnsi="Webdings"/>
                <w:szCs w:val="22"/>
              </w:rPr>
              <w:t></w:t>
            </w:r>
            <w:r>
              <w:rPr>
                <w:rFonts w:cs="Arial"/>
                <w:szCs w:val="22"/>
              </w:rPr>
              <w:t>See</w:t>
            </w:r>
            <w:r>
              <w:t xml:space="preserve"> </w:t>
            </w:r>
            <w:r w:rsidR="00EE455E">
              <w:t xml:space="preserve">Table </w:t>
            </w:r>
            <w:r w:rsidR="00EE455E">
              <w:rPr>
                <w:noProof/>
              </w:rPr>
              <w:t>7</w:t>
            </w:r>
            <w:r w:rsidR="002A21AE">
              <w:t xml:space="preserve"> for alerts that may occur during this option.</w:t>
            </w:r>
          </w:p>
          <w:p w14:paraId="3169FA75" w14:textId="77777777" w:rsidR="00336F17" w:rsidRDefault="00336F17" w:rsidP="00336F17">
            <w:pPr>
              <w:pStyle w:val="NotesText"/>
            </w:pPr>
          </w:p>
          <w:p w14:paraId="49BA1E77" w14:textId="77777777" w:rsidR="00336F17" w:rsidRPr="004212C7" w:rsidRDefault="00336F17" w:rsidP="00336F17">
            <w:pPr>
              <w:pStyle w:val="NotesText"/>
              <w:rPr>
                <w:szCs w:val="18"/>
              </w:rPr>
            </w:pPr>
            <w:r w:rsidRPr="004212C7">
              <w:rPr>
                <w:vanish/>
                <w:szCs w:val="18"/>
              </w:rPr>
              <w:t xml:space="preserve">BR_73.35 </w:t>
            </w:r>
            <w:r w:rsidRPr="004212C7">
              <w:rPr>
                <w:szCs w:val="18"/>
              </w:rPr>
              <w:t>When the user attempts to issue a unit with an inconclusive crossmatch result, VBECS warns the user that the repeat crossmatch is required before the unit can be issued.</w:t>
            </w:r>
          </w:p>
          <w:p w14:paraId="042F8B68" w14:textId="77777777" w:rsidR="00336F17" w:rsidRPr="004212C7" w:rsidRDefault="00336F17" w:rsidP="00336F17">
            <w:pPr>
              <w:pStyle w:val="NotesText"/>
              <w:rPr>
                <w:szCs w:val="18"/>
              </w:rPr>
            </w:pPr>
          </w:p>
          <w:p w14:paraId="2F03D5E5" w14:textId="77777777" w:rsidR="00336F17" w:rsidRPr="004212C7" w:rsidRDefault="00336F17" w:rsidP="00336F17">
            <w:pPr>
              <w:pStyle w:val="NotesText"/>
              <w:rPr>
                <w:szCs w:val="18"/>
              </w:rPr>
            </w:pPr>
            <w:r w:rsidRPr="004212C7">
              <w:rPr>
                <w:vanish/>
                <w:szCs w:val="18"/>
              </w:rPr>
              <w:lastRenderedPageBreak/>
              <w:t xml:space="preserve">BR_73.13 </w:t>
            </w:r>
            <w:r w:rsidRPr="004212C7">
              <w:rPr>
                <w:szCs w:val="18"/>
              </w:rPr>
              <w:t>When the user attempts to issue a unit that is not assigned or crossmatched to the patient, VBECS warns the user that the unit is not assigned to the patient and allows the user to enter another unit number.</w:t>
            </w:r>
          </w:p>
          <w:p w14:paraId="4131861D" w14:textId="77777777" w:rsidR="00336F17" w:rsidRPr="004212C7" w:rsidRDefault="00336F17" w:rsidP="00336F17">
            <w:pPr>
              <w:pStyle w:val="NotesText"/>
              <w:rPr>
                <w:szCs w:val="18"/>
              </w:rPr>
            </w:pPr>
          </w:p>
          <w:p w14:paraId="23F2CACC" w14:textId="7C41572E" w:rsidR="004C49BF" w:rsidRPr="004C49BF" w:rsidRDefault="004C49BF" w:rsidP="004C49BF">
            <w:pPr>
              <w:pStyle w:val="NotesText"/>
              <w:rPr>
                <w:szCs w:val="18"/>
              </w:rPr>
            </w:pPr>
            <w:r w:rsidRPr="004C49BF">
              <w:rPr>
                <w:vanish/>
                <w:szCs w:val="18"/>
              </w:rPr>
              <w:t xml:space="preserve">BR_73.26 </w:t>
            </w:r>
            <w:r w:rsidRPr="004C49BF">
              <w:rPr>
                <w:szCs w:val="18"/>
              </w:rPr>
              <w:t xml:space="preserve">When the current division is configured as "full service" in Maintain VAMC Division, ABO confirmation is required for all blood units contained in the </w:t>
            </w:r>
            <w:r w:rsidRPr="008A3C45">
              <w:rPr>
                <w:szCs w:val="18"/>
              </w:rPr>
              <w:t xml:space="preserve">WB or RBC or </w:t>
            </w:r>
            <w:r w:rsidRPr="004C49BF">
              <w:rPr>
                <w:szCs w:val="18"/>
              </w:rPr>
              <w:t>PLT or OTHER units</w:t>
            </w:r>
            <w:r w:rsidR="00276485">
              <w:rPr>
                <w:szCs w:val="18"/>
              </w:rPr>
              <w:t xml:space="preserve"> with</w:t>
            </w:r>
            <w:r w:rsidRPr="004C49BF">
              <w:rPr>
                <w:szCs w:val="18"/>
              </w:rPr>
              <w:t xml:space="preserve"> = </w:t>
            </w:r>
            <w:r w:rsidR="00276485">
              <w:rPr>
                <w:szCs w:val="18"/>
              </w:rPr>
              <w:t xml:space="preserve">&gt; </w:t>
            </w:r>
            <w:r w:rsidRPr="004C49BF">
              <w:rPr>
                <w:szCs w:val="18"/>
              </w:rPr>
              <w:t>2 mL RBC contamination When performed, ABO confirmation must match unit ABO at log-in.</w:t>
            </w:r>
          </w:p>
          <w:p w14:paraId="345AB9CB" w14:textId="77777777" w:rsidR="004C49BF" w:rsidRPr="004C49BF" w:rsidRDefault="004C49BF" w:rsidP="004C49BF">
            <w:pPr>
              <w:pStyle w:val="NotesText"/>
              <w:rPr>
                <w:szCs w:val="18"/>
              </w:rPr>
            </w:pPr>
          </w:p>
          <w:p w14:paraId="179677BE" w14:textId="77777777" w:rsidR="004C49BF" w:rsidRPr="004C49BF" w:rsidRDefault="004C49BF" w:rsidP="004C49BF">
            <w:pPr>
              <w:pStyle w:val="NotesText"/>
              <w:rPr>
                <w:szCs w:val="18"/>
              </w:rPr>
            </w:pPr>
            <w:r w:rsidRPr="004C49BF">
              <w:rPr>
                <w:vanish/>
                <w:szCs w:val="18"/>
              </w:rPr>
              <w:t xml:space="preserve">BR_73.26 </w:t>
            </w:r>
            <w:r w:rsidRPr="004C49BF">
              <w:rPr>
                <w:szCs w:val="18"/>
              </w:rPr>
              <w:t xml:space="preserve">The unit must have a satisfactory confirmation result before it is considered available for issue and the Blood Transfusion Record Form and Unit Caution Tag may be generated. </w:t>
            </w:r>
          </w:p>
          <w:p w14:paraId="027C6315" w14:textId="77777777" w:rsidR="004C49BF" w:rsidRDefault="004C49BF" w:rsidP="004C49BF">
            <w:pPr>
              <w:pStyle w:val="TableText"/>
            </w:pPr>
          </w:p>
          <w:p w14:paraId="78F1D2CD" w14:textId="77777777" w:rsidR="002A21AE" w:rsidRPr="004212C7" w:rsidRDefault="004C49BF" w:rsidP="004C49BF">
            <w:pPr>
              <w:pStyle w:val="NotesText"/>
              <w:rPr>
                <w:szCs w:val="18"/>
              </w:rPr>
            </w:pPr>
            <w:r w:rsidRPr="004C49BF">
              <w:rPr>
                <w:vanish/>
              </w:rPr>
              <w:t xml:space="preserve">BR_73.26 </w:t>
            </w:r>
            <w:r>
              <w:t>Rh confirmation results are required on all blood units from the “WHOLE BLOOD”, “RED BLOOD CELLS” component classes or OTHER unit</w:t>
            </w:r>
            <w:r w:rsidR="00276485">
              <w:t>s with = &gt;</w:t>
            </w:r>
            <w:r>
              <w:t xml:space="preserve"> 2 mL RBC contamination labeled as Rh negative during shipment receipt. When performed, Rh confirmation must match Rh at log-in.</w:t>
            </w:r>
          </w:p>
          <w:p w14:paraId="7030E8D3" w14:textId="77777777" w:rsidR="00AE062E" w:rsidRPr="004212C7" w:rsidRDefault="002A21AE" w:rsidP="00102A03">
            <w:pPr>
              <w:pStyle w:val="NotesText"/>
              <w:rPr>
                <w:szCs w:val="18"/>
              </w:rPr>
            </w:pPr>
            <w:r w:rsidRPr="004212C7">
              <w:rPr>
                <w:rFonts w:cs="Arial"/>
                <w:vanish/>
                <w:szCs w:val="18"/>
              </w:rPr>
              <w:t xml:space="preserve">BR_3.42 </w:t>
            </w:r>
            <w:r w:rsidRPr="004212C7">
              <w:rPr>
                <w:szCs w:val="18"/>
              </w:rPr>
              <w:t>When a current specimen is required, VBECS compares the current and previous ABO/Rh results. It does not evaluate results marked “Test Result Invalidated.”</w:t>
            </w:r>
          </w:p>
          <w:p w14:paraId="1F60DC38" w14:textId="77777777" w:rsidR="00336F17" w:rsidRPr="004212C7" w:rsidRDefault="00336F17" w:rsidP="00336F17">
            <w:pPr>
              <w:pStyle w:val="NotesText"/>
              <w:rPr>
                <w:szCs w:val="18"/>
              </w:rPr>
            </w:pPr>
          </w:p>
          <w:p w14:paraId="61ED03AB" w14:textId="6817B34C" w:rsidR="00AB3D10" w:rsidRPr="004212C7" w:rsidRDefault="004212C7" w:rsidP="00336F17">
            <w:pPr>
              <w:pStyle w:val="NotesText"/>
              <w:rPr>
                <w:szCs w:val="18"/>
              </w:rPr>
            </w:pPr>
            <w:r w:rsidRPr="004212C7">
              <w:rPr>
                <w:vanish/>
                <w:szCs w:val="18"/>
              </w:rPr>
              <w:t>BR_73.23</w:t>
            </w:r>
            <w:r w:rsidRPr="004212C7">
              <w:rPr>
                <w:szCs w:val="18"/>
              </w:rPr>
              <w:t>When issuing blood components f</w:t>
            </w:r>
            <w:r w:rsidR="00276485">
              <w:rPr>
                <w:szCs w:val="18"/>
              </w:rPr>
              <w:t xml:space="preserve">rom the Any unit that </w:t>
            </w:r>
            <w:r w:rsidR="006549B7">
              <w:rPr>
                <w:szCs w:val="18"/>
              </w:rPr>
              <w:t>contains &gt;</w:t>
            </w:r>
            <w:r w:rsidR="00276485">
              <w:rPr>
                <w:szCs w:val="18"/>
              </w:rPr>
              <w:t xml:space="preserve"> = </w:t>
            </w:r>
            <w:r w:rsidRPr="004212C7">
              <w:rPr>
                <w:szCs w:val="18"/>
              </w:rPr>
              <w:t>2 mL of RBC contamination, the associated specimen’s TAS must be completed and the unit status must be crossmatched to the selected patient to routine issue. Optionally, the unit may be emergency issued.</w:t>
            </w:r>
          </w:p>
          <w:p w14:paraId="5CB2A138" w14:textId="77777777" w:rsidR="004212C7" w:rsidRPr="004212C7" w:rsidRDefault="004212C7" w:rsidP="00336F17">
            <w:pPr>
              <w:pStyle w:val="NotesText"/>
              <w:rPr>
                <w:szCs w:val="18"/>
              </w:rPr>
            </w:pPr>
          </w:p>
          <w:p w14:paraId="4BDFC2FA" w14:textId="77777777" w:rsidR="00AB3D10" w:rsidRPr="003A05F7" w:rsidRDefault="00AB3D10" w:rsidP="003A05F7">
            <w:pPr>
              <w:pStyle w:val="NotesText"/>
              <w:rPr>
                <w:sz w:val="16"/>
                <w:szCs w:val="16"/>
              </w:rPr>
            </w:pPr>
            <w:r w:rsidRPr="004212C7">
              <w:rPr>
                <w:szCs w:val="18"/>
              </w:rPr>
              <w:t xml:space="preserve">Whole blood is not allowed for </w:t>
            </w:r>
            <w:r w:rsidR="008C7599" w:rsidRPr="004212C7">
              <w:rPr>
                <w:szCs w:val="18"/>
              </w:rPr>
              <w:t xml:space="preserve">the </w:t>
            </w:r>
            <w:r w:rsidR="00FB3CC8" w:rsidRPr="004212C7">
              <w:rPr>
                <w:szCs w:val="18"/>
              </w:rPr>
              <w:t>emergency issue process. C</w:t>
            </w:r>
            <w:r w:rsidRPr="004212C7">
              <w:rPr>
                <w:szCs w:val="18"/>
              </w:rPr>
              <w:t xml:space="preserve">ompleted Type and Screen and compatible crossmatch </w:t>
            </w:r>
            <w:r w:rsidR="00FB3CC8" w:rsidRPr="004212C7">
              <w:rPr>
                <w:szCs w:val="18"/>
              </w:rPr>
              <w:t>tests are</w:t>
            </w:r>
            <w:r w:rsidRPr="004212C7">
              <w:rPr>
                <w:szCs w:val="18"/>
              </w:rPr>
              <w:t xml:space="preserve"> required for whole blood issuance. </w:t>
            </w:r>
            <w:r w:rsidRPr="003A05F7">
              <w:rPr>
                <w:vanish/>
                <w:sz w:val="16"/>
                <w:szCs w:val="16"/>
              </w:rPr>
              <w:t>DR 4811</w:t>
            </w:r>
            <w:r w:rsidR="003D719C" w:rsidRPr="003A05F7">
              <w:rPr>
                <w:vanish/>
                <w:sz w:val="16"/>
                <w:szCs w:val="16"/>
              </w:rPr>
              <w:t xml:space="preserve"> DR 4854</w:t>
            </w:r>
          </w:p>
        </w:tc>
      </w:tr>
      <w:tr w:rsidR="002A21AE" w14:paraId="19158FE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240" w:type="dxa"/>
            <w:tcBorders>
              <w:top w:val="single" w:sz="6" w:space="0" w:color="auto"/>
              <w:left w:val="single" w:sz="6" w:space="0" w:color="auto"/>
              <w:bottom w:val="single" w:sz="6" w:space="0" w:color="auto"/>
              <w:right w:val="single" w:sz="6" w:space="0" w:color="auto"/>
            </w:tcBorders>
          </w:tcPr>
          <w:p w14:paraId="755C3C67" w14:textId="77777777" w:rsidR="002A21AE" w:rsidRDefault="002A21AE">
            <w:pPr>
              <w:pStyle w:val="TableTextNumbers"/>
            </w:pPr>
            <w:r>
              <w:lastRenderedPageBreak/>
              <w:t xml:space="preserve">Click </w:t>
            </w:r>
            <w:r>
              <w:rPr>
                <w:b/>
              </w:rPr>
              <w:t>OK</w:t>
            </w:r>
            <w:r>
              <w:t xml:space="preserve"> </w:t>
            </w:r>
            <w:r w:rsidR="00A304AE">
              <w:t>to save and complete the unit issue</w:t>
            </w:r>
            <w:r>
              <w:t>.</w:t>
            </w:r>
          </w:p>
        </w:tc>
        <w:tc>
          <w:tcPr>
            <w:tcW w:w="6120" w:type="dxa"/>
            <w:tcBorders>
              <w:top w:val="single" w:sz="6" w:space="0" w:color="auto"/>
              <w:left w:val="single" w:sz="6" w:space="0" w:color="auto"/>
              <w:bottom w:val="single" w:sz="6" w:space="0" w:color="auto"/>
              <w:right w:val="single" w:sz="6" w:space="0" w:color="auto"/>
            </w:tcBorders>
          </w:tcPr>
          <w:p w14:paraId="6E86309A" w14:textId="77777777" w:rsidR="002A21AE" w:rsidRDefault="002A21AE">
            <w:pPr>
              <w:pStyle w:val="TableTextBullet"/>
              <w:tabs>
                <w:tab w:val="num" w:pos="360"/>
              </w:tabs>
            </w:pPr>
            <w:r>
              <w:t xml:space="preserve">Displays entries for review and editing. </w:t>
            </w:r>
          </w:p>
          <w:p w14:paraId="2D038772" w14:textId="77777777" w:rsidR="002A21AE" w:rsidRDefault="002A21AE">
            <w:pPr>
              <w:pStyle w:val="TableText"/>
            </w:pPr>
          </w:p>
          <w:p w14:paraId="7B6FF1DC" w14:textId="401F619C" w:rsidR="002A21AE" w:rsidRDefault="002A21AE">
            <w:pPr>
              <w:pStyle w:val="TableText"/>
              <w:rPr>
                <w:b/>
                <w:bCs/>
                <w:szCs w:val="18"/>
              </w:rPr>
            </w:pPr>
            <w:r>
              <w:rPr>
                <w:b/>
                <w:bCs/>
                <w:szCs w:val="18"/>
              </w:rPr>
              <w:t>NOTES</w:t>
            </w:r>
          </w:p>
          <w:p w14:paraId="109E6FC6" w14:textId="77777777" w:rsidR="002A21AE" w:rsidRDefault="002A21AE">
            <w:pPr>
              <w:pStyle w:val="NotesText"/>
            </w:pPr>
          </w:p>
          <w:p w14:paraId="7F5A3609" w14:textId="77777777" w:rsidR="002A21AE" w:rsidRDefault="002A21AE">
            <w:pPr>
              <w:pStyle w:val="NotesText"/>
            </w:pPr>
            <w:r>
              <w:rPr>
                <w:rFonts w:cs="Arial"/>
                <w:vanish/>
              </w:rPr>
              <w:t xml:space="preserve">BR_73.24 </w:t>
            </w:r>
            <w:r>
              <w:t>When the user selects multiple units for a patient and creates a batch for issue, all units in the batch are issued simultaneously to the same location. VBECS assigns the issue information to all units in the batch. The user may not enter different information, including any override comment, for an individual unit in the batch.</w:t>
            </w:r>
          </w:p>
          <w:p w14:paraId="1B202500" w14:textId="77777777" w:rsidR="0090203E" w:rsidRDefault="0090203E">
            <w:pPr>
              <w:pStyle w:val="NotesText"/>
            </w:pPr>
          </w:p>
          <w:p w14:paraId="2932B34E" w14:textId="615FCF55" w:rsidR="0090203E" w:rsidRDefault="0090203E">
            <w:pPr>
              <w:pStyle w:val="NotesText"/>
            </w:pPr>
            <w:r>
              <w:t>If</w:t>
            </w:r>
            <w:r w:rsidRPr="0090203E">
              <w:t xml:space="preserve"> the user clicks Cancel, VBECS closes without displaying a co</w:t>
            </w:r>
            <w:r>
              <w:t>nfirmation message that data will be</w:t>
            </w:r>
            <w:r w:rsidRPr="0090203E">
              <w:t xml:space="preserve"> lost.</w:t>
            </w:r>
            <w:r w:rsidR="00730CAA">
              <w:t xml:space="preserve"> </w:t>
            </w:r>
            <w:r w:rsidR="00730CAA" w:rsidRPr="00730CAA">
              <w:rPr>
                <w:vanish/>
              </w:rPr>
              <w:t>Defect 208530</w:t>
            </w:r>
          </w:p>
        </w:tc>
      </w:tr>
      <w:tr w:rsidR="002A21AE" w14:paraId="7010A05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240" w:type="dxa"/>
            <w:tcBorders>
              <w:top w:val="single" w:sz="6" w:space="0" w:color="auto"/>
              <w:left w:val="single" w:sz="6" w:space="0" w:color="auto"/>
              <w:bottom w:val="single" w:sz="6" w:space="0" w:color="auto"/>
              <w:right w:val="single" w:sz="6" w:space="0" w:color="auto"/>
            </w:tcBorders>
          </w:tcPr>
          <w:p w14:paraId="6B3E5F37" w14:textId="77777777" w:rsidR="002A21AE" w:rsidRDefault="002A21AE">
            <w:pPr>
              <w:pStyle w:val="TableTextNumbers"/>
            </w:pPr>
            <w:r>
              <w:t xml:space="preserve">Click </w:t>
            </w:r>
            <w:r>
              <w:rPr>
                <w:b/>
              </w:rPr>
              <w:t>Yes</w:t>
            </w:r>
            <w:r>
              <w:t xml:space="preserve"> when the unit is satisfactory to save, or </w:t>
            </w:r>
            <w:r>
              <w:rPr>
                <w:b/>
              </w:rPr>
              <w:t>No</w:t>
            </w:r>
            <w:r>
              <w:t xml:space="preserve"> when the unit is unsatisfactory.</w:t>
            </w:r>
          </w:p>
          <w:p w14:paraId="52D7BA10" w14:textId="77777777" w:rsidR="002A21AE" w:rsidRDefault="002A21AE">
            <w:pPr>
              <w:pStyle w:val="TableTextNumbers"/>
              <w:numPr>
                <w:ilvl w:val="0"/>
                <w:numId w:val="0"/>
              </w:numPr>
            </w:pPr>
          </w:p>
        </w:tc>
        <w:tc>
          <w:tcPr>
            <w:tcW w:w="6120" w:type="dxa"/>
            <w:tcBorders>
              <w:top w:val="single" w:sz="6" w:space="0" w:color="auto"/>
              <w:left w:val="single" w:sz="6" w:space="0" w:color="auto"/>
              <w:bottom w:val="single" w:sz="6" w:space="0" w:color="auto"/>
              <w:right w:val="single" w:sz="6" w:space="0" w:color="auto"/>
            </w:tcBorders>
          </w:tcPr>
          <w:p w14:paraId="3909E608" w14:textId="77777777" w:rsidR="002A21AE" w:rsidRDefault="002A21AE">
            <w:pPr>
              <w:pStyle w:val="TableTextBullet"/>
              <w:tabs>
                <w:tab w:val="num" w:pos="360"/>
              </w:tabs>
            </w:pPr>
            <w:r>
              <w:t>Saves the data.</w:t>
            </w:r>
          </w:p>
          <w:p w14:paraId="4BCAA22A" w14:textId="77777777" w:rsidR="002A21AE" w:rsidRDefault="002A21AE" w:rsidP="006709A3">
            <w:pPr>
              <w:pStyle w:val="TableTextBullet"/>
              <w:tabs>
                <w:tab w:val="num" w:pos="360"/>
              </w:tabs>
            </w:pPr>
            <w:r>
              <w:t>Displays the unit inspection indicator (satisfactory or unsatisfactory) listing each selected unit.</w:t>
            </w:r>
          </w:p>
          <w:p w14:paraId="40E30304" w14:textId="77777777" w:rsidR="009F2DE7" w:rsidRPr="00B25E96" w:rsidRDefault="009F2DE7" w:rsidP="00750533">
            <w:pPr>
              <w:pStyle w:val="TableTextBullet"/>
              <w:tabs>
                <w:tab w:val="num" w:pos="360"/>
              </w:tabs>
            </w:pPr>
            <w:r w:rsidRPr="00B25E96">
              <w:rPr>
                <w:rFonts w:cs="Arial"/>
                <w:szCs w:val="18"/>
              </w:rPr>
              <w:t xml:space="preserve">Sends updated patient and blood unit information to the BCE COTS system via an HL7 message. The message contains the date time when VBECS creates the message and not the date time the user selects the unit for issue. </w:t>
            </w:r>
            <w:r w:rsidRPr="00B25E96">
              <w:rPr>
                <w:rFonts w:cs="Arial"/>
                <w:vanish/>
                <w:szCs w:val="18"/>
              </w:rPr>
              <w:t>DR 4334</w:t>
            </w:r>
          </w:p>
          <w:p w14:paraId="5FF77D67" w14:textId="77777777" w:rsidR="002A21AE" w:rsidRDefault="002A21AE">
            <w:pPr>
              <w:pStyle w:val="TableText"/>
            </w:pPr>
          </w:p>
          <w:p w14:paraId="3492C72A" w14:textId="0EF07E1C" w:rsidR="002A21AE" w:rsidRDefault="002A21AE">
            <w:pPr>
              <w:pStyle w:val="TableText"/>
              <w:rPr>
                <w:b/>
                <w:bCs/>
                <w:szCs w:val="18"/>
              </w:rPr>
            </w:pPr>
            <w:r>
              <w:rPr>
                <w:b/>
                <w:bCs/>
                <w:szCs w:val="18"/>
              </w:rPr>
              <w:t>NOTES</w:t>
            </w:r>
          </w:p>
          <w:p w14:paraId="7DEF5B90" w14:textId="77777777" w:rsidR="002A21AE" w:rsidRDefault="002A21AE">
            <w:pPr>
              <w:pStyle w:val="NotesText"/>
            </w:pPr>
          </w:p>
          <w:p w14:paraId="6298A430" w14:textId="70B72A76" w:rsidR="002A21AE" w:rsidRDefault="00896F17">
            <w:pPr>
              <w:pStyle w:val="TableText"/>
              <w:ind w:left="360"/>
            </w:pPr>
            <w:r w:rsidRPr="00896F17">
              <w:rPr>
                <w:rStyle w:val="BullhornChar"/>
              </w:rPr>
              <w:lastRenderedPageBreak/>
              <w:t></w:t>
            </w:r>
            <w:r w:rsidRPr="00C51C45">
              <w:rPr>
                <w:rFonts w:ascii="Webdings" w:hAnsi="Webdings"/>
                <w:szCs w:val="22"/>
              </w:rPr>
              <w:t></w:t>
            </w:r>
            <w:r>
              <w:rPr>
                <w:rFonts w:cs="Arial"/>
                <w:szCs w:val="22"/>
              </w:rPr>
              <w:t>See</w:t>
            </w:r>
            <w:r w:rsidR="002A21AE">
              <w:t xml:space="preserve"> </w:t>
            </w:r>
            <w:r w:rsidR="00EE455E">
              <w:t xml:space="preserve">Table </w:t>
            </w:r>
            <w:r w:rsidR="00EE455E">
              <w:rPr>
                <w:noProof/>
              </w:rPr>
              <w:t>7</w:t>
            </w:r>
            <w:r w:rsidR="002A21AE">
              <w:t xml:space="preserve"> for alerts that may occur during this option.</w:t>
            </w:r>
          </w:p>
          <w:p w14:paraId="14DFAF77" w14:textId="77777777" w:rsidR="009F2DE7" w:rsidRDefault="009F2DE7">
            <w:pPr>
              <w:pStyle w:val="TableText"/>
              <w:ind w:left="360"/>
            </w:pPr>
          </w:p>
          <w:p w14:paraId="645B1C87" w14:textId="24631A63" w:rsidR="009F2DE7" w:rsidRDefault="009F2DE7">
            <w:pPr>
              <w:pStyle w:val="TableText"/>
              <w:ind w:left="360"/>
            </w:pPr>
            <w:r w:rsidRPr="00B25E96">
              <w:t>Sites using BCE COTS must issue blood components in real-time for BCE COTS to be able to perform transfusion verification.</w:t>
            </w:r>
            <w:r>
              <w:t xml:space="preserve"> </w:t>
            </w:r>
            <w:r w:rsidR="00BB7B66">
              <w:rPr>
                <w:vanish/>
              </w:rPr>
              <w:t>DR</w:t>
            </w:r>
            <w:r w:rsidR="00963554" w:rsidRPr="00963554">
              <w:rPr>
                <w:vanish/>
              </w:rPr>
              <w:t xml:space="preserve"> </w:t>
            </w:r>
            <w:r w:rsidR="00963554">
              <w:rPr>
                <w:vanish/>
              </w:rPr>
              <w:t>4334</w:t>
            </w:r>
          </w:p>
          <w:p w14:paraId="1A68DEFA" w14:textId="1C7E0EC0" w:rsidR="00FA3713" w:rsidRDefault="00FA3713">
            <w:pPr>
              <w:pStyle w:val="TableText"/>
              <w:ind w:left="360"/>
            </w:pPr>
          </w:p>
          <w:p w14:paraId="16625F02" w14:textId="5AF1996E" w:rsidR="009F2DE7" w:rsidRPr="00963554" w:rsidRDefault="00FA3713" w:rsidP="00963554">
            <w:pPr>
              <w:pStyle w:val="TableText"/>
              <w:ind w:left="360"/>
            </w:pPr>
            <w:r w:rsidRPr="00FA3713">
              <w:t>The area to mark a unit unsatisfactory for issue extends beyond the checkbox. A user that clicks in that area, but not the checkbox, could inadvertently mark a unit unsatisfactory for issue.</w:t>
            </w:r>
            <w:r>
              <w:t xml:space="preserve"> </w:t>
            </w:r>
            <w:r w:rsidRPr="00FA3713">
              <w:t>A VBECS Confirmation message window appears to verify the user wants to remove patient association and quarantine the unit.</w:t>
            </w:r>
            <w:r>
              <w:t xml:space="preserve"> The user must click No if he mistakenly indicated that the</w:t>
            </w:r>
            <w:r w:rsidRPr="00FA3713">
              <w:t xml:space="preserve"> unit was unsatisfactory for issue.</w:t>
            </w:r>
            <w:r w:rsidR="00730CAA">
              <w:t xml:space="preserve"> </w:t>
            </w:r>
            <w:r w:rsidR="00730CAA" w:rsidRPr="00730CAA">
              <w:rPr>
                <w:vanish/>
              </w:rPr>
              <w:t xml:space="preserve">Defect </w:t>
            </w:r>
            <w:r w:rsidR="008C2AAA">
              <w:rPr>
                <w:vanish/>
              </w:rPr>
              <w:t>959630</w:t>
            </w:r>
          </w:p>
          <w:p w14:paraId="56E37BC9" w14:textId="77777777" w:rsidR="009F2DE7" w:rsidRDefault="009F2DE7">
            <w:pPr>
              <w:pStyle w:val="TableText"/>
              <w:ind w:left="360"/>
            </w:pPr>
          </w:p>
        </w:tc>
      </w:tr>
      <w:tr w:rsidR="002A21AE" w14:paraId="20AF903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240" w:type="dxa"/>
            <w:tcBorders>
              <w:top w:val="single" w:sz="6" w:space="0" w:color="auto"/>
              <w:left w:val="single" w:sz="6" w:space="0" w:color="auto"/>
              <w:bottom w:val="single" w:sz="6" w:space="0" w:color="auto"/>
              <w:right w:val="single" w:sz="6" w:space="0" w:color="auto"/>
            </w:tcBorders>
          </w:tcPr>
          <w:p w14:paraId="48E50187" w14:textId="77777777" w:rsidR="002A21AE" w:rsidRDefault="002A21AE">
            <w:pPr>
              <w:pStyle w:val="TableTextNumbersContinued"/>
            </w:pPr>
          </w:p>
          <w:p w14:paraId="147867B2" w14:textId="77777777" w:rsidR="002A21AE" w:rsidRDefault="002A21AE">
            <w:pPr>
              <w:pStyle w:val="TableTextNumbers"/>
            </w:pPr>
            <w:r>
              <w:t xml:space="preserve">Exit. </w:t>
            </w:r>
            <w:r>
              <w:rPr>
                <w:vanish/>
                <w:color w:val="FFFFFF"/>
                <w:szCs w:val="18"/>
              </w:rPr>
              <w:fldChar w:fldCharType="begin"/>
            </w:r>
            <w:r>
              <w:rPr>
                <w:vanish/>
                <w:color w:val="FFFFFF"/>
                <w:szCs w:val="18"/>
              </w:rPr>
              <w:instrText xml:space="preserve"> LISTNUM \l 1 \s 0 </w:instrText>
            </w:r>
            <w:r>
              <w:rPr>
                <w:vanish/>
                <w:color w:val="FFFFFF"/>
                <w:szCs w:val="18"/>
              </w:rPr>
              <w:fldChar w:fldCharType="end">
                <w:numberingChange w:id="429" w:author="MUSZYNSKI, THOMAS D. (SIERRA 7 INC)" w:date="2024-11-26T07:15:00Z" w:original="0."/>
              </w:fldChar>
            </w:r>
          </w:p>
        </w:tc>
        <w:tc>
          <w:tcPr>
            <w:tcW w:w="6120" w:type="dxa"/>
            <w:tcBorders>
              <w:top w:val="single" w:sz="6" w:space="0" w:color="auto"/>
              <w:left w:val="single" w:sz="6" w:space="0" w:color="auto"/>
              <w:bottom w:val="single" w:sz="6" w:space="0" w:color="auto"/>
              <w:right w:val="single" w:sz="6" w:space="0" w:color="auto"/>
            </w:tcBorders>
          </w:tcPr>
          <w:p w14:paraId="6A2ECE5C" w14:textId="77777777" w:rsidR="002A21AE" w:rsidRDefault="002A21AE">
            <w:pPr>
              <w:pStyle w:val="TableText"/>
            </w:pPr>
          </w:p>
        </w:tc>
      </w:tr>
    </w:tbl>
    <w:p w14:paraId="0A3B6971" w14:textId="0CF7077E" w:rsidR="00A04663" w:rsidRDefault="00A04663" w:rsidP="00A04663">
      <w:pPr>
        <w:pStyle w:val="Caption"/>
      </w:pPr>
      <w:bookmarkStart w:id="430" w:name="_Ref127093318"/>
      <w:bookmarkStart w:id="431" w:name="_Toc94349378"/>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7D1829">
        <w:rPr>
          <w:noProof/>
        </w:rPr>
        <w:t>73</w:t>
      </w:r>
      <w:r w:rsidR="004E20BD">
        <w:rPr>
          <w:noProof/>
        </w:rPr>
        <w:fldChar w:fldCharType="end"/>
      </w:r>
      <w:bookmarkEnd w:id="430"/>
      <w:r>
        <w:t>: Issue Blood Components</w:t>
      </w:r>
      <w:r w:rsidR="005D4DA6">
        <w:t xml:space="preserve"> (1)</w:t>
      </w:r>
    </w:p>
    <w:p w14:paraId="2448CC06" w14:textId="77777777" w:rsidR="003B4820" w:rsidRDefault="00057948" w:rsidP="003B4820">
      <w:pPr>
        <w:pStyle w:val="BodyText"/>
      </w:pPr>
      <w:r>
        <w:rPr>
          <w:noProof/>
        </w:rPr>
        <w:drawing>
          <wp:inline distT="0" distB="0" distL="0" distR="0" wp14:anchorId="70CB0C8A" wp14:editId="2F93F0CD">
            <wp:extent cx="3722370" cy="2927985"/>
            <wp:effectExtent l="0" t="0" r="0" b="5715"/>
            <wp:docPr id="190" name="Picture 190" descr="Example of Issue Blood Components (1)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Picture 190" descr="Example of Issue Blood Components (1) screen capture"/>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3722370" cy="2927985"/>
                    </a:xfrm>
                    <a:prstGeom prst="rect">
                      <a:avLst/>
                    </a:prstGeom>
                    <a:noFill/>
                    <a:ln>
                      <a:noFill/>
                    </a:ln>
                  </pic:spPr>
                </pic:pic>
              </a:graphicData>
            </a:graphic>
          </wp:inline>
        </w:drawing>
      </w:r>
    </w:p>
    <w:p w14:paraId="17C7CFF5" w14:textId="32B2A105" w:rsidR="005D4DA6" w:rsidRDefault="005D4DA6" w:rsidP="005D4DA6">
      <w:pPr>
        <w:pStyle w:val="Caption"/>
      </w:pPr>
      <w:bookmarkStart w:id="432" w:name="_Ref127093568"/>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7D1829">
        <w:rPr>
          <w:noProof/>
        </w:rPr>
        <w:t>74</w:t>
      </w:r>
      <w:r w:rsidR="004E20BD">
        <w:rPr>
          <w:noProof/>
        </w:rPr>
        <w:fldChar w:fldCharType="end"/>
      </w:r>
      <w:bookmarkEnd w:id="432"/>
      <w:r>
        <w:t>: Issue Blood Components (2)</w:t>
      </w:r>
    </w:p>
    <w:p w14:paraId="6781B24F" w14:textId="25609A3B" w:rsidR="005D4DA6" w:rsidRDefault="00F927FC" w:rsidP="003B4820">
      <w:pPr>
        <w:pStyle w:val="BodyText"/>
      </w:pPr>
      <w:r>
        <w:rPr>
          <w:noProof/>
        </w:rPr>
        <w:drawing>
          <wp:inline distT="0" distB="0" distL="0" distR="0" wp14:anchorId="5D83E92E" wp14:editId="31929AE0">
            <wp:extent cx="5943600" cy="4223385"/>
            <wp:effectExtent l="0" t="0" r="0" b="5715"/>
            <wp:docPr id="179" name="Picture 179" descr="Example of Issue Blood Components (2)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Picture 106" descr="Example of Issue Blood Components (2) screen capture"/>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5943600" cy="4223385"/>
                    </a:xfrm>
                    <a:prstGeom prst="rect">
                      <a:avLst/>
                    </a:prstGeom>
                    <a:noFill/>
                    <a:ln>
                      <a:noFill/>
                    </a:ln>
                  </pic:spPr>
                </pic:pic>
              </a:graphicData>
            </a:graphic>
          </wp:inline>
        </w:drawing>
      </w:r>
    </w:p>
    <w:p w14:paraId="75A26566" w14:textId="77777777" w:rsidR="002A21AE" w:rsidRDefault="002A21AE">
      <w:pPr>
        <w:pStyle w:val="Heading4"/>
      </w:pPr>
      <w:r>
        <w:t>Issue Blood Components (Emergency)</w:t>
      </w:r>
      <w:bookmarkEnd w:id="431"/>
      <w:r>
        <w:fldChar w:fldCharType="begin"/>
      </w:r>
      <w:r>
        <w:instrText xml:space="preserve"> XE </w:instrText>
      </w:r>
      <w:r w:rsidR="00FA7E65">
        <w:instrText>“</w:instrText>
      </w:r>
      <w:r>
        <w:instrText>Issue Blood Components (Emergency)</w:instrText>
      </w:r>
      <w:r w:rsidR="00FA7E65">
        <w:instrText>”</w:instrText>
      </w:r>
      <w:r>
        <w:instrText xml:space="preserve"> </w:instrText>
      </w:r>
      <w:r>
        <w:fldChar w:fldCharType="end"/>
      </w:r>
    </w:p>
    <w:p w14:paraId="7218FF0D" w14:textId="77777777" w:rsidR="002A21AE" w:rsidRDefault="002A21AE" w:rsidP="00FA7E65">
      <w:pPr>
        <w:pStyle w:val="BodyText"/>
      </w:pPr>
      <w:r>
        <w:t xml:space="preserve">The user issues assigned or crossmatched blood to a transporter for patient transfusion that does not meet routine issue conditions at valid inpatient and outpatient hospital locations, and records issue details, including the transporter’s name or identifier. </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31F105A1" w14:textId="77777777">
        <w:trPr>
          <w:cantSplit/>
          <w:tblHeader/>
        </w:trPr>
        <w:tc>
          <w:tcPr>
            <w:tcW w:w="3240" w:type="dxa"/>
            <w:shd w:val="pct30" w:color="auto" w:fill="FFFFFF"/>
            <w:vAlign w:val="bottom"/>
          </w:tcPr>
          <w:p w14:paraId="43FD7F72" w14:textId="77777777" w:rsidR="002A21AE" w:rsidRDefault="002A21AE">
            <w:pPr>
              <w:pStyle w:val="TableText"/>
              <w:rPr>
                <w:b/>
              </w:rPr>
            </w:pPr>
            <w:r>
              <w:rPr>
                <w:b/>
              </w:rPr>
              <w:t>User Action</w:t>
            </w:r>
          </w:p>
        </w:tc>
        <w:tc>
          <w:tcPr>
            <w:tcW w:w="6120" w:type="dxa"/>
            <w:shd w:val="pct30" w:color="auto" w:fill="FFFFFF"/>
            <w:vAlign w:val="bottom"/>
          </w:tcPr>
          <w:p w14:paraId="6F0F1DA4" w14:textId="77777777" w:rsidR="002A21AE" w:rsidRDefault="002A21AE">
            <w:pPr>
              <w:pStyle w:val="TableText"/>
              <w:rPr>
                <w:b/>
              </w:rPr>
            </w:pPr>
            <w:r>
              <w:rPr>
                <w:b/>
              </w:rPr>
              <w:t>VBECS</w:t>
            </w:r>
          </w:p>
        </w:tc>
      </w:tr>
      <w:tr w:rsidR="002A21AE" w14:paraId="4869EDDD" w14:textId="77777777">
        <w:tc>
          <w:tcPr>
            <w:tcW w:w="3240" w:type="dxa"/>
            <w:tcBorders>
              <w:top w:val="single" w:sz="4" w:space="0" w:color="auto"/>
              <w:left w:val="single" w:sz="4" w:space="0" w:color="auto"/>
              <w:bottom w:val="single" w:sz="4" w:space="0" w:color="auto"/>
              <w:right w:val="single" w:sz="4" w:space="0" w:color="auto"/>
            </w:tcBorders>
          </w:tcPr>
          <w:p w14:paraId="0671BE72" w14:textId="77777777" w:rsidR="002A21AE" w:rsidRDefault="002A21AE">
            <w:pPr>
              <w:pStyle w:val="TableTextNumbers"/>
            </w:pPr>
            <w:r>
              <w:t xml:space="preserve">Select </w:t>
            </w:r>
            <w:r>
              <w:rPr>
                <w:b/>
              </w:rPr>
              <w:t>Patients</w:t>
            </w:r>
            <w:r>
              <w:t xml:space="preserve"> from the main menu.</w:t>
            </w:r>
          </w:p>
          <w:p w14:paraId="54A3BD6E" w14:textId="77777777" w:rsidR="002A21AE" w:rsidRDefault="002A21AE">
            <w:pPr>
              <w:pStyle w:val="TableTextNumbersContinued"/>
            </w:pPr>
          </w:p>
          <w:p w14:paraId="28A710A2" w14:textId="77777777" w:rsidR="002A21AE" w:rsidRDefault="002A21AE">
            <w:pPr>
              <w:pStyle w:val="TableTextNumbersContinued"/>
            </w:pPr>
            <w:r>
              <w:t xml:space="preserve">Select </w:t>
            </w:r>
            <w:r>
              <w:rPr>
                <w:b/>
              </w:rPr>
              <w:t>Issue Blood Components</w:t>
            </w:r>
            <w:r>
              <w:t>.</w:t>
            </w:r>
          </w:p>
        </w:tc>
        <w:tc>
          <w:tcPr>
            <w:tcW w:w="6120" w:type="dxa"/>
            <w:tcBorders>
              <w:top w:val="single" w:sz="4" w:space="0" w:color="auto"/>
              <w:left w:val="single" w:sz="4" w:space="0" w:color="auto"/>
              <w:bottom w:val="single" w:sz="4" w:space="0" w:color="auto"/>
              <w:right w:val="single" w:sz="4" w:space="0" w:color="auto"/>
            </w:tcBorders>
          </w:tcPr>
          <w:p w14:paraId="2C35F15E" w14:textId="77777777" w:rsidR="002A21AE" w:rsidRDefault="002A21AE">
            <w:pPr>
              <w:pStyle w:val="TableTextBullet"/>
            </w:pPr>
            <w:r>
              <w:t>Displays options for processing patient-related functions.</w:t>
            </w:r>
          </w:p>
          <w:p w14:paraId="2C7966CF" w14:textId="77777777" w:rsidR="002A21AE" w:rsidRDefault="002A21AE">
            <w:pPr>
              <w:pStyle w:val="TableTextBullet"/>
            </w:pPr>
            <w:r>
              <w:t>Displays an option to scan the Caution Tag or enter a patient name or ID.</w:t>
            </w:r>
          </w:p>
        </w:tc>
      </w:tr>
      <w:tr w:rsidR="002A21AE" w14:paraId="2FFFF75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240" w:type="dxa"/>
            <w:tcBorders>
              <w:top w:val="single" w:sz="6" w:space="0" w:color="auto"/>
              <w:left w:val="single" w:sz="6" w:space="0" w:color="auto"/>
              <w:bottom w:val="single" w:sz="6" w:space="0" w:color="auto"/>
              <w:right w:val="single" w:sz="6" w:space="0" w:color="auto"/>
            </w:tcBorders>
          </w:tcPr>
          <w:p w14:paraId="22D708E2" w14:textId="77777777" w:rsidR="002A21AE" w:rsidRDefault="002A21AE">
            <w:pPr>
              <w:pStyle w:val="TableTextNumbers"/>
            </w:pPr>
            <w:r>
              <w:t>Select a patient.</w:t>
            </w:r>
          </w:p>
        </w:tc>
        <w:tc>
          <w:tcPr>
            <w:tcW w:w="6120" w:type="dxa"/>
            <w:tcBorders>
              <w:top w:val="single" w:sz="6" w:space="0" w:color="auto"/>
              <w:left w:val="single" w:sz="6" w:space="0" w:color="auto"/>
              <w:bottom w:val="single" w:sz="6" w:space="0" w:color="auto"/>
              <w:right w:val="single" w:sz="6" w:space="0" w:color="auto"/>
            </w:tcBorders>
          </w:tcPr>
          <w:p w14:paraId="2E7C9886" w14:textId="77777777" w:rsidR="002A21AE" w:rsidRDefault="002A21AE">
            <w:pPr>
              <w:pStyle w:val="TableTextBullet"/>
              <w:tabs>
                <w:tab w:val="num" w:pos="360"/>
              </w:tabs>
            </w:pPr>
            <w:r>
              <w:t>Displays patient data, including entries that meet the entered patient criteria, and allows the user to select the correct patient.</w:t>
            </w:r>
          </w:p>
          <w:p w14:paraId="7CF41F06" w14:textId="77777777" w:rsidR="002A21AE" w:rsidRDefault="002A21AE">
            <w:pPr>
              <w:pStyle w:val="TableText"/>
            </w:pPr>
          </w:p>
          <w:p w14:paraId="3C571AEC" w14:textId="3B22A2E2" w:rsidR="002A21AE" w:rsidRDefault="002A21AE">
            <w:pPr>
              <w:pStyle w:val="TableText"/>
              <w:rPr>
                <w:b/>
                <w:bCs/>
                <w:szCs w:val="18"/>
              </w:rPr>
            </w:pPr>
            <w:r>
              <w:rPr>
                <w:b/>
                <w:bCs/>
                <w:szCs w:val="18"/>
              </w:rPr>
              <w:t>NOTES</w:t>
            </w:r>
          </w:p>
          <w:p w14:paraId="74B09F61" w14:textId="77777777" w:rsidR="002A21AE" w:rsidRDefault="002A21AE">
            <w:pPr>
              <w:pStyle w:val="NotesText"/>
            </w:pPr>
          </w:p>
          <w:p w14:paraId="36DF4FAA" w14:textId="1A72136D" w:rsidR="002A21AE" w:rsidRDefault="00896F17">
            <w:pPr>
              <w:pStyle w:val="NotesText"/>
            </w:pPr>
            <w:r w:rsidRPr="00896F17">
              <w:rPr>
                <w:rStyle w:val="BullhornChar"/>
              </w:rPr>
              <w:t></w:t>
            </w:r>
            <w:r w:rsidRPr="00C51C45">
              <w:rPr>
                <w:rFonts w:ascii="Webdings" w:hAnsi="Webdings"/>
                <w:szCs w:val="22"/>
              </w:rPr>
              <w:t></w:t>
            </w:r>
            <w:r>
              <w:rPr>
                <w:rFonts w:cs="Arial"/>
                <w:szCs w:val="22"/>
              </w:rPr>
              <w:t>See</w:t>
            </w:r>
            <w:r w:rsidR="002A21AE">
              <w:t xml:space="preserve"> </w:t>
            </w:r>
            <w:r w:rsidR="00EE455E">
              <w:t xml:space="preserve">Table </w:t>
            </w:r>
            <w:r w:rsidR="00EE455E">
              <w:rPr>
                <w:noProof/>
              </w:rPr>
              <w:t>8</w:t>
            </w:r>
            <w:r w:rsidR="002A21AE">
              <w:t xml:space="preserve"> for alerts that may occur during this option.</w:t>
            </w:r>
          </w:p>
        </w:tc>
      </w:tr>
      <w:tr w:rsidR="002A21AE" w14:paraId="469FFB3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240" w:type="dxa"/>
            <w:tcBorders>
              <w:top w:val="single" w:sz="6" w:space="0" w:color="auto"/>
              <w:left w:val="single" w:sz="6" w:space="0" w:color="auto"/>
              <w:bottom w:val="single" w:sz="6" w:space="0" w:color="auto"/>
              <w:right w:val="single" w:sz="6" w:space="0" w:color="auto"/>
            </w:tcBorders>
          </w:tcPr>
          <w:p w14:paraId="09BF87A4" w14:textId="77777777" w:rsidR="002A21AE" w:rsidRDefault="002A21AE">
            <w:pPr>
              <w:pStyle w:val="TableTextNumbers"/>
            </w:pPr>
            <w:r>
              <w:t xml:space="preserve">Click </w:t>
            </w:r>
            <w:r>
              <w:rPr>
                <w:b/>
              </w:rPr>
              <w:t>OK</w:t>
            </w:r>
            <w:r>
              <w:t xml:space="preserve"> to verify that the correct patient was selected.</w:t>
            </w:r>
          </w:p>
        </w:tc>
        <w:tc>
          <w:tcPr>
            <w:tcW w:w="6120" w:type="dxa"/>
            <w:tcBorders>
              <w:top w:val="single" w:sz="6" w:space="0" w:color="auto"/>
              <w:left w:val="single" w:sz="6" w:space="0" w:color="auto"/>
              <w:bottom w:val="single" w:sz="6" w:space="0" w:color="auto"/>
              <w:right w:val="single" w:sz="6" w:space="0" w:color="auto"/>
            </w:tcBorders>
          </w:tcPr>
          <w:p w14:paraId="13C34E4F" w14:textId="77777777" w:rsidR="002A21AE" w:rsidRDefault="002A21AE">
            <w:pPr>
              <w:pStyle w:val="TableTextBullet"/>
              <w:tabs>
                <w:tab w:val="clear" w:pos="288"/>
              </w:tabs>
            </w:pPr>
            <w:r>
              <w:t>Displays fields for the user to enter the data for the issue transaction.</w:t>
            </w:r>
          </w:p>
        </w:tc>
      </w:tr>
      <w:tr w:rsidR="002A21AE" w14:paraId="2623DDA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5"/>
        </w:trPr>
        <w:tc>
          <w:tcPr>
            <w:tcW w:w="3240" w:type="dxa"/>
            <w:tcBorders>
              <w:top w:val="single" w:sz="6" w:space="0" w:color="auto"/>
              <w:left w:val="single" w:sz="6" w:space="0" w:color="auto"/>
              <w:bottom w:val="single" w:sz="6" w:space="0" w:color="auto"/>
              <w:right w:val="single" w:sz="6" w:space="0" w:color="auto"/>
            </w:tcBorders>
          </w:tcPr>
          <w:p w14:paraId="0275A156" w14:textId="77777777" w:rsidR="002A21AE" w:rsidRDefault="002A21AE">
            <w:pPr>
              <w:pStyle w:val="TableTextNumbers"/>
            </w:pPr>
            <w:r>
              <w:t>Enter the required data.</w:t>
            </w:r>
          </w:p>
        </w:tc>
        <w:tc>
          <w:tcPr>
            <w:tcW w:w="6120" w:type="dxa"/>
            <w:tcBorders>
              <w:top w:val="single" w:sz="6" w:space="0" w:color="auto"/>
              <w:left w:val="single" w:sz="6" w:space="0" w:color="auto"/>
              <w:bottom w:val="single" w:sz="6" w:space="0" w:color="auto"/>
              <w:right w:val="single" w:sz="6" w:space="0" w:color="auto"/>
            </w:tcBorders>
          </w:tcPr>
          <w:p w14:paraId="75BB1BBB" w14:textId="77777777" w:rsidR="002A21AE" w:rsidRDefault="002A21AE">
            <w:pPr>
              <w:pStyle w:val="TableTextBullet"/>
              <w:tabs>
                <w:tab w:val="num" w:pos="360"/>
              </w:tabs>
            </w:pPr>
            <w:r>
              <w:t>Displays the option to select units from the Assigned Units or Emergency Issue Units tabs.</w:t>
            </w:r>
          </w:p>
        </w:tc>
      </w:tr>
      <w:tr w:rsidR="002A21AE" w14:paraId="3DF28F4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240" w:type="dxa"/>
            <w:tcBorders>
              <w:top w:val="single" w:sz="6" w:space="0" w:color="auto"/>
              <w:left w:val="single" w:sz="6" w:space="0" w:color="auto"/>
              <w:bottom w:val="single" w:sz="6" w:space="0" w:color="auto"/>
              <w:right w:val="single" w:sz="6" w:space="0" w:color="auto"/>
            </w:tcBorders>
          </w:tcPr>
          <w:p w14:paraId="48FC39A5" w14:textId="77777777" w:rsidR="002A21AE" w:rsidRDefault="002A21AE">
            <w:pPr>
              <w:pStyle w:val="TableTextNumbers"/>
            </w:pPr>
            <w:r>
              <w:lastRenderedPageBreak/>
              <w:t xml:space="preserve">Click the </w:t>
            </w:r>
            <w:r>
              <w:rPr>
                <w:b/>
              </w:rPr>
              <w:t>Emergency Issue Units tab</w:t>
            </w:r>
            <w:r>
              <w:t>.</w:t>
            </w:r>
          </w:p>
          <w:p w14:paraId="0F3C5C31" w14:textId="77777777" w:rsidR="002A21AE" w:rsidRDefault="002A21AE">
            <w:pPr>
              <w:pStyle w:val="TableTextNumbersContinued"/>
            </w:pPr>
          </w:p>
          <w:p w14:paraId="19A970D6" w14:textId="59A5DE92" w:rsidR="002A21AE" w:rsidRDefault="002A21AE">
            <w:pPr>
              <w:pStyle w:val="TableTextNumbersContinued"/>
            </w:pPr>
            <w:r>
              <w:t>Scan or click one or more check boxes to select units for issue to the selected patient</w:t>
            </w:r>
            <w:r w:rsidR="00FD6D00">
              <w:t xml:space="preserve"> (</w:t>
            </w:r>
            <w:r w:rsidR="00EE455E">
              <w:t xml:space="preserve">Figure </w:t>
            </w:r>
            <w:r w:rsidR="00EE455E">
              <w:rPr>
                <w:noProof/>
              </w:rPr>
              <w:t>74</w:t>
            </w:r>
            <w:r w:rsidR="00FD6D00">
              <w:t>)</w:t>
            </w:r>
            <w:r>
              <w:t>.</w:t>
            </w:r>
          </w:p>
          <w:p w14:paraId="145A7B97" w14:textId="77777777" w:rsidR="002A21AE" w:rsidRDefault="002A21AE">
            <w:pPr>
              <w:pStyle w:val="TableTextNumbersContinued"/>
            </w:pPr>
          </w:p>
          <w:p w14:paraId="6E440C05" w14:textId="77777777" w:rsidR="002A21AE" w:rsidRDefault="002A21AE">
            <w:pPr>
              <w:pStyle w:val="TableTextNumbersContinued"/>
            </w:pPr>
            <w:r>
              <w:t xml:space="preserve">Click </w:t>
            </w:r>
            <w:r>
              <w:rPr>
                <w:b/>
              </w:rPr>
              <w:t>OK</w:t>
            </w:r>
            <w:r>
              <w:t>.</w:t>
            </w:r>
          </w:p>
        </w:tc>
        <w:tc>
          <w:tcPr>
            <w:tcW w:w="6120" w:type="dxa"/>
            <w:tcBorders>
              <w:top w:val="single" w:sz="6" w:space="0" w:color="auto"/>
              <w:left w:val="single" w:sz="6" w:space="0" w:color="auto"/>
              <w:bottom w:val="single" w:sz="6" w:space="0" w:color="auto"/>
              <w:right w:val="single" w:sz="6" w:space="0" w:color="auto"/>
            </w:tcBorders>
          </w:tcPr>
          <w:p w14:paraId="438E168D" w14:textId="77777777" w:rsidR="002A21AE" w:rsidRDefault="002A21AE">
            <w:pPr>
              <w:pStyle w:val="TableTextBullet"/>
              <w:tabs>
                <w:tab w:val="num" w:pos="360"/>
              </w:tabs>
            </w:pPr>
            <w:r>
              <w:t>Lists the selected units, allows the user to select additional units or deselect units, and prompts the user to indicate th</w:t>
            </w:r>
            <w:r w:rsidR="006709A3">
              <w:t>at the selections are complete.</w:t>
            </w:r>
          </w:p>
          <w:p w14:paraId="3D03E714" w14:textId="77777777" w:rsidR="006709A3" w:rsidRDefault="006709A3" w:rsidP="006709A3">
            <w:pPr>
              <w:pStyle w:val="TableTextBullet"/>
              <w:tabs>
                <w:tab w:val="num" w:pos="360"/>
              </w:tabs>
            </w:pPr>
            <w:r>
              <w:t>Allows the user to select the unsatisfactory unit and edit its issue selections.</w:t>
            </w:r>
          </w:p>
          <w:p w14:paraId="59C4CB85" w14:textId="77777777" w:rsidR="002A21AE" w:rsidRDefault="002A21AE">
            <w:pPr>
              <w:pStyle w:val="TableText"/>
            </w:pPr>
          </w:p>
          <w:p w14:paraId="6DC0A4AD" w14:textId="3ACF801C" w:rsidR="002A21AE" w:rsidRDefault="002A21AE">
            <w:pPr>
              <w:pStyle w:val="TableText"/>
              <w:rPr>
                <w:b/>
                <w:bCs/>
                <w:szCs w:val="18"/>
              </w:rPr>
            </w:pPr>
            <w:r>
              <w:rPr>
                <w:b/>
                <w:bCs/>
                <w:szCs w:val="18"/>
              </w:rPr>
              <w:t>NOTES</w:t>
            </w:r>
          </w:p>
          <w:p w14:paraId="127A6840" w14:textId="77777777" w:rsidR="002A21AE" w:rsidRDefault="002A21AE">
            <w:pPr>
              <w:pStyle w:val="NotesText"/>
            </w:pPr>
          </w:p>
          <w:p w14:paraId="7CFE2C33" w14:textId="65B64C3C" w:rsidR="002A21AE" w:rsidRDefault="00896F17">
            <w:pPr>
              <w:pStyle w:val="TableText"/>
              <w:ind w:left="360"/>
            </w:pPr>
            <w:r w:rsidRPr="00896F17">
              <w:rPr>
                <w:rStyle w:val="BullhornChar"/>
              </w:rPr>
              <w:t></w:t>
            </w:r>
            <w:r w:rsidRPr="00C51C45">
              <w:rPr>
                <w:rFonts w:ascii="Webdings" w:hAnsi="Webdings"/>
                <w:szCs w:val="22"/>
              </w:rPr>
              <w:t></w:t>
            </w:r>
            <w:r>
              <w:rPr>
                <w:rFonts w:cs="Arial"/>
                <w:szCs w:val="22"/>
              </w:rPr>
              <w:t>See</w:t>
            </w:r>
            <w:r w:rsidR="002A21AE">
              <w:t xml:space="preserve"> </w:t>
            </w:r>
            <w:r w:rsidR="00EE455E">
              <w:t xml:space="preserve">Table </w:t>
            </w:r>
            <w:r w:rsidR="00EE455E">
              <w:rPr>
                <w:noProof/>
              </w:rPr>
              <w:t>8</w:t>
            </w:r>
            <w:r w:rsidR="00016901">
              <w:t xml:space="preserve"> </w:t>
            </w:r>
            <w:r w:rsidR="002A21AE">
              <w:t>for alerts that may occur during this option.</w:t>
            </w:r>
          </w:p>
        </w:tc>
      </w:tr>
      <w:tr w:rsidR="002A21AE" w14:paraId="33B54BCA"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240" w:type="dxa"/>
            <w:tcBorders>
              <w:top w:val="single" w:sz="6" w:space="0" w:color="auto"/>
              <w:left w:val="single" w:sz="6" w:space="0" w:color="auto"/>
              <w:bottom w:val="single" w:sz="6" w:space="0" w:color="auto"/>
              <w:right w:val="single" w:sz="6" w:space="0" w:color="auto"/>
            </w:tcBorders>
          </w:tcPr>
          <w:p w14:paraId="1D6F35E4" w14:textId="77777777" w:rsidR="002A21AE" w:rsidRDefault="002A21AE">
            <w:pPr>
              <w:pStyle w:val="TableTextNumbers"/>
            </w:pPr>
            <w:r>
              <w:t xml:space="preserve">Click </w:t>
            </w:r>
            <w:r>
              <w:rPr>
                <w:b/>
              </w:rPr>
              <w:t>OK</w:t>
            </w:r>
            <w:r>
              <w:t xml:space="preserve"> to accept the entries and complete the unit issue.</w:t>
            </w:r>
          </w:p>
        </w:tc>
        <w:tc>
          <w:tcPr>
            <w:tcW w:w="6120" w:type="dxa"/>
            <w:tcBorders>
              <w:top w:val="single" w:sz="6" w:space="0" w:color="auto"/>
              <w:left w:val="single" w:sz="6" w:space="0" w:color="auto"/>
              <w:bottom w:val="single" w:sz="6" w:space="0" w:color="auto"/>
              <w:right w:val="single" w:sz="6" w:space="0" w:color="auto"/>
            </w:tcBorders>
          </w:tcPr>
          <w:p w14:paraId="4E732DEA" w14:textId="77777777" w:rsidR="002A21AE" w:rsidRDefault="002A21AE">
            <w:pPr>
              <w:pStyle w:val="TableTextBullet"/>
              <w:tabs>
                <w:tab w:val="num" w:pos="360"/>
              </w:tabs>
            </w:pPr>
            <w:r>
              <w:t xml:space="preserve">Displays entries for review and editing. </w:t>
            </w:r>
          </w:p>
        </w:tc>
      </w:tr>
      <w:tr w:rsidR="002A21AE" w14:paraId="0B9FCF6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240" w:type="dxa"/>
            <w:tcBorders>
              <w:top w:val="single" w:sz="6" w:space="0" w:color="auto"/>
              <w:left w:val="single" w:sz="6" w:space="0" w:color="auto"/>
              <w:bottom w:val="single" w:sz="6" w:space="0" w:color="auto"/>
              <w:right w:val="single" w:sz="6" w:space="0" w:color="auto"/>
            </w:tcBorders>
          </w:tcPr>
          <w:p w14:paraId="4D295FCB" w14:textId="77777777" w:rsidR="002A21AE" w:rsidRDefault="002A21AE">
            <w:pPr>
              <w:pStyle w:val="TableTextNumbers"/>
            </w:pPr>
            <w:r>
              <w:t xml:space="preserve">Click </w:t>
            </w:r>
            <w:r>
              <w:rPr>
                <w:b/>
              </w:rPr>
              <w:t>Yes</w:t>
            </w:r>
            <w:r>
              <w:t xml:space="preserve"> when the unit is satisfactory or </w:t>
            </w:r>
            <w:r>
              <w:rPr>
                <w:b/>
              </w:rPr>
              <w:t>No</w:t>
            </w:r>
            <w:r>
              <w:t xml:space="preserve"> when the unit is unsatisfactory.</w:t>
            </w:r>
          </w:p>
        </w:tc>
        <w:tc>
          <w:tcPr>
            <w:tcW w:w="6120" w:type="dxa"/>
            <w:tcBorders>
              <w:top w:val="single" w:sz="6" w:space="0" w:color="auto"/>
              <w:left w:val="single" w:sz="6" w:space="0" w:color="auto"/>
              <w:bottom w:val="single" w:sz="6" w:space="0" w:color="auto"/>
              <w:right w:val="single" w:sz="6" w:space="0" w:color="auto"/>
            </w:tcBorders>
          </w:tcPr>
          <w:p w14:paraId="474CDFAA" w14:textId="77777777" w:rsidR="002A21AE" w:rsidRDefault="002A21AE">
            <w:pPr>
              <w:pStyle w:val="TableTextBullet"/>
              <w:tabs>
                <w:tab w:val="num" w:pos="360"/>
              </w:tabs>
            </w:pPr>
            <w:r>
              <w:t>Saves the data.</w:t>
            </w:r>
          </w:p>
          <w:p w14:paraId="6B2D4C54" w14:textId="77777777" w:rsidR="002A21AE" w:rsidRDefault="002A21AE">
            <w:pPr>
              <w:pStyle w:val="TableTextBullet"/>
              <w:tabs>
                <w:tab w:val="num" w:pos="360"/>
              </w:tabs>
            </w:pPr>
            <w:r>
              <w:t>Displays the unit inspection indicator (satisfactory or unsatisfactory) listing each selected unit.</w:t>
            </w:r>
          </w:p>
          <w:p w14:paraId="43D62EF9" w14:textId="77777777" w:rsidR="00095D68" w:rsidRDefault="00095D68" w:rsidP="00095D68">
            <w:pPr>
              <w:pStyle w:val="TableTextBullet"/>
              <w:tabs>
                <w:tab w:val="num" w:pos="360"/>
              </w:tabs>
            </w:pPr>
            <w:r>
              <w:rPr>
                <w:rFonts w:cs="Arial"/>
                <w:szCs w:val="18"/>
              </w:rPr>
              <w:t>S</w:t>
            </w:r>
            <w:r w:rsidRPr="00B1287E">
              <w:rPr>
                <w:rFonts w:cs="Arial"/>
                <w:szCs w:val="18"/>
              </w:rPr>
              <w:t>ends</w:t>
            </w:r>
            <w:r>
              <w:rPr>
                <w:rFonts w:cs="Arial"/>
                <w:szCs w:val="18"/>
              </w:rPr>
              <w:t xml:space="preserve"> updated</w:t>
            </w:r>
            <w:r w:rsidRPr="00B1287E">
              <w:rPr>
                <w:rFonts w:cs="Arial"/>
                <w:szCs w:val="18"/>
              </w:rPr>
              <w:t xml:space="preserve"> patient and blood unit</w:t>
            </w:r>
            <w:r>
              <w:rPr>
                <w:rFonts w:cs="Arial"/>
                <w:szCs w:val="18"/>
              </w:rPr>
              <w:t xml:space="preserve"> information t</w:t>
            </w:r>
            <w:r w:rsidRPr="00B1287E">
              <w:rPr>
                <w:rFonts w:cs="Arial"/>
                <w:szCs w:val="18"/>
              </w:rPr>
              <w:t>o the BCE COTS system via an HL7 message.</w:t>
            </w:r>
          </w:p>
          <w:p w14:paraId="0AD4D50F" w14:textId="77777777" w:rsidR="002A21AE" w:rsidRDefault="002A21AE">
            <w:pPr>
              <w:pStyle w:val="TableText"/>
            </w:pPr>
          </w:p>
          <w:p w14:paraId="21FE68AF" w14:textId="45727B01" w:rsidR="002A21AE" w:rsidRDefault="002A21AE">
            <w:pPr>
              <w:pStyle w:val="TableText"/>
              <w:rPr>
                <w:b/>
                <w:bCs/>
                <w:szCs w:val="18"/>
              </w:rPr>
            </w:pPr>
            <w:r>
              <w:rPr>
                <w:b/>
                <w:bCs/>
                <w:szCs w:val="18"/>
              </w:rPr>
              <w:t>NOTES</w:t>
            </w:r>
          </w:p>
          <w:p w14:paraId="3802B8F2" w14:textId="77777777" w:rsidR="002A21AE" w:rsidRDefault="002A21AE">
            <w:pPr>
              <w:pStyle w:val="NotesText"/>
            </w:pPr>
          </w:p>
          <w:p w14:paraId="5B7DFEAB" w14:textId="4BF2E57A" w:rsidR="002A21AE" w:rsidRDefault="00896F17">
            <w:pPr>
              <w:pStyle w:val="TableText"/>
              <w:ind w:left="360"/>
            </w:pPr>
            <w:r w:rsidRPr="00896F17">
              <w:rPr>
                <w:rStyle w:val="BullhornChar"/>
              </w:rPr>
              <w:t></w:t>
            </w:r>
            <w:r w:rsidRPr="00C51C45">
              <w:rPr>
                <w:rFonts w:ascii="Webdings" w:hAnsi="Webdings"/>
                <w:szCs w:val="22"/>
              </w:rPr>
              <w:t></w:t>
            </w:r>
            <w:r>
              <w:rPr>
                <w:rFonts w:cs="Arial"/>
                <w:szCs w:val="22"/>
              </w:rPr>
              <w:t>See</w:t>
            </w:r>
            <w:r w:rsidR="002A21AE">
              <w:t xml:space="preserve"> </w:t>
            </w:r>
            <w:r w:rsidR="00EE455E">
              <w:t xml:space="preserve">Table </w:t>
            </w:r>
            <w:r w:rsidR="00EE455E">
              <w:rPr>
                <w:noProof/>
              </w:rPr>
              <w:t>8</w:t>
            </w:r>
            <w:r w:rsidR="002A21AE">
              <w:t xml:space="preserve"> for alerts that may occur during this option.</w:t>
            </w:r>
          </w:p>
        </w:tc>
      </w:tr>
      <w:tr w:rsidR="002A21AE" w14:paraId="456EB52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240" w:type="dxa"/>
            <w:tcBorders>
              <w:top w:val="single" w:sz="6" w:space="0" w:color="auto"/>
              <w:left w:val="single" w:sz="6" w:space="0" w:color="auto"/>
              <w:bottom w:val="single" w:sz="6" w:space="0" w:color="auto"/>
              <w:right w:val="single" w:sz="6" w:space="0" w:color="auto"/>
            </w:tcBorders>
          </w:tcPr>
          <w:p w14:paraId="0CE43767" w14:textId="77777777" w:rsidR="002A21AE" w:rsidRDefault="002A21AE">
            <w:pPr>
              <w:pStyle w:val="TableTextNumbers"/>
            </w:pPr>
            <w:r>
              <w:t xml:space="preserve">Exit. </w:t>
            </w:r>
            <w:r>
              <w:rPr>
                <w:vanish/>
                <w:color w:val="FFFFFF"/>
                <w:szCs w:val="18"/>
              </w:rPr>
              <w:fldChar w:fldCharType="begin"/>
            </w:r>
            <w:r>
              <w:rPr>
                <w:vanish/>
                <w:color w:val="FFFFFF"/>
                <w:szCs w:val="18"/>
              </w:rPr>
              <w:instrText xml:space="preserve"> LISTNUM \l 1 \s 0 </w:instrText>
            </w:r>
            <w:r>
              <w:rPr>
                <w:vanish/>
                <w:color w:val="FFFFFF"/>
                <w:szCs w:val="18"/>
              </w:rPr>
              <w:fldChar w:fldCharType="end">
                <w:numberingChange w:id="433" w:author="MUSZYNSKI, THOMAS D. (SIERRA 7 INC)" w:date="2024-11-26T07:15:00Z" w:original="0."/>
              </w:fldChar>
            </w:r>
          </w:p>
        </w:tc>
        <w:tc>
          <w:tcPr>
            <w:tcW w:w="6120" w:type="dxa"/>
            <w:tcBorders>
              <w:top w:val="single" w:sz="6" w:space="0" w:color="auto"/>
              <w:left w:val="single" w:sz="6" w:space="0" w:color="auto"/>
              <w:bottom w:val="single" w:sz="6" w:space="0" w:color="auto"/>
              <w:right w:val="single" w:sz="6" w:space="0" w:color="auto"/>
            </w:tcBorders>
          </w:tcPr>
          <w:p w14:paraId="2A2E1880" w14:textId="77777777" w:rsidR="002A21AE" w:rsidRDefault="002A21AE">
            <w:pPr>
              <w:pStyle w:val="TableText"/>
            </w:pPr>
          </w:p>
        </w:tc>
      </w:tr>
    </w:tbl>
    <w:p w14:paraId="43294E8C" w14:textId="6E60A656" w:rsidR="00FD6D00" w:rsidRDefault="00FD6D00" w:rsidP="00FD6D00">
      <w:pPr>
        <w:pStyle w:val="Caption"/>
      </w:pPr>
      <w:bookmarkStart w:id="434" w:name="_Ref127094243"/>
      <w:bookmarkStart w:id="435" w:name="_Toc94349379"/>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7D1829">
        <w:rPr>
          <w:noProof/>
        </w:rPr>
        <w:t>75</w:t>
      </w:r>
      <w:r w:rsidR="004E20BD">
        <w:rPr>
          <w:noProof/>
        </w:rPr>
        <w:fldChar w:fldCharType="end"/>
      </w:r>
      <w:bookmarkEnd w:id="434"/>
      <w:r>
        <w:t>: Issue Blood Components Emergency Issue Units Tab</w:t>
      </w:r>
    </w:p>
    <w:p w14:paraId="22B72A7A" w14:textId="3ECAFCAC" w:rsidR="00FD6D00" w:rsidRDefault="00F927FC" w:rsidP="00FD6D00">
      <w:pPr>
        <w:pStyle w:val="BodyText"/>
      </w:pPr>
      <w:r>
        <w:rPr>
          <w:noProof/>
        </w:rPr>
        <w:drawing>
          <wp:inline distT="0" distB="0" distL="0" distR="0" wp14:anchorId="03EB2700" wp14:editId="604C4409">
            <wp:extent cx="5943600" cy="4224020"/>
            <wp:effectExtent l="0" t="0" r="0" b="5080"/>
            <wp:docPr id="180" name="Picture 180" descr="Example of Issue Blood Components Emergency Issue Units Tab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Picture 115" descr="Example of Issue Blood Components Emergency Issue Units Tab screen capture"/>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5943600" cy="4224020"/>
                    </a:xfrm>
                    <a:prstGeom prst="rect">
                      <a:avLst/>
                    </a:prstGeom>
                    <a:noFill/>
                    <a:ln>
                      <a:noFill/>
                    </a:ln>
                  </pic:spPr>
                </pic:pic>
              </a:graphicData>
            </a:graphic>
          </wp:inline>
        </w:drawing>
      </w:r>
    </w:p>
    <w:p w14:paraId="67E54716" w14:textId="77777777" w:rsidR="008803E6" w:rsidRDefault="008803E6" w:rsidP="00FD6D00">
      <w:pPr>
        <w:pStyle w:val="BodyText"/>
      </w:pPr>
    </w:p>
    <w:p w14:paraId="61E4FCBE" w14:textId="10BC00A8" w:rsidR="008803E6" w:rsidRDefault="008803E6" w:rsidP="008803E6">
      <w:pPr>
        <w:pStyle w:val="Caption"/>
      </w:pPr>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7D1829">
        <w:rPr>
          <w:noProof/>
        </w:rPr>
        <w:t>76</w:t>
      </w:r>
      <w:r w:rsidR="004E20BD">
        <w:rPr>
          <w:noProof/>
        </w:rPr>
        <w:fldChar w:fldCharType="end"/>
      </w:r>
      <w:r>
        <w:t>: Emergency Issue</w:t>
      </w:r>
    </w:p>
    <w:p w14:paraId="28C0F87D" w14:textId="77FBB0AB" w:rsidR="008803E6" w:rsidRPr="00883DA7" w:rsidRDefault="001B42C7" w:rsidP="00FD6D00">
      <w:pPr>
        <w:pStyle w:val="BodyText"/>
      </w:pPr>
      <w:r>
        <w:object w:dxaOrig="9612" w:dyaOrig="9268" w14:anchorId="0A54CD12">
          <v:shape id="_x0000_i1029" type="#_x0000_t75" alt="Emergency Isssue Flowcharg" style="width:468pt;height:453.75pt" o:ole="">
            <v:imagedata r:id="rId164" o:title=""/>
          </v:shape>
          <o:OLEObject Type="Embed" ProgID="Visio.Drawing.11" ShapeID="_x0000_i1029" DrawAspect="Content" ObjectID="_1816593591" r:id="rId165"/>
        </w:object>
      </w:r>
    </w:p>
    <w:p w14:paraId="0E09A9BB" w14:textId="77777777" w:rsidR="002A21AE" w:rsidRDefault="00AC3860">
      <w:pPr>
        <w:pStyle w:val="Heading4"/>
      </w:pPr>
      <w:r>
        <w:rPr>
          <w:rStyle w:val="BullhornChar"/>
        </w:rPr>
        <w:br w:type="page"/>
      </w:r>
      <w:r w:rsidR="00F92F72" w:rsidRPr="00896F17">
        <w:rPr>
          <w:rStyle w:val="BullhornChar"/>
        </w:rPr>
        <w:lastRenderedPageBreak/>
        <w:t></w:t>
      </w:r>
      <w:r w:rsidR="00F92F72">
        <w:rPr>
          <w:rFonts w:ascii="Webdings" w:hAnsi="Webdings"/>
        </w:rPr>
        <w:t></w:t>
      </w:r>
      <w:r w:rsidR="002A21AE">
        <w:t>Alerts</w:t>
      </w:r>
      <w:bookmarkEnd w:id="435"/>
    </w:p>
    <w:p w14:paraId="23C12801" w14:textId="0621DF99" w:rsidR="002A21AE" w:rsidRDefault="002A21AE">
      <w:pPr>
        <w:pStyle w:val="Caption"/>
      </w:pPr>
      <w:bookmarkStart w:id="436" w:name="_Ref126486291"/>
      <w:bookmarkStart w:id="437" w:name="_Toc97523619"/>
      <w:bookmarkStart w:id="438" w:name="_Toc97527589"/>
      <w:r>
        <w:t xml:space="preserve">Table </w:t>
      </w:r>
      <w:r w:rsidR="004E20BD">
        <w:rPr>
          <w:noProof/>
        </w:rPr>
        <w:fldChar w:fldCharType="begin"/>
      </w:r>
      <w:r w:rsidR="004E20BD">
        <w:rPr>
          <w:noProof/>
        </w:rPr>
        <w:instrText xml:space="preserve"> SEQ Table \* ARABIC </w:instrText>
      </w:r>
      <w:r w:rsidR="004E20BD">
        <w:rPr>
          <w:noProof/>
        </w:rPr>
        <w:fldChar w:fldCharType="separate"/>
      </w:r>
      <w:r w:rsidR="007D1829">
        <w:rPr>
          <w:noProof/>
        </w:rPr>
        <w:t>7</w:t>
      </w:r>
      <w:r w:rsidR="004E20BD">
        <w:rPr>
          <w:noProof/>
        </w:rPr>
        <w:fldChar w:fldCharType="end"/>
      </w:r>
      <w:bookmarkEnd w:id="436"/>
      <w:r>
        <w:t>: Alerts That May Occur in Issue Blood Components</w:t>
      </w:r>
      <w:bookmarkEnd w:id="437"/>
      <w:bookmarkEnd w:id="438"/>
      <w:r w:rsidR="007122D4">
        <w:t xml:space="preserve"> (Routine) </w:t>
      </w:r>
      <w:r>
        <w:fldChar w:fldCharType="begin"/>
      </w:r>
      <w:r>
        <w:instrText xml:space="preserve"> XE </w:instrText>
      </w:r>
      <w:r w:rsidR="00FA7E65">
        <w:instrText>“</w:instrText>
      </w:r>
      <w:r>
        <w:instrText>Tables:Alerts That May Occur in Issue Blood Components</w:instrText>
      </w:r>
      <w:r w:rsidR="007122D4">
        <w:instrText xml:space="preserve"> (Routine)</w:instrText>
      </w:r>
      <w:r w:rsidR="00FA7E65">
        <w:instrText>”</w:instrText>
      </w:r>
      <w:r>
        <w:instrText xml:space="preserve"> </w:instrText>
      </w:r>
      <w:r>
        <w:fldChar w:fldCharType="end"/>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80"/>
        <w:gridCol w:w="8580"/>
      </w:tblGrid>
      <w:tr w:rsidR="002A21AE" w14:paraId="0B67F59C" w14:textId="77777777">
        <w:trPr>
          <w:tblHeader/>
        </w:trPr>
        <w:tc>
          <w:tcPr>
            <w:tcW w:w="780" w:type="dxa"/>
            <w:shd w:val="clear" w:color="auto" w:fill="B3B3B3"/>
          </w:tcPr>
          <w:p w14:paraId="44286343" w14:textId="77777777" w:rsidR="002A21AE" w:rsidRDefault="00DB3377">
            <w:pPr>
              <w:pStyle w:val="TableText"/>
              <w:rPr>
                <w:b/>
              </w:rPr>
            </w:pPr>
            <w:r>
              <w:rPr>
                <w:b/>
              </w:rPr>
              <w:t>User Action Step</w:t>
            </w:r>
          </w:p>
        </w:tc>
        <w:tc>
          <w:tcPr>
            <w:tcW w:w="8580" w:type="dxa"/>
            <w:shd w:val="clear" w:color="auto" w:fill="B3B3B3"/>
          </w:tcPr>
          <w:p w14:paraId="5C74E452" w14:textId="77777777" w:rsidR="002A21AE" w:rsidRDefault="002A21AE">
            <w:pPr>
              <w:pStyle w:val="TableText"/>
              <w:rPr>
                <w:b/>
              </w:rPr>
            </w:pPr>
            <w:r>
              <w:rPr>
                <w:b/>
              </w:rPr>
              <w:t>Alerts</w:t>
            </w:r>
          </w:p>
        </w:tc>
      </w:tr>
      <w:tr w:rsidR="002A21AE" w14:paraId="15516446" w14:textId="77777777">
        <w:tc>
          <w:tcPr>
            <w:tcW w:w="780" w:type="dxa"/>
          </w:tcPr>
          <w:p w14:paraId="2E4610A7" w14:textId="77777777" w:rsidR="002A21AE" w:rsidRDefault="002A21AE">
            <w:pPr>
              <w:pStyle w:val="TableText"/>
            </w:pPr>
            <w:r>
              <w:t>2</w:t>
            </w:r>
          </w:p>
        </w:tc>
        <w:tc>
          <w:tcPr>
            <w:tcW w:w="8580" w:type="dxa"/>
          </w:tcPr>
          <w:p w14:paraId="50F9AC3C" w14:textId="77777777" w:rsidR="002A21AE" w:rsidRDefault="002A21AE">
            <w:pPr>
              <w:pStyle w:val="TableText"/>
            </w:pPr>
            <w:r>
              <w:rPr>
                <w:rFonts w:cs="Arial"/>
                <w:vanish/>
                <w:szCs w:val="22"/>
              </w:rPr>
              <w:t xml:space="preserve">BR_16.01 </w:t>
            </w:r>
            <w:r>
              <w:t xml:space="preserve">VBECS displays </w:t>
            </w:r>
            <w:r w:rsidR="00057948">
              <w:rPr>
                <w:noProof/>
              </w:rPr>
              <w:drawing>
                <wp:inline distT="0" distB="0" distL="0" distR="0" wp14:anchorId="724BD74B" wp14:editId="184AB1AC">
                  <wp:extent cx="156845" cy="156845"/>
                  <wp:effectExtent l="0" t="0" r="0" b="0"/>
                  <wp:docPr id="194" name="Picture 194" descr="View Special Instructions and Transfusion Requirements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Picture 194" descr="View Special Instructions and Transfusion Requirements icon"/>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t xml:space="preserve"> and emits an audible alert when there are Special Instructions (SIs) or Transfusion Requirements (TRs) for the patient.</w:t>
            </w:r>
          </w:p>
        </w:tc>
      </w:tr>
      <w:tr w:rsidR="002A21AE" w14:paraId="39A1C2E0" w14:textId="77777777">
        <w:tc>
          <w:tcPr>
            <w:tcW w:w="780" w:type="dxa"/>
          </w:tcPr>
          <w:p w14:paraId="6E80892C" w14:textId="77777777" w:rsidR="002A21AE" w:rsidRDefault="002A21AE">
            <w:pPr>
              <w:pStyle w:val="TableText"/>
            </w:pPr>
            <w:r>
              <w:t>2</w:t>
            </w:r>
          </w:p>
        </w:tc>
        <w:tc>
          <w:tcPr>
            <w:tcW w:w="8580" w:type="dxa"/>
          </w:tcPr>
          <w:p w14:paraId="541B6295" w14:textId="77777777" w:rsidR="002A21AE" w:rsidRDefault="002A21AE">
            <w:pPr>
              <w:pStyle w:val="TableText"/>
            </w:pPr>
            <w:r>
              <w:rPr>
                <w:rFonts w:cs="Arial"/>
                <w:vanish/>
              </w:rPr>
              <w:t xml:space="preserve">BR_73.21 </w:t>
            </w:r>
            <w:r>
              <w:t>When no patient is found, VBECS warns the user and does not allow the user to continue.</w:t>
            </w:r>
          </w:p>
        </w:tc>
      </w:tr>
      <w:tr w:rsidR="002A21AE" w14:paraId="6BB295A7" w14:textId="77777777">
        <w:tc>
          <w:tcPr>
            <w:tcW w:w="780" w:type="dxa"/>
          </w:tcPr>
          <w:p w14:paraId="0DBDCF90" w14:textId="77777777" w:rsidR="002A21AE" w:rsidRDefault="002A21AE">
            <w:pPr>
              <w:pStyle w:val="TableText"/>
            </w:pPr>
            <w:r>
              <w:t>2</w:t>
            </w:r>
          </w:p>
        </w:tc>
        <w:tc>
          <w:tcPr>
            <w:tcW w:w="8580" w:type="dxa"/>
          </w:tcPr>
          <w:p w14:paraId="45D08607" w14:textId="77777777" w:rsidR="002A21AE" w:rsidRDefault="002A21AE">
            <w:pPr>
              <w:pStyle w:val="TableText"/>
            </w:pPr>
            <w:r>
              <w:rPr>
                <w:rFonts w:cs="Arial"/>
                <w:vanish/>
              </w:rPr>
              <w:t xml:space="preserve">BR_73.20 </w:t>
            </w:r>
            <w:r>
              <w:t>When the patient has no</w:t>
            </w:r>
            <w:r>
              <w:rPr>
                <w:i/>
              </w:rPr>
              <w:t xml:space="preserve"> </w:t>
            </w:r>
            <w:r>
              <w:t>components available for issue, VBECS warns the user and does not allow the user to continue.</w:t>
            </w:r>
          </w:p>
        </w:tc>
      </w:tr>
      <w:tr w:rsidR="002A21AE" w14:paraId="455A0D58" w14:textId="77777777">
        <w:tc>
          <w:tcPr>
            <w:tcW w:w="780" w:type="dxa"/>
          </w:tcPr>
          <w:p w14:paraId="3D242313" w14:textId="77777777" w:rsidR="002A21AE" w:rsidRDefault="002A21AE">
            <w:pPr>
              <w:pStyle w:val="TableText"/>
            </w:pPr>
            <w:r>
              <w:t>2</w:t>
            </w:r>
          </w:p>
        </w:tc>
        <w:tc>
          <w:tcPr>
            <w:tcW w:w="8580" w:type="dxa"/>
          </w:tcPr>
          <w:p w14:paraId="2E627009" w14:textId="77777777" w:rsidR="00594F36" w:rsidRDefault="002A21AE" w:rsidP="00594F36">
            <w:pPr>
              <w:pStyle w:val="TableText"/>
            </w:pPr>
            <w:r>
              <w:rPr>
                <w:rFonts w:cs="Arial"/>
                <w:vanish/>
              </w:rPr>
              <w:t xml:space="preserve">BR_73.31 </w:t>
            </w:r>
            <w:r w:rsidR="00594F36">
              <w:t>When required testing is incomplete at issue, VBECS emits an audible alert, warns the user, and asks whether to emergency issue the unit in accordance with hospital policy.</w:t>
            </w:r>
          </w:p>
          <w:p w14:paraId="1170E4D6" w14:textId="77777777" w:rsidR="00594F36" w:rsidRDefault="00594F36" w:rsidP="00594F36">
            <w:pPr>
              <w:pStyle w:val="TableText"/>
            </w:pPr>
          </w:p>
          <w:p w14:paraId="330797DF" w14:textId="08185ABF" w:rsidR="002A21AE" w:rsidRDefault="00594F36" w:rsidP="00594F36">
            <w:pPr>
              <w:pStyle w:val="TableText"/>
            </w:pPr>
            <w:r w:rsidRPr="00924702">
              <w:rPr>
                <w:b/>
              </w:rPr>
              <w:t>No</w:t>
            </w:r>
            <w:r>
              <w:t xml:space="preserve"> stops the user from issuing the unit and requires selection of another unit. </w:t>
            </w:r>
            <w:r w:rsidRPr="00924702">
              <w:rPr>
                <w:b/>
              </w:rPr>
              <w:t>Yes</w:t>
            </w:r>
            <w:r>
              <w:t xml:space="preserve"> </w:t>
            </w:r>
            <w:r w:rsidR="000D793E">
              <w:t>requires a comment</w:t>
            </w:r>
            <w:r w:rsidR="00623220">
              <w:t xml:space="preserve"> from the “Unit Issue” context, </w:t>
            </w:r>
            <w:r>
              <w:t>creates an Exception Report entry for the issue, indicates on the unit record that the unit was issued emergently, and asks whether the user wishes to print the Caution Tags and Blood Transfusion Record Forms.</w:t>
            </w:r>
            <w:r w:rsidRPr="00924702">
              <w:rPr>
                <w:b/>
              </w:rPr>
              <w:t xml:space="preserve"> No</w:t>
            </w:r>
            <w:r>
              <w:t xml:space="preserve"> allows the user to continue with the emergency issue. </w:t>
            </w:r>
            <w:r w:rsidRPr="00924702">
              <w:rPr>
                <w:b/>
              </w:rPr>
              <w:t>Yes</w:t>
            </w:r>
            <w:r>
              <w:t xml:space="preserve"> prints a Caution Tag and/or Blood Transfusion Record Form and proceeds with the issue.</w:t>
            </w:r>
          </w:p>
        </w:tc>
      </w:tr>
      <w:tr w:rsidR="00214B12" w14:paraId="63DEC8C6" w14:textId="77777777">
        <w:tc>
          <w:tcPr>
            <w:tcW w:w="780" w:type="dxa"/>
          </w:tcPr>
          <w:p w14:paraId="2ABEBFD0" w14:textId="77777777" w:rsidR="00214B12" w:rsidRDefault="00214B12">
            <w:pPr>
              <w:pStyle w:val="TableText"/>
            </w:pPr>
            <w:r>
              <w:t>5</w:t>
            </w:r>
          </w:p>
        </w:tc>
        <w:tc>
          <w:tcPr>
            <w:tcW w:w="8580" w:type="dxa"/>
          </w:tcPr>
          <w:p w14:paraId="72D1560B" w14:textId="77777777" w:rsidR="00214B12" w:rsidRPr="00170A14" w:rsidRDefault="00214B12" w:rsidP="00CE2473">
            <w:pPr>
              <w:pStyle w:val="TableText"/>
              <w:rPr>
                <w:vanish/>
                <w:szCs w:val="18"/>
              </w:rPr>
            </w:pPr>
            <w:r>
              <w:rPr>
                <w:vanish/>
                <w:szCs w:val="18"/>
              </w:rPr>
              <w:t xml:space="preserve">BR_73.17 </w:t>
            </w:r>
            <w:r w:rsidR="003309E7" w:rsidRPr="0065539A">
              <w:rPr>
                <w:szCs w:val="18"/>
              </w:rPr>
              <w:t>When th</w:t>
            </w:r>
            <w:r w:rsidR="003309E7">
              <w:t>e user attempts to</w:t>
            </w:r>
            <w:r>
              <w:t xml:space="preserve"> issue a unit located in a different division</w:t>
            </w:r>
            <w:r w:rsidR="002B0F51">
              <w:t>,</w:t>
            </w:r>
            <w:r w:rsidR="003309E7">
              <w:t xml:space="preserve"> VBECS warms him that the unit</w:t>
            </w:r>
            <w:r>
              <w:t xml:space="preserve"> cannot be issued</w:t>
            </w:r>
            <w:r w:rsidR="003309E7">
              <w:t xml:space="preserve"> and does not allow </w:t>
            </w:r>
            <w:r w:rsidR="002B0F51">
              <w:t>him</w:t>
            </w:r>
            <w:r w:rsidR="003309E7">
              <w:t xml:space="preserve"> to</w:t>
            </w:r>
            <w:r>
              <w:t xml:space="preserve"> continue.</w:t>
            </w:r>
          </w:p>
        </w:tc>
      </w:tr>
      <w:tr w:rsidR="00CE2473" w14:paraId="46BD736B" w14:textId="77777777">
        <w:tc>
          <w:tcPr>
            <w:tcW w:w="780" w:type="dxa"/>
          </w:tcPr>
          <w:p w14:paraId="74C9399B" w14:textId="77777777" w:rsidR="00CE2473" w:rsidRDefault="00CE2473">
            <w:pPr>
              <w:pStyle w:val="TableText"/>
            </w:pPr>
            <w:r>
              <w:t>5</w:t>
            </w:r>
          </w:p>
        </w:tc>
        <w:tc>
          <w:tcPr>
            <w:tcW w:w="8580" w:type="dxa"/>
          </w:tcPr>
          <w:p w14:paraId="66B3DBCD" w14:textId="77777777" w:rsidR="00CE2473" w:rsidRDefault="00170A14" w:rsidP="00CE2473">
            <w:pPr>
              <w:pStyle w:val="TableText"/>
            </w:pPr>
            <w:r w:rsidRPr="00170A14">
              <w:rPr>
                <w:vanish/>
                <w:szCs w:val="18"/>
              </w:rPr>
              <w:t xml:space="preserve">BR_73.25 </w:t>
            </w:r>
            <w:r w:rsidR="00CE2473">
              <w:t xml:space="preserve">When autologous or directed, or designated or dedicated blood units of the same component class </w:t>
            </w:r>
            <w:r w:rsidR="006C67E5">
              <w:t xml:space="preserve">are </w:t>
            </w:r>
            <w:r w:rsidR="00CE2473">
              <w:t xml:space="preserve">available in the same division as the </w:t>
            </w:r>
            <w:r w:rsidR="00967CF7">
              <w:t>user</w:t>
            </w:r>
            <w:r w:rsidR="00CE2473">
              <w:t xml:space="preserve">, </w:t>
            </w:r>
            <w:r w:rsidR="00967CF7">
              <w:t>VBECS</w:t>
            </w:r>
            <w:r w:rsidR="000014DD">
              <w:t xml:space="preserve"> </w:t>
            </w:r>
            <w:r w:rsidR="00CE2473">
              <w:t>require</w:t>
            </w:r>
            <w:r w:rsidR="00967CF7">
              <w:t>s</w:t>
            </w:r>
            <w:r w:rsidR="00CE2473">
              <w:t xml:space="preserve"> blood units </w:t>
            </w:r>
            <w:r w:rsidR="006C67E5">
              <w:t xml:space="preserve">to </w:t>
            </w:r>
            <w:r w:rsidR="00CE2473">
              <w:t xml:space="preserve">be issued in </w:t>
            </w:r>
            <w:r w:rsidR="00967CF7">
              <w:t>this</w:t>
            </w:r>
            <w:r w:rsidR="00CE2473">
              <w:t xml:space="preserve"> order:</w:t>
            </w:r>
          </w:p>
          <w:p w14:paraId="1D044847" w14:textId="77777777" w:rsidR="00EB5BD0" w:rsidRDefault="00CE2473" w:rsidP="002F6D7B">
            <w:pPr>
              <w:pStyle w:val="TableText"/>
              <w:numPr>
                <w:ilvl w:val="0"/>
                <w:numId w:val="14"/>
              </w:numPr>
            </w:pPr>
            <w:r>
              <w:t>Autologous units</w:t>
            </w:r>
          </w:p>
          <w:p w14:paraId="4855887C" w14:textId="77777777" w:rsidR="00EB5BD0" w:rsidRDefault="0065539A" w:rsidP="002F6D7B">
            <w:pPr>
              <w:pStyle w:val="TableText"/>
              <w:numPr>
                <w:ilvl w:val="0"/>
                <w:numId w:val="14"/>
              </w:numPr>
            </w:pPr>
            <w:r>
              <w:t>R</w:t>
            </w:r>
            <w:r w:rsidR="00CE2473">
              <w:t xml:space="preserve">estricted units </w:t>
            </w:r>
          </w:p>
          <w:p w14:paraId="1461DBD6" w14:textId="77777777" w:rsidR="00CE2473" w:rsidRDefault="00CE2473" w:rsidP="002F6D7B">
            <w:pPr>
              <w:pStyle w:val="TableText"/>
              <w:numPr>
                <w:ilvl w:val="0"/>
                <w:numId w:val="14"/>
              </w:numPr>
            </w:pPr>
            <w:r>
              <w:t>Voluntary allogeneic units</w:t>
            </w:r>
          </w:p>
          <w:p w14:paraId="093B4B9B" w14:textId="77777777" w:rsidR="00CE2473" w:rsidRDefault="00CE2473" w:rsidP="00CE2473">
            <w:pPr>
              <w:pStyle w:val="TableText"/>
            </w:pPr>
          </w:p>
          <w:p w14:paraId="42D028E3" w14:textId="229E6E71" w:rsidR="00CE2473" w:rsidRDefault="00967CF7" w:rsidP="00CE2473">
            <w:pPr>
              <w:pStyle w:val="TableText"/>
              <w:rPr>
                <w:rFonts w:cs="Arial"/>
                <w:vanish/>
              </w:rPr>
            </w:pPr>
            <w:r>
              <w:t>When</w:t>
            </w:r>
            <w:r w:rsidR="00AC5979">
              <w:t xml:space="preserve"> the user attempts to issue a unit out </w:t>
            </w:r>
            <w:r w:rsidR="0065539A">
              <w:t xml:space="preserve">of </w:t>
            </w:r>
            <w:r>
              <w:t xml:space="preserve">order, VBECS warns </w:t>
            </w:r>
            <w:r w:rsidR="009A51A9">
              <w:t>him</w:t>
            </w:r>
            <w:r>
              <w:t xml:space="preserve"> that m</w:t>
            </w:r>
            <w:r w:rsidR="00AC5979">
              <w:t>ore restrictive unit</w:t>
            </w:r>
            <w:r>
              <w:t>s</w:t>
            </w:r>
            <w:r w:rsidR="00AC5979">
              <w:t xml:space="preserve"> </w:t>
            </w:r>
            <w:r>
              <w:t xml:space="preserve">are </w:t>
            </w:r>
            <w:r w:rsidR="00AC5979">
              <w:t>available</w:t>
            </w:r>
            <w:r>
              <w:t xml:space="preserve"> </w:t>
            </w:r>
            <w:r w:rsidR="009A51A9">
              <w:t xml:space="preserve">for issue </w:t>
            </w:r>
            <w:r>
              <w:t>and asks whether he wishes to c</w:t>
            </w:r>
            <w:r w:rsidR="00AC5979">
              <w:t>ontinue</w:t>
            </w:r>
            <w:r>
              <w:t xml:space="preserve">. </w:t>
            </w:r>
            <w:r w:rsidRPr="00967CF7">
              <w:rPr>
                <w:b/>
              </w:rPr>
              <w:t>N</w:t>
            </w:r>
            <w:r w:rsidR="00AC5979" w:rsidRPr="00967CF7">
              <w:rPr>
                <w:b/>
              </w:rPr>
              <w:t>o</w:t>
            </w:r>
            <w:r w:rsidR="00AC5979">
              <w:t xml:space="preserve"> allows the user to enter a</w:t>
            </w:r>
            <w:r>
              <w:t>nother</w:t>
            </w:r>
            <w:r w:rsidR="00AC5979">
              <w:t xml:space="preserve"> unit number. </w:t>
            </w:r>
            <w:r w:rsidR="00AC5979" w:rsidRPr="00967CF7">
              <w:rPr>
                <w:b/>
              </w:rPr>
              <w:t>Yes</w:t>
            </w:r>
            <w:r w:rsidR="00AC5979">
              <w:t xml:space="preserve"> </w:t>
            </w:r>
            <w:r w:rsidR="00EB56A8">
              <w:t>requires</w:t>
            </w:r>
            <w:r w:rsidR="00AC5979">
              <w:t xml:space="preserve"> </w:t>
            </w:r>
            <w:r w:rsidR="00BA173B">
              <w:t>a comment</w:t>
            </w:r>
            <w:r w:rsidR="006E4D23">
              <w:t xml:space="preserve"> from the “Unit Issue” context and </w:t>
            </w:r>
            <w:r w:rsidR="00AC5979">
              <w:t xml:space="preserve">captures transaction details for inclusion in an </w:t>
            </w:r>
            <w:r>
              <w:t>E</w:t>
            </w:r>
            <w:r w:rsidR="00AC5979">
              <w:t xml:space="preserve">xception </w:t>
            </w:r>
            <w:r>
              <w:t>R</w:t>
            </w:r>
            <w:r w:rsidR="00AC5979">
              <w:t>eport</w:t>
            </w:r>
            <w:r>
              <w:t xml:space="preserve"> (exception type: less restrictive unit issued).</w:t>
            </w:r>
          </w:p>
        </w:tc>
      </w:tr>
      <w:tr w:rsidR="00214B12" w14:paraId="6B41FE9B" w14:textId="77777777">
        <w:tc>
          <w:tcPr>
            <w:tcW w:w="780" w:type="dxa"/>
          </w:tcPr>
          <w:p w14:paraId="6D019960" w14:textId="77777777" w:rsidR="00214B12" w:rsidRDefault="00214B12">
            <w:pPr>
              <w:pStyle w:val="TableText"/>
            </w:pPr>
            <w:r>
              <w:t>5</w:t>
            </w:r>
          </w:p>
        </w:tc>
        <w:tc>
          <w:tcPr>
            <w:tcW w:w="8580" w:type="dxa"/>
          </w:tcPr>
          <w:p w14:paraId="7165D8FB" w14:textId="77777777" w:rsidR="00214B12" w:rsidRPr="00214B12" w:rsidRDefault="00214B12">
            <w:pPr>
              <w:pStyle w:val="TableText"/>
              <w:rPr>
                <w:rFonts w:cs="Arial"/>
                <w:vanish/>
                <w:szCs w:val="18"/>
              </w:rPr>
            </w:pPr>
            <w:r w:rsidRPr="00214B12">
              <w:rPr>
                <w:rFonts w:cs="Arial"/>
                <w:vanish/>
                <w:szCs w:val="18"/>
              </w:rPr>
              <w:t xml:space="preserve">BR_73.19 </w:t>
            </w:r>
            <w:r>
              <w:t xml:space="preserve">When a user indicates that the </w:t>
            </w:r>
            <w:r w:rsidR="008E45C7">
              <w:t xml:space="preserve">inspected </w:t>
            </w:r>
            <w:r>
              <w:t xml:space="preserve">unit is unsatisfactory, </w:t>
            </w:r>
            <w:r w:rsidR="00C172A4">
              <w:t>VBECS does</w:t>
            </w:r>
            <w:r>
              <w:t xml:space="preserve"> not allow </w:t>
            </w:r>
            <w:r w:rsidR="00C172A4">
              <w:t xml:space="preserve">the </w:t>
            </w:r>
            <w:r>
              <w:t xml:space="preserve">unit </w:t>
            </w:r>
            <w:r w:rsidR="00C172A4">
              <w:t xml:space="preserve">to be issued, releases it </w:t>
            </w:r>
            <w:r>
              <w:t xml:space="preserve">from assignment, </w:t>
            </w:r>
            <w:r w:rsidR="00C172A4">
              <w:t>and warns the user that the u</w:t>
            </w:r>
            <w:r>
              <w:t xml:space="preserve">nit is unacceptable for transfusion. </w:t>
            </w:r>
            <w:r w:rsidR="00C172A4">
              <w:t>VBECS</w:t>
            </w:r>
            <w:r>
              <w:t xml:space="preserve"> allows </w:t>
            </w:r>
            <w:r w:rsidR="00C172A4">
              <w:t>the user to enter another</w:t>
            </w:r>
            <w:r>
              <w:t xml:space="preserve"> unit number.</w:t>
            </w:r>
          </w:p>
        </w:tc>
      </w:tr>
      <w:tr w:rsidR="002A21AE" w14:paraId="57700AA7" w14:textId="77777777">
        <w:tc>
          <w:tcPr>
            <w:tcW w:w="780" w:type="dxa"/>
          </w:tcPr>
          <w:p w14:paraId="5DD17006" w14:textId="77777777" w:rsidR="002A21AE" w:rsidRDefault="002A21AE">
            <w:pPr>
              <w:pStyle w:val="TableText"/>
            </w:pPr>
            <w:r>
              <w:t>5</w:t>
            </w:r>
          </w:p>
        </w:tc>
        <w:tc>
          <w:tcPr>
            <w:tcW w:w="8580" w:type="dxa"/>
          </w:tcPr>
          <w:p w14:paraId="46C38FCA" w14:textId="77777777" w:rsidR="002A21AE" w:rsidRDefault="002A21AE">
            <w:pPr>
              <w:pStyle w:val="TableText"/>
            </w:pPr>
            <w:r>
              <w:rPr>
                <w:rFonts w:cs="Arial"/>
                <w:vanish/>
              </w:rPr>
              <w:t xml:space="preserve">BR_73.27 </w:t>
            </w:r>
            <w:r>
              <w:rPr>
                <w:rFonts w:cs="Arial"/>
              </w:rPr>
              <w:t xml:space="preserve">When the user attempts to select frozen blood components, VBECS </w:t>
            </w:r>
            <w:r>
              <w:t xml:space="preserve">warns the user. Units selected in their frozen state must be thawed before issue. </w:t>
            </w:r>
          </w:p>
        </w:tc>
      </w:tr>
      <w:tr w:rsidR="004C2C6A" w14:paraId="6B0F1156" w14:textId="77777777">
        <w:tc>
          <w:tcPr>
            <w:tcW w:w="780" w:type="dxa"/>
          </w:tcPr>
          <w:p w14:paraId="00559372" w14:textId="77777777" w:rsidR="004C2C6A" w:rsidRDefault="00B11528">
            <w:pPr>
              <w:pStyle w:val="TableText"/>
            </w:pPr>
            <w:r>
              <w:t>5</w:t>
            </w:r>
          </w:p>
        </w:tc>
        <w:tc>
          <w:tcPr>
            <w:tcW w:w="8580" w:type="dxa"/>
          </w:tcPr>
          <w:p w14:paraId="6E0629AB" w14:textId="77777777" w:rsidR="00B11528" w:rsidRPr="00B11528" w:rsidRDefault="00B11528" w:rsidP="00B11528">
            <w:pPr>
              <w:pStyle w:val="TableText"/>
              <w:rPr>
                <w:rFonts w:eastAsia="Calibri"/>
                <w:szCs w:val="18"/>
              </w:rPr>
            </w:pPr>
            <w:r w:rsidRPr="00B11528">
              <w:t xml:space="preserve">When the patient has Component Requirements </w:t>
            </w:r>
            <w:r>
              <w:t xml:space="preserve">(CRs) </w:t>
            </w:r>
            <w:r w:rsidRPr="00B11528">
              <w:t>and Antigen Negative Requirements, the user attempts to issue (including emergency issue) red blood cells that do not satisfy the requirements, and the user is:</w:t>
            </w:r>
          </w:p>
          <w:p w14:paraId="7D797A3B" w14:textId="77777777" w:rsidR="00B11528" w:rsidRPr="00B11528" w:rsidRDefault="00B11528" w:rsidP="00B11528">
            <w:pPr>
              <w:pStyle w:val="TableTextBullet"/>
              <w:numPr>
                <w:ilvl w:val="0"/>
                <w:numId w:val="0"/>
              </w:numPr>
              <w:tabs>
                <w:tab w:val="left" w:pos="720"/>
              </w:tabs>
              <w:rPr>
                <w:sz w:val="20"/>
                <w:szCs w:val="20"/>
              </w:rPr>
            </w:pPr>
            <w:r w:rsidRPr="00B11528">
              <w:rPr>
                <w:rFonts w:ascii="Wingdings 3" w:hAnsi="Wingdings 3"/>
              </w:rPr>
              <w:t></w:t>
            </w:r>
            <w:r w:rsidRPr="00B11528">
              <w:rPr>
                <w:rFonts w:ascii="Wingdings 3" w:hAnsi="Wingdings 3"/>
              </w:rPr>
              <w:t></w:t>
            </w:r>
            <w:r w:rsidRPr="00B11528">
              <w:t xml:space="preserve"> An Enhanced Technologist or below, VBECS emits an audible alert and warns the user that the unit is not selectable and he is not authorized to issue the unit. The unsatisfied requirements are not detailed.</w:t>
            </w:r>
          </w:p>
          <w:p w14:paraId="3853346D" w14:textId="77777777" w:rsidR="004C2C6A" w:rsidRDefault="00B11528" w:rsidP="00B11528">
            <w:pPr>
              <w:pStyle w:val="TableText"/>
              <w:rPr>
                <w:rFonts w:cs="Arial"/>
                <w:vanish/>
              </w:rPr>
            </w:pPr>
            <w:r w:rsidRPr="00B11528">
              <w:t>VBECS does not allow an override.</w:t>
            </w:r>
          </w:p>
        </w:tc>
      </w:tr>
      <w:tr w:rsidR="002A21AE" w14:paraId="4E2082B7" w14:textId="77777777">
        <w:tc>
          <w:tcPr>
            <w:tcW w:w="780" w:type="dxa"/>
          </w:tcPr>
          <w:p w14:paraId="3C1904FB" w14:textId="77777777" w:rsidR="002A21AE" w:rsidRDefault="002A21AE">
            <w:pPr>
              <w:pStyle w:val="TableText"/>
            </w:pPr>
            <w:r>
              <w:t>5</w:t>
            </w:r>
          </w:p>
        </w:tc>
        <w:tc>
          <w:tcPr>
            <w:tcW w:w="8580" w:type="dxa"/>
          </w:tcPr>
          <w:p w14:paraId="26E0EB06" w14:textId="77777777" w:rsidR="002104CB" w:rsidRDefault="002A21AE">
            <w:pPr>
              <w:pStyle w:val="TableText"/>
            </w:pPr>
            <w:r>
              <w:rPr>
                <w:rFonts w:cs="Arial"/>
                <w:vanish/>
              </w:rPr>
              <w:t xml:space="preserve">BR_73.28 </w:t>
            </w:r>
            <w:r w:rsidR="004C2C6A">
              <w:t xml:space="preserve">When the patient has </w:t>
            </w:r>
            <w:r w:rsidR="00B11528">
              <w:t>Component Requirements</w:t>
            </w:r>
            <w:r w:rsidR="002104CB" w:rsidRPr="002104CB">
              <w:t xml:space="preserve">, the user attempts to issue (including emergency issue) red blood </w:t>
            </w:r>
            <w:r w:rsidR="004C2C6A">
              <w:t>cells that do not satisfy the requirement</w:t>
            </w:r>
            <w:r w:rsidR="002104CB" w:rsidRPr="002104CB">
              <w:t>,</w:t>
            </w:r>
            <w:r w:rsidR="002104CB">
              <w:t xml:space="preserve"> and the user is:</w:t>
            </w:r>
          </w:p>
          <w:p w14:paraId="1DA516DB" w14:textId="77777777" w:rsidR="006105C7" w:rsidRDefault="00910609" w:rsidP="002104CB">
            <w:pPr>
              <w:pStyle w:val="TableTextBullet"/>
            </w:pPr>
            <w:r w:rsidRPr="00EC7489">
              <w:rPr>
                <w:rFonts w:ascii="Wingdings 3" w:hAnsi="Wingdings 3" w:cs="Wingdings"/>
              </w:rPr>
              <w:t></w:t>
            </w:r>
            <w:r w:rsidRPr="00EC7489">
              <w:rPr>
                <w:rFonts w:ascii="Wingdings 3" w:hAnsi="Wingdings 3" w:cs="Wingdings"/>
              </w:rPr>
              <w:t></w:t>
            </w:r>
            <w:r>
              <w:t xml:space="preserve"> </w:t>
            </w:r>
            <w:r w:rsidR="002104CB">
              <w:t>A</w:t>
            </w:r>
            <w:r w:rsidR="006105C7">
              <w:t xml:space="preserve">n </w:t>
            </w:r>
            <w:r>
              <w:t xml:space="preserve">Enhanced Technologist or below, </w:t>
            </w:r>
            <w:r w:rsidR="00514F60">
              <w:t xml:space="preserve">VBECS emits an audible alert and warns the user that the patient's </w:t>
            </w:r>
            <w:r w:rsidR="004C2C6A">
              <w:t>component</w:t>
            </w:r>
            <w:r w:rsidR="00514F60">
              <w:t xml:space="preserve"> requirement is not satisfied and he is not authorized to issue the unit. VBECS does not allow an override.</w:t>
            </w:r>
          </w:p>
          <w:p w14:paraId="616A8295" w14:textId="70616277" w:rsidR="002A21AE" w:rsidRDefault="006105C7" w:rsidP="004C2C6A">
            <w:pPr>
              <w:pStyle w:val="TableTextBullet"/>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w:t>
            </w:r>
            <w:r w:rsidR="002104CB">
              <w:t>A</w:t>
            </w:r>
            <w:r>
              <w:t xml:space="preserve"> Lead Technologist or above, VBECS emits an audible alert and warns the </w:t>
            </w:r>
            <w:r w:rsidR="00514F60">
              <w:t xml:space="preserve">user that the patient's </w:t>
            </w:r>
            <w:r w:rsidR="004C2C6A">
              <w:t>component</w:t>
            </w:r>
            <w:r w:rsidR="00514F60">
              <w:t xml:space="preserve"> requirement is not satisfied and allows for an ove</w:t>
            </w:r>
            <w:r w:rsidR="00F94F44">
              <w:t>r</w:t>
            </w:r>
            <w:r w:rsidR="00514F60">
              <w:t>ride</w:t>
            </w:r>
            <w:r>
              <w:t>.</w:t>
            </w:r>
            <w:r>
              <w:rPr>
                <w:b/>
              </w:rPr>
              <w:t xml:space="preserve"> </w:t>
            </w:r>
            <w:r w:rsidR="00910609">
              <w:rPr>
                <w:b/>
              </w:rPr>
              <w:t>No</w:t>
            </w:r>
            <w:r w:rsidR="00910609">
              <w:t xml:space="preserve"> clears the screen. </w:t>
            </w:r>
            <w:r w:rsidR="00910609">
              <w:rPr>
                <w:b/>
              </w:rPr>
              <w:t>Yes</w:t>
            </w:r>
            <w:r w:rsidR="00910609">
              <w:t xml:space="preserve"> requires a comment </w:t>
            </w:r>
            <w:r w:rsidR="00725D3D">
              <w:t>from</w:t>
            </w:r>
            <w:r w:rsidR="00AC7830">
              <w:t xml:space="preserve"> the “Unit Issue” context </w:t>
            </w:r>
            <w:r w:rsidR="00910609">
              <w:t>and captures details for inclusion in an Exception Report (exception type: unit issued with unsatisfied TR).</w:t>
            </w:r>
            <w:r w:rsidR="002A21AE">
              <w:t xml:space="preserve"> </w:t>
            </w:r>
          </w:p>
        </w:tc>
      </w:tr>
      <w:tr w:rsidR="002A21AE" w14:paraId="18DCDBD6" w14:textId="77777777">
        <w:tc>
          <w:tcPr>
            <w:tcW w:w="780" w:type="dxa"/>
          </w:tcPr>
          <w:p w14:paraId="50439898" w14:textId="77777777" w:rsidR="002A21AE" w:rsidRDefault="002A21AE">
            <w:pPr>
              <w:pStyle w:val="TableText"/>
            </w:pPr>
            <w:r>
              <w:t>5</w:t>
            </w:r>
          </w:p>
        </w:tc>
        <w:tc>
          <w:tcPr>
            <w:tcW w:w="8580" w:type="dxa"/>
          </w:tcPr>
          <w:p w14:paraId="4C41F18F" w14:textId="77777777" w:rsidR="002A21AE" w:rsidRDefault="002A21AE">
            <w:pPr>
              <w:pStyle w:val="TableText"/>
            </w:pPr>
            <w:r>
              <w:rPr>
                <w:rFonts w:cs="Arial"/>
                <w:vanish/>
              </w:rPr>
              <w:t xml:space="preserve">BR_73.15 </w:t>
            </w:r>
            <w:r>
              <w:t xml:space="preserve">When a repeat ABO/Rh performed on the patient specimen does not match the original ABO/Rh interpretation and the unit doesn’t qualify for emergency issue, VBECS warns the user and instructs him to resolve the discrepancy before issuing the unit. There is no override. </w:t>
            </w:r>
            <w:r w:rsidR="00E44A2A">
              <w:t>Units that qualify for emergency issue may continue and VBECS will display a message that the ABO/Rh on the current specimen does not agree with the historic ABO/Rh.</w:t>
            </w:r>
          </w:p>
        </w:tc>
      </w:tr>
      <w:tr w:rsidR="002A21AE" w14:paraId="693EA6AE" w14:textId="77777777">
        <w:tc>
          <w:tcPr>
            <w:tcW w:w="780" w:type="dxa"/>
          </w:tcPr>
          <w:p w14:paraId="6BEA4EE5" w14:textId="77777777" w:rsidR="002A21AE" w:rsidRDefault="002A21AE">
            <w:pPr>
              <w:pStyle w:val="TableText"/>
            </w:pPr>
            <w:r>
              <w:lastRenderedPageBreak/>
              <w:t>5</w:t>
            </w:r>
          </w:p>
        </w:tc>
        <w:tc>
          <w:tcPr>
            <w:tcW w:w="8580" w:type="dxa"/>
          </w:tcPr>
          <w:p w14:paraId="16E1A333" w14:textId="46535F78" w:rsidR="002A21AE" w:rsidRDefault="002A21AE">
            <w:pPr>
              <w:pStyle w:val="TableText"/>
            </w:pPr>
            <w:r>
              <w:rPr>
                <w:rFonts w:cs="Arial"/>
                <w:vanish/>
              </w:rPr>
              <w:t xml:space="preserve">BR_73.30 </w:t>
            </w:r>
            <w:r>
              <w:t xml:space="preserve">When a unit has a biohazard indicator, VBECS emits an audible alert, warns the user, and asks whether he still wishes to issue the unit. </w:t>
            </w:r>
            <w:r>
              <w:rPr>
                <w:b/>
              </w:rPr>
              <w:t>No</w:t>
            </w:r>
            <w:r>
              <w:t xml:space="preserve"> clears the entry and allows the user to select a new unit. </w:t>
            </w:r>
            <w:r>
              <w:rPr>
                <w:b/>
              </w:rPr>
              <w:t>Yes</w:t>
            </w:r>
            <w:r>
              <w:t xml:space="preserve"> requires a comment </w:t>
            </w:r>
            <w:r w:rsidR="00EC1B5B">
              <w:t>from the “</w:t>
            </w:r>
            <w:r w:rsidR="005C76BC">
              <w:t xml:space="preserve">Unit Issue” context </w:t>
            </w:r>
            <w:r>
              <w:t xml:space="preserve">and captures details of the transaction for inclusion in an Exception Report (exception type: biohazardous unit issued). </w:t>
            </w:r>
          </w:p>
        </w:tc>
      </w:tr>
      <w:tr w:rsidR="002A21AE" w14:paraId="1B0CAB31" w14:textId="77777777">
        <w:tc>
          <w:tcPr>
            <w:tcW w:w="780" w:type="dxa"/>
          </w:tcPr>
          <w:p w14:paraId="238D422C" w14:textId="77777777" w:rsidR="002A21AE" w:rsidRDefault="002A21AE">
            <w:pPr>
              <w:pStyle w:val="TableText"/>
            </w:pPr>
            <w:r>
              <w:t>5</w:t>
            </w:r>
          </w:p>
        </w:tc>
        <w:tc>
          <w:tcPr>
            <w:tcW w:w="8580" w:type="dxa"/>
          </w:tcPr>
          <w:p w14:paraId="7D30471B" w14:textId="45ECA663" w:rsidR="002A21AE" w:rsidRDefault="002A21AE" w:rsidP="000B2F76">
            <w:pPr>
              <w:pStyle w:val="TableText"/>
            </w:pPr>
            <w:r>
              <w:rPr>
                <w:rFonts w:cs="Arial"/>
                <w:vanish/>
                <w:szCs w:val="22"/>
              </w:rPr>
              <w:t xml:space="preserve">BR_73.16 </w:t>
            </w:r>
            <w:r>
              <w:t xml:space="preserve">For an Rh negative, unknown, or inconclusive </w:t>
            </w:r>
            <w:r w:rsidR="000B2F76">
              <w:t xml:space="preserve">patient: </w:t>
            </w:r>
            <w:r>
              <w:t>the user may ent</w:t>
            </w:r>
            <w:r w:rsidR="005F5509">
              <w:t xml:space="preserve">er and confirm Rh positive or Rh pooled units </w:t>
            </w:r>
            <w:r>
              <w:t xml:space="preserve">from the WHOLE BLOOD, RED BLOOD CELLS, </w:t>
            </w:r>
            <w:r w:rsidR="00831235">
              <w:t xml:space="preserve">PLATELETS, </w:t>
            </w:r>
            <w:r>
              <w:t xml:space="preserve">and </w:t>
            </w:r>
            <w:r w:rsidR="00831235">
              <w:t>OTHER</w:t>
            </w:r>
            <w:r>
              <w:t xml:space="preserve"> </w:t>
            </w:r>
            <w:r w:rsidR="00B25AD0">
              <w:t xml:space="preserve">VBECS </w:t>
            </w:r>
            <w:r>
              <w:t xml:space="preserve">component classes. </w:t>
            </w:r>
            <w:r w:rsidR="000B2F76">
              <w:t xml:space="preserve">When VBECS component classes are individually entered and confirmed by the user, </w:t>
            </w:r>
            <w:r>
              <w:t xml:space="preserve">VBECS emits an audible alert, warns the user, and asks whether he wishes to issue the unit. </w:t>
            </w:r>
            <w:r>
              <w:rPr>
                <w:b/>
              </w:rPr>
              <w:t>No</w:t>
            </w:r>
            <w:r>
              <w:t xml:space="preserve"> clears the unit data and allows the user to select a different unit. </w:t>
            </w:r>
            <w:r>
              <w:rPr>
                <w:b/>
              </w:rPr>
              <w:t>Yes</w:t>
            </w:r>
            <w:r>
              <w:t xml:space="preserve"> requires additional comment </w:t>
            </w:r>
            <w:r w:rsidR="00AC0703">
              <w:t>from</w:t>
            </w:r>
            <w:r w:rsidR="00537B12">
              <w:t xml:space="preserve"> the “Unit Issue” context </w:t>
            </w:r>
            <w:r>
              <w:t>and captures details for inclusion in an Exception Report (exception type: antigen positive/untested units issued).</w:t>
            </w:r>
          </w:p>
          <w:p w14:paraId="4024CEB2" w14:textId="77777777" w:rsidR="00685A5F" w:rsidRPr="00912031" w:rsidRDefault="00685A5F" w:rsidP="00685A5F">
            <w:pPr>
              <w:pStyle w:val="TableText"/>
              <w:rPr>
                <w:rFonts w:cs="Arial"/>
              </w:rPr>
            </w:pPr>
            <w:r w:rsidRPr="00912031">
              <w:rPr>
                <w:rFonts w:cs="Arial"/>
              </w:rPr>
              <w:t>Additional details to be included in the exception report when the user overrides this business rule:</w:t>
            </w:r>
          </w:p>
          <w:p w14:paraId="5F1A4E1E" w14:textId="0A54953A" w:rsidR="00685A5F" w:rsidRPr="00912031" w:rsidRDefault="00D77462" w:rsidP="00925CAD">
            <w:pPr>
              <w:pStyle w:val="TableText"/>
              <w:numPr>
                <w:ilvl w:val="0"/>
                <w:numId w:val="58"/>
              </w:numPr>
              <w:rPr>
                <w:rFonts w:cs="Arial"/>
              </w:rPr>
            </w:pPr>
            <w:r>
              <w:rPr>
                <w:rFonts w:cs="Arial"/>
              </w:rPr>
              <w:t>Exception</w:t>
            </w:r>
            <w:r w:rsidR="00685A5F" w:rsidRPr="00912031">
              <w:rPr>
                <w:rFonts w:cs="Arial"/>
              </w:rPr>
              <w:t xml:space="preserve"> Type: Antigen positive/untested units issued</w:t>
            </w:r>
          </w:p>
          <w:p w14:paraId="0F33AB5E" w14:textId="77777777" w:rsidR="00685A5F" w:rsidRPr="00912031" w:rsidRDefault="00685A5F" w:rsidP="00925CAD">
            <w:pPr>
              <w:pStyle w:val="TableText"/>
              <w:numPr>
                <w:ilvl w:val="0"/>
                <w:numId w:val="57"/>
              </w:numPr>
              <w:rPr>
                <w:rFonts w:cs="Arial"/>
              </w:rPr>
            </w:pPr>
            <w:r w:rsidRPr="00912031">
              <w:rPr>
                <w:rFonts w:cs="Arial"/>
              </w:rPr>
              <w:t>Patient Antibody Identified</w:t>
            </w:r>
          </w:p>
          <w:p w14:paraId="4C420027" w14:textId="77777777" w:rsidR="00685A5F" w:rsidRPr="00685A5F" w:rsidRDefault="00685A5F" w:rsidP="00925CAD">
            <w:pPr>
              <w:pStyle w:val="TableText"/>
              <w:numPr>
                <w:ilvl w:val="0"/>
                <w:numId w:val="57"/>
              </w:numPr>
              <w:rPr>
                <w:rFonts w:cs="Arial"/>
              </w:rPr>
            </w:pPr>
            <w:r w:rsidRPr="00912031">
              <w:rPr>
                <w:rFonts w:cs="Arial"/>
              </w:rPr>
              <w:t>Unit Antigen Phenotype Result</w:t>
            </w:r>
          </w:p>
        </w:tc>
      </w:tr>
      <w:tr w:rsidR="002A21AE" w14:paraId="2D95EAB6" w14:textId="77777777">
        <w:tc>
          <w:tcPr>
            <w:tcW w:w="780" w:type="dxa"/>
          </w:tcPr>
          <w:p w14:paraId="5010342B" w14:textId="77777777" w:rsidR="002A21AE" w:rsidRDefault="002A21AE">
            <w:pPr>
              <w:pStyle w:val="TableText"/>
            </w:pPr>
            <w:r>
              <w:t>5</w:t>
            </w:r>
          </w:p>
        </w:tc>
        <w:tc>
          <w:tcPr>
            <w:tcW w:w="8580" w:type="dxa"/>
          </w:tcPr>
          <w:p w14:paraId="18AE2666" w14:textId="77777777" w:rsidR="00F20D51" w:rsidRPr="00912031" w:rsidRDefault="00F20D51" w:rsidP="00F20D51">
            <w:pPr>
              <w:pStyle w:val="TableText"/>
              <w:rPr>
                <w:rFonts w:cs="Arial"/>
                <w:szCs w:val="18"/>
              </w:rPr>
            </w:pPr>
            <w:r w:rsidRPr="00F20D51">
              <w:rPr>
                <w:rFonts w:cs="Arial"/>
                <w:vanish/>
                <w:szCs w:val="18"/>
              </w:rPr>
              <w:t xml:space="preserve">BR_73.03 </w:t>
            </w:r>
            <w:r w:rsidRPr="00912031">
              <w:rPr>
                <w:rFonts w:cs="Arial"/>
                <w:szCs w:val="18"/>
              </w:rPr>
              <w:t xml:space="preserve">The system will not allow the issue of units assigned/crossmatched or that require an ABO/Rh associated with an expired specimen when compared to the issue date and time unless the user role is Enhanced Technologist, VBECS security levels 2 and above. </w:t>
            </w:r>
          </w:p>
          <w:p w14:paraId="6C03C32F" w14:textId="77777777" w:rsidR="00F20D51" w:rsidRPr="00912031" w:rsidRDefault="00F20D51" w:rsidP="00F20D51">
            <w:pPr>
              <w:pStyle w:val="TableText"/>
              <w:rPr>
                <w:rFonts w:cs="Arial"/>
                <w:szCs w:val="18"/>
              </w:rPr>
            </w:pPr>
          </w:p>
          <w:p w14:paraId="6763E1C0" w14:textId="77777777" w:rsidR="00F20D51" w:rsidRPr="00912031" w:rsidRDefault="00F20D51" w:rsidP="00F20D51">
            <w:pPr>
              <w:pStyle w:val="TableText"/>
              <w:rPr>
                <w:rFonts w:cs="Arial"/>
                <w:szCs w:val="18"/>
              </w:rPr>
            </w:pPr>
            <w:r w:rsidRPr="00912031">
              <w:rPr>
                <w:rFonts w:cs="Arial"/>
                <w:szCs w:val="18"/>
              </w:rPr>
              <w:t>When the user role is Technologist, VBECS security level 1, the system will display the warning message: Patient specimen is expired. You do not have the proper security to issue this unit. The system will not allow an override.</w:t>
            </w:r>
          </w:p>
          <w:p w14:paraId="7DD8705E" w14:textId="77777777" w:rsidR="00F20D51" w:rsidRPr="00912031" w:rsidRDefault="00F20D51" w:rsidP="00F20D51">
            <w:pPr>
              <w:pStyle w:val="TableText"/>
              <w:rPr>
                <w:rFonts w:cs="Arial"/>
                <w:szCs w:val="18"/>
              </w:rPr>
            </w:pPr>
          </w:p>
          <w:p w14:paraId="735BBC62" w14:textId="77777777" w:rsidR="00F20D51" w:rsidRPr="00912031" w:rsidRDefault="00F20D51" w:rsidP="00F20D51">
            <w:pPr>
              <w:pStyle w:val="TableText"/>
              <w:rPr>
                <w:rFonts w:cs="Arial"/>
                <w:szCs w:val="18"/>
              </w:rPr>
            </w:pPr>
            <w:r w:rsidRPr="00912031">
              <w:rPr>
                <w:rFonts w:cs="Arial"/>
                <w:szCs w:val="18"/>
              </w:rPr>
              <w:t>When the user role is Enhanced Technologist, VBECS security levels 2 and above, the system will provide an audible alert and display the warning message: Patient specimen is expired. Continue to issue? Yes/No. If the user responds “No” the system will clear the screen. If the user responds “Yes” the system will require a comment (free text or canned, “unit issue” context) and captures the transaction details for inclusion in an exception report entry for th</w:t>
            </w:r>
            <w:r>
              <w:rPr>
                <w:rFonts w:cs="Arial"/>
                <w:szCs w:val="18"/>
              </w:rPr>
              <w:t>e issue</w:t>
            </w:r>
            <w:r w:rsidRPr="00912031">
              <w:rPr>
                <w:rFonts w:cs="Arial"/>
                <w:szCs w:val="18"/>
              </w:rPr>
              <w:t xml:space="preserve">. </w:t>
            </w:r>
          </w:p>
          <w:p w14:paraId="2156EDB8" w14:textId="77777777" w:rsidR="00F20D51" w:rsidRPr="00912031" w:rsidRDefault="00F20D51" w:rsidP="00F20D51">
            <w:pPr>
              <w:pStyle w:val="TableText"/>
              <w:rPr>
                <w:rFonts w:cs="Arial"/>
                <w:szCs w:val="18"/>
              </w:rPr>
            </w:pPr>
          </w:p>
          <w:p w14:paraId="1EEA77E6" w14:textId="77777777" w:rsidR="00F20D51" w:rsidRPr="00912031" w:rsidRDefault="00F20D51" w:rsidP="00F20D51">
            <w:pPr>
              <w:pStyle w:val="TableText"/>
              <w:rPr>
                <w:rFonts w:cs="Arial"/>
                <w:szCs w:val="18"/>
              </w:rPr>
            </w:pPr>
            <w:r w:rsidRPr="00912031">
              <w:rPr>
                <w:rFonts w:cs="Arial"/>
                <w:szCs w:val="18"/>
              </w:rPr>
              <w:t>Additional details to be included in the exception report when the user overrides this business rule:</w:t>
            </w:r>
          </w:p>
          <w:p w14:paraId="269E9A65" w14:textId="06ADE44D" w:rsidR="002A21AE" w:rsidRPr="00C925FB" w:rsidRDefault="00D77462" w:rsidP="00C925FB">
            <w:pPr>
              <w:pStyle w:val="TableText"/>
              <w:numPr>
                <w:ilvl w:val="0"/>
                <w:numId w:val="56"/>
              </w:numPr>
              <w:rPr>
                <w:rFonts w:cs="Arial"/>
                <w:szCs w:val="18"/>
              </w:rPr>
            </w:pPr>
            <w:r>
              <w:rPr>
                <w:rFonts w:cs="Arial"/>
                <w:szCs w:val="18"/>
              </w:rPr>
              <w:t>Exception</w:t>
            </w:r>
            <w:r w:rsidR="00F20D51" w:rsidRPr="00912031">
              <w:rPr>
                <w:rFonts w:cs="Arial"/>
                <w:szCs w:val="18"/>
              </w:rPr>
              <w:t xml:space="preserve"> Type: Unit issued on expired specimen</w:t>
            </w:r>
          </w:p>
        </w:tc>
      </w:tr>
      <w:tr w:rsidR="002A21AE" w14:paraId="44F60856" w14:textId="77777777">
        <w:tc>
          <w:tcPr>
            <w:tcW w:w="780" w:type="dxa"/>
          </w:tcPr>
          <w:p w14:paraId="6B5A0FAC" w14:textId="77777777" w:rsidR="002A21AE" w:rsidRDefault="002A21AE">
            <w:pPr>
              <w:pStyle w:val="TableText"/>
            </w:pPr>
            <w:r>
              <w:t>5</w:t>
            </w:r>
          </w:p>
        </w:tc>
        <w:tc>
          <w:tcPr>
            <w:tcW w:w="8580" w:type="dxa"/>
          </w:tcPr>
          <w:p w14:paraId="7918253A" w14:textId="77777777" w:rsidR="002A21AE" w:rsidRDefault="002A21AE">
            <w:pPr>
              <w:pStyle w:val="TableText"/>
            </w:pPr>
            <w:r>
              <w:rPr>
                <w:rFonts w:cs="Arial"/>
                <w:vanish/>
              </w:rPr>
              <w:t xml:space="preserve">BR_73.04 </w:t>
            </w:r>
            <w:r>
              <w:t>When the user attempts to issue an expired unit, V</w:t>
            </w:r>
            <w:r w:rsidR="00D258CC">
              <w:t xml:space="preserve">BECS </w:t>
            </w:r>
            <w:r>
              <w:t>warns him. There is no override.</w:t>
            </w:r>
          </w:p>
          <w:p w14:paraId="2E592A11" w14:textId="77777777" w:rsidR="002A21AE" w:rsidRDefault="002A21AE">
            <w:pPr>
              <w:pStyle w:val="TableText"/>
            </w:pPr>
          </w:p>
          <w:p w14:paraId="2DAF9BBA" w14:textId="66EC7A23" w:rsidR="002A21AE" w:rsidRDefault="002A21AE">
            <w:pPr>
              <w:pStyle w:val="TableText"/>
            </w:pPr>
            <w:r w:rsidRPr="00EC7489">
              <w:rPr>
                <w:rFonts w:ascii="Wingdings 3" w:hAnsi="Wingdings 3" w:cs="Wingdings"/>
              </w:rPr>
              <w:t></w:t>
            </w:r>
            <w:r w:rsidRPr="00EC7489">
              <w:rPr>
                <w:rFonts w:ascii="Wingdings 3" w:hAnsi="Wingdings 3" w:cs="Wingdings"/>
              </w:rPr>
              <w:t></w:t>
            </w:r>
            <w:r>
              <w:t xml:space="preserve"> When the user is an Enhanced Technologist or above, VBECS emits an audible alert, warns him, and asks whether he wishes to continue to issue. </w:t>
            </w:r>
            <w:r>
              <w:rPr>
                <w:b/>
              </w:rPr>
              <w:t>No</w:t>
            </w:r>
            <w:r>
              <w:t xml:space="preserve"> clears the screen. </w:t>
            </w:r>
            <w:r>
              <w:rPr>
                <w:b/>
              </w:rPr>
              <w:t>Yes</w:t>
            </w:r>
            <w:r>
              <w:t xml:space="preserve"> requires a comment</w:t>
            </w:r>
            <w:r w:rsidR="00CB45CF">
              <w:t xml:space="preserve"> from</w:t>
            </w:r>
            <w:r w:rsidR="00E8200E">
              <w:t xml:space="preserve"> the </w:t>
            </w:r>
            <w:r w:rsidR="00C0625C">
              <w:t>“Unit Issue” context</w:t>
            </w:r>
            <w:r>
              <w:t xml:space="preserve"> and captures details for inclusion in an Exception Report (exception type: issued expired unit).</w:t>
            </w:r>
          </w:p>
        </w:tc>
      </w:tr>
      <w:tr w:rsidR="002A21AE" w14:paraId="3C54475C" w14:textId="77777777">
        <w:tc>
          <w:tcPr>
            <w:tcW w:w="780" w:type="dxa"/>
          </w:tcPr>
          <w:p w14:paraId="2DAA95F2" w14:textId="77777777" w:rsidR="002A21AE" w:rsidRDefault="002A21AE">
            <w:pPr>
              <w:pStyle w:val="TableText"/>
            </w:pPr>
            <w:r>
              <w:t>5</w:t>
            </w:r>
          </w:p>
        </w:tc>
        <w:tc>
          <w:tcPr>
            <w:tcW w:w="8580" w:type="dxa"/>
          </w:tcPr>
          <w:p w14:paraId="0447426E" w14:textId="77777777" w:rsidR="002A21AE" w:rsidRDefault="002A21AE">
            <w:pPr>
              <w:pStyle w:val="TableText"/>
            </w:pPr>
            <w:r>
              <w:rPr>
                <w:rFonts w:cs="Arial"/>
                <w:vanish/>
              </w:rPr>
              <w:t xml:space="preserve">BR_73.14 </w:t>
            </w:r>
            <w:r>
              <w:t>When the user sele</w:t>
            </w:r>
            <w:r w:rsidR="00A92813">
              <w:t>cts units from the WHOLE BLOOD or RED BLOOD CELLS</w:t>
            </w:r>
            <w:r>
              <w:t xml:space="preserve"> component classes, VBECS determines when the patient has a calculated or a persistent antigen negative requirement. This does not apply when selecting autologous (ISBT 128 units with an autologous donation type). When the selected unit was antigen typed and is positive for the corresponding antigen or is untested for the antigen, VBECS warns the user and requires action based on his security level.</w:t>
            </w:r>
          </w:p>
          <w:p w14:paraId="3CCC1D73" w14:textId="77777777" w:rsidR="002A21AE" w:rsidRDefault="002A21AE">
            <w:pPr>
              <w:pStyle w:val="TableText"/>
            </w:pPr>
          </w:p>
          <w:p w14:paraId="7D92940C" w14:textId="77777777" w:rsidR="002A21AE" w:rsidRDefault="002A21AE">
            <w:pPr>
              <w:pStyle w:val="TableText"/>
            </w:pPr>
            <w:r w:rsidRPr="00EC7489">
              <w:rPr>
                <w:rFonts w:ascii="Wingdings 3" w:hAnsi="Wingdings 3" w:cs="Wingdings"/>
              </w:rPr>
              <w:t></w:t>
            </w:r>
            <w:r w:rsidRPr="00EC7489">
              <w:rPr>
                <w:rFonts w:ascii="Wingdings 3" w:hAnsi="Wingdings 3" w:cs="Wingdings"/>
              </w:rPr>
              <w:t></w:t>
            </w:r>
            <w:r>
              <w:t xml:space="preserve"> When the user is an Enhanced Technologist or below, V</w:t>
            </w:r>
            <w:r w:rsidR="00D258CC">
              <w:t xml:space="preserve">BECS </w:t>
            </w:r>
            <w:r>
              <w:t xml:space="preserve">warns that he </w:t>
            </w:r>
            <w:r w:rsidR="00082F78">
              <w:t>does not have the proper security level</w:t>
            </w:r>
            <w:r>
              <w:t xml:space="preserve"> to issue the unit. There is no override. </w:t>
            </w:r>
          </w:p>
          <w:p w14:paraId="7B46974D" w14:textId="77777777" w:rsidR="002A21AE" w:rsidRDefault="002A21AE">
            <w:pPr>
              <w:pStyle w:val="TableText"/>
            </w:pPr>
          </w:p>
          <w:p w14:paraId="5E276A6B" w14:textId="6261DB02" w:rsidR="002A21AE" w:rsidRDefault="002A21AE">
            <w:pPr>
              <w:pStyle w:val="TableText"/>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When the user is a Lead Technologist or above, VBECS emits an audible alert, warns him, and asks whether he wishes to continue to issue. </w:t>
            </w:r>
            <w:r>
              <w:rPr>
                <w:b/>
              </w:rPr>
              <w:t>No</w:t>
            </w:r>
            <w:r>
              <w:t xml:space="preserve"> clears the screen. </w:t>
            </w:r>
            <w:r>
              <w:rPr>
                <w:b/>
              </w:rPr>
              <w:t>Yes</w:t>
            </w:r>
            <w:r>
              <w:t xml:space="preserve"> requires a comment </w:t>
            </w:r>
            <w:r w:rsidR="008229DF">
              <w:t>from the “Unit Issue”</w:t>
            </w:r>
            <w:r w:rsidR="00266919">
              <w:t xml:space="preserve"> context </w:t>
            </w:r>
            <w:r>
              <w:t>and captures details for inclusion in an Exception Report entry (exception type: antigen-positive/untested units issued).</w:t>
            </w:r>
          </w:p>
          <w:p w14:paraId="292A780B" w14:textId="77777777" w:rsidR="00685A5F" w:rsidRDefault="00685A5F">
            <w:pPr>
              <w:pStyle w:val="TableText"/>
            </w:pPr>
          </w:p>
          <w:p w14:paraId="5D4C0A6C" w14:textId="77777777" w:rsidR="00685A5F" w:rsidRDefault="00685A5F" w:rsidP="00685A5F">
            <w:pPr>
              <w:pStyle w:val="TableText"/>
              <w:rPr>
                <w:szCs w:val="18"/>
              </w:rPr>
            </w:pPr>
            <w:r w:rsidRPr="00F14A86">
              <w:rPr>
                <w:szCs w:val="18"/>
              </w:rPr>
              <w:t>Additional details to be included in the exception report when the u</w:t>
            </w:r>
            <w:r>
              <w:rPr>
                <w:szCs w:val="18"/>
              </w:rPr>
              <w:t>ser overrides:</w:t>
            </w:r>
          </w:p>
          <w:p w14:paraId="4938B590" w14:textId="28A17F17" w:rsidR="00685A5F" w:rsidRPr="00FB5425" w:rsidRDefault="00D77462" w:rsidP="00925CAD">
            <w:pPr>
              <w:pStyle w:val="TableText"/>
              <w:numPr>
                <w:ilvl w:val="0"/>
                <w:numId w:val="59"/>
              </w:numPr>
              <w:tabs>
                <w:tab w:val="clear" w:pos="720"/>
                <w:tab w:val="num" w:pos="252"/>
              </w:tabs>
              <w:ind w:left="252" w:hanging="198"/>
              <w:rPr>
                <w:szCs w:val="18"/>
              </w:rPr>
            </w:pPr>
            <w:r>
              <w:rPr>
                <w:szCs w:val="18"/>
              </w:rPr>
              <w:t>Exception</w:t>
            </w:r>
            <w:r w:rsidR="00685A5F" w:rsidRPr="00FB5425">
              <w:rPr>
                <w:szCs w:val="18"/>
              </w:rPr>
              <w:t xml:space="preserve"> Type: Antigen-positive/untested units issued</w:t>
            </w:r>
          </w:p>
          <w:p w14:paraId="1F9A3779" w14:textId="77777777" w:rsidR="00685A5F" w:rsidRPr="008A3C45" w:rsidRDefault="00685A5F" w:rsidP="00925CAD">
            <w:pPr>
              <w:pStyle w:val="TableText"/>
              <w:numPr>
                <w:ilvl w:val="0"/>
                <w:numId w:val="59"/>
              </w:numPr>
              <w:tabs>
                <w:tab w:val="clear" w:pos="720"/>
                <w:tab w:val="num" w:pos="252"/>
              </w:tabs>
              <w:ind w:left="252" w:hanging="198"/>
              <w:rPr>
                <w:szCs w:val="18"/>
              </w:rPr>
            </w:pPr>
            <w:r w:rsidRPr="008A3C45">
              <w:rPr>
                <w:szCs w:val="18"/>
              </w:rPr>
              <w:t>Patient Antibody(ies) Identified</w:t>
            </w:r>
          </w:p>
          <w:p w14:paraId="7A4ECE7B" w14:textId="77777777" w:rsidR="00685A5F" w:rsidRPr="00685A5F" w:rsidRDefault="00685A5F" w:rsidP="00925CAD">
            <w:pPr>
              <w:pStyle w:val="TableText"/>
              <w:numPr>
                <w:ilvl w:val="0"/>
                <w:numId w:val="59"/>
              </w:numPr>
              <w:tabs>
                <w:tab w:val="clear" w:pos="720"/>
                <w:tab w:val="num" w:pos="252"/>
              </w:tabs>
              <w:ind w:left="252" w:hanging="198"/>
              <w:rPr>
                <w:szCs w:val="18"/>
              </w:rPr>
            </w:pPr>
            <w:r w:rsidRPr="004A6FB8">
              <w:rPr>
                <w:szCs w:val="18"/>
              </w:rPr>
              <w:lastRenderedPageBreak/>
              <w:t>Unit Antigen Phenotype Result or “untested”</w:t>
            </w:r>
          </w:p>
        </w:tc>
      </w:tr>
      <w:tr w:rsidR="002A21AE" w14:paraId="319342BA" w14:textId="77777777">
        <w:tc>
          <w:tcPr>
            <w:tcW w:w="780" w:type="dxa"/>
          </w:tcPr>
          <w:p w14:paraId="084265DF" w14:textId="77777777" w:rsidR="002A21AE" w:rsidRDefault="002A21AE">
            <w:pPr>
              <w:pStyle w:val="TableText"/>
            </w:pPr>
            <w:r>
              <w:lastRenderedPageBreak/>
              <w:t>5</w:t>
            </w:r>
          </w:p>
        </w:tc>
        <w:tc>
          <w:tcPr>
            <w:tcW w:w="8580" w:type="dxa"/>
          </w:tcPr>
          <w:p w14:paraId="764AE07E" w14:textId="77777777" w:rsidR="002A21AE" w:rsidRDefault="002A21AE" w:rsidP="00E44A2A">
            <w:pPr>
              <w:pStyle w:val="TableText"/>
            </w:pPr>
            <w:r>
              <w:rPr>
                <w:rFonts w:cs="Arial"/>
                <w:vanish/>
              </w:rPr>
              <w:t xml:space="preserve">BR_73.05 </w:t>
            </w:r>
            <w:r>
              <w:t xml:space="preserve">VBECS compares the ABO/Rh of the current specimen </w:t>
            </w:r>
            <w:r w:rsidR="00E44A2A">
              <w:t xml:space="preserve">to the historic ABO/Rh. </w:t>
            </w:r>
            <w:r>
              <w:t xml:space="preserve">When there is a discrepancy, there is no previous justification for the discrepancy on the patient record, as described in Justify ABO/Rh Change, and the unit </w:t>
            </w:r>
            <w:r w:rsidR="00A10483">
              <w:t>does not</w:t>
            </w:r>
            <w:r>
              <w:t xml:space="preserve"> qualify for emergency issue, VBECS warns the user and instructs him to resolve the discrepancy before issuing the unit. There is no override. VBECS exits the option, clears the screen, and returns the user to the point of entry. </w:t>
            </w:r>
            <w:r w:rsidR="00E44A2A">
              <w:t>Units that qualify for emergency issue may continue and VBECS will display a message that the ABO/Rh on the current specimen does not agree with the historic ABO/Rh</w:t>
            </w:r>
            <w:r>
              <w:t>.</w:t>
            </w:r>
          </w:p>
        </w:tc>
      </w:tr>
      <w:tr w:rsidR="002A21AE" w14:paraId="5084B698" w14:textId="77777777">
        <w:tc>
          <w:tcPr>
            <w:tcW w:w="780" w:type="dxa"/>
          </w:tcPr>
          <w:p w14:paraId="7973A445" w14:textId="77777777" w:rsidR="00E44A2A" w:rsidRDefault="002A21AE">
            <w:pPr>
              <w:pStyle w:val="TableText"/>
            </w:pPr>
            <w:r>
              <w:t>5</w:t>
            </w:r>
          </w:p>
          <w:p w14:paraId="6471EEF0" w14:textId="77777777" w:rsidR="002A21AE" w:rsidRPr="00E44A2A" w:rsidRDefault="002A21AE" w:rsidP="00E44A2A"/>
        </w:tc>
        <w:tc>
          <w:tcPr>
            <w:tcW w:w="8580" w:type="dxa"/>
          </w:tcPr>
          <w:p w14:paraId="01E86168" w14:textId="77777777" w:rsidR="002A21AE" w:rsidRDefault="002A21AE">
            <w:pPr>
              <w:pStyle w:val="TableText"/>
            </w:pPr>
            <w:r w:rsidRPr="00ED5745">
              <w:rPr>
                <w:rFonts w:cs="Arial"/>
                <w:vanish/>
                <w:color w:val="0000FF"/>
              </w:rPr>
              <w:t>BR_3.05</w:t>
            </w:r>
            <w:r>
              <w:rPr>
                <w:rFonts w:cs="Arial"/>
                <w:vanish/>
              </w:rPr>
              <w:t xml:space="preserve"> </w:t>
            </w:r>
            <w:r>
              <w:t xml:space="preserve">When no valid ABO exists for the patient, the user may select components, including autologous units: </w:t>
            </w:r>
          </w:p>
          <w:p w14:paraId="4AED7BB1" w14:textId="77777777" w:rsidR="002A21AE" w:rsidRDefault="002A21AE">
            <w:pPr>
              <w:pStyle w:val="TableTextBullet"/>
              <w:tabs>
                <w:tab w:val="clear" w:pos="288"/>
              </w:tabs>
            </w:pPr>
            <w:r>
              <w:t xml:space="preserve">For RBC or WB order: </w:t>
            </w:r>
            <w:r w:rsidR="00093181">
              <w:t>group</w:t>
            </w:r>
            <w:r w:rsidR="000014DD">
              <w:t xml:space="preserve"> </w:t>
            </w:r>
            <w:r>
              <w:t>O, Rh positive or O Rh negative RBC. WHOLE BLOOD is not selectable.</w:t>
            </w:r>
          </w:p>
          <w:p w14:paraId="13AF15E4" w14:textId="77777777" w:rsidR="002A21AE" w:rsidRDefault="002A21AE">
            <w:pPr>
              <w:pStyle w:val="TableTextBullet"/>
              <w:tabs>
                <w:tab w:val="clear" w:pos="288"/>
              </w:tabs>
            </w:pPr>
            <w:r>
              <w:t>For FFP order only: group AB, Rh positive or Rh negative.</w:t>
            </w:r>
          </w:p>
          <w:p w14:paraId="3EE7751D" w14:textId="77777777" w:rsidR="002A21AE" w:rsidRDefault="00E31C5D">
            <w:pPr>
              <w:pStyle w:val="TableTextBullet"/>
              <w:tabs>
                <w:tab w:val="clear" w:pos="288"/>
              </w:tabs>
            </w:pPr>
            <w:r>
              <w:t>For PLT, CRYO, or OTHER order, all available units are selectable.</w:t>
            </w:r>
          </w:p>
        </w:tc>
      </w:tr>
      <w:tr w:rsidR="00102A03" w14:paraId="7AD93531" w14:textId="77777777">
        <w:tc>
          <w:tcPr>
            <w:tcW w:w="780" w:type="dxa"/>
          </w:tcPr>
          <w:p w14:paraId="0E5DD5FD" w14:textId="77777777" w:rsidR="00102A03" w:rsidRDefault="00102A03">
            <w:pPr>
              <w:pStyle w:val="TableText"/>
            </w:pPr>
            <w:r>
              <w:t>5</w:t>
            </w:r>
          </w:p>
        </w:tc>
        <w:tc>
          <w:tcPr>
            <w:tcW w:w="8580" w:type="dxa"/>
          </w:tcPr>
          <w:p w14:paraId="40E70C8C" w14:textId="77777777" w:rsidR="00102A03" w:rsidRDefault="00102A03" w:rsidP="00102A03">
            <w:pPr>
              <w:pStyle w:val="TableText"/>
              <w:rPr>
                <w:rFonts w:cs="Arial"/>
                <w:vanish/>
                <w:szCs w:val="22"/>
              </w:rPr>
            </w:pPr>
            <w:r w:rsidRPr="00AE062E">
              <w:rPr>
                <w:vanish/>
                <w:szCs w:val="18"/>
              </w:rPr>
              <w:t xml:space="preserve">BR_73.37 </w:t>
            </w:r>
            <w:r>
              <w:t>When the division is “transfusion only” and a blood unit is ABO incompatible at issue based on the interpretation of the current patient specimen’s ABO test, V</w:t>
            </w:r>
            <w:r w:rsidR="00D258CC">
              <w:t xml:space="preserve">BECS </w:t>
            </w:r>
            <w:r>
              <w:t>warns the user that the unit is not ABO compatible for the patient’s current specimen and may not be issued. The user must resolve pending ABO discrepancies before issuing the unit.</w:t>
            </w:r>
          </w:p>
        </w:tc>
      </w:tr>
      <w:tr w:rsidR="002A21AE" w14:paraId="37E89314" w14:textId="77777777">
        <w:tc>
          <w:tcPr>
            <w:tcW w:w="780" w:type="dxa"/>
          </w:tcPr>
          <w:p w14:paraId="79DA8CF0" w14:textId="77777777" w:rsidR="002A21AE" w:rsidRDefault="002A21AE">
            <w:pPr>
              <w:pStyle w:val="TableText"/>
            </w:pPr>
            <w:r>
              <w:t>7</w:t>
            </w:r>
          </w:p>
        </w:tc>
        <w:tc>
          <w:tcPr>
            <w:tcW w:w="8580" w:type="dxa"/>
          </w:tcPr>
          <w:p w14:paraId="505DC201" w14:textId="77777777" w:rsidR="002A21AE" w:rsidRDefault="002A21AE">
            <w:pPr>
              <w:pStyle w:val="TableText"/>
            </w:pPr>
            <w:r>
              <w:rPr>
                <w:rFonts w:cs="Arial"/>
                <w:vanish/>
                <w:szCs w:val="22"/>
              </w:rPr>
              <w:t xml:space="preserve">BR_73.33 </w:t>
            </w:r>
            <w:r w:rsidR="00FE49A2">
              <w:t xml:space="preserve">When the division is “full service” and a blood unit is ABO incompatible at issue based on the system interpretation of the current patient specimen’s ABO test result, VBECS emits an audible </w:t>
            </w:r>
            <w:r w:rsidR="00A10483">
              <w:t>alert, warns that the unit is not ABO compatible with the patient’s current specimen results,</w:t>
            </w:r>
            <w:r w:rsidR="00FE49A2">
              <w:t xml:space="preserve"> and asks whether he wishes to continue. </w:t>
            </w:r>
            <w:r w:rsidR="00FE49A2">
              <w:rPr>
                <w:b/>
              </w:rPr>
              <w:t>No</w:t>
            </w:r>
            <w:r w:rsidR="00FE49A2">
              <w:t xml:space="preserve"> clears the screen and allows the user to select another unit. </w:t>
            </w:r>
            <w:r w:rsidR="00FE49A2">
              <w:rPr>
                <w:b/>
              </w:rPr>
              <w:t>Yes</w:t>
            </w:r>
            <w:r w:rsidR="00FE49A2">
              <w:t xml:space="preserve"> requires a comment and </w:t>
            </w:r>
            <w:r w:rsidR="00FE49A2" w:rsidRPr="00014921">
              <w:t xml:space="preserve">captures details for inclusion in an Exception Report (exception type: </w:t>
            </w:r>
            <w:r w:rsidR="00FE49A2">
              <w:t>ABO discrepant unit issue</w:t>
            </w:r>
            <w:r w:rsidR="00FE49A2" w:rsidRPr="00014921">
              <w:t>).</w:t>
            </w:r>
          </w:p>
        </w:tc>
      </w:tr>
    </w:tbl>
    <w:p w14:paraId="705F43A0" w14:textId="61F67AA8" w:rsidR="007122D4" w:rsidRDefault="007122D4" w:rsidP="007122D4">
      <w:pPr>
        <w:pStyle w:val="Caption"/>
      </w:pPr>
      <w:bookmarkStart w:id="439" w:name="_Ref126489326"/>
      <w:r>
        <w:t xml:space="preserve">Table </w:t>
      </w:r>
      <w:r w:rsidR="004E20BD">
        <w:rPr>
          <w:noProof/>
        </w:rPr>
        <w:fldChar w:fldCharType="begin"/>
      </w:r>
      <w:r w:rsidR="004E20BD">
        <w:rPr>
          <w:noProof/>
        </w:rPr>
        <w:instrText xml:space="preserve"> SEQ Table \* ARABIC </w:instrText>
      </w:r>
      <w:r w:rsidR="004E20BD">
        <w:rPr>
          <w:noProof/>
        </w:rPr>
        <w:fldChar w:fldCharType="separate"/>
      </w:r>
      <w:r w:rsidR="007D1829">
        <w:rPr>
          <w:noProof/>
        </w:rPr>
        <w:t>8</w:t>
      </w:r>
      <w:r w:rsidR="004E20BD">
        <w:rPr>
          <w:noProof/>
        </w:rPr>
        <w:fldChar w:fldCharType="end"/>
      </w:r>
      <w:bookmarkEnd w:id="439"/>
      <w:r>
        <w:t xml:space="preserve">: Alerts That May Occur in Issue Blood Components (Emergency) </w:t>
      </w:r>
      <w:r>
        <w:fldChar w:fldCharType="begin"/>
      </w:r>
      <w:r>
        <w:instrText xml:space="preserve"> XE “Tables:Alerts That May Occur in Issue Blood Components (Emergency)” </w:instrText>
      </w:r>
      <w:r>
        <w:fldChar w:fldCharType="end"/>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80"/>
        <w:gridCol w:w="8580"/>
      </w:tblGrid>
      <w:tr w:rsidR="00263F21" w14:paraId="27652D88" w14:textId="77777777" w:rsidTr="004A7B44">
        <w:trPr>
          <w:cantSplit/>
          <w:tblHeader/>
        </w:trPr>
        <w:tc>
          <w:tcPr>
            <w:tcW w:w="780" w:type="dxa"/>
            <w:shd w:val="clear" w:color="auto" w:fill="B3B3B3"/>
          </w:tcPr>
          <w:p w14:paraId="11B23768" w14:textId="77777777" w:rsidR="00263F21" w:rsidRDefault="00DB3377" w:rsidP="00BC3648">
            <w:pPr>
              <w:pStyle w:val="TableText"/>
              <w:rPr>
                <w:b/>
              </w:rPr>
            </w:pPr>
            <w:r>
              <w:rPr>
                <w:b/>
              </w:rPr>
              <w:t>User Action Step</w:t>
            </w:r>
          </w:p>
        </w:tc>
        <w:tc>
          <w:tcPr>
            <w:tcW w:w="8580" w:type="dxa"/>
            <w:shd w:val="clear" w:color="auto" w:fill="B3B3B3"/>
          </w:tcPr>
          <w:p w14:paraId="7D044201" w14:textId="77777777" w:rsidR="00263F21" w:rsidRDefault="00263F21" w:rsidP="00BC3648">
            <w:pPr>
              <w:pStyle w:val="TableText"/>
              <w:rPr>
                <w:b/>
              </w:rPr>
            </w:pPr>
            <w:r>
              <w:rPr>
                <w:b/>
              </w:rPr>
              <w:t>Alerts</w:t>
            </w:r>
          </w:p>
        </w:tc>
      </w:tr>
      <w:tr w:rsidR="00263F21" w14:paraId="7AAD59A8" w14:textId="77777777" w:rsidTr="004A7B44">
        <w:trPr>
          <w:cantSplit/>
        </w:trPr>
        <w:tc>
          <w:tcPr>
            <w:tcW w:w="780" w:type="dxa"/>
          </w:tcPr>
          <w:p w14:paraId="6F9075F9" w14:textId="77777777" w:rsidR="00263F21" w:rsidRDefault="00263F21" w:rsidP="00BC3648">
            <w:pPr>
              <w:pStyle w:val="TableText"/>
            </w:pPr>
            <w:r>
              <w:t>2</w:t>
            </w:r>
          </w:p>
        </w:tc>
        <w:tc>
          <w:tcPr>
            <w:tcW w:w="8580" w:type="dxa"/>
          </w:tcPr>
          <w:p w14:paraId="140ABACF" w14:textId="77777777" w:rsidR="00263F21" w:rsidRDefault="00263F21" w:rsidP="00BC3648">
            <w:pPr>
              <w:pStyle w:val="TableText"/>
            </w:pPr>
            <w:r>
              <w:rPr>
                <w:rFonts w:cs="Arial"/>
                <w:vanish/>
                <w:szCs w:val="22"/>
              </w:rPr>
              <w:t xml:space="preserve">BR_16.01 </w:t>
            </w:r>
            <w:r>
              <w:t xml:space="preserve">VBECS displays </w:t>
            </w:r>
            <w:r w:rsidR="00057948">
              <w:rPr>
                <w:noProof/>
              </w:rPr>
              <w:drawing>
                <wp:inline distT="0" distB="0" distL="0" distR="0" wp14:anchorId="30B4005A" wp14:editId="22B03B28">
                  <wp:extent cx="156845" cy="156845"/>
                  <wp:effectExtent l="0" t="0" r="0" b="0"/>
                  <wp:docPr id="195" name="Picture 195" descr="View Special Instructions and Transfusion Requirements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Picture 195" descr="View Special Instructions and Transfusion Requirements icon"/>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t xml:space="preserve"> and emits an audible alert when there are Special Instructions (SIs) or Transfusion Requirements (TRs) for the patient.</w:t>
            </w:r>
          </w:p>
        </w:tc>
      </w:tr>
      <w:tr w:rsidR="00263F21" w14:paraId="5A224146" w14:textId="77777777" w:rsidTr="004A7B44">
        <w:trPr>
          <w:cantSplit/>
        </w:trPr>
        <w:tc>
          <w:tcPr>
            <w:tcW w:w="780" w:type="dxa"/>
          </w:tcPr>
          <w:p w14:paraId="675586A7" w14:textId="77777777" w:rsidR="00263F21" w:rsidRDefault="00263F21" w:rsidP="00BC3648">
            <w:pPr>
              <w:pStyle w:val="TableText"/>
            </w:pPr>
            <w:r>
              <w:t>2</w:t>
            </w:r>
          </w:p>
        </w:tc>
        <w:tc>
          <w:tcPr>
            <w:tcW w:w="8580" w:type="dxa"/>
          </w:tcPr>
          <w:p w14:paraId="571BA1FD" w14:textId="77777777" w:rsidR="00263F21" w:rsidRDefault="00263F21" w:rsidP="00BC3648">
            <w:pPr>
              <w:pStyle w:val="TableText"/>
            </w:pPr>
            <w:r>
              <w:rPr>
                <w:rFonts w:cs="Arial"/>
                <w:vanish/>
              </w:rPr>
              <w:t xml:space="preserve">BR_73.21 </w:t>
            </w:r>
            <w:r>
              <w:t>When no patient is found, VBECS warns the user and does not allow the user to continue.</w:t>
            </w:r>
          </w:p>
        </w:tc>
      </w:tr>
      <w:tr w:rsidR="00263F21" w14:paraId="50C4B0C5" w14:textId="77777777" w:rsidTr="004A7B44">
        <w:trPr>
          <w:cantSplit/>
        </w:trPr>
        <w:tc>
          <w:tcPr>
            <w:tcW w:w="780" w:type="dxa"/>
          </w:tcPr>
          <w:p w14:paraId="6F2EF684" w14:textId="77777777" w:rsidR="00263F21" w:rsidRDefault="00263F21" w:rsidP="00BC3648">
            <w:pPr>
              <w:pStyle w:val="TableText"/>
            </w:pPr>
            <w:r>
              <w:t>2</w:t>
            </w:r>
          </w:p>
        </w:tc>
        <w:tc>
          <w:tcPr>
            <w:tcW w:w="8580" w:type="dxa"/>
          </w:tcPr>
          <w:p w14:paraId="77B408DB" w14:textId="77777777" w:rsidR="00263F21" w:rsidRDefault="00263F21" w:rsidP="00BC3648">
            <w:pPr>
              <w:pStyle w:val="TableText"/>
            </w:pPr>
            <w:r>
              <w:rPr>
                <w:rFonts w:cs="Arial"/>
                <w:vanish/>
              </w:rPr>
              <w:t xml:space="preserve">BR_73.20 </w:t>
            </w:r>
            <w:r>
              <w:t>When the patient has no</w:t>
            </w:r>
            <w:r>
              <w:rPr>
                <w:i/>
              </w:rPr>
              <w:t xml:space="preserve"> </w:t>
            </w:r>
            <w:r>
              <w:t>components available for issue, VBECS warns the user and does not allow the user to continue.</w:t>
            </w:r>
          </w:p>
        </w:tc>
      </w:tr>
      <w:tr w:rsidR="00263F21" w14:paraId="78229D20" w14:textId="77777777" w:rsidTr="004A7B44">
        <w:trPr>
          <w:cantSplit/>
        </w:trPr>
        <w:tc>
          <w:tcPr>
            <w:tcW w:w="780" w:type="dxa"/>
          </w:tcPr>
          <w:p w14:paraId="24BE4F1C" w14:textId="77777777" w:rsidR="00263F21" w:rsidRDefault="00263F21" w:rsidP="00BC3648">
            <w:pPr>
              <w:pStyle w:val="TableText"/>
            </w:pPr>
            <w:r>
              <w:t>2</w:t>
            </w:r>
          </w:p>
        </w:tc>
        <w:tc>
          <w:tcPr>
            <w:tcW w:w="8580" w:type="dxa"/>
          </w:tcPr>
          <w:p w14:paraId="33ED9AF9" w14:textId="77777777" w:rsidR="00263F21" w:rsidRDefault="00263F21" w:rsidP="00BC3648">
            <w:pPr>
              <w:pStyle w:val="TableText"/>
            </w:pPr>
            <w:r>
              <w:rPr>
                <w:rFonts w:cs="Arial"/>
                <w:vanish/>
              </w:rPr>
              <w:t xml:space="preserve">BR_73.31 </w:t>
            </w:r>
            <w:r>
              <w:t>When required testing is incomplete at issue, VBECS emits an audible alert, warns the user, and asks whether to emergency issue the unit in accordance with hospital policy.</w:t>
            </w:r>
          </w:p>
          <w:p w14:paraId="3D5F05F8" w14:textId="77777777" w:rsidR="00263F21" w:rsidRDefault="00263F21" w:rsidP="00BC3648">
            <w:pPr>
              <w:pStyle w:val="TableText"/>
            </w:pPr>
          </w:p>
          <w:p w14:paraId="0174C7D3" w14:textId="38D0CD9E" w:rsidR="00263F21" w:rsidRDefault="00263F21" w:rsidP="00BC3648">
            <w:pPr>
              <w:pStyle w:val="TableText"/>
            </w:pPr>
            <w:r w:rsidRPr="00924702">
              <w:rPr>
                <w:b/>
              </w:rPr>
              <w:t>No</w:t>
            </w:r>
            <w:r>
              <w:t xml:space="preserve"> stops the user from issuing the unit and requires selection of another unit. </w:t>
            </w:r>
            <w:r w:rsidRPr="00924702">
              <w:rPr>
                <w:b/>
              </w:rPr>
              <w:t>Yes</w:t>
            </w:r>
            <w:r>
              <w:t xml:space="preserve"> </w:t>
            </w:r>
            <w:r w:rsidR="00FD04B6">
              <w:t xml:space="preserve">requires a comment from the </w:t>
            </w:r>
            <w:r w:rsidR="002751EE">
              <w:t xml:space="preserve">“Unit Issue” context, </w:t>
            </w:r>
            <w:r>
              <w:t>creates an Exception Report entry for the issue, indicates on the unit record that the unit was issued emergently, and asks whether the user wishes to print the Caution Tags and Blood Transfusion Record Forms.</w:t>
            </w:r>
            <w:r w:rsidRPr="00924702">
              <w:rPr>
                <w:b/>
              </w:rPr>
              <w:t xml:space="preserve"> No</w:t>
            </w:r>
            <w:r>
              <w:t xml:space="preserve"> allows the user to continue with the emergency issue. </w:t>
            </w:r>
            <w:r w:rsidRPr="00924702">
              <w:rPr>
                <w:b/>
              </w:rPr>
              <w:t>Yes</w:t>
            </w:r>
            <w:r>
              <w:t xml:space="preserve"> prints a Caution Tag and/or Blood Transfusion Record Form and proceeds with the issue.</w:t>
            </w:r>
          </w:p>
        </w:tc>
      </w:tr>
      <w:tr w:rsidR="0065539A" w14:paraId="4989C154" w14:textId="77777777" w:rsidTr="004A7B44">
        <w:trPr>
          <w:cantSplit/>
        </w:trPr>
        <w:tc>
          <w:tcPr>
            <w:tcW w:w="780" w:type="dxa"/>
          </w:tcPr>
          <w:p w14:paraId="62F2CCA9" w14:textId="77777777" w:rsidR="0065539A" w:rsidRDefault="0065539A" w:rsidP="00BC3648">
            <w:pPr>
              <w:pStyle w:val="TableText"/>
            </w:pPr>
            <w:r>
              <w:t>5</w:t>
            </w:r>
          </w:p>
        </w:tc>
        <w:tc>
          <w:tcPr>
            <w:tcW w:w="8580" w:type="dxa"/>
          </w:tcPr>
          <w:p w14:paraId="17A25453" w14:textId="77777777" w:rsidR="0065539A" w:rsidRPr="00214B12" w:rsidRDefault="0065539A" w:rsidP="00BC3648">
            <w:pPr>
              <w:pStyle w:val="TableText"/>
              <w:rPr>
                <w:rFonts w:cs="Arial"/>
                <w:vanish/>
                <w:szCs w:val="18"/>
              </w:rPr>
            </w:pPr>
            <w:r w:rsidRPr="0065539A">
              <w:rPr>
                <w:vanish/>
                <w:szCs w:val="18"/>
              </w:rPr>
              <w:t xml:space="preserve">BR_73.17 </w:t>
            </w:r>
            <w:r w:rsidRPr="0065539A">
              <w:rPr>
                <w:szCs w:val="18"/>
              </w:rPr>
              <w:t>When the user atte</w:t>
            </w:r>
            <w:r>
              <w:t>mpts to issue a unit located in a different division, VBECS warms him that the unit cannot be issued and does not allow him to continue.</w:t>
            </w:r>
          </w:p>
        </w:tc>
      </w:tr>
      <w:tr w:rsidR="003306DB" w14:paraId="71C5BF4A" w14:textId="77777777" w:rsidTr="004A7B44">
        <w:trPr>
          <w:cantSplit/>
        </w:trPr>
        <w:tc>
          <w:tcPr>
            <w:tcW w:w="780" w:type="dxa"/>
          </w:tcPr>
          <w:p w14:paraId="44CA90CD" w14:textId="77777777" w:rsidR="003306DB" w:rsidRDefault="003306DB" w:rsidP="00BC3648">
            <w:pPr>
              <w:pStyle w:val="TableText"/>
            </w:pPr>
            <w:r>
              <w:t>5</w:t>
            </w:r>
          </w:p>
        </w:tc>
        <w:tc>
          <w:tcPr>
            <w:tcW w:w="8580" w:type="dxa"/>
          </w:tcPr>
          <w:p w14:paraId="2A21E7C8" w14:textId="77777777" w:rsidR="003306DB" w:rsidRDefault="003306DB" w:rsidP="00BC3648">
            <w:pPr>
              <w:pStyle w:val="TableText"/>
              <w:rPr>
                <w:rFonts w:cs="Arial"/>
                <w:vanish/>
              </w:rPr>
            </w:pPr>
            <w:r w:rsidRPr="00214B12">
              <w:rPr>
                <w:rFonts w:cs="Arial"/>
                <w:vanish/>
                <w:szCs w:val="18"/>
              </w:rPr>
              <w:t xml:space="preserve">BR_73.19 </w:t>
            </w:r>
            <w:r>
              <w:t>When a user indicates that the inspected unit is unsatisfactory, VBECS does not allow the unit to be issued, releases it from assignment, and warns the user that the unit is unacceptable for transfusion. VBECS allows the user to enter another unit number.</w:t>
            </w:r>
          </w:p>
        </w:tc>
      </w:tr>
      <w:tr w:rsidR="00263F21" w14:paraId="7DEF6BAF" w14:textId="77777777" w:rsidTr="004A7B44">
        <w:trPr>
          <w:cantSplit/>
        </w:trPr>
        <w:tc>
          <w:tcPr>
            <w:tcW w:w="780" w:type="dxa"/>
          </w:tcPr>
          <w:p w14:paraId="4A487FB4" w14:textId="77777777" w:rsidR="00263F21" w:rsidRDefault="00263F21" w:rsidP="00BC3648">
            <w:pPr>
              <w:pStyle w:val="TableText"/>
            </w:pPr>
            <w:r>
              <w:t>5</w:t>
            </w:r>
          </w:p>
        </w:tc>
        <w:tc>
          <w:tcPr>
            <w:tcW w:w="8580" w:type="dxa"/>
          </w:tcPr>
          <w:p w14:paraId="5A58061D" w14:textId="77777777" w:rsidR="00263F21" w:rsidRDefault="00263F21" w:rsidP="00BC3648">
            <w:pPr>
              <w:pStyle w:val="TableText"/>
            </w:pPr>
            <w:r>
              <w:rPr>
                <w:rFonts w:cs="Arial"/>
                <w:vanish/>
              </w:rPr>
              <w:t xml:space="preserve">BR_73.27 </w:t>
            </w:r>
            <w:r>
              <w:rPr>
                <w:rFonts w:cs="Arial"/>
              </w:rPr>
              <w:t xml:space="preserve">When the user attempts to select frozen blood components, VBECS </w:t>
            </w:r>
            <w:r>
              <w:t xml:space="preserve">emits an audible alert and warns the user. Units selected in their frozen state must be thawed before issue. </w:t>
            </w:r>
          </w:p>
        </w:tc>
      </w:tr>
      <w:tr w:rsidR="00B11528" w14:paraId="579C74F4" w14:textId="77777777" w:rsidTr="004A7B44">
        <w:trPr>
          <w:cantSplit/>
        </w:trPr>
        <w:tc>
          <w:tcPr>
            <w:tcW w:w="780" w:type="dxa"/>
          </w:tcPr>
          <w:p w14:paraId="65032104" w14:textId="77777777" w:rsidR="00B11528" w:rsidRDefault="00B11528" w:rsidP="00BC3648">
            <w:pPr>
              <w:pStyle w:val="TableText"/>
            </w:pPr>
            <w:r>
              <w:t>5</w:t>
            </w:r>
          </w:p>
        </w:tc>
        <w:tc>
          <w:tcPr>
            <w:tcW w:w="8580" w:type="dxa"/>
          </w:tcPr>
          <w:p w14:paraId="44168DD0" w14:textId="77777777" w:rsidR="00B11528" w:rsidRPr="00B11528" w:rsidRDefault="00B11528" w:rsidP="00B11528">
            <w:pPr>
              <w:pStyle w:val="TableText"/>
              <w:rPr>
                <w:rFonts w:eastAsia="Calibri"/>
                <w:szCs w:val="18"/>
              </w:rPr>
            </w:pPr>
            <w:r w:rsidRPr="00B11528">
              <w:t>When the patient has Component Requirements and Antigen Negative Requirements, the user attempts to issue (including emergency issue) red blood cells that do not satisfy the requirements, and the user is:</w:t>
            </w:r>
          </w:p>
          <w:p w14:paraId="304B4BF7" w14:textId="77777777" w:rsidR="00B11528" w:rsidRPr="00B11528" w:rsidRDefault="00B11528" w:rsidP="00B11528">
            <w:pPr>
              <w:pStyle w:val="TableTextBullet"/>
              <w:numPr>
                <w:ilvl w:val="0"/>
                <w:numId w:val="0"/>
              </w:numPr>
              <w:tabs>
                <w:tab w:val="left" w:pos="720"/>
              </w:tabs>
              <w:rPr>
                <w:sz w:val="20"/>
                <w:szCs w:val="20"/>
              </w:rPr>
            </w:pPr>
            <w:r w:rsidRPr="00B11528">
              <w:rPr>
                <w:rFonts w:ascii="Wingdings 3" w:hAnsi="Wingdings 3"/>
              </w:rPr>
              <w:t></w:t>
            </w:r>
            <w:r w:rsidRPr="00B11528">
              <w:rPr>
                <w:rFonts w:ascii="Wingdings 3" w:hAnsi="Wingdings 3"/>
              </w:rPr>
              <w:t></w:t>
            </w:r>
            <w:r w:rsidRPr="00B11528">
              <w:t xml:space="preserve"> An Enhanced Technologist or below, VBECS emits an audible alert and warns the user that the unit is not selectable and he is not authorized to issue the unit. The unsatisfied requirements are not detailed.</w:t>
            </w:r>
          </w:p>
          <w:p w14:paraId="53AE0FAE" w14:textId="77777777" w:rsidR="00B11528" w:rsidRDefault="00B11528" w:rsidP="00B11528">
            <w:pPr>
              <w:pStyle w:val="TableText"/>
              <w:rPr>
                <w:rFonts w:cs="Arial"/>
                <w:vanish/>
              </w:rPr>
            </w:pPr>
            <w:r w:rsidRPr="00B11528">
              <w:t>VBECS does not allow an override.</w:t>
            </w:r>
          </w:p>
        </w:tc>
      </w:tr>
      <w:tr w:rsidR="00263F21" w14:paraId="4CF357F0" w14:textId="77777777" w:rsidTr="004A7B44">
        <w:trPr>
          <w:cantSplit/>
        </w:trPr>
        <w:tc>
          <w:tcPr>
            <w:tcW w:w="780" w:type="dxa"/>
          </w:tcPr>
          <w:p w14:paraId="283FA050" w14:textId="77777777" w:rsidR="00263F21" w:rsidRDefault="00263F21" w:rsidP="00BC3648">
            <w:pPr>
              <w:pStyle w:val="TableText"/>
            </w:pPr>
            <w:r>
              <w:lastRenderedPageBreak/>
              <w:t>5</w:t>
            </w:r>
          </w:p>
        </w:tc>
        <w:tc>
          <w:tcPr>
            <w:tcW w:w="8580" w:type="dxa"/>
          </w:tcPr>
          <w:p w14:paraId="2BF5F794" w14:textId="77777777" w:rsidR="002104CB" w:rsidRDefault="002104CB" w:rsidP="002104CB">
            <w:pPr>
              <w:pStyle w:val="TableText"/>
            </w:pPr>
            <w:r>
              <w:rPr>
                <w:rFonts w:cs="Arial"/>
                <w:vanish/>
              </w:rPr>
              <w:t xml:space="preserve">BR_73.28 </w:t>
            </w:r>
            <w:r w:rsidR="00B11528">
              <w:t>When the patient has Component Requirements</w:t>
            </w:r>
            <w:r w:rsidRPr="002104CB">
              <w:t>, the user attempts to issue (including emergency issue) red blood cells that do not satisfy the TR,</w:t>
            </w:r>
            <w:r>
              <w:t xml:space="preserve"> and the user is:</w:t>
            </w:r>
          </w:p>
          <w:p w14:paraId="1627AC6E" w14:textId="77777777" w:rsidR="002104CB" w:rsidRDefault="002104CB" w:rsidP="002104CB">
            <w:pPr>
              <w:pStyle w:val="TableTextBullet"/>
            </w:pPr>
            <w:r w:rsidRPr="00EC7489">
              <w:rPr>
                <w:rFonts w:ascii="Wingdings 3" w:hAnsi="Wingdings 3" w:cs="Wingdings"/>
              </w:rPr>
              <w:t></w:t>
            </w:r>
            <w:r w:rsidRPr="00EC7489">
              <w:rPr>
                <w:rFonts w:ascii="Wingdings 3" w:hAnsi="Wingdings 3" w:cs="Wingdings"/>
              </w:rPr>
              <w:t></w:t>
            </w:r>
            <w:r>
              <w:t xml:space="preserve"> An Enhanced Technologist or below, V</w:t>
            </w:r>
            <w:r w:rsidR="00A13E40">
              <w:t xml:space="preserve">BECS </w:t>
            </w:r>
            <w:r>
              <w:t xml:space="preserve">warns the user that he is not authorized to issue untyped red blood cells (for the clinically significant antibodies in the table). VBECS does not allow an override. </w:t>
            </w:r>
          </w:p>
          <w:p w14:paraId="0B0EAC44" w14:textId="3D6D09AE" w:rsidR="00263F21" w:rsidRDefault="002104CB" w:rsidP="002104CB">
            <w:pPr>
              <w:pStyle w:val="TableTextBullet"/>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A Lead Technologist or above, VBECS emits an audible alert and warns the user.</w:t>
            </w:r>
            <w:r>
              <w:rPr>
                <w:b/>
              </w:rPr>
              <w:t xml:space="preserve"> No</w:t>
            </w:r>
            <w:r>
              <w:t xml:space="preserve"> clears the screen. </w:t>
            </w:r>
            <w:r>
              <w:rPr>
                <w:b/>
              </w:rPr>
              <w:t>Yes</w:t>
            </w:r>
            <w:r>
              <w:t xml:space="preserve"> requires a comment </w:t>
            </w:r>
            <w:r w:rsidR="008B414E">
              <w:t>from the “Unit</w:t>
            </w:r>
            <w:r w:rsidR="001070EA">
              <w:t xml:space="preserve"> Issue</w:t>
            </w:r>
            <w:r w:rsidR="008B414E">
              <w:t xml:space="preserve">’ context </w:t>
            </w:r>
            <w:r>
              <w:t>and captures details for inclusion in an Exception Report (exception type: unit issued with unsatisfied TR).</w:t>
            </w:r>
          </w:p>
        </w:tc>
      </w:tr>
      <w:tr w:rsidR="00263F21" w14:paraId="7D319631" w14:textId="77777777" w:rsidTr="004A7B44">
        <w:trPr>
          <w:cantSplit/>
        </w:trPr>
        <w:tc>
          <w:tcPr>
            <w:tcW w:w="780" w:type="dxa"/>
          </w:tcPr>
          <w:p w14:paraId="2E81649C" w14:textId="77777777" w:rsidR="00263F21" w:rsidRDefault="00263F21" w:rsidP="00BC3648">
            <w:pPr>
              <w:pStyle w:val="TableText"/>
            </w:pPr>
            <w:r>
              <w:t>5</w:t>
            </w:r>
          </w:p>
        </w:tc>
        <w:tc>
          <w:tcPr>
            <w:tcW w:w="8580" w:type="dxa"/>
          </w:tcPr>
          <w:p w14:paraId="34FD8705" w14:textId="77777777" w:rsidR="00263F21" w:rsidRDefault="00263F21" w:rsidP="00BC3648">
            <w:pPr>
              <w:pStyle w:val="TableText"/>
            </w:pPr>
            <w:r>
              <w:rPr>
                <w:rFonts w:cs="Arial"/>
                <w:vanish/>
              </w:rPr>
              <w:t xml:space="preserve">BR_73.15 </w:t>
            </w:r>
            <w:r>
              <w:t xml:space="preserve">When a repeat ABO/Rh performed on the patient specimen does not match the original ABO/Rh interpretation and the unit </w:t>
            </w:r>
            <w:r w:rsidR="00A10483">
              <w:t>does not</w:t>
            </w:r>
            <w:r>
              <w:t xml:space="preserve"> qualify for emergency issue, VBECS warns the user and instructs him to resolve the discrepancy before issuing the unit. There is no override. Emergency issue may continue for qualifying units.</w:t>
            </w:r>
          </w:p>
        </w:tc>
      </w:tr>
      <w:tr w:rsidR="00263F21" w14:paraId="2ABB1BB2" w14:textId="77777777" w:rsidTr="004A7B44">
        <w:trPr>
          <w:cantSplit/>
        </w:trPr>
        <w:tc>
          <w:tcPr>
            <w:tcW w:w="780" w:type="dxa"/>
          </w:tcPr>
          <w:p w14:paraId="725BCBA9" w14:textId="77777777" w:rsidR="00263F21" w:rsidRDefault="00263F21" w:rsidP="00BC3648">
            <w:pPr>
              <w:pStyle w:val="TableText"/>
            </w:pPr>
            <w:r>
              <w:t>5</w:t>
            </w:r>
          </w:p>
        </w:tc>
        <w:tc>
          <w:tcPr>
            <w:tcW w:w="8580" w:type="dxa"/>
          </w:tcPr>
          <w:p w14:paraId="46A107F5" w14:textId="1908AE04" w:rsidR="00263F21" w:rsidRDefault="00263F21" w:rsidP="00BC3648">
            <w:pPr>
              <w:pStyle w:val="TableText"/>
            </w:pPr>
            <w:r>
              <w:rPr>
                <w:rFonts w:cs="Arial"/>
                <w:vanish/>
              </w:rPr>
              <w:t xml:space="preserve">BR_73.30 </w:t>
            </w:r>
            <w:r>
              <w:t xml:space="preserve">When a unit has a biohazard indicator, VBECS emits an audible alert, warns the user, and asks whether he still wishes to issue the unit. </w:t>
            </w:r>
            <w:r>
              <w:rPr>
                <w:b/>
              </w:rPr>
              <w:t>No</w:t>
            </w:r>
            <w:r>
              <w:t xml:space="preserve"> clears the entry and allows the user to select a new unit. </w:t>
            </w:r>
            <w:r>
              <w:rPr>
                <w:b/>
              </w:rPr>
              <w:t>Yes</w:t>
            </w:r>
            <w:r>
              <w:t xml:space="preserve"> requires a comment </w:t>
            </w:r>
            <w:r w:rsidR="00F64BE3">
              <w:t>from</w:t>
            </w:r>
            <w:r w:rsidR="00EC1B5B">
              <w:t xml:space="preserve"> the “Unit Issue” context </w:t>
            </w:r>
            <w:r>
              <w:t xml:space="preserve">and captures details of the transaction for inclusion in an Exception Report (exception type: biohazardous unit issued). </w:t>
            </w:r>
          </w:p>
        </w:tc>
      </w:tr>
      <w:tr w:rsidR="00263F21" w14:paraId="6604E669" w14:textId="77777777" w:rsidTr="004A7B44">
        <w:trPr>
          <w:cantSplit/>
        </w:trPr>
        <w:tc>
          <w:tcPr>
            <w:tcW w:w="780" w:type="dxa"/>
          </w:tcPr>
          <w:p w14:paraId="67223F66" w14:textId="77777777" w:rsidR="00263F21" w:rsidRDefault="00263F21" w:rsidP="00BC3648">
            <w:pPr>
              <w:pStyle w:val="TableText"/>
            </w:pPr>
            <w:r>
              <w:t>5</w:t>
            </w:r>
          </w:p>
        </w:tc>
        <w:tc>
          <w:tcPr>
            <w:tcW w:w="8580" w:type="dxa"/>
          </w:tcPr>
          <w:p w14:paraId="27E70DB0" w14:textId="36BE2CDA" w:rsidR="00263F21" w:rsidRDefault="00263F21" w:rsidP="00BC3648">
            <w:pPr>
              <w:pStyle w:val="TableText"/>
            </w:pPr>
            <w:r>
              <w:rPr>
                <w:rFonts w:cs="Arial"/>
                <w:vanish/>
                <w:szCs w:val="22"/>
              </w:rPr>
              <w:t xml:space="preserve">BR_73.16 </w:t>
            </w:r>
            <w:r>
              <w:t xml:space="preserve">For an Rh negative, unknown, or inconclusive patient, the user may enter and confirm Rh positive </w:t>
            </w:r>
            <w:r w:rsidR="00BA5BE4">
              <w:t xml:space="preserve">and Rh pooled </w:t>
            </w:r>
            <w:r>
              <w:t xml:space="preserve">units from the WHOLE BLOOD, RED BLOOD CELLS, PLATELETS, and OTHER VBECS component classes. </w:t>
            </w:r>
            <w:r w:rsidR="001D0217" w:rsidRPr="000921F1">
              <w:t>VBECS emits an audible alert, warns that the patient is Rh negative and the selected unit is Rh positive, instructs the user to check the patient sex and hospital policy before continuing, and asks whether the user wishes to continue to select the unit.</w:t>
            </w:r>
            <w:r>
              <w:t xml:space="preserve"> </w:t>
            </w:r>
            <w:r>
              <w:rPr>
                <w:b/>
              </w:rPr>
              <w:t>No</w:t>
            </w:r>
            <w:r>
              <w:t xml:space="preserve"> clears the unit data and allows the user to select a different unit. </w:t>
            </w:r>
            <w:r>
              <w:rPr>
                <w:b/>
              </w:rPr>
              <w:t>Yes</w:t>
            </w:r>
            <w:r>
              <w:t xml:space="preserve"> requires additional comment </w:t>
            </w:r>
            <w:r w:rsidR="00E169BF">
              <w:t xml:space="preserve">from the “Unit Issue” context </w:t>
            </w:r>
            <w:r>
              <w:t>and captures details for inclusion in an Exception Report (exception type: antigen positive/untested units issued).</w:t>
            </w:r>
            <w:r w:rsidR="001D0217" w:rsidRPr="001D0217">
              <w:rPr>
                <w:vanish/>
              </w:rPr>
              <w:t xml:space="preserve"> DR 4508</w:t>
            </w:r>
          </w:p>
        </w:tc>
      </w:tr>
      <w:tr w:rsidR="00263F21" w14:paraId="5293BBD2" w14:textId="77777777" w:rsidTr="004A7B44">
        <w:trPr>
          <w:cantSplit/>
        </w:trPr>
        <w:tc>
          <w:tcPr>
            <w:tcW w:w="780" w:type="dxa"/>
          </w:tcPr>
          <w:p w14:paraId="6508434D" w14:textId="77777777" w:rsidR="00263F21" w:rsidRDefault="00263F21" w:rsidP="00BC3648">
            <w:pPr>
              <w:pStyle w:val="TableText"/>
            </w:pPr>
            <w:r>
              <w:t>5</w:t>
            </w:r>
          </w:p>
        </w:tc>
        <w:tc>
          <w:tcPr>
            <w:tcW w:w="8580" w:type="dxa"/>
          </w:tcPr>
          <w:p w14:paraId="090AD62A" w14:textId="77777777" w:rsidR="00263F21" w:rsidRDefault="00263F21" w:rsidP="00BC3648">
            <w:pPr>
              <w:pStyle w:val="TableText"/>
            </w:pPr>
            <w:r>
              <w:rPr>
                <w:rFonts w:cs="Arial"/>
                <w:vanish/>
              </w:rPr>
              <w:t xml:space="preserve">BR_73.04 </w:t>
            </w:r>
            <w:r>
              <w:t>When the user attempts to issue an expired unit, VBECS emits an audible alert and warns him. There is no override.</w:t>
            </w:r>
          </w:p>
          <w:p w14:paraId="7FC6C007" w14:textId="77777777" w:rsidR="00263F21" w:rsidRDefault="00263F21" w:rsidP="00BC3648">
            <w:pPr>
              <w:pStyle w:val="TableText"/>
            </w:pPr>
          </w:p>
          <w:p w14:paraId="06C1C448" w14:textId="680404A8" w:rsidR="00263F21" w:rsidRDefault="00263F21" w:rsidP="00BC3648">
            <w:pPr>
              <w:pStyle w:val="TableText"/>
            </w:pPr>
            <w:r w:rsidRPr="00EC7489">
              <w:rPr>
                <w:rFonts w:ascii="Wingdings 3" w:hAnsi="Wingdings 3" w:cs="Wingdings"/>
              </w:rPr>
              <w:t></w:t>
            </w:r>
            <w:r w:rsidRPr="00EC7489">
              <w:rPr>
                <w:rFonts w:ascii="Wingdings 3" w:hAnsi="Wingdings 3" w:cs="Wingdings"/>
              </w:rPr>
              <w:t></w:t>
            </w:r>
            <w:r>
              <w:t xml:space="preserve"> When the user is an Enhanced Technologist or above, VBECS emits an audible alert, warns him, and asks whether he wishes to continue to issue. </w:t>
            </w:r>
            <w:r>
              <w:rPr>
                <w:b/>
              </w:rPr>
              <w:t>No</w:t>
            </w:r>
            <w:r>
              <w:t xml:space="preserve"> clears the screen. </w:t>
            </w:r>
            <w:r>
              <w:rPr>
                <w:b/>
              </w:rPr>
              <w:t>Yes</w:t>
            </w:r>
            <w:r>
              <w:t xml:space="preserve"> requires a comment </w:t>
            </w:r>
            <w:r w:rsidR="001070EA">
              <w:t xml:space="preserve">from the "Unit Issue" context </w:t>
            </w:r>
            <w:r>
              <w:t>and captures details for inclusion in an Exception Report (exception type: issued expired unit).</w:t>
            </w:r>
          </w:p>
        </w:tc>
      </w:tr>
      <w:tr w:rsidR="00263F21" w14:paraId="08030156" w14:textId="77777777" w:rsidTr="004A7B44">
        <w:trPr>
          <w:cantSplit/>
        </w:trPr>
        <w:tc>
          <w:tcPr>
            <w:tcW w:w="780" w:type="dxa"/>
          </w:tcPr>
          <w:p w14:paraId="089953F0" w14:textId="77777777" w:rsidR="00263F21" w:rsidRDefault="00263F21" w:rsidP="00BC3648">
            <w:pPr>
              <w:pStyle w:val="TableText"/>
            </w:pPr>
            <w:r>
              <w:t>5</w:t>
            </w:r>
          </w:p>
        </w:tc>
        <w:tc>
          <w:tcPr>
            <w:tcW w:w="8580" w:type="dxa"/>
          </w:tcPr>
          <w:p w14:paraId="7D35E032" w14:textId="77777777" w:rsidR="00263F21" w:rsidRDefault="00263F21" w:rsidP="00BC3648">
            <w:pPr>
              <w:pStyle w:val="TableText"/>
            </w:pPr>
            <w:r>
              <w:rPr>
                <w:rFonts w:cs="Arial"/>
                <w:vanish/>
              </w:rPr>
              <w:t xml:space="preserve">BR_73.14 </w:t>
            </w:r>
            <w:r>
              <w:t>When the user sele</w:t>
            </w:r>
            <w:r w:rsidR="00A92813">
              <w:t>cts units from the WHOLE BLOOD or RED BLOOD CELLS</w:t>
            </w:r>
            <w:r>
              <w:t xml:space="preserve"> component classes, VBECS determines when the patient has a calculated or a persistent antigen negative requirement. This does not apply when selecting autologous (ISBT 128 units with an autologous donation type). When the selected unit was antigen typed and is positive for the corresponding antigen or is untested for the antigen, VBECS warns the user and requires action based on his security level.</w:t>
            </w:r>
          </w:p>
          <w:p w14:paraId="16E6DF58" w14:textId="77777777" w:rsidR="00263F21" w:rsidRDefault="00263F21" w:rsidP="00BC3648">
            <w:pPr>
              <w:pStyle w:val="TableText"/>
            </w:pPr>
          </w:p>
          <w:p w14:paraId="3212EC24" w14:textId="77777777" w:rsidR="00263F21" w:rsidRDefault="00263F21" w:rsidP="00BC3648">
            <w:pPr>
              <w:pStyle w:val="TableText"/>
            </w:pPr>
            <w:r w:rsidRPr="00EC7489">
              <w:rPr>
                <w:rFonts w:ascii="Wingdings 3" w:hAnsi="Wingdings 3" w:cs="Wingdings"/>
              </w:rPr>
              <w:t></w:t>
            </w:r>
            <w:r w:rsidRPr="00EC7489">
              <w:rPr>
                <w:rFonts w:ascii="Wingdings 3" w:hAnsi="Wingdings 3" w:cs="Wingdings"/>
              </w:rPr>
              <w:t></w:t>
            </w:r>
            <w:r>
              <w:t xml:space="preserve"> When the user is an Enhanced Technologist or below, VBECS emits an audible alert and warns that he does not have the proper security level to issue the unit. There is no override. </w:t>
            </w:r>
          </w:p>
          <w:p w14:paraId="1AF9EB42" w14:textId="77777777" w:rsidR="00263F21" w:rsidRDefault="00263F21" w:rsidP="00BC3648">
            <w:pPr>
              <w:pStyle w:val="TableText"/>
            </w:pPr>
          </w:p>
          <w:p w14:paraId="00C31614" w14:textId="73DE7380" w:rsidR="00685A5F" w:rsidRDefault="00263F21" w:rsidP="00685A5F">
            <w:pPr>
              <w:pStyle w:val="TableText"/>
              <w:rPr>
                <w:szCs w:val="18"/>
              </w:rPr>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When the user is a Lead Technologist or above, VBECS emits an audible alert, warns him, and asks whether he wishes to continue to issue. </w:t>
            </w:r>
            <w:r>
              <w:rPr>
                <w:b/>
              </w:rPr>
              <w:t>No</w:t>
            </w:r>
            <w:r>
              <w:t xml:space="preserve"> clears the screen. </w:t>
            </w:r>
            <w:r>
              <w:rPr>
                <w:b/>
              </w:rPr>
              <w:t>Yes</w:t>
            </w:r>
            <w:r>
              <w:t xml:space="preserve"> requires a comment</w:t>
            </w:r>
            <w:r w:rsidR="00BD1B14">
              <w:t xml:space="preserve"> from the “Unit Issue” context</w:t>
            </w:r>
            <w:r>
              <w:t xml:space="preserve"> and captures details for inclusion in an Exception Report entry (exception type: antigen-positive/untested units issued).</w:t>
            </w:r>
            <w:r w:rsidR="00685A5F" w:rsidRPr="00F14A86">
              <w:rPr>
                <w:szCs w:val="18"/>
              </w:rPr>
              <w:t xml:space="preserve"> Additional details to be included in the exception report when the u</w:t>
            </w:r>
            <w:r w:rsidR="00685A5F">
              <w:rPr>
                <w:szCs w:val="18"/>
              </w:rPr>
              <w:t>ser overrides:</w:t>
            </w:r>
          </w:p>
          <w:p w14:paraId="57329B3C" w14:textId="36CABF12" w:rsidR="00685A5F" w:rsidRPr="00FB5425" w:rsidRDefault="00D77462" w:rsidP="00925CAD">
            <w:pPr>
              <w:pStyle w:val="TableText"/>
              <w:numPr>
                <w:ilvl w:val="0"/>
                <w:numId w:val="59"/>
              </w:numPr>
              <w:tabs>
                <w:tab w:val="clear" w:pos="720"/>
                <w:tab w:val="num" w:pos="252"/>
              </w:tabs>
              <w:ind w:left="252" w:hanging="198"/>
              <w:rPr>
                <w:szCs w:val="18"/>
              </w:rPr>
            </w:pPr>
            <w:r>
              <w:rPr>
                <w:szCs w:val="18"/>
              </w:rPr>
              <w:t>Exception</w:t>
            </w:r>
            <w:r w:rsidR="00685A5F" w:rsidRPr="00FB5425">
              <w:rPr>
                <w:szCs w:val="18"/>
              </w:rPr>
              <w:t xml:space="preserve"> Type: Antigen-positive/untested units issued</w:t>
            </w:r>
          </w:p>
          <w:p w14:paraId="4B7A3FD0" w14:textId="77777777" w:rsidR="00685A5F" w:rsidRPr="008A3C45" w:rsidRDefault="00685A5F" w:rsidP="00925CAD">
            <w:pPr>
              <w:pStyle w:val="TableText"/>
              <w:numPr>
                <w:ilvl w:val="0"/>
                <w:numId w:val="59"/>
              </w:numPr>
              <w:tabs>
                <w:tab w:val="clear" w:pos="720"/>
                <w:tab w:val="num" w:pos="252"/>
              </w:tabs>
              <w:ind w:left="252" w:hanging="198"/>
              <w:rPr>
                <w:szCs w:val="18"/>
              </w:rPr>
            </w:pPr>
            <w:r w:rsidRPr="008A3C45">
              <w:rPr>
                <w:szCs w:val="18"/>
              </w:rPr>
              <w:t>Patient Antibody(ies) Identified</w:t>
            </w:r>
          </w:p>
          <w:p w14:paraId="2BEEECE6" w14:textId="77777777" w:rsidR="00263F21" w:rsidRDefault="00685A5F" w:rsidP="00925CAD">
            <w:pPr>
              <w:pStyle w:val="TableText"/>
              <w:numPr>
                <w:ilvl w:val="0"/>
                <w:numId w:val="59"/>
              </w:numPr>
              <w:tabs>
                <w:tab w:val="clear" w:pos="720"/>
                <w:tab w:val="num" w:pos="252"/>
              </w:tabs>
              <w:ind w:left="252" w:hanging="198"/>
            </w:pPr>
            <w:r w:rsidRPr="004A6FB8">
              <w:rPr>
                <w:szCs w:val="18"/>
              </w:rPr>
              <w:t>Unit Antigen Phenotype Result or “untested”</w:t>
            </w:r>
          </w:p>
        </w:tc>
      </w:tr>
      <w:tr w:rsidR="00263F21" w14:paraId="13F3F5EE" w14:textId="77777777" w:rsidTr="004A7B44">
        <w:trPr>
          <w:cantSplit/>
        </w:trPr>
        <w:tc>
          <w:tcPr>
            <w:tcW w:w="780" w:type="dxa"/>
          </w:tcPr>
          <w:p w14:paraId="7656E22F" w14:textId="77777777" w:rsidR="00263F21" w:rsidRDefault="00263F21" w:rsidP="00BC3648">
            <w:pPr>
              <w:pStyle w:val="TableText"/>
            </w:pPr>
            <w:r>
              <w:lastRenderedPageBreak/>
              <w:t>5</w:t>
            </w:r>
          </w:p>
        </w:tc>
        <w:tc>
          <w:tcPr>
            <w:tcW w:w="8580" w:type="dxa"/>
          </w:tcPr>
          <w:p w14:paraId="7E3009C6" w14:textId="77777777" w:rsidR="00263F21" w:rsidRDefault="00263F21" w:rsidP="00BC3648">
            <w:pPr>
              <w:pStyle w:val="TableText"/>
            </w:pPr>
            <w:r>
              <w:rPr>
                <w:rFonts w:cs="Arial"/>
                <w:vanish/>
              </w:rPr>
              <w:t xml:space="preserve">BR_73.05 </w:t>
            </w:r>
            <w:r>
              <w:t xml:space="preserve">VBECS compares the ABO/Rh of the current specimen to the historic ABO/Rh. When the unit was electronically crossmatched, the current and historic ABO/Rh results must have been recorded in the login user’s division. When there is a discrepancy, there is no previous justification for the discrepancy on the patient record, as described in Justify ABO/Rh Change, and the unit </w:t>
            </w:r>
            <w:r w:rsidR="00A10483">
              <w:t>does not</w:t>
            </w:r>
            <w:r>
              <w:t xml:space="preserve"> qualify for emergency issue, VBECS warns the user and instructs him to resolve the discrepancy before issuing the unit. There is no override. VBECS exits the option, clears the screen, and returns the user to the point of entry. Emergency issue may continue for qualifying units.</w:t>
            </w:r>
          </w:p>
        </w:tc>
      </w:tr>
      <w:tr w:rsidR="00263F21" w14:paraId="3ED1815C" w14:textId="77777777" w:rsidTr="004A7B44">
        <w:trPr>
          <w:cantSplit/>
        </w:trPr>
        <w:tc>
          <w:tcPr>
            <w:tcW w:w="780" w:type="dxa"/>
          </w:tcPr>
          <w:p w14:paraId="112E6ED3" w14:textId="77777777" w:rsidR="00263F21" w:rsidRDefault="00263F21" w:rsidP="00BC3648">
            <w:pPr>
              <w:pStyle w:val="TableText"/>
            </w:pPr>
            <w:r>
              <w:t>5</w:t>
            </w:r>
          </w:p>
        </w:tc>
        <w:tc>
          <w:tcPr>
            <w:tcW w:w="8580" w:type="dxa"/>
          </w:tcPr>
          <w:p w14:paraId="3D5E5371" w14:textId="77777777" w:rsidR="00263F21" w:rsidRDefault="00263F21" w:rsidP="00BC3648">
            <w:pPr>
              <w:pStyle w:val="TableText"/>
            </w:pPr>
            <w:r w:rsidRPr="00ED5745">
              <w:rPr>
                <w:rFonts w:cs="Arial"/>
                <w:vanish/>
                <w:color w:val="0000FF"/>
              </w:rPr>
              <w:t>BR_3.05</w:t>
            </w:r>
            <w:r>
              <w:rPr>
                <w:rFonts w:cs="Arial"/>
                <w:vanish/>
              </w:rPr>
              <w:t xml:space="preserve"> </w:t>
            </w:r>
            <w:r>
              <w:t xml:space="preserve">When no valid ABO exists for the patient, the user may select components, including autologous units: </w:t>
            </w:r>
          </w:p>
          <w:p w14:paraId="66B3F821" w14:textId="77777777" w:rsidR="00263F21" w:rsidRDefault="00263F21" w:rsidP="00BC3648">
            <w:pPr>
              <w:pStyle w:val="TableTextBullet"/>
              <w:tabs>
                <w:tab w:val="clear" w:pos="288"/>
              </w:tabs>
            </w:pPr>
            <w:r>
              <w:t xml:space="preserve">For RBC or WB order: </w:t>
            </w:r>
            <w:r w:rsidR="00093181">
              <w:t>group</w:t>
            </w:r>
            <w:r w:rsidR="000014DD">
              <w:t xml:space="preserve"> </w:t>
            </w:r>
            <w:r>
              <w:t>O, Rh positive or O Rh negative RBC. WHOLE BLOOD is not selectable.</w:t>
            </w:r>
          </w:p>
          <w:p w14:paraId="21430147" w14:textId="77777777" w:rsidR="00263F21" w:rsidRDefault="00263F21" w:rsidP="00BC3648">
            <w:pPr>
              <w:pStyle w:val="TableTextBullet"/>
              <w:tabs>
                <w:tab w:val="clear" w:pos="288"/>
              </w:tabs>
            </w:pPr>
            <w:r>
              <w:t>For FFP order only: group AB, Rh positive or Rh negative.</w:t>
            </w:r>
          </w:p>
          <w:p w14:paraId="2294BADD" w14:textId="77777777" w:rsidR="00263F21" w:rsidRDefault="00263F21" w:rsidP="00BC3648">
            <w:pPr>
              <w:pStyle w:val="TableTextBullet"/>
              <w:tabs>
                <w:tab w:val="clear" w:pos="288"/>
              </w:tabs>
            </w:pPr>
            <w:r>
              <w:t>For PLT, CRYO, or OTHER order, all available units are selectable.</w:t>
            </w:r>
          </w:p>
        </w:tc>
      </w:tr>
      <w:tr w:rsidR="00113B6A" w14:paraId="1AAD4681" w14:textId="77777777" w:rsidTr="004A7B44">
        <w:trPr>
          <w:cantSplit/>
        </w:trPr>
        <w:tc>
          <w:tcPr>
            <w:tcW w:w="780" w:type="dxa"/>
          </w:tcPr>
          <w:p w14:paraId="065C6E6F" w14:textId="77777777" w:rsidR="00113B6A" w:rsidRDefault="00173BDA" w:rsidP="00303708">
            <w:pPr>
              <w:pStyle w:val="TableText"/>
            </w:pPr>
            <w:r>
              <w:t>5</w:t>
            </w:r>
          </w:p>
        </w:tc>
        <w:tc>
          <w:tcPr>
            <w:tcW w:w="8580" w:type="dxa"/>
          </w:tcPr>
          <w:p w14:paraId="23053ACB" w14:textId="77777777" w:rsidR="00113B6A" w:rsidRDefault="00113B6A" w:rsidP="00303708">
            <w:pPr>
              <w:pStyle w:val="TableText"/>
            </w:pPr>
            <w:r w:rsidRPr="00DC6BEF">
              <w:rPr>
                <w:rFonts w:cs="Arial"/>
                <w:vanish/>
                <w:color w:val="0000FF"/>
              </w:rPr>
              <w:t>BR_3.12</w:t>
            </w:r>
            <w:r>
              <w:rPr>
                <w:rFonts w:cs="Arial"/>
                <w:vanish/>
              </w:rPr>
              <w:t xml:space="preserve"> </w:t>
            </w:r>
            <w:r>
              <w:rPr>
                <w:szCs w:val="22"/>
              </w:rPr>
              <w:t></w:t>
            </w:r>
            <w:r>
              <w:t>When the user selects blood components from the frozen product types for a patient, VBECS emits an audible alert and warns that the selected blood unit must be thawed and may require addition</w:t>
            </w:r>
            <w:r w:rsidR="00CD635A">
              <w:t>al processing prior to issue.</w:t>
            </w:r>
            <w:r>
              <w:t xml:space="preserve"> VBECS updates the blood unit status to “assigned” and the unit is no longer available for issue.</w:t>
            </w:r>
          </w:p>
        </w:tc>
      </w:tr>
      <w:tr w:rsidR="00113B6A" w14:paraId="7CD02ACF" w14:textId="77777777" w:rsidTr="004A7B44">
        <w:trPr>
          <w:cantSplit/>
        </w:trPr>
        <w:tc>
          <w:tcPr>
            <w:tcW w:w="780" w:type="dxa"/>
            <w:tcBorders>
              <w:top w:val="single" w:sz="4" w:space="0" w:color="auto"/>
              <w:left w:val="single" w:sz="4" w:space="0" w:color="auto"/>
              <w:bottom w:val="single" w:sz="4" w:space="0" w:color="auto"/>
              <w:right w:val="single" w:sz="4" w:space="0" w:color="auto"/>
            </w:tcBorders>
          </w:tcPr>
          <w:p w14:paraId="047684A7" w14:textId="77777777" w:rsidR="00113B6A" w:rsidRDefault="00173BDA" w:rsidP="00303708">
            <w:pPr>
              <w:pStyle w:val="TableText"/>
            </w:pPr>
            <w:r>
              <w:t>5</w:t>
            </w:r>
          </w:p>
        </w:tc>
        <w:tc>
          <w:tcPr>
            <w:tcW w:w="8580" w:type="dxa"/>
            <w:tcBorders>
              <w:top w:val="single" w:sz="4" w:space="0" w:color="auto"/>
              <w:left w:val="single" w:sz="4" w:space="0" w:color="auto"/>
              <w:bottom w:val="single" w:sz="4" w:space="0" w:color="auto"/>
              <w:right w:val="single" w:sz="4" w:space="0" w:color="auto"/>
            </w:tcBorders>
          </w:tcPr>
          <w:p w14:paraId="51CBC093" w14:textId="77777777" w:rsidR="00113B6A" w:rsidRDefault="00113B6A" w:rsidP="00173BDA">
            <w:pPr>
              <w:pStyle w:val="TableText"/>
            </w:pPr>
            <w:r>
              <w:rPr>
                <w:rFonts w:cs="Arial"/>
                <w:vanish/>
              </w:rPr>
              <w:t xml:space="preserve">BR_43.04 </w:t>
            </w:r>
            <w:r>
              <w:t xml:space="preserve">When a Caution Tag or BTRF is printed for an emergency-issued unit, “Emergency Issue” is included on the form. </w:t>
            </w:r>
          </w:p>
          <w:p w14:paraId="10A7B34D" w14:textId="77777777" w:rsidR="00113B6A" w:rsidRDefault="00113B6A" w:rsidP="00173BDA">
            <w:pPr>
              <w:pStyle w:val="TableText"/>
            </w:pPr>
          </w:p>
          <w:p w14:paraId="0C965A08" w14:textId="77777777" w:rsidR="00113B6A" w:rsidRDefault="00113B6A" w:rsidP="00173BDA">
            <w:pPr>
              <w:pStyle w:val="TableText"/>
            </w:pPr>
            <w:r>
              <w:t xml:space="preserve">The recipient ABO/Rh prints as “Unk” or “Unknown” during emergency issue when no current specimen results are on file; VBECS may </w:t>
            </w:r>
            <w:r>
              <w:rPr>
                <w:iCs/>
              </w:rPr>
              <w:t>not</w:t>
            </w:r>
            <w:r>
              <w:t xml:space="preserve"> use a historic record blood type (from any source) for the typing printed on the tag/form.</w:t>
            </w:r>
          </w:p>
          <w:p w14:paraId="7F089C33" w14:textId="77777777" w:rsidR="00113B6A" w:rsidRDefault="00113B6A" w:rsidP="00173BDA">
            <w:pPr>
              <w:pStyle w:val="TableTex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0"/>
              <w:gridCol w:w="2880"/>
            </w:tblGrid>
            <w:tr w:rsidR="00113B6A" w14:paraId="61619FB9" w14:textId="77777777">
              <w:trPr>
                <w:tblHeader/>
              </w:trPr>
              <w:tc>
                <w:tcPr>
                  <w:tcW w:w="2880" w:type="dxa"/>
                  <w:shd w:val="clear" w:color="auto" w:fill="B3B3B3"/>
                  <w:vAlign w:val="bottom"/>
                </w:tcPr>
                <w:p w14:paraId="085D52AE" w14:textId="77777777" w:rsidR="00113B6A" w:rsidRDefault="00113B6A" w:rsidP="00173BDA">
                  <w:pPr>
                    <w:pStyle w:val="TableText"/>
                    <w:rPr>
                      <w:b/>
                    </w:rPr>
                  </w:pPr>
                  <w:r>
                    <w:rPr>
                      <w:b/>
                    </w:rPr>
                    <w:t>Compatibility Interpretation</w:t>
                  </w:r>
                </w:p>
              </w:tc>
              <w:tc>
                <w:tcPr>
                  <w:tcW w:w="2880" w:type="dxa"/>
                  <w:shd w:val="clear" w:color="auto" w:fill="B3B3B3"/>
                  <w:vAlign w:val="bottom"/>
                </w:tcPr>
                <w:p w14:paraId="7F39A450" w14:textId="77777777" w:rsidR="00113B6A" w:rsidRDefault="00113B6A" w:rsidP="00173BDA">
                  <w:pPr>
                    <w:pStyle w:val="TableText"/>
                    <w:rPr>
                      <w:b/>
                    </w:rPr>
                  </w:pPr>
                  <w:r>
                    <w:rPr>
                      <w:b/>
                    </w:rPr>
                    <w:t>Text on BTRF</w:t>
                  </w:r>
                </w:p>
              </w:tc>
            </w:tr>
            <w:tr w:rsidR="00113B6A" w14:paraId="5E26A936" w14:textId="77777777">
              <w:tc>
                <w:tcPr>
                  <w:tcW w:w="2880" w:type="dxa"/>
                  <w:vAlign w:val="bottom"/>
                </w:tcPr>
                <w:p w14:paraId="79397669" w14:textId="77777777" w:rsidR="00113B6A" w:rsidRDefault="00113B6A" w:rsidP="00173BDA">
                  <w:pPr>
                    <w:pStyle w:val="TableText"/>
                  </w:pPr>
                  <w:r>
                    <w:t>Crossmatch</w:t>
                  </w:r>
                </w:p>
              </w:tc>
              <w:tc>
                <w:tcPr>
                  <w:tcW w:w="2880" w:type="dxa"/>
                  <w:vAlign w:val="bottom"/>
                </w:tcPr>
                <w:p w14:paraId="2C80A42A" w14:textId="77777777" w:rsidR="00113B6A" w:rsidRDefault="00113B6A" w:rsidP="00173BDA">
                  <w:pPr>
                    <w:pStyle w:val="TableText"/>
                  </w:pPr>
                  <w:r>
                    <w:t>TESTING INCOMPLETE</w:t>
                  </w:r>
                </w:p>
              </w:tc>
            </w:tr>
            <w:tr w:rsidR="00113B6A" w14:paraId="6DF2F619" w14:textId="77777777">
              <w:tc>
                <w:tcPr>
                  <w:tcW w:w="2880" w:type="dxa"/>
                  <w:vAlign w:val="bottom"/>
                </w:tcPr>
                <w:p w14:paraId="0C36612D" w14:textId="77777777" w:rsidR="00113B6A" w:rsidRDefault="00113B6A" w:rsidP="00173BDA">
                  <w:pPr>
                    <w:pStyle w:val="TableText"/>
                  </w:pPr>
                  <w:r>
                    <w:t>Crossmatch Not Required</w:t>
                  </w:r>
                </w:p>
              </w:tc>
              <w:tc>
                <w:tcPr>
                  <w:tcW w:w="2880" w:type="dxa"/>
                  <w:vAlign w:val="bottom"/>
                </w:tcPr>
                <w:p w14:paraId="1D3AA5AF" w14:textId="77777777" w:rsidR="00113B6A" w:rsidRDefault="00113B6A" w:rsidP="00173BDA">
                  <w:pPr>
                    <w:pStyle w:val="TableText"/>
                  </w:pPr>
                  <w:r>
                    <w:t>Not Required</w:t>
                  </w:r>
                </w:p>
              </w:tc>
            </w:tr>
          </w:tbl>
          <w:p w14:paraId="1CD820E2" w14:textId="77777777" w:rsidR="00113B6A" w:rsidRDefault="00113B6A" w:rsidP="00173BDA">
            <w:pPr>
              <w:pStyle w:val="TableText"/>
            </w:pPr>
          </w:p>
          <w:p w14:paraId="2A72450F" w14:textId="77777777" w:rsidR="00113B6A" w:rsidRPr="00113B6A" w:rsidRDefault="00113B6A" w:rsidP="00303708">
            <w:pPr>
              <w:pStyle w:val="TableText"/>
              <w:rPr>
                <w:rFonts w:cs="Arial"/>
                <w:vanish/>
                <w:color w:val="0000FF"/>
              </w:rPr>
            </w:pPr>
            <w:r>
              <w:t>VBECS prints “Emergency Issue” in the TR section of the form.</w:t>
            </w:r>
          </w:p>
        </w:tc>
      </w:tr>
      <w:tr w:rsidR="00173BDA" w14:paraId="4F85980F" w14:textId="77777777" w:rsidTr="004A7B44">
        <w:trPr>
          <w:cantSplit/>
        </w:trPr>
        <w:tc>
          <w:tcPr>
            <w:tcW w:w="780" w:type="dxa"/>
            <w:tcBorders>
              <w:top w:val="single" w:sz="4" w:space="0" w:color="auto"/>
              <w:left w:val="single" w:sz="4" w:space="0" w:color="auto"/>
              <w:bottom w:val="single" w:sz="4" w:space="0" w:color="auto"/>
              <w:right w:val="single" w:sz="4" w:space="0" w:color="auto"/>
            </w:tcBorders>
          </w:tcPr>
          <w:p w14:paraId="590749A6" w14:textId="77777777" w:rsidR="00173BDA" w:rsidRDefault="00173BDA" w:rsidP="00303708">
            <w:pPr>
              <w:pStyle w:val="TableText"/>
            </w:pPr>
            <w:r>
              <w:t>5</w:t>
            </w:r>
          </w:p>
        </w:tc>
        <w:tc>
          <w:tcPr>
            <w:tcW w:w="8580" w:type="dxa"/>
            <w:tcBorders>
              <w:top w:val="single" w:sz="4" w:space="0" w:color="auto"/>
              <w:left w:val="single" w:sz="4" w:space="0" w:color="auto"/>
              <w:bottom w:val="single" w:sz="4" w:space="0" w:color="auto"/>
              <w:right w:val="single" w:sz="4" w:space="0" w:color="auto"/>
            </w:tcBorders>
          </w:tcPr>
          <w:p w14:paraId="07A1484A" w14:textId="77777777" w:rsidR="00173BDA" w:rsidRDefault="00173BDA" w:rsidP="00173BDA">
            <w:pPr>
              <w:pStyle w:val="TableText"/>
            </w:pPr>
            <w:r w:rsidRPr="00C82886">
              <w:rPr>
                <w:vanish/>
                <w:szCs w:val="18"/>
              </w:rPr>
              <w:t xml:space="preserve">BR_44.05 </w:t>
            </w:r>
            <w:r>
              <w:t>When blood products are emergency issued (</w:t>
            </w:r>
            <w:r w:rsidR="00C82886">
              <w:t xml:space="preserve">units has an </w:t>
            </w:r>
            <w:r w:rsidR="00CF2D0E">
              <w:t>emergency issue” order indicator</w:t>
            </w:r>
            <w:r w:rsidR="00C82886">
              <w:t xml:space="preserve">, </w:t>
            </w:r>
            <w:r>
              <w:t>or the testing is incomplete or inconclusive on the current specimen), the remarks section of the Blood Transfusion Record Form</w:t>
            </w:r>
            <w:r w:rsidR="00C82886">
              <w:t xml:space="preserve"> includes</w:t>
            </w:r>
            <w:r>
              <w:t xml:space="preserve"> “This unit is issued for transfusion BEFORE the completion of required compatibility testing. The blood bank staff will continue to test the compatibility of the unit using the current patient specimen. If you are alerted to a unit’s incompatibility by the blood bank, stop the transfusion immediately.”</w:t>
            </w:r>
          </w:p>
          <w:p w14:paraId="515EF056" w14:textId="77777777" w:rsidR="00173BDA" w:rsidRDefault="00173BDA" w:rsidP="00C82886">
            <w:pPr>
              <w:pStyle w:val="TableText"/>
            </w:pPr>
          </w:p>
          <w:p w14:paraId="4236E896" w14:textId="77777777" w:rsidR="00173BDA" w:rsidRDefault="00C82886" w:rsidP="00C82886">
            <w:pPr>
              <w:pStyle w:val="TableText"/>
              <w:rPr>
                <w:rFonts w:cs="Arial"/>
                <w:vanish/>
              </w:rPr>
            </w:pPr>
            <w:r>
              <w:t>When</w:t>
            </w:r>
            <w:r w:rsidR="00173BDA">
              <w:t xml:space="preserve"> “***” prints for the patient ABO/Rh and crossmatch, </w:t>
            </w:r>
            <w:r w:rsidR="002036D0">
              <w:t>the form includes</w:t>
            </w:r>
            <w:r w:rsidR="00173BDA">
              <w:t xml:space="preserve"> “Specimen testing incomplete at time of issue</w:t>
            </w:r>
            <w:r>
              <w:t>.</w:t>
            </w:r>
            <w:r w:rsidR="00173BDA">
              <w:t>”</w:t>
            </w:r>
          </w:p>
        </w:tc>
      </w:tr>
      <w:tr w:rsidR="00173BDA" w14:paraId="5FFCD5B3" w14:textId="77777777" w:rsidTr="004A7B44">
        <w:trPr>
          <w:cantSplit/>
        </w:trPr>
        <w:tc>
          <w:tcPr>
            <w:tcW w:w="780" w:type="dxa"/>
            <w:tcBorders>
              <w:top w:val="single" w:sz="4" w:space="0" w:color="auto"/>
              <w:left w:val="single" w:sz="4" w:space="0" w:color="auto"/>
              <w:bottom w:val="single" w:sz="4" w:space="0" w:color="auto"/>
              <w:right w:val="single" w:sz="4" w:space="0" w:color="auto"/>
            </w:tcBorders>
          </w:tcPr>
          <w:p w14:paraId="532761EC" w14:textId="77777777" w:rsidR="00173BDA" w:rsidRDefault="00173BDA" w:rsidP="00303708">
            <w:pPr>
              <w:pStyle w:val="TableText"/>
            </w:pPr>
            <w:r>
              <w:t>5</w:t>
            </w:r>
          </w:p>
        </w:tc>
        <w:tc>
          <w:tcPr>
            <w:tcW w:w="8580" w:type="dxa"/>
            <w:tcBorders>
              <w:top w:val="single" w:sz="4" w:space="0" w:color="auto"/>
              <w:left w:val="single" w:sz="4" w:space="0" w:color="auto"/>
              <w:bottom w:val="single" w:sz="4" w:space="0" w:color="auto"/>
              <w:right w:val="single" w:sz="4" w:space="0" w:color="auto"/>
            </w:tcBorders>
          </w:tcPr>
          <w:p w14:paraId="28E478D9" w14:textId="77777777" w:rsidR="00173BDA" w:rsidRPr="00173BDA" w:rsidRDefault="00173BDA" w:rsidP="00003BE9">
            <w:pPr>
              <w:pStyle w:val="TableText"/>
            </w:pPr>
            <w:r w:rsidRPr="00CF2D0E">
              <w:rPr>
                <w:vanish/>
                <w:szCs w:val="18"/>
              </w:rPr>
              <w:t xml:space="preserve">BR_56.29 </w:t>
            </w:r>
            <w:r w:rsidRPr="00173BDA">
              <w:t xml:space="preserve">When a unit was issued and a conflicting test result found that indicates a potential unit incompatibility with the patient, such as a patient ABO/Rh discrepancy, the unit XM is incompatible with the patient, the patient ABS is positive, the patient DAT is positive, or the unit is antigen positive where antigen negative is required on the tested specimen, VBECS warns the user and instructs him to notify the physician of this potential problem immediately, according to hospital policy. VBECS warns the user during the execution of the various tests related to the compatibility of a blood unit and captures details for inclusion in an Exception Report (exception type: unit issued, testing problem). </w:t>
            </w:r>
          </w:p>
        </w:tc>
      </w:tr>
      <w:tr w:rsidR="00173BDA" w14:paraId="0B6E93BF" w14:textId="77777777" w:rsidTr="004A7B44">
        <w:trPr>
          <w:cantSplit/>
        </w:trPr>
        <w:tc>
          <w:tcPr>
            <w:tcW w:w="780" w:type="dxa"/>
            <w:tcBorders>
              <w:top w:val="single" w:sz="4" w:space="0" w:color="auto"/>
              <w:left w:val="single" w:sz="4" w:space="0" w:color="auto"/>
              <w:bottom w:val="single" w:sz="4" w:space="0" w:color="auto"/>
              <w:right w:val="single" w:sz="4" w:space="0" w:color="auto"/>
            </w:tcBorders>
          </w:tcPr>
          <w:p w14:paraId="019F2F10" w14:textId="77777777" w:rsidR="00173BDA" w:rsidRDefault="00173BDA" w:rsidP="00303708">
            <w:pPr>
              <w:pStyle w:val="TableText"/>
            </w:pPr>
            <w:r>
              <w:t>7</w:t>
            </w:r>
          </w:p>
        </w:tc>
        <w:tc>
          <w:tcPr>
            <w:tcW w:w="8580" w:type="dxa"/>
            <w:tcBorders>
              <w:top w:val="single" w:sz="4" w:space="0" w:color="auto"/>
              <w:left w:val="single" w:sz="4" w:space="0" w:color="auto"/>
              <w:bottom w:val="single" w:sz="4" w:space="0" w:color="auto"/>
              <w:right w:val="single" w:sz="4" w:space="0" w:color="auto"/>
            </w:tcBorders>
          </w:tcPr>
          <w:p w14:paraId="52DD3607" w14:textId="77777777" w:rsidR="00173BDA" w:rsidRDefault="00173BDA" w:rsidP="00303708">
            <w:pPr>
              <w:pStyle w:val="TableText"/>
            </w:pPr>
            <w:r w:rsidRPr="00651291">
              <w:rPr>
                <w:vanish/>
                <w:szCs w:val="18"/>
              </w:rPr>
              <w:t xml:space="preserve">BR_73.33 </w:t>
            </w:r>
            <w:r>
              <w:t xml:space="preserve">When the division is “full service” and a blood unit is ABO incompatible at issue based on the system interpretation of the current patient specimen’s ABO test result, VBECS emits an audible alert and warns that the unit is not ABO compatible with the patient’s current specimen results and asks whether he wishes to continue. </w:t>
            </w:r>
            <w:r w:rsidRPr="00173BDA">
              <w:t>No</w:t>
            </w:r>
            <w:r>
              <w:t xml:space="preserve"> clears the screen and allows the user to select another unit. </w:t>
            </w:r>
            <w:r w:rsidRPr="00173BDA">
              <w:t>Yes</w:t>
            </w:r>
            <w:r>
              <w:t xml:space="preserve"> requires a comment and </w:t>
            </w:r>
            <w:r w:rsidRPr="00014921">
              <w:t xml:space="preserve">captures details for inclusion in an Exception Report (exception type: </w:t>
            </w:r>
            <w:r>
              <w:t>ABO discrepant unit issue</w:t>
            </w:r>
            <w:r w:rsidRPr="00014921">
              <w:t>).</w:t>
            </w:r>
          </w:p>
        </w:tc>
      </w:tr>
    </w:tbl>
    <w:p w14:paraId="2C26C63A" w14:textId="77777777" w:rsidR="007A4F14" w:rsidRDefault="007A4F14">
      <w:pPr>
        <w:pStyle w:val="Heading2"/>
      </w:pPr>
    </w:p>
    <w:p w14:paraId="668F6F9E" w14:textId="77777777" w:rsidR="002A21AE" w:rsidRDefault="007A4F14">
      <w:pPr>
        <w:pStyle w:val="Heading2"/>
      </w:pPr>
      <w:r>
        <w:br w:type="page"/>
      </w:r>
      <w:bookmarkStart w:id="440" w:name="_Toc203765900"/>
      <w:r w:rsidR="002A21AE">
        <w:lastRenderedPageBreak/>
        <w:t>Return Issued Units To Blood Bank</w:t>
      </w:r>
      <w:bookmarkEnd w:id="440"/>
      <w:r w:rsidR="002A21AE" w:rsidRPr="007716F7">
        <w:rPr>
          <w:vanish/>
        </w:rPr>
        <w:fldChar w:fldCharType="begin"/>
      </w:r>
      <w:r w:rsidR="002A21AE" w:rsidRPr="007716F7">
        <w:rPr>
          <w:vanish/>
        </w:rPr>
        <w:instrText xml:space="preserve"> XE </w:instrText>
      </w:r>
      <w:r w:rsidR="00FA7E65" w:rsidRPr="007716F7">
        <w:rPr>
          <w:vanish/>
        </w:rPr>
        <w:instrText>“</w:instrText>
      </w:r>
      <w:r w:rsidR="002A21AE" w:rsidRPr="007716F7">
        <w:rPr>
          <w:vanish/>
        </w:rPr>
        <w:instrText>Return Issued Units To Blood Bank</w:instrText>
      </w:r>
      <w:r w:rsidR="00FA7E65" w:rsidRPr="007716F7">
        <w:rPr>
          <w:vanish/>
        </w:rPr>
        <w:instrText>”</w:instrText>
      </w:r>
      <w:r w:rsidR="002A21AE" w:rsidRPr="007716F7">
        <w:rPr>
          <w:vanish/>
        </w:rPr>
        <w:instrText xml:space="preserve"> </w:instrText>
      </w:r>
      <w:r w:rsidR="002A21AE" w:rsidRPr="007716F7">
        <w:rPr>
          <w:vanish/>
        </w:rPr>
        <w:fldChar w:fldCharType="end"/>
      </w:r>
      <w:r w:rsidR="002A21AE" w:rsidRPr="007716F7">
        <w:rPr>
          <w:vanish/>
        </w:rPr>
        <w:t xml:space="preserve"> UC_59</w:t>
      </w:r>
    </w:p>
    <w:p w14:paraId="27B9E45B" w14:textId="6BA1296E" w:rsidR="002A21AE" w:rsidRDefault="00783596" w:rsidP="00FA7E65">
      <w:pPr>
        <w:pStyle w:val="BodyText"/>
      </w:pPr>
      <w:r>
        <w:t xml:space="preserve">An issued </w:t>
      </w:r>
      <w:r w:rsidR="00A30DD1">
        <w:t xml:space="preserve">unit </w:t>
      </w:r>
      <w:r>
        <w:t>was returned to the blood bank in satisfactory condition after issue to a valid hospital location.</w:t>
      </w:r>
    </w:p>
    <w:p w14:paraId="20BF4B96" w14:textId="57A94386" w:rsidR="006A2DFC" w:rsidRDefault="006A2DFC" w:rsidP="00FA7E65">
      <w:pPr>
        <w:pStyle w:val="BodyText"/>
      </w:pPr>
      <w:r>
        <w:t>The user may enter a comment in the ‘Unit Return' comment context and a free text comment. The comment will be displayed in the Unit History Report, Issue Information section and the Issued/Returned Report.</w:t>
      </w:r>
      <w:r w:rsidR="002D072F">
        <w:rPr>
          <w:vanish/>
        </w:rPr>
        <w:t xml:space="preserve"> BR_59.15</w:t>
      </w:r>
    </w:p>
    <w:p w14:paraId="59A5C790" w14:textId="77777777" w:rsidR="00D85B40" w:rsidRPr="006F799E" w:rsidRDefault="00D85B40" w:rsidP="00FA7E65">
      <w:pPr>
        <w:pStyle w:val="BodyText"/>
        <w:rPr>
          <w:vanish/>
        </w:rPr>
      </w:pPr>
    </w:p>
    <w:p w14:paraId="217A3660" w14:textId="77777777" w:rsidR="002A21AE" w:rsidRDefault="002A21AE">
      <w:pPr>
        <w:pStyle w:val="Heading4"/>
      </w:pPr>
      <w:r>
        <w:t>Assumptions</w:t>
      </w:r>
      <w:r>
        <w:rPr>
          <w:b w:val="0"/>
        </w:rPr>
        <w:t xml:space="preserve"> </w:t>
      </w:r>
    </w:p>
    <w:p w14:paraId="6884C701" w14:textId="77777777" w:rsidR="002A21AE" w:rsidRDefault="002A21AE">
      <w:pPr>
        <w:pStyle w:val="ListBullet"/>
      </w:pPr>
      <w:r>
        <w:t>The user is logged into the division that contains the unit.</w:t>
      </w:r>
    </w:p>
    <w:p w14:paraId="48D3722A" w14:textId="77777777" w:rsidR="002A21AE" w:rsidRDefault="002A21AE">
      <w:pPr>
        <w:pStyle w:val="ListBullet"/>
      </w:pPr>
      <w:r>
        <w:t>The blood unit is in the “issued” status.</w:t>
      </w:r>
    </w:p>
    <w:p w14:paraId="72CF984F" w14:textId="77777777" w:rsidR="002A21AE" w:rsidRDefault="002A21AE">
      <w:pPr>
        <w:pStyle w:val="ListBullet"/>
      </w:pPr>
      <w:r>
        <w:t xml:space="preserve">The connection to </w:t>
      </w:r>
      <w:r w:rsidR="00CA0045" w:rsidRPr="00CA0045">
        <w:rPr>
          <w:bCs/>
        </w:rPr>
        <w:t>VistA</w:t>
      </w:r>
      <w:r>
        <w:t xml:space="preserve"> is active.</w:t>
      </w:r>
    </w:p>
    <w:p w14:paraId="211313D9" w14:textId="77777777" w:rsidR="002A21AE" w:rsidRDefault="002A21AE">
      <w:pPr>
        <w:pStyle w:val="Heading4"/>
      </w:pPr>
      <w:r>
        <w:t xml:space="preserve">Outcome </w:t>
      </w:r>
    </w:p>
    <w:p w14:paraId="73ED3D20" w14:textId="77777777" w:rsidR="002A21AE" w:rsidRDefault="002A21AE">
      <w:pPr>
        <w:pStyle w:val="ListBullet"/>
      </w:pPr>
      <w:r>
        <w:t xml:space="preserve">The unit is returned to a hospital location of a blood bank. </w:t>
      </w:r>
    </w:p>
    <w:p w14:paraId="6F4EF7E6" w14:textId="77777777" w:rsidR="002A21AE" w:rsidRDefault="002A21AE">
      <w:pPr>
        <w:pStyle w:val="ListBullet"/>
      </w:pPr>
      <w:r>
        <w:t>The unit retains its patient assignment at the time of issue when returned in satisfactory condition.</w:t>
      </w:r>
    </w:p>
    <w:p w14:paraId="43891563" w14:textId="77777777" w:rsidR="002A21AE" w:rsidRDefault="002A21AE">
      <w:pPr>
        <w:pStyle w:val="ListBullet"/>
      </w:pPr>
      <w:r>
        <w:t>The user may mark the unit “unsatisfactory” and quarantine the unit to generate an Exception Report, if needed per hospital policy.</w:t>
      </w:r>
    </w:p>
    <w:p w14:paraId="1A4E0C75" w14:textId="77777777" w:rsidR="00561829" w:rsidRDefault="00561829" w:rsidP="00561829">
      <w:pPr>
        <w:pStyle w:val="ListBullet"/>
      </w:pPr>
      <w:r>
        <w:t>If workload codes are assigned for this process, workload-related data collected as the result of this process are stored for inclusion in Workload Reports.</w:t>
      </w:r>
    </w:p>
    <w:p w14:paraId="7D0640EA" w14:textId="77777777" w:rsidR="002A21AE" w:rsidRDefault="002A21AE">
      <w:pPr>
        <w:pStyle w:val="Heading4"/>
        <w:rPr>
          <w:b w:val="0"/>
        </w:rPr>
      </w:pPr>
      <w:r>
        <w:t>Limitations and Restrictions</w:t>
      </w:r>
      <w:r>
        <w:rPr>
          <w:b w:val="0"/>
        </w:rPr>
        <w:t xml:space="preserve"> </w:t>
      </w:r>
    </w:p>
    <w:p w14:paraId="73F55BEC" w14:textId="77777777" w:rsidR="002A21AE" w:rsidRDefault="002A21AE">
      <w:pPr>
        <w:pStyle w:val="ListBullet"/>
      </w:pPr>
      <w:r>
        <w:t>None</w:t>
      </w:r>
    </w:p>
    <w:p w14:paraId="26D463F2" w14:textId="77777777" w:rsidR="002A21AE" w:rsidRDefault="002A21AE">
      <w:pPr>
        <w:pStyle w:val="Heading4"/>
      </w:pPr>
      <w:r>
        <w:t xml:space="preserve">Additional Information </w:t>
      </w:r>
    </w:p>
    <w:p w14:paraId="3D0B1474" w14:textId="77777777" w:rsidR="002A21AE" w:rsidRDefault="002A21AE">
      <w:pPr>
        <w:pStyle w:val="ListBullet"/>
      </w:pPr>
      <w:r>
        <w:t>None</w:t>
      </w:r>
    </w:p>
    <w:p w14:paraId="6D1C824D" w14:textId="77777777" w:rsidR="002A21AE" w:rsidRDefault="002A21AE">
      <w:pPr>
        <w:pStyle w:val="Heading4"/>
        <w:rPr>
          <w:b w:val="0"/>
        </w:rPr>
      </w:pPr>
      <w:r>
        <w:t>User Roles with Access to This Option</w:t>
      </w:r>
      <w:r>
        <w:rPr>
          <w:b w:val="0"/>
        </w:rPr>
        <w:t xml:space="preserve"> </w:t>
      </w:r>
    </w:p>
    <w:p w14:paraId="79BFADD8" w14:textId="77777777" w:rsidR="002A21AE" w:rsidRDefault="00CF29CE">
      <w:pPr>
        <w:pStyle w:val="Roles"/>
        <w:rPr>
          <w:snapToGrid w:val="0"/>
        </w:rPr>
      </w:pPr>
      <w:r>
        <w:rPr>
          <w:snapToGrid w:val="0"/>
        </w:rPr>
        <w:t>All users</w:t>
      </w:r>
    </w:p>
    <w:p w14:paraId="497D2AA2" w14:textId="03509E88" w:rsidR="002A21AE" w:rsidRDefault="002A21AE">
      <w:pPr>
        <w:pStyle w:val="Heading4"/>
      </w:pPr>
      <w:r>
        <w:t>Return Issued Units To Blood Bank</w:t>
      </w:r>
    </w:p>
    <w:p w14:paraId="61D969BB" w14:textId="77777777" w:rsidR="002A21AE" w:rsidRDefault="00C41CB0" w:rsidP="00FA7E65">
      <w:pPr>
        <w:pStyle w:val="BodyText"/>
      </w:pPr>
      <w:r>
        <w:t xml:space="preserve">An issued </w:t>
      </w:r>
      <w:r w:rsidR="00932948">
        <w:t xml:space="preserve">unit </w:t>
      </w:r>
      <w:r w:rsidR="002A21AE">
        <w:t xml:space="preserve">was returned to the blood bank </w:t>
      </w:r>
      <w:r>
        <w:t xml:space="preserve">in satisfactory condition </w:t>
      </w:r>
      <w:r w:rsidR="002A21AE">
        <w:t xml:space="preserve">after issue to a valid hospital location. The user </w:t>
      </w:r>
      <w:r>
        <w:t xml:space="preserve">updates </w:t>
      </w:r>
      <w:r w:rsidR="008E55B7">
        <w:t xml:space="preserve">VBECS </w:t>
      </w:r>
      <w:r>
        <w:t>to reflect the change in location</w:t>
      </w:r>
      <w:r w:rsidR="002A21AE">
        <w: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6E6EE431" w14:textId="77777777">
        <w:trPr>
          <w:cantSplit/>
          <w:tblHeader/>
        </w:trPr>
        <w:tc>
          <w:tcPr>
            <w:tcW w:w="3240" w:type="dxa"/>
            <w:shd w:val="pct30" w:color="auto" w:fill="FFFFFF"/>
            <w:vAlign w:val="bottom"/>
          </w:tcPr>
          <w:p w14:paraId="6CBA25D0" w14:textId="77777777" w:rsidR="002A21AE" w:rsidRDefault="002A21AE">
            <w:pPr>
              <w:pStyle w:val="TableText"/>
              <w:rPr>
                <w:b/>
              </w:rPr>
            </w:pPr>
            <w:r>
              <w:rPr>
                <w:b/>
              </w:rPr>
              <w:t>User Action</w:t>
            </w:r>
          </w:p>
        </w:tc>
        <w:tc>
          <w:tcPr>
            <w:tcW w:w="6120" w:type="dxa"/>
            <w:shd w:val="pct30" w:color="auto" w:fill="FFFFFF"/>
            <w:vAlign w:val="bottom"/>
          </w:tcPr>
          <w:p w14:paraId="3C499892" w14:textId="77777777" w:rsidR="002A21AE" w:rsidRDefault="002A21AE">
            <w:pPr>
              <w:pStyle w:val="TableText"/>
              <w:rPr>
                <w:b/>
              </w:rPr>
            </w:pPr>
            <w:r>
              <w:rPr>
                <w:b/>
              </w:rPr>
              <w:t>VBECS</w:t>
            </w:r>
          </w:p>
        </w:tc>
      </w:tr>
      <w:tr w:rsidR="002A21AE" w14:paraId="127657F8" w14:textId="77777777">
        <w:tc>
          <w:tcPr>
            <w:tcW w:w="3240" w:type="dxa"/>
          </w:tcPr>
          <w:p w14:paraId="2F350CC2" w14:textId="77777777" w:rsidR="002A21AE" w:rsidRDefault="002A21AE">
            <w:pPr>
              <w:pStyle w:val="TableTextNumbers"/>
            </w:pPr>
            <w:r>
              <w:t xml:space="preserve">Select </w:t>
            </w:r>
            <w:r>
              <w:rPr>
                <w:b/>
              </w:rPr>
              <w:t>Blood Units</w:t>
            </w:r>
            <w:r>
              <w:t xml:space="preserve"> or </w:t>
            </w:r>
            <w:r>
              <w:rPr>
                <w:b/>
              </w:rPr>
              <w:t>Patients</w:t>
            </w:r>
            <w:r>
              <w:t xml:space="preserve"> from the main menu. </w:t>
            </w:r>
          </w:p>
          <w:p w14:paraId="21374A1E" w14:textId="77777777" w:rsidR="002A21AE" w:rsidRDefault="002A21AE">
            <w:pPr>
              <w:pStyle w:val="TableTextNumbersContinued"/>
            </w:pPr>
          </w:p>
          <w:p w14:paraId="62AB720C" w14:textId="2E60CFB3" w:rsidR="002A21AE" w:rsidRDefault="002A21AE" w:rsidP="006F799E">
            <w:pPr>
              <w:pStyle w:val="TableTextNumbersContinued"/>
            </w:pPr>
            <w:r>
              <w:t xml:space="preserve">Select </w:t>
            </w:r>
            <w:r>
              <w:rPr>
                <w:b/>
              </w:rPr>
              <w:t>Return Issued Units To Blood Bank</w:t>
            </w:r>
            <w:r>
              <w:t>.</w:t>
            </w:r>
          </w:p>
        </w:tc>
        <w:tc>
          <w:tcPr>
            <w:tcW w:w="6120" w:type="dxa"/>
          </w:tcPr>
          <w:p w14:paraId="3568D9C0" w14:textId="106FDC3D" w:rsidR="002A21AE" w:rsidRDefault="002A21AE" w:rsidP="006F799E">
            <w:pPr>
              <w:pStyle w:val="TableTextBullet"/>
            </w:pPr>
            <w:r>
              <w:t>Displays options for processing blood units or for processing patient-related functions.</w:t>
            </w:r>
          </w:p>
        </w:tc>
      </w:tr>
      <w:tr w:rsidR="002A21AE" w14:paraId="53079801" w14:textId="77777777" w:rsidTr="006F799E">
        <w:trPr>
          <w:cantSplit/>
        </w:trPr>
        <w:tc>
          <w:tcPr>
            <w:tcW w:w="3240" w:type="dxa"/>
            <w:tcBorders>
              <w:top w:val="single" w:sz="4" w:space="0" w:color="auto"/>
              <w:left w:val="single" w:sz="4" w:space="0" w:color="auto"/>
              <w:bottom w:val="single" w:sz="4" w:space="0" w:color="auto"/>
              <w:right w:val="single" w:sz="4" w:space="0" w:color="auto"/>
            </w:tcBorders>
          </w:tcPr>
          <w:p w14:paraId="7E50E004" w14:textId="77777777" w:rsidR="002A21AE" w:rsidRDefault="002A21AE">
            <w:pPr>
              <w:pStyle w:val="TableTextNumbers"/>
            </w:pPr>
            <w:r>
              <w:t xml:space="preserve">Enter the patient data. </w:t>
            </w:r>
          </w:p>
        </w:tc>
        <w:tc>
          <w:tcPr>
            <w:tcW w:w="6120" w:type="dxa"/>
            <w:tcBorders>
              <w:top w:val="single" w:sz="4" w:space="0" w:color="auto"/>
              <w:left w:val="single" w:sz="4" w:space="0" w:color="auto"/>
              <w:bottom w:val="single" w:sz="4" w:space="0" w:color="auto"/>
              <w:right w:val="single" w:sz="4" w:space="0" w:color="auto"/>
            </w:tcBorders>
          </w:tcPr>
          <w:p w14:paraId="7FAEF29C" w14:textId="77777777" w:rsidR="002A21AE" w:rsidRDefault="002A21AE">
            <w:pPr>
              <w:pStyle w:val="TableTextBullet"/>
            </w:pPr>
            <w:r>
              <w:t>Prompts the user to enter the unit ID and product code or enter patient data to retrieve the records for the units issued.</w:t>
            </w:r>
          </w:p>
          <w:p w14:paraId="759E3FEF" w14:textId="77777777" w:rsidR="002A21AE" w:rsidRDefault="002A21AE">
            <w:pPr>
              <w:pStyle w:val="TableTextBullet"/>
              <w:rPr>
                <w:rFonts w:cs="Arial"/>
                <w:szCs w:val="18"/>
              </w:rPr>
            </w:pPr>
            <w:r>
              <w:t>Displays an option to search for or enter a patient or unit based on the original menu option selected.</w:t>
            </w:r>
          </w:p>
        </w:tc>
      </w:tr>
      <w:tr w:rsidR="002A21AE" w14:paraId="4C8775CB" w14:textId="77777777">
        <w:tc>
          <w:tcPr>
            <w:tcW w:w="3240" w:type="dxa"/>
            <w:tcBorders>
              <w:top w:val="single" w:sz="4" w:space="0" w:color="auto"/>
              <w:left w:val="single" w:sz="4" w:space="0" w:color="auto"/>
              <w:bottom w:val="single" w:sz="4" w:space="0" w:color="auto"/>
              <w:right w:val="single" w:sz="4" w:space="0" w:color="auto"/>
            </w:tcBorders>
          </w:tcPr>
          <w:p w14:paraId="655F32A8" w14:textId="77777777" w:rsidR="002A21AE" w:rsidRDefault="002A21AE">
            <w:pPr>
              <w:pStyle w:val="TableTextNumbers"/>
            </w:pPr>
            <w:r>
              <w:t>Select a patient or unit.</w:t>
            </w:r>
          </w:p>
        </w:tc>
        <w:tc>
          <w:tcPr>
            <w:tcW w:w="6120" w:type="dxa"/>
            <w:tcBorders>
              <w:top w:val="single" w:sz="4" w:space="0" w:color="auto"/>
              <w:left w:val="single" w:sz="4" w:space="0" w:color="auto"/>
              <w:bottom w:val="single" w:sz="4" w:space="0" w:color="auto"/>
              <w:right w:val="single" w:sz="4" w:space="0" w:color="auto"/>
            </w:tcBorders>
          </w:tcPr>
          <w:p w14:paraId="10273E23" w14:textId="77777777" w:rsidR="002A21AE" w:rsidRDefault="002A21AE">
            <w:pPr>
              <w:pStyle w:val="TableTextBullet"/>
              <w:rPr>
                <w:rFonts w:cs="Arial"/>
                <w:szCs w:val="18"/>
              </w:rPr>
            </w:pPr>
            <w:r>
              <w:t>Lists the units in “issued” status that are assigned to the patient.</w:t>
            </w:r>
          </w:p>
        </w:tc>
      </w:tr>
      <w:tr w:rsidR="003F62EC" w14:paraId="01E19BE1" w14:textId="77777777" w:rsidTr="006C058D">
        <w:trPr>
          <w:cantSplit/>
        </w:trPr>
        <w:tc>
          <w:tcPr>
            <w:tcW w:w="3240" w:type="dxa"/>
            <w:tcBorders>
              <w:top w:val="single" w:sz="4" w:space="0" w:color="auto"/>
              <w:left w:val="single" w:sz="4" w:space="0" w:color="auto"/>
              <w:bottom w:val="single" w:sz="4" w:space="0" w:color="auto"/>
              <w:right w:val="single" w:sz="4" w:space="0" w:color="auto"/>
            </w:tcBorders>
          </w:tcPr>
          <w:p w14:paraId="26CAA917" w14:textId="520099B8" w:rsidR="003F62EC" w:rsidRDefault="003F62EC">
            <w:pPr>
              <w:pStyle w:val="TableTextNumbers"/>
            </w:pPr>
            <w:r>
              <w:lastRenderedPageBreak/>
              <w:t>Enters a return date and time (or accepts the default) and selects a returned by user (or accepts the default).</w:t>
            </w:r>
          </w:p>
        </w:tc>
        <w:tc>
          <w:tcPr>
            <w:tcW w:w="6120" w:type="dxa"/>
            <w:tcBorders>
              <w:top w:val="single" w:sz="4" w:space="0" w:color="auto"/>
              <w:left w:val="single" w:sz="4" w:space="0" w:color="auto"/>
              <w:bottom w:val="single" w:sz="4" w:space="0" w:color="auto"/>
              <w:right w:val="single" w:sz="4" w:space="0" w:color="auto"/>
            </w:tcBorders>
          </w:tcPr>
          <w:p w14:paraId="2096B4C4" w14:textId="77777777" w:rsidR="003F62EC" w:rsidRDefault="003F62EC" w:rsidP="003F62EC">
            <w:pPr>
              <w:pStyle w:val="TableTextBullet"/>
            </w:pPr>
            <w:r>
              <w:t>Displays the return date and time and the name of the user who returned the issued unit.</w:t>
            </w:r>
          </w:p>
          <w:p w14:paraId="50A1787A" w14:textId="77777777" w:rsidR="003F62EC" w:rsidRDefault="003F62EC" w:rsidP="003F62EC">
            <w:pPr>
              <w:pStyle w:val="TableText"/>
            </w:pPr>
          </w:p>
          <w:p w14:paraId="5D97CB47" w14:textId="77777777" w:rsidR="003F62EC" w:rsidRDefault="003F62EC" w:rsidP="003F62EC">
            <w:pPr>
              <w:pStyle w:val="TableText"/>
              <w:rPr>
                <w:b/>
                <w:bCs/>
                <w:szCs w:val="18"/>
              </w:rPr>
            </w:pPr>
            <w:r>
              <w:rPr>
                <w:b/>
                <w:bCs/>
                <w:szCs w:val="18"/>
              </w:rPr>
              <w:t>NOTES</w:t>
            </w:r>
          </w:p>
          <w:p w14:paraId="235E5AFB" w14:textId="77777777" w:rsidR="003F62EC" w:rsidRDefault="003F62EC" w:rsidP="003F62EC">
            <w:pPr>
              <w:pStyle w:val="NotesText"/>
            </w:pPr>
          </w:p>
          <w:p w14:paraId="665563BA" w14:textId="77777777" w:rsidR="003F62EC" w:rsidRDefault="003F62EC" w:rsidP="003F62EC">
            <w:pPr>
              <w:pStyle w:val="NotesText"/>
            </w:pPr>
            <w:r>
              <w:t>The user may edit the return date and time (default: current date and time) to a past date and time.</w:t>
            </w:r>
          </w:p>
          <w:p w14:paraId="4A369BFD" w14:textId="77777777" w:rsidR="003F62EC" w:rsidRDefault="003F62EC" w:rsidP="003F62EC">
            <w:pPr>
              <w:pStyle w:val="NotesText"/>
            </w:pPr>
          </w:p>
          <w:p w14:paraId="47C59493" w14:textId="74DFD68C" w:rsidR="003F62EC" w:rsidRDefault="003F62EC" w:rsidP="006F799E">
            <w:pPr>
              <w:pStyle w:val="NotesText"/>
            </w:pPr>
            <w:r>
              <w:rPr>
                <w:rFonts w:cs="Arial"/>
                <w:vanish/>
              </w:rPr>
              <w:t xml:space="preserve">BR_59.01 </w:t>
            </w:r>
            <w:r>
              <w:t>VBECS assigns the same return date and time to all units processed in a batch.</w:t>
            </w:r>
          </w:p>
        </w:tc>
      </w:tr>
      <w:tr w:rsidR="002A21AE" w14:paraId="09F4DB35" w14:textId="77777777">
        <w:tc>
          <w:tcPr>
            <w:tcW w:w="3240" w:type="dxa"/>
          </w:tcPr>
          <w:p w14:paraId="7ECE39E4" w14:textId="085570D2" w:rsidR="00323155" w:rsidRDefault="005A68EB" w:rsidP="00323155">
            <w:pPr>
              <w:pStyle w:val="TableTextNumbers"/>
            </w:pPr>
            <w:r>
              <w:t>Select one or more units to return from issue.</w:t>
            </w:r>
            <w:r>
              <w:br/>
            </w:r>
            <w:r>
              <w:br/>
            </w:r>
            <w:r w:rsidR="00323155">
              <w:t>Scan the unit ID and product code, or click one or more check boxes to select units to return from issue.</w:t>
            </w:r>
          </w:p>
        </w:tc>
        <w:tc>
          <w:tcPr>
            <w:tcW w:w="6120" w:type="dxa"/>
          </w:tcPr>
          <w:p w14:paraId="1B8F9EE1" w14:textId="6FCEE42B" w:rsidR="005A68EB" w:rsidRPr="005A68EB" w:rsidRDefault="005A68EB">
            <w:pPr>
              <w:pStyle w:val="TableTextBullet"/>
              <w:rPr>
                <w:rFonts w:cs="Arial"/>
              </w:rPr>
            </w:pPr>
            <w:r>
              <w:t>Displays the units selected for return for review and allows the user to select or deselect additional units.</w:t>
            </w:r>
          </w:p>
          <w:p w14:paraId="488FD95D" w14:textId="3277088C" w:rsidR="002A21AE" w:rsidRDefault="002A21AE">
            <w:pPr>
              <w:pStyle w:val="TableTextBullet"/>
              <w:rPr>
                <w:rFonts w:cs="Arial"/>
              </w:rPr>
            </w:pPr>
            <w:r>
              <w:t>Displays the data entered and allows the user to enter additional units and indicate that he completed the entry for this transaction.</w:t>
            </w:r>
          </w:p>
          <w:p w14:paraId="5192903D" w14:textId="2F1C2D12" w:rsidR="002A21AE" w:rsidRDefault="002A21AE">
            <w:pPr>
              <w:pStyle w:val="TableTextBullet"/>
              <w:rPr>
                <w:rFonts w:cs="Arial"/>
              </w:rPr>
            </w:pPr>
            <w:r>
              <w:rPr>
                <w:rFonts w:cs="Arial"/>
              </w:rPr>
              <w:t>Displays data for each unit entered.</w:t>
            </w:r>
          </w:p>
          <w:p w14:paraId="66F9DC62" w14:textId="3075813A" w:rsidR="005A68EB" w:rsidRDefault="005A68EB">
            <w:pPr>
              <w:pStyle w:val="TableTextBullet"/>
              <w:rPr>
                <w:rFonts w:cs="Arial"/>
              </w:rPr>
            </w:pPr>
            <w:r>
              <w:rPr>
                <w:rFonts w:cs="Arial"/>
              </w:rPr>
              <w:t>Allows the user to enter a comment per unit.</w:t>
            </w:r>
          </w:p>
          <w:p w14:paraId="7EB44AA0" w14:textId="77777777" w:rsidR="002A21AE" w:rsidRDefault="002A21AE">
            <w:pPr>
              <w:pStyle w:val="TableText"/>
            </w:pPr>
          </w:p>
          <w:p w14:paraId="659FCD7D" w14:textId="2AEFCD0D" w:rsidR="002A21AE" w:rsidRDefault="002A21AE">
            <w:pPr>
              <w:pStyle w:val="TableText"/>
              <w:rPr>
                <w:b/>
                <w:bCs/>
                <w:szCs w:val="18"/>
              </w:rPr>
            </w:pPr>
            <w:r>
              <w:rPr>
                <w:b/>
                <w:bCs/>
                <w:szCs w:val="18"/>
              </w:rPr>
              <w:t>NOTES</w:t>
            </w:r>
          </w:p>
          <w:p w14:paraId="3E9B2DDF" w14:textId="77777777" w:rsidR="002A21AE" w:rsidRDefault="002A21AE">
            <w:pPr>
              <w:pStyle w:val="NotesText"/>
            </w:pPr>
          </w:p>
          <w:p w14:paraId="623B8858" w14:textId="77777777" w:rsidR="002A21AE" w:rsidRDefault="002A21AE">
            <w:pPr>
              <w:pStyle w:val="NotesText"/>
            </w:pPr>
            <w:r w:rsidRPr="0017641A">
              <w:rPr>
                <w:rFonts w:cs="Arial"/>
                <w:vanish/>
                <w:color w:val="0000FF"/>
              </w:rPr>
              <w:t>BR_59.03</w:t>
            </w:r>
            <w:r>
              <w:rPr>
                <w:rFonts w:cs="Arial"/>
                <w:vanish/>
              </w:rPr>
              <w:t xml:space="preserve"> </w:t>
            </w:r>
            <w:r>
              <w:t>When a selected unit is not in “issued” status, VBECS warns the user, clears the unit field, and allows the user to enter a different unit number.</w:t>
            </w:r>
          </w:p>
          <w:p w14:paraId="20EA8AFC" w14:textId="77777777" w:rsidR="002A21AE" w:rsidRDefault="002A21AE">
            <w:pPr>
              <w:pStyle w:val="NotesText"/>
            </w:pPr>
          </w:p>
          <w:p w14:paraId="60E2B86A" w14:textId="77777777" w:rsidR="002A21AE" w:rsidRDefault="002A21AE">
            <w:pPr>
              <w:pStyle w:val="NotesText"/>
            </w:pPr>
            <w:r>
              <w:rPr>
                <w:rFonts w:cs="Arial"/>
                <w:vanish/>
              </w:rPr>
              <w:t xml:space="preserve">BR_59.14 </w:t>
            </w:r>
            <w:r>
              <w:t>VBECS allows the user to select multiple units to create a worklist for simultaneous processing.</w:t>
            </w:r>
          </w:p>
          <w:p w14:paraId="74C9B6A9" w14:textId="77777777" w:rsidR="002A21AE" w:rsidRDefault="002A21AE">
            <w:pPr>
              <w:pStyle w:val="NotesText"/>
            </w:pPr>
          </w:p>
          <w:p w14:paraId="797170C5" w14:textId="77777777" w:rsidR="002A21AE" w:rsidRDefault="002A21AE">
            <w:pPr>
              <w:pStyle w:val="NotesText"/>
            </w:pPr>
            <w:r>
              <w:rPr>
                <w:rFonts w:cs="Arial"/>
                <w:vanish/>
              </w:rPr>
              <w:t xml:space="preserve">BR_59.06 </w:t>
            </w:r>
            <w:r>
              <w:t xml:space="preserve">VBECS requires the user to enter a “returned-from” location (default: “issue-to” location) and allows the user to change this location to a different valid hospital location. To do this, click the </w:t>
            </w:r>
            <w:r w:rsidR="00A6373D">
              <w:rPr>
                <w:b/>
              </w:rPr>
              <w:t>find</w:t>
            </w:r>
            <w:r>
              <w:rPr>
                <w:b/>
              </w:rPr>
              <w:t xml:space="preserve"> </w:t>
            </w:r>
            <w:r w:rsidRPr="00D1100E">
              <w:t>button</w:t>
            </w:r>
            <w:r>
              <w:t xml:space="preserve"> and select a hospital location.</w:t>
            </w:r>
          </w:p>
          <w:p w14:paraId="10002DAE" w14:textId="77777777" w:rsidR="00990103" w:rsidRDefault="00990103">
            <w:pPr>
              <w:pStyle w:val="NotesText"/>
              <w:rPr>
                <w:rFonts w:cs="Arial"/>
              </w:rPr>
            </w:pPr>
          </w:p>
          <w:p w14:paraId="71E52647" w14:textId="77777777" w:rsidR="00990103" w:rsidRPr="00990103" w:rsidRDefault="00990103" w:rsidP="00990103">
            <w:pPr>
              <w:pStyle w:val="NotesText"/>
            </w:pPr>
            <w:r w:rsidRPr="00990103">
              <w:rPr>
                <w:vanish/>
              </w:rPr>
              <w:t xml:space="preserve">BR_59.04 </w:t>
            </w:r>
            <w:r w:rsidRPr="00990103">
              <w:t xml:space="preserve">The system provides an audible alert and displays a warning message to the user for each unit returned after issue to a non-remote storage location: "Unit has been out of controlled storage. Check division policy for unit acceptability." The system will require the user to enter a comment regarding the return ("unit return" context). The system will create an exception report entry for the unit accepted from prolonged issue in uncontrolled storage. Exception report entry details include:  </w:t>
            </w:r>
          </w:p>
          <w:p w14:paraId="7EFA693A" w14:textId="0D86AAC0" w:rsidR="00990103" w:rsidRPr="001C1687" w:rsidRDefault="00D77462" w:rsidP="00925CAD">
            <w:pPr>
              <w:pStyle w:val="ListParagraph"/>
              <w:numPr>
                <w:ilvl w:val="0"/>
                <w:numId w:val="55"/>
              </w:numPr>
              <w:spacing w:after="0"/>
              <w:rPr>
                <w:rFonts w:ascii="Arial" w:hAnsi="Arial" w:cs="Arial"/>
                <w:sz w:val="18"/>
                <w:szCs w:val="18"/>
              </w:rPr>
            </w:pPr>
            <w:r>
              <w:rPr>
                <w:rFonts w:ascii="Arial" w:hAnsi="Arial" w:cs="Arial"/>
                <w:sz w:val="18"/>
                <w:szCs w:val="18"/>
              </w:rPr>
              <w:t>Exception</w:t>
            </w:r>
            <w:r w:rsidR="00990103" w:rsidRPr="001C1687">
              <w:rPr>
                <w:rFonts w:ascii="Arial" w:hAnsi="Arial" w:cs="Arial"/>
                <w:sz w:val="18"/>
                <w:szCs w:val="18"/>
              </w:rPr>
              <w:t xml:space="preserve"> Type: Unit out of controlled storage found acceptable</w:t>
            </w:r>
          </w:p>
          <w:p w14:paraId="67A3C496" w14:textId="530CE110" w:rsidR="00990103" w:rsidRPr="001C1687" w:rsidRDefault="00990103" w:rsidP="00925CAD">
            <w:pPr>
              <w:pStyle w:val="ListParagraph"/>
              <w:numPr>
                <w:ilvl w:val="0"/>
                <w:numId w:val="55"/>
              </w:numPr>
              <w:spacing w:after="0"/>
              <w:rPr>
                <w:rFonts w:ascii="Arial" w:hAnsi="Arial" w:cs="Arial"/>
                <w:sz w:val="18"/>
                <w:szCs w:val="18"/>
              </w:rPr>
            </w:pPr>
            <w:r w:rsidRPr="001C1687">
              <w:rPr>
                <w:rFonts w:ascii="Arial" w:hAnsi="Arial" w:cs="Arial"/>
                <w:sz w:val="18"/>
                <w:szCs w:val="18"/>
              </w:rPr>
              <w:t>Patient Name</w:t>
            </w:r>
          </w:p>
          <w:p w14:paraId="10B9ABB3" w14:textId="30231741" w:rsidR="00990103" w:rsidRDefault="00990103" w:rsidP="00925CAD">
            <w:pPr>
              <w:pStyle w:val="ListParagraph"/>
              <w:numPr>
                <w:ilvl w:val="0"/>
                <w:numId w:val="55"/>
              </w:numPr>
              <w:spacing w:after="0"/>
              <w:rPr>
                <w:rFonts w:ascii="Arial" w:hAnsi="Arial" w:cs="Arial"/>
                <w:sz w:val="18"/>
                <w:szCs w:val="18"/>
              </w:rPr>
            </w:pPr>
            <w:r w:rsidRPr="001C1687">
              <w:rPr>
                <w:rFonts w:ascii="Arial" w:hAnsi="Arial" w:cs="Arial"/>
                <w:sz w:val="18"/>
                <w:szCs w:val="18"/>
              </w:rPr>
              <w:t>Patient ID</w:t>
            </w:r>
          </w:p>
          <w:p w14:paraId="3DFCB982" w14:textId="4D3FD66E" w:rsidR="00990103" w:rsidRPr="001C1687" w:rsidRDefault="00990103" w:rsidP="00925CAD">
            <w:pPr>
              <w:pStyle w:val="ListParagraph"/>
              <w:numPr>
                <w:ilvl w:val="0"/>
                <w:numId w:val="55"/>
              </w:numPr>
              <w:spacing w:after="0"/>
              <w:rPr>
                <w:rFonts w:ascii="Arial" w:hAnsi="Arial" w:cs="Arial"/>
                <w:sz w:val="18"/>
                <w:szCs w:val="18"/>
              </w:rPr>
            </w:pPr>
            <w:r w:rsidRPr="001C1687">
              <w:rPr>
                <w:rFonts w:ascii="Arial" w:hAnsi="Arial" w:cs="Arial"/>
                <w:sz w:val="18"/>
                <w:szCs w:val="18"/>
              </w:rPr>
              <w:t>Patient ABO/Rh</w:t>
            </w:r>
          </w:p>
          <w:p w14:paraId="23659502" w14:textId="25120E2F" w:rsidR="00990103" w:rsidRDefault="00990103" w:rsidP="00925CAD">
            <w:pPr>
              <w:pStyle w:val="ListParagraph"/>
              <w:numPr>
                <w:ilvl w:val="0"/>
                <w:numId w:val="55"/>
              </w:numPr>
              <w:spacing w:after="0"/>
              <w:rPr>
                <w:rFonts w:ascii="Arial" w:hAnsi="Arial" w:cs="Arial"/>
                <w:sz w:val="18"/>
                <w:szCs w:val="18"/>
              </w:rPr>
            </w:pPr>
            <w:r w:rsidRPr="001C1687">
              <w:rPr>
                <w:rFonts w:ascii="Arial" w:hAnsi="Arial" w:cs="Arial"/>
                <w:sz w:val="18"/>
                <w:szCs w:val="18"/>
              </w:rPr>
              <w:t>Returned Unit ID</w:t>
            </w:r>
          </w:p>
          <w:p w14:paraId="0B122CF8" w14:textId="40B6DAD8" w:rsidR="00990103" w:rsidRPr="001C1687" w:rsidRDefault="00990103" w:rsidP="00925CAD">
            <w:pPr>
              <w:pStyle w:val="ListParagraph"/>
              <w:numPr>
                <w:ilvl w:val="0"/>
                <w:numId w:val="55"/>
              </w:numPr>
              <w:spacing w:after="0"/>
              <w:rPr>
                <w:rFonts w:ascii="Arial" w:hAnsi="Arial" w:cs="Arial"/>
                <w:sz w:val="18"/>
                <w:szCs w:val="18"/>
              </w:rPr>
            </w:pPr>
            <w:r w:rsidRPr="001C1687">
              <w:rPr>
                <w:rFonts w:ascii="Arial" w:hAnsi="Arial" w:cs="Arial"/>
                <w:sz w:val="18"/>
                <w:szCs w:val="18"/>
              </w:rPr>
              <w:t>Returned Unit Product Short Name</w:t>
            </w:r>
          </w:p>
          <w:p w14:paraId="5353E542" w14:textId="41F66C08" w:rsidR="00990103" w:rsidRPr="001C1687" w:rsidRDefault="00990103" w:rsidP="00925CAD">
            <w:pPr>
              <w:pStyle w:val="ListParagraph"/>
              <w:numPr>
                <w:ilvl w:val="0"/>
                <w:numId w:val="55"/>
              </w:numPr>
              <w:spacing w:after="0"/>
              <w:rPr>
                <w:rFonts w:ascii="Arial" w:hAnsi="Arial" w:cs="Arial"/>
                <w:sz w:val="18"/>
                <w:szCs w:val="18"/>
              </w:rPr>
            </w:pPr>
            <w:r w:rsidRPr="001C1687">
              <w:rPr>
                <w:rFonts w:ascii="Arial" w:hAnsi="Arial" w:cs="Arial"/>
                <w:sz w:val="18"/>
                <w:szCs w:val="18"/>
              </w:rPr>
              <w:t>Returned Unit ABO/Rh</w:t>
            </w:r>
          </w:p>
          <w:p w14:paraId="548EF389" w14:textId="259B4766" w:rsidR="00990103" w:rsidRPr="001C1687" w:rsidRDefault="00990103" w:rsidP="00925CAD">
            <w:pPr>
              <w:pStyle w:val="ListParagraph"/>
              <w:numPr>
                <w:ilvl w:val="0"/>
                <w:numId w:val="55"/>
              </w:numPr>
              <w:spacing w:after="0"/>
              <w:rPr>
                <w:rFonts w:ascii="Arial" w:hAnsi="Arial" w:cs="Arial"/>
                <w:sz w:val="18"/>
                <w:szCs w:val="18"/>
              </w:rPr>
            </w:pPr>
            <w:r w:rsidRPr="001C1687">
              <w:rPr>
                <w:rFonts w:ascii="Arial" w:hAnsi="Arial" w:cs="Arial"/>
                <w:sz w:val="18"/>
                <w:szCs w:val="18"/>
              </w:rPr>
              <w:t>Returned Unit Expiration Date</w:t>
            </w:r>
          </w:p>
          <w:p w14:paraId="0B21B174" w14:textId="510EDB63" w:rsidR="00990103" w:rsidRPr="001C1687" w:rsidRDefault="00990103" w:rsidP="00925CAD">
            <w:pPr>
              <w:pStyle w:val="ListParagraph"/>
              <w:numPr>
                <w:ilvl w:val="0"/>
                <w:numId w:val="55"/>
              </w:numPr>
              <w:spacing w:after="0"/>
              <w:rPr>
                <w:rFonts w:ascii="Arial" w:hAnsi="Arial" w:cs="Arial"/>
                <w:sz w:val="18"/>
                <w:szCs w:val="18"/>
              </w:rPr>
            </w:pPr>
            <w:r w:rsidRPr="001C1687">
              <w:rPr>
                <w:rFonts w:ascii="Arial" w:hAnsi="Arial" w:cs="Arial"/>
                <w:sz w:val="18"/>
                <w:szCs w:val="18"/>
              </w:rPr>
              <w:t>Issue-to Location</w:t>
            </w:r>
          </w:p>
          <w:p w14:paraId="26A16B16" w14:textId="79CD23DC" w:rsidR="00990103" w:rsidRPr="00456819" w:rsidRDefault="00990103" w:rsidP="00925CAD">
            <w:pPr>
              <w:pStyle w:val="ListParagraph"/>
              <w:numPr>
                <w:ilvl w:val="0"/>
                <w:numId w:val="55"/>
              </w:numPr>
              <w:spacing w:after="0"/>
              <w:rPr>
                <w:rFonts w:ascii="Arial" w:hAnsi="Arial" w:cs="Arial"/>
                <w:sz w:val="18"/>
                <w:szCs w:val="18"/>
              </w:rPr>
            </w:pPr>
            <w:r w:rsidRPr="001C1687">
              <w:rPr>
                <w:rFonts w:ascii="Arial" w:hAnsi="Arial" w:cs="Arial"/>
                <w:sz w:val="18"/>
                <w:szCs w:val="18"/>
              </w:rPr>
              <w:t>Visual Inspection Information</w:t>
            </w:r>
            <w:r w:rsidR="005B025F">
              <w:rPr>
                <w:rFonts w:ascii="Arial" w:hAnsi="Arial" w:cs="Arial"/>
                <w:sz w:val="18"/>
                <w:szCs w:val="18"/>
              </w:rPr>
              <w:t xml:space="preserve"> (Note that </w:t>
            </w:r>
            <w:r w:rsidR="00456819">
              <w:rPr>
                <w:rFonts w:ascii="Arial" w:hAnsi="Arial" w:cs="Arial"/>
                <w:sz w:val="18"/>
                <w:szCs w:val="18"/>
              </w:rPr>
              <w:t>although the exception type display on the report is “</w:t>
            </w:r>
            <w:r w:rsidR="00456819" w:rsidRPr="001C1687">
              <w:rPr>
                <w:rFonts w:ascii="Arial" w:hAnsi="Arial" w:cs="Arial"/>
                <w:sz w:val="18"/>
                <w:szCs w:val="18"/>
              </w:rPr>
              <w:t>Unit out of controlled storage found acceptable</w:t>
            </w:r>
            <w:r w:rsidR="00456819">
              <w:rPr>
                <w:rFonts w:ascii="Arial" w:hAnsi="Arial" w:cs="Arial"/>
                <w:sz w:val="18"/>
                <w:szCs w:val="18"/>
              </w:rPr>
              <w:t>”, the Visual Inspection Information will display “Unsatisfactory” if entered by the user in the comment field.</w:t>
            </w:r>
            <w:r w:rsidR="00131C56">
              <w:rPr>
                <w:rFonts w:ascii="Arial" w:hAnsi="Arial" w:cs="Arial"/>
                <w:sz w:val="18"/>
                <w:szCs w:val="18"/>
              </w:rPr>
              <w:t>)</w:t>
            </w:r>
          </w:p>
          <w:p w14:paraId="1995EA76" w14:textId="111A3BAF" w:rsidR="00990103" w:rsidRPr="001C1687" w:rsidRDefault="00990103" w:rsidP="00925CAD">
            <w:pPr>
              <w:pStyle w:val="ListParagraph"/>
              <w:numPr>
                <w:ilvl w:val="0"/>
                <w:numId w:val="55"/>
              </w:numPr>
              <w:spacing w:after="0"/>
              <w:rPr>
                <w:rFonts w:ascii="Arial" w:hAnsi="Arial" w:cs="Arial"/>
                <w:sz w:val="18"/>
                <w:szCs w:val="18"/>
              </w:rPr>
            </w:pPr>
            <w:r w:rsidRPr="001C1687">
              <w:rPr>
                <w:rFonts w:ascii="Arial" w:hAnsi="Arial" w:cs="Arial"/>
                <w:sz w:val="18"/>
                <w:szCs w:val="18"/>
              </w:rPr>
              <w:lastRenderedPageBreak/>
              <w:t>Required Comment</w:t>
            </w:r>
          </w:p>
          <w:p w14:paraId="27505E93" w14:textId="367066FE" w:rsidR="00990103" w:rsidRPr="001C1687" w:rsidRDefault="00990103" w:rsidP="00925CAD">
            <w:pPr>
              <w:pStyle w:val="ListParagraph"/>
              <w:numPr>
                <w:ilvl w:val="0"/>
                <w:numId w:val="55"/>
              </w:numPr>
              <w:spacing w:after="0"/>
              <w:rPr>
                <w:rFonts w:ascii="Arial" w:hAnsi="Arial" w:cs="Arial"/>
                <w:sz w:val="18"/>
                <w:szCs w:val="18"/>
              </w:rPr>
            </w:pPr>
            <w:r w:rsidRPr="001C1687">
              <w:rPr>
                <w:rFonts w:ascii="Arial" w:hAnsi="Arial" w:cs="Arial"/>
                <w:sz w:val="18"/>
                <w:szCs w:val="18"/>
              </w:rPr>
              <w:t>Processing Tech Name</w:t>
            </w:r>
          </w:p>
          <w:p w14:paraId="5148FF99" w14:textId="112BDD84" w:rsidR="00990103" w:rsidRPr="001C1687" w:rsidRDefault="00990103" w:rsidP="00925CAD">
            <w:pPr>
              <w:pStyle w:val="ListParagraph"/>
              <w:numPr>
                <w:ilvl w:val="0"/>
                <w:numId w:val="55"/>
              </w:numPr>
              <w:spacing w:after="0"/>
              <w:rPr>
                <w:rFonts w:ascii="Arial" w:hAnsi="Arial" w:cs="Arial"/>
                <w:sz w:val="18"/>
                <w:szCs w:val="18"/>
              </w:rPr>
            </w:pPr>
            <w:r w:rsidRPr="001C1687">
              <w:rPr>
                <w:rFonts w:ascii="Arial" w:hAnsi="Arial" w:cs="Arial"/>
                <w:sz w:val="18"/>
                <w:szCs w:val="18"/>
              </w:rPr>
              <w:t>Log-in Tech Name</w:t>
            </w:r>
          </w:p>
          <w:p w14:paraId="78827462" w14:textId="5ADDD01E" w:rsidR="00990103" w:rsidRPr="001C1687" w:rsidRDefault="00990103" w:rsidP="00925CAD">
            <w:pPr>
              <w:pStyle w:val="ListParagraph"/>
              <w:numPr>
                <w:ilvl w:val="0"/>
                <w:numId w:val="55"/>
              </w:numPr>
              <w:spacing w:after="0"/>
              <w:rPr>
                <w:rFonts w:ascii="Arial" w:hAnsi="Arial" w:cs="Arial"/>
                <w:sz w:val="18"/>
                <w:szCs w:val="18"/>
              </w:rPr>
            </w:pPr>
            <w:r w:rsidRPr="001C1687">
              <w:rPr>
                <w:rFonts w:ascii="Arial" w:hAnsi="Arial" w:cs="Arial"/>
                <w:sz w:val="18"/>
                <w:szCs w:val="18"/>
              </w:rPr>
              <w:t xml:space="preserve">Division </w:t>
            </w:r>
          </w:p>
          <w:p w14:paraId="2E46669B" w14:textId="0A85ED76" w:rsidR="00990103" w:rsidRPr="006F799E" w:rsidRDefault="00990103" w:rsidP="00925CAD">
            <w:pPr>
              <w:pStyle w:val="ListParagraph"/>
              <w:numPr>
                <w:ilvl w:val="0"/>
                <w:numId w:val="55"/>
              </w:numPr>
              <w:spacing w:after="0"/>
              <w:rPr>
                <w:rFonts w:cs="Arial"/>
              </w:rPr>
            </w:pPr>
            <w:r w:rsidRPr="001C1687">
              <w:rPr>
                <w:rFonts w:ascii="Arial" w:hAnsi="Arial" w:cs="Arial"/>
                <w:sz w:val="18"/>
                <w:szCs w:val="18"/>
              </w:rPr>
              <w:t>Date/Time of Transaction</w:t>
            </w:r>
          </w:p>
          <w:p w14:paraId="1475FA5A" w14:textId="77777777" w:rsidR="005A68EB" w:rsidRDefault="005A68EB" w:rsidP="005A68EB">
            <w:pPr>
              <w:rPr>
                <w:rFonts w:cs="Arial"/>
              </w:rPr>
            </w:pPr>
          </w:p>
          <w:p w14:paraId="3FB7D1B5" w14:textId="59EAED40" w:rsidR="005A68EB" w:rsidRPr="005A68EB" w:rsidRDefault="005A68EB" w:rsidP="006F799E">
            <w:pPr>
              <w:pStyle w:val="NotesText"/>
              <w:rPr>
                <w:rFonts w:cs="Arial"/>
              </w:rPr>
            </w:pPr>
            <w:r>
              <w:rPr>
                <w:vanish/>
                <w:szCs w:val="18"/>
              </w:rPr>
              <w:t xml:space="preserve">BR_59.15 </w:t>
            </w:r>
            <w:r w:rsidRPr="0030088C">
              <w:rPr>
                <w:rFonts w:cs="Arial"/>
                <w:szCs w:val="18"/>
              </w:rPr>
              <w:t xml:space="preserve">The </w:t>
            </w:r>
            <w:r>
              <w:rPr>
                <w:rFonts w:cs="Arial"/>
                <w:szCs w:val="18"/>
              </w:rPr>
              <w:t>user may enter a comment in the "Unit Return" comment context and a free text comment</w:t>
            </w:r>
            <w:r w:rsidRPr="0030088C">
              <w:rPr>
                <w:rFonts w:cs="Arial"/>
                <w:szCs w:val="18"/>
              </w:rPr>
              <w:t>.</w:t>
            </w:r>
            <w:r>
              <w:rPr>
                <w:rFonts w:cs="Arial"/>
                <w:szCs w:val="18"/>
              </w:rPr>
              <w:t xml:space="preserve"> </w:t>
            </w:r>
            <w:r w:rsidRPr="006E30BA">
              <w:rPr>
                <w:rFonts w:cs="Arial"/>
                <w:szCs w:val="18"/>
              </w:rPr>
              <w:t xml:space="preserve">The comment will be </w:t>
            </w:r>
            <w:r w:rsidRPr="005A68EB">
              <w:t>displayed</w:t>
            </w:r>
            <w:r w:rsidRPr="006E30BA">
              <w:rPr>
                <w:rFonts w:cs="Arial"/>
                <w:szCs w:val="18"/>
              </w:rPr>
              <w:t xml:space="preserve"> in the Unit History Report, </w:t>
            </w:r>
            <w:r>
              <w:rPr>
                <w:rFonts w:cs="Arial"/>
                <w:szCs w:val="18"/>
              </w:rPr>
              <w:t>Issue Information</w:t>
            </w:r>
            <w:r w:rsidRPr="006E30BA">
              <w:rPr>
                <w:rFonts w:cs="Arial"/>
                <w:szCs w:val="18"/>
              </w:rPr>
              <w:t xml:space="preserve"> section and </w:t>
            </w:r>
            <w:r>
              <w:rPr>
                <w:rFonts w:cs="Arial"/>
                <w:szCs w:val="18"/>
              </w:rPr>
              <w:t>the Issued/Returned Report</w:t>
            </w:r>
            <w:r>
              <w:t>.</w:t>
            </w:r>
          </w:p>
        </w:tc>
      </w:tr>
      <w:tr w:rsidR="002A21AE" w14:paraId="3CD8DA06" w14:textId="77777777">
        <w:tc>
          <w:tcPr>
            <w:tcW w:w="3240" w:type="dxa"/>
          </w:tcPr>
          <w:p w14:paraId="118A3A8D" w14:textId="0C0C8B45" w:rsidR="002A21AE" w:rsidRDefault="00CF47D5">
            <w:pPr>
              <w:pStyle w:val="TableTextNumbers"/>
            </w:pPr>
            <w:r>
              <w:lastRenderedPageBreak/>
              <w:t>Respond to the warnings and messages</w:t>
            </w:r>
            <w:r w:rsidR="009F35E5">
              <w:t xml:space="preserve"> (</w:t>
            </w:r>
            <w:r w:rsidR="00EE455E">
              <w:t xml:space="preserve">Figure </w:t>
            </w:r>
            <w:r w:rsidR="00EE455E">
              <w:rPr>
                <w:noProof/>
              </w:rPr>
              <w:t>76</w:t>
            </w:r>
            <w:r w:rsidR="009F35E5">
              <w:t>)</w:t>
            </w:r>
            <w:r w:rsidR="002A21AE">
              <w:t>.</w:t>
            </w:r>
          </w:p>
        </w:tc>
        <w:tc>
          <w:tcPr>
            <w:tcW w:w="6120" w:type="dxa"/>
          </w:tcPr>
          <w:p w14:paraId="1614DDC0" w14:textId="6F22E161" w:rsidR="002A21AE" w:rsidRDefault="002A21AE" w:rsidP="006F799E">
            <w:pPr>
              <w:pStyle w:val="TableTextBullet"/>
            </w:pPr>
            <w:r>
              <w:t>Allows the user to indicate that each unit or batch of units was visually inspected and marked satisfactory or unsatisfactory.</w:t>
            </w:r>
          </w:p>
          <w:p w14:paraId="548DB016" w14:textId="77777777" w:rsidR="006F799E" w:rsidRDefault="006F799E">
            <w:pPr>
              <w:pStyle w:val="TableText"/>
              <w:rPr>
                <w:b/>
                <w:bCs/>
                <w:szCs w:val="18"/>
              </w:rPr>
            </w:pPr>
          </w:p>
          <w:p w14:paraId="398BD8B4" w14:textId="4748F28C" w:rsidR="002A21AE" w:rsidRDefault="002A21AE">
            <w:pPr>
              <w:pStyle w:val="TableText"/>
              <w:rPr>
                <w:b/>
                <w:bCs/>
                <w:szCs w:val="18"/>
              </w:rPr>
            </w:pPr>
            <w:r>
              <w:rPr>
                <w:b/>
                <w:bCs/>
                <w:szCs w:val="18"/>
              </w:rPr>
              <w:t>NOTES</w:t>
            </w:r>
          </w:p>
          <w:p w14:paraId="450555F2" w14:textId="77777777" w:rsidR="002A21AE" w:rsidRDefault="002A21AE">
            <w:pPr>
              <w:pStyle w:val="NotesText"/>
            </w:pPr>
          </w:p>
          <w:p w14:paraId="78BEF59C" w14:textId="77777777" w:rsidR="002A21AE" w:rsidRDefault="002A21AE">
            <w:pPr>
              <w:pStyle w:val="NotesText"/>
            </w:pPr>
            <w:r w:rsidRPr="00896F17">
              <w:rPr>
                <w:vanish/>
                <w:szCs w:val="18"/>
              </w:rPr>
              <w:t>BR_59.08</w:t>
            </w:r>
            <w:r w:rsidR="00F92F72" w:rsidRPr="00896F17">
              <w:rPr>
                <w:rStyle w:val="BullhornChar"/>
              </w:rPr>
              <w:t></w:t>
            </w:r>
            <w:r w:rsidR="00F92F72">
              <w:rPr>
                <w:rFonts w:ascii="Webdings" w:hAnsi="Webdings"/>
              </w:rPr>
              <w:t></w:t>
            </w:r>
            <w:r w:rsidR="00F92F72" w:rsidRPr="00263B24">
              <w:t>Wh</w:t>
            </w:r>
            <w:r w:rsidR="00F92F72">
              <w:t>en</w:t>
            </w:r>
            <w:r>
              <w:t xml:space="preserve"> the user indicates that the unit is unsatisfactory, VBECS emits an audible alert and quarantines the unit, relocates it to the hospital location of the blood bank, and captures details for inclusion in an Exception Report (exception type: unit unsatisfactory upon return from issue). Upon quarantining the unit, VBECS releases it from assignment and requires a comment regarding the return. </w:t>
            </w:r>
          </w:p>
          <w:p w14:paraId="50E15390" w14:textId="77777777" w:rsidR="002A21AE" w:rsidRDefault="002A21AE">
            <w:pPr>
              <w:pStyle w:val="NotesText"/>
            </w:pPr>
          </w:p>
          <w:p w14:paraId="6F4F98BF" w14:textId="77777777" w:rsidR="002A21AE" w:rsidRDefault="002A21AE">
            <w:pPr>
              <w:pStyle w:val="NotesText"/>
            </w:pPr>
            <w:r>
              <w:rPr>
                <w:rFonts w:cs="Arial"/>
                <w:vanish/>
              </w:rPr>
              <w:t xml:space="preserve">BR_27.15 </w:t>
            </w:r>
            <w:r w:rsidR="00DC63E8">
              <w:t>When a unit has had a quarantine indicator assigned, VBECS releases any patient assignments. Patient restrictions associated with the unit remain intact.</w:t>
            </w:r>
          </w:p>
          <w:p w14:paraId="5BA3C4A1" w14:textId="77777777" w:rsidR="00DC63E8" w:rsidRDefault="00DC63E8">
            <w:pPr>
              <w:pStyle w:val="NotesText"/>
            </w:pPr>
          </w:p>
          <w:p w14:paraId="34BB4E66" w14:textId="77777777" w:rsidR="002A21AE" w:rsidRDefault="002A21AE">
            <w:pPr>
              <w:pStyle w:val="NotesText"/>
            </w:pPr>
            <w:r>
              <w:rPr>
                <w:rFonts w:cs="Arial"/>
                <w:vanish/>
              </w:rPr>
              <w:t xml:space="preserve">BR_59.11 </w:t>
            </w:r>
            <w:r>
              <w:t>VBECS places units returned from issue to the blood bank in satisfactory condition in the status they had prior to issue.</w:t>
            </w:r>
          </w:p>
          <w:p w14:paraId="10BB66D7" w14:textId="77777777" w:rsidR="002A21AE" w:rsidRDefault="002A21AE">
            <w:pPr>
              <w:pStyle w:val="NotesText"/>
            </w:pPr>
          </w:p>
          <w:p w14:paraId="0064FA09" w14:textId="7AE93707" w:rsidR="002A21AE" w:rsidRDefault="002A21AE" w:rsidP="00EA3A1F">
            <w:pPr>
              <w:pStyle w:val="NotesText"/>
              <w:rPr>
                <w:rFonts w:cs="Arial"/>
              </w:rPr>
            </w:pPr>
            <w:r>
              <w:rPr>
                <w:vanish/>
                <w:szCs w:val="18"/>
              </w:rPr>
              <w:t>BR_59.12</w:t>
            </w:r>
            <w:r w:rsidR="00CE3961">
              <w:rPr>
                <w:vanish/>
                <w:szCs w:val="18"/>
              </w:rPr>
              <w:t>,</w:t>
            </w:r>
            <w:r>
              <w:rPr>
                <w:vanish/>
                <w:szCs w:val="18"/>
              </w:rPr>
              <w:t xml:space="preserve"> BR_59.13 </w:t>
            </w:r>
            <w:r>
              <w:t>When the unit returned and/or the specimen used for assignment or crossmatch is expired, VBECS warns the user.</w:t>
            </w:r>
          </w:p>
        </w:tc>
      </w:tr>
      <w:tr w:rsidR="002A21AE" w14:paraId="4289EC3B" w14:textId="77777777">
        <w:tc>
          <w:tcPr>
            <w:tcW w:w="3240" w:type="dxa"/>
          </w:tcPr>
          <w:p w14:paraId="6630FF35" w14:textId="77777777" w:rsidR="002A21AE" w:rsidRDefault="002A21AE">
            <w:pPr>
              <w:pStyle w:val="TableTextNumbers"/>
            </w:pPr>
            <w:r>
              <w:t xml:space="preserve">Click </w:t>
            </w:r>
            <w:r>
              <w:rPr>
                <w:b/>
              </w:rPr>
              <w:t xml:space="preserve">OK </w:t>
            </w:r>
            <w:r>
              <w:t xml:space="preserve">to accept the entries, and complete the unit return. </w:t>
            </w:r>
          </w:p>
          <w:p w14:paraId="00BB731E" w14:textId="77777777" w:rsidR="002A21AE" w:rsidRDefault="002A21AE">
            <w:pPr>
              <w:pStyle w:val="TableTextNumbersContinued"/>
            </w:pPr>
          </w:p>
          <w:p w14:paraId="323BF7BA" w14:textId="77777777" w:rsidR="002A21AE" w:rsidRDefault="002A21AE">
            <w:pPr>
              <w:pStyle w:val="TableTextNumbersContinued"/>
            </w:pPr>
            <w:r>
              <w:t xml:space="preserve">Exit. </w:t>
            </w:r>
            <w:r>
              <w:rPr>
                <w:rStyle w:val="TableTextNumbersChar"/>
                <w:vanish/>
                <w:color w:val="FFFFFF"/>
                <w:szCs w:val="18"/>
              </w:rPr>
              <w:fldChar w:fldCharType="begin"/>
            </w:r>
            <w:r>
              <w:rPr>
                <w:rStyle w:val="TableTextNumbersChar"/>
                <w:vanish/>
                <w:color w:val="FFFFFF"/>
                <w:szCs w:val="18"/>
              </w:rPr>
              <w:instrText xml:space="preserve"> LISTNUM \l 1 \s 0 </w:instrText>
            </w:r>
            <w:r>
              <w:rPr>
                <w:rStyle w:val="TableTextNumbersChar"/>
                <w:vanish/>
                <w:color w:val="FFFFFF"/>
                <w:szCs w:val="18"/>
              </w:rPr>
              <w:fldChar w:fldCharType="end">
                <w:numberingChange w:id="441" w:author="MUSZYNSKI, THOMAS D. (SIERRA 7 INC)" w:date="2024-11-26T07:15:00Z" w:original="0."/>
              </w:fldChar>
            </w:r>
          </w:p>
        </w:tc>
        <w:tc>
          <w:tcPr>
            <w:tcW w:w="6120" w:type="dxa"/>
          </w:tcPr>
          <w:p w14:paraId="419B6C65" w14:textId="77777777" w:rsidR="001F6288" w:rsidRDefault="002A21AE" w:rsidP="001F6288">
            <w:pPr>
              <w:pStyle w:val="TableTextBullet"/>
            </w:pPr>
            <w:r>
              <w:t>Saves the data.</w:t>
            </w:r>
          </w:p>
          <w:p w14:paraId="029A2B29" w14:textId="77777777" w:rsidR="001F6288" w:rsidRDefault="001F6288" w:rsidP="001F6288">
            <w:pPr>
              <w:pStyle w:val="TableTextBullet"/>
            </w:pPr>
            <w:r w:rsidRPr="001F6288">
              <w:rPr>
                <w:rFonts w:cs="Arial"/>
                <w:vanish/>
                <w:szCs w:val="18"/>
              </w:rPr>
              <w:t xml:space="preserve">UC_109 </w:t>
            </w:r>
            <w:r w:rsidRPr="001F6288">
              <w:rPr>
                <w:rFonts w:cs="Arial"/>
                <w:szCs w:val="18"/>
              </w:rPr>
              <w:t>Sends update to the BCE COTS system via an HL7 message to remove the unit from the system</w:t>
            </w:r>
            <w:r>
              <w:rPr>
                <w:rFonts w:cs="Arial"/>
                <w:szCs w:val="18"/>
              </w:rPr>
              <w:t>.</w:t>
            </w:r>
          </w:p>
          <w:p w14:paraId="6F767233" w14:textId="77777777" w:rsidR="002A21AE" w:rsidRDefault="002A21AE">
            <w:pPr>
              <w:pStyle w:val="TableText"/>
            </w:pPr>
          </w:p>
          <w:p w14:paraId="2E07F21C" w14:textId="526ED962" w:rsidR="002A21AE" w:rsidRDefault="002A21AE">
            <w:pPr>
              <w:pStyle w:val="TableText"/>
              <w:rPr>
                <w:b/>
                <w:bCs/>
                <w:szCs w:val="18"/>
              </w:rPr>
            </w:pPr>
            <w:r>
              <w:rPr>
                <w:b/>
                <w:bCs/>
                <w:szCs w:val="18"/>
              </w:rPr>
              <w:t>NOTES</w:t>
            </w:r>
          </w:p>
          <w:p w14:paraId="01DFF604" w14:textId="77777777" w:rsidR="002A21AE" w:rsidRDefault="002A21AE">
            <w:pPr>
              <w:pStyle w:val="NotesText"/>
            </w:pPr>
          </w:p>
          <w:p w14:paraId="07EDA2C4" w14:textId="77777777" w:rsidR="002A21AE" w:rsidRDefault="002A21AE">
            <w:pPr>
              <w:pStyle w:val="NotesText"/>
            </w:pPr>
            <w:r>
              <w:rPr>
                <w:rFonts w:cs="Arial"/>
                <w:vanish/>
              </w:rPr>
              <w:t xml:space="preserve">BR_59.10 </w:t>
            </w:r>
            <w:r>
              <w:t>VBECS returns units to the blood bank location within the division.</w:t>
            </w:r>
          </w:p>
        </w:tc>
      </w:tr>
    </w:tbl>
    <w:p w14:paraId="403878A7" w14:textId="4EC149FC" w:rsidR="009F35E5" w:rsidRDefault="009F35E5" w:rsidP="009F35E5">
      <w:pPr>
        <w:pStyle w:val="Caption"/>
      </w:pPr>
      <w:bookmarkStart w:id="442" w:name="_Ref127094454"/>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7D1829">
        <w:rPr>
          <w:noProof/>
        </w:rPr>
        <w:t>77</w:t>
      </w:r>
      <w:r w:rsidR="004E20BD">
        <w:rPr>
          <w:noProof/>
        </w:rPr>
        <w:fldChar w:fldCharType="end"/>
      </w:r>
      <w:bookmarkEnd w:id="442"/>
      <w:r>
        <w:t>: Return Issued Units</w:t>
      </w:r>
    </w:p>
    <w:p w14:paraId="5179786E" w14:textId="086621B9" w:rsidR="00857A1A" w:rsidRDefault="00756E5A" w:rsidP="009F35E5">
      <w:pPr>
        <w:pStyle w:val="BodyText"/>
      </w:pPr>
      <w:r>
        <w:rPr>
          <w:noProof/>
        </w:rPr>
        <w:drawing>
          <wp:inline distT="0" distB="0" distL="0" distR="0" wp14:anchorId="51AEAD74" wp14:editId="0215DC61">
            <wp:extent cx="5943600" cy="4333240"/>
            <wp:effectExtent l="0" t="0" r="0" b="0"/>
            <wp:docPr id="46" name="Picture 46" descr="Example of Return Issued Units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descr="Example of Return Issued Units screen capture"/>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5943600" cy="4333240"/>
                    </a:xfrm>
                    <a:prstGeom prst="rect">
                      <a:avLst/>
                    </a:prstGeom>
                    <a:noFill/>
                    <a:ln>
                      <a:noFill/>
                    </a:ln>
                  </pic:spPr>
                </pic:pic>
              </a:graphicData>
            </a:graphic>
          </wp:inline>
        </w:drawing>
      </w:r>
    </w:p>
    <w:p w14:paraId="3C0E0507" w14:textId="77777777" w:rsidR="002A21AE" w:rsidRDefault="002A21AE" w:rsidP="00857A1A">
      <w:pPr>
        <w:pStyle w:val="Heading2"/>
      </w:pPr>
      <w:r>
        <w:br w:type="page"/>
      </w:r>
      <w:bookmarkStart w:id="443" w:name="_Toc203765901"/>
      <w:r>
        <w:lastRenderedPageBreak/>
        <w:t>Release Units From Patient Assignment</w:t>
      </w:r>
      <w:bookmarkEnd w:id="443"/>
      <w:r w:rsidRPr="00857A1A">
        <w:rPr>
          <w:rFonts w:ascii="Arial Bold" w:hAnsi="Arial Bold"/>
          <w:vanish/>
        </w:rPr>
        <w:fldChar w:fldCharType="begin"/>
      </w:r>
      <w:r w:rsidRPr="00857A1A">
        <w:rPr>
          <w:rFonts w:ascii="Arial Bold" w:hAnsi="Arial Bold"/>
          <w:vanish/>
        </w:rPr>
        <w:instrText xml:space="preserve"> XE </w:instrText>
      </w:r>
      <w:r w:rsidR="00FA7E65" w:rsidRPr="00857A1A">
        <w:rPr>
          <w:rFonts w:ascii="Arial Bold" w:hAnsi="Arial Bold"/>
          <w:vanish/>
        </w:rPr>
        <w:instrText>“</w:instrText>
      </w:r>
      <w:r w:rsidRPr="00857A1A">
        <w:rPr>
          <w:rFonts w:ascii="Arial Bold" w:hAnsi="Arial Bold"/>
          <w:vanish/>
        </w:rPr>
        <w:instrText>Release Units From Patient Assignment</w:instrText>
      </w:r>
      <w:r w:rsidR="00FA7E65" w:rsidRPr="00857A1A">
        <w:rPr>
          <w:rFonts w:ascii="Arial Bold" w:hAnsi="Arial Bold"/>
          <w:vanish/>
        </w:rPr>
        <w:instrText>”</w:instrText>
      </w:r>
      <w:r w:rsidRPr="00857A1A">
        <w:rPr>
          <w:rFonts w:ascii="Arial Bold" w:hAnsi="Arial Bold"/>
          <w:vanish/>
        </w:rPr>
        <w:instrText xml:space="preserve"> </w:instrText>
      </w:r>
      <w:r w:rsidRPr="00857A1A">
        <w:rPr>
          <w:rFonts w:ascii="Arial Bold" w:hAnsi="Arial Bold"/>
          <w:vanish/>
        </w:rPr>
        <w:fldChar w:fldCharType="end"/>
      </w:r>
      <w:r w:rsidRPr="00857A1A">
        <w:rPr>
          <w:rFonts w:ascii="Arial Bold" w:hAnsi="Arial Bold"/>
          <w:vanish/>
        </w:rPr>
        <w:t xml:space="preserve"> UC_47</w:t>
      </w:r>
    </w:p>
    <w:p w14:paraId="00E3BB0F" w14:textId="77777777" w:rsidR="002A21AE" w:rsidRDefault="002A21AE" w:rsidP="00FA7E65">
      <w:pPr>
        <w:pStyle w:val="BodyText"/>
        <w:rPr>
          <w:b/>
        </w:rPr>
      </w:pPr>
      <w:r>
        <w:t xml:space="preserve">The user releases crossmatched and assigned blood units not issued after a period determined by regulatory standards and by internal policy. </w:t>
      </w:r>
    </w:p>
    <w:p w14:paraId="3B8BD5F0" w14:textId="77777777" w:rsidR="002A21AE" w:rsidRDefault="002A21AE">
      <w:pPr>
        <w:pStyle w:val="Heading4"/>
      </w:pPr>
      <w:r>
        <w:t>Assumptions</w:t>
      </w:r>
      <w:r>
        <w:rPr>
          <w:b w:val="0"/>
        </w:rPr>
        <w:t xml:space="preserve"> </w:t>
      </w:r>
    </w:p>
    <w:p w14:paraId="7E9B2776" w14:textId="77777777" w:rsidR="002A21AE" w:rsidRDefault="002A21AE">
      <w:pPr>
        <w:pStyle w:val="ListBullet"/>
      </w:pPr>
      <w:r>
        <w:t xml:space="preserve">The blood unit is assigned or crossmatched to at least one patient. </w:t>
      </w:r>
    </w:p>
    <w:p w14:paraId="2145C5EA" w14:textId="77777777" w:rsidR="002A21AE" w:rsidRDefault="002A21AE">
      <w:pPr>
        <w:pStyle w:val="Heading4"/>
      </w:pPr>
      <w:r>
        <w:t>Outcome</w:t>
      </w:r>
    </w:p>
    <w:p w14:paraId="0CC67927" w14:textId="77777777" w:rsidR="002A21AE" w:rsidRDefault="002A21AE">
      <w:pPr>
        <w:pStyle w:val="ListBullet"/>
      </w:pPr>
      <w:r>
        <w:t>Patient restrictions still apply to a unit even after it is released from assignment and made available.</w:t>
      </w:r>
    </w:p>
    <w:p w14:paraId="51E70DDB" w14:textId="77777777" w:rsidR="00561829" w:rsidRDefault="00561829" w:rsidP="00561829">
      <w:pPr>
        <w:pStyle w:val="ListBullet"/>
      </w:pPr>
      <w:r>
        <w:t>If workload codes are assigned for this process, workload-related data collected as the result of this process are stored for inclusion in Workload Reports.</w:t>
      </w:r>
    </w:p>
    <w:p w14:paraId="35228A29" w14:textId="77777777" w:rsidR="002A21AE" w:rsidRDefault="002A21AE">
      <w:pPr>
        <w:pStyle w:val="Heading4"/>
      </w:pPr>
      <w:r>
        <w:t>Limitations and Restrictions</w:t>
      </w:r>
      <w:r>
        <w:rPr>
          <w:b w:val="0"/>
        </w:rPr>
        <w:t xml:space="preserve"> </w:t>
      </w:r>
    </w:p>
    <w:p w14:paraId="091B1B31" w14:textId="77777777" w:rsidR="002A21AE" w:rsidRDefault="002A21AE">
      <w:pPr>
        <w:pStyle w:val="ListBullet"/>
      </w:pPr>
      <w:r>
        <w:t>This option does not apply to the release of patient restrictions (autologous and directed).</w:t>
      </w:r>
    </w:p>
    <w:p w14:paraId="6FEEE789" w14:textId="606B88FF" w:rsidR="002A21AE" w:rsidRDefault="002A21AE">
      <w:pPr>
        <w:pStyle w:val="ListBullet"/>
      </w:pPr>
      <w:r>
        <w:t>When a patient, specimen</w:t>
      </w:r>
      <w:r w:rsidR="00112C24">
        <w:t>,</w:t>
      </w:r>
      <w:r w:rsidR="00D40FAE">
        <w:t xml:space="preserve"> </w:t>
      </w:r>
      <w:r>
        <w:t>or blood unit expires, VBECS does not automatically release an assigned blood unit: a user must release the unit.</w:t>
      </w:r>
    </w:p>
    <w:p w14:paraId="0C2C9059" w14:textId="0297C7EB" w:rsidR="002A21AE" w:rsidRDefault="002A21AE" w:rsidP="005B025F">
      <w:pPr>
        <w:pStyle w:val="Heading4"/>
      </w:pPr>
      <w:r>
        <w:t>Additional Information</w:t>
      </w:r>
    </w:p>
    <w:p w14:paraId="24AA4AC0" w14:textId="77777777" w:rsidR="000D6CA6" w:rsidRDefault="002A21AE" w:rsidP="000D6CA6">
      <w:pPr>
        <w:pStyle w:val="ListBullet"/>
      </w:pPr>
      <w:r>
        <w:t>A user may release units from assignment as a group or individually from a patient’s list of units.</w:t>
      </w:r>
    </w:p>
    <w:p w14:paraId="340265DE" w14:textId="77777777" w:rsidR="002A21AE" w:rsidRDefault="002A21AE">
      <w:pPr>
        <w:pStyle w:val="Heading4"/>
        <w:rPr>
          <w:b w:val="0"/>
        </w:rPr>
      </w:pPr>
      <w:r>
        <w:t>User Roles with Access to This Option</w:t>
      </w:r>
      <w:r>
        <w:rPr>
          <w:b w:val="0"/>
        </w:rPr>
        <w:t xml:space="preserve"> </w:t>
      </w:r>
    </w:p>
    <w:p w14:paraId="5B0ABF60" w14:textId="77777777" w:rsidR="002A21AE" w:rsidRDefault="00516048">
      <w:pPr>
        <w:pStyle w:val="Roles"/>
        <w:rPr>
          <w:snapToGrid w:val="0"/>
        </w:rPr>
      </w:pPr>
      <w:r>
        <w:t>All users</w:t>
      </w:r>
    </w:p>
    <w:p w14:paraId="465CBBE3" w14:textId="77777777" w:rsidR="002A21AE" w:rsidRDefault="002A21AE">
      <w:pPr>
        <w:pStyle w:val="Heading4"/>
      </w:pPr>
      <w:r>
        <w:t>Release Units From Patient Assignment</w:t>
      </w:r>
    </w:p>
    <w:p w14:paraId="6EA0D086" w14:textId="77777777" w:rsidR="002A21AE" w:rsidRDefault="002A21AE" w:rsidP="00FA7E65">
      <w:pPr>
        <w:pStyle w:val="BodyText"/>
      </w:pPr>
      <w:r>
        <w:t xml:space="preserve">A user may select one or more blood units for release from patient assignment and return to “available” status. A user may release one of multiple patient assignments without affecting other patient assignments on a unit. </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0CD486B7" w14:textId="77777777">
        <w:trPr>
          <w:cantSplit/>
          <w:tblHeader/>
        </w:trPr>
        <w:tc>
          <w:tcPr>
            <w:tcW w:w="3240" w:type="dxa"/>
            <w:shd w:val="pct30" w:color="auto" w:fill="FFFFFF"/>
            <w:vAlign w:val="bottom"/>
          </w:tcPr>
          <w:p w14:paraId="2A6C9573" w14:textId="77777777" w:rsidR="002A21AE" w:rsidRDefault="002A21AE">
            <w:pPr>
              <w:pStyle w:val="TableText"/>
              <w:rPr>
                <w:b/>
              </w:rPr>
            </w:pPr>
            <w:r>
              <w:rPr>
                <w:b/>
              </w:rPr>
              <w:t>User Action</w:t>
            </w:r>
          </w:p>
        </w:tc>
        <w:tc>
          <w:tcPr>
            <w:tcW w:w="6120" w:type="dxa"/>
            <w:shd w:val="pct30" w:color="auto" w:fill="FFFFFF"/>
            <w:vAlign w:val="bottom"/>
          </w:tcPr>
          <w:p w14:paraId="22AE1E7E" w14:textId="77777777" w:rsidR="002A21AE" w:rsidRDefault="002A21AE">
            <w:pPr>
              <w:pStyle w:val="TableText"/>
              <w:rPr>
                <w:b/>
              </w:rPr>
            </w:pPr>
            <w:r>
              <w:rPr>
                <w:b/>
              </w:rPr>
              <w:t>VBECS</w:t>
            </w:r>
          </w:p>
        </w:tc>
      </w:tr>
      <w:tr w:rsidR="002A21AE" w14:paraId="35C562E4" w14:textId="77777777">
        <w:trPr>
          <w:trHeight w:val="314"/>
        </w:trPr>
        <w:tc>
          <w:tcPr>
            <w:tcW w:w="3240" w:type="dxa"/>
          </w:tcPr>
          <w:p w14:paraId="5040E422" w14:textId="77777777" w:rsidR="002A21AE" w:rsidRDefault="002A21AE">
            <w:pPr>
              <w:pStyle w:val="TableTextNumbers"/>
            </w:pPr>
            <w:r>
              <w:t xml:space="preserve">To release units by patient, select </w:t>
            </w:r>
            <w:r>
              <w:rPr>
                <w:b/>
              </w:rPr>
              <w:t>Patients</w:t>
            </w:r>
            <w:r>
              <w:t xml:space="preserve"> from the main menu.</w:t>
            </w:r>
          </w:p>
          <w:p w14:paraId="647CDB65" w14:textId="77777777" w:rsidR="002A21AE" w:rsidRDefault="002A21AE">
            <w:pPr>
              <w:pStyle w:val="TableTextNumbersContinued"/>
            </w:pPr>
          </w:p>
          <w:p w14:paraId="24F992E0" w14:textId="77777777" w:rsidR="002A21AE" w:rsidRDefault="002A21AE">
            <w:pPr>
              <w:pStyle w:val="TableTextNumbersContinued"/>
            </w:pPr>
            <w:r>
              <w:t xml:space="preserve">To release units by unit, select </w:t>
            </w:r>
            <w:r>
              <w:rPr>
                <w:b/>
              </w:rPr>
              <w:t>Blood Units</w:t>
            </w:r>
            <w:r>
              <w:t xml:space="preserve"> from the main menu.</w:t>
            </w:r>
          </w:p>
          <w:p w14:paraId="15846568" w14:textId="77777777" w:rsidR="002A21AE" w:rsidRDefault="002A21AE">
            <w:pPr>
              <w:pStyle w:val="TableTextNumbersContinued"/>
            </w:pPr>
          </w:p>
          <w:p w14:paraId="13330BF1" w14:textId="77777777" w:rsidR="002A21AE" w:rsidRDefault="002A21AE">
            <w:pPr>
              <w:pStyle w:val="TableTextNumbersContinued"/>
            </w:pPr>
            <w:r>
              <w:t xml:space="preserve">Select </w:t>
            </w:r>
            <w:r>
              <w:rPr>
                <w:b/>
              </w:rPr>
              <w:t>Release Units From Patient Assignment</w:t>
            </w:r>
            <w:r>
              <w:t>.</w:t>
            </w:r>
          </w:p>
        </w:tc>
        <w:tc>
          <w:tcPr>
            <w:tcW w:w="6120" w:type="dxa"/>
          </w:tcPr>
          <w:p w14:paraId="285DE921" w14:textId="77777777" w:rsidR="002A21AE" w:rsidRDefault="002A21AE">
            <w:pPr>
              <w:pStyle w:val="TableTextBullet"/>
            </w:pPr>
            <w:r>
              <w:t>Displays options for processing patient-related functions or for processing units.</w:t>
            </w:r>
          </w:p>
        </w:tc>
      </w:tr>
      <w:tr w:rsidR="002A21AE" w14:paraId="27C02B96" w14:textId="77777777" w:rsidTr="001A459B">
        <w:trPr>
          <w:cantSplit/>
        </w:trPr>
        <w:tc>
          <w:tcPr>
            <w:tcW w:w="3240" w:type="dxa"/>
          </w:tcPr>
          <w:p w14:paraId="706F9EBD" w14:textId="77777777" w:rsidR="002A21AE" w:rsidRDefault="002A21AE">
            <w:pPr>
              <w:pStyle w:val="TableTextNumbers"/>
            </w:pPr>
            <w:r>
              <w:lastRenderedPageBreak/>
              <w:t>Scan or enter a unit ID or select a patient to release units from patient assignment and/or crossmatch (XM).</w:t>
            </w:r>
          </w:p>
        </w:tc>
        <w:tc>
          <w:tcPr>
            <w:tcW w:w="6120" w:type="dxa"/>
          </w:tcPr>
          <w:p w14:paraId="0529B7AB" w14:textId="77777777" w:rsidR="002A21AE" w:rsidRDefault="002A21AE">
            <w:pPr>
              <w:pStyle w:val="TableTextBullet"/>
            </w:pPr>
            <w:r>
              <w:t>Allows the user to edit the date and time and the user who released the units.</w:t>
            </w:r>
          </w:p>
          <w:p w14:paraId="2C77CA1A" w14:textId="77777777" w:rsidR="002A21AE" w:rsidRDefault="002A21AE">
            <w:pPr>
              <w:pStyle w:val="TableTextBullet"/>
            </w:pPr>
            <w:r>
              <w:t xml:space="preserve">Lists currently assigned units. </w:t>
            </w:r>
          </w:p>
          <w:p w14:paraId="0A911D04" w14:textId="77777777" w:rsidR="002A21AE" w:rsidRDefault="002A21AE">
            <w:pPr>
              <w:pStyle w:val="TableTextBullet"/>
            </w:pPr>
            <w:r>
              <w:t>Allows the user to list assigned units by patient, by unit ID, or by unit expiration date.</w:t>
            </w:r>
          </w:p>
          <w:p w14:paraId="7C12E68F" w14:textId="77777777" w:rsidR="002A21AE" w:rsidRDefault="002A21AE">
            <w:pPr>
              <w:pStyle w:val="TableText"/>
            </w:pPr>
          </w:p>
          <w:p w14:paraId="7C24006B" w14:textId="01967406" w:rsidR="002A21AE" w:rsidRDefault="002A21AE">
            <w:pPr>
              <w:pStyle w:val="TableText"/>
              <w:rPr>
                <w:b/>
                <w:bCs/>
                <w:szCs w:val="18"/>
              </w:rPr>
            </w:pPr>
            <w:r>
              <w:rPr>
                <w:b/>
                <w:bCs/>
                <w:szCs w:val="18"/>
              </w:rPr>
              <w:t>NOTES</w:t>
            </w:r>
          </w:p>
          <w:p w14:paraId="0C310E79" w14:textId="77777777" w:rsidR="002A21AE" w:rsidRDefault="002A21AE">
            <w:pPr>
              <w:pStyle w:val="NotesText"/>
            </w:pPr>
          </w:p>
          <w:p w14:paraId="5104E656" w14:textId="77777777" w:rsidR="002A21AE" w:rsidRDefault="002A21AE">
            <w:pPr>
              <w:pStyle w:val="NotesText"/>
            </w:pPr>
            <w:r>
              <w:rPr>
                <w:rFonts w:cs="Arial"/>
                <w:vanish/>
              </w:rPr>
              <w:t xml:space="preserve">BR_47.03 </w:t>
            </w:r>
            <w:r>
              <w:t>VBECS indicates which specimens and units are expired.</w:t>
            </w:r>
          </w:p>
          <w:p w14:paraId="44055BCA" w14:textId="77777777" w:rsidR="002A21AE" w:rsidRDefault="002A21AE">
            <w:pPr>
              <w:pStyle w:val="NotesText"/>
            </w:pPr>
          </w:p>
          <w:p w14:paraId="1C9F3977" w14:textId="77777777" w:rsidR="002A21AE" w:rsidRDefault="002A21AE">
            <w:pPr>
              <w:pStyle w:val="NotesText"/>
            </w:pPr>
            <w:r>
              <w:rPr>
                <w:rFonts w:cs="Arial"/>
                <w:vanish/>
              </w:rPr>
              <w:t xml:space="preserve">BR_47.04 </w:t>
            </w:r>
            <w:r>
              <w:t>VBECS displays a unit’s donation type only when it is restricted.</w:t>
            </w:r>
          </w:p>
          <w:p w14:paraId="236C3EFB" w14:textId="77777777" w:rsidR="002A21AE" w:rsidRDefault="002A21AE">
            <w:pPr>
              <w:pStyle w:val="NotesText"/>
            </w:pPr>
          </w:p>
          <w:p w14:paraId="0AB8F83B" w14:textId="77777777" w:rsidR="002A21AE" w:rsidRDefault="002A21AE">
            <w:pPr>
              <w:pStyle w:val="NotesText"/>
            </w:pPr>
            <w:r>
              <w:rPr>
                <w:rFonts w:cs="Arial"/>
                <w:vanish/>
              </w:rPr>
              <w:t xml:space="preserve">BR_47.01 </w:t>
            </w:r>
            <w:r>
              <w:t>VBECS displays all currently assigned/crossmatched units located in the blood bank. When the user enters a unit ID that is not currently in the blood bank location, VBECS warns the user, clears the unit ID entry, and allows the user to enter another unit or patient.</w:t>
            </w:r>
          </w:p>
          <w:p w14:paraId="7517A920" w14:textId="77777777" w:rsidR="000D6CA6" w:rsidRDefault="000D6CA6" w:rsidP="00410012">
            <w:pPr>
              <w:pStyle w:val="NotesText"/>
            </w:pPr>
          </w:p>
        </w:tc>
      </w:tr>
      <w:tr w:rsidR="002A21AE" w14:paraId="52ADE71F" w14:textId="77777777">
        <w:tc>
          <w:tcPr>
            <w:tcW w:w="3240" w:type="dxa"/>
          </w:tcPr>
          <w:p w14:paraId="1254CFD1" w14:textId="77777777" w:rsidR="002A21AE" w:rsidRDefault="002A21AE">
            <w:pPr>
              <w:pStyle w:val="TableTextNumbers"/>
            </w:pPr>
            <w:r>
              <w:t>Indicate which units to release.</w:t>
            </w:r>
          </w:p>
          <w:p w14:paraId="5AB552DA" w14:textId="77777777" w:rsidR="005E1395" w:rsidRDefault="005E1395" w:rsidP="005E1395">
            <w:pPr>
              <w:pStyle w:val="TableTextNumbers"/>
              <w:numPr>
                <w:ilvl w:val="0"/>
                <w:numId w:val="0"/>
              </w:numPr>
              <w:ind w:left="288" w:hanging="288"/>
            </w:pPr>
          </w:p>
          <w:p w14:paraId="79384B6F" w14:textId="77777777" w:rsidR="005E1395" w:rsidRDefault="005E1395" w:rsidP="005E1395">
            <w:pPr>
              <w:pStyle w:val="TableTextNumbersContinued"/>
            </w:pPr>
            <w:r>
              <w:t xml:space="preserve">Click </w:t>
            </w:r>
            <w:r w:rsidRPr="005E1395">
              <w:rPr>
                <w:b/>
              </w:rPr>
              <w:t>OK</w:t>
            </w:r>
            <w:r>
              <w:t>.</w:t>
            </w:r>
          </w:p>
          <w:p w14:paraId="7FB2E425" w14:textId="77777777" w:rsidR="002A21AE" w:rsidRDefault="002A21AE">
            <w:pPr>
              <w:pStyle w:val="TableTextNumbersContinued"/>
            </w:pPr>
          </w:p>
          <w:p w14:paraId="0CE76557" w14:textId="4686642D" w:rsidR="002A21AE" w:rsidRDefault="002A21AE">
            <w:pPr>
              <w:pStyle w:val="TableTextNumbersContinued"/>
            </w:pPr>
            <w:r>
              <w:t>Indicate a reason for release of units</w:t>
            </w:r>
            <w:r w:rsidR="005E1395">
              <w:t xml:space="preserve"> (</w:t>
            </w:r>
            <w:r w:rsidR="00EE455E">
              <w:t xml:space="preserve">Figure </w:t>
            </w:r>
            <w:r w:rsidR="00EE455E">
              <w:rPr>
                <w:noProof/>
              </w:rPr>
              <w:t>77</w:t>
            </w:r>
            <w:r w:rsidR="005E1395">
              <w:t>)</w:t>
            </w:r>
            <w:r>
              <w:t>.</w:t>
            </w:r>
          </w:p>
        </w:tc>
        <w:tc>
          <w:tcPr>
            <w:tcW w:w="6120" w:type="dxa"/>
          </w:tcPr>
          <w:p w14:paraId="242784DD" w14:textId="77777777" w:rsidR="002A21AE" w:rsidRDefault="002A21AE">
            <w:pPr>
              <w:pStyle w:val="TableTextBullet"/>
            </w:pPr>
            <w:r>
              <w:t>Allows the user to enter a reason for releasing for an individual unit.</w:t>
            </w:r>
          </w:p>
          <w:p w14:paraId="1B20C5FD" w14:textId="77777777" w:rsidR="002A21AE" w:rsidRDefault="002A21AE">
            <w:pPr>
              <w:pStyle w:val="TableTextBullet"/>
            </w:pPr>
            <w:r>
              <w:t>Allows the user to review the selections, select additional units, and deselect units before saving.</w:t>
            </w:r>
          </w:p>
          <w:p w14:paraId="53583B1F" w14:textId="77777777" w:rsidR="002A21AE" w:rsidRDefault="002A21AE">
            <w:pPr>
              <w:pStyle w:val="TableText"/>
            </w:pPr>
          </w:p>
          <w:p w14:paraId="7AE107A6" w14:textId="03EDC17B" w:rsidR="002A21AE" w:rsidRDefault="002A21AE">
            <w:pPr>
              <w:pStyle w:val="TableText"/>
              <w:rPr>
                <w:b/>
                <w:bCs/>
                <w:szCs w:val="18"/>
              </w:rPr>
            </w:pPr>
            <w:r>
              <w:rPr>
                <w:b/>
                <w:bCs/>
                <w:szCs w:val="18"/>
              </w:rPr>
              <w:t>NOTES</w:t>
            </w:r>
          </w:p>
          <w:p w14:paraId="25EF6105" w14:textId="77777777" w:rsidR="002A21AE" w:rsidRDefault="002A21AE">
            <w:pPr>
              <w:pStyle w:val="NotesText"/>
            </w:pPr>
          </w:p>
          <w:p w14:paraId="6B69BE14" w14:textId="77777777" w:rsidR="002A21AE" w:rsidRDefault="002A21AE">
            <w:pPr>
              <w:pStyle w:val="NotesText"/>
            </w:pPr>
            <w:r>
              <w:rPr>
                <w:rFonts w:cs="Arial"/>
                <w:vanish/>
              </w:rPr>
              <w:t xml:space="preserve">BR_47.06 </w:t>
            </w:r>
            <w:r>
              <w:t>VBECS allows the user to select no units or one or more units for each patient on the list.</w:t>
            </w:r>
          </w:p>
        </w:tc>
      </w:tr>
      <w:tr w:rsidR="002A21AE" w14:paraId="7542C03B" w14:textId="77777777">
        <w:tc>
          <w:tcPr>
            <w:tcW w:w="3240" w:type="dxa"/>
          </w:tcPr>
          <w:p w14:paraId="748872CA" w14:textId="77777777" w:rsidR="002A21AE" w:rsidRDefault="002A21AE">
            <w:pPr>
              <w:pStyle w:val="TableTextNumbers"/>
            </w:pPr>
            <w:r>
              <w:t xml:space="preserve">Review the entered information and click </w:t>
            </w:r>
            <w:r>
              <w:rPr>
                <w:b/>
              </w:rPr>
              <w:t>OK</w:t>
            </w:r>
            <w:r>
              <w:t xml:space="preserve"> to save.</w:t>
            </w:r>
          </w:p>
          <w:p w14:paraId="31A8AA1E" w14:textId="77777777" w:rsidR="002A21AE" w:rsidRDefault="002A21AE">
            <w:pPr>
              <w:pStyle w:val="TableTextNumbersContinued"/>
            </w:pPr>
          </w:p>
          <w:p w14:paraId="2E9308C2" w14:textId="77777777" w:rsidR="002A21AE" w:rsidRDefault="002A21AE">
            <w:pPr>
              <w:pStyle w:val="TableTextNumbersContinued"/>
            </w:pPr>
            <w:r>
              <w:t xml:space="preserve">Click </w:t>
            </w:r>
            <w:r>
              <w:rPr>
                <w:b/>
              </w:rPr>
              <w:t>OK</w:t>
            </w:r>
            <w:r>
              <w:t xml:space="preserve"> to exit. </w:t>
            </w:r>
            <w:r>
              <w:rPr>
                <w:rStyle w:val="TableTextNumbersChar"/>
                <w:vanish/>
                <w:color w:val="FFFFFF"/>
                <w:szCs w:val="18"/>
              </w:rPr>
              <w:fldChar w:fldCharType="begin"/>
            </w:r>
            <w:r>
              <w:rPr>
                <w:rStyle w:val="TableTextNumbersChar"/>
                <w:vanish/>
                <w:color w:val="FFFFFF"/>
                <w:szCs w:val="18"/>
              </w:rPr>
              <w:instrText xml:space="preserve"> LISTNUM \l 1 \s 0 </w:instrText>
            </w:r>
            <w:r>
              <w:rPr>
                <w:rStyle w:val="TableTextNumbersChar"/>
                <w:vanish/>
                <w:color w:val="FFFFFF"/>
                <w:szCs w:val="18"/>
              </w:rPr>
              <w:fldChar w:fldCharType="end">
                <w:numberingChange w:id="444" w:author="MUSZYNSKI, THOMAS D. (SIERRA 7 INC)" w:date="2024-11-26T07:15:00Z" w:original="0."/>
              </w:fldChar>
            </w:r>
          </w:p>
        </w:tc>
        <w:tc>
          <w:tcPr>
            <w:tcW w:w="6120" w:type="dxa"/>
          </w:tcPr>
          <w:p w14:paraId="59C3B55E" w14:textId="77777777" w:rsidR="002A21AE" w:rsidRDefault="002A21AE">
            <w:pPr>
              <w:pStyle w:val="TableTextBullet"/>
            </w:pPr>
            <w:r>
              <w:t>Updates the patient record, the unit record, and the status.</w:t>
            </w:r>
          </w:p>
          <w:p w14:paraId="4411CE82" w14:textId="77777777" w:rsidR="009434C7" w:rsidRDefault="009434C7" w:rsidP="009434C7">
            <w:pPr>
              <w:pStyle w:val="TableTextBullet"/>
            </w:pPr>
            <w:r w:rsidRPr="009434C7">
              <w:rPr>
                <w:rFonts w:cs="Arial"/>
                <w:vanish/>
                <w:szCs w:val="18"/>
              </w:rPr>
              <w:t xml:space="preserve">UC_109 </w:t>
            </w:r>
            <w:r w:rsidRPr="009434C7">
              <w:rPr>
                <w:rFonts w:cs="Arial"/>
                <w:szCs w:val="18"/>
              </w:rPr>
              <w:t>Sends</w:t>
            </w:r>
            <w:r w:rsidRPr="001F6288">
              <w:rPr>
                <w:rFonts w:cs="Arial"/>
                <w:szCs w:val="18"/>
              </w:rPr>
              <w:t xml:space="preserve"> update to the BCE COTS system via an HL7 message to remove the unit from the system</w:t>
            </w:r>
            <w:r>
              <w:rPr>
                <w:rFonts w:cs="Arial"/>
                <w:szCs w:val="18"/>
              </w:rPr>
              <w:t>.</w:t>
            </w:r>
          </w:p>
          <w:p w14:paraId="7A2C38A0" w14:textId="77777777" w:rsidR="002A21AE" w:rsidRDefault="002A21AE">
            <w:pPr>
              <w:pStyle w:val="TableText"/>
            </w:pPr>
          </w:p>
          <w:p w14:paraId="0D854571" w14:textId="5324411C" w:rsidR="002A21AE" w:rsidRDefault="002A21AE">
            <w:pPr>
              <w:pStyle w:val="TableText"/>
              <w:rPr>
                <w:b/>
                <w:bCs/>
                <w:szCs w:val="18"/>
              </w:rPr>
            </w:pPr>
            <w:r>
              <w:rPr>
                <w:b/>
                <w:bCs/>
                <w:szCs w:val="18"/>
              </w:rPr>
              <w:t>NOTES</w:t>
            </w:r>
          </w:p>
          <w:p w14:paraId="4CC5C882" w14:textId="77777777" w:rsidR="002A21AE" w:rsidRDefault="002A21AE">
            <w:pPr>
              <w:pStyle w:val="NotesText"/>
            </w:pPr>
          </w:p>
          <w:p w14:paraId="5AA9EF81" w14:textId="77777777" w:rsidR="002A21AE" w:rsidRDefault="002A21AE">
            <w:pPr>
              <w:pStyle w:val="NotesText"/>
            </w:pPr>
            <w:r>
              <w:rPr>
                <w:rFonts w:cs="Arial"/>
                <w:vanish/>
              </w:rPr>
              <w:t xml:space="preserve">BR_47.07 </w:t>
            </w:r>
            <w:r>
              <w:t>When a unit has a future expiration date and holds no other assignments, VBECS updates the unit to “available” status. When a unit is assigned to a different patient, it remains assigned to that patient.</w:t>
            </w:r>
          </w:p>
          <w:p w14:paraId="4455FE41" w14:textId="77777777" w:rsidR="002A21AE" w:rsidRDefault="002A21AE">
            <w:pPr>
              <w:pStyle w:val="NotesText"/>
            </w:pPr>
          </w:p>
          <w:p w14:paraId="3207EE03" w14:textId="77777777" w:rsidR="002A21AE" w:rsidRDefault="002A21AE" w:rsidP="00DA7212">
            <w:pPr>
              <w:pStyle w:val="NotesText"/>
            </w:pPr>
            <w:r>
              <w:t>VBECS alerts the user when the unit is expired and reminds him to remove additional patient assignments and the unit from the available inventory according to local policies. VBECS instructs the user to release the unit from all assignments and remove it from the available inventory</w:t>
            </w:r>
            <w:r w:rsidR="00DA7212">
              <w:t xml:space="preserve"> per hospital policy.</w:t>
            </w:r>
          </w:p>
        </w:tc>
      </w:tr>
    </w:tbl>
    <w:p w14:paraId="1CD57ACA" w14:textId="22D032A2" w:rsidR="005E1395" w:rsidRDefault="005E1395" w:rsidP="005E1395">
      <w:pPr>
        <w:pStyle w:val="Caption"/>
      </w:pPr>
      <w:bookmarkStart w:id="445" w:name="_Ref127159073"/>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7D1829">
        <w:rPr>
          <w:noProof/>
        </w:rPr>
        <w:t>78</w:t>
      </w:r>
      <w:r w:rsidR="004E20BD">
        <w:rPr>
          <w:noProof/>
        </w:rPr>
        <w:fldChar w:fldCharType="end"/>
      </w:r>
      <w:bookmarkEnd w:id="445"/>
      <w:r>
        <w:t>: Confirm Release</w:t>
      </w:r>
    </w:p>
    <w:p w14:paraId="44D46BD4" w14:textId="32900A7F" w:rsidR="005E1395" w:rsidRDefault="009227D1">
      <w:pPr>
        <w:pStyle w:val="BodyText"/>
      </w:pPr>
      <w:r>
        <w:rPr>
          <w:noProof/>
        </w:rPr>
        <w:drawing>
          <wp:inline distT="0" distB="0" distL="0" distR="0" wp14:anchorId="21CB87B9" wp14:editId="68DB041B">
            <wp:extent cx="5943600" cy="4650105"/>
            <wp:effectExtent l="0" t="0" r="0" b="0"/>
            <wp:docPr id="184" name="Picture 184" descr="Example of Confirm Release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Picture 126" descr="Example of Confirm Release screen capture"/>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5943600" cy="4650105"/>
                    </a:xfrm>
                    <a:prstGeom prst="rect">
                      <a:avLst/>
                    </a:prstGeom>
                    <a:noFill/>
                    <a:ln>
                      <a:noFill/>
                    </a:ln>
                  </pic:spPr>
                </pic:pic>
              </a:graphicData>
            </a:graphic>
          </wp:inline>
        </w:drawing>
      </w:r>
    </w:p>
    <w:p w14:paraId="243972B1" w14:textId="77777777" w:rsidR="002A21AE" w:rsidRDefault="002A21AE">
      <w:pPr>
        <w:pStyle w:val="Heading2"/>
      </w:pPr>
      <w:r>
        <w:br w:type="page"/>
      </w:r>
      <w:bookmarkStart w:id="446" w:name="_Toc203765902"/>
      <w:r>
        <w:lastRenderedPageBreak/>
        <w:t>Print Unit Caution Tag &amp; Transfusion Record Form</w:t>
      </w:r>
      <w:bookmarkEnd w:id="446"/>
      <w:r w:rsidRPr="007716F7">
        <w:rPr>
          <w:vanish/>
        </w:rPr>
        <w:fldChar w:fldCharType="begin"/>
      </w:r>
      <w:r w:rsidRPr="007716F7">
        <w:rPr>
          <w:vanish/>
        </w:rPr>
        <w:instrText xml:space="preserve"> XE </w:instrText>
      </w:r>
      <w:r w:rsidR="00FA7E65" w:rsidRPr="007716F7">
        <w:rPr>
          <w:vanish/>
        </w:rPr>
        <w:instrText>“</w:instrText>
      </w:r>
      <w:r w:rsidRPr="007716F7">
        <w:rPr>
          <w:vanish/>
        </w:rPr>
        <w:instrText>Print Unit Caution Tag &amp; Transfusion Record Form</w:instrText>
      </w:r>
      <w:r w:rsidR="00FA7E65" w:rsidRPr="007716F7">
        <w:rPr>
          <w:vanish/>
        </w:rPr>
        <w:instrText>”</w:instrText>
      </w:r>
      <w:r w:rsidRPr="007716F7">
        <w:rPr>
          <w:vanish/>
        </w:rPr>
        <w:instrText xml:space="preserve"> </w:instrText>
      </w:r>
      <w:r w:rsidRPr="007716F7">
        <w:rPr>
          <w:vanish/>
        </w:rPr>
        <w:fldChar w:fldCharType="end"/>
      </w:r>
      <w:r w:rsidRPr="007716F7">
        <w:rPr>
          <w:vanish/>
        </w:rPr>
        <w:t xml:space="preserve"> UC_43, UC_44</w:t>
      </w:r>
    </w:p>
    <w:p w14:paraId="4AF1BF80" w14:textId="77777777" w:rsidR="00AD5827" w:rsidRDefault="002A21AE" w:rsidP="00FA7E65">
      <w:pPr>
        <w:pStyle w:val="BodyText"/>
      </w:pPr>
      <w:r>
        <w:t>The user may print a Caution Tag and/or a Blood Transfusion Record Form (BTRF) when crossmatch compatibility, assignment, or emergency issue are completed or as an independent action.</w:t>
      </w:r>
    </w:p>
    <w:p w14:paraId="374C6B1D" w14:textId="77777777" w:rsidR="002A21AE" w:rsidRDefault="002A21AE">
      <w:pPr>
        <w:pStyle w:val="Heading4"/>
      </w:pPr>
      <w:r>
        <w:t>Assumptions</w:t>
      </w:r>
      <w:r>
        <w:rPr>
          <w:b w:val="0"/>
        </w:rPr>
        <w:t xml:space="preserve"> </w:t>
      </w:r>
    </w:p>
    <w:p w14:paraId="09B61AAB" w14:textId="77777777" w:rsidR="002A21AE" w:rsidRDefault="002A21AE">
      <w:pPr>
        <w:pStyle w:val="ListBullet"/>
      </w:pPr>
      <w:r>
        <w:t>The blood unit, patient order, and user are in the same division.</w:t>
      </w:r>
    </w:p>
    <w:p w14:paraId="2A29D183" w14:textId="77777777" w:rsidR="002A21AE" w:rsidRDefault="002A21AE">
      <w:pPr>
        <w:pStyle w:val="ListBullet"/>
      </w:pPr>
      <w:r>
        <w:t>There is a current component class or emergency issue order for the patient, and the blood unit printed on the Caution Tag fulfills the patient order requirements.</w:t>
      </w:r>
    </w:p>
    <w:p w14:paraId="21575BB1" w14:textId="77777777" w:rsidR="002A21AE" w:rsidRDefault="002A21AE">
      <w:pPr>
        <w:pStyle w:val="ListBullet"/>
      </w:pPr>
      <w:r>
        <w:t>When the blood unit belongs to a component class that does not require crossmatch, it has a status of “assigned” (non-emergency issue only).</w:t>
      </w:r>
    </w:p>
    <w:p w14:paraId="2F656B9F" w14:textId="77777777" w:rsidR="002A21AE" w:rsidRDefault="002A21AE">
      <w:pPr>
        <w:pStyle w:val="ListBullet"/>
      </w:pPr>
      <w:r>
        <w:t>For non-emergency issue, the blood unit meets all patient Transfusion Requirements (TRs).</w:t>
      </w:r>
    </w:p>
    <w:p w14:paraId="60DE6FD4" w14:textId="77777777" w:rsidR="002A21AE" w:rsidRDefault="002A21AE">
      <w:pPr>
        <w:pStyle w:val="Heading4"/>
      </w:pPr>
      <w:r>
        <w:t>Outcome</w:t>
      </w:r>
    </w:p>
    <w:p w14:paraId="5074F347" w14:textId="77777777" w:rsidR="002A21AE" w:rsidRDefault="002A21AE">
      <w:pPr>
        <w:pStyle w:val="ListBullet"/>
      </w:pPr>
      <w:r>
        <w:t xml:space="preserve">The barcode generated on the Caution Tag </w:t>
      </w:r>
      <w:r w:rsidR="005C6950">
        <w:t>may</w:t>
      </w:r>
      <w:r>
        <w:t xml:space="preserve"> be used in bedside verification procedures</w:t>
      </w:r>
      <w:r w:rsidR="005C6950">
        <w:t>, in accordance with local policy and procedures</w:t>
      </w:r>
      <w:r>
        <w:t>.</w:t>
      </w:r>
    </w:p>
    <w:p w14:paraId="31A5CDC6" w14:textId="77777777" w:rsidR="002A21AE" w:rsidRDefault="002A21AE">
      <w:pPr>
        <w:pStyle w:val="ListBullet"/>
      </w:pPr>
      <w:r>
        <w:t>A user may reprint a BTRF and Caution Tag.</w:t>
      </w:r>
    </w:p>
    <w:p w14:paraId="40D3FCBF" w14:textId="77777777" w:rsidR="002A21AE" w:rsidRDefault="002A21AE">
      <w:pPr>
        <w:pStyle w:val="Heading4"/>
      </w:pPr>
      <w:r>
        <w:t>Limitations and Restrictions</w:t>
      </w:r>
      <w:r>
        <w:rPr>
          <w:b w:val="0"/>
        </w:rPr>
        <w:t xml:space="preserve"> </w:t>
      </w:r>
    </w:p>
    <w:p w14:paraId="1F9400BB" w14:textId="77777777" w:rsidR="002A21AE" w:rsidRDefault="002A21AE">
      <w:pPr>
        <w:pStyle w:val="ListBullet"/>
      </w:pPr>
      <w:bookmarkStart w:id="447" w:name="OLE_LINK23"/>
      <w:r>
        <w:t xml:space="preserve">VBECS cannot reprint a Caution Tag on an expired unit or </w:t>
      </w:r>
      <w:r w:rsidR="00FE1BEB">
        <w:t xml:space="preserve">expired </w:t>
      </w:r>
      <w:r>
        <w:t>patient order.</w:t>
      </w:r>
    </w:p>
    <w:p w14:paraId="0BECDB81" w14:textId="12B33EE4" w:rsidR="003226D0" w:rsidRDefault="003226D0" w:rsidP="003226D0">
      <w:pPr>
        <w:pStyle w:val="ListBullet"/>
      </w:pPr>
      <w:r>
        <w:t xml:space="preserve">VBECS does not print a unit’s </w:t>
      </w:r>
      <w:r w:rsidRPr="00D47D4A">
        <w:t>biohazardous</w:t>
      </w:r>
      <w:r>
        <w:t xml:space="preserve"> status on the BTRF or Caution Tag</w:t>
      </w:r>
      <w:r w:rsidRPr="00D47D4A">
        <w:t xml:space="preserve">. </w:t>
      </w:r>
    </w:p>
    <w:p w14:paraId="018072C5" w14:textId="3BED1957" w:rsidR="007114A4" w:rsidRDefault="009556B9" w:rsidP="003226D0">
      <w:pPr>
        <w:pStyle w:val="ListBullet"/>
      </w:pPr>
      <w:r>
        <w:t xml:space="preserve">If a unit has been crossmatched by two different technologists, the Compatibility Interpretation section of the BTRF displays the technologist that performed the earlier XM testing. </w:t>
      </w:r>
      <w:r w:rsidR="002B29EA">
        <w:t>Handwrite the missing current</w:t>
      </w:r>
      <w:r w:rsidR="00F34EA6">
        <w:t xml:space="preserve"> technologist initials on the printed BTRF. </w:t>
      </w:r>
      <w:r w:rsidRPr="00F34EA6">
        <w:rPr>
          <w:vanish/>
        </w:rPr>
        <w:t>Defect 210195</w:t>
      </w:r>
    </w:p>
    <w:bookmarkEnd w:id="447"/>
    <w:p w14:paraId="18ADA7FA" w14:textId="77777777" w:rsidR="002A21AE" w:rsidRDefault="002A21AE">
      <w:pPr>
        <w:pStyle w:val="Heading4"/>
      </w:pPr>
      <w:r>
        <w:t>Additional Information</w:t>
      </w:r>
    </w:p>
    <w:p w14:paraId="5911D991" w14:textId="77777777" w:rsidR="002A21AE" w:rsidRDefault="002A21AE">
      <w:pPr>
        <w:pStyle w:val="ListBullet"/>
      </w:pPr>
      <w:r>
        <w:rPr>
          <w:rFonts w:ascii="Arial" w:hAnsi="Arial" w:cs="Arial"/>
          <w:vanish/>
          <w:spacing w:val="0"/>
          <w:sz w:val="18"/>
        </w:rPr>
        <w:t xml:space="preserve">BR_43.10 </w:t>
      </w:r>
      <w:r>
        <w:t>The informational barcode printed on the Caution Tag includes only the patient and unit IDs and the unit product code.</w:t>
      </w:r>
    </w:p>
    <w:p w14:paraId="1CD46EEA" w14:textId="77777777" w:rsidR="002A21AE" w:rsidRDefault="002A21AE">
      <w:pPr>
        <w:pStyle w:val="ListBullet"/>
      </w:pPr>
      <w:r>
        <w:t>A user may print multiple Caution Tags and BTRFs for a blood unit when it is assigned to multiple patients.</w:t>
      </w:r>
    </w:p>
    <w:p w14:paraId="1CAFB551" w14:textId="77777777" w:rsidR="002A21AE" w:rsidRDefault="00FE1BEB">
      <w:pPr>
        <w:pStyle w:val="ListBullet"/>
      </w:pPr>
      <w:r>
        <w:t>A</w:t>
      </w:r>
      <w:r w:rsidR="002A21AE">
        <w:t>ttach the Caution Tag</w:t>
      </w:r>
      <w:r>
        <w:t xml:space="preserve"> labels to blood bags in accordance with local policy and procedures</w:t>
      </w:r>
      <w:r w:rsidR="002A21AE">
        <w:t>.</w:t>
      </w:r>
    </w:p>
    <w:p w14:paraId="1BCBA1A5" w14:textId="77777777" w:rsidR="002A21AE" w:rsidRDefault="002A21AE">
      <w:pPr>
        <w:pStyle w:val="Heading4"/>
        <w:rPr>
          <w:b w:val="0"/>
        </w:rPr>
      </w:pPr>
      <w:r>
        <w:t>User Roles with Access to This Option</w:t>
      </w:r>
      <w:r>
        <w:rPr>
          <w:b w:val="0"/>
        </w:rPr>
        <w:t xml:space="preserve"> </w:t>
      </w:r>
    </w:p>
    <w:p w14:paraId="6E04F9C6" w14:textId="77777777" w:rsidR="00396D65" w:rsidRDefault="00396D65" w:rsidP="00396D65">
      <w:pPr>
        <w:pStyle w:val="Roles"/>
        <w:rPr>
          <w:snapToGrid w:val="0"/>
        </w:rPr>
      </w:pPr>
      <w:r>
        <w:t>All users</w:t>
      </w:r>
      <w:r>
        <w:rPr>
          <w:snapToGrid w:val="0"/>
        </w:rPr>
        <w:t xml:space="preserve"> </w:t>
      </w:r>
    </w:p>
    <w:p w14:paraId="4FEF2208" w14:textId="77777777" w:rsidR="002A21AE" w:rsidRDefault="002A21AE">
      <w:pPr>
        <w:pStyle w:val="Heading4"/>
      </w:pPr>
      <w:r>
        <w:t xml:space="preserve">Print </w:t>
      </w:r>
      <w:r w:rsidR="004B2F32">
        <w:t>Backup</w:t>
      </w:r>
      <w:r>
        <w:t xml:space="preserve"> Caution Tags and Blood Transfusion Record Forms</w:t>
      </w:r>
      <w:r>
        <w:fldChar w:fldCharType="begin"/>
      </w:r>
      <w:r>
        <w:instrText xml:space="preserve"> XE </w:instrText>
      </w:r>
      <w:r w:rsidR="00FA7E65">
        <w:instrText>“</w:instrText>
      </w:r>
      <w:r>
        <w:instrText xml:space="preserve">Print </w:instrText>
      </w:r>
      <w:r w:rsidR="004B2F32">
        <w:instrText>Backup</w:instrText>
      </w:r>
      <w:r>
        <w:instrText xml:space="preserve"> Caution Tags and Blood Transfusion Record Forms</w:instrText>
      </w:r>
      <w:r w:rsidR="00FA7E65">
        <w:instrText>”</w:instrText>
      </w:r>
      <w:r>
        <w:instrText xml:space="preserve"> </w:instrText>
      </w:r>
      <w:r>
        <w:fldChar w:fldCharType="end"/>
      </w:r>
      <w:r>
        <w:t xml:space="preserve"> </w:t>
      </w:r>
    </w:p>
    <w:p w14:paraId="23F9658C" w14:textId="77777777" w:rsidR="002A21AE" w:rsidRDefault="002A21AE" w:rsidP="00FA7E65">
      <w:pPr>
        <w:pStyle w:val="BodyText"/>
      </w:pPr>
      <w:r>
        <w:t>It is recommend</w:t>
      </w:r>
      <w:r w:rsidR="00164C0F">
        <w:t>ed</w:t>
      </w:r>
      <w:r>
        <w:t xml:space="preserve"> that </w:t>
      </w:r>
      <w:r w:rsidR="004B2F32">
        <w:t>b</w:t>
      </w:r>
      <w:r>
        <w:t>lank Caution Tags and BTRFs be kept on hand in case the system or printer is not available to generate them.</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50F97216" w14:textId="77777777">
        <w:trPr>
          <w:cantSplit/>
          <w:tblHeader/>
        </w:trPr>
        <w:tc>
          <w:tcPr>
            <w:tcW w:w="3240" w:type="dxa"/>
            <w:shd w:val="pct30" w:color="auto" w:fill="FFFFFF"/>
            <w:vAlign w:val="bottom"/>
          </w:tcPr>
          <w:p w14:paraId="31B98121" w14:textId="77777777" w:rsidR="002A21AE" w:rsidRDefault="002A21AE">
            <w:pPr>
              <w:pStyle w:val="TableText"/>
              <w:rPr>
                <w:b/>
              </w:rPr>
            </w:pPr>
            <w:bookmarkStart w:id="448" w:name="_Toc48708314"/>
            <w:bookmarkStart w:id="449" w:name="_Toc48708326"/>
            <w:bookmarkStart w:id="450" w:name="_Toc77663248"/>
            <w:r>
              <w:rPr>
                <w:b/>
              </w:rPr>
              <w:t>User Action</w:t>
            </w:r>
          </w:p>
        </w:tc>
        <w:tc>
          <w:tcPr>
            <w:tcW w:w="6120" w:type="dxa"/>
            <w:shd w:val="pct30" w:color="auto" w:fill="FFFFFF"/>
            <w:vAlign w:val="bottom"/>
          </w:tcPr>
          <w:p w14:paraId="349B9D97" w14:textId="77777777" w:rsidR="002A21AE" w:rsidRDefault="002A21AE">
            <w:pPr>
              <w:pStyle w:val="TableText"/>
              <w:rPr>
                <w:b/>
              </w:rPr>
            </w:pPr>
            <w:r>
              <w:rPr>
                <w:b/>
              </w:rPr>
              <w:t>VBECS</w:t>
            </w:r>
          </w:p>
        </w:tc>
      </w:tr>
      <w:tr w:rsidR="002A21AE" w14:paraId="27913D74" w14:textId="77777777">
        <w:tc>
          <w:tcPr>
            <w:tcW w:w="3240" w:type="dxa"/>
          </w:tcPr>
          <w:p w14:paraId="0C9A93BB" w14:textId="77777777" w:rsidR="002A21AE" w:rsidRDefault="002A21AE">
            <w:pPr>
              <w:pStyle w:val="TableTextNumbers"/>
            </w:pPr>
            <w:r>
              <w:t xml:space="preserve">Select </w:t>
            </w:r>
            <w:r>
              <w:rPr>
                <w:b/>
              </w:rPr>
              <w:t>Tools</w:t>
            </w:r>
            <w:r>
              <w:t xml:space="preserve"> from the main menu.</w:t>
            </w:r>
          </w:p>
          <w:p w14:paraId="21222954" w14:textId="77777777" w:rsidR="002A21AE" w:rsidRDefault="002A21AE">
            <w:pPr>
              <w:pStyle w:val="TableTextNumbersContinued"/>
              <w:rPr>
                <w:b/>
                <w:bCs/>
              </w:rPr>
            </w:pPr>
          </w:p>
          <w:p w14:paraId="36983E6D" w14:textId="77777777" w:rsidR="002A21AE" w:rsidRDefault="002A21AE">
            <w:pPr>
              <w:pStyle w:val="TableTextNumbersContinued"/>
            </w:pPr>
            <w:r>
              <w:t xml:space="preserve">Select </w:t>
            </w:r>
            <w:r>
              <w:rPr>
                <w:b/>
              </w:rPr>
              <w:t>Print Backup Forms</w:t>
            </w:r>
            <w:r>
              <w:t>.</w:t>
            </w:r>
          </w:p>
          <w:p w14:paraId="099FBD4F" w14:textId="77777777" w:rsidR="002A21AE" w:rsidRDefault="002A21AE">
            <w:pPr>
              <w:pStyle w:val="TableTextNumbersContinued"/>
            </w:pPr>
          </w:p>
          <w:p w14:paraId="502E2DC8" w14:textId="26B0E71B" w:rsidR="002A21AE" w:rsidRDefault="002A21AE">
            <w:pPr>
              <w:pStyle w:val="TableTextNumbersContinued"/>
            </w:pPr>
            <w:r>
              <w:t>Enter or select the number of blank tags or forms to print</w:t>
            </w:r>
            <w:r w:rsidR="009B102E">
              <w:t xml:space="preserve"> (</w:t>
            </w:r>
            <w:r w:rsidR="00EE455E">
              <w:t xml:space="preserve">Figure </w:t>
            </w:r>
            <w:r w:rsidR="00EE455E">
              <w:rPr>
                <w:noProof/>
              </w:rPr>
              <w:t>78</w:t>
            </w:r>
            <w:r w:rsidR="009B102E">
              <w:t>)</w:t>
            </w:r>
            <w:r>
              <w:t>.</w:t>
            </w:r>
          </w:p>
          <w:p w14:paraId="169F2055" w14:textId="77777777" w:rsidR="002A21AE" w:rsidRDefault="002A21AE">
            <w:pPr>
              <w:pStyle w:val="TableTextNumbersContinued"/>
            </w:pPr>
          </w:p>
          <w:p w14:paraId="71A82C13" w14:textId="77777777" w:rsidR="002A21AE" w:rsidRDefault="002A21AE">
            <w:pPr>
              <w:pStyle w:val="TableTextNumbersContinued"/>
            </w:pPr>
            <w:r>
              <w:lastRenderedPageBreak/>
              <w:t xml:space="preserve">Click </w:t>
            </w:r>
            <w:r>
              <w:rPr>
                <w:b/>
              </w:rPr>
              <w:t>OK</w:t>
            </w:r>
            <w:r>
              <w:t xml:space="preserve"> to print and exit. </w:t>
            </w:r>
            <w:r>
              <w:rPr>
                <w:rStyle w:val="TableTextNumbersChar"/>
                <w:vanish/>
                <w:color w:val="FFFFFF"/>
                <w:szCs w:val="18"/>
              </w:rPr>
              <w:fldChar w:fldCharType="begin"/>
            </w:r>
            <w:r>
              <w:rPr>
                <w:rStyle w:val="TableTextNumbersChar"/>
                <w:vanish/>
                <w:color w:val="FFFFFF"/>
                <w:szCs w:val="18"/>
              </w:rPr>
              <w:instrText xml:space="preserve"> LISTNUM \l 1 \s 0 </w:instrText>
            </w:r>
            <w:r>
              <w:rPr>
                <w:rStyle w:val="TableTextNumbersChar"/>
                <w:vanish/>
                <w:color w:val="FFFFFF"/>
                <w:szCs w:val="18"/>
              </w:rPr>
              <w:fldChar w:fldCharType="end">
                <w:numberingChange w:id="451" w:author="MUSZYNSKI, THOMAS D. (SIERRA 7 INC)" w:date="2024-11-26T07:15:00Z" w:original="0."/>
              </w:fldChar>
            </w:r>
          </w:p>
        </w:tc>
        <w:tc>
          <w:tcPr>
            <w:tcW w:w="6120" w:type="dxa"/>
          </w:tcPr>
          <w:p w14:paraId="5BAFD4E1" w14:textId="77777777" w:rsidR="002A21AE" w:rsidRDefault="002A21AE">
            <w:pPr>
              <w:pStyle w:val="TableTextBullet"/>
              <w:ind w:left="0" w:firstLine="0"/>
            </w:pPr>
            <w:r>
              <w:lastRenderedPageBreak/>
              <w:t>Displays options for processing administrative functions.</w:t>
            </w:r>
          </w:p>
          <w:p w14:paraId="03869EDF" w14:textId="77777777" w:rsidR="002A21AE" w:rsidRDefault="002A21AE">
            <w:pPr>
              <w:pStyle w:val="TableTextBullet"/>
              <w:ind w:left="0" w:firstLine="0"/>
            </w:pPr>
            <w:r>
              <w:t>Prompts the user to enter the number of Caution Tags to be printed.</w:t>
            </w:r>
          </w:p>
          <w:p w14:paraId="5E899066" w14:textId="77777777" w:rsidR="002A21AE" w:rsidRDefault="002A21AE">
            <w:pPr>
              <w:pStyle w:val="TableTextBullet"/>
              <w:ind w:left="0" w:firstLine="0"/>
            </w:pPr>
            <w:r>
              <w:t>Prints the blank Caution Tags.</w:t>
            </w:r>
          </w:p>
          <w:p w14:paraId="5E758C85" w14:textId="77777777" w:rsidR="002A21AE" w:rsidRDefault="002A21AE">
            <w:pPr>
              <w:pStyle w:val="TableText"/>
              <w:rPr>
                <w:b/>
                <w:bCs/>
                <w:szCs w:val="18"/>
              </w:rPr>
            </w:pPr>
          </w:p>
          <w:p w14:paraId="5E9CA0A2" w14:textId="30E2A1B4" w:rsidR="002A21AE" w:rsidRDefault="002A21AE">
            <w:pPr>
              <w:pStyle w:val="TableText"/>
              <w:rPr>
                <w:b/>
                <w:bCs/>
                <w:szCs w:val="18"/>
              </w:rPr>
            </w:pPr>
            <w:r>
              <w:rPr>
                <w:b/>
                <w:bCs/>
                <w:szCs w:val="18"/>
              </w:rPr>
              <w:t>NOTES</w:t>
            </w:r>
          </w:p>
          <w:p w14:paraId="39CB4A48" w14:textId="77777777" w:rsidR="002A21AE" w:rsidRDefault="002A21AE">
            <w:pPr>
              <w:pStyle w:val="NotesText"/>
            </w:pPr>
          </w:p>
          <w:p w14:paraId="46ED876B" w14:textId="77777777" w:rsidR="002A21AE" w:rsidRDefault="002A21AE">
            <w:pPr>
              <w:pStyle w:val="NotesText"/>
            </w:pPr>
            <w:r>
              <w:rPr>
                <w:rFonts w:cs="Arial"/>
                <w:vanish/>
              </w:rPr>
              <w:t xml:space="preserve">BR_43.22 </w:t>
            </w:r>
            <w:r>
              <w:t>VBECS displays an option to print a Caution Tag or a BTRF when the user selects a unit or a patient.</w:t>
            </w:r>
          </w:p>
          <w:p w14:paraId="2170F6DB" w14:textId="77777777" w:rsidR="002A21AE" w:rsidRDefault="002A21AE">
            <w:pPr>
              <w:pStyle w:val="NotesText"/>
            </w:pPr>
          </w:p>
          <w:p w14:paraId="05BAE104" w14:textId="77777777" w:rsidR="002A21AE" w:rsidRDefault="002A21AE">
            <w:pPr>
              <w:pStyle w:val="NotesText"/>
            </w:pPr>
            <w:r>
              <w:rPr>
                <w:rFonts w:cs="Arial"/>
                <w:vanish/>
                <w:szCs w:val="18"/>
              </w:rPr>
              <w:t>BR_43.15</w:t>
            </w:r>
            <w:r w:rsidR="00CE3961">
              <w:rPr>
                <w:rFonts w:cs="Arial"/>
                <w:vanish/>
                <w:szCs w:val="18"/>
              </w:rPr>
              <w:t>,</w:t>
            </w:r>
            <w:r>
              <w:rPr>
                <w:rFonts w:cs="Arial"/>
                <w:vanish/>
                <w:szCs w:val="18"/>
              </w:rPr>
              <w:t xml:space="preserve"> </w:t>
            </w:r>
            <w:r>
              <w:rPr>
                <w:vanish/>
                <w:szCs w:val="18"/>
              </w:rPr>
              <w:t xml:space="preserve">BR_43.11 </w:t>
            </w:r>
            <w:r w:rsidR="00A90257">
              <w:t xml:space="preserve">The user may print </w:t>
            </w:r>
            <w:r>
              <w:t>blank Caution Tags and BT</w:t>
            </w:r>
            <w:r w:rsidR="004F7C13">
              <w:t>RFs</w:t>
            </w:r>
            <w:r w:rsidR="00A72710">
              <w:t xml:space="preserve"> </w:t>
            </w:r>
            <w:r w:rsidR="00AB6515">
              <w:t>to use in case of downtime.</w:t>
            </w:r>
            <w:r w:rsidR="00AB6515" w:rsidRPr="00812458">
              <w:rPr>
                <w:vanish/>
              </w:rPr>
              <w:t xml:space="preserve"> Task 440471</w:t>
            </w:r>
          </w:p>
          <w:p w14:paraId="6D57056E" w14:textId="77777777" w:rsidR="002A21AE" w:rsidRDefault="002A21AE">
            <w:pPr>
              <w:pStyle w:val="TableText"/>
            </w:pPr>
          </w:p>
          <w:p w14:paraId="3E7848E5" w14:textId="77777777" w:rsidR="002A21AE" w:rsidRDefault="002A21AE">
            <w:pPr>
              <w:pStyle w:val="NotesText"/>
            </w:pPr>
            <w:r>
              <w:rPr>
                <w:rFonts w:cs="Arial"/>
                <w:vanish/>
              </w:rPr>
              <w:t xml:space="preserve">BR_43.12 </w:t>
            </w:r>
            <w:r>
              <w:t>VBECS interrupts or cancels a print job to accommodate the printing of an emergency issue tag. VBECS notifies the user of the number of tags printed and instructs the user to enter a new request to print more tags.</w:t>
            </w:r>
          </w:p>
        </w:tc>
      </w:tr>
    </w:tbl>
    <w:p w14:paraId="09EF50D4" w14:textId="010528D2" w:rsidR="009B102E" w:rsidRDefault="009B102E" w:rsidP="009B102E">
      <w:pPr>
        <w:pStyle w:val="Caption"/>
      </w:pPr>
      <w:bookmarkStart w:id="452" w:name="_Ref127005506"/>
      <w:bookmarkEnd w:id="448"/>
      <w:bookmarkEnd w:id="449"/>
      <w:bookmarkEnd w:id="450"/>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7D1829">
        <w:rPr>
          <w:noProof/>
        </w:rPr>
        <w:t>79</w:t>
      </w:r>
      <w:r w:rsidR="004E20BD">
        <w:rPr>
          <w:noProof/>
        </w:rPr>
        <w:fldChar w:fldCharType="end"/>
      </w:r>
      <w:bookmarkEnd w:id="452"/>
      <w:r>
        <w:t>: Print Backup Forms</w:t>
      </w:r>
    </w:p>
    <w:p w14:paraId="3CFC85A5" w14:textId="77777777" w:rsidR="009B102E" w:rsidRPr="009B102E" w:rsidRDefault="00057948" w:rsidP="009B102E">
      <w:pPr>
        <w:pStyle w:val="BodyText"/>
      </w:pPr>
      <w:r>
        <w:rPr>
          <w:noProof/>
        </w:rPr>
        <w:drawing>
          <wp:inline distT="0" distB="0" distL="0" distR="0" wp14:anchorId="6E52F909" wp14:editId="6F5DF677">
            <wp:extent cx="3546475" cy="2133600"/>
            <wp:effectExtent l="0" t="0" r="0" b="0"/>
            <wp:docPr id="198" name="Picture 198" descr="Example of Print Backup Forms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Picture 198" descr="Example of Print Backup Forms screen capture"/>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3546475" cy="2133600"/>
                    </a:xfrm>
                    <a:prstGeom prst="rect">
                      <a:avLst/>
                    </a:prstGeom>
                    <a:noFill/>
                    <a:ln>
                      <a:noFill/>
                    </a:ln>
                  </pic:spPr>
                </pic:pic>
              </a:graphicData>
            </a:graphic>
          </wp:inline>
        </w:drawing>
      </w:r>
    </w:p>
    <w:p w14:paraId="3E9FE05C" w14:textId="77777777" w:rsidR="002A21AE" w:rsidRDefault="002A21AE">
      <w:pPr>
        <w:pStyle w:val="Heading4"/>
      </w:pPr>
      <w:r>
        <w:t>Print Unit Caution Tag &amp; Transfusion Record Form</w:t>
      </w:r>
    </w:p>
    <w:p w14:paraId="166F05F6" w14:textId="77777777" w:rsidR="002A21AE" w:rsidRDefault="002A21AE" w:rsidP="00FA7E65">
      <w:pPr>
        <w:pStyle w:val="BodyText"/>
      </w:pPr>
      <w:r>
        <w:t xml:space="preserve">The user may need to generate Caution Tags when they were not printed immediately after unit selection and crossmatch data entry, emergency issue, or when there is a problem with the printed Caution Tag. According to local </w:t>
      </w:r>
      <w:r w:rsidR="00A10483">
        <w:t>policy,</w:t>
      </w:r>
      <w:r>
        <w:t xml:space="preserve"> the user selects a current patient order and one or more units to print from the VBECS-generated list of units eligible for immediate transfusion. </w:t>
      </w:r>
    </w:p>
    <w:p w14:paraId="3C446E5B" w14:textId="77777777" w:rsidR="002A21AE" w:rsidRDefault="002A21AE" w:rsidP="00FA7E65">
      <w:pPr>
        <w:pStyle w:val="BodyText"/>
      </w:pPr>
      <w:r>
        <w:t>VBECS does not allow a user to print a Caution Tag unless the unit is satisfactory for immediate issue.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5BC436AE" w14:textId="77777777">
        <w:trPr>
          <w:cantSplit/>
          <w:tblHeader/>
        </w:trPr>
        <w:tc>
          <w:tcPr>
            <w:tcW w:w="3240" w:type="dxa"/>
            <w:shd w:val="pct30" w:color="auto" w:fill="FFFFFF"/>
            <w:vAlign w:val="bottom"/>
          </w:tcPr>
          <w:p w14:paraId="284A778C" w14:textId="77777777" w:rsidR="002A21AE" w:rsidRDefault="002A21AE">
            <w:pPr>
              <w:pStyle w:val="TableText"/>
              <w:rPr>
                <w:b/>
              </w:rPr>
            </w:pPr>
            <w:r>
              <w:rPr>
                <w:b/>
              </w:rPr>
              <w:t>User Action</w:t>
            </w:r>
          </w:p>
        </w:tc>
        <w:tc>
          <w:tcPr>
            <w:tcW w:w="6120" w:type="dxa"/>
            <w:shd w:val="pct30" w:color="auto" w:fill="FFFFFF"/>
            <w:vAlign w:val="bottom"/>
          </w:tcPr>
          <w:p w14:paraId="4BD8EB35" w14:textId="77777777" w:rsidR="002A21AE" w:rsidRDefault="002A21AE">
            <w:pPr>
              <w:pStyle w:val="TableText"/>
              <w:rPr>
                <w:b/>
              </w:rPr>
            </w:pPr>
            <w:r>
              <w:rPr>
                <w:b/>
              </w:rPr>
              <w:t>VBECS</w:t>
            </w:r>
          </w:p>
        </w:tc>
      </w:tr>
      <w:tr w:rsidR="002A21AE" w14:paraId="13FFBFB7" w14:textId="77777777">
        <w:tc>
          <w:tcPr>
            <w:tcW w:w="3240" w:type="dxa"/>
          </w:tcPr>
          <w:p w14:paraId="117296AB" w14:textId="77777777" w:rsidR="002A21AE" w:rsidRDefault="002A21AE">
            <w:pPr>
              <w:pStyle w:val="TableTextNumbers"/>
            </w:pPr>
            <w:r>
              <w:t xml:space="preserve">Select </w:t>
            </w:r>
            <w:r>
              <w:rPr>
                <w:b/>
              </w:rPr>
              <w:t>Patients</w:t>
            </w:r>
            <w:r>
              <w:t xml:space="preserve"> or </w:t>
            </w:r>
            <w:r>
              <w:rPr>
                <w:b/>
                <w:bCs/>
              </w:rPr>
              <w:t>Blood Units</w:t>
            </w:r>
            <w:r>
              <w:t xml:space="preserve"> from the main menu.</w:t>
            </w:r>
          </w:p>
          <w:p w14:paraId="740ACF59" w14:textId="77777777" w:rsidR="002A21AE" w:rsidRDefault="002A21AE">
            <w:pPr>
              <w:pStyle w:val="TableTextNumbersContinued"/>
            </w:pPr>
          </w:p>
          <w:p w14:paraId="5DC17022" w14:textId="77777777" w:rsidR="002A21AE" w:rsidRDefault="002A21AE">
            <w:pPr>
              <w:pStyle w:val="TableTextNumbersContinued"/>
              <w:rPr>
                <w:b/>
                <w:bCs/>
              </w:rPr>
            </w:pPr>
            <w:r>
              <w:t xml:space="preserve">Select </w:t>
            </w:r>
            <w:r>
              <w:rPr>
                <w:b/>
              </w:rPr>
              <w:t>Print Unit Caution Tag &amp; Transfusion Record Form</w:t>
            </w:r>
            <w:r>
              <w:t>.</w:t>
            </w:r>
          </w:p>
        </w:tc>
        <w:tc>
          <w:tcPr>
            <w:tcW w:w="6120" w:type="dxa"/>
          </w:tcPr>
          <w:p w14:paraId="60F7AA48" w14:textId="77777777" w:rsidR="002A21AE" w:rsidRDefault="002A21AE">
            <w:pPr>
              <w:pStyle w:val="TableTextBullet"/>
            </w:pPr>
            <w:r>
              <w:t>Displays options for processing patient-related functions or for processing units.</w:t>
            </w:r>
          </w:p>
          <w:p w14:paraId="184C7582" w14:textId="77777777" w:rsidR="002A21AE" w:rsidRDefault="002A21AE">
            <w:pPr>
              <w:pStyle w:val="TableTextBullet"/>
            </w:pPr>
            <w:r>
              <w:t>Displays the option to select a patient, if one is not already selected.</w:t>
            </w:r>
          </w:p>
          <w:p w14:paraId="4844BE8A" w14:textId="77777777" w:rsidR="002A21AE" w:rsidRDefault="002A21AE">
            <w:pPr>
              <w:pStyle w:val="TableTextNumbersContinued"/>
            </w:pPr>
          </w:p>
          <w:p w14:paraId="104E8476" w14:textId="01623868" w:rsidR="002F53E0" w:rsidRDefault="002F53E0" w:rsidP="002F53E0">
            <w:pPr>
              <w:pStyle w:val="TableText"/>
              <w:rPr>
                <w:b/>
                <w:bCs/>
                <w:szCs w:val="18"/>
              </w:rPr>
            </w:pPr>
            <w:r>
              <w:rPr>
                <w:b/>
                <w:bCs/>
                <w:szCs w:val="18"/>
              </w:rPr>
              <w:t>NOTES</w:t>
            </w:r>
          </w:p>
          <w:p w14:paraId="2F3C4B8E" w14:textId="77777777" w:rsidR="002F53E0" w:rsidRDefault="002F53E0" w:rsidP="002F53E0">
            <w:pPr>
              <w:pStyle w:val="NotesText"/>
            </w:pPr>
          </w:p>
          <w:p w14:paraId="372B5244" w14:textId="77777777" w:rsidR="002F53E0" w:rsidRDefault="002F53E0">
            <w:pPr>
              <w:pStyle w:val="TableTextNumbersContinued"/>
            </w:pPr>
            <w:r w:rsidRPr="002F53E0">
              <w:rPr>
                <w:vanish/>
              </w:rPr>
              <w:t xml:space="preserve">BR_43.23 </w:t>
            </w:r>
            <w:r w:rsidRPr="007246D5">
              <w:t xml:space="preserve">For </w:t>
            </w:r>
            <w:r>
              <w:t xml:space="preserve">patient with </w:t>
            </w:r>
            <w:r w:rsidRPr="007246D5">
              <w:t>an Rh</w:t>
            </w:r>
            <w:r>
              <w:t xml:space="preserve"> that is</w:t>
            </w:r>
            <w:r w:rsidRPr="007246D5">
              <w:t xml:space="preserve"> </w:t>
            </w:r>
            <w:r>
              <w:t>not Positive (</w:t>
            </w:r>
            <w:r w:rsidRPr="007246D5">
              <w:t>neg</w:t>
            </w:r>
            <w:r>
              <w:t>ative, unknown, or inconclusive): W</w:t>
            </w:r>
            <w:r w:rsidRPr="00C26359">
              <w:t>hen</w:t>
            </w:r>
            <w:r w:rsidRPr="00C26359">
              <w:rPr>
                <w:b/>
              </w:rPr>
              <w:t xml:space="preserve"> Rh “Positive” or Rh “Pooled”</w:t>
            </w:r>
            <w:r>
              <w:rPr>
                <w:b/>
              </w:rPr>
              <w:t xml:space="preserve"> </w:t>
            </w:r>
            <w:r w:rsidRPr="00912031">
              <w:rPr>
                <w:rFonts w:cs="Arial"/>
              </w:rPr>
              <w:t xml:space="preserve">units from the WHOLE BLOOD, RED BLOOD CELLS, PLATELETS, and OTHER VBECS component classes are individually entered and confirmed by the user, the system provides an audible alert </w:t>
            </w:r>
            <w:r w:rsidRPr="0019397F">
              <w:t>and displays the alert: "Patient is an Rh negative and the selected unit is Rh positive. Check patient sex and hospital policy before continuing. Proceed?" The user will click OK to continue.</w:t>
            </w:r>
          </w:p>
        </w:tc>
      </w:tr>
      <w:tr w:rsidR="002A21AE" w14:paraId="2EF7DAC9" w14:textId="77777777" w:rsidTr="001A459B">
        <w:trPr>
          <w:cantSplit/>
        </w:trPr>
        <w:tc>
          <w:tcPr>
            <w:tcW w:w="3240" w:type="dxa"/>
          </w:tcPr>
          <w:p w14:paraId="556A8E1F" w14:textId="77777777" w:rsidR="002A21AE" w:rsidRDefault="002A21AE">
            <w:pPr>
              <w:pStyle w:val="TableTextNumbers"/>
            </w:pPr>
            <w:r>
              <w:lastRenderedPageBreak/>
              <w:t xml:space="preserve">Enter the patient name or ID and click </w:t>
            </w:r>
            <w:r>
              <w:rPr>
                <w:b/>
                <w:bCs/>
              </w:rPr>
              <w:t xml:space="preserve">Search </w:t>
            </w:r>
            <w:r>
              <w:t xml:space="preserve">to select a patient, or </w:t>
            </w:r>
          </w:p>
          <w:p w14:paraId="73DB0F67" w14:textId="77777777" w:rsidR="002A21AE" w:rsidRDefault="002A21AE">
            <w:pPr>
              <w:pStyle w:val="TableTextNumbersContinued"/>
            </w:pPr>
          </w:p>
          <w:p w14:paraId="35EAE1F2" w14:textId="07FD4BA0" w:rsidR="002A21AE" w:rsidRDefault="002A21AE">
            <w:pPr>
              <w:pStyle w:val="TableTextNumbersContinued"/>
            </w:pPr>
            <w:r>
              <w:t xml:space="preserve">Click </w:t>
            </w:r>
            <w:r>
              <w:rPr>
                <w:b/>
              </w:rPr>
              <w:t>Search by Unit</w:t>
            </w:r>
            <w:r w:rsidR="00EB7F52">
              <w:rPr>
                <w:b/>
              </w:rPr>
              <w:t xml:space="preserve"> </w:t>
            </w:r>
            <w:r w:rsidR="00CD3C64" w:rsidRPr="00CD3C64">
              <w:t>(</w:t>
            </w:r>
            <w:r w:rsidR="00EE455E">
              <w:t xml:space="preserve">Figure </w:t>
            </w:r>
            <w:r w:rsidR="00EE455E">
              <w:rPr>
                <w:noProof/>
              </w:rPr>
              <w:t>79</w:t>
            </w:r>
            <w:r w:rsidR="00CD3C64" w:rsidRPr="00CD3C64">
              <w:t>)</w:t>
            </w:r>
            <w:r>
              <w:t>.</w:t>
            </w:r>
          </w:p>
          <w:p w14:paraId="0EEAE0C0" w14:textId="77777777" w:rsidR="002A21AE" w:rsidRDefault="002A21AE">
            <w:pPr>
              <w:pStyle w:val="TableTextNumbersContinued"/>
            </w:pPr>
          </w:p>
          <w:p w14:paraId="63BCE570" w14:textId="77777777" w:rsidR="002A21AE" w:rsidRDefault="002A21AE">
            <w:pPr>
              <w:pStyle w:val="TableTextNumbersContinued"/>
            </w:pPr>
            <w:r>
              <w:t>Enter the unit ID and/or product.</w:t>
            </w:r>
          </w:p>
        </w:tc>
        <w:tc>
          <w:tcPr>
            <w:tcW w:w="6120" w:type="dxa"/>
          </w:tcPr>
          <w:p w14:paraId="60BAE2A9" w14:textId="77777777" w:rsidR="002A21AE" w:rsidRDefault="002A21AE">
            <w:pPr>
              <w:pStyle w:val="TableTextBullet"/>
            </w:pPr>
            <w:r>
              <w:t>Requests that the user select a Caution Tag and/or a BTRF to print by unit ID or by patient.</w:t>
            </w:r>
          </w:p>
          <w:p w14:paraId="7C965996" w14:textId="77777777" w:rsidR="002A21AE" w:rsidRDefault="002A21AE">
            <w:pPr>
              <w:pStyle w:val="TableTextBullet"/>
            </w:pPr>
            <w:r>
              <w:t>Displays an informational message, when appropriate.</w:t>
            </w:r>
          </w:p>
        </w:tc>
      </w:tr>
      <w:tr w:rsidR="002A21AE" w14:paraId="5634CFA0" w14:textId="77777777">
        <w:tc>
          <w:tcPr>
            <w:tcW w:w="3240" w:type="dxa"/>
            <w:tcBorders>
              <w:top w:val="single" w:sz="4" w:space="0" w:color="auto"/>
              <w:left w:val="single" w:sz="4" w:space="0" w:color="auto"/>
              <w:bottom w:val="single" w:sz="4" w:space="0" w:color="auto"/>
              <w:right w:val="single" w:sz="4" w:space="0" w:color="auto"/>
            </w:tcBorders>
          </w:tcPr>
          <w:p w14:paraId="75911E45" w14:textId="77777777" w:rsidR="002A21AE" w:rsidRDefault="002A21AE">
            <w:pPr>
              <w:pStyle w:val="TableTextNumbers"/>
            </w:pPr>
            <w:r>
              <w:t>Select a patient, or</w:t>
            </w:r>
          </w:p>
          <w:p w14:paraId="5B432152" w14:textId="77777777" w:rsidR="002A21AE" w:rsidRDefault="002A21AE">
            <w:pPr>
              <w:pStyle w:val="TableTextNumbersContinued"/>
            </w:pPr>
          </w:p>
          <w:p w14:paraId="39622221" w14:textId="77777777" w:rsidR="002A21AE" w:rsidRDefault="002A21AE">
            <w:pPr>
              <w:pStyle w:val="TableTextNumbersContinued"/>
            </w:pPr>
            <w:r>
              <w:t>Select or scan a blood unit.</w:t>
            </w:r>
          </w:p>
        </w:tc>
        <w:tc>
          <w:tcPr>
            <w:tcW w:w="6120" w:type="dxa"/>
            <w:tcBorders>
              <w:top w:val="single" w:sz="4" w:space="0" w:color="auto"/>
              <w:left w:val="single" w:sz="4" w:space="0" w:color="auto"/>
              <w:bottom w:val="single" w:sz="4" w:space="0" w:color="auto"/>
              <w:right w:val="single" w:sz="4" w:space="0" w:color="auto"/>
            </w:tcBorders>
          </w:tcPr>
          <w:p w14:paraId="04C40F94" w14:textId="77777777" w:rsidR="002A21AE" w:rsidRDefault="002A21AE">
            <w:pPr>
              <w:pStyle w:val="TableTextBullet"/>
            </w:pPr>
            <w:r>
              <w:t>Compiles and displays the information associated with the user’s selection.</w:t>
            </w:r>
          </w:p>
          <w:p w14:paraId="70964E18" w14:textId="77777777" w:rsidR="002A21AE" w:rsidRDefault="002A21AE">
            <w:pPr>
              <w:pStyle w:val="TableTextBullet"/>
            </w:pPr>
            <w:r>
              <w:t>Displays the patient’s name, ID, date of birth, the unit ID, and the long product name of units to appear on the Caution Tags.</w:t>
            </w:r>
          </w:p>
          <w:p w14:paraId="513EEACD" w14:textId="77777777" w:rsidR="002A21AE" w:rsidRDefault="002A21AE">
            <w:pPr>
              <w:pStyle w:val="TableTextBullet"/>
            </w:pPr>
            <w:r>
              <w:t xml:space="preserve">Prompts the user to select the units when selecting by patient. </w:t>
            </w:r>
          </w:p>
          <w:p w14:paraId="75C28C84" w14:textId="77777777" w:rsidR="002A21AE" w:rsidRDefault="002A21AE">
            <w:pPr>
              <w:pStyle w:val="TableTextBullet"/>
            </w:pPr>
            <w:r>
              <w:t>Allows the user to select and deselect blood units to print.</w:t>
            </w:r>
          </w:p>
          <w:p w14:paraId="4395A02F" w14:textId="07A76C87" w:rsidR="002A21AE" w:rsidRDefault="00896F17">
            <w:pPr>
              <w:pStyle w:val="TableTextBullet"/>
              <w:ind w:left="0" w:firstLine="0"/>
            </w:pPr>
            <w:r w:rsidRPr="00896F17">
              <w:rPr>
                <w:rStyle w:val="BullhornChar"/>
              </w:rPr>
              <w:t></w:t>
            </w:r>
            <w:r w:rsidRPr="00C51C45">
              <w:rPr>
                <w:rFonts w:ascii="Webdings" w:hAnsi="Webdings"/>
                <w:szCs w:val="22"/>
              </w:rPr>
              <w:t></w:t>
            </w:r>
            <w:r>
              <w:rPr>
                <w:rFonts w:cs="Arial"/>
                <w:szCs w:val="22"/>
              </w:rPr>
              <w:t>See</w:t>
            </w:r>
            <w:r w:rsidR="002A21AE">
              <w:rPr>
                <w:rFonts w:cs="Arial"/>
                <w:szCs w:val="22"/>
              </w:rPr>
              <w:t xml:space="preserve"> </w:t>
            </w:r>
            <w:r w:rsidR="00EE455E">
              <w:t xml:space="preserve">Table </w:t>
            </w:r>
            <w:r w:rsidR="00EE455E">
              <w:rPr>
                <w:noProof/>
              </w:rPr>
              <w:t>9</w:t>
            </w:r>
            <w:r w:rsidR="002A21AE">
              <w:rPr>
                <w:rFonts w:cs="Arial"/>
                <w:szCs w:val="22"/>
              </w:rPr>
              <w:t xml:space="preserve"> for alerts that may occur during this option.</w:t>
            </w:r>
          </w:p>
          <w:p w14:paraId="5E2F0B35" w14:textId="77777777" w:rsidR="002A21AE" w:rsidRDefault="002A21AE">
            <w:pPr>
              <w:pStyle w:val="TableText"/>
              <w:rPr>
                <w:b/>
                <w:bCs/>
                <w:szCs w:val="18"/>
              </w:rPr>
            </w:pPr>
          </w:p>
          <w:p w14:paraId="4DCDCBD1" w14:textId="301AA23B" w:rsidR="002A21AE" w:rsidRDefault="002A21AE">
            <w:pPr>
              <w:pStyle w:val="TableText"/>
              <w:rPr>
                <w:b/>
                <w:bCs/>
                <w:szCs w:val="18"/>
              </w:rPr>
            </w:pPr>
            <w:r>
              <w:rPr>
                <w:b/>
                <w:bCs/>
                <w:szCs w:val="18"/>
              </w:rPr>
              <w:t>NOTES</w:t>
            </w:r>
          </w:p>
          <w:p w14:paraId="6B10E96A" w14:textId="77777777" w:rsidR="002A21AE" w:rsidRDefault="002A21AE">
            <w:pPr>
              <w:pStyle w:val="NotesText"/>
            </w:pPr>
          </w:p>
          <w:p w14:paraId="02D77535" w14:textId="77777777" w:rsidR="001710A2" w:rsidRDefault="001710A2" w:rsidP="001710A2">
            <w:pPr>
              <w:pStyle w:val="NotesText"/>
            </w:pPr>
            <w:r>
              <w:rPr>
                <w:rFonts w:cs="Arial"/>
                <w:vanish/>
              </w:rPr>
              <w:t xml:space="preserve">BR_43.21 </w:t>
            </w:r>
            <w:r>
              <w:t>VBECS retrieves the most recent crossmatch result (original or repeat) to determine unit availability and compatibility status to allow printing the Caution Tag and/or BTRF and to allow the unit to be issued.</w:t>
            </w:r>
          </w:p>
          <w:p w14:paraId="1EB822BC" w14:textId="77777777" w:rsidR="001710A2" w:rsidRDefault="001710A2" w:rsidP="001710A2">
            <w:pPr>
              <w:pStyle w:val="NotesText"/>
            </w:pPr>
          </w:p>
          <w:p w14:paraId="19194DC9" w14:textId="77777777" w:rsidR="00AE36CC" w:rsidRDefault="00AE36CC" w:rsidP="00AE36CC">
            <w:pPr>
              <w:pStyle w:val="NotesText"/>
              <w:rPr>
                <w:szCs w:val="18"/>
              </w:rPr>
            </w:pPr>
            <w:r w:rsidRPr="00496E08">
              <w:rPr>
                <w:rFonts w:cs="Arial"/>
                <w:vanish/>
                <w:szCs w:val="18"/>
              </w:rPr>
              <w:t>BR_43.20</w:t>
            </w:r>
            <w:r w:rsidRPr="00496E08">
              <w:rPr>
                <w:vanish/>
                <w:szCs w:val="18"/>
              </w:rPr>
              <w:t xml:space="preserve"> </w:t>
            </w:r>
            <w:r w:rsidRPr="00496E08">
              <w:rPr>
                <w:szCs w:val="18"/>
              </w:rPr>
              <w:t xml:space="preserve">When </w:t>
            </w:r>
            <w:r w:rsidR="002249B4">
              <w:rPr>
                <w:szCs w:val="18"/>
              </w:rPr>
              <w:t>the “Emergency Issue” indicator is present and/or the required ABO/Rh specimen testing is incomplete or inconclusive, enforce the following:</w:t>
            </w:r>
          </w:p>
          <w:p w14:paraId="7AC9C712" w14:textId="77777777" w:rsidR="002249B4" w:rsidRDefault="002249B4" w:rsidP="002249B4">
            <w:pPr>
              <w:pStyle w:val="NotesTextBullet"/>
            </w:pPr>
            <w:r>
              <w:t xml:space="preserve">For RBC or WB order: </w:t>
            </w:r>
          </w:p>
          <w:p w14:paraId="29E70071" w14:textId="77777777" w:rsidR="002249B4" w:rsidRDefault="002249B4" w:rsidP="002249B4">
            <w:pPr>
              <w:pStyle w:val="NotesTextBullet1"/>
            </w:pPr>
            <w:r>
              <w:t>Group O, Rh positive or O Rh negative RBC</w:t>
            </w:r>
          </w:p>
          <w:p w14:paraId="1E08AF1E" w14:textId="77777777" w:rsidR="002249B4" w:rsidRDefault="002249B4" w:rsidP="002249B4">
            <w:pPr>
              <w:pStyle w:val="NotesTextBullet1"/>
            </w:pPr>
            <w:r>
              <w:t>WHOLE BLOOD is not selectable</w:t>
            </w:r>
          </w:p>
          <w:p w14:paraId="4E32D0FD" w14:textId="77777777" w:rsidR="002249B4" w:rsidRDefault="002249B4" w:rsidP="002249B4">
            <w:pPr>
              <w:pStyle w:val="NotesTextBullet"/>
            </w:pPr>
            <w:r>
              <w:t>For FFP order:</w:t>
            </w:r>
          </w:p>
          <w:p w14:paraId="0E885181" w14:textId="77777777" w:rsidR="002249B4" w:rsidRDefault="002249B4" w:rsidP="002249B4">
            <w:pPr>
              <w:pStyle w:val="NotesTextBullet1"/>
            </w:pPr>
            <w:r>
              <w:t>Group AB, Rh positive or Rh negative, or not specified.</w:t>
            </w:r>
          </w:p>
          <w:p w14:paraId="1EAB824E" w14:textId="77777777" w:rsidR="002249B4" w:rsidRDefault="002249B4" w:rsidP="002249B4">
            <w:pPr>
              <w:pStyle w:val="NotesTextBullet"/>
            </w:pPr>
            <w:r>
              <w:t>For PLT order:</w:t>
            </w:r>
          </w:p>
          <w:p w14:paraId="34B2A5E8" w14:textId="77777777" w:rsidR="002249B4" w:rsidRDefault="002249B4" w:rsidP="002249B4">
            <w:pPr>
              <w:pStyle w:val="NotesTextBullet1"/>
            </w:pPr>
            <w:r>
              <w:t>All units with &lt; 2 ML RBC containment are available</w:t>
            </w:r>
          </w:p>
          <w:p w14:paraId="44937844" w14:textId="77777777" w:rsidR="002249B4" w:rsidRDefault="002249B4" w:rsidP="002249B4">
            <w:pPr>
              <w:pStyle w:val="NotesTextBullet1"/>
            </w:pPr>
            <w:r>
              <w:t>Units</w:t>
            </w:r>
            <w:r w:rsidRPr="001A5BC5">
              <w:t xml:space="preserve"> with </w:t>
            </w:r>
            <w:r w:rsidRPr="001A5BC5">
              <w:rPr>
                <w:u w:val="single"/>
              </w:rPr>
              <w:t>&gt;</w:t>
            </w:r>
            <w:r w:rsidRPr="001A5BC5">
              <w:t xml:space="preserve"> 2 mL RBC contamination are not available</w:t>
            </w:r>
          </w:p>
          <w:p w14:paraId="6879B160" w14:textId="77777777" w:rsidR="002249B4" w:rsidRDefault="002249B4" w:rsidP="002249B4">
            <w:pPr>
              <w:pStyle w:val="NotesTextBullet"/>
            </w:pPr>
            <w:r>
              <w:t>For CRYO order:</w:t>
            </w:r>
          </w:p>
          <w:p w14:paraId="1F96A690" w14:textId="77777777" w:rsidR="002249B4" w:rsidRDefault="002249B4" w:rsidP="002249B4">
            <w:pPr>
              <w:pStyle w:val="NotesTextBullet1"/>
            </w:pPr>
            <w:r>
              <w:t>All available units are selectable</w:t>
            </w:r>
          </w:p>
          <w:p w14:paraId="7180B15C" w14:textId="77777777" w:rsidR="002249B4" w:rsidRDefault="002249B4" w:rsidP="002249B4">
            <w:pPr>
              <w:pStyle w:val="NotesTextBullet1"/>
              <w:numPr>
                <w:ilvl w:val="0"/>
                <w:numId w:val="0"/>
              </w:numPr>
              <w:ind w:left="1296" w:hanging="288"/>
            </w:pPr>
            <w:r>
              <w:t>For OTHER order:</w:t>
            </w:r>
          </w:p>
          <w:p w14:paraId="71210876" w14:textId="77777777" w:rsidR="002249B4" w:rsidRDefault="002249B4" w:rsidP="002249B4">
            <w:pPr>
              <w:pStyle w:val="NotesTextBullet1"/>
            </w:pPr>
            <w:r>
              <w:t>All units with &lt; 2 mL contamination are available</w:t>
            </w:r>
          </w:p>
          <w:p w14:paraId="1B4E8264" w14:textId="77777777" w:rsidR="002249B4" w:rsidRDefault="002249B4" w:rsidP="002249B4">
            <w:pPr>
              <w:pStyle w:val="NotesTextBullet1"/>
              <w:rPr>
                <w:szCs w:val="18"/>
              </w:rPr>
            </w:pPr>
            <w:r>
              <w:t xml:space="preserve">Units with </w:t>
            </w:r>
            <w:r w:rsidRPr="001A5BC5">
              <w:rPr>
                <w:u w:val="single"/>
              </w:rPr>
              <w:t>&gt;</w:t>
            </w:r>
            <w:r w:rsidRPr="001A5BC5">
              <w:t xml:space="preserve"> 2 mL RBC contamination are not available</w:t>
            </w:r>
          </w:p>
          <w:p w14:paraId="2DED02FB" w14:textId="77777777" w:rsidR="002249B4" w:rsidRPr="00496E08" w:rsidRDefault="002249B4" w:rsidP="00AE36CC">
            <w:pPr>
              <w:pStyle w:val="NotesText"/>
              <w:rPr>
                <w:szCs w:val="18"/>
              </w:rPr>
            </w:pPr>
          </w:p>
          <w:p w14:paraId="78982A0D" w14:textId="77777777" w:rsidR="001710A2" w:rsidRPr="00496E08" w:rsidRDefault="00496E08" w:rsidP="001710A2">
            <w:pPr>
              <w:pStyle w:val="NotesText"/>
              <w:rPr>
                <w:szCs w:val="18"/>
              </w:rPr>
            </w:pPr>
            <w:r w:rsidRPr="00496E08">
              <w:rPr>
                <w:vanish/>
                <w:szCs w:val="18"/>
              </w:rPr>
              <w:t xml:space="preserve">BR_43.13 </w:t>
            </w:r>
            <w:r w:rsidRPr="00496E08">
              <w:rPr>
                <w:szCs w:val="18"/>
              </w:rPr>
              <w:t xml:space="preserve">When a user selects a Caution Tag and/or BTRF from the Blood Unit Menu and the units are assigned or </w:t>
            </w:r>
            <w:r w:rsidR="00A2206D">
              <w:rPr>
                <w:szCs w:val="18"/>
              </w:rPr>
              <w:t xml:space="preserve">have been assigned and/or </w:t>
            </w:r>
            <w:r w:rsidRPr="00496E08">
              <w:rPr>
                <w:szCs w:val="18"/>
              </w:rPr>
              <w:t>crossmatched to multiple patients, the selected form may be printed for only one patient during that session. The message will display that the form cannot be printed again for another assigned patient. VBECS must be closed and re-opened to print a tag for one of the other patients. If you need to print tags on the same unit for multiple assigned patients, access the option from the Patient Menu.</w:t>
            </w:r>
            <w:r w:rsidR="00A2206D">
              <w:rPr>
                <w:szCs w:val="18"/>
              </w:rPr>
              <w:t xml:space="preserve"> </w:t>
            </w:r>
            <w:r w:rsidR="00A2206D" w:rsidRPr="00A2206D">
              <w:rPr>
                <w:vanish/>
                <w:szCs w:val="18"/>
              </w:rPr>
              <w:t>INC000000997296</w:t>
            </w:r>
          </w:p>
          <w:p w14:paraId="009230E2" w14:textId="77777777" w:rsidR="00496E08" w:rsidRDefault="00496E08" w:rsidP="001710A2">
            <w:pPr>
              <w:pStyle w:val="NotesText"/>
            </w:pPr>
          </w:p>
          <w:p w14:paraId="036A00D5" w14:textId="77777777" w:rsidR="001710A2" w:rsidRDefault="001710A2" w:rsidP="001710A2">
            <w:pPr>
              <w:pStyle w:val="NotesText"/>
            </w:pPr>
            <w:r>
              <w:rPr>
                <w:rFonts w:cs="Arial"/>
                <w:vanish/>
              </w:rPr>
              <w:t xml:space="preserve">BR_43.01 </w:t>
            </w:r>
            <w:r>
              <w:t>When VBECS searches for units available for a patient name, it makes available for printing only units considered available for issue (standard processing or emergency issue).</w:t>
            </w:r>
          </w:p>
          <w:p w14:paraId="14AE9DBC" w14:textId="77777777" w:rsidR="001710A2" w:rsidRDefault="001710A2" w:rsidP="001710A2">
            <w:pPr>
              <w:pStyle w:val="NotesText"/>
            </w:pPr>
          </w:p>
          <w:p w14:paraId="09E5F6AC" w14:textId="7F0BC190" w:rsidR="002A21AE" w:rsidRDefault="001710A2" w:rsidP="001710A2">
            <w:pPr>
              <w:pStyle w:val="NotesText"/>
            </w:pPr>
            <w:r>
              <w:t xml:space="preserve">See </w:t>
            </w:r>
            <w:r w:rsidR="00EE455E">
              <w:t xml:space="preserve">Appendix </w:t>
            </w:r>
            <w:r w:rsidR="00EE455E">
              <w:rPr>
                <w:noProof/>
              </w:rPr>
              <w:t>B</w:t>
            </w:r>
            <w:r>
              <w:t xml:space="preserve">: </w:t>
            </w:r>
            <w:r w:rsidR="00EE455E">
              <w:t xml:space="preserve">Table </w:t>
            </w:r>
            <w:r w:rsidR="00EE455E">
              <w:rPr>
                <w:noProof/>
              </w:rPr>
              <w:t>22</w:t>
            </w:r>
            <w:r w:rsidR="00EE455E">
              <w:t xml:space="preserve">: </w:t>
            </w:r>
            <w:r w:rsidR="00EE455E">
              <w:rPr>
                <w:vanish/>
              </w:rPr>
              <w:t xml:space="preserve">TT_3.05 </w:t>
            </w:r>
            <w:r w:rsidR="00EE455E">
              <w:t>Rules for Electronic and Serologic Crossmatch</w:t>
            </w:r>
            <w:r w:rsidR="004E5EEE">
              <w:t xml:space="preserve"> </w:t>
            </w:r>
            <w:r>
              <w:rPr>
                <w:vanish/>
              </w:rPr>
              <w:t>and BR_5.03</w:t>
            </w:r>
            <w:r>
              <w:t xml:space="preserve">. The user may select only active units and those not in an inactive or final status. See </w:t>
            </w:r>
            <w:r w:rsidR="00EE455E">
              <w:t xml:space="preserve">Appendix </w:t>
            </w:r>
            <w:r w:rsidR="00EE455E">
              <w:rPr>
                <w:noProof/>
              </w:rPr>
              <w:t>B</w:t>
            </w:r>
            <w:r>
              <w:t xml:space="preserve">: </w:t>
            </w:r>
            <w:r w:rsidR="00EE455E">
              <w:t xml:space="preserve">Figure </w:t>
            </w:r>
            <w:r w:rsidR="00EE455E">
              <w:rPr>
                <w:noProof/>
              </w:rPr>
              <w:t>118</w:t>
            </w:r>
            <w:r>
              <w:t xml:space="preserve">: </w:t>
            </w:r>
            <w:r>
              <w:rPr>
                <w:vanish/>
                <w:szCs w:val="18"/>
              </w:rPr>
              <w:t xml:space="preserve">TT_27.01 </w:t>
            </w:r>
            <w:r>
              <w:t>Unit Status Flowchart.</w:t>
            </w:r>
          </w:p>
        </w:tc>
      </w:tr>
      <w:tr w:rsidR="002A21AE" w14:paraId="64892D3C" w14:textId="77777777">
        <w:tc>
          <w:tcPr>
            <w:tcW w:w="3240" w:type="dxa"/>
          </w:tcPr>
          <w:p w14:paraId="430E006D" w14:textId="77777777" w:rsidR="002A21AE" w:rsidRDefault="002A21AE">
            <w:pPr>
              <w:pStyle w:val="TableTextNumbers"/>
            </w:pPr>
            <w:r>
              <w:lastRenderedPageBreak/>
              <w:t>Acknowledge the selected patient and blood units for printing.</w:t>
            </w:r>
          </w:p>
          <w:p w14:paraId="0B3336B5" w14:textId="77777777" w:rsidR="002A21AE" w:rsidRDefault="002A21AE">
            <w:pPr>
              <w:pStyle w:val="TableTextNumbersContinued"/>
              <w:rPr>
                <w:b/>
                <w:bCs/>
              </w:rPr>
            </w:pPr>
          </w:p>
          <w:p w14:paraId="46C680D1" w14:textId="77777777" w:rsidR="002A21AE" w:rsidRDefault="002A21AE">
            <w:pPr>
              <w:pStyle w:val="TableTextNumbersContinued"/>
            </w:pPr>
            <w:r>
              <w:t xml:space="preserve">Click </w:t>
            </w:r>
            <w:r>
              <w:rPr>
                <w:b/>
              </w:rPr>
              <w:t>Print Unit Caution Tag</w:t>
            </w:r>
            <w:r>
              <w:t xml:space="preserve">, </w:t>
            </w:r>
            <w:r>
              <w:rPr>
                <w:b/>
              </w:rPr>
              <w:t>Print Transfusion Record Form</w:t>
            </w:r>
            <w:r>
              <w:t xml:space="preserve">, or </w:t>
            </w:r>
            <w:r>
              <w:rPr>
                <w:b/>
              </w:rPr>
              <w:t>Print Both</w:t>
            </w:r>
            <w:r>
              <w:t>.</w:t>
            </w:r>
          </w:p>
          <w:p w14:paraId="48489B35" w14:textId="77777777" w:rsidR="002A21AE" w:rsidRDefault="002A21AE">
            <w:pPr>
              <w:pStyle w:val="TableTextNumbersContinued"/>
            </w:pPr>
          </w:p>
          <w:p w14:paraId="24770C75" w14:textId="77777777" w:rsidR="002A21AE" w:rsidRDefault="002A21AE">
            <w:pPr>
              <w:pStyle w:val="TableTextNumbersContinued"/>
            </w:pPr>
            <w:r>
              <w:t xml:space="preserve">Click </w:t>
            </w:r>
            <w:r>
              <w:rPr>
                <w:b/>
              </w:rPr>
              <w:t>OK</w:t>
            </w:r>
            <w:r>
              <w:t xml:space="preserve"> to confirm and exit.</w:t>
            </w:r>
          </w:p>
        </w:tc>
        <w:tc>
          <w:tcPr>
            <w:tcW w:w="6120" w:type="dxa"/>
          </w:tcPr>
          <w:p w14:paraId="0625B3EF" w14:textId="77777777" w:rsidR="002A21AE" w:rsidRDefault="002A21AE">
            <w:pPr>
              <w:pStyle w:val="TableTextBullet"/>
            </w:pPr>
            <w:r>
              <w:t>Displays an option to print the Caution Tag and BTRF for units with a patient assignment.</w:t>
            </w:r>
          </w:p>
          <w:p w14:paraId="6F74799D" w14:textId="77777777" w:rsidR="002A21AE" w:rsidRDefault="002A21AE">
            <w:pPr>
              <w:pStyle w:val="TableTextBullet"/>
            </w:pPr>
            <w:r>
              <w:rPr>
                <w:rFonts w:cs="Arial"/>
                <w:vanish/>
              </w:rPr>
              <w:t xml:space="preserve">BR_43.05 </w:t>
            </w:r>
            <w:r>
              <w:t xml:space="preserve">Generates a separate Caution Tag and BTRF for each blood unit. </w:t>
            </w:r>
          </w:p>
          <w:p w14:paraId="626A792A" w14:textId="77777777" w:rsidR="002A21AE" w:rsidRDefault="002A21AE">
            <w:pPr>
              <w:pStyle w:val="TableText"/>
            </w:pPr>
          </w:p>
          <w:p w14:paraId="29B72749" w14:textId="08CE90F9" w:rsidR="002A21AE" w:rsidRDefault="002A21AE">
            <w:pPr>
              <w:pStyle w:val="TableText"/>
              <w:rPr>
                <w:b/>
                <w:bCs/>
                <w:szCs w:val="18"/>
              </w:rPr>
            </w:pPr>
            <w:r>
              <w:rPr>
                <w:b/>
                <w:bCs/>
                <w:szCs w:val="18"/>
              </w:rPr>
              <w:t>NOTES</w:t>
            </w:r>
          </w:p>
          <w:p w14:paraId="726AEBFD" w14:textId="0845F029" w:rsidR="002A21AE" w:rsidRPr="002B3455" w:rsidRDefault="006911FF" w:rsidP="00202A1E">
            <w:pPr>
              <w:pStyle w:val="NotesText"/>
            </w:pPr>
            <w:r w:rsidRPr="00737DBB">
              <w:t xml:space="preserve">If a VBECS system error occurs when a Caution Tag is requested, the printer may not be correctly configured. Configure the printer as detailed in the </w:t>
            </w:r>
            <w:r w:rsidR="00B03BDD" w:rsidRPr="00B03BDD">
              <w:rPr>
                <w:i/>
              </w:rPr>
              <w:t>VBECS 2.</w:t>
            </w:r>
            <w:r w:rsidR="00397587">
              <w:rPr>
                <w:i/>
              </w:rPr>
              <w:t>4.0</w:t>
            </w:r>
            <w:r w:rsidR="00392837" w:rsidRPr="00B03BDD">
              <w:rPr>
                <w:i/>
              </w:rPr>
              <w:t xml:space="preserve"> Technical Manual-Security Guide</w:t>
            </w:r>
            <w:r w:rsidR="00E36641">
              <w:t>,</w:t>
            </w:r>
            <w:r w:rsidR="00392837" w:rsidRPr="002B3455">
              <w:t xml:space="preserve"> </w:t>
            </w:r>
            <w:r w:rsidRPr="002B3455">
              <w:t>with subsequent</w:t>
            </w:r>
            <w:r w:rsidR="00392837" w:rsidRPr="002B3455">
              <w:t xml:space="preserve"> testing</w:t>
            </w:r>
            <w:r w:rsidRPr="002B3455">
              <w:t>.</w:t>
            </w:r>
            <w:r w:rsidR="00730CAA">
              <w:t xml:space="preserve"> </w:t>
            </w:r>
            <w:r w:rsidR="00730CAA" w:rsidRPr="00730CAA">
              <w:rPr>
                <w:vanish/>
              </w:rPr>
              <w:t>Defect 208592</w:t>
            </w:r>
          </w:p>
          <w:p w14:paraId="0AEC4C43" w14:textId="77777777" w:rsidR="00392837" w:rsidRDefault="00392837">
            <w:pPr>
              <w:pStyle w:val="NotesText"/>
            </w:pPr>
          </w:p>
          <w:p w14:paraId="263669DA" w14:textId="77777777" w:rsidR="002A21AE" w:rsidRDefault="002A21AE">
            <w:pPr>
              <w:pStyle w:val="NotesText"/>
            </w:pPr>
            <w:r>
              <w:rPr>
                <w:rFonts w:cs="Arial"/>
                <w:vanish/>
              </w:rPr>
              <w:t xml:space="preserve">BR_43.04 </w:t>
            </w:r>
            <w:r>
              <w:t xml:space="preserve">When a Caution Tag or BTRF is printed for an emergency-issued unit, “Emergency Issue” is included on the form. </w:t>
            </w:r>
          </w:p>
          <w:p w14:paraId="10879CED" w14:textId="77777777" w:rsidR="002A21AE" w:rsidRDefault="002A21AE">
            <w:pPr>
              <w:pStyle w:val="NotesText"/>
            </w:pPr>
          </w:p>
          <w:p w14:paraId="3D9BE393" w14:textId="77777777" w:rsidR="002A21AE" w:rsidRDefault="002A21AE">
            <w:pPr>
              <w:pStyle w:val="NotesText"/>
            </w:pPr>
            <w:r>
              <w:t>The recipient ABO/Rh prints as “</w:t>
            </w:r>
            <w:r w:rsidR="00F81F1E">
              <w:t>Unk</w:t>
            </w:r>
            <w:r>
              <w:t>”</w:t>
            </w:r>
            <w:r w:rsidR="00F81F1E">
              <w:t xml:space="preserve"> or “Unknown”</w:t>
            </w:r>
            <w:r>
              <w:t xml:space="preserve"> during emergency issue when no current specimen results are on file; VBECS may </w:t>
            </w:r>
            <w:r>
              <w:rPr>
                <w:iCs/>
              </w:rPr>
              <w:t>not</w:t>
            </w:r>
            <w:r>
              <w:t xml:space="preserve"> use a historic record blood type (from any source) for the typing printed on the tag/form.</w:t>
            </w:r>
          </w:p>
          <w:p w14:paraId="20765014" w14:textId="77777777" w:rsidR="002A21AE" w:rsidRDefault="002A21AE">
            <w:pPr>
              <w:pStyle w:val="NotesText"/>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35"/>
              <w:gridCol w:w="2705"/>
            </w:tblGrid>
            <w:tr w:rsidR="002A21AE" w14:paraId="29093EB6" w14:textId="77777777">
              <w:trPr>
                <w:tblHeader/>
              </w:trPr>
              <w:tc>
                <w:tcPr>
                  <w:tcW w:w="2335" w:type="dxa"/>
                  <w:shd w:val="clear" w:color="auto" w:fill="B3B3B3"/>
                  <w:vAlign w:val="bottom"/>
                </w:tcPr>
                <w:p w14:paraId="75EAC24A" w14:textId="77777777" w:rsidR="002A21AE" w:rsidRDefault="002A21AE">
                  <w:pPr>
                    <w:pStyle w:val="TableText"/>
                    <w:jc w:val="center"/>
                    <w:rPr>
                      <w:b/>
                    </w:rPr>
                  </w:pPr>
                  <w:r>
                    <w:rPr>
                      <w:b/>
                    </w:rPr>
                    <w:t>Compatibility Interpretation</w:t>
                  </w:r>
                </w:p>
              </w:tc>
              <w:tc>
                <w:tcPr>
                  <w:tcW w:w="2705" w:type="dxa"/>
                  <w:shd w:val="clear" w:color="auto" w:fill="B3B3B3"/>
                  <w:vAlign w:val="bottom"/>
                </w:tcPr>
                <w:p w14:paraId="4A2C8579" w14:textId="77777777" w:rsidR="002A21AE" w:rsidRDefault="002A21AE">
                  <w:pPr>
                    <w:pStyle w:val="TableText"/>
                    <w:jc w:val="center"/>
                    <w:rPr>
                      <w:b/>
                    </w:rPr>
                  </w:pPr>
                  <w:r>
                    <w:rPr>
                      <w:b/>
                    </w:rPr>
                    <w:t>Text on BTRF</w:t>
                  </w:r>
                </w:p>
              </w:tc>
            </w:tr>
            <w:tr w:rsidR="002A21AE" w14:paraId="57743577" w14:textId="77777777">
              <w:tc>
                <w:tcPr>
                  <w:tcW w:w="2335" w:type="dxa"/>
                  <w:vAlign w:val="bottom"/>
                </w:tcPr>
                <w:p w14:paraId="62B79818" w14:textId="77777777" w:rsidR="002A21AE" w:rsidRDefault="002A21AE">
                  <w:pPr>
                    <w:pStyle w:val="TableText"/>
                  </w:pPr>
                  <w:r>
                    <w:t>Crossmatch</w:t>
                  </w:r>
                </w:p>
              </w:tc>
              <w:tc>
                <w:tcPr>
                  <w:tcW w:w="2705" w:type="dxa"/>
                  <w:vAlign w:val="bottom"/>
                </w:tcPr>
                <w:p w14:paraId="3852B19A" w14:textId="77777777" w:rsidR="002A21AE" w:rsidRDefault="000664AE">
                  <w:pPr>
                    <w:pStyle w:val="TableText"/>
                  </w:pPr>
                  <w:r>
                    <w:t>TESTING INCOMPLETE</w:t>
                  </w:r>
                </w:p>
              </w:tc>
            </w:tr>
            <w:tr w:rsidR="002A21AE" w14:paraId="4EE02B21" w14:textId="77777777">
              <w:tc>
                <w:tcPr>
                  <w:tcW w:w="2335" w:type="dxa"/>
                  <w:vAlign w:val="bottom"/>
                </w:tcPr>
                <w:p w14:paraId="2033EBE0" w14:textId="77777777" w:rsidR="002A21AE" w:rsidRDefault="002A21AE">
                  <w:pPr>
                    <w:pStyle w:val="TableText"/>
                  </w:pPr>
                  <w:r>
                    <w:t>Crossmatch Not Required</w:t>
                  </w:r>
                </w:p>
              </w:tc>
              <w:tc>
                <w:tcPr>
                  <w:tcW w:w="2705" w:type="dxa"/>
                  <w:vAlign w:val="bottom"/>
                </w:tcPr>
                <w:p w14:paraId="02ECBB75" w14:textId="77777777" w:rsidR="002A21AE" w:rsidRDefault="002A21AE">
                  <w:pPr>
                    <w:pStyle w:val="TableText"/>
                  </w:pPr>
                  <w:r>
                    <w:t>Not Required</w:t>
                  </w:r>
                </w:p>
              </w:tc>
            </w:tr>
          </w:tbl>
          <w:p w14:paraId="08E3709A" w14:textId="77777777" w:rsidR="002A21AE" w:rsidRDefault="002A21AE">
            <w:pPr>
              <w:pStyle w:val="NotesText"/>
            </w:pPr>
          </w:p>
          <w:p w14:paraId="186385BC" w14:textId="77777777" w:rsidR="002A21AE" w:rsidRDefault="002A21AE">
            <w:pPr>
              <w:pStyle w:val="NotesText"/>
            </w:pPr>
            <w:r>
              <w:t>VBECS prints “Emergency Issue” in the TR section of the form.</w:t>
            </w:r>
          </w:p>
          <w:p w14:paraId="3D0E4335" w14:textId="77777777" w:rsidR="002A21AE" w:rsidRDefault="002A21AE">
            <w:pPr>
              <w:pStyle w:val="NotesText"/>
              <w:ind w:left="0"/>
            </w:pPr>
          </w:p>
          <w:p w14:paraId="67350DC9" w14:textId="77777777" w:rsidR="002A21AE" w:rsidRDefault="002A21AE">
            <w:pPr>
              <w:pStyle w:val="NotesText"/>
            </w:pPr>
            <w:r>
              <w:rPr>
                <w:rFonts w:cs="Arial"/>
                <w:vanish/>
              </w:rPr>
              <w:t xml:space="preserve">BR_43.03 </w:t>
            </w:r>
            <w:r>
              <w:t>The text that appears in the compatibility section is based on the crossmatch interpretation applied.</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35"/>
              <w:gridCol w:w="2705"/>
            </w:tblGrid>
            <w:tr w:rsidR="00B752FE" w14:paraId="18D8BF46" w14:textId="77777777" w:rsidTr="00DD6A38">
              <w:trPr>
                <w:tblHeader/>
              </w:trPr>
              <w:tc>
                <w:tcPr>
                  <w:tcW w:w="2335" w:type="dxa"/>
                  <w:shd w:val="clear" w:color="auto" w:fill="B3B3B3"/>
                  <w:vAlign w:val="bottom"/>
                </w:tcPr>
                <w:p w14:paraId="795EC76F" w14:textId="77777777" w:rsidR="00B752FE" w:rsidRDefault="00B752FE" w:rsidP="00DD6A38">
                  <w:pPr>
                    <w:pStyle w:val="TableText"/>
                    <w:jc w:val="center"/>
                    <w:rPr>
                      <w:b/>
                    </w:rPr>
                  </w:pPr>
                  <w:r>
                    <w:rPr>
                      <w:b/>
                    </w:rPr>
                    <w:t>Compatibility Interpretation</w:t>
                  </w:r>
                </w:p>
              </w:tc>
              <w:tc>
                <w:tcPr>
                  <w:tcW w:w="2705" w:type="dxa"/>
                  <w:shd w:val="clear" w:color="auto" w:fill="B3B3B3"/>
                  <w:vAlign w:val="bottom"/>
                </w:tcPr>
                <w:p w14:paraId="4415F159" w14:textId="77777777" w:rsidR="00B752FE" w:rsidRDefault="00B752FE" w:rsidP="00DD6A38">
                  <w:pPr>
                    <w:pStyle w:val="TableText"/>
                    <w:jc w:val="center"/>
                    <w:rPr>
                      <w:b/>
                    </w:rPr>
                  </w:pPr>
                  <w:r>
                    <w:rPr>
                      <w:b/>
                    </w:rPr>
                    <w:t>Text on BTRF</w:t>
                  </w:r>
                </w:p>
              </w:tc>
            </w:tr>
            <w:tr w:rsidR="00B752FE" w14:paraId="7DD01322" w14:textId="77777777" w:rsidTr="00DD6A38">
              <w:tc>
                <w:tcPr>
                  <w:tcW w:w="2335" w:type="dxa"/>
                  <w:vAlign w:val="bottom"/>
                </w:tcPr>
                <w:p w14:paraId="4E2E8F09" w14:textId="77777777" w:rsidR="00B752FE" w:rsidRDefault="00B752FE" w:rsidP="00DD6A38">
                  <w:pPr>
                    <w:pStyle w:val="TableText"/>
                  </w:pPr>
                  <w:r>
                    <w:t>Crossmatch Compatible</w:t>
                  </w:r>
                </w:p>
              </w:tc>
              <w:tc>
                <w:tcPr>
                  <w:tcW w:w="2705" w:type="dxa"/>
                  <w:vAlign w:val="bottom"/>
                </w:tcPr>
                <w:p w14:paraId="6B32255B" w14:textId="77777777" w:rsidR="00B752FE" w:rsidRDefault="00B752FE" w:rsidP="00DD6A38">
                  <w:pPr>
                    <w:pStyle w:val="TableText"/>
                  </w:pPr>
                  <w:r>
                    <w:t>Compatible</w:t>
                  </w:r>
                </w:p>
              </w:tc>
            </w:tr>
            <w:tr w:rsidR="00B752FE" w14:paraId="00D525BE" w14:textId="77777777" w:rsidTr="00DD6A38">
              <w:tc>
                <w:tcPr>
                  <w:tcW w:w="2335" w:type="dxa"/>
                  <w:vAlign w:val="bottom"/>
                </w:tcPr>
                <w:p w14:paraId="327B01F4" w14:textId="77777777" w:rsidR="00B752FE" w:rsidRDefault="00B752FE" w:rsidP="00DD6A38">
                  <w:pPr>
                    <w:pStyle w:val="TableText"/>
                  </w:pPr>
                  <w:r>
                    <w:t>Compatible: Electronically Crossmatched</w:t>
                  </w:r>
                </w:p>
              </w:tc>
              <w:tc>
                <w:tcPr>
                  <w:tcW w:w="2705" w:type="dxa"/>
                  <w:vAlign w:val="bottom"/>
                </w:tcPr>
                <w:p w14:paraId="3406B832" w14:textId="77777777" w:rsidR="00B752FE" w:rsidRDefault="00B752FE" w:rsidP="00DD6A38">
                  <w:pPr>
                    <w:pStyle w:val="TableText"/>
                  </w:pPr>
                  <w:r>
                    <w:t>Compatible</w:t>
                  </w:r>
                </w:p>
              </w:tc>
            </w:tr>
            <w:tr w:rsidR="00B752FE" w14:paraId="40D41358" w14:textId="77777777" w:rsidTr="00DD6A38">
              <w:tc>
                <w:tcPr>
                  <w:tcW w:w="2335" w:type="dxa"/>
                  <w:vAlign w:val="bottom"/>
                </w:tcPr>
                <w:p w14:paraId="0C1599C2" w14:textId="77777777" w:rsidR="00B752FE" w:rsidRDefault="00B752FE" w:rsidP="00DD6A38">
                  <w:pPr>
                    <w:pStyle w:val="TableText"/>
                  </w:pPr>
                  <w:r>
                    <w:t>Crossmatch Not Required</w:t>
                  </w:r>
                </w:p>
              </w:tc>
              <w:tc>
                <w:tcPr>
                  <w:tcW w:w="2705" w:type="dxa"/>
                  <w:vAlign w:val="bottom"/>
                </w:tcPr>
                <w:p w14:paraId="33B84FA4" w14:textId="77777777" w:rsidR="00B752FE" w:rsidRDefault="00B752FE" w:rsidP="00DD6A38">
                  <w:pPr>
                    <w:pStyle w:val="TableText"/>
                  </w:pPr>
                  <w:r>
                    <w:t>Not Applicable</w:t>
                  </w:r>
                </w:p>
              </w:tc>
            </w:tr>
            <w:tr w:rsidR="00B752FE" w14:paraId="10505A60" w14:textId="77777777" w:rsidTr="00DD6A38">
              <w:tc>
                <w:tcPr>
                  <w:tcW w:w="2335" w:type="dxa"/>
                  <w:vAlign w:val="bottom"/>
                </w:tcPr>
                <w:p w14:paraId="22F6E11D" w14:textId="77777777" w:rsidR="00B752FE" w:rsidRDefault="00B752FE" w:rsidP="00DD6A38">
                  <w:pPr>
                    <w:pStyle w:val="TableText"/>
                  </w:pPr>
                  <w:r>
                    <w:t>Crossmatch Incompatible: Give only with Medical Director Approval</w:t>
                  </w:r>
                </w:p>
              </w:tc>
              <w:tc>
                <w:tcPr>
                  <w:tcW w:w="2705" w:type="dxa"/>
                  <w:vAlign w:val="bottom"/>
                </w:tcPr>
                <w:p w14:paraId="7426D1ED" w14:textId="77777777" w:rsidR="00B752FE" w:rsidRDefault="00B752FE" w:rsidP="00DD6A38">
                  <w:pPr>
                    <w:pStyle w:val="TableText"/>
                  </w:pPr>
                  <w:r>
                    <w:t>Incompatible: Given with Medical Director Approval</w:t>
                  </w:r>
                </w:p>
              </w:tc>
            </w:tr>
          </w:tbl>
          <w:p w14:paraId="75A7D04A" w14:textId="77777777" w:rsidR="00B752FE" w:rsidRDefault="00B752FE">
            <w:pPr>
              <w:pStyle w:val="NotesText"/>
            </w:pPr>
          </w:p>
          <w:p w14:paraId="41EEA8A9" w14:textId="77777777" w:rsidR="00B752FE" w:rsidRDefault="00B752FE" w:rsidP="00B752FE">
            <w:pPr>
              <w:pStyle w:val="NotesText"/>
            </w:pPr>
            <w:r w:rsidRPr="00B752FE">
              <w:rPr>
                <w:vanish/>
              </w:rPr>
              <w:t xml:space="preserve">BR_44.01 </w:t>
            </w:r>
            <w:r>
              <w:t xml:space="preserve">The printed form has two general areas, one for patient and unit identification, and another to document the transfusion. </w:t>
            </w:r>
          </w:p>
          <w:p w14:paraId="7BC925F2" w14:textId="77777777" w:rsidR="00B752FE" w:rsidRDefault="00B752FE" w:rsidP="00B752FE">
            <w:pPr>
              <w:pStyle w:val="NotesText"/>
            </w:pPr>
          </w:p>
          <w:p w14:paraId="6EC1AAD9" w14:textId="77777777" w:rsidR="00B752FE" w:rsidRDefault="00B752FE" w:rsidP="00B752FE">
            <w:pPr>
              <w:pStyle w:val="NotesText"/>
            </w:pPr>
            <w:r w:rsidRPr="00B752FE">
              <w:rPr>
                <w:vanish/>
              </w:rPr>
              <w:t xml:space="preserve">BR_44.01 </w:t>
            </w:r>
            <w:r>
              <w:t>Information that appears on the form follows. All information is provided by VBECS unless stated. Information matching the caution tag will be printed to look alike for the users on both forms.</w:t>
            </w:r>
          </w:p>
          <w:p w14:paraId="16C44371" w14:textId="77777777" w:rsidR="00B752FE" w:rsidRPr="00152053" w:rsidRDefault="00B752FE" w:rsidP="00925CAD">
            <w:pPr>
              <w:pStyle w:val="TableText"/>
              <w:numPr>
                <w:ilvl w:val="0"/>
                <w:numId w:val="53"/>
              </w:numPr>
              <w:rPr>
                <w:szCs w:val="18"/>
              </w:rPr>
            </w:pPr>
            <w:r w:rsidRPr="00152053">
              <w:rPr>
                <w:szCs w:val="18"/>
              </w:rPr>
              <w:t>Transfusion Division Name, City, State</w:t>
            </w:r>
          </w:p>
          <w:p w14:paraId="025BFC3A" w14:textId="78B7F3F6" w:rsidR="00B752FE" w:rsidRPr="00152053" w:rsidRDefault="00B752FE" w:rsidP="00925CAD">
            <w:pPr>
              <w:pStyle w:val="TableText"/>
              <w:numPr>
                <w:ilvl w:val="0"/>
                <w:numId w:val="53"/>
              </w:numPr>
              <w:rPr>
                <w:szCs w:val="18"/>
              </w:rPr>
            </w:pPr>
            <w:r w:rsidRPr="00152053">
              <w:rPr>
                <w:szCs w:val="18"/>
              </w:rPr>
              <w:t xml:space="preserve">Patient ID </w:t>
            </w:r>
          </w:p>
          <w:p w14:paraId="1DE7FD10" w14:textId="77777777" w:rsidR="00B752FE" w:rsidRPr="00152053" w:rsidRDefault="00B752FE" w:rsidP="00925CAD">
            <w:pPr>
              <w:pStyle w:val="TableText"/>
              <w:numPr>
                <w:ilvl w:val="0"/>
                <w:numId w:val="53"/>
              </w:numPr>
              <w:rPr>
                <w:szCs w:val="18"/>
              </w:rPr>
            </w:pPr>
            <w:r w:rsidRPr="00152053">
              <w:rPr>
                <w:szCs w:val="18"/>
              </w:rPr>
              <w:t>Patient Name (Last, First MI)</w:t>
            </w:r>
          </w:p>
          <w:p w14:paraId="67E406EF" w14:textId="77777777" w:rsidR="00B752FE" w:rsidRPr="00152053" w:rsidRDefault="00B752FE" w:rsidP="00925CAD">
            <w:pPr>
              <w:pStyle w:val="TableText"/>
              <w:numPr>
                <w:ilvl w:val="0"/>
                <w:numId w:val="53"/>
              </w:numPr>
              <w:rPr>
                <w:szCs w:val="18"/>
              </w:rPr>
            </w:pPr>
            <w:r w:rsidRPr="00152053">
              <w:rPr>
                <w:szCs w:val="18"/>
              </w:rPr>
              <w:t>Patient DOB</w:t>
            </w:r>
          </w:p>
          <w:p w14:paraId="31EAF18A" w14:textId="77777777" w:rsidR="00B752FE" w:rsidRPr="00152053" w:rsidRDefault="00B752FE" w:rsidP="00925CAD">
            <w:pPr>
              <w:pStyle w:val="TableText"/>
              <w:numPr>
                <w:ilvl w:val="0"/>
                <w:numId w:val="53"/>
              </w:numPr>
              <w:rPr>
                <w:szCs w:val="18"/>
              </w:rPr>
            </w:pPr>
            <w:r w:rsidRPr="00152053">
              <w:rPr>
                <w:szCs w:val="18"/>
              </w:rPr>
              <w:t>Unit/Pool ID</w:t>
            </w:r>
          </w:p>
          <w:p w14:paraId="1D41187F" w14:textId="77777777" w:rsidR="00B752FE" w:rsidRPr="00152053" w:rsidRDefault="007A7D97" w:rsidP="00925CAD">
            <w:pPr>
              <w:pStyle w:val="TableText"/>
              <w:numPr>
                <w:ilvl w:val="0"/>
                <w:numId w:val="53"/>
              </w:numPr>
              <w:rPr>
                <w:szCs w:val="18"/>
              </w:rPr>
            </w:pPr>
            <w:r>
              <w:rPr>
                <w:szCs w:val="18"/>
              </w:rPr>
              <w:t>Recipient (Patient) Blood Type</w:t>
            </w:r>
          </w:p>
          <w:p w14:paraId="6555800C" w14:textId="77777777" w:rsidR="00B752FE" w:rsidRDefault="00B752FE" w:rsidP="00925CAD">
            <w:pPr>
              <w:pStyle w:val="TableText"/>
              <w:numPr>
                <w:ilvl w:val="0"/>
                <w:numId w:val="53"/>
              </w:numPr>
            </w:pPr>
            <w:r>
              <w:t xml:space="preserve">Unit Blood Type </w:t>
            </w:r>
          </w:p>
          <w:p w14:paraId="1C1E4A3E" w14:textId="77777777" w:rsidR="00B752FE" w:rsidRDefault="00B752FE" w:rsidP="00925CAD">
            <w:pPr>
              <w:pStyle w:val="TableText"/>
              <w:numPr>
                <w:ilvl w:val="0"/>
                <w:numId w:val="53"/>
              </w:numPr>
            </w:pPr>
            <w:r>
              <w:t xml:space="preserve">Compatibility Interpretation, Tech name, Date/time </w:t>
            </w:r>
          </w:p>
          <w:p w14:paraId="5112E5FE" w14:textId="77777777" w:rsidR="00B752FE" w:rsidRDefault="00B752FE" w:rsidP="00925CAD">
            <w:pPr>
              <w:pStyle w:val="TableText"/>
              <w:numPr>
                <w:ilvl w:val="0"/>
                <w:numId w:val="53"/>
              </w:numPr>
            </w:pPr>
            <w:r>
              <w:t>Assigned Date/Time</w:t>
            </w:r>
          </w:p>
          <w:p w14:paraId="5D0E2753" w14:textId="46B4C8DB" w:rsidR="00B752FE" w:rsidRDefault="00B752FE" w:rsidP="00925CAD">
            <w:pPr>
              <w:pStyle w:val="TableText"/>
              <w:numPr>
                <w:ilvl w:val="0"/>
                <w:numId w:val="53"/>
              </w:numPr>
            </w:pPr>
            <w:r>
              <w:t>Technologist Initials (This is the Assigning/Crossmatching Blood Bank Technologist Name.)</w:t>
            </w:r>
          </w:p>
          <w:p w14:paraId="208A4F21" w14:textId="4FD80301" w:rsidR="00504EBA" w:rsidRDefault="00504EBA" w:rsidP="00925CAD">
            <w:pPr>
              <w:pStyle w:val="TableText"/>
              <w:numPr>
                <w:ilvl w:val="0"/>
                <w:numId w:val="53"/>
              </w:numPr>
            </w:pPr>
            <w:r>
              <w:lastRenderedPageBreak/>
              <w:t>Transfusion Requirements</w:t>
            </w:r>
          </w:p>
          <w:p w14:paraId="2CF82EE2" w14:textId="39F0D17F" w:rsidR="00504EBA" w:rsidRDefault="00504EBA" w:rsidP="00925CAD">
            <w:pPr>
              <w:pStyle w:val="TableText"/>
              <w:numPr>
                <w:ilvl w:val="0"/>
                <w:numId w:val="53"/>
              </w:numPr>
            </w:pPr>
            <w:r>
              <w:t>Blood Product Component Class</w:t>
            </w:r>
          </w:p>
          <w:p w14:paraId="03078422" w14:textId="77777777" w:rsidR="00B752FE" w:rsidRDefault="00B752FE" w:rsidP="00925CAD">
            <w:pPr>
              <w:pStyle w:val="TableText"/>
              <w:numPr>
                <w:ilvl w:val="0"/>
                <w:numId w:val="53"/>
              </w:numPr>
            </w:pPr>
            <w:r>
              <w:t>Blood Component selected (the unit’s blood product long name)</w:t>
            </w:r>
          </w:p>
          <w:p w14:paraId="5264ABD2" w14:textId="77777777" w:rsidR="00B752FE" w:rsidRDefault="00B752FE" w:rsidP="00925CAD">
            <w:pPr>
              <w:pStyle w:val="TableText"/>
              <w:numPr>
                <w:ilvl w:val="0"/>
                <w:numId w:val="53"/>
              </w:numPr>
            </w:pPr>
            <w:r>
              <w:t>Product Code (Full, Eye-readable)</w:t>
            </w:r>
          </w:p>
          <w:p w14:paraId="7B207C37" w14:textId="77777777" w:rsidR="00B752FE" w:rsidRDefault="00B752FE" w:rsidP="00925CAD">
            <w:pPr>
              <w:pStyle w:val="TableText"/>
              <w:numPr>
                <w:ilvl w:val="0"/>
                <w:numId w:val="53"/>
              </w:numPr>
            </w:pPr>
            <w:r>
              <w:t>Donation type</w:t>
            </w:r>
          </w:p>
          <w:p w14:paraId="284A5486" w14:textId="77777777" w:rsidR="00B752FE" w:rsidRDefault="00B752FE" w:rsidP="00925CAD">
            <w:pPr>
              <w:pStyle w:val="TableText"/>
              <w:numPr>
                <w:ilvl w:val="0"/>
                <w:numId w:val="53"/>
              </w:numPr>
            </w:pPr>
            <w:r>
              <w:t xml:space="preserve">Unit Expiration Date/Time </w:t>
            </w:r>
          </w:p>
          <w:p w14:paraId="46996CF9" w14:textId="77777777" w:rsidR="00B752FE" w:rsidRDefault="00B752FE" w:rsidP="00925CAD">
            <w:pPr>
              <w:pStyle w:val="TableText"/>
              <w:numPr>
                <w:ilvl w:val="0"/>
                <w:numId w:val="53"/>
              </w:numPr>
            </w:pPr>
            <w:r>
              <w:t>Number of Units in Pool</w:t>
            </w:r>
          </w:p>
          <w:p w14:paraId="06F67390" w14:textId="77777777" w:rsidR="00B752FE" w:rsidRDefault="00B752FE" w:rsidP="00925CAD">
            <w:pPr>
              <w:pStyle w:val="TableText"/>
              <w:numPr>
                <w:ilvl w:val="0"/>
                <w:numId w:val="53"/>
              </w:numPr>
            </w:pPr>
            <w:r>
              <w:t xml:space="preserve">Specimen UID Number, </w:t>
            </w:r>
            <w:r w:rsidRPr="00EE4FB5">
              <w:t>expiration date and time</w:t>
            </w:r>
            <w:r>
              <w:t xml:space="preserve"> </w:t>
            </w:r>
          </w:p>
          <w:p w14:paraId="37BC0C64" w14:textId="1582A3F1" w:rsidR="00B752FE" w:rsidRPr="00830A63" w:rsidRDefault="00504EBA" w:rsidP="00925CAD">
            <w:pPr>
              <w:pStyle w:val="TableText"/>
              <w:numPr>
                <w:ilvl w:val="0"/>
                <w:numId w:val="53"/>
              </w:numPr>
            </w:pPr>
            <w:r>
              <w:t xml:space="preserve">Order </w:t>
            </w:r>
            <w:r w:rsidR="00B752FE">
              <w:t>Location</w:t>
            </w:r>
          </w:p>
          <w:p w14:paraId="44343131" w14:textId="77777777" w:rsidR="00B752FE" w:rsidRDefault="00B752FE" w:rsidP="00B752FE">
            <w:pPr>
              <w:pStyle w:val="TableText"/>
            </w:pPr>
          </w:p>
          <w:p w14:paraId="21500EFA" w14:textId="77777777" w:rsidR="00B752FE" w:rsidRDefault="00B752FE" w:rsidP="00B752FE">
            <w:pPr>
              <w:pStyle w:val="NotesText"/>
            </w:pPr>
            <w:r w:rsidRPr="00B752FE">
              <w:rPr>
                <w:vanish/>
              </w:rPr>
              <w:t xml:space="preserve">BR_44.01 </w:t>
            </w:r>
            <w:r>
              <w:t>Transfusion documentation section: This section of the form provides prompts/placeholders for information to be entered at the bedside during the transfusion. Each listed item must provide adequate room for a transfusionist to manually record the appropriate, required information:</w:t>
            </w:r>
          </w:p>
          <w:p w14:paraId="175B4F0F" w14:textId="77777777" w:rsidR="00B752FE" w:rsidRDefault="00B752FE" w:rsidP="00925CAD">
            <w:pPr>
              <w:pStyle w:val="TableText"/>
              <w:numPr>
                <w:ilvl w:val="0"/>
                <w:numId w:val="54"/>
              </w:numPr>
              <w:ind w:left="1440"/>
            </w:pPr>
            <w:r>
              <w:t>First identifier (signature)</w:t>
            </w:r>
          </w:p>
          <w:p w14:paraId="24F4BBCE" w14:textId="77777777" w:rsidR="00B752FE" w:rsidRDefault="00B752FE" w:rsidP="00925CAD">
            <w:pPr>
              <w:pStyle w:val="TableText"/>
              <w:numPr>
                <w:ilvl w:val="0"/>
                <w:numId w:val="54"/>
              </w:numPr>
              <w:ind w:left="1440"/>
            </w:pPr>
            <w:r>
              <w:t>Second identifier (signature)</w:t>
            </w:r>
          </w:p>
          <w:p w14:paraId="5BD5A101" w14:textId="77777777" w:rsidR="00B752FE" w:rsidRDefault="00B752FE" w:rsidP="00925CAD">
            <w:pPr>
              <w:pStyle w:val="TableText"/>
              <w:numPr>
                <w:ilvl w:val="0"/>
                <w:numId w:val="54"/>
              </w:numPr>
              <w:ind w:left="1440"/>
            </w:pPr>
            <w:r>
              <w:t xml:space="preserve">Date/time transfusion was started </w:t>
            </w:r>
          </w:p>
          <w:p w14:paraId="2D8E9508" w14:textId="77777777" w:rsidR="00B752FE" w:rsidRDefault="00B752FE" w:rsidP="00925CAD">
            <w:pPr>
              <w:pStyle w:val="TableText"/>
              <w:numPr>
                <w:ilvl w:val="0"/>
                <w:numId w:val="54"/>
              </w:numPr>
              <w:ind w:left="1440"/>
            </w:pPr>
            <w:r>
              <w:t>Respiration</w:t>
            </w:r>
          </w:p>
          <w:p w14:paraId="51F81C70" w14:textId="77777777" w:rsidR="00B752FE" w:rsidRDefault="00B752FE" w:rsidP="00925CAD">
            <w:pPr>
              <w:pStyle w:val="TableText"/>
              <w:numPr>
                <w:ilvl w:val="0"/>
                <w:numId w:val="54"/>
              </w:numPr>
              <w:ind w:left="1440"/>
            </w:pPr>
            <w:r>
              <w:t>Pretransfusion temperature</w:t>
            </w:r>
          </w:p>
          <w:p w14:paraId="3667C7EF" w14:textId="77777777" w:rsidR="00B752FE" w:rsidRDefault="00B752FE" w:rsidP="00925CAD">
            <w:pPr>
              <w:pStyle w:val="TableText"/>
              <w:numPr>
                <w:ilvl w:val="0"/>
                <w:numId w:val="54"/>
              </w:numPr>
              <w:ind w:left="1440"/>
            </w:pPr>
            <w:r>
              <w:t>Pretransfusion pulse</w:t>
            </w:r>
          </w:p>
          <w:p w14:paraId="466DEE18" w14:textId="77777777" w:rsidR="00B752FE" w:rsidRDefault="00B752FE" w:rsidP="00925CAD">
            <w:pPr>
              <w:pStyle w:val="TableText"/>
              <w:numPr>
                <w:ilvl w:val="0"/>
                <w:numId w:val="54"/>
              </w:numPr>
              <w:ind w:left="1440"/>
            </w:pPr>
            <w:r>
              <w:t>Pretransfusion blood pressure</w:t>
            </w:r>
          </w:p>
          <w:p w14:paraId="0253F97F" w14:textId="77777777" w:rsidR="00B752FE" w:rsidRDefault="00B752FE" w:rsidP="00925CAD">
            <w:pPr>
              <w:pStyle w:val="TableText"/>
              <w:numPr>
                <w:ilvl w:val="0"/>
                <w:numId w:val="54"/>
              </w:numPr>
              <w:ind w:left="1440"/>
            </w:pPr>
            <w:r>
              <w:t>15-minute temperature</w:t>
            </w:r>
          </w:p>
          <w:p w14:paraId="6A972A64" w14:textId="77777777" w:rsidR="00B752FE" w:rsidRDefault="00B752FE" w:rsidP="00925CAD">
            <w:pPr>
              <w:pStyle w:val="TableText"/>
              <w:numPr>
                <w:ilvl w:val="0"/>
                <w:numId w:val="54"/>
              </w:numPr>
              <w:ind w:left="1440"/>
            </w:pPr>
            <w:r>
              <w:t>15-minute pulse</w:t>
            </w:r>
          </w:p>
          <w:p w14:paraId="44423372" w14:textId="77777777" w:rsidR="00B752FE" w:rsidRDefault="00B752FE" w:rsidP="00925CAD">
            <w:pPr>
              <w:pStyle w:val="TableText"/>
              <w:numPr>
                <w:ilvl w:val="0"/>
                <w:numId w:val="54"/>
              </w:numPr>
              <w:ind w:left="1440"/>
            </w:pPr>
            <w:r>
              <w:t>15-minute blood pressure</w:t>
            </w:r>
          </w:p>
          <w:p w14:paraId="3ABC6339" w14:textId="77777777" w:rsidR="00B752FE" w:rsidRDefault="00B752FE" w:rsidP="00925CAD">
            <w:pPr>
              <w:pStyle w:val="TableText"/>
              <w:numPr>
                <w:ilvl w:val="0"/>
                <w:numId w:val="54"/>
              </w:numPr>
              <w:ind w:left="1440"/>
            </w:pPr>
            <w:r>
              <w:t>Mid-transfusion temperature</w:t>
            </w:r>
          </w:p>
          <w:p w14:paraId="68374E22" w14:textId="77777777" w:rsidR="00B752FE" w:rsidRDefault="00B752FE" w:rsidP="00925CAD">
            <w:pPr>
              <w:pStyle w:val="TableText"/>
              <w:numPr>
                <w:ilvl w:val="0"/>
                <w:numId w:val="54"/>
              </w:numPr>
              <w:ind w:left="1440"/>
            </w:pPr>
            <w:r>
              <w:t>Mid-transfusion pulse</w:t>
            </w:r>
          </w:p>
          <w:p w14:paraId="2CBD52AF" w14:textId="77777777" w:rsidR="00B752FE" w:rsidRDefault="00B752FE" w:rsidP="00925CAD">
            <w:pPr>
              <w:pStyle w:val="TableText"/>
              <w:numPr>
                <w:ilvl w:val="0"/>
                <w:numId w:val="54"/>
              </w:numPr>
              <w:ind w:left="1440"/>
            </w:pPr>
            <w:r>
              <w:t>Mid-transfusion blood pressure</w:t>
            </w:r>
          </w:p>
          <w:p w14:paraId="7619BF5D" w14:textId="77777777" w:rsidR="00B752FE" w:rsidRDefault="00B752FE" w:rsidP="00925CAD">
            <w:pPr>
              <w:pStyle w:val="TableText"/>
              <w:numPr>
                <w:ilvl w:val="0"/>
                <w:numId w:val="54"/>
              </w:numPr>
              <w:ind w:left="1440"/>
            </w:pPr>
            <w:r>
              <w:t>Post-transfusion temp</w:t>
            </w:r>
          </w:p>
          <w:p w14:paraId="54CF510A" w14:textId="77777777" w:rsidR="00B752FE" w:rsidRDefault="00B752FE" w:rsidP="00925CAD">
            <w:pPr>
              <w:pStyle w:val="TableText"/>
              <w:numPr>
                <w:ilvl w:val="0"/>
                <w:numId w:val="54"/>
              </w:numPr>
              <w:ind w:left="1440"/>
            </w:pPr>
            <w:r>
              <w:t>Post-transfusion pulse</w:t>
            </w:r>
          </w:p>
          <w:p w14:paraId="3064C905" w14:textId="77777777" w:rsidR="00B752FE" w:rsidRDefault="00B752FE" w:rsidP="00925CAD">
            <w:pPr>
              <w:pStyle w:val="TableText"/>
              <w:numPr>
                <w:ilvl w:val="0"/>
                <w:numId w:val="54"/>
              </w:numPr>
              <w:ind w:left="1440"/>
            </w:pPr>
            <w:r>
              <w:t>Post-transfusion blood pressure</w:t>
            </w:r>
          </w:p>
          <w:p w14:paraId="25809D3C" w14:textId="77777777" w:rsidR="00B752FE" w:rsidRDefault="00B752FE" w:rsidP="00925CAD">
            <w:pPr>
              <w:pStyle w:val="TableText"/>
              <w:numPr>
                <w:ilvl w:val="0"/>
                <w:numId w:val="54"/>
              </w:numPr>
              <w:ind w:left="1440"/>
            </w:pPr>
            <w:r>
              <w:t>Amount given (mL)</w:t>
            </w:r>
          </w:p>
          <w:p w14:paraId="521CC729" w14:textId="77777777" w:rsidR="00B752FE" w:rsidRDefault="00B752FE" w:rsidP="00925CAD">
            <w:pPr>
              <w:pStyle w:val="TableText"/>
              <w:numPr>
                <w:ilvl w:val="0"/>
                <w:numId w:val="54"/>
              </w:numPr>
              <w:ind w:left="1440"/>
            </w:pPr>
            <w:r>
              <w:t>Date/time transfusion was completed or interrupted</w:t>
            </w:r>
          </w:p>
          <w:p w14:paraId="35114ADC" w14:textId="77777777" w:rsidR="00B752FE" w:rsidRDefault="00B752FE" w:rsidP="00925CAD">
            <w:pPr>
              <w:pStyle w:val="TableText"/>
              <w:numPr>
                <w:ilvl w:val="0"/>
                <w:numId w:val="54"/>
              </w:numPr>
              <w:ind w:left="1440"/>
            </w:pPr>
            <w:r>
              <w:t>Completing transfusionist (place for wet signature)</w:t>
            </w:r>
          </w:p>
          <w:p w14:paraId="7371A107" w14:textId="77777777" w:rsidR="00B752FE" w:rsidRDefault="00B752FE" w:rsidP="00925CAD">
            <w:pPr>
              <w:pStyle w:val="TableText"/>
              <w:numPr>
                <w:ilvl w:val="0"/>
                <w:numId w:val="54"/>
              </w:numPr>
              <w:ind w:left="1440"/>
            </w:pPr>
            <w:r>
              <w:t>Reverification of patient area</w:t>
            </w:r>
          </w:p>
          <w:p w14:paraId="693B71D7" w14:textId="77777777" w:rsidR="00B752FE" w:rsidRDefault="00B752FE" w:rsidP="00925CAD">
            <w:pPr>
              <w:pStyle w:val="TableText"/>
              <w:numPr>
                <w:ilvl w:val="0"/>
                <w:numId w:val="54"/>
              </w:numPr>
              <w:ind w:left="1440"/>
            </w:pPr>
            <w:r>
              <w:t>Transfusion reaction indicator (No reaction/Reaction suspected)</w:t>
            </w:r>
          </w:p>
          <w:p w14:paraId="288B3F51" w14:textId="77777777" w:rsidR="00B752FE" w:rsidRDefault="00B752FE" w:rsidP="00925CAD">
            <w:pPr>
              <w:pStyle w:val="TableText"/>
              <w:numPr>
                <w:ilvl w:val="0"/>
                <w:numId w:val="54"/>
              </w:numPr>
              <w:ind w:left="1440"/>
            </w:pPr>
            <w:r>
              <w:t>Description of Reaction (includes Urticaria, Chill, Pain, Fever, Dyspnea, Other)</w:t>
            </w:r>
          </w:p>
          <w:p w14:paraId="0108C3B9" w14:textId="77777777" w:rsidR="00B752FE" w:rsidRDefault="00B752FE" w:rsidP="00925CAD">
            <w:pPr>
              <w:pStyle w:val="TableText"/>
              <w:numPr>
                <w:ilvl w:val="0"/>
                <w:numId w:val="54"/>
              </w:numPr>
              <w:ind w:left="1440"/>
            </w:pPr>
            <w:r>
              <w:t>Other difficulties</w:t>
            </w:r>
          </w:p>
          <w:p w14:paraId="484933A6" w14:textId="77777777" w:rsidR="00B752FE" w:rsidRDefault="00B752FE" w:rsidP="00925CAD">
            <w:pPr>
              <w:pStyle w:val="TableText"/>
              <w:numPr>
                <w:ilvl w:val="0"/>
                <w:numId w:val="54"/>
              </w:numPr>
              <w:ind w:left="1440"/>
            </w:pPr>
            <w:r>
              <w:t>Signature of person noting the transfusion reaction</w:t>
            </w:r>
          </w:p>
          <w:p w14:paraId="3B4F3DEC" w14:textId="77777777" w:rsidR="00B752FE" w:rsidRDefault="00B752FE" w:rsidP="00925CAD">
            <w:pPr>
              <w:pStyle w:val="TableText"/>
              <w:numPr>
                <w:ilvl w:val="0"/>
                <w:numId w:val="54"/>
              </w:numPr>
              <w:ind w:left="1440"/>
            </w:pPr>
            <w:r>
              <w:t>Instructions for suspected transfusion reaction immediate response (see sample form for text)</w:t>
            </w:r>
          </w:p>
          <w:p w14:paraId="6A076B23" w14:textId="77777777" w:rsidR="00B752FE" w:rsidRDefault="00B752FE" w:rsidP="00B752FE">
            <w:pPr>
              <w:pStyle w:val="NotesText"/>
              <w:ind w:left="1440"/>
            </w:pPr>
            <w:r>
              <w:t>Bedside verification statement (see sample form for text)</w:t>
            </w:r>
          </w:p>
          <w:p w14:paraId="39A606D7" w14:textId="77777777" w:rsidR="00292F47" w:rsidRDefault="00292F47">
            <w:pPr>
              <w:pStyle w:val="NotesText"/>
            </w:pPr>
          </w:p>
          <w:p w14:paraId="316139E0" w14:textId="77777777" w:rsidR="002A21AE" w:rsidRDefault="00292F47">
            <w:pPr>
              <w:pStyle w:val="NotesText"/>
            </w:pPr>
            <w:r w:rsidRPr="00292F47">
              <w:rPr>
                <w:vanish/>
              </w:rPr>
              <w:t xml:space="preserve">BR_44.02 </w:t>
            </w:r>
            <w:r>
              <w:t>Facility Name is the name and address of the compatibility testing facility. If a full-service facility, “Facility Name” is the user’s current division. If a transfusion-only facility, “Facility Name” is the testing facility entered. For a transfusion-only facility, both the testing facility and the current division must appear on the form.</w:t>
            </w:r>
          </w:p>
          <w:p w14:paraId="79F6230F" w14:textId="77777777" w:rsidR="00292F47" w:rsidRDefault="00292F47">
            <w:pPr>
              <w:pStyle w:val="NotesText"/>
            </w:pPr>
          </w:p>
          <w:p w14:paraId="72ABEABC" w14:textId="77777777" w:rsidR="00292F47" w:rsidRDefault="00292F47">
            <w:pPr>
              <w:pStyle w:val="NotesText"/>
            </w:pPr>
            <w:r w:rsidRPr="00292F47">
              <w:rPr>
                <w:vanish/>
              </w:rPr>
              <w:lastRenderedPageBreak/>
              <w:t xml:space="preserve">BR_44.03 </w:t>
            </w:r>
            <w:r>
              <w:t>Patient Special Instructions and patient Transfusion Requirements do not print on the Blood Transfusion Record Form when the requirement isn’t appropriate (listed as “NA”) for the blood product.</w:t>
            </w:r>
          </w:p>
          <w:p w14:paraId="48592AE7" w14:textId="77777777" w:rsidR="00292F47" w:rsidRDefault="00292F47">
            <w:pPr>
              <w:pStyle w:val="NotesText"/>
            </w:pPr>
          </w:p>
          <w:p w14:paraId="1FCFBC75" w14:textId="77777777" w:rsidR="00292F47" w:rsidRDefault="00292F47" w:rsidP="00292F47">
            <w:pPr>
              <w:pStyle w:val="NotesText"/>
            </w:pPr>
            <w:r w:rsidRPr="00292F47">
              <w:rPr>
                <w:vanish/>
              </w:rPr>
              <w:t xml:space="preserve">BR_44.05 </w:t>
            </w:r>
            <w:r>
              <w:t>When blood products are emergency issued (indicator or the testing is incomplete or inconclusive on the current specimen), print in the remarks section of the Blood Transfusion Record Form: “This unit is issued for transfusion BEFORE the completion of required compatibility testing. The blood bank staff will continue to test the compatibility of the unit using the current patient specimen. If you are alerted to a unit’s incompatibility by the blood bank, stop the transfusion immediately.”</w:t>
            </w:r>
          </w:p>
          <w:p w14:paraId="7F7D947D" w14:textId="77777777" w:rsidR="00292F47" w:rsidRDefault="00292F47" w:rsidP="00292F47">
            <w:pPr>
              <w:pStyle w:val="TableText"/>
            </w:pPr>
          </w:p>
          <w:p w14:paraId="0FB68443" w14:textId="77777777" w:rsidR="00292F47" w:rsidRDefault="00276485" w:rsidP="00292F47">
            <w:pPr>
              <w:pStyle w:val="NotesText"/>
            </w:pPr>
            <w:r>
              <w:t>When</w:t>
            </w:r>
            <w:r w:rsidR="00292F47" w:rsidRPr="00292F47">
              <w:rPr>
                <w:vanish/>
              </w:rPr>
              <w:t xml:space="preserve">BR_44.05 </w:t>
            </w:r>
            <w:r>
              <w:rPr>
                <w:vanish/>
              </w:rPr>
              <w:t>When</w:t>
            </w:r>
            <w:r w:rsidR="00292F47">
              <w:t xml:space="preserve"> “***” prints for the patient ABO/Rh and crossmatch, include “Specimen testing incomplete at time of issue” in the printout.</w:t>
            </w:r>
          </w:p>
          <w:p w14:paraId="67FCB3C3" w14:textId="77777777" w:rsidR="002A21AE" w:rsidRDefault="002A21AE">
            <w:pPr>
              <w:pStyle w:val="NotesText"/>
              <w:tabs>
                <w:tab w:val="left" w:pos="4140"/>
              </w:tabs>
              <w:ind w:left="0"/>
            </w:pPr>
          </w:p>
        </w:tc>
      </w:tr>
      <w:tr w:rsidR="002A21AE" w14:paraId="18227113" w14:textId="77777777">
        <w:tc>
          <w:tcPr>
            <w:tcW w:w="3240" w:type="dxa"/>
          </w:tcPr>
          <w:p w14:paraId="7D993820" w14:textId="77777777" w:rsidR="002A21AE" w:rsidRDefault="002A21AE">
            <w:pPr>
              <w:pStyle w:val="TableTextNumbers"/>
            </w:pPr>
            <w:r>
              <w:lastRenderedPageBreak/>
              <w:t xml:space="preserve">Print and exit. </w:t>
            </w:r>
            <w:r>
              <w:rPr>
                <w:vanish/>
                <w:color w:val="FFFFFF"/>
                <w:szCs w:val="18"/>
              </w:rPr>
              <w:fldChar w:fldCharType="begin"/>
            </w:r>
            <w:r>
              <w:rPr>
                <w:vanish/>
                <w:color w:val="FFFFFF"/>
                <w:szCs w:val="18"/>
              </w:rPr>
              <w:instrText xml:space="preserve"> LISTNUM \l 1 \s 0 </w:instrText>
            </w:r>
            <w:r>
              <w:rPr>
                <w:vanish/>
                <w:color w:val="FFFFFF"/>
                <w:szCs w:val="18"/>
              </w:rPr>
              <w:fldChar w:fldCharType="end">
                <w:numberingChange w:id="453" w:author="MUSZYNSKI, THOMAS D. (SIERRA 7 INC)" w:date="2024-11-26T07:15:00Z" w:original="0."/>
              </w:fldChar>
            </w:r>
          </w:p>
        </w:tc>
        <w:tc>
          <w:tcPr>
            <w:tcW w:w="6120" w:type="dxa"/>
          </w:tcPr>
          <w:p w14:paraId="7A0B21F3" w14:textId="77777777" w:rsidR="002A21AE" w:rsidRDefault="002A21AE">
            <w:pPr>
              <w:pStyle w:val="TableText"/>
            </w:pPr>
          </w:p>
        </w:tc>
      </w:tr>
    </w:tbl>
    <w:p w14:paraId="7C589AE0" w14:textId="11F9A292" w:rsidR="00CD3C64" w:rsidRDefault="00CD3C64" w:rsidP="00CD3C64">
      <w:pPr>
        <w:pStyle w:val="Caption"/>
      </w:pPr>
      <w:bookmarkStart w:id="454" w:name="_Ref127006080"/>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7D1829">
        <w:rPr>
          <w:noProof/>
        </w:rPr>
        <w:t>80</w:t>
      </w:r>
      <w:r w:rsidR="004E20BD">
        <w:rPr>
          <w:noProof/>
        </w:rPr>
        <w:fldChar w:fldCharType="end"/>
      </w:r>
      <w:bookmarkEnd w:id="454"/>
      <w:r>
        <w:t>: Print Unit Caution Tag and Transfusion Record Form</w:t>
      </w:r>
    </w:p>
    <w:p w14:paraId="6E3A6D52" w14:textId="77777777" w:rsidR="00CF47D5" w:rsidRDefault="00057948" w:rsidP="00936CE0">
      <w:pPr>
        <w:pStyle w:val="BodyText"/>
        <w:rPr>
          <w:rStyle w:val="BullhornChar"/>
        </w:rPr>
      </w:pPr>
      <w:r>
        <w:rPr>
          <w:rFonts w:ascii="Webdings" w:hAnsi="Webdings"/>
          <w:noProof/>
          <w:sz w:val="40"/>
          <w:szCs w:val="24"/>
        </w:rPr>
        <w:drawing>
          <wp:inline distT="0" distB="0" distL="0" distR="0" wp14:anchorId="6174C32B" wp14:editId="19DE3E8E">
            <wp:extent cx="3657600" cy="2706370"/>
            <wp:effectExtent l="0" t="0" r="0" b="0"/>
            <wp:docPr id="199" name="Picture 199" descr="Example of Print Unit Caution Tag and Transfusion Record Form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Picture 199" descr="Example of Print Unit Caution Tag and Transfusion Record Form screen capture"/>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3657600" cy="2706370"/>
                    </a:xfrm>
                    <a:prstGeom prst="rect">
                      <a:avLst/>
                    </a:prstGeom>
                    <a:noFill/>
                    <a:ln>
                      <a:noFill/>
                    </a:ln>
                  </pic:spPr>
                </pic:pic>
              </a:graphicData>
            </a:graphic>
          </wp:inline>
        </w:drawing>
      </w:r>
    </w:p>
    <w:p w14:paraId="5280DCFF" w14:textId="77777777" w:rsidR="002A21AE" w:rsidRDefault="00CF47D5" w:rsidP="00CD3C64">
      <w:pPr>
        <w:pStyle w:val="BodyText"/>
      </w:pPr>
      <w:r>
        <w:rPr>
          <w:rStyle w:val="BullhornChar"/>
        </w:rPr>
        <w:br w:type="page"/>
      </w:r>
      <w:r w:rsidR="00896F17" w:rsidRPr="00896F17">
        <w:rPr>
          <w:rStyle w:val="BullhornChar"/>
        </w:rPr>
        <w:lastRenderedPageBreak/>
        <w:t></w:t>
      </w:r>
      <w:r w:rsidR="00896F17" w:rsidRPr="00896F17">
        <w:rPr>
          <w:rStyle w:val="Heading4Char"/>
        </w:rPr>
        <w:t xml:space="preserve"> </w:t>
      </w:r>
      <w:r w:rsidR="002A21AE" w:rsidRPr="00896F17">
        <w:rPr>
          <w:rStyle w:val="Heading4Char"/>
        </w:rPr>
        <w:t>Alerts</w:t>
      </w:r>
    </w:p>
    <w:p w14:paraId="34AB065E" w14:textId="40671A19" w:rsidR="002A21AE" w:rsidRDefault="002A21AE">
      <w:pPr>
        <w:pStyle w:val="Caption"/>
      </w:pPr>
      <w:bookmarkStart w:id="455" w:name="_Ref126504208"/>
      <w:bookmarkStart w:id="456" w:name="_Toc97523620"/>
      <w:bookmarkStart w:id="457" w:name="_Toc97527590"/>
      <w:r>
        <w:t xml:space="preserve">Table </w:t>
      </w:r>
      <w:r w:rsidR="004E20BD">
        <w:rPr>
          <w:noProof/>
        </w:rPr>
        <w:fldChar w:fldCharType="begin"/>
      </w:r>
      <w:r w:rsidR="004E20BD">
        <w:rPr>
          <w:noProof/>
        </w:rPr>
        <w:instrText xml:space="preserve"> SEQ Table \* ARABIC </w:instrText>
      </w:r>
      <w:r w:rsidR="004E20BD">
        <w:rPr>
          <w:noProof/>
        </w:rPr>
        <w:fldChar w:fldCharType="separate"/>
      </w:r>
      <w:r w:rsidR="007D1829">
        <w:rPr>
          <w:noProof/>
        </w:rPr>
        <w:t>9</w:t>
      </w:r>
      <w:r w:rsidR="004E20BD">
        <w:rPr>
          <w:noProof/>
        </w:rPr>
        <w:fldChar w:fldCharType="end"/>
      </w:r>
      <w:bookmarkEnd w:id="455"/>
      <w:r>
        <w:t xml:space="preserve">: Alerts That May Occur in </w:t>
      </w:r>
      <w:r w:rsidR="005D42CA">
        <w:t>Print Unit Caution Tag &amp; Transfusion Record Form</w:t>
      </w:r>
      <w:r>
        <w:t xml:space="preserve"> (Step 3)</w:t>
      </w:r>
      <w:bookmarkEnd w:id="456"/>
      <w:bookmarkEnd w:id="457"/>
      <w:r>
        <w:fldChar w:fldCharType="begin"/>
      </w:r>
      <w:r>
        <w:instrText xml:space="preserve"> XE </w:instrText>
      </w:r>
      <w:r w:rsidR="00FA7E65">
        <w:instrText>“</w:instrText>
      </w:r>
      <w:r>
        <w:instrText xml:space="preserve">Tables:Alerts That May Occur in </w:instrText>
      </w:r>
      <w:r w:rsidR="005D42CA">
        <w:instrText>Print Unit Caution Tag &amp; Transfusion Record Form</w:instrText>
      </w:r>
      <w:r w:rsidR="00FA7E65">
        <w:instrText>”</w:instrText>
      </w:r>
      <w:r>
        <w:instrText xml:space="preserve"> </w:instrText>
      </w:r>
      <w:r>
        <w:fldChar w:fldCharType="end"/>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54"/>
        <w:gridCol w:w="3818"/>
        <w:gridCol w:w="1588"/>
      </w:tblGrid>
      <w:tr w:rsidR="00F77995" w14:paraId="12B09103" w14:textId="77777777">
        <w:trPr>
          <w:tblHeader/>
        </w:trPr>
        <w:tc>
          <w:tcPr>
            <w:tcW w:w="5311" w:type="dxa"/>
            <w:shd w:val="clear" w:color="auto" w:fill="B3B3B3"/>
            <w:vAlign w:val="bottom"/>
          </w:tcPr>
          <w:p w14:paraId="202014EC" w14:textId="77777777" w:rsidR="000B56AE" w:rsidRDefault="000B56AE">
            <w:pPr>
              <w:pStyle w:val="TableText"/>
              <w:rPr>
                <w:b/>
              </w:rPr>
            </w:pPr>
            <w:r>
              <w:rPr>
                <w:b/>
              </w:rPr>
              <w:t>User Action Step 3: When This Condition Exists …</w:t>
            </w:r>
          </w:p>
        </w:tc>
        <w:tc>
          <w:tcPr>
            <w:tcW w:w="5253" w:type="dxa"/>
            <w:shd w:val="clear" w:color="auto" w:fill="B3B3B3"/>
            <w:vAlign w:val="bottom"/>
          </w:tcPr>
          <w:p w14:paraId="09CF743C" w14:textId="77777777" w:rsidR="000B56AE" w:rsidRDefault="000B56AE">
            <w:pPr>
              <w:pStyle w:val="TableText"/>
              <w:rPr>
                <w:b/>
              </w:rPr>
            </w:pPr>
            <w:r>
              <w:rPr>
                <w:b/>
              </w:rPr>
              <w:t xml:space="preserve">… </w:t>
            </w:r>
            <w:r w:rsidRPr="00896F17">
              <w:rPr>
                <w:rStyle w:val="BullhornChar"/>
              </w:rPr>
              <w:t></w:t>
            </w:r>
            <w:r>
              <w:rPr>
                <w:rFonts w:ascii="Webdings" w:hAnsi="Webdings"/>
              </w:rPr>
              <w:t></w:t>
            </w:r>
            <w:r>
              <w:rPr>
                <w:b/>
              </w:rPr>
              <w:t>VBECS Emits</w:t>
            </w:r>
            <w:r>
              <w:rPr>
                <w:b/>
                <w:noProof/>
              </w:rPr>
              <w:t xml:space="preserve"> an Audible Alert </w:t>
            </w:r>
            <w:r>
              <w:rPr>
                <w:b/>
              </w:rPr>
              <w:t>and Warns the User:</w:t>
            </w:r>
          </w:p>
        </w:tc>
        <w:tc>
          <w:tcPr>
            <w:tcW w:w="1793" w:type="dxa"/>
            <w:shd w:val="clear" w:color="auto" w:fill="B3B3B3"/>
            <w:vAlign w:val="bottom"/>
          </w:tcPr>
          <w:p w14:paraId="76AAD4BF" w14:textId="77777777" w:rsidR="000B56AE" w:rsidRDefault="000B56AE">
            <w:pPr>
              <w:pStyle w:val="TableText"/>
              <w:rPr>
                <w:b/>
              </w:rPr>
            </w:pPr>
            <w:r>
              <w:rPr>
                <w:b/>
              </w:rPr>
              <w:t>User Role</w:t>
            </w:r>
          </w:p>
        </w:tc>
      </w:tr>
      <w:tr w:rsidR="00F77995" w14:paraId="72374AAA" w14:textId="77777777">
        <w:trPr>
          <w:hidden/>
        </w:trPr>
        <w:tc>
          <w:tcPr>
            <w:tcW w:w="5311" w:type="dxa"/>
            <w:vMerge w:val="restart"/>
            <w:vAlign w:val="center"/>
          </w:tcPr>
          <w:p w14:paraId="1AB7C9AD" w14:textId="77777777" w:rsidR="000B56AE" w:rsidRDefault="000B56AE">
            <w:pPr>
              <w:pStyle w:val="TableText"/>
            </w:pPr>
            <w:r>
              <w:rPr>
                <w:rFonts w:cs="Arial"/>
                <w:vanish/>
              </w:rPr>
              <w:t xml:space="preserve">BR_43.18 </w:t>
            </w:r>
            <w:r>
              <w:t xml:space="preserve">VBECS determines whether the patient has a calculated or persistent antigen negative requirement (except when selecting autologous units). The selected unit was antigen typed and is positive for the corresponding antigen or is untested for the antigen. </w:t>
            </w:r>
          </w:p>
        </w:tc>
        <w:tc>
          <w:tcPr>
            <w:tcW w:w="5253" w:type="dxa"/>
            <w:vAlign w:val="bottom"/>
          </w:tcPr>
          <w:p w14:paraId="17C0C46C" w14:textId="77777777" w:rsidR="000B56AE" w:rsidRDefault="000B56AE">
            <w:pPr>
              <w:pStyle w:val="TableText"/>
            </w:pPr>
            <w:r>
              <w:t>The patient has a history of a clinically significant antibody, the unit is positive or untested for the corresponding antigen, the user does not have the proper security level. There is no override.</w:t>
            </w:r>
          </w:p>
        </w:tc>
        <w:tc>
          <w:tcPr>
            <w:tcW w:w="1793" w:type="dxa"/>
            <w:vAlign w:val="bottom"/>
          </w:tcPr>
          <w:p w14:paraId="593C1D27" w14:textId="77777777" w:rsidR="000B56AE" w:rsidRDefault="000B56AE">
            <w:pPr>
              <w:pStyle w:val="TableText"/>
            </w:pPr>
            <w:r>
              <w:t>Enhanced Technologist or below</w:t>
            </w:r>
          </w:p>
        </w:tc>
      </w:tr>
      <w:tr w:rsidR="00F77995" w14:paraId="00FF8758" w14:textId="77777777">
        <w:tc>
          <w:tcPr>
            <w:tcW w:w="5311" w:type="dxa"/>
            <w:vMerge/>
            <w:vAlign w:val="center"/>
          </w:tcPr>
          <w:p w14:paraId="4E38525E" w14:textId="77777777" w:rsidR="000B56AE" w:rsidRDefault="000B56AE">
            <w:pPr>
              <w:pStyle w:val="TableText"/>
            </w:pPr>
          </w:p>
        </w:tc>
        <w:tc>
          <w:tcPr>
            <w:tcW w:w="5253" w:type="dxa"/>
            <w:vAlign w:val="bottom"/>
          </w:tcPr>
          <w:p w14:paraId="61BCCEAA" w14:textId="77777777" w:rsidR="000B56AE" w:rsidRDefault="000B56AE">
            <w:pPr>
              <w:pStyle w:val="TableText"/>
              <w:rPr>
                <w:noProof/>
              </w:rPr>
            </w:pPr>
            <w:r>
              <w:t xml:space="preserve">The patient has a history of an antibody(s) and the unit ID is positive or untested for the corresponding antigen(s). Continue to print Caution Tag or BTRF? </w:t>
            </w:r>
            <w:r>
              <w:rPr>
                <w:b/>
                <w:bCs/>
              </w:rPr>
              <w:t>No</w:t>
            </w:r>
            <w:r>
              <w:t xml:space="preserve"> clears the screen. </w:t>
            </w:r>
            <w:r>
              <w:rPr>
                <w:b/>
                <w:bCs/>
              </w:rPr>
              <w:t>Yes</w:t>
            </w:r>
            <w:r>
              <w:t xml:space="preserve"> requires a comment and captures details for inclusion in an Exception Report (exception type: Caution Tag or BTRF printed for antigen positive or untested unit).</w:t>
            </w:r>
          </w:p>
        </w:tc>
        <w:tc>
          <w:tcPr>
            <w:tcW w:w="1793" w:type="dxa"/>
            <w:vAlign w:val="bottom"/>
          </w:tcPr>
          <w:p w14:paraId="23514CE4" w14:textId="77777777" w:rsidR="000B56AE" w:rsidRDefault="000B56AE">
            <w:pPr>
              <w:pStyle w:val="TableText"/>
            </w:pPr>
            <w:r>
              <w:t xml:space="preserve">Lead Technologist </w:t>
            </w:r>
          </w:p>
        </w:tc>
      </w:tr>
      <w:tr w:rsidR="00F77995" w14:paraId="7EE6B8DE" w14:textId="77777777">
        <w:trPr>
          <w:hidden/>
        </w:trPr>
        <w:tc>
          <w:tcPr>
            <w:tcW w:w="5311" w:type="dxa"/>
            <w:vMerge w:val="restart"/>
            <w:vAlign w:val="center"/>
          </w:tcPr>
          <w:p w14:paraId="65F7FD81" w14:textId="77777777" w:rsidR="000B56AE" w:rsidRDefault="000B56AE">
            <w:pPr>
              <w:pStyle w:val="TableText"/>
            </w:pPr>
            <w:r>
              <w:rPr>
                <w:rFonts w:cs="Arial"/>
                <w:vanish/>
              </w:rPr>
              <w:t xml:space="preserve">BR_43.19 </w:t>
            </w:r>
            <w:r>
              <w:t>When the patient has TRs, VBECS evaluates the selected unit to see whether a TR was satisfied based on system rules</w:t>
            </w:r>
            <w:r>
              <w:rPr>
                <w:vanish/>
                <w:szCs w:val="18"/>
              </w:rPr>
              <w:t>TT_3.04</w:t>
            </w:r>
            <w:r>
              <w:t xml:space="preserve">, including emergency issue. </w:t>
            </w:r>
          </w:p>
        </w:tc>
        <w:tc>
          <w:tcPr>
            <w:tcW w:w="5253" w:type="dxa"/>
            <w:vAlign w:val="bottom"/>
          </w:tcPr>
          <w:p w14:paraId="75C52317" w14:textId="77777777" w:rsidR="000B56AE" w:rsidRDefault="000B56AE">
            <w:pPr>
              <w:pStyle w:val="TableText"/>
            </w:pPr>
            <w:r>
              <w:t>The patient has</w:t>
            </w:r>
            <w:r>
              <w:rPr>
                <w:noProof/>
              </w:rPr>
              <w:t xml:space="preserve"> </w:t>
            </w:r>
            <w:r>
              <w:t xml:space="preserve">at least one </w:t>
            </w:r>
            <w:r>
              <w:rPr>
                <w:noProof/>
              </w:rPr>
              <w:t xml:space="preserve">TR that is not satisfied, the user does </w:t>
            </w:r>
            <w:r>
              <w:t>not have the proper security level to print the Caution Tag or BTRF for this unit. Further processing is needed and must be documented in VBECS. There is no override.</w:t>
            </w:r>
          </w:p>
        </w:tc>
        <w:tc>
          <w:tcPr>
            <w:tcW w:w="1793" w:type="dxa"/>
            <w:vAlign w:val="bottom"/>
          </w:tcPr>
          <w:p w14:paraId="26E01DDF" w14:textId="77777777" w:rsidR="000B56AE" w:rsidRDefault="000B56AE">
            <w:pPr>
              <w:pStyle w:val="TableText"/>
            </w:pPr>
            <w:r>
              <w:t>Enhanced Technologist or below</w:t>
            </w:r>
          </w:p>
        </w:tc>
      </w:tr>
      <w:tr w:rsidR="00F77995" w14:paraId="4C793802" w14:textId="77777777">
        <w:tc>
          <w:tcPr>
            <w:tcW w:w="5311" w:type="dxa"/>
            <w:vMerge/>
            <w:vAlign w:val="center"/>
          </w:tcPr>
          <w:p w14:paraId="744F1A13" w14:textId="77777777" w:rsidR="000B56AE" w:rsidRDefault="000B56AE">
            <w:pPr>
              <w:pStyle w:val="TableText"/>
            </w:pPr>
          </w:p>
        </w:tc>
        <w:tc>
          <w:tcPr>
            <w:tcW w:w="5253" w:type="dxa"/>
            <w:vAlign w:val="bottom"/>
          </w:tcPr>
          <w:p w14:paraId="19A84DCE" w14:textId="77777777" w:rsidR="000B56AE" w:rsidRDefault="000B56AE">
            <w:pPr>
              <w:pStyle w:val="TableText"/>
            </w:pPr>
            <w:r>
              <w:t xml:space="preserve">The patient has at least one </w:t>
            </w:r>
            <w:r>
              <w:rPr>
                <w:noProof/>
              </w:rPr>
              <w:t>TR that is not satisfied</w:t>
            </w:r>
            <w:r>
              <w:t xml:space="preserve">. Continue to print Caution Tag or BTRF? </w:t>
            </w:r>
            <w:r>
              <w:rPr>
                <w:b/>
                <w:bCs/>
              </w:rPr>
              <w:t>No</w:t>
            </w:r>
            <w:r>
              <w:t xml:space="preserve"> clears the screen. </w:t>
            </w:r>
            <w:r>
              <w:rPr>
                <w:b/>
                <w:bCs/>
              </w:rPr>
              <w:t>Yes</w:t>
            </w:r>
            <w:r>
              <w:t xml:space="preserve"> requires a comment and captures details for inclusion in an Exception Report (exception type: Caution Tag printed with unsatisfied TR).</w:t>
            </w:r>
          </w:p>
        </w:tc>
        <w:tc>
          <w:tcPr>
            <w:tcW w:w="1793" w:type="dxa"/>
            <w:vAlign w:val="bottom"/>
          </w:tcPr>
          <w:p w14:paraId="68BD97E6" w14:textId="77777777" w:rsidR="000B56AE" w:rsidRDefault="000B56AE">
            <w:pPr>
              <w:pStyle w:val="TableText"/>
            </w:pPr>
            <w:r>
              <w:t xml:space="preserve">Lead Technologist </w:t>
            </w:r>
          </w:p>
        </w:tc>
      </w:tr>
      <w:tr w:rsidR="00F77995" w14:paraId="0AA0965A" w14:textId="77777777">
        <w:trPr>
          <w:hidden/>
        </w:trPr>
        <w:tc>
          <w:tcPr>
            <w:tcW w:w="5311" w:type="dxa"/>
            <w:vMerge w:val="restart"/>
            <w:vAlign w:val="center"/>
          </w:tcPr>
          <w:p w14:paraId="61667C51" w14:textId="77777777" w:rsidR="000B56AE" w:rsidRDefault="000B56AE">
            <w:pPr>
              <w:pStyle w:val="TableText"/>
            </w:pPr>
            <w:r>
              <w:rPr>
                <w:rFonts w:cs="Arial"/>
                <w:vanish/>
              </w:rPr>
              <w:t xml:space="preserve">BR_43.16 </w:t>
            </w:r>
            <w:r>
              <w:t>The patient specimen is expired.</w:t>
            </w:r>
          </w:p>
        </w:tc>
        <w:tc>
          <w:tcPr>
            <w:tcW w:w="5253" w:type="dxa"/>
            <w:vAlign w:val="bottom"/>
          </w:tcPr>
          <w:p w14:paraId="33BC163A" w14:textId="77777777" w:rsidR="000B56AE" w:rsidRDefault="000B56AE">
            <w:pPr>
              <w:pStyle w:val="TableText"/>
            </w:pPr>
            <w:r>
              <w:t>The patient specimen is expired. There is no override.</w:t>
            </w:r>
          </w:p>
        </w:tc>
        <w:tc>
          <w:tcPr>
            <w:tcW w:w="1793" w:type="dxa"/>
            <w:vAlign w:val="bottom"/>
          </w:tcPr>
          <w:p w14:paraId="51AD9100" w14:textId="77777777" w:rsidR="000B56AE" w:rsidRDefault="000B56AE">
            <w:pPr>
              <w:pStyle w:val="TableText"/>
            </w:pPr>
            <w:r>
              <w:t>Technologist</w:t>
            </w:r>
          </w:p>
        </w:tc>
      </w:tr>
      <w:tr w:rsidR="00F77995" w14:paraId="2E110A9C" w14:textId="77777777">
        <w:tc>
          <w:tcPr>
            <w:tcW w:w="5311" w:type="dxa"/>
            <w:vMerge/>
            <w:vAlign w:val="center"/>
          </w:tcPr>
          <w:p w14:paraId="4DB4BD02" w14:textId="77777777" w:rsidR="000B56AE" w:rsidRDefault="000B56AE">
            <w:pPr>
              <w:pStyle w:val="TableText"/>
            </w:pPr>
          </w:p>
        </w:tc>
        <w:tc>
          <w:tcPr>
            <w:tcW w:w="5253" w:type="dxa"/>
            <w:vAlign w:val="bottom"/>
          </w:tcPr>
          <w:p w14:paraId="29C3C60D" w14:textId="77777777" w:rsidR="000B56AE" w:rsidRDefault="000B56AE">
            <w:pPr>
              <w:pStyle w:val="TableText"/>
            </w:pPr>
            <w:r>
              <w:t xml:space="preserve">The patient specimen is expired. Continue to print the Caution Tag and/or the BTRF? </w:t>
            </w:r>
            <w:r>
              <w:rPr>
                <w:b/>
                <w:bCs/>
              </w:rPr>
              <w:t>No</w:t>
            </w:r>
            <w:r>
              <w:t xml:space="preserve"> clears the screen. </w:t>
            </w:r>
            <w:r>
              <w:rPr>
                <w:b/>
                <w:bCs/>
              </w:rPr>
              <w:t>Yes</w:t>
            </w:r>
            <w:r>
              <w:t xml:space="preserve"> requires a comment and captures details for inclusion in an Exception Report (exception type: Caution Tag printed on expired specimen).</w:t>
            </w:r>
          </w:p>
        </w:tc>
        <w:tc>
          <w:tcPr>
            <w:tcW w:w="1793" w:type="dxa"/>
            <w:vAlign w:val="bottom"/>
          </w:tcPr>
          <w:p w14:paraId="5691AFC5" w14:textId="77777777" w:rsidR="000B56AE" w:rsidRDefault="000B56AE">
            <w:pPr>
              <w:pStyle w:val="TableText"/>
            </w:pPr>
            <w:r>
              <w:t xml:space="preserve">Enhanced Technologist </w:t>
            </w:r>
          </w:p>
        </w:tc>
      </w:tr>
      <w:tr w:rsidR="00F77995" w14:paraId="59530D7D" w14:textId="77777777">
        <w:trPr>
          <w:hidden/>
        </w:trPr>
        <w:tc>
          <w:tcPr>
            <w:tcW w:w="5311" w:type="dxa"/>
            <w:vAlign w:val="center"/>
          </w:tcPr>
          <w:p w14:paraId="5ED0C7AE" w14:textId="77777777" w:rsidR="00F77995" w:rsidRDefault="00C3145B">
            <w:pPr>
              <w:pStyle w:val="TableText"/>
              <w:rPr>
                <w:szCs w:val="18"/>
              </w:rPr>
            </w:pPr>
            <w:r w:rsidRPr="00693D9B">
              <w:rPr>
                <w:vanish/>
                <w:szCs w:val="18"/>
              </w:rPr>
              <w:t>BR_3.05</w:t>
            </w:r>
            <w:r>
              <w:rPr>
                <w:vanish/>
                <w:szCs w:val="18"/>
              </w:rPr>
              <w:t xml:space="preserve"> </w:t>
            </w:r>
            <w:r w:rsidR="00F77995">
              <w:rPr>
                <w:szCs w:val="18"/>
              </w:rPr>
              <w:t>The user attempts to print Caution Tags for emergency issue and:</w:t>
            </w:r>
          </w:p>
          <w:p w14:paraId="0A894338" w14:textId="77777777" w:rsidR="00F77995" w:rsidRDefault="00C3145B" w:rsidP="00F77995">
            <w:pPr>
              <w:pStyle w:val="TableTextBullet"/>
            </w:pPr>
            <w:r>
              <w:rPr>
                <w:szCs w:val="18"/>
              </w:rPr>
              <w:t>The c</w:t>
            </w:r>
            <w:r w:rsidR="00F77995">
              <w:t xml:space="preserve">urrent specimen has an </w:t>
            </w:r>
            <w:r w:rsidR="000B56AE">
              <w:t>“Emergency Issue” order</w:t>
            </w:r>
            <w:r>
              <w:t>.</w:t>
            </w:r>
          </w:p>
          <w:p w14:paraId="4EE46920" w14:textId="77777777" w:rsidR="00C3145B" w:rsidRDefault="00C3145B" w:rsidP="00F77995">
            <w:pPr>
              <w:pStyle w:val="TableTextBullet"/>
            </w:pPr>
            <w:r>
              <w:t>The patient has no record of ABO/Rh typing.</w:t>
            </w:r>
          </w:p>
          <w:p w14:paraId="2BA1C9CB" w14:textId="77777777" w:rsidR="00C3145B" w:rsidRDefault="00C3145B" w:rsidP="00C3145B">
            <w:pPr>
              <w:pStyle w:val="TableTextBullet"/>
            </w:pPr>
            <w:r>
              <w:t>The r</w:t>
            </w:r>
            <w:r w:rsidR="000B56AE">
              <w:t>equired ABO/Rh specimen testing</w:t>
            </w:r>
            <w:r w:rsidR="000B56AE">
              <w:rPr>
                <w:color w:val="000000"/>
              </w:rPr>
              <w:t xml:space="preserve"> is</w:t>
            </w:r>
            <w:r w:rsidR="000B56AE">
              <w:t xml:space="preserve"> incomplete</w:t>
            </w:r>
            <w:r>
              <w:t>.</w:t>
            </w:r>
          </w:p>
          <w:p w14:paraId="78C72A10" w14:textId="77777777" w:rsidR="00C3145B" w:rsidRDefault="00C3145B" w:rsidP="00C3145B">
            <w:pPr>
              <w:pStyle w:val="TableText"/>
            </w:pPr>
          </w:p>
          <w:p w14:paraId="0BA5A64C" w14:textId="77777777" w:rsidR="00F77995" w:rsidRDefault="00C3145B" w:rsidP="00C3145B">
            <w:pPr>
              <w:pStyle w:val="TableText"/>
            </w:pPr>
            <w:r>
              <w:t>The u</w:t>
            </w:r>
            <w:r w:rsidR="00F77995">
              <w:t>ser may select:</w:t>
            </w:r>
          </w:p>
          <w:p w14:paraId="6CE95619" w14:textId="77777777" w:rsidR="00F77995" w:rsidRDefault="00F77995" w:rsidP="00C3145B">
            <w:pPr>
              <w:pStyle w:val="TableTextBullet"/>
            </w:pPr>
            <w:r>
              <w:t xml:space="preserve">For WB or RBC order only: </w:t>
            </w:r>
            <w:r w:rsidR="00093181">
              <w:t>group</w:t>
            </w:r>
            <w:r w:rsidR="000014DD">
              <w:t xml:space="preserve"> </w:t>
            </w:r>
            <w:r>
              <w:t xml:space="preserve">O, Rh positive or O Rh negative </w:t>
            </w:r>
            <w:r w:rsidR="00C3145B">
              <w:t>(</w:t>
            </w:r>
            <w:r w:rsidR="000B56AE">
              <w:t>WHOLE BLOOD is not available</w:t>
            </w:r>
            <w:r w:rsidR="00C3145B">
              <w:t>).</w:t>
            </w:r>
          </w:p>
          <w:p w14:paraId="4E98E887" w14:textId="77777777" w:rsidR="00F77995" w:rsidRDefault="00626C6A" w:rsidP="00C3145B">
            <w:pPr>
              <w:pStyle w:val="TableTextBullet"/>
            </w:pPr>
            <w:r>
              <w:t>F</w:t>
            </w:r>
            <w:r w:rsidR="000B56AE">
              <w:t>or FFP order only:</w:t>
            </w:r>
            <w:r w:rsidR="00D5161F">
              <w:t xml:space="preserve"> g</w:t>
            </w:r>
            <w:r w:rsidR="000B56AE">
              <w:t>roup AB, Rh positive or Rh negative</w:t>
            </w:r>
            <w:r>
              <w:t>.</w:t>
            </w:r>
          </w:p>
          <w:p w14:paraId="5B1D6F2A" w14:textId="77777777" w:rsidR="000B56AE" w:rsidRDefault="000B56AE" w:rsidP="00C3145B">
            <w:pPr>
              <w:pStyle w:val="TableTextBullet"/>
            </w:pPr>
            <w:r>
              <w:t>For PLT order:</w:t>
            </w:r>
            <w:r w:rsidR="00D5161F">
              <w:t xml:space="preserve"> a</w:t>
            </w:r>
            <w:r>
              <w:t>ll available units are issuable.</w:t>
            </w:r>
          </w:p>
        </w:tc>
        <w:tc>
          <w:tcPr>
            <w:tcW w:w="5253" w:type="dxa"/>
            <w:vAlign w:val="bottom"/>
          </w:tcPr>
          <w:p w14:paraId="133E7C39" w14:textId="77777777" w:rsidR="000B56AE" w:rsidRDefault="000B56AE">
            <w:pPr>
              <w:pStyle w:val="TableText"/>
            </w:pPr>
            <w:r>
              <w:t>The unit does not meet these requirements. Testing is incomplete and this unit is not eligible for emergency issue. The Caution Tag cannot be printed. There is no override.</w:t>
            </w:r>
          </w:p>
        </w:tc>
        <w:tc>
          <w:tcPr>
            <w:tcW w:w="1793" w:type="dxa"/>
            <w:vAlign w:val="bottom"/>
          </w:tcPr>
          <w:p w14:paraId="5F3041A4" w14:textId="77777777" w:rsidR="000B56AE" w:rsidRDefault="000B56AE">
            <w:pPr>
              <w:pStyle w:val="TableText"/>
            </w:pPr>
            <w:r>
              <w:t>All users</w:t>
            </w:r>
          </w:p>
        </w:tc>
      </w:tr>
      <w:tr w:rsidR="00F77995" w14:paraId="217CDBFA" w14:textId="77777777">
        <w:trPr>
          <w:hidden/>
        </w:trPr>
        <w:tc>
          <w:tcPr>
            <w:tcW w:w="5311" w:type="dxa"/>
            <w:vAlign w:val="center"/>
          </w:tcPr>
          <w:p w14:paraId="6239573D" w14:textId="77777777" w:rsidR="000B56AE" w:rsidRDefault="000B56AE">
            <w:pPr>
              <w:pStyle w:val="TableText"/>
            </w:pPr>
            <w:r>
              <w:rPr>
                <w:rFonts w:cs="Arial"/>
                <w:vanish/>
              </w:rPr>
              <w:lastRenderedPageBreak/>
              <w:t xml:space="preserve">BR_43.02 </w:t>
            </w:r>
            <w:r>
              <w:t>VBECS determines whether a blood unit that does require crossmatch (electronic or serologic) is ready for issue based on the following rules:</w:t>
            </w:r>
          </w:p>
          <w:p w14:paraId="4CD4AF67" w14:textId="77777777" w:rsidR="000B56AE" w:rsidRDefault="000B56AE" w:rsidP="00BE2D19">
            <w:pPr>
              <w:pStyle w:val="TableTextBullet"/>
            </w:pPr>
            <w:r>
              <w:t xml:space="preserve">Unit is not in a frozen state. </w:t>
            </w:r>
          </w:p>
          <w:p w14:paraId="1659E002" w14:textId="77777777" w:rsidR="000B56AE" w:rsidRDefault="000B56AE" w:rsidP="00BE2D19">
            <w:pPr>
              <w:pStyle w:val="TableTextBullet"/>
            </w:pPr>
            <w:r>
              <w:t>The unit is crossmatched to the patient (eXM, or serologic XM).</w:t>
            </w:r>
          </w:p>
          <w:p w14:paraId="10F35B2F" w14:textId="77777777" w:rsidR="000B56AE" w:rsidRDefault="000B56AE" w:rsidP="00BE2D19">
            <w:pPr>
              <w:pStyle w:val="TableTextBullet"/>
            </w:pPr>
            <w:r>
              <w:t xml:space="preserve">TAS Specimen testing is complete and valid (ABO/Rh and </w:t>
            </w:r>
            <w:r w:rsidR="004E2F2D">
              <w:t>ABS</w:t>
            </w:r>
            <w:r>
              <w:t xml:space="preserve"> results are entered).</w:t>
            </w:r>
          </w:p>
          <w:p w14:paraId="62FDE53A" w14:textId="77777777" w:rsidR="000B56AE" w:rsidRDefault="000B56AE">
            <w:pPr>
              <w:pStyle w:val="TableText"/>
            </w:pPr>
            <w:r>
              <w:t>One of these crossmatch interpretations was entered:</w:t>
            </w:r>
          </w:p>
          <w:p w14:paraId="414FC307" w14:textId="77777777" w:rsidR="000B56AE" w:rsidRDefault="000B56AE" w:rsidP="00BE2D19">
            <w:pPr>
              <w:pStyle w:val="TableTextBullet"/>
            </w:pPr>
            <w:r>
              <w:t xml:space="preserve">Crossmatch Compatible </w:t>
            </w:r>
          </w:p>
          <w:p w14:paraId="2BF9BF08" w14:textId="77777777" w:rsidR="000B56AE" w:rsidRDefault="000B56AE" w:rsidP="00BE2D19">
            <w:pPr>
              <w:pStyle w:val="TableTextBullet"/>
            </w:pPr>
            <w:r>
              <w:t>Compatible: Electronically crossmatched</w:t>
            </w:r>
          </w:p>
          <w:p w14:paraId="2722676E" w14:textId="77777777" w:rsidR="000B56AE" w:rsidRDefault="000B56AE" w:rsidP="00BE2D19">
            <w:pPr>
              <w:pStyle w:val="TableTextBullet"/>
            </w:pPr>
            <w:r>
              <w:t>Crossmatch Incompatible: Give only with Medical Director approval</w:t>
            </w:r>
          </w:p>
        </w:tc>
        <w:tc>
          <w:tcPr>
            <w:tcW w:w="5253" w:type="dxa"/>
            <w:vAlign w:val="bottom"/>
          </w:tcPr>
          <w:p w14:paraId="6DE6B269" w14:textId="77777777" w:rsidR="000B56AE" w:rsidRDefault="000B56AE">
            <w:pPr>
              <w:pStyle w:val="TableText"/>
            </w:pPr>
            <w:r>
              <w:t xml:space="preserve">All of the conditions for the unit are met but an emergency issue order indicator is in place or the testing is incomplete or inconclusive on the current specimen and units were selected. Do you want to print emergency issue tags/forms for the unit/patient? </w:t>
            </w:r>
            <w:r>
              <w:rPr>
                <w:b/>
                <w:bCs/>
              </w:rPr>
              <w:t>Yes</w:t>
            </w:r>
            <w:r>
              <w:t xml:space="preserve"> prints the emergency issue tags and forms. </w:t>
            </w:r>
            <w:r>
              <w:rPr>
                <w:b/>
                <w:bCs/>
              </w:rPr>
              <w:t>No</w:t>
            </w:r>
            <w:r>
              <w:t xml:space="preserve"> does not allow the user to continue.</w:t>
            </w:r>
          </w:p>
        </w:tc>
        <w:tc>
          <w:tcPr>
            <w:tcW w:w="1793" w:type="dxa"/>
            <w:vAlign w:val="bottom"/>
          </w:tcPr>
          <w:p w14:paraId="465762FA" w14:textId="77777777" w:rsidR="000B56AE" w:rsidRDefault="000B56AE">
            <w:pPr>
              <w:pStyle w:val="TableText"/>
            </w:pPr>
            <w:r>
              <w:t>All users</w:t>
            </w:r>
          </w:p>
        </w:tc>
      </w:tr>
      <w:tr w:rsidR="00F77995" w14:paraId="2834FD59" w14:textId="77777777">
        <w:trPr>
          <w:hidden/>
        </w:trPr>
        <w:tc>
          <w:tcPr>
            <w:tcW w:w="5311" w:type="dxa"/>
            <w:tcBorders>
              <w:bottom w:val="single" w:sz="4" w:space="0" w:color="auto"/>
            </w:tcBorders>
            <w:vAlign w:val="center"/>
          </w:tcPr>
          <w:p w14:paraId="4E0FC06A" w14:textId="77777777" w:rsidR="000B56AE" w:rsidRDefault="000B56AE" w:rsidP="00AC7151">
            <w:pPr>
              <w:pStyle w:val="TableText"/>
            </w:pPr>
            <w:r>
              <w:rPr>
                <w:rFonts w:cs="Arial"/>
                <w:vanish/>
              </w:rPr>
              <w:t xml:space="preserve">BR_43.07 </w:t>
            </w:r>
            <w:r>
              <w:t xml:space="preserve">For blood units that </w:t>
            </w:r>
            <w:r>
              <w:rPr>
                <w:iCs/>
              </w:rPr>
              <w:t>do not require crossmatch</w:t>
            </w:r>
            <w:r>
              <w:t xml:space="preserve"> when the unit is assigned to the patient and is not in a frozen state, VBECS determines when a blood unit is ready for issue. </w:t>
            </w:r>
          </w:p>
        </w:tc>
        <w:tc>
          <w:tcPr>
            <w:tcW w:w="5253" w:type="dxa"/>
            <w:tcBorders>
              <w:bottom w:val="single" w:sz="4" w:space="0" w:color="auto"/>
            </w:tcBorders>
            <w:vAlign w:val="bottom"/>
          </w:tcPr>
          <w:p w14:paraId="4D557DFF" w14:textId="77777777" w:rsidR="000B56AE" w:rsidRDefault="000B56AE">
            <w:pPr>
              <w:pStyle w:val="TableText"/>
            </w:pPr>
            <w:r>
              <w:t>All of the conditions for the unit are</w:t>
            </w:r>
            <w:r>
              <w:rPr>
                <w:i/>
              </w:rPr>
              <w:t xml:space="preserve"> </w:t>
            </w:r>
            <w:r>
              <w:rPr>
                <w:iCs/>
              </w:rPr>
              <w:t>not</w:t>
            </w:r>
            <w:r>
              <w:t xml:space="preserve"> met. The Caution Tag and/or the BTRF cannot be printed at this time and the reason they </w:t>
            </w:r>
            <w:r w:rsidR="00A10483">
              <w:t>cannot</w:t>
            </w:r>
            <w:r>
              <w:t xml:space="preserve"> be printed. Additional patient testing or unit processing must be performed.</w:t>
            </w:r>
          </w:p>
        </w:tc>
        <w:tc>
          <w:tcPr>
            <w:tcW w:w="1793" w:type="dxa"/>
            <w:tcBorders>
              <w:bottom w:val="single" w:sz="4" w:space="0" w:color="auto"/>
            </w:tcBorders>
            <w:vAlign w:val="bottom"/>
          </w:tcPr>
          <w:p w14:paraId="63CF7128" w14:textId="77777777" w:rsidR="000B56AE" w:rsidRDefault="000B56AE">
            <w:pPr>
              <w:pStyle w:val="TableText"/>
            </w:pPr>
            <w:r>
              <w:t>All users</w:t>
            </w:r>
          </w:p>
        </w:tc>
      </w:tr>
    </w:tbl>
    <w:p w14:paraId="13E815CD" w14:textId="792E475C" w:rsidR="002A21AE" w:rsidRDefault="002A21AE">
      <w:pPr>
        <w:pStyle w:val="Caption"/>
      </w:pPr>
      <w:bookmarkStart w:id="458" w:name="_Toc97523621"/>
      <w:bookmarkStart w:id="459" w:name="_Toc97527591"/>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7D1829">
        <w:rPr>
          <w:noProof/>
        </w:rPr>
        <w:t>81</w:t>
      </w:r>
      <w:r w:rsidR="004E20BD">
        <w:rPr>
          <w:noProof/>
        </w:rPr>
        <w:fldChar w:fldCharType="end"/>
      </w:r>
      <w:r>
        <w:t>: Caution Tag</w:t>
      </w:r>
      <w:bookmarkEnd w:id="458"/>
      <w:bookmarkEnd w:id="459"/>
      <w:r w:rsidR="00CC006F">
        <w:t xml:space="preserve"> </w:t>
      </w:r>
      <w:r w:rsidR="00CC006F" w:rsidRPr="00CC006F">
        <w:rPr>
          <w:vanish/>
        </w:rPr>
        <w:t>DR 4848</w:t>
      </w:r>
      <w:r>
        <w:fldChar w:fldCharType="begin"/>
      </w:r>
      <w:r>
        <w:instrText xml:space="preserve"> XE </w:instrText>
      </w:r>
      <w:r w:rsidR="00FA7E65">
        <w:instrText>“</w:instrText>
      </w:r>
      <w:r>
        <w:instrText>Figures:Caution Tag</w:instrText>
      </w:r>
      <w:r w:rsidR="00FA7E65">
        <w:instrText>”</w:instrText>
      </w:r>
      <w:r>
        <w:instrText xml:space="preserve"> </w:instrText>
      </w:r>
      <w:r>
        <w:fldChar w:fldCharType="end"/>
      </w:r>
    </w:p>
    <w:tbl>
      <w:tblPr>
        <w:tblW w:w="5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80"/>
        <w:gridCol w:w="1080"/>
        <w:gridCol w:w="1800"/>
      </w:tblGrid>
      <w:tr w:rsidR="002A21AE" w14:paraId="4BA5CFF3" w14:textId="77777777" w:rsidTr="00FD28CB">
        <w:trPr>
          <w:cantSplit/>
          <w:trHeight w:val="350"/>
        </w:trPr>
        <w:tc>
          <w:tcPr>
            <w:tcW w:w="5760" w:type="dxa"/>
            <w:gridSpan w:val="3"/>
            <w:vMerge w:val="restart"/>
          </w:tcPr>
          <w:p w14:paraId="4999247A" w14:textId="77777777" w:rsidR="002A21AE" w:rsidRPr="0071550C" w:rsidRDefault="0071550C">
            <w:pPr>
              <w:rPr>
                <w:rFonts w:ascii="Arial" w:hAnsi="Arial"/>
                <w:sz w:val="18"/>
                <w:szCs w:val="18"/>
              </w:rPr>
            </w:pPr>
            <w:r w:rsidRPr="0071550C">
              <w:rPr>
                <w:rFonts w:ascii="Arial" w:hAnsi="Arial"/>
                <w:sz w:val="18"/>
                <w:szCs w:val="18"/>
              </w:rPr>
              <w:t>Product Code                                            2D Barcode</w:t>
            </w:r>
          </w:p>
          <w:p w14:paraId="13192F58" w14:textId="77777777" w:rsidR="0071550C" w:rsidRPr="0071550C" w:rsidRDefault="0071550C">
            <w:pPr>
              <w:rPr>
                <w:rFonts w:ascii="Arial" w:hAnsi="Arial"/>
                <w:sz w:val="18"/>
                <w:szCs w:val="18"/>
              </w:rPr>
            </w:pPr>
          </w:p>
          <w:p w14:paraId="483A0056" w14:textId="77777777" w:rsidR="0071550C" w:rsidRPr="0071550C" w:rsidRDefault="002A21AE">
            <w:pPr>
              <w:rPr>
                <w:rFonts w:ascii="Arial" w:hAnsi="Arial"/>
                <w:sz w:val="18"/>
                <w:szCs w:val="18"/>
              </w:rPr>
            </w:pPr>
            <w:r w:rsidRPr="0071550C">
              <w:rPr>
                <w:rFonts w:ascii="Arial" w:hAnsi="Arial"/>
                <w:sz w:val="18"/>
                <w:szCs w:val="18"/>
              </w:rPr>
              <w:t>Division Name</w:t>
            </w:r>
          </w:p>
          <w:p w14:paraId="742BB403" w14:textId="77777777" w:rsidR="002A21AE" w:rsidRDefault="002A21AE">
            <w:pPr>
              <w:rPr>
                <w:rFonts w:ascii="Arial" w:hAnsi="Arial"/>
                <w:sz w:val="20"/>
              </w:rPr>
            </w:pPr>
            <w:r w:rsidRPr="0071550C">
              <w:rPr>
                <w:rFonts w:ascii="Arial" w:hAnsi="Arial"/>
                <w:sz w:val="18"/>
                <w:szCs w:val="18"/>
              </w:rPr>
              <w:t>City, State</w:t>
            </w:r>
          </w:p>
        </w:tc>
      </w:tr>
      <w:tr w:rsidR="002A21AE" w14:paraId="0C004C5A" w14:textId="77777777" w:rsidTr="00FD28CB">
        <w:trPr>
          <w:cantSplit/>
          <w:trHeight w:val="230"/>
        </w:trPr>
        <w:tc>
          <w:tcPr>
            <w:tcW w:w="5760" w:type="dxa"/>
            <w:gridSpan w:val="3"/>
            <w:vMerge/>
          </w:tcPr>
          <w:p w14:paraId="332776AB" w14:textId="77777777" w:rsidR="002A21AE" w:rsidRDefault="002A21AE">
            <w:pPr>
              <w:rPr>
                <w:rFonts w:ascii="Arial" w:hAnsi="Arial"/>
                <w:sz w:val="20"/>
              </w:rPr>
            </w:pPr>
          </w:p>
        </w:tc>
      </w:tr>
      <w:tr w:rsidR="002A21AE" w14:paraId="5F7493FA" w14:textId="77777777" w:rsidTr="00FD28CB">
        <w:trPr>
          <w:cantSplit/>
        </w:trPr>
        <w:tc>
          <w:tcPr>
            <w:tcW w:w="5760" w:type="dxa"/>
            <w:gridSpan w:val="3"/>
          </w:tcPr>
          <w:p w14:paraId="027DBE17" w14:textId="77777777" w:rsidR="002A21AE" w:rsidRPr="0071550C" w:rsidRDefault="002A21AE" w:rsidP="0071550C">
            <w:pPr>
              <w:rPr>
                <w:rFonts w:ascii="Arial" w:hAnsi="Arial"/>
                <w:sz w:val="20"/>
                <w:vertAlign w:val="superscript"/>
              </w:rPr>
            </w:pPr>
            <w:r w:rsidRPr="0071550C">
              <w:rPr>
                <w:rFonts w:ascii="Arial" w:hAnsi="Arial"/>
                <w:sz w:val="20"/>
                <w:vertAlign w:val="superscript"/>
              </w:rPr>
              <w:t xml:space="preserve">Patient </w:t>
            </w:r>
            <w:r w:rsidR="0071550C" w:rsidRPr="0071550C">
              <w:rPr>
                <w:rFonts w:ascii="Arial" w:hAnsi="Arial"/>
                <w:sz w:val="20"/>
                <w:vertAlign w:val="superscript"/>
              </w:rPr>
              <w:t>Name</w:t>
            </w:r>
            <w:r w:rsidRPr="0071550C">
              <w:rPr>
                <w:rFonts w:ascii="Arial" w:hAnsi="Arial"/>
                <w:sz w:val="20"/>
                <w:vertAlign w:val="superscript"/>
              </w:rPr>
              <w:t>:</w:t>
            </w:r>
          </w:p>
          <w:p w14:paraId="2CF21DF9" w14:textId="77777777" w:rsidR="002A21AE" w:rsidRDefault="002A21AE">
            <w:pPr>
              <w:rPr>
                <w:rFonts w:ascii="Arial" w:hAnsi="Arial"/>
                <w:sz w:val="20"/>
                <w:vertAlign w:val="superscript"/>
              </w:rPr>
            </w:pPr>
          </w:p>
        </w:tc>
      </w:tr>
      <w:tr w:rsidR="002A21AE" w14:paraId="55A2C9C1" w14:textId="77777777" w:rsidTr="00FD28CB">
        <w:trPr>
          <w:cantSplit/>
        </w:trPr>
        <w:tc>
          <w:tcPr>
            <w:tcW w:w="3960" w:type="dxa"/>
            <w:gridSpan w:val="2"/>
            <w:tcBorders>
              <w:bottom w:val="single" w:sz="4" w:space="0" w:color="auto"/>
            </w:tcBorders>
          </w:tcPr>
          <w:p w14:paraId="165DC958" w14:textId="77777777" w:rsidR="002A21AE" w:rsidRDefault="002A21AE">
            <w:pPr>
              <w:rPr>
                <w:rFonts w:ascii="Arial" w:hAnsi="Arial"/>
                <w:b/>
                <w:sz w:val="20"/>
                <w:vertAlign w:val="superscript"/>
              </w:rPr>
            </w:pPr>
            <w:r>
              <w:rPr>
                <w:rFonts w:ascii="Arial" w:hAnsi="Arial"/>
                <w:sz w:val="20"/>
                <w:vertAlign w:val="superscript"/>
              </w:rPr>
              <w:t xml:space="preserve">Patient </w:t>
            </w:r>
            <w:r w:rsidR="0071550C">
              <w:rPr>
                <w:rFonts w:ascii="Arial" w:hAnsi="Arial"/>
                <w:sz w:val="20"/>
                <w:vertAlign w:val="superscript"/>
              </w:rPr>
              <w:t>ID</w:t>
            </w:r>
            <w:r>
              <w:rPr>
                <w:rFonts w:ascii="Arial" w:hAnsi="Arial"/>
                <w:sz w:val="20"/>
                <w:vertAlign w:val="superscript"/>
              </w:rPr>
              <w:t>:</w:t>
            </w:r>
          </w:p>
          <w:p w14:paraId="2702018C" w14:textId="77777777" w:rsidR="002A21AE" w:rsidRDefault="002A21AE">
            <w:pPr>
              <w:rPr>
                <w:rFonts w:ascii="Arial" w:hAnsi="Arial"/>
                <w:sz w:val="20"/>
                <w:vertAlign w:val="superscript"/>
              </w:rPr>
            </w:pPr>
          </w:p>
        </w:tc>
        <w:tc>
          <w:tcPr>
            <w:tcW w:w="1800" w:type="dxa"/>
            <w:tcBorders>
              <w:bottom w:val="single" w:sz="4" w:space="0" w:color="auto"/>
            </w:tcBorders>
          </w:tcPr>
          <w:p w14:paraId="130223C4" w14:textId="77777777" w:rsidR="002A21AE" w:rsidRDefault="002A21AE">
            <w:pPr>
              <w:rPr>
                <w:rFonts w:ascii="Arial" w:hAnsi="Arial"/>
                <w:sz w:val="20"/>
                <w:vertAlign w:val="superscript"/>
              </w:rPr>
            </w:pPr>
            <w:r>
              <w:rPr>
                <w:rFonts w:ascii="Arial" w:hAnsi="Arial"/>
                <w:sz w:val="20"/>
                <w:vertAlign w:val="superscript"/>
              </w:rPr>
              <w:t>Recipient Blood Type:</w:t>
            </w:r>
          </w:p>
          <w:p w14:paraId="5422C9C1" w14:textId="77777777" w:rsidR="002A21AE" w:rsidRDefault="002A21AE">
            <w:pPr>
              <w:pStyle w:val="Heading4"/>
              <w:rPr>
                <w:sz w:val="20"/>
                <w:vertAlign w:val="superscript"/>
              </w:rPr>
            </w:pPr>
          </w:p>
        </w:tc>
      </w:tr>
      <w:tr w:rsidR="002A21AE" w14:paraId="5856B5FF" w14:textId="77777777" w:rsidTr="00FD28CB">
        <w:trPr>
          <w:cantSplit/>
          <w:trHeight w:val="230"/>
        </w:trPr>
        <w:tc>
          <w:tcPr>
            <w:tcW w:w="3960" w:type="dxa"/>
            <w:gridSpan w:val="2"/>
            <w:vMerge w:val="restart"/>
          </w:tcPr>
          <w:p w14:paraId="6122C661" w14:textId="77777777" w:rsidR="002A21AE" w:rsidRDefault="002A21AE">
            <w:pPr>
              <w:rPr>
                <w:rFonts w:ascii="Arial" w:hAnsi="Arial"/>
                <w:sz w:val="20"/>
                <w:vertAlign w:val="superscript"/>
              </w:rPr>
            </w:pPr>
            <w:r>
              <w:rPr>
                <w:rFonts w:ascii="Arial" w:hAnsi="Arial"/>
                <w:sz w:val="20"/>
                <w:vertAlign w:val="superscript"/>
              </w:rPr>
              <w:t>Unit/Pool ID:</w:t>
            </w:r>
          </w:p>
        </w:tc>
        <w:tc>
          <w:tcPr>
            <w:tcW w:w="1800" w:type="dxa"/>
            <w:vMerge w:val="restart"/>
          </w:tcPr>
          <w:p w14:paraId="0E216C34" w14:textId="77777777" w:rsidR="002A21AE" w:rsidRDefault="002A21AE">
            <w:pPr>
              <w:rPr>
                <w:rFonts w:ascii="Arial" w:hAnsi="Arial"/>
                <w:sz w:val="20"/>
                <w:vertAlign w:val="superscript"/>
              </w:rPr>
            </w:pPr>
            <w:r>
              <w:rPr>
                <w:rFonts w:ascii="Arial" w:hAnsi="Arial"/>
                <w:sz w:val="20"/>
                <w:vertAlign w:val="superscript"/>
              </w:rPr>
              <w:t>Donor Blood Type:</w:t>
            </w:r>
          </w:p>
          <w:p w14:paraId="3340CF1F" w14:textId="77777777" w:rsidR="002A21AE" w:rsidRDefault="002A21AE">
            <w:pPr>
              <w:rPr>
                <w:rFonts w:ascii="Arial" w:hAnsi="Arial"/>
                <w:sz w:val="20"/>
                <w:vertAlign w:val="superscript"/>
              </w:rPr>
            </w:pPr>
          </w:p>
        </w:tc>
      </w:tr>
      <w:tr w:rsidR="002A21AE" w14:paraId="79F150A6" w14:textId="77777777" w:rsidTr="00FD28CB">
        <w:trPr>
          <w:cantSplit/>
          <w:trHeight w:val="230"/>
        </w:trPr>
        <w:tc>
          <w:tcPr>
            <w:tcW w:w="3960" w:type="dxa"/>
            <w:gridSpan w:val="2"/>
            <w:vMerge/>
          </w:tcPr>
          <w:p w14:paraId="1190DA65" w14:textId="77777777" w:rsidR="002A21AE" w:rsidRDefault="002A21AE">
            <w:pPr>
              <w:rPr>
                <w:rFonts w:ascii="Arial" w:hAnsi="Arial"/>
                <w:sz w:val="20"/>
                <w:vertAlign w:val="superscript"/>
              </w:rPr>
            </w:pPr>
          </w:p>
        </w:tc>
        <w:tc>
          <w:tcPr>
            <w:tcW w:w="1800" w:type="dxa"/>
            <w:vMerge/>
          </w:tcPr>
          <w:p w14:paraId="7D171799" w14:textId="77777777" w:rsidR="002A21AE" w:rsidRDefault="002A21AE">
            <w:pPr>
              <w:rPr>
                <w:rFonts w:ascii="Arial" w:hAnsi="Arial"/>
                <w:sz w:val="20"/>
                <w:vertAlign w:val="superscript"/>
              </w:rPr>
            </w:pPr>
          </w:p>
        </w:tc>
      </w:tr>
      <w:tr w:rsidR="002A21AE" w14:paraId="7CBB74AF" w14:textId="77777777" w:rsidTr="00FD28CB">
        <w:trPr>
          <w:cantSplit/>
        </w:trPr>
        <w:tc>
          <w:tcPr>
            <w:tcW w:w="5760" w:type="dxa"/>
            <w:gridSpan w:val="3"/>
            <w:tcBorders>
              <w:bottom w:val="single" w:sz="4" w:space="0" w:color="auto"/>
            </w:tcBorders>
          </w:tcPr>
          <w:p w14:paraId="39AFEB1D" w14:textId="77777777" w:rsidR="002A21AE" w:rsidRPr="0071550C" w:rsidRDefault="002A21AE">
            <w:pPr>
              <w:rPr>
                <w:rFonts w:ascii="Arial" w:hAnsi="Arial"/>
                <w:sz w:val="20"/>
                <w:vertAlign w:val="superscript"/>
              </w:rPr>
            </w:pPr>
            <w:r w:rsidRPr="0071550C">
              <w:rPr>
                <w:rFonts w:ascii="Arial" w:hAnsi="Arial"/>
                <w:sz w:val="20"/>
                <w:vertAlign w:val="superscript"/>
              </w:rPr>
              <w:t>Compatibility Interpretation:</w:t>
            </w:r>
          </w:p>
          <w:p w14:paraId="2CDB8649" w14:textId="77777777" w:rsidR="002A21AE" w:rsidRDefault="002A21AE">
            <w:pPr>
              <w:rPr>
                <w:vertAlign w:val="superscript"/>
              </w:rPr>
            </w:pPr>
          </w:p>
        </w:tc>
      </w:tr>
      <w:tr w:rsidR="002A21AE" w14:paraId="2A0BB48B" w14:textId="77777777" w:rsidTr="00FD28CB">
        <w:trPr>
          <w:cantSplit/>
          <w:trHeight w:val="276"/>
        </w:trPr>
        <w:tc>
          <w:tcPr>
            <w:tcW w:w="5760" w:type="dxa"/>
            <w:gridSpan w:val="3"/>
            <w:vMerge w:val="restart"/>
          </w:tcPr>
          <w:p w14:paraId="3E78596E" w14:textId="77777777" w:rsidR="002A21AE" w:rsidRDefault="002A21AE">
            <w:pPr>
              <w:rPr>
                <w:rFonts w:ascii="Arial" w:hAnsi="Arial"/>
                <w:sz w:val="18"/>
              </w:rPr>
            </w:pPr>
            <w:r>
              <w:rPr>
                <w:rFonts w:ascii="Arial" w:hAnsi="Arial"/>
                <w:b/>
                <w:snapToGrid w:val="0"/>
                <w:sz w:val="18"/>
              </w:rPr>
              <w:t>CAUTION:</w:t>
            </w:r>
            <w:r>
              <w:rPr>
                <w:rFonts w:ascii="Arial" w:hAnsi="Arial"/>
                <w:snapToGrid w:val="0"/>
                <w:sz w:val="18"/>
              </w:rPr>
              <w:t xml:space="preserve"> </w:t>
            </w:r>
            <w:r>
              <w:rPr>
                <w:rFonts w:ascii="Arial" w:hAnsi="Arial"/>
                <w:b/>
                <w:snapToGrid w:val="0"/>
                <w:sz w:val="18"/>
              </w:rPr>
              <w:t>Before transfusing this blood component, perform bedside verification of the patient</w:t>
            </w:r>
            <w:r w:rsidR="00FA7E65">
              <w:rPr>
                <w:rFonts w:ascii="Arial" w:hAnsi="Arial"/>
                <w:b/>
                <w:snapToGrid w:val="0"/>
                <w:sz w:val="18"/>
              </w:rPr>
              <w:t>’</w:t>
            </w:r>
            <w:r>
              <w:rPr>
                <w:rFonts w:ascii="Arial" w:hAnsi="Arial"/>
                <w:b/>
                <w:snapToGrid w:val="0"/>
                <w:sz w:val="18"/>
              </w:rPr>
              <w:t xml:space="preserve">s identity </w:t>
            </w:r>
            <w:r>
              <w:rPr>
                <w:rFonts w:ascii="Arial" w:hAnsi="Arial"/>
                <w:snapToGrid w:val="0"/>
                <w:sz w:val="18"/>
              </w:rPr>
              <w:t>by matching the patient identification on this tag with the patient wristband and the Blood Transfusion Record Form.</w:t>
            </w:r>
          </w:p>
        </w:tc>
      </w:tr>
      <w:tr w:rsidR="002A21AE" w14:paraId="65CBC69D" w14:textId="77777777" w:rsidTr="00FD28CB">
        <w:trPr>
          <w:cantSplit/>
          <w:trHeight w:val="276"/>
        </w:trPr>
        <w:tc>
          <w:tcPr>
            <w:tcW w:w="5760" w:type="dxa"/>
            <w:gridSpan w:val="3"/>
            <w:vMerge/>
          </w:tcPr>
          <w:p w14:paraId="1E19FB56" w14:textId="77777777" w:rsidR="002A21AE" w:rsidRDefault="002A21AE">
            <w:pPr>
              <w:rPr>
                <w:rFonts w:ascii="Arial" w:hAnsi="Arial"/>
                <w:sz w:val="18"/>
              </w:rPr>
            </w:pPr>
          </w:p>
        </w:tc>
      </w:tr>
      <w:tr w:rsidR="002A21AE" w14:paraId="7B609907" w14:textId="77777777" w:rsidTr="00FD28CB">
        <w:trPr>
          <w:cantSplit/>
          <w:trHeight w:val="207"/>
        </w:trPr>
        <w:tc>
          <w:tcPr>
            <w:tcW w:w="5760" w:type="dxa"/>
            <w:gridSpan w:val="3"/>
            <w:vMerge/>
            <w:tcBorders>
              <w:bottom w:val="single" w:sz="4" w:space="0" w:color="auto"/>
            </w:tcBorders>
          </w:tcPr>
          <w:p w14:paraId="558F73F6" w14:textId="77777777" w:rsidR="002A21AE" w:rsidRDefault="002A21AE">
            <w:pPr>
              <w:rPr>
                <w:rFonts w:ascii="Arial" w:hAnsi="Arial"/>
                <w:sz w:val="18"/>
              </w:rPr>
            </w:pPr>
          </w:p>
        </w:tc>
      </w:tr>
      <w:tr w:rsidR="002A21AE" w14:paraId="6E674893" w14:textId="77777777" w:rsidTr="00FD28CB">
        <w:trPr>
          <w:cantSplit/>
        </w:trPr>
        <w:tc>
          <w:tcPr>
            <w:tcW w:w="2880" w:type="dxa"/>
          </w:tcPr>
          <w:p w14:paraId="43DB9AA1" w14:textId="77777777" w:rsidR="002A21AE" w:rsidRDefault="002A21AE">
            <w:pPr>
              <w:rPr>
                <w:rFonts w:ascii="Arial" w:hAnsi="Arial"/>
                <w:sz w:val="18"/>
                <w:vertAlign w:val="superscript"/>
              </w:rPr>
            </w:pPr>
            <w:r>
              <w:rPr>
                <w:rFonts w:ascii="Arial" w:hAnsi="Arial"/>
                <w:sz w:val="18"/>
                <w:vertAlign w:val="superscript"/>
              </w:rPr>
              <w:t>Assigned Date/Time:</w:t>
            </w:r>
          </w:p>
          <w:p w14:paraId="5AC7DA58" w14:textId="77777777" w:rsidR="002A21AE" w:rsidRDefault="002A21AE">
            <w:pPr>
              <w:rPr>
                <w:rFonts w:ascii="Arial" w:hAnsi="Arial"/>
                <w:sz w:val="20"/>
              </w:rPr>
            </w:pPr>
          </w:p>
        </w:tc>
        <w:tc>
          <w:tcPr>
            <w:tcW w:w="2880" w:type="dxa"/>
            <w:gridSpan w:val="2"/>
          </w:tcPr>
          <w:p w14:paraId="4010433A" w14:textId="77777777" w:rsidR="002A21AE" w:rsidRDefault="00CC006F">
            <w:pPr>
              <w:rPr>
                <w:rFonts w:ascii="Arial" w:hAnsi="Arial"/>
                <w:sz w:val="20"/>
                <w:vertAlign w:val="superscript"/>
              </w:rPr>
            </w:pPr>
            <w:r>
              <w:rPr>
                <w:rFonts w:ascii="Arial" w:hAnsi="Arial"/>
                <w:sz w:val="20"/>
                <w:vertAlign w:val="superscript"/>
              </w:rPr>
              <w:t>Assigning Tech/ Crossmatch Tech:</w:t>
            </w:r>
          </w:p>
          <w:p w14:paraId="4AEFD911" w14:textId="77777777" w:rsidR="002A21AE" w:rsidRDefault="002A21AE">
            <w:pPr>
              <w:rPr>
                <w:rFonts w:ascii="Arial" w:hAnsi="Arial"/>
              </w:rPr>
            </w:pPr>
          </w:p>
        </w:tc>
      </w:tr>
    </w:tbl>
    <w:p w14:paraId="4F38B54C" w14:textId="6DA07932" w:rsidR="002A21AE" w:rsidRDefault="002A21AE">
      <w:pPr>
        <w:pStyle w:val="Caption"/>
      </w:pPr>
      <w:r>
        <w:br w:type="page"/>
      </w:r>
      <w:bookmarkStart w:id="460" w:name="_Toc97523622"/>
      <w:bookmarkStart w:id="461" w:name="_Toc97527592"/>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7D1829">
        <w:rPr>
          <w:noProof/>
        </w:rPr>
        <w:t>82</w:t>
      </w:r>
      <w:r w:rsidR="004E20BD">
        <w:rPr>
          <w:noProof/>
        </w:rPr>
        <w:fldChar w:fldCharType="end"/>
      </w:r>
      <w:r>
        <w:t>: Blood Transfusion Record Form</w:t>
      </w:r>
      <w:bookmarkEnd w:id="460"/>
      <w:bookmarkEnd w:id="461"/>
      <w:r>
        <w:fldChar w:fldCharType="begin"/>
      </w:r>
      <w:r>
        <w:instrText xml:space="preserve"> XE </w:instrText>
      </w:r>
      <w:r w:rsidR="00FA7E65">
        <w:instrText>“</w:instrText>
      </w:r>
      <w:r>
        <w:instrText>Figures:Blood Transfusion Record Form</w:instrText>
      </w:r>
      <w:r w:rsidR="00FA7E65">
        <w:instrText>”</w:instrText>
      </w:r>
      <w:r>
        <w:instrText xml:space="preserve"> </w:instrText>
      </w:r>
      <w:r>
        <w:fldChar w:fldCharType="end"/>
      </w:r>
    </w:p>
    <w:p w14:paraId="2BD8C8A5" w14:textId="7C1D5E7B" w:rsidR="00A00904" w:rsidRDefault="00405F70" w:rsidP="00716890">
      <w:pPr>
        <w:pStyle w:val="TableText"/>
        <w:tabs>
          <w:tab w:val="left" w:leader="underscore" w:pos="2880"/>
          <w:tab w:val="left" w:leader="underscore" w:pos="5040"/>
          <w:tab w:val="left" w:leader="underscore" w:pos="7200"/>
        </w:tabs>
        <w:rPr>
          <w:color w:val="1F497D"/>
        </w:rPr>
      </w:pPr>
      <w:r>
        <w:rPr>
          <w:noProof/>
        </w:rPr>
        <w:drawing>
          <wp:inline distT="0" distB="0" distL="0" distR="0" wp14:anchorId="1E443647" wp14:editId="40A3949B">
            <wp:extent cx="5943600" cy="4635500"/>
            <wp:effectExtent l="0" t="0" r="0" b="0"/>
            <wp:docPr id="164" name="Picture 164" descr="Example of Blood Transfusion Record Form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Picture 164" descr="Example of Blood Transfusion Record Form screen capture"/>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5943600" cy="4635500"/>
                    </a:xfrm>
                    <a:prstGeom prst="rect">
                      <a:avLst/>
                    </a:prstGeom>
                    <a:noFill/>
                    <a:ln>
                      <a:noFill/>
                    </a:ln>
                  </pic:spPr>
                </pic:pic>
              </a:graphicData>
            </a:graphic>
          </wp:inline>
        </w:drawing>
      </w:r>
    </w:p>
    <w:p w14:paraId="4FCB57DF" w14:textId="77777777" w:rsidR="00A00904" w:rsidRDefault="00A00904" w:rsidP="00716890">
      <w:pPr>
        <w:pStyle w:val="TableText"/>
        <w:tabs>
          <w:tab w:val="left" w:leader="underscore" w:pos="2880"/>
          <w:tab w:val="left" w:leader="underscore" w:pos="5040"/>
          <w:tab w:val="left" w:leader="underscore" w:pos="7200"/>
        </w:tabs>
      </w:pPr>
    </w:p>
    <w:p w14:paraId="6ABB9E46" w14:textId="77777777" w:rsidR="00405F70" w:rsidRDefault="00405F70" w:rsidP="00716890">
      <w:pPr>
        <w:pStyle w:val="TableText"/>
        <w:tabs>
          <w:tab w:val="left" w:leader="underscore" w:pos="2880"/>
          <w:tab w:val="left" w:leader="underscore" w:pos="5040"/>
          <w:tab w:val="left" w:leader="underscore" w:pos="7200"/>
        </w:tabs>
      </w:pPr>
    </w:p>
    <w:p w14:paraId="369625FA" w14:textId="639CDE98" w:rsidR="00405F70" w:rsidRDefault="00405F70" w:rsidP="00716890">
      <w:pPr>
        <w:pStyle w:val="TableText"/>
        <w:tabs>
          <w:tab w:val="left" w:leader="underscore" w:pos="2880"/>
          <w:tab w:val="left" w:leader="underscore" w:pos="5040"/>
          <w:tab w:val="left" w:leader="underscore" w:pos="7200"/>
        </w:tabs>
        <w:sectPr w:rsidR="00405F70" w:rsidSect="00EE771C">
          <w:headerReference w:type="default" r:id="rId171"/>
          <w:pgSz w:w="12240" w:h="15840" w:code="1"/>
          <w:pgMar w:top="1440" w:right="1440" w:bottom="1440" w:left="1440" w:header="720" w:footer="720" w:gutter="0"/>
          <w:cols w:space="720"/>
          <w:docGrid w:linePitch="360"/>
        </w:sectPr>
      </w:pPr>
      <w:r>
        <w:rPr>
          <w:noProof/>
        </w:rPr>
        <w:lastRenderedPageBreak/>
        <w:drawing>
          <wp:inline distT="0" distB="0" distL="0" distR="0" wp14:anchorId="14144A48" wp14:editId="4223E3A0">
            <wp:extent cx="5943600" cy="3687445"/>
            <wp:effectExtent l="19050" t="19050" r="19050" b="27305"/>
            <wp:docPr id="160" name="Picture 160" descr="Example of Transfusion Data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Picture 160" descr="Example of Transfusion Data screen capture"/>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5943600" cy="3687445"/>
                    </a:xfrm>
                    <a:prstGeom prst="rect">
                      <a:avLst/>
                    </a:prstGeom>
                    <a:noFill/>
                    <a:ln w="6350" cmpd="sng">
                      <a:solidFill>
                        <a:srgbClr val="000000"/>
                      </a:solidFill>
                      <a:miter lim="800000"/>
                      <a:headEnd/>
                      <a:tailEnd/>
                    </a:ln>
                    <a:effectLst/>
                  </pic:spPr>
                </pic:pic>
              </a:graphicData>
            </a:graphic>
          </wp:inline>
        </w:drawing>
      </w:r>
    </w:p>
    <w:p w14:paraId="393BBEF6" w14:textId="77777777" w:rsidR="002A21AE" w:rsidRDefault="002A21AE">
      <w:pPr>
        <w:pStyle w:val="Heading2"/>
      </w:pPr>
      <w:bookmarkStart w:id="462" w:name="_Toc203765903"/>
      <w:r>
        <w:lastRenderedPageBreak/>
        <w:t>Invalidate Test Results</w:t>
      </w:r>
      <w:bookmarkEnd w:id="462"/>
      <w:r>
        <w:rPr>
          <w:rFonts w:ascii="Geneva" w:hAnsi="Geneva"/>
          <w:vanish/>
        </w:rPr>
        <w:fldChar w:fldCharType="begin"/>
      </w:r>
      <w:r>
        <w:rPr>
          <w:rFonts w:ascii="Geneva" w:hAnsi="Geneva"/>
          <w:vanish/>
        </w:rPr>
        <w:instrText xml:space="preserve"> XE </w:instrText>
      </w:r>
      <w:r w:rsidR="00FA7E65">
        <w:rPr>
          <w:rFonts w:ascii="Geneva" w:hAnsi="Geneva"/>
          <w:vanish/>
        </w:rPr>
        <w:instrText>“</w:instrText>
      </w:r>
      <w:r>
        <w:rPr>
          <w:rFonts w:ascii="Geneva" w:hAnsi="Geneva"/>
          <w:vanish/>
        </w:rPr>
        <w:instrText>Invalidate Test Results</w:instrText>
      </w:r>
      <w:r w:rsidR="00FA7E65">
        <w:rPr>
          <w:rFonts w:ascii="Geneva" w:hAnsi="Geneva"/>
          <w:vanish/>
        </w:rPr>
        <w:instrText>”</w:instrText>
      </w:r>
      <w:r>
        <w:rPr>
          <w:rFonts w:ascii="Geneva" w:hAnsi="Geneva"/>
          <w:vanish/>
        </w:rPr>
        <w:instrText xml:space="preserve"> </w:instrText>
      </w:r>
      <w:r>
        <w:rPr>
          <w:rFonts w:ascii="Geneva" w:hAnsi="Geneva"/>
          <w:vanish/>
        </w:rPr>
        <w:fldChar w:fldCharType="end"/>
      </w:r>
      <w:r>
        <w:rPr>
          <w:rFonts w:ascii="Geneva" w:hAnsi="Geneva"/>
          <w:vanish/>
        </w:rPr>
        <w:t xml:space="preserve"> UC_94</w:t>
      </w:r>
    </w:p>
    <w:p w14:paraId="4419C6B9" w14:textId="77777777" w:rsidR="002A21AE" w:rsidRDefault="002A21AE" w:rsidP="00FA7E65">
      <w:pPr>
        <w:pStyle w:val="BodyText"/>
      </w:pPr>
      <w:r>
        <w:t>The user invalidates incorrectly entered patient test results and reenters correct patient test results and interpretations.</w:t>
      </w:r>
    </w:p>
    <w:p w14:paraId="2BE97B81" w14:textId="77777777" w:rsidR="002A21AE" w:rsidRDefault="002A21AE">
      <w:pPr>
        <w:pStyle w:val="Heading4"/>
      </w:pPr>
      <w:r>
        <w:t>Assumptions</w:t>
      </w:r>
      <w:r>
        <w:rPr>
          <w:b w:val="0"/>
        </w:rPr>
        <w:t xml:space="preserve"> </w:t>
      </w:r>
    </w:p>
    <w:p w14:paraId="3733C49A" w14:textId="77777777" w:rsidR="002A21AE" w:rsidRDefault="002A21AE">
      <w:pPr>
        <w:pStyle w:val="ListBullet"/>
      </w:pPr>
      <w:r>
        <w:t>A completed patient order exists in VBECS.</w:t>
      </w:r>
    </w:p>
    <w:p w14:paraId="580A1F63" w14:textId="77777777" w:rsidR="002A21AE" w:rsidRDefault="002A21AE">
      <w:pPr>
        <w:pStyle w:val="Heading4"/>
      </w:pPr>
      <w:r>
        <w:t xml:space="preserve">Outcome </w:t>
      </w:r>
    </w:p>
    <w:p w14:paraId="1762F1D5" w14:textId="77777777" w:rsidR="002A21AE" w:rsidRDefault="002A21AE">
      <w:pPr>
        <w:pStyle w:val="ListBullet"/>
      </w:pPr>
      <w:r>
        <w:t>Test results are invalidated.</w:t>
      </w:r>
    </w:p>
    <w:p w14:paraId="49E43C30" w14:textId="77777777" w:rsidR="002A21AE" w:rsidRDefault="002A21AE">
      <w:pPr>
        <w:pStyle w:val="ListBullet"/>
      </w:pPr>
      <w:r>
        <w:t xml:space="preserve">VBECS may assign “correction” status to a task to allow the user to repeat a test and add it to the Pending Task List (PTL). </w:t>
      </w:r>
    </w:p>
    <w:p w14:paraId="53EAD37D" w14:textId="77777777" w:rsidR="00561829" w:rsidRDefault="00561829" w:rsidP="00561829">
      <w:pPr>
        <w:pStyle w:val="ListBullet"/>
      </w:pPr>
      <w:r>
        <w:t>If workload codes are assigned for this process, workload-related data collected as the result of this process are stored for inclusion in Workload Reports.</w:t>
      </w:r>
    </w:p>
    <w:p w14:paraId="53E5E609" w14:textId="77777777" w:rsidR="002A21AE" w:rsidRDefault="002A21AE">
      <w:pPr>
        <w:pStyle w:val="Heading4"/>
      </w:pPr>
      <w:r>
        <w:t>Limitations and Restrictions</w:t>
      </w:r>
      <w:r>
        <w:rPr>
          <w:b w:val="0"/>
        </w:rPr>
        <w:t xml:space="preserve"> </w:t>
      </w:r>
    </w:p>
    <w:p w14:paraId="35B6D6FD" w14:textId="77777777" w:rsidR="002A21AE" w:rsidRDefault="002A21AE">
      <w:pPr>
        <w:pStyle w:val="ListBullet"/>
      </w:pPr>
      <w:r>
        <w:t>A user may not inactivate a component task in this option.</w:t>
      </w:r>
    </w:p>
    <w:p w14:paraId="42627B15" w14:textId="77777777" w:rsidR="002A21AE" w:rsidRDefault="002A21AE">
      <w:pPr>
        <w:pStyle w:val="ListBullet"/>
      </w:pPr>
      <w:r>
        <w:t>This option does not release units from patient assignment. The user must release “assigned” units before invalidating the test results.</w:t>
      </w:r>
    </w:p>
    <w:p w14:paraId="57189FEE" w14:textId="77777777" w:rsidR="001B2013" w:rsidRDefault="001B2013" w:rsidP="001B2013">
      <w:pPr>
        <w:pStyle w:val="ListBullet"/>
      </w:pPr>
      <w:r>
        <w:t>T</w:t>
      </w:r>
      <w:r w:rsidRPr="001B2013">
        <w:t xml:space="preserve">o </w:t>
      </w:r>
      <w:r>
        <w:t>maintain</w:t>
      </w:r>
      <w:r w:rsidRPr="001B2013">
        <w:t xml:space="preserve"> a clear record</w:t>
      </w:r>
      <w:r>
        <w:t xml:space="preserve"> and system checks, the user must invalidate both original and repeat ABO/Rh tests</w:t>
      </w:r>
      <w:r w:rsidR="00C17389">
        <w:t>.</w:t>
      </w:r>
    </w:p>
    <w:p w14:paraId="66BC5C5A" w14:textId="77777777" w:rsidR="00C17389" w:rsidRPr="001B2013" w:rsidRDefault="00AB786F" w:rsidP="001B2013">
      <w:pPr>
        <w:pStyle w:val="ListBullet"/>
      </w:pPr>
      <w:r>
        <w:t>Do not invalidate part of the configured test. Doing this will put</w:t>
      </w:r>
      <w:r w:rsidR="003D719C">
        <w:t xml:space="preserve"> the specimen into a </w:t>
      </w:r>
      <w:r w:rsidR="00E037D2">
        <w:t>state where it cannot be processed</w:t>
      </w:r>
      <w:r w:rsidR="0055788D">
        <w:t>. I</w:t>
      </w:r>
      <w:r w:rsidR="00C17389">
        <w:t xml:space="preserve">nvalidate </w:t>
      </w:r>
      <w:r w:rsidR="00A87E0D">
        <w:t>all tests configured as</w:t>
      </w:r>
      <w:r w:rsidR="00C17389">
        <w:t xml:space="preserve"> part of the TAS </w:t>
      </w:r>
      <w:r w:rsidR="00A87E0D">
        <w:t>regardless of which sub test (</w:t>
      </w:r>
      <w:r w:rsidR="00C17389">
        <w:t>ABO/Rh</w:t>
      </w:r>
      <w:r w:rsidR="00E037D2">
        <w:t>, ABS or DAT) is the</w:t>
      </w:r>
      <w:r w:rsidR="00A87E0D">
        <w:t xml:space="preserve"> </w:t>
      </w:r>
      <w:r w:rsidR="00942363">
        <w:t>problem</w:t>
      </w:r>
      <w:r w:rsidR="00C17389">
        <w:t xml:space="preserve">. </w:t>
      </w:r>
      <w:r w:rsidR="00C17389" w:rsidRPr="00C17389">
        <w:rPr>
          <w:vanish/>
        </w:rPr>
        <w:t>DR 4685</w:t>
      </w:r>
      <w:r w:rsidR="00942363">
        <w:rPr>
          <w:vanish/>
        </w:rPr>
        <w:t xml:space="preserve"> DR 4854</w:t>
      </w:r>
    </w:p>
    <w:p w14:paraId="632FE24D" w14:textId="77777777" w:rsidR="002A21AE" w:rsidRDefault="002A21AE">
      <w:pPr>
        <w:pStyle w:val="Heading4"/>
      </w:pPr>
      <w:r>
        <w:t xml:space="preserve">Additional Information </w:t>
      </w:r>
    </w:p>
    <w:p w14:paraId="3F099C9C" w14:textId="77777777" w:rsidR="002A21AE" w:rsidRDefault="002A21AE">
      <w:pPr>
        <w:pStyle w:val="ListBullet"/>
      </w:pPr>
      <w:r>
        <w:t>VBECS invalidates the entire test group during this option. The user must reenter results to replace the invalidated results.</w:t>
      </w:r>
    </w:p>
    <w:p w14:paraId="6EC9D114" w14:textId="77777777" w:rsidR="002A21AE" w:rsidRDefault="002A21AE">
      <w:pPr>
        <w:pStyle w:val="ListBullet"/>
      </w:pPr>
      <w:r>
        <w:t>Workload and billing are inactivated or rescinded from the inactivated testing.</w:t>
      </w:r>
    </w:p>
    <w:p w14:paraId="4F66E640" w14:textId="77777777" w:rsidR="002A21AE" w:rsidRDefault="002A21AE">
      <w:pPr>
        <w:pStyle w:val="ListBullet"/>
      </w:pPr>
      <w:r>
        <w:rPr>
          <w:rFonts w:ascii="Arial" w:hAnsi="Arial" w:cs="Arial"/>
          <w:vanish/>
          <w:spacing w:val="0"/>
          <w:sz w:val="18"/>
        </w:rPr>
        <w:t xml:space="preserve">BR_94.09 </w:t>
      </w:r>
      <w:r>
        <w:t>VBECS invali</w:t>
      </w:r>
      <w:r w:rsidR="00113E2C">
        <w:t>dates t</w:t>
      </w:r>
      <w:r>
        <w:t xml:space="preserve">ransfusion </w:t>
      </w:r>
      <w:r w:rsidR="00113E2C">
        <w:t>r</w:t>
      </w:r>
      <w:r>
        <w:t xml:space="preserve">eaction </w:t>
      </w:r>
      <w:r w:rsidR="00113E2C">
        <w:t>w</w:t>
      </w:r>
      <w:r>
        <w:t>orkups (TRWs) in total and crossmatches (XMs) by unit.</w:t>
      </w:r>
    </w:p>
    <w:p w14:paraId="399BF400" w14:textId="77777777" w:rsidR="002A21AE" w:rsidRDefault="002A21AE">
      <w:pPr>
        <w:pStyle w:val="ListBullet"/>
      </w:pPr>
      <w:r>
        <w:rPr>
          <w:rFonts w:ascii="Arial" w:hAnsi="Arial" w:cs="Arial"/>
          <w:vanish/>
          <w:spacing w:val="0"/>
          <w:sz w:val="18"/>
        </w:rPr>
        <w:t xml:space="preserve">BR_94.10 </w:t>
      </w:r>
      <w:r>
        <w:t>Invalidation of an antibody identification (ABID) task invalidates all antibody spec</w:t>
      </w:r>
      <w:r w:rsidR="006E3236">
        <w:t>ificities entered in that task.</w:t>
      </w:r>
    </w:p>
    <w:p w14:paraId="2EEC7A2B" w14:textId="77777777" w:rsidR="002A21AE" w:rsidRDefault="002A21AE">
      <w:pPr>
        <w:pStyle w:val="ListBullet"/>
      </w:pPr>
      <w:r>
        <w:t>VBECS displays results and interpretations of the tests but not any QC performed with the tests.</w:t>
      </w:r>
    </w:p>
    <w:p w14:paraId="4117991D" w14:textId="7508FDEF" w:rsidR="002A21AE" w:rsidRDefault="002A21AE">
      <w:pPr>
        <w:pStyle w:val="ListBullet"/>
      </w:pPr>
      <w:r>
        <w:rPr>
          <w:rFonts w:ascii="Arial" w:hAnsi="Arial" w:cs="Arial"/>
          <w:vanish/>
          <w:spacing w:val="0"/>
          <w:sz w:val="18"/>
        </w:rPr>
        <w:t xml:space="preserve">BR_94.04 </w:t>
      </w:r>
      <w:r>
        <w:t xml:space="preserve">VBECS </w:t>
      </w:r>
      <w:r w:rsidR="00202A1E">
        <w:t>flags invalidated results with a message describing the reason for invalidation</w:t>
      </w:r>
      <w:r>
        <w:t>.</w:t>
      </w:r>
    </w:p>
    <w:p w14:paraId="4159D10A" w14:textId="77777777" w:rsidR="002A21AE" w:rsidRDefault="002A21AE">
      <w:pPr>
        <w:pStyle w:val="Heading4"/>
        <w:rPr>
          <w:b w:val="0"/>
        </w:rPr>
      </w:pPr>
      <w:r>
        <w:t>User Roles with Access to This Option</w:t>
      </w:r>
      <w:r>
        <w:rPr>
          <w:b w:val="0"/>
        </w:rPr>
        <w:t xml:space="preserve"> </w:t>
      </w:r>
    </w:p>
    <w:p w14:paraId="2DB54EDE" w14:textId="77777777" w:rsidR="002A21AE" w:rsidRDefault="000F12D4">
      <w:pPr>
        <w:pStyle w:val="Roles"/>
      </w:pPr>
      <w:r w:rsidRPr="00EC7489">
        <w:rPr>
          <w:rFonts w:ascii="Wingdings 3" w:hAnsi="Wingdings 3" w:cs="Wingdings"/>
        </w:rPr>
        <w:t></w:t>
      </w:r>
      <w:r w:rsidRPr="00EC7489">
        <w:rPr>
          <w:rFonts w:ascii="Wingdings 3" w:hAnsi="Wingdings 3" w:cs="Wingdings"/>
        </w:rPr>
        <w:t></w:t>
      </w:r>
      <w:r>
        <w:t xml:space="preserve"> Enhanced Technologist</w:t>
      </w:r>
    </w:p>
    <w:p w14:paraId="1F9F5326" w14:textId="77777777" w:rsidR="002A21AE" w:rsidRDefault="002A21AE">
      <w:pPr>
        <w:pStyle w:val="Heading4"/>
      </w:pPr>
      <w:r>
        <w:t>Invalidate Test Results</w:t>
      </w:r>
    </w:p>
    <w:p w14:paraId="3E458AA2" w14:textId="77777777" w:rsidR="002A21AE" w:rsidRPr="009660C3" w:rsidRDefault="002A21AE" w:rsidP="00FA7E65">
      <w:pPr>
        <w:pStyle w:val="BodyText"/>
        <w:rPr>
          <w:color w:val="FFFFFF"/>
        </w:rPr>
      </w:pPr>
      <w:r>
        <w:t>The use</w:t>
      </w:r>
      <w:r w:rsidR="00CF47D5">
        <w:t xml:space="preserve">r </w:t>
      </w:r>
      <w:r>
        <w:t>may invalidate one or more previously entered test results and replace them with corrected results.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19EA548C" w14:textId="77777777">
        <w:trPr>
          <w:cantSplit/>
          <w:tblHeader/>
        </w:trPr>
        <w:tc>
          <w:tcPr>
            <w:tcW w:w="3240" w:type="dxa"/>
            <w:shd w:val="pct30" w:color="auto" w:fill="FFFFFF"/>
            <w:vAlign w:val="bottom"/>
          </w:tcPr>
          <w:p w14:paraId="0CE43AAD" w14:textId="77777777" w:rsidR="002A21AE" w:rsidRPr="00B75AA9" w:rsidRDefault="002A21AE" w:rsidP="00B75AA9">
            <w:pPr>
              <w:pStyle w:val="TableText"/>
              <w:tabs>
                <w:tab w:val="left" w:leader="underscore" w:pos="2880"/>
                <w:tab w:val="left" w:leader="underscore" w:pos="5040"/>
                <w:tab w:val="left" w:leader="underscore" w:pos="7200"/>
              </w:tabs>
            </w:pPr>
            <w:r>
              <w:rPr>
                <w:b/>
              </w:rPr>
              <w:t>User Action</w:t>
            </w:r>
            <w:r w:rsidR="00B75AA9">
              <w:rPr>
                <w:b/>
              </w:rPr>
              <w:t xml:space="preserve"> </w:t>
            </w:r>
          </w:p>
        </w:tc>
        <w:tc>
          <w:tcPr>
            <w:tcW w:w="6120" w:type="dxa"/>
            <w:shd w:val="pct30" w:color="auto" w:fill="FFFFFF"/>
            <w:vAlign w:val="bottom"/>
          </w:tcPr>
          <w:p w14:paraId="2AABBFD0" w14:textId="77777777" w:rsidR="002A21AE" w:rsidRDefault="002A21AE">
            <w:pPr>
              <w:pStyle w:val="TableText"/>
              <w:rPr>
                <w:b/>
              </w:rPr>
            </w:pPr>
            <w:r>
              <w:rPr>
                <w:b/>
              </w:rPr>
              <w:t>VBECS</w:t>
            </w:r>
          </w:p>
        </w:tc>
      </w:tr>
      <w:tr w:rsidR="002A21AE" w14:paraId="6CC0C721" w14:textId="77777777">
        <w:tc>
          <w:tcPr>
            <w:tcW w:w="3240" w:type="dxa"/>
            <w:tcBorders>
              <w:top w:val="single" w:sz="4" w:space="0" w:color="auto"/>
              <w:left w:val="single" w:sz="4" w:space="0" w:color="auto"/>
              <w:bottom w:val="single" w:sz="4" w:space="0" w:color="auto"/>
              <w:right w:val="single" w:sz="4" w:space="0" w:color="auto"/>
            </w:tcBorders>
          </w:tcPr>
          <w:p w14:paraId="4DBA4B5C" w14:textId="77777777" w:rsidR="002A21AE" w:rsidRDefault="002A21AE" w:rsidP="00B75AA9">
            <w:pPr>
              <w:pStyle w:val="TableTextNumbers"/>
            </w:pPr>
            <w:r>
              <w:t xml:space="preserve">Select </w:t>
            </w:r>
            <w:r>
              <w:rPr>
                <w:b/>
              </w:rPr>
              <w:t>Patients</w:t>
            </w:r>
            <w:r>
              <w:t xml:space="preserve"> from the main menu.</w:t>
            </w:r>
          </w:p>
          <w:p w14:paraId="7EE9F3B7" w14:textId="77777777" w:rsidR="002A21AE" w:rsidRDefault="002A21AE">
            <w:pPr>
              <w:pStyle w:val="TableTextNumbersContinued"/>
            </w:pPr>
          </w:p>
          <w:p w14:paraId="7037B7E0" w14:textId="77777777" w:rsidR="002A21AE" w:rsidRDefault="002A21AE">
            <w:pPr>
              <w:pStyle w:val="TableTextNumbersContinued"/>
            </w:pPr>
            <w:r>
              <w:lastRenderedPageBreak/>
              <w:t xml:space="preserve">Select </w:t>
            </w:r>
            <w:r>
              <w:rPr>
                <w:b/>
              </w:rPr>
              <w:t>Invalidate Test Results</w:t>
            </w:r>
            <w:r>
              <w:t>.</w:t>
            </w:r>
          </w:p>
        </w:tc>
        <w:tc>
          <w:tcPr>
            <w:tcW w:w="6120" w:type="dxa"/>
            <w:tcBorders>
              <w:top w:val="single" w:sz="4" w:space="0" w:color="auto"/>
              <w:left w:val="single" w:sz="4" w:space="0" w:color="auto"/>
              <w:bottom w:val="single" w:sz="4" w:space="0" w:color="auto"/>
              <w:right w:val="single" w:sz="4" w:space="0" w:color="auto"/>
            </w:tcBorders>
          </w:tcPr>
          <w:p w14:paraId="24960B15" w14:textId="77777777" w:rsidR="002A21AE" w:rsidRDefault="002A21AE">
            <w:pPr>
              <w:pStyle w:val="TableTextBullet"/>
            </w:pPr>
            <w:r>
              <w:lastRenderedPageBreak/>
              <w:t>Displays options for processing patient-related functions.</w:t>
            </w:r>
          </w:p>
          <w:p w14:paraId="2B33DE1A" w14:textId="77777777" w:rsidR="002A21AE" w:rsidRDefault="002A21AE">
            <w:pPr>
              <w:pStyle w:val="NotesText"/>
            </w:pPr>
          </w:p>
          <w:p w14:paraId="7FDC4B21" w14:textId="779C4FC5" w:rsidR="002A21AE" w:rsidRDefault="002A21AE">
            <w:pPr>
              <w:pStyle w:val="TableText"/>
              <w:rPr>
                <w:b/>
                <w:bCs/>
                <w:szCs w:val="18"/>
              </w:rPr>
            </w:pPr>
            <w:r>
              <w:rPr>
                <w:b/>
                <w:bCs/>
                <w:szCs w:val="18"/>
              </w:rPr>
              <w:t>NOTES</w:t>
            </w:r>
          </w:p>
          <w:p w14:paraId="413B4054" w14:textId="77777777" w:rsidR="002A21AE" w:rsidRDefault="002A21AE">
            <w:pPr>
              <w:pStyle w:val="NotesText"/>
            </w:pPr>
          </w:p>
          <w:p w14:paraId="191F9C6D" w14:textId="77777777" w:rsidR="002A21AE" w:rsidRDefault="002A21AE">
            <w:pPr>
              <w:pStyle w:val="NotesText"/>
            </w:pPr>
            <w:r>
              <w:t xml:space="preserve">Click the </w:t>
            </w:r>
            <w:r>
              <w:rPr>
                <w:b/>
              </w:rPr>
              <w:t xml:space="preserve">Component Orders </w:t>
            </w:r>
            <w:r w:rsidRPr="00CC3C89">
              <w:t xml:space="preserve">tab </w:t>
            </w:r>
            <w:r>
              <w:t>to view its PTL.</w:t>
            </w:r>
          </w:p>
        </w:tc>
      </w:tr>
      <w:tr w:rsidR="002A21AE" w14:paraId="1728C2F5" w14:textId="77777777">
        <w:tc>
          <w:tcPr>
            <w:tcW w:w="3240" w:type="dxa"/>
          </w:tcPr>
          <w:p w14:paraId="3AA42C68" w14:textId="77777777" w:rsidR="002A21AE" w:rsidRDefault="002A21AE">
            <w:pPr>
              <w:pStyle w:val="TableTextNumbers"/>
            </w:pPr>
            <w:r>
              <w:lastRenderedPageBreak/>
              <w:t>Enter the patient name and/or specimen UID.</w:t>
            </w:r>
          </w:p>
          <w:p w14:paraId="47486F84" w14:textId="77777777" w:rsidR="002A21AE" w:rsidRDefault="002A21AE">
            <w:pPr>
              <w:pStyle w:val="TableTextNumbersContinued"/>
            </w:pPr>
          </w:p>
          <w:p w14:paraId="40EAFDB5" w14:textId="77777777" w:rsidR="002A21AE" w:rsidRDefault="002A21AE">
            <w:pPr>
              <w:pStyle w:val="TableTextNumbersContinued"/>
            </w:pPr>
            <w:r>
              <w:t xml:space="preserve">Edit the “expires after” date, if required. </w:t>
            </w:r>
          </w:p>
          <w:p w14:paraId="1213F208" w14:textId="77777777" w:rsidR="002A21AE" w:rsidRDefault="002A21AE">
            <w:pPr>
              <w:pStyle w:val="TableTextNumbersContinued"/>
            </w:pPr>
          </w:p>
          <w:p w14:paraId="2238D840" w14:textId="77777777" w:rsidR="002A21AE" w:rsidRDefault="002A21AE">
            <w:pPr>
              <w:pStyle w:val="TableTextNumbersContinued"/>
            </w:pPr>
            <w:r>
              <w:t xml:space="preserve">Click </w:t>
            </w:r>
            <w:r>
              <w:rPr>
                <w:b/>
              </w:rPr>
              <w:t>Search</w:t>
            </w:r>
            <w:r>
              <w:t>, if needed.</w:t>
            </w:r>
          </w:p>
        </w:tc>
        <w:tc>
          <w:tcPr>
            <w:tcW w:w="6120" w:type="dxa"/>
          </w:tcPr>
          <w:p w14:paraId="79CCE3B1" w14:textId="77777777" w:rsidR="002A21AE" w:rsidRDefault="002A21AE">
            <w:pPr>
              <w:pStyle w:val="TableTextBullet"/>
            </w:pPr>
            <w:r>
              <w:rPr>
                <w:rFonts w:cs="Arial"/>
                <w:vanish/>
              </w:rPr>
              <w:t xml:space="preserve">BR_94.01 </w:t>
            </w:r>
            <w:r>
              <w:t>Displays an option to enter a specimen UID or a patient for a specific date or for a range of dates.</w:t>
            </w:r>
          </w:p>
          <w:p w14:paraId="4447F257" w14:textId="77777777" w:rsidR="002A21AE" w:rsidRDefault="002A21AE">
            <w:pPr>
              <w:pStyle w:val="TableTextBullet"/>
            </w:pPr>
            <w:r>
              <w:rPr>
                <w:rFonts w:cs="Arial"/>
                <w:vanish/>
              </w:rPr>
              <w:t xml:space="preserve">BR_94.02 </w:t>
            </w:r>
            <w:r>
              <w:t xml:space="preserve">Displays the complete diagnostic tests associated with the entry. </w:t>
            </w:r>
          </w:p>
        </w:tc>
      </w:tr>
      <w:tr w:rsidR="002A21AE" w14:paraId="244AB07F" w14:textId="77777777">
        <w:tc>
          <w:tcPr>
            <w:tcW w:w="3240" w:type="dxa"/>
          </w:tcPr>
          <w:p w14:paraId="11CBF232" w14:textId="77777777" w:rsidR="002A21AE" w:rsidRDefault="002A21AE">
            <w:pPr>
              <w:pStyle w:val="TableTextNumbers"/>
            </w:pPr>
            <w:r>
              <w:t>Select a test result from the Specimen Test Results list.</w:t>
            </w:r>
          </w:p>
        </w:tc>
        <w:tc>
          <w:tcPr>
            <w:tcW w:w="6120" w:type="dxa"/>
          </w:tcPr>
          <w:p w14:paraId="58171CB0" w14:textId="77777777" w:rsidR="002A21AE" w:rsidRDefault="002A21AE">
            <w:pPr>
              <w:pStyle w:val="TableTextBullet"/>
            </w:pPr>
            <w:r>
              <w:t>Displays the original results for the user to review.</w:t>
            </w:r>
            <w:r>
              <w:rPr>
                <w:vanish/>
                <w:szCs w:val="18"/>
              </w:rPr>
              <w:t xml:space="preserve"> BR_94.06</w:t>
            </w:r>
          </w:p>
          <w:p w14:paraId="09B47271" w14:textId="77777777" w:rsidR="002A21AE" w:rsidRDefault="002A21AE">
            <w:pPr>
              <w:pStyle w:val="TableText"/>
            </w:pPr>
          </w:p>
          <w:p w14:paraId="6A971F1B" w14:textId="42AD40AC" w:rsidR="002A21AE" w:rsidRDefault="002A21AE">
            <w:pPr>
              <w:pStyle w:val="TableText"/>
              <w:rPr>
                <w:b/>
                <w:bCs/>
                <w:szCs w:val="18"/>
              </w:rPr>
            </w:pPr>
            <w:r>
              <w:rPr>
                <w:b/>
                <w:bCs/>
                <w:szCs w:val="18"/>
              </w:rPr>
              <w:t>NOTES</w:t>
            </w:r>
          </w:p>
          <w:p w14:paraId="429148A4" w14:textId="77777777" w:rsidR="002A21AE" w:rsidRDefault="002A21AE">
            <w:pPr>
              <w:pStyle w:val="NotesText"/>
            </w:pPr>
          </w:p>
          <w:p w14:paraId="5A9CA2C1" w14:textId="77777777" w:rsidR="002A21AE" w:rsidRDefault="002A21AE">
            <w:pPr>
              <w:pStyle w:val="NotesText"/>
            </w:pPr>
            <w:r>
              <w:rPr>
                <w:rFonts w:cs="Arial"/>
                <w:vanish/>
              </w:rPr>
              <w:t xml:space="preserve">BR_94.10 </w:t>
            </w:r>
            <w:r>
              <w:t>When the user chooses to invalidate an ABID, VBECS warns that the invalidation of the antibody specificity also invalidates the corresponding calculated antigen negative requirements. No user action is required.</w:t>
            </w:r>
          </w:p>
          <w:p w14:paraId="461CA486" w14:textId="77777777" w:rsidR="002A21AE" w:rsidRDefault="002A21AE">
            <w:pPr>
              <w:pStyle w:val="NotesText"/>
            </w:pPr>
          </w:p>
          <w:p w14:paraId="53E07D6C" w14:textId="77777777" w:rsidR="002A21AE" w:rsidRDefault="002A21AE">
            <w:pPr>
              <w:pStyle w:val="NotesText"/>
            </w:pPr>
            <w:r>
              <w:rPr>
                <w:rFonts w:cs="Arial"/>
                <w:vanish/>
              </w:rPr>
              <w:t xml:space="preserve">BR_94.12 </w:t>
            </w:r>
            <w:r w:rsidR="00E57896" w:rsidRPr="00EC7489">
              <w:rPr>
                <w:rFonts w:ascii="Wingdings 3" w:hAnsi="Wingdings 3" w:cs="Wingdings"/>
              </w:rPr>
              <w:t></w:t>
            </w:r>
            <w:r w:rsidR="00E57896" w:rsidRPr="00EC7489">
              <w:rPr>
                <w:rFonts w:ascii="Wingdings 3" w:hAnsi="Wingdings 3" w:cs="Wingdings"/>
              </w:rPr>
              <w:t></w:t>
            </w:r>
            <w:r w:rsidR="00E57896" w:rsidRPr="00EC7489">
              <w:rPr>
                <w:rFonts w:ascii="Wingdings 3" w:hAnsi="Wingdings 3" w:cs="Wingdings"/>
              </w:rPr>
              <w:t></w:t>
            </w:r>
            <w:r w:rsidR="00E57896" w:rsidRPr="00EC7489">
              <w:rPr>
                <w:rFonts w:ascii="Wingdings 3" w:hAnsi="Wingdings 3" w:cs="Wingdings"/>
              </w:rPr>
              <w:t></w:t>
            </w:r>
            <w:r w:rsidR="00E57896">
              <w:t xml:space="preserve"> </w:t>
            </w:r>
            <w:r>
              <w:t xml:space="preserve">When the user is a Traditional Supervisor and the selected specimen is the most recent specimen tested for the selected patient, the user may invalidate a previously justified ABO/Rh test result. When the specimen ABO/Rh test associated with a justification is invalidated, VBECS removes the justification information from the patient record. </w:t>
            </w:r>
          </w:p>
          <w:p w14:paraId="663882C8" w14:textId="77777777" w:rsidR="002A21AE" w:rsidRDefault="002A21AE" w:rsidP="0055373D">
            <w:pPr>
              <w:pStyle w:val="NotesText"/>
            </w:pPr>
          </w:p>
          <w:p w14:paraId="20FE17BD" w14:textId="77777777" w:rsidR="0055373D" w:rsidRDefault="002A21AE" w:rsidP="0055373D">
            <w:pPr>
              <w:pStyle w:val="NotesText"/>
            </w:pPr>
            <w:r>
              <w:rPr>
                <w:rFonts w:cs="Arial"/>
                <w:vanish/>
              </w:rPr>
              <w:t xml:space="preserve">BR_94.03 </w:t>
            </w:r>
            <w:r w:rsidR="0055373D">
              <w:t>When the user attempts to invalidate a non-</w:t>
            </w:r>
            <w:r w:rsidR="00A76142">
              <w:t>XM</w:t>
            </w:r>
            <w:r w:rsidR="0055373D">
              <w:t xml:space="preserve"> test for a patient specimen and blood units are currently associated with the specimen (assigned, electronically or serologically crossmatched, issued or transfused), </w:t>
            </w:r>
            <w:r w:rsidR="00B80F86">
              <w:t>VBECS warns that b</w:t>
            </w:r>
            <w:r w:rsidR="0055373D">
              <w:t>lood components are associated to this specimen</w:t>
            </w:r>
            <w:r w:rsidR="00B80F86">
              <w:t xml:space="preserve"> and that the associated unit</w:t>
            </w:r>
            <w:r w:rsidR="0055373D">
              <w:t>s must be removed before testing can be invalidated. The user may not continue to invalidate the test.</w:t>
            </w:r>
          </w:p>
          <w:p w14:paraId="4EE16269" w14:textId="77777777" w:rsidR="0055373D" w:rsidRDefault="0055373D" w:rsidP="0055373D">
            <w:pPr>
              <w:pStyle w:val="NotesText"/>
            </w:pPr>
          </w:p>
          <w:p w14:paraId="37892B30" w14:textId="77777777" w:rsidR="002A21AE" w:rsidRDefault="0055373D" w:rsidP="0055373D">
            <w:pPr>
              <w:pStyle w:val="NotesText"/>
            </w:pPr>
            <w:r>
              <w:t xml:space="preserve">When the user attempts to invalidate a </w:t>
            </w:r>
            <w:r w:rsidR="00A76142">
              <w:t>XM</w:t>
            </w:r>
            <w:r>
              <w:t xml:space="preserve"> test for a patient specimen and the associated blood unit</w:t>
            </w:r>
            <w:r w:rsidR="00A76142">
              <w:t>s are</w:t>
            </w:r>
            <w:r>
              <w:t xml:space="preserve"> currently issued or transfused, </w:t>
            </w:r>
            <w:r w:rsidR="00A76142">
              <w:t>VBECS warns the user that t</w:t>
            </w:r>
            <w:r>
              <w:t xml:space="preserve">he selected test cannot be invalidated because the unit </w:t>
            </w:r>
            <w:r w:rsidR="00A76142">
              <w:t>was</w:t>
            </w:r>
            <w:r>
              <w:t xml:space="preserve"> issued based on the </w:t>
            </w:r>
            <w:r w:rsidR="00A76142">
              <w:t>XM</w:t>
            </w:r>
            <w:r>
              <w:t xml:space="preserve"> result. The user may not continue to invalidate the </w:t>
            </w:r>
            <w:r w:rsidR="00A76142">
              <w:t>XM</w:t>
            </w:r>
            <w:r>
              <w:t xml:space="preserve"> test.</w:t>
            </w:r>
          </w:p>
        </w:tc>
      </w:tr>
      <w:tr w:rsidR="002A21AE" w14:paraId="7279444B" w14:textId="77777777">
        <w:tc>
          <w:tcPr>
            <w:tcW w:w="3240" w:type="dxa"/>
          </w:tcPr>
          <w:p w14:paraId="6061CCBB" w14:textId="37DC2F88" w:rsidR="002A21AE" w:rsidRDefault="002A21AE">
            <w:pPr>
              <w:pStyle w:val="TableTextNumbers"/>
            </w:pPr>
            <w:r>
              <w:t>Verify the accuracy of the selected patient specimen and patient information</w:t>
            </w:r>
            <w:r w:rsidR="004C67AB">
              <w:t xml:space="preserve"> (</w:t>
            </w:r>
            <w:r w:rsidR="00EE455E">
              <w:t xml:space="preserve">Figure </w:t>
            </w:r>
            <w:r w:rsidR="00EE455E">
              <w:rPr>
                <w:noProof/>
              </w:rPr>
              <w:t>82</w:t>
            </w:r>
            <w:r w:rsidR="004C67AB">
              <w:t>)</w:t>
            </w:r>
            <w:r>
              <w:t>.</w:t>
            </w:r>
          </w:p>
          <w:p w14:paraId="22F7FE8C" w14:textId="77777777" w:rsidR="002A21AE" w:rsidRDefault="002A21AE">
            <w:pPr>
              <w:pStyle w:val="TableTextNumbersContinued"/>
            </w:pPr>
          </w:p>
          <w:p w14:paraId="1EED07D2" w14:textId="77777777" w:rsidR="002A21AE" w:rsidRDefault="002A21AE">
            <w:pPr>
              <w:pStyle w:val="TableTextNumbersContinued"/>
            </w:pPr>
            <w:r>
              <w:t xml:space="preserve">Click </w:t>
            </w:r>
            <w:r>
              <w:rPr>
                <w:b/>
              </w:rPr>
              <w:t>OK</w:t>
            </w:r>
            <w:r>
              <w:t xml:space="preserve"> to accept the results.</w:t>
            </w:r>
          </w:p>
        </w:tc>
        <w:tc>
          <w:tcPr>
            <w:tcW w:w="6120" w:type="dxa"/>
          </w:tcPr>
          <w:p w14:paraId="0651B74B" w14:textId="77777777" w:rsidR="002A21AE" w:rsidRDefault="002A21AE">
            <w:pPr>
              <w:pStyle w:val="TableTextBullet"/>
            </w:pPr>
            <w:r>
              <w:t>Marks these test results as “invalid” and asks the user whether he needs to replace the invalidated results with new test results.</w:t>
            </w:r>
          </w:p>
          <w:p w14:paraId="07F16DF9" w14:textId="77777777" w:rsidR="002A21AE" w:rsidRDefault="002A21AE">
            <w:pPr>
              <w:pStyle w:val="TableTextBullet1"/>
            </w:pPr>
            <w:r>
              <w:rPr>
                <w:b/>
              </w:rPr>
              <w:t>Yes</w:t>
            </w:r>
            <w:r>
              <w:t xml:space="preserve"> (test result replacement is needed) changes the task status to “correction” to return the task to the PTL for completion.</w:t>
            </w:r>
          </w:p>
          <w:p w14:paraId="5414A600" w14:textId="77777777" w:rsidR="002A21AE" w:rsidRDefault="002A21AE">
            <w:pPr>
              <w:pStyle w:val="TableTextBullet1"/>
            </w:pPr>
            <w:r>
              <w:rPr>
                <w:b/>
              </w:rPr>
              <w:t>No</w:t>
            </w:r>
            <w:r>
              <w:t xml:space="preserve"> (test replacement is not needed) marks the erroneous test results as “Test Result Invalidated”; the task status does not change.</w:t>
            </w:r>
          </w:p>
          <w:p w14:paraId="37311ED9" w14:textId="103CE7B1" w:rsidR="003666C3" w:rsidRDefault="002A21AE" w:rsidP="00E11D1E">
            <w:pPr>
              <w:pStyle w:val="TableTextBullet"/>
            </w:pPr>
            <w:r>
              <w:t>When the user selects all the diagnostic tests associated with a specimen, displays an option to mark the specimen unacceptable and invalidate the tests.</w:t>
            </w:r>
          </w:p>
        </w:tc>
      </w:tr>
      <w:tr w:rsidR="002A21AE" w14:paraId="48448C6F" w14:textId="77777777" w:rsidTr="006C058D">
        <w:trPr>
          <w:cantSplit/>
        </w:trPr>
        <w:tc>
          <w:tcPr>
            <w:tcW w:w="3240" w:type="dxa"/>
          </w:tcPr>
          <w:p w14:paraId="313DECCE" w14:textId="77777777" w:rsidR="002A21AE" w:rsidRDefault="002A21AE">
            <w:pPr>
              <w:pStyle w:val="TableTextNumbers"/>
            </w:pPr>
            <w:r>
              <w:lastRenderedPageBreak/>
              <w:t>Select the test to invalidate from the Patient Test Results list.</w:t>
            </w:r>
          </w:p>
          <w:p w14:paraId="2FB2628B" w14:textId="77777777" w:rsidR="002A21AE" w:rsidRDefault="002A21AE">
            <w:pPr>
              <w:pStyle w:val="TableTextNumbersContinued"/>
            </w:pPr>
          </w:p>
          <w:p w14:paraId="697B41D0" w14:textId="32F448EC" w:rsidR="002A21AE" w:rsidRDefault="002A21AE">
            <w:pPr>
              <w:pStyle w:val="TableTextNumbersContinued"/>
            </w:pPr>
            <w:r>
              <w:t xml:space="preserve">Click </w:t>
            </w:r>
            <w:r>
              <w:rPr>
                <w:b/>
              </w:rPr>
              <w:t>Invalidate Results</w:t>
            </w:r>
            <w:r w:rsidR="004C67AB" w:rsidRPr="004C67AB">
              <w:t xml:space="preserve"> (</w:t>
            </w:r>
            <w:r w:rsidR="00EE455E">
              <w:t xml:space="preserve">Figure </w:t>
            </w:r>
            <w:r w:rsidR="00EE455E">
              <w:rPr>
                <w:noProof/>
              </w:rPr>
              <w:t>83</w:t>
            </w:r>
            <w:r w:rsidR="004C67AB" w:rsidRPr="004C67AB">
              <w:t>)</w:t>
            </w:r>
            <w:r>
              <w:t>.</w:t>
            </w:r>
          </w:p>
          <w:p w14:paraId="3898C82B" w14:textId="77777777" w:rsidR="002A21AE" w:rsidRDefault="002A21AE">
            <w:pPr>
              <w:pStyle w:val="TableTextNumbersContinued"/>
            </w:pPr>
          </w:p>
          <w:p w14:paraId="5843D9E9" w14:textId="77777777" w:rsidR="002A21AE" w:rsidRDefault="002A21AE">
            <w:pPr>
              <w:pStyle w:val="TableTextNumbersContinued"/>
            </w:pPr>
            <w:r>
              <w:t>Enter a comment.</w:t>
            </w:r>
          </w:p>
          <w:p w14:paraId="3E0B93A4" w14:textId="77777777" w:rsidR="002A21AE" w:rsidRDefault="002A21AE">
            <w:pPr>
              <w:pStyle w:val="TableTextNumbersContinued"/>
            </w:pPr>
          </w:p>
          <w:p w14:paraId="5D2BC5CE" w14:textId="77777777" w:rsidR="002A21AE" w:rsidRDefault="002A21AE">
            <w:pPr>
              <w:pStyle w:val="TableTextNumbersContinued"/>
            </w:pPr>
            <w:r>
              <w:t xml:space="preserve">Click the </w:t>
            </w:r>
            <w:r>
              <w:rPr>
                <w:b/>
              </w:rPr>
              <w:t xml:space="preserve">Add test to the Pending Task List to allow for replacement results </w:t>
            </w:r>
            <w:r w:rsidRPr="00D1100E">
              <w:t>check box</w:t>
            </w:r>
            <w:r>
              <w:t>, if appropriate.</w:t>
            </w:r>
          </w:p>
          <w:p w14:paraId="735057C2" w14:textId="77777777" w:rsidR="002A21AE" w:rsidRDefault="002A21AE">
            <w:pPr>
              <w:pStyle w:val="TableTextNumbersContinued"/>
            </w:pPr>
          </w:p>
          <w:p w14:paraId="6C43AB34" w14:textId="77777777" w:rsidR="002A21AE" w:rsidRDefault="002A21AE">
            <w:pPr>
              <w:pStyle w:val="TableTextNumbersContinued"/>
            </w:pPr>
            <w:r>
              <w:t xml:space="preserve">Click </w:t>
            </w:r>
            <w:r w:rsidRPr="003B3B94">
              <w:rPr>
                <w:b/>
              </w:rPr>
              <w:t>OK</w:t>
            </w:r>
            <w:r>
              <w:t>.</w:t>
            </w:r>
          </w:p>
        </w:tc>
        <w:tc>
          <w:tcPr>
            <w:tcW w:w="6120" w:type="dxa"/>
          </w:tcPr>
          <w:p w14:paraId="7B0BE24C" w14:textId="77777777" w:rsidR="002A21AE" w:rsidRDefault="002A21AE">
            <w:pPr>
              <w:pStyle w:val="TableTextBullet"/>
            </w:pPr>
            <w:r>
              <w:t>Asks the user whether he wishes to change the specimen status to “unacceptable.”</w:t>
            </w:r>
          </w:p>
          <w:p w14:paraId="11F579EB" w14:textId="77777777" w:rsidR="002A21AE" w:rsidRDefault="002A21AE">
            <w:pPr>
              <w:pStyle w:val="TableText"/>
            </w:pPr>
          </w:p>
          <w:p w14:paraId="1152ED0A" w14:textId="0B96F1B6" w:rsidR="002A21AE" w:rsidRDefault="002A21AE">
            <w:pPr>
              <w:pStyle w:val="TableText"/>
              <w:rPr>
                <w:b/>
                <w:bCs/>
                <w:szCs w:val="18"/>
              </w:rPr>
            </w:pPr>
            <w:r>
              <w:rPr>
                <w:b/>
                <w:bCs/>
                <w:szCs w:val="18"/>
              </w:rPr>
              <w:t>NOTES</w:t>
            </w:r>
          </w:p>
          <w:p w14:paraId="355C42BE" w14:textId="77777777" w:rsidR="002A21AE" w:rsidRDefault="002A21AE">
            <w:pPr>
              <w:pStyle w:val="NotesText"/>
            </w:pPr>
          </w:p>
          <w:p w14:paraId="2F795003" w14:textId="77777777" w:rsidR="001B2013" w:rsidRPr="001B2013" w:rsidRDefault="001B2013">
            <w:pPr>
              <w:pStyle w:val="NotesText"/>
              <w:rPr>
                <w:rFonts w:cs="Arial"/>
              </w:rPr>
            </w:pPr>
            <w:r>
              <w:rPr>
                <w:rFonts w:cs="Arial"/>
              </w:rPr>
              <w:t>T</w:t>
            </w:r>
            <w:r w:rsidRPr="001B2013">
              <w:rPr>
                <w:rFonts w:cs="Arial"/>
              </w:rPr>
              <w:t xml:space="preserve">o </w:t>
            </w:r>
            <w:r>
              <w:rPr>
                <w:rFonts w:cs="Arial"/>
              </w:rPr>
              <w:t>maintain</w:t>
            </w:r>
            <w:r w:rsidRPr="001B2013">
              <w:rPr>
                <w:rFonts w:cs="Arial"/>
              </w:rPr>
              <w:t xml:space="preserve"> a clear record</w:t>
            </w:r>
            <w:r>
              <w:rPr>
                <w:rFonts w:cs="Arial"/>
              </w:rPr>
              <w:t xml:space="preserve"> and system checks, invalidate both original and repeat ABO/Rh tests</w:t>
            </w:r>
            <w:r w:rsidRPr="001B2013">
              <w:rPr>
                <w:rFonts w:cs="Arial"/>
              </w:rPr>
              <w:t xml:space="preserve">. </w:t>
            </w:r>
          </w:p>
          <w:p w14:paraId="5BFF4686" w14:textId="77777777" w:rsidR="001B2013" w:rsidRDefault="001B2013">
            <w:pPr>
              <w:pStyle w:val="NotesText"/>
              <w:rPr>
                <w:rFonts w:cs="Arial"/>
              </w:rPr>
            </w:pPr>
          </w:p>
          <w:p w14:paraId="33A8F100" w14:textId="77777777" w:rsidR="002A21AE" w:rsidRDefault="002A21AE">
            <w:pPr>
              <w:pStyle w:val="NotesText"/>
            </w:pPr>
            <w:r>
              <w:rPr>
                <w:rFonts w:cs="Arial"/>
                <w:vanish/>
              </w:rPr>
              <w:t xml:space="preserve">BR_94.05 </w:t>
            </w:r>
            <w:r>
              <w:t xml:space="preserve">When the user invalidated all of the diagnostic tests associated with a given specimen, VBECS asks whether the user wishes to change the specimen to “unacceptable.” </w:t>
            </w:r>
            <w:r>
              <w:rPr>
                <w:b/>
              </w:rPr>
              <w:t>No</w:t>
            </w:r>
            <w:r>
              <w:t xml:space="preserve"> allows the user to invalidate the test results without making the specimen unacceptable. </w:t>
            </w:r>
            <w:r>
              <w:rPr>
                <w:b/>
              </w:rPr>
              <w:t>Yes</w:t>
            </w:r>
            <w:r>
              <w:t xml:space="preserve"> changes the specimen to “unacceptable” and requires a comment.</w:t>
            </w:r>
          </w:p>
          <w:p w14:paraId="6FEDB448" w14:textId="77777777" w:rsidR="00D507B7" w:rsidRDefault="00D507B7">
            <w:pPr>
              <w:pStyle w:val="NotesText"/>
            </w:pPr>
          </w:p>
          <w:p w14:paraId="6B416ECD" w14:textId="0433AC70" w:rsidR="00D507B7" w:rsidRDefault="00D507B7">
            <w:pPr>
              <w:pStyle w:val="NotesText"/>
            </w:pPr>
            <w:r w:rsidRPr="006276C6">
              <w:rPr>
                <w:vanish/>
              </w:rPr>
              <w:t>BR</w:t>
            </w:r>
            <w:r w:rsidR="003E14B6" w:rsidRPr="006276C6">
              <w:rPr>
                <w:vanish/>
              </w:rPr>
              <w:t xml:space="preserve">_94.14 </w:t>
            </w:r>
            <w:r w:rsidR="00C70BA5" w:rsidRPr="00C70BA5">
              <w:t>When the user chooses to invalidate patient test results, the user is required to enter a comment (free text or canned from the “Patient Testing” context) to continue. The comment and the details of the transaction are captured for inclusion in an exception report. The user may choose to add the invalidated test back to the Pending Task List for replacement results.</w:t>
            </w:r>
          </w:p>
        </w:tc>
      </w:tr>
      <w:tr w:rsidR="002A21AE" w14:paraId="75E47418" w14:textId="77777777">
        <w:tc>
          <w:tcPr>
            <w:tcW w:w="3240" w:type="dxa"/>
          </w:tcPr>
          <w:p w14:paraId="08CC4FC6" w14:textId="77777777" w:rsidR="002A21AE" w:rsidRDefault="002A21AE">
            <w:pPr>
              <w:pStyle w:val="TableTextNumbers"/>
            </w:pPr>
            <w:r>
              <w:t xml:space="preserve">Click </w:t>
            </w:r>
            <w:r>
              <w:rPr>
                <w:b/>
              </w:rPr>
              <w:t xml:space="preserve">OK </w:t>
            </w:r>
            <w:r>
              <w:t xml:space="preserve">to exit. </w:t>
            </w:r>
            <w:r>
              <w:rPr>
                <w:vanish/>
                <w:color w:val="FFFFFF"/>
                <w:szCs w:val="18"/>
              </w:rPr>
              <w:fldChar w:fldCharType="begin"/>
            </w:r>
            <w:r>
              <w:rPr>
                <w:vanish/>
                <w:color w:val="FFFFFF"/>
                <w:szCs w:val="18"/>
              </w:rPr>
              <w:instrText xml:space="preserve"> LISTNUM \l 1 \s 0 </w:instrText>
            </w:r>
            <w:r>
              <w:rPr>
                <w:vanish/>
                <w:color w:val="FFFFFF"/>
                <w:szCs w:val="18"/>
              </w:rPr>
              <w:fldChar w:fldCharType="end">
                <w:numberingChange w:id="463" w:author="MUSZYNSKI, THOMAS D. (SIERRA 7 INC)" w:date="2024-11-26T07:15:00Z" w:original="0."/>
              </w:fldChar>
            </w:r>
          </w:p>
        </w:tc>
        <w:tc>
          <w:tcPr>
            <w:tcW w:w="6120" w:type="dxa"/>
          </w:tcPr>
          <w:p w14:paraId="211D236B" w14:textId="77777777" w:rsidR="002A21AE" w:rsidRDefault="002A21AE">
            <w:pPr>
              <w:pStyle w:val="NotesText"/>
            </w:pPr>
          </w:p>
        </w:tc>
      </w:tr>
    </w:tbl>
    <w:p w14:paraId="5846ADB6" w14:textId="5CD1A40A" w:rsidR="004C67AB" w:rsidRDefault="004C67AB" w:rsidP="004C67AB">
      <w:pPr>
        <w:pStyle w:val="Caption"/>
      </w:pPr>
      <w:bookmarkStart w:id="464" w:name="_Ref127159551"/>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7D1829">
        <w:rPr>
          <w:noProof/>
        </w:rPr>
        <w:t>83</w:t>
      </w:r>
      <w:r w:rsidR="004E20BD">
        <w:rPr>
          <w:noProof/>
        </w:rPr>
        <w:fldChar w:fldCharType="end"/>
      </w:r>
      <w:bookmarkEnd w:id="464"/>
      <w:r>
        <w:t>: Invalidate Patient Test Results</w:t>
      </w:r>
    </w:p>
    <w:p w14:paraId="2A82F5A9" w14:textId="77777777" w:rsidR="004C67AB" w:rsidRDefault="00057948" w:rsidP="004C67AB">
      <w:pPr>
        <w:pStyle w:val="BodyText"/>
      </w:pPr>
      <w:r>
        <w:rPr>
          <w:noProof/>
        </w:rPr>
        <w:drawing>
          <wp:inline distT="0" distB="0" distL="0" distR="0" wp14:anchorId="1891CACF" wp14:editId="39EE6D2B">
            <wp:extent cx="5948045" cy="3537585"/>
            <wp:effectExtent l="0" t="0" r="0" b="5715"/>
            <wp:docPr id="202" name="Picture 202" descr="Example of Invalidate Patient Test Results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Picture 202" descr="Example of Invalidate Patient Test Results screen capture"/>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5948045" cy="3537585"/>
                    </a:xfrm>
                    <a:prstGeom prst="rect">
                      <a:avLst/>
                    </a:prstGeom>
                    <a:noFill/>
                    <a:ln>
                      <a:noFill/>
                    </a:ln>
                  </pic:spPr>
                </pic:pic>
              </a:graphicData>
            </a:graphic>
          </wp:inline>
        </w:drawing>
      </w:r>
    </w:p>
    <w:p w14:paraId="7C27B30B" w14:textId="4F89C136" w:rsidR="004C67AB" w:rsidRDefault="004C67AB" w:rsidP="004C67AB">
      <w:pPr>
        <w:pStyle w:val="Caption"/>
      </w:pPr>
      <w:bookmarkStart w:id="465" w:name="_Ref127159868"/>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7D1829">
        <w:rPr>
          <w:noProof/>
        </w:rPr>
        <w:t>84</w:t>
      </w:r>
      <w:r w:rsidR="004E20BD">
        <w:rPr>
          <w:noProof/>
        </w:rPr>
        <w:fldChar w:fldCharType="end"/>
      </w:r>
      <w:bookmarkEnd w:id="465"/>
      <w:r>
        <w:t>: Confirm Invalidation</w:t>
      </w:r>
    </w:p>
    <w:p w14:paraId="1A0CB78B" w14:textId="77777777" w:rsidR="004C67AB" w:rsidRDefault="00057948" w:rsidP="004C67AB">
      <w:pPr>
        <w:pStyle w:val="BodyText"/>
      </w:pPr>
      <w:r>
        <w:rPr>
          <w:noProof/>
        </w:rPr>
        <w:drawing>
          <wp:inline distT="0" distB="0" distL="0" distR="0" wp14:anchorId="1BDDBA68" wp14:editId="5D963E05">
            <wp:extent cx="5939155" cy="3759200"/>
            <wp:effectExtent l="0" t="0" r="4445" b="0"/>
            <wp:docPr id="203" name="Picture 203" descr="Example of Confirm Invalidation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Picture 203" descr="Example of Confirm Invalidation screen capture"/>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5939155" cy="3759200"/>
                    </a:xfrm>
                    <a:prstGeom prst="rect">
                      <a:avLst/>
                    </a:prstGeom>
                    <a:noFill/>
                    <a:ln>
                      <a:noFill/>
                    </a:ln>
                  </pic:spPr>
                </pic:pic>
              </a:graphicData>
            </a:graphic>
          </wp:inline>
        </w:drawing>
      </w:r>
    </w:p>
    <w:p w14:paraId="74E9FD6D" w14:textId="77777777" w:rsidR="002A21AE" w:rsidRDefault="002A21AE" w:rsidP="004C67AB">
      <w:pPr>
        <w:pStyle w:val="Heading2"/>
      </w:pPr>
      <w:r>
        <w:br w:type="page"/>
      </w:r>
      <w:bookmarkStart w:id="466" w:name="_Toc203765904"/>
      <w:r>
        <w:lastRenderedPageBreak/>
        <w:t>Remove Final Status</w:t>
      </w:r>
      <w:bookmarkEnd w:id="466"/>
      <w:r w:rsidRPr="007B1B11">
        <w:rPr>
          <w:rFonts w:ascii="Arial Bold" w:hAnsi="Arial Bold"/>
          <w:vanish/>
        </w:rPr>
        <w:fldChar w:fldCharType="begin"/>
      </w:r>
      <w:r w:rsidRPr="007B1B11">
        <w:rPr>
          <w:rFonts w:ascii="Arial Bold" w:hAnsi="Arial Bold"/>
          <w:vanish/>
        </w:rPr>
        <w:instrText xml:space="preserve"> XE </w:instrText>
      </w:r>
      <w:r w:rsidR="00FA7E65" w:rsidRPr="007B1B11">
        <w:rPr>
          <w:rFonts w:ascii="Arial Bold" w:hAnsi="Arial Bold"/>
          <w:vanish/>
        </w:rPr>
        <w:instrText>“</w:instrText>
      </w:r>
      <w:r w:rsidRPr="007B1B11">
        <w:rPr>
          <w:rFonts w:ascii="Arial Bold" w:hAnsi="Arial Bold"/>
          <w:vanish/>
        </w:rPr>
        <w:instrText>Remove Final Status</w:instrText>
      </w:r>
      <w:r w:rsidR="00FA7E65" w:rsidRPr="007B1B11">
        <w:rPr>
          <w:rFonts w:ascii="Arial Bold" w:hAnsi="Arial Bold"/>
          <w:vanish/>
        </w:rPr>
        <w:instrText>”</w:instrText>
      </w:r>
      <w:r w:rsidRPr="007B1B11">
        <w:rPr>
          <w:rFonts w:ascii="Arial Bold" w:hAnsi="Arial Bold"/>
          <w:vanish/>
        </w:rPr>
        <w:instrText xml:space="preserve"> </w:instrText>
      </w:r>
      <w:r w:rsidRPr="007B1B11">
        <w:rPr>
          <w:rFonts w:ascii="Arial Bold" w:hAnsi="Arial Bold"/>
          <w:vanish/>
        </w:rPr>
        <w:fldChar w:fldCharType="end"/>
      </w:r>
      <w:r w:rsidRPr="007B1B11">
        <w:rPr>
          <w:rFonts w:ascii="Arial Bold" w:hAnsi="Arial Bold"/>
          <w:vanish/>
        </w:rPr>
        <w:t xml:space="preserve"> UC_13</w:t>
      </w:r>
    </w:p>
    <w:p w14:paraId="4FAC25B3" w14:textId="77777777" w:rsidR="002A21AE" w:rsidRDefault="002A21AE" w:rsidP="00FA7E65">
      <w:pPr>
        <w:pStyle w:val="BodyText"/>
      </w:pPr>
      <w:r>
        <w:t xml:space="preserve">The user removes a final status from a unit. All other statuses are manipulated through normal system rules and practices. </w:t>
      </w:r>
    </w:p>
    <w:p w14:paraId="1A2F1B79" w14:textId="77777777" w:rsidR="002A21AE" w:rsidRDefault="002A21AE">
      <w:pPr>
        <w:pStyle w:val="Heading4"/>
      </w:pPr>
      <w:r>
        <w:t>Assumptions</w:t>
      </w:r>
      <w:r>
        <w:rPr>
          <w:b w:val="0"/>
        </w:rPr>
        <w:t xml:space="preserve"> </w:t>
      </w:r>
    </w:p>
    <w:p w14:paraId="1C3DA376" w14:textId="77777777" w:rsidR="002A21AE" w:rsidRDefault="002A21AE">
      <w:pPr>
        <w:pStyle w:val="ListBullet"/>
      </w:pPr>
      <w:r>
        <w:t>The user is logged into the division containing the unit record.</w:t>
      </w:r>
    </w:p>
    <w:p w14:paraId="03B4A9AE" w14:textId="77777777" w:rsidR="002A21AE" w:rsidRDefault="002A21AE">
      <w:pPr>
        <w:pStyle w:val="ListBullet"/>
      </w:pPr>
      <w:r>
        <w:t>The unit is in a final (transfused, transferred, modified, discarded) status.</w:t>
      </w:r>
    </w:p>
    <w:p w14:paraId="44DE3A73" w14:textId="77777777" w:rsidR="002A21AE" w:rsidRDefault="002A21AE">
      <w:pPr>
        <w:pStyle w:val="ListBullet"/>
      </w:pPr>
      <w:r>
        <w:t xml:space="preserve">The user must invalidate the modification status of the split </w:t>
      </w:r>
      <w:r w:rsidR="0071792D">
        <w:t xml:space="preserve">or pooled </w:t>
      </w:r>
      <w:r>
        <w:t xml:space="preserve">units, and then the original unit or pool. </w:t>
      </w:r>
    </w:p>
    <w:p w14:paraId="1C751722" w14:textId="77777777" w:rsidR="002A21AE" w:rsidRDefault="002A21AE">
      <w:pPr>
        <w:pStyle w:val="Heading4"/>
      </w:pPr>
      <w:r>
        <w:t>Outcome</w:t>
      </w:r>
    </w:p>
    <w:p w14:paraId="53054685" w14:textId="77777777" w:rsidR="002A21AE" w:rsidRDefault="002A21AE">
      <w:pPr>
        <w:pStyle w:val="ListBullet"/>
      </w:pPr>
      <w:r>
        <w:t xml:space="preserve">The new information was saved with the unit’s </w:t>
      </w:r>
      <w:r w:rsidR="0051757B">
        <w:t>historic</w:t>
      </w:r>
      <w:r>
        <w:t xml:space="preserve"> record.</w:t>
      </w:r>
    </w:p>
    <w:p w14:paraId="0C6F4DFC" w14:textId="77777777" w:rsidR="002A21AE" w:rsidRDefault="002A21AE">
      <w:pPr>
        <w:pStyle w:val="ListBullet"/>
      </w:pPr>
      <w:r>
        <w:t xml:space="preserve">The unit is in the status immediately prior to the final status. </w:t>
      </w:r>
    </w:p>
    <w:p w14:paraId="5DB4DF1F" w14:textId="77777777" w:rsidR="00561829" w:rsidRDefault="00561829" w:rsidP="00561829">
      <w:pPr>
        <w:pStyle w:val="ListBullet"/>
      </w:pPr>
      <w:r>
        <w:t>If workload codes are assigned for this process, workload-related data collected as the result of this process are stored for inclusion in Workload Reports.</w:t>
      </w:r>
    </w:p>
    <w:p w14:paraId="250F8514" w14:textId="77777777" w:rsidR="002A21AE" w:rsidRDefault="002A21AE">
      <w:pPr>
        <w:pStyle w:val="Heading4"/>
      </w:pPr>
      <w:r>
        <w:t>Limitations and Restrictions</w:t>
      </w:r>
      <w:r>
        <w:rPr>
          <w:b w:val="0"/>
        </w:rPr>
        <w:t xml:space="preserve"> </w:t>
      </w:r>
    </w:p>
    <w:p w14:paraId="5F712382" w14:textId="77777777" w:rsidR="002A21AE" w:rsidRDefault="002A21AE">
      <w:pPr>
        <w:pStyle w:val="ListBullet"/>
      </w:pPr>
      <w:r>
        <w:t>This option applies only to the release of units in final statuses.</w:t>
      </w:r>
    </w:p>
    <w:p w14:paraId="126C2ADD" w14:textId="77777777" w:rsidR="002A21AE" w:rsidRDefault="002A21AE">
      <w:pPr>
        <w:pStyle w:val="Heading4"/>
      </w:pPr>
      <w:r>
        <w:t>Additional Information</w:t>
      </w:r>
      <w:r>
        <w:rPr>
          <w:rFonts w:ascii="Times New Roman" w:hAnsi="Times New Roman"/>
          <w:i/>
          <w:sz w:val="24"/>
        </w:rPr>
        <w:t xml:space="preserve"> </w:t>
      </w:r>
    </w:p>
    <w:p w14:paraId="5AB524B2" w14:textId="77777777" w:rsidR="002A21AE" w:rsidRDefault="002A21AE">
      <w:pPr>
        <w:pStyle w:val="ListBullet"/>
      </w:pPr>
      <w:r>
        <w:t>This option allows a user to restore a unit to inventory from a final status. It may be used to begin undoing a transfusion episode (step by step in reverse order) or correct a unit modification record.</w:t>
      </w:r>
    </w:p>
    <w:p w14:paraId="724D9448" w14:textId="77777777" w:rsidR="002A21AE" w:rsidRDefault="002A21AE">
      <w:pPr>
        <w:pStyle w:val="ListBullet"/>
      </w:pPr>
      <w:r>
        <w:t>“Issued” is not a final unit status.</w:t>
      </w:r>
    </w:p>
    <w:p w14:paraId="253E8345" w14:textId="77777777" w:rsidR="002A21AE" w:rsidRDefault="002A21AE">
      <w:pPr>
        <w:pStyle w:val="ListBullet"/>
      </w:pPr>
      <w:r>
        <w:t xml:space="preserve">This option is not used to add units to or remove them from a pool. </w:t>
      </w:r>
    </w:p>
    <w:p w14:paraId="6A3EC44E" w14:textId="77777777" w:rsidR="002A21AE" w:rsidRDefault="002A21AE">
      <w:pPr>
        <w:pStyle w:val="Heading4"/>
        <w:rPr>
          <w:b w:val="0"/>
        </w:rPr>
      </w:pPr>
      <w:r>
        <w:t>User Roles with Access to This Option</w:t>
      </w:r>
      <w:r>
        <w:rPr>
          <w:b w:val="0"/>
        </w:rPr>
        <w:t xml:space="preserve"> </w:t>
      </w:r>
    </w:p>
    <w:p w14:paraId="04FDE72A" w14:textId="77777777" w:rsidR="002A21AE" w:rsidRDefault="002A21AE" w:rsidP="00EE665E">
      <w:pPr>
        <w:pStyle w:val="BodyText"/>
      </w:pPr>
      <w:r w:rsidRPr="000F12D4">
        <w:rPr>
          <w:rStyle w:val="RolesChar1"/>
          <w:rFonts w:ascii="Wingdings 3" w:hAnsi="Wingdings 3"/>
        </w:rPr>
        <w:t></w:t>
      </w:r>
      <w:r w:rsidRPr="000F12D4">
        <w:rPr>
          <w:rStyle w:val="RolesChar1"/>
          <w:rFonts w:ascii="Wingdings 3" w:hAnsi="Wingdings 3"/>
        </w:rPr>
        <w:t></w:t>
      </w:r>
      <w:r w:rsidRPr="000F12D4">
        <w:rPr>
          <w:rStyle w:val="RolesChar1"/>
          <w:rFonts w:ascii="Wingdings 3" w:hAnsi="Wingdings 3"/>
        </w:rPr>
        <w:t></w:t>
      </w:r>
      <w:r w:rsidRPr="000F12D4">
        <w:rPr>
          <w:rStyle w:val="RolesChar1"/>
          <w:rFonts w:ascii="Wingdings 3" w:hAnsi="Wingdings 3"/>
        </w:rPr>
        <w:t></w:t>
      </w:r>
      <w:r>
        <w:t xml:space="preserve"> </w:t>
      </w:r>
      <w:r w:rsidRPr="00EE665E">
        <w:t>Traditional Supervisor</w:t>
      </w:r>
      <w:r>
        <w:t xml:space="preserve"> </w:t>
      </w:r>
    </w:p>
    <w:p w14:paraId="1B99EF48" w14:textId="77777777" w:rsidR="002A21AE" w:rsidRDefault="002A21AE">
      <w:pPr>
        <w:pStyle w:val="Heading4"/>
      </w:pPr>
      <w:r>
        <w:t>Remove Final Status</w:t>
      </w:r>
    </w:p>
    <w:p w14:paraId="7B7D5965" w14:textId="77777777" w:rsidR="00B25F6C" w:rsidRDefault="002A21AE" w:rsidP="00FA7E65">
      <w:pPr>
        <w:pStyle w:val="BodyText"/>
      </w:pPr>
      <w:r>
        <w:t>The user corrects a clerical error: a unit was processed and moved to a final status in the computer incorrectly.</w:t>
      </w:r>
    </w:p>
    <w:p w14:paraId="12DB7965" w14:textId="77777777" w:rsidR="00B25F6C" w:rsidRPr="00D93651" w:rsidRDefault="002A21AE" w:rsidP="00B25F6C">
      <w:pPr>
        <w:pStyle w:val="Caution"/>
        <w:ind w:right="180"/>
      </w:pPr>
      <w:r>
        <w:t xml:space="preserve"> </w:t>
      </w:r>
      <w:r w:rsidR="00057948">
        <w:rPr>
          <w:noProof/>
        </w:rPr>
        <w:drawing>
          <wp:inline distT="0" distB="0" distL="0" distR="0" wp14:anchorId="042B7BA8" wp14:editId="5FDD1853">
            <wp:extent cx="267970" cy="221615"/>
            <wp:effectExtent l="0" t="0" r="0" b="6985"/>
            <wp:docPr id="204" name="Picture 204" descr="Cau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Picture 204" descr="Caution icon"/>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67970" cy="221615"/>
                    </a:xfrm>
                    <a:prstGeom prst="rect">
                      <a:avLst/>
                    </a:prstGeom>
                    <a:noFill/>
                    <a:ln>
                      <a:noFill/>
                    </a:ln>
                  </pic:spPr>
                </pic:pic>
              </a:graphicData>
            </a:graphic>
          </wp:inline>
        </w:drawing>
      </w:r>
      <w:r w:rsidR="00B25F6C">
        <w:t>Removing final status of a unit reported as transfused by the Transfusion Verification application will create a discrepancy between the systems. Changes or updates to a transfusion record must be made in the Transfusion Verification application first.</w:t>
      </w:r>
      <w:r w:rsidR="00B25F6C">
        <w:rPr>
          <w:vanish/>
        </w:rPr>
        <w:t xml:space="preserve"> DR 4134</w:t>
      </w:r>
      <w:r w:rsidR="00B25F6C">
        <w:t xml:space="preserve"> </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681D2904" w14:textId="77777777">
        <w:trPr>
          <w:cantSplit/>
          <w:tblHeader/>
        </w:trPr>
        <w:tc>
          <w:tcPr>
            <w:tcW w:w="3240" w:type="dxa"/>
            <w:shd w:val="pct30" w:color="auto" w:fill="FFFFFF"/>
            <w:vAlign w:val="bottom"/>
          </w:tcPr>
          <w:p w14:paraId="08CCDB5B" w14:textId="77777777" w:rsidR="002A21AE" w:rsidRDefault="002A21AE">
            <w:pPr>
              <w:pStyle w:val="TableText"/>
              <w:rPr>
                <w:b/>
              </w:rPr>
            </w:pPr>
            <w:r>
              <w:rPr>
                <w:b/>
              </w:rPr>
              <w:t>User Action</w:t>
            </w:r>
          </w:p>
        </w:tc>
        <w:tc>
          <w:tcPr>
            <w:tcW w:w="6120" w:type="dxa"/>
            <w:shd w:val="pct30" w:color="auto" w:fill="FFFFFF"/>
            <w:vAlign w:val="bottom"/>
          </w:tcPr>
          <w:p w14:paraId="3607E65C" w14:textId="77777777" w:rsidR="002A21AE" w:rsidRDefault="002A21AE">
            <w:pPr>
              <w:pStyle w:val="TableText"/>
              <w:rPr>
                <w:b/>
              </w:rPr>
            </w:pPr>
            <w:r>
              <w:rPr>
                <w:b/>
              </w:rPr>
              <w:t>VBECS</w:t>
            </w:r>
          </w:p>
        </w:tc>
      </w:tr>
      <w:tr w:rsidR="002A21AE" w14:paraId="2797C24D" w14:textId="77777777">
        <w:tc>
          <w:tcPr>
            <w:tcW w:w="3240" w:type="dxa"/>
          </w:tcPr>
          <w:p w14:paraId="41BB773D" w14:textId="77777777" w:rsidR="002A21AE" w:rsidRDefault="002A21AE">
            <w:pPr>
              <w:pStyle w:val="TableTextNumbers"/>
            </w:pPr>
            <w:r>
              <w:t xml:space="preserve">Select </w:t>
            </w:r>
            <w:r>
              <w:rPr>
                <w:b/>
              </w:rPr>
              <w:t>Supervisor</w:t>
            </w:r>
            <w:r>
              <w:t xml:space="preserve"> from the main menu. </w:t>
            </w:r>
          </w:p>
          <w:p w14:paraId="4FDA3181" w14:textId="77777777" w:rsidR="002A21AE" w:rsidRDefault="002A21AE">
            <w:pPr>
              <w:pStyle w:val="TableTextNumbersContinued"/>
            </w:pPr>
          </w:p>
          <w:p w14:paraId="00AA139C" w14:textId="77777777" w:rsidR="002A21AE" w:rsidRDefault="002A21AE">
            <w:pPr>
              <w:pStyle w:val="TableTextNumbersContinued"/>
            </w:pPr>
            <w:r>
              <w:t xml:space="preserve">Select </w:t>
            </w:r>
            <w:r>
              <w:rPr>
                <w:b/>
              </w:rPr>
              <w:t>Remove Final Status</w:t>
            </w:r>
            <w:r>
              <w:t>.</w:t>
            </w:r>
          </w:p>
        </w:tc>
        <w:tc>
          <w:tcPr>
            <w:tcW w:w="6120" w:type="dxa"/>
          </w:tcPr>
          <w:p w14:paraId="17BEF0CF" w14:textId="77777777" w:rsidR="002A21AE" w:rsidRDefault="002A21AE">
            <w:pPr>
              <w:pStyle w:val="TableTextBullet"/>
            </w:pPr>
            <w:r>
              <w:t>Displays options available to supervisors</w:t>
            </w:r>
            <w:r w:rsidR="00922AD8">
              <w:t>.</w:t>
            </w:r>
          </w:p>
          <w:p w14:paraId="13290454" w14:textId="77777777" w:rsidR="002A21AE" w:rsidRDefault="002A21AE">
            <w:pPr>
              <w:pStyle w:val="TableTextBullet"/>
            </w:pPr>
            <w:r>
              <w:t>Displays fields for selecting a unit and removing its final status.</w:t>
            </w:r>
          </w:p>
        </w:tc>
      </w:tr>
      <w:tr w:rsidR="002A21AE" w14:paraId="0F9E0FD2" w14:textId="77777777" w:rsidTr="00774B1B">
        <w:trPr>
          <w:cantSplit/>
          <w:tblHeader/>
        </w:trPr>
        <w:tc>
          <w:tcPr>
            <w:tcW w:w="3240" w:type="dxa"/>
          </w:tcPr>
          <w:p w14:paraId="0405D383" w14:textId="77777777" w:rsidR="002A21AE" w:rsidRDefault="002A21AE">
            <w:pPr>
              <w:pStyle w:val="TableTextNumbers"/>
            </w:pPr>
            <w:r>
              <w:lastRenderedPageBreak/>
              <w:t xml:space="preserve">Scan or enter a unit ID or product code, or click the </w:t>
            </w:r>
            <w:r w:rsidR="00A6373D">
              <w:rPr>
                <w:b/>
              </w:rPr>
              <w:t>find</w:t>
            </w:r>
            <w:r>
              <w:rPr>
                <w:b/>
              </w:rPr>
              <w:t xml:space="preserve"> </w:t>
            </w:r>
            <w:r w:rsidRPr="00D1100E">
              <w:t>button</w:t>
            </w:r>
            <w:r>
              <w:t xml:space="preserve"> to select a unit from the drop-down list.</w:t>
            </w:r>
          </w:p>
        </w:tc>
        <w:tc>
          <w:tcPr>
            <w:tcW w:w="6120" w:type="dxa"/>
          </w:tcPr>
          <w:p w14:paraId="6E900804" w14:textId="77777777" w:rsidR="002A21AE" w:rsidRDefault="002A21AE">
            <w:pPr>
              <w:pStyle w:val="TableTextBullet"/>
            </w:pPr>
            <w:r>
              <w:t>Displays unit data,</w:t>
            </w:r>
            <w:r>
              <w:rPr>
                <w:rFonts w:cs="Arial"/>
              </w:rPr>
              <w:t xml:space="preserve"> including the previous and current unit statuses.</w:t>
            </w:r>
          </w:p>
          <w:p w14:paraId="26906539" w14:textId="77777777" w:rsidR="002A21AE" w:rsidRDefault="00123ED4">
            <w:pPr>
              <w:pStyle w:val="TableTextBullet"/>
            </w:pPr>
            <w:r w:rsidRPr="00123ED4">
              <w:rPr>
                <w:vanish/>
                <w:szCs w:val="18"/>
              </w:rPr>
              <w:t>BR_13.01</w:t>
            </w:r>
            <w:r w:rsidR="008F079B">
              <w:rPr>
                <w:vanish/>
                <w:szCs w:val="18"/>
              </w:rPr>
              <w:t xml:space="preserve"> </w:t>
            </w:r>
            <w:r w:rsidR="002A21AE">
              <w:t>Warns the user to proceed with caution.</w:t>
            </w:r>
          </w:p>
          <w:p w14:paraId="0C87FCD3" w14:textId="77777777" w:rsidR="002A21AE" w:rsidRDefault="002A21AE">
            <w:pPr>
              <w:pStyle w:val="TableText"/>
            </w:pPr>
          </w:p>
          <w:p w14:paraId="57FAD835" w14:textId="38C383D2" w:rsidR="002A21AE" w:rsidRDefault="002A21AE">
            <w:pPr>
              <w:pStyle w:val="TableText"/>
              <w:rPr>
                <w:b/>
                <w:bCs/>
                <w:szCs w:val="18"/>
              </w:rPr>
            </w:pPr>
            <w:r>
              <w:rPr>
                <w:b/>
                <w:bCs/>
                <w:szCs w:val="18"/>
              </w:rPr>
              <w:t>NOTES</w:t>
            </w:r>
          </w:p>
          <w:p w14:paraId="4D4553E0" w14:textId="77777777" w:rsidR="002A21AE" w:rsidRDefault="002A21AE">
            <w:pPr>
              <w:pStyle w:val="NotesText"/>
            </w:pPr>
          </w:p>
          <w:p w14:paraId="77AFA46B" w14:textId="77777777" w:rsidR="002A21AE" w:rsidRDefault="002A21AE">
            <w:pPr>
              <w:pStyle w:val="NotesText"/>
              <w:rPr>
                <w:rFonts w:cs="Arial"/>
              </w:rPr>
            </w:pPr>
            <w:r>
              <w:rPr>
                <w:rFonts w:cs="Arial"/>
                <w:vanish/>
              </w:rPr>
              <w:t xml:space="preserve">BR_13.04 </w:t>
            </w:r>
            <w:r>
              <w:t>VBECS warns the user</w:t>
            </w:r>
            <w:r>
              <w:rPr>
                <w:rFonts w:cs="Arial"/>
              </w:rPr>
              <w:t xml:space="preserve"> when the unit does not have a final status</w:t>
            </w:r>
            <w:r w:rsidR="002E2AAE">
              <w:rPr>
                <w:rFonts w:cs="Arial"/>
              </w:rPr>
              <w:t xml:space="preserve"> or was not modified</w:t>
            </w:r>
            <w:r w:rsidR="00295AB3">
              <w:rPr>
                <w:rFonts w:cs="Arial"/>
              </w:rPr>
              <w:t xml:space="preserve"> (other than pool, thaw/pool, and split)</w:t>
            </w:r>
            <w:r>
              <w:t>. The user may select another unit.</w:t>
            </w:r>
          </w:p>
          <w:p w14:paraId="28439A3A" w14:textId="77777777" w:rsidR="002A21AE" w:rsidRDefault="002A21AE">
            <w:pPr>
              <w:pStyle w:val="NotesText"/>
              <w:rPr>
                <w:rFonts w:cs="Arial"/>
              </w:rPr>
            </w:pPr>
          </w:p>
          <w:p w14:paraId="44807890" w14:textId="77777777" w:rsidR="002A21AE" w:rsidRDefault="002A21AE">
            <w:pPr>
              <w:pStyle w:val="NotesText"/>
            </w:pPr>
            <w:r>
              <w:rPr>
                <w:rFonts w:cs="Arial"/>
                <w:vanish/>
              </w:rPr>
              <w:t xml:space="preserve">BR_13.05 </w:t>
            </w:r>
            <w:r>
              <w:t>When the final status is “modified” (</w:t>
            </w:r>
            <w:r w:rsidR="00690E42">
              <w:rPr>
                <w:rFonts w:cs="Arial"/>
              </w:rPr>
              <w:t>pooled, thaw/pooled, or split</w:t>
            </w:r>
            <w:r>
              <w:t>), VBECS verifies that the target unit is invalidated. When the target unit was not invalidated, the user may not continue.</w:t>
            </w:r>
          </w:p>
        </w:tc>
      </w:tr>
      <w:tr w:rsidR="002A21AE" w14:paraId="11A72B07" w14:textId="77777777">
        <w:trPr>
          <w:cantSplit/>
        </w:trPr>
        <w:tc>
          <w:tcPr>
            <w:tcW w:w="3240" w:type="dxa"/>
          </w:tcPr>
          <w:p w14:paraId="3DD1A728" w14:textId="77777777" w:rsidR="002A21AE" w:rsidRDefault="002A21AE">
            <w:pPr>
              <w:pStyle w:val="TableTextNumbers"/>
            </w:pPr>
            <w:r>
              <w:t>Verify that the unit selected is the desired unit.</w:t>
            </w:r>
          </w:p>
          <w:p w14:paraId="2F068864" w14:textId="77777777" w:rsidR="000B79B3" w:rsidRDefault="000B79B3" w:rsidP="000B79B3">
            <w:pPr>
              <w:pStyle w:val="TableTextNumbersContinued"/>
            </w:pPr>
          </w:p>
          <w:p w14:paraId="28AB3C85" w14:textId="77777777" w:rsidR="000B79B3" w:rsidRDefault="000B79B3" w:rsidP="000B79B3">
            <w:pPr>
              <w:pStyle w:val="TableTextNumbersContinued"/>
            </w:pPr>
            <w:r>
              <w:t xml:space="preserve">Click </w:t>
            </w:r>
            <w:r w:rsidRPr="000B79B3">
              <w:rPr>
                <w:b/>
              </w:rPr>
              <w:t>OK</w:t>
            </w:r>
            <w:r>
              <w:t>.</w:t>
            </w:r>
          </w:p>
          <w:p w14:paraId="4C3D8C23" w14:textId="77777777" w:rsidR="002A21AE" w:rsidRDefault="002A21AE" w:rsidP="000B79B3">
            <w:pPr>
              <w:pStyle w:val="TableTextNumbersContinued"/>
            </w:pPr>
          </w:p>
          <w:p w14:paraId="7036020A" w14:textId="34923210" w:rsidR="002A21AE" w:rsidRDefault="002A21AE">
            <w:pPr>
              <w:pStyle w:val="TableTextNumbersContinued"/>
            </w:pPr>
            <w:r>
              <w:t>Enter a comment</w:t>
            </w:r>
            <w:r w:rsidR="007F4644">
              <w:t xml:space="preserve"> (</w:t>
            </w:r>
            <w:r w:rsidR="00EE455E">
              <w:t xml:space="preserve">Figure </w:t>
            </w:r>
            <w:r w:rsidR="00EE455E">
              <w:rPr>
                <w:noProof/>
              </w:rPr>
              <w:t>84</w:t>
            </w:r>
            <w:r w:rsidR="007F4644">
              <w:t>)</w:t>
            </w:r>
            <w:r>
              <w:t>.</w:t>
            </w:r>
          </w:p>
        </w:tc>
        <w:tc>
          <w:tcPr>
            <w:tcW w:w="6120" w:type="dxa"/>
          </w:tcPr>
          <w:p w14:paraId="62F925FA" w14:textId="77777777" w:rsidR="002A21AE" w:rsidRDefault="002A21AE">
            <w:pPr>
              <w:pStyle w:val="TableTextBullet"/>
            </w:pPr>
            <w:r>
              <w:t>Asks the user if he would like to remove the final status.</w:t>
            </w:r>
          </w:p>
          <w:p w14:paraId="0B32DAD7" w14:textId="77777777" w:rsidR="002A21AE" w:rsidRDefault="002A21AE">
            <w:pPr>
              <w:pStyle w:val="TableTextBullet"/>
            </w:pPr>
            <w:r>
              <w:rPr>
                <w:rFonts w:cs="Arial"/>
                <w:vanish/>
              </w:rPr>
              <w:t xml:space="preserve">BR_13.02 </w:t>
            </w:r>
            <w:r>
              <w:t>Requires the user to enter an explanatory comment.</w:t>
            </w:r>
          </w:p>
          <w:p w14:paraId="3902169D" w14:textId="77777777" w:rsidR="002A21AE" w:rsidRDefault="002A21AE">
            <w:pPr>
              <w:pStyle w:val="TableText"/>
            </w:pPr>
          </w:p>
          <w:p w14:paraId="202A5AD5" w14:textId="3FA4EBAD" w:rsidR="002A21AE" w:rsidRDefault="002A21AE">
            <w:pPr>
              <w:pStyle w:val="TableText"/>
              <w:rPr>
                <w:b/>
                <w:bCs/>
                <w:szCs w:val="18"/>
              </w:rPr>
            </w:pPr>
            <w:r>
              <w:rPr>
                <w:b/>
                <w:bCs/>
                <w:szCs w:val="18"/>
              </w:rPr>
              <w:t>NOTES</w:t>
            </w:r>
          </w:p>
          <w:p w14:paraId="13EB5009" w14:textId="77777777" w:rsidR="002A21AE" w:rsidRDefault="002A21AE">
            <w:pPr>
              <w:pStyle w:val="NotesText"/>
            </w:pPr>
          </w:p>
          <w:p w14:paraId="456A14A7" w14:textId="77777777" w:rsidR="002A21AE" w:rsidRDefault="002A21AE">
            <w:pPr>
              <w:pStyle w:val="NotesText"/>
              <w:rPr>
                <w:rFonts w:cs="Arial"/>
              </w:rPr>
            </w:pPr>
            <w:r>
              <w:rPr>
                <w:rFonts w:cs="Arial"/>
                <w:vanish/>
              </w:rPr>
              <w:t xml:space="preserve">BR_13.03 </w:t>
            </w:r>
            <w:r>
              <w:rPr>
                <w:color w:val="000000"/>
                <w:szCs w:val="18"/>
              </w:rPr>
              <w:t>VBECS updates the unit status to the previous status and maintains restrictions on the original unit.</w:t>
            </w:r>
          </w:p>
        </w:tc>
      </w:tr>
      <w:tr w:rsidR="002A21AE" w14:paraId="1F30D5AA" w14:textId="77777777">
        <w:trPr>
          <w:cantSplit/>
        </w:trPr>
        <w:tc>
          <w:tcPr>
            <w:tcW w:w="3240" w:type="dxa"/>
          </w:tcPr>
          <w:p w14:paraId="552A75A5" w14:textId="77777777" w:rsidR="002A21AE" w:rsidRDefault="007F4644" w:rsidP="007F4644">
            <w:pPr>
              <w:pStyle w:val="TableTextNumbers"/>
            </w:pPr>
            <w:r>
              <w:t xml:space="preserve">Review the data, click </w:t>
            </w:r>
            <w:r>
              <w:rPr>
                <w:b/>
              </w:rPr>
              <w:t xml:space="preserve">OK </w:t>
            </w:r>
            <w:r>
              <w:t xml:space="preserve">to save, and click </w:t>
            </w:r>
            <w:r>
              <w:rPr>
                <w:b/>
              </w:rPr>
              <w:t>OK</w:t>
            </w:r>
            <w:r>
              <w:t xml:space="preserve"> again to confirm the save.</w:t>
            </w:r>
            <w:r w:rsidR="00602AD7">
              <w:rPr>
                <w:vanish/>
                <w:color w:val="FFFFFF"/>
                <w:szCs w:val="18"/>
              </w:rPr>
              <w:t xml:space="preserve"> </w:t>
            </w:r>
            <w:r w:rsidR="00602AD7">
              <w:rPr>
                <w:vanish/>
                <w:color w:val="FFFFFF"/>
                <w:szCs w:val="18"/>
              </w:rPr>
              <w:fldChar w:fldCharType="begin"/>
            </w:r>
            <w:r w:rsidR="00602AD7">
              <w:rPr>
                <w:vanish/>
                <w:color w:val="FFFFFF"/>
                <w:szCs w:val="18"/>
              </w:rPr>
              <w:instrText xml:space="preserve"> LISTNUM \l 1 \s 0 </w:instrText>
            </w:r>
            <w:r w:rsidR="00602AD7">
              <w:rPr>
                <w:vanish/>
                <w:color w:val="FFFFFF"/>
                <w:szCs w:val="18"/>
              </w:rPr>
              <w:fldChar w:fldCharType="end">
                <w:numberingChange w:id="467" w:author="MUSZYNSKI, THOMAS D. (SIERRA 7 INC)" w:date="2024-11-26T07:15:00Z" w:original="0."/>
              </w:fldChar>
            </w:r>
          </w:p>
        </w:tc>
        <w:tc>
          <w:tcPr>
            <w:tcW w:w="6120" w:type="dxa"/>
          </w:tcPr>
          <w:p w14:paraId="58F02D6E" w14:textId="77777777" w:rsidR="002A21AE" w:rsidRDefault="002A21AE">
            <w:pPr>
              <w:pStyle w:val="TableTextBullet"/>
            </w:pPr>
            <w:r>
              <w:t>Displays the unit data and asks the</w:t>
            </w:r>
            <w:r w:rsidR="008614C5">
              <w:t xml:space="preserve"> user to</w:t>
            </w:r>
            <w:r>
              <w:t xml:space="preserve"> verify the return to the previous status. </w:t>
            </w:r>
          </w:p>
          <w:p w14:paraId="110BC3C8" w14:textId="77777777" w:rsidR="002A21AE" w:rsidRDefault="002A21AE">
            <w:pPr>
              <w:pStyle w:val="TableTextBullet"/>
            </w:pPr>
            <w:r>
              <w:t>Allows the user to review his entries and choices and save the correction to the unit record or exit without saving.</w:t>
            </w:r>
          </w:p>
          <w:p w14:paraId="0B629BF0" w14:textId="77777777" w:rsidR="007F4644" w:rsidRDefault="007F4644" w:rsidP="007F4644">
            <w:pPr>
              <w:pStyle w:val="TableTextBullet"/>
            </w:pPr>
            <w:r>
              <w:t>Updates the unit record.</w:t>
            </w:r>
          </w:p>
          <w:p w14:paraId="6104F637" w14:textId="77777777" w:rsidR="007F4644" w:rsidRDefault="007F4644" w:rsidP="007F4644">
            <w:pPr>
              <w:pStyle w:val="TableText"/>
            </w:pPr>
          </w:p>
          <w:p w14:paraId="16668662" w14:textId="34F22444" w:rsidR="007F4644" w:rsidRDefault="007F4644" w:rsidP="007F4644">
            <w:pPr>
              <w:pStyle w:val="TableText"/>
              <w:rPr>
                <w:b/>
                <w:bCs/>
                <w:szCs w:val="18"/>
              </w:rPr>
            </w:pPr>
            <w:r>
              <w:rPr>
                <w:b/>
                <w:bCs/>
                <w:szCs w:val="18"/>
              </w:rPr>
              <w:t>NOTES</w:t>
            </w:r>
          </w:p>
          <w:p w14:paraId="763E0E60" w14:textId="77777777" w:rsidR="007F4644" w:rsidRDefault="007F4644" w:rsidP="007F4644">
            <w:pPr>
              <w:pStyle w:val="NotesText"/>
            </w:pPr>
          </w:p>
          <w:p w14:paraId="45BA8298" w14:textId="77777777" w:rsidR="007F4644" w:rsidRDefault="007F4644" w:rsidP="007F4644">
            <w:pPr>
              <w:pStyle w:val="NotesText"/>
            </w:pPr>
            <w:r>
              <w:rPr>
                <w:rFonts w:cs="Arial"/>
                <w:vanish/>
              </w:rPr>
              <w:t xml:space="preserve">BR_13.06 </w:t>
            </w:r>
            <w:r>
              <w:t>When VBECS removes a final status of “discard” or “transfer,” it also removes return credits previously assigned to the unit.</w:t>
            </w:r>
          </w:p>
        </w:tc>
      </w:tr>
    </w:tbl>
    <w:p w14:paraId="2F81A96F" w14:textId="73A46F2A" w:rsidR="00772DD7" w:rsidRDefault="00772DD7" w:rsidP="00772DD7">
      <w:pPr>
        <w:pStyle w:val="Caption"/>
      </w:pPr>
      <w:bookmarkStart w:id="468" w:name="_Ref128468634"/>
      <w:bookmarkStart w:id="469" w:name="_Ref128468600"/>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7D1829">
        <w:rPr>
          <w:noProof/>
        </w:rPr>
        <w:t>85</w:t>
      </w:r>
      <w:r w:rsidR="004E20BD">
        <w:rPr>
          <w:noProof/>
        </w:rPr>
        <w:fldChar w:fldCharType="end"/>
      </w:r>
      <w:bookmarkEnd w:id="468"/>
      <w:r>
        <w:t>:</w:t>
      </w:r>
      <w:r w:rsidR="007F4644">
        <w:t xml:space="preserve"> Remove Final Unit Status</w:t>
      </w:r>
      <w:bookmarkEnd w:id="469"/>
    </w:p>
    <w:p w14:paraId="1C4DD687" w14:textId="77777777" w:rsidR="00E661A1" w:rsidRDefault="00057948" w:rsidP="00772DD7">
      <w:pPr>
        <w:pStyle w:val="BodyText"/>
      </w:pPr>
      <w:r>
        <w:rPr>
          <w:noProof/>
        </w:rPr>
        <w:drawing>
          <wp:inline distT="0" distB="0" distL="0" distR="0" wp14:anchorId="18FB9A64" wp14:editId="5533CCE2">
            <wp:extent cx="5939155" cy="4415155"/>
            <wp:effectExtent l="0" t="0" r="4445" b="4445"/>
            <wp:docPr id="205" name="Picture 205" descr="Example of Remove Final Unit Status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Picture 205" descr="Example of Remove Final Unit Status screen capture"/>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5939155" cy="4415155"/>
                    </a:xfrm>
                    <a:prstGeom prst="rect">
                      <a:avLst/>
                    </a:prstGeom>
                    <a:noFill/>
                    <a:ln>
                      <a:noFill/>
                    </a:ln>
                  </pic:spPr>
                </pic:pic>
              </a:graphicData>
            </a:graphic>
          </wp:inline>
        </w:drawing>
      </w:r>
    </w:p>
    <w:p w14:paraId="53DC9C95" w14:textId="5F3220C7" w:rsidR="00A84E55" w:rsidRDefault="00A84E55">
      <w:bookmarkStart w:id="470" w:name="_Toc63680365"/>
      <w:bookmarkStart w:id="471" w:name="_Toc79560666"/>
      <w:bookmarkStart w:id="472" w:name="OLE_LINK20"/>
      <w:bookmarkStart w:id="473" w:name="_Toc75225469"/>
      <w:r>
        <w:br w:type="page"/>
      </w:r>
    </w:p>
    <w:p w14:paraId="337D9C61" w14:textId="4100DC4F" w:rsidR="00E659AB" w:rsidRDefault="00E659AB" w:rsidP="00ED6B65">
      <w:pPr>
        <w:pStyle w:val="Heading1"/>
      </w:pPr>
      <w:bookmarkStart w:id="474" w:name="_Toc203765905"/>
      <w:r>
        <w:lastRenderedPageBreak/>
        <w:t>P</w:t>
      </w:r>
      <w:r w:rsidR="004675B3">
        <w:t>rocessing Orders</w:t>
      </w:r>
      <w:bookmarkEnd w:id="474"/>
      <w:r w:rsidR="004675B3">
        <w:fldChar w:fldCharType="begin"/>
      </w:r>
      <w:r w:rsidR="004675B3">
        <w:instrText xml:space="preserve"> XE “Processing Orders” </w:instrText>
      </w:r>
      <w:r w:rsidR="004675B3">
        <w:fldChar w:fldCharType="end"/>
      </w:r>
    </w:p>
    <w:p w14:paraId="74E4F4B3" w14:textId="77777777" w:rsidR="002A21AE" w:rsidRDefault="002A21AE">
      <w:pPr>
        <w:pStyle w:val="Heading2"/>
      </w:pPr>
      <w:bookmarkStart w:id="475" w:name="_Toc203765906"/>
      <w:r>
        <w:t>Accept Orders: Accept an Order</w:t>
      </w:r>
      <w:bookmarkEnd w:id="470"/>
      <w:bookmarkEnd w:id="471"/>
      <w:bookmarkEnd w:id="472"/>
      <w:bookmarkEnd w:id="475"/>
      <w:r>
        <w:fldChar w:fldCharType="begin"/>
      </w:r>
      <w:r>
        <w:instrText xml:space="preserve"> XE </w:instrText>
      </w:r>
      <w:r w:rsidR="00FA7E65">
        <w:instrText>“</w:instrText>
      </w:r>
      <w:r>
        <w:instrText>Accept Orders\: Accept an Order</w:instrText>
      </w:r>
      <w:r w:rsidR="00FA7E65">
        <w:instrText>”</w:instrText>
      </w:r>
      <w:r>
        <w:instrText xml:space="preserve"> </w:instrText>
      </w:r>
      <w:r>
        <w:fldChar w:fldCharType="end"/>
      </w:r>
      <w:r>
        <w:t xml:space="preserve"> </w:t>
      </w:r>
      <w:r>
        <w:rPr>
          <w:rFonts w:ascii="Geneva" w:hAnsi="Geneva"/>
          <w:vanish/>
        </w:rPr>
        <w:t>UC_16</w:t>
      </w:r>
    </w:p>
    <w:p w14:paraId="0E8C7177" w14:textId="77777777" w:rsidR="002A21AE" w:rsidRDefault="002A21AE" w:rsidP="00FA7E65">
      <w:pPr>
        <w:pStyle w:val="BodyText"/>
      </w:pPr>
      <w:r>
        <w:t>The user accepts the receipt of an order.</w:t>
      </w:r>
    </w:p>
    <w:p w14:paraId="3CE98E37" w14:textId="77777777" w:rsidR="002A21AE" w:rsidRDefault="002A21AE">
      <w:pPr>
        <w:pStyle w:val="Heading4"/>
      </w:pPr>
      <w:r>
        <w:t>Assumptions</w:t>
      </w:r>
    </w:p>
    <w:p w14:paraId="67019F5B" w14:textId="77777777" w:rsidR="002A21AE" w:rsidRDefault="00A36582">
      <w:pPr>
        <w:pStyle w:val="ListBullet"/>
      </w:pPr>
      <w:r>
        <w:t>Orders were placed in CPRS for a patient and a</w:t>
      </w:r>
      <w:r w:rsidR="002A21AE">
        <w:t xml:space="preserve"> VBECS order number was generated. </w:t>
      </w:r>
    </w:p>
    <w:p w14:paraId="444B5BEC" w14:textId="77777777" w:rsidR="002A21AE" w:rsidRDefault="002A21AE">
      <w:pPr>
        <w:pStyle w:val="ListBullet"/>
      </w:pPr>
      <w:r>
        <w:t>When a specimen is required, the user located it.</w:t>
      </w:r>
    </w:p>
    <w:p w14:paraId="1A123BDC" w14:textId="77777777" w:rsidR="002A21AE" w:rsidRDefault="002A21AE">
      <w:pPr>
        <w:pStyle w:val="ListBullet"/>
      </w:pPr>
      <w:r>
        <w:t>Inappropriate Transfusion Request parameters are defined for orderable component classes.</w:t>
      </w:r>
    </w:p>
    <w:p w14:paraId="488F3991" w14:textId="77777777" w:rsidR="002A21AE" w:rsidRDefault="002A21AE" w:rsidP="00A36582">
      <w:pPr>
        <w:pStyle w:val="ListBullet"/>
      </w:pPr>
      <w:r>
        <w:t xml:space="preserve">The connection to </w:t>
      </w:r>
      <w:r w:rsidR="00CA0045" w:rsidRPr="00CA0045">
        <w:rPr>
          <w:bCs/>
        </w:rPr>
        <w:t>VistA</w:t>
      </w:r>
      <w:r>
        <w:t xml:space="preserve"> is active.</w:t>
      </w:r>
    </w:p>
    <w:p w14:paraId="39A056ED" w14:textId="77777777" w:rsidR="002A21AE" w:rsidRDefault="002A21AE">
      <w:pPr>
        <w:pStyle w:val="Heading4"/>
      </w:pPr>
      <w:r>
        <w:t>Outcome</w:t>
      </w:r>
    </w:p>
    <w:p w14:paraId="5733A779" w14:textId="77777777" w:rsidR="002A21AE" w:rsidRDefault="002A21AE">
      <w:pPr>
        <w:pStyle w:val="ListBullet"/>
      </w:pPr>
      <w:r>
        <w:t xml:space="preserve">Ordered tests may be </w:t>
      </w:r>
      <w:r w:rsidRPr="00BC4AB6">
        <w:t xml:space="preserve">processed and are </w:t>
      </w:r>
      <w:r>
        <w:t>available to various worklists.</w:t>
      </w:r>
    </w:p>
    <w:p w14:paraId="50F44C3C" w14:textId="77777777" w:rsidR="00561829" w:rsidRDefault="00561829" w:rsidP="00561829">
      <w:pPr>
        <w:pStyle w:val="ListBullet"/>
      </w:pPr>
      <w:r>
        <w:t>If workload codes are assigned for this process, workload-related data collected as the result of this process are stored for inclusion in Workload Reports.</w:t>
      </w:r>
    </w:p>
    <w:p w14:paraId="73ACC3F1" w14:textId="77777777" w:rsidR="002A21AE" w:rsidRDefault="002A21AE">
      <w:pPr>
        <w:pStyle w:val="Heading4"/>
      </w:pPr>
      <w:r>
        <w:t xml:space="preserve">Limitations and Restrictions </w:t>
      </w:r>
    </w:p>
    <w:p w14:paraId="45E5DF79" w14:textId="77777777" w:rsidR="00A87E0D" w:rsidRPr="00BF73DF" w:rsidRDefault="00A87E0D" w:rsidP="00A87E0D">
      <w:pPr>
        <w:pStyle w:val="ListBullet"/>
        <w:rPr>
          <w:u w:val="single"/>
        </w:rPr>
      </w:pPr>
      <w:r>
        <w:t>An order for TAS must be accepted before the component order if the user wants to include the component request to the Inappropriate Transfusion Re</w:t>
      </w:r>
      <w:r w:rsidR="00E037D2">
        <w:t xml:space="preserve">quest Report. Accepting the TAS after the component order is marked inappropriate and accepted </w:t>
      </w:r>
      <w:r>
        <w:t>clears</w:t>
      </w:r>
      <w:r w:rsidR="006C34C0">
        <w:t xml:space="preserve"> the user’s </w:t>
      </w:r>
      <w:r w:rsidR="009F6F64">
        <w:t>indication that this is an inappropriate request</w:t>
      </w:r>
      <w:r w:rsidR="00B348B5">
        <w:t>.</w:t>
      </w:r>
      <w:r w:rsidR="00E46422">
        <w:rPr>
          <w:vanish/>
        </w:rPr>
        <w:t xml:space="preserve"> </w:t>
      </w:r>
      <w:r w:rsidR="00E46422" w:rsidRPr="00E46422">
        <w:rPr>
          <w:vanish/>
        </w:rPr>
        <w:t>DR 4854</w:t>
      </w:r>
    </w:p>
    <w:p w14:paraId="1EBB0697" w14:textId="5EC94A3D" w:rsidR="002A21AE" w:rsidRPr="00282037" w:rsidRDefault="002A21AE" w:rsidP="0057063D">
      <w:pPr>
        <w:pStyle w:val="ListBullet"/>
      </w:pPr>
      <w:r w:rsidRPr="00282037">
        <w:t xml:space="preserve">When no CPRS order exists, the user processes the </w:t>
      </w:r>
      <w:r w:rsidR="00AC406E" w:rsidRPr="00282037">
        <w:t>specimen</w:t>
      </w:r>
      <w:r w:rsidRPr="00282037">
        <w:t xml:space="preserve"> offline.</w:t>
      </w:r>
      <w:r w:rsidR="00730CAA" w:rsidRPr="00282037">
        <w:t xml:space="preserve"> </w:t>
      </w:r>
      <w:r w:rsidR="0057063D" w:rsidRPr="00282037">
        <w:t>The emergency order check box is not enabled unless there is a CPRS order and a patient specimen accessioned in VistA. If necessary, process the emergency issue of units manually, per local policy, until the specimen is received and accessioned</w:t>
      </w:r>
      <w:r w:rsidR="00E36641" w:rsidRPr="00282037">
        <w:t>.</w:t>
      </w:r>
      <w:r w:rsidR="00730CAA" w:rsidRPr="00282037">
        <w:t xml:space="preserve"> </w:t>
      </w:r>
      <w:r w:rsidR="00730CAA" w:rsidRPr="00282037">
        <w:rPr>
          <w:vanish/>
        </w:rPr>
        <w:t>Defect 2</w:t>
      </w:r>
      <w:r w:rsidR="005D686E">
        <w:rPr>
          <w:vanish/>
        </w:rPr>
        <w:t>13679</w:t>
      </w:r>
    </w:p>
    <w:p w14:paraId="07F89C56" w14:textId="77777777" w:rsidR="00A67B62" w:rsidRDefault="009E2EF4" w:rsidP="00A67B62">
      <w:pPr>
        <w:pStyle w:val="ListBullet"/>
      </w:pPr>
      <w:r w:rsidRPr="009E2EF4">
        <w:rPr>
          <w:vanish/>
        </w:rPr>
        <w:t>DR 2,811</w:t>
      </w:r>
      <w:r w:rsidR="00A67B62">
        <w:t>The user must accept the Type &amp; Screen (TAS) before he accepts other diagnostic tests or component orders.</w:t>
      </w:r>
    </w:p>
    <w:p w14:paraId="67923BAC" w14:textId="77777777" w:rsidR="00B26E41" w:rsidRDefault="00B2513B">
      <w:pPr>
        <w:pStyle w:val="ListBullet"/>
      </w:pPr>
      <w:r>
        <w:t>T</w:t>
      </w:r>
      <w:r w:rsidR="00B26E41" w:rsidRPr="00AB4ABB">
        <w:t>he</w:t>
      </w:r>
      <w:r w:rsidR="003254B7">
        <w:t xml:space="preserve"> user cannot click </w:t>
      </w:r>
      <w:r w:rsidR="00057948">
        <w:rPr>
          <w:noProof/>
        </w:rPr>
        <w:drawing>
          <wp:inline distT="0" distB="0" distL="0" distR="0" wp14:anchorId="5782EA33" wp14:editId="648505B3">
            <wp:extent cx="156845" cy="156845"/>
            <wp:effectExtent l="0" t="0" r="0" b="0"/>
            <wp:docPr id="206" name="Picture 206" descr="Restricted or Assigned Units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Picture 206" descr="Restricted or Assigned Units icon"/>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3254B7">
        <w:t xml:space="preserve"> </w:t>
      </w:r>
      <w:r w:rsidR="00B82472">
        <w:t xml:space="preserve">(Restricted or Assigned Units) </w:t>
      </w:r>
      <w:r w:rsidR="003254B7">
        <w:t>to access information on autologous or directed units that may be restricted to a patient</w:t>
      </w:r>
      <w:r>
        <w:t>.</w:t>
      </w:r>
    </w:p>
    <w:p w14:paraId="70082AAB" w14:textId="77777777" w:rsidR="008B0C9A" w:rsidRDefault="0055788D" w:rsidP="00A87E0D">
      <w:pPr>
        <w:pStyle w:val="ListBullet"/>
      </w:pPr>
      <w:r>
        <w:t>Orders placed for patient</w:t>
      </w:r>
      <w:r w:rsidR="009412D6">
        <w:t>s with names that exceed the database standard for File #2 (30 characters) or do not have a last name in VistA are rejected</w:t>
      </w:r>
      <w:r w:rsidR="00551EF1">
        <w:t xml:space="preserve"> and do not appear in VBECS</w:t>
      </w:r>
      <w:r w:rsidR="009412D6">
        <w:t>. The VBECS System Administrator is notified of each rejection via an email to the address entered in VBECS Administrator “</w:t>
      </w:r>
      <w:r w:rsidR="00276DAA">
        <w:t>Email Alerts</w:t>
      </w:r>
      <w:r w:rsidR="009412D6">
        <w:t>” field.</w:t>
      </w:r>
    </w:p>
    <w:p w14:paraId="07CAD636" w14:textId="77777777" w:rsidR="002A21AE" w:rsidRDefault="002A21AE">
      <w:pPr>
        <w:pStyle w:val="Heading4"/>
      </w:pPr>
      <w:r>
        <w:t>Additional Information</w:t>
      </w:r>
    </w:p>
    <w:p w14:paraId="0B889A1B" w14:textId="77777777" w:rsidR="002A21AE" w:rsidRDefault="002A21AE">
      <w:pPr>
        <w:pStyle w:val="ListBullet"/>
      </w:pPr>
      <w:r>
        <w:t xml:space="preserve">VBECS automatically cancels </w:t>
      </w:r>
      <w:r w:rsidR="000318FD">
        <w:t xml:space="preserve">previously accepted </w:t>
      </w:r>
      <w:r>
        <w:t>orders the day after they expire.</w:t>
      </w:r>
      <w:r w:rsidR="000318FD" w:rsidRPr="000318FD">
        <w:rPr>
          <w:vanish/>
        </w:rPr>
        <w:t xml:space="preserve"> DR 4519</w:t>
      </w:r>
    </w:p>
    <w:p w14:paraId="128CB209" w14:textId="77777777" w:rsidR="000318FD" w:rsidRDefault="000318FD">
      <w:pPr>
        <w:pStyle w:val="ListBullet"/>
      </w:pPr>
      <w:r>
        <w:t>To maintain a specimen with a TAS and diagnostic test orders, the TAS must be processed first, before any diagnostic test order (see Maintain Specimen).</w:t>
      </w:r>
      <w:r w:rsidRPr="000318FD">
        <w:rPr>
          <w:vanish/>
        </w:rPr>
        <w:t xml:space="preserve"> DR 4519</w:t>
      </w:r>
    </w:p>
    <w:p w14:paraId="3A96CDE6" w14:textId="77777777" w:rsidR="00CE51B0" w:rsidRDefault="002A21AE" w:rsidP="00CE51B0">
      <w:pPr>
        <w:pStyle w:val="ListBullet"/>
      </w:pPr>
      <w:r>
        <w:t xml:space="preserve">The user </w:t>
      </w:r>
      <w:r w:rsidR="000850E3">
        <w:t>may investigate</w:t>
      </w:r>
      <w:r>
        <w:t xml:space="preserve"> patient clinical information using </w:t>
      </w:r>
      <w:r w:rsidR="00CA0045" w:rsidRPr="00CA0045">
        <w:rPr>
          <w:bCs/>
        </w:rPr>
        <w:t>VistA</w:t>
      </w:r>
      <w:r>
        <w:t xml:space="preserve"> and CPRS. </w:t>
      </w:r>
    </w:p>
    <w:p w14:paraId="4665C719" w14:textId="77777777" w:rsidR="00D905FE" w:rsidRDefault="00D905FE" w:rsidP="00CE51B0">
      <w:pPr>
        <w:pStyle w:val="ListBullet"/>
      </w:pPr>
      <w:r w:rsidRPr="00D905FE">
        <w:t>A facility may capture the phlebotomist's signature</w:t>
      </w:r>
      <w:r w:rsidR="00B97078">
        <w:t xml:space="preserve"> and the date </w:t>
      </w:r>
      <w:r w:rsidRPr="00D905FE">
        <w:t xml:space="preserve">and time of specimen collection on a </w:t>
      </w:r>
      <w:r w:rsidR="00B97078">
        <w:t>printed</w:t>
      </w:r>
      <w:r w:rsidRPr="00D905FE">
        <w:t xml:space="preserve"> order from CPRS. </w:t>
      </w:r>
      <w:r w:rsidR="006F1B1A">
        <w:t>[</w:t>
      </w:r>
      <w:r w:rsidRPr="00D905FE">
        <w:t xml:space="preserve">Local IRM personnel </w:t>
      </w:r>
      <w:r w:rsidR="00FB1DC1">
        <w:t>may</w:t>
      </w:r>
      <w:r w:rsidRPr="00D905FE">
        <w:t xml:space="preserve"> configure CPRS to </w:t>
      </w:r>
      <w:r>
        <w:t xml:space="preserve">print </w:t>
      </w:r>
      <w:r w:rsidR="00B97078">
        <w:t xml:space="preserve">the </w:t>
      </w:r>
      <w:r>
        <w:t>b</w:t>
      </w:r>
      <w:r w:rsidRPr="00D905FE">
        <w:t xml:space="preserve">lood </w:t>
      </w:r>
      <w:r>
        <w:t>bank order</w:t>
      </w:r>
      <w:r w:rsidR="006F1B1A">
        <w:t>: r</w:t>
      </w:r>
      <w:r w:rsidRPr="00D905FE">
        <w:t xml:space="preserve">efer </w:t>
      </w:r>
      <w:r w:rsidR="00BC4AB6">
        <w:t xml:space="preserve">to </w:t>
      </w:r>
      <w:r w:rsidR="00BC4AB6" w:rsidRPr="00BC4AB6">
        <w:rPr>
          <w:i/>
        </w:rPr>
        <w:t>Setup Guide</w:t>
      </w:r>
      <w:r w:rsidR="00BC4AB6" w:rsidRPr="00BC4AB6">
        <w:t xml:space="preserve"> (August 2000) </w:t>
      </w:r>
      <w:r w:rsidR="005C0559">
        <w:t xml:space="preserve">in </w:t>
      </w:r>
      <w:r w:rsidRPr="00D905FE">
        <w:t>VistA Document Library</w:t>
      </w:r>
      <w:r w:rsidR="00B97078">
        <w:t>,</w:t>
      </w:r>
      <w:r w:rsidR="00B97078" w:rsidRPr="00B97078">
        <w:t xml:space="preserve"> </w:t>
      </w:r>
      <w:r w:rsidR="00B97078">
        <w:t>Computerized Patient Record System (CPRS)</w:t>
      </w:r>
      <w:r w:rsidR="006F1B1A">
        <w:t>]</w:t>
      </w:r>
      <w:r w:rsidRPr="00D905FE">
        <w:t>.</w:t>
      </w:r>
    </w:p>
    <w:p w14:paraId="4993DC0E" w14:textId="77777777" w:rsidR="002A21AE" w:rsidRDefault="002A21AE">
      <w:pPr>
        <w:pStyle w:val="Heading4"/>
      </w:pPr>
      <w:r>
        <w:lastRenderedPageBreak/>
        <w:t>User Roles with Access to This Option</w:t>
      </w:r>
    </w:p>
    <w:p w14:paraId="486DD3FC" w14:textId="77777777" w:rsidR="002A21AE" w:rsidRDefault="000F12D4">
      <w:pPr>
        <w:pStyle w:val="Roles"/>
        <w:rPr>
          <w:snapToGrid w:val="0"/>
        </w:rPr>
      </w:pPr>
      <w:r>
        <w:t>All users</w:t>
      </w:r>
    </w:p>
    <w:bookmarkEnd w:id="473"/>
    <w:p w14:paraId="386A4EA7" w14:textId="77777777" w:rsidR="002A21AE" w:rsidRDefault="002A21AE">
      <w:pPr>
        <w:pStyle w:val="Heading4"/>
      </w:pPr>
      <w:r>
        <w:t>Accept Orders: Accept an Order</w:t>
      </w:r>
    </w:p>
    <w:p w14:paraId="3B1DD550" w14:textId="4D02F836" w:rsidR="002A21AE" w:rsidRDefault="002A21AE" w:rsidP="00FA7E65">
      <w:pPr>
        <w:pStyle w:val="BodyText"/>
      </w:pPr>
      <w:r>
        <w:t>The user reviews the list of pending orders and the specimen, determines that local policy requirements are satisfied, and accepts all or part of a routine order. The user accepts the VBECS order and associates the Laboratory generated specimen UID number with the order.</w:t>
      </w:r>
    </w:p>
    <w:p w14:paraId="028D3A14" w14:textId="600423FA" w:rsidR="00FE7547" w:rsidRPr="006F5EC8" w:rsidRDefault="00057948" w:rsidP="00FE7547">
      <w:pPr>
        <w:pStyle w:val="Caution"/>
      </w:pPr>
      <w:r>
        <w:rPr>
          <w:i w:val="0"/>
          <w:noProof/>
        </w:rPr>
        <w:drawing>
          <wp:inline distT="0" distB="0" distL="0" distR="0" wp14:anchorId="729ADBFA" wp14:editId="1DFDC2A0">
            <wp:extent cx="267970" cy="221615"/>
            <wp:effectExtent l="0" t="0" r="0" b="6985"/>
            <wp:docPr id="207" name="Picture 207" descr="Cau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Picture 207" descr="Caution icon"/>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67970" cy="221615"/>
                    </a:xfrm>
                    <a:prstGeom prst="rect">
                      <a:avLst/>
                    </a:prstGeom>
                    <a:noFill/>
                    <a:ln>
                      <a:noFill/>
                    </a:ln>
                  </pic:spPr>
                </pic:pic>
              </a:graphicData>
            </a:graphic>
          </wp:inline>
        </w:drawing>
      </w:r>
      <w:r w:rsidR="00161247">
        <w:t xml:space="preserve">Changes made in the VBECS Administrator option </w:t>
      </w:r>
      <w:r w:rsidR="009602CB">
        <w:t>mapping</w:t>
      </w:r>
      <w:r w:rsidR="00161247">
        <w:t xml:space="preserve"> orders to anoth</w:t>
      </w:r>
      <w:r w:rsidR="00CD6D3C">
        <w:t>er VBECS division do not a</w:t>
      </w:r>
      <w:r w:rsidR="009602CB">
        <w:t>ffect</w:t>
      </w:r>
      <w:r w:rsidR="00161247">
        <w:t xml:space="preserve"> delivered</w:t>
      </w:r>
      <w:r w:rsidR="009602CB">
        <w:t xml:space="preserve"> orders</w:t>
      </w:r>
      <w:r w:rsidR="00161247">
        <w:t xml:space="preserve">. </w:t>
      </w:r>
      <w:r w:rsidR="009602CB">
        <w:t>O</w:t>
      </w:r>
      <w:r w:rsidR="00161247">
        <w:t>rders delivered to a</w:t>
      </w:r>
      <w:r w:rsidR="009602CB">
        <w:t xml:space="preserve"> </w:t>
      </w:r>
      <w:r w:rsidR="00161247">
        <w:t>VBECS division must be completed, rejected, or cance</w:t>
      </w:r>
      <w:r w:rsidR="002F7E19">
        <w:t>l</w:t>
      </w:r>
      <w:r w:rsidR="00161247">
        <w:t>led in that division. Resubmit orders after</w:t>
      </w:r>
      <w:r w:rsidR="009602CB">
        <w:t xml:space="preserve"> mapping is completed to send an order to another VBECS division.</w:t>
      </w:r>
      <w:r w:rsidR="009602CB" w:rsidRPr="009602CB">
        <w:rPr>
          <w:vanish/>
        </w:rPr>
        <w:t>DR 2,896</w:t>
      </w:r>
    </w:p>
    <w:p w14:paraId="7EF9C6D6" w14:textId="77777777" w:rsidR="00FE7547" w:rsidRDefault="00FE7547" w:rsidP="00FA7E65">
      <w:pPr>
        <w:pStyle w:val="BodyText"/>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632AA128" w14:textId="77777777">
        <w:trPr>
          <w:cantSplit/>
          <w:tblHeader/>
        </w:trPr>
        <w:tc>
          <w:tcPr>
            <w:tcW w:w="3240" w:type="dxa"/>
            <w:shd w:val="pct30" w:color="auto" w:fill="FFFFFF"/>
            <w:vAlign w:val="bottom"/>
          </w:tcPr>
          <w:p w14:paraId="4F4DFB13" w14:textId="77777777" w:rsidR="002A21AE" w:rsidRDefault="002A21AE">
            <w:pPr>
              <w:pStyle w:val="TableText"/>
              <w:rPr>
                <w:b/>
              </w:rPr>
            </w:pPr>
            <w:bookmarkStart w:id="476" w:name="_Toc34528152"/>
            <w:bookmarkStart w:id="477" w:name="_Toc34721750"/>
            <w:bookmarkEnd w:id="476"/>
            <w:bookmarkEnd w:id="477"/>
            <w:r>
              <w:rPr>
                <w:b/>
              </w:rPr>
              <w:t>User Action</w:t>
            </w:r>
          </w:p>
        </w:tc>
        <w:tc>
          <w:tcPr>
            <w:tcW w:w="6120" w:type="dxa"/>
            <w:shd w:val="pct30" w:color="auto" w:fill="FFFFFF"/>
            <w:vAlign w:val="bottom"/>
          </w:tcPr>
          <w:p w14:paraId="7DA5F811" w14:textId="77777777" w:rsidR="002A21AE" w:rsidRDefault="002A21AE">
            <w:pPr>
              <w:pStyle w:val="TableText"/>
              <w:rPr>
                <w:b/>
              </w:rPr>
            </w:pPr>
            <w:r>
              <w:rPr>
                <w:b/>
              </w:rPr>
              <w:t>VBECS</w:t>
            </w:r>
          </w:p>
        </w:tc>
      </w:tr>
      <w:tr w:rsidR="002A21AE" w14:paraId="0D0D3F8F" w14:textId="77777777">
        <w:tc>
          <w:tcPr>
            <w:tcW w:w="3240" w:type="dxa"/>
          </w:tcPr>
          <w:p w14:paraId="75755478" w14:textId="77777777" w:rsidR="002A21AE" w:rsidRDefault="002A21AE">
            <w:pPr>
              <w:pStyle w:val="TableTextNumbers"/>
            </w:pPr>
            <w:r>
              <w:t xml:space="preserve">Select </w:t>
            </w:r>
            <w:r>
              <w:rPr>
                <w:b/>
              </w:rPr>
              <w:t>Orders</w:t>
            </w:r>
            <w:r>
              <w:t xml:space="preserve"> from the main menu.</w:t>
            </w:r>
          </w:p>
          <w:p w14:paraId="313670BD" w14:textId="77777777" w:rsidR="002A21AE" w:rsidRDefault="002A21AE">
            <w:pPr>
              <w:pStyle w:val="TableTextNumbersContinued"/>
            </w:pPr>
          </w:p>
          <w:p w14:paraId="108FC0EE" w14:textId="77777777" w:rsidR="002A21AE" w:rsidRDefault="002A21AE">
            <w:pPr>
              <w:pStyle w:val="TableTextNumbersContinued"/>
            </w:pPr>
            <w:r>
              <w:t xml:space="preserve">Select </w:t>
            </w:r>
            <w:r>
              <w:rPr>
                <w:b/>
              </w:rPr>
              <w:t>Accept Orders</w:t>
            </w:r>
            <w:r>
              <w:t>.</w:t>
            </w:r>
          </w:p>
        </w:tc>
        <w:tc>
          <w:tcPr>
            <w:tcW w:w="6120" w:type="dxa"/>
          </w:tcPr>
          <w:p w14:paraId="75E91BC3" w14:textId="77777777" w:rsidR="002A21AE" w:rsidRDefault="002A21AE">
            <w:pPr>
              <w:pStyle w:val="TableTextBullet"/>
            </w:pPr>
            <w:r>
              <w:t>Displays options for processing orders.</w:t>
            </w:r>
          </w:p>
          <w:p w14:paraId="0ADAF59D" w14:textId="77777777" w:rsidR="002A21AE" w:rsidRDefault="002A21AE">
            <w:pPr>
              <w:pStyle w:val="TableTextBullet"/>
            </w:pPr>
            <w:r>
              <w:t>Displays the POL and POL search criteria.</w:t>
            </w:r>
          </w:p>
        </w:tc>
      </w:tr>
      <w:tr w:rsidR="002A21AE" w14:paraId="3F9D9158" w14:textId="77777777">
        <w:tc>
          <w:tcPr>
            <w:tcW w:w="3240" w:type="dxa"/>
          </w:tcPr>
          <w:p w14:paraId="504C1B47" w14:textId="5C04C1A0" w:rsidR="002A21AE" w:rsidRDefault="002A21AE">
            <w:pPr>
              <w:pStyle w:val="TableTextNumbers"/>
            </w:pPr>
            <w:r>
              <w:t>Select an order to accept from the POL</w:t>
            </w:r>
            <w:r w:rsidR="00F3761C">
              <w:t xml:space="preserve"> (</w:t>
            </w:r>
            <w:r w:rsidR="00EE455E">
              <w:t xml:space="preserve">Figure </w:t>
            </w:r>
            <w:r w:rsidR="00EE455E">
              <w:rPr>
                <w:noProof/>
              </w:rPr>
              <w:t>85</w:t>
            </w:r>
            <w:r w:rsidR="00F3761C">
              <w:t>)</w:t>
            </w:r>
            <w:r>
              <w:t xml:space="preserve">, or </w:t>
            </w:r>
          </w:p>
          <w:p w14:paraId="12BF53D4" w14:textId="77777777" w:rsidR="002A21AE" w:rsidRDefault="002A21AE">
            <w:pPr>
              <w:pStyle w:val="TableTextNumbersContinued"/>
            </w:pPr>
          </w:p>
          <w:p w14:paraId="50FFA81B" w14:textId="77777777" w:rsidR="002A21AE" w:rsidRDefault="002A21AE">
            <w:pPr>
              <w:pStyle w:val="TableTextNumbersContinued"/>
            </w:pPr>
            <w:r>
              <w:t xml:space="preserve">In the Pending Order List Search Criteria area, enter the known </w:t>
            </w:r>
            <w:r w:rsidR="00C47144">
              <w:t>data, including the date wanted.</w:t>
            </w:r>
          </w:p>
          <w:p w14:paraId="7AE10792" w14:textId="77777777" w:rsidR="002A21AE" w:rsidRDefault="002A21AE">
            <w:pPr>
              <w:pStyle w:val="TableTextNumbersContinued"/>
            </w:pPr>
          </w:p>
          <w:p w14:paraId="25EC5E3B" w14:textId="77777777" w:rsidR="002A21AE" w:rsidRDefault="002A21AE">
            <w:pPr>
              <w:pStyle w:val="TableTextNumbersContinued"/>
            </w:pPr>
            <w:r>
              <w:t xml:space="preserve">Click </w:t>
            </w:r>
            <w:r>
              <w:rPr>
                <w:b/>
              </w:rPr>
              <w:t>Search</w:t>
            </w:r>
            <w:r>
              <w:t xml:space="preserve"> to find an order.</w:t>
            </w:r>
          </w:p>
        </w:tc>
        <w:tc>
          <w:tcPr>
            <w:tcW w:w="6120" w:type="dxa"/>
          </w:tcPr>
          <w:p w14:paraId="77E7D060" w14:textId="77777777" w:rsidR="002A21AE" w:rsidRDefault="002A21AE">
            <w:pPr>
              <w:pStyle w:val="TableTextBullet"/>
            </w:pPr>
            <w:r>
              <w:t>Displays options for selecting, reviewing, and processing patient data and pending orders.</w:t>
            </w:r>
          </w:p>
          <w:p w14:paraId="1331F601" w14:textId="77777777" w:rsidR="002A21AE" w:rsidRDefault="002A21AE">
            <w:pPr>
              <w:pStyle w:val="TableTextBullet"/>
            </w:pPr>
            <w:r>
              <w:t>Allows the user to associate a specimen with an order.</w:t>
            </w:r>
          </w:p>
          <w:p w14:paraId="7EB7330A" w14:textId="77777777" w:rsidR="002A21AE" w:rsidRDefault="002A21AE" w:rsidP="00DE0F15">
            <w:pPr>
              <w:pStyle w:val="TableTextBullet"/>
            </w:pPr>
            <w:r>
              <w:t>Displays the Patient Information Toolbar that allows the user to review.</w:t>
            </w:r>
          </w:p>
          <w:p w14:paraId="552E0D0E" w14:textId="77777777" w:rsidR="002A21AE" w:rsidRDefault="002A21AE">
            <w:pPr>
              <w:pStyle w:val="TableText"/>
            </w:pPr>
          </w:p>
          <w:p w14:paraId="62B7A6D4" w14:textId="48660511" w:rsidR="002A21AE" w:rsidRDefault="002A21AE">
            <w:pPr>
              <w:pStyle w:val="TableText"/>
              <w:rPr>
                <w:b/>
                <w:bCs/>
                <w:szCs w:val="18"/>
              </w:rPr>
            </w:pPr>
            <w:r>
              <w:rPr>
                <w:b/>
                <w:bCs/>
                <w:szCs w:val="18"/>
              </w:rPr>
              <w:t>NOTES</w:t>
            </w:r>
          </w:p>
          <w:p w14:paraId="3A87FD90" w14:textId="77777777" w:rsidR="002A21AE" w:rsidRPr="00C2360C" w:rsidRDefault="002A21AE" w:rsidP="00C2360C">
            <w:pPr>
              <w:pStyle w:val="NotesText"/>
            </w:pPr>
          </w:p>
          <w:p w14:paraId="0E176265" w14:textId="77777777" w:rsidR="00C2360C" w:rsidRDefault="00C2360C" w:rsidP="00C2360C">
            <w:pPr>
              <w:pStyle w:val="NotesText"/>
              <w:rPr>
                <w:szCs w:val="18"/>
              </w:rPr>
            </w:pPr>
            <w:r w:rsidRPr="00C2360C">
              <w:rPr>
                <w:szCs w:val="18"/>
              </w:rPr>
              <w:t>S</w:t>
            </w:r>
            <w:r w:rsidRPr="00C2360C">
              <w:t>elect an order</w:t>
            </w:r>
            <w:r w:rsidR="0023261D">
              <w:t xml:space="preserve"> </w:t>
            </w:r>
            <w:r w:rsidRPr="00C2360C">
              <w:t>for TAS before selecting a cor</w:t>
            </w:r>
            <w:r w:rsidRPr="00C2360C">
              <w:rPr>
                <w:szCs w:val="18"/>
              </w:rPr>
              <w:t xml:space="preserve">responding order for </w:t>
            </w:r>
            <w:r w:rsidR="006361BC">
              <w:rPr>
                <w:szCs w:val="18"/>
              </w:rPr>
              <w:t xml:space="preserve">diagnostic tests or </w:t>
            </w:r>
            <w:r w:rsidRPr="00C2360C">
              <w:rPr>
                <w:szCs w:val="18"/>
              </w:rPr>
              <w:t>components.</w:t>
            </w:r>
          </w:p>
          <w:p w14:paraId="32267171" w14:textId="77777777" w:rsidR="00090B78" w:rsidRPr="00C2360C" w:rsidRDefault="00090B78" w:rsidP="00C2360C">
            <w:pPr>
              <w:pStyle w:val="NotesText"/>
              <w:rPr>
                <w:szCs w:val="18"/>
              </w:rPr>
            </w:pPr>
          </w:p>
          <w:p w14:paraId="07DAD119" w14:textId="77777777" w:rsidR="002A21AE" w:rsidRDefault="002A21AE">
            <w:pPr>
              <w:pStyle w:val="NotesText"/>
            </w:pPr>
            <w:r w:rsidRPr="00896F17">
              <w:rPr>
                <w:vanish/>
                <w:szCs w:val="18"/>
              </w:rPr>
              <w:t>BR_16.01</w:t>
            </w:r>
            <w:r w:rsidR="00ED1076" w:rsidRPr="00896F17">
              <w:rPr>
                <w:rStyle w:val="BullhornChar"/>
              </w:rPr>
              <w:t></w:t>
            </w:r>
            <w:r w:rsidR="00ED1076">
              <w:rPr>
                <w:rFonts w:ascii="Webdings" w:hAnsi="Webdings"/>
              </w:rPr>
              <w:t></w:t>
            </w:r>
            <w:r>
              <w:t>VBECS emits an audible alert when there are patient Special Instructions or Transfusion Requirements.</w:t>
            </w:r>
          </w:p>
          <w:p w14:paraId="709465C6" w14:textId="77777777" w:rsidR="00DE0F15" w:rsidRDefault="00DE0F15">
            <w:pPr>
              <w:pStyle w:val="NotesText"/>
            </w:pPr>
          </w:p>
          <w:p w14:paraId="081157E4" w14:textId="77777777" w:rsidR="000568BA" w:rsidRDefault="000568BA">
            <w:pPr>
              <w:pStyle w:val="NotesText"/>
              <w:rPr>
                <w:vanish/>
                <w:szCs w:val="18"/>
              </w:rPr>
            </w:pPr>
            <w:r>
              <w:rPr>
                <w:vanish/>
                <w:szCs w:val="18"/>
              </w:rPr>
              <w:t xml:space="preserve">BR_16.02, BR_88.06 </w:t>
            </w:r>
            <w:r w:rsidRPr="000568BA">
              <w:rPr>
                <w:szCs w:val="18"/>
              </w:rPr>
              <w:t>VBECS alert</w:t>
            </w:r>
            <w:r w:rsidR="00B93577">
              <w:rPr>
                <w:szCs w:val="18"/>
              </w:rPr>
              <w:t>s the user</w:t>
            </w:r>
            <w:r>
              <w:t xml:space="preserve"> when the component class ordered requires a specimen. The status may be REQ (specimen required)</w:t>
            </w:r>
            <w:r w:rsidR="00E14736">
              <w:t xml:space="preserve"> or</w:t>
            </w:r>
            <w:r>
              <w:t xml:space="preserve"> NRQ (no specimen required). The user may not continue until specimen information is added. </w:t>
            </w:r>
          </w:p>
          <w:p w14:paraId="1C657C27" w14:textId="77777777" w:rsidR="000568BA" w:rsidRDefault="000568BA">
            <w:pPr>
              <w:pStyle w:val="NotesText"/>
              <w:rPr>
                <w:vanish/>
                <w:szCs w:val="18"/>
              </w:rPr>
            </w:pPr>
          </w:p>
          <w:p w14:paraId="7C58B217" w14:textId="77777777" w:rsidR="00DE0F15" w:rsidRDefault="00DE0F15">
            <w:pPr>
              <w:pStyle w:val="NotesText"/>
            </w:pPr>
            <w:r w:rsidRPr="00DE0F15">
              <w:rPr>
                <w:vanish/>
                <w:szCs w:val="18"/>
              </w:rPr>
              <w:t xml:space="preserve">BR_16.21 </w:t>
            </w:r>
            <w:r w:rsidRPr="00896F17">
              <w:rPr>
                <w:rStyle w:val="BullhornChar"/>
              </w:rPr>
              <w:t></w:t>
            </w:r>
            <w:r>
              <w:rPr>
                <w:rFonts w:ascii="Webdings" w:hAnsi="Webdings"/>
              </w:rPr>
              <w:t></w:t>
            </w:r>
            <w:r>
              <w:t>When modifiers are included in the physician's component order, VBECS provides visual and audible alerts to remind the user to evaluate the request. VBECS does not monitor subsequent action.</w:t>
            </w:r>
          </w:p>
          <w:p w14:paraId="71B518F5" w14:textId="77777777" w:rsidR="002A21AE" w:rsidRDefault="002A21AE">
            <w:pPr>
              <w:pStyle w:val="NotesText"/>
            </w:pPr>
          </w:p>
          <w:p w14:paraId="4B8B71E7" w14:textId="77777777" w:rsidR="002A21AE" w:rsidRDefault="002A21AE">
            <w:pPr>
              <w:pStyle w:val="NotesText"/>
            </w:pPr>
            <w:r>
              <w:rPr>
                <w:rFonts w:cs="Arial"/>
                <w:vanish/>
              </w:rPr>
              <w:t xml:space="preserve">BR_16.03 </w:t>
            </w:r>
            <w:r>
              <w:t>VBECS alerts the user when units</w:t>
            </w:r>
            <w:r w:rsidR="009A7994">
              <w:t xml:space="preserve"> (autologous, directed, or assigned/crossmatched)</w:t>
            </w:r>
            <w:r>
              <w:t xml:space="preserve"> with a future expiration date are associated with the patient in any division in the database.</w:t>
            </w:r>
          </w:p>
        </w:tc>
      </w:tr>
      <w:tr w:rsidR="002A21AE" w14:paraId="534AF894" w14:textId="77777777">
        <w:tc>
          <w:tcPr>
            <w:tcW w:w="3240" w:type="dxa"/>
          </w:tcPr>
          <w:p w14:paraId="1ADDC26D" w14:textId="6C6904C3" w:rsidR="002A21AE" w:rsidRDefault="00AE3C64" w:rsidP="00F51906">
            <w:pPr>
              <w:pStyle w:val="TableTextNumbers"/>
            </w:pPr>
            <w:r>
              <w:t>Scan or enter the specimen UID</w:t>
            </w:r>
            <w:r w:rsidR="00AA6C54">
              <w:t xml:space="preserve"> </w:t>
            </w:r>
            <w:r>
              <w:t>in the Specimen UID field.</w:t>
            </w:r>
            <w:r w:rsidR="007A68B6">
              <w:t xml:space="preserve"> (See Maintain Specimen.)</w:t>
            </w:r>
            <w:r w:rsidR="0057318C">
              <w:t xml:space="preserve"> (</w:t>
            </w:r>
            <w:r w:rsidR="00EE455E">
              <w:t xml:space="preserve">Figure </w:t>
            </w:r>
            <w:r w:rsidR="00EE455E">
              <w:rPr>
                <w:noProof/>
              </w:rPr>
              <w:t>86</w:t>
            </w:r>
            <w:r w:rsidR="0057318C">
              <w:t>)</w:t>
            </w:r>
          </w:p>
          <w:p w14:paraId="487880D3" w14:textId="77777777" w:rsidR="00F51906" w:rsidRDefault="00F51906" w:rsidP="00F51906">
            <w:pPr>
              <w:pStyle w:val="TableTextNumbersContinued"/>
            </w:pPr>
          </w:p>
          <w:p w14:paraId="51F30574" w14:textId="77777777" w:rsidR="008E5063" w:rsidRDefault="00F35EF5" w:rsidP="00F51906">
            <w:pPr>
              <w:pStyle w:val="TableTextNumbersContinued"/>
            </w:pPr>
            <w:r>
              <w:rPr>
                <w:rFonts w:cs="Arial"/>
                <w:vanish/>
              </w:rPr>
              <w:t xml:space="preserve">BR_16.23 </w:t>
            </w:r>
            <w:r w:rsidR="00F51906">
              <w:t xml:space="preserve">When the component requires a current specimen and a valid </w:t>
            </w:r>
            <w:r w:rsidR="00F51906">
              <w:lastRenderedPageBreak/>
              <w:t xml:space="preserve">sample is not available, click the </w:t>
            </w:r>
            <w:r w:rsidR="00F51906" w:rsidRPr="00F51906">
              <w:rPr>
                <w:b/>
              </w:rPr>
              <w:t xml:space="preserve">Emergency Order </w:t>
            </w:r>
            <w:r w:rsidR="00F51906" w:rsidRPr="00D1100E">
              <w:t>check box</w:t>
            </w:r>
            <w:r w:rsidR="008E5063" w:rsidRPr="008E5063">
              <w:t>.</w:t>
            </w:r>
            <w:r w:rsidR="00F51906">
              <w:t xml:space="preserve"> </w:t>
            </w:r>
          </w:p>
          <w:p w14:paraId="73251512" w14:textId="77777777" w:rsidR="008E5063" w:rsidRDefault="008E5063" w:rsidP="00F51906">
            <w:pPr>
              <w:pStyle w:val="TableTextNumbersContinued"/>
            </w:pPr>
          </w:p>
          <w:p w14:paraId="70A63CE3" w14:textId="77777777" w:rsidR="00F51906" w:rsidRDefault="008E5063" w:rsidP="00F51906">
            <w:pPr>
              <w:pStyle w:val="TableTextNumbersContinued"/>
            </w:pPr>
            <w:r>
              <w:t xml:space="preserve">Click </w:t>
            </w:r>
            <w:r w:rsidRPr="008E5063">
              <w:rPr>
                <w:b/>
              </w:rPr>
              <w:t>Accept</w:t>
            </w:r>
            <w:r>
              <w:t xml:space="preserve"> </w:t>
            </w:r>
            <w:r w:rsidR="00F51906">
              <w:t>to accept the order without an associated specimen.</w:t>
            </w:r>
          </w:p>
        </w:tc>
        <w:tc>
          <w:tcPr>
            <w:tcW w:w="6120" w:type="dxa"/>
          </w:tcPr>
          <w:p w14:paraId="347AB94A" w14:textId="77777777" w:rsidR="002A21AE" w:rsidRDefault="002A21AE">
            <w:pPr>
              <w:pStyle w:val="TableTextBullet"/>
            </w:pPr>
            <w:r>
              <w:lastRenderedPageBreak/>
              <w:t>Allows the user to enter new specimen information or correct problems with an existing specimen with the current VBECS order.</w:t>
            </w:r>
          </w:p>
          <w:p w14:paraId="63232A37" w14:textId="77777777" w:rsidR="00BD6594" w:rsidRDefault="00BD6594">
            <w:pPr>
              <w:pStyle w:val="TableTextBullet"/>
            </w:pPr>
            <w:r>
              <w:t>Allows the user to process an order without an associated specimen for emergency issue and retroactively associate a specimen with the order.</w:t>
            </w:r>
          </w:p>
          <w:p w14:paraId="5717741E" w14:textId="77777777" w:rsidR="002A21AE" w:rsidRDefault="002A21AE">
            <w:pPr>
              <w:pStyle w:val="TableText"/>
            </w:pPr>
          </w:p>
          <w:p w14:paraId="39CE9191" w14:textId="0CDD3824" w:rsidR="002A21AE" w:rsidRDefault="002A21AE">
            <w:pPr>
              <w:pStyle w:val="TableText"/>
              <w:rPr>
                <w:b/>
                <w:bCs/>
                <w:szCs w:val="18"/>
              </w:rPr>
            </w:pPr>
            <w:r>
              <w:rPr>
                <w:b/>
                <w:bCs/>
                <w:szCs w:val="18"/>
              </w:rPr>
              <w:lastRenderedPageBreak/>
              <w:t>NOTES</w:t>
            </w:r>
          </w:p>
          <w:p w14:paraId="44B34C61" w14:textId="77777777" w:rsidR="002A21AE" w:rsidRDefault="002A21AE">
            <w:pPr>
              <w:pStyle w:val="NotesText"/>
            </w:pPr>
          </w:p>
          <w:p w14:paraId="2D8603E0" w14:textId="77777777" w:rsidR="00513A28" w:rsidRDefault="00513A28">
            <w:pPr>
              <w:pStyle w:val="NotesText"/>
              <w:rPr>
                <w:rFonts w:cs="Arial"/>
              </w:rPr>
            </w:pPr>
            <w:r>
              <w:rPr>
                <w:rFonts w:cs="Arial"/>
              </w:rPr>
              <w:t>Alphabetical characters in specimen UIDs must be capitalized: VBECS recognizes only uppercase letters.</w:t>
            </w:r>
          </w:p>
          <w:p w14:paraId="094F6BAA" w14:textId="77777777" w:rsidR="00055FD7" w:rsidRDefault="00055FD7">
            <w:pPr>
              <w:pStyle w:val="NotesText"/>
              <w:rPr>
                <w:rFonts w:cs="Arial"/>
              </w:rPr>
            </w:pPr>
          </w:p>
          <w:p w14:paraId="46E21094" w14:textId="77777777" w:rsidR="00055FD7" w:rsidRDefault="00055FD7">
            <w:pPr>
              <w:pStyle w:val="NotesText"/>
              <w:rPr>
                <w:rFonts w:cs="Arial"/>
              </w:rPr>
            </w:pPr>
            <w:r>
              <w:rPr>
                <w:rFonts w:cs="Arial"/>
              </w:rPr>
              <w:t>A specimen must be processed in Maintain Specimen prior to selecting for a component order.</w:t>
            </w:r>
          </w:p>
          <w:p w14:paraId="69A2E3F7" w14:textId="77777777" w:rsidR="00CA7E0B" w:rsidRDefault="00CA7E0B">
            <w:pPr>
              <w:pStyle w:val="NotesText"/>
              <w:rPr>
                <w:rFonts w:cs="Arial"/>
              </w:rPr>
            </w:pPr>
          </w:p>
          <w:p w14:paraId="291071A5" w14:textId="77777777" w:rsidR="00CA7E0B" w:rsidRDefault="00C50F88">
            <w:pPr>
              <w:pStyle w:val="NotesText"/>
              <w:rPr>
                <w:rFonts w:cs="Arial"/>
              </w:rPr>
            </w:pPr>
            <w:r w:rsidRPr="00C50F88">
              <w:rPr>
                <w:rFonts w:cs="Arial"/>
                <w:vanish/>
              </w:rPr>
              <w:t xml:space="preserve">BR_16.20 </w:t>
            </w:r>
            <w:r w:rsidR="00CA7E0B">
              <w:rPr>
                <w:rFonts w:cs="Arial"/>
              </w:rPr>
              <w:t>When the order status is “In BloodBank”, a specimen was associated with the order; when the status is “Specimen Required”, the user must identify a specimen by its UID and enter specimen details according to Maintain Specimen.</w:t>
            </w:r>
          </w:p>
          <w:p w14:paraId="76E48488" w14:textId="77777777" w:rsidR="00513A28" w:rsidRDefault="00513A28">
            <w:pPr>
              <w:pStyle w:val="NotesText"/>
              <w:rPr>
                <w:rFonts w:cs="Arial"/>
              </w:rPr>
            </w:pPr>
          </w:p>
          <w:p w14:paraId="37BD3B16" w14:textId="77777777" w:rsidR="002A21AE" w:rsidRDefault="002A21AE">
            <w:pPr>
              <w:pStyle w:val="NotesText"/>
            </w:pPr>
            <w:r>
              <w:rPr>
                <w:rFonts w:cs="Arial"/>
                <w:vanish/>
              </w:rPr>
              <w:t xml:space="preserve">BR_35.04 </w:t>
            </w:r>
            <w:r>
              <w:t>Specimens collected for diagnostic tests only are to be used for performing the specifically ordered tests and are not available for pro</w:t>
            </w:r>
            <w:r w:rsidR="00900A79">
              <w:t>cessing blood component orders.</w:t>
            </w:r>
          </w:p>
          <w:p w14:paraId="71908133" w14:textId="77777777" w:rsidR="00900A79" w:rsidRDefault="00900A79">
            <w:pPr>
              <w:pStyle w:val="NotesText"/>
            </w:pPr>
          </w:p>
          <w:p w14:paraId="4FB962EF" w14:textId="77777777" w:rsidR="00900A79" w:rsidRDefault="00C50F88">
            <w:pPr>
              <w:pStyle w:val="NotesText"/>
            </w:pPr>
            <w:r w:rsidRPr="00C50F88">
              <w:rPr>
                <w:vanish/>
              </w:rPr>
              <w:t xml:space="preserve">BR_35.19 </w:t>
            </w:r>
            <w:r w:rsidR="00900A79">
              <w:t>Within an order group containing orders for blood components and the Type &amp; Screen (TAS) test, the specimen associated with the TAS test applies to the TAS test and to all blood component orders contained in the order group.</w:t>
            </w:r>
          </w:p>
          <w:p w14:paraId="161549C3" w14:textId="77777777" w:rsidR="002A21AE" w:rsidRDefault="002A21AE">
            <w:pPr>
              <w:pStyle w:val="NotesText"/>
            </w:pPr>
          </w:p>
          <w:p w14:paraId="49BB76A3" w14:textId="77777777" w:rsidR="002A21AE" w:rsidRDefault="002A21AE">
            <w:pPr>
              <w:pStyle w:val="NotesText"/>
            </w:pPr>
            <w:r>
              <w:rPr>
                <w:rFonts w:cs="Arial"/>
                <w:vanish/>
              </w:rPr>
              <w:t xml:space="preserve">BR_16.19 </w:t>
            </w:r>
            <w:r>
              <w:t>For all orders requiring a specimen, VBECS queries VistALink to verify that the lab order numbers are consistent with the specimen. If they are not consistent, VBECS notifies the user that the specimen</w:t>
            </w:r>
            <w:r w:rsidR="00FA7E65">
              <w:t>’</w:t>
            </w:r>
            <w:r>
              <w:t xml:space="preserve">s lab number </w:t>
            </w:r>
            <w:r w:rsidR="00A10483">
              <w:t>does not</w:t>
            </w:r>
            <w:r>
              <w:t xml:space="preserve"> match the number associated with the order. VBECS does not accept the order until the user identifies a specimen with a matching lab order number.</w:t>
            </w:r>
          </w:p>
          <w:p w14:paraId="37C318EB" w14:textId="77777777" w:rsidR="002A21AE" w:rsidRDefault="002A21AE">
            <w:pPr>
              <w:pStyle w:val="NotesText"/>
            </w:pPr>
          </w:p>
          <w:p w14:paraId="529FB0B5" w14:textId="77777777" w:rsidR="002A21AE" w:rsidRDefault="002A21AE" w:rsidP="00C50F88">
            <w:pPr>
              <w:pStyle w:val="NotesText"/>
            </w:pPr>
            <w:r>
              <w:rPr>
                <w:rFonts w:cs="Arial"/>
                <w:vanish/>
              </w:rPr>
              <w:t>BR_16.0</w:t>
            </w:r>
            <w:r w:rsidRPr="00FF6514">
              <w:rPr>
                <w:vanish/>
                <w:szCs w:val="18"/>
              </w:rPr>
              <w:t>6</w:t>
            </w:r>
            <w:r w:rsidR="00ED1076" w:rsidRPr="00263B24">
              <w:t>Wh</w:t>
            </w:r>
            <w:r w:rsidR="00ED1076">
              <w:t xml:space="preserve">en </w:t>
            </w:r>
            <w:r>
              <w:t xml:space="preserve">an order for a component class requires a specimen (WHOLE BLOOD and RED BLOOD CELLS component classes, and, optionally, based on Setting Component Classes) the user must select this function and replace the existing specimen with a new one. However, when VBECS displays the “emergency issue” order indicator, the user may continue without identifying an associated specimen. VBECS captures details for inclusion in an Exception Report [exception type: Emergency </w:t>
            </w:r>
            <w:r w:rsidR="00445B34">
              <w:t>order accepted</w:t>
            </w:r>
            <w:r>
              <w:t xml:space="preserve"> (no specimen)]. </w:t>
            </w:r>
          </w:p>
        </w:tc>
      </w:tr>
      <w:tr w:rsidR="002A21AE" w14:paraId="39093433" w14:textId="77777777">
        <w:tc>
          <w:tcPr>
            <w:tcW w:w="3240" w:type="dxa"/>
          </w:tcPr>
          <w:p w14:paraId="7E2F2406" w14:textId="77777777" w:rsidR="002A21AE" w:rsidRDefault="00844381">
            <w:pPr>
              <w:pStyle w:val="TableTextNumbers"/>
            </w:pPr>
            <w:r>
              <w:lastRenderedPageBreak/>
              <w:t xml:space="preserve">Click </w:t>
            </w:r>
            <w:r w:rsidR="00057948">
              <w:rPr>
                <w:noProof/>
              </w:rPr>
              <w:drawing>
                <wp:inline distT="0" distB="0" distL="0" distR="0" wp14:anchorId="6124B40C" wp14:editId="581C1D01">
                  <wp:extent cx="156845" cy="156845"/>
                  <wp:effectExtent l="0" t="0" r="0" b="0"/>
                  <wp:docPr id="208" name="Picture 208" descr="small_view_or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descr="small_view_order"/>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6A0A4A">
              <w:t xml:space="preserve"> </w:t>
            </w:r>
            <w:r>
              <w:t>to r</w:t>
            </w:r>
            <w:r w:rsidR="002A21AE">
              <w:t>eview order details.</w:t>
            </w:r>
          </w:p>
        </w:tc>
        <w:tc>
          <w:tcPr>
            <w:tcW w:w="6120" w:type="dxa"/>
          </w:tcPr>
          <w:p w14:paraId="7185E759" w14:textId="77777777" w:rsidR="002A21AE" w:rsidRDefault="002A21AE" w:rsidP="0083673C">
            <w:pPr>
              <w:pStyle w:val="TableTextBullet"/>
            </w:pPr>
            <w:r>
              <w:t>Displays order details that may not be edited</w:t>
            </w:r>
            <w:r w:rsidR="0083673C">
              <w:t>.</w:t>
            </w:r>
            <w:r>
              <w:t xml:space="preserve"> </w:t>
            </w:r>
          </w:p>
        </w:tc>
      </w:tr>
      <w:tr w:rsidR="002A21AE" w14:paraId="45242069" w14:textId="77777777">
        <w:tc>
          <w:tcPr>
            <w:tcW w:w="3240" w:type="dxa"/>
          </w:tcPr>
          <w:p w14:paraId="31244D8A" w14:textId="77777777" w:rsidR="002A21AE" w:rsidRDefault="002A21AE">
            <w:pPr>
              <w:pStyle w:val="TableTextNumbers"/>
            </w:pPr>
            <w:r>
              <w:t xml:space="preserve"> When the</w:t>
            </w:r>
            <w:r w:rsidR="007A68B6">
              <w:t xml:space="preserve"> urgency is “P</w:t>
            </w:r>
            <w:r>
              <w:t>re-</w:t>
            </w:r>
            <w:r w:rsidR="007A68B6">
              <w:t>O</w:t>
            </w:r>
            <w:r>
              <w:t>p</w:t>
            </w:r>
            <w:r w:rsidR="007A68B6">
              <w:t>,”</w:t>
            </w:r>
            <w:r w:rsidR="00AA6C54">
              <w:t xml:space="preserve"> </w:t>
            </w:r>
            <w:r w:rsidR="0032011A">
              <w:t xml:space="preserve">click </w:t>
            </w:r>
            <w:r w:rsidR="00057948">
              <w:rPr>
                <w:noProof/>
              </w:rPr>
              <w:drawing>
                <wp:inline distT="0" distB="0" distL="0" distR="0" wp14:anchorId="499197BD" wp14:editId="71770878">
                  <wp:extent cx="156845" cy="156845"/>
                  <wp:effectExtent l="0" t="0" r="0" b="0"/>
                  <wp:docPr id="209" name="Picture 209" descr="small_msb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descr="small_msbos"/>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32011A">
              <w:t xml:space="preserve"> </w:t>
            </w:r>
            <w:r w:rsidR="006C4777">
              <w:t xml:space="preserve">in the Patient Information Toolbar </w:t>
            </w:r>
            <w:r w:rsidR="0032011A">
              <w:t xml:space="preserve">to </w:t>
            </w:r>
            <w:r w:rsidR="007A68B6">
              <w:t>r</w:t>
            </w:r>
            <w:r>
              <w:t>eview the MSBOS information for the division.</w:t>
            </w:r>
          </w:p>
          <w:p w14:paraId="58BF65C6" w14:textId="77777777" w:rsidR="002A21AE" w:rsidRDefault="002A21AE">
            <w:pPr>
              <w:pStyle w:val="TableTextNumbersContinued"/>
            </w:pPr>
          </w:p>
          <w:p w14:paraId="41B03113" w14:textId="77777777" w:rsidR="002A21AE" w:rsidRDefault="002A21AE">
            <w:pPr>
              <w:pStyle w:val="TableTextNumbersContinued"/>
            </w:pPr>
            <w:r>
              <w:t>View and/or search entries in the MSBOS for possible matches with the patient surgery.</w:t>
            </w:r>
          </w:p>
        </w:tc>
        <w:tc>
          <w:tcPr>
            <w:tcW w:w="6120" w:type="dxa"/>
          </w:tcPr>
          <w:p w14:paraId="1F577F12" w14:textId="77777777" w:rsidR="002A21AE" w:rsidRDefault="002A21AE">
            <w:pPr>
              <w:pStyle w:val="TableTextBullet"/>
            </w:pPr>
            <w:r>
              <w:t>Allows the user to review current MSBOS settings.</w:t>
            </w:r>
          </w:p>
          <w:p w14:paraId="7AB28EDB" w14:textId="77777777" w:rsidR="002A21AE" w:rsidRDefault="002A21AE">
            <w:pPr>
              <w:pStyle w:val="TableTextBullet"/>
            </w:pPr>
            <w:r>
              <w:t>Lists the current MSBOS site parameters, based on generic surgery types.</w:t>
            </w:r>
          </w:p>
          <w:p w14:paraId="2F1F660A" w14:textId="77777777" w:rsidR="002A21AE" w:rsidRDefault="002A21AE">
            <w:pPr>
              <w:pStyle w:val="TableText"/>
            </w:pPr>
          </w:p>
          <w:p w14:paraId="629A587C" w14:textId="1DBF8430" w:rsidR="002A21AE" w:rsidRDefault="002A21AE">
            <w:pPr>
              <w:pStyle w:val="TableText"/>
              <w:rPr>
                <w:b/>
                <w:bCs/>
                <w:szCs w:val="18"/>
              </w:rPr>
            </w:pPr>
            <w:r>
              <w:rPr>
                <w:b/>
                <w:bCs/>
                <w:szCs w:val="18"/>
              </w:rPr>
              <w:t>NOTES</w:t>
            </w:r>
          </w:p>
          <w:p w14:paraId="5641787E" w14:textId="77777777" w:rsidR="002A21AE" w:rsidRDefault="002A21AE">
            <w:pPr>
              <w:pStyle w:val="NotesText"/>
            </w:pPr>
          </w:p>
          <w:p w14:paraId="28B865BF" w14:textId="48AB5BF2" w:rsidR="002A21AE" w:rsidRDefault="002A21AE" w:rsidP="003D73A0">
            <w:pPr>
              <w:pStyle w:val="NotesText"/>
            </w:pPr>
            <w:r>
              <w:rPr>
                <w:rFonts w:cs="Arial"/>
                <w:vanish/>
              </w:rPr>
              <w:t xml:space="preserve">BR_16.11 </w:t>
            </w:r>
            <w:r>
              <w:t xml:space="preserve">When the pre-op indicator is “Yes,” the user may access the MSBOS to determine whether to include details of the </w:t>
            </w:r>
            <w:r w:rsidR="008C69A0">
              <w:t xml:space="preserve">component </w:t>
            </w:r>
            <w:r>
              <w:t>order in the Inappropriate Request Report.</w:t>
            </w:r>
          </w:p>
        </w:tc>
      </w:tr>
      <w:tr w:rsidR="002A21AE" w14:paraId="7660A096" w14:textId="77777777" w:rsidTr="003362FE">
        <w:trPr>
          <w:cantSplit/>
        </w:trPr>
        <w:tc>
          <w:tcPr>
            <w:tcW w:w="3240" w:type="dxa"/>
            <w:tcBorders>
              <w:top w:val="single" w:sz="4" w:space="0" w:color="auto"/>
              <w:left w:val="single" w:sz="4" w:space="0" w:color="auto"/>
              <w:bottom w:val="single" w:sz="4" w:space="0" w:color="auto"/>
              <w:right w:val="single" w:sz="4" w:space="0" w:color="auto"/>
            </w:tcBorders>
          </w:tcPr>
          <w:p w14:paraId="15FC35B0" w14:textId="77777777" w:rsidR="002A21AE" w:rsidRDefault="002A21AE">
            <w:pPr>
              <w:pStyle w:val="TableTextNumbers"/>
            </w:pPr>
            <w:r>
              <w:lastRenderedPageBreak/>
              <w:t xml:space="preserve">Based on the review of the MSBOS parameter associated with the surgery type and the details of the current order, click the </w:t>
            </w:r>
            <w:r>
              <w:rPr>
                <w:b/>
              </w:rPr>
              <w:t>Include In Inappropriate Transfusion Request Report</w:t>
            </w:r>
            <w:r>
              <w:t xml:space="preserve"> check box, according to local policy.</w:t>
            </w:r>
          </w:p>
        </w:tc>
        <w:tc>
          <w:tcPr>
            <w:tcW w:w="6120" w:type="dxa"/>
            <w:tcBorders>
              <w:top w:val="single" w:sz="4" w:space="0" w:color="auto"/>
              <w:left w:val="single" w:sz="4" w:space="0" w:color="auto"/>
              <w:bottom w:val="single" w:sz="4" w:space="0" w:color="auto"/>
              <w:right w:val="single" w:sz="4" w:space="0" w:color="auto"/>
            </w:tcBorders>
          </w:tcPr>
          <w:p w14:paraId="07A456BD" w14:textId="77777777" w:rsidR="002A21AE" w:rsidRDefault="002A21AE">
            <w:pPr>
              <w:pStyle w:val="TableTextBullet"/>
            </w:pPr>
            <w:r>
              <w:t>Adds the details of the order to the Inappropriate Transfusion Request Report when the user completes Accept Orders: Accept an Order.</w:t>
            </w:r>
          </w:p>
          <w:p w14:paraId="46A0542C" w14:textId="77777777" w:rsidR="00FF6514" w:rsidRDefault="00FF6514" w:rsidP="00FF6514">
            <w:pPr>
              <w:pStyle w:val="TableText"/>
            </w:pPr>
          </w:p>
          <w:p w14:paraId="0FC9E8B7" w14:textId="573EE760" w:rsidR="00FF6514" w:rsidRDefault="00FF6514" w:rsidP="00FF6514">
            <w:pPr>
              <w:pStyle w:val="TableText"/>
              <w:rPr>
                <w:b/>
                <w:bCs/>
                <w:szCs w:val="18"/>
              </w:rPr>
            </w:pPr>
            <w:r>
              <w:rPr>
                <w:b/>
                <w:bCs/>
                <w:szCs w:val="18"/>
              </w:rPr>
              <w:t>NOTES</w:t>
            </w:r>
          </w:p>
          <w:p w14:paraId="4FF167F5" w14:textId="77777777" w:rsidR="00FF6514" w:rsidRPr="00000CF1" w:rsidRDefault="00FF6514" w:rsidP="00FF6514">
            <w:pPr>
              <w:pStyle w:val="NotesText"/>
            </w:pPr>
          </w:p>
          <w:p w14:paraId="7B2DF3AC" w14:textId="77777777" w:rsidR="00FF6514" w:rsidRDefault="00FF6514" w:rsidP="00FF6514">
            <w:pPr>
              <w:pStyle w:val="NotesText"/>
            </w:pPr>
            <w:r>
              <w:t xml:space="preserve">To display a list of available autologous and/or directed units in the system for the selected patient, see </w:t>
            </w:r>
            <w:r w:rsidRPr="00FF6514">
              <w:t>Blood Availability</w:t>
            </w:r>
            <w:r>
              <w:t>.</w:t>
            </w:r>
          </w:p>
          <w:p w14:paraId="2CEA0D3D" w14:textId="77777777" w:rsidR="008B0C9A" w:rsidRDefault="008B0C9A" w:rsidP="00FF6514">
            <w:pPr>
              <w:pStyle w:val="NotesText"/>
            </w:pPr>
          </w:p>
          <w:p w14:paraId="2A0AAB76" w14:textId="77777777" w:rsidR="008B0C9A" w:rsidRDefault="008B0C9A" w:rsidP="00FF6514">
            <w:pPr>
              <w:pStyle w:val="NotesText"/>
            </w:pPr>
            <w:r>
              <w:t>A user must accept the corresponding TAS order before including a component order in Inappropriate Transfusion Request Report.</w:t>
            </w:r>
          </w:p>
        </w:tc>
      </w:tr>
      <w:tr w:rsidR="002A21AE" w14:paraId="75A6098D" w14:textId="77777777">
        <w:tc>
          <w:tcPr>
            <w:tcW w:w="3240" w:type="dxa"/>
          </w:tcPr>
          <w:p w14:paraId="73FD88B5" w14:textId="77777777" w:rsidR="002A21AE" w:rsidRDefault="002A21AE">
            <w:pPr>
              <w:pStyle w:val="TableTextNumbers"/>
            </w:pPr>
            <w:r>
              <w:t xml:space="preserve">Click </w:t>
            </w:r>
            <w:r w:rsidR="00057948">
              <w:rPr>
                <w:noProof/>
              </w:rPr>
              <w:drawing>
                <wp:inline distT="0" distB="0" distL="0" distR="0" wp14:anchorId="09D6E642" wp14:editId="2D1B99F1">
                  <wp:extent cx="156845" cy="156845"/>
                  <wp:effectExtent l="0" t="0" r="0" b="0"/>
                  <wp:docPr id="210" name="Picture 210" descr="View Special Instructions and Transfusion Requirements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Picture 210" descr="View Special Instructions and Transfusion Requirements icon"/>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t xml:space="preserve"> in the Patient Information Toolbar to review patient data</w:t>
            </w:r>
            <w:r w:rsidR="006C4777">
              <w:t>,</w:t>
            </w:r>
            <w:r>
              <w:t xml:space="preserve"> Transfusion Requirements and Special Instructions. </w:t>
            </w:r>
          </w:p>
        </w:tc>
        <w:tc>
          <w:tcPr>
            <w:tcW w:w="6120" w:type="dxa"/>
          </w:tcPr>
          <w:p w14:paraId="60728F73" w14:textId="77777777" w:rsidR="002A21AE" w:rsidRDefault="002A21AE">
            <w:pPr>
              <w:pStyle w:val="TableTextBullet"/>
            </w:pPr>
            <w:r>
              <w:t xml:space="preserve">Displays read-only </w:t>
            </w:r>
            <w:r w:rsidR="00F01B32">
              <w:t xml:space="preserve">TR and SI </w:t>
            </w:r>
            <w:r>
              <w:t>patient VBECS data.</w:t>
            </w:r>
          </w:p>
          <w:p w14:paraId="25F606D2" w14:textId="77777777" w:rsidR="002A21AE" w:rsidRDefault="002A21AE">
            <w:pPr>
              <w:pStyle w:val="TableText"/>
            </w:pPr>
          </w:p>
          <w:p w14:paraId="6A706A2C" w14:textId="77777777" w:rsidR="002A21AE" w:rsidRDefault="002A21AE">
            <w:pPr>
              <w:pStyle w:val="NotesText"/>
            </w:pPr>
          </w:p>
        </w:tc>
      </w:tr>
      <w:tr w:rsidR="002A21AE" w14:paraId="37F35091" w14:textId="77777777">
        <w:tc>
          <w:tcPr>
            <w:tcW w:w="3240" w:type="dxa"/>
          </w:tcPr>
          <w:p w14:paraId="7DC951D1" w14:textId="77777777" w:rsidR="002A21AE" w:rsidRDefault="002A21AE">
            <w:pPr>
              <w:pStyle w:val="TableTextNumbers"/>
            </w:pPr>
            <w:r>
              <w:t xml:space="preserve">Click </w:t>
            </w:r>
            <w:r>
              <w:rPr>
                <w:b/>
              </w:rPr>
              <w:t>Accept</w:t>
            </w:r>
            <w:r>
              <w:t xml:space="preserve"> or </w:t>
            </w:r>
            <w:r>
              <w:rPr>
                <w:b/>
              </w:rPr>
              <w:t>Reject</w:t>
            </w:r>
            <w:r>
              <w:t xml:space="preserve"> for each order. </w:t>
            </w:r>
          </w:p>
        </w:tc>
        <w:tc>
          <w:tcPr>
            <w:tcW w:w="6120" w:type="dxa"/>
          </w:tcPr>
          <w:p w14:paraId="2F54B8D6" w14:textId="77777777" w:rsidR="002A21AE" w:rsidRDefault="002A21AE">
            <w:pPr>
              <w:pStyle w:val="TableTextBullet"/>
            </w:pPr>
            <w:r>
              <w:t>For each order accepted, updates the:</w:t>
            </w:r>
          </w:p>
          <w:p w14:paraId="6043B199" w14:textId="77777777" w:rsidR="002A21AE" w:rsidRDefault="002A21AE">
            <w:pPr>
              <w:pStyle w:val="TableTextBullet1"/>
            </w:pPr>
            <w:r>
              <w:t xml:space="preserve">Status to “accepted” and adds it to the PTL for further processing. </w:t>
            </w:r>
          </w:p>
          <w:p w14:paraId="20011BD7" w14:textId="77777777" w:rsidR="002A21AE" w:rsidRDefault="002A21AE">
            <w:pPr>
              <w:pStyle w:val="TableTextBullet1"/>
            </w:pPr>
            <w:r>
              <w:t>Existing lab accession number to collect data associated with every order.</w:t>
            </w:r>
          </w:p>
          <w:p w14:paraId="6595D81A" w14:textId="77777777" w:rsidR="002A21AE" w:rsidRDefault="002A21AE">
            <w:pPr>
              <w:pStyle w:val="TableText"/>
            </w:pPr>
          </w:p>
          <w:p w14:paraId="409044D9" w14:textId="233F21B9" w:rsidR="002A21AE" w:rsidRDefault="002A21AE">
            <w:pPr>
              <w:pStyle w:val="TableText"/>
              <w:rPr>
                <w:b/>
                <w:bCs/>
                <w:szCs w:val="18"/>
              </w:rPr>
            </w:pPr>
            <w:r>
              <w:rPr>
                <w:b/>
                <w:bCs/>
                <w:szCs w:val="18"/>
              </w:rPr>
              <w:t>NOTES</w:t>
            </w:r>
          </w:p>
          <w:p w14:paraId="79AE05C8" w14:textId="77777777" w:rsidR="002A21AE" w:rsidRDefault="002A21AE">
            <w:pPr>
              <w:pStyle w:val="NotesText"/>
            </w:pPr>
          </w:p>
          <w:p w14:paraId="2420B867" w14:textId="77777777" w:rsidR="002A21AE" w:rsidRDefault="002A21AE">
            <w:pPr>
              <w:pStyle w:val="NotesText"/>
            </w:pPr>
            <w:r>
              <w:t xml:space="preserve">When a user rejects an order, VBECS acknowledges the order and cancels it through Accept Orders: Cancel a Pending Order. </w:t>
            </w:r>
          </w:p>
          <w:p w14:paraId="164F0CE1" w14:textId="77777777" w:rsidR="002A21AE" w:rsidRDefault="002A21AE">
            <w:pPr>
              <w:pStyle w:val="TableText"/>
            </w:pPr>
          </w:p>
          <w:p w14:paraId="71ADD5D3" w14:textId="1F2A481D" w:rsidR="002A21AE" w:rsidRDefault="002A21AE">
            <w:pPr>
              <w:pStyle w:val="NotesText"/>
            </w:pPr>
            <w:r>
              <w:rPr>
                <w:rFonts w:cs="Arial"/>
                <w:vanish/>
              </w:rPr>
              <w:t xml:space="preserve">BR_16.16 </w:t>
            </w:r>
            <w:r w:rsidR="0060312C">
              <w:t>When there is</w:t>
            </w:r>
            <w:r w:rsidR="0060312C" w:rsidRPr="00374A4B">
              <w:t xml:space="preserve"> no specimen required for the component order, an order expiration date is assigned to ten days in the future, with the date the component order </w:t>
            </w:r>
            <w:r w:rsidR="0060312C">
              <w:t>as</w:t>
            </w:r>
            <w:r w:rsidR="0060312C" w:rsidRPr="00374A4B">
              <w:t xml:space="preserve"> accepted and moved to the Pending Task List being day 0. If a specimen is required, the order expiration date is the same as the associated specimen. The system needs to automatically expire the associated component order when the specimen is expired.</w:t>
            </w:r>
          </w:p>
          <w:p w14:paraId="34F0E16F" w14:textId="77777777" w:rsidR="002A21AE" w:rsidRDefault="002A21AE">
            <w:pPr>
              <w:pStyle w:val="NotesText"/>
            </w:pPr>
          </w:p>
          <w:p w14:paraId="18053AD0" w14:textId="3522A0C5" w:rsidR="002A21AE" w:rsidRDefault="002A21AE">
            <w:pPr>
              <w:pStyle w:val="NotesText"/>
            </w:pPr>
            <w:r>
              <w:t xml:space="preserve">When a specimen is required, the order expiration date is the same as the associated specimen. VBECS automatically expires the associated component order when the specimen is expired. </w:t>
            </w:r>
            <w:r w:rsidR="00AF5D80">
              <w:t xml:space="preserve">(See </w:t>
            </w:r>
            <w:r w:rsidR="00EE455E">
              <w:t xml:space="preserve">Appendix </w:t>
            </w:r>
            <w:r w:rsidR="00EE455E">
              <w:rPr>
                <w:noProof/>
              </w:rPr>
              <w:t>B</w:t>
            </w:r>
            <w:r w:rsidR="00AF5D80">
              <w:t>:</w:t>
            </w:r>
            <w:r w:rsidR="00A4315F">
              <w:t xml:space="preserve"> </w:t>
            </w:r>
            <w:r w:rsidR="00EE455E">
              <w:t xml:space="preserve">Figure </w:t>
            </w:r>
            <w:r w:rsidR="00EE455E">
              <w:rPr>
                <w:noProof/>
              </w:rPr>
              <w:t>117:</w:t>
            </w:r>
            <w:r w:rsidR="00EE455E">
              <w:t xml:space="preserve"> </w:t>
            </w:r>
            <w:r w:rsidR="00EE455E">
              <w:rPr>
                <w:vanish/>
              </w:rPr>
              <w:t xml:space="preserve">TT_92.01 </w:t>
            </w:r>
            <w:r w:rsidR="00EE455E" w:rsidRPr="00EE455E">
              <w:t>Order</w:t>
            </w:r>
            <w:r w:rsidR="00EE455E">
              <w:t xml:space="preserve"> Status Flowchart</w:t>
            </w:r>
            <w:r>
              <w:t>.)</w:t>
            </w:r>
          </w:p>
          <w:p w14:paraId="1BAE0F16" w14:textId="77777777" w:rsidR="002A21AE" w:rsidRDefault="002A21AE">
            <w:pPr>
              <w:pStyle w:val="NotesText"/>
            </w:pPr>
          </w:p>
          <w:p w14:paraId="7F858A71" w14:textId="77777777" w:rsidR="002A21AE" w:rsidRDefault="002A21AE">
            <w:pPr>
              <w:pStyle w:val="NotesText"/>
            </w:pPr>
            <w:r>
              <w:rPr>
                <w:rFonts w:cs="Arial"/>
                <w:vanish/>
              </w:rPr>
              <w:t xml:space="preserve">BR_16.14 </w:t>
            </w:r>
            <w:r>
              <w:t>The user evaluates each diagnostic test and component order separately.</w:t>
            </w:r>
          </w:p>
          <w:p w14:paraId="411D0DE2" w14:textId="77777777" w:rsidR="002A21AE" w:rsidRDefault="002A21AE">
            <w:pPr>
              <w:pStyle w:val="NotesText"/>
            </w:pPr>
          </w:p>
          <w:p w14:paraId="12AA6242" w14:textId="77777777" w:rsidR="002A21AE" w:rsidRDefault="002A21AE">
            <w:pPr>
              <w:pStyle w:val="NotesText"/>
            </w:pPr>
            <w:r>
              <w:rPr>
                <w:rFonts w:cs="Arial"/>
                <w:vanish/>
              </w:rPr>
              <w:t xml:space="preserve">BR_16.04 </w:t>
            </w:r>
            <w:r>
              <w:t xml:space="preserve">When the pre-op indicator is “No,” VBECS compares the Laboratory test values included in the order message from CPRS to the threshold values defined for the ordered component class requirements in Configure ICCBBA Component Classes Inappropriate Request Parameters setting (see Component Classes). When the threshold values were exceeded for one or more ordered component classes, VBECS notifies the user that the Laboratory test value exceeds site parameters for the component class orders and asks whether to add the order to the Inappropriate Transfusion Request report. </w:t>
            </w:r>
            <w:r>
              <w:rPr>
                <w:b/>
              </w:rPr>
              <w:t>Yes</w:t>
            </w:r>
            <w:r>
              <w:t xml:space="preserve"> adds the details of the order to the Inappropriate Request Report. </w:t>
            </w:r>
            <w:r>
              <w:rPr>
                <w:b/>
              </w:rPr>
              <w:t>No</w:t>
            </w:r>
            <w:r>
              <w:t xml:space="preserve"> requires a comment to be associated with the order.</w:t>
            </w:r>
          </w:p>
          <w:p w14:paraId="2D883892" w14:textId="77777777" w:rsidR="002A21AE" w:rsidRDefault="002A21AE">
            <w:pPr>
              <w:pStyle w:val="NotesText"/>
            </w:pPr>
          </w:p>
          <w:p w14:paraId="2F8C5768" w14:textId="77777777" w:rsidR="00F358AF" w:rsidRDefault="002A21AE" w:rsidP="00F358AF">
            <w:pPr>
              <w:pStyle w:val="NotesText"/>
            </w:pPr>
            <w:r>
              <w:lastRenderedPageBreak/>
              <w:t xml:space="preserve">The user may cancel one or more components of an order through Accept Orders: Cancel a Pending Order to cancel while working in Accept Orders: Accept an Order. When this occurs, VBECS sends a message to CPRS and notifies the </w:t>
            </w:r>
            <w:r w:rsidR="00E71B91">
              <w:t xml:space="preserve">VistA </w:t>
            </w:r>
            <w:r>
              <w:t>Laboratory</w:t>
            </w:r>
            <w:r w:rsidR="00E71B91">
              <w:t xml:space="preserve"> </w:t>
            </w:r>
            <w:r w:rsidR="004654F5">
              <w:t>application</w:t>
            </w:r>
            <w:r>
              <w:t xml:space="preserve"> that the order was cancel</w:t>
            </w:r>
            <w:r w:rsidR="002F7E19">
              <w:t>l</w:t>
            </w:r>
            <w:r>
              <w:t>ed.</w:t>
            </w:r>
          </w:p>
          <w:p w14:paraId="3601FBC9" w14:textId="77777777" w:rsidR="00F358AF" w:rsidRDefault="00F358AF" w:rsidP="00F358AF">
            <w:pPr>
              <w:pStyle w:val="NotesText"/>
            </w:pPr>
          </w:p>
          <w:p w14:paraId="5DEF1486" w14:textId="717D9A51" w:rsidR="002A21AE" w:rsidRDefault="00F358AF" w:rsidP="00F358AF">
            <w:pPr>
              <w:pStyle w:val="NotesText"/>
            </w:pPr>
            <w:r>
              <w:rPr>
                <w:rFonts w:cs="Arial"/>
                <w:vanish/>
              </w:rPr>
              <w:t xml:space="preserve">BR_16.24 </w:t>
            </w:r>
            <w:r w:rsidRPr="00F358AF">
              <w:t>The confirmation message presented when accepting an order states: “Are you sure you want to accept this order, by clicking Yes, you acknowledge that you performed a patient historical data check.”</w:t>
            </w:r>
            <w:r>
              <w:t xml:space="preserve"> </w:t>
            </w:r>
            <w:r w:rsidRPr="00F358AF">
              <w:t>When the user clicks yes, the order is accepted. The HL7 order acceptance message is sent to CPRS. When the user clicks no, the order remains pending. The patient historical data check indicator will be displayed in the Order History Report (single and multiple) and the Patient History Report</w:t>
            </w:r>
            <w:r>
              <w:t xml:space="preserve"> .</w:t>
            </w:r>
          </w:p>
        </w:tc>
      </w:tr>
      <w:tr w:rsidR="002A21AE" w14:paraId="778DC181" w14:textId="77777777">
        <w:tc>
          <w:tcPr>
            <w:tcW w:w="3240" w:type="dxa"/>
          </w:tcPr>
          <w:p w14:paraId="0C669622" w14:textId="77777777" w:rsidR="002A21AE" w:rsidRDefault="009644D4">
            <w:pPr>
              <w:pStyle w:val="TableTextNumbers"/>
            </w:pPr>
            <w:r>
              <w:lastRenderedPageBreak/>
              <w:t>Repeat Steps 2</w:t>
            </w:r>
            <w:r w:rsidR="00694B70">
              <w:t xml:space="preserve"> through 8</w:t>
            </w:r>
            <w:r w:rsidR="002A21AE">
              <w:t xml:space="preserve"> to accept another order, or click </w:t>
            </w:r>
            <w:r w:rsidR="002A21AE">
              <w:rPr>
                <w:b/>
              </w:rPr>
              <w:t>Close</w:t>
            </w:r>
            <w:r w:rsidR="002A21AE">
              <w:t xml:space="preserve"> to exit.</w:t>
            </w:r>
            <w:r w:rsidR="002A21AE" w:rsidRPr="00B93B42">
              <w:rPr>
                <w:rStyle w:val="StyleTableTextNumbersWhite1Char"/>
              </w:rPr>
              <w:t xml:space="preserve"> </w:t>
            </w:r>
            <w:r w:rsidR="002A21AE">
              <w:rPr>
                <w:vanish/>
                <w:color w:val="FFFFFF"/>
                <w:szCs w:val="18"/>
              </w:rPr>
              <w:fldChar w:fldCharType="begin"/>
            </w:r>
            <w:r w:rsidR="002A21AE">
              <w:rPr>
                <w:vanish/>
                <w:color w:val="FFFFFF"/>
                <w:szCs w:val="18"/>
              </w:rPr>
              <w:instrText xml:space="preserve"> LISTNUM \l 1 \s 0 </w:instrText>
            </w:r>
            <w:r w:rsidR="002A21AE">
              <w:rPr>
                <w:vanish/>
                <w:color w:val="FFFFFF"/>
                <w:szCs w:val="18"/>
              </w:rPr>
              <w:fldChar w:fldCharType="end">
                <w:numberingChange w:id="478" w:author="MUSZYNSKI, THOMAS D. (SIERRA 7 INC)" w:date="2024-11-26T07:15:00Z" w:original="0."/>
              </w:fldChar>
            </w:r>
          </w:p>
        </w:tc>
        <w:tc>
          <w:tcPr>
            <w:tcW w:w="6120" w:type="dxa"/>
          </w:tcPr>
          <w:p w14:paraId="569A4674" w14:textId="77777777" w:rsidR="002A21AE" w:rsidRDefault="002A21AE">
            <w:pPr>
              <w:pStyle w:val="TableText"/>
            </w:pPr>
          </w:p>
        </w:tc>
      </w:tr>
    </w:tbl>
    <w:p w14:paraId="14456B40" w14:textId="4D136A83" w:rsidR="002A21AE" w:rsidRDefault="002118B0" w:rsidP="002118B0">
      <w:pPr>
        <w:pStyle w:val="Caption"/>
      </w:pPr>
      <w:bookmarkStart w:id="479" w:name="_Ref126723121"/>
      <w:bookmarkStart w:id="480" w:name="_Ref126722356"/>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7D1829">
        <w:rPr>
          <w:noProof/>
        </w:rPr>
        <w:t>86</w:t>
      </w:r>
      <w:r w:rsidR="004E20BD">
        <w:rPr>
          <w:noProof/>
        </w:rPr>
        <w:fldChar w:fldCharType="end"/>
      </w:r>
      <w:bookmarkEnd w:id="479"/>
      <w:r>
        <w:t xml:space="preserve">: </w:t>
      </w:r>
      <w:r w:rsidR="00050BB7">
        <w:t>Accept Orders</w:t>
      </w:r>
      <w:bookmarkEnd w:id="480"/>
    </w:p>
    <w:p w14:paraId="4630339E" w14:textId="6DCB2BC6" w:rsidR="00050BB7" w:rsidRPr="00050BB7" w:rsidRDefault="00570C93" w:rsidP="007810A1">
      <w:pPr>
        <w:pStyle w:val="BodyText"/>
      </w:pPr>
      <w:r>
        <w:rPr>
          <w:noProof/>
        </w:rPr>
        <w:drawing>
          <wp:inline distT="0" distB="0" distL="0" distR="0" wp14:anchorId="72D3D8BD" wp14:editId="50C8D58E">
            <wp:extent cx="5937250" cy="3054350"/>
            <wp:effectExtent l="0" t="0" r="6350" b="0"/>
            <wp:docPr id="73" name="Picture 73" descr="Example of Accept Orders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73" descr="Example of Accept Orders screen capture"/>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5937250" cy="3054350"/>
                    </a:xfrm>
                    <a:prstGeom prst="rect">
                      <a:avLst/>
                    </a:prstGeom>
                    <a:noFill/>
                    <a:ln>
                      <a:noFill/>
                    </a:ln>
                  </pic:spPr>
                </pic:pic>
              </a:graphicData>
            </a:graphic>
          </wp:inline>
        </w:drawing>
      </w:r>
    </w:p>
    <w:p w14:paraId="4239052C" w14:textId="2D50AE7E" w:rsidR="0057318C" w:rsidRDefault="0057318C" w:rsidP="0057318C">
      <w:pPr>
        <w:pStyle w:val="Caption"/>
      </w:pPr>
      <w:bookmarkStart w:id="481" w:name="_Ref126722649"/>
      <w:bookmarkStart w:id="482" w:name="_Ref126722603"/>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7D1829">
        <w:rPr>
          <w:noProof/>
        </w:rPr>
        <w:t>87</w:t>
      </w:r>
      <w:r w:rsidR="004E20BD">
        <w:rPr>
          <w:noProof/>
        </w:rPr>
        <w:fldChar w:fldCharType="end"/>
      </w:r>
      <w:bookmarkEnd w:id="481"/>
      <w:r>
        <w:t>: Maintain Specimen</w:t>
      </w:r>
      <w:bookmarkEnd w:id="482"/>
    </w:p>
    <w:p w14:paraId="20883B7C" w14:textId="77777777" w:rsidR="007810A1" w:rsidRDefault="00057948" w:rsidP="007810A1">
      <w:pPr>
        <w:pStyle w:val="BodyText"/>
      </w:pPr>
      <w:r>
        <w:rPr>
          <w:noProof/>
        </w:rPr>
        <w:drawing>
          <wp:inline distT="0" distB="0" distL="0" distR="0" wp14:anchorId="404E292C" wp14:editId="1BA3035F">
            <wp:extent cx="5597525" cy="3676015"/>
            <wp:effectExtent l="0" t="0" r="3175" b="635"/>
            <wp:docPr id="212" name="Picture 212" descr="Example of Maintain Specimen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Picture 212" descr="Example of Maintain Specimen screen capture"/>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5597525" cy="3676015"/>
                    </a:xfrm>
                    <a:prstGeom prst="rect">
                      <a:avLst/>
                    </a:prstGeom>
                    <a:noFill/>
                    <a:ln>
                      <a:noFill/>
                    </a:ln>
                  </pic:spPr>
                </pic:pic>
              </a:graphicData>
            </a:graphic>
          </wp:inline>
        </w:drawing>
      </w:r>
    </w:p>
    <w:p w14:paraId="255EB700" w14:textId="77777777" w:rsidR="002A21AE" w:rsidRDefault="002A21AE">
      <w:pPr>
        <w:pStyle w:val="Heading3"/>
      </w:pPr>
      <w:r>
        <w:br w:type="page"/>
      </w:r>
      <w:bookmarkStart w:id="483" w:name="_Toc203765907"/>
      <w:r>
        <w:lastRenderedPageBreak/>
        <w:t>Accept Orders: Pending Order List</w:t>
      </w:r>
      <w:bookmarkEnd w:id="483"/>
      <w:r>
        <w:rPr>
          <w:rFonts w:ascii="Geneva" w:hAnsi="Geneva"/>
          <w:vanish/>
        </w:rPr>
        <w:fldChar w:fldCharType="begin"/>
      </w:r>
      <w:r>
        <w:rPr>
          <w:rFonts w:ascii="Geneva" w:hAnsi="Geneva"/>
          <w:vanish/>
        </w:rPr>
        <w:instrText xml:space="preserve"> XE </w:instrText>
      </w:r>
      <w:r w:rsidR="00FA7E65">
        <w:rPr>
          <w:rFonts w:ascii="Geneva" w:hAnsi="Geneva"/>
          <w:vanish/>
        </w:rPr>
        <w:instrText>“</w:instrText>
      </w:r>
      <w:r>
        <w:rPr>
          <w:rFonts w:ascii="Geneva" w:hAnsi="Geneva"/>
          <w:vanish/>
        </w:rPr>
        <w:instrText>Accept Orders\: Pending Order List</w:instrText>
      </w:r>
      <w:r w:rsidR="00FA7E65">
        <w:rPr>
          <w:rFonts w:ascii="Geneva" w:hAnsi="Geneva"/>
          <w:vanish/>
        </w:rPr>
        <w:instrText>”</w:instrText>
      </w:r>
      <w:r>
        <w:rPr>
          <w:rFonts w:ascii="Geneva" w:hAnsi="Geneva"/>
          <w:vanish/>
        </w:rPr>
        <w:instrText xml:space="preserve"> </w:instrText>
      </w:r>
      <w:r>
        <w:rPr>
          <w:rFonts w:ascii="Geneva" w:hAnsi="Geneva"/>
          <w:vanish/>
        </w:rPr>
        <w:fldChar w:fldCharType="end"/>
      </w:r>
      <w:r>
        <w:rPr>
          <w:rFonts w:ascii="Geneva" w:hAnsi="Geneva"/>
          <w:vanish/>
        </w:rPr>
        <w:t xml:space="preserve"> UC_88</w:t>
      </w:r>
    </w:p>
    <w:p w14:paraId="3D9F4242" w14:textId="77777777" w:rsidR="002A21AE" w:rsidRDefault="002A21AE" w:rsidP="00FA7E65">
      <w:pPr>
        <w:pStyle w:val="BodyText"/>
      </w:pPr>
      <w:bookmarkStart w:id="484" w:name="_Toc74835890"/>
      <w:r>
        <w:t>The Pending Order List (POL) lists pending blood bank orders.</w:t>
      </w:r>
    </w:p>
    <w:p w14:paraId="21BDADDA" w14:textId="77777777" w:rsidR="002A21AE" w:rsidRDefault="002A21AE">
      <w:pPr>
        <w:pStyle w:val="Heading4"/>
      </w:pPr>
      <w:r>
        <w:t>Assumptions</w:t>
      </w:r>
    </w:p>
    <w:p w14:paraId="04C34FCD" w14:textId="77777777" w:rsidR="002A21AE" w:rsidRDefault="002A21AE">
      <w:pPr>
        <w:pStyle w:val="ListBullet"/>
      </w:pPr>
      <w:r>
        <w:t>A CPRS order is acknowledged by VBECS.</w:t>
      </w:r>
    </w:p>
    <w:p w14:paraId="53D92983" w14:textId="77777777" w:rsidR="002A21AE" w:rsidRDefault="002A21AE">
      <w:pPr>
        <w:pStyle w:val="ListBullet"/>
      </w:pPr>
      <w:r>
        <w:t xml:space="preserve">An order is printed or an alert is issued per site parameters. </w:t>
      </w:r>
    </w:p>
    <w:p w14:paraId="4D1A6FB7" w14:textId="77777777" w:rsidR="002A21AE" w:rsidRDefault="002A21AE">
      <w:pPr>
        <w:pStyle w:val="ListBullet"/>
      </w:pPr>
      <w:r>
        <w:t xml:space="preserve">The connection to </w:t>
      </w:r>
      <w:r w:rsidR="00CA0045" w:rsidRPr="00CA0045">
        <w:rPr>
          <w:bCs/>
        </w:rPr>
        <w:t>VistA</w:t>
      </w:r>
      <w:r>
        <w:t xml:space="preserve"> is active.</w:t>
      </w:r>
    </w:p>
    <w:p w14:paraId="0A3C9341" w14:textId="77777777" w:rsidR="002A21AE" w:rsidRDefault="002A21AE">
      <w:pPr>
        <w:pStyle w:val="Heading4"/>
      </w:pPr>
      <w:r>
        <w:t>Outcome</w:t>
      </w:r>
    </w:p>
    <w:p w14:paraId="50E9DAF0" w14:textId="77777777" w:rsidR="002A21AE" w:rsidRDefault="002A21AE">
      <w:pPr>
        <w:pStyle w:val="ListBullet"/>
      </w:pPr>
      <w:r>
        <w:t>A list of pending</w:t>
      </w:r>
      <w:r w:rsidR="00E46E21">
        <w:t xml:space="preserve"> orders displays and may be sorted and searched.</w:t>
      </w:r>
    </w:p>
    <w:p w14:paraId="3680F71D" w14:textId="77777777" w:rsidR="00E46E21" w:rsidRDefault="00E46E21">
      <w:pPr>
        <w:pStyle w:val="ListBullet"/>
      </w:pPr>
      <w:r>
        <w:t>A list of pending orders may be printed in the default sort presentation.</w:t>
      </w:r>
    </w:p>
    <w:p w14:paraId="0C94E9C8" w14:textId="77777777" w:rsidR="002A21AE" w:rsidRDefault="002A21AE">
      <w:pPr>
        <w:pStyle w:val="Heading4"/>
      </w:pPr>
      <w:r>
        <w:t>Limitations and Restrictions</w:t>
      </w:r>
    </w:p>
    <w:p w14:paraId="47D953C1" w14:textId="77777777" w:rsidR="00DD022C" w:rsidRDefault="00DD022C" w:rsidP="00DD022C">
      <w:pPr>
        <w:pStyle w:val="ListBullet"/>
      </w:pPr>
      <w:r>
        <w:t xml:space="preserve">Orders placed for </w:t>
      </w:r>
      <w:r w:rsidR="00922AD8">
        <w:t>patients</w:t>
      </w:r>
      <w:r>
        <w:t xml:space="preserve"> with names that exceed the database standard for File #2 (30 characters) or do not have a first or last name in VistA are rejected and do not appear in VBECS. The VBECS System Administrator is notified of each rejection via an email to the address entered in VBECS Administrator “</w:t>
      </w:r>
      <w:r w:rsidR="00276DAA">
        <w:t>Email Alerts</w:t>
      </w:r>
      <w:r>
        <w:t>” field.</w:t>
      </w:r>
    </w:p>
    <w:p w14:paraId="776EF27E" w14:textId="77777777" w:rsidR="00C50F88" w:rsidRDefault="00C50F88" w:rsidP="00DD022C">
      <w:pPr>
        <w:pStyle w:val="ListBullet"/>
      </w:pPr>
      <w:r>
        <w:t>TAS must be accepted prior to any diagnostic test associated with the same specimen UID to allow the specimen to be used for the TAS.</w:t>
      </w:r>
    </w:p>
    <w:p w14:paraId="7659D4BD" w14:textId="77777777" w:rsidR="002A21AE" w:rsidRDefault="002A21AE">
      <w:pPr>
        <w:pStyle w:val="Heading4"/>
      </w:pPr>
      <w:r>
        <w:t>Additional Information</w:t>
      </w:r>
    </w:p>
    <w:p w14:paraId="6F43585C" w14:textId="77777777" w:rsidR="00E079D4" w:rsidRDefault="00E079D4">
      <w:pPr>
        <w:pStyle w:val="ListBullet"/>
      </w:pPr>
      <w:r>
        <w:t>This option is used for diagnostic and blood component test orders.</w:t>
      </w:r>
    </w:p>
    <w:p w14:paraId="05A1AB73" w14:textId="77777777" w:rsidR="00C50F88" w:rsidRDefault="00C50F88">
      <w:pPr>
        <w:pStyle w:val="ListBullet"/>
      </w:pPr>
      <w:r>
        <w:t>Blood derivatives, for example: Octoplas, are processed using CPRS FFP order.</w:t>
      </w:r>
    </w:p>
    <w:p w14:paraId="263B0F27" w14:textId="77777777" w:rsidR="002A21AE" w:rsidRDefault="002A21AE">
      <w:pPr>
        <w:pStyle w:val="Heading4"/>
      </w:pPr>
      <w:r>
        <w:t>User Roles with Access to This Option</w:t>
      </w:r>
    </w:p>
    <w:p w14:paraId="42C123BC" w14:textId="77777777" w:rsidR="002A21AE" w:rsidRDefault="000F12D4">
      <w:pPr>
        <w:pStyle w:val="Roles"/>
        <w:rPr>
          <w:snapToGrid w:val="0"/>
        </w:rPr>
      </w:pPr>
      <w:r>
        <w:t>All users</w:t>
      </w:r>
    </w:p>
    <w:bookmarkEnd w:id="484"/>
    <w:p w14:paraId="0684B19A" w14:textId="77777777" w:rsidR="002A21AE" w:rsidRDefault="002A21AE">
      <w:pPr>
        <w:pStyle w:val="Heading4"/>
      </w:pPr>
      <w:r>
        <w:t>Accept Orders: Pending Order List</w:t>
      </w:r>
    </w:p>
    <w:p w14:paraId="2B9E0D4E" w14:textId="77777777" w:rsidR="002A21AE" w:rsidRDefault="002A21AE" w:rsidP="00FA7E65">
      <w:pPr>
        <w:pStyle w:val="BodyText"/>
      </w:pPr>
      <w:r>
        <w:t>VBECS displays the POL with search criteria, which allows the user to limit the number of viewable items. The user may review details of an order without taking action on it.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5BEA3E72" w14:textId="77777777" w:rsidTr="003362FE">
        <w:trPr>
          <w:cantSplit/>
          <w:tblHeader/>
        </w:trPr>
        <w:tc>
          <w:tcPr>
            <w:tcW w:w="3240" w:type="dxa"/>
            <w:shd w:val="pct30" w:color="auto" w:fill="FFFFFF"/>
            <w:vAlign w:val="bottom"/>
          </w:tcPr>
          <w:p w14:paraId="69713131" w14:textId="77777777" w:rsidR="002A21AE" w:rsidRDefault="002A21AE">
            <w:pPr>
              <w:pStyle w:val="TableText"/>
              <w:rPr>
                <w:b/>
              </w:rPr>
            </w:pPr>
            <w:r>
              <w:rPr>
                <w:b/>
              </w:rPr>
              <w:lastRenderedPageBreak/>
              <w:t>User Action</w:t>
            </w:r>
          </w:p>
        </w:tc>
        <w:tc>
          <w:tcPr>
            <w:tcW w:w="6120" w:type="dxa"/>
            <w:shd w:val="pct30" w:color="auto" w:fill="FFFFFF"/>
            <w:vAlign w:val="bottom"/>
          </w:tcPr>
          <w:p w14:paraId="3679060F" w14:textId="77777777" w:rsidR="002A21AE" w:rsidRDefault="002A21AE">
            <w:pPr>
              <w:pStyle w:val="TableText"/>
              <w:rPr>
                <w:b/>
              </w:rPr>
            </w:pPr>
            <w:r>
              <w:rPr>
                <w:b/>
              </w:rPr>
              <w:t>VBECS</w:t>
            </w:r>
          </w:p>
        </w:tc>
      </w:tr>
      <w:tr w:rsidR="002A21AE" w14:paraId="7F8028FF" w14:textId="77777777" w:rsidTr="003362FE">
        <w:trPr>
          <w:cantSplit/>
        </w:trPr>
        <w:tc>
          <w:tcPr>
            <w:tcW w:w="3240" w:type="dxa"/>
          </w:tcPr>
          <w:p w14:paraId="446A82D1" w14:textId="77777777" w:rsidR="002A21AE" w:rsidRDefault="002A21AE">
            <w:pPr>
              <w:pStyle w:val="TableTextNumbers"/>
            </w:pPr>
            <w:r>
              <w:t xml:space="preserve">Select </w:t>
            </w:r>
            <w:r>
              <w:rPr>
                <w:b/>
              </w:rPr>
              <w:t>Orders</w:t>
            </w:r>
            <w:r>
              <w:t xml:space="preserve"> from the main menu.</w:t>
            </w:r>
          </w:p>
          <w:p w14:paraId="452958E1" w14:textId="77777777" w:rsidR="002A21AE" w:rsidRDefault="002A21AE">
            <w:pPr>
              <w:pStyle w:val="TableTextNumbersContinued"/>
            </w:pPr>
          </w:p>
          <w:p w14:paraId="5E43781E" w14:textId="77777777" w:rsidR="002A21AE" w:rsidRDefault="002A21AE">
            <w:pPr>
              <w:pStyle w:val="TableTextNumbersContinued"/>
            </w:pPr>
            <w:r>
              <w:t xml:space="preserve">Select </w:t>
            </w:r>
            <w:r>
              <w:rPr>
                <w:b/>
              </w:rPr>
              <w:t>Accept Orders</w:t>
            </w:r>
            <w:r>
              <w:t>, or</w:t>
            </w:r>
          </w:p>
          <w:p w14:paraId="5D640292" w14:textId="77777777" w:rsidR="002A21AE" w:rsidRDefault="002A21AE">
            <w:pPr>
              <w:pStyle w:val="TableTextNumbersContinued"/>
            </w:pPr>
          </w:p>
          <w:p w14:paraId="60C3758D" w14:textId="5A9F6342" w:rsidR="002A21AE" w:rsidRDefault="002A21AE">
            <w:pPr>
              <w:pStyle w:val="TableTextNumbersContinued"/>
            </w:pPr>
            <w:r>
              <w:t xml:space="preserve">Click the </w:t>
            </w:r>
            <w:r>
              <w:rPr>
                <w:b/>
              </w:rPr>
              <w:t>Pending Orders alert icon</w:t>
            </w:r>
            <w:r>
              <w:t>, if available, in the status bar at the bottom of the screen</w:t>
            </w:r>
            <w:r w:rsidR="007B4959">
              <w:t xml:space="preserve"> (</w:t>
            </w:r>
            <w:r w:rsidR="00EE455E">
              <w:t xml:space="preserve">Figure </w:t>
            </w:r>
            <w:r w:rsidR="00EE455E">
              <w:rPr>
                <w:noProof/>
              </w:rPr>
              <w:t>85</w:t>
            </w:r>
            <w:r w:rsidR="007B4959">
              <w:t>)</w:t>
            </w:r>
            <w:r>
              <w:t>.</w:t>
            </w:r>
          </w:p>
        </w:tc>
        <w:tc>
          <w:tcPr>
            <w:tcW w:w="6120" w:type="dxa"/>
          </w:tcPr>
          <w:p w14:paraId="45818C3F" w14:textId="77777777" w:rsidR="002A21AE" w:rsidRDefault="002A21AE">
            <w:pPr>
              <w:pStyle w:val="TableTextBullet"/>
            </w:pPr>
            <w:r>
              <w:t>Displays options for processing orders.</w:t>
            </w:r>
          </w:p>
          <w:p w14:paraId="15EE278E" w14:textId="77777777" w:rsidR="002A21AE" w:rsidRDefault="002A21AE">
            <w:pPr>
              <w:pStyle w:val="TableTextBullet"/>
            </w:pPr>
            <w:r>
              <w:t>Displays the Pending Order List and Pending Order List search criteria.</w:t>
            </w:r>
          </w:p>
          <w:p w14:paraId="6C701DD1" w14:textId="77777777" w:rsidR="002A21AE" w:rsidRDefault="002A21AE">
            <w:pPr>
              <w:pStyle w:val="TableTextBullet"/>
            </w:pPr>
            <w:r>
              <w:t xml:space="preserve">Allows the user to search for specific orders. </w:t>
            </w:r>
          </w:p>
          <w:p w14:paraId="2434D3B6" w14:textId="77777777" w:rsidR="002A21AE" w:rsidRDefault="002A21AE">
            <w:pPr>
              <w:pStyle w:val="TableTextBullet"/>
            </w:pPr>
            <w:r>
              <w:t xml:space="preserve">Provides the criteria to limit the search and subsequent presentation and processing. </w:t>
            </w:r>
          </w:p>
          <w:p w14:paraId="19AABF77" w14:textId="77777777" w:rsidR="002A21AE" w:rsidRDefault="002A21AE">
            <w:pPr>
              <w:pStyle w:val="TableTextBullet"/>
            </w:pPr>
            <w:r>
              <w:t>Allows acceptance of an order.</w:t>
            </w:r>
          </w:p>
          <w:p w14:paraId="4680039C" w14:textId="77777777" w:rsidR="002A21AE" w:rsidRDefault="002A21AE">
            <w:pPr>
              <w:pStyle w:val="TableText"/>
            </w:pPr>
          </w:p>
          <w:p w14:paraId="3817472C" w14:textId="47FD7380" w:rsidR="002A21AE" w:rsidRDefault="002A21AE">
            <w:pPr>
              <w:pStyle w:val="TableText"/>
              <w:rPr>
                <w:b/>
                <w:bCs/>
                <w:szCs w:val="18"/>
              </w:rPr>
            </w:pPr>
            <w:r>
              <w:rPr>
                <w:b/>
                <w:bCs/>
                <w:szCs w:val="18"/>
              </w:rPr>
              <w:t>NOTES</w:t>
            </w:r>
          </w:p>
          <w:p w14:paraId="7012321B" w14:textId="77777777" w:rsidR="002A21AE" w:rsidRDefault="00E21E67">
            <w:pPr>
              <w:pStyle w:val="NotesText"/>
            </w:pPr>
            <w:r w:rsidRPr="00424EF8">
              <w:rPr>
                <w:vanish/>
              </w:rPr>
              <w:t xml:space="preserve">BR_88.10 </w:t>
            </w:r>
            <w:r w:rsidRPr="00274F6D">
              <w:t xml:space="preserve">VBECS </w:t>
            </w:r>
            <w:r>
              <w:t xml:space="preserve">displays orders directed to the division by </w:t>
            </w:r>
            <w:r w:rsidR="00424EF8">
              <w:t>a</w:t>
            </w:r>
            <w:r>
              <w:t xml:space="preserve"> user during system configuration.</w:t>
            </w:r>
            <w:r w:rsidR="00892C58" w:rsidRPr="00892C58">
              <w:rPr>
                <w:vanish/>
              </w:rPr>
              <w:t>DR 2,889</w:t>
            </w:r>
          </w:p>
          <w:p w14:paraId="05192ED2" w14:textId="77777777" w:rsidR="00E21E67" w:rsidRDefault="00E21E67">
            <w:pPr>
              <w:pStyle w:val="NotesText"/>
            </w:pPr>
          </w:p>
          <w:p w14:paraId="3225EF41" w14:textId="622DCAF1" w:rsidR="002A21AE" w:rsidRDefault="002A21AE">
            <w:pPr>
              <w:pStyle w:val="NotesText"/>
            </w:pPr>
            <w:r w:rsidRPr="00A4315F">
              <w:t xml:space="preserve">See </w:t>
            </w:r>
            <w:r w:rsidR="00EE455E">
              <w:t xml:space="preserve">Appendix </w:t>
            </w:r>
            <w:r w:rsidR="00EE455E">
              <w:rPr>
                <w:noProof/>
              </w:rPr>
              <w:t>B</w:t>
            </w:r>
            <w:r w:rsidRPr="00A4315F">
              <w:t>:</w:t>
            </w:r>
            <w:r w:rsidR="00A4315F" w:rsidRPr="00A4315F">
              <w:t xml:space="preserve"> </w:t>
            </w:r>
            <w:r w:rsidR="00EE455E">
              <w:t xml:space="preserve">Figure 117: </w:t>
            </w:r>
            <w:r w:rsidR="00EE455E" w:rsidRPr="00EE455E">
              <w:rPr>
                <w:vanish/>
                <w:szCs w:val="18"/>
              </w:rPr>
              <w:t xml:space="preserve">TT_92.01 </w:t>
            </w:r>
            <w:r w:rsidR="00EE455E" w:rsidRPr="00EE455E">
              <w:t>Order</w:t>
            </w:r>
            <w:r w:rsidR="00EE455E">
              <w:t xml:space="preserve"> Status Flowchart</w:t>
            </w:r>
            <w:r>
              <w:t>.</w:t>
            </w:r>
          </w:p>
          <w:p w14:paraId="74585698" w14:textId="77777777" w:rsidR="002A21AE" w:rsidRDefault="002A21AE">
            <w:pPr>
              <w:pStyle w:val="NotesText"/>
            </w:pPr>
          </w:p>
          <w:p w14:paraId="7BFEF815" w14:textId="77777777" w:rsidR="002A21AE" w:rsidRDefault="002A21AE" w:rsidP="008941EC">
            <w:pPr>
              <w:pStyle w:val="NotesText"/>
            </w:pPr>
            <w:r>
              <w:rPr>
                <w:rFonts w:cs="Arial"/>
                <w:vanish/>
              </w:rPr>
              <w:t xml:space="preserve">BR_88.04 </w:t>
            </w:r>
            <w:r>
              <w:t xml:space="preserve">When searching for pending orders based on patient name, the system displays all pending and current accepted orders for the patient. A current order is a previously accepted order with a future order/specimen expiration date. </w:t>
            </w:r>
          </w:p>
        </w:tc>
      </w:tr>
      <w:tr w:rsidR="002A21AE" w14:paraId="7CE17BCF" w14:textId="77777777" w:rsidTr="003362FE">
        <w:trPr>
          <w:cantSplit/>
          <w:trHeight w:val="575"/>
        </w:trPr>
        <w:tc>
          <w:tcPr>
            <w:tcW w:w="3240" w:type="dxa"/>
          </w:tcPr>
          <w:p w14:paraId="72B1CA13" w14:textId="77777777" w:rsidR="002A21AE" w:rsidRDefault="002A21AE">
            <w:pPr>
              <w:pStyle w:val="TableTextNumbers"/>
            </w:pPr>
            <w:r>
              <w:t>Change the selection criteria, as needed, to prepare the list or to accept the default presentation.</w:t>
            </w:r>
          </w:p>
        </w:tc>
        <w:tc>
          <w:tcPr>
            <w:tcW w:w="6120" w:type="dxa"/>
          </w:tcPr>
          <w:p w14:paraId="29A23C74" w14:textId="77777777" w:rsidR="002A21AE" w:rsidRDefault="002A21AE">
            <w:pPr>
              <w:pStyle w:val="TableTextBullet"/>
            </w:pPr>
            <w:r>
              <w:t xml:space="preserve">Displays the POL requested by user’s selection(s). </w:t>
            </w:r>
          </w:p>
          <w:p w14:paraId="4FF60A3A" w14:textId="77777777" w:rsidR="002A21AE" w:rsidRDefault="002A21AE">
            <w:pPr>
              <w:pStyle w:val="TableText"/>
            </w:pPr>
          </w:p>
          <w:p w14:paraId="2CF335FA" w14:textId="6144BF4D" w:rsidR="002A21AE" w:rsidRDefault="002A21AE">
            <w:pPr>
              <w:pStyle w:val="TableText"/>
              <w:rPr>
                <w:b/>
                <w:bCs/>
                <w:szCs w:val="18"/>
              </w:rPr>
            </w:pPr>
            <w:r>
              <w:rPr>
                <w:b/>
                <w:bCs/>
                <w:szCs w:val="18"/>
              </w:rPr>
              <w:t>NOTES</w:t>
            </w:r>
          </w:p>
          <w:p w14:paraId="096A88AC" w14:textId="77777777" w:rsidR="002A21AE" w:rsidRDefault="002A21AE">
            <w:pPr>
              <w:pStyle w:val="TableText"/>
            </w:pPr>
          </w:p>
          <w:p w14:paraId="5709E196" w14:textId="77777777" w:rsidR="002A21AE" w:rsidRDefault="002A21AE">
            <w:pPr>
              <w:pStyle w:val="NotesText"/>
            </w:pPr>
            <w:r>
              <w:rPr>
                <w:rFonts w:cs="Arial"/>
                <w:vanish/>
              </w:rPr>
              <w:t xml:space="preserve">BR_88.09 </w:t>
            </w:r>
            <w:r>
              <w:t>The POL can be sorted by Patient, Procedure, Urgency, Date/time received or date/time wanted.</w:t>
            </w:r>
          </w:p>
          <w:p w14:paraId="31200CB0" w14:textId="77777777" w:rsidR="002A21AE" w:rsidRDefault="002A21AE">
            <w:pPr>
              <w:pStyle w:val="NotesText"/>
            </w:pPr>
          </w:p>
          <w:p w14:paraId="35938392" w14:textId="77777777" w:rsidR="002A21AE" w:rsidRDefault="002A21AE">
            <w:pPr>
              <w:pStyle w:val="NotesText"/>
            </w:pPr>
            <w:r>
              <w:rPr>
                <w:rFonts w:cs="Arial"/>
                <w:vanish/>
              </w:rPr>
              <w:t xml:space="preserve">BR_88.07 </w:t>
            </w:r>
            <w:r>
              <w:t>The user may select an entry on the POL to view additional details for the order, including:</w:t>
            </w:r>
          </w:p>
          <w:p w14:paraId="772B4463" w14:textId="77777777" w:rsidR="002A21AE" w:rsidRDefault="002A21AE">
            <w:pPr>
              <w:pStyle w:val="NotesTextBullet"/>
            </w:pPr>
            <w:r>
              <w:t>Patient Name</w:t>
            </w:r>
          </w:p>
          <w:p w14:paraId="51EB8DB0" w14:textId="77777777" w:rsidR="002A21AE" w:rsidRDefault="002A21AE">
            <w:pPr>
              <w:pStyle w:val="NotesTextBullet"/>
            </w:pPr>
            <w:r>
              <w:t>Patient ID</w:t>
            </w:r>
          </w:p>
          <w:p w14:paraId="54A77F5D" w14:textId="77777777" w:rsidR="002A21AE" w:rsidRDefault="002A21AE">
            <w:pPr>
              <w:pStyle w:val="NotesTextBullet"/>
            </w:pPr>
            <w:r>
              <w:t xml:space="preserve">Additional component class or diagnostic tests included in the same order group as the selected order. (These are displayed whether they are </w:t>
            </w:r>
            <w:r w:rsidR="00191CFE">
              <w:t>“</w:t>
            </w:r>
            <w:r>
              <w:t>in progress</w:t>
            </w:r>
            <w:r w:rsidR="00191CFE">
              <w:t>”</w:t>
            </w:r>
            <w:r>
              <w:t xml:space="preserve"> or still on the POL. There should be some indication to distinguish those that are already in progress.)</w:t>
            </w:r>
          </w:p>
          <w:p w14:paraId="38CDF83D" w14:textId="77777777" w:rsidR="002A21AE" w:rsidRDefault="002A21AE">
            <w:pPr>
              <w:pStyle w:val="NotesTextBullet"/>
            </w:pPr>
            <w:r>
              <w:t>Order comments (additional requirements from CPRS)</w:t>
            </w:r>
          </w:p>
          <w:p w14:paraId="50B913C0" w14:textId="77777777" w:rsidR="002A21AE" w:rsidRDefault="002A21AE">
            <w:pPr>
              <w:pStyle w:val="NotesTextBullet"/>
            </w:pPr>
            <w:r>
              <w:t>Quantity (component class orders only)</w:t>
            </w:r>
          </w:p>
          <w:p w14:paraId="6737938D" w14:textId="77777777" w:rsidR="002A21AE" w:rsidRDefault="002A21AE">
            <w:pPr>
              <w:pStyle w:val="NotesTextBullet"/>
            </w:pPr>
            <w:r>
              <w:t>Patient hospital location</w:t>
            </w:r>
          </w:p>
          <w:p w14:paraId="5A246A27" w14:textId="77777777" w:rsidR="002A21AE" w:rsidRDefault="002A21AE">
            <w:pPr>
              <w:pStyle w:val="NotesTextBullet"/>
            </w:pPr>
            <w:r>
              <w:t>Lab order #</w:t>
            </w:r>
          </w:p>
          <w:p w14:paraId="42094384" w14:textId="77777777" w:rsidR="002A21AE" w:rsidRDefault="002A21AE">
            <w:pPr>
              <w:pStyle w:val="NotesTextBullet"/>
            </w:pPr>
            <w:r>
              <w:t>Patient ABO/Rh (if known)</w:t>
            </w:r>
          </w:p>
          <w:p w14:paraId="787007A0" w14:textId="77777777" w:rsidR="000F29F3" w:rsidRDefault="0070432F" w:rsidP="00735422">
            <w:pPr>
              <w:pStyle w:val="NotesTextBullet"/>
            </w:pPr>
            <w:r>
              <w:t xml:space="preserve">The </w:t>
            </w:r>
            <w:r w:rsidR="00F83BC3">
              <w:t>CPRS Order ID</w:t>
            </w:r>
            <w:r w:rsidR="00735422">
              <w:t>, Group Order ID for all diagnostic tests and component orders placed in one CPRS</w:t>
            </w:r>
            <w:r>
              <w:t xml:space="preserve"> </w:t>
            </w:r>
            <w:r w:rsidR="00E33ACF">
              <w:t xml:space="preserve">order </w:t>
            </w:r>
            <w:r w:rsidR="005B6F39">
              <w:t xml:space="preserve">is </w:t>
            </w:r>
            <w:r w:rsidR="00E33ACF">
              <w:t xml:space="preserve">the CPRS Order ID </w:t>
            </w:r>
            <w:r>
              <w:t xml:space="preserve">used by VBECS on the Order History Report and the Pending Task Lists. </w:t>
            </w:r>
            <w:r w:rsidR="00F83BC3" w:rsidRPr="00F83BC3">
              <w:rPr>
                <w:vanish/>
              </w:rPr>
              <w:t>DR 4938</w:t>
            </w:r>
          </w:p>
        </w:tc>
      </w:tr>
      <w:tr w:rsidR="002A21AE" w14:paraId="60D55A56" w14:textId="77777777" w:rsidTr="003362FE">
        <w:trPr>
          <w:cantSplit/>
        </w:trPr>
        <w:tc>
          <w:tcPr>
            <w:tcW w:w="3240" w:type="dxa"/>
          </w:tcPr>
          <w:p w14:paraId="7157A99C" w14:textId="77777777" w:rsidR="002A21AE" w:rsidRDefault="002A21AE">
            <w:pPr>
              <w:pStyle w:val="TableTextNumbers"/>
            </w:pPr>
            <w:r>
              <w:t xml:space="preserve">To continue processing the POL, review the displayed list, print the list, or go to Accept Orders: Accept an Order. </w:t>
            </w:r>
          </w:p>
        </w:tc>
        <w:tc>
          <w:tcPr>
            <w:tcW w:w="6120" w:type="dxa"/>
          </w:tcPr>
          <w:p w14:paraId="4B12B7CA" w14:textId="77777777" w:rsidR="002A21AE" w:rsidRDefault="002A21AE">
            <w:pPr>
              <w:pStyle w:val="TableTextBullet"/>
            </w:pPr>
            <w:r>
              <w:t xml:space="preserve">Allows the user to return to Step 1 to change the presentation of the list, review details of pending orders, print the list, or select an order or proceed to Accept Orders: Accept an Order. </w:t>
            </w:r>
          </w:p>
          <w:p w14:paraId="28218C70" w14:textId="77777777" w:rsidR="002A21AE" w:rsidRDefault="002A21AE">
            <w:pPr>
              <w:pStyle w:val="TableText"/>
            </w:pPr>
          </w:p>
          <w:p w14:paraId="2A15662D" w14:textId="256BE9F4" w:rsidR="002A21AE" w:rsidRDefault="002A21AE">
            <w:pPr>
              <w:pStyle w:val="TableText"/>
              <w:rPr>
                <w:b/>
                <w:bCs/>
                <w:szCs w:val="18"/>
              </w:rPr>
            </w:pPr>
            <w:r>
              <w:rPr>
                <w:b/>
                <w:bCs/>
                <w:szCs w:val="18"/>
              </w:rPr>
              <w:t>NOTES</w:t>
            </w:r>
          </w:p>
          <w:p w14:paraId="11FD9CC0" w14:textId="77777777" w:rsidR="002A21AE" w:rsidRDefault="002A21AE">
            <w:pPr>
              <w:pStyle w:val="NotesText"/>
            </w:pPr>
          </w:p>
          <w:p w14:paraId="49732167" w14:textId="77777777" w:rsidR="002A21AE" w:rsidRDefault="002A21AE">
            <w:pPr>
              <w:pStyle w:val="NotesText"/>
            </w:pPr>
            <w:r>
              <w:rPr>
                <w:rFonts w:cs="Arial"/>
                <w:vanish/>
              </w:rPr>
              <w:t xml:space="preserve">BR_92.07 </w:t>
            </w:r>
            <w:r>
              <w:t>When a user requests a POL report and VBECS does not find any information, VBECS notifies the user and asks whether he wishes to continue to print. The user may cancel or print the report, which will include “No pending orders found.”</w:t>
            </w:r>
          </w:p>
        </w:tc>
      </w:tr>
      <w:tr w:rsidR="002A21AE" w14:paraId="4D85214E" w14:textId="77777777" w:rsidTr="003362FE">
        <w:trPr>
          <w:cantSplit/>
        </w:trPr>
        <w:tc>
          <w:tcPr>
            <w:tcW w:w="3240" w:type="dxa"/>
          </w:tcPr>
          <w:p w14:paraId="73F780FC" w14:textId="77777777" w:rsidR="002A21AE" w:rsidRDefault="002A21AE">
            <w:pPr>
              <w:pStyle w:val="TableTextNumbers"/>
            </w:pPr>
            <w:r>
              <w:t>Exit.</w:t>
            </w:r>
            <w:r w:rsidRPr="00B93B42">
              <w:rPr>
                <w:rStyle w:val="StyleTableTextNumbersWhite1Char"/>
              </w:rPr>
              <w:t xml:space="preserve"> </w:t>
            </w:r>
            <w:r>
              <w:rPr>
                <w:vanish/>
                <w:color w:val="FFFFFF"/>
                <w:szCs w:val="18"/>
              </w:rPr>
              <w:fldChar w:fldCharType="begin"/>
            </w:r>
            <w:r>
              <w:rPr>
                <w:vanish/>
                <w:color w:val="FFFFFF"/>
                <w:szCs w:val="18"/>
              </w:rPr>
              <w:instrText xml:space="preserve"> LISTNUM \l 1 \s 0 </w:instrText>
            </w:r>
            <w:r>
              <w:rPr>
                <w:vanish/>
                <w:color w:val="FFFFFF"/>
                <w:szCs w:val="18"/>
              </w:rPr>
              <w:fldChar w:fldCharType="end">
                <w:numberingChange w:id="485" w:author="MUSZYNSKI, THOMAS D. (SIERRA 7 INC)" w:date="2024-11-26T07:15:00Z" w:original="0."/>
              </w:fldChar>
            </w:r>
          </w:p>
        </w:tc>
        <w:tc>
          <w:tcPr>
            <w:tcW w:w="6120" w:type="dxa"/>
          </w:tcPr>
          <w:p w14:paraId="791C4B64" w14:textId="77777777" w:rsidR="002A21AE" w:rsidRDefault="002A21AE">
            <w:pPr>
              <w:pStyle w:val="TableText"/>
            </w:pPr>
          </w:p>
        </w:tc>
      </w:tr>
    </w:tbl>
    <w:p w14:paraId="075B8F6C" w14:textId="77777777" w:rsidR="002A21AE" w:rsidRDefault="0072673B" w:rsidP="008A3222">
      <w:pPr>
        <w:pStyle w:val="Heading3"/>
      </w:pPr>
      <w:r>
        <w:br w:type="page"/>
      </w:r>
      <w:bookmarkStart w:id="486" w:name="_Toc203765908"/>
      <w:r w:rsidR="00057948">
        <w:rPr>
          <w:noProof/>
        </w:rPr>
        <w:lastRenderedPageBreak/>
        <w:drawing>
          <wp:inline distT="0" distB="0" distL="0" distR="0" wp14:anchorId="58F7FD67" wp14:editId="04D401B9">
            <wp:extent cx="156845" cy="156845"/>
            <wp:effectExtent l="0" t="0" r="0" b="0"/>
            <wp:docPr id="213" name="Picture 213" descr="Order Alert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Picture 213" descr="Order Alert icon"/>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A21AE">
        <w:t xml:space="preserve"> </w:t>
      </w:r>
      <w:r w:rsidR="002A21AE" w:rsidRPr="008A3222">
        <w:t>Display Order Alerts</w:t>
      </w:r>
      <w:bookmarkEnd w:id="486"/>
      <w:r w:rsidR="002A21AE" w:rsidRPr="008A3222">
        <w:fldChar w:fldCharType="begin"/>
      </w:r>
      <w:r w:rsidR="002A21AE" w:rsidRPr="008A3222">
        <w:instrText xml:space="preserve"> XE </w:instrText>
      </w:r>
      <w:r w:rsidR="00FA7E65" w:rsidRPr="008A3222">
        <w:instrText>“</w:instrText>
      </w:r>
      <w:r w:rsidR="002A21AE" w:rsidRPr="008A3222">
        <w:instrText>Display Order Alerts</w:instrText>
      </w:r>
      <w:r w:rsidR="00FA7E65" w:rsidRPr="008A3222">
        <w:instrText>”</w:instrText>
      </w:r>
      <w:r w:rsidR="002A21AE" w:rsidRPr="008A3222">
        <w:instrText xml:space="preserve"> </w:instrText>
      </w:r>
      <w:r w:rsidR="002A21AE" w:rsidRPr="008A3222">
        <w:fldChar w:fldCharType="end"/>
      </w:r>
      <w:r w:rsidR="002A21AE">
        <w:t xml:space="preserve"> </w:t>
      </w:r>
      <w:r w:rsidR="002A21AE">
        <w:rPr>
          <w:vanish/>
          <w:sz w:val="22"/>
        </w:rPr>
        <w:t>UC_84</w:t>
      </w:r>
    </w:p>
    <w:p w14:paraId="5E99CCCB" w14:textId="77777777" w:rsidR="002A21AE" w:rsidRDefault="002A21AE" w:rsidP="00FA7E65">
      <w:pPr>
        <w:pStyle w:val="BodyText"/>
      </w:pPr>
      <w:r>
        <w:t>VBECS notifies the user of new and updated patient orders.</w:t>
      </w:r>
    </w:p>
    <w:p w14:paraId="4D52682E" w14:textId="77777777" w:rsidR="002A21AE" w:rsidRDefault="002A21AE">
      <w:pPr>
        <w:pStyle w:val="Heading4"/>
      </w:pPr>
      <w:r>
        <w:t>Assumptions</w:t>
      </w:r>
      <w:r>
        <w:rPr>
          <w:b w:val="0"/>
        </w:rPr>
        <w:t xml:space="preserve"> </w:t>
      </w:r>
    </w:p>
    <w:p w14:paraId="6D737DC8" w14:textId="77777777" w:rsidR="002A21AE" w:rsidRDefault="002A21AE">
      <w:pPr>
        <w:pStyle w:val="ListBullet"/>
      </w:pPr>
      <w:r>
        <w:t xml:space="preserve">VBECS receives a new order or an order update message from </w:t>
      </w:r>
      <w:r w:rsidR="00CA0045" w:rsidRPr="00CA0045">
        <w:rPr>
          <w:bCs/>
        </w:rPr>
        <w:t>VistA</w:t>
      </w:r>
      <w:r>
        <w:t xml:space="preserve"> for the user’s division.</w:t>
      </w:r>
    </w:p>
    <w:p w14:paraId="02AD5008" w14:textId="77777777" w:rsidR="002A21AE" w:rsidRDefault="002A21AE">
      <w:pPr>
        <w:pStyle w:val="Heading4"/>
      </w:pPr>
      <w:r>
        <w:t xml:space="preserve">Outcome </w:t>
      </w:r>
    </w:p>
    <w:p w14:paraId="4DE3E573" w14:textId="77777777" w:rsidR="002A21AE" w:rsidRPr="000975BF" w:rsidRDefault="002A21AE">
      <w:pPr>
        <w:pStyle w:val="ListBullet"/>
        <w:rPr>
          <w:strike/>
        </w:rPr>
      </w:pPr>
      <w:r>
        <w:t>VBECS displays notification icons only to users logged into VBECS.</w:t>
      </w:r>
    </w:p>
    <w:p w14:paraId="3AE63C81" w14:textId="77777777" w:rsidR="002A21AE" w:rsidRDefault="002A21AE">
      <w:pPr>
        <w:pStyle w:val="Heading4"/>
      </w:pPr>
      <w:r>
        <w:t>Limitations and Restrictions</w:t>
      </w:r>
      <w:r>
        <w:rPr>
          <w:b w:val="0"/>
        </w:rPr>
        <w:t xml:space="preserve"> </w:t>
      </w:r>
    </w:p>
    <w:p w14:paraId="2DABF589" w14:textId="77777777" w:rsidR="00325067" w:rsidRDefault="002A21AE" w:rsidP="00971715">
      <w:pPr>
        <w:pStyle w:val="ListBullet"/>
      </w:pPr>
      <w:r>
        <w:t xml:space="preserve">VBECS </w:t>
      </w:r>
      <w:r w:rsidR="005B2BDB">
        <w:t>issues</w:t>
      </w:r>
      <w:r>
        <w:t xml:space="preserve"> no notifications </w:t>
      </w:r>
      <w:r w:rsidR="00B306AF">
        <w:t>for</w:t>
      </w:r>
      <w:r>
        <w:t xml:space="preserve"> order cancellations.</w:t>
      </w:r>
    </w:p>
    <w:p w14:paraId="5824E539" w14:textId="38F325B1" w:rsidR="00D40E35" w:rsidRPr="00C32C1A" w:rsidRDefault="008D7106" w:rsidP="00971715">
      <w:pPr>
        <w:pStyle w:val="ListBullet"/>
      </w:pPr>
      <w:r w:rsidRPr="00C32C1A">
        <w:t xml:space="preserve">The Order alert notification icon and functionality is disabled when VBECS is set to </w:t>
      </w:r>
      <w:r w:rsidR="005633D8">
        <w:t>Read-Only</w:t>
      </w:r>
      <w:r w:rsidRPr="00C32C1A">
        <w:t xml:space="preserve">. </w:t>
      </w:r>
    </w:p>
    <w:p w14:paraId="38F745FD" w14:textId="77777777" w:rsidR="002A21AE" w:rsidRDefault="002A21AE">
      <w:pPr>
        <w:pStyle w:val="Heading4"/>
      </w:pPr>
      <w:r>
        <w:t xml:space="preserve">Additional Information </w:t>
      </w:r>
    </w:p>
    <w:p w14:paraId="0144BDC0" w14:textId="77777777" w:rsidR="002A21AE" w:rsidRDefault="002A21AE">
      <w:pPr>
        <w:pStyle w:val="ListBullet"/>
      </w:pPr>
      <w:r>
        <w:rPr>
          <w:rFonts w:ascii="Arial" w:hAnsi="Arial" w:cs="Arial"/>
          <w:vanish/>
          <w:spacing w:val="0"/>
          <w:sz w:val="18"/>
        </w:rPr>
        <w:t xml:space="preserve">BR_84.12 </w:t>
      </w:r>
      <w:r>
        <w:t xml:space="preserve">The user may set VBECS to automatically print an order alert </w:t>
      </w:r>
      <w:r w:rsidR="00BC62B7">
        <w:t xml:space="preserve">with limited information </w:t>
      </w:r>
      <w:r>
        <w:t>on the designated printer when VBECS acknowledges the order.</w:t>
      </w:r>
    </w:p>
    <w:p w14:paraId="45302320" w14:textId="0F6D7995" w:rsidR="00DA5187" w:rsidRPr="008E2778" w:rsidRDefault="00DA5187">
      <w:pPr>
        <w:pStyle w:val="ListBullet"/>
      </w:pPr>
      <w:r w:rsidRPr="00971715">
        <w:rPr>
          <w:spacing w:val="0"/>
        </w:rPr>
        <w:t xml:space="preserve">The alert displays the individual test’s </w:t>
      </w:r>
      <w:r w:rsidR="00D059AF">
        <w:rPr>
          <w:spacing w:val="0"/>
        </w:rPr>
        <w:t xml:space="preserve">(child) </w:t>
      </w:r>
      <w:r w:rsidRPr="00971715">
        <w:rPr>
          <w:spacing w:val="0"/>
        </w:rPr>
        <w:t xml:space="preserve">CPRS </w:t>
      </w:r>
      <w:r w:rsidR="00177E10">
        <w:rPr>
          <w:spacing w:val="0"/>
        </w:rPr>
        <w:t xml:space="preserve">ID. The </w:t>
      </w:r>
      <w:r w:rsidR="004D735A">
        <w:rPr>
          <w:spacing w:val="0"/>
        </w:rPr>
        <w:t>individual test’s (</w:t>
      </w:r>
      <w:r w:rsidR="008C69E2">
        <w:rPr>
          <w:spacing w:val="0"/>
        </w:rPr>
        <w:t>child</w:t>
      </w:r>
      <w:r w:rsidR="004D735A">
        <w:rPr>
          <w:spacing w:val="0"/>
        </w:rPr>
        <w:t>)</w:t>
      </w:r>
      <w:r w:rsidR="008C69E2">
        <w:rPr>
          <w:spacing w:val="0"/>
        </w:rPr>
        <w:t xml:space="preserve"> </w:t>
      </w:r>
      <w:r w:rsidR="00177E10">
        <w:rPr>
          <w:spacing w:val="0"/>
        </w:rPr>
        <w:t xml:space="preserve">CPRS ID is not displayed </w:t>
      </w:r>
      <w:r w:rsidR="004D735A">
        <w:rPr>
          <w:spacing w:val="0"/>
        </w:rPr>
        <w:t xml:space="preserve">on the Pending Order List, </w:t>
      </w:r>
      <w:r w:rsidR="00177E10">
        <w:rPr>
          <w:spacing w:val="0"/>
        </w:rPr>
        <w:t>elsewhere in VBECS or on reports and is not usable in search functions</w:t>
      </w:r>
      <w:r w:rsidRPr="00971715">
        <w:rPr>
          <w:spacing w:val="0"/>
        </w:rPr>
        <w:t xml:space="preserve">. </w:t>
      </w:r>
      <w:r w:rsidRPr="00971715">
        <w:rPr>
          <w:vanish/>
          <w:spacing w:val="0"/>
        </w:rPr>
        <w:t>DR 4938</w:t>
      </w:r>
      <w:r w:rsidR="00282037">
        <w:rPr>
          <w:vanish/>
          <w:spacing w:val="0"/>
        </w:rPr>
        <w:t xml:space="preserve"> </w:t>
      </w:r>
      <w:r w:rsidR="00282037">
        <w:rPr>
          <w:spacing w:val="0"/>
        </w:rPr>
        <w:t xml:space="preserve">(See </w:t>
      </w:r>
      <w:r w:rsidR="00282037" w:rsidRPr="00423A7F">
        <w:rPr>
          <w:i/>
          <w:iCs/>
          <w:spacing w:val="0"/>
        </w:rPr>
        <w:t>FAQ CPRS VBECS Order Details</w:t>
      </w:r>
      <w:r w:rsidR="00282037">
        <w:rPr>
          <w:spacing w:val="0"/>
        </w:rPr>
        <w:t>)</w:t>
      </w:r>
    </w:p>
    <w:p w14:paraId="62C05B31" w14:textId="77777777" w:rsidR="002A21AE" w:rsidRDefault="002A21AE">
      <w:pPr>
        <w:pStyle w:val="Heading4"/>
        <w:rPr>
          <w:b w:val="0"/>
        </w:rPr>
      </w:pPr>
      <w:r>
        <w:t>User Roles with Access to This Option</w:t>
      </w:r>
      <w:r>
        <w:rPr>
          <w:b w:val="0"/>
        </w:rPr>
        <w:t xml:space="preserve"> </w:t>
      </w:r>
    </w:p>
    <w:p w14:paraId="08774092" w14:textId="77777777" w:rsidR="002A21AE" w:rsidRDefault="000F12D4">
      <w:pPr>
        <w:pStyle w:val="Roles"/>
        <w:rPr>
          <w:snapToGrid w:val="0"/>
        </w:rPr>
      </w:pPr>
      <w:r>
        <w:t>All users</w:t>
      </w:r>
    </w:p>
    <w:p w14:paraId="61F4C561" w14:textId="77777777" w:rsidR="002A21AE" w:rsidRDefault="002A21AE">
      <w:pPr>
        <w:pStyle w:val="Heading4"/>
      </w:pPr>
      <w:r>
        <w:t>Display Order Alerts</w:t>
      </w:r>
    </w:p>
    <w:p w14:paraId="0644F7C1" w14:textId="77777777" w:rsidR="002A21AE" w:rsidRDefault="002A21AE" w:rsidP="00FA7E65">
      <w:pPr>
        <w:pStyle w:val="BodyText"/>
      </w:pPr>
      <w:r>
        <w:t>VBECS notifies the user that order updates occurred and allows him to accept the new orders.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124CF9EE" w14:textId="77777777" w:rsidTr="003362FE">
        <w:trPr>
          <w:cantSplit/>
          <w:tblHeader/>
        </w:trPr>
        <w:tc>
          <w:tcPr>
            <w:tcW w:w="3240" w:type="dxa"/>
            <w:shd w:val="pct30" w:color="auto" w:fill="FFFFFF"/>
            <w:vAlign w:val="bottom"/>
          </w:tcPr>
          <w:p w14:paraId="1EE14E9A" w14:textId="77777777" w:rsidR="002A21AE" w:rsidRDefault="002A21AE">
            <w:pPr>
              <w:pStyle w:val="TableText"/>
              <w:rPr>
                <w:b/>
              </w:rPr>
            </w:pPr>
            <w:r>
              <w:rPr>
                <w:b/>
              </w:rPr>
              <w:lastRenderedPageBreak/>
              <w:t>User Action</w:t>
            </w:r>
          </w:p>
        </w:tc>
        <w:tc>
          <w:tcPr>
            <w:tcW w:w="6120" w:type="dxa"/>
            <w:shd w:val="pct30" w:color="auto" w:fill="FFFFFF"/>
            <w:vAlign w:val="bottom"/>
          </w:tcPr>
          <w:p w14:paraId="44913938" w14:textId="77777777" w:rsidR="002A21AE" w:rsidRDefault="002A21AE">
            <w:pPr>
              <w:pStyle w:val="TableText"/>
              <w:rPr>
                <w:b/>
              </w:rPr>
            </w:pPr>
            <w:r>
              <w:rPr>
                <w:b/>
              </w:rPr>
              <w:t>VBECS</w:t>
            </w:r>
          </w:p>
        </w:tc>
      </w:tr>
      <w:tr w:rsidR="002A21AE" w14:paraId="5183E467" w14:textId="77777777" w:rsidTr="003362FE">
        <w:trPr>
          <w:cantSplit/>
          <w:trHeight w:val="403"/>
        </w:trPr>
        <w:tc>
          <w:tcPr>
            <w:tcW w:w="3240" w:type="dxa"/>
          </w:tcPr>
          <w:p w14:paraId="2E1CD81C" w14:textId="77777777" w:rsidR="002A21AE" w:rsidRDefault="002A21AE">
            <w:pPr>
              <w:pStyle w:val="TableTextNumbers"/>
            </w:pPr>
            <w:r>
              <w:t xml:space="preserve">Hold the </w:t>
            </w:r>
            <w:r w:rsidRPr="003F3122">
              <w:rPr>
                <w:szCs w:val="18"/>
              </w:rPr>
              <w:t>mouse</w:t>
            </w:r>
            <w:r>
              <w:t xml:space="preserve"> over the </w:t>
            </w:r>
            <w:r w:rsidR="00DB3E37">
              <w:t>i</w:t>
            </w:r>
            <w:r>
              <w:t xml:space="preserve">con to view a tool tip, or </w:t>
            </w:r>
          </w:p>
          <w:p w14:paraId="239B69F0" w14:textId="77777777" w:rsidR="002A21AE" w:rsidRDefault="002A21AE">
            <w:pPr>
              <w:pStyle w:val="TableTextNumbersContinued"/>
            </w:pPr>
          </w:p>
          <w:p w14:paraId="1C3BE5C5" w14:textId="77777777" w:rsidR="002A21AE" w:rsidRDefault="002A21AE">
            <w:pPr>
              <w:pStyle w:val="TableTextNumbersContinued"/>
            </w:pPr>
            <w:r>
              <w:t xml:space="preserve">Click </w:t>
            </w:r>
            <w:r w:rsidR="00057948">
              <w:rPr>
                <w:noProof/>
              </w:rPr>
              <w:drawing>
                <wp:inline distT="0" distB="0" distL="0" distR="0" wp14:anchorId="5F46AAE2" wp14:editId="055E03C7">
                  <wp:extent cx="156845" cy="156845"/>
                  <wp:effectExtent l="0" t="0" r="0" b="0"/>
                  <wp:docPr id="214" name="Picture 214" descr="Order Alert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Picture 214" descr="Order Alert icon"/>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t xml:space="preserve"> to view a panel showing new or updated orders and hide the icon. </w:t>
            </w:r>
          </w:p>
          <w:p w14:paraId="40EA7847" w14:textId="77777777" w:rsidR="002A21AE" w:rsidRDefault="002A21AE">
            <w:pPr>
              <w:pStyle w:val="TableTextNumbersContinued"/>
            </w:pPr>
          </w:p>
          <w:p w14:paraId="7E152118" w14:textId="77777777" w:rsidR="002A21AE" w:rsidRDefault="002A21AE">
            <w:pPr>
              <w:pStyle w:val="TableTextNumbersContinued"/>
            </w:pPr>
            <w:r>
              <w:t xml:space="preserve">Click </w:t>
            </w:r>
            <w:r w:rsidR="00057948">
              <w:rPr>
                <w:noProof/>
              </w:rPr>
              <w:drawing>
                <wp:inline distT="0" distB="0" distL="0" distR="0" wp14:anchorId="3B3C999E" wp14:editId="26959567">
                  <wp:extent cx="156845" cy="156845"/>
                  <wp:effectExtent l="0" t="0" r="0" b="0"/>
                  <wp:docPr id="215" name="Picture 215" descr="Order Alert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Picture 215" descr="Order Alert icon"/>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t xml:space="preserve"> again to hide the panel. </w:t>
            </w:r>
            <w:r>
              <w:rPr>
                <w:vanish/>
                <w:color w:val="FFFFFF"/>
                <w:szCs w:val="18"/>
              </w:rPr>
              <w:fldChar w:fldCharType="begin"/>
            </w:r>
            <w:r>
              <w:rPr>
                <w:vanish/>
                <w:color w:val="FFFFFF"/>
                <w:szCs w:val="18"/>
              </w:rPr>
              <w:instrText xml:space="preserve"> LISTNUM \l 1 \s 0 </w:instrText>
            </w:r>
            <w:r>
              <w:rPr>
                <w:vanish/>
                <w:color w:val="FFFFFF"/>
                <w:szCs w:val="18"/>
              </w:rPr>
              <w:fldChar w:fldCharType="end">
                <w:numberingChange w:id="487" w:author="MUSZYNSKI, THOMAS D. (SIERRA 7 INC)" w:date="2024-11-26T07:15:00Z" w:original="0."/>
              </w:fldChar>
            </w:r>
          </w:p>
        </w:tc>
        <w:tc>
          <w:tcPr>
            <w:tcW w:w="6120" w:type="dxa"/>
          </w:tcPr>
          <w:p w14:paraId="0BA385BD" w14:textId="77777777" w:rsidR="002A21AE" w:rsidRDefault="002A21AE">
            <w:pPr>
              <w:pStyle w:val="TableTextBullet"/>
            </w:pPr>
            <w:r>
              <w:t>Acknowledges a new or updated patient order.</w:t>
            </w:r>
          </w:p>
          <w:p w14:paraId="1B4E6C6B" w14:textId="77777777" w:rsidR="002A21AE" w:rsidRDefault="002A21AE">
            <w:pPr>
              <w:pStyle w:val="TableTextBullet"/>
            </w:pPr>
            <w:r>
              <w:t xml:space="preserve">Displays </w:t>
            </w:r>
            <w:r w:rsidR="00922AD8">
              <w:t>an</w:t>
            </w:r>
            <w:r>
              <w:t xml:space="preserve"> order notification icon in the status bar when new orders are received, according to local settings.</w:t>
            </w:r>
          </w:p>
          <w:p w14:paraId="2AA206A9" w14:textId="77777777" w:rsidR="002A21AE" w:rsidRDefault="002A21AE">
            <w:pPr>
              <w:pStyle w:val="TableTextBullet"/>
            </w:pPr>
            <w:r>
              <w:t>Displays information regarding new orders and order updates and allows the user to accept them.</w:t>
            </w:r>
          </w:p>
          <w:p w14:paraId="24E6474E" w14:textId="77777777" w:rsidR="002A21AE" w:rsidRDefault="002A21AE">
            <w:pPr>
              <w:pStyle w:val="TableText"/>
            </w:pPr>
          </w:p>
          <w:p w14:paraId="314A40DF" w14:textId="37FB0E95" w:rsidR="002A21AE" w:rsidRDefault="002A21AE">
            <w:pPr>
              <w:pStyle w:val="TableText"/>
              <w:rPr>
                <w:b/>
                <w:bCs/>
                <w:szCs w:val="18"/>
              </w:rPr>
            </w:pPr>
            <w:r>
              <w:rPr>
                <w:b/>
                <w:bCs/>
                <w:szCs w:val="18"/>
              </w:rPr>
              <w:t>NOTES</w:t>
            </w:r>
          </w:p>
          <w:p w14:paraId="08A77412" w14:textId="77777777" w:rsidR="002A21AE" w:rsidRDefault="002A21AE">
            <w:pPr>
              <w:pStyle w:val="NotesText"/>
            </w:pPr>
          </w:p>
          <w:p w14:paraId="1B1C8DD7" w14:textId="77777777" w:rsidR="002A21AE" w:rsidRDefault="002A21AE">
            <w:pPr>
              <w:pStyle w:val="NotesText"/>
            </w:pPr>
            <w:r>
              <w:rPr>
                <w:rFonts w:cs="Arial"/>
                <w:vanish/>
                <w:szCs w:val="18"/>
              </w:rPr>
              <w:t>BR_84.01</w:t>
            </w:r>
            <w:r w:rsidR="00CE3961">
              <w:rPr>
                <w:rFonts w:cs="Arial"/>
                <w:vanish/>
                <w:szCs w:val="18"/>
              </w:rPr>
              <w:t>,</w:t>
            </w:r>
            <w:r>
              <w:rPr>
                <w:rFonts w:cs="Arial"/>
                <w:vanish/>
                <w:szCs w:val="18"/>
              </w:rPr>
              <w:t xml:space="preserve"> </w:t>
            </w:r>
            <w:r>
              <w:rPr>
                <w:vanish/>
                <w:szCs w:val="18"/>
              </w:rPr>
              <w:t xml:space="preserve">BR_84.02 </w:t>
            </w:r>
            <w:r>
              <w:t>When the division is configured to alert the user of orders received by VBECS, VBECS notifies the user of ordered components or ordered tests that were:</w:t>
            </w:r>
          </w:p>
          <w:p w14:paraId="317A2688" w14:textId="77777777" w:rsidR="002A21AE" w:rsidRDefault="002A21AE">
            <w:pPr>
              <w:pStyle w:val="NotesTextBullet"/>
              <w:tabs>
                <w:tab w:val="clear" w:pos="1008"/>
                <w:tab w:val="num" w:pos="288"/>
              </w:tabs>
            </w:pPr>
            <w:r>
              <w:t>Directed to the user’s division.</w:t>
            </w:r>
          </w:p>
          <w:p w14:paraId="3624F670" w14:textId="77777777" w:rsidR="002A21AE" w:rsidRDefault="002A21AE">
            <w:pPr>
              <w:pStyle w:val="NotesTextBullet"/>
              <w:tabs>
                <w:tab w:val="clear" w:pos="1008"/>
                <w:tab w:val="num" w:pos="288"/>
              </w:tabs>
            </w:pPr>
            <w:r>
              <w:t xml:space="preserve">Added or updated in </w:t>
            </w:r>
            <w:r w:rsidR="00CA0045" w:rsidRPr="00CA0045">
              <w:rPr>
                <w:bCs/>
              </w:rPr>
              <w:t>VistA</w:t>
            </w:r>
            <w:r w:rsidR="001F3AD5">
              <w:rPr>
                <w:bCs/>
              </w:rPr>
              <w:t xml:space="preserve"> since the system last checked</w:t>
            </w:r>
            <w:r>
              <w:t>.</w:t>
            </w:r>
          </w:p>
          <w:p w14:paraId="430F0805" w14:textId="77777777" w:rsidR="002A21AE" w:rsidRDefault="002A21AE">
            <w:pPr>
              <w:pStyle w:val="NotesText"/>
            </w:pPr>
          </w:p>
          <w:p w14:paraId="32B37FC9" w14:textId="77777777" w:rsidR="002A21AE" w:rsidRDefault="002A21AE">
            <w:pPr>
              <w:pStyle w:val="NotesText"/>
            </w:pPr>
            <w:r>
              <w:t xml:space="preserve">When the division is configured to alert the user of orders needed in the next </w:t>
            </w:r>
            <w:r w:rsidR="00D923F9">
              <w:t>specified</w:t>
            </w:r>
            <w:r>
              <w:t xml:space="preserve"> number of hours, VBECS also notifies the user of ordered components or ordered tests with a required time less than a </w:t>
            </w:r>
            <w:r w:rsidR="00D923F9">
              <w:t xml:space="preserve">specified </w:t>
            </w:r>
            <w:r>
              <w:t>number of hours in the future.</w:t>
            </w:r>
          </w:p>
          <w:p w14:paraId="2B39FEF0" w14:textId="77777777" w:rsidR="00B46D6D" w:rsidRDefault="00B46D6D">
            <w:pPr>
              <w:pStyle w:val="NotesText"/>
            </w:pPr>
          </w:p>
          <w:p w14:paraId="6AF60A83" w14:textId="77777777" w:rsidR="00B46D6D" w:rsidRDefault="00B46D6D" w:rsidP="00B46D6D">
            <w:pPr>
              <w:pStyle w:val="TableText"/>
              <w:ind w:left="720"/>
            </w:pPr>
            <w:r w:rsidRPr="00B46D6D">
              <w:rPr>
                <w:vanish/>
              </w:rPr>
              <w:t>BR_84.04</w:t>
            </w:r>
            <w:r w:rsidR="00EA5FF4">
              <w:rPr>
                <w:vanish/>
              </w:rPr>
              <w:t xml:space="preserve"> </w:t>
            </w:r>
            <w:r>
              <w:t>The system displays the following information for each entry in the summary:</w:t>
            </w:r>
          </w:p>
          <w:p w14:paraId="7BFE2ECF" w14:textId="77777777" w:rsidR="00B46D6D" w:rsidRDefault="00B46D6D" w:rsidP="00925CAD">
            <w:pPr>
              <w:pStyle w:val="TableText"/>
              <w:numPr>
                <w:ilvl w:val="0"/>
                <w:numId w:val="52"/>
              </w:numPr>
              <w:ind w:left="1440"/>
            </w:pPr>
            <w:r>
              <w:t>Urgency</w:t>
            </w:r>
          </w:p>
          <w:p w14:paraId="6156B8B4" w14:textId="77777777" w:rsidR="00B46D6D" w:rsidRDefault="00B46D6D" w:rsidP="00925CAD">
            <w:pPr>
              <w:pStyle w:val="TableText"/>
              <w:numPr>
                <w:ilvl w:val="0"/>
                <w:numId w:val="52"/>
              </w:numPr>
              <w:ind w:left="1440"/>
            </w:pPr>
            <w:r>
              <w:t>Patient Name</w:t>
            </w:r>
          </w:p>
          <w:p w14:paraId="56F8B4D2" w14:textId="77777777" w:rsidR="00B46D6D" w:rsidRDefault="00B46D6D" w:rsidP="00925CAD">
            <w:pPr>
              <w:pStyle w:val="TableText"/>
              <w:numPr>
                <w:ilvl w:val="0"/>
                <w:numId w:val="52"/>
              </w:numPr>
              <w:ind w:left="1440"/>
            </w:pPr>
            <w:r>
              <w:t>Patient ID</w:t>
            </w:r>
          </w:p>
          <w:p w14:paraId="1E3DB78E" w14:textId="77777777" w:rsidR="00B46D6D" w:rsidRDefault="00B46D6D" w:rsidP="00925CAD">
            <w:pPr>
              <w:pStyle w:val="TableText"/>
              <w:numPr>
                <w:ilvl w:val="0"/>
                <w:numId w:val="52"/>
              </w:numPr>
              <w:ind w:left="1440"/>
            </w:pPr>
            <w:r>
              <w:t>Ordered Item</w:t>
            </w:r>
          </w:p>
          <w:p w14:paraId="40B77F34" w14:textId="77777777" w:rsidR="00B46D6D" w:rsidRDefault="00B46D6D" w:rsidP="00925CAD">
            <w:pPr>
              <w:pStyle w:val="TableText"/>
              <w:numPr>
                <w:ilvl w:val="0"/>
                <w:numId w:val="52"/>
              </w:numPr>
              <w:ind w:left="1440"/>
            </w:pPr>
            <w:r>
              <w:t>Wanted Date</w:t>
            </w:r>
          </w:p>
          <w:p w14:paraId="5A97C5B5" w14:textId="77777777" w:rsidR="00B46D6D" w:rsidRDefault="00B46D6D" w:rsidP="00925CAD">
            <w:pPr>
              <w:pStyle w:val="TableText"/>
              <w:numPr>
                <w:ilvl w:val="0"/>
                <w:numId w:val="52"/>
              </w:numPr>
              <w:ind w:left="1440"/>
            </w:pPr>
            <w:r>
              <w:t>Lab Order ID</w:t>
            </w:r>
          </w:p>
          <w:p w14:paraId="0B88861A" w14:textId="77777777" w:rsidR="00B46D6D" w:rsidRDefault="00B46D6D" w:rsidP="00925CAD">
            <w:pPr>
              <w:pStyle w:val="TableText"/>
              <w:numPr>
                <w:ilvl w:val="0"/>
                <w:numId w:val="52"/>
              </w:numPr>
              <w:ind w:left="1440"/>
            </w:pPr>
            <w:r>
              <w:t>CPRS Order ID</w:t>
            </w:r>
          </w:p>
          <w:p w14:paraId="0F8D42A7" w14:textId="77777777" w:rsidR="00B46D6D" w:rsidRDefault="00B46D6D" w:rsidP="00B46D6D">
            <w:pPr>
              <w:pStyle w:val="NotesText"/>
            </w:pPr>
          </w:p>
          <w:p w14:paraId="3942C4C7" w14:textId="77777777" w:rsidR="00B46D6D" w:rsidRDefault="00B46D6D" w:rsidP="00B46D6D">
            <w:pPr>
              <w:pStyle w:val="NotesText"/>
            </w:pPr>
            <w:r w:rsidRPr="00B46D6D">
              <w:rPr>
                <w:vanish/>
              </w:rPr>
              <w:t>BR_84.05</w:t>
            </w:r>
            <w:r w:rsidR="00EA5FF4">
              <w:rPr>
                <w:vanish/>
              </w:rPr>
              <w:t xml:space="preserve"> </w:t>
            </w:r>
            <w:r>
              <w:t>If the notification icon was already visible, the system appends new notification information to the summary. If it was not visible, the system displays only the new notification information in the summary.</w:t>
            </w:r>
          </w:p>
        </w:tc>
      </w:tr>
    </w:tbl>
    <w:p w14:paraId="6082CB31" w14:textId="77777777" w:rsidR="00A47414" w:rsidRDefault="00A47414" w:rsidP="0072673B">
      <w:pPr>
        <w:pStyle w:val="Heading3"/>
      </w:pPr>
    </w:p>
    <w:p w14:paraId="3E7C5C4A" w14:textId="77777777" w:rsidR="00A47414" w:rsidRDefault="00A47414">
      <w:pPr>
        <w:rPr>
          <w:rFonts w:ascii="Arial" w:hAnsi="Arial" w:cs="Arial"/>
          <w:b/>
          <w:bCs/>
          <w:sz w:val="26"/>
          <w:szCs w:val="26"/>
        </w:rPr>
      </w:pPr>
      <w:r>
        <w:br w:type="page"/>
      </w:r>
    </w:p>
    <w:p w14:paraId="6CDA990F" w14:textId="19312039" w:rsidR="00A47414" w:rsidRDefault="00A47414" w:rsidP="00A47414">
      <w:pPr>
        <w:pStyle w:val="Heading3"/>
      </w:pPr>
      <w:bookmarkStart w:id="488" w:name="_Toc203765909"/>
      <w:r w:rsidRPr="00A47414">
        <w:lastRenderedPageBreak/>
        <w:t>CPRS Order Status Alert</w:t>
      </w:r>
      <w:bookmarkEnd w:id="488"/>
      <w:r w:rsidRPr="00A47414">
        <w:fldChar w:fldCharType="begin"/>
      </w:r>
      <w:r w:rsidRPr="00A47414">
        <w:instrText xml:space="preserve"> XE “</w:instrText>
      </w:r>
      <w:r>
        <w:instrText>CPRS</w:instrText>
      </w:r>
      <w:r w:rsidRPr="00A47414">
        <w:instrText xml:space="preserve"> Order </w:instrText>
      </w:r>
      <w:r>
        <w:instrText xml:space="preserve">Status </w:instrText>
      </w:r>
      <w:r w:rsidRPr="00A47414">
        <w:instrText xml:space="preserve">Alert” </w:instrText>
      </w:r>
      <w:r w:rsidRPr="00A47414">
        <w:fldChar w:fldCharType="end"/>
      </w:r>
      <w:r w:rsidR="00CD5A0C">
        <w:t xml:space="preserve"> </w:t>
      </w:r>
      <w:r w:rsidR="00CD5A0C" w:rsidRPr="00CD5A0C">
        <w:rPr>
          <w:rFonts w:ascii="Arial Bold" w:hAnsi="Arial Bold"/>
          <w:vanish/>
        </w:rPr>
        <w:t>UC_84</w:t>
      </w:r>
    </w:p>
    <w:p w14:paraId="192EB795" w14:textId="2D871563" w:rsidR="00A47414" w:rsidRDefault="00A47414" w:rsidP="00A47414">
      <w:pPr>
        <w:pStyle w:val="BodyText"/>
      </w:pPr>
      <w:r>
        <w:t>An order’s status changes when it is a</w:t>
      </w:r>
      <w:r w:rsidRPr="0096379E">
        <w:t>ccepted, completed or cance</w:t>
      </w:r>
      <w:r w:rsidR="002F7E19">
        <w:t>l</w:t>
      </w:r>
      <w:r w:rsidRPr="0096379E">
        <w:t>led</w:t>
      </w:r>
      <w:r>
        <w:t xml:space="preserve">. </w:t>
      </w:r>
      <w:r w:rsidRPr="0096379E">
        <w:t xml:space="preserve">VBECS </w:t>
      </w:r>
      <w:r>
        <w:t xml:space="preserve">transmits these status changes to CPRS using a message queueing system so that CPRS reflects the same order status as VBECS. If the status transmission is successful, that message is removed from the queue, otherwise it stays for additional attempts. The </w:t>
      </w:r>
      <w:r w:rsidRPr="00796543">
        <w:rPr>
          <w:i/>
        </w:rPr>
        <w:t>CPRS Order Status Alert</w:t>
      </w:r>
      <w:r w:rsidRPr="00796543">
        <w:t xml:space="preserve"> (</w:t>
      </w:r>
      <w:r w:rsidR="00EE455E">
        <w:t xml:space="preserve">Figure </w:t>
      </w:r>
      <w:r w:rsidR="00EE455E">
        <w:rPr>
          <w:noProof/>
        </w:rPr>
        <w:t>87</w:t>
      </w:r>
      <w:r w:rsidRPr="00796543">
        <w:t>)</w:t>
      </w:r>
      <w:r>
        <w:t xml:space="preserve"> indicates the current transmission status by displaying one of the following icons:</w:t>
      </w:r>
    </w:p>
    <w:p w14:paraId="30458E98" w14:textId="77777777" w:rsidR="00A47414" w:rsidRDefault="00A47414" w:rsidP="00A47414">
      <w:pPr>
        <w:pStyle w:val="BodyText"/>
      </w:pPr>
      <w:r w:rsidRPr="00CE404D">
        <w:rPr>
          <w:b/>
          <w:noProof/>
        </w:rPr>
        <w:drawing>
          <wp:inline distT="0" distB="0" distL="0" distR="0" wp14:anchorId="1B5A36B3" wp14:editId="16F86638">
            <wp:extent cx="161925" cy="161925"/>
            <wp:effectExtent l="0" t="0" r="9525" b="9525"/>
            <wp:docPr id="22" name="Picture 3" descr="CPRS Communication Error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3" descr="CPRS Communication Error icon"/>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r w:rsidRPr="00CE404D">
        <w:rPr>
          <w:b/>
        </w:rPr>
        <w:t xml:space="preserve"> </w:t>
      </w:r>
      <w:r>
        <w:rPr>
          <w:b/>
        </w:rPr>
        <w:t>CPRS Communications Error</w:t>
      </w:r>
      <w:r w:rsidRPr="00C81B15">
        <w:t>.</w:t>
      </w:r>
      <w:r>
        <w:t xml:space="preserve"> Some orders in CPRS will not reflect the same status as VBECS. Contact Customer Support to have the issue investigated and resolved. Most problems can typically be resolved by restarting the VBECS-OERR HL7 link in VistA.</w:t>
      </w:r>
    </w:p>
    <w:p w14:paraId="777C3149" w14:textId="40B305D3" w:rsidR="00A47414" w:rsidRDefault="00A47414" w:rsidP="00A47414">
      <w:pPr>
        <w:pStyle w:val="BodyText"/>
      </w:pPr>
      <w:r w:rsidRPr="00CE404D">
        <w:rPr>
          <w:b/>
          <w:noProof/>
        </w:rPr>
        <w:drawing>
          <wp:inline distT="0" distB="0" distL="0" distR="0" wp14:anchorId="36066409" wp14:editId="0AF20113">
            <wp:extent cx="152400" cy="152400"/>
            <wp:effectExtent l="0" t="0" r="0" b="0"/>
            <wp:docPr id="34" name="Picture 34" descr="CPRS Communication Good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CPRS Communication Good icon"/>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CE404D">
        <w:rPr>
          <w:b/>
        </w:rPr>
        <w:t xml:space="preserve"> </w:t>
      </w:r>
      <w:r>
        <w:rPr>
          <w:b/>
        </w:rPr>
        <w:t>CPRS Communications Good</w:t>
      </w:r>
      <w:r w:rsidRPr="00CE404D">
        <w:t>.</w:t>
      </w:r>
      <w:r>
        <w:rPr>
          <w:b/>
        </w:rPr>
        <w:t xml:space="preserve"> </w:t>
      </w:r>
      <w:r w:rsidRPr="00CE404D">
        <w:t>All VBECS order</w:t>
      </w:r>
      <w:r>
        <w:t xml:space="preserve"> status message</w:t>
      </w:r>
      <w:r w:rsidR="00C96CC3">
        <w:t>s</w:t>
      </w:r>
      <w:r>
        <w:t xml:space="preserve"> have been sent to CPRS.</w:t>
      </w:r>
    </w:p>
    <w:p w14:paraId="0F050126" w14:textId="4806F31D" w:rsidR="00A47414" w:rsidRDefault="00A47414" w:rsidP="00A47414">
      <w:pPr>
        <w:pStyle w:val="Caption"/>
      </w:pPr>
      <w:bookmarkStart w:id="489" w:name="_Ref18050663"/>
      <w:r>
        <w:t xml:space="preserve">Figure </w:t>
      </w:r>
      <w:r>
        <w:rPr>
          <w:noProof/>
        </w:rPr>
        <w:fldChar w:fldCharType="begin"/>
      </w:r>
      <w:r>
        <w:rPr>
          <w:noProof/>
        </w:rPr>
        <w:instrText xml:space="preserve"> SEQ Figure \* ARABIC </w:instrText>
      </w:r>
      <w:r>
        <w:rPr>
          <w:noProof/>
        </w:rPr>
        <w:fldChar w:fldCharType="separate"/>
      </w:r>
      <w:r w:rsidR="007D1829">
        <w:rPr>
          <w:noProof/>
        </w:rPr>
        <w:t>88</w:t>
      </w:r>
      <w:r>
        <w:rPr>
          <w:noProof/>
        </w:rPr>
        <w:fldChar w:fldCharType="end"/>
      </w:r>
      <w:bookmarkEnd w:id="489"/>
      <w:r>
        <w:t>: Example of the CPRS Order Status Alert</w:t>
      </w:r>
    </w:p>
    <w:p w14:paraId="4E09C73A" w14:textId="77777777" w:rsidR="00A47414" w:rsidRDefault="00A47414" w:rsidP="00A47414">
      <w:pPr>
        <w:pStyle w:val="BodyText"/>
      </w:pPr>
      <w:r>
        <w:rPr>
          <w:noProof/>
        </w:rPr>
        <w:drawing>
          <wp:inline distT="0" distB="0" distL="0" distR="0" wp14:anchorId="45993D67" wp14:editId="733FC2EA">
            <wp:extent cx="5943600" cy="1752600"/>
            <wp:effectExtent l="0" t="0" r="0" b="0"/>
            <wp:docPr id="36" name="Picture 36" descr="Example of CPRS Order Status Alert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descr="Example of CPRS Order Status Alert screen capture"/>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5943600" cy="1752600"/>
                    </a:xfrm>
                    <a:prstGeom prst="rect">
                      <a:avLst/>
                    </a:prstGeom>
                    <a:noFill/>
                    <a:ln>
                      <a:noFill/>
                    </a:ln>
                  </pic:spPr>
                </pic:pic>
              </a:graphicData>
            </a:graphic>
          </wp:inline>
        </w:drawing>
      </w:r>
    </w:p>
    <w:p w14:paraId="19CC8C31" w14:textId="77777777" w:rsidR="00A47414" w:rsidRDefault="00A47414" w:rsidP="00A47414">
      <w:pPr>
        <w:pStyle w:val="Heading4"/>
      </w:pPr>
      <w:r>
        <w:t xml:space="preserve">Additional Information </w:t>
      </w:r>
    </w:p>
    <w:p w14:paraId="572AF463" w14:textId="77777777" w:rsidR="00A47414" w:rsidRPr="00341658" w:rsidRDefault="00A47414" w:rsidP="00A47414">
      <w:pPr>
        <w:pStyle w:val="ListBullet"/>
      </w:pPr>
      <w:r>
        <w:rPr>
          <w:rFonts w:ascii="Arial" w:hAnsi="Arial" w:cs="Arial"/>
          <w:vanish/>
          <w:spacing w:val="0"/>
          <w:sz w:val="18"/>
        </w:rPr>
        <w:t xml:space="preserve">BR_84.12 </w:t>
      </w:r>
      <w:r w:rsidRPr="00341658">
        <w:rPr>
          <w:spacing w:val="0"/>
        </w:rPr>
        <w:t xml:space="preserve">The </w:t>
      </w:r>
      <w:r w:rsidRPr="00796543">
        <w:rPr>
          <w:i/>
          <w:spacing w:val="0"/>
        </w:rPr>
        <w:t>CPRS Order Status Alert</w:t>
      </w:r>
      <w:r w:rsidRPr="00341658">
        <w:rPr>
          <w:spacing w:val="0"/>
        </w:rPr>
        <w:t xml:space="preserve"> checks for pending transmission messages when VBECS is started and </w:t>
      </w:r>
      <w:r>
        <w:rPr>
          <w:spacing w:val="0"/>
        </w:rPr>
        <w:t>will then refresh/recheck e</w:t>
      </w:r>
      <w:r w:rsidRPr="00341658">
        <w:rPr>
          <w:spacing w:val="0"/>
        </w:rPr>
        <w:t xml:space="preserve">very 10 minutes. The </w:t>
      </w:r>
      <w:r>
        <w:rPr>
          <w:spacing w:val="0"/>
        </w:rPr>
        <w:t xml:space="preserve">10-minute </w:t>
      </w:r>
      <w:r w:rsidRPr="00341658">
        <w:rPr>
          <w:spacing w:val="0"/>
        </w:rPr>
        <w:t>refresh interval is not configurable.</w:t>
      </w:r>
    </w:p>
    <w:p w14:paraId="25EE69D6" w14:textId="77777777" w:rsidR="00A47414" w:rsidRPr="00341658" w:rsidRDefault="00A47414" w:rsidP="00A47414">
      <w:pPr>
        <w:pStyle w:val="ListBullet"/>
      </w:pPr>
      <w:r>
        <w:t xml:space="preserve">Hovering over the alert icon will display a tooltip indicating </w:t>
      </w:r>
      <w:r w:rsidRPr="00341658">
        <w:t xml:space="preserve">how many messages (if any) </w:t>
      </w:r>
      <w:r>
        <w:t>were pending at the time of the last refresh,</w:t>
      </w:r>
      <w:r w:rsidRPr="00341658">
        <w:t xml:space="preserve"> as well as the </w:t>
      </w:r>
      <w:r>
        <w:t>time of the n</w:t>
      </w:r>
      <w:r w:rsidRPr="00341658">
        <w:t xml:space="preserve">ext </w:t>
      </w:r>
      <w:r>
        <w:t>refresh.</w:t>
      </w:r>
    </w:p>
    <w:p w14:paraId="465EF17C" w14:textId="77777777" w:rsidR="00A47414" w:rsidRPr="00341658" w:rsidRDefault="00A47414" w:rsidP="00A47414">
      <w:pPr>
        <w:pStyle w:val="ListBullet"/>
      </w:pPr>
      <w:r w:rsidRPr="00341658">
        <w:rPr>
          <w:vanish/>
          <w:spacing w:val="0"/>
        </w:rPr>
        <w:t>HoHover</w:t>
      </w:r>
      <w:r w:rsidRPr="00341658">
        <w:t>Order status messages are processed by the following service</w:t>
      </w:r>
      <w:r>
        <w:t>s:</w:t>
      </w:r>
    </w:p>
    <w:p w14:paraId="43630B79" w14:textId="77777777" w:rsidR="00A47414" w:rsidRPr="00341658" w:rsidRDefault="00A47414" w:rsidP="00A47414">
      <w:pPr>
        <w:pStyle w:val="ListBullet"/>
        <w:numPr>
          <w:ilvl w:val="1"/>
          <w:numId w:val="15"/>
        </w:numPr>
      </w:pPr>
      <w:r w:rsidRPr="00341658">
        <w:rPr>
          <w:vanish/>
          <w:spacing w:val="0"/>
        </w:rPr>
        <w:t>Se</w:t>
      </w:r>
      <w:r w:rsidRPr="00341658">
        <w:rPr>
          <w:b/>
          <w:spacing w:val="0"/>
        </w:rPr>
        <w:t>Sender</w:t>
      </w:r>
      <w:r w:rsidRPr="00341658">
        <w:rPr>
          <w:spacing w:val="0"/>
        </w:rPr>
        <w:t>: CPRS HL7 OERR (VBECS Interface</w:t>
      </w:r>
      <w:r>
        <w:rPr>
          <w:spacing w:val="0"/>
        </w:rPr>
        <w:t xml:space="preserve"> / Windows Service</w:t>
      </w:r>
      <w:r w:rsidRPr="00341658">
        <w:rPr>
          <w:spacing w:val="0"/>
        </w:rPr>
        <w:t>)</w:t>
      </w:r>
    </w:p>
    <w:p w14:paraId="49BBEA3D" w14:textId="77777777" w:rsidR="00A47414" w:rsidRDefault="00A47414" w:rsidP="00A47414">
      <w:pPr>
        <w:pStyle w:val="ListBullet"/>
        <w:numPr>
          <w:ilvl w:val="1"/>
          <w:numId w:val="15"/>
        </w:numPr>
      </w:pPr>
      <w:r w:rsidRPr="00341658">
        <w:rPr>
          <w:b/>
        </w:rPr>
        <w:t>Listener</w:t>
      </w:r>
      <w:r w:rsidRPr="00341658">
        <w:t>: VBECS-OERR (VistA HL7 Logical Link)</w:t>
      </w:r>
    </w:p>
    <w:p w14:paraId="4915F25D" w14:textId="77777777" w:rsidR="00A47414" w:rsidRPr="00341658" w:rsidRDefault="00A47414" w:rsidP="00A47414">
      <w:pPr>
        <w:pStyle w:val="ListBullet"/>
        <w:numPr>
          <w:ilvl w:val="0"/>
          <w:numId w:val="0"/>
        </w:numPr>
        <w:ind w:left="648" w:hanging="360"/>
      </w:pPr>
      <w:r>
        <w:t xml:space="preserve">Refer to the </w:t>
      </w:r>
      <w:r w:rsidRPr="00CE404D">
        <w:rPr>
          <w:i/>
        </w:rPr>
        <w:t>VBECS Administrator User Guide</w:t>
      </w:r>
      <w:r>
        <w:t xml:space="preserve"> for additional information on VBECS interfaces.</w:t>
      </w:r>
    </w:p>
    <w:p w14:paraId="69FFA935" w14:textId="77777777" w:rsidR="00A47414" w:rsidRDefault="00A47414" w:rsidP="00A47414">
      <w:pPr>
        <w:pStyle w:val="Heading4"/>
        <w:rPr>
          <w:b w:val="0"/>
        </w:rPr>
      </w:pPr>
      <w:r>
        <w:t>User Roles with Access to This Option</w:t>
      </w:r>
      <w:r>
        <w:rPr>
          <w:b w:val="0"/>
        </w:rPr>
        <w:t xml:space="preserve"> </w:t>
      </w:r>
    </w:p>
    <w:p w14:paraId="100B44C7" w14:textId="77777777" w:rsidR="00A47414" w:rsidRDefault="00A47414" w:rsidP="00A47414">
      <w:pPr>
        <w:pStyle w:val="Roles"/>
        <w:rPr>
          <w:snapToGrid w:val="0"/>
        </w:rPr>
      </w:pPr>
      <w:r>
        <w:t>All users</w:t>
      </w:r>
    </w:p>
    <w:p w14:paraId="4BDE22A7" w14:textId="14B9FF1B" w:rsidR="002A21AE" w:rsidRDefault="0072673B" w:rsidP="0072673B">
      <w:pPr>
        <w:pStyle w:val="Heading3"/>
      </w:pPr>
      <w:r>
        <w:br w:type="page"/>
      </w:r>
      <w:bookmarkStart w:id="490" w:name="_Toc203765910"/>
      <w:r w:rsidR="00057948">
        <w:rPr>
          <w:noProof/>
        </w:rPr>
        <w:lastRenderedPageBreak/>
        <w:drawing>
          <wp:inline distT="0" distB="0" distL="0" distR="0" wp14:anchorId="48474372" wp14:editId="2E536154">
            <wp:extent cx="166370" cy="156845"/>
            <wp:effectExtent l="0" t="0" r="5080" b="0"/>
            <wp:docPr id="216" name="Picture 216" descr="Patient Alert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Picture 216" descr="Patient Alert icon"/>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66370" cy="156845"/>
                    </a:xfrm>
                    <a:prstGeom prst="rect">
                      <a:avLst/>
                    </a:prstGeom>
                    <a:noFill/>
                    <a:ln>
                      <a:noFill/>
                    </a:ln>
                  </pic:spPr>
                </pic:pic>
              </a:graphicData>
            </a:graphic>
          </wp:inline>
        </w:drawing>
      </w:r>
      <w:r w:rsidR="002A21AE">
        <w:t xml:space="preserve"> Display Patient Update Alerts</w:t>
      </w:r>
      <w:bookmarkEnd w:id="490"/>
      <w:r w:rsidR="002A21AE">
        <w:fldChar w:fldCharType="begin"/>
      </w:r>
      <w:r w:rsidR="002A21AE">
        <w:instrText xml:space="preserve"> XE </w:instrText>
      </w:r>
      <w:r w:rsidR="00FA7E65">
        <w:instrText>“</w:instrText>
      </w:r>
      <w:r w:rsidR="002A21AE">
        <w:instrText>Display Patient Update Alerts</w:instrText>
      </w:r>
      <w:r w:rsidR="00FA7E65">
        <w:instrText>”</w:instrText>
      </w:r>
      <w:r w:rsidR="002A21AE">
        <w:instrText xml:space="preserve"> </w:instrText>
      </w:r>
      <w:r w:rsidR="002A21AE">
        <w:fldChar w:fldCharType="end"/>
      </w:r>
      <w:r w:rsidR="002A21AE">
        <w:t xml:space="preserve"> </w:t>
      </w:r>
      <w:r w:rsidR="002A21AE">
        <w:rPr>
          <w:vanish/>
          <w:sz w:val="22"/>
        </w:rPr>
        <w:t>UC_84</w:t>
      </w:r>
    </w:p>
    <w:p w14:paraId="23E43557" w14:textId="77777777" w:rsidR="002A21AE" w:rsidRDefault="002A21AE" w:rsidP="00FA7E65">
      <w:pPr>
        <w:pStyle w:val="BodyText"/>
      </w:pPr>
      <w:r>
        <w:t xml:space="preserve">VBECS notifies the user of patient update, death, and merge events. </w:t>
      </w:r>
    </w:p>
    <w:p w14:paraId="04DF07D3" w14:textId="77777777" w:rsidR="002A21AE" w:rsidRDefault="002A21AE">
      <w:pPr>
        <w:pStyle w:val="Heading4"/>
      </w:pPr>
      <w:r>
        <w:t>Assumptions</w:t>
      </w:r>
      <w:r>
        <w:rPr>
          <w:b w:val="0"/>
        </w:rPr>
        <w:t xml:space="preserve"> </w:t>
      </w:r>
    </w:p>
    <w:p w14:paraId="7B3BEC7C" w14:textId="77777777" w:rsidR="002A21AE" w:rsidRDefault="002A21AE">
      <w:pPr>
        <w:pStyle w:val="ListBullet"/>
      </w:pPr>
      <w:r>
        <w:t xml:space="preserve">A patient demographic update is received from </w:t>
      </w:r>
      <w:r w:rsidR="00CA0045" w:rsidRPr="00CA0045">
        <w:rPr>
          <w:bCs/>
        </w:rPr>
        <w:t>VistA</w:t>
      </w:r>
      <w:r>
        <w:t xml:space="preserve"> for the user’s division for a VBECS patient with an active order.</w:t>
      </w:r>
    </w:p>
    <w:p w14:paraId="44EC5226" w14:textId="77777777" w:rsidR="002A21AE" w:rsidRDefault="002A21AE">
      <w:pPr>
        <w:pStyle w:val="Heading4"/>
      </w:pPr>
      <w:r>
        <w:t xml:space="preserve">Outcome </w:t>
      </w:r>
    </w:p>
    <w:p w14:paraId="39185472" w14:textId="77777777" w:rsidR="002A21AE" w:rsidRDefault="002A21AE">
      <w:pPr>
        <w:pStyle w:val="ListBullet"/>
      </w:pPr>
      <w:r>
        <w:t>The patient demographics are updated in VBECS.</w:t>
      </w:r>
    </w:p>
    <w:p w14:paraId="756C6EAE" w14:textId="77777777" w:rsidR="002A21AE" w:rsidRDefault="002A21AE">
      <w:pPr>
        <w:pStyle w:val="Heading4"/>
        <w:rPr>
          <w:b w:val="0"/>
        </w:rPr>
      </w:pPr>
      <w:r>
        <w:t>Limitations and Restrictions</w:t>
      </w:r>
      <w:r>
        <w:rPr>
          <w:b w:val="0"/>
        </w:rPr>
        <w:t xml:space="preserve"> </w:t>
      </w:r>
    </w:p>
    <w:p w14:paraId="5BDEFE2C" w14:textId="77777777" w:rsidR="00425BC3" w:rsidRDefault="00425BC3" w:rsidP="00425BC3">
      <w:pPr>
        <w:pStyle w:val="ListBullet"/>
      </w:pPr>
      <w:r>
        <w:t xml:space="preserve">VBECS does not notify users of additional VistA patient updates or merges while the icon is displayed. </w:t>
      </w:r>
      <w:r>
        <w:rPr>
          <w:rFonts w:cs="Arial"/>
          <w:vanish/>
        </w:rPr>
        <w:t xml:space="preserve">DR 2,525 </w:t>
      </w:r>
      <w:r>
        <w:t xml:space="preserve">When a user views an update and there is an unprocessed VistA patient merge, the Patient Alert icon remains on the screen until the Traditional Supervisor updates the patient records and clears the icon. </w:t>
      </w:r>
    </w:p>
    <w:p w14:paraId="14C9CCA8" w14:textId="77777777" w:rsidR="00562E66" w:rsidRDefault="00562E66" w:rsidP="00562E66">
      <w:pPr>
        <w:pStyle w:val="ListBullet"/>
      </w:pPr>
      <w:r>
        <w:t>Patient updates involving</w:t>
      </w:r>
      <w:r w:rsidRPr="00DD022C">
        <w:t xml:space="preserve"> patient’s with names that exceed the database standard for File #2 (30 characters) or do not have a first or last name in VistA are rejected and do not appear in VBECS. The VBECS System Administrator is notified of each rejection via an email to the address entered in VBECS Administrator “</w:t>
      </w:r>
      <w:r w:rsidR="00276DAA">
        <w:t>Email Alerts</w:t>
      </w:r>
      <w:r w:rsidRPr="00DD022C">
        <w:t>” field.</w:t>
      </w:r>
    </w:p>
    <w:p w14:paraId="1CBD0760" w14:textId="77777777" w:rsidR="001C13FD" w:rsidRPr="003A360F" w:rsidRDefault="001C13FD" w:rsidP="00562E66">
      <w:pPr>
        <w:pStyle w:val="ListBullet"/>
      </w:pPr>
      <w:r w:rsidRPr="003A360F">
        <w:t xml:space="preserve">Patient update alerts only display when </w:t>
      </w:r>
      <w:r w:rsidR="001F1E91">
        <w:t xml:space="preserve">active </w:t>
      </w:r>
      <w:r w:rsidRPr="003A360F">
        <w:t xml:space="preserve">component </w:t>
      </w:r>
      <w:r w:rsidR="001F1E91">
        <w:t xml:space="preserve">or diagnostic test </w:t>
      </w:r>
      <w:r w:rsidRPr="003A360F">
        <w:t xml:space="preserve">orders are </w:t>
      </w:r>
      <w:r w:rsidR="00802EE9">
        <w:t xml:space="preserve">pending or </w:t>
      </w:r>
      <w:r w:rsidRPr="003A360F">
        <w:t>active</w:t>
      </w:r>
      <w:r w:rsidR="00F60A24">
        <w:rPr>
          <w:rStyle w:val="FootnoteReference"/>
        </w:rPr>
        <w:footnoteReference w:id="4"/>
      </w:r>
      <w:r w:rsidRPr="003A360F">
        <w:t xml:space="preserve"> at the time the update occurs.</w:t>
      </w:r>
      <w:r w:rsidR="00F15743" w:rsidRPr="003A360F">
        <w:t xml:space="preserve"> </w:t>
      </w:r>
      <w:r w:rsidR="00F15743" w:rsidRPr="003A360F">
        <w:rPr>
          <w:vanish/>
        </w:rPr>
        <w:t>DR 4323</w:t>
      </w:r>
      <w:r w:rsidR="001F1E91">
        <w:rPr>
          <w:vanish/>
        </w:rPr>
        <w:t xml:space="preserve"> BR_68.02</w:t>
      </w:r>
    </w:p>
    <w:p w14:paraId="1AD0A626" w14:textId="77777777" w:rsidR="002A21AE" w:rsidRDefault="002A21AE">
      <w:pPr>
        <w:pStyle w:val="Heading4"/>
      </w:pPr>
      <w:r>
        <w:t xml:space="preserve">Additional Information </w:t>
      </w:r>
    </w:p>
    <w:p w14:paraId="5182C317" w14:textId="77777777" w:rsidR="002A21AE" w:rsidRDefault="002A21AE">
      <w:pPr>
        <w:pStyle w:val="ListBullet"/>
      </w:pPr>
      <w:r>
        <w:t>None</w:t>
      </w:r>
    </w:p>
    <w:p w14:paraId="2083278B" w14:textId="77777777" w:rsidR="002A21AE" w:rsidRDefault="002A21AE">
      <w:pPr>
        <w:pStyle w:val="Heading4"/>
        <w:rPr>
          <w:b w:val="0"/>
        </w:rPr>
      </w:pPr>
      <w:r>
        <w:t>User Roles with Access to This Option</w:t>
      </w:r>
      <w:r>
        <w:rPr>
          <w:b w:val="0"/>
        </w:rPr>
        <w:t xml:space="preserve"> </w:t>
      </w:r>
    </w:p>
    <w:p w14:paraId="6290BF55" w14:textId="77777777" w:rsidR="002A21AE" w:rsidRDefault="00DF031C">
      <w:pPr>
        <w:pStyle w:val="Roles"/>
        <w:rPr>
          <w:snapToGrid w:val="0"/>
        </w:rPr>
      </w:pPr>
      <w:r>
        <w:t>All users</w:t>
      </w:r>
    </w:p>
    <w:p w14:paraId="660916CA" w14:textId="3AC294DF" w:rsidR="002A21AE" w:rsidRDefault="002A21AE">
      <w:pPr>
        <w:pStyle w:val="Heading4"/>
      </w:pPr>
      <w:r>
        <w:t>Display Patient Update Alerts</w:t>
      </w:r>
    </w:p>
    <w:p w14:paraId="05BC2757" w14:textId="77777777" w:rsidR="002A21AE" w:rsidRDefault="002A21AE" w:rsidP="00FA7E65">
      <w:pPr>
        <w:pStyle w:val="BodyText"/>
      </w:pPr>
      <w:r>
        <w:t xml:space="preserve">VBECS notifies the user that patient updates occurred and allows him to view additional details. </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68E7A116" w14:textId="77777777">
        <w:trPr>
          <w:cantSplit/>
          <w:tblHeader/>
        </w:trPr>
        <w:tc>
          <w:tcPr>
            <w:tcW w:w="3240" w:type="dxa"/>
            <w:shd w:val="pct30" w:color="auto" w:fill="FFFFFF"/>
            <w:vAlign w:val="bottom"/>
          </w:tcPr>
          <w:p w14:paraId="1E3DF3EC" w14:textId="77777777" w:rsidR="002A21AE" w:rsidRDefault="002A21AE">
            <w:pPr>
              <w:pStyle w:val="TableText"/>
              <w:rPr>
                <w:b/>
              </w:rPr>
            </w:pPr>
            <w:r>
              <w:rPr>
                <w:b/>
              </w:rPr>
              <w:t>User Action</w:t>
            </w:r>
          </w:p>
        </w:tc>
        <w:tc>
          <w:tcPr>
            <w:tcW w:w="6120" w:type="dxa"/>
            <w:shd w:val="pct30" w:color="auto" w:fill="FFFFFF"/>
            <w:vAlign w:val="bottom"/>
          </w:tcPr>
          <w:p w14:paraId="49C36ADE" w14:textId="77777777" w:rsidR="002A21AE" w:rsidRDefault="002A21AE">
            <w:pPr>
              <w:pStyle w:val="TableText"/>
              <w:rPr>
                <w:b/>
              </w:rPr>
            </w:pPr>
            <w:r>
              <w:rPr>
                <w:b/>
              </w:rPr>
              <w:t>VBECS</w:t>
            </w:r>
          </w:p>
        </w:tc>
      </w:tr>
      <w:tr w:rsidR="002A21AE" w14:paraId="572FD4A9" w14:textId="77777777">
        <w:trPr>
          <w:trHeight w:val="403"/>
        </w:trPr>
        <w:tc>
          <w:tcPr>
            <w:tcW w:w="3240" w:type="dxa"/>
          </w:tcPr>
          <w:p w14:paraId="191BAC0D" w14:textId="77777777" w:rsidR="002A21AE" w:rsidRDefault="002A21AE">
            <w:pPr>
              <w:pStyle w:val="TableTextNumbers"/>
            </w:pPr>
            <w:r>
              <w:t xml:space="preserve">Hold the mouse over the </w:t>
            </w:r>
            <w:r w:rsidR="00D57F25">
              <w:t>Patient Alert icon</w:t>
            </w:r>
            <w:r>
              <w:t xml:space="preserve"> to view a tool tip, or </w:t>
            </w:r>
          </w:p>
          <w:p w14:paraId="55A42725" w14:textId="77777777" w:rsidR="002A21AE" w:rsidRDefault="002A21AE">
            <w:pPr>
              <w:pStyle w:val="TableTextNumbersContinued"/>
            </w:pPr>
          </w:p>
          <w:p w14:paraId="157E87AB" w14:textId="77777777" w:rsidR="002A21AE" w:rsidRDefault="002A21AE">
            <w:pPr>
              <w:pStyle w:val="TableTextNumbersContinued"/>
            </w:pPr>
            <w:r>
              <w:rPr>
                <w:rFonts w:cs="Arial"/>
                <w:vanish/>
              </w:rPr>
              <w:t xml:space="preserve">BR_84.08 </w:t>
            </w:r>
            <w:r>
              <w:t xml:space="preserve">Click </w:t>
            </w:r>
            <w:r w:rsidR="00057948">
              <w:rPr>
                <w:noProof/>
              </w:rPr>
              <w:drawing>
                <wp:inline distT="0" distB="0" distL="0" distR="0" wp14:anchorId="40EEF0DF" wp14:editId="079367A8">
                  <wp:extent cx="166370" cy="156845"/>
                  <wp:effectExtent l="0" t="0" r="5080" b="0"/>
                  <wp:docPr id="217" name="Picture 217" descr="Patient Alert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Picture 217" descr="Patient Alert icon"/>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66370" cy="156845"/>
                          </a:xfrm>
                          <a:prstGeom prst="rect">
                            <a:avLst/>
                          </a:prstGeom>
                          <a:noFill/>
                          <a:ln>
                            <a:noFill/>
                          </a:ln>
                        </pic:spPr>
                      </pic:pic>
                    </a:graphicData>
                  </a:graphic>
                </wp:inline>
              </w:drawing>
            </w:r>
            <w:r>
              <w:t xml:space="preserve"> to view a menu and select </w:t>
            </w:r>
            <w:r>
              <w:rPr>
                <w:b/>
              </w:rPr>
              <w:t>Updated Patients</w:t>
            </w:r>
            <w:r>
              <w:t xml:space="preserve">, </w:t>
            </w:r>
            <w:r>
              <w:rPr>
                <w:b/>
              </w:rPr>
              <w:t>Deceased Patients</w:t>
            </w:r>
            <w:r>
              <w:t xml:space="preserve">, or </w:t>
            </w:r>
            <w:r>
              <w:rPr>
                <w:b/>
              </w:rPr>
              <w:t xml:space="preserve">Patient Merge </w:t>
            </w:r>
            <w:r>
              <w:t xml:space="preserve">to view the updates. </w:t>
            </w:r>
          </w:p>
          <w:p w14:paraId="32275AB4" w14:textId="77777777" w:rsidR="002A21AE" w:rsidRDefault="002A21AE">
            <w:pPr>
              <w:pStyle w:val="TableTextNumbersContinued"/>
            </w:pPr>
          </w:p>
          <w:p w14:paraId="2ACF6BFB" w14:textId="77777777" w:rsidR="002A21AE" w:rsidRDefault="002A21AE">
            <w:pPr>
              <w:pStyle w:val="TableTextNumbersContinued"/>
            </w:pPr>
            <w:r>
              <w:t xml:space="preserve">Click </w:t>
            </w:r>
            <w:r w:rsidR="00057948">
              <w:rPr>
                <w:noProof/>
              </w:rPr>
              <w:drawing>
                <wp:inline distT="0" distB="0" distL="0" distR="0" wp14:anchorId="4A073614" wp14:editId="35906FE9">
                  <wp:extent cx="166370" cy="156845"/>
                  <wp:effectExtent l="0" t="0" r="5080" b="0"/>
                  <wp:docPr id="218" name="Picture 218" descr="Patient Alert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Picture 218" descr="Patient Alert icon"/>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66370" cy="156845"/>
                          </a:xfrm>
                          <a:prstGeom prst="rect">
                            <a:avLst/>
                          </a:prstGeom>
                          <a:noFill/>
                          <a:ln>
                            <a:noFill/>
                          </a:ln>
                        </pic:spPr>
                      </pic:pic>
                    </a:graphicData>
                  </a:graphic>
                </wp:inline>
              </w:drawing>
            </w:r>
            <w:r>
              <w:t xml:space="preserve"> again to hide the menu. </w:t>
            </w:r>
            <w:r>
              <w:rPr>
                <w:vanish/>
                <w:color w:val="FFFFFF"/>
                <w:szCs w:val="18"/>
              </w:rPr>
              <w:fldChar w:fldCharType="begin"/>
            </w:r>
            <w:r>
              <w:rPr>
                <w:vanish/>
                <w:color w:val="FFFFFF"/>
                <w:szCs w:val="18"/>
              </w:rPr>
              <w:instrText xml:space="preserve"> LISTNUM \l 1 \s 0 </w:instrText>
            </w:r>
            <w:r>
              <w:rPr>
                <w:vanish/>
                <w:color w:val="FFFFFF"/>
                <w:szCs w:val="18"/>
              </w:rPr>
              <w:fldChar w:fldCharType="end">
                <w:numberingChange w:id="491" w:author="MUSZYNSKI, THOMAS D. (SIERRA 7 INC)" w:date="2024-11-26T07:15:00Z" w:original="0."/>
              </w:fldChar>
            </w:r>
          </w:p>
        </w:tc>
        <w:tc>
          <w:tcPr>
            <w:tcW w:w="6120" w:type="dxa"/>
          </w:tcPr>
          <w:p w14:paraId="726E45AF" w14:textId="77777777" w:rsidR="002A21AE" w:rsidRDefault="002A21AE">
            <w:pPr>
              <w:pStyle w:val="TableTextBullet"/>
            </w:pPr>
            <w:r>
              <w:rPr>
                <w:rFonts w:cs="Arial"/>
                <w:vanish/>
              </w:rPr>
              <w:t xml:space="preserve">BR_84.06 </w:t>
            </w:r>
            <w:r>
              <w:t xml:space="preserve">Displays a </w:t>
            </w:r>
            <w:r w:rsidR="00D57F25">
              <w:t>Patient Alert icon</w:t>
            </w:r>
            <w:r>
              <w:t xml:space="preserve"> in the status bar when it receives a patient update</w:t>
            </w:r>
            <w:r w:rsidR="008D6720">
              <w:t xml:space="preserve"> or </w:t>
            </w:r>
            <w:r>
              <w:t>death</w:t>
            </w:r>
            <w:r w:rsidR="008D6720">
              <w:t xml:space="preserve"> event message</w:t>
            </w:r>
            <w:r>
              <w:rPr>
                <w:b/>
                <w:bCs/>
              </w:rPr>
              <w:t xml:space="preserve"> </w:t>
            </w:r>
            <w:r>
              <w:t>and the patient has active or pending orders in the user’s VBECS division.</w:t>
            </w:r>
          </w:p>
          <w:p w14:paraId="0B74520C" w14:textId="77777777" w:rsidR="008B7F48" w:rsidRPr="00B46D6D" w:rsidRDefault="008B7F48">
            <w:pPr>
              <w:pStyle w:val="TableTextBullet"/>
            </w:pPr>
            <w:r>
              <w:rPr>
                <w:rFonts w:cs="Arial"/>
              </w:rPr>
              <w:t xml:space="preserve">Displays a </w:t>
            </w:r>
            <w:r w:rsidR="00D57F25">
              <w:rPr>
                <w:rFonts w:cs="Arial"/>
              </w:rPr>
              <w:t>Patient Alert icon</w:t>
            </w:r>
            <w:r>
              <w:rPr>
                <w:rFonts w:cs="Arial"/>
              </w:rPr>
              <w:t xml:space="preserve"> in the status bar when it receives a merge event message from VistA.</w:t>
            </w:r>
          </w:p>
          <w:p w14:paraId="087C596D" w14:textId="77777777" w:rsidR="00B46D6D" w:rsidRDefault="00B46D6D">
            <w:pPr>
              <w:pStyle w:val="TableTextBullet"/>
            </w:pPr>
            <w:r w:rsidRPr="00B46D6D">
              <w:rPr>
                <w:vanish/>
              </w:rPr>
              <w:t>BR_84.10</w:t>
            </w:r>
            <w:r>
              <w:t>The system displays a patient update or merge icon alert to all users until all merge events are cleared and all updates, including death notices are viewed.</w:t>
            </w:r>
          </w:p>
          <w:p w14:paraId="257F4D84" w14:textId="77777777" w:rsidR="002A21AE" w:rsidRDefault="002A21AE" w:rsidP="005E431D">
            <w:pPr>
              <w:pStyle w:val="TableText"/>
            </w:pPr>
          </w:p>
          <w:p w14:paraId="1FCD8D28" w14:textId="356B34E9" w:rsidR="002A21AE" w:rsidRDefault="002A21AE">
            <w:pPr>
              <w:pStyle w:val="TableText"/>
              <w:rPr>
                <w:b/>
                <w:bCs/>
                <w:szCs w:val="18"/>
              </w:rPr>
            </w:pPr>
            <w:r>
              <w:rPr>
                <w:b/>
                <w:bCs/>
                <w:szCs w:val="18"/>
              </w:rPr>
              <w:t>NOTES</w:t>
            </w:r>
          </w:p>
          <w:p w14:paraId="2BAD06F5" w14:textId="77777777" w:rsidR="002A21AE" w:rsidRDefault="002A21AE">
            <w:pPr>
              <w:pStyle w:val="NotesText"/>
            </w:pPr>
          </w:p>
          <w:p w14:paraId="27F0AD29" w14:textId="77777777" w:rsidR="002A21AE" w:rsidRDefault="002A21AE">
            <w:pPr>
              <w:pStyle w:val="NotesText"/>
            </w:pPr>
            <w:r>
              <w:t xml:space="preserve">The user may also select </w:t>
            </w:r>
            <w:r>
              <w:rPr>
                <w:b/>
              </w:rPr>
              <w:t>Patients</w:t>
            </w:r>
            <w:r>
              <w:t xml:space="preserve"> from the main menu, </w:t>
            </w:r>
            <w:r>
              <w:rPr>
                <w:b/>
              </w:rPr>
              <w:t>Patient Updates</w:t>
            </w:r>
            <w:r>
              <w:t xml:space="preserve">, and </w:t>
            </w:r>
            <w:r>
              <w:rPr>
                <w:b/>
              </w:rPr>
              <w:t>Updated Patients</w:t>
            </w:r>
            <w:r>
              <w:t xml:space="preserve">, </w:t>
            </w:r>
            <w:r>
              <w:rPr>
                <w:b/>
              </w:rPr>
              <w:t>Deceased Patients</w:t>
            </w:r>
            <w:r>
              <w:t xml:space="preserve">, or </w:t>
            </w:r>
            <w:r>
              <w:rPr>
                <w:b/>
              </w:rPr>
              <w:t xml:space="preserve">Patient Merge </w:t>
            </w:r>
            <w:r>
              <w:t>to view the updates.</w:t>
            </w:r>
          </w:p>
        </w:tc>
      </w:tr>
    </w:tbl>
    <w:p w14:paraId="60FE3E45" w14:textId="77777777" w:rsidR="002A21AE" w:rsidRDefault="0072673B" w:rsidP="0072673B">
      <w:pPr>
        <w:pStyle w:val="Heading3"/>
      </w:pPr>
      <w:r>
        <w:br w:type="page"/>
      </w:r>
      <w:bookmarkStart w:id="492" w:name="_Toc203765911"/>
      <w:r w:rsidR="00057948">
        <w:rPr>
          <w:noProof/>
        </w:rPr>
        <w:lastRenderedPageBreak/>
        <w:drawing>
          <wp:inline distT="0" distB="0" distL="0" distR="0" wp14:anchorId="70C05E2A" wp14:editId="10F72750">
            <wp:extent cx="166370" cy="156845"/>
            <wp:effectExtent l="0" t="0" r="5080" b="0"/>
            <wp:docPr id="219" name="Picture 219" descr="Patient Alert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Picture 219" descr="Patient Alert icon"/>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66370" cy="156845"/>
                    </a:xfrm>
                    <a:prstGeom prst="rect">
                      <a:avLst/>
                    </a:prstGeom>
                    <a:noFill/>
                    <a:ln>
                      <a:noFill/>
                    </a:ln>
                  </pic:spPr>
                </pic:pic>
              </a:graphicData>
            </a:graphic>
          </wp:inline>
        </w:drawing>
      </w:r>
      <w:r w:rsidR="002A21AE">
        <w:t xml:space="preserve"> </w:t>
      </w:r>
      <w:bookmarkStart w:id="493" w:name="there"/>
      <w:bookmarkEnd w:id="493"/>
      <w:r w:rsidR="002A21AE">
        <w:t>Display Patient Merge Alerts</w:t>
      </w:r>
      <w:bookmarkEnd w:id="492"/>
      <w:r w:rsidR="002A21AE">
        <w:fldChar w:fldCharType="begin"/>
      </w:r>
      <w:r w:rsidR="002A21AE">
        <w:instrText xml:space="preserve"> XE </w:instrText>
      </w:r>
      <w:r w:rsidR="00FA7E65">
        <w:instrText>“</w:instrText>
      </w:r>
      <w:r w:rsidR="002A21AE">
        <w:instrText>Display Patient Merge Alerts</w:instrText>
      </w:r>
      <w:r w:rsidR="00FA7E65">
        <w:instrText>”</w:instrText>
      </w:r>
      <w:r w:rsidR="002A21AE">
        <w:instrText xml:space="preserve"> </w:instrText>
      </w:r>
      <w:r w:rsidR="002A21AE">
        <w:fldChar w:fldCharType="end"/>
      </w:r>
      <w:r w:rsidR="002A21AE">
        <w:t xml:space="preserve"> </w:t>
      </w:r>
      <w:r w:rsidR="002A21AE">
        <w:rPr>
          <w:vanish/>
          <w:sz w:val="22"/>
        </w:rPr>
        <w:t>UC_84</w:t>
      </w:r>
    </w:p>
    <w:p w14:paraId="14A7C5F8" w14:textId="77777777" w:rsidR="002A21AE" w:rsidRDefault="002A21AE" w:rsidP="00FA7E65">
      <w:pPr>
        <w:pStyle w:val="BodyText"/>
      </w:pPr>
      <w:r>
        <w:t xml:space="preserve">VBECS notifies the user of </w:t>
      </w:r>
      <w:r w:rsidR="003549BA">
        <w:t xml:space="preserve">VistA </w:t>
      </w:r>
      <w:r>
        <w:t>patient merges.</w:t>
      </w:r>
    </w:p>
    <w:p w14:paraId="036279F6" w14:textId="77777777" w:rsidR="002A21AE" w:rsidRDefault="002A21AE">
      <w:pPr>
        <w:pStyle w:val="Heading4"/>
      </w:pPr>
      <w:r>
        <w:t>Assumptions</w:t>
      </w:r>
      <w:r>
        <w:rPr>
          <w:b w:val="0"/>
        </w:rPr>
        <w:t xml:space="preserve"> </w:t>
      </w:r>
    </w:p>
    <w:p w14:paraId="73ED950D" w14:textId="77777777" w:rsidR="002A21AE" w:rsidRDefault="002A21AE">
      <w:pPr>
        <w:pStyle w:val="ListBullet"/>
      </w:pPr>
      <w:r>
        <w:t xml:space="preserve">A patient demographic merge alert is received from </w:t>
      </w:r>
      <w:r w:rsidR="00CA0045" w:rsidRPr="00CA0045">
        <w:rPr>
          <w:bCs/>
        </w:rPr>
        <w:t>VistA</w:t>
      </w:r>
      <w:r>
        <w:t xml:space="preserve"> for the user’s division for a VBECS patient.</w:t>
      </w:r>
    </w:p>
    <w:p w14:paraId="7C7C06E2" w14:textId="77777777" w:rsidR="002A21AE" w:rsidRDefault="002A21AE">
      <w:pPr>
        <w:pStyle w:val="Heading4"/>
      </w:pPr>
      <w:r>
        <w:t xml:space="preserve">Outcome </w:t>
      </w:r>
    </w:p>
    <w:p w14:paraId="3D211359" w14:textId="77777777" w:rsidR="002A21AE" w:rsidRDefault="008A1BFD">
      <w:pPr>
        <w:pStyle w:val="ListBullet"/>
      </w:pPr>
      <w:r>
        <w:t>VBECS notified the user that</w:t>
      </w:r>
      <w:r w:rsidR="00BF053B">
        <w:t xml:space="preserve"> </w:t>
      </w:r>
      <w:r w:rsidR="002A21AE">
        <w:t xml:space="preserve">patient </w:t>
      </w:r>
      <w:r>
        <w:t>records were</w:t>
      </w:r>
      <w:r w:rsidR="002A21AE">
        <w:t xml:space="preserve"> merged in </w:t>
      </w:r>
      <w:r>
        <w:t xml:space="preserve">VistA and that </w:t>
      </w:r>
      <w:r w:rsidR="008D6720">
        <w:t>the user must take action</w:t>
      </w:r>
      <w:r>
        <w:t xml:space="preserve"> to match the records in VBECS</w:t>
      </w:r>
      <w:r w:rsidR="002A21AE">
        <w:t>.</w:t>
      </w:r>
    </w:p>
    <w:p w14:paraId="38F011ED" w14:textId="77777777" w:rsidR="002A21AE" w:rsidRDefault="002A21AE">
      <w:pPr>
        <w:pStyle w:val="Heading4"/>
        <w:rPr>
          <w:b w:val="0"/>
        </w:rPr>
      </w:pPr>
      <w:r>
        <w:t>Limitations and Restrictions</w:t>
      </w:r>
      <w:r>
        <w:rPr>
          <w:b w:val="0"/>
        </w:rPr>
        <w:t xml:space="preserve"> </w:t>
      </w:r>
    </w:p>
    <w:p w14:paraId="6CEC8DB5" w14:textId="77777777" w:rsidR="00132178" w:rsidRDefault="00F10EB3" w:rsidP="00132178">
      <w:pPr>
        <w:pStyle w:val="ListBullet"/>
      </w:pPr>
      <w:r>
        <w:t xml:space="preserve">VBECS does not notify users of additional VistA patient updates or merges while the icon is displayed. </w:t>
      </w:r>
      <w:r w:rsidR="00132178">
        <w:rPr>
          <w:rFonts w:cs="Arial"/>
          <w:vanish/>
        </w:rPr>
        <w:t xml:space="preserve">DR 2,525 </w:t>
      </w:r>
      <w:r w:rsidR="00132178">
        <w:t>When a user views an update and there is a</w:t>
      </w:r>
      <w:r w:rsidR="008B31EE">
        <w:t>n unprocessed VistA</w:t>
      </w:r>
      <w:r w:rsidR="00132178">
        <w:t xml:space="preserve"> patient merge, the </w:t>
      </w:r>
      <w:r w:rsidR="00D57F25">
        <w:t>Patient Alert icon</w:t>
      </w:r>
      <w:r w:rsidR="00132178">
        <w:t xml:space="preserve"> remains on the screen until the Traditional Supervisor </w:t>
      </w:r>
      <w:r w:rsidR="008B31EE">
        <w:t>updates the patient records</w:t>
      </w:r>
      <w:r w:rsidR="00132178">
        <w:t xml:space="preserve"> and clears the icon. </w:t>
      </w:r>
    </w:p>
    <w:p w14:paraId="4A054613" w14:textId="77777777" w:rsidR="002A21AE" w:rsidRDefault="002A21AE">
      <w:pPr>
        <w:pStyle w:val="Heading4"/>
      </w:pPr>
      <w:r>
        <w:t xml:space="preserve">Additional Information </w:t>
      </w:r>
    </w:p>
    <w:p w14:paraId="475E2157" w14:textId="77777777" w:rsidR="002A21AE" w:rsidRDefault="00B473F5">
      <w:pPr>
        <w:pStyle w:val="ListBullet"/>
      </w:pPr>
      <w:r w:rsidRPr="00B473F5">
        <w:rPr>
          <w:vanish/>
        </w:rPr>
        <w:t xml:space="preserve">DR 2,527 </w:t>
      </w:r>
      <w:r>
        <w:t xml:space="preserve">VBECS notifies users of </w:t>
      </w:r>
      <w:r w:rsidR="000319CE">
        <w:t xml:space="preserve">VistA </w:t>
      </w:r>
      <w:r>
        <w:t xml:space="preserve">patient merges until a Traditional Supervisor clears the </w:t>
      </w:r>
      <w:r w:rsidR="000319CE">
        <w:t>Patient Alert icon</w:t>
      </w:r>
      <w:r>
        <w:t xml:space="preserve">. </w:t>
      </w:r>
      <w:r w:rsidR="008D12CC">
        <w:t>See Patient Merge for instructions.</w:t>
      </w:r>
    </w:p>
    <w:p w14:paraId="0131E9AA" w14:textId="77777777" w:rsidR="00BA4D88" w:rsidRDefault="00BA4D88">
      <w:pPr>
        <w:pStyle w:val="ListBullet"/>
      </w:pPr>
      <w:r>
        <w:rPr>
          <w:vanish/>
        </w:rPr>
        <w:t xml:space="preserve">BR_84.07 </w:t>
      </w:r>
      <w:r>
        <w:t>VBECS displays an alert to users for a VistA patient merge event if either the merge-from or merge-to patient exists in the VBECS system when the merge message is received.</w:t>
      </w:r>
    </w:p>
    <w:p w14:paraId="72DDD72D" w14:textId="77777777" w:rsidR="002A21AE" w:rsidRDefault="002A21AE">
      <w:pPr>
        <w:pStyle w:val="Heading4"/>
        <w:rPr>
          <w:b w:val="0"/>
        </w:rPr>
      </w:pPr>
      <w:r>
        <w:t>User Roles with Access to This Option</w:t>
      </w:r>
      <w:r>
        <w:rPr>
          <w:b w:val="0"/>
        </w:rPr>
        <w:t xml:space="preserve"> </w:t>
      </w:r>
    </w:p>
    <w:p w14:paraId="4394D0EF" w14:textId="77777777" w:rsidR="002A21AE" w:rsidRDefault="005E431D">
      <w:pPr>
        <w:pStyle w:val="Roles"/>
        <w:rPr>
          <w:snapToGrid w:val="0"/>
        </w:rPr>
      </w:pPr>
      <w:r>
        <w:t>All users</w:t>
      </w:r>
    </w:p>
    <w:p w14:paraId="3F20424E" w14:textId="77777777" w:rsidR="002A21AE" w:rsidRDefault="002A21AE">
      <w:pPr>
        <w:pStyle w:val="Heading4"/>
      </w:pPr>
      <w:r>
        <w:t>Display Patient Merge Alerts</w:t>
      </w:r>
    </w:p>
    <w:p w14:paraId="539C903D" w14:textId="77777777" w:rsidR="002A21AE" w:rsidRDefault="002A21AE" w:rsidP="00FA7E65">
      <w:pPr>
        <w:pStyle w:val="BodyText"/>
      </w:pPr>
      <w:r>
        <w:t xml:space="preserve">VBECS notifies the user that patient merges occurred in </w:t>
      </w:r>
      <w:r w:rsidR="00CA0045" w:rsidRPr="00CA0045">
        <w:rPr>
          <w:bCs/>
        </w:rPr>
        <w:t>VistA</w:t>
      </w:r>
      <w:r>
        <w:t xml:space="preserve"> and allows him to view additional update details.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5F94691F" w14:textId="77777777">
        <w:trPr>
          <w:cantSplit/>
          <w:tblHeader/>
        </w:trPr>
        <w:tc>
          <w:tcPr>
            <w:tcW w:w="3240" w:type="dxa"/>
            <w:shd w:val="pct30" w:color="auto" w:fill="FFFFFF"/>
            <w:vAlign w:val="bottom"/>
          </w:tcPr>
          <w:p w14:paraId="38564F33" w14:textId="77777777" w:rsidR="002A21AE" w:rsidRDefault="002A21AE">
            <w:pPr>
              <w:pStyle w:val="TableText"/>
              <w:rPr>
                <w:b/>
              </w:rPr>
            </w:pPr>
            <w:r>
              <w:rPr>
                <w:b/>
              </w:rPr>
              <w:t>User Action</w:t>
            </w:r>
          </w:p>
        </w:tc>
        <w:tc>
          <w:tcPr>
            <w:tcW w:w="6120" w:type="dxa"/>
            <w:shd w:val="pct30" w:color="auto" w:fill="FFFFFF"/>
            <w:vAlign w:val="bottom"/>
          </w:tcPr>
          <w:p w14:paraId="6229259A" w14:textId="77777777" w:rsidR="002A21AE" w:rsidRDefault="002A21AE">
            <w:pPr>
              <w:pStyle w:val="TableText"/>
              <w:rPr>
                <w:b/>
              </w:rPr>
            </w:pPr>
            <w:r>
              <w:rPr>
                <w:b/>
              </w:rPr>
              <w:t>VBECS</w:t>
            </w:r>
          </w:p>
        </w:tc>
      </w:tr>
      <w:tr w:rsidR="002A21AE" w14:paraId="1901820C" w14:textId="77777777">
        <w:trPr>
          <w:trHeight w:val="403"/>
        </w:trPr>
        <w:tc>
          <w:tcPr>
            <w:tcW w:w="3240" w:type="dxa"/>
          </w:tcPr>
          <w:p w14:paraId="5B91C4D8" w14:textId="77777777" w:rsidR="002A21AE" w:rsidRDefault="002A21AE">
            <w:pPr>
              <w:pStyle w:val="TableTextNumbers"/>
            </w:pPr>
            <w:r>
              <w:t xml:space="preserve">Hold the mouse over the </w:t>
            </w:r>
            <w:r w:rsidR="00D57F25">
              <w:t>Patient Alert icon</w:t>
            </w:r>
            <w:r>
              <w:t xml:space="preserve"> to view a tool tip, or </w:t>
            </w:r>
          </w:p>
          <w:p w14:paraId="0239729B" w14:textId="77777777" w:rsidR="002A21AE" w:rsidRDefault="002A21AE">
            <w:pPr>
              <w:pStyle w:val="TableTextNumbersContinued"/>
            </w:pPr>
          </w:p>
          <w:p w14:paraId="70EE5981" w14:textId="77777777" w:rsidR="002A21AE" w:rsidRDefault="002A21AE">
            <w:pPr>
              <w:pStyle w:val="TableTextNumbersContinued"/>
            </w:pPr>
            <w:r>
              <w:rPr>
                <w:rFonts w:cs="Arial"/>
                <w:vanish/>
              </w:rPr>
              <w:t xml:space="preserve">BR_84.08 </w:t>
            </w:r>
            <w:r>
              <w:t xml:space="preserve">Click </w:t>
            </w:r>
            <w:r w:rsidR="00057948">
              <w:rPr>
                <w:noProof/>
              </w:rPr>
              <w:drawing>
                <wp:inline distT="0" distB="0" distL="0" distR="0" wp14:anchorId="7DB541F9" wp14:editId="09BDD027">
                  <wp:extent cx="166370" cy="156845"/>
                  <wp:effectExtent l="0" t="0" r="5080" b="0"/>
                  <wp:docPr id="220" name="Picture 220" descr="Patient Alert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Picture 220" descr="Patient Alert icon"/>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66370" cy="156845"/>
                          </a:xfrm>
                          <a:prstGeom prst="rect">
                            <a:avLst/>
                          </a:prstGeom>
                          <a:noFill/>
                          <a:ln>
                            <a:noFill/>
                          </a:ln>
                        </pic:spPr>
                      </pic:pic>
                    </a:graphicData>
                  </a:graphic>
                </wp:inline>
              </w:drawing>
            </w:r>
            <w:r>
              <w:t xml:space="preserve"> to view a menu and select </w:t>
            </w:r>
            <w:r>
              <w:rPr>
                <w:b/>
              </w:rPr>
              <w:t>Updated Patients</w:t>
            </w:r>
            <w:r>
              <w:t xml:space="preserve">, </w:t>
            </w:r>
            <w:r>
              <w:rPr>
                <w:b/>
              </w:rPr>
              <w:t>Deceased Patients</w:t>
            </w:r>
            <w:r>
              <w:t xml:space="preserve">, or </w:t>
            </w:r>
            <w:r>
              <w:rPr>
                <w:b/>
              </w:rPr>
              <w:t xml:space="preserve">Patient Merge </w:t>
            </w:r>
            <w:r>
              <w:t xml:space="preserve">to view the updates. </w:t>
            </w:r>
          </w:p>
          <w:p w14:paraId="02ECA8B9" w14:textId="77777777" w:rsidR="002A21AE" w:rsidRDefault="002A21AE">
            <w:pPr>
              <w:pStyle w:val="TableTextNumbersContinued"/>
            </w:pPr>
          </w:p>
          <w:p w14:paraId="4C11792E" w14:textId="77777777" w:rsidR="002A21AE" w:rsidRDefault="002A21AE">
            <w:pPr>
              <w:pStyle w:val="TableTextNumbersContinued"/>
            </w:pPr>
            <w:r>
              <w:t xml:space="preserve">Click </w:t>
            </w:r>
            <w:r w:rsidR="00057948">
              <w:rPr>
                <w:noProof/>
              </w:rPr>
              <w:drawing>
                <wp:inline distT="0" distB="0" distL="0" distR="0" wp14:anchorId="74BD3F0B" wp14:editId="27A9B6CF">
                  <wp:extent cx="166370" cy="156845"/>
                  <wp:effectExtent l="0" t="0" r="5080" b="0"/>
                  <wp:docPr id="221" name="Picture 221" descr="Patient Alert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Picture 221" descr="Patient Alert icon"/>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66370" cy="156845"/>
                          </a:xfrm>
                          <a:prstGeom prst="rect">
                            <a:avLst/>
                          </a:prstGeom>
                          <a:noFill/>
                          <a:ln>
                            <a:noFill/>
                          </a:ln>
                        </pic:spPr>
                      </pic:pic>
                    </a:graphicData>
                  </a:graphic>
                </wp:inline>
              </w:drawing>
            </w:r>
            <w:r>
              <w:t xml:space="preserve"> again to hide the menu. </w:t>
            </w:r>
            <w:r>
              <w:rPr>
                <w:vanish/>
                <w:color w:val="FFFFFF"/>
                <w:szCs w:val="18"/>
              </w:rPr>
              <w:fldChar w:fldCharType="begin"/>
            </w:r>
            <w:r>
              <w:rPr>
                <w:vanish/>
                <w:color w:val="FFFFFF"/>
                <w:szCs w:val="18"/>
              </w:rPr>
              <w:instrText xml:space="preserve"> LISTNUM \l 1 \s 0 </w:instrText>
            </w:r>
            <w:r>
              <w:rPr>
                <w:vanish/>
                <w:color w:val="FFFFFF"/>
                <w:szCs w:val="18"/>
              </w:rPr>
              <w:fldChar w:fldCharType="end">
                <w:numberingChange w:id="494" w:author="MUSZYNSKI, THOMAS D. (SIERRA 7 INC)" w:date="2024-11-26T07:15:00Z" w:original="0."/>
              </w:fldChar>
            </w:r>
          </w:p>
        </w:tc>
        <w:tc>
          <w:tcPr>
            <w:tcW w:w="6120" w:type="dxa"/>
          </w:tcPr>
          <w:p w14:paraId="5562A77D" w14:textId="77777777" w:rsidR="002A21AE" w:rsidRDefault="002A21AE">
            <w:pPr>
              <w:pStyle w:val="TableTextBullet"/>
            </w:pPr>
            <w:r>
              <w:rPr>
                <w:rFonts w:cs="Arial"/>
                <w:vanish/>
              </w:rPr>
              <w:t xml:space="preserve">BR_84.06 </w:t>
            </w:r>
            <w:r>
              <w:t>When it receives a patient update</w:t>
            </w:r>
            <w:r w:rsidR="008D6720">
              <w:t xml:space="preserve"> or</w:t>
            </w:r>
            <w:r>
              <w:t xml:space="preserve"> death</w:t>
            </w:r>
            <w:r w:rsidR="008D6720">
              <w:t xml:space="preserve"> event message</w:t>
            </w:r>
            <w:r>
              <w:t xml:space="preserve"> </w:t>
            </w:r>
            <w:r w:rsidR="008A1BFD">
              <w:t xml:space="preserve">and the patient has active or pending orders in the user’s VBECS division, </w:t>
            </w:r>
            <w:r>
              <w:t xml:space="preserve">displays a </w:t>
            </w:r>
            <w:r w:rsidR="00D57F25">
              <w:t>Patient Alert icon</w:t>
            </w:r>
            <w:r>
              <w:t xml:space="preserve"> in the status bar.</w:t>
            </w:r>
          </w:p>
          <w:p w14:paraId="44C045B8" w14:textId="77777777" w:rsidR="008A1BFD" w:rsidRDefault="008A1BFD">
            <w:pPr>
              <w:pStyle w:val="TableTextBullet"/>
            </w:pPr>
            <w:r>
              <w:t xml:space="preserve">When it receives a merge event message from VistA, displays a </w:t>
            </w:r>
            <w:r w:rsidR="00D57F25">
              <w:t>Patient Alert icon</w:t>
            </w:r>
            <w:r>
              <w:t xml:space="preserve"> in the status bar.</w:t>
            </w:r>
          </w:p>
          <w:p w14:paraId="1F3F7F7C" w14:textId="77777777" w:rsidR="002A21AE" w:rsidRDefault="002A21AE" w:rsidP="002232A3">
            <w:pPr>
              <w:pStyle w:val="TableText"/>
            </w:pPr>
          </w:p>
          <w:p w14:paraId="620A7124" w14:textId="6CD98CC2" w:rsidR="002A21AE" w:rsidRDefault="002A21AE">
            <w:pPr>
              <w:pStyle w:val="TableText"/>
              <w:rPr>
                <w:b/>
                <w:bCs/>
                <w:szCs w:val="18"/>
              </w:rPr>
            </w:pPr>
            <w:r>
              <w:rPr>
                <w:b/>
                <w:bCs/>
                <w:szCs w:val="18"/>
              </w:rPr>
              <w:t>NOTES</w:t>
            </w:r>
          </w:p>
          <w:p w14:paraId="45A35BA7" w14:textId="77777777" w:rsidR="002A21AE" w:rsidRDefault="002A21AE">
            <w:pPr>
              <w:pStyle w:val="NotesText"/>
            </w:pPr>
          </w:p>
          <w:p w14:paraId="26FFECE3" w14:textId="77777777" w:rsidR="002A21AE" w:rsidRDefault="002A21AE">
            <w:pPr>
              <w:pStyle w:val="NotesText"/>
            </w:pPr>
            <w:r>
              <w:t xml:space="preserve">The user may also select </w:t>
            </w:r>
            <w:r>
              <w:rPr>
                <w:b/>
              </w:rPr>
              <w:t>Patients</w:t>
            </w:r>
            <w:r>
              <w:t xml:space="preserve"> from the main menu, </w:t>
            </w:r>
            <w:r>
              <w:rPr>
                <w:b/>
              </w:rPr>
              <w:t>Patient Updates</w:t>
            </w:r>
            <w:r>
              <w:t xml:space="preserve">, and </w:t>
            </w:r>
            <w:r>
              <w:rPr>
                <w:b/>
              </w:rPr>
              <w:t xml:space="preserve">Patient Merge </w:t>
            </w:r>
            <w:r>
              <w:t>to view the updates.</w:t>
            </w:r>
          </w:p>
          <w:p w14:paraId="432F846D" w14:textId="77777777" w:rsidR="002A21AE" w:rsidRDefault="002A21AE">
            <w:pPr>
              <w:pStyle w:val="NotesText"/>
            </w:pPr>
          </w:p>
          <w:p w14:paraId="10F819C6" w14:textId="77777777" w:rsidR="004B557B" w:rsidRDefault="002A21AE" w:rsidP="001E72D4">
            <w:pPr>
              <w:pStyle w:val="NotesText"/>
            </w:pPr>
            <w:r>
              <w:rPr>
                <w:rFonts w:cs="Arial"/>
                <w:vanish/>
              </w:rPr>
              <w:t xml:space="preserve">BR_84.10 </w:t>
            </w:r>
            <w:r>
              <w:t xml:space="preserve">VBECS displays a </w:t>
            </w:r>
            <w:r w:rsidR="004B557B">
              <w:t>patient update or merge icon a</w:t>
            </w:r>
            <w:r w:rsidR="00D57F25">
              <w:t xml:space="preserve">lert </w:t>
            </w:r>
            <w:r w:rsidR="004B557B">
              <w:t>to all users until all merge events are cleared and all updates, including death notices are viewed.</w:t>
            </w:r>
            <w:r w:rsidR="006B6C5C" w:rsidRPr="006B6C5C">
              <w:rPr>
                <w:vanish/>
              </w:rPr>
              <w:t>DR 2,525</w:t>
            </w:r>
          </w:p>
        </w:tc>
      </w:tr>
    </w:tbl>
    <w:p w14:paraId="18C18E5D" w14:textId="77777777" w:rsidR="008A3222" w:rsidRDefault="008A3222" w:rsidP="00834667">
      <w:pPr>
        <w:pStyle w:val="Heading2"/>
        <w:rPr>
          <w:i w:val="0"/>
          <w:iCs w:val="0"/>
          <w:sz w:val="26"/>
          <w:szCs w:val="26"/>
        </w:rPr>
      </w:pPr>
    </w:p>
    <w:p w14:paraId="3325CA16" w14:textId="77777777" w:rsidR="008A3222" w:rsidRDefault="008A3222">
      <w:pPr>
        <w:rPr>
          <w:rFonts w:ascii="Arial" w:hAnsi="Arial" w:cs="Arial"/>
          <w:b/>
          <w:bCs/>
          <w:sz w:val="26"/>
          <w:szCs w:val="26"/>
        </w:rPr>
      </w:pPr>
      <w:r>
        <w:rPr>
          <w:i/>
          <w:iCs/>
          <w:sz w:val="26"/>
          <w:szCs w:val="26"/>
        </w:rPr>
        <w:br w:type="page"/>
      </w:r>
    </w:p>
    <w:p w14:paraId="529102A1" w14:textId="547F4FD0" w:rsidR="00834667" w:rsidRPr="008818F2" w:rsidRDefault="00411372" w:rsidP="00834667">
      <w:pPr>
        <w:pStyle w:val="Heading2"/>
        <w:rPr>
          <w:i w:val="0"/>
          <w:iCs w:val="0"/>
          <w:sz w:val="26"/>
          <w:szCs w:val="26"/>
        </w:rPr>
      </w:pPr>
      <w:bookmarkStart w:id="495" w:name="_Toc203765912"/>
      <w:r>
        <w:rPr>
          <w:i w:val="0"/>
          <w:iCs w:val="0"/>
          <w:sz w:val="26"/>
          <w:szCs w:val="26"/>
        </w:rPr>
        <w:lastRenderedPageBreak/>
        <w:t xml:space="preserve">Emergency </w:t>
      </w:r>
      <w:r w:rsidR="00834667" w:rsidRPr="008818F2">
        <w:rPr>
          <w:i w:val="0"/>
          <w:iCs w:val="0"/>
          <w:sz w:val="26"/>
          <w:szCs w:val="26"/>
        </w:rPr>
        <w:t>Transfusion Order</w:t>
      </w:r>
      <w:r>
        <w:rPr>
          <w:i w:val="0"/>
          <w:iCs w:val="0"/>
          <w:sz w:val="26"/>
          <w:szCs w:val="26"/>
        </w:rPr>
        <w:t xml:space="preserve"> Processing</w:t>
      </w:r>
      <w:bookmarkEnd w:id="495"/>
      <w:r w:rsidR="00834667" w:rsidRPr="008818F2">
        <w:rPr>
          <w:i w:val="0"/>
          <w:iCs w:val="0"/>
          <w:sz w:val="26"/>
          <w:szCs w:val="26"/>
        </w:rPr>
        <w:fldChar w:fldCharType="begin"/>
      </w:r>
      <w:r w:rsidR="00834667" w:rsidRPr="008818F2">
        <w:rPr>
          <w:i w:val="0"/>
          <w:iCs w:val="0"/>
          <w:sz w:val="26"/>
          <w:szCs w:val="26"/>
        </w:rPr>
        <w:instrText xml:space="preserve"> XE “Processing an Emergency Transfusion Order” </w:instrText>
      </w:r>
      <w:r w:rsidR="00834667" w:rsidRPr="008818F2">
        <w:rPr>
          <w:i w:val="0"/>
          <w:iCs w:val="0"/>
          <w:sz w:val="26"/>
          <w:szCs w:val="26"/>
        </w:rPr>
        <w:fldChar w:fldCharType="end"/>
      </w:r>
    </w:p>
    <w:p w14:paraId="201EC68A" w14:textId="77777777" w:rsidR="008818F2" w:rsidRPr="008818F2" w:rsidRDefault="008818F2" w:rsidP="008818F2">
      <w:pPr>
        <w:rPr>
          <w:sz w:val="22"/>
          <w:szCs w:val="22"/>
        </w:rPr>
      </w:pPr>
      <w:r>
        <w:rPr>
          <w:b/>
          <w:sz w:val="22"/>
          <w:szCs w:val="22"/>
        </w:rPr>
        <w:t>Question</w:t>
      </w:r>
      <w:r w:rsidRPr="008818F2">
        <w:rPr>
          <w:b/>
          <w:sz w:val="22"/>
          <w:szCs w:val="22"/>
        </w:rPr>
        <w:t>:</w:t>
      </w:r>
      <w:r w:rsidRPr="008818F2">
        <w:rPr>
          <w:sz w:val="22"/>
          <w:szCs w:val="22"/>
        </w:rPr>
        <w:t xml:space="preserve">  How do I Process an Emergency Transfusion Order for red blood cells when no specimen is collected?</w:t>
      </w:r>
    </w:p>
    <w:p w14:paraId="57B34CC3" w14:textId="77777777" w:rsidR="008818F2" w:rsidRPr="008818F2" w:rsidRDefault="008818F2" w:rsidP="008818F2">
      <w:pPr>
        <w:rPr>
          <w:sz w:val="22"/>
          <w:szCs w:val="22"/>
        </w:rPr>
      </w:pPr>
      <w:r w:rsidRPr="008818F2">
        <w:rPr>
          <w:b/>
          <w:sz w:val="22"/>
          <w:szCs w:val="22"/>
        </w:rPr>
        <w:t>Important Note:</w:t>
      </w:r>
      <w:r w:rsidRPr="008818F2">
        <w:rPr>
          <w:sz w:val="22"/>
          <w:szCs w:val="22"/>
        </w:rPr>
        <w:t xml:space="preserve"> If </w:t>
      </w:r>
      <w:r w:rsidR="009E6385">
        <w:rPr>
          <w:sz w:val="22"/>
          <w:szCs w:val="22"/>
        </w:rPr>
        <w:t>the patient is not found in Vist</w:t>
      </w:r>
      <w:r w:rsidRPr="008818F2">
        <w:rPr>
          <w:sz w:val="22"/>
          <w:szCs w:val="22"/>
        </w:rPr>
        <w:t>A, you must process the request manually. When the patient’s CPRS order is placed, enter your testing results and unit processing information with correct dates and times recreating the record as retrospective data entry.</w:t>
      </w:r>
    </w:p>
    <w:p w14:paraId="1494AA43" w14:textId="77777777" w:rsidR="008818F2" w:rsidRPr="008818F2" w:rsidRDefault="008818F2" w:rsidP="008818F2">
      <w:pPr>
        <w:rPr>
          <w:sz w:val="22"/>
          <w:szCs w:val="22"/>
        </w:rPr>
      </w:pPr>
      <w:r w:rsidRPr="008818F2">
        <w:rPr>
          <w:b/>
          <w:sz w:val="22"/>
          <w:szCs w:val="22"/>
        </w:rPr>
        <w:t xml:space="preserve">Answer: No Specimen Available: </w:t>
      </w:r>
      <w:r w:rsidRPr="008818F2">
        <w:rPr>
          <w:sz w:val="22"/>
          <w:szCs w:val="22"/>
        </w:rPr>
        <w:t>Below are the steps for processing a component order when no specimen is available but required. This example is for a Red Blood Cell order.</w:t>
      </w:r>
    </w:p>
    <w:p w14:paraId="26548284" w14:textId="26822B97" w:rsidR="008818F2" w:rsidRPr="008818F2" w:rsidRDefault="008818F2" w:rsidP="001055DF">
      <w:pPr>
        <w:numPr>
          <w:ilvl w:val="0"/>
          <w:numId w:val="70"/>
        </w:numPr>
        <w:spacing w:before="60" w:after="120"/>
        <w:ind w:left="360"/>
        <w:rPr>
          <w:sz w:val="22"/>
          <w:szCs w:val="22"/>
        </w:rPr>
      </w:pPr>
      <w:r w:rsidRPr="008818F2">
        <w:rPr>
          <w:sz w:val="22"/>
          <w:szCs w:val="22"/>
        </w:rPr>
        <w:t>A CPRS order for a TAS and RBC must be placed to process the order in VBECS.</w:t>
      </w:r>
    </w:p>
    <w:p w14:paraId="131FC1F2" w14:textId="48259365" w:rsidR="008818F2" w:rsidRDefault="008818F2" w:rsidP="001055DF">
      <w:pPr>
        <w:numPr>
          <w:ilvl w:val="0"/>
          <w:numId w:val="70"/>
        </w:numPr>
        <w:spacing w:before="60" w:after="120"/>
        <w:ind w:left="360"/>
        <w:rPr>
          <w:sz w:val="22"/>
          <w:szCs w:val="22"/>
        </w:rPr>
      </w:pPr>
      <w:r w:rsidRPr="008818F2">
        <w:rPr>
          <w:sz w:val="22"/>
          <w:szCs w:val="22"/>
        </w:rPr>
        <w:t>Accession</w:t>
      </w:r>
      <w:r w:rsidRPr="008818F2">
        <w:rPr>
          <w:sz w:val="22"/>
          <w:szCs w:val="22"/>
          <w:u w:val="single"/>
        </w:rPr>
        <w:t xml:space="preserve"> only</w:t>
      </w:r>
      <w:r w:rsidRPr="008818F2">
        <w:rPr>
          <w:sz w:val="22"/>
          <w:szCs w:val="22"/>
        </w:rPr>
        <w:t xml:space="preserve"> the RBC order in the VistA LAB package</w:t>
      </w:r>
      <w:r w:rsidRPr="008818F2">
        <w:rPr>
          <w:noProof/>
          <w:sz w:val="22"/>
          <w:szCs w:val="22"/>
        </w:rPr>
        <w:t>. If the TAS is accessioned but not physically available, it will no</w:t>
      </w:r>
      <w:r w:rsidR="00910216">
        <w:rPr>
          <w:noProof/>
          <w:sz w:val="22"/>
          <w:szCs w:val="22"/>
        </w:rPr>
        <w:t>t interfere with the next ste</w:t>
      </w:r>
      <w:r w:rsidR="00910216" w:rsidRPr="00910216">
        <w:rPr>
          <w:noProof/>
          <w:sz w:val="22"/>
          <w:szCs w:val="22"/>
        </w:rPr>
        <w:t>p (</w:t>
      </w:r>
      <w:r w:rsidR="00EE455E" w:rsidRPr="00EE455E">
        <w:rPr>
          <w:sz w:val="22"/>
          <w:szCs w:val="22"/>
        </w:rPr>
        <w:t xml:space="preserve">Figure </w:t>
      </w:r>
      <w:r w:rsidR="00EE455E" w:rsidRPr="00EE455E">
        <w:rPr>
          <w:noProof/>
          <w:sz w:val="22"/>
          <w:szCs w:val="22"/>
        </w:rPr>
        <w:t>88</w:t>
      </w:r>
      <w:r w:rsidR="00910216" w:rsidRPr="00910216">
        <w:rPr>
          <w:noProof/>
          <w:sz w:val="22"/>
          <w:szCs w:val="22"/>
        </w:rPr>
        <w:t>).</w:t>
      </w:r>
    </w:p>
    <w:p w14:paraId="44601909" w14:textId="3E3E59BD" w:rsidR="00910216" w:rsidRPr="008818F2" w:rsidRDefault="00910216" w:rsidP="00910216">
      <w:pPr>
        <w:pStyle w:val="Caption"/>
      </w:pPr>
      <w:bookmarkStart w:id="496" w:name="_Ref507079586"/>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7D1829">
        <w:rPr>
          <w:noProof/>
        </w:rPr>
        <w:t>89</w:t>
      </w:r>
      <w:r w:rsidR="004E20BD">
        <w:rPr>
          <w:noProof/>
        </w:rPr>
        <w:fldChar w:fldCharType="end"/>
      </w:r>
      <w:bookmarkEnd w:id="496"/>
      <w:r>
        <w:t>: Example of Red Blood Cells Accession</w:t>
      </w:r>
    </w:p>
    <w:p w14:paraId="35AD49FC" w14:textId="77777777" w:rsidR="008818F2" w:rsidRDefault="00057948" w:rsidP="000026FF">
      <w:pPr>
        <w:pStyle w:val="BodyText"/>
      </w:pPr>
      <w:r>
        <w:rPr>
          <w:noProof/>
        </w:rPr>
        <mc:AlternateContent>
          <mc:Choice Requires="wps">
            <w:drawing>
              <wp:anchor distT="0" distB="0" distL="114300" distR="114300" simplePos="0" relativeHeight="251658243" behindDoc="0" locked="0" layoutInCell="1" allowOverlap="1" wp14:anchorId="493E4540" wp14:editId="666AB022">
                <wp:simplePos x="0" y="0"/>
                <wp:positionH relativeFrom="column">
                  <wp:posOffset>38100</wp:posOffset>
                </wp:positionH>
                <wp:positionV relativeFrom="paragraph">
                  <wp:posOffset>2461260</wp:posOffset>
                </wp:positionV>
                <wp:extent cx="5419725" cy="438150"/>
                <wp:effectExtent l="19050" t="13335" r="19050" b="15240"/>
                <wp:wrapNone/>
                <wp:docPr id="403" name="Rectangle 131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19725" cy="438150"/>
                        </a:xfrm>
                        <a:prstGeom prst="rect">
                          <a:avLst/>
                        </a:prstGeom>
                        <a:noFill/>
                        <a:ln w="25400">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102ACE" id="Rectangle 1313" o:spid="_x0000_s1026" alt="&quot;&quot;" style="position:absolute;margin-left:3pt;margin-top:193.8pt;width:426.75pt;height:34.5pt;z-index:25208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" filled="f" strokecolor="red" strokeweight="2pt"/>
            </w:pict>
          </mc:Fallback>
        </mc:AlternateContent>
      </w:r>
      <w:r>
        <w:rPr>
          <w:noProof/>
        </w:rPr>
        <w:drawing>
          <wp:inline distT="0" distB="0" distL="0" distR="0" wp14:anchorId="3D7C1666" wp14:editId="3551A299">
            <wp:extent cx="7278370" cy="4673600"/>
            <wp:effectExtent l="0" t="0" r="0" b="0"/>
            <wp:docPr id="222" name="Picture 222" descr="Example of Red Blood Cells Accession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Picture 222" descr="Example of Red Blood Cells Accession screen capture"/>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7278370" cy="4673600"/>
                    </a:xfrm>
                    <a:prstGeom prst="rect">
                      <a:avLst/>
                    </a:prstGeom>
                    <a:noFill/>
                    <a:ln>
                      <a:noFill/>
                    </a:ln>
                  </pic:spPr>
                </pic:pic>
              </a:graphicData>
            </a:graphic>
          </wp:inline>
        </w:drawing>
      </w:r>
    </w:p>
    <w:p w14:paraId="53FC089C" w14:textId="30EC33E3" w:rsidR="008818F2" w:rsidRDefault="00910216" w:rsidP="001055DF">
      <w:pPr>
        <w:numPr>
          <w:ilvl w:val="0"/>
          <w:numId w:val="70"/>
        </w:numPr>
        <w:spacing w:before="60" w:after="120"/>
        <w:ind w:left="360"/>
        <w:rPr>
          <w:sz w:val="22"/>
          <w:szCs w:val="22"/>
        </w:rPr>
      </w:pPr>
      <w:r>
        <w:rPr>
          <w:sz w:val="22"/>
          <w:szCs w:val="22"/>
        </w:rPr>
        <w:br w:type="page"/>
      </w:r>
      <w:r w:rsidR="008818F2" w:rsidRPr="000026FF">
        <w:rPr>
          <w:sz w:val="22"/>
          <w:szCs w:val="22"/>
        </w:rPr>
        <w:lastRenderedPageBreak/>
        <w:t>Accept the RB</w:t>
      </w:r>
      <w:r w:rsidR="008818F2" w:rsidRPr="00910216">
        <w:rPr>
          <w:sz w:val="22"/>
          <w:szCs w:val="22"/>
        </w:rPr>
        <w:t>C order in VBECS b</w:t>
      </w:r>
      <w:r w:rsidR="00070C25" w:rsidRPr="00910216">
        <w:rPr>
          <w:sz w:val="22"/>
          <w:szCs w:val="22"/>
        </w:rPr>
        <w:t>y checking the Emergency Order checkbox</w:t>
      </w:r>
      <w:r w:rsidR="008818F2" w:rsidRPr="00910216">
        <w:rPr>
          <w:sz w:val="22"/>
          <w:szCs w:val="22"/>
        </w:rPr>
        <w:t xml:space="preserve"> </w:t>
      </w:r>
      <w:r w:rsidRPr="00910216">
        <w:rPr>
          <w:sz w:val="22"/>
          <w:szCs w:val="22"/>
        </w:rPr>
        <w:t>[</w:t>
      </w:r>
      <w:r w:rsidR="008818F2" w:rsidRPr="00910216">
        <w:rPr>
          <w:b/>
          <w:sz w:val="22"/>
          <w:szCs w:val="22"/>
        </w:rPr>
        <w:t>Orders</w:t>
      </w:r>
      <w:r w:rsidR="008818F2" w:rsidRPr="00910216">
        <w:rPr>
          <w:sz w:val="22"/>
          <w:szCs w:val="22"/>
        </w:rPr>
        <w:t xml:space="preserve">, </w:t>
      </w:r>
      <w:r w:rsidR="008818F2" w:rsidRPr="00910216">
        <w:rPr>
          <w:b/>
          <w:sz w:val="22"/>
          <w:szCs w:val="22"/>
        </w:rPr>
        <w:t>Accept Orders</w:t>
      </w:r>
      <w:r w:rsidRPr="00910216">
        <w:rPr>
          <w:sz w:val="22"/>
          <w:szCs w:val="22"/>
        </w:rPr>
        <w:t xml:space="preserve"> (</w:t>
      </w:r>
      <w:r w:rsidR="00EE455E" w:rsidRPr="00EE455E">
        <w:rPr>
          <w:sz w:val="22"/>
          <w:szCs w:val="22"/>
        </w:rPr>
        <w:t xml:space="preserve">Figure </w:t>
      </w:r>
      <w:r w:rsidR="00EE455E" w:rsidRPr="00EE455E">
        <w:rPr>
          <w:noProof/>
          <w:sz w:val="22"/>
          <w:szCs w:val="22"/>
        </w:rPr>
        <w:t>89</w:t>
      </w:r>
      <w:r w:rsidRPr="00910216">
        <w:rPr>
          <w:sz w:val="22"/>
          <w:szCs w:val="22"/>
        </w:rPr>
        <w:t>)]</w:t>
      </w:r>
      <w:r w:rsidR="008818F2" w:rsidRPr="00910216">
        <w:rPr>
          <w:sz w:val="22"/>
          <w:szCs w:val="22"/>
        </w:rPr>
        <w:t xml:space="preserve">. </w:t>
      </w:r>
    </w:p>
    <w:p w14:paraId="06E32E21" w14:textId="6FB0C5D3" w:rsidR="00910216" w:rsidRPr="000026FF" w:rsidRDefault="00910216" w:rsidP="00910216">
      <w:pPr>
        <w:pStyle w:val="Caption"/>
      </w:pPr>
      <w:bookmarkStart w:id="497" w:name="_Ref507079620"/>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7D1829">
        <w:rPr>
          <w:noProof/>
        </w:rPr>
        <w:t>90</w:t>
      </w:r>
      <w:r w:rsidR="004E20BD">
        <w:rPr>
          <w:noProof/>
        </w:rPr>
        <w:fldChar w:fldCharType="end"/>
      </w:r>
      <w:bookmarkEnd w:id="497"/>
      <w:r>
        <w:t>: Example of Emergency Order checkbox</w:t>
      </w:r>
    </w:p>
    <w:p w14:paraId="546D5937" w14:textId="48A29154" w:rsidR="008818F2" w:rsidRDefault="00C84A5E" w:rsidP="000026FF">
      <w:pPr>
        <w:pStyle w:val="BodyText"/>
      </w:pPr>
      <w:r>
        <w:rPr>
          <w:noProof/>
        </w:rPr>
        <mc:AlternateContent>
          <mc:Choice Requires="wps">
            <w:drawing>
              <wp:anchor distT="0" distB="0" distL="114300" distR="114300" simplePos="0" relativeHeight="251658245" behindDoc="0" locked="0" layoutInCell="1" allowOverlap="1" wp14:anchorId="6C1F19E2" wp14:editId="25F40269">
                <wp:simplePos x="0" y="0"/>
                <wp:positionH relativeFrom="column">
                  <wp:posOffset>2000250</wp:posOffset>
                </wp:positionH>
                <wp:positionV relativeFrom="paragraph">
                  <wp:posOffset>2533650</wp:posOffset>
                </wp:positionV>
                <wp:extent cx="1209675" cy="190500"/>
                <wp:effectExtent l="38100" t="19050" r="9525" b="38100"/>
                <wp:wrapNone/>
                <wp:docPr id="402" name="AutoShape 131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9675" cy="190500"/>
                        </a:xfrm>
                        <a:prstGeom prst="leftArrow">
                          <a:avLst>
                            <a:gd name="adj1" fmla="val 50000"/>
                            <a:gd name="adj2" fmla="val 158750"/>
                          </a:avLst>
                        </a:prstGeom>
                        <a:solidFill>
                          <a:srgbClr val="FF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19E9AB6"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utoShape 1316" o:spid="_x0000_s1026" type="#_x0000_t66" alt="&quot;&quot;" style="position:absolute;margin-left:157.5pt;margin-top:199.5pt;width:95.25pt;height:15pt;z-index:25209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" fillcolor="red"/>
            </w:pict>
          </mc:Fallback>
        </mc:AlternateContent>
      </w:r>
      <w:r w:rsidR="00570C93">
        <w:rPr>
          <w:noProof/>
        </w:rPr>
        <mc:AlternateContent>
          <mc:Choice Requires="wps">
            <w:drawing>
              <wp:anchor distT="0" distB="0" distL="114300" distR="114300" simplePos="0" relativeHeight="251658244" behindDoc="0" locked="0" layoutInCell="1" allowOverlap="1" wp14:anchorId="6BD4040E" wp14:editId="1D0D4BDD">
                <wp:simplePos x="0" y="0"/>
                <wp:positionH relativeFrom="column">
                  <wp:posOffset>1104900</wp:posOffset>
                </wp:positionH>
                <wp:positionV relativeFrom="paragraph">
                  <wp:posOffset>2533650</wp:posOffset>
                </wp:positionV>
                <wp:extent cx="838200" cy="190500"/>
                <wp:effectExtent l="0" t="0" r="19050" b="19050"/>
                <wp:wrapNone/>
                <wp:docPr id="401" name="Rectangle 131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38200" cy="190500"/>
                        </a:xfrm>
                        <a:prstGeom prst="rect">
                          <a:avLst/>
                        </a:prstGeom>
                        <a:noFill/>
                        <a:ln w="25400">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619B02" id="Rectangle 1315" o:spid="_x0000_s1026" alt="&quot;&quot;" style="position:absolute;margin-left:87pt;margin-top:199.5pt;width:66pt;height:15pt;z-index:25209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" filled="f" strokecolor="red" strokeweight="2pt"/>
            </w:pict>
          </mc:Fallback>
        </mc:AlternateContent>
      </w:r>
      <w:r w:rsidR="00570C93">
        <w:rPr>
          <w:noProof/>
        </w:rPr>
        <w:drawing>
          <wp:inline distT="0" distB="0" distL="0" distR="0" wp14:anchorId="31F0D70D" wp14:editId="0014734B">
            <wp:extent cx="5943600" cy="3004185"/>
            <wp:effectExtent l="0" t="0" r="0" b="5715"/>
            <wp:docPr id="95" name="Picture 95" descr="Example of Emergency Order checkbox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Picture 95" descr="Example of Emergency Order checkbox screen capture"/>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5943600" cy="3004185"/>
                    </a:xfrm>
                    <a:prstGeom prst="rect">
                      <a:avLst/>
                    </a:prstGeom>
                    <a:noFill/>
                    <a:ln>
                      <a:noFill/>
                    </a:ln>
                  </pic:spPr>
                </pic:pic>
              </a:graphicData>
            </a:graphic>
          </wp:inline>
        </w:drawing>
      </w:r>
    </w:p>
    <w:p w14:paraId="020479C9" w14:textId="77777777" w:rsidR="008818F2" w:rsidRPr="000026FF" w:rsidRDefault="008818F2" w:rsidP="001055DF">
      <w:pPr>
        <w:numPr>
          <w:ilvl w:val="0"/>
          <w:numId w:val="70"/>
        </w:numPr>
        <w:spacing w:before="60" w:after="120"/>
        <w:ind w:left="360"/>
        <w:rPr>
          <w:sz w:val="22"/>
          <w:szCs w:val="22"/>
        </w:rPr>
      </w:pPr>
      <w:r w:rsidRPr="000026FF">
        <w:rPr>
          <w:sz w:val="22"/>
          <w:szCs w:val="22"/>
        </w:rPr>
        <w:t>Select Units and issue from the Emergency Issue tab until a specimen is received.</w:t>
      </w:r>
    </w:p>
    <w:p w14:paraId="00C0CF97" w14:textId="228EB29F" w:rsidR="00910216" w:rsidRDefault="00910216" w:rsidP="001055DF">
      <w:pPr>
        <w:numPr>
          <w:ilvl w:val="0"/>
          <w:numId w:val="70"/>
        </w:numPr>
        <w:spacing w:before="60" w:after="120"/>
        <w:ind w:left="360"/>
        <w:rPr>
          <w:sz w:val="22"/>
          <w:szCs w:val="22"/>
        </w:rPr>
      </w:pPr>
      <w:r>
        <w:rPr>
          <w:sz w:val="22"/>
          <w:szCs w:val="22"/>
        </w:rPr>
        <w:br w:type="page"/>
      </w:r>
      <w:r w:rsidR="008818F2" w:rsidRPr="000026FF">
        <w:rPr>
          <w:sz w:val="22"/>
          <w:szCs w:val="22"/>
        </w:rPr>
        <w:lastRenderedPageBreak/>
        <w:t xml:space="preserve">Associate the specimen with the RBC order in Select Units by selecting one of the ISSUED units to perform retrospective crossmatch testing. Click the </w:t>
      </w:r>
      <w:r w:rsidR="004D44ED">
        <w:rPr>
          <w:sz w:val="22"/>
          <w:szCs w:val="22"/>
        </w:rPr>
        <w:t>Find</w:t>
      </w:r>
      <w:r w:rsidR="008818F2" w:rsidRPr="000026FF">
        <w:rPr>
          <w:sz w:val="22"/>
          <w:szCs w:val="22"/>
        </w:rPr>
        <w:t xml:space="preserve"> button to search for </w:t>
      </w:r>
      <w:r w:rsidR="00070C25">
        <w:rPr>
          <w:sz w:val="22"/>
          <w:szCs w:val="22"/>
        </w:rPr>
        <w:t xml:space="preserve">an </w:t>
      </w:r>
      <w:r w:rsidR="008818F2" w:rsidRPr="000026FF">
        <w:rPr>
          <w:sz w:val="22"/>
          <w:szCs w:val="22"/>
        </w:rPr>
        <w:t>available specimen UID</w:t>
      </w:r>
      <w:r w:rsidR="009219F9">
        <w:rPr>
          <w:sz w:val="22"/>
          <w:szCs w:val="22"/>
        </w:rPr>
        <w:t xml:space="preserve"> (</w:t>
      </w:r>
      <w:r w:rsidR="00EE455E" w:rsidRPr="00EE455E">
        <w:rPr>
          <w:sz w:val="22"/>
          <w:szCs w:val="22"/>
        </w:rPr>
        <w:t xml:space="preserve">Figure </w:t>
      </w:r>
      <w:r w:rsidR="00EE455E" w:rsidRPr="00EE455E">
        <w:rPr>
          <w:noProof/>
          <w:sz w:val="22"/>
          <w:szCs w:val="22"/>
        </w:rPr>
        <w:t>90</w:t>
      </w:r>
      <w:r w:rsidR="009219F9" w:rsidRPr="009219F9">
        <w:rPr>
          <w:sz w:val="22"/>
          <w:szCs w:val="22"/>
        </w:rPr>
        <w:t>)</w:t>
      </w:r>
      <w:r w:rsidR="008818F2" w:rsidRPr="009219F9">
        <w:rPr>
          <w:sz w:val="22"/>
          <w:szCs w:val="22"/>
        </w:rPr>
        <w:t xml:space="preserve">. See the </w:t>
      </w:r>
      <w:r w:rsidR="00EE455E">
        <w:t>Select Units</w:t>
      </w:r>
      <w:r w:rsidR="009219F9">
        <w:rPr>
          <w:sz w:val="22"/>
          <w:szCs w:val="22"/>
        </w:rPr>
        <w:t xml:space="preserve"> section</w:t>
      </w:r>
      <w:r w:rsidR="008818F2" w:rsidRPr="000026FF">
        <w:rPr>
          <w:sz w:val="22"/>
          <w:szCs w:val="22"/>
        </w:rPr>
        <w:t xml:space="preserve"> for </w:t>
      </w:r>
      <w:r w:rsidR="00E90A01">
        <w:rPr>
          <w:sz w:val="22"/>
          <w:szCs w:val="22"/>
        </w:rPr>
        <w:t>additional</w:t>
      </w:r>
      <w:r w:rsidR="008818F2" w:rsidRPr="000026FF">
        <w:rPr>
          <w:sz w:val="22"/>
          <w:szCs w:val="22"/>
        </w:rPr>
        <w:t xml:space="preserve"> information.</w:t>
      </w:r>
    </w:p>
    <w:p w14:paraId="7FE896D7" w14:textId="35BBAB6C" w:rsidR="008818F2" w:rsidRPr="000026FF" w:rsidRDefault="00910216" w:rsidP="00910216">
      <w:pPr>
        <w:pStyle w:val="Caption"/>
      </w:pPr>
      <w:bookmarkStart w:id="498" w:name="_Ref507079875"/>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7D1829">
        <w:rPr>
          <w:noProof/>
        </w:rPr>
        <w:t>91</w:t>
      </w:r>
      <w:r w:rsidR="004E20BD">
        <w:rPr>
          <w:noProof/>
        </w:rPr>
        <w:fldChar w:fldCharType="end"/>
      </w:r>
      <w:bookmarkEnd w:id="498"/>
      <w:r>
        <w:t>: Example of Specimen UID</w:t>
      </w:r>
    </w:p>
    <w:p w14:paraId="18EFB5C8" w14:textId="29070385" w:rsidR="008818F2" w:rsidRDefault="00057948" w:rsidP="000026FF">
      <w:pPr>
        <w:pStyle w:val="BodyText"/>
      </w:pPr>
      <w:r>
        <w:rPr>
          <w:noProof/>
        </w:rPr>
        <mc:AlternateContent>
          <mc:Choice Requires="wps">
            <w:drawing>
              <wp:anchor distT="0" distB="0" distL="114300" distR="114300" simplePos="0" relativeHeight="251658246" behindDoc="0" locked="0" layoutInCell="1" allowOverlap="1" wp14:anchorId="6FA79141" wp14:editId="22242F55">
                <wp:simplePos x="0" y="0"/>
                <wp:positionH relativeFrom="column">
                  <wp:posOffset>4305300</wp:posOffset>
                </wp:positionH>
                <wp:positionV relativeFrom="paragraph">
                  <wp:posOffset>2019935</wp:posOffset>
                </wp:positionV>
                <wp:extent cx="1209675" cy="190500"/>
                <wp:effectExtent l="28575" t="19685" r="9525" b="8890"/>
                <wp:wrapNone/>
                <wp:docPr id="400" name="AutoShape 131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9675" cy="190500"/>
                        </a:xfrm>
                        <a:prstGeom prst="leftArrow">
                          <a:avLst>
                            <a:gd name="adj1" fmla="val 50000"/>
                            <a:gd name="adj2" fmla="val 158750"/>
                          </a:avLst>
                        </a:prstGeom>
                        <a:solidFill>
                          <a:srgbClr val="FF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515511" id="AutoShape 1317" o:spid="_x0000_s1026" type="#_x0000_t66" alt="&quot;&quot;" style="position:absolute;margin-left:339pt;margin-top:159.05pt;width:95.25pt;height:15pt;z-index:25209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" fillcolor="red"/>
            </w:pict>
          </mc:Fallback>
        </mc:AlternateContent>
      </w:r>
      <w:r w:rsidR="000D602C">
        <w:rPr>
          <w:noProof/>
        </w:rPr>
        <w:drawing>
          <wp:inline distT="0" distB="0" distL="0" distR="0" wp14:anchorId="52DA02C1" wp14:editId="57A5A8AD">
            <wp:extent cx="5943600" cy="3526790"/>
            <wp:effectExtent l="0" t="0" r="0" b="0"/>
            <wp:docPr id="153" name="Picture 153" descr="Example of Specimen UID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Picture 153" descr="Example of Specimen UID screen capture"/>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5943600" cy="3526790"/>
                    </a:xfrm>
                    <a:prstGeom prst="rect">
                      <a:avLst/>
                    </a:prstGeom>
                    <a:noFill/>
                    <a:ln>
                      <a:noFill/>
                    </a:ln>
                  </pic:spPr>
                </pic:pic>
              </a:graphicData>
            </a:graphic>
          </wp:inline>
        </w:drawing>
      </w:r>
    </w:p>
    <w:p w14:paraId="3F1D6DE2" w14:textId="77777777" w:rsidR="0073493B" w:rsidRDefault="00AC2D9E" w:rsidP="0073493B">
      <w:pPr>
        <w:pStyle w:val="Heading2"/>
      </w:pPr>
      <w:r>
        <w:br w:type="page"/>
      </w:r>
      <w:bookmarkStart w:id="499" w:name="_Toc203765913"/>
      <w:r w:rsidR="0073493B">
        <w:lastRenderedPageBreak/>
        <w:t>Maintain Specimen</w:t>
      </w:r>
      <w:bookmarkEnd w:id="499"/>
      <w:r w:rsidR="0073493B">
        <w:fldChar w:fldCharType="begin"/>
      </w:r>
      <w:r w:rsidR="0073493B">
        <w:instrText xml:space="preserve"> XE “Maintain Specimen” </w:instrText>
      </w:r>
      <w:r w:rsidR="0073493B">
        <w:fldChar w:fldCharType="end"/>
      </w:r>
      <w:r w:rsidR="0073493B">
        <w:t xml:space="preserve"> </w:t>
      </w:r>
      <w:r w:rsidR="0073493B">
        <w:rPr>
          <w:rFonts w:ascii="Times New Roman" w:hAnsi="Times New Roman" w:cs="Times New Roman"/>
          <w:b w:val="0"/>
          <w:i w:val="0"/>
          <w:vanish/>
          <w:sz w:val="22"/>
        </w:rPr>
        <w:t>UC_35</w:t>
      </w:r>
    </w:p>
    <w:p w14:paraId="670D41BA" w14:textId="77777777" w:rsidR="0073493B" w:rsidRDefault="0073493B" w:rsidP="0073493B">
      <w:pPr>
        <w:pStyle w:val="BodyText"/>
      </w:pPr>
      <w:r>
        <w:t xml:space="preserve">A specimen for testing is received in the blood bank and is processed as part of initial order acceptance, as described in Accept Orders: Accept an Order. </w:t>
      </w:r>
    </w:p>
    <w:p w14:paraId="029F797B" w14:textId="77777777" w:rsidR="0073493B" w:rsidRDefault="0073493B" w:rsidP="0073493B">
      <w:pPr>
        <w:pStyle w:val="Heading4"/>
      </w:pPr>
      <w:r>
        <w:t>Assumptions</w:t>
      </w:r>
      <w:r>
        <w:rPr>
          <w:b w:val="0"/>
        </w:rPr>
        <w:t xml:space="preserve"> </w:t>
      </w:r>
    </w:p>
    <w:p w14:paraId="3B040F4B" w14:textId="77777777" w:rsidR="0073493B" w:rsidRDefault="0073493B" w:rsidP="0073493B">
      <w:pPr>
        <w:pStyle w:val="ListBullet"/>
      </w:pPr>
      <w:r>
        <w:t>Pending CPRS orders and active orders require an acceptable specimen.</w:t>
      </w:r>
    </w:p>
    <w:p w14:paraId="25CB7F26" w14:textId="77777777" w:rsidR="0073493B" w:rsidRDefault="0073493B" w:rsidP="0073493B">
      <w:pPr>
        <w:pStyle w:val="ListBullet"/>
      </w:pPr>
      <w:r>
        <w:t xml:space="preserve">A specimen was collected and previously accessioned in the </w:t>
      </w:r>
      <w:r w:rsidRPr="00CA6E27">
        <w:rPr>
          <w:bCs/>
        </w:rPr>
        <w:t>VistA</w:t>
      </w:r>
      <w:r>
        <w:rPr>
          <w:b/>
          <w:bCs/>
        </w:rPr>
        <w:t xml:space="preserve"> </w:t>
      </w:r>
      <w:r>
        <w:rPr>
          <w:bCs/>
        </w:rPr>
        <w:t>Laboratory system, which generated</w:t>
      </w:r>
      <w:r>
        <w:t xml:space="preserve"> the specimen’s universal ID (UID). </w:t>
      </w:r>
    </w:p>
    <w:p w14:paraId="0AD9A98D" w14:textId="77777777" w:rsidR="0073493B" w:rsidRDefault="0073493B" w:rsidP="0073493B">
      <w:pPr>
        <w:pStyle w:val="Heading4"/>
      </w:pPr>
      <w:r>
        <w:t xml:space="preserve">Outcome </w:t>
      </w:r>
    </w:p>
    <w:p w14:paraId="5B4A4A68" w14:textId="77777777" w:rsidR="0073493B" w:rsidRDefault="0073493B" w:rsidP="0073493B">
      <w:pPr>
        <w:pStyle w:val="ListBullet"/>
      </w:pPr>
      <w:r>
        <w:t>The user accepted or rejected a specimen.</w:t>
      </w:r>
    </w:p>
    <w:p w14:paraId="2B6E2B52" w14:textId="77777777" w:rsidR="00561829" w:rsidRDefault="00561829" w:rsidP="00561829">
      <w:pPr>
        <w:pStyle w:val="ListBullet"/>
      </w:pPr>
      <w:r>
        <w:t>If workload codes are assigned for this process, workload-related data collected as the result of this process are stored for inclusion in Workload Reports.</w:t>
      </w:r>
    </w:p>
    <w:p w14:paraId="4C155CDC" w14:textId="77777777" w:rsidR="0073493B" w:rsidRDefault="0073493B" w:rsidP="0073493B">
      <w:pPr>
        <w:pStyle w:val="Heading4"/>
      </w:pPr>
      <w:r>
        <w:t>Limitations and Restrictions</w:t>
      </w:r>
      <w:r>
        <w:rPr>
          <w:b w:val="0"/>
        </w:rPr>
        <w:t xml:space="preserve"> </w:t>
      </w:r>
    </w:p>
    <w:p w14:paraId="6A983F08" w14:textId="77777777" w:rsidR="00597E97" w:rsidRDefault="00597E97" w:rsidP="0073493B">
      <w:pPr>
        <w:pStyle w:val="ListBullet"/>
      </w:pPr>
      <w:r>
        <w:t>When a search by UID causes VBECS to time out, repeat the search by UID and patient name or by patient name only.</w:t>
      </w:r>
      <w:r w:rsidR="009303DE">
        <w:t xml:space="preserve"> </w:t>
      </w:r>
      <w:r w:rsidR="009303DE" w:rsidRPr="009303DE">
        <w:rPr>
          <w:vanish/>
        </w:rPr>
        <w:t>(UserDoc Tasks 1089 and 1090)</w:t>
      </w:r>
    </w:p>
    <w:p w14:paraId="6DB71150" w14:textId="77777777" w:rsidR="0073493B" w:rsidRDefault="0073493B" w:rsidP="0073493B">
      <w:pPr>
        <w:pStyle w:val="ListBullet"/>
      </w:pPr>
      <w:r>
        <w:t>Specimen recollection requests must be made offline.</w:t>
      </w:r>
    </w:p>
    <w:p w14:paraId="23200A1F" w14:textId="77777777" w:rsidR="008F0300" w:rsidRDefault="008F0300" w:rsidP="0073493B">
      <w:pPr>
        <w:pStyle w:val="ListBullet"/>
      </w:pPr>
      <w:bookmarkStart w:id="500" w:name="OLE_LINK5"/>
      <w:bookmarkStart w:id="501" w:name="OLE_LINK6"/>
      <w:r>
        <w:t>Designating a specimen as “unacceptable” after accepting a CPRS order closes that order and requires a new CPRS order and sample.</w:t>
      </w:r>
    </w:p>
    <w:bookmarkEnd w:id="500"/>
    <w:bookmarkEnd w:id="501"/>
    <w:p w14:paraId="1F311C02" w14:textId="77777777" w:rsidR="0073493B" w:rsidRDefault="0073493B" w:rsidP="0073493B">
      <w:pPr>
        <w:pStyle w:val="Heading4"/>
      </w:pPr>
      <w:r>
        <w:t xml:space="preserve">Additional Information </w:t>
      </w:r>
    </w:p>
    <w:p w14:paraId="3A0C3CE9" w14:textId="58A97DEB" w:rsidR="0073493B" w:rsidRDefault="0073493B" w:rsidP="0073493B">
      <w:pPr>
        <w:pStyle w:val="ListBullet"/>
      </w:pPr>
      <w:r>
        <w:t>A specimen may be marked unsuitable for use after its acceptance.</w:t>
      </w:r>
      <w:r w:rsidR="00963554">
        <w:t xml:space="preserve"> </w:t>
      </w:r>
      <w:r w:rsidR="00963554" w:rsidRPr="00963554">
        <w:rPr>
          <w:vanish/>
        </w:rPr>
        <w:t>Defect 213368</w:t>
      </w:r>
    </w:p>
    <w:p w14:paraId="02899BBA" w14:textId="77777777" w:rsidR="0073493B" w:rsidRDefault="0073493B" w:rsidP="0073493B">
      <w:pPr>
        <w:pStyle w:val="ListBullet"/>
      </w:pPr>
      <w:r>
        <w:t>A specimen expiration date may be edited after acceptance.</w:t>
      </w:r>
    </w:p>
    <w:p w14:paraId="7427E351" w14:textId="77777777" w:rsidR="0073493B" w:rsidRDefault="0073493B" w:rsidP="0073493B">
      <w:pPr>
        <w:pStyle w:val="ListBullet"/>
      </w:pPr>
      <w:r>
        <w:t>A specimen may be recollected without</w:t>
      </w:r>
      <w:r w:rsidR="008F0300">
        <w:t xml:space="preserve"> canceling or reordering</w:t>
      </w:r>
      <w:r>
        <w:t xml:space="preserve"> the </w:t>
      </w:r>
      <w:r w:rsidRPr="00CA6E27">
        <w:rPr>
          <w:bCs/>
        </w:rPr>
        <w:t>VistA</w:t>
      </w:r>
      <w:r>
        <w:t xml:space="preserve"> order. This practice is dictated by local policy and procedures.</w:t>
      </w:r>
    </w:p>
    <w:p w14:paraId="394895D6" w14:textId="77777777" w:rsidR="0073493B" w:rsidRDefault="0073493B" w:rsidP="0073493B">
      <w:pPr>
        <w:pStyle w:val="ListBullet"/>
      </w:pPr>
      <w:r>
        <w:t>Specimens marked as originally associated with diagnostic tests only or unacceptable are not considered available specimens when CPRS is queried for specimen availability.</w:t>
      </w:r>
    </w:p>
    <w:p w14:paraId="30A90371" w14:textId="77777777" w:rsidR="0073493B" w:rsidRDefault="0073493B" w:rsidP="0073493B">
      <w:pPr>
        <w:pStyle w:val="Heading4"/>
        <w:rPr>
          <w:b w:val="0"/>
        </w:rPr>
      </w:pPr>
      <w:r>
        <w:t>User Roles with Access to This Option</w:t>
      </w:r>
    </w:p>
    <w:p w14:paraId="5EF5D194" w14:textId="77777777" w:rsidR="0073493B" w:rsidRDefault="0073493B" w:rsidP="0073493B">
      <w:pPr>
        <w:pStyle w:val="Roles"/>
        <w:rPr>
          <w:snapToGrid w:val="0"/>
        </w:rPr>
      </w:pPr>
      <w:r>
        <w:t>All users</w:t>
      </w:r>
    </w:p>
    <w:p w14:paraId="1775F834" w14:textId="77777777" w:rsidR="0073493B" w:rsidRDefault="0073493B" w:rsidP="0073493B">
      <w:pPr>
        <w:pStyle w:val="Heading4"/>
      </w:pPr>
      <w:r>
        <w:t>Maintain Specimen</w:t>
      </w:r>
    </w:p>
    <w:p w14:paraId="23BFA9C6" w14:textId="77777777" w:rsidR="0073493B" w:rsidRDefault="0073493B" w:rsidP="0073493B">
      <w:pPr>
        <w:pStyle w:val="BodyText"/>
      </w:pPr>
      <w:r>
        <w:t xml:space="preserve">A specimen for testing is received in the blood bank and is processed as part of initial order acceptance, as described in Accept Orders: Accept an Order. </w:t>
      </w:r>
    </w:p>
    <w:p w14:paraId="0AE0E454" w14:textId="77777777" w:rsidR="0073493B" w:rsidRDefault="0073493B" w:rsidP="0073493B">
      <w:pPr>
        <w:pStyle w:val="BodyText"/>
      </w:pPr>
      <w:r>
        <w:t>Information about a previously accepted specimen may be updated. The user may verify whether an active specimen is currently in the blood bank or update the information concerning a previously accepted specimen. After the user checks the physician’s order against the specimen requirement, the user verifies the specimen’s condition, labeling, and accompanying paperwork, according to local policy. The user verifies the specimen information and acceptability and prepares the specimen for testing.</w:t>
      </w:r>
    </w:p>
    <w:p w14:paraId="70A4245C" w14:textId="77777777" w:rsidR="0073493B" w:rsidRDefault="0073493B" w:rsidP="0073493B">
      <w:pPr>
        <w:pStyle w:val="BodyText"/>
      </w:pPr>
      <w:r>
        <w:t xml:space="preserve">The user may edit specimen information, such as extending the expiration time according to local policy, and marking a specimen as unsatisfactory or expired so that future orders require that a new specimen be collected. </w:t>
      </w:r>
    </w:p>
    <w:p w14:paraId="6413BFF3" w14:textId="77777777" w:rsidR="00E661A1" w:rsidRDefault="0073493B" w:rsidP="0073493B">
      <w:pPr>
        <w:pStyle w:val="BodyText"/>
      </w:pPr>
      <w:r>
        <w:lastRenderedPageBreak/>
        <w:t>When a specimen is required, the user must find that specimen before acknowledging that order, as described in Accept Orders: Accept an Order.</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73493B" w14:paraId="1936C87B" w14:textId="77777777">
        <w:trPr>
          <w:cantSplit/>
          <w:tblHeader/>
        </w:trPr>
        <w:tc>
          <w:tcPr>
            <w:tcW w:w="3240" w:type="dxa"/>
            <w:shd w:val="pct30" w:color="auto" w:fill="FFFFFF"/>
            <w:vAlign w:val="bottom"/>
          </w:tcPr>
          <w:p w14:paraId="7983C2AA" w14:textId="14F49460" w:rsidR="0073493B" w:rsidRDefault="00E661A1" w:rsidP="00141448">
            <w:pPr>
              <w:pStyle w:val="TableText"/>
              <w:rPr>
                <w:b/>
              </w:rPr>
            </w:pPr>
            <w:r>
              <w:br w:type="page"/>
            </w:r>
            <w:r w:rsidR="0073493B">
              <w:rPr>
                <w:b/>
              </w:rPr>
              <w:t>User Action</w:t>
            </w:r>
          </w:p>
        </w:tc>
        <w:tc>
          <w:tcPr>
            <w:tcW w:w="6120" w:type="dxa"/>
            <w:shd w:val="pct30" w:color="auto" w:fill="FFFFFF"/>
            <w:vAlign w:val="bottom"/>
          </w:tcPr>
          <w:p w14:paraId="4ECFE952" w14:textId="77777777" w:rsidR="0073493B" w:rsidRDefault="0073493B" w:rsidP="00141448">
            <w:pPr>
              <w:pStyle w:val="TableText"/>
              <w:rPr>
                <w:b/>
              </w:rPr>
            </w:pPr>
            <w:r>
              <w:rPr>
                <w:b/>
              </w:rPr>
              <w:t>VBECS</w:t>
            </w:r>
          </w:p>
        </w:tc>
      </w:tr>
      <w:tr w:rsidR="0073493B" w14:paraId="36AB06AA" w14:textId="77777777">
        <w:tc>
          <w:tcPr>
            <w:tcW w:w="3240" w:type="dxa"/>
          </w:tcPr>
          <w:p w14:paraId="65B5DA6B" w14:textId="77777777" w:rsidR="0073493B" w:rsidRDefault="0073493B" w:rsidP="00141448">
            <w:pPr>
              <w:pStyle w:val="TableTextNumbers"/>
            </w:pPr>
            <w:r>
              <w:t xml:space="preserve">Select </w:t>
            </w:r>
            <w:r>
              <w:rPr>
                <w:b/>
              </w:rPr>
              <w:t>Orders</w:t>
            </w:r>
            <w:r>
              <w:t xml:space="preserve"> from the main menu.</w:t>
            </w:r>
          </w:p>
          <w:p w14:paraId="0C891C82" w14:textId="77777777" w:rsidR="0073493B" w:rsidRDefault="0073493B" w:rsidP="00141448">
            <w:pPr>
              <w:pStyle w:val="TableTextNumbersContinued"/>
            </w:pPr>
          </w:p>
          <w:p w14:paraId="03174E58" w14:textId="77777777" w:rsidR="0073493B" w:rsidRDefault="0073493B" w:rsidP="00141448">
            <w:pPr>
              <w:pStyle w:val="TableTextNumbersContinued"/>
            </w:pPr>
            <w:r>
              <w:t xml:space="preserve">Select </w:t>
            </w:r>
            <w:r>
              <w:rPr>
                <w:b/>
              </w:rPr>
              <w:t>Maintain Specimen</w:t>
            </w:r>
            <w:r>
              <w:t>.</w:t>
            </w:r>
          </w:p>
        </w:tc>
        <w:tc>
          <w:tcPr>
            <w:tcW w:w="6120" w:type="dxa"/>
          </w:tcPr>
          <w:p w14:paraId="30253267" w14:textId="77777777" w:rsidR="0073493B" w:rsidRDefault="0073493B" w:rsidP="00141448">
            <w:pPr>
              <w:pStyle w:val="TableTextBullet"/>
            </w:pPr>
            <w:r>
              <w:t>Displays options for processing orders.</w:t>
            </w:r>
          </w:p>
          <w:p w14:paraId="1E0B683F" w14:textId="77777777" w:rsidR="0073493B" w:rsidRDefault="0073493B" w:rsidP="00141448">
            <w:pPr>
              <w:pStyle w:val="TableTextBullet"/>
            </w:pPr>
            <w:r>
              <w:t>Displays fields for entering patient specimen information.</w:t>
            </w:r>
          </w:p>
        </w:tc>
      </w:tr>
      <w:tr w:rsidR="0073493B" w14:paraId="54DD1152" w14:textId="77777777">
        <w:tc>
          <w:tcPr>
            <w:tcW w:w="3240" w:type="dxa"/>
          </w:tcPr>
          <w:p w14:paraId="5A2B7010" w14:textId="77777777" w:rsidR="0073493B" w:rsidRDefault="0073493B" w:rsidP="00141448">
            <w:pPr>
              <w:pStyle w:val="TableTextNumbers"/>
            </w:pPr>
            <w:r>
              <w:t>Scan or enter the specimen’s UID.</w:t>
            </w:r>
          </w:p>
        </w:tc>
        <w:tc>
          <w:tcPr>
            <w:tcW w:w="6120" w:type="dxa"/>
          </w:tcPr>
          <w:p w14:paraId="4F76FA84" w14:textId="77777777" w:rsidR="0073493B" w:rsidRDefault="0073493B" w:rsidP="00141448">
            <w:pPr>
              <w:pStyle w:val="TableTextBullet"/>
            </w:pPr>
            <w:r>
              <w:t xml:space="preserve">Displays a field to enter the specimen UID and allows the user to search for existing specimens. </w:t>
            </w:r>
          </w:p>
          <w:p w14:paraId="22757897" w14:textId="77777777" w:rsidR="0073493B" w:rsidRDefault="0073493B" w:rsidP="00141448">
            <w:pPr>
              <w:pStyle w:val="TableTextBullet"/>
            </w:pPr>
            <w:r>
              <w:t>Displays previously entered information for the specimen and accommodates data entry of new specimen information.</w:t>
            </w:r>
          </w:p>
          <w:p w14:paraId="0F9FFC25" w14:textId="77777777" w:rsidR="0073493B" w:rsidRDefault="0073493B" w:rsidP="00141448">
            <w:pPr>
              <w:pStyle w:val="TableText"/>
            </w:pPr>
          </w:p>
          <w:p w14:paraId="0798CF44" w14:textId="70F9DE91" w:rsidR="0073493B" w:rsidRDefault="0073493B" w:rsidP="00141448">
            <w:pPr>
              <w:pStyle w:val="TableText"/>
              <w:rPr>
                <w:b/>
                <w:bCs/>
                <w:szCs w:val="18"/>
              </w:rPr>
            </w:pPr>
            <w:r>
              <w:rPr>
                <w:b/>
                <w:bCs/>
                <w:szCs w:val="18"/>
              </w:rPr>
              <w:t>NOTES</w:t>
            </w:r>
          </w:p>
          <w:p w14:paraId="0C54238C" w14:textId="77777777" w:rsidR="0073493B" w:rsidRDefault="0073493B" w:rsidP="00141448">
            <w:pPr>
              <w:pStyle w:val="NotesText"/>
            </w:pPr>
          </w:p>
          <w:p w14:paraId="12E45C0C" w14:textId="77777777" w:rsidR="0073493B" w:rsidRDefault="0073493B" w:rsidP="00141448">
            <w:pPr>
              <w:pStyle w:val="NotesText"/>
            </w:pPr>
            <w:r>
              <w:t xml:space="preserve">The user may: </w:t>
            </w:r>
          </w:p>
          <w:p w14:paraId="5DABF5F3" w14:textId="77777777" w:rsidR="0073493B" w:rsidRDefault="0073493B" w:rsidP="00141448">
            <w:pPr>
              <w:pStyle w:val="NotesTextBullet"/>
            </w:pPr>
            <w:r>
              <w:t>Create and/or maintain a specimen associated with an order from Accept Orders: Accept an Order.</w:t>
            </w:r>
          </w:p>
          <w:p w14:paraId="290750F5" w14:textId="77777777" w:rsidR="0073493B" w:rsidRDefault="0073493B" w:rsidP="00141448">
            <w:pPr>
              <w:pStyle w:val="NotesTextBullet"/>
            </w:pPr>
            <w:r>
              <w:t>Update specimen information from a previously received specimen.</w:t>
            </w:r>
          </w:p>
          <w:p w14:paraId="18B98D24" w14:textId="77777777" w:rsidR="0073493B" w:rsidRDefault="0073493B" w:rsidP="00141448">
            <w:pPr>
              <w:pStyle w:val="NotesText"/>
            </w:pPr>
          </w:p>
          <w:p w14:paraId="21685228" w14:textId="77777777" w:rsidR="0073493B" w:rsidRDefault="0073493B" w:rsidP="00141448">
            <w:pPr>
              <w:pStyle w:val="NotesText"/>
            </w:pPr>
            <w:r>
              <w:rPr>
                <w:rFonts w:cs="Arial"/>
                <w:vanish/>
              </w:rPr>
              <w:t xml:space="preserve">BR_35.04 </w:t>
            </w:r>
            <w:r>
              <w:t xml:space="preserve">Specimens associated with blood bank diagnostic tests are not available in Maintain Specimen. </w:t>
            </w:r>
            <w:r w:rsidR="00113E2C">
              <w:t>Specimens collected for diagnostic tests only are to be used for performing the specifically ordered tests and are not available for processing blood component orders.</w:t>
            </w:r>
            <w:r w:rsidR="00A4315F">
              <w:t xml:space="preserve"> </w:t>
            </w:r>
          </w:p>
          <w:p w14:paraId="3A248539" w14:textId="77777777" w:rsidR="0073493B" w:rsidRDefault="0073493B" w:rsidP="00141448">
            <w:pPr>
              <w:pStyle w:val="NotesText"/>
            </w:pPr>
          </w:p>
          <w:p w14:paraId="2617BA7E" w14:textId="44C4C61C" w:rsidR="0073493B" w:rsidRDefault="0078306A" w:rsidP="00141448">
            <w:pPr>
              <w:pStyle w:val="NotesText"/>
            </w:pPr>
            <w:r>
              <w:t xml:space="preserve">See </w:t>
            </w:r>
            <w:r w:rsidR="00EE455E" w:rsidRPr="008000E5">
              <w:t>Configure Division</w:t>
            </w:r>
            <w:r>
              <w:t xml:space="preserve"> for how long t</w:t>
            </w:r>
            <w:r w:rsidR="0073493B">
              <w:t xml:space="preserve">he orders and associated specimens </w:t>
            </w:r>
            <w:r>
              <w:t>can be</w:t>
            </w:r>
            <w:r w:rsidR="0073493B">
              <w:t xml:space="preserve"> maintained before th</w:t>
            </w:r>
            <w:r>
              <w:t xml:space="preserve">ey </w:t>
            </w:r>
            <w:r w:rsidR="0073493B">
              <w:t>expire: Type &amp; Screen (TAS), component orders (RBC, FFP, CRYO, PLT, WB, OTHER).</w:t>
            </w:r>
          </w:p>
          <w:p w14:paraId="775A44FE" w14:textId="77777777" w:rsidR="0073493B" w:rsidRDefault="0073493B" w:rsidP="00141448">
            <w:pPr>
              <w:pStyle w:val="NotesText"/>
            </w:pPr>
          </w:p>
          <w:p w14:paraId="5D15C094" w14:textId="77777777" w:rsidR="0073493B" w:rsidRDefault="0073493B" w:rsidP="00141448">
            <w:pPr>
              <w:pStyle w:val="NotesText"/>
            </w:pPr>
            <w:r>
              <w:t>The list of orderable and reflex tests below may be added to a specimen maintained for a component order, but may not have a component order added to them: they do not have maintained specimens.</w:t>
            </w:r>
          </w:p>
          <w:p w14:paraId="2689D4CB" w14:textId="77777777" w:rsidR="0073493B" w:rsidRDefault="0073493B" w:rsidP="00141448">
            <w:pPr>
              <w:pStyle w:val="NotesText"/>
            </w:pPr>
          </w:p>
          <w:p w14:paraId="10B54039" w14:textId="77777777" w:rsidR="0073493B" w:rsidRDefault="0073493B" w:rsidP="00141448">
            <w:pPr>
              <w:pStyle w:val="NotesText"/>
            </w:pPr>
            <w:r>
              <w:t>The</w:t>
            </w:r>
            <w:r w:rsidR="00C53077">
              <w:t>se test</w:t>
            </w:r>
            <w:r>
              <w:t xml:space="preserve">s have a specimen drawn and used for their ordered test. The specimens are not maintained for component preparation: </w:t>
            </w:r>
          </w:p>
          <w:p w14:paraId="146D8155" w14:textId="77777777" w:rsidR="0073493B" w:rsidRDefault="0073493B" w:rsidP="00141448">
            <w:pPr>
              <w:pStyle w:val="NotesTextBullet"/>
            </w:pPr>
            <w:r>
              <w:t>DAT</w:t>
            </w:r>
          </w:p>
          <w:p w14:paraId="48075D50" w14:textId="77777777" w:rsidR="0073493B" w:rsidRDefault="0073493B" w:rsidP="00141448">
            <w:pPr>
              <w:pStyle w:val="NotesTextBullet"/>
            </w:pPr>
            <w:r>
              <w:t>ABS</w:t>
            </w:r>
          </w:p>
          <w:p w14:paraId="5D93B22F" w14:textId="77777777" w:rsidR="0073493B" w:rsidRDefault="0073493B" w:rsidP="00141448">
            <w:pPr>
              <w:pStyle w:val="NotesTextBullet"/>
            </w:pPr>
            <w:r>
              <w:t>ABO/Rh</w:t>
            </w:r>
          </w:p>
          <w:p w14:paraId="0627930A" w14:textId="77777777" w:rsidR="0073493B" w:rsidRDefault="00A10483" w:rsidP="00141448">
            <w:pPr>
              <w:pStyle w:val="NotesTextBullet"/>
            </w:pPr>
            <w:r>
              <w:t>Transfusion</w:t>
            </w:r>
            <w:r w:rsidR="00113E2C">
              <w:t xml:space="preserve"> </w:t>
            </w:r>
            <w:r w:rsidR="0073493B">
              <w:t>R</w:t>
            </w:r>
            <w:r w:rsidR="00113E2C">
              <w:t xml:space="preserve">eaction </w:t>
            </w:r>
            <w:r w:rsidR="0073493B">
              <w:t>W</w:t>
            </w:r>
            <w:r w:rsidR="00113E2C">
              <w:t>orkup (TRW)</w:t>
            </w:r>
          </w:p>
          <w:p w14:paraId="37409191" w14:textId="77777777" w:rsidR="0073493B" w:rsidRDefault="0073493B" w:rsidP="00141448">
            <w:pPr>
              <w:pStyle w:val="NotesText"/>
            </w:pPr>
          </w:p>
          <w:p w14:paraId="4DC172D3" w14:textId="77777777" w:rsidR="0073493B" w:rsidRDefault="0073493B" w:rsidP="00564CD2">
            <w:pPr>
              <w:pStyle w:val="NotesText"/>
            </w:pPr>
            <w:r>
              <w:rPr>
                <w:rFonts w:cs="Arial"/>
                <w:vanish/>
              </w:rPr>
              <w:t xml:space="preserve">BR_35.22 </w:t>
            </w:r>
            <w:r>
              <w:t>VBECS allows the user to search all existing patient specimens associated with a specific patient. The user may enter the patient name or a specimen UID to access the list.</w:t>
            </w:r>
          </w:p>
          <w:p w14:paraId="7EF8DAE4" w14:textId="77777777" w:rsidR="00932E77" w:rsidRDefault="00932E77" w:rsidP="00564CD2">
            <w:pPr>
              <w:pStyle w:val="NotesText"/>
            </w:pPr>
          </w:p>
          <w:p w14:paraId="0925148A" w14:textId="77777777" w:rsidR="00BB4B43" w:rsidRPr="00BB4B43" w:rsidRDefault="00932E77" w:rsidP="00A73BE2">
            <w:pPr>
              <w:pStyle w:val="NotesText"/>
            </w:pPr>
            <w:r w:rsidRPr="0041143E">
              <w:rPr>
                <w:vanish/>
              </w:rPr>
              <w:t xml:space="preserve">BR_35.24 </w:t>
            </w:r>
            <w:r w:rsidR="00BB4B43" w:rsidRPr="00BB4B43">
              <w:t>The specimen collection date/time must be in the past and be before or equal to the specimen received date/time.</w:t>
            </w:r>
          </w:p>
          <w:p w14:paraId="6E9195A5" w14:textId="77777777" w:rsidR="00BB4B43" w:rsidRPr="00BB4B43" w:rsidRDefault="00BB4B43" w:rsidP="00A73BE2">
            <w:pPr>
              <w:pStyle w:val="NotesText"/>
            </w:pPr>
          </w:p>
          <w:p w14:paraId="6226DEE3" w14:textId="77777777" w:rsidR="00BB4B43" w:rsidRPr="00BB4B43" w:rsidRDefault="00BB4B43" w:rsidP="00A73BE2">
            <w:pPr>
              <w:pStyle w:val="NotesText"/>
            </w:pPr>
            <w:r w:rsidRPr="00BB4B43">
              <w:t>The specimen received date/time must be in the past and be before or equal to the specimen expiration date/time.</w:t>
            </w:r>
          </w:p>
          <w:p w14:paraId="0841A5BA" w14:textId="77777777" w:rsidR="00BB4B43" w:rsidRPr="00BB4B43" w:rsidRDefault="00BB4B43" w:rsidP="00A73BE2">
            <w:pPr>
              <w:pStyle w:val="NotesText"/>
            </w:pPr>
          </w:p>
          <w:p w14:paraId="431D4496" w14:textId="597F7C54" w:rsidR="00932E77" w:rsidRDefault="00BB4B43" w:rsidP="00A73BE2">
            <w:pPr>
              <w:pStyle w:val="NotesText"/>
            </w:pPr>
            <w:r w:rsidRPr="00BB4B43">
              <w:lastRenderedPageBreak/>
              <w:t>The specimen expiration date/time may be in the past or future and it must be within the specimen collection</w:t>
            </w:r>
            <w:r w:rsidRPr="0041143E">
              <w:t xml:space="preserve"> date/time plus the maximum specimen expiration days.</w:t>
            </w:r>
          </w:p>
        </w:tc>
      </w:tr>
      <w:tr w:rsidR="0073493B" w14:paraId="62CED686" w14:textId="77777777">
        <w:tc>
          <w:tcPr>
            <w:tcW w:w="3240" w:type="dxa"/>
          </w:tcPr>
          <w:p w14:paraId="3FEE6708" w14:textId="2A9E2305" w:rsidR="0073493B" w:rsidRDefault="0073493B" w:rsidP="00141448">
            <w:pPr>
              <w:pStyle w:val="TableTextNumbers"/>
            </w:pPr>
            <w:r>
              <w:lastRenderedPageBreak/>
              <w:t>Enter new specimen information or edit previously entered information</w:t>
            </w:r>
            <w:r w:rsidR="00833047">
              <w:t xml:space="preserve"> (</w:t>
            </w:r>
            <w:r w:rsidR="00EE455E">
              <w:t xml:space="preserve">Figure </w:t>
            </w:r>
            <w:r w:rsidR="00EE455E">
              <w:rPr>
                <w:noProof/>
              </w:rPr>
              <w:t>86</w:t>
            </w:r>
            <w:r w:rsidR="00833047">
              <w:t>)</w:t>
            </w:r>
            <w:r>
              <w:t>.</w:t>
            </w:r>
          </w:p>
        </w:tc>
        <w:tc>
          <w:tcPr>
            <w:tcW w:w="6120" w:type="dxa"/>
          </w:tcPr>
          <w:p w14:paraId="37F37B7E" w14:textId="77777777" w:rsidR="0073493B" w:rsidRPr="00BF10B2" w:rsidRDefault="0073493B" w:rsidP="00141448">
            <w:pPr>
              <w:pStyle w:val="TableTextBullet"/>
            </w:pPr>
            <w:r w:rsidRPr="00BF10B2">
              <w:t xml:space="preserve">Displays uneditable patient demographic information. </w:t>
            </w:r>
          </w:p>
          <w:p w14:paraId="12D56598" w14:textId="77777777" w:rsidR="0073493B" w:rsidRPr="00BF10B2" w:rsidRDefault="0073493B" w:rsidP="00141448">
            <w:pPr>
              <w:pStyle w:val="TableTextBullet"/>
            </w:pPr>
            <w:r w:rsidRPr="00BF10B2">
              <w:t>Displays an option to edit.</w:t>
            </w:r>
          </w:p>
          <w:p w14:paraId="1FA74360" w14:textId="77777777" w:rsidR="0073493B" w:rsidRPr="00BF10B2" w:rsidRDefault="0073493B" w:rsidP="00141448">
            <w:pPr>
              <w:pStyle w:val="TableText"/>
            </w:pPr>
          </w:p>
          <w:p w14:paraId="6ED07477" w14:textId="3CDC56B0" w:rsidR="0073493B" w:rsidRDefault="0073493B" w:rsidP="00141448">
            <w:pPr>
              <w:pStyle w:val="TableText"/>
              <w:rPr>
                <w:b/>
                <w:bCs/>
                <w:szCs w:val="18"/>
              </w:rPr>
            </w:pPr>
            <w:r>
              <w:rPr>
                <w:b/>
                <w:bCs/>
                <w:szCs w:val="18"/>
              </w:rPr>
              <w:t>NOTES</w:t>
            </w:r>
          </w:p>
          <w:p w14:paraId="4E10FB15" w14:textId="77777777" w:rsidR="0073493B" w:rsidRDefault="0073493B" w:rsidP="00141448">
            <w:pPr>
              <w:pStyle w:val="NotesText"/>
            </w:pPr>
          </w:p>
          <w:p w14:paraId="7C7D2639" w14:textId="40F724AC" w:rsidR="0073493B" w:rsidRDefault="0073493B" w:rsidP="00141448">
            <w:pPr>
              <w:pStyle w:val="NotesText"/>
            </w:pPr>
            <w:r>
              <w:rPr>
                <w:rFonts w:cs="Arial"/>
                <w:vanish/>
              </w:rPr>
              <w:t xml:space="preserve">BR_35.01 </w:t>
            </w:r>
            <w:r>
              <w:t>When the user extends the specimen expiration date and time, VBECS calculates the number of days by which the specimen was extended (based on the originally calculated expiration date) and the newly entered expiration date. VBECS compares the difference to the site parameter for the maximum number of extension days allowed for a specimen. When the entered expiration date exceeds the parameter, VBECS warns the user. There is no override.</w:t>
            </w:r>
          </w:p>
          <w:p w14:paraId="6446B2F9" w14:textId="0D70C745" w:rsidR="0071742A" w:rsidRDefault="0071742A" w:rsidP="00141448">
            <w:pPr>
              <w:pStyle w:val="NotesText"/>
            </w:pPr>
          </w:p>
          <w:p w14:paraId="3A995970" w14:textId="44E9E33A" w:rsidR="0071742A" w:rsidRDefault="000A7EFC" w:rsidP="00A96612">
            <w:pPr>
              <w:pStyle w:val="NotesText"/>
            </w:pPr>
            <w:r>
              <w:t>W</w:t>
            </w:r>
            <w:r w:rsidRPr="000A7EFC">
              <w:t>hen a sp</w:t>
            </w:r>
            <w:r>
              <w:t>ecimen expiration date is exten</w:t>
            </w:r>
            <w:r w:rsidRPr="000A7EFC">
              <w:t>ded</w:t>
            </w:r>
            <w:r>
              <w:t xml:space="preserve"> on patients with t</w:t>
            </w:r>
            <w:r w:rsidRPr="000A7EFC">
              <w:t>ransfusions greater than 3 months in the pa</w:t>
            </w:r>
            <w:r>
              <w:t>st</w:t>
            </w:r>
            <w:r w:rsidR="00737DBB">
              <w:t>,</w:t>
            </w:r>
            <w:r>
              <w:t xml:space="preserve"> it will trigger the warning that patient has been transfused in the past 3 months.</w:t>
            </w:r>
            <w:r w:rsidR="00730CAA">
              <w:t xml:space="preserve"> </w:t>
            </w:r>
            <w:r>
              <w:t>Users should c</w:t>
            </w:r>
            <w:r w:rsidRPr="000A7EFC">
              <w:t>omplete the override as requested to proceed per local policy and procedure.</w:t>
            </w:r>
          </w:p>
          <w:p w14:paraId="6830517D" w14:textId="77777777" w:rsidR="0073493B" w:rsidRDefault="0073493B" w:rsidP="00141448">
            <w:pPr>
              <w:pStyle w:val="NotesText"/>
            </w:pPr>
          </w:p>
          <w:p w14:paraId="20B3211F" w14:textId="743D7CA4" w:rsidR="0073493B" w:rsidRDefault="0073493B" w:rsidP="00141448">
            <w:pPr>
              <w:pStyle w:val="NotesText"/>
            </w:pPr>
            <w:r>
              <w:rPr>
                <w:rFonts w:cs="Arial"/>
                <w:vanish/>
              </w:rPr>
              <w:t xml:space="preserve">BR_35.02 </w:t>
            </w:r>
            <w:r>
              <w:t>The default expiration date is calculated as three days in the future with the day of the original specimen collection as “0.” For example, a specimen collected on September 16, 200</w:t>
            </w:r>
            <w:r w:rsidR="00E33504">
              <w:t>7</w:t>
            </w:r>
            <w:r>
              <w:t xml:space="preserve"> (regardless of the time), is day “0” and the calculated expiration date and time are September 19, 200</w:t>
            </w:r>
            <w:r w:rsidR="00E33504">
              <w:t>7</w:t>
            </w:r>
            <w:r>
              <w:t xml:space="preserve"> @ 23:59.</w:t>
            </w:r>
          </w:p>
          <w:p w14:paraId="130A6DA5" w14:textId="77777777" w:rsidR="0073493B" w:rsidRDefault="0073493B" w:rsidP="00141448">
            <w:pPr>
              <w:pStyle w:val="NotesText"/>
            </w:pPr>
          </w:p>
          <w:p w14:paraId="121CFC15" w14:textId="77777777" w:rsidR="0073493B" w:rsidRDefault="0073493B" w:rsidP="00141448">
            <w:pPr>
              <w:pStyle w:val="NotesText"/>
            </w:pPr>
            <w:r>
              <w:rPr>
                <w:rFonts w:cs="Arial"/>
                <w:vanish/>
              </w:rPr>
              <w:t xml:space="preserve">BR_35.20 </w:t>
            </w:r>
            <w:r>
              <w:t>When a new or existing specimen is being associated with a pending component order during Accept Orders: Accept an Order, the specimen must be acceptable.</w:t>
            </w:r>
          </w:p>
          <w:p w14:paraId="7CFF5A63" w14:textId="77777777" w:rsidR="0073493B" w:rsidRDefault="0073493B" w:rsidP="00141448">
            <w:pPr>
              <w:pStyle w:val="NotesText"/>
            </w:pPr>
          </w:p>
          <w:p w14:paraId="6B3B80F9" w14:textId="77777777" w:rsidR="0073493B" w:rsidRDefault="0073493B" w:rsidP="00141448">
            <w:pPr>
              <w:pStyle w:val="NotesText"/>
            </w:pPr>
            <w:r>
              <w:rPr>
                <w:rFonts w:cs="Arial"/>
                <w:vanish/>
              </w:rPr>
              <w:t xml:space="preserve">BR_16.14 </w:t>
            </w:r>
            <w:r>
              <w:t>When there is a specimen requirement for orders, each order must be evaluated for a valid specimen before it can be accepted.</w:t>
            </w:r>
          </w:p>
          <w:p w14:paraId="64CFB7C8" w14:textId="77777777" w:rsidR="0073493B" w:rsidRDefault="0073493B" w:rsidP="00141448">
            <w:pPr>
              <w:pStyle w:val="NotesText"/>
            </w:pPr>
          </w:p>
          <w:p w14:paraId="0FCA6015" w14:textId="77777777" w:rsidR="0073493B" w:rsidRDefault="0073493B" w:rsidP="00141448">
            <w:pPr>
              <w:pStyle w:val="NotesText"/>
            </w:pPr>
            <w:r>
              <w:rPr>
                <w:rFonts w:cs="Arial"/>
                <w:vanish/>
              </w:rPr>
              <w:t xml:space="preserve">BR_35.21 </w:t>
            </w:r>
            <w:r>
              <w:t>VBECS displays specimen UIDs for selection by CPRS-associated maintainable specimen and then by acceptable and unexpired maintainable specimens, in reverse chronological order.</w:t>
            </w:r>
          </w:p>
          <w:p w14:paraId="61D4B2BC" w14:textId="77777777" w:rsidR="0073493B" w:rsidRDefault="0073493B" w:rsidP="00141448">
            <w:pPr>
              <w:pStyle w:val="NotesText"/>
            </w:pPr>
          </w:p>
          <w:p w14:paraId="37D9BD79" w14:textId="77777777" w:rsidR="0073493B" w:rsidRDefault="0073493B" w:rsidP="00141448">
            <w:pPr>
              <w:pStyle w:val="NotesText"/>
            </w:pPr>
            <w:r>
              <w:t>VBECS allows</w:t>
            </w:r>
            <w:r>
              <w:rPr>
                <w:color w:val="000000"/>
              </w:rPr>
              <w:t xml:space="preserve"> the user to include expired and unacceptable specimens</w:t>
            </w:r>
            <w:r>
              <w:t>.</w:t>
            </w:r>
          </w:p>
          <w:p w14:paraId="3746A95E" w14:textId="77777777" w:rsidR="0073493B" w:rsidRDefault="0073493B" w:rsidP="00141448">
            <w:pPr>
              <w:pStyle w:val="NotesText"/>
            </w:pPr>
          </w:p>
          <w:p w14:paraId="2CDC4FE5" w14:textId="40DF9182" w:rsidR="0073493B" w:rsidRDefault="0073493B" w:rsidP="00141448">
            <w:pPr>
              <w:pStyle w:val="NotesText"/>
            </w:pPr>
            <w:r>
              <w:rPr>
                <w:rFonts w:cs="Arial"/>
                <w:vanish/>
              </w:rPr>
              <w:t>BR_35.05</w:t>
            </w:r>
            <w:r w:rsidRPr="00323744">
              <w:rPr>
                <w:rStyle w:val="BullhornChar"/>
              </w:rPr>
              <w:t></w:t>
            </w:r>
            <w:r>
              <w:rPr>
                <w:rFonts w:ascii="Webdings" w:hAnsi="Webdings"/>
              </w:rPr>
              <w:t></w:t>
            </w:r>
            <w:r w:rsidRPr="00263B24">
              <w:t>Wh</w:t>
            </w:r>
            <w:r>
              <w:t xml:space="preserve">en the user attempts to save an expiration date past the default of three days, VBECS checks the patient’s record for evidence of transfusion within the previous three months and the history of antibody identification, regardless of the division. If either is found, VBECS emits an audible alert, warns that the patient has evidence of transfusion within previous three months and/or antibody formation, and instructs the user to enter a comment to extend the specimen expiration date beyond three days. The user must enter a canned comment (with the specimen extension) and/or free-text comment to continue. </w:t>
            </w:r>
            <w:r>
              <w:lastRenderedPageBreak/>
              <w:t xml:space="preserve">VBECS captures details for inclusion in an Exception Report (exception type: </w:t>
            </w:r>
            <w:r w:rsidR="00DF7355">
              <w:t xml:space="preserve">Specimen </w:t>
            </w:r>
            <w:r>
              <w:t>expiration date extended).</w:t>
            </w:r>
          </w:p>
          <w:p w14:paraId="1AF1C861" w14:textId="77777777" w:rsidR="0073493B" w:rsidRDefault="0073493B" w:rsidP="00141448">
            <w:pPr>
              <w:pStyle w:val="NotesText"/>
            </w:pPr>
          </w:p>
          <w:p w14:paraId="48A0EFF4" w14:textId="77777777" w:rsidR="0073493B" w:rsidRDefault="0073493B" w:rsidP="00141448">
            <w:pPr>
              <w:pStyle w:val="NotesText"/>
            </w:pPr>
            <w:r>
              <w:rPr>
                <w:rFonts w:cs="Arial"/>
                <w:vanish/>
              </w:rPr>
              <w:t xml:space="preserve">BR_35.07 </w:t>
            </w:r>
            <w:r>
              <w:t>When the specimen is deemed unacceptable, the status of the orders associated with the specimen remains “pending” or “active.”</w:t>
            </w:r>
          </w:p>
          <w:p w14:paraId="61223EC0" w14:textId="77777777" w:rsidR="0073493B" w:rsidRDefault="0073493B" w:rsidP="00141448">
            <w:pPr>
              <w:pStyle w:val="NotesText"/>
            </w:pPr>
          </w:p>
          <w:p w14:paraId="79CE4727" w14:textId="77777777" w:rsidR="0073493B" w:rsidRDefault="0073493B" w:rsidP="00141448">
            <w:pPr>
              <w:pStyle w:val="NotesText"/>
            </w:pPr>
            <w:r>
              <w:rPr>
                <w:vanish/>
                <w:szCs w:val="18"/>
              </w:rPr>
              <w:t>BR_35.10</w:t>
            </w:r>
            <w:r w:rsidRPr="00323744">
              <w:rPr>
                <w:rStyle w:val="BullhornChar"/>
              </w:rPr>
              <w:t></w:t>
            </w:r>
            <w:r>
              <w:rPr>
                <w:rFonts w:ascii="Webdings" w:hAnsi="Webdings"/>
              </w:rPr>
              <w:t></w:t>
            </w:r>
            <w:r w:rsidRPr="00263B24">
              <w:t>Wh</w:t>
            </w:r>
            <w:r>
              <w:t>en a user attempts to reactivate a previously expired or unacceptable specimen, VBECS emits an audible alert, warns that this is a previously expired or unacceptable specimen, and instructs the user to enter a comment to make it available. A comment is required to continue. VBECS captures details for inclusion in an Exception Report (exception type: unacceptable/expired specimen used).</w:t>
            </w:r>
          </w:p>
          <w:p w14:paraId="798CA996" w14:textId="77777777" w:rsidR="0073493B" w:rsidRDefault="0073493B" w:rsidP="00141448">
            <w:pPr>
              <w:pStyle w:val="NotesText"/>
            </w:pPr>
          </w:p>
          <w:p w14:paraId="2452DA9A" w14:textId="77777777" w:rsidR="0073493B" w:rsidRDefault="0073493B" w:rsidP="00141448">
            <w:pPr>
              <w:pStyle w:val="NotesText"/>
            </w:pPr>
            <w:r>
              <w:rPr>
                <w:rFonts w:cs="Arial"/>
                <w:vanish/>
              </w:rPr>
              <w:t xml:space="preserve">BR_35.12 </w:t>
            </w:r>
            <w:r>
              <w:t>VBECS requires the date and time a specimen was collected and the phlebotomist ID.</w:t>
            </w:r>
          </w:p>
          <w:p w14:paraId="19990A35" w14:textId="77777777" w:rsidR="0073493B" w:rsidRDefault="0073493B" w:rsidP="00141448">
            <w:pPr>
              <w:pStyle w:val="NotesText"/>
            </w:pPr>
          </w:p>
          <w:p w14:paraId="1F2958F1" w14:textId="77777777" w:rsidR="0073493B" w:rsidRDefault="0073493B" w:rsidP="00141448">
            <w:pPr>
              <w:pStyle w:val="NotesText"/>
            </w:pPr>
            <w:r>
              <w:rPr>
                <w:rFonts w:cs="Arial"/>
                <w:vanish/>
              </w:rPr>
              <w:t xml:space="preserve">BR_35.14 </w:t>
            </w:r>
            <w:r>
              <w:t>When a specimen is process</w:t>
            </w:r>
            <w:r w:rsidR="00874D0E">
              <w:t>ed</w:t>
            </w:r>
            <w:r>
              <w:t xml:space="preserve">, VBECS displays the details of associated orders (read only). </w:t>
            </w:r>
          </w:p>
          <w:p w14:paraId="1045C62F" w14:textId="77777777" w:rsidR="0073493B" w:rsidRDefault="0073493B" w:rsidP="00141448">
            <w:pPr>
              <w:pStyle w:val="NotesText"/>
            </w:pPr>
          </w:p>
          <w:p w14:paraId="5FD0A821" w14:textId="77777777" w:rsidR="0073493B" w:rsidRDefault="0073493B" w:rsidP="00141448">
            <w:pPr>
              <w:pStyle w:val="NotesText"/>
            </w:pPr>
            <w:r>
              <w:rPr>
                <w:rFonts w:cs="Arial"/>
                <w:vanish/>
              </w:rPr>
              <w:t xml:space="preserve">BR_35.17 </w:t>
            </w:r>
            <w:r>
              <w:t xml:space="preserve">The user must enter a comment when marking a specimen as unacceptable. </w:t>
            </w:r>
          </w:p>
        </w:tc>
      </w:tr>
      <w:tr w:rsidR="0073493B" w14:paraId="582C460A" w14:textId="77777777">
        <w:tc>
          <w:tcPr>
            <w:tcW w:w="3240" w:type="dxa"/>
          </w:tcPr>
          <w:p w14:paraId="3408B908" w14:textId="77777777" w:rsidR="0073493B" w:rsidRDefault="0073493B" w:rsidP="00141448">
            <w:pPr>
              <w:pStyle w:val="TableTextNumbers"/>
            </w:pPr>
            <w:r>
              <w:lastRenderedPageBreak/>
              <w:t>Enter or verify specimen-related information from Step 3.</w:t>
            </w:r>
          </w:p>
        </w:tc>
        <w:tc>
          <w:tcPr>
            <w:tcW w:w="6120" w:type="dxa"/>
          </w:tcPr>
          <w:p w14:paraId="4DAF4664" w14:textId="77777777" w:rsidR="0073493B" w:rsidRDefault="0073493B" w:rsidP="00141448">
            <w:pPr>
              <w:pStyle w:val="TableTextBullet"/>
            </w:pPr>
            <w:r>
              <w:t>Allows the user to review and edit previously entered information.</w:t>
            </w:r>
          </w:p>
        </w:tc>
      </w:tr>
      <w:tr w:rsidR="0073493B" w14:paraId="5F82AFB3" w14:textId="77777777">
        <w:tc>
          <w:tcPr>
            <w:tcW w:w="3240" w:type="dxa"/>
          </w:tcPr>
          <w:p w14:paraId="3587D410" w14:textId="77777777" w:rsidR="0073493B" w:rsidRDefault="0073493B" w:rsidP="00141448">
            <w:pPr>
              <w:pStyle w:val="TableTextNumbers"/>
            </w:pPr>
            <w:r>
              <w:t xml:space="preserve">Review the entered information and click </w:t>
            </w:r>
            <w:r>
              <w:rPr>
                <w:b/>
              </w:rPr>
              <w:t>OK</w:t>
            </w:r>
            <w:r>
              <w:t xml:space="preserve"> to save.</w:t>
            </w:r>
          </w:p>
        </w:tc>
        <w:tc>
          <w:tcPr>
            <w:tcW w:w="6120" w:type="dxa"/>
          </w:tcPr>
          <w:p w14:paraId="36DF28E7" w14:textId="77777777" w:rsidR="0073493B" w:rsidRDefault="0073493B" w:rsidP="00141448">
            <w:pPr>
              <w:pStyle w:val="TableTextBullet"/>
            </w:pPr>
            <w:r>
              <w:t>Saves the data for use in further specimen order processing and subsequent retrieval.</w:t>
            </w:r>
          </w:p>
          <w:p w14:paraId="2A30FD83" w14:textId="77777777" w:rsidR="005218E2" w:rsidRDefault="005218E2" w:rsidP="005218E2">
            <w:pPr>
              <w:pStyle w:val="TableText"/>
            </w:pPr>
          </w:p>
          <w:p w14:paraId="347A4B07" w14:textId="6BF67B12" w:rsidR="005218E2" w:rsidRDefault="005218E2" w:rsidP="005218E2">
            <w:pPr>
              <w:pStyle w:val="TableText"/>
              <w:rPr>
                <w:b/>
                <w:bCs/>
                <w:szCs w:val="18"/>
              </w:rPr>
            </w:pPr>
            <w:r>
              <w:rPr>
                <w:b/>
                <w:bCs/>
                <w:szCs w:val="18"/>
              </w:rPr>
              <w:t>NOTES</w:t>
            </w:r>
          </w:p>
          <w:p w14:paraId="529D2D79" w14:textId="77777777" w:rsidR="005218E2" w:rsidRDefault="005218E2" w:rsidP="005218E2">
            <w:pPr>
              <w:pStyle w:val="NotesText"/>
            </w:pPr>
          </w:p>
          <w:p w14:paraId="72E6644E" w14:textId="77777777" w:rsidR="0073493B" w:rsidRDefault="0073493B" w:rsidP="00141448">
            <w:pPr>
              <w:pStyle w:val="NotesText"/>
            </w:pPr>
            <w:r>
              <w:rPr>
                <w:rFonts w:cs="Arial"/>
                <w:vanish/>
              </w:rPr>
              <w:t xml:space="preserve">BR_35.23 </w:t>
            </w:r>
            <w:r>
              <w:t xml:space="preserve">When saving or updating an expired specimen, VBECS warns the user and asks whether he wishes to continue. The user may continue without </w:t>
            </w:r>
            <w:r w:rsidR="00C90418">
              <w:t xml:space="preserve">entering </w:t>
            </w:r>
            <w:r>
              <w:t>a comment.</w:t>
            </w:r>
          </w:p>
          <w:p w14:paraId="0BA2ED04" w14:textId="77777777" w:rsidR="0073493B" w:rsidRDefault="0073493B" w:rsidP="00141448">
            <w:pPr>
              <w:pStyle w:val="NotesText"/>
            </w:pPr>
          </w:p>
          <w:p w14:paraId="046B5C7E" w14:textId="77777777" w:rsidR="0073493B" w:rsidRDefault="0073493B" w:rsidP="00141448">
            <w:pPr>
              <w:pStyle w:val="NotesText"/>
            </w:pPr>
            <w:r>
              <w:rPr>
                <w:vanish/>
                <w:szCs w:val="18"/>
              </w:rPr>
              <w:t>BR_35.11</w:t>
            </w:r>
            <w:r w:rsidR="00CE3961">
              <w:rPr>
                <w:vanish/>
                <w:szCs w:val="18"/>
              </w:rPr>
              <w:t>,</w:t>
            </w:r>
            <w:r>
              <w:rPr>
                <w:vanish/>
                <w:szCs w:val="18"/>
              </w:rPr>
              <w:t xml:space="preserve"> BR_35.15 </w:t>
            </w:r>
            <w:r>
              <w:t xml:space="preserve">The UID initially used to identify the specimen becomes the VBECS specimen number, which VBECS retains and uses to process subsequent orders during the life of the specimen, including CPRS, VBECS, and Laboratory orders, and UIDs associated with the specimen. A historical record lists changes made to the specimen and is available for review. </w:t>
            </w:r>
          </w:p>
          <w:p w14:paraId="25C7FD6E" w14:textId="77777777" w:rsidR="0073493B" w:rsidRDefault="0073493B" w:rsidP="00141448">
            <w:pPr>
              <w:pStyle w:val="NotesText"/>
            </w:pPr>
          </w:p>
          <w:p w14:paraId="04522C85" w14:textId="77777777" w:rsidR="0073493B" w:rsidRDefault="0073493B" w:rsidP="00141448">
            <w:pPr>
              <w:pStyle w:val="NotesText"/>
            </w:pPr>
            <w:r>
              <w:rPr>
                <w:rFonts w:cs="Arial"/>
                <w:vanish/>
              </w:rPr>
              <w:t xml:space="preserve">BR_35.06 </w:t>
            </w:r>
            <w:r>
              <w:t>A permanent link remains between an exhausted or unacceptable specimen UID and its order, which allows the user to document the recollection of a new specimen, according to local policy.</w:t>
            </w:r>
          </w:p>
        </w:tc>
      </w:tr>
      <w:tr w:rsidR="0073493B" w14:paraId="6590C906" w14:textId="77777777">
        <w:tc>
          <w:tcPr>
            <w:tcW w:w="3240" w:type="dxa"/>
          </w:tcPr>
          <w:p w14:paraId="339B4783" w14:textId="77777777" w:rsidR="0073493B" w:rsidRDefault="0073493B" w:rsidP="00141448">
            <w:pPr>
              <w:pStyle w:val="TableTextNumbers"/>
            </w:pPr>
            <w:r>
              <w:t xml:space="preserve">Click </w:t>
            </w:r>
            <w:r>
              <w:rPr>
                <w:b/>
              </w:rPr>
              <w:t>OK</w:t>
            </w:r>
            <w:r>
              <w:t xml:space="preserve"> to exit.</w:t>
            </w:r>
            <w:r w:rsidRPr="00B93B42">
              <w:rPr>
                <w:rStyle w:val="StyleTableTextNumbersWhite1Char"/>
              </w:rPr>
              <w:t xml:space="preserve"> </w:t>
            </w:r>
            <w:r>
              <w:rPr>
                <w:vanish/>
                <w:color w:val="FFFFFF"/>
                <w:szCs w:val="18"/>
              </w:rPr>
              <w:fldChar w:fldCharType="begin"/>
            </w:r>
            <w:r>
              <w:rPr>
                <w:vanish/>
                <w:color w:val="FFFFFF"/>
                <w:szCs w:val="18"/>
              </w:rPr>
              <w:instrText xml:space="preserve"> LISTNUM \l 1 \s 0 </w:instrText>
            </w:r>
            <w:r>
              <w:rPr>
                <w:vanish/>
                <w:color w:val="FFFFFF"/>
                <w:szCs w:val="18"/>
              </w:rPr>
              <w:fldChar w:fldCharType="end">
                <w:numberingChange w:id="502" w:author="MUSZYNSKI, THOMAS D. (SIERRA 7 INC)" w:date="2024-11-26T07:15:00Z" w:original="0."/>
              </w:fldChar>
            </w:r>
          </w:p>
        </w:tc>
        <w:tc>
          <w:tcPr>
            <w:tcW w:w="6120" w:type="dxa"/>
          </w:tcPr>
          <w:p w14:paraId="67132C21" w14:textId="77777777" w:rsidR="0073493B" w:rsidRDefault="0073493B" w:rsidP="00141448">
            <w:pPr>
              <w:pStyle w:val="TableText"/>
            </w:pPr>
          </w:p>
        </w:tc>
      </w:tr>
    </w:tbl>
    <w:p w14:paraId="7E7CDF9D" w14:textId="77777777" w:rsidR="002A21AE" w:rsidRDefault="0073493B" w:rsidP="0073493B">
      <w:pPr>
        <w:pStyle w:val="Heading2"/>
      </w:pPr>
      <w:r>
        <w:br w:type="page"/>
      </w:r>
      <w:bookmarkStart w:id="503" w:name="_Toc203765914"/>
      <w:r w:rsidR="002A21AE">
        <w:lastRenderedPageBreak/>
        <w:t>Patient Testing: Cancel an Active Order</w:t>
      </w:r>
      <w:bookmarkEnd w:id="503"/>
      <w:r w:rsidR="002A21AE">
        <w:fldChar w:fldCharType="begin"/>
      </w:r>
      <w:r w:rsidR="002A21AE">
        <w:instrText xml:space="preserve"> XE </w:instrText>
      </w:r>
      <w:r w:rsidR="00FA7E65">
        <w:instrText>“</w:instrText>
      </w:r>
      <w:r w:rsidR="002A21AE">
        <w:instrText>Patient Testing\: Cancel an Active Order</w:instrText>
      </w:r>
      <w:r w:rsidR="00FA7E65">
        <w:instrText>”</w:instrText>
      </w:r>
      <w:r w:rsidR="002A21AE">
        <w:instrText xml:space="preserve"> </w:instrText>
      </w:r>
      <w:r w:rsidR="002A21AE">
        <w:fldChar w:fldCharType="end"/>
      </w:r>
      <w:r w:rsidR="002A21AE">
        <w:t xml:space="preserve"> </w:t>
      </w:r>
      <w:r w:rsidR="002A21AE">
        <w:rPr>
          <w:rFonts w:ascii="Times New Roman" w:hAnsi="Times New Roman" w:cs="Times New Roman"/>
          <w:b w:val="0"/>
          <w:i w:val="0"/>
          <w:vanish/>
          <w:sz w:val="22"/>
        </w:rPr>
        <w:t>UC_72</w:t>
      </w:r>
    </w:p>
    <w:p w14:paraId="179B9495" w14:textId="77777777" w:rsidR="002A21AE" w:rsidRDefault="002A21AE" w:rsidP="00FA7E65">
      <w:pPr>
        <w:pStyle w:val="BodyText"/>
      </w:pPr>
      <w:r>
        <w:t xml:space="preserve">The user cancels an accepted order on the Pending Task List (PTL) and adds a comment to justify the cancellation. </w:t>
      </w:r>
    </w:p>
    <w:p w14:paraId="469FC60F" w14:textId="77777777" w:rsidR="002A21AE" w:rsidRDefault="002A21AE">
      <w:pPr>
        <w:pStyle w:val="Heading4"/>
      </w:pPr>
      <w:r>
        <w:t>Assumptions</w:t>
      </w:r>
      <w:r>
        <w:rPr>
          <w:b w:val="0"/>
        </w:rPr>
        <w:t xml:space="preserve"> </w:t>
      </w:r>
    </w:p>
    <w:p w14:paraId="7A7E148C" w14:textId="77777777" w:rsidR="002A21AE" w:rsidRDefault="002A21AE">
      <w:pPr>
        <w:pStyle w:val="ListBullet"/>
      </w:pPr>
      <w:r>
        <w:t>The order and the user are in the same division.</w:t>
      </w:r>
    </w:p>
    <w:p w14:paraId="51E73CAA" w14:textId="77777777" w:rsidR="002A21AE" w:rsidRDefault="002A21AE">
      <w:pPr>
        <w:pStyle w:val="ListBullet"/>
      </w:pPr>
      <w:r>
        <w:t>A user accepted an order that originated in CPRS through Accept Orders: Accept an Order, or created a reflex test order through Order Reflex Tests.</w:t>
      </w:r>
    </w:p>
    <w:p w14:paraId="2F0F1EB3" w14:textId="77777777" w:rsidR="002A21AE" w:rsidRDefault="002A21AE">
      <w:pPr>
        <w:pStyle w:val="ListBullet"/>
      </w:pPr>
      <w:r>
        <w:t xml:space="preserve">The connection to </w:t>
      </w:r>
      <w:r w:rsidR="00CA0045" w:rsidRPr="00CA0045">
        <w:rPr>
          <w:bCs/>
        </w:rPr>
        <w:t>VistA</w:t>
      </w:r>
      <w:r>
        <w:t xml:space="preserve"> is active.</w:t>
      </w:r>
    </w:p>
    <w:p w14:paraId="721983CE" w14:textId="77777777" w:rsidR="002A21AE" w:rsidRDefault="002A21AE">
      <w:pPr>
        <w:pStyle w:val="Heading4"/>
      </w:pPr>
      <w:r>
        <w:t xml:space="preserve">Outcome </w:t>
      </w:r>
    </w:p>
    <w:p w14:paraId="57E25A50" w14:textId="77777777" w:rsidR="002A21AE" w:rsidRDefault="002A21AE">
      <w:pPr>
        <w:pStyle w:val="ListBullet"/>
      </w:pPr>
      <w:r>
        <w:t>The order was removed from the PTL.</w:t>
      </w:r>
    </w:p>
    <w:p w14:paraId="21AF9F3B" w14:textId="77777777" w:rsidR="002A21AE" w:rsidRDefault="002A21AE">
      <w:pPr>
        <w:pStyle w:val="ListBullet"/>
      </w:pPr>
      <w:r>
        <w:t>An order update message was sent to CPRS.</w:t>
      </w:r>
    </w:p>
    <w:p w14:paraId="21FD3B66" w14:textId="77777777" w:rsidR="00561829" w:rsidRDefault="00561829" w:rsidP="00561829">
      <w:pPr>
        <w:pStyle w:val="ListBullet"/>
      </w:pPr>
      <w:r>
        <w:t>If workload codes are assigned for this process, workload-related data collected as the result of this process are stored for inclusion in Workload Reports.</w:t>
      </w:r>
    </w:p>
    <w:p w14:paraId="697C710C" w14:textId="77777777" w:rsidR="002A21AE" w:rsidRDefault="002A21AE">
      <w:pPr>
        <w:pStyle w:val="Heading4"/>
      </w:pPr>
      <w:r>
        <w:t>Limitations and Restrictions</w:t>
      </w:r>
      <w:r>
        <w:rPr>
          <w:b w:val="0"/>
        </w:rPr>
        <w:t xml:space="preserve"> </w:t>
      </w:r>
    </w:p>
    <w:p w14:paraId="6609D8A9" w14:textId="77777777" w:rsidR="002A21AE" w:rsidRDefault="002A21AE">
      <w:pPr>
        <w:pStyle w:val="ListBullet"/>
      </w:pPr>
      <w:r>
        <w:t>Cancellation of one order does not affect other orders placed with it.</w:t>
      </w:r>
    </w:p>
    <w:p w14:paraId="22C9BC8A" w14:textId="77777777" w:rsidR="002A21AE" w:rsidRDefault="002A21AE">
      <w:pPr>
        <w:pStyle w:val="ListBullet"/>
      </w:pPr>
      <w:r>
        <w:t>Before a user may cancel a partially completed task, he must invalidate the results for that task</w:t>
      </w:r>
      <w:r w:rsidR="00921485">
        <w:t>, thereby</w:t>
      </w:r>
      <w:r>
        <w:t xml:space="preserve"> changing its status to “not started.”</w:t>
      </w:r>
    </w:p>
    <w:p w14:paraId="5FF9077C" w14:textId="46E5F20E" w:rsidR="009D7C99" w:rsidRDefault="00E5135A">
      <w:pPr>
        <w:pStyle w:val="ListBullet"/>
      </w:pPr>
      <w:r w:rsidRPr="00E5135A">
        <w:t>If VistALink is not running when an order is cancelled, CPRS will not be updated about the order status.</w:t>
      </w:r>
    </w:p>
    <w:p w14:paraId="3052B840" w14:textId="77777777" w:rsidR="002A21AE" w:rsidRDefault="002A21AE">
      <w:pPr>
        <w:pStyle w:val="Heading4"/>
      </w:pPr>
      <w:r>
        <w:t xml:space="preserve">Additional Information </w:t>
      </w:r>
    </w:p>
    <w:p w14:paraId="707338FA" w14:textId="77777777" w:rsidR="002A21AE" w:rsidRDefault="002A21AE">
      <w:pPr>
        <w:pStyle w:val="ListBullet"/>
      </w:pPr>
      <w:r>
        <w:t>None</w:t>
      </w:r>
    </w:p>
    <w:p w14:paraId="0F5DC4D6" w14:textId="77777777" w:rsidR="002A21AE" w:rsidRDefault="002A21AE">
      <w:pPr>
        <w:pStyle w:val="Heading4"/>
        <w:rPr>
          <w:b w:val="0"/>
        </w:rPr>
      </w:pPr>
      <w:r>
        <w:rPr>
          <w:rStyle w:val="RolesChar"/>
        </w:rPr>
        <w:t>User Roles with</w:t>
      </w:r>
      <w:r>
        <w:t xml:space="preserve"> Access to This Option</w:t>
      </w:r>
      <w:r>
        <w:rPr>
          <w:b w:val="0"/>
        </w:rPr>
        <w:t xml:space="preserve"> </w:t>
      </w:r>
    </w:p>
    <w:p w14:paraId="1B54FC84" w14:textId="77777777" w:rsidR="002A21AE" w:rsidRDefault="002232A3">
      <w:pPr>
        <w:pStyle w:val="Roles"/>
        <w:rPr>
          <w:snapToGrid w:val="0"/>
        </w:rPr>
      </w:pPr>
      <w:r>
        <w:t>All users</w:t>
      </w:r>
    </w:p>
    <w:p w14:paraId="26682554" w14:textId="77777777" w:rsidR="002A21AE" w:rsidRDefault="002A21AE">
      <w:pPr>
        <w:pStyle w:val="Heading4"/>
      </w:pPr>
      <w:r>
        <w:t xml:space="preserve">Patient Testing: Cancel an Active Order </w:t>
      </w:r>
    </w:p>
    <w:p w14:paraId="046CC509" w14:textId="77777777" w:rsidR="002A21AE" w:rsidRDefault="002A21AE" w:rsidP="00FA7E65">
      <w:pPr>
        <w:pStyle w:val="BodyText"/>
      </w:pPr>
      <w:r>
        <w:t>The user selects one or more tasks to cancel from the PTL, cancels the accepted order from within VBECS, and adds a comment regarding the cancellation.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1FAF4DBC" w14:textId="77777777">
        <w:trPr>
          <w:cantSplit/>
          <w:tblHeader/>
        </w:trPr>
        <w:tc>
          <w:tcPr>
            <w:tcW w:w="3240" w:type="dxa"/>
            <w:shd w:val="pct30" w:color="auto" w:fill="FFFFFF"/>
            <w:vAlign w:val="bottom"/>
          </w:tcPr>
          <w:p w14:paraId="5BCFA29D" w14:textId="77777777" w:rsidR="002A21AE" w:rsidRDefault="002A21AE">
            <w:pPr>
              <w:pStyle w:val="TableText"/>
              <w:rPr>
                <w:b/>
              </w:rPr>
            </w:pPr>
            <w:r>
              <w:rPr>
                <w:b/>
              </w:rPr>
              <w:t>User Action</w:t>
            </w:r>
          </w:p>
        </w:tc>
        <w:tc>
          <w:tcPr>
            <w:tcW w:w="6120" w:type="dxa"/>
            <w:shd w:val="pct30" w:color="auto" w:fill="FFFFFF"/>
            <w:vAlign w:val="bottom"/>
          </w:tcPr>
          <w:p w14:paraId="479E51A7" w14:textId="77777777" w:rsidR="002A21AE" w:rsidRDefault="002A21AE">
            <w:pPr>
              <w:pStyle w:val="TableText"/>
              <w:rPr>
                <w:b/>
              </w:rPr>
            </w:pPr>
            <w:r>
              <w:rPr>
                <w:b/>
              </w:rPr>
              <w:t>VBECS</w:t>
            </w:r>
          </w:p>
        </w:tc>
      </w:tr>
      <w:tr w:rsidR="002A21AE" w14:paraId="4403789B" w14:textId="77777777">
        <w:tc>
          <w:tcPr>
            <w:tcW w:w="3240" w:type="dxa"/>
            <w:tcBorders>
              <w:top w:val="single" w:sz="4" w:space="0" w:color="auto"/>
              <w:left w:val="single" w:sz="4" w:space="0" w:color="auto"/>
              <w:bottom w:val="single" w:sz="4" w:space="0" w:color="auto"/>
              <w:right w:val="single" w:sz="4" w:space="0" w:color="auto"/>
            </w:tcBorders>
          </w:tcPr>
          <w:p w14:paraId="2345E583" w14:textId="77777777" w:rsidR="002A21AE" w:rsidRDefault="002A21AE">
            <w:pPr>
              <w:pStyle w:val="TableTextNumbers"/>
            </w:pPr>
            <w:r>
              <w:t xml:space="preserve">Select </w:t>
            </w:r>
            <w:r>
              <w:rPr>
                <w:b/>
              </w:rPr>
              <w:t>Patients</w:t>
            </w:r>
            <w:r>
              <w:t xml:space="preserve"> from the main menu.</w:t>
            </w:r>
          </w:p>
          <w:p w14:paraId="4B829F9E" w14:textId="77777777" w:rsidR="002A21AE" w:rsidRDefault="002A21AE">
            <w:pPr>
              <w:pStyle w:val="TableTextNumbersContinued"/>
            </w:pPr>
          </w:p>
          <w:p w14:paraId="6D323FBF" w14:textId="77777777" w:rsidR="002A21AE" w:rsidRDefault="002A21AE">
            <w:pPr>
              <w:pStyle w:val="TableTextNumbersContinued"/>
            </w:pPr>
            <w:r>
              <w:t xml:space="preserve">Select </w:t>
            </w:r>
            <w:r>
              <w:rPr>
                <w:b/>
              </w:rPr>
              <w:t>Patient Testing</w:t>
            </w:r>
            <w:r>
              <w:t>.</w:t>
            </w:r>
          </w:p>
        </w:tc>
        <w:tc>
          <w:tcPr>
            <w:tcW w:w="6120" w:type="dxa"/>
            <w:tcBorders>
              <w:top w:val="single" w:sz="4" w:space="0" w:color="auto"/>
              <w:left w:val="single" w:sz="4" w:space="0" w:color="auto"/>
              <w:bottom w:val="single" w:sz="4" w:space="0" w:color="auto"/>
              <w:right w:val="single" w:sz="4" w:space="0" w:color="auto"/>
            </w:tcBorders>
          </w:tcPr>
          <w:p w14:paraId="3BC469F0" w14:textId="77777777" w:rsidR="002A21AE" w:rsidRDefault="002A21AE">
            <w:pPr>
              <w:pStyle w:val="TableTextBullet"/>
            </w:pPr>
            <w:r>
              <w:t>Displays options for processing patient-related functions.</w:t>
            </w:r>
          </w:p>
          <w:p w14:paraId="7920F739" w14:textId="77777777" w:rsidR="002A21AE" w:rsidRDefault="002A21AE">
            <w:pPr>
              <w:pStyle w:val="TableTextBullet"/>
            </w:pPr>
            <w:r>
              <w:t>Displays the Pending Task List in the Diagnostic Tests tab.</w:t>
            </w:r>
          </w:p>
          <w:p w14:paraId="00B93A26" w14:textId="77777777" w:rsidR="002A21AE" w:rsidRDefault="002A21AE">
            <w:pPr>
              <w:pStyle w:val="NotesText"/>
            </w:pPr>
          </w:p>
          <w:p w14:paraId="5CF881C5" w14:textId="69DC5946" w:rsidR="002A21AE" w:rsidRDefault="002A21AE">
            <w:pPr>
              <w:pStyle w:val="TableText"/>
              <w:rPr>
                <w:b/>
                <w:bCs/>
                <w:szCs w:val="18"/>
              </w:rPr>
            </w:pPr>
            <w:r>
              <w:rPr>
                <w:b/>
                <w:bCs/>
                <w:szCs w:val="18"/>
              </w:rPr>
              <w:t>NOTES</w:t>
            </w:r>
          </w:p>
          <w:p w14:paraId="449744B9" w14:textId="77777777" w:rsidR="002A21AE" w:rsidRDefault="002A21AE">
            <w:pPr>
              <w:pStyle w:val="TableText"/>
            </w:pPr>
          </w:p>
          <w:p w14:paraId="7A34508F" w14:textId="77777777" w:rsidR="002A21AE" w:rsidRDefault="002A21AE">
            <w:pPr>
              <w:pStyle w:val="NotesText"/>
            </w:pPr>
            <w:r>
              <w:t xml:space="preserve">Click the </w:t>
            </w:r>
            <w:r>
              <w:rPr>
                <w:b/>
              </w:rPr>
              <w:t xml:space="preserve">Component Orders </w:t>
            </w:r>
            <w:r w:rsidRPr="00CC3C89">
              <w:t xml:space="preserve">tab </w:t>
            </w:r>
            <w:r>
              <w:t>to view its PTL.</w:t>
            </w:r>
          </w:p>
        </w:tc>
      </w:tr>
      <w:tr w:rsidR="002A21AE" w14:paraId="690D071F" w14:textId="77777777" w:rsidTr="00A94A90">
        <w:trPr>
          <w:cantSplit/>
          <w:hidden/>
        </w:trPr>
        <w:tc>
          <w:tcPr>
            <w:tcW w:w="3240" w:type="dxa"/>
          </w:tcPr>
          <w:p w14:paraId="5436B97C" w14:textId="7257B57A" w:rsidR="002A21AE" w:rsidRDefault="002A21AE">
            <w:pPr>
              <w:pStyle w:val="TableTextNumbers"/>
            </w:pPr>
            <w:r>
              <w:rPr>
                <w:rFonts w:cs="Arial"/>
                <w:vanish/>
              </w:rPr>
              <w:lastRenderedPageBreak/>
              <w:t xml:space="preserve">BR_72.01 </w:t>
            </w:r>
            <w:r>
              <w:t>Click one to four check boxes in the PTL in the Diagnostic Tests tab or the Component Orders tab to select tasks</w:t>
            </w:r>
            <w:r w:rsidR="000A6348">
              <w:t xml:space="preserve"> (</w:t>
            </w:r>
            <w:r w:rsidR="00EE455E">
              <w:t xml:space="preserve">Figure </w:t>
            </w:r>
            <w:r w:rsidR="00EE455E">
              <w:rPr>
                <w:noProof/>
              </w:rPr>
              <w:t>91</w:t>
            </w:r>
            <w:r w:rsidR="000A6348">
              <w:t>)</w:t>
            </w:r>
            <w:r>
              <w:t>.</w:t>
            </w:r>
          </w:p>
          <w:p w14:paraId="5276A875" w14:textId="77777777" w:rsidR="002A21AE" w:rsidRDefault="002A21AE">
            <w:pPr>
              <w:pStyle w:val="TableTextNumbersContinued"/>
            </w:pPr>
          </w:p>
          <w:p w14:paraId="2D296540" w14:textId="77777777" w:rsidR="002A21AE" w:rsidRDefault="002A21AE">
            <w:pPr>
              <w:pStyle w:val="TableTextNumbersContinued"/>
            </w:pPr>
            <w:r>
              <w:t xml:space="preserve">Click </w:t>
            </w:r>
            <w:r>
              <w:rPr>
                <w:b/>
              </w:rPr>
              <w:t>OK</w:t>
            </w:r>
            <w:r>
              <w:t xml:space="preserve"> to continue, or click </w:t>
            </w:r>
            <w:r>
              <w:rPr>
                <w:b/>
              </w:rPr>
              <w:t>Cancel Order(s)</w:t>
            </w:r>
            <w:r>
              <w:t xml:space="preserve"> to cancel the selected tasks.</w:t>
            </w:r>
          </w:p>
          <w:p w14:paraId="281E0C70" w14:textId="77777777" w:rsidR="002A21AE" w:rsidRDefault="002A21AE">
            <w:pPr>
              <w:pStyle w:val="TableTextNumbersContinued"/>
            </w:pPr>
          </w:p>
          <w:p w14:paraId="23CFE368" w14:textId="77777777" w:rsidR="002A21AE" w:rsidRDefault="002A21AE">
            <w:pPr>
              <w:pStyle w:val="TableTextNumbersContinued"/>
            </w:pPr>
            <w:r>
              <w:t>Select or enter a comment.</w:t>
            </w:r>
          </w:p>
          <w:p w14:paraId="7953C187" w14:textId="77777777" w:rsidR="002A21AE" w:rsidRDefault="002A21AE">
            <w:pPr>
              <w:pStyle w:val="TableTextNumbersContinued"/>
            </w:pPr>
          </w:p>
          <w:p w14:paraId="1D345374" w14:textId="77777777" w:rsidR="002A21AE" w:rsidRDefault="002A21AE">
            <w:pPr>
              <w:pStyle w:val="TableTextNumbersContinued"/>
            </w:pPr>
            <w:r>
              <w:t xml:space="preserve">Click </w:t>
            </w:r>
            <w:r>
              <w:rPr>
                <w:b/>
              </w:rPr>
              <w:t>OK</w:t>
            </w:r>
            <w:r>
              <w:t xml:space="preserve"> to confirm the cancellation. </w:t>
            </w:r>
            <w:r>
              <w:rPr>
                <w:rStyle w:val="TableTextNumbersChar"/>
                <w:vanish/>
                <w:color w:val="FFFFFF"/>
                <w:szCs w:val="18"/>
              </w:rPr>
              <w:fldChar w:fldCharType="begin"/>
            </w:r>
            <w:r>
              <w:rPr>
                <w:rStyle w:val="TableTextNumbersChar"/>
                <w:vanish/>
                <w:color w:val="FFFFFF"/>
                <w:szCs w:val="18"/>
              </w:rPr>
              <w:instrText xml:space="preserve"> LISTNUM \l 1 \s 0 </w:instrText>
            </w:r>
            <w:r>
              <w:rPr>
                <w:rStyle w:val="TableTextNumbersChar"/>
                <w:vanish/>
                <w:color w:val="FFFFFF"/>
                <w:szCs w:val="18"/>
              </w:rPr>
              <w:fldChar w:fldCharType="end">
                <w:numberingChange w:id="504" w:author="MUSZYNSKI, THOMAS D. (SIERRA 7 INC)" w:date="2024-11-26T07:15:00Z" w:original="0."/>
              </w:fldChar>
            </w:r>
          </w:p>
        </w:tc>
        <w:tc>
          <w:tcPr>
            <w:tcW w:w="6120" w:type="dxa"/>
          </w:tcPr>
          <w:p w14:paraId="7B7242E8" w14:textId="77777777" w:rsidR="002A21AE" w:rsidRDefault="002A21AE">
            <w:pPr>
              <w:pStyle w:val="TableTextBullet"/>
            </w:pPr>
            <w:r>
              <w:rPr>
                <w:vanish/>
                <w:szCs w:val="18"/>
              </w:rPr>
              <w:t xml:space="preserve">BR_61.01, BR_61.03, </w:t>
            </w:r>
            <w:r>
              <w:rPr>
                <w:rFonts w:cs="Arial"/>
                <w:vanish/>
              </w:rPr>
              <w:t xml:space="preserve">BR_61.04 </w:t>
            </w:r>
            <w:r>
              <w:t>Deletes the selected tasks from the PTL and sends a message to CPRS with an order status update.</w:t>
            </w:r>
          </w:p>
          <w:p w14:paraId="697DC034" w14:textId="77777777" w:rsidR="002A21AE" w:rsidRDefault="002A21AE">
            <w:pPr>
              <w:pStyle w:val="TableText"/>
            </w:pPr>
          </w:p>
          <w:p w14:paraId="184389E6" w14:textId="4559B675" w:rsidR="002A21AE" w:rsidRDefault="002A21AE">
            <w:pPr>
              <w:pStyle w:val="TableText"/>
              <w:rPr>
                <w:b/>
                <w:bCs/>
                <w:szCs w:val="18"/>
              </w:rPr>
            </w:pPr>
            <w:r>
              <w:rPr>
                <w:b/>
                <w:bCs/>
                <w:szCs w:val="18"/>
              </w:rPr>
              <w:t>NOTES</w:t>
            </w:r>
          </w:p>
          <w:p w14:paraId="720DEB75" w14:textId="77777777" w:rsidR="002A21AE" w:rsidRDefault="002A21AE">
            <w:pPr>
              <w:pStyle w:val="NotesText"/>
            </w:pPr>
          </w:p>
          <w:p w14:paraId="1B0EDC78" w14:textId="77777777" w:rsidR="002A21AE" w:rsidRDefault="002A21AE">
            <w:pPr>
              <w:pStyle w:val="NotesText"/>
            </w:pPr>
            <w:r>
              <w:rPr>
                <w:rFonts w:cs="Arial"/>
                <w:vanish/>
              </w:rPr>
              <w:t xml:space="preserve">BR_61.02 </w:t>
            </w:r>
            <w:r>
              <w:t>Select a canned comment and/or free-text comment</w:t>
            </w:r>
          </w:p>
          <w:p w14:paraId="242CAFE7" w14:textId="77777777" w:rsidR="002A21AE" w:rsidRDefault="002A21AE">
            <w:pPr>
              <w:pStyle w:val="NotesText"/>
            </w:pPr>
          </w:p>
          <w:p w14:paraId="6164EF42" w14:textId="77777777" w:rsidR="002A21AE" w:rsidRDefault="002A21AE">
            <w:pPr>
              <w:pStyle w:val="NotesText"/>
            </w:pPr>
            <w:r>
              <w:rPr>
                <w:rFonts w:cs="Arial"/>
                <w:vanish/>
              </w:rPr>
              <w:t xml:space="preserve">BR_72.02 </w:t>
            </w:r>
            <w:r>
              <w:t>VBECS allows a user to cancel only tasks that are not started.</w:t>
            </w:r>
          </w:p>
          <w:p w14:paraId="783B959C" w14:textId="77777777" w:rsidR="002A21AE" w:rsidRDefault="002A21AE">
            <w:pPr>
              <w:pStyle w:val="NotesText"/>
            </w:pPr>
          </w:p>
          <w:p w14:paraId="20E76B53" w14:textId="55479C54" w:rsidR="002A21AE" w:rsidRDefault="002A21AE">
            <w:pPr>
              <w:pStyle w:val="NotesText"/>
            </w:pPr>
            <w:r>
              <w:t xml:space="preserve">See </w:t>
            </w:r>
            <w:r w:rsidR="00EE455E">
              <w:t xml:space="preserve">Appendix </w:t>
            </w:r>
            <w:r w:rsidR="00EE455E">
              <w:rPr>
                <w:noProof/>
              </w:rPr>
              <w:t>B</w:t>
            </w:r>
            <w:r>
              <w:t>:</w:t>
            </w:r>
            <w:r w:rsidR="00D327A3">
              <w:t xml:space="preserve"> </w:t>
            </w:r>
            <w:r w:rsidR="00EE455E">
              <w:t xml:space="preserve">Figure </w:t>
            </w:r>
            <w:r w:rsidR="00EE455E">
              <w:rPr>
                <w:noProof/>
              </w:rPr>
              <w:t>117:</w:t>
            </w:r>
            <w:r w:rsidR="00EE455E">
              <w:t xml:space="preserve"> </w:t>
            </w:r>
            <w:r w:rsidR="00EE455E" w:rsidRPr="00EE455E">
              <w:rPr>
                <w:vanish/>
                <w:szCs w:val="18"/>
              </w:rPr>
              <w:t xml:space="preserve">TT_92.01 </w:t>
            </w:r>
            <w:r w:rsidR="00EE455E" w:rsidRPr="00EE455E">
              <w:t>Order</w:t>
            </w:r>
            <w:r w:rsidR="00EE455E">
              <w:t xml:space="preserve"> Status Flowchart</w:t>
            </w:r>
            <w:r>
              <w:t>.</w:t>
            </w:r>
          </w:p>
        </w:tc>
      </w:tr>
    </w:tbl>
    <w:p w14:paraId="33D72467" w14:textId="3CA564A3" w:rsidR="000A6348" w:rsidRDefault="000A6348" w:rsidP="000A6348">
      <w:pPr>
        <w:pStyle w:val="Caption"/>
      </w:pPr>
      <w:bookmarkStart w:id="505" w:name="_Ref126724192"/>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7D1829">
        <w:rPr>
          <w:noProof/>
        </w:rPr>
        <w:t>92</w:t>
      </w:r>
      <w:r w:rsidR="004E20BD">
        <w:rPr>
          <w:noProof/>
        </w:rPr>
        <w:fldChar w:fldCharType="end"/>
      </w:r>
      <w:bookmarkEnd w:id="505"/>
      <w:r>
        <w:t>: Pending Task List Diagnostic Tests</w:t>
      </w:r>
    </w:p>
    <w:p w14:paraId="5F9C4BB9" w14:textId="77777777" w:rsidR="000A6348" w:rsidRDefault="00057948" w:rsidP="000A6348">
      <w:pPr>
        <w:pStyle w:val="BodyText"/>
      </w:pPr>
      <w:r>
        <w:rPr>
          <w:noProof/>
        </w:rPr>
        <w:drawing>
          <wp:inline distT="0" distB="0" distL="0" distR="0" wp14:anchorId="4178B400" wp14:editId="1CD63EEB">
            <wp:extent cx="5939155" cy="2540000"/>
            <wp:effectExtent l="0" t="0" r="4445" b="0"/>
            <wp:docPr id="225" name="Picture 225" descr="Example of Pending Task List Diagnostic Tests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Picture 225" descr="Example of Pending Task List Diagnostic Tests screen capture"/>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5939155" cy="2540000"/>
                    </a:xfrm>
                    <a:prstGeom prst="rect">
                      <a:avLst/>
                    </a:prstGeom>
                    <a:noFill/>
                    <a:ln>
                      <a:noFill/>
                    </a:ln>
                  </pic:spPr>
                </pic:pic>
              </a:graphicData>
            </a:graphic>
          </wp:inline>
        </w:drawing>
      </w:r>
    </w:p>
    <w:p w14:paraId="0A11DCEA" w14:textId="77777777" w:rsidR="002A21AE" w:rsidRDefault="00AC2D9E">
      <w:pPr>
        <w:pStyle w:val="Heading2"/>
      </w:pPr>
      <w:r>
        <w:br w:type="page"/>
      </w:r>
      <w:bookmarkStart w:id="506" w:name="_Toc203765915"/>
      <w:r w:rsidR="002A21AE">
        <w:lastRenderedPageBreak/>
        <w:t>Patient Testing: Pending Task List</w:t>
      </w:r>
      <w:bookmarkEnd w:id="506"/>
      <w:r w:rsidR="002A21AE">
        <w:fldChar w:fldCharType="begin"/>
      </w:r>
      <w:r w:rsidR="002A21AE">
        <w:instrText xml:space="preserve"> XE </w:instrText>
      </w:r>
      <w:r w:rsidR="00FA7E65">
        <w:instrText>“</w:instrText>
      </w:r>
      <w:r w:rsidR="002A21AE">
        <w:instrText>Patient Testing\: Pending Task List</w:instrText>
      </w:r>
      <w:r w:rsidR="00FA7E65">
        <w:instrText>”</w:instrText>
      </w:r>
      <w:r w:rsidR="002A21AE">
        <w:instrText xml:space="preserve"> </w:instrText>
      </w:r>
      <w:r w:rsidR="002A21AE">
        <w:fldChar w:fldCharType="end"/>
      </w:r>
      <w:r w:rsidR="002A21AE" w:rsidRPr="00B46CB0">
        <w:rPr>
          <w:rFonts w:ascii="Arial Bold" w:hAnsi="Arial Bold"/>
          <w:vanish/>
        </w:rPr>
        <w:t xml:space="preserve"> UC_92</w:t>
      </w:r>
    </w:p>
    <w:p w14:paraId="6A54B547" w14:textId="77777777" w:rsidR="002A21AE" w:rsidRDefault="002A21AE" w:rsidP="00FA7E65">
      <w:pPr>
        <w:pStyle w:val="BodyText"/>
      </w:pPr>
      <w:bookmarkStart w:id="507" w:name="_Toc72830361"/>
      <w:r>
        <w:t xml:space="preserve">The user accesses a Pending Task List (PTL) to select tasks (accepted orders), organize a batch of tests to be performed in a session, process patient component requests, and view and/or print a list of outstanding blood bank tasks. </w:t>
      </w:r>
    </w:p>
    <w:p w14:paraId="4EBB4E71" w14:textId="77777777" w:rsidR="002A21AE" w:rsidRDefault="002A21AE">
      <w:pPr>
        <w:pStyle w:val="Heading4"/>
      </w:pPr>
      <w:r>
        <w:t>Assumptions</w:t>
      </w:r>
    </w:p>
    <w:p w14:paraId="02BD233D" w14:textId="77777777" w:rsidR="002A21AE" w:rsidRDefault="002A21AE" w:rsidP="009D2266">
      <w:pPr>
        <w:pStyle w:val="ListBullet"/>
        <w:numPr>
          <w:ilvl w:val="0"/>
          <w:numId w:val="2"/>
        </w:numPr>
        <w:tabs>
          <w:tab w:val="num" w:pos="720"/>
        </w:tabs>
        <w:ind w:left="720"/>
      </w:pPr>
      <w:r>
        <w:t>CPRS orders were accepted or a reflex order was placed within the VBECS division.</w:t>
      </w:r>
    </w:p>
    <w:p w14:paraId="2CFD9B00" w14:textId="77777777" w:rsidR="002A21AE" w:rsidRDefault="002A21AE">
      <w:pPr>
        <w:pStyle w:val="Heading4"/>
      </w:pPr>
      <w:r>
        <w:t>Outcome</w:t>
      </w:r>
    </w:p>
    <w:p w14:paraId="18301F8E" w14:textId="77777777" w:rsidR="002A21AE" w:rsidRDefault="002A21AE" w:rsidP="009D2266">
      <w:pPr>
        <w:pStyle w:val="ListBullet"/>
        <w:numPr>
          <w:ilvl w:val="0"/>
          <w:numId w:val="2"/>
        </w:numPr>
        <w:tabs>
          <w:tab w:val="num" w:pos="720"/>
        </w:tabs>
        <w:ind w:left="720"/>
      </w:pPr>
      <w:r>
        <w:t>The task is available for further processing.</w:t>
      </w:r>
    </w:p>
    <w:p w14:paraId="093738D2" w14:textId="77777777" w:rsidR="002A21AE" w:rsidRDefault="002A21AE">
      <w:pPr>
        <w:pStyle w:val="Heading4"/>
      </w:pPr>
      <w:r>
        <w:t>Limitations and Restrictions</w:t>
      </w:r>
    </w:p>
    <w:p w14:paraId="268B868A" w14:textId="77777777" w:rsidR="002A21AE" w:rsidRDefault="002A21AE" w:rsidP="009D2266">
      <w:pPr>
        <w:pStyle w:val="ListBullet"/>
        <w:numPr>
          <w:ilvl w:val="0"/>
          <w:numId w:val="2"/>
        </w:numPr>
        <w:tabs>
          <w:tab w:val="num" w:pos="720"/>
        </w:tabs>
        <w:ind w:left="720"/>
      </w:pPr>
      <w:r>
        <w:t>This option is for diagnostic, blood component, and reflex test orders placed in or directed to the user’s division.</w:t>
      </w:r>
    </w:p>
    <w:p w14:paraId="51B52317" w14:textId="77777777" w:rsidR="002A21AE" w:rsidRDefault="002A21AE" w:rsidP="009D2266">
      <w:pPr>
        <w:pStyle w:val="ListBullet"/>
        <w:numPr>
          <w:ilvl w:val="0"/>
          <w:numId w:val="2"/>
        </w:numPr>
        <w:tabs>
          <w:tab w:val="num" w:pos="720"/>
        </w:tabs>
        <w:ind w:left="720"/>
      </w:pPr>
      <w:r>
        <w:t>The PTL does not include daily quality control, equipment maintenance schedules, or pending ABO/Rh confirmation and auxiliary tests on red blood c</w:t>
      </w:r>
      <w:bookmarkStart w:id="508" w:name="here"/>
      <w:bookmarkEnd w:id="508"/>
      <w:r>
        <w:t>ell units.</w:t>
      </w:r>
    </w:p>
    <w:p w14:paraId="2D1003B8" w14:textId="77777777" w:rsidR="00B16403" w:rsidRDefault="00B16403" w:rsidP="009D2266">
      <w:pPr>
        <w:pStyle w:val="ListBullet"/>
        <w:numPr>
          <w:ilvl w:val="0"/>
          <w:numId w:val="2"/>
        </w:numPr>
        <w:tabs>
          <w:tab w:val="num" w:pos="720"/>
        </w:tabs>
        <w:ind w:left="720"/>
      </w:pPr>
      <w:r w:rsidRPr="00696FA6">
        <w:t xml:space="preserve">Users may perform testing for no more than four patients in one </w:t>
      </w:r>
      <w:r>
        <w:t>VBECS</w:t>
      </w:r>
      <w:r w:rsidRPr="00696FA6">
        <w:t xml:space="preserve"> session.</w:t>
      </w:r>
    </w:p>
    <w:p w14:paraId="5A6B85EE" w14:textId="77777777" w:rsidR="002A21AE" w:rsidRDefault="002A21AE">
      <w:pPr>
        <w:pStyle w:val="Heading4"/>
      </w:pPr>
      <w:r>
        <w:t>Additional Information</w:t>
      </w:r>
    </w:p>
    <w:p w14:paraId="69FDDE5D" w14:textId="77777777" w:rsidR="002A21AE" w:rsidRDefault="002A21AE" w:rsidP="009D2266">
      <w:pPr>
        <w:pStyle w:val="ListBullet"/>
        <w:numPr>
          <w:ilvl w:val="0"/>
          <w:numId w:val="2"/>
        </w:numPr>
        <w:tabs>
          <w:tab w:val="num" w:pos="720"/>
        </w:tabs>
        <w:ind w:left="720"/>
      </w:pPr>
      <w:r>
        <w:t>This is the main entry point for other testing options.</w:t>
      </w:r>
    </w:p>
    <w:p w14:paraId="4B488CFF" w14:textId="18771493" w:rsidR="002A21AE" w:rsidRDefault="002A21AE" w:rsidP="009D2266">
      <w:pPr>
        <w:pStyle w:val="ListBullet"/>
        <w:numPr>
          <w:ilvl w:val="0"/>
          <w:numId w:val="2"/>
        </w:numPr>
        <w:tabs>
          <w:tab w:val="num" w:pos="720"/>
        </w:tabs>
        <w:ind w:left="720"/>
      </w:pPr>
      <w:r>
        <w:t>The PTL does not display completed diagnostic tests.</w:t>
      </w:r>
      <w:r w:rsidR="007878A0">
        <w:t xml:space="preserve"> (See </w:t>
      </w:r>
      <w:r w:rsidR="007878A0" w:rsidRPr="00423A7F">
        <w:rPr>
          <w:i/>
          <w:iCs/>
        </w:rPr>
        <w:t>FAQ Retrieving an Expired Order</w:t>
      </w:r>
      <w:r w:rsidR="007878A0">
        <w:t>)</w:t>
      </w:r>
    </w:p>
    <w:p w14:paraId="3955EC1A" w14:textId="77777777" w:rsidR="00C5671A" w:rsidRDefault="00C5671A" w:rsidP="009D2266">
      <w:pPr>
        <w:pStyle w:val="ListBullet"/>
        <w:numPr>
          <w:ilvl w:val="0"/>
          <w:numId w:val="2"/>
        </w:numPr>
        <w:tabs>
          <w:tab w:val="num" w:pos="720"/>
        </w:tabs>
        <w:ind w:left="720"/>
      </w:pPr>
      <w:r>
        <w:t xml:space="preserve">When a specimen </w:t>
      </w:r>
      <w:r w:rsidRPr="00C5671A">
        <w:rPr>
          <w:u w:val="single"/>
        </w:rPr>
        <w:t>is not</w:t>
      </w:r>
      <w:r>
        <w:t xml:space="preserve"> associated wit</w:t>
      </w:r>
      <w:r w:rsidR="00A03A28">
        <w:t>h a component</w:t>
      </w:r>
      <w:r>
        <w:t xml:space="preserve"> order, partially completed and </w:t>
      </w:r>
      <w:r w:rsidR="00A03A28">
        <w:t>filled</w:t>
      </w:r>
      <w:r>
        <w:t xml:space="preserve"> component orders remain on the Pending Task List for 10 days from date of order acceptance.</w:t>
      </w:r>
      <w:r>
        <w:rPr>
          <w:vanish/>
        </w:rPr>
        <w:t xml:space="preserve"> Task 1323</w:t>
      </w:r>
      <w:r w:rsidR="00BC58B1">
        <w:rPr>
          <w:vanish/>
        </w:rPr>
        <w:t xml:space="preserve"> and DR 3604</w:t>
      </w:r>
    </w:p>
    <w:p w14:paraId="304F76A4" w14:textId="77777777" w:rsidR="00C5671A" w:rsidRDefault="00C5671A" w:rsidP="00C5671A">
      <w:pPr>
        <w:pStyle w:val="ListBullet"/>
        <w:numPr>
          <w:ilvl w:val="0"/>
          <w:numId w:val="2"/>
        </w:numPr>
        <w:tabs>
          <w:tab w:val="num" w:pos="720"/>
        </w:tabs>
        <w:ind w:left="720"/>
      </w:pPr>
      <w:r>
        <w:t xml:space="preserve">When a specimen </w:t>
      </w:r>
      <w:r w:rsidRPr="00C5671A">
        <w:rPr>
          <w:u w:val="single"/>
        </w:rPr>
        <w:t>is</w:t>
      </w:r>
      <w:r w:rsidR="00A03A28">
        <w:t xml:space="preserve"> associated with a diagnostic test or component </w:t>
      </w:r>
      <w:r>
        <w:t xml:space="preserve">order, partially completed diagnostic tests and </w:t>
      </w:r>
      <w:r w:rsidR="00A03A28">
        <w:t>filled</w:t>
      </w:r>
      <w:r>
        <w:t xml:space="preserve"> component orders remain on the Pending Task List until the specimen expires.</w:t>
      </w:r>
      <w:r w:rsidRPr="00C5671A">
        <w:rPr>
          <w:vanish/>
        </w:rPr>
        <w:t xml:space="preserve"> </w:t>
      </w:r>
      <w:r>
        <w:rPr>
          <w:vanish/>
        </w:rPr>
        <w:t>Task 1323</w:t>
      </w:r>
      <w:r w:rsidR="00BC58B1">
        <w:rPr>
          <w:vanish/>
        </w:rPr>
        <w:t xml:space="preserve"> and DR 3604</w:t>
      </w:r>
    </w:p>
    <w:p w14:paraId="73873935" w14:textId="77777777" w:rsidR="00DF7D1A" w:rsidRDefault="00DF7D1A" w:rsidP="009D2266">
      <w:pPr>
        <w:pStyle w:val="ListBullet"/>
        <w:numPr>
          <w:ilvl w:val="0"/>
          <w:numId w:val="2"/>
        </w:numPr>
        <w:tabs>
          <w:tab w:val="num" w:pos="720"/>
        </w:tabs>
        <w:ind w:left="720"/>
      </w:pPr>
      <w:r>
        <w:t>VBECS cancels accepted orders (tasks) the day after they expire.</w:t>
      </w:r>
    </w:p>
    <w:p w14:paraId="25AA98F9" w14:textId="77777777" w:rsidR="002A21AE" w:rsidRDefault="002A21AE" w:rsidP="009D2266">
      <w:pPr>
        <w:pStyle w:val="ListBullet"/>
        <w:numPr>
          <w:ilvl w:val="0"/>
          <w:numId w:val="2"/>
        </w:numPr>
        <w:tabs>
          <w:tab w:val="num" w:pos="720"/>
        </w:tabs>
        <w:ind w:left="720"/>
      </w:pPr>
      <w:r>
        <w:t>Multiple users are prohibited from performing the same task on the same unit of blood for the same patient.</w:t>
      </w:r>
    </w:p>
    <w:p w14:paraId="1CBB3F88" w14:textId="77777777" w:rsidR="002A21AE" w:rsidRDefault="002A21AE" w:rsidP="009D2266">
      <w:pPr>
        <w:pStyle w:val="ListBullet"/>
        <w:numPr>
          <w:ilvl w:val="0"/>
          <w:numId w:val="2"/>
        </w:numPr>
        <w:tabs>
          <w:tab w:val="num" w:pos="720"/>
        </w:tabs>
        <w:ind w:left="720"/>
      </w:pPr>
      <w:r>
        <w:t>The task may be selected and assigned to a technologist, preventing duplicate selection by another technologist.</w:t>
      </w:r>
    </w:p>
    <w:p w14:paraId="56810B4A" w14:textId="77777777" w:rsidR="002A21AE" w:rsidRDefault="002A21AE">
      <w:pPr>
        <w:pStyle w:val="Heading4"/>
      </w:pPr>
      <w:r>
        <w:t>User Roles with Access to This Option</w:t>
      </w:r>
    </w:p>
    <w:p w14:paraId="2F9AE948" w14:textId="77777777" w:rsidR="002A21AE" w:rsidRDefault="002232A3">
      <w:pPr>
        <w:pStyle w:val="Roles"/>
        <w:rPr>
          <w:snapToGrid w:val="0"/>
        </w:rPr>
      </w:pPr>
      <w:r>
        <w:t>All users</w:t>
      </w:r>
    </w:p>
    <w:bookmarkEnd w:id="507"/>
    <w:p w14:paraId="49421B69" w14:textId="77777777" w:rsidR="006C058D" w:rsidRDefault="006C058D">
      <w:pPr>
        <w:rPr>
          <w:rFonts w:ascii="Arial" w:hAnsi="Arial"/>
          <w:b/>
          <w:sz w:val="22"/>
        </w:rPr>
      </w:pPr>
      <w:r>
        <w:br w:type="page"/>
      </w:r>
    </w:p>
    <w:p w14:paraId="64F42900" w14:textId="1FC4501D" w:rsidR="002A21AE" w:rsidRDefault="002A21AE">
      <w:pPr>
        <w:pStyle w:val="Heading4"/>
      </w:pPr>
      <w:r>
        <w:lastRenderedPageBreak/>
        <w:t>Patient Testing: Pending Task List</w:t>
      </w:r>
    </w:p>
    <w:p w14:paraId="05D5C789" w14:textId="77777777" w:rsidR="002A21AE" w:rsidRDefault="002A21AE" w:rsidP="00FA7E65">
      <w:pPr>
        <w:pStyle w:val="BodyText"/>
      </w:pPr>
      <w:r>
        <w:t>The user accesses a list of pending tasks. VBECS displays the PTL with search criteria to allow the user to limit the number of items viewed.</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4E3B4565" w14:textId="77777777">
        <w:trPr>
          <w:tblHeader/>
        </w:trPr>
        <w:tc>
          <w:tcPr>
            <w:tcW w:w="3240" w:type="dxa"/>
            <w:shd w:val="pct30" w:color="auto" w:fill="FFFFFF"/>
            <w:vAlign w:val="bottom"/>
          </w:tcPr>
          <w:p w14:paraId="755480C6" w14:textId="77777777" w:rsidR="002A21AE" w:rsidRDefault="002A21AE">
            <w:pPr>
              <w:pStyle w:val="TableText"/>
              <w:rPr>
                <w:b/>
              </w:rPr>
            </w:pPr>
            <w:r>
              <w:rPr>
                <w:b/>
              </w:rPr>
              <w:t>User Action</w:t>
            </w:r>
          </w:p>
        </w:tc>
        <w:tc>
          <w:tcPr>
            <w:tcW w:w="6120" w:type="dxa"/>
            <w:shd w:val="pct30" w:color="auto" w:fill="FFFFFF"/>
            <w:vAlign w:val="bottom"/>
          </w:tcPr>
          <w:p w14:paraId="45DD1A00" w14:textId="77777777" w:rsidR="002A21AE" w:rsidRDefault="002A21AE">
            <w:pPr>
              <w:pStyle w:val="TableText"/>
              <w:rPr>
                <w:b/>
              </w:rPr>
            </w:pPr>
            <w:r>
              <w:rPr>
                <w:b/>
              </w:rPr>
              <w:t>VBECS</w:t>
            </w:r>
          </w:p>
        </w:tc>
      </w:tr>
      <w:tr w:rsidR="002A21AE" w14:paraId="5EF692F5" w14:textId="77777777" w:rsidTr="006C058D">
        <w:trPr>
          <w:cantSplit/>
        </w:trPr>
        <w:tc>
          <w:tcPr>
            <w:tcW w:w="3240" w:type="dxa"/>
          </w:tcPr>
          <w:p w14:paraId="52E213E6" w14:textId="77777777" w:rsidR="002A21AE" w:rsidRDefault="002A21AE">
            <w:pPr>
              <w:pStyle w:val="TableTextNumbers"/>
            </w:pPr>
            <w:r>
              <w:t xml:space="preserve">Select </w:t>
            </w:r>
            <w:r>
              <w:rPr>
                <w:b/>
              </w:rPr>
              <w:t>Patients</w:t>
            </w:r>
            <w:r>
              <w:t xml:space="preserve"> from the main menu.</w:t>
            </w:r>
          </w:p>
          <w:p w14:paraId="46224116" w14:textId="77777777" w:rsidR="002A21AE" w:rsidRDefault="002A21AE">
            <w:pPr>
              <w:pStyle w:val="TableTextNumbersContinued"/>
            </w:pPr>
          </w:p>
          <w:p w14:paraId="2B27BD5D" w14:textId="5A3CE19A" w:rsidR="002A21AE" w:rsidRDefault="002A21AE">
            <w:pPr>
              <w:pStyle w:val="TableTextNumbersContinued"/>
            </w:pPr>
            <w:r>
              <w:t xml:space="preserve">Select </w:t>
            </w:r>
            <w:r>
              <w:rPr>
                <w:b/>
              </w:rPr>
              <w:t>Patient Testing</w:t>
            </w:r>
            <w:r w:rsidR="0071094D">
              <w:rPr>
                <w:b/>
              </w:rPr>
              <w:t xml:space="preserve"> </w:t>
            </w:r>
            <w:r w:rsidR="0071094D" w:rsidRPr="0071094D">
              <w:t>(</w:t>
            </w:r>
            <w:r w:rsidR="00EE455E">
              <w:t xml:space="preserve">Figure </w:t>
            </w:r>
            <w:r w:rsidR="00EE455E">
              <w:rPr>
                <w:noProof/>
              </w:rPr>
              <w:t>91</w:t>
            </w:r>
            <w:r w:rsidR="0071094D" w:rsidRPr="0071094D">
              <w:t>)</w:t>
            </w:r>
            <w:r>
              <w:t>.</w:t>
            </w:r>
          </w:p>
        </w:tc>
        <w:tc>
          <w:tcPr>
            <w:tcW w:w="6120" w:type="dxa"/>
          </w:tcPr>
          <w:p w14:paraId="2E98607E" w14:textId="77777777" w:rsidR="002A21AE" w:rsidRDefault="002A21AE">
            <w:pPr>
              <w:pStyle w:val="TableTextBullet"/>
            </w:pPr>
            <w:r>
              <w:t>Displays options for processing patient-related functions.</w:t>
            </w:r>
          </w:p>
          <w:p w14:paraId="346E2DAD" w14:textId="77777777" w:rsidR="0055131E" w:rsidRDefault="002A21AE" w:rsidP="007B4A40">
            <w:pPr>
              <w:pStyle w:val="TableTextBullet"/>
            </w:pPr>
            <w:r>
              <w:t>Displays the PTL and PTL search parameters in the Diagnostic Tests tab or in the Component Orders tab.</w:t>
            </w:r>
          </w:p>
          <w:p w14:paraId="03E9965B" w14:textId="77777777" w:rsidR="008F0849" w:rsidRDefault="008F0849" w:rsidP="008F0849">
            <w:pPr>
              <w:pStyle w:val="TableTextBullet"/>
              <w:numPr>
                <w:ilvl w:val="0"/>
                <w:numId w:val="0"/>
              </w:numPr>
              <w:ind w:left="288" w:hanging="288"/>
            </w:pPr>
          </w:p>
          <w:p w14:paraId="4DB57F6D" w14:textId="1DB99327" w:rsidR="008F0849" w:rsidRDefault="008F0849" w:rsidP="008F0849">
            <w:pPr>
              <w:pStyle w:val="TableText"/>
              <w:rPr>
                <w:b/>
                <w:bCs/>
                <w:szCs w:val="18"/>
              </w:rPr>
            </w:pPr>
            <w:r>
              <w:rPr>
                <w:b/>
                <w:bCs/>
                <w:szCs w:val="18"/>
              </w:rPr>
              <w:t>NOTES</w:t>
            </w:r>
          </w:p>
          <w:p w14:paraId="026A9CFE" w14:textId="64EEABBF" w:rsidR="008F0849" w:rsidRPr="008F0849" w:rsidRDefault="008F0849" w:rsidP="008F0849">
            <w:pPr>
              <w:pStyle w:val="NotesText"/>
              <w:rPr>
                <w:szCs w:val="18"/>
              </w:rPr>
            </w:pPr>
            <w:r w:rsidRPr="008F0849">
              <w:rPr>
                <w:szCs w:val="18"/>
              </w:rPr>
              <w:t>Entering a random string consisting of letters and digits into the Patient search field returns the full pending task list. The correct combinations (full SSN, last 4 digits of SSN, first letter of last name + last 4 digits of SSN) will return a patient list.</w:t>
            </w:r>
            <w:r>
              <w:rPr>
                <w:szCs w:val="18"/>
              </w:rPr>
              <w:t xml:space="preserve"> </w:t>
            </w:r>
            <w:r w:rsidRPr="008F0849">
              <w:rPr>
                <w:vanish/>
                <w:szCs w:val="18"/>
              </w:rPr>
              <w:t>Task 208823</w:t>
            </w:r>
          </w:p>
          <w:p w14:paraId="22AD8934" w14:textId="77777777" w:rsidR="008F0849" w:rsidRDefault="008F0849" w:rsidP="008F0849">
            <w:pPr>
              <w:pStyle w:val="TableTextBullet"/>
              <w:numPr>
                <w:ilvl w:val="0"/>
                <w:numId w:val="0"/>
              </w:numPr>
              <w:ind w:left="288" w:hanging="288"/>
            </w:pPr>
          </w:p>
          <w:p w14:paraId="26BA9518" w14:textId="47BFC320" w:rsidR="008F0849" w:rsidRDefault="008F0849" w:rsidP="008F0849">
            <w:pPr>
              <w:pStyle w:val="TableTextBullet"/>
              <w:numPr>
                <w:ilvl w:val="0"/>
                <w:numId w:val="0"/>
              </w:numPr>
              <w:ind w:left="288" w:hanging="288"/>
            </w:pPr>
          </w:p>
        </w:tc>
      </w:tr>
      <w:tr w:rsidR="002A21AE" w14:paraId="7596CBA1" w14:textId="77777777">
        <w:tc>
          <w:tcPr>
            <w:tcW w:w="3240" w:type="dxa"/>
          </w:tcPr>
          <w:p w14:paraId="3470A7A8" w14:textId="77777777" w:rsidR="002A21AE" w:rsidRDefault="002A21AE">
            <w:pPr>
              <w:pStyle w:val="TableTextNumbers"/>
            </w:pPr>
            <w:r>
              <w:t>Click the check boxes in the PTL to select one</w:t>
            </w:r>
            <w:r w:rsidR="007A0E65">
              <w:t xml:space="preserve"> to four</w:t>
            </w:r>
            <w:r>
              <w:t xml:space="preserve"> tasks for processing and click </w:t>
            </w:r>
            <w:r>
              <w:rPr>
                <w:b/>
              </w:rPr>
              <w:t>OK</w:t>
            </w:r>
            <w:r>
              <w:t>, or</w:t>
            </w:r>
          </w:p>
          <w:p w14:paraId="60DCAC06" w14:textId="77777777" w:rsidR="002A21AE" w:rsidRDefault="002A21AE">
            <w:pPr>
              <w:pStyle w:val="TableTextNumbersContinued"/>
            </w:pPr>
          </w:p>
          <w:p w14:paraId="0CC053C6" w14:textId="77777777" w:rsidR="002A21AE" w:rsidRDefault="002A21AE">
            <w:pPr>
              <w:pStyle w:val="TableTextNumbersContinued"/>
            </w:pPr>
            <w:r>
              <w:t>Click</w:t>
            </w:r>
            <w:r>
              <w:rPr>
                <w:b/>
              </w:rPr>
              <w:t xml:space="preserve"> Print</w:t>
            </w:r>
            <w:r>
              <w:t xml:space="preserve"> to print the list.</w:t>
            </w:r>
          </w:p>
        </w:tc>
        <w:tc>
          <w:tcPr>
            <w:tcW w:w="6120" w:type="dxa"/>
          </w:tcPr>
          <w:p w14:paraId="495A947E" w14:textId="77777777" w:rsidR="002A21AE" w:rsidRDefault="002A21AE">
            <w:pPr>
              <w:pStyle w:val="TableTextBullet"/>
            </w:pPr>
            <w:r>
              <w:t xml:space="preserve">Allows the user to limit the search and display. </w:t>
            </w:r>
          </w:p>
          <w:p w14:paraId="32FF7D24" w14:textId="77777777" w:rsidR="002A21AE" w:rsidRDefault="002A21AE">
            <w:pPr>
              <w:pStyle w:val="TableTextBullet"/>
            </w:pPr>
            <w:r>
              <w:t>Prompts the user to select a task for continued processing, print a task list, or return to Step 1 to change the display of the list.</w:t>
            </w:r>
          </w:p>
          <w:p w14:paraId="0E709FFA" w14:textId="77777777" w:rsidR="002A21AE" w:rsidRDefault="002A21AE">
            <w:pPr>
              <w:pStyle w:val="TableText"/>
            </w:pPr>
          </w:p>
          <w:p w14:paraId="11B601C1" w14:textId="734F012D" w:rsidR="002A21AE" w:rsidRDefault="002A21AE">
            <w:pPr>
              <w:pStyle w:val="TableText"/>
              <w:rPr>
                <w:b/>
                <w:bCs/>
                <w:szCs w:val="18"/>
              </w:rPr>
            </w:pPr>
            <w:r>
              <w:rPr>
                <w:b/>
                <w:bCs/>
                <w:szCs w:val="18"/>
              </w:rPr>
              <w:t>NOTES</w:t>
            </w:r>
          </w:p>
          <w:p w14:paraId="0E6E0AFB" w14:textId="77777777" w:rsidR="002A21AE" w:rsidRPr="00623E7F" w:rsidRDefault="002A21AE">
            <w:pPr>
              <w:pStyle w:val="NotesText"/>
              <w:rPr>
                <w:vanish/>
                <w:szCs w:val="18"/>
              </w:rPr>
            </w:pPr>
          </w:p>
          <w:p w14:paraId="2EA7E5B3" w14:textId="71969D85" w:rsidR="003D7CE8" w:rsidRPr="00623E7F" w:rsidRDefault="005129F7" w:rsidP="00623E7F">
            <w:pPr>
              <w:pStyle w:val="NotesText"/>
              <w:rPr>
                <w:szCs w:val="18"/>
              </w:rPr>
            </w:pPr>
            <w:r w:rsidRPr="00623E7F">
              <w:rPr>
                <w:szCs w:val="18"/>
              </w:rPr>
              <w:t>Additional information is available in</w:t>
            </w:r>
            <w:r w:rsidR="00623E7F" w:rsidRPr="00623E7F">
              <w:rPr>
                <w:szCs w:val="18"/>
              </w:rPr>
              <w:t xml:space="preserve"> </w:t>
            </w:r>
            <w:r w:rsidR="00EE455E" w:rsidRPr="00EE455E">
              <w:rPr>
                <w:szCs w:val="18"/>
              </w:rPr>
              <w:t>Appendix H: Frequently Asked Questions</w:t>
            </w:r>
            <w:r w:rsidRPr="00623E7F">
              <w:rPr>
                <w:szCs w:val="18"/>
              </w:rPr>
              <w:t>.</w:t>
            </w:r>
            <w:r w:rsidRPr="00623E7F">
              <w:rPr>
                <w:vanish/>
                <w:szCs w:val="18"/>
              </w:rPr>
              <w:t xml:space="preserve"> DR 3971</w:t>
            </w:r>
          </w:p>
          <w:p w14:paraId="7A23C570" w14:textId="77777777" w:rsidR="003D7CE8" w:rsidRPr="00623E7F" w:rsidRDefault="003D7CE8">
            <w:pPr>
              <w:pStyle w:val="NotesText"/>
            </w:pPr>
          </w:p>
          <w:p w14:paraId="495A497B" w14:textId="77777777" w:rsidR="002A21AE" w:rsidRDefault="002A21AE">
            <w:pPr>
              <w:pStyle w:val="NotesText"/>
            </w:pPr>
            <w:r>
              <w:t xml:space="preserve">The user may click </w:t>
            </w:r>
            <w:r>
              <w:rPr>
                <w:b/>
              </w:rPr>
              <w:t>Cancel Order(s)</w:t>
            </w:r>
            <w:r>
              <w:t xml:space="preserve">, select a comment, and click </w:t>
            </w:r>
            <w:r>
              <w:rPr>
                <w:b/>
              </w:rPr>
              <w:t xml:space="preserve">OK </w:t>
            </w:r>
            <w:r>
              <w:t>to exit.</w:t>
            </w:r>
          </w:p>
          <w:p w14:paraId="27C1CDD3" w14:textId="77777777" w:rsidR="002A21AE" w:rsidRDefault="002A21AE">
            <w:pPr>
              <w:pStyle w:val="NotesText"/>
            </w:pPr>
          </w:p>
          <w:p w14:paraId="5101DED5" w14:textId="77777777" w:rsidR="002A21AE" w:rsidRDefault="002A21AE">
            <w:pPr>
              <w:pStyle w:val="NotesText"/>
            </w:pPr>
            <w:r>
              <w:rPr>
                <w:vanish/>
                <w:szCs w:val="18"/>
              </w:rPr>
              <w:t>BR_92.03</w:t>
            </w:r>
            <w:r w:rsidR="00CE3961">
              <w:rPr>
                <w:vanish/>
                <w:szCs w:val="18"/>
              </w:rPr>
              <w:t>,</w:t>
            </w:r>
            <w:r>
              <w:rPr>
                <w:vanish/>
                <w:szCs w:val="18"/>
              </w:rPr>
              <w:t xml:space="preserve"> BR_92.05 </w:t>
            </w:r>
            <w:r>
              <w:t xml:space="preserve">The user may select </w:t>
            </w:r>
            <w:r w:rsidR="00810E0A">
              <w:t>one to four</w:t>
            </w:r>
            <w:r>
              <w:t xml:space="preserve"> tasks for testing at a time. The tasks may be component class order tasks, diagnostic test tasks, or a combination of both.</w:t>
            </w:r>
          </w:p>
          <w:p w14:paraId="4FCE80A6" w14:textId="77777777" w:rsidR="00D3124A" w:rsidRDefault="00D3124A">
            <w:pPr>
              <w:pStyle w:val="NotesText"/>
            </w:pPr>
          </w:p>
          <w:p w14:paraId="402A3007" w14:textId="77777777" w:rsidR="002A21AE" w:rsidRDefault="002A21AE">
            <w:pPr>
              <w:pStyle w:val="NotesText"/>
            </w:pPr>
            <w:r>
              <w:t>VBECS displays “NRQ” (not required) when the task does not require a specimen for processing.</w:t>
            </w:r>
          </w:p>
          <w:p w14:paraId="2D816093" w14:textId="77777777" w:rsidR="00DF7D1A" w:rsidRDefault="00DF7D1A">
            <w:pPr>
              <w:pStyle w:val="NotesText"/>
              <w:rPr>
                <w:rFonts w:cs="Arial"/>
              </w:rPr>
            </w:pPr>
          </w:p>
          <w:p w14:paraId="29552BCF" w14:textId="2ADF4D64" w:rsidR="009A6B43" w:rsidRDefault="002A21AE">
            <w:pPr>
              <w:pStyle w:val="NotesText"/>
            </w:pPr>
            <w:r>
              <w:rPr>
                <w:rFonts w:cs="Arial"/>
                <w:vanish/>
              </w:rPr>
              <w:t xml:space="preserve">BR_92.01 </w:t>
            </w:r>
            <w:r>
              <w:t xml:space="preserve">For each order, VBECS displays the specific diagnostic test or component order. The default searches for the current date’s tasks, then yesterday’s tasks, and so on until the task status is “completed.” The display includes the task’s status and a </w:t>
            </w:r>
            <w:r w:rsidR="009A6B43">
              <w:t>username</w:t>
            </w:r>
            <w:r>
              <w:t>, when applicable.</w:t>
            </w:r>
          </w:p>
          <w:p w14:paraId="437E751F" w14:textId="77777777" w:rsidR="009A6B43" w:rsidRDefault="009A6B43" w:rsidP="009A6B43">
            <w:pPr>
              <w:pStyle w:val="TableText"/>
              <w:ind w:left="720"/>
            </w:pPr>
            <w:r>
              <w:t>The Pending Task List (PTL) and its report display the following:</w:t>
            </w:r>
          </w:p>
          <w:p w14:paraId="656006B1" w14:textId="77777777" w:rsidR="009A6B43" w:rsidRDefault="009A6B43" w:rsidP="00925CAD">
            <w:pPr>
              <w:pStyle w:val="TableText"/>
              <w:numPr>
                <w:ilvl w:val="0"/>
                <w:numId w:val="77"/>
              </w:numPr>
              <w:ind w:left="1080"/>
            </w:pPr>
            <w:r>
              <w:t>Diagnostic Tests tab includes only unexpired diagnostic tests that are not completed.</w:t>
            </w:r>
          </w:p>
          <w:p w14:paraId="2FEDABBD" w14:textId="77777777" w:rsidR="009A6B43" w:rsidRDefault="009A6B43" w:rsidP="00925CAD">
            <w:pPr>
              <w:pStyle w:val="TableText"/>
              <w:numPr>
                <w:ilvl w:val="0"/>
                <w:numId w:val="77"/>
              </w:numPr>
              <w:ind w:left="1080"/>
            </w:pPr>
            <w:r>
              <w:t>Component Orders tab includes only unexpired component orders (Filled orders are included).</w:t>
            </w:r>
          </w:p>
          <w:p w14:paraId="4BE239AA" w14:textId="77777777" w:rsidR="009A6B43" w:rsidRPr="00287DC2" w:rsidRDefault="009A6B43" w:rsidP="00925CAD">
            <w:pPr>
              <w:pStyle w:val="TableText"/>
              <w:numPr>
                <w:ilvl w:val="0"/>
                <w:numId w:val="77"/>
              </w:numPr>
              <w:ind w:left="1080"/>
            </w:pPr>
            <w:r>
              <w:t>Report</w:t>
            </w:r>
            <w:r w:rsidRPr="00287DC2">
              <w:t xml:space="preserve"> contain both unexpired component orders (Filled orders are included) and unexpired diagnostic tests that are not completed.</w:t>
            </w:r>
          </w:p>
          <w:p w14:paraId="40CB1DF4" w14:textId="77777777" w:rsidR="009A6B43" w:rsidRDefault="009A6B43" w:rsidP="009A6B43">
            <w:pPr>
              <w:pStyle w:val="TableText"/>
              <w:ind w:left="720"/>
            </w:pPr>
            <w:r>
              <w:t>The following data are included:</w:t>
            </w:r>
          </w:p>
          <w:p w14:paraId="4B48E265" w14:textId="77777777" w:rsidR="009A6B43" w:rsidRPr="00830728" w:rsidRDefault="009A6B43" w:rsidP="00925CAD">
            <w:pPr>
              <w:pStyle w:val="TableText"/>
              <w:numPr>
                <w:ilvl w:val="0"/>
                <w:numId w:val="78"/>
              </w:numPr>
              <w:ind w:left="1080"/>
            </w:pPr>
            <w:r w:rsidRPr="00830728">
              <w:t>Patient Location (report only)</w:t>
            </w:r>
          </w:p>
          <w:p w14:paraId="462224D7" w14:textId="77777777" w:rsidR="009A6B43" w:rsidRPr="00830728" w:rsidRDefault="009A6B43" w:rsidP="00925CAD">
            <w:pPr>
              <w:pStyle w:val="TableText"/>
              <w:numPr>
                <w:ilvl w:val="0"/>
                <w:numId w:val="78"/>
              </w:numPr>
              <w:ind w:left="1080"/>
            </w:pPr>
            <w:r w:rsidRPr="00830728">
              <w:t>Priority</w:t>
            </w:r>
          </w:p>
          <w:p w14:paraId="26EC3861" w14:textId="77777777" w:rsidR="009A6B43" w:rsidRPr="00830728" w:rsidRDefault="009A6B43" w:rsidP="00925CAD">
            <w:pPr>
              <w:pStyle w:val="TableText"/>
              <w:numPr>
                <w:ilvl w:val="0"/>
                <w:numId w:val="78"/>
              </w:numPr>
              <w:ind w:left="1080"/>
            </w:pPr>
            <w:r w:rsidRPr="00830728">
              <w:t>Patient Name</w:t>
            </w:r>
          </w:p>
          <w:p w14:paraId="4F3BA6C5" w14:textId="77777777" w:rsidR="009A6B43" w:rsidRPr="00830728" w:rsidRDefault="009A6B43" w:rsidP="00925CAD">
            <w:pPr>
              <w:pStyle w:val="TableText"/>
              <w:numPr>
                <w:ilvl w:val="0"/>
                <w:numId w:val="78"/>
              </w:numPr>
              <w:ind w:left="1080"/>
            </w:pPr>
            <w:r w:rsidRPr="00830728">
              <w:t>Patient ID</w:t>
            </w:r>
          </w:p>
          <w:p w14:paraId="3E79C2FC" w14:textId="77777777" w:rsidR="009A6B43" w:rsidRPr="00830728" w:rsidRDefault="009A6B43" w:rsidP="00925CAD">
            <w:pPr>
              <w:pStyle w:val="TableText"/>
              <w:numPr>
                <w:ilvl w:val="0"/>
                <w:numId w:val="78"/>
              </w:numPr>
              <w:ind w:left="1080"/>
            </w:pPr>
            <w:r w:rsidRPr="00830728">
              <w:t>Specimen UID</w:t>
            </w:r>
          </w:p>
          <w:p w14:paraId="603A1B35" w14:textId="77777777" w:rsidR="009A6B43" w:rsidRPr="00830728" w:rsidRDefault="009A6B43" w:rsidP="00925CAD">
            <w:pPr>
              <w:pStyle w:val="TableText"/>
              <w:numPr>
                <w:ilvl w:val="0"/>
                <w:numId w:val="78"/>
              </w:numPr>
              <w:ind w:left="1080"/>
            </w:pPr>
            <w:r w:rsidRPr="00830728">
              <w:t>CPRS Order ID (PTL only)</w:t>
            </w:r>
          </w:p>
          <w:p w14:paraId="30329C0B" w14:textId="77777777" w:rsidR="009A6B43" w:rsidRPr="00830728" w:rsidRDefault="009A6B43" w:rsidP="00925CAD">
            <w:pPr>
              <w:pStyle w:val="TableText"/>
              <w:numPr>
                <w:ilvl w:val="0"/>
                <w:numId w:val="78"/>
              </w:numPr>
              <w:ind w:left="1080"/>
            </w:pPr>
            <w:r w:rsidRPr="00830728">
              <w:t>Order (Diagnostic Test or Component)</w:t>
            </w:r>
          </w:p>
          <w:p w14:paraId="20991908" w14:textId="77777777" w:rsidR="009A6B43" w:rsidRPr="00830728" w:rsidRDefault="009A6B43" w:rsidP="00925CAD">
            <w:pPr>
              <w:pStyle w:val="TableText"/>
              <w:numPr>
                <w:ilvl w:val="0"/>
                <w:numId w:val="78"/>
              </w:numPr>
              <w:ind w:left="1080"/>
            </w:pPr>
            <w:r w:rsidRPr="00830728">
              <w:t>Quantity (Component order only)</w:t>
            </w:r>
          </w:p>
          <w:p w14:paraId="2C6202E0" w14:textId="77777777" w:rsidR="009A6B43" w:rsidRPr="00830728" w:rsidRDefault="009A6B43" w:rsidP="00925CAD">
            <w:pPr>
              <w:pStyle w:val="TableText"/>
              <w:numPr>
                <w:ilvl w:val="0"/>
                <w:numId w:val="78"/>
              </w:numPr>
              <w:ind w:left="1080"/>
            </w:pPr>
            <w:r w:rsidRPr="00830728">
              <w:t>Ordering Physician (report only)</w:t>
            </w:r>
          </w:p>
          <w:p w14:paraId="47152357" w14:textId="77777777" w:rsidR="009A6B43" w:rsidRPr="00830728" w:rsidRDefault="009A6B43" w:rsidP="00925CAD">
            <w:pPr>
              <w:pStyle w:val="TableText"/>
              <w:numPr>
                <w:ilvl w:val="0"/>
                <w:numId w:val="78"/>
              </w:numPr>
              <w:ind w:left="1080"/>
            </w:pPr>
            <w:r w:rsidRPr="00830728">
              <w:lastRenderedPageBreak/>
              <w:t>Order Comments</w:t>
            </w:r>
          </w:p>
          <w:p w14:paraId="10F9A3E3" w14:textId="77777777" w:rsidR="009A6B43" w:rsidRPr="00830728" w:rsidRDefault="009A6B43" w:rsidP="00925CAD">
            <w:pPr>
              <w:pStyle w:val="TableText"/>
              <w:numPr>
                <w:ilvl w:val="0"/>
                <w:numId w:val="78"/>
              </w:numPr>
              <w:ind w:left="1080"/>
            </w:pPr>
            <w:r w:rsidRPr="00830728">
              <w:t>Date Ordered (report only)</w:t>
            </w:r>
          </w:p>
          <w:p w14:paraId="541108CA" w14:textId="77777777" w:rsidR="009A6B43" w:rsidRPr="00830728" w:rsidRDefault="009A6B43" w:rsidP="00925CAD">
            <w:pPr>
              <w:pStyle w:val="TableText"/>
              <w:numPr>
                <w:ilvl w:val="0"/>
                <w:numId w:val="78"/>
              </w:numPr>
              <w:ind w:left="1080"/>
            </w:pPr>
            <w:r w:rsidRPr="00830728">
              <w:t>Date Wanted</w:t>
            </w:r>
          </w:p>
          <w:p w14:paraId="5762ADAF" w14:textId="12305315" w:rsidR="002A21AE" w:rsidRDefault="009A6B43" w:rsidP="00925CAD">
            <w:pPr>
              <w:pStyle w:val="TableText"/>
              <w:numPr>
                <w:ilvl w:val="0"/>
                <w:numId w:val="78"/>
              </w:numPr>
              <w:ind w:left="1080"/>
            </w:pPr>
            <w:r w:rsidRPr="00830728">
              <w:t>Task Status</w:t>
            </w:r>
          </w:p>
          <w:p w14:paraId="7FADFAF2" w14:textId="77777777" w:rsidR="002A21AE" w:rsidRDefault="002A21AE">
            <w:pPr>
              <w:pStyle w:val="NotesText"/>
            </w:pPr>
          </w:p>
          <w:p w14:paraId="50811717" w14:textId="77777777" w:rsidR="002A21AE" w:rsidRDefault="002A21AE">
            <w:pPr>
              <w:pStyle w:val="NotesText"/>
            </w:pPr>
            <w:r>
              <w:rPr>
                <w:rFonts w:cs="Arial"/>
                <w:vanish/>
              </w:rPr>
              <w:t xml:space="preserve">BR_92.10 </w:t>
            </w:r>
            <w:r>
              <w:rPr>
                <w:szCs w:val="20"/>
              </w:rPr>
              <w:t>VBECS alerts the user when he attempts to select multiple tasks of the same type for a patient, and does not allow the selection of two or more tasks of the same type ordered for a patient during a testing session. Tasks are considered to be of the same type when they need to accommodate the use of the same testing grid in Patient Testing: Record Patient Test Results. For example, a user may not select a TAS task and one of its subtests that is ordered in a testing session. VBECS provides for one testing grid display per patient per test, not per specimen UID. If the user selected a TAS and an ABS, VBECS displays only the first one selected for result entry.</w:t>
            </w:r>
          </w:p>
          <w:p w14:paraId="035FACE5" w14:textId="77777777" w:rsidR="002A21AE" w:rsidRDefault="002A21AE">
            <w:pPr>
              <w:pStyle w:val="NotesText"/>
            </w:pPr>
          </w:p>
          <w:p w14:paraId="08787103" w14:textId="77777777" w:rsidR="002A21AE" w:rsidRDefault="002A21AE">
            <w:pPr>
              <w:pStyle w:val="NotesText"/>
              <w:rPr>
                <w:b/>
              </w:rPr>
            </w:pPr>
            <w:r>
              <w:rPr>
                <w:vanish/>
                <w:szCs w:val="18"/>
              </w:rPr>
              <w:t xml:space="preserve">BR_92.02 </w:t>
            </w:r>
            <w:r>
              <w:t>Task and order statuses and functions that are displayed on the PTL:</w:t>
            </w:r>
          </w:p>
          <w:p w14:paraId="0F942CD3" w14:textId="77777777" w:rsidR="002A21AE" w:rsidRDefault="002A21AE">
            <w:pPr>
              <w:pStyle w:val="NotesTextBullet"/>
            </w:pPr>
            <w:r>
              <w:rPr>
                <w:b/>
              </w:rPr>
              <w:t>Not Started:</w:t>
            </w:r>
            <w:r>
              <w:t xml:space="preserve"> </w:t>
            </w:r>
            <w:r w:rsidR="00D06D15">
              <w:t>the order was not selected</w:t>
            </w:r>
            <w:r>
              <w:t>.</w:t>
            </w:r>
          </w:p>
          <w:p w14:paraId="42885EFD" w14:textId="77777777" w:rsidR="002A21AE" w:rsidRDefault="002A21AE">
            <w:pPr>
              <w:pStyle w:val="NotesTextBullet"/>
            </w:pPr>
            <w:r>
              <w:rPr>
                <w:b/>
              </w:rPr>
              <w:t>Partially Completed &lt;user ID&gt;:</w:t>
            </w:r>
            <w:r>
              <w:t xml:space="preserve"> allows selection by another user for a diagnostic test to complete</w:t>
            </w:r>
            <w:r w:rsidR="00430883">
              <w:t>,</w:t>
            </w:r>
            <w:r>
              <w:t xml:space="preserve"> invalidate</w:t>
            </w:r>
            <w:r w:rsidR="00430883">
              <w:t>, or delete</w:t>
            </w:r>
            <w:r>
              <w:t xml:space="preserve"> the work </w:t>
            </w:r>
            <w:r w:rsidR="00430883">
              <w:t>on this specimen</w:t>
            </w:r>
            <w:r>
              <w:t xml:space="preserve">. </w:t>
            </w:r>
            <w:r>
              <w:rPr>
                <w:i/>
              </w:rPr>
              <w:t>Component orders remain in this status until the specimen and order expire</w:t>
            </w:r>
            <w:r w:rsidRPr="00543DAF">
              <w:rPr>
                <w:i/>
              </w:rPr>
              <w:t>.</w:t>
            </w:r>
          </w:p>
          <w:p w14:paraId="04B0DC91" w14:textId="77777777" w:rsidR="002A21AE" w:rsidRDefault="002A21AE">
            <w:pPr>
              <w:pStyle w:val="NotesTextBullet"/>
            </w:pPr>
            <w:r>
              <w:rPr>
                <w:b/>
              </w:rPr>
              <w:t>Filled:</w:t>
            </w:r>
            <w:r>
              <w:t xml:space="preserve"> This order status is assigned when the total number of units ordered is </w:t>
            </w:r>
            <w:r w:rsidR="00C2698E">
              <w:t>updated to a unit status of “issued” or “transfused.”</w:t>
            </w:r>
            <w:r>
              <w:t xml:space="preserve"> </w:t>
            </w:r>
            <w:r w:rsidR="006B6C5C" w:rsidRPr="006B6C5C">
              <w:rPr>
                <w:vanish/>
              </w:rPr>
              <w:t>DR 2,597</w:t>
            </w:r>
          </w:p>
          <w:p w14:paraId="100A5330" w14:textId="77777777" w:rsidR="002A21AE" w:rsidRDefault="002A21AE">
            <w:pPr>
              <w:pStyle w:val="NotesTextBullet"/>
            </w:pPr>
            <w:r>
              <w:rPr>
                <w:b/>
              </w:rPr>
              <w:t xml:space="preserve">Correction: </w:t>
            </w:r>
            <w:r>
              <w:t>previous results were invalidated; a corrected entry is required.</w:t>
            </w:r>
          </w:p>
          <w:p w14:paraId="772607DD" w14:textId="77777777" w:rsidR="00493CA8" w:rsidRDefault="002E3B5D">
            <w:pPr>
              <w:pStyle w:val="NotesTextBullet"/>
            </w:pPr>
            <w:r w:rsidRPr="005E27C3">
              <w:rPr>
                <w:b/>
              </w:rPr>
              <w:t>Instrument Results Pending R</w:t>
            </w:r>
            <w:r w:rsidR="00493CA8" w:rsidRPr="005E27C3">
              <w:rPr>
                <w:b/>
              </w:rPr>
              <w:t>eview</w:t>
            </w:r>
            <w:r w:rsidRPr="005E27C3">
              <w:rPr>
                <w:b/>
              </w:rPr>
              <w:t>:</w:t>
            </w:r>
            <w:r>
              <w:t xml:space="preserve"> </w:t>
            </w:r>
            <w:r w:rsidR="005E27C3">
              <w:t xml:space="preserve">displayed on the </w:t>
            </w:r>
            <w:r w:rsidR="005E27C3">
              <w:rPr>
                <w:rFonts w:cs="Arial"/>
                <w:szCs w:val="18"/>
              </w:rPr>
              <w:t xml:space="preserve">Pending Task List: Diagnostic tests: does not allow the selection by another user for manual testing. </w:t>
            </w:r>
            <w:r w:rsidR="005E27C3" w:rsidRPr="005E27C3">
              <w:rPr>
                <w:rFonts w:cs="Arial"/>
                <w:vanish/>
                <w:szCs w:val="18"/>
              </w:rPr>
              <w:t>BR_92.02</w:t>
            </w:r>
          </w:p>
          <w:p w14:paraId="0908A8AB" w14:textId="77777777" w:rsidR="002A21AE" w:rsidRDefault="002A21AE">
            <w:pPr>
              <w:pStyle w:val="NotesText"/>
            </w:pPr>
          </w:p>
          <w:p w14:paraId="2C3B5382" w14:textId="77777777" w:rsidR="002A21AE" w:rsidRDefault="002A21AE">
            <w:pPr>
              <w:pStyle w:val="NotesText"/>
            </w:pPr>
            <w:r>
              <w:t>Task and order statuses that are not displayed for selection on the PTL:</w:t>
            </w:r>
          </w:p>
          <w:p w14:paraId="7AFF5C38" w14:textId="77777777" w:rsidR="002A21AE" w:rsidRDefault="002A21AE">
            <w:pPr>
              <w:pStyle w:val="NotesTextBullet"/>
            </w:pPr>
            <w:r>
              <w:rPr>
                <w:b/>
              </w:rPr>
              <w:t>Completed:</w:t>
            </w:r>
            <w:r>
              <w:t xml:space="preserve"> applies to diagnostic tests </w:t>
            </w:r>
          </w:p>
          <w:p w14:paraId="3181C0D0" w14:textId="77777777" w:rsidR="002A21AE" w:rsidRDefault="002A21AE">
            <w:pPr>
              <w:pStyle w:val="NotesTextBullet"/>
            </w:pPr>
            <w:r>
              <w:rPr>
                <w:b/>
              </w:rPr>
              <w:t>Expired:</w:t>
            </w:r>
            <w:r>
              <w:t xml:space="preserve"> applies to component orders at expiration of</w:t>
            </w:r>
            <w:r w:rsidR="00AA6C54">
              <w:t xml:space="preserve"> </w:t>
            </w:r>
            <w:r>
              <w:t>the associated specimen.</w:t>
            </w:r>
          </w:p>
          <w:p w14:paraId="59CEB7C3" w14:textId="77777777" w:rsidR="002A21AE" w:rsidRDefault="002A21AE">
            <w:pPr>
              <w:pStyle w:val="NotesText"/>
            </w:pPr>
          </w:p>
          <w:p w14:paraId="6A6CA9A0" w14:textId="2152E16B" w:rsidR="002A21AE" w:rsidRDefault="002A21AE" w:rsidP="00D327A3">
            <w:pPr>
              <w:pStyle w:val="NotesText"/>
            </w:pPr>
            <w:r>
              <w:t xml:space="preserve">See </w:t>
            </w:r>
            <w:r w:rsidR="00EE455E">
              <w:t xml:space="preserve">Appendix </w:t>
            </w:r>
            <w:r w:rsidR="00EE455E">
              <w:rPr>
                <w:noProof/>
              </w:rPr>
              <w:t>B</w:t>
            </w:r>
            <w:r>
              <w:t>:</w:t>
            </w:r>
            <w:r w:rsidR="00D327A3">
              <w:t xml:space="preserve"> </w:t>
            </w:r>
            <w:r w:rsidR="00EE455E">
              <w:t xml:space="preserve">Figure </w:t>
            </w:r>
            <w:r w:rsidR="00EE455E">
              <w:rPr>
                <w:noProof/>
              </w:rPr>
              <w:t>117:</w:t>
            </w:r>
            <w:r w:rsidR="00EE455E">
              <w:t xml:space="preserve"> </w:t>
            </w:r>
            <w:r w:rsidR="00EE455E">
              <w:rPr>
                <w:vanish/>
              </w:rPr>
              <w:t xml:space="preserve">TT_92.01 </w:t>
            </w:r>
            <w:r w:rsidR="00EE455E" w:rsidRPr="00EE455E">
              <w:t>Order</w:t>
            </w:r>
            <w:r w:rsidR="00EE455E">
              <w:t xml:space="preserve"> Status Flowchart</w:t>
            </w:r>
            <w:r w:rsidR="00BC74A8">
              <w:t xml:space="preserve"> </w:t>
            </w:r>
            <w:r w:rsidR="00BC74A8" w:rsidRPr="00BC74A8">
              <w:t xml:space="preserve">for the </w:t>
            </w:r>
            <w:r w:rsidR="003A0F91">
              <w:t>transmission</w:t>
            </w:r>
            <w:r w:rsidR="00BC74A8" w:rsidRPr="00BC74A8">
              <w:t xml:space="preserve"> of orders between CPRS and VBECS</w:t>
            </w:r>
            <w:r>
              <w:t>.</w:t>
            </w:r>
          </w:p>
          <w:p w14:paraId="65B44DA4" w14:textId="77777777" w:rsidR="00430883" w:rsidRPr="00BC74A8" w:rsidRDefault="00430883" w:rsidP="00BC74A8">
            <w:pPr>
              <w:pStyle w:val="NotesText"/>
            </w:pPr>
          </w:p>
          <w:p w14:paraId="511389B5" w14:textId="77777777" w:rsidR="00E84F5F" w:rsidRDefault="00E84F5F" w:rsidP="00E84F5F">
            <w:pPr>
              <w:pStyle w:val="NotesText"/>
            </w:pPr>
            <w:r w:rsidRPr="00574F77">
              <w:rPr>
                <w:vanish/>
                <w:szCs w:val="18"/>
              </w:rPr>
              <w:t xml:space="preserve">BR_92.07 </w:t>
            </w:r>
            <w:r w:rsidRPr="00574F77">
              <w:t>When a user prints a PTL and no pending tasks are found, VBECS asks whether the user wishes to continue to print. The user may cancel or print the report, which states that no pending orders were found.</w:t>
            </w:r>
          </w:p>
        </w:tc>
      </w:tr>
      <w:tr w:rsidR="002A21AE" w14:paraId="5C2C37D9" w14:textId="77777777">
        <w:tc>
          <w:tcPr>
            <w:tcW w:w="3240" w:type="dxa"/>
          </w:tcPr>
          <w:p w14:paraId="350EC864" w14:textId="77777777" w:rsidR="002A21AE" w:rsidRDefault="002A21AE">
            <w:pPr>
              <w:pStyle w:val="TableTextNumbers"/>
            </w:pPr>
            <w:r>
              <w:lastRenderedPageBreak/>
              <w:t xml:space="preserve">Click </w:t>
            </w:r>
            <w:r>
              <w:rPr>
                <w:b/>
              </w:rPr>
              <w:t>OK</w:t>
            </w:r>
            <w:r>
              <w:t xml:space="preserve"> or </w:t>
            </w:r>
            <w:r>
              <w:rPr>
                <w:b/>
              </w:rPr>
              <w:t>Cancel</w:t>
            </w:r>
            <w:r>
              <w:t xml:space="preserve"> to exit. </w:t>
            </w:r>
            <w:r>
              <w:rPr>
                <w:vanish/>
                <w:color w:val="FFFFFF"/>
                <w:szCs w:val="18"/>
              </w:rPr>
              <w:fldChar w:fldCharType="begin"/>
            </w:r>
            <w:r>
              <w:rPr>
                <w:vanish/>
                <w:color w:val="FFFFFF"/>
                <w:szCs w:val="18"/>
              </w:rPr>
              <w:instrText xml:space="preserve"> LISTNUM \l 1 \s 0 </w:instrText>
            </w:r>
            <w:r>
              <w:rPr>
                <w:vanish/>
                <w:color w:val="FFFFFF"/>
                <w:szCs w:val="18"/>
              </w:rPr>
              <w:fldChar w:fldCharType="end">
                <w:numberingChange w:id="509" w:author="MUSZYNSKI, THOMAS D. (SIERRA 7 INC)" w:date="2024-11-26T07:15:00Z" w:original="0."/>
              </w:fldChar>
            </w:r>
          </w:p>
        </w:tc>
        <w:tc>
          <w:tcPr>
            <w:tcW w:w="6120" w:type="dxa"/>
          </w:tcPr>
          <w:p w14:paraId="132A6332" w14:textId="77777777" w:rsidR="002A21AE" w:rsidRDefault="002A21AE">
            <w:pPr>
              <w:pStyle w:val="NotesText"/>
            </w:pPr>
          </w:p>
        </w:tc>
      </w:tr>
    </w:tbl>
    <w:p w14:paraId="00B266BE" w14:textId="77777777" w:rsidR="006C058D" w:rsidRDefault="006C058D">
      <w:pPr>
        <w:pStyle w:val="Heading3"/>
      </w:pPr>
    </w:p>
    <w:p w14:paraId="72B4DE62" w14:textId="77777777" w:rsidR="006C058D" w:rsidRDefault="006C058D">
      <w:pPr>
        <w:rPr>
          <w:rFonts w:ascii="Arial" w:hAnsi="Arial" w:cs="Arial"/>
          <w:b/>
          <w:bCs/>
          <w:sz w:val="26"/>
          <w:szCs w:val="26"/>
        </w:rPr>
      </w:pPr>
      <w:r>
        <w:br w:type="page"/>
      </w:r>
    </w:p>
    <w:p w14:paraId="27677300" w14:textId="571C45F6" w:rsidR="002A21AE" w:rsidRDefault="002A21AE">
      <w:pPr>
        <w:pStyle w:val="Heading3"/>
      </w:pPr>
      <w:bookmarkStart w:id="510" w:name="_Toc203765916"/>
      <w:r>
        <w:lastRenderedPageBreak/>
        <w:t>Accept Orders: Cancel a Pending Order</w:t>
      </w:r>
      <w:bookmarkEnd w:id="510"/>
      <w:r w:rsidRPr="00B91603">
        <w:rPr>
          <w:rFonts w:ascii="Arial Bold" w:hAnsi="Arial Bold"/>
          <w:vanish/>
        </w:rPr>
        <w:fldChar w:fldCharType="begin"/>
      </w:r>
      <w:r w:rsidRPr="00B91603">
        <w:rPr>
          <w:rFonts w:ascii="Arial Bold" w:hAnsi="Arial Bold"/>
          <w:vanish/>
        </w:rPr>
        <w:instrText xml:space="preserve"> XE </w:instrText>
      </w:r>
      <w:r w:rsidR="00FA7E65" w:rsidRPr="00B91603">
        <w:rPr>
          <w:rFonts w:ascii="Arial Bold" w:hAnsi="Arial Bold"/>
          <w:vanish/>
        </w:rPr>
        <w:instrText>“</w:instrText>
      </w:r>
      <w:r w:rsidRPr="00B91603">
        <w:rPr>
          <w:rFonts w:ascii="Arial Bold" w:hAnsi="Arial Bold"/>
          <w:vanish/>
        </w:rPr>
        <w:instrText>Accept Orders\: Cancel an Order</w:instrText>
      </w:r>
      <w:r w:rsidR="00FA7E65" w:rsidRPr="00B91603">
        <w:rPr>
          <w:rFonts w:ascii="Arial Bold" w:hAnsi="Arial Bold"/>
          <w:vanish/>
        </w:rPr>
        <w:instrText>”</w:instrText>
      </w:r>
      <w:r w:rsidRPr="00B91603">
        <w:rPr>
          <w:rFonts w:ascii="Arial Bold" w:hAnsi="Arial Bold"/>
          <w:vanish/>
        </w:rPr>
        <w:instrText xml:space="preserve"> </w:instrText>
      </w:r>
      <w:r w:rsidRPr="00B91603">
        <w:rPr>
          <w:rFonts w:ascii="Arial Bold" w:hAnsi="Arial Bold"/>
          <w:vanish/>
        </w:rPr>
        <w:fldChar w:fldCharType="end"/>
      </w:r>
      <w:r w:rsidRPr="00B91603">
        <w:rPr>
          <w:rFonts w:ascii="Arial Bold" w:hAnsi="Arial Bold"/>
          <w:vanish/>
        </w:rPr>
        <w:t xml:space="preserve"> UC_61</w:t>
      </w:r>
    </w:p>
    <w:p w14:paraId="46B38172" w14:textId="77777777" w:rsidR="002A21AE" w:rsidRDefault="002A21AE" w:rsidP="00FA7E65">
      <w:pPr>
        <w:pStyle w:val="BodyText"/>
      </w:pPr>
      <w:bookmarkStart w:id="511" w:name="_Toc79560668"/>
      <w:bookmarkStart w:id="512" w:name="_Toc75227779"/>
      <w:r>
        <w:t>The user cancels an unaccepted order on the Pending Order List (POL).</w:t>
      </w:r>
    </w:p>
    <w:p w14:paraId="6F79BFF6" w14:textId="77777777" w:rsidR="002A21AE" w:rsidRDefault="002A21AE">
      <w:pPr>
        <w:pStyle w:val="Heading4"/>
      </w:pPr>
      <w:r>
        <w:t>Assumptions</w:t>
      </w:r>
    </w:p>
    <w:p w14:paraId="2CC6407F" w14:textId="77777777" w:rsidR="002A21AE" w:rsidRDefault="002A21AE">
      <w:pPr>
        <w:pStyle w:val="ListBullet"/>
      </w:pPr>
      <w:r>
        <w:t>An order was not accepted by a user.</w:t>
      </w:r>
    </w:p>
    <w:p w14:paraId="4CA512FD" w14:textId="77777777" w:rsidR="002A21AE" w:rsidRDefault="002A21AE">
      <w:pPr>
        <w:pStyle w:val="ListBullet"/>
      </w:pPr>
      <w:r>
        <w:t xml:space="preserve">The connection to </w:t>
      </w:r>
      <w:r w:rsidR="00CA0045" w:rsidRPr="00CA0045">
        <w:rPr>
          <w:bCs/>
        </w:rPr>
        <w:t>VistA</w:t>
      </w:r>
      <w:r>
        <w:t xml:space="preserve"> is active.</w:t>
      </w:r>
    </w:p>
    <w:p w14:paraId="73D65F5B" w14:textId="77777777" w:rsidR="002A21AE" w:rsidRDefault="002A21AE">
      <w:pPr>
        <w:pStyle w:val="Heading4"/>
      </w:pPr>
      <w:r>
        <w:t xml:space="preserve">Outcome </w:t>
      </w:r>
    </w:p>
    <w:p w14:paraId="02151209" w14:textId="77777777" w:rsidR="002A21AE" w:rsidRDefault="002A21AE">
      <w:pPr>
        <w:pStyle w:val="ListBullet"/>
      </w:pPr>
      <w:r>
        <w:t>An order update message was sent to CPRS.</w:t>
      </w:r>
    </w:p>
    <w:p w14:paraId="7D618D00" w14:textId="77777777" w:rsidR="002A21AE" w:rsidRDefault="002A21AE">
      <w:pPr>
        <w:pStyle w:val="ListBullet"/>
      </w:pPr>
      <w:r>
        <w:t>The order was removed from the POL.</w:t>
      </w:r>
    </w:p>
    <w:p w14:paraId="099F878F" w14:textId="77777777" w:rsidR="00561829" w:rsidRDefault="00561829" w:rsidP="00561829">
      <w:pPr>
        <w:pStyle w:val="ListBullet"/>
      </w:pPr>
      <w:r>
        <w:t>If workload codes are assigned for this process, workload-related data collected as the result of this process are stored for inclusion in Workload Reports.</w:t>
      </w:r>
    </w:p>
    <w:p w14:paraId="226B3FE0" w14:textId="77777777" w:rsidR="002A21AE" w:rsidRDefault="002A21AE">
      <w:pPr>
        <w:pStyle w:val="Heading4"/>
      </w:pPr>
      <w:r>
        <w:t>Limitations and Restrictions</w:t>
      </w:r>
      <w:r>
        <w:rPr>
          <w:b w:val="0"/>
        </w:rPr>
        <w:t xml:space="preserve"> </w:t>
      </w:r>
    </w:p>
    <w:p w14:paraId="077E3D22" w14:textId="77777777" w:rsidR="002A21AE" w:rsidRDefault="002A21AE">
      <w:pPr>
        <w:pStyle w:val="ListBullet"/>
      </w:pPr>
      <w:r>
        <w:t>Cancellation of one order does not affect other orders placed with it.</w:t>
      </w:r>
    </w:p>
    <w:p w14:paraId="10FC0324" w14:textId="77777777" w:rsidR="002A21AE" w:rsidRDefault="002A21AE">
      <w:pPr>
        <w:pStyle w:val="Heading4"/>
      </w:pPr>
      <w:r>
        <w:t xml:space="preserve">Additional Information </w:t>
      </w:r>
    </w:p>
    <w:p w14:paraId="2F1141FD" w14:textId="77777777" w:rsidR="002A21AE" w:rsidRDefault="002A21AE">
      <w:pPr>
        <w:pStyle w:val="ListBullet"/>
      </w:pPr>
      <w:r>
        <w:t>Each pending order is managed individually.</w:t>
      </w:r>
    </w:p>
    <w:p w14:paraId="441D4C72" w14:textId="77777777" w:rsidR="00C5671A" w:rsidRDefault="001E56DE">
      <w:pPr>
        <w:pStyle w:val="ListBullet"/>
      </w:pPr>
      <w:r>
        <w:t xml:space="preserve">VBECS does not automatically clear or cancel pending </w:t>
      </w:r>
      <w:r w:rsidR="00BB3E6D">
        <w:t xml:space="preserve">or unaccepted </w:t>
      </w:r>
      <w:r>
        <w:t>orders</w:t>
      </w:r>
      <w:r w:rsidR="00BB3E6D">
        <w:t xml:space="preserve"> from the POL</w:t>
      </w:r>
      <w:r>
        <w:t>.</w:t>
      </w:r>
      <w:r>
        <w:rPr>
          <w:vanish/>
        </w:rPr>
        <w:t xml:space="preserve"> Task 1323</w:t>
      </w:r>
    </w:p>
    <w:p w14:paraId="330A7A78" w14:textId="77777777" w:rsidR="002A21AE" w:rsidRDefault="002A21AE">
      <w:pPr>
        <w:pStyle w:val="Heading4"/>
        <w:rPr>
          <w:b w:val="0"/>
        </w:rPr>
      </w:pPr>
      <w:r>
        <w:t>User Roles with Access to This Option</w:t>
      </w:r>
      <w:r>
        <w:rPr>
          <w:b w:val="0"/>
        </w:rPr>
        <w:t xml:space="preserve"> </w:t>
      </w:r>
    </w:p>
    <w:p w14:paraId="34092B41" w14:textId="77777777" w:rsidR="002A21AE" w:rsidRDefault="002232A3">
      <w:pPr>
        <w:pStyle w:val="Roles"/>
        <w:rPr>
          <w:snapToGrid w:val="0"/>
        </w:rPr>
      </w:pPr>
      <w:r>
        <w:t>All users</w:t>
      </w:r>
    </w:p>
    <w:p w14:paraId="5ECD3866" w14:textId="77777777" w:rsidR="002A21AE" w:rsidRDefault="002A21AE">
      <w:pPr>
        <w:pStyle w:val="Heading4"/>
      </w:pPr>
      <w:r>
        <w:t>Accept Orders: Cancel a Pending Order</w:t>
      </w:r>
    </w:p>
    <w:p w14:paraId="01F98E74" w14:textId="77777777" w:rsidR="002A21AE" w:rsidRDefault="002A21AE" w:rsidP="00FA7E65">
      <w:pPr>
        <w:pStyle w:val="BodyText"/>
      </w:pPr>
      <w:r>
        <w:t>The user selects an unaccepted order for cancellation.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2B9C6600" w14:textId="77777777">
        <w:trPr>
          <w:cantSplit/>
          <w:tblHeader/>
        </w:trPr>
        <w:tc>
          <w:tcPr>
            <w:tcW w:w="3240" w:type="dxa"/>
            <w:shd w:val="pct30" w:color="auto" w:fill="FFFFFF"/>
            <w:vAlign w:val="bottom"/>
          </w:tcPr>
          <w:p w14:paraId="5DDAB31C" w14:textId="77777777" w:rsidR="002A21AE" w:rsidRDefault="002A21AE">
            <w:pPr>
              <w:pStyle w:val="TableText"/>
              <w:rPr>
                <w:b/>
              </w:rPr>
            </w:pPr>
            <w:r>
              <w:rPr>
                <w:b/>
              </w:rPr>
              <w:t>User Action</w:t>
            </w:r>
          </w:p>
        </w:tc>
        <w:tc>
          <w:tcPr>
            <w:tcW w:w="6120" w:type="dxa"/>
            <w:shd w:val="pct30" w:color="auto" w:fill="FFFFFF"/>
            <w:vAlign w:val="bottom"/>
          </w:tcPr>
          <w:p w14:paraId="2A161124" w14:textId="77777777" w:rsidR="002A21AE" w:rsidRDefault="002A21AE">
            <w:pPr>
              <w:pStyle w:val="TableText"/>
              <w:rPr>
                <w:b/>
              </w:rPr>
            </w:pPr>
            <w:r>
              <w:rPr>
                <w:b/>
              </w:rPr>
              <w:t>VBECS</w:t>
            </w:r>
          </w:p>
        </w:tc>
      </w:tr>
      <w:tr w:rsidR="002A21AE" w14:paraId="5F7835FE" w14:textId="77777777">
        <w:tc>
          <w:tcPr>
            <w:tcW w:w="3240" w:type="dxa"/>
          </w:tcPr>
          <w:p w14:paraId="2A01D243" w14:textId="77777777" w:rsidR="002A21AE" w:rsidRDefault="002A21AE">
            <w:pPr>
              <w:pStyle w:val="TableTextNumbers"/>
            </w:pPr>
            <w:r>
              <w:t xml:space="preserve">Select </w:t>
            </w:r>
            <w:r>
              <w:rPr>
                <w:b/>
              </w:rPr>
              <w:t>Orders</w:t>
            </w:r>
            <w:r>
              <w:t xml:space="preserve"> from the main menu.</w:t>
            </w:r>
          </w:p>
          <w:p w14:paraId="22EC1A06" w14:textId="77777777" w:rsidR="002A21AE" w:rsidRDefault="002A21AE">
            <w:pPr>
              <w:pStyle w:val="TableTextNumbersContinued"/>
            </w:pPr>
          </w:p>
          <w:p w14:paraId="56AF2F2C" w14:textId="77777777" w:rsidR="002A21AE" w:rsidRDefault="002A21AE">
            <w:pPr>
              <w:pStyle w:val="TableTextNumbersContinued"/>
            </w:pPr>
            <w:r>
              <w:t xml:space="preserve">Select </w:t>
            </w:r>
            <w:r>
              <w:rPr>
                <w:b/>
              </w:rPr>
              <w:t>Accept Orders</w:t>
            </w:r>
            <w:r>
              <w:t>.</w:t>
            </w:r>
          </w:p>
        </w:tc>
        <w:tc>
          <w:tcPr>
            <w:tcW w:w="6120" w:type="dxa"/>
          </w:tcPr>
          <w:p w14:paraId="19B18068" w14:textId="77777777" w:rsidR="002A21AE" w:rsidRDefault="002A21AE">
            <w:pPr>
              <w:pStyle w:val="TableTextBullet"/>
            </w:pPr>
            <w:r>
              <w:t>Displays options for processing orders.</w:t>
            </w:r>
          </w:p>
          <w:p w14:paraId="4997CBF4" w14:textId="77777777" w:rsidR="002A21AE" w:rsidRDefault="002A21AE">
            <w:pPr>
              <w:pStyle w:val="TableTextBullet"/>
            </w:pPr>
            <w:r>
              <w:t>Displays the Pending Order List and Pending Order List search criteria.</w:t>
            </w:r>
          </w:p>
        </w:tc>
      </w:tr>
      <w:tr w:rsidR="002A21AE" w14:paraId="7BB35F0C" w14:textId="77777777" w:rsidTr="00A94A90">
        <w:trPr>
          <w:cantSplit/>
        </w:trPr>
        <w:tc>
          <w:tcPr>
            <w:tcW w:w="3240" w:type="dxa"/>
          </w:tcPr>
          <w:p w14:paraId="21BC2FC3" w14:textId="0A25A4EA" w:rsidR="002A21AE" w:rsidRDefault="002A21AE">
            <w:pPr>
              <w:pStyle w:val="TableTextNumbers"/>
            </w:pPr>
            <w:r>
              <w:t>Select an order to cancel from the Pending Order List</w:t>
            </w:r>
            <w:r w:rsidR="0051565D">
              <w:t xml:space="preserve"> (</w:t>
            </w:r>
            <w:r w:rsidR="00EE455E">
              <w:t xml:space="preserve">Figure </w:t>
            </w:r>
            <w:r w:rsidR="00EE455E">
              <w:rPr>
                <w:noProof/>
              </w:rPr>
              <w:t>92</w:t>
            </w:r>
            <w:r w:rsidR="0051565D">
              <w:t>)</w:t>
            </w:r>
            <w:r>
              <w:t>.</w:t>
            </w:r>
          </w:p>
          <w:p w14:paraId="4B810130" w14:textId="77777777" w:rsidR="002A21AE" w:rsidRDefault="002A21AE">
            <w:pPr>
              <w:pStyle w:val="TableTextNumbersContinued"/>
            </w:pPr>
          </w:p>
          <w:p w14:paraId="2F1774DE" w14:textId="77777777" w:rsidR="002A21AE" w:rsidRDefault="002A21AE">
            <w:pPr>
              <w:pStyle w:val="TableTextNumbersContinued"/>
            </w:pPr>
            <w:r>
              <w:t xml:space="preserve">Click </w:t>
            </w:r>
            <w:r>
              <w:rPr>
                <w:b/>
              </w:rPr>
              <w:t>Reject</w:t>
            </w:r>
            <w:r>
              <w:t>.</w:t>
            </w:r>
          </w:p>
        </w:tc>
        <w:tc>
          <w:tcPr>
            <w:tcW w:w="6120" w:type="dxa"/>
          </w:tcPr>
          <w:p w14:paraId="31EB27BD" w14:textId="77777777" w:rsidR="002A21AE" w:rsidRDefault="002A21AE">
            <w:pPr>
              <w:pStyle w:val="TableTextBullet"/>
            </w:pPr>
            <w:r>
              <w:t>Requires the user to enter a comment.</w:t>
            </w:r>
          </w:p>
          <w:p w14:paraId="25605541" w14:textId="77777777" w:rsidR="002A21AE" w:rsidRDefault="002A21AE">
            <w:pPr>
              <w:pStyle w:val="TableTextBullet"/>
            </w:pPr>
            <w:r>
              <w:t>Requires the user to confirm the cancellation of the pending order.</w:t>
            </w:r>
          </w:p>
        </w:tc>
      </w:tr>
      <w:tr w:rsidR="002A21AE" w14:paraId="1DF0F60A" w14:textId="77777777">
        <w:tc>
          <w:tcPr>
            <w:tcW w:w="3240" w:type="dxa"/>
          </w:tcPr>
          <w:p w14:paraId="2B5257A8" w14:textId="77777777" w:rsidR="002A21AE" w:rsidRDefault="002A21AE">
            <w:pPr>
              <w:pStyle w:val="TableTextNumbers"/>
            </w:pPr>
            <w:r>
              <w:t>Enter or select a comment in the Comment field.</w:t>
            </w:r>
          </w:p>
          <w:p w14:paraId="10F98B18" w14:textId="77777777" w:rsidR="002A21AE" w:rsidRDefault="002A21AE">
            <w:pPr>
              <w:pStyle w:val="TableTextNumbersContinued"/>
            </w:pPr>
          </w:p>
          <w:p w14:paraId="5059E0FF" w14:textId="77777777" w:rsidR="002A21AE" w:rsidRDefault="002A21AE">
            <w:pPr>
              <w:pStyle w:val="TableTextNumbersContinued"/>
            </w:pPr>
            <w:r>
              <w:t>Enter details in the Details field, if desired.</w:t>
            </w:r>
          </w:p>
          <w:p w14:paraId="23198934" w14:textId="77777777" w:rsidR="002A21AE" w:rsidRDefault="002A21AE">
            <w:pPr>
              <w:pStyle w:val="TableTextNumbersContinued"/>
            </w:pPr>
          </w:p>
          <w:p w14:paraId="25B15F51" w14:textId="77777777" w:rsidR="002A21AE" w:rsidRDefault="002A21AE">
            <w:pPr>
              <w:pStyle w:val="TableTextNumbersContinued"/>
            </w:pPr>
            <w:r>
              <w:t xml:space="preserve">Click </w:t>
            </w:r>
            <w:r>
              <w:rPr>
                <w:b/>
              </w:rPr>
              <w:t>OK</w:t>
            </w:r>
            <w:r>
              <w:t xml:space="preserve"> and </w:t>
            </w:r>
            <w:r>
              <w:rPr>
                <w:b/>
              </w:rPr>
              <w:t>Close</w:t>
            </w:r>
            <w:r>
              <w:t xml:space="preserve"> to confirm the order cancellation. </w:t>
            </w:r>
            <w:r>
              <w:rPr>
                <w:rStyle w:val="TableTextNumbersChar"/>
                <w:vanish/>
                <w:color w:val="FFFFFF"/>
                <w:szCs w:val="18"/>
              </w:rPr>
              <w:fldChar w:fldCharType="begin"/>
            </w:r>
            <w:r>
              <w:rPr>
                <w:rStyle w:val="TableTextNumbersChar"/>
                <w:vanish/>
                <w:color w:val="FFFFFF"/>
                <w:szCs w:val="18"/>
              </w:rPr>
              <w:instrText xml:space="preserve"> LISTNUM \l 1 \s 0 </w:instrText>
            </w:r>
            <w:r>
              <w:rPr>
                <w:rStyle w:val="TableTextNumbersChar"/>
                <w:vanish/>
                <w:color w:val="FFFFFF"/>
                <w:szCs w:val="18"/>
              </w:rPr>
              <w:fldChar w:fldCharType="end">
                <w:numberingChange w:id="513" w:author="MUSZYNSKI, THOMAS D. (SIERRA 7 INC)" w:date="2024-11-26T07:15:00Z" w:original="0."/>
              </w:fldChar>
            </w:r>
          </w:p>
        </w:tc>
        <w:tc>
          <w:tcPr>
            <w:tcW w:w="6120" w:type="dxa"/>
          </w:tcPr>
          <w:p w14:paraId="20A26E95" w14:textId="77777777" w:rsidR="00BB3E6D" w:rsidRDefault="002A21AE" w:rsidP="00BB3E6D">
            <w:pPr>
              <w:pStyle w:val="TableTextBullet"/>
            </w:pPr>
            <w:r>
              <w:t>Removes the order from the Pending Order List and sends a message to CPRS with an order status update.</w:t>
            </w:r>
          </w:p>
          <w:p w14:paraId="127920E6" w14:textId="77777777" w:rsidR="00BB3E6D" w:rsidRDefault="00BB3E6D" w:rsidP="00BB3E6D">
            <w:pPr>
              <w:pStyle w:val="TableTextBullet"/>
              <w:numPr>
                <w:ilvl w:val="0"/>
                <w:numId w:val="0"/>
              </w:numPr>
            </w:pPr>
          </w:p>
          <w:p w14:paraId="4BEFD811" w14:textId="38ED1C86" w:rsidR="00BB3E6D" w:rsidRDefault="00BB3E6D" w:rsidP="00BB3E6D">
            <w:pPr>
              <w:pStyle w:val="TableText"/>
              <w:rPr>
                <w:b/>
                <w:bCs/>
                <w:szCs w:val="18"/>
              </w:rPr>
            </w:pPr>
            <w:r>
              <w:rPr>
                <w:b/>
                <w:bCs/>
                <w:szCs w:val="18"/>
              </w:rPr>
              <w:t>NOTES</w:t>
            </w:r>
          </w:p>
          <w:p w14:paraId="4B40ED13" w14:textId="77777777" w:rsidR="00BB3E6D" w:rsidRDefault="00BB3E6D" w:rsidP="00BB3E6D">
            <w:pPr>
              <w:pStyle w:val="NotesText"/>
            </w:pPr>
          </w:p>
          <w:p w14:paraId="14D3D722" w14:textId="77777777" w:rsidR="00BB3E6D" w:rsidRDefault="00BB3E6D" w:rsidP="004641B8">
            <w:pPr>
              <w:pStyle w:val="NotesText"/>
            </w:pPr>
            <w:r>
              <w:t>VBECS does not cancel a lab order if the lab order has already been accessioned</w:t>
            </w:r>
            <w:r w:rsidR="004641B8">
              <w:t>.</w:t>
            </w:r>
          </w:p>
        </w:tc>
      </w:tr>
    </w:tbl>
    <w:p w14:paraId="401BAA6F" w14:textId="2B6B9265" w:rsidR="00FA0E50" w:rsidRDefault="00FA0E50" w:rsidP="00FA0E50">
      <w:pPr>
        <w:pStyle w:val="Caption"/>
      </w:pPr>
      <w:bookmarkStart w:id="514" w:name="_Ref126725358"/>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7D1829">
        <w:rPr>
          <w:noProof/>
        </w:rPr>
        <w:t>93</w:t>
      </w:r>
      <w:r w:rsidR="004E20BD">
        <w:rPr>
          <w:noProof/>
        </w:rPr>
        <w:fldChar w:fldCharType="end"/>
      </w:r>
      <w:bookmarkEnd w:id="514"/>
      <w:r>
        <w:t>: Accept Orders: Reject an Order</w:t>
      </w:r>
    </w:p>
    <w:p w14:paraId="00664523" w14:textId="7D42CED1" w:rsidR="00FA0E50" w:rsidRDefault="00C84A5E" w:rsidP="00FA0E50">
      <w:pPr>
        <w:pStyle w:val="BodyText"/>
      </w:pPr>
      <w:r>
        <w:rPr>
          <w:noProof/>
        </w:rPr>
        <w:drawing>
          <wp:inline distT="0" distB="0" distL="0" distR="0" wp14:anchorId="47BBBEB4" wp14:editId="4C3C8F8F">
            <wp:extent cx="5943600" cy="3028950"/>
            <wp:effectExtent l="0" t="0" r="0" b="0"/>
            <wp:docPr id="193" name="Picture 193" descr="Example of Accept Orders: Accept an Order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Picture 193" descr="Example of Accept Orders: Accept an Order screen capture"/>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5943600" cy="3028950"/>
                    </a:xfrm>
                    <a:prstGeom prst="rect">
                      <a:avLst/>
                    </a:prstGeom>
                    <a:noFill/>
                    <a:ln>
                      <a:noFill/>
                    </a:ln>
                  </pic:spPr>
                </pic:pic>
              </a:graphicData>
            </a:graphic>
          </wp:inline>
        </w:drawing>
      </w:r>
    </w:p>
    <w:p w14:paraId="6E76F6E6" w14:textId="77777777" w:rsidR="002A21AE" w:rsidRDefault="002A21AE">
      <w:pPr>
        <w:pStyle w:val="Heading2"/>
      </w:pPr>
      <w:r>
        <w:br w:type="page"/>
      </w:r>
      <w:bookmarkStart w:id="515" w:name="_Toc203765917"/>
      <w:r>
        <w:lastRenderedPageBreak/>
        <w:t>Order Reflex Tests</w:t>
      </w:r>
      <w:bookmarkEnd w:id="511"/>
      <w:bookmarkEnd w:id="515"/>
      <w:r>
        <w:fldChar w:fldCharType="begin"/>
      </w:r>
      <w:r>
        <w:instrText xml:space="preserve"> XE </w:instrText>
      </w:r>
      <w:r w:rsidR="00FA7E65">
        <w:instrText>“</w:instrText>
      </w:r>
      <w:r>
        <w:instrText>Order Reflex Tests</w:instrText>
      </w:r>
      <w:r w:rsidR="00FA7E65">
        <w:instrText>”</w:instrText>
      </w:r>
      <w:r>
        <w:instrText xml:space="preserve"> </w:instrText>
      </w:r>
      <w:r>
        <w:fldChar w:fldCharType="end"/>
      </w:r>
      <w:r>
        <w:t xml:space="preserve"> </w:t>
      </w:r>
      <w:r>
        <w:rPr>
          <w:rFonts w:ascii="Times New Roman" w:hAnsi="Times New Roman" w:cs="Times New Roman"/>
          <w:b w:val="0"/>
          <w:i w:val="0"/>
          <w:vanish/>
          <w:sz w:val="22"/>
        </w:rPr>
        <w:t>UC_45</w:t>
      </w:r>
    </w:p>
    <w:p w14:paraId="64EAD5AE" w14:textId="77777777" w:rsidR="002A21AE" w:rsidRDefault="002A21AE" w:rsidP="00FA7E65">
      <w:pPr>
        <w:pStyle w:val="BodyText"/>
      </w:pPr>
      <w:r>
        <w:t>The user may order additional blood bank tests for a complete or incomplete accepted patient specimen to add to the Pending Task List (PTL). The ordered test or test group limits the type of reflex and repeat test order that may be associated with a specimen.</w:t>
      </w:r>
    </w:p>
    <w:p w14:paraId="201473AB" w14:textId="77777777" w:rsidR="002A21AE" w:rsidRDefault="002A21AE">
      <w:pPr>
        <w:pStyle w:val="Heading4"/>
      </w:pPr>
      <w:r>
        <w:t>Assumptions</w:t>
      </w:r>
    </w:p>
    <w:p w14:paraId="4BA61979" w14:textId="77777777" w:rsidR="002A21AE" w:rsidRDefault="002A21AE">
      <w:pPr>
        <w:pStyle w:val="ListBullet"/>
      </w:pPr>
      <w:r>
        <w:t>A patient’s test result requires further investigation or repetition of a diagnostic test.</w:t>
      </w:r>
    </w:p>
    <w:p w14:paraId="3E2C1332" w14:textId="77777777" w:rsidR="002A21AE" w:rsidRDefault="002A21AE">
      <w:pPr>
        <w:pStyle w:val="Heading4"/>
      </w:pPr>
      <w:r>
        <w:t>Outcome</w:t>
      </w:r>
    </w:p>
    <w:p w14:paraId="3BE92FA5" w14:textId="77777777" w:rsidR="002A21AE" w:rsidRDefault="002A21AE">
      <w:pPr>
        <w:pStyle w:val="ListBullet"/>
      </w:pPr>
      <w:r>
        <w:rPr>
          <w:rFonts w:ascii="Arial" w:hAnsi="Arial" w:cs="Arial"/>
          <w:vanish/>
          <w:spacing w:val="0"/>
          <w:sz w:val="18"/>
        </w:rPr>
        <w:t xml:space="preserve">BR_45.05 </w:t>
      </w:r>
      <w:r>
        <w:t>One or more reflex orders are in the PTL with a “routine” urgency.</w:t>
      </w:r>
    </w:p>
    <w:p w14:paraId="7BD5958B" w14:textId="77777777" w:rsidR="002A21AE" w:rsidRDefault="002A21AE">
      <w:pPr>
        <w:pStyle w:val="Heading4"/>
      </w:pPr>
      <w:r>
        <w:t>Limitations and Restrictions</w:t>
      </w:r>
    </w:p>
    <w:p w14:paraId="4BD6F613" w14:textId="77777777" w:rsidR="002A21AE" w:rsidRDefault="002A21AE">
      <w:pPr>
        <w:pStyle w:val="ListBullet"/>
      </w:pPr>
      <w:r w:rsidRPr="00FE7547">
        <w:rPr>
          <w:rFonts w:ascii="Arial" w:hAnsi="Arial" w:cs="Arial"/>
          <w:vanish/>
          <w:spacing w:val="0"/>
          <w:sz w:val="18"/>
        </w:rPr>
        <w:t>BR_45.10</w:t>
      </w:r>
      <w:r>
        <w:rPr>
          <w:rFonts w:ascii="Arial" w:hAnsi="Arial" w:cs="Arial"/>
          <w:vanish/>
          <w:spacing w:val="0"/>
          <w:sz w:val="18"/>
        </w:rPr>
        <w:t xml:space="preserve"> </w:t>
      </w:r>
      <w:r>
        <w:t xml:space="preserve">A crossmatch (XM) and a repeat </w:t>
      </w:r>
      <w:r w:rsidR="004D7585">
        <w:t>XM</w:t>
      </w:r>
      <w:r>
        <w:t xml:space="preserve"> cannot be ordered unless they are associated with a specimen with a future expiration date and a phlebotomist is associated with that specimen.</w:t>
      </w:r>
    </w:p>
    <w:p w14:paraId="10AB050E" w14:textId="420AE545" w:rsidR="002A21AE" w:rsidRDefault="002A21AE">
      <w:pPr>
        <w:pStyle w:val="ListBullet"/>
      </w:pPr>
      <w:r>
        <w:rPr>
          <w:rFonts w:ascii="Arial" w:hAnsi="Arial" w:cs="Arial"/>
          <w:vanish/>
          <w:spacing w:val="0"/>
          <w:sz w:val="18"/>
        </w:rPr>
        <w:t xml:space="preserve">BR_98.02 </w:t>
      </w:r>
      <w:r>
        <w:t>When a user selects weak D for the antigen typing test and the selected patient is Rh positive, VBECS warns that weak D testing cannot be performed</w:t>
      </w:r>
      <w:r w:rsidR="00501F92">
        <w:t xml:space="preserve"> (See</w:t>
      </w:r>
      <w:r w:rsidR="009913C5">
        <w:t xml:space="preserve"> </w:t>
      </w:r>
      <w:r w:rsidR="009913C5" w:rsidRPr="00423A7F">
        <w:rPr>
          <w:i/>
          <w:iCs/>
        </w:rPr>
        <w:t>FAQ Weak D Policy</w:t>
      </w:r>
      <w:r w:rsidR="009913C5">
        <w:t>)</w:t>
      </w:r>
      <w:r>
        <w:t>. There is no override and VBECS does not add the test.</w:t>
      </w:r>
    </w:p>
    <w:p w14:paraId="0BEDAEE0" w14:textId="77777777" w:rsidR="002A21AE" w:rsidRDefault="002A21AE">
      <w:pPr>
        <w:pStyle w:val="Heading4"/>
      </w:pPr>
      <w:r>
        <w:t>Additional Information</w:t>
      </w:r>
    </w:p>
    <w:p w14:paraId="385A711C" w14:textId="77777777" w:rsidR="002A21AE" w:rsidRDefault="002A21AE">
      <w:pPr>
        <w:pStyle w:val="ListBullet"/>
      </w:pPr>
      <w:r>
        <w:t>Unlimited repeat tests may be ordered and completed, but are not available to CPRS or to billing.</w:t>
      </w:r>
    </w:p>
    <w:p w14:paraId="00B21FAF" w14:textId="77777777" w:rsidR="002A21AE" w:rsidRDefault="002A21AE">
      <w:pPr>
        <w:pStyle w:val="Heading4"/>
      </w:pPr>
      <w:r>
        <w:t>User Roles with Access to This Option</w:t>
      </w:r>
    </w:p>
    <w:p w14:paraId="4C762E40" w14:textId="77777777" w:rsidR="002A21AE" w:rsidRDefault="006E4031">
      <w:pPr>
        <w:pStyle w:val="Roles"/>
        <w:rPr>
          <w:snapToGrid w:val="0"/>
        </w:rPr>
      </w:pPr>
      <w:r>
        <w:t>All users</w:t>
      </w:r>
    </w:p>
    <w:bookmarkEnd w:id="512"/>
    <w:p w14:paraId="6CD9377F" w14:textId="77777777" w:rsidR="002A21AE" w:rsidRDefault="002A21AE">
      <w:pPr>
        <w:pStyle w:val="Heading4"/>
      </w:pPr>
      <w:r>
        <w:t>Order Reflex Tests</w:t>
      </w:r>
    </w:p>
    <w:p w14:paraId="6432FE2B" w14:textId="77777777" w:rsidR="002A21AE" w:rsidRDefault="002A21AE" w:rsidP="00FA7E65">
      <w:pPr>
        <w:pStyle w:val="BodyText"/>
      </w:pPr>
      <w:r>
        <w:t xml:space="preserve">The user orders additional blood bank tests for a patient specimen that was already accepted and that may or may not be completed. The ordered reflex test(s) are added to the PTL. </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73787A16" w14:textId="77777777">
        <w:trPr>
          <w:tblHeader/>
        </w:trPr>
        <w:tc>
          <w:tcPr>
            <w:tcW w:w="3240" w:type="dxa"/>
            <w:shd w:val="pct30" w:color="auto" w:fill="FFFFFF"/>
            <w:vAlign w:val="bottom"/>
          </w:tcPr>
          <w:p w14:paraId="134D9B5B" w14:textId="77777777" w:rsidR="002A21AE" w:rsidRDefault="002A21AE">
            <w:pPr>
              <w:pStyle w:val="TableText"/>
              <w:rPr>
                <w:b/>
              </w:rPr>
            </w:pPr>
            <w:r>
              <w:rPr>
                <w:b/>
              </w:rPr>
              <w:t>User Action</w:t>
            </w:r>
          </w:p>
        </w:tc>
        <w:tc>
          <w:tcPr>
            <w:tcW w:w="6120" w:type="dxa"/>
            <w:shd w:val="pct30" w:color="auto" w:fill="FFFFFF"/>
            <w:vAlign w:val="bottom"/>
          </w:tcPr>
          <w:p w14:paraId="234D9C78" w14:textId="77777777" w:rsidR="002A21AE" w:rsidRDefault="002A21AE">
            <w:pPr>
              <w:pStyle w:val="TableText"/>
              <w:rPr>
                <w:b/>
              </w:rPr>
            </w:pPr>
            <w:r>
              <w:rPr>
                <w:b/>
              </w:rPr>
              <w:t>VBECS</w:t>
            </w:r>
          </w:p>
        </w:tc>
      </w:tr>
      <w:tr w:rsidR="002A21AE" w14:paraId="135118D8" w14:textId="77777777">
        <w:tc>
          <w:tcPr>
            <w:tcW w:w="3240" w:type="dxa"/>
          </w:tcPr>
          <w:p w14:paraId="6FF09DAB" w14:textId="77777777" w:rsidR="002A21AE" w:rsidRDefault="002A21AE">
            <w:pPr>
              <w:pStyle w:val="TableTextNumbers"/>
            </w:pPr>
            <w:r>
              <w:t xml:space="preserve">Select </w:t>
            </w:r>
            <w:r>
              <w:rPr>
                <w:b/>
              </w:rPr>
              <w:t>Orders</w:t>
            </w:r>
            <w:r>
              <w:t xml:space="preserve"> from the main menu.</w:t>
            </w:r>
          </w:p>
          <w:p w14:paraId="7CDD96BD" w14:textId="77777777" w:rsidR="002A21AE" w:rsidRDefault="002A21AE">
            <w:pPr>
              <w:pStyle w:val="TableTextNumbersContinued"/>
            </w:pPr>
          </w:p>
          <w:p w14:paraId="5BECC6F8" w14:textId="77777777" w:rsidR="002A21AE" w:rsidRDefault="002A21AE">
            <w:pPr>
              <w:pStyle w:val="TableTextNumbersContinued"/>
            </w:pPr>
            <w:r>
              <w:t xml:space="preserve">Select </w:t>
            </w:r>
            <w:r>
              <w:rPr>
                <w:b/>
              </w:rPr>
              <w:t>Order Reflex Tests</w:t>
            </w:r>
            <w:r>
              <w:t>.</w:t>
            </w:r>
          </w:p>
        </w:tc>
        <w:tc>
          <w:tcPr>
            <w:tcW w:w="6120" w:type="dxa"/>
          </w:tcPr>
          <w:p w14:paraId="259A111B" w14:textId="77777777" w:rsidR="002A21AE" w:rsidRDefault="002A21AE">
            <w:pPr>
              <w:pStyle w:val="TableTextBullet"/>
            </w:pPr>
            <w:r>
              <w:t>Displays options for processing orders.</w:t>
            </w:r>
          </w:p>
          <w:p w14:paraId="228EF9B3" w14:textId="77777777" w:rsidR="002A21AE" w:rsidRDefault="002A21AE">
            <w:pPr>
              <w:pStyle w:val="TableTextBullet"/>
            </w:pPr>
            <w:r>
              <w:t>Displays specimen search criteria and search results.</w:t>
            </w:r>
          </w:p>
          <w:p w14:paraId="620E070A" w14:textId="77777777" w:rsidR="002A21AE" w:rsidRDefault="002A21AE">
            <w:pPr>
              <w:pStyle w:val="TableText"/>
            </w:pPr>
          </w:p>
          <w:p w14:paraId="4F31019E" w14:textId="7B6C2036" w:rsidR="002A21AE" w:rsidRDefault="002A21AE">
            <w:pPr>
              <w:pStyle w:val="TableText"/>
              <w:rPr>
                <w:b/>
                <w:bCs/>
                <w:szCs w:val="18"/>
              </w:rPr>
            </w:pPr>
            <w:r>
              <w:rPr>
                <w:b/>
                <w:bCs/>
                <w:szCs w:val="18"/>
              </w:rPr>
              <w:t>NOTES</w:t>
            </w:r>
          </w:p>
          <w:p w14:paraId="2617F553" w14:textId="77777777" w:rsidR="002A21AE" w:rsidRDefault="002A21AE">
            <w:pPr>
              <w:pStyle w:val="NotesText"/>
            </w:pPr>
          </w:p>
          <w:p w14:paraId="002B2C5A" w14:textId="77777777" w:rsidR="002A21AE" w:rsidRDefault="002A21AE">
            <w:pPr>
              <w:pStyle w:val="NotesText"/>
            </w:pPr>
            <w:r>
              <w:t xml:space="preserve">The user may also access Order Reflex Tests by clicking </w:t>
            </w:r>
            <w:r>
              <w:rPr>
                <w:b/>
                <w:bCs/>
              </w:rPr>
              <w:t>Order Reflex Tests</w:t>
            </w:r>
            <w:r>
              <w:t xml:space="preserve"> when executing Patient Testing or by right-clicking the testing grid that generates the reflexive order.</w:t>
            </w:r>
          </w:p>
        </w:tc>
      </w:tr>
      <w:tr w:rsidR="002A21AE" w14:paraId="35ED929A" w14:textId="77777777">
        <w:trPr>
          <w:trHeight w:val="512"/>
        </w:trPr>
        <w:tc>
          <w:tcPr>
            <w:tcW w:w="3240" w:type="dxa"/>
          </w:tcPr>
          <w:p w14:paraId="2932C707" w14:textId="77777777" w:rsidR="002A21AE" w:rsidRDefault="002A21AE">
            <w:pPr>
              <w:pStyle w:val="TableTextNumbers"/>
            </w:pPr>
            <w:r>
              <w:t>Enter the patient name and/or the specimen UID.</w:t>
            </w:r>
          </w:p>
          <w:p w14:paraId="1C0A0E00" w14:textId="77777777" w:rsidR="002A21AE" w:rsidRDefault="002A21AE">
            <w:pPr>
              <w:pStyle w:val="TableTextNumbersContinued"/>
            </w:pPr>
          </w:p>
          <w:p w14:paraId="48C7D35E" w14:textId="77777777" w:rsidR="002A21AE" w:rsidRDefault="002A21AE">
            <w:pPr>
              <w:pStyle w:val="TableTextNumbersContinued"/>
            </w:pPr>
            <w:r>
              <w:t xml:space="preserve">Click </w:t>
            </w:r>
            <w:r>
              <w:rPr>
                <w:b/>
              </w:rPr>
              <w:t>Search</w:t>
            </w:r>
            <w:r>
              <w:t>, if necessary.</w:t>
            </w:r>
          </w:p>
        </w:tc>
        <w:tc>
          <w:tcPr>
            <w:tcW w:w="6120" w:type="dxa"/>
          </w:tcPr>
          <w:p w14:paraId="35048DEC" w14:textId="77777777" w:rsidR="002A21AE" w:rsidRDefault="002A21AE">
            <w:pPr>
              <w:pStyle w:val="TableText"/>
            </w:pPr>
          </w:p>
          <w:p w14:paraId="0AC5693C" w14:textId="7E1CA828" w:rsidR="002A21AE" w:rsidRDefault="002A21AE">
            <w:pPr>
              <w:pStyle w:val="TableText"/>
              <w:rPr>
                <w:b/>
                <w:bCs/>
                <w:szCs w:val="18"/>
              </w:rPr>
            </w:pPr>
            <w:r>
              <w:rPr>
                <w:b/>
                <w:bCs/>
                <w:szCs w:val="18"/>
              </w:rPr>
              <w:t>NOTES</w:t>
            </w:r>
          </w:p>
          <w:p w14:paraId="5262D5BF" w14:textId="77777777" w:rsidR="002A21AE" w:rsidRDefault="002A21AE">
            <w:pPr>
              <w:pStyle w:val="NotesText"/>
            </w:pPr>
          </w:p>
          <w:p w14:paraId="34AEEE02" w14:textId="77777777" w:rsidR="002A21AE" w:rsidRDefault="002A21AE">
            <w:pPr>
              <w:pStyle w:val="NotesText"/>
            </w:pPr>
            <w:r>
              <w:rPr>
                <w:rFonts w:cs="Arial"/>
                <w:vanish/>
              </w:rPr>
              <w:t xml:space="preserve">BR_45.08 </w:t>
            </w:r>
            <w:r>
              <w:t>The user may identify specific specimen for reflex test ordering by scanning or by manual data entry of the UID on the specimen.</w:t>
            </w:r>
          </w:p>
        </w:tc>
      </w:tr>
      <w:tr w:rsidR="002A21AE" w14:paraId="6C0C74DA" w14:textId="77777777" w:rsidTr="00A94A90">
        <w:trPr>
          <w:cantSplit/>
        </w:trPr>
        <w:tc>
          <w:tcPr>
            <w:tcW w:w="3240" w:type="dxa"/>
          </w:tcPr>
          <w:p w14:paraId="761DE98C" w14:textId="77777777" w:rsidR="002A21AE" w:rsidRDefault="002A21AE">
            <w:pPr>
              <w:pStyle w:val="TableTextNumbers"/>
            </w:pPr>
            <w:r>
              <w:lastRenderedPageBreak/>
              <w:t xml:space="preserve">Select an item from Specimen Search Results. </w:t>
            </w:r>
          </w:p>
          <w:p w14:paraId="74958443" w14:textId="77777777" w:rsidR="002A21AE" w:rsidRDefault="002A21AE">
            <w:pPr>
              <w:pStyle w:val="TableTextNumbersContinued"/>
            </w:pPr>
          </w:p>
          <w:p w14:paraId="26FFE777" w14:textId="13E58FAF" w:rsidR="002A21AE" w:rsidRDefault="002A21AE">
            <w:pPr>
              <w:pStyle w:val="TableTextNumbersContinued"/>
            </w:pPr>
            <w:r>
              <w:t>Review the information in the Selected Patient Specimen area and in the Patient Details and Order Details tabs</w:t>
            </w:r>
            <w:r w:rsidR="00096F7A">
              <w:t xml:space="preserve"> (</w:t>
            </w:r>
            <w:r w:rsidR="00EE455E">
              <w:t xml:space="preserve">Figure </w:t>
            </w:r>
            <w:r w:rsidR="00EE455E">
              <w:rPr>
                <w:noProof/>
              </w:rPr>
              <w:t>93</w:t>
            </w:r>
            <w:r w:rsidR="00096F7A">
              <w:t>)</w:t>
            </w:r>
            <w:r>
              <w:t>.</w:t>
            </w:r>
          </w:p>
          <w:p w14:paraId="425F9413" w14:textId="77777777" w:rsidR="002A21AE" w:rsidRDefault="002A21AE">
            <w:pPr>
              <w:pStyle w:val="TableTextNumbersContinued"/>
            </w:pPr>
          </w:p>
          <w:p w14:paraId="67C0808E" w14:textId="77777777" w:rsidR="002A21AE" w:rsidRDefault="002A21AE">
            <w:pPr>
              <w:pStyle w:val="TableTextNumbersContinued"/>
            </w:pPr>
            <w:r>
              <w:t xml:space="preserve">Click </w:t>
            </w:r>
            <w:r>
              <w:rPr>
                <w:b/>
              </w:rPr>
              <w:t>OK</w:t>
            </w:r>
            <w:r>
              <w:t xml:space="preserve"> to accept the order.</w:t>
            </w:r>
          </w:p>
          <w:p w14:paraId="5F10B7C1" w14:textId="77777777" w:rsidR="002A21AE" w:rsidRDefault="002A21AE">
            <w:pPr>
              <w:pStyle w:val="TableTextNumbersContinued"/>
            </w:pPr>
          </w:p>
          <w:p w14:paraId="1F663DBC" w14:textId="77777777" w:rsidR="002A21AE" w:rsidRDefault="002A21AE">
            <w:pPr>
              <w:pStyle w:val="TableTextNumbersContinued"/>
            </w:pPr>
            <w:r>
              <w:t>Respond to messages, as required.</w:t>
            </w:r>
          </w:p>
        </w:tc>
        <w:tc>
          <w:tcPr>
            <w:tcW w:w="6120" w:type="dxa"/>
          </w:tcPr>
          <w:p w14:paraId="305B07E0" w14:textId="77777777" w:rsidR="002A21AE" w:rsidRDefault="002A21AE">
            <w:pPr>
              <w:pStyle w:val="TableTextBullet"/>
            </w:pPr>
            <w:r>
              <w:t xml:space="preserve">Displays an option to search for specimens currently available (in-date) for a patient by standard patient search conventions. </w:t>
            </w:r>
          </w:p>
          <w:p w14:paraId="2F49E728" w14:textId="77777777" w:rsidR="002A21AE" w:rsidRDefault="002A21AE">
            <w:pPr>
              <w:pStyle w:val="TableTextBullet"/>
            </w:pPr>
            <w:r>
              <w:t>Accommodates direct selection of a specimen by scanning or by entering a specimen UID.</w:t>
            </w:r>
          </w:p>
          <w:p w14:paraId="4135A7A6" w14:textId="77777777" w:rsidR="002A21AE" w:rsidRDefault="002A21AE">
            <w:pPr>
              <w:pStyle w:val="TableTextBullet"/>
            </w:pPr>
            <w:r>
              <w:rPr>
                <w:rFonts w:cs="Arial"/>
                <w:vanish/>
              </w:rPr>
              <w:t xml:space="preserve">BR_45.02 </w:t>
            </w:r>
            <w:r>
              <w:t>Displays available (in-date) patient specimens or orders in reverse chronological order within a date range defined by the site parameter. Only one patient specimen may have reflex tests added in one session. The expired and unacceptable specimens will follow.</w:t>
            </w:r>
          </w:p>
          <w:p w14:paraId="426D5509" w14:textId="77777777" w:rsidR="002A21AE" w:rsidRDefault="002A21AE">
            <w:pPr>
              <w:pStyle w:val="TableTextBullet"/>
            </w:pPr>
            <w:r>
              <w:t>Displays a message directing the user to complete Patient Testing when the selected test is not completed. User returns to Patient Testing.</w:t>
            </w:r>
          </w:p>
          <w:p w14:paraId="776409EA" w14:textId="77777777" w:rsidR="002A21AE" w:rsidRDefault="002A21AE">
            <w:pPr>
              <w:pStyle w:val="TableTextBullet"/>
            </w:pPr>
            <w:r>
              <w:t xml:space="preserve">Displays a message when </w:t>
            </w:r>
            <w:r w:rsidR="00E97883">
              <w:t xml:space="preserve">a </w:t>
            </w:r>
            <w:r>
              <w:t xml:space="preserve">specimen is expired or unacceptable. User may click </w:t>
            </w:r>
            <w:r>
              <w:rPr>
                <w:b/>
              </w:rPr>
              <w:t>Yes</w:t>
            </w:r>
            <w:r>
              <w:t xml:space="preserve"> to continue with the order or </w:t>
            </w:r>
            <w:r>
              <w:rPr>
                <w:b/>
              </w:rPr>
              <w:t>No</w:t>
            </w:r>
            <w:r>
              <w:t xml:space="preserve"> to </w:t>
            </w:r>
            <w:r w:rsidR="00E97883">
              <w:t>select or request another specimen, as appropriate</w:t>
            </w:r>
            <w:r>
              <w:t>.</w:t>
            </w:r>
          </w:p>
          <w:p w14:paraId="53DD596E" w14:textId="77777777" w:rsidR="002A21AE" w:rsidRDefault="002A21AE">
            <w:pPr>
              <w:pStyle w:val="TableTextBullet"/>
            </w:pPr>
            <w:r>
              <w:rPr>
                <w:rFonts w:cs="Arial"/>
                <w:vanish/>
              </w:rPr>
              <w:t xml:space="preserve">BR_45.03 </w:t>
            </w:r>
            <w:r>
              <w:t>Displays the date/time/division of the specimen collection when selecting a specimen for ordering reflex tests.</w:t>
            </w:r>
          </w:p>
          <w:p w14:paraId="6DBCC1E0" w14:textId="77777777" w:rsidR="002A21AE" w:rsidRDefault="002A21AE">
            <w:pPr>
              <w:pStyle w:val="TableText"/>
            </w:pPr>
          </w:p>
          <w:p w14:paraId="7D66A44F" w14:textId="2C6C0024" w:rsidR="002A21AE" w:rsidRDefault="002A21AE">
            <w:pPr>
              <w:pStyle w:val="TableText"/>
              <w:rPr>
                <w:b/>
                <w:bCs/>
                <w:szCs w:val="18"/>
              </w:rPr>
            </w:pPr>
            <w:r>
              <w:rPr>
                <w:b/>
                <w:bCs/>
                <w:szCs w:val="18"/>
              </w:rPr>
              <w:t>NOTES</w:t>
            </w:r>
          </w:p>
          <w:p w14:paraId="65BA674E" w14:textId="77777777" w:rsidR="002A21AE" w:rsidRDefault="002A21AE">
            <w:pPr>
              <w:pStyle w:val="NotesText"/>
            </w:pPr>
          </w:p>
          <w:p w14:paraId="3B19F7DF" w14:textId="77777777" w:rsidR="002A21AE" w:rsidRDefault="002A21AE">
            <w:pPr>
              <w:pStyle w:val="NotesText"/>
            </w:pPr>
            <w:r>
              <w:rPr>
                <w:rFonts w:cs="Arial"/>
                <w:vanish/>
              </w:rPr>
              <w:t>BR_45.04</w:t>
            </w:r>
            <w:r w:rsidR="004D3195" w:rsidRPr="002C3287">
              <w:rPr>
                <w:rStyle w:val="BullhornChar"/>
              </w:rPr>
              <w:t></w:t>
            </w:r>
            <w:r w:rsidR="004D3195">
              <w:rPr>
                <w:rFonts w:ascii="Webdings" w:hAnsi="Webdings"/>
              </w:rPr>
              <w:t></w:t>
            </w:r>
            <w:r>
              <w:t xml:space="preserve">VBECS emits an audible alert, warns that the specimen is expired, and instructs the user to enter </w:t>
            </w:r>
            <w:r w:rsidR="005C7E5F">
              <w:t xml:space="preserve">a </w:t>
            </w:r>
            <w:r>
              <w:t xml:space="preserve">comment to continue. When a user enters or scans an expired specimen. VBECS requires a comment and captures details for inclusion in an Exception Report (exception type: reflex test ordered on an expired specimen). </w:t>
            </w:r>
          </w:p>
          <w:p w14:paraId="2584530E" w14:textId="77777777" w:rsidR="004345CB" w:rsidRDefault="004345CB">
            <w:pPr>
              <w:pStyle w:val="NotesText"/>
            </w:pPr>
          </w:p>
          <w:p w14:paraId="36A5D996" w14:textId="4E1EDB7F" w:rsidR="004345CB" w:rsidRDefault="004345CB">
            <w:pPr>
              <w:pStyle w:val="NotesText"/>
              <w:rPr>
                <w:vanish/>
                <w:szCs w:val="18"/>
              </w:rPr>
            </w:pPr>
            <w:r>
              <w:t xml:space="preserve">See </w:t>
            </w:r>
            <w:r w:rsidR="00DF6015">
              <w:fldChar w:fldCharType="begin"/>
            </w:r>
            <w:r w:rsidR="00DF6015">
              <w:instrText xml:space="preserve"> REF _Ref183767260 \h </w:instrText>
            </w:r>
            <w:r w:rsidR="00DF6015">
              <w:fldChar w:fldCharType="separate"/>
            </w:r>
            <w:r w:rsidR="007D1829" w:rsidRPr="001C29FC">
              <w:t xml:space="preserve">Appendix </w:t>
            </w:r>
            <w:r w:rsidR="007D1829">
              <w:t>N</w:t>
            </w:r>
            <w:r w:rsidR="007D1829" w:rsidRPr="001C29FC">
              <w:t xml:space="preserve">: </w:t>
            </w:r>
            <w:r w:rsidR="007D1829">
              <w:t>Orderable Reflex Tests</w:t>
            </w:r>
            <w:r w:rsidR="00DF6015">
              <w:fldChar w:fldCharType="end"/>
            </w:r>
          </w:p>
          <w:p w14:paraId="6E470C5C" w14:textId="77777777" w:rsidR="002A21AE" w:rsidRDefault="002A21AE">
            <w:pPr>
              <w:pStyle w:val="NotesText"/>
              <w:ind w:left="0"/>
              <w:rPr>
                <w:vanish/>
                <w:szCs w:val="18"/>
              </w:rPr>
            </w:pPr>
          </w:p>
          <w:p w14:paraId="36B22A45" w14:textId="75AF1244" w:rsidR="002A21AE" w:rsidRDefault="0079272A">
            <w:pPr>
              <w:pStyle w:val="NotesText"/>
            </w:pPr>
            <w:r>
              <w:rPr>
                <w:vanish/>
                <w:szCs w:val="18"/>
              </w:rPr>
              <w:t>T</w:t>
            </w:r>
            <w:r w:rsidR="002A21AE">
              <w:rPr>
                <w:vanish/>
                <w:szCs w:val="18"/>
              </w:rPr>
              <w:t>T_45.01 Orderable Reflex Tests</w:t>
            </w:r>
          </w:p>
        </w:tc>
      </w:tr>
      <w:tr w:rsidR="002A21AE" w14:paraId="690A44EA" w14:textId="77777777">
        <w:tc>
          <w:tcPr>
            <w:tcW w:w="3240" w:type="dxa"/>
          </w:tcPr>
          <w:p w14:paraId="34EBBC97" w14:textId="77777777" w:rsidR="002A21AE" w:rsidRDefault="002A21AE">
            <w:pPr>
              <w:pStyle w:val="TableTextNumbers"/>
            </w:pPr>
            <w:r>
              <w:t>When a specimen is already selected, go to Step 5.</w:t>
            </w:r>
          </w:p>
          <w:p w14:paraId="52AECE30" w14:textId="77777777" w:rsidR="002A21AE" w:rsidRDefault="002A21AE">
            <w:pPr>
              <w:pStyle w:val="TableTextNumbersContinued"/>
            </w:pPr>
          </w:p>
          <w:p w14:paraId="1728DF68" w14:textId="77777777" w:rsidR="002A21AE" w:rsidRDefault="002A21AE">
            <w:pPr>
              <w:pStyle w:val="TableTextNumbersContinued"/>
            </w:pPr>
            <w:r>
              <w:t xml:space="preserve">Select or enter a patient specimen that requires the additional test. </w:t>
            </w:r>
          </w:p>
        </w:tc>
        <w:tc>
          <w:tcPr>
            <w:tcW w:w="6120" w:type="dxa"/>
          </w:tcPr>
          <w:p w14:paraId="160F55B3" w14:textId="77777777" w:rsidR="002A21AE" w:rsidRDefault="002A21AE">
            <w:pPr>
              <w:pStyle w:val="TableTextBullet"/>
            </w:pPr>
            <w:r>
              <w:t xml:space="preserve">Displays all orders associated with a specimen that can be used to request reflex tests for an existing diagnostic test order within an order group. </w:t>
            </w:r>
          </w:p>
          <w:p w14:paraId="6557815A" w14:textId="77777777" w:rsidR="002A21AE" w:rsidRDefault="002A21AE">
            <w:pPr>
              <w:pStyle w:val="TableTextBullet"/>
            </w:pPr>
            <w:r>
              <w:t xml:space="preserve">Automatically associates the reflex test with the order when there is only one order associated with the specimen. </w:t>
            </w:r>
          </w:p>
        </w:tc>
      </w:tr>
      <w:tr w:rsidR="002A21AE" w14:paraId="0BC7AE28" w14:textId="77777777">
        <w:tc>
          <w:tcPr>
            <w:tcW w:w="3240" w:type="dxa"/>
          </w:tcPr>
          <w:p w14:paraId="4A02C270" w14:textId="77777777" w:rsidR="002A21AE" w:rsidRDefault="002A21AE">
            <w:pPr>
              <w:pStyle w:val="TableTextNumbers"/>
            </w:pPr>
            <w:r>
              <w:t>Click one or more check boxes to select reflex tests from the Order Reflex Test(s) list.</w:t>
            </w:r>
          </w:p>
        </w:tc>
        <w:tc>
          <w:tcPr>
            <w:tcW w:w="6120" w:type="dxa"/>
          </w:tcPr>
          <w:p w14:paraId="66EA1F12" w14:textId="77777777" w:rsidR="002A21AE" w:rsidRDefault="002A21AE">
            <w:pPr>
              <w:pStyle w:val="TableTextBullet"/>
            </w:pPr>
            <w:r>
              <w:t>Displays the selected tests for review.</w:t>
            </w:r>
          </w:p>
          <w:p w14:paraId="3EB6F451" w14:textId="77777777" w:rsidR="002A21AE" w:rsidRDefault="002A21AE">
            <w:pPr>
              <w:pStyle w:val="TableTextBullet"/>
            </w:pPr>
            <w:r>
              <w:t xml:space="preserve">Allows the user to select or to deselect reflex tests. </w:t>
            </w:r>
          </w:p>
        </w:tc>
      </w:tr>
      <w:tr w:rsidR="002A21AE" w14:paraId="609C92C2" w14:textId="77777777">
        <w:tc>
          <w:tcPr>
            <w:tcW w:w="3240" w:type="dxa"/>
          </w:tcPr>
          <w:p w14:paraId="0670E922" w14:textId="77777777" w:rsidR="002A21AE" w:rsidRDefault="002A21AE">
            <w:pPr>
              <w:pStyle w:val="TableTextNumbers"/>
            </w:pPr>
            <w:r>
              <w:t xml:space="preserve">Click </w:t>
            </w:r>
            <w:r>
              <w:rPr>
                <w:b/>
              </w:rPr>
              <w:t>OK</w:t>
            </w:r>
            <w:r>
              <w:t xml:space="preserve"> to save and exit.</w:t>
            </w:r>
          </w:p>
          <w:p w14:paraId="34AC8476" w14:textId="77777777" w:rsidR="002A21AE" w:rsidRDefault="002A21AE">
            <w:pPr>
              <w:pStyle w:val="TableTextNumbersContinued"/>
            </w:pPr>
          </w:p>
          <w:p w14:paraId="596264CE" w14:textId="77777777" w:rsidR="002A21AE" w:rsidRDefault="002A21AE">
            <w:pPr>
              <w:pStyle w:val="TableTextNumbersContinued"/>
            </w:pPr>
            <w:r>
              <w:t xml:space="preserve">Enter a comment, if required. cancellation. </w:t>
            </w:r>
            <w:r>
              <w:rPr>
                <w:rStyle w:val="TableTextNumbersChar"/>
                <w:vanish/>
                <w:color w:val="FFFFFF"/>
                <w:szCs w:val="18"/>
              </w:rPr>
              <w:fldChar w:fldCharType="begin"/>
            </w:r>
            <w:r>
              <w:rPr>
                <w:rStyle w:val="TableTextNumbersChar"/>
                <w:vanish/>
                <w:color w:val="FFFFFF"/>
                <w:szCs w:val="18"/>
              </w:rPr>
              <w:instrText xml:space="preserve"> LISTNUM \l 1 \s 0 </w:instrText>
            </w:r>
            <w:r>
              <w:rPr>
                <w:rStyle w:val="TableTextNumbersChar"/>
                <w:vanish/>
                <w:color w:val="FFFFFF"/>
                <w:szCs w:val="18"/>
              </w:rPr>
              <w:fldChar w:fldCharType="end">
                <w:numberingChange w:id="516" w:author="MUSZYNSKI, THOMAS D. (SIERRA 7 INC)" w:date="2024-11-26T07:15:00Z" w:original="0."/>
              </w:fldChar>
            </w:r>
          </w:p>
        </w:tc>
        <w:tc>
          <w:tcPr>
            <w:tcW w:w="6120" w:type="dxa"/>
          </w:tcPr>
          <w:p w14:paraId="2EC206AF" w14:textId="77777777" w:rsidR="002A21AE" w:rsidRDefault="002A21AE">
            <w:pPr>
              <w:pStyle w:val="TableTextBullet"/>
            </w:pPr>
            <w:r>
              <w:t>Adds the ordered patient reflex tests to the PTL.</w:t>
            </w:r>
          </w:p>
          <w:p w14:paraId="648724DD" w14:textId="77777777" w:rsidR="002A21AE" w:rsidRDefault="002A21AE">
            <w:pPr>
              <w:pStyle w:val="TableText"/>
            </w:pPr>
          </w:p>
          <w:p w14:paraId="2F9E2274" w14:textId="77777777" w:rsidR="002A21AE" w:rsidRDefault="002A21AE">
            <w:pPr>
              <w:pStyle w:val="TableText"/>
            </w:pPr>
          </w:p>
        </w:tc>
      </w:tr>
    </w:tbl>
    <w:p w14:paraId="71B6F56A" w14:textId="1DFA9DA1" w:rsidR="00096F7A" w:rsidRDefault="00096F7A" w:rsidP="00096F7A">
      <w:pPr>
        <w:pStyle w:val="Caption"/>
      </w:pPr>
      <w:bookmarkStart w:id="517" w:name="_Ref126725596"/>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7D1829">
        <w:rPr>
          <w:noProof/>
        </w:rPr>
        <w:t>94</w:t>
      </w:r>
      <w:r w:rsidR="004E20BD">
        <w:rPr>
          <w:noProof/>
        </w:rPr>
        <w:fldChar w:fldCharType="end"/>
      </w:r>
      <w:bookmarkEnd w:id="517"/>
      <w:r>
        <w:t>: Order Reflex Test(s)</w:t>
      </w:r>
    </w:p>
    <w:p w14:paraId="12F1D4A7" w14:textId="77777777" w:rsidR="00C70194" w:rsidRDefault="00057948" w:rsidP="00096F7A">
      <w:pPr>
        <w:pStyle w:val="BodyText"/>
      </w:pPr>
      <w:r>
        <w:rPr>
          <w:noProof/>
        </w:rPr>
        <w:drawing>
          <wp:inline distT="0" distB="0" distL="0" distR="0" wp14:anchorId="0C68FE9A" wp14:editId="5057B1A8">
            <wp:extent cx="5939155" cy="4331970"/>
            <wp:effectExtent l="0" t="0" r="4445" b="0"/>
            <wp:docPr id="227" name="Picture 227" descr="Example of Order Reflex Test(s)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Picture 227" descr="Example of Order Reflex Test(s) screen capture"/>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5939155" cy="4331970"/>
                    </a:xfrm>
                    <a:prstGeom prst="rect">
                      <a:avLst/>
                    </a:prstGeom>
                    <a:noFill/>
                    <a:ln>
                      <a:noFill/>
                    </a:ln>
                  </pic:spPr>
                </pic:pic>
              </a:graphicData>
            </a:graphic>
          </wp:inline>
        </w:drawing>
      </w:r>
    </w:p>
    <w:p w14:paraId="2864507E" w14:textId="77777777" w:rsidR="002A21AE" w:rsidRPr="00701E2A" w:rsidRDefault="00701E2A" w:rsidP="00701E2A">
      <w:pPr>
        <w:pStyle w:val="Heading1"/>
      </w:pPr>
      <w:r>
        <w:br w:type="page"/>
      </w:r>
      <w:bookmarkStart w:id="518" w:name="_Toc203765918"/>
      <w:r w:rsidR="002A21AE" w:rsidRPr="00701E2A">
        <w:lastRenderedPageBreak/>
        <w:t>Patient Services</w:t>
      </w:r>
      <w:bookmarkEnd w:id="518"/>
      <w:r w:rsidR="002A21AE" w:rsidRPr="00701E2A">
        <w:fldChar w:fldCharType="begin"/>
      </w:r>
      <w:r w:rsidR="002A21AE" w:rsidRPr="00701E2A">
        <w:instrText xml:space="preserve"> XE </w:instrText>
      </w:r>
      <w:r w:rsidR="00FA7E65" w:rsidRPr="00701E2A">
        <w:instrText>“</w:instrText>
      </w:r>
      <w:r w:rsidR="002A21AE" w:rsidRPr="00701E2A">
        <w:instrText>Patient Services</w:instrText>
      </w:r>
      <w:r w:rsidR="00FA7E65" w:rsidRPr="00701E2A">
        <w:instrText>”</w:instrText>
      </w:r>
      <w:r w:rsidR="002A21AE" w:rsidRPr="00701E2A">
        <w:instrText xml:space="preserve"> </w:instrText>
      </w:r>
      <w:r w:rsidR="002A21AE" w:rsidRPr="00701E2A">
        <w:fldChar w:fldCharType="end"/>
      </w:r>
    </w:p>
    <w:p w14:paraId="2B70B92F" w14:textId="77777777" w:rsidR="002A21AE" w:rsidRPr="00E309DC" w:rsidRDefault="002A21AE" w:rsidP="00AE23F9">
      <w:pPr>
        <w:pStyle w:val="Heading2"/>
        <w:rPr>
          <w:b w:val="0"/>
          <w:bCs w:val="0"/>
          <w:i w:val="0"/>
          <w:iCs w:val="0"/>
          <w:sz w:val="20"/>
        </w:rPr>
      </w:pPr>
      <w:bookmarkStart w:id="519" w:name="_Toc203765919"/>
      <w:r w:rsidRPr="00AE23F9">
        <w:t xml:space="preserve">Patient </w:t>
      </w:r>
      <w:r w:rsidR="00045ED7" w:rsidRPr="00AE23F9">
        <w:t>Search Screen</w:t>
      </w:r>
      <w:bookmarkEnd w:id="519"/>
      <w:r>
        <w:fldChar w:fldCharType="begin"/>
      </w:r>
      <w:r>
        <w:instrText xml:space="preserve"> XE </w:instrText>
      </w:r>
      <w:r w:rsidR="00FA7E65">
        <w:instrText>“</w:instrText>
      </w:r>
      <w:r>
        <w:instrText>Patient Se</w:instrText>
      </w:r>
      <w:r w:rsidR="00045ED7">
        <w:instrText>arch Screen</w:instrText>
      </w:r>
      <w:r w:rsidR="00FA7E65">
        <w:instrText>”</w:instrText>
      </w:r>
      <w:r>
        <w:instrText xml:space="preserve"> </w:instrText>
      </w:r>
      <w:r>
        <w:fldChar w:fldCharType="end"/>
      </w:r>
      <w:r w:rsidR="00AE23F9">
        <w:t xml:space="preserve"> </w:t>
      </w:r>
      <w:r w:rsidR="00AE23F9" w:rsidRPr="00AE23F9">
        <w:rPr>
          <w:rFonts w:ascii="Times New Roman" w:hAnsi="Times New Roman" w:cs="Times New Roman"/>
          <w:b w:val="0"/>
          <w:i w:val="0"/>
          <w:vanish/>
          <w:sz w:val="22"/>
        </w:rPr>
        <w:t>UC_113</w:t>
      </w:r>
    </w:p>
    <w:p w14:paraId="1E7CF786" w14:textId="77777777" w:rsidR="007D7738" w:rsidRDefault="007D7738" w:rsidP="007D7738">
      <w:pPr>
        <w:pStyle w:val="BodyText"/>
      </w:pPr>
      <w:r>
        <w:t>VBECS display</w:t>
      </w:r>
      <w:r w:rsidR="00F6243D">
        <w:t xml:space="preserve">s the Patient Search screen to search for a specific patient </w:t>
      </w:r>
      <w:r w:rsidR="000D4240">
        <w:t>in</w:t>
      </w:r>
      <w:r w:rsidR="00F6243D">
        <w:t xml:space="preserve"> VBECS</w:t>
      </w:r>
      <w:r>
        <w:t>.</w:t>
      </w:r>
      <w:r w:rsidR="00A537E6">
        <w:t xml:space="preserve"> </w:t>
      </w:r>
    </w:p>
    <w:p w14:paraId="3B30930A" w14:textId="77777777" w:rsidR="00AE23F9" w:rsidRDefault="00AE23F9" w:rsidP="00AE23F9">
      <w:pPr>
        <w:pStyle w:val="Heading4"/>
      </w:pPr>
      <w:r>
        <w:t>Assumptions</w:t>
      </w:r>
    </w:p>
    <w:p w14:paraId="5185CBC9" w14:textId="77777777" w:rsidR="00AE23F9" w:rsidRDefault="00B44B37" w:rsidP="00AE23F9">
      <w:pPr>
        <w:pStyle w:val="ListBullet"/>
      </w:pPr>
      <w:r>
        <w:t>The patient record exists in VBECS with the exception of specific searches that return patient information from VistA.</w:t>
      </w:r>
      <w:r w:rsidR="00E309DC">
        <w:t xml:space="preserve"> For the Edit Unit Information, Incoming Shipment, and Document ABO Incompatible Transfusion options, VBECS searches VistA.</w:t>
      </w:r>
    </w:p>
    <w:p w14:paraId="14E7C01B" w14:textId="77777777" w:rsidR="00AE23F9" w:rsidRDefault="00AE23F9" w:rsidP="00AE23F9">
      <w:pPr>
        <w:pStyle w:val="Heading4"/>
      </w:pPr>
      <w:r>
        <w:t>Outcome</w:t>
      </w:r>
    </w:p>
    <w:p w14:paraId="19C1765F" w14:textId="77777777" w:rsidR="00AE23F9" w:rsidRDefault="00B44B37" w:rsidP="00AE23F9">
      <w:pPr>
        <w:pStyle w:val="ListBullet"/>
      </w:pPr>
      <w:r>
        <w:t>VBECS presents the user with a list of patients for selection based on their search input.</w:t>
      </w:r>
    </w:p>
    <w:p w14:paraId="2DE6D495" w14:textId="77777777" w:rsidR="00AE23F9" w:rsidRDefault="00AE23F9" w:rsidP="00AE23F9">
      <w:pPr>
        <w:pStyle w:val="Heading4"/>
      </w:pPr>
      <w:r>
        <w:t>Limitations and Restrictions</w:t>
      </w:r>
    </w:p>
    <w:p w14:paraId="0B762934" w14:textId="4E95F36A" w:rsidR="00AE23F9" w:rsidRDefault="00092DC9" w:rsidP="00AE23F9">
      <w:pPr>
        <w:pStyle w:val="ListBullet"/>
      </w:pPr>
      <w:r>
        <w:t>VBECS updates information from VistA File #2, not VistA File #20. Name changes made in VistA File #20 will not appear in VBECS. Align File #2 with those changes to update VBECS</w:t>
      </w:r>
      <w:r w:rsidR="00AE23F9" w:rsidRPr="00AE23F9">
        <w:t>.</w:t>
      </w:r>
      <w:r w:rsidR="00555EA2" w:rsidRPr="00555EA2">
        <w:rPr>
          <w:vanish/>
        </w:rPr>
        <w:t xml:space="preserve"> Task 585891</w:t>
      </w:r>
    </w:p>
    <w:p w14:paraId="0DB50EFD" w14:textId="1D88C63F" w:rsidR="00485C85" w:rsidRDefault="001E4C3C" w:rsidP="00AE23F9">
      <w:pPr>
        <w:pStyle w:val="ListBullet"/>
      </w:pPr>
      <w:r>
        <w:t xml:space="preserve">Searching for non-alphanumeric characters (e.g., hyphens, etc.) </w:t>
      </w:r>
      <w:r w:rsidR="00511276">
        <w:t>is not supported</w:t>
      </w:r>
      <w:r>
        <w:t>.</w:t>
      </w:r>
      <w:r w:rsidR="00797183">
        <w:t xml:space="preserve"> </w:t>
      </w:r>
      <w:r w:rsidR="00797183" w:rsidRPr="00797183">
        <w:rPr>
          <w:vanish/>
        </w:rPr>
        <w:t>Defect 209859</w:t>
      </w:r>
    </w:p>
    <w:p w14:paraId="3941FC3E" w14:textId="05E25B48" w:rsidR="00485C85" w:rsidRPr="00696FA6" w:rsidRDefault="00485C85" w:rsidP="00485C85">
      <w:pPr>
        <w:pStyle w:val="ListBullet"/>
      </w:pPr>
      <w:r w:rsidRPr="00696FA6">
        <w:t xml:space="preserve">Data retrieval from VBECS is </w:t>
      </w:r>
      <w:r>
        <w:t xml:space="preserve">only </w:t>
      </w:r>
      <w:r w:rsidRPr="00696FA6">
        <w:t xml:space="preserve">available </w:t>
      </w:r>
      <w:r>
        <w:t>with project approval.</w:t>
      </w:r>
      <w:r w:rsidR="00797183">
        <w:t xml:space="preserve"> </w:t>
      </w:r>
      <w:r w:rsidR="00797183" w:rsidRPr="00797183">
        <w:rPr>
          <w:vanish/>
        </w:rPr>
        <w:t>Task 190402</w:t>
      </w:r>
    </w:p>
    <w:p w14:paraId="4F1777E5" w14:textId="77777777" w:rsidR="00AE23F9" w:rsidRDefault="00AE23F9" w:rsidP="00AE23F9">
      <w:pPr>
        <w:pStyle w:val="Heading4"/>
      </w:pPr>
      <w:r>
        <w:t>Additional Information</w:t>
      </w:r>
    </w:p>
    <w:p w14:paraId="525F7B62" w14:textId="77777777" w:rsidR="00AE23F9" w:rsidRDefault="009A78E5" w:rsidP="00AE23F9">
      <w:pPr>
        <w:pStyle w:val="ListBullet"/>
      </w:pPr>
      <w:r>
        <w:t>The Patient Search Screen is used by options throughout VBECS to select patients.</w:t>
      </w:r>
    </w:p>
    <w:p w14:paraId="7D6B73FE" w14:textId="77777777" w:rsidR="00AE23F9" w:rsidRDefault="00AE23F9" w:rsidP="00AE23F9">
      <w:pPr>
        <w:pStyle w:val="Heading4"/>
      </w:pPr>
      <w:r>
        <w:t>User Roles with Access to This Option</w:t>
      </w:r>
    </w:p>
    <w:p w14:paraId="1E4DC38C" w14:textId="77777777" w:rsidR="00AE23F9" w:rsidRDefault="00AE23F9" w:rsidP="00AE23F9">
      <w:pPr>
        <w:pStyle w:val="Roles"/>
      </w:pPr>
      <w:r>
        <w:t>All users</w:t>
      </w:r>
    </w:p>
    <w:p w14:paraId="28539778" w14:textId="77777777" w:rsidR="00AE23F9" w:rsidRDefault="00B173E0" w:rsidP="00AE23F9">
      <w:pPr>
        <w:pStyle w:val="Heading4"/>
      </w:pPr>
      <w:r>
        <w:t>Patient Search Screen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BC664F" w14:paraId="6BFFD759" w14:textId="77777777">
        <w:trPr>
          <w:cantSplit/>
          <w:tblHeader/>
        </w:trPr>
        <w:tc>
          <w:tcPr>
            <w:tcW w:w="3240" w:type="dxa"/>
            <w:shd w:val="pct30" w:color="auto" w:fill="FFFFFF"/>
            <w:vAlign w:val="bottom"/>
          </w:tcPr>
          <w:p w14:paraId="29E6A69E" w14:textId="77777777" w:rsidR="00BC664F" w:rsidRDefault="00BC664F" w:rsidP="00601F55">
            <w:pPr>
              <w:pStyle w:val="TableText"/>
              <w:rPr>
                <w:b/>
              </w:rPr>
            </w:pPr>
            <w:r>
              <w:rPr>
                <w:b/>
              </w:rPr>
              <w:t>User Action</w:t>
            </w:r>
          </w:p>
        </w:tc>
        <w:tc>
          <w:tcPr>
            <w:tcW w:w="6120" w:type="dxa"/>
            <w:shd w:val="pct30" w:color="auto" w:fill="FFFFFF"/>
            <w:vAlign w:val="bottom"/>
          </w:tcPr>
          <w:p w14:paraId="1092D4F1" w14:textId="77777777" w:rsidR="00BC664F" w:rsidRDefault="00BC664F" w:rsidP="00601F55">
            <w:pPr>
              <w:pStyle w:val="TableText"/>
              <w:rPr>
                <w:b/>
              </w:rPr>
            </w:pPr>
            <w:r>
              <w:rPr>
                <w:b/>
              </w:rPr>
              <w:t>VBECS</w:t>
            </w:r>
          </w:p>
        </w:tc>
      </w:tr>
      <w:tr w:rsidR="006178E5" w14:paraId="2736E030" w14:textId="77777777">
        <w:tc>
          <w:tcPr>
            <w:tcW w:w="3240" w:type="dxa"/>
            <w:tcBorders>
              <w:top w:val="single" w:sz="4" w:space="0" w:color="auto"/>
              <w:left w:val="single" w:sz="4" w:space="0" w:color="auto"/>
              <w:bottom w:val="single" w:sz="4" w:space="0" w:color="auto"/>
              <w:right w:val="single" w:sz="4" w:space="0" w:color="auto"/>
            </w:tcBorders>
          </w:tcPr>
          <w:p w14:paraId="50F55B34" w14:textId="5244AC1B" w:rsidR="00323F55" w:rsidRDefault="00323F55" w:rsidP="008E012C">
            <w:pPr>
              <w:pStyle w:val="TableTextNumbers"/>
            </w:pPr>
            <w:r>
              <w:t xml:space="preserve">To </w:t>
            </w:r>
            <w:r w:rsidR="006129D0">
              <w:t>access the Patient Search screen, open on</w:t>
            </w:r>
            <w:r w:rsidR="00F26575">
              <w:t>e</w:t>
            </w:r>
            <w:r w:rsidR="006129D0">
              <w:t xml:space="preserve"> of the options listed in Notes. To </w:t>
            </w:r>
            <w:r w:rsidR="007554C5">
              <w:t>search for</w:t>
            </w:r>
            <w:r>
              <w:t xml:space="preserve"> a patient</w:t>
            </w:r>
            <w:r w:rsidR="008E012C">
              <w:t>, e</w:t>
            </w:r>
            <w:r>
              <w:t>nter the p</w:t>
            </w:r>
            <w:r w:rsidR="00DD4445">
              <w:t xml:space="preserve">atient’s </w:t>
            </w:r>
            <w:r w:rsidR="009310A7">
              <w:t xml:space="preserve">full </w:t>
            </w:r>
            <w:r w:rsidR="006178E5">
              <w:t>name</w:t>
            </w:r>
            <w:r w:rsidR="006C1277">
              <w:t xml:space="preserve"> (last name first) </w:t>
            </w:r>
            <w:r w:rsidR="006178E5">
              <w:t>or ID</w:t>
            </w:r>
            <w:r w:rsidR="00EE7A38">
              <w:t xml:space="preserve"> (</w:t>
            </w:r>
            <w:r w:rsidR="00EE455E">
              <w:t xml:space="preserve">Figure </w:t>
            </w:r>
            <w:r w:rsidR="00EE455E">
              <w:rPr>
                <w:noProof/>
              </w:rPr>
              <w:t>94</w:t>
            </w:r>
            <w:r w:rsidR="00EE7A38">
              <w:t>)</w:t>
            </w:r>
            <w:r>
              <w:t>,</w:t>
            </w:r>
            <w:r w:rsidR="00DD4445">
              <w:t xml:space="preserve"> </w:t>
            </w:r>
            <w:r w:rsidR="00D67ABB">
              <w:t>or</w:t>
            </w:r>
          </w:p>
          <w:p w14:paraId="6FB8CD0E" w14:textId="77777777" w:rsidR="008E012C" w:rsidRDefault="008E012C" w:rsidP="008E012C">
            <w:pPr>
              <w:pStyle w:val="TableTextNumbersContinued"/>
            </w:pPr>
          </w:p>
          <w:p w14:paraId="1F9F72E5" w14:textId="77777777" w:rsidR="007554C5" w:rsidRDefault="00323F55" w:rsidP="008E012C">
            <w:pPr>
              <w:pStyle w:val="TableTextNumbersContinued"/>
            </w:pPr>
            <w:r>
              <w:t>Enter the last four digits of the ID</w:t>
            </w:r>
            <w:r w:rsidR="00E133A1">
              <w:t xml:space="preserve">, </w:t>
            </w:r>
            <w:r w:rsidR="00D67ABB">
              <w:t xml:space="preserve">or </w:t>
            </w:r>
            <w:r>
              <w:t>the initial of the last name and the last four digits of the ID,</w:t>
            </w:r>
            <w:r w:rsidR="000A4886">
              <w:t xml:space="preserve"> </w:t>
            </w:r>
            <w:r w:rsidR="00D67ABB">
              <w:t>and c</w:t>
            </w:r>
            <w:r w:rsidR="000A4886">
              <w:t xml:space="preserve">lick </w:t>
            </w:r>
            <w:r w:rsidR="000A4886" w:rsidRPr="000A4886">
              <w:rPr>
                <w:b/>
              </w:rPr>
              <w:t>Search</w:t>
            </w:r>
            <w:r w:rsidR="000A4886">
              <w:t>.</w:t>
            </w:r>
          </w:p>
        </w:tc>
        <w:tc>
          <w:tcPr>
            <w:tcW w:w="6120" w:type="dxa"/>
            <w:tcBorders>
              <w:top w:val="single" w:sz="4" w:space="0" w:color="auto"/>
              <w:left w:val="single" w:sz="4" w:space="0" w:color="auto"/>
              <w:bottom w:val="single" w:sz="4" w:space="0" w:color="auto"/>
              <w:right w:val="single" w:sz="4" w:space="0" w:color="auto"/>
            </w:tcBorders>
          </w:tcPr>
          <w:p w14:paraId="430788BE" w14:textId="77777777" w:rsidR="006129D0" w:rsidRDefault="006129D0" w:rsidP="006178E5">
            <w:pPr>
              <w:pStyle w:val="TableTextBullet"/>
            </w:pPr>
            <w:r>
              <w:t>Displays the Patient Search screen.</w:t>
            </w:r>
          </w:p>
          <w:p w14:paraId="1315BACA" w14:textId="77777777" w:rsidR="006178E5" w:rsidRDefault="007554C5" w:rsidP="006178E5">
            <w:pPr>
              <w:pStyle w:val="TableTextBullet"/>
            </w:pPr>
            <w:r>
              <w:t>Lists patients that meet the search criteria.</w:t>
            </w:r>
          </w:p>
          <w:p w14:paraId="43ABA216" w14:textId="77777777" w:rsidR="006129D0" w:rsidRDefault="006129D0" w:rsidP="006129D0">
            <w:pPr>
              <w:pStyle w:val="TableText"/>
            </w:pPr>
          </w:p>
          <w:p w14:paraId="2A760381" w14:textId="464E376D" w:rsidR="006129D0" w:rsidRDefault="006129D0" w:rsidP="006129D0">
            <w:pPr>
              <w:pStyle w:val="TableText"/>
              <w:rPr>
                <w:b/>
                <w:bCs/>
                <w:szCs w:val="18"/>
              </w:rPr>
            </w:pPr>
            <w:r>
              <w:rPr>
                <w:b/>
                <w:bCs/>
                <w:szCs w:val="18"/>
              </w:rPr>
              <w:t>NOTES</w:t>
            </w:r>
          </w:p>
          <w:p w14:paraId="0C7139B8" w14:textId="77777777" w:rsidR="006129D0" w:rsidRDefault="006129D0" w:rsidP="006129D0">
            <w:pPr>
              <w:pStyle w:val="NotesText"/>
            </w:pPr>
          </w:p>
          <w:p w14:paraId="6EBFF0C1" w14:textId="77777777" w:rsidR="006129D0" w:rsidRPr="006129D0" w:rsidRDefault="006129D0" w:rsidP="006129D0">
            <w:pPr>
              <w:pStyle w:val="NotesText"/>
            </w:pPr>
            <w:r>
              <w:t xml:space="preserve">Options that allow the user to search for a patient: </w:t>
            </w:r>
          </w:p>
          <w:p w14:paraId="5483FCB2" w14:textId="77777777" w:rsidR="005125FD" w:rsidRDefault="006129D0" w:rsidP="005125FD">
            <w:pPr>
              <w:pStyle w:val="NotesTextBullet"/>
            </w:pPr>
            <w:r>
              <w:rPr>
                <w:b/>
              </w:rPr>
              <w:t xml:space="preserve">Blood Units </w:t>
            </w:r>
            <w:r w:rsidRPr="00AC51A5">
              <w:t xml:space="preserve">from the main menu. Select </w:t>
            </w:r>
            <w:r>
              <w:rPr>
                <w:b/>
              </w:rPr>
              <w:t xml:space="preserve">Edit Unit Information </w:t>
            </w:r>
            <w:r>
              <w:t>(for restricted units only)</w:t>
            </w:r>
            <w:r w:rsidRPr="00AC51A5">
              <w:t>.</w:t>
            </w:r>
          </w:p>
          <w:p w14:paraId="668217BF" w14:textId="77777777" w:rsidR="006129D0" w:rsidRDefault="006129D0" w:rsidP="005125FD">
            <w:pPr>
              <w:pStyle w:val="NotesTextBullet"/>
            </w:pPr>
            <w:r w:rsidRPr="00214097">
              <w:rPr>
                <w:b/>
              </w:rPr>
              <w:t>Patients</w:t>
            </w:r>
            <w:r>
              <w:t xml:space="preserve"> from the main menu. Select:</w:t>
            </w:r>
          </w:p>
          <w:p w14:paraId="27D5E77C" w14:textId="77777777" w:rsidR="006129D0" w:rsidRPr="00214097" w:rsidRDefault="006129D0" w:rsidP="00DE6289">
            <w:pPr>
              <w:pStyle w:val="NotesTextBullet1"/>
            </w:pPr>
            <w:r w:rsidRPr="00214097">
              <w:t>Recent Orders</w:t>
            </w:r>
          </w:p>
          <w:p w14:paraId="541E4581" w14:textId="77777777" w:rsidR="006129D0" w:rsidRPr="00214097" w:rsidRDefault="006129D0" w:rsidP="00DE6289">
            <w:pPr>
              <w:pStyle w:val="NotesTextBullet1"/>
            </w:pPr>
            <w:r w:rsidRPr="00214097">
              <w:t>Blood Availability</w:t>
            </w:r>
          </w:p>
          <w:p w14:paraId="285D4E51" w14:textId="77777777" w:rsidR="006129D0" w:rsidRDefault="006129D0" w:rsidP="00DE6289">
            <w:pPr>
              <w:pStyle w:val="NotesTextBullet1"/>
            </w:pPr>
            <w:r w:rsidRPr="00214097">
              <w:t xml:space="preserve">Recent Transfusions/Issued Units </w:t>
            </w:r>
          </w:p>
          <w:p w14:paraId="1E9234D9" w14:textId="77777777" w:rsidR="006129D0" w:rsidRDefault="006129D0" w:rsidP="00DE6289">
            <w:pPr>
              <w:pStyle w:val="NotesTextBullet1"/>
            </w:pPr>
            <w:r w:rsidRPr="00214097">
              <w:t>Patient Testing Worklist Report</w:t>
            </w:r>
          </w:p>
          <w:p w14:paraId="6A021DE1" w14:textId="77777777" w:rsidR="006129D0" w:rsidRPr="00214097" w:rsidRDefault="006129D0" w:rsidP="00DE6289">
            <w:pPr>
              <w:pStyle w:val="NotesTextBullet1"/>
            </w:pPr>
            <w:r w:rsidRPr="00214097">
              <w:t>Print Unit Caution Tag &amp; Transfusion Record Form</w:t>
            </w:r>
          </w:p>
          <w:p w14:paraId="6E4131A7" w14:textId="77777777" w:rsidR="006129D0" w:rsidRDefault="006129D0" w:rsidP="00DE6289">
            <w:pPr>
              <w:pStyle w:val="NotesTextBullet1"/>
            </w:pPr>
            <w:r>
              <w:t>Issue Blood Components</w:t>
            </w:r>
          </w:p>
          <w:p w14:paraId="561AC99B" w14:textId="77777777" w:rsidR="006129D0" w:rsidRDefault="006129D0" w:rsidP="00DE6289">
            <w:pPr>
              <w:pStyle w:val="NotesTextBullet1"/>
            </w:pPr>
            <w:r w:rsidRPr="00214097">
              <w:t>Post-Transfusion Information</w:t>
            </w:r>
          </w:p>
          <w:p w14:paraId="5CB5158D" w14:textId="0B285EF4" w:rsidR="006129D0" w:rsidRPr="00214097" w:rsidRDefault="006129D0" w:rsidP="00DE6289">
            <w:pPr>
              <w:pStyle w:val="NotesTextBullet1"/>
            </w:pPr>
            <w:r w:rsidRPr="00214097">
              <w:t>Return Issued Units To Blood Bank</w:t>
            </w:r>
            <w:r>
              <w:t>.</w:t>
            </w:r>
          </w:p>
          <w:p w14:paraId="2A089EB0" w14:textId="77777777" w:rsidR="006129D0" w:rsidRPr="00214097" w:rsidRDefault="006129D0" w:rsidP="00DE6289">
            <w:pPr>
              <w:pStyle w:val="NotesTextBullet1"/>
            </w:pPr>
            <w:r w:rsidRPr="00214097">
              <w:t xml:space="preserve">Special Instructions &amp; Transfusion Requirements </w:t>
            </w:r>
          </w:p>
          <w:p w14:paraId="27BC7EF6" w14:textId="77777777" w:rsidR="006129D0" w:rsidRPr="00214097" w:rsidRDefault="006129D0" w:rsidP="00DE6289">
            <w:pPr>
              <w:pStyle w:val="NotesTextBullet1"/>
            </w:pPr>
            <w:r>
              <w:t>Transfusion Reaction History</w:t>
            </w:r>
          </w:p>
          <w:p w14:paraId="055F5F9D" w14:textId="77777777" w:rsidR="006129D0" w:rsidRPr="00214097" w:rsidRDefault="006129D0" w:rsidP="00DE6289">
            <w:pPr>
              <w:pStyle w:val="NotesTextBullet1"/>
            </w:pPr>
            <w:r w:rsidRPr="00214097">
              <w:t>Patient History Report</w:t>
            </w:r>
          </w:p>
          <w:p w14:paraId="36E3BF03" w14:textId="77777777" w:rsidR="006129D0" w:rsidRDefault="006129D0" w:rsidP="005125FD">
            <w:pPr>
              <w:pStyle w:val="NotesTextBullet"/>
            </w:pPr>
            <w:r w:rsidRPr="00214097">
              <w:rPr>
                <w:b/>
              </w:rPr>
              <w:t>Shipments</w:t>
            </w:r>
            <w:r>
              <w:t xml:space="preserve"> from the main menu. Select </w:t>
            </w:r>
            <w:r w:rsidRPr="00214097">
              <w:rPr>
                <w:b/>
              </w:rPr>
              <w:t>Incoming Shipment</w:t>
            </w:r>
            <w:r>
              <w:t xml:space="preserve"> (for restricted units only).</w:t>
            </w:r>
          </w:p>
          <w:p w14:paraId="5A2399AD" w14:textId="77777777" w:rsidR="006129D0" w:rsidRPr="00214097" w:rsidRDefault="006129D0" w:rsidP="005125FD">
            <w:pPr>
              <w:pStyle w:val="NotesTextBullet"/>
            </w:pPr>
            <w:r w:rsidRPr="00A60522">
              <w:rPr>
                <w:b/>
              </w:rPr>
              <w:lastRenderedPageBreak/>
              <w:t>Orders</w:t>
            </w:r>
            <w:r>
              <w:t xml:space="preserve"> from the main menu. Select </w:t>
            </w:r>
            <w:r w:rsidRPr="00A60522">
              <w:rPr>
                <w:b/>
              </w:rPr>
              <w:t>Recent Patient Orders</w:t>
            </w:r>
            <w:r>
              <w:t>.</w:t>
            </w:r>
          </w:p>
          <w:p w14:paraId="22CB558B" w14:textId="77777777" w:rsidR="006129D0" w:rsidRDefault="006129D0" w:rsidP="005125FD">
            <w:pPr>
              <w:pStyle w:val="NotesTextBullet"/>
            </w:pPr>
            <w:r w:rsidRPr="00214097">
              <w:rPr>
                <w:b/>
              </w:rPr>
              <w:t>Reports</w:t>
            </w:r>
            <w:r>
              <w:t xml:space="preserve"> from the main menu. Select:</w:t>
            </w:r>
          </w:p>
          <w:p w14:paraId="6D9D8B36" w14:textId="77777777" w:rsidR="006129D0" w:rsidRDefault="006129D0" w:rsidP="00DE6289">
            <w:pPr>
              <w:pStyle w:val="NotesTextBullet1"/>
              <w:rPr>
                <w:b/>
              </w:rPr>
            </w:pPr>
            <w:r>
              <w:rPr>
                <w:b/>
              </w:rPr>
              <w:t>Blood Availability</w:t>
            </w:r>
            <w:r>
              <w:t xml:space="preserve"> (for individual patient only)</w:t>
            </w:r>
          </w:p>
          <w:p w14:paraId="4FF28F07" w14:textId="77777777" w:rsidR="006129D0" w:rsidRPr="00214097" w:rsidRDefault="006129D0" w:rsidP="00DE6289">
            <w:pPr>
              <w:pStyle w:val="NotesTextBullet1"/>
              <w:rPr>
                <w:b/>
              </w:rPr>
            </w:pPr>
            <w:r w:rsidRPr="00214097">
              <w:rPr>
                <w:b/>
              </w:rPr>
              <w:t>Medication Profile</w:t>
            </w:r>
          </w:p>
          <w:p w14:paraId="2765D57D" w14:textId="77777777" w:rsidR="006129D0" w:rsidRPr="00214097" w:rsidRDefault="006129D0" w:rsidP="00DE6289">
            <w:pPr>
              <w:pStyle w:val="NotesTextBullet1"/>
              <w:rPr>
                <w:b/>
              </w:rPr>
            </w:pPr>
            <w:r w:rsidRPr="00214097">
              <w:rPr>
                <w:b/>
              </w:rPr>
              <w:t>Patient History Report</w:t>
            </w:r>
          </w:p>
          <w:p w14:paraId="08BBDD01" w14:textId="77777777" w:rsidR="006129D0" w:rsidRDefault="006129D0" w:rsidP="00DE6289">
            <w:pPr>
              <w:pStyle w:val="NotesTextBullet1"/>
            </w:pPr>
            <w:r w:rsidRPr="00214097">
              <w:rPr>
                <w:b/>
              </w:rPr>
              <w:t>Transfusion Effectiveness Report</w:t>
            </w:r>
            <w:r>
              <w:t xml:space="preserve"> (for individual patient report only)</w:t>
            </w:r>
          </w:p>
          <w:p w14:paraId="2A1A1282" w14:textId="77777777" w:rsidR="006129D0" w:rsidRDefault="006129D0" w:rsidP="005125FD">
            <w:pPr>
              <w:pStyle w:val="NotesTextBullet"/>
            </w:pPr>
            <w:r w:rsidRPr="00214097">
              <w:rPr>
                <w:b/>
              </w:rPr>
              <w:t>Supervisor</w:t>
            </w:r>
            <w:r>
              <w:t xml:space="preserve"> from the main menu. Select:</w:t>
            </w:r>
          </w:p>
          <w:p w14:paraId="4544BFF8" w14:textId="77777777" w:rsidR="006129D0" w:rsidRPr="0095508A" w:rsidRDefault="006129D0" w:rsidP="00DE6289">
            <w:pPr>
              <w:pStyle w:val="NotesTextBullet1"/>
            </w:pPr>
            <w:r w:rsidRPr="0095508A">
              <w:t>Document ABO Incompatible Transfusion</w:t>
            </w:r>
          </w:p>
          <w:p w14:paraId="79857684" w14:textId="77777777" w:rsidR="006129D0" w:rsidRDefault="006129D0" w:rsidP="00A4517B">
            <w:pPr>
              <w:pStyle w:val="NotesTextBullet1"/>
            </w:pPr>
            <w:r w:rsidRPr="005125FD">
              <w:t>Justify</w:t>
            </w:r>
            <w:r w:rsidRPr="0095508A">
              <w:t xml:space="preserve"> ABO/Rh Change</w:t>
            </w:r>
          </w:p>
          <w:p w14:paraId="10209599" w14:textId="77777777" w:rsidR="00F95EB8" w:rsidRDefault="00F95EB8" w:rsidP="00F95EB8">
            <w:pPr>
              <w:pStyle w:val="NotesTextBullet1"/>
              <w:numPr>
                <w:ilvl w:val="0"/>
                <w:numId w:val="0"/>
              </w:numPr>
              <w:ind w:left="1296" w:hanging="288"/>
            </w:pPr>
          </w:p>
          <w:p w14:paraId="4D17DAEF" w14:textId="12BC38C6" w:rsidR="00F95EB8" w:rsidRDefault="00F95EB8" w:rsidP="00954C98">
            <w:pPr>
              <w:pStyle w:val="NotesText"/>
            </w:pPr>
            <w:r w:rsidRPr="00F95EB8">
              <w:t xml:space="preserve">Selecting a patient </w:t>
            </w:r>
            <w:r w:rsidR="00954C98">
              <w:t xml:space="preserve">record </w:t>
            </w:r>
            <w:r w:rsidRPr="00F95EB8">
              <w:t xml:space="preserve">that is </w:t>
            </w:r>
            <w:r w:rsidR="00954C98">
              <w:t xml:space="preserve">not </w:t>
            </w:r>
            <w:r w:rsidRPr="00F95EB8">
              <w:t xml:space="preserve">found in </w:t>
            </w:r>
            <w:r w:rsidR="00954C98">
              <w:t>the</w:t>
            </w:r>
            <w:r w:rsidRPr="00F95EB8">
              <w:t xml:space="preserve"> VBECS </w:t>
            </w:r>
            <w:r w:rsidR="00954C98">
              <w:t>database will insert a new patient</w:t>
            </w:r>
            <w:r w:rsidRPr="00F95EB8">
              <w:t xml:space="preserve"> record </w:t>
            </w:r>
            <w:r w:rsidR="00954C98">
              <w:t xml:space="preserve">from </w:t>
            </w:r>
            <w:r w:rsidR="006549B7">
              <w:t>VistA.</w:t>
            </w:r>
            <w:r>
              <w:t xml:space="preserve"> </w:t>
            </w:r>
            <w:r w:rsidRPr="00F95EB8">
              <w:rPr>
                <w:vanish/>
              </w:rPr>
              <w:t>BR_1</w:t>
            </w:r>
            <w:r w:rsidR="00DF7355">
              <w:rPr>
                <w:vanish/>
              </w:rPr>
              <w:t>.60</w:t>
            </w:r>
            <w:r w:rsidR="00555EA2">
              <w:rPr>
                <w:vanish/>
              </w:rPr>
              <w:t xml:space="preserve"> Task 675267</w:t>
            </w:r>
          </w:p>
        </w:tc>
      </w:tr>
      <w:tr w:rsidR="000A4886" w14:paraId="51158E07" w14:textId="77777777">
        <w:tc>
          <w:tcPr>
            <w:tcW w:w="3240" w:type="dxa"/>
            <w:tcBorders>
              <w:top w:val="single" w:sz="4" w:space="0" w:color="auto"/>
              <w:left w:val="single" w:sz="4" w:space="0" w:color="auto"/>
              <w:bottom w:val="single" w:sz="4" w:space="0" w:color="auto"/>
              <w:right w:val="single" w:sz="4" w:space="0" w:color="auto"/>
            </w:tcBorders>
          </w:tcPr>
          <w:p w14:paraId="7F435159" w14:textId="77777777" w:rsidR="000A4886" w:rsidRDefault="007554C5" w:rsidP="00214097">
            <w:pPr>
              <w:pStyle w:val="TableTextNumbers"/>
            </w:pPr>
            <w:r>
              <w:lastRenderedPageBreak/>
              <w:t>Select a patient from the list</w:t>
            </w:r>
            <w:r w:rsidR="00250CF9">
              <w:t xml:space="preserve">. </w:t>
            </w:r>
            <w:r w:rsidR="00250CF9">
              <w:rPr>
                <w:rStyle w:val="TableTextNumbersChar"/>
                <w:vanish/>
                <w:color w:val="FFFFFF"/>
                <w:szCs w:val="18"/>
              </w:rPr>
              <w:fldChar w:fldCharType="begin"/>
            </w:r>
            <w:r w:rsidR="00250CF9">
              <w:rPr>
                <w:rStyle w:val="TableTextNumbersChar"/>
                <w:vanish/>
                <w:color w:val="FFFFFF"/>
                <w:szCs w:val="18"/>
              </w:rPr>
              <w:instrText xml:space="preserve"> LISTNUM \l 1 \s 0 </w:instrText>
            </w:r>
            <w:r w:rsidR="00250CF9">
              <w:rPr>
                <w:rStyle w:val="TableTextNumbersChar"/>
                <w:vanish/>
                <w:color w:val="FFFFFF"/>
                <w:szCs w:val="18"/>
              </w:rPr>
              <w:fldChar w:fldCharType="end">
                <w:numberingChange w:id="520" w:author="MUSZYNSKI, THOMAS D. (SIERRA 7 INC)" w:date="2024-11-26T07:15:00Z" w:original="0."/>
              </w:fldChar>
            </w:r>
          </w:p>
        </w:tc>
        <w:tc>
          <w:tcPr>
            <w:tcW w:w="6120" w:type="dxa"/>
            <w:tcBorders>
              <w:top w:val="single" w:sz="4" w:space="0" w:color="auto"/>
              <w:left w:val="single" w:sz="4" w:space="0" w:color="auto"/>
              <w:bottom w:val="single" w:sz="4" w:space="0" w:color="auto"/>
              <w:right w:val="single" w:sz="4" w:space="0" w:color="auto"/>
            </w:tcBorders>
          </w:tcPr>
          <w:p w14:paraId="5494C136" w14:textId="77777777" w:rsidR="000A4886" w:rsidRDefault="007554C5" w:rsidP="006178E5">
            <w:pPr>
              <w:pStyle w:val="TableTextBullet"/>
            </w:pPr>
            <w:r>
              <w:t>Displays patient-associated data.</w:t>
            </w:r>
          </w:p>
          <w:p w14:paraId="69C51473" w14:textId="77777777" w:rsidR="007554C5" w:rsidRDefault="007554C5" w:rsidP="006178E5">
            <w:pPr>
              <w:pStyle w:val="TableTextBullet"/>
            </w:pPr>
            <w:r>
              <w:t>Displays the Patient Information Toolbar.</w:t>
            </w:r>
          </w:p>
          <w:p w14:paraId="48AE65D4" w14:textId="77777777" w:rsidR="00D1493E" w:rsidRDefault="00797BC0" w:rsidP="00D1493E">
            <w:pPr>
              <w:pStyle w:val="TableTextBullet"/>
            </w:pPr>
            <w:r>
              <w:t>Displays Special Instructions (SIs) and Transfusion Requirements (TRs)</w:t>
            </w:r>
            <w:r w:rsidR="00BC2C05">
              <w:t>, when appropriate.</w:t>
            </w:r>
            <w:r w:rsidR="00D1493E">
              <w:t xml:space="preserve"> </w:t>
            </w:r>
          </w:p>
          <w:p w14:paraId="65855EFD" w14:textId="77777777" w:rsidR="00D1493E" w:rsidRDefault="00D1493E" w:rsidP="00D1493E">
            <w:pPr>
              <w:pStyle w:val="TableText"/>
            </w:pPr>
          </w:p>
          <w:p w14:paraId="4899FC1B" w14:textId="41B11BFA" w:rsidR="00D1493E" w:rsidRDefault="00D1493E" w:rsidP="00D1493E">
            <w:pPr>
              <w:pStyle w:val="TableText"/>
              <w:rPr>
                <w:b/>
                <w:bCs/>
                <w:szCs w:val="18"/>
              </w:rPr>
            </w:pPr>
            <w:r>
              <w:rPr>
                <w:b/>
                <w:bCs/>
                <w:szCs w:val="18"/>
              </w:rPr>
              <w:t>NOTES</w:t>
            </w:r>
          </w:p>
          <w:p w14:paraId="56697CBC" w14:textId="77777777" w:rsidR="00797BC0" w:rsidRDefault="00797BC0" w:rsidP="00D1493E">
            <w:pPr>
              <w:pStyle w:val="TableTextBullet"/>
              <w:numPr>
                <w:ilvl w:val="0"/>
                <w:numId w:val="0"/>
              </w:numPr>
              <w:ind w:left="720"/>
            </w:pPr>
          </w:p>
          <w:p w14:paraId="27E32BD7" w14:textId="77777777" w:rsidR="00D1493E" w:rsidRPr="000F37DC" w:rsidRDefault="00D1493E" w:rsidP="00D1493E">
            <w:pPr>
              <w:pStyle w:val="TableTextBullet"/>
              <w:numPr>
                <w:ilvl w:val="0"/>
                <w:numId w:val="0"/>
              </w:numPr>
              <w:ind w:left="720"/>
              <w:rPr>
                <w:vanish/>
              </w:rPr>
            </w:pPr>
            <w:r>
              <w:rPr>
                <w:rFonts w:cs="Arial"/>
              </w:rPr>
              <w:t>Displays a message when the user selects a patient with a blank first or last name, or the name is too long. The user is instructed to contact the VBECS Administrator for assistance.</w:t>
            </w:r>
            <w:r w:rsidR="000F37DC">
              <w:rPr>
                <w:rFonts w:cs="Arial"/>
              </w:rPr>
              <w:t xml:space="preserve"> </w:t>
            </w:r>
            <w:r w:rsidR="000F37DC" w:rsidRPr="00AB3B2D">
              <w:rPr>
                <w:rFonts w:cs="Arial"/>
                <w:vanish/>
              </w:rPr>
              <w:t>DR 3444</w:t>
            </w:r>
          </w:p>
        </w:tc>
      </w:tr>
    </w:tbl>
    <w:p w14:paraId="42F681DA" w14:textId="79C7C610" w:rsidR="00102700" w:rsidRDefault="00102700" w:rsidP="00102700">
      <w:pPr>
        <w:pStyle w:val="Caption"/>
      </w:pPr>
      <w:bookmarkStart w:id="521" w:name="_Ref126726055"/>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7D1829">
        <w:rPr>
          <w:noProof/>
        </w:rPr>
        <w:t>95</w:t>
      </w:r>
      <w:r w:rsidR="004E20BD">
        <w:rPr>
          <w:noProof/>
        </w:rPr>
        <w:fldChar w:fldCharType="end"/>
      </w:r>
      <w:bookmarkEnd w:id="521"/>
      <w:r w:rsidR="00EE7A38">
        <w:t>: Patient Search</w:t>
      </w:r>
    </w:p>
    <w:p w14:paraId="2AC80F24" w14:textId="57F99691" w:rsidR="00242335" w:rsidRPr="00242335" w:rsidRDefault="00242335" w:rsidP="00242335">
      <w:pPr>
        <w:pStyle w:val="BodyText"/>
      </w:pPr>
      <w:r>
        <w:rPr>
          <w:noProof/>
        </w:rPr>
        <w:drawing>
          <wp:inline distT="0" distB="0" distL="0" distR="0" wp14:anchorId="1D122540" wp14:editId="310982CB">
            <wp:extent cx="5939155" cy="4331970"/>
            <wp:effectExtent l="0" t="0" r="4445" b="0"/>
            <wp:docPr id="211" name="Picture 211" descr="Example of Patient Search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Picture 211" descr="Example of Patient Search screen capture"/>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5939155" cy="4331970"/>
                    </a:xfrm>
                    <a:prstGeom prst="rect">
                      <a:avLst/>
                    </a:prstGeom>
                    <a:noFill/>
                    <a:ln>
                      <a:noFill/>
                    </a:ln>
                  </pic:spPr>
                </pic:pic>
              </a:graphicData>
            </a:graphic>
          </wp:inline>
        </w:drawing>
      </w:r>
    </w:p>
    <w:p w14:paraId="0C62C1D7" w14:textId="4416F68B" w:rsidR="00170060" w:rsidRDefault="00170060" w:rsidP="00170060">
      <w:pPr>
        <w:pStyle w:val="Heading3"/>
      </w:pPr>
      <w:bookmarkStart w:id="522" w:name="_Toc203765920"/>
      <w:r>
        <w:t>Patient Merge</w:t>
      </w:r>
      <w:bookmarkEnd w:id="522"/>
      <w:r>
        <w:fldChar w:fldCharType="begin"/>
      </w:r>
      <w:r>
        <w:instrText xml:space="preserve"> XE “Patient Merge” </w:instrText>
      </w:r>
      <w:r>
        <w:fldChar w:fldCharType="end"/>
      </w:r>
      <w:r>
        <w:t xml:space="preserve"> </w:t>
      </w:r>
      <w:r>
        <w:rPr>
          <w:rFonts w:ascii="Times New Roman" w:hAnsi="Times New Roman" w:cs="Times New Roman"/>
          <w:b w:val="0"/>
          <w:vanish/>
          <w:sz w:val="22"/>
        </w:rPr>
        <w:t>UC_68</w:t>
      </w:r>
    </w:p>
    <w:p w14:paraId="43B31851" w14:textId="77777777" w:rsidR="00170060" w:rsidRDefault="000075A9" w:rsidP="00170060">
      <w:pPr>
        <w:pStyle w:val="BodyText"/>
      </w:pPr>
      <w:r>
        <w:t xml:space="preserve">VBECS notifies the user of VistA patient merges and displays details for </w:t>
      </w:r>
      <w:r w:rsidR="004437ED">
        <w:t>his</w:t>
      </w:r>
      <w:r>
        <w:t xml:space="preserve"> review.</w:t>
      </w:r>
    </w:p>
    <w:p w14:paraId="48B8B2A4" w14:textId="77777777" w:rsidR="00170060" w:rsidRDefault="00170060" w:rsidP="00170060">
      <w:pPr>
        <w:pStyle w:val="Heading4"/>
      </w:pPr>
      <w:r>
        <w:t>Assumptions</w:t>
      </w:r>
      <w:r>
        <w:rPr>
          <w:b w:val="0"/>
        </w:rPr>
        <w:t xml:space="preserve"> </w:t>
      </w:r>
    </w:p>
    <w:p w14:paraId="70AA27E6" w14:textId="77777777" w:rsidR="00170060" w:rsidRDefault="00170060" w:rsidP="00170060">
      <w:pPr>
        <w:pStyle w:val="ListBullet"/>
      </w:pPr>
      <w:r>
        <w:t xml:space="preserve">The connection to </w:t>
      </w:r>
      <w:r w:rsidRPr="00CA0045">
        <w:rPr>
          <w:bCs/>
        </w:rPr>
        <w:t>VistA</w:t>
      </w:r>
      <w:r>
        <w:t xml:space="preserve"> is active.</w:t>
      </w:r>
    </w:p>
    <w:p w14:paraId="4AC99917" w14:textId="77777777" w:rsidR="00170060" w:rsidRDefault="00170060" w:rsidP="00170060">
      <w:pPr>
        <w:pStyle w:val="ListBullet"/>
      </w:pPr>
      <w:r>
        <w:t xml:space="preserve">VBECS received the message about a </w:t>
      </w:r>
      <w:r w:rsidR="00E8242F">
        <w:t xml:space="preserve">VistA </w:t>
      </w:r>
      <w:r>
        <w:t>patient merge.</w:t>
      </w:r>
    </w:p>
    <w:p w14:paraId="3302EEFB" w14:textId="77777777" w:rsidR="00170060" w:rsidRDefault="00825A62" w:rsidP="00170060">
      <w:pPr>
        <w:pStyle w:val="ListBullet"/>
      </w:pPr>
      <w:r>
        <w:t>VBECS accepts merge messages when either or both the merge from or merge to patients exist in VBECS.</w:t>
      </w:r>
    </w:p>
    <w:p w14:paraId="1296F50B" w14:textId="77777777" w:rsidR="00170060" w:rsidRDefault="00170060" w:rsidP="00170060">
      <w:pPr>
        <w:pStyle w:val="Heading4"/>
      </w:pPr>
      <w:r>
        <w:t xml:space="preserve">Outcome </w:t>
      </w:r>
    </w:p>
    <w:p w14:paraId="44436304" w14:textId="77777777" w:rsidR="00170060" w:rsidRDefault="00170060" w:rsidP="00170060">
      <w:pPr>
        <w:pStyle w:val="ListBullet"/>
      </w:pPr>
      <w:r>
        <w:t>VBECS notified the user that patient records were merged in VistA.</w:t>
      </w:r>
    </w:p>
    <w:p w14:paraId="683A56E2" w14:textId="77777777" w:rsidR="00170060" w:rsidRDefault="00170060" w:rsidP="00170060">
      <w:pPr>
        <w:pStyle w:val="Heading4"/>
      </w:pPr>
      <w:r>
        <w:t>Limitations and Restrictions</w:t>
      </w:r>
      <w:r>
        <w:rPr>
          <w:b w:val="0"/>
        </w:rPr>
        <w:t xml:space="preserve"> </w:t>
      </w:r>
    </w:p>
    <w:p w14:paraId="2124126A" w14:textId="77777777" w:rsidR="00170060" w:rsidRDefault="00D62E7A" w:rsidP="00170060">
      <w:pPr>
        <w:pStyle w:val="ListBullet"/>
      </w:pPr>
      <w:r w:rsidRPr="00D62E7A">
        <w:rPr>
          <w:vanish/>
        </w:rPr>
        <w:t>DR 2,527</w:t>
      </w:r>
      <w:r>
        <w:rPr>
          <w:vanish/>
        </w:rPr>
        <w:t xml:space="preserve"> </w:t>
      </w:r>
      <w:r w:rsidR="008E7C49">
        <w:t>T</w:t>
      </w:r>
      <w:r w:rsidR="00170060">
        <w:t xml:space="preserve">he </w:t>
      </w:r>
      <w:r w:rsidR="008D32F7">
        <w:t xml:space="preserve">Traditional Supervisor or above </w:t>
      </w:r>
      <w:r w:rsidR="00170060">
        <w:t xml:space="preserve">must </w:t>
      </w:r>
      <w:r w:rsidR="00E8242F">
        <w:t>update patient records</w:t>
      </w:r>
      <w:r w:rsidR="00170060">
        <w:t xml:space="preserve"> manually.</w:t>
      </w:r>
    </w:p>
    <w:p w14:paraId="7FE33F13" w14:textId="5A908F42" w:rsidR="008D32F7" w:rsidRDefault="00E8242F" w:rsidP="00170060">
      <w:pPr>
        <w:pStyle w:val="ListBullet"/>
      </w:pPr>
      <w:r>
        <w:t xml:space="preserve">VBECS does not notify users of additional VistA patient updates or merges while the icon is displayed. </w:t>
      </w:r>
      <w:r w:rsidR="008D32F7">
        <w:t xml:space="preserve">When a user views an update and there is </w:t>
      </w:r>
      <w:r>
        <w:t>an unprocessed</w:t>
      </w:r>
      <w:r w:rsidR="008D32F7">
        <w:t xml:space="preserve"> patient merge, the </w:t>
      </w:r>
      <w:r w:rsidR="00D57F25">
        <w:t>Patient Alert icon</w:t>
      </w:r>
      <w:r w:rsidR="008D32F7">
        <w:t xml:space="preserve"> remains on the screen until the Traditional Supervisor completes the </w:t>
      </w:r>
      <w:r>
        <w:t xml:space="preserve">update </w:t>
      </w:r>
      <w:r w:rsidR="008D32F7">
        <w:t xml:space="preserve">and clears the icon. </w:t>
      </w:r>
      <w:r w:rsidR="00FF7FFA" w:rsidRPr="00FF7FFA">
        <w:rPr>
          <w:vanish/>
        </w:rPr>
        <w:t>Defect 209990</w:t>
      </w:r>
    </w:p>
    <w:p w14:paraId="068C456B" w14:textId="77777777" w:rsidR="002257C5" w:rsidRDefault="005F578B" w:rsidP="00170060">
      <w:pPr>
        <w:pStyle w:val="ListBullet"/>
      </w:pPr>
      <w:r>
        <w:lastRenderedPageBreak/>
        <w:t>Patient merges involving</w:t>
      </w:r>
      <w:r w:rsidRPr="00DD022C">
        <w:t xml:space="preserve"> </w:t>
      </w:r>
      <w:r w:rsidR="00FF7FFA" w:rsidRPr="00DD022C">
        <w:t>patients</w:t>
      </w:r>
      <w:r w:rsidRPr="00DD022C">
        <w:t xml:space="preserve"> with names that exceed the database standard for File #2 (30 characters) or do not have a first or last name in VistA are rejected and do not appear in VBECS. The VBECS System Administrator is notified of each rejection via an email to the address entered in VBECS Administrator “</w:t>
      </w:r>
      <w:r w:rsidR="00276DAA">
        <w:t>Email Alerts</w:t>
      </w:r>
      <w:r w:rsidRPr="00DD022C">
        <w:t>” field</w:t>
      </w:r>
    </w:p>
    <w:p w14:paraId="7AEF5E6E" w14:textId="77777777" w:rsidR="00170060" w:rsidRDefault="00170060" w:rsidP="00170060">
      <w:pPr>
        <w:pStyle w:val="Heading4"/>
      </w:pPr>
      <w:r>
        <w:t xml:space="preserve">Additional Information </w:t>
      </w:r>
    </w:p>
    <w:p w14:paraId="4C069F8A" w14:textId="77777777" w:rsidR="00170060" w:rsidRDefault="00170060" w:rsidP="00170060">
      <w:pPr>
        <w:pStyle w:val="ListBullet"/>
      </w:pPr>
      <w:r>
        <w:t>If more than two records are merged in VistA, VBECS will receive a corresponding number of merge messages.</w:t>
      </w:r>
    </w:p>
    <w:p w14:paraId="35235B75" w14:textId="77777777" w:rsidR="00170060" w:rsidRDefault="00170060" w:rsidP="00170060">
      <w:pPr>
        <w:pStyle w:val="Heading4"/>
        <w:rPr>
          <w:b w:val="0"/>
        </w:rPr>
      </w:pPr>
      <w:r>
        <w:t>User Roles with Access to This Option</w:t>
      </w:r>
      <w:r>
        <w:rPr>
          <w:b w:val="0"/>
        </w:rPr>
        <w:t xml:space="preserve"> </w:t>
      </w:r>
    </w:p>
    <w:p w14:paraId="287867AE" w14:textId="77777777" w:rsidR="008E2767" w:rsidRPr="008E2767" w:rsidRDefault="008E2767" w:rsidP="00A40D01">
      <w:pPr>
        <w:pStyle w:val="Roles"/>
      </w:pPr>
      <w:r>
        <w:t>All users</w:t>
      </w:r>
    </w:p>
    <w:p w14:paraId="2E2E3F53" w14:textId="2B51825D" w:rsidR="00170060" w:rsidRDefault="00170060" w:rsidP="00170060">
      <w:pPr>
        <w:pStyle w:val="Heading4"/>
      </w:pPr>
      <w:r>
        <w:t>Patient Merge</w:t>
      </w:r>
    </w:p>
    <w:p w14:paraId="3F402713" w14:textId="77777777" w:rsidR="002A21AE" w:rsidRDefault="00170060" w:rsidP="00170060">
      <w:pPr>
        <w:pStyle w:val="BodyText"/>
      </w:pPr>
      <w:r>
        <w:t xml:space="preserve">The VBECS user examines records that were merged in VistA and decides whether to </w:t>
      </w:r>
      <w:r w:rsidR="00A415D8">
        <w:t xml:space="preserve">update </w:t>
      </w:r>
      <w:r>
        <w:t>them.</w:t>
      </w:r>
    </w:p>
    <w:p w14:paraId="1B27C82A" w14:textId="77777777" w:rsidR="00F002ED" w:rsidRPr="006F5EC8" w:rsidRDefault="00057948" w:rsidP="00F002ED">
      <w:pPr>
        <w:pStyle w:val="Caution"/>
      </w:pPr>
      <w:r>
        <w:rPr>
          <w:i w:val="0"/>
          <w:noProof/>
        </w:rPr>
        <w:drawing>
          <wp:inline distT="0" distB="0" distL="0" distR="0" wp14:anchorId="40C9BAD9" wp14:editId="1ADD64D5">
            <wp:extent cx="267970" cy="221615"/>
            <wp:effectExtent l="0" t="0" r="0" b="6985"/>
            <wp:docPr id="229" name="Picture 229" descr="Cau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Picture 229" descr="Caution icon"/>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67970" cy="221615"/>
                    </a:xfrm>
                    <a:prstGeom prst="rect">
                      <a:avLst/>
                    </a:prstGeom>
                    <a:noFill/>
                    <a:ln>
                      <a:noFill/>
                    </a:ln>
                  </pic:spPr>
                </pic:pic>
              </a:graphicData>
            </a:graphic>
          </wp:inline>
        </w:drawing>
      </w:r>
      <w:r w:rsidR="00F002ED" w:rsidRPr="00413345">
        <w:rPr>
          <w:i w:val="0"/>
        </w:rPr>
        <w:t xml:space="preserve"> </w:t>
      </w:r>
      <w:r w:rsidR="00F002ED" w:rsidRPr="006F5EC8">
        <w:t xml:space="preserve">VBECS </w:t>
      </w:r>
      <w:r w:rsidR="00F002ED">
        <w:t xml:space="preserve">does </w:t>
      </w:r>
      <w:r w:rsidR="00F002ED" w:rsidRPr="006F5EC8">
        <w:t>not create link</w:t>
      </w:r>
      <w:r w:rsidR="00F002ED">
        <w:t>s</w:t>
      </w:r>
      <w:r w:rsidR="00F002ED" w:rsidRPr="006F5EC8">
        <w:t xml:space="preserve"> </w:t>
      </w:r>
      <w:r w:rsidR="00F002ED">
        <w:t>for</w:t>
      </w:r>
      <w:r w:rsidR="00F002ED" w:rsidRPr="006F5EC8">
        <w:t xml:space="preserve"> </w:t>
      </w:r>
      <w:r w:rsidR="00F002ED">
        <w:t>merged</w:t>
      </w:r>
      <w:r w:rsidR="00F002ED" w:rsidRPr="006F5EC8">
        <w:t xml:space="preserve"> records.</w:t>
      </w:r>
      <w:r w:rsidR="00F002ED">
        <w:t xml:space="preserve"> Users must update patient information and Special Instructions to show the merged-patient relationship.</w:t>
      </w:r>
    </w:p>
    <w:p w14:paraId="6036B8F1" w14:textId="1DAD0EB8" w:rsidR="001431F4" w:rsidRDefault="001431F4">
      <w:pPr>
        <w:rPr>
          <w:sz w:val="4"/>
          <w:szCs w:val="4"/>
        </w:rPr>
      </w:pPr>
      <w:r>
        <w:rPr>
          <w:sz w:val="4"/>
          <w:szCs w:val="4"/>
        </w:rPr>
        <w:br w:type="page"/>
      </w:r>
    </w:p>
    <w:p w14:paraId="131A7C2B" w14:textId="77777777" w:rsidR="00B33CCA" w:rsidRPr="00B33CCA" w:rsidRDefault="00B33CCA" w:rsidP="00170060">
      <w:pPr>
        <w:pStyle w:val="BodyText"/>
        <w:rPr>
          <w:sz w:val="4"/>
          <w:szCs w:val="4"/>
        </w:rPr>
      </w:pPr>
    </w:p>
    <w:p w14:paraId="2E61CC8B" w14:textId="77777777" w:rsidR="00B33CCA" w:rsidRPr="00E661A1" w:rsidRDefault="00057948" w:rsidP="00B33CCA">
      <w:pPr>
        <w:pStyle w:val="Caution"/>
        <w:rPr>
          <w:i w:val="0"/>
        </w:rPr>
      </w:pPr>
      <w:r>
        <w:rPr>
          <w:i w:val="0"/>
          <w:noProof/>
        </w:rPr>
        <w:drawing>
          <wp:inline distT="0" distB="0" distL="0" distR="0" wp14:anchorId="4B4A7C9A" wp14:editId="40EEA830">
            <wp:extent cx="267970" cy="221615"/>
            <wp:effectExtent l="0" t="0" r="0" b="6985"/>
            <wp:docPr id="230" name="Picture 230" descr="Cau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Picture 230" descr="Caution icon"/>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67970" cy="221615"/>
                    </a:xfrm>
                    <a:prstGeom prst="rect">
                      <a:avLst/>
                    </a:prstGeom>
                    <a:noFill/>
                    <a:ln>
                      <a:noFill/>
                    </a:ln>
                  </pic:spPr>
                </pic:pic>
              </a:graphicData>
            </a:graphic>
          </wp:inline>
        </w:drawing>
      </w:r>
      <w:r w:rsidR="00B33CCA" w:rsidRPr="00413345">
        <w:rPr>
          <w:i w:val="0"/>
        </w:rPr>
        <w:t xml:space="preserve"> </w:t>
      </w:r>
      <w:r w:rsidR="00B33CCA" w:rsidRPr="00E661A1">
        <w:t>Patient merges that do not change the patient name o</w:t>
      </w:r>
      <w:r w:rsidR="00E309DC" w:rsidRPr="00E661A1">
        <w:t>r</w:t>
      </w:r>
      <w:r w:rsidR="00B33CCA" w:rsidRPr="00E661A1">
        <w:t xml:space="preserve"> social security number (e.g. patient record moved to a new DFN) are displayed to the VBECS user. However, the records displayed in the Merge window will not appear to have any differences. Users are advised to contact </w:t>
      </w:r>
      <w:r w:rsidR="00A2613A" w:rsidRPr="00E661A1">
        <w:t>customer</w:t>
      </w:r>
      <w:r w:rsidR="00B33CCA" w:rsidRPr="00E661A1">
        <w:t xml:space="preserve"> support if a record merge of this type occurs.</w:t>
      </w:r>
      <w:r w:rsidR="00B33CCA" w:rsidRPr="00E661A1">
        <w:rPr>
          <w:i w:val="0"/>
        </w:rPr>
        <w:t xml:space="preserve"> </w:t>
      </w:r>
      <w:r w:rsidR="00B33CCA" w:rsidRPr="00E661A1">
        <w:rPr>
          <w:i w:val="0"/>
          <w:vanish/>
        </w:rPr>
        <w:t>DR 4178</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7A00DE" w14:paraId="5B42C330" w14:textId="77777777">
        <w:trPr>
          <w:cantSplit/>
          <w:tblHeader/>
        </w:trPr>
        <w:tc>
          <w:tcPr>
            <w:tcW w:w="3240" w:type="dxa"/>
            <w:shd w:val="pct30" w:color="auto" w:fill="FFFFFF"/>
            <w:vAlign w:val="bottom"/>
          </w:tcPr>
          <w:p w14:paraId="47E57E8B" w14:textId="1E0E6269" w:rsidR="007A00DE" w:rsidRDefault="00EE4091" w:rsidP="007A00DE">
            <w:pPr>
              <w:pStyle w:val="TableText"/>
              <w:rPr>
                <w:b/>
              </w:rPr>
            </w:pPr>
            <w:r>
              <w:br w:type="page"/>
            </w:r>
            <w:r w:rsidR="00B33CCA" w:rsidRPr="00E661A1">
              <w:rPr>
                <w:i/>
              </w:rPr>
              <w:br w:type="page"/>
            </w:r>
            <w:bookmarkStart w:id="523" w:name="_Ref126726239"/>
            <w:r w:rsidR="007A00DE">
              <w:rPr>
                <w:b/>
              </w:rPr>
              <w:t>User Action</w:t>
            </w:r>
          </w:p>
        </w:tc>
        <w:tc>
          <w:tcPr>
            <w:tcW w:w="6120" w:type="dxa"/>
            <w:shd w:val="pct30" w:color="auto" w:fill="FFFFFF"/>
            <w:vAlign w:val="bottom"/>
          </w:tcPr>
          <w:p w14:paraId="4A3480EC" w14:textId="77777777" w:rsidR="007A00DE" w:rsidRDefault="007A00DE" w:rsidP="007A00DE">
            <w:pPr>
              <w:pStyle w:val="TableText"/>
              <w:rPr>
                <w:b/>
              </w:rPr>
            </w:pPr>
            <w:r>
              <w:rPr>
                <w:b/>
              </w:rPr>
              <w:t>VBECS</w:t>
            </w:r>
          </w:p>
        </w:tc>
      </w:tr>
      <w:tr w:rsidR="007A00DE" w14:paraId="2477095D" w14:textId="77777777">
        <w:tc>
          <w:tcPr>
            <w:tcW w:w="3240" w:type="dxa"/>
            <w:tcBorders>
              <w:top w:val="single" w:sz="4" w:space="0" w:color="auto"/>
              <w:left w:val="single" w:sz="4" w:space="0" w:color="auto"/>
              <w:bottom w:val="single" w:sz="4" w:space="0" w:color="auto"/>
              <w:right w:val="single" w:sz="4" w:space="0" w:color="auto"/>
            </w:tcBorders>
          </w:tcPr>
          <w:p w14:paraId="2B46E008" w14:textId="77777777" w:rsidR="007A00DE" w:rsidRDefault="007A00DE" w:rsidP="007A00DE">
            <w:pPr>
              <w:pStyle w:val="TableTextNumbers"/>
            </w:pPr>
            <w:r>
              <w:t xml:space="preserve">Select </w:t>
            </w:r>
            <w:r>
              <w:rPr>
                <w:b/>
              </w:rPr>
              <w:t>Patients</w:t>
            </w:r>
            <w:r>
              <w:t xml:space="preserve"> from the main menu.</w:t>
            </w:r>
          </w:p>
          <w:p w14:paraId="590D5358" w14:textId="77777777" w:rsidR="007A00DE" w:rsidRDefault="007A00DE" w:rsidP="007A00DE">
            <w:pPr>
              <w:pStyle w:val="TableTextNumbersContinued"/>
            </w:pPr>
          </w:p>
          <w:p w14:paraId="6F4338E6" w14:textId="77777777" w:rsidR="007A00DE" w:rsidRDefault="007A00DE" w:rsidP="007A00DE">
            <w:pPr>
              <w:pStyle w:val="TableTextNumbersContinued"/>
            </w:pPr>
            <w:r>
              <w:t xml:space="preserve">Select </w:t>
            </w:r>
            <w:r>
              <w:rPr>
                <w:b/>
              </w:rPr>
              <w:t>Patient Updates</w:t>
            </w:r>
            <w:r>
              <w:t>.</w:t>
            </w:r>
          </w:p>
          <w:p w14:paraId="00EAB8E8" w14:textId="77777777" w:rsidR="007A00DE" w:rsidRDefault="007A00DE" w:rsidP="007A00DE">
            <w:pPr>
              <w:pStyle w:val="TableTextNumbersContinued"/>
            </w:pPr>
          </w:p>
          <w:p w14:paraId="47C45EBE" w14:textId="77777777" w:rsidR="007A00DE" w:rsidRDefault="007A00DE" w:rsidP="007A00DE">
            <w:pPr>
              <w:pStyle w:val="TableTextNumbersContinued"/>
            </w:pPr>
            <w:r>
              <w:t xml:space="preserve">Select </w:t>
            </w:r>
            <w:r>
              <w:rPr>
                <w:b/>
              </w:rPr>
              <w:t>Patient Merge</w:t>
            </w:r>
            <w:r>
              <w:t>, or</w:t>
            </w:r>
          </w:p>
          <w:p w14:paraId="53737D49" w14:textId="77777777" w:rsidR="007A00DE" w:rsidRDefault="007A00DE" w:rsidP="007A00DE">
            <w:pPr>
              <w:pStyle w:val="TableTextNumbersContinued"/>
            </w:pPr>
          </w:p>
          <w:p w14:paraId="109A2BCB" w14:textId="77777777" w:rsidR="007A00DE" w:rsidRDefault="007A00DE" w:rsidP="007A00DE">
            <w:pPr>
              <w:pStyle w:val="TableTextNumbersContinued"/>
            </w:pPr>
            <w:r>
              <w:t xml:space="preserve">Click </w:t>
            </w:r>
            <w:r w:rsidR="00057948">
              <w:rPr>
                <w:noProof/>
              </w:rPr>
              <w:drawing>
                <wp:inline distT="0" distB="0" distL="0" distR="0" wp14:anchorId="69765C52" wp14:editId="27F28F43">
                  <wp:extent cx="166370" cy="156845"/>
                  <wp:effectExtent l="0" t="0" r="5080" b="0"/>
                  <wp:docPr id="231" name="Picture 231" descr="Patient Alert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Picture 231" descr="Patient Alert icon"/>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66370" cy="156845"/>
                          </a:xfrm>
                          <a:prstGeom prst="rect">
                            <a:avLst/>
                          </a:prstGeom>
                          <a:noFill/>
                          <a:ln>
                            <a:noFill/>
                          </a:ln>
                        </pic:spPr>
                      </pic:pic>
                    </a:graphicData>
                  </a:graphic>
                </wp:inline>
              </w:drawing>
            </w:r>
            <w:r>
              <w:t xml:space="preserve"> in the Patient Information Toolbar.</w:t>
            </w:r>
          </w:p>
        </w:tc>
        <w:tc>
          <w:tcPr>
            <w:tcW w:w="6120" w:type="dxa"/>
            <w:tcBorders>
              <w:top w:val="single" w:sz="4" w:space="0" w:color="auto"/>
              <w:left w:val="single" w:sz="4" w:space="0" w:color="auto"/>
              <w:bottom w:val="single" w:sz="4" w:space="0" w:color="auto"/>
              <w:right w:val="single" w:sz="4" w:space="0" w:color="auto"/>
            </w:tcBorders>
          </w:tcPr>
          <w:p w14:paraId="058ECF29" w14:textId="77777777" w:rsidR="007A00DE" w:rsidRDefault="007A00DE" w:rsidP="007A00DE">
            <w:pPr>
              <w:pStyle w:val="TableTextBullet"/>
            </w:pPr>
            <w:r>
              <w:t xml:space="preserve">Displays </w:t>
            </w:r>
            <w:r w:rsidR="00057948">
              <w:rPr>
                <w:noProof/>
              </w:rPr>
              <w:drawing>
                <wp:inline distT="0" distB="0" distL="0" distR="0" wp14:anchorId="06D9510C" wp14:editId="639B519C">
                  <wp:extent cx="166370" cy="156845"/>
                  <wp:effectExtent l="0" t="0" r="5080" b="0"/>
                  <wp:docPr id="232" name="Picture 232" descr="Patient Alert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Picture 232" descr="Patient Alert icon"/>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66370" cy="156845"/>
                          </a:xfrm>
                          <a:prstGeom prst="rect">
                            <a:avLst/>
                          </a:prstGeom>
                          <a:noFill/>
                          <a:ln>
                            <a:noFill/>
                          </a:ln>
                        </pic:spPr>
                      </pic:pic>
                    </a:graphicData>
                  </a:graphic>
                </wp:inline>
              </w:drawing>
            </w:r>
            <w:r>
              <w:t xml:space="preserve"> and notifies the user of the VistA patient merge.</w:t>
            </w:r>
          </w:p>
          <w:p w14:paraId="52AE0527" w14:textId="77777777" w:rsidR="007A00DE" w:rsidRDefault="007A00DE" w:rsidP="007A00DE">
            <w:pPr>
              <w:pStyle w:val="TableTextBullet"/>
            </w:pPr>
            <w:r>
              <w:t xml:space="preserve">Lists the patient records to be </w:t>
            </w:r>
            <w:r w:rsidR="00AA1115">
              <w:t>updated</w:t>
            </w:r>
            <w:r>
              <w:t xml:space="preserve">. </w:t>
            </w:r>
          </w:p>
          <w:p w14:paraId="790877EA" w14:textId="77777777" w:rsidR="007A00DE" w:rsidRDefault="00825A62" w:rsidP="007A00DE">
            <w:pPr>
              <w:pStyle w:val="TableTextBullet"/>
            </w:pPr>
            <w:r w:rsidRPr="00825A62">
              <w:rPr>
                <w:vanish/>
              </w:rPr>
              <w:t xml:space="preserve">BR_68.19 </w:t>
            </w:r>
            <w:r w:rsidR="007A00DE">
              <w:t>Displays limited merge-from and merge-to patient information for evaluation, including:</w:t>
            </w:r>
          </w:p>
          <w:p w14:paraId="54ED488A" w14:textId="77777777" w:rsidR="007A00DE" w:rsidRDefault="007A00DE" w:rsidP="007A00DE">
            <w:pPr>
              <w:pStyle w:val="TableTextBullet1"/>
            </w:pPr>
            <w:r>
              <w:t>Patient name</w:t>
            </w:r>
          </w:p>
          <w:p w14:paraId="2E04ABC7" w14:textId="77777777" w:rsidR="007A00DE" w:rsidRDefault="007A00DE" w:rsidP="007A00DE">
            <w:pPr>
              <w:pStyle w:val="TableTextBullet1"/>
            </w:pPr>
            <w:r>
              <w:t>Patient ID</w:t>
            </w:r>
            <w:r w:rsidR="00825A62">
              <w:t>, if available</w:t>
            </w:r>
          </w:p>
          <w:p w14:paraId="043EBC60" w14:textId="77777777" w:rsidR="007A00DE" w:rsidRDefault="007A00DE" w:rsidP="007A00DE">
            <w:pPr>
              <w:pStyle w:val="TableTextBullet1"/>
              <w:rPr>
                <w:b/>
                <w:bCs/>
              </w:rPr>
            </w:pPr>
            <w:r>
              <w:t xml:space="preserve">Date and time the merge message was received from </w:t>
            </w:r>
            <w:r w:rsidRPr="00CA0045">
              <w:rPr>
                <w:bCs/>
              </w:rPr>
              <w:t>VistA</w:t>
            </w:r>
          </w:p>
          <w:p w14:paraId="75CD627F" w14:textId="77777777" w:rsidR="007A00DE" w:rsidRDefault="007A00DE" w:rsidP="007A00DE">
            <w:pPr>
              <w:pStyle w:val="TableText"/>
            </w:pPr>
          </w:p>
          <w:p w14:paraId="6348A81B" w14:textId="428B1552" w:rsidR="007A00DE" w:rsidRDefault="007A00DE" w:rsidP="007A00DE">
            <w:pPr>
              <w:pStyle w:val="TableText"/>
              <w:rPr>
                <w:b/>
                <w:bCs/>
                <w:szCs w:val="18"/>
              </w:rPr>
            </w:pPr>
            <w:r>
              <w:rPr>
                <w:b/>
                <w:bCs/>
                <w:szCs w:val="18"/>
              </w:rPr>
              <w:t>NOTES</w:t>
            </w:r>
          </w:p>
          <w:p w14:paraId="75660B51" w14:textId="77777777" w:rsidR="007A00DE" w:rsidRDefault="007A00DE" w:rsidP="007A00DE">
            <w:pPr>
              <w:pStyle w:val="NotesText"/>
            </w:pPr>
          </w:p>
          <w:p w14:paraId="66CD17C3" w14:textId="77777777" w:rsidR="007A00DE" w:rsidRDefault="007A00DE" w:rsidP="007A00DE">
            <w:pPr>
              <w:pStyle w:val="NotesText"/>
            </w:pPr>
            <w:r>
              <w:t xml:space="preserve">VBECS displays </w:t>
            </w:r>
            <w:r w:rsidR="00057948">
              <w:rPr>
                <w:noProof/>
              </w:rPr>
              <w:drawing>
                <wp:inline distT="0" distB="0" distL="0" distR="0" wp14:anchorId="41D0CC8E" wp14:editId="778A30AD">
                  <wp:extent cx="166370" cy="156845"/>
                  <wp:effectExtent l="0" t="0" r="5080" b="0"/>
                  <wp:docPr id="233" name="Picture 233" descr="Patient Alert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Picture 233" descr="Patient Alert icon"/>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66370" cy="156845"/>
                          </a:xfrm>
                          <a:prstGeom prst="rect">
                            <a:avLst/>
                          </a:prstGeom>
                          <a:noFill/>
                          <a:ln>
                            <a:noFill/>
                          </a:ln>
                        </pic:spPr>
                      </pic:pic>
                    </a:graphicData>
                  </a:graphic>
                </wp:inline>
              </w:drawing>
            </w:r>
            <w:r>
              <w:t xml:space="preserve"> at the first instance of a </w:t>
            </w:r>
            <w:r w:rsidR="00AA1115">
              <w:t xml:space="preserve">VistA patient update or </w:t>
            </w:r>
            <w:r>
              <w:t>merge. The icon remains on the screen</w:t>
            </w:r>
            <w:r w:rsidR="00B473F5">
              <w:t xml:space="preserve"> until the Traditional Supervisor</w:t>
            </w:r>
            <w:r w:rsidR="00A47004">
              <w:t xml:space="preserve"> </w:t>
            </w:r>
            <w:r w:rsidR="00B473F5">
              <w:t xml:space="preserve">clears the </w:t>
            </w:r>
            <w:r w:rsidR="00AA1115">
              <w:t xml:space="preserve">patient </w:t>
            </w:r>
            <w:r w:rsidR="00B473F5">
              <w:t>merge alert</w:t>
            </w:r>
            <w:r w:rsidR="00B473F5" w:rsidRPr="00B473F5">
              <w:rPr>
                <w:vanish/>
              </w:rPr>
              <w:t xml:space="preserve"> DR 2,2527</w:t>
            </w:r>
            <w:r>
              <w:t xml:space="preserve">. </w:t>
            </w:r>
          </w:p>
          <w:p w14:paraId="65157F0F" w14:textId="77777777" w:rsidR="007A00DE" w:rsidRDefault="007A00DE" w:rsidP="007A00DE">
            <w:pPr>
              <w:pStyle w:val="NotesText"/>
              <w:rPr>
                <w:rFonts w:cs="Arial"/>
              </w:rPr>
            </w:pPr>
          </w:p>
          <w:p w14:paraId="04B85FE2" w14:textId="77777777" w:rsidR="007A00DE" w:rsidRDefault="007A00DE" w:rsidP="007A00DE">
            <w:pPr>
              <w:pStyle w:val="NotesText"/>
            </w:pPr>
            <w:r>
              <w:rPr>
                <w:rFonts w:cs="Arial"/>
                <w:vanish/>
              </w:rPr>
              <w:t xml:space="preserve">BR_68.01 </w:t>
            </w:r>
            <w:r w:rsidR="00A86640">
              <w:t>The list of patient records is sorted in chronological order: the oldest received updated record appears at the top of the list.</w:t>
            </w:r>
          </w:p>
          <w:p w14:paraId="30431720" w14:textId="77777777" w:rsidR="007A00DE" w:rsidRDefault="007A00DE" w:rsidP="007A00DE">
            <w:pPr>
              <w:pStyle w:val="NotesText"/>
            </w:pPr>
          </w:p>
          <w:p w14:paraId="18DAFF0B" w14:textId="77777777" w:rsidR="007A00DE" w:rsidRDefault="007A00DE" w:rsidP="007A00DE">
            <w:pPr>
              <w:pStyle w:val="NotesText"/>
            </w:pPr>
            <w:r>
              <w:t>The user may update both patients’ VBECS files in accordance with local policy and procedure.</w:t>
            </w:r>
          </w:p>
        </w:tc>
      </w:tr>
      <w:tr w:rsidR="007A00DE" w14:paraId="183416ED" w14:textId="77777777">
        <w:tc>
          <w:tcPr>
            <w:tcW w:w="3240" w:type="dxa"/>
          </w:tcPr>
          <w:p w14:paraId="05AEE964" w14:textId="09298740" w:rsidR="007A00DE" w:rsidRDefault="007A00DE" w:rsidP="007A00DE">
            <w:pPr>
              <w:pStyle w:val="TableTextNumbers"/>
            </w:pPr>
            <w:r>
              <w:t xml:space="preserve">Select a </w:t>
            </w:r>
            <w:r w:rsidR="00061930">
              <w:t xml:space="preserve">VistA </w:t>
            </w:r>
            <w:r>
              <w:t>patient merge event from the list and review the data (</w:t>
            </w:r>
            <w:r w:rsidR="00EE455E">
              <w:t xml:space="preserve">Figure </w:t>
            </w:r>
            <w:r w:rsidR="00EE455E">
              <w:rPr>
                <w:noProof/>
              </w:rPr>
              <w:t>95</w:t>
            </w:r>
            <w:r>
              <w:t>).</w:t>
            </w:r>
          </w:p>
        </w:tc>
        <w:tc>
          <w:tcPr>
            <w:tcW w:w="6120" w:type="dxa"/>
          </w:tcPr>
          <w:p w14:paraId="223C4213" w14:textId="77777777" w:rsidR="007A00DE" w:rsidRDefault="007A00DE" w:rsidP="007A00DE">
            <w:pPr>
              <w:pStyle w:val="TableTextBullet"/>
            </w:pPr>
            <w:r>
              <w:t xml:space="preserve">Displays data about merged </w:t>
            </w:r>
            <w:r w:rsidR="00061930">
              <w:t xml:space="preserve">VistA </w:t>
            </w:r>
            <w:r>
              <w:t>patient records:</w:t>
            </w:r>
          </w:p>
          <w:p w14:paraId="7CBF94D6" w14:textId="77777777" w:rsidR="007A00DE" w:rsidRDefault="007A00DE" w:rsidP="007A00DE">
            <w:pPr>
              <w:pStyle w:val="TableTextBullet1"/>
            </w:pPr>
            <w:r>
              <w:t>Patient name</w:t>
            </w:r>
          </w:p>
          <w:p w14:paraId="5CBDCFF3" w14:textId="77777777" w:rsidR="007A00DE" w:rsidRDefault="007A00DE" w:rsidP="007A00DE">
            <w:pPr>
              <w:pStyle w:val="TableTextBullet1"/>
            </w:pPr>
            <w:r>
              <w:t>Patient ID</w:t>
            </w:r>
            <w:r w:rsidR="006337EA">
              <w:t>, if available</w:t>
            </w:r>
          </w:p>
          <w:p w14:paraId="78DF8101" w14:textId="77777777" w:rsidR="007A00DE" w:rsidRDefault="007A00DE" w:rsidP="007A00DE">
            <w:pPr>
              <w:pStyle w:val="TableTextBullet1"/>
            </w:pPr>
            <w:r>
              <w:t>Patient sex</w:t>
            </w:r>
            <w:r w:rsidR="006337EA">
              <w:t>, if available</w:t>
            </w:r>
          </w:p>
          <w:p w14:paraId="3164FA80" w14:textId="77777777" w:rsidR="007A00DE" w:rsidRDefault="007A00DE" w:rsidP="007A00DE">
            <w:pPr>
              <w:pStyle w:val="TableTextBullet1"/>
            </w:pPr>
            <w:r>
              <w:t xml:space="preserve">Date and time the merge message was received from </w:t>
            </w:r>
            <w:r w:rsidRPr="00CA6E27">
              <w:rPr>
                <w:bCs/>
              </w:rPr>
              <w:t>VistA</w:t>
            </w:r>
          </w:p>
          <w:p w14:paraId="09EAD326" w14:textId="77777777" w:rsidR="007A00DE" w:rsidRDefault="007A00DE" w:rsidP="007A00DE">
            <w:pPr>
              <w:pStyle w:val="TableTextBullet1"/>
            </w:pPr>
            <w:r>
              <w:t>Patient ABO/Rh</w:t>
            </w:r>
            <w:r w:rsidR="006337EA">
              <w:t>, if available</w:t>
            </w:r>
          </w:p>
          <w:p w14:paraId="10B319B2" w14:textId="77777777" w:rsidR="007A00DE" w:rsidRDefault="007A00DE" w:rsidP="007A00DE">
            <w:pPr>
              <w:pStyle w:val="TableTextBullet1"/>
            </w:pPr>
            <w:r>
              <w:t>Patient Transfusion Requirements (TRs) and Special Instructions (SIs)</w:t>
            </w:r>
            <w:r w:rsidR="006337EA">
              <w:t>, if available</w:t>
            </w:r>
          </w:p>
          <w:p w14:paraId="41ED80AE" w14:textId="77777777" w:rsidR="006337EA" w:rsidRDefault="007A00DE" w:rsidP="006337EA">
            <w:pPr>
              <w:pStyle w:val="TableTextBullet1"/>
            </w:pPr>
            <w:r>
              <w:t>Recent orders and recent transfusion records for the patient (available only by clicking Patient Information Toolbar icons)</w:t>
            </w:r>
            <w:r w:rsidR="006337EA">
              <w:t>, if available</w:t>
            </w:r>
          </w:p>
          <w:p w14:paraId="4F6E63D5" w14:textId="77777777" w:rsidR="006337EA" w:rsidRDefault="006337EA" w:rsidP="006337EA">
            <w:pPr>
              <w:pStyle w:val="TableText"/>
            </w:pPr>
          </w:p>
          <w:p w14:paraId="58F8CD4D" w14:textId="6CBDB9E9" w:rsidR="006337EA" w:rsidRPr="00825A62" w:rsidRDefault="006337EA" w:rsidP="006337EA">
            <w:pPr>
              <w:pStyle w:val="TableText"/>
              <w:rPr>
                <w:b/>
                <w:bCs/>
                <w:szCs w:val="18"/>
              </w:rPr>
            </w:pPr>
            <w:r w:rsidRPr="00825A62">
              <w:rPr>
                <w:b/>
                <w:bCs/>
                <w:szCs w:val="18"/>
              </w:rPr>
              <w:t>NOTES</w:t>
            </w:r>
          </w:p>
          <w:p w14:paraId="5BE8E487" w14:textId="77777777" w:rsidR="006337EA" w:rsidRDefault="006337EA" w:rsidP="006337EA">
            <w:pPr>
              <w:pStyle w:val="NotesText"/>
            </w:pPr>
          </w:p>
          <w:p w14:paraId="1093FBEB" w14:textId="77777777" w:rsidR="006337EA" w:rsidRDefault="006337EA" w:rsidP="008D6DF2">
            <w:pPr>
              <w:pStyle w:val="NotesText"/>
            </w:pPr>
            <w:r>
              <w:t>“</w:t>
            </w:r>
            <w:r w:rsidRPr="006337EA">
              <w:t>Patient has no VBECS records at the re</w:t>
            </w:r>
            <w:r>
              <w:t>ceipt of the merge message” d</w:t>
            </w:r>
            <w:r w:rsidRPr="006337EA">
              <w:t xml:space="preserve">isplays when </w:t>
            </w:r>
            <w:r>
              <w:t xml:space="preserve">the </w:t>
            </w:r>
            <w:r w:rsidRPr="006337EA">
              <w:t xml:space="preserve">merge-from </w:t>
            </w:r>
            <w:r w:rsidR="008D6DF2">
              <w:t>or merge-</w:t>
            </w:r>
            <w:r>
              <w:t xml:space="preserve">to </w:t>
            </w:r>
            <w:r w:rsidRPr="006337EA">
              <w:t xml:space="preserve">patient </w:t>
            </w:r>
            <w:r w:rsidR="008D6DF2">
              <w:t>is</w:t>
            </w:r>
            <w:r w:rsidRPr="006337EA">
              <w:t xml:space="preserve"> not found in VBECS</w:t>
            </w:r>
            <w:r w:rsidR="008D6DF2">
              <w:t>.</w:t>
            </w:r>
          </w:p>
        </w:tc>
      </w:tr>
      <w:tr w:rsidR="007A00DE" w14:paraId="7AF54783" w14:textId="77777777" w:rsidTr="003362FE">
        <w:trPr>
          <w:cantSplit/>
        </w:trPr>
        <w:tc>
          <w:tcPr>
            <w:tcW w:w="3240" w:type="dxa"/>
          </w:tcPr>
          <w:p w14:paraId="2160508D" w14:textId="77777777" w:rsidR="007A00DE" w:rsidRDefault="007A00DE" w:rsidP="007A00DE">
            <w:pPr>
              <w:pStyle w:val="TableTextNumbers"/>
              <w:numPr>
                <w:ilvl w:val="0"/>
                <w:numId w:val="0"/>
              </w:numPr>
            </w:pPr>
            <w:r>
              <w:lastRenderedPageBreak/>
              <w:t>Merge-to Patients</w:t>
            </w:r>
          </w:p>
          <w:p w14:paraId="06FEEB85" w14:textId="77777777" w:rsidR="007A00DE" w:rsidRDefault="007A00DE" w:rsidP="007A00DE">
            <w:pPr>
              <w:pStyle w:val="TableTextNumbers"/>
              <w:numPr>
                <w:ilvl w:val="0"/>
                <w:numId w:val="0"/>
              </w:numPr>
            </w:pPr>
          </w:p>
          <w:p w14:paraId="7C9E0CED" w14:textId="77777777" w:rsidR="007A00DE" w:rsidRDefault="007A00DE" w:rsidP="007A00DE">
            <w:pPr>
              <w:pStyle w:val="TableTextNumbers"/>
            </w:pPr>
            <w:r>
              <w:t>Update the merge-to patient record to include SIs and TRs from the merge-from patient record.</w:t>
            </w:r>
          </w:p>
          <w:p w14:paraId="5662E877" w14:textId="77777777" w:rsidR="007A00DE" w:rsidRDefault="007A00DE" w:rsidP="007A00DE">
            <w:pPr>
              <w:pStyle w:val="TableTextNumbersContinued"/>
            </w:pPr>
          </w:p>
          <w:p w14:paraId="2B7D0D8D" w14:textId="77777777" w:rsidR="007A00DE" w:rsidRDefault="007A00DE" w:rsidP="007A00DE">
            <w:pPr>
              <w:pStyle w:val="TableTextNumbersContinued"/>
            </w:pPr>
            <w:r>
              <w:t>Insert a comment in the Special Instruction field to note that a merge occurred.</w:t>
            </w:r>
          </w:p>
        </w:tc>
        <w:tc>
          <w:tcPr>
            <w:tcW w:w="6120" w:type="dxa"/>
          </w:tcPr>
          <w:p w14:paraId="777D9869" w14:textId="77777777" w:rsidR="007A00DE" w:rsidRPr="00935E73" w:rsidRDefault="007A00DE" w:rsidP="00825A62">
            <w:pPr>
              <w:pStyle w:val="TableText"/>
            </w:pPr>
          </w:p>
          <w:p w14:paraId="284CEB35" w14:textId="459218A7" w:rsidR="007A00DE" w:rsidRPr="00825A62" w:rsidRDefault="007A00DE" w:rsidP="00825A62">
            <w:pPr>
              <w:pStyle w:val="TableText"/>
              <w:rPr>
                <w:b/>
                <w:bCs/>
                <w:szCs w:val="18"/>
              </w:rPr>
            </w:pPr>
            <w:r w:rsidRPr="00825A62">
              <w:rPr>
                <w:b/>
                <w:bCs/>
                <w:szCs w:val="18"/>
              </w:rPr>
              <w:t>NOTES</w:t>
            </w:r>
          </w:p>
          <w:p w14:paraId="29E81BDC" w14:textId="77777777" w:rsidR="007A00DE" w:rsidRDefault="007A00DE" w:rsidP="00825A62">
            <w:pPr>
              <w:pStyle w:val="NotesText"/>
            </w:pPr>
          </w:p>
          <w:p w14:paraId="488184F6" w14:textId="77777777" w:rsidR="00BC7A6E" w:rsidRDefault="00DB201F" w:rsidP="00BC7A6E">
            <w:pPr>
              <w:pStyle w:val="TableTextBullet"/>
              <w:numPr>
                <w:ilvl w:val="0"/>
                <w:numId w:val="0"/>
              </w:numPr>
              <w:ind w:left="720"/>
            </w:pPr>
            <w:r>
              <w:t>A user c</w:t>
            </w:r>
            <w:r w:rsidR="00BC7A6E">
              <w:t>annot update SIs or TRs if the merge to patient does not have a VBECS record.</w:t>
            </w:r>
          </w:p>
          <w:p w14:paraId="2BD6BA7E" w14:textId="77777777" w:rsidR="00BC7A6E" w:rsidRDefault="00BC7A6E" w:rsidP="00825A62">
            <w:pPr>
              <w:pStyle w:val="NotesText"/>
            </w:pPr>
          </w:p>
          <w:p w14:paraId="67BD478B" w14:textId="77777777" w:rsidR="00825A62" w:rsidRDefault="00825A62" w:rsidP="00825A62">
            <w:pPr>
              <w:pStyle w:val="NotesText"/>
            </w:pPr>
            <w:r>
              <w:t>Local policy must define how to handle records when the merge to patient does not exist in VBECS.</w:t>
            </w:r>
          </w:p>
          <w:p w14:paraId="636E7C2E" w14:textId="77777777" w:rsidR="00825A62" w:rsidRDefault="00825A62" w:rsidP="00825A62">
            <w:pPr>
              <w:pStyle w:val="NotesText"/>
            </w:pPr>
          </w:p>
          <w:p w14:paraId="209EE500" w14:textId="77777777" w:rsidR="007A00DE" w:rsidRDefault="007A00DE" w:rsidP="00825A62">
            <w:pPr>
              <w:pStyle w:val="NotesText"/>
            </w:pPr>
            <w:r>
              <w:t>The merge-to patient record is the active record in VBECS.</w:t>
            </w:r>
          </w:p>
          <w:p w14:paraId="0AC4073F" w14:textId="77777777" w:rsidR="007A00DE" w:rsidRDefault="007A00DE" w:rsidP="00825A62">
            <w:pPr>
              <w:pStyle w:val="NotesText"/>
            </w:pPr>
          </w:p>
          <w:p w14:paraId="1D56B1FD" w14:textId="77777777" w:rsidR="007A00DE" w:rsidRDefault="007A00DE" w:rsidP="00825A62">
            <w:pPr>
              <w:pStyle w:val="NotesText"/>
            </w:pPr>
            <w:r>
              <w:t xml:space="preserve">Use Special Instructions &amp; Transfusion Requirements: Enter a Transfusion Requirement, and Special Instructions &amp; Transfusion Requirements: Enter and Remove Special Instructions to enter, update, or delete relevant component requirements, antibodies, or antigen requirements. </w:t>
            </w:r>
          </w:p>
          <w:p w14:paraId="21F6EFEF" w14:textId="77777777" w:rsidR="007A00DE" w:rsidRDefault="007A00DE" w:rsidP="00825A62">
            <w:pPr>
              <w:pStyle w:val="NotesText"/>
            </w:pPr>
          </w:p>
          <w:p w14:paraId="195F6012" w14:textId="77777777" w:rsidR="007A00DE" w:rsidRDefault="007A00DE" w:rsidP="00825A62">
            <w:pPr>
              <w:pStyle w:val="NotesText"/>
            </w:pPr>
            <w:r>
              <w:t>Enter an SI comment in the merge-to patient record, for example, “This patient record was merged with &lt;</w:t>
            </w:r>
            <w:r w:rsidRPr="00825A62">
              <w:rPr>
                <w:i/>
              </w:rPr>
              <w:t>insert merge-from patient name</w:t>
            </w:r>
            <w:r w:rsidRPr="000F2898">
              <w:t>&gt;</w:t>
            </w:r>
            <w:r>
              <w:t xml:space="preserve"> in VistA and is used to process orders after &lt;</w:t>
            </w:r>
            <w:r w:rsidRPr="00825A62">
              <w:rPr>
                <w:i/>
              </w:rPr>
              <w:t>insert merge date and time</w:t>
            </w:r>
            <w:r w:rsidRPr="000F2898">
              <w:t>&gt;</w:t>
            </w:r>
            <w:r>
              <w:t>. Refer to the records of &lt;</w:t>
            </w:r>
            <w:r w:rsidRPr="00825A62">
              <w:rPr>
                <w:i/>
              </w:rPr>
              <w:t>insert merge-from patient name</w:t>
            </w:r>
            <w:r w:rsidRPr="000F2898">
              <w:t>&gt;</w:t>
            </w:r>
            <w:r>
              <w:t xml:space="preserve"> for testing and transfusion information prior to the merge event.”</w:t>
            </w:r>
          </w:p>
        </w:tc>
      </w:tr>
      <w:tr w:rsidR="007A00DE" w14:paraId="249F9DA4" w14:textId="77777777">
        <w:tc>
          <w:tcPr>
            <w:tcW w:w="3240" w:type="dxa"/>
          </w:tcPr>
          <w:p w14:paraId="2EC5568A" w14:textId="77777777" w:rsidR="007A00DE" w:rsidRDefault="007A00DE" w:rsidP="007A00DE">
            <w:pPr>
              <w:pStyle w:val="TableTextNumbers"/>
            </w:pPr>
            <w:r>
              <w:t xml:space="preserve">Resolve ABO/Rh discrepancies among patients. </w:t>
            </w:r>
          </w:p>
          <w:p w14:paraId="6395BFFA" w14:textId="77777777" w:rsidR="007A00DE" w:rsidRDefault="007A00DE" w:rsidP="007A00DE">
            <w:pPr>
              <w:pStyle w:val="TableTextNumbersContinued"/>
            </w:pPr>
          </w:p>
          <w:p w14:paraId="02F2BD7B" w14:textId="77777777" w:rsidR="007A00DE" w:rsidRDefault="007A00DE" w:rsidP="007A00DE">
            <w:pPr>
              <w:pStyle w:val="TableTextNumbersContinued"/>
            </w:pPr>
            <w:r>
              <w:t>Determine which blood type is correct for use</w:t>
            </w:r>
            <w:r>
              <w:rPr>
                <w:rStyle w:val="CommentReference"/>
              </w:rPr>
              <w:t>.</w:t>
            </w:r>
          </w:p>
        </w:tc>
        <w:tc>
          <w:tcPr>
            <w:tcW w:w="6120" w:type="dxa"/>
          </w:tcPr>
          <w:p w14:paraId="355BBB20" w14:textId="77777777" w:rsidR="007A00DE" w:rsidRPr="00935E73" w:rsidRDefault="007A00DE" w:rsidP="007A00DE">
            <w:pPr>
              <w:pStyle w:val="TableText"/>
            </w:pPr>
          </w:p>
          <w:p w14:paraId="1B26913F" w14:textId="10C8A5FF" w:rsidR="007A00DE" w:rsidRDefault="007A00DE" w:rsidP="007A00DE">
            <w:pPr>
              <w:pStyle w:val="TableText"/>
              <w:rPr>
                <w:b/>
                <w:bCs/>
                <w:szCs w:val="18"/>
              </w:rPr>
            </w:pPr>
            <w:r>
              <w:rPr>
                <w:b/>
                <w:bCs/>
                <w:szCs w:val="18"/>
              </w:rPr>
              <w:t>NOTES</w:t>
            </w:r>
          </w:p>
          <w:p w14:paraId="319EE778" w14:textId="77777777" w:rsidR="007A00DE" w:rsidRDefault="007A00DE" w:rsidP="007A00DE">
            <w:pPr>
              <w:pStyle w:val="NotesText"/>
            </w:pPr>
          </w:p>
          <w:p w14:paraId="3822A84F" w14:textId="77777777" w:rsidR="007A00DE" w:rsidRDefault="007A00DE" w:rsidP="007A00DE">
            <w:pPr>
              <w:pStyle w:val="NotesText"/>
            </w:pPr>
            <w:r>
              <w:t>Use Justify ABO/Rh Change to finalize blood type changes for the merge-to patient.</w:t>
            </w:r>
          </w:p>
        </w:tc>
      </w:tr>
      <w:tr w:rsidR="007A00DE" w14:paraId="47312D81" w14:textId="77777777">
        <w:tc>
          <w:tcPr>
            <w:tcW w:w="3240" w:type="dxa"/>
          </w:tcPr>
          <w:p w14:paraId="1A6F663C" w14:textId="77777777" w:rsidR="007A00DE" w:rsidRDefault="007A00DE" w:rsidP="007A00DE">
            <w:pPr>
              <w:pStyle w:val="TableTextNumbers"/>
            </w:pPr>
            <w:r>
              <w:t>Complete pending orders for the merge-to patient.</w:t>
            </w:r>
          </w:p>
        </w:tc>
        <w:tc>
          <w:tcPr>
            <w:tcW w:w="6120" w:type="dxa"/>
          </w:tcPr>
          <w:p w14:paraId="3EB1D47A" w14:textId="77777777" w:rsidR="007A00DE" w:rsidRDefault="007A00DE" w:rsidP="007A00DE">
            <w:pPr>
              <w:pStyle w:val="TableText"/>
            </w:pPr>
          </w:p>
        </w:tc>
      </w:tr>
      <w:tr w:rsidR="007A00DE" w14:paraId="2550339B" w14:textId="77777777">
        <w:tc>
          <w:tcPr>
            <w:tcW w:w="3240" w:type="dxa"/>
          </w:tcPr>
          <w:p w14:paraId="44AB77E4" w14:textId="77777777" w:rsidR="007A00DE" w:rsidRDefault="007A00DE" w:rsidP="007A00DE">
            <w:pPr>
              <w:pStyle w:val="TableTextNumbers"/>
              <w:numPr>
                <w:ilvl w:val="0"/>
                <w:numId w:val="0"/>
              </w:numPr>
            </w:pPr>
            <w:r>
              <w:t>Merge-from Patients</w:t>
            </w:r>
          </w:p>
          <w:p w14:paraId="0123515B" w14:textId="77777777" w:rsidR="007A00DE" w:rsidRDefault="007A00DE" w:rsidP="007A00DE">
            <w:pPr>
              <w:pStyle w:val="TableTextNumbers"/>
              <w:numPr>
                <w:ilvl w:val="0"/>
                <w:numId w:val="0"/>
              </w:numPr>
            </w:pPr>
          </w:p>
          <w:p w14:paraId="42F4B646" w14:textId="77777777" w:rsidR="007A00DE" w:rsidRDefault="007A00DE" w:rsidP="007A00DE">
            <w:pPr>
              <w:pStyle w:val="TableTextNumbers"/>
            </w:pPr>
            <w:r>
              <w:t>Update the merge-from patient record to include SIs and TRs from the merge-to patient record</w:t>
            </w:r>
          </w:p>
          <w:p w14:paraId="41016755" w14:textId="77777777" w:rsidR="007A00DE" w:rsidRDefault="007A00DE" w:rsidP="007A00DE">
            <w:pPr>
              <w:pStyle w:val="TableTextNumbersContinued"/>
            </w:pPr>
          </w:p>
          <w:p w14:paraId="6DE60D41" w14:textId="77777777" w:rsidR="007A00DE" w:rsidRDefault="007A00DE" w:rsidP="007A00DE">
            <w:pPr>
              <w:pStyle w:val="TableTextNumbersContinued"/>
            </w:pPr>
            <w:r>
              <w:t>Insert a comment in the Special Instruction field to note that a merge occurred.</w:t>
            </w:r>
          </w:p>
        </w:tc>
        <w:tc>
          <w:tcPr>
            <w:tcW w:w="6120" w:type="dxa"/>
          </w:tcPr>
          <w:p w14:paraId="2D976D9A" w14:textId="77777777" w:rsidR="007A00DE" w:rsidRPr="00935E73" w:rsidRDefault="007A00DE" w:rsidP="007A00DE">
            <w:pPr>
              <w:pStyle w:val="TableText"/>
            </w:pPr>
          </w:p>
          <w:p w14:paraId="25547182" w14:textId="7C94ED9E" w:rsidR="007A00DE" w:rsidRDefault="007A00DE" w:rsidP="007A00DE">
            <w:pPr>
              <w:pStyle w:val="TableText"/>
              <w:rPr>
                <w:b/>
                <w:bCs/>
                <w:szCs w:val="18"/>
              </w:rPr>
            </w:pPr>
            <w:r>
              <w:rPr>
                <w:b/>
                <w:bCs/>
                <w:szCs w:val="18"/>
              </w:rPr>
              <w:t>NOTES</w:t>
            </w:r>
          </w:p>
          <w:p w14:paraId="3393436C" w14:textId="77777777" w:rsidR="00BC7A6E" w:rsidRDefault="00BC7A6E" w:rsidP="00BC7A6E">
            <w:pPr>
              <w:pStyle w:val="TableTextBullet"/>
              <w:numPr>
                <w:ilvl w:val="0"/>
                <w:numId w:val="0"/>
              </w:numPr>
              <w:ind w:left="720"/>
            </w:pPr>
          </w:p>
          <w:p w14:paraId="338E4CBE" w14:textId="77777777" w:rsidR="00BC7A6E" w:rsidRDefault="00BC7A6E" w:rsidP="00BC7A6E">
            <w:pPr>
              <w:pStyle w:val="TableTextBullet"/>
              <w:numPr>
                <w:ilvl w:val="0"/>
                <w:numId w:val="0"/>
              </w:numPr>
              <w:ind w:left="720"/>
            </w:pPr>
            <w:r>
              <w:t>A user cannot update SIs or TRs if the merge from patient does not have a VBECS record.</w:t>
            </w:r>
          </w:p>
          <w:p w14:paraId="7522EBF0" w14:textId="77777777" w:rsidR="007A00DE" w:rsidRDefault="007A00DE" w:rsidP="007A00DE">
            <w:pPr>
              <w:pStyle w:val="NotesText"/>
            </w:pPr>
          </w:p>
          <w:p w14:paraId="57C24B00" w14:textId="77777777" w:rsidR="00BC7526" w:rsidRDefault="00BC7526" w:rsidP="00BC7526">
            <w:pPr>
              <w:pStyle w:val="NotesText"/>
            </w:pPr>
            <w:r>
              <w:t>Local policy must define how to handle records when the merge from patient does not exist in VBECS.</w:t>
            </w:r>
          </w:p>
          <w:p w14:paraId="53C41FBB" w14:textId="77777777" w:rsidR="00BC7526" w:rsidRDefault="00BC7526" w:rsidP="00BC7526">
            <w:pPr>
              <w:pStyle w:val="NotesText"/>
            </w:pPr>
          </w:p>
          <w:p w14:paraId="260235E2" w14:textId="77777777" w:rsidR="007A00DE" w:rsidRDefault="007A00DE" w:rsidP="007A00DE">
            <w:pPr>
              <w:pStyle w:val="NotesText"/>
            </w:pPr>
            <w:r>
              <w:t>The merge-from patient record is the inactive record in VBECS</w:t>
            </w:r>
            <w:r w:rsidR="00B75ABB">
              <w:t>.</w:t>
            </w:r>
          </w:p>
          <w:p w14:paraId="3DD9D6A0" w14:textId="77777777" w:rsidR="007A00DE" w:rsidRDefault="007A00DE" w:rsidP="007A00DE">
            <w:pPr>
              <w:pStyle w:val="NotesText"/>
            </w:pPr>
          </w:p>
          <w:p w14:paraId="690B8274" w14:textId="77777777" w:rsidR="007A00DE" w:rsidRDefault="007A00DE" w:rsidP="007A00DE">
            <w:pPr>
              <w:pStyle w:val="NotesText"/>
            </w:pPr>
            <w:r>
              <w:t xml:space="preserve">Use Special Instructions &amp; Transfusion Requirements: Enter a Transfusion Requirement, and Special Instructions &amp; Transfusion Requirements: Enter and Remove Special Instructions to enter, update, or delete relevant component requirements, antibodies, or antigen requirements. </w:t>
            </w:r>
          </w:p>
          <w:p w14:paraId="79987D2B" w14:textId="77777777" w:rsidR="007A00DE" w:rsidRDefault="007A00DE" w:rsidP="007A00DE">
            <w:pPr>
              <w:pStyle w:val="NotesText"/>
            </w:pPr>
          </w:p>
          <w:p w14:paraId="6A06E370" w14:textId="77777777" w:rsidR="007A00DE" w:rsidRDefault="007A00DE" w:rsidP="007A00DE">
            <w:pPr>
              <w:pStyle w:val="NotesText"/>
            </w:pPr>
            <w:r>
              <w:t>Enter an SI comment in the merge-from patient record, for example, “This patient record was merged with &lt;</w:t>
            </w:r>
            <w:r w:rsidRPr="000F2898">
              <w:rPr>
                <w:i/>
              </w:rPr>
              <w:t>insert merge-</w:t>
            </w:r>
            <w:r>
              <w:rPr>
                <w:i/>
              </w:rPr>
              <w:t>to</w:t>
            </w:r>
            <w:r w:rsidRPr="000F2898">
              <w:rPr>
                <w:i/>
              </w:rPr>
              <w:t xml:space="preserve"> patient name</w:t>
            </w:r>
            <w:r w:rsidRPr="000F2898">
              <w:t>&gt;</w:t>
            </w:r>
            <w:r>
              <w:t xml:space="preserve"> in VistA and must not be used to process orders after &lt;</w:t>
            </w:r>
            <w:r w:rsidRPr="000F2898">
              <w:rPr>
                <w:i/>
              </w:rPr>
              <w:t>insert merge date</w:t>
            </w:r>
            <w:r>
              <w:rPr>
                <w:i/>
              </w:rPr>
              <w:t xml:space="preserve"> and </w:t>
            </w:r>
            <w:r w:rsidRPr="000F2898">
              <w:rPr>
                <w:i/>
              </w:rPr>
              <w:t>time</w:t>
            </w:r>
            <w:r w:rsidRPr="000F2898">
              <w:t>&gt;</w:t>
            </w:r>
            <w:r>
              <w:t>. Refer to the records of &lt;</w:t>
            </w:r>
            <w:r w:rsidRPr="000F2898">
              <w:rPr>
                <w:i/>
              </w:rPr>
              <w:t>insert merge-</w:t>
            </w:r>
            <w:r>
              <w:rPr>
                <w:i/>
              </w:rPr>
              <w:t>to</w:t>
            </w:r>
            <w:r w:rsidRPr="000F2898">
              <w:rPr>
                <w:i/>
              </w:rPr>
              <w:t xml:space="preserve"> patient name</w:t>
            </w:r>
            <w:r w:rsidRPr="000F2898">
              <w:t>&gt;</w:t>
            </w:r>
            <w:r>
              <w:t xml:space="preserve"> for testing and transfusion information after the merge event.”</w:t>
            </w:r>
          </w:p>
        </w:tc>
      </w:tr>
      <w:tr w:rsidR="00BC7526" w14:paraId="0CBE4C21" w14:textId="77777777" w:rsidTr="003362FE">
        <w:trPr>
          <w:cantSplit/>
        </w:trPr>
        <w:tc>
          <w:tcPr>
            <w:tcW w:w="3240" w:type="dxa"/>
          </w:tcPr>
          <w:p w14:paraId="10D874B6" w14:textId="77777777" w:rsidR="00BC7526" w:rsidRDefault="00BC7526" w:rsidP="007A00DE">
            <w:pPr>
              <w:pStyle w:val="TableTextNumbers"/>
            </w:pPr>
            <w:r>
              <w:lastRenderedPageBreak/>
              <w:t>Cancel pending orders on the merge-from patient. Request replacement orders for the merge-to patient, as appropriate.</w:t>
            </w:r>
          </w:p>
        </w:tc>
        <w:tc>
          <w:tcPr>
            <w:tcW w:w="6120" w:type="dxa"/>
          </w:tcPr>
          <w:p w14:paraId="5B0234D2" w14:textId="77777777" w:rsidR="00BC7526" w:rsidRPr="00935E73" w:rsidRDefault="00BC7526" w:rsidP="000305DD">
            <w:pPr>
              <w:pStyle w:val="TableText"/>
            </w:pPr>
          </w:p>
          <w:p w14:paraId="7EB139CC" w14:textId="786CB943" w:rsidR="00BC7526" w:rsidRDefault="00BC7526" w:rsidP="000305DD">
            <w:pPr>
              <w:pStyle w:val="TableText"/>
              <w:rPr>
                <w:b/>
                <w:bCs/>
                <w:szCs w:val="18"/>
              </w:rPr>
            </w:pPr>
            <w:r>
              <w:rPr>
                <w:b/>
                <w:bCs/>
                <w:szCs w:val="18"/>
              </w:rPr>
              <w:t>NOTES</w:t>
            </w:r>
          </w:p>
          <w:p w14:paraId="70033B52" w14:textId="77777777" w:rsidR="00BC7526" w:rsidRDefault="00BC7526" w:rsidP="000305DD">
            <w:pPr>
              <w:pStyle w:val="NotesText"/>
            </w:pPr>
          </w:p>
          <w:p w14:paraId="4707AE80" w14:textId="77777777" w:rsidR="00BC7526" w:rsidRDefault="00BC7526" w:rsidP="00BC7526">
            <w:pPr>
              <w:pStyle w:val="NotesText"/>
            </w:pPr>
            <w:r>
              <w:t>Local policy must define how to handle orders when the merge from patient or merge to patient does not exist in VBECS.</w:t>
            </w:r>
          </w:p>
        </w:tc>
      </w:tr>
      <w:tr w:rsidR="00BC7526" w14:paraId="2E773B71" w14:textId="77777777">
        <w:tc>
          <w:tcPr>
            <w:tcW w:w="3240" w:type="dxa"/>
          </w:tcPr>
          <w:p w14:paraId="7B7B497A" w14:textId="77777777" w:rsidR="00BC7526" w:rsidRDefault="00BC7526" w:rsidP="007A00DE">
            <w:pPr>
              <w:pStyle w:val="TableTextNumbers"/>
            </w:pPr>
            <w:r>
              <w:t xml:space="preserve">To confirm that the merge-from and merge-to patient SIs and TRs match on the </w:t>
            </w:r>
            <w:r w:rsidRPr="00732440">
              <w:t>Patient Merge</w:t>
            </w:r>
            <w:r>
              <w:t xml:space="preserve"> display.</w:t>
            </w:r>
          </w:p>
        </w:tc>
        <w:tc>
          <w:tcPr>
            <w:tcW w:w="6120" w:type="dxa"/>
          </w:tcPr>
          <w:p w14:paraId="43BED611" w14:textId="77777777" w:rsidR="00BC7526" w:rsidRPr="00935E73" w:rsidRDefault="00BC7526" w:rsidP="000305DD">
            <w:pPr>
              <w:pStyle w:val="TableText"/>
            </w:pPr>
          </w:p>
          <w:p w14:paraId="0B2710B0" w14:textId="7E0C2AB5" w:rsidR="00BC7526" w:rsidRDefault="00BC7526" w:rsidP="000305DD">
            <w:pPr>
              <w:pStyle w:val="TableText"/>
              <w:rPr>
                <w:b/>
                <w:bCs/>
                <w:szCs w:val="18"/>
              </w:rPr>
            </w:pPr>
            <w:r>
              <w:rPr>
                <w:b/>
                <w:bCs/>
                <w:szCs w:val="18"/>
              </w:rPr>
              <w:t>NOTES</w:t>
            </w:r>
          </w:p>
          <w:p w14:paraId="74B7E07D" w14:textId="77777777" w:rsidR="00BC7526" w:rsidRDefault="00BC7526" w:rsidP="000305DD">
            <w:pPr>
              <w:pStyle w:val="NotesText"/>
            </w:pPr>
          </w:p>
          <w:p w14:paraId="4D2C1039" w14:textId="77777777" w:rsidR="00BC7526" w:rsidRDefault="00BC7526" w:rsidP="00BC7526">
            <w:pPr>
              <w:pStyle w:val="NotesText"/>
            </w:pPr>
            <w:r>
              <w:t>Local policy must define how to handle records when the merge from patient or merge to patient does not exist in VBECS.</w:t>
            </w:r>
          </w:p>
        </w:tc>
      </w:tr>
      <w:tr w:rsidR="00B473F5" w14:paraId="38B3D613" w14:textId="77777777" w:rsidTr="003362FE">
        <w:trPr>
          <w:cantSplit/>
          <w:hidden/>
        </w:trPr>
        <w:tc>
          <w:tcPr>
            <w:tcW w:w="3240" w:type="dxa"/>
          </w:tcPr>
          <w:p w14:paraId="2F3024A2" w14:textId="77777777" w:rsidR="00B473F5" w:rsidRDefault="00203F78" w:rsidP="000C6CEA">
            <w:pPr>
              <w:pStyle w:val="TableTextNumbers"/>
            </w:pPr>
            <w:r w:rsidRPr="00203F78">
              <w:rPr>
                <w:vanish/>
              </w:rPr>
              <w:t xml:space="preserve">DR 2,527 </w:t>
            </w:r>
            <w:r>
              <w:t xml:space="preserve">Click </w:t>
            </w:r>
            <w:r w:rsidRPr="00203F78">
              <w:rPr>
                <w:b/>
              </w:rPr>
              <w:t>Clear Patient Merge Alert</w:t>
            </w:r>
            <w:r w:rsidRPr="00203F78">
              <w:t>.</w:t>
            </w:r>
          </w:p>
        </w:tc>
        <w:tc>
          <w:tcPr>
            <w:tcW w:w="6120" w:type="dxa"/>
          </w:tcPr>
          <w:p w14:paraId="64FA38BC" w14:textId="77777777" w:rsidR="00B473F5" w:rsidRDefault="00BC4B7B" w:rsidP="00203F78">
            <w:pPr>
              <w:pStyle w:val="TableTextBullet"/>
            </w:pPr>
            <w:r>
              <w:t>When there are no pending patient updates, c</w:t>
            </w:r>
            <w:r w:rsidR="00203F78">
              <w:t>lears</w:t>
            </w:r>
            <w:r w:rsidR="00AB565A">
              <w:t xml:space="preserve"> </w:t>
            </w:r>
            <w:r w:rsidR="00057948">
              <w:rPr>
                <w:noProof/>
              </w:rPr>
              <w:drawing>
                <wp:inline distT="0" distB="0" distL="0" distR="0" wp14:anchorId="423C076D" wp14:editId="70398E80">
                  <wp:extent cx="166370" cy="156845"/>
                  <wp:effectExtent l="0" t="0" r="5080" b="0"/>
                  <wp:docPr id="234" name="Picture 234" descr="Patient Alert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Picture 234" descr="Patient Alert icon"/>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66370" cy="156845"/>
                          </a:xfrm>
                          <a:prstGeom prst="rect">
                            <a:avLst/>
                          </a:prstGeom>
                          <a:noFill/>
                          <a:ln>
                            <a:noFill/>
                          </a:ln>
                        </pic:spPr>
                      </pic:pic>
                    </a:graphicData>
                  </a:graphic>
                </wp:inline>
              </w:drawing>
            </w:r>
            <w:r>
              <w:t xml:space="preserve"> (</w:t>
            </w:r>
            <w:r w:rsidR="00203F78">
              <w:t xml:space="preserve">the </w:t>
            </w:r>
            <w:r>
              <w:t>Patient</w:t>
            </w:r>
            <w:r w:rsidR="00203F78">
              <w:t xml:space="preserve"> Alert icon</w:t>
            </w:r>
            <w:r>
              <w:t>) from the main status bar.</w:t>
            </w:r>
          </w:p>
          <w:p w14:paraId="6E5F74FD" w14:textId="77777777" w:rsidR="005E0771" w:rsidRDefault="005E0771" w:rsidP="00203F78">
            <w:pPr>
              <w:pStyle w:val="TableTextBullet"/>
            </w:pPr>
            <w:r>
              <w:t xml:space="preserve">Displays </w:t>
            </w:r>
            <w:r w:rsidR="00342230">
              <w:t xml:space="preserve">an information message stating that the user viewed the record. </w:t>
            </w:r>
          </w:p>
          <w:p w14:paraId="5F17EEF1" w14:textId="77777777" w:rsidR="000B0170" w:rsidRPr="00935E73" w:rsidRDefault="000B0170" w:rsidP="000B0170">
            <w:pPr>
              <w:pStyle w:val="TableText"/>
            </w:pPr>
          </w:p>
          <w:p w14:paraId="34367615" w14:textId="33CF6D32" w:rsidR="000B0170" w:rsidRDefault="000B0170" w:rsidP="000B0170">
            <w:pPr>
              <w:pStyle w:val="TableText"/>
              <w:rPr>
                <w:b/>
                <w:bCs/>
                <w:szCs w:val="18"/>
              </w:rPr>
            </w:pPr>
            <w:r>
              <w:rPr>
                <w:b/>
                <w:bCs/>
                <w:szCs w:val="18"/>
              </w:rPr>
              <w:t>NOTES</w:t>
            </w:r>
          </w:p>
          <w:p w14:paraId="285CD800" w14:textId="77777777" w:rsidR="000B0170" w:rsidRDefault="000B0170" w:rsidP="000B0170">
            <w:pPr>
              <w:pStyle w:val="NotesText"/>
            </w:pPr>
          </w:p>
          <w:p w14:paraId="0CD73FB6" w14:textId="77777777" w:rsidR="000B0170" w:rsidRDefault="000B0170" w:rsidP="000B0170">
            <w:pPr>
              <w:pStyle w:val="NotesText"/>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w:t>
            </w:r>
            <w:r w:rsidR="00BD3287">
              <w:t>The Clear Patient Merge Alert function is available only to t</w:t>
            </w:r>
            <w:r>
              <w:t xml:space="preserve">he Traditional Supervisor </w:t>
            </w:r>
            <w:r w:rsidR="00BD3287">
              <w:t>and above</w:t>
            </w:r>
            <w:r w:rsidR="00D57F25">
              <w:t>.</w:t>
            </w:r>
          </w:p>
        </w:tc>
      </w:tr>
      <w:tr w:rsidR="00342230" w14:paraId="486008EE" w14:textId="77777777">
        <w:tc>
          <w:tcPr>
            <w:tcW w:w="3240" w:type="dxa"/>
          </w:tcPr>
          <w:p w14:paraId="66287024" w14:textId="77777777" w:rsidR="00342230" w:rsidRPr="00203F78" w:rsidRDefault="00342230" w:rsidP="000C6CEA">
            <w:pPr>
              <w:pStyle w:val="TableTextNumbers"/>
              <w:rPr>
                <w:vanish/>
              </w:rPr>
            </w:pPr>
            <w:r>
              <w:t xml:space="preserve">Click </w:t>
            </w:r>
            <w:r w:rsidRPr="00342230">
              <w:rPr>
                <w:b/>
              </w:rPr>
              <w:t>OK</w:t>
            </w:r>
            <w:r>
              <w:t xml:space="preserve"> to acknowledge the message.</w:t>
            </w:r>
          </w:p>
        </w:tc>
        <w:tc>
          <w:tcPr>
            <w:tcW w:w="6120" w:type="dxa"/>
          </w:tcPr>
          <w:p w14:paraId="3862FBBB" w14:textId="77777777" w:rsidR="00342230" w:rsidRDefault="00342230" w:rsidP="00203F78">
            <w:pPr>
              <w:pStyle w:val="TableTextBullet"/>
            </w:pPr>
            <w:r>
              <w:t>Clears the icon</w:t>
            </w:r>
            <w:r w:rsidR="00A1063F">
              <w:t xml:space="preserve"> when the user acknowledges the</w:t>
            </w:r>
            <w:r>
              <w:t xml:space="preserve"> message.</w:t>
            </w:r>
          </w:p>
        </w:tc>
      </w:tr>
      <w:tr w:rsidR="007A00DE" w14:paraId="3F89C5A7" w14:textId="77777777">
        <w:tc>
          <w:tcPr>
            <w:tcW w:w="3240" w:type="dxa"/>
          </w:tcPr>
          <w:p w14:paraId="27435DB1" w14:textId="77777777" w:rsidR="007A00DE" w:rsidRDefault="007A00DE" w:rsidP="007A00DE">
            <w:pPr>
              <w:pStyle w:val="TableTextNumbers"/>
            </w:pPr>
            <w:r>
              <w:t xml:space="preserve">Click </w:t>
            </w:r>
            <w:r w:rsidR="00D76C47">
              <w:rPr>
                <w:b/>
              </w:rPr>
              <w:t>Close</w:t>
            </w:r>
            <w:r w:rsidR="00D76C47">
              <w:t xml:space="preserve"> </w:t>
            </w:r>
            <w:r>
              <w:t xml:space="preserve">to exit, or return to Step 2. </w:t>
            </w:r>
            <w:r>
              <w:rPr>
                <w:vanish/>
                <w:color w:val="FFFFFF"/>
                <w:szCs w:val="18"/>
              </w:rPr>
              <w:fldChar w:fldCharType="begin"/>
            </w:r>
            <w:r>
              <w:rPr>
                <w:vanish/>
                <w:color w:val="FFFFFF"/>
                <w:szCs w:val="18"/>
              </w:rPr>
              <w:instrText xml:space="preserve"> LISTNUM \l 1 \s 0 </w:instrText>
            </w:r>
            <w:r>
              <w:rPr>
                <w:vanish/>
                <w:color w:val="FFFFFF"/>
                <w:szCs w:val="18"/>
              </w:rPr>
              <w:fldChar w:fldCharType="end">
                <w:numberingChange w:id="524" w:author="MUSZYNSKI, THOMAS D. (SIERRA 7 INC)" w:date="2024-11-26T07:15:00Z" w:original="0."/>
              </w:fldChar>
            </w:r>
          </w:p>
        </w:tc>
        <w:tc>
          <w:tcPr>
            <w:tcW w:w="6120" w:type="dxa"/>
          </w:tcPr>
          <w:p w14:paraId="5E6E10DD" w14:textId="77777777" w:rsidR="007A00DE" w:rsidRDefault="007A00DE" w:rsidP="007A00DE">
            <w:pPr>
              <w:pStyle w:val="TableText"/>
            </w:pPr>
          </w:p>
        </w:tc>
      </w:tr>
    </w:tbl>
    <w:p w14:paraId="23706991" w14:textId="3ED42C6A" w:rsidR="00C74683" w:rsidRDefault="00C74683" w:rsidP="00C74683">
      <w:pPr>
        <w:pStyle w:val="Caption"/>
      </w:pPr>
      <w:bookmarkStart w:id="525" w:name="_Ref136786613"/>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7D1829">
        <w:rPr>
          <w:noProof/>
        </w:rPr>
        <w:t>96</w:t>
      </w:r>
      <w:r w:rsidR="004E20BD">
        <w:rPr>
          <w:noProof/>
        </w:rPr>
        <w:fldChar w:fldCharType="end"/>
      </w:r>
      <w:bookmarkEnd w:id="523"/>
      <w:bookmarkEnd w:id="525"/>
      <w:r>
        <w:t>: Patient Merge</w:t>
      </w:r>
    </w:p>
    <w:p w14:paraId="2A8EA79C" w14:textId="77777777" w:rsidR="00C74683" w:rsidRDefault="00057948" w:rsidP="00C74683">
      <w:pPr>
        <w:pStyle w:val="BodyText"/>
      </w:pPr>
      <w:r>
        <w:rPr>
          <w:noProof/>
        </w:rPr>
        <w:drawing>
          <wp:inline distT="0" distB="0" distL="0" distR="0" wp14:anchorId="13E13685" wp14:editId="1A794835">
            <wp:extent cx="5781675" cy="3482340"/>
            <wp:effectExtent l="0" t="0" r="9525" b="3810"/>
            <wp:docPr id="235" name="Picture 235" descr="Example of Patient Merge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Picture 235" descr="Example of Patient Merge screen capture"/>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5781675" cy="3482340"/>
                    </a:xfrm>
                    <a:prstGeom prst="rect">
                      <a:avLst/>
                    </a:prstGeom>
                    <a:noFill/>
                    <a:ln>
                      <a:noFill/>
                    </a:ln>
                  </pic:spPr>
                </pic:pic>
              </a:graphicData>
            </a:graphic>
          </wp:inline>
        </w:drawing>
      </w:r>
    </w:p>
    <w:p w14:paraId="3DC0CD89" w14:textId="77777777" w:rsidR="002A21AE" w:rsidRDefault="00AC2D9E">
      <w:pPr>
        <w:pStyle w:val="Heading3"/>
      </w:pPr>
      <w:r>
        <w:br w:type="page"/>
      </w:r>
      <w:bookmarkStart w:id="526" w:name="_Toc203765921"/>
      <w:r w:rsidR="002A21AE">
        <w:lastRenderedPageBreak/>
        <w:t>Updated Patients and Deceased Patients</w:t>
      </w:r>
      <w:bookmarkEnd w:id="526"/>
      <w:r w:rsidR="002A21AE">
        <w:fldChar w:fldCharType="begin"/>
      </w:r>
      <w:r w:rsidR="002A21AE">
        <w:instrText xml:space="preserve"> XE </w:instrText>
      </w:r>
      <w:r w:rsidR="00FA7E65">
        <w:instrText>“</w:instrText>
      </w:r>
      <w:r w:rsidR="002A21AE">
        <w:instrText>Updated Patients and Deceased Patients</w:instrText>
      </w:r>
      <w:r w:rsidR="00FA7E65">
        <w:instrText>”</w:instrText>
      </w:r>
      <w:r w:rsidR="002A21AE">
        <w:instrText xml:space="preserve"> </w:instrText>
      </w:r>
      <w:r w:rsidR="002A21AE">
        <w:fldChar w:fldCharType="end"/>
      </w:r>
      <w:r w:rsidR="002A21AE">
        <w:t xml:space="preserve"> </w:t>
      </w:r>
      <w:r w:rsidR="002A21AE">
        <w:rPr>
          <w:rFonts w:ascii="Times New Roman" w:hAnsi="Times New Roman" w:cs="Times New Roman"/>
          <w:b w:val="0"/>
          <w:vanish/>
          <w:sz w:val="22"/>
        </w:rPr>
        <w:t>UC_68</w:t>
      </w:r>
    </w:p>
    <w:p w14:paraId="2899CDA6" w14:textId="77777777" w:rsidR="002A21AE" w:rsidRDefault="002A21AE" w:rsidP="00FA7E65">
      <w:pPr>
        <w:pStyle w:val="BodyText"/>
      </w:pPr>
      <w:r>
        <w:rPr>
          <w:rFonts w:ascii="Arial" w:hAnsi="Arial" w:cs="Arial"/>
          <w:vanish/>
          <w:sz w:val="18"/>
        </w:rPr>
        <w:t xml:space="preserve">BR_68.02 </w:t>
      </w:r>
      <w:r>
        <w:t xml:space="preserve">The user views </w:t>
      </w:r>
      <w:r w:rsidR="000350E5">
        <w:t xml:space="preserve">patient </w:t>
      </w:r>
      <w:r>
        <w:t>update</w:t>
      </w:r>
      <w:r w:rsidR="00401847">
        <w:t>s</w:t>
      </w:r>
      <w:r>
        <w:t xml:space="preserve"> </w:t>
      </w:r>
      <w:r w:rsidR="00086F22">
        <w:t xml:space="preserve">and </w:t>
      </w:r>
      <w:r>
        <w:t>death events for patients with pending or active orders in VBECS.</w:t>
      </w:r>
    </w:p>
    <w:p w14:paraId="2F731AB8" w14:textId="77777777" w:rsidR="002A21AE" w:rsidRDefault="002A21AE">
      <w:pPr>
        <w:pStyle w:val="Heading4"/>
      </w:pPr>
      <w:r>
        <w:t>Assumptions</w:t>
      </w:r>
      <w:r>
        <w:rPr>
          <w:b w:val="0"/>
        </w:rPr>
        <w:t xml:space="preserve"> </w:t>
      </w:r>
    </w:p>
    <w:p w14:paraId="6DD4CE45" w14:textId="5FB9D56F" w:rsidR="00422796" w:rsidRPr="00422796" w:rsidRDefault="00422796" w:rsidP="00422796">
      <w:pPr>
        <w:pStyle w:val="ListBullet"/>
      </w:pPr>
      <w:r w:rsidRPr="00422796">
        <w:t xml:space="preserve">The connection to </w:t>
      </w:r>
      <w:r w:rsidRPr="00422796">
        <w:rPr>
          <w:bCs/>
        </w:rPr>
        <w:t>VistA</w:t>
      </w:r>
      <w:r w:rsidRPr="00422796">
        <w:t xml:space="preserve"> is active.</w:t>
      </w:r>
      <w:r w:rsidR="00E459C6">
        <w:t xml:space="preserve">   </w:t>
      </w:r>
    </w:p>
    <w:p w14:paraId="17FA2D92" w14:textId="77777777" w:rsidR="00422796" w:rsidRDefault="00422796" w:rsidP="00422796">
      <w:pPr>
        <w:pStyle w:val="ListBullet"/>
      </w:pPr>
      <w:r>
        <w:t xml:space="preserve">The patient record was updated in </w:t>
      </w:r>
      <w:r w:rsidRPr="00CA6E27">
        <w:rPr>
          <w:bCs/>
        </w:rPr>
        <w:t>VistA</w:t>
      </w:r>
      <w:r>
        <w:t>.</w:t>
      </w:r>
    </w:p>
    <w:p w14:paraId="73B3014B" w14:textId="77777777" w:rsidR="002A21AE" w:rsidRDefault="002A21AE">
      <w:pPr>
        <w:pStyle w:val="ListBullet"/>
      </w:pPr>
      <w:r>
        <w:t xml:space="preserve">VBECS received a message </w:t>
      </w:r>
      <w:r w:rsidR="00086F22">
        <w:t xml:space="preserve">from VistA </w:t>
      </w:r>
      <w:r>
        <w:t>about a patient record update or death.</w:t>
      </w:r>
    </w:p>
    <w:p w14:paraId="3545907C" w14:textId="77777777" w:rsidR="002A21AE" w:rsidRDefault="002A21AE">
      <w:pPr>
        <w:pStyle w:val="ListBullet"/>
      </w:pPr>
      <w:r>
        <w:t>The affected patient’s records are in the VBECS database.</w:t>
      </w:r>
    </w:p>
    <w:p w14:paraId="48C4B0CD" w14:textId="77777777" w:rsidR="002A21AE" w:rsidRDefault="002A21AE">
      <w:pPr>
        <w:pStyle w:val="ListBullet"/>
      </w:pPr>
      <w:r>
        <w:t>The affected patient has a pending or active order in VBECS for update</w:t>
      </w:r>
      <w:r w:rsidR="00E413E2">
        <w:t>s</w:t>
      </w:r>
      <w:r>
        <w:t xml:space="preserve"> and/or death event.</w:t>
      </w:r>
    </w:p>
    <w:p w14:paraId="3CBF7473" w14:textId="77777777" w:rsidR="002A21AE" w:rsidRDefault="002A21AE">
      <w:pPr>
        <w:pStyle w:val="Heading4"/>
      </w:pPr>
      <w:r>
        <w:t xml:space="preserve">Outcome </w:t>
      </w:r>
    </w:p>
    <w:p w14:paraId="17E340AA" w14:textId="77777777" w:rsidR="002A21AE" w:rsidRDefault="002A21AE">
      <w:pPr>
        <w:pStyle w:val="ListBullet"/>
      </w:pPr>
      <w:r>
        <w:t>The user reviews updated patient records.</w:t>
      </w:r>
    </w:p>
    <w:p w14:paraId="043467EB" w14:textId="77777777" w:rsidR="002A21AE" w:rsidRDefault="002A21AE">
      <w:pPr>
        <w:pStyle w:val="Heading4"/>
      </w:pPr>
      <w:r>
        <w:t>Limitations and Restrictions</w:t>
      </w:r>
      <w:r>
        <w:rPr>
          <w:b w:val="0"/>
        </w:rPr>
        <w:t xml:space="preserve"> </w:t>
      </w:r>
    </w:p>
    <w:p w14:paraId="698351A6" w14:textId="77777777" w:rsidR="002A21AE" w:rsidRDefault="002A21AE">
      <w:pPr>
        <w:pStyle w:val="ListBullet"/>
      </w:pPr>
      <w:r>
        <w:t>Demographic and death event updates do not display information for patients without pending or active orders in VBECS.</w:t>
      </w:r>
      <w:r w:rsidR="00AB5121">
        <w:t xml:space="preserve"> Updates will occur without user input.</w:t>
      </w:r>
    </w:p>
    <w:p w14:paraId="6DE03EBE" w14:textId="77777777" w:rsidR="00422796" w:rsidRDefault="00422796" w:rsidP="00422796">
      <w:pPr>
        <w:pStyle w:val="ListBullet"/>
      </w:pPr>
      <w:r>
        <w:t xml:space="preserve">VBECS does not notify users of additional VistA patient updates or merges while the icon is displayed. When a user views an update and there is an unprocessed patient merge, the Patient Alert icon remains on the screen until the Traditional Supervisor completes the update and clears the icon. </w:t>
      </w:r>
    </w:p>
    <w:p w14:paraId="4ED3FF60" w14:textId="77777777" w:rsidR="00C805FB" w:rsidRDefault="00C805FB" w:rsidP="00422796">
      <w:pPr>
        <w:pStyle w:val="ListBullet"/>
      </w:pPr>
      <w:r>
        <w:t>When VBECS notifies a user of an update to a patient’s prefix or suffix, VBECS does not display the updated information: the user must access VistA to view the updated information</w:t>
      </w:r>
      <w:r w:rsidR="00EE1726">
        <w:t>.</w:t>
      </w:r>
      <w:r w:rsidRPr="00C805FB">
        <w:rPr>
          <w:vanish/>
        </w:rPr>
        <w:t xml:space="preserve"> </w:t>
      </w:r>
      <w:r w:rsidR="00EE1726">
        <w:rPr>
          <w:vanish/>
        </w:rPr>
        <w:t>DR 2,714</w:t>
      </w:r>
    </w:p>
    <w:p w14:paraId="35F8E58F" w14:textId="77777777" w:rsidR="00195D83" w:rsidRDefault="00195D83" w:rsidP="00422796">
      <w:pPr>
        <w:pStyle w:val="ListBullet"/>
      </w:pPr>
      <w:r>
        <w:t xml:space="preserve">Suffix data may be outdated but will be refreshed upon a new order for a patient. </w:t>
      </w:r>
      <w:r w:rsidRPr="00812458">
        <w:rPr>
          <w:vanish/>
        </w:rPr>
        <w:t>Task 447307</w:t>
      </w:r>
    </w:p>
    <w:p w14:paraId="09639208" w14:textId="77777777" w:rsidR="002A21AE" w:rsidRDefault="002A21AE">
      <w:pPr>
        <w:pStyle w:val="Heading4"/>
      </w:pPr>
      <w:r>
        <w:t xml:space="preserve">Additional Information </w:t>
      </w:r>
    </w:p>
    <w:p w14:paraId="4BE601FD" w14:textId="77777777" w:rsidR="002A21AE" w:rsidRDefault="002A21AE">
      <w:pPr>
        <w:pStyle w:val="ListBullet"/>
      </w:pPr>
      <w:r>
        <w:t>None</w:t>
      </w:r>
    </w:p>
    <w:p w14:paraId="51E732E2" w14:textId="77777777" w:rsidR="002A21AE" w:rsidRDefault="002A21AE">
      <w:pPr>
        <w:pStyle w:val="Heading4"/>
        <w:rPr>
          <w:b w:val="0"/>
        </w:rPr>
      </w:pPr>
      <w:r>
        <w:t>User Roles with Access to This Option</w:t>
      </w:r>
      <w:r>
        <w:rPr>
          <w:b w:val="0"/>
        </w:rPr>
        <w:t xml:space="preserve"> </w:t>
      </w:r>
    </w:p>
    <w:p w14:paraId="2D97D820" w14:textId="77777777" w:rsidR="002A21AE" w:rsidRDefault="00A937B3">
      <w:pPr>
        <w:pStyle w:val="Roles"/>
        <w:rPr>
          <w:snapToGrid w:val="0"/>
        </w:rPr>
      </w:pPr>
      <w:r>
        <w:t>All users</w:t>
      </w:r>
    </w:p>
    <w:p w14:paraId="354B1D2A" w14:textId="77777777" w:rsidR="002A21AE" w:rsidRDefault="002A21AE">
      <w:pPr>
        <w:pStyle w:val="Heading4"/>
      </w:pPr>
      <w:r>
        <w:t>Updated Patients and Deceased Patients</w:t>
      </w:r>
    </w:p>
    <w:p w14:paraId="1DAAB06C" w14:textId="77777777" w:rsidR="002A21AE" w:rsidRDefault="002A21AE" w:rsidP="00FA7E65">
      <w:pPr>
        <w:pStyle w:val="BodyText"/>
      </w:pPr>
      <w:r>
        <w:t>The user views updated patient records.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535EE060" w14:textId="77777777">
        <w:trPr>
          <w:cantSplit/>
          <w:tblHeader/>
        </w:trPr>
        <w:tc>
          <w:tcPr>
            <w:tcW w:w="3240" w:type="dxa"/>
            <w:shd w:val="pct30" w:color="auto" w:fill="FFFFFF"/>
            <w:vAlign w:val="bottom"/>
          </w:tcPr>
          <w:p w14:paraId="383EE2BF" w14:textId="77777777" w:rsidR="002A21AE" w:rsidRDefault="002A21AE">
            <w:pPr>
              <w:pStyle w:val="TableText"/>
              <w:rPr>
                <w:b/>
              </w:rPr>
            </w:pPr>
            <w:r>
              <w:rPr>
                <w:b/>
              </w:rPr>
              <w:t>User Action</w:t>
            </w:r>
          </w:p>
        </w:tc>
        <w:tc>
          <w:tcPr>
            <w:tcW w:w="6120" w:type="dxa"/>
            <w:shd w:val="pct30" w:color="auto" w:fill="FFFFFF"/>
            <w:vAlign w:val="bottom"/>
          </w:tcPr>
          <w:p w14:paraId="5F8D861D" w14:textId="77777777" w:rsidR="002A21AE" w:rsidRDefault="002A21AE">
            <w:pPr>
              <w:pStyle w:val="TableText"/>
              <w:rPr>
                <w:b/>
              </w:rPr>
            </w:pPr>
            <w:r>
              <w:rPr>
                <w:b/>
              </w:rPr>
              <w:t>VBECS</w:t>
            </w:r>
          </w:p>
        </w:tc>
      </w:tr>
      <w:tr w:rsidR="002A21AE" w14:paraId="7E1E2E2B" w14:textId="77777777">
        <w:tc>
          <w:tcPr>
            <w:tcW w:w="3240" w:type="dxa"/>
            <w:tcBorders>
              <w:top w:val="single" w:sz="4" w:space="0" w:color="auto"/>
              <w:left w:val="single" w:sz="4" w:space="0" w:color="auto"/>
              <w:bottom w:val="single" w:sz="4" w:space="0" w:color="auto"/>
              <w:right w:val="single" w:sz="4" w:space="0" w:color="auto"/>
            </w:tcBorders>
          </w:tcPr>
          <w:p w14:paraId="79D2948B" w14:textId="77777777" w:rsidR="002A21AE" w:rsidRDefault="002A21AE">
            <w:pPr>
              <w:pStyle w:val="TableTextNumbers"/>
            </w:pPr>
            <w:r>
              <w:t xml:space="preserve">Select </w:t>
            </w:r>
            <w:r>
              <w:rPr>
                <w:b/>
              </w:rPr>
              <w:t>Patients</w:t>
            </w:r>
            <w:r>
              <w:t xml:space="preserve"> from the main menu.</w:t>
            </w:r>
          </w:p>
          <w:p w14:paraId="1E999840" w14:textId="77777777" w:rsidR="002A21AE" w:rsidRDefault="002A21AE">
            <w:pPr>
              <w:pStyle w:val="TableTextNumbersContinued"/>
            </w:pPr>
          </w:p>
          <w:p w14:paraId="05729D8E" w14:textId="77777777" w:rsidR="002A21AE" w:rsidRDefault="002A21AE">
            <w:pPr>
              <w:pStyle w:val="TableTextNumbersContinued"/>
            </w:pPr>
            <w:r>
              <w:t xml:space="preserve">Select </w:t>
            </w:r>
            <w:r>
              <w:rPr>
                <w:b/>
              </w:rPr>
              <w:t>Patient Updates</w:t>
            </w:r>
            <w:r>
              <w:t>.</w:t>
            </w:r>
          </w:p>
          <w:p w14:paraId="1912FCF2" w14:textId="77777777" w:rsidR="002A21AE" w:rsidRDefault="002A21AE">
            <w:pPr>
              <w:pStyle w:val="TableTextNumbersContinued"/>
            </w:pPr>
          </w:p>
          <w:p w14:paraId="087E97C6" w14:textId="77777777" w:rsidR="002A21AE" w:rsidRDefault="002A21AE">
            <w:pPr>
              <w:pStyle w:val="TableTextNumbersContinued"/>
            </w:pPr>
            <w:r>
              <w:t xml:space="preserve">Select </w:t>
            </w:r>
            <w:r>
              <w:rPr>
                <w:b/>
              </w:rPr>
              <w:t>Updated Patient</w:t>
            </w:r>
            <w:r>
              <w:t xml:space="preserve"> or </w:t>
            </w:r>
            <w:r>
              <w:rPr>
                <w:b/>
              </w:rPr>
              <w:t>Deceased Patient</w:t>
            </w:r>
            <w:r>
              <w:t>, or</w:t>
            </w:r>
          </w:p>
          <w:p w14:paraId="7B9141D2" w14:textId="77777777" w:rsidR="002A21AE" w:rsidRDefault="002A21AE">
            <w:pPr>
              <w:pStyle w:val="TableTextNumbersContinued"/>
            </w:pPr>
          </w:p>
          <w:p w14:paraId="0E970CA7" w14:textId="77777777" w:rsidR="002A21AE" w:rsidRDefault="002A21AE">
            <w:pPr>
              <w:pStyle w:val="TableTextNumbersContinued"/>
            </w:pPr>
            <w:r>
              <w:t xml:space="preserve">Click </w:t>
            </w:r>
            <w:r w:rsidR="00057948">
              <w:rPr>
                <w:noProof/>
              </w:rPr>
              <w:drawing>
                <wp:inline distT="0" distB="0" distL="0" distR="0" wp14:anchorId="793299B1" wp14:editId="253F0494">
                  <wp:extent cx="166370" cy="156845"/>
                  <wp:effectExtent l="0" t="0" r="5080" b="0"/>
                  <wp:docPr id="236" name="Picture 236" descr="patiental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descr="patientalert"/>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66370" cy="156845"/>
                          </a:xfrm>
                          <a:prstGeom prst="rect">
                            <a:avLst/>
                          </a:prstGeom>
                          <a:noFill/>
                          <a:ln>
                            <a:noFill/>
                          </a:ln>
                        </pic:spPr>
                      </pic:pic>
                    </a:graphicData>
                  </a:graphic>
                </wp:inline>
              </w:drawing>
            </w:r>
            <w:r>
              <w:t xml:space="preserve"> in the Patient Information Toolbar, when it is active.</w:t>
            </w:r>
          </w:p>
        </w:tc>
        <w:tc>
          <w:tcPr>
            <w:tcW w:w="6120" w:type="dxa"/>
            <w:tcBorders>
              <w:top w:val="single" w:sz="4" w:space="0" w:color="auto"/>
              <w:left w:val="single" w:sz="4" w:space="0" w:color="auto"/>
              <w:bottom w:val="single" w:sz="4" w:space="0" w:color="auto"/>
              <w:right w:val="single" w:sz="4" w:space="0" w:color="auto"/>
            </w:tcBorders>
          </w:tcPr>
          <w:p w14:paraId="53CD23C8" w14:textId="77777777" w:rsidR="002A21AE" w:rsidRDefault="002A21AE">
            <w:pPr>
              <w:pStyle w:val="TableTextBullet"/>
            </w:pPr>
            <w:r>
              <w:t>Displays options for processing patient-related functions.</w:t>
            </w:r>
          </w:p>
          <w:p w14:paraId="7FE28393" w14:textId="77777777" w:rsidR="002A21AE" w:rsidRDefault="002A21AE">
            <w:pPr>
              <w:pStyle w:val="TableTextBullet"/>
            </w:pPr>
            <w:r>
              <w:t>Lists updated or deceased patients (also lists these data after the update if they changed)</w:t>
            </w:r>
            <w:r w:rsidR="005F6016">
              <w:t>,</w:t>
            </w:r>
            <w:r>
              <w:t xml:space="preserve"> including:</w:t>
            </w:r>
          </w:p>
          <w:p w14:paraId="2FDE8907" w14:textId="77777777" w:rsidR="002A21AE" w:rsidRDefault="002A21AE">
            <w:pPr>
              <w:pStyle w:val="TableTextBullet1"/>
            </w:pPr>
            <w:r>
              <w:t xml:space="preserve">Patient name </w:t>
            </w:r>
          </w:p>
          <w:p w14:paraId="073B974E" w14:textId="77777777" w:rsidR="002A21AE" w:rsidRDefault="002A21AE">
            <w:pPr>
              <w:pStyle w:val="TableTextBullet1"/>
            </w:pPr>
            <w:r>
              <w:t xml:space="preserve">Patient ID </w:t>
            </w:r>
          </w:p>
          <w:p w14:paraId="142842F0" w14:textId="77777777" w:rsidR="002A21AE" w:rsidRDefault="002A21AE">
            <w:pPr>
              <w:pStyle w:val="TableTextBullet1"/>
            </w:pPr>
            <w:r>
              <w:t xml:space="preserve">Patient date of birth </w:t>
            </w:r>
          </w:p>
          <w:p w14:paraId="679C9C1F" w14:textId="77777777" w:rsidR="002A21AE" w:rsidRDefault="002A21AE">
            <w:pPr>
              <w:pStyle w:val="TableTextBullet1"/>
            </w:pPr>
            <w:r>
              <w:t>Date and time of the update, or date of death</w:t>
            </w:r>
          </w:p>
        </w:tc>
      </w:tr>
      <w:tr w:rsidR="002A21AE" w14:paraId="241A1B4B" w14:textId="77777777">
        <w:tc>
          <w:tcPr>
            <w:tcW w:w="3240" w:type="dxa"/>
          </w:tcPr>
          <w:p w14:paraId="66DE30D0" w14:textId="77777777" w:rsidR="002A21AE" w:rsidRDefault="002A21AE">
            <w:pPr>
              <w:pStyle w:val="TableTextNumbers"/>
            </w:pPr>
            <w:r>
              <w:t xml:space="preserve">Click </w:t>
            </w:r>
            <w:r>
              <w:rPr>
                <w:b/>
              </w:rPr>
              <w:t>Close</w:t>
            </w:r>
            <w:r>
              <w:t xml:space="preserve"> to exit, or return to Step 1 to view another patient’s data. </w:t>
            </w:r>
            <w:r>
              <w:rPr>
                <w:vanish/>
                <w:color w:val="FFFFFF"/>
                <w:szCs w:val="18"/>
              </w:rPr>
              <w:fldChar w:fldCharType="begin"/>
            </w:r>
            <w:r>
              <w:rPr>
                <w:vanish/>
                <w:color w:val="FFFFFF"/>
                <w:szCs w:val="18"/>
              </w:rPr>
              <w:instrText xml:space="preserve"> LISTNUM \l 1 \s 0 </w:instrText>
            </w:r>
            <w:r>
              <w:rPr>
                <w:vanish/>
                <w:color w:val="FFFFFF"/>
                <w:szCs w:val="18"/>
              </w:rPr>
              <w:fldChar w:fldCharType="end">
                <w:numberingChange w:id="527" w:author="MUSZYNSKI, THOMAS D. (SIERRA 7 INC)" w:date="2024-11-26T07:15:00Z" w:original="0."/>
              </w:fldChar>
            </w:r>
          </w:p>
        </w:tc>
        <w:tc>
          <w:tcPr>
            <w:tcW w:w="6120" w:type="dxa"/>
          </w:tcPr>
          <w:p w14:paraId="75038BE1" w14:textId="77777777" w:rsidR="002A21AE" w:rsidRDefault="002A21AE">
            <w:pPr>
              <w:pStyle w:val="TableText"/>
            </w:pPr>
          </w:p>
        </w:tc>
      </w:tr>
    </w:tbl>
    <w:p w14:paraId="1895DD19" w14:textId="77777777" w:rsidR="002A21AE" w:rsidRDefault="002A21AE">
      <w:pPr>
        <w:pStyle w:val="Heading3"/>
        <w:sectPr w:rsidR="002A21AE" w:rsidSect="00EE771C">
          <w:pgSz w:w="12240" w:h="15840" w:code="1"/>
          <w:pgMar w:top="1440" w:right="1440" w:bottom="1440" w:left="1440" w:header="720" w:footer="720" w:gutter="0"/>
          <w:cols w:space="720"/>
          <w:docGrid w:linePitch="360"/>
        </w:sectPr>
      </w:pPr>
      <w:bookmarkStart w:id="528" w:name="_Patient_Testing:_Record_Patient_Tes"/>
      <w:bookmarkStart w:id="529" w:name="_Patient_Testing:_Record"/>
      <w:bookmarkEnd w:id="528"/>
      <w:bookmarkEnd w:id="529"/>
    </w:p>
    <w:p w14:paraId="484FBB2F" w14:textId="77777777" w:rsidR="002A21AE" w:rsidRDefault="002A21AE">
      <w:pPr>
        <w:pStyle w:val="Heading3"/>
      </w:pPr>
      <w:bookmarkStart w:id="530" w:name="_Patient_Testing:_Record_1"/>
      <w:bookmarkStart w:id="531" w:name="_Toc203765922"/>
      <w:bookmarkEnd w:id="530"/>
      <w:r>
        <w:lastRenderedPageBreak/>
        <w:t xml:space="preserve">Patient Testing: </w:t>
      </w:r>
      <w:r w:rsidR="0064667E">
        <w:t>General Instructions</w:t>
      </w:r>
      <w:bookmarkEnd w:id="531"/>
      <w:r>
        <w:fldChar w:fldCharType="begin"/>
      </w:r>
      <w:r>
        <w:instrText xml:space="preserve"> XE </w:instrText>
      </w:r>
      <w:r w:rsidR="00FA7E65">
        <w:instrText>“</w:instrText>
      </w:r>
      <w:r>
        <w:instrText xml:space="preserve">Patient Testing\: </w:instrText>
      </w:r>
      <w:r w:rsidR="0064667E">
        <w:instrText>General Instructions</w:instrText>
      </w:r>
      <w:r w:rsidR="00FA7E65">
        <w:instrText>”</w:instrText>
      </w:r>
      <w:r>
        <w:instrText xml:space="preserve"> </w:instrText>
      </w:r>
      <w:r>
        <w:fldChar w:fldCharType="end"/>
      </w:r>
      <w:r>
        <w:t xml:space="preserve"> </w:t>
      </w:r>
      <w:r>
        <w:rPr>
          <w:rFonts w:ascii="Times New Roman" w:hAnsi="Times New Roman" w:cs="Times New Roman"/>
          <w:b w:val="0"/>
          <w:vanish/>
          <w:sz w:val="22"/>
        </w:rPr>
        <w:t>UC_56</w:t>
      </w:r>
    </w:p>
    <w:p w14:paraId="35CCCF45" w14:textId="77777777" w:rsidR="002A21AE" w:rsidRDefault="002A21AE" w:rsidP="00FA7E65">
      <w:pPr>
        <w:pStyle w:val="BodyText"/>
      </w:pPr>
      <w:bookmarkStart w:id="532" w:name="_Toc78036036"/>
      <w:r>
        <w:t>The user records a patient’s serologic test results.</w:t>
      </w:r>
    </w:p>
    <w:p w14:paraId="0D3851B4" w14:textId="77777777" w:rsidR="002A21AE" w:rsidRDefault="002A21AE">
      <w:pPr>
        <w:pStyle w:val="Heading4"/>
      </w:pPr>
      <w:r>
        <w:t>Assumptions</w:t>
      </w:r>
    </w:p>
    <w:p w14:paraId="44A30C61" w14:textId="77777777" w:rsidR="002A21AE" w:rsidRDefault="002A21AE">
      <w:pPr>
        <w:pStyle w:val="ListBullet"/>
      </w:pPr>
      <w:r>
        <w:t xml:space="preserve">The patient specimen and order were processed and found satisfactory for testing. </w:t>
      </w:r>
    </w:p>
    <w:p w14:paraId="3E1EC299" w14:textId="77777777" w:rsidR="002A21AE" w:rsidRDefault="002A21AE">
      <w:pPr>
        <w:pStyle w:val="ListBullet"/>
      </w:pPr>
      <w:r>
        <w:t>The user selected one to four diagnostic and/or component tasks for testing from the Pending Task List (PTL).</w:t>
      </w:r>
    </w:p>
    <w:p w14:paraId="3D1C4DDC" w14:textId="77777777" w:rsidR="002A21AE" w:rsidRDefault="002A21AE">
      <w:pPr>
        <w:pStyle w:val="ListBullet"/>
      </w:pPr>
      <w:r>
        <w:t>The patient may or may not have a previous blood bank record. Previously saved VBECS data related to this patient are available for comparison with the user’s test results and interpretations.</w:t>
      </w:r>
    </w:p>
    <w:p w14:paraId="01E3C871" w14:textId="77777777" w:rsidR="002A21AE" w:rsidRDefault="002A21AE">
      <w:pPr>
        <w:pStyle w:val="Heading4"/>
      </w:pPr>
      <w:r>
        <w:t>Outcome</w:t>
      </w:r>
    </w:p>
    <w:p w14:paraId="1A8D5086" w14:textId="77777777" w:rsidR="002A21AE" w:rsidRDefault="002A21AE">
      <w:pPr>
        <w:pStyle w:val="ListBullet"/>
      </w:pPr>
      <w:r>
        <w:t>The test record was filed, is unique, and is retrievable for the life of VBECS.</w:t>
      </w:r>
    </w:p>
    <w:p w14:paraId="3A56E45F" w14:textId="77777777" w:rsidR="002A21AE" w:rsidRDefault="002A21AE">
      <w:pPr>
        <w:pStyle w:val="ListBullet"/>
      </w:pPr>
      <w:r>
        <w:t>Partially completed testing is available for completion or invalidation but is not available to the patient record or reports.</w:t>
      </w:r>
    </w:p>
    <w:p w14:paraId="3283EA21" w14:textId="77777777" w:rsidR="002A21AE" w:rsidRDefault="002A21AE">
      <w:pPr>
        <w:pStyle w:val="ListBullet"/>
      </w:pPr>
      <w:r>
        <w:t>Completed, current specimen test results are available for inclusion in various reports.</w:t>
      </w:r>
    </w:p>
    <w:p w14:paraId="09B9B0C2" w14:textId="77777777" w:rsidR="002A21AE" w:rsidRDefault="002A21AE">
      <w:pPr>
        <w:pStyle w:val="ListBullet"/>
      </w:pPr>
      <w:r>
        <w:t>VBECS changes the task status to “completed” and triggers the generation of a message to CPRS that the order is complete.</w:t>
      </w:r>
    </w:p>
    <w:p w14:paraId="33BEC1DE" w14:textId="77777777" w:rsidR="002A21AE" w:rsidRDefault="002A21AE">
      <w:pPr>
        <w:pStyle w:val="ListBullet"/>
      </w:pPr>
      <w:r>
        <w:t>The test record includes the details of the verified, completed testing.</w:t>
      </w:r>
    </w:p>
    <w:p w14:paraId="27F309F5" w14:textId="77777777" w:rsidR="00561829" w:rsidRDefault="00561829" w:rsidP="00561829">
      <w:pPr>
        <w:pStyle w:val="ListBullet"/>
      </w:pPr>
      <w:r>
        <w:t>If workload codes are assigned for this process, workload-related data collected as the result of this process are stored for inclusion in Workload Reports.</w:t>
      </w:r>
    </w:p>
    <w:p w14:paraId="38202EC0" w14:textId="77777777" w:rsidR="002A21AE" w:rsidRDefault="002A21AE">
      <w:pPr>
        <w:pStyle w:val="Heading4"/>
      </w:pPr>
      <w:r>
        <w:t>Limitations and Restrictions</w:t>
      </w:r>
    </w:p>
    <w:p w14:paraId="45AE5211" w14:textId="77777777" w:rsidR="00D50784" w:rsidRDefault="00D50784" w:rsidP="00D50784">
      <w:pPr>
        <w:pStyle w:val="ListBullet"/>
      </w:pPr>
      <w:r>
        <w:t>This test record is not editable after the user completes a test and saves it to the database. When a correction needs to be filed, a corrected report must be generated, as described in Invalidating Patient Test Results.</w:t>
      </w:r>
    </w:p>
    <w:p w14:paraId="4B8F399B" w14:textId="77777777" w:rsidR="00E36CAB" w:rsidRDefault="00E36CAB" w:rsidP="00E36CAB">
      <w:pPr>
        <w:pStyle w:val="ListBullet"/>
      </w:pPr>
      <w:r>
        <w:t>User selection of partially completed testing grids with different phases of testing</w:t>
      </w:r>
      <w:r w:rsidRPr="008727C1">
        <w:t xml:space="preserve"> </w:t>
      </w:r>
      <w:r>
        <w:t xml:space="preserve">(All Phases or AHG Only) as previously selected creates a testing discrepancy in VBECS. </w:t>
      </w:r>
    </w:p>
    <w:p w14:paraId="50A1CA92" w14:textId="77777777" w:rsidR="00B90645" w:rsidRPr="000D669E" w:rsidRDefault="00E36CAB" w:rsidP="00E36CAB">
      <w:pPr>
        <w:pStyle w:val="ListBullet"/>
      </w:pPr>
      <w:r>
        <w:t>Limited batch testing to partially completed orders with the same testing grid selection, either All Phases or AHG Only.</w:t>
      </w:r>
      <w:r w:rsidR="00B90645">
        <w:t xml:space="preserve"> </w:t>
      </w:r>
      <w:r w:rsidR="00B90645">
        <w:rPr>
          <w:vanish/>
        </w:rPr>
        <w:t>DR 4218</w:t>
      </w:r>
    </w:p>
    <w:p w14:paraId="69E52604" w14:textId="6CAC25A9" w:rsidR="000D669E" w:rsidRDefault="000D669E" w:rsidP="00E36CAB">
      <w:pPr>
        <w:pStyle w:val="ListBullet"/>
      </w:pPr>
      <w:r>
        <w:t xml:space="preserve">VBECS cannot compare test results for a patient when two users are entering test results for the same patient at the same time. </w:t>
      </w:r>
      <w:r w:rsidRPr="000D669E">
        <w:rPr>
          <w:vanish/>
        </w:rPr>
        <w:t>DR 4817</w:t>
      </w:r>
    </w:p>
    <w:p w14:paraId="232DAF05" w14:textId="5AA923EB" w:rsidR="00D141A2" w:rsidRDefault="00D141A2" w:rsidP="00E36CAB">
      <w:pPr>
        <w:pStyle w:val="ListBullet"/>
      </w:pPr>
      <w:r>
        <w:t>Cost entry is capped at 999.</w:t>
      </w:r>
      <w:r w:rsidR="00F358AF">
        <w:t>00</w:t>
      </w:r>
      <w:r>
        <w:t xml:space="preserve">. </w:t>
      </w:r>
      <w:r w:rsidRPr="00D141A2">
        <w:rPr>
          <w:vanish/>
        </w:rPr>
        <w:t>Defect 942523</w:t>
      </w:r>
    </w:p>
    <w:p w14:paraId="16F065A3" w14:textId="77777777" w:rsidR="002A21AE" w:rsidRDefault="002A21AE">
      <w:pPr>
        <w:pStyle w:val="Heading4"/>
      </w:pPr>
      <w:r>
        <w:t>Additional Information</w:t>
      </w:r>
    </w:p>
    <w:p w14:paraId="1F77CD32" w14:textId="77777777" w:rsidR="002A21AE" w:rsidRDefault="002A21AE">
      <w:pPr>
        <w:pStyle w:val="ListBullet"/>
      </w:pPr>
      <w:r>
        <w:t>Partially completed tests may be invalidated within the testing option.</w:t>
      </w:r>
    </w:p>
    <w:p w14:paraId="5207CCBB" w14:textId="77777777" w:rsidR="002A21AE" w:rsidRDefault="002A21AE">
      <w:pPr>
        <w:pStyle w:val="Heading4"/>
      </w:pPr>
      <w:r>
        <w:t>User Roles with Access to This Option</w:t>
      </w:r>
    </w:p>
    <w:p w14:paraId="10460C69" w14:textId="77777777" w:rsidR="00A937B3" w:rsidRDefault="00A937B3" w:rsidP="00A937B3">
      <w:pPr>
        <w:pStyle w:val="Roles"/>
        <w:rPr>
          <w:snapToGrid w:val="0"/>
        </w:rPr>
      </w:pPr>
      <w:r>
        <w:t>All users</w:t>
      </w:r>
    </w:p>
    <w:bookmarkEnd w:id="532"/>
    <w:p w14:paraId="6A56CFE4" w14:textId="77777777" w:rsidR="002A21AE" w:rsidRDefault="002A21AE">
      <w:pPr>
        <w:pStyle w:val="Heading4"/>
      </w:pPr>
      <w:r>
        <w:t xml:space="preserve">Patient Testing: </w:t>
      </w:r>
      <w:r w:rsidR="00260BEA">
        <w:t>General Instructions</w:t>
      </w:r>
    </w:p>
    <w:p w14:paraId="1F723D10" w14:textId="77777777" w:rsidR="002A21AE" w:rsidRDefault="002A21AE" w:rsidP="00FA7E65">
      <w:pPr>
        <w:pStyle w:val="BodyText"/>
      </w:pPr>
      <w:r>
        <w:t xml:space="preserve">A user records a patient’s test results: Type &amp; Screen (TAS), ABO/Rh, </w:t>
      </w:r>
      <w:r w:rsidR="008E2E30">
        <w:t>Antibody Screen Test (ABS)</w:t>
      </w:r>
      <w:r>
        <w:t>, Direct Antiglobulin Test (DAT), and crossmatches (XMs) on units selected for a patient. This option describes the configuration of reflex or repeat testing and patient antigen typing.</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024D789E" w14:textId="77777777" w:rsidTr="003362FE">
        <w:trPr>
          <w:cantSplit/>
          <w:tblHeader/>
        </w:trPr>
        <w:tc>
          <w:tcPr>
            <w:tcW w:w="3240" w:type="dxa"/>
            <w:shd w:val="pct30" w:color="auto" w:fill="FFFFFF"/>
            <w:vAlign w:val="bottom"/>
          </w:tcPr>
          <w:p w14:paraId="7C9D637A" w14:textId="77777777" w:rsidR="002A21AE" w:rsidRDefault="002A21AE">
            <w:pPr>
              <w:pStyle w:val="TableText"/>
              <w:rPr>
                <w:b/>
              </w:rPr>
            </w:pPr>
            <w:r>
              <w:rPr>
                <w:b/>
              </w:rPr>
              <w:lastRenderedPageBreak/>
              <w:t>User Action</w:t>
            </w:r>
          </w:p>
        </w:tc>
        <w:tc>
          <w:tcPr>
            <w:tcW w:w="6120" w:type="dxa"/>
            <w:shd w:val="pct30" w:color="auto" w:fill="FFFFFF"/>
            <w:vAlign w:val="bottom"/>
          </w:tcPr>
          <w:p w14:paraId="3CFE4944" w14:textId="77777777" w:rsidR="002A21AE" w:rsidRDefault="002A21AE">
            <w:pPr>
              <w:pStyle w:val="TableText"/>
              <w:rPr>
                <w:b/>
              </w:rPr>
            </w:pPr>
            <w:r>
              <w:rPr>
                <w:b/>
              </w:rPr>
              <w:t>VBECS</w:t>
            </w:r>
          </w:p>
        </w:tc>
      </w:tr>
      <w:tr w:rsidR="002A21AE" w14:paraId="2DA8175D" w14:textId="77777777" w:rsidTr="003362FE">
        <w:trPr>
          <w:cantSplit/>
        </w:trPr>
        <w:tc>
          <w:tcPr>
            <w:tcW w:w="3240" w:type="dxa"/>
            <w:tcBorders>
              <w:top w:val="single" w:sz="4" w:space="0" w:color="auto"/>
              <w:left w:val="single" w:sz="4" w:space="0" w:color="auto"/>
              <w:bottom w:val="single" w:sz="4" w:space="0" w:color="auto"/>
              <w:right w:val="single" w:sz="4" w:space="0" w:color="auto"/>
            </w:tcBorders>
          </w:tcPr>
          <w:p w14:paraId="711900BD" w14:textId="77777777" w:rsidR="002A21AE" w:rsidRDefault="002A21AE">
            <w:pPr>
              <w:pStyle w:val="TableTextNumbers"/>
            </w:pPr>
            <w:r>
              <w:t xml:space="preserve">Select </w:t>
            </w:r>
            <w:r>
              <w:rPr>
                <w:b/>
              </w:rPr>
              <w:t>Patients</w:t>
            </w:r>
            <w:r>
              <w:t xml:space="preserve"> from the main menu.</w:t>
            </w:r>
          </w:p>
          <w:p w14:paraId="673E4D78" w14:textId="77777777" w:rsidR="002A21AE" w:rsidRDefault="002A21AE">
            <w:pPr>
              <w:pStyle w:val="TableTextNumbersContinued"/>
            </w:pPr>
          </w:p>
          <w:p w14:paraId="5C2EDA45" w14:textId="77777777" w:rsidR="002A21AE" w:rsidRDefault="002A21AE">
            <w:pPr>
              <w:pStyle w:val="TableTextNumbersContinued"/>
            </w:pPr>
            <w:r>
              <w:t xml:space="preserve">Select </w:t>
            </w:r>
            <w:r>
              <w:rPr>
                <w:b/>
              </w:rPr>
              <w:t>Patient Testing</w:t>
            </w:r>
            <w:r>
              <w:t>.</w:t>
            </w:r>
          </w:p>
        </w:tc>
        <w:tc>
          <w:tcPr>
            <w:tcW w:w="6120" w:type="dxa"/>
            <w:tcBorders>
              <w:top w:val="single" w:sz="4" w:space="0" w:color="auto"/>
              <w:left w:val="single" w:sz="4" w:space="0" w:color="auto"/>
              <w:bottom w:val="single" w:sz="4" w:space="0" w:color="auto"/>
              <w:right w:val="single" w:sz="4" w:space="0" w:color="auto"/>
            </w:tcBorders>
          </w:tcPr>
          <w:p w14:paraId="0C787591" w14:textId="77777777" w:rsidR="002A21AE" w:rsidRDefault="002A21AE">
            <w:pPr>
              <w:pStyle w:val="TableTextBullet"/>
            </w:pPr>
            <w:r>
              <w:t xml:space="preserve">Displays options for processing patient-related functions. </w:t>
            </w:r>
          </w:p>
          <w:p w14:paraId="0442EFC1" w14:textId="77777777" w:rsidR="002A21AE" w:rsidRDefault="002A21AE">
            <w:pPr>
              <w:pStyle w:val="TableTextBullet"/>
            </w:pPr>
            <w:r>
              <w:t>Displays the Pending Task List (PTL) in the Diagnostic Tests tab.</w:t>
            </w:r>
          </w:p>
          <w:p w14:paraId="16F47BCF" w14:textId="77777777" w:rsidR="002A21AE" w:rsidRDefault="002A21AE">
            <w:pPr>
              <w:pStyle w:val="NotesText"/>
            </w:pPr>
          </w:p>
          <w:p w14:paraId="3C3E6C9F" w14:textId="379CF25A" w:rsidR="002A21AE" w:rsidRDefault="002A21AE">
            <w:pPr>
              <w:pStyle w:val="TableText"/>
              <w:rPr>
                <w:b/>
                <w:bCs/>
                <w:szCs w:val="18"/>
              </w:rPr>
            </w:pPr>
            <w:r>
              <w:rPr>
                <w:b/>
                <w:bCs/>
                <w:szCs w:val="18"/>
              </w:rPr>
              <w:t>NOTES</w:t>
            </w:r>
          </w:p>
          <w:p w14:paraId="41D9E0FC" w14:textId="77777777" w:rsidR="002A21AE" w:rsidRDefault="002A21AE">
            <w:pPr>
              <w:pStyle w:val="NotesText"/>
            </w:pPr>
          </w:p>
          <w:p w14:paraId="5E98F97D" w14:textId="77777777" w:rsidR="00CA495D" w:rsidRPr="00CA495D" w:rsidRDefault="002A21AE" w:rsidP="00CA495D">
            <w:pPr>
              <w:pStyle w:val="NotesText"/>
              <w:rPr>
                <w:snapToGrid w:val="0"/>
              </w:rPr>
            </w:pPr>
            <w:r>
              <w:t>A user may search for specific tasks using search criteria detailed in Pending Task List.</w:t>
            </w:r>
          </w:p>
        </w:tc>
      </w:tr>
      <w:tr w:rsidR="002A21AE" w14:paraId="3EDC2EE2" w14:textId="77777777" w:rsidTr="003362FE">
        <w:trPr>
          <w:cantSplit/>
        </w:trPr>
        <w:tc>
          <w:tcPr>
            <w:tcW w:w="3240" w:type="dxa"/>
          </w:tcPr>
          <w:p w14:paraId="2495144B" w14:textId="17200D1F" w:rsidR="002A21AE" w:rsidRDefault="002A21AE">
            <w:pPr>
              <w:pStyle w:val="TableTextNumbers"/>
            </w:pPr>
            <w:r>
              <w:t>Click one to four check boxes in the Pending Task List to select tasks for testing</w:t>
            </w:r>
            <w:r w:rsidR="00883DE9">
              <w:t xml:space="preserve"> (</w:t>
            </w:r>
            <w:r w:rsidR="00EE455E">
              <w:t xml:space="preserve">Figure </w:t>
            </w:r>
            <w:r w:rsidR="00EE455E">
              <w:rPr>
                <w:noProof/>
              </w:rPr>
              <w:t>91</w:t>
            </w:r>
            <w:r w:rsidR="00883DE9">
              <w:t>)</w:t>
            </w:r>
            <w:r>
              <w:t xml:space="preserve">. </w:t>
            </w:r>
          </w:p>
          <w:p w14:paraId="06383BFE" w14:textId="77777777" w:rsidR="002A21AE" w:rsidRDefault="002A21AE">
            <w:pPr>
              <w:pStyle w:val="TableTextNumbersContinued"/>
            </w:pPr>
          </w:p>
          <w:p w14:paraId="36624256" w14:textId="77777777" w:rsidR="002A21AE" w:rsidRDefault="002A21AE">
            <w:pPr>
              <w:pStyle w:val="TableTextNumbersContinued"/>
            </w:pPr>
            <w:r>
              <w:t xml:space="preserve">Click </w:t>
            </w:r>
            <w:r>
              <w:rPr>
                <w:b/>
              </w:rPr>
              <w:t>OK</w:t>
            </w:r>
            <w:r>
              <w:t>.</w:t>
            </w:r>
          </w:p>
        </w:tc>
        <w:tc>
          <w:tcPr>
            <w:tcW w:w="6120" w:type="dxa"/>
          </w:tcPr>
          <w:p w14:paraId="7297A685" w14:textId="77777777" w:rsidR="002A21AE" w:rsidRDefault="002A21AE">
            <w:pPr>
              <w:pStyle w:val="TableTextBullet"/>
            </w:pPr>
            <w:r>
              <w:t>Displays patient names and associated task information.</w:t>
            </w:r>
          </w:p>
        </w:tc>
      </w:tr>
      <w:tr w:rsidR="0091416B" w14:paraId="4E7D0DB9" w14:textId="77777777" w:rsidTr="003362FE">
        <w:trPr>
          <w:cantSplit/>
        </w:trPr>
        <w:tc>
          <w:tcPr>
            <w:tcW w:w="3240" w:type="dxa"/>
          </w:tcPr>
          <w:p w14:paraId="1FFF639A" w14:textId="77777777" w:rsidR="0091416B" w:rsidRDefault="0091416B" w:rsidP="0091416B">
            <w:pPr>
              <w:pStyle w:val="TableTextNumbers"/>
            </w:pPr>
            <w:r>
              <w:t>Click a check box to select a reagent rack.</w:t>
            </w:r>
          </w:p>
          <w:p w14:paraId="239CDA12" w14:textId="77777777" w:rsidR="0091416B" w:rsidRDefault="0091416B" w:rsidP="0091416B">
            <w:pPr>
              <w:pStyle w:val="TableTextNumbersContinued"/>
            </w:pPr>
          </w:p>
          <w:p w14:paraId="5366B72F" w14:textId="61D085EA" w:rsidR="0091416B" w:rsidRDefault="0091416B" w:rsidP="0091416B">
            <w:pPr>
              <w:pStyle w:val="TableTextNumbersContinued"/>
            </w:pPr>
            <w:r>
              <w:t xml:space="preserve">In the ABS or XM Testing Phases area, click the </w:t>
            </w:r>
            <w:r w:rsidRPr="00F3010E">
              <w:rPr>
                <w:b/>
              </w:rPr>
              <w:t>All Phases</w:t>
            </w:r>
            <w:r>
              <w:t xml:space="preserve"> or </w:t>
            </w:r>
            <w:r w:rsidRPr="00F3010E">
              <w:rPr>
                <w:b/>
              </w:rPr>
              <w:t xml:space="preserve">AHG Only </w:t>
            </w:r>
            <w:r w:rsidRPr="00BF2E41">
              <w:t>radio button</w:t>
            </w:r>
            <w:r w:rsidR="00883DE9" w:rsidRPr="00883DE9">
              <w:t xml:space="preserve"> (</w:t>
            </w:r>
            <w:r w:rsidR="00EE455E">
              <w:t xml:space="preserve">Figure </w:t>
            </w:r>
            <w:r w:rsidR="00EE455E">
              <w:rPr>
                <w:noProof/>
              </w:rPr>
              <w:t>96</w:t>
            </w:r>
            <w:r w:rsidR="00883DE9" w:rsidRPr="00883DE9">
              <w:t>)</w:t>
            </w:r>
            <w:r>
              <w:t>.</w:t>
            </w:r>
          </w:p>
          <w:p w14:paraId="268E6D54" w14:textId="77777777" w:rsidR="0091416B" w:rsidRDefault="0091416B" w:rsidP="0091416B">
            <w:pPr>
              <w:pStyle w:val="TableTextNumbersContinued"/>
            </w:pPr>
          </w:p>
          <w:p w14:paraId="4104EE88" w14:textId="77777777" w:rsidR="0091416B" w:rsidRDefault="0091416B" w:rsidP="0091416B">
            <w:pPr>
              <w:pStyle w:val="TableTextNumbersContinued"/>
            </w:pPr>
            <w:r>
              <w:t xml:space="preserve">Click </w:t>
            </w:r>
            <w:r>
              <w:rPr>
                <w:b/>
              </w:rPr>
              <w:t>OK</w:t>
            </w:r>
            <w:r>
              <w:t xml:space="preserve"> to continue with testing.</w:t>
            </w:r>
          </w:p>
        </w:tc>
        <w:tc>
          <w:tcPr>
            <w:tcW w:w="6120" w:type="dxa"/>
          </w:tcPr>
          <w:p w14:paraId="753FA807" w14:textId="77777777" w:rsidR="0091416B" w:rsidRDefault="001467B6" w:rsidP="001467B6">
            <w:pPr>
              <w:pStyle w:val="TableTextBullet"/>
            </w:pPr>
            <w:r>
              <w:t>Allows the user to s</w:t>
            </w:r>
            <w:r w:rsidRPr="001467B6">
              <w:t xml:space="preserve">elect the All Phases </w:t>
            </w:r>
            <w:r w:rsidR="00D50784">
              <w:t>or</w:t>
            </w:r>
            <w:r w:rsidRPr="001467B6">
              <w:t xml:space="preserve"> AHG Only radio buttons only when </w:t>
            </w:r>
            <w:r>
              <w:t>applicable.</w:t>
            </w:r>
          </w:p>
          <w:p w14:paraId="261DFF78" w14:textId="77777777" w:rsidR="004A6E1E" w:rsidRDefault="004A6E1E" w:rsidP="004A6E1E">
            <w:pPr>
              <w:pStyle w:val="TableTextBullet"/>
            </w:pPr>
            <w:r>
              <w:t>Displays reagent rack names and associated information.</w:t>
            </w:r>
          </w:p>
          <w:p w14:paraId="67DE59DC" w14:textId="77777777" w:rsidR="004A6E1E" w:rsidRDefault="004A6E1E" w:rsidP="004A6E1E">
            <w:pPr>
              <w:pStyle w:val="TableTextBullet"/>
            </w:pPr>
            <w:r>
              <w:rPr>
                <w:rFonts w:cs="Arial"/>
                <w:vanish/>
              </w:rPr>
              <w:t xml:space="preserve">BR_56.15 </w:t>
            </w:r>
            <w:r>
              <w:t xml:space="preserve">Requires the user to select the </w:t>
            </w:r>
            <w:r w:rsidR="00DA7212">
              <w:t xml:space="preserve">reagent </w:t>
            </w:r>
            <w:r>
              <w:t>rack name</w:t>
            </w:r>
            <w:r w:rsidR="00DA7212">
              <w:t>. The testing</w:t>
            </w:r>
            <w:r>
              <w:t xml:space="preserve"> grid configuration </w:t>
            </w:r>
            <w:r w:rsidR="00DA7212">
              <w:t>for</w:t>
            </w:r>
            <w:r>
              <w:t xml:space="preserve"> serologic testing</w:t>
            </w:r>
            <w:r w:rsidR="00DA7212">
              <w:t xml:space="preserve"> defaults to the setting selected in the Configure Division option. The user is allowed </w:t>
            </w:r>
            <w:r>
              <w:t xml:space="preserve">to indicate whether an automated instrument was used. </w:t>
            </w:r>
          </w:p>
          <w:p w14:paraId="582A40C3" w14:textId="77777777" w:rsidR="004A6E1E" w:rsidRDefault="004A6E1E" w:rsidP="004A6E1E">
            <w:pPr>
              <w:pStyle w:val="TableTextBullet"/>
            </w:pPr>
            <w:r>
              <w:t>Displays the date and time testing was performed.</w:t>
            </w:r>
          </w:p>
          <w:p w14:paraId="68034BA2" w14:textId="77777777" w:rsidR="004A6E1E" w:rsidRDefault="004A6E1E" w:rsidP="004A6E1E">
            <w:pPr>
              <w:pStyle w:val="TableTextBullet"/>
            </w:pPr>
            <w:r>
              <w:t>Displays the testing technologist name.</w:t>
            </w:r>
          </w:p>
          <w:p w14:paraId="61797B0A" w14:textId="77777777" w:rsidR="001467B6" w:rsidRDefault="001467B6" w:rsidP="0091416B">
            <w:pPr>
              <w:pStyle w:val="TableText"/>
            </w:pPr>
          </w:p>
          <w:p w14:paraId="0C720BC6" w14:textId="1B0A42B6" w:rsidR="0091416B" w:rsidRDefault="0091416B" w:rsidP="0091416B">
            <w:pPr>
              <w:pStyle w:val="TableText"/>
              <w:rPr>
                <w:b/>
                <w:bCs/>
                <w:szCs w:val="18"/>
              </w:rPr>
            </w:pPr>
            <w:r>
              <w:rPr>
                <w:b/>
                <w:bCs/>
                <w:szCs w:val="18"/>
              </w:rPr>
              <w:t>NOTES</w:t>
            </w:r>
          </w:p>
          <w:p w14:paraId="0E3A55F1" w14:textId="77777777" w:rsidR="0091416B" w:rsidRDefault="0091416B" w:rsidP="0091416B">
            <w:pPr>
              <w:pStyle w:val="NotesText"/>
            </w:pPr>
          </w:p>
          <w:p w14:paraId="6EFFBC10" w14:textId="77777777" w:rsidR="0091416B" w:rsidRDefault="0091416B" w:rsidP="0091416B">
            <w:pPr>
              <w:pStyle w:val="NotesText"/>
            </w:pPr>
            <w:r>
              <w:rPr>
                <w:rFonts w:cs="Arial"/>
                <w:vanish/>
              </w:rPr>
              <w:t xml:space="preserve">BR_40.04 </w:t>
            </w:r>
            <w:r>
              <w:t xml:space="preserve">When the testing method selected is AHG only, VBECS </w:t>
            </w:r>
            <w:r w:rsidR="00B16403">
              <w:t xml:space="preserve">enables specific phases for </w:t>
            </w:r>
            <w:r>
              <w:t xml:space="preserve">the </w:t>
            </w:r>
            <w:r w:rsidR="00B16403">
              <w:t xml:space="preserve">ABS and XM </w:t>
            </w:r>
            <w:r>
              <w:t>data grid</w:t>
            </w:r>
            <w:r w:rsidR="00B16403">
              <w:t xml:space="preserve"> boxes for:</w:t>
            </w:r>
          </w:p>
          <w:p w14:paraId="63DEB6E2" w14:textId="77777777" w:rsidR="00B16403" w:rsidRDefault="00B16403" w:rsidP="00925CAD">
            <w:pPr>
              <w:pStyle w:val="NotesText"/>
              <w:numPr>
                <w:ilvl w:val="0"/>
                <w:numId w:val="41"/>
              </w:numPr>
            </w:pPr>
            <w:r>
              <w:t xml:space="preserve">Antibody Screen (ABS): AHG phase </w:t>
            </w:r>
          </w:p>
          <w:p w14:paraId="721AECB7" w14:textId="77777777" w:rsidR="00B16403" w:rsidRDefault="00B16403" w:rsidP="00925CAD">
            <w:pPr>
              <w:pStyle w:val="NotesText"/>
              <w:numPr>
                <w:ilvl w:val="0"/>
                <w:numId w:val="41"/>
              </w:numPr>
            </w:pPr>
            <w:r>
              <w:t xml:space="preserve">Serologic crossmatch (XM): IS and AHG phases </w:t>
            </w:r>
          </w:p>
          <w:p w14:paraId="0DF828E9" w14:textId="77777777" w:rsidR="004A6E1E" w:rsidRDefault="004A6E1E" w:rsidP="004A6E1E">
            <w:pPr>
              <w:pStyle w:val="NotesText"/>
            </w:pPr>
          </w:p>
          <w:p w14:paraId="04463303" w14:textId="77777777" w:rsidR="004A6E1E" w:rsidRDefault="004A6E1E" w:rsidP="004A6E1E">
            <w:pPr>
              <w:pStyle w:val="NotesText"/>
            </w:pPr>
            <w:r>
              <w:t>Rack configuration of AHG applies only to the antibody screen and crossmatch testing grids.</w:t>
            </w:r>
          </w:p>
          <w:p w14:paraId="141FAEB1" w14:textId="77777777" w:rsidR="004A6E1E" w:rsidRDefault="004A6E1E" w:rsidP="004A6E1E">
            <w:pPr>
              <w:pStyle w:val="NotesText"/>
            </w:pPr>
          </w:p>
          <w:p w14:paraId="1E7D8369" w14:textId="77777777" w:rsidR="004A6E1E" w:rsidRDefault="004A6E1E" w:rsidP="004A6E1E">
            <w:pPr>
              <w:pStyle w:val="NotesText"/>
            </w:pPr>
            <w:r>
              <w:t>The user may select another user’s name from the list, as appropriate.</w:t>
            </w:r>
            <w:r w:rsidR="00E36CAB">
              <w:t xml:space="preserve"> The logged on user’s name appears on the Testing Worklist Report as the Processing Tech in addition to the selected user name.</w:t>
            </w:r>
          </w:p>
          <w:p w14:paraId="50271515" w14:textId="77777777" w:rsidR="004A6E1E" w:rsidRDefault="004A6E1E" w:rsidP="004A6E1E">
            <w:pPr>
              <w:pStyle w:val="NotesText"/>
            </w:pPr>
          </w:p>
          <w:p w14:paraId="06609A7A" w14:textId="77777777" w:rsidR="004A6E1E" w:rsidRDefault="004A6E1E" w:rsidP="004A6E1E">
            <w:pPr>
              <w:pStyle w:val="NotesText"/>
            </w:pPr>
            <w:r>
              <w:t>The user may indicate that testing was performed at a past date and time.</w:t>
            </w:r>
          </w:p>
          <w:p w14:paraId="4312F79D" w14:textId="77777777" w:rsidR="004A6E1E" w:rsidRDefault="004A6E1E" w:rsidP="00906AE3">
            <w:pPr>
              <w:pStyle w:val="NotesText"/>
            </w:pPr>
          </w:p>
          <w:p w14:paraId="49B20BD7" w14:textId="528581AF" w:rsidR="004A6E1E" w:rsidRDefault="00906AE3" w:rsidP="00906AE3">
            <w:pPr>
              <w:pStyle w:val="NotesText"/>
            </w:pPr>
            <w:r w:rsidRPr="00896F17">
              <w:rPr>
                <w:rStyle w:val="BullhornChar"/>
              </w:rPr>
              <w:t></w:t>
            </w:r>
            <w:r w:rsidRPr="00C51C45">
              <w:t xml:space="preserve"> </w:t>
            </w:r>
            <w:r>
              <w:t xml:space="preserve">See </w:t>
            </w:r>
            <w:r w:rsidR="00EE455E">
              <w:t xml:space="preserve">Table </w:t>
            </w:r>
            <w:r w:rsidR="00EE455E">
              <w:rPr>
                <w:noProof/>
              </w:rPr>
              <w:t>10</w:t>
            </w:r>
            <w:r w:rsidR="003D71A3">
              <w:t xml:space="preserve"> </w:t>
            </w:r>
            <w:r w:rsidR="004A6E1E">
              <w:t>for alerts that may occur during this option.</w:t>
            </w:r>
          </w:p>
        </w:tc>
      </w:tr>
      <w:tr w:rsidR="002A21AE" w14:paraId="2CE52011" w14:textId="77777777" w:rsidTr="003362FE">
        <w:trPr>
          <w:cantSplit/>
        </w:trPr>
        <w:tc>
          <w:tcPr>
            <w:tcW w:w="3240" w:type="dxa"/>
          </w:tcPr>
          <w:p w14:paraId="2E844B26" w14:textId="77777777" w:rsidR="002A21AE" w:rsidRDefault="002A21AE">
            <w:pPr>
              <w:pStyle w:val="TableTextNumbers"/>
            </w:pPr>
            <w:r>
              <w:t xml:space="preserve">Respond to warnings, which may include entering a comment and details, and click </w:t>
            </w:r>
            <w:r>
              <w:rPr>
                <w:b/>
              </w:rPr>
              <w:t>OK</w:t>
            </w:r>
            <w:r>
              <w:t xml:space="preserve"> to continue. </w:t>
            </w:r>
          </w:p>
        </w:tc>
        <w:tc>
          <w:tcPr>
            <w:tcW w:w="6120" w:type="dxa"/>
          </w:tcPr>
          <w:p w14:paraId="2443BB96" w14:textId="77777777" w:rsidR="002A21AE" w:rsidRDefault="004D3195">
            <w:pPr>
              <w:pStyle w:val="TableTextBullet"/>
            </w:pPr>
            <w:r w:rsidRPr="00323744">
              <w:rPr>
                <w:rStyle w:val="BullhornChar"/>
              </w:rPr>
              <w:t></w:t>
            </w:r>
            <w:r>
              <w:rPr>
                <w:rFonts w:ascii="Webdings" w:hAnsi="Webdings"/>
              </w:rPr>
              <w:t></w:t>
            </w:r>
            <w:r w:rsidR="002A21AE">
              <w:t xml:space="preserve">Displays </w:t>
            </w:r>
            <w:r w:rsidR="00057948">
              <w:rPr>
                <w:noProof/>
              </w:rPr>
              <w:drawing>
                <wp:inline distT="0" distB="0" distL="0" distR="0" wp14:anchorId="200E056E" wp14:editId="49DE1D46">
                  <wp:extent cx="156845" cy="156845"/>
                  <wp:effectExtent l="0" t="0" r="0" b="0"/>
                  <wp:docPr id="237" name="Picture 237" descr="View Special Instructions and Transfusion Requirements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Picture 237" descr="View Special Instructions and Transfusion Requirements icon"/>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A21AE">
              <w:t xml:space="preserve"> and emits an audible alert when there are SIs or TRs for the patient.</w:t>
            </w:r>
          </w:p>
          <w:p w14:paraId="5580279B" w14:textId="77777777" w:rsidR="002A21AE" w:rsidRDefault="002A21AE">
            <w:pPr>
              <w:pStyle w:val="TableTextBullet"/>
            </w:pPr>
            <w:r>
              <w:t xml:space="preserve">Prepares a direct data entry </w:t>
            </w:r>
            <w:r w:rsidR="00917E9F">
              <w:t xml:space="preserve">(DDE) </w:t>
            </w:r>
            <w:r>
              <w:t>grid for the user to enter the serologic reaction results for testing associated with the selected tasks.</w:t>
            </w:r>
          </w:p>
          <w:p w14:paraId="307C5567" w14:textId="77777777" w:rsidR="002A21AE" w:rsidRDefault="002A21AE">
            <w:pPr>
              <w:pStyle w:val="TableTextBullet"/>
            </w:pPr>
            <w:r>
              <w:t>Displays testing results and entered interpretations until the user saves them.</w:t>
            </w:r>
          </w:p>
        </w:tc>
      </w:tr>
      <w:tr w:rsidR="002A21AE" w14:paraId="26CD53DA" w14:textId="77777777" w:rsidTr="003362FE">
        <w:trPr>
          <w:cantSplit/>
        </w:trPr>
        <w:tc>
          <w:tcPr>
            <w:tcW w:w="3240" w:type="dxa"/>
          </w:tcPr>
          <w:p w14:paraId="6D0C093C" w14:textId="669E7E80" w:rsidR="00287C4D" w:rsidRDefault="00287C4D">
            <w:pPr>
              <w:pStyle w:val="TableTextNumbers"/>
            </w:pPr>
            <w:r>
              <w:lastRenderedPageBreak/>
              <w:t>Select a patient to begin entering his serologic reactions</w:t>
            </w:r>
            <w:r w:rsidR="002A2E1E">
              <w:t xml:space="preserve"> (</w:t>
            </w:r>
            <w:r w:rsidR="00EE455E">
              <w:t xml:space="preserve">Figure </w:t>
            </w:r>
            <w:r w:rsidR="00EE455E">
              <w:rPr>
                <w:noProof/>
              </w:rPr>
              <w:t>97</w:t>
            </w:r>
            <w:r w:rsidR="002A2E1E">
              <w:t>)</w:t>
            </w:r>
            <w:r>
              <w:t>.</w:t>
            </w:r>
          </w:p>
          <w:p w14:paraId="01CB3391" w14:textId="77777777" w:rsidR="00287C4D" w:rsidRDefault="00287C4D" w:rsidP="00287C4D">
            <w:pPr>
              <w:pStyle w:val="TableTextNumbersContinued"/>
            </w:pPr>
          </w:p>
          <w:p w14:paraId="6B860363" w14:textId="77777777" w:rsidR="002A21AE" w:rsidRDefault="002A21AE" w:rsidP="00287C4D">
            <w:pPr>
              <w:pStyle w:val="TableTextNumbersContinued"/>
            </w:pPr>
            <w:r>
              <w:t>Repeat this step for each selected patient until all test results and interpretations are entered in the test grid.</w:t>
            </w:r>
          </w:p>
        </w:tc>
        <w:tc>
          <w:tcPr>
            <w:tcW w:w="6120" w:type="dxa"/>
          </w:tcPr>
          <w:p w14:paraId="0F3CD246" w14:textId="77777777" w:rsidR="00287C4D" w:rsidRDefault="00287C4D" w:rsidP="00287C4D">
            <w:pPr>
              <w:pStyle w:val="TableTextBullet"/>
            </w:pPr>
            <w:r>
              <w:t xml:space="preserve">Allows the user to select one patient at a time and enter a test result for that patient. </w:t>
            </w:r>
          </w:p>
          <w:p w14:paraId="2B5B81CD" w14:textId="77777777" w:rsidR="00287C4D" w:rsidRDefault="00287C4D" w:rsidP="00287C4D">
            <w:pPr>
              <w:pStyle w:val="TableTextBullet"/>
            </w:pPr>
            <w:r>
              <w:t xml:space="preserve">Allows only valid data entries in the grid reaction result and interpretation cells. </w:t>
            </w:r>
          </w:p>
          <w:p w14:paraId="708F5C0D" w14:textId="77777777" w:rsidR="002A21AE" w:rsidRDefault="002A21AE">
            <w:pPr>
              <w:pStyle w:val="TableTextBullet"/>
            </w:pPr>
            <w:r>
              <w:rPr>
                <w:rFonts w:cs="Arial"/>
                <w:vanish/>
              </w:rPr>
              <w:t xml:space="preserve">BR_56.02 </w:t>
            </w:r>
            <w:r>
              <w:t xml:space="preserve">Allows a user to save </w:t>
            </w:r>
            <w:r w:rsidR="00F0003E">
              <w:t xml:space="preserve">partially completed tests. </w:t>
            </w:r>
          </w:p>
          <w:p w14:paraId="46CB62F9" w14:textId="77777777" w:rsidR="002A21AE" w:rsidRDefault="002A21AE">
            <w:pPr>
              <w:pStyle w:val="TableTextBullet"/>
            </w:pPr>
            <w:r>
              <w:t xml:space="preserve">When the user enters interpretation data, allows the save with or without warnings and overrides based on the test results entered for the patient and the user’s </w:t>
            </w:r>
            <w:r w:rsidR="00082F78">
              <w:t>security level</w:t>
            </w:r>
            <w:r>
              <w:t xml:space="preserve">. </w:t>
            </w:r>
          </w:p>
          <w:p w14:paraId="03A0B4DD" w14:textId="77777777" w:rsidR="002A21AE" w:rsidRDefault="002A21AE">
            <w:pPr>
              <w:pStyle w:val="TableText"/>
            </w:pPr>
          </w:p>
          <w:p w14:paraId="474743EC" w14:textId="73ADF5B0" w:rsidR="002A21AE" w:rsidRDefault="002A21AE">
            <w:pPr>
              <w:pStyle w:val="TableText"/>
              <w:rPr>
                <w:b/>
                <w:bCs/>
                <w:szCs w:val="18"/>
              </w:rPr>
            </w:pPr>
            <w:r>
              <w:rPr>
                <w:b/>
                <w:bCs/>
                <w:szCs w:val="18"/>
              </w:rPr>
              <w:t>NOTES</w:t>
            </w:r>
          </w:p>
          <w:p w14:paraId="14059312" w14:textId="77777777" w:rsidR="002A21AE" w:rsidRDefault="002A21AE">
            <w:pPr>
              <w:pStyle w:val="NotesText"/>
            </w:pPr>
          </w:p>
          <w:p w14:paraId="34E7E751" w14:textId="77777777" w:rsidR="00F0003E" w:rsidRDefault="002A21AE" w:rsidP="00F0003E">
            <w:pPr>
              <w:pStyle w:val="NotesText"/>
            </w:pPr>
            <w:r>
              <w:t>The user may order a reflex test and may update the patient’s TRs and SIs.</w:t>
            </w:r>
          </w:p>
          <w:p w14:paraId="3FA1D6BB" w14:textId="77777777" w:rsidR="00F0003E" w:rsidRDefault="00F0003E" w:rsidP="00F0003E">
            <w:pPr>
              <w:pStyle w:val="NotesText"/>
            </w:pPr>
          </w:p>
          <w:p w14:paraId="3EB7A8A3" w14:textId="77777777" w:rsidR="002A21AE" w:rsidRDefault="00F0003E" w:rsidP="00F0003E">
            <w:pPr>
              <w:pStyle w:val="NotesText"/>
            </w:pPr>
            <w:r>
              <w:rPr>
                <w:vanish/>
              </w:rPr>
              <w:t xml:space="preserve">BR_56.02 </w:t>
            </w:r>
            <w:r>
              <w:t>The ABO and Rh tests are considered one test and must be resulted together before a save is permitted.</w:t>
            </w:r>
            <w:r w:rsidR="002A21AE">
              <w:t xml:space="preserve"> </w:t>
            </w:r>
          </w:p>
        </w:tc>
      </w:tr>
      <w:tr w:rsidR="002A21AE" w14:paraId="5B1F1640" w14:textId="77777777" w:rsidTr="003362FE">
        <w:trPr>
          <w:cantSplit/>
        </w:trPr>
        <w:tc>
          <w:tcPr>
            <w:tcW w:w="3240" w:type="dxa"/>
          </w:tcPr>
          <w:p w14:paraId="2E16957B" w14:textId="77777777" w:rsidR="002A21AE" w:rsidRDefault="002A21AE">
            <w:pPr>
              <w:pStyle w:val="TableTextNumbers"/>
            </w:pPr>
            <w:r>
              <w:t xml:space="preserve">Respond to warnings for the selected patient and confirm that appropriate test results were entered. </w:t>
            </w:r>
          </w:p>
          <w:p w14:paraId="33716DDF" w14:textId="77777777" w:rsidR="002A21AE" w:rsidRDefault="002A21AE">
            <w:pPr>
              <w:pStyle w:val="TableTextNumbersContinued"/>
            </w:pPr>
          </w:p>
          <w:p w14:paraId="2190C3DA" w14:textId="620A8884" w:rsidR="002A21AE" w:rsidRDefault="002A21AE">
            <w:pPr>
              <w:pStyle w:val="TableTextNumbersContinued"/>
            </w:pPr>
            <w:r>
              <w:t>Repeat Steps 5</w:t>
            </w:r>
            <w:r w:rsidR="004F5589">
              <w:t xml:space="preserve"> and </w:t>
            </w:r>
            <w:r>
              <w:t>6 for each patient until all patient work is saved.</w:t>
            </w:r>
          </w:p>
        </w:tc>
        <w:tc>
          <w:tcPr>
            <w:tcW w:w="6120" w:type="dxa"/>
          </w:tcPr>
          <w:p w14:paraId="49B652BE" w14:textId="77777777" w:rsidR="002A21AE" w:rsidRDefault="002A21AE">
            <w:pPr>
              <w:pStyle w:val="TableTextBullet"/>
            </w:pPr>
            <w:r>
              <w:rPr>
                <w:rFonts w:cs="Arial"/>
                <w:vanish/>
              </w:rPr>
              <w:t xml:space="preserve">BR_56.05 </w:t>
            </w:r>
            <w:r>
              <w:t xml:space="preserve">When a user enters a valid interpretation and saves it for a test, updates the order status to “completed.” </w:t>
            </w:r>
          </w:p>
          <w:p w14:paraId="729126FA" w14:textId="77777777" w:rsidR="002A21AE" w:rsidRDefault="002A21AE">
            <w:pPr>
              <w:pStyle w:val="TableTextBullet"/>
            </w:pPr>
            <w:r>
              <w:rPr>
                <w:rFonts w:cs="Arial"/>
                <w:vanish/>
              </w:rPr>
              <w:t xml:space="preserve">BR_56.11 </w:t>
            </w:r>
            <w:r>
              <w:t>Displays each patient’s data for review before allowing the user to save them.</w:t>
            </w:r>
          </w:p>
          <w:p w14:paraId="45912A7F" w14:textId="77777777" w:rsidR="002A21AE" w:rsidRDefault="002A21AE">
            <w:pPr>
              <w:pStyle w:val="TableTextBullet"/>
            </w:pPr>
            <w:r>
              <w:t>Saves patient testing results for retrieval from completed tests.</w:t>
            </w:r>
          </w:p>
          <w:p w14:paraId="6D1836B5" w14:textId="77777777" w:rsidR="002A21AE" w:rsidRDefault="002A21AE">
            <w:pPr>
              <w:pStyle w:val="TableTextBullet"/>
            </w:pPr>
            <w:r>
              <w:t>Saves only the patient testing displayed.</w:t>
            </w:r>
          </w:p>
          <w:p w14:paraId="54F79F29" w14:textId="77777777" w:rsidR="002A21AE" w:rsidRDefault="002A21AE">
            <w:pPr>
              <w:pStyle w:val="TableText"/>
              <w:rPr>
                <w:b/>
                <w:bCs/>
                <w:szCs w:val="18"/>
              </w:rPr>
            </w:pPr>
          </w:p>
          <w:p w14:paraId="3AA1C6D4" w14:textId="73B75C44" w:rsidR="002A21AE" w:rsidRDefault="002A21AE">
            <w:pPr>
              <w:pStyle w:val="TableText"/>
              <w:rPr>
                <w:b/>
                <w:bCs/>
                <w:szCs w:val="18"/>
              </w:rPr>
            </w:pPr>
            <w:r>
              <w:rPr>
                <w:b/>
                <w:bCs/>
                <w:szCs w:val="18"/>
              </w:rPr>
              <w:t>NOTES</w:t>
            </w:r>
          </w:p>
          <w:p w14:paraId="6B55922C" w14:textId="77777777" w:rsidR="002A21AE" w:rsidRDefault="002A21AE">
            <w:pPr>
              <w:pStyle w:val="NotesText"/>
            </w:pPr>
          </w:p>
          <w:p w14:paraId="4CD5960C" w14:textId="77777777" w:rsidR="002A21AE" w:rsidRDefault="002A21AE">
            <w:pPr>
              <w:pStyle w:val="NotesText"/>
            </w:pPr>
            <w:r>
              <w:rPr>
                <w:rFonts w:cs="Arial"/>
                <w:vanish/>
              </w:rPr>
              <w:t xml:space="preserve">BR_56.04 </w:t>
            </w:r>
            <w:r>
              <w:t>The user may save part or all of one patient’s testing results at a time. When all data for a patient are saved, the patient tab is no longer visible.</w:t>
            </w:r>
          </w:p>
          <w:p w14:paraId="38EA3223" w14:textId="77777777" w:rsidR="002A21AE" w:rsidRDefault="002A21AE">
            <w:pPr>
              <w:pStyle w:val="NotesText"/>
            </w:pPr>
          </w:p>
          <w:p w14:paraId="0B923226" w14:textId="77777777" w:rsidR="002A21AE" w:rsidRDefault="002A21AE">
            <w:pPr>
              <w:pStyle w:val="NotesText"/>
            </w:pPr>
            <w:r>
              <w:rPr>
                <w:rFonts w:cs="Arial"/>
                <w:vanish/>
              </w:rPr>
              <w:t xml:space="preserve">BR_56.27 </w:t>
            </w:r>
            <w:r>
              <w:t xml:space="preserve">When a user saves a test with a “correction” task status, VBECS saves the results and interpretations and adds </w:t>
            </w:r>
            <w:r w:rsidR="00EB2CC3">
              <w:t>a</w:t>
            </w:r>
            <w:r>
              <w:t xml:space="preserve"> comment </w:t>
            </w:r>
            <w:r w:rsidR="00EB2CC3">
              <w:t>to the Testing Worklist Report</w:t>
            </w:r>
            <w:r>
              <w:t xml:space="preserve">. </w:t>
            </w:r>
          </w:p>
          <w:p w14:paraId="029A8F96" w14:textId="77777777" w:rsidR="00587EE2" w:rsidRDefault="00587EE2">
            <w:pPr>
              <w:pStyle w:val="NotesText"/>
              <w:rPr>
                <w:rFonts w:cs="Arial"/>
                <w:spacing w:val="-5"/>
              </w:rPr>
            </w:pPr>
          </w:p>
          <w:p w14:paraId="7E830E4F" w14:textId="683EBAB9" w:rsidR="00587EE2" w:rsidRDefault="00587EE2">
            <w:pPr>
              <w:pStyle w:val="NotesText"/>
              <w:rPr>
                <w:rFonts w:cs="Arial"/>
                <w:spacing w:val="-5"/>
              </w:rPr>
            </w:pPr>
            <w:r w:rsidRPr="00587EE2">
              <w:rPr>
                <w:rFonts w:cs="Arial"/>
                <w:vanish/>
                <w:spacing w:val="-5"/>
              </w:rPr>
              <w:t xml:space="preserve">BR_56.30 </w:t>
            </w:r>
            <w:r>
              <w:rPr>
                <w:rFonts w:cs="Arial"/>
                <w:spacing w:val="-5"/>
              </w:rPr>
              <w:t>VBECS sends an order completion message to CPRS w</w:t>
            </w:r>
            <w:r w:rsidRPr="009B6526">
              <w:rPr>
                <w:rFonts w:cs="Arial"/>
                <w:spacing w:val="-5"/>
              </w:rPr>
              <w:t xml:space="preserve">hen the user </w:t>
            </w:r>
            <w:r>
              <w:rPr>
                <w:rFonts w:cs="Arial"/>
                <w:spacing w:val="-5"/>
              </w:rPr>
              <w:t>enters</w:t>
            </w:r>
            <w:r w:rsidRPr="009B6526">
              <w:rPr>
                <w:rFonts w:cs="Arial"/>
                <w:spacing w:val="-5"/>
              </w:rPr>
              <w:t xml:space="preserve"> and successfully save</w:t>
            </w:r>
            <w:r>
              <w:rPr>
                <w:rFonts w:cs="Arial"/>
                <w:spacing w:val="-5"/>
              </w:rPr>
              <w:t>s</w:t>
            </w:r>
            <w:r w:rsidRPr="009B6526">
              <w:rPr>
                <w:rFonts w:cs="Arial"/>
                <w:spacing w:val="-5"/>
              </w:rPr>
              <w:t xml:space="preserve"> all test results and interpretations for </w:t>
            </w:r>
            <w:r>
              <w:rPr>
                <w:rFonts w:cs="Arial"/>
                <w:spacing w:val="-5"/>
              </w:rPr>
              <w:t xml:space="preserve">a </w:t>
            </w:r>
            <w:r w:rsidRPr="009B6526">
              <w:rPr>
                <w:rFonts w:cs="Arial"/>
                <w:spacing w:val="-5"/>
              </w:rPr>
              <w:t>diagnostic test</w:t>
            </w:r>
            <w:r>
              <w:rPr>
                <w:rFonts w:cs="Arial"/>
                <w:spacing w:val="-5"/>
              </w:rPr>
              <w:t>.</w:t>
            </w:r>
            <w:r w:rsidRPr="00587EE2">
              <w:rPr>
                <w:rFonts w:cs="Arial"/>
                <w:vanish/>
                <w:spacing w:val="-5"/>
              </w:rPr>
              <w:t>DR 2,869</w:t>
            </w:r>
          </w:p>
          <w:p w14:paraId="498E3814" w14:textId="700A2E2E" w:rsidR="00AF6F7F" w:rsidRDefault="00AF6F7F">
            <w:pPr>
              <w:pStyle w:val="NotesText"/>
              <w:rPr>
                <w:rFonts w:cs="Arial"/>
                <w:spacing w:val="-5"/>
              </w:rPr>
            </w:pPr>
          </w:p>
          <w:p w14:paraId="519A8F86" w14:textId="3467E65B" w:rsidR="00AF6F7F" w:rsidRDefault="00AF6F7F">
            <w:pPr>
              <w:pStyle w:val="NotesText"/>
              <w:rPr>
                <w:rFonts w:cs="Arial"/>
                <w:spacing w:val="-5"/>
              </w:rPr>
            </w:pPr>
            <w:r w:rsidRPr="00AF6F7F">
              <w:rPr>
                <w:vanish/>
              </w:rPr>
              <w:t xml:space="preserve">BR_53.08 </w:t>
            </w:r>
            <w:r>
              <w:t xml:space="preserve">If the antibody screen is positive, the system shall emit an audible alert and warning that displays </w:t>
            </w:r>
            <w:r w:rsidRPr="00DD6184">
              <w:t>Patient has a POSITIVE Antibody Screen Result. Please perform Antibody Identification on this patient prior to issue of blood components</w:t>
            </w:r>
            <w:r>
              <w:t>.</w:t>
            </w:r>
          </w:p>
          <w:p w14:paraId="04C8DBF9" w14:textId="77777777" w:rsidR="00587EE2" w:rsidRDefault="00587EE2">
            <w:pPr>
              <w:pStyle w:val="NotesText"/>
            </w:pPr>
          </w:p>
          <w:p w14:paraId="28AB9FD2" w14:textId="77777777" w:rsidR="002A21AE" w:rsidRDefault="00EC7489" w:rsidP="00EC7489">
            <w:pPr>
              <w:pStyle w:val="NotesText"/>
            </w:pPr>
            <w:r w:rsidRPr="00323744">
              <w:rPr>
                <w:rStyle w:val="BullhornChar"/>
              </w:rPr>
              <w:t></w:t>
            </w:r>
            <w:r>
              <w:rPr>
                <w:rFonts w:ascii="Webdings" w:hAnsi="Webdings"/>
              </w:rPr>
              <w:t></w:t>
            </w:r>
            <w:r w:rsidR="002A21AE">
              <w:t>May display multiple warning and override messages for the user’s response.</w:t>
            </w:r>
          </w:p>
        </w:tc>
      </w:tr>
      <w:tr w:rsidR="002A21AE" w14:paraId="0DF6204A" w14:textId="77777777" w:rsidTr="003362FE">
        <w:trPr>
          <w:cantSplit/>
        </w:trPr>
        <w:tc>
          <w:tcPr>
            <w:tcW w:w="3240" w:type="dxa"/>
          </w:tcPr>
          <w:p w14:paraId="52A582B8" w14:textId="77777777" w:rsidR="002A21AE" w:rsidRDefault="002A21AE">
            <w:pPr>
              <w:pStyle w:val="TableTextNumbers"/>
            </w:pPr>
            <w:r>
              <w:t xml:space="preserve">When the selected patient testing is complete, click </w:t>
            </w:r>
            <w:r>
              <w:rPr>
                <w:b/>
              </w:rPr>
              <w:t>OK</w:t>
            </w:r>
            <w:r>
              <w:t xml:space="preserve"> and </w:t>
            </w:r>
            <w:r>
              <w:rPr>
                <w:b/>
              </w:rPr>
              <w:t>Yes</w:t>
            </w:r>
            <w:r>
              <w:t xml:space="preserve"> to confirm changes and continue to the next patient, or exit. </w:t>
            </w:r>
            <w:r>
              <w:rPr>
                <w:vanish/>
                <w:color w:val="FFFFFF"/>
                <w:szCs w:val="18"/>
              </w:rPr>
              <w:fldChar w:fldCharType="begin"/>
            </w:r>
            <w:r>
              <w:rPr>
                <w:vanish/>
                <w:color w:val="FFFFFF"/>
                <w:szCs w:val="18"/>
              </w:rPr>
              <w:instrText xml:space="preserve"> LISTNUM \l 1 \s 0 </w:instrText>
            </w:r>
            <w:r>
              <w:rPr>
                <w:vanish/>
                <w:color w:val="FFFFFF"/>
                <w:szCs w:val="18"/>
              </w:rPr>
              <w:fldChar w:fldCharType="end">
                <w:numberingChange w:id="533" w:author="MUSZYNSKI, THOMAS D. (SIERRA 7 INC)" w:date="2024-11-26T07:15:00Z" w:original="0."/>
              </w:fldChar>
            </w:r>
          </w:p>
        </w:tc>
        <w:tc>
          <w:tcPr>
            <w:tcW w:w="6120" w:type="dxa"/>
          </w:tcPr>
          <w:p w14:paraId="3294B525" w14:textId="77777777" w:rsidR="002A21AE" w:rsidRDefault="002A21AE">
            <w:pPr>
              <w:pStyle w:val="TableText"/>
            </w:pPr>
            <w:r>
              <w:t xml:space="preserve"> </w:t>
            </w:r>
          </w:p>
        </w:tc>
      </w:tr>
    </w:tbl>
    <w:p w14:paraId="3641742D" w14:textId="2FA4C9E9" w:rsidR="007810A1" w:rsidRDefault="002A2E1E" w:rsidP="007810A1">
      <w:pPr>
        <w:pStyle w:val="Caption"/>
      </w:pPr>
      <w:bookmarkStart w:id="534" w:name="_Ref126726451"/>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7D1829">
        <w:rPr>
          <w:noProof/>
        </w:rPr>
        <w:t>97</w:t>
      </w:r>
      <w:r w:rsidR="004E20BD">
        <w:rPr>
          <w:noProof/>
        </w:rPr>
        <w:fldChar w:fldCharType="end"/>
      </w:r>
      <w:bookmarkEnd w:id="534"/>
      <w:r>
        <w:t>: Testing Details</w:t>
      </w:r>
      <w:bookmarkStart w:id="535" w:name="_Ref126726602"/>
    </w:p>
    <w:p w14:paraId="0812AC28" w14:textId="77777777" w:rsidR="007810A1" w:rsidRPr="007810A1" w:rsidRDefault="00057948" w:rsidP="00D327A3">
      <w:pPr>
        <w:pStyle w:val="BodyText"/>
      </w:pPr>
      <w:r>
        <w:rPr>
          <w:noProof/>
        </w:rPr>
        <w:drawing>
          <wp:inline distT="0" distB="0" distL="0" distR="0" wp14:anchorId="4AFCD5CA" wp14:editId="73134EF5">
            <wp:extent cx="4322445" cy="2964815"/>
            <wp:effectExtent l="0" t="0" r="1905" b="6985"/>
            <wp:docPr id="238" name="Picture 238" descr="Example of Testing Details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Picture 238" descr="Example of Testing Details screen capture"/>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4322445" cy="2964815"/>
                    </a:xfrm>
                    <a:prstGeom prst="rect">
                      <a:avLst/>
                    </a:prstGeom>
                    <a:noFill/>
                    <a:ln>
                      <a:noFill/>
                    </a:ln>
                  </pic:spPr>
                </pic:pic>
              </a:graphicData>
            </a:graphic>
          </wp:inline>
        </w:drawing>
      </w:r>
    </w:p>
    <w:p w14:paraId="4F632AC9" w14:textId="6146A4F0" w:rsidR="002A2E1E" w:rsidRDefault="002A2E1E" w:rsidP="007810A1">
      <w:pPr>
        <w:pStyle w:val="Caption"/>
      </w:pPr>
      <w:bookmarkStart w:id="536" w:name="_Ref135568298"/>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7D1829">
        <w:rPr>
          <w:noProof/>
        </w:rPr>
        <w:t>98</w:t>
      </w:r>
      <w:r w:rsidR="004E20BD">
        <w:rPr>
          <w:noProof/>
        </w:rPr>
        <w:fldChar w:fldCharType="end"/>
      </w:r>
      <w:bookmarkEnd w:id="535"/>
      <w:bookmarkEnd w:id="536"/>
      <w:r>
        <w:t>: Patient Testing</w:t>
      </w:r>
    </w:p>
    <w:p w14:paraId="2A6D39F6" w14:textId="77777777" w:rsidR="002A2E1E" w:rsidRPr="006A0A4A" w:rsidRDefault="00057948" w:rsidP="007810A1">
      <w:pPr>
        <w:pStyle w:val="BodyText"/>
      </w:pPr>
      <w:r>
        <w:rPr>
          <w:noProof/>
        </w:rPr>
        <w:drawing>
          <wp:inline distT="0" distB="0" distL="0" distR="0" wp14:anchorId="5368F009" wp14:editId="5C9038B2">
            <wp:extent cx="5939155" cy="4433570"/>
            <wp:effectExtent l="0" t="0" r="4445" b="5080"/>
            <wp:docPr id="239" name="Picture 239" descr="Example of Patient Testing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Picture 239" descr="Example of Patient Testing screen capture"/>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5939155" cy="4433570"/>
                    </a:xfrm>
                    <a:prstGeom prst="rect">
                      <a:avLst/>
                    </a:prstGeom>
                    <a:noFill/>
                    <a:ln>
                      <a:noFill/>
                    </a:ln>
                  </pic:spPr>
                </pic:pic>
              </a:graphicData>
            </a:graphic>
          </wp:inline>
        </w:drawing>
      </w:r>
    </w:p>
    <w:p w14:paraId="3B555D25" w14:textId="77777777" w:rsidR="007810A1" w:rsidRDefault="007810A1" w:rsidP="007810A1">
      <w:pPr>
        <w:pStyle w:val="Heading4"/>
      </w:pPr>
      <w:bookmarkStart w:id="537" w:name="_Ref126504310"/>
      <w:bookmarkStart w:id="538" w:name="_Toc97523624"/>
      <w:bookmarkStart w:id="539" w:name="_Toc97527594"/>
      <w:r w:rsidRPr="00323744">
        <w:rPr>
          <w:rStyle w:val="BullhornChar"/>
        </w:rPr>
        <w:t></w:t>
      </w:r>
      <w:r>
        <w:rPr>
          <w:rFonts w:ascii="Webdings" w:hAnsi="Webdings"/>
        </w:rPr>
        <w:t></w:t>
      </w:r>
      <w:r>
        <w:t>Alerts</w:t>
      </w:r>
    </w:p>
    <w:p w14:paraId="54E338EB" w14:textId="01E1B4E4" w:rsidR="002A21AE" w:rsidRDefault="002A21AE">
      <w:pPr>
        <w:pStyle w:val="Caption"/>
      </w:pPr>
      <w:bookmarkStart w:id="540" w:name="_Ref135568198"/>
      <w:r>
        <w:t xml:space="preserve">Table </w:t>
      </w:r>
      <w:r w:rsidR="004E20BD">
        <w:rPr>
          <w:noProof/>
        </w:rPr>
        <w:fldChar w:fldCharType="begin"/>
      </w:r>
      <w:r w:rsidR="004E20BD">
        <w:rPr>
          <w:noProof/>
        </w:rPr>
        <w:instrText xml:space="preserve"> SEQ Table \* ARABIC </w:instrText>
      </w:r>
      <w:r w:rsidR="004E20BD">
        <w:rPr>
          <w:noProof/>
        </w:rPr>
        <w:fldChar w:fldCharType="separate"/>
      </w:r>
      <w:r w:rsidR="007D1829">
        <w:rPr>
          <w:noProof/>
        </w:rPr>
        <w:t>10</w:t>
      </w:r>
      <w:r w:rsidR="004E20BD">
        <w:rPr>
          <w:noProof/>
        </w:rPr>
        <w:fldChar w:fldCharType="end"/>
      </w:r>
      <w:bookmarkEnd w:id="537"/>
      <w:bookmarkEnd w:id="540"/>
      <w:r>
        <w:t xml:space="preserve">: Alerts That May Occur in Patient Testing: </w:t>
      </w:r>
      <w:bookmarkEnd w:id="538"/>
      <w:bookmarkEnd w:id="539"/>
      <w:r w:rsidR="00260BEA">
        <w:t>General Instructions</w:t>
      </w:r>
      <w:r>
        <w:fldChar w:fldCharType="begin"/>
      </w:r>
      <w:r>
        <w:instrText xml:space="preserve"> XE </w:instrText>
      </w:r>
      <w:r w:rsidR="00FA7E65">
        <w:instrText>“</w:instrText>
      </w:r>
      <w:r>
        <w:instrText>Tables:Alerts That May Occur in Patient Testing</w:instrText>
      </w:r>
      <w:r w:rsidR="00812371">
        <w:instrText xml:space="preserve"> -</w:instrText>
      </w:r>
      <w:r w:rsidR="00580422">
        <w:instrText xml:space="preserve"> </w:instrText>
      </w:r>
      <w:r w:rsidR="00260BEA">
        <w:instrText>General Instructions</w:instrText>
      </w:r>
      <w:r w:rsidR="00FA7E65">
        <w:instrText>”</w:instrText>
      </w:r>
      <w:r>
        <w:instrText xml:space="preserve"> </w:instrText>
      </w:r>
      <w:r>
        <w:fldChar w:fldCharType="end"/>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80"/>
        <w:gridCol w:w="8580"/>
      </w:tblGrid>
      <w:tr w:rsidR="002A21AE" w14:paraId="5471DFCC" w14:textId="77777777">
        <w:trPr>
          <w:tblHeader/>
        </w:trPr>
        <w:tc>
          <w:tcPr>
            <w:tcW w:w="780" w:type="dxa"/>
            <w:shd w:val="clear" w:color="auto" w:fill="B3B3B3"/>
          </w:tcPr>
          <w:p w14:paraId="2C0B7F77" w14:textId="77777777" w:rsidR="002A21AE" w:rsidRDefault="00DB3377">
            <w:pPr>
              <w:pStyle w:val="TableText"/>
              <w:rPr>
                <w:b/>
              </w:rPr>
            </w:pPr>
            <w:r>
              <w:rPr>
                <w:b/>
              </w:rPr>
              <w:t>User Action Step</w:t>
            </w:r>
          </w:p>
        </w:tc>
        <w:tc>
          <w:tcPr>
            <w:tcW w:w="8580" w:type="dxa"/>
            <w:shd w:val="clear" w:color="auto" w:fill="B3B3B3"/>
          </w:tcPr>
          <w:p w14:paraId="5025C7E1" w14:textId="77777777" w:rsidR="002A21AE" w:rsidRDefault="002A21AE">
            <w:pPr>
              <w:pStyle w:val="TableText"/>
              <w:rPr>
                <w:b/>
              </w:rPr>
            </w:pPr>
            <w:r>
              <w:rPr>
                <w:b/>
              </w:rPr>
              <w:t>Alerts</w:t>
            </w:r>
          </w:p>
        </w:tc>
      </w:tr>
      <w:tr w:rsidR="002A21AE" w14:paraId="3C87A336" w14:textId="77777777">
        <w:tblPrEx>
          <w:tblLook w:val="0000" w:firstRow="0" w:lastRow="0" w:firstColumn="0" w:lastColumn="0" w:noHBand="0" w:noVBand="0"/>
        </w:tblPrEx>
        <w:tc>
          <w:tcPr>
            <w:tcW w:w="780" w:type="dxa"/>
          </w:tcPr>
          <w:p w14:paraId="2FA385E1" w14:textId="77777777" w:rsidR="002A21AE" w:rsidRDefault="002A21AE">
            <w:pPr>
              <w:pStyle w:val="TableText"/>
            </w:pPr>
            <w:r>
              <w:t>4</w:t>
            </w:r>
          </w:p>
        </w:tc>
        <w:tc>
          <w:tcPr>
            <w:tcW w:w="8580" w:type="dxa"/>
          </w:tcPr>
          <w:p w14:paraId="2F53CA60" w14:textId="1801A44D" w:rsidR="002A21AE" w:rsidRDefault="002A21AE" w:rsidP="00D64D63">
            <w:pPr>
              <w:pStyle w:val="TableText"/>
            </w:pPr>
            <w:r w:rsidRPr="001D6391">
              <w:rPr>
                <w:vanish/>
              </w:rPr>
              <w:t xml:space="preserve">BR_41.04 </w:t>
            </w:r>
            <w:r>
              <w:t xml:space="preserve">When the division is configured as “full service” in </w:t>
            </w:r>
            <w:r w:rsidR="00D567C9">
              <w:t>Configure Division</w:t>
            </w:r>
            <w:r>
              <w:t xml:space="preserve">, VBECS displays data fields for the user to select or enter the lot number, and displays the manufacturer and expiration date of each antiserum to be used in this transaction to allow the user to choose the correct antiserum. VBECS displays in-date antisera and allows the user to select outdated antisera, if needed, emits an audible alert, and requires an override. VBECS captures details for inclusion in an Exception Report (exception type: expired antisera used). </w:t>
            </w:r>
            <w:r w:rsidR="004529D2">
              <w:t>A comment from the "Patient Testing" context is required.</w:t>
            </w:r>
          </w:p>
        </w:tc>
      </w:tr>
      <w:tr w:rsidR="002A21AE" w14:paraId="67F64162" w14:textId="77777777">
        <w:tblPrEx>
          <w:tblLook w:val="0000" w:firstRow="0" w:lastRow="0" w:firstColumn="0" w:lastColumn="0" w:noHBand="0" w:noVBand="0"/>
        </w:tblPrEx>
        <w:tc>
          <w:tcPr>
            <w:tcW w:w="780" w:type="dxa"/>
          </w:tcPr>
          <w:p w14:paraId="3A8D1C65" w14:textId="77777777" w:rsidR="002A21AE" w:rsidRDefault="002A21AE">
            <w:pPr>
              <w:pStyle w:val="TableText"/>
            </w:pPr>
            <w:r>
              <w:t>5</w:t>
            </w:r>
          </w:p>
        </w:tc>
        <w:tc>
          <w:tcPr>
            <w:tcW w:w="8580" w:type="dxa"/>
          </w:tcPr>
          <w:p w14:paraId="528716FF" w14:textId="77777777" w:rsidR="002A21AE" w:rsidRDefault="002A21AE">
            <w:pPr>
              <w:pStyle w:val="TableText"/>
            </w:pPr>
            <w:r>
              <w:rPr>
                <w:rFonts w:cs="Arial"/>
                <w:vanish/>
              </w:rPr>
              <w:t xml:space="preserve">BR_56.03 </w:t>
            </w:r>
            <w:r>
              <w:t>The user may cancel or delete a partially</w:t>
            </w:r>
            <w:r>
              <w:rPr>
                <w:b/>
              </w:rPr>
              <w:t xml:space="preserve"> </w:t>
            </w:r>
            <w:r>
              <w:t>completed grid. VBECS:</w:t>
            </w:r>
          </w:p>
          <w:p w14:paraId="238A1958" w14:textId="77777777" w:rsidR="002A21AE" w:rsidRDefault="002A21AE">
            <w:pPr>
              <w:pStyle w:val="TableTextBullet"/>
            </w:pPr>
            <w:r>
              <w:t xml:space="preserve">Emits an audible alert and requires a comment. </w:t>
            </w:r>
          </w:p>
          <w:p w14:paraId="03FAFD3E" w14:textId="77777777" w:rsidR="002A21AE" w:rsidRDefault="002A21AE">
            <w:pPr>
              <w:pStyle w:val="TableTextBullet"/>
            </w:pPr>
            <w:r>
              <w:t>Clears previously entered observed results from the data grid and allows the user to enter new data.</w:t>
            </w:r>
          </w:p>
          <w:p w14:paraId="4ED1F6CF" w14:textId="5F02E8E8" w:rsidR="002A21AE" w:rsidRDefault="002A21AE" w:rsidP="00BE7839">
            <w:pPr>
              <w:pStyle w:val="TableTextBullet"/>
            </w:pPr>
            <w:r>
              <w:t xml:space="preserve">Captures details for inclusion in an Exception Report (exception type: previously recorded results </w:t>
            </w:r>
            <w:r w:rsidR="00143C19">
              <w:t>inactivated</w:t>
            </w:r>
            <w:r>
              <w:t xml:space="preserve">). </w:t>
            </w:r>
            <w:r w:rsidR="00BE7839">
              <w:t>Note that t</w:t>
            </w:r>
            <w:r w:rsidR="00C46644">
              <w:t>he time displayed in the "Date/T</w:t>
            </w:r>
            <w:r w:rsidR="00BE7839" w:rsidRPr="00BE7839">
              <w:t>ime results invalidated" field is the time the results were entered.</w:t>
            </w:r>
            <w:r w:rsidR="00244AD3">
              <w:t xml:space="preserve"> </w:t>
            </w:r>
            <w:r w:rsidR="00244AD3" w:rsidRPr="00244AD3">
              <w:rPr>
                <w:vanish/>
              </w:rPr>
              <w:t>Defect 209618</w:t>
            </w:r>
          </w:p>
        </w:tc>
      </w:tr>
      <w:tr w:rsidR="002A21AE" w14:paraId="443468A2" w14:textId="77777777">
        <w:tblPrEx>
          <w:tblLook w:val="0000" w:firstRow="0" w:lastRow="0" w:firstColumn="0" w:lastColumn="0" w:noHBand="0" w:noVBand="0"/>
        </w:tblPrEx>
        <w:tc>
          <w:tcPr>
            <w:tcW w:w="780" w:type="dxa"/>
          </w:tcPr>
          <w:p w14:paraId="6D3732CD" w14:textId="77777777" w:rsidR="002A21AE" w:rsidRDefault="002A21AE">
            <w:pPr>
              <w:pStyle w:val="TableText"/>
            </w:pPr>
            <w:r>
              <w:t>6</w:t>
            </w:r>
          </w:p>
        </w:tc>
        <w:tc>
          <w:tcPr>
            <w:tcW w:w="8580" w:type="dxa"/>
          </w:tcPr>
          <w:p w14:paraId="79A4D961" w14:textId="77777777" w:rsidR="002A21AE" w:rsidRDefault="002A21AE">
            <w:pPr>
              <w:pStyle w:val="TableText"/>
            </w:pPr>
            <w:r>
              <w:rPr>
                <w:rFonts w:cs="Arial"/>
                <w:vanish/>
              </w:rPr>
              <w:t xml:space="preserve">BR_56.01 </w:t>
            </w:r>
            <w:r>
              <w:t>Warns that the user is saving the first instance of a historic ABO/Rh.</w:t>
            </w:r>
          </w:p>
        </w:tc>
      </w:tr>
      <w:tr w:rsidR="002A21AE" w14:paraId="66EF6146" w14:textId="77777777">
        <w:tblPrEx>
          <w:tblLook w:val="0000" w:firstRow="0" w:lastRow="0" w:firstColumn="0" w:lastColumn="0" w:noHBand="0" w:noVBand="0"/>
        </w:tblPrEx>
        <w:tc>
          <w:tcPr>
            <w:tcW w:w="780" w:type="dxa"/>
          </w:tcPr>
          <w:p w14:paraId="299ED536" w14:textId="77777777" w:rsidR="002A21AE" w:rsidRDefault="002A21AE">
            <w:pPr>
              <w:pStyle w:val="TableText"/>
            </w:pPr>
            <w:r>
              <w:lastRenderedPageBreak/>
              <w:t>6</w:t>
            </w:r>
          </w:p>
        </w:tc>
        <w:tc>
          <w:tcPr>
            <w:tcW w:w="8580" w:type="dxa"/>
          </w:tcPr>
          <w:p w14:paraId="4D664199" w14:textId="77777777" w:rsidR="004254A3" w:rsidRDefault="002A21AE">
            <w:pPr>
              <w:pStyle w:val="TableText"/>
            </w:pPr>
            <w:r>
              <w:rPr>
                <w:rFonts w:cs="Arial"/>
                <w:vanish/>
              </w:rPr>
              <w:t xml:space="preserve">BR_56.12 </w:t>
            </w:r>
            <w:r>
              <w:t xml:space="preserve">When the ABO/Rh interpretation matches observed results, is not inconclusive, and does not match the patient’s historic ABO/Rh (if any, including from database conversion), VBECS emits an audible alert, warns that the current ABO/Rh does not match previous results, and instructs the user to enter a comment to continue, or click </w:t>
            </w:r>
            <w:r>
              <w:rPr>
                <w:b/>
              </w:rPr>
              <w:t>Cancel</w:t>
            </w:r>
            <w:r>
              <w:t xml:space="preserve"> to clear the ABO/Rh testing results and interpretation from the screen. VBECS captures details for inclusion in an Exception Report (exception type: ABO/Rh discrepancy).</w:t>
            </w:r>
          </w:p>
        </w:tc>
      </w:tr>
      <w:tr w:rsidR="002A21AE" w14:paraId="5CFE5F7E" w14:textId="77777777">
        <w:tblPrEx>
          <w:tblLook w:val="0000" w:firstRow="0" w:lastRow="0" w:firstColumn="0" w:lastColumn="0" w:noHBand="0" w:noVBand="0"/>
        </w:tblPrEx>
        <w:tc>
          <w:tcPr>
            <w:tcW w:w="780" w:type="dxa"/>
          </w:tcPr>
          <w:p w14:paraId="08739A57" w14:textId="77777777" w:rsidR="002A21AE" w:rsidRDefault="002A21AE">
            <w:pPr>
              <w:pStyle w:val="TableText"/>
            </w:pPr>
            <w:r>
              <w:t>6</w:t>
            </w:r>
          </w:p>
        </w:tc>
        <w:tc>
          <w:tcPr>
            <w:tcW w:w="8580" w:type="dxa"/>
          </w:tcPr>
          <w:p w14:paraId="55F4C243" w14:textId="77777777" w:rsidR="002A21AE" w:rsidRDefault="002A21AE">
            <w:pPr>
              <w:pStyle w:val="TableText"/>
            </w:pPr>
            <w:r>
              <w:rPr>
                <w:rFonts w:cs="Arial"/>
                <w:vanish/>
                <w:szCs w:val="18"/>
              </w:rPr>
              <w:t>BR_56.16</w:t>
            </w:r>
            <w:r w:rsidR="00CE3961">
              <w:rPr>
                <w:rFonts w:cs="Arial"/>
                <w:vanish/>
                <w:szCs w:val="18"/>
              </w:rPr>
              <w:t>,</w:t>
            </w:r>
            <w:r>
              <w:rPr>
                <w:rFonts w:cs="Arial"/>
                <w:vanish/>
                <w:szCs w:val="18"/>
              </w:rPr>
              <w:t xml:space="preserve"> </w:t>
            </w:r>
            <w:r>
              <w:rPr>
                <w:vanish/>
                <w:szCs w:val="18"/>
              </w:rPr>
              <w:t xml:space="preserve">BR_56.28 </w:t>
            </w:r>
            <w:r>
              <w:t>When the interpretation of a repeat ABO/Rh does not match the original interpretation, VBECS:</w:t>
            </w:r>
          </w:p>
          <w:p w14:paraId="29CD6932" w14:textId="77777777" w:rsidR="002A21AE" w:rsidRDefault="002A21AE">
            <w:pPr>
              <w:pStyle w:val="TableTextBullet"/>
            </w:pPr>
            <w:r>
              <w:t>Verifies the retest results.</w:t>
            </w:r>
          </w:p>
          <w:p w14:paraId="4849695F" w14:textId="77777777" w:rsidR="002A21AE" w:rsidRDefault="002A21AE">
            <w:pPr>
              <w:pStyle w:val="TableTextBullet"/>
            </w:pPr>
            <w:r>
              <w:t>Emits an audible alert and warns the user.</w:t>
            </w:r>
          </w:p>
          <w:p w14:paraId="435C42EB" w14:textId="77777777" w:rsidR="002A21AE" w:rsidRDefault="002A21AE">
            <w:pPr>
              <w:pStyle w:val="TableTextBullet"/>
            </w:pPr>
            <w:r>
              <w:t>Instructs the user to resolve the discrepancy before the specimen may be used.</w:t>
            </w:r>
          </w:p>
          <w:p w14:paraId="4580104E" w14:textId="77777777" w:rsidR="002A21AE" w:rsidRDefault="002A21AE">
            <w:pPr>
              <w:pStyle w:val="TableTextBullet"/>
            </w:pPr>
            <w:r>
              <w:t xml:space="preserve">Asks whether the user wishes to continue to save. </w:t>
            </w:r>
            <w:r>
              <w:rPr>
                <w:b/>
              </w:rPr>
              <w:t>No</w:t>
            </w:r>
            <w:r>
              <w:t xml:space="preserve"> clears the ABO/Rh testing results and interpretation from the screen. </w:t>
            </w:r>
            <w:r>
              <w:rPr>
                <w:b/>
              </w:rPr>
              <w:t>Yes</w:t>
            </w:r>
            <w:r>
              <w:t xml:space="preserve"> requires a comment and captures details for inclusion in an Exception Report (Exception type: ABO/Rh discrepancy). </w:t>
            </w:r>
          </w:p>
        </w:tc>
      </w:tr>
      <w:tr w:rsidR="002A21AE" w14:paraId="36D964E0" w14:textId="77777777">
        <w:tblPrEx>
          <w:tblLook w:val="0000" w:firstRow="0" w:lastRow="0" w:firstColumn="0" w:lastColumn="0" w:noHBand="0" w:noVBand="0"/>
        </w:tblPrEx>
        <w:tc>
          <w:tcPr>
            <w:tcW w:w="780" w:type="dxa"/>
          </w:tcPr>
          <w:p w14:paraId="25A258D7" w14:textId="77777777" w:rsidR="002A21AE" w:rsidRDefault="002A21AE">
            <w:pPr>
              <w:pStyle w:val="TableText"/>
            </w:pPr>
            <w:r>
              <w:t>6</w:t>
            </w:r>
          </w:p>
        </w:tc>
        <w:tc>
          <w:tcPr>
            <w:tcW w:w="8580" w:type="dxa"/>
          </w:tcPr>
          <w:p w14:paraId="6036F171" w14:textId="77777777" w:rsidR="003F73CA" w:rsidRPr="003F73CA" w:rsidRDefault="002A21AE">
            <w:pPr>
              <w:pStyle w:val="TableText"/>
            </w:pPr>
            <w:r>
              <w:rPr>
                <w:rFonts w:cs="Arial"/>
                <w:vanish/>
              </w:rPr>
              <w:t xml:space="preserve">BR_56.19 </w:t>
            </w:r>
            <w:r>
              <w:t>When a user documents an ABO/Rh discrepancy, VBECS releases units with “assigned” and “crossmatched” statuses associated with this specimen from the patient.</w:t>
            </w:r>
          </w:p>
        </w:tc>
      </w:tr>
      <w:tr w:rsidR="002A21AE" w14:paraId="4210B19B" w14:textId="77777777">
        <w:tblPrEx>
          <w:tblLook w:val="0000" w:firstRow="0" w:lastRow="0" w:firstColumn="0" w:lastColumn="0" w:noHBand="0" w:noVBand="0"/>
        </w:tblPrEx>
        <w:tc>
          <w:tcPr>
            <w:tcW w:w="780" w:type="dxa"/>
          </w:tcPr>
          <w:p w14:paraId="4CFFC3A2" w14:textId="77777777" w:rsidR="002A21AE" w:rsidRDefault="002A21AE">
            <w:pPr>
              <w:pStyle w:val="TableText"/>
            </w:pPr>
            <w:r>
              <w:t>6</w:t>
            </w:r>
          </w:p>
        </w:tc>
        <w:tc>
          <w:tcPr>
            <w:tcW w:w="8580" w:type="dxa"/>
          </w:tcPr>
          <w:p w14:paraId="0B010B07" w14:textId="77777777" w:rsidR="002A21AE" w:rsidRDefault="002A21AE" w:rsidP="00003BE9">
            <w:pPr>
              <w:pStyle w:val="TableText"/>
            </w:pPr>
            <w:r>
              <w:rPr>
                <w:rFonts w:cs="Arial"/>
                <w:vanish/>
              </w:rPr>
              <w:t xml:space="preserve">BR_56.29 </w:t>
            </w:r>
            <w:r>
              <w:t>When a unit was issued and a conflicting test result found that indicates a potential unit incompatibility with the patient, such as a patient ABO/Rh discrepancy, the unit XM is incompatible with the patient, the patient ABS is positive, the patient DAT is positive, or the unit is antigen positive where antigen negative is required on the tested specimen, VBECS warns the user and instructs him to notify the physician of this potential problem immediately, according to hospital policy. VBECS warns the user during the execution of the various tests related to the compatibility of a blood unit and captures details for inclusion in an Exception Report (exception type: unit issued, testing problem).</w:t>
            </w:r>
            <w:r w:rsidR="004C53EA">
              <w:t xml:space="preserve"> </w:t>
            </w:r>
          </w:p>
        </w:tc>
      </w:tr>
      <w:tr w:rsidR="00AF6F7F" w14:paraId="355A4EB8" w14:textId="77777777">
        <w:tblPrEx>
          <w:tblLook w:val="0000" w:firstRow="0" w:lastRow="0" w:firstColumn="0" w:lastColumn="0" w:noHBand="0" w:noVBand="0"/>
        </w:tblPrEx>
        <w:tc>
          <w:tcPr>
            <w:tcW w:w="780" w:type="dxa"/>
          </w:tcPr>
          <w:p w14:paraId="76237CF0" w14:textId="648AB977" w:rsidR="00AF6F7F" w:rsidRDefault="00AF6F7F">
            <w:pPr>
              <w:pStyle w:val="TableText"/>
            </w:pPr>
            <w:r>
              <w:t>6</w:t>
            </w:r>
          </w:p>
        </w:tc>
        <w:tc>
          <w:tcPr>
            <w:tcW w:w="8580" w:type="dxa"/>
          </w:tcPr>
          <w:p w14:paraId="4A7CEB43" w14:textId="1AEEE4D3" w:rsidR="00AF6F7F" w:rsidRDefault="00460566" w:rsidP="00003BE9">
            <w:pPr>
              <w:pStyle w:val="TableText"/>
              <w:rPr>
                <w:rFonts w:cs="Arial"/>
                <w:vanish/>
              </w:rPr>
            </w:pPr>
            <w:r w:rsidRPr="00460566">
              <w:rPr>
                <w:vanish/>
              </w:rPr>
              <w:t xml:space="preserve">BR_53.08 </w:t>
            </w:r>
            <w:r w:rsidR="00AF6F7F">
              <w:t xml:space="preserve">If the antibody screen is positive, the system shall emit an audible alert and warning that displays </w:t>
            </w:r>
            <w:r w:rsidR="00AF6F7F" w:rsidRPr="00DD6184">
              <w:t>Patient has a POSITIVE Antibody Screen Result. Please perform Antibody Identification on this patient prior to issue of blood components</w:t>
            </w:r>
            <w:r w:rsidR="00AF6F7F">
              <w:t>.</w:t>
            </w:r>
          </w:p>
        </w:tc>
      </w:tr>
    </w:tbl>
    <w:p w14:paraId="14802E60" w14:textId="77777777" w:rsidR="002A21AE" w:rsidRDefault="0072673B" w:rsidP="0072673B">
      <w:pPr>
        <w:pStyle w:val="Heading3"/>
      </w:pPr>
      <w:r>
        <w:br w:type="page"/>
      </w:r>
      <w:bookmarkStart w:id="541" w:name="_Toc203765923"/>
      <w:r w:rsidR="002A21AE">
        <w:lastRenderedPageBreak/>
        <w:t>Patient Testing: Record a Patient ABO/Rh</w:t>
      </w:r>
      <w:bookmarkEnd w:id="541"/>
      <w:r w:rsidR="002A21AE">
        <w:fldChar w:fldCharType="begin"/>
      </w:r>
      <w:r w:rsidR="002A21AE">
        <w:instrText xml:space="preserve"> XE </w:instrText>
      </w:r>
      <w:r w:rsidR="00FA7E65">
        <w:instrText>“</w:instrText>
      </w:r>
      <w:r w:rsidR="002A21AE">
        <w:instrText>Patient Testing\: Record a Patient ABO/Rh</w:instrText>
      </w:r>
      <w:r w:rsidR="00FA7E65">
        <w:instrText>”</w:instrText>
      </w:r>
      <w:r w:rsidR="002A21AE">
        <w:instrText xml:space="preserve"> </w:instrText>
      </w:r>
      <w:r w:rsidR="002A21AE">
        <w:fldChar w:fldCharType="end"/>
      </w:r>
      <w:r w:rsidR="002A21AE">
        <w:t xml:space="preserve"> </w:t>
      </w:r>
      <w:r w:rsidR="002A21AE">
        <w:rPr>
          <w:vanish/>
          <w:sz w:val="22"/>
        </w:rPr>
        <w:t>UC_52</w:t>
      </w:r>
    </w:p>
    <w:p w14:paraId="147FCA68" w14:textId="5502F2B1" w:rsidR="002A21AE" w:rsidRDefault="002A21AE" w:rsidP="00FA7E65">
      <w:pPr>
        <w:pStyle w:val="BodyText"/>
      </w:pPr>
      <w:r>
        <w:t>The user records observed results when performing ABO/Rh blood typing.</w:t>
      </w:r>
    </w:p>
    <w:p w14:paraId="0584ADBC" w14:textId="77777777" w:rsidR="002A21AE" w:rsidRDefault="002A21AE">
      <w:pPr>
        <w:pStyle w:val="Heading4"/>
      </w:pPr>
      <w:r>
        <w:t>Assumptions</w:t>
      </w:r>
    </w:p>
    <w:p w14:paraId="4E09B061" w14:textId="77777777" w:rsidR="002A21AE" w:rsidRDefault="002A21AE">
      <w:pPr>
        <w:pStyle w:val="ListBullet"/>
      </w:pPr>
      <w:r>
        <w:t xml:space="preserve">A CPRS order exists that includes an ABO/Rh typing [ABO/Rh Test or Type &amp; Screen (TAS)]. </w:t>
      </w:r>
    </w:p>
    <w:p w14:paraId="64C06416" w14:textId="77777777" w:rsidR="002A21AE" w:rsidRDefault="002A21AE">
      <w:pPr>
        <w:pStyle w:val="ListBullet"/>
      </w:pPr>
      <w:r>
        <w:t>The user accesses patient ABO/Rh grids through Patient Testing: Record Patient Test Results.</w:t>
      </w:r>
    </w:p>
    <w:p w14:paraId="43CC7A95" w14:textId="77777777" w:rsidR="0083516B" w:rsidRPr="0083516B" w:rsidRDefault="002A21AE" w:rsidP="0083516B">
      <w:pPr>
        <w:pStyle w:val="Heading4"/>
      </w:pPr>
      <w:r>
        <w:t>Outcome</w:t>
      </w:r>
    </w:p>
    <w:p w14:paraId="168770C3" w14:textId="77777777" w:rsidR="002A21AE" w:rsidRDefault="002A21AE">
      <w:pPr>
        <w:pStyle w:val="ListBullet"/>
      </w:pPr>
      <w:r>
        <w:t>The ABO/Rh result is used to determine overall blood component compatibility.</w:t>
      </w:r>
    </w:p>
    <w:p w14:paraId="64FD9904" w14:textId="77777777" w:rsidR="002A21AE" w:rsidRDefault="002A21AE">
      <w:pPr>
        <w:pStyle w:val="ListBullet"/>
      </w:pPr>
      <w:r>
        <w:t>When ABO/Rh is ordered as a stand-alone test, VBECS changes the task status to “completed” and triggers the generation of a message to CPRS that the order is completed.</w:t>
      </w:r>
    </w:p>
    <w:p w14:paraId="6FE426C9" w14:textId="77777777" w:rsidR="002A21AE" w:rsidRDefault="002A21AE">
      <w:pPr>
        <w:pStyle w:val="Heading4"/>
      </w:pPr>
      <w:r>
        <w:t>Limitations and Restrictions</w:t>
      </w:r>
    </w:p>
    <w:p w14:paraId="1EB0E249" w14:textId="404E319F" w:rsidR="00CD1B8C" w:rsidRDefault="0084410F" w:rsidP="00CD1B8C">
      <w:pPr>
        <w:pStyle w:val="ListBullet"/>
      </w:pPr>
      <w:r>
        <w:t xml:space="preserve">VBECS does not allow entry of ABO or Rh subgroups as a </w:t>
      </w:r>
      <w:r w:rsidR="002B25A3">
        <w:t>'</w:t>
      </w:r>
      <w:r>
        <w:t>group</w:t>
      </w:r>
      <w:r w:rsidR="002B25A3">
        <w:t>'</w:t>
      </w:r>
      <w:r>
        <w:t xml:space="preserve"> and/or </w:t>
      </w:r>
      <w:r w:rsidR="002B25A3">
        <w:t>'</w:t>
      </w:r>
      <w:r>
        <w:t>type</w:t>
      </w:r>
      <w:r w:rsidR="002B25A3">
        <w:t>'</w:t>
      </w:r>
      <w:r>
        <w:t xml:space="preserve"> when the previous blood group/type is "NR", indicating no recor</w:t>
      </w:r>
      <w:r w:rsidR="00CD1B8C">
        <w:t>d of previous testing.  S</w:t>
      </w:r>
      <w:r>
        <w:t xml:space="preserve">ee </w:t>
      </w:r>
      <w:r w:rsidR="00376944" w:rsidRPr="00423A7F">
        <w:rPr>
          <w:i/>
          <w:iCs/>
        </w:rPr>
        <w:t>FAQ</w:t>
      </w:r>
      <w:r w:rsidRPr="00423A7F">
        <w:rPr>
          <w:i/>
          <w:iCs/>
        </w:rPr>
        <w:t xml:space="preserve"> ABO Subgroup Interpretation </w:t>
      </w:r>
      <w:r w:rsidR="00C230C9">
        <w:t xml:space="preserve">and contact the </w:t>
      </w:r>
      <w:r w:rsidR="00CD1B8C">
        <w:t>Service Desk for assistance, prior to adding patient transfusion records in VBECS, when possible.</w:t>
      </w:r>
      <w:r w:rsidR="00CD1B8C" w:rsidRPr="00CD1B8C">
        <w:rPr>
          <w:vanish/>
        </w:rPr>
        <w:t xml:space="preserve"> Defect 368207</w:t>
      </w:r>
    </w:p>
    <w:p w14:paraId="02E5C857" w14:textId="506CB7FF" w:rsidR="00FE415F" w:rsidRDefault="00FE415F" w:rsidP="00FE415F">
      <w:pPr>
        <w:pStyle w:val="ListBullet"/>
      </w:pPr>
      <w:r>
        <w:t>When the patient has no previous ABO/Rh test record (NR), the ABO/Rh test associated with th</w:t>
      </w:r>
      <w:r w:rsidR="008C75A6">
        <w:t>e</w:t>
      </w:r>
      <w:r>
        <w:t xml:space="preserve"> Type and Screen test (TAS) must be completed and saved prior to entering and saving a repeat ABO/Rh test on this specimen. </w:t>
      </w:r>
      <w:r w:rsidRPr="00FE415F">
        <w:rPr>
          <w:vanish/>
        </w:rPr>
        <w:t>Defect 231531</w:t>
      </w:r>
      <w:r w:rsidR="003B0CE2">
        <w:rPr>
          <w:vanish/>
        </w:rPr>
        <w:t>, Task 474043</w:t>
      </w:r>
    </w:p>
    <w:p w14:paraId="75DB8661" w14:textId="5BCEFD3D" w:rsidR="00E06C13" w:rsidRDefault="00D25068" w:rsidP="00D25068">
      <w:pPr>
        <w:pStyle w:val="ListBullet"/>
      </w:pPr>
      <w:r w:rsidRPr="00D25068">
        <w:t>A user is permitted to select two partially completed tests with different test phases (e.g., AHG only and All Phases) along with a not started test. The testing phase for the not started test will present as AHG only even though results for all phases are required by VBECS. Entering only AHG test results for the specimen that was not started and saving will result in a partially completed test that cannot be completed or invalidated.</w:t>
      </w:r>
      <w:r>
        <w:t xml:space="preserve"> Contact the Service Desk when you encounter this problem. Specimens that cannot be completed or invalidated require the attention of Tier 3 support. Select partially completed orders that have been previously saved with the same grid test pattern. Optionally, a not started test may be selected with these but must be tested with the same grid pattern to avoid the problem.</w:t>
      </w:r>
      <w:r w:rsidR="00201A45">
        <w:t xml:space="preserve"> </w:t>
      </w:r>
      <w:r w:rsidR="00201A45" w:rsidRPr="007E05D6">
        <w:rPr>
          <w:vanish/>
        </w:rPr>
        <w:t>Defect 210048</w:t>
      </w:r>
    </w:p>
    <w:p w14:paraId="2ED5FBC1" w14:textId="406D86D9" w:rsidR="007E05D6" w:rsidRPr="00D25068" w:rsidRDefault="00D033DC" w:rsidP="00D25068">
      <w:pPr>
        <w:pStyle w:val="ListBullet"/>
      </w:pPr>
      <w:r>
        <w:t xml:space="preserve">When canceling out of a Discrepant ABO/Rh Typing override, the interpretations are cleared, but the testing results are not cleared. Correct the testing entries or click the red ‘X’ to clear the testing results. </w:t>
      </w:r>
      <w:r w:rsidRPr="00D033DC">
        <w:rPr>
          <w:vanish/>
        </w:rPr>
        <w:t>Defect 208974</w:t>
      </w:r>
    </w:p>
    <w:p w14:paraId="44435F76" w14:textId="77777777" w:rsidR="002A21AE" w:rsidRDefault="002A21AE">
      <w:pPr>
        <w:pStyle w:val="Heading4"/>
      </w:pPr>
      <w:r>
        <w:t>Additional Information</w:t>
      </w:r>
    </w:p>
    <w:p w14:paraId="67B21200" w14:textId="77777777" w:rsidR="00FC3A2C" w:rsidRDefault="00FC3A2C">
      <w:pPr>
        <w:pStyle w:val="ListBullet"/>
      </w:pPr>
      <w:r>
        <w:t>When an ABO/Rh discrepancy exists, VBECS releases assigned and crossmatched units. These units are then available for e</w:t>
      </w:r>
      <w:r w:rsidRPr="003F73CA">
        <w:t>mergency issue</w:t>
      </w:r>
      <w:r>
        <w:t xml:space="preserve"> based on system rules</w:t>
      </w:r>
      <w:r w:rsidRPr="003F73CA">
        <w:t>.</w:t>
      </w:r>
    </w:p>
    <w:p w14:paraId="35697C91" w14:textId="77777777" w:rsidR="002A21AE" w:rsidRDefault="002A21AE">
      <w:pPr>
        <w:pStyle w:val="ListBullet"/>
      </w:pPr>
      <w:r>
        <w:t>VBECS does not enforce local policies that require running a D control for AB positive patients.</w:t>
      </w:r>
    </w:p>
    <w:p w14:paraId="2ADC961A" w14:textId="77777777" w:rsidR="002A21AE" w:rsidRDefault="002A21AE">
      <w:pPr>
        <w:pStyle w:val="ListBullet"/>
      </w:pPr>
      <w:r>
        <w:t>The most recent instance of ABO/Rh testing in the database serves as the historic ABO/Rh record.</w:t>
      </w:r>
    </w:p>
    <w:p w14:paraId="6B772B99" w14:textId="77777777" w:rsidR="00786249" w:rsidRPr="00786249" w:rsidRDefault="00786249" w:rsidP="00786249">
      <w:pPr>
        <w:pStyle w:val="ListBullet"/>
        <w:rPr>
          <w:color w:val="1F497D"/>
        </w:rPr>
      </w:pPr>
      <w:r>
        <w:t>Weak D testing results recorded in Patient Antigen Typing do not interact or change the Rh typing recorded for the patient by an ABO/Rh test.</w:t>
      </w:r>
      <w:r w:rsidRPr="00812458">
        <w:rPr>
          <w:vanish/>
        </w:rPr>
        <w:t xml:space="preserve"> Task 409152</w:t>
      </w:r>
    </w:p>
    <w:p w14:paraId="55D089B6" w14:textId="77777777" w:rsidR="002A21AE" w:rsidRDefault="002A21AE">
      <w:pPr>
        <w:pStyle w:val="Heading4"/>
      </w:pPr>
      <w:r>
        <w:t xml:space="preserve">User Roles with Access to This Option </w:t>
      </w:r>
    </w:p>
    <w:p w14:paraId="3C3FF225" w14:textId="77777777" w:rsidR="002A21AE" w:rsidRDefault="00A937B3">
      <w:pPr>
        <w:pStyle w:val="Roles"/>
      </w:pPr>
      <w:r>
        <w:t>All users</w:t>
      </w:r>
    </w:p>
    <w:p w14:paraId="7C3945E9" w14:textId="77777777" w:rsidR="002A21AE" w:rsidRDefault="002A21AE">
      <w:pPr>
        <w:pStyle w:val="Heading4"/>
      </w:pPr>
      <w:r>
        <w:t>Patient Testing: Record a Patient ABO/Rh</w:t>
      </w:r>
    </w:p>
    <w:p w14:paraId="3C3BFEFF" w14:textId="77777777" w:rsidR="002A21AE" w:rsidRDefault="002A21AE" w:rsidP="00FA7E65">
      <w:pPr>
        <w:pStyle w:val="BodyText"/>
      </w:pPr>
      <w:r>
        <w:t xml:space="preserve">This option describes a test to determine the patient’s ABO/Rh typing from a blood specimen. The user enters the serologic reaction results in the data entry grid using the instructions and rules in this option. </w:t>
      </w:r>
      <w:r>
        <w:lastRenderedPageBreak/>
        <w:t>The grid is used for the Confirm Patient ABO/Rh reflex test as part of a TAS and crossmatch (XM) test battery. VBECS monitors the user’s entries and interpretations and maintains the records for patient reports.</w:t>
      </w:r>
      <w:r w:rsidR="000222FC">
        <w:t xml:space="preserve"> </w:t>
      </w:r>
    </w:p>
    <w:p w14:paraId="64B24025" w14:textId="77777777" w:rsidR="002A21AE" w:rsidRDefault="002A21AE" w:rsidP="00FA7E65">
      <w:pPr>
        <w:pStyle w:val="BodyText"/>
      </w:pPr>
      <w:r>
        <w:t xml:space="preserve">These steps describe the entry of data for a patient ABO/Rh test when the test is ordered individually or as part of a TAS. </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48F0DF8F" w14:textId="77777777">
        <w:trPr>
          <w:cantSplit/>
          <w:tblHeader/>
        </w:trPr>
        <w:tc>
          <w:tcPr>
            <w:tcW w:w="3240" w:type="dxa"/>
            <w:shd w:val="pct30" w:color="auto" w:fill="FFFFFF"/>
            <w:vAlign w:val="bottom"/>
          </w:tcPr>
          <w:p w14:paraId="2553BE89" w14:textId="77777777" w:rsidR="002A21AE" w:rsidRDefault="002A21AE">
            <w:pPr>
              <w:pStyle w:val="TableText"/>
              <w:rPr>
                <w:b/>
              </w:rPr>
            </w:pPr>
            <w:r>
              <w:rPr>
                <w:b/>
              </w:rPr>
              <w:t>User Action</w:t>
            </w:r>
          </w:p>
        </w:tc>
        <w:tc>
          <w:tcPr>
            <w:tcW w:w="6120" w:type="dxa"/>
            <w:shd w:val="pct30" w:color="auto" w:fill="FFFFFF"/>
            <w:vAlign w:val="bottom"/>
          </w:tcPr>
          <w:p w14:paraId="18C1413F" w14:textId="77777777" w:rsidR="002A21AE" w:rsidRDefault="002A21AE">
            <w:pPr>
              <w:pStyle w:val="TableText"/>
              <w:rPr>
                <w:b/>
              </w:rPr>
            </w:pPr>
            <w:r>
              <w:rPr>
                <w:b/>
              </w:rPr>
              <w:t>VBECS</w:t>
            </w:r>
          </w:p>
        </w:tc>
      </w:tr>
      <w:tr w:rsidR="00141448" w14:paraId="4EFAFE75" w14:textId="77777777">
        <w:tc>
          <w:tcPr>
            <w:tcW w:w="3240" w:type="dxa"/>
            <w:tcBorders>
              <w:top w:val="single" w:sz="4" w:space="0" w:color="auto"/>
              <w:left w:val="single" w:sz="4" w:space="0" w:color="auto"/>
              <w:bottom w:val="single" w:sz="4" w:space="0" w:color="auto"/>
              <w:right w:val="single" w:sz="4" w:space="0" w:color="auto"/>
            </w:tcBorders>
          </w:tcPr>
          <w:p w14:paraId="5BBD4A56" w14:textId="77777777" w:rsidR="00141448" w:rsidRDefault="00141448" w:rsidP="00141448">
            <w:pPr>
              <w:pStyle w:val="TableTextNumbers"/>
            </w:pPr>
            <w:r>
              <w:t xml:space="preserve">Select </w:t>
            </w:r>
            <w:r>
              <w:rPr>
                <w:b/>
              </w:rPr>
              <w:t>Patients</w:t>
            </w:r>
            <w:r>
              <w:t xml:space="preserve"> from the main menu.</w:t>
            </w:r>
          </w:p>
          <w:p w14:paraId="07D9B9D6" w14:textId="77777777" w:rsidR="00141448" w:rsidRDefault="00141448" w:rsidP="00141448">
            <w:pPr>
              <w:pStyle w:val="TableTextNumbersContinued"/>
            </w:pPr>
          </w:p>
          <w:p w14:paraId="46BAEC22" w14:textId="77777777" w:rsidR="00141448" w:rsidRDefault="00141448" w:rsidP="00141448">
            <w:pPr>
              <w:pStyle w:val="TableTextNumbersContinued"/>
            </w:pPr>
            <w:r>
              <w:t xml:space="preserve">Select </w:t>
            </w:r>
            <w:r>
              <w:rPr>
                <w:b/>
              </w:rPr>
              <w:t>Patient Testing</w:t>
            </w:r>
            <w:r>
              <w:t>.</w:t>
            </w:r>
          </w:p>
        </w:tc>
        <w:tc>
          <w:tcPr>
            <w:tcW w:w="6120" w:type="dxa"/>
            <w:tcBorders>
              <w:top w:val="single" w:sz="4" w:space="0" w:color="auto"/>
              <w:left w:val="single" w:sz="4" w:space="0" w:color="auto"/>
              <w:bottom w:val="single" w:sz="4" w:space="0" w:color="auto"/>
              <w:right w:val="single" w:sz="4" w:space="0" w:color="auto"/>
            </w:tcBorders>
          </w:tcPr>
          <w:p w14:paraId="0C01A055" w14:textId="77777777" w:rsidR="00141448" w:rsidRDefault="00141448" w:rsidP="00141448">
            <w:pPr>
              <w:pStyle w:val="TableTextBullet"/>
            </w:pPr>
            <w:r>
              <w:t xml:space="preserve">Displays options for processing patient-related functions. </w:t>
            </w:r>
          </w:p>
          <w:p w14:paraId="35709766" w14:textId="77777777" w:rsidR="00141448" w:rsidRDefault="00141448" w:rsidP="00141448">
            <w:pPr>
              <w:pStyle w:val="TableTextBullet"/>
            </w:pPr>
            <w:r>
              <w:t>Displays the Pending Task List (PTL) in the Diagnostic Tests tab.</w:t>
            </w:r>
          </w:p>
          <w:p w14:paraId="3B6CF893" w14:textId="77777777" w:rsidR="00141448" w:rsidRDefault="00141448" w:rsidP="00141448">
            <w:pPr>
              <w:pStyle w:val="NotesText"/>
            </w:pPr>
          </w:p>
          <w:p w14:paraId="5E88F50B" w14:textId="5C5B9C4E" w:rsidR="00141448" w:rsidRDefault="00141448" w:rsidP="00141448">
            <w:pPr>
              <w:pStyle w:val="TableText"/>
              <w:rPr>
                <w:b/>
                <w:bCs/>
                <w:szCs w:val="18"/>
              </w:rPr>
            </w:pPr>
            <w:r>
              <w:rPr>
                <w:b/>
                <w:bCs/>
                <w:szCs w:val="18"/>
              </w:rPr>
              <w:t>NOTES</w:t>
            </w:r>
          </w:p>
          <w:p w14:paraId="472D9870" w14:textId="77777777" w:rsidR="00141448" w:rsidRDefault="00141448" w:rsidP="00141448">
            <w:pPr>
              <w:pStyle w:val="NotesText"/>
            </w:pPr>
          </w:p>
          <w:p w14:paraId="3B3DDAAD" w14:textId="77777777" w:rsidR="00141448" w:rsidRDefault="00141448" w:rsidP="00141448">
            <w:pPr>
              <w:pStyle w:val="NotesText"/>
            </w:pPr>
            <w:r>
              <w:t>A user may search for specific tasks using search criteria detailed in Pending Task List.</w:t>
            </w:r>
          </w:p>
        </w:tc>
      </w:tr>
      <w:tr w:rsidR="00B1359E" w14:paraId="48B78FBD" w14:textId="77777777">
        <w:tc>
          <w:tcPr>
            <w:tcW w:w="3240" w:type="dxa"/>
          </w:tcPr>
          <w:p w14:paraId="0E009FA8" w14:textId="77777777" w:rsidR="00B1359E" w:rsidRDefault="00B1359E" w:rsidP="00150254">
            <w:pPr>
              <w:pStyle w:val="TableTextNumbers"/>
            </w:pPr>
            <w:r>
              <w:t xml:space="preserve">Click one to four check boxes in the Pending Task List to select tasks for testing. </w:t>
            </w:r>
          </w:p>
          <w:p w14:paraId="48F998A4" w14:textId="77777777" w:rsidR="00B1359E" w:rsidRDefault="00B1359E" w:rsidP="00150254">
            <w:pPr>
              <w:pStyle w:val="TableTextNumbersContinued"/>
            </w:pPr>
          </w:p>
          <w:p w14:paraId="2A61B6A7" w14:textId="77777777" w:rsidR="00B1359E" w:rsidRDefault="00B1359E" w:rsidP="00150254">
            <w:pPr>
              <w:pStyle w:val="TableTextNumbersContinued"/>
            </w:pPr>
            <w:r>
              <w:t xml:space="preserve">Click </w:t>
            </w:r>
            <w:r>
              <w:rPr>
                <w:b/>
              </w:rPr>
              <w:t>OK</w:t>
            </w:r>
            <w:r>
              <w:t>.</w:t>
            </w:r>
          </w:p>
        </w:tc>
        <w:tc>
          <w:tcPr>
            <w:tcW w:w="6120" w:type="dxa"/>
          </w:tcPr>
          <w:p w14:paraId="01A8EDCD" w14:textId="77777777" w:rsidR="00B1359E" w:rsidRDefault="00B1359E" w:rsidP="00150254">
            <w:pPr>
              <w:pStyle w:val="TableTextBullet"/>
            </w:pPr>
            <w:r>
              <w:t>Displays patient names and associated task information.</w:t>
            </w:r>
          </w:p>
        </w:tc>
      </w:tr>
      <w:tr w:rsidR="002A21AE" w14:paraId="365CE506" w14:textId="77777777">
        <w:tc>
          <w:tcPr>
            <w:tcW w:w="3240" w:type="dxa"/>
          </w:tcPr>
          <w:p w14:paraId="45121D54" w14:textId="77777777" w:rsidR="002A21AE" w:rsidRDefault="0091416B">
            <w:pPr>
              <w:pStyle w:val="TableTextNumbers"/>
              <w:rPr>
                <w:b/>
                <w:bCs/>
              </w:rPr>
            </w:pPr>
            <w:r>
              <w:t>E</w:t>
            </w:r>
            <w:r w:rsidR="002A21AE">
              <w:rPr>
                <w:bCs/>
              </w:rPr>
              <w:t>nter patient ABO/Rh testing results.</w:t>
            </w:r>
            <w:r w:rsidR="002A21AE">
              <w:rPr>
                <w:b/>
                <w:bCs/>
              </w:rPr>
              <w:t xml:space="preserve"> </w:t>
            </w:r>
          </w:p>
        </w:tc>
        <w:tc>
          <w:tcPr>
            <w:tcW w:w="6120" w:type="dxa"/>
          </w:tcPr>
          <w:p w14:paraId="62FBF262" w14:textId="77777777" w:rsidR="002A21AE" w:rsidRDefault="002A21AE">
            <w:pPr>
              <w:pStyle w:val="TableTextBullet"/>
            </w:pPr>
            <w:r>
              <w:t xml:space="preserve">Displays a direct data entry </w:t>
            </w:r>
            <w:r w:rsidR="00917E9F">
              <w:t xml:space="preserve">(DDE) </w:t>
            </w:r>
            <w:r>
              <w:t xml:space="preserve">grid for entering serologic reaction results for ABO/Rh patient testing. </w:t>
            </w:r>
          </w:p>
          <w:p w14:paraId="768E95C1" w14:textId="77777777" w:rsidR="002A21AE" w:rsidRDefault="002A21AE">
            <w:pPr>
              <w:pStyle w:val="TableText"/>
            </w:pPr>
          </w:p>
          <w:p w14:paraId="57140C7E" w14:textId="41884310" w:rsidR="002A21AE" w:rsidRDefault="002A21AE">
            <w:pPr>
              <w:pStyle w:val="TableText"/>
              <w:rPr>
                <w:b/>
                <w:bCs/>
                <w:szCs w:val="18"/>
              </w:rPr>
            </w:pPr>
            <w:r>
              <w:rPr>
                <w:b/>
                <w:bCs/>
                <w:szCs w:val="18"/>
              </w:rPr>
              <w:t>NOTES</w:t>
            </w:r>
          </w:p>
          <w:p w14:paraId="37300F85" w14:textId="77777777" w:rsidR="002A21AE" w:rsidRDefault="002A21AE">
            <w:pPr>
              <w:pStyle w:val="NotesText"/>
            </w:pPr>
          </w:p>
          <w:p w14:paraId="49D041AD" w14:textId="77777777" w:rsidR="002A21AE" w:rsidRDefault="002A21AE">
            <w:pPr>
              <w:pStyle w:val="NotesText"/>
            </w:pPr>
            <w:r>
              <w:rPr>
                <w:rFonts w:cs="Arial"/>
                <w:vanish/>
              </w:rPr>
              <w:t xml:space="preserve">BR_52.09 </w:t>
            </w:r>
            <w:r>
              <w:t>The user may reenter valid results or delete entries and start over before saving the results. The user may invalidate, but not edit, data in a grid from a previous session by clicking the red “X” in the upper right corner of the testing grid, as described in Invalidate Test Results.</w:t>
            </w:r>
          </w:p>
          <w:p w14:paraId="557453F3" w14:textId="77777777" w:rsidR="002A21AE" w:rsidRDefault="002A21AE">
            <w:pPr>
              <w:pStyle w:val="NotesText"/>
            </w:pPr>
          </w:p>
          <w:p w14:paraId="6AC583C4" w14:textId="77777777" w:rsidR="002A21AE" w:rsidRDefault="002A21AE" w:rsidP="002B6B38">
            <w:pPr>
              <w:pStyle w:val="NotesText"/>
            </w:pPr>
            <w:r>
              <w:rPr>
                <w:rFonts w:cs="Arial"/>
                <w:vanish/>
              </w:rPr>
              <w:t xml:space="preserve">BR_52.07 </w:t>
            </w:r>
            <w:r>
              <w:t xml:space="preserve">VBECS determines the validity of the user-entered patient ABO/Rh interpretation by comparing the reaction results pattern of the row with the truth table and with the previous ABO/Rh entries for the patient. </w:t>
            </w:r>
          </w:p>
        </w:tc>
      </w:tr>
      <w:tr w:rsidR="002A21AE" w14:paraId="5BB36B99" w14:textId="77777777">
        <w:tc>
          <w:tcPr>
            <w:tcW w:w="3240" w:type="dxa"/>
          </w:tcPr>
          <w:p w14:paraId="24CAE389" w14:textId="77777777" w:rsidR="002A21AE" w:rsidRDefault="002A21AE">
            <w:pPr>
              <w:pStyle w:val="TableTextNumbers"/>
            </w:pPr>
            <w:r>
              <w:t>Select a patient to begin entering his serologic reactions.</w:t>
            </w:r>
          </w:p>
        </w:tc>
        <w:tc>
          <w:tcPr>
            <w:tcW w:w="6120" w:type="dxa"/>
          </w:tcPr>
          <w:p w14:paraId="1687B5C5" w14:textId="77777777" w:rsidR="002A21AE" w:rsidRDefault="002A21AE">
            <w:pPr>
              <w:pStyle w:val="TableTextBullet"/>
            </w:pPr>
            <w:r>
              <w:t xml:space="preserve">Allows the user to select one patient at a time and enter a test result for that patient. </w:t>
            </w:r>
          </w:p>
          <w:p w14:paraId="6F55067A" w14:textId="77777777" w:rsidR="002A21AE" w:rsidRDefault="002A21AE">
            <w:pPr>
              <w:pStyle w:val="TableTextBullet"/>
            </w:pPr>
            <w:r>
              <w:t xml:space="preserve">Allows only valid data entries in the grid reaction result and interpretation cells. </w:t>
            </w:r>
          </w:p>
          <w:p w14:paraId="2BE67434" w14:textId="77777777" w:rsidR="002A21AE" w:rsidRDefault="002A21AE">
            <w:pPr>
              <w:pStyle w:val="TableText"/>
            </w:pPr>
          </w:p>
          <w:p w14:paraId="4304A85C" w14:textId="238197C7" w:rsidR="002A21AE" w:rsidRDefault="002A21AE">
            <w:pPr>
              <w:pStyle w:val="TableText"/>
              <w:rPr>
                <w:b/>
                <w:bCs/>
                <w:szCs w:val="18"/>
              </w:rPr>
            </w:pPr>
            <w:r>
              <w:rPr>
                <w:b/>
                <w:bCs/>
                <w:szCs w:val="18"/>
              </w:rPr>
              <w:t>NOTES</w:t>
            </w:r>
          </w:p>
          <w:p w14:paraId="24BBB77A" w14:textId="77777777" w:rsidR="002A21AE" w:rsidRDefault="002A21AE">
            <w:pPr>
              <w:pStyle w:val="NotesText"/>
            </w:pPr>
          </w:p>
          <w:p w14:paraId="507A85EE" w14:textId="77777777" w:rsidR="002A21AE" w:rsidRDefault="002A21AE">
            <w:pPr>
              <w:pStyle w:val="NotesText"/>
            </w:pPr>
            <w:r>
              <w:t xml:space="preserve">When A,B or D control is not part of the daily QC configuration, VBECS disables it in the ABO/Rh test grid. </w:t>
            </w:r>
          </w:p>
          <w:p w14:paraId="0770E7A9" w14:textId="77777777" w:rsidR="002A21AE" w:rsidRDefault="002A21AE">
            <w:pPr>
              <w:pStyle w:val="NotesText"/>
            </w:pPr>
          </w:p>
          <w:p w14:paraId="1173FCF6" w14:textId="77777777" w:rsidR="002A21AE" w:rsidRDefault="002A21AE">
            <w:pPr>
              <w:pStyle w:val="NotesText"/>
            </w:pPr>
            <w:r>
              <w:t xml:space="preserve">When an AB Positive patient requires the performance of a control cell, the user must order a repeat ABO/Rh test. </w:t>
            </w:r>
          </w:p>
          <w:p w14:paraId="29BC368C" w14:textId="77777777" w:rsidR="002A21AE" w:rsidRPr="00760A4D" w:rsidRDefault="002A21AE" w:rsidP="00760A4D">
            <w:pPr>
              <w:pStyle w:val="NotesText"/>
            </w:pPr>
          </w:p>
          <w:p w14:paraId="34854FC8" w14:textId="77777777" w:rsidR="002A21AE" w:rsidRDefault="002A21AE">
            <w:pPr>
              <w:pStyle w:val="NotesText"/>
            </w:pPr>
            <w:r>
              <w:t>When A,B is enabled, the user enters a result for Anti-A,B as part of the patient test, it is included in determining the interpretation for that patient test. “X” is an acceptable entry.</w:t>
            </w:r>
          </w:p>
          <w:p w14:paraId="79528AF6" w14:textId="77777777" w:rsidR="002A21AE" w:rsidRDefault="002A21AE">
            <w:pPr>
              <w:pStyle w:val="NotesText"/>
            </w:pPr>
          </w:p>
          <w:p w14:paraId="6EAA015E" w14:textId="77777777" w:rsidR="002A21AE" w:rsidRDefault="002A21AE">
            <w:pPr>
              <w:pStyle w:val="NotesText"/>
            </w:pPr>
            <w:r>
              <w:t>A,B and D control are always enabled for the repeat ABO/Rh test grid, regardless of the QC configuration.</w:t>
            </w:r>
          </w:p>
          <w:p w14:paraId="0B0352B0" w14:textId="77777777" w:rsidR="002A21AE" w:rsidRDefault="002A21AE">
            <w:pPr>
              <w:pStyle w:val="NotesText"/>
            </w:pPr>
          </w:p>
          <w:p w14:paraId="1987CDD5" w14:textId="77777777" w:rsidR="002A21AE" w:rsidRDefault="002A21AE">
            <w:pPr>
              <w:pStyle w:val="NotesText"/>
            </w:pPr>
            <w:r>
              <w:rPr>
                <w:rFonts w:cs="Arial"/>
                <w:vanish/>
              </w:rPr>
              <w:t xml:space="preserve">BR_52.10 </w:t>
            </w:r>
            <w:r>
              <w:t>Reflex testing grid fields are available for data entry regardless of QC rack configuration.</w:t>
            </w:r>
          </w:p>
          <w:p w14:paraId="09F01815" w14:textId="77777777" w:rsidR="002A21AE" w:rsidRDefault="002A21AE">
            <w:pPr>
              <w:pStyle w:val="NotesText"/>
            </w:pPr>
          </w:p>
          <w:p w14:paraId="5AD89DD7" w14:textId="57D4B52D" w:rsidR="002A21AE" w:rsidRDefault="00F6394D">
            <w:pPr>
              <w:pStyle w:val="NotesText"/>
            </w:pPr>
            <w:r>
              <w:t xml:space="preserve">See </w:t>
            </w:r>
            <w:r w:rsidR="00EE455E">
              <w:t xml:space="preserve">Table </w:t>
            </w:r>
            <w:r w:rsidR="00EE455E">
              <w:rPr>
                <w:noProof/>
              </w:rPr>
              <w:t>4</w:t>
            </w:r>
            <w:r w:rsidR="00EE455E">
              <w:t xml:space="preserve">: </w:t>
            </w:r>
            <w:r w:rsidR="00EE455E">
              <w:rPr>
                <w:rFonts w:cs="Arial"/>
                <w:vanish/>
              </w:rPr>
              <w:t xml:space="preserve">BR_2.10 </w:t>
            </w:r>
            <w:r w:rsidR="00EE455E">
              <w:t>Valid Interpretations</w:t>
            </w:r>
            <w:r w:rsidR="002A21AE">
              <w:t>.</w:t>
            </w:r>
          </w:p>
          <w:p w14:paraId="432C347F" w14:textId="77777777" w:rsidR="002A21AE" w:rsidRDefault="002A21AE">
            <w:pPr>
              <w:pStyle w:val="NotesText"/>
              <w:rPr>
                <w:rFonts w:cs="Arial"/>
                <w:vanish/>
              </w:rPr>
            </w:pPr>
          </w:p>
          <w:p w14:paraId="11E6BB7D" w14:textId="77777777" w:rsidR="002A21AE" w:rsidRDefault="002A21AE">
            <w:pPr>
              <w:pStyle w:val="NotesText"/>
            </w:pPr>
            <w:r>
              <w:rPr>
                <w:rFonts w:cs="Arial"/>
                <w:vanish/>
              </w:rPr>
              <w:t xml:space="preserve">BR_52.06 </w:t>
            </w:r>
            <w:r>
              <w:t>Row validation is established for the interpretation vs. reaction results pattern defined by system rules.</w:t>
            </w:r>
          </w:p>
        </w:tc>
      </w:tr>
      <w:tr w:rsidR="002A21AE" w14:paraId="76BCCF16" w14:textId="77777777">
        <w:tc>
          <w:tcPr>
            <w:tcW w:w="3240" w:type="dxa"/>
          </w:tcPr>
          <w:p w14:paraId="0D33A779" w14:textId="2E983005" w:rsidR="002A21AE" w:rsidRDefault="002A21AE">
            <w:pPr>
              <w:pStyle w:val="TableTextNumbers"/>
            </w:pPr>
            <w:r>
              <w:lastRenderedPageBreak/>
              <w:t>Repeat Steps 2</w:t>
            </w:r>
            <w:r w:rsidR="004F5589">
              <w:t xml:space="preserve"> through </w:t>
            </w:r>
            <w:r w:rsidR="00641529">
              <w:t>4</w:t>
            </w:r>
            <w:r>
              <w:t xml:space="preserve"> until some or all portions of the test grid for the selected patient are entered. </w:t>
            </w:r>
          </w:p>
          <w:p w14:paraId="11AC8D19" w14:textId="77777777" w:rsidR="002A21AE" w:rsidRDefault="002A21AE">
            <w:pPr>
              <w:pStyle w:val="TableTextNumbersContinued"/>
            </w:pPr>
          </w:p>
          <w:p w14:paraId="23ADBE24" w14:textId="77777777" w:rsidR="002A21AE" w:rsidRDefault="002A21AE">
            <w:pPr>
              <w:pStyle w:val="TableTextNumbersContinued"/>
            </w:pPr>
            <w:r>
              <w:t xml:space="preserve">Enter the interpretation for the patient ABO/Rh typing, if appropriate. </w:t>
            </w:r>
          </w:p>
        </w:tc>
        <w:tc>
          <w:tcPr>
            <w:tcW w:w="6120" w:type="dxa"/>
          </w:tcPr>
          <w:p w14:paraId="5B643E8C" w14:textId="77777777" w:rsidR="002A21AE" w:rsidRDefault="002A21AE">
            <w:pPr>
              <w:pStyle w:val="TableTextBullet"/>
            </w:pPr>
            <w:r>
              <w:t>Prompts the user to confirm that all results were reviewed and are acceptable.</w:t>
            </w:r>
          </w:p>
          <w:p w14:paraId="2FC06809" w14:textId="77777777" w:rsidR="002A21AE" w:rsidRDefault="002A21AE">
            <w:pPr>
              <w:pStyle w:val="TableText"/>
            </w:pPr>
          </w:p>
          <w:p w14:paraId="0363FFAF" w14:textId="3DA87466" w:rsidR="002A21AE" w:rsidRDefault="002A21AE">
            <w:pPr>
              <w:pStyle w:val="TableText"/>
              <w:rPr>
                <w:b/>
                <w:bCs/>
                <w:szCs w:val="18"/>
              </w:rPr>
            </w:pPr>
            <w:r>
              <w:rPr>
                <w:b/>
                <w:bCs/>
                <w:szCs w:val="18"/>
              </w:rPr>
              <w:t>NOTES</w:t>
            </w:r>
          </w:p>
          <w:p w14:paraId="2E548AF5" w14:textId="77777777" w:rsidR="002A21AE" w:rsidRDefault="002A21AE">
            <w:pPr>
              <w:pStyle w:val="NotesText"/>
            </w:pPr>
          </w:p>
          <w:p w14:paraId="7C639D2F" w14:textId="77777777" w:rsidR="00865A02" w:rsidRDefault="00865A02">
            <w:pPr>
              <w:pStyle w:val="NotesText"/>
            </w:pPr>
            <w:r>
              <w:rPr>
                <w:rFonts w:cs="Arial"/>
                <w:vanish/>
              </w:rPr>
              <w:t xml:space="preserve">BR_56.12 </w:t>
            </w:r>
            <w:r>
              <w:t xml:space="preserve">When the ABO/Rh interpretation matches observed results, is not inconclusive, and does not match the patient’s historic ABO/Rh (if any, including from database conversion), VBECS emits an audible alert, warns that the current ABO/Rh does not match previous results, and instructs the user to enter a comment to continue, or click </w:t>
            </w:r>
            <w:r>
              <w:rPr>
                <w:b/>
              </w:rPr>
              <w:t>Cancel</w:t>
            </w:r>
            <w:r>
              <w:t xml:space="preserve"> to clear the ABO/Rh testing results and interpretation from the screen. VBECS captures details for inclusion in an Exception Report (exception type: ABO/Rh discrepancy).</w:t>
            </w:r>
          </w:p>
          <w:p w14:paraId="14921F85" w14:textId="77777777" w:rsidR="00865A02" w:rsidRDefault="00865A02">
            <w:pPr>
              <w:pStyle w:val="NotesText"/>
            </w:pPr>
          </w:p>
          <w:p w14:paraId="44CFE624" w14:textId="77777777" w:rsidR="009D787A" w:rsidRDefault="002A21AE" w:rsidP="00562B7F">
            <w:pPr>
              <w:pStyle w:val="NotesText"/>
            </w:pPr>
            <w:r>
              <w:rPr>
                <w:vanish/>
                <w:szCs w:val="18"/>
              </w:rPr>
              <w:t>BR_52.08</w:t>
            </w:r>
            <w:r w:rsidR="00CE3961">
              <w:rPr>
                <w:vanish/>
                <w:szCs w:val="18"/>
              </w:rPr>
              <w:t>,</w:t>
            </w:r>
            <w:r w:rsidR="00562B7F">
              <w:rPr>
                <w:vanish/>
                <w:szCs w:val="18"/>
              </w:rPr>
              <w:t xml:space="preserve"> </w:t>
            </w:r>
            <w:r w:rsidR="00562B7F">
              <w:rPr>
                <w:snapToGrid w:val="0"/>
                <w:vanish/>
                <w:szCs w:val="18"/>
              </w:rPr>
              <w:t>BR_52.11</w:t>
            </w:r>
            <w:r>
              <w:rPr>
                <w:vanish/>
                <w:szCs w:val="18"/>
              </w:rPr>
              <w:t xml:space="preserve"> </w:t>
            </w:r>
            <w:r w:rsidR="004F5F28" w:rsidRPr="00323744">
              <w:rPr>
                <w:rStyle w:val="BullhornChar"/>
              </w:rPr>
              <w:t></w:t>
            </w:r>
            <w:r w:rsidR="004F5F28">
              <w:rPr>
                <w:rFonts w:ascii="Webdings" w:hAnsi="Webdings"/>
              </w:rPr>
              <w:t></w:t>
            </w:r>
            <w:r w:rsidR="00AA7C58" w:rsidRPr="00EC7489">
              <w:rPr>
                <w:rFonts w:ascii="Wingdings 3" w:hAnsi="Wingdings 3" w:cs="Wingdings"/>
              </w:rPr>
              <w:t></w:t>
            </w:r>
            <w:r w:rsidR="00AA7C58" w:rsidRPr="00EC7489">
              <w:rPr>
                <w:rFonts w:ascii="Wingdings 3" w:hAnsi="Wingdings 3" w:cs="Wingdings"/>
              </w:rPr>
              <w:t></w:t>
            </w:r>
            <w:r w:rsidR="00AA7C58">
              <w:t xml:space="preserve"> </w:t>
            </w:r>
            <w:r>
              <w:t>VBECS allows the</w:t>
            </w:r>
            <w:r w:rsidR="00562B7F">
              <w:t xml:space="preserve"> Enhanced Technologist</w:t>
            </w:r>
            <w:r>
              <w:t xml:space="preserve"> to enter an ABO/Rh interpretation that matches the patient’s previously recorded (historic) ABO/Rh interpretation when the system interpretation is inconclusive. This allows unit selection to continue based on the patient’s ABO/Rh interpretation entered by the user. VBECS requires the user to document the findings of any offline investigation, alerting the reviewer to appropriately follow up, according to local policy.</w:t>
            </w:r>
            <w:r>
              <w:rPr>
                <w:b/>
              </w:rPr>
              <w:t xml:space="preserve"> </w:t>
            </w:r>
            <w:r>
              <w:t>VBECS emits an audible alert and warns the user. VBECS allows an override with comment and captures details for inclusion in an Exception Report (exception type: discrepant ABO/Rh override) that includes all interpretations and historic patient information.</w:t>
            </w:r>
          </w:p>
        </w:tc>
      </w:tr>
      <w:tr w:rsidR="002A21AE" w14:paraId="714DC9F0" w14:textId="77777777">
        <w:tc>
          <w:tcPr>
            <w:tcW w:w="3240" w:type="dxa"/>
          </w:tcPr>
          <w:p w14:paraId="4461814B" w14:textId="77777777" w:rsidR="002A21AE" w:rsidRDefault="002A21AE">
            <w:pPr>
              <w:pStyle w:val="TableTextNumbers"/>
            </w:pPr>
            <w:r>
              <w:t xml:space="preserve">When all required fields are complete, click </w:t>
            </w:r>
            <w:r>
              <w:rPr>
                <w:b/>
              </w:rPr>
              <w:t>OK</w:t>
            </w:r>
            <w:r>
              <w:t xml:space="preserve"> to save and continue to the next patient, or exit.</w:t>
            </w:r>
            <w:r w:rsidR="00410757">
              <w:t xml:space="preserve"> </w:t>
            </w:r>
            <w:r>
              <w:rPr>
                <w:vanish/>
                <w:color w:val="FFFFFF"/>
                <w:szCs w:val="18"/>
              </w:rPr>
              <w:fldChar w:fldCharType="begin"/>
            </w:r>
            <w:r>
              <w:rPr>
                <w:vanish/>
                <w:color w:val="FFFFFF"/>
                <w:szCs w:val="18"/>
              </w:rPr>
              <w:instrText xml:space="preserve"> LISTNUM \l 1 \s 0 </w:instrText>
            </w:r>
            <w:r>
              <w:rPr>
                <w:vanish/>
                <w:color w:val="FFFFFF"/>
                <w:szCs w:val="18"/>
              </w:rPr>
              <w:fldChar w:fldCharType="end">
                <w:numberingChange w:id="542" w:author="MUSZYNSKI, THOMAS D. (SIERRA 7 INC)" w:date="2024-11-26T07:15:00Z" w:original="0."/>
              </w:fldChar>
            </w:r>
          </w:p>
        </w:tc>
        <w:tc>
          <w:tcPr>
            <w:tcW w:w="6120" w:type="dxa"/>
          </w:tcPr>
          <w:p w14:paraId="447B995D" w14:textId="77777777" w:rsidR="00CA660A" w:rsidRDefault="002A21AE" w:rsidP="00CA660A">
            <w:pPr>
              <w:pStyle w:val="TableTextBullet"/>
            </w:pPr>
            <w:r>
              <w:t>Saves the data.</w:t>
            </w:r>
          </w:p>
          <w:p w14:paraId="696FACEC" w14:textId="77777777" w:rsidR="008F0849" w:rsidRDefault="008F0849" w:rsidP="008F0849">
            <w:pPr>
              <w:pStyle w:val="TableTextBullet"/>
              <w:numPr>
                <w:ilvl w:val="0"/>
                <w:numId w:val="0"/>
              </w:numPr>
              <w:ind w:left="288" w:hanging="288"/>
            </w:pPr>
          </w:p>
          <w:p w14:paraId="6A85F238" w14:textId="0286555C" w:rsidR="008F0849" w:rsidRDefault="008F0849" w:rsidP="008F0849">
            <w:pPr>
              <w:pStyle w:val="TableText"/>
              <w:rPr>
                <w:b/>
                <w:bCs/>
                <w:szCs w:val="18"/>
              </w:rPr>
            </w:pPr>
            <w:r>
              <w:rPr>
                <w:b/>
                <w:bCs/>
                <w:szCs w:val="18"/>
              </w:rPr>
              <w:t>NOTES</w:t>
            </w:r>
          </w:p>
          <w:p w14:paraId="0211D65A" w14:textId="77777777" w:rsidR="008F0849" w:rsidRDefault="008F0849" w:rsidP="008F0849">
            <w:pPr>
              <w:pStyle w:val="TableText"/>
              <w:rPr>
                <w:b/>
                <w:bCs/>
                <w:szCs w:val="18"/>
              </w:rPr>
            </w:pPr>
          </w:p>
          <w:p w14:paraId="6BA9EF4A" w14:textId="2CE2ECC1" w:rsidR="008F0849" w:rsidRDefault="008F0849" w:rsidP="008F0849">
            <w:pPr>
              <w:pStyle w:val="TableTextBullet"/>
              <w:numPr>
                <w:ilvl w:val="0"/>
                <w:numId w:val="0"/>
              </w:numPr>
              <w:ind w:left="288" w:hanging="288"/>
            </w:pPr>
            <w:r>
              <w:t xml:space="preserve">      In a Transfusion Only ABO/Rh</w:t>
            </w:r>
            <w:r w:rsidRPr="00CA660A">
              <w:t xml:space="preserve"> testing </w:t>
            </w:r>
            <w:r>
              <w:t xml:space="preserve">grid, free text comments cannot </w:t>
            </w:r>
            <w:r w:rsidRPr="00CA660A">
              <w:t xml:space="preserve">be saved. Create the comment in Canned Comments, Patient Testing context, </w:t>
            </w:r>
            <w:r>
              <w:t xml:space="preserve">and then </w:t>
            </w:r>
            <w:r w:rsidRPr="00CA660A">
              <w:t>select it. Inactivate the Canned Comment, if it is not to be used again</w:t>
            </w:r>
            <w:r>
              <w:t xml:space="preserve">. </w:t>
            </w:r>
            <w:r w:rsidRPr="008F0849">
              <w:rPr>
                <w:vanish/>
              </w:rPr>
              <w:t>Task 210220</w:t>
            </w:r>
          </w:p>
        </w:tc>
      </w:tr>
    </w:tbl>
    <w:p w14:paraId="1A43E2DF" w14:textId="77777777" w:rsidR="002A21AE" w:rsidRDefault="002A21AE">
      <w:pPr>
        <w:pStyle w:val="Heading3"/>
      </w:pPr>
      <w:r>
        <w:br w:type="page"/>
      </w:r>
      <w:bookmarkStart w:id="543" w:name="_Toc203765924"/>
      <w:r>
        <w:lastRenderedPageBreak/>
        <w:t>Patient Testing: Record a Patient Antibody Screen</w:t>
      </w:r>
      <w:bookmarkEnd w:id="543"/>
      <w:r>
        <w:fldChar w:fldCharType="begin"/>
      </w:r>
      <w:r>
        <w:instrText xml:space="preserve"> XE </w:instrText>
      </w:r>
      <w:r w:rsidR="00FA7E65">
        <w:instrText>“</w:instrText>
      </w:r>
      <w:r>
        <w:instrText>Patient Testing\: Record a Patient Antibody Screen</w:instrText>
      </w:r>
      <w:r w:rsidR="00FA7E65">
        <w:instrText>”</w:instrText>
      </w:r>
      <w:r>
        <w:instrText xml:space="preserve"> </w:instrText>
      </w:r>
      <w:r>
        <w:fldChar w:fldCharType="end"/>
      </w:r>
      <w:r>
        <w:t xml:space="preserve"> </w:t>
      </w:r>
      <w:r>
        <w:rPr>
          <w:rFonts w:ascii="Times New Roman" w:hAnsi="Times New Roman" w:cs="Times New Roman"/>
          <w:b w:val="0"/>
          <w:vanish/>
          <w:sz w:val="22"/>
        </w:rPr>
        <w:t>UC_53</w:t>
      </w:r>
    </w:p>
    <w:p w14:paraId="39634AB2" w14:textId="77777777" w:rsidR="002A21AE" w:rsidRDefault="002A21AE" w:rsidP="00FA7E65">
      <w:pPr>
        <w:pStyle w:val="BodyText"/>
      </w:pPr>
      <w:r>
        <w:t xml:space="preserve">The user records the serologic results when performing the </w:t>
      </w:r>
      <w:r w:rsidR="008E2E30">
        <w:t>Antibody Screen Test (ABS)</w:t>
      </w:r>
      <w:r>
        <w:t>.</w:t>
      </w:r>
    </w:p>
    <w:p w14:paraId="313565A8" w14:textId="77777777" w:rsidR="002A21AE" w:rsidRDefault="002A21AE">
      <w:pPr>
        <w:pStyle w:val="Heading4"/>
      </w:pPr>
      <w:r>
        <w:t>Assumptions</w:t>
      </w:r>
      <w:r>
        <w:rPr>
          <w:b w:val="0"/>
        </w:rPr>
        <w:t xml:space="preserve"> </w:t>
      </w:r>
    </w:p>
    <w:p w14:paraId="6889B373" w14:textId="77777777" w:rsidR="002A21AE" w:rsidRDefault="002A21AE">
      <w:pPr>
        <w:pStyle w:val="ListBullet"/>
      </w:pPr>
      <w:r>
        <w:t>The user accesses patient ABO/Rh grids through Patient Testing: Record Patient Test Results.</w:t>
      </w:r>
    </w:p>
    <w:p w14:paraId="05B61F51" w14:textId="77777777" w:rsidR="002A21AE" w:rsidRDefault="002A21AE">
      <w:pPr>
        <w:pStyle w:val="ListBullet"/>
      </w:pPr>
      <w:r>
        <w:t>A CPRS order exists that includes an ABO/Rh typing [ABO/Rh Test or Type &amp; Screen (TAS)]. An ABS may also be ordered as a reflex patient test.</w:t>
      </w:r>
    </w:p>
    <w:p w14:paraId="36DC266A" w14:textId="77777777" w:rsidR="002A21AE" w:rsidRDefault="002A21AE">
      <w:pPr>
        <w:pStyle w:val="ListBullet"/>
      </w:pPr>
      <w:r>
        <w:t>Configure Daily QC and Configure Testing are complete.</w:t>
      </w:r>
    </w:p>
    <w:p w14:paraId="36BA8EFE" w14:textId="77777777" w:rsidR="002A21AE" w:rsidRDefault="002A21AE">
      <w:pPr>
        <w:pStyle w:val="Heading4"/>
      </w:pPr>
      <w:r>
        <w:t>Outcome</w:t>
      </w:r>
    </w:p>
    <w:p w14:paraId="2E0C81FD" w14:textId="77777777" w:rsidR="002A21AE" w:rsidRDefault="002A21AE">
      <w:pPr>
        <w:pStyle w:val="ListBullet"/>
        <w:rPr>
          <w:b/>
        </w:rPr>
      </w:pPr>
      <w:r>
        <w:t xml:space="preserve">When an ABS is ordered as a stand-alone test, VBECS changes the task status to “completed” and triggers the generation of a message to CPRS that the order is complete. </w:t>
      </w:r>
    </w:p>
    <w:p w14:paraId="30E386FA" w14:textId="77777777" w:rsidR="002A21AE" w:rsidRDefault="002A21AE">
      <w:pPr>
        <w:pStyle w:val="Heading4"/>
        <w:rPr>
          <w:b w:val="0"/>
        </w:rPr>
      </w:pPr>
      <w:r>
        <w:t>Limitations and Restrictions</w:t>
      </w:r>
      <w:r>
        <w:rPr>
          <w:b w:val="0"/>
        </w:rPr>
        <w:t xml:space="preserve"> </w:t>
      </w:r>
    </w:p>
    <w:p w14:paraId="23BDE3E9" w14:textId="77777777" w:rsidR="002A21AE" w:rsidRDefault="002A21AE">
      <w:pPr>
        <w:pStyle w:val="ListBullet"/>
      </w:pPr>
      <w:r>
        <w:t xml:space="preserve">This </w:t>
      </w:r>
      <w:r>
        <w:rPr>
          <w:szCs w:val="20"/>
        </w:rPr>
        <w:t>option is for patient testing only</w:t>
      </w:r>
      <w:r w:rsidR="001E7158">
        <w:rPr>
          <w:szCs w:val="20"/>
        </w:rPr>
        <w:t>.</w:t>
      </w:r>
    </w:p>
    <w:p w14:paraId="46DD393C" w14:textId="77777777" w:rsidR="002A21AE" w:rsidRDefault="002A21AE">
      <w:pPr>
        <w:pStyle w:val="Heading4"/>
      </w:pPr>
      <w:r>
        <w:t>Additional Information</w:t>
      </w:r>
      <w:r>
        <w:rPr>
          <w:rFonts w:ascii="Times New Roman" w:hAnsi="Times New Roman"/>
          <w:i/>
          <w:color w:val="0000FF"/>
          <w:sz w:val="24"/>
        </w:rPr>
        <w:t xml:space="preserve"> </w:t>
      </w:r>
    </w:p>
    <w:p w14:paraId="2FE9999A" w14:textId="77777777" w:rsidR="002A21AE" w:rsidRDefault="002A21AE">
      <w:pPr>
        <w:pStyle w:val="ListBullet"/>
      </w:pPr>
      <w:r>
        <w:t xml:space="preserve">The user performs lab tests and enters data simultaneously. </w:t>
      </w:r>
    </w:p>
    <w:p w14:paraId="2FB66484" w14:textId="77777777" w:rsidR="002A21AE" w:rsidRDefault="002A21AE">
      <w:pPr>
        <w:pStyle w:val="Heading4"/>
      </w:pPr>
      <w:r>
        <w:t xml:space="preserve">User Roles with Access to This Option </w:t>
      </w:r>
    </w:p>
    <w:p w14:paraId="033ADEF1" w14:textId="77777777" w:rsidR="002A21AE" w:rsidRDefault="007934CF">
      <w:pPr>
        <w:pStyle w:val="Roles"/>
      </w:pPr>
      <w:r>
        <w:t>All users</w:t>
      </w:r>
    </w:p>
    <w:p w14:paraId="048785DE" w14:textId="77777777" w:rsidR="002A21AE" w:rsidRDefault="002A21AE">
      <w:pPr>
        <w:pStyle w:val="Heading4"/>
        <w:rPr>
          <w:bCs/>
        </w:rPr>
      </w:pPr>
      <w:r>
        <w:rPr>
          <w:bCs/>
        </w:rPr>
        <w:t>Patient Testing: Record a Patient Antibody Screen</w:t>
      </w:r>
    </w:p>
    <w:p w14:paraId="5E273F9C" w14:textId="77777777" w:rsidR="002A21AE" w:rsidRDefault="002A21AE" w:rsidP="00FA7E65">
      <w:pPr>
        <w:pStyle w:val="BodyText"/>
      </w:pPr>
      <w:r>
        <w:t xml:space="preserve">The user tests the patient’s specimen for the presence of antibodies-to-irregular red cell antigens. The user may perform this test alone or as part of a battery of tests. </w:t>
      </w:r>
    </w:p>
    <w:p w14:paraId="22C029B8" w14:textId="77777777" w:rsidR="002A21AE" w:rsidRDefault="002A21AE" w:rsidP="00FA7E65">
      <w:pPr>
        <w:pStyle w:val="BodyText"/>
      </w:pPr>
      <w:r>
        <w:t>The user accesses patient antibody screen grids through Patient Testing: Record Patient Test Results and enters observations of the serologic reactions in the data entry grid during testing. VBECS makes the interpretation available to CPRS and patient reports.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31C8467A" w14:textId="77777777">
        <w:trPr>
          <w:cantSplit/>
          <w:tblHeader/>
        </w:trPr>
        <w:tc>
          <w:tcPr>
            <w:tcW w:w="3240" w:type="dxa"/>
            <w:shd w:val="pct30" w:color="auto" w:fill="FFFFFF"/>
            <w:vAlign w:val="bottom"/>
          </w:tcPr>
          <w:p w14:paraId="410D2B2B" w14:textId="77777777" w:rsidR="002A21AE" w:rsidRDefault="002A21AE">
            <w:pPr>
              <w:pStyle w:val="TableText"/>
              <w:rPr>
                <w:b/>
              </w:rPr>
            </w:pPr>
            <w:r>
              <w:rPr>
                <w:b/>
              </w:rPr>
              <w:t>User Action</w:t>
            </w:r>
          </w:p>
        </w:tc>
        <w:tc>
          <w:tcPr>
            <w:tcW w:w="6120" w:type="dxa"/>
            <w:shd w:val="pct30" w:color="auto" w:fill="FFFFFF"/>
            <w:vAlign w:val="bottom"/>
          </w:tcPr>
          <w:p w14:paraId="313DFAB9" w14:textId="77777777" w:rsidR="002A21AE" w:rsidRDefault="002A21AE">
            <w:pPr>
              <w:pStyle w:val="TableText"/>
              <w:rPr>
                <w:b/>
              </w:rPr>
            </w:pPr>
            <w:r>
              <w:rPr>
                <w:b/>
              </w:rPr>
              <w:t>VBECS</w:t>
            </w:r>
          </w:p>
        </w:tc>
      </w:tr>
      <w:tr w:rsidR="00141448" w14:paraId="6418F32D" w14:textId="77777777">
        <w:tc>
          <w:tcPr>
            <w:tcW w:w="3240" w:type="dxa"/>
            <w:tcBorders>
              <w:top w:val="single" w:sz="4" w:space="0" w:color="auto"/>
              <w:left w:val="single" w:sz="4" w:space="0" w:color="auto"/>
              <w:bottom w:val="single" w:sz="4" w:space="0" w:color="auto"/>
              <w:right w:val="single" w:sz="4" w:space="0" w:color="auto"/>
            </w:tcBorders>
          </w:tcPr>
          <w:p w14:paraId="6B4483CB" w14:textId="77777777" w:rsidR="00141448" w:rsidRDefault="00141448" w:rsidP="00D71D64">
            <w:pPr>
              <w:pStyle w:val="TableTextNumbers"/>
            </w:pPr>
            <w:r>
              <w:t xml:space="preserve">Select </w:t>
            </w:r>
            <w:r>
              <w:rPr>
                <w:b/>
              </w:rPr>
              <w:t>Patients</w:t>
            </w:r>
            <w:r>
              <w:t xml:space="preserve"> from the main menu.</w:t>
            </w:r>
          </w:p>
          <w:p w14:paraId="3E80FBE8" w14:textId="77777777" w:rsidR="00141448" w:rsidRDefault="00141448" w:rsidP="00141448">
            <w:pPr>
              <w:pStyle w:val="TableTextNumbersContinued"/>
            </w:pPr>
          </w:p>
          <w:p w14:paraId="754CC22E" w14:textId="77777777" w:rsidR="00141448" w:rsidRDefault="00141448" w:rsidP="00141448">
            <w:pPr>
              <w:pStyle w:val="TableTextNumbersContinued"/>
            </w:pPr>
            <w:r>
              <w:t xml:space="preserve">Select </w:t>
            </w:r>
            <w:r>
              <w:rPr>
                <w:b/>
              </w:rPr>
              <w:t>Patient Testing</w:t>
            </w:r>
            <w:r>
              <w:t>.</w:t>
            </w:r>
          </w:p>
        </w:tc>
        <w:tc>
          <w:tcPr>
            <w:tcW w:w="6120" w:type="dxa"/>
            <w:tcBorders>
              <w:top w:val="single" w:sz="4" w:space="0" w:color="auto"/>
              <w:left w:val="single" w:sz="4" w:space="0" w:color="auto"/>
              <w:bottom w:val="single" w:sz="4" w:space="0" w:color="auto"/>
              <w:right w:val="single" w:sz="4" w:space="0" w:color="auto"/>
            </w:tcBorders>
          </w:tcPr>
          <w:p w14:paraId="1CC242D1" w14:textId="77777777" w:rsidR="00141448" w:rsidRDefault="00141448" w:rsidP="00141448">
            <w:pPr>
              <w:pStyle w:val="TableTextBullet"/>
            </w:pPr>
            <w:r>
              <w:t xml:space="preserve">Displays options for processing patient-related functions. </w:t>
            </w:r>
          </w:p>
          <w:p w14:paraId="638A192D" w14:textId="77777777" w:rsidR="00141448" w:rsidRDefault="00141448" w:rsidP="00141448">
            <w:pPr>
              <w:pStyle w:val="TableTextBullet"/>
            </w:pPr>
            <w:r>
              <w:t>Displays the Pending Task List (PTL) in the Diagnostic Tests tab.</w:t>
            </w:r>
          </w:p>
          <w:p w14:paraId="43F4B79A" w14:textId="77777777" w:rsidR="00141448" w:rsidRDefault="00141448" w:rsidP="00141448">
            <w:pPr>
              <w:pStyle w:val="NotesText"/>
            </w:pPr>
          </w:p>
          <w:p w14:paraId="1E346A23" w14:textId="768557E6" w:rsidR="00141448" w:rsidRDefault="00141448" w:rsidP="00141448">
            <w:pPr>
              <w:pStyle w:val="TableText"/>
              <w:rPr>
                <w:b/>
                <w:bCs/>
                <w:szCs w:val="18"/>
              </w:rPr>
            </w:pPr>
            <w:r>
              <w:rPr>
                <w:b/>
                <w:bCs/>
                <w:szCs w:val="18"/>
              </w:rPr>
              <w:t>NOTES</w:t>
            </w:r>
          </w:p>
          <w:p w14:paraId="5BD8765D" w14:textId="77777777" w:rsidR="00141448" w:rsidRDefault="00141448" w:rsidP="00141448">
            <w:pPr>
              <w:pStyle w:val="NotesText"/>
            </w:pPr>
          </w:p>
          <w:p w14:paraId="1A41A9BA" w14:textId="77777777" w:rsidR="00141448" w:rsidRDefault="00141448" w:rsidP="00141448">
            <w:pPr>
              <w:pStyle w:val="NotesText"/>
            </w:pPr>
            <w:r>
              <w:t>A user may search for specific tasks using search criteria detailed in Pending Task List.</w:t>
            </w:r>
          </w:p>
        </w:tc>
      </w:tr>
      <w:tr w:rsidR="00B1359E" w14:paraId="20D36B59" w14:textId="77777777">
        <w:tc>
          <w:tcPr>
            <w:tcW w:w="3240" w:type="dxa"/>
          </w:tcPr>
          <w:p w14:paraId="2C35DE70" w14:textId="77777777" w:rsidR="00B1359E" w:rsidRDefault="00B1359E" w:rsidP="00150254">
            <w:pPr>
              <w:pStyle w:val="TableTextNumbers"/>
            </w:pPr>
            <w:r>
              <w:t xml:space="preserve">Click one to four check boxes in the Pending Task List to select tasks for testing. </w:t>
            </w:r>
          </w:p>
          <w:p w14:paraId="29A34767" w14:textId="77777777" w:rsidR="00B1359E" w:rsidRDefault="00B1359E" w:rsidP="00150254">
            <w:pPr>
              <w:pStyle w:val="TableTextNumbersContinued"/>
            </w:pPr>
          </w:p>
          <w:p w14:paraId="77F716A7" w14:textId="77777777" w:rsidR="00B1359E" w:rsidRDefault="00B1359E" w:rsidP="00150254">
            <w:pPr>
              <w:pStyle w:val="TableTextNumbersContinued"/>
            </w:pPr>
            <w:r>
              <w:t xml:space="preserve">Click </w:t>
            </w:r>
            <w:r>
              <w:rPr>
                <w:b/>
              </w:rPr>
              <w:t>OK</w:t>
            </w:r>
            <w:r>
              <w:t>.</w:t>
            </w:r>
          </w:p>
        </w:tc>
        <w:tc>
          <w:tcPr>
            <w:tcW w:w="6120" w:type="dxa"/>
          </w:tcPr>
          <w:p w14:paraId="5D2CF582" w14:textId="77777777" w:rsidR="00B1359E" w:rsidRDefault="00B1359E" w:rsidP="00150254">
            <w:pPr>
              <w:pStyle w:val="TableTextBullet"/>
            </w:pPr>
            <w:r>
              <w:t>Displays patient names and associated task information.</w:t>
            </w:r>
          </w:p>
        </w:tc>
      </w:tr>
      <w:tr w:rsidR="002A21AE" w14:paraId="7478BB75" w14:textId="77777777" w:rsidTr="00414071">
        <w:trPr>
          <w:cantSplit/>
        </w:trPr>
        <w:tc>
          <w:tcPr>
            <w:tcW w:w="3240" w:type="dxa"/>
          </w:tcPr>
          <w:p w14:paraId="69C9F71E" w14:textId="77777777" w:rsidR="00F345F3" w:rsidRDefault="00F345F3">
            <w:pPr>
              <w:pStyle w:val="TableTextNumbers"/>
            </w:pPr>
            <w:r>
              <w:lastRenderedPageBreak/>
              <w:t>Click a check box to s</w:t>
            </w:r>
            <w:r w:rsidR="00F3010E">
              <w:t>elect a reagent rack</w:t>
            </w:r>
            <w:r>
              <w:t>.</w:t>
            </w:r>
          </w:p>
          <w:p w14:paraId="041A262C" w14:textId="77777777" w:rsidR="00F345F3" w:rsidRDefault="00F345F3" w:rsidP="00F345F3">
            <w:pPr>
              <w:pStyle w:val="TableTextNumbersContinued"/>
            </w:pPr>
          </w:p>
          <w:p w14:paraId="7A372B84" w14:textId="77777777" w:rsidR="00F3010E" w:rsidRDefault="00F3010E" w:rsidP="00F345F3">
            <w:pPr>
              <w:pStyle w:val="TableTextNumbersContinued"/>
            </w:pPr>
            <w:r>
              <w:t xml:space="preserve">In the ABS or XM Testing Phases area, click the </w:t>
            </w:r>
            <w:r w:rsidRPr="00F3010E">
              <w:rPr>
                <w:b/>
              </w:rPr>
              <w:t>All Phases</w:t>
            </w:r>
            <w:r>
              <w:t xml:space="preserve"> or </w:t>
            </w:r>
            <w:r w:rsidRPr="00F3010E">
              <w:rPr>
                <w:b/>
              </w:rPr>
              <w:t xml:space="preserve">AHG Only </w:t>
            </w:r>
            <w:r w:rsidRPr="00BF2E41">
              <w:t>radio button</w:t>
            </w:r>
            <w:r>
              <w:t>.</w:t>
            </w:r>
          </w:p>
          <w:p w14:paraId="318D565F" w14:textId="77777777" w:rsidR="00F345F3" w:rsidRDefault="00F345F3" w:rsidP="00F345F3">
            <w:pPr>
              <w:pStyle w:val="TableTextNumbersContinued"/>
            </w:pPr>
          </w:p>
          <w:p w14:paraId="16375840" w14:textId="77777777" w:rsidR="00F345F3" w:rsidRDefault="00F345F3" w:rsidP="00F345F3">
            <w:pPr>
              <w:pStyle w:val="TableTextNumbersContinued"/>
            </w:pPr>
            <w:r>
              <w:t xml:space="preserve">Click </w:t>
            </w:r>
            <w:r>
              <w:rPr>
                <w:b/>
              </w:rPr>
              <w:t>OK</w:t>
            </w:r>
            <w:r>
              <w:t xml:space="preserve"> to continue with testing.</w:t>
            </w:r>
          </w:p>
        </w:tc>
        <w:tc>
          <w:tcPr>
            <w:tcW w:w="6120" w:type="dxa"/>
          </w:tcPr>
          <w:p w14:paraId="64414BA4" w14:textId="77777777" w:rsidR="002A21AE" w:rsidRDefault="002A21AE">
            <w:pPr>
              <w:pStyle w:val="TableText"/>
            </w:pPr>
          </w:p>
          <w:p w14:paraId="37FFBBDA" w14:textId="748A1C92" w:rsidR="002A21AE" w:rsidRDefault="002A21AE">
            <w:pPr>
              <w:pStyle w:val="TableText"/>
              <w:rPr>
                <w:b/>
                <w:bCs/>
                <w:szCs w:val="18"/>
              </w:rPr>
            </w:pPr>
            <w:r>
              <w:rPr>
                <w:b/>
                <w:bCs/>
                <w:szCs w:val="18"/>
              </w:rPr>
              <w:t>NOTES</w:t>
            </w:r>
          </w:p>
          <w:p w14:paraId="68D67BE6" w14:textId="77777777" w:rsidR="002A21AE" w:rsidRDefault="002A21AE">
            <w:pPr>
              <w:pStyle w:val="NotesText"/>
            </w:pPr>
          </w:p>
          <w:p w14:paraId="075C215E" w14:textId="77777777" w:rsidR="002A21AE" w:rsidRDefault="002A21AE">
            <w:pPr>
              <w:pStyle w:val="NotesText"/>
            </w:pPr>
            <w:r>
              <w:rPr>
                <w:rFonts w:cs="Arial"/>
                <w:vanish/>
              </w:rPr>
              <w:t xml:space="preserve">BR_40.04 </w:t>
            </w:r>
            <w:r>
              <w:t>When the testing method selected is AHG only, VBECS disables the data grid boxes for phases IS, 37, and CC.</w:t>
            </w:r>
          </w:p>
        </w:tc>
      </w:tr>
      <w:tr w:rsidR="002A21AE" w14:paraId="3C45FD77" w14:textId="77777777">
        <w:tc>
          <w:tcPr>
            <w:tcW w:w="3240" w:type="dxa"/>
          </w:tcPr>
          <w:p w14:paraId="56BC6D11" w14:textId="77777777" w:rsidR="002A21AE" w:rsidRDefault="00F345F3">
            <w:pPr>
              <w:pStyle w:val="TableTextNumbers"/>
            </w:pPr>
            <w:r>
              <w:t>When processing more than one patient, s</w:t>
            </w:r>
            <w:r w:rsidR="002A21AE">
              <w:t xml:space="preserve">elect a </w:t>
            </w:r>
            <w:r>
              <w:t>name from the drop-down list in the Name field (or click the right or left arrow)</w:t>
            </w:r>
            <w:r w:rsidR="002A21AE">
              <w:t xml:space="preserve"> to </w:t>
            </w:r>
            <w:r>
              <w:t>record testing</w:t>
            </w:r>
            <w:r w:rsidR="00F9187A">
              <w:t xml:space="preserve"> for that patient</w:t>
            </w:r>
            <w:r w:rsidR="002A21AE">
              <w:t>.</w:t>
            </w:r>
          </w:p>
        </w:tc>
        <w:tc>
          <w:tcPr>
            <w:tcW w:w="6120" w:type="dxa"/>
          </w:tcPr>
          <w:p w14:paraId="15B0FEDE" w14:textId="77777777" w:rsidR="002A21AE" w:rsidRDefault="002A21AE">
            <w:pPr>
              <w:pStyle w:val="TableTextBullet"/>
            </w:pPr>
            <w:r>
              <w:t xml:space="preserve">Allows the user to select a patient and enter a test result for the patient. </w:t>
            </w:r>
          </w:p>
          <w:p w14:paraId="422E4E62" w14:textId="77777777" w:rsidR="002A21AE" w:rsidRDefault="002A21AE" w:rsidP="00380ACC">
            <w:pPr>
              <w:pStyle w:val="TableTextBullet"/>
            </w:pPr>
            <w:r>
              <w:t>Allows only valid data entries in the grid reaction result and interpretation cells.</w:t>
            </w:r>
          </w:p>
          <w:p w14:paraId="0581E73D" w14:textId="77777777" w:rsidR="002A21AE" w:rsidRDefault="002A21AE">
            <w:pPr>
              <w:pStyle w:val="TableText"/>
            </w:pPr>
          </w:p>
          <w:p w14:paraId="6390B645" w14:textId="71771448" w:rsidR="002A21AE" w:rsidRDefault="002A21AE">
            <w:pPr>
              <w:pStyle w:val="TableText"/>
              <w:rPr>
                <w:b/>
                <w:bCs/>
                <w:szCs w:val="18"/>
              </w:rPr>
            </w:pPr>
            <w:r>
              <w:rPr>
                <w:b/>
                <w:bCs/>
                <w:szCs w:val="18"/>
              </w:rPr>
              <w:t>NOTES</w:t>
            </w:r>
          </w:p>
          <w:p w14:paraId="41AD6E3A" w14:textId="77777777" w:rsidR="002A21AE" w:rsidRDefault="002A21AE">
            <w:pPr>
              <w:pStyle w:val="NotesText"/>
            </w:pPr>
          </w:p>
          <w:p w14:paraId="356A75E5" w14:textId="2B52186F" w:rsidR="002A21AE" w:rsidRDefault="002A21AE">
            <w:pPr>
              <w:pStyle w:val="NotesText"/>
            </w:pPr>
            <w:r>
              <w:rPr>
                <w:rFonts w:cs="Arial"/>
                <w:vanish/>
              </w:rPr>
              <w:t xml:space="preserve">BR_53.02 </w:t>
            </w:r>
            <w:r>
              <w:t xml:space="preserve">The logic described in </w:t>
            </w:r>
            <w:r w:rsidR="00EE455E">
              <w:t xml:space="preserve">Appendix </w:t>
            </w:r>
            <w:r w:rsidR="00EE455E">
              <w:rPr>
                <w:noProof/>
              </w:rPr>
              <w:t>B</w:t>
            </w:r>
            <w:r>
              <w:t xml:space="preserve">: </w:t>
            </w:r>
            <w:r w:rsidR="00EE455E">
              <w:t xml:space="preserve">Table </w:t>
            </w:r>
            <w:r w:rsidR="00EE455E">
              <w:rPr>
                <w:noProof/>
              </w:rPr>
              <w:t>16</w:t>
            </w:r>
            <w:r w:rsidR="00EE455E">
              <w:t xml:space="preserve">: </w:t>
            </w:r>
            <w:r w:rsidR="00EE455E">
              <w:rPr>
                <w:vanish/>
              </w:rPr>
              <w:t xml:space="preserve">TT_53.02 </w:t>
            </w:r>
            <w:r w:rsidR="00EE455E">
              <w:t>Antibody Screen Test Interpretation</w:t>
            </w:r>
            <w:r w:rsidR="00AE2DC1">
              <w:t xml:space="preserve"> </w:t>
            </w:r>
            <w:r>
              <w:t>is an integral part of the configuration of the reaction result grid developed for Patient Testing: Record a Patient Antibody Screen.</w:t>
            </w:r>
          </w:p>
          <w:p w14:paraId="5039AF54" w14:textId="77777777" w:rsidR="002A21AE" w:rsidRDefault="002A21AE">
            <w:pPr>
              <w:pStyle w:val="NotesText"/>
            </w:pPr>
          </w:p>
          <w:p w14:paraId="5007FAE3" w14:textId="77777777" w:rsidR="002A21AE" w:rsidRDefault="002A21AE">
            <w:pPr>
              <w:pStyle w:val="NotesText"/>
            </w:pPr>
            <w:r>
              <w:rPr>
                <w:rFonts w:cs="Arial"/>
                <w:vanish/>
              </w:rPr>
              <w:t xml:space="preserve">BR_53.04 </w:t>
            </w:r>
            <w:r>
              <w:t>There may be two to five rows of screening cells to be validated as a group (the ABS). The user enters only one interpretation for the combination of cells tested.</w:t>
            </w:r>
          </w:p>
          <w:p w14:paraId="5D30BA58" w14:textId="77777777" w:rsidR="002A21AE" w:rsidRDefault="002A21AE">
            <w:pPr>
              <w:pStyle w:val="NotesText"/>
            </w:pPr>
          </w:p>
          <w:p w14:paraId="0CE5FFC1" w14:textId="77777777" w:rsidR="002A21AE" w:rsidRDefault="002A21AE">
            <w:pPr>
              <w:pStyle w:val="NotesText"/>
            </w:pPr>
            <w:r>
              <w:rPr>
                <w:rFonts w:cs="Arial"/>
                <w:vanish/>
              </w:rPr>
              <w:t xml:space="preserve">BR_53.03 </w:t>
            </w:r>
            <w:r>
              <w:t>Valid interpretations of an ABS Test are positive or negative.</w:t>
            </w:r>
          </w:p>
          <w:p w14:paraId="3F9D8E25" w14:textId="77777777" w:rsidR="00B57F42" w:rsidRDefault="00B57F42">
            <w:pPr>
              <w:pStyle w:val="NotesText"/>
            </w:pPr>
          </w:p>
          <w:p w14:paraId="3169A0AE" w14:textId="17F7B05D" w:rsidR="00B57F42" w:rsidRDefault="00B57F42">
            <w:pPr>
              <w:pStyle w:val="NotesText"/>
            </w:pPr>
            <w:r w:rsidRPr="007A20C2">
              <w:rPr>
                <w:vanish/>
              </w:rPr>
              <w:t xml:space="preserve">BR_53.08 </w:t>
            </w:r>
            <w:r w:rsidR="007A20C2">
              <w:t xml:space="preserve">If the antibody screen is positive, the system emits an audible alert and warning that displays that the </w:t>
            </w:r>
            <w:r w:rsidR="007A20C2" w:rsidRPr="00DD6184">
              <w:t xml:space="preserve">Patient has a POSITIVE </w:t>
            </w:r>
            <w:r w:rsidR="007A20C2">
              <w:t>Antibody Screen Result. P</w:t>
            </w:r>
            <w:r w:rsidR="007A20C2" w:rsidRPr="00DD6184">
              <w:t>erform Antibody Identification on this patient prior to issue of blood components</w:t>
            </w:r>
            <w:r w:rsidR="007A20C2">
              <w:t>.</w:t>
            </w:r>
          </w:p>
        </w:tc>
      </w:tr>
      <w:tr w:rsidR="002A21AE" w14:paraId="48E7E406" w14:textId="77777777">
        <w:tc>
          <w:tcPr>
            <w:tcW w:w="3240" w:type="dxa"/>
          </w:tcPr>
          <w:p w14:paraId="6419984B" w14:textId="77777777" w:rsidR="002A21AE" w:rsidRDefault="002A21AE">
            <w:pPr>
              <w:pStyle w:val="TableTextNumbers"/>
            </w:pPr>
            <w:r>
              <w:t>Repeat Step 4 until results are entered in some or all portions of the test grid for the selected patient. Enter the interpretation for the patient ABS Test, if desired.</w:t>
            </w:r>
          </w:p>
        </w:tc>
        <w:tc>
          <w:tcPr>
            <w:tcW w:w="6120" w:type="dxa"/>
          </w:tcPr>
          <w:p w14:paraId="44F45BD3" w14:textId="77777777" w:rsidR="002A21AE" w:rsidRDefault="002A21AE">
            <w:pPr>
              <w:pStyle w:val="TableTextBullet"/>
            </w:pPr>
            <w:r>
              <w:t>Verifies that appropriate tests are entered.</w:t>
            </w:r>
          </w:p>
          <w:p w14:paraId="6D737AAD" w14:textId="77777777" w:rsidR="002A21AE" w:rsidRDefault="002A21AE">
            <w:pPr>
              <w:pStyle w:val="TableTextBullet"/>
            </w:pPr>
            <w:r>
              <w:t>Prompts the user to confirm that results were reviewed and are acceptable.</w:t>
            </w:r>
          </w:p>
          <w:p w14:paraId="02363490" w14:textId="77777777" w:rsidR="002A21AE" w:rsidRDefault="002A21AE">
            <w:pPr>
              <w:pStyle w:val="TableText"/>
            </w:pPr>
          </w:p>
          <w:p w14:paraId="748B3992" w14:textId="0052091E" w:rsidR="002A21AE" w:rsidRDefault="002A21AE">
            <w:pPr>
              <w:pStyle w:val="TableText"/>
              <w:rPr>
                <w:b/>
                <w:bCs/>
                <w:szCs w:val="18"/>
              </w:rPr>
            </w:pPr>
            <w:r>
              <w:rPr>
                <w:b/>
                <w:bCs/>
                <w:szCs w:val="18"/>
              </w:rPr>
              <w:t>NOTES</w:t>
            </w:r>
          </w:p>
          <w:p w14:paraId="1C2C9E43" w14:textId="77777777" w:rsidR="002A21AE" w:rsidRDefault="002A21AE">
            <w:pPr>
              <w:pStyle w:val="NotesText"/>
            </w:pPr>
          </w:p>
          <w:p w14:paraId="76C0436F" w14:textId="02CA074F" w:rsidR="002A21AE" w:rsidRDefault="002A21AE" w:rsidP="009874B8">
            <w:pPr>
              <w:pStyle w:val="NotesText"/>
            </w:pPr>
            <w:r>
              <w:rPr>
                <w:rFonts w:cs="Arial"/>
                <w:vanish/>
              </w:rPr>
              <w:t xml:space="preserve">BR_53.01 </w:t>
            </w:r>
            <w:r>
              <w:t xml:space="preserve">When the ABS Test interpretation must be consistent with observed test results based on </w:t>
            </w:r>
            <w:r w:rsidR="00EE455E">
              <w:t xml:space="preserve">Table </w:t>
            </w:r>
            <w:r w:rsidR="00EE455E">
              <w:rPr>
                <w:noProof/>
              </w:rPr>
              <w:t>16</w:t>
            </w:r>
            <w:r w:rsidR="00EE455E">
              <w:t xml:space="preserve">: </w:t>
            </w:r>
            <w:r w:rsidR="00EE455E">
              <w:rPr>
                <w:vanish/>
              </w:rPr>
              <w:t xml:space="preserve">TT_53.02 </w:t>
            </w:r>
            <w:r w:rsidR="00EE455E">
              <w:t>Antibody Screen Test Interpretation</w:t>
            </w:r>
            <w:r>
              <w:t>, discrepancies must be resolved before VBECS verifies the results and adds them to the database. The user may reenter valid results or delete the entries</w:t>
            </w:r>
            <w:r w:rsidR="009874B8">
              <w:t xml:space="preserve"> and start over before saving. </w:t>
            </w:r>
          </w:p>
        </w:tc>
      </w:tr>
      <w:tr w:rsidR="002A21AE" w14:paraId="495DA90C" w14:textId="77777777">
        <w:tc>
          <w:tcPr>
            <w:tcW w:w="3240" w:type="dxa"/>
          </w:tcPr>
          <w:p w14:paraId="032386D6" w14:textId="77777777" w:rsidR="002A21AE" w:rsidRDefault="002A21AE">
            <w:pPr>
              <w:pStyle w:val="TableTextNumbers"/>
            </w:pPr>
            <w:r>
              <w:t>Enter test results in preparation for updating the database.</w:t>
            </w:r>
            <w:r w:rsidRPr="00B93B42">
              <w:rPr>
                <w:rStyle w:val="StyleTableTextNumbersWhite1Char"/>
              </w:rPr>
              <w:t xml:space="preserve"> </w:t>
            </w:r>
          </w:p>
        </w:tc>
        <w:tc>
          <w:tcPr>
            <w:tcW w:w="6120" w:type="dxa"/>
          </w:tcPr>
          <w:p w14:paraId="04F86C41" w14:textId="77777777" w:rsidR="002A21AE" w:rsidRDefault="002A21AE">
            <w:pPr>
              <w:pStyle w:val="TableTextBullet"/>
            </w:pPr>
            <w:r>
              <w:t>Saves the data.</w:t>
            </w:r>
          </w:p>
        </w:tc>
      </w:tr>
      <w:tr w:rsidR="002A21AE" w14:paraId="30BEC559" w14:textId="77777777">
        <w:tc>
          <w:tcPr>
            <w:tcW w:w="3240" w:type="dxa"/>
          </w:tcPr>
          <w:p w14:paraId="292AFB02" w14:textId="77777777" w:rsidR="002A21AE" w:rsidRDefault="002A21AE">
            <w:pPr>
              <w:pStyle w:val="TableTextNumbers"/>
            </w:pPr>
            <w:r>
              <w:t xml:space="preserve">Click </w:t>
            </w:r>
            <w:r>
              <w:rPr>
                <w:b/>
              </w:rPr>
              <w:t xml:space="preserve">OK </w:t>
            </w:r>
            <w:r>
              <w:t xml:space="preserve">to </w:t>
            </w:r>
            <w:r w:rsidR="0095563F">
              <w:t xml:space="preserve">save, and </w:t>
            </w:r>
            <w:r w:rsidR="0095563F" w:rsidRPr="0095563F">
              <w:rPr>
                <w:b/>
              </w:rPr>
              <w:t>OK</w:t>
            </w:r>
            <w:r w:rsidR="0095563F">
              <w:t xml:space="preserve"> to confirm and </w:t>
            </w:r>
            <w:r>
              <w:t xml:space="preserve">exit. </w:t>
            </w:r>
            <w:r>
              <w:rPr>
                <w:vanish/>
                <w:color w:val="FFFFFF"/>
                <w:szCs w:val="18"/>
              </w:rPr>
              <w:fldChar w:fldCharType="begin"/>
            </w:r>
            <w:r>
              <w:rPr>
                <w:vanish/>
                <w:color w:val="FFFFFF"/>
                <w:szCs w:val="18"/>
              </w:rPr>
              <w:instrText xml:space="preserve"> LISTNUM \l 1 \s 0 </w:instrText>
            </w:r>
            <w:r>
              <w:rPr>
                <w:vanish/>
                <w:color w:val="FFFFFF"/>
                <w:szCs w:val="18"/>
              </w:rPr>
              <w:fldChar w:fldCharType="end">
                <w:numberingChange w:id="544" w:author="MUSZYNSKI, THOMAS D. (SIERRA 7 INC)" w:date="2024-11-26T07:15:00Z" w:original="0."/>
              </w:fldChar>
            </w:r>
          </w:p>
        </w:tc>
        <w:tc>
          <w:tcPr>
            <w:tcW w:w="6120" w:type="dxa"/>
          </w:tcPr>
          <w:p w14:paraId="70EC351E" w14:textId="77777777" w:rsidR="002A21AE" w:rsidRDefault="002A21AE">
            <w:pPr>
              <w:pStyle w:val="TableText"/>
            </w:pPr>
          </w:p>
        </w:tc>
      </w:tr>
    </w:tbl>
    <w:p w14:paraId="6C166781" w14:textId="77777777" w:rsidR="002A21AE" w:rsidRDefault="00AC2D9E">
      <w:pPr>
        <w:pStyle w:val="Heading3"/>
      </w:pPr>
      <w:r>
        <w:br w:type="page"/>
      </w:r>
      <w:bookmarkStart w:id="545" w:name="_Toc203765925"/>
      <w:bookmarkStart w:id="546" w:name="_Hlk36533028"/>
      <w:r w:rsidR="002A21AE">
        <w:lastRenderedPageBreak/>
        <w:t>Patient Testing: Record a Direct Antiglobulin Test</w:t>
      </w:r>
      <w:bookmarkEnd w:id="545"/>
      <w:r w:rsidR="002A21AE">
        <w:fldChar w:fldCharType="begin"/>
      </w:r>
      <w:r w:rsidR="002A21AE">
        <w:instrText xml:space="preserve"> XE </w:instrText>
      </w:r>
      <w:r w:rsidR="00FA7E65">
        <w:instrText>“</w:instrText>
      </w:r>
      <w:r w:rsidR="002A21AE">
        <w:instrText>Patient Testing\: Record a Direct Antiglobulin Test</w:instrText>
      </w:r>
      <w:r w:rsidR="00FA7E65">
        <w:instrText>”</w:instrText>
      </w:r>
      <w:r w:rsidR="002A21AE">
        <w:instrText xml:space="preserve"> </w:instrText>
      </w:r>
      <w:r w:rsidR="002A21AE">
        <w:fldChar w:fldCharType="end"/>
      </w:r>
      <w:r w:rsidR="002A21AE">
        <w:t xml:space="preserve"> </w:t>
      </w:r>
      <w:r w:rsidR="002A21AE">
        <w:rPr>
          <w:rFonts w:ascii="Times New Roman" w:hAnsi="Times New Roman" w:cs="Times New Roman"/>
          <w:b w:val="0"/>
          <w:vanish/>
          <w:sz w:val="22"/>
        </w:rPr>
        <w:t>UC_54</w:t>
      </w:r>
    </w:p>
    <w:p w14:paraId="328DA432" w14:textId="77777777" w:rsidR="002A21AE" w:rsidRDefault="002A21AE" w:rsidP="00FA7E65">
      <w:pPr>
        <w:pStyle w:val="BodyText"/>
      </w:pPr>
      <w:r>
        <w:t xml:space="preserve">The user records observed results when performing a Direct Antiglobulin Test (DAT). </w:t>
      </w:r>
    </w:p>
    <w:p w14:paraId="7EE0CE07" w14:textId="77777777" w:rsidR="002A21AE" w:rsidRDefault="002A21AE">
      <w:pPr>
        <w:pStyle w:val="Heading4"/>
      </w:pPr>
      <w:r>
        <w:t>Assumptions</w:t>
      </w:r>
      <w:r>
        <w:rPr>
          <w:b w:val="0"/>
        </w:rPr>
        <w:t xml:space="preserve"> </w:t>
      </w:r>
    </w:p>
    <w:p w14:paraId="114CE7C5" w14:textId="77777777" w:rsidR="002A21AE" w:rsidRDefault="002A21AE">
      <w:pPr>
        <w:pStyle w:val="ListBullet"/>
      </w:pPr>
      <w:r>
        <w:t xml:space="preserve">A CPRS order exists that includes a DAT, which the user may also order as a reflex patient test. </w:t>
      </w:r>
    </w:p>
    <w:p w14:paraId="4E64228B" w14:textId="77777777" w:rsidR="002A21AE" w:rsidRDefault="002A21AE">
      <w:pPr>
        <w:pStyle w:val="ListBullet"/>
      </w:pPr>
      <w:r>
        <w:t xml:space="preserve">The user is testing a patient specimen in Patient Testing: Record Patient Test Results. </w:t>
      </w:r>
    </w:p>
    <w:p w14:paraId="728E0E40" w14:textId="77777777" w:rsidR="002A21AE" w:rsidRDefault="002A21AE">
      <w:pPr>
        <w:pStyle w:val="ListBullet"/>
      </w:pPr>
      <w:r>
        <w:t>VBECS is configured to accommodate the DAT as part of a Type &amp; Screen (TAS).</w:t>
      </w:r>
    </w:p>
    <w:p w14:paraId="4EC5B2B2" w14:textId="77777777" w:rsidR="002A21AE" w:rsidRDefault="002A21AE">
      <w:pPr>
        <w:pStyle w:val="Heading4"/>
      </w:pPr>
      <w:r>
        <w:t xml:space="preserve">Outcome </w:t>
      </w:r>
    </w:p>
    <w:p w14:paraId="116543D6" w14:textId="77777777" w:rsidR="002A21AE" w:rsidRDefault="002A21AE">
      <w:pPr>
        <w:pStyle w:val="ListBullet"/>
      </w:pPr>
      <w:r>
        <w:t>When a DAT is ordered as a stand-alone test, VBECS changes the task status to “completed” and triggers the generation of a message to CPRS that the order is complete.</w:t>
      </w:r>
    </w:p>
    <w:p w14:paraId="74E8352B" w14:textId="77777777" w:rsidR="002A21AE" w:rsidRDefault="002A21AE">
      <w:pPr>
        <w:pStyle w:val="Heading4"/>
      </w:pPr>
      <w:r>
        <w:t>Limitations and Restrictions</w:t>
      </w:r>
      <w:r>
        <w:rPr>
          <w:b w:val="0"/>
        </w:rPr>
        <w:t xml:space="preserve"> </w:t>
      </w:r>
    </w:p>
    <w:p w14:paraId="0B4C96F4" w14:textId="77777777" w:rsidR="002A21AE" w:rsidRDefault="002A21AE">
      <w:pPr>
        <w:pStyle w:val="ListBullet"/>
      </w:pPr>
      <w:r>
        <w:t>VBECS does not check whether the lot and vial numbers selected for the positive control cells are different from those of the negative control cells.</w:t>
      </w:r>
    </w:p>
    <w:p w14:paraId="2130BC17" w14:textId="77777777" w:rsidR="002A21AE" w:rsidRDefault="002A21AE">
      <w:pPr>
        <w:pStyle w:val="Heading4"/>
      </w:pPr>
      <w:r>
        <w:t xml:space="preserve">Additional Information </w:t>
      </w:r>
    </w:p>
    <w:p w14:paraId="65AC702E" w14:textId="77777777" w:rsidR="002A21AE" w:rsidRDefault="002A21AE">
      <w:pPr>
        <w:pStyle w:val="ListBullet"/>
      </w:pPr>
      <w:r>
        <w:rPr>
          <w:rFonts w:ascii="Arial" w:hAnsi="Arial" w:cs="Arial"/>
          <w:vanish/>
          <w:spacing w:val="0"/>
          <w:sz w:val="18"/>
        </w:rPr>
        <w:t xml:space="preserve">BR_28.11 </w:t>
      </w:r>
      <w:r>
        <w:t>The site settings determine which reagent types and lot numbers are available.</w:t>
      </w:r>
    </w:p>
    <w:p w14:paraId="23588CE6" w14:textId="45E746BA" w:rsidR="002A21AE" w:rsidRDefault="002A21AE">
      <w:pPr>
        <w:pStyle w:val="ListBullet"/>
      </w:pPr>
      <w:r>
        <w:t xml:space="preserve">VBECS checks the rack for the DAT reagents in use. When the rack testing does not include Poly AHG, Anti-IgG, or anti-complement, VBECS displays additional positive and negative control rows with the test grid for the DAT sera. </w:t>
      </w:r>
      <w:r w:rsidR="007C52D2">
        <w:t xml:space="preserve">(See </w:t>
      </w:r>
      <w:r w:rsidR="0096583A" w:rsidRPr="00423A7F">
        <w:rPr>
          <w:i/>
          <w:iCs/>
        </w:rPr>
        <w:t xml:space="preserve">FAQ </w:t>
      </w:r>
      <w:r w:rsidR="007C52D2" w:rsidRPr="00423A7F">
        <w:rPr>
          <w:i/>
          <w:iCs/>
        </w:rPr>
        <w:t>Polyspecific AHG Not Used for Testing</w:t>
      </w:r>
      <w:r w:rsidR="007C52D2">
        <w:t>)</w:t>
      </w:r>
    </w:p>
    <w:p w14:paraId="17221485" w14:textId="2DD8730C" w:rsidR="002A21AE" w:rsidRDefault="002A21AE">
      <w:pPr>
        <w:pStyle w:val="ListBullet"/>
      </w:pPr>
      <w:r>
        <w:rPr>
          <w:rFonts w:ascii="Arial" w:hAnsi="Arial" w:cs="Arial"/>
          <w:vanish/>
          <w:spacing w:val="0"/>
          <w:sz w:val="18"/>
        </w:rPr>
        <w:t xml:space="preserve">BR_41.25 </w:t>
      </w:r>
      <w:r>
        <w:t>The user may select reagent lot numbers for positive and negative control cells: Reverse ABO Typing Cells (Set), A2 cell (vial), Screening Cells (set), Check Cells (vial), Panel (set), and Other (set).</w:t>
      </w:r>
    </w:p>
    <w:p w14:paraId="63C26F4B" w14:textId="2C54D513" w:rsidR="0040397B" w:rsidRDefault="00E06D68" w:rsidP="00E06D68">
      <w:pPr>
        <w:pStyle w:val="ListBullet"/>
      </w:pPr>
      <w:r w:rsidRPr="00E06D68">
        <w:t xml:space="preserve">DAT tests indicated as performed using GEL with valid control cells </w:t>
      </w:r>
      <w:r>
        <w:t xml:space="preserve">no longer require the entry of check cell </w:t>
      </w:r>
      <w:r w:rsidRPr="00E06D68">
        <w:t>results. DAT tests performed by manual method will al</w:t>
      </w:r>
      <w:r>
        <w:t>so no longer require entry of check cell</w:t>
      </w:r>
      <w:r w:rsidRPr="00E06D68">
        <w:t xml:space="preserve"> results.</w:t>
      </w:r>
      <w:r w:rsidR="00CC3452">
        <w:t xml:space="preserve"> Test results do not have to be entered, but the cell cannot be blank. An “X” can be entered to indicate “Not Tested”, if testing was not performed. </w:t>
      </w:r>
      <w:r w:rsidR="00CC3452" w:rsidRPr="00CC3452">
        <w:rPr>
          <w:vanish/>
        </w:rPr>
        <w:t>Task 881295</w:t>
      </w:r>
    </w:p>
    <w:p w14:paraId="1179F84D" w14:textId="77777777" w:rsidR="002A21AE" w:rsidRDefault="002A21AE">
      <w:pPr>
        <w:pStyle w:val="Heading4"/>
      </w:pPr>
      <w:r>
        <w:t xml:space="preserve">User Roles with Access to This Option </w:t>
      </w:r>
    </w:p>
    <w:p w14:paraId="0F376E7A" w14:textId="77777777" w:rsidR="002A21AE" w:rsidRDefault="007934CF">
      <w:pPr>
        <w:pStyle w:val="Roles"/>
      </w:pPr>
      <w:r>
        <w:t>All users</w:t>
      </w:r>
    </w:p>
    <w:p w14:paraId="5C960341" w14:textId="77777777" w:rsidR="002A21AE" w:rsidRDefault="002A21AE">
      <w:pPr>
        <w:pStyle w:val="Heading4"/>
      </w:pPr>
      <w:r>
        <w:t>Patient Testing: Record a Direct Antiglobulin Test</w:t>
      </w:r>
    </w:p>
    <w:p w14:paraId="0207B2A7" w14:textId="77777777" w:rsidR="002A21AE" w:rsidRDefault="002A21AE" w:rsidP="00FA7E65">
      <w:pPr>
        <w:pStyle w:val="BodyText"/>
      </w:pPr>
      <w:r>
        <w:t xml:space="preserve">The user performs a DAT on a patient sample. </w:t>
      </w:r>
    </w:p>
    <w:p w14:paraId="7C5D6291" w14:textId="77777777" w:rsidR="002A21AE" w:rsidRDefault="002A21AE" w:rsidP="00FA7E65">
      <w:pPr>
        <w:pStyle w:val="BodyText"/>
      </w:pPr>
      <w:r>
        <w:t>The DAT may generate additional reflex test o</w:t>
      </w:r>
      <w:r w:rsidR="0058122A">
        <w:t xml:space="preserve">rders such as </w:t>
      </w:r>
      <w:r>
        <w:t>antibody identification. VBECS saves the reactions and interpretation in the database as part of the patient’s record.</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3EEBFC5D" w14:textId="77777777">
        <w:trPr>
          <w:cantSplit/>
          <w:tblHeader/>
        </w:trPr>
        <w:tc>
          <w:tcPr>
            <w:tcW w:w="3240" w:type="dxa"/>
            <w:shd w:val="pct30" w:color="auto" w:fill="FFFFFF"/>
            <w:vAlign w:val="bottom"/>
          </w:tcPr>
          <w:p w14:paraId="259B53D5" w14:textId="77777777" w:rsidR="002A21AE" w:rsidRDefault="002A21AE">
            <w:pPr>
              <w:pStyle w:val="TableText"/>
              <w:rPr>
                <w:b/>
              </w:rPr>
            </w:pPr>
            <w:r>
              <w:rPr>
                <w:b/>
              </w:rPr>
              <w:t>User Action</w:t>
            </w:r>
          </w:p>
        </w:tc>
        <w:tc>
          <w:tcPr>
            <w:tcW w:w="6120" w:type="dxa"/>
            <w:shd w:val="pct30" w:color="auto" w:fill="FFFFFF"/>
            <w:vAlign w:val="bottom"/>
          </w:tcPr>
          <w:p w14:paraId="52EBE639" w14:textId="77777777" w:rsidR="002A21AE" w:rsidRDefault="002A21AE">
            <w:pPr>
              <w:pStyle w:val="TableText"/>
              <w:rPr>
                <w:b/>
              </w:rPr>
            </w:pPr>
            <w:r>
              <w:rPr>
                <w:b/>
              </w:rPr>
              <w:t>VBECS</w:t>
            </w:r>
          </w:p>
        </w:tc>
      </w:tr>
      <w:tr w:rsidR="00141448" w14:paraId="4910F5CE" w14:textId="77777777">
        <w:tc>
          <w:tcPr>
            <w:tcW w:w="3240" w:type="dxa"/>
            <w:tcBorders>
              <w:top w:val="single" w:sz="4" w:space="0" w:color="auto"/>
              <w:left w:val="single" w:sz="4" w:space="0" w:color="auto"/>
              <w:bottom w:val="single" w:sz="4" w:space="0" w:color="auto"/>
              <w:right w:val="single" w:sz="4" w:space="0" w:color="auto"/>
            </w:tcBorders>
          </w:tcPr>
          <w:p w14:paraId="7E3D4596" w14:textId="77777777" w:rsidR="00141448" w:rsidRDefault="00141448" w:rsidP="00141448">
            <w:pPr>
              <w:pStyle w:val="TableTextNumbers"/>
            </w:pPr>
            <w:r>
              <w:t xml:space="preserve">Select </w:t>
            </w:r>
            <w:r>
              <w:rPr>
                <w:b/>
              </w:rPr>
              <w:t>Patients</w:t>
            </w:r>
            <w:r>
              <w:t xml:space="preserve"> from the main menu.</w:t>
            </w:r>
          </w:p>
          <w:p w14:paraId="0FA3887A" w14:textId="77777777" w:rsidR="00141448" w:rsidRDefault="00141448" w:rsidP="00141448">
            <w:pPr>
              <w:pStyle w:val="TableTextNumbersContinued"/>
            </w:pPr>
          </w:p>
          <w:p w14:paraId="0FB762E6" w14:textId="77777777" w:rsidR="00141448" w:rsidRDefault="00141448" w:rsidP="00141448">
            <w:pPr>
              <w:pStyle w:val="TableTextNumbersContinued"/>
            </w:pPr>
            <w:r>
              <w:t xml:space="preserve">Select </w:t>
            </w:r>
            <w:r>
              <w:rPr>
                <w:b/>
              </w:rPr>
              <w:t>Patient Testing</w:t>
            </w:r>
            <w:r>
              <w:t>.</w:t>
            </w:r>
          </w:p>
        </w:tc>
        <w:tc>
          <w:tcPr>
            <w:tcW w:w="6120" w:type="dxa"/>
            <w:tcBorders>
              <w:top w:val="single" w:sz="4" w:space="0" w:color="auto"/>
              <w:left w:val="single" w:sz="4" w:space="0" w:color="auto"/>
              <w:bottom w:val="single" w:sz="4" w:space="0" w:color="auto"/>
              <w:right w:val="single" w:sz="4" w:space="0" w:color="auto"/>
            </w:tcBorders>
          </w:tcPr>
          <w:p w14:paraId="0959DC56" w14:textId="77777777" w:rsidR="00141448" w:rsidRDefault="00141448" w:rsidP="00141448">
            <w:pPr>
              <w:pStyle w:val="TableTextBullet"/>
            </w:pPr>
            <w:r>
              <w:t xml:space="preserve">Displays options for processing patient-related functions. </w:t>
            </w:r>
          </w:p>
          <w:p w14:paraId="57668D5B" w14:textId="77777777" w:rsidR="00141448" w:rsidRDefault="00141448" w:rsidP="00141448">
            <w:pPr>
              <w:pStyle w:val="TableTextBullet"/>
            </w:pPr>
            <w:r>
              <w:t>Displays the Pending Task List (PTL) in the Diagnostic Tests tab.</w:t>
            </w:r>
          </w:p>
          <w:p w14:paraId="1449CC28" w14:textId="77777777" w:rsidR="00141448" w:rsidRDefault="00141448" w:rsidP="00141448">
            <w:pPr>
              <w:pStyle w:val="NotesText"/>
            </w:pPr>
          </w:p>
          <w:p w14:paraId="6E29C3D0" w14:textId="66347A38" w:rsidR="00141448" w:rsidRDefault="00141448" w:rsidP="00141448">
            <w:pPr>
              <w:pStyle w:val="TableText"/>
              <w:rPr>
                <w:b/>
                <w:bCs/>
                <w:szCs w:val="18"/>
              </w:rPr>
            </w:pPr>
            <w:r>
              <w:rPr>
                <w:b/>
                <w:bCs/>
                <w:szCs w:val="18"/>
              </w:rPr>
              <w:t>NOTES</w:t>
            </w:r>
          </w:p>
          <w:p w14:paraId="534A05FC" w14:textId="77777777" w:rsidR="00141448" w:rsidRDefault="00141448" w:rsidP="00141448">
            <w:pPr>
              <w:pStyle w:val="NotesText"/>
            </w:pPr>
          </w:p>
          <w:p w14:paraId="59D48576" w14:textId="77777777" w:rsidR="00141448" w:rsidRDefault="00141448" w:rsidP="00141448">
            <w:pPr>
              <w:pStyle w:val="NotesText"/>
            </w:pPr>
            <w:r>
              <w:t>A user may search for specific tasks using search criteria detailed in Pending Task List.</w:t>
            </w:r>
          </w:p>
        </w:tc>
      </w:tr>
      <w:tr w:rsidR="00B1359E" w14:paraId="5DA86F7C" w14:textId="77777777" w:rsidTr="003362FE">
        <w:trPr>
          <w:cantSplit/>
        </w:trPr>
        <w:tc>
          <w:tcPr>
            <w:tcW w:w="3240" w:type="dxa"/>
          </w:tcPr>
          <w:p w14:paraId="2AB2B5EE" w14:textId="77777777" w:rsidR="00B1359E" w:rsidRDefault="00B1359E" w:rsidP="00150254">
            <w:pPr>
              <w:pStyle w:val="TableTextNumbers"/>
            </w:pPr>
            <w:r>
              <w:lastRenderedPageBreak/>
              <w:t xml:space="preserve">Click one to four check boxes in the Pending Task List to select tasks for testing. </w:t>
            </w:r>
          </w:p>
          <w:p w14:paraId="24FA39FD" w14:textId="77777777" w:rsidR="00B1359E" w:rsidRDefault="00B1359E" w:rsidP="00150254">
            <w:pPr>
              <w:pStyle w:val="TableTextNumbersContinued"/>
            </w:pPr>
          </w:p>
          <w:p w14:paraId="2E8F602D" w14:textId="77777777" w:rsidR="00B1359E" w:rsidRDefault="00B1359E" w:rsidP="00150254">
            <w:pPr>
              <w:pStyle w:val="TableTextNumbersContinued"/>
            </w:pPr>
            <w:r>
              <w:t xml:space="preserve">Click </w:t>
            </w:r>
            <w:r>
              <w:rPr>
                <w:b/>
              </w:rPr>
              <w:t>OK</w:t>
            </w:r>
            <w:r>
              <w:t>.</w:t>
            </w:r>
          </w:p>
        </w:tc>
        <w:tc>
          <w:tcPr>
            <w:tcW w:w="6120" w:type="dxa"/>
          </w:tcPr>
          <w:p w14:paraId="4D6959D7" w14:textId="77777777" w:rsidR="00B1359E" w:rsidRDefault="00B1359E" w:rsidP="00150254">
            <w:pPr>
              <w:pStyle w:val="TableTextBullet"/>
            </w:pPr>
            <w:r>
              <w:t>Displays patient names and associated task information.</w:t>
            </w:r>
          </w:p>
        </w:tc>
      </w:tr>
      <w:tr w:rsidR="002A21AE" w14:paraId="7AB2635C" w14:textId="77777777">
        <w:tc>
          <w:tcPr>
            <w:tcW w:w="3240" w:type="dxa"/>
          </w:tcPr>
          <w:p w14:paraId="21C9D4D8" w14:textId="77777777" w:rsidR="002A21AE" w:rsidRDefault="00616B9E">
            <w:pPr>
              <w:pStyle w:val="TableTextNumbers"/>
            </w:pPr>
            <w:r>
              <w:t>When QC was not performed, e</w:t>
            </w:r>
            <w:r w:rsidR="002A21AE">
              <w:t>nter a lot number for the antiserum.</w:t>
            </w:r>
          </w:p>
        </w:tc>
        <w:tc>
          <w:tcPr>
            <w:tcW w:w="6120" w:type="dxa"/>
          </w:tcPr>
          <w:p w14:paraId="56F7326B" w14:textId="77777777" w:rsidR="00BE013F" w:rsidRDefault="00BE013F" w:rsidP="00BE013F">
            <w:pPr>
              <w:pStyle w:val="TableTextBullet"/>
            </w:pPr>
            <w:r>
              <w:t xml:space="preserve">Displays reaction result grids for DAT tests for each patient. </w:t>
            </w:r>
          </w:p>
          <w:p w14:paraId="64560571" w14:textId="77777777" w:rsidR="00BE013F" w:rsidRDefault="00BE013F" w:rsidP="00BE013F">
            <w:pPr>
              <w:pStyle w:val="TableTextBullet"/>
            </w:pPr>
            <w:r>
              <w:t>Lists the AHG antisera related to the test.</w:t>
            </w:r>
          </w:p>
          <w:p w14:paraId="531BA055" w14:textId="77777777" w:rsidR="002A21AE" w:rsidRDefault="002A21AE">
            <w:pPr>
              <w:pStyle w:val="TableTextBullet"/>
            </w:pPr>
            <w:r>
              <w:t xml:space="preserve">Displays information about the lot number, including the manufacturer and expiration date. </w:t>
            </w:r>
          </w:p>
          <w:p w14:paraId="65E2C660" w14:textId="77777777" w:rsidR="002A21AE" w:rsidRDefault="002A21AE">
            <w:pPr>
              <w:pStyle w:val="TableTextBullet"/>
            </w:pPr>
            <w:r>
              <w:t>Prompts the user to select the correct antisera and possibly the control cell entry.</w:t>
            </w:r>
          </w:p>
          <w:p w14:paraId="47E1477C" w14:textId="77777777" w:rsidR="002A21AE" w:rsidRDefault="002A21AE">
            <w:pPr>
              <w:pStyle w:val="TableText"/>
            </w:pPr>
          </w:p>
          <w:p w14:paraId="28804E7E" w14:textId="0641AAA3" w:rsidR="002A21AE" w:rsidRDefault="002A21AE">
            <w:pPr>
              <w:pStyle w:val="TableText"/>
              <w:rPr>
                <w:b/>
                <w:bCs/>
                <w:szCs w:val="18"/>
              </w:rPr>
            </w:pPr>
            <w:r>
              <w:rPr>
                <w:b/>
                <w:bCs/>
                <w:szCs w:val="18"/>
              </w:rPr>
              <w:t>NOTES</w:t>
            </w:r>
          </w:p>
          <w:p w14:paraId="5D500792" w14:textId="77777777" w:rsidR="002A21AE" w:rsidRDefault="002A21AE">
            <w:pPr>
              <w:pStyle w:val="TableText"/>
            </w:pPr>
          </w:p>
          <w:p w14:paraId="623F5709" w14:textId="77777777" w:rsidR="00B14E03" w:rsidRDefault="00B14E03" w:rsidP="00B14E03">
            <w:pPr>
              <w:pStyle w:val="NotesText"/>
            </w:pPr>
            <w:r>
              <w:rPr>
                <w:rFonts w:cs="Arial"/>
                <w:vanish/>
              </w:rPr>
              <w:t xml:space="preserve">BR_41.25 </w:t>
            </w:r>
            <w:r>
              <w:t xml:space="preserve">Reagent lot numbers that are selectable for positive and negative control cells: </w:t>
            </w:r>
          </w:p>
          <w:p w14:paraId="32FADCCC" w14:textId="77777777" w:rsidR="00B14E03" w:rsidRDefault="00B14E03" w:rsidP="00B14E03">
            <w:pPr>
              <w:pStyle w:val="NotesTextBullet"/>
            </w:pPr>
            <w:r>
              <w:t>Reverse ABO Typing Cells (set)</w:t>
            </w:r>
          </w:p>
          <w:p w14:paraId="5CF5407F" w14:textId="77777777" w:rsidR="00B14E03" w:rsidRDefault="00B14E03" w:rsidP="00B14E03">
            <w:pPr>
              <w:pStyle w:val="NotesTextBullet"/>
            </w:pPr>
            <w:r>
              <w:t>A2 cell (vial)</w:t>
            </w:r>
          </w:p>
          <w:p w14:paraId="47B81F6E" w14:textId="77777777" w:rsidR="00B14E03" w:rsidRDefault="00B14E03" w:rsidP="00B14E03">
            <w:pPr>
              <w:pStyle w:val="NotesTextBullet"/>
            </w:pPr>
            <w:r>
              <w:t>Screening Cells (set)</w:t>
            </w:r>
          </w:p>
          <w:p w14:paraId="7D9A89E3" w14:textId="77777777" w:rsidR="00B14E03" w:rsidRDefault="00B14E03" w:rsidP="00B14E03">
            <w:pPr>
              <w:pStyle w:val="NotesTextBullet"/>
            </w:pPr>
            <w:r>
              <w:t>Check Cells (vial)</w:t>
            </w:r>
          </w:p>
          <w:p w14:paraId="2CA8BBE2" w14:textId="77777777" w:rsidR="00B14E03" w:rsidRDefault="00B14E03" w:rsidP="00B14E03">
            <w:pPr>
              <w:pStyle w:val="NotesTextBullet"/>
            </w:pPr>
            <w:r>
              <w:t>Panel (set)</w:t>
            </w:r>
          </w:p>
          <w:p w14:paraId="603C8EAA" w14:textId="77777777" w:rsidR="00B14E03" w:rsidRDefault="00B14E03" w:rsidP="00B14E03">
            <w:pPr>
              <w:pStyle w:val="NotesTextBullet"/>
            </w:pPr>
            <w:r>
              <w:t>Other (set)</w:t>
            </w:r>
          </w:p>
          <w:p w14:paraId="0E39E721" w14:textId="77777777" w:rsidR="00B14E03" w:rsidRDefault="00B14E03">
            <w:pPr>
              <w:pStyle w:val="NotesText"/>
              <w:rPr>
                <w:rFonts w:cs="Arial"/>
                <w:vanish/>
              </w:rPr>
            </w:pPr>
          </w:p>
          <w:p w14:paraId="5E648885" w14:textId="77777777" w:rsidR="00BE013F" w:rsidRDefault="00BE013F">
            <w:pPr>
              <w:pStyle w:val="NotesText"/>
            </w:pPr>
            <w:r>
              <w:rPr>
                <w:rFonts w:cs="Arial"/>
                <w:vanish/>
              </w:rPr>
              <w:t xml:space="preserve">BR_54.02 </w:t>
            </w:r>
            <w:r>
              <w:t>VBECS lists the AHG antisera related to the test from previously entered inventory. When VBECS displays multiple DAT tests or the full battery, the user selects each DAT serum separately by repeating this step until all are selected.</w:t>
            </w:r>
          </w:p>
          <w:p w14:paraId="51D6449C" w14:textId="77777777" w:rsidR="00BE013F" w:rsidRDefault="00BE013F">
            <w:pPr>
              <w:pStyle w:val="NotesText"/>
            </w:pPr>
          </w:p>
          <w:p w14:paraId="2412FCE6" w14:textId="77777777" w:rsidR="002A21AE" w:rsidRDefault="00BE013F">
            <w:pPr>
              <w:pStyle w:val="NotesText"/>
            </w:pPr>
            <w:r w:rsidRPr="00BE013F">
              <w:rPr>
                <w:vanish/>
                <w:szCs w:val="18"/>
              </w:rPr>
              <w:t>B</w:t>
            </w:r>
            <w:r w:rsidR="002A21AE">
              <w:rPr>
                <w:rFonts w:cs="Arial"/>
                <w:vanish/>
              </w:rPr>
              <w:t xml:space="preserve">R_54.06 </w:t>
            </w:r>
            <w:r w:rsidR="002A21AE">
              <w:t>Each positive and negative control cell requires the user to select a lot number.</w:t>
            </w:r>
          </w:p>
          <w:p w14:paraId="077CD06F" w14:textId="77777777" w:rsidR="002A21AE" w:rsidRDefault="002A21AE">
            <w:pPr>
              <w:pStyle w:val="NotesText"/>
            </w:pPr>
          </w:p>
          <w:p w14:paraId="5A54F3BC" w14:textId="77777777" w:rsidR="002A21AE" w:rsidRDefault="002A21AE">
            <w:pPr>
              <w:pStyle w:val="NotesText"/>
            </w:pPr>
            <w:r>
              <w:rPr>
                <w:vanish/>
                <w:szCs w:val="18"/>
              </w:rPr>
              <w:t>BR_54.04</w:t>
            </w:r>
            <w:r w:rsidR="009078D6">
              <w:rPr>
                <w:vanish/>
                <w:szCs w:val="18"/>
              </w:rPr>
              <w:t>,</w:t>
            </w:r>
            <w:r>
              <w:rPr>
                <w:vanish/>
                <w:szCs w:val="18"/>
              </w:rPr>
              <w:t xml:space="preserve"> BR_54.05 </w:t>
            </w:r>
            <w:r>
              <w:t>VBECS displays options to select the lot number of the antisera and check cells used for QC of the antiglobulin sera. The user must select complement check cells for Anti-Complement AHG tests.</w:t>
            </w:r>
          </w:p>
          <w:p w14:paraId="08176318" w14:textId="77777777" w:rsidR="002A21AE" w:rsidRDefault="002A21AE">
            <w:pPr>
              <w:pStyle w:val="NotesText"/>
            </w:pPr>
          </w:p>
          <w:p w14:paraId="04414380" w14:textId="77777777" w:rsidR="002A21AE" w:rsidRDefault="002A21AE">
            <w:pPr>
              <w:pStyle w:val="NotesText"/>
            </w:pPr>
            <w:r>
              <w:rPr>
                <w:rFonts w:cs="Arial"/>
                <w:vanish/>
              </w:rPr>
              <w:t>BR_28.12</w:t>
            </w:r>
            <w:r w:rsidR="004F5F28" w:rsidRPr="00323744">
              <w:rPr>
                <w:rStyle w:val="BullhornChar"/>
              </w:rPr>
              <w:t></w:t>
            </w:r>
            <w:r w:rsidR="004F5F28">
              <w:rPr>
                <w:rFonts w:ascii="Webdings" w:hAnsi="Webdings"/>
              </w:rPr>
              <w:t></w:t>
            </w:r>
            <w:r>
              <w:t xml:space="preserve">VBECS compares the </w:t>
            </w:r>
            <w:r w:rsidR="00FE64A7">
              <w:t xml:space="preserve">control cell </w:t>
            </w:r>
            <w:r>
              <w:t xml:space="preserve">results entered to those of the previous day for the same rack number and alerts the user when there is a decrease in reactivity of 2 or more within the acceptable limits for each reagent type by lot number. VBECS </w:t>
            </w:r>
            <w:r>
              <w:rPr>
                <w:noProof/>
                <w:color w:val="000000"/>
              </w:rPr>
              <w:t xml:space="preserve">emits an audible alert, warns that there is a </w:t>
            </w:r>
            <w:r w:rsidR="00191CFE">
              <w:rPr>
                <w:noProof/>
                <w:color w:val="000000"/>
              </w:rPr>
              <w:t>decrease</w:t>
            </w:r>
            <w:r>
              <w:t xml:space="preserve"> in reagent reactivity of two or more, and asks whether the user wishes to continue to use this vial.</w:t>
            </w:r>
          </w:p>
          <w:p w14:paraId="56C72651" w14:textId="77777777" w:rsidR="002A21AE" w:rsidRDefault="002A21AE">
            <w:pPr>
              <w:pStyle w:val="NotesText"/>
            </w:pPr>
          </w:p>
          <w:p w14:paraId="3115E0B2" w14:textId="77777777" w:rsidR="002A21AE" w:rsidRDefault="002A21AE">
            <w:pPr>
              <w:pStyle w:val="NotesText"/>
            </w:pPr>
            <w:r>
              <w:rPr>
                <w:b/>
              </w:rPr>
              <w:t>Yes</w:t>
            </w:r>
            <w:r>
              <w:t xml:space="preserve"> allows the user to continue, with comment. VBECS captures details for inclusion in an Exception Report (exception type: QC decrease reagent reactivity </w:t>
            </w:r>
            <w:r w:rsidR="00DE5EF3" w:rsidRPr="00DE5EF3">
              <w:rPr>
                <w:rStyle w:val="Char"/>
                <w:rFonts w:cs="Arial"/>
                <w:sz w:val="18"/>
                <w:szCs w:val="18"/>
              </w:rPr>
              <w:t>≥</w:t>
            </w:r>
            <w:r w:rsidR="00320118">
              <w:rPr>
                <w:rStyle w:val="Char"/>
                <w:rFonts w:cs="Arial"/>
                <w:sz w:val="18"/>
                <w:szCs w:val="18"/>
              </w:rPr>
              <w:t xml:space="preserve"> </w:t>
            </w:r>
            <w:r>
              <w:t xml:space="preserve">2). </w:t>
            </w:r>
          </w:p>
          <w:p w14:paraId="2F59DC64" w14:textId="77777777" w:rsidR="002A21AE" w:rsidRDefault="002A21AE">
            <w:pPr>
              <w:pStyle w:val="NotesText"/>
            </w:pPr>
          </w:p>
          <w:p w14:paraId="2568A5FF" w14:textId="77777777" w:rsidR="002A21AE" w:rsidRDefault="002A21AE">
            <w:pPr>
              <w:pStyle w:val="NotesText"/>
            </w:pPr>
            <w:r>
              <w:rPr>
                <w:b/>
              </w:rPr>
              <w:t>No</w:t>
            </w:r>
            <w:r>
              <w:t xml:space="preserve"> allows the user to reenter the lot number for this reagent type and allows the approval of this same lot number (different vial) or the entry of a new lot number, returning to the testing worksheet where the user left off. (The user may replace an individual vial that is losing its reactivity with one of the same lot number.) </w:t>
            </w:r>
          </w:p>
          <w:p w14:paraId="3AB4EDEC" w14:textId="77777777" w:rsidR="002A21AE" w:rsidRDefault="002A21AE">
            <w:pPr>
              <w:pStyle w:val="NotesText"/>
            </w:pPr>
          </w:p>
          <w:p w14:paraId="4A1838BF" w14:textId="77777777" w:rsidR="002A21AE" w:rsidRDefault="002A21AE">
            <w:pPr>
              <w:pStyle w:val="NotesText"/>
            </w:pPr>
            <w:r>
              <w:rPr>
                <w:vanish/>
                <w:szCs w:val="18"/>
              </w:rPr>
              <w:t xml:space="preserve">BR_28.20, BR_28.23 </w:t>
            </w:r>
            <w:r>
              <w:t xml:space="preserve">When the user-entered test results indicate a satisfactory interpretation, VBECS indicates that testing is satisfactory and </w:t>
            </w:r>
            <w:r>
              <w:lastRenderedPageBreak/>
              <w:t>allows the user to save the results. VBECS considers the affected QC incomplete until it is retested with satisfactory results. VBECS generates warnings through other options when QC testing is incomplete.</w:t>
            </w:r>
          </w:p>
          <w:p w14:paraId="1E45D234" w14:textId="77777777" w:rsidR="002A21AE" w:rsidRDefault="002A21AE">
            <w:pPr>
              <w:pStyle w:val="NotesText"/>
            </w:pPr>
          </w:p>
          <w:p w14:paraId="779DCE0F" w14:textId="77777777" w:rsidR="002A21AE" w:rsidRDefault="002A21AE">
            <w:pPr>
              <w:pStyle w:val="NotesText"/>
            </w:pPr>
            <w:r>
              <w:rPr>
                <w:rFonts w:cs="Arial"/>
                <w:vanish/>
              </w:rPr>
              <w:t>BR_28.24</w:t>
            </w:r>
            <w:r w:rsidR="004F5F28" w:rsidRPr="00323744">
              <w:rPr>
                <w:rStyle w:val="BullhornChar"/>
              </w:rPr>
              <w:t></w:t>
            </w:r>
            <w:r w:rsidR="004F5F28">
              <w:rPr>
                <w:rFonts w:ascii="Webdings" w:hAnsi="Webdings"/>
              </w:rPr>
              <w:t></w:t>
            </w:r>
            <w:r>
              <w:t xml:space="preserve">VBECS compares the expiration date of the reagent on the selected reagent to the testing date. When the reagent is expired, VBECS emits an audible alert, warns the user and asks whether he still wishes to use this reagent. </w:t>
            </w:r>
            <w:r>
              <w:rPr>
                <w:b/>
              </w:rPr>
              <w:t>Yes</w:t>
            </w:r>
            <w:r>
              <w:t xml:space="preserve"> requires a comment and captures details for inclusion in an Exception Report (exception type: expired reagent QC’d).</w:t>
            </w:r>
          </w:p>
          <w:p w14:paraId="7BF705FD" w14:textId="77777777" w:rsidR="002A21AE" w:rsidRDefault="002A21AE">
            <w:pPr>
              <w:pStyle w:val="NotesText"/>
            </w:pPr>
          </w:p>
          <w:p w14:paraId="4EADB485" w14:textId="77777777" w:rsidR="002A21AE" w:rsidRDefault="002A21AE">
            <w:pPr>
              <w:pStyle w:val="NotesText"/>
            </w:pPr>
            <w:r>
              <w:rPr>
                <w:b/>
              </w:rPr>
              <w:t>No</w:t>
            </w:r>
            <w:r>
              <w:t xml:space="preserve"> removes the unsatisfactory reagent and requires the user to enter a new one. Unsatisfactory lot numbers are never displayed. VBECS captures details for inclusion in an Exception Report (exception type: Expired reagent QC’d).</w:t>
            </w:r>
          </w:p>
          <w:p w14:paraId="78F324A9" w14:textId="77777777" w:rsidR="002A21AE" w:rsidRDefault="002A21AE">
            <w:pPr>
              <w:pStyle w:val="NotesText"/>
            </w:pPr>
          </w:p>
          <w:p w14:paraId="22D25923" w14:textId="77777777" w:rsidR="002A21AE" w:rsidRDefault="002A21AE">
            <w:pPr>
              <w:pStyle w:val="NotesText"/>
            </w:pPr>
            <w:r>
              <w:rPr>
                <w:rFonts w:cs="Arial"/>
                <w:vanish/>
              </w:rPr>
              <w:t xml:space="preserve">BR_54.01 </w:t>
            </w:r>
            <w:r>
              <w:t>When the antisera QC is required, the user verifies the lot numbers, manufacturer name, and expiration date and saves them as part of the QC record for the associated test.</w:t>
            </w:r>
            <w:r>
              <w:tab/>
            </w:r>
          </w:p>
        </w:tc>
      </w:tr>
      <w:tr w:rsidR="002A21AE" w14:paraId="54C5738A" w14:textId="77777777">
        <w:tc>
          <w:tcPr>
            <w:tcW w:w="3240" w:type="dxa"/>
          </w:tcPr>
          <w:p w14:paraId="289AC3D9" w14:textId="77777777" w:rsidR="002A21AE" w:rsidRDefault="002A21AE">
            <w:pPr>
              <w:pStyle w:val="TableTextNumbers"/>
            </w:pPr>
            <w:r>
              <w:lastRenderedPageBreak/>
              <w:t>Review and accept the selected reagent information.</w:t>
            </w:r>
          </w:p>
        </w:tc>
        <w:tc>
          <w:tcPr>
            <w:tcW w:w="6120" w:type="dxa"/>
          </w:tcPr>
          <w:p w14:paraId="54582663" w14:textId="77777777" w:rsidR="002A21AE" w:rsidRDefault="002A21AE">
            <w:pPr>
              <w:pStyle w:val="TableTextBullet"/>
            </w:pPr>
            <w:r>
              <w:t>Displays the previously entered information for user review.</w:t>
            </w:r>
          </w:p>
        </w:tc>
      </w:tr>
      <w:tr w:rsidR="002A21AE" w14:paraId="2FDAA454" w14:textId="77777777">
        <w:tc>
          <w:tcPr>
            <w:tcW w:w="3240" w:type="dxa"/>
          </w:tcPr>
          <w:p w14:paraId="35EE4B3A" w14:textId="77777777" w:rsidR="002A21AE" w:rsidRDefault="002A21AE">
            <w:pPr>
              <w:pStyle w:val="TableTextNumbers"/>
            </w:pPr>
            <w:r>
              <w:t xml:space="preserve">Respond to warnings and continue with DAT testing. </w:t>
            </w:r>
          </w:p>
        </w:tc>
        <w:tc>
          <w:tcPr>
            <w:tcW w:w="6120" w:type="dxa"/>
          </w:tcPr>
          <w:p w14:paraId="11C8BE99" w14:textId="77777777" w:rsidR="002A21AE" w:rsidRDefault="002A21AE">
            <w:pPr>
              <w:pStyle w:val="TableTextBullet"/>
            </w:pPr>
            <w:r>
              <w:t>Displays a direct data entry</w:t>
            </w:r>
            <w:r w:rsidR="00917E9F">
              <w:t xml:space="preserve"> (DDE)</w:t>
            </w:r>
            <w:r>
              <w:t xml:space="preserve"> grid for the user to enter serologic reaction results for DAT testing.</w:t>
            </w:r>
          </w:p>
          <w:p w14:paraId="5D44B4D8" w14:textId="77777777" w:rsidR="002A21AE" w:rsidRDefault="002A21AE">
            <w:pPr>
              <w:pStyle w:val="TableText"/>
            </w:pPr>
          </w:p>
        </w:tc>
      </w:tr>
      <w:tr w:rsidR="002A21AE" w14:paraId="47B57B71" w14:textId="77777777">
        <w:tc>
          <w:tcPr>
            <w:tcW w:w="3240" w:type="dxa"/>
          </w:tcPr>
          <w:p w14:paraId="71DEE688" w14:textId="77777777" w:rsidR="002A21AE" w:rsidRDefault="002A21AE">
            <w:pPr>
              <w:pStyle w:val="TableTextNumbers"/>
            </w:pPr>
            <w:r>
              <w:t>Enter valid test serologic reactions in the data entry grid.</w:t>
            </w:r>
          </w:p>
        </w:tc>
        <w:tc>
          <w:tcPr>
            <w:tcW w:w="6120" w:type="dxa"/>
          </w:tcPr>
          <w:p w14:paraId="0F3EDC35" w14:textId="77777777" w:rsidR="002A21AE" w:rsidRDefault="002A21AE">
            <w:pPr>
              <w:pStyle w:val="TableTextBullet"/>
            </w:pPr>
            <w:r>
              <w:t>Allows the user to enter valid data and test results in the interpretation cells.</w:t>
            </w:r>
          </w:p>
          <w:p w14:paraId="799286D6" w14:textId="77777777" w:rsidR="002A21AE" w:rsidRDefault="002A21AE">
            <w:pPr>
              <w:pStyle w:val="TableText"/>
            </w:pPr>
          </w:p>
          <w:p w14:paraId="054BB8AE" w14:textId="203BED7C" w:rsidR="002A21AE" w:rsidRDefault="002A21AE">
            <w:pPr>
              <w:pStyle w:val="TableText"/>
              <w:rPr>
                <w:b/>
                <w:bCs/>
                <w:szCs w:val="18"/>
              </w:rPr>
            </w:pPr>
            <w:r>
              <w:rPr>
                <w:b/>
                <w:bCs/>
                <w:szCs w:val="18"/>
              </w:rPr>
              <w:t>NOTES</w:t>
            </w:r>
          </w:p>
          <w:p w14:paraId="44F8A548" w14:textId="77777777" w:rsidR="002A21AE" w:rsidRDefault="002A21AE">
            <w:pPr>
              <w:pStyle w:val="NotesText"/>
            </w:pPr>
          </w:p>
          <w:p w14:paraId="11E98C3B" w14:textId="77777777" w:rsidR="002A21AE" w:rsidRDefault="002A21AE">
            <w:pPr>
              <w:pStyle w:val="NotesText"/>
            </w:pPr>
            <w:r>
              <w:rPr>
                <w:rFonts w:cs="Arial"/>
                <w:vanish/>
              </w:rPr>
              <w:t xml:space="preserve">BR_54.03 </w:t>
            </w:r>
            <w:r>
              <w:t xml:space="preserve">Row validation is established for the interpretation vs. reaction results pattern as </w:t>
            </w:r>
            <w:r w:rsidR="00922AD8">
              <w:t>defined by system rules</w:t>
            </w:r>
            <w:r>
              <w:rPr>
                <w:vanish/>
                <w:szCs w:val="18"/>
              </w:rPr>
              <w:t>TT_54.01 Direct Antiglobulin Testing</w:t>
            </w:r>
            <w:r>
              <w:t>.</w:t>
            </w:r>
          </w:p>
        </w:tc>
      </w:tr>
      <w:tr w:rsidR="002A21AE" w14:paraId="3AD71DB6" w14:textId="77777777">
        <w:tc>
          <w:tcPr>
            <w:tcW w:w="3240" w:type="dxa"/>
          </w:tcPr>
          <w:p w14:paraId="184D66E2" w14:textId="77777777" w:rsidR="002A21AE" w:rsidRDefault="002A21AE">
            <w:pPr>
              <w:pStyle w:val="TableTextNumbers"/>
            </w:pPr>
            <w:r>
              <w:t>Repeat Step 4 until some or all portions of the test grid for the selected patient are entered. When appropriate, enter the interpretation for the patient DAT testing.</w:t>
            </w:r>
          </w:p>
        </w:tc>
        <w:tc>
          <w:tcPr>
            <w:tcW w:w="6120" w:type="dxa"/>
          </w:tcPr>
          <w:p w14:paraId="6C70B4DB" w14:textId="77777777" w:rsidR="002A21AE" w:rsidRDefault="002A21AE">
            <w:pPr>
              <w:pStyle w:val="TableTextBullet"/>
            </w:pPr>
            <w:r>
              <w:t>Prompts the user to confirm that all results were reviewed and are acceptable.</w:t>
            </w:r>
          </w:p>
        </w:tc>
      </w:tr>
      <w:tr w:rsidR="002A21AE" w14:paraId="4BF6E31A" w14:textId="77777777">
        <w:tc>
          <w:tcPr>
            <w:tcW w:w="3240" w:type="dxa"/>
          </w:tcPr>
          <w:p w14:paraId="699B952C" w14:textId="77777777" w:rsidR="002A21AE" w:rsidRDefault="002A21AE">
            <w:pPr>
              <w:pStyle w:val="TableTextNumbers"/>
            </w:pPr>
            <w:r>
              <w:t xml:space="preserve">Enter test results in preparation for updating the database. </w:t>
            </w:r>
          </w:p>
        </w:tc>
        <w:tc>
          <w:tcPr>
            <w:tcW w:w="6120" w:type="dxa"/>
          </w:tcPr>
          <w:p w14:paraId="10B6B2D2" w14:textId="77777777" w:rsidR="002A21AE" w:rsidRDefault="002A21AE">
            <w:pPr>
              <w:pStyle w:val="TableText"/>
            </w:pPr>
          </w:p>
        </w:tc>
      </w:tr>
      <w:tr w:rsidR="002A21AE" w14:paraId="549C4C85" w14:textId="77777777">
        <w:tc>
          <w:tcPr>
            <w:tcW w:w="3240" w:type="dxa"/>
          </w:tcPr>
          <w:p w14:paraId="59733ADB" w14:textId="77777777" w:rsidR="002A21AE" w:rsidRDefault="002A21AE">
            <w:pPr>
              <w:pStyle w:val="TableTextNumbers"/>
            </w:pPr>
            <w:r>
              <w:t xml:space="preserve">Click </w:t>
            </w:r>
            <w:r>
              <w:rPr>
                <w:b/>
              </w:rPr>
              <w:t xml:space="preserve">OK </w:t>
            </w:r>
            <w:r>
              <w:t xml:space="preserve">to exit. </w:t>
            </w:r>
            <w:r>
              <w:rPr>
                <w:vanish/>
                <w:color w:val="FFFFFF"/>
                <w:szCs w:val="18"/>
              </w:rPr>
              <w:fldChar w:fldCharType="begin"/>
            </w:r>
            <w:r>
              <w:rPr>
                <w:vanish/>
                <w:color w:val="FFFFFF"/>
                <w:szCs w:val="18"/>
              </w:rPr>
              <w:instrText xml:space="preserve"> LISTNUM \l 1 \s 0 </w:instrText>
            </w:r>
            <w:r>
              <w:rPr>
                <w:vanish/>
                <w:color w:val="FFFFFF"/>
                <w:szCs w:val="18"/>
              </w:rPr>
              <w:fldChar w:fldCharType="end">
                <w:numberingChange w:id="547" w:author="MUSZYNSKI, THOMAS D. (SIERRA 7 INC)" w:date="2024-11-26T07:15:00Z" w:original="0."/>
              </w:fldChar>
            </w:r>
          </w:p>
        </w:tc>
        <w:tc>
          <w:tcPr>
            <w:tcW w:w="6120" w:type="dxa"/>
          </w:tcPr>
          <w:p w14:paraId="34A5B84E" w14:textId="77777777" w:rsidR="002A21AE" w:rsidRDefault="002A21AE">
            <w:pPr>
              <w:pStyle w:val="TableText"/>
            </w:pPr>
          </w:p>
        </w:tc>
      </w:tr>
      <w:bookmarkEnd w:id="546"/>
    </w:tbl>
    <w:p w14:paraId="5C2E50CE" w14:textId="77777777" w:rsidR="002A21AE" w:rsidRDefault="00AC2D9E">
      <w:pPr>
        <w:pStyle w:val="Heading3"/>
      </w:pPr>
      <w:r>
        <w:br w:type="page"/>
      </w:r>
      <w:bookmarkStart w:id="548" w:name="_Toc203765926"/>
      <w:r w:rsidR="002A21AE">
        <w:lastRenderedPageBreak/>
        <w:t>Patient Testing: Record a Crossmatch</w:t>
      </w:r>
      <w:bookmarkEnd w:id="548"/>
      <w:r w:rsidR="002A21AE">
        <w:fldChar w:fldCharType="begin"/>
      </w:r>
      <w:r w:rsidR="002A21AE">
        <w:instrText xml:space="preserve"> XE </w:instrText>
      </w:r>
      <w:r w:rsidR="00FA7E65">
        <w:instrText>“</w:instrText>
      </w:r>
      <w:r w:rsidR="002A21AE">
        <w:instrText>Patient Testing\: Record a Crossmatch</w:instrText>
      </w:r>
      <w:r w:rsidR="00FA7E65">
        <w:instrText>”</w:instrText>
      </w:r>
      <w:r w:rsidR="002A21AE">
        <w:instrText xml:space="preserve"> </w:instrText>
      </w:r>
      <w:r w:rsidR="002A21AE">
        <w:fldChar w:fldCharType="end"/>
      </w:r>
      <w:r w:rsidR="002A21AE">
        <w:t xml:space="preserve"> </w:t>
      </w:r>
      <w:r w:rsidR="002A21AE">
        <w:rPr>
          <w:rFonts w:ascii="Times New Roman" w:hAnsi="Times New Roman" w:cs="Times New Roman"/>
          <w:b w:val="0"/>
          <w:vanish/>
          <w:sz w:val="22"/>
        </w:rPr>
        <w:t>UC_40</w:t>
      </w:r>
    </w:p>
    <w:p w14:paraId="77DEC3E0" w14:textId="7F1418D9" w:rsidR="002A21AE" w:rsidRDefault="002A21AE" w:rsidP="00FA7E65">
      <w:pPr>
        <w:pStyle w:val="BodyText"/>
      </w:pPr>
      <w:r>
        <w:t>The user records observed results and interpretations when performing a serologic crossmatch (XM) between a patient and one or more units of blood.</w:t>
      </w:r>
      <w:r w:rsidR="0004558D">
        <w:t xml:space="preserve"> </w:t>
      </w:r>
    </w:p>
    <w:p w14:paraId="380D6ECC" w14:textId="77777777" w:rsidR="002A21AE" w:rsidRDefault="002A21AE">
      <w:pPr>
        <w:pStyle w:val="Heading4"/>
      </w:pPr>
      <w:r>
        <w:t>Assumptions</w:t>
      </w:r>
      <w:r>
        <w:rPr>
          <w:b w:val="0"/>
        </w:rPr>
        <w:t xml:space="preserve"> </w:t>
      </w:r>
    </w:p>
    <w:p w14:paraId="76605CDA" w14:textId="77777777" w:rsidR="002A21AE" w:rsidRDefault="002A21AE">
      <w:pPr>
        <w:pStyle w:val="ListBullet"/>
      </w:pPr>
      <w:r>
        <w:t>A CPRS order exists for a blood component that requires a serologic XM. The patient order and the selected units are in the same division as the user.</w:t>
      </w:r>
    </w:p>
    <w:p w14:paraId="69D701BE" w14:textId="77777777" w:rsidR="002A21AE" w:rsidRDefault="002A21AE">
      <w:pPr>
        <w:pStyle w:val="ListBullet"/>
      </w:pPr>
      <w:r>
        <w:t xml:space="preserve">A blood unit that contains </w:t>
      </w:r>
      <w:r w:rsidR="0058122A">
        <w:t>= &gt; 2</w:t>
      </w:r>
      <w:r w:rsidR="00B514B7">
        <w:t xml:space="preserve"> </w:t>
      </w:r>
      <w:r w:rsidR="0058122A">
        <w:t>mL red blood cell contamination</w:t>
      </w:r>
      <w:r>
        <w:t xml:space="preserve">, selected in Select Units, is acceptable for testing, according to the patient’s current or historic records and ABO/Rh. </w:t>
      </w:r>
    </w:p>
    <w:p w14:paraId="786ABB40" w14:textId="77777777" w:rsidR="002A21AE" w:rsidRDefault="002A21AE">
      <w:pPr>
        <w:pStyle w:val="ListBullet"/>
      </w:pPr>
      <w:r>
        <w:t xml:space="preserve">A current specimen was accepted and is in process for ABO/Rh and </w:t>
      </w:r>
      <w:r w:rsidR="008E2E30">
        <w:t>Antibody Screen Test (ABS)</w:t>
      </w:r>
      <w:r>
        <w:t>, or was previously completed and is not expired.</w:t>
      </w:r>
    </w:p>
    <w:p w14:paraId="319E6F4D" w14:textId="77777777" w:rsidR="002A21AE" w:rsidRDefault="002A21AE">
      <w:pPr>
        <w:pStyle w:val="Heading4"/>
      </w:pPr>
      <w:r>
        <w:t xml:space="preserve">Outcome </w:t>
      </w:r>
    </w:p>
    <w:p w14:paraId="2620A9ED" w14:textId="77777777" w:rsidR="002A21AE" w:rsidRDefault="002A21AE">
      <w:pPr>
        <w:pStyle w:val="ListBullet"/>
      </w:pPr>
      <w:r>
        <w:t xml:space="preserve">When patient Transfusion Requirements (TRs), if any, are fulfilled and a user enters a </w:t>
      </w:r>
      <w:r w:rsidR="00045ED7">
        <w:t xml:space="preserve">compatible </w:t>
      </w:r>
      <w:r>
        <w:t>XM interpretation, VBECS makes units available for generating the Blood Transfusion Record Form (BTRF), for printing the Caution Tag, and for issue to the patient.</w:t>
      </w:r>
    </w:p>
    <w:p w14:paraId="4E23B17A" w14:textId="77777777" w:rsidR="002A21AE" w:rsidRDefault="002A21AE">
      <w:pPr>
        <w:pStyle w:val="ListBullet"/>
      </w:pPr>
      <w:r>
        <w:t>When a user enters an unacceptable XM interpretation, VBECS releases the selected units from the patient.</w:t>
      </w:r>
    </w:p>
    <w:p w14:paraId="4A5C80FE" w14:textId="77777777" w:rsidR="002A21AE" w:rsidRDefault="002A21AE">
      <w:pPr>
        <w:pStyle w:val="Heading4"/>
      </w:pPr>
      <w:r>
        <w:t>Limitations and Restrictions</w:t>
      </w:r>
      <w:r>
        <w:rPr>
          <w:b w:val="0"/>
        </w:rPr>
        <w:t xml:space="preserve"> </w:t>
      </w:r>
    </w:p>
    <w:p w14:paraId="59CD6AC9" w14:textId="77777777" w:rsidR="002A21AE" w:rsidRDefault="002A21AE">
      <w:pPr>
        <w:pStyle w:val="ListBullet"/>
      </w:pPr>
      <w:r>
        <w:rPr>
          <w:rFonts w:ascii="Arial" w:hAnsi="Arial" w:cs="Arial"/>
          <w:vanish/>
          <w:spacing w:val="0"/>
          <w:sz w:val="18"/>
        </w:rPr>
        <w:t xml:space="preserve">BR_40.01 </w:t>
      </w:r>
      <w:r>
        <w:t>The specimen associated with testing must have an expiration date and time that are later than the testing date and time entered in Patient Testing: Record Patient Test Results. When this is not the case, VBECS warns that the patient specimen expired. There is no override.</w:t>
      </w:r>
    </w:p>
    <w:p w14:paraId="38868B0B" w14:textId="77777777" w:rsidR="002A21AE" w:rsidRDefault="002A21AE">
      <w:pPr>
        <w:pStyle w:val="ListBullet"/>
      </w:pPr>
      <w:r>
        <w:t xml:space="preserve">This option does not include electronic crossmatch (eXM). </w:t>
      </w:r>
    </w:p>
    <w:p w14:paraId="1C90FFA9" w14:textId="77777777" w:rsidR="002A21AE" w:rsidRDefault="002A21AE">
      <w:pPr>
        <w:pStyle w:val="Heading4"/>
      </w:pPr>
      <w:r>
        <w:t xml:space="preserve">Additional Information </w:t>
      </w:r>
    </w:p>
    <w:p w14:paraId="01ACC7FF" w14:textId="77777777" w:rsidR="002C3F2F" w:rsidRPr="002C3F2F" w:rsidRDefault="00057948" w:rsidP="002C3F2F">
      <w:pPr>
        <w:pStyle w:val="ListBullet"/>
      </w:pPr>
      <w:r>
        <w:rPr>
          <w:noProof/>
        </w:rPr>
        <w:drawing>
          <wp:inline distT="0" distB="0" distL="0" distR="0" wp14:anchorId="782CE36C" wp14:editId="568F7797">
            <wp:extent cx="276860" cy="221615"/>
            <wp:effectExtent l="0" t="0" r="8890" b="6985"/>
            <wp:docPr id="240" name="Picture 2" descr="Cau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Picture 2" descr="Caution icon"/>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76860" cy="221615"/>
                    </a:xfrm>
                    <a:prstGeom prst="rect">
                      <a:avLst/>
                    </a:prstGeom>
                    <a:noFill/>
                    <a:ln>
                      <a:noFill/>
                    </a:ln>
                  </pic:spPr>
                </pic:pic>
              </a:graphicData>
            </a:graphic>
          </wp:inline>
        </w:drawing>
      </w:r>
      <w:r w:rsidR="002C3F2F">
        <w:t xml:space="preserve"> </w:t>
      </w:r>
      <w:r w:rsidR="002C3F2F" w:rsidRPr="00D52104">
        <w:t>AABB Standards (5.16.1)</w:t>
      </w:r>
      <w:r w:rsidR="002C3F2F">
        <w:t xml:space="preserve"> </w:t>
      </w:r>
      <w:r w:rsidR="002C3F2F" w:rsidRPr="00D52104">
        <w:t>requires a serological XM to detect ABO incompatibility</w:t>
      </w:r>
      <w:r w:rsidR="002C3F2F">
        <w:t>. A</w:t>
      </w:r>
      <w:r w:rsidR="002C3F2F" w:rsidRPr="00D52104">
        <w:t xml:space="preserve"> local policy must be in place if the site is not performing a IS AHG as part of their serologic crossmatch test, manual or using an instrument.</w:t>
      </w:r>
      <w:r w:rsidR="002C3F2F" w:rsidRPr="002C3F2F">
        <w:rPr>
          <w:vanish/>
        </w:rPr>
        <w:t xml:space="preserve"> Defect 362099</w:t>
      </w:r>
    </w:p>
    <w:p w14:paraId="5C812DB1" w14:textId="77777777" w:rsidR="002A21AE" w:rsidRDefault="002A21AE">
      <w:pPr>
        <w:pStyle w:val="ListBullet"/>
      </w:pPr>
      <w:r>
        <w:rPr>
          <w:rFonts w:ascii="Arial" w:hAnsi="Arial" w:cs="Arial"/>
          <w:vanish/>
          <w:spacing w:val="0"/>
          <w:sz w:val="18"/>
        </w:rPr>
        <w:t xml:space="preserve">BR_40.11 </w:t>
      </w:r>
      <w:r>
        <w:t>When the user saves a partially completed XM testing worklist, VBECS does not clear patient entries without results or release them from the worklist, which VBECS saves for completion later.</w:t>
      </w:r>
    </w:p>
    <w:p w14:paraId="62C2D803" w14:textId="77777777" w:rsidR="002A21AE" w:rsidRDefault="002A21AE">
      <w:pPr>
        <w:pStyle w:val="ListBullet"/>
      </w:pPr>
      <w:r>
        <w:rPr>
          <w:rFonts w:ascii="Arial" w:hAnsi="Arial" w:cs="Arial"/>
          <w:vanish/>
          <w:spacing w:val="0"/>
          <w:sz w:val="18"/>
        </w:rPr>
        <w:t xml:space="preserve">BR_40.16 </w:t>
      </w:r>
      <w:r>
        <w:t xml:space="preserve">When VBECS saves a partially completed XM worksheet, </w:t>
      </w:r>
      <w:r w:rsidR="00CC69D1">
        <w:t xml:space="preserve">it </w:t>
      </w:r>
      <w:r>
        <w:t>maintains a status of “assigned” for selected units until the serologic XM is complete. When VBECS saves the XM test. including interpretation, to the database, it assigns “crossmatched” status to the unit. The user may correct verified patient data only through Invalidate Test Results.</w:t>
      </w:r>
    </w:p>
    <w:p w14:paraId="67E5CD78" w14:textId="77777777" w:rsidR="00D47D4A" w:rsidRPr="00D47D4A" w:rsidRDefault="002A21AE">
      <w:pPr>
        <w:pStyle w:val="ListBullet"/>
        <w:rPr>
          <w:b/>
          <w:bCs/>
        </w:rPr>
      </w:pPr>
      <w:r>
        <w:t>Units that require antigen typing and/or modification to fulfill a component requirement and/or Sickle Cell testing may be crossmatched pending the completion of further processing of the unit.</w:t>
      </w:r>
      <w:r w:rsidR="00D47D4A">
        <w:rPr>
          <w:bCs/>
        </w:rPr>
        <w:t xml:space="preserve"> </w:t>
      </w:r>
    </w:p>
    <w:p w14:paraId="76086163" w14:textId="77777777" w:rsidR="002A21AE" w:rsidRDefault="00D47D4A">
      <w:pPr>
        <w:pStyle w:val="ListBullet"/>
        <w:rPr>
          <w:b/>
          <w:bCs/>
        </w:rPr>
      </w:pPr>
      <w:r>
        <w:rPr>
          <w:bCs/>
        </w:rPr>
        <w:t xml:space="preserve">VBECS does not allow users in a transfusion-only facility to save partially completed worksheets. The user must enter </w:t>
      </w:r>
      <w:r w:rsidR="00A10483" w:rsidRPr="00D47D4A">
        <w:rPr>
          <w:bCs/>
        </w:rPr>
        <w:t>interpretations</w:t>
      </w:r>
      <w:r w:rsidRPr="00D47D4A">
        <w:rPr>
          <w:bCs/>
        </w:rPr>
        <w:t xml:space="preserve"> for all selected units </w:t>
      </w:r>
      <w:r>
        <w:rPr>
          <w:bCs/>
        </w:rPr>
        <w:t>before VBECS enables</w:t>
      </w:r>
      <w:r w:rsidRPr="00D47D4A">
        <w:rPr>
          <w:bCs/>
        </w:rPr>
        <w:t xml:space="preserve"> the OK button</w:t>
      </w:r>
      <w:r>
        <w:rPr>
          <w:bCs/>
        </w:rPr>
        <w:t>.</w:t>
      </w:r>
    </w:p>
    <w:p w14:paraId="3A8D0947" w14:textId="77777777" w:rsidR="002A21AE" w:rsidRDefault="002A21AE">
      <w:pPr>
        <w:pStyle w:val="ListBullet"/>
      </w:pPr>
      <w:r>
        <w:t>XM compatibility is one aspect of blood unit compatibility. VBECS takes into account the known requirements for compatibility is taken into account when the user prints Caution Tags and BTRFs, and includes such issues as antigen negative requirements and component requirements.</w:t>
      </w:r>
    </w:p>
    <w:p w14:paraId="4FA9BB70" w14:textId="77777777" w:rsidR="002A21AE" w:rsidRDefault="002A21AE">
      <w:pPr>
        <w:pStyle w:val="Heading4"/>
        <w:rPr>
          <w:b w:val="0"/>
        </w:rPr>
      </w:pPr>
      <w:r>
        <w:t>User Roles with Access to This Option</w:t>
      </w:r>
      <w:r>
        <w:rPr>
          <w:b w:val="0"/>
        </w:rPr>
        <w:t xml:space="preserve"> </w:t>
      </w:r>
    </w:p>
    <w:p w14:paraId="3D889EF0" w14:textId="77777777" w:rsidR="002A21AE" w:rsidRDefault="007934CF">
      <w:pPr>
        <w:pStyle w:val="Roles"/>
      </w:pPr>
      <w:r>
        <w:t>All users</w:t>
      </w:r>
    </w:p>
    <w:p w14:paraId="3D464291" w14:textId="77777777" w:rsidR="002A21AE" w:rsidRDefault="002A21AE">
      <w:pPr>
        <w:pStyle w:val="Heading4"/>
      </w:pPr>
      <w:r>
        <w:lastRenderedPageBreak/>
        <w:t>Patient Testing: Record a Crossmatch</w:t>
      </w:r>
    </w:p>
    <w:p w14:paraId="4B74854C" w14:textId="77777777" w:rsidR="002A21AE" w:rsidRDefault="0044651B" w:rsidP="00FA7E65">
      <w:pPr>
        <w:pStyle w:val="BodyText"/>
      </w:pPr>
      <w:r>
        <w:t>During Select Units, the user selects a blood unit to fill a patient order.</w:t>
      </w:r>
      <w:r w:rsidR="002A21AE">
        <w:t xml:space="preserve"> If</w:t>
      </w:r>
      <w:r w:rsidR="00C170E4">
        <w:t xml:space="preserve"> </w:t>
      </w:r>
      <w:r>
        <w:t>the unit selected</w:t>
      </w:r>
      <w:r w:rsidR="002A21AE">
        <w:t xml:space="preserve"> contains red blood cells</w:t>
      </w:r>
      <w:r w:rsidR="00C170E4">
        <w:t xml:space="preserve"> and </w:t>
      </w:r>
      <w:r w:rsidR="002A21AE">
        <w:t>eXM is not enabled</w:t>
      </w:r>
      <w:r w:rsidR="00C170E4">
        <w:t xml:space="preserve">, or </w:t>
      </w:r>
      <w:r w:rsidR="002A21AE">
        <w:t xml:space="preserve">the patient </w:t>
      </w:r>
      <w:r w:rsidR="00C170E4">
        <w:t xml:space="preserve">or unit does </w:t>
      </w:r>
      <w:r w:rsidR="002A21AE">
        <w:t xml:space="preserve">not qualify, VBECS directs the user to enter serologic XM results. </w:t>
      </w:r>
      <w:r w:rsidR="00EB2CC3">
        <w:t>(When eXM is enabled, the user may select serologic XM.)</w:t>
      </w:r>
    </w:p>
    <w:p w14:paraId="502A9F88" w14:textId="77777777" w:rsidR="002A21AE" w:rsidRDefault="002A21AE" w:rsidP="00FA7E65">
      <w:pPr>
        <w:pStyle w:val="BodyText"/>
      </w:pPr>
      <w:r>
        <w:t>The user performs the serologic XM test</w:t>
      </w:r>
      <w:r w:rsidR="002064C3">
        <w:t xml:space="preserve"> and records results in VBECS. VBECS monitors the user’s entries and interpretations</w:t>
      </w:r>
      <w:r>
        <w:t xml:space="preserve"> to determine </w:t>
      </w:r>
      <w:r w:rsidR="002064C3">
        <w:t xml:space="preserve">(with the user) </w:t>
      </w:r>
      <w:r>
        <w:t>compatibility for each cr</w:t>
      </w:r>
      <w:r w:rsidR="005548CE">
        <w:t>o</w:t>
      </w:r>
      <w:r>
        <w:t>ssmatched unit.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DA7A2E" w14:paraId="630C4A13" w14:textId="77777777">
        <w:trPr>
          <w:cantSplit/>
          <w:tblHeader/>
        </w:trPr>
        <w:tc>
          <w:tcPr>
            <w:tcW w:w="3240" w:type="dxa"/>
            <w:shd w:val="pct30" w:color="auto" w:fill="FFFFFF"/>
            <w:vAlign w:val="bottom"/>
          </w:tcPr>
          <w:p w14:paraId="0E3705F7" w14:textId="77777777" w:rsidR="00DA7A2E" w:rsidRDefault="00DA7A2E" w:rsidP="00566A3F">
            <w:pPr>
              <w:pStyle w:val="TableText"/>
              <w:rPr>
                <w:b/>
              </w:rPr>
            </w:pPr>
            <w:r>
              <w:rPr>
                <w:b/>
              </w:rPr>
              <w:t>User Action</w:t>
            </w:r>
          </w:p>
        </w:tc>
        <w:tc>
          <w:tcPr>
            <w:tcW w:w="6120" w:type="dxa"/>
            <w:shd w:val="pct30" w:color="auto" w:fill="FFFFFF"/>
            <w:vAlign w:val="bottom"/>
          </w:tcPr>
          <w:p w14:paraId="6FEC9B3C" w14:textId="77777777" w:rsidR="00DA7A2E" w:rsidRDefault="00DA7A2E" w:rsidP="00566A3F">
            <w:pPr>
              <w:pStyle w:val="TableText"/>
              <w:rPr>
                <w:b/>
              </w:rPr>
            </w:pPr>
            <w:r>
              <w:rPr>
                <w:b/>
              </w:rPr>
              <w:t>VBECS</w:t>
            </w:r>
          </w:p>
        </w:tc>
      </w:tr>
      <w:tr w:rsidR="00DA7A2E" w14:paraId="176D4739" w14:textId="77777777">
        <w:tc>
          <w:tcPr>
            <w:tcW w:w="3240" w:type="dxa"/>
          </w:tcPr>
          <w:p w14:paraId="6982AFB7" w14:textId="77777777" w:rsidR="00DA7A2E" w:rsidRDefault="00DA7A2E" w:rsidP="00253B86">
            <w:pPr>
              <w:pStyle w:val="TableTextNumbers"/>
              <w:rPr>
                <w:b/>
              </w:rPr>
            </w:pPr>
            <w:r>
              <w:t xml:space="preserve">Select </w:t>
            </w:r>
            <w:r>
              <w:rPr>
                <w:b/>
              </w:rPr>
              <w:t>Patients</w:t>
            </w:r>
            <w:r>
              <w:t xml:space="preserve"> from the main menu and select </w:t>
            </w:r>
            <w:r>
              <w:rPr>
                <w:b/>
              </w:rPr>
              <w:t>Patient Testing</w:t>
            </w:r>
            <w:r>
              <w:t>, or</w:t>
            </w:r>
          </w:p>
          <w:p w14:paraId="559BE023" w14:textId="77777777" w:rsidR="00DA7A2E" w:rsidRDefault="00DA7A2E" w:rsidP="00566A3F">
            <w:pPr>
              <w:pStyle w:val="TableTextNumbersContinued"/>
            </w:pPr>
          </w:p>
          <w:p w14:paraId="57F284B1" w14:textId="77777777" w:rsidR="00DA7A2E" w:rsidRDefault="00DA7A2E" w:rsidP="00566A3F">
            <w:pPr>
              <w:pStyle w:val="TableTextNumbersContinued"/>
            </w:pPr>
            <w:r>
              <w:t xml:space="preserve">Select </w:t>
            </w:r>
            <w:r>
              <w:rPr>
                <w:b/>
              </w:rPr>
              <w:t>Blood Units</w:t>
            </w:r>
            <w:r>
              <w:t xml:space="preserve"> from the main menu and select </w:t>
            </w:r>
            <w:r>
              <w:rPr>
                <w:b/>
              </w:rPr>
              <w:t>Select Units</w:t>
            </w:r>
            <w:r>
              <w:t>.</w:t>
            </w:r>
          </w:p>
        </w:tc>
        <w:tc>
          <w:tcPr>
            <w:tcW w:w="6120" w:type="dxa"/>
          </w:tcPr>
          <w:p w14:paraId="0DD95C4F" w14:textId="77777777" w:rsidR="00DA7A2E" w:rsidRDefault="00DA7A2E" w:rsidP="00566A3F">
            <w:pPr>
              <w:pStyle w:val="TableTextBullet"/>
            </w:pPr>
            <w:r>
              <w:t>Displays options for processing patient-related functions.</w:t>
            </w:r>
          </w:p>
          <w:p w14:paraId="66B70CA7" w14:textId="77777777" w:rsidR="00DA7A2E" w:rsidRDefault="00DA7A2E" w:rsidP="00566A3F">
            <w:pPr>
              <w:pStyle w:val="TableTextBullet"/>
            </w:pPr>
            <w:r>
              <w:t>Displays the Pending Task List (PTL) and PTL search parameters in the Diagnostic Tests tab or in the Component Orders tab.</w:t>
            </w:r>
          </w:p>
        </w:tc>
      </w:tr>
      <w:tr w:rsidR="00DA7A2E" w14:paraId="226E26F7" w14:textId="77777777">
        <w:tc>
          <w:tcPr>
            <w:tcW w:w="3240" w:type="dxa"/>
          </w:tcPr>
          <w:p w14:paraId="56522667" w14:textId="77777777" w:rsidR="00DA7A2E" w:rsidRDefault="00DA7A2E" w:rsidP="00253B86">
            <w:pPr>
              <w:pStyle w:val="TableTextNumbers"/>
            </w:pPr>
            <w:r>
              <w:t xml:space="preserve">Enter or select PTL search parameters, if appropriate. </w:t>
            </w:r>
          </w:p>
          <w:p w14:paraId="28982F50" w14:textId="77777777" w:rsidR="00DA7A2E" w:rsidRDefault="00DA7A2E" w:rsidP="00566A3F">
            <w:pPr>
              <w:pStyle w:val="TableTextNumbersContinued"/>
            </w:pPr>
          </w:p>
          <w:p w14:paraId="715BC722" w14:textId="77777777" w:rsidR="00DA7A2E" w:rsidRDefault="00DA7A2E" w:rsidP="00566A3F">
            <w:pPr>
              <w:pStyle w:val="TableTextNumbersContinued"/>
            </w:pPr>
            <w:r>
              <w:t xml:space="preserve">Click the check boxes in the PTL to select </w:t>
            </w:r>
            <w:r w:rsidR="00810E0A">
              <w:t>one to four</w:t>
            </w:r>
            <w:r>
              <w:t xml:space="preserve"> component orders. </w:t>
            </w:r>
          </w:p>
          <w:p w14:paraId="68F35098" w14:textId="77777777" w:rsidR="00DA7A2E" w:rsidRDefault="00DA7A2E" w:rsidP="00566A3F">
            <w:pPr>
              <w:pStyle w:val="TableTextNumbersContinued"/>
            </w:pPr>
          </w:p>
          <w:p w14:paraId="5967D120" w14:textId="77777777" w:rsidR="00DA7A2E" w:rsidRDefault="00DA7A2E" w:rsidP="00566A3F">
            <w:pPr>
              <w:pStyle w:val="TableTextNumbersContinued"/>
            </w:pPr>
            <w:r>
              <w:t xml:space="preserve">Click </w:t>
            </w:r>
            <w:r>
              <w:rPr>
                <w:b/>
              </w:rPr>
              <w:t>OK</w:t>
            </w:r>
            <w:r>
              <w:t xml:space="preserve"> to continue.</w:t>
            </w:r>
          </w:p>
        </w:tc>
        <w:tc>
          <w:tcPr>
            <w:tcW w:w="6120" w:type="dxa"/>
          </w:tcPr>
          <w:p w14:paraId="7ECEA6C4" w14:textId="77777777" w:rsidR="00DA7A2E" w:rsidRDefault="00DA7A2E" w:rsidP="00566A3F">
            <w:pPr>
              <w:pStyle w:val="TableTextBullet"/>
            </w:pPr>
            <w:r>
              <w:t>Displays information for each component order.</w:t>
            </w:r>
          </w:p>
          <w:p w14:paraId="58E0ADDB" w14:textId="77777777" w:rsidR="00DA7A2E" w:rsidRDefault="00DA7A2E" w:rsidP="00566A3F">
            <w:pPr>
              <w:pStyle w:val="TableTextBullet"/>
            </w:pPr>
            <w:r>
              <w:t>When the selected order class is RED BLOOD CELLS and the division enabled eXM, evaluates the patient for eXM unit processing.</w:t>
            </w:r>
          </w:p>
          <w:p w14:paraId="3E7A7FC1" w14:textId="77777777" w:rsidR="00DA7A2E" w:rsidRDefault="00DA7A2E" w:rsidP="00566A3F">
            <w:pPr>
              <w:pStyle w:val="TableText"/>
            </w:pPr>
          </w:p>
          <w:p w14:paraId="7C83D6BE" w14:textId="36125F5A" w:rsidR="00DA7A2E" w:rsidRDefault="00DA7A2E" w:rsidP="00566A3F">
            <w:pPr>
              <w:pStyle w:val="TableText"/>
              <w:rPr>
                <w:b/>
                <w:bCs/>
                <w:szCs w:val="18"/>
              </w:rPr>
            </w:pPr>
            <w:r>
              <w:rPr>
                <w:b/>
                <w:bCs/>
                <w:szCs w:val="18"/>
              </w:rPr>
              <w:t>NOTES</w:t>
            </w:r>
          </w:p>
          <w:p w14:paraId="68D229BD" w14:textId="77777777" w:rsidR="00DA7A2E" w:rsidRDefault="00DA7A2E" w:rsidP="00566A3F">
            <w:pPr>
              <w:pStyle w:val="NotesText"/>
            </w:pPr>
          </w:p>
          <w:p w14:paraId="61981518" w14:textId="061DC313" w:rsidR="00DA7A2E" w:rsidRDefault="00DA7A2E" w:rsidP="00566A3F">
            <w:pPr>
              <w:pStyle w:val="NotesText"/>
            </w:pPr>
            <w:r w:rsidRPr="00896F17">
              <w:rPr>
                <w:rStyle w:val="BullhornChar"/>
              </w:rPr>
              <w:t></w:t>
            </w:r>
            <w:r w:rsidRPr="00C51C45">
              <w:rPr>
                <w:rFonts w:ascii="Webdings" w:hAnsi="Webdings"/>
                <w:szCs w:val="22"/>
              </w:rPr>
              <w:t></w:t>
            </w:r>
            <w:r>
              <w:rPr>
                <w:rFonts w:cs="Arial"/>
                <w:szCs w:val="22"/>
              </w:rPr>
              <w:t xml:space="preserve">See </w:t>
            </w:r>
            <w:r w:rsidR="00EE455E">
              <w:t xml:space="preserve">Table </w:t>
            </w:r>
            <w:r w:rsidR="00EE455E">
              <w:rPr>
                <w:noProof/>
              </w:rPr>
              <w:t>11</w:t>
            </w:r>
            <w:r w:rsidR="00302434">
              <w:rPr>
                <w:rFonts w:cs="Arial"/>
                <w:szCs w:val="22"/>
              </w:rPr>
              <w:t xml:space="preserve"> </w:t>
            </w:r>
            <w:r>
              <w:rPr>
                <w:rFonts w:cs="Arial"/>
                <w:szCs w:val="22"/>
              </w:rPr>
              <w:t>for alerts that may occur during this option.</w:t>
            </w:r>
          </w:p>
        </w:tc>
      </w:tr>
      <w:tr w:rsidR="00DA7A2E" w14:paraId="1835C0AF" w14:textId="77777777">
        <w:tc>
          <w:tcPr>
            <w:tcW w:w="3240" w:type="dxa"/>
          </w:tcPr>
          <w:p w14:paraId="76D9A51F" w14:textId="43CEAC18" w:rsidR="00DA7A2E" w:rsidRDefault="00DA7A2E" w:rsidP="00566A3F">
            <w:pPr>
              <w:pStyle w:val="TableTextNumbers"/>
            </w:pPr>
            <w:r>
              <w:t xml:space="preserve">Click </w:t>
            </w:r>
            <w:r>
              <w:rPr>
                <w:b/>
              </w:rPr>
              <w:t>Add Units</w:t>
            </w:r>
            <w:r>
              <w:t xml:space="preserve"> to add units to the component orders selected</w:t>
            </w:r>
            <w:r w:rsidR="00436668">
              <w:t xml:space="preserve"> (</w:t>
            </w:r>
            <w:r w:rsidR="00EE455E">
              <w:t xml:space="preserve">Figure </w:t>
            </w:r>
            <w:r w:rsidR="00EE455E">
              <w:rPr>
                <w:noProof/>
              </w:rPr>
              <w:t>70</w:t>
            </w:r>
            <w:r w:rsidR="00436668">
              <w:t>)</w:t>
            </w:r>
            <w:r>
              <w:t>.</w:t>
            </w:r>
          </w:p>
        </w:tc>
        <w:tc>
          <w:tcPr>
            <w:tcW w:w="6120" w:type="dxa"/>
          </w:tcPr>
          <w:p w14:paraId="16A09CD6" w14:textId="77777777" w:rsidR="00DA7A2E" w:rsidRDefault="00DA7A2E" w:rsidP="00566A3F">
            <w:pPr>
              <w:pStyle w:val="TableTextBullet"/>
            </w:pPr>
            <w:r>
              <w:t>Searches the database and displays available restricted autologous and directed units that the user must select before selecting allogeneic units of the same ICCBBA component class.</w:t>
            </w:r>
          </w:p>
          <w:p w14:paraId="2AAD79E9" w14:textId="77777777" w:rsidR="00DA7A2E" w:rsidRDefault="00DA7A2E" w:rsidP="00566A3F">
            <w:pPr>
              <w:pStyle w:val="TableTextBullet"/>
            </w:pPr>
            <w:r>
              <w:t>Displays the unit ID, product type, unit ABO/Rh, unit expiration date, specimen UID, if applicable, of units assigned to the patient in the division’s blood bank on a different specimen or order. The user may release and reassign the units to the current order.</w:t>
            </w:r>
          </w:p>
          <w:p w14:paraId="5C2AB403" w14:textId="77777777" w:rsidR="00DA7A2E" w:rsidRDefault="00DA7A2E" w:rsidP="00566A3F">
            <w:pPr>
              <w:pStyle w:val="TableTextBullet"/>
            </w:pPr>
            <w:r>
              <w:t>When eXM was configured for the facility, displays the eXM status (eligible or not eligible) for the patient.</w:t>
            </w:r>
          </w:p>
          <w:p w14:paraId="6D48C528" w14:textId="77777777" w:rsidR="00DA7A2E" w:rsidRDefault="00DA7A2E" w:rsidP="00566A3F">
            <w:pPr>
              <w:pStyle w:val="TableText"/>
            </w:pPr>
          </w:p>
          <w:p w14:paraId="1BC08938" w14:textId="10770C26" w:rsidR="00DA7A2E" w:rsidRDefault="00DA7A2E" w:rsidP="00566A3F">
            <w:pPr>
              <w:pStyle w:val="TableText"/>
              <w:rPr>
                <w:b/>
                <w:bCs/>
                <w:szCs w:val="18"/>
              </w:rPr>
            </w:pPr>
            <w:r>
              <w:rPr>
                <w:b/>
                <w:bCs/>
                <w:szCs w:val="18"/>
              </w:rPr>
              <w:t>NOTES</w:t>
            </w:r>
          </w:p>
          <w:p w14:paraId="445CDC38" w14:textId="77777777" w:rsidR="00DA7A2E" w:rsidRDefault="00DA7A2E" w:rsidP="00566A3F">
            <w:pPr>
              <w:pStyle w:val="NotesText"/>
            </w:pPr>
          </w:p>
          <w:p w14:paraId="397936FF" w14:textId="1F859006" w:rsidR="00DA7A2E" w:rsidRDefault="00DA7A2E" w:rsidP="00566A3F">
            <w:pPr>
              <w:pStyle w:val="NotesText"/>
            </w:pPr>
            <w:r w:rsidRPr="00896F17">
              <w:rPr>
                <w:rStyle w:val="BullhornChar"/>
              </w:rPr>
              <w:t></w:t>
            </w:r>
            <w:r w:rsidRPr="00C51C45">
              <w:rPr>
                <w:rFonts w:ascii="Webdings" w:hAnsi="Webdings"/>
                <w:szCs w:val="22"/>
              </w:rPr>
              <w:t></w:t>
            </w:r>
            <w:r w:rsidR="00302434">
              <w:rPr>
                <w:rFonts w:cs="Arial"/>
                <w:szCs w:val="22"/>
              </w:rPr>
              <w:t xml:space="preserve"> See </w:t>
            </w:r>
            <w:r w:rsidR="00EE455E">
              <w:t xml:space="preserve">Table </w:t>
            </w:r>
            <w:r w:rsidR="00EE455E">
              <w:rPr>
                <w:noProof/>
              </w:rPr>
              <w:t>11</w:t>
            </w:r>
            <w:r w:rsidR="00302434">
              <w:rPr>
                <w:rFonts w:cs="Arial"/>
                <w:szCs w:val="22"/>
              </w:rPr>
              <w:t xml:space="preserve"> for alerts that may occur during this option.</w:t>
            </w:r>
          </w:p>
          <w:p w14:paraId="7A3FA8A1" w14:textId="77777777" w:rsidR="00DA7A2E" w:rsidRDefault="00DA7A2E" w:rsidP="00566A3F">
            <w:pPr>
              <w:pStyle w:val="NotesText"/>
            </w:pPr>
          </w:p>
          <w:p w14:paraId="77351A14" w14:textId="77777777" w:rsidR="00DA7A2E" w:rsidRDefault="00DA7A2E" w:rsidP="00566A3F">
            <w:pPr>
              <w:pStyle w:val="NotesText"/>
            </w:pPr>
            <w:r w:rsidRPr="00D80D5F">
              <w:rPr>
                <w:rFonts w:cs="Arial"/>
                <w:vanish/>
                <w:szCs w:val="18"/>
              </w:rPr>
              <w:t>BR_3.05</w:t>
            </w:r>
            <w:r>
              <w:rPr>
                <w:rFonts w:cs="Arial"/>
                <w:vanish/>
              </w:rPr>
              <w:t xml:space="preserve"> </w:t>
            </w:r>
            <w:r>
              <w:t xml:space="preserve">When no valid ABO exists for the patient, the user may select components, including autologous units: </w:t>
            </w:r>
          </w:p>
          <w:p w14:paraId="4B365931" w14:textId="77777777" w:rsidR="00DA7A2E" w:rsidRDefault="00DA7A2E" w:rsidP="00566A3F">
            <w:pPr>
              <w:pStyle w:val="NotesTextBullet"/>
            </w:pPr>
            <w:r>
              <w:t xml:space="preserve">For RBC or WB order: </w:t>
            </w:r>
          </w:p>
          <w:p w14:paraId="7F08843D" w14:textId="77777777" w:rsidR="00DA7A2E" w:rsidRDefault="00DA7A2E" w:rsidP="00566A3F">
            <w:pPr>
              <w:pStyle w:val="NotesTextBullet1"/>
            </w:pPr>
            <w:r>
              <w:t>Group O, Rh positive or O Rh negative RBC</w:t>
            </w:r>
          </w:p>
          <w:p w14:paraId="04C61764" w14:textId="77777777" w:rsidR="00DA7A2E" w:rsidRDefault="00DA7A2E" w:rsidP="00566A3F">
            <w:pPr>
              <w:pStyle w:val="NotesTextBullet1"/>
            </w:pPr>
            <w:r>
              <w:t>WHOLE BLOOD is not selectable</w:t>
            </w:r>
          </w:p>
          <w:p w14:paraId="3E7C1B4A" w14:textId="77777777" w:rsidR="002176A9" w:rsidRDefault="002176A9" w:rsidP="00566A3F">
            <w:pPr>
              <w:pStyle w:val="NotesTextBullet"/>
            </w:pPr>
            <w:r>
              <w:t>For FFP order:</w:t>
            </w:r>
          </w:p>
          <w:p w14:paraId="3A2FB60F" w14:textId="77777777" w:rsidR="00DA7A2E" w:rsidRDefault="002176A9" w:rsidP="002176A9">
            <w:pPr>
              <w:pStyle w:val="NotesTextBullet1"/>
            </w:pPr>
            <w:r>
              <w:t>G</w:t>
            </w:r>
            <w:r w:rsidR="00DA7A2E">
              <w:t>roup AB, Rh positive or Rh negative</w:t>
            </w:r>
            <w:r w:rsidR="00D80D5F">
              <w:t>, or not specified.</w:t>
            </w:r>
          </w:p>
          <w:p w14:paraId="53681E90" w14:textId="77777777" w:rsidR="00E74609" w:rsidRDefault="00E31C5D" w:rsidP="00E74609">
            <w:pPr>
              <w:pStyle w:val="NotesTextBullet"/>
            </w:pPr>
            <w:r>
              <w:t>Fo</w:t>
            </w:r>
            <w:r w:rsidR="00E74609">
              <w:t>r PLT order:</w:t>
            </w:r>
          </w:p>
          <w:p w14:paraId="5C694E3B" w14:textId="77777777" w:rsidR="00E74609" w:rsidRDefault="00E74609" w:rsidP="00E74609">
            <w:pPr>
              <w:pStyle w:val="NotesTextBullet1"/>
            </w:pPr>
            <w:r>
              <w:t>All units with &lt; 2 ML RBC containment are available</w:t>
            </w:r>
          </w:p>
          <w:p w14:paraId="4EEB180E" w14:textId="77777777" w:rsidR="00E74609" w:rsidRDefault="00E74609" w:rsidP="00E74609">
            <w:pPr>
              <w:pStyle w:val="NotesTextBullet1"/>
            </w:pPr>
            <w:r>
              <w:t>Units</w:t>
            </w:r>
            <w:r w:rsidRPr="001A5BC5">
              <w:t xml:space="preserve"> with </w:t>
            </w:r>
            <w:r w:rsidR="0058122A">
              <w:t xml:space="preserve">= </w:t>
            </w:r>
            <w:r w:rsidR="0058122A" w:rsidRPr="0058122A">
              <w:t>&gt;</w:t>
            </w:r>
            <w:r w:rsidRPr="001A5BC5">
              <w:t xml:space="preserve"> 2 mL RBC contamination are not available</w:t>
            </w:r>
          </w:p>
          <w:p w14:paraId="2C06BD22" w14:textId="77777777" w:rsidR="00E74609" w:rsidRDefault="00E74609" w:rsidP="00E74609">
            <w:pPr>
              <w:pStyle w:val="NotesTextBullet"/>
            </w:pPr>
            <w:r>
              <w:t>For CRYO order:</w:t>
            </w:r>
          </w:p>
          <w:p w14:paraId="19929859" w14:textId="77777777" w:rsidR="00E74609" w:rsidRDefault="00E74609" w:rsidP="00E74609">
            <w:pPr>
              <w:pStyle w:val="NotesTextBullet1"/>
            </w:pPr>
            <w:r>
              <w:t>All available units are selectable</w:t>
            </w:r>
          </w:p>
          <w:p w14:paraId="27EB3D64" w14:textId="77777777" w:rsidR="00E74609" w:rsidRDefault="00E74609" w:rsidP="00E74609">
            <w:pPr>
              <w:pStyle w:val="NotesTextBullet1"/>
              <w:numPr>
                <w:ilvl w:val="0"/>
                <w:numId w:val="0"/>
              </w:numPr>
              <w:ind w:left="1296" w:hanging="288"/>
            </w:pPr>
            <w:r>
              <w:t>For OTHER order:</w:t>
            </w:r>
          </w:p>
          <w:p w14:paraId="069EDB81" w14:textId="77777777" w:rsidR="00E74609" w:rsidRDefault="00E74609" w:rsidP="00E74609">
            <w:pPr>
              <w:pStyle w:val="NotesTextBullet1"/>
            </w:pPr>
            <w:r>
              <w:t>All units with &lt; 2 mL contamination are available</w:t>
            </w:r>
          </w:p>
          <w:p w14:paraId="1757A3DB" w14:textId="77777777" w:rsidR="00E74609" w:rsidRDefault="00E74609" w:rsidP="00E74609">
            <w:pPr>
              <w:pStyle w:val="NotesTextBullet1"/>
            </w:pPr>
            <w:r>
              <w:t xml:space="preserve">Units with </w:t>
            </w:r>
            <w:r w:rsidR="0058122A" w:rsidRPr="0058122A">
              <w:t>= &gt;</w:t>
            </w:r>
            <w:r w:rsidRPr="001A5BC5">
              <w:t xml:space="preserve"> 2 mL RBC contamination are not available</w:t>
            </w:r>
          </w:p>
        </w:tc>
      </w:tr>
      <w:tr w:rsidR="00DA7A2E" w14:paraId="247D6F6C" w14:textId="77777777">
        <w:tc>
          <w:tcPr>
            <w:tcW w:w="3240" w:type="dxa"/>
          </w:tcPr>
          <w:p w14:paraId="612DAEEC" w14:textId="77777777" w:rsidR="00D20E3E" w:rsidRDefault="00D20E3E" w:rsidP="00D20E3E">
            <w:pPr>
              <w:pStyle w:val="TableTextNumbers"/>
            </w:pPr>
            <w:r>
              <w:t xml:space="preserve">Scan or enter allogeneic units, select compatible units from the Order Group list, or click the </w:t>
            </w:r>
            <w:r w:rsidR="00A6373D">
              <w:rPr>
                <w:b/>
              </w:rPr>
              <w:t>find</w:t>
            </w:r>
            <w:r w:rsidRPr="00D509C6">
              <w:rPr>
                <w:b/>
              </w:rPr>
              <w:t xml:space="preserve"> </w:t>
            </w:r>
            <w:r w:rsidRPr="00D1100E">
              <w:t>button</w:t>
            </w:r>
            <w:r>
              <w:t xml:space="preserve"> to select units.</w:t>
            </w:r>
          </w:p>
          <w:p w14:paraId="309C7A2A" w14:textId="77777777" w:rsidR="00DA7A2E" w:rsidRDefault="00DA7A2E" w:rsidP="00566A3F">
            <w:pPr>
              <w:pStyle w:val="TableTextNumbersContinued"/>
            </w:pPr>
          </w:p>
          <w:p w14:paraId="7E075C58" w14:textId="77777777" w:rsidR="00DA7A2E" w:rsidRDefault="00DA7A2E" w:rsidP="00566A3F">
            <w:pPr>
              <w:pStyle w:val="TableTextNumbersContinued"/>
            </w:pPr>
            <w:r>
              <w:t>Enter or select a date in the Selection Date field.</w:t>
            </w:r>
            <w:r w:rsidR="00C96BF6">
              <w:t xml:space="preserve"> </w:t>
            </w:r>
            <w:r>
              <w:t>Each unit may have its own selection date and time.</w:t>
            </w:r>
          </w:p>
          <w:p w14:paraId="7B6E99EB" w14:textId="77777777" w:rsidR="00DA7A2E" w:rsidRDefault="00DA7A2E" w:rsidP="00566A3F">
            <w:pPr>
              <w:pStyle w:val="TableTextNumbersContinued"/>
            </w:pPr>
          </w:p>
          <w:p w14:paraId="5D13D99C" w14:textId="77777777" w:rsidR="00DA7A2E" w:rsidRDefault="00DA7A2E" w:rsidP="00566A3F">
            <w:pPr>
              <w:pStyle w:val="TableTextNumbersContinued"/>
            </w:pPr>
            <w:r>
              <w:t xml:space="preserve">Click </w:t>
            </w:r>
            <w:r>
              <w:rPr>
                <w:b/>
              </w:rPr>
              <w:t>Add Units</w:t>
            </w:r>
            <w:r>
              <w:t xml:space="preserve"> to display the unit selection form.</w:t>
            </w:r>
          </w:p>
          <w:p w14:paraId="5D901EA5" w14:textId="77777777" w:rsidR="00EA2FA8" w:rsidRDefault="00EA2FA8" w:rsidP="00566A3F">
            <w:pPr>
              <w:pStyle w:val="TableTextNumbersContinued"/>
            </w:pPr>
          </w:p>
          <w:p w14:paraId="7CF48C22" w14:textId="77777777" w:rsidR="00EA2FA8" w:rsidRDefault="00EA2FA8" w:rsidP="00566A3F">
            <w:pPr>
              <w:pStyle w:val="TableTextNumbersContinued"/>
            </w:pPr>
            <w:r>
              <w:t>To change the Assigned Date and Assigned By fields, click a unit in the Order Group list.</w:t>
            </w:r>
          </w:p>
        </w:tc>
        <w:tc>
          <w:tcPr>
            <w:tcW w:w="6120" w:type="dxa"/>
          </w:tcPr>
          <w:p w14:paraId="4CB0FFA5" w14:textId="77777777" w:rsidR="00DA7A2E" w:rsidRDefault="00DA7A2E" w:rsidP="00566A3F">
            <w:pPr>
              <w:pStyle w:val="TableTextBullet"/>
            </w:pPr>
            <w:r>
              <w:lastRenderedPageBreak/>
              <w:t>Maintains a list of selected units. The user may deselect selected units.</w:t>
            </w:r>
          </w:p>
          <w:p w14:paraId="3D4C2A31" w14:textId="77777777" w:rsidR="00DA7A2E" w:rsidRDefault="00DA7A2E" w:rsidP="00566A3F">
            <w:pPr>
              <w:pStyle w:val="TableTextBullet"/>
            </w:pPr>
            <w:r>
              <w:t>Evaluates the selected unit:</w:t>
            </w:r>
          </w:p>
          <w:p w14:paraId="2DFB7E0E" w14:textId="77777777" w:rsidR="00DA7A2E" w:rsidRDefault="00DA7A2E" w:rsidP="00566A3F">
            <w:pPr>
              <w:pStyle w:val="TableTextBullet1"/>
              <w:tabs>
                <w:tab w:val="num" w:pos="648"/>
              </w:tabs>
              <w:ind w:left="648" w:hanging="360"/>
            </w:pPr>
            <w:r>
              <w:t>For the ABO/Rh compatibility of each unit and warns the user.</w:t>
            </w:r>
          </w:p>
          <w:p w14:paraId="241FBA47" w14:textId="77777777" w:rsidR="00DA7A2E" w:rsidRDefault="00DA7A2E" w:rsidP="00566A3F">
            <w:pPr>
              <w:pStyle w:val="TableTextBullet1"/>
              <w:tabs>
                <w:tab w:val="num" w:pos="648"/>
              </w:tabs>
              <w:ind w:left="648" w:hanging="360"/>
            </w:pPr>
            <w:r>
              <w:lastRenderedPageBreak/>
              <w:t>Against patient Transfusion Requirements (TRs) and warns the user.</w:t>
            </w:r>
          </w:p>
          <w:p w14:paraId="7039EB70" w14:textId="77777777" w:rsidR="00DA7A2E" w:rsidRDefault="00DA7A2E" w:rsidP="00566A3F">
            <w:pPr>
              <w:pStyle w:val="TableTextBullet1"/>
              <w:tabs>
                <w:tab w:val="num" w:pos="648"/>
              </w:tabs>
              <w:ind w:left="648" w:hanging="360"/>
            </w:pPr>
            <w:r>
              <w:t>For unit antigen negative compatibility and warns the user.</w:t>
            </w:r>
          </w:p>
          <w:p w14:paraId="790A29FC" w14:textId="77777777" w:rsidR="00DA7A2E" w:rsidRDefault="00DA7A2E" w:rsidP="00566A3F">
            <w:pPr>
              <w:pStyle w:val="TableTextBullet"/>
            </w:pPr>
            <w:r>
              <w:t>Performs additional checks that include days remaining until the unit’s expiration date, the current status, assignments to other patients, quarantine and biohazard indicators, when applied, and associated special testing.</w:t>
            </w:r>
          </w:p>
          <w:p w14:paraId="15F9A3F5" w14:textId="77777777" w:rsidR="00DA7A2E" w:rsidRDefault="00DA7A2E" w:rsidP="00566A3F">
            <w:pPr>
              <w:pStyle w:val="TableText"/>
            </w:pPr>
          </w:p>
          <w:p w14:paraId="2513A7C7" w14:textId="4219D42A" w:rsidR="00DA7A2E" w:rsidRDefault="00DA7A2E" w:rsidP="00566A3F">
            <w:pPr>
              <w:pStyle w:val="TableText"/>
              <w:rPr>
                <w:b/>
                <w:bCs/>
                <w:szCs w:val="18"/>
              </w:rPr>
            </w:pPr>
            <w:r>
              <w:rPr>
                <w:b/>
                <w:bCs/>
                <w:szCs w:val="18"/>
              </w:rPr>
              <w:t>NOTES</w:t>
            </w:r>
          </w:p>
          <w:p w14:paraId="7E18327D" w14:textId="77777777" w:rsidR="00DA7A2E" w:rsidRDefault="00DA7A2E" w:rsidP="00566A3F">
            <w:pPr>
              <w:pStyle w:val="NotesText"/>
            </w:pPr>
          </w:p>
          <w:p w14:paraId="0155E445" w14:textId="3B6D4E37" w:rsidR="00DA7A2E" w:rsidRDefault="00DA7A2E" w:rsidP="00566A3F">
            <w:pPr>
              <w:pStyle w:val="NotesText"/>
            </w:pPr>
            <w:r w:rsidRPr="00896F17">
              <w:rPr>
                <w:rStyle w:val="BullhornChar"/>
              </w:rPr>
              <w:t></w:t>
            </w:r>
            <w:r w:rsidRPr="00C51C45">
              <w:rPr>
                <w:rFonts w:ascii="Webdings" w:hAnsi="Webdings"/>
                <w:szCs w:val="22"/>
              </w:rPr>
              <w:t></w:t>
            </w:r>
            <w:r w:rsidR="00302434">
              <w:rPr>
                <w:rFonts w:cs="Arial"/>
                <w:szCs w:val="22"/>
              </w:rPr>
              <w:t xml:space="preserve"> See </w:t>
            </w:r>
            <w:r w:rsidR="00EE455E">
              <w:t xml:space="preserve">Table </w:t>
            </w:r>
            <w:r w:rsidR="00EE455E">
              <w:rPr>
                <w:noProof/>
              </w:rPr>
              <w:t>11</w:t>
            </w:r>
            <w:r w:rsidR="00302434">
              <w:rPr>
                <w:rFonts w:cs="Arial"/>
                <w:szCs w:val="22"/>
              </w:rPr>
              <w:t xml:space="preserve"> for alerts that may occur during this option.</w:t>
            </w:r>
          </w:p>
          <w:p w14:paraId="5722CC1C" w14:textId="77777777" w:rsidR="00DA7A2E" w:rsidRDefault="00DA7A2E" w:rsidP="00566A3F">
            <w:pPr>
              <w:pStyle w:val="NotesText"/>
            </w:pPr>
          </w:p>
          <w:p w14:paraId="6CFD2BFB" w14:textId="77777777" w:rsidR="00DA7A2E" w:rsidRDefault="00DA7A2E" w:rsidP="00566A3F">
            <w:pPr>
              <w:pStyle w:val="NotesText"/>
            </w:pPr>
            <w:r>
              <w:t xml:space="preserve">The user may accept or edit the current date and time displayed; the date and time must be in the past. </w:t>
            </w:r>
          </w:p>
          <w:p w14:paraId="478D315F" w14:textId="77777777" w:rsidR="00DA7A2E" w:rsidRDefault="00DA7A2E" w:rsidP="00566A3F">
            <w:pPr>
              <w:pStyle w:val="NotesText"/>
            </w:pPr>
          </w:p>
          <w:p w14:paraId="0EABE6A7" w14:textId="77777777" w:rsidR="00DA7A2E" w:rsidRDefault="00DA7A2E" w:rsidP="00566A3F">
            <w:pPr>
              <w:pStyle w:val="NotesText"/>
            </w:pPr>
            <w:r>
              <w:rPr>
                <w:rFonts w:cs="Arial"/>
                <w:vanish/>
                <w:szCs w:val="18"/>
              </w:rPr>
              <w:t>BR_3.25</w:t>
            </w:r>
            <w:r w:rsidR="005D400B">
              <w:rPr>
                <w:rFonts w:cs="Arial"/>
                <w:vanish/>
                <w:szCs w:val="18"/>
              </w:rPr>
              <w:t>,</w:t>
            </w:r>
            <w:r>
              <w:rPr>
                <w:rFonts w:cs="Arial"/>
                <w:vanish/>
                <w:szCs w:val="18"/>
              </w:rPr>
              <w:t xml:space="preserve"> </w:t>
            </w:r>
            <w:r>
              <w:rPr>
                <w:vanish/>
                <w:szCs w:val="18"/>
              </w:rPr>
              <w:t xml:space="preserve">BR_16.13 </w:t>
            </w:r>
            <w:r>
              <w:t>Restricted (autologous or directed) unit selection eligibility criteria:</w:t>
            </w:r>
          </w:p>
          <w:p w14:paraId="73BC3FAD" w14:textId="77777777" w:rsidR="00DA7A2E" w:rsidRDefault="00DA7A2E" w:rsidP="00566A3F">
            <w:pPr>
              <w:pStyle w:val="NotesTextBullet"/>
            </w:pPr>
            <w:r>
              <w:t>Restricted For Patient ID: must match</w:t>
            </w:r>
          </w:p>
          <w:p w14:paraId="17E3B3BB" w14:textId="77777777" w:rsidR="00DA7A2E" w:rsidRDefault="00DA7A2E" w:rsidP="00566A3F">
            <w:pPr>
              <w:pStyle w:val="NotesTextBullet"/>
            </w:pPr>
            <w:r>
              <w:t>Restricted For Patient Name: must match</w:t>
            </w:r>
          </w:p>
          <w:p w14:paraId="1572C55C" w14:textId="77777777" w:rsidR="00DA7A2E" w:rsidRDefault="00DA7A2E" w:rsidP="00566A3F">
            <w:pPr>
              <w:pStyle w:val="NotesTextBullet"/>
            </w:pPr>
            <w:r>
              <w:t xml:space="preserve">Unit expiration date must be in the future. </w:t>
            </w:r>
          </w:p>
          <w:p w14:paraId="6F0A0547" w14:textId="77777777" w:rsidR="00DA7A2E" w:rsidRDefault="00DA7A2E" w:rsidP="00566A3F">
            <w:pPr>
              <w:pStyle w:val="NotesTextBullet"/>
            </w:pPr>
            <w:r>
              <w:t>Component class (transfusion only requires restriction of all units)</w:t>
            </w:r>
          </w:p>
          <w:p w14:paraId="6E797119" w14:textId="77777777" w:rsidR="00DA7A2E" w:rsidRDefault="00DA7A2E" w:rsidP="00566A3F">
            <w:pPr>
              <w:pStyle w:val="NotesTextBullet"/>
              <w:numPr>
                <w:ilvl w:val="0"/>
                <w:numId w:val="0"/>
              </w:numPr>
              <w:ind w:left="720"/>
            </w:pPr>
          </w:p>
          <w:p w14:paraId="43F4B31C" w14:textId="77777777" w:rsidR="00DA7A2E" w:rsidRDefault="00DA7A2E" w:rsidP="00566A3F">
            <w:pPr>
              <w:pStyle w:val="NotesText"/>
            </w:pPr>
            <w:r>
              <w:rPr>
                <w:rFonts w:cs="Arial"/>
                <w:vanish/>
              </w:rPr>
              <w:t xml:space="preserve">BR_3.19 </w:t>
            </w:r>
            <w:r>
              <w:t>The criteria for selecting or including an individual unit in a pick list include evaluating a unit for:</w:t>
            </w:r>
          </w:p>
          <w:p w14:paraId="1D8809B9" w14:textId="77777777" w:rsidR="00DA7A2E" w:rsidRDefault="00DA7A2E" w:rsidP="00566A3F">
            <w:pPr>
              <w:pStyle w:val="NotesTextBullet"/>
            </w:pPr>
            <w:r>
              <w:t>Considered substitutable for the order</w:t>
            </w:r>
          </w:p>
          <w:p w14:paraId="06E9BBCD" w14:textId="77777777" w:rsidR="00DA7A2E" w:rsidRDefault="00DA7A2E" w:rsidP="00566A3F">
            <w:pPr>
              <w:pStyle w:val="NotesTextBullet"/>
            </w:pPr>
            <w:r>
              <w:t>Same division as the user</w:t>
            </w:r>
          </w:p>
          <w:p w14:paraId="4FD666C9" w14:textId="77777777" w:rsidR="00DA7A2E" w:rsidRDefault="00DA7A2E" w:rsidP="00566A3F">
            <w:pPr>
              <w:pStyle w:val="NotesTextBullet"/>
            </w:pPr>
            <w:r>
              <w:t xml:space="preserve">Current location is in the blood bank </w:t>
            </w:r>
          </w:p>
          <w:p w14:paraId="7009B764" w14:textId="77777777" w:rsidR="00DA7A2E" w:rsidRDefault="00DA7A2E" w:rsidP="00566A3F">
            <w:pPr>
              <w:pStyle w:val="NotesTextBullet"/>
            </w:pPr>
            <w:r>
              <w:t>Is not already assigned or crossmatched to the patient</w:t>
            </w:r>
          </w:p>
          <w:p w14:paraId="3FCD5A75" w14:textId="77777777" w:rsidR="00DA7A2E" w:rsidRDefault="00DA7A2E" w:rsidP="00566A3F">
            <w:pPr>
              <w:pStyle w:val="NotesTextBullet"/>
            </w:pPr>
            <w:r>
              <w:t>Is not “restricted” for a different patient</w:t>
            </w:r>
          </w:p>
          <w:p w14:paraId="44142055" w14:textId="77777777" w:rsidR="00DA7A2E" w:rsidRDefault="00DA7A2E" w:rsidP="00566A3F">
            <w:pPr>
              <w:pStyle w:val="NotesTextBullet"/>
            </w:pPr>
            <w:r>
              <w:t xml:space="preserve">Meets ABO/Rh compatibility requirements specific to the component class </w:t>
            </w:r>
          </w:p>
          <w:p w14:paraId="532930F3" w14:textId="77777777" w:rsidR="00DA7A2E" w:rsidRDefault="00DA7A2E" w:rsidP="00566A3F">
            <w:pPr>
              <w:pStyle w:val="NotesTextBullet"/>
            </w:pPr>
            <w:r>
              <w:t>Future expiration date</w:t>
            </w:r>
          </w:p>
          <w:p w14:paraId="6E47AC79" w14:textId="77777777" w:rsidR="00DA7A2E" w:rsidRDefault="00DA7A2E" w:rsidP="00566A3F">
            <w:pPr>
              <w:pStyle w:val="NotesText"/>
            </w:pPr>
          </w:p>
          <w:p w14:paraId="4EB081C3" w14:textId="77777777" w:rsidR="00DA7A2E" w:rsidRDefault="00DA7A2E" w:rsidP="00566A3F">
            <w:pPr>
              <w:pStyle w:val="NotesText"/>
            </w:pPr>
            <w:r>
              <w:rPr>
                <w:rFonts w:cs="Arial"/>
                <w:vanish/>
              </w:rPr>
              <w:t xml:space="preserve">BR_3.04 </w:t>
            </w:r>
            <w:r>
              <w:t>VBECS lists only ABO/Rh compatible units for selection.</w:t>
            </w:r>
          </w:p>
          <w:p w14:paraId="646EED94" w14:textId="77777777" w:rsidR="00DA7A2E" w:rsidRDefault="00DA7A2E" w:rsidP="00566A3F">
            <w:pPr>
              <w:pStyle w:val="NotesText"/>
            </w:pPr>
          </w:p>
          <w:p w14:paraId="0E9D3B82" w14:textId="77777777" w:rsidR="00DA7A2E" w:rsidRDefault="00DA7A2E" w:rsidP="00566A3F">
            <w:pPr>
              <w:pStyle w:val="NotesText"/>
            </w:pPr>
            <w:r w:rsidRPr="00CC6497">
              <w:rPr>
                <w:rFonts w:cs="Arial"/>
                <w:vanish/>
                <w:color w:val="0000FF"/>
              </w:rPr>
              <w:t>BR_3.11</w:t>
            </w:r>
            <w:r>
              <w:rPr>
                <w:rFonts w:cs="Arial"/>
                <w:vanish/>
              </w:rPr>
              <w:t xml:space="preserve"> </w:t>
            </w:r>
            <w:r>
              <w:t>When ABO/Rh results were not created for the specimen associated with the component order and the order is not designated “emergency issue,” VBECS allows the user to select units using historic records, and notifies the user that ABO/Rh testing must be performed at this division on this patient before any selected units can be issued.</w:t>
            </w:r>
          </w:p>
          <w:p w14:paraId="41009D8D" w14:textId="77777777" w:rsidR="00DA7A2E" w:rsidRDefault="00DA7A2E" w:rsidP="00566A3F">
            <w:pPr>
              <w:pStyle w:val="NotesText"/>
            </w:pPr>
          </w:p>
          <w:p w14:paraId="4FA91452" w14:textId="77777777" w:rsidR="00DA7A2E" w:rsidRDefault="00DA7A2E" w:rsidP="00566A3F">
            <w:pPr>
              <w:pStyle w:val="NotesText"/>
            </w:pPr>
            <w:r>
              <w:rPr>
                <w:rFonts w:cs="Arial"/>
                <w:vanish/>
              </w:rPr>
              <w:t xml:space="preserve">BR_3.55 </w:t>
            </w:r>
            <w:r>
              <w:t>VBECS displays and allows the user to complete a pending XM associated with a patient order without a final unit status.</w:t>
            </w:r>
          </w:p>
        </w:tc>
      </w:tr>
      <w:tr w:rsidR="00DA7A2E" w14:paraId="29B653DB" w14:textId="77777777" w:rsidTr="00414071">
        <w:trPr>
          <w:cantSplit/>
        </w:trPr>
        <w:tc>
          <w:tcPr>
            <w:tcW w:w="3240" w:type="dxa"/>
          </w:tcPr>
          <w:p w14:paraId="7B284FB5" w14:textId="77777777" w:rsidR="00DA7A2E" w:rsidRDefault="00DA7A2E" w:rsidP="00566A3F">
            <w:pPr>
              <w:pStyle w:val="TableTextNumbers"/>
            </w:pPr>
            <w:r>
              <w:lastRenderedPageBreak/>
              <w:t>Repeat Step 4 until all units are selected.</w:t>
            </w:r>
          </w:p>
        </w:tc>
        <w:tc>
          <w:tcPr>
            <w:tcW w:w="6120" w:type="dxa"/>
          </w:tcPr>
          <w:p w14:paraId="5486CBE9" w14:textId="77777777" w:rsidR="00DA7A2E" w:rsidRDefault="00DA7A2E" w:rsidP="00566A3F">
            <w:pPr>
              <w:pStyle w:val="TableTextBullet"/>
            </w:pPr>
            <w:r>
              <w:t>Requests the user to confirm the list of selected blood units.</w:t>
            </w:r>
          </w:p>
          <w:p w14:paraId="52499EE8" w14:textId="77777777" w:rsidR="00DA7A2E" w:rsidRDefault="00DA7A2E" w:rsidP="00566A3F">
            <w:pPr>
              <w:pStyle w:val="TableText"/>
            </w:pPr>
          </w:p>
          <w:p w14:paraId="6D620E62" w14:textId="73ED183C" w:rsidR="00DA7A2E" w:rsidRDefault="00DA7A2E" w:rsidP="00566A3F">
            <w:pPr>
              <w:pStyle w:val="TableText"/>
              <w:rPr>
                <w:b/>
                <w:bCs/>
                <w:szCs w:val="18"/>
              </w:rPr>
            </w:pPr>
            <w:r>
              <w:rPr>
                <w:b/>
                <w:bCs/>
                <w:szCs w:val="18"/>
              </w:rPr>
              <w:t>NOTES</w:t>
            </w:r>
          </w:p>
          <w:p w14:paraId="65CEB937" w14:textId="77777777" w:rsidR="00DA7A2E" w:rsidRDefault="00DA7A2E" w:rsidP="00566A3F">
            <w:pPr>
              <w:pStyle w:val="NotesText"/>
            </w:pPr>
          </w:p>
          <w:p w14:paraId="46A4574F" w14:textId="77777777" w:rsidR="00DA7A2E" w:rsidRDefault="00DA7A2E" w:rsidP="00566A3F">
            <w:pPr>
              <w:pStyle w:val="NotesText"/>
            </w:pPr>
            <w:r>
              <w:t>The user may select or deselect additional units.</w:t>
            </w:r>
          </w:p>
        </w:tc>
      </w:tr>
      <w:tr w:rsidR="00DA7A2E" w14:paraId="35E52BA9" w14:textId="77777777">
        <w:tc>
          <w:tcPr>
            <w:tcW w:w="3240" w:type="dxa"/>
          </w:tcPr>
          <w:p w14:paraId="52BBD073" w14:textId="77777777" w:rsidR="00DA7A2E" w:rsidRDefault="00DA7A2E" w:rsidP="00566A3F">
            <w:pPr>
              <w:pStyle w:val="TableTextNumbers"/>
            </w:pPr>
            <w:r>
              <w:t xml:space="preserve">Click </w:t>
            </w:r>
            <w:r>
              <w:rPr>
                <w:b/>
              </w:rPr>
              <w:t>OK</w:t>
            </w:r>
            <w:r>
              <w:t xml:space="preserve"> to confirm the selection of units.</w:t>
            </w:r>
          </w:p>
        </w:tc>
        <w:tc>
          <w:tcPr>
            <w:tcW w:w="6120" w:type="dxa"/>
          </w:tcPr>
          <w:p w14:paraId="0A38A818" w14:textId="77777777" w:rsidR="00DA7A2E" w:rsidRDefault="00DA7A2E" w:rsidP="00566A3F">
            <w:pPr>
              <w:pStyle w:val="TableTextBullet"/>
            </w:pPr>
            <w:r>
              <w:t xml:space="preserve">Determines whether the units are available for issue or whether they require additional modification and/or testing based on the component class. </w:t>
            </w:r>
          </w:p>
          <w:p w14:paraId="3A954BCE" w14:textId="77777777" w:rsidR="00DA7A2E" w:rsidRDefault="00DA7A2E" w:rsidP="00566A3F">
            <w:pPr>
              <w:pStyle w:val="TableTextBullet"/>
            </w:pPr>
            <w:r>
              <w:t>Updates the database, as appropriate.</w:t>
            </w:r>
          </w:p>
          <w:p w14:paraId="0C89E253" w14:textId="77777777" w:rsidR="00DA7A2E" w:rsidRDefault="00DA7A2E" w:rsidP="00566A3F">
            <w:pPr>
              <w:pStyle w:val="TableText"/>
            </w:pPr>
          </w:p>
          <w:p w14:paraId="20BC3E61" w14:textId="69C7B2DA" w:rsidR="00DA7A2E" w:rsidRDefault="00DA7A2E" w:rsidP="00566A3F">
            <w:pPr>
              <w:pStyle w:val="TableText"/>
              <w:rPr>
                <w:b/>
                <w:bCs/>
                <w:szCs w:val="18"/>
              </w:rPr>
            </w:pPr>
            <w:r>
              <w:rPr>
                <w:b/>
                <w:bCs/>
                <w:szCs w:val="18"/>
              </w:rPr>
              <w:lastRenderedPageBreak/>
              <w:t>NOTES</w:t>
            </w:r>
          </w:p>
          <w:p w14:paraId="70B1D9DD" w14:textId="77777777" w:rsidR="00DA7A2E" w:rsidRDefault="00DA7A2E" w:rsidP="00566A3F">
            <w:pPr>
              <w:pStyle w:val="NotesText"/>
            </w:pPr>
          </w:p>
          <w:p w14:paraId="71FFF030" w14:textId="79F18B31" w:rsidR="0021365D" w:rsidRDefault="00DA7A2E" w:rsidP="0021365D">
            <w:pPr>
              <w:pStyle w:val="NotesText"/>
              <w:rPr>
                <w:rFonts w:cs="Arial"/>
                <w:szCs w:val="22"/>
              </w:rPr>
            </w:pPr>
            <w:r w:rsidRPr="00896F17">
              <w:rPr>
                <w:rStyle w:val="BullhornChar"/>
              </w:rPr>
              <w:t></w:t>
            </w:r>
            <w:r w:rsidRPr="00C51C45">
              <w:rPr>
                <w:rFonts w:ascii="Webdings" w:hAnsi="Webdings"/>
                <w:szCs w:val="22"/>
              </w:rPr>
              <w:t></w:t>
            </w:r>
            <w:r>
              <w:rPr>
                <w:rFonts w:cs="Arial"/>
                <w:szCs w:val="22"/>
              </w:rPr>
              <w:t xml:space="preserve">See </w:t>
            </w:r>
            <w:r w:rsidR="00EE455E">
              <w:t xml:space="preserve">Table </w:t>
            </w:r>
            <w:r w:rsidR="00EE455E">
              <w:rPr>
                <w:noProof/>
              </w:rPr>
              <w:t>11</w:t>
            </w:r>
            <w:r>
              <w:rPr>
                <w:rFonts w:cs="Arial"/>
                <w:szCs w:val="22"/>
              </w:rPr>
              <w:t xml:space="preserve"> for alerts that may occur during this option.</w:t>
            </w:r>
          </w:p>
          <w:p w14:paraId="02AE59DA" w14:textId="77777777" w:rsidR="0021365D" w:rsidRDefault="0021365D" w:rsidP="0021365D">
            <w:pPr>
              <w:pStyle w:val="NotesText"/>
              <w:rPr>
                <w:rFonts w:cs="Arial"/>
                <w:szCs w:val="22"/>
              </w:rPr>
            </w:pPr>
          </w:p>
          <w:p w14:paraId="75B9AFC6" w14:textId="732813F2" w:rsidR="0021365D" w:rsidRDefault="0021365D" w:rsidP="0021365D">
            <w:pPr>
              <w:pStyle w:val="NotesText"/>
            </w:pPr>
            <w:r>
              <w:rPr>
                <w:vanish/>
                <w:szCs w:val="18"/>
              </w:rPr>
              <w:t xml:space="preserve">BR_3.17, BR_3.27 </w:t>
            </w:r>
            <w:r>
              <w:t xml:space="preserve">When eXM is enabled at the division and blood units require XM, VBECS determines whether the patient and units are eligible for eXM. All parameters listed in </w:t>
            </w:r>
            <w:r w:rsidR="00EE455E">
              <w:t xml:space="preserve">Appendix </w:t>
            </w:r>
            <w:r w:rsidR="00EE455E">
              <w:rPr>
                <w:noProof/>
              </w:rPr>
              <w:t>B</w:t>
            </w:r>
            <w:r>
              <w:t xml:space="preserve">: </w:t>
            </w:r>
            <w:r w:rsidR="00EE455E">
              <w:t xml:space="preserve">Table </w:t>
            </w:r>
            <w:r w:rsidR="00EE455E">
              <w:rPr>
                <w:noProof/>
              </w:rPr>
              <w:t>22</w:t>
            </w:r>
            <w:r w:rsidR="00EE455E">
              <w:t xml:space="preserve">: </w:t>
            </w:r>
            <w:r w:rsidR="00EE455E">
              <w:rPr>
                <w:vanish/>
              </w:rPr>
              <w:t xml:space="preserve">TT_3.05 </w:t>
            </w:r>
            <w:r w:rsidR="00EE455E">
              <w:t>Rules for Electronic and Serologic Crossmatch</w:t>
            </w:r>
            <w:r>
              <w:t xml:space="preserve"> must be met. Units not eligible for eXM must have serologic XM performed. </w:t>
            </w:r>
          </w:p>
          <w:p w14:paraId="6F9925E2" w14:textId="77777777" w:rsidR="0021365D" w:rsidRDefault="0021365D" w:rsidP="0021365D">
            <w:pPr>
              <w:pStyle w:val="NotesText"/>
            </w:pPr>
          </w:p>
          <w:p w14:paraId="614F2FAF" w14:textId="77777777" w:rsidR="00DA7A2E" w:rsidRPr="0021365D" w:rsidRDefault="0021365D" w:rsidP="0021365D">
            <w:pPr>
              <w:pStyle w:val="NotesText"/>
              <w:rPr>
                <w:rFonts w:cs="Arial"/>
                <w:szCs w:val="22"/>
              </w:rPr>
            </w:pPr>
            <w:r>
              <w:t>When eXM is not enabled, the user must enter serologic XM results for red blood cell classes or when a user orders an optional XM for OTHER component classes. VBECS does not change the unit status to “crossmatched,” make units available for issue, or allow the Caution Tag or BTRF to be printed until a user enters a valid XM result, unless an emergency-issued unit is being processed.</w:t>
            </w:r>
            <w:r w:rsidR="00DA7A2E">
              <w:rPr>
                <w:vanish/>
                <w:szCs w:val="18"/>
              </w:rPr>
              <w:t>BR_3.17</w:t>
            </w:r>
            <w:r w:rsidR="005D400B">
              <w:rPr>
                <w:vanish/>
                <w:szCs w:val="18"/>
              </w:rPr>
              <w:t>,</w:t>
            </w:r>
            <w:r w:rsidR="00DA7A2E">
              <w:rPr>
                <w:vanish/>
                <w:szCs w:val="18"/>
              </w:rPr>
              <w:t xml:space="preserve"> BR_3.27 </w:t>
            </w:r>
          </w:p>
        </w:tc>
      </w:tr>
      <w:tr w:rsidR="00DA7A2E" w14:paraId="71E5B9DD" w14:textId="77777777">
        <w:tc>
          <w:tcPr>
            <w:tcW w:w="3240" w:type="dxa"/>
          </w:tcPr>
          <w:p w14:paraId="33C8B921" w14:textId="77777777" w:rsidR="00DA7A2E" w:rsidRDefault="00DA7A2E" w:rsidP="00566A3F">
            <w:pPr>
              <w:pStyle w:val="TableTextNumbers"/>
            </w:pPr>
            <w:r>
              <w:lastRenderedPageBreak/>
              <w:t xml:space="preserve">Select another component order to continue selecting units, or exit. </w:t>
            </w:r>
          </w:p>
        </w:tc>
        <w:tc>
          <w:tcPr>
            <w:tcW w:w="6120" w:type="dxa"/>
          </w:tcPr>
          <w:p w14:paraId="3672EC73" w14:textId="77777777" w:rsidR="00DA7A2E" w:rsidRDefault="00DA7A2E" w:rsidP="00566A3F">
            <w:pPr>
              <w:pStyle w:val="TableTextBullet"/>
            </w:pPr>
            <w:r>
              <w:t>Displays orders for the next patient.</w:t>
            </w:r>
          </w:p>
        </w:tc>
      </w:tr>
      <w:tr w:rsidR="002A21AE" w14:paraId="4921E4C0" w14:textId="77777777">
        <w:tc>
          <w:tcPr>
            <w:tcW w:w="3240" w:type="dxa"/>
          </w:tcPr>
          <w:p w14:paraId="15183512" w14:textId="77777777" w:rsidR="002A21AE" w:rsidRDefault="002A21AE">
            <w:pPr>
              <w:pStyle w:val="TableTextNumbers"/>
            </w:pPr>
            <w:r>
              <w:t>Select a unit to begin entering serologic reactions.</w:t>
            </w:r>
          </w:p>
          <w:p w14:paraId="5CB8A8A9" w14:textId="77777777" w:rsidR="002A21AE" w:rsidRDefault="002A21AE">
            <w:pPr>
              <w:pStyle w:val="TableTextNumbersContinued"/>
            </w:pPr>
          </w:p>
          <w:p w14:paraId="332B5348" w14:textId="77777777" w:rsidR="002A21AE" w:rsidRDefault="002A21AE">
            <w:pPr>
              <w:pStyle w:val="TableTextNumbersContinued"/>
              <w:rPr>
                <w:b/>
                <w:bCs/>
              </w:rPr>
            </w:pPr>
            <w:r>
              <w:rPr>
                <w:rFonts w:cs="Arial"/>
                <w:vanish/>
              </w:rPr>
              <w:t xml:space="preserve">BR_2.31 </w:t>
            </w:r>
            <w:r>
              <w:t>Enter valid text, then press</w:t>
            </w:r>
            <w:r w:rsidR="00DF74D1">
              <w:t xml:space="preserve"> the</w:t>
            </w:r>
            <w:r>
              <w:t xml:space="preserve"> </w:t>
            </w:r>
            <w:r>
              <w:rPr>
                <w:b/>
              </w:rPr>
              <w:t>Enter</w:t>
            </w:r>
            <w:r w:rsidR="00DF74D1">
              <w:rPr>
                <w:b/>
              </w:rPr>
              <w:t xml:space="preserve"> key</w:t>
            </w:r>
            <w:r>
              <w:t xml:space="preserve"> to move to the next data grid comment cell.</w:t>
            </w:r>
          </w:p>
        </w:tc>
        <w:tc>
          <w:tcPr>
            <w:tcW w:w="6120" w:type="dxa"/>
          </w:tcPr>
          <w:p w14:paraId="2026BC9C" w14:textId="77777777" w:rsidR="002A21AE" w:rsidRDefault="002A21AE">
            <w:pPr>
              <w:pStyle w:val="TableTextBullet"/>
            </w:pPr>
            <w:r>
              <w:t>Allows only valid data entries in the grid reaction result and interpretation cells.</w:t>
            </w:r>
          </w:p>
          <w:p w14:paraId="091E8325" w14:textId="77777777" w:rsidR="002A21AE" w:rsidRDefault="002A21AE">
            <w:pPr>
              <w:pStyle w:val="TableTextBullet"/>
            </w:pPr>
            <w:r>
              <w:t>Restricts data entry to valid selections for testing results. All testing results and entered interpretations remain on the screen.</w:t>
            </w:r>
          </w:p>
          <w:p w14:paraId="7299C714" w14:textId="77777777" w:rsidR="007A4C70" w:rsidRDefault="007A4C70" w:rsidP="007A4C70">
            <w:pPr>
              <w:pStyle w:val="TableText"/>
            </w:pPr>
          </w:p>
          <w:p w14:paraId="107743A7" w14:textId="2D25352E" w:rsidR="007A4C70" w:rsidRDefault="007A4C70" w:rsidP="007A4C70">
            <w:pPr>
              <w:pStyle w:val="TableText"/>
              <w:rPr>
                <w:b/>
                <w:bCs/>
                <w:szCs w:val="18"/>
              </w:rPr>
            </w:pPr>
            <w:r>
              <w:rPr>
                <w:b/>
                <w:bCs/>
                <w:szCs w:val="18"/>
              </w:rPr>
              <w:t>NOTES</w:t>
            </w:r>
          </w:p>
          <w:p w14:paraId="4A6B1B09" w14:textId="77777777" w:rsidR="007A4C70" w:rsidRDefault="007A4C70" w:rsidP="007A4C70">
            <w:pPr>
              <w:pStyle w:val="NotesText"/>
            </w:pPr>
          </w:p>
          <w:p w14:paraId="09F8F90C" w14:textId="77777777" w:rsidR="002A21AE" w:rsidRDefault="002A21AE">
            <w:pPr>
              <w:pStyle w:val="NotesText"/>
            </w:pPr>
            <w:r>
              <w:rPr>
                <w:vanish/>
                <w:szCs w:val="18"/>
              </w:rPr>
              <w:t>BR_40.03</w:t>
            </w:r>
            <w:r w:rsidR="005D400B">
              <w:rPr>
                <w:vanish/>
                <w:szCs w:val="18"/>
              </w:rPr>
              <w:t>,</w:t>
            </w:r>
            <w:r>
              <w:rPr>
                <w:vanish/>
                <w:szCs w:val="18"/>
              </w:rPr>
              <w:t xml:space="preserve"> BR_40.12 </w:t>
            </w:r>
            <w:r>
              <w:t>During XM result data entry within a given row, the IS phase result must be entered first. Once the IS phase has been entered, data entry may progress and an observed result or NT entered in each phase before the XM interpretation is validated by VBECS.</w:t>
            </w:r>
          </w:p>
          <w:p w14:paraId="2F76ED7E" w14:textId="77777777" w:rsidR="002A21AE" w:rsidRDefault="002A21AE">
            <w:pPr>
              <w:pStyle w:val="NotesText"/>
            </w:pPr>
          </w:p>
          <w:p w14:paraId="0081D418" w14:textId="77777777" w:rsidR="002A21AE" w:rsidRDefault="002A21AE">
            <w:pPr>
              <w:pStyle w:val="NotesText"/>
            </w:pPr>
            <w:r>
              <w:t xml:space="preserve">XM interpretations must be consistent with observed test results based on system rules </w:t>
            </w:r>
            <w:r>
              <w:rPr>
                <w:vanish/>
                <w:szCs w:val="18"/>
              </w:rPr>
              <w:t xml:space="preserve">TT_40.01 Patient Crossmatch Testing </w:t>
            </w:r>
            <w:r>
              <w:t xml:space="preserve">for the testing method. Discrepancies must be resolved before VBECS can verify results and add them to the database. The user may </w:t>
            </w:r>
            <w:r w:rsidR="00EF69E2">
              <w:t>reenter</w:t>
            </w:r>
            <w:r>
              <w:t xml:space="preserve"> valid results or delete entries and start over.</w:t>
            </w:r>
          </w:p>
          <w:p w14:paraId="0FB23D9E" w14:textId="77777777" w:rsidR="002A21AE" w:rsidRDefault="002A21AE">
            <w:pPr>
              <w:pStyle w:val="NotesText"/>
              <w:ind w:left="0"/>
            </w:pPr>
          </w:p>
          <w:p w14:paraId="43F27FE9" w14:textId="7DB1E7FA" w:rsidR="002A21AE" w:rsidRDefault="002A21AE">
            <w:pPr>
              <w:pStyle w:val="NotesText"/>
            </w:pPr>
            <w:r>
              <w:rPr>
                <w:rFonts w:cs="Arial"/>
                <w:vanish/>
              </w:rPr>
              <w:t xml:space="preserve">BR_40.15 </w:t>
            </w:r>
            <w:r>
              <w:t>If the patient has a history of a clinically significant antibody or a persistent antigen negative requirement, VBECS warns that the patient is not eligible for IS</w:t>
            </w:r>
            <w:r w:rsidR="00982864">
              <w:t>-only</w:t>
            </w:r>
            <w:r>
              <w:t xml:space="preserve"> XM and instructs the user to perform the antiglobulin transaction XM on the patient. There is no override. The user must complete all phases of the XM test.</w:t>
            </w:r>
          </w:p>
        </w:tc>
      </w:tr>
      <w:tr w:rsidR="002A21AE" w14:paraId="4A7FF45B" w14:textId="77777777">
        <w:tc>
          <w:tcPr>
            <w:tcW w:w="3240" w:type="dxa"/>
          </w:tcPr>
          <w:p w14:paraId="3451667A" w14:textId="77777777" w:rsidR="002A21AE" w:rsidRDefault="002A21AE">
            <w:pPr>
              <w:pStyle w:val="TableTextNumbers"/>
            </w:pPr>
            <w:r>
              <w:t xml:space="preserve">Repeat Step 3 until the test grid for the selected patient is complete. </w:t>
            </w:r>
          </w:p>
          <w:p w14:paraId="31D53029" w14:textId="77777777" w:rsidR="002A21AE" w:rsidRDefault="002A21AE">
            <w:pPr>
              <w:pStyle w:val="TableTextNumbersContinued"/>
            </w:pPr>
          </w:p>
          <w:p w14:paraId="5AA56691" w14:textId="77777777" w:rsidR="002A21AE" w:rsidRDefault="002A21AE">
            <w:pPr>
              <w:pStyle w:val="TableTextNumbersContinued"/>
            </w:pPr>
            <w:r>
              <w:t>Enter the interpretation for the patient XM test, if desired.</w:t>
            </w:r>
          </w:p>
          <w:p w14:paraId="165CA211" w14:textId="77777777" w:rsidR="002A21AE" w:rsidRDefault="002A21AE">
            <w:pPr>
              <w:pStyle w:val="TableTextNumbersContinued"/>
            </w:pPr>
          </w:p>
          <w:p w14:paraId="7AC23466" w14:textId="77777777" w:rsidR="002A21AE" w:rsidRDefault="002A21AE">
            <w:pPr>
              <w:pStyle w:val="TableTextNumbersContinued"/>
              <w:rPr>
                <w:b/>
                <w:bCs/>
              </w:rPr>
            </w:pPr>
            <w:r>
              <w:t>Respond to warnings and enter comments, when indicated.</w:t>
            </w:r>
          </w:p>
        </w:tc>
        <w:tc>
          <w:tcPr>
            <w:tcW w:w="6120" w:type="dxa"/>
          </w:tcPr>
          <w:p w14:paraId="07611F2D" w14:textId="77777777" w:rsidR="002A21AE" w:rsidRDefault="002A21AE">
            <w:pPr>
              <w:pStyle w:val="TableTextBullet"/>
            </w:pPr>
            <w:r>
              <w:t>Verifies that all appropriate test results have been entered for the patient and the selected unit(s).</w:t>
            </w:r>
          </w:p>
          <w:p w14:paraId="33F5A70A" w14:textId="77777777" w:rsidR="002A21AE" w:rsidRDefault="002A21AE">
            <w:pPr>
              <w:pStyle w:val="TableTextBullet"/>
            </w:pPr>
            <w:r>
              <w:t xml:space="preserve">Displays various warnings based on rules. </w:t>
            </w:r>
          </w:p>
          <w:p w14:paraId="7215EC1E" w14:textId="77777777" w:rsidR="002A21AE" w:rsidRDefault="002A21AE">
            <w:pPr>
              <w:pStyle w:val="TableTextBullet"/>
            </w:pPr>
            <w:r>
              <w:t>Prompts the user to confirm that results were reviewed and are acceptable.</w:t>
            </w:r>
          </w:p>
          <w:p w14:paraId="4E1031A9" w14:textId="77777777" w:rsidR="002A21AE" w:rsidRDefault="002A21AE">
            <w:pPr>
              <w:pStyle w:val="TableText"/>
            </w:pPr>
          </w:p>
          <w:p w14:paraId="5E4DF67C" w14:textId="0775F357" w:rsidR="002A21AE" w:rsidRDefault="002A21AE">
            <w:pPr>
              <w:pStyle w:val="TableText"/>
              <w:rPr>
                <w:b/>
                <w:bCs/>
                <w:szCs w:val="18"/>
              </w:rPr>
            </w:pPr>
            <w:r>
              <w:rPr>
                <w:b/>
                <w:bCs/>
                <w:szCs w:val="18"/>
              </w:rPr>
              <w:t>NOTES</w:t>
            </w:r>
          </w:p>
          <w:p w14:paraId="6FF5E7EF" w14:textId="77777777" w:rsidR="002A21AE" w:rsidRDefault="002A21AE">
            <w:pPr>
              <w:pStyle w:val="NotesText"/>
            </w:pPr>
          </w:p>
          <w:p w14:paraId="47CFA373" w14:textId="77777777" w:rsidR="002A21AE" w:rsidRDefault="002A21AE">
            <w:pPr>
              <w:pStyle w:val="NotesText"/>
            </w:pPr>
            <w:r>
              <w:rPr>
                <w:rFonts w:cs="Arial"/>
                <w:vanish/>
                <w:szCs w:val="18"/>
              </w:rPr>
              <w:t>BR_40.18</w:t>
            </w:r>
            <w:r w:rsidR="005D400B">
              <w:rPr>
                <w:rFonts w:cs="Arial"/>
                <w:vanish/>
                <w:szCs w:val="18"/>
              </w:rPr>
              <w:t>,</w:t>
            </w:r>
            <w:r>
              <w:rPr>
                <w:rFonts w:cs="Arial"/>
                <w:vanish/>
                <w:szCs w:val="18"/>
              </w:rPr>
              <w:t xml:space="preserve"> </w:t>
            </w:r>
            <w:r>
              <w:rPr>
                <w:vanish/>
                <w:szCs w:val="18"/>
              </w:rPr>
              <w:t>BR_40.20</w:t>
            </w:r>
            <w:r w:rsidR="004F5F28" w:rsidRPr="00323744">
              <w:rPr>
                <w:rStyle w:val="BullhornChar"/>
              </w:rPr>
              <w:t></w:t>
            </w:r>
            <w:r w:rsidR="004F5F28">
              <w:rPr>
                <w:rFonts w:ascii="Webdings" w:hAnsi="Webdings"/>
              </w:rPr>
              <w:t></w:t>
            </w:r>
            <w:r w:rsidR="004F5F28" w:rsidRPr="00263B24">
              <w:t>Wh</w:t>
            </w:r>
            <w:r w:rsidR="004F5F28">
              <w:t>en</w:t>
            </w:r>
            <w:r>
              <w:t xml:space="preserve"> VBECS emits an audible alert and requires a comment, it captures details for inclusion in an Exception Report (exception type: </w:t>
            </w:r>
            <w:r w:rsidR="00427BD6">
              <w:t>inconclusive crossmatch</w:t>
            </w:r>
            <w:r>
              <w:t>).</w:t>
            </w:r>
          </w:p>
          <w:p w14:paraId="03BE54B6" w14:textId="77777777" w:rsidR="002A21AE" w:rsidRDefault="002A21AE">
            <w:pPr>
              <w:pStyle w:val="NotesText"/>
            </w:pPr>
          </w:p>
          <w:p w14:paraId="37C48D1B" w14:textId="404A5A39" w:rsidR="002A21AE" w:rsidRDefault="002A21AE">
            <w:pPr>
              <w:pStyle w:val="NotesText"/>
            </w:pPr>
            <w:r>
              <w:rPr>
                <w:rFonts w:cs="Arial"/>
                <w:vanish/>
              </w:rPr>
              <w:lastRenderedPageBreak/>
              <w:t xml:space="preserve">BR_40.05 </w:t>
            </w:r>
            <w:r>
              <w:t xml:space="preserve">A user may enter a “Compatible” XM interpretation only after entering an observed test result for the IS phase (other phases are NT) when the antibody screen on the current specimen is complete and negative </w:t>
            </w:r>
            <w:r>
              <w:rPr>
                <w:i/>
              </w:rPr>
              <w:t>and</w:t>
            </w:r>
            <w:r>
              <w:t xml:space="preserve"> when the patient has no calculated or persistent antigen negative requirement.</w:t>
            </w:r>
            <w:r w:rsidR="002F5EE5">
              <w:t xml:space="preserve"> (See </w:t>
            </w:r>
            <w:r w:rsidR="002F5EE5" w:rsidRPr="00423A7F">
              <w:rPr>
                <w:i/>
                <w:iCs/>
              </w:rPr>
              <w:t>FAQ Antibodies with No Antigen Negative Requirement</w:t>
            </w:r>
            <w:r w:rsidR="002F5EE5">
              <w:t>)</w:t>
            </w:r>
          </w:p>
          <w:p w14:paraId="0A660720" w14:textId="77777777" w:rsidR="002A21AE" w:rsidRDefault="002A21AE">
            <w:pPr>
              <w:pStyle w:val="NotesText"/>
            </w:pPr>
          </w:p>
          <w:p w14:paraId="072C0097" w14:textId="77777777" w:rsidR="002A21AE" w:rsidRDefault="002A21AE">
            <w:pPr>
              <w:pStyle w:val="NotesText"/>
            </w:pPr>
            <w:r>
              <w:rPr>
                <w:rFonts w:cs="Arial"/>
                <w:vanish/>
              </w:rPr>
              <w:t xml:space="preserve">BR_40.09 </w:t>
            </w:r>
            <w:r>
              <w:t>When observed test result patterns are invalid, VBECS warns that test results are invalid and that the user must repeat tests. VBECS stores these results as documentation and clears the grid for the user to begin again.</w:t>
            </w:r>
            <w:r>
              <w:tab/>
            </w:r>
          </w:p>
          <w:p w14:paraId="3E1F498B" w14:textId="77777777" w:rsidR="002A21AE" w:rsidRDefault="002A21AE">
            <w:pPr>
              <w:pStyle w:val="NotesText"/>
            </w:pPr>
          </w:p>
          <w:p w14:paraId="5155252C" w14:textId="77777777" w:rsidR="002A21AE" w:rsidRDefault="004F5F28">
            <w:pPr>
              <w:pStyle w:val="NotesText"/>
            </w:pPr>
            <w:r w:rsidRPr="00323744">
              <w:rPr>
                <w:rStyle w:val="BullhornChar"/>
              </w:rPr>
              <w:t></w:t>
            </w:r>
            <w:r>
              <w:rPr>
                <w:rFonts w:ascii="Webdings" w:hAnsi="Webdings"/>
              </w:rPr>
              <w:t></w:t>
            </w:r>
            <w:r w:rsidR="002A21AE">
              <w:t>VBECS emits an audible alert and requires a comment documenting medical director approval, according to site policy. VBECS captures details for inclusion in an Exception Report (exception type: Crossmatch Incompatible: Give Only with Medical Director Approval).</w:t>
            </w:r>
          </w:p>
        </w:tc>
      </w:tr>
      <w:tr w:rsidR="002A21AE" w14:paraId="01E43E4F" w14:textId="77777777">
        <w:tc>
          <w:tcPr>
            <w:tcW w:w="3240" w:type="dxa"/>
          </w:tcPr>
          <w:p w14:paraId="29CE2C10" w14:textId="77777777" w:rsidR="002A21AE" w:rsidRDefault="002A21AE">
            <w:pPr>
              <w:pStyle w:val="TableTextNumbers"/>
            </w:pPr>
            <w:r>
              <w:lastRenderedPageBreak/>
              <w:t>Enter test results in preparation for saving.</w:t>
            </w:r>
          </w:p>
        </w:tc>
        <w:tc>
          <w:tcPr>
            <w:tcW w:w="6120" w:type="dxa"/>
          </w:tcPr>
          <w:p w14:paraId="657D35F4" w14:textId="77777777" w:rsidR="002A21AE" w:rsidRDefault="002A21AE">
            <w:pPr>
              <w:pStyle w:val="TableTextBullet"/>
            </w:pPr>
            <w:r>
              <w:t>Saves data.</w:t>
            </w:r>
          </w:p>
          <w:p w14:paraId="0F8BD12C" w14:textId="77777777" w:rsidR="002A21AE" w:rsidRDefault="002A21AE">
            <w:pPr>
              <w:pStyle w:val="TableTextBullet"/>
            </w:pPr>
            <w:r>
              <w:t>Prompts the user to generate a BTRF and a Caution Tag during Patient Testing: Record Patient Test Results when the crossmatched unit is acceptable for issue.</w:t>
            </w:r>
          </w:p>
        </w:tc>
      </w:tr>
      <w:tr w:rsidR="002A21AE" w14:paraId="3E410CB9" w14:textId="77777777">
        <w:tc>
          <w:tcPr>
            <w:tcW w:w="3240" w:type="dxa"/>
            <w:tcBorders>
              <w:top w:val="single" w:sz="4" w:space="0" w:color="auto"/>
              <w:left w:val="single" w:sz="4" w:space="0" w:color="auto"/>
              <w:bottom w:val="single" w:sz="4" w:space="0" w:color="auto"/>
              <w:right w:val="single" w:sz="4" w:space="0" w:color="auto"/>
            </w:tcBorders>
          </w:tcPr>
          <w:p w14:paraId="2C370E74" w14:textId="2D7730CC" w:rsidR="002A21AE" w:rsidRDefault="002A21AE">
            <w:pPr>
              <w:pStyle w:val="TableTextNumbers"/>
            </w:pPr>
            <w:r>
              <w:t xml:space="preserve">Click </w:t>
            </w:r>
            <w:r>
              <w:rPr>
                <w:b/>
              </w:rPr>
              <w:t>OK</w:t>
            </w:r>
            <w:r>
              <w:t xml:space="preserve"> to exit.</w:t>
            </w:r>
          </w:p>
        </w:tc>
        <w:tc>
          <w:tcPr>
            <w:tcW w:w="6120" w:type="dxa"/>
            <w:tcBorders>
              <w:top w:val="single" w:sz="4" w:space="0" w:color="auto"/>
              <w:left w:val="single" w:sz="4" w:space="0" w:color="auto"/>
              <w:bottom w:val="single" w:sz="4" w:space="0" w:color="auto"/>
              <w:right w:val="single" w:sz="4" w:space="0" w:color="auto"/>
            </w:tcBorders>
          </w:tcPr>
          <w:p w14:paraId="573242FF" w14:textId="77777777" w:rsidR="002A21AE" w:rsidRDefault="002A21AE" w:rsidP="00E44B03">
            <w:pPr>
              <w:pStyle w:val="TableText"/>
            </w:pPr>
          </w:p>
        </w:tc>
      </w:tr>
    </w:tbl>
    <w:p w14:paraId="6091F81C" w14:textId="77777777" w:rsidR="002A21AE" w:rsidRDefault="002A21AE">
      <w:pPr>
        <w:pStyle w:val="Heading4"/>
      </w:pPr>
      <w:r>
        <w:t>Crossmatch Interpretations</w:t>
      </w:r>
      <w:r>
        <w:fldChar w:fldCharType="begin"/>
      </w:r>
      <w:r>
        <w:instrText xml:space="preserve"> XE </w:instrText>
      </w:r>
      <w:r w:rsidR="00FA7E65">
        <w:instrText>“</w:instrText>
      </w:r>
      <w:r>
        <w:instrText>Crossmatch Interpretations</w:instrText>
      </w:r>
      <w:r w:rsidR="00FA7E65">
        <w:instrText>”</w:instrText>
      </w:r>
      <w:r>
        <w:instrText xml:space="preserve"> </w:instrText>
      </w:r>
      <w:r>
        <w:fldChar w:fldCharType="end"/>
      </w:r>
    </w:p>
    <w:p w14:paraId="5AE84162" w14:textId="77777777" w:rsidR="002A21AE" w:rsidRDefault="002A21AE" w:rsidP="00FA7E65">
      <w:pPr>
        <w:pStyle w:val="BodyText"/>
      </w:pPr>
      <w:r>
        <w:t>In all cases, VBECS saves the crossmatch information to the database.</w:t>
      </w:r>
    </w:p>
    <w:p w14:paraId="1B212612" w14:textId="2551D70E" w:rsidR="002A21AE" w:rsidRDefault="002A21AE">
      <w:pPr>
        <w:pStyle w:val="Caption"/>
      </w:pPr>
      <w:bookmarkStart w:id="549" w:name="_Ref126504413"/>
      <w:bookmarkStart w:id="550" w:name="_Toc97523625"/>
      <w:bookmarkStart w:id="551" w:name="_Toc97527595"/>
      <w:bookmarkStart w:id="552" w:name="_Ref446945905"/>
      <w:r>
        <w:t xml:space="preserve">Table </w:t>
      </w:r>
      <w:r w:rsidR="004E20BD">
        <w:rPr>
          <w:noProof/>
        </w:rPr>
        <w:fldChar w:fldCharType="begin"/>
      </w:r>
      <w:r w:rsidR="004E20BD">
        <w:rPr>
          <w:noProof/>
        </w:rPr>
        <w:instrText xml:space="preserve"> SEQ Table \* ARABIC </w:instrText>
      </w:r>
      <w:r w:rsidR="004E20BD">
        <w:rPr>
          <w:noProof/>
        </w:rPr>
        <w:fldChar w:fldCharType="separate"/>
      </w:r>
      <w:r w:rsidR="007D1829">
        <w:rPr>
          <w:noProof/>
        </w:rPr>
        <w:t>11</w:t>
      </w:r>
      <w:r w:rsidR="004E20BD">
        <w:rPr>
          <w:noProof/>
        </w:rPr>
        <w:fldChar w:fldCharType="end"/>
      </w:r>
      <w:bookmarkEnd w:id="549"/>
      <w:r>
        <w:t xml:space="preserve">: </w:t>
      </w:r>
      <w:r>
        <w:rPr>
          <w:rFonts w:ascii="Arial" w:hAnsi="Arial" w:cs="Arial"/>
          <w:b w:val="0"/>
          <w:vanish/>
          <w:sz w:val="18"/>
        </w:rPr>
        <w:t xml:space="preserve">BR_40.14 </w:t>
      </w:r>
      <w:r>
        <w:t>Crossmatch Interpretations for Print Unit Caution Tag &amp; Transfusion Record Form</w:t>
      </w:r>
      <w:bookmarkEnd w:id="550"/>
      <w:bookmarkEnd w:id="551"/>
      <w:bookmarkEnd w:id="552"/>
      <w:r>
        <w:fldChar w:fldCharType="begin"/>
      </w:r>
      <w:r>
        <w:instrText xml:space="preserve"> XE </w:instrText>
      </w:r>
      <w:r w:rsidR="00FA7E65">
        <w:instrText>“</w:instrText>
      </w:r>
      <w:r>
        <w:instrText>Tables:Crossmatch Interpretations for Print Unit Caution Tag &amp; Transfusion Record Form</w:instrText>
      </w:r>
      <w:r w:rsidR="00FA7E65">
        <w:instrText>”</w:instrText>
      </w:r>
      <w:r>
        <w:instrText xml:space="preserve"> </w:instrText>
      </w:r>
      <w:r>
        <w:fldChar w:fldCharType="end"/>
      </w:r>
    </w:p>
    <w:tbl>
      <w:tblPr>
        <w:tblW w:w="9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6"/>
        <w:gridCol w:w="2217"/>
        <w:gridCol w:w="1738"/>
        <w:gridCol w:w="1587"/>
        <w:gridCol w:w="1483"/>
        <w:gridCol w:w="1785"/>
      </w:tblGrid>
      <w:tr w:rsidR="002A21AE" w14:paraId="28B6D310" w14:textId="77777777">
        <w:trPr>
          <w:tblHeader/>
        </w:trPr>
        <w:tc>
          <w:tcPr>
            <w:tcW w:w="0" w:type="auto"/>
            <w:shd w:val="clear" w:color="auto" w:fill="B3B3B3"/>
            <w:vAlign w:val="bottom"/>
          </w:tcPr>
          <w:p w14:paraId="61BE2F5E" w14:textId="77777777" w:rsidR="002A21AE" w:rsidRDefault="002A21AE">
            <w:pPr>
              <w:pStyle w:val="TableText"/>
              <w:rPr>
                <w:b/>
              </w:rPr>
            </w:pPr>
            <w:r>
              <w:rPr>
                <w:b/>
              </w:rPr>
              <w:t>User Entry</w:t>
            </w:r>
          </w:p>
        </w:tc>
        <w:tc>
          <w:tcPr>
            <w:tcW w:w="0" w:type="auto"/>
            <w:shd w:val="clear" w:color="auto" w:fill="B3B3B3"/>
            <w:vAlign w:val="bottom"/>
          </w:tcPr>
          <w:p w14:paraId="582C1724" w14:textId="77777777" w:rsidR="002A21AE" w:rsidRDefault="002A21AE">
            <w:pPr>
              <w:pStyle w:val="TableText"/>
              <w:rPr>
                <w:b/>
              </w:rPr>
            </w:pPr>
            <w:r>
              <w:rPr>
                <w:b/>
              </w:rPr>
              <w:t>Crossmatch Interpretation</w:t>
            </w:r>
          </w:p>
        </w:tc>
        <w:tc>
          <w:tcPr>
            <w:tcW w:w="0" w:type="auto"/>
            <w:shd w:val="clear" w:color="auto" w:fill="B3B3B3"/>
            <w:vAlign w:val="bottom"/>
          </w:tcPr>
          <w:p w14:paraId="2E80B2CB" w14:textId="77777777" w:rsidR="002A21AE" w:rsidRDefault="002A21AE">
            <w:pPr>
              <w:pStyle w:val="TableText"/>
              <w:rPr>
                <w:b/>
              </w:rPr>
            </w:pPr>
            <w:r>
              <w:rPr>
                <w:b/>
              </w:rPr>
              <w:t>VBECS Updates the Unit Status to:</w:t>
            </w:r>
          </w:p>
        </w:tc>
        <w:tc>
          <w:tcPr>
            <w:tcW w:w="0" w:type="auto"/>
            <w:shd w:val="clear" w:color="auto" w:fill="B3B3B3"/>
            <w:vAlign w:val="bottom"/>
          </w:tcPr>
          <w:p w14:paraId="1A57F31C" w14:textId="77777777" w:rsidR="002A21AE" w:rsidRDefault="002A21AE">
            <w:pPr>
              <w:pStyle w:val="TableText"/>
              <w:rPr>
                <w:b/>
              </w:rPr>
            </w:pPr>
            <w:r>
              <w:rPr>
                <w:b/>
              </w:rPr>
              <w:t>Is Information Available to CPRS?</w:t>
            </w:r>
          </w:p>
        </w:tc>
        <w:tc>
          <w:tcPr>
            <w:tcW w:w="0" w:type="auto"/>
            <w:shd w:val="clear" w:color="auto" w:fill="B3B3B3"/>
            <w:vAlign w:val="bottom"/>
          </w:tcPr>
          <w:p w14:paraId="3B163916" w14:textId="77777777" w:rsidR="002A21AE" w:rsidRDefault="002A21AE">
            <w:pPr>
              <w:pStyle w:val="TableText"/>
              <w:rPr>
                <w:b/>
              </w:rPr>
            </w:pPr>
            <w:r>
              <w:rPr>
                <w:b/>
              </w:rPr>
              <w:t>May User Print the BTRF and Caution Tag?</w:t>
            </w:r>
          </w:p>
        </w:tc>
        <w:tc>
          <w:tcPr>
            <w:tcW w:w="0" w:type="auto"/>
            <w:tcBorders>
              <w:bottom w:val="single" w:sz="4" w:space="0" w:color="auto"/>
            </w:tcBorders>
            <w:shd w:val="clear" w:color="auto" w:fill="B3B3B3"/>
            <w:vAlign w:val="bottom"/>
          </w:tcPr>
          <w:p w14:paraId="5E98D882" w14:textId="77777777" w:rsidR="002A21AE" w:rsidRDefault="002A21AE">
            <w:pPr>
              <w:pStyle w:val="TableText"/>
              <w:rPr>
                <w:b/>
              </w:rPr>
            </w:pPr>
            <w:r>
              <w:rPr>
                <w:b/>
              </w:rPr>
              <w:t>Other</w:t>
            </w:r>
          </w:p>
        </w:tc>
      </w:tr>
      <w:tr w:rsidR="002A21AE" w14:paraId="509D48A6" w14:textId="77777777">
        <w:tc>
          <w:tcPr>
            <w:tcW w:w="0" w:type="auto"/>
            <w:vAlign w:val="bottom"/>
          </w:tcPr>
          <w:p w14:paraId="08CBCC81" w14:textId="77777777" w:rsidR="002A21AE" w:rsidRDefault="002A21AE">
            <w:pPr>
              <w:pStyle w:val="TableText"/>
            </w:pPr>
            <w:r>
              <w:t>C</w:t>
            </w:r>
          </w:p>
        </w:tc>
        <w:tc>
          <w:tcPr>
            <w:tcW w:w="0" w:type="auto"/>
            <w:vAlign w:val="bottom"/>
          </w:tcPr>
          <w:p w14:paraId="0D71337A" w14:textId="77777777" w:rsidR="002A21AE" w:rsidRDefault="002A21AE">
            <w:pPr>
              <w:pStyle w:val="TableText"/>
            </w:pPr>
            <w:r>
              <w:t>Crossmatch Compatible</w:t>
            </w:r>
          </w:p>
        </w:tc>
        <w:tc>
          <w:tcPr>
            <w:tcW w:w="0" w:type="auto"/>
            <w:vAlign w:val="bottom"/>
          </w:tcPr>
          <w:p w14:paraId="4AD09527" w14:textId="77777777" w:rsidR="002A21AE" w:rsidRDefault="002A21AE">
            <w:pPr>
              <w:pStyle w:val="TableText"/>
            </w:pPr>
            <w:r>
              <w:t>Crossmatched</w:t>
            </w:r>
          </w:p>
        </w:tc>
        <w:tc>
          <w:tcPr>
            <w:tcW w:w="0" w:type="auto"/>
            <w:vAlign w:val="bottom"/>
          </w:tcPr>
          <w:p w14:paraId="3EF6DE19" w14:textId="77777777" w:rsidR="002A21AE" w:rsidRDefault="002A21AE">
            <w:pPr>
              <w:pStyle w:val="TableText"/>
            </w:pPr>
            <w:r>
              <w:t>Yes (unit is available)</w:t>
            </w:r>
          </w:p>
        </w:tc>
        <w:tc>
          <w:tcPr>
            <w:tcW w:w="0" w:type="auto"/>
            <w:vAlign w:val="bottom"/>
          </w:tcPr>
          <w:p w14:paraId="1FB33243" w14:textId="77777777" w:rsidR="002A21AE" w:rsidRDefault="002A21AE">
            <w:pPr>
              <w:pStyle w:val="TableText"/>
            </w:pPr>
            <w:r>
              <w:t>Yes</w:t>
            </w:r>
          </w:p>
        </w:tc>
        <w:tc>
          <w:tcPr>
            <w:tcW w:w="0" w:type="auto"/>
            <w:shd w:val="clear" w:color="auto" w:fill="B3B3B3"/>
            <w:vAlign w:val="bottom"/>
          </w:tcPr>
          <w:p w14:paraId="389BEB43" w14:textId="77777777" w:rsidR="002A21AE" w:rsidRDefault="002A21AE">
            <w:pPr>
              <w:pStyle w:val="TableText"/>
            </w:pPr>
          </w:p>
        </w:tc>
      </w:tr>
      <w:tr w:rsidR="002A21AE" w14:paraId="5B0A31B7" w14:textId="77777777">
        <w:tc>
          <w:tcPr>
            <w:tcW w:w="0" w:type="auto"/>
            <w:vAlign w:val="bottom"/>
          </w:tcPr>
          <w:p w14:paraId="3CF8E3F1" w14:textId="77777777" w:rsidR="002A21AE" w:rsidRDefault="002A21AE">
            <w:pPr>
              <w:pStyle w:val="TableText"/>
            </w:pPr>
            <w:r>
              <w:t>D</w:t>
            </w:r>
          </w:p>
        </w:tc>
        <w:tc>
          <w:tcPr>
            <w:tcW w:w="0" w:type="auto"/>
            <w:vAlign w:val="bottom"/>
          </w:tcPr>
          <w:p w14:paraId="334D7403" w14:textId="77777777" w:rsidR="002A21AE" w:rsidRDefault="002A21AE">
            <w:pPr>
              <w:pStyle w:val="TableText"/>
            </w:pPr>
            <w:r>
              <w:t>Crossmatch Compatible: Don’t Transfuse</w:t>
            </w:r>
          </w:p>
        </w:tc>
        <w:tc>
          <w:tcPr>
            <w:tcW w:w="0" w:type="auto"/>
            <w:vAlign w:val="bottom"/>
          </w:tcPr>
          <w:p w14:paraId="3D685A4D" w14:textId="77777777" w:rsidR="002A21AE" w:rsidRDefault="002A21AE">
            <w:pPr>
              <w:pStyle w:val="TableText"/>
            </w:pPr>
            <w:r>
              <w:t>Available</w:t>
            </w:r>
          </w:p>
        </w:tc>
        <w:tc>
          <w:tcPr>
            <w:tcW w:w="0" w:type="auto"/>
            <w:vAlign w:val="bottom"/>
          </w:tcPr>
          <w:p w14:paraId="675D1330" w14:textId="77777777" w:rsidR="002A21AE" w:rsidRDefault="002A21AE">
            <w:pPr>
              <w:pStyle w:val="TableText"/>
            </w:pPr>
            <w:r>
              <w:t>No</w:t>
            </w:r>
          </w:p>
        </w:tc>
        <w:tc>
          <w:tcPr>
            <w:tcW w:w="0" w:type="auto"/>
            <w:vAlign w:val="bottom"/>
          </w:tcPr>
          <w:p w14:paraId="78B602C2" w14:textId="77777777" w:rsidR="002A21AE" w:rsidRDefault="002A21AE">
            <w:pPr>
              <w:pStyle w:val="TableText"/>
            </w:pPr>
            <w:r>
              <w:t>No</w:t>
            </w:r>
          </w:p>
        </w:tc>
        <w:tc>
          <w:tcPr>
            <w:tcW w:w="0" w:type="auto"/>
            <w:shd w:val="clear" w:color="auto" w:fill="B3B3B3"/>
            <w:vAlign w:val="bottom"/>
          </w:tcPr>
          <w:p w14:paraId="7994C303" w14:textId="77777777" w:rsidR="002A21AE" w:rsidRDefault="002A21AE">
            <w:pPr>
              <w:pStyle w:val="TableText"/>
            </w:pPr>
          </w:p>
        </w:tc>
      </w:tr>
      <w:tr w:rsidR="002A21AE" w14:paraId="76349BEF" w14:textId="77777777">
        <w:tc>
          <w:tcPr>
            <w:tcW w:w="0" w:type="auto"/>
            <w:vAlign w:val="bottom"/>
          </w:tcPr>
          <w:p w14:paraId="31221B6A" w14:textId="77777777" w:rsidR="002A21AE" w:rsidRDefault="002A21AE">
            <w:pPr>
              <w:pStyle w:val="TableText"/>
            </w:pPr>
            <w:r>
              <w:t>G</w:t>
            </w:r>
          </w:p>
        </w:tc>
        <w:tc>
          <w:tcPr>
            <w:tcW w:w="0" w:type="auto"/>
            <w:vAlign w:val="bottom"/>
          </w:tcPr>
          <w:p w14:paraId="0482747F" w14:textId="77777777" w:rsidR="002A21AE" w:rsidRDefault="002A21AE">
            <w:pPr>
              <w:pStyle w:val="TableText"/>
            </w:pPr>
            <w:r>
              <w:t>Crossmatch Incompatible: Give Only with Medical Director Approval</w:t>
            </w:r>
          </w:p>
        </w:tc>
        <w:tc>
          <w:tcPr>
            <w:tcW w:w="0" w:type="auto"/>
            <w:vAlign w:val="bottom"/>
          </w:tcPr>
          <w:p w14:paraId="1BBBEE73" w14:textId="77777777" w:rsidR="002A21AE" w:rsidRDefault="008723D3">
            <w:pPr>
              <w:pStyle w:val="TableText"/>
            </w:pPr>
            <w:r>
              <w:t>Crossmatched</w:t>
            </w:r>
          </w:p>
        </w:tc>
        <w:tc>
          <w:tcPr>
            <w:tcW w:w="0" w:type="auto"/>
            <w:vAlign w:val="bottom"/>
          </w:tcPr>
          <w:p w14:paraId="13B7821A" w14:textId="77777777" w:rsidR="002A21AE" w:rsidRDefault="002A21AE">
            <w:pPr>
              <w:pStyle w:val="TableText"/>
            </w:pPr>
            <w:r>
              <w:t>Yes (unit is available)</w:t>
            </w:r>
          </w:p>
        </w:tc>
        <w:tc>
          <w:tcPr>
            <w:tcW w:w="0" w:type="auto"/>
            <w:vAlign w:val="bottom"/>
          </w:tcPr>
          <w:p w14:paraId="0206EE80" w14:textId="77777777" w:rsidR="002A21AE" w:rsidRDefault="002A21AE">
            <w:pPr>
              <w:pStyle w:val="TableText"/>
            </w:pPr>
            <w:r>
              <w:t xml:space="preserve">Yes </w:t>
            </w:r>
          </w:p>
        </w:tc>
        <w:tc>
          <w:tcPr>
            <w:tcW w:w="0" w:type="auto"/>
            <w:tcBorders>
              <w:bottom w:val="single" w:sz="4" w:space="0" w:color="auto"/>
            </w:tcBorders>
            <w:vAlign w:val="bottom"/>
          </w:tcPr>
          <w:p w14:paraId="5EF849D0" w14:textId="77777777" w:rsidR="002A21AE" w:rsidRDefault="00EC7489" w:rsidP="00323744">
            <w:pPr>
              <w:pStyle w:val="Bullhorn"/>
            </w:pPr>
            <w:r>
              <w:t></w:t>
            </w:r>
          </w:p>
        </w:tc>
      </w:tr>
      <w:tr w:rsidR="002A21AE" w14:paraId="7412132F" w14:textId="77777777" w:rsidTr="00E90E3C">
        <w:tc>
          <w:tcPr>
            <w:tcW w:w="0" w:type="auto"/>
            <w:vAlign w:val="bottom"/>
          </w:tcPr>
          <w:p w14:paraId="5B4F1BD4" w14:textId="77777777" w:rsidR="002A21AE" w:rsidRDefault="00A138D2" w:rsidP="00A138D2">
            <w:pPr>
              <w:pStyle w:val="TableText"/>
            </w:pPr>
            <w:r>
              <w:t xml:space="preserve"> </w:t>
            </w:r>
            <w:r w:rsidR="002A21AE">
              <w:t>I</w:t>
            </w:r>
          </w:p>
        </w:tc>
        <w:tc>
          <w:tcPr>
            <w:tcW w:w="0" w:type="auto"/>
            <w:vAlign w:val="bottom"/>
          </w:tcPr>
          <w:p w14:paraId="04EB8589" w14:textId="77777777" w:rsidR="002A21AE" w:rsidRDefault="002A21AE">
            <w:pPr>
              <w:pStyle w:val="TableText"/>
            </w:pPr>
            <w:r>
              <w:t>Crossmatch Incompatible</w:t>
            </w:r>
          </w:p>
        </w:tc>
        <w:tc>
          <w:tcPr>
            <w:tcW w:w="0" w:type="auto"/>
            <w:vAlign w:val="bottom"/>
          </w:tcPr>
          <w:p w14:paraId="5A6E935D" w14:textId="77777777" w:rsidR="002A21AE" w:rsidRDefault="002A21AE">
            <w:pPr>
              <w:pStyle w:val="TableText"/>
            </w:pPr>
            <w:r>
              <w:t>Available</w:t>
            </w:r>
          </w:p>
        </w:tc>
        <w:tc>
          <w:tcPr>
            <w:tcW w:w="0" w:type="auto"/>
            <w:vAlign w:val="bottom"/>
          </w:tcPr>
          <w:p w14:paraId="5F183245" w14:textId="77777777" w:rsidR="002A21AE" w:rsidRDefault="002A21AE">
            <w:pPr>
              <w:pStyle w:val="TableText"/>
            </w:pPr>
            <w:r>
              <w:t>No</w:t>
            </w:r>
          </w:p>
        </w:tc>
        <w:tc>
          <w:tcPr>
            <w:tcW w:w="0" w:type="auto"/>
            <w:vAlign w:val="bottom"/>
          </w:tcPr>
          <w:p w14:paraId="3E4D78F4" w14:textId="77777777" w:rsidR="002A21AE" w:rsidRDefault="002A21AE">
            <w:pPr>
              <w:pStyle w:val="TableText"/>
            </w:pPr>
            <w:r>
              <w:t>No</w:t>
            </w:r>
          </w:p>
        </w:tc>
        <w:tc>
          <w:tcPr>
            <w:tcW w:w="0" w:type="auto"/>
            <w:tcBorders>
              <w:bottom w:val="single" w:sz="4" w:space="0" w:color="auto"/>
            </w:tcBorders>
            <w:shd w:val="clear" w:color="auto" w:fill="B3B3B3"/>
            <w:vAlign w:val="bottom"/>
          </w:tcPr>
          <w:p w14:paraId="3D25F418" w14:textId="77777777" w:rsidR="002A21AE" w:rsidRDefault="002A21AE">
            <w:pPr>
              <w:pStyle w:val="TableText"/>
            </w:pPr>
          </w:p>
        </w:tc>
      </w:tr>
      <w:tr w:rsidR="002A21AE" w14:paraId="402ABCD1" w14:textId="77777777" w:rsidTr="00CC01AC">
        <w:tc>
          <w:tcPr>
            <w:tcW w:w="0" w:type="auto"/>
            <w:vAlign w:val="bottom"/>
          </w:tcPr>
          <w:p w14:paraId="7476E370" w14:textId="77777777" w:rsidR="002A21AE" w:rsidRDefault="00E4540D">
            <w:pPr>
              <w:pStyle w:val="TableText"/>
            </w:pPr>
            <w:r>
              <w:t>Z</w:t>
            </w:r>
          </w:p>
        </w:tc>
        <w:tc>
          <w:tcPr>
            <w:tcW w:w="0" w:type="auto"/>
            <w:vAlign w:val="bottom"/>
          </w:tcPr>
          <w:p w14:paraId="10003926" w14:textId="77777777" w:rsidR="002A21AE" w:rsidRDefault="002A21AE">
            <w:pPr>
              <w:pStyle w:val="TableText"/>
            </w:pPr>
            <w:r>
              <w:t>Inconclusive</w:t>
            </w:r>
          </w:p>
        </w:tc>
        <w:tc>
          <w:tcPr>
            <w:tcW w:w="0" w:type="auto"/>
            <w:vAlign w:val="bottom"/>
          </w:tcPr>
          <w:p w14:paraId="739D2B36" w14:textId="77777777" w:rsidR="002A21AE" w:rsidRDefault="002A21AE">
            <w:pPr>
              <w:pStyle w:val="TableText"/>
            </w:pPr>
            <w:r>
              <w:t>Available</w:t>
            </w:r>
          </w:p>
        </w:tc>
        <w:tc>
          <w:tcPr>
            <w:tcW w:w="0" w:type="auto"/>
            <w:vAlign w:val="bottom"/>
          </w:tcPr>
          <w:p w14:paraId="6F8FB099" w14:textId="77777777" w:rsidR="002A21AE" w:rsidRDefault="002A21AE">
            <w:pPr>
              <w:pStyle w:val="TableText"/>
            </w:pPr>
            <w:r>
              <w:t>No</w:t>
            </w:r>
          </w:p>
        </w:tc>
        <w:tc>
          <w:tcPr>
            <w:tcW w:w="0" w:type="auto"/>
            <w:vAlign w:val="bottom"/>
          </w:tcPr>
          <w:p w14:paraId="7676D2B1" w14:textId="77777777" w:rsidR="002A21AE" w:rsidRDefault="002A21AE">
            <w:pPr>
              <w:pStyle w:val="TableText"/>
            </w:pPr>
            <w:r>
              <w:t>No</w:t>
            </w:r>
          </w:p>
        </w:tc>
        <w:tc>
          <w:tcPr>
            <w:tcW w:w="0" w:type="auto"/>
            <w:shd w:val="clear" w:color="auto" w:fill="FFFFFF"/>
            <w:vAlign w:val="bottom"/>
          </w:tcPr>
          <w:p w14:paraId="477DCCE8" w14:textId="77777777" w:rsidR="002A21AE" w:rsidRDefault="00E90E3C">
            <w:pPr>
              <w:pStyle w:val="TableText"/>
            </w:pPr>
            <w:r w:rsidRPr="00E90E3C">
              <w:t>Applies to the manual serologic crossmatch test only</w:t>
            </w:r>
          </w:p>
        </w:tc>
      </w:tr>
    </w:tbl>
    <w:p w14:paraId="3CD17647" w14:textId="77777777" w:rsidR="002A21AE" w:rsidRDefault="002A21AE">
      <w:pPr>
        <w:pStyle w:val="Heading3"/>
      </w:pPr>
      <w:r>
        <w:br w:type="page"/>
      </w:r>
      <w:bookmarkStart w:id="553" w:name="_Toc203765927"/>
      <w:r>
        <w:lastRenderedPageBreak/>
        <w:t>Patient Testing: Record a Patient Antigen Typing</w:t>
      </w:r>
      <w:bookmarkEnd w:id="553"/>
      <w:r>
        <w:fldChar w:fldCharType="begin"/>
      </w:r>
      <w:r>
        <w:instrText xml:space="preserve"> XE </w:instrText>
      </w:r>
      <w:r w:rsidR="00FA7E65">
        <w:instrText>“</w:instrText>
      </w:r>
      <w:r>
        <w:instrText>Patient Testing\: Record a Patient Antigen Typing</w:instrText>
      </w:r>
      <w:r w:rsidR="00FA7E65">
        <w:instrText>”</w:instrText>
      </w:r>
      <w:r>
        <w:instrText xml:space="preserve"> </w:instrText>
      </w:r>
      <w:r>
        <w:fldChar w:fldCharType="end"/>
      </w:r>
      <w:r>
        <w:t xml:space="preserve"> </w:t>
      </w:r>
      <w:r>
        <w:rPr>
          <w:rFonts w:ascii="Times New Roman" w:hAnsi="Times New Roman" w:cs="Times New Roman"/>
          <w:b w:val="0"/>
          <w:vanish/>
          <w:sz w:val="22"/>
        </w:rPr>
        <w:t>UC_98</w:t>
      </w:r>
    </w:p>
    <w:p w14:paraId="4AB35D81" w14:textId="687DBFC0" w:rsidR="002A21AE" w:rsidRDefault="002A21AE" w:rsidP="00FA7E65">
      <w:pPr>
        <w:pStyle w:val="BodyText"/>
      </w:pPr>
      <w:bookmarkStart w:id="554" w:name="_Toc79560671"/>
      <w:bookmarkStart w:id="555" w:name="_Toc75225904"/>
      <w:r>
        <w:t>The user records observed results when performing a patient antigen typing test other than the ABO/Rh test.</w:t>
      </w:r>
    </w:p>
    <w:p w14:paraId="5E17044A" w14:textId="77777777" w:rsidR="002A21AE" w:rsidRDefault="002A21AE">
      <w:pPr>
        <w:pStyle w:val="Heading4"/>
      </w:pPr>
      <w:r>
        <w:t>Assumptions</w:t>
      </w:r>
    </w:p>
    <w:p w14:paraId="340C7056" w14:textId="77777777" w:rsidR="002A21AE" w:rsidRDefault="002A21AE">
      <w:pPr>
        <w:pStyle w:val="ListBullet"/>
      </w:pPr>
      <w:r>
        <w:t>Patient antigen typing is ord</w:t>
      </w:r>
      <w:r w:rsidR="00047C2D">
        <w:t>ered through Order Reflex Tests</w:t>
      </w:r>
      <w:r>
        <w:t>.</w:t>
      </w:r>
    </w:p>
    <w:p w14:paraId="5C3E6AD5" w14:textId="77777777" w:rsidR="002A21AE" w:rsidRDefault="002A21AE">
      <w:pPr>
        <w:pStyle w:val="ListBullet"/>
      </w:pPr>
      <w:r>
        <w:t>The user accesses patient antigen typing grids through Patient Testing: Record Patient Test Results.</w:t>
      </w:r>
    </w:p>
    <w:p w14:paraId="6195542E" w14:textId="77777777" w:rsidR="002A21AE" w:rsidRDefault="002A21AE">
      <w:pPr>
        <w:pStyle w:val="ListBullet"/>
      </w:pPr>
      <w:r>
        <w:t xml:space="preserve">Reagent inventory was entered in </w:t>
      </w:r>
      <w:r w:rsidR="005F6016">
        <w:t>Maintain Minimum Levels</w:t>
      </w:r>
      <w:r>
        <w:t>.</w:t>
      </w:r>
    </w:p>
    <w:p w14:paraId="38CB4AA5" w14:textId="77777777" w:rsidR="002A21AE" w:rsidRDefault="002A21AE">
      <w:pPr>
        <w:pStyle w:val="Heading4"/>
      </w:pPr>
      <w:r>
        <w:t>Outcome</w:t>
      </w:r>
      <w:r>
        <w:rPr>
          <w:rFonts w:ascii="Times New Roman" w:hAnsi="Times New Roman"/>
          <w:i/>
          <w:color w:val="0000FF"/>
          <w:sz w:val="24"/>
        </w:rPr>
        <w:t xml:space="preserve"> </w:t>
      </w:r>
    </w:p>
    <w:p w14:paraId="69FB5EED" w14:textId="77777777" w:rsidR="002A21AE" w:rsidRDefault="002A21AE">
      <w:pPr>
        <w:pStyle w:val="ListBullet"/>
      </w:pPr>
      <w:r>
        <w:rPr>
          <w:rFonts w:ascii="Arial" w:hAnsi="Arial" w:cs="Arial"/>
          <w:vanish/>
          <w:spacing w:val="0"/>
          <w:sz w:val="18"/>
        </w:rPr>
        <w:t xml:space="preserve">BR_41.06 </w:t>
      </w:r>
      <w:r>
        <w:t xml:space="preserve">The testing record includes the patient’s antigen typing and the control cell information. </w:t>
      </w:r>
    </w:p>
    <w:p w14:paraId="6B7592C5" w14:textId="77777777" w:rsidR="002A21AE" w:rsidRDefault="002A21AE">
      <w:pPr>
        <w:pStyle w:val="Heading4"/>
      </w:pPr>
      <w:r>
        <w:t>Limitations and Restrictions</w:t>
      </w:r>
      <w:r>
        <w:rPr>
          <w:b w:val="0"/>
        </w:rPr>
        <w:t xml:space="preserve"> </w:t>
      </w:r>
    </w:p>
    <w:p w14:paraId="188C8641" w14:textId="77777777" w:rsidR="002A21AE" w:rsidRDefault="002A21AE">
      <w:pPr>
        <w:pStyle w:val="ListBullet"/>
      </w:pPr>
      <w:r>
        <w:t>Antigen typing applies only to red blood cell antigens. (This option does not address platelet, HLA, or IgA antigens.)</w:t>
      </w:r>
    </w:p>
    <w:p w14:paraId="62073AA9" w14:textId="77777777" w:rsidR="00FC3A2C" w:rsidRDefault="002A21AE">
      <w:pPr>
        <w:pStyle w:val="ListBullet"/>
      </w:pPr>
      <w:r>
        <w:t>VBECS does not check</w:t>
      </w:r>
      <w:r w:rsidR="00FC3A2C">
        <w:t>:</w:t>
      </w:r>
    </w:p>
    <w:p w14:paraId="4A62576F" w14:textId="77777777" w:rsidR="00B84DA4" w:rsidRDefault="00B84DA4" w:rsidP="003362FE">
      <w:pPr>
        <w:pStyle w:val="ListBullet2"/>
        <w:tabs>
          <w:tab w:val="clear" w:pos="648"/>
        </w:tabs>
        <w:ind w:left="990" w:hanging="342"/>
      </w:pPr>
      <w:r>
        <w:t>The patient antigen typing with the specificity of a</w:t>
      </w:r>
      <w:r w:rsidR="005C1078">
        <w:t>ny patient’s antibodies entered.</w:t>
      </w:r>
    </w:p>
    <w:p w14:paraId="39C128B2" w14:textId="77777777" w:rsidR="002A21AE" w:rsidRDefault="00FC3A2C" w:rsidP="003362FE">
      <w:pPr>
        <w:pStyle w:val="ListBullet2"/>
        <w:tabs>
          <w:tab w:val="clear" w:pos="648"/>
        </w:tabs>
        <w:ind w:left="990" w:hanging="342"/>
      </w:pPr>
      <w:r>
        <w:t>W</w:t>
      </w:r>
      <w:r w:rsidR="002A21AE">
        <w:t>hether the lot and vial numbers selected for the positive control cells differ from those of the negative control cells</w:t>
      </w:r>
      <w:r w:rsidR="005C1078">
        <w:t>.</w:t>
      </w:r>
    </w:p>
    <w:p w14:paraId="424319AB" w14:textId="77777777" w:rsidR="002A21AE" w:rsidRDefault="002A21AE">
      <w:pPr>
        <w:pStyle w:val="ListBullet"/>
      </w:pPr>
      <w:r>
        <w:t>The patient antigen typing result is not available to CPRS.</w:t>
      </w:r>
    </w:p>
    <w:p w14:paraId="233C8945" w14:textId="77777777" w:rsidR="002A21AE" w:rsidRDefault="002A21AE">
      <w:pPr>
        <w:pStyle w:val="Heading4"/>
      </w:pPr>
      <w:r>
        <w:t>Additional Information</w:t>
      </w:r>
      <w:r>
        <w:rPr>
          <w:rFonts w:ascii="Times New Roman" w:hAnsi="Times New Roman"/>
          <w:i/>
          <w:color w:val="0000FF"/>
          <w:sz w:val="24"/>
        </w:rPr>
        <w:t xml:space="preserve"> </w:t>
      </w:r>
    </w:p>
    <w:p w14:paraId="646ACEDE" w14:textId="77777777" w:rsidR="00956196" w:rsidRDefault="00956196" w:rsidP="00956196">
      <w:pPr>
        <w:pStyle w:val="ListBullet"/>
      </w:pPr>
      <w:r>
        <w:t xml:space="preserve">Clinical significance and availability of typing reagents are not implied when antigens are included in the list of </w:t>
      </w:r>
      <w:r w:rsidR="00E32E71">
        <w:t>antigen type tests</w:t>
      </w:r>
      <w:r>
        <w:t>.</w:t>
      </w:r>
    </w:p>
    <w:p w14:paraId="708EFA54" w14:textId="77777777" w:rsidR="00956196" w:rsidRDefault="00FC0074" w:rsidP="00956196">
      <w:pPr>
        <w:pStyle w:val="ListBullet"/>
      </w:pPr>
      <w:r>
        <w:t>U</w:t>
      </w:r>
      <w:r w:rsidR="00956196">
        <w:t>nit antigen tests may be added th</w:t>
      </w:r>
      <w:r>
        <w:t>rough</w:t>
      </w:r>
      <w:r w:rsidR="00956196">
        <w:t xml:space="preserve"> </w:t>
      </w:r>
      <w:r w:rsidR="00CA67F2">
        <w:t>Incoming Shipment</w:t>
      </w:r>
      <w:r w:rsidR="00155471">
        <w:t xml:space="preserve"> </w:t>
      </w:r>
      <w:r>
        <w:t>and</w:t>
      </w:r>
      <w:r w:rsidR="00155471">
        <w:t xml:space="preserve"> </w:t>
      </w:r>
      <w:r w:rsidR="00CA67F2">
        <w:t>Edit Unit Information</w:t>
      </w:r>
      <w:r w:rsidR="00956196">
        <w:t>.</w:t>
      </w:r>
    </w:p>
    <w:p w14:paraId="382666FF" w14:textId="77777777" w:rsidR="002A21AE" w:rsidRDefault="002A21AE">
      <w:pPr>
        <w:pStyle w:val="ListBullet"/>
      </w:pPr>
      <w:r>
        <w:t>The patient antigen typing test is associated with a CPRS patient order.</w:t>
      </w:r>
    </w:p>
    <w:p w14:paraId="344A0F7E" w14:textId="77777777" w:rsidR="002A21AE" w:rsidRDefault="002A21AE">
      <w:pPr>
        <w:pStyle w:val="ListBullet"/>
      </w:pPr>
      <w:r>
        <w:t>The patient’s antigen typing information does not appear as part of the Transfusion Requirements or Special Instructions in the Patient Information Toolbar.</w:t>
      </w:r>
    </w:p>
    <w:p w14:paraId="184119DC" w14:textId="77777777" w:rsidR="002A21AE" w:rsidRDefault="002A21AE">
      <w:pPr>
        <w:pStyle w:val="ListBullet"/>
      </w:pPr>
      <w:r>
        <w:rPr>
          <w:rFonts w:ascii="Arial" w:hAnsi="Arial" w:cs="Arial"/>
          <w:vanish/>
          <w:spacing w:val="0"/>
          <w:sz w:val="18"/>
        </w:rPr>
        <w:t xml:space="preserve">BR_28.23 </w:t>
      </w:r>
      <w:r>
        <w:t>When VBECS displays lot numbers for selection, it checks the inventory for the reagent name and lot numbers in use in a rack. VBECS does not offer reagents with an “unsatisfactory” value in the Inspection field or with a quantity of zero as a selectable reagent. The user may not enter a lot number that VBECS disallowed on the selection list. The user must choose a different reagent.</w:t>
      </w:r>
    </w:p>
    <w:p w14:paraId="1489D289" w14:textId="77777777" w:rsidR="002A21AE" w:rsidRDefault="004A7FC2">
      <w:pPr>
        <w:pStyle w:val="ListBullet"/>
      </w:pPr>
      <w:r>
        <w:rPr>
          <w:rFonts w:ascii="Arial" w:hAnsi="Arial" w:cs="Arial"/>
          <w:vanish/>
          <w:spacing w:val="0"/>
          <w:sz w:val="18"/>
        </w:rPr>
        <w:t>BR_41.</w:t>
      </w:r>
      <w:r w:rsidR="002A21AE">
        <w:rPr>
          <w:rFonts w:ascii="Arial" w:hAnsi="Arial" w:cs="Arial"/>
          <w:vanish/>
          <w:spacing w:val="0"/>
          <w:sz w:val="18"/>
        </w:rPr>
        <w:t>3</w:t>
      </w:r>
      <w:r>
        <w:rPr>
          <w:rFonts w:ascii="Arial" w:hAnsi="Arial" w:cs="Arial"/>
          <w:vanish/>
          <w:spacing w:val="0"/>
          <w:sz w:val="18"/>
        </w:rPr>
        <w:t>0</w:t>
      </w:r>
      <w:r w:rsidR="002A21AE">
        <w:rPr>
          <w:rFonts w:ascii="Arial" w:hAnsi="Arial" w:cs="Arial"/>
          <w:vanish/>
          <w:spacing w:val="0"/>
          <w:sz w:val="18"/>
        </w:rPr>
        <w:t xml:space="preserve"> </w:t>
      </w:r>
      <w:r w:rsidR="002A21AE">
        <w:t>When a user selects a reagent rack that was never QC’d, VBECS warns the user, clears the selection, and allows the user to select a different rack.</w:t>
      </w:r>
    </w:p>
    <w:p w14:paraId="065E7B6F" w14:textId="77777777" w:rsidR="004A7FC2" w:rsidRDefault="004A7FC2">
      <w:pPr>
        <w:pStyle w:val="ListBullet"/>
      </w:pPr>
      <w:r>
        <w:rPr>
          <w:rFonts w:ascii="Arial" w:hAnsi="Arial" w:cs="Arial"/>
          <w:vanish/>
          <w:spacing w:val="0"/>
          <w:sz w:val="18"/>
        </w:rPr>
        <w:t xml:space="preserve">BR_41.03 </w:t>
      </w:r>
      <w:r>
        <w:t xml:space="preserve"> VBECS automatically adds the positive and negative control tests to the selected reagent type worklist if they have not been tested on that calendar date for the selected antisera lot number.</w:t>
      </w:r>
      <w:r w:rsidR="009439F8">
        <w:rPr>
          <w:vanish/>
        </w:rPr>
        <w:t xml:space="preserve"> DR 3717</w:t>
      </w:r>
    </w:p>
    <w:p w14:paraId="71B2047F" w14:textId="77777777" w:rsidR="002A21AE" w:rsidRDefault="002A21AE">
      <w:pPr>
        <w:pStyle w:val="ListBullet"/>
      </w:pPr>
      <w:r>
        <w:rPr>
          <w:rFonts w:ascii="Arial" w:hAnsi="Arial" w:cs="Arial"/>
          <w:vanish/>
          <w:spacing w:val="0"/>
          <w:sz w:val="18"/>
        </w:rPr>
        <w:t xml:space="preserve">BR_41.06 </w:t>
      </w:r>
      <w:r>
        <w:t>VBECS stores the lot number, vial identifier, manufacturer, and expiration date of the positive and negative control cells with the testing record.</w:t>
      </w:r>
    </w:p>
    <w:p w14:paraId="55637EA9" w14:textId="77777777" w:rsidR="002A21AE" w:rsidRDefault="002A21AE">
      <w:pPr>
        <w:pStyle w:val="ListBullet"/>
      </w:pPr>
      <w:r>
        <w:t>The user may not enter “H” (hemolysis) in antigen typing testing.</w:t>
      </w:r>
    </w:p>
    <w:p w14:paraId="64FF036B" w14:textId="77777777" w:rsidR="00786249" w:rsidRPr="00786249" w:rsidRDefault="00786249" w:rsidP="00786249">
      <w:pPr>
        <w:pStyle w:val="ListBullet"/>
        <w:rPr>
          <w:color w:val="1F497D"/>
        </w:rPr>
      </w:pPr>
      <w:r>
        <w:t>Weak D testing results do not interact or change the Rh typing recorded for the patient by an ABO/Rh test.</w:t>
      </w:r>
      <w:r w:rsidRPr="00812458">
        <w:rPr>
          <w:vanish/>
        </w:rPr>
        <w:t xml:space="preserve"> Task 409152</w:t>
      </w:r>
    </w:p>
    <w:p w14:paraId="2632FA89" w14:textId="77777777" w:rsidR="002A21AE" w:rsidRDefault="002A21AE">
      <w:pPr>
        <w:pStyle w:val="Heading4"/>
        <w:rPr>
          <w:b w:val="0"/>
        </w:rPr>
      </w:pPr>
      <w:r>
        <w:t>User Roles with Access to This Option</w:t>
      </w:r>
      <w:r>
        <w:rPr>
          <w:b w:val="0"/>
        </w:rPr>
        <w:t xml:space="preserve"> </w:t>
      </w:r>
    </w:p>
    <w:p w14:paraId="0CC22B5F" w14:textId="77777777" w:rsidR="002A21AE" w:rsidRDefault="007934CF">
      <w:pPr>
        <w:pStyle w:val="Roles"/>
        <w:rPr>
          <w:snapToGrid w:val="0"/>
        </w:rPr>
      </w:pPr>
      <w:r>
        <w:t>All users</w:t>
      </w:r>
    </w:p>
    <w:p w14:paraId="10068793" w14:textId="77777777" w:rsidR="002A21AE" w:rsidRPr="000C2B00" w:rsidRDefault="002A21AE">
      <w:pPr>
        <w:pStyle w:val="Heading4"/>
        <w:rPr>
          <w:rStyle w:val="Heading3Char"/>
          <w:b/>
        </w:rPr>
      </w:pPr>
      <w:r w:rsidRPr="000C2B00">
        <w:rPr>
          <w:rStyle w:val="Heading3Char"/>
          <w:b/>
        </w:rPr>
        <w:lastRenderedPageBreak/>
        <w:t>Patient Testing: Record a Patient Antigen Typing</w:t>
      </w:r>
    </w:p>
    <w:p w14:paraId="658BBE62" w14:textId="77777777" w:rsidR="002A21AE" w:rsidRDefault="002A21AE" w:rsidP="00FA7E65">
      <w:pPr>
        <w:pStyle w:val="BodyText"/>
      </w:pPr>
      <w:r>
        <w:t xml:space="preserve">This option describes a test to determine the patient antigen typing from a blood specimen. </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5F238CB7" w14:textId="77777777">
        <w:trPr>
          <w:cantSplit/>
          <w:tblHeader/>
        </w:trPr>
        <w:tc>
          <w:tcPr>
            <w:tcW w:w="3240" w:type="dxa"/>
            <w:shd w:val="pct30" w:color="auto" w:fill="FFFFFF"/>
            <w:vAlign w:val="bottom"/>
          </w:tcPr>
          <w:p w14:paraId="3D13A758" w14:textId="77777777" w:rsidR="002A21AE" w:rsidRDefault="002A21AE">
            <w:pPr>
              <w:pStyle w:val="TableText"/>
              <w:rPr>
                <w:b/>
              </w:rPr>
            </w:pPr>
            <w:r>
              <w:rPr>
                <w:b/>
              </w:rPr>
              <w:t>User Action</w:t>
            </w:r>
          </w:p>
        </w:tc>
        <w:tc>
          <w:tcPr>
            <w:tcW w:w="6120" w:type="dxa"/>
            <w:shd w:val="pct30" w:color="auto" w:fill="FFFFFF"/>
            <w:vAlign w:val="bottom"/>
          </w:tcPr>
          <w:p w14:paraId="3607AA78" w14:textId="77777777" w:rsidR="002A21AE" w:rsidRDefault="002A21AE">
            <w:pPr>
              <w:pStyle w:val="TableText"/>
              <w:rPr>
                <w:b/>
              </w:rPr>
            </w:pPr>
            <w:r>
              <w:rPr>
                <w:b/>
              </w:rPr>
              <w:t>VBECS</w:t>
            </w:r>
          </w:p>
        </w:tc>
      </w:tr>
      <w:tr w:rsidR="00141448" w14:paraId="24F43DB4" w14:textId="77777777">
        <w:tc>
          <w:tcPr>
            <w:tcW w:w="3240" w:type="dxa"/>
            <w:tcBorders>
              <w:top w:val="single" w:sz="4" w:space="0" w:color="auto"/>
              <w:left w:val="single" w:sz="4" w:space="0" w:color="auto"/>
              <w:bottom w:val="single" w:sz="4" w:space="0" w:color="auto"/>
              <w:right w:val="single" w:sz="4" w:space="0" w:color="auto"/>
            </w:tcBorders>
          </w:tcPr>
          <w:p w14:paraId="71DA417D" w14:textId="77777777" w:rsidR="00141448" w:rsidRDefault="00141448" w:rsidP="003A5DFE">
            <w:pPr>
              <w:pStyle w:val="TableTextNumbers"/>
              <w:numPr>
                <w:ilvl w:val="0"/>
                <w:numId w:val="100"/>
              </w:numPr>
            </w:pPr>
            <w:r>
              <w:t xml:space="preserve">Select </w:t>
            </w:r>
            <w:r w:rsidRPr="003A5DFE">
              <w:rPr>
                <w:b/>
              </w:rPr>
              <w:t>Patients</w:t>
            </w:r>
            <w:r>
              <w:t xml:space="preserve"> from the main menu.</w:t>
            </w:r>
          </w:p>
          <w:p w14:paraId="5D0F3FA9" w14:textId="77777777" w:rsidR="00141448" w:rsidRDefault="00141448" w:rsidP="00141448">
            <w:pPr>
              <w:pStyle w:val="TableTextNumbersContinued"/>
            </w:pPr>
          </w:p>
          <w:p w14:paraId="2D0A1BED" w14:textId="77777777" w:rsidR="00141448" w:rsidRDefault="00141448" w:rsidP="00141448">
            <w:pPr>
              <w:pStyle w:val="TableTextNumbersContinued"/>
            </w:pPr>
            <w:r>
              <w:t xml:space="preserve">Select </w:t>
            </w:r>
            <w:r>
              <w:rPr>
                <w:b/>
              </w:rPr>
              <w:t>Patient Testing</w:t>
            </w:r>
            <w:r>
              <w:t>.</w:t>
            </w:r>
          </w:p>
        </w:tc>
        <w:tc>
          <w:tcPr>
            <w:tcW w:w="6120" w:type="dxa"/>
            <w:tcBorders>
              <w:top w:val="single" w:sz="4" w:space="0" w:color="auto"/>
              <w:left w:val="single" w:sz="4" w:space="0" w:color="auto"/>
              <w:bottom w:val="single" w:sz="4" w:space="0" w:color="auto"/>
              <w:right w:val="single" w:sz="4" w:space="0" w:color="auto"/>
            </w:tcBorders>
          </w:tcPr>
          <w:p w14:paraId="77DE0B4A" w14:textId="77777777" w:rsidR="00141448" w:rsidRDefault="00141448" w:rsidP="00141448">
            <w:pPr>
              <w:pStyle w:val="TableTextBullet"/>
            </w:pPr>
            <w:r>
              <w:t xml:space="preserve">Displays options for processing patient-related functions. </w:t>
            </w:r>
          </w:p>
          <w:p w14:paraId="1C641EEE" w14:textId="77777777" w:rsidR="00141448" w:rsidRDefault="00141448" w:rsidP="00141448">
            <w:pPr>
              <w:pStyle w:val="TableTextBullet"/>
            </w:pPr>
            <w:r>
              <w:t>Displays the Pending Task List (PTL) in the Diagnostic Tests tab.</w:t>
            </w:r>
          </w:p>
          <w:p w14:paraId="48034C7A" w14:textId="77777777" w:rsidR="00141448" w:rsidRDefault="00141448" w:rsidP="00141448">
            <w:pPr>
              <w:pStyle w:val="NotesText"/>
            </w:pPr>
          </w:p>
          <w:p w14:paraId="4199D11E" w14:textId="53050AF9" w:rsidR="00141448" w:rsidRDefault="00141448" w:rsidP="00141448">
            <w:pPr>
              <w:pStyle w:val="TableText"/>
              <w:rPr>
                <w:b/>
                <w:bCs/>
                <w:szCs w:val="18"/>
              </w:rPr>
            </w:pPr>
            <w:r>
              <w:rPr>
                <w:b/>
                <w:bCs/>
                <w:szCs w:val="18"/>
              </w:rPr>
              <w:t>NOTES</w:t>
            </w:r>
          </w:p>
          <w:p w14:paraId="44F83BD9" w14:textId="77777777" w:rsidR="00141448" w:rsidRDefault="00141448" w:rsidP="00141448">
            <w:pPr>
              <w:pStyle w:val="NotesText"/>
            </w:pPr>
          </w:p>
          <w:p w14:paraId="021CC668" w14:textId="77777777" w:rsidR="00141448" w:rsidRDefault="00141448" w:rsidP="00141448">
            <w:pPr>
              <w:pStyle w:val="NotesText"/>
            </w:pPr>
            <w:r>
              <w:t>A user may search for specific tasks using search criteria detailed in Pending Task List.</w:t>
            </w:r>
          </w:p>
        </w:tc>
      </w:tr>
      <w:tr w:rsidR="006D7FC0" w14:paraId="5579B6A1" w14:textId="77777777">
        <w:tc>
          <w:tcPr>
            <w:tcW w:w="3240" w:type="dxa"/>
          </w:tcPr>
          <w:p w14:paraId="48EFE587" w14:textId="77777777" w:rsidR="006D7FC0" w:rsidRDefault="006D7FC0">
            <w:pPr>
              <w:pStyle w:val="TableTextNumbers"/>
            </w:pPr>
            <w:r>
              <w:t>Click one to four check boxes in the Pending Task List to select tasks for testing.</w:t>
            </w:r>
          </w:p>
          <w:p w14:paraId="3645534C" w14:textId="77777777" w:rsidR="006D7FC0" w:rsidRDefault="006D7FC0" w:rsidP="006D7FC0">
            <w:pPr>
              <w:pStyle w:val="TableTextNumbersContinued"/>
            </w:pPr>
          </w:p>
          <w:p w14:paraId="1C9949A0" w14:textId="77777777" w:rsidR="006D7FC0" w:rsidRDefault="006D7FC0" w:rsidP="006D7FC0">
            <w:pPr>
              <w:pStyle w:val="TableTextNumbersContinued"/>
            </w:pPr>
            <w:r>
              <w:t xml:space="preserve">Click </w:t>
            </w:r>
            <w:r w:rsidRPr="006D7FC0">
              <w:rPr>
                <w:b/>
              </w:rPr>
              <w:t>OK</w:t>
            </w:r>
            <w:r>
              <w:t>.</w:t>
            </w:r>
          </w:p>
        </w:tc>
        <w:tc>
          <w:tcPr>
            <w:tcW w:w="6120" w:type="dxa"/>
          </w:tcPr>
          <w:p w14:paraId="3FAA4FC0" w14:textId="77777777" w:rsidR="006D7FC0" w:rsidRDefault="006D7FC0" w:rsidP="006D7FC0">
            <w:pPr>
              <w:pStyle w:val="TableTextBullet"/>
            </w:pPr>
            <w:r>
              <w:t>Displays patient names and associated task information.</w:t>
            </w:r>
          </w:p>
          <w:p w14:paraId="03C23D50" w14:textId="77777777" w:rsidR="006D7FC0" w:rsidRDefault="006D7FC0" w:rsidP="006D7FC0">
            <w:pPr>
              <w:pStyle w:val="TableTextBullet"/>
            </w:pPr>
            <w:r>
              <w:t xml:space="preserve">Displays a direct data entry </w:t>
            </w:r>
            <w:r w:rsidR="00917E9F">
              <w:t xml:space="preserve">(DDE) </w:t>
            </w:r>
            <w:r>
              <w:t>grid for entering serologic reaction results for antigen typing testing. This grid may be partially populated from a previous session.</w:t>
            </w:r>
          </w:p>
          <w:p w14:paraId="4DB6E141" w14:textId="77777777" w:rsidR="006D7FC0" w:rsidRDefault="006D7FC0" w:rsidP="006D7FC0">
            <w:pPr>
              <w:pStyle w:val="TableTextBullet"/>
            </w:pPr>
            <w:r>
              <w:t>Allows the user to select a unit and enter a test result for the unit.</w:t>
            </w:r>
          </w:p>
          <w:p w14:paraId="7BEC677B" w14:textId="77777777" w:rsidR="006D7FC0" w:rsidRDefault="006D7FC0" w:rsidP="006D7FC0">
            <w:pPr>
              <w:pStyle w:val="TableTextBullet"/>
            </w:pPr>
            <w:r>
              <w:t>Displays options for finding and selecting tests to process.</w:t>
            </w:r>
          </w:p>
          <w:p w14:paraId="374AD6F7" w14:textId="77777777" w:rsidR="006D7FC0" w:rsidRDefault="006D7FC0" w:rsidP="006D7FC0">
            <w:pPr>
              <w:pStyle w:val="TableText"/>
            </w:pPr>
          </w:p>
          <w:p w14:paraId="4D25902E" w14:textId="0382DF68" w:rsidR="006D7FC0" w:rsidRDefault="006D7FC0" w:rsidP="006D7FC0">
            <w:pPr>
              <w:pStyle w:val="TableText"/>
              <w:rPr>
                <w:b/>
                <w:bCs/>
                <w:szCs w:val="18"/>
              </w:rPr>
            </w:pPr>
            <w:r>
              <w:rPr>
                <w:b/>
                <w:bCs/>
                <w:szCs w:val="18"/>
              </w:rPr>
              <w:t>NOTES</w:t>
            </w:r>
          </w:p>
          <w:p w14:paraId="3519155F" w14:textId="77777777" w:rsidR="006D7FC0" w:rsidRDefault="006D7FC0" w:rsidP="009368F1">
            <w:pPr>
              <w:pStyle w:val="NotesText"/>
            </w:pPr>
          </w:p>
          <w:p w14:paraId="1E559D21" w14:textId="77777777" w:rsidR="006D7FC0" w:rsidRDefault="006D7FC0" w:rsidP="009368F1">
            <w:pPr>
              <w:pStyle w:val="NotesText"/>
            </w:pPr>
            <w:r>
              <w:rPr>
                <w:rFonts w:cs="Arial"/>
                <w:vanish/>
              </w:rPr>
              <w:t xml:space="preserve">BR_41.15 </w:t>
            </w:r>
            <w:r>
              <w:t>When the user selects a partially completed worksheet, he must verify the lot numbers, manufacturer name, and expiration date of the antiserum and control cells previously selected. These fields may not be edited. (A user who finds a discrepancy must delete the worksheet and start over.)</w:t>
            </w:r>
          </w:p>
        </w:tc>
      </w:tr>
      <w:tr w:rsidR="002A21AE" w14:paraId="229F1062" w14:textId="77777777">
        <w:tc>
          <w:tcPr>
            <w:tcW w:w="3240" w:type="dxa"/>
          </w:tcPr>
          <w:p w14:paraId="39602ECE" w14:textId="77777777" w:rsidR="002A21AE" w:rsidRDefault="002A21AE">
            <w:pPr>
              <w:pStyle w:val="TableTextNumbers"/>
            </w:pPr>
            <w:r>
              <w:t>Confirm the selected patient.</w:t>
            </w:r>
          </w:p>
          <w:p w14:paraId="39F07964" w14:textId="77777777" w:rsidR="002A21AE" w:rsidRDefault="002A21AE">
            <w:pPr>
              <w:pStyle w:val="TableTextNumbersContinued"/>
            </w:pPr>
          </w:p>
          <w:p w14:paraId="596DC206" w14:textId="77777777" w:rsidR="002A21AE" w:rsidRDefault="002A21AE">
            <w:pPr>
              <w:pStyle w:val="TableTextNumbersContinued"/>
            </w:pPr>
            <w:r>
              <w:t xml:space="preserve">When control cells were tested for the antiserum, go to Step </w:t>
            </w:r>
            <w:r w:rsidR="00502986">
              <w:t>7</w:t>
            </w:r>
            <w:r>
              <w:t>.</w:t>
            </w:r>
          </w:p>
        </w:tc>
        <w:tc>
          <w:tcPr>
            <w:tcW w:w="6120" w:type="dxa"/>
          </w:tcPr>
          <w:p w14:paraId="62B95212" w14:textId="77777777" w:rsidR="002A21AE" w:rsidRDefault="002A21AE">
            <w:pPr>
              <w:pStyle w:val="TableTextBullet"/>
            </w:pPr>
            <w:r>
              <w:t xml:space="preserve">Displays an option to select a lot number for each of the antiserum types selected. </w:t>
            </w:r>
          </w:p>
          <w:p w14:paraId="7A8E59F9" w14:textId="77777777" w:rsidR="002A21AE" w:rsidRDefault="002A21AE">
            <w:pPr>
              <w:pStyle w:val="TableText"/>
            </w:pPr>
          </w:p>
          <w:p w14:paraId="421E92B4" w14:textId="4EC1504D" w:rsidR="002A21AE" w:rsidRDefault="002A21AE">
            <w:pPr>
              <w:pStyle w:val="TableText"/>
              <w:rPr>
                <w:b/>
                <w:bCs/>
                <w:szCs w:val="18"/>
              </w:rPr>
            </w:pPr>
            <w:r>
              <w:rPr>
                <w:b/>
                <w:bCs/>
                <w:szCs w:val="18"/>
              </w:rPr>
              <w:t>NOTES</w:t>
            </w:r>
          </w:p>
          <w:p w14:paraId="29EED6F0" w14:textId="77777777" w:rsidR="002A21AE" w:rsidRDefault="002A21AE">
            <w:pPr>
              <w:pStyle w:val="NotesText"/>
            </w:pPr>
          </w:p>
          <w:p w14:paraId="4AB87CF8" w14:textId="77777777" w:rsidR="002A21AE" w:rsidRDefault="002A21AE">
            <w:pPr>
              <w:pStyle w:val="NotesText"/>
            </w:pPr>
            <w:r>
              <w:t>VBECS displays grids and quality control cells for each antiserum type.</w:t>
            </w:r>
          </w:p>
        </w:tc>
      </w:tr>
      <w:tr w:rsidR="002A21AE" w14:paraId="5FAB0D09" w14:textId="77777777">
        <w:tc>
          <w:tcPr>
            <w:tcW w:w="3240" w:type="dxa"/>
          </w:tcPr>
          <w:p w14:paraId="4B4454B8" w14:textId="77777777" w:rsidR="002A21AE" w:rsidRDefault="002A21AE">
            <w:pPr>
              <w:pStyle w:val="TableTextNumbers"/>
            </w:pPr>
            <w:r>
              <w:t>Select a lot number for each antiserum specificity.</w:t>
            </w:r>
          </w:p>
        </w:tc>
        <w:tc>
          <w:tcPr>
            <w:tcW w:w="6120" w:type="dxa"/>
          </w:tcPr>
          <w:p w14:paraId="1772FDDF" w14:textId="65A9A1A7" w:rsidR="002A21AE" w:rsidRDefault="002A21AE">
            <w:pPr>
              <w:pStyle w:val="TableTextBullet"/>
            </w:pPr>
            <w:r>
              <w:rPr>
                <w:rFonts w:cs="Arial"/>
                <w:vanish/>
              </w:rPr>
              <w:t>BR_41.04</w:t>
            </w:r>
            <w:r w:rsidR="004F5F28" w:rsidRPr="00323744">
              <w:rPr>
                <w:rStyle w:val="BullhornChar"/>
              </w:rPr>
              <w:t></w:t>
            </w:r>
            <w:r w:rsidR="004F5F28">
              <w:rPr>
                <w:rFonts w:ascii="Webdings" w:hAnsi="Webdings"/>
              </w:rPr>
              <w:t></w:t>
            </w:r>
            <w:r w:rsidR="00AA089C">
              <w:t>A</w:t>
            </w:r>
            <w:r>
              <w:t xml:space="preserve">llows the user to select or enter the lot number and displays the manufacturer and expiration date of each antiserum to be used in this transaction so the user can select the correct antiserum. VBECS displays in-date antisera. When the user selects outdated antisera, VBECS emits an audible alert and requires a comment </w:t>
            </w:r>
            <w:r w:rsidR="00C71D76">
              <w:t>from the</w:t>
            </w:r>
            <w:r w:rsidR="00A73BE2">
              <w:t xml:space="preserve"> </w:t>
            </w:r>
            <w:r w:rsidR="00C71D76">
              <w:t>”</w:t>
            </w:r>
            <w:r w:rsidR="004529D2">
              <w:t xml:space="preserve">Patient </w:t>
            </w:r>
            <w:r w:rsidR="00C71D76">
              <w:t>Testing”</w:t>
            </w:r>
            <w:r w:rsidR="00186DB6">
              <w:t xml:space="preserve"> context </w:t>
            </w:r>
            <w:r>
              <w:t>and an override. VBECS captures details for inclusion in an Exception Report (exception type: expired antisera used).</w:t>
            </w:r>
          </w:p>
          <w:p w14:paraId="3182247C" w14:textId="77777777" w:rsidR="002A21AE" w:rsidRDefault="002A21AE">
            <w:pPr>
              <w:pStyle w:val="TableTextBullet"/>
            </w:pPr>
            <w:r>
              <w:t>Prompts the user to select the correct antiserum entry for the specificity selected.</w:t>
            </w:r>
          </w:p>
          <w:p w14:paraId="68BE8608" w14:textId="77777777" w:rsidR="002A21AE" w:rsidRDefault="002A21AE">
            <w:pPr>
              <w:pStyle w:val="TableTextBullet"/>
            </w:pPr>
            <w:r>
              <w:t xml:space="preserve">Displays the lot number information. </w:t>
            </w:r>
          </w:p>
          <w:p w14:paraId="7028CAB4" w14:textId="77777777" w:rsidR="00AA089C" w:rsidRDefault="00AA089C" w:rsidP="00AA089C">
            <w:pPr>
              <w:pStyle w:val="TableText"/>
            </w:pPr>
          </w:p>
          <w:p w14:paraId="67F54783" w14:textId="69328AAA" w:rsidR="00AA089C" w:rsidRDefault="00AA089C" w:rsidP="00AA089C">
            <w:pPr>
              <w:pStyle w:val="TableText"/>
              <w:rPr>
                <w:b/>
                <w:bCs/>
                <w:szCs w:val="18"/>
              </w:rPr>
            </w:pPr>
            <w:r>
              <w:rPr>
                <w:b/>
                <w:bCs/>
                <w:szCs w:val="18"/>
              </w:rPr>
              <w:t>NOTES</w:t>
            </w:r>
          </w:p>
          <w:p w14:paraId="47C54AA0" w14:textId="77777777" w:rsidR="00AA089C" w:rsidRDefault="00AA089C" w:rsidP="00AA089C">
            <w:pPr>
              <w:pStyle w:val="NotesText"/>
            </w:pPr>
          </w:p>
          <w:p w14:paraId="76CCB463" w14:textId="77777777" w:rsidR="00AA089C" w:rsidRDefault="00AA089C" w:rsidP="00AA089C">
            <w:pPr>
              <w:pStyle w:val="NotesText"/>
            </w:pPr>
            <w:r>
              <w:t>VBECS r</w:t>
            </w:r>
            <w:r w:rsidRPr="00AA089C">
              <w:t>equest</w:t>
            </w:r>
            <w:r>
              <w:t>s</w:t>
            </w:r>
            <w:r w:rsidRPr="00AA089C">
              <w:t xml:space="preserve"> information about </w:t>
            </w:r>
            <w:r>
              <w:t>an antigen</w:t>
            </w:r>
            <w:r w:rsidRPr="00AA089C">
              <w:t xml:space="preserve"> lot number </w:t>
            </w:r>
            <w:r>
              <w:t xml:space="preserve">only </w:t>
            </w:r>
            <w:r w:rsidRPr="00AA089C">
              <w:t xml:space="preserve">the first time it is used </w:t>
            </w:r>
            <w:r>
              <w:t>on a specific</w:t>
            </w:r>
            <w:r w:rsidRPr="00AA089C">
              <w:t xml:space="preserve"> day. </w:t>
            </w:r>
          </w:p>
          <w:p w14:paraId="2631391F" w14:textId="77777777" w:rsidR="00AA089C" w:rsidRDefault="00AA089C" w:rsidP="00AA089C">
            <w:pPr>
              <w:pStyle w:val="NotesText"/>
            </w:pPr>
          </w:p>
          <w:p w14:paraId="4969172E" w14:textId="77777777" w:rsidR="00AA089C" w:rsidRDefault="00AA089C" w:rsidP="00AA089C">
            <w:pPr>
              <w:pStyle w:val="NotesText"/>
            </w:pPr>
            <w:r w:rsidRPr="00AA089C">
              <w:t xml:space="preserve">If there are multiple test tabs, </w:t>
            </w:r>
            <w:r>
              <w:t>VBECS displays a</w:t>
            </w:r>
            <w:r w:rsidRPr="00AA089C">
              <w:t xml:space="preserve"> </w:t>
            </w:r>
            <w:r>
              <w:t>message</w:t>
            </w:r>
            <w:r w:rsidRPr="00AA089C">
              <w:t xml:space="preserve"> </w:t>
            </w:r>
            <w:r>
              <w:t xml:space="preserve">that </w:t>
            </w:r>
            <w:r w:rsidRPr="00AA089C">
              <w:t xml:space="preserve">may not </w:t>
            </w:r>
            <w:r>
              <w:t>correspond to</w:t>
            </w:r>
            <w:r w:rsidRPr="00AA089C">
              <w:t xml:space="preserve"> the</w:t>
            </w:r>
            <w:r>
              <w:t xml:space="preserve"> selected</w:t>
            </w:r>
            <w:r w:rsidRPr="00AA089C">
              <w:t xml:space="preserve"> tab, but will </w:t>
            </w:r>
            <w:r>
              <w:t xml:space="preserve">correspond to </w:t>
            </w:r>
            <w:r w:rsidRPr="00AA089C">
              <w:t xml:space="preserve">information </w:t>
            </w:r>
            <w:r>
              <w:t xml:space="preserve">required by </w:t>
            </w:r>
            <w:r w:rsidRPr="00AA089C">
              <w:t>one of the requested tests.</w:t>
            </w:r>
          </w:p>
        </w:tc>
      </w:tr>
      <w:tr w:rsidR="002A21AE" w14:paraId="3B37D9A8" w14:textId="77777777" w:rsidTr="006C058D">
        <w:trPr>
          <w:cantSplit/>
        </w:trPr>
        <w:tc>
          <w:tcPr>
            <w:tcW w:w="3240" w:type="dxa"/>
          </w:tcPr>
          <w:p w14:paraId="401FFD7E" w14:textId="2A216E23" w:rsidR="002A21AE" w:rsidRDefault="002A21AE" w:rsidP="00AA3667">
            <w:pPr>
              <w:pStyle w:val="TableTextNumbers"/>
            </w:pPr>
            <w:r>
              <w:lastRenderedPageBreak/>
              <w:t>Verify the antiserum lot number selected</w:t>
            </w:r>
            <w:r w:rsidR="00AA3667">
              <w:t xml:space="preserve"> (</w:t>
            </w:r>
            <w:r w:rsidR="00EE455E">
              <w:t xml:space="preserve">Figure </w:t>
            </w:r>
            <w:r w:rsidR="00EE455E">
              <w:rPr>
                <w:noProof/>
              </w:rPr>
              <w:t>98</w:t>
            </w:r>
            <w:r w:rsidR="00AA3667">
              <w:t>)</w:t>
            </w:r>
            <w:r>
              <w:t xml:space="preserve">. </w:t>
            </w:r>
          </w:p>
        </w:tc>
        <w:tc>
          <w:tcPr>
            <w:tcW w:w="6120" w:type="dxa"/>
          </w:tcPr>
          <w:p w14:paraId="264CA1D8" w14:textId="77777777" w:rsidR="002A21AE" w:rsidRDefault="002A21AE">
            <w:pPr>
              <w:pStyle w:val="TableTextBullet"/>
            </w:pPr>
            <w:r>
              <w:t xml:space="preserve">Allows the user to select the testing phases for the antiserum specificity by lot number. </w:t>
            </w:r>
          </w:p>
          <w:p w14:paraId="64E9917D" w14:textId="77777777" w:rsidR="002A21AE" w:rsidRDefault="002A21AE">
            <w:pPr>
              <w:pStyle w:val="TableTextBullet"/>
            </w:pPr>
            <w:r>
              <w:t xml:space="preserve">Displays a testing grid and disables the phases that are not to be completed. </w:t>
            </w:r>
          </w:p>
          <w:p w14:paraId="6F7F6730" w14:textId="77777777" w:rsidR="002A21AE" w:rsidRDefault="002A21AE">
            <w:pPr>
              <w:pStyle w:val="TableTextBullet"/>
            </w:pPr>
            <w:r>
              <w:t>Stores the antiserum information and checks whether the positive and negative controls are needed.</w:t>
            </w:r>
          </w:p>
          <w:p w14:paraId="05A6832B" w14:textId="77777777" w:rsidR="002A21AE" w:rsidRDefault="002A21AE">
            <w:pPr>
              <w:pStyle w:val="TableText"/>
            </w:pPr>
          </w:p>
          <w:p w14:paraId="6002BD4B" w14:textId="52FE7CCA" w:rsidR="002A21AE" w:rsidRDefault="002A21AE">
            <w:pPr>
              <w:pStyle w:val="TableText"/>
              <w:rPr>
                <w:b/>
                <w:bCs/>
                <w:szCs w:val="18"/>
              </w:rPr>
            </w:pPr>
            <w:r>
              <w:rPr>
                <w:b/>
                <w:bCs/>
                <w:szCs w:val="18"/>
              </w:rPr>
              <w:t>NOTES</w:t>
            </w:r>
          </w:p>
          <w:p w14:paraId="6424DAAF" w14:textId="77777777" w:rsidR="002A21AE" w:rsidRDefault="002A21AE">
            <w:pPr>
              <w:pStyle w:val="NotesText"/>
            </w:pPr>
          </w:p>
          <w:p w14:paraId="74E64FC0" w14:textId="77777777" w:rsidR="002A21AE" w:rsidRDefault="002A21AE">
            <w:pPr>
              <w:pStyle w:val="NotesText"/>
            </w:pPr>
            <w:r>
              <w:rPr>
                <w:rFonts w:cs="Arial"/>
                <w:vanish/>
              </w:rPr>
              <w:t xml:space="preserve">BR_41.02 </w:t>
            </w:r>
            <w:r>
              <w:t xml:space="preserve">The user must indicate the phases of reactivity for each antiserum specificity: </w:t>
            </w:r>
          </w:p>
          <w:p w14:paraId="428E7355" w14:textId="77777777" w:rsidR="002A21AE" w:rsidRDefault="002A21AE">
            <w:pPr>
              <w:pStyle w:val="NotesTextBullet"/>
              <w:tabs>
                <w:tab w:val="clear" w:pos="1008"/>
                <w:tab w:val="num" w:pos="1260"/>
              </w:tabs>
              <w:ind w:left="1188"/>
            </w:pPr>
            <w:r>
              <w:t>IS</w:t>
            </w:r>
          </w:p>
          <w:p w14:paraId="6DEB6402" w14:textId="77777777" w:rsidR="002A21AE" w:rsidRDefault="002A21AE">
            <w:pPr>
              <w:pStyle w:val="NotesTextBullet"/>
              <w:tabs>
                <w:tab w:val="clear" w:pos="1008"/>
                <w:tab w:val="num" w:pos="1260"/>
              </w:tabs>
              <w:ind w:left="1188"/>
            </w:pPr>
            <w:r>
              <w:t>IS/RT</w:t>
            </w:r>
          </w:p>
          <w:p w14:paraId="7A68A2A6" w14:textId="77777777" w:rsidR="002A21AE" w:rsidRDefault="002A21AE">
            <w:pPr>
              <w:pStyle w:val="NotesTextBullet"/>
              <w:tabs>
                <w:tab w:val="clear" w:pos="1008"/>
                <w:tab w:val="num" w:pos="1260"/>
              </w:tabs>
              <w:ind w:left="1188"/>
            </w:pPr>
            <w:r>
              <w:t>IS/37</w:t>
            </w:r>
          </w:p>
          <w:p w14:paraId="1B34B950" w14:textId="77777777" w:rsidR="002A21AE" w:rsidRDefault="002A21AE">
            <w:pPr>
              <w:pStyle w:val="NotesTextBullet"/>
              <w:tabs>
                <w:tab w:val="clear" w:pos="1008"/>
                <w:tab w:val="num" w:pos="1260"/>
              </w:tabs>
              <w:ind w:left="1188"/>
            </w:pPr>
            <w:r>
              <w:t>AHG/CC</w:t>
            </w:r>
          </w:p>
          <w:p w14:paraId="50B5E10B" w14:textId="77777777" w:rsidR="002A21AE" w:rsidRDefault="002A21AE">
            <w:pPr>
              <w:pStyle w:val="NotesText"/>
            </w:pPr>
          </w:p>
          <w:p w14:paraId="6C873890" w14:textId="77777777" w:rsidR="002A21AE" w:rsidRDefault="002A21AE">
            <w:pPr>
              <w:pStyle w:val="NotesText"/>
            </w:pPr>
            <w:r>
              <w:t>VBECS enables the Rack Identifier field when the user selects the weak D or AHG/CC phase. VBECS disables the rack identifier field when the user selects other phases.</w:t>
            </w:r>
          </w:p>
          <w:p w14:paraId="1A91D6CA" w14:textId="77777777" w:rsidR="002A21AE" w:rsidRDefault="002A21AE">
            <w:pPr>
              <w:pStyle w:val="NotesText"/>
            </w:pPr>
          </w:p>
          <w:p w14:paraId="67E9BB34" w14:textId="77777777" w:rsidR="002A21AE" w:rsidRDefault="002A21AE">
            <w:pPr>
              <w:pStyle w:val="NotesText"/>
            </w:pPr>
            <w:r>
              <w:rPr>
                <w:rFonts w:cs="Arial"/>
                <w:vanish/>
              </w:rPr>
              <w:t xml:space="preserve">BR_41.27 </w:t>
            </w:r>
            <w:r>
              <w:t>When the user QC’d the antigen typing reagent lot number and performed patient antigen typing on the same date under different testing phases, VBECS enables the QC grid for the antisera in the phases the user selected.</w:t>
            </w:r>
          </w:p>
          <w:p w14:paraId="0CBFA019" w14:textId="77777777" w:rsidR="002A21AE" w:rsidRDefault="002A21AE">
            <w:pPr>
              <w:pStyle w:val="NotesText"/>
            </w:pPr>
          </w:p>
          <w:p w14:paraId="2E6D8945" w14:textId="39B0D9E6" w:rsidR="002A21AE" w:rsidRDefault="002A21AE">
            <w:pPr>
              <w:pStyle w:val="NotesText"/>
            </w:pPr>
            <w:r>
              <w:rPr>
                <w:rFonts w:cs="Arial"/>
                <w:vanish/>
              </w:rPr>
              <w:t>BR_41.26</w:t>
            </w:r>
            <w:r w:rsidR="004F5F28" w:rsidRPr="00323744">
              <w:rPr>
                <w:rStyle w:val="BullhornChar"/>
              </w:rPr>
              <w:t></w:t>
            </w:r>
            <w:r w:rsidR="004F5F28">
              <w:rPr>
                <w:rFonts w:ascii="Webdings" w:hAnsi="Webdings"/>
              </w:rPr>
              <w:t></w:t>
            </w:r>
            <w:r w:rsidR="004F5F28" w:rsidRPr="00263B24">
              <w:t>Wh</w:t>
            </w:r>
            <w:r w:rsidR="004F5F28">
              <w:t>en</w:t>
            </w:r>
            <w:r>
              <w:t xml:space="preserve"> the user attempts to change the phases of reactivity previously recorded for the lot number, VBECS emits an audible alert, warns that the user selected phases that were not used previously for this reagent, and asks whether the user wishes to continue. </w:t>
            </w:r>
            <w:r>
              <w:rPr>
                <w:b/>
              </w:rPr>
              <w:t>No</w:t>
            </w:r>
            <w:r>
              <w:t xml:space="preserve"> requires the user to select the correct testing phases. </w:t>
            </w:r>
            <w:r>
              <w:rPr>
                <w:b/>
              </w:rPr>
              <w:t>Yes</w:t>
            </w:r>
            <w:r>
              <w:t xml:space="preserve"> requires the user to enter a comment </w:t>
            </w:r>
            <w:r w:rsidR="00F42D57">
              <w:t xml:space="preserve">from the </w:t>
            </w:r>
            <w:r w:rsidR="00645F7E">
              <w:t>“</w:t>
            </w:r>
            <w:r w:rsidR="000C5612">
              <w:t>Patient Testing</w:t>
            </w:r>
            <w:r w:rsidR="00645F7E">
              <w:t>”</w:t>
            </w:r>
            <w:r w:rsidR="001F1810">
              <w:t xml:space="preserve"> context </w:t>
            </w:r>
            <w:r>
              <w:t>explaining why he is selecting different testing phases. VBECS captures details for inclusion in an Exception Report (exception type: antigen testing phase change). VBECS requires a comment and captures details for inclusion in an Exception Report. Antigen testing phase change</w:t>
            </w:r>
          </w:p>
        </w:tc>
      </w:tr>
      <w:tr w:rsidR="002A21AE" w14:paraId="3876B690" w14:textId="77777777">
        <w:tc>
          <w:tcPr>
            <w:tcW w:w="3240" w:type="dxa"/>
          </w:tcPr>
          <w:p w14:paraId="68A5E7B5" w14:textId="77777777" w:rsidR="00B6515C" w:rsidRDefault="00B6515C" w:rsidP="00B6515C">
            <w:pPr>
              <w:pStyle w:val="TableTextNumbers"/>
            </w:pPr>
            <w:r>
              <w:t>Select the lot number for the reagent and the positive and negative control cells. Enter the vial identifiers, if required. Enter “0” when not using panel cells.</w:t>
            </w:r>
          </w:p>
          <w:p w14:paraId="3FB6F740" w14:textId="77777777" w:rsidR="00B6515C" w:rsidRDefault="00B6515C" w:rsidP="00B6515C">
            <w:pPr>
              <w:pStyle w:val="TableTextNumbersContinued"/>
            </w:pPr>
          </w:p>
          <w:p w14:paraId="69382CB0" w14:textId="3A9520D8" w:rsidR="00B6515C" w:rsidRDefault="00B6515C" w:rsidP="00B6515C">
            <w:pPr>
              <w:pStyle w:val="TableTextNumbersContinued"/>
            </w:pPr>
            <w:r>
              <w:t>Verify the reagent type and the positive and negative control cell lot numbers selected and vial identifiers entered, if required</w:t>
            </w:r>
            <w:r w:rsidR="001E3E16">
              <w:t xml:space="preserve"> (</w:t>
            </w:r>
            <w:r w:rsidR="00EE455E">
              <w:t xml:space="preserve">Figure </w:t>
            </w:r>
            <w:r w:rsidR="00EE455E">
              <w:rPr>
                <w:noProof/>
              </w:rPr>
              <w:t>99</w:t>
            </w:r>
            <w:r w:rsidR="001E3E16">
              <w:t>)</w:t>
            </w:r>
            <w:r>
              <w:t>.</w:t>
            </w:r>
          </w:p>
        </w:tc>
        <w:tc>
          <w:tcPr>
            <w:tcW w:w="6120" w:type="dxa"/>
          </w:tcPr>
          <w:p w14:paraId="2B173EFF" w14:textId="77777777" w:rsidR="002A21AE" w:rsidRDefault="002A21AE">
            <w:pPr>
              <w:pStyle w:val="TableTextBullet"/>
            </w:pPr>
            <w:r>
              <w:t xml:space="preserve">Displays the lot number information, including the vial identifier. </w:t>
            </w:r>
          </w:p>
          <w:p w14:paraId="35D8750F" w14:textId="77777777" w:rsidR="002A21AE" w:rsidRDefault="002A21AE">
            <w:pPr>
              <w:pStyle w:val="TableText"/>
            </w:pPr>
          </w:p>
          <w:p w14:paraId="4C0F91AC" w14:textId="080633D8" w:rsidR="002A21AE" w:rsidRDefault="002A21AE">
            <w:pPr>
              <w:pStyle w:val="TableText"/>
              <w:rPr>
                <w:b/>
                <w:bCs/>
                <w:szCs w:val="18"/>
              </w:rPr>
            </w:pPr>
            <w:r>
              <w:rPr>
                <w:b/>
                <w:bCs/>
                <w:szCs w:val="18"/>
              </w:rPr>
              <w:t>NOTES</w:t>
            </w:r>
          </w:p>
          <w:p w14:paraId="0C54496E" w14:textId="77777777" w:rsidR="002A21AE" w:rsidRDefault="002A21AE">
            <w:pPr>
              <w:pStyle w:val="NotesText"/>
            </w:pPr>
          </w:p>
          <w:p w14:paraId="1891C18D" w14:textId="77777777" w:rsidR="002A21AE" w:rsidRDefault="002A21AE">
            <w:pPr>
              <w:pStyle w:val="NotesText"/>
            </w:pPr>
            <w:r>
              <w:rPr>
                <w:rFonts w:cs="Arial"/>
                <w:vanish/>
              </w:rPr>
              <w:t xml:space="preserve">BR_41.25 </w:t>
            </w:r>
            <w:r>
              <w:t xml:space="preserve">Selectable reagent lot numbers for positive and negative control cells are: </w:t>
            </w:r>
          </w:p>
          <w:p w14:paraId="2ABB07BB" w14:textId="77777777" w:rsidR="002A21AE" w:rsidRDefault="002A21AE">
            <w:pPr>
              <w:pStyle w:val="NotesTextBullet"/>
              <w:tabs>
                <w:tab w:val="clear" w:pos="1008"/>
                <w:tab w:val="num" w:pos="1260"/>
              </w:tabs>
              <w:ind w:left="1188"/>
            </w:pPr>
            <w:r>
              <w:t>Reverse ABO Typing Cells</w:t>
            </w:r>
          </w:p>
          <w:p w14:paraId="64244BAD" w14:textId="77777777" w:rsidR="002A21AE" w:rsidRDefault="002A21AE">
            <w:pPr>
              <w:pStyle w:val="NotesTextBullet"/>
              <w:tabs>
                <w:tab w:val="clear" w:pos="1008"/>
                <w:tab w:val="num" w:pos="1260"/>
              </w:tabs>
              <w:ind w:left="1188"/>
            </w:pPr>
            <w:r>
              <w:t>A2 cell</w:t>
            </w:r>
          </w:p>
          <w:p w14:paraId="5F781545" w14:textId="77777777" w:rsidR="002A21AE" w:rsidRDefault="002A21AE">
            <w:pPr>
              <w:pStyle w:val="NotesTextBullet"/>
              <w:tabs>
                <w:tab w:val="clear" w:pos="1008"/>
                <w:tab w:val="num" w:pos="1260"/>
              </w:tabs>
              <w:ind w:left="1188"/>
            </w:pPr>
            <w:r>
              <w:t xml:space="preserve">Screening Cells </w:t>
            </w:r>
          </w:p>
          <w:p w14:paraId="1CD4E7B6" w14:textId="77777777" w:rsidR="002A21AE" w:rsidRDefault="002A21AE">
            <w:pPr>
              <w:pStyle w:val="NotesTextBullet"/>
              <w:tabs>
                <w:tab w:val="clear" w:pos="1008"/>
                <w:tab w:val="num" w:pos="1260"/>
              </w:tabs>
              <w:ind w:left="1188"/>
            </w:pPr>
            <w:r>
              <w:t>Check Cells</w:t>
            </w:r>
          </w:p>
          <w:p w14:paraId="2EC9FD52" w14:textId="77777777" w:rsidR="002A21AE" w:rsidRDefault="002A21AE">
            <w:pPr>
              <w:pStyle w:val="NotesTextBullet"/>
              <w:tabs>
                <w:tab w:val="clear" w:pos="1008"/>
                <w:tab w:val="num" w:pos="1260"/>
              </w:tabs>
              <w:ind w:left="1188"/>
            </w:pPr>
            <w:r>
              <w:t>Panel</w:t>
            </w:r>
          </w:p>
          <w:p w14:paraId="16080237" w14:textId="77777777" w:rsidR="002A21AE" w:rsidRDefault="002A21AE">
            <w:pPr>
              <w:pStyle w:val="NotesTextBullet"/>
              <w:tabs>
                <w:tab w:val="clear" w:pos="1008"/>
                <w:tab w:val="num" w:pos="1260"/>
              </w:tabs>
              <w:ind w:left="1188"/>
            </w:pPr>
            <w:r>
              <w:t>Other (set)</w:t>
            </w:r>
          </w:p>
          <w:p w14:paraId="4C49C023" w14:textId="77777777" w:rsidR="002A21AE" w:rsidRDefault="002A21AE">
            <w:pPr>
              <w:pStyle w:val="TableText"/>
            </w:pPr>
          </w:p>
          <w:p w14:paraId="445CD57B" w14:textId="77777777" w:rsidR="002A21AE" w:rsidRDefault="00DD6197">
            <w:pPr>
              <w:pStyle w:val="NotesText"/>
            </w:pPr>
            <w:r>
              <w:t xml:space="preserve">The vial identifier, comprising one or two digits, identifies the vial contained in a kit of reagent red blood cells. A vial contains antigen positive or antigen negative blood cells to be used in quality control of the antisera. </w:t>
            </w:r>
          </w:p>
        </w:tc>
      </w:tr>
      <w:tr w:rsidR="002A21AE" w14:paraId="575DA5D3" w14:textId="77777777" w:rsidTr="00B4381D">
        <w:trPr>
          <w:cantSplit/>
        </w:trPr>
        <w:tc>
          <w:tcPr>
            <w:tcW w:w="3240" w:type="dxa"/>
          </w:tcPr>
          <w:p w14:paraId="3D4674D9" w14:textId="77777777" w:rsidR="002A21AE" w:rsidRDefault="002A21AE">
            <w:pPr>
              <w:pStyle w:val="TableTextNumbers"/>
            </w:pPr>
            <w:r>
              <w:lastRenderedPageBreak/>
              <w:t xml:space="preserve">Respond to warnings and continue with antigen typing. </w:t>
            </w:r>
          </w:p>
        </w:tc>
        <w:tc>
          <w:tcPr>
            <w:tcW w:w="6120" w:type="dxa"/>
          </w:tcPr>
          <w:p w14:paraId="52FD8E0F" w14:textId="77777777" w:rsidR="002A21AE" w:rsidRDefault="002A21AE">
            <w:pPr>
              <w:pStyle w:val="TableTextBullet"/>
            </w:pPr>
            <w:r>
              <w:t xml:space="preserve">Displays a </w:t>
            </w:r>
            <w:r w:rsidR="00917E9F">
              <w:t>DDE</w:t>
            </w:r>
            <w:r>
              <w:t xml:space="preserve"> grid for entering serologic reaction results for antigen typing testing. This grid may be partially populated with results from a previous session.</w:t>
            </w:r>
          </w:p>
          <w:p w14:paraId="643FBE7F" w14:textId="77777777" w:rsidR="002A21AE" w:rsidRDefault="002A21AE">
            <w:pPr>
              <w:pStyle w:val="TableText"/>
            </w:pPr>
          </w:p>
          <w:p w14:paraId="7C7C014C" w14:textId="70FF8C81" w:rsidR="002A21AE" w:rsidRDefault="002A21AE">
            <w:pPr>
              <w:pStyle w:val="TableText"/>
              <w:rPr>
                <w:b/>
                <w:bCs/>
                <w:szCs w:val="18"/>
              </w:rPr>
            </w:pPr>
            <w:r>
              <w:rPr>
                <w:b/>
                <w:bCs/>
                <w:szCs w:val="18"/>
              </w:rPr>
              <w:t>NOTES</w:t>
            </w:r>
          </w:p>
          <w:p w14:paraId="3C4AC7C8" w14:textId="77777777" w:rsidR="002A21AE" w:rsidRDefault="002A21AE">
            <w:pPr>
              <w:pStyle w:val="NotesText"/>
            </w:pPr>
          </w:p>
          <w:p w14:paraId="1BDF1136" w14:textId="77777777" w:rsidR="002A21AE" w:rsidRDefault="002A21AE">
            <w:pPr>
              <w:pStyle w:val="NotesText"/>
            </w:pPr>
            <w:r>
              <w:rPr>
                <w:rFonts w:cs="Arial"/>
                <w:vanish/>
              </w:rPr>
              <w:t xml:space="preserve">BR_41.07 </w:t>
            </w:r>
            <w:r>
              <w:t>VBECS organizes the worklist for the grids by antiserum types.</w:t>
            </w:r>
          </w:p>
          <w:p w14:paraId="57A3F804" w14:textId="77777777" w:rsidR="002A21AE" w:rsidRDefault="002A21AE">
            <w:pPr>
              <w:pStyle w:val="NotesText"/>
            </w:pPr>
          </w:p>
          <w:p w14:paraId="486EA285" w14:textId="77777777" w:rsidR="002A21AE" w:rsidRDefault="002A21AE">
            <w:pPr>
              <w:pStyle w:val="NotesText"/>
            </w:pPr>
            <w:r>
              <w:rPr>
                <w:vanish/>
                <w:szCs w:val="18"/>
              </w:rPr>
              <w:t xml:space="preserve">BR_98.06, </w:t>
            </w:r>
            <w:r>
              <w:rPr>
                <w:rFonts w:cs="Arial"/>
                <w:vanish/>
              </w:rPr>
              <w:t xml:space="preserve">BR_41.17 </w:t>
            </w:r>
            <w:r>
              <w:t>The row title of the data grid specifies the positive and negative control cells; the column title specifies the phases of reactivity that may be used in the test. VBECS fills in this information; the user may not edit it.</w:t>
            </w:r>
          </w:p>
        </w:tc>
      </w:tr>
      <w:tr w:rsidR="002A21AE" w14:paraId="67C7C91D" w14:textId="77777777">
        <w:tc>
          <w:tcPr>
            <w:tcW w:w="3240" w:type="dxa"/>
          </w:tcPr>
          <w:p w14:paraId="3EAF83DE" w14:textId="77777777" w:rsidR="002A21AE" w:rsidRDefault="002A21AE">
            <w:pPr>
              <w:pStyle w:val="TableTextNumbers"/>
            </w:pPr>
            <w:r>
              <w:t>Select one control cell or patient to begin entering serologic reactions and interpretations.</w:t>
            </w:r>
          </w:p>
        </w:tc>
        <w:tc>
          <w:tcPr>
            <w:tcW w:w="6120" w:type="dxa"/>
          </w:tcPr>
          <w:p w14:paraId="6E62AAEC" w14:textId="77777777" w:rsidR="002A21AE" w:rsidRDefault="002A21AE">
            <w:pPr>
              <w:pStyle w:val="TableTextBullet"/>
            </w:pPr>
            <w:r>
              <w:t>Allows the user to select a patient or control cell and enter test results.</w:t>
            </w:r>
          </w:p>
          <w:p w14:paraId="5A440051" w14:textId="77777777" w:rsidR="002A21AE" w:rsidRDefault="002A21AE">
            <w:pPr>
              <w:pStyle w:val="TableText"/>
            </w:pPr>
          </w:p>
          <w:p w14:paraId="7DCD0282" w14:textId="16BE230F" w:rsidR="002A21AE" w:rsidRDefault="002A21AE">
            <w:pPr>
              <w:pStyle w:val="TableText"/>
              <w:rPr>
                <w:b/>
                <w:bCs/>
                <w:szCs w:val="18"/>
              </w:rPr>
            </w:pPr>
            <w:r>
              <w:rPr>
                <w:b/>
                <w:bCs/>
                <w:szCs w:val="18"/>
              </w:rPr>
              <w:t>NOTES</w:t>
            </w:r>
          </w:p>
          <w:p w14:paraId="3CE62253" w14:textId="77777777" w:rsidR="002A21AE" w:rsidRDefault="002A21AE">
            <w:pPr>
              <w:pStyle w:val="NotesText"/>
            </w:pPr>
          </w:p>
          <w:p w14:paraId="63BF8F9C" w14:textId="77777777" w:rsidR="002A21AE" w:rsidRDefault="002A21AE">
            <w:pPr>
              <w:pStyle w:val="NotesText"/>
            </w:pPr>
            <w:r>
              <w:rPr>
                <w:rFonts w:cs="Arial"/>
                <w:vanish/>
              </w:rPr>
              <w:t xml:space="preserve">BR_41.09 </w:t>
            </w:r>
            <w:r>
              <w:t xml:space="preserve">Valid observed test results include: </w:t>
            </w:r>
          </w:p>
          <w:tbl>
            <w:tblPr>
              <w:tblW w:w="0" w:type="auto"/>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2520"/>
              <w:gridCol w:w="1260"/>
            </w:tblGrid>
            <w:tr w:rsidR="002A21AE" w14:paraId="124EA869" w14:textId="77777777">
              <w:trPr>
                <w:tblHeader/>
              </w:trPr>
              <w:tc>
                <w:tcPr>
                  <w:tcW w:w="720" w:type="dxa"/>
                  <w:shd w:val="clear" w:color="auto" w:fill="B3B3B3"/>
                </w:tcPr>
                <w:p w14:paraId="46F53C1F" w14:textId="77777777" w:rsidR="002A21AE" w:rsidRDefault="002A21AE">
                  <w:pPr>
                    <w:pStyle w:val="TableText"/>
                    <w:jc w:val="center"/>
                    <w:rPr>
                      <w:b/>
                    </w:rPr>
                  </w:pPr>
                  <w:r>
                    <w:rPr>
                      <w:b/>
                    </w:rPr>
                    <w:t>Entry</w:t>
                  </w:r>
                </w:p>
              </w:tc>
              <w:tc>
                <w:tcPr>
                  <w:tcW w:w="3780" w:type="dxa"/>
                  <w:gridSpan w:val="2"/>
                  <w:shd w:val="clear" w:color="auto" w:fill="B3B3B3"/>
                </w:tcPr>
                <w:p w14:paraId="4910530B" w14:textId="77777777" w:rsidR="002A21AE" w:rsidRDefault="002A21AE">
                  <w:pPr>
                    <w:pStyle w:val="TableText"/>
                    <w:jc w:val="center"/>
                    <w:rPr>
                      <w:b/>
                    </w:rPr>
                  </w:pPr>
                  <w:r>
                    <w:rPr>
                      <w:b/>
                    </w:rPr>
                    <w:t>VBECS Translation</w:t>
                  </w:r>
                </w:p>
              </w:tc>
            </w:tr>
            <w:tr w:rsidR="002A21AE" w14:paraId="18A207FA" w14:textId="77777777">
              <w:tc>
                <w:tcPr>
                  <w:tcW w:w="720" w:type="dxa"/>
                </w:tcPr>
                <w:p w14:paraId="6E9F8EB2" w14:textId="77777777" w:rsidR="002A21AE" w:rsidRDefault="002A21AE">
                  <w:pPr>
                    <w:pStyle w:val="TableText"/>
                    <w:jc w:val="center"/>
                  </w:pPr>
                  <w:r>
                    <w:t>1</w:t>
                  </w:r>
                </w:p>
              </w:tc>
              <w:tc>
                <w:tcPr>
                  <w:tcW w:w="2520" w:type="dxa"/>
                </w:tcPr>
                <w:p w14:paraId="7A323899" w14:textId="77777777" w:rsidR="002A21AE" w:rsidRDefault="002A21AE">
                  <w:pPr>
                    <w:pStyle w:val="TableText"/>
                  </w:pPr>
                  <w:r>
                    <w:t>1+</w:t>
                  </w:r>
                </w:p>
              </w:tc>
              <w:tc>
                <w:tcPr>
                  <w:tcW w:w="1260" w:type="dxa"/>
                </w:tcPr>
                <w:p w14:paraId="73B2422F" w14:textId="77777777" w:rsidR="002A21AE" w:rsidRDefault="002A21AE">
                  <w:pPr>
                    <w:pStyle w:val="TableText"/>
                  </w:pPr>
                  <w:r>
                    <w:t>Positive</w:t>
                  </w:r>
                </w:p>
              </w:tc>
            </w:tr>
            <w:tr w:rsidR="002A21AE" w14:paraId="5304C826" w14:textId="77777777">
              <w:tc>
                <w:tcPr>
                  <w:tcW w:w="720" w:type="dxa"/>
                </w:tcPr>
                <w:p w14:paraId="1B18C1E3" w14:textId="77777777" w:rsidR="002A21AE" w:rsidRDefault="002A21AE">
                  <w:pPr>
                    <w:pStyle w:val="TableText"/>
                    <w:jc w:val="center"/>
                  </w:pPr>
                  <w:r>
                    <w:t>2</w:t>
                  </w:r>
                </w:p>
              </w:tc>
              <w:tc>
                <w:tcPr>
                  <w:tcW w:w="2520" w:type="dxa"/>
                </w:tcPr>
                <w:p w14:paraId="1FD2E08F" w14:textId="77777777" w:rsidR="002A21AE" w:rsidRDefault="002A21AE">
                  <w:pPr>
                    <w:pStyle w:val="TableText"/>
                  </w:pPr>
                  <w:r>
                    <w:t>2+</w:t>
                  </w:r>
                </w:p>
              </w:tc>
              <w:tc>
                <w:tcPr>
                  <w:tcW w:w="1260" w:type="dxa"/>
                </w:tcPr>
                <w:p w14:paraId="77FD7F2D" w14:textId="77777777" w:rsidR="002A21AE" w:rsidRDefault="002A21AE">
                  <w:pPr>
                    <w:pStyle w:val="TableText"/>
                  </w:pPr>
                  <w:r>
                    <w:t>Positive</w:t>
                  </w:r>
                </w:p>
              </w:tc>
            </w:tr>
            <w:tr w:rsidR="002A21AE" w14:paraId="4738BB76" w14:textId="77777777">
              <w:tc>
                <w:tcPr>
                  <w:tcW w:w="720" w:type="dxa"/>
                </w:tcPr>
                <w:p w14:paraId="797F3BBC" w14:textId="77777777" w:rsidR="002A21AE" w:rsidRDefault="002A21AE">
                  <w:pPr>
                    <w:pStyle w:val="TableText"/>
                    <w:jc w:val="center"/>
                  </w:pPr>
                  <w:r>
                    <w:t>3</w:t>
                  </w:r>
                </w:p>
              </w:tc>
              <w:tc>
                <w:tcPr>
                  <w:tcW w:w="2520" w:type="dxa"/>
                </w:tcPr>
                <w:p w14:paraId="212384A6" w14:textId="77777777" w:rsidR="002A21AE" w:rsidRDefault="002A21AE">
                  <w:pPr>
                    <w:pStyle w:val="TableText"/>
                  </w:pPr>
                  <w:r>
                    <w:t>3+</w:t>
                  </w:r>
                </w:p>
              </w:tc>
              <w:tc>
                <w:tcPr>
                  <w:tcW w:w="1260" w:type="dxa"/>
                </w:tcPr>
                <w:p w14:paraId="6AA496C4" w14:textId="77777777" w:rsidR="002A21AE" w:rsidRDefault="002A21AE">
                  <w:pPr>
                    <w:pStyle w:val="TableText"/>
                  </w:pPr>
                  <w:r>
                    <w:t>Positive</w:t>
                  </w:r>
                </w:p>
              </w:tc>
            </w:tr>
            <w:tr w:rsidR="002A21AE" w14:paraId="0D38CE74" w14:textId="77777777">
              <w:tc>
                <w:tcPr>
                  <w:tcW w:w="720" w:type="dxa"/>
                </w:tcPr>
                <w:p w14:paraId="667C8B09" w14:textId="77777777" w:rsidR="002A21AE" w:rsidRDefault="002A21AE">
                  <w:pPr>
                    <w:pStyle w:val="TableText"/>
                    <w:jc w:val="center"/>
                  </w:pPr>
                  <w:r>
                    <w:t>4</w:t>
                  </w:r>
                </w:p>
              </w:tc>
              <w:tc>
                <w:tcPr>
                  <w:tcW w:w="2520" w:type="dxa"/>
                </w:tcPr>
                <w:p w14:paraId="52EECB0F" w14:textId="77777777" w:rsidR="002A21AE" w:rsidRDefault="002A21AE">
                  <w:pPr>
                    <w:pStyle w:val="TableText"/>
                  </w:pPr>
                  <w:r>
                    <w:t>4+</w:t>
                  </w:r>
                </w:p>
              </w:tc>
              <w:tc>
                <w:tcPr>
                  <w:tcW w:w="1260" w:type="dxa"/>
                </w:tcPr>
                <w:p w14:paraId="2DF0E2C8" w14:textId="77777777" w:rsidR="002A21AE" w:rsidRDefault="002A21AE">
                  <w:pPr>
                    <w:pStyle w:val="TableText"/>
                  </w:pPr>
                  <w:r>
                    <w:t>Positive</w:t>
                  </w:r>
                </w:p>
              </w:tc>
            </w:tr>
            <w:tr w:rsidR="006D384A" w14:paraId="2863207E" w14:textId="77777777">
              <w:tc>
                <w:tcPr>
                  <w:tcW w:w="720" w:type="dxa"/>
                </w:tcPr>
                <w:p w14:paraId="5754E9AB" w14:textId="77777777" w:rsidR="006D384A" w:rsidRDefault="006D384A">
                  <w:pPr>
                    <w:pStyle w:val="TableText"/>
                    <w:jc w:val="center"/>
                  </w:pPr>
                  <w:r>
                    <w:t>W</w:t>
                  </w:r>
                </w:p>
              </w:tc>
              <w:tc>
                <w:tcPr>
                  <w:tcW w:w="2520" w:type="dxa"/>
                </w:tcPr>
                <w:p w14:paraId="6F95216E" w14:textId="77777777" w:rsidR="006D384A" w:rsidRDefault="006D384A">
                  <w:pPr>
                    <w:pStyle w:val="TableText"/>
                  </w:pPr>
                  <w:r>
                    <w:t>Weak</w:t>
                  </w:r>
                </w:p>
              </w:tc>
              <w:tc>
                <w:tcPr>
                  <w:tcW w:w="1260" w:type="dxa"/>
                </w:tcPr>
                <w:p w14:paraId="473070C5" w14:textId="77777777" w:rsidR="006D384A" w:rsidRDefault="006D384A" w:rsidP="0079413B">
                  <w:pPr>
                    <w:pStyle w:val="TableText"/>
                  </w:pPr>
                  <w:r>
                    <w:t>Positive</w:t>
                  </w:r>
                </w:p>
              </w:tc>
            </w:tr>
            <w:tr w:rsidR="006D384A" w14:paraId="3CA96AAE" w14:textId="77777777">
              <w:tc>
                <w:tcPr>
                  <w:tcW w:w="720" w:type="dxa"/>
                </w:tcPr>
                <w:p w14:paraId="7DE23CF7" w14:textId="77777777" w:rsidR="006D384A" w:rsidRDefault="006D384A">
                  <w:pPr>
                    <w:pStyle w:val="TableText"/>
                    <w:jc w:val="center"/>
                  </w:pPr>
                  <w:r>
                    <w:t>F</w:t>
                  </w:r>
                </w:p>
              </w:tc>
              <w:tc>
                <w:tcPr>
                  <w:tcW w:w="2520" w:type="dxa"/>
                </w:tcPr>
                <w:p w14:paraId="6B49BC99" w14:textId="77777777" w:rsidR="006D384A" w:rsidRDefault="006D384A">
                  <w:pPr>
                    <w:pStyle w:val="TableText"/>
                  </w:pPr>
                  <w:r>
                    <w:t>Mixed Field</w:t>
                  </w:r>
                </w:p>
              </w:tc>
              <w:tc>
                <w:tcPr>
                  <w:tcW w:w="1260" w:type="dxa"/>
                </w:tcPr>
                <w:p w14:paraId="06D536F1" w14:textId="77777777" w:rsidR="006D384A" w:rsidRDefault="006D384A" w:rsidP="0079413B">
                  <w:pPr>
                    <w:pStyle w:val="TableText"/>
                  </w:pPr>
                  <w:r>
                    <w:t>Positive</w:t>
                  </w:r>
                </w:p>
              </w:tc>
            </w:tr>
            <w:tr w:rsidR="006D384A" w14:paraId="5E42F902" w14:textId="77777777">
              <w:tc>
                <w:tcPr>
                  <w:tcW w:w="720" w:type="dxa"/>
                </w:tcPr>
                <w:p w14:paraId="4A6E78B7" w14:textId="77777777" w:rsidR="006D384A" w:rsidRDefault="006D384A">
                  <w:pPr>
                    <w:pStyle w:val="TableText"/>
                    <w:jc w:val="center"/>
                  </w:pPr>
                  <w:r>
                    <w:t>M</w:t>
                  </w:r>
                </w:p>
              </w:tc>
              <w:tc>
                <w:tcPr>
                  <w:tcW w:w="2520" w:type="dxa"/>
                </w:tcPr>
                <w:p w14:paraId="0B19E6B7" w14:textId="77777777" w:rsidR="006D384A" w:rsidRDefault="006D384A">
                  <w:pPr>
                    <w:pStyle w:val="TableText"/>
                  </w:pPr>
                  <w:r>
                    <w:t>Microscopic</w:t>
                  </w:r>
                </w:p>
              </w:tc>
              <w:tc>
                <w:tcPr>
                  <w:tcW w:w="1260" w:type="dxa"/>
                </w:tcPr>
                <w:p w14:paraId="7BB4B2F9" w14:textId="77777777" w:rsidR="006D384A" w:rsidRDefault="006D384A" w:rsidP="0079413B">
                  <w:pPr>
                    <w:pStyle w:val="TableText"/>
                  </w:pPr>
                  <w:r>
                    <w:t>Positive</w:t>
                  </w:r>
                </w:p>
              </w:tc>
            </w:tr>
            <w:tr w:rsidR="002A21AE" w14:paraId="7AF6BFC1" w14:textId="77777777">
              <w:tc>
                <w:tcPr>
                  <w:tcW w:w="720" w:type="dxa"/>
                </w:tcPr>
                <w:p w14:paraId="4A57B9FC" w14:textId="77777777" w:rsidR="002A21AE" w:rsidRDefault="002A21AE">
                  <w:pPr>
                    <w:pStyle w:val="TableText"/>
                    <w:jc w:val="center"/>
                  </w:pPr>
                  <w:r>
                    <w:t>X</w:t>
                  </w:r>
                </w:p>
              </w:tc>
              <w:tc>
                <w:tcPr>
                  <w:tcW w:w="2520" w:type="dxa"/>
                </w:tcPr>
                <w:p w14:paraId="2286E6D8" w14:textId="77777777" w:rsidR="002A21AE" w:rsidRDefault="002A21AE">
                  <w:pPr>
                    <w:pStyle w:val="TableText"/>
                  </w:pPr>
                  <w:r>
                    <w:t>Not Tested</w:t>
                  </w:r>
                  <w:r w:rsidR="002F7FF1">
                    <w:t xml:space="preserve"> X (Not Tested) (does not indicate a disabled cell)</w:t>
                  </w:r>
                </w:p>
              </w:tc>
              <w:tc>
                <w:tcPr>
                  <w:tcW w:w="1260" w:type="dxa"/>
                </w:tcPr>
                <w:p w14:paraId="2C52AE55" w14:textId="77777777" w:rsidR="002A21AE" w:rsidRDefault="002A21AE">
                  <w:pPr>
                    <w:pStyle w:val="TableText"/>
                  </w:pPr>
                  <w:r>
                    <w:t>Not Tested</w:t>
                  </w:r>
                </w:p>
              </w:tc>
            </w:tr>
            <w:tr w:rsidR="002A21AE" w14:paraId="76C457F8" w14:textId="77777777">
              <w:tc>
                <w:tcPr>
                  <w:tcW w:w="720" w:type="dxa"/>
                </w:tcPr>
                <w:p w14:paraId="672736E3" w14:textId="77777777" w:rsidR="002A21AE" w:rsidRDefault="002A21AE">
                  <w:pPr>
                    <w:pStyle w:val="TableText"/>
                    <w:jc w:val="center"/>
                  </w:pPr>
                  <w:r>
                    <w:t>0</w:t>
                  </w:r>
                </w:p>
              </w:tc>
              <w:tc>
                <w:tcPr>
                  <w:tcW w:w="2520" w:type="dxa"/>
                </w:tcPr>
                <w:p w14:paraId="66719255" w14:textId="77777777" w:rsidR="002A21AE" w:rsidRDefault="002A21AE">
                  <w:pPr>
                    <w:pStyle w:val="TableText"/>
                  </w:pPr>
                  <w:r>
                    <w:t>No Agglutination</w:t>
                  </w:r>
                </w:p>
              </w:tc>
              <w:tc>
                <w:tcPr>
                  <w:tcW w:w="1260" w:type="dxa"/>
                </w:tcPr>
                <w:p w14:paraId="2E07A7FD" w14:textId="77777777" w:rsidR="002A21AE" w:rsidRDefault="002A21AE">
                  <w:pPr>
                    <w:pStyle w:val="TableText"/>
                  </w:pPr>
                  <w:r>
                    <w:t>Negative</w:t>
                  </w:r>
                </w:p>
              </w:tc>
            </w:tr>
            <w:tr w:rsidR="002A21AE" w14:paraId="54CF0D0E" w14:textId="77777777">
              <w:tc>
                <w:tcPr>
                  <w:tcW w:w="720" w:type="dxa"/>
                </w:tcPr>
                <w:p w14:paraId="656FB4BC" w14:textId="77777777" w:rsidR="002A21AE" w:rsidRDefault="002A21AE">
                  <w:pPr>
                    <w:pStyle w:val="TableText"/>
                    <w:jc w:val="center"/>
                  </w:pPr>
                  <w:r>
                    <w:t>R</w:t>
                  </w:r>
                </w:p>
              </w:tc>
              <w:tc>
                <w:tcPr>
                  <w:tcW w:w="2520" w:type="dxa"/>
                </w:tcPr>
                <w:p w14:paraId="09758304" w14:textId="77777777" w:rsidR="002A21AE" w:rsidRDefault="002A21AE">
                  <w:pPr>
                    <w:pStyle w:val="TableText"/>
                  </w:pPr>
                  <w:r>
                    <w:t>Rouleaux, No Agglutination</w:t>
                  </w:r>
                </w:p>
              </w:tc>
              <w:tc>
                <w:tcPr>
                  <w:tcW w:w="1260" w:type="dxa"/>
                </w:tcPr>
                <w:p w14:paraId="7C2FE772" w14:textId="77777777" w:rsidR="002A21AE" w:rsidRDefault="002A21AE">
                  <w:pPr>
                    <w:pStyle w:val="TableText"/>
                  </w:pPr>
                  <w:r>
                    <w:t>Negative</w:t>
                  </w:r>
                </w:p>
              </w:tc>
            </w:tr>
          </w:tbl>
          <w:p w14:paraId="2634A9AE" w14:textId="77777777" w:rsidR="002A21AE" w:rsidRDefault="002A21AE">
            <w:pPr>
              <w:pStyle w:val="NotesText"/>
            </w:pPr>
          </w:p>
          <w:p w14:paraId="4D5E38A6" w14:textId="77777777" w:rsidR="002A21AE" w:rsidRDefault="002A21AE">
            <w:pPr>
              <w:pStyle w:val="NotesText"/>
            </w:pPr>
            <w:r>
              <w:rPr>
                <w:rFonts w:cs="Arial"/>
                <w:vanish/>
              </w:rPr>
              <w:t>BR_41.19</w:t>
            </w:r>
            <w:r>
              <w:t>System rules establish row validation for the interpretation vs. reaction results pattern [for all user-indicated phase(s) of reactivity] for blood unit and quality control tests.</w:t>
            </w:r>
          </w:p>
          <w:p w14:paraId="32B01A3D" w14:textId="77777777" w:rsidR="002A21AE" w:rsidRDefault="002A21AE">
            <w:pPr>
              <w:pStyle w:val="NotesText"/>
            </w:pPr>
          </w:p>
          <w:p w14:paraId="28EB5926" w14:textId="77777777" w:rsidR="002A21AE" w:rsidRDefault="002A21AE">
            <w:pPr>
              <w:pStyle w:val="NotesText"/>
            </w:pPr>
            <w:r>
              <w:rPr>
                <w:rFonts w:cs="Arial"/>
                <w:vanish/>
              </w:rPr>
              <w:t xml:space="preserve">BR_41.13 </w:t>
            </w:r>
            <w:r>
              <w:t>When completing previously saved partially completed testing, the user may not change the antiserum lot number, manufacturer name, or expiration date. The user must invalidate the antiserum testing and start over.</w:t>
            </w:r>
          </w:p>
        </w:tc>
      </w:tr>
      <w:tr w:rsidR="002A21AE" w14:paraId="1E189CEB" w14:textId="77777777">
        <w:tc>
          <w:tcPr>
            <w:tcW w:w="3240" w:type="dxa"/>
          </w:tcPr>
          <w:p w14:paraId="767B5438" w14:textId="77777777" w:rsidR="002A21AE" w:rsidRDefault="002A21AE">
            <w:pPr>
              <w:pStyle w:val="TableTextNumbers"/>
            </w:pPr>
            <w:r>
              <w:t>Enter results for selected patients and control cells.</w:t>
            </w:r>
          </w:p>
        </w:tc>
        <w:tc>
          <w:tcPr>
            <w:tcW w:w="6120" w:type="dxa"/>
          </w:tcPr>
          <w:p w14:paraId="745ADDC1" w14:textId="77777777" w:rsidR="002A21AE" w:rsidRDefault="002A21AE">
            <w:pPr>
              <w:pStyle w:val="TableTextBullet"/>
            </w:pPr>
            <w:r>
              <w:t>Prompts the user to confirm that results were reviewed and are acceptable.</w:t>
            </w:r>
          </w:p>
          <w:p w14:paraId="5CFA273A" w14:textId="77777777" w:rsidR="002A21AE" w:rsidRDefault="002A21AE">
            <w:pPr>
              <w:pStyle w:val="TableText"/>
            </w:pPr>
          </w:p>
          <w:p w14:paraId="03BFCE7D" w14:textId="1753A309" w:rsidR="002A21AE" w:rsidRDefault="002A21AE">
            <w:pPr>
              <w:pStyle w:val="TableText"/>
              <w:rPr>
                <w:b/>
                <w:bCs/>
                <w:szCs w:val="18"/>
              </w:rPr>
            </w:pPr>
            <w:r>
              <w:rPr>
                <w:b/>
                <w:bCs/>
                <w:szCs w:val="18"/>
              </w:rPr>
              <w:t>NOTES</w:t>
            </w:r>
          </w:p>
          <w:p w14:paraId="706152E5" w14:textId="77777777" w:rsidR="002A21AE" w:rsidRDefault="002A21AE">
            <w:pPr>
              <w:pStyle w:val="NotesText"/>
            </w:pPr>
          </w:p>
          <w:p w14:paraId="60B611F3" w14:textId="77777777" w:rsidR="002A21AE" w:rsidRDefault="002A21AE">
            <w:pPr>
              <w:pStyle w:val="NotesText"/>
              <w:rPr>
                <w:rFonts w:eastAsia="Symbol"/>
              </w:rPr>
            </w:pPr>
            <w:r>
              <w:rPr>
                <w:rFonts w:cs="Arial"/>
                <w:vanish/>
              </w:rPr>
              <w:t>BR_98.01</w:t>
            </w:r>
            <w:r w:rsidR="004F5F28" w:rsidRPr="00323744">
              <w:rPr>
                <w:rStyle w:val="BullhornChar"/>
              </w:rPr>
              <w:t></w:t>
            </w:r>
            <w:r w:rsidR="004F5F28">
              <w:rPr>
                <w:rFonts w:ascii="Webdings" w:hAnsi="Webdings"/>
              </w:rPr>
              <w:t></w:t>
            </w:r>
            <w:r>
              <w:rPr>
                <w:rFonts w:eastAsia="Symbol"/>
              </w:rPr>
              <w:t xml:space="preserve">VBECS searches the current order and the patient’s historical record for previously entered red cell antigen results for each specificity within the user’s division and compares the results to prevent a discrepancy with previous test entries. When a discrepancy is found, VBECS </w:t>
            </w:r>
            <w:r>
              <w:t>emits an audible alert, notifies the user that t</w:t>
            </w:r>
            <w:r>
              <w:rPr>
                <w:rFonts w:eastAsia="Symbol"/>
              </w:rPr>
              <w:t>he current specimen and a previously entered antigen typing on this patient do not match, and asks whether the user wishes to save the current result.</w:t>
            </w:r>
          </w:p>
          <w:p w14:paraId="43DB93BC" w14:textId="77777777" w:rsidR="002A21AE" w:rsidRDefault="002A21AE">
            <w:pPr>
              <w:pStyle w:val="NotesText"/>
              <w:rPr>
                <w:rFonts w:eastAsia="Symbol"/>
                <w:b/>
              </w:rPr>
            </w:pPr>
          </w:p>
          <w:p w14:paraId="59BF61D2" w14:textId="77777777" w:rsidR="002A21AE" w:rsidRPr="00BF10B2" w:rsidRDefault="002A21AE">
            <w:pPr>
              <w:pStyle w:val="NotesText"/>
            </w:pPr>
            <w:r w:rsidRPr="00BF10B2">
              <w:rPr>
                <w:rFonts w:eastAsia="Symbol"/>
                <w:b/>
              </w:rPr>
              <w:t>No</w:t>
            </w:r>
            <w:r w:rsidRPr="00BF10B2">
              <w:rPr>
                <w:rFonts w:eastAsia="Symbol"/>
              </w:rPr>
              <w:t xml:space="preserve"> closes the form and returns to the grid. </w:t>
            </w:r>
            <w:r w:rsidRPr="00BF10B2">
              <w:rPr>
                <w:rFonts w:eastAsia="Symbol"/>
                <w:b/>
              </w:rPr>
              <w:t>Yes</w:t>
            </w:r>
            <w:r w:rsidRPr="00BF10B2">
              <w:rPr>
                <w:rFonts w:eastAsia="Symbol"/>
              </w:rPr>
              <w:t xml:space="preserve"> allows the user to update the conflicting results in the database and/or enter a </w:t>
            </w:r>
            <w:r w:rsidRPr="00BF10B2">
              <w:rPr>
                <w:rFonts w:eastAsia="Symbol"/>
              </w:rPr>
              <w:lastRenderedPageBreak/>
              <w:t>comment explaining why he is accepting this result. VBECS captures details for inclusion in an Exception Report (exception type: discrepant patient antigen typing).</w:t>
            </w:r>
          </w:p>
        </w:tc>
      </w:tr>
      <w:tr w:rsidR="002A21AE" w14:paraId="5BD0DAEC" w14:textId="77777777">
        <w:tc>
          <w:tcPr>
            <w:tcW w:w="3240" w:type="dxa"/>
          </w:tcPr>
          <w:p w14:paraId="31489EDE" w14:textId="0C9AA605" w:rsidR="002A21AE" w:rsidRDefault="002A21AE">
            <w:pPr>
              <w:pStyle w:val="TableTextNumbers"/>
            </w:pPr>
            <w:r>
              <w:lastRenderedPageBreak/>
              <w:t>Repeat Steps 5</w:t>
            </w:r>
            <w:r w:rsidR="004F5589">
              <w:t xml:space="preserve"> through </w:t>
            </w:r>
            <w:r>
              <w:t>9 for each antiserum type.</w:t>
            </w:r>
          </w:p>
        </w:tc>
        <w:tc>
          <w:tcPr>
            <w:tcW w:w="6120" w:type="dxa"/>
          </w:tcPr>
          <w:p w14:paraId="4A0366AA" w14:textId="77777777" w:rsidR="002A21AE" w:rsidRDefault="002A21AE">
            <w:pPr>
              <w:pStyle w:val="TableTextBullet"/>
            </w:pPr>
            <w:r>
              <w:t>Allows the user to save.</w:t>
            </w:r>
          </w:p>
          <w:p w14:paraId="7F86748D" w14:textId="77777777" w:rsidR="002A21AE" w:rsidRDefault="002A21AE">
            <w:pPr>
              <w:pStyle w:val="TableText"/>
            </w:pPr>
          </w:p>
          <w:p w14:paraId="64323B88" w14:textId="7EA246AA" w:rsidR="002A21AE" w:rsidRDefault="002A21AE">
            <w:pPr>
              <w:pStyle w:val="TableText"/>
              <w:rPr>
                <w:b/>
                <w:bCs/>
                <w:szCs w:val="18"/>
              </w:rPr>
            </w:pPr>
            <w:r>
              <w:rPr>
                <w:b/>
                <w:bCs/>
                <w:szCs w:val="18"/>
              </w:rPr>
              <w:t>NOTES</w:t>
            </w:r>
          </w:p>
          <w:p w14:paraId="7622C96A" w14:textId="77777777" w:rsidR="002A21AE" w:rsidRDefault="002A21AE">
            <w:pPr>
              <w:pStyle w:val="NotesText"/>
            </w:pPr>
          </w:p>
          <w:p w14:paraId="2F95CEC3" w14:textId="77777777" w:rsidR="009256FE" w:rsidRDefault="009256FE" w:rsidP="009256FE">
            <w:pPr>
              <w:pStyle w:val="NotesText"/>
            </w:pPr>
            <w:r>
              <w:t>The positive and/or negative control cell test results on the date of testing must be a valid positive or negative.</w:t>
            </w:r>
          </w:p>
          <w:p w14:paraId="2129CE02" w14:textId="77777777" w:rsidR="002A21AE" w:rsidRDefault="002A21AE" w:rsidP="009256FE">
            <w:pPr>
              <w:pStyle w:val="NotesText"/>
              <w:ind w:left="0"/>
            </w:pPr>
          </w:p>
        </w:tc>
      </w:tr>
      <w:tr w:rsidR="002A21AE" w14:paraId="153DC765" w14:textId="77777777">
        <w:tc>
          <w:tcPr>
            <w:tcW w:w="3240" w:type="dxa"/>
          </w:tcPr>
          <w:p w14:paraId="766B7269" w14:textId="77777777" w:rsidR="002A21AE" w:rsidRDefault="002A21AE">
            <w:pPr>
              <w:pStyle w:val="TableTextNumbers"/>
            </w:pPr>
            <w:r>
              <w:t xml:space="preserve">Respond to warnings and click </w:t>
            </w:r>
            <w:r>
              <w:rPr>
                <w:b/>
              </w:rPr>
              <w:t>OK</w:t>
            </w:r>
            <w:r>
              <w:t xml:space="preserve"> to save the data.</w:t>
            </w:r>
          </w:p>
        </w:tc>
        <w:tc>
          <w:tcPr>
            <w:tcW w:w="6120" w:type="dxa"/>
          </w:tcPr>
          <w:p w14:paraId="13112ED1" w14:textId="77777777" w:rsidR="002A21AE" w:rsidRDefault="002A21AE">
            <w:pPr>
              <w:pStyle w:val="TableTextBullet"/>
            </w:pPr>
            <w:r>
              <w:t xml:space="preserve">Reconfirms that all appropriate test results are entered, repeats all data validation, and saves the data. </w:t>
            </w:r>
          </w:p>
        </w:tc>
      </w:tr>
      <w:tr w:rsidR="002A21AE" w14:paraId="54617D21" w14:textId="77777777">
        <w:tc>
          <w:tcPr>
            <w:tcW w:w="3240" w:type="dxa"/>
          </w:tcPr>
          <w:p w14:paraId="7E171B65" w14:textId="77777777" w:rsidR="002A21AE" w:rsidRDefault="002A21AE">
            <w:pPr>
              <w:pStyle w:val="TableTextNumbers"/>
            </w:pPr>
            <w:r>
              <w:t xml:space="preserve">Click </w:t>
            </w:r>
            <w:r>
              <w:rPr>
                <w:b/>
              </w:rPr>
              <w:t>OK</w:t>
            </w:r>
            <w:r>
              <w:t xml:space="preserve"> to exit.</w:t>
            </w:r>
            <w:r w:rsidRPr="00B93B42">
              <w:rPr>
                <w:rStyle w:val="StyleTableTextNumbersWhite1Char"/>
              </w:rPr>
              <w:t xml:space="preserve"> </w:t>
            </w:r>
            <w:r>
              <w:rPr>
                <w:vanish/>
                <w:color w:val="FFFFFF"/>
                <w:szCs w:val="18"/>
              </w:rPr>
              <w:fldChar w:fldCharType="begin"/>
            </w:r>
            <w:r>
              <w:rPr>
                <w:vanish/>
                <w:color w:val="FFFFFF"/>
                <w:szCs w:val="18"/>
              </w:rPr>
              <w:instrText xml:space="preserve"> LISTNUM \l 1 \s 0 </w:instrText>
            </w:r>
            <w:r>
              <w:rPr>
                <w:vanish/>
                <w:color w:val="FFFFFF"/>
                <w:szCs w:val="18"/>
              </w:rPr>
              <w:fldChar w:fldCharType="end">
                <w:numberingChange w:id="556" w:author="MUSZYNSKI, THOMAS D. (SIERRA 7 INC)" w:date="2024-11-26T07:15:00Z" w:original="0."/>
              </w:fldChar>
            </w:r>
          </w:p>
        </w:tc>
        <w:tc>
          <w:tcPr>
            <w:tcW w:w="6120" w:type="dxa"/>
          </w:tcPr>
          <w:p w14:paraId="5782EA40" w14:textId="77777777" w:rsidR="002A21AE" w:rsidRDefault="002A21AE">
            <w:pPr>
              <w:pStyle w:val="TableTextBullet"/>
            </w:pPr>
            <w:r>
              <w:t>Saves the data.</w:t>
            </w:r>
          </w:p>
        </w:tc>
      </w:tr>
    </w:tbl>
    <w:p w14:paraId="3B0A39B3" w14:textId="32D12376" w:rsidR="002A21AE" w:rsidRDefault="00AA3667" w:rsidP="00AA3667">
      <w:pPr>
        <w:pStyle w:val="Caption"/>
      </w:pPr>
      <w:bookmarkStart w:id="557" w:name="_Ref126727198"/>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7D1829">
        <w:rPr>
          <w:noProof/>
        </w:rPr>
        <w:t>99</w:t>
      </w:r>
      <w:r w:rsidR="004E20BD">
        <w:rPr>
          <w:noProof/>
        </w:rPr>
        <w:fldChar w:fldCharType="end"/>
      </w:r>
      <w:bookmarkEnd w:id="557"/>
      <w:r>
        <w:t>: Patient Testing Antigen Typing</w:t>
      </w:r>
      <w:r w:rsidR="001E3E16">
        <w:t xml:space="preserve"> (1)</w:t>
      </w:r>
    </w:p>
    <w:p w14:paraId="12545249" w14:textId="77777777" w:rsidR="00AA3667" w:rsidRPr="00AA3667" w:rsidRDefault="00057948" w:rsidP="00AA3667">
      <w:pPr>
        <w:pStyle w:val="BodyText"/>
      </w:pPr>
      <w:r>
        <w:rPr>
          <w:noProof/>
        </w:rPr>
        <w:drawing>
          <wp:inline distT="0" distB="0" distL="0" distR="0" wp14:anchorId="0C83A12E" wp14:editId="115CAFBF">
            <wp:extent cx="5781675" cy="3546475"/>
            <wp:effectExtent l="0" t="0" r="9525" b="0"/>
            <wp:docPr id="241" name="Picture 241" descr="Example of Patient Testing Antigen Typing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Picture 241" descr="Example of Patient Testing Antigen Typing screen capture"/>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5781675" cy="3546475"/>
                    </a:xfrm>
                    <a:prstGeom prst="rect">
                      <a:avLst/>
                    </a:prstGeom>
                    <a:noFill/>
                    <a:ln>
                      <a:noFill/>
                    </a:ln>
                  </pic:spPr>
                </pic:pic>
              </a:graphicData>
            </a:graphic>
          </wp:inline>
        </w:drawing>
      </w:r>
    </w:p>
    <w:p w14:paraId="47C240EC" w14:textId="589ABA60" w:rsidR="001E3E16" w:rsidRDefault="001E3E16" w:rsidP="001E3E16">
      <w:pPr>
        <w:pStyle w:val="Caption"/>
      </w:pPr>
      <w:bookmarkStart w:id="558" w:name="_Ref126727469"/>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7D1829">
        <w:rPr>
          <w:noProof/>
        </w:rPr>
        <w:t>100</w:t>
      </w:r>
      <w:r w:rsidR="004E20BD">
        <w:rPr>
          <w:noProof/>
        </w:rPr>
        <w:fldChar w:fldCharType="end"/>
      </w:r>
      <w:bookmarkEnd w:id="558"/>
      <w:r>
        <w:t>: Patient Testing Antigen Typing (2)</w:t>
      </w:r>
    </w:p>
    <w:p w14:paraId="02416AC4" w14:textId="77777777" w:rsidR="007810A1" w:rsidRDefault="00057948" w:rsidP="007810A1">
      <w:pPr>
        <w:pStyle w:val="BodyText"/>
      </w:pPr>
      <w:r>
        <w:rPr>
          <w:noProof/>
        </w:rPr>
        <w:drawing>
          <wp:inline distT="0" distB="0" distL="0" distR="0" wp14:anchorId="7AE7F157" wp14:editId="4015883C">
            <wp:extent cx="5939155" cy="4442460"/>
            <wp:effectExtent l="0" t="0" r="4445" b="0"/>
            <wp:docPr id="242" name="Picture 242" descr="Example of Patient Testing Antigen Typing (2)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Picture 242" descr="Example of Patient Testing Antigen Typing (2) screen capture"/>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5939155" cy="4442460"/>
                    </a:xfrm>
                    <a:prstGeom prst="rect">
                      <a:avLst/>
                    </a:prstGeom>
                    <a:noFill/>
                    <a:ln>
                      <a:noFill/>
                    </a:ln>
                  </pic:spPr>
                </pic:pic>
              </a:graphicData>
            </a:graphic>
          </wp:inline>
        </w:drawing>
      </w:r>
    </w:p>
    <w:p w14:paraId="22A98A31" w14:textId="77777777" w:rsidR="002A21AE" w:rsidRDefault="002A21AE">
      <w:pPr>
        <w:pStyle w:val="Heading3"/>
      </w:pPr>
      <w:r>
        <w:br w:type="page"/>
      </w:r>
      <w:bookmarkStart w:id="559" w:name="_Toc203765928"/>
      <w:r>
        <w:lastRenderedPageBreak/>
        <w:t xml:space="preserve">Patient Testing: </w:t>
      </w:r>
      <w:r w:rsidR="00244FCD">
        <w:t>Enter Antibody Identification Results</w:t>
      </w:r>
      <w:bookmarkEnd w:id="554"/>
      <w:bookmarkEnd w:id="559"/>
      <w:r>
        <w:fldChar w:fldCharType="begin"/>
      </w:r>
      <w:r>
        <w:instrText xml:space="preserve"> XE </w:instrText>
      </w:r>
      <w:r w:rsidR="00FA7E65">
        <w:instrText>“</w:instrText>
      </w:r>
      <w:r>
        <w:instrText xml:space="preserve">Patient Testing\: </w:instrText>
      </w:r>
      <w:r w:rsidR="00244FCD">
        <w:instrText>Enter Antibody Identification Results</w:instrText>
      </w:r>
      <w:r w:rsidR="00FA7E65">
        <w:instrText>”</w:instrText>
      </w:r>
      <w:r>
        <w:instrText xml:space="preserve"> </w:instrText>
      </w:r>
      <w:r>
        <w:fldChar w:fldCharType="end"/>
      </w:r>
      <w:r>
        <w:t xml:space="preserve"> </w:t>
      </w:r>
      <w:r>
        <w:rPr>
          <w:rFonts w:ascii="Times New Roman" w:hAnsi="Times New Roman" w:cs="Times New Roman"/>
          <w:b w:val="0"/>
          <w:vanish/>
          <w:sz w:val="22"/>
        </w:rPr>
        <w:t>UC_57</w:t>
      </w:r>
    </w:p>
    <w:p w14:paraId="5D273AFD" w14:textId="77777777" w:rsidR="002A21AE" w:rsidRDefault="002A21AE" w:rsidP="00FA7E65">
      <w:pPr>
        <w:pStyle w:val="BodyText"/>
      </w:pPr>
      <w:r>
        <w:t>The user records results of reflex tests needed to complete a patient blood bank antibody workup.</w:t>
      </w:r>
    </w:p>
    <w:p w14:paraId="450EEDCD" w14:textId="77777777" w:rsidR="002A21AE" w:rsidRDefault="002A21AE">
      <w:pPr>
        <w:pStyle w:val="Heading4"/>
      </w:pPr>
      <w:r>
        <w:t>Assumptions</w:t>
      </w:r>
    </w:p>
    <w:p w14:paraId="68C5AEE8" w14:textId="77777777" w:rsidR="002A21AE" w:rsidRDefault="002A21AE">
      <w:pPr>
        <w:pStyle w:val="ListBullet"/>
      </w:pPr>
      <w:r>
        <w:t>An order for an antibody identification (ABID) was placed and is opened in the Pending Task List (PTL).</w:t>
      </w:r>
    </w:p>
    <w:p w14:paraId="02D3E788" w14:textId="77777777" w:rsidR="002A21AE" w:rsidRDefault="002A21AE">
      <w:pPr>
        <w:pStyle w:val="Heading4"/>
      </w:pPr>
      <w:r>
        <w:t>Outcome</w:t>
      </w:r>
    </w:p>
    <w:p w14:paraId="1665F971" w14:textId="77777777" w:rsidR="002A21AE" w:rsidRDefault="002A21AE">
      <w:pPr>
        <w:pStyle w:val="ListBullet"/>
      </w:pPr>
      <w:r>
        <w:t>VBECS displays the ABID in the patient’s record, which the user may review by clicking an icon in the Patient Information Toolbar.</w:t>
      </w:r>
    </w:p>
    <w:p w14:paraId="611F1DE5" w14:textId="77777777" w:rsidR="002A21AE" w:rsidRDefault="002A21AE">
      <w:pPr>
        <w:pStyle w:val="ListBullet"/>
      </w:pPr>
      <w:r>
        <w:t>Entry of antibody specificity through this option may automatically set an antigen negative requirement [Transfusion Requirement (TR)] based on the division-specific parameters.</w:t>
      </w:r>
    </w:p>
    <w:p w14:paraId="01CAD3BB" w14:textId="77777777" w:rsidR="002A21AE" w:rsidRDefault="002A21AE">
      <w:pPr>
        <w:pStyle w:val="Heading4"/>
      </w:pPr>
      <w:r>
        <w:t>Limitations and Restrictions</w:t>
      </w:r>
    </w:p>
    <w:p w14:paraId="5D2951DF" w14:textId="77777777" w:rsidR="002A21AE" w:rsidRDefault="00FC0A61">
      <w:pPr>
        <w:pStyle w:val="ListBullet"/>
      </w:pPr>
      <w:r>
        <w:t xml:space="preserve">When an antigen negative requirement is not </w:t>
      </w:r>
      <w:r w:rsidR="00FC3A2C">
        <w:t xml:space="preserve">configured </w:t>
      </w:r>
      <w:r>
        <w:t>for an antibody, the user may enter the requirement for a patient through Special Instructions &amp; Transfusion Requirements: Enter a Transfusion Requirement.</w:t>
      </w:r>
    </w:p>
    <w:p w14:paraId="1536C6E9" w14:textId="77777777" w:rsidR="002A21AE" w:rsidRDefault="002A21AE">
      <w:pPr>
        <w:pStyle w:val="Heading4"/>
      </w:pPr>
      <w:r>
        <w:t>Additional Information</w:t>
      </w:r>
    </w:p>
    <w:p w14:paraId="71799C87" w14:textId="77777777" w:rsidR="002A21AE" w:rsidRDefault="002A21AE">
      <w:pPr>
        <w:pStyle w:val="ListBullet"/>
      </w:pPr>
      <w:r>
        <w:t xml:space="preserve">Correction to verified patient data may be accessed only through </w:t>
      </w:r>
      <w:r>
        <w:rPr>
          <w:snapToGrid w:val="0"/>
        </w:rPr>
        <w:t>Invalidate Test Results</w:t>
      </w:r>
      <w:r w:rsidR="007E549A">
        <w:rPr>
          <w:snapToGrid w:val="0"/>
        </w:rPr>
        <w:t xml:space="preserve"> and does require extensive removal of associated units, even if transfused. As this is the case, optionally record workload and billing here but the antibody specificity identified using Special Instructions Transfusion requirements option to allow for future editing</w:t>
      </w:r>
      <w:r>
        <w:t>.</w:t>
      </w:r>
    </w:p>
    <w:p w14:paraId="6176D69C" w14:textId="77777777" w:rsidR="002A21AE" w:rsidRDefault="002A21AE">
      <w:pPr>
        <w:pStyle w:val="ListBullet"/>
      </w:pPr>
      <w:r>
        <w:t>Only one technologist at a time can enter test results for a selected PTL task.</w:t>
      </w:r>
    </w:p>
    <w:p w14:paraId="27140A58" w14:textId="77777777" w:rsidR="002A21AE" w:rsidRDefault="002A21AE">
      <w:pPr>
        <w:pStyle w:val="ListBullet"/>
      </w:pPr>
      <w:r>
        <w:t>Patient antigen testing is not included in this option.</w:t>
      </w:r>
    </w:p>
    <w:p w14:paraId="46DDAC7B" w14:textId="77777777" w:rsidR="002A21AE" w:rsidRDefault="002A21AE">
      <w:pPr>
        <w:pStyle w:val="Heading4"/>
      </w:pPr>
      <w:r>
        <w:t>User Roles with Access to This Option</w:t>
      </w:r>
    </w:p>
    <w:p w14:paraId="412ED4B5" w14:textId="77777777" w:rsidR="002A21AE" w:rsidRDefault="0062763B">
      <w:pPr>
        <w:pStyle w:val="Roles"/>
        <w:rPr>
          <w:snapToGrid w:val="0"/>
        </w:rPr>
      </w:pPr>
      <w:r>
        <w:t>All users</w:t>
      </w:r>
    </w:p>
    <w:bookmarkEnd w:id="555"/>
    <w:p w14:paraId="3CA2FE6B" w14:textId="77777777" w:rsidR="002A21AE" w:rsidRDefault="002A21AE">
      <w:pPr>
        <w:pStyle w:val="Heading4"/>
      </w:pPr>
      <w:r>
        <w:t xml:space="preserve">Patient Testing: </w:t>
      </w:r>
      <w:r w:rsidR="00244FCD">
        <w:t>Enter Antibody Identification Results</w:t>
      </w:r>
    </w:p>
    <w:p w14:paraId="54072078" w14:textId="77777777" w:rsidR="002A21AE" w:rsidRDefault="002A21AE" w:rsidP="00FA7E65">
      <w:pPr>
        <w:pStyle w:val="BodyText"/>
      </w:pPr>
      <w:r>
        <w:t>The user may select workload codes for work performed on-site during the ABID workup. When the ABID is performed off-site, the user enters the associated charges.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3D56C0DA" w14:textId="77777777">
        <w:trPr>
          <w:cantSplit/>
          <w:tblHeader/>
        </w:trPr>
        <w:tc>
          <w:tcPr>
            <w:tcW w:w="3240" w:type="dxa"/>
            <w:shd w:val="pct30" w:color="auto" w:fill="FFFFFF"/>
            <w:vAlign w:val="bottom"/>
          </w:tcPr>
          <w:p w14:paraId="30756E04" w14:textId="77777777" w:rsidR="002A21AE" w:rsidRDefault="002A21AE">
            <w:pPr>
              <w:pStyle w:val="TableText"/>
              <w:rPr>
                <w:b/>
              </w:rPr>
            </w:pPr>
            <w:r>
              <w:rPr>
                <w:b/>
              </w:rPr>
              <w:t>User Action</w:t>
            </w:r>
          </w:p>
        </w:tc>
        <w:tc>
          <w:tcPr>
            <w:tcW w:w="6120" w:type="dxa"/>
            <w:shd w:val="pct30" w:color="auto" w:fill="FFFFFF"/>
            <w:vAlign w:val="bottom"/>
          </w:tcPr>
          <w:p w14:paraId="240A61CD" w14:textId="77777777" w:rsidR="002A21AE" w:rsidRDefault="002A21AE">
            <w:pPr>
              <w:pStyle w:val="TableText"/>
              <w:rPr>
                <w:b/>
              </w:rPr>
            </w:pPr>
            <w:r>
              <w:rPr>
                <w:b/>
              </w:rPr>
              <w:t>VBECS</w:t>
            </w:r>
          </w:p>
        </w:tc>
      </w:tr>
      <w:tr w:rsidR="00141448" w14:paraId="369DAE47" w14:textId="77777777">
        <w:tc>
          <w:tcPr>
            <w:tcW w:w="3240" w:type="dxa"/>
            <w:tcBorders>
              <w:top w:val="single" w:sz="4" w:space="0" w:color="auto"/>
              <w:left w:val="single" w:sz="4" w:space="0" w:color="auto"/>
              <w:bottom w:val="single" w:sz="4" w:space="0" w:color="auto"/>
              <w:right w:val="single" w:sz="4" w:space="0" w:color="auto"/>
            </w:tcBorders>
          </w:tcPr>
          <w:p w14:paraId="44313AB2" w14:textId="77777777" w:rsidR="00141448" w:rsidRDefault="00141448" w:rsidP="00141448">
            <w:pPr>
              <w:pStyle w:val="TableTextNumbers"/>
            </w:pPr>
            <w:r>
              <w:t xml:space="preserve">Select </w:t>
            </w:r>
            <w:r>
              <w:rPr>
                <w:b/>
              </w:rPr>
              <w:t>Patients</w:t>
            </w:r>
            <w:r>
              <w:t xml:space="preserve"> from the main menu.</w:t>
            </w:r>
          </w:p>
          <w:p w14:paraId="2FA58DCA" w14:textId="77777777" w:rsidR="00141448" w:rsidRDefault="00141448" w:rsidP="00141448">
            <w:pPr>
              <w:pStyle w:val="TableTextNumbersContinued"/>
            </w:pPr>
          </w:p>
          <w:p w14:paraId="7D3D5106" w14:textId="77777777" w:rsidR="00141448" w:rsidRDefault="00141448" w:rsidP="00141448">
            <w:pPr>
              <w:pStyle w:val="TableTextNumbersContinued"/>
            </w:pPr>
            <w:r>
              <w:t xml:space="preserve">Select </w:t>
            </w:r>
            <w:r>
              <w:rPr>
                <w:b/>
              </w:rPr>
              <w:t>Patient Testing</w:t>
            </w:r>
            <w:r>
              <w:t>.</w:t>
            </w:r>
          </w:p>
        </w:tc>
        <w:tc>
          <w:tcPr>
            <w:tcW w:w="6120" w:type="dxa"/>
            <w:tcBorders>
              <w:top w:val="single" w:sz="4" w:space="0" w:color="auto"/>
              <w:left w:val="single" w:sz="4" w:space="0" w:color="auto"/>
              <w:bottom w:val="single" w:sz="4" w:space="0" w:color="auto"/>
              <w:right w:val="single" w:sz="4" w:space="0" w:color="auto"/>
            </w:tcBorders>
          </w:tcPr>
          <w:p w14:paraId="345A60CC" w14:textId="77777777" w:rsidR="00141448" w:rsidRDefault="00141448" w:rsidP="00141448">
            <w:pPr>
              <w:pStyle w:val="TableTextBullet"/>
            </w:pPr>
            <w:r>
              <w:t xml:space="preserve">Displays options for processing patient-related functions. </w:t>
            </w:r>
          </w:p>
          <w:p w14:paraId="0A403147" w14:textId="77777777" w:rsidR="00141448" w:rsidRDefault="00141448" w:rsidP="00141448">
            <w:pPr>
              <w:pStyle w:val="TableTextBullet"/>
            </w:pPr>
            <w:r>
              <w:t>Displays the Pending Task List (PTL) in the Diagnostic Tests tab.</w:t>
            </w:r>
          </w:p>
          <w:p w14:paraId="5BAF28FD" w14:textId="77777777" w:rsidR="00141448" w:rsidRDefault="00141448" w:rsidP="00141448">
            <w:pPr>
              <w:pStyle w:val="NotesText"/>
            </w:pPr>
          </w:p>
          <w:p w14:paraId="69C45497" w14:textId="327DE304" w:rsidR="00141448" w:rsidRDefault="00141448" w:rsidP="00141448">
            <w:pPr>
              <w:pStyle w:val="TableText"/>
              <w:rPr>
                <w:b/>
                <w:bCs/>
                <w:szCs w:val="18"/>
              </w:rPr>
            </w:pPr>
            <w:r>
              <w:rPr>
                <w:b/>
                <w:bCs/>
                <w:szCs w:val="18"/>
              </w:rPr>
              <w:t>NOTES</w:t>
            </w:r>
          </w:p>
          <w:p w14:paraId="2BEE072A" w14:textId="77777777" w:rsidR="00141448" w:rsidRDefault="00141448" w:rsidP="00141448">
            <w:pPr>
              <w:pStyle w:val="NotesText"/>
            </w:pPr>
          </w:p>
          <w:p w14:paraId="659595B8" w14:textId="77777777" w:rsidR="00141448" w:rsidRDefault="00141448" w:rsidP="00141448">
            <w:pPr>
              <w:pStyle w:val="NotesText"/>
            </w:pPr>
            <w:r>
              <w:t>A user may search for specific tasks using search criteria detailed in Pending Task List.</w:t>
            </w:r>
          </w:p>
        </w:tc>
      </w:tr>
      <w:tr w:rsidR="00082F78" w14:paraId="62FA5451" w14:textId="77777777">
        <w:tc>
          <w:tcPr>
            <w:tcW w:w="3240" w:type="dxa"/>
          </w:tcPr>
          <w:p w14:paraId="5A33ABFD" w14:textId="77777777" w:rsidR="00082F78" w:rsidRDefault="00082F78" w:rsidP="00150254">
            <w:pPr>
              <w:pStyle w:val="TableTextNumbers"/>
            </w:pPr>
            <w:r>
              <w:t xml:space="preserve">Click one to four check boxes in the Pending Task List to select tasks for testing. </w:t>
            </w:r>
          </w:p>
          <w:p w14:paraId="0B59ECB8" w14:textId="77777777" w:rsidR="00082F78" w:rsidRDefault="00082F78" w:rsidP="00150254">
            <w:pPr>
              <w:pStyle w:val="TableTextNumbersContinued"/>
            </w:pPr>
          </w:p>
          <w:p w14:paraId="13DB0039" w14:textId="77777777" w:rsidR="00082F78" w:rsidRDefault="00082F78" w:rsidP="00150254">
            <w:pPr>
              <w:pStyle w:val="TableTextNumbersContinued"/>
            </w:pPr>
            <w:r>
              <w:t xml:space="preserve">Click </w:t>
            </w:r>
            <w:r>
              <w:rPr>
                <w:b/>
              </w:rPr>
              <w:t>OK</w:t>
            </w:r>
            <w:r>
              <w:t>.</w:t>
            </w:r>
          </w:p>
        </w:tc>
        <w:tc>
          <w:tcPr>
            <w:tcW w:w="6120" w:type="dxa"/>
          </w:tcPr>
          <w:p w14:paraId="53A45915" w14:textId="77777777" w:rsidR="00082F78" w:rsidRDefault="00082F78" w:rsidP="00150254">
            <w:pPr>
              <w:pStyle w:val="TableTextBullet"/>
            </w:pPr>
            <w:r>
              <w:t>Displays patient names and associated task information.</w:t>
            </w:r>
          </w:p>
        </w:tc>
      </w:tr>
      <w:tr w:rsidR="004216FC" w14:paraId="19BD584D" w14:textId="77777777" w:rsidTr="00F3651E">
        <w:trPr>
          <w:cantSplit/>
        </w:trPr>
        <w:tc>
          <w:tcPr>
            <w:tcW w:w="3240" w:type="dxa"/>
          </w:tcPr>
          <w:p w14:paraId="38819186" w14:textId="77777777" w:rsidR="004216FC" w:rsidRDefault="004216FC" w:rsidP="00142D18">
            <w:pPr>
              <w:pStyle w:val="TableTextNumbers"/>
            </w:pPr>
            <w:r>
              <w:lastRenderedPageBreak/>
              <w:t>Click a check box to select a reagent rack.</w:t>
            </w:r>
          </w:p>
          <w:p w14:paraId="5DB8A34F" w14:textId="77777777" w:rsidR="004216FC" w:rsidRDefault="004216FC" w:rsidP="00142D18">
            <w:pPr>
              <w:pStyle w:val="TableTextNumbersContinued"/>
            </w:pPr>
          </w:p>
          <w:p w14:paraId="0F5E018B" w14:textId="77777777" w:rsidR="004216FC" w:rsidRDefault="004216FC" w:rsidP="00142D18">
            <w:pPr>
              <w:pStyle w:val="TableTextNumbersContinued"/>
            </w:pPr>
            <w:r>
              <w:t xml:space="preserve">Click </w:t>
            </w:r>
            <w:r>
              <w:rPr>
                <w:b/>
              </w:rPr>
              <w:t>OK</w:t>
            </w:r>
            <w:r>
              <w:t xml:space="preserve"> to continue with testing.</w:t>
            </w:r>
          </w:p>
        </w:tc>
        <w:tc>
          <w:tcPr>
            <w:tcW w:w="6120" w:type="dxa"/>
          </w:tcPr>
          <w:p w14:paraId="246DDDEE" w14:textId="77777777" w:rsidR="004216FC" w:rsidRDefault="004216FC" w:rsidP="00142D18">
            <w:pPr>
              <w:pStyle w:val="TableText"/>
            </w:pPr>
          </w:p>
          <w:p w14:paraId="25E7C24A" w14:textId="227AE2A7" w:rsidR="004216FC" w:rsidRDefault="004216FC" w:rsidP="00142D18">
            <w:pPr>
              <w:pStyle w:val="TableText"/>
              <w:rPr>
                <w:b/>
                <w:bCs/>
                <w:szCs w:val="18"/>
              </w:rPr>
            </w:pPr>
            <w:r>
              <w:rPr>
                <w:b/>
                <w:bCs/>
                <w:szCs w:val="18"/>
              </w:rPr>
              <w:t>NOTES</w:t>
            </w:r>
          </w:p>
          <w:p w14:paraId="471547A8" w14:textId="77777777" w:rsidR="004216FC" w:rsidRPr="004216FC" w:rsidRDefault="004216FC" w:rsidP="00142D18">
            <w:pPr>
              <w:pStyle w:val="NotesText"/>
              <w:rPr>
                <w:szCs w:val="18"/>
              </w:rPr>
            </w:pPr>
          </w:p>
          <w:p w14:paraId="166AC968" w14:textId="77777777" w:rsidR="004216FC" w:rsidRDefault="004216FC" w:rsidP="00142D18">
            <w:pPr>
              <w:pStyle w:val="NotesText"/>
            </w:pPr>
            <w:r w:rsidRPr="004216FC">
              <w:rPr>
                <w:rFonts w:cs="Arial"/>
                <w:szCs w:val="18"/>
              </w:rPr>
              <w:t>No</w:t>
            </w:r>
            <w:r w:rsidR="00EB1438">
              <w:rPr>
                <w:rFonts w:cs="Arial"/>
                <w:szCs w:val="18"/>
              </w:rPr>
              <w:t xml:space="preserve"> serologic</w:t>
            </w:r>
            <w:r w:rsidRPr="004216FC">
              <w:rPr>
                <w:rFonts w:cs="Arial"/>
                <w:szCs w:val="18"/>
              </w:rPr>
              <w:t xml:space="preserve"> testing is recorded for ABID.</w:t>
            </w:r>
          </w:p>
        </w:tc>
      </w:tr>
      <w:tr w:rsidR="002A21AE" w14:paraId="4C3546FB" w14:textId="77777777">
        <w:tc>
          <w:tcPr>
            <w:tcW w:w="3240" w:type="dxa"/>
          </w:tcPr>
          <w:p w14:paraId="0FF13A52" w14:textId="77777777" w:rsidR="002A21AE" w:rsidRDefault="002A21AE">
            <w:pPr>
              <w:pStyle w:val="TableTextNumbers"/>
            </w:pPr>
            <w:r>
              <w:t>Select antibodies.</w:t>
            </w:r>
          </w:p>
          <w:p w14:paraId="3457260B" w14:textId="77777777" w:rsidR="002A21AE" w:rsidRDefault="002A21AE">
            <w:pPr>
              <w:pStyle w:val="TableTextNumbersContinued"/>
            </w:pPr>
          </w:p>
          <w:p w14:paraId="0E5B4E10" w14:textId="77777777" w:rsidR="002A21AE" w:rsidRDefault="002A21AE">
            <w:pPr>
              <w:pStyle w:val="TableTextNumbersContinued"/>
            </w:pPr>
            <w:r>
              <w:t>Enter associated testing details.</w:t>
            </w:r>
          </w:p>
          <w:p w14:paraId="5FCE7C06" w14:textId="77777777" w:rsidR="002A21AE" w:rsidRDefault="002A21AE">
            <w:pPr>
              <w:pStyle w:val="TableTextNumbersContinued"/>
            </w:pPr>
          </w:p>
          <w:p w14:paraId="0F78E593" w14:textId="77777777" w:rsidR="002A21AE" w:rsidRDefault="002A21AE">
            <w:pPr>
              <w:pStyle w:val="TableTextNumbersContinued"/>
            </w:pPr>
            <w:r>
              <w:t>Respond to comments and continue.</w:t>
            </w:r>
          </w:p>
          <w:p w14:paraId="2C0BE164" w14:textId="77777777" w:rsidR="002A21AE" w:rsidRDefault="002A21AE">
            <w:pPr>
              <w:pStyle w:val="TableTextNumbersContinued"/>
            </w:pPr>
          </w:p>
          <w:p w14:paraId="5ED27A84" w14:textId="77777777" w:rsidR="002A21AE" w:rsidRDefault="002A21AE">
            <w:pPr>
              <w:pStyle w:val="TableTextNumbersContinued"/>
            </w:pPr>
            <w:r>
              <w:t>Verify Patient information.</w:t>
            </w:r>
          </w:p>
          <w:p w14:paraId="4BB2F4D7" w14:textId="77777777" w:rsidR="002A21AE" w:rsidRDefault="002A21AE">
            <w:pPr>
              <w:pStyle w:val="TableTextNumbersContinued"/>
            </w:pPr>
          </w:p>
          <w:p w14:paraId="2B67C29C" w14:textId="77777777" w:rsidR="002A21AE" w:rsidRDefault="002A21AE">
            <w:pPr>
              <w:pStyle w:val="TableTextNumbersContinued"/>
            </w:pPr>
            <w:r>
              <w:t xml:space="preserve">Click </w:t>
            </w:r>
            <w:r>
              <w:rPr>
                <w:b/>
              </w:rPr>
              <w:t>OK</w:t>
            </w:r>
            <w:r>
              <w:t xml:space="preserve">. </w:t>
            </w:r>
          </w:p>
        </w:tc>
        <w:tc>
          <w:tcPr>
            <w:tcW w:w="6120" w:type="dxa"/>
          </w:tcPr>
          <w:p w14:paraId="46A1A0BB" w14:textId="77777777" w:rsidR="002A21AE" w:rsidRDefault="002A21AE">
            <w:pPr>
              <w:pStyle w:val="TableTextBullet"/>
            </w:pPr>
            <w:r>
              <w:rPr>
                <w:rFonts w:cs="Arial"/>
                <w:vanish/>
              </w:rPr>
              <w:t xml:space="preserve">BR_57.02 </w:t>
            </w:r>
            <w:r>
              <w:t xml:space="preserve">Displays the list of antibodies and allows the user to select from the identified specificities and to add antibodies or to indicate that no antibody was identified. </w:t>
            </w:r>
          </w:p>
          <w:p w14:paraId="419FF967" w14:textId="77777777" w:rsidR="002A21AE" w:rsidRDefault="002A21AE">
            <w:pPr>
              <w:pStyle w:val="TableText"/>
            </w:pPr>
          </w:p>
          <w:p w14:paraId="312FCB98" w14:textId="5F55DE1C" w:rsidR="002A21AE" w:rsidRDefault="002A21AE">
            <w:pPr>
              <w:pStyle w:val="TableText"/>
              <w:rPr>
                <w:b/>
                <w:bCs/>
                <w:szCs w:val="18"/>
              </w:rPr>
            </w:pPr>
            <w:r>
              <w:rPr>
                <w:b/>
                <w:bCs/>
                <w:szCs w:val="18"/>
              </w:rPr>
              <w:t>NOTES</w:t>
            </w:r>
          </w:p>
          <w:p w14:paraId="11A264A2" w14:textId="77777777" w:rsidR="002A21AE" w:rsidRDefault="002A21AE">
            <w:pPr>
              <w:pStyle w:val="NotesText"/>
            </w:pPr>
          </w:p>
          <w:p w14:paraId="1DFB493C" w14:textId="77777777" w:rsidR="002A21AE" w:rsidRDefault="002A21AE">
            <w:pPr>
              <w:pStyle w:val="NotesText"/>
            </w:pPr>
            <w:r>
              <w:rPr>
                <w:rFonts w:cs="Arial"/>
                <w:vanish/>
              </w:rPr>
              <w:t xml:space="preserve">BR_57.03 </w:t>
            </w:r>
            <w:r>
              <w:t>Multiple workload codes may apply when work is performed on-site.</w:t>
            </w:r>
          </w:p>
        </w:tc>
      </w:tr>
      <w:tr w:rsidR="002A21AE" w14:paraId="0A8F9788" w14:textId="77777777">
        <w:tc>
          <w:tcPr>
            <w:tcW w:w="3240" w:type="dxa"/>
          </w:tcPr>
          <w:p w14:paraId="32F0F043" w14:textId="77777777" w:rsidR="002A21AE" w:rsidRDefault="002A21AE">
            <w:pPr>
              <w:pStyle w:val="TableTextNumbers"/>
            </w:pPr>
            <w:r>
              <w:t xml:space="preserve">Review the selections displayed. Return to Step 1 to change selections when necessary. </w:t>
            </w:r>
          </w:p>
          <w:p w14:paraId="603E1573" w14:textId="77777777" w:rsidR="002A21AE" w:rsidRDefault="002A21AE">
            <w:pPr>
              <w:pStyle w:val="TableTextNumbersContinued"/>
            </w:pPr>
          </w:p>
          <w:p w14:paraId="48C9D82F" w14:textId="77777777" w:rsidR="002A21AE" w:rsidRDefault="002A21AE">
            <w:pPr>
              <w:pStyle w:val="TableTextNumbersContinued"/>
            </w:pPr>
            <w:r>
              <w:t>Accept the reviewed entries.</w:t>
            </w:r>
          </w:p>
        </w:tc>
        <w:tc>
          <w:tcPr>
            <w:tcW w:w="6120" w:type="dxa"/>
          </w:tcPr>
          <w:p w14:paraId="02776323" w14:textId="77777777" w:rsidR="002A21AE" w:rsidRDefault="002A21AE">
            <w:pPr>
              <w:pStyle w:val="TableTextBullet"/>
            </w:pPr>
            <w:r>
              <w:t>Displays applicable data fields for the ordered ABID.</w:t>
            </w:r>
          </w:p>
          <w:p w14:paraId="3922E3F2" w14:textId="77777777" w:rsidR="002A21AE" w:rsidRDefault="002A21AE">
            <w:pPr>
              <w:pStyle w:val="TableTextBullet"/>
            </w:pPr>
            <w:r>
              <w:t>Allows the user to indicate the testing site and associated billing from outside sources.</w:t>
            </w:r>
          </w:p>
        </w:tc>
      </w:tr>
      <w:tr w:rsidR="002A21AE" w14:paraId="0D9C613D" w14:textId="77777777">
        <w:tc>
          <w:tcPr>
            <w:tcW w:w="3240" w:type="dxa"/>
          </w:tcPr>
          <w:p w14:paraId="41B4F401" w14:textId="77777777" w:rsidR="002A21AE" w:rsidRDefault="002A21AE">
            <w:pPr>
              <w:pStyle w:val="TableTextNumbers"/>
            </w:pPr>
            <w:r>
              <w:t>Enter the location where testing was performed and cost, when off-site.</w:t>
            </w:r>
          </w:p>
        </w:tc>
        <w:tc>
          <w:tcPr>
            <w:tcW w:w="6120" w:type="dxa"/>
          </w:tcPr>
          <w:p w14:paraId="56019BA9" w14:textId="77777777" w:rsidR="002A21AE" w:rsidRDefault="002A21AE">
            <w:pPr>
              <w:pStyle w:val="TableTextBullet"/>
            </w:pPr>
            <w:r>
              <w:t>Requires the user to indicate whether the ABID was performed at the division and/or off-site and saves that information with the ABID.</w:t>
            </w:r>
          </w:p>
          <w:p w14:paraId="16BD7F4F" w14:textId="77777777" w:rsidR="002A21AE" w:rsidRDefault="002A21AE">
            <w:pPr>
              <w:pStyle w:val="TableTextBullet"/>
            </w:pPr>
            <w:r>
              <w:rPr>
                <w:rFonts w:cs="Arial"/>
                <w:vanish/>
              </w:rPr>
              <w:t xml:space="preserve">BR_57.04 </w:t>
            </w:r>
            <w:r>
              <w:t xml:space="preserve">Allows the user to enter a charge, but not the workload, when the ABID work was performed off-site. </w:t>
            </w:r>
          </w:p>
          <w:p w14:paraId="7EC9B62A" w14:textId="77777777" w:rsidR="002A21AE" w:rsidRDefault="002A21AE">
            <w:pPr>
              <w:pStyle w:val="TableTextBullet"/>
            </w:pPr>
            <w:r>
              <w:t>Allows the user to indicate multiples of any processes when a test was performed on-site.</w:t>
            </w:r>
          </w:p>
          <w:p w14:paraId="4A6DD76D" w14:textId="77777777" w:rsidR="002A21AE" w:rsidRDefault="002A21AE">
            <w:pPr>
              <w:pStyle w:val="TableTextBullet"/>
            </w:pPr>
            <w:r>
              <w:t xml:space="preserve">Allows the user to enter comments. </w:t>
            </w:r>
          </w:p>
          <w:p w14:paraId="1B5E5981" w14:textId="24F7D2E7" w:rsidR="00964E4B" w:rsidRDefault="003F3FBD" w:rsidP="00964E4B">
            <w:pPr>
              <w:pStyle w:val="TableTextBullet"/>
            </w:pPr>
            <w:r>
              <w:t>Do not exceed 50 characters when entering</w:t>
            </w:r>
            <w:r w:rsidR="00964E4B" w:rsidRPr="00964E4B">
              <w:t xml:space="preserve"> the name of the off-site testing location.</w:t>
            </w:r>
            <w:r w:rsidR="00244AD3">
              <w:t xml:space="preserve"> </w:t>
            </w:r>
            <w:r w:rsidR="00244AD3" w:rsidRPr="00244AD3">
              <w:rPr>
                <w:vanish/>
              </w:rPr>
              <w:t>Defect 209558</w:t>
            </w:r>
          </w:p>
        </w:tc>
      </w:tr>
      <w:tr w:rsidR="002A21AE" w14:paraId="7D9642E9" w14:textId="77777777">
        <w:tc>
          <w:tcPr>
            <w:tcW w:w="3240" w:type="dxa"/>
          </w:tcPr>
          <w:p w14:paraId="434B1D8D" w14:textId="29BA20EE" w:rsidR="002A21AE" w:rsidRDefault="002A21AE">
            <w:pPr>
              <w:pStyle w:val="TableTextNumbers"/>
            </w:pPr>
            <w:r>
              <w:t>Review the antibody tests entered and comments selected and, when necessary, change them before accepting</w:t>
            </w:r>
            <w:r w:rsidR="005D0D2B">
              <w:t xml:space="preserve"> (</w:t>
            </w:r>
            <w:r w:rsidR="00EE455E">
              <w:t xml:space="preserve">Figure </w:t>
            </w:r>
            <w:r w:rsidR="00EE455E">
              <w:rPr>
                <w:noProof/>
              </w:rPr>
              <w:t>100</w:t>
            </w:r>
            <w:r w:rsidR="005D0D2B">
              <w:t>)</w:t>
            </w:r>
            <w:r>
              <w:t xml:space="preserve">. </w:t>
            </w:r>
          </w:p>
        </w:tc>
        <w:tc>
          <w:tcPr>
            <w:tcW w:w="6120" w:type="dxa"/>
          </w:tcPr>
          <w:p w14:paraId="33B9937F" w14:textId="77777777" w:rsidR="002A21AE" w:rsidRDefault="002A21AE">
            <w:pPr>
              <w:pStyle w:val="TableTextBullet"/>
            </w:pPr>
            <w:r>
              <w:t>Displays the requirements for antigen negative blood components, if any, based on the antibody entered.</w:t>
            </w:r>
          </w:p>
          <w:p w14:paraId="715C50D7" w14:textId="77777777" w:rsidR="002A21AE" w:rsidRDefault="002A21AE">
            <w:pPr>
              <w:pStyle w:val="TableText"/>
            </w:pPr>
          </w:p>
        </w:tc>
      </w:tr>
      <w:tr w:rsidR="002A21AE" w14:paraId="008A184F" w14:textId="77777777">
        <w:tc>
          <w:tcPr>
            <w:tcW w:w="3240" w:type="dxa"/>
          </w:tcPr>
          <w:p w14:paraId="0891D9C3" w14:textId="77777777" w:rsidR="002A21AE" w:rsidRDefault="002A21AE">
            <w:pPr>
              <w:pStyle w:val="TableTextNumbers"/>
            </w:pPr>
            <w:r>
              <w:t xml:space="preserve">Click </w:t>
            </w:r>
            <w:r>
              <w:rPr>
                <w:b/>
              </w:rPr>
              <w:t>OK</w:t>
            </w:r>
            <w:r>
              <w:t xml:space="preserve"> to save the information to the database.</w:t>
            </w:r>
          </w:p>
        </w:tc>
        <w:tc>
          <w:tcPr>
            <w:tcW w:w="6120" w:type="dxa"/>
          </w:tcPr>
          <w:p w14:paraId="5E5BBDB8" w14:textId="77777777" w:rsidR="002A21AE" w:rsidRDefault="00B6515C" w:rsidP="00B6515C">
            <w:pPr>
              <w:pStyle w:val="TableTextBullet"/>
            </w:pPr>
            <w:r>
              <w:t>Saves the data.</w:t>
            </w:r>
          </w:p>
        </w:tc>
      </w:tr>
      <w:tr w:rsidR="002A21AE" w14:paraId="407C6294" w14:textId="77777777">
        <w:tc>
          <w:tcPr>
            <w:tcW w:w="3240" w:type="dxa"/>
          </w:tcPr>
          <w:p w14:paraId="4CD347B8" w14:textId="77777777" w:rsidR="002A21AE" w:rsidRDefault="002A21AE">
            <w:pPr>
              <w:pStyle w:val="TableTextNumbers"/>
            </w:pPr>
            <w:r>
              <w:t xml:space="preserve">Click </w:t>
            </w:r>
            <w:r>
              <w:rPr>
                <w:b/>
              </w:rPr>
              <w:t xml:space="preserve">OK </w:t>
            </w:r>
            <w:r>
              <w:t xml:space="preserve">to exit. </w:t>
            </w:r>
            <w:r>
              <w:rPr>
                <w:vanish/>
                <w:color w:val="FFFFFF"/>
                <w:szCs w:val="18"/>
              </w:rPr>
              <w:fldChar w:fldCharType="begin"/>
            </w:r>
            <w:r>
              <w:rPr>
                <w:vanish/>
                <w:color w:val="FFFFFF"/>
                <w:szCs w:val="18"/>
              </w:rPr>
              <w:instrText xml:space="preserve"> LISTNUM \l 1 \s 0 </w:instrText>
            </w:r>
            <w:r>
              <w:rPr>
                <w:vanish/>
                <w:color w:val="FFFFFF"/>
                <w:szCs w:val="18"/>
              </w:rPr>
              <w:fldChar w:fldCharType="end">
                <w:numberingChange w:id="560" w:author="MUSZYNSKI, THOMAS D. (SIERRA 7 INC)" w:date="2024-11-26T07:15:00Z" w:original="0."/>
              </w:fldChar>
            </w:r>
          </w:p>
        </w:tc>
        <w:tc>
          <w:tcPr>
            <w:tcW w:w="6120" w:type="dxa"/>
          </w:tcPr>
          <w:p w14:paraId="60734073" w14:textId="77777777" w:rsidR="002A21AE" w:rsidRDefault="002A21AE">
            <w:pPr>
              <w:pStyle w:val="TableText"/>
            </w:pPr>
          </w:p>
        </w:tc>
      </w:tr>
    </w:tbl>
    <w:p w14:paraId="7EDEA9B2" w14:textId="4EA5D09A" w:rsidR="005D0D2B" w:rsidRDefault="005D0D2B" w:rsidP="005D0D2B">
      <w:pPr>
        <w:pStyle w:val="Caption"/>
      </w:pPr>
      <w:bookmarkStart w:id="561" w:name="_Ref127092401"/>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7D1829">
        <w:rPr>
          <w:noProof/>
        </w:rPr>
        <w:t>101</w:t>
      </w:r>
      <w:r w:rsidR="004E20BD">
        <w:rPr>
          <w:noProof/>
        </w:rPr>
        <w:fldChar w:fldCharType="end"/>
      </w:r>
      <w:bookmarkEnd w:id="561"/>
      <w:r>
        <w:t>: Patient Testing Antibody Identification</w:t>
      </w:r>
    </w:p>
    <w:p w14:paraId="3F20FB03" w14:textId="77777777" w:rsidR="002A21AE" w:rsidRDefault="00057948" w:rsidP="005D0D2B">
      <w:pPr>
        <w:pStyle w:val="BodyText"/>
      </w:pPr>
      <w:r>
        <w:rPr>
          <w:noProof/>
        </w:rPr>
        <w:drawing>
          <wp:inline distT="0" distB="0" distL="0" distR="0" wp14:anchorId="1F8EE0A4" wp14:editId="767EB401">
            <wp:extent cx="5791200" cy="3546475"/>
            <wp:effectExtent l="0" t="0" r="0" b="0"/>
            <wp:docPr id="243" name="Picture 243" descr="Example of Patient Testing Antibody Identification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Picture 243" descr="Example of Patient Testing Antibody Identification screen capture"/>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5791200" cy="3546475"/>
                    </a:xfrm>
                    <a:prstGeom prst="rect">
                      <a:avLst/>
                    </a:prstGeom>
                    <a:noFill/>
                    <a:ln>
                      <a:noFill/>
                    </a:ln>
                  </pic:spPr>
                </pic:pic>
              </a:graphicData>
            </a:graphic>
          </wp:inline>
        </w:drawing>
      </w:r>
    </w:p>
    <w:p w14:paraId="6F4A8AE9" w14:textId="77777777" w:rsidR="002A21AE" w:rsidRDefault="00746454">
      <w:pPr>
        <w:pStyle w:val="Heading3"/>
      </w:pPr>
      <w:r>
        <w:br w:type="page"/>
      </w:r>
      <w:bookmarkStart w:id="562" w:name="_Toc203765929"/>
      <w:r w:rsidR="002A21AE">
        <w:lastRenderedPageBreak/>
        <w:t>Patient Testing: Record a Transfusion Reaction Workup</w:t>
      </w:r>
      <w:bookmarkEnd w:id="562"/>
      <w:r w:rsidR="002A21AE">
        <w:fldChar w:fldCharType="begin"/>
      </w:r>
      <w:r w:rsidR="002A21AE">
        <w:instrText xml:space="preserve"> XE </w:instrText>
      </w:r>
      <w:r w:rsidR="00FA7E65">
        <w:instrText>“</w:instrText>
      </w:r>
      <w:r w:rsidR="002A21AE">
        <w:instrText>Patient Testing\: Record a Transfusion Reaction Workup</w:instrText>
      </w:r>
      <w:r w:rsidR="00FA7E65">
        <w:instrText>”</w:instrText>
      </w:r>
      <w:r w:rsidR="002A21AE">
        <w:instrText xml:space="preserve"> </w:instrText>
      </w:r>
      <w:r w:rsidR="002A21AE">
        <w:fldChar w:fldCharType="end"/>
      </w:r>
      <w:r w:rsidR="002A21AE">
        <w:t xml:space="preserve"> </w:t>
      </w:r>
      <w:r w:rsidR="002A21AE">
        <w:rPr>
          <w:rFonts w:ascii="Times New Roman" w:hAnsi="Times New Roman" w:cs="Times New Roman"/>
          <w:b w:val="0"/>
          <w:vanish/>
          <w:sz w:val="22"/>
        </w:rPr>
        <w:t>UC_21</w:t>
      </w:r>
    </w:p>
    <w:p w14:paraId="19C01145" w14:textId="77777777" w:rsidR="002A21AE" w:rsidRDefault="002A21AE" w:rsidP="00FA7E65">
      <w:pPr>
        <w:pStyle w:val="BodyText"/>
      </w:pPr>
      <w:r>
        <w:t xml:space="preserve">The user documents a transfusion reaction workup (TRW). </w:t>
      </w:r>
    </w:p>
    <w:p w14:paraId="78634B05" w14:textId="77777777" w:rsidR="002A21AE" w:rsidRDefault="002A21AE">
      <w:pPr>
        <w:pStyle w:val="Heading4"/>
      </w:pPr>
      <w:r>
        <w:t>Assumptions</w:t>
      </w:r>
      <w:r>
        <w:rPr>
          <w:b w:val="0"/>
        </w:rPr>
        <w:t xml:space="preserve"> </w:t>
      </w:r>
    </w:p>
    <w:p w14:paraId="1441FF8C" w14:textId="77777777" w:rsidR="002A21AE" w:rsidRDefault="002A21AE">
      <w:pPr>
        <w:pStyle w:val="ListBullet"/>
      </w:pPr>
      <w:r>
        <w:t>A TRW is ordered and is “not started” or “in progress” on the Pending Task List (PTL).</w:t>
      </w:r>
    </w:p>
    <w:p w14:paraId="42F553BC" w14:textId="77777777" w:rsidR="002A21AE" w:rsidRDefault="002A21AE">
      <w:pPr>
        <w:pStyle w:val="Heading4"/>
      </w:pPr>
      <w:r>
        <w:t xml:space="preserve">Outcome </w:t>
      </w:r>
    </w:p>
    <w:p w14:paraId="589A1DC6" w14:textId="77777777" w:rsidR="002A21AE" w:rsidRDefault="002A21AE">
      <w:pPr>
        <w:pStyle w:val="ListBullet"/>
      </w:pPr>
      <w:r>
        <w:t>The user views or prints a preliminary TRW report of findings.</w:t>
      </w:r>
    </w:p>
    <w:p w14:paraId="2B7523E6" w14:textId="77777777" w:rsidR="002A21AE" w:rsidRDefault="002A21AE">
      <w:pPr>
        <w:pStyle w:val="ListBullet"/>
      </w:pPr>
      <w:r>
        <w:t>Preliminary report findings are available for display in CPRS.</w:t>
      </w:r>
    </w:p>
    <w:p w14:paraId="20F9E452" w14:textId="77777777" w:rsidR="00561829" w:rsidRDefault="00561829" w:rsidP="00561829">
      <w:pPr>
        <w:pStyle w:val="ListBullet"/>
      </w:pPr>
      <w:r>
        <w:t>If workload codes are assigned for this process, workload-related data collected as the result of this process are stored for inclusion in Workload Reports.</w:t>
      </w:r>
    </w:p>
    <w:p w14:paraId="47EF08C5" w14:textId="77777777" w:rsidR="002A21AE" w:rsidRDefault="002A21AE">
      <w:pPr>
        <w:pStyle w:val="Heading4"/>
      </w:pPr>
      <w:r>
        <w:t>Limitations and Restrictions</w:t>
      </w:r>
      <w:r>
        <w:rPr>
          <w:b w:val="0"/>
        </w:rPr>
        <w:t xml:space="preserve"> </w:t>
      </w:r>
    </w:p>
    <w:p w14:paraId="38303BB8" w14:textId="77777777" w:rsidR="002A21AE" w:rsidRDefault="002A21AE">
      <w:pPr>
        <w:pStyle w:val="ListBullet"/>
      </w:pPr>
      <w:r>
        <w:t xml:space="preserve">Adverse reactions to transfusion detected at a later time (disease transmission) are </w:t>
      </w:r>
      <w:r w:rsidR="00814F27">
        <w:t>not recorded</w:t>
      </w:r>
      <w:r>
        <w:t xml:space="preserve"> through </w:t>
      </w:r>
      <w:r w:rsidR="00814F27">
        <w:t xml:space="preserve">this option. Refer </w:t>
      </w:r>
      <w:r w:rsidR="00357A19">
        <w:t>to Transfusion</w:t>
      </w:r>
      <w:r>
        <w:t xml:space="preserve"> Complications Report.</w:t>
      </w:r>
    </w:p>
    <w:p w14:paraId="2D6FC6A1" w14:textId="002C46AB" w:rsidR="007E549A" w:rsidRDefault="007E549A">
      <w:pPr>
        <w:pStyle w:val="ListBullet"/>
      </w:pPr>
      <w:r>
        <w:t>Each tab is completed and saved and is not editable. To change information on a previously completed tab, the TRW must be invalidated and corrected in its entirety.</w:t>
      </w:r>
    </w:p>
    <w:p w14:paraId="3D9FD12F" w14:textId="2C7244D9" w:rsidR="00783514" w:rsidRDefault="00783514" w:rsidP="00783514">
      <w:pPr>
        <w:pStyle w:val="ListBullet"/>
      </w:pPr>
      <w:r>
        <w:t xml:space="preserve">If comments are entered when a TRW is finalized as type "Other,” they won’t show on the CPRS Blood Bank Report. </w:t>
      </w:r>
      <w:r w:rsidRPr="00783514">
        <w:rPr>
          <w:vanish/>
        </w:rPr>
        <w:t>Defect 210332</w:t>
      </w:r>
    </w:p>
    <w:p w14:paraId="797040D3" w14:textId="09CDCDC2" w:rsidR="00AE7805" w:rsidRDefault="00AE7805" w:rsidP="00AE7805">
      <w:pPr>
        <w:pStyle w:val="ListBullet"/>
      </w:pPr>
      <w:r>
        <w:t xml:space="preserve">There is no scroll bar on the TRW Serologic Tests tab. This limits the number of visible implicated units to around ten (10) depending on the display resolution. When more than around ten (10) units are implicated in the transfusion reaction, order additional TRW test(s) as required. </w:t>
      </w:r>
      <w:r w:rsidRPr="00780C90">
        <w:rPr>
          <w:vanish/>
        </w:rPr>
        <w:t>Defect 577597</w:t>
      </w:r>
    </w:p>
    <w:p w14:paraId="3423DE96" w14:textId="77777777" w:rsidR="002A21AE" w:rsidRDefault="002A21AE">
      <w:pPr>
        <w:pStyle w:val="Heading4"/>
      </w:pPr>
      <w:r>
        <w:t xml:space="preserve">Additional Information </w:t>
      </w:r>
    </w:p>
    <w:p w14:paraId="5F1F0100" w14:textId="77777777" w:rsidR="002A21AE" w:rsidRDefault="002A21AE">
      <w:pPr>
        <w:pStyle w:val="ListBullet"/>
      </w:pPr>
      <w:r>
        <w:t xml:space="preserve">All implicated units are added to data grids. </w:t>
      </w:r>
    </w:p>
    <w:p w14:paraId="4376350A" w14:textId="77777777" w:rsidR="002A21AE" w:rsidRDefault="002A21AE">
      <w:pPr>
        <w:pStyle w:val="ListBullet"/>
      </w:pPr>
      <w:r>
        <w:t>Testing is based on local policies.</w:t>
      </w:r>
    </w:p>
    <w:p w14:paraId="28DDAAE2" w14:textId="77777777" w:rsidR="002A21AE" w:rsidRDefault="002A21AE">
      <w:pPr>
        <w:pStyle w:val="ListBullet"/>
      </w:pPr>
      <w:r>
        <w:rPr>
          <w:rFonts w:ascii="Arial" w:hAnsi="Arial" w:cs="Arial"/>
          <w:vanish/>
          <w:spacing w:val="0"/>
          <w:sz w:val="18"/>
        </w:rPr>
        <w:t xml:space="preserve">BR_21.30 </w:t>
      </w:r>
      <w:r>
        <w:rPr>
          <w:color w:val="000000"/>
          <w:szCs w:val="18"/>
        </w:rPr>
        <w:t xml:space="preserve">VBECS allows the user to invalidate previously entered and saved information. When the user invalidates specimen data entered, VBECS invalidates </w:t>
      </w:r>
      <w:r w:rsidR="005B0C5A">
        <w:rPr>
          <w:color w:val="000000"/>
          <w:szCs w:val="18"/>
        </w:rPr>
        <w:t>the TRW</w:t>
      </w:r>
      <w:r>
        <w:rPr>
          <w:color w:val="000000"/>
          <w:szCs w:val="18"/>
        </w:rPr>
        <w:t>.</w:t>
      </w:r>
    </w:p>
    <w:p w14:paraId="5AF1694E" w14:textId="77777777" w:rsidR="002A21AE" w:rsidRDefault="002A21AE">
      <w:pPr>
        <w:pStyle w:val="ListBullet"/>
      </w:pPr>
      <w:r>
        <w:t>A delayed hemolytic transfusion reaction is typically identified about 7 to 10 days post-transfusion</w:t>
      </w:r>
      <w:r w:rsidR="0015352F">
        <w:t xml:space="preserve">. It may be </w:t>
      </w:r>
      <w:r>
        <w:t>addressed in this option</w:t>
      </w:r>
      <w:r w:rsidR="003F3A76">
        <w:t xml:space="preserve"> or as an</w:t>
      </w:r>
      <w:r>
        <w:t xml:space="preserve"> antibody identification.</w:t>
      </w:r>
      <w:r w:rsidR="00BF0C0F">
        <w:t xml:space="preserve"> (See Patient Testing: Enter Antibody Identification Results.)</w:t>
      </w:r>
    </w:p>
    <w:p w14:paraId="7A61C0EE" w14:textId="77777777" w:rsidR="002A21AE" w:rsidRDefault="002A21AE">
      <w:pPr>
        <w:pStyle w:val="ListBullet"/>
      </w:pPr>
      <w:r>
        <w:t>This test record is not editable after the user saves it to the database. When a correction needs to be filed, a corrected report must be generated, as described in Invalidate Test Results.</w:t>
      </w:r>
    </w:p>
    <w:p w14:paraId="1333645F" w14:textId="77777777" w:rsidR="002A21AE" w:rsidRDefault="002A21AE">
      <w:pPr>
        <w:pStyle w:val="ListBullet"/>
      </w:pPr>
      <w:r>
        <w:t>See the printed chart copy for the medical director’s signature and TRW interpretation, as described in Finalize/Print TRW.</w:t>
      </w:r>
    </w:p>
    <w:p w14:paraId="359E585E" w14:textId="77777777" w:rsidR="002A21AE" w:rsidRDefault="002A21AE">
      <w:pPr>
        <w:pStyle w:val="ListBullet"/>
      </w:pPr>
      <w:r>
        <w:t xml:space="preserve">A </w:t>
      </w:r>
      <w:r w:rsidR="00BF0C0F">
        <w:t xml:space="preserve">user may order a </w:t>
      </w:r>
      <w:r>
        <w:t>TRW</w:t>
      </w:r>
      <w:r w:rsidR="005B0C5A">
        <w:t xml:space="preserve"> </w:t>
      </w:r>
      <w:r>
        <w:t>prior to the completion of a unit’s transfusion record.</w:t>
      </w:r>
    </w:p>
    <w:p w14:paraId="16B0EF69" w14:textId="77777777" w:rsidR="005B0C5A" w:rsidRDefault="005B0C5A" w:rsidP="005B0C5A">
      <w:pPr>
        <w:pStyle w:val="ListBullet"/>
      </w:pPr>
      <w:r>
        <w:t xml:space="preserve">The </w:t>
      </w:r>
      <w:r w:rsidR="009771E4">
        <w:t xml:space="preserve">user must complete the </w:t>
      </w:r>
      <w:r>
        <w:t>unit’s transfusion record prior to implicating a unit in a TRW.</w:t>
      </w:r>
    </w:p>
    <w:p w14:paraId="1CDD39C8" w14:textId="77777777" w:rsidR="002A21AE" w:rsidRDefault="002A21AE">
      <w:pPr>
        <w:pStyle w:val="ListBullet"/>
      </w:pPr>
      <w:r>
        <w:t xml:space="preserve">These data remain encapsulated as part of the TRW and </w:t>
      </w:r>
      <w:r w:rsidR="00855A2D">
        <w:t xml:space="preserve">are not saved, compared to the patient record, or </w:t>
      </w:r>
      <w:r>
        <w:t>associated with other pre-transfusion grid testing.</w:t>
      </w:r>
    </w:p>
    <w:p w14:paraId="6DFE6EB1" w14:textId="77777777" w:rsidR="002A21AE" w:rsidRDefault="002A21AE">
      <w:pPr>
        <w:pStyle w:val="ListBullet"/>
      </w:pPr>
      <w:r>
        <w:rPr>
          <w:rFonts w:ascii="Arial" w:hAnsi="Arial" w:cs="Arial"/>
          <w:vanish/>
          <w:spacing w:val="0"/>
          <w:sz w:val="18"/>
        </w:rPr>
        <w:t xml:space="preserve">BR_21.26 </w:t>
      </w:r>
      <w:r>
        <w:t>TRW ABO/Rh typing results are not saved as historical ABO/Rh typing results. These test records are maintained as part of the TRW only.</w:t>
      </w:r>
    </w:p>
    <w:p w14:paraId="54E96F9D" w14:textId="234A3354" w:rsidR="00F317D8" w:rsidRDefault="007B0020">
      <w:pPr>
        <w:pStyle w:val="ListBullet"/>
      </w:pPr>
      <w:r>
        <w:t>A system error occurs when a user attempts to access a locked TRW.</w:t>
      </w:r>
      <w:r w:rsidR="00244AD3">
        <w:t xml:space="preserve"> </w:t>
      </w:r>
      <w:r w:rsidR="00244AD3" w:rsidRPr="00244AD3">
        <w:rPr>
          <w:vanish/>
        </w:rPr>
        <w:t>Defect 209147</w:t>
      </w:r>
    </w:p>
    <w:p w14:paraId="1A6BC8DB" w14:textId="77777777" w:rsidR="002A21AE" w:rsidRDefault="002A21AE">
      <w:pPr>
        <w:pStyle w:val="Heading4"/>
        <w:rPr>
          <w:b w:val="0"/>
        </w:rPr>
      </w:pPr>
      <w:r>
        <w:t>User Roles with Access to This Option</w:t>
      </w:r>
      <w:r>
        <w:rPr>
          <w:b w:val="0"/>
        </w:rPr>
        <w:t xml:space="preserve"> </w:t>
      </w:r>
    </w:p>
    <w:p w14:paraId="340545D6" w14:textId="77777777" w:rsidR="002A21AE" w:rsidRDefault="00A13077">
      <w:pPr>
        <w:pStyle w:val="Roles"/>
        <w:rPr>
          <w:snapToGrid w:val="0"/>
        </w:rPr>
      </w:pPr>
      <w:r>
        <w:t>All users</w:t>
      </w:r>
    </w:p>
    <w:p w14:paraId="4954F922" w14:textId="77777777" w:rsidR="002A21AE" w:rsidRDefault="00746454">
      <w:pPr>
        <w:pStyle w:val="Heading4"/>
      </w:pPr>
      <w:r>
        <w:br w:type="page"/>
      </w:r>
      <w:r w:rsidR="002A21AE">
        <w:lastRenderedPageBreak/>
        <w:t xml:space="preserve">Patient Testing: Record a Transfusion Reaction Workup </w:t>
      </w:r>
    </w:p>
    <w:p w14:paraId="5BE677C0" w14:textId="77777777" w:rsidR="002A21AE" w:rsidRDefault="002A21AE" w:rsidP="00FA7E65">
      <w:pPr>
        <w:pStyle w:val="BodyText"/>
      </w:pPr>
      <w:r>
        <w:t xml:space="preserve">The user accepts the TRW order, inspects the sample for hemolysis, and performs implicated clerical checks. The TRW may require entry of patient data, including vital signs and serologic test results. A signed, printed TRW report must be filed with the patient’s chart. </w:t>
      </w:r>
    </w:p>
    <w:p w14:paraId="338CD7E5" w14:textId="77777777" w:rsidR="002A21AE" w:rsidRDefault="002A21AE" w:rsidP="00FA7E65">
      <w:pPr>
        <w:pStyle w:val="BodyText"/>
      </w:pPr>
      <w:r>
        <w:t>Transfusion reactions may be worked up in stages depending on patient symptoms and serologic findings. The first stage includes the initial clerical and specimen checks. The second stage includes serologic test interpretations, including pre- and post-patient testing, ABO/Rh, ABS, XM, and DAT.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8E6E94" w14:paraId="2A6D3140" w14:textId="77777777">
        <w:trPr>
          <w:cantSplit/>
          <w:tblHeader/>
        </w:trPr>
        <w:tc>
          <w:tcPr>
            <w:tcW w:w="3240" w:type="dxa"/>
            <w:shd w:val="pct30" w:color="auto" w:fill="FFFFFF"/>
            <w:vAlign w:val="bottom"/>
          </w:tcPr>
          <w:p w14:paraId="3D43292F" w14:textId="77777777" w:rsidR="008E6E94" w:rsidRDefault="008E6E94" w:rsidP="007A413F">
            <w:pPr>
              <w:pStyle w:val="TableText"/>
              <w:rPr>
                <w:b/>
              </w:rPr>
            </w:pPr>
            <w:r>
              <w:rPr>
                <w:b/>
              </w:rPr>
              <w:t>User Action</w:t>
            </w:r>
          </w:p>
        </w:tc>
        <w:tc>
          <w:tcPr>
            <w:tcW w:w="6120" w:type="dxa"/>
            <w:shd w:val="pct30" w:color="auto" w:fill="FFFFFF"/>
            <w:vAlign w:val="bottom"/>
          </w:tcPr>
          <w:p w14:paraId="548FC45E" w14:textId="77777777" w:rsidR="008E6E94" w:rsidRDefault="008E6E94" w:rsidP="007A413F">
            <w:pPr>
              <w:pStyle w:val="TableText"/>
              <w:rPr>
                <w:b/>
              </w:rPr>
            </w:pPr>
            <w:r>
              <w:rPr>
                <w:b/>
              </w:rPr>
              <w:t>VBECS</w:t>
            </w:r>
          </w:p>
        </w:tc>
      </w:tr>
      <w:tr w:rsidR="00413A92" w14:paraId="36EC75EF" w14:textId="77777777">
        <w:tc>
          <w:tcPr>
            <w:tcW w:w="3240" w:type="dxa"/>
            <w:tcBorders>
              <w:top w:val="single" w:sz="4" w:space="0" w:color="auto"/>
              <w:left w:val="single" w:sz="4" w:space="0" w:color="auto"/>
              <w:bottom w:val="single" w:sz="4" w:space="0" w:color="auto"/>
              <w:right w:val="single" w:sz="4" w:space="0" w:color="auto"/>
            </w:tcBorders>
          </w:tcPr>
          <w:p w14:paraId="3A073BB1" w14:textId="77777777" w:rsidR="00413A92" w:rsidRDefault="00413A92" w:rsidP="00644B37">
            <w:pPr>
              <w:pStyle w:val="TableTextNumbers"/>
            </w:pPr>
            <w:r>
              <w:t xml:space="preserve">Select </w:t>
            </w:r>
            <w:r>
              <w:rPr>
                <w:b/>
              </w:rPr>
              <w:t>Patients</w:t>
            </w:r>
            <w:r>
              <w:t xml:space="preserve"> from the main menu.</w:t>
            </w:r>
          </w:p>
          <w:p w14:paraId="4289CE2A" w14:textId="77777777" w:rsidR="00413A92" w:rsidRDefault="00413A92" w:rsidP="00644B37">
            <w:pPr>
              <w:pStyle w:val="TableTextNumbersContinued"/>
            </w:pPr>
          </w:p>
          <w:p w14:paraId="3BB70B6F" w14:textId="77777777" w:rsidR="00413A92" w:rsidRDefault="00413A92" w:rsidP="00644B37">
            <w:pPr>
              <w:pStyle w:val="TableTextNumbersContinued"/>
            </w:pPr>
            <w:r>
              <w:t xml:space="preserve">Select </w:t>
            </w:r>
            <w:r>
              <w:rPr>
                <w:b/>
              </w:rPr>
              <w:t>Patient Testing</w:t>
            </w:r>
            <w:r>
              <w:t>.</w:t>
            </w:r>
          </w:p>
        </w:tc>
        <w:tc>
          <w:tcPr>
            <w:tcW w:w="6120" w:type="dxa"/>
            <w:tcBorders>
              <w:top w:val="single" w:sz="4" w:space="0" w:color="auto"/>
              <w:left w:val="single" w:sz="4" w:space="0" w:color="auto"/>
              <w:bottom w:val="single" w:sz="4" w:space="0" w:color="auto"/>
              <w:right w:val="single" w:sz="4" w:space="0" w:color="auto"/>
            </w:tcBorders>
          </w:tcPr>
          <w:p w14:paraId="783E638F" w14:textId="77777777" w:rsidR="00413A92" w:rsidRDefault="00413A92" w:rsidP="00644B37">
            <w:pPr>
              <w:pStyle w:val="TableTextBullet"/>
            </w:pPr>
            <w:r>
              <w:t xml:space="preserve">Displays options for processing patient-related functions. </w:t>
            </w:r>
          </w:p>
          <w:p w14:paraId="0C7E54AC" w14:textId="77777777" w:rsidR="00413A92" w:rsidRDefault="00413A92" w:rsidP="00644B37">
            <w:pPr>
              <w:pStyle w:val="TableTextBullet"/>
            </w:pPr>
            <w:r>
              <w:t>Displays the Pending Task List (PTL) in the Diagnostic Tests tab.</w:t>
            </w:r>
          </w:p>
          <w:p w14:paraId="6582F75D" w14:textId="77777777" w:rsidR="00413A92" w:rsidRDefault="00413A92" w:rsidP="00644B37">
            <w:pPr>
              <w:pStyle w:val="NotesText"/>
            </w:pPr>
          </w:p>
          <w:p w14:paraId="6C58A36B" w14:textId="7C36AFE9" w:rsidR="00413A92" w:rsidRDefault="00413A92" w:rsidP="00644B37">
            <w:pPr>
              <w:pStyle w:val="TableText"/>
              <w:rPr>
                <w:b/>
                <w:bCs/>
                <w:szCs w:val="18"/>
              </w:rPr>
            </w:pPr>
            <w:r>
              <w:rPr>
                <w:b/>
                <w:bCs/>
                <w:szCs w:val="18"/>
              </w:rPr>
              <w:t>NOTES</w:t>
            </w:r>
          </w:p>
          <w:p w14:paraId="1F822AA5" w14:textId="77777777" w:rsidR="00413A92" w:rsidRDefault="00413A92" w:rsidP="00644B37">
            <w:pPr>
              <w:pStyle w:val="NotesText"/>
            </w:pPr>
          </w:p>
          <w:p w14:paraId="5FAACFA2" w14:textId="77777777" w:rsidR="00413A92" w:rsidRDefault="00413A92" w:rsidP="00644B37">
            <w:pPr>
              <w:pStyle w:val="NotesText"/>
            </w:pPr>
            <w:r>
              <w:t>A user may search for specific tasks using search criteria detailed in Pending Task List.</w:t>
            </w:r>
          </w:p>
        </w:tc>
      </w:tr>
      <w:tr w:rsidR="008E6E94" w14:paraId="333868ED" w14:textId="77777777">
        <w:tc>
          <w:tcPr>
            <w:tcW w:w="3240" w:type="dxa"/>
          </w:tcPr>
          <w:p w14:paraId="287523DF" w14:textId="77777777" w:rsidR="008E6E94" w:rsidRDefault="008E6E94" w:rsidP="007A413F">
            <w:pPr>
              <w:pStyle w:val="TableTextNumbers"/>
            </w:pPr>
            <w:r>
              <w:t>Click a check box in the PTL to select a task.</w:t>
            </w:r>
          </w:p>
          <w:p w14:paraId="30EDF7E1" w14:textId="77777777" w:rsidR="00432A30" w:rsidRDefault="00432A30" w:rsidP="00432A30">
            <w:pPr>
              <w:pStyle w:val="TableTextNumbersContinued"/>
            </w:pPr>
          </w:p>
          <w:p w14:paraId="344B52B9" w14:textId="77777777" w:rsidR="00432A30" w:rsidRDefault="00432A30" w:rsidP="00432A30">
            <w:pPr>
              <w:pStyle w:val="TableTextNumbersContinued"/>
            </w:pPr>
            <w:r>
              <w:t xml:space="preserve">Click </w:t>
            </w:r>
            <w:r w:rsidRPr="00432A30">
              <w:rPr>
                <w:b/>
              </w:rPr>
              <w:t>OK</w:t>
            </w:r>
            <w:r>
              <w:t>.</w:t>
            </w:r>
          </w:p>
        </w:tc>
        <w:tc>
          <w:tcPr>
            <w:tcW w:w="6120" w:type="dxa"/>
          </w:tcPr>
          <w:p w14:paraId="48B150D5" w14:textId="77777777" w:rsidR="008E6E94" w:rsidRDefault="008E6E94" w:rsidP="001E4DCC">
            <w:pPr>
              <w:pStyle w:val="TableTextBullet"/>
            </w:pPr>
            <w:r>
              <w:t>Displays TRW patient order information and allows the user to indicate which portion of the TRW to perform</w:t>
            </w:r>
            <w:r w:rsidR="001E4DCC">
              <w:t xml:space="preserve"> (i</w:t>
            </w:r>
            <w:r>
              <w:t>nitial clerical and specimen checks</w:t>
            </w:r>
            <w:r w:rsidR="001E4DCC">
              <w:t>).</w:t>
            </w:r>
          </w:p>
          <w:p w14:paraId="5576DC1C" w14:textId="77777777" w:rsidR="008E6E94" w:rsidRDefault="008E6E94" w:rsidP="007A413F">
            <w:pPr>
              <w:pStyle w:val="TableText"/>
            </w:pPr>
          </w:p>
          <w:p w14:paraId="4BE70B1E" w14:textId="59077262" w:rsidR="008E6E94" w:rsidRDefault="008E6E94" w:rsidP="007A413F">
            <w:pPr>
              <w:pStyle w:val="TableText"/>
              <w:rPr>
                <w:b/>
                <w:bCs/>
                <w:szCs w:val="18"/>
              </w:rPr>
            </w:pPr>
            <w:r>
              <w:rPr>
                <w:b/>
                <w:bCs/>
                <w:szCs w:val="18"/>
              </w:rPr>
              <w:t>NOTES</w:t>
            </w:r>
          </w:p>
          <w:p w14:paraId="79A25BC8" w14:textId="77777777" w:rsidR="008E6E94" w:rsidRDefault="008E6E94" w:rsidP="007A413F">
            <w:pPr>
              <w:pStyle w:val="NotesText"/>
            </w:pPr>
          </w:p>
          <w:p w14:paraId="64A7F859" w14:textId="77777777" w:rsidR="008E6E94" w:rsidRDefault="008E6E94" w:rsidP="007A413F">
            <w:pPr>
              <w:pStyle w:val="NotesText"/>
            </w:pPr>
            <w:r>
              <w:rPr>
                <w:rFonts w:cs="Arial"/>
                <w:vanish/>
              </w:rPr>
              <w:t xml:space="preserve">BR_21.08 </w:t>
            </w:r>
            <w:r>
              <w:t>The TRW patient name and patient ID are visible at all times.</w:t>
            </w:r>
          </w:p>
          <w:p w14:paraId="1AEF4F5E" w14:textId="77777777" w:rsidR="008E6E94" w:rsidRDefault="008E6E94" w:rsidP="007A413F">
            <w:pPr>
              <w:pStyle w:val="NotesText"/>
            </w:pPr>
          </w:p>
          <w:p w14:paraId="69C4853D" w14:textId="47D4A7FC" w:rsidR="008E6E94" w:rsidRDefault="008E6E94" w:rsidP="003B25C3">
            <w:pPr>
              <w:pStyle w:val="NotesText"/>
            </w:pPr>
            <w:r>
              <w:rPr>
                <w:rFonts w:cs="Arial"/>
                <w:vanish/>
              </w:rPr>
              <w:t xml:space="preserve">BR_21.09 </w:t>
            </w:r>
            <w:r>
              <w:t>Initial clerical and specimen checks must be performed before TRW serologic testing is available.</w:t>
            </w:r>
          </w:p>
        </w:tc>
      </w:tr>
      <w:tr w:rsidR="008E6E94" w14:paraId="66232CC1" w14:textId="77777777">
        <w:tc>
          <w:tcPr>
            <w:tcW w:w="3240" w:type="dxa"/>
            <w:tcBorders>
              <w:top w:val="single" w:sz="4" w:space="0" w:color="auto"/>
              <w:left w:val="single" w:sz="4" w:space="0" w:color="auto"/>
              <w:bottom w:val="single" w:sz="4" w:space="0" w:color="auto"/>
              <w:right w:val="single" w:sz="4" w:space="0" w:color="auto"/>
            </w:tcBorders>
          </w:tcPr>
          <w:p w14:paraId="161E17EE" w14:textId="77777777" w:rsidR="008E6E94" w:rsidRDefault="00A01C54" w:rsidP="00C92B1A">
            <w:pPr>
              <w:pStyle w:val="TableTextNumbers"/>
            </w:pPr>
            <w:r>
              <w:t>Enter the date</w:t>
            </w:r>
            <w:r w:rsidR="00750760">
              <w:t xml:space="preserve"> the</w:t>
            </w:r>
            <w:r>
              <w:t xml:space="preserve"> transfusion reaction was noted and the date it was investigated.</w:t>
            </w:r>
          </w:p>
        </w:tc>
        <w:tc>
          <w:tcPr>
            <w:tcW w:w="6120" w:type="dxa"/>
            <w:tcBorders>
              <w:top w:val="single" w:sz="4" w:space="0" w:color="auto"/>
              <w:left w:val="single" w:sz="4" w:space="0" w:color="auto"/>
              <w:bottom w:val="single" w:sz="4" w:space="0" w:color="auto"/>
              <w:right w:val="single" w:sz="4" w:space="0" w:color="auto"/>
            </w:tcBorders>
          </w:tcPr>
          <w:p w14:paraId="1B88B20C" w14:textId="77777777" w:rsidR="008E6E94" w:rsidRDefault="008E6E94" w:rsidP="007A413F">
            <w:pPr>
              <w:pStyle w:val="TableTextBullet"/>
            </w:pPr>
            <w:r>
              <w:t>Allows the user to document observations about the pre- and post-transfusion specimens.</w:t>
            </w:r>
          </w:p>
        </w:tc>
      </w:tr>
      <w:tr w:rsidR="008E6E94" w14:paraId="1A4B0EC0" w14:textId="77777777">
        <w:tc>
          <w:tcPr>
            <w:tcW w:w="3240" w:type="dxa"/>
            <w:tcBorders>
              <w:top w:val="single" w:sz="4" w:space="0" w:color="auto"/>
              <w:left w:val="single" w:sz="4" w:space="0" w:color="auto"/>
              <w:bottom w:val="single" w:sz="4" w:space="0" w:color="auto"/>
              <w:right w:val="single" w:sz="4" w:space="0" w:color="auto"/>
            </w:tcBorders>
          </w:tcPr>
          <w:p w14:paraId="6E78E35E" w14:textId="4FFA0AC7" w:rsidR="00C92B1A" w:rsidRDefault="00C92B1A" w:rsidP="00C92B1A">
            <w:pPr>
              <w:pStyle w:val="TableTextNumbers"/>
            </w:pPr>
            <w:r>
              <w:t>Click a radio button in the Specimen Checks tab to indicate whether pre- and post-transfusion specimens are available</w:t>
            </w:r>
            <w:r w:rsidR="00750760">
              <w:t xml:space="preserve"> (</w:t>
            </w:r>
            <w:r w:rsidR="00EE455E">
              <w:t xml:space="preserve">Figure </w:t>
            </w:r>
            <w:r w:rsidR="00EE455E">
              <w:rPr>
                <w:noProof/>
              </w:rPr>
              <w:t>101</w:t>
            </w:r>
            <w:r w:rsidR="00750760">
              <w:t>)</w:t>
            </w:r>
            <w:r>
              <w:t>.</w:t>
            </w:r>
          </w:p>
          <w:p w14:paraId="2EB785A2" w14:textId="77777777" w:rsidR="00C92B1A" w:rsidRPr="00C92B1A" w:rsidRDefault="00C92B1A" w:rsidP="00C92B1A">
            <w:pPr>
              <w:pStyle w:val="TableTextNumbersContinued"/>
            </w:pPr>
          </w:p>
          <w:p w14:paraId="518E74B0" w14:textId="77777777" w:rsidR="008E6E94" w:rsidRDefault="00C92B1A" w:rsidP="00C92B1A">
            <w:pPr>
              <w:pStyle w:val="TableTextNumbersContinued"/>
            </w:pPr>
            <w:r>
              <w:t>Scan or enter specimen UIDs in the Specimen UID field</w:t>
            </w:r>
            <w:r w:rsidR="00880C72">
              <w:t>s</w:t>
            </w:r>
            <w:r>
              <w:t xml:space="preserve"> and enter comments, as required. </w:t>
            </w:r>
          </w:p>
          <w:p w14:paraId="611F5FCC" w14:textId="77777777" w:rsidR="00A36884" w:rsidRDefault="00A36884" w:rsidP="00C92B1A">
            <w:pPr>
              <w:pStyle w:val="TableTextNumbersContinued"/>
            </w:pPr>
          </w:p>
          <w:p w14:paraId="0BAB097A" w14:textId="77777777" w:rsidR="00A36884" w:rsidRDefault="00A36884" w:rsidP="00C92B1A">
            <w:pPr>
              <w:pStyle w:val="TableTextNumbersContinued"/>
            </w:pPr>
            <w:r>
              <w:t>Select an item from the drop-down menu in the Hemolysis Inspection field.</w:t>
            </w:r>
          </w:p>
        </w:tc>
        <w:tc>
          <w:tcPr>
            <w:tcW w:w="6120" w:type="dxa"/>
            <w:tcBorders>
              <w:top w:val="single" w:sz="4" w:space="0" w:color="auto"/>
              <w:left w:val="single" w:sz="4" w:space="0" w:color="auto"/>
              <w:bottom w:val="single" w:sz="4" w:space="0" w:color="auto"/>
              <w:right w:val="single" w:sz="4" w:space="0" w:color="auto"/>
            </w:tcBorders>
          </w:tcPr>
          <w:p w14:paraId="3B97442B" w14:textId="77777777" w:rsidR="008E6E94" w:rsidRDefault="008E6E94" w:rsidP="007A413F">
            <w:pPr>
              <w:pStyle w:val="TableTextBullet"/>
            </w:pPr>
            <w:r>
              <w:t xml:space="preserve">Allows the user to enter the date and time the transfusion reaction was noted (provided by the clinician) and the date and time of the investigation (default: current date and time). </w:t>
            </w:r>
          </w:p>
          <w:p w14:paraId="351EFDF6" w14:textId="77777777" w:rsidR="008E6E94" w:rsidRDefault="008E6E94" w:rsidP="007A413F">
            <w:pPr>
              <w:pStyle w:val="TableText"/>
            </w:pPr>
          </w:p>
          <w:p w14:paraId="0101A621" w14:textId="0DBBF372" w:rsidR="008E6E94" w:rsidRDefault="008E6E94" w:rsidP="007A413F">
            <w:pPr>
              <w:pStyle w:val="TableText"/>
              <w:rPr>
                <w:b/>
                <w:bCs/>
                <w:szCs w:val="18"/>
              </w:rPr>
            </w:pPr>
            <w:r>
              <w:rPr>
                <w:b/>
                <w:bCs/>
                <w:szCs w:val="18"/>
              </w:rPr>
              <w:t>NOTES</w:t>
            </w:r>
          </w:p>
          <w:p w14:paraId="374EF8B6" w14:textId="77777777" w:rsidR="008E6E94" w:rsidRDefault="008E6E94" w:rsidP="007A413F">
            <w:pPr>
              <w:pStyle w:val="NotesText"/>
            </w:pPr>
          </w:p>
          <w:p w14:paraId="6BA824D9" w14:textId="77777777" w:rsidR="008E6E94" w:rsidRDefault="008E6E94" w:rsidP="007A413F">
            <w:pPr>
              <w:pStyle w:val="NotesText"/>
            </w:pPr>
            <w:r>
              <w:rPr>
                <w:rFonts w:cs="Arial"/>
                <w:vanish/>
              </w:rPr>
              <w:t xml:space="preserve">BR_21.15 </w:t>
            </w:r>
            <w:r>
              <w:t>When the pre- and/or post-transfusion samples are available to perform the clerical check, VBECS requires the user to indicate whether the clerical check is okay.</w:t>
            </w:r>
          </w:p>
          <w:p w14:paraId="2C9A901F" w14:textId="77777777" w:rsidR="008E6E94" w:rsidRDefault="008E6E94" w:rsidP="007A413F">
            <w:pPr>
              <w:pStyle w:val="NotesText"/>
            </w:pPr>
          </w:p>
          <w:p w14:paraId="4097AF55" w14:textId="77777777" w:rsidR="008E6E94" w:rsidRDefault="008E6E94" w:rsidP="007A413F">
            <w:pPr>
              <w:pStyle w:val="NotesText"/>
            </w:pPr>
            <w:r>
              <w:rPr>
                <w:rFonts w:cs="Arial"/>
                <w:vanish/>
              </w:rPr>
              <w:t xml:space="preserve">BR_21.17 </w:t>
            </w:r>
            <w:r>
              <w:t xml:space="preserve">VBECS allows the user to scan or enter the pre- and post-transfusion specimen UIDs. VBECS compares the patient name and ID associated with each specimen UID to those associated with the TRW workup. </w:t>
            </w:r>
          </w:p>
          <w:p w14:paraId="162E20F4" w14:textId="77777777" w:rsidR="008E6E94" w:rsidRDefault="008E6E94" w:rsidP="007A413F">
            <w:pPr>
              <w:pStyle w:val="NotesText"/>
            </w:pPr>
          </w:p>
          <w:p w14:paraId="02B2F8A7" w14:textId="77777777" w:rsidR="008E6E94" w:rsidRDefault="008E6E94" w:rsidP="007A413F">
            <w:pPr>
              <w:pStyle w:val="NotesText"/>
            </w:pPr>
            <w:r>
              <w:rPr>
                <w:rFonts w:cs="Arial"/>
                <w:vanish/>
              </w:rPr>
              <w:t>BR_21.33</w:t>
            </w:r>
            <w:r w:rsidRPr="00323744">
              <w:rPr>
                <w:rStyle w:val="BullhornChar"/>
              </w:rPr>
              <w:t></w:t>
            </w:r>
            <w:r>
              <w:rPr>
                <w:rFonts w:ascii="Webdings" w:hAnsi="Webdings"/>
              </w:rPr>
              <w:t></w:t>
            </w:r>
            <w:r w:rsidRPr="00263B24">
              <w:t>Wh</w:t>
            </w:r>
            <w:r>
              <w:t>en the patient name does not match VBECS data for the TRW patient, VBECS emits an audible alert, warns the user, and instructs him to notify the physician immediately. VBECS allows the user to reenter the specimen UID or verify that the data are correct. VBECS requires a comment when there is no match and captures details for inclusion in an Exception Report (exception type: Transfusion Reaction Workup Specimen).</w:t>
            </w:r>
          </w:p>
          <w:p w14:paraId="26F9C123" w14:textId="77777777" w:rsidR="008E6E94" w:rsidRDefault="008E6E94" w:rsidP="007A413F">
            <w:pPr>
              <w:pStyle w:val="NotesText"/>
            </w:pPr>
          </w:p>
          <w:p w14:paraId="1B88D6E4" w14:textId="77777777" w:rsidR="003B25C3" w:rsidRDefault="008E6E94" w:rsidP="003B25C3">
            <w:pPr>
              <w:pStyle w:val="NotesText"/>
            </w:pPr>
            <w:r>
              <w:rPr>
                <w:rFonts w:cs="Arial"/>
                <w:vanish/>
              </w:rPr>
              <w:t xml:space="preserve">BR_21.18 </w:t>
            </w:r>
            <w:r>
              <w:t xml:space="preserve">The user may enter “icteric,” “absent,” “1+,” “2+,” “3+,” or “4+” in the Hemolysis Inspection field to identify the presence or </w:t>
            </w:r>
            <w:r>
              <w:lastRenderedPageBreak/>
              <w:t xml:space="preserve">absence of hemolysis in the pre- and post-transfusion patient specimens or blood container, when available. </w:t>
            </w:r>
          </w:p>
          <w:p w14:paraId="6BA8AC09" w14:textId="77777777" w:rsidR="003B25C3" w:rsidRDefault="003B25C3" w:rsidP="003B25C3">
            <w:pPr>
              <w:pStyle w:val="NotesText"/>
            </w:pPr>
          </w:p>
          <w:p w14:paraId="40DCD2DA" w14:textId="77777777" w:rsidR="003B25C3" w:rsidRDefault="003B25C3" w:rsidP="003B25C3">
            <w:pPr>
              <w:pStyle w:val="NotesText"/>
            </w:pPr>
            <w:r>
              <w:rPr>
                <w:rFonts w:cs="Arial"/>
                <w:vanish/>
              </w:rPr>
              <w:t xml:space="preserve">BR_21.34 </w:t>
            </w:r>
            <w:r>
              <w:t>The user may enter a comment in the "Pre-Transfusion Specimen Checks" comment context.</w:t>
            </w:r>
          </w:p>
          <w:p w14:paraId="7291B927" w14:textId="77777777" w:rsidR="003B25C3" w:rsidRDefault="003B25C3" w:rsidP="003B25C3">
            <w:pPr>
              <w:pStyle w:val="NotesText"/>
            </w:pPr>
          </w:p>
          <w:p w14:paraId="56732479" w14:textId="5B7903B4" w:rsidR="008E6E94" w:rsidRDefault="003B25C3" w:rsidP="003B25C3">
            <w:pPr>
              <w:pStyle w:val="NotesText"/>
            </w:pPr>
            <w:r>
              <w:rPr>
                <w:rFonts w:cs="Arial"/>
                <w:vanish/>
              </w:rPr>
              <w:t xml:space="preserve">BR_21.35 </w:t>
            </w:r>
            <w:r>
              <w:t>The user may enter a comment in the "Post-Transfusion Specimen Checks" comment context.</w:t>
            </w:r>
          </w:p>
        </w:tc>
      </w:tr>
      <w:tr w:rsidR="00C92B1A" w14:paraId="64F387BE" w14:textId="77777777">
        <w:tc>
          <w:tcPr>
            <w:tcW w:w="3240" w:type="dxa"/>
            <w:tcBorders>
              <w:top w:val="single" w:sz="4" w:space="0" w:color="auto"/>
              <w:left w:val="single" w:sz="4" w:space="0" w:color="auto"/>
              <w:bottom w:val="single" w:sz="4" w:space="0" w:color="auto"/>
              <w:right w:val="single" w:sz="4" w:space="0" w:color="auto"/>
            </w:tcBorders>
          </w:tcPr>
          <w:p w14:paraId="4C819897" w14:textId="3FCD3E8A" w:rsidR="00C92B1A" w:rsidRDefault="00C92B1A" w:rsidP="00A12663">
            <w:pPr>
              <w:pStyle w:val="TableTextNumbers"/>
            </w:pPr>
            <w:r>
              <w:lastRenderedPageBreak/>
              <w:t xml:space="preserve">Click the </w:t>
            </w:r>
            <w:r>
              <w:rPr>
                <w:b/>
              </w:rPr>
              <w:t>Clerical Check OK</w:t>
            </w:r>
            <w:r>
              <w:t xml:space="preserve"> or </w:t>
            </w:r>
            <w:r>
              <w:rPr>
                <w:b/>
              </w:rPr>
              <w:t xml:space="preserve">Clerical Check Failed </w:t>
            </w:r>
            <w:r w:rsidRPr="00BF2E41">
              <w:t>radio button</w:t>
            </w:r>
            <w:r>
              <w:t xml:space="preserve"> to perform initial clerical and identification checks</w:t>
            </w:r>
            <w:r w:rsidR="00750760">
              <w:t xml:space="preserve"> (</w:t>
            </w:r>
            <w:r w:rsidR="00EE455E">
              <w:t xml:space="preserve">Figure </w:t>
            </w:r>
            <w:r w:rsidR="00EE455E">
              <w:rPr>
                <w:noProof/>
              </w:rPr>
              <w:t>102</w:t>
            </w:r>
            <w:r w:rsidR="00750760">
              <w:t>)</w:t>
            </w:r>
            <w:r>
              <w:t>.</w:t>
            </w:r>
          </w:p>
        </w:tc>
        <w:tc>
          <w:tcPr>
            <w:tcW w:w="6120" w:type="dxa"/>
            <w:tcBorders>
              <w:top w:val="single" w:sz="4" w:space="0" w:color="auto"/>
              <w:left w:val="single" w:sz="4" w:space="0" w:color="auto"/>
              <w:bottom w:val="single" w:sz="4" w:space="0" w:color="auto"/>
              <w:right w:val="single" w:sz="4" w:space="0" w:color="auto"/>
            </w:tcBorders>
          </w:tcPr>
          <w:p w14:paraId="22C7C594" w14:textId="77777777" w:rsidR="00C92B1A" w:rsidRDefault="00C92B1A" w:rsidP="007A413F">
            <w:pPr>
              <w:pStyle w:val="TableText"/>
            </w:pPr>
          </w:p>
        </w:tc>
      </w:tr>
      <w:tr w:rsidR="00A12663" w14:paraId="5D3D8D64" w14:textId="77777777">
        <w:tc>
          <w:tcPr>
            <w:tcW w:w="3240" w:type="dxa"/>
            <w:tcBorders>
              <w:top w:val="single" w:sz="4" w:space="0" w:color="auto"/>
              <w:left w:val="single" w:sz="4" w:space="0" w:color="auto"/>
              <w:bottom w:val="single" w:sz="4" w:space="0" w:color="auto"/>
              <w:right w:val="single" w:sz="4" w:space="0" w:color="auto"/>
            </w:tcBorders>
          </w:tcPr>
          <w:p w14:paraId="6DAB8114" w14:textId="77777777" w:rsidR="00A12663" w:rsidRDefault="00A12663" w:rsidP="007A413F">
            <w:pPr>
              <w:pStyle w:val="TableTextNumbers"/>
            </w:pPr>
            <w:r>
              <w:t xml:space="preserve">Click </w:t>
            </w:r>
            <w:r w:rsidRPr="00C92B1A">
              <w:rPr>
                <w:b/>
              </w:rPr>
              <w:t>OK</w:t>
            </w:r>
            <w:r>
              <w:t xml:space="preserve"> to save, and </w:t>
            </w:r>
            <w:r>
              <w:rPr>
                <w:b/>
              </w:rPr>
              <w:t>Yes</w:t>
            </w:r>
            <w:r>
              <w:t xml:space="preserve"> to confirm the save.</w:t>
            </w:r>
          </w:p>
        </w:tc>
        <w:tc>
          <w:tcPr>
            <w:tcW w:w="6120" w:type="dxa"/>
            <w:tcBorders>
              <w:top w:val="single" w:sz="4" w:space="0" w:color="auto"/>
              <w:left w:val="single" w:sz="4" w:space="0" w:color="auto"/>
              <w:bottom w:val="single" w:sz="4" w:space="0" w:color="auto"/>
              <w:right w:val="single" w:sz="4" w:space="0" w:color="auto"/>
            </w:tcBorders>
          </w:tcPr>
          <w:p w14:paraId="6783BC2C" w14:textId="77777777" w:rsidR="00120B78" w:rsidRDefault="00120B78" w:rsidP="00120B78">
            <w:pPr>
              <w:pStyle w:val="TableText"/>
            </w:pPr>
          </w:p>
          <w:p w14:paraId="43D6D101" w14:textId="7E7707B8" w:rsidR="00A12663" w:rsidRDefault="00A12663" w:rsidP="00A12663">
            <w:pPr>
              <w:pStyle w:val="TableText"/>
              <w:rPr>
                <w:b/>
                <w:bCs/>
                <w:szCs w:val="18"/>
              </w:rPr>
            </w:pPr>
            <w:r>
              <w:rPr>
                <w:b/>
                <w:bCs/>
                <w:szCs w:val="18"/>
              </w:rPr>
              <w:t>NOTES</w:t>
            </w:r>
          </w:p>
          <w:p w14:paraId="231CF838" w14:textId="77777777" w:rsidR="00A12663" w:rsidRDefault="00A12663" w:rsidP="00120B78">
            <w:pPr>
              <w:pStyle w:val="NotesText"/>
            </w:pPr>
          </w:p>
          <w:p w14:paraId="296B428E" w14:textId="77777777" w:rsidR="00120B78" w:rsidRDefault="00120B78" w:rsidP="00120B78">
            <w:pPr>
              <w:pStyle w:val="NotesText"/>
            </w:pPr>
            <w:r>
              <w:rPr>
                <w:rFonts w:cs="Arial"/>
                <w:vanish/>
              </w:rPr>
              <w:t xml:space="preserve">BR_21.11 </w:t>
            </w:r>
            <w:r>
              <w:t>When the user exits and saves the data, VBECS changes the task status of the TRW to “partially completed.”</w:t>
            </w:r>
          </w:p>
          <w:p w14:paraId="12E4FCA2" w14:textId="77777777" w:rsidR="00120B78" w:rsidRDefault="00120B78" w:rsidP="00120B78">
            <w:pPr>
              <w:pStyle w:val="NotesText"/>
            </w:pPr>
          </w:p>
          <w:p w14:paraId="75BC8B6B" w14:textId="77777777" w:rsidR="00A12663" w:rsidRDefault="00A12663" w:rsidP="00A12663">
            <w:pPr>
              <w:pStyle w:val="NotesText"/>
            </w:pPr>
            <w:r>
              <w:t>A partially completed TRW may be corrected only by invalidating and reentering the TRW.</w:t>
            </w:r>
          </w:p>
        </w:tc>
      </w:tr>
      <w:tr w:rsidR="008E6E94" w14:paraId="68533B0A" w14:textId="77777777">
        <w:tc>
          <w:tcPr>
            <w:tcW w:w="3240" w:type="dxa"/>
            <w:tcBorders>
              <w:top w:val="single" w:sz="4" w:space="0" w:color="auto"/>
              <w:left w:val="single" w:sz="4" w:space="0" w:color="auto"/>
              <w:bottom w:val="single" w:sz="4" w:space="0" w:color="auto"/>
              <w:right w:val="single" w:sz="4" w:space="0" w:color="auto"/>
            </w:tcBorders>
          </w:tcPr>
          <w:p w14:paraId="1D66298B" w14:textId="77777777" w:rsidR="008E6E94" w:rsidRDefault="008E6E94" w:rsidP="007A413F">
            <w:pPr>
              <w:pStyle w:val="TableTextNumbers"/>
            </w:pPr>
            <w:r>
              <w:t xml:space="preserve">Enter the date and time of the transfusion reaction </w:t>
            </w:r>
            <w:r w:rsidR="00685492">
              <w:t>noted</w:t>
            </w:r>
            <w:r>
              <w:t xml:space="preserve"> by the clinician and the date and time of the reaction investigation.</w:t>
            </w:r>
          </w:p>
        </w:tc>
        <w:tc>
          <w:tcPr>
            <w:tcW w:w="6120" w:type="dxa"/>
            <w:tcBorders>
              <w:top w:val="single" w:sz="4" w:space="0" w:color="auto"/>
              <w:left w:val="single" w:sz="4" w:space="0" w:color="auto"/>
              <w:bottom w:val="single" w:sz="4" w:space="0" w:color="auto"/>
              <w:right w:val="single" w:sz="4" w:space="0" w:color="auto"/>
            </w:tcBorders>
          </w:tcPr>
          <w:p w14:paraId="735488C4" w14:textId="77777777" w:rsidR="008E6E94" w:rsidRDefault="008E6E94" w:rsidP="007A413F">
            <w:pPr>
              <w:pStyle w:val="TableText"/>
            </w:pPr>
          </w:p>
          <w:p w14:paraId="0D0FCE27" w14:textId="37701D99" w:rsidR="008E6E94" w:rsidRDefault="008E6E94" w:rsidP="007A413F">
            <w:pPr>
              <w:pStyle w:val="TableText"/>
              <w:rPr>
                <w:b/>
                <w:bCs/>
                <w:szCs w:val="18"/>
              </w:rPr>
            </w:pPr>
            <w:r>
              <w:rPr>
                <w:b/>
                <w:bCs/>
                <w:szCs w:val="18"/>
              </w:rPr>
              <w:t>NOTES</w:t>
            </w:r>
          </w:p>
          <w:p w14:paraId="326466E4" w14:textId="77777777" w:rsidR="008E6E94" w:rsidRDefault="008E6E94" w:rsidP="007A413F">
            <w:pPr>
              <w:pStyle w:val="NotesText"/>
            </w:pPr>
          </w:p>
          <w:p w14:paraId="50CBFF8F" w14:textId="77777777" w:rsidR="008E6E94" w:rsidRDefault="008E6E94" w:rsidP="007A413F">
            <w:pPr>
              <w:pStyle w:val="NotesText"/>
            </w:pPr>
            <w:r>
              <w:rPr>
                <w:rFonts w:cs="Arial"/>
                <w:vanish/>
              </w:rPr>
              <w:t xml:space="preserve">BR_21.01 </w:t>
            </w:r>
            <w:r>
              <w:t xml:space="preserve">VBECS allows the user to enter the date and time of the reaction noted by the clinician. </w:t>
            </w:r>
          </w:p>
          <w:p w14:paraId="3D17FCC6" w14:textId="77777777" w:rsidR="008E6E94" w:rsidRDefault="008E6E94" w:rsidP="007A413F">
            <w:pPr>
              <w:pStyle w:val="NotesText"/>
            </w:pPr>
          </w:p>
          <w:p w14:paraId="5C48FA04" w14:textId="77777777" w:rsidR="008E6E94" w:rsidRDefault="008E6E94" w:rsidP="007A413F">
            <w:pPr>
              <w:pStyle w:val="NotesText"/>
            </w:pPr>
            <w:r>
              <w:rPr>
                <w:rFonts w:cs="Arial"/>
                <w:vanish/>
              </w:rPr>
              <w:t xml:space="preserve">BR_21.02 </w:t>
            </w:r>
            <w:r>
              <w:t>When the implicated unit is unknown, VBECS allows the user to continue without identifying a unit or entering implicated unit information.</w:t>
            </w:r>
          </w:p>
          <w:p w14:paraId="76AC4D3B" w14:textId="77777777" w:rsidR="008E6E94" w:rsidRDefault="008E6E94" w:rsidP="007A413F">
            <w:pPr>
              <w:pStyle w:val="NotesText"/>
            </w:pPr>
          </w:p>
          <w:p w14:paraId="4B1BD236" w14:textId="77777777" w:rsidR="008E6E94" w:rsidRDefault="008E6E94" w:rsidP="007A413F">
            <w:pPr>
              <w:pStyle w:val="NotesText"/>
            </w:pPr>
            <w:r>
              <w:rPr>
                <w:rFonts w:cs="Arial"/>
                <w:vanish/>
              </w:rPr>
              <w:t xml:space="preserve">BR_21.19 </w:t>
            </w:r>
            <w:r>
              <w:t>VBECS requires the user to enter the date and time of the TRW investigation (default: current date and time), including a date and time in the past for retrospective data entry. The user may not enter a future date and time.</w:t>
            </w:r>
          </w:p>
          <w:p w14:paraId="055C2C2D" w14:textId="77777777" w:rsidR="008E6E94" w:rsidRDefault="008E6E94" w:rsidP="007A413F">
            <w:pPr>
              <w:pStyle w:val="NotesText"/>
            </w:pPr>
          </w:p>
          <w:p w14:paraId="3C17638F" w14:textId="77777777" w:rsidR="008E6E94" w:rsidRDefault="008E6E94" w:rsidP="00E61994">
            <w:pPr>
              <w:pStyle w:val="NotesText"/>
            </w:pPr>
            <w:r>
              <w:t xml:space="preserve">If the user indicates that implicated units are unknown, he continues at Step </w:t>
            </w:r>
            <w:r w:rsidR="00E61994">
              <w:t>10</w:t>
            </w:r>
            <w:r>
              <w:t>.</w:t>
            </w:r>
          </w:p>
        </w:tc>
      </w:tr>
      <w:tr w:rsidR="008E6E94" w14:paraId="18280467" w14:textId="77777777">
        <w:tc>
          <w:tcPr>
            <w:tcW w:w="3240" w:type="dxa"/>
            <w:tcBorders>
              <w:top w:val="single" w:sz="4" w:space="0" w:color="auto"/>
              <w:left w:val="single" w:sz="4" w:space="0" w:color="auto"/>
              <w:bottom w:val="single" w:sz="4" w:space="0" w:color="auto"/>
              <w:right w:val="single" w:sz="4" w:space="0" w:color="auto"/>
            </w:tcBorders>
          </w:tcPr>
          <w:p w14:paraId="5C0CE385" w14:textId="77777777" w:rsidR="008F4AA6" w:rsidRDefault="00B44A92" w:rsidP="007A413F">
            <w:pPr>
              <w:pStyle w:val="TableTextNumbers"/>
            </w:pPr>
            <w:r>
              <w:t>In the Implicated Units tab, c</w:t>
            </w:r>
            <w:r w:rsidR="008E6E94">
              <w:t>lick the</w:t>
            </w:r>
            <w:r w:rsidR="008E6E94">
              <w:rPr>
                <w:b/>
              </w:rPr>
              <w:t xml:space="preserve"> Implicated Unit</w:t>
            </w:r>
            <w:r w:rsidR="00025A9B">
              <w:rPr>
                <w:b/>
              </w:rPr>
              <w:t>(</w:t>
            </w:r>
            <w:r w:rsidR="008E6E94">
              <w:rPr>
                <w:b/>
              </w:rPr>
              <w:t>s</w:t>
            </w:r>
            <w:r w:rsidR="00025A9B">
              <w:rPr>
                <w:b/>
              </w:rPr>
              <w:t>)</w:t>
            </w:r>
            <w:r w:rsidR="008E6E94">
              <w:rPr>
                <w:b/>
              </w:rPr>
              <w:t xml:space="preserve"> Identified </w:t>
            </w:r>
            <w:r w:rsidR="008E6E94" w:rsidRPr="00BF2E41">
              <w:t>radio button</w:t>
            </w:r>
            <w:r w:rsidR="0045387D">
              <w:t xml:space="preserve"> to select an implicated unit.</w:t>
            </w:r>
          </w:p>
          <w:p w14:paraId="75814CF0" w14:textId="77777777" w:rsidR="0045387D" w:rsidRDefault="0045387D" w:rsidP="0045387D">
            <w:pPr>
              <w:pStyle w:val="TableTextNumbersContinued"/>
            </w:pPr>
          </w:p>
          <w:p w14:paraId="7C719B67" w14:textId="77777777" w:rsidR="0045387D" w:rsidRDefault="0045387D" w:rsidP="0045387D">
            <w:pPr>
              <w:pStyle w:val="TableTextNumbersContinued"/>
            </w:pPr>
            <w:r>
              <w:t>Scan or enter the unit ID and product code.</w:t>
            </w:r>
          </w:p>
          <w:p w14:paraId="2D63C750" w14:textId="77777777" w:rsidR="0045387D" w:rsidRDefault="0045387D" w:rsidP="0045387D">
            <w:pPr>
              <w:pStyle w:val="TableTextNumbersContinued"/>
            </w:pPr>
          </w:p>
          <w:p w14:paraId="67E21C81" w14:textId="77777777" w:rsidR="0045387D" w:rsidRDefault="0045387D" w:rsidP="0045387D">
            <w:pPr>
              <w:pStyle w:val="TableTextNumbersContinued"/>
            </w:pPr>
            <w:r>
              <w:t xml:space="preserve">Click the </w:t>
            </w:r>
            <w:r w:rsidRPr="0045387D">
              <w:rPr>
                <w:b/>
              </w:rPr>
              <w:t>Blood Bag Returned</w:t>
            </w:r>
            <w:r>
              <w:t xml:space="preserve"> or </w:t>
            </w:r>
            <w:r w:rsidRPr="0045387D">
              <w:rPr>
                <w:b/>
              </w:rPr>
              <w:t xml:space="preserve">Blood Bank Not Returned </w:t>
            </w:r>
            <w:r w:rsidRPr="00BF2E41">
              <w:t>radio button</w:t>
            </w:r>
            <w:r>
              <w:t>.</w:t>
            </w:r>
          </w:p>
          <w:p w14:paraId="686C75E6" w14:textId="77777777" w:rsidR="00880C72" w:rsidRDefault="00880C72" w:rsidP="0045387D">
            <w:pPr>
              <w:pStyle w:val="TableTextNumbersContinued"/>
            </w:pPr>
          </w:p>
          <w:p w14:paraId="23F3EE1F" w14:textId="77777777" w:rsidR="00880C72" w:rsidRDefault="00880C72" w:rsidP="00880C72">
            <w:pPr>
              <w:pStyle w:val="TableTextNumbersContinued"/>
            </w:pPr>
            <w:r>
              <w:t>Select an item from the drop-down menu in the Hemolysis Inspection field.</w:t>
            </w:r>
          </w:p>
          <w:p w14:paraId="6002CE83" w14:textId="77777777" w:rsidR="00880C72" w:rsidRDefault="00880C72" w:rsidP="00880C72">
            <w:pPr>
              <w:pStyle w:val="TableTextNumbersContinued"/>
            </w:pPr>
          </w:p>
          <w:p w14:paraId="66B95AB8" w14:textId="77777777" w:rsidR="00880C72" w:rsidRDefault="00880C72" w:rsidP="00880C72">
            <w:pPr>
              <w:pStyle w:val="TableTextNumbersContinued"/>
            </w:pPr>
            <w:r>
              <w:t xml:space="preserve">Click the </w:t>
            </w:r>
            <w:r>
              <w:rPr>
                <w:b/>
              </w:rPr>
              <w:t>Clerical Check OK</w:t>
            </w:r>
            <w:r>
              <w:t xml:space="preserve"> or </w:t>
            </w:r>
            <w:r>
              <w:rPr>
                <w:b/>
              </w:rPr>
              <w:t xml:space="preserve">Clerical Check Failed </w:t>
            </w:r>
            <w:r w:rsidRPr="00BF2E41">
              <w:t xml:space="preserve">radio </w:t>
            </w:r>
            <w:r w:rsidRPr="00BF2E41">
              <w:lastRenderedPageBreak/>
              <w:t>button</w:t>
            </w:r>
            <w:r>
              <w:t xml:space="preserve"> to perform initial clerical and identification checks.</w:t>
            </w:r>
          </w:p>
          <w:p w14:paraId="6FDA2A98" w14:textId="77777777" w:rsidR="008F4AA6" w:rsidRDefault="008F4AA6" w:rsidP="008F4AA6">
            <w:pPr>
              <w:pStyle w:val="TableTextNumbersContinued"/>
            </w:pPr>
          </w:p>
          <w:p w14:paraId="1FA0FCB0" w14:textId="48D17B0E" w:rsidR="00AA7470" w:rsidRDefault="00AA7470" w:rsidP="008F4AA6">
            <w:pPr>
              <w:pStyle w:val="TableTextNumbersContinued"/>
            </w:pPr>
            <w:r>
              <w:t>Enter a comment and details, as required</w:t>
            </w:r>
            <w:r w:rsidR="00750760">
              <w:t xml:space="preserve"> (</w:t>
            </w:r>
            <w:r w:rsidR="00EE455E">
              <w:t xml:space="preserve">Figure </w:t>
            </w:r>
            <w:r w:rsidR="00EE455E">
              <w:rPr>
                <w:noProof/>
              </w:rPr>
              <w:t>103</w:t>
            </w:r>
            <w:r w:rsidR="00750760">
              <w:t>)</w:t>
            </w:r>
            <w:r>
              <w:t>.</w:t>
            </w:r>
          </w:p>
          <w:p w14:paraId="7E0A9BF7" w14:textId="77777777" w:rsidR="00006D86" w:rsidRDefault="00006D86" w:rsidP="008F4AA6">
            <w:pPr>
              <w:pStyle w:val="TableTextNumbersContinued"/>
            </w:pPr>
          </w:p>
          <w:p w14:paraId="780E3D20" w14:textId="77777777" w:rsidR="00006D86" w:rsidRDefault="00006D86" w:rsidP="008F4AA6">
            <w:pPr>
              <w:pStyle w:val="TableTextNumbersContinued"/>
            </w:pPr>
            <w:r>
              <w:t xml:space="preserve">Click </w:t>
            </w:r>
            <w:r w:rsidRPr="00006D86">
              <w:rPr>
                <w:b/>
              </w:rPr>
              <w:t>Add</w:t>
            </w:r>
            <w:r>
              <w:t xml:space="preserve"> to add the unit.</w:t>
            </w:r>
          </w:p>
          <w:p w14:paraId="554BF221" w14:textId="77777777" w:rsidR="00AA7470" w:rsidRDefault="00AA7470" w:rsidP="008F4AA6">
            <w:pPr>
              <w:pStyle w:val="TableTextNumbersContinued"/>
            </w:pPr>
          </w:p>
          <w:p w14:paraId="5D94BF6B" w14:textId="77777777" w:rsidR="00025A9B" w:rsidRDefault="008E6E94" w:rsidP="008F4AA6">
            <w:pPr>
              <w:pStyle w:val="TableTextNumbersContinued"/>
            </w:pPr>
            <w:r>
              <w:t xml:space="preserve">or </w:t>
            </w:r>
          </w:p>
          <w:p w14:paraId="2E804723" w14:textId="77777777" w:rsidR="00025A9B" w:rsidRDefault="00025A9B" w:rsidP="008F4AA6">
            <w:pPr>
              <w:pStyle w:val="TableTextNumbersContinued"/>
            </w:pPr>
          </w:p>
          <w:p w14:paraId="0A35C656" w14:textId="77777777" w:rsidR="00025A9B" w:rsidRDefault="007B5D98" w:rsidP="008F4AA6">
            <w:pPr>
              <w:pStyle w:val="TableTextNumbersContinued"/>
            </w:pPr>
            <w:r>
              <w:t>C</w:t>
            </w:r>
            <w:r w:rsidR="008E6E94">
              <w:t xml:space="preserve">lick the </w:t>
            </w:r>
            <w:r w:rsidR="008E6E94">
              <w:rPr>
                <w:b/>
              </w:rPr>
              <w:t xml:space="preserve">No Implicated Units </w:t>
            </w:r>
            <w:r w:rsidR="008E6E94" w:rsidRPr="00BF2E41">
              <w:t>radio button</w:t>
            </w:r>
            <w:r w:rsidR="00025A9B">
              <w:t>.</w:t>
            </w:r>
          </w:p>
          <w:p w14:paraId="4C0682B2" w14:textId="77777777" w:rsidR="00025A9B" w:rsidRDefault="00025A9B" w:rsidP="008F4AA6">
            <w:pPr>
              <w:pStyle w:val="TableTextNumbersContinued"/>
            </w:pPr>
          </w:p>
          <w:p w14:paraId="30D0BC02" w14:textId="77777777" w:rsidR="008E6E94" w:rsidRDefault="00025A9B" w:rsidP="008F4AA6">
            <w:pPr>
              <w:pStyle w:val="TableTextNumbersContinued"/>
            </w:pPr>
            <w:r>
              <w:t xml:space="preserve">Click </w:t>
            </w:r>
            <w:r w:rsidRPr="00025A9B">
              <w:rPr>
                <w:b/>
              </w:rPr>
              <w:t>OK</w:t>
            </w:r>
            <w:r>
              <w:t xml:space="preserve"> to save</w:t>
            </w:r>
            <w:r w:rsidR="00006D86">
              <w:t xml:space="preserve">, and </w:t>
            </w:r>
            <w:r w:rsidR="00006D86" w:rsidRPr="00006D86">
              <w:rPr>
                <w:b/>
              </w:rPr>
              <w:t>Yes</w:t>
            </w:r>
            <w:r w:rsidR="00006D86">
              <w:t xml:space="preserve"> to confirm the save</w:t>
            </w:r>
            <w:r>
              <w:t>.</w:t>
            </w:r>
          </w:p>
        </w:tc>
        <w:tc>
          <w:tcPr>
            <w:tcW w:w="6120" w:type="dxa"/>
            <w:tcBorders>
              <w:top w:val="single" w:sz="4" w:space="0" w:color="auto"/>
              <w:left w:val="single" w:sz="4" w:space="0" w:color="auto"/>
              <w:bottom w:val="single" w:sz="4" w:space="0" w:color="auto"/>
              <w:right w:val="single" w:sz="4" w:space="0" w:color="auto"/>
            </w:tcBorders>
          </w:tcPr>
          <w:p w14:paraId="52C96E4B" w14:textId="77777777" w:rsidR="008E6E94" w:rsidRDefault="008E6E94" w:rsidP="007A413F">
            <w:pPr>
              <w:pStyle w:val="TableTextBullet"/>
            </w:pPr>
            <w:r>
              <w:rPr>
                <w:rFonts w:cs="Arial"/>
                <w:vanish/>
              </w:rPr>
              <w:lastRenderedPageBreak/>
              <w:t xml:space="preserve">BR_21.03 </w:t>
            </w:r>
            <w:r>
              <w:t>Allows the user to:</w:t>
            </w:r>
          </w:p>
          <w:p w14:paraId="14991DB9" w14:textId="77777777" w:rsidR="0045387D" w:rsidRDefault="0045387D" w:rsidP="0045387D">
            <w:pPr>
              <w:pStyle w:val="TableTextBullet1"/>
            </w:pPr>
            <w:r>
              <w:t>Enter implicated unit information.</w:t>
            </w:r>
          </w:p>
          <w:p w14:paraId="5115F9F4" w14:textId="77777777" w:rsidR="008E6E94" w:rsidRDefault="008E6E94" w:rsidP="007A413F">
            <w:pPr>
              <w:pStyle w:val="TableTextBullet1"/>
            </w:pPr>
            <w:r>
              <w:t>Indicate whether the bag and infusion set were returned.</w:t>
            </w:r>
          </w:p>
          <w:p w14:paraId="5322E4E0" w14:textId="77777777" w:rsidR="008E6E94" w:rsidRDefault="008E6E94" w:rsidP="007A413F">
            <w:pPr>
              <w:pStyle w:val="TableTextBullet1"/>
            </w:pPr>
            <w:r>
              <w:t>Review and/or edit the entered information.</w:t>
            </w:r>
          </w:p>
          <w:p w14:paraId="7CB33A0A" w14:textId="77777777" w:rsidR="008E6E94" w:rsidRDefault="008E6E94" w:rsidP="007A413F">
            <w:pPr>
              <w:pStyle w:val="TableText"/>
            </w:pPr>
          </w:p>
          <w:p w14:paraId="02C69B94" w14:textId="632C44E1" w:rsidR="008E6E94" w:rsidRDefault="008E6E94" w:rsidP="007A413F">
            <w:pPr>
              <w:pStyle w:val="TableText"/>
              <w:rPr>
                <w:b/>
                <w:bCs/>
                <w:szCs w:val="18"/>
              </w:rPr>
            </w:pPr>
            <w:r>
              <w:rPr>
                <w:b/>
                <w:bCs/>
                <w:szCs w:val="18"/>
              </w:rPr>
              <w:t>NOTES</w:t>
            </w:r>
          </w:p>
          <w:p w14:paraId="184B3FAE" w14:textId="77777777" w:rsidR="008E6E94" w:rsidRDefault="008E6E94" w:rsidP="007A413F">
            <w:pPr>
              <w:pStyle w:val="NotesText"/>
            </w:pPr>
          </w:p>
          <w:p w14:paraId="19D6B18F" w14:textId="5C467436" w:rsidR="008E6E94" w:rsidRDefault="008E6E94" w:rsidP="007A413F">
            <w:pPr>
              <w:pStyle w:val="NotesText"/>
            </w:pPr>
            <w:r>
              <w:rPr>
                <w:rFonts w:cs="Arial"/>
                <w:vanish/>
              </w:rPr>
              <w:t xml:space="preserve">BR_21.10 </w:t>
            </w:r>
            <w:r>
              <w:t>When the user indicates that the blood bag was not returned, VBECS disables the hemolysis and clerical checks.</w:t>
            </w:r>
            <w:r w:rsidR="00052776">
              <w:t xml:space="preserve"> The user may enter a comment</w:t>
            </w:r>
            <w:r w:rsidR="004015DD">
              <w:t xml:space="preserve"> in the “Transfusion Blood Bag Not Returned” context</w:t>
            </w:r>
          </w:p>
          <w:p w14:paraId="5C668008" w14:textId="77777777" w:rsidR="008E6E94" w:rsidRDefault="008E6E94" w:rsidP="007A413F">
            <w:pPr>
              <w:pStyle w:val="NotesText"/>
            </w:pPr>
          </w:p>
          <w:p w14:paraId="634A9EE0" w14:textId="77777777" w:rsidR="008E6E94" w:rsidRDefault="008E6E94" w:rsidP="007A413F">
            <w:pPr>
              <w:pStyle w:val="NotesText"/>
            </w:pPr>
            <w:r>
              <w:rPr>
                <w:rFonts w:cs="Arial"/>
                <w:vanish/>
              </w:rPr>
              <w:t xml:space="preserve">BR_21.22 </w:t>
            </w:r>
            <w:r>
              <w:t>All implicated units entered are available for TRW ABO/Rh and TRW crossmatching. Actual data entry of test results for any entries is optional, based on a facility’s local policies and procedures.</w:t>
            </w:r>
          </w:p>
          <w:p w14:paraId="40BDEDC3" w14:textId="77777777" w:rsidR="008E6E94" w:rsidRDefault="008E6E94" w:rsidP="007A413F">
            <w:pPr>
              <w:pStyle w:val="NotesText"/>
            </w:pPr>
          </w:p>
          <w:p w14:paraId="51572B61" w14:textId="77777777" w:rsidR="008E6E94" w:rsidRDefault="008E6E94" w:rsidP="007A413F">
            <w:pPr>
              <w:pStyle w:val="NotesText"/>
            </w:pPr>
            <w:r>
              <w:t xml:space="preserve">The user may enter a free-text comment to document site-specific information such as other solutions or additives, urinary </w:t>
            </w:r>
            <w:r>
              <w:lastRenderedPageBreak/>
              <w:t>hemoglobin checks, and whether the product was warmed during transfusion.</w:t>
            </w:r>
          </w:p>
        </w:tc>
      </w:tr>
      <w:tr w:rsidR="008E6E94" w14:paraId="02C5558A" w14:textId="77777777">
        <w:tc>
          <w:tcPr>
            <w:tcW w:w="3240" w:type="dxa"/>
            <w:tcBorders>
              <w:top w:val="single" w:sz="4" w:space="0" w:color="auto"/>
              <w:left w:val="single" w:sz="4" w:space="0" w:color="auto"/>
              <w:bottom w:val="single" w:sz="4" w:space="0" w:color="auto"/>
              <w:right w:val="single" w:sz="4" w:space="0" w:color="auto"/>
            </w:tcBorders>
          </w:tcPr>
          <w:p w14:paraId="523DA6ED" w14:textId="77777777" w:rsidR="008E6E94" w:rsidRDefault="008E6E94" w:rsidP="007A413F">
            <w:pPr>
              <w:pStyle w:val="TableTextNumbers"/>
            </w:pPr>
            <w:r>
              <w:lastRenderedPageBreak/>
              <w:t xml:space="preserve">Repeat Step </w:t>
            </w:r>
            <w:r w:rsidR="00006D86">
              <w:t>8</w:t>
            </w:r>
            <w:r w:rsidR="00BF2379">
              <w:t xml:space="preserve"> for each implicated unit</w:t>
            </w:r>
            <w:r>
              <w:t>.</w:t>
            </w:r>
          </w:p>
        </w:tc>
        <w:tc>
          <w:tcPr>
            <w:tcW w:w="6120" w:type="dxa"/>
            <w:tcBorders>
              <w:top w:val="single" w:sz="4" w:space="0" w:color="auto"/>
              <w:left w:val="single" w:sz="4" w:space="0" w:color="auto"/>
              <w:bottom w:val="single" w:sz="4" w:space="0" w:color="auto"/>
              <w:right w:val="single" w:sz="4" w:space="0" w:color="auto"/>
            </w:tcBorders>
          </w:tcPr>
          <w:p w14:paraId="2239C531" w14:textId="77777777" w:rsidR="008E6E94" w:rsidRDefault="008E6E94" w:rsidP="007A413F">
            <w:pPr>
              <w:pStyle w:val="TableTextBullet"/>
            </w:pPr>
            <w:r>
              <w:t>Allows the user to enter the patient’s symptoms.</w:t>
            </w:r>
          </w:p>
          <w:p w14:paraId="1D4E9C47" w14:textId="77777777" w:rsidR="008E6E94" w:rsidRDefault="008E6E94" w:rsidP="007A413F">
            <w:pPr>
              <w:pStyle w:val="TableText"/>
            </w:pPr>
          </w:p>
          <w:p w14:paraId="6BCE2176" w14:textId="345B64D3" w:rsidR="008E6E94" w:rsidRDefault="008E6E94" w:rsidP="007A413F">
            <w:pPr>
              <w:pStyle w:val="TableText"/>
              <w:rPr>
                <w:b/>
                <w:bCs/>
                <w:szCs w:val="18"/>
              </w:rPr>
            </w:pPr>
            <w:r>
              <w:rPr>
                <w:b/>
                <w:bCs/>
                <w:szCs w:val="18"/>
              </w:rPr>
              <w:t>NOTES</w:t>
            </w:r>
          </w:p>
          <w:p w14:paraId="5DE6AB9E" w14:textId="77777777" w:rsidR="008E6E94" w:rsidRDefault="008E6E94" w:rsidP="007A413F">
            <w:pPr>
              <w:pStyle w:val="NotesText"/>
            </w:pPr>
          </w:p>
          <w:p w14:paraId="7552C10F" w14:textId="77777777" w:rsidR="008E6E94" w:rsidRDefault="008E6E94" w:rsidP="007A413F">
            <w:pPr>
              <w:pStyle w:val="NotesText"/>
            </w:pPr>
            <w:r>
              <w:rPr>
                <w:rFonts w:cs="Arial"/>
                <w:vanish/>
              </w:rPr>
              <w:t xml:space="preserve">BR_21.07 </w:t>
            </w:r>
            <w:r>
              <w:t>VBECS accepts data for multiple implicated units and stores and reports them as part of the clerical check. When the user enters implicated unit data, VBECS adds the unit to TRW serologic testing.</w:t>
            </w:r>
          </w:p>
        </w:tc>
      </w:tr>
      <w:tr w:rsidR="008E6E94" w14:paraId="76BE7A6B" w14:textId="77777777">
        <w:tc>
          <w:tcPr>
            <w:tcW w:w="3240" w:type="dxa"/>
            <w:tcBorders>
              <w:top w:val="single" w:sz="4" w:space="0" w:color="auto"/>
              <w:left w:val="single" w:sz="4" w:space="0" w:color="auto"/>
              <w:bottom w:val="single" w:sz="4" w:space="0" w:color="auto"/>
              <w:right w:val="single" w:sz="4" w:space="0" w:color="auto"/>
            </w:tcBorders>
          </w:tcPr>
          <w:p w14:paraId="676F30A0" w14:textId="77777777" w:rsidR="0069720B" w:rsidRDefault="0069720B" w:rsidP="007A413F">
            <w:pPr>
              <w:pStyle w:val="TableTextNumbers"/>
            </w:pPr>
            <w:r>
              <w:t xml:space="preserve">In the Symptoms tab, click the </w:t>
            </w:r>
            <w:r w:rsidRPr="0069720B">
              <w:rPr>
                <w:b/>
              </w:rPr>
              <w:t xml:space="preserve">Patient Symptoms Identified </w:t>
            </w:r>
            <w:r w:rsidRPr="00BF2E41">
              <w:t>radio button</w:t>
            </w:r>
            <w:r>
              <w:t>.</w:t>
            </w:r>
          </w:p>
          <w:p w14:paraId="2FA94B63" w14:textId="77777777" w:rsidR="0069720B" w:rsidRDefault="0069720B" w:rsidP="0069720B">
            <w:pPr>
              <w:pStyle w:val="TableTextNumbersContinued"/>
            </w:pPr>
          </w:p>
          <w:p w14:paraId="0CBDD69B" w14:textId="10AE594E" w:rsidR="0069720B" w:rsidRDefault="0069720B" w:rsidP="0069720B">
            <w:pPr>
              <w:pStyle w:val="TableTextNumbersContinued"/>
            </w:pPr>
            <w:r>
              <w:t>C</w:t>
            </w:r>
            <w:r w:rsidR="008E6E94">
              <w:t>lick the check boxes to select one or more</w:t>
            </w:r>
            <w:r>
              <w:t xml:space="preserve"> patient symptoms</w:t>
            </w:r>
            <w:r w:rsidR="00750760">
              <w:t xml:space="preserve"> (</w:t>
            </w:r>
            <w:r w:rsidR="00EE455E">
              <w:t xml:space="preserve">Figure </w:t>
            </w:r>
            <w:r w:rsidR="00EE455E">
              <w:rPr>
                <w:noProof/>
              </w:rPr>
              <w:t>104</w:t>
            </w:r>
            <w:r w:rsidR="00750760">
              <w:t>)</w:t>
            </w:r>
            <w:r w:rsidR="00F911DD">
              <w:t>,</w:t>
            </w:r>
          </w:p>
          <w:p w14:paraId="69DEB047" w14:textId="77777777" w:rsidR="0069720B" w:rsidRDefault="0069720B" w:rsidP="0069720B">
            <w:pPr>
              <w:pStyle w:val="TableTextNumbersContinued"/>
            </w:pPr>
          </w:p>
          <w:p w14:paraId="1F1D87EF" w14:textId="77777777" w:rsidR="008E6E94" w:rsidRDefault="0069720B" w:rsidP="0069720B">
            <w:pPr>
              <w:pStyle w:val="TableTextNumbersContinued"/>
            </w:pPr>
            <w:r>
              <w:t>or</w:t>
            </w:r>
          </w:p>
          <w:p w14:paraId="4AF4A421" w14:textId="77777777" w:rsidR="0069720B" w:rsidRDefault="0069720B" w:rsidP="0069720B">
            <w:pPr>
              <w:pStyle w:val="TableTextNumbersContinued"/>
            </w:pPr>
          </w:p>
          <w:p w14:paraId="26496AB2" w14:textId="77777777" w:rsidR="0069720B" w:rsidRDefault="0069720B" w:rsidP="0069720B">
            <w:pPr>
              <w:pStyle w:val="TableTextNumbersContinued"/>
            </w:pPr>
            <w:r>
              <w:t xml:space="preserve">Click the </w:t>
            </w:r>
            <w:r w:rsidRPr="0069720B">
              <w:rPr>
                <w:b/>
              </w:rPr>
              <w:t xml:space="preserve">No Patient Symptoms Identified </w:t>
            </w:r>
            <w:r w:rsidRPr="00BF2E41">
              <w:t>radio button</w:t>
            </w:r>
            <w:r>
              <w:t>.</w:t>
            </w:r>
          </w:p>
          <w:p w14:paraId="698EE6EF" w14:textId="77777777" w:rsidR="00F911DD" w:rsidRDefault="00F911DD" w:rsidP="0069720B">
            <w:pPr>
              <w:pStyle w:val="TableTextNumbersContinued"/>
            </w:pPr>
          </w:p>
          <w:p w14:paraId="2A3E487A" w14:textId="77777777" w:rsidR="00F911DD" w:rsidRDefault="00F911DD" w:rsidP="0069720B">
            <w:pPr>
              <w:pStyle w:val="TableTextNumbersContinued"/>
            </w:pPr>
            <w:r>
              <w:t xml:space="preserve">Click </w:t>
            </w:r>
            <w:r w:rsidRPr="0069720B">
              <w:rPr>
                <w:b/>
              </w:rPr>
              <w:t>OK</w:t>
            </w:r>
            <w:r>
              <w:t xml:space="preserve"> to save, and </w:t>
            </w:r>
            <w:r w:rsidRPr="0069720B">
              <w:rPr>
                <w:b/>
              </w:rPr>
              <w:t>Yes</w:t>
            </w:r>
            <w:r>
              <w:t xml:space="preserve"> to confirm the save.</w:t>
            </w:r>
          </w:p>
        </w:tc>
        <w:tc>
          <w:tcPr>
            <w:tcW w:w="6120" w:type="dxa"/>
            <w:tcBorders>
              <w:top w:val="single" w:sz="4" w:space="0" w:color="auto"/>
              <w:left w:val="single" w:sz="4" w:space="0" w:color="auto"/>
              <w:bottom w:val="single" w:sz="4" w:space="0" w:color="auto"/>
              <w:right w:val="single" w:sz="4" w:space="0" w:color="auto"/>
            </w:tcBorders>
          </w:tcPr>
          <w:p w14:paraId="326F2825" w14:textId="77777777" w:rsidR="008E6E94" w:rsidRDefault="008E6E94" w:rsidP="007A413F">
            <w:pPr>
              <w:pStyle w:val="TableTextBullet"/>
            </w:pPr>
            <w:r>
              <w:t xml:space="preserve">Allows the user to review and/or edit the entered data before it saves the record. </w:t>
            </w:r>
          </w:p>
          <w:p w14:paraId="2219BA8E" w14:textId="3EF9AD09" w:rsidR="003B25C3" w:rsidRDefault="008E6E94" w:rsidP="00A73BE2">
            <w:pPr>
              <w:pStyle w:val="TableTextBullet"/>
            </w:pPr>
            <w:r w:rsidRPr="003B25C3">
              <w:rPr>
                <w:rFonts w:cs="Arial"/>
                <w:vanish/>
              </w:rPr>
              <w:t xml:space="preserve">BR_21.12 </w:t>
            </w:r>
            <w:r>
              <w:t xml:space="preserve">Allows the user to indicate that the TRW is complete. </w:t>
            </w:r>
          </w:p>
          <w:p w14:paraId="17ED8082" w14:textId="4B63752A" w:rsidR="003B25C3" w:rsidRDefault="003B25C3" w:rsidP="003B25C3">
            <w:pPr>
              <w:pStyle w:val="TableTextBullet"/>
            </w:pPr>
            <w:r>
              <w:rPr>
                <w:rFonts w:cs="Arial"/>
                <w:vanish/>
              </w:rPr>
              <w:t>BR_21.3</w:t>
            </w:r>
            <w:r w:rsidR="00424243">
              <w:rPr>
                <w:rFonts w:cs="Arial"/>
                <w:vanish/>
              </w:rPr>
              <w:t>6</w:t>
            </w:r>
            <w:r>
              <w:rPr>
                <w:rFonts w:cs="Arial"/>
                <w:vanish/>
              </w:rPr>
              <w:t xml:space="preserve"> </w:t>
            </w:r>
            <w:r>
              <w:t>The user may enter a comment in the "Symptom Details" comment context.</w:t>
            </w:r>
          </w:p>
          <w:p w14:paraId="6D63D347" w14:textId="183EC152" w:rsidR="008E6E94" w:rsidRDefault="003B25C3" w:rsidP="008507C1">
            <w:pPr>
              <w:pStyle w:val="TableTextBullet"/>
            </w:pPr>
            <w:r>
              <w:rPr>
                <w:rFonts w:cs="Arial"/>
                <w:vanish/>
              </w:rPr>
              <w:t>BR_21.3</w:t>
            </w:r>
            <w:r w:rsidR="00424243">
              <w:rPr>
                <w:rFonts w:cs="Arial"/>
                <w:vanish/>
              </w:rPr>
              <w:t>7</w:t>
            </w:r>
            <w:r>
              <w:rPr>
                <w:rFonts w:cs="Arial"/>
                <w:vanish/>
              </w:rPr>
              <w:t xml:space="preserve"> </w:t>
            </w:r>
            <w:r>
              <w:t xml:space="preserve">The user may enter a comment in the "Patient </w:t>
            </w:r>
            <w:r w:rsidR="008507C1">
              <w:t>Testing</w:t>
            </w:r>
            <w:r>
              <w:t>" comment context.</w:t>
            </w:r>
          </w:p>
          <w:p w14:paraId="29AD41B5" w14:textId="77777777" w:rsidR="008E6E94" w:rsidRDefault="008E6E94" w:rsidP="009B1E9C">
            <w:pPr>
              <w:pStyle w:val="NotesText"/>
              <w:ind w:left="0"/>
            </w:pPr>
          </w:p>
        </w:tc>
      </w:tr>
      <w:tr w:rsidR="008E6E94" w14:paraId="67F2F165" w14:textId="77777777">
        <w:tc>
          <w:tcPr>
            <w:tcW w:w="3240" w:type="dxa"/>
          </w:tcPr>
          <w:p w14:paraId="046B4785" w14:textId="77777777" w:rsidR="00470DA1" w:rsidRDefault="00470DA1" w:rsidP="007A413F">
            <w:pPr>
              <w:pStyle w:val="TableTextNumbers"/>
            </w:pPr>
            <w:r>
              <w:t>In the Serologic Tests tab, click a check box to select which tests to perform.</w:t>
            </w:r>
          </w:p>
          <w:p w14:paraId="22A37B7B" w14:textId="77777777" w:rsidR="00470DA1" w:rsidRDefault="00470DA1" w:rsidP="00120B78">
            <w:pPr>
              <w:pStyle w:val="TableTextNumbersContinued"/>
            </w:pPr>
          </w:p>
          <w:p w14:paraId="74C4E011" w14:textId="77777777" w:rsidR="00B81464" w:rsidRDefault="00B81464" w:rsidP="00120B78">
            <w:pPr>
              <w:pStyle w:val="TableTextNumbersContinued"/>
            </w:pPr>
            <w:r>
              <w:t>Select a rack from the drop-down list in the Rack field.</w:t>
            </w:r>
          </w:p>
          <w:p w14:paraId="3FD4E9D5" w14:textId="77777777" w:rsidR="00B81464" w:rsidRDefault="00B81464" w:rsidP="00120B78">
            <w:pPr>
              <w:pStyle w:val="TableTextNumbersContinued"/>
            </w:pPr>
          </w:p>
          <w:p w14:paraId="661B5B61" w14:textId="77777777" w:rsidR="00120B78" w:rsidRDefault="00120B78" w:rsidP="00120B78">
            <w:pPr>
              <w:pStyle w:val="TableTextNumbersContinued"/>
            </w:pPr>
            <w:r>
              <w:t xml:space="preserve">Click the </w:t>
            </w:r>
            <w:r w:rsidRPr="00120B78">
              <w:rPr>
                <w:b/>
              </w:rPr>
              <w:t xml:space="preserve">Using Automated Instrument </w:t>
            </w:r>
            <w:r w:rsidRPr="00D1100E">
              <w:t>check box</w:t>
            </w:r>
            <w:r>
              <w:t xml:space="preserve">, as required. </w:t>
            </w:r>
          </w:p>
          <w:p w14:paraId="428D919F" w14:textId="77777777" w:rsidR="00120B78" w:rsidRDefault="00120B78" w:rsidP="00120B78">
            <w:pPr>
              <w:pStyle w:val="TableTextNumbersContinued"/>
            </w:pPr>
          </w:p>
          <w:p w14:paraId="4C18647E" w14:textId="77777777" w:rsidR="00120B78" w:rsidRDefault="00120B78" w:rsidP="00120B78">
            <w:pPr>
              <w:pStyle w:val="TableTextNumbersContinued"/>
            </w:pPr>
            <w:r>
              <w:t>Enter the name of the instrument in the Name field.</w:t>
            </w:r>
          </w:p>
          <w:p w14:paraId="5ED4068B" w14:textId="77777777" w:rsidR="00120B78" w:rsidRDefault="00120B78" w:rsidP="00120B78">
            <w:pPr>
              <w:pStyle w:val="TableTextNumbersContinued"/>
            </w:pPr>
          </w:p>
          <w:p w14:paraId="070BFB5C" w14:textId="77777777" w:rsidR="00120B78" w:rsidRDefault="00120B78" w:rsidP="00120B78">
            <w:pPr>
              <w:pStyle w:val="TableTextNumbersContinued"/>
            </w:pPr>
            <w:r>
              <w:t xml:space="preserve">Click the </w:t>
            </w:r>
            <w:r w:rsidRPr="00120B78">
              <w:rPr>
                <w:b/>
              </w:rPr>
              <w:t xml:space="preserve">Instrument QC’d? </w:t>
            </w:r>
            <w:r w:rsidRPr="00D1100E">
              <w:t>check box</w:t>
            </w:r>
            <w:r>
              <w:t>, as appropriate.</w:t>
            </w:r>
          </w:p>
          <w:p w14:paraId="71B6AB5F" w14:textId="77777777" w:rsidR="00120B78" w:rsidRDefault="00120B78" w:rsidP="00120B78">
            <w:pPr>
              <w:pStyle w:val="TableTextNumbersContinued"/>
            </w:pPr>
          </w:p>
          <w:p w14:paraId="07D94923" w14:textId="6F14F363" w:rsidR="008E6E94" w:rsidRDefault="008E6E94" w:rsidP="00120B78">
            <w:pPr>
              <w:pStyle w:val="TableTextNumbersContinued"/>
            </w:pPr>
            <w:r>
              <w:t>Enter interpretations for TRW testing</w:t>
            </w:r>
            <w:r w:rsidR="00750760">
              <w:t xml:space="preserve"> (</w:t>
            </w:r>
            <w:r w:rsidR="00EE455E">
              <w:t xml:space="preserve">Figure </w:t>
            </w:r>
            <w:r w:rsidR="00EE455E">
              <w:rPr>
                <w:noProof/>
              </w:rPr>
              <w:t>105</w:t>
            </w:r>
            <w:r w:rsidR="00750760">
              <w:t>)</w:t>
            </w:r>
            <w:r>
              <w:t>.</w:t>
            </w:r>
          </w:p>
          <w:p w14:paraId="35D76D4D" w14:textId="77777777" w:rsidR="00120B78" w:rsidRDefault="00120B78" w:rsidP="00120B78">
            <w:pPr>
              <w:pStyle w:val="TableTextNumbersContinued"/>
              <w:ind w:left="0"/>
            </w:pPr>
          </w:p>
        </w:tc>
        <w:tc>
          <w:tcPr>
            <w:tcW w:w="6120" w:type="dxa"/>
          </w:tcPr>
          <w:p w14:paraId="2488F58C" w14:textId="77777777" w:rsidR="008E6E94" w:rsidRDefault="008E6E94" w:rsidP="007A413F">
            <w:pPr>
              <w:pStyle w:val="TableTextBullet"/>
            </w:pPr>
            <w:r>
              <w:lastRenderedPageBreak/>
              <w:t xml:space="preserve">Allows the user to enter one or more additional TRW test interpretations: </w:t>
            </w:r>
          </w:p>
          <w:p w14:paraId="3540B5C8" w14:textId="77777777" w:rsidR="008E6E94" w:rsidRDefault="008E6E94" w:rsidP="007A413F">
            <w:pPr>
              <w:pStyle w:val="TableTextBullet1"/>
            </w:pPr>
            <w:r>
              <w:t>TRW ABO/Rh testing</w:t>
            </w:r>
          </w:p>
          <w:p w14:paraId="0E8A7CCC" w14:textId="77777777" w:rsidR="008E6E94" w:rsidRDefault="008E6E94" w:rsidP="007A413F">
            <w:pPr>
              <w:pStyle w:val="TableTextBullet1"/>
            </w:pPr>
            <w:r>
              <w:t>TRW ABS testing</w:t>
            </w:r>
          </w:p>
          <w:p w14:paraId="71E247FE" w14:textId="77777777" w:rsidR="008E6E94" w:rsidRDefault="008E6E94" w:rsidP="007A413F">
            <w:pPr>
              <w:pStyle w:val="TableTextBullet1"/>
            </w:pPr>
            <w:r>
              <w:t xml:space="preserve">TRW DAT testing </w:t>
            </w:r>
          </w:p>
          <w:p w14:paraId="10F0C9B9" w14:textId="77777777" w:rsidR="008E6E94" w:rsidRDefault="008E6E94" w:rsidP="007A413F">
            <w:pPr>
              <w:pStyle w:val="TableTextBullet1"/>
            </w:pPr>
            <w:r>
              <w:t>TRW XM testing</w:t>
            </w:r>
          </w:p>
          <w:p w14:paraId="007767CC" w14:textId="77777777" w:rsidR="008E6E94" w:rsidRDefault="008E6E94" w:rsidP="007A413F">
            <w:pPr>
              <w:pStyle w:val="TableTextBullet"/>
            </w:pPr>
            <w:r>
              <w:t xml:space="preserve">Requires the user to enter the rack name and test method to be </w:t>
            </w:r>
            <w:r>
              <w:rPr>
                <w:iCs/>
              </w:rPr>
              <w:t xml:space="preserve">applied to </w:t>
            </w:r>
            <w:r>
              <w:t>the specimens selected in this testing group for serologic testing. The user must also indicate whether an automated instrument was used in testing.</w:t>
            </w:r>
          </w:p>
          <w:p w14:paraId="7FD5A950" w14:textId="77777777" w:rsidR="008E6E94" w:rsidRDefault="008E6E94" w:rsidP="007A413F">
            <w:pPr>
              <w:pStyle w:val="TableTextBullet"/>
            </w:pPr>
            <w:r>
              <w:t>Displays the date and time the testing was performed (default: current date and time), which the user may edit retrospectively.</w:t>
            </w:r>
          </w:p>
          <w:p w14:paraId="42CD68B6" w14:textId="77777777" w:rsidR="008E6E94" w:rsidRDefault="008E6E94" w:rsidP="007A413F">
            <w:pPr>
              <w:pStyle w:val="TableTextBullet"/>
            </w:pPr>
            <w:r>
              <w:t>Displays the testing technologist’s identification (default: current user). Lists valid division users for the user’s selection.</w:t>
            </w:r>
          </w:p>
          <w:p w14:paraId="5D36DCDE" w14:textId="77777777" w:rsidR="008E6E94" w:rsidRDefault="008E6E94" w:rsidP="007A413F">
            <w:pPr>
              <w:pStyle w:val="TableText"/>
            </w:pPr>
          </w:p>
          <w:p w14:paraId="1CC406D2" w14:textId="3137BA83" w:rsidR="008E6E94" w:rsidRDefault="008E6E94" w:rsidP="007A413F">
            <w:pPr>
              <w:pStyle w:val="TableText"/>
              <w:rPr>
                <w:b/>
                <w:bCs/>
                <w:szCs w:val="18"/>
              </w:rPr>
            </w:pPr>
            <w:r>
              <w:rPr>
                <w:b/>
                <w:bCs/>
                <w:szCs w:val="18"/>
              </w:rPr>
              <w:t>NOTES</w:t>
            </w:r>
          </w:p>
          <w:p w14:paraId="2746556C" w14:textId="77777777" w:rsidR="008E6E94" w:rsidRDefault="008E6E94" w:rsidP="007A413F">
            <w:pPr>
              <w:pStyle w:val="NotesText"/>
            </w:pPr>
          </w:p>
          <w:p w14:paraId="5047CD60" w14:textId="77777777" w:rsidR="008E6E94" w:rsidRDefault="008E6E94" w:rsidP="007A413F">
            <w:pPr>
              <w:pStyle w:val="NotesText"/>
            </w:pPr>
            <w:r>
              <w:rPr>
                <w:vanish/>
                <w:szCs w:val="18"/>
              </w:rPr>
              <w:lastRenderedPageBreak/>
              <w:t>BR_21.16</w:t>
            </w:r>
            <w:r w:rsidR="005D400B">
              <w:rPr>
                <w:vanish/>
                <w:szCs w:val="18"/>
              </w:rPr>
              <w:t>,</w:t>
            </w:r>
            <w:r>
              <w:rPr>
                <w:vanish/>
                <w:szCs w:val="18"/>
              </w:rPr>
              <w:t xml:space="preserve"> BR_21.24 </w:t>
            </w:r>
            <w:r>
              <w:t>When no units were implicated or no</w:t>
            </w:r>
            <w:r>
              <w:rPr>
                <w:color w:val="000000"/>
                <w:szCs w:val="18"/>
              </w:rPr>
              <w:t xml:space="preserve"> pre- or post-transfusion specimens are available, VBECS disables those</w:t>
            </w:r>
            <w:r>
              <w:t xml:space="preserve"> portions of the grid.</w:t>
            </w:r>
          </w:p>
          <w:p w14:paraId="6D9EBE1B" w14:textId="77777777" w:rsidR="008E6E94" w:rsidRDefault="008E6E94" w:rsidP="007A413F">
            <w:pPr>
              <w:pStyle w:val="NotesText"/>
            </w:pPr>
          </w:p>
          <w:p w14:paraId="7DEFF0AA" w14:textId="77777777" w:rsidR="008E6E94" w:rsidRDefault="008E6E94" w:rsidP="007A413F">
            <w:pPr>
              <w:pStyle w:val="NotesText"/>
            </w:pPr>
            <w:r>
              <w:rPr>
                <w:rFonts w:cs="Arial"/>
                <w:vanish/>
              </w:rPr>
              <w:t xml:space="preserve">BR_21.13 </w:t>
            </w:r>
            <w:r>
              <w:t>VBECS displays the standard TRW tests for the user to select to perform some</w:t>
            </w:r>
            <w:r w:rsidR="00DB68D8">
              <w:t>, none</w:t>
            </w:r>
            <w:r>
              <w:t xml:space="preserve"> or all.</w:t>
            </w:r>
            <w:r w:rsidR="00DB68D8">
              <w:t xml:space="preserve"> </w:t>
            </w:r>
            <w:r w:rsidR="00DB68D8" w:rsidRPr="00DB68D8">
              <w:rPr>
                <w:vanish/>
              </w:rPr>
              <w:t>DR 5100</w:t>
            </w:r>
          </w:p>
          <w:p w14:paraId="78F0A875" w14:textId="77777777" w:rsidR="008E6E94" w:rsidRDefault="008E6E94" w:rsidP="007A413F">
            <w:pPr>
              <w:pStyle w:val="NotesText"/>
            </w:pPr>
          </w:p>
          <w:p w14:paraId="437B96B3" w14:textId="77777777" w:rsidR="008E6E94" w:rsidRDefault="008E6E94" w:rsidP="007A413F">
            <w:pPr>
              <w:pStyle w:val="NotesText"/>
            </w:pPr>
            <w:r>
              <w:rPr>
                <w:rFonts w:cs="Arial"/>
                <w:vanish/>
              </w:rPr>
              <w:t xml:space="preserve">BR_56.14 </w:t>
            </w:r>
            <w:r>
              <w:t>When a facility is “full service” and an automated instrument was used for testing, a user must enter the name of the instrument and may indicate that successful quality control testing was done for the testing date.</w:t>
            </w:r>
          </w:p>
          <w:p w14:paraId="77513727" w14:textId="77777777" w:rsidR="008E6E94" w:rsidRDefault="008E6E94" w:rsidP="007A413F">
            <w:pPr>
              <w:pStyle w:val="NotesText"/>
            </w:pPr>
          </w:p>
          <w:p w14:paraId="01BDC31D" w14:textId="77777777" w:rsidR="008E6E94" w:rsidRDefault="008E6E94" w:rsidP="007A413F">
            <w:pPr>
              <w:pStyle w:val="NotesText"/>
            </w:pPr>
            <w:r>
              <w:rPr>
                <w:vanish/>
                <w:szCs w:val="18"/>
              </w:rPr>
              <w:t>BR_21.04</w:t>
            </w:r>
            <w:r w:rsidR="009078D6">
              <w:rPr>
                <w:vanish/>
                <w:szCs w:val="18"/>
              </w:rPr>
              <w:t>,</w:t>
            </w:r>
            <w:r>
              <w:rPr>
                <w:vanish/>
                <w:szCs w:val="18"/>
              </w:rPr>
              <w:t xml:space="preserve"> BR_21.22 </w:t>
            </w:r>
            <w:r>
              <w:t>For implicated units, the ABO/Rh TRW, ABS TRW, DAT TRW, and Crossmatch TRW testing data grids are pre-populated with pre- and post-specimen data. Data entry of test results is optional, based on a facility’s local policies and procedures.</w:t>
            </w:r>
          </w:p>
        </w:tc>
      </w:tr>
      <w:tr w:rsidR="008E6E94" w14:paraId="4ECBAD82" w14:textId="77777777">
        <w:tc>
          <w:tcPr>
            <w:tcW w:w="3240" w:type="dxa"/>
          </w:tcPr>
          <w:p w14:paraId="6E23A2EE" w14:textId="77777777" w:rsidR="00120B78" w:rsidRDefault="008E6E94" w:rsidP="007A413F">
            <w:pPr>
              <w:pStyle w:val="TableTextNumbers"/>
            </w:pPr>
            <w:r>
              <w:lastRenderedPageBreak/>
              <w:t>Review the entries</w:t>
            </w:r>
            <w:r w:rsidR="00120B78">
              <w:t>.</w:t>
            </w:r>
          </w:p>
          <w:p w14:paraId="682E833D" w14:textId="77777777" w:rsidR="00120B78" w:rsidRDefault="00120B78" w:rsidP="00120B78">
            <w:pPr>
              <w:pStyle w:val="TableTextNumbersContinued"/>
            </w:pPr>
          </w:p>
          <w:p w14:paraId="5B6DA1E3" w14:textId="77777777" w:rsidR="008E6E94" w:rsidRDefault="00120B78" w:rsidP="00120B78">
            <w:pPr>
              <w:pStyle w:val="TableTextNumbersContinued"/>
            </w:pPr>
            <w:r>
              <w:t xml:space="preserve">Click </w:t>
            </w:r>
            <w:r w:rsidRPr="0069720B">
              <w:rPr>
                <w:b/>
              </w:rPr>
              <w:t>OK</w:t>
            </w:r>
            <w:r>
              <w:t xml:space="preserve"> to save, and </w:t>
            </w:r>
            <w:r w:rsidRPr="0069720B">
              <w:rPr>
                <w:b/>
              </w:rPr>
              <w:t>Yes</w:t>
            </w:r>
            <w:r>
              <w:t xml:space="preserve"> to confirm the save.</w:t>
            </w:r>
          </w:p>
        </w:tc>
        <w:tc>
          <w:tcPr>
            <w:tcW w:w="6120" w:type="dxa"/>
          </w:tcPr>
          <w:p w14:paraId="17E85C6E" w14:textId="77777777" w:rsidR="008E6E94" w:rsidRDefault="008E6E94" w:rsidP="007A413F">
            <w:pPr>
              <w:pStyle w:val="TableTextBullet"/>
            </w:pPr>
            <w:r>
              <w:t>Stores data for retrieval.</w:t>
            </w:r>
          </w:p>
          <w:p w14:paraId="482EAF11" w14:textId="77777777" w:rsidR="008E6E94" w:rsidRDefault="008E6E94" w:rsidP="007A413F">
            <w:pPr>
              <w:pStyle w:val="TableTextBullet"/>
            </w:pPr>
            <w:r>
              <w:t>Makes the findings viewable through a CPRS query.</w:t>
            </w:r>
          </w:p>
          <w:p w14:paraId="41FF077A" w14:textId="77777777" w:rsidR="008E6E94" w:rsidRDefault="008E6E94" w:rsidP="007A413F">
            <w:pPr>
              <w:pStyle w:val="TableText"/>
            </w:pPr>
          </w:p>
          <w:p w14:paraId="6FCEA72A" w14:textId="41FAEE7C" w:rsidR="008E6E94" w:rsidRDefault="008E6E94" w:rsidP="007A413F">
            <w:pPr>
              <w:pStyle w:val="TableText"/>
              <w:rPr>
                <w:b/>
                <w:bCs/>
                <w:szCs w:val="18"/>
              </w:rPr>
            </w:pPr>
            <w:r>
              <w:rPr>
                <w:b/>
                <w:bCs/>
                <w:szCs w:val="18"/>
              </w:rPr>
              <w:t>NOTES</w:t>
            </w:r>
          </w:p>
          <w:p w14:paraId="65EFD9E9" w14:textId="77777777" w:rsidR="008E6E94" w:rsidRDefault="008E6E94" w:rsidP="007A413F">
            <w:pPr>
              <w:pStyle w:val="NotesText"/>
            </w:pPr>
          </w:p>
          <w:p w14:paraId="3D87AFF6" w14:textId="77777777" w:rsidR="008E6E94" w:rsidRDefault="008E6E94" w:rsidP="007A413F">
            <w:pPr>
              <w:pStyle w:val="NotesText"/>
            </w:pPr>
            <w:r>
              <w:rPr>
                <w:rFonts w:cs="Arial"/>
                <w:vanish/>
              </w:rPr>
              <w:t xml:space="preserve">BR_21.12 </w:t>
            </w:r>
            <w:r>
              <w:t>VBECS allows the user to indicate that the TRW is complete, then updates the TRW task status to “complete.”</w:t>
            </w:r>
          </w:p>
          <w:p w14:paraId="197654EC" w14:textId="77777777" w:rsidR="008E6E94" w:rsidRDefault="008E6E94" w:rsidP="007A413F">
            <w:pPr>
              <w:pStyle w:val="NotesText"/>
            </w:pPr>
          </w:p>
          <w:p w14:paraId="6BA4B26E" w14:textId="77777777" w:rsidR="008E6E94" w:rsidRDefault="008E6E94" w:rsidP="007A413F">
            <w:pPr>
              <w:pStyle w:val="NotesText"/>
            </w:pPr>
            <w:r>
              <w:rPr>
                <w:rFonts w:cs="Arial"/>
                <w:vanish/>
              </w:rPr>
              <w:t xml:space="preserve">BR_21.06 </w:t>
            </w:r>
            <w:r>
              <w:t>Once the TRW is completed, the summary of results and observations includes the comment, “Final report to follow in hard copy with medical director evaluation of the transfusion reaction workup.”</w:t>
            </w:r>
          </w:p>
          <w:p w14:paraId="285E17DB" w14:textId="77777777" w:rsidR="008E6E94" w:rsidRDefault="008E6E94" w:rsidP="007A413F">
            <w:pPr>
              <w:pStyle w:val="NotesText"/>
            </w:pPr>
          </w:p>
          <w:p w14:paraId="3CC5E3A2" w14:textId="77777777" w:rsidR="008E6E94" w:rsidRDefault="008E6E94" w:rsidP="007A413F">
            <w:pPr>
              <w:pStyle w:val="NotesText"/>
              <w:rPr>
                <w:color w:val="000000"/>
                <w:szCs w:val="18"/>
              </w:rPr>
            </w:pPr>
            <w:r>
              <w:rPr>
                <w:rFonts w:cs="Arial"/>
                <w:vanish/>
              </w:rPr>
              <w:t xml:space="preserve">BR_21.21 </w:t>
            </w:r>
            <w:r>
              <w:t xml:space="preserve">VBECS indicates on the </w:t>
            </w:r>
            <w:r>
              <w:rPr>
                <w:color w:val="000000"/>
                <w:szCs w:val="18"/>
              </w:rPr>
              <w:t>implicated unit’s patient transfusion record that it was implicated in a transfusion reaction and notes the patient’s name and ID and the date and time.</w:t>
            </w:r>
          </w:p>
          <w:p w14:paraId="0EBA84BD" w14:textId="77777777" w:rsidR="008E6E94" w:rsidRDefault="008E6E94" w:rsidP="007A413F">
            <w:pPr>
              <w:pStyle w:val="NotesText"/>
            </w:pPr>
          </w:p>
          <w:p w14:paraId="2482F3B2" w14:textId="2DDE3875" w:rsidR="008E6E94" w:rsidRDefault="008E6E94" w:rsidP="007A413F">
            <w:pPr>
              <w:pStyle w:val="NotesText"/>
              <w:rPr>
                <w:szCs w:val="18"/>
              </w:rPr>
            </w:pPr>
            <w:r>
              <w:rPr>
                <w:rFonts w:cs="Arial"/>
                <w:vanish/>
              </w:rPr>
              <w:t>BR_21.28</w:t>
            </w:r>
            <w:r w:rsidRPr="00323744">
              <w:rPr>
                <w:rStyle w:val="BullhornChar"/>
              </w:rPr>
              <w:t></w:t>
            </w:r>
            <w:r>
              <w:rPr>
                <w:rFonts w:ascii="Webdings" w:hAnsi="Webdings"/>
              </w:rPr>
              <w:t></w:t>
            </w:r>
            <w:r>
              <w:rPr>
                <w:szCs w:val="18"/>
              </w:rPr>
              <w:t>VBECS saves the record and one or more clerical checks are marked “failed,” VBECS emits an audible alert, requires a comment</w:t>
            </w:r>
            <w:r w:rsidR="00015991">
              <w:rPr>
                <w:szCs w:val="18"/>
              </w:rPr>
              <w:t xml:space="preserve"> from the “Transfusion Clerical</w:t>
            </w:r>
            <w:r w:rsidR="0012376D">
              <w:rPr>
                <w:szCs w:val="18"/>
              </w:rPr>
              <w:t xml:space="preserve"> Checks Failed” context</w:t>
            </w:r>
            <w:r>
              <w:rPr>
                <w:szCs w:val="18"/>
              </w:rPr>
              <w:t>, and captures details for inclusion in an Exception Report (exception type: Transfusion Reaction Workup).</w:t>
            </w:r>
          </w:p>
        </w:tc>
      </w:tr>
      <w:tr w:rsidR="008E6E94" w14:paraId="5E947E95" w14:textId="77777777">
        <w:tc>
          <w:tcPr>
            <w:tcW w:w="3240" w:type="dxa"/>
          </w:tcPr>
          <w:p w14:paraId="76CC36C1" w14:textId="10BD88CC" w:rsidR="00F676B6" w:rsidRDefault="00F676B6" w:rsidP="007A413F">
            <w:pPr>
              <w:pStyle w:val="TableTextNumbers"/>
            </w:pPr>
            <w:r>
              <w:t xml:space="preserve">Click </w:t>
            </w:r>
            <w:r w:rsidRPr="00F676B6">
              <w:rPr>
                <w:b/>
              </w:rPr>
              <w:t>Finalize/Print TRW</w:t>
            </w:r>
            <w:r>
              <w:t xml:space="preserve"> and continue at Finalize/Print TRW to finalize the TRW</w:t>
            </w:r>
            <w:r w:rsidR="00750760">
              <w:t xml:space="preserve"> (</w:t>
            </w:r>
            <w:r w:rsidR="00EE455E">
              <w:t xml:space="preserve">Figure </w:t>
            </w:r>
            <w:r w:rsidR="00EE455E">
              <w:rPr>
                <w:noProof/>
              </w:rPr>
              <w:t>106</w:t>
            </w:r>
            <w:r w:rsidR="00750760">
              <w:t>)</w:t>
            </w:r>
            <w:r>
              <w:t>, or</w:t>
            </w:r>
          </w:p>
          <w:p w14:paraId="135D84D9" w14:textId="77777777" w:rsidR="00F676B6" w:rsidRDefault="00F676B6" w:rsidP="00F676B6">
            <w:pPr>
              <w:pStyle w:val="TableTextNumbersContinued"/>
            </w:pPr>
          </w:p>
          <w:p w14:paraId="05BE40B1" w14:textId="77777777" w:rsidR="008E6E94" w:rsidRDefault="00F676B6" w:rsidP="00F676B6">
            <w:pPr>
              <w:pStyle w:val="TableTextNumbersContinued"/>
            </w:pPr>
            <w:r>
              <w:t>Click</w:t>
            </w:r>
            <w:r w:rsidR="00AA6C54">
              <w:t xml:space="preserve"> </w:t>
            </w:r>
            <w:r w:rsidRPr="00F676B6">
              <w:rPr>
                <w:b/>
              </w:rPr>
              <w:t>Cancel</w:t>
            </w:r>
            <w:r>
              <w:t xml:space="preserve"> to complete the TRW and exit</w:t>
            </w:r>
            <w:r w:rsidR="008E6E94">
              <w:t xml:space="preserve">. </w:t>
            </w:r>
            <w:r w:rsidR="008E6E94">
              <w:rPr>
                <w:vanish/>
                <w:color w:val="FFFFFF"/>
                <w:szCs w:val="18"/>
              </w:rPr>
              <w:fldChar w:fldCharType="begin"/>
            </w:r>
            <w:r w:rsidR="008E6E94">
              <w:rPr>
                <w:vanish/>
                <w:color w:val="FFFFFF"/>
                <w:szCs w:val="18"/>
              </w:rPr>
              <w:instrText xml:space="preserve"> LISTNUM \l 1 \s 0 </w:instrText>
            </w:r>
            <w:r w:rsidR="008E6E94">
              <w:rPr>
                <w:vanish/>
                <w:color w:val="FFFFFF"/>
                <w:szCs w:val="18"/>
              </w:rPr>
              <w:fldChar w:fldCharType="end">
                <w:numberingChange w:id="563" w:author="MUSZYNSKI, THOMAS D. (SIERRA 7 INC)" w:date="2024-11-26T07:15:00Z" w:original="0."/>
              </w:fldChar>
            </w:r>
          </w:p>
        </w:tc>
        <w:tc>
          <w:tcPr>
            <w:tcW w:w="6120" w:type="dxa"/>
          </w:tcPr>
          <w:p w14:paraId="6EC48131" w14:textId="77777777" w:rsidR="00503680" w:rsidRPr="00503680" w:rsidRDefault="00503680" w:rsidP="00503680">
            <w:pPr>
              <w:pStyle w:val="TableText"/>
            </w:pPr>
          </w:p>
          <w:p w14:paraId="039D2C2A" w14:textId="529BDC0B" w:rsidR="008E6E94" w:rsidRDefault="008E6E94" w:rsidP="007A413F">
            <w:pPr>
              <w:pStyle w:val="TableText"/>
              <w:rPr>
                <w:b/>
                <w:bCs/>
                <w:szCs w:val="18"/>
              </w:rPr>
            </w:pPr>
            <w:r>
              <w:rPr>
                <w:b/>
                <w:bCs/>
                <w:szCs w:val="18"/>
              </w:rPr>
              <w:t>NOTES</w:t>
            </w:r>
          </w:p>
          <w:p w14:paraId="3FB4085F" w14:textId="77777777" w:rsidR="008E6E94" w:rsidRPr="007F427E" w:rsidRDefault="008E6E94" w:rsidP="007F427E">
            <w:pPr>
              <w:pStyle w:val="NotesText"/>
            </w:pPr>
          </w:p>
          <w:p w14:paraId="78B1F86E" w14:textId="77777777" w:rsidR="00F676B6" w:rsidRDefault="00F676B6" w:rsidP="007F427E">
            <w:pPr>
              <w:pStyle w:val="NotesText"/>
              <w:rPr>
                <w:color w:val="3366FF"/>
              </w:rPr>
            </w:pPr>
            <w:r w:rsidRPr="007F427E">
              <w:t>A completed TRW indicates that serologic testing was completed. A finalized TRW indicates that the medical director reviewed the TRW, classified the rea</w:t>
            </w:r>
            <w:r w:rsidR="007F427E" w:rsidRPr="007F427E">
              <w:t>ction, and may make recommendations for future transfusions.</w:t>
            </w:r>
          </w:p>
        </w:tc>
      </w:tr>
    </w:tbl>
    <w:p w14:paraId="01C90641" w14:textId="67DBBA2F" w:rsidR="008534C3" w:rsidRDefault="00772DD7" w:rsidP="008534C3">
      <w:pPr>
        <w:pStyle w:val="Caption"/>
      </w:pPr>
      <w:bookmarkStart w:id="564" w:name="_Ref127771180"/>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7D1829">
        <w:rPr>
          <w:noProof/>
        </w:rPr>
        <w:t>102</w:t>
      </w:r>
      <w:r w:rsidR="004E20BD">
        <w:rPr>
          <w:noProof/>
        </w:rPr>
        <w:fldChar w:fldCharType="end"/>
      </w:r>
      <w:bookmarkEnd w:id="564"/>
      <w:r>
        <w:t>:</w:t>
      </w:r>
      <w:r w:rsidR="008534C3">
        <w:t xml:space="preserve"> Transfusion Reaction Workup</w:t>
      </w:r>
      <w:r w:rsidR="004645AA">
        <w:t>: Specimen</w:t>
      </w:r>
      <w:r w:rsidR="00A73927">
        <w:t xml:space="preserve"> Check</w:t>
      </w:r>
    </w:p>
    <w:p w14:paraId="1801A336" w14:textId="168E7FEB" w:rsidR="00772DD7" w:rsidRDefault="009227D1" w:rsidP="008534C3">
      <w:pPr>
        <w:pStyle w:val="BodyText"/>
      </w:pPr>
      <w:r>
        <w:rPr>
          <w:noProof/>
        </w:rPr>
        <w:drawing>
          <wp:inline distT="0" distB="0" distL="0" distR="0" wp14:anchorId="6278721E" wp14:editId="35395CCC">
            <wp:extent cx="5943600" cy="3822700"/>
            <wp:effectExtent l="0" t="0" r="0" b="6350"/>
            <wp:docPr id="188" name="Picture 188" descr="Example of Transfusion Reaction Workup: Specimen Check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Picture 133" descr="Example of Transfusion Reaction Workup: Specimen Check screen capture"/>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5943600" cy="3822700"/>
                    </a:xfrm>
                    <a:prstGeom prst="rect">
                      <a:avLst/>
                    </a:prstGeom>
                    <a:noFill/>
                    <a:ln>
                      <a:noFill/>
                    </a:ln>
                  </pic:spPr>
                </pic:pic>
              </a:graphicData>
            </a:graphic>
          </wp:inline>
        </w:drawing>
      </w:r>
    </w:p>
    <w:p w14:paraId="11DF1FEB" w14:textId="19B5A735" w:rsidR="00772DD7" w:rsidRDefault="00772DD7" w:rsidP="00772DD7">
      <w:pPr>
        <w:pStyle w:val="Caption"/>
      </w:pPr>
      <w:bookmarkStart w:id="565" w:name="_Ref127771990"/>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7D1829">
        <w:rPr>
          <w:noProof/>
        </w:rPr>
        <w:t>103</w:t>
      </w:r>
      <w:r w:rsidR="004E20BD">
        <w:rPr>
          <w:noProof/>
        </w:rPr>
        <w:fldChar w:fldCharType="end"/>
      </w:r>
      <w:bookmarkEnd w:id="565"/>
      <w:r>
        <w:t>:</w:t>
      </w:r>
      <w:r w:rsidR="004645AA">
        <w:t xml:space="preserve"> Transfusion </w:t>
      </w:r>
      <w:r w:rsidR="00A73927">
        <w:t>Reaction Workup: Clerical Check</w:t>
      </w:r>
    </w:p>
    <w:p w14:paraId="37D847EC" w14:textId="291905FA" w:rsidR="00772DD7" w:rsidRPr="00772DD7" w:rsidRDefault="009227D1" w:rsidP="00772DD7">
      <w:pPr>
        <w:pStyle w:val="BodyText"/>
      </w:pPr>
      <w:r>
        <w:rPr>
          <w:noProof/>
        </w:rPr>
        <w:drawing>
          <wp:inline distT="0" distB="0" distL="0" distR="0" wp14:anchorId="6AF32599" wp14:editId="74A9C18B">
            <wp:extent cx="5943600" cy="3869055"/>
            <wp:effectExtent l="0" t="0" r="0" b="0"/>
            <wp:docPr id="196" name="Picture 196" descr="Example of Transfusion Reaction Workup: Clerical Check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Picture 151" descr="Example of Transfusion Reaction Workup: Clerical Check screen capture"/>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5943600" cy="3869055"/>
                    </a:xfrm>
                    <a:prstGeom prst="rect">
                      <a:avLst/>
                    </a:prstGeom>
                    <a:noFill/>
                    <a:ln>
                      <a:noFill/>
                    </a:ln>
                  </pic:spPr>
                </pic:pic>
              </a:graphicData>
            </a:graphic>
          </wp:inline>
        </w:drawing>
      </w:r>
    </w:p>
    <w:p w14:paraId="7F4C027F" w14:textId="46556E70" w:rsidR="00772DD7" w:rsidRDefault="00772DD7" w:rsidP="00772DD7">
      <w:pPr>
        <w:pStyle w:val="Caption"/>
      </w:pPr>
      <w:bookmarkStart w:id="566" w:name="_Ref127774070"/>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7D1829">
        <w:rPr>
          <w:noProof/>
        </w:rPr>
        <w:t>104</w:t>
      </w:r>
      <w:r w:rsidR="004E20BD">
        <w:rPr>
          <w:noProof/>
        </w:rPr>
        <w:fldChar w:fldCharType="end"/>
      </w:r>
      <w:bookmarkEnd w:id="566"/>
      <w:r>
        <w:t>:</w:t>
      </w:r>
      <w:r w:rsidR="00390AEF">
        <w:t xml:space="preserve"> Transfusion Reaction Workup: Implicated Units</w:t>
      </w:r>
    </w:p>
    <w:p w14:paraId="2208B335" w14:textId="5641BA8F" w:rsidR="004A2487" w:rsidRPr="004A2487" w:rsidRDefault="009227D1" w:rsidP="004A2487">
      <w:pPr>
        <w:pStyle w:val="BodyText"/>
      </w:pPr>
      <w:r>
        <w:rPr>
          <w:noProof/>
        </w:rPr>
        <w:drawing>
          <wp:inline distT="0" distB="0" distL="0" distR="0" wp14:anchorId="4957ED90" wp14:editId="2F72DD9E">
            <wp:extent cx="5943600" cy="3820795"/>
            <wp:effectExtent l="0" t="0" r="0" b="8255"/>
            <wp:docPr id="197" name="Picture 197" descr="Example of Transfusion Reaction Workup: Implicated Units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Picture 155" descr="Example of Transfusion Reaction Workup: Implicated Units screen capture"/>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5943600" cy="3820795"/>
                    </a:xfrm>
                    <a:prstGeom prst="rect">
                      <a:avLst/>
                    </a:prstGeom>
                    <a:noFill/>
                    <a:ln>
                      <a:noFill/>
                    </a:ln>
                  </pic:spPr>
                </pic:pic>
              </a:graphicData>
            </a:graphic>
          </wp:inline>
        </w:drawing>
      </w:r>
    </w:p>
    <w:p w14:paraId="42CFAF7A" w14:textId="02A05110" w:rsidR="00772DD7" w:rsidRDefault="00772DD7" w:rsidP="00772DD7">
      <w:pPr>
        <w:pStyle w:val="Caption"/>
      </w:pPr>
      <w:bookmarkStart w:id="567" w:name="_Ref127774158"/>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7D1829">
        <w:rPr>
          <w:noProof/>
        </w:rPr>
        <w:t>105</w:t>
      </w:r>
      <w:r w:rsidR="004E20BD">
        <w:rPr>
          <w:noProof/>
        </w:rPr>
        <w:fldChar w:fldCharType="end"/>
      </w:r>
      <w:bookmarkEnd w:id="567"/>
      <w:r>
        <w:t>:</w:t>
      </w:r>
      <w:r w:rsidR="00390AEF">
        <w:t xml:space="preserve"> Transfusion Reaction Workup: Symptoms</w:t>
      </w:r>
    </w:p>
    <w:p w14:paraId="348BB024" w14:textId="238D93A9" w:rsidR="00772DD7" w:rsidRPr="00772DD7" w:rsidRDefault="009227D1" w:rsidP="00772DD7">
      <w:pPr>
        <w:pStyle w:val="BodyText"/>
      </w:pPr>
      <w:r>
        <w:rPr>
          <w:noProof/>
        </w:rPr>
        <w:drawing>
          <wp:inline distT="0" distB="0" distL="0" distR="0" wp14:anchorId="0F479536" wp14:editId="64ACD46E">
            <wp:extent cx="5943600" cy="3836035"/>
            <wp:effectExtent l="0" t="0" r="0" b="0"/>
            <wp:docPr id="200" name="Picture 200" descr="Example of Transfusion Reaction Workup: Symptoms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Picture 156" descr="Example of Transfusion Reaction Workup: Symptoms screen capture"/>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5943600" cy="3836035"/>
                    </a:xfrm>
                    <a:prstGeom prst="rect">
                      <a:avLst/>
                    </a:prstGeom>
                    <a:noFill/>
                    <a:ln>
                      <a:noFill/>
                    </a:ln>
                  </pic:spPr>
                </pic:pic>
              </a:graphicData>
            </a:graphic>
          </wp:inline>
        </w:drawing>
      </w:r>
    </w:p>
    <w:p w14:paraId="6DF1203B" w14:textId="1E07E9C7" w:rsidR="00772DD7" w:rsidRDefault="00772DD7" w:rsidP="00772DD7">
      <w:pPr>
        <w:pStyle w:val="Caption"/>
      </w:pPr>
      <w:bookmarkStart w:id="568" w:name="_Ref127774192"/>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7D1829">
        <w:rPr>
          <w:noProof/>
        </w:rPr>
        <w:t>106</w:t>
      </w:r>
      <w:r w:rsidR="004E20BD">
        <w:rPr>
          <w:noProof/>
        </w:rPr>
        <w:fldChar w:fldCharType="end"/>
      </w:r>
      <w:bookmarkEnd w:id="568"/>
      <w:r>
        <w:t>:</w:t>
      </w:r>
      <w:r w:rsidR="00390AEF">
        <w:t xml:space="preserve"> Transfusion Reaction Workup: Serologic Tests</w:t>
      </w:r>
    </w:p>
    <w:p w14:paraId="566E5864" w14:textId="5D3CD552" w:rsidR="00772DD7" w:rsidRPr="00772DD7" w:rsidRDefault="009227D1" w:rsidP="00772DD7">
      <w:pPr>
        <w:pStyle w:val="BodyText"/>
      </w:pPr>
      <w:r>
        <w:rPr>
          <w:noProof/>
        </w:rPr>
        <w:drawing>
          <wp:inline distT="0" distB="0" distL="0" distR="0" wp14:anchorId="6F303198" wp14:editId="555E7E97">
            <wp:extent cx="5943600" cy="3818890"/>
            <wp:effectExtent l="0" t="0" r="0" b="0"/>
            <wp:docPr id="201" name="Picture 201" descr="Example of Transfusion Reaction Workup: Serologic Tests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Picture 157" descr="Example of Transfusion Reaction Workup: Serologic Tests screen capture"/>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5943600" cy="3818890"/>
                    </a:xfrm>
                    <a:prstGeom prst="rect">
                      <a:avLst/>
                    </a:prstGeom>
                    <a:noFill/>
                    <a:ln>
                      <a:noFill/>
                    </a:ln>
                  </pic:spPr>
                </pic:pic>
              </a:graphicData>
            </a:graphic>
          </wp:inline>
        </w:drawing>
      </w:r>
    </w:p>
    <w:p w14:paraId="6241CFF7" w14:textId="053ACA85" w:rsidR="00772DD7" w:rsidRDefault="00772DD7" w:rsidP="00772DD7">
      <w:pPr>
        <w:pStyle w:val="Caption"/>
      </w:pPr>
      <w:bookmarkStart w:id="569" w:name="_Ref127774218"/>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7D1829">
        <w:rPr>
          <w:noProof/>
        </w:rPr>
        <w:t>107</w:t>
      </w:r>
      <w:r w:rsidR="004E20BD">
        <w:rPr>
          <w:noProof/>
        </w:rPr>
        <w:fldChar w:fldCharType="end"/>
      </w:r>
      <w:bookmarkEnd w:id="569"/>
      <w:r>
        <w:t>:</w:t>
      </w:r>
      <w:r w:rsidR="00453B6E">
        <w:t xml:space="preserve"> Transfusion Reaction Workup Report</w:t>
      </w:r>
    </w:p>
    <w:p w14:paraId="11D41631" w14:textId="53FEAB19" w:rsidR="00772DD7" w:rsidRPr="00772DD7" w:rsidRDefault="009227D1" w:rsidP="00772DD7">
      <w:pPr>
        <w:pStyle w:val="BodyText"/>
      </w:pPr>
      <w:r>
        <w:rPr>
          <w:noProof/>
        </w:rPr>
        <w:drawing>
          <wp:inline distT="0" distB="0" distL="0" distR="0" wp14:anchorId="3C5FB823" wp14:editId="252B3FA6">
            <wp:extent cx="5943600" cy="3765550"/>
            <wp:effectExtent l="0" t="0" r="0" b="6350"/>
            <wp:docPr id="223" name="Picture 223" descr="Example of Transfusion Reaction Workup Report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Picture 158" descr="Example of Transfusion Reaction Workup Report screen capture"/>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5943600" cy="3765550"/>
                    </a:xfrm>
                    <a:prstGeom prst="rect">
                      <a:avLst/>
                    </a:prstGeom>
                    <a:noFill/>
                    <a:ln>
                      <a:noFill/>
                    </a:ln>
                  </pic:spPr>
                </pic:pic>
              </a:graphicData>
            </a:graphic>
          </wp:inline>
        </w:drawing>
      </w:r>
    </w:p>
    <w:p w14:paraId="10641904" w14:textId="77777777" w:rsidR="002A21AE" w:rsidRDefault="00AA0019">
      <w:pPr>
        <w:pStyle w:val="Heading3"/>
      </w:pPr>
      <w:bookmarkStart w:id="570" w:name="_Toc94938926"/>
      <w:bookmarkStart w:id="571" w:name="_Toc63680366"/>
      <w:r>
        <w:br w:type="page"/>
      </w:r>
      <w:bookmarkStart w:id="572" w:name="_Toc203765930"/>
      <w:r w:rsidR="002A21AE">
        <w:lastRenderedPageBreak/>
        <w:t>Finalize/Print TRW</w:t>
      </w:r>
      <w:bookmarkEnd w:id="572"/>
      <w:r w:rsidR="002A21AE">
        <w:fldChar w:fldCharType="begin"/>
      </w:r>
      <w:r w:rsidR="002A21AE">
        <w:instrText xml:space="preserve"> XE </w:instrText>
      </w:r>
      <w:r w:rsidR="00FA7E65">
        <w:instrText>“</w:instrText>
      </w:r>
      <w:r w:rsidR="002A21AE">
        <w:instrText>Finalize/Print TRW</w:instrText>
      </w:r>
      <w:r w:rsidR="00FA7E65">
        <w:instrText>”</w:instrText>
      </w:r>
      <w:r w:rsidR="002A21AE">
        <w:instrText xml:space="preserve"> </w:instrText>
      </w:r>
      <w:r w:rsidR="002A21AE">
        <w:fldChar w:fldCharType="end"/>
      </w:r>
      <w:r w:rsidR="002A21AE">
        <w:t xml:space="preserve"> </w:t>
      </w:r>
      <w:r w:rsidR="002A21AE">
        <w:rPr>
          <w:rFonts w:ascii="Times New Roman" w:hAnsi="Times New Roman" w:cs="Times New Roman"/>
          <w:b w:val="0"/>
          <w:vanish/>
          <w:sz w:val="22"/>
        </w:rPr>
        <w:t>UC_78</w:t>
      </w:r>
      <w:bookmarkEnd w:id="570"/>
    </w:p>
    <w:p w14:paraId="6B205F4E" w14:textId="77777777" w:rsidR="002A21AE" w:rsidRDefault="002A21AE" w:rsidP="00FA7E65">
      <w:pPr>
        <w:pStyle w:val="BodyText"/>
      </w:pPr>
      <w:r>
        <w:t>The user finalizes</w:t>
      </w:r>
      <w:r w:rsidR="00EB1E5A">
        <w:t xml:space="preserve"> and</w:t>
      </w:r>
      <w:r>
        <w:t xml:space="preserve"> views </w:t>
      </w:r>
      <w:r w:rsidR="00EB1E5A">
        <w:t xml:space="preserve">and/or </w:t>
      </w:r>
      <w:r>
        <w:t>prints the Transfusion Reaction Workup Report.</w:t>
      </w:r>
    </w:p>
    <w:p w14:paraId="53F51DA9" w14:textId="77777777" w:rsidR="002A21AE" w:rsidRDefault="002A21AE">
      <w:pPr>
        <w:pStyle w:val="Heading4"/>
      </w:pPr>
      <w:r>
        <w:t>Assumptions</w:t>
      </w:r>
      <w:r>
        <w:rPr>
          <w:b w:val="0"/>
        </w:rPr>
        <w:t xml:space="preserve"> </w:t>
      </w:r>
    </w:p>
    <w:p w14:paraId="7D7FACA4" w14:textId="77777777" w:rsidR="002A21AE" w:rsidRDefault="002A21AE">
      <w:pPr>
        <w:pStyle w:val="ListBullet"/>
      </w:pPr>
      <w:r>
        <w:t>Patient Testing: Record a Transfusion Reaction Workup was completed.</w:t>
      </w:r>
    </w:p>
    <w:p w14:paraId="260EFE06" w14:textId="77777777" w:rsidR="002A21AE" w:rsidRDefault="002A21AE">
      <w:pPr>
        <w:pStyle w:val="Heading4"/>
      </w:pPr>
      <w:r>
        <w:t xml:space="preserve">Outcome </w:t>
      </w:r>
    </w:p>
    <w:p w14:paraId="2833FC21" w14:textId="77777777" w:rsidR="002A21AE" w:rsidRDefault="002A21AE">
      <w:pPr>
        <w:pStyle w:val="ListBullet"/>
      </w:pPr>
      <w:r>
        <w:t>The Transfusion Reaction Workup Report is available for printing and signing.</w:t>
      </w:r>
    </w:p>
    <w:p w14:paraId="6D5C508F" w14:textId="77777777" w:rsidR="0015352F" w:rsidRDefault="0015352F" w:rsidP="0015352F">
      <w:pPr>
        <w:pStyle w:val="ListBullet"/>
      </w:pPr>
      <w:r>
        <w:t>Final report findings are available for display in CPRS.</w:t>
      </w:r>
    </w:p>
    <w:p w14:paraId="40E2E69A" w14:textId="77777777" w:rsidR="00561829" w:rsidRDefault="00561829" w:rsidP="00561829">
      <w:pPr>
        <w:pStyle w:val="ListBullet"/>
      </w:pPr>
      <w:r>
        <w:t>If workload codes are assigned for this process, workload-related data collected as the result of this process are stored for inclusion in Workload Reports.</w:t>
      </w:r>
    </w:p>
    <w:p w14:paraId="098B5E3C" w14:textId="77777777" w:rsidR="002A21AE" w:rsidRDefault="002A21AE">
      <w:pPr>
        <w:pStyle w:val="Heading4"/>
        <w:rPr>
          <w:b w:val="0"/>
        </w:rPr>
      </w:pPr>
      <w:r>
        <w:t>Limitations and Restrictions</w:t>
      </w:r>
      <w:r>
        <w:rPr>
          <w:b w:val="0"/>
        </w:rPr>
        <w:t xml:space="preserve"> </w:t>
      </w:r>
    </w:p>
    <w:p w14:paraId="42AAE702" w14:textId="615D2774" w:rsidR="002A21AE" w:rsidRDefault="00D3121D">
      <w:pPr>
        <w:pStyle w:val="ListBullet"/>
      </w:pPr>
      <w:r>
        <w:t>The user cannot</w:t>
      </w:r>
      <w:r w:rsidR="00D23EF9" w:rsidRPr="00D23EF9">
        <w:t xml:space="preserve"> invalidate </w:t>
      </w:r>
      <w:r w:rsidR="00D23EF9">
        <w:t xml:space="preserve">or change </w:t>
      </w:r>
      <w:r w:rsidR="00D23EF9" w:rsidRPr="00D23EF9">
        <w:t>a finalized TRW.</w:t>
      </w:r>
      <w:r w:rsidR="00095CB3">
        <w:t xml:space="preserve"> Contact </w:t>
      </w:r>
      <w:r w:rsidR="00435359">
        <w:t>the Service</w:t>
      </w:r>
      <w:r w:rsidR="00095CB3">
        <w:t xml:space="preserve"> Desk if a TRW needs to be updated after finalization.</w:t>
      </w:r>
      <w:r w:rsidR="00FF7FFA">
        <w:t xml:space="preserve"> </w:t>
      </w:r>
      <w:r w:rsidR="00FF7FFA" w:rsidRPr="00FF7FFA">
        <w:rPr>
          <w:vanish/>
        </w:rPr>
        <w:t>Defect 212150</w:t>
      </w:r>
    </w:p>
    <w:p w14:paraId="316D0EF2" w14:textId="6DD0F818" w:rsidR="003E5C27" w:rsidRDefault="003E5C27">
      <w:pPr>
        <w:pStyle w:val="ListBullet"/>
      </w:pPr>
      <w:r>
        <w:t>Transfusion reaction reports are not available to clinicians through CPRS: they must be printed and filed with patient charts.</w:t>
      </w:r>
    </w:p>
    <w:p w14:paraId="3FE31DE0" w14:textId="77777777" w:rsidR="00FF5006" w:rsidRPr="00764EF1" w:rsidRDefault="00FF5006" w:rsidP="00FF5006">
      <w:pPr>
        <w:pStyle w:val="ListBullet"/>
      </w:pPr>
      <w:r>
        <w:t>VBECS displays these default values for transfusion reactions converted from VistA to VBECS. They do not reflect actual interpretations or results:</w:t>
      </w:r>
      <w:r>
        <w:rPr>
          <w:vanish/>
        </w:rPr>
        <w:t xml:space="preserve"> (DR 2,</w:t>
      </w:r>
      <w:r w:rsidRPr="00FF5006">
        <w:rPr>
          <w:vanish/>
        </w:rPr>
        <w:t>724)</w:t>
      </w:r>
    </w:p>
    <w:tbl>
      <w:tblPr>
        <w:tblW w:w="8640"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14"/>
        <w:gridCol w:w="3326"/>
      </w:tblGrid>
      <w:tr w:rsidR="00764EF1" w:rsidRPr="00887834" w14:paraId="07138B2A" w14:textId="77777777">
        <w:trPr>
          <w:tblHeader/>
        </w:trPr>
        <w:tc>
          <w:tcPr>
            <w:tcW w:w="4428" w:type="dxa"/>
            <w:shd w:val="clear" w:color="auto" w:fill="B3B3B3"/>
          </w:tcPr>
          <w:p w14:paraId="06FDEA8D" w14:textId="77777777" w:rsidR="00764EF1" w:rsidRPr="00887834" w:rsidRDefault="00764EF1" w:rsidP="00722031">
            <w:pPr>
              <w:pStyle w:val="TableText"/>
              <w:rPr>
                <w:b/>
              </w:rPr>
            </w:pPr>
            <w:r w:rsidRPr="00887834">
              <w:rPr>
                <w:b/>
              </w:rPr>
              <w:t>Converted Transfusion Reaction</w:t>
            </w:r>
          </w:p>
        </w:tc>
        <w:tc>
          <w:tcPr>
            <w:tcW w:w="2772" w:type="dxa"/>
            <w:shd w:val="clear" w:color="auto" w:fill="B3B3B3"/>
          </w:tcPr>
          <w:p w14:paraId="561BE456" w14:textId="77777777" w:rsidR="00764EF1" w:rsidRPr="00887834" w:rsidRDefault="00764EF1" w:rsidP="00722031">
            <w:pPr>
              <w:pStyle w:val="TableText"/>
              <w:rPr>
                <w:b/>
              </w:rPr>
            </w:pPr>
            <w:r w:rsidRPr="00887834">
              <w:rPr>
                <w:b/>
              </w:rPr>
              <w:t>Default</w:t>
            </w:r>
          </w:p>
        </w:tc>
      </w:tr>
      <w:tr w:rsidR="00764EF1" w14:paraId="4EA9B8FE" w14:textId="77777777">
        <w:tc>
          <w:tcPr>
            <w:tcW w:w="4428" w:type="dxa"/>
          </w:tcPr>
          <w:p w14:paraId="13CE8E85" w14:textId="77777777" w:rsidR="00764EF1" w:rsidRDefault="00764EF1" w:rsidP="00722031">
            <w:pPr>
              <w:pStyle w:val="TableText"/>
            </w:pPr>
            <w:r>
              <w:t xml:space="preserve">Pre-Transfusion Specimen Checks, Hemolysis Checks OK? </w:t>
            </w:r>
          </w:p>
        </w:tc>
        <w:tc>
          <w:tcPr>
            <w:tcW w:w="2772" w:type="dxa"/>
          </w:tcPr>
          <w:p w14:paraId="763E49FF" w14:textId="77777777" w:rsidR="00764EF1" w:rsidRDefault="00764EF1" w:rsidP="00722031">
            <w:pPr>
              <w:pStyle w:val="TableText"/>
            </w:pPr>
            <w:r>
              <w:t>Yes</w:t>
            </w:r>
          </w:p>
        </w:tc>
      </w:tr>
      <w:tr w:rsidR="00764EF1" w14:paraId="516560FC" w14:textId="77777777">
        <w:tc>
          <w:tcPr>
            <w:tcW w:w="4428" w:type="dxa"/>
          </w:tcPr>
          <w:p w14:paraId="602ABDC4" w14:textId="77777777" w:rsidR="00764EF1" w:rsidRDefault="00764EF1" w:rsidP="00722031">
            <w:pPr>
              <w:pStyle w:val="TableText"/>
            </w:pPr>
            <w:r>
              <w:t xml:space="preserve">Post-Transfusion Specimen Checks, Hemolysis Checks OK? </w:t>
            </w:r>
          </w:p>
        </w:tc>
        <w:tc>
          <w:tcPr>
            <w:tcW w:w="2772" w:type="dxa"/>
          </w:tcPr>
          <w:p w14:paraId="62BEEBB5" w14:textId="77777777" w:rsidR="00764EF1" w:rsidRDefault="00764EF1" w:rsidP="00722031">
            <w:pPr>
              <w:pStyle w:val="TableText"/>
            </w:pPr>
            <w:r>
              <w:t>Yes</w:t>
            </w:r>
          </w:p>
        </w:tc>
      </w:tr>
      <w:tr w:rsidR="00764EF1" w14:paraId="3109CD48" w14:textId="77777777">
        <w:tc>
          <w:tcPr>
            <w:tcW w:w="4428" w:type="dxa"/>
          </w:tcPr>
          <w:p w14:paraId="39468268" w14:textId="77777777" w:rsidR="00764EF1" w:rsidRDefault="00D35B68" w:rsidP="00722031">
            <w:pPr>
              <w:pStyle w:val="TableText"/>
            </w:pPr>
            <w:r>
              <w:t>Symptom</w:t>
            </w:r>
            <w:r w:rsidR="00764EF1">
              <w:t>s</w:t>
            </w:r>
          </w:p>
        </w:tc>
        <w:tc>
          <w:tcPr>
            <w:tcW w:w="2772" w:type="dxa"/>
          </w:tcPr>
          <w:p w14:paraId="6105A7F8" w14:textId="77777777" w:rsidR="00764EF1" w:rsidRDefault="00764EF1" w:rsidP="00722031">
            <w:pPr>
              <w:pStyle w:val="TableText"/>
            </w:pPr>
            <w:r>
              <w:t>No symptoms identified.</w:t>
            </w:r>
          </w:p>
        </w:tc>
      </w:tr>
      <w:tr w:rsidR="00764EF1" w14:paraId="76C04063" w14:textId="77777777">
        <w:tc>
          <w:tcPr>
            <w:tcW w:w="4428" w:type="dxa"/>
          </w:tcPr>
          <w:p w14:paraId="6015041E" w14:textId="77777777" w:rsidR="00764EF1" w:rsidRDefault="00764EF1" w:rsidP="00722031">
            <w:pPr>
              <w:pStyle w:val="TableText"/>
            </w:pPr>
            <w:r>
              <w:t>Implicated units</w:t>
            </w:r>
          </w:p>
        </w:tc>
        <w:tc>
          <w:tcPr>
            <w:tcW w:w="2772" w:type="dxa"/>
          </w:tcPr>
          <w:p w14:paraId="214BDF3F" w14:textId="77777777" w:rsidR="00764EF1" w:rsidRDefault="00764EF1" w:rsidP="00722031">
            <w:pPr>
              <w:pStyle w:val="TableText"/>
            </w:pPr>
            <w:r>
              <w:t>No units implicated in reaction.</w:t>
            </w:r>
          </w:p>
        </w:tc>
      </w:tr>
      <w:tr w:rsidR="00764EF1" w14:paraId="61E64C24" w14:textId="77777777">
        <w:tc>
          <w:tcPr>
            <w:tcW w:w="4428" w:type="dxa"/>
          </w:tcPr>
          <w:p w14:paraId="48730143" w14:textId="77777777" w:rsidR="00764EF1" w:rsidRDefault="00764EF1" w:rsidP="00722031">
            <w:pPr>
              <w:pStyle w:val="TableText"/>
            </w:pPr>
            <w:r>
              <w:t>Serologic tests</w:t>
            </w:r>
          </w:p>
        </w:tc>
        <w:tc>
          <w:tcPr>
            <w:tcW w:w="2772" w:type="dxa"/>
          </w:tcPr>
          <w:p w14:paraId="7F04455F" w14:textId="77777777" w:rsidR="00764EF1" w:rsidRDefault="00764EF1" w:rsidP="00722031">
            <w:pPr>
              <w:pStyle w:val="TableText"/>
            </w:pPr>
            <w:r>
              <w:t>No serologic tests performed.</w:t>
            </w:r>
          </w:p>
        </w:tc>
      </w:tr>
    </w:tbl>
    <w:p w14:paraId="5B03DA04" w14:textId="77777777" w:rsidR="002A21AE" w:rsidRDefault="002A21AE">
      <w:pPr>
        <w:pStyle w:val="Heading4"/>
      </w:pPr>
      <w:r>
        <w:t xml:space="preserve">Additional Information </w:t>
      </w:r>
    </w:p>
    <w:p w14:paraId="3DCFBC98" w14:textId="77777777" w:rsidR="002A21AE" w:rsidRDefault="002A21AE">
      <w:pPr>
        <w:pStyle w:val="ListBullet"/>
      </w:pPr>
      <w:r>
        <w:t>The medical director’s signature is on the patient’s printed chart.</w:t>
      </w:r>
    </w:p>
    <w:p w14:paraId="6582F7B2" w14:textId="3AE10255" w:rsidR="002A21AE" w:rsidRDefault="002A21AE">
      <w:pPr>
        <w:pStyle w:val="ListBullet"/>
      </w:pPr>
      <w:r>
        <w:t>If a report needs to be replaced, the user may retrieve this report after it is complete. The final report is a printed document with the medical director’s signature.</w:t>
      </w:r>
    </w:p>
    <w:p w14:paraId="652351B1" w14:textId="1EE3AE2A" w:rsidR="000E5481" w:rsidRDefault="000E5481" w:rsidP="000E5481">
      <w:pPr>
        <w:pStyle w:val="ListBullet"/>
      </w:pPr>
      <w:r w:rsidRPr="000E5481">
        <w:t xml:space="preserve">Do not use the barcode scanner to enter a transfusion reaction specimen </w:t>
      </w:r>
      <w:r w:rsidR="00405F70">
        <w:t>U</w:t>
      </w:r>
      <w:r w:rsidRPr="000E5481">
        <w:t>ID.</w:t>
      </w:r>
      <w:r w:rsidR="00DC3A9D">
        <w:t xml:space="preserve"> </w:t>
      </w:r>
      <w:r w:rsidR="00DC3A9D" w:rsidRPr="00DC3A9D">
        <w:rPr>
          <w:vanish/>
        </w:rPr>
        <w:t>Defect 210130</w:t>
      </w:r>
    </w:p>
    <w:p w14:paraId="52BBE7B4" w14:textId="1227321C" w:rsidR="000E5481" w:rsidRDefault="000E5481" w:rsidP="000E5481">
      <w:pPr>
        <w:pStyle w:val="ListBullet"/>
      </w:pPr>
      <w:r>
        <w:t>To avoid a system error, o</w:t>
      </w:r>
      <w:r w:rsidRPr="000E5481">
        <w:t xml:space="preserve">nce testing is entered, </w:t>
      </w:r>
      <w:r>
        <w:t xml:space="preserve">do not </w:t>
      </w:r>
      <w:r w:rsidRPr="000E5481">
        <w:t xml:space="preserve">uncheck the testing box </w:t>
      </w:r>
      <w:r w:rsidR="00DC3A9D">
        <w:t xml:space="preserve">and recheck it. </w:t>
      </w:r>
      <w:r w:rsidR="00DC3A9D" w:rsidRPr="00DC3A9D">
        <w:rPr>
          <w:vanish/>
        </w:rPr>
        <w:t>Defect 209736</w:t>
      </w:r>
    </w:p>
    <w:p w14:paraId="68BD934B" w14:textId="6CEC8903" w:rsidR="00392E5C" w:rsidRDefault="00EB421B" w:rsidP="000E5481">
      <w:pPr>
        <w:pStyle w:val="ListBullet"/>
      </w:pPr>
      <w:r>
        <w:t>Limit F</w:t>
      </w:r>
      <w:r w:rsidR="00392E5C">
        <w:t>inalize TRW comments to &lt;350 characters to allow saving and printing.</w:t>
      </w:r>
      <w:r w:rsidR="00DC3A9D">
        <w:t xml:space="preserve"> </w:t>
      </w:r>
      <w:r w:rsidR="00DC3A9D" w:rsidRPr="00DC3A9D">
        <w:rPr>
          <w:vanish/>
        </w:rPr>
        <w:t>Defect 209784</w:t>
      </w:r>
    </w:p>
    <w:p w14:paraId="49511DEB" w14:textId="19263987" w:rsidR="00DC3A9D" w:rsidRDefault="00DC3A9D" w:rsidP="000E5481">
      <w:pPr>
        <w:pStyle w:val="ListBullet"/>
      </w:pPr>
      <w:r>
        <w:t xml:space="preserve">A system error occurs if a user has a TRW open and then attempts to open a second instance of the same TRW. Restart the VBECS session and open one TRW to result and finalize. </w:t>
      </w:r>
      <w:r w:rsidRPr="00DC3A9D">
        <w:rPr>
          <w:vanish/>
        </w:rPr>
        <w:t>Defect 209747</w:t>
      </w:r>
    </w:p>
    <w:p w14:paraId="6C6557C1" w14:textId="0D60E993" w:rsidR="002A21AE" w:rsidRDefault="002A21AE">
      <w:pPr>
        <w:pStyle w:val="Heading4"/>
        <w:rPr>
          <w:b w:val="0"/>
        </w:rPr>
      </w:pPr>
      <w:r>
        <w:t>User Roles with Access to This Option</w:t>
      </w:r>
      <w:r>
        <w:rPr>
          <w:b w:val="0"/>
        </w:rPr>
        <w:t xml:space="preserve"> </w:t>
      </w:r>
    </w:p>
    <w:p w14:paraId="06E47D21" w14:textId="77777777" w:rsidR="00A13077" w:rsidRDefault="00A13077" w:rsidP="00A13077">
      <w:pPr>
        <w:pStyle w:val="Roles"/>
      </w:pPr>
      <w:r>
        <w:t>All users</w:t>
      </w:r>
    </w:p>
    <w:p w14:paraId="380BA8FF" w14:textId="77777777" w:rsidR="00F3651E" w:rsidRDefault="00F3651E">
      <w:pPr>
        <w:rPr>
          <w:rFonts w:ascii="Arial" w:hAnsi="Arial"/>
          <w:b/>
          <w:sz w:val="22"/>
        </w:rPr>
      </w:pPr>
      <w:r>
        <w:br w:type="page"/>
      </w:r>
    </w:p>
    <w:p w14:paraId="06A111C4" w14:textId="6A436F24" w:rsidR="002A21AE" w:rsidRDefault="002A21AE">
      <w:pPr>
        <w:pStyle w:val="Heading4"/>
      </w:pPr>
      <w:r>
        <w:lastRenderedPageBreak/>
        <w:t>Finalize Transfusion Reaction Workup Report</w:t>
      </w:r>
      <w:r>
        <w:fldChar w:fldCharType="begin"/>
      </w:r>
      <w:r>
        <w:instrText xml:space="preserve"> XE </w:instrText>
      </w:r>
      <w:r w:rsidR="00FA7E65">
        <w:instrText>“</w:instrText>
      </w:r>
      <w:r>
        <w:instrText>Finalize Transfusion Reaction Workup Report</w:instrText>
      </w:r>
      <w:r w:rsidR="00FA7E65">
        <w:instrText>”</w:instrText>
      </w:r>
      <w:r>
        <w:instrText xml:space="preserve"> </w:instrText>
      </w:r>
      <w:r>
        <w:fldChar w:fldCharType="end"/>
      </w:r>
    </w:p>
    <w:p w14:paraId="6C333736" w14:textId="77777777" w:rsidR="002A21AE" w:rsidRDefault="005C768D" w:rsidP="001C322D">
      <w:pPr>
        <w:pStyle w:val="BodyText"/>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w:t>
      </w:r>
      <w:r w:rsidR="001C322D">
        <w:t xml:space="preserve">The Lead Technologist </w:t>
      </w:r>
      <w:r w:rsidR="002A21AE">
        <w:t>reviews the TRW details, identifies the type of reaction, and add</w:t>
      </w:r>
      <w:r w:rsidR="00B948D2">
        <w:t>s</w:t>
      </w:r>
      <w:r w:rsidR="002A21AE">
        <w:t xml:space="preserve"> comments, according to the medical director’s instructions. The user prints a copy for the medical director’s signature and </w:t>
      </w:r>
      <w:r w:rsidR="00B948D2">
        <w:t xml:space="preserve">the Lead Technologist </w:t>
      </w:r>
      <w:r w:rsidR="002A21AE">
        <w:t xml:space="preserve">finalizes the TRW, generating a preliminary report. The final printed report requires the signature of the medical director. </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2CAAE2F5" w14:textId="77777777">
        <w:trPr>
          <w:cantSplit/>
          <w:tblHeader/>
        </w:trPr>
        <w:tc>
          <w:tcPr>
            <w:tcW w:w="3240" w:type="dxa"/>
            <w:shd w:val="pct30" w:color="auto" w:fill="auto"/>
            <w:vAlign w:val="bottom"/>
          </w:tcPr>
          <w:p w14:paraId="03D9F680" w14:textId="77777777" w:rsidR="002A21AE" w:rsidRDefault="002A21AE">
            <w:pPr>
              <w:pStyle w:val="TableText"/>
              <w:rPr>
                <w:b/>
              </w:rPr>
            </w:pPr>
            <w:r>
              <w:rPr>
                <w:b/>
              </w:rPr>
              <w:t>User Action</w:t>
            </w:r>
          </w:p>
        </w:tc>
        <w:tc>
          <w:tcPr>
            <w:tcW w:w="6120" w:type="dxa"/>
            <w:shd w:val="pct30" w:color="auto" w:fill="auto"/>
            <w:vAlign w:val="bottom"/>
          </w:tcPr>
          <w:p w14:paraId="5BD244EB" w14:textId="77777777" w:rsidR="002A21AE" w:rsidRDefault="002A21AE">
            <w:pPr>
              <w:pStyle w:val="TableText"/>
              <w:rPr>
                <w:b/>
              </w:rPr>
            </w:pPr>
            <w:r>
              <w:rPr>
                <w:b/>
              </w:rPr>
              <w:t>VBECS</w:t>
            </w:r>
          </w:p>
        </w:tc>
      </w:tr>
      <w:tr w:rsidR="002A21AE" w14:paraId="2E4C2879" w14:textId="77777777">
        <w:tc>
          <w:tcPr>
            <w:tcW w:w="3240" w:type="dxa"/>
            <w:tcBorders>
              <w:top w:val="single" w:sz="4" w:space="0" w:color="auto"/>
              <w:left w:val="single" w:sz="4" w:space="0" w:color="auto"/>
              <w:bottom w:val="single" w:sz="4" w:space="0" w:color="auto"/>
              <w:right w:val="single" w:sz="4" w:space="0" w:color="auto"/>
            </w:tcBorders>
          </w:tcPr>
          <w:p w14:paraId="32D1A6F3" w14:textId="77777777" w:rsidR="002A21AE" w:rsidRDefault="002A21AE">
            <w:pPr>
              <w:pStyle w:val="TableTextNumbers"/>
            </w:pPr>
            <w:r>
              <w:t xml:space="preserve">Select </w:t>
            </w:r>
            <w:r>
              <w:rPr>
                <w:b/>
              </w:rPr>
              <w:t>Reports</w:t>
            </w:r>
            <w:r>
              <w:t xml:space="preserve"> from the main menu.</w:t>
            </w:r>
          </w:p>
          <w:p w14:paraId="2FFE78DE" w14:textId="77777777" w:rsidR="002A21AE" w:rsidRDefault="002A21AE">
            <w:pPr>
              <w:pStyle w:val="TableTextNumbersContinued"/>
            </w:pPr>
          </w:p>
          <w:p w14:paraId="506FA627" w14:textId="77777777" w:rsidR="002A21AE" w:rsidRDefault="002A21AE">
            <w:pPr>
              <w:pStyle w:val="TableTextNumbersContinued"/>
            </w:pPr>
            <w:r>
              <w:t xml:space="preserve">Select </w:t>
            </w:r>
            <w:r>
              <w:rPr>
                <w:b/>
              </w:rPr>
              <w:t>Finalize/Print TRW</w:t>
            </w:r>
            <w:r>
              <w:t>.</w:t>
            </w:r>
          </w:p>
          <w:p w14:paraId="66460746" w14:textId="77777777" w:rsidR="002A21AE" w:rsidRDefault="002A21AE">
            <w:pPr>
              <w:pStyle w:val="TableTextNumbersContinued"/>
            </w:pPr>
          </w:p>
          <w:p w14:paraId="2791F1DB" w14:textId="2CB993DC" w:rsidR="00741357" w:rsidRDefault="00741357">
            <w:pPr>
              <w:pStyle w:val="TableTextNumbersContinued"/>
            </w:pPr>
            <w:r>
              <w:t xml:space="preserve">Click the </w:t>
            </w:r>
            <w:r w:rsidRPr="00741357">
              <w:rPr>
                <w:b/>
              </w:rPr>
              <w:t xml:space="preserve">Include Non-Finalized TRW Reports </w:t>
            </w:r>
            <w:r w:rsidRPr="00D1100E">
              <w:t>check box</w:t>
            </w:r>
            <w:r w:rsidR="00F40F83" w:rsidRPr="00F40F83">
              <w:t xml:space="preserve"> (</w:t>
            </w:r>
            <w:r w:rsidR="00EE455E">
              <w:t xml:space="preserve">Figure </w:t>
            </w:r>
            <w:r w:rsidR="00EE455E">
              <w:rPr>
                <w:noProof/>
              </w:rPr>
              <w:t>107</w:t>
            </w:r>
            <w:r w:rsidR="00F40F83" w:rsidRPr="00F40F83">
              <w:t>)</w:t>
            </w:r>
            <w:r>
              <w:t>.</w:t>
            </w:r>
          </w:p>
          <w:p w14:paraId="24F827D7" w14:textId="77777777" w:rsidR="00741357" w:rsidRDefault="00741357">
            <w:pPr>
              <w:pStyle w:val="TableTextNumbersContinued"/>
            </w:pPr>
          </w:p>
          <w:p w14:paraId="5F1D2F4E" w14:textId="77777777" w:rsidR="002A21AE" w:rsidRDefault="002A21AE">
            <w:pPr>
              <w:pStyle w:val="TableTextNumbersContinued"/>
            </w:pPr>
            <w:r>
              <w:t>Select a completed TRW</w:t>
            </w:r>
            <w:r w:rsidR="00741357">
              <w:t xml:space="preserve"> to finalize</w:t>
            </w:r>
            <w:r>
              <w:t>.</w:t>
            </w:r>
          </w:p>
          <w:p w14:paraId="7DACB91F" w14:textId="77777777" w:rsidR="00373926" w:rsidRDefault="00373926">
            <w:pPr>
              <w:pStyle w:val="TableTextNumbersContinued"/>
            </w:pPr>
          </w:p>
          <w:p w14:paraId="6646C8C7" w14:textId="77777777" w:rsidR="00373926" w:rsidRDefault="00373926">
            <w:pPr>
              <w:pStyle w:val="TableTextNumbersContinued"/>
            </w:pPr>
            <w:r>
              <w:t xml:space="preserve">Click </w:t>
            </w:r>
            <w:r w:rsidRPr="00373926">
              <w:rPr>
                <w:b/>
              </w:rPr>
              <w:t>OK</w:t>
            </w:r>
            <w:r>
              <w:t>.</w:t>
            </w:r>
          </w:p>
        </w:tc>
        <w:tc>
          <w:tcPr>
            <w:tcW w:w="6120" w:type="dxa"/>
            <w:tcBorders>
              <w:top w:val="single" w:sz="4" w:space="0" w:color="auto"/>
              <w:left w:val="single" w:sz="4" w:space="0" w:color="auto"/>
              <w:bottom w:val="single" w:sz="4" w:space="0" w:color="auto"/>
              <w:right w:val="single" w:sz="4" w:space="0" w:color="auto"/>
            </w:tcBorders>
          </w:tcPr>
          <w:p w14:paraId="44917780" w14:textId="77777777" w:rsidR="002A21AE" w:rsidRDefault="002A21AE">
            <w:pPr>
              <w:pStyle w:val="TableTextBullet"/>
            </w:pPr>
            <w:r>
              <w:t>Lists report names.</w:t>
            </w:r>
          </w:p>
          <w:p w14:paraId="1BA230FC" w14:textId="77777777" w:rsidR="00741357" w:rsidRDefault="00741357">
            <w:pPr>
              <w:pStyle w:val="TableTextBullet"/>
            </w:pPr>
            <w:r>
              <w:t>Lists the completed TRWs for selection.</w:t>
            </w:r>
          </w:p>
          <w:p w14:paraId="383DF1F7" w14:textId="77777777" w:rsidR="002A21AE" w:rsidRDefault="002A21AE" w:rsidP="00741357">
            <w:pPr>
              <w:pStyle w:val="TableText"/>
            </w:pPr>
            <w:r>
              <w:t xml:space="preserve"> </w:t>
            </w:r>
          </w:p>
          <w:p w14:paraId="3B784FF8" w14:textId="40557966" w:rsidR="002A21AE" w:rsidRDefault="002A21AE">
            <w:pPr>
              <w:pStyle w:val="TableText"/>
              <w:rPr>
                <w:b/>
                <w:bCs/>
                <w:szCs w:val="18"/>
              </w:rPr>
            </w:pPr>
            <w:r>
              <w:rPr>
                <w:b/>
                <w:bCs/>
                <w:szCs w:val="18"/>
              </w:rPr>
              <w:t>NOTES</w:t>
            </w:r>
          </w:p>
          <w:p w14:paraId="11A0C2A0" w14:textId="77777777" w:rsidR="002A21AE" w:rsidRDefault="002A21AE">
            <w:pPr>
              <w:pStyle w:val="NotesText"/>
            </w:pPr>
          </w:p>
          <w:p w14:paraId="5F572C52" w14:textId="77777777" w:rsidR="002A21AE" w:rsidRDefault="0080656D">
            <w:pPr>
              <w:pStyle w:val="NotesText"/>
            </w:pPr>
            <w:r>
              <w:rPr>
                <w:rFonts w:cs="Arial"/>
                <w:vanish/>
              </w:rPr>
              <w:t xml:space="preserve">BR_78.04 </w:t>
            </w:r>
            <w:r w:rsidR="004C00DF">
              <w:t>When the user enters and saves the portion recorded in Patient Testing: Record a Transfusion Reaction Workup, the TRW status is “completed.” When the Transfusion Reaction Workup Report is complete, the TRW status is “finalized.”</w:t>
            </w:r>
          </w:p>
        </w:tc>
      </w:tr>
      <w:tr w:rsidR="002A21AE" w14:paraId="60A60FC1" w14:textId="77777777">
        <w:tc>
          <w:tcPr>
            <w:tcW w:w="3240" w:type="dxa"/>
            <w:tcBorders>
              <w:top w:val="single" w:sz="4" w:space="0" w:color="auto"/>
              <w:left w:val="single" w:sz="4" w:space="0" w:color="auto"/>
              <w:bottom w:val="single" w:sz="4" w:space="0" w:color="auto"/>
              <w:right w:val="single" w:sz="4" w:space="0" w:color="auto"/>
            </w:tcBorders>
          </w:tcPr>
          <w:p w14:paraId="3AB965E6" w14:textId="77777777" w:rsidR="002A21AE" w:rsidRDefault="00F74A56">
            <w:pPr>
              <w:pStyle w:val="TableTextNumbers"/>
            </w:pPr>
            <w:r>
              <w:t xml:space="preserve">Click the </w:t>
            </w:r>
            <w:r w:rsidRPr="00F74A56">
              <w:rPr>
                <w:b/>
              </w:rPr>
              <w:t xml:space="preserve">Finalize Transfusion Reaction Workup Report </w:t>
            </w:r>
            <w:r w:rsidRPr="00D1100E">
              <w:t>check box</w:t>
            </w:r>
            <w:r w:rsidR="002A21AE">
              <w:t>.</w:t>
            </w:r>
          </w:p>
        </w:tc>
        <w:tc>
          <w:tcPr>
            <w:tcW w:w="6120" w:type="dxa"/>
            <w:tcBorders>
              <w:top w:val="single" w:sz="4" w:space="0" w:color="auto"/>
              <w:left w:val="single" w:sz="4" w:space="0" w:color="auto"/>
              <w:bottom w:val="single" w:sz="4" w:space="0" w:color="auto"/>
              <w:right w:val="single" w:sz="4" w:space="0" w:color="auto"/>
            </w:tcBorders>
          </w:tcPr>
          <w:p w14:paraId="75870E61" w14:textId="77777777" w:rsidR="002A21AE" w:rsidRDefault="002A21AE">
            <w:pPr>
              <w:pStyle w:val="TableTextBullet"/>
            </w:pPr>
            <w:r>
              <w:t>Prepares the completed report for review.</w:t>
            </w:r>
          </w:p>
          <w:p w14:paraId="593F99AB" w14:textId="77777777" w:rsidR="00F26AD6" w:rsidRDefault="00F74A56" w:rsidP="00F26AD6">
            <w:pPr>
              <w:pStyle w:val="TableTextBullet"/>
            </w:pPr>
            <w:r>
              <w:t xml:space="preserve">Displays the name of the blood bank medical director to sign the final report. </w:t>
            </w:r>
          </w:p>
          <w:p w14:paraId="77F72DD4" w14:textId="77777777" w:rsidR="002A21AE" w:rsidRDefault="00F26AD6" w:rsidP="00247208">
            <w:pPr>
              <w:pStyle w:val="TableTextBullet"/>
            </w:pPr>
            <w:r>
              <w:rPr>
                <w:rFonts w:cs="Arial"/>
                <w:vanish/>
              </w:rPr>
              <w:t xml:space="preserve">BR_78.03 </w:t>
            </w:r>
            <w:r>
              <w:t>VBECS recreates the final report for viewing or printing in the future.</w:t>
            </w:r>
          </w:p>
        </w:tc>
      </w:tr>
      <w:tr w:rsidR="002A21AE" w14:paraId="62B65692" w14:textId="77777777">
        <w:tc>
          <w:tcPr>
            <w:tcW w:w="3240" w:type="dxa"/>
            <w:tcBorders>
              <w:top w:val="single" w:sz="4" w:space="0" w:color="auto"/>
              <w:left w:val="single" w:sz="4" w:space="0" w:color="auto"/>
              <w:bottom w:val="single" w:sz="4" w:space="0" w:color="auto"/>
              <w:right w:val="single" w:sz="4" w:space="0" w:color="auto"/>
            </w:tcBorders>
          </w:tcPr>
          <w:p w14:paraId="63976DA6" w14:textId="5F73B2FC" w:rsidR="00A37337" w:rsidRDefault="00DC6C19" w:rsidP="00A37337">
            <w:pPr>
              <w:pStyle w:val="TableTextNumbers"/>
            </w:pPr>
            <w:r>
              <w:t>Select the Transfusion Reaction Type and complete the Transfusion Reaction Comments required fields</w:t>
            </w:r>
            <w:r w:rsidR="00A37337">
              <w:t xml:space="preserve"> (</w:t>
            </w:r>
            <w:r w:rsidR="00EE455E">
              <w:t xml:space="preserve">Figure </w:t>
            </w:r>
            <w:r w:rsidR="00EE455E">
              <w:rPr>
                <w:noProof/>
              </w:rPr>
              <w:t>108</w:t>
            </w:r>
            <w:r w:rsidR="00A37337">
              <w:t>).</w:t>
            </w:r>
          </w:p>
          <w:p w14:paraId="5DB75520" w14:textId="3968501E" w:rsidR="002A21AE" w:rsidRDefault="002A21AE" w:rsidP="00A37337">
            <w:pPr>
              <w:pStyle w:val="TableTextNumbers"/>
              <w:numPr>
                <w:ilvl w:val="0"/>
                <w:numId w:val="0"/>
              </w:numPr>
            </w:pPr>
          </w:p>
        </w:tc>
        <w:tc>
          <w:tcPr>
            <w:tcW w:w="6120" w:type="dxa"/>
            <w:tcBorders>
              <w:top w:val="single" w:sz="4" w:space="0" w:color="auto"/>
              <w:left w:val="single" w:sz="4" w:space="0" w:color="auto"/>
              <w:bottom w:val="single" w:sz="4" w:space="0" w:color="auto"/>
              <w:right w:val="single" w:sz="4" w:space="0" w:color="auto"/>
            </w:tcBorders>
          </w:tcPr>
          <w:p w14:paraId="5D4989AF" w14:textId="27EE9972" w:rsidR="00741357" w:rsidRDefault="00741357" w:rsidP="00741357">
            <w:pPr>
              <w:pStyle w:val="TableTextBullet"/>
              <w:rPr>
                <w:rFonts w:cs="Arial"/>
                <w:szCs w:val="18"/>
              </w:rPr>
            </w:pPr>
            <w:r w:rsidRPr="00F358AF">
              <w:rPr>
                <w:rFonts w:cs="Arial"/>
                <w:szCs w:val="18"/>
              </w:rPr>
              <w:t xml:space="preserve">Displays the selected Transfusion Reaction Workup Report data. </w:t>
            </w:r>
          </w:p>
          <w:p w14:paraId="71840507" w14:textId="5706FDBE" w:rsidR="00EE455E" w:rsidRPr="00EE455E" w:rsidRDefault="00741357" w:rsidP="00EE455E">
            <w:pPr>
              <w:pStyle w:val="TableTextBullet"/>
              <w:rPr>
                <w:rFonts w:cs="Arial"/>
                <w:szCs w:val="18"/>
              </w:rPr>
            </w:pPr>
            <w:r w:rsidRPr="00F358AF">
              <w:rPr>
                <w:rFonts w:cs="Arial"/>
                <w:szCs w:val="18"/>
              </w:rPr>
              <w:t xml:space="preserve">Requires the user to select a transfusion reaction type listed in </w:t>
            </w:r>
            <w:r w:rsidR="00EE455E" w:rsidRPr="00EE455E">
              <w:rPr>
                <w:rFonts w:cs="Arial"/>
                <w:szCs w:val="18"/>
              </w:rPr>
              <w:br w:type="page"/>
            </w:r>
          </w:p>
          <w:p w14:paraId="6933EF57" w14:textId="76F95A38" w:rsidR="00741357" w:rsidRDefault="00EE455E">
            <w:pPr>
              <w:pStyle w:val="TableTextBullet"/>
            </w:pPr>
            <w:r w:rsidRPr="00EE455E">
              <w:rPr>
                <w:rFonts w:cs="Arial"/>
                <w:szCs w:val="18"/>
              </w:rPr>
              <w:t>Table</w:t>
            </w:r>
            <w:r w:rsidRPr="00EE455E">
              <w:rPr>
                <w:rFonts w:cs="Arial"/>
                <w:noProof/>
                <w:szCs w:val="18"/>
              </w:rPr>
              <w:t xml:space="preserve"> </w:t>
            </w:r>
            <w:r w:rsidRPr="00EE455E">
              <w:rPr>
                <w:rFonts w:cs="Arial"/>
                <w:szCs w:val="18"/>
              </w:rPr>
              <w:t>12:</w:t>
            </w:r>
            <w:r w:rsidRPr="00EE455E">
              <w:rPr>
                <w:rFonts w:cs="Arial"/>
                <w:vanish/>
                <w:szCs w:val="18"/>
              </w:rPr>
              <w:t xml:space="preserve"> PT_78.01</w:t>
            </w:r>
            <w:r w:rsidRPr="00EE455E">
              <w:rPr>
                <w:rFonts w:cs="Arial"/>
                <w:szCs w:val="18"/>
              </w:rPr>
              <w:t xml:space="preserve"> Transfusion Reaction </w:t>
            </w:r>
            <w:r>
              <w:t>Types</w:t>
            </w:r>
            <w:r w:rsidR="00741357">
              <w:t>.</w:t>
            </w:r>
          </w:p>
          <w:p w14:paraId="0871C49C" w14:textId="77777777" w:rsidR="00741357" w:rsidRDefault="00741357" w:rsidP="00741357">
            <w:pPr>
              <w:pStyle w:val="TableTextBullet"/>
            </w:pPr>
            <w:r>
              <w:t xml:space="preserve">Allows the user to enter </w:t>
            </w:r>
            <w:r w:rsidR="009C033B">
              <w:t xml:space="preserve">a TRW comment (maximum 1,000 characters). </w:t>
            </w:r>
            <w:r w:rsidR="009C033B" w:rsidRPr="009C033B">
              <w:rPr>
                <w:vanish/>
              </w:rPr>
              <w:t>DR 4788</w:t>
            </w:r>
          </w:p>
          <w:p w14:paraId="0F904CA6" w14:textId="77777777" w:rsidR="00F74A56" w:rsidRDefault="00F74A56" w:rsidP="00F74A56">
            <w:pPr>
              <w:pStyle w:val="TableTextBullet"/>
            </w:pPr>
            <w:r>
              <w:t>Allows the user to save the data entered.</w:t>
            </w:r>
          </w:p>
          <w:p w14:paraId="2DD923B8" w14:textId="77777777" w:rsidR="00E62B9E" w:rsidRDefault="00E62B9E" w:rsidP="00E62B9E">
            <w:pPr>
              <w:pStyle w:val="TableText"/>
            </w:pPr>
          </w:p>
          <w:p w14:paraId="7E3C1225" w14:textId="2A1F0B02" w:rsidR="00E62B9E" w:rsidRDefault="00E62B9E" w:rsidP="00E62B9E">
            <w:pPr>
              <w:pStyle w:val="TableText"/>
              <w:rPr>
                <w:b/>
                <w:bCs/>
                <w:szCs w:val="18"/>
              </w:rPr>
            </w:pPr>
            <w:r>
              <w:rPr>
                <w:b/>
                <w:bCs/>
                <w:szCs w:val="18"/>
              </w:rPr>
              <w:t>NOTES</w:t>
            </w:r>
          </w:p>
          <w:p w14:paraId="61912082" w14:textId="77777777" w:rsidR="00E62B9E" w:rsidRDefault="00E62B9E" w:rsidP="00E62B9E">
            <w:pPr>
              <w:pStyle w:val="NotesText"/>
            </w:pPr>
          </w:p>
          <w:p w14:paraId="1798F9DD" w14:textId="77777777" w:rsidR="00741357" w:rsidRDefault="00E62B9E" w:rsidP="00E62B9E">
            <w:pPr>
              <w:pStyle w:val="NotesText"/>
            </w:pPr>
            <w:r>
              <w:rPr>
                <w:rFonts w:cs="Arial"/>
                <w:vanish/>
              </w:rPr>
              <w:t xml:space="preserve">BR_78.02 </w:t>
            </w:r>
            <w:r>
              <w:t>The user must indicate one transfusion reaction type. Entry of a comment is optional for all types except O (other), which requires details to be entered.</w:t>
            </w:r>
          </w:p>
        </w:tc>
      </w:tr>
      <w:tr w:rsidR="002A21AE" w14:paraId="19BE3468" w14:textId="77777777">
        <w:tc>
          <w:tcPr>
            <w:tcW w:w="3240" w:type="dxa"/>
            <w:tcBorders>
              <w:top w:val="single" w:sz="4" w:space="0" w:color="auto"/>
              <w:left w:val="single" w:sz="4" w:space="0" w:color="auto"/>
              <w:bottom w:val="single" w:sz="4" w:space="0" w:color="auto"/>
              <w:right w:val="single" w:sz="4" w:space="0" w:color="auto"/>
            </w:tcBorders>
          </w:tcPr>
          <w:p w14:paraId="0823FD3A" w14:textId="77777777" w:rsidR="002A21AE" w:rsidRDefault="0080656D">
            <w:pPr>
              <w:pStyle w:val="TableTextNumbers"/>
            </w:pPr>
            <w:r>
              <w:t xml:space="preserve">Click </w:t>
            </w:r>
            <w:r w:rsidRPr="0080656D">
              <w:rPr>
                <w:b/>
              </w:rPr>
              <w:t>OK</w:t>
            </w:r>
            <w:r>
              <w:t xml:space="preserve"> and </w:t>
            </w:r>
            <w:r w:rsidRPr="0080656D">
              <w:rPr>
                <w:b/>
              </w:rPr>
              <w:t>Yes</w:t>
            </w:r>
            <w:r>
              <w:t xml:space="preserve"> to save.</w:t>
            </w:r>
          </w:p>
        </w:tc>
        <w:tc>
          <w:tcPr>
            <w:tcW w:w="6120" w:type="dxa"/>
            <w:tcBorders>
              <w:top w:val="single" w:sz="4" w:space="0" w:color="auto"/>
              <w:left w:val="single" w:sz="4" w:space="0" w:color="auto"/>
              <w:bottom w:val="single" w:sz="4" w:space="0" w:color="auto"/>
              <w:right w:val="single" w:sz="4" w:space="0" w:color="auto"/>
            </w:tcBorders>
          </w:tcPr>
          <w:p w14:paraId="67B659E8" w14:textId="77777777" w:rsidR="0080656D" w:rsidRDefault="00DC6C19" w:rsidP="00A902A8">
            <w:pPr>
              <w:pStyle w:val="TableTextBullet"/>
            </w:pPr>
            <w:r>
              <w:t>Updates the transfusion reaction to “finalized” in the database and prints a report for the medical director’s signature.</w:t>
            </w:r>
          </w:p>
          <w:p w14:paraId="59A41031" w14:textId="77777777" w:rsidR="00840DB0" w:rsidRDefault="00840DB0" w:rsidP="00840DB0">
            <w:pPr>
              <w:pStyle w:val="TableTextBullet"/>
              <w:numPr>
                <w:ilvl w:val="0"/>
                <w:numId w:val="0"/>
              </w:numPr>
            </w:pPr>
          </w:p>
          <w:p w14:paraId="060E0BC2" w14:textId="03F6141C" w:rsidR="00840DB0" w:rsidRDefault="00840DB0" w:rsidP="00840DB0">
            <w:pPr>
              <w:pStyle w:val="TableText"/>
              <w:rPr>
                <w:b/>
                <w:bCs/>
                <w:szCs w:val="18"/>
              </w:rPr>
            </w:pPr>
            <w:r>
              <w:rPr>
                <w:b/>
                <w:bCs/>
                <w:szCs w:val="18"/>
              </w:rPr>
              <w:t>NOTES</w:t>
            </w:r>
          </w:p>
          <w:p w14:paraId="63E5D0CA" w14:textId="77777777" w:rsidR="00D702AF" w:rsidRDefault="00D702AF" w:rsidP="00D702AF">
            <w:pPr>
              <w:pStyle w:val="NotesText"/>
            </w:pPr>
            <w:r w:rsidRPr="00F91233">
              <w:rPr>
                <w:vanish/>
              </w:rPr>
              <w:t xml:space="preserve">BR_78.06 </w:t>
            </w:r>
            <w:r>
              <w:t>VBECS notifies the user when DSS updates cannot be sent because VistALink is not active.</w:t>
            </w:r>
          </w:p>
          <w:p w14:paraId="0287C1E2" w14:textId="77777777" w:rsidR="00D702AF" w:rsidRDefault="00D702AF" w:rsidP="00D702AF">
            <w:pPr>
              <w:pStyle w:val="NotesText"/>
            </w:pPr>
          </w:p>
          <w:p w14:paraId="2D25AF2E" w14:textId="77777777" w:rsidR="00840DB0" w:rsidRDefault="00D702AF" w:rsidP="00D702AF">
            <w:pPr>
              <w:pStyle w:val="NotesText"/>
            </w:pPr>
            <w:r w:rsidRPr="00CE602E">
              <w:rPr>
                <w:vanish/>
              </w:rPr>
              <w:t xml:space="preserve">BR_102.09 </w:t>
            </w:r>
            <w:r>
              <w:t xml:space="preserve">VBECS will attempt to resend the DSS information when </w:t>
            </w:r>
            <w:r w:rsidR="00A2613A">
              <w:t>VistALink</w:t>
            </w:r>
            <w:r>
              <w:t xml:space="preserve"> is available after any user logs into the VBECS application’s </w:t>
            </w:r>
            <w:r w:rsidR="00A2613A">
              <w:t>VistALink</w:t>
            </w:r>
            <w:r>
              <w:t xml:space="preserve"> connection.</w:t>
            </w:r>
          </w:p>
        </w:tc>
      </w:tr>
      <w:tr w:rsidR="0080656D" w14:paraId="154D18EA" w14:textId="77777777">
        <w:tc>
          <w:tcPr>
            <w:tcW w:w="3240" w:type="dxa"/>
          </w:tcPr>
          <w:p w14:paraId="30ED4935" w14:textId="77777777" w:rsidR="0080656D" w:rsidRDefault="0080656D">
            <w:pPr>
              <w:pStyle w:val="TableTextNumbers"/>
            </w:pPr>
            <w:r>
              <w:t xml:space="preserve">Select </w:t>
            </w:r>
            <w:r w:rsidRPr="0080656D">
              <w:rPr>
                <w:b/>
              </w:rPr>
              <w:t>Schedule Print</w:t>
            </w:r>
            <w:r>
              <w:t xml:space="preserve"> or </w:t>
            </w:r>
            <w:r w:rsidRPr="0080656D">
              <w:rPr>
                <w:b/>
              </w:rPr>
              <w:t>Print Now</w:t>
            </w:r>
            <w:r>
              <w:t xml:space="preserve"> and follow the instructions to print.</w:t>
            </w:r>
          </w:p>
        </w:tc>
        <w:tc>
          <w:tcPr>
            <w:tcW w:w="6120" w:type="dxa"/>
          </w:tcPr>
          <w:p w14:paraId="1A1E3E6A" w14:textId="77777777" w:rsidR="0080656D" w:rsidRDefault="00A902A8" w:rsidP="00A902A8">
            <w:pPr>
              <w:pStyle w:val="TableTextBullet"/>
            </w:pPr>
            <w:r>
              <w:t>Prints the report on the selected printer.</w:t>
            </w:r>
          </w:p>
        </w:tc>
      </w:tr>
      <w:tr w:rsidR="002A21AE" w14:paraId="5806CF35" w14:textId="77777777">
        <w:tc>
          <w:tcPr>
            <w:tcW w:w="3240" w:type="dxa"/>
          </w:tcPr>
          <w:p w14:paraId="49C18985" w14:textId="77777777" w:rsidR="002A21AE" w:rsidRDefault="0080656D">
            <w:pPr>
              <w:pStyle w:val="TableTextNumbers"/>
            </w:pPr>
            <w:r>
              <w:t xml:space="preserve">Click </w:t>
            </w:r>
            <w:r w:rsidRPr="0080656D">
              <w:rPr>
                <w:b/>
              </w:rPr>
              <w:t>Close</w:t>
            </w:r>
            <w:r>
              <w:t xml:space="preserve"> to e</w:t>
            </w:r>
            <w:r w:rsidR="002A21AE">
              <w:t>xit.</w:t>
            </w:r>
            <w:r w:rsidR="002A21AE">
              <w:rPr>
                <w:vanish/>
                <w:szCs w:val="18"/>
              </w:rPr>
              <w:fldChar w:fldCharType="begin"/>
            </w:r>
            <w:r w:rsidR="002A21AE">
              <w:rPr>
                <w:vanish/>
                <w:szCs w:val="18"/>
              </w:rPr>
              <w:instrText xml:space="preserve"> LISTNUM \l 1 \s 0 </w:instrText>
            </w:r>
            <w:r w:rsidR="002A21AE">
              <w:rPr>
                <w:vanish/>
                <w:szCs w:val="18"/>
              </w:rPr>
              <w:fldChar w:fldCharType="end">
                <w:numberingChange w:id="573" w:author="MUSZYNSKI, THOMAS D. (SIERRA 7 INC)" w:date="2024-11-26T07:15:00Z" w:original="0."/>
              </w:fldChar>
            </w:r>
          </w:p>
        </w:tc>
        <w:tc>
          <w:tcPr>
            <w:tcW w:w="6120" w:type="dxa"/>
          </w:tcPr>
          <w:p w14:paraId="20C59C38" w14:textId="77777777" w:rsidR="002A21AE" w:rsidRDefault="002A21AE">
            <w:pPr>
              <w:pStyle w:val="NotesText"/>
              <w:ind w:left="0"/>
            </w:pPr>
          </w:p>
        </w:tc>
      </w:tr>
    </w:tbl>
    <w:p w14:paraId="18480D4E" w14:textId="2897F1F5" w:rsidR="00772DD7" w:rsidRDefault="00772DD7" w:rsidP="00772DD7">
      <w:pPr>
        <w:pStyle w:val="Caption"/>
      </w:pPr>
      <w:bookmarkStart w:id="574" w:name="_Ref127777058"/>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7D1829">
        <w:rPr>
          <w:noProof/>
        </w:rPr>
        <w:t>108</w:t>
      </w:r>
      <w:r w:rsidR="004E20BD">
        <w:rPr>
          <w:noProof/>
        </w:rPr>
        <w:fldChar w:fldCharType="end"/>
      </w:r>
      <w:bookmarkEnd w:id="574"/>
      <w:r>
        <w:t>:</w:t>
      </w:r>
      <w:r w:rsidR="00373926">
        <w:t xml:space="preserve"> Select Transfusion Reaction Workup</w:t>
      </w:r>
    </w:p>
    <w:p w14:paraId="1F333624" w14:textId="77777777" w:rsidR="00772DD7" w:rsidRPr="00772DD7" w:rsidRDefault="00057948" w:rsidP="00772DD7">
      <w:pPr>
        <w:pStyle w:val="BodyText"/>
      </w:pPr>
      <w:r>
        <w:rPr>
          <w:noProof/>
        </w:rPr>
        <w:drawing>
          <wp:inline distT="0" distB="0" distL="0" distR="0" wp14:anchorId="5556B42D" wp14:editId="6B88E369">
            <wp:extent cx="4119245" cy="2540000"/>
            <wp:effectExtent l="0" t="0" r="0" b="0"/>
            <wp:docPr id="250" name="Picture 250" descr="Example of Select Transfusion Reaction Workup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Picture 250" descr="Example of Select Transfusion Reaction Workup screen capture"/>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4119245" cy="2540000"/>
                    </a:xfrm>
                    <a:prstGeom prst="rect">
                      <a:avLst/>
                    </a:prstGeom>
                    <a:noFill/>
                    <a:ln>
                      <a:noFill/>
                    </a:ln>
                  </pic:spPr>
                </pic:pic>
              </a:graphicData>
            </a:graphic>
          </wp:inline>
        </w:drawing>
      </w:r>
    </w:p>
    <w:p w14:paraId="710E5271" w14:textId="6B8EAF9A" w:rsidR="00143C19" w:rsidRPr="00143C19" w:rsidRDefault="007C428C" w:rsidP="007C428C">
      <w:pPr>
        <w:pStyle w:val="Caption"/>
      </w:pPr>
      <w:bookmarkStart w:id="575" w:name="_Ref100908730"/>
      <w:bookmarkStart w:id="576" w:name="_Ref127777300"/>
      <w:r>
        <w:t xml:space="preserve">Figure </w:t>
      </w:r>
      <w:r w:rsidR="00901D8F">
        <w:fldChar w:fldCharType="begin"/>
      </w:r>
      <w:r w:rsidR="00901D8F">
        <w:instrText xml:space="preserve"> SEQ Figure \* ARABIC </w:instrText>
      </w:r>
      <w:r w:rsidR="00901D8F">
        <w:fldChar w:fldCharType="separate"/>
      </w:r>
      <w:r w:rsidR="007D1829">
        <w:rPr>
          <w:noProof/>
        </w:rPr>
        <w:t>109</w:t>
      </w:r>
      <w:r w:rsidR="00901D8F">
        <w:rPr>
          <w:noProof/>
        </w:rPr>
        <w:fldChar w:fldCharType="end"/>
      </w:r>
      <w:bookmarkEnd w:id="575"/>
      <w:r>
        <w:t>: Finalize TRW Report</w:t>
      </w:r>
    </w:p>
    <w:p w14:paraId="3B617364" w14:textId="1FE1C4C8" w:rsidR="00143C19" w:rsidRDefault="00A32505" w:rsidP="00143C19">
      <w:pPr>
        <w:pStyle w:val="Caption"/>
      </w:pPr>
      <w:r>
        <w:rPr>
          <w:noProof/>
        </w:rPr>
        <w:drawing>
          <wp:inline distT="0" distB="0" distL="0" distR="0" wp14:anchorId="139344FE" wp14:editId="1F8E244F">
            <wp:extent cx="5943600" cy="3467735"/>
            <wp:effectExtent l="0" t="0" r="0" b="0"/>
            <wp:docPr id="8" name="Picture 8" descr="Example of Finalize TRW Report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Example of Finalize TRW Report screen capture"/>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5943600" cy="3467735"/>
                    </a:xfrm>
                    <a:prstGeom prst="rect">
                      <a:avLst/>
                    </a:prstGeom>
                    <a:noFill/>
                    <a:ln>
                      <a:noFill/>
                    </a:ln>
                  </pic:spPr>
                </pic:pic>
              </a:graphicData>
            </a:graphic>
          </wp:inline>
        </w:drawing>
      </w:r>
    </w:p>
    <w:bookmarkEnd w:id="576"/>
    <w:p w14:paraId="3AE13033" w14:textId="2855EB93" w:rsidR="002A21AE" w:rsidRDefault="00310DBF">
      <w:pPr>
        <w:pStyle w:val="Heading4"/>
      </w:pPr>
      <w:r>
        <w:br w:type="page"/>
      </w:r>
      <w:r w:rsidR="002A21AE">
        <w:lastRenderedPageBreak/>
        <w:t>View/Print a Finalized Transfusion Reaction Workup Report</w:t>
      </w:r>
      <w:r w:rsidR="002A21AE">
        <w:fldChar w:fldCharType="begin"/>
      </w:r>
      <w:r w:rsidR="002A21AE">
        <w:instrText xml:space="preserve"> XE </w:instrText>
      </w:r>
      <w:r w:rsidR="00FA7E65">
        <w:instrText>“</w:instrText>
      </w:r>
      <w:r w:rsidR="002A21AE">
        <w:instrText>View/Print a Finalized Transfusion Reaction Workup Report</w:instrText>
      </w:r>
      <w:r w:rsidR="00FA7E65">
        <w:instrText>”</w:instrText>
      </w:r>
      <w:r w:rsidR="002A21AE">
        <w:instrText xml:space="preserve"> </w:instrText>
      </w:r>
      <w:r w:rsidR="002A21AE">
        <w:fldChar w:fldCharType="end"/>
      </w:r>
    </w:p>
    <w:p w14:paraId="6C02DF3A" w14:textId="77777777" w:rsidR="002624D5" w:rsidRPr="002624D5" w:rsidRDefault="002624D5" w:rsidP="00DD75E5">
      <w:pPr>
        <w:pStyle w:val="BodyText"/>
      </w:pPr>
      <w:r>
        <w:t>The user views and/or prints the</w:t>
      </w:r>
      <w:r w:rsidR="0016517C">
        <w:t xml:space="preserve"> finalized</w:t>
      </w:r>
      <w:r>
        <w:t xml:space="preserve"> Transfusion Reaction Workup Report.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01B80A7B" w14:textId="77777777">
        <w:trPr>
          <w:tblHeader/>
        </w:trPr>
        <w:tc>
          <w:tcPr>
            <w:tcW w:w="3240" w:type="dxa"/>
            <w:tcBorders>
              <w:top w:val="single" w:sz="4" w:space="0" w:color="auto"/>
              <w:left w:val="single" w:sz="4" w:space="0" w:color="auto"/>
              <w:bottom w:val="single" w:sz="4" w:space="0" w:color="auto"/>
              <w:right w:val="single" w:sz="4" w:space="0" w:color="auto"/>
            </w:tcBorders>
            <w:shd w:val="pct30" w:color="auto" w:fill="auto"/>
            <w:vAlign w:val="bottom"/>
          </w:tcPr>
          <w:p w14:paraId="453AB7F2" w14:textId="77777777" w:rsidR="002A21AE" w:rsidRDefault="002A21AE">
            <w:pPr>
              <w:pStyle w:val="TableText"/>
              <w:rPr>
                <w:b/>
              </w:rPr>
            </w:pPr>
            <w:r>
              <w:rPr>
                <w:b/>
              </w:rPr>
              <w:t>User Action</w:t>
            </w:r>
          </w:p>
        </w:tc>
        <w:tc>
          <w:tcPr>
            <w:tcW w:w="6120" w:type="dxa"/>
            <w:tcBorders>
              <w:top w:val="single" w:sz="4" w:space="0" w:color="auto"/>
              <w:left w:val="single" w:sz="4" w:space="0" w:color="auto"/>
              <w:bottom w:val="single" w:sz="4" w:space="0" w:color="auto"/>
              <w:right w:val="single" w:sz="4" w:space="0" w:color="auto"/>
            </w:tcBorders>
            <w:shd w:val="pct30" w:color="auto" w:fill="auto"/>
            <w:vAlign w:val="bottom"/>
          </w:tcPr>
          <w:p w14:paraId="78AF8CC3" w14:textId="77777777" w:rsidR="002A21AE" w:rsidRDefault="002A21AE">
            <w:pPr>
              <w:pStyle w:val="TableText"/>
              <w:rPr>
                <w:b/>
              </w:rPr>
            </w:pPr>
            <w:r>
              <w:rPr>
                <w:b/>
              </w:rPr>
              <w:t>VBECS</w:t>
            </w:r>
          </w:p>
        </w:tc>
      </w:tr>
      <w:tr w:rsidR="002A21AE" w14:paraId="54F85426" w14:textId="77777777">
        <w:tc>
          <w:tcPr>
            <w:tcW w:w="3240" w:type="dxa"/>
            <w:tcBorders>
              <w:top w:val="single" w:sz="4" w:space="0" w:color="auto"/>
              <w:left w:val="single" w:sz="4" w:space="0" w:color="auto"/>
              <w:bottom w:val="single" w:sz="4" w:space="0" w:color="auto"/>
              <w:right w:val="single" w:sz="4" w:space="0" w:color="auto"/>
            </w:tcBorders>
          </w:tcPr>
          <w:p w14:paraId="0C76CB0E" w14:textId="77777777" w:rsidR="002A21AE" w:rsidRDefault="002A21AE">
            <w:pPr>
              <w:pStyle w:val="TableTextNumbers"/>
            </w:pPr>
            <w:r>
              <w:t xml:space="preserve">Select </w:t>
            </w:r>
            <w:r>
              <w:rPr>
                <w:b/>
              </w:rPr>
              <w:t>Reports</w:t>
            </w:r>
            <w:r>
              <w:t xml:space="preserve"> from the main menu.</w:t>
            </w:r>
          </w:p>
          <w:p w14:paraId="44589EAC" w14:textId="77777777" w:rsidR="002A21AE" w:rsidRDefault="002A21AE">
            <w:pPr>
              <w:pStyle w:val="TableTextNumbersContinued"/>
            </w:pPr>
          </w:p>
          <w:p w14:paraId="16CBFB01" w14:textId="77777777" w:rsidR="002A21AE" w:rsidRDefault="002A21AE">
            <w:pPr>
              <w:pStyle w:val="TableTextNumbersContinued"/>
            </w:pPr>
            <w:r>
              <w:t xml:space="preserve">Select </w:t>
            </w:r>
            <w:r>
              <w:rPr>
                <w:b/>
              </w:rPr>
              <w:t>Finalize/Print TRW</w:t>
            </w:r>
            <w:r>
              <w:t>.</w:t>
            </w:r>
          </w:p>
          <w:p w14:paraId="2A690758" w14:textId="77777777" w:rsidR="002A21AE" w:rsidRDefault="002A21AE">
            <w:pPr>
              <w:pStyle w:val="TableTextNumbersContinued"/>
            </w:pPr>
          </w:p>
          <w:p w14:paraId="1A4B745E" w14:textId="41EE888D" w:rsidR="002A21AE" w:rsidRDefault="002A21AE">
            <w:pPr>
              <w:pStyle w:val="TableTextNumbersContinued"/>
            </w:pPr>
            <w:r>
              <w:t>Select a completed TRW</w:t>
            </w:r>
            <w:r w:rsidR="00F40F83">
              <w:t xml:space="preserve"> (</w:t>
            </w:r>
            <w:r w:rsidR="00EE455E">
              <w:t xml:space="preserve">Figure </w:t>
            </w:r>
            <w:r w:rsidR="00EE455E">
              <w:rPr>
                <w:noProof/>
              </w:rPr>
              <w:t>106</w:t>
            </w:r>
            <w:r w:rsidR="00F40F83">
              <w:t>)</w:t>
            </w:r>
            <w:r>
              <w:t>.</w:t>
            </w:r>
          </w:p>
        </w:tc>
        <w:tc>
          <w:tcPr>
            <w:tcW w:w="6120" w:type="dxa"/>
            <w:tcBorders>
              <w:top w:val="single" w:sz="4" w:space="0" w:color="auto"/>
              <w:left w:val="single" w:sz="4" w:space="0" w:color="auto"/>
              <w:bottom w:val="single" w:sz="4" w:space="0" w:color="auto"/>
              <w:right w:val="single" w:sz="4" w:space="0" w:color="auto"/>
            </w:tcBorders>
          </w:tcPr>
          <w:p w14:paraId="5BBBF2DE" w14:textId="77777777" w:rsidR="002A21AE" w:rsidRDefault="002A21AE">
            <w:pPr>
              <w:pStyle w:val="TableTextBullet"/>
            </w:pPr>
            <w:r>
              <w:t>Lists report names.</w:t>
            </w:r>
          </w:p>
          <w:p w14:paraId="54611BBE" w14:textId="77777777" w:rsidR="002A21AE" w:rsidRDefault="002A21AE">
            <w:pPr>
              <w:pStyle w:val="TableTextBullet"/>
            </w:pPr>
            <w:r>
              <w:t xml:space="preserve">Displays the selected Transfusion Reaction Workup Report data. </w:t>
            </w:r>
          </w:p>
          <w:p w14:paraId="2C7233D9" w14:textId="77777777" w:rsidR="002A21AE" w:rsidRDefault="002A21AE">
            <w:pPr>
              <w:pStyle w:val="TableTextBullet"/>
            </w:pPr>
            <w:r>
              <w:t>Displays an option to view and/or print a finalized TRW by selecting a patient.</w:t>
            </w:r>
          </w:p>
          <w:p w14:paraId="343BCDEB" w14:textId="77777777" w:rsidR="002A21AE" w:rsidRDefault="002A21AE">
            <w:pPr>
              <w:pStyle w:val="TableText"/>
            </w:pPr>
          </w:p>
          <w:p w14:paraId="75579226" w14:textId="126E3B7C" w:rsidR="002A21AE" w:rsidRDefault="002A21AE">
            <w:pPr>
              <w:pStyle w:val="TableText"/>
              <w:rPr>
                <w:b/>
                <w:bCs/>
              </w:rPr>
            </w:pPr>
            <w:r>
              <w:rPr>
                <w:b/>
                <w:bCs/>
              </w:rPr>
              <w:t>NOTES</w:t>
            </w:r>
          </w:p>
          <w:p w14:paraId="3B8EBD95" w14:textId="77777777" w:rsidR="002A21AE" w:rsidRDefault="002A21AE">
            <w:pPr>
              <w:pStyle w:val="NotesText"/>
            </w:pPr>
          </w:p>
          <w:p w14:paraId="6E0BC7AE" w14:textId="77777777" w:rsidR="002A21AE" w:rsidRDefault="002A21AE">
            <w:pPr>
              <w:pStyle w:val="NotesText"/>
            </w:pPr>
            <w:r>
              <w:rPr>
                <w:rFonts w:cs="Arial"/>
                <w:vanish/>
              </w:rPr>
              <w:t xml:space="preserve">BR_78.01 </w:t>
            </w:r>
            <w:r>
              <w:t>The user finalizing the report may not edit previously entered TRW data.</w:t>
            </w:r>
          </w:p>
        </w:tc>
      </w:tr>
      <w:tr w:rsidR="002A21AE" w14:paraId="1A53BB91" w14:textId="77777777">
        <w:tc>
          <w:tcPr>
            <w:tcW w:w="3240" w:type="dxa"/>
            <w:tcBorders>
              <w:top w:val="single" w:sz="4" w:space="0" w:color="auto"/>
              <w:left w:val="single" w:sz="4" w:space="0" w:color="auto"/>
              <w:bottom w:val="single" w:sz="4" w:space="0" w:color="auto"/>
              <w:right w:val="single" w:sz="4" w:space="0" w:color="auto"/>
            </w:tcBorders>
          </w:tcPr>
          <w:p w14:paraId="55C10C0C" w14:textId="77777777" w:rsidR="002A21AE" w:rsidRDefault="002A21AE">
            <w:pPr>
              <w:pStyle w:val="TableTextNumbers"/>
            </w:pPr>
            <w:r>
              <w:t>Select a patient.</w:t>
            </w:r>
          </w:p>
        </w:tc>
        <w:tc>
          <w:tcPr>
            <w:tcW w:w="6120" w:type="dxa"/>
            <w:tcBorders>
              <w:top w:val="single" w:sz="4" w:space="0" w:color="auto"/>
              <w:left w:val="single" w:sz="4" w:space="0" w:color="auto"/>
              <w:bottom w:val="single" w:sz="4" w:space="0" w:color="auto"/>
              <w:right w:val="single" w:sz="4" w:space="0" w:color="auto"/>
            </w:tcBorders>
          </w:tcPr>
          <w:p w14:paraId="69F804D2" w14:textId="77777777" w:rsidR="002A21AE" w:rsidRDefault="002A21AE">
            <w:pPr>
              <w:pStyle w:val="TableTextBullet"/>
            </w:pPr>
            <w:r>
              <w:t>Compiles the report and displays an option to print the report or exit.</w:t>
            </w:r>
          </w:p>
          <w:p w14:paraId="6ADDCBAC" w14:textId="77777777" w:rsidR="002A21AE" w:rsidRDefault="002A21AE">
            <w:pPr>
              <w:pStyle w:val="TableText"/>
            </w:pPr>
          </w:p>
          <w:p w14:paraId="59DB6817" w14:textId="29ECB833" w:rsidR="002A21AE" w:rsidRDefault="002A21AE">
            <w:pPr>
              <w:pStyle w:val="TableText"/>
              <w:rPr>
                <w:b/>
                <w:bCs/>
              </w:rPr>
            </w:pPr>
            <w:r>
              <w:rPr>
                <w:b/>
                <w:bCs/>
              </w:rPr>
              <w:t>NOTES</w:t>
            </w:r>
          </w:p>
          <w:p w14:paraId="513515B1" w14:textId="77777777" w:rsidR="002A21AE" w:rsidRDefault="002A21AE">
            <w:pPr>
              <w:pStyle w:val="NotesText"/>
            </w:pPr>
          </w:p>
          <w:p w14:paraId="7C8E113F" w14:textId="77777777" w:rsidR="002A21AE" w:rsidRDefault="002A21AE">
            <w:pPr>
              <w:pStyle w:val="NotesText"/>
            </w:pPr>
            <w:r>
              <w:rPr>
                <w:rFonts w:cs="Arial"/>
                <w:vanish/>
              </w:rPr>
              <w:t xml:space="preserve">BR_78.05 </w:t>
            </w:r>
            <w:r>
              <w:t>Details included in the finalized TRW report:</w:t>
            </w:r>
          </w:p>
          <w:p w14:paraId="713897F1" w14:textId="77777777" w:rsidR="002A21AE" w:rsidRDefault="002A21AE">
            <w:pPr>
              <w:pStyle w:val="NotesTextBullet"/>
            </w:pPr>
            <w:r>
              <w:t>Patient name</w:t>
            </w:r>
          </w:p>
          <w:p w14:paraId="2329F4B6" w14:textId="77777777" w:rsidR="002A21AE" w:rsidRDefault="002A21AE">
            <w:pPr>
              <w:pStyle w:val="NotesTextBullet"/>
            </w:pPr>
            <w:r>
              <w:t>Patient ID</w:t>
            </w:r>
          </w:p>
          <w:p w14:paraId="1B9D9CD9" w14:textId="77777777" w:rsidR="002A21AE" w:rsidRDefault="002A21AE">
            <w:pPr>
              <w:pStyle w:val="NotesTextBullet"/>
            </w:pPr>
            <w:r>
              <w:t>Specimen UID</w:t>
            </w:r>
          </w:p>
          <w:p w14:paraId="0896E330" w14:textId="77777777" w:rsidR="002A21AE" w:rsidRDefault="002A21AE">
            <w:pPr>
              <w:pStyle w:val="NotesTextBullet"/>
            </w:pPr>
            <w:r>
              <w:t>Reported symptoms</w:t>
            </w:r>
          </w:p>
          <w:p w14:paraId="1F965E50" w14:textId="77777777" w:rsidR="002A21AE" w:rsidRDefault="002A21AE">
            <w:pPr>
              <w:pStyle w:val="NotesTextBullet"/>
            </w:pPr>
            <w:r>
              <w:t>Specimen clerical checks (pre-, post-, and unit)</w:t>
            </w:r>
          </w:p>
          <w:p w14:paraId="66ACED8A" w14:textId="77777777" w:rsidR="002A21AE" w:rsidRDefault="002A21AE">
            <w:pPr>
              <w:pStyle w:val="NotesTextBullet"/>
            </w:pPr>
            <w:r>
              <w:t>Serologic testing (if performed, interpretations only)</w:t>
            </w:r>
          </w:p>
          <w:p w14:paraId="1321B61B" w14:textId="77777777" w:rsidR="002A21AE" w:rsidRDefault="002A21AE">
            <w:pPr>
              <w:pStyle w:val="NotesTextBullet"/>
            </w:pPr>
            <w:r>
              <w:t>Transfusion reaction type</w:t>
            </w:r>
          </w:p>
          <w:p w14:paraId="0F53DDAA" w14:textId="33B18BCA" w:rsidR="002A21AE" w:rsidRDefault="002A21AE">
            <w:pPr>
              <w:pStyle w:val="NotesTextBullet"/>
            </w:pPr>
            <w:r>
              <w:t>Comment</w:t>
            </w:r>
            <w:r w:rsidR="00210DD3">
              <w:t xml:space="preserve"> &lt;”</w:t>
            </w:r>
            <w:r w:rsidR="00B86691">
              <w:t>Transfusion Reaction Workup” comment context</w:t>
            </w:r>
            <w:r w:rsidR="00E311FF">
              <w:t>&gt;</w:t>
            </w:r>
          </w:p>
          <w:p w14:paraId="1F6B6A8C" w14:textId="691E39F5" w:rsidR="002A21AE" w:rsidRDefault="002A21AE">
            <w:pPr>
              <w:pStyle w:val="NotesTextBullet"/>
            </w:pPr>
            <w:r>
              <w:t xml:space="preserve">Implicated units (include from Patient Testing: Record a Transfusion Reaction </w:t>
            </w:r>
            <w:r w:rsidR="006549B7">
              <w:t>Workup)</w:t>
            </w:r>
          </w:p>
          <w:p w14:paraId="76E341A4" w14:textId="77777777" w:rsidR="002A21AE" w:rsidRDefault="002A21AE">
            <w:pPr>
              <w:pStyle w:val="NotesTextBullet"/>
            </w:pPr>
            <w:r>
              <w:t>TRW report completed by:</w:t>
            </w:r>
          </w:p>
          <w:p w14:paraId="075A270B" w14:textId="77777777" w:rsidR="002A21AE" w:rsidRDefault="002A21AE">
            <w:pPr>
              <w:pStyle w:val="NotesTextBullet1"/>
            </w:pPr>
            <w:r>
              <w:t>Date and time the report was completed</w:t>
            </w:r>
          </w:p>
          <w:p w14:paraId="28988B38" w14:textId="77777777" w:rsidR="002A21AE" w:rsidRDefault="002A21AE">
            <w:pPr>
              <w:pStyle w:val="NotesTextBullet1"/>
            </w:pPr>
            <w:r>
              <w:t>Signature line for the medical director</w:t>
            </w:r>
          </w:p>
          <w:p w14:paraId="7F219BFC" w14:textId="77777777" w:rsidR="002A21AE" w:rsidRDefault="002A21AE">
            <w:pPr>
              <w:pStyle w:val="NotesTextBullet1"/>
            </w:pPr>
            <w:r>
              <w:t>Line for the date and time the medical director completed the review</w:t>
            </w:r>
          </w:p>
          <w:p w14:paraId="476A1F0A" w14:textId="77777777" w:rsidR="002A21AE" w:rsidRDefault="002A21AE">
            <w:pPr>
              <w:pStyle w:val="NotesTextBullet1"/>
            </w:pPr>
            <w:r>
              <w:t>Finalized by</w:t>
            </w:r>
          </w:p>
          <w:p w14:paraId="4D358C49" w14:textId="77777777" w:rsidR="002A21AE" w:rsidRDefault="002A21AE">
            <w:pPr>
              <w:pStyle w:val="NotesTextBullet1"/>
            </w:pPr>
            <w:r>
              <w:t>Finalized date and time</w:t>
            </w:r>
          </w:p>
        </w:tc>
      </w:tr>
      <w:tr w:rsidR="00A902A8" w14:paraId="46F804C8" w14:textId="77777777">
        <w:tc>
          <w:tcPr>
            <w:tcW w:w="3240" w:type="dxa"/>
          </w:tcPr>
          <w:p w14:paraId="194F647F" w14:textId="77777777" w:rsidR="00A902A8" w:rsidRDefault="00A902A8" w:rsidP="00E21A6B">
            <w:pPr>
              <w:pStyle w:val="TableTextNumbers"/>
            </w:pPr>
            <w:r>
              <w:t xml:space="preserve">Select </w:t>
            </w:r>
            <w:r w:rsidRPr="0080656D">
              <w:rPr>
                <w:b/>
              </w:rPr>
              <w:t>Schedule Print</w:t>
            </w:r>
            <w:r>
              <w:t xml:space="preserve"> or </w:t>
            </w:r>
            <w:r w:rsidRPr="0080656D">
              <w:rPr>
                <w:b/>
              </w:rPr>
              <w:t>Print Now</w:t>
            </w:r>
            <w:r>
              <w:t xml:space="preserve"> and follow the instructions to print.</w:t>
            </w:r>
          </w:p>
        </w:tc>
        <w:tc>
          <w:tcPr>
            <w:tcW w:w="6120" w:type="dxa"/>
          </w:tcPr>
          <w:p w14:paraId="15CF262B" w14:textId="77777777" w:rsidR="00A902A8" w:rsidRDefault="00A902A8" w:rsidP="00E21A6B">
            <w:pPr>
              <w:pStyle w:val="TableTextBullet"/>
            </w:pPr>
            <w:r>
              <w:t>Prints the report on the selected printer.</w:t>
            </w:r>
          </w:p>
        </w:tc>
      </w:tr>
      <w:tr w:rsidR="00A902A8" w14:paraId="02E572F2" w14:textId="77777777">
        <w:tc>
          <w:tcPr>
            <w:tcW w:w="3240" w:type="dxa"/>
          </w:tcPr>
          <w:p w14:paraId="33DC393C" w14:textId="77777777" w:rsidR="00A902A8" w:rsidRDefault="00A902A8" w:rsidP="00E21A6B">
            <w:pPr>
              <w:pStyle w:val="TableTextNumbers"/>
            </w:pPr>
            <w:r>
              <w:t xml:space="preserve">Click </w:t>
            </w:r>
            <w:r w:rsidRPr="0080656D">
              <w:rPr>
                <w:b/>
              </w:rPr>
              <w:t>Close</w:t>
            </w:r>
            <w:r>
              <w:t xml:space="preserve"> to exit.</w:t>
            </w:r>
            <w:r>
              <w:rPr>
                <w:vanish/>
                <w:szCs w:val="18"/>
              </w:rPr>
              <w:fldChar w:fldCharType="begin"/>
            </w:r>
            <w:r>
              <w:rPr>
                <w:vanish/>
                <w:szCs w:val="18"/>
              </w:rPr>
              <w:instrText xml:space="preserve"> LISTNUM \l 1 \s 0 </w:instrText>
            </w:r>
            <w:r>
              <w:rPr>
                <w:vanish/>
                <w:szCs w:val="18"/>
              </w:rPr>
              <w:fldChar w:fldCharType="end">
                <w:numberingChange w:id="577" w:author="MUSZYNSKI, THOMAS D. (SIERRA 7 INC)" w:date="2024-11-26T07:15:00Z" w:original="0."/>
              </w:fldChar>
            </w:r>
          </w:p>
        </w:tc>
        <w:tc>
          <w:tcPr>
            <w:tcW w:w="6120" w:type="dxa"/>
          </w:tcPr>
          <w:p w14:paraId="228C7EB4" w14:textId="77777777" w:rsidR="00A902A8" w:rsidRDefault="00A902A8" w:rsidP="00E21A6B">
            <w:pPr>
              <w:pStyle w:val="NotesText"/>
              <w:ind w:left="0"/>
            </w:pPr>
          </w:p>
        </w:tc>
      </w:tr>
    </w:tbl>
    <w:p w14:paraId="36EAA41C" w14:textId="77777777" w:rsidR="009D0008" w:rsidRDefault="009D0008">
      <w:pPr>
        <w:rPr>
          <w:b/>
          <w:sz w:val="22"/>
          <w:szCs w:val="22"/>
        </w:rPr>
      </w:pPr>
      <w:bookmarkStart w:id="578" w:name="_Toc97523627"/>
      <w:bookmarkStart w:id="579" w:name="_Toc97527597"/>
      <w:bookmarkStart w:id="580" w:name="_Ref126504463"/>
      <w:r>
        <w:br w:type="page"/>
      </w:r>
    </w:p>
    <w:p w14:paraId="37776031" w14:textId="1482A47B" w:rsidR="002A21AE" w:rsidRDefault="002A21AE">
      <w:pPr>
        <w:pStyle w:val="Caption"/>
      </w:pPr>
      <w:r>
        <w:lastRenderedPageBreak/>
        <w:t xml:space="preserve">Table </w:t>
      </w:r>
      <w:r w:rsidR="004E20BD">
        <w:rPr>
          <w:noProof/>
        </w:rPr>
        <w:fldChar w:fldCharType="begin"/>
      </w:r>
      <w:r w:rsidR="004E20BD">
        <w:rPr>
          <w:noProof/>
        </w:rPr>
        <w:instrText xml:space="preserve"> SEQ Table \* ARABIC </w:instrText>
      </w:r>
      <w:r w:rsidR="004E20BD">
        <w:rPr>
          <w:noProof/>
        </w:rPr>
        <w:fldChar w:fldCharType="separate"/>
      </w:r>
      <w:r w:rsidR="007D1829">
        <w:rPr>
          <w:noProof/>
        </w:rPr>
        <w:t>12</w:t>
      </w:r>
      <w:r w:rsidR="004E20BD">
        <w:rPr>
          <w:noProof/>
        </w:rPr>
        <w:fldChar w:fldCharType="end"/>
      </w:r>
      <w:r>
        <w:t xml:space="preserve">: </w:t>
      </w:r>
      <w:r>
        <w:rPr>
          <w:vanish/>
        </w:rPr>
        <w:t xml:space="preserve">PT_78.01 </w:t>
      </w:r>
      <w:r>
        <w:t>Transfusion Reaction Types</w:t>
      </w:r>
      <w:bookmarkEnd w:id="578"/>
      <w:bookmarkEnd w:id="579"/>
      <w:bookmarkEnd w:id="580"/>
      <w:r>
        <w:t xml:space="preserve"> </w:t>
      </w:r>
      <w:r>
        <w:fldChar w:fldCharType="begin"/>
      </w:r>
      <w:r>
        <w:instrText xml:space="preserve"> XE </w:instrText>
      </w:r>
      <w:r w:rsidR="00FA7E65">
        <w:instrText>“</w:instrText>
      </w:r>
      <w:r>
        <w:instrText>Tables:Transfusion Reaction Types</w:instrText>
      </w:r>
      <w:r w:rsidR="00FA7E65">
        <w:instrText>”</w:instrText>
      </w:r>
      <w:r>
        <w:instrText xml:space="preserve"> </w:instrText>
      </w:r>
      <w:r>
        <w:fldChar w:fldCharType="end"/>
      </w:r>
    </w:p>
    <w:tbl>
      <w:tblPr>
        <w:tblW w:w="0" w:type="auto"/>
        <w:tblInd w:w="4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40" w:type="dxa"/>
          <w:right w:w="40" w:type="dxa"/>
        </w:tblCellMar>
        <w:tblLook w:val="0000" w:firstRow="0" w:lastRow="0" w:firstColumn="0" w:lastColumn="0" w:noHBand="0" w:noVBand="0"/>
      </w:tblPr>
      <w:tblGrid>
        <w:gridCol w:w="5985"/>
      </w:tblGrid>
      <w:tr w:rsidR="008E18C4" w14:paraId="3EAC5124" w14:textId="77777777" w:rsidTr="006F799E">
        <w:trPr>
          <w:tblHeader/>
        </w:trPr>
        <w:tc>
          <w:tcPr>
            <w:tcW w:w="5985" w:type="dxa"/>
            <w:tcBorders>
              <w:top w:val="single" w:sz="4" w:space="0" w:color="auto"/>
              <w:bottom w:val="single" w:sz="6" w:space="0" w:color="auto"/>
            </w:tcBorders>
            <w:shd w:val="clear" w:color="auto" w:fill="B3B3B3"/>
            <w:vAlign w:val="bottom"/>
          </w:tcPr>
          <w:p w14:paraId="79B20D11" w14:textId="77777777" w:rsidR="008E18C4" w:rsidRDefault="008E18C4">
            <w:pPr>
              <w:pStyle w:val="TableText"/>
              <w:rPr>
                <w:b/>
              </w:rPr>
            </w:pPr>
            <w:bookmarkStart w:id="581" w:name="_Toc72723354"/>
            <w:r>
              <w:rPr>
                <w:b/>
              </w:rPr>
              <w:t>Transfusion Reaction Type Text</w:t>
            </w:r>
            <w:bookmarkEnd w:id="581"/>
          </w:p>
        </w:tc>
      </w:tr>
      <w:tr w:rsidR="007A1432" w14:paraId="1EF1CFD3" w14:textId="77777777" w:rsidTr="006F799E">
        <w:tc>
          <w:tcPr>
            <w:tcW w:w="5985" w:type="dxa"/>
            <w:vAlign w:val="bottom"/>
          </w:tcPr>
          <w:p w14:paraId="48F5F62C" w14:textId="6F812AAF" w:rsidR="007A1432" w:rsidRPr="00B70590" w:rsidRDefault="007A1432">
            <w:pPr>
              <w:pStyle w:val="TableText"/>
            </w:pPr>
            <w:r>
              <w:t>Acute hemolytic transfusion reaction (AHTR)</w:t>
            </w:r>
          </w:p>
        </w:tc>
      </w:tr>
      <w:tr w:rsidR="007A1432" w14:paraId="05A1B31C" w14:textId="77777777" w:rsidTr="007A1432">
        <w:tc>
          <w:tcPr>
            <w:tcW w:w="5985" w:type="dxa"/>
            <w:vAlign w:val="bottom"/>
          </w:tcPr>
          <w:p w14:paraId="5BE54555" w14:textId="184363E4" w:rsidR="007A1432" w:rsidRDefault="007A1432">
            <w:pPr>
              <w:pStyle w:val="TableText"/>
            </w:pPr>
            <w:r>
              <w:t>Allergic reaction (where severity is severe, life threatening, or death)</w:t>
            </w:r>
          </w:p>
        </w:tc>
      </w:tr>
      <w:tr w:rsidR="007A1432" w14:paraId="540A4C18" w14:textId="77777777" w:rsidTr="007A1432">
        <w:tc>
          <w:tcPr>
            <w:tcW w:w="5985" w:type="dxa"/>
            <w:vAlign w:val="bottom"/>
          </w:tcPr>
          <w:p w14:paraId="09607237" w14:textId="1CEAA431" w:rsidR="007A1432" w:rsidRDefault="007A1432">
            <w:pPr>
              <w:pStyle w:val="TableText"/>
            </w:pPr>
            <w:r>
              <w:t>Delayed hemolytic transfusion reaction (DHTR)</w:t>
            </w:r>
          </w:p>
        </w:tc>
      </w:tr>
      <w:tr w:rsidR="007A1432" w14:paraId="1472455C" w14:textId="77777777" w:rsidTr="007A1432">
        <w:tc>
          <w:tcPr>
            <w:tcW w:w="5985" w:type="dxa"/>
            <w:vAlign w:val="bottom"/>
          </w:tcPr>
          <w:p w14:paraId="3AF642ED" w14:textId="65678842" w:rsidR="007A1432" w:rsidRDefault="007A1432">
            <w:pPr>
              <w:pStyle w:val="TableText"/>
            </w:pPr>
            <w:r>
              <w:t>Delayed serologic transfusion reaction (DSTR)</w:t>
            </w:r>
          </w:p>
        </w:tc>
      </w:tr>
      <w:tr w:rsidR="007A1432" w14:paraId="54AFA932" w14:textId="77777777" w:rsidTr="007A1432">
        <w:tc>
          <w:tcPr>
            <w:tcW w:w="5985" w:type="dxa"/>
            <w:vAlign w:val="bottom"/>
          </w:tcPr>
          <w:p w14:paraId="5998C44D" w14:textId="3D049BBA" w:rsidR="007A1432" w:rsidRDefault="007A1432">
            <w:pPr>
              <w:pStyle w:val="TableText"/>
            </w:pPr>
            <w:r>
              <w:t>Febrile non-hemolytic transfusion reaction (FNHTR)</w:t>
            </w:r>
          </w:p>
        </w:tc>
      </w:tr>
      <w:tr w:rsidR="007A1432" w14:paraId="31167808" w14:textId="77777777" w:rsidTr="007A1432">
        <w:tc>
          <w:tcPr>
            <w:tcW w:w="5985" w:type="dxa"/>
            <w:vAlign w:val="bottom"/>
          </w:tcPr>
          <w:p w14:paraId="783F57C1" w14:textId="3592F2E5" w:rsidR="007A1432" w:rsidRDefault="007A1432">
            <w:pPr>
              <w:pStyle w:val="TableText"/>
            </w:pPr>
            <w:r>
              <w:t>Hypotensive transfusion reaction</w:t>
            </w:r>
          </w:p>
        </w:tc>
      </w:tr>
      <w:tr w:rsidR="007A1432" w14:paraId="7340EB62" w14:textId="77777777" w:rsidTr="007A1432">
        <w:tc>
          <w:tcPr>
            <w:tcW w:w="5985" w:type="dxa"/>
            <w:vAlign w:val="bottom"/>
          </w:tcPr>
          <w:p w14:paraId="1540D53B" w14:textId="00F6098B" w:rsidR="007A1432" w:rsidRDefault="007A1432">
            <w:pPr>
              <w:pStyle w:val="TableText"/>
            </w:pPr>
            <w:r>
              <w:t>Post-transfusion purpura (PTP)</w:t>
            </w:r>
          </w:p>
        </w:tc>
      </w:tr>
      <w:tr w:rsidR="007A1432" w14:paraId="5D0F40FB" w14:textId="77777777" w:rsidTr="007A1432">
        <w:tc>
          <w:tcPr>
            <w:tcW w:w="5985" w:type="dxa"/>
            <w:vAlign w:val="bottom"/>
          </w:tcPr>
          <w:p w14:paraId="0DA3B97A" w14:textId="76BB1157" w:rsidR="007A1432" w:rsidRDefault="007A1432">
            <w:pPr>
              <w:pStyle w:val="TableText"/>
            </w:pPr>
            <w:r>
              <w:t>Transfusion-associated circulatory overload (TACO)</w:t>
            </w:r>
          </w:p>
        </w:tc>
      </w:tr>
      <w:tr w:rsidR="007A1432" w14:paraId="15F29A88" w14:textId="77777777" w:rsidTr="007A1432">
        <w:tc>
          <w:tcPr>
            <w:tcW w:w="5985" w:type="dxa"/>
            <w:vAlign w:val="bottom"/>
          </w:tcPr>
          <w:p w14:paraId="50458455" w14:textId="24AF5CA9" w:rsidR="007A1432" w:rsidRDefault="007A1432">
            <w:pPr>
              <w:pStyle w:val="TableText"/>
            </w:pPr>
            <w:r>
              <w:t>Transfusion-associated dyspnea (TAD)</w:t>
            </w:r>
          </w:p>
        </w:tc>
      </w:tr>
      <w:tr w:rsidR="007A1432" w14:paraId="5B10DA02" w14:textId="77777777" w:rsidTr="007A1432">
        <w:tc>
          <w:tcPr>
            <w:tcW w:w="5985" w:type="dxa"/>
            <w:vAlign w:val="bottom"/>
          </w:tcPr>
          <w:p w14:paraId="0B266582" w14:textId="7F71E9CE" w:rsidR="007A1432" w:rsidRDefault="007A1432">
            <w:pPr>
              <w:pStyle w:val="TableText"/>
            </w:pPr>
            <w:r>
              <w:t>Transfusion-associated graft vs. host disease (TAGVHD)</w:t>
            </w:r>
          </w:p>
        </w:tc>
      </w:tr>
      <w:tr w:rsidR="007A1432" w14:paraId="53026994" w14:textId="77777777" w:rsidTr="007A1432">
        <w:tc>
          <w:tcPr>
            <w:tcW w:w="5985" w:type="dxa"/>
            <w:vAlign w:val="bottom"/>
          </w:tcPr>
          <w:p w14:paraId="7E425D4E" w14:textId="668D530B" w:rsidR="007A1432" w:rsidRDefault="007A1432">
            <w:pPr>
              <w:pStyle w:val="TableText"/>
            </w:pPr>
            <w:r>
              <w:t>Transfusion-related acute lunch injury (TRALI)</w:t>
            </w:r>
          </w:p>
        </w:tc>
      </w:tr>
      <w:tr w:rsidR="007A1432" w14:paraId="3D3EC8DB" w14:textId="77777777" w:rsidTr="007A1432">
        <w:tc>
          <w:tcPr>
            <w:tcW w:w="5985" w:type="dxa"/>
            <w:vAlign w:val="bottom"/>
          </w:tcPr>
          <w:p w14:paraId="60627C13" w14:textId="02E5EBEE" w:rsidR="007A1432" w:rsidRDefault="007A1432">
            <w:pPr>
              <w:pStyle w:val="TableText"/>
            </w:pPr>
            <w:r>
              <w:t>Transfusion-transmitted infection (TTI)</w:t>
            </w:r>
          </w:p>
        </w:tc>
      </w:tr>
      <w:tr w:rsidR="007A1432" w14:paraId="43F1609F" w14:textId="77777777" w:rsidTr="007A1432">
        <w:tc>
          <w:tcPr>
            <w:tcW w:w="5985" w:type="dxa"/>
            <w:vAlign w:val="bottom"/>
          </w:tcPr>
          <w:p w14:paraId="06389679" w14:textId="27CBB660" w:rsidR="007A1432" w:rsidRDefault="007A1432">
            <w:pPr>
              <w:pStyle w:val="TableText"/>
            </w:pPr>
            <w:r>
              <w:t>Other</w:t>
            </w:r>
          </w:p>
        </w:tc>
      </w:tr>
    </w:tbl>
    <w:p w14:paraId="457DE778" w14:textId="77777777" w:rsidR="002A21AE" w:rsidRDefault="00EE2299">
      <w:pPr>
        <w:pStyle w:val="Heading2"/>
      </w:pPr>
      <w:bookmarkStart w:id="582" w:name="_Maintain_Specimen"/>
      <w:bookmarkStart w:id="583" w:name="_Maintain_Specimen_1"/>
      <w:bookmarkStart w:id="584" w:name="_Toc63680372"/>
      <w:bookmarkEnd w:id="571"/>
      <w:bookmarkEnd w:id="582"/>
      <w:bookmarkEnd w:id="583"/>
      <w:r>
        <w:br w:type="page"/>
      </w:r>
      <w:bookmarkStart w:id="585" w:name="_Toc203765931"/>
      <w:r w:rsidR="002A21AE">
        <w:lastRenderedPageBreak/>
        <w:t>Maintain Patient Records</w:t>
      </w:r>
      <w:bookmarkEnd w:id="584"/>
      <w:bookmarkEnd w:id="585"/>
      <w:r w:rsidR="002A21AE">
        <w:fldChar w:fldCharType="begin"/>
      </w:r>
      <w:r w:rsidR="002A21AE">
        <w:instrText xml:space="preserve"> XE </w:instrText>
      </w:r>
      <w:r w:rsidR="00FA7E65">
        <w:instrText>“</w:instrText>
      </w:r>
      <w:r w:rsidR="002A21AE">
        <w:instrText>Maintain Patient Records</w:instrText>
      </w:r>
      <w:r w:rsidR="00FA7E65">
        <w:instrText>”</w:instrText>
      </w:r>
      <w:r w:rsidR="002A21AE">
        <w:instrText xml:space="preserve"> </w:instrText>
      </w:r>
      <w:r w:rsidR="002A21AE">
        <w:fldChar w:fldCharType="end"/>
      </w:r>
    </w:p>
    <w:p w14:paraId="0A25BAF7" w14:textId="77777777" w:rsidR="002A21AE" w:rsidRDefault="002A21AE">
      <w:pPr>
        <w:pStyle w:val="Heading3"/>
      </w:pPr>
      <w:bookmarkStart w:id="586" w:name="_Toc203765932"/>
      <w:r>
        <w:t>Special Instructions &amp; Transfusion Requirements: Enter a Transfusion Requirement</w:t>
      </w:r>
      <w:bookmarkEnd w:id="586"/>
      <w:r w:rsidRPr="00523956">
        <w:rPr>
          <w:rFonts w:ascii="Arial Bold" w:hAnsi="Arial Bold"/>
          <w:vanish/>
        </w:rPr>
        <w:fldChar w:fldCharType="begin"/>
      </w:r>
      <w:r w:rsidRPr="00523956">
        <w:rPr>
          <w:rFonts w:ascii="Arial Bold" w:hAnsi="Arial Bold"/>
          <w:vanish/>
        </w:rPr>
        <w:instrText xml:space="preserve"> XE </w:instrText>
      </w:r>
      <w:r w:rsidR="00FA7E65" w:rsidRPr="00523956">
        <w:rPr>
          <w:rFonts w:ascii="Arial Bold" w:hAnsi="Arial Bold"/>
          <w:vanish/>
        </w:rPr>
        <w:instrText>“</w:instrText>
      </w:r>
      <w:r w:rsidRPr="00523956">
        <w:rPr>
          <w:rFonts w:ascii="Arial Bold" w:hAnsi="Arial Bold"/>
          <w:vanish/>
        </w:rPr>
        <w:instrText>Special Instructions &amp; Transfusion Requirements\: Enter a Transfusion Requirement</w:instrText>
      </w:r>
      <w:r w:rsidR="00FA7E65" w:rsidRPr="00523956">
        <w:rPr>
          <w:rFonts w:ascii="Arial Bold" w:hAnsi="Arial Bold"/>
          <w:vanish/>
        </w:rPr>
        <w:instrText>”</w:instrText>
      </w:r>
      <w:r w:rsidRPr="00523956">
        <w:rPr>
          <w:rFonts w:ascii="Arial Bold" w:hAnsi="Arial Bold"/>
          <w:vanish/>
        </w:rPr>
        <w:instrText xml:space="preserve"> </w:instrText>
      </w:r>
      <w:r w:rsidRPr="00523956">
        <w:rPr>
          <w:rFonts w:ascii="Arial Bold" w:hAnsi="Arial Bold"/>
          <w:vanish/>
        </w:rPr>
        <w:fldChar w:fldCharType="end"/>
      </w:r>
      <w:r w:rsidRPr="00523956">
        <w:rPr>
          <w:rFonts w:ascii="Arial Bold" w:hAnsi="Arial Bold"/>
          <w:vanish/>
        </w:rPr>
        <w:t xml:space="preserve"> UC_38</w:t>
      </w:r>
    </w:p>
    <w:p w14:paraId="64825D6F" w14:textId="77777777" w:rsidR="002A21AE" w:rsidRDefault="002A21AE" w:rsidP="00FA7E65">
      <w:pPr>
        <w:pStyle w:val="BodyText"/>
      </w:pPr>
      <w:r>
        <w:t>The user enter</w:t>
      </w:r>
      <w:r w:rsidR="007C7B3C">
        <w:t>s</w:t>
      </w:r>
      <w:r>
        <w:t xml:space="preserve"> or inactivate</w:t>
      </w:r>
      <w:r w:rsidR="007C7B3C">
        <w:t>s</w:t>
      </w:r>
      <w:r>
        <w:t xml:space="preserve"> the Transfusion Requirements (TRs) in the patient’s record by division. </w:t>
      </w:r>
    </w:p>
    <w:p w14:paraId="78476501" w14:textId="77777777" w:rsidR="002A21AE" w:rsidRDefault="002A21AE">
      <w:pPr>
        <w:pStyle w:val="Heading4"/>
      </w:pPr>
      <w:r>
        <w:t>Assumptions</w:t>
      </w:r>
      <w:r>
        <w:rPr>
          <w:b w:val="0"/>
        </w:rPr>
        <w:t xml:space="preserve"> </w:t>
      </w:r>
    </w:p>
    <w:p w14:paraId="65FAD6F7" w14:textId="77777777" w:rsidR="002A21AE" w:rsidRDefault="002A21AE">
      <w:pPr>
        <w:pStyle w:val="ListBullet"/>
      </w:pPr>
      <w:r>
        <w:t>The patient exists in the VBECS database.</w:t>
      </w:r>
    </w:p>
    <w:p w14:paraId="6315A875" w14:textId="77777777" w:rsidR="002A21AE" w:rsidRDefault="002A21AE">
      <w:pPr>
        <w:pStyle w:val="Heading4"/>
      </w:pPr>
      <w:r>
        <w:t>Outcome</w:t>
      </w:r>
    </w:p>
    <w:p w14:paraId="50EC6B77" w14:textId="77777777" w:rsidR="002A21AE" w:rsidRDefault="002A21AE">
      <w:pPr>
        <w:pStyle w:val="ListBullet"/>
      </w:pPr>
      <w:r>
        <w:t>VBECS displays TRs to all divisions within a multidivisional database. The division in which they were entered maintains and controls them.</w:t>
      </w:r>
    </w:p>
    <w:p w14:paraId="18E3A1B4" w14:textId="77777777" w:rsidR="002A21AE" w:rsidRDefault="002A21AE">
      <w:pPr>
        <w:pStyle w:val="ListBullet"/>
      </w:pPr>
      <w:r>
        <w:t>VBECS maintains a historic record of changes to the patient’s TRs.</w:t>
      </w:r>
    </w:p>
    <w:p w14:paraId="6FBF3853" w14:textId="77777777" w:rsidR="002A21AE" w:rsidRDefault="002A21AE">
      <w:pPr>
        <w:pStyle w:val="Heading4"/>
      </w:pPr>
      <w:r>
        <w:t>Limitations and Restrictions</w:t>
      </w:r>
      <w:r>
        <w:rPr>
          <w:b w:val="0"/>
        </w:rPr>
        <w:t xml:space="preserve"> </w:t>
      </w:r>
    </w:p>
    <w:p w14:paraId="15E0C25D" w14:textId="77777777" w:rsidR="002A21AE" w:rsidRDefault="002A21AE">
      <w:pPr>
        <w:pStyle w:val="ListBullet"/>
      </w:pPr>
      <w:r>
        <w:t>Inactivation is defined and restricted by security level.</w:t>
      </w:r>
    </w:p>
    <w:p w14:paraId="6A8D2726" w14:textId="77777777" w:rsidR="002A21AE" w:rsidRDefault="00CA6E27">
      <w:pPr>
        <w:pStyle w:val="ListBullet"/>
      </w:pPr>
      <w:r w:rsidRPr="00CA6E27">
        <w:rPr>
          <w:bCs/>
        </w:rPr>
        <w:t>VistA</w:t>
      </w:r>
      <w:r w:rsidR="002A21AE">
        <w:t xml:space="preserve"> Special Instructions (SIs) from </w:t>
      </w:r>
      <w:r w:rsidR="00150930">
        <w:t>database conversion</w:t>
      </w:r>
      <w:r w:rsidR="002A21AE">
        <w:t xml:space="preserve"> do not become TRs: they remain SIs. SIs are information only and are not enforced unless entered in </w:t>
      </w:r>
      <w:r w:rsidR="001F561F">
        <w:t xml:space="preserve">the </w:t>
      </w:r>
      <w:r w:rsidR="0077268F">
        <w:t>Component</w:t>
      </w:r>
      <w:r w:rsidR="001F561F">
        <w:t xml:space="preserve"> </w:t>
      </w:r>
      <w:r w:rsidR="002A21AE">
        <w:t>R</w:t>
      </w:r>
      <w:r w:rsidR="001F561F">
        <w:t>equirement</w:t>
      </w:r>
      <w:r w:rsidR="002A21AE">
        <w:t>s</w:t>
      </w:r>
      <w:r w:rsidR="001F561F">
        <w:t xml:space="preserve"> tab in Special Instructions &amp; Transfusion Requirements</w:t>
      </w:r>
      <w:r w:rsidR="002A21AE">
        <w:t>.</w:t>
      </w:r>
    </w:p>
    <w:p w14:paraId="4423D3F1" w14:textId="77777777" w:rsidR="002A21AE" w:rsidRDefault="002A21AE">
      <w:pPr>
        <w:pStyle w:val="Heading4"/>
      </w:pPr>
      <w:r>
        <w:t>Additional Information</w:t>
      </w:r>
    </w:p>
    <w:p w14:paraId="2D86970C" w14:textId="77777777" w:rsidR="002A21AE" w:rsidRDefault="002A21AE">
      <w:pPr>
        <w:pStyle w:val="ListBullet"/>
      </w:pPr>
      <w:r>
        <w:t>No current patient specimen or order is required to access this option.</w:t>
      </w:r>
    </w:p>
    <w:p w14:paraId="1F5D80AD" w14:textId="77777777" w:rsidR="002A21AE" w:rsidRDefault="002A21AE">
      <w:pPr>
        <w:pStyle w:val="ListBullet"/>
      </w:pPr>
      <w:r>
        <w:t>When TRs are not met, VBECS prohibits the printing of the Caution Tag and Blood Transfusion Record Form (BTRF) and prevents issue of the blood unit.</w:t>
      </w:r>
    </w:p>
    <w:p w14:paraId="611E341A" w14:textId="77777777" w:rsidR="002A21AE" w:rsidRDefault="002A21AE">
      <w:pPr>
        <w:pStyle w:val="ListBullet"/>
      </w:pPr>
      <w:r>
        <w:rPr>
          <w:rFonts w:ascii="Arial" w:hAnsi="Arial" w:cs="Arial"/>
          <w:vanish/>
          <w:spacing w:val="0"/>
          <w:sz w:val="18"/>
        </w:rPr>
        <w:t xml:space="preserve">BR_38.04 </w:t>
      </w:r>
      <w:r>
        <w:t xml:space="preserve">User-entered antigen negative requirements are persistent. VBECS enforces them even when they are in conflict with the division’s antibody table settings. </w:t>
      </w:r>
    </w:p>
    <w:p w14:paraId="5EC1BFAE" w14:textId="77777777" w:rsidR="002A21AE" w:rsidRDefault="002A21AE">
      <w:pPr>
        <w:pStyle w:val="ListBullet"/>
      </w:pPr>
      <w:r>
        <w:t xml:space="preserve">Patient antibody identifications from </w:t>
      </w:r>
      <w:r w:rsidR="00CA6E27" w:rsidRPr="00CA6E27">
        <w:rPr>
          <w:bCs/>
        </w:rPr>
        <w:t>VistA</w:t>
      </w:r>
      <w:r>
        <w:t xml:space="preserve"> are included in the database conversion. </w:t>
      </w:r>
    </w:p>
    <w:p w14:paraId="49E3682D" w14:textId="77777777" w:rsidR="002A21AE" w:rsidRDefault="002A21AE">
      <w:pPr>
        <w:pStyle w:val="ListBullet"/>
      </w:pPr>
      <w:r>
        <w:t xml:space="preserve">By default, inactivation of an antibody removes requirements for antigen negative blood derived from the antibody entry. </w:t>
      </w:r>
    </w:p>
    <w:p w14:paraId="34206AC1" w14:textId="77777777" w:rsidR="002A21AE" w:rsidRDefault="002A21AE">
      <w:pPr>
        <w:pStyle w:val="Heading4"/>
        <w:rPr>
          <w:b w:val="0"/>
        </w:rPr>
      </w:pPr>
      <w:r>
        <w:t>User Roles with Access to This Option</w:t>
      </w:r>
      <w:r>
        <w:rPr>
          <w:b w:val="0"/>
        </w:rPr>
        <w:t xml:space="preserve"> </w:t>
      </w:r>
    </w:p>
    <w:p w14:paraId="5AAC30E0" w14:textId="77777777" w:rsidR="00AE271A" w:rsidRDefault="00AE271A" w:rsidP="00AE271A">
      <w:pPr>
        <w:pStyle w:val="Roles"/>
      </w:pPr>
      <w:r>
        <w:rPr>
          <w:snapToGrid w:val="0"/>
        </w:rPr>
        <w:t>All users</w:t>
      </w:r>
    </w:p>
    <w:p w14:paraId="1ADBD526" w14:textId="77777777" w:rsidR="002A21AE" w:rsidRDefault="002A21AE">
      <w:pPr>
        <w:pStyle w:val="Heading4"/>
      </w:pPr>
      <w:r>
        <w:t>Special Instructions &amp; Transfusion Requirements: Enter a Transfusion Requirement</w:t>
      </w:r>
    </w:p>
    <w:p w14:paraId="7E8CC920" w14:textId="77777777" w:rsidR="002A21AE" w:rsidRDefault="002A21AE" w:rsidP="00FA7E65">
      <w:pPr>
        <w:pStyle w:val="BodyText"/>
      </w:pPr>
      <w:r>
        <w:t xml:space="preserve">The user assigns patient blood component requirements or indicates the need for antigen negative blood to be applied during blood component selection and issue. </w:t>
      </w:r>
    </w:p>
    <w:p w14:paraId="7A0CC4E9" w14:textId="77777777" w:rsidR="002A21AE" w:rsidRDefault="002A21AE" w:rsidP="00FA7E65">
      <w:pPr>
        <w:pStyle w:val="BodyText"/>
      </w:pPr>
      <w:r>
        <w:t xml:space="preserve">VBECS displays TR data and applies requirements during blood unit selection. </w:t>
      </w:r>
    </w:p>
    <w:p w14:paraId="56EB1B40" w14:textId="77777777" w:rsidR="002A21AE" w:rsidRDefault="002A21AE" w:rsidP="00FA7E65">
      <w:pPr>
        <w:pStyle w:val="BodyText"/>
        <w:rPr>
          <w:b/>
        </w:rPr>
      </w:pPr>
      <w:r>
        <w:t xml:space="preserve">All items in these TR categories indicate the need for pre-transfusion processing of a unit before the unit may be issued to the patient. All users may activate entries. </w:t>
      </w:r>
      <w:r w:rsidR="00E57896" w:rsidRPr="00EC7489">
        <w:rPr>
          <w:rFonts w:ascii="Wingdings 3" w:hAnsi="Wingdings 3" w:cs="Wingdings"/>
        </w:rPr>
        <w:t></w:t>
      </w:r>
      <w:r w:rsidR="00E57896" w:rsidRPr="00EC7489">
        <w:rPr>
          <w:rFonts w:ascii="Wingdings 3" w:hAnsi="Wingdings 3" w:cs="Wingdings"/>
        </w:rPr>
        <w:t></w:t>
      </w:r>
      <w:r w:rsidR="00E57896" w:rsidRPr="00EC7489">
        <w:rPr>
          <w:rFonts w:ascii="Wingdings 3" w:hAnsi="Wingdings 3" w:cs="Wingdings"/>
        </w:rPr>
        <w:t></w:t>
      </w:r>
      <w:r w:rsidR="00E57896" w:rsidRPr="00EC7489">
        <w:rPr>
          <w:rFonts w:ascii="Wingdings 3" w:hAnsi="Wingdings 3" w:cs="Wingdings"/>
        </w:rPr>
        <w:t></w:t>
      </w:r>
      <w:r w:rsidR="00E57896">
        <w:t xml:space="preserve"> </w:t>
      </w:r>
      <w:r>
        <w:t xml:space="preserve">Only a </w:t>
      </w:r>
      <w:r>
        <w:rPr>
          <w:snapToGrid w:val="0"/>
        </w:rPr>
        <w:t xml:space="preserve">Traditional Supervisor </w:t>
      </w:r>
      <w:r>
        <w:t xml:space="preserve">may inactivate a component requirement for a patient. A patient may have one or more TRs: </w:t>
      </w:r>
      <w:r>
        <w:rPr>
          <w:vanish/>
        </w:rPr>
        <w:t>BR_38.01</w:t>
      </w:r>
    </w:p>
    <w:p w14:paraId="148142CA" w14:textId="77777777" w:rsidR="002A21AE" w:rsidRDefault="00095CB3">
      <w:pPr>
        <w:pStyle w:val="ListBullet"/>
      </w:pPr>
      <w:r>
        <w:t>Pre-treated to Prevent G</w:t>
      </w:r>
      <w:r w:rsidR="00363C2C">
        <w:t>VHD</w:t>
      </w:r>
      <w:r w:rsidR="002A21AE">
        <w:t xml:space="preserve"> </w:t>
      </w:r>
    </w:p>
    <w:p w14:paraId="3DEBFF5F" w14:textId="77777777" w:rsidR="002A21AE" w:rsidRDefault="002A21AE">
      <w:pPr>
        <w:pStyle w:val="ListBullet"/>
      </w:pPr>
      <w:r>
        <w:t>Leuko</w:t>
      </w:r>
      <w:r w:rsidR="00363C2C">
        <w:t>-</w:t>
      </w:r>
      <w:r>
        <w:t>reduce cellular products</w:t>
      </w:r>
      <w:r w:rsidR="00363C2C">
        <w:t>*</w:t>
      </w:r>
    </w:p>
    <w:p w14:paraId="21B0BE00" w14:textId="77777777" w:rsidR="002A21AE" w:rsidRDefault="002A21AE">
      <w:pPr>
        <w:pStyle w:val="ListBullet"/>
      </w:pPr>
      <w:r>
        <w:t>Washed RBC products</w:t>
      </w:r>
    </w:p>
    <w:p w14:paraId="1475BB5A" w14:textId="77777777" w:rsidR="002A21AE" w:rsidRDefault="002A21AE">
      <w:pPr>
        <w:pStyle w:val="ListBullet"/>
      </w:pPr>
      <w:r>
        <w:lastRenderedPageBreak/>
        <w:t>Washed PLT products</w:t>
      </w:r>
    </w:p>
    <w:p w14:paraId="03A12BC3" w14:textId="77777777" w:rsidR="002A21AE" w:rsidRDefault="002A21AE">
      <w:pPr>
        <w:pStyle w:val="ListBullet"/>
      </w:pPr>
      <w:r>
        <w:t>Sickle Cell Negative RBC products</w:t>
      </w:r>
    </w:p>
    <w:p w14:paraId="591896EE" w14:textId="77777777" w:rsidR="002A21AE" w:rsidRDefault="002A21AE">
      <w:pPr>
        <w:pStyle w:val="ListBullet"/>
      </w:pPr>
      <w:r>
        <w:t>CMV negative cellular products</w:t>
      </w:r>
      <w:r w:rsidR="00550AB5">
        <w:t>*</w:t>
      </w:r>
    </w:p>
    <w:p w14:paraId="1F63000E" w14:textId="77777777" w:rsidR="002A21AE" w:rsidRDefault="00550AB5">
      <w:pPr>
        <w:pStyle w:val="BodyText"/>
      </w:pPr>
      <w:r>
        <w:t>*All product types in OTHER are evaluated for the requirement including those that are non-cellular.</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6B6E0905" w14:textId="77777777">
        <w:trPr>
          <w:cantSplit/>
          <w:tblHeader/>
        </w:trPr>
        <w:tc>
          <w:tcPr>
            <w:tcW w:w="3240" w:type="dxa"/>
            <w:shd w:val="pct30" w:color="auto" w:fill="FFFFFF"/>
            <w:vAlign w:val="bottom"/>
          </w:tcPr>
          <w:p w14:paraId="3405D986" w14:textId="77777777" w:rsidR="002A21AE" w:rsidRDefault="002A21AE">
            <w:pPr>
              <w:pStyle w:val="TableText"/>
              <w:rPr>
                <w:b/>
              </w:rPr>
            </w:pPr>
            <w:r>
              <w:rPr>
                <w:b/>
              </w:rPr>
              <w:t>User Action</w:t>
            </w:r>
          </w:p>
        </w:tc>
        <w:tc>
          <w:tcPr>
            <w:tcW w:w="6120" w:type="dxa"/>
            <w:shd w:val="pct30" w:color="auto" w:fill="FFFFFF"/>
            <w:vAlign w:val="bottom"/>
          </w:tcPr>
          <w:p w14:paraId="5F76CB9C" w14:textId="77777777" w:rsidR="002A21AE" w:rsidRDefault="002A21AE">
            <w:pPr>
              <w:pStyle w:val="TableText"/>
              <w:rPr>
                <w:b/>
              </w:rPr>
            </w:pPr>
            <w:r>
              <w:rPr>
                <w:b/>
              </w:rPr>
              <w:t>VBECS</w:t>
            </w:r>
          </w:p>
        </w:tc>
      </w:tr>
      <w:tr w:rsidR="002A21AE" w14:paraId="2BBBB862" w14:textId="77777777">
        <w:tc>
          <w:tcPr>
            <w:tcW w:w="3240" w:type="dxa"/>
          </w:tcPr>
          <w:p w14:paraId="775CED7D" w14:textId="77777777" w:rsidR="002A21AE" w:rsidRDefault="002A21AE">
            <w:pPr>
              <w:pStyle w:val="TableTextNumbers"/>
            </w:pPr>
            <w:r>
              <w:t xml:space="preserve">Select </w:t>
            </w:r>
            <w:r>
              <w:rPr>
                <w:b/>
              </w:rPr>
              <w:t>Patients</w:t>
            </w:r>
            <w:r>
              <w:t xml:space="preserve"> from the main menu.</w:t>
            </w:r>
          </w:p>
          <w:p w14:paraId="430FCB2C" w14:textId="77777777" w:rsidR="002A21AE" w:rsidRDefault="002A21AE">
            <w:pPr>
              <w:pStyle w:val="TableTextNumbersContinued"/>
            </w:pPr>
          </w:p>
          <w:p w14:paraId="4FF22D14" w14:textId="77777777" w:rsidR="002A21AE" w:rsidRDefault="002A21AE" w:rsidP="0044084A">
            <w:pPr>
              <w:pStyle w:val="TableTextNumbersContinued"/>
            </w:pPr>
            <w:r>
              <w:t xml:space="preserve">Select </w:t>
            </w:r>
            <w:r>
              <w:rPr>
                <w:b/>
              </w:rPr>
              <w:t>Special Instructions &amp; Transfusion Requirements</w:t>
            </w:r>
            <w:r>
              <w:t>,</w:t>
            </w:r>
            <w:r w:rsidR="0044084A">
              <w:t xml:space="preserve"> or</w:t>
            </w:r>
          </w:p>
          <w:p w14:paraId="18B826CB" w14:textId="77777777" w:rsidR="0044084A" w:rsidRDefault="0044084A" w:rsidP="0044084A">
            <w:pPr>
              <w:pStyle w:val="TableTextNumbersContinued"/>
            </w:pPr>
          </w:p>
          <w:p w14:paraId="6BB4FB02" w14:textId="77777777" w:rsidR="0044084A" w:rsidRPr="0044084A" w:rsidRDefault="00B3702D" w:rsidP="00B3702D">
            <w:pPr>
              <w:pStyle w:val="TableTextNumbersContinued"/>
            </w:pPr>
            <w:r>
              <w:t xml:space="preserve">Click </w:t>
            </w:r>
            <w:r w:rsidR="00057948">
              <w:rPr>
                <w:noProof/>
              </w:rPr>
              <w:drawing>
                <wp:inline distT="0" distB="0" distL="0" distR="0" wp14:anchorId="020C6A1A" wp14:editId="21EB22DB">
                  <wp:extent cx="156845" cy="156845"/>
                  <wp:effectExtent l="0" t="0" r="0" b="0"/>
                  <wp:docPr id="252" name="Picture 252" descr="View Special Instructions and Transfusion Requirements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Picture 252" descr="View Special Instructions and Transfusion Requirements icon"/>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t xml:space="preserve"> in the Patient Information Toolbar, when it is active.</w:t>
            </w:r>
          </w:p>
        </w:tc>
        <w:tc>
          <w:tcPr>
            <w:tcW w:w="6120" w:type="dxa"/>
          </w:tcPr>
          <w:p w14:paraId="190E5D96" w14:textId="77777777" w:rsidR="002A21AE" w:rsidRDefault="002A21AE">
            <w:pPr>
              <w:pStyle w:val="TableTextBullet"/>
            </w:pPr>
            <w:r>
              <w:t>Displays options for processing patient-related functions.</w:t>
            </w:r>
          </w:p>
          <w:p w14:paraId="5728FFA9" w14:textId="77777777" w:rsidR="002A21AE" w:rsidRDefault="002A21AE">
            <w:pPr>
              <w:pStyle w:val="TableTextBullet"/>
            </w:pPr>
            <w:r>
              <w:t xml:space="preserve">Displays the option to select a patient, if one is not already selected. </w:t>
            </w:r>
          </w:p>
          <w:p w14:paraId="5AE4CAC3" w14:textId="77777777" w:rsidR="002A21AE" w:rsidRDefault="002A21AE">
            <w:pPr>
              <w:pStyle w:val="TableText"/>
              <w:rPr>
                <w:b/>
                <w:bCs/>
                <w:szCs w:val="18"/>
              </w:rPr>
            </w:pPr>
          </w:p>
          <w:p w14:paraId="164388EA" w14:textId="7963402F" w:rsidR="002A21AE" w:rsidRDefault="002A21AE">
            <w:pPr>
              <w:pStyle w:val="TableText"/>
              <w:rPr>
                <w:b/>
                <w:bCs/>
                <w:szCs w:val="18"/>
              </w:rPr>
            </w:pPr>
            <w:r>
              <w:rPr>
                <w:b/>
                <w:bCs/>
                <w:szCs w:val="18"/>
              </w:rPr>
              <w:t>NOTES</w:t>
            </w:r>
          </w:p>
          <w:p w14:paraId="37E825F7" w14:textId="77777777" w:rsidR="002A21AE" w:rsidRDefault="002A21AE">
            <w:pPr>
              <w:pStyle w:val="NotesText"/>
            </w:pPr>
          </w:p>
          <w:p w14:paraId="60054DF8" w14:textId="77777777" w:rsidR="002A21AE" w:rsidRDefault="002A21AE">
            <w:pPr>
              <w:pStyle w:val="NotesText"/>
            </w:pPr>
            <w:r>
              <w:t xml:space="preserve">The user may also click </w:t>
            </w:r>
            <w:r>
              <w:rPr>
                <w:b/>
              </w:rPr>
              <w:t>New SI or TR</w:t>
            </w:r>
            <w:r>
              <w:t xml:space="preserve"> in Patient Testing to access this option.</w:t>
            </w:r>
          </w:p>
          <w:p w14:paraId="468D09BF" w14:textId="77777777" w:rsidR="0044084A" w:rsidRDefault="0044084A" w:rsidP="00266B50">
            <w:pPr>
              <w:pStyle w:val="NotesText"/>
            </w:pPr>
            <w:r>
              <w:t xml:space="preserve"> </w:t>
            </w:r>
          </w:p>
        </w:tc>
      </w:tr>
      <w:tr w:rsidR="002A21AE" w14:paraId="1F2A8AF8" w14:textId="77777777">
        <w:tc>
          <w:tcPr>
            <w:tcW w:w="3240" w:type="dxa"/>
          </w:tcPr>
          <w:p w14:paraId="5B9D52D4" w14:textId="1D40E2DC" w:rsidR="002A21AE" w:rsidRDefault="002A21AE">
            <w:pPr>
              <w:pStyle w:val="TableTextNumbers"/>
            </w:pPr>
            <w:r>
              <w:t xml:space="preserve">Select the </w:t>
            </w:r>
            <w:r>
              <w:rPr>
                <w:b/>
              </w:rPr>
              <w:t>Antigen Negative RBCs</w:t>
            </w:r>
            <w:r>
              <w:t>,</w:t>
            </w:r>
            <w:r>
              <w:rPr>
                <w:b/>
              </w:rPr>
              <w:t xml:space="preserve"> Component Requirements</w:t>
            </w:r>
            <w:r>
              <w:t>,</w:t>
            </w:r>
            <w:r>
              <w:rPr>
                <w:b/>
              </w:rPr>
              <w:t xml:space="preserve"> </w:t>
            </w:r>
            <w:r>
              <w:t xml:space="preserve">or </w:t>
            </w:r>
            <w:r>
              <w:rPr>
                <w:b/>
              </w:rPr>
              <w:t xml:space="preserve">Antibodies Identified </w:t>
            </w:r>
            <w:r w:rsidRPr="00CC3C89">
              <w:t>tab</w:t>
            </w:r>
            <w:r w:rsidR="00994FF2" w:rsidRPr="00CC3C89">
              <w:t xml:space="preserve"> </w:t>
            </w:r>
            <w:r w:rsidR="00994FF2" w:rsidRPr="00994FF2">
              <w:t>(</w:t>
            </w:r>
            <w:r w:rsidR="00EE455E">
              <w:t xml:space="preserve">Figure </w:t>
            </w:r>
            <w:r w:rsidR="00EE455E">
              <w:rPr>
                <w:noProof/>
              </w:rPr>
              <w:t>109</w:t>
            </w:r>
            <w:r w:rsidR="00994FF2" w:rsidRPr="00994FF2">
              <w:t>)</w:t>
            </w:r>
            <w:r>
              <w:t>.</w:t>
            </w:r>
          </w:p>
          <w:p w14:paraId="3D7F76F1" w14:textId="77777777" w:rsidR="002A21AE" w:rsidRDefault="002A21AE">
            <w:pPr>
              <w:pStyle w:val="TableTextNumbersContinued"/>
              <w:rPr>
                <w:b/>
                <w:bCs/>
              </w:rPr>
            </w:pPr>
          </w:p>
          <w:p w14:paraId="5E02D2EA" w14:textId="77777777" w:rsidR="002A21AE" w:rsidRDefault="002A21AE">
            <w:pPr>
              <w:pStyle w:val="TableText"/>
            </w:pPr>
          </w:p>
        </w:tc>
        <w:tc>
          <w:tcPr>
            <w:tcW w:w="6120" w:type="dxa"/>
          </w:tcPr>
          <w:p w14:paraId="2D625345" w14:textId="77777777" w:rsidR="002A21AE" w:rsidRDefault="002A21AE">
            <w:pPr>
              <w:pStyle w:val="TableTextBullet"/>
            </w:pPr>
            <w:r>
              <w:t>Displays the patient’s TRs.</w:t>
            </w:r>
          </w:p>
          <w:p w14:paraId="30214600" w14:textId="77777777" w:rsidR="002A21AE" w:rsidRDefault="002A21AE">
            <w:pPr>
              <w:pStyle w:val="TableTextBullet"/>
            </w:pPr>
            <w:r>
              <w:t>Allows the user to add or inactivate information based on his security level.</w:t>
            </w:r>
          </w:p>
          <w:p w14:paraId="07872FDE" w14:textId="77777777" w:rsidR="002A21AE" w:rsidRDefault="002A21AE">
            <w:pPr>
              <w:pStyle w:val="TableText"/>
            </w:pPr>
          </w:p>
          <w:p w14:paraId="6843FE29" w14:textId="6FA24C19" w:rsidR="002A21AE" w:rsidRDefault="002A21AE">
            <w:pPr>
              <w:pStyle w:val="TableText"/>
              <w:rPr>
                <w:b/>
                <w:bCs/>
                <w:szCs w:val="18"/>
              </w:rPr>
            </w:pPr>
            <w:r>
              <w:rPr>
                <w:b/>
                <w:bCs/>
                <w:szCs w:val="18"/>
              </w:rPr>
              <w:t>NOTES</w:t>
            </w:r>
          </w:p>
          <w:p w14:paraId="137A52AC" w14:textId="77777777" w:rsidR="002A21AE" w:rsidRDefault="002A21AE">
            <w:pPr>
              <w:pStyle w:val="NotesText"/>
            </w:pPr>
          </w:p>
          <w:p w14:paraId="56C259EA" w14:textId="77777777" w:rsidR="001E4DCC" w:rsidRDefault="002A21AE" w:rsidP="00DB7814">
            <w:pPr>
              <w:pStyle w:val="NotesText"/>
            </w:pPr>
            <w:r>
              <w:rPr>
                <w:rFonts w:cs="Arial"/>
                <w:vanish/>
              </w:rPr>
              <w:t xml:space="preserve">BR_38.10 </w:t>
            </w:r>
            <w:r>
              <w:t xml:space="preserve">When a user accesses antigen negative requirements, </w:t>
            </w:r>
            <w:r w:rsidR="00C93B6B">
              <w:t xml:space="preserve">VBECS </w:t>
            </w:r>
            <w:r w:rsidR="005B2FFA">
              <w:t xml:space="preserve">displays and enforces the antigen negative requirement </w:t>
            </w:r>
            <w:r w:rsidR="00C93B6B">
              <w:t>for the patient, regardless of the division setting for the antibody.</w:t>
            </w:r>
          </w:p>
          <w:p w14:paraId="79004025" w14:textId="77777777" w:rsidR="001E4DCC" w:rsidRDefault="001E4DCC" w:rsidP="00DB7814">
            <w:pPr>
              <w:pStyle w:val="NotesText"/>
            </w:pPr>
          </w:p>
          <w:p w14:paraId="19A9B8FD" w14:textId="77777777" w:rsidR="002A21AE" w:rsidRDefault="00C93B6B" w:rsidP="00DB7814">
            <w:pPr>
              <w:pStyle w:val="NotesText"/>
            </w:pPr>
            <w:r>
              <w:t xml:space="preserve">When a user accesses </w:t>
            </w:r>
            <w:r w:rsidR="00AB225C">
              <w:t xml:space="preserve">the </w:t>
            </w:r>
            <w:r>
              <w:t>Antibodies Identified</w:t>
            </w:r>
            <w:r w:rsidR="00AB225C">
              <w:t xml:space="preserve"> tab</w:t>
            </w:r>
            <w:r>
              <w:t xml:space="preserve">, </w:t>
            </w:r>
            <w:r w:rsidR="00AB225C">
              <w:t>VBECS compares the patient’s a</w:t>
            </w:r>
            <w:r w:rsidR="002A21AE">
              <w:t xml:space="preserve">ntibodies with the division’s antibody table setting. When the antibody is set to require antigen negative blood at issue, VBECS displays and enforces the antigen negative requirement. </w:t>
            </w:r>
          </w:p>
        </w:tc>
      </w:tr>
      <w:tr w:rsidR="002A21AE" w14:paraId="39FAD855" w14:textId="77777777">
        <w:tc>
          <w:tcPr>
            <w:tcW w:w="3240" w:type="dxa"/>
          </w:tcPr>
          <w:p w14:paraId="3E220364" w14:textId="77777777" w:rsidR="002A21AE" w:rsidRDefault="002A21AE">
            <w:pPr>
              <w:pStyle w:val="TableTextNumbers"/>
            </w:pPr>
            <w:r>
              <w:t>Select a TR from the pick list, or enter an antigen or antibody, as the tab allows.</w:t>
            </w:r>
          </w:p>
          <w:p w14:paraId="39E8EF1E" w14:textId="77777777" w:rsidR="002A21AE" w:rsidRDefault="002A21AE">
            <w:pPr>
              <w:pStyle w:val="TableTextNumbersContinued"/>
            </w:pPr>
          </w:p>
          <w:p w14:paraId="382A18EE" w14:textId="77777777" w:rsidR="002A21AE" w:rsidRDefault="002A21AE">
            <w:pPr>
              <w:pStyle w:val="TableTextNumbersContinued"/>
            </w:pPr>
            <w:r>
              <w:t xml:space="preserve">Click </w:t>
            </w:r>
            <w:r>
              <w:rPr>
                <w:b/>
              </w:rPr>
              <w:t>Add</w:t>
            </w:r>
            <w:r>
              <w:t xml:space="preserve"> to move the selection to the patient’s record.</w:t>
            </w:r>
          </w:p>
          <w:p w14:paraId="420B43CB" w14:textId="77777777" w:rsidR="002A21AE" w:rsidRDefault="002A21AE">
            <w:pPr>
              <w:pStyle w:val="TableTextNumbersContinued"/>
            </w:pPr>
          </w:p>
          <w:p w14:paraId="45349AB6" w14:textId="77777777" w:rsidR="002A21AE" w:rsidRDefault="002A21AE">
            <w:pPr>
              <w:pStyle w:val="TableTextNumbersContinued"/>
            </w:pPr>
            <w:r>
              <w:t xml:space="preserve">Click </w:t>
            </w:r>
            <w:r>
              <w:rPr>
                <w:b/>
              </w:rPr>
              <w:t>OK</w:t>
            </w:r>
            <w:r>
              <w:t xml:space="preserve"> when all TRs are selected to save them to the patient’s record.</w:t>
            </w:r>
          </w:p>
          <w:p w14:paraId="0E201B67" w14:textId="77777777" w:rsidR="002A21AE" w:rsidRDefault="002A21AE">
            <w:pPr>
              <w:pStyle w:val="TableTextNumbersContinued"/>
            </w:pPr>
          </w:p>
          <w:p w14:paraId="00C7E563" w14:textId="77777777" w:rsidR="002A21AE" w:rsidRDefault="002A21AE">
            <w:pPr>
              <w:pStyle w:val="TableTextNumbersContinued"/>
            </w:pPr>
            <w:r>
              <w:t xml:space="preserve">Click </w:t>
            </w:r>
            <w:r>
              <w:rPr>
                <w:b/>
              </w:rPr>
              <w:t>Yes</w:t>
            </w:r>
            <w:r>
              <w:t xml:space="preserve"> to confirm changes and exit.</w:t>
            </w:r>
          </w:p>
        </w:tc>
        <w:tc>
          <w:tcPr>
            <w:tcW w:w="6120" w:type="dxa"/>
          </w:tcPr>
          <w:p w14:paraId="0FB7A577" w14:textId="77777777" w:rsidR="002A21AE" w:rsidRDefault="002A21AE">
            <w:pPr>
              <w:pStyle w:val="TableTextBullet"/>
            </w:pPr>
            <w:r>
              <w:rPr>
                <w:rFonts w:cs="Arial"/>
                <w:vanish/>
              </w:rPr>
              <w:t xml:space="preserve">BR_38.06 </w:t>
            </w:r>
            <w:r>
              <w:t xml:space="preserve">Allows multiple selections from the Component Requirements, Antibodies Identified, and Antigen Negative tabs. </w:t>
            </w:r>
          </w:p>
          <w:p w14:paraId="135376F0" w14:textId="77777777" w:rsidR="002A21AE" w:rsidRDefault="002A21AE">
            <w:pPr>
              <w:pStyle w:val="TableText"/>
            </w:pPr>
          </w:p>
          <w:p w14:paraId="040696B7" w14:textId="404E5331" w:rsidR="002A21AE" w:rsidRDefault="002A21AE">
            <w:pPr>
              <w:pStyle w:val="TableText"/>
              <w:rPr>
                <w:b/>
                <w:bCs/>
                <w:szCs w:val="18"/>
              </w:rPr>
            </w:pPr>
            <w:r>
              <w:rPr>
                <w:b/>
                <w:bCs/>
                <w:szCs w:val="18"/>
              </w:rPr>
              <w:t>NOTES</w:t>
            </w:r>
          </w:p>
          <w:p w14:paraId="0BD0AB2F" w14:textId="77777777" w:rsidR="002A21AE" w:rsidRDefault="002A21AE">
            <w:pPr>
              <w:pStyle w:val="TableText"/>
            </w:pPr>
          </w:p>
          <w:p w14:paraId="5F43EAD9" w14:textId="77777777" w:rsidR="002A21AE" w:rsidRDefault="002A21AE">
            <w:pPr>
              <w:pStyle w:val="NotesText"/>
            </w:pPr>
            <w:r>
              <w:t>VBECS applies the TR to component classes, as indicated.</w:t>
            </w:r>
          </w:p>
          <w:p w14:paraId="4B9574F0" w14:textId="77777777" w:rsidR="002A21AE" w:rsidRDefault="002A21AE">
            <w:pPr>
              <w:pStyle w:val="NotesText"/>
            </w:pPr>
          </w:p>
          <w:p w14:paraId="3FB40523" w14:textId="77777777" w:rsidR="002A21AE" w:rsidRDefault="002A21AE">
            <w:pPr>
              <w:pStyle w:val="NotesText"/>
            </w:pPr>
            <w:r>
              <w:rPr>
                <w:rFonts w:cs="Arial"/>
                <w:vanish/>
              </w:rPr>
              <w:t xml:space="preserve">BR_38.16 </w:t>
            </w:r>
            <w:r>
              <w:t xml:space="preserve">The user may not add duplicate SIs or TRs in the same session, but may duplicate them in another session. </w:t>
            </w:r>
          </w:p>
          <w:p w14:paraId="7835E368" w14:textId="77777777" w:rsidR="002A21AE" w:rsidRDefault="002A21AE">
            <w:pPr>
              <w:pStyle w:val="NotesText"/>
            </w:pPr>
          </w:p>
          <w:p w14:paraId="466208DD" w14:textId="3D5D87D9" w:rsidR="002A21AE" w:rsidRDefault="002A21AE">
            <w:pPr>
              <w:pStyle w:val="NotesText"/>
            </w:pPr>
            <w:r>
              <w:rPr>
                <w:rFonts w:cs="Arial"/>
                <w:vanish/>
              </w:rPr>
              <w:t xml:space="preserve">BR_38.07 </w:t>
            </w:r>
            <w:r>
              <w:t xml:space="preserve">The division code and date of entry are associated with the entered component or antigen negative requirement, or antibody specificity so that other divisions will know who to contact for further information, when needed. The original entries may have been made through Patient Testing (associated with an antibody identification) or TRs from any division within a multidivisional database. </w:t>
            </w:r>
          </w:p>
        </w:tc>
      </w:tr>
      <w:tr w:rsidR="002A21AE" w14:paraId="66E4751B" w14:textId="77777777" w:rsidTr="006C058D">
        <w:trPr>
          <w:cantSplit/>
        </w:trPr>
        <w:tc>
          <w:tcPr>
            <w:tcW w:w="3240" w:type="dxa"/>
          </w:tcPr>
          <w:p w14:paraId="674A0ABF" w14:textId="2802FBDA" w:rsidR="002A21AE" w:rsidRDefault="002A21AE">
            <w:pPr>
              <w:pStyle w:val="TableTextNumbers"/>
            </w:pPr>
            <w:r>
              <w:lastRenderedPageBreak/>
              <w:t>Select the TR to be inactivated</w:t>
            </w:r>
            <w:r w:rsidR="005346F4">
              <w:t xml:space="preserve"> (</w:t>
            </w:r>
            <w:r w:rsidR="00EE455E">
              <w:t xml:space="preserve">Figure </w:t>
            </w:r>
            <w:r w:rsidR="00EE455E">
              <w:rPr>
                <w:noProof/>
              </w:rPr>
              <w:t>110</w:t>
            </w:r>
            <w:r w:rsidR="005346F4">
              <w:t>)</w:t>
            </w:r>
            <w:r>
              <w:t>.</w:t>
            </w:r>
          </w:p>
          <w:p w14:paraId="1E8B215F" w14:textId="77777777" w:rsidR="002A21AE" w:rsidRDefault="002A21AE">
            <w:pPr>
              <w:pStyle w:val="TableTextNumbersContinued"/>
            </w:pPr>
          </w:p>
          <w:p w14:paraId="5A8C0723" w14:textId="77777777" w:rsidR="002A21AE" w:rsidRDefault="002A21AE">
            <w:pPr>
              <w:pStyle w:val="TableTextNumbersContinued"/>
            </w:pPr>
            <w:r>
              <w:t xml:space="preserve">Select and/or enter an explanatory comment and click </w:t>
            </w:r>
            <w:r>
              <w:rPr>
                <w:b/>
              </w:rPr>
              <w:t>OK</w:t>
            </w:r>
            <w:r>
              <w:t xml:space="preserve">. </w:t>
            </w:r>
          </w:p>
        </w:tc>
        <w:tc>
          <w:tcPr>
            <w:tcW w:w="6120" w:type="dxa"/>
          </w:tcPr>
          <w:p w14:paraId="48FAAA72" w14:textId="77777777" w:rsidR="002A21AE" w:rsidRDefault="002A21AE">
            <w:pPr>
              <w:pStyle w:val="TableTextBullet"/>
            </w:pPr>
            <w:r>
              <w:t>Allows the user to enter a comment.</w:t>
            </w:r>
          </w:p>
          <w:p w14:paraId="5369C45C" w14:textId="77777777" w:rsidR="002A21AE" w:rsidRDefault="002A21AE">
            <w:pPr>
              <w:pStyle w:val="TableText"/>
            </w:pPr>
          </w:p>
          <w:p w14:paraId="1B9EDB4F" w14:textId="17DA5F3C" w:rsidR="002A21AE" w:rsidRDefault="002A21AE">
            <w:pPr>
              <w:pStyle w:val="TableText"/>
              <w:rPr>
                <w:b/>
                <w:bCs/>
                <w:szCs w:val="18"/>
              </w:rPr>
            </w:pPr>
            <w:r>
              <w:rPr>
                <w:b/>
                <w:bCs/>
                <w:szCs w:val="18"/>
              </w:rPr>
              <w:t>NOTES</w:t>
            </w:r>
          </w:p>
          <w:p w14:paraId="38503007" w14:textId="77777777" w:rsidR="002A21AE" w:rsidRPr="00B31C95" w:rsidRDefault="002A21AE">
            <w:pPr>
              <w:pStyle w:val="NotesText"/>
              <w:rPr>
                <w:rFonts w:cs="Arial"/>
                <w:szCs w:val="18"/>
              </w:rPr>
            </w:pPr>
          </w:p>
          <w:p w14:paraId="774F5D92" w14:textId="77777777" w:rsidR="002D516C" w:rsidRPr="00B31C95" w:rsidRDefault="002A21AE" w:rsidP="002D516C">
            <w:pPr>
              <w:pStyle w:val="TableText"/>
              <w:ind w:left="720"/>
              <w:rPr>
                <w:rFonts w:cs="Arial"/>
                <w:szCs w:val="18"/>
              </w:rPr>
            </w:pPr>
            <w:r w:rsidRPr="00B31C95">
              <w:rPr>
                <w:rFonts w:cs="Arial"/>
                <w:vanish/>
                <w:szCs w:val="18"/>
              </w:rPr>
              <w:t xml:space="preserve">BR_38.13 </w:t>
            </w:r>
            <w:r w:rsidR="002D516C" w:rsidRPr="00B31C95">
              <w:rPr>
                <w:rFonts w:cs="Arial"/>
                <w:szCs w:val="18"/>
              </w:rPr>
              <w:t xml:space="preserve">When a Transfusion Requirement is inactivated in any division in a multidivisional configuration, a comment (free text or from a canned comment with the context: </w:t>
            </w:r>
            <w:r w:rsidR="00B31C95" w:rsidRPr="00B31C95">
              <w:rPr>
                <w:rStyle w:val="StyleTableText9ptCharChar"/>
                <w:rFonts w:cs="Arial"/>
                <w:szCs w:val="18"/>
              </w:rPr>
              <w:t>Transfusion Requirement Inactivation)</w:t>
            </w:r>
            <w:r w:rsidR="00B31C95" w:rsidRPr="00B31C95">
              <w:rPr>
                <w:rFonts w:cs="Arial"/>
                <w:szCs w:val="18"/>
              </w:rPr>
              <w:t xml:space="preserve"> must be added that will be saved and printed on the audit trail of originating division alerting the originating division of the change to the patient’s TR setting if they were not consulted regarding that change. </w:t>
            </w:r>
            <w:r w:rsidR="00B31C95" w:rsidRPr="00B31C95">
              <w:rPr>
                <w:rFonts w:cs="Arial"/>
                <w:vanish/>
                <w:szCs w:val="18"/>
              </w:rPr>
              <w:t>DR 4598</w:t>
            </w:r>
          </w:p>
          <w:p w14:paraId="3AC5B2DC" w14:textId="77777777" w:rsidR="002D516C" w:rsidRPr="00B31C95" w:rsidRDefault="002D516C" w:rsidP="002D516C">
            <w:pPr>
              <w:pStyle w:val="TableText"/>
              <w:rPr>
                <w:rFonts w:cs="Arial"/>
                <w:szCs w:val="18"/>
              </w:rPr>
            </w:pPr>
          </w:p>
          <w:p w14:paraId="4D6B6F79" w14:textId="77777777" w:rsidR="002A21AE" w:rsidRPr="00B31C95" w:rsidRDefault="002D516C" w:rsidP="002D516C">
            <w:pPr>
              <w:pStyle w:val="NotesText"/>
              <w:rPr>
                <w:rFonts w:cs="Arial"/>
                <w:szCs w:val="18"/>
              </w:rPr>
            </w:pPr>
            <w:r w:rsidRPr="00B31C95">
              <w:rPr>
                <w:rFonts w:cs="Arial"/>
                <w:szCs w:val="18"/>
              </w:rPr>
              <w:t xml:space="preserve">Note:  It is best practice that inactivating a TR in the non-originating division involves a consultation with the originating division and allowing the originating to make the change with any </w:t>
            </w:r>
            <w:r w:rsidR="00B31C95" w:rsidRPr="00B31C95">
              <w:rPr>
                <w:rFonts w:cs="Arial"/>
                <w:szCs w:val="18"/>
              </w:rPr>
              <w:t>locally required documentation.</w:t>
            </w:r>
          </w:p>
          <w:p w14:paraId="2DA04EB9" w14:textId="77777777" w:rsidR="00DB7814" w:rsidRPr="00B31C95" w:rsidRDefault="00DB7814">
            <w:pPr>
              <w:pStyle w:val="NotesText"/>
              <w:rPr>
                <w:rFonts w:cs="Arial"/>
                <w:szCs w:val="18"/>
              </w:rPr>
            </w:pPr>
          </w:p>
          <w:p w14:paraId="79F8D9E8" w14:textId="77777777" w:rsidR="00DB7814" w:rsidRPr="00B31C95" w:rsidRDefault="00DB7814" w:rsidP="00DB7814">
            <w:pPr>
              <w:pStyle w:val="NotesText"/>
              <w:rPr>
                <w:rFonts w:cs="Arial"/>
                <w:szCs w:val="18"/>
              </w:rPr>
            </w:pPr>
            <w:r w:rsidRPr="00B31C95">
              <w:rPr>
                <w:rFonts w:cs="Arial"/>
                <w:szCs w:val="18"/>
              </w:rPr>
              <w:t>For inactivation of an item:</w:t>
            </w:r>
          </w:p>
          <w:p w14:paraId="5ACC9D27" w14:textId="77777777" w:rsidR="00DB7814" w:rsidRPr="00B31C95" w:rsidRDefault="00DB7814" w:rsidP="00DB7814">
            <w:pPr>
              <w:pStyle w:val="NotesTextBullet"/>
              <w:rPr>
                <w:rFonts w:cs="Arial"/>
                <w:szCs w:val="18"/>
              </w:rPr>
            </w:pPr>
            <w:r w:rsidRPr="00B31C95">
              <w:rPr>
                <w:rFonts w:cs="Arial"/>
                <w:vanish/>
                <w:szCs w:val="18"/>
              </w:rPr>
              <w:t xml:space="preserve">BR_38.09, BR_38.12, BR_38.14 </w:t>
            </w:r>
            <w:r w:rsidR="00B578C9" w:rsidRPr="00AE271A">
              <w:rPr>
                <w:rFonts w:ascii="Wingdings 3" w:hAnsi="Wingdings 3"/>
              </w:rPr>
              <w:t></w:t>
            </w:r>
            <w:r w:rsidR="00B578C9" w:rsidRPr="00AE271A">
              <w:rPr>
                <w:rFonts w:ascii="Wingdings 3" w:hAnsi="Wingdings 3"/>
              </w:rPr>
              <w:t></w:t>
            </w:r>
            <w:r w:rsidR="00B578C9" w:rsidRPr="00AE271A">
              <w:rPr>
                <w:rFonts w:ascii="Wingdings 3" w:hAnsi="Wingdings 3"/>
              </w:rPr>
              <w:t></w:t>
            </w:r>
            <w:r w:rsidR="00B578C9" w:rsidRPr="00AE271A">
              <w:rPr>
                <w:rFonts w:ascii="Wingdings 3" w:hAnsi="Wingdings 3"/>
              </w:rPr>
              <w:t></w:t>
            </w:r>
            <w:r w:rsidR="00B578C9">
              <w:t xml:space="preserve"> </w:t>
            </w:r>
            <w:r w:rsidRPr="00B31C95">
              <w:rPr>
                <w:rFonts w:cs="Arial"/>
                <w:szCs w:val="18"/>
              </w:rPr>
              <w:t xml:space="preserve">A Traditional Supervisor from any division may inactivate TRs and persistent antigen negative requirements in a multidivisional database regardless of the source of the TR. </w:t>
            </w:r>
          </w:p>
          <w:p w14:paraId="76B5D561" w14:textId="77777777" w:rsidR="00994FF2" w:rsidRPr="00B31C95" w:rsidRDefault="00DB7814" w:rsidP="00994FF2">
            <w:pPr>
              <w:pStyle w:val="NotesTextBullet"/>
              <w:rPr>
                <w:rFonts w:cs="Arial"/>
                <w:szCs w:val="18"/>
              </w:rPr>
            </w:pPr>
            <w:r w:rsidRPr="00B31C95">
              <w:rPr>
                <w:rFonts w:cs="Arial"/>
                <w:vanish/>
                <w:szCs w:val="18"/>
              </w:rPr>
              <w:t xml:space="preserve">BR_38.15 </w:t>
            </w:r>
            <w:r w:rsidRPr="00B31C95">
              <w:rPr>
                <w:rFonts w:cs="Arial"/>
                <w:szCs w:val="18"/>
              </w:rPr>
              <w:t>When an antibody specificity is inactivated, VBECS inactivates the corresponding calculated (VBECS-generated) antigen negative requirement.</w:t>
            </w:r>
          </w:p>
          <w:p w14:paraId="38C7DFE0" w14:textId="77777777" w:rsidR="00DB7814" w:rsidRDefault="00DB7814" w:rsidP="00994FF2">
            <w:pPr>
              <w:pStyle w:val="NotesTextBullet"/>
            </w:pPr>
            <w:r w:rsidRPr="00B31C95">
              <w:rPr>
                <w:rFonts w:cs="Arial"/>
                <w:vanish/>
                <w:szCs w:val="18"/>
              </w:rPr>
              <w:t xml:space="preserve">BR_38.11, BR_38.03 </w:t>
            </w:r>
            <w:r w:rsidRPr="00B31C95">
              <w:rPr>
                <w:rFonts w:cs="Arial"/>
                <w:szCs w:val="18"/>
              </w:rPr>
              <w:t>For antibodies identified, VBECS displays a summary of antibodies currently associated with the patient and identifies their source. Additional antibodies may be added and previously identified antibodies may be inactivated.</w:t>
            </w:r>
          </w:p>
        </w:tc>
      </w:tr>
      <w:tr w:rsidR="002A21AE" w14:paraId="69802D54" w14:textId="77777777">
        <w:tc>
          <w:tcPr>
            <w:tcW w:w="3240" w:type="dxa"/>
          </w:tcPr>
          <w:p w14:paraId="656D79C1" w14:textId="77777777" w:rsidR="002A21AE" w:rsidRDefault="002A21AE">
            <w:pPr>
              <w:pStyle w:val="TableTextNumbers"/>
            </w:pPr>
            <w:r>
              <w:t>Return to Step 2 to continue editing the patient’s TRs.</w:t>
            </w:r>
          </w:p>
        </w:tc>
        <w:tc>
          <w:tcPr>
            <w:tcW w:w="6120" w:type="dxa"/>
          </w:tcPr>
          <w:p w14:paraId="33E4BF00" w14:textId="77777777" w:rsidR="002A21AE" w:rsidRDefault="002A21AE">
            <w:pPr>
              <w:pStyle w:val="TableText"/>
            </w:pPr>
          </w:p>
        </w:tc>
      </w:tr>
      <w:tr w:rsidR="002A21AE" w14:paraId="78C0E631" w14:textId="77777777">
        <w:tc>
          <w:tcPr>
            <w:tcW w:w="3240" w:type="dxa"/>
          </w:tcPr>
          <w:p w14:paraId="7557D08B" w14:textId="77777777" w:rsidR="002A21AE" w:rsidRDefault="002A21AE">
            <w:pPr>
              <w:pStyle w:val="TableTextNumbers"/>
            </w:pPr>
            <w:r>
              <w:t xml:space="preserve">Accept entries and exit, or </w:t>
            </w:r>
          </w:p>
          <w:p w14:paraId="44E86D51" w14:textId="77777777" w:rsidR="002A21AE" w:rsidRDefault="002A21AE">
            <w:pPr>
              <w:pStyle w:val="TableTextNumbersContinued"/>
            </w:pPr>
          </w:p>
          <w:p w14:paraId="23B689FB" w14:textId="77777777" w:rsidR="002A21AE" w:rsidRDefault="002A21AE">
            <w:pPr>
              <w:pStyle w:val="TableTextNumbersContinued"/>
            </w:pPr>
            <w:r>
              <w:t xml:space="preserve">Return to Step 1 to make entries for a different patient. </w:t>
            </w:r>
            <w:r>
              <w:rPr>
                <w:rStyle w:val="TableTextNumbersChar"/>
                <w:vanish/>
                <w:color w:val="FFFFFF"/>
                <w:szCs w:val="18"/>
              </w:rPr>
              <w:fldChar w:fldCharType="begin"/>
            </w:r>
            <w:r>
              <w:rPr>
                <w:rStyle w:val="TableTextNumbersChar"/>
                <w:vanish/>
                <w:color w:val="FFFFFF"/>
                <w:szCs w:val="18"/>
              </w:rPr>
              <w:instrText xml:space="preserve"> LISTNUM \l 1 \s 0 </w:instrText>
            </w:r>
            <w:r>
              <w:rPr>
                <w:rStyle w:val="TableTextNumbersChar"/>
                <w:vanish/>
                <w:color w:val="FFFFFF"/>
                <w:szCs w:val="18"/>
              </w:rPr>
              <w:fldChar w:fldCharType="end">
                <w:numberingChange w:id="587" w:author="MUSZYNSKI, THOMAS D. (SIERRA 7 INC)" w:date="2024-11-26T07:15:00Z" w:original="0."/>
              </w:fldChar>
            </w:r>
          </w:p>
        </w:tc>
        <w:tc>
          <w:tcPr>
            <w:tcW w:w="6120" w:type="dxa"/>
          </w:tcPr>
          <w:p w14:paraId="2CD81596" w14:textId="77777777" w:rsidR="002A21AE" w:rsidRDefault="002A21AE">
            <w:pPr>
              <w:pStyle w:val="TableText"/>
            </w:pPr>
          </w:p>
        </w:tc>
      </w:tr>
    </w:tbl>
    <w:p w14:paraId="1B4BE9AD" w14:textId="2A00E3C4" w:rsidR="00994FF2" w:rsidRDefault="00994FF2" w:rsidP="00994FF2">
      <w:pPr>
        <w:pStyle w:val="Caption"/>
      </w:pPr>
      <w:bookmarkStart w:id="588" w:name="_Ref127094922"/>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7D1829">
        <w:rPr>
          <w:noProof/>
        </w:rPr>
        <w:t>110</w:t>
      </w:r>
      <w:r w:rsidR="004E20BD">
        <w:rPr>
          <w:noProof/>
        </w:rPr>
        <w:fldChar w:fldCharType="end"/>
      </w:r>
      <w:bookmarkEnd w:id="588"/>
      <w:r>
        <w:t>: Enter Patient Special Instructions and Transfusion Requirements</w:t>
      </w:r>
    </w:p>
    <w:p w14:paraId="4A505FB3" w14:textId="77777777" w:rsidR="00994FF2" w:rsidRDefault="00057948" w:rsidP="00994FF2">
      <w:pPr>
        <w:pStyle w:val="BodyText"/>
      </w:pPr>
      <w:r>
        <w:rPr>
          <w:noProof/>
        </w:rPr>
        <w:drawing>
          <wp:inline distT="0" distB="0" distL="0" distR="0" wp14:anchorId="3D79FB35" wp14:editId="27DC2993">
            <wp:extent cx="5597525" cy="4313555"/>
            <wp:effectExtent l="0" t="0" r="3175" b="0"/>
            <wp:docPr id="253" name="Picture 253" descr="Example of Enter Patient Special Instructions and Transfusion Requirements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Picture 253" descr="Example of Enter Patient Special Instructions and Transfusion Requirements screen capture"/>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5597525" cy="4313555"/>
                    </a:xfrm>
                    <a:prstGeom prst="rect">
                      <a:avLst/>
                    </a:prstGeom>
                    <a:noFill/>
                    <a:ln>
                      <a:noFill/>
                    </a:ln>
                  </pic:spPr>
                </pic:pic>
              </a:graphicData>
            </a:graphic>
          </wp:inline>
        </w:drawing>
      </w:r>
    </w:p>
    <w:p w14:paraId="0874254E" w14:textId="55897A60" w:rsidR="005346F4" w:rsidRDefault="005346F4" w:rsidP="005346F4">
      <w:pPr>
        <w:pStyle w:val="Caption"/>
      </w:pPr>
      <w:bookmarkStart w:id="589" w:name="_Ref127095162"/>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7D1829">
        <w:rPr>
          <w:noProof/>
        </w:rPr>
        <w:t>111</w:t>
      </w:r>
      <w:r w:rsidR="004E20BD">
        <w:rPr>
          <w:noProof/>
        </w:rPr>
        <w:fldChar w:fldCharType="end"/>
      </w:r>
      <w:bookmarkEnd w:id="589"/>
      <w:r>
        <w:t>: Inactivate Component Requirements</w:t>
      </w:r>
    </w:p>
    <w:p w14:paraId="6AC7DB8E" w14:textId="77777777" w:rsidR="005346F4" w:rsidRDefault="00057948" w:rsidP="00994FF2">
      <w:pPr>
        <w:pStyle w:val="BodyText"/>
      </w:pPr>
      <w:r>
        <w:rPr>
          <w:noProof/>
        </w:rPr>
        <w:drawing>
          <wp:inline distT="0" distB="0" distL="0" distR="0" wp14:anchorId="209B9378" wp14:editId="0A144DA5">
            <wp:extent cx="5717540" cy="5089525"/>
            <wp:effectExtent l="0" t="0" r="0" b="0"/>
            <wp:docPr id="254" name="Picture 254" descr="Example of Inactivate Component Requrements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Picture 254" descr="Example of Inactivate Component Requrements screen capture"/>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5717540" cy="5089525"/>
                    </a:xfrm>
                    <a:prstGeom prst="rect">
                      <a:avLst/>
                    </a:prstGeom>
                    <a:noFill/>
                    <a:ln>
                      <a:noFill/>
                    </a:ln>
                  </pic:spPr>
                </pic:pic>
              </a:graphicData>
            </a:graphic>
          </wp:inline>
        </w:drawing>
      </w:r>
    </w:p>
    <w:p w14:paraId="103EB599" w14:textId="77777777" w:rsidR="002A21AE" w:rsidRDefault="002A21AE">
      <w:pPr>
        <w:pStyle w:val="Heading3"/>
      </w:pPr>
      <w:r>
        <w:br w:type="page"/>
      </w:r>
      <w:bookmarkStart w:id="590" w:name="_Toc203765933"/>
      <w:r>
        <w:lastRenderedPageBreak/>
        <w:t>Special Instructions &amp; Transfusion Requirements: Enter and Remove Special Instructions</w:t>
      </w:r>
      <w:bookmarkEnd w:id="590"/>
      <w:r>
        <w:fldChar w:fldCharType="begin"/>
      </w:r>
      <w:r>
        <w:instrText xml:space="preserve"> XE </w:instrText>
      </w:r>
      <w:r w:rsidR="00FA7E65">
        <w:instrText>“</w:instrText>
      </w:r>
      <w:r>
        <w:instrText>Special Instructions &amp; Transfusion Requirements\: Enter and Remove Special Instructions</w:instrText>
      </w:r>
      <w:r w:rsidR="00FA7E65">
        <w:instrText>”</w:instrText>
      </w:r>
      <w:r>
        <w:instrText xml:space="preserve"> </w:instrText>
      </w:r>
      <w:r>
        <w:fldChar w:fldCharType="end"/>
      </w:r>
      <w:r>
        <w:t xml:space="preserve"> </w:t>
      </w:r>
      <w:r>
        <w:rPr>
          <w:rFonts w:ascii="Times New Roman" w:hAnsi="Times New Roman" w:cs="Times New Roman"/>
          <w:b w:val="0"/>
          <w:vanish/>
          <w:sz w:val="22"/>
        </w:rPr>
        <w:t>UC_37</w:t>
      </w:r>
    </w:p>
    <w:p w14:paraId="50C96E58" w14:textId="77777777" w:rsidR="002A21AE" w:rsidRDefault="002A21AE" w:rsidP="00FA7E65">
      <w:pPr>
        <w:pStyle w:val="BodyText"/>
      </w:pPr>
      <w:r>
        <w:t>The user enter</w:t>
      </w:r>
      <w:r w:rsidR="007C7B3C">
        <w:t>s</w:t>
      </w:r>
      <w:r>
        <w:t xml:space="preserve"> comments in a patient’s file that are not enforced by VBECS.</w:t>
      </w:r>
    </w:p>
    <w:p w14:paraId="5A9B15E9" w14:textId="77777777" w:rsidR="002A21AE" w:rsidRDefault="002A21AE">
      <w:pPr>
        <w:pStyle w:val="Heading4"/>
      </w:pPr>
      <w:r>
        <w:t>Assumptions</w:t>
      </w:r>
      <w:r>
        <w:rPr>
          <w:b w:val="0"/>
        </w:rPr>
        <w:t xml:space="preserve"> </w:t>
      </w:r>
    </w:p>
    <w:p w14:paraId="0AA473B9" w14:textId="77777777" w:rsidR="002A21AE" w:rsidRDefault="002A21AE">
      <w:pPr>
        <w:pStyle w:val="ListBullet"/>
      </w:pPr>
      <w:r>
        <w:t>Fields containing Special Instructions (SIs) may be populated during database conversion.</w:t>
      </w:r>
    </w:p>
    <w:p w14:paraId="61F83F25" w14:textId="77777777" w:rsidR="002A21AE" w:rsidRDefault="002A21AE">
      <w:pPr>
        <w:pStyle w:val="Heading4"/>
      </w:pPr>
      <w:r>
        <w:t xml:space="preserve">Outcome </w:t>
      </w:r>
    </w:p>
    <w:p w14:paraId="0B9B5E76" w14:textId="77777777" w:rsidR="002A21AE" w:rsidRDefault="002A21AE">
      <w:pPr>
        <w:pStyle w:val="ListBullet"/>
      </w:pPr>
      <w:r>
        <w:t xml:space="preserve">When the user searches for a patient or when the Patient Information Toolbar is displayed, VBECS displays </w:t>
      </w:r>
      <w:r w:rsidR="00057948">
        <w:rPr>
          <w:noProof/>
        </w:rPr>
        <w:drawing>
          <wp:inline distT="0" distB="0" distL="0" distR="0" wp14:anchorId="292C7C10" wp14:editId="564C1413">
            <wp:extent cx="156845" cy="156845"/>
            <wp:effectExtent l="0" t="0" r="0" b="0"/>
            <wp:docPr id="255" name="Picture 255" descr="View Special Instructions and Transfusion Requirements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Picture 255" descr="View Special Instructions and Transfusion Requirements icon"/>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t xml:space="preserve"> to alert the user to view the patient’s SI entries.</w:t>
      </w:r>
    </w:p>
    <w:p w14:paraId="62839D8C" w14:textId="77777777" w:rsidR="002A21AE" w:rsidRDefault="002A21AE">
      <w:pPr>
        <w:pStyle w:val="ListBullet"/>
      </w:pPr>
      <w:r>
        <w:t>When a user retrieves a patient record and is in a multidivisional setting, he may view SIs created in all divisions within the database.</w:t>
      </w:r>
    </w:p>
    <w:p w14:paraId="6E3FE50A" w14:textId="77777777" w:rsidR="002A21AE" w:rsidRDefault="002A21AE">
      <w:pPr>
        <w:pStyle w:val="Heading4"/>
      </w:pPr>
      <w:r>
        <w:t>Limitations and Restrictions</w:t>
      </w:r>
      <w:r>
        <w:rPr>
          <w:b w:val="0"/>
        </w:rPr>
        <w:t xml:space="preserve"> </w:t>
      </w:r>
    </w:p>
    <w:p w14:paraId="2442A107" w14:textId="77777777" w:rsidR="002A21AE" w:rsidRDefault="00F632F2">
      <w:pPr>
        <w:pStyle w:val="ListBullet"/>
      </w:pPr>
      <w:r>
        <w:t xml:space="preserve">VBECS does not enforce </w:t>
      </w:r>
      <w:r w:rsidR="002A21AE">
        <w:t xml:space="preserve">Transfusion Requirements (TRs) or antigen negative requirements </w:t>
      </w:r>
      <w:r>
        <w:t xml:space="preserve">entered </w:t>
      </w:r>
      <w:r w:rsidR="002A21AE">
        <w:t>through this option.</w:t>
      </w:r>
    </w:p>
    <w:p w14:paraId="2B284EB4" w14:textId="77777777" w:rsidR="002A21AE" w:rsidRDefault="002A21AE">
      <w:pPr>
        <w:pStyle w:val="ListBullet"/>
      </w:pPr>
      <w:r>
        <w:t xml:space="preserve">SIs moved to VBECS during the </w:t>
      </w:r>
      <w:r w:rsidR="00150930">
        <w:t>database conversion</w:t>
      </w:r>
      <w:r>
        <w:t xml:space="preserve"> </w:t>
      </w:r>
      <w:r w:rsidR="009A4A6D">
        <w:t xml:space="preserve">may contain information that must </w:t>
      </w:r>
      <w:r>
        <w:t xml:space="preserve">be entered as TRs in VBECS. Inactivate the old SI and create a TR and new updated SI: the </w:t>
      </w:r>
      <w:r w:rsidR="00150930">
        <w:t>database conversion</w:t>
      </w:r>
      <w:r>
        <w:t xml:space="preserve"> software cannot automatically translate the SI from database conversion into a rule-based TR.</w:t>
      </w:r>
    </w:p>
    <w:p w14:paraId="44601BF8" w14:textId="77777777" w:rsidR="002A21AE" w:rsidRDefault="009333B1">
      <w:pPr>
        <w:pStyle w:val="ListBullet"/>
      </w:pPr>
      <w:r>
        <w:t xml:space="preserve">VBECS will truncate </w:t>
      </w:r>
      <w:r w:rsidR="00DB7814">
        <w:t xml:space="preserve">SI text from </w:t>
      </w:r>
      <w:r w:rsidR="00837204">
        <w:t xml:space="preserve">the </w:t>
      </w:r>
      <w:r w:rsidR="00DB7814">
        <w:t xml:space="preserve">VistA </w:t>
      </w:r>
      <w:r w:rsidR="00150930">
        <w:t>database conversion</w:t>
      </w:r>
      <w:r w:rsidR="002A21AE">
        <w:t>.</w:t>
      </w:r>
    </w:p>
    <w:p w14:paraId="361DC4FF" w14:textId="77777777" w:rsidR="002A21AE" w:rsidRDefault="002A21AE">
      <w:pPr>
        <w:pStyle w:val="Heading4"/>
      </w:pPr>
      <w:r>
        <w:t>Additional Information</w:t>
      </w:r>
    </w:p>
    <w:p w14:paraId="2F1B448D" w14:textId="77777777" w:rsidR="002A21AE" w:rsidRDefault="002A21AE">
      <w:pPr>
        <w:pStyle w:val="ListBullet"/>
      </w:pPr>
      <w:r>
        <w:t xml:space="preserve">Inactivation of patient SI entries is allowed only in the division of entry. </w:t>
      </w:r>
    </w:p>
    <w:p w14:paraId="4421ADDD" w14:textId="77777777" w:rsidR="002A21AE" w:rsidRDefault="002A21AE">
      <w:pPr>
        <w:pStyle w:val="ListBullet"/>
      </w:pPr>
      <w:r>
        <w:t xml:space="preserve">Only currently active SIs at a division will automatically display via the database to all divisions. </w:t>
      </w:r>
    </w:p>
    <w:p w14:paraId="5B17CC8D" w14:textId="77777777" w:rsidR="002A21AE" w:rsidRDefault="002A21AE">
      <w:pPr>
        <w:pStyle w:val="ListBullet"/>
      </w:pPr>
      <w:r>
        <w:t xml:space="preserve">Inactive SIs are not deleted from the VBECS database. They may not be reactivated but may be viewed in the maintenance fields when requested. </w:t>
      </w:r>
    </w:p>
    <w:p w14:paraId="3B0F3230" w14:textId="77777777" w:rsidR="002A21AE" w:rsidRDefault="002A21AE">
      <w:pPr>
        <w:pStyle w:val="ListBullet"/>
      </w:pPr>
      <w:r>
        <w:t xml:space="preserve">Canned comments in the Special Instructions context must be entered by the division before they can be selected for use. </w:t>
      </w:r>
    </w:p>
    <w:p w14:paraId="510523AB" w14:textId="77777777" w:rsidR="002A21AE" w:rsidRDefault="002A21AE">
      <w:pPr>
        <w:pStyle w:val="ListBullet"/>
      </w:pPr>
      <w:r>
        <w:rPr>
          <w:rFonts w:ascii="Arial" w:hAnsi="Arial" w:cs="Arial"/>
          <w:vanish/>
          <w:spacing w:val="0"/>
          <w:sz w:val="18"/>
        </w:rPr>
        <w:t xml:space="preserve">BR_37.03 </w:t>
      </w:r>
      <w:r>
        <w:t>Previously saved Special Instructions that require editing due to context or spelling errors must be inactivated and reentered in total.</w:t>
      </w:r>
    </w:p>
    <w:p w14:paraId="4D3634DB" w14:textId="77777777" w:rsidR="002A21AE" w:rsidRDefault="00150930">
      <w:pPr>
        <w:pStyle w:val="ListBullet"/>
      </w:pPr>
      <w:r>
        <w:t>Database conversion</w:t>
      </w:r>
      <w:r w:rsidR="002A21AE">
        <w:t xml:space="preserve"> entries are labeled as such. </w:t>
      </w:r>
      <w:r w:rsidR="002A21AE">
        <w:rPr>
          <w:rFonts w:ascii="Arial" w:hAnsi="Arial" w:cs="Arial"/>
          <w:vanish/>
          <w:spacing w:val="0"/>
          <w:sz w:val="18"/>
        </w:rPr>
        <w:t xml:space="preserve">BR_37.05 </w:t>
      </w:r>
    </w:p>
    <w:p w14:paraId="33969851" w14:textId="77777777" w:rsidR="002A21AE" w:rsidRDefault="002A21AE">
      <w:pPr>
        <w:pStyle w:val="ListBullet"/>
      </w:pPr>
      <w:r>
        <w:t>SIs from database conversion may include component or antigen negative requirements that must be entered in TRs so that VBECS can enforce them.</w:t>
      </w:r>
    </w:p>
    <w:p w14:paraId="335E1E56" w14:textId="77777777" w:rsidR="002A21AE" w:rsidRDefault="002A21AE">
      <w:pPr>
        <w:pStyle w:val="Heading4"/>
        <w:rPr>
          <w:b w:val="0"/>
        </w:rPr>
      </w:pPr>
      <w:r>
        <w:t>User Roles with Access to This Option</w:t>
      </w:r>
      <w:r>
        <w:rPr>
          <w:b w:val="0"/>
        </w:rPr>
        <w:t xml:space="preserve"> </w:t>
      </w:r>
    </w:p>
    <w:p w14:paraId="3CBEAAF3" w14:textId="77777777" w:rsidR="001C7911" w:rsidRDefault="001C7911" w:rsidP="001C7911">
      <w:pPr>
        <w:pStyle w:val="Roles"/>
      </w:pPr>
      <w:r>
        <w:t>All users</w:t>
      </w:r>
    </w:p>
    <w:p w14:paraId="03B103B7" w14:textId="77777777" w:rsidR="00F3651E" w:rsidRDefault="00F3651E">
      <w:pPr>
        <w:rPr>
          <w:rFonts w:ascii="Arial" w:hAnsi="Arial"/>
          <w:b/>
          <w:sz w:val="22"/>
        </w:rPr>
      </w:pPr>
      <w:r>
        <w:br w:type="page"/>
      </w:r>
    </w:p>
    <w:p w14:paraId="79B100B8" w14:textId="325F0E36" w:rsidR="002A21AE" w:rsidRDefault="002A21AE">
      <w:pPr>
        <w:pStyle w:val="Heading4"/>
      </w:pPr>
      <w:r>
        <w:lastRenderedPageBreak/>
        <w:t>Special Instructions &amp; Transfusion Requirements: Enter a Special Instruction</w:t>
      </w:r>
    </w:p>
    <w:p w14:paraId="167587E2" w14:textId="77777777" w:rsidR="002A21AE" w:rsidRDefault="002A21AE" w:rsidP="00FA7E65">
      <w:pPr>
        <w:pStyle w:val="BodyText"/>
      </w:pPr>
      <w:r>
        <w:t>A user may add to and inactivate SI comments in a patient’s blood bank record. Users in all divisions in a multidivisional database may view these comments.</w:t>
      </w:r>
    </w:p>
    <w:tbl>
      <w:tblPr>
        <w:tblpPr w:leftFromText="180" w:rightFromText="180" w:vertAnchor="text" w:tblpY="1"/>
        <w:tblOverlap w:val="neve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5560A067" w14:textId="77777777">
        <w:tc>
          <w:tcPr>
            <w:tcW w:w="3240" w:type="dxa"/>
            <w:shd w:val="pct30" w:color="auto" w:fill="FFFFFF"/>
            <w:vAlign w:val="bottom"/>
          </w:tcPr>
          <w:p w14:paraId="35EAB874" w14:textId="77777777" w:rsidR="002A21AE" w:rsidRDefault="002A21AE">
            <w:pPr>
              <w:pStyle w:val="TableText"/>
              <w:rPr>
                <w:b/>
              </w:rPr>
            </w:pPr>
            <w:r>
              <w:rPr>
                <w:b/>
              </w:rPr>
              <w:t>User Action</w:t>
            </w:r>
          </w:p>
        </w:tc>
        <w:tc>
          <w:tcPr>
            <w:tcW w:w="6120" w:type="dxa"/>
            <w:shd w:val="pct30" w:color="auto" w:fill="FFFFFF"/>
            <w:vAlign w:val="bottom"/>
          </w:tcPr>
          <w:p w14:paraId="08B2FB55" w14:textId="77777777" w:rsidR="002A21AE" w:rsidRDefault="002A21AE">
            <w:pPr>
              <w:pStyle w:val="TableText"/>
              <w:rPr>
                <w:b/>
              </w:rPr>
            </w:pPr>
            <w:r>
              <w:rPr>
                <w:b/>
              </w:rPr>
              <w:t>VBECS</w:t>
            </w:r>
          </w:p>
        </w:tc>
      </w:tr>
      <w:tr w:rsidR="002A21AE" w14:paraId="02588AFD" w14:textId="77777777">
        <w:tc>
          <w:tcPr>
            <w:tcW w:w="3240" w:type="dxa"/>
          </w:tcPr>
          <w:p w14:paraId="76F675EB" w14:textId="77777777" w:rsidR="002A21AE" w:rsidRDefault="002A21AE">
            <w:pPr>
              <w:pStyle w:val="TableTextNumbers"/>
            </w:pPr>
            <w:r>
              <w:t xml:space="preserve">Select </w:t>
            </w:r>
            <w:r>
              <w:rPr>
                <w:b/>
              </w:rPr>
              <w:t>Patients</w:t>
            </w:r>
            <w:r>
              <w:t xml:space="preserve"> from the main menu.</w:t>
            </w:r>
          </w:p>
          <w:p w14:paraId="6816A4CA" w14:textId="77777777" w:rsidR="002A21AE" w:rsidRDefault="002A21AE">
            <w:pPr>
              <w:pStyle w:val="TableTextNumbersContinued"/>
            </w:pPr>
          </w:p>
          <w:p w14:paraId="47BCD34A" w14:textId="77777777" w:rsidR="002A21AE" w:rsidRDefault="002A21AE">
            <w:pPr>
              <w:pStyle w:val="TableTextNumbersContinued"/>
            </w:pPr>
            <w:r>
              <w:t xml:space="preserve">Select </w:t>
            </w:r>
            <w:r>
              <w:rPr>
                <w:b/>
              </w:rPr>
              <w:t>Special Instructions &amp; Transfusion Requirements</w:t>
            </w:r>
            <w:r>
              <w:t>, or</w:t>
            </w:r>
          </w:p>
          <w:p w14:paraId="3202AC07" w14:textId="77777777" w:rsidR="002A21AE" w:rsidRDefault="002A21AE">
            <w:pPr>
              <w:pStyle w:val="TableTextNumbersContinued"/>
            </w:pPr>
          </w:p>
          <w:p w14:paraId="2B8E62D5" w14:textId="77777777" w:rsidR="002A21AE" w:rsidRDefault="002A21AE">
            <w:pPr>
              <w:pStyle w:val="TableTextNumbersContinued"/>
            </w:pPr>
            <w:r>
              <w:t xml:space="preserve">Click </w:t>
            </w:r>
            <w:r w:rsidR="00057948">
              <w:rPr>
                <w:noProof/>
              </w:rPr>
              <w:drawing>
                <wp:inline distT="0" distB="0" distL="0" distR="0" wp14:anchorId="5E7B25C4" wp14:editId="1FAE4755">
                  <wp:extent cx="156845" cy="156845"/>
                  <wp:effectExtent l="0" t="0" r="0" b="0"/>
                  <wp:docPr id="256" name="Picture 256" descr="View Special Instructions and Transfusion Requirements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 name="Picture 256" descr="View Special Instructions and Transfusion Requirements icon"/>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t xml:space="preserve"> in the Patient Information Toolbar, when displayed.</w:t>
            </w:r>
          </w:p>
        </w:tc>
        <w:tc>
          <w:tcPr>
            <w:tcW w:w="6120" w:type="dxa"/>
          </w:tcPr>
          <w:p w14:paraId="10725A80" w14:textId="77777777" w:rsidR="002A21AE" w:rsidRDefault="002A21AE">
            <w:pPr>
              <w:pStyle w:val="TableTextBullet"/>
            </w:pPr>
            <w:r>
              <w:t>Displays options for processing patient-related functions.</w:t>
            </w:r>
          </w:p>
          <w:p w14:paraId="0E06A12B" w14:textId="77777777" w:rsidR="002A21AE" w:rsidRDefault="002A21AE">
            <w:pPr>
              <w:pStyle w:val="TableTextBullet"/>
            </w:pPr>
            <w:r>
              <w:t xml:space="preserve">Displays the option to select a patient, if one is not already selected. </w:t>
            </w:r>
          </w:p>
          <w:p w14:paraId="2F6198BB" w14:textId="77777777" w:rsidR="002A21AE" w:rsidRDefault="002A21AE">
            <w:pPr>
              <w:pStyle w:val="TableText"/>
              <w:rPr>
                <w:b/>
                <w:bCs/>
                <w:szCs w:val="18"/>
              </w:rPr>
            </w:pPr>
          </w:p>
          <w:p w14:paraId="4E2D1AEB" w14:textId="2F8451DF" w:rsidR="002A21AE" w:rsidRDefault="002A21AE">
            <w:pPr>
              <w:pStyle w:val="TableText"/>
              <w:rPr>
                <w:b/>
                <w:bCs/>
                <w:szCs w:val="18"/>
              </w:rPr>
            </w:pPr>
            <w:r>
              <w:rPr>
                <w:b/>
                <w:bCs/>
                <w:szCs w:val="18"/>
              </w:rPr>
              <w:t>NOTES</w:t>
            </w:r>
          </w:p>
          <w:p w14:paraId="336E932C" w14:textId="77777777" w:rsidR="002A21AE" w:rsidRDefault="002A21AE">
            <w:pPr>
              <w:pStyle w:val="NotesText"/>
            </w:pPr>
          </w:p>
          <w:p w14:paraId="3410C4BE" w14:textId="77777777" w:rsidR="002A21AE" w:rsidRDefault="002A21AE">
            <w:pPr>
              <w:pStyle w:val="NotesText"/>
            </w:pPr>
            <w:r>
              <w:t xml:space="preserve">The user may also click </w:t>
            </w:r>
            <w:r>
              <w:rPr>
                <w:b/>
              </w:rPr>
              <w:t>New SI or TR</w:t>
            </w:r>
            <w:r>
              <w:t xml:space="preserve"> in Patient Testing to access this option.</w:t>
            </w:r>
          </w:p>
        </w:tc>
      </w:tr>
      <w:tr w:rsidR="002A21AE" w14:paraId="2F7F3CAA" w14:textId="77777777">
        <w:tc>
          <w:tcPr>
            <w:tcW w:w="3240" w:type="dxa"/>
          </w:tcPr>
          <w:p w14:paraId="19D8B6D9" w14:textId="77777777" w:rsidR="002A21AE" w:rsidRDefault="002A21AE">
            <w:pPr>
              <w:pStyle w:val="TableTextNumbers"/>
            </w:pPr>
            <w:r>
              <w:t>Select a patient.</w:t>
            </w:r>
          </w:p>
          <w:p w14:paraId="29EB5962" w14:textId="77777777" w:rsidR="00DA5ED4" w:rsidRDefault="00DA5ED4" w:rsidP="00DA5ED4">
            <w:pPr>
              <w:pStyle w:val="TableTextNumbersContinued"/>
            </w:pPr>
          </w:p>
          <w:p w14:paraId="44D0D812" w14:textId="77777777" w:rsidR="00DA5ED4" w:rsidRDefault="00DA5ED4" w:rsidP="00DA5ED4">
            <w:pPr>
              <w:pStyle w:val="TableTextNumbersContinued"/>
            </w:pPr>
            <w:r>
              <w:t xml:space="preserve">Click </w:t>
            </w:r>
            <w:r w:rsidRPr="00DA5ED4">
              <w:rPr>
                <w:b/>
              </w:rPr>
              <w:t>OK</w:t>
            </w:r>
            <w:r>
              <w:t>.</w:t>
            </w:r>
          </w:p>
        </w:tc>
        <w:tc>
          <w:tcPr>
            <w:tcW w:w="6120" w:type="dxa"/>
          </w:tcPr>
          <w:p w14:paraId="1AFE11B8" w14:textId="77777777" w:rsidR="002A21AE" w:rsidRDefault="002A21AE">
            <w:pPr>
              <w:pStyle w:val="TableTextBullet"/>
            </w:pPr>
            <w:r>
              <w:t>Displays options to select a patient.</w:t>
            </w:r>
          </w:p>
          <w:p w14:paraId="1FFA77E4" w14:textId="77777777" w:rsidR="002A21AE" w:rsidRDefault="002A21AE">
            <w:pPr>
              <w:pStyle w:val="TableTextBullet"/>
            </w:pPr>
            <w:r>
              <w:t>Displays the option to enter a new comment or remove an existing comment in the division.</w:t>
            </w:r>
          </w:p>
          <w:p w14:paraId="66D63A92" w14:textId="77777777" w:rsidR="002A21AE" w:rsidRDefault="002A21AE">
            <w:pPr>
              <w:pStyle w:val="TableTextBullet"/>
            </w:pPr>
            <w:r>
              <w:t>Displays the active SI entries in reverse chronological order with all active SIs first, along with date, division code, and text of the entry.</w:t>
            </w:r>
          </w:p>
          <w:p w14:paraId="4391DD96" w14:textId="77777777" w:rsidR="002A21AE" w:rsidRDefault="002A21AE">
            <w:pPr>
              <w:pStyle w:val="TableText"/>
            </w:pPr>
          </w:p>
          <w:p w14:paraId="4DEEA892" w14:textId="0245A006" w:rsidR="002A21AE" w:rsidRDefault="002A21AE">
            <w:pPr>
              <w:pStyle w:val="TableText"/>
              <w:rPr>
                <w:b/>
                <w:bCs/>
                <w:szCs w:val="18"/>
              </w:rPr>
            </w:pPr>
            <w:r>
              <w:rPr>
                <w:b/>
                <w:bCs/>
                <w:szCs w:val="18"/>
              </w:rPr>
              <w:t>NOTES</w:t>
            </w:r>
          </w:p>
          <w:p w14:paraId="57C5C427" w14:textId="77777777" w:rsidR="002A21AE" w:rsidRDefault="002A21AE">
            <w:pPr>
              <w:pStyle w:val="NotesText"/>
            </w:pPr>
          </w:p>
          <w:p w14:paraId="5902E136" w14:textId="77777777" w:rsidR="002A21AE" w:rsidRDefault="002A21AE">
            <w:pPr>
              <w:pStyle w:val="NotesText"/>
            </w:pPr>
            <w:r>
              <w:t>The need for SIs is usually temporary and may not be required for all transfusions.</w:t>
            </w:r>
          </w:p>
          <w:p w14:paraId="5E86B4AC" w14:textId="77777777" w:rsidR="002A21AE" w:rsidRDefault="002A21AE">
            <w:pPr>
              <w:pStyle w:val="NotesText"/>
            </w:pPr>
          </w:p>
          <w:p w14:paraId="70CE2570" w14:textId="77777777" w:rsidR="002A21AE" w:rsidRDefault="002A21AE">
            <w:pPr>
              <w:pStyle w:val="NotesText"/>
            </w:pPr>
            <w:r>
              <w:t>The user may choose to display inactivated SI comments.</w:t>
            </w:r>
          </w:p>
        </w:tc>
      </w:tr>
      <w:tr w:rsidR="002A21AE" w14:paraId="7250B8E1" w14:textId="77777777">
        <w:tc>
          <w:tcPr>
            <w:tcW w:w="3240" w:type="dxa"/>
          </w:tcPr>
          <w:p w14:paraId="3F470CB7" w14:textId="41A4EC2A" w:rsidR="002A21AE" w:rsidRDefault="002A21AE">
            <w:pPr>
              <w:pStyle w:val="TableTextNumbers"/>
            </w:pPr>
            <w:r>
              <w:t xml:space="preserve">Select the </w:t>
            </w:r>
            <w:r>
              <w:rPr>
                <w:b/>
              </w:rPr>
              <w:t xml:space="preserve">Special Instructions </w:t>
            </w:r>
            <w:r w:rsidRPr="00CC3C89">
              <w:t>tab</w:t>
            </w:r>
            <w:r w:rsidR="00DA5ED4" w:rsidRPr="00CC3C89">
              <w:t xml:space="preserve"> </w:t>
            </w:r>
            <w:r w:rsidR="00DA5ED4" w:rsidRPr="00DA5ED4">
              <w:t>(</w:t>
            </w:r>
            <w:r w:rsidR="00EE455E">
              <w:t xml:space="preserve">Figure </w:t>
            </w:r>
            <w:r w:rsidR="00EE455E">
              <w:rPr>
                <w:noProof/>
              </w:rPr>
              <w:t>111</w:t>
            </w:r>
            <w:r w:rsidR="00DA5ED4" w:rsidRPr="00DA5ED4">
              <w:t>)</w:t>
            </w:r>
            <w:r>
              <w:t>.</w:t>
            </w:r>
          </w:p>
          <w:p w14:paraId="23BFA2D9" w14:textId="77777777" w:rsidR="00595334" w:rsidRDefault="00595334" w:rsidP="00595334">
            <w:pPr>
              <w:pStyle w:val="TableTextNumbersContinued"/>
            </w:pPr>
          </w:p>
          <w:p w14:paraId="09D7148F" w14:textId="761517D6" w:rsidR="00595334" w:rsidRDefault="00595334" w:rsidP="00595334">
            <w:pPr>
              <w:pStyle w:val="TableTextNumbersContinued"/>
            </w:pPr>
            <w:r>
              <w:t xml:space="preserve">Click the </w:t>
            </w:r>
            <w:r>
              <w:rPr>
                <w:b/>
              </w:rPr>
              <w:t xml:space="preserve">Show </w:t>
            </w:r>
            <w:r w:rsidR="00DB1399">
              <w:rPr>
                <w:b/>
              </w:rPr>
              <w:t>I</w:t>
            </w:r>
            <w:r>
              <w:rPr>
                <w:b/>
              </w:rPr>
              <w:t xml:space="preserve">nactive </w:t>
            </w:r>
            <w:r w:rsidR="00DB1399">
              <w:rPr>
                <w:b/>
              </w:rPr>
              <w:t>S</w:t>
            </w:r>
            <w:r>
              <w:rPr>
                <w:b/>
              </w:rPr>
              <w:t xml:space="preserve">pecial </w:t>
            </w:r>
            <w:r w:rsidR="00DB1399">
              <w:rPr>
                <w:b/>
              </w:rPr>
              <w:t>I</w:t>
            </w:r>
            <w:r>
              <w:rPr>
                <w:b/>
              </w:rPr>
              <w:t>nstructions</w:t>
            </w:r>
            <w:r>
              <w:t xml:space="preserve"> </w:t>
            </w:r>
            <w:r w:rsidRPr="00D1100E">
              <w:t>check box</w:t>
            </w:r>
            <w:r>
              <w:t xml:space="preserve"> to display inactivated SI entries.</w:t>
            </w:r>
          </w:p>
          <w:p w14:paraId="1B3C6E7E" w14:textId="77777777" w:rsidR="00595334" w:rsidRDefault="00595334" w:rsidP="005A1FF9">
            <w:pPr>
              <w:pStyle w:val="TableTextNumbers"/>
              <w:numPr>
                <w:ilvl w:val="0"/>
                <w:numId w:val="0"/>
              </w:numPr>
            </w:pPr>
          </w:p>
        </w:tc>
        <w:tc>
          <w:tcPr>
            <w:tcW w:w="6120" w:type="dxa"/>
          </w:tcPr>
          <w:p w14:paraId="7867A89E" w14:textId="77777777" w:rsidR="002A21AE" w:rsidRDefault="002A21AE">
            <w:pPr>
              <w:pStyle w:val="TableTextBullet"/>
            </w:pPr>
            <w:r>
              <w:t>Allows the user to enter or inactivate comments.</w:t>
            </w:r>
          </w:p>
          <w:p w14:paraId="3BBCB53A" w14:textId="77777777" w:rsidR="00595334" w:rsidRDefault="00595334">
            <w:pPr>
              <w:pStyle w:val="TableTextBullet"/>
            </w:pPr>
            <w:r>
              <w:t xml:space="preserve">Displays inactive Special Instructions </w:t>
            </w:r>
            <w:r w:rsidR="00E12CB9">
              <w:t>but</w:t>
            </w:r>
            <w:r>
              <w:t xml:space="preserve"> </w:t>
            </w:r>
            <w:r w:rsidR="00E12CB9">
              <w:t>does not allow</w:t>
            </w:r>
            <w:r>
              <w:t xml:space="preserve"> the user to reactivate them.</w:t>
            </w:r>
          </w:p>
          <w:p w14:paraId="5181476A" w14:textId="77777777" w:rsidR="002A21AE" w:rsidRDefault="002A21AE">
            <w:pPr>
              <w:pStyle w:val="TableText"/>
            </w:pPr>
          </w:p>
          <w:p w14:paraId="679D8313" w14:textId="4418A8A6" w:rsidR="002A21AE" w:rsidRDefault="002A21AE">
            <w:pPr>
              <w:pStyle w:val="TableText"/>
              <w:rPr>
                <w:b/>
                <w:bCs/>
                <w:szCs w:val="18"/>
              </w:rPr>
            </w:pPr>
            <w:r>
              <w:rPr>
                <w:b/>
                <w:bCs/>
                <w:szCs w:val="18"/>
              </w:rPr>
              <w:t>NOTES</w:t>
            </w:r>
          </w:p>
          <w:p w14:paraId="20BA5A61" w14:textId="77777777" w:rsidR="002A21AE" w:rsidRDefault="002A21AE">
            <w:pPr>
              <w:pStyle w:val="NotesText"/>
            </w:pPr>
          </w:p>
          <w:p w14:paraId="2829F2FD" w14:textId="77777777" w:rsidR="002A21AE" w:rsidRDefault="002A21AE">
            <w:pPr>
              <w:pStyle w:val="NotesText"/>
            </w:pPr>
            <w:r>
              <w:rPr>
                <w:rFonts w:cs="Arial"/>
                <w:vanish/>
              </w:rPr>
              <w:t xml:space="preserve">BR_37.01 </w:t>
            </w:r>
            <w:r>
              <w:t xml:space="preserve">A user may add or inactivate a patient-specific comment at any time in the division in which it was entered. </w:t>
            </w:r>
          </w:p>
          <w:p w14:paraId="6C5B8CC7" w14:textId="77777777" w:rsidR="002A21AE" w:rsidRDefault="002A21AE">
            <w:pPr>
              <w:pStyle w:val="NotesText"/>
            </w:pPr>
          </w:p>
          <w:p w14:paraId="0F34A954" w14:textId="77777777" w:rsidR="002A21AE" w:rsidRDefault="002A21AE">
            <w:pPr>
              <w:pStyle w:val="NotesText"/>
            </w:pPr>
            <w:r>
              <w:rPr>
                <w:rFonts w:cs="Arial"/>
                <w:vanish/>
              </w:rPr>
              <w:t xml:space="preserve">BR_37.06 </w:t>
            </w:r>
            <w:r w:rsidRPr="00E4754E">
              <w:rPr>
                <w:rStyle w:val="RolesChar1"/>
                <w:rFonts w:ascii="Wingdings 3" w:hAnsi="Wingdings 3"/>
              </w:rPr>
              <w:t></w:t>
            </w:r>
            <w:r w:rsidRPr="00E4754E">
              <w:rPr>
                <w:rStyle w:val="RolesChar1"/>
                <w:rFonts w:ascii="Wingdings 3" w:hAnsi="Wingdings 3"/>
              </w:rPr>
              <w:t></w:t>
            </w:r>
            <w:r w:rsidRPr="00E4754E">
              <w:rPr>
                <w:rStyle w:val="RolesChar1"/>
                <w:rFonts w:ascii="Wingdings 3" w:hAnsi="Wingdings 3"/>
              </w:rPr>
              <w:t></w:t>
            </w:r>
            <w:r w:rsidRPr="00E4754E">
              <w:rPr>
                <w:rStyle w:val="RolesChar1"/>
                <w:rFonts w:ascii="Wingdings 3" w:hAnsi="Wingdings 3"/>
              </w:rPr>
              <w:t></w:t>
            </w:r>
            <w:r w:rsidRPr="00E4754E">
              <w:t xml:space="preserve"> </w:t>
            </w:r>
            <w:r>
              <w:t>A Traditional Supervisor may inactivate SIs from database conversion.</w:t>
            </w:r>
          </w:p>
        </w:tc>
      </w:tr>
      <w:tr w:rsidR="002A21AE" w14:paraId="7E919B27" w14:textId="77777777">
        <w:trPr>
          <w:trHeight w:val="1988"/>
        </w:trPr>
        <w:tc>
          <w:tcPr>
            <w:tcW w:w="3240" w:type="dxa"/>
          </w:tcPr>
          <w:p w14:paraId="1DD186E0" w14:textId="77777777" w:rsidR="002A21AE" w:rsidRDefault="002A21AE">
            <w:pPr>
              <w:pStyle w:val="TableTextNumbers"/>
            </w:pPr>
            <w:r>
              <w:t>Confirm the activation of the entry and enter a comment.</w:t>
            </w:r>
          </w:p>
          <w:p w14:paraId="0A301206" w14:textId="77777777" w:rsidR="002A21AE" w:rsidRDefault="002A21AE">
            <w:pPr>
              <w:pStyle w:val="TableTextNumbersContinued"/>
            </w:pPr>
          </w:p>
          <w:p w14:paraId="71303111" w14:textId="77777777" w:rsidR="002A21AE" w:rsidRDefault="002A21AE">
            <w:pPr>
              <w:pStyle w:val="TableTextNumbersContinued"/>
            </w:pPr>
            <w:r>
              <w:t xml:space="preserve">Click </w:t>
            </w:r>
            <w:r>
              <w:rPr>
                <w:b/>
              </w:rPr>
              <w:t>OK</w:t>
            </w:r>
            <w:r>
              <w:t xml:space="preserve">. </w:t>
            </w:r>
          </w:p>
          <w:p w14:paraId="60D73E8D" w14:textId="77777777" w:rsidR="002A21AE" w:rsidRDefault="002A21AE">
            <w:pPr>
              <w:pStyle w:val="TableTextNumbersContinued"/>
            </w:pPr>
          </w:p>
          <w:p w14:paraId="3C879E49" w14:textId="77777777" w:rsidR="002A21AE" w:rsidRDefault="002A21AE">
            <w:pPr>
              <w:pStyle w:val="TableTextNumbersContinued"/>
            </w:pPr>
            <w:r>
              <w:t>Return to Step 2 to add more SIs for this patient.</w:t>
            </w:r>
          </w:p>
          <w:p w14:paraId="39D0220C" w14:textId="77777777" w:rsidR="002A21AE" w:rsidRDefault="002A21AE">
            <w:pPr>
              <w:pStyle w:val="TableTextNumbersContinued"/>
            </w:pPr>
          </w:p>
          <w:p w14:paraId="00B703CD" w14:textId="77777777" w:rsidR="002A21AE" w:rsidRDefault="002A21AE">
            <w:pPr>
              <w:pStyle w:val="TableTextNumbersContinued"/>
            </w:pPr>
            <w:r>
              <w:t>Select another patient and return to Step 1, if desired</w:t>
            </w:r>
            <w:r w:rsidR="00DA12E9">
              <w:t>.</w:t>
            </w:r>
          </w:p>
          <w:p w14:paraId="08196FFF" w14:textId="77777777" w:rsidR="002A21AE" w:rsidRDefault="002A21AE">
            <w:pPr>
              <w:pStyle w:val="TableTextNumbersContinued"/>
            </w:pPr>
          </w:p>
          <w:p w14:paraId="52EA36AB" w14:textId="77777777" w:rsidR="002A21AE" w:rsidRDefault="002A21AE">
            <w:pPr>
              <w:pStyle w:val="TableTextNumbersContinued"/>
              <w:rPr>
                <w:b/>
                <w:bCs/>
              </w:rPr>
            </w:pPr>
            <w:r>
              <w:t xml:space="preserve">Exit. </w:t>
            </w:r>
            <w:r>
              <w:rPr>
                <w:rStyle w:val="TableTextNumbersChar"/>
                <w:vanish/>
                <w:color w:val="FFFFFF"/>
                <w:szCs w:val="18"/>
              </w:rPr>
              <w:fldChar w:fldCharType="begin"/>
            </w:r>
            <w:r>
              <w:rPr>
                <w:rStyle w:val="TableTextNumbersChar"/>
                <w:vanish/>
                <w:color w:val="FFFFFF"/>
                <w:szCs w:val="18"/>
              </w:rPr>
              <w:instrText xml:space="preserve"> LISTNUM \l 1 \s 0 </w:instrText>
            </w:r>
            <w:r>
              <w:rPr>
                <w:rStyle w:val="TableTextNumbersChar"/>
                <w:vanish/>
                <w:color w:val="FFFFFF"/>
                <w:szCs w:val="18"/>
              </w:rPr>
              <w:fldChar w:fldCharType="end">
                <w:numberingChange w:id="591" w:author="MUSZYNSKI, THOMAS D. (SIERRA 7 INC)" w:date="2024-11-26T07:15:00Z" w:original="0."/>
              </w:fldChar>
            </w:r>
          </w:p>
        </w:tc>
        <w:tc>
          <w:tcPr>
            <w:tcW w:w="6120" w:type="dxa"/>
          </w:tcPr>
          <w:p w14:paraId="7E4029D4" w14:textId="77777777" w:rsidR="002A21AE" w:rsidRDefault="002A21AE">
            <w:pPr>
              <w:pStyle w:val="TableTextBullet"/>
            </w:pPr>
            <w:r>
              <w:t>Saves the entry in the database.</w:t>
            </w:r>
          </w:p>
        </w:tc>
      </w:tr>
    </w:tbl>
    <w:p w14:paraId="32FA3229" w14:textId="759C3114" w:rsidR="009142E5" w:rsidRDefault="009142E5" w:rsidP="009142E5">
      <w:pPr>
        <w:pStyle w:val="Caption"/>
      </w:pPr>
      <w:bookmarkStart w:id="592" w:name="_Toc63680371"/>
      <w:r>
        <w:br w:type="page"/>
      </w:r>
      <w:bookmarkStart w:id="593" w:name="_Ref127262439"/>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7D1829">
        <w:rPr>
          <w:noProof/>
        </w:rPr>
        <w:t>112</w:t>
      </w:r>
      <w:r w:rsidR="004E20BD">
        <w:rPr>
          <w:noProof/>
        </w:rPr>
        <w:fldChar w:fldCharType="end"/>
      </w:r>
      <w:bookmarkEnd w:id="593"/>
      <w:r>
        <w:t xml:space="preserve">: </w:t>
      </w:r>
      <w:r w:rsidRPr="00AB6967">
        <w:t>Enter Patient Special Instructions and Transfusion Requirements</w:t>
      </w:r>
    </w:p>
    <w:p w14:paraId="436326A3" w14:textId="77777777" w:rsidR="002A21AE" w:rsidRDefault="00057948" w:rsidP="00FA7E65">
      <w:pPr>
        <w:pStyle w:val="BodyText"/>
      </w:pPr>
      <w:r>
        <w:rPr>
          <w:noProof/>
        </w:rPr>
        <w:drawing>
          <wp:inline distT="0" distB="0" distL="0" distR="0" wp14:anchorId="0E7FAE8D" wp14:editId="5ACF05D8">
            <wp:extent cx="5939155" cy="3777615"/>
            <wp:effectExtent l="0" t="0" r="4445" b="0"/>
            <wp:docPr id="257" name="Picture 257" descr="Example of Enter Patient Special Instructions and Transfusion Requirements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Picture 257" descr="Example of Enter Patient Special Instructions and Transfusion Requirements screen capture"/>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5939155" cy="3777615"/>
                    </a:xfrm>
                    <a:prstGeom prst="rect">
                      <a:avLst/>
                    </a:prstGeom>
                    <a:noFill/>
                    <a:ln>
                      <a:noFill/>
                    </a:ln>
                  </pic:spPr>
                </pic:pic>
              </a:graphicData>
            </a:graphic>
          </wp:inline>
        </w:drawing>
      </w:r>
    </w:p>
    <w:p w14:paraId="4DCE0997" w14:textId="77777777" w:rsidR="00DA5ED4" w:rsidRDefault="00DA5ED4" w:rsidP="00FA7E65">
      <w:pPr>
        <w:pStyle w:val="BodyText"/>
        <w:sectPr w:rsidR="00DA5ED4" w:rsidSect="00EE771C">
          <w:pgSz w:w="12240" w:h="15840" w:code="1"/>
          <w:pgMar w:top="1440" w:right="1440" w:bottom="1440" w:left="1440" w:header="720" w:footer="720" w:gutter="0"/>
          <w:cols w:space="720"/>
          <w:docGrid w:linePitch="360"/>
        </w:sectPr>
      </w:pPr>
    </w:p>
    <w:p w14:paraId="7452BF8B" w14:textId="77777777" w:rsidR="002A21AE" w:rsidRDefault="002A21AE">
      <w:pPr>
        <w:pStyle w:val="Heading2"/>
      </w:pPr>
      <w:bookmarkStart w:id="594" w:name="_Post-Transfusion_Information"/>
      <w:bookmarkStart w:id="595" w:name="_Toc203765934"/>
      <w:bookmarkStart w:id="596" w:name="_Toc63680369"/>
      <w:bookmarkEnd w:id="388"/>
      <w:bookmarkEnd w:id="592"/>
      <w:bookmarkEnd w:id="594"/>
      <w:r>
        <w:lastRenderedPageBreak/>
        <w:t>Post-Transfusion Information</w:t>
      </w:r>
      <w:bookmarkEnd w:id="595"/>
      <w:r>
        <w:fldChar w:fldCharType="begin"/>
      </w:r>
      <w:r>
        <w:instrText xml:space="preserve"> XE </w:instrText>
      </w:r>
      <w:r w:rsidR="00FA7E65">
        <w:instrText>“</w:instrText>
      </w:r>
      <w:r>
        <w:instrText>Post-Transfusion Information</w:instrText>
      </w:r>
      <w:r w:rsidR="00FA7E65">
        <w:instrText>”</w:instrText>
      </w:r>
      <w:r>
        <w:instrText xml:space="preserve"> </w:instrText>
      </w:r>
      <w:r>
        <w:fldChar w:fldCharType="end"/>
      </w:r>
      <w:r>
        <w:rPr>
          <w:snapToGrid w:val="0"/>
        </w:rPr>
        <w:t xml:space="preserve"> </w:t>
      </w:r>
      <w:r w:rsidRPr="00DA5ED4">
        <w:rPr>
          <w:rFonts w:ascii="Arial Bold" w:hAnsi="Arial Bold"/>
          <w:vanish/>
        </w:rPr>
        <w:t>UC_69</w:t>
      </w:r>
    </w:p>
    <w:p w14:paraId="258B2199" w14:textId="77777777" w:rsidR="002A21AE" w:rsidRDefault="002A21AE" w:rsidP="00FA7E65">
      <w:pPr>
        <w:pStyle w:val="BodyText"/>
      </w:pPr>
      <w:r>
        <w:t>The user enters post-transfusion details from the Blood Transfusion Record Form (BTRF)</w:t>
      </w:r>
      <w:r w:rsidR="00EE44F1" w:rsidRPr="00EE44F1">
        <w:t xml:space="preserve"> </w:t>
      </w:r>
      <w:r w:rsidR="00EE44F1">
        <w:t>or VBECS saves post-transfusion det</w:t>
      </w:r>
      <w:r w:rsidR="007163E2">
        <w:t xml:space="preserve">ails received from the Transfusion Verification </w:t>
      </w:r>
      <w:r w:rsidR="00EE44F1">
        <w:t>System</w:t>
      </w:r>
      <w:r>
        <w:t xml:space="preserve">. </w:t>
      </w:r>
    </w:p>
    <w:p w14:paraId="6594A5D9" w14:textId="77777777" w:rsidR="002A21AE" w:rsidRDefault="002A21AE">
      <w:pPr>
        <w:pStyle w:val="Heading4"/>
      </w:pPr>
      <w:r>
        <w:t>Assumptions</w:t>
      </w:r>
    </w:p>
    <w:p w14:paraId="12AB69AD" w14:textId="77777777" w:rsidR="002A21AE" w:rsidRDefault="002A21AE">
      <w:pPr>
        <w:pStyle w:val="ListBullet"/>
        <w:ind w:left="720"/>
      </w:pPr>
      <w:r>
        <w:t>The BTRF is returned and completed for each unit.</w:t>
      </w:r>
    </w:p>
    <w:p w14:paraId="5501BE47" w14:textId="77777777" w:rsidR="002A21AE" w:rsidRDefault="002A21AE">
      <w:pPr>
        <w:pStyle w:val="ListBullet"/>
        <w:ind w:left="720"/>
      </w:pPr>
      <w:r>
        <w:t>The unit status is “issued” or “presumed transfused” in VBECS.</w:t>
      </w:r>
    </w:p>
    <w:p w14:paraId="3EED9EFB" w14:textId="77777777" w:rsidR="00EE44F1" w:rsidRDefault="00EE44F1" w:rsidP="00EE44F1">
      <w:pPr>
        <w:pStyle w:val="ListBullet"/>
        <w:ind w:left="720"/>
      </w:pPr>
      <w:r>
        <w:t>Interface connections to the BCE COTS system are enabled to receive transfusion update messages.</w:t>
      </w:r>
    </w:p>
    <w:p w14:paraId="3CF8E052" w14:textId="77777777" w:rsidR="002A21AE" w:rsidRDefault="002A21AE">
      <w:pPr>
        <w:pStyle w:val="Heading4"/>
      </w:pPr>
      <w:r>
        <w:t>Outcome</w:t>
      </w:r>
    </w:p>
    <w:p w14:paraId="32C27B2A" w14:textId="77777777" w:rsidR="002A21AE" w:rsidRDefault="002A21AE" w:rsidP="004D0C24">
      <w:pPr>
        <w:pStyle w:val="ListBullet"/>
        <w:ind w:left="720"/>
      </w:pPr>
      <w:r>
        <w:t>The unit status is updated to “transfused.”</w:t>
      </w:r>
    </w:p>
    <w:p w14:paraId="69FBB7C6" w14:textId="77777777" w:rsidR="002A21AE" w:rsidRDefault="002A21AE">
      <w:pPr>
        <w:pStyle w:val="ListBullet"/>
        <w:ind w:left="720"/>
      </w:pPr>
      <w:r>
        <w:t>The VBECS patient record includes the blood transfusion information.</w:t>
      </w:r>
    </w:p>
    <w:p w14:paraId="0C500156" w14:textId="77777777" w:rsidR="00561829" w:rsidRDefault="00561829" w:rsidP="00561829">
      <w:pPr>
        <w:pStyle w:val="ListBullet"/>
      </w:pPr>
      <w:r>
        <w:t>If workload codes are assigned for this process, workload-related data collected as the result of this process are stored for inclusion in Workload Reports.</w:t>
      </w:r>
    </w:p>
    <w:p w14:paraId="78C605A3" w14:textId="77777777" w:rsidR="002A21AE" w:rsidRDefault="002A21AE">
      <w:pPr>
        <w:pStyle w:val="Heading4"/>
      </w:pPr>
      <w:r>
        <w:t>Limitations and Restrictions</w:t>
      </w:r>
    </w:p>
    <w:p w14:paraId="5FD32ED5" w14:textId="77777777" w:rsidR="00EE44F1" w:rsidRDefault="006D40D4" w:rsidP="004D0C24">
      <w:pPr>
        <w:pStyle w:val="ListBullet"/>
      </w:pPr>
      <w:r>
        <w:t xml:space="preserve">VBECS cannot update a unit record to presumed transfused when a </w:t>
      </w:r>
      <w:r w:rsidR="004D0C24" w:rsidRPr="004D0C24">
        <w:t xml:space="preserve">user has </w:t>
      </w:r>
      <w:r>
        <w:t xml:space="preserve">that </w:t>
      </w:r>
      <w:r w:rsidR="004D0C24" w:rsidRPr="004D0C24">
        <w:t>unit record open (locked) in Enter Post Transfusion Information</w:t>
      </w:r>
      <w:r>
        <w:t xml:space="preserve">. VBECS will attempt to update the unit the next </w:t>
      </w:r>
      <w:r w:rsidR="004D0C24" w:rsidRPr="004D0C24">
        <w:t xml:space="preserve">time the </w:t>
      </w:r>
      <w:r>
        <w:t xml:space="preserve">presumed transfused background routing </w:t>
      </w:r>
      <w:r w:rsidR="004D0C24" w:rsidRPr="004D0C24">
        <w:t>runs if the unit remains in an issued status.</w:t>
      </w:r>
      <w:r w:rsidR="004309FB" w:rsidRPr="004309FB">
        <w:rPr>
          <w:vanish/>
        </w:rPr>
        <w:t xml:space="preserve"> </w:t>
      </w:r>
      <w:r w:rsidR="004309FB" w:rsidRPr="00EE44F1">
        <w:rPr>
          <w:vanish/>
        </w:rPr>
        <w:t>DR 3089</w:t>
      </w:r>
    </w:p>
    <w:p w14:paraId="43B87B85" w14:textId="77777777" w:rsidR="00F854CF" w:rsidRDefault="00EE44F1" w:rsidP="00EE44F1">
      <w:pPr>
        <w:pStyle w:val="ListBullet"/>
      </w:pPr>
      <w:r>
        <w:t>If post-transfusion information is not transmitted to VBECS</w:t>
      </w:r>
      <w:r w:rsidR="007163E2">
        <w:t xml:space="preserve"> by the BCE COTS interface</w:t>
      </w:r>
      <w:r>
        <w:t>, the user will need to enter that information to update the record from presumed transfused to transfused.</w:t>
      </w:r>
    </w:p>
    <w:p w14:paraId="17676480" w14:textId="77777777" w:rsidR="000E2D6A" w:rsidRDefault="000E2D6A" w:rsidP="00EE44F1">
      <w:pPr>
        <w:pStyle w:val="ListBullet"/>
      </w:pPr>
      <w:r>
        <w:t xml:space="preserve">The transfusion comments and volume transfused entered in the Transfusion Verification </w:t>
      </w:r>
      <w:r w:rsidR="00E20BD6">
        <w:t xml:space="preserve">application as an update to a completed transfusion </w:t>
      </w:r>
      <w:r>
        <w:t>are not sent to VBECS.</w:t>
      </w:r>
      <w:r>
        <w:rPr>
          <w:vanish/>
        </w:rPr>
        <w:t xml:space="preserve"> DR 4173</w:t>
      </w:r>
      <w:r>
        <w:t xml:space="preserve"> </w:t>
      </w:r>
    </w:p>
    <w:p w14:paraId="74874B67" w14:textId="77777777" w:rsidR="00D26DD7" w:rsidRDefault="00D26DD7" w:rsidP="00EE44F1">
      <w:pPr>
        <w:pStyle w:val="ListBullet"/>
      </w:pPr>
      <w:r>
        <w:t>Transfu</w:t>
      </w:r>
      <w:r w:rsidR="00A6148D">
        <w:t>sion reaction symptoms are not provided</w:t>
      </w:r>
      <w:r>
        <w:t xml:space="preserve"> to VBECS by the Transfusion Verification application unless a transfusion reaction has also been indicated for that event.</w:t>
      </w:r>
      <w:r>
        <w:rPr>
          <w:vanish/>
        </w:rPr>
        <w:t xml:space="preserve"> DR 4217</w:t>
      </w:r>
    </w:p>
    <w:p w14:paraId="269230CC" w14:textId="42179836" w:rsidR="00BE45C8" w:rsidRDefault="00BE45C8" w:rsidP="00EE44F1">
      <w:pPr>
        <w:pStyle w:val="ListBullet"/>
      </w:pPr>
      <w:r>
        <w:t>The system</w:t>
      </w:r>
      <w:r w:rsidR="00A8435F">
        <w:t xml:space="preserve"> will not perform </w:t>
      </w:r>
      <w:r w:rsidR="008507C1">
        <w:t xml:space="preserve">unit expiration </w:t>
      </w:r>
      <w:r w:rsidR="00A8435F">
        <w:t>time-limit checks when remote storage was indicated during issue.</w:t>
      </w:r>
    </w:p>
    <w:p w14:paraId="0564A482" w14:textId="77777777" w:rsidR="002A21AE" w:rsidRDefault="002A21AE">
      <w:pPr>
        <w:pStyle w:val="Heading4"/>
      </w:pPr>
      <w:r>
        <w:t>Additional Information</w:t>
      </w:r>
    </w:p>
    <w:p w14:paraId="0107CCE6" w14:textId="77777777" w:rsidR="005F07D8" w:rsidRPr="004C51FE" w:rsidRDefault="00F854CF" w:rsidP="005F07D8">
      <w:pPr>
        <w:pStyle w:val="ListBullet"/>
      </w:pPr>
      <w:r>
        <w:rPr>
          <w:rFonts w:eastAsia="Arial Unicode MS"/>
        </w:rPr>
        <w:t>A</w:t>
      </w:r>
      <w:r w:rsidR="005F07D8">
        <w:rPr>
          <w:rFonts w:eastAsia="Arial Unicode MS"/>
        </w:rPr>
        <w:t xml:space="preserve"> user </w:t>
      </w:r>
      <w:r>
        <w:rPr>
          <w:rFonts w:eastAsia="Arial Unicode MS"/>
        </w:rPr>
        <w:t xml:space="preserve">with the appropriate security level </w:t>
      </w:r>
      <w:r w:rsidR="005F07D8">
        <w:rPr>
          <w:rFonts w:eastAsia="Arial Unicode MS"/>
        </w:rPr>
        <w:t xml:space="preserve">may </w:t>
      </w:r>
      <w:r w:rsidR="005F07D8" w:rsidRPr="005F07D8">
        <w:rPr>
          <w:rFonts w:eastAsia="Arial Unicode MS"/>
        </w:rPr>
        <w:t>enter</w:t>
      </w:r>
      <w:r w:rsidR="005F07D8">
        <w:rPr>
          <w:rFonts w:eastAsia="Arial Unicode MS"/>
        </w:rPr>
        <w:t xml:space="preserve"> </w:t>
      </w:r>
      <w:r>
        <w:rPr>
          <w:rFonts w:eastAsia="Arial Unicode MS"/>
        </w:rPr>
        <w:t xml:space="preserve">or edit </w:t>
      </w:r>
      <w:r w:rsidR="005F07D8">
        <w:rPr>
          <w:rFonts w:eastAsia="Arial Unicode MS"/>
        </w:rPr>
        <w:t>bedside verification information unless it is re</w:t>
      </w:r>
      <w:r w:rsidR="005109EB">
        <w:rPr>
          <w:rFonts w:eastAsia="Arial Unicode MS"/>
        </w:rPr>
        <w:t>ceiv</w:t>
      </w:r>
      <w:r w:rsidR="00CC58D8">
        <w:rPr>
          <w:rFonts w:eastAsia="Arial Unicode MS"/>
        </w:rPr>
        <w:t>ed from BCE COTS interface</w:t>
      </w:r>
      <w:r w:rsidR="005F07D8">
        <w:rPr>
          <w:rFonts w:eastAsia="Arial Unicode MS"/>
        </w:rPr>
        <w:t>.</w:t>
      </w:r>
    </w:p>
    <w:p w14:paraId="234C337A" w14:textId="77777777" w:rsidR="002A21AE" w:rsidRPr="004C51FE" w:rsidRDefault="002A21AE" w:rsidP="004C51FE">
      <w:pPr>
        <w:pStyle w:val="ListBullet"/>
      </w:pPr>
      <w:r w:rsidRPr="00D5161F">
        <w:rPr>
          <w:vanish/>
        </w:rPr>
        <w:t xml:space="preserve">BR_69.09 </w:t>
      </w:r>
      <w:r w:rsidRPr="004C51FE">
        <w:t>The user may indicate that a transfusion reaction and symptoms were noted on the BTRF as free text. Noting a transfusion reaction does not create an order for a transfusion reaction workup (TRW).</w:t>
      </w:r>
    </w:p>
    <w:p w14:paraId="3D5F9155" w14:textId="77777777" w:rsidR="004C51FE" w:rsidRDefault="00776AAE" w:rsidP="004C51FE">
      <w:pPr>
        <w:pStyle w:val="ListBullet"/>
      </w:pPr>
      <w:r>
        <w:t>R</w:t>
      </w:r>
      <w:r w:rsidR="004C51FE">
        <w:t>emove a “transfused” status</w:t>
      </w:r>
      <w:r>
        <w:t xml:space="preserve"> through</w:t>
      </w:r>
      <w:r w:rsidR="004C51FE">
        <w:t xml:space="preserve"> Remove Final Status</w:t>
      </w:r>
      <w:r w:rsidR="00A6148D">
        <w:t xml:space="preserve"> unless that unit was transfused by the Transfusion Verification application. See limitations in Remove Final Status</w:t>
      </w:r>
      <w:r w:rsidR="004C51FE">
        <w:t>.</w:t>
      </w:r>
    </w:p>
    <w:p w14:paraId="16575032" w14:textId="77777777" w:rsidR="002A21AE" w:rsidRDefault="002A21AE">
      <w:pPr>
        <w:pStyle w:val="Heading4"/>
      </w:pPr>
      <w:r>
        <w:t>User Roles with Access to This Option</w:t>
      </w:r>
    </w:p>
    <w:p w14:paraId="2EAC55F2" w14:textId="77777777" w:rsidR="007D4E77" w:rsidRDefault="007D4E77" w:rsidP="007D4E77">
      <w:pPr>
        <w:pStyle w:val="Roles"/>
        <w:rPr>
          <w:snapToGrid w:val="0"/>
        </w:rPr>
      </w:pPr>
      <w:r>
        <w:t>All users</w:t>
      </w:r>
    </w:p>
    <w:p w14:paraId="3DDF1A34" w14:textId="77777777" w:rsidR="00F3651E" w:rsidRDefault="00F3651E">
      <w:r>
        <w:br w:type="page"/>
      </w:r>
    </w:p>
    <w:p w14:paraId="438672F6" w14:textId="77777777" w:rsidR="008507C1" w:rsidRDefault="008507C1">
      <w:pPr>
        <w:rPr>
          <w:rFonts w:ascii="Arial" w:hAnsi="Arial"/>
          <w:b/>
          <w:sz w:val="22"/>
        </w:rPr>
      </w:pPr>
    </w:p>
    <w:p w14:paraId="2469FF34" w14:textId="38E82BA5" w:rsidR="002A21AE" w:rsidRDefault="002A21AE">
      <w:pPr>
        <w:pStyle w:val="Heading4"/>
      </w:pPr>
      <w:r>
        <w:t>Post-Transfusion Information</w:t>
      </w:r>
    </w:p>
    <w:p w14:paraId="11704303" w14:textId="77777777" w:rsidR="002A21AE" w:rsidRDefault="002A21AE" w:rsidP="00FA7E65">
      <w:pPr>
        <w:pStyle w:val="BodyText"/>
      </w:pPr>
      <w:r>
        <w:t>The user verifies the date and time transfused with a returned BTRF, adds other transfusion details, initiates a system check of the bedside verification information, enters that information, and indicates whether a</w:t>
      </w:r>
      <w:r w:rsidR="00A10483">
        <w:t xml:space="preserve"> </w:t>
      </w:r>
      <w:r>
        <w:t xml:space="preserve">reaction occurred during or immediately after the transfusion, as documented on the BTRF. </w:t>
      </w:r>
      <w:r w:rsidR="006B7AA9">
        <w:t xml:space="preserve">VBECS does not require entry of post-transfusion information: </w:t>
      </w:r>
      <w:r w:rsidR="00CA57D7">
        <w:t xml:space="preserve">once a day, </w:t>
      </w:r>
      <w:r w:rsidR="006B7AA9">
        <w:t xml:space="preserve">without user input, </w:t>
      </w:r>
      <w:r w:rsidR="00CA57D7">
        <w:t>VBECS moves units 48 hours after issue to</w:t>
      </w:r>
      <w:r w:rsidR="006B7AA9">
        <w:t xml:space="preserve"> “presumed transfused” status</w:t>
      </w:r>
      <w:r w:rsidR="005C7822" w:rsidRPr="00FE1F14">
        <w:rPr>
          <w:vanish/>
        </w:rPr>
        <w:t>UserDoc Task 1098</w:t>
      </w:r>
      <w:r w:rsidR="006B7AA9">
        <w:t xml:space="preserve">. </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78C1FD7A" w14:textId="77777777">
        <w:trPr>
          <w:cantSplit/>
          <w:tblHeader/>
        </w:trPr>
        <w:tc>
          <w:tcPr>
            <w:tcW w:w="3240" w:type="dxa"/>
            <w:shd w:val="pct30" w:color="auto" w:fill="FFFFFF"/>
            <w:vAlign w:val="bottom"/>
          </w:tcPr>
          <w:p w14:paraId="1AC78AC1" w14:textId="77777777" w:rsidR="002A21AE" w:rsidRDefault="002A21AE">
            <w:pPr>
              <w:pStyle w:val="TableText"/>
              <w:rPr>
                <w:b/>
              </w:rPr>
            </w:pPr>
            <w:r>
              <w:rPr>
                <w:b/>
              </w:rPr>
              <w:t>User Action</w:t>
            </w:r>
          </w:p>
        </w:tc>
        <w:tc>
          <w:tcPr>
            <w:tcW w:w="6120" w:type="dxa"/>
            <w:shd w:val="pct30" w:color="auto" w:fill="FFFFFF"/>
            <w:vAlign w:val="bottom"/>
          </w:tcPr>
          <w:p w14:paraId="7422DE95" w14:textId="77777777" w:rsidR="002A21AE" w:rsidRDefault="002A21AE">
            <w:pPr>
              <w:pStyle w:val="TableText"/>
              <w:rPr>
                <w:b/>
              </w:rPr>
            </w:pPr>
            <w:r>
              <w:rPr>
                <w:b/>
              </w:rPr>
              <w:t>VBECS</w:t>
            </w:r>
          </w:p>
        </w:tc>
      </w:tr>
      <w:tr w:rsidR="002A21AE" w14:paraId="5CC12B4F" w14:textId="77777777">
        <w:tc>
          <w:tcPr>
            <w:tcW w:w="3240" w:type="dxa"/>
            <w:tcBorders>
              <w:top w:val="single" w:sz="4" w:space="0" w:color="auto"/>
              <w:left w:val="single" w:sz="4" w:space="0" w:color="auto"/>
              <w:bottom w:val="single" w:sz="4" w:space="0" w:color="auto"/>
              <w:right w:val="single" w:sz="4" w:space="0" w:color="auto"/>
            </w:tcBorders>
          </w:tcPr>
          <w:p w14:paraId="45261B32" w14:textId="77777777" w:rsidR="002A21AE" w:rsidRDefault="002A21AE">
            <w:pPr>
              <w:pStyle w:val="TableTextNumbers"/>
            </w:pPr>
            <w:r>
              <w:t xml:space="preserve">Select </w:t>
            </w:r>
            <w:r>
              <w:rPr>
                <w:b/>
              </w:rPr>
              <w:t>Patients</w:t>
            </w:r>
            <w:r>
              <w:t xml:space="preserve"> from the main menu.</w:t>
            </w:r>
          </w:p>
          <w:p w14:paraId="61EE19F7" w14:textId="77777777" w:rsidR="002A21AE" w:rsidRDefault="002A21AE">
            <w:pPr>
              <w:pStyle w:val="TableTextNumbersContinued"/>
            </w:pPr>
          </w:p>
          <w:p w14:paraId="0666F98B" w14:textId="77777777" w:rsidR="002A21AE" w:rsidRDefault="002A21AE">
            <w:pPr>
              <w:pStyle w:val="TableTextNumbersContinued"/>
            </w:pPr>
            <w:r>
              <w:t xml:space="preserve">Select </w:t>
            </w:r>
            <w:r>
              <w:rPr>
                <w:b/>
              </w:rPr>
              <w:t>Post-Transfusion Information</w:t>
            </w:r>
            <w:r>
              <w:t xml:space="preserve">. </w:t>
            </w:r>
          </w:p>
        </w:tc>
        <w:tc>
          <w:tcPr>
            <w:tcW w:w="6120" w:type="dxa"/>
            <w:tcBorders>
              <w:top w:val="single" w:sz="4" w:space="0" w:color="auto"/>
              <w:left w:val="single" w:sz="4" w:space="0" w:color="auto"/>
              <w:bottom w:val="single" w:sz="4" w:space="0" w:color="auto"/>
              <w:right w:val="single" w:sz="4" w:space="0" w:color="auto"/>
            </w:tcBorders>
          </w:tcPr>
          <w:p w14:paraId="377FF0AF" w14:textId="77777777" w:rsidR="002A21AE" w:rsidRDefault="002A21AE">
            <w:pPr>
              <w:pStyle w:val="TableTextBullet"/>
            </w:pPr>
            <w:r>
              <w:t>Displays options for processing patient-related functions.</w:t>
            </w:r>
          </w:p>
          <w:p w14:paraId="42414357" w14:textId="77777777" w:rsidR="002A21AE" w:rsidRDefault="002A21AE">
            <w:pPr>
              <w:pStyle w:val="TableTextBullet"/>
            </w:pPr>
            <w:r>
              <w:t>Displays an option to scan the Caution Tag or enter a patient name or ID.</w:t>
            </w:r>
          </w:p>
        </w:tc>
      </w:tr>
      <w:tr w:rsidR="002A21AE" w14:paraId="0BE6B769" w14:textId="77777777">
        <w:tc>
          <w:tcPr>
            <w:tcW w:w="3240" w:type="dxa"/>
          </w:tcPr>
          <w:p w14:paraId="79A75335" w14:textId="77777777" w:rsidR="002A21AE" w:rsidRDefault="002A21AE">
            <w:pPr>
              <w:pStyle w:val="TableTextNumbers"/>
            </w:pPr>
            <w:r>
              <w:t xml:space="preserve">Select a patient and click </w:t>
            </w:r>
            <w:r>
              <w:rPr>
                <w:b/>
              </w:rPr>
              <w:t>OK</w:t>
            </w:r>
            <w:r>
              <w:t>.</w:t>
            </w:r>
          </w:p>
        </w:tc>
        <w:tc>
          <w:tcPr>
            <w:tcW w:w="6120" w:type="dxa"/>
          </w:tcPr>
          <w:p w14:paraId="23300C78" w14:textId="77777777" w:rsidR="002A21AE" w:rsidRDefault="002A21AE">
            <w:pPr>
              <w:pStyle w:val="TableTextBullet"/>
            </w:pPr>
            <w:r>
              <w:rPr>
                <w:rFonts w:cs="Arial"/>
                <w:vanish/>
              </w:rPr>
              <w:t xml:space="preserve">BR_69.02 </w:t>
            </w:r>
            <w:r>
              <w:t xml:space="preserve">Lists the units issued to the selected patient. </w:t>
            </w:r>
          </w:p>
          <w:p w14:paraId="055B26F2" w14:textId="77777777" w:rsidR="002A21AE" w:rsidRDefault="002A21AE">
            <w:pPr>
              <w:pStyle w:val="TableTextBullet"/>
            </w:pPr>
            <w:r>
              <w:t>Displays the issue date and time.</w:t>
            </w:r>
          </w:p>
          <w:p w14:paraId="14F1D31B" w14:textId="77777777" w:rsidR="002A21AE" w:rsidRDefault="002A21AE">
            <w:pPr>
              <w:pStyle w:val="TableTextBullet"/>
            </w:pPr>
            <w:r>
              <w:t>Displays the units one at a time for update in the order in which the user selected them.</w:t>
            </w:r>
          </w:p>
          <w:p w14:paraId="1C3C6756" w14:textId="77777777" w:rsidR="002A21AE" w:rsidRDefault="002A21AE">
            <w:pPr>
              <w:pStyle w:val="TableText"/>
            </w:pPr>
          </w:p>
          <w:p w14:paraId="54550E61" w14:textId="010AB111" w:rsidR="002A21AE" w:rsidRDefault="002A21AE">
            <w:pPr>
              <w:pStyle w:val="TableText"/>
              <w:rPr>
                <w:b/>
                <w:bCs/>
                <w:szCs w:val="18"/>
              </w:rPr>
            </w:pPr>
            <w:r>
              <w:rPr>
                <w:b/>
                <w:bCs/>
                <w:szCs w:val="18"/>
              </w:rPr>
              <w:t>NOTES</w:t>
            </w:r>
          </w:p>
          <w:p w14:paraId="5E158BA8" w14:textId="77777777" w:rsidR="002A21AE" w:rsidRDefault="002A21AE">
            <w:pPr>
              <w:pStyle w:val="NotesText"/>
            </w:pPr>
          </w:p>
          <w:p w14:paraId="7B9BA5DD" w14:textId="77777777" w:rsidR="00C341A6" w:rsidRDefault="00C341A6" w:rsidP="00C341A6">
            <w:pPr>
              <w:pStyle w:val="NotesText"/>
            </w:pPr>
            <w:r>
              <w:rPr>
                <w:rFonts w:cs="Arial"/>
                <w:vanish/>
              </w:rPr>
              <w:t xml:space="preserve">BR_69.03 </w:t>
            </w:r>
            <w:r w:rsidRPr="007D4E77">
              <w:rPr>
                <w:rFonts w:ascii="Wingdings 3" w:hAnsi="Wingdings 3"/>
              </w:rPr>
              <w:t></w:t>
            </w:r>
            <w:r w:rsidRPr="007D4E77">
              <w:rPr>
                <w:rFonts w:ascii="Wingdings 3" w:hAnsi="Wingdings 3"/>
              </w:rPr>
              <w:t></w:t>
            </w:r>
            <w:r w:rsidRPr="007D4E77">
              <w:rPr>
                <w:rFonts w:ascii="Wingdings 3" w:hAnsi="Wingdings 3"/>
              </w:rPr>
              <w:t></w:t>
            </w:r>
            <w:r w:rsidRPr="007D4E77">
              <w:rPr>
                <w:rFonts w:ascii="Wingdings 3" w:hAnsi="Wingdings 3"/>
              </w:rPr>
              <w:t></w:t>
            </w:r>
            <w:r>
              <w:t xml:space="preserve"> VBECS displays an option to obtain a list of transfused (those not received by BCE COTS) units for the patient when the user is a Traditional Supervisor or above.</w:t>
            </w:r>
          </w:p>
          <w:p w14:paraId="1D36F677" w14:textId="77777777" w:rsidR="002A21AE" w:rsidRDefault="002A21AE">
            <w:pPr>
              <w:pStyle w:val="NotesText"/>
            </w:pPr>
          </w:p>
          <w:p w14:paraId="6099EB5A" w14:textId="6E512E01" w:rsidR="00C341A6" w:rsidRDefault="00C341A6">
            <w:pPr>
              <w:pStyle w:val="NotesText"/>
            </w:pPr>
            <w:r w:rsidRPr="00E34E31">
              <w:rPr>
                <w:vanish/>
              </w:rPr>
              <w:t xml:space="preserve">BR_69.01 </w:t>
            </w:r>
            <w:r w:rsidRPr="00E34E31">
              <w:t>When post-transfusion information is not entered into VBECS within 48 hours from the date/time the unit was recorded as “issued”, VBECS will change the unit status to “transfused” with a presumed indicator after the execution of a scheduled background job. The unit will then be considered transfused by the system regarding report generation.</w:t>
            </w:r>
            <w:r w:rsidRPr="00B05DFD">
              <w:rPr>
                <w:vanish/>
              </w:rPr>
              <w:t xml:space="preserve"> If post-transfusion information is entered later, the presumed indicator is deactivated.</w:t>
            </w:r>
            <w:r w:rsidR="00B05DFD">
              <w:rPr>
                <w:vanish/>
              </w:rPr>
              <w:t xml:space="preserve"> (Bug 63797)</w:t>
            </w:r>
          </w:p>
        </w:tc>
      </w:tr>
      <w:tr w:rsidR="00D51EEA" w14:paraId="6EA84874" w14:textId="77777777">
        <w:tc>
          <w:tcPr>
            <w:tcW w:w="3240" w:type="dxa"/>
          </w:tcPr>
          <w:p w14:paraId="2D16F736" w14:textId="7F92BC49" w:rsidR="00D51EEA" w:rsidRDefault="00D51EEA">
            <w:pPr>
              <w:pStyle w:val="TableTextNumbers"/>
            </w:pPr>
            <w:r>
              <w:t>Click one or more check boxes to select units</w:t>
            </w:r>
            <w:r w:rsidR="00DA5ED4">
              <w:t xml:space="preserve"> (</w:t>
            </w:r>
            <w:r w:rsidR="00EE455E">
              <w:t xml:space="preserve">Figure </w:t>
            </w:r>
            <w:r w:rsidR="00EE455E">
              <w:rPr>
                <w:noProof/>
              </w:rPr>
              <w:t>112</w:t>
            </w:r>
            <w:r w:rsidR="00DA5ED4">
              <w:t>)</w:t>
            </w:r>
            <w:r>
              <w:t>.</w:t>
            </w:r>
          </w:p>
          <w:p w14:paraId="651691B4" w14:textId="77777777" w:rsidR="00AB0C95" w:rsidRDefault="00AB0C95" w:rsidP="00AB0C95">
            <w:pPr>
              <w:pStyle w:val="TableTextNumbersContinued"/>
            </w:pPr>
          </w:p>
          <w:p w14:paraId="2DE0A459" w14:textId="77777777" w:rsidR="00AB0C95" w:rsidRDefault="00AB0C95" w:rsidP="00AB0C95">
            <w:pPr>
              <w:pStyle w:val="TableTextNumbersContinued"/>
            </w:pPr>
            <w:r>
              <w:t xml:space="preserve">Click </w:t>
            </w:r>
            <w:r w:rsidRPr="00AB0C95">
              <w:rPr>
                <w:b/>
              </w:rPr>
              <w:t>OK</w:t>
            </w:r>
            <w:r>
              <w:t>.</w:t>
            </w:r>
          </w:p>
        </w:tc>
        <w:tc>
          <w:tcPr>
            <w:tcW w:w="6120" w:type="dxa"/>
          </w:tcPr>
          <w:p w14:paraId="1E0DAAC6" w14:textId="77777777" w:rsidR="00D51EEA" w:rsidRDefault="00D51EEA" w:rsidP="00D51EEA">
            <w:pPr>
              <w:pStyle w:val="TableTextBullet"/>
            </w:pPr>
            <w:r>
              <w:t>Allows the user to select units for which to enter post-transfusion information.</w:t>
            </w:r>
          </w:p>
          <w:p w14:paraId="0D5D2980" w14:textId="77777777" w:rsidR="00D51EEA" w:rsidRDefault="00D51EEA" w:rsidP="00D51EEA">
            <w:pPr>
              <w:pStyle w:val="TableText"/>
            </w:pPr>
          </w:p>
          <w:p w14:paraId="4A0DD67C" w14:textId="12378B9B" w:rsidR="00D51EEA" w:rsidRDefault="00D51EEA" w:rsidP="00D51EEA">
            <w:pPr>
              <w:pStyle w:val="TableText"/>
              <w:rPr>
                <w:b/>
                <w:bCs/>
                <w:szCs w:val="18"/>
              </w:rPr>
            </w:pPr>
            <w:r>
              <w:rPr>
                <w:b/>
                <w:bCs/>
                <w:szCs w:val="18"/>
              </w:rPr>
              <w:t>NOTES</w:t>
            </w:r>
          </w:p>
          <w:p w14:paraId="0FEA3BBA" w14:textId="77777777" w:rsidR="00D51EEA" w:rsidRDefault="00D51EEA" w:rsidP="00D51EEA">
            <w:pPr>
              <w:pStyle w:val="NotesText"/>
            </w:pPr>
          </w:p>
          <w:p w14:paraId="2801F888" w14:textId="77777777" w:rsidR="00D51EEA" w:rsidRDefault="00D51EEA" w:rsidP="00D51EEA">
            <w:pPr>
              <w:pStyle w:val="NotesText"/>
            </w:pPr>
            <w:r w:rsidRPr="00896F17">
              <w:rPr>
                <w:rStyle w:val="BullhornChar"/>
              </w:rPr>
              <w:t></w:t>
            </w:r>
            <w:r>
              <w:rPr>
                <w:color w:val="000000"/>
                <w:szCs w:val="18"/>
              </w:rPr>
              <w:t xml:space="preserve"> </w:t>
            </w:r>
            <w:r>
              <w:rPr>
                <w:rFonts w:cs="Arial"/>
                <w:vanish/>
              </w:rPr>
              <w:t xml:space="preserve">BR_70.06 </w:t>
            </w:r>
            <w:r>
              <w:t xml:space="preserve">VBECS does not list units (for selection) with a final status. When a user enters a unit with a final status, VBECS </w:t>
            </w:r>
            <w:r w:rsidR="007826D2">
              <w:t>alerts</w:t>
            </w:r>
            <w:r>
              <w:t xml:space="preserve"> the user and clears the screen. The user may select another unit.</w:t>
            </w:r>
          </w:p>
        </w:tc>
      </w:tr>
      <w:tr w:rsidR="002A21AE" w14:paraId="08E1C609" w14:textId="77777777" w:rsidTr="006C058D">
        <w:trPr>
          <w:cantSplit/>
        </w:trPr>
        <w:tc>
          <w:tcPr>
            <w:tcW w:w="3240" w:type="dxa"/>
          </w:tcPr>
          <w:p w14:paraId="48F07C2E" w14:textId="77777777" w:rsidR="002A21AE" w:rsidRDefault="002A21AE">
            <w:pPr>
              <w:pStyle w:val="TableTextNumbers"/>
            </w:pPr>
            <w:r>
              <w:lastRenderedPageBreak/>
              <w:t xml:space="preserve">Enter transfusion details for a blood unit. </w:t>
            </w:r>
          </w:p>
          <w:p w14:paraId="4CD8DC3C" w14:textId="77777777" w:rsidR="002A21AE" w:rsidRDefault="002A21AE">
            <w:pPr>
              <w:pStyle w:val="TableTextNumbersContinued"/>
            </w:pPr>
          </w:p>
          <w:p w14:paraId="3685B660" w14:textId="77777777" w:rsidR="002A21AE" w:rsidRDefault="002A21AE">
            <w:pPr>
              <w:pStyle w:val="TableTextNumbersContinued"/>
            </w:pPr>
            <w:r>
              <w:t>Verify the unit selection.</w:t>
            </w:r>
          </w:p>
        </w:tc>
        <w:tc>
          <w:tcPr>
            <w:tcW w:w="6120" w:type="dxa"/>
          </w:tcPr>
          <w:p w14:paraId="42B24CC7" w14:textId="77777777" w:rsidR="00557C79" w:rsidRDefault="00557C79" w:rsidP="00557C79">
            <w:pPr>
              <w:pStyle w:val="TableTextBullet"/>
            </w:pPr>
            <w:r>
              <w:t xml:space="preserve">Displays the unit information entered by the bedside verification check and allows the user to enter to edit the information. </w:t>
            </w:r>
          </w:p>
          <w:p w14:paraId="4D384835" w14:textId="77777777" w:rsidR="00132628" w:rsidRDefault="00132628" w:rsidP="00557C79">
            <w:pPr>
              <w:pStyle w:val="TableTextBullet"/>
            </w:pPr>
            <w:r>
              <w:t>Displays an option to enter or edit unit data.</w:t>
            </w:r>
          </w:p>
          <w:p w14:paraId="0336F1E6" w14:textId="77777777" w:rsidR="00557C79" w:rsidRDefault="00557C79" w:rsidP="00557C79">
            <w:pPr>
              <w:pStyle w:val="TableText"/>
            </w:pPr>
          </w:p>
          <w:p w14:paraId="6DEAB375" w14:textId="77F37626" w:rsidR="00557C79" w:rsidRDefault="00557C79" w:rsidP="00557C79">
            <w:pPr>
              <w:pStyle w:val="TableText"/>
              <w:rPr>
                <w:b/>
                <w:bCs/>
                <w:szCs w:val="18"/>
              </w:rPr>
            </w:pPr>
            <w:r>
              <w:rPr>
                <w:b/>
                <w:bCs/>
                <w:szCs w:val="18"/>
              </w:rPr>
              <w:t>NOTES</w:t>
            </w:r>
          </w:p>
          <w:p w14:paraId="5FF38478" w14:textId="77777777" w:rsidR="00557C79" w:rsidRDefault="00557C79" w:rsidP="00557C79">
            <w:pPr>
              <w:pStyle w:val="NotesText"/>
            </w:pPr>
          </w:p>
          <w:p w14:paraId="1C2DCED5" w14:textId="77777777" w:rsidR="002A21AE" w:rsidRDefault="00557C79" w:rsidP="00557C79">
            <w:pPr>
              <w:pStyle w:val="NotesText"/>
            </w:pPr>
            <w:r>
              <w:rPr>
                <w:rFonts w:cs="Arial"/>
                <w:vanish/>
              </w:rPr>
              <w:t xml:space="preserve">BR_69.05 </w:t>
            </w:r>
            <w:r w:rsidR="006D571D" w:rsidRPr="007D4E77">
              <w:rPr>
                <w:rFonts w:ascii="Wingdings 3" w:hAnsi="Wingdings 3"/>
              </w:rPr>
              <w:t></w:t>
            </w:r>
            <w:r w:rsidR="006D571D" w:rsidRPr="007D4E77">
              <w:rPr>
                <w:rFonts w:ascii="Wingdings 3" w:hAnsi="Wingdings 3"/>
              </w:rPr>
              <w:t></w:t>
            </w:r>
            <w:r w:rsidR="006D571D" w:rsidRPr="007D4E77">
              <w:rPr>
                <w:rFonts w:ascii="Wingdings 3" w:hAnsi="Wingdings 3"/>
              </w:rPr>
              <w:t></w:t>
            </w:r>
            <w:r w:rsidR="006D571D" w:rsidRPr="007D4E77">
              <w:rPr>
                <w:rFonts w:ascii="Wingdings 3" w:hAnsi="Wingdings 3"/>
              </w:rPr>
              <w:t></w:t>
            </w:r>
            <w:r w:rsidR="006D571D">
              <w:t xml:space="preserve"> </w:t>
            </w:r>
            <w:r>
              <w:t xml:space="preserve">A user with a security setting of Traditional Supervisor may edit </w:t>
            </w:r>
            <w:r w:rsidR="00DA747E">
              <w:t>user</w:t>
            </w:r>
            <w:r>
              <w:t xml:space="preserve"> entered bedside verification, transfusion reaction, or post-transfusion detail information.</w:t>
            </w:r>
          </w:p>
          <w:p w14:paraId="24646FB0" w14:textId="77777777" w:rsidR="00132628" w:rsidRDefault="00132628" w:rsidP="00132628">
            <w:pPr>
              <w:pStyle w:val="NotesText"/>
            </w:pPr>
          </w:p>
          <w:p w14:paraId="3C1D7028" w14:textId="77777777" w:rsidR="003427EE" w:rsidRDefault="00132628" w:rsidP="003427EE">
            <w:pPr>
              <w:pStyle w:val="NotesText"/>
            </w:pPr>
            <w:r>
              <w:rPr>
                <w:rFonts w:cs="Arial"/>
                <w:vanish/>
              </w:rPr>
              <w:t xml:space="preserve">BR_69.08 </w:t>
            </w:r>
            <w:r>
              <w:t>VBECS displays an option to enter information for each unit.</w:t>
            </w:r>
            <w:r w:rsidR="00FE3062">
              <w:t xml:space="preserve"> This information is available for patient record retrieval.</w:t>
            </w:r>
          </w:p>
          <w:p w14:paraId="5064715E" w14:textId="77777777" w:rsidR="00927825" w:rsidRDefault="00927825" w:rsidP="003427EE">
            <w:pPr>
              <w:pStyle w:val="NotesText"/>
            </w:pPr>
          </w:p>
          <w:p w14:paraId="385DFDE3" w14:textId="77777777" w:rsidR="00927825" w:rsidRPr="003427EE" w:rsidRDefault="00E15CC5" w:rsidP="00E15CC5">
            <w:pPr>
              <w:pStyle w:val="NotesText"/>
            </w:pPr>
            <w:r w:rsidRPr="00E15CC5">
              <w:rPr>
                <w:vanish/>
              </w:rPr>
              <w:t xml:space="preserve">BR_69.08 </w:t>
            </w:r>
            <w:r w:rsidRPr="00E15CC5">
              <w:t>To prevent rejection of transfusion information exchanged between VBECS and the Transfusion Verification system, a variance of +/- five (5) minutes is permitted for time of issue and transfusion start and end times. The variance allows the two systems to communicate even when their internal time is not precisely synced to the minute.</w:t>
            </w:r>
            <w:r w:rsidR="004B714E" w:rsidRPr="004B714E">
              <w:rPr>
                <w:vanish/>
              </w:rPr>
              <w:t xml:space="preserve"> (Defect 371676)</w:t>
            </w:r>
          </w:p>
        </w:tc>
      </w:tr>
      <w:tr w:rsidR="002A21AE" w14:paraId="2225A9EC" w14:textId="77777777">
        <w:tc>
          <w:tcPr>
            <w:tcW w:w="3240" w:type="dxa"/>
          </w:tcPr>
          <w:p w14:paraId="5876EF35" w14:textId="77777777" w:rsidR="002A21AE" w:rsidRDefault="002A21AE">
            <w:pPr>
              <w:pStyle w:val="TableTextNumbers"/>
            </w:pPr>
            <w:r>
              <w:t>Select one or more units. Enter or edit the bedside verification check information with the proper security level.</w:t>
            </w:r>
          </w:p>
        </w:tc>
        <w:tc>
          <w:tcPr>
            <w:tcW w:w="6120" w:type="dxa"/>
          </w:tcPr>
          <w:p w14:paraId="65C396F9" w14:textId="77777777" w:rsidR="002A21AE" w:rsidRDefault="002A21AE">
            <w:pPr>
              <w:pStyle w:val="TableTextBullet"/>
            </w:pPr>
            <w:r>
              <w:t>Displays the entries for review, including the comment, until all details are entered.</w:t>
            </w:r>
          </w:p>
          <w:p w14:paraId="1B83BCAE" w14:textId="77777777" w:rsidR="002A21AE" w:rsidRDefault="002A21AE">
            <w:pPr>
              <w:pStyle w:val="TableTextBullet"/>
            </w:pPr>
            <w:r>
              <w:t>Displays an option to save the data and exit.</w:t>
            </w:r>
          </w:p>
          <w:p w14:paraId="27EA1A1B" w14:textId="77777777" w:rsidR="002A21AE" w:rsidRDefault="002A21AE">
            <w:pPr>
              <w:pStyle w:val="TableText"/>
            </w:pPr>
          </w:p>
          <w:p w14:paraId="5AF84ECE" w14:textId="52088807" w:rsidR="002A21AE" w:rsidRDefault="002A21AE">
            <w:pPr>
              <w:pStyle w:val="TableText"/>
              <w:rPr>
                <w:b/>
                <w:bCs/>
                <w:szCs w:val="18"/>
              </w:rPr>
            </w:pPr>
            <w:r>
              <w:rPr>
                <w:b/>
                <w:bCs/>
                <w:szCs w:val="18"/>
              </w:rPr>
              <w:t>NOTES</w:t>
            </w:r>
          </w:p>
          <w:p w14:paraId="02F41C3E" w14:textId="77777777" w:rsidR="002A21AE" w:rsidRDefault="002A21AE">
            <w:pPr>
              <w:pStyle w:val="NotesText"/>
            </w:pPr>
          </w:p>
          <w:p w14:paraId="69EC1D1C" w14:textId="77777777" w:rsidR="002A21AE" w:rsidRPr="00D6556D" w:rsidRDefault="002A21AE" w:rsidP="00D6556D">
            <w:pPr>
              <w:pStyle w:val="NotesText"/>
            </w:pPr>
            <w:r>
              <w:rPr>
                <w:rFonts w:cs="Arial"/>
                <w:vanish/>
              </w:rPr>
              <w:t xml:space="preserve">BR_69.12 </w:t>
            </w:r>
            <w:r>
              <w:t>Upon data entry and saving of the post-transfusion information, VBECS assigns a status of “transfused” for the unit of blood assigned to the indicated patient.</w:t>
            </w:r>
          </w:p>
        </w:tc>
      </w:tr>
      <w:tr w:rsidR="002A21AE" w14:paraId="7338AC95" w14:textId="77777777">
        <w:tc>
          <w:tcPr>
            <w:tcW w:w="3240" w:type="dxa"/>
          </w:tcPr>
          <w:p w14:paraId="19F478AF" w14:textId="77777777" w:rsidR="002A21AE" w:rsidRDefault="0014520D">
            <w:pPr>
              <w:pStyle w:val="TableTextNumbers"/>
            </w:pPr>
            <w:r>
              <w:t>Enter post-transfusion details, including:</w:t>
            </w:r>
          </w:p>
          <w:p w14:paraId="52C6A305" w14:textId="77777777" w:rsidR="0014520D" w:rsidRDefault="0014520D" w:rsidP="00506CA6">
            <w:pPr>
              <w:pStyle w:val="TableTextNumbersBullet"/>
              <w:tabs>
                <w:tab w:val="clear" w:pos="288"/>
              </w:tabs>
              <w:ind w:left="510" w:hanging="222"/>
            </w:pPr>
            <w:r>
              <w:t>Transfusion start and end dates and times</w:t>
            </w:r>
          </w:p>
          <w:p w14:paraId="2968E1AA" w14:textId="77777777" w:rsidR="0014520D" w:rsidRDefault="0014520D" w:rsidP="00506CA6">
            <w:pPr>
              <w:pStyle w:val="TableTextNumbersBullet"/>
              <w:tabs>
                <w:tab w:val="clear" w:pos="288"/>
              </w:tabs>
              <w:ind w:left="510" w:hanging="222"/>
            </w:pPr>
            <w:r>
              <w:t>Transfusionist ID</w:t>
            </w:r>
          </w:p>
          <w:p w14:paraId="37A61159" w14:textId="77777777" w:rsidR="0014520D" w:rsidRDefault="0014520D" w:rsidP="00506CA6">
            <w:pPr>
              <w:pStyle w:val="TableTextNumbersBullet"/>
              <w:tabs>
                <w:tab w:val="clear" w:pos="288"/>
              </w:tabs>
              <w:ind w:left="510" w:hanging="222"/>
            </w:pPr>
            <w:r>
              <w:t>Location of transfusion</w:t>
            </w:r>
          </w:p>
          <w:p w14:paraId="78F44DF5" w14:textId="77777777" w:rsidR="0014520D" w:rsidRDefault="0014520D" w:rsidP="00506CA6">
            <w:pPr>
              <w:pStyle w:val="TableTextNumbersBullet"/>
              <w:tabs>
                <w:tab w:val="clear" w:pos="288"/>
              </w:tabs>
              <w:ind w:left="510" w:hanging="222"/>
            </w:pPr>
            <w:r>
              <w:t>Whether the transfusion was completed or interrupted</w:t>
            </w:r>
          </w:p>
          <w:p w14:paraId="4F5FACE9" w14:textId="77777777" w:rsidR="0014520D" w:rsidRDefault="0014520D" w:rsidP="00506CA6">
            <w:pPr>
              <w:pStyle w:val="TableTextNumbersBullet"/>
              <w:tabs>
                <w:tab w:val="clear" w:pos="288"/>
              </w:tabs>
              <w:ind w:left="510" w:hanging="222"/>
            </w:pPr>
            <w:r>
              <w:t>If interrupted, the amount transfused</w:t>
            </w:r>
          </w:p>
          <w:p w14:paraId="247938B1" w14:textId="77777777" w:rsidR="0014520D" w:rsidRDefault="0014520D" w:rsidP="00506CA6">
            <w:pPr>
              <w:pStyle w:val="TableTextNumbersBullet"/>
              <w:tabs>
                <w:tab w:val="clear" w:pos="288"/>
              </w:tabs>
              <w:ind w:left="510" w:hanging="222"/>
            </w:pPr>
            <w:r>
              <w:t>Whether there was a transfusion reaction</w:t>
            </w:r>
          </w:p>
          <w:p w14:paraId="5980B42B" w14:textId="69DE27F1" w:rsidR="0014520D" w:rsidRDefault="0014520D" w:rsidP="00506CA6">
            <w:pPr>
              <w:pStyle w:val="TableTextNumbersBullet"/>
              <w:tabs>
                <w:tab w:val="clear" w:pos="288"/>
              </w:tabs>
              <w:ind w:left="510" w:hanging="222"/>
            </w:pPr>
            <w:r>
              <w:t>If there was a reaction, symptoms</w:t>
            </w:r>
            <w:r w:rsidR="00DA5ED4">
              <w:t xml:space="preserve"> (</w:t>
            </w:r>
            <w:r w:rsidR="00EE455E">
              <w:t xml:space="preserve">Figure </w:t>
            </w:r>
            <w:r w:rsidR="00EE455E">
              <w:rPr>
                <w:noProof/>
              </w:rPr>
              <w:t>113</w:t>
            </w:r>
            <w:r w:rsidR="00DA5ED4">
              <w:t>)</w:t>
            </w:r>
          </w:p>
          <w:p w14:paraId="398CB59B" w14:textId="77777777" w:rsidR="008A3A5A" w:rsidRDefault="008A3A5A" w:rsidP="008A3A5A">
            <w:pPr>
              <w:pStyle w:val="TableTextNumbersContinued"/>
            </w:pPr>
          </w:p>
          <w:p w14:paraId="661FC8EF" w14:textId="77777777" w:rsidR="008A3A5A" w:rsidRDefault="008A3A5A" w:rsidP="008A3A5A">
            <w:pPr>
              <w:pStyle w:val="TableTextNumbersContinued"/>
            </w:pPr>
            <w:r>
              <w:t xml:space="preserve">Click </w:t>
            </w:r>
            <w:r w:rsidRPr="008A3A5A">
              <w:rPr>
                <w:b/>
              </w:rPr>
              <w:t>OK</w:t>
            </w:r>
            <w:r>
              <w:t xml:space="preserve"> to save.</w:t>
            </w:r>
          </w:p>
        </w:tc>
        <w:tc>
          <w:tcPr>
            <w:tcW w:w="6120" w:type="dxa"/>
          </w:tcPr>
          <w:p w14:paraId="6C6C598E" w14:textId="77777777" w:rsidR="002A21AE" w:rsidRDefault="002A21AE">
            <w:pPr>
              <w:pStyle w:val="TableTextBullet"/>
            </w:pPr>
            <w:r>
              <w:t>Displays an option to enter unit data.</w:t>
            </w:r>
          </w:p>
          <w:p w14:paraId="13B48989" w14:textId="77777777" w:rsidR="002A21AE" w:rsidRDefault="002A21AE">
            <w:pPr>
              <w:pStyle w:val="TableTextBullet"/>
            </w:pPr>
            <w:r>
              <w:t>Warns the user or allows the user to continue to the next selected unit.</w:t>
            </w:r>
          </w:p>
          <w:p w14:paraId="100D0472" w14:textId="77777777" w:rsidR="002A21AE" w:rsidRDefault="002A21AE">
            <w:pPr>
              <w:pStyle w:val="TableText"/>
            </w:pPr>
          </w:p>
          <w:p w14:paraId="5E703B51" w14:textId="2C574C49" w:rsidR="002A21AE" w:rsidRDefault="002A21AE">
            <w:pPr>
              <w:pStyle w:val="TableText"/>
              <w:rPr>
                <w:b/>
                <w:bCs/>
                <w:szCs w:val="18"/>
              </w:rPr>
            </w:pPr>
            <w:r>
              <w:rPr>
                <w:b/>
                <w:bCs/>
                <w:szCs w:val="18"/>
              </w:rPr>
              <w:t>NOTES</w:t>
            </w:r>
          </w:p>
          <w:p w14:paraId="12A06B38" w14:textId="77777777" w:rsidR="002A21AE" w:rsidRDefault="002A21AE">
            <w:pPr>
              <w:pStyle w:val="NotesText"/>
            </w:pPr>
          </w:p>
          <w:p w14:paraId="2F3E0030" w14:textId="77777777" w:rsidR="008A3A5A" w:rsidRPr="008A3A5A" w:rsidRDefault="008A3A5A">
            <w:pPr>
              <w:pStyle w:val="NotesText"/>
              <w:rPr>
                <w:rFonts w:cs="Arial"/>
                <w:szCs w:val="18"/>
              </w:rPr>
            </w:pPr>
            <w:r w:rsidRPr="008A3A5A">
              <w:rPr>
                <w:rFonts w:cs="Arial"/>
                <w:szCs w:val="18"/>
              </w:rPr>
              <w:t xml:space="preserve">When a user </w:t>
            </w:r>
            <w:r>
              <w:rPr>
                <w:rFonts w:cs="Arial"/>
                <w:szCs w:val="18"/>
              </w:rPr>
              <w:t xml:space="preserve">indicates that </w:t>
            </w:r>
            <w:r w:rsidRPr="008A3A5A">
              <w:rPr>
                <w:rFonts w:cs="Arial"/>
                <w:szCs w:val="18"/>
              </w:rPr>
              <w:t>a transfusion reaction</w:t>
            </w:r>
            <w:r>
              <w:rPr>
                <w:rFonts w:cs="Arial"/>
                <w:szCs w:val="18"/>
              </w:rPr>
              <w:t xml:space="preserve"> occurred</w:t>
            </w:r>
            <w:r w:rsidRPr="008A3A5A">
              <w:rPr>
                <w:rFonts w:cs="Arial"/>
                <w:szCs w:val="18"/>
              </w:rPr>
              <w:t xml:space="preserve">, VBECS does not automatically order a TRW. </w:t>
            </w:r>
          </w:p>
          <w:p w14:paraId="7899F7CB" w14:textId="77777777" w:rsidR="008A3A5A" w:rsidRDefault="008A3A5A">
            <w:pPr>
              <w:pStyle w:val="NotesText"/>
              <w:rPr>
                <w:rFonts w:cs="Arial"/>
              </w:rPr>
            </w:pPr>
          </w:p>
          <w:p w14:paraId="45C41617" w14:textId="77777777" w:rsidR="00965B34" w:rsidRDefault="00965B34">
            <w:pPr>
              <w:pStyle w:val="NotesText"/>
              <w:rPr>
                <w:rFonts w:cs="Arial"/>
                <w:vanish/>
              </w:rPr>
            </w:pPr>
          </w:p>
          <w:p w14:paraId="0E904733" w14:textId="77777777" w:rsidR="002A21AE" w:rsidRDefault="002A21AE">
            <w:pPr>
              <w:pStyle w:val="NotesText"/>
            </w:pPr>
            <w:r>
              <w:rPr>
                <w:rFonts w:cs="Arial"/>
                <w:vanish/>
              </w:rPr>
              <w:t xml:space="preserve">BR_69.06 </w:t>
            </w:r>
            <w:r w:rsidR="00D6556D">
              <w:t xml:space="preserve">VBECS notifies the </w:t>
            </w:r>
            <w:r w:rsidR="00922AD8">
              <w:t>user when</w:t>
            </w:r>
            <w:r>
              <w:t xml:space="preserve"> the transfusion end date and time is earlier than the start or issue time. The user may correct the entry.</w:t>
            </w:r>
          </w:p>
          <w:p w14:paraId="50083702" w14:textId="77777777" w:rsidR="002A21AE" w:rsidRDefault="002A21AE">
            <w:pPr>
              <w:pStyle w:val="NotesText"/>
            </w:pPr>
          </w:p>
          <w:p w14:paraId="66332C81" w14:textId="77777777" w:rsidR="002A21AE" w:rsidRDefault="002A21AE">
            <w:pPr>
              <w:pStyle w:val="NotesText"/>
            </w:pPr>
            <w:r>
              <w:rPr>
                <w:rFonts w:cs="Arial"/>
                <w:vanish/>
              </w:rPr>
              <w:t xml:space="preserve">BR_69.10 </w:t>
            </w:r>
            <w:r>
              <w:t>When the unit was not issued to a remote storage location, VBECS compares the date and time the unit was issued to the start transfusion time entered.</w:t>
            </w:r>
          </w:p>
          <w:p w14:paraId="543F3677" w14:textId="77777777" w:rsidR="002A21AE" w:rsidRDefault="002A21AE">
            <w:pPr>
              <w:pStyle w:val="NotesText"/>
            </w:pPr>
          </w:p>
          <w:p w14:paraId="181958C3" w14:textId="77777777" w:rsidR="002A21AE" w:rsidRDefault="002A21AE">
            <w:pPr>
              <w:pStyle w:val="NotesText"/>
            </w:pPr>
            <w:r>
              <w:t xml:space="preserve">When the difference is greater than 30 minutes, VBECS notifies the user that this is a delayed start time and allows the user to edit the transfusion start date and time. </w:t>
            </w:r>
            <w:r>
              <w:rPr>
                <w:b/>
              </w:rPr>
              <w:t>No</w:t>
            </w:r>
            <w:r>
              <w:t xml:space="preserve"> allows the user to continue. </w:t>
            </w:r>
            <w:r>
              <w:rPr>
                <w:b/>
              </w:rPr>
              <w:t>Yes</w:t>
            </w:r>
            <w:r>
              <w:t xml:space="preserve"> allows the user to edit the date and time the transfusion ended. When the user edits the date and time transfused, VBECS repeats this process until the user stops editing and chooses to continue.</w:t>
            </w:r>
          </w:p>
          <w:p w14:paraId="1F6EE90A" w14:textId="77777777" w:rsidR="002A21AE" w:rsidRDefault="002A21AE">
            <w:pPr>
              <w:pStyle w:val="NotesText"/>
            </w:pPr>
          </w:p>
          <w:p w14:paraId="7CEEE0F2" w14:textId="77777777" w:rsidR="002A21AE" w:rsidRDefault="002A21AE">
            <w:pPr>
              <w:pStyle w:val="NotesText"/>
            </w:pPr>
            <w:r>
              <w:rPr>
                <w:rFonts w:cs="Arial"/>
                <w:vanish/>
              </w:rPr>
              <w:t xml:space="preserve">BR_69.11 </w:t>
            </w:r>
            <w:r>
              <w:t xml:space="preserve">When the unit was not issued to a remote storage location, VBECS compares the date and time recorded as the transfusion end time to the start date, calculates the transfusion time in minutes, and compares this period to the maximum transfusion time for the component class. When the calculated transfusion </w:t>
            </w:r>
            <w:r>
              <w:lastRenderedPageBreak/>
              <w:t xml:space="preserve">time for this unit exceeds the defined maximum transfusion time for the component class, VBECS notifies the user that this is a prolonged transfusion and allows the user to edit the transfusion end date and time. </w:t>
            </w:r>
            <w:r>
              <w:rPr>
                <w:b/>
              </w:rPr>
              <w:t>No</w:t>
            </w:r>
            <w:r>
              <w:t xml:space="preserve"> allows the user to continue. </w:t>
            </w:r>
            <w:r>
              <w:rPr>
                <w:b/>
              </w:rPr>
              <w:t>Yes</w:t>
            </w:r>
            <w:r>
              <w:t xml:space="preserve"> allows the user to edit the date and time the transfusion ended. When the user edits the date and time transfused, VBECS repeats this process until the user stops editing and chooses to continue.</w:t>
            </w:r>
          </w:p>
        </w:tc>
      </w:tr>
      <w:tr w:rsidR="002A21AE" w14:paraId="33114C76" w14:textId="77777777">
        <w:tc>
          <w:tcPr>
            <w:tcW w:w="3240" w:type="dxa"/>
          </w:tcPr>
          <w:p w14:paraId="6041B5F4" w14:textId="77777777" w:rsidR="002A21AE" w:rsidRDefault="002A21AE">
            <w:pPr>
              <w:pStyle w:val="TableTextNumbers"/>
            </w:pPr>
            <w:r>
              <w:lastRenderedPageBreak/>
              <w:t>Respond to warnings or continue to enter data for the next unit.</w:t>
            </w:r>
          </w:p>
        </w:tc>
        <w:tc>
          <w:tcPr>
            <w:tcW w:w="6120" w:type="dxa"/>
          </w:tcPr>
          <w:p w14:paraId="53EE4C26" w14:textId="77777777" w:rsidR="002A21AE" w:rsidRDefault="002A21AE">
            <w:pPr>
              <w:pStyle w:val="TableTextBullet"/>
            </w:pPr>
            <w:r>
              <w:t>Allows the user to repeat for subsequent selected units until all details are entered.</w:t>
            </w:r>
          </w:p>
          <w:p w14:paraId="77EC26F7" w14:textId="77777777" w:rsidR="002A21AE" w:rsidRDefault="002A21AE">
            <w:pPr>
              <w:pStyle w:val="TableTextBullet"/>
            </w:pPr>
            <w:r>
              <w:t>Displays an option to save the data and exit.</w:t>
            </w:r>
          </w:p>
          <w:p w14:paraId="399FD7C7" w14:textId="77777777" w:rsidR="002A21AE" w:rsidRDefault="002A21AE">
            <w:pPr>
              <w:pStyle w:val="TableText"/>
            </w:pPr>
          </w:p>
          <w:p w14:paraId="4425C57C" w14:textId="2C165AE5" w:rsidR="002A21AE" w:rsidRDefault="002A21AE">
            <w:pPr>
              <w:pStyle w:val="TableText"/>
              <w:rPr>
                <w:b/>
                <w:bCs/>
                <w:szCs w:val="18"/>
              </w:rPr>
            </w:pPr>
            <w:r>
              <w:rPr>
                <w:b/>
                <w:bCs/>
                <w:szCs w:val="18"/>
              </w:rPr>
              <w:t>NOTES</w:t>
            </w:r>
          </w:p>
          <w:p w14:paraId="7815F7DE" w14:textId="77777777" w:rsidR="002A21AE" w:rsidRDefault="002A21AE">
            <w:pPr>
              <w:pStyle w:val="NotesText"/>
            </w:pPr>
          </w:p>
          <w:p w14:paraId="7DD2E6F9" w14:textId="77777777" w:rsidR="002A21AE" w:rsidRDefault="002A21AE">
            <w:pPr>
              <w:pStyle w:val="NotesText"/>
            </w:pPr>
            <w:r>
              <w:rPr>
                <w:rFonts w:cs="Arial"/>
                <w:vanish/>
              </w:rPr>
              <w:t xml:space="preserve">BR_69.13 </w:t>
            </w:r>
            <w:r>
              <w:t>VBECS saves all transfusion information for future retrieval and reporting as part of the patient and unit historic records.</w:t>
            </w:r>
          </w:p>
          <w:p w14:paraId="1EF3CAE1" w14:textId="77777777" w:rsidR="00D6556D" w:rsidRDefault="00D6556D">
            <w:pPr>
              <w:pStyle w:val="NotesText"/>
            </w:pPr>
          </w:p>
          <w:p w14:paraId="09BAED49" w14:textId="77777777" w:rsidR="00D6556D" w:rsidRDefault="005759DC" w:rsidP="005759DC">
            <w:pPr>
              <w:pStyle w:val="NotesText"/>
            </w:pPr>
            <w:r w:rsidRPr="00F91233">
              <w:rPr>
                <w:vanish/>
              </w:rPr>
              <w:t xml:space="preserve">BR_78.06 </w:t>
            </w:r>
            <w:r w:rsidR="00F91233">
              <w:t>VBECS notifies the user when DSS updates cannot be sent because Vis</w:t>
            </w:r>
            <w:r w:rsidR="00D6556D">
              <w:t>tALink is not active.</w:t>
            </w:r>
          </w:p>
          <w:p w14:paraId="632DD14D" w14:textId="77777777" w:rsidR="00D6556D" w:rsidRDefault="00D6556D" w:rsidP="005759DC">
            <w:pPr>
              <w:pStyle w:val="NotesText"/>
            </w:pPr>
          </w:p>
          <w:p w14:paraId="6FC35142" w14:textId="77777777" w:rsidR="005759DC" w:rsidRPr="005759DC" w:rsidRDefault="00D6556D" w:rsidP="00A2613A">
            <w:pPr>
              <w:pStyle w:val="NotesText"/>
            </w:pPr>
            <w:r w:rsidRPr="00CE602E">
              <w:rPr>
                <w:vanish/>
              </w:rPr>
              <w:t xml:space="preserve">BR_102.09 </w:t>
            </w:r>
            <w:r>
              <w:t>VBECS will attempt to resend the DSS information when VistA</w:t>
            </w:r>
            <w:r w:rsidR="00A2613A">
              <w:t>L</w:t>
            </w:r>
            <w:r>
              <w:t xml:space="preserve">ink is available after any user logs into the VBECS application’s </w:t>
            </w:r>
            <w:r w:rsidR="00A2613A">
              <w:t>VistALink</w:t>
            </w:r>
            <w:r>
              <w:t xml:space="preserve"> connection</w:t>
            </w:r>
          </w:p>
        </w:tc>
      </w:tr>
      <w:tr w:rsidR="002A21AE" w14:paraId="1E1204BA" w14:textId="77777777">
        <w:tc>
          <w:tcPr>
            <w:tcW w:w="3240" w:type="dxa"/>
          </w:tcPr>
          <w:p w14:paraId="39AF0B88" w14:textId="77777777" w:rsidR="002A21AE" w:rsidRDefault="002A21AE">
            <w:pPr>
              <w:pStyle w:val="TableTextNumbers"/>
            </w:pPr>
            <w:r>
              <w:t xml:space="preserve">Exit. </w:t>
            </w:r>
            <w:r>
              <w:rPr>
                <w:vanish/>
                <w:color w:val="FFFFFF"/>
                <w:szCs w:val="18"/>
              </w:rPr>
              <w:fldChar w:fldCharType="begin"/>
            </w:r>
            <w:r>
              <w:rPr>
                <w:vanish/>
                <w:color w:val="FFFFFF"/>
                <w:szCs w:val="18"/>
              </w:rPr>
              <w:instrText xml:space="preserve"> LISTNUM \l 1 \s 0 </w:instrText>
            </w:r>
            <w:r>
              <w:rPr>
                <w:vanish/>
                <w:color w:val="FFFFFF"/>
                <w:szCs w:val="18"/>
              </w:rPr>
              <w:fldChar w:fldCharType="end">
                <w:numberingChange w:id="597" w:author="MUSZYNSKI, THOMAS D. (SIERRA 7 INC)" w:date="2024-11-26T07:15:00Z" w:original="0."/>
              </w:fldChar>
            </w:r>
          </w:p>
        </w:tc>
        <w:tc>
          <w:tcPr>
            <w:tcW w:w="6120" w:type="dxa"/>
          </w:tcPr>
          <w:p w14:paraId="0B5A30E2" w14:textId="77777777" w:rsidR="002A21AE" w:rsidRDefault="002A21AE">
            <w:pPr>
              <w:pStyle w:val="TableText"/>
            </w:pPr>
          </w:p>
        </w:tc>
      </w:tr>
    </w:tbl>
    <w:p w14:paraId="344C1702" w14:textId="2E1D64C9" w:rsidR="00AF4568" w:rsidRDefault="00AF4568" w:rsidP="00AF4568">
      <w:pPr>
        <w:pStyle w:val="Caption"/>
      </w:pPr>
      <w:bookmarkStart w:id="598" w:name="_Ref127607637"/>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7D1829">
        <w:rPr>
          <w:noProof/>
        </w:rPr>
        <w:t>113</w:t>
      </w:r>
      <w:r w:rsidR="004E20BD">
        <w:rPr>
          <w:noProof/>
        </w:rPr>
        <w:fldChar w:fldCharType="end"/>
      </w:r>
      <w:bookmarkEnd w:id="598"/>
      <w:r>
        <w:t>: Post-Transfusion Information</w:t>
      </w:r>
    </w:p>
    <w:p w14:paraId="661B6D7C" w14:textId="4D5DA452" w:rsidR="002A21AE" w:rsidRDefault="009227D1" w:rsidP="00AF4568">
      <w:pPr>
        <w:pStyle w:val="BodyText"/>
      </w:pPr>
      <w:r>
        <w:rPr>
          <w:noProof/>
        </w:rPr>
        <w:drawing>
          <wp:inline distT="0" distB="0" distL="0" distR="0" wp14:anchorId="6F0B776F" wp14:editId="07358026">
            <wp:extent cx="5943600" cy="3448685"/>
            <wp:effectExtent l="0" t="0" r="0" b="0"/>
            <wp:docPr id="224" name="Picture 224" descr="Example of Post-Transfusion Information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descr="Example of Post-Transfusion Information screen capture"/>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5943600" cy="3448685"/>
                    </a:xfrm>
                    <a:prstGeom prst="rect">
                      <a:avLst/>
                    </a:prstGeom>
                    <a:noFill/>
                    <a:ln>
                      <a:noFill/>
                    </a:ln>
                  </pic:spPr>
                </pic:pic>
              </a:graphicData>
            </a:graphic>
          </wp:inline>
        </w:drawing>
      </w:r>
    </w:p>
    <w:p w14:paraId="45440C02" w14:textId="356341F6" w:rsidR="00AF4568" w:rsidRDefault="00AF4568" w:rsidP="00AF4568">
      <w:pPr>
        <w:pStyle w:val="Caption"/>
      </w:pPr>
      <w:bookmarkStart w:id="599" w:name="_Ref127607838"/>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7D1829">
        <w:rPr>
          <w:noProof/>
        </w:rPr>
        <w:t>114</w:t>
      </w:r>
      <w:r w:rsidR="004E20BD">
        <w:rPr>
          <w:noProof/>
        </w:rPr>
        <w:fldChar w:fldCharType="end"/>
      </w:r>
      <w:bookmarkEnd w:id="599"/>
      <w:r>
        <w:t>: Post-Transfusion Information Details</w:t>
      </w:r>
    </w:p>
    <w:p w14:paraId="5E8D7A06" w14:textId="27A38C10" w:rsidR="00B8081D" w:rsidRDefault="009227D1" w:rsidP="00B8081D">
      <w:pPr>
        <w:pStyle w:val="BodyText"/>
      </w:pPr>
      <w:r>
        <w:rPr>
          <w:noProof/>
        </w:rPr>
        <w:drawing>
          <wp:inline distT="0" distB="0" distL="0" distR="0" wp14:anchorId="7DE4E668" wp14:editId="2A81F82A">
            <wp:extent cx="5943600" cy="4457700"/>
            <wp:effectExtent l="0" t="0" r="0" b="0"/>
            <wp:docPr id="1154" name="Picture 1154" descr="Example of Post-Transfusion Information Details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Picture 159" descr="Example of Post-Transfusion Information Details screen capture"/>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inline>
        </w:drawing>
      </w:r>
    </w:p>
    <w:p w14:paraId="748F1516" w14:textId="77777777" w:rsidR="00FE1ABC" w:rsidRDefault="00746454" w:rsidP="00FE1ABC">
      <w:pPr>
        <w:pStyle w:val="Heading4"/>
      </w:pPr>
      <w:r w:rsidRPr="008000E5">
        <w:rPr>
          <w:snapToGrid w:val="0"/>
        </w:rPr>
        <w:br w:type="page"/>
      </w:r>
      <w:r w:rsidR="00FE1ABC">
        <w:lastRenderedPageBreak/>
        <w:t>Automated Entry of Post-Transfusion Details from BCE COTS Application</w:t>
      </w:r>
      <w:r w:rsidR="00FE1ABC">
        <w:fldChar w:fldCharType="begin"/>
      </w:r>
      <w:r w:rsidR="00FE1ABC">
        <w:instrText xml:space="preserve"> XE “Automated Entry of Post-Transfusion Details from BCE COTS Application” </w:instrText>
      </w:r>
      <w:r w:rsidR="00FE1ABC">
        <w:fldChar w:fldCharType="end"/>
      </w:r>
    </w:p>
    <w:p w14:paraId="3028F630" w14:textId="77777777" w:rsidR="00FE1ABC" w:rsidRPr="002624D5" w:rsidRDefault="00FE1ABC" w:rsidP="00FE1ABC">
      <w:pPr>
        <w:pStyle w:val="BodyText"/>
      </w:pPr>
      <w:r w:rsidRPr="008D4EF9">
        <w:t xml:space="preserve">VBECS receives and saves the details of </w:t>
      </w:r>
      <w:r>
        <w:t xml:space="preserve">a </w:t>
      </w:r>
      <w:r w:rsidRPr="008D4EF9">
        <w:t>unit transfusion episode as recorded in the BCE COTS system</w:t>
      </w:r>
      <w:r>
        <w: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FE1ABC" w14:paraId="128AEFCD" w14:textId="77777777">
        <w:trPr>
          <w:tblHeader/>
        </w:trPr>
        <w:tc>
          <w:tcPr>
            <w:tcW w:w="3240" w:type="dxa"/>
            <w:tcBorders>
              <w:top w:val="single" w:sz="4" w:space="0" w:color="auto"/>
              <w:left w:val="single" w:sz="4" w:space="0" w:color="auto"/>
              <w:bottom w:val="single" w:sz="4" w:space="0" w:color="auto"/>
              <w:right w:val="single" w:sz="4" w:space="0" w:color="auto"/>
            </w:tcBorders>
            <w:shd w:val="pct30" w:color="auto" w:fill="auto"/>
            <w:vAlign w:val="bottom"/>
          </w:tcPr>
          <w:p w14:paraId="2E795965" w14:textId="77777777" w:rsidR="00FE1ABC" w:rsidRDefault="00FE1ABC" w:rsidP="0087088B">
            <w:pPr>
              <w:pStyle w:val="TableText"/>
              <w:rPr>
                <w:b/>
              </w:rPr>
            </w:pPr>
            <w:r>
              <w:rPr>
                <w:b/>
              </w:rPr>
              <w:t>User Action</w:t>
            </w:r>
          </w:p>
        </w:tc>
        <w:tc>
          <w:tcPr>
            <w:tcW w:w="6120" w:type="dxa"/>
            <w:tcBorders>
              <w:top w:val="single" w:sz="4" w:space="0" w:color="auto"/>
              <w:left w:val="single" w:sz="4" w:space="0" w:color="auto"/>
              <w:bottom w:val="single" w:sz="4" w:space="0" w:color="auto"/>
              <w:right w:val="single" w:sz="4" w:space="0" w:color="auto"/>
            </w:tcBorders>
            <w:shd w:val="pct30" w:color="auto" w:fill="auto"/>
            <w:vAlign w:val="bottom"/>
          </w:tcPr>
          <w:p w14:paraId="006735E3" w14:textId="77777777" w:rsidR="00FE1ABC" w:rsidRDefault="00FE1ABC" w:rsidP="0087088B">
            <w:pPr>
              <w:pStyle w:val="TableText"/>
              <w:rPr>
                <w:b/>
              </w:rPr>
            </w:pPr>
            <w:r>
              <w:rPr>
                <w:b/>
              </w:rPr>
              <w:t>VBECS</w:t>
            </w:r>
          </w:p>
        </w:tc>
      </w:tr>
      <w:tr w:rsidR="00FE1ABC" w14:paraId="30EA5E44" w14:textId="77777777">
        <w:tc>
          <w:tcPr>
            <w:tcW w:w="3240" w:type="dxa"/>
            <w:tcBorders>
              <w:top w:val="single" w:sz="4" w:space="0" w:color="auto"/>
              <w:left w:val="single" w:sz="4" w:space="0" w:color="auto"/>
              <w:bottom w:val="single" w:sz="4" w:space="0" w:color="auto"/>
              <w:right w:val="single" w:sz="4" w:space="0" w:color="auto"/>
            </w:tcBorders>
          </w:tcPr>
          <w:p w14:paraId="771E5700" w14:textId="22407484" w:rsidR="00FE1ABC" w:rsidRDefault="00FE1ABC" w:rsidP="0087088B">
            <w:pPr>
              <w:pStyle w:val="TableTextNumbers"/>
            </w:pPr>
            <w:r>
              <w:t>BCE COTS system user completes a transfusion for a patient which triggers a</w:t>
            </w:r>
            <w:r w:rsidR="00DB1399">
              <w:t>n</w:t>
            </w:r>
            <w:r>
              <w:t xml:space="preserve"> HL7 message containing transfusion information to VBECS</w:t>
            </w:r>
            <w:r w:rsidR="00C62A42">
              <w:t xml:space="preserve"> for a blood unit</w:t>
            </w:r>
            <w:r>
              <w:t>.</w:t>
            </w:r>
          </w:p>
        </w:tc>
        <w:tc>
          <w:tcPr>
            <w:tcW w:w="6120" w:type="dxa"/>
            <w:tcBorders>
              <w:top w:val="single" w:sz="4" w:space="0" w:color="auto"/>
              <w:left w:val="single" w:sz="4" w:space="0" w:color="auto"/>
              <w:bottom w:val="single" w:sz="4" w:space="0" w:color="auto"/>
              <w:right w:val="single" w:sz="4" w:space="0" w:color="auto"/>
            </w:tcBorders>
          </w:tcPr>
          <w:p w14:paraId="61FC86CD" w14:textId="77777777" w:rsidR="00FE1ABC" w:rsidRPr="00B607E6" w:rsidRDefault="00FE1ABC" w:rsidP="0087088B">
            <w:pPr>
              <w:pStyle w:val="TableTextBullet"/>
            </w:pPr>
            <w:r>
              <w:rPr>
                <w:rFonts w:cs="Arial"/>
                <w:vanish/>
                <w:szCs w:val="18"/>
              </w:rPr>
              <w:t>BR_69.23</w:t>
            </w:r>
            <w:r>
              <w:rPr>
                <w:rFonts w:cs="Arial"/>
                <w:szCs w:val="18"/>
              </w:rPr>
              <w:t xml:space="preserve"> </w:t>
            </w:r>
            <w:r w:rsidRPr="003878EB">
              <w:rPr>
                <w:rFonts w:cs="Arial"/>
                <w:szCs w:val="18"/>
              </w:rPr>
              <w:t>VBECS reject</w:t>
            </w:r>
            <w:r>
              <w:rPr>
                <w:rFonts w:cs="Arial"/>
                <w:szCs w:val="18"/>
              </w:rPr>
              <w:t>s</w:t>
            </w:r>
            <w:r w:rsidRPr="003878EB">
              <w:rPr>
                <w:rFonts w:cs="Arial"/>
                <w:szCs w:val="18"/>
              </w:rPr>
              <w:t xml:space="preserve"> a BCE COTS </w:t>
            </w:r>
            <w:r>
              <w:rPr>
                <w:rFonts w:cs="Arial"/>
                <w:szCs w:val="18"/>
              </w:rPr>
              <w:t>HL7</w:t>
            </w:r>
            <w:r w:rsidRPr="003878EB">
              <w:rPr>
                <w:rFonts w:cs="Arial"/>
                <w:szCs w:val="18"/>
              </w:rPr>
              <w:t xml:space="preserve"> message when data elements are not acceptable per the data entry rules for manual entry</w:t>
            </w:r>
            <w:r>
              <w:rPr>
                <w:rFonts w:cs="Arial"/>
                <w:szCs w:val="18"/>
              </w:rPr>
              <w:t>.</w:t>
            </w:r>
          </w:p>
          <w:p w14:paraId="2FCC56CB" w14:textId="77777777" w:rsidR="00FE1ABC" w:rsidRDefault="00FE1ABC" w:rsidP="0087088B">
            <w:pPr>
              <w:pStyle w:val="TableText"/>
            </w:pPr>
          </w:p>
          <w:p w14:paraId="4D2A67F0" w14:textId="70A9DCE1" w:rsidR="00FE1ABC" w:rsidRDefault="00FE1ABC" w:rsidP="0087088B">
            <w:pPr>
              <w:pStyle w:val="TableText"/>
              <w:rPr>
                <w:b/>
                <w:bCs/>
              </w:rPr>
            </w:pPr>
            <w:r>
              <w:rPr>
                <w:b/>
                <w:bCs/>
              </w:rPr>
              <w:t>NOTES</w:t>
            </w:r>
          </w:p>
          <w:p w14:paraId="6EE232E2" w14:textId="77777777" w:rsidR="00FE1ABC" w:rsidRDefault="00FE1ABC" w:rsidP="0087088B">
            <w:pPr>
              <w:pStyle w:val="NotesText"/>
            </w:pPr>
          </w:p>
          <w:p w14:paraId="76C6F9FD" w14:textId="77777777" w:rsidR="00FE1ABC" w:rsidRDefault="00FE1ABC" w:rsidP="0087088B">
            <w:pPr>
              <w:pStyle w:val="NotesText"/>
              <w:rPr>
                <w:rFonts w:cs="Arial"/>
              </w:rPr>
            </w:pPr>
            <w:r w:rsidRPr="00E51FC8">
              <w:rPr>
                <w:rFonts w:cs="Arial"/>
              </w:rPr>
              <w:t>Units that are not updated by a BCE COTS message will be marked presumed transfused 48 hours after issue by a VBECS background process.</w:t>
            </w:r>
          </w:p>
          <w:p w14:paraId="4A7162B5" w14:textId="77777777" w:rsidR="00A55D3A" w:rsidRDefault="00A55D3A" w:rsidP="0087088B">
            <w:pPr>
              <w:pStyle w:val="NotesText"/>
              <w:rPr>
                <w:rFonts w:cs="Arial"/>
              </w:rPr>
            </w:pPr>
          </w:p>
          <w:p w14:paraId="7AE4A712" w14:textId="77777777" w:rsidR="00A55D3A" w:rsidRPr="00E51FC8" w:rsidRDefault="00A55D3A" w:rsidP="0087088B">
            <w:pPr>
              <w:pStyle w:val="NotesText"/>
            </w:pPr>
            <w:r>
              <w:t>Transfusion information is available in the Unit History Report.</w:t>
            </w:r>
          </w:p>
        </w:tc>
      </w:tr>
      <w:tr w:rsidR="00FE1ABC" w14:paraId="79D0E9F6" w14:textId="77777777">
        <w:tc>
          <w:tcPr>
            <w:tcW w:w="3240" w:type="dxa"/>
            <w:tcBorders>
              <w:top w:val="single" w:sz="4" w:space="0" w:color="auto"/>
              <w:left w:val="single" w:sz="4" w:space="0" w:color="auto"/>
              <w:bottom w:val="single" w:sz="4" w:space="0" w:color="auto"/>
              <w:right w:val="single" w:sz="4" w:space="0" w:color="auto"/>
            </w:tcBorders>
          </w:tcPr>
          <w:p w14:paraId="2A2F32F1" w14:textId="77777777" w:rsidR="00FE1ABC" w:rsidRDefault="00FE1ABC" w:rsidP="0087088B">
            <w:pPr>
              <w:pStyle w:val="TableTextNumbers"/>
            </w:pPr>
            <w:r w:rsidRPr="003878EB">
              <w:rPr>
                <w:rFonts w:cs="Arial"/>
                <w:szCs w:val="18"/>
              </w:rPr>
              <w:t xml:space="preserve">VBECS </w:t>
            </w:r>
            <w:r>
              <w:rPr>
                <w:rFonts w:cs="Arial"/>
                <w:szCs w:val="18"/>
              </w:rPr>
              <w:t>updates</w:t>
            </w:r>
            <w:r w:rsidRPr="003878EB">
              <w:rPr>
                <w:rFonts w:cs="Arial"/>
                <w:szCs w:val="18"/>
              </w:rPr>
              <w:t xml:space="preserve"> the patient transfusion record with the details received in the successfully acknowledged HL7 message</w:t>
            </w:r>
            <w:r>
              <w:t xml:space="preserve">. </w:t>
            </w:r>
            <w:r>
              <w:rPr>
                <w:rStyle w:val="TableTextNumbersChar"/>
                <w:vanish/>
                <w:color w:val="FFFFFF"/>
                <w:szCs w:val="18"/>
              </w:rPr>
              <w:fldChar w:fldCharType="begin"/>
            </w:r>
            <w:r>
              <w:rPr>
                <w:rStyle w:val="TableTextNumbersChar"/>
                <w:vanish/>
                <w:color w:val="FFFFFF"/>
                <w:szCs w:val="18"/>
              </w:rPr>
              <w:instrText xml:space="preserve"> LISTNUM \l 1 \s 0 </w:instrText>
            </w:r>
            <w:r>
              <w:rPr>
                <w:rStyle w:val="TableTextNumbersChar"/>
                <w:vanish/>
                <w:color w:val="FFFFFF"/>
                <w:szCs w:val="18"/>
              </w:rPr>
              <w:fldChar w:fldCharType="end">
                <w:numberingChange w:id="600" w:author="MUSZYNSKI, THOMAS D. (SIERRA 7 INC)" w:date="2024-11-26T07:15:00Z" w:original="0."/>
              </w:fldChar>
            </w:r>
          </w:p>
        </w:tc>
        <w:tc>
          <w:tcPr>
            <w:tcW w:w="6120" w:type="dxa"/>
            <w:tcBorders>
              <w:top w:val="single" w:sz="4" w:space="0" w:color="auto"/>
              <w:left w:val="single" w:sz="4" w:space="0" w:color="auto"/>
              <w:bottom w:val="single" w:sz="4" w:space="0" w:color="auto"/>
              <w:right w:val="single" w:sz="4" w:space="0" w:color="auto"/>
            </w:tcBorders>
          </w:tcPr>
          <w:p w14:paraId="6FC21207" w14:textId="77777777" w:rsidR="00FE1ABC" w:rsidRDefault="00FE1ABC" w:rsidP="0087088B">
            <w:pPr>
              <w:pStyle w:val="TableTextBullet"/>
            </w:pPr>
            <w:r>
              <w:rPr>
                <w:vanish/>
              </w:rPr>
              <w:t xml:space="preserve">BR_69.21 </w:t>
            </w:r>
            <w:r>
              <w:t xml:space="preserve">VBECS generates an exception report entry: </w:t>
            </w:r>
            <w:r w:rsidRPr="00B6437A">
              <w:t>Electronic Transfusion Record Update when a BCE COTS update to a previously saved manually or electronically entered transfusion record is received.</w:t>
            </w:r>
          </w:p>
          <w:p w14:paraId="033A8584" w14:textId="77777777" w:rsidR="00FE1ABC" w:rsidRDefault="00FE1ABC" w:rsidP="0087088B">
            <w:pPr>
              <w:pStyle w:val="TableTextBullet"/>
            </w:pPr>
            <w:r w:rsidRPr="00E51FC8">
              <w:rPr>
                <w:vanish/>
              </w:rPr>
              <w:t xml:space="preserve">BR_69.20 </w:t>
            </w:r>
            <w:r w:rsidRPr="00E51FC8">
              <w:t>When an update to a previously saved transfusion record is made by BCE COTS or a user, VBECS will display the original entry and the updated details in the Patient History and Unit History Reports.</w:t>
            </w:r>
          </w:p>
          <w:p w14:paraId="7720CCE0" w14:textId="77777777" w:rsidR="00FE1ABC" w:rsidRDefault="00FE1ABC" w:rsidP="0087088B">
            <w:pPr>
              <w:pStyle w:val="TableText"/>
            </w:pPr>
          </w:p>
          <w:p w14:paraId="4060A8DC" w14:textId="3F8B8DD6" w:rsidR="00FE1ABC" w:rsidRDefault="00FE1ABC" w:rsidP="0087088B">
            <w:pPr>
              <w:pStyle w:val="TableText"/>
              <w:rPr>
                <w:b/>
                <w:bCs/>
              </w:rPr>
            </w:pPr>
            <w:r>
              <w:rPr>
                <w:b/>
                <w:bCs/>
              </w:rPr>
              <w:t>NOTES</w:t>
            </w:r>
          </w:p>
          <w:p w14:paraId="573AD7A9" w14:textId="77777777" w:rsidR="00FE1ABC" w:rsidRDefault="00FE1ABC" w:rsidP="0087088B">
            <w:pPr>
              <w:pStyle w:val="NotesText"/>
            </w:pPr>
          </w:p>
          <w:p w14:paraId="07706323" w14:textId="77777777" w:rsidR="00FE1ABC" w:rsidRDefault="00FE1ABC" w:rsidP="0087088B">
            <w:pPr>
              <w:pStyle w:val="NotesText"/>
            </w:pPr>
            <w:r w:rsidRPr="00847BD8">
              <w:rPr>
                <w:vanish/>
              </w:rPr>
              <w:t xml:space="preserve">BR_69.18 </w:t>
            </w:r>
            <w:r w:rsidRPr="001D3A9F">
              <w:t>The</w:t>
            </w:r>
            <w:r w:rsidRPr="003878EB">
              <w:t xml:space="preserve"> BCE COTS system delivers </w:t>
            </w:r>
            <w:r>
              <w:t xml:space="preserve">these patient and unit specific </w:t>
            </w:r>
            <w:r w:rsidRPr="003878EB">
              <w:t>trans</w:t>
            </w:r>
            <w:r>
              <w:t>fusion data elements to VBECS for update</w:t>
            </w:r>
          </w:p>
          <w:p w14:paraId="7D97E90A" w14:textId="77777777" w:rsidR="00FE1ABC" w:rsidRPr="003878EB" w:rsidRDefault="00FE1ABC" w:rsidP="0087088B">
            <w:pPr>
              <w:pStyle w:val="NotesTextBullet"/>
            </w:pPr>
            <w:r w:rsidRPr="003878EB">
              <w:t>Bedside verification date and time</w:t>
            </w:r>
          </w:p>
          <w:p w14:paraId="47D40EBB" w14:textId="21507E47" w:rsidR="00FE1ABC" w:rsidRPr="003878EB" w:rsidRDefault="00FE1ABC" w:rsidP="0087088B">
            <w:pPr>
              <w:pStyle w:val="NotesTextBullet"/>
            </w:pPr>
            <w:r w:rsidRPr="003878EB">
              <w:t xml:space="preserve">Transfusion </w:t>
            </w:r>
            <w:r>
              <w:t>verification m</w:t>
            </w:r>
            <w:r w:rsidRPr="003878EB">
              <w:t>anual</w:t>
            </w:r>
            <w:r>
              <w:t xml:space="preserve"> Unit ID entry reason </w:t>
            </w:r>
          </w:p>
          <w:p w14:paraId="2D45FD91" w14:textId="77777777" w:rsidR="00FE1ABC" w:rsidRPr="003878EB" w:rsidRDefault="00FE1ABC" w:rsidP="0087088B">
            <w:pPr>
              <w:pStyle w:val="NotesTextBullet"/>
            </w:pPr>
            <w:r w:rsidRPr="003878EB">
              <w:t>Transfusion Start date and time</w:t>
            </w:r>
          </w:p>
          <w:p w14:paraId="711D7126" w14:textId="77777777" w:rsidR="00FE1ABC" w:rsidRPr="003878EB" w:rsidRDefault="00FE1ABC" w:rsidP="0087088B">
            <w:pPr>
              <w:pStyle w:val="NotesTextBullet"/>
            </w:pPr>
            <w:r w:rsidRPr="003878EB">
              <w:t>Transfusionist ID #1</w:t>
            </w:r>
          </w:p>
          <w:p w14:paraId="118AB7F8" w14:textId="77777777" w:rsidR="00FE1ABC" w:rsidRPr="003878EB" w:rsidRDefault="00FE1ABC" w:rsidP="0087088B">
            <w:pPr>
              <w:pStyle w:val="NotesTextBullet"/>
            </w:pPr>
            <w:r w:rsidRPr="003878EB">
              <w:t>Transfusionist ID #2 (may be blank if so configured in BCE COTS application)</w:t>
            </w:r>
          </w:p>
          <w:p w14:paraId="11C04DA2" w14:textId="77777777" w:rsidR="00FE1ABC" w:rsidRPr="003878EB" w:rsidRDefault="00FE1ABC" w:rsidP="0087088B">
            <w:pPr>
              <w:pStyle w:val="NotesTextBullet"/>
            </w:pPr>
            <w:r w:rsidRPr="003878EB">
              <w:t>Transfusion End Date and time</w:t>
            </w:r>
          </w:p>
          <w:p w14:paraId="196EFD98" w14:textId="77777777" w:rsidR="00FE1ABC" w:rsidRPr="003878EB" w:rsidRDefault="00FE1ABC" w:rsidP="0087088B">
            <w:pPr>
              <w:pStyle w:val="NotesTextBullet"/>
            </w:pPr>
            <w:r w:rsidRPr="003878EB">
              <w:t>Patient location at Transfusion</w:t>
            </w:r>
          </w:p>
          <w:p w14:paraId="52037D78" w14:textId="77777777" w:rsidR="00FE1ABC" w:rsidRPr="003878EB" w:rsidRDefault="00FE1ABC" w:rsidP="0087088B">
            <w:pPr>
              <w:pStyle w:val="NotesTextBullet"/>
            </w:pPr>
            <w:r w:rsidRPr="003878EB">
              <w:t>Transfusion interrupted indicator</w:t>
            </w:r>
          </w:p>
          <w:p w14:paraId="6AF148D8" w14:textId="77777777" w:rsidR="00FE1ABC" w:rsidRPr="003878EB" w:rsidRDefault="00FE1ABC" w:rsidP="0087088B">
            <w:pPr>
              <w:pStyle w:val="NotesTextBullet"/>
            </w:pPr>
            <w:r w:rsidRPr="003878EB">
              <w:t>Transfused volume, (ml not in fractions by the BCE COTS)</w:t>
            </w:r>
          </w:p>
          <w:p w14:paraId="45848805" w14:textId="77777777" w:rsidR="00FE1ABC" w:rsidRDefault="00FE1ABC" w:rsidP="0087088B">
            <w:pPr>
              <w:pStyle w:val="NotesTextBullet"/>
            </w:pPr>
            <w:r w:rsidRPr="003878EB">
              <w:t>Transfusion Reaction noted</w:t>
            </w:r>
          </w:p>
          <w:p w14:paraId="086303E8" w14:textId="77777777" w:rsidR="00FE1ABC" w:rsidRPr="003878EB" w:rsidRDefault="00FE1ABC" w:rsidP="0087088B">
            <w:pPr>
              <w:pStyle w:val="NotesTextBullet"/>
            </w:pPr>
            <w:r w:rsidRPr="003878EB">
              <w:t>Transfusion Reactions symptoms entered, if any</w:t>
            </w:r>
          </w:p>
          <w:p w14:paraId="599997D2" w14:textId="77777777" w:rsidR="00FE1ABC" w:rsidRDefault="00FE1ABC" w:rsidP="0087088B">
            <w:pPr>
              <w:pStyle w:val="NotesTextBullet"/>
            </w:pPr>
            <w:r w:rsidRPr="003878EB">
              <w:t>Transfusion comments, if any</w:t>
            </w:r>
          </w:p>
          <w:p w14:paraId="74624A7F" w14:textId="77777777" w:rsidR="00FE1ABC" w:rsidRDefault="00FE1ABC" w:rsidP="0087088B">
            <w:pPr>
              <w:pStyle w:val="NotesTextBullet"/>
              <w:numPr>
                <w:ilvl w:val="0"/>
                <w:numId w:val="0"/>
              </w:numPr>
              <w:ind w:left="1008"/>
            </w:pPr>
          </w:p>
        </w:tc>
      </w:tr>
    </w:tbl>
    <w:p w14:paraId="5EAC7E12" w14:textId="77777777" w:rsidR="002A21AE" w:rsidRPr="008000E5" w:rsidRDefault="00FE1ABC" w:rsidP="00542C41">
      <w:pPr>
        <w:pStyle w:val="Heading2"/>
      </w:pPr>
      <w:r>
        <w:rPr>
          <w:snapToGrid w:val="0"/>
        </w:rPr>
        <w:br w:type="page"/>
      </w:r>
      <w:bookmarkStart w:id="601" w:name="_Toc203765935"/>
      <w:r w:rsidR="002A21AE" w:rsidRPr="008000E5">
        <w:rPr>
          <w:snapToGrid w:val="0"/>
        </w:rPr>
        <w:lastRenderedPageBreak/>
        <w:t>Document ABO Incompatible Transfusions</w:t>
      </w:r>
      <w:bookmarkEnd w:id="601"/>
      <w:r w:rsidR="002A21AE" w:rsidRPr="00014BE4">
        <w:fldChar w:fldCharType="begin"/>
      </w:r>
      <w:r w:rsidR="002A21AE" w:rsidRPr="008000E5">
        <w:instrText xml:space="preserve"> XE </w:instrText>
      </w:r>
      <w:r w:rsidR="00FA7E65" w:rsidRPr="008000E5">
        <w:instrText>“</w:instrText>
      </w:r>
      <w:r w:rsidR="002A21AE" w:rsidRPr="008000E5">
        <w:instrText>Document ABO Incompatible Transfusions</w:instrText>
      </w:r>
      <w:r w:rsidR="00FA7E65" w:rsidRPr="008000E5">
        <w:instrText>”</w:instrText>
      </w:r>
      <w:r w:rsidR="002A21AE" w:rsidRPr="008000E5">
        <w:instrText xml:space="preserve"> </w:instrText>
      </w:r>
      <w:r w:rsidR="002A21AE" w:rsidRPr="00014BE4">
        <w:fldChar w:fldCharType="end"/>
      </w:r>
      <w:r w:rsidR="002A21AE" w:rsidRPr="00F854CF">
        <w:rPr>
          <w:rFonts w:ascii="Arial Bold" w:hAnsi="Arial Bold"/>
          <w:vanish/>
        </w:rPr>
        <w:t xml:space="preserve"> UC_69</w:t>
      </w:r>
    </w:p>
    <w:p w14:paraId="1A6D748C" w14:textId="16A2C8D5" w:rsidR="002A21AE" w:rsidRDefault="002A21AE" w:rsidP="00FA7E65">
      <w:pPr>
        <w:pStyle w:val="BodyText"/>
      </w:pPr>
      <w:bookmarkStart w:id="602" w:name="_Toc77405565"/>
      <w:r>
        <w:t>The user enters post-transfusion details from the Blood Transfusion Record Form (BTRF) to document ABO incompatible and other inadvertent transfusions.</w:t>
      </w:r>
      <w:r w:rsidR="00751497">
        <w:t xml:space="preserve"> (See </w:t>
      </w:r>
      <w:r w:rsidR="00751497" w:rsidRPr="00423A7F">
        <w:rPr>
          <w:i/>
          <w:iCs/>
        </w:rPr>
        <w:t>FAQ Handling ABO Incompatible Transfusion Situations</w:t>
      </w:r>
      <w:r w:rsidR="008470B0">
        <w:t>)</w:t>
      </w:r>
    </w:p>
    <w:p w14:paraId="741CE9EF" w14:textId="77777777" w:rsidR="002A21AE" w:rsidRDefault="002A21AE">
      <w:pPr>
        <w:pStyle w:val="Heading4"/>
      </w:pPr>
      <w:r>
        <w:t>Assumptions</w:t>
      </w:r>
    </w:p>
    <w:p w14:paraId="1447762E" w14:textId="77777777" w:rsidR="002A21AE" w:rsidRDefault="007C7B04" w:rsidP="007C7B04">
      <w:pPr>
        <w:pStyle w:val="ListBullet"/>
      </w:pPr>
      <w:r w:rsidRPr="00554296">
        <w:rPr>
          <w:rFonts w:eastAsia="Arial Unicode MS"/>
        </w:rPr>
        <w:t xml:space="preserve">A </w:t>
      </w:r>
      <w:r w:rsidRPr="007C7B04">
        <w:t>unit</w:t>
      </w:r>
      <w:r w:rsidR="00B26579">
        <w:rPr>
          <w:rFonts w:eastAsia="Arial Unicode MS"/>
        </w:rPr>
        <w:t xml:space="preserve"> was transfused to a patient</w:t>
      </w:r>
      <w:r w:rsidRPr="00554296">
        <w:rPr>
          <w:rFonts w:eastAsia="Arial Unicode MS"/>
        </w:rPr>
        <w:t xml:space="preserve"> other than the intended recipient</w:t>
      </w:r>
      <w:r w:rsidR="002A21AE">
        <w:t xml:space="preserve">. </w:t>
      </w:r>
    </w:p>
    <w:p w14:paraId="148D7C09" w14:textId="77777777" w:rsidR="00132F6A" w:rsidRDefault="00132F6A" w:rsidP="00132F6A">
      <w:pPr>
        <w:pStyle w:val="ListBullet"/>
      </w:pPr>
      <w:r>
        <w:t xml:space="preserve">The connection to </w:t>
      </w:r>
      <w:r w:rsidRPr="00CA6E27">
        <w:rPr>
          <w:bCs/>
        </w:rPr>
        <w:t>VistA</w:t>
      </w:r>
      <w:r>
        <w:t xml:space="preserve"> is active.</w:t>
      </w:r>
    </w:p>
    <w:p w14:paraId="12DC1706" w14:textId="77777777" w:rsidR="002A21AE" w:rsidRDefault="002A21AE">
      <w:pPr>
        <w:pStyle w:val="Heading4"/>
      </w:pPr>
      <w:r>
        <w:t>Outcome</w:t>
      </w:r>
    </w:p>
    <w:p w14:paraId="206C0C09" w14:textId="77777777" w:rsidR="002A21AE" w:rsidRDefault="002A21AE">
      <w:pPr>
        <w:pStyle w:val="ListBullet"/>
      </w:pPr>
      <w:r>
        <w:t>The unit status is updated to “transfused.”</w:t>
      </w:r>
    </w:p>
    <w:p w14:paraId="6C167A5A" w14:textId="77777777" w:rsidR="002A21AE" w:rsidRDefault="002A21AE">
      <w:pPr>
        <w:pStyle w:val="ListBullet"/>
      </w:pPr>
      <w:r>
        <w:t>The patient record includes the blood transfusion information.</w:t>
      </w:r>
    </w:p>
    <w:p w14:paraId="772E083B" w14:textId="77777777" w:rsidR="00561829" w:rsidRDefault="00561829" w:rsidP="00561829">
      <w:pPr>
        <w:pStyle w:val="ListBullet"/>
      </w:pPr>
      <w:r>
        <w:t>If workload codes are assigned for this process, workload-related data collected as the result of this process are stored for inclusion in Workload Reports.</w:t>
      </w:r>
    </w:p>
    <w:p w14:paraId="3560BAAB" w14:textId="77777777" w:rsidR="002A21AE" w:rsidRDefault="002A21AE">
      <w:pPr>
        <w:pStyle w:val="Heading4"/>
      </w:pPr>
      <w:r>
        <w:t>Limitations and Restrictions</w:t>
      </w:r>
    </w:p>
    <w:p w14:paraId="5AE60238" w14:textId="77777777" w:rsidR="002A21AE" w:rsidRDefault="002A21AE">
      <w:pPr>
        <w:pStyle w:val="ListBullet"/>
      </w:pPr>
      <w:r>
        <w:t>VBECS does not enforce compatibility checks between the patient and the unit.</w:t>
      </w:r>
    </w:p>
    <w:p w14:paraId="44EFFEDA" w14:textId="77777777" w:rsidR="003427EE" w:rsidRDefault="003427EE" w:rsidP="003427EE">
      <w:pPr>
        <w:pStyle w:val="ListBullet"/>
      </w:pPr>
      <w:r>
        <w:t>VBECS does not update CPRS component order status when the Document ABO Incompatible Transfusion option is used.</w:t>
      </w:r>
    </w:p>
    <w:p w14:paraId="4610C93C" w14:textId="77777777" w:rsidR="002A21AE" w:rsidRDefault="002A21AE">
      <w:pPr>
        <w:pStyle w:val="Heading4"/>
      </w:pPr>
      <w:r>
        <w:t>Additional Information</w:t>
      </w:r>
    </w:p>
    <w:p w14:paraId="0D04ED0C" w14:textId="77777777" w:rsidR="002A21AE" w:rsidRDefault="001E7158">
      <w:pPr>
        <w:pStyle w:val="ListBullet"/>
      </w:pPr>
      <w:r>
        <w:t>FDA guidances</w:t>
      </w:r>
      <w:r w:rsidR="005215D6">
        <w:t xml:space="preserve"> govern when to file blood product deviation reports</w:t>
      </w:r>
      <w:r w:rsidR="002A21AE">
        <w:t>.</w:t>
      </w:r>
    </w:p>
    <w:p w14:paraId="1106AE91" w14:textId="77777777" w:rsidR="00774A57" w:rsidRDefault="00774A57">
      <w:pPr>
        <w:pStyle w:val="ListBullet"/>
      </w:pPr>
      <w:r>
        <w:t>Follow local policy</w:t>
      </w:r>
      <w:r w:rsidR="001A0BF6">
        <w:t xml:space="preserve"> and procedures</w:t>
      </w:r>
      <w:r>
        <w:t xml:space="preserve"> for additional reporting requirements.</w:t>
      </w:r>
    </w:p>
    <w:p w14:paraId="4863B5E9" w14:textId="3CB44283" w:rsidR="00721A8D" w:rsidRDefault="00014BE4">
      <w:pPr>
        <w:pStyle w:val="ListBullet"/>
      </w:pPr>
      <w:r>
        <w:t xml:space="preserve">VBECS requires a specimen and an order placed through CPRS to process transfusions. </w:t>
      </w:r>
      <w:r w:rsidR="00721A8D">
        <w:t>When a patient was transfused and no specimen was collected or order placed for blood components,</w:t>
      </w:r>
      <w:r w:rsidR="003D71A3">
        <w:t xml:space="preserve"> </w:t>
      </w:r>
      <w:r w:rsidR="00721A8D" w:rsidRPr="00014BE4">
        <w:t xml:space="preserve">the user may </w:t>
      </w:r>
      <w:r w:rsidR="00721A8D">
        <w:t>record</w:t>
      </w:r>
      <w:r w:rsidR="00721A8D" w:rsidRPr="00014BE4">
        <w:t xml:space="preserve"> the transfusion using </w:t>
      </w:r>
      <w:r w:rsidR="00721A8D">
        <w:t xml:space="preserve">this </w:t>
      </w:r>
      <w:r w:rsidR="00721A8D" w:rsidRPr="00014BE4">
        <w:t>option</w:t>
      </w:r>
      <w:r w:rsidR="00721A8D">
        <w:t>.</w:t>
      </w:r>
      <w:r w:rsidR="004E7582" w:rsidRPr="004E7582">
        <w:rPr>
          <w:vanish/>
        </w:rPr>
        <w:t xml:space="preserve"> UserDoc Task 1087</w:t>
      </w:r>
    </w:p>
    <w:p w14:paraId="6A6865EB" w14:textId="1B8319E9" w:rsidR="00BC1FE7" w:rsidRDefault="00BC1FE7">
      <w:pPr>
        <w:pStyle w:val="ListBullet"/>
      </w:pPr>
      <w:r>
        <w:t>A record</w:t>
      </w:r>
      <w:r w:rsidR="002B6600">
        <w:t xml:space="preserve"> can be saved without entering the amount transfused and the Transfusion Interrupted option is selected. Enter the amount transfused before saving the transfusion. </w:t>
      </w:r>
      <w:r w:rsidR="002B6600" w:rsidRPr="002B6600">
        <w:rPr>
          <w:vanish/>
        </w:rPr>
        <w:t>Defect 2099</w:t>
      </w:r>
      <w:r w:rsidR="00CA745C">
        <w:rPr>
          <w:vanish/>
        </w:rPr>
        <w:t>9</w:t>
      </w:r>
      <w:r w:rsidR="002B6600" w:rsidRPr="002B6600">
        <w:rPr>
          <w:vanish/>
        </w:rPr>
        <w:t>2</w:t>
      </w:r>
    </w:p>
    <w:p w14:paraId="34467F31" w14:textId="77777777" w:rsidR="002A21AE" w:rsidRDefault="002A21AE">
      <w:pPr>
        <w:pStyle w:val="Heading4"/>
      </w:pPr>
      <w:r>
        <w:t>User Roles with Access to This Option</w:t>
      </w:r>
    </w:p>
    <w:p w14:paraId="0F8A4296" w14:textId="77777777" w:rsidR="002A21AE" w:rsidRDefault="007D4E77">
      <w:pPr>
        <w:pStyle w:val="Roles"/>
        <w:rPr>
          <w:snapToGrid w:val="0"/>
        </w:rPr>
      </w:pPr>
      <w:r w:rsidRPr="007D4E77">
        <w:rPr>
          <w:rFonts w:ascii="Wingdings 3" w:hAnsi="Wingdings 3"/>
        </w:rPr>
        <w:t></w:t>
      </w:r>
      <w:r w:rsidRPr="007D4E77">
        <w:rPr>
          <w:rFonts w:ascii="Wingdings 3" w:hAnsi="Wingdings 3"/>
        </w:rPr>
        <w:t></w:t>
      </w:r>
      <w:r w:rsidRPr="007D4E77">
        <w:rPr>
          <w:rFonts w:ascii="Wingdings 3" w:hAnsi="Wingdings 3"/>
        </w:rPr>
        <w:t></w:t>
      </w:r>
      <w:r w:rsidRPr="007D4E77">
        <w:rPr>
          <w:rFonts w:ascii="Wingdings 3" w:hAnsi="Wingdings 3"/>
        </w:rPr>
        <w:t></w:t>
      </w:r>
      <w:r>
        <w:t xml:space="preserve"> Traditional Supervisor</w:t>
      </w:r>
    </w:p>
    <w:bookmarkEnd w:id="602"/>
    <w:p w14:paraId="4629286B" w14:textId="77777777" w:rsidR="002A21AE" w:rsidRDefault="002A21AE">
      <w:pPr>
        <w:pStyle w:val="Heading4"/>
      </w:pPr>
      <w:r>
        <w:t>Document ABO Incompatible Transfusions</w:t>
      </w:r>
    </w:p>
    <w:p w14:paraId="340065FE" w14:textId="77777777" w:rsidR="009D00C1" w:rsidRDefault="009D00C1" w:rsidP="00FA7E65">
      <w:pPr>
        <w:pStyle w:val="BodyText"/>
      </w:pPr>
      <w:r>
        <w:t>When a unit is transfused to the incorrect patient</w:t>
      </w:r>
      <w:r w:rsidR="00F90DFB">
        <w:t xml:space="preserve">, </w:t>
      </w:r>
      <w:r>
        <w:t>t</w:t>
      </w:r>
      <w:r w:rsidR="002A21AE">
        <w:t xml:space="preserve">he user enters transfusion details for </w:t>
      </w:r>
      <w:r>
        <w:t xml:space="preserve">that unit. </w:t>
      </w:r>
    </w:p>
    <w:p w14:paraId="0E5581F1" w14:textId="77777777" w:rsidR="002A21AE" w:rsidRDefault="00057948" w:rsidP="00DC645C">
      <w:pPr>
        <w:pStyle w:val="Caution"/>
      </w:pPr>
      <w:r>
        <w:rPr>
          <w:noProof/>
        </w:rPr>
        <w:drawing>
          <wp:inline distT="0" distB="0" distL="0" distR="0" wp14:anchorId="1BF92278" wp14:editId="225BAB95">
            <wp:extent cx="267970" cy="221615"/>
            <wp:effectExtent l="0" t="0" r="0" b="6985"/>
            <wp:docPr id="260" name="Picture 260" descr="Cau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Picture 260" descr="Caution icon"/>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67970" cy="221615"/>
                    </a:xfrm>
                    <a:prstGeom prst="rect">
                      <a:avLst/>
                    </a:prstGeom>
                    <a:noFill/>
                    <a:ln>
                      <a:noFill/>
                    </a:ln>
                  </pic:spPr>
                </pic:pic>
              </a:graphicData>
            </a:graphic>
          </wp:inline>
        </w:drawing>
      </w:r>
      <w:r w:rsidR="00DC645C">
        <w:t xml:space="preserve"> </w:t>
      </w:r>
      <w:r w:rsidR="002A21AE">
        <w:t>VBECS does not enforce compatibility checks to allow consistent and accurate online availability of a unit’s final disposition.</w:t>
      </w:r>
      <w:r w:rsidR="002A21AE">
        <w:rPr>
          <w:b/>
        </w:rPr>
        <w:t xml:space="preserve"> </w:t>
      </w:r>
      <w:r w:rsidR="002A21AE">
        <w:t xml:space="preserve">Use of this </w:t>
      </w:r>
      <w:r w:rsidR="00932460">
        <w:t>option</w:t>
      </w:r>
      <w:r w:rsidR="002A21AE">
        <w:t xml:space="preserve"> is restricted to supervisory blood bank personnel who have thoroughly investigated the transfusion and documented the inability to use normal VBECS business processes to enter the transfusion documentation.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5FC5A709" w14:textId="77777777">
        <w:trPr>
          <w:cantSplit/>
          <w:tblHeader/>
        </w:trPr>
        <w:tc>
          <w:tcPr>
            <w:tcW w:w="3240" w:type="dxa"/>
            <w:shd w:val="pct30" w:color="auto" w:fill="FFFFFF"/>
            <w:vAlign w:val="bottom"/>
          </w:tcPr>
          <w:p w14:paraId="0166A4AA" w14:textId="77777777" w:rsidR="002A21AE" w:rsidRDefault="002A21AE">
            <w:pPr>
              <w:pStyle w:val="TableText"/>
              <w:rPr>
                <w:b/>
              </w:rPr>
            </w:pPr>
            <w:r>
              <w:rPr>
                <w:b/>
              </w:rPr>
              <w:t>User Action</w:t>
            </w:r>
          </w:p>
        </w:tc>
        <w:tc>
          <w:tcPr>
            <w:tcW w:w="6120" w:type="dxa"/>
            <w:shd w:val="pct30" w:color="auto" w:fill="FFFFFF"/>
            <w:vAlign w:val="bottom"/>
          </w:tcPr>
          <w:p w14:paraId="59C7C461" w14:textId="77777777" w:rsidR="002A21AE" w:rsidRDefault="002A21AE">
            <w:pPr>
              <w:pStyle w:val="TableText"/>
              <w:rPr>
                <w:b/>
              </w:rPr>
            </w:pPr>
            <w:r>
              <w:rPr>
                <w:b/>
              </w:rPr>
              <w:t>VBECS</w:t>
            </w:r>
          </w:p>
        </w:tc>
      </w:tr>
      <w:tr w:rsidR="002A21AE" w14:paraId="7036764C" w14:textId="77777777">
        <w:tc>
          <w:tcPr>
            <w:tcW w:w="3240" w:type="dxa"/>
            <w:tcBorders>
              <w:top w:val="single" w:sz="4" w:space="0" w:color="auto"/>
              <w:left w:val="single" w:sz="4" w:space="0" w:color="auto"/>
              <w:bottom w:val="single" w:sz="4" w:space="0" w:color="auto"/>
              <w:right w:val="single" w:sz="4" w:space="0" w:color="auto"/>
            </w:tcBorders>
          </w:tcPr>
          <w:p w14:paraId="3CA5FBDB" w14:textId="77777777" w:rsidR="002A21AE" w:rsidRDefault="002A21AE">
            <w:pPr>
              <w:pStyle w:val="TableTextNumbers"/>
            </w:pPr>
            <w:r>
              <w:t xml:space="preserve">Select </w:t>
            </w:r>
            <w:r>
              <w:rPr>
                <w:b/>
              </w:rPr>
              <w:t>Supervisor</w:t>
            </w:r>
            <w:r>
              <w:t xml:space="preserve"> from the main menu.</w:t>
            </w:r>
          </w:p>
          <w:p w14:paraId="46BBD680" w14:textId="77777777" w:rsidR="002A21AE" w:rsidRDefault="002A21AE">
            <w:pPr>
              <w:pStyle w:val="TableTextNumbersContinued"/>
            </w:pPr>
          </w:p>
          <w:p w14:paraId="2F20D374" w14:textId="77777777" w:rsidR="002A21AE" w:rsidRPr="001E3F01" w:rsidRDefault="002A21AE">
            <w:pPr>
              <w:pStyle w:val="TableTextNumbersContinued"/>
              <w:rPr>
                <w:lang w:val="fr-CA"/>
              </w:rPr>
            </w:pPr>
            <w:r w:rsidRPr="001E3F01">
              <w:rPr>
                <w:lang w:val="fr-CA"/>
              </w:rPr>
              <w:t xml:space="preserve">Select </w:t>
            </w:r>
            <w:r w:rsidRPr="001E3F01">
              <w:rPr>
                <w:b/>
                <w:lang w:val="fr-CA"/>
              </w:rPr>
              <w:t>Document ABO Incompatible Transfusion</w:t>
            </w:r>
            <w:r w:rsidRPr="001E3F01">
              <w:rPr>
                <w:lang w:val="fr-CA"/>
              </w:rPr>
              <w:t>.</w:t>
            </w:r>
          </w:p>
        </w:tc>
        <w:tc>
          <w:tcPr>
            <w:tcW w:w="6120" w:type="dxa"/>
            <w:tcBorders>
              <w:top w:val="single" w:sz="4" w:space="0" w:color="auto"/>
              <w:left w:val="single" w:sz="4" w:space="0" w:color="auto"/>
              <w:bottom w:val="single" w:sz="4" w:space="0" w:color="auto"/>
              <w:right w:val="single" w:sz="4" w:space="0" w:color="auto"/>
            </w:tcBorders>
          </w:tcPr>
          <w:p w14:paraId="195CD2A6" w14:textId="77777777" w:rsidR="002A21AE" w:rsidRDefault="002A21AE">
            <w:pPr>
              <w:pStyle w:val="TableTextBullet"/>
            </w:pPr>
            <w:r>
              <w:t>Displays options for processing patient-related functions.</w:t>
            </w:r>
          </w:p>
          <w:p w14:paraId="1909E50D" w14:textId="77777777" w:rsidR="002A21AE" w:rsidRDefault="002A21AE">
            <w:pPr>
              <w:pStyle w:val="TableTextBullet"/>
            </w:pPr>
            <w:r>
              <w:t>Displays an option to scan the Caution Tag or enter a patient name or ID.</w:t>
            </w:r>
          </w:p>
          <w:p w14:paraId="2BA4E6C9" w14:textId="77777777" w:rsidR="002A21AE" w:rsidRDefault="002A21AE">
            <w:pPr>
              <w:pStyle w:val="NotesText"/>
            </w:pPr>
          </w:p>
        </w:tc>
      </w:tr>
      <w:tr w:rsidR="002A21AE" w14:paraId="0E85F3BA" w14:textId="77777777" w:rsidTr="00F3651E">
        <w:trPr>
          <w:cantSplit/>
        </w:trPr>
        <w:tc>
          <w:tcPr>
            <w:tcW w:w="3240" w:type="dxa"/>
          </w:tcPr>
          <w:p w14:paraId="7465342C" w14:textId="77777777" w:rsidR="002A21AE" w:rsidRDefault="002A21AE">
            <w:pPr>
              <w:pStyle w:val="TableTextNumbers"/>
            </w:pPr>
            <w:r>
              <w:lastRenderedPageBreak/>
              <w:t xml:space="preserve">Select a patient and click </w:t>
            </w:r>
            <w:r>
              <w:rPr>
                <w:b/>
              </w:rPr>
              <w:t>OK</w:t>
            </w:r>
            <w:r>
              <w:t>.</w:t>
            </w:r>
          </w:p>
        </w:tc>
        <w:tc>
          <w:tcPr>
            <w:tcW w:w="6120" w:type="dxa"/>
          </w:tcPr>
          <w:p w14:paraId="698F71D8" w14:textId="77777777" w:rsidR="001C50C2" w:rsidRDefault="002A21AE" w:rsidP="001C50C2">
            <w:pPr>
              <w:pStyle w:val="TableText"/>
            </w:pPr>
            <w:r>
              <w:t>Displays an option to select a patient that may not be available from the VBECS files.</w:t>
            </w:r>
            <w:r w:rsidR="001C50C2">
              <w:t xml:space="preserve"> </w:t>
            </w:r>
          </w:p>
          <w:p w14:paraId="3F0F6108" w14:textId="77777777" w:rsidR="001C50C2" w:rsidRDefault="001C50C2" w:rsidP="001C50C2">
            <w:pPr>
              <w:pStyle w:val="TableText"/>
            </w:pPr>
          </w:p>
          <w:p w14:paraId="4C0A4985" w14:textId="67CD2C5F" w:rsidR="001C50C2" w:rsidRDefault="001C50C2" w:rsidP="001C50C2">
            <w:pPr>
              <w:pStyle w:val="TableText"/>
            </w:pPr>
            <w:r>
              <w:rPr>
                <w:b/>
                <w:bCs/>
                <w:szCs w:val="18"/>
              </w:rPr>
              <w:t>NOTES</w:t>
            </w:r>
          </w:p>
          <w:p w14:paraId="41B35672" w14:textId="77777777" w:rsidR="001C50C2" w:rsidRDefault="001C50C2" w:rsidP="001C50C2">
            <w:pPr>
              <w:pStyle w:val="TableTextBullet"/>
              <w:numPr>
                <w:ilvl w:val="0"/>
                <w:numId w:val="0"/>
              </w:numPr>
              <w:ind w:left="288" w:hanging="288"/>
              <w:rPr>
                <w:rFonts w:cs="Arial"/>
              </w:rPr>
            </w:pPr>
          </w:p>
          <w:p w14:paraId="1808392B" w14:textId="77777777" w:rsidR="001C50C2" w:rsidRDefault="001C50C2" w:rsidP="001C50C2">
            <w:pPr>
              <w:pStyle w:val="TableTextBullet"/>
              <w:numPr>
                <w:ilvl w:val="0"/>
                <w:numId w:val="0"/>
              </w:numPr>
              <w:ind w:left="720"/>
            </w:pPr>
            <w:r w:rsidRPr="001C50C2">
              <w:rPr>
                <w:rFonts w:cs="Arial"/>
              </w:rPr>
              <w:t xml:space="preserve">Displays a message when the user selects a patient with a blank first or last name, or the name is too long. The user is instructed to contact the VBECS Administrator for assistance. </w:t>
            </w:r>
            <w:r w:rsidRPr="001C50C2">
              <w:rPr>
                <w:rFonts w:cs="Arial"/>
                <w:vanish/>
              </w:rPr>
              <w:t>DR 3444</w:t>
            </w:r>
          </w:p>
        </w:tc>
      </w:tr>
      <w:tr w:rsidR="002A21AE" w14:paraId="74FAD4C0" w14:textId="77777777">
        <w:tc>
          <w:tcPr>
            <w:tcW w:w="3240" w:type="dxa"/>
          </w:tcPr>
          <w:p w14:paraId="43E3D686" w14:textId="77777777" w:rsidR="002A21AE" w:rsidRDefault="0087088B" w:rsidP="0087088B">
            <w:pPr>
              <w:pStyle w:val="TableTextNumbers"/>
            </w:pPr>
            <w:r>
              <w:t xml:space="preserve">Select a </w:t>
            </w:r>
            <w:r w:rsidR="00922AD8">
              <w:t>unit to</w:t>
            </w:r>
            <w:r w:rsidR="002A21AE">
              <w:t xml:space="preserve"> document a</w:t>
            </w:r>
            <w:r w:rsidR="00B26579">
              <w:t xml:space="preserve"> </w:t>
            </w:r>
            <w:r w:rsidR="002A21AE">
              <w:t>transfusion</w:t>
            </w:r>
            <w:r w:rsidR="00F37D55">
              <w:t xml:space="preserve"> that does not follow system rules</w:t>
            </w:r>
            <w:r w:rsidR="002A21AE">
              <w:t>.</w:t>
            </w:r>
          </w:p>
        </w:tc>
        <w:tc>
          <w:tcPr>
            <w:tcW w:w="6120" w:type="dxa"/>
          </w:tcPr>
          <w:p w14:paraId="16A9B61D" w14:textId="77777777" w:rsidR="002A21AE" w:rsidRDefault="002A21AE">
            <w:pPr>
              <w:pStyle w:val="TableTextBullet"/>
            </w:pPr>
            <w:r>
              <w:t>Displays an option to enter a unit ID and product code or search for one.</w:t>
            </w:r>
          </w:p>
          <w:p w14:paraId="07BC2B70" w14:textId="77777777" w:rsidR="002A21AE" w:rsidRDefault="002A21AE">
            <w:pPr>
              <w:pStyle w:val="TableText"/>
            </w:pPr>
          </w:p>
          <w:p w14:paraId="58DB244E" w14:textId="452C2C5A" w:rsidR="002A21AE" w:rsidRDefault="002A21AE">
            <w:pPr>
              <w:pStyle w:val="TableText"/>
              <w:rPr>
                <w:b/>
                <w:bCs/>
                <w:szCs w:val="18"/>
              </w:rPr>
            </w:pPr>
            <w:r>
              <w:rPr>
                <w:b/>
                <w:bCs/>
                <w:szCs w:val="18"/>
              </w:rPr>
              <w:t>NOTES</w:t>
            </w:r>
          </w:p>
          <w:p w14:paraId="6A0C9C26" w14:textId="77777777" w:rsidR="002A21AE" w:rsidRDefault="002A21AE">
            <w:pPr>
              <w:pStyle w:val="NotesText"/>
            </w:pPr>
          </w:p>
          <w:p w14:paraId="710ECD4E" w14:textId="52AD1627" w:rsidR="007F00C5" w:rsidRPr="002B5E51" w:rsidRDefault="007F00C5" w:rsidP="007F00C5">
            <w:pPr>
              <w:pStyle w:val="NotesText"/>
              <w:rPr>
                <w:rFonts w:cs="Arial"/>
                <w:vanish/>
              </w:rPr>
            </w:pPr>
            <w:r>
              <w:rPr>
                <w:rFonts w:cs="Arial"/>
              </w:rPr>
              <w:t>VBECS presents all units in the system for selection when the search button is used. This search will require time to complete as the number of units to display increases.</w:t>
            </w:r>
            <w:r w:rsidR="00B878DF">
              <w:rPr>
                <w:rFonts w:cs="Arial"/>
              </w:rPr>
              <w:t xml:space="preserve"> </w:t>
            </w:r>
            <w:r>
              <w:rPr>
                <w:rFonts w:cs="Arial"/>
                <w:vanish/>
              </w:rPr>
              <w:t xml:space="preserve"> DR 3516</w:t>
            </w:r>
          </w:p>
          <w:p w14:paraId="5FE725DD" w14:textId="77777777" w:rsidR="007F00C5" w:rsidRDefault="007F00C5" w:rsidP="007F00C5">
            <w:pPr>
              <w:pStyle w:val="NotesText"/>
              <w:rPr>
                <w:rFonts w:cs="Arial"/>
                <w:vanish/>
              </w:rPr>
            </w:pPr>
          </w:p>
          <w:p w14:paraId="41A48B4B" w14:textId="77777777" w:rsidR="007F00C5" w:rsidRDefault="007F00C5" w:rsidP="007F00C5">
            <w:pPr>
              <w:pStyle w:val="NotesText"/>
            </w:pPr>
            <w:r>
              <w:rPr>
                <w:rFonts w:cs="Arial"/>
                <w:vanish/>
              </w:rPr>
              <w:t xml:space="preserve">BR_69.14 </w:t>
            </w:r>
            <w:r>
              <w:t>VBECS does not enforce compatibility checks in this option.</w:t>
            </w:r>
          </w:p>
          <w:p w14:paraId="60808753" w14:textId="77777777" w:rsidR="007F00C5" w:rsidRDefault="007F00C5" w:rsidP="007F00C5">
            <w:pPr>
              <w:pStyle w:val="NotesText"/>
              <w:rPr>
                <w:rFonts w:cs="Arial"/>
              </w:rPr>
            </w:pPr>
          </w:p>
          <w:p w14:paraId="1DB99E4E" w14:textId="3DD45524" w:rsidR="002A21AE" w:rsidRDefault="007F00C5" w:rsidP="007F00C5">
            <w:pPr>
              <w:pStyle w:val="NotesText"/>
              <w:rPr>
                <w:rFonts w:cs="Arial"/>
              </w:rPr>
            </w:pPr>
            <w:r w:rsidRPr="00896F17">
              <w:rPr>
                <w:rStyle w:val="BullhornChar"/>
              </w:rPr>
              <w:t></w:t>
            </w:r>
            <w:r>
              <w:rPr>
                <w:color w:val="000000"/>
                <w:szCs w:val="18"/>
              </w:rPr>
              <w:t xml:space="preserve"> </w:t>
            </w:r>
            <w:r>
              <w:rPr>
                <w:rFonts w:cs="Arial"/>
                <w:vanish/>
              </w:rPr>
              <w:t xml:space="preserve">BR_70.06 </w:t>
            </w:r>
            <w:r>
              <w:t>When a user enters a unit with a final status, VBECS alerts the user and clears the screen. The user may select another unit.</w:t>
            </w:r>
          </w:p>
        </w:tc>
      </w:tr>
      <w:tr w:rsidR="002A21AE" w14:paraId="1B6FB2E9" w14:textId="77777777">
        <w:tc>
          <w:tcPr>
            <w:tcW w:w="3240" w:type="dxa"/>
          </w:tcPr>
          <w:p w14:paraId="55C0AF5A" w14:textId="77777777" w:rsidR="002A21AE" w:rsidRDefault="002A21AE">
            <w:pPr>
              <w:pStyle w:val="TableTextNumbers"/>
            </w:pPr>
            <w:r>
              <w:t>Enter post-transfusion details</w:t>
            </w:r>
            <w:r w:rsidR="00BB5288">
              <w:t xml:space="preserve"> and a comment</w:t>
            </w:r>
            <w:r>
              <w:t>.</w:t>
            </w:r>
          </w:p>
        </w:tc>
        <w:tc>
          <w:tcPr>
            <w:tcW w:w="6120" w:type="dxa"/>
          </w:tcPr>
          <w:p w14:paraId="5C13F539" w14:textId="77777777" w:rsidR="002A21AE" w:rsidRDefault="002A21AE">
            <w:pPr>
              <w:pStyle w:val="TableTextBullet"/>
            </w:pPr>
            <w:r>
              <w:t>Displays an option to enter or edit unit data. See Post-Transfusion Information.</w:t>
            </w:r>
          </w:p>
          <w:p w14:paraId="04B36A45" w14:textId="77777777" w:rsidR="002A21AE" w:rsidRDefault="002A21AE">
            <w:pPr>
              <w:pStyle w:val="TableTextBullet"/>
            </w:pPr>
            <w:r>
              <w:rPr>
                <w:rFonts w:cs="Arial"/>
                <w:vanish/>
              </w:rPr>
              <w:t>BR_69.16</w:t>
            </w:r>
            <w:r w:rsidR="00C549FA" w:rsidRPr="00323744">
              <w:rPr>
                <w:rStyle w:val="BullhornChar"/>
              </w:rPr>
              <w:t></w:t>
            </w:r>
            <w:r w:rsidR="00C549FA">
              <w:rPr>
                <w:rFonts w:ascii="Webdings" w:hAnsi="Webdings"/>
              </w:rPr>
              <w:t></w:t>
            </w:r>
            <w:r>
              <w:t xml:space="preserve">VBECS emits an audible alert, requires a comment, and captures the transaction details for inclusion in </w:t>
            </w:r>
            <w:r w:rsidR="00C549FA">
              <w:t>an Exception Report (exception t</w:t>
            </w:r>
            <w:r>
              <w:t>ype: ABO incompatible unit transfused).</w:t>
            </w:r>
          </w:p>
          <w:p w14:paraId="72009562" w14:textId="77777777" w:rsidR="00BB5288" w:rsidRDefault="00BB5288" w:rsidP="00BB5288">
            <w:pPr>
              <w:pStyle w:val="TableTextBullet"/>
            </w:pPr>
            <w:r>
              <w:t>Displays the entries for review, including the comment, until all details are entered.</w:t>
            </w:r>
          </w:p>
        </w:tc>
      </w:tr>
      <w:tr w:rsidR="00767921" w14:paraId="7FB0FCA5" w14:textId="77777777">
        <w:tc>
          <w:tcPr>
            <w:tcW w:w="3240" w:type="dxa"/>
          </w:tcPr>
          <w:p w14:paraId="272F541C" w14:textId="77777777" w:rsidR="00767921" w:rsidRDefault="00767921">
            <w:pPr>
              <w:pStyle w:val="TableTextNumbers"/>
            </w:pPr>
            <w:r>
              <w:t xml:space="preserve">Click </w:t>
            </w:r>
            <w:r w:rsidRPr="00767921">
              <w:rPr>
                <w:b/>
              </w:rPr>
              <w:t>OK</w:t>
            </w:r>
            <w:r>
              <w:t xml:space="preserve"> and </w:t>
            </w:r>
            <w:r w:rsidRPr="00767921">
              <w:rPr>
                <w:b/>
              </w:rPr>
              <w:t>Yes</w:t>
            </w:r>
            <w:r>
              <w:t xml:space="preserve"> to save.</w:t>
            </w:r>
          </w:p>
        </w:tc>
        <w:tc>
          <w:tcPr>
            <w:tcW w:w="6120" w:type="dxa"/>
          </w:tcPr>
          <w:p w14:paraId="5DBA8A3D" w14:textId="77777777" w:rsidR="00767921" w:rsidRDefault="00767921">
            <w:pPr>
              <w:pStyle w:val="TableTextBullet"/>
            </w:pPr>
            <w:r>
              <w:t>Saves the data.</w:t>
            </w:r>
          </w:p>
          <w:p w14:paraId="58563EB8" w14:textId="77777777" w:rsidR="00BC3647" w:rsidRDefault="00BC3647">
            <w:pPr>
              <w:pStyle w:val="TableTextBullet"/>
            </w:pPr>
            <w:r>
              <w:t>Allows the user to enter comments and details.</w:t>
            </w:r>
          </w:p>
        </w:tc>
      </w:tr>
      <w:tr w:rsidR="002A21AE" w14:paraId="764882E1" w14:textId="77777777">
        <w:tc>
          <w:tcPr>
            <w:tcW w:w="3240" w:type="dxa"/>
          </w:tcPr>
          <w:p w14:paraId="43D9440C" w14:textId="77777777" w:rsidR="00FE39F0" w:rsidRDefault="00FE39F0">
            <w:pPr>
              <w:pStyle w:val="TableTextNumbers"/>
            </w:pPr>
            <w:r>
              <w:t xml:space="preserve">Enter or select a comment and details, in accordance with local policy and procedures. </w:t>
            </w:r>
          </w:p>
          <w:p w14:paraId="01144ED0" w14:textId="77777777" w:rsidR="00FE39F0" w:rsidRDefault="00FE39F0" w:rsidP="00FE39F0">
            <w:pPr>
              <w:pStyle w:val="TableTextNumbersContinued"/>
            </w:pPr>
          </w:p>
          <w:p w14:paraId="03203BDC" w14:textId="77777777" w:rsidR="002A21AE" w:rsidRDefault="00FE39F0" w:rsidP="00FE39F0">
            <w:pPr>
              <w:pStyle w:val="TableTextNumbersContinued"/>
            </w:pPr>
            <w:r>
              <w:t xml:space="preserve">Click </w:t>
            </w:r>
            <w:r w:rsidRPr="00FE39F0">
              <w:rPr>
                <w:b/>
              </w:rPr>
              <w:t>OK</w:t>
            </w:r>
            <w:r>
              <w:t>.</w:t>
            </w:r>
          </w:p>
        </w:tc>
        <w:tc>
          <w:tcPr>
            <w:tcW w:w="6120" w:type="dxa"/>
          </w:tcPr>
          <w:p w14:paraId="06A5268A" w14:textId="77777777" w:rsidR="002A21AE" w:rsidRDefault="002A21AE">
            <w:pPr>
              <w:pStyle w:val="TableText"/>
            </w:pPr>
          </w:p>
          <w:p w14:paraId="08C44347" w14:textId="4AAE4B7E" w:rsidR="002A21AE" w:rsidRDefault="002A21AE">
            <w:pPr>
              <w:pStyle w:val="TableText"/>
              <w:rPr>
                <w:b/>
                <w:bCs/>
                <w:szCs w:val="18"/>
              </w:rPr>
            </w:pPr>
            <w:r>
              <w:rPr>
                <w:b/>
                <w:bCs/>
                <w:szCs w:val="18"/>
              </w:rPr>
              <w:t>NOTES</w:t>
            </w:r>
          </w:p>
          <w:p w14:paraId="6C55BC66" w14:textId="77777777" w:rsidR="002A21AE" w:rsidRDefault="002A21AE">
            <w:pPr>
              <w:pStyle w:val="NotesText"/>
            </w:pPr>
          </w:p>
          <w:p w14:paraId="30299258" w14:textId="77777777" w:rsidR="0018209A" w:rsidRDefault="0018209A" w:rsidP="0018209A">
            <w:pPr>
              <w:pStyle w:val="NotesText"/>
            </w:pPr>
            <w:r>
              <w:rPr>
                <w:rFonts w:cs="Arial"/>
                <w:vanish/>
              </w:rPr>
              <w:t xml:space="preserve">BR_69.13 </w:t>
            </w:r>
            <w:r>
              <w:t>VBECS saves transfusion information for future retrieval and reporting as part of the patient and unit historic records.</w:t>
            </w:r>
          </w:p>
          <w:p w14:paraId="45E017B4" w14:textId="77777777" w:rsidR="0018209A" w:rsidRDefault="0018209A">
            <w:pPr>
              <w:pStyle w:val="NotesText"/>
              <w:rPr>
                <w:rFonts w:cs="Arial"/>
              </w:rPr>
            </w:pPr>
          </w:p>
          <w:p w14:paraId="40FA3725" w14:textId="77777777" w:rsidR="002A21AE" w:rsidRDefault="002A21AE">
            <w:pPr>
              <w:pStyle w:val="NotesText"/>
            </w:pPr>
            <w:r>
              <w:rPr>
                <w:rFonts w:cs="Arial"/>
                <w:vanish/>
              </w:rPr>
              <w:t xml:space="preserve">BR_69.12 </w:t>
            </w:r>
            <w:r>
              <w:t xml:space="preserve">Upon data entry and saving of the post-transfusion information, VBECS assigns a status of “transfused” to the unit of </w:t>
            </w:r>
            <w:r w:rsidR="00191CFE">
              <w:t>blood</w:t>
            </w:r>
            <w:r>
              <w:t xml:space="preserve"> for the indicated patient.</w:t>
            </w:r>
          </w:p>
          <w:p w14:paraId="5A226FB7" w14:textId="77777777" w:rsidR="002A21AE" w:rsidRDefault="002A21AE">
            <w:pPr>
              <w:pStyle w:val="NotesText"/>
              <w:rPr>
                <w:rFonts w:cs="Arial"/>
              </w:rPr>
            </w:pPr>
          </w:p>
          <w:p w14:paraId="7624A12F" w14:textId="77777777" w:rsidR="00BC3647" w:rsidRDefault="00BC3647">
            <w:pPr>
              <w:pStyle w:val="NotesText"/>
              <w:rPr>
                <w:rFonts w:cs="Arial"/>
              </w:rPr>
            </w:pPr>
            <w:r>
              <w:rPr>
                <w:rFonts w:cs="Arial"/>
              </w:rPr>
              <w:t>VBECS captures details of this override in an Exception Report.</w:t>
            </w:r>
          </w:p>
        </w:tc>
      </w:tr>
      <w:tr w:rsidR="002A21AE" w14:paraId="77671825" w14:textId="77777777">
        <w:tc>
          <w:tcPr>
            <w:tcW w:w="3240" w:type="dxa"/>
          </w:tcPr>
          <w:p w14:paraId="56D1E6DA" w14:textId="77777777" w:rsidR="002A21AE" w:rsidRDefault="002A21AE">
            <w:pPr>
              <w:pStyle w:val="TableTextNumbers"/>
            </w:pPr>
            <w:r>
              <w:t xml:space="preserve">Exit. </w:t>
            </w:r>
            <w:r>
              <w:rPr>
                <w:vanish/>
                <w:color w:val="FFFFFF"/>
                <w:szCs w:val="18"/>
              </w:rPr>
              <w:fldChar w:fldCharType="begin"/>
            </w:r>
            <w:r>
              <w:rPr>
                <w:vanish/>
                <w:color w:val="FFFFFF"/>
                <w:szCs w:val="18"/>
              </w:rPr>
              <w:instrText xml:space="preserve"> LISTNUM \l 1 \s 0 </w:instrText>
            </w:r>
            <w:r>
              <w:rPr>
                <w:vanish/>
                <w:color w:val="FFFFFF"/>
                <w:szCs w:val="18"/>
              </w:rPr>
              <w:fldChar w:fldCharType="end">
                <w:numberingChange w:id="603" w:author="MUSZYNSKI, THOMAS D. (SIERRA 7 INC)" w:date="2024-11-26T07:15:00Z" w:original="0."/>
              </w:fldChar>
            </w:r>
          </w:p>
        </w:tc>
        <w:tc>
          <w:tcPr>
            <w:tcW w:w="6120" w:type="dxa"/>
          </w:tcPr>
          <w:p w14:paraId="4D920F70" w14:textId="77777777" w:rsidR="002A21AE" w:rsidRDefault="002A21AE">
            <w:pPr>
              <w:pStyle w:val="TableText"/>
            </w:pPr>
          </w:p>
        </w:tc>
      </w:tr>
      <w:bookmarkEnd w:id="596"/>
    </w:tbl>
    <w:p w14:paraId="7702991D" w14:textId="77777777" w:rsidR="002A21AE" w:rsidRDefault="00F55832">
      <w:pPr>
        <w:pStyle w:val="Heading3"/>
      </w:pPr>
      <w:r>
        <w:br w:type="page"/>
      </w:r>
      <w:bookmarkStart w:id="604" w:name="_Toc203765936"/>
      <w:r w:rsidR="002A21AE">
        <w:lastRenderedPageBreak/>
        <w:t>Justify ABO/Rh Change</w:t>
      </w:r>
      <w:bookmarkEnd w:id="604"/>
      <w:r w:rsidR="002A21AE">
        <w:fldChar w:fldCharType="begin"/>
      </w:r>
      <w:r w:rsidR="002A21AE">
        <w:instrText xml:space="preserve"> XE </w:instrText>
      </w:r>
      <w:r w:rsidR="00FA7E65">
        <w:instrText>“</w:instrText>
      </w:r>
      <w:r w:rsidR="002A21AE">
        <w:instrText>Justify ABO/Rh Change</w:instrText>
      </w:r>
      <w:r w:rsidR="00FA7E65">
        <w:instrText>”</w:instrText>
      </w:r>
      <w:r w:rsidR="002A21AE">
        <w:instrText xml:space="preserve"> </w:instrText>
      </w:r>
      <w:r w:rsidR="002A21AE">
        <w:fldChar w:fldCharType="end"/>
      </w:r>
      <w:r w:rsidR="002A21AE">
        <w:t xml:space="preserve"> </w:t>
      </w:r>
      <w:r w:rsidR="002A21AE">
        <w:rPr>
          <w:rFonts w:ascii="Times New Roman" w:hAnsi="Times New Roman" w:cs="Times New Roman"/>
          <w:b w:val="0"/>
          <w:vanish/>
          <w:sz w:val="22"/>
        </w:rPr>
        <w:t>UC_100</w:t>
      </w:r>
    </w:p>
    <w:p w14:paraId="39B8F634" w14:textId="77777777" w:rsidR="002A21AE" w:rsidRDefault="002A21AE" w:rsidP="00FA7E65">
      <w:pPr>
        <w:pStyle w:val="BodyText"/>
      </w:pPr>
      <w:bookmarkStart w:id="605" w:name="_Toc63680378"/>
      <w:r>
        <w:t>The user changes a patient’s historical blood type only when there is a clinical change in blood type, not to correct an error.</w:t>
      </w:r>
      <w:r w:rsidR="005215D6">
        <w:t xml:space="preserve"> (See Invalidate Test Results.)</w:t>
      </w:r>
    </w:p>
    <w:p w14:paraId="07CA0EB9" w14:textId="77777777" w:rsidR="002A21AE" w:rsidRDefault="002A21AE">
      <w:pPr>
        <w:pStyle w:val="Heading4"/>
      </w:pPr>
      <w:r>
        <w:t>Assumptions</w:t>
      </w:r>
      <w:r>
        <w:rPr>
          <w:b w:val="0"/>
        </w:rPr>
        <w:t xml:space="preserve"> </w:t>
      </w:r>
    </w:p>
    <w:p w14:paraId="6DA37CE9" w14:textId="77777777" w:rsidR="002A21AE" w:rsidRDefault="002A21AE">
      <w:pPr>
        <w:pStyle w:val="ListBullet"/>
      </w:pPr>
      <w:r>
        <w:t xml:space="preserve">The patient has a previous ABO/Rh on record from the user’s current division, from a different division within the database, or from </w:t>
      </w:r>
      <w:r w:rsidR="00AB59B8">
        <w:t xml:space="preserve">the </w:t>
      </w:r>
      <w:r>
        <w:t>database conversion.</w:t>
      </w:r>
    </w:p>
    <w:p w14:paraId="33FBEF35" w14:textId="77777777" w:rsidR="002A21AE" w:rsidRDefault="002A21AE">
      <w:pPr>
        <w:pStyle w:val="ListBullet"/>
      </w:pPr>
      <w:r>
        <w:t>The patient has a current specimen test result with an ABO/Rh interpretation that does</w:t>
      </w:r>
      <w:r>
        <w:rPr>
          <w:i/>
        </w:rPr>
        <w:t xml:space="preserve"> </w:t>
      </w:r>
      <w:r>
        <w:t>not match the historical record. Both previous and current specimen test results are valid.</w:t>
      </w:r>
    </w:p>
    <w:p w14:paraId="631481C5" w14:textId="77777777" w:rsidR="002A21AE" w:rsidRDefault="002A21AE">
      <w:pPr>
        <w:pStyle w:val="Heading4"/>
      </w:pPr>
      <w:r>
        <w:t>Outcome</w:t>
      </w:r>
      <w:r>
        <w:rPr>
          <w:rFonts w:ascii="Times New Roman" w:hAnsi="Times New Roman"/>
          <w:i/>
          <w:color w:val="0000FF"/>
          <w:sz w:val="24"/>
        </w:rPr>
        <w:t xml:space="preserve"> </w:t>
      </w:r>
    </w:p>
    <w:p w14:paraId="24C34147" w14:textId="77777777" w:rsidR="002A21AE" w:rsidRDefault="002A21AE">
      <w:pPr>
        <w:pStyle w:val="ListBullet"/>
      </w:pPr>
      <w:r>
        <w:rPr>
          <w:rFonts w:ascii="Arial" w:hAnsi="Arial" w:cs="Arial"/>
          <w:vanish/>
          <w:spacing w:val="0"/>
          <w:sz w:val="18"/>
        </w:rPr>
        <w:t xml:space="preserve">BR_100.03 </w:t>
      </w:r>
      <w:r>
        <w:t xml:space="preserve">VBECS </w:t>
      </w:r>
      <w:r w:rsidR="00326CD8">
        <w:t xml:space="preserve">permanently </w:t>
      </w:r>
      <w:r>
        <w:t xml:space="preserve">marks the patient record and the specimen test to indicate that the patient has a justified ABO/Rh change, regardless of the user’s division. </w:t>
      </w:r>
    </w:p>
    <w:p w14:paraId="71AC0B0B" w14:textId="77777777" w:rsidR="002A21AE" w:rsidRDefault="002A21AE">
      <w:pPr>
        <w:pStyle w:val="ListBullet"/>
      </w:pPr>
      <w:r>
        <w:rPr>
          <w:rFonts w:ascii="Arial" w:hAnsi="Arial" w:cs="Arial"/>
          <w:vanish/>
          <w:spacing w:val="0"/>
          <w:sz w:val="18"/>
        </w:rPr>
        <w:t xml:space="preserve">BR_100.05 </w:t>
      </w:r>
      <w:r>
        <w:t>The justified ABO/Rh on the patient record forces the user’s selection to be used as the new historical record, replacing the current test result as the historic record. VBECS does not check for ABO/Rh discrepancies with tests entered for this patient prior to the justified test result.</w:t>
      </w:r>
    </w:p>
    <w:p w14:paraId="7030A56C" w14:textId="77777777" w:rsidR="002A21AE" w:rsidRDefault="002A21AE">
      <w:pPr>
        <w:pStyle w:val="ListBullet"/>
      </w:pPr>
      <w:r>
        <w:t>VBECS permanently disallows electronic crossmatch (eXM) for this patient.</w:t>
      </w:r>
    </w:p>
    <w:p w14:paraId="291D0202" w14:textId="77777777" w:rsidR="00561829" w:rsidRDefault="00561829" w:rsidP="00561829">
      <w:pPr>
        <w:pStyle w:val="ListBullet"/>
      </w:pPr>
      <w:r>
        <w:t>If workload codes are assigned for this process, workload-related data collected as the result of this process are stored for inclusion in Workload Reports.</w:t>
      </w:r>
    </w:p>
    <w:p w14:paraId="154706F7" w14:textId="77777777" w:rsidR="002A21AE" w:rsidRDefault="002A21AE">
      <w:pPr>
        <w:pStyle w:val="Heading4"/>
      </w:pPr>
      <w:r>
        <w:t>Limitations and Restrictions</w:t>
      </w:r>
    </w:p>
    <w:p w14:paraId="60E2E667" w14:textId="77777777" w:rsidR="002A21AE" w:rsidRDefault="002A21AE">
      <w:pPr>
        <w:pStyle w:val="ListBullet"/>
      </w:pPr>
      <w:r>
        <w:t>VBECS does not allow the selection or issue of certain blood components that may appear ABO/Rh compatible when discrepant ABO/Rh results are not justified.</w:t>
      </w:r>
    </w:p>
    <w:p w14:paraId="7BADF1DA" w14:textId="77777777" w:rsidR="002A21AE" w:rsidRDefault="002A21AE">
      <w:pPr>
        <w:pStyle w:val="Heading4"/>
      </w:pPr>
      <w:r>
        <w:t>Additional Information</w:t>
      </w:r>
      <w:r>
        <w:rPr>
          <w:rFonts w:ascii="Times New Roman" w:hAnsi="Times New Roman"/>
          <w:i/>
          <w:color w:val="0000FF"/>
          <w:sz w:val="24"/>
        </w:rPr>
        <w:t xml:space="preserve"> </w:t>
      </w:r>
    </w:p>
    <w:p w14:paraId="5B2442BD" w14:textId="77777777" w:rsidR="002A21AE" w:rsidRDefault="002A21AE">
      <w:pPr>
        <w:pStyle w:val="ListBullet"/>
      </w:pPr>
      <w:r>
        <w:rPr>
          <w:rFonts w:ascii="Arial" w:hAnsi="Arial" w:cs="Arial"/>
          <w:vanish/>
          <w:spacing w:val="0"/>
          <w:sz w:val="18"/>
        </w:rPr>
        <w:t xml:space="preserve">BR_100.07 </w:t>
      </w:r>
      <w:r>
        <w:t>When the discrepant ABO/Rh tests are on the same specimen, the user may not justify the patient’s ABO/Rh.</w:t>
      </w:r>
    </w:p>
    <w:p w14:paraId="192120F5" w14:textId="77777777" w:rsidR="002A21AE" w:rsidRDefault="002A21AE">
      <w:pPr>
        <w:pStyle w:val="ListBullet"/>
      </w:pPr>
      <w:r>
        <w:t xml:space="preserve">Do not use this option for ABO/Rh discrepancies that occur because the patient had a recent transfusion of a component of a type other than his own. </w:t>
      </w:r>
    </w:p>
    <w:p w14:paraId="26FA17BE" w14:textId="77777777" w:rsidR="002A21AE" w:rsidRDefault="002A21AE">
      <w:pPr>
        <w:pStyle w:val="ListBullet"/>
      </w:pPr>
      <w:r>
        <w:t>ABO/Rh discrepancies that occur because the previously tested or current specimen was tested in error are handled by inactivating the previously recorded test results through Invalidate Test Results.</w:t>
      </w:r>
    </w:p>
    <w:p w14:paraId="636DAB77" w14:textId="77777777" w:rsidR="002A21AE" w:rsidRDefault="002A21AE">
      <w:pPr>
        <w:pStyle w:val="ListBullet"/>
      </w:pPr>
      <w:r>
        <w:t xml:space="preserve">Subsequent specimens may need to be justified in the presence of continued discrepant ABO results. </w:t>
      </w:r>
    </w:p>
    <w:p w14:paraId="0157CD19" w14:textId="77777777" w:rsidR="002A21AE" w:rsidRDefault="002A21AE">
      <w:pPr>
        <w:pStyle w:val="ListBullet"/>
      </w:pPr>
      <w:r>
        <w:t>This option is used in rare clinical situations such as following bone marrow transplant.</w:t>
      </w:r>
    </w:p>
    <w:p w14:paraId="2063FBE5" w14:textId="77777777" w:rsidR="002A21AE" w:rsidRDefault="002A21AE">
      <w:pPr>
        <w:pStyle w:val="Heading4"/>
        <w:rPr>
          <w:b w:val="0"/>
        </w:rPr>
      </w:pPr>
      <w:r>
        <w:t>User Roles with Access to This Option</w:t>
      </w:r>
      <w:r>
        <w:rPr>
          <w:b w:val="0"/>
        </w:rPr>
        <w:t xml:space="preserve"> </w:t>
      </w:r>
    </w:p>
    <w:p w14:paraId="36C3426E" w14:textId="77777777" w:rsidR="002A21AE" w:rsidRDefault="00FE459D" w:rsidP="00FE459D">
      <w:pPr>
        <w:pStyle w:val="Roles"/>
        <w:rPr>
          <w:snapToGrid w:val="0"/>
        </w:rPr>
      </w:pPr>
      <w:r w:rsidRPr="00FE459D">
        <w:rPr>
          <w:rFonts w:ascii="Wingdings 3" w:hAnsi="Wingdings 3"/>
        </w:rPr>
        <w:t></w:t>
      </w:r>
      <w:r w:rsidRPr="00FE459D">
        <w:rPr>
          <w:rFonts w:ascii="Wingdings 3" w:hAnsi="Wingdings 3"/>
        </w:rPr>
        <w:t></w:t>
      </w:r>
      <w:r w:rsidRPr="00FE459D">
        <w:rPr>
          <w:rFonts w:ascii="Wingdings 3" w:hAnsi="Wingdings 3"/>
        </w:rPr>
        <w:t></w:t>
      </w:r>
      <w:r w:rsidRPr="00FE459D">
        <w:rPr>
          <w:rFonts w:ascii="Wingdings 3" w:hAnsi="Wingdings 3"/>
        </w:rPr>
        <w:t></w:t>
      </w:r>
      <w:r>
        <w:t xml:space="preserve"> Traditional Supervisor</w:t>
      </w:r>
    </w:p>
    <w:p w14:paraId="7BD84AD0" w14:textId="77777777" w:rsidR="002A21AE" w:rsidRDefault="002A21AE">
      <w:pPr>
        <w:pStyle w:val="Heading4"/>
      </w:pPr>
      <w:r>
        <w:t>Justify ABO/Rh Change</w:t>
      </w:r>
    </w:p>
    <w:p w14:paraId="33BB15C9" w14:textId="77777777" w:rsidR="002A21AE" w:rsidRDefault="002A21AE" w:rsidP="00FA7E65">
      <w:pPr>
        <w:pStyle w:val="BodyText"/>
      </w:pPr>
      <w:r>
        <w:t>The user determines that the patient’s current ABO/Rh testing results are valid, although they differ from previously recorded results, and that the patient requires a justification indicator on his record.</w:t>
      </w:r>
    </w:p>
    <w:p w14:paraId="2B3F7C30" w14:textId="77777777" w:rsidR="00E661A1" w:rsidRDefault="002A21AE" w:rsidP="00FA7E65">
      <w:pPr>
        <w:pStyle w:val="BodyText"/>
      </w:pPr>
      <w:r>
        <w:t xml:space="preserve">This option is used only when both the previous specimen testing and the current specimen testing are considered valid. There is a valid explanation for why the ABO/Rh interpretations do not match and invalidation of the test result is not appropriate. Once the current patient ABO/Rh result change is justified, VBECS marks the patient’s record so that special handling for component orders for the patient </w:t>
      </w:r>
      <w:r>
        <w:lastRenderedPageBreak/>
        <w:t>apply from this</w:t>
      </w:r>
      <w:r w:rsidRPr="00D86197">
        <w:rPr>
          <w:b/>
        </w:rPr>
        <w:t xml:space="preserve"> </w:t>
      </w:r>
      <w:r w:rsidRPr="00A752B1">
        <w:t>p</w:t>
      </w:r>
      <w:r>
        <w:t>oint forward and remain in effect until the patient record is inactivated by the recording of his death in VBECS or by removing the justification.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0EDB4930" w14:textId="77777777">
        <w:trPr>
          <w:cantSplit/>
          <w:tblHeader/>
        </w:trPr>
        <w:tc>
          <w:tcPr>
            <w:tcW w:w="3240" w:type="dxa"/>
            <w:shd w:val="pct30" w:color="auto" w:fill="FFFFFF"/>
            <w:vAlign w:val="bottom"/>
          </w:tcPr>
          <w:p w14:paraId="4193F9E8" w14:textId="39C3BD67" w:rsidR="002A21AE" w:rsidRDefault="00E661A1">
            <w:pPr>
              <w:pStyle w:val="TableText"/>
              <w:rPr>
                <w:b/>
              </w:rPr>
            </w:pPr>
            <w:r>
              <w:br w:type="page"/>
            </w:r>
            <w:r w:rsidR="002A21AE">
              <w:rPr>
                <w:b/>
              </w:rPr>
              <w:t>User Action</w:t>
            </w:r>
          </w:p>
        </w:tc>
        <w:tc>
          <w:tcPr>
            <w:tcW w:w="6120" w:type="dxa"/>
            <w:shd w:val="pct30" w:color="auto" w:fill="FFFFFF"/>
            <w:vAlign w:val="bottom"/>
          </w:tcPr>
          <w:p w14:paraId="64E70C99" w14:textId="77777777" w:rsidR="002A21AE" w:rsidRDefault="002A21AE">
            <w:pPr>
              <w:pStyle w:val="TableText"/>
              <w:rPr>
                <w:b/>
              </w:rPr>
            </w:pPr>
            <w:r>
              <w:rPr>
                <w:b/>
              </w:rPr>
              <w:t>VBECS</w:t>
            </w:r>
          </w:p>
        </w:tc>
      </w:tr>
      <w:tr w:rsidR="002A21AE" w14:paraId="14FAC8D7" w14:textId="77777777">
        <w:tc>
          <w:tcPr>
            <w:tcW w:w="3240" w:type="dxa"/>
          </w:tcPr>
          <w:p w14:paraId="0D9376BB" w14:textId="77777777" w:rsidR="002A21AE" w:rsidRDefault="002A21AE">
            <w:pPr>
              <w:pStyle w:val="TableTextNumbers"/>
            </w:pPr>
            <w:r>
              <w:t xml:space="preserve">Select </w:t>
            </w:r>
            <w:r>
              <w:rPr>
                <w:b/>
              </w:rPr>
              <w:t>Supervisor</w:t>
            </w:r>
            <w:r>
              <w:t xml:space="preserve"> from the main menu.</w:t>
            </w:r>
          </w:p>
          <w:p w14:paraId="6D3E9190" w14:textId="77777777" w:rsidR="002A21AE" w:rsidRDefault="002A21AE">
            <w:pPr>
              <w:pStyle w:val="TableTextNumbersContinued"/>
            </w:pPr>
          </w:p>
          <w:p w14:paraId="146332E8" w14:textId="77777777" w:rsidR="002A21AE" w:rsidRDefault="002A21AE">
            <w:pPr>
              <w:pStyle w:val="TableTextNumbersContinued"/>
            </w:pPr>
            <w:r>
              <w:t xml:space="preserve">Select </w:t>
            </w:r>
            <w:r>
              <w:rPr>
                <w:b/>
              </w:rPr>
              <w:t>Justify ABO/Rh Change</w:t>
            </w:r>
            <w:r>
              <w:t>.</w:t>
            </w:r>
          </w:p>
        </w:tc>
        <w:tc>
          <w:tcPr>
            <w:tcW w:w="6120" w:type="dxa"/>
          </w:tcPr>
          <w:p w14:paraId="3CA4AFD8" w14:textId="77777777" w:rsidR="002A21AE" w:rsidRDefault="002A21AE">
            <w:pPr>
              <w:pStyle w:val="TableTextBullet"/>
            </w:pPr>
            <w:r>
              <w:t>Displays options available to supervisors.</w:t>
            </w:r>
          </w:p>
        </w:tc>
      </w:tr>
      <w:tr w:rsidR="002A21AE" w14:paraId="1520E1BB" w14:textId="77777777">
        <w:tc>
          <w:tcPr>
            <w:tcW w:w="3240" w:type="dxa"/>
          </w:tcPr>
          <w:p w14:paraId="73F78BA3" w14:textId="77777777" w:rsidR="002A21AE" w:rsidRDefault="002A21AE">
            <w:pPr>
              <w:pStyle w:val="TableTextNumbers"/>
            </w:pPr>
            <w:r>
              <w:t xml:space="preserve">Enter a patient name in the Patient field and click </w:t>
            </w:r>
            <w:r>
              <w:rPr>
                <w:b/>
                <w:bCs/>
              </w:rPr>
              <w:t>Search</w:t>
            </w:r>
            <w:r>
              <w:t xml:space="preserve"> to select a patient. </w:t>
            </w:r>
          </w:p>
          <w:p w14:paraId="7AB4DA82" w14:textId="77777777" w:rsidR="002A21AE" w:rsidRDefault="002A21AE">
            <w:pPr>
              <w:pStyle w:val="TableTextNumbersContinued"/>
            </w:pPr>
          </w:p>
          <w:p w14:paraId="072F9575" w14:textId="77777777" w:rsidR="002A21AE" w:rsidRDefault="002A21AE">
            <w:pPr>
              <w:pStyle w:val="TableTextNumbersContinued"/>
            </w:pPr>
            <w:r>
              <w:t>Select a patient.</w:t>
            </w:r>
          </w:p>
          <w:p w14:paraId="47855018" w14:textId="77777777" w:rsidR="00D86197" w:rsidRDefault="00D86197">
            <w:pPr>
              <w:pStyle w:val="TableTextNumbersContinued"/>
            </w:pPr>
          </w:p>
          <w:p w14:paraId="605E7119" w14:textId="77777777" w:rsidR="00D86197" w:rsidRDefault="00D86197">
            <w:pPr>
              <w:pStyle w:val="TableTextNumbersContinued"/>
            </w:pPr>
            <w:r>
              <w:t xml:space="preserve">Click </w:t>
            </w:r>
            <w:r w:rsidRPr="00D86197">
              <w:rPr>
                <w:b/>
              </w:rPr>
              <w:t>OK</w:t>
            </w:r>
            <w:r>
              <w:t>.</w:t>
            </w:r>
          </w:p>
        </w:tc>
        <w:tc>
          <w:tcPr>
            <w:tcW w:w="6120" w:type="dxa"/>
          </w:tcPr>
          <w:p w14:paraId="2225B7C2" w14:textId="77777777" w:rsidR="002A21AE" w:rsidRDefault="002A21AE">
            <w:pPr>
              <w:pStyle w:val="TableTextBullet"/>
            </w:pPr>
            <w:r>
              <w:t>Displays a screen for patient selection.</w:t>
            </w:r>
          </w:p>
          <w:p w14:paraId="1C0741A1" w14:textId="77777777" w:rsidR="002A21AE" w:rsidRDefault="002A21AE">
            <w:pPr>
              <w:pStyle w:val="TableTextBullet"/>
            </w:pPr>
            <w:r>
              <w:t>Disallows the justification or allows the user to continue.</w:t>
            </w:r>
          </w:p>
          <w:p w14:paraId="5D6D8126" w14:textId="77777777" w:rsidR="002A21AE" w:rsidRDefault="002A21AE">
            <w:pPr>
              <w:pStyle w:val="TableText"/>
            </w:pPr>
          </w:p>
          <w:p w14:paraId="4D006978" w14:textId="1B92EF9A" w:rsidR="002A21AE" w:rsidRDefault="002A21AE">
            <w:pPr>
              <w:pStyle w:val="TableText"/>
              <w:rPr>
                <w:b/>
                <w:bCs/>
                <w:szCs w:val="18"/>
              </w:rPr>
            </w:pPr>
            <w:r>
              <w:rPr>
                <w:b/>
                <w:bCs/>
                <w:szCs w:val="18"/>
              </w:rPr>
              <w:t>NOTES</w:t>
            </w:r>
          </w:p>
          <w:p w14:paraId="23DAF231" w14:textId="77777777" w:rsidR="002A21AE" w:rsidRDefault="002A21AE">
            <w:pPr>
              <w:pStyle w:val="NotesText"/>
            </w:pPr>
          </w:p>
          <w:p w14:paraId="218A1439" w14:textId="77777777" w:rsidR="002A21AE" w:rsidRDefault="002A21AE">
            <w:pPr>
              <w:pStyle w:val="NotesText"/>
            </w:pPr>
            <w:r>
              <w:rPr>
                <w:rFonts w:cs="Arial"/>
                <w:vanish/>
              </w:rPr>
              <w:t xml:space="preserve">BR_100.01 </w:t>
            </w:r>
            <w:r>
              <w:t>VBECS compares the results of the current ABO/Rh with the previous ABO/Rh results. When there is no discrepancy, VBECS warns that no justification is required. There is no override. VBECS clears the screen and the user may select another patient.</w:t>
            </w:r>
          </w:p>
          <w:p w14:paraId="4936A10E" w14:textId="77777777" w:rsidR="002A21AE" w:rsidRDefault="002A21AE">
            <w:pPr>
              <w:pStyle w:val="NotesText"/>
            </w:pPr>
          </w:p>
          <w:p w14:paraId="4FCD6177" w14:textId="057E7290" w:rsidR="00DA3007" w:rsidRDefault="002A21AE" w:rsidP="0027202D">
            <w:pPr>
              <w:pStyle w:val="NotesText"/>
            </w:pPr>
            <w:r>
              <w:rPr>
                <w:rFonts w:cs="Arial"/>
                <w:vanish/>
              </w:rPr>
              <w:t xml:space="preserve">BR_100.06 </w:t>
            </w:r>
            <w:r>
              <w:t>VBECS warns the user to use this option only when both the current and previous specimen tests are valid, otherwise, use Invalidate</w:t>
            </w:r>
            <w:r w:rsidR="008902F4">
              <w:t xml:space="preserve"> Patient Test</w:t>
            </w:r>
            <w:r>
              <w:t xml:space="preserve"> Results</w:t>
            </w:r>
            <w:r w:rsidR="0027202D">
              <w:t>.</w:t>
            </w:r>
          </w:p>
        </w:tc>
      </w:tr>
      <w:tr w:rsidR="002A21AE" w14:paraId="2E3B3960" w14:textId="77777777">
        <w:tc>
          <w:tcPr>
            <w:tcW w:w="3240" w:type="dxa"/>
          </w:tcPr>
          <w:p w14:paraId="2980920F" w14:textId="028CBEF2" w:rsidR="002A21AE" w:rsidRDefault="002A21AE">
            <w:pPr>
              <w:pStyle w:val="TableTextNumbers"/>
            </w:pPr>
            <w:r>
              <w:t>Select an ABO/Rh interpretation as the patient’s justified historical record</w:t>
            </w:r>
            <w:r w:rsidR="0052270D">
              <w:t xml:space="preserve"> (</w:t>
            </w:r>
            <w:r w:rsidR="00EE455E">
              <w:t xml:space="preserve">Figure </w:t>
            </w:r>
            <w:r w:rsidR="00EE455E">
              <w:rPr>
                <w:noProof/>
              </w:rPr>
              <w:t>114</w:t>
            </w:r>
            <w:r w:rsidR="0052270D">
              <w:t>)</w:t>
            </w:r>
            <w:r>
              <w:t>.</w:t>
            </w:r>
          </w:p>
        </w:tc>
        <w:tc>
          <w:tcPr>
            <w:tcW w:w="6120" w:type="dxa"/>
          </w:tcPr>
          <w:p w14:paraId="44701C18" w14:textId="77777777" w:rsidR="002A21AE" w:rsidRDefault="002A21AE">
            <w:pPr>
              <w:pStyle w:val="TableTextBullet"/>
            </w:pPr>
            <w:r>
              <w:t xml:space="preserve">Displays details of the historic and current ABO/Rh testing for comparison and a list of available ABO and Rh types for user selection. </w:t>
            </w:r>
          </w:p>
          <w:p w14:paraId="1BF2ABF9" w14:textId="77777777" w:rsidR="002A21AE" w:rsidRDefault="002A21AE">
            <w:pPr>
              <w:pStyle w:val="TableTextBullet"/>
            </w:pPr>
            <w:r>
              <w:t>Requires a comment to continue.</w:t>
            </w:r>
          </w:p>
          <w:p w14:paraId="47BC2E79" w14:textId="77777777" w:rsidR="002A21AE" w:rsidRDefault="002A21AE">
            <w:pPr>
              <w:pStyle w:val="TableText"/>
            </w:pPr>
          </w:p>
          <w:p w14:paraId="194FA895" w14:textId="6EFE9DB7" w:rsidR="002A21AE" w:rsidRDefault="002A21AE">
            <w:pPr>
              <w:pStyle w:val="TableText"/>
              <w:rPr>
                <w:b/>
                <w:bCs/>
                <w:szCs w:val="18"/>
              </w:rPr>
            </w:pPr>
            <w:r>
              <w:rPr>
                <w:b/>
                <w:bCs/>
                <w:szCs w:val="18"/>
              </w:rPr>
              <w:t>NOTES</w:t>
            </w:r>
          </w:p>
          <w:p w14:paraId="200320B1" w14:textId="77777777" w:rsidR="002A21AE" w:rsidRDefault="002A21AE">
            <w:pPr>
              <w:pStyle w:val="NotesText"/>
            </w:pPr>
          </w:p>
          <w:p w14:paraId="3309E17F" w14:textId="77777777" w:rsidR="002A21AE" w:rsidRDefault="002A21AE">
            <w:pPr>
              <w:pStyle w:val="NotesText"/>
            </w:pPr>
            <w:r>
              <w:rPr>
                <w:rFonts w:cs="Arial"/>
                <w:vanish/>
              </w:rPr>
              <w:t xml:space="preserve">BR_100.04 </w:t>
            </w:r>
            <w:r>
              <w:t>The user may select one ABO group and one Rh type for the patient to serve as the justified ABO/Rh typing in the historic record. VBECS displays the current ABO and Rh interpretations as the defaults.</w:t>
            </w:r>
          </w:p>
          <w:p w14:paraId="1D1C8BA6" w14:textId="77777777" w:rsidR="002A21AE" w:rsidRDefault="002A21AE">
            <w:pPr>
              <w:pStyle w:val="NotesText"/>
            </w:pPr>
          </w:p>
          <w:p w14:paraId="6B260FDB" w14:textId="77777777" w:rsidR="002A21AE" w:rsidRDefault="002A21AE">
            <w:pPr>
              <w:pStyle w:val="NotesText"/>
            </w:pPr>
            <w:r>
              <w:rPr>
                <w:rFonts w:cs="Arial"/>
                <w:vanish/>
              </w:rPr>
              <w:t xml:space="preserve">BR_100.02 </w:t>
            </w:r>
            <w:r>
              <w:t>VBECS requires a comment to continue.</w:t>
            </w:r>
          </w:p>
        </w:tc>
      </w:tr>
      <w:tr w:rsidR="002A21AE" w14:paraId="7A2CEF1E" w14:textId="77777777">
        <w:tc>
          <w:tcPr>
            <w:tcW w:w="3240" w:type="dxa"/>
          </w:tcPr>
          <w:p w14:paraId="3114D23F" w14:textId="77777777" w:rsidR="002A21AE" w:rsidRDefault="002A21AE">
            <w:pPr>
              <w:pStyle w:val="TableTextNumbers"/>
            </w:pPr>
            <w:r>
              <w:t xml:space="preserve">Confirm the update of the database with the justified ABO/Rh. </w:t>
            </w:r>
          </w:p>
          <w:p w14:paraId="06D28179" w14:textId="77777777" w:rsidR="002A21AE" w:rsidRDefault="002A21AE">
            <w:pPr>
              <w:pStyle w:val="TableTextNumbersContinued"/>
            </w:pPr>
          </w:p>
          <w:p w14:paraId="54BDB67A" w14:textId="77777777" w:rsidR="002A21AE" w:rsidRDefault="002A21AE">
            <w:pPr>
              <w:pStyle w:val="TableTextNumbersContinued"/>
            </w:pPr>
            <w:r>
              <w:t xml:space="preserve">Exit. </w:t>
            </w:r>
            <w:r>
              <w:rPr>
                <w:rStyle w:val="TableTextNumbersChar"/>
                <w:vanish/>
                <w:color w:val="FFFFFF"/>
                <w:szCs w:val="18"/>
              </w:rPr>
              <w:fldChar w:fldCharType="begin"/>
            </w:r>
            <w:r>
              <w:rPr>
                <w:rStyle w:val="TableTextNumbersChar"/>
                <w:vanish/>
                <w:color w:val="FFFFFF"/>
                <w:szCs w:val="18"/>
              </w:rPr>
              <w:instrText xml:space="preserve"> LISTNUM \l 1 \s 0 </w:instrText>
            </w:r>
            <w:r>
              <w:rPr>
                <w:rStyle w:val="TableTextNumbersChar"/>
                <w:vanish/>
                <w:color w:val="FFFFFF"/>
                <w:szCs w:val="18"/>
              </w:rPr>
              <w:fldChar w:fldCharType="end">
                <w:numberingChange w:id="606" w:author="MUSZYNSKI, THOMAS D. (SIERRA 7 INC)" w:date="2024-11-26T07:15:00Z" w:original="0."/>
              </w:fldChar>
            </w:r>
          </w:p>
        </w:tc>
        <w:tc>
          <w:tcPr>
            <w:tcW w:w="6120" w:type="dxa"/>
          </w:tcPr>
          <w:p w14:paraId="0D0E5704" w14:textId="77777777" w:rsidR="002A21AE" w:rsidRDefault="002A21AE">
            <w:pPr>
              <w:pStyle w:val="TableTextBullet"/>
            </w:pPr>
            <w:r>
              <w:t>Updates the patient record.</w:t>
            </w:r>
          </w:p>
        </w:tc>
      </w:tr>
    </w:tbl>
    <w:p w14:paraId="28DE5AB8" w14:textId="7B474DC1" w:rsidR="00830A4C" w:rsidRDefault="00830A4C" w:rsidP="00830A4C">
      <w:pPr>
        <w:pStyle w:val="Caption"/>
      </w:pPr>
      <w:bookmarkStart w:id="607" w:name="_Ref128535822"/>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7D1829">
        <w:rPr>
          <w:noProof/>
        </w:rPr>
        <w:t>115</w:t>
      </w:r>
      <w:r w:rsidR="004E20BD">
        <w:rPr>
          <w:noProof/>
        </w:rPr>
        <w:fldChar w:fldCharType="end"/>
      </w:r>
      <w:bookmarkEnd w:id="607"/>
      <w:r>
        <w:t>: Justify ABO/Rh Change</w:t>
      </w:r>
    </w:p>
    <w:p w14:paraId="754B1264" w14:textId="77777777" w:rsidR="00830A4C" w:rsidRDefault="00057948" w:rsidP="00830A4C">
      <w:pPr>
        <w:pStyle w:val="BodyText"/>
      </w:pPr>
      <w:r>
        <w:rPr>
          <w:noProof/>
        </w:rPr>
        <w:drawing>
          <wp:inline distT="0" distB="0" distL="0" distR="0" wp14:anchorId="300F4409" wp14:editId="3291F5C5">
            <wp:extent cx="4572000" cy="3204845"/>
            <wp:effectExtent l="0" t="0" r="0" b="0"/>
            <wp:docPr id="261" name="Picture 261" descr="Example of Justify ABO/Rh Change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Picture 261" descr="Example of Justify ABO/Rh Change screen capture"/>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4572000" cy="3204845"/>
                    </a:xfrm>
                    <a:prstGeom prst="rect">
                      <a:avLst/>
                    </a:prstGeom>
                    <a:noFill/>
                    <a:ln>
                      <a:noFill/>
                    </a:ln>
                  </pic:spPr>
                </pic:pic>
              </a:graphicData>
            </a:graphic>
          </wp:inline>
        </w:drawing>
      </w:r>
    </w:p>
    <w:p w14:paraId="623B94E9" w14:textId="77777777" w:rsidR="009D0008" w:rsidRDefault="009D0008">
      <w:pPr>
        <w:rPr>
          <w:sz w:val="22"/>
          <w:szCs w:val="22"/>
        </w:rPr>
      </w:pPr>
      <w:r>
        <w:rPr>
          <w:sz w:val="22"/>
          <w:szCs w:val="22"/>
        </w:rPr>
        <w:br w:type="page"/>
      </w:r>
    </w:p>
    <w:p w14:paraId="5C0D8674" w14:textId="10D00E86" w:rsidR="007A4841" w:rsidRDefault="007A4841" w:rsidP="007A49E1">
      <w:pPr>
        <w:pStyle w:val="Heading1"/>
      </w:pPr>
      <w:bookmarkStart w:id="608" w:name="_Toc203765937"/>
      <w:r>
        <w:lastRenderedPageBreak/>
        <w:t>Automated Testing</w:t>
      </w:r>
      <w:bookmarkEnd w:id="608"/>
      <w:r w:rsidRPr="00B31DA1">
        <w:rPr>
          <w:vanish/>
        </w:rPr>
        <w:t>{ XE “Automated Testing” }</w:t>
      </w:r>
      <w:r w:rsidRPr="00B31DA1">
        <w:rPr>
          <w:i/>
          <w:vanish/>
        </w:rPr>
        <w:t>UC_114, UC_115</w:t>
      </w:r>
    </w:p>
    <w:p w14:paraId="0DEC015C" w14:textId="77777777" w:rsidR="00B45FA2" w:rsidRDefault="00B45FA2" w:rsidP="007A4841">
      <w:pPr>
        <w:pStyle w:val="Heading2"/>
      </w:pPr>
      <w:bookmarkStart w:id="609" w:name="_Toc203765938"/>
      <w:r>
        <w:t>Automated Testing Interface</w:t>
      </w:r>
      <w:bookmarkEnd w:id="609"/>
      <w:r>
        <w:fldChar w:fldCharType="begin"/>
      </w:r>
      <w:r>
        <w:instrText xml:space="preserve"> XE “Automated Testing Interface” </w:instrText>
      </w:r>
      <w:r>
        <w:fldChar w:fldCharType="end"/>
      </w:r>
      <w:r>
        <w:t xml:space="preserve"> </w:t>
      </w:r>
      <w:r>
        <w:rPr>
          <w:rFonts w:ascii="Times New Roman" w:hAnsi="Times New Roman" w:cs="Times New Roman"/>
          <w:b w:val="0"/>
          <w:i w:val="0"/>
          <w:vanish/>
          <w:sz w:val="22"/>
        </w:rPr>
        <w:t>UC_114</w:t>
      </w:r>
    </w:p>
    <w:p w14:paraId="31FCEB82" w14:textId="77777777" w:rsidR="007B52EA" w:rsidRDefault="00B45FA2" w:rsidP="00B45FA2">
      <w:pPr>
        <w:pStyle w:val="BodyText"/>
      </w:pPr>
      <w:r w:rsidRPr="00311A54">
        <w:t xml:space="preserve">The user </w:t>
      </w:r>
      <w:r w:rsidR="0081699D" w:rsidRPr="00311A54">
        <w:t>sends test results to VBECS</w:t>
      </w:r>
      <w:r w:rsidR="00F27904">
        <w:t xml:space="preserve"> from an automated instrument</w:t>
      </w:r>
      <w:r w:rsidRPr="00311A54">
        <w:t>.</w:t>
      </w:r>
    </w:p>
    <w:p w14:paraId="4EE39FD6" w14:textId="1E643B5C" w:rsidR="007B52EA" w:rsidRDefault="007B52EA" w:rsidP="007B52EA">
      <w:pPr>
        <w:pStyle w:val="BodyText"/>
      </w:pPr>
      <w:r>
        <w:t xml:space="preserve">For details about interface configuration please refer to the </w:t>
      </w:r>
      <w:r w:rsidR="00531617" w:rsidRPr="00531617">
        <w:rPr>
          <w:i/>
        </w:rPr>
        <w:t>V</w:t>
      </w:r>
      <w:r w:rsidR="00BA2EAA">
        <w:rPr>
          <w:i/>
        </w:rPr>
        <w:t>BECS 2.</w:t>
      </w:r>
      <w:r w:rsidR="00397587">
        <w:rPr>
          <w:i/>
        </w:rPr>
        <w:t>4.0</w:t>
      </w:r>
      <w:r w:rsidR="00BA2EAA">
        <w:rPr>
          <w:i/>
        </w:rPr>
        <w:t xml:space="preserve"> Admin User</w:t>
      </w:r>
      <w:r w:rsidRPr="00531617">
        <w:rPr>
          <w:i/>
        </w:rPr>
        <w:t xml:space="preserve"> Guide</w:t>
      </w:r>
      <w:r w:rsidR="004A1C69">
        <w:t>.</w:t>
      </w:r>
    </w:p>
    <w:p w14:paraId="0D77A4C5" w14:textId="77777777" w:rsidR="00B45FA2" w:rsidRDefault="00B45FA2" w:rsidP="00B45FA2">
      <w:pPr>
        <w:pStyle w:val="Heading4"/>
      </w:pPr>
      <w:r>
        <w:t>Assumptions</w:t>
      </w:r>
      <w:r>
        <w:rPr>
          <w:b w:val="0"/>
        </w:rPr>
        <w:t xml:space="preserve"> </w:t>
      </w:r>
    </w:p>
    <w:p w14:paraId="41F8CCBE" w14:textId="77777777" w:rsidR="004926E0" w:rsidRDefault="004926E0" w:rsidP="00925CAD">
      <w:pPr>
        <w:pStyle w:val="TableTextBullet"/>
        <w:numPr>
          <w:ilvl w:val="0"/>
          <w:numId w:val="42"/>
        </w:numPr>
        <w:ind w:right="63"/>
        <w:rPr>
          <w:rFonts w:ascii="Times New Roman" w:hAnsi="Times New Roman"/>
          <w:spacing w:val="-5"/>
          <w:sz w:val="22"/>
          <w:szCs w:val="22"/>
        </w:rPr>
      </w:pPr>
      <w:r>
        <w:rPr>
          <w:rFonts w:ascii="Times New Roman" w:hAnsi="Times New Roman"/>
          <w:spacing w:val="-5"/>
          <w:sz w:val="22"/>
          <w:szCs w:val="22"/>
        </w:rPr>
        <w:t>Test Results have been reviewed and released on the instrument to be transmitted to VBECS.</w:t>
      </w:r>
      <w:r w:rsidR="00FC74A0">
        <w:rPr>
          <w:rFonts w:ascii="Times New Roman" w:hAnsi="Times New Roman"/>
          <w:spacing w:val="-5"/>
          <w:sz w:val="22"/>
          <w:szCs w:val="22"/>
        </w:rPr>
        <w:t xml:space="preserve"> </w:t>
      </w:r>
      <w:r w:rsidR="00FC74A0" w:rsidRPr="00FC74A0">
        <w:rPr>
          <w:rFonts w:ascii="Times New Roman" w:hAnsi="Times New Roman"/>
          <w:vanish/>
          <w:spacing w:val="-5"/>
          <w:sz w:val="22"/>
          <w:szCs w:val="22"/>
        </w:rPr>
        <w:t xml:space="preserve">Defect </w:t>
      </w:r>
      <w:r w:rsidR="00FC74A0" w:rsidRPr="00FC74A0">
        <w:rPr>
          <w:vanish/>
        </w:rPr>
        <w:t>357490</w:t>
      </w:r>
    </w:p>
    <w:p w14:paraId="00D37130" w14:textId="77777777" w:rsidR="00B45FA2" w:rsidRPr="00B23B06" w:rsidRDefault="00B45FA2" w:rsidP="00925CAD">
      <w:pPr>
        <w:pStyle w:val="TableTextBullet"/>
        <w:numPr>
          <w:ilvl w:val="0"/>
          <w:numId w:val="42"/>
        </w:numPr>
        <w:ind w:right="63"/>
        <w:rPr>
          <w:rFonts w:ascii="Times New Roman" w:hAnsi="Times New Roman"/>
          <w:spacing w:val="-5"/>
          <w:sz w:val="22"/>
          <w:szCs w:val="22"/>
        </w:rPr>
      </w:pPr>
      <w:r w:rsidRPr="00B23B06">
        <w:rPr>
          <w:rFonts w:ascii="Times New Roman" w:hAnsi="Times New Roman"/>
          <w:spacing w:val="-5"/>
          <w:sz w:val="22"/>
          <w:szCs w:val="22"/>
        </w:rPr>
        <w:t>A patient testing order must be accepted in VBECS and pending test results.</w:t>
      </w:r>
    </w:p>
    <w:p w14:paraId="4AAA01F3" w14:textId="77777777" w:rsidR="00B45FA2" w:rsidRPr="00B23B06" w:rsidRDefault="00B45FA2" w:rsidP="00925CAD">
      <w:pPr>
        <w:pStyle w:val="TableTextBullet"/>
        <w:numPr>
          <w:ilvl w:val="0"/>
          <w:numId w:val="42"/>
        </w:numPr>
        <w:ind w:right="63"/>
        <w:rPr>
          <w:rFonts w:ascii="Times New Roman" w:hAnsi="Times New Roman"/>
          <w:spacing w:val="-5"/>
          <w:sz w:val="22"/>
          <w:szCs w:val="22"/>
        </w:rPr>
      </w:pPr>
      <w:r w:rsidRPr="00B23B06">
        <w:rPr>
          <w:rFonts w:ascii="Times New Roman" w:hAnsi="Times New Roman"/>
          <w:spacing w:val="-5"/>
          <w:sz w:val="22"/>
          <w:szCs w:val="22"/>
        </w:rPr>
        <w:t>A blood unit must be received in the VBECS division.</w:t>
      </w:r>
    </w:p>
    <w:p w14:paraId="77199401" w14:textId="77777777" w:rsidR="00B45FA2" w:rsidRPr="00B23B06" w:rsidRDefault="00B45FA2" w:rsidP="00925CAD">
      <w:pPr>
        <w:pStyle w:val="TableTextBullet"/>
        <w:numPr>
          <w:ilvl w:val="0"/>
          <w:numId w:val="42"/>
        </w:numPr>
        <w:ind w:right="63"/>
        <w:rPr>
          <w:rFonts w:ascii="Times New Roman" w:hAnsi="Times New Roman"/>
          <w:spacing w:val="-5"/>
          <w:sz w:val="22"/>
          <w:szCs w:val="22"/>
        </w:rPr>
      </w:pPr>
      <w:r w:rsidRPr="00B23B06">
        <w:rPr>
          <w:rFonts w:ascii="Times New Roman" w:hAnsi="Times New Roman"/>
          <w:spacing w:val="-5"/>
          <w:sz w:val="22"/>
          <w:szCs w:val="22"/>
        </w:rPr>
        <w:t>The testing instrument is fully functional and available for use:  The instrument QC is completed and valid, no maintenance is required and test results are available for transmission to VBECS.</w:t>
      </w:r>
    </w:p>
    <w:p w14:paraId="2B4FCFAB" w14:textId="77777777" w:rsidR="00B45FA2" w:rsidRDefault="00B45FA2" w:rsidP="00925CAD">
      <w:pPr>
        <w:pStyle w:val="TableTextBullet"/>
        <w:numPr>
          <w:ilvl w:val="0"/>
          <w:numId w:val="42"/>
        </w:numPr>
        <w:ind w:right="63"/>
        <w:rPr>
          <w:rFonts w:ascii="Times New Roman" w:hAnsi="Times New Roman"/>
          <w:spacing w:val="-5"/>
          <w:sz w:val="22"/>
          <w:szCs w:val="22"/>
        </w:rPr>
      </w:pPr>
      <w:r w:rsidRPr="00B23B06">
        <w:rPr>
          <w:rFonts w:ascii="Times New Roman" w:hAnsi="Times New Roman"/>
          <w:spacing w:val="-5"/>
          <w:sz w:val="22"/>
          <w:szCs w:val="22"/>
        </w:rPr>
        <w:t xml:space="preserve">Interface Control Parameters </w:t>
      </w:r>
      <w:r>
        <w:rPr>
          <w:rFonts w:ascii="Times New Roman" w:hAnsi="Times New Roman"/>
          <w:spacing w:val="-5"/>
          <w:sz w:val="22"/>
          <w:szCs w:val="22"/>
        </w:rPr>
        <w:t>have</w:t>
      </w:r>
      <w:r w:rsidRPr="00B23B06">
        <w:rPr>
          <w:rFonts w:ascii="Times New Roman" w:hAnsi="Times New Roman"/>
          <w:spacing w:val="-5"/>
          <w:sz w:val="22"/>
          <w:szCs w:val="22"/>
        </w:rPr>
        <w:t xml:space="preserve"> been completed and </w:t>
      </w:r>
      <w:r>
        <w:rPr>
          <w:rFonts w:ascii="Times New Roman" w:hAnsi="Times New Roman"/>
          <w:spacing w:val="-5"/>
          <w:sz w:val="22"/>
          <w:szCs w:val="22"/>
        </w:rPr>
        <w:t>are</w:t>
      </w:r>
      <w:r w:rsidRPr="00B23B06">
        <w:rPr>
          <w:rFonts w:ascii="Times New Roman" w:hAnsi="Times New Roman"/>
          <w:spacing w:val="-5"/>
          <w:sz w:val="22"/>
          <w:szCs w:val="22"/>
        </w:rPr>
        <w:t xml:space="preserve"> enabled for the automated instrument interface</w:t>
      </w:r>
      <w:r w:rsidR="00F27904">
        <w:rPr>
          <w:rFonts w:ascii="Times New Roman" w:hAnsi="Times New Roman"/>
          <w:spacing w:val="-5"/>
          <w:sz w:val="22"/>
          <w:szCs w:val="22"/>
        </w:rPr>
        <w:t xml:space="preserve"> in the VBECS Administrator</w:t>
      </w:r>
      <w:r w:rsidRPr="00B23B06">
        <w:rPr>
          <w:rFonts w:ascii="Times New Roman" w:hAnsi="Times New Roman"/>
          <w:spacing w:val="-5"/>
          <w:sz w:val="22"/>
          <w:szCs w:val="22"/>
        </w:rPr>
        <w:t>.</w:t>
      </w:r>
    </w:p>
    <w:p w14:paraId="2FDE9CC7" w14:textId="77777777" w:rsidR="00B45FA2" w:rsidRPr="00B23B06" w:rsidRDefault="00B45FA2" w:rsidP="00925CAD">
      <w:pPr>
        <w:pStyle w:val="TableTextBullet"/>
        <w:numPr>
          <w:ilvl w:val="0"/>
          <w:numId w:val="42"/>
        </w:numPr>
        <w:ind w:right="63"/>
        <w:rPr>
          <w:rFonts w:ascii="Times New Roman" w:hAnsi="Times New Roman"/>
          <w:spacing w:val="-5"/>
          <w:sz w:val="22"/>
          <w:szCs w:val="22"/>
        </w:rPr>
      </w:pPr>
      <w:r>
        <w:rPr>
          <w:rFonts w:ascii="Times New Roman" w:hAnsi="Times New Roman"/>
          <w:spacing w:val="-5"/>
          <w:sz w:val="22"/>
          <w:szCs w:val="22"/>
        </w:rPr>
        <w:t>Data Innovations Instrument Manager message interface is properly and completely configured.</w:t>
      </w:r>
    </w:p>
    <w:p w14:paraId="0A3146FA" w14:textId="77777777" w:rsidR="00B45FA2" w:rsidRDefault="00B45FA2" w:rsidP="00B45FA2">
      <w:pPr>
        <w:pStyle w:val="Heading4"/>
      </w:pPr>
      <w:r>
        <w:t xml:space="preserve">Outcome </w:t>
      </w:r>
    </w:p>
    <w:p w14:paraId="1F7C9FA4" w14:textId="77777777" w:rsidR="00B45FA2" w:rsidRDefault="0081699D" w:rsidP="00B45FA2">
      <w:pPr>
        <w:pStyle w:val="ListBullet"/>
      </w:pPr>
      <w:r w:rsidRPr="00311A54">
        <w:t>Test results are received by VBECS</w:t>
      </w:r>
      <w:r w:rsidR="00B45FA2" w:rsidRPr="00311A54">
        <w:t>.</w:t>
      </w:r>
    </w:p>
    <w:p w14:paraId="0B05209C" w14:textId="77777777" w:rsidR="00F27904" w:rsidRPr="00311A54" w:rsidRDefault="00F27904" w:rsidP="00B45FA2">
      <w:pPr>
        <w:pStyle w:val="ListBullet"/>
      </w:pPr>
      <w:r>
        <w:t>Task status is updated for tests pending completion.</w:t>
      </w:r>
    </w:p>
    <w:p w14:paraId="5EC0C5D4" w14:textId="77777777" w:rsidR="00B45FA2" w:rsidRDefault="00B45FA2" w:rsidP="00B45FA2">
      <w:pPr>
        <w:pStyle w:val="Heading4"/>
      </w:pPr>
      <w:r>
        <w:t>Limitations and Restrictions</w:t>
      </w:r>
      <w:r>
        <w:rPr>
          <w:b w:val="0"/>
        </w:rPr>
        <w:t xml:space="preserve"> </w:t>
      </w:r>
    </w:p>
    <w:p w14:paraId="247248F5" w14:textId="77777777" w:rsidR="00586388" w:rsidRPr="00586388" w:rsidRDefault="00586388" w:rsidP="00925CAD">
      <w:pPr>
        <w:pStyle w:val="TableTextBullet"/>
        <w:numPr>
          <w:ilvl w:val="0"/>
          <w:numId w:val="42"/>
        </w:numPr>
        <w:ind w:right="63"/>
        <w:rPr>
          <w:rFonts w:ascii="Times New Roman" w:hAnsi="Times New Roman"/>
          <w:spacing w:val="-5"/>
          <w:sz w:val="22"/>
          <w:szCs w:val="22"/>
        </w:rPr>
      </w:pPr>
      <w:r w:rsidRPr="00586388">
        <w:rPr>
          <w:rFonts w:ascii="Times New Roman" w:hAnsi="Times New Roman"/>
          <w:sz w:val="22"/>
          <w:szCs w:val="22"/>
        </w:rPr>
        <w:t xml:space="preserve">VBECS has only been tested with one automated instrument connected. </w:t>
      </w:r>
      <w:r w:rsidRPr="00586388">
        <w:rPr>
          <w:rFonts w:ascii="Times New Roman" w:hAnsi="Times New Roman"/>
          <w:vanish/>
          <w:sz w:val="22"/>
          <w:szCs w:val="22"/>
        </w:rPr>
        <w:t>Defect 357490</w:t>
      </w:r>
    </w:p>
    <w:p w14:paraId="4F65AAE8" w14:textId="6845147B" w:rsidR="00B45FA2" w:rsidRPr="00B23B06" w:rsidRDefault="00B45FA2" w:rsidP="00925CAD">
      <w:pPr>
        <w:pStyle w:val="TableTextBullet"/>
        <w:numPr>
          <w:ilvl w:val="0"/>
          <w:numId w:val="42"/>
        </w:numPr>
        <w:ind w:right="63"/>
        <w:rPr>
          <w:rFonts w:ascii="Times New Roman" w:hAnsi="Times New Roman"/>
          <w:spacing w:val="-5"/>
          <w:sz w:val="22"/>
          <w:szCs w:val="22"/>
        </w:rPr>
      </w:pPr>
      <w:r w:rsidRPr="00B23B06">
        <w:rPr>
          <w:rFonts w:ascii="Times New Roman" w:hAnsi="Times New Roman"/>
          <w:spacing w:val="-5"/>
          <w:sz w:val="22"/>
          <w:szCs w:val="22"/>
        </w:rPr>
        <w:t>Not available for transmission to Transfusion only facilities.</w:t>
      </w:r>
    </w:p>
    <w:p w14:paraId="0A5A6033" w14:textId="77777777" w:rsidR="00B45FA2" w:rsidRPr="00B23B06" w:rsidRDefault="00B45FA2" w:rsidP="00925CAD">
      <w:pPr>
        <w:pStyle w:val="TableTextBullet"/>
        <w:numPr>
          <w:ilvl w:val="0"/>
          <w:numId w:val="42"/>
        </w:numPr>
        <w:ind w:right="63"/>
        <w:rPr>
          <w:rFonts w:ascii="Times New Roman" w:hAnsi="Times New Roman"/>
          <w:spacing w:val="-5"/>
          <w:sz w:val="22"/>
          <w:szCs w:val="22"/>
        </w:rPr>
      </w:pPr>
      <w:r w:rsidRPr="00B23B06">
        <w:rPr>
          <w:rFonts w:ascii="Times New Roman" w:hAnsi="Times New Roman"/>
          <w:spacing w:val="-5"/>
          <w:sz w:val="22"/>
          <w:szCs w:val="22"/>
        </w:rPr>
        <w:t>The results of Antibody Panels (ABID) will not be accepted by the VBECS Automated Interface.</w:t>
      </w:r>
    </w:p>
    <w:p w14:paraId="482936CE" w14:textId="77777777" w:rsidR="00B45FA2" w:rsidRDefault="00B45FA2" w:rsidP="00925CAD">
      <w:pPr>
        <w:pStyle w:val="TableTextBullet"/>
        <w:numPr>
          <w:ilvl w:val="0"/>
          <w:numId w:val="42"/>
        </w:numPr>
        <w:ind w:right="63"/>
        <w:rPr>
          <w:rFonts w:ascii="Times New Roman" w:hAnsi="Times New Roman"/>
          <w:spacing w:val="-5"/>
          <w:sz w:val="22"/>
          <w:szCs w:val="22"/>
        </w:rPr>
      </w:pPr>
      <w:r w:rsidRPr="00B23B06">
        <w:rPr>
          <w:rFonts w:ascii="Times New Roman" w:hAnsi="Times New Roman"/>
          <w:spacing w:val="-5"/>
          <w:sz w:val="22"/>
          <w:szCs w:val="22"/>
        </w:rPr>
        <w:t>The results of QC information from automated instruments will not be accepted by the VBECS Automated Interface.</w:t>
      </w:r>
    </w:p>
    <w:p w14:paraId="7028521A" w14:textId="087D2D96" w:rsidR="00D33B43" w:rsidRDefault="00B45FA2" w:rsidP="00925CAD">
      <w:pPr>
        <w:pStyle w:val="TableTextBullet"/>
        <w:numPr>
          <w:ilvl w:val="0"/>
          <w:numId w:val="42"/>
        </w:numPr>
        <w:ind w:right="63"/>
        <w:rPr>
          <w:rFonts w:ascii="Times New Roman" w:hAnsi="Times New Roman"/>
          <w:spacing w:val="-5"/>
          <w:sz w:val="22"/>
          <w:szCs w:val="22"/>
        </w:rPr>
      </w:pPr>
      <w:r w:rsidRPr="004926E0">
        <w:rPr>
          <w:rFonts w:ascii="Times New Roman" w:hAnsi="Times New Roman"/>
          <w:spacing w:val="-5"/>
          <w:sz w:val="22"/>
          <w:szCs w:val="22"/>
        </w:rPr>
        <w:t>Time zone will not be included in HL7 message date time from the broadcasting application (Instrument Manager). The time zone is determined from the division code contained in the message header (MSH) segment of the message.</w:t>
      </w:r>
      <w:r w:rsidR="00D33B43" w:rsidRPr="004926E0">
        <w:rPr>
          <w:rFonts w:ascii="Times New Roman" w:hAnsi="Times New Roman"/>
          <w:vanish/>
          <w:spacing w:val="-5"/>
          <w:sz w:val="22"/>
          <w:szCs w:val="22"/>
        </w:rPr>
        <w:t xml:space="preserve">Defects 290088, 290166 </w:t>
      </w:r>
    </w:p>
    <w:p w14:paraId="454A986D" w14:textId="0F666D88" w:rsidR="004F6172" w:rsidRPr="004F6172" w:rsidRDefault="004F6172" w:rsidP="004F6172">
      <w:pPr>
        <w:pStyle w:val="TableTextBullet"/>
        <w:numPr>
          <w:ilvl w:val="0"/>
          <w:numId w:val="42"/>
        </w:numPr>
        <w:ind w:right="63"/>
        <w:rPr>
          <w:rFonts w:ascii="Times New Roman" w:hAnsi="Times New Roman"/>
          <w:spacing w:val="-5"/>
          <w:sz w:val="22"/>
          <w:szCs w:val="22"/>
        </w:rPr>
      </w:pPr>
      <w:r w:rsidRPr="004F6172">
        <w:rPr>
          <w:rFonts w:ascii="Times New Roman" w:hAnsi="Times New Roman"/>
          <w:spacing w:val="-5"/>
          <w:sz w:val="22"/>
          <w:szCs w:val="22"/>
        </w:rPr>
        <w:t>For VBECS to process automated test results, a specimen record needs to exist.</w:t>
      </w:r>
      <w:r w:rsidR="0093638C">
        <w:rPr>
          <w:rFonts w:ascii="Times New Roman" w:hAnsi="Times New Roman"/>
          <w:spacing w:val="-5"/>
          <w:sz w:val="22"/>
          <w:szCs w:val="22"/>
        </w:rPr>
        <w:t xml:space="preserve"> </w:t>
      </w:r>
      <w:r w:rsidRPr="004F6172">
        <w:rPr>
          <w:rFonts w:ascii="Times New Roman" w:hAnsi="Times New Roman"/>
          <w:spacing w:val="-5"/>
          <w:sz w:val="22"/>
          <w:szCs w:val="22"/>
        </w:rPr>
        <w:t>VBECS cannot accept A</w:t>
      </w:r>
      <w:r w:rsidR="0093638C">
        <w:rPr>
          <w:rFonts w:ascii="Times New Roman" w:hAnsi="Times New Roman"/>
          <w:spacing w:val="-5"/>
          <w:sz w:val="22"/>
          <w:szCs w:val="22"/>
        </w:rPr>
        <w:t xml:space="preserve">utomated </w:t>
      </w:r>
      <w:r w:rsidRPr="004F6172">
        <w:rPr>
          <w:rFonts w:ascii="Times New Roman" w:hAnsi="Times New Roman"/>
          <w:spacing w:val="-5"/>
          <w:sz w:val="22"/>
          <w:szCs w:val="22"/>
        </w:rPr>
        <w:t>I</w:t>
      </w:r>
      <w:r w:rsidR="0093638C">
        <w:rPr>
          <w:rFonts w:ascii="Times New Roman" w:hAnsi="Times New Roman"/>
          <w:spacing w:val="-5"/>
          <w:sz w:val="22"/>
          <w:szCs w:val="22"/>
        </w:rPr>
        <w:t>n</w:t>
      </w:r>
      <w:r w:rsidR="00227337">
        <w:rPr>
          <w:rFonts w:ascii="Times New Roman" w:hAnsi="Times New Roman"/>
          <w:spacing w:val="-5"/>
          <w:sz w:val="22"/>
          <w:szCs w:val="22"/>
        </w:rPr>
        <w:t>strument</w:t>
      </w:r>
      <w:r w:rsidRPr="004F6172">
        <w:rPr>
          <w:rFonts w:ascii="Times New Roman" w:hAnsi="Times New Roman"/>
          <w:spacing w:val="-5"/>
          <w:sz w:val="22"/>
          <w:szCs w:val="22"/>
        </w:rPr>
        <w:t xml:space="preserve"> test results for specimens that are more than 5 years old. To work around this limitation for maintainable specimens, first change the expiration date and then send the test results.</w:t>
      </w:r>
    </w:p>
    <w:p w14:paraId="55E2A468" w14:textId="77777777" w:rsidR="00B45FA2" w:rsidRDefault="00B45FA2" w:rsidP="00B45FA2">
      <w:pPr>
        <w:pStyle w:val="Heading4"/>
      </w:pPr>
      <w:r>
        <w:t xml:space="preserve">Additional Information </w:t>
      </w:r>
    </w:p>
    <w:p w14:paraId="72CA1873" w14:textId="77777777" w:rsidR="00B45FA2" w:rsidRDefault="00B45FA2" w:rsidP="00B45FA2">
      <w:pPr>
        <w:pStyle w:val="ListBullet"/>
      </w:pPr>
      <w:r>
        <w:t xml:space="preserve">VBECS </w:t>
      </w:r>
      <w:r w:rsidRPr="00BA0C95">
        <w:t xml:space="preserve">will accommodate </w:t>
      </w:r>
      <w:r>
        <w:t xml:space="preserve">antigen typing test results </w:t>
      </w:r>
      <w:r w:rsidRPr="00BA0C95">
        <w:t>where antigen typing tests are available in VBECS.</w:t>
      </w:r>
    </w:p>
    <w:p w14:paraId="4E18D87B" w14:textId="77777777" w:rsidR="002C3F2F" w:rsidRDefault="00057948" w:rsidP="002C3F2F">
      <w:pPr>
        <w:pStyle w:val="ListBullet"/>
      </w:pPr>
      <w:r>
        <w:rPr>
          <w:noProof/>
        </w:rPr>
        <w:drawing>
          <wp:inline distT="0" distB="0" distL="0" distR="0" wp14:anchorId="48A86715" wp14:editId="67D1E673">
            <wp:extent cx="276860" cy="221615"/>
            <wp:effectExtent l="0" t="0" r="8890" b="6985"/>
            <wp:docPr id="262" name="Picture 1" descr="Cau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Picture 1" descr="Caution icon"/>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76860" cy="221615"/>
                    </a:xfrm>
                    <a:prstGeom prst="rect">
                      <a:avLst/>
                    </a:prstGeom>
                    <a:noFill/>
                    <a:ln>
                      <a:noFill/>
                    </a:ln>
                  </pic:spPr>
                </pic:pic>
              </a:graphicData>
            </a:graphic>
          </wp:inline>
        </w:drawing>
      </w:r>
      <w:r w:rsidR="002C3F2F">
        <w:t xml:space="preserve"> </w:t>
      </w:r>
      <w:r w:rsidR="002C3F2F" w:rsidRPr="00D52104">
        <w:t>AABB Standards (5.16.1)</w:t>
      </w:r>
      <w:r w:rsidR="002C3F2F">
        <w:t xml:space="preserve"> </w:t>
      </w:r>
      <w:r w:rsidR="002C3F2F" w:rsidRPr="00D52104">
        <w:t>requires a serological XM to detect ABO incompatibility</w:t>
      </w:r>
      <w:r w:rsidR="002C3F2F">
        <w:t>. A</w:t>
      </w:r>
      <w:r w:rsidR="002C3F2F" w:rsidRPr="00D52104">
        <w:t xml:space="preserve"> local policy must be in place if the site is not performing a IS AHG as part of their serologic crossmatch test, manual or using an instrument.</w:t>
      </w:r>
      <w:r w:rsidR="002C3F2F">
        <w:t xml:space="preserve"> </w:t>
      </w:r>
      <w:r w:rsidR="002C3F2F" w:rsidRPr="002C3F2F">
        <w:rPr>
          <w:vanish/>
        </w:rPr>
        <w:t>Defect 362099</w:t>
      </w:r>
    </w:p>
    <w:p w14:paraId="2A35C552" w14:textId="77777777" w:rsidR="00B45FA2" w:rsidRDefault="00B45FA2" w:rsidP="00B45FA2">
      <w:pPr>
        <w:pStyle w:val="Heading4"/>
        <w:rPr>
          <w:b w:val="0"/>
        </w:rPr>
      </w:pPr>
      <w:r>
        <w:t>User Roles with Access to This Option</w:t>
      </w:r>
      <w:r>
        <w:rPr>
          <w:b w:val="0"/>
        </w:rPr>
        <w:t xml:space="preserve"> </w:t>
      </w:r>
    </w:p>
    <w:p w14:paraId="6BDF9E13" w14:textId="77777777" w:rsidR="00B45FA2" w:rsidRDefault="00B45FA2" w:rsidP="00B45FA2">
      <w:pPr>
        <w:pStyle w:val="Roles"/>
      </w:pPr>
      <w:r>
        <w:t>All users</w:t>
      </w:r>
    </w:p>
    <w:p w14:paraId="7CC01D15" w14:textId="77777777" w:rsidR="00B45FA2" w:rsidRDefault="009068D5" w:rsidP="00B45FA2">
      <w:pPr>
        <w:pStyle w:val="Heading4"/>
      </w:pPr>
      <w:r>
        <w:lastRenderedPageBreak/>
        <w:t>Automated Testing Interface</w:t>
      </w:r>
    </w:p>
    <w:p w14:paraId="7128BB44" w14:textId="77777777" w:rsidR="00B45FA2" w:rsidRDefault="00311A54" w:rsidP="00B45FA2">
      <w:pPr>
        <w:pStyle w:val="BodyText"/>
      </w:pPr>
      <w:r>
        <w:t xml:space="preserve">This </w:t>
      </w:r>
      <w:r w:rsidR="00F27904">
        <w:t>feature</w:t>
      </w:r>
      <w:r>
        <w:t xml:space="preserve"> allows the interface of automated blood banking instruments with VBECS through Data Innovat</w:t>
      </w:r>
      <w:r w:rsidR="00F27904">
        <w:t>ions Instrument Manager. It</w:t>
      </w:r>
      <w:r>
        <w:t xml:space="preserve"> eliminate</w:t>
      </w:r>
      <w:r w:rsidR="00F27904">
        <w:t>s</w:t>
      </w:r>
      <w:r>
        <w:t xml:space="preserve"> the potential for human error associated with the manual entry of results from an automated instrument into</w:t>
      </w:r>
      <w:r w:rsidR="00F27904">
        <w:t xml:space="preserve"> </w:t>
      </w:r>
      <w:r>
        <w:t>VBECS</w:t>
      </w:r>
      <w:r w:rsidR="00F27904">
        <w:t xml:space="preserve">. </w:t>
      </w:r>
      <w:r w:rsidR="00640909">
        <w:t>It also eliminates t</w:t>
      </w:r>
      <w:r>
        <w:t>he potential for transcription errors that can lead to a patient safety issue of ABO incompatible transfusion. In addition to safety, these enhancements will also reduce the time spent entering results manually</w:t>
      </w:r>
      <w:r w:rsidR="00B45FA2" w:rsidRPr="00311A54">
        <w: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B45FA2" w14:paraId="7BE3592D" w14:textId="77777777" w:rsidTr="003F6E8A">
        <w:trPr>
          <w:cantSplit/>
          <w:tblHeader/>
        </w:trPr>
        <w:tc>
          <w:tcPr>
            <w:tcW w:w="3240" w:type="dxa"/>
            <w:shd w:val="pct30" w:color="auto" w:fill="FFFFFF"/>
            <w:vAlign w:val="bottom"/>
          </w:tcPr>
          <w:p w14:paraId="42A51DA8" w14:textId="77777777" w:rsidR="00B45FA2" w:rsidRDefault="00B45FA2" w:rsidP="003F6E8A">
            <w:pPr>
              <w:pStyle w:val="TableText"/>
              <w:rPr>
                <w:b/>
              </w:rPr>
            </w:pPr>
            <w:r>
              <w:rPr>
                <w:b/>
              </w:rPr>
              <w:t>User Action</w:t>
            </w:r>
          </w:p>
        </w:tc>
        <w:tc>
          <w:tcPr>
            <w:tcW w:w="6120" w:type="dxa"/>
            <w:shd w:val="pct30" w:color="auto" w:fill="FFFFFF"/>
            <w:vAlign w:val="bottom"/>
          </w:tcPr>
          <w:p w14:paraId="536F9CE8" w14:textId="77777777" w:rsidR="00B45FA2" w:rsidRDefault="00B45FA2" w:rsidP="003F6E8A">
            <w:pPr>
              <w:pStyle w:val="TableText"/>
              <w:rPr>
                <w:b/>
              </w:rPr>
            </w:pPr>
            <w:r>
              <w:rPr>
                <w:b/>
              </w:rPr>
              <w:t>VBECS</w:t>
            </w:r>
          </w:p>
        </w:tc>
      </w:tr>
      <w:tr w:rsidR="00B45FA2" w14:paraId="0FA84AC9" w14:textId="77777777" w:rsidTr="003F6E8A">
        <w:tc>
          <w:tcPr>
            <w:tcW w:w="3240" w:type="dxa"/>
          </w:tcPr>
          <w:p w14:paraId="5BE11EF0" w14:textId="77777777" w:rsidR="00B45FA2" w:rsidRDefault="007B08C6" w:rsidP="007B08C6">
            <w:pPr>
              <w:pStyle w:val="TableTextNumbers"/>
            </w:pPr>
            <w:r>
              <w:t xml:space="preserve">User sends test results </w:t>
            </w:r>
            <w:r w:rsidR="00D5538E">
              <w:t xml:space="preserve">from the Automated Instrument </w:t>
            </w:r>
            <w:r>
              <w:t>to VBECS.</w:t>
            </w:r>
          </w:p>
        </w:tc>
        <w:tc>
          <w:tcPr>
            <w:tcW w:w="6120" w:type="dxa"/>
          </w:tcPr>
          <w:p w14:paraId="666CC64F" w14:textId="77777777" w:rsidR="00B45FA2" w:rsidRDefault="00D279DE" w:rsidP="003F6E8A">
            <w:pPr>
              <w:pStyle w:val="TableTextBullet"/>
            </w:pPr>
            <w:r>
              <w:t>U</w:t>
            </w:r>
            <w:r w:rsidR="00B45FA2">
              <w:t>pdates the task status on the Pending Task List (PTL) upon successful receipt of testing.</w:t>
            </w:r>
          </w:p>
          <w:p w14:paraId="7600BED4" w14:textId="77777777" w:rsidR="00B45FA2" w:rsidRDefault="00D279DE" w:rsidP="003F6E8A">
            <w:pPr>
              <w:pStyle w:val="TableTextBullet"/>
            </w:pPr>
            <w:r>
              <w:t>S</w:t>
            </w:r>
            <w:r w:rsidR="00B45FA2">
              <w:t>tores received results for review, processing and acceptance by a user.</w:t>
            </w:r>
          </w:p>
          <w:p w14:paraId="15A5CE11" w14:textId="77777777" w:rsidR="00D95812" w:rsidRDefault="00D95812" w:rsidP="00D95812">
            <w:pPr>
              <w:pStyle w:val="TableTextBullet"/>
              <w:numPr>
                <w:ilvl w:val="0"/>
                <w:numId w:val="0"/>
              </w:numPr>
              <w:ind w:left="288" w:hanging="288"/>
            </w:pPr>
          </w:p>
          <w:p w14:paraId="14DF302E" w14:textId="38F56D37" w:rsidR="00D95812" w:rsidRDefault="00D95812" w:rsidP="00D95812">
            <w:pPr>
              <w:pStyle w:val="TableText"/>
              <w:rPr>
                <w:b/>
                <w:bCs/>
                <w:szCs w:val="18"/>
              </w:rPr>
            </w:pPr>
            <w:r>
              <w:rPr>
                <w:b/>
                <w:bCs/>
                <w:szCs w:val="18"/>
              </w:rPr>
              <w:t>NOTES</w:t>
            </w:r>
          </w:p>
          <w:p w14:paraId="51480B8F" w14:textId="77777777" w:rsidR="00D95812" w:rsidRDefault="00D95812" w:rsidP="00D95812">
            <w:pPr>
              <w:pStyle w:val="NotesText"/>
            </w:pPr>
          </w:p>
          <w:p w14:paraId="53F0454A" w14:textId="77777777" w:rsidR="00D95812" w:rsidRDefault="00F27904" w:rsidP="00D95812">
            <w:pPr>
              <w:pStyle w:val="NotesText"/>
            </w:pPr>
            <w:r w:rsidRPr="00DC70D1">
              <w:rPr>
                <w:rFonts w:cs="Arial"/>
                <w:vanish/>
              </w:rPr>
              <w:t xml:space="preserve">BR_114.01 </w:t>
            </w:r>
            <w:r w:rsidR="00D95812">
              <w:rPr>
                <w:rFonts w:cs="Arial"/>
                <w:vanish/>
              </w:rPr>
              <w:t xml:space="preserve">BR_85.01 </w:t>
            </w:r>
            <w:r w:rsidR="00D95812">
              <w:t>If the blood unit record is not found, the message is rejected</w:t>
            </w:r>
            <w:r>
              <w:t xml:space="preserve"> and results are not available for review</w:t>
            </w:r>
            <w:r w:rsidR="00D95812">
              <w:t>.</w:t>
            </w:r>
          </w:p>
          <w:p w14:paraId="439F07A4" w14:textId="77777777" w:rsidR="00D95812" w:rsidRDefault="00D95812" w:rsidP="00D95812">
            <w:pPr>
              <w:pStyle w:val="NotesText"/>
            </w:pPr>
          </w:p>
          <w:p w14:paraId="46F4FDA9" w14:textId="77777777" w:rsidR="00D95812" w:rsidRDefault="00F27904" w:rsidP="00D95812">
            <w:pPr>
              <w:pStyle w:val="NotesText"/>
            </w:pPr>
            <w:r w:rsidRPr="00DC70D1">
              <w:rPr>
                <w:vanish/>
              </w:rPr>
              <w:t xml:space="preserve">BR_114.02 </w:t>
            </w:r>
            <w:r w:rsidR="00D95812">
              <w:t>If the patient specimen is not associated with an active patient order, the message is rejected</w:t>
            </w:r>
            <w:r>
              <w:t xml:space="preserve"> and results are not available for review</w:t>
            </w:r>
            <w:r w:rsidR="00D95812">
              <w:t>.</w:t>
            </w:r>
          </w:p>
          <w:p w14:paraId="3FB4297E" w14:textId="77777777" w:rsidR="00D95812" w:rsidRDefault="00D95812" w:rsidP="00D95812">
            <w:pPr>
              <w:pStyle w:val="NotesText"/>
            </w:pPr>
          </w:p>
          <w:p w14:paraId="7DA88C3B" w14:textId="77777777" w:rsidR="00D95812" w:rsidRDefault="00F27904" w:rsidP="00D95812">
            <w:pPr>
              <w:pStyle w:val="NotesText"/>
            </w:pPr>
            <w:r w:rsidRPr="00DC70D1">
              <w:rPr>
                <w:vanish/>
              </w:rPr>
              <w:t xml:space="preserve">BR_114.03 </w:t>
            </w:r>
            <w:r w:rsidR="00D95812">
              <w:t>If the cross-matched units are not assigned to a patient order, the message containing crossmatch results is rejected</w:t>
            </w:r>
            <w:r>
              <w:t xml:space="preserve"> and results are not available for review</w:t>
            </w:r>
            <w:r w:rsidR="00D95812">
              <w:t>.</w:t>
            </w:r>
          </w:p>
          <w:p w14:paraId="46189BE2" w14:textId="77777777" w:rsidR="00D95812" w:rsidRDefault="00D95812" w:rsidP="00D95812">
            <w:pPr>
              <w:pStyle w:val="NotesText"/>
            </w:pPr>
          </w:p>
          <w:p w14:paraId="39210F09" w14:textId="77777777" w:rsidR="00D95812" w:rsidRDefault="00F27904" w:rsidP="00D95812">
            <w:pPr>
              <w:pStyle w:val="NotesText"/>
            </w:pPr>
            <w:r w:rsidRPr="00DC70D1">
              <w:rPr>
                <w:vanish/>
              </w:rPr>
              <w:t xml:space="preserve">BR_114.04 </w:t>
            </w:r>
            <w:r w:rsidR="00D95812">
              <w:t>Patient specimen blood test results pending review must be rejected by the user in VBECS before replacement results can be received.</w:t>
            </w:r>
          </w:p>
          <w:p w14:paraId="444A8F41" w14:textId="77777777" w:rsidR="00D95812" w:rsidRDefault="00D95812" w:rsidP="00D95812">
            <w:pPr>
              <w:pStyle w:val="NotesText"/>
            </w:pPr>
          </w:p>
          <w:p w14:paraId="7B669949" w14:textId="77777777" w:rsidR="00D95812" w:rsidRDefault="00F27904" w:rsidP="00D95812">
            <w:pPr>
              <w:pStyle w:val="NotesText"/>
            </w:pPr>
            <w:r w:rsidRPr="00DC70D1">
              <w:rPr>
                <w:vanish/>
              </w:rPr>
              <w:t xml:space="preserve">BR_114.07 </w:t>
            </w:r>
            <w:r w:rsidR="00D95812">
              <w:t>If test results currently exist for a patient order (entered manually or by the Automated Instrument), the replacement test results will not be accepted into VBECS until the user invalidates the existing test results.</w:t>
            </w:r>
          </w:p>
          <w:p w14:paraId="2A137C35" w14:textId="77777777" w:rsidR="00D95812" w:rsidRDefault="00D95812" w:rsidP="00D95812">
            <w:pPr>
              <w:pStyle w:val="NotesText"/>
            </w:pPr>
          </w:p>
          <w:p w14:paraId="4890CC4E" w14:textId="77777777" w:rsidR="00D95812" w:rsidRDefault="00F27904" w:rsidP="00D95812">
            <w:pPr>
              <w:pStyle w:val="NotesText"/>
              <w:rPr>
                <w:rFonts w:cs="Arial"/>
                <w:bCs/>
                <w:color w:val="000000"/>
                <w:szCs w:val="18"/>
              </w:rPr>
            </w:pPr>
            <w:r w:rsidRPr="00DC70D1">
              <w:rPr>
                <w:rFonts w:cs="Arial"/>
                <w:bCs/>
                <w:vanish/>
                <w:color w:val="000000"/>
                <w:szCs w:val="18"/>
              </w:rPr>
              <w:t xml:space="preserve">BR_114.10 </w:t>
            </w:r>
            <w:r w:rsidR="00D95812">
              <w:rPr>
                <w:rFonts w:cs="Arial"/>
                <w:bCs/>
                <w:color w:val="000000"/>
                <w:szCs w:val="18"/>
              </w:rPr>
              <w:t xml:space="preserve">When patient test results </w:t>
            </w:r>
            <w:r w:rsidR="00D95812" w:rsidRPr="00CA7FBC">
              <w:rPr>
                <w:rFonts w:cs="Arial"/>
                <w:bCs/>
                <w:color w:val="000000"/>
                <w:szCs w:val="18"/>
              </w:rPr>
              <w:t xml:space="preserve">are sent to VBECS and multiple orders </w:t>
            </w:r>
            <w:r w:rsidR="00D95812">
              <w:rPr>
                <w:rFonts w:cs="Arial"/>
                <w:bCs/>
                <w:color w:val="000000"/>
                <w:szCs w:val="18"/>
              </w:rPr>
              <w:t xml:space="preserve">exist </w:t>
            </w:r>
            <w:r w:rsidR="00D95812" w:rsidRPr="00CA7FBC">
              <w:rPr>
                <w:rFonts w:cs="Arial"/>
                <w:bCs/>
                <w:color w:val="000000"/>
                <w:szCs w:val="18"/>
              </w:rPr>
              <w:t xml:space="preserve">for the same test type </w:t>
            </w:r>
            <w:r w:rsidR="00D95812">
              <w:rPr>
                <w:rFonts w:cs="Arial"/>
                <w:bCs/>
                <w:color w:val="000000"/>
                <w:szCs w:val="18"/>
              </w:rPr>
              <w:t>and</w:t>
            </w:r>
            <w:r w:rsidR="00D95812" w:rsidRPr="00CA7FBC">
              <w:rPr>
                <w:rFonts w:cs="Arial"/>
                <w:bCs/>
                <w:color w:val="000000"/>
                <w:szCs w:val="18"/>
              </w:rPr>
              <w:t xml:space="preserve"> the same specimen UID on the VBECS P</w:t>
            </w:r>
            <w:r w:rsidR="00D95812">
              <w:rPr>
                <w:rFonts w:cs="Arial"/>
                <w:bCs/>
                <w:color w:val="000000"/>
                <w:szCs w:val="18"/>
              </w:rPr>
              <w:t>TL</w:t>
            </w:r>
            <w:r w:rsidR="00D95812" w:rsidRPr="00CA7FBC">
              <w:rPr>
                <w:rFonts w:cs="Arial"/>
                <w:bCs/>
                <w:color w:val="000000"/>
                <w:szCs w:val="18"/>
              </w:rPr>
              <w:t>, the message is rejected.</w:t>
            </w:r>
            <w:r w:rsidR="00D95812">
              <w:rPr>
                <w:rFonts w:cs="Arial"/>
                <w:bCs/>
                <w:color w:val="000000"/>
                <w:szCs w:val="18"/>
              </w:rPr>
              <w:t xml:space="preserve"> </w:t>
            </w:r>
            <w:r w:rsidR="00D95812" w:rsidRPr="00CA7FBC">
              <w:rPr>
                <w:rFonts w:cs="Arial"/>
                <w:bCs/>
                <w:color w:val="000000"/>
                <w:szCs w:val="18"/>
              </w:rPr>
              <w:t xml:space="preserve">For example: </w:t>
            </w:r>
            <w:r w:rsidR="00D95812">
              <w:rPr>
                <w:rFonts w:cs="Arial"/>
                <w:bCs/>
                <w:color w:val="000000"/>
                <w:szCs w:val="18"/>
              </w:rPr>
              <w:t>When</w:t>
            </w:r>
            <w:r w:rsidR="00D95812" w:rsidRPr="00CA7FBC">
              <w:rPr>
                <w:rFonts w:cs="Arial"/>
                <w:bCs/>
                <w:color w:val="000000"/>
                <w:szCs w:val="18"/>
              </w:rPr>
              <w:t xml:space="preserve"> ABS </w:t>
            </w:r>
            <w:r w:rsidR="00D95812">
              <w:rPr>
                <w:rFonts w:cs="Arial"/>
                <w:bCs/>
                <w:color w:val="000000"/>
                <w:szCs w:val="18"/>
              </w:rPr>
              <w:t xml:space="preserve">test results </w:t>
            </w:r>
            <w:r w:rsidR="00D95812" w:rsidRPr="00CA7FBC">
              <w:rPr>
                <w:rFonts w:cs="Arial"/>
                <w:bCs/>
                <w:color w:val="000000"/>
                <w:szCs w:val="18"/>
              </w:rPr>
              <w:t xml:space="preserve">and Repeat ABS </w:t>
            </w:r>
            <w:r w:rsidR="00D95812">
              <w:rPr>
                <w:rFonts w:cs="Arial"/>
                <w:bCs/>
                <w:color w:val="000000"/>
                <w:szCs w:val="18"/>
              </w:rPr>
              <w:t>test results for the same speci</w:t>
            </w:r>
            <w:r w:rsidR="00D95812" w:rsidRPr="00CA7FBC">
              <w:rPr>
                <w:rFonts w:cs="Arial"/>
                <w:bCs/>
                <w:color w:val="000000"/>
                <w:szCs w:val="18"/>
              </w:rPr>
              <w:t>men UID</w:t>
            </w:r>
            <w:r w:rsidR="00D95812">
              <w:rPr>
                <w:rFonts w:cs="Arial"/>
                <w:bCs/>
                <w:color w:val="000000"/>
                <w:szCs w:val="18"/>
              </w:rPr>
              <w:t xml:space="preserve"> are sent to VBECS at the same time</w:t>
            </w:r>
            <w:r w:rsidR="00D95812" w:rsidRPr="00CA7FBC">
              <w:rPr>
                <w:rFonts w:cs="Arial"/>
                <w:bCs/>
                <w:color w:val="000000"/>
                <w:szCs w:val="18"/>
              </w:rPr>
              <w:t xml:space="preserve">, </w:t>
            </w:r>
            <w:r w:rsidR="00D95812">
              <w:rPr>
                <w:rFonts w:cs="Arial"/>
                <w:bCs/>
                <w:color w:val="000000"/>
                <w:szCs w:val="18"/>
              </w:rPr>
              <w:t>because the Automated Instrument does not indicate which test is primary and which test is reflex, the message must be rejected.</w:t>
            </w:r>
          </w:p>
          <w:p w14:paraId="75FA9803" w14:textId="77777777" w:rsidR="00D95812" w:rsidRDefault="00D95812" w:rsidP="00D95812">
            <w:pPr>
              <w:pStyle w:val="NotesText"/>
              <w:rPr>
                <w:rFonts w:cs="Arial"/>
                <w:bCs/>
                <w:color w:val="000000"/>
                <w:szCs w:val="18"/>
              </w:rPr>
            </w:pPr>
          </w:p>
          <w:p w14:paraId="29A69677" w14:textId="77777777" w:rsidR="00D95812" w:rsidRDefault="00F27904" w:rsidP="00D95812">
            <w:pPr>
              <w:pStyle w:val="NotesText"/>
              <w:rPr>
                <w:rFonts w:cs="Arial"/>
                <w:szCs w:val="18"/>
              </w:rPr>
            </w:pPr>
            <w:r w:rsidRPr="00DC70D1">
              <w:rPr>
                <w:rFonts w:cs="Arial"/>
                <w:vanish/>
                <w:szCs w:val="18"/>
              </w:rPr>
              <w:t xml:space="preserve">BR_114.08 </w:t>
            </w:r>
            <w:r w:rsidR="00D95812">
              <w:rPr>
                <w:rFonts w:cs="Arial"/>
                <w:szCs w:val="18"/>
              </w:rPr>
              <w:t>When the</w:t>
            </w:r>
            <w:r w:rsidR="00D95812" w:rsidRPr="00F61FA8">
              <w:rPr>
                <w:rFonts w:cs="Arial"/>
                <w:szCs w:val="18"/>
              </w:rPr>
              <w:t xml:space="preserve"> </w:t>
            </w:r>
            <w:r w:rsidR="006E3236">
              <w:rPr>
                <w:rFonts w:cs="Arial"/>
                <w:szCs w:val="18"/>
              </w:rPr>
              <w:t>testing instrument for the patient</w:t>
            </w:r>
            <w:r w:rsidR="00D95812" w:rsidRPr="00F61FA8">
              <w:rPr>
                <w:rFonts w:cs="Arial"/>
                <w:szCs w:val="18"/>
              </w:rPr>
              <w:t xml:space="preserve"> ABO/Rh message contains results for Anti-D1 and Anti-D2 which do not conflict (both are positive or both are negative), </w:t>
            </w:r>
            <w:r w:rsidR="003350E0">
              <w:rPr>
                <w:rFonts w:cs="Arial"/>
                <w:szCs w:val="18"/>
              </w:rPr>
              <w:t xml:space="preserve">the </w:t>
            </w:r>
            <w:r w:rsidR="00D95812" w:rsidRPr="00F61FA8">
              <w:rPr>
                <w:rFonts w:cs="Arial"/>
                <w:szCs w:val="18"/>
              </w:rPr>
              <w:t xml:space="preserve">Anti-D1 </w:t>
            </w:r>
            <w:r w:rsidR="003350E0">
              <w:rPr>
                <w:rFonts w:cs="Arial"/>
                <w:szCs w:val="18"/>
              </w:rPr>
              <w:t>result</w:t>
            </w:r>
            <w:r w:rsidR="00D95812" w:rsidRPr="00F61FA8">
              <w:rPr>
                <w:rFonts w:cs="Arial"/>
                <w:szCs w:val="18"/>
              </w:rPr>
              <w:t xml:space="preserve"> will be stored in VBECS</w:t>
            </w:r>
            <w:r w:rsidR="00D95812">
              <w:rPr>
                <w:rFonts w:cs="Arial"/>
                <w:szCs w:val="18"/>
              </w:rPr>
              <w:t>.</w:t>
            </w:r>
          </w:p>
          <w:p w14:paraId="76E711F1" w14:textId="77777777" w:rsidR="00D95812" w:rsidRDefault="00D95812" w:rsidP="00D95812">
            <w:pPr>
              <w:pStyle w:val="NotesText"/>
              <w:rPr>
                <w:rFonts w:cs="Arial"/>
                <w:szCs w:val="18"/>
              </w:rPr>
            </w:pPr>
          </w:p>
          <w:p w14:paraId="19A84C08" w14:textId="77777777" w:rsidR="00D95812" w:rsidRDefault="006E3236" w:rsidP="00D95812">
            <w:pPr>
              <w:pStyle w:val="NotesText"/>
              <w:rPr>
                <w:rFonts w:cs="Arial"/>
                <w:szCs w:val="18"/>
              </w:rPr>
            </w:pPr>
            <w:r>
              <w:rPr>
                <w:rFonts w:cs="Arial"/>
                <w:szCs w:val="18"/>
              </w:rPr>
              <w:t>When the</w:t>
            </w:r>
            <w:r w:rsidRPr="00F61FA8">
              <w:rPr>
                <w:rFonts w:cs="Arial"/>
                <w:szCs w:val="18"/>
              </w:rPr>
              <w:t xml:space="preserve"> </w:t>
            </w:r>
            <w:r>
              <w:rPr>
                <w:rFonts w:cs="Arial"/>
                <w:szCs w:val="18"/>
              </w:rPr>
              <w:t>testing instrument for the patient</w:t>
            </w:r>
            <w:r w:rsidR="00B5630B">
              <w:rPr>
                <w:rFonts w:cs="Arial"/>
                <w:szCs w:val="18"/>
              </w:rPr>
              <w:t xml:space="preserve"> </w:t>
            </w:r>
            <w:r w:rsidR="00B5630B" w:rsidRPr="00F61FA8">
              <w:rPr>
                <w:rFonts w:cs="Arial"/>
                <w:szCs w:val="18"/>
              </w:rPr>
              <w:t>ABO/Rh message contains conflicting results for Anti-D1 and Anti-D2 (one is positive and the othe</w:t>
            </w:r>
            <w:r w:rsidR="00B5630B">
              <w:rPr>
                <w:rFonts w:cs="Arial"/>
                <w:szCs w:val="18"/>
              </w:rPr>
              <w:t>r negative), the message is</w:t>
            </w:r>
            <w:r w:rsidR="00B5630B" w:rsidRPr="00F61FA8">
              <w:rPr>
                <w:rFonts w:cs="Arial"/>
                <w:szCs w:val="18"/>
              </w:rPr>
              <w:t xml:space="preserve"> rejected</w:t>
            </w:r>
            <w:r w:rsidR="003350E0">
              <w:rPr>
                <w:rFonts w:cs="Arial"/>
                <w:szCs w:val="18"/>
              </w:rPr>
              <w:t xml:space="preserve"> </w:t>
            </w:r>
            <w:r w:rsidR="003350E0">
              <w:t>and results are not available for review</w:t>
            </w:r>
            <w:r w:rsidR="00B5630B" w:rsidRPr="00F61FA8">
              <w:rPr>
                <w:rFonts w:cs="Arial"/>
                <w:szCs w:val="18"/>
              </w:rPr>
              <w:t>.</w:t>
            </w:r>
          </w:p>
          <w:p w14:paraId="68797D96" w14:textId="77777777" w:rsidR="00B5630B" w:rsidRDefault="00B5630B" w:rsidP="00D95812">
            <w:pPr>
              <w:pStyle w:val="NotesText"/>
              <w:rPr>
                <w:rFonts w:cs="Arial"/>
                <w:szCs w:val="18"/>
              </w:rPr>
            </w:pPr>
          </w:p>
          <w:p w14:paraId="17D3C38E" w14:textId="77777777" w:rsidR="00B5630B" w:rsidRDefault="00F27904" w:rsidP="00D95812">
            <w:pPr>
              <w:pStyle w:val="NotesText"/>
              <w:rPr>
                <w:rFonts w:cs="Arial"/>
                <w:szCs w:val="18"/>
              </w:rPr>
            </w:pPr>
            <w:r w:rsidRPr="00DC70D1">
              <w:rPr>
                <w:rFonts w:cs="Arial"/>
                <w:vanish/>
                <w:szCs w:val="18"/>
              </w:rPr>
              <w:t xml:space="preserve">BR_114.05 </w:t>
            </w:r>
            <w:r w:rsidR="00B5630B" w:rsidRPr="00D82F90">
              <w:rPr>
                <w:rFonts w:cs="Arial"/>
                <w:szCs w:val="18"/>
              </w:rPr>
              <w:t xml:space="preserve">The message is </w:t>
            </w:r>
            <w:r w:rsidR="00B5630B">
              <w:rPr>
                <w:rFonts w:cs="Arial"/>
                <w:szCs w:val="18"/>
              </w:rPr>
              <w:t xml:space="preserve">processed by the VBECS system. </w:t>
            </w:r>
            <w:r w:rsidR="00B5630B" w:rsidRPr="00D82F90">
              <w:rPr>
                <w:rFonts w:cs="Arial"/>
                <w:szCs w:val="18"/>
              </w:rPr>
              <w:t>If the message is accept</w:t>
            </w:r>
            <w:r w:rsidR="00B5630B">
              <w:rPr>
                <w:rFonts w:cs="Arial"/>
                <w:szCs w:val="18"/>
              </w:rPr>
              <w:t>ed</w:t>
            </w:r>
            <w:r w:rsidR="00B5630B" w:rsidRPr="00D82F90">
              <w:rPr>
                <w:rFonts w:cs="Arial"/>
                <w:szCs w:val="18"/>
              </w:rPr>
              <w:t xml:space="preserve"> (per the approved HL7 message profile specification), a success reply is sent; otherwise, a rejection </w:t>
            </w:r>
            <w:r w:rsidR="00B5630B" w:rsidRPr="00D82F90">
              <w:rPr>
                <w:rFonts w:cs="Arial"/>
                <w:szCs w:val="18"/>
              </w:rPr>
              <w:lastRenderedPageBreak/>
              <w:t>reply is sent to the broadcasting application</w:t>
            </w:r>
            <w:r w:rsidR="003350E0">
              <w:rPr>
                <w:rFonts w:cs="Arial"/>
                <w:szCs w:val="18"/>
              </w:rPr>
              <w:t xml:space="preserve"> </w:t>
            </w:r>
            <w:r w:rsidR="003350E0">
              <w:t>and results are not available for review</w:t>
            </w:r>
            <w:r w:rsidR="00B5630B">
              <w:rPr>
                <w:rFonts w:cs="Arial"/>
                <w:szCs w:val="18"/>
              </w:rPr>
              <w:t>.</w:t>
            </w:r>
          </w:p>
          <w:p w14:paraId="3201CCD1" w14:textId="77777777" w:rsidR="00B5630B" w:rsidRDefault="00B5630B" w:rsidP="00D95812">
            <w:pPr>
              <w:pStyle w:val="NotesText"/>
              <w:rPr>
                <w:rFonts w:cs="Arial"/>
                <w:szCs w:val="18"/>
              </w:rPr>
            </w:pPr>
          </w:p>
          <w:p w14:paraId="0A1B4A8A" w14:textId="77777777" w:rsidR="00B5630B" w:rsidRDefault="00F27904" w:rsidP="00B5630B">
            <w:pPr>
              <w:ind w:left="720"/>
              <w:rPr>
                <w:rFonts w:ascii="Arial" w:hAnsi="Arial" w:cs="Arial"/>
                <w:sz w:val="18"/>
                <w:szCs w:val="18"/>
              </w:rPr>
            </w:pPr>
            <w:r w:rsidRPr="00DC70D1">
              <w:rPr>
                <w:rFonts w:ascii="Arial" w:hAnsi="Arial" w:cs="Arial"/>
                <w:vanish/>
                <w:sz w:val="18"/>
                <w:szCs w:val="18"/>
              </w:rPr>
              <w:t xml:space="preserve">BR_114.06 </w:t>
            </w:r>
            <w:r w:rsidR="00B5630B">
              <w:rPr>
                <w:rFonts w:ascii="Arial" w:hAnsi="Arial" w:cs="Arial"/>
                <w:sz w:val="18"/>
                <w:szCs w:val="18"/>
              </w:rPr>
              <w:t>The system associa</w:t>
            </w:r>
            <w:r w:rsidR="006E3236">
              <w:rPr>
                <w:rFonts w:ascii="Arial" w:hAnsi="Arial" w:cs="Arial"/>
                <w:sz w:val="18"/>
                <w:szCs w:val="18"/>
              </w:rPr>
              <w:t xml:space="preserve">tes </w:t>
            </w:r>
            <w:r w:rsidR="00B5630B">
              <w:rPr>
                <w:rFonts w:ascii="Arial" w:hAnsi="Arial" w:cs="Arial"/>
                <w:sz w:val="18"/>
                <w:szCs w:val="18"/>
              </w:rPr>
              <w:t>inte</w:t>
            </w:r>
            <w:r w:rsidR="006E3236">
              <w:rPr>
                <w:rFonts w:ascii="Arial" w:hAnsi="Arial" w:cs="Arial"/>
                <w:sz w:val="18"/>
                <w:szCs w:val="18"/>
              </w:rPr>
              <w:t xml:space="preserve">rpretation with </w:t>
            </w:r>
            <w:r w:rsidR="00B5630B">
              <w:rPr>
                <w:rFonts w:ascii="Arial" w:hAnsi="Arial" w:cs="Arial"/>
                <w:sz w:val="18"/>
                <w:szCs w:val="18"/>
              </w:rPr>
              <w:t>test results received from an Automated Instrument as follows:</w:t>
            </w:r>
          </w:p>
          <w:p w14:paraId="54075717" w14:textId="77777777" w:rsidR="00B5630B" w:rsidRPr="00B5630B" w:rsidRDefault="00B5630B" w:rsidP="00925CAD">
            <w:pPr>
              <w:numPr>
                <w:ilvl w:val="0"/>
                <w:numId w:val="45"/>
              </w:numPr>
              <w:rPr>
                <w:rFonts w:ascii="Arial" w:hAnsi="Arial" w:cs="Arial"/>
                <w:sz w:val="18"/>
                <w:szCs w:val="18"/>
              </w:rPr>
            </w:pPr>
            <w:r w:rsidRPr="00B5630B">
              <w:rPr>
                <w:rFonts w:ascii="Arial" w:hAnsi="Arial"/>
                <w:sz w:val="18"/>
              </w:rPr>
              <w:t>1 is a Positive</w:t>
            </w:r>
          </w:p>
          <w:p w14:paraId="38A4E7B8" w14:textId="77777777" w:rsidR="00B5630B" w:rsidRPr="00B5630B" w:rsidRDefault="00B5630B" w:rsidP="00925CAD">
            <w:pPr>
              <w:numPr>
                <w:ilvl w:val="0"/>
                <w:numId w:val="45"/>
              </w:numPr>
              <w:rPr>
                <w:rFonts w:ascii="Arial" w:hAnsi="Arial" w:cs="Arial"/>
                <w:sz w:val="18"/>
                <w:szCs w:val="18"/>
              </w:rPr>
            </w:pPr>
            <w:r>
              <w:rPr>
                <w:rFonts w:ascii="Arial" w:hAnsi="Arial"/>
                <w:sz w:val="18"/>
              </w:rPr>
              <w:t>2 is a Positive</w:t>
            </w:r>
          </w:p>
          <w:p w14:paraId="295A59EF" w14:textId="77777777" w:rsidR="00B5630B" w:rsidRPr="00B5630B" w:rsidRDefault="00B5630B" w:rsidP="00925CAD">
            <w:pPr>
              <w:numPr>
                <w:ilvl w:val="0"/>
                <w:numId w:val="45"/>
              </w:numPr>
              <w:rPr>
                <w:rFonts w:ascii="Arial" w:hAnsi="Arial" w:cs="Arial"/>
                <w:sz w:val="18"/>
                <w:szCs w:val="18"/>
              </w:rPr>
            </w:pPr>
            <w:r>
              <w:rPr>
                <w:rFonts w:ascii="Arial" w:hAnsi="Arial"/>
                <w:sz w:val="18"/>
              </w:rPr>
              <w:t>3 is a Positive</w:t>
            </w:r>
          </w:p>
          <w:p w14:paraId="0A38E25F" w14:textId="77777777" w:rsidR="00B5630B" w:rsidRPr="00B5630B" w:rsidRDefault="00B5630B" w:rsidP="00925CAD">
            <w:pPr>
              <w:numPr>
                <w:ilvl w:val="0"/>
                <w:numId w:val="45"/>
              </w:numPr>
              <w:rPr>
                <w:rFonts w:ascii="Arial" w:hAnsi="Arial" w:cs="Arial"/>
                <w:sz w:val="18"/>
                <w:szCs w:val="18"/>
              </w:rPr>
            </w:pPr>
            <w:r>
              <w:rPr>
                <w:rFonts w:ascii="Arial" w:hAnsi="Arial"/>
                <w:sz w:val="18"/>
              </w:rPr>
              <w:t>4 is a Positive</w:t>
            </w:r>
          </w:p>
          <w:p w14:paraId="435100FF" w14:textId="77777777" w:rsidR="00B5630B" w:rsidRPr="005477A8" w:rsidRDefault="00B5630B" w:rsidP="00925CAD">
            <w:pPr>
              <w:numPr>
                <w:ilvl w:val="0"/>
                <w:numId w:val="45"/>
              </w:numPr>
              <w:rPr>
                <w:rFonts w:ascii="Arial" w:hAnsi="Arial" w:cs="Arial"/>
                <w:sz w:val="18"/>
                <w:szCs w:val="18"/>
              </w:rPr>
            </w:pPr>
            <w:r>
              <w:rPr>
                <w:rFonts w:ascii="Arial" w:hAnsi="Arial"/>
                <w:sz w:val="18"/>
              </w:rPr>
              <w:t>0 is a Negative</w:t>
            </w:r>
          </w:p>
          <w:p w14:paraId="15A0101B" w14:textId="77777777" w:rsidR="00D95812" w:rsidRDefault="00D95812" w:rsidP="00D95812">
            <w:pPr>
              <w:pStyle w:val="TableTextBullet"/>
              <w:numPr>
                <w:ilvl w:val="0"/>
                <w:numId w:val="0"/>
              </w:numPr>
              <w:ind w:left="288" w:hanging="288"/>
            </w:pPr>
          </w:p>
          <w:p w14:paraId="0D583BF5" w14:textId="0746991F" w:rsidR="00863F6D" w:rsidRPr="004831F9" w:rsidRDefault="00D5538E" w:rsidP="00863F6D">
            <w:pPr>
              <w:ind w:left="720"/>
              <w:rPr>
                <w:rFonts w:ascii="Arial" w:hAnsi="Arial" w:cs="Arial"/>
                <w:sz w:val="18"/>
                <w:szCs w:val="18"/>
              </w:rPr>
            </w:pPr>
            <w:r w:rsidRPr="004831F9">
              <w:rPr>
                <w:rFonts w:ascii="Arial" w:hAnsi="Arial" w:cs="Arial"/>
                <w:sz w:val="18"/>
                <w:szCs w:val="18"/>
              </w:rPr>
              <w:t>Se</w:t>
            </w:r>
            <w:r w:rsidR="00C931C4" w:rsidRPr="004831F9">
              <w:rPr>
                <w:rFonts w:ascii="Arial" w:hAnsi="Arial" w:cs="Arial"/>
                <w:sz w:val="18"/>
                <w:szCs w:val="18"/>
              </w:rPr>
              <w:t>e</w:t>
            </w:r>
            <w:r w:rsidR="004831F9" w:rsidRPr="004831F9">
              <w:rPr>
                <w:rFonts w:ascii="Arial" w:hAnsi="Arial" w:cs="Arial"/>
                <w:sz w:val="18"/>
                <w:szCs w:val="18"/>
              </w:rPr>
              <w:t xml:space="preserve"> </w:t>
            </w:r>
            <w:r w:rsidR="00EE455E" w:rsidRPr="00EE455E">
              <w:rPr>
                <w:rFonts w:ascii="Arial" w:hAnsi="Arial" w:cs="Arial"/>
                <w:sz w:val="18"/>
                <w:szCs w:val="18"/>
              </w:rPr>
              <w:t xml:space="preserve">Table </w:t>
            </w:r>
            <w:r w:rsidR="00EE455E" w:rsidRPr="00EE455E">
              <w:rPr>
                <w:rFonts w:ascii="Arial" w:hAnsi="Arial" w:cs="Arial"/>
                <w:noProof/>
                <w:sz w:val="18"/>
                <w:szCs w:val="18"/>
              </w:rPr>
              <w:t>13</w:t>
            </w:r>
            <w:r w:rsidR="00EE455E" w:rsidRPr="00EE455E">
              <w:rPr>
                <w:rFonts w:ascii="Arial" w:hAnsi="Arial" w:cs="Arial"/>
                <w:sz w:val="18"/>
                <w:szCs w:val="18"/>
              </w:rPr>
              <w:t>: HL7 Tests Accepted by VBECS</w:t>
            </w:r>
            <w:r w:rsidR="00863F6D" w:rsidRPr="00863F6D">
              <w:rPr>
                <w:rFonts w:ascii="Arial" w:hAnsi="Arial" w:cs="Arial"/>
                <w:sz w:val="18"/>
                <w:szCs w:val="18"/>
              </w:rPr>
              <w:t>.</w:t>
            </w:r>
          </w:p>
          <w:p w14:paraId="38968AA4" w14:textId="1ACDD3D1" w:rsidR="00D5538E" w:rsidRPr="004831F9" w:rsidRDefault="00D5538E" w:rsidP="008964A9">
            <w:pPr>
              <w:ind w:left="720"/>
              <w:rPr>
                <w:rFonts w:ascii="Arial" w:hAnsi="Arial" w:cs="Arial"/>
                <w:sz w:val="18"/>
                <w:szCs w:val="18"/>
              </w:rPr>
            </w:pPr>
          </w:p>
          <w:p w14:paraId="02517D37" w14:textId="77777777" w:rsidR="00D5538E" w:rsidRDefault="00D5538E" w:rsidP="005477A8">
            <w:pPr>
              <w:ind w:left="720"/>
              <w:rPr>
                <w:rFonts w:ascii="Arial" w:hAnsi="Arial" w:cs="Arial"/>
                <w:sz w:val="18"/>
                <w:szCs w:val="18"/>
              </w:rPr>
            </w:pPr>
          </w:p>
          <w:p w14:paraId="0B3D4CF9" w14:textId="77777777" w:rsidR="005477A8" w:rsidRPr="00E85CBB" w:rsidRDefault="00D5538E" w:rsidP="005477A8">
            <w:pPr>
              <w:ind w:left="720"/>
              <w:rPr>
                <w:rFonts w:ascii="Arial" w:hAnsi="Arial" w:cs="Arial"/>
                <w:sz w:val="18"/>
                <w:szCs w:val="18"/>
              </w:rPr>
            </w:pPr>
            <w:r w:rsidRPr="00F47ABD">
              <w:rPr>
                <w:rFonts w:ascii="Arial" w:hAnsi="Arial" w:cs="Arial"/>
                <w:vanish/>
                <w:sz w:val="18"/>
                <w:szCs w:val="18"/>
              </w:rPr>
              <w:t xml:space="preserve">BR_114.09 </w:t>
            </w:r>
            <w:r>
              <w:rPr>
                <w:rFonts w:ascii="Arial" w:hAnsi="Arial" w:cs="Arial"/>
                <w:sz w:val="18"/>
                <w:szCs w:val="18"/>
              </w:rPr>
              <w:t xml:space="preserve">VBECS </w:t>
            </w:r>
            <w:r w:rsidR="005477A8" w:rsidRPr="00E85CBB">
              <w:rPr>
                <w:rFonts w:ascii="Arial" w:hAnsi="Arial" w:cs="Arial"/>
                <w:sz w:val="18"/>
                <w:szCs w:val="18"/>
              </w:rPr>
              <w:t>stores the following information:</w:t>
            </w:r>
          </w:p>
          <w:p w14:paraId="49BEA375" w14:textId="77777777" w:rsidR="005477A8" w:rsidRPr="005477A8" w:rsidRDefault="005477A8" w:rsidP="00925CAD">
            <w:pPr>
              <w:numPr>
                <w:ilvl w:val="0"/>
                <w:numId w:val="45"/>
              </w:numPr>
              <w:rPr>
                <w:rFonts w:ascii="Arial" w:hAnsi="Arial"/>
                <w:sz w:val="18"/>
              </w:rPr>
            </w:pPr>
            <w:r w:rsidRPr="005477A8">
              <w:rPr>
                <w:rFonts w:ascii="Arial" w:hAnsi="Arial"/>
                <w:sz w:val="18"/>
              </w:rPr>
              <w:t>Test Results</w:t>
            </w:r>
          </w:p>
          <w:p w14:paraId="3191966A" w14:textId="77777777" w:rsidR="005477A8" w:rsidRPr="005477A8" w:rsidRDefault="005477A8" w:rsidP="00925CAD">
            <w:pPr>
              <w:numPr>
                <w:ilvl w:val="0"/>
                <w:numId w:val="45"/>
              </w:numPr>
              <w:rPr>
                <w:rFonts w:ascii="Arial" w:hAnsi="Arial"/>
                <w:sz w:val="18"/>
              </w:rPr>
            </w:pPr>
            <w:r w:rsidRPr="005477A8">
              <w:rPr>
                <w:rFonts w:ascii="Arial" w:hAnsi="Arial"/>
                <w:sz w:val="18"/>
              </w:rPr>
              <w:t>Test Interpretations</w:t>
            </w:r>
          </w:p>
          <w:p w14:paraId="39441FAC" w14:textId="77777777" w:rsidR="005477A8" w:rsidRPr="005477A8" w:rsidRDefault="005477A8" w:rsidP="00925CAD">
            <w:pPr>
              <w:numPr>
                <w:ilvl w:val="0"/>
                <w:numId w:val="45"/>
              </w:numPr>
              <w:rPr>
                <w:rFonts w:ascii="Arial" w:hAnsi="Arial"/>
                <w:sz w:val="18"/>
              </w:rPr>
            </w:pPr>
            <w:r w:rsidRPr="005477A8">
              <w:rPr>
                <w:rFonts w:ascii="Arial" w:hAnsi="Arial"/>
                <w:sz w:val="18"/>
              </w:rPr>
              <w:t>Testing Tech ID</w:t>
            </w:r>
          </w:p>
          <w:p w14:paraId="057FE80C" w14:textId="77777777" w:rsidR="005477A8" w:rsidRPr="005477A8" w:rsidRDefault="005477A8" w:rsidP="00925CAD">
            <w:pPr>
              <w:numPr>
                <w:ilvl w:val="0"/>
                <w:numId w:val="45"/>
              </w:numPr>
              <w:rPr>
                <w:rFonts w:ascii="Arial" w:hAnsi="Arial"/>
                <w:sz w:val="18"/>
              </w:rPr>
            </w:pPr>
            <w:r w:rsidRPr="005477A8">
              <w:rPr>
                <w:rFonts w:ascii="Arial" w:hAnsi="Arial"/>
                <w:sz w:val="18"/>
              </w:rPr>
              <w:t>Automated Instrument identifier</w:t>
            </w:r>
          </w:p>
          <w:p w14:paraId="16F5D0AE" w14:textId="77777777" w:rsidR="005477A8" w:rsidRPr="005477A8" w:rsidRDefault="005477A8" w:rsidP="00925CAD">
            <w:pPr>
              <w:numPr>
                <w:ilvl w:val="0"/>
                <w:numId w:val="45"/>
              </w:numPr>
              <w:rPr>
                <w:rFonts w:ascii="Arial" w:hAnsi="Arial"/>
                <w:sz w:val="18"/>
              </w:rPr>
            </w:pPr>
            <w:r w:rsidRPr="005477A8">
              <w:rPr>
                <w:rFonts w:ascii="Arial" w:hAnsi="Arial"/>
                <w:sz w:val="18"/>
              </w:rPr>
              <w:t>Date and Time Tested</w:t>
            </w:r>
          </w:p>
          <w:p w14:paraId="6F535F27" w14:textId="77777777" w:rsidR="005477A8" w:rsidRPr="005477A8" w:rsidRDefault="005477A8" w:rsidP="00925CAD">
            <w:pPr>
              <w:numPr>
                <w:ilvl w:val="0"/>
                <w:numId w:val="45"/>
              </w:numPr>
              <w:rPr>
                <w:rFonts w:ascii="Arial" w:hAnsi="Arial"/>
                <w:sz w:val="18"/>
              </w:rPr>
            </w:pPr>
            <w:r w:rsidRPr="005477A8">
              <w:rPr>
                <w:rFonts w:ascii="Arial" w:hAnsi="Arial"/>
                <w:sz w:val="18"/>
              </w:rPr>
              <w:t>Automated Instrument Test Comments</w:t>
            </w:r>
          </w:p>
          <w:p w14:paraId="6C7640FE" w14:textId="77777777" w:rsidR="005477A8" w:rsidRDefault="005477A8" w:rsidP="005477A8">
            <w:pPr>
              <w:pStyle w:val="TableTextBullet"/>
              <w:numPr>
                <w:ilvl w:val="0"/>
                <w:numId w:val="0"/>
              </w:numPr>
              <w:ind w:left="288" w:hanging="288"/>
            </w:pPr>
          </w:p>
        </w:tc>
      </w:tr>
      <w:tr w:rsidR="00B45FA2" w14:paraId="3A453B54" w14:textId="77777777" w:rsidTr="003F6E8A">
        <w:tc>
          <w:tcPr>
            <w:tcW w:w="3240" w:type="dxa"/>
          </w:tcPr>
          <w:p w14:paraId="4649B3E5" w14:textId="77777777" w:rsidR="00B45FA2" w:rsidRDefault="005477A8" w:rsidP="005477A8">
            <w:pPr>
              <w:pStyle w:val="TableTextNumbers"/>
            </w:pPr>
            <w:r>
              <w:lastRenderedPageBreak/>
              <w:t xml:space="preserve">The </w:t>
            </w:r>
            <w:r w:rsidR="00D5538E">
              <w:t>user logs into VBECS to review and approve messages.</w:t>
            </w:r>
          </w:p>
          <w:p w14:paraId="14873ED9" w14:textId="77777777" w:rsidR="00D5538E" w:rsidRDefault="00D5538E" w:rsidP="00D5538E">
            <w:pPr>
              <w:pStyle w:val="TableTextNumbers"/>
              <w:numPr>
                <w:ilvl w:val="0"/>
                <w:numId w:val="0"/>
              </w:numPr>
              <w:ind w:left="288" w:hanging="288"/>
            </w:pPr>
          </w:p>
          <w:p w14:paraId="2382B877" w14:textId="77777777" w:rsidR="00D5538E" w:rsidRDefault="00D5538E" w:rsidP="00D279DE">
            <w:pPr>
              <w:pStyle w:val="TableTextNumbers"/>
              <w:numPr>
                <w:ilvl w:val="0"/>
                <w:numId w:val="0"/>
              </w:numPr>
              <w:ind w:left="288"/>
            </w:pPr>
            <w:r>
              <w:t xml:space="preserve">Refer to Automated Testing </w:t>
            </w:r>
            <w:r w:rsidR="002A4CB4">
              <w:t>Review for</w:t>
            </w:r>
            <w:r w:rsidR="007B52EA">
              <w:t xml:space="preserve"> Blood Units or Automated T</w:t>
            </w:r>
            <w:r w:rsidR="002275D4">
              <w:t>esting Review for Patient</w:t>
            </w:r>
            <w:r w:rsidR="007B52EA">
              <w:t>s</w:t>
            </w:r>
            <w:r>
              <w:t>.</w:t>
            </w:r>
          </w:p>
          <w:p w14:paraId="68EB7875" w14:textId="77777777" w:rsidR="007160AE" w:rsidRDefault="007160AE" w:rsidP="007B52EA">
            <w:pPr>
              <w:pStyle w:val="TableTextNumbers"/>
              <w:numPr>
                <w:ilvl w:val="0"/>
                <w:numId w:val="0"/>
              </w:numPr>
              <w:ind w:left="288" w:hanging="288"/>
            </w:pPr>
          </w:p>
        </w:tc>
        <w:tc>
          <w:tcPr>
            <w:tcW w:w="6120" w:type="dxa"/>
          </w:tcPr>
          <w:p w14:paraId="2C79086E" w14:textId="77777777" w:rsidR="00B45FA2" w:rsidRDefault="00B45FA2" w:rsidP="005477A8">
            <w:pPr>
              <w:pStyle w:val="TableTextBullet"/>
              <w:numPr>
                <w:ilvl w:val="0"/>
                <w:numId w:val="0"/>
              </w:numPr>
            </w:pPr>
          </w:p>
        </w:tc>
      </w:tr>
    </w:tbl>
    <w:p w14:paraId="002A80FF" w14:textId="77777777" w:rsidR="00486D34" w:rsidRDefault="00486D34">
      <w:pPr>
        <w:rPr>
          <w:b/>
          <w:sz w:val="22"/>
          <w:szCs w:val="22"/>
        </w:rPr>
      </w:pPr>
      <w:bookmarkStart w:id="610" w:name="_Ref446932282"/>
      <w:r>
        <w:br w:type="page"/>
      </w:r>
    </w:p>
    <w:p w14:paraId="1AB1C571" w14:textId="4DB80BF6" w:rsidR="008964A9" w:rsidRPr="008964A9" w:rsidRDefault="008964A9" w:rsidP="008964A9">
      <w:pPr>
        <w:pStyle w:val="Caption"/>
      </w:pPr>
      <w:bookmarkStart w:id="611" w:name="_Ref524693853"/>
      <w:r w:rsidRPr="008964A9">
        <w:lastRenderedPageBreak/>
        <w:t xml:space="preserve">Table </w:t>
      </w:r>
      <w:r w:rsidR="004E20BD">
        <w:rPr>
          <w:noProof/>
        </w:rPr>
        <w:fldChar w:fldCharType="begin"/>
      </w:r>
      <w:r w:rsidR="004E20BD">
        <w:rPr>
          <w:noProof/>
        </w:rPr>
        <w:instrText xml:space="preserve"> SEQ Table \* ARABIC </w:instrText>
      </w:r>
      <w:r w:rsidR="004E20BD">
        <w:rPr>
          <w:noProof/>
        </w:rPr>
        <w:fldChar w:fldCharType="separate"/>
      </w:r>
      <w:r w:rsidR="007D1829">
        <w:rPr>
          <w:noProof/>
        </w:rPr>
        <w:t>13</w:t>
      </w:r>
      <w:r w:rsidR="004E20BD">
        <w:rPr>
          <w:noProof/>
        </w:rPr>
        <w:fldChar w:fldCharType="end"/>
      </w:r>
      <w:bookmarkEnd w:id="610"/>
      <w:r w:rsidR="004831F9">
        <w:t>: HL7 Tests Accepted by VBECS</w:t>
      </w:r>
      <w:bookmarkEnd w:id="611"/>
      <w:r w:rsidR="00812371">
        <w:fldChar w:fldCharType="begin"/>
      </w:r>
      <w:r w:rsidR="00812371">
        <w:instrText xml:space="preserve"> XE "Tables:HL7 Tests Accepted by VBECS" </w:instrText>
      </w:r>
      <w:r w:rsidR="00812371">
        <w:fldChar w:fldCharType="end"/>
      </w:r>
    </w:p>
    <w:p w14:paraId="30F041EA" w14:textId="77777777" w:rsidR="008964A9" w:rsidRPr="008964A9" w:rsidRDefault="008964A9" w:rsidP="008964A9">
      <w:pPr>
        <w:rPr>
          <w:sz w:val="22"/>
          <w:szCs w:val="22"/>
        </w:rPr>
      </w:pPr>
      <w:r w:rsidRPr="008964A9">
        <w:rPr>
          <w:sz w:val="22"/>
          <w:szCs w:val="22"/>
        </w:rPr>
        <w:t>The first result received is considered the primary test. Once the primary test is accepted into VBECS, a second message with the same testing result will fill the repeat test.</w:t>
      </w:r>
    </w:p>
    <w:p w14:paraId="0C1D7AE3" w14:textId="77777777" w:rsidR="008964A9" w:rsidRDefault="008964A9" w:rsidP="008964A9"/>
    <w:tbl>
      <w:tblPr>
        <w:tblW w:w="4590"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0"/>
        <w:gridCol w:w="3600"/>
      </w:tblGrid>
      <w:tr w:rsidR="008964A9" w:rsidRPr="002800C8" w14:paraId="0E2B37C3" w14:textId="77777777" w:rsidTr="008964A9">
        <w:trPr>
          <w:trHeight w:val="179"/>
        </w:trPr>
        <w:tc>
          <w:tcPr>
            <w:tcW w:w="990" w:type="dxa"/>
            <w:shd w:val="clear" w:color="auto" w:fill="D9D9D9"/>
            <w:vAlign w:val="bottom"/>
          </w:tcPr>
          <w:p w14:paraId="620017E0" w14:textId="77777777" w:rsidR="008964A9" w:rsidRPr="002800C8" w:rsidRDefault="008964A9" w:rsidP="008964A9">
            <w:pPr>
              <w:rPr>
                <w:rFonts w:ascii="Arial" w:hAnsi="Arial" w:cs="Arial"/>
                <w:b/>
                <w:color w:val="000000"/>
                <w:sz w:val="20"/>
              </w:rPr>
            </w:pPr>
            <w:r w:rsidRPr="002800C8">
              <w:rPr>
                <w:rFonts w:ascii="Arial" w:hAnsi="Arial" w:cs="Arial"/>
                <w:b/>
                <w:color w:val="000000"/>
                <w:sz w:val="20"/>
              </w:rPr>
              <w:t>Row ID</w:t>
            </w:r>
          </w:p>
        </w:tc>
        <w:tc>
          <w:tcPr>
            <w:tcW w:w="3600" w:type="dxa"/>
            <w:shd w:val="clear" w:color="auto" w:fill="D9D9D9"/>
            <w:noWrap/>
            <w:vAlign w:val="bottom"/>
          </w:tcPr>
          <w:p w14:paraId="38A0DC2B" w14:textId="77777777" w:rsidR="008964A9" w:rsidRPr="002800C8" w:rsidRDefault="008964A9" w:rsidP="008964A9">
            <w:pPr>
              <w:rPr>
                <w:rFonts w:ascii="Arial" w:hAnsi="Arial" w:cs="Arial"/>
                <w:b/>
                <w:color w:val="000000"/>
                <w:sz w:val="20"/>
              </w:rPr>
            </w:pPr>
            <w:r w:rsidRPr="002800C8">
              <w:rPr>
                <w:rFonts w:ascii="Arial" w:hAnsi="Arial" w:cs="Arial"/>
                <w:b/>
                <w:color w:val="000000"/>
                <w:sz w:val="20"/>
              </w:rPr>
              <w:t>Tests</w:t>
            </w:r>
          </w:p>
        </w:tc>
      </w:tr>
      <w:tr w:rsidR="008964A9" w:rsidRPr="00490D9B" w14:paraId="2BCCC1B8" w14:textId="77777777" w:rsidTr="008964A9">
        <w:trPr>
          <w:trHeight w:val="259"/>
        </w:trPr>
        <w:tc>
          <w:tcPr>
            <w:tcW w:w="990" w:type="dxa"/>
            <w:vAlign w:val="center"/>
          </w:tcPr>
          <w:p w14:paraId="2B06FB06" w14:textId="77777777" w:rsidR="008964A9" w:rsidRPr="00471AE5" w:rsidRDefault="008964A9" w:rsidP="008964A9">
            <w:pPr>
              <w:jc w:val="center"/>
              <w:rPr>
                <w:rFonts w:ascii="Arial" w:hAnsi="Arial" w:cs="Arial"/>
                <w:color w:val="000000"/>
                <w:sz w:val="18"/>
                <w:szCs w:val="18"/>
              </w:rPr>
            </w:pPr>
            <w:r w:rsidRPr="00471AE5">
              <w:rPr>
                <w:rFonts w:ascii="Arial" w:hAnsi="Arial" w:cs="Arial"/>
                <w:color w:val="000000"/>
                <w:sz w:val="18"/>
                <w:szCs w:val="18"/>
              </w:rPr>
              <w:t>1.</w:t>
            </w:r>
          </w:p>
        </w:tc>
        <w:tc>
          <w:tcPr>
            <w:tcW w:w="3600" w:type="dxa"/>
            <w:shd w:val="clear" w:color="auto" w:fill="auto"/>
            <w:noWrap/>
            <w:vAlign w:val="bottom"/>
            <w:hideMark/>
          </w:tcPr>
          <w:p w14:paraId="45D8DE16" w14:textId="77777777" w:rsidR="008964A9" w:rsidRPr="00471AE5" w:rsidRDefault="008964A9" w:rsidP="008964A9">
            <w:pPr>
              <w:rPr>
                <w:rFonts w:ascii="Arial" w:hAnsi="Arial" w:cs="Arial"/>
                <w:color w:val="000000"/>
                <w:sz w:val="18"/>
                <w:szCs w:val="18"/>
              </w:rPr>
            </w:pPr>
            <w:r w:rsidRPr="00471AE5">
              <w:rPr>
                <w:rFonts w:ascii="Arial" w:hAnsi="Arial" w:cs="Arial"/>
                <w:color w:val="000000"/>
                <w:sz w:val="18"/>
                <w:szCs w:val="18"/>
              </w:rPr>
              <w:t>Patient Type and Screen (TAS)</w:t>
            </w:r>
          </w:p>
        </w:tc>
      </w:tr>
      <w:tr w:rsidR="008964A9" w:rsidRPr="00490D9B" w14:paraId="6FBC5362" w14:textId="77777777" w:rsidTr="008964A9">
        <w:trPr>
          <w:trHeight w:val="259"/>
        </w:trPr>
        <w:tc>
          <w:tcPr>
            <w:tcW w:w="990" w:type="dxa"/>
            <w:vAlign w:val="center"/>
          </w:tcPr>
          <w:p w14:paraId="69306D82" w14:textId="77777777" w:rsidR="008964A9" w:rsidRPr="00471AE5" w:rsidRDefault="008964A9" w:rsidP="008964A9">
            <w:pPr>
              <w:jc w:val="center"/>
              <w:rPr>
                <w:rFonts w:ascii="Arial" w:hAnsi="Arial" w:cs="Arial"/>
                <w:color w:val="000000"/>
                <w:sz w:val="18"/>
                <w:szCs w:val="18"/>
              </w:rPr>
            </w:pPr>
            <w:r w:rsidRPr="00471AE5">
              <w:rPr>
                <w:rFonts w:ascii="Arial" w:hAnsi="Arial" w:cs="Arial"/>
                <w:color w:val="000000"/>
                <w:sz w:val="18"/>
                <w:szCs w:val="18"/>
              </w:rPr>
              <w:t>2.</w:t>
            </w:r>
          </w:p>
        </w:tc>
        <w:tc>
          <w:tcPr>
            <w:tcW w:w="3600" w:type="dxa"/>
            <w:shd w:val="clear" w:color="auto" w:fill="auto"/>
            <w:noWrap/>
            <w:vAlign w:val="bottom"/>
            <w:hideMark/>
          </w:tcPr>
          <w:p w14:paraId="01E600E0" w14:textId="77777777" w:rsidR="008964A9" w:rsidRPr="00471AE5" w:rsidRDefault="008964A9" w:rsidP="008964A9">
            <w:pPr>
              <w:rPr>
                <w:rFonts w:ascii="Arial" w:hAnsi="Arial" w:cs="Arial"/>
                <w:color w:val="000000"/>
                <w:sz w:val="18"/>
                <w:szCs w:val="18"/>
              </w:rPr>
            </w:pPr>
            <w:r w:rsidRPr="00471AE5">
              <w:rPr>
                <w:rFonts w:ascii="Arial" w:hAnsi="Arial" w:cs="Arial"/>
                <w:color w:val="000000"/>
                <w:sz w:val="18"/>
                <w:szCs w:val="18"/>
              </w:rPr>
              <w:t>Patient ABO/Rh</w:t>
            </w:r>
          </w:p>
        </w:tc>
      </w:tr>
      <w:tr w:rsidR="008964A9" w:rsidRPr="00490D9B" w14:paraId="159D035D" w14:textId="77777777" w:rsidTr="008964A9">
        <w:trPr>
          <w:trHeight w:val="259"/>
        </w:trPr>
        <w:tc>
          <w:tcPr>
            <w:tcW w:w="990" w:type="dxa"/>
            <w:vAlign w:val="center"/>
          </w:tcPr>
          <w:p w14:paraId="26D7D7C8" w14:textId="77777777" w:rsidR="008964A9" w:rsidRPr="00471AE5" w:rsidRDefault="008964A9" w:rsidP="008964A9">
            <w:pPr>
              <w:jc w:val="center"/>
              <w:rPr>
                <w:rFonts w:ascii="Arial" w:hAnsi="Arial" w:cs="Arial"/>
                <w:color w:val="000000"/>
                <w:sz w:val="18"/>
                <w:szCs w:val="18"/>
              </w:rPr>
            </w:pPr>
            <w:r w:rsidRPr="00471AE5">
              <w:rPr>
                <w:rFonts w:ascii="Arial" w:hAnsi="Arial" w:cs="Arial"/>
                <w:color w:val="000000"/>
                <w:sz w:val="18"/>
                <w:szCs w:val="18"/>
              </w:rPr>
              <w:t>3.</w:t>
            </w:r>
          </w:p>
        </w:tc>
        <w:tc>
          <w:tcPr>
            <w:tcW w:w="3600" w:type="dxa"/>
            <w:shd w:val="clear" w:color="auto" w:fill="auto"/>
            <w:noWrap/>
            <w:vAlign w:val="bottom"/>
            <w:hideMark/>
          </w:tcPr>
          <w:p w14:paraId="417DE3E8" w14:textId="77777777" w:rsidR="008964A9" w:rsidRPr="00471AE5" w:rsidRDefault="008964A9" w:rsidP="008964A9">
            <w:pPr>
              <w:rPr>
                <w:rFonts w:ascii="Arial" w:hAnsi="Arial" w:cs="Arial"/>
                <w:color w:val="000000"/>
                <w:sz w:val="18"/>
                <w:szCs w:val="18"/>
              </w:rPr>
            </w:pPr>
            <w:r w:rsidRPr="00471AE5">
              <w:rPr>
                <w:rFonts w:ascii="Arial" w:hAnsi="Arial" w:cs="Arial"/>
                <w:color w:val="000000"/>
                <w:sz w:val="18"/>
                <w:szCs w:val="18"/>
              </w:rPr>
              <w:t>Repeat Patient ABO/Rh</w:t>
            </w:r>
          </w:p>
        </w:tc>
      </w:tr>
      <w:tr w:rsidR="008964A9" w:rsidRPr="00490D9B" w14:paraId="49A59D26" w14:textId="77777777" w:rsidTr="008964A9">
        <w:trPr>
          <w:trHeight w:val="259"/>
        </w:trPr>
        <w:tc>
          <w:tcPr>
            <w:tcW w:w="990" w:type="dxa"/>
            <w:vAlign w:val="center"/>
          </w:tcPr>
          <w:p w14:paraId="4396D695" w14:textId="77777777" w:rsidR="008964A9" w:rsidRPr="00471AE5" w:rsidRDefault="008964A9" w:rsidP="008964A9">
            <w:pPr>
              <w:jc w:val="center"/>
              <w:rPr>
                <w:rFonts w:ascii="Arial" w:hAnsi="Arial" w:cs="Arial"/>
                <w:color w:val="000000"/>
                <w:sz w:val="18"/>
                <w:szCs w:val="18"/>
              </w:rPr>
            </w:pPr>
            <w:r w:rsidRPr="00471AE5">
              <w:rPr>
                <w:rFonts w:ascii="Arial" w:hAnsi="Arial" w:cs="Arial"/>
                <w:color w:val="000000"/>
                <w:sz w:val="18"/>
                <w:szCs w:val="18"/>
              </w:rPr>
              <w:t>4.</w:t>
            </w:r>
          </w:p>
        </w:tc>
        <w:tc>
          <w:tcPr>
            <w:tcW w:w="3600" w:type="dxa"/>
            <w:shd w:val="clear" w:color="auto" w:fill="auto"/>
            <w:noWrap/>
            <w:vAlign w:val="bottom"/>
            <w:hideMark/>
          </w:tcPr>
          <w:p w14:paraId="0CB2FD21" w14:textId="77777777" w:rsidR="008964A9" w:rsidRPr="00471AE5" w:rsidRDefault="008964A9" w:rsidP="008964A9">
            <w:pPr>
              <w:rPr>
                <w:rFonts w:ascii="Arial" w:hAnsi="Arial" w:cs="Arial"/>
                <w:color w:val="000000"/>
                <w:sz w:val="18"/>
                <w:szCs w:val="18"/>
              </w:rPr>
            </w:pPr>
            <w:r w:rsidRPr="00471AE5">
              <w:rPr>
                <w:rFonts w:ascii="Arial" w:hAnsi="Arial" w:cs="Arial"/>
                <w:color w:val="000000"/>
                <w:sz w:val="18"/>
                <w:szCs w:val="18"/>
              </w:rPr>
              <w:t>Patient ABS</w:t>
            </w:r>
          </w:p>
        </w:tc>
      </w:tr>
      <w:tr w:rsidR="008964A9" w:rsidRPr="00490D9B" w14:paraId="243863BE" w14:textId="77777777" w:rsidTr="008964A9">
        <w:trPr>
          <w:trHeight w:val="259"/>
        </w:trPr>
        <w:tc>
          <w:tcPr>
            <w:tcW w:w="990" w:type="dxa"/>
            <w:vAlign w:val="center"/>
          </w:tcPr>
          <w:p w14:paraId="718AA38D" w14:textId="77777777" w:rsidR="008964A9" w:rsidRPr="00471AE5" w:rsidRDefault="008964A9" w:rsidP="008964A9">
            <w:pPr>
              <w:jc w:val="center"/>
              <w:rPr>
                <w:rFonts w:ascii="Arial" w:hAnsi="Arial" w:cs="Arial"/>
                <w:color w:val="000000"/>
                <w:sz w:val="18"/>
                <w:szCs w:val="18"/>
              </w:rPr>
            </w:pPr>
            <w:r w:rsidRPr="00471AE5">
              <w:rPr>
                <w:rFonts w:ascii="Arial" w:hAnsi="Arial" w:cs="Arial"/>
                <w:color w:val="000000"/>
                <w:sz w:val="18"/>
                <w:szCs w:val="18"/>
              </w:rPr>
              <w:t>5.</w:t>
            </w:r>
          </w:p>
        </w:tc>
        <w:tc>
          <w:tcPr>
            <w:tcW w:w="3600" w:type="dxa"/>
            <w:shd w:val="clear" w:color="auto" w:fill="auto"/>
            <w:noWrap/>
            <w:vAlign w:val="bottom"/>
            <w:hideMark/>
          </w:tcPr>
          <w:p w14:paraId="6EB155E0" w14:textId="77777777" w:rsidR="008964A9" w:rsidRPr="00471AE5" w:rsidRDefault="008964A9" w:rsidP="008964A9">
            <w:pPr>
              <w:rPr>
                <w:rFonts w:ascii="Arial" w:hAnsi="Arial" w:cs="Arial"/>
                <w:color w:val="000000"/>
                <w:sz w:val="18"/>
                <w:szCs w:val="18"/>
              </w:rPr>
            </w:pPr>
            <w:r w:rsidRPr="00471AE5">
              <w:rPr>
                <w:rFonts w:ascii="Arial" w:hAnsi="Arial" w:cs="Arial"/>
                <w:color w:val="000000"/>
                <w:sz w:val="18"/>
                <w:szCs w:val="18"/>
              </w:rPr>
              <w:t>Repeat Patient ABS</w:t>
            </w:r>
          </w:p>
        </w:tc>
      </w:tr>
      <w:tr w:rsidR="008964A9" w:rsidRPr="00490D9B" w14:paraId="66077A3B" w14:textId="77777777" w:rsidTr="008964A9">
        <w:trPr>
          <w:trHeight w:val="259"/>
        </w:trPr>
        <w:tc>
          <w:tcPr>
            <w:tcW w:w="990" w:type="dxa"/>
            <w:vAlign w:val="center"/>
          </w:tcPr>
          <w:p w14:paraId="2257431F" w14:textId="77777777" w:rsidR="008964A9" w:rsidRPr="00471AE5" w:rsidRDefault="008964A9" w:rsidP="008964A9">
            <w:pPr>
              <w:jc w:val="center"/>
              <w:rPr>
                <w:rFonts w:ascii="Arial" w:hAnsi="Arial" w:cs="Arial"/>
                <w:color w:val="000000"/>
                <w:sz w:val="18"/>
                <w:szCs w:val="18"/>
              </w:rPr>
            </w:pPr>
            <w:r w:rsidRPr="00471AE5">
              <w:rPr>
                <w:rFonts w:ascii="Arial" w:hAnsi="Arial" w:cs="Arial"/>
                <w:color w:val="000000"/>
                <w:sz w:val="18"/>
                <w:szCs w:val="18"/>
              </w:rPr>
              <w:t>6.</w:t>
            </w:r>
          </w:p>
        </w:tc>
        <w:tc>
          <w:tcPr>
            <w:tcW w:w="3600" w:type="dxa"/>
            <w:shd w:val="clear" w:color="auto" w:fill="auto"/>
            <w:noWrap/>
            <w:vAlign w:val="bottom"/>
            <w:hideMark/>
          </w:tcPr>
          <w:p w14:paraId="08B6C09A" w14:textId="77777777" w:rsidR="008964A9" w:rsidRPr="00471AE5" w:rsidRDefault="008964A9" w:rsidP="008964A9">
            <w:pPr>
              <w:rPr>
                <w:rFonts w:ascii="Arial" w:hAnsi="Arial" w:cs="Arial"/>
                <w:color w:val="000000"/>
                <w:sz w:val="18"/>
                <w:szCs w:val="18"/>
              </w:rPr>
            </w:pPr>
            <w:r w:rsidRPr="00471AE5">
              <w:rPr>
                <w:rFonts w:ascii="Arial" w:hAnsi="Arial" w:cs="Arial"/>
                <w:color w:val="000000"/>
                <w:sz w:val="18"/>
                <w:szCs w:val="18"/>
              </w:rPr>
              <w:t>Patient AHG DAT</w:t>
            </w:r>
          </w:p>
        </w:tc>
      </w:tr>
      <w:tr w:rsidR="008964A9" w:rsidRPr="00490D9B" w14:paraId="1FAC1D06" w14:textId="77777777" w:rsidTr="008964A9">
        <w:trPr>
          <w:trHeight w:val="259"/>
        </w:trPr>
        <w:tc>
          <w:tcPr>
            <w:tcW w:w="990" w:type="dxa"/>
            <w:vAlign w:val="center"/>
          </w:tcPr>
          <w:p w14:paraId="47E922AB" w14:textId="77777777" w:rsidR="008964A9" w:rsidRPr="00471AE5" w:rsidRDefault="008964A9" w:rsidP="008964A9">
            <w:pPr>
              <w:jc w:val="center"/>
              <w:rPr>
                <w:rFonts w:ascii="Arial" w:hAnsi="Arial" w:cs="Arial"/>
                <w:color w:val="000000"/>
                <w:sz w:val="18"/>
                <w:szCs w:val="18"/>
              </w:rPr>
            </w:pPr>
            <w:r w:rsidRPr="00471AE5">
              <w:rPr>
                <w:rFonts w:ascii="Arial" w:hAnsi="Arial" w:cs="Arial"/>
                <w:color w:val="000000"/>
                <w:sz w:val="18"/>
                <w:szCs w:val="18"/>
              </w:rPr>
              <w:t>7.</w:t>
            </w:r>
          </w:p>
        </w:tc>
        <w:tc>
          <w:tcPr>
            <w:tcW w:w="3600" w:type="dxa"/>
            <w:shd w:val="clear" w:color="auto" w:fill="auto"/>
            <w:noWrap/>
            <w:vAlign w:val="bottom"/>
            <w:hideMark/>
          </w:tcPr>
          <w:p w14:paraId="55E3CFEA" w14:textId="77777777" w:rsidR="008964A9" w:rsidRPr="00471AE5" w:rsidRDefault="008964A9" w:rsidP="008964A9">
            <w:pPr>
              <w:rPr>
                <w:rFonts w:ascii="Arial" w:hAnsi="Arial" w:cs="Arial"/>
                <w:color w:val="000000"/>
                <w:sz w:val="18"/>
                <w:szCs w:val="18"/>
              </w:rPr>
            </w:pPr>
            <w:r w:rsidRPr="00471AE5">
              <w:rPr>
                <w:rFonts w:ascii="Arial" w:hAnsi="Arial" w:cs="Arial"/>
                <w:color w:val="000000"/>
                <w:sz w:val="18"/>
                <w:szCs w:val="18"/>
              </w:rPr>
              <w:t>Repeat Patient AHG DAT</w:t>
            </w:r>
          </w:p>
        </w:tc>
      </w:tr>
      <w:tr w:rsidR="008964A9" w:rsidRPr="00490D9B" w14:paraId="0D6EE69D" w14:textId="77777777" w:rsidTr="008964A9">
        <w:trPr>
          <w:trHeight w:val="259"/>
        </w:trPr>
        <w:tc>
          <w:tcPr>
            <w:tcW w:w="990" w:type="dxa"/>
            <w:vAlign w:val="center"/>
          </w:tcPr>
          <w:p w14:paraId="28E240EE" w14:textId="77777777" w:rsidR="008964A9" w:rsidRPr="00471AE5" w:rsidRDefault="008964A9" w:rsidP="008964A9">
            <w:pPr>
              <w:jc w:val="center"/>
              <w:rPr>
                <w:rFonts w:ascii="Arial" w:hAnsi="Arial" w:cs="Arial"/>
                <w:color w:val="000000"/>
                <w:sz w:val="18"/>
                <w:szCs w:val="18"/>
              </w:rPr>
            </w:pPr>
            <w:r w:rsidRPr="00471AE5">
              <w:rPr>
                <w:rFonts w:ascii="Arial" w:hAnsi="Arial" w:cs="Arial"/>
                <w:color w:val="000000"/>
                <w:sz w:val="18"/>
                <w:szCs w:val="18"/>
              </w:rPr>
              <w:t>8.</w:t>
            </w:r>
          </w:p>
        </w:tc>
        <w:tc>
          <w:tcPr>
            <w:tcW w:w="3600" w:type="dxa"/>
            <w:shd w:val="clear" w:color="auto" w:fill="auto"/>
            <w:noWrap/>
            <w:vAlign w:val="bottom"/>
            <w:hideMark/>
          </w:tcPr>
          <w:p w14:paraId="0AE1A476" w14:textId="77777777" w:rsidR="008964A9" w:rsidRPr="00471AE5" w:rsidRDefault="008964A9" w:rsidP="008964A9">
            <w:pPr>
              <w:rPr>
                <w:rFonts w:ascii="Arial" w:hAnsi="Arial" w:cs="Arial"/>
                <w:color w:val="000000"/>
                <w:sz w:val="18"/>
                <w:szCs w:val="18"/>
              </w:rPr>
            </w:pPr>
            <w:r w:rsidRPr="00471AE5">
              <w:rPr>
                <w:rFonts w:ascii="Arial" w:hAnsi="Arial" w:cs="Arial"/>
                <w:color w:val="000000"/>
                <w:sz w:val="18"/>
                <w:szCs w:val="18"/>
              </w:rPr>
              <w:t>Crossmatch</w:t>
            </w:r>
          </w:p>
        </w:tc>
      </w:tr>
      <w:tr w:rsidR="008964A9" w:rsidRPr="00490D9B" w14:paraId="3FBB00D0" w14:textId="77777777" w:rsidTr="008964A9">
        <w:trPr>
          <w:trHeight w:val="259"/>
        </w:trPr>
        <w:tc>
          <w:tcPr>
            <w:tcW w:w="990" w:type="dxa"/>
            <w:vAlign w:val="center"/>
          </w:tcPr>
          <w:p w14:paraId="7291BACC" w14:textId="77777777" w:rsidR="008964A9" w:rsidRPr="00471AE5" w:rsidRDefault="008964A9" w:rsidP="008964A9">
            <w:pPr>
              <w:jc w:val="center"/>
              <w:rPr>
                <w:rFonts w:ascii="Arial" w:hAnsi="Arial" w:cs="Arial"/>
                <w:color w:val="000000"/>
                <w:sz w:val="18"/>
                <w:szCs w:val="18"/>
              </w:rPr>
            </w:pPr>
            <w:r w:rsidRPr="00471AE5">
              <w:rPr>
                <w:rFonts w:ascii="Arial" w:hAnsi="Arial" w:cs="Arial"/>
                <w:color w:val="000000"/>
                <w:sz w:val="18"/>
                <w:szCs w:val="18"/>
              </w:rPr>
              <w:t>9.</w:t>
            </w:r>
          </w:p>
        </w:tc>
        <w:tc>
          <w:tcPr>
            <w:tcW w:w="3600" w:type="dxa"/>
            <w:shd w:val="clear" w:color="auto" w:fill="auto"/>
            <w:noWrap/>
            <w:vAlign w:val="bottom"/>
            <w:hideMark/>
          </w:tcPr>
          <w:p w14:paraId="5BB812ED" w14:textId="77777777" w:rsidR="008964A9" w:rsidRPr="00471AE5" w:rsidRDefault="008964A9" w:rsidP="008964A9">
            <w:pPr>
              <w:rPr>
                <w:rFonts w:ascii="Arial" w:hAnsi="Arial" w:cs="Arial"/>
                <w:color w:val="000000"/>
                <w:sz w:val="18"/>
                <w:szCs w:val="18"/>
              </w:rPr>
            </w:pPr>
            <w:r w:rsidRPr="00471AE5">
              <w:rPr>
                <w:rFonts w:ascii="Arial" w:hAnsi="Arial" w:cs="Arial"/>
                <w:color w:val="000000"/>
                <w:sz w:val="18"/>
                <w:szCs w:val="18"/>
              </w:rPr>
              <w:t>Repeat Crossmatch</w:t>
            </w:r>
          </w:p>
        </w:tc>
      </w:tr>
      <w:tr w:rsidR="008964A9" w:rsidRPr="00490D9B" w14:paraId="4BCF469B" w14:textId="77777777" w:rsidTr="008964A9">
        <w:trPr>
          <w:trHeight w:val="259"/>
        </w:trPr>
        <w:tc>
          <w:tcPr>
            <w:tcW w:w="990" w:type="dxa"/>
            <w:vAlign w:val="center"/>
          </w:tcPr>
          <w:p w14:paraId="041B08ED" w14:textId="77777777" w:rsidR="008964A9" w:rsidRPr="00471AE5" w:rsidRDefault="008964A9" w:rsidP="008964A9">
            <w:pPr>
              <w:jc w:val="center"/>
              <w:rPr>
                <w:rFonts w:ascii="Arial" w:hAnsi="Arial" w:cs="Arial"/>
                <w:color w:val="000000"/>
                <w:sz w:val="18"/>
                <w:szCs w:val="18"/>
              </w:rPr>
            </w:pPr>
            <w:r w:rsidRPr="00471AE5">
              <w:rPr>
                <w:rFonts w:ascii="Arial" w:hAnsi="Arial" w:cs="Arial"/>
                <w:color w:val="000000"/>
                <w:sz w:val="18"/>
                <w:szCs w:val="18"/>
              </w:rPr>
              <w:t>10.</w:t>
            </w:r>
          </w:p>
        </w:tc>
        <w:tc>
          <w:tcPr>
            <w:tcW w:w="3600" w:type="dxa"/>
            <w:shd w:val="clear" w:color="auto" w:fill="auto"/>
            <w:noWrap/>
            <w:vAlign w:val="bottom"/>
            <w:hideMark/>
          </w:tcPr>
          <w:p w14:paraId="1C322C04" w14:textId="77777777" w:rsidR="008964A9" w:rsidRPr="00471AE5" w:rsidRDefault="008964A9" w:rsidP="008964A9">
            <w:pPr>
              <w:rPr>
                <w:rFonts w:ascii="Arial" w:hAnsi="Arial" w:cs="Arial"/>
                <w:color w:val="000000"/>
                <w:sz w:val="18"/>
                <w:szCs w:val="18"/>
              </w:rPr>
            </w:pPr>
            <w:r w:rsidRPr="00471AE5">
              <w:rPr>
                <w:rFonts w:ascii="Arial" w:hAnsi="Arial" w:cs="Arial"/>
                <w:color w:val="000000"/>
                <w:sz w:val="18"/>
                <w:szCs w:val="18"/>
              </w:rPr>
              <w:t>Patient IgG DAT AHG</w:t>
            </w:r>
          </w:p>
        </w:tc>
      </w:tr>
      <w:tr w:rsidR="008964A9" w:rsidRPr="00490D9B" w14:paraId="201FE1F7" w14:textId="77777777" w:rsidTr="008964A9">
        <w:trPr>
          <w:trHeight w:val="259"/>
        </w:trPr>
        <w:tc>
          <w:tcPr>
            <w:tcW w:w="990" w:type="dxa"/>
            <w:vAlign w:val="center"/>
          </w:tcPr>
          <w:p w14:paraId="69D48824" w14:textId="77777777" w:rsidR="008964A9" w:rsidRPr="00471AE5" w:rsidRDefault="008964A9" w:rsidP="008964A9">
            <w:pPr>
              <w:jc w:val="center"/>
              <w:rPr>
                <w:rFonts w:ascii="Arial" w:hAnsi="Arial" w:cs="Arial"/>
                <w:color w:val="000000"/>
                <w:sz w:val="18"/>
                <w:szCs w:val="18"/>
              </w:rPr>
            </w:pPr>
            <w:r w:rsidRPr="00471AE5">
              <w:rPr>
                <w:rFonts w:ascii="Arial" w:hAnsi="Arial" w:cs="Arial"/>
                <w:color w:val="000000"/>
                <w:sz w:val="18"/>
                <w:szCs w:val="18"/>
              </w:rPr>
              <w:t>11.</w:t>
            </w:r>
          </w:p>
        </w:tc>
        <w:tc>
          <w:tcPr>
            <w:tcW w:w="3600" w:type="dxa"/>
            <w:shd w:val="clear" w:color="auto" w:fill="auto"/>
            <w:noWrap/>
            <w:vAlign w:val="bottom"/>
            <w:hideMark/>
          </w:tcPr>
          <w:p w14:paraId="1977B322" w14:textId="77777777" w:rsidR="008964A9" w:rsidRPr="00471AE5" w:rsidRDefault="008964A9" w:rsidP="008964A9">
            <w:pPr>
              <w:rPr>
                <w:rFonts w:ascii="Arial" w:hAnsi="Arial" w:cs="Arial"/>
                <w:color w:val="000000"/>
                <w:sz w:val="18"/>
                <w:szCs w:val="18"/>
              </w:rPr>
            </w:pPr>
            <w:r w:rsidRPr="00471AE5">
              <w:rPr>
                <w:rFonts w:ascii="Arial" w:hAnsi="Arial" w:cs="Arial"/>
                <w:color w:val="000000"/>
                <w:sz w:val="18"/>
                <w:szCs w:val="18"/>
              </w:rPr>
              <w:t>Repeat Patient IgG DAT AHG</w:t>
            </w:r>
          </w:p>
        </w:tc>
      </w:tr>
      <w:tr w:rsidR="008964A9" w:rsidRPr="00490D9B" w14:paraId="227542B4" w14:textId="77777777" w:rsidTr="008964A9">
        <w:trPr>
          <w:trHeight w:val="259"/>
        </w:trPr>
        <w:tc>
          <w:tcPr>
            <w:tcW w:w="990" w:type="dxa"/>
            <w:vAlign w:val="center"/>
          </w:tcPr>
          <w:p w14:paraId="022C8691" w14:textId="77777777" w:rsidR="008964A9" w:rsidRPr="00471AE5" w:rsidRDefault="008964A9" w:rsidP="008964A9">
            <w:pPr>
              <w:jc w:val="center"/>
              <w:rPr>
                <w:rFonts w:ascii="Arial" w:hAnsi="Arial" w:cs="Arial"/>
                <w:color w:val="000000"/>
                <w:sz w:val="18"/>
                <w:szCs w:val="18"/>
              </w:rPr>
            </w:pPr>
            <w:r w:rsidRPr="00471AE5">
              <w:rPr>
                <w:rFonts w:ascii="Arial" w:hAnsi="Arial" w:cs="Arial"/>
                <w:color w:val="000000"/>
                <w:sz w:val="18"/>
                <w:szCs w:val="18"/>
              </w:rPr>
              <w:t>12.</w:t>
            </w:r>
          </w:p>
        </w:tc>
        <w:tc>
          <w:tcPr>
            <w:tcW w:w="3600" w:type="dxa"/>
            <w:shd w:val="clear" w:color="auto" w:fill="auto"/>
            <w:noWrap/>
            <w:vAlign w:val="bottom"/>
            <w:hideMark/>
          </w:tcPr>
          <w:p w14:paraId="0133273F" w14:textId="77777777" w:rsidR="008964A9" w:rsidRPr="00471AE5" w:rsidRDefault="008964A9" w:rsidP="008964A9">
            <w:pPr>
              <w:rPr>
                <w:rFonts w:ascii="Arial" w:hAnsi="Arial" w:cs="Arial"/>
                <w:color w:val="000000"/>
                <w:sz w:val="18"/>
                <w:szCs w:val="18"/>
              </w:rPr>
            </w:pPr>
            <w:r w:rsidRPr="00471AE5">
              <w:rPr>
                <w:rFonts w:ascii="Arial" w:hAnsi="Arial" w:cs="Arial"/>
                <w:color w:val="000000"/>
                <w:sz w:val="18"/>
                <w:szCs w:val="18"/>
              </w:rPr>
              <w:t>Patient C3 DAT AHG</w:t>
            </w:r>
          </w:p>
        </w:tc>
      </w:tr>
      <w:tr w:rsidR="008964A9" w:rsidRPr="00490D9B" w14:paraId="76914DD6" w14:textId="77777777" w:rsidTr="008964A9">
        <w:trPr>
          <w:trHeight w:val="259"/>
        </w:trPr>
        <w:tc>
          <w:tcPr>
            <w:tcW w:w="990" w:type="dxa"/>
            <w:vAlign w:val="center"/>
          </w:tcPr>
          <w:p w14:paraId="078CC150" w14:textId="77777777" w:rsidR="008964A9" w:rsidRPr="00471AE5" w:rsidRDefault="008964A9" w:rsidP="008964A9">
            <w:pPr>
              <w:jc w:val="center"/>
              <w:rPr>
                <w:rFonts w:ascii="Arial" w:hAnsi="Arial" w:cs="Arial"/>
                <w:color w:val="000000"/>
                <w:sz w:val="18"/>
                <w:szCs w:val="18"/>
              </w:rPr>
            </w:pPr>
            <w:r w:rsidRPr="00471AE5">
              <w:rPr>
                <w:rFonts w:ascii="Arial" w:hAnsi="Arial" w:cs="Arial"/>
                <w:color w:val="000000"/>
                <w:sz w:val="18"/>
                <w:szCs w:val="18"/>
              </w:rPr>
              <w:t>13.</w:t>
            </w:r>
          </w:p>
        </w:tc>
        <w:tc>
          <w:tcPr>
            <w:tcW w:w="3600" w:type="dxa"/>
            <w:shd w:val="clear" w:color="auto" w:fill="auto"/>
            <w:noWrap/>
            <w:vAlign w:val="bottom"/>
            <w:hideMark/>
          </w:tcPr>
          <w:p w14:paraId="3DE0DD29" w14:textId="77777777" w:rsidR="008964A9" w:rsidRPr="00471AE5" w:rsidRDefault="008964A9" w:rsidP="008964A9">
            <w:pPr>
              <w:rPr>
                <w:rFonts w:ascii="Arial" w:hAnsi="Arial" w:cs="Arial"/>
                <w:color w:val="000000"/>
                <w:sz w:val="18"/>
                <w:szCs w:val="18"/>
              </w:rPr>
            </w:pPr>
            <w:r w:rsidRPr="00471AE5">
              <w:rPr>
                <w:rFonts w:ascii="Arial" w:hAnsi="Arial" w:cs="Arial"/>
                <w:color w:val="000000"/>
                <w:sz w:val="18"/>
                <w:szCs w:val="18"/>
              </w:rPr>
              <w:t>Repeat Patient C3 DAT AHG</w:t>
            </w:r>
          </w:p>
        </w:tc>
      </w:tr>
      <w:tr w:rsidR="008964A9" w:rsidRPr="00490D9B" w14:paraId="1AF6FF7D" w14:textId="77777777" w:rsidTr="008964A9">
        <w:trPr>
          <w:trHeight w:val="259"/>
        </w:trPr>
        <w:tc>
          <w:tcPr>
            <w:tcW w:w="990" w:type="dxa"/>
            <w:vAlign w:val="center"/>
          </w:tcPr>
          <w:p w14:paraId="3F640E77" w14:textId="77777777" w:rsidR="008964A9" w:rsidRPr="00471AE5" w:rsidRDefault="008964A9" w:rsidP="008964A9">
            <w:pPr>
              <w:jc w:val="center"/>
              <w:rPr>
                <w:rFonts w:ascii="Arial" w:hAnsi="Arial" w:cs="Arial"/>
                <w:color w:val="000000"/>
                <w:sz w:val="18"/>
                <w:szCs w:val="18"/>
              </w:rPr>
            </w:pPr>
            <w:r w:rsidRPr="00471AE5">
              <w:rPr>
                <w:rFonts w:ascii="Arial" w:hAnsi="Arial" w:cs="Arial"/>
                <w:color w:val="000000"/>
                <w:sz w:val="18"/>
                <w:szCs w:val="18"/>
              </w:rPr>
              <w:t>14.</w:t>
            </w:r>
          </w:p>
        </w:tc>
        <w:tc>
          <w:tcPr>
            <w:tcW w:w="3600" w:type="dxa"/>
            <w:shd w:val="clear" w:color="auto" w:fill="auto"/>
            <w:noWrap/>
            <w:vAlign w:val="bottom"/>
            <w:hideMark/>
          </w:tcPr>
          <w:p w14:paraId="7C8BD1A7" w14:textId="77777777" w:rsidR="008964A9" w:rsidRPr="00471AE5" w:rsidRDefault="008964A9" w:rsidP="008964A9">
            <w:pPr>
              <w:rPr>
                <w:rFonts w:ascii="Arial" w:hAnsi="Arial" w:cs="Arial"/>
                <w:color w:val="000000"/>
                <w:sz w:val="18"/>
                <w:szCs w:val="18"/>
              </w:rPr>
            </w:pPr>
            <w:r w:rsidRPr="00471AE5">
              <w:rPr>
                <w:rFonts w:ascii="Arial" w:hAnsi="Arial" w:cs="Arial"/>
                <w:color w:val="000000"/>
                <w:sz w:val="18"/>
                <w:szCs w:val="18"/>
              </w:rPr>
              <w:t>Patient Antigen Typing</w:t>
            </w:r>
          </w:p>
        </w:tc>
      </w:tr>
      <w:tr w:rsidR="008964A9" w:rsidRPr="00490D9B" w14:paraId="1C149A2B" w14:textId="77777777" w:rsidTr="008964A9">
        <w:trPr>
          <w:trHeight w:val="259"/>
        </w:trPr>
        <w:tc>
          <w:tcPr>
            <w:tcW w:w="990" w:type="dxa"/>
            <w:vAlign w:val="center"/>
          </w:tcPr>
          <w:p w14:paraId="10B40FCB" w14:textId="77777777" w:rsidR="008964A9" w:rsidRPr="00471AE5" w:rsidRDefault="008964A9" w:rsidP="008964A9">
            <w:pPr>
              <w:jc w:val="center"/>
              <w:rPr>
                <w:rFonts w:ascii="Arial" w:hAnsi="Arial" w:cs="Arial"/>
                <w:color w:val="000000"/>
                <w:sz w:val="18"/>
                <w:szCs w:val="18"/>
              </w:rPr>
            </w:pPr>
            <w:r w:rsidRPr="00471AE5">
              <w:rPr>
                <w:rFonts w:ascii="Arial" w:hAnsi="Arial" w:cs="Arial"/>
                <w:color w:val="000000"/>
                <w:sz w:val="18"/>
                <w:szCs w:val="18"/>
              </w:rPr>
              <w:t>15.</w:t>
            </w:r>
          </w:p>
        </w:tc>
        <w:tc>
          <w:tcPr>
            <w:tcW w:w="3600" w:type="dxa"/>
            <w:shd w:val="clear" w:color="auto" w:fill="auto"/>
            <w:noWrap/>
            <w:vAlign w:val="bottom"/>
            <w:hideMark/>
          </w:tcPr>
          <w:p w14:paraId="66CE86C1" w14:textId="77777777" w:rsidR="008964A9" w:rsidRPr="00471AE5" w:rsidRDefault="008964A9" w:rsidP="008964A9">
            <w:pPr>
              <w:rPr>
                <w:rFonts w:ascii="Arial" w:hAnsi="Arial" w:cs="Arial"/>
                <w:color w:val="000000"/>
                <w:sz w:val="18"/>
                <w:szCs w:val="18"/>
              </w:rPr>
            </w:pPr>
            <w:r w:rsidRPr="00471AE5">
              <w:rPr>
                <w:rFonts w:ascii="Arial" w:hAnsi="Arial" w:cs="Arial"/>
                <w:color w:val="000000"/>
                <w:sz w:val="18"/>
                <w:szCs w:val="18"/>
              </w:rPr>
              <w:t>Repeat Patient Antigen Typing</w:t>
            </w:r>
          </w:p>
        </w:tc>
      </w:tr>
      <w:tr w:rsidR="008964A9" w:rsidRPr="00490D9B" w14:paraId="714DE6C6" w14:textId="77777777" w:rsidTr="008964A9">
        <w:trPr>
          <w:trHeight w:val="259"/>
        </w:trPr>
        <w:tc>
          <w:tcPr>
            <w:tcW w:w="990" w:type="dxa"/>
            <w:vAlign w:val="center"/>
          </w:tcPr>
          <w:p w14:paraId="5D6B275B" w14:textId="77777777" w:rsidR="008964A9" w:rsidRPr="00471AE5" w:rsidRDefault="008964A9" w:rsidP="008964A9">
            <w:pPr>
              <w:jc w:val="center"/>
              <w:rPr>
                <w:rFonts w:ascii="Arial" w:hAnsi="Arial" w:cs="Arial"/>
                <w:color w:val="000000"/>
                <w:sz w:val="18"/>
                <w:szCs w:val="18"/>
              </w:rPr>
            </w:pPr>
            <w:r w:rsidRPr="00471AE5">
              <w:rPr>
                <w:rFonts w:ascii="Arial" w:hAnsi="Arial" w:cs="Arial"/>
                <w:color w:val="000000"/>
                <w:sz w:val="18"/>
                <w:szCs w:val="18"/>
              </w:rPr>
              <w:t>16.</w:t>
            </w:r>
          </w:p>
        </w:tc>
        <w:tc>
          <w:tcPr>
            <w:tcW w:w="3600" w:type="dxa"/>
            <w:shd w:val="clear" w:color="auto" w:fill="auto"/>
            <w:noWrap/>
            <w:vAlign w:val="bottom"/>
            <w:hideMark/>
          </w:tcPr>
          <w:p w14:paraId="72D1AFB0" w14:textId="77777777" w:rsidR="008964A9" w:rsidRPr="00471AE5" w:rsidRDefault="008964A9" w:rsidP="008964A9">
            <w:pPr>
              <w:rPr>
                <w:rFonts w:ascii="Arial" w:hAnsi="Arial" w:cs="Arial"/>
                <w:color w:val="000000"/>
                <w:sz w:val="18"/>
                <w:szCs w:val="18"/>
              </w:rPr>
            </w:pPr>
            <w:r w:rsidRPr="00471AE5">
              <w:rPr>
                <w:rFonts w:ascii="Arial" w:hAnsi="Arial" w:cs="Arial"/>
                <w:color w:val="000000"/>
                <w:sz w:val="18"/>
                <w:szCs w:val="18"/>
              </w:rPr>
              <w:t>Unit ABO/Rh</w:t>
            </w:r>
          </w:p>
        </w:tc>
      </w:tr>
      <w:tr w:rsidR="008964A9" w:rsidRPr="00490D9B" w14:paraId="45B31D80" w14:textId="77777777" w:rsidTr="008964A9">
        <w:trPr>
          <w:trHeight w:val="259"/>
        </w:trPr>
        <w:tc>
          <w:tcPr>
            <w:tcW w:w="990" w:type="dxa"/>
            <w:vAlign w:val="center"/>
          </w:tcPr>
          <w:p w14:paraId="549B333D" w14:textId="77777777" w:rsidR="008964A9" w:rsidRPr="00471AE5" w:rsidRDefault="008964A9" w:rsidP="008964A9">
            <w:pPr>
              <w:jc w:val="center"/>
              <w:rPr>
                <w:rFonts w:ascii="Arial" w:hAnsi="Arial" w:cs="Arial"/>
                <w:color w:val="000000"/>
                <w:sz w:val="18"/>
                <w:szCs w:val="18"/>
              </w:rPr>
            </w:pPr>
            <w:r w:rsidRPr="00471AE5">
              <w:rPr>
                <w:rFonts w:ascii="Arial" w:hAnsi="Arial" w:cs="Arial"/>
                <w:color w:val="000000"/>
                <w:sz w:val="18"/>
                <w:szCs w:val="18"/>
              </w:rPr>
              <w:t>17.</w:t>
            </w:r>
          </w:p>
        </w:tc>
        <w:tc>
          <w:tcPr>
            <w:tcW w:w="3600" w:type="dxa"/>
            <w:shd w:val="clear" w:color="auto" w:fill="auto"/>
            <w:noWrap/>
            <w:vAlign w:val="bottom"/>
            <w:hideMark/>
          </w:tcPr>
          <w:p w14:paraId="610987FF" w14:textId="77777777" w:rsidR="008964A9" w:rsidRPr="00471AE5" w:rsidRDefault="008964A9" w:rsidP="008964A9">
            <w:pPr>
              <w:rPr>
                <w:rFonts w:ascii="Arial" w:hAnsi="Arial" w:cs="Arial"/>
                <w:color w:val="000000"/>
                <w:sz w:val="18"/>
                <w:szCs w:val="18"/>
              </w:rPr>
            </w:pPr>
            <w:r w:rsidRPr="00471AE5">
              <w:rPr>
                <w:rFonts w:ascii="Arial" w:hAnsi="Arial" w:cs="Arial"/>
                <w:color w:val="000000"/>
                <w:sz w:val="18"/>
                <w:szCs w:val="18"/>
              </w:rPr>
              <w:t>Unit Antigen Typing</w:t>
            </w:r>
          </w:p>
        </w:tc>
      </w:tr>
    </w:tbl>
    <w:p w14:paraId="037F8581" w14:textId="77777777" w:rsidR="00B45FA2" w:rsidRDefault="00B45FA2" w:rsidP="007A4841">
      <w:pPr>
        <w:pStyle w:val="Heading2"/>
      </w:pPr>
      <w:r>
        <w:br w:type="page"/>
      </w:r>
      <w:bookmarkStart w:id="612" w:name="_Toc203765939"/>
      <w:r>
        <w:lastRenderedPageBreak/>
        <w:t>Automated Testing Review</w:t>
      </w:r>
      <w:r w:rsidR="00836786">
        <w:t xml:space="preserve"> for Blood Unit</w:t>
      </w:r>
      <w:r w:rsidR="007B52EA">
        <w:t>s</w:t>
      </w:r>
      <w:bookmarkEnd w:id="612"/>
      <w:r w:rsidR="00836786" w:rsidRPr="00836786">
        <w:rPr>
          <w:vanish/>
        </w:rPr>
        <w:t>{ XE “Automated Testing Review f</w:t>
      </w:r>
      <w:r w:rsidR="00BE554D" w:rsidRPr="00836786">
        <w:rPr>
          <w:vanish/>
        </w:rPr>
        <w:t xml:space="preserve">or </w:t>
      </w:r>
      <w:r w:rsidR="00F130A1" w:rsidRPr="00836786">
        <w:rPr>
          <w:vanish/>
        </w:rPr>
        <w:t>Blood Unit ABO/Rh</w:t>
      </w:r>
      <w:r w:rsidR="00836786" w:rsidRPr="00836786">
        <w:rPr>
          <w:vanish/>
        </w:rPr>
        <w:t>” }</w:t>
      </w:r>
      <w:r w:rsidRPr="00836786">
        <w:rPr>
          <w:rFonts w:ascii="Times New Roman" w:hAnsi="Times New Roman" w:cs="Times New Roman"/>
          <w:b w:val="0"/>
          <w:i w:val="0"/>
          <w:vanish/>
          <w:sz w:val="22"/>
        </w:rPr>
        <w:t>UC_115</w:t>
      </w:r>
    </w:p>
    <w:p w14:paraId="4E315CB6" w14:textId="7EF7C50C" w:rsidR="00D23C29" w:rsidRDefault="00D23C29" w:rsidP="00B45FA2">
      <w:pPr>
        <w:pStyle w:val="Heading4"/>
        <w:rPr>
          <w:rFonts w:ascii="Times New Roman" w:hAnsi="Times New Roman"/>
          <w:b w:val="0"/>
          <w:spacing w:val="-5"/>
          <w:szCs w:val="22"/>
        </w:rPr>
      </w:pPr>
      <w:r>
        <w:rPr>
          <w:rFonts w:ascii="Times New Roman" w:hAnsi="Times New Roman"/>
          <w:b w:val="0"/>
          <w:spacing w:val="-5"/>
          <w:szCs w:val="22"/>
        </w:rPr>
        <w:t>A</w:t>
      </w:r>
      <w:r w:rsidRPr="00D23C29">
        <w:rPr>
          <w:rFonts w:ascii="Times New Roman" w:hAnsi="Times New Roman"/>
          <w:b w:val="0"/>
          <w:spacing w:val="-5"/>
          <w:szCs w:val="22"/>
        </w:rPr>
        <w:t>llow</w:t>
      </w:r>
      <w:r>
        <w:rPr>
          <w:rFonts w:ascii="Times New Roman" w:hAnsi="Times New Roman"/>
          <w:b w:val="0"/>
          <w:spacing w:val="-5"/>
          <w:szCs w:val="22"/>
        </w:rPr>
        <w:t>s</w:t>
      </w:r>
      <w:r w:rsidR="00B80078">
        <w:rPr>
          <w:rFonts w:ascii="Times New Roman" w:hAnsi="Times New Roman"/>
          <w:b w:val="0"/>
          <w:spacing w:val="-5"/>
          <w:szCs w:val="22"/>
        </w:rPr>
        <w:t xml:space="preserve"> the user to review and approve testing results completed on an automated instrument and transmitted </w:t>
      </w:r>
      <w:r w:rsidR="006549B7">
        <w:rPr>
          <w:rFonts w:ascii="Times New Roman" w:hAnsi="Times New Roman"/>
          <w:b w:val="0"/>
          <w:spacing w:val="-5"/>
          <w:szCs w:val="22"/>
        </w:rPr>
        <w:t>to VBECS</w:t>
      </w:r>
      <w:r w:rsidRPr="00D23C29">
        <w:rPr>
          <w:rFonts w:ascii="Times New Roman" w:hAnsi="Times New Roman"/>
          <w:b w:val="0"/>
          <w:spacing w:val="-5"/>
          <w:szCs w:val="22"/>
        </w:rPr>
        <w:t>.</w:t>
      </w:r>
    </w:p>
    <w:p w14:paraId="56BE8A75" w14:textId="77777777" w:rsidR="00B45FA2" w:rsidRPr="00D23C29" w:rsidRDefault="00B45FA2" w:rsidP="00B45FA2">
      <w:pPr>
        <w:pStyle w:val="Heading4"/>
      </w:pPr>
      <w:r w:rsidRPr="00D23C29">
        <w:t xml:space="preserve">Assumptions </w:t>
      </w:r>
      <w:r w:rsidR="00A134D8" w:rsidRPr="00A134D8">
        <w:rPr>
          <w:rFonts w:ascii="Arial Bold" w:hAnsi="Arial Bold"/>
          <w:vanish/>
        </w:rPr>
        <w:t>Defect 357490</w:t>
      </w:r>
    </w:p>
    <w:p w14:paraId="66D28A43" w14:textId="77777777" w:rsidR="00B45FA2" w:rsidRPr="009A3F10" w:rsidRDefault="00B45FA2" w:rsidP="00925CAD">
      <w:pPr>
        <w:pStyle w:val="TableText"/>
        <w:numPr>
          <w:ilvl w:val="0"/>
          <w:numId w:val="42"/>
        </w:numPr>
        <w:rPr>
          <w:rFonts w:ascii="Times New Roman" w:hAnsi="Times New Roman"/>
          <w:spacing w:val="-5"/>
          <w:sz w:val="22"/>
          <w:szCs w:val="22"/>
        </w:rPr>
      </w:pPr>
      <w:r w:rsidRPr="009A3F10">
        <w:rPr>
          <w:rFonts w:ascii="Times New Roman" w:hAnsi="Times New Roman"/>
          <w:spacing w:val="-5"/>
          <w:sz w:val="22"/>
          <w:szCs w:val="22"/>
        </w:rPr>
        <w:t>Division is defined as full service.</w:t>
      </w:r>
    </w:p>
    <w:p w14:paraId="360F0B6D" w14:textId="77777777" w:rsidR="00B45FA2" w:rsidRPr="009A3F10" w:rsidRDefault="00B45FA2" w:rsidP="00925CAD">
      <w:pPr>
        <w:pStyle w:val="TableText"/>
        <w:numPr>
          <w:ilvl w:val="0"/>
          <w:numId w:val="42"/>
        </w:numPr>
        <w:rPr>
          <w:rFonts w:ascii="Times New Roman" w:hAnsi="Times New Roman"/>
          <w:spacing w:val="-5"/>
          <w:sz w:val="22"/>
          <w:szCs w:val="22"/>
        </w:rPr>
      </w:pPr>
      <w:r w:rsidRPr="009A3F10">
        <w:rPr>
          <w:rFonts w:ascii="Times New Roman" w:hAnsi="Times New Roman"/>
          <w:spacing w:val="-5"/>
          <w:sz w:val="22"/>
          <w:szCs w:val="22"/>
        </w:rPr>
        <w:t>The testing instrument is fully functional and available for use. The instrument QC is completed and valid, no maintenance is required. No QC information is transmitted to VBECS in the HL7 message.</w:t>
      </w:r>
    </w:p>
    <w:p w14:paraId="7A361B54" w14:textId="77777777" w:rsidR="00B45FA2" w:rsidRPr="009A3F10" w:rsidRDefault="00B45FA2" w:rsidP="00925CAD">
      <w:pPr>
        <w:pStyle w:val="TableText"/>
        <w:numPr>
          <w:ilvl w:val="0"/>
          <w:numId w:val="42"/>
        </w:numPr>
        <w:rPr>
          <w:rFonts w:ascii="Times New Roman" w:hAnsi="Times New Roman"/>
          <w:spacing w:val="-5"/>
          <w:sz w:val="22"/>
          <w:szCs w:val="22"/>
        </w:rPr>
      </w:pPr>
      <w:r w:rsidRPr="009A3F10">
        <w:rPr>
          <w:rFonts w:ascii="Times New Roman" w:hAnsi="Times New Roman"/>
          <w:spacing w:val="-5"/>
          <w:sz w:val="22"/>
          <w:szCs w:val="22"/>
        </w:rPr>
        <w:t>Message is received</w:t>
      </w:r>
      <w:r w:rsidR="00B80078">
        <w:rPr>
          <w:rFonts w:ascii="Times New Roman" w:hAnsi="Times New Roman"/>
          <w:spacing w:val="-5"/>
          <w:sz w:val="22"/>
          <w:szCs w:val="22"/>
        </w:rPr>
        <w:t xml:space="preserve"> successfully as defined in </w:t>
      </w:r>
      <w:r w:rsidRPr="009A3F10">
        <w:rPr>
          <w:rFonts w:ascii="Times New Roman" w:hAnsi="Times New Roman"/>
          <w:spacing w:val="-5"/>
          <w:sz w:val="22"/>
          <w:szCs w:val="22"/>
        </w:rPr>
        <w:t>Automated Testing Interface.</w:t>
      </w:r>
    </w:p>
    <w:p w14:paraId="08C35157" w14:textId="77777777" w:rsidR="00B45FA2" w:rsidRPr="009A3F10" w:rsidRDefault="00B45FA2" w:rsidP="00925CAD">
      <w:pPr>
        <w:pStyle w:val="TableTextBullet"/>
        <w:numPr>
          <w:ilvl w:val="0"/>
          <w:numId w:val="42"/>
        </w:numPr>
        <w:rPr>
          <w:rFonts w:ascii="Times New Roman" w:hAnsi="Times New Roman"/>
          <w:spacing w:val="-5"/>
          <w:sz w:val="22"/>
          <w:szCs w:val="22"/>
        </w:rPr>
      </w:pPr>
      <w:r w:rsidRPr="009A3F10">
        <w:rPr>
          <w:rFonts w:ascii="Times New Roman" w:hAnsi="Times New Roman"/>
          <w:spacing w:val="-5"/>
          <w:sz w:val="22"/>
          <w:szCs w:val="22"/>
        </w:rPr>
        <w:t>The blood unit records are in the VBECS database for ABO/Rh confirmation or Unit Antigen Typing.</w:t>
      </w:r>
    </w:p>
    <w:p w14:paraId="481438C4" w14:textId="77777777" w:rsidR="00B45FA2" w:rsidRPr="009A3F10" w:rsidRDefault="00B45FA2" w:rsidP="00925CAD">
      <w:pPr>
        <w:numPr>
          <w:ilvl w:val="0"/>
          <w:numId w:val="42"/>
        </w:numPr>
        <w:rPr>
          <w:spacing w:val="-5"/>
          <w:sz w:val="22"/>
          <w:szCs w:val="22"/>
        </w:rPr>
      </w:pPr>
      <w:r w:rsidRPr="009A3F10">
        <w:rPr>
          <w:spacing w:val="-5"/>
          <w:sz w:val="22"/>
          <w:szCs w:val="22"/>
        </w:rPr>
        <w:t>Each transmitted test must include its results and interpretati</w:t>
      </w:r>
      <w:r w:rsidR="00B80078">
        <w:rPr>
          <w:spacing w:val="-5"/>
          <w:sz w:val="22"/>
          <w:szCs w:val="22"/>
        </w:rPr>
        <w:t>on</w:t>
      </w:r>
      <w:r w:rsidRPr="009A3F10">
        <w:rPr>
          <w:spacing w:val="-5"/>
          <w:sz w:val="22"/>
          <w:szCs w:val="22"/>
        </w:rPr>
        <w:t>.</w:t>
      </w:r>
    </w:p>
    <w:p w14:paraId="4AD29FF4" w14:textId="77777777" w:rsidR="00B45FA2" w:rsidRDefault="00B45FA2" w:rsidP="00B45FA2">
      <w:pPr>
        <w:pStyle w:val="Heading4"/>
      </w:pPr>
      <w:r>
        <w:t xml:space="preserve">Outcome </w:t>
      </w:r>
    </w:p>
    <w:p w14:paraId="0D4F2AEF" w14:textId="77777777" w:rsidR="003F0E4F" w:rsidRPr="00D23C29" w:rsidRDefault="003F0E4F" w:rsidP="00925CAD">
      <w:pPr>
        <w:pStyle w:val="TableTextBullet"/>
        <w:numPr>
          <w:ilvl w:val="0"/>
          <w:numId w:val="42"/>
        </w:numPr>
        <w:ind w:right="63"/>
        <w:rPr>
          <w:rFonts w:ascii="Times New Roman" w:hAnsi="Times New Roman"/>
          <w:spacing w:val="-5"/>
          <w:sz w:val="22"/>
          <w:szCs w:val="22"/>
        </w:rPr>
      </w:pPr>
      <w:r w:rsidRPr="00D23C29">
        <w:rPr>
          <w:rFonts w:ascii="Times New Roman" w:hAnsi="Times New Roman"/>
          <w:spacing w:val="-5"/>
          <w:sz w:val="22"/>
          <w:szCs w:val="22"/>
        </w:rPr>
        <w:t>The test record will capture the details of the verified testing. Completed, current unit and specimen test results will be available for the life of the system for inclusion in various reports generated to document patient and unit testing.</w:t>
      </w:r>
    </w:p>
    <w:p w14:paraId="312EDDC1" w14:textId="77777777" w:rsidR="003F0E4F" w:rsidRPr="00D23C29" w:rsidRDefault="003F0E4F" w:rsidP="00925CAD">
      <w:pPr>
        <w:pStyle w:val="TableTextBullet"/>
        <w:numPr>
          <w:ilvl w:val="0"/>
          <w:numId w:val="42"/>
        </w:numPr>
        <w:ind w:right="63"/>
        <w:rPr>
          <w:rFonts w:ascii="Times New Roman" w:hAnsi="Times New Roman"/>
          <w:spacing w:val="-5"/>
          <w:sz w:val="22"/>
          <w:szCs w:val="22"/>
        </w:rPr>
      </w:pPr>
      <w:r w:rsidRPr="00D23C29">
        <w:rPr>
          <w:rFonts w:ascii="Times New Roman" w:hAnsi="Times New Roman"/>
          <w:spacing w:val="-5"/>
          <w:sz w:val="22"/>
          <w:szCs w:val="22"/>
        </w:rPr>
        <w:t>Unit(s) will have ABO/Rh and antigen test results recorded in the database.</w:t>
      </w:r>
    </w:p>
    <w:p w14:paraId="3FD69D52" w14:textId="77777777" w:rsidR="00561829" w:rsidRDefault="00561829" w:rsidP="00561829">
      <w:pPr>
        <w:pStyle w:val="ListBullet"/>
        <w:numPr>
          <w:ilvl w:val="0"/>
          <w:numId w:val="42"/>
        </w:numPr>
      </w:pPr>
      <w:r>
        <w:t>If workload codes are assigned for this process, workload-related data collected as the result of this process are stored for inclusion in Workload Reports.</w:t>
      </w:r>
    </w:p>
    <w:p w14:paraId="447F901C" w14:textId="77777777" w:rsidR="00B45FA2" w:rsidRDefault="00B45FA2" w:rsidP="003F0E4F">
      <w:pPr>
        <w:pStyle w:val="Heading4"/>
      </w:pPr>
      <w:r>
        <w:t>Limitations and Restrictions</w:t>
      </w:r>
      <w:r>
        <w:rPr>
          <w:b w:val="0"/>
        </w:rPr>
        <w:t xml:space="preserve"> </w:t>
      </w:r>
    </w:p>
    <w:p w14:paraId="6CC852B8" w14:textId="77777777" w:rsidR="00B45FA2" w:rsidRPr="009A3F10" w:rsidRDefault="00B45FA2" w:rsidP="00925CAD">
      <w:pPr>
        <w:pStyle w:val="TableText"/>
        <w:numPr>
          <w:ilvl w:val="0"/>
          <w:numId w:val="42"/>
        </w:numPr>
        <w:rPr>
          <w:rFonts w:ascii="Times New Roman" w:hAnsi="Times New Roman"/>
          <w:spacing w:val="-5"/>
          <w:sz w:val="22"/>
          <w:szCs w:val="22"/>
        </w:rPr>
      </w:pPr>
      <w:r w:rsidRPr="009A3F10">
        <w:rPr>
          <w:rFonts w:ascii="Times New Roman" w:hAnsi="Times New Roman"/>
          <w:spacing w:val="-5"/>
          <w:sz w:val="22"/>
          <w:szCs w:val="22"/>
        </w:rPr>
        <w:t xml:space="preserve">VBECS does not accept inconclusive ABO/Rh test results.  </w:t>
      </w:r>
    </w:p>
    <w:p w14:paraId="5C1A40CC" w14:textId="77777777" w:rsidR="00B45FA2" w:rsidRPr="009A3F10" w:rsidRDefault="00E43DE4" w:rsidP="00925CAD">
      <w:pPr>
        <w:pStyle w:val="TableText"/>
        <w:numPr>
          <w:ilvl w:val="0"/>
          <w:numId w:val="42"/>
        </w:numPr>
        <w:rPr>
          <w:rFonts w:ascii="Times New Roman" w:hAnsi="Times New Roman"/>
          <w:spacing w:val="-5"/>
          <w:sz w:val="22"/>
          <w:szCs w:val="22"/>
        </w:rPr>
      </w:pPr>
      <w:r>
        <w:rPr>
          <w:rFonts w:ascii="Times New Roman" w:hAnsi="Times New Roman"/>
          <w:spacing w:val="-5"/>
          <w:sz w:val="22"/>
          <w:szCs w:val="22"/>
        </w:rPr>
        <w:t>Pooled</w:t>
      </w:r>
      <w:r w:rsidR="00B45FA2" w:rsidRPr="009A3F10">
        <w:rPr>
          <w:rFonts w:ascii="Times New Roman" w:hAnsi="Times New Roman"/>
          <w:spacing w:val="-5"/>
          <w:sz w:val="22"/>
          <w:szCs w:val="22"/>
        </w:rPr>
        <w:t xml:space="preserve"> Product Types labeled with an Rh type of “Pooled” is considered an Rh Positive unit which does not require confirmation testing.</w:t>
      </w:r>
    </w:p>
    <w:p w14:paraId="7634B7EF" w14:textId="77777777" w:rsidR="00B45FA2" w:rsidRDefault="00B45FA2" w:rsidP="00925CAD">
      <w:pPr>
        <w:pStyle w:val="TableText"/>
        <w:numPr>
          <w:ilvl w:val="0"/>
          <w:numId w:val="42"/>
        </w:numPr>
        <w:rPr>
          <w:rFonts w:ascii="Times New Roman" w:hAnsi="Times New Roman"/>
          <w:spacing w:val="-5"/>
          <w:sz w:val="22"/>
          <w:szCs w:val="22"/>
        </w:rPr>
      </w:pPr>
      <w:r w:rsidRPr="009A3F10">
        <w:rPr>
          <w:rFonts w:ascii="Times New Roman" w:hAnsi="Times New Roman"/>
          <w:spacing w:val="-5"/>
          <w:sz w:val="22"/>
          <w:szCs w:val="22"/>
        </w:rPr>
        <w:t>Pooled Product Types</w:t>
      </w:r>
      <w:r w:rsidRPr="009A3F10" w:rsidDel="00922FC4">
        <w:rPr>
          <w:rFonts w:ascii="Times New Roman" w:hAnsi="Times New Roman"/>
          <w:spacing w:val="-5"/>
          <w:sz w:val="22"/>
          <w:szCs w:val="22"/>
        </w:rPr>
        <w:t xml:space="preserve"> </w:t>
      </w:r>
      <w:r w:rsidRPr="009A3F10">
        <w:rPr>
          <w:rFonts w:ascii="Times New Roman" w:hAnsi="Times New Roman"/>
          <w:spacing w:val="-5"/>
          <w:sz w:val="22"/>
          <w:szCs w:val="22"/>
        </w:rPr>
        <w:t>that require confirmation, labeled with an ABO group of “Pooled” cannot be confirmed. A blood component unit received as “POOLED ABO” will have to be transfused using the Supervisory option, Document ABO Incompatible Transfusion.</w:t>
      </w:r>
    </w:p>
    <w:p w14:paraId="5F814641" w14:textId="77777777" w:rsidR="004926E0" w:rsidRPr="00DA27C7" w:rsidRDefault="00057948" w:rsidP="00925CAD">
      <w:pPr>
        <w:pStyle w:val="TableText"/>
        <w:numPr>
          <w:ilvl w:val="0"/>
          <w:numId w:val="42"/>
        </w:numPr>
        <w:rPr>
          <w:rFonts w:ascii="Times New Roman" w:hAnsi="Times New Roman"/>
          <w:spacing w:val="-5"/>
          <w:sz w:val="22"/>
          <w:szCs w:val="22"/>
        </w:rPr>
      </w:pPr>
      <w:r>
        <w:rPr>
          <w:noProof/>
        </w:rPr>
        <w:drawing>
          <wp:inline distT="0" distB="0" distL="0" distR="0" wp14:anchorId="14C72851" wp14:editId="05356340">
            <wp:extent cx="267970" cy="221615"/>
            <wp:effectExtent l="0" t="0" r="0" b="6985"/>
            <wp:docPr id="263" name="Picture 263" descr="Cau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Picture 263" descr="Caution icon"/>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67970" cy="221615"/>
                    </a:xfrm>
                    <a:prstGeom prst="rect">
                      <a:avLst/>
                    </a:prstGeom>
                    <a:noFill/>
                    <a:ln>
                      <a:noFill/>
                    </a:ln>
                  </pic:spPr>
                </pic:pic>
              </a:graphicData>
            </a:graphic>
          </wp:inline>
        </w:drawing>
      </w:r>
      <w:r w:rsidR="004926E0">
        <w:t xml:space="preserve"> </w:t>
      </w:r>
      <w:r w:rsidR="004926E0" w:rsidRPr="00D33B43">
        <w:rPr>
          <w:rFonts w:ascii="Times New Roman" w:hAnsi="Times New Roman"/>
          <w:spacing w:val="-5"/>
          <w:sz w:val="22"/>
          <w:szCs w:val="22"/>
        </w:rPr>
        <w:t>Users can select and assign multiple units with the same DIN and different product codes for crossmatch. Users can only process one DIN (e.g., W123400345345) on the Automated Instrument at a time. It is incumbent on the user to verify that the crossmatch result from the Automated Instrument matches the product code (e.g., E0134V00) associated with the patient in VBECS. To decrease the risk of a mislabeled unit at issue, local practice may want to have only one on the units selected in VBECS at a time when crossmatch testing is being performed on the automated instrument.</w:t>
      </w:r>
      <w:r w:rsidR="00A134D8">
        <w:rPr>
          <w:rFonts w:ascii="Times New Roman" w:hAnsi="Times New Roman"/>
          <w:spacing w:val="-5"/>
          <w:sz w:val="22"/>
          <w:szCs w:val="22"/>
        </w:rPr>
        <w:t xml:space="preserve"> </w:t>
      </w:r>
      <w:r w:rsidR="00A134D8" w:rsidRPr="005028F8">
        <w:rPr>
          <w:rFonts w:ascii="Times New Roman" w:hAnsi="Times New Roman"/>
          <w:vanish/>
          <w:spacing w:val="-5"/>
          <w:sz w:val="22"/>
          <w:szCs w:val="22"/>
        </w:rPr>
        <w:t>Defect 357490</w:t>
      </w:r>
    </w:p>
    <w:p w14:paraId="7D712452" w14:textId="77777777" w:rsidR="00D31EC9" w:rsidRPr="009A3F10" w:rsidRDefault="00D31EC9" w:rsidP="00925CAD">
      <w:pPr>
        <w:pStyle w:val="TableText"/>
        <w:numPr>
          <w:ilvl w:val="0"/>
          <w:numId w:val="42"/>
        </w:numPr>
        <w:rPr>
          <w:rFonts w:ascii="Times New Roman" w:hAnsi="Times New Roman"/>
          <w:spacing w:val="-5"/>
          <w:sz w:val="22"/>
          <w:szCs w:val="22"/>
        </w:rPr>
      </w:pPr>
      <w:r w:rsidRPr="00D31EC9">
        <w:rPr>
          <w:rFonts w:ascii="Times New Roman" w:hAnsi="Times New Roman"/>
          <w:spacing w:val="-5"/>
          <w:sz w:val="22"/>
          <w:szCs w:val="22"/>
        </w:rPr>
        <w:t>When a user chooses to reject a transmitted test, a comment is required. The comment is stored but is not available for review on a report at this time. It is recommended that the test is reviewed in the instrument and not sent to VBECS as a result for rejection.</w:t>
      </w:r>
      <w:r>
        <w:rPr>
          <w:rFonts w:ascii="Times New Roman" w:hAnsi="Times New Roman"/>
          <w:spacing w:val="-5"/>
          <w:sz w:val="22"/>
          <w:szCs w:val="22"/>
        </w:rPr>
        <w:t xml:space="preserve"> </w:t>
      </w:r>
      <w:r w:rsidRPr="005028F8">
        <w:rPr>
          <w:rFonts w:ascii="Times New Roman" w:hAnsi="Times New Roman"/>
          <w:vanish/>
          <w:spacing w:val="-5"/>
          <w:sz w:val="22"/>
          <w:szCs w:val="22"/>
        </w:rPr>
        <w:t>Defect 382981</w:t>
      </w:r>
    </w:p>
    <w:p w14:paraId="788B4F87" w14:textId="77777777" w:rsidR="00B45FA2" w:rsidRDefault="00B45FA2" w:rsidP="00B45FA2">
      <w:pPr>
        <w:pStyle w:val="Heading4"/>
      </w:pPr>
      <w:r>
        <w:t xml:space="preserve">Additional Information </w:t>
      </w:r>
    </w:p>
    <w:p w14:paraId="1376E40F" w14:textId="77777777" w:rsidR="00B45FA2" w:rsidRPr="002275D4" w:rsidRDefault="00B45FA2" w:rsidP="00925CAD">
      <w:pPr>
        <w:pStyle w:val="TableText"/>
        <w:numPr>
          <w:ilvl w:val="0"/>
          <w:numId w:val="42"/>
        </w:numPr>
        <w:rPr>
          <w:rFonts w:ascii="Times New Roman" w:hAnsi="Times New Roman"/>
          <w:spacing w:val="-5"/>
          <w:sz w:val="22"/>
          <w:szCs w:val="22"/>
        </w:rPr>
      </w:pPr>
      <w:r w:rsidRPr="006E44D8">
        <w:rPr>
          <w:rFonts w:ascii="Times New Roman" w:hAnsi="Times New Roman"/>
          <w:spacing w:val="-5"/>
          <w:sz w:val="22"/>
          <w:szCs w:val="22"/>
        </w:rPr>
        <w:t>When Workload is</w:t>
      </w:r>
      <w:r w:rsidR="00B80078">
        <w:rPr>
          <w:rFonts w:ascii="Times New Roman" w:hAnsi="Times New Roman"/>
          <w:spacing w:val="-5"/>
          <w:sz w:val="22"/>
          <w:szCs w:val="22"/>
        </w:rPr>
        <w:t xml:space="preserve"> not configured per </w:t>
      </w:r>
      <w:r w:rsidRPr="006E44D8">
        <w:rPr>
          <w:rFonts w:ascii="Times New Roman" w:hAnsi="Times New Roman"/>
          <w:spacing w:val="-5"/>
          <w:sz w:val="22"/>
          <w:szCs w:val="22"/>
        </w:rPr>
        <w:t>Workload Codes, then Workload cannot be collected.</w:t>
      </w:r>
    </w:p>
    <w:p w14:paraId="5317CA39" w14:textId="77777777" w:rsidR="00B45FA2" w:rsidRDefault="00B45FA2" w:rsidP="00B45FA2">
      <w:pPr>
        <w:pStyle w:val="Heading4"/>
        <w:rPr>
          <w:b w:val="0"/>
        </w:rPr>
      </w:pPr>
      <w:r>
        <w:t>User Roles with Access to This Option</w:t>
      </w:r>
      <w:r>
        <w:rPr>
          <w:b w:val="0"/>
        </w:rPr>
        <w:t xml:space="preserve"> </w:t>
      </w:r>
    </w:p>
    <w:p w14:paraId="52B5BE14" w14:textId="77777777" w:rsidR="00B45FA2" w:rsidRDefault="00B45FA2" w:rsidP="00B45FA2">
      <w:pPr>
        <w:pStyle w:val="Roles"/>
      </w:pPr>
      <w:r>
        <w:t>All users</w:t>
      </w:r>
    </w:p>
    <w:p w14:paraId="2149E926" w14:textId="77777777" w:rsidR="00B45FA2" w:rsidRPr="00311A54" w:rsidRDefault="009068D5" w:rsidP="00B45FA2">
      <w:pPr>
        <w:pStyle w:val="Heading4"/>
      </w:pPr>
      <w:r w:rsidRPr="00311A54">
        <w:lastRenderedPageBreak/>
        <w:t>Automated Testing Review</w:t>
      </w:r>
    </w:p>
    <w:p w14:paraId="2B820F27" w14:textId="77777777" w:rsidR="008F1BE0" w:rsidRDefault="00311A54" w:rsidP="00311A54">
      <w:pPr>
        <w:pStyle w:val="BodyText"/>
      </w:pPr>
      <w:r>
        <w:t xml:space="preserve">This </w:t>
      </w:r>
      <w:r w:rsidR="00640909">
        <w:t>feature</w:t>
      </w:r>
      <w:r>
        <w:t xml:space="preserve"> allows the interface of automated blood banking instruments with VBECS through Data Innovati</w:t>
      </w:r>
      <w:r w:rsidR="00640909">
        <w:t xml:space="preserve">ons Instrument Manager. It </w:t>
      </w:r>
      <w:r>
        <w:t>eliminate</w:t>
      </w:r>
      <w:r w:rsidR="00640909">
        <w:t>s</w:t>
      </w:r>
      <w:r>
        <w:t xml:space="preserve"> the potential for human error associated with the manual entry of results from an automated instrument into</w:t>
      </w:r>
      <w:r w:rsidR="00640909">
        <w:t xml:space="preserve"> VBECS. It also eliminates the</w:t>
      </w:r>
      <w:r>
        <w:t xml:space="preserve"> potential for transcription errors that can lead to a patient safety issue of ABO incompatible transfusion. In addition to safety, these enhancements will also reduce the time spent entering results manually</w:t>
      </w:r>
      <w:r w:rsidRPr="00311A54">
        <w: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B45FA2" w14:paraId="77780C2F" w14:textId="77777777" w:rsidTr="003F6E8A">
        <w:trPr>
          <w:cantSplit/>
          <w:tblHeader/>
        </w:trPr>
        <w:tc>
          <w:tcPr>
            <w:tcW w:w="3240" w:type="dxa"/>
            <w:shd w:val="pct30" w:color="auto" w:fill="FFFFFF"/>
            <w:vAlign w:val="bottom"/>
          </w:tcPr>
          <w:p w14:paraId="378C156C" w14:textId="77777777" w:rsidR="00B45FA2" w:rsidRDefault="00B45FA2" w:rsidP="003F6E8A">
            <w:pPr>
              <w:pStyle w:val="TableText"/>
              <w:rPr>
                <w:b/>
              </w:rPr>
            </w:pPr>
            <w:r>
              <w:rPr>
                <w:b/>
              </w:rPr>
              <w:t>User Action</w:t>
            </w:r>
          </w:p>
        </w:tc>
        <w:tc>
          <w:tcPr>
            <w:tcW w:w="6120" w:type="dxa"/>
            <w:shd w:val="pct30" w:color="auto" w:fill="FFFFFF"/>
            <w:vAlign w:val="bottom"/>
          </w:tcPr>
          <w:p w14:paraId="141EAA4D" w14:textId="77777777" w:rsidR="00B45FA2" w:rsidRDefault="00B45FA2" w:rsidP="003F6E8A">
            <w:pPr>
              <w:pStyle w:val="TableText"/>
              <w:rPr>
                <w:b/>
              </w:rPr>
            </w:pPr>
            <w:r>
              <w:rPr>
                <w:b/>
              </w:rPr>
              <w:t>VBECS</w:t>
            </w:r>
          </w:p>
        </w:tc>
      </w:tr>
      <w:tr w:rsidR="00B45FA2" w14:paraId="6BC96257" w14:textId="77777777" w:rsidTr="003F6E8A">
        <w:tc>
          <w:tcPr>
            <w:tcW w:w="3240" w:type="dxa"/>
          </w:tcPr>
          <w:p w14:paraId="53785A77" w14:textId="77777777" w:rsidR="00B45FA2" w:rsidRDefault="00141AB2" w:rsidP="00925CAD">
            <w:pPr>
              <w:pStyle w:val="TableTextNumbers"/>
              <w:numPr>
                <w:ilvl w:val="0"/>
                <w:numId w:val="46"/>
              </w:numPr>
            </w:pPr>
            <w:r>
              <w:t xml:space="preserve">User logs into VBECS and selects </w:t>
            </w:r>
            <w:r w:rsidRPr="00307125">
              <w:rPr>
                <w:b/>
              </w:rPr>
              <w:t xml:space="preserve">Blood Units, </w:t>
            </w:r>
            <w:r w:rsidR="00307125" w:rsidRPr="00307125">
              <w:rPr>
                <w:b/>
              </w:rPr>
              <w:t>Automated Testing</w:t>
            </w:r>
            <w:r w:rsidR="00307125">
              <w:t xml:space="preserve"> from the main menu.</w:t>
            </w:r>
          </w:p>
          <w:p w14:paraId="4B335694" w14:textId="77777777" w:rsidR="00307125" w:rsidRDefault="00307125" w:rsidP="00307125">
            <w:pPr>
              <w:pStyle w:val="TableTextNumbers"/>
              <w:numPr>
                <w:ilvl w:val="0"/>
                <w:numId w:val="0"/>
              </w:numPr>
              <w:ind w:left="288"/>
            </w:pPr>
          </w:p>
          <w:p w14:paraId="0B8D5352" w14:textId="77777777" w:rsidR="00307125" w:rsidRDefault="00307125" w:rsidP="00307125">
            <w:pPr>
              <w:pStyle w:val="TableTextNumbers"/>
              <w:numPr>
                <w:ilvl w:val="0"/>
                <w:numId w:val="0"/>
              </w:numPr>
              <w:ind w:left="288"/>
            </w:pPr>
            <w:r>
              <w:t>Or</w:t>
            </w:r>
          </w:p>
          <w:p w14:paraId="47C22550" w14:textId="77777777" w:rsidR="00307125" w:rsidRDefault="00307125" w:rsidP="00307125">
            <w:pPr>
              <w:pStyle w:val="TableTextNumbers"/>
              <w:numPr>
                <w:ilvl w:val="0"/>
                <w:numId w:val="0"/>
              </w:numPr>
              <w:ind w:left="288"/>
            </w:pPr>
          </w:p>
          <w:p w14:paraId="7E1E5490" w14:textId="301E26FF" w:rsidR="00307125" w:rsidRDefault="00307125" w:rsidP="00307125">
            <w:pPr>
              <w:pStyle w:val="TableTextNumbers"/>
              <w:numPr>
                <w:ilvl w:val="0"/>
                <w:numId w:val="0"/>
              </w:numPr>
              <w:ind w:left="288"/>
            </w:pPr>
            <w:r>
              <w:t xml:space="preserve">User logs into VBECS and clicks on the </w:t>
            </w:r>
            <w:r w:rsidRPr="00307125">
              <w:rPr>
                <w:b/>
              </w:rPr>
              <w:t>Automated Testing Toolbar Icon</w:t>
            </w:r>
            <w:r>
              <w:t xml:space="preserve"> (blood drop with </w:t>
            </w:r>
            <w:r w:rsidR="002E5AC8">
              <w:t>lightning</w:t>
            </w:r>
            <w:r>
              <w:t xml:space="preserve"> bolt).</w:t>
            </w:r>
          </w:p>
        </w:tc>
        <w:tc>
          <w:tcPr>
            <w:tcW w:w="6120" w:type="dxa"/>
          </w:tcPr>
          <w:p w14:paraId="6C9F04BB" w14:textId="77777777" w:rsidR="00DB1497" w:rsidRDefault="00D279DE" w:rsidP="00BA1FF8">
            <w:pPr>
              <w:pStyle w:val="TableTextBullet"/>
            </w:pPr>
            <w:r>
              <w:t>Displays</w:t>
            </w:r>
            <w:r w:rsidR="00307125">
              <w:t xml:space="preserve"> the Automated Testing – Pending Blood Units window.</w:t>
            </w:r>
          </w:p>
          <w:p w14:paraId="2B8573D8" w14:textId="77777777" w:rsidR="00307125" w:rsidRDefault="00307125" w:rsidP="00BA1FF8">
            <w:pPr>
              <w:pStyle w:val="TableTextBullet"/>
            </w:pPr>
            <w:r>
              <w:t>Displays message when no pending blood units were found to review.</w:t>
            </w:r>
          </w:p>
          <w:p w14:paraId="39B9ED53" w14:textId="77777777" w:rsidR="00425938" w:rsidRDefault="00425938" w:rsidP="00425938">
            <w:pPr>
              <w:pStyle w:val="TableTextBullet"/>
              <w:numPr>
                <w:ilvl w:val="0"/>
                <w:numId w:val="0"/>
              </w:numPr>
              <w:ind w:left="288" w:hanging="288"/>
            </w:pPr>
          </w:p>
          <w:p w14:paraId="2CD26A69" w14:textId="3A6BBB03" w:rsidR="00425938" w:rsidRDefault="00425938" w:rsidP="00425938">
            <w:pPr>
              <w:pStyle w:val="TableText"/>
              <w:rPr>
                <w:b/>
                <w:bCs/>
                <w:szCs w:val="18"/>
              </w:rPr>
            </w:pPr>
            <w:r>
              <w:rPr>
                <w:b/>
                <w:bCs/>
                <w:szCs w:val="18"/>
              </w:rPr>
              <w:t>NOTES</w:t>
            </w:r>
          </w:p>
          <w:p w14:paraId="1F490F25" w14:textId="77777777" w:rsidR="00425938" w:rsidRDefault="00425938" w:rsidP="00425938">
            <w:pPr>
              <w:pStyle w:val="TableTextBullet"/>
              <w:numPr>
                <w:ilvl w:val="0"/>
                <w:numId w:val="0"/>
              </w:numPr>
              <w:ind w:left="288" w:hanging="288"/>
            </w:pPr>
          </w:p>
          <w:p w14:paraId="50D6BF7A" w14:textId="77777777" w:rsidR="00425938" w:rsidRDefault="00425938" w:rsidP="00425938">
            <w:pPr>
              <w:pStyle w:val="TableText"/>
              <w:ind w:left="720"/>
            </w:pPr>
            <w:r w:rsidRPr="00425938">
              <w:rPr>
                <w:vanish/>
              </w:rPr>
              <w:t xml:space="preserve">BR_2.43 </w:t>
            </w:r>
            <w:r>
              <w:t>The functionality is not accessible if division is defined as a Transfusion Only facility.</w:t>
            </w:r>
          </w:p>
          <w:p w14:paraId="597C9EA2" w14:textId="77777777" w:rsidR="00425938" w:rsidRDefault="00425938" w:rsidP="00425938">
            <w:pPr>
              <w:pStyle w:val="TableText"/>
              <w:ind w:left="720"/>
            </w:pPr>
          </w:p>
          <w:p w14:paraId="1CDE9B99" w14:textId="77777777" w:rsidR="00425938" w:rsidRDefault="00425938" w:rsidP="00036095">
            <w:pPr>
              <w:pStyle w:val="TableText"/>
              <w:ind w:left="720"/>
            </w:pPr>
            <w:r w:rsidRPr="00425938">
              <w:rPr>
                <w:vanish/>
              </w:rPr>
              <w:t xml:space="preserve">BR_2.01 </w:t>
            </w:r>
            <w:r w:rsidRPr="00425938">
              <w:t>Only data within the user’s division can be accessed for any type of processing.</w:t>
            </w:r>
          </w:p>
          <w:p w14:paraId="230401E5" w14:textId="77777777" w:rsidR="00425938" w:rsidRPr="00BA1FF8" w:rsidRDefault="00425938" w:rsidP="00425938">
            <w:pPr>
              <w:pStyle w:val="TableText"/>
              <w:ind w:left="720"/>
            </w:pPr>
          </w:p>
        </w:tc>
      </w:tr>
      <w:tr w:rsidR="00B45FA2" w14:paraId="0BD3AC11" w14:textId="77777777" w:rsidTr="003F6E8A">
        <w:tc>
          <w:tcPr>
            <w:tcW w:w="3240" w:type="dxa"/>
          </w:tcPr>
          <w:p w14:paraId="27CE8DA1" w14:textId="76FC827E" w:rsidR="00665554" w:rsidRDefault="00665554" w:rsidP="003F6E8A">
            <w:pPr>
              <w:pStyle w:val="TableTextNumbers"/>
            </w:pPr>
            <w:r w:rsidRPr="00396B2B">
              <w:t>User selec</w:t>
            </w:r>
            <w:r>
              <w:t>ts from the testing tabs that are enabled on the Automated Testing – Pending Blood Units window</w:t>
            </w:r>
            <w:r w:rsidR="00937534">
              <w:t xml:space="preserve"> (</w:t>
            </w:r>
            <w:r w:rsidR="00EE455E">
              <w:t xml:space="preserve">Figure </w:t>
            </w:r>
            <w:r w:rsidR="00EE455E">
              <w:rPr>
                <w:noProof/>
              </w:rPr>
              <w:t>115</w:t>
            </w:r>
            <w:r w:rsidR="00937534">
              <w:t>)</w:t>
            </w:r>
            <w:r>
              <w:t>.</w:t>
            </w:r>
          </w:p>
          <w:p w14:paraId="3A1C343A" w14:textId="77777777" w:rsidR="00665554" w:rsidRDefault="00665554" w:rsidP="00665554">
            <w:pPr>
              <w:pStyle w:val="TableTextNumbers"/>
              <w:numPr>
                <w:ilvl w:val="0"/>
                <w:numId w:val="0"/>
              </w:numPr>
              <w:ind w:left="288"/>
            </w:pPr>
          </w:p>
          <w:p w14:paraId="670C6DA2" w14:textId="77777777" w:rsidR="00B45FA2" w:rsidRDefault="00602E53" w:rsidP="00665554">
            <w:pPr>
              <w:pStyle w:val="TableTextNumbers"/>
              <w:numPr>
                <w:ilvl w:val="0"/>
                <w:numId w:val="0"/>
              </w:numPr>
              <w:ind w:left="288"/>
            </w:pPr>
            <w:r>
              <w:rPr>
                <w:b/>
              </w:rPr>
              <w:t xml:space="preserve">Unit ABO-Rh </w:t>
            </w:r>
            <w:r w:rsidRPr="00602E53">
              <w:t>tab</w:t>
            </w:r>
          </w:p>
          <w:p w14:paraId="62D6D483" w14:textId="77777777" w:rsidR="00307125" w:rsidRDefault="00307125" w:rsidP="00307125">
            <w:pPr>
              <w:pStyle w:val="TableTextNumbers"/>
              <w:numPr>
                <w:ilvl w:val="0"/>
                <w:numId w:val="0"/>
              </w:numPr>
              <w:ind w:left="288"/>
            </w:pPr>
          </w:p>
          <w:p w14:paraId="66A39EAC" w14:textId="77777777" w:rsidR="00307125" w:rsidRDefault="00307125" w:rsidP="00307125">
            <w:pPr>
              <w:pStyle w:val="TableTextNumbers"/>
              <w:numPr>
                <w:ilvl w:val="0"/>
                <w:numId w:val="0"/>
              </w:numPr>
              <w:ind w:left="288"/>
            </w:pPr>
            <w:r w:rsidRPr="00307125">
              <w:rPr>
                <w:b/>
              </w:rPr>
              <w:t>Unit Antigen Typing</w:t>
            </w:r>
            <w:r w:rsidR="002615AD" w:rsidRPr="002615AD">
              <w:t xml:space="preserve"> tab.</w:t>
            </w:r>
          </w:p>
        </w:tc>
        <w:tc>
          <w:tcPr>
            <w:tcW w:w="6120" w:type="dxa"/>
          </w:tcPr>
          <w:p w14:paraId="2E0B1AB5" w14:textId="77777777" w:rsidR="00602E53" w:rsidRDefault="00D279DE" w:rsidP="00602E53">
            <w:pPr>
              <w:pStyle w:val="TableTextBullet"/>
            </w:pPr>
            <w:r>
              <w:t>D</w:t>
            </w:r>
            <w:r w:rsidR="00602E53">
              <w:t>etermines that all appropriate test results were entered for the blood unit. Row validation and test validation are completed.</w:t>
            </w:r>
          </w:p>
          <w:p w14:paraId="7B0C4CA5" w14:textId="77777777" w:rsidR="00DB1497" w:rsidRDefault="00DB1497" w:rsidP="00DB1497">
            <w:pPr>
              <w:pStyle w:val="TableTextBullet"/>
              <w:numPr>
                <w:ilvl w:val="0"/>
                <w:numId w:val="0"/>
              </w:numPr>
              <w:ind w:left="288" w:hanging="288"/>
            </w:pPr>
          </w:p>
          <w:p w14:paraId="21E54D4E" w14:textId="51F2285F" w:rsidR="00DB1497" w:rsidRDefault="00DB1497" w:rsidP="00DB1497">
            <w:pPr>
              <w:pStyle w:val="TableText"/>
              <w:rPr>
                <w:b/>
                <w:bCs/>
                <w:szCs w:val="18"/>
              </w:rPr>
            </w:pPr>
            <w:r>
              <w:rPr>
                <w:b/>
                <w:bCs/>
                <w:szCs w:val="18"/>
              </w:rPr>
              <w:t>NOTES</w:t>
            </w:r>
          </w:p>
          <w:p w14:paraId="74D36A72" w14:textId="77777777" w:rsidR="00DB1497" w:rsidRDefault="00DB1497" w:rsidP="00DB1497">
            <w:pPr>
              <w:pStyle w:val="NotesText"/>
            </w:pPr>
          </w:p>
          <w:p w14:paraId="6DA791B2" w14:textId="77777777" w:rsidR="00DB1497" w:rsidRDefault="00602E53" w:rsidP="00DB1497">
            <w:pPr>
              <w:pStyle w:val="TableText"/>
              <w:ind w:left="720"/>
            </w:pPr>
            <w:r w:rsidRPr="00602E53">
              <w:rPr>
                <w:vanish/>
              </w:rPr>
              <w:t xml:space="preserve">BR_115.09 </w:t>
            </w:r>
            <w:r>
              <w:t xml:space="preserve">The unit ID </w:t>
            </w:r>
            <w:r w:rsidRPr="00820C25">
              <w:t>and product code</w:t>
            </w:r>
            <w:r>
              <w:t xml:space="preserve"> are used to identify a specific unit from inventory. The pick list of Units for ABO/Rh or Antigen Typing will only display the product codes of units in an Active status and per the typing requirements.</w:t>
            </w:r>
          </w:p>
          <w:p w14:paraId="508D4449" w14:textId="77777777" w:rsidR="001F08A5" w:rsidRDefault="001F08A5" w:rsidP="00DB1497">
            <w:pPr>
              <w:pStyle w:val="TableText"/>
              <w:ind w:left="720"/>
            </w:pPr>
          </w:p>
          <w:p w14:paraId="568190A4" w14:textId="77777777" w:rsidR="00711E45" w:rsidRDefault="00711E45" w:rsidP="00711E45">
            <w:pPr>
              <w:pStyle w:val="TableText"/>
              <w:ind w:left="720"/>
              <w:rPr>
                <w:rFonts w:cs="Arial"/>
                <w:szCs w:val="18"/>
              </w:rPr>
            </w:pPr>
            <w:r w:rsidRPr="00711E45">
              <w:rPr>
                <w:rFonts w:cs="Arial"/>
                <w:vanish/>
                <w:szCs w:val="18"/>
              </w:rPr>
              <w:t xml:space="preserve">BR_115.10 </w:t>
            </w:r>
            <w:r w:rsidRPr="00E25BE5">
              <w:rPr>
                <w:rFonts w:cs="Arial"/>
                <w:szCs w:val="18"/>
              </w:rPr>
              <w:t xml:space="preserve">When </w:t>
            </w:r>
            <w:r>
              <w:rPr>
                <w:rFonts w:cs="Arial"/>
                <w:szCs w:val="18"/>
              </w:rPr>
              <w:t xml:space="preserve">a </w:t>
            </w:r>
            <w:r w:rsidRPr="00E25BE5">
              <w:rPr>
                <w:rFonts w:cs="Arial"/>
                <w:szCs w:val="18"/>
              </w:rPr>
              <w:t>weak D antigen typing test</w:t>
            </w:r>
            <w:r>
              <w:rPr>
                <w:rFonts w:cs="Arial"/>
                <w:szCs w:val="18"/>
              </w:rPr>
              <w:t xml:space="preserve"> is received on a blood unit that is Rh positive, the test is marked as in error (E) </w:t>
            </w:r>
            <w:r w:rsidRPr="00E25BE5">
              <w:rPr>
                <w:rFonts w:cs="Arial"/>
                <w:szCs w:val="18"/>
              </w:rPr>
              <w:t>the system provides a</w:t>
            </w:r>
            <w:r>
              <w:rPr>
                <w:rFonts w:cs="Arial"/>
                <w:szCs w:val="18"/>
              </w:rPr>
              <w:t xml:space="preserve"> w</w:t>
            </w:r>
            <w:r w:rsidRPr="00E25BE5">
              <w:rPr>
                <w:rFonts w:cs="Arial"/>
                <w:szCs w:val="18"/>
              </w:rPr>
              <w:t>arning message</w:t>
            </w:r>
            <w:r>
              <w:rPr>
                <w:rFonts w:cs="Arial"/>
                <w:szCs w:val="18"/>
              </w:rPr>
              <w:t>:</w:t>
            </w:r>
          </w:p>
          <w:p w14:paraId="4396C18A" w14:textId="77777777" w:rsidR="00711E45" w:rsidRDefault="00711E45" w:rsidP="00711E45">
            <w:pPr>
              <w:pStyle w:val="TableText"/>
              <w:ind w:left="720"/>
              <w:rPr>
                <w:rFonts w:cs="Arial"/>
                <w:szCs w:val="18"/>
              </w:rPr>
            </w:pPr>
          </w:p>
          <w:p w14:paraId="098B9C6F" w14:textId="77777777" w:rsidR="00711E45" w:rsidRDefault="00711E45" w:rsidP="00711E45">
            <w:pPr>
              <w:pStyle w:val="TableText"/>
              <w:ind w:left="720"/>
              <w:rPr>
                <w:rFonts w:cs="Arial"/>
                <w:szCs w:val="18"/>
              </w:rPr>
            </w:pPr>
            <w:r w:rsidRPr="00E25BE5">
              <w:rPr>
                <w:rFonts w:cs="Arial"/>
                <w:szCs w:val="18"/>
              </w:rPr>
              <w:t>“Cannot perform weak D testing on Rh positive unit.”</w:t>
            </w:r>
            <w:r>
              <w:rPr>
                <w:rFonts w:cs="Arial"/>
                <w:szCs w:val="18"/>
              </w:rPr>
              <w:t xml:space="preserve"> </w:t>
            </w:r>
          </w:p>
          <w:p w14:paraId="4BFD04DF" w14:textId="77777777" w:rsidR="00711E45" w:rsidRDefault="00711E45" w:rsidP="00711E45">
            <w:pPr>
              <w:pStyle w:val="TableText"/>
              <w:ind w:left="720"/>
              <w:rPr>
                <w:rFonts w:cs="Arial"/>
                <w:szCs w:val="18"/>
              </w:rPr>
            </w:pPr>
          </w:p>
          <w:p w14:paraId="44B0C1D8" w14:textId="77777777" w:rsidR="00711E45" w:rsidRDefault="00711E45" w:rsidP="00711E45">
            <w:pPr>
              <w:pStyle w:val="TableText"/>
              <w:ind w:left="720"/>
              <w:rPr>
                <w:rFonts w:cs="Arial"/>
                <w:szCs w:val="18"/>
              </w:rPr>
            </w:pPr>
            <w:r>
              <w:rPr>
                <w:rFonts w:cs="Arial"/>
                <w:szCs w:val="18"/>
              </w:rPr>
              <w:t>The test cannot be saved in VBECS and must be rejected.</w:t>
            </w:r>
          </w:p>
          <w:p w14:paraId="4C094559" w14:textId="77777777" w:rsidR="00711E45" w:rsidRDefault="00711E45" w:rsidP="00DB1497">
            <w:pPr>
              <w:pStyle w:val="TableText"/>
              <w:ind w:left="720"/>
            </w:pPr>
          </w:p>
          <w:p w14:paraId="1AB644EC" w14:textId="77777777" w:rsidR="00602E53" w:rsidRDefault="00602E53" w:rsidP="00602E53">
            <w:pPr>
              <w:pStyle w:val="TableText"/>
              <w:ind w:left="720"/>
            </w:pPr>
            <w:r w:rsidRPr="00602E53">
              <w:rPr>
                <w:vanish/>
              </w:rPr>
              <w:t xml:space="preserve">BR_115.11 </w:t>
            </w:r>
            <w:r>
              <w:t>The list view of test results on the Blood Unit windows is sortable by unit ID or date/time of test completion.</w:t>
            </w:r>
          </w:p>
          <w:p w14:paraId="5D7EC030" w14:textId="77777777" w:rsidR="00602E53" w:rsidRDefault="00602E53" w:rsidP="00602E53">
            <w:pPr>
              <w:pStyle w:val="TableText"/>
              <w:ind w:left="720"/>
            </w:pPr>
            <w:r>
              <w:t>Default sort order is on unit ID.</w:t>
            </w:r>
          </w:p>
          <w:p w14:paraId="629FE2F4" w14:textId="77777777" w:rsidR="00602E53" w:rsidRDefault="00602E53" w:rsidP="00602E53">
            <w:pPr>
              <w:pStyle w:val="TableText"/>
              <w:ind w:left="720"/>
            </w:pPr>
          </w:p>
          <w:p w14:paraId="2AD28B99" w14:textId="77777777" w:rsidR="00602E53" w:rsidRDefault="00602E53" w:rsidP="00602E53">
            <w:pPr>
              <w:pStyle w:val="TableText"/>
              <w:ind w:left="720"/>
            </w:pPr>
            <w:r w:rsidRPr="00602E53">
              <w:rPr>
                <w:vanish/>
              </w:rPr>
              <w:t xml:space="preserve">BR_115.16 </w:t>
            </w:r>
            <w:r>
              <w:t xml:space="preserve">When testing is received for an inactivated unit or unit in final status, the system provides a warning message: “Cannot perform testing on an inactivated unit or a unit in final status.” </w:t>
            </w:r>
            <w:r w:rsidRPr="00602E53">
              <w:t>The test cannot be saved in VBECS and must be rejected.</w:t>
            </w:r>
          </w:p>
          <w:p w14:paraId="6A424811" w14:textId="77777777" w:rsidR="00D0496E" w:rsidRPr="00602E53" w:rsidRDefault="00D0496E" w:rsidP="004A39DB">
            <w:pPr>
              <w:pStyle w:val="TableText"/>
            </w:pPr>
          </w:p>
        </w:tc>
      </w:tr>
      <w:tr w:rsidR="00B45FA2" w14:paraId="28CE06A6" w14:textId="77777777" w:rsidTr="003F6E8A">
        <w:tc>
          <w:tcPr>
            <w:tcW w:w="3240" w:type="dxa"/>
          </w:tcPr>
          <w:p w14:paraId="527CAD44" w14:textId="77777777" w:rsidR="00B45FA2" w:rsidRDefault="00602E53" w:rsidP="00665554">
            <w:pPr>
              <w:pStyle w:val="TableTextNumbers"/>
            </w:pPr>
            <w:r>
              <w:rPr>
                <w:rFonts w:cs="Arial"/>
                <w:szCs w:val="18"/>
              </w:rPr>
              <w:t xml:space="preserve">User selects a </w:t>
            </w:r>
            <w:r w:rsidR="00665554">
              <w:rPr>
                <w:rFonts w:cs="Arial"/>
                <w:szCs w:val="18"/>
              </w:rPr>
              <w:t xml:space="preserve">unit </w:t>
            </w:r>
            <w:r>
              <w:rPr>
                <w:rFonts w:cs="Arial"/>
                <w:szCs w:val="18"/>
              </w:rPr>
              <w:t>for review</w:t>
            </w:r>
            <w:r w:rsidR="00C95ED8">
              <w:rPr>
                <w:rFonts w:cs="Arial"/>
                <w:szCs w:val="18"/>
              </w:rPr>
              <w:t xml:space="preserve"> by clicking the check box next to a unit</w:t>
            </w:r>
            <w:r>
              <w:rPr>
                <w:rFonts w:cs="Arial"/>
                <w:szCs w:val="18"/>
              </w:rPr>
              <w:t>.</w:t>
            </w:r>
          </w:p>
        </w:tc>
        <w:tc>
          <w:tcPr>
            <w:tcW w:w="6120" w:type="dxa"/>
          </w:tcPr>
          <w:p w14:paraId="140FE02C" w14:textId="77777777" w:rsidR="00B45FA2" w:rsidRDefault="00B45FA2" w:rsidP="003F6E8A">
            <w:pPr>
              <w:pStyle w:val="TableTextBullet"/>
            </w:pPr>
            <w:r>
              <w:rPr>
                <w:rFonts w:cs="Arial"/>
                <w:vanish/>
              </w:rPr>
              <w:t xml:space="preserve">BR_85.02 </w:t>
            </w:r>
            <w:r w:rsidR="00D279DE">
              <w:t>Al</w:t>
            </w:r>
            <w:r w:rsidR="00602E53">
              <w:t>lows selection of</w:t>
            </w:r>
            <w:r w:rsidR="00D85353">
              <w:t xml:space="preserve"> blood unit test results</w:t>
            </w:r>
            <w:r>
              <w:t>.</w:t>
            </w:r>
          </w:p>
          <w:p w14:paraId="4017C2FD" w14:textId="77777777" w:rsidR="00D85353" w:rsidRDefault="00D85353" w:rsidP="00DB1497">
            <w:pPr>
              <w:pStyle w:val="TableTextBullet"/>
              <w:numPr>
                <w:ilvl w:val="0"/>
                <w:numId w:val="0"/>
              </w:numPr>
              <w:ind w:left="288" w:hanging="288"/>
            </w:pPr>
          </w:p>
          <w:p w14:paraId="6AA036EE" w14:textId="5203ACE3" w:rsidR="00DB1497" w:rsidRDefault="00DB1497" w:rsidP="00DB1497">
            <w:pPr>
              <w:pStyle w:val="TableText"/>
              <w:rPr>
                <w:b/>
                <w:bCs/>
                <w:szCs w:val="18"/>
              </w:rPr>
            </w:pPr>
            <w:r>
              <w:rPr>
                <w:b/>
                <w:bCs/>
                <w:szCs w:val="18"/>
              </w:rPr>
              <w:t>NOTES</w:t>
            </w:r>
          </w:p>
          <w:p w14:paraId="1F682C31" w14:textId="77777777" w:rsidR="00DB1497" w:rsidRDefault="00DB1497" w:rsidP="00DB1497">
            <w:pPr>
              <w:pStyle w:val="NotesText"/>
            </w:pPr>
          </w:p>
          <w:p w14:paraId="7A742492" w14:textId="77777777" w:rsidR="00DB1497" w:rsidRDefault="00D85353" w:rsidP="00DB1497">
            <w:pPr>
              <w:pStyle w:val="TableText"/>
              <w:ind w:left="720"/>
            </w:pPr>
            <w:r w:rsidRPr="00D85353">
              <w:rPr>
                <w:vanish/>
              </w:rPr>
              <w:t xml:space="preserve">BR_115.13 </w:t>
            </w:r>
            <w:r>
              <w:t>Selection of multiple tests with a Valid indicator is permitted.</w:t>
            </w:r>
          </w:p>
          <w:p w14:paraId="54ABEDE6" w14:textId="77777777" w:rsidR="00D85353" w:rsidRDefault="00D85353" w:rsidP="00DB1497">
            <w:pPr>
              <w:pStyle w:val="TableText"/>
              <w:ind w:left="720"/>
            </w:pPr>
          </w:p>
          <w:p w14:paraId="62D269F1" w14:textId="77777777" w:rsidR="004A39DB" w:rsidRDefault="004A39DB" w:rsidP="00DB1497">
            <w:pPr>
              <w:pStyle w:val="TableText"/>
              <w:ind w:left="720"/>
            </w:pPr>
            <w:r w:rsidRPr="00D85353">
              <w:rPr>
                <w:vanish/>
              </w:rPr>
              <w:t xml:space="preserve">BR_115.25 </w:t>
            </w:r>
            <w:r>
              <w:t xml:space="preserve">Tests with a </w:t>
            </w:r>
            <w:r>
              <w:rPr>
                <w:rFonts w:cs="Arial"/>
              </w:rPr>
              <w:t>Warning or Error indicator can only be selected and processed one at a time (no batch selection).</w:t>
            </w:r>
          </w:p>
          <w:p w14:paraId="3D373724" w14:textId="77777777" w:rsidR="004A39DB" w:rsidRDefault="004A39DB" w:rsidP="00DB1497">
            <w:pPr>
              <w:pStyle w:val="TableText"/>
              <w:ind w:left="720"/>
            </w:pPr>
          </w:p>
          <w:p w14:paraId="0A4B2BD6" w14:textId="77777777" w:rsidR="00711E45" w:rsidRDefault="00711E45" w:rsidP="00711E45">
            <w:pPr>
              <w:pStyle w:val="TableText"/>
              <w:ind w:left="720"/>
            </w:pPr>
            <w:r w:rsidRPr="00B30800">
              <w:rPr>
                <w:vanish/>
              </w:rPr>
              <w:t xml:space="preserve">BR_115.32 </w:t>
            </w:r>
            <w:r>
              <w:t xml:space="preserve">If the unit id transferred from the instrument does not uniquely identify the unit In VBECS, then the system will prompt the user </w:t>
            </w:r>
            <w:r>
              <w:lastRenderedPageBreak/>
              <w:t>to select the correct product code for the unit available in VBECS.</w:t>
            </w:r>
          </w:p>
          <w:p w14:paraId="00DD565C" w14:textId="77777777" w:rsidR="00711E45" w:rsidRDefault="00711E45" w:rsidP="00711E45">
            <w:pPr>
              <w:pStyle w:val="TableText"/>
              <w:ind w:left="720"/>
            </w:pPr>
          </w:p>
          <w:p w14:paraId="4646C1F1" w14:textId="77777777" w:rsidR="00D85353" w:rsidRDefault="00D85353" w:rsidP="00D85353">
            <w:pPr>
              <w:pStyle w:val="TableText"/>
              <w:ind w:left="720"/>
            </w:pPr>
            <w:r>
              <w:t>Selection of blood products is based on product codes that require ABO/Rh confirmation.</w:t>
            </w:r>
          </w:p>
          <w:p w14:paraId="238B0F13" w14:textId="77777777" w:rsidR="00D85353" w:rsidRDefault="00D85353" w:rsidP="004A39DB">
            <w:pPr>
              <w:pStyle w:val="TableText"/>
            </w:pPr>
          </w:p>
        </w:tc>
      </w:tr>
      <w:tr w:rsidR="00B45FA2" w14:paraId="714BED40" w14:textId="77777777" w:rsidTr="003F6E8A">
        <w:tc>
          <w:tcPr>
            <w:tcW w:w="3240" w:type="dxa"/>
          </w:tcPr>
          <w:p w14:paraId="02E1D15F" w14:textId="77777777" w:rsidR="00665554" w:rsidRPr="00665554" w:rsidRDefault="00665554" w:rsidP="00665554">
            <w:pPr>
              <w:pStyle w:val="TableTextNumbers"/>
            </w:pPr>
            <w:r>
              <w:rPr>
                <w:rFonts w:cs="Arial"/>
                <w:szCs w:val="18"/>
              </w:rPr>
              <w:lastRenderedPageBreak/>
              <w:t xml:space="preserve">User </w:t>
            </w:r>
            <w:r w:rsidRPr="00665554">
              <w:rPr>
                <w:rFonts w:cs="Arial"/>
                <w:b/>
                <w:szCs w:val="18"/>
              </w:rPr>
              <w:t>Accepts</w:t>
            </w:r>
            <w:r>
              <w:rPr>
                <w:rFonts w:cs="Arial"/>
                <w:szCs w:val="18"/>
              </w:rPr>
              <w:t xml:space="preserve"> or </w:t>
            </w:r>
            <w:r w:rsidRPr="00665554">
              <w:rPr>
                <w:rFonts w:cs="Arial"/>
                <w:b/>
                <w:szCs w:val="18"/>
              </w:rPr>
              <w:t>R</w:t>
            </w:r>
            <w:r w:rsidR="00D85353" w:rsidRPr="00665554">
              <w:rPr>
                <w:rFonts w:cs="Arial"/>
                <w:b/>
                <w:szCs w:val="18"/>
              </w:rPr>
              <w:t>ejects</w:t>
            </w:r>
            <w:r w:rsidR="00D85353" w:rsidRPr="00F130A1">
              <w:rPr>
                <w:rFonts w:cs="Arial"/>
                <w:szCs w:val="18"/>
              </w:rPr>
              <w:t xml:space="preserve"> the selected unit test</w:t>
            </w:r>
            <w:r>
              <w:rPr>
                <w:rFonts w:cs="Arial"/>
                <w:szCs w:val="18"/>
              </w:rPr>
              <w:t xml:space="preserve"> results</w:t>
            </w:r>
            <w:r w:rsidR="00D85353" w:rsidRPr="00F130A1">
              <w:rPr>
                <w:rFonts w:cs="Arial"/>
                <w:szCs w:val="18"/>
              </w:rPr>
              <w:t>.</w:t>
            </w:r>
          </w:p>
          <w:p w14:paraId="2C29CC6E" w14:textId="77777777" w:rsidR="00665554" w:rsidRDefault="00665554" w:rsidP="00665554">
            <w:pPr>
              <w:pStyle w:val="TableTextNumbers"/>
              <w:numPr>
                <w:ilvl w:val="0"/>
                <w:numId w:val="0"/>
              </w:numPr>
              <w:ind w:left="288" w:hanging="288"/>
            </w:pPr>
          </w:p>
        </w:tc>
        <w:tc>
          <w:tcPr>
            <w:tcW w:w="6120" w:type="dxa"/>
          </w:tcPr>
          <w:p w14:paraId="5A94642A" w14:textId="77777777" w:rsidR="00B45FA2" w:rsidRPr="00004A4C" w:rsidRDefault="00B45FA2" w:rsidP="00D85353">
            <w:pPr>
              <w:pStyle w:val="TableTextBullet"/>
            </w:pPr>
            <w:r>
              <w:rPr>
                <w:rFonts w:cs="Arial"/>
                <w:vanish/>
              </w:rPr>
              <w:t xml:space="preserve">BR_74.01 </w:t>
            </w:r>
            <w:r w:rsidR="00D279DE">
              <w:t>P</w:t>
            </w:r>
            <w:r w:rsidR="00D85353">
              <w:t>rocesses any applicable overrides.</w:t>
            </w:r>
          </w:p>
          <w:p w14:paraId="09D385B0" w14:textId="77777777" w:rsidR="00004A4C" w:rsidRDefault="00004A4C" w:rsidP="00004A4C">
            <w:pPr>
              <w:pStyle w:val="TableText"/>
            </w:pPr>
          </w:p>
          <w:p w14:paraId="12BC7008" w14:textId="720C5B46" w:rsidR="00004A4C" w:rsidRDefault="00004A4C" w:rsidP="00004A4C">
            <w:pPr>
              <w:pStyle w:val="TableText"/>
              <w:rPr>
                <w:b/>
                <w:bCs/>
                <w:szCs w:val="18"/>
              </w:rPr>
            </w:pPr>
            <w:r>
              <w:rPr>
                <w:b/>
                <w:bCs/>
                <w:szCs w:val="18"/>
              </w:rPr>
              <w:t>NOTES</w:t>
            </w:r>
          </w:p>
          <w:p w14:paraId="62229422" w14:textId="77777777" w:rsidR="00004A4C" w:rsidRDefault="00004A4C" w:rsidP="00004A4C">
            <w:pPr>
              <w:pStyle w:val="NotesText"/>
            </w:pPr>
          </w:p>
          <w:p w14:paraId="6399C327" w14:textId="77777777" w:rsidR="00665554" w:rsidRPr="00920163" w:rsidRDefault="00665554" w:rsidP="00665554">
            <w:pPr>
              <w:pStyle w:val="TableText"/>
              <w:ind w:left="720"/>
              <w:rPr>
                <w:rFonts w:eastAsia="Calibri"/>
                <w:szCs w:val="18"/>
              </w:rPr>
            </w:pPr>
            <w:r>
              <w:rPr>
                <w:vanish/>
              </w:rPr>
              <w:t xml:space="preserve">BR_115.05 </w:t>
            </w:r>
            <w:r>
              <w:t xml:space="preserve">When the test is rejected, the system will: </w:t>
            </w:r>
          </w:p>
          <w:p w14:paraId="1CE0911A" w14:textId="77777777" w:rsidR="00665554" w:rsidRPr="00064B9D" w:rsidRDefault="00665554" w:rsidP="00925CAD">
            <w:pPr>
              <w:pStyle w:val="TableText"/>
              <w:numPr>
                <w:ilvl w:val="0"/>
                <w:numId w:val="49"/>
              </w:numPr>
              <w:ind w:left="1080"/>
              <w:rPr>
                <w:sz w:val="20"/>
              </w:rPr>
            </w:pPr>
            <w:r>
              <w:t>Prompt user to confirm they want to reject.</w:t>
            </w:r>
          </w:p>
          <w:p w14:paraId="6E2B556E" w14:textId="77777777" w:rsidR="00064B9D" w:rsidRDefault="00064B9D" w:rsidP="00925CAD">
            <w:pPr>
              <w:pStyle w:val="TableText"/>
              <w:numPr>
                <w:ilvl w:val="0"/>
                <w:numId w:val="49"/>
              </w:numPr>
              <w:ind w:left="1080"/>
              <w:rPr>
                <w:sz w:val="20"/>
              </w:rPr>
            </w:pPr>
            <w:r>
              <w:t>Prompt user to enter a comment reason for rejection.</w:t>
            </w:r>
            <w:r w:rsidR="00987559">
              <w:t xml:space="preserve"> </w:t>
            </w:r>
            <w:r w:rsidR="00987559" w:rsidRPr="00987559">
              <w:rPr>
                <w:vanish/>
              </w:rPr>
              <w:t>Defect 357490</w:t>
            </w:r>
          </w:p>
          <w:p w14:paraId="0F7945A4" w14:textId="77777777" w:rsidR="00665554" w:rsidRDefault="00665554" w:rsidP="00925CAD">
            <w:pPr>
              <w:pStyle w:val="TableText"/>
              <w:numPr>
                <w:ilvl w:val="0"/>
                <w:numId w:val="49"/>
              </w:numPr>
              <w:ind w:left="1080"/>
            </w:pPr>
            <w:r>
              <w:t>Remove the test from the list for acceptance.</w:t>
            </w:r>
          </w:p>
          <w:p w14:paraId="3A714E9D" w14:textId="77777777" w:rsidR="00665554" w:rsidRDefault="00665554" w:rsidP="00925CAD">
            <w:pPr>
              <w:pStyle w:val="TableText"/>
              <w:numPr>
                <w:ilvl w:val="0"/>
                <w:numId w:val="49"/>
              </w:numPr>
              <w:ind w:left="1080"/>
            </w:pPr>
            <w:r>
              <w:t>No rejection message is sent to the instrument.</w:t>
            </w:r>
          </w:p>
          <w:p w14:paraId="27E1B30E" w14:textId="77777777" w:rsidR="00665554" w:rsidRDefault="00665554" w:rsidP="00925CAD">
            <w:pPr>
              <w:pStyle w:val="TableText"/>
              <w:numPr>
                <w:ilvl w:val="0"/>
                <w:numId w:val="49"/>
              </w:numPr>
              <w:ind w:left="1080"/>
            </w:pPr>
            <w:r>
              <w:t>The Diagnostic test returns to the previous status and ready for testing.</w:t>
            </w:r>
          </w:p>
          <w:p w14:paraId="189EE7A5" w14:textId="77777777" w:rsidR="00064B9D" w:rsidRDefault="00064B9D" w:rsidP="00064B9D">
            <w:pPr>
              <w:pStyle w:val="TableText"/>
              <w:ind w:left="1080"/>
            </w:pPr>
          </w:p>
          <w:p w14:paraId="23296A54" w14:textId="77777777" w:rsidR="00665554" w:rsidRDefault="00665554" w:rsidP="004A39DB">
            <w:pPr>
              <w:pStyle w:val="TableText"/>
              <w:ind w:left="720"/>
            </w:pPr>
          </w:p>
          <w:p w14:paraId="06E0D3A3" w14:textId="77777777" w:rsidR="006020B2" w:rsidRDefault="006020B2" w:rsidP="004A39DB">
            <w:pPr>
              <w:pStyle w:val="TableText"/>
              <w:ind w:left="720"/>
              <w:rPr>
                <w:vanish/>
              </w:rPr>
            </w:pPr>
          </w:p>
          <w:p w14:paraId="7A23D3C0" w14:textId="40494893" w:rsidR="00004A4C" w:rsidRDefault="00D0496E" w:rsidP="004A39DB">
            <w:pPr>
              <w:pStyle w:val="TableText"/>
              <w:ind w:left="720"/>
            </w:pPr>
            <w:r w:rsidRPr="00D0496E">
              <w:rPr>
                <w:vanish/>
              </w:rPr>
              <w:t xml:space="preserve">BR_2.21 </w:t>
            </w:r>
            <w:r>
              <w:t>When an interpretation of “Inconclusive” is verified for either the ABO or Rh interpretation, the unit is given an indicator of “Quarantine” and the details of the testing are captured for inclusion in an exception report. The system provides an audible alert.</w:t>
            </w:r>
          </w:p>
          <w:p w14:paraId="4B7F6E27" w14:textId="77777777" w:rsidR="00D0496E" w:rsidRDefault="00D0496E" w:rsidP="004A39DB">
            <w:pPr>
              <w:pStyle w:val="TableText"/>
              <w:ind w:left="720"/>
              <w:rPr>
                <w:noProof/>
                <w:color w:val="000000"/>
              </w:rPr>
            </w:pPr>
          </w:p>
          <w:p w14:paraId="72B19C51" w14:textId="77777777" w:rsidR="00D0496E" w:rsidRDefault="004A39DB" w:rsidP="004A39DB">
            <w:pPr>
              <w:pStyle w:val="TableText"/>
              <w:ind w:left="720"/>
              <w:rPr>
                <w:noProof/>
              </w:rPr>
            </w:pPr>
            <w:r>
              <w:rPr>
                <w:vanish/>
              </w:rPr>
              <w:t>BR_2.1</w:t>
            </w:r>
            <w:r w:rsidR="00DC7696" w:rsidRPr="00DC7696">
              <w:rPr>
                <w:vanish/>
              </w:rPr>
              <w:t xml:space="preserve">7 </w:t>
            </w:r>
            <w:r w:rsidR="00D0496E">
              <w:t xml:space="preserve">The system provides an audible alert and a warning message requiring override is generated if the ABO and/or Rh confirmation interpretation does not match the ABO and/or Rh of the unit at initial login. Upon user confirmation of the discrepancy (override), inventory units whose ABO/Rh confirmation does not match the ABO/Rh at login are given an indicator of “Quarantine” and the details of the transaction are captured for inclusion in an exception report. </w:t>
            </w:r>
          </w:p>
          <w:p w14:paraId="22C6BA93" w14:textId="77777777" w:rsidR="00F130A1" w:rsidRDefault="00F130A1" w:rsidP="004A39DB">
            <w:pPr>
              <w:pStyle w:val="StyleTableText9ptChar"/>
              <w:ind w:left="720"/>
            </w:pPr>
          </w:p>
          <w:p w14:paraId="3CF069A7" w14:textId="77777777" w:rsidR="00F130A1" w:rsidRDefault="00F130A1" w:rsidP="00F130A1">
            <w:pPr>
              <w:pStyle w:val="TableText"/>
              <w:ind w:left="720"/>
            </w:pPr>
            <w:r w:rsidRPr="00F130A1">
              <w:rPr>
                <w:vanish/>
              </w:rPr>
              <w:t xml:space="preserve">BR_2.18 </w:t>
            </w:r>
            <w:r>
              <w:t>The system displays all data input during the session and accommodates editing prior to the user electing to update the database. The system will warn the user that if he chooses to cancel using the cancel or “X” button</w:t>
            </w:r>
            <w:r w:rsidR="008A7BDA">
              <w:t xml:space="preserve"> or by leaving/refreshing the current page</w:t>
            </w:r>
            <w:r>
              <w:t>, the system will not save any data changes entered during the session.</w:t>
            </w:r>
          </w:p>
          <w:p w14:paraId="6E11F3BF" w14:textId="77777777" w:rsidR="00F130A1" w:rsidRDefault="00F130A1" w:rsidP="00F130A1">
            <w:pPr>
              <w:pStyle w:val="TableText"/>
              <w:ind w:left="720"/>
              <w:rPr>
                <w:noProof/>
                <w:color w:val="000000"/>
              </w:rPr>
            </w:pPr>
          </w:p>
          <w:p w14:paraId="41C0DC8D" w14:textId="77777777" w:rsidR="00F130A1" w:rsidRDefault="00F130A1" w:rsidP="00F130A1">
            <w:pPr>
              <w:pStyle w:val="TableText"/>
              <w:ind w:left="720"/>
            </w:pPr>
            <w:r w:rsidRPr="00F130A1">
              <w:rPr>
                <w:vanish/>
              </w:rPr>
              <w:t xml:space="preserve">BR_27.15 </w:t>
            </w:r>
            <w:r>
              <w:t>The u</w:t>
            </w:r>
            <w:r w:rsidRPr="00C441A9">
              <w:t>nit has had a quarantine indicator assigne</w:t>
            </w:r>
            <w:r>
              <w:t>d. T</w:t>
            </w:r>
            <w:r w:rsidRPr="00C441A9">
              <w:t>he system will release any patient assignment. Any patient restriction associated with the unit remains intact</w:t>
            </w:r>
            <w:r w:rsidR="006020B2">
              <w:t xml:space="preserve"> (e.g., Directed or Autologous)</w:t>
            </w:r>
            <w:r w:rsidRPr="00C441A9">
              <w:t>.</w:t>
            </w:r>
          </w:p>
          <w:p w14:paraId="1ED9D1EF" w14:textId="77777777" w:rsidR="00F130A1" w:rsidRDefault="00F130A1" w:rsidP="00F130A1">
            <w:pPr>
              <w:pStyle w:val="TableText"/>
              <w:ind w:left="720"/>
              <w:rPr>
                <w:noProof/>
                <w:color w:val="000000"/>
              </w:rPr>
            </w:pPr>
          </w:p>
          <w:p w14:paraId="255786F5" w14:textId="77777777" w:rsidR="00711E45" w:rsidRDefault="00711E45" w:rsidP="00711E45">
            <w:pPr>
              <w:pStyle w:val="TableText"/>
              <w:ind w:left="720"/>
            </w:pPr>
            <w:r w:rsidRPr="00DC7696">
              <w:rPr>
                <w:vanish/>
              </w:rPr>
              <w:t xml:space="preserve">BR_41.12 </w:t>
            </w:r>
            <w:r w:rsidRPr="00702789">
              <w:t xml:space="preserve">The system compares the antigen typing interpretation entered by the technologist to any previously assigned antigen typing for the same antigen (Incoming Shipment, Edit Unit Information, or antigen typing test </w:t>
            </w:r>
            <w:r w:rsidRPr="00DC7696">
              <w:t>other than weak D</w:t>
            </w:r>
            <w:r w:rsidRPr="00702789">
              <w:t>). If the current interpretation does not match the previously identified antigen type, the system displays a warning mes</w:t>
            </w:r>
            <w:r>
              <w:t xml:space="preserve">sage and quarantines the unit: </w:t>
            </w:r>
            <w:r w:rsidRPr="00702789">
              <w:t>Current antigen type does not match previously recorded antigen type (login, update, or test). This must be resolved before this unit can be used. Unit has been quarantined.</w:t>
            </w:r>
          </w:p>
          <w:p w14:paraId="29E12345" w14:textId="77777777" w:rsidR="00711E45" w:rsidRDefault="00711E45" w:rsidP="00711E45">
            <w:pPr>
              <w:pStyle w:val="TableText"/>
              <w:ind w:left="720"/>
            </w:pPr>
          </w:p>
          <w:p w14:paraId="3D12E5BC" w14:textId="77777777" w:rsidR="00711E45" w:rsidRPr="00DC7696" w:rsidRDefault="00711E45" w:rsidP="00711E45">
            <w:pPr>
              <w:pStyle w:val="TableText"/>
              <w:ind w:left="720"/>
            </w:pPr>
            <w:r w:rsidRPr="00DC7696">
              <w:rPr>
                <w:rFonts w:cs="Arial"/>
                <w:vanish/>
              </w:rPr>
              <w:t xml:space="preserve">BR_41.22 </w:t>
            </w:r>
            <w:r w:rsidRPr="00183123">
              <w:rPr>
                <w:rFonts w:cs="Arial"/>
              </w:rPr>
              <w:t xml:space="preserve">When a weak D interpretation is positive or inconclusive and is verified for a tested blood unit that was labeled as (Rh) D negative, display a warning message and add the quarantine indicator to the unit: "Unit is weak D positive or inconclusive: unit </w:t>
            </w:r>
            <w:r>
              <w:rPr>
                <w:rFonts w:cs="Arial"/>
              </w:rPr>
              <w:t>will be</w:t>
            </w:r>
            <w:r w:rsidRPr="00183123">
              <w:rPr>
                <w:rFonts w:cs="Arial"/>
              </w:rPr>
              <w:t xml:space="preserve"> quarantined." No user action is required.</w:t>
            </w:r>
          </w:p>
          <w:p w14:paraId="190424B5" w14:textId="77777777" w:rsidR="00711E45" w:rsidRDefault="00711E45" w:rsidP="00711E45">
            <w:pPr>
              <w:pStyle w:val="TableText"/>
              <w:ind w:left="720"/>
              <w:rPr>
                <w:noProof/>
                <w:color w:val="000000"/>
              </w:rPr>
            </w:pPr>
          </w:p>
          <w:p w14:paraId="4F00EB33" w14:textId="77777777" w:rsidR="00F130A1" w:rsidRPr="00004A4C" w:rsidRDefault="00987559" w:rsidP="00003BE9">
            <w:pPr>
              <w:pStyle w:val="TableText"/>
              <w:ind w:left="720"/>
              <w:rPr>
                <w:noProof/>
                <w:color w:val="000000"/>
              </w:rPr>
            </w:pPr>
            <w:r w:rsidRPr="00987559">
              <w:rPr>
                <w:vanish/>
              </w:rPr>
              <w:t xml:space="preserve">Defect 357490 </w:t>
            </w:r>
            <w:r w:rsidR="00711E45" w:rsidRPr="00DC7696">
              <w:rPr>
                <w:vanish/>
              </w:rPr>
              <w:t xml:space="preserve">BR_56.29 </w:t>
            </w:r>
            <w:r w:rsidR="00711E45">
              <w:t>When a unit was issued and a conflicting test result found that indicates a potential unit incompatibility with the patient, such as a patient ABO/Rh discrepancy, or the unit is antigen positive where antigen negative is required on the tested specimen, VBECS displays a warning message</w:t>
            </w:r>
            <w:r w:rsidR="00711E45" w:rsidRPr="007C05B4">
              <w:t xml:space="preserve"> such as: Unit has been issued. Notify the physician of this potential problem IMMEDIATELY, per hospital policy! </w:t>
            </w:r>
            <w:r w:rsidR="00711E45">
              <w:t>The warning message displays during the execution of the various tests related to the compatibility of a blood unit. An exception report entry is generated at the save.</w:t>
            </w:r>
          </w:p>
        </w:tc>
      </w:tr>
      <w:tr w:rsidR="00C95ED8" w14:paraId="07961710" w14:textId="77777777" w:rsidTr="003F6E8A">
        <w:tc>
          <w:tcPr>
            <w:tcW w:w="3240" w:type="dxa"/>
          </w:tcPr>
          <w:p w14:paraId="08D99568" w14:textId="77777777" w:rsidR="00C95ED8" w:rsidRDefault="00C95ED8" w:rsidP="00307125">
            <w:pPr>
              <w:pStyle w:val="TableTextNumbers"/>
            </w:pPr>
            <w:r>
              <w:lastRenderedPageBreak/>
              <w:t xml:space="preserve">User clicks </w:t>
            </w:r>
            <w:r w:rsidRPr="00C95ED8">
              <w:rPr>
                <w:b/>
              </w:rPr>
              <w:t>Yes</w:t>
            </w:r>
            <w:r>
              <w:t xml:space="preserve"> to acknowledge acceptance or rejection of test results</w:t>
            </w:r>
            <w:r w:rsidR="00DA6624">
              <w:t>.</w:t>
            </w:r>
          </w:p>
        </w:tc>
        <w:tc>
          <w:tcPr>
            <w:tcW w:w="6120" w:type="dxa"/>
          </w:tcPr>
          <w:p w14:paraId="1E4572A7" w14:textId="77777777" w:rsidR="00C95ED8" w:rsidRPr="00004A4C" w:rsidRDefault="00C95ED8" w:rsidP="00C95ED8">
            <w:pPr>
              <w:pStyle w:val="TableTextBullet"/>
            </w:pPr>
            <w:r>
              <w:t>Saves user input.</w:t>
            </w:r>
          </w:p>
          <w:p w14:paraId="694C2929" w14:textId="77777777" w:rsidR="00C95ED8" w:rsidRDefault="00C95ED8" w:rsidP="00C95ED8">
            <w:pPr>
              <w:pStyle w:val="TableText"/>
            </w:pPr>
          </w:p>
          <w:p w14:paraId="29D40873" w14:textId="5F169253" w:rsidR="00C95ED8" w:rsidRDefault="00C95ED8" w:rsidP="00C95ED8">
            <w:pPr>
              <w:pStyle w:val="TableText"/>
              <w:rPr>
                <w:b/>
                <w:bCs/>
                <w:szCs w:val="18"/>
              </w:rPr>
            </w:pPr>
            <w:r>
              <w:rPr>
                <w:b/>
                <w:bCs/>
                <w:szCs w:val="18"/>
              </w:rPr>
              <w:t>NOTES</w:t>
            </w:r>
          </w:p>
          <w:p w14:paraId="4654F599" w14:textId="77777777" w:rsidR="00C95ED8" w:rsidRDefault="00C95ED8" w:rsidP="00C95ED8">
            <w:pPr>
              <w:pStyle w:val="NotesText"/>
            </w:pPr>
          </w:p>
          <w:p w14:paraId="445ED5E9" w14:textId="77777777" w:rsidR="004A39DB" w:rsidRDefault="00987559" w:rsidP="004A39DB">
            <w:pPr>
              <w:pStyle w:val="TableTextBullet"/>
              <w:numPr>
                <w:ilvl w:val="0"/>
                <w:numId w:val="0"/>
              </w:numPr>
              <w:ind w:left="720"/>
            </w:pPr>
            <w:r w:rsidRPr="00987559">
              <w:rPr>
                <w:vanish/>
              </w:rPr>
              <w:t xml:space="preserve">Defect 357490 </w:t>
            </w:r>
            <w:r w:rsidR="00C95ED8" w:rsidRPr="00F130A1">
              <w:rPr>
                <w:vanish/>
              </w:rPr>
              <w:t xml:space="preserve">BR_2.12 </w:t>
            </w:r>
            <w:r w:rsidR="00C95ED8">
              <w:t>Upon successful completion of ABO/Rh confirmation</w:t>
            </w:r>
            <w:r w:rsidR="00064B9D">
              <w:t xml:space="preserve"> and/or Antigen Typing completion</w:t>
            </w:r>
            <w:r w:rsidR="00C95ED8">
              <w:t>, the unit status is updated. Successful completion means that the ABO and Rh (if required) interpretation is consistent with recorded observed results and matches the ABO/Rh at unit login and any repeat ABO/Rh tests on the unit that are not invalidated</w:t>
            </w:r>
          </w:p>
          <w:p w14:paraId="054111A2" w14:textId="77777777" w:rsidR="004A39DB" w:rsidRDefault="004A39DB" w:rsidP="004A39DB">
            <w:pPr>
              <w:pStyle w:val="TableTextBullet"/>
              <w:numPr>
                <w:ilvl w:val="0"/>
                <w:numId w:val="0"/>
              </w:numPr>
              <w:ind w:left="720"/>
            </w:pPr>
          </w:p>
          <w:p w14:paraId="2C4E19FE" w14:textId="77777777" w:rsidR="004A39DB" w:rsidRPr="00920163" w:rsidRDefault="004A39DB" w:rsidP="004A39DB">
            <w:pPr>
              <w:pStyle w:val="TableText"/>
              <w:ind w:left="720"/>
              <w:rPr>
                <w:rFonts w:eastAsia="Calibri"/>
                <w:szCs w:val="18"/>
              </w:rPr>
            </w:pPr>
            <w:r w:rsidRPr="004A39DB">
              <w:rPr>
                <w:vanish/>
              </w:rPr>
              <w:t xml:space="preserve">BR_115.05 </w:t>
            </w:r>
            <w:r>
              <w:t xml:space="preserve">When the test is rejected, the system will: </w:t>
            </w:r>
          </w:p>
          <w:p w14:paraId="4B47EA35" w14:textId="77777777" w:rsidR="004A39DB" w:rsidRDefault="004A39DB" w:rsidP="00925CAD">
            <w:pPr>
              <w:pStyle w:val="TableText"/>
              <w:numPr>
                <w:ilvl w:val="0"/>
                <w:numId w:val="49"/>
              </w:numPr>
              <w:ind w:left="1080"/>
              <w:rPr>
                <w:sz w:val="20"/>
              </w:rPr>
            </w:pPr>
            <w:r>
              <w:t>Prompt user to confirm they want to reject.</w:t>
            </w:r>
          </w:p>
          <w:p w14:paraId="20F0D14B" w14:textId="77777777" w:rsidR="004A39DB" w:rsidRDefault="004A39DB" w:rsidP="00925CAD">
            <w:pPr>
              <w:pStyle w:val="TableText"/>
              <w:numPr>
                <w:ilvl w:val="0"/>
                <w:numId w:val="49"/>
              </w:numPr>
              <w:ind w:left="1080"/>
            </w:pPr>
            <w:r>
              <w:t>Remove the test from the list for acceptance.</w:t>
            </w:r>
          </w:p>
          <w:p w14:paraId="5199DC26" w14:textId="77777777" w:rsidR="004A39DB" w:rsidRDefault="004A39DB" w:rsidP="00925CAD">
            <w:pPr>
              <w:pStyle w:val="TableText"/>
              <w:numPr>
                <w:ilvl w:val="0"/>
                <w:numId w:val="49"/>
              </w:numPr>
              <w:ind w:left="1080"/>
            </w:pPr>
            <w:r>
              <w:t>No rejection message is sent to the instrument.</w:t>
            </w:r>
          </w:p>
          <w:p w14:paraId="169F7699" w14:textId="77777777" w:rsidR="004A39DB" w:rsidRDefault="004A39DB" w:rsidP="00925CAD">
            <w:pPr>
              <w:pStyle w:val="TableText"/>
              <w:numPr>
                <w:ilvl w:val="0"/>
                <w:numId w:val="49"/>
              </w:numPr>
              <w:ind w:left="1080"/>
            </w:pPr>
            <w:r>
              <w:t>The Diagnostic test returns to the previous status and ready for testing.</w:t>
            </w:r>
          </w:p>
          <w:p w14:paraId="7E95886C" w14:textId="77777777" w:rsidR="004A39DB" w:rsidRDefault="004A39DB" w:rsidP="004A39DB">
            <w:pPr>
              <w:pStyle w:val="TableTextBullet"/>
              <w:numPr>
                <w:ilvl w:val="0"/>
                <w:numId w:val="0"/>
              </w:numPr>
              <w:ind w:left="720"/>
            </w:pPr>
          </w:p>
          <w:p w14:paraId="499F83F4" w14:textId="77777777" w:rsidR="004A39DB" w:rsidRDefault="004A39DB" w:rsidP="004A39DB">
            <w:pPr>
              <w:pStyle w:val="TableTextBullet"/>
              <w:numPr>
                <w:ilvl w:val="0"/>
                <w:numId w:val="0"/>
              </w:numPr>
              <w:ind w:left="288" w:hanging="288"/>
            </w:pPr>
          </w:p>
        </w:tc>
      </w:tr>
    </w:tbl>
    <w:p w14:paraId="23FF781D" w14:textId="68A4C7CC" w:rsidR="00937534" w:rsidRDefault="00937534" w:rsidP="00937534">
      <w:pPr>
        <w:pStyle w:val="Caption"/>
      </w:pPr>
      <w:bookmarkStart w:id="613" w:name="_Ref447168071"/>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7D1829">
        <w:rPr>
          <w:noProof/>
        </w:rPr>
        <w:t>116</w:t>
      </w:r>
      <w:r w:rsidR="004E20BD">
        <w:rPr>
          <w:noProof/>
        </w:rPr>
        <w:fldChar w:fldCharType="end"/>
      </w:r>
      <w:bookmarkEnd w:id="613"/>
      <w:r>
        <w:t>: Automated Testing – Pending Blood Units Window</w:t>
      </w:r>
    </w:p>
    <w:p w14:paraId="1AAFA5F6" w14:textId="77777777" w:rsidR="005E6617" w:rsidRPr="005E6617" w:rsidRDefault="00057948" w:rsidP="005E6617">
      <w:pPr>
        <w:pStyle w:val="BodyText"/>
      </w:pPr>
      <w:r>
        <w:rPr>
          <w:noProof/>
        </w:rPr>
        <w:drawing>
          <wp:inline distT="0" distB="0" distL="0" distR="0" wp14:anchorId="7BC3C39B" wp14:editId="5BABFBAE">
            <wp:extent cx="5163185" cy="1311275"/>
            <wp:effectExtent l="0" t="0" r="0" b="3175"/>
            <wp:docPr id="264" name="Picture 264" descr="Example of Automated Testing - Pending Blood Units Window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Picture 264" descr="Example of Automated Testing - Pending Blood Units Window screen capture"/>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5163185" cy="1311275"/>
                    </a:xfrm>
                    <a:prstGeom prst="rect">
                      <a:avLst/>
                    </a:prstGeom>
                    <a:noFill/>
                    <a:ln>
                      <a:noFill/>
                    </a:ln>
                  </pic:spPr>
                </pic:pic>
              </a:graphicData>
            </a:graphic>
          </wp:inline>
        </w:drawing>
      </w:r>
    </w:p>
    <w:p w14:paraId="5F7E9566" w14:textId="77777777" w:rsidR="00BE554D" w:rsidRDefault="005E6617" w:rsidP="005E6617">
      <w:pPr>
        <w:pStyle w:val="Heading2"/>
      </w:pPr>
      <w:r>
        <w:br w:type="page"/>
      </w:r>
      <w:bookmarkStart w:id="614" w:name="_Toc203765940"/>
      <w:r w:rsidR="00BE554D" w:rsidRPr="00937534">
        <w:lastRenderedPageBreak/>
        <w:t>Automated Testing Review for Patients</w:t>
      </w:r>
      <w:bookmarkEnd w:id="614"/>
      <w:r w:rsidR="00B31DA1" w:rsidRPr="00836786">
        <w:rPr>
          <w:vanish/>
        </w:rPr>
        <w:t xml:space="preserve">{ XE “Automated Testing Review for </w:t>
      </w:r>
      <w:r w:rsidR="00B31DA1">
        <w:rPr>
          <w:vanish/>
        </w:rPr>
        <w:t>Patients</w:t>
      </w:r>
      <w:r w:rsidR="00B31DA1" w:rsidRPr="00836786">
        <w:rPr>
          <w:vanish/>
        </w:rPr>
        <w:t>” }</w:t>
      </w:r>
      <w:r w:rsidR="00B31DA1">
        <w:t xml:space="preserve"> </w:t>
      </w:r>
      <w:r w:rsidR="00BE554D">
        <w:rPr>
          <w:vanish/>
        </w:rPr>
        <w:t>UC_115</w:t>
      </w:r>
    </w:p>
    <w:p w14:paraId="16364B64" w14:textId="28091E52" w:rsidR="00BE554D" w:rsidRDefault="00BE554D" w:rsidP="00BE554D">
      <w:pPr>
        <w:pStyle w:val="Heading4"/>
        <w:rPr>
          <w:rFonts w:ascii="Times New Roman" w:hAnsi="Times New Roman"/>
          <w:b w:val="0"/>
          <w:spacing w:val="-5"/>
          <w:szCs w:val="22"/>
        </w:rPr>
      </w:pPr>
      <w:r>
        <w:rPr>
          <w:rFonts w:ascii="Times New Roman" w:hAnsi="Times New Roman"/>
          <w:b w:val="0"/>
          <w:spacing w:val="-5"/>
          <w:szCs w:val="22"/>
        </w:rPr>
        <w:t>A</w:t>
      </w:r>
      <w:r w:rsidRPr="00D23C29">
        <w:rPr>
          <w:rFonts w:ascii="Times New Roman" w:hAnsi="Times New Roman"/>
          <w:b w:val="0"/>
          <w:spacing w:val="-5"/>
          <w:szCs w:val="22"/>
        </w:rPr>
        <w:t>llow</w:t>
      </w:r>
      <w:r>
        <w:rPr>
          <w:rFonts w:ascii="Times New Roman" w:hAnsi="Times New Roman"/>
          <w:b w:val="0"/>
          <w:spacing w:val="-5"/>
          <w:szCs w:val="22"/>
        </w:rPr>
        <w:t xml:space="preserve">s the user to review and approve testing results completed on an automated instrument and transmitted to </w:t>
      </w:r>
      <w:r w:rsidRPr="00D23C29">
        <w:rPr>
          <w:rFonts w:ascii="Times New Roman" w:hAnsi="Times New Roman"/>
          <w:b w:val="0"/>
          <w:spacing w:val="-5"/>
          <w:szCs w:val="22"/>
        </w:rPr>
        <w:t>VBECS.</w:t>
      </w:r>
    </w:p>
    <w:p w14:paraId="3BF6ECEE" w14:textId="77777777" w:rsidR="00BE554D" w:rsidRPr="00D23C29" w:rsidRDefault="00BE554D" w:rsidP="00BE554D">
      <w:pPr>
        <w:pStyle w:val="Heading4"/>
      </w:pPr>
      <w:r w:rsidRPr="00D23C29">
        <w:t xml:space="preserve">Assumptions </w:t>
      </w:r>
    </w:p>
    <w:p w14:paraId="0AEC49BF" w14:textId="77777777" w:rsidR="00BE554D" w:rsidRPr="009A3F10" w:rsidRDefault="00BE554D" w:rsidP="00925CAD">
      <w:pPr>
        <w:pStyle w:val="TableText"/>
        <w:numPr>
          <w:ilvl w:val="0"/>
          <w:numId w:val="42"/>
        </w:numPr>
        <w:rPr>
          <w:rFonts w:ascii="Times New Roman" w:hAnsi="Times New Roman"/>
          <w:spacing w:val="-5"/>
          <w:sz w:val="22"/>
          <w:szCs w:val="22"/>
        </w:rPr>
      </w:pPr>
      <w:r w:rsidRPr="009A3F10">
        <w:rPr>
          <w:rFonts w:ascii="Times New Roman" w:hAnsi="Times New Roman"/>
          <w:spacing w:val="-5"/>
          <w:sz w:val="22"/>
          <w:szCs w:val="22"/>
        </w:rPr>
        <w:t>Division is defined as full service.</w:t>
      </w:r>
    </w:p>
    <w:p w14:paraId="25D5CB5A" w14:textId="77777777" w:rsidR="00BE554D" w:rsidRPr="009A3F10" w:rsidRDefault="00BE554D" w:rsidP="00925CAD">
      <w:pPr>
        <w:pStyle w:val="TableText"/>
        <w:numPr>
          <w:ilvl w:val="0"/>
          <w:numId w:val="42"/>
        </w:numPr>
        <w:rPr>
          <w:rFonts w:ascii="Times New Roman" w:hAnsi="Times New Roman"/>
          <w:spacing w:val="-5"/>
          <w:sz w:val="22"/>
          <w:szCs w:val="22"/>
        </w:rPr>
      </w:pPr>
      <w:r w:rsidRPr="009A3F10">
        <w:rPr>
          <w:rFonts w:ascii="Times New Roman" w:hAnsi="Times New Roman"/>
          <w:spacing w:val="-5"/>
          <w:sz w:val="22"/>
          <w:szCs w:val="22"/>
        </w:rPr>
        <w:t>The testing instrument is fully functional and available for use. The instrument QC is completed and valid, no maintenance is required. No QC information is transmitted to VBECS in the HL7 message.</w:t>
      </w:r>
    </w:p>
    <w:p w14:paraId="15E7008F" w14:textId="77777777" w:rsidR="00BE554D" w:rsidRPr="009A3F10" w:rsidRDefault="00BE554D" w:rsidP="00925CAD">
      <w:pPr>
        <w:pStyle w:val="TableText"/>
        <w:numPr>
          <w:ilvl w:val="0"/>
          <w:numId w:val="42"/>
        </w:numPr>
        <w:rPr>
          <w:rFonts w:ascii="Times New Roman" w:hAnsi="Times New Roman"/>
          <w:spacing w:val="-5"/>
          <w:sz w:val="22"/>
          <w:szCs w:val="22"/>
        </w:rPr>
      </w:pPr>
      <w:r w:rsidRPr="009A3F10">
        <w:rPr>
          <w:rFonts w:ascii="Times New Roman" w:hAnsi="Times New Roman"/>
          <w:spacing w:val="-5"/>
          <w:sz w:val="22"/>
          <w:szCs w:val="22"/>
        </w:rPr>
        <w:t>Message is received</w:t>
      </w:r>
      <w:r>
        <w:rPr>
          <w:rFonts w:ascii="Times New Roman" w:hAnsi="Times New Roman"/>
          <w:spacing w:val="-5"/>
          <w:sz w:val="22"/>
          <w:szCs w:val="22"/>
        </w:rPr>
        <w:t xml:space="preserve"> successfully as defined in </w:t>
      </w:r>
      <w:r w:rsidRPr="009A3F10">
        <w:rPr>
          <w:rFonts w:ascii="Times New Roman" w:hAnsi="Times New Roman"/>
          <w:spacing w:val="-5"/>
          <w:sz w:val="22"/>
          <w:szCs w:val="22"/>
        </w:rPr>
        <w:t>Automated Testing Interface.</w:t>
      </w:r>
    </w:p>
    <w:p w14:paraId="5A0D1EA7" w14:textId="77777777" w:rsidR="00BE554D" w:rsidRPr="009A3F10" w:rsidRDefault="00BE554D" w:rsidP="00925CAD">
      <w:pPr>
        <w:pStyle w:val="TableTextBullet"/>
        <w:numPr>
          <w:ilvl w:val="0"/>
          <w:numId w:val="42"/>
        </w:numPr>
        <w:ind w:right="63"/>
        <w:rPr>
          <w:rFonts w:ascii="Times New Roman" w:hAnsi="Times New Roman"/>
          <w:spacing w:val="-5"/>
          <w:sz w:val="22"/>
          <w:szCs w:val="22"/>
        </w:rPr>
      </w:pPr>
      <w:r w:rsidRPr="009A3F10">
        <w:rPr>
          <w:rFonts w:ascii="Times New Roman" w:hAnsi="Times New Roman"/>
          <w:spacing w:val="-5"/>
          <w:sz w:val="22"/>
          <w:szCs w:val="22"/>
        </w:rPr>
        <w:t>VBECS database contains an active patient order for diagnostic tests or blood components including reflex tests that have been accepted and appear on the Pending Task List.</w:t>
      </w:r>
    </w:p>
    <w:p w14:paraId="445DC90E" w14:textId="77777777" w:rsidR="00BE554D" w:rsidRPr="009A3F10" w:rsidRDefault="00BE554D" w:rsidP="00925CAD">
      <w:pPr>
        <w:numPr>
          <w:ilvl w:val="0"/>
          <w:numId w:val="42"/>
        </w:numPr>
        <w:rPr>
          <w:spacing w:val="-5"/>
          <w:sz w:val="22"/>
          <w:szCs w:val="22"/>
        </w:rPr>
      </w:pPr>
      <w:r>
        <w:rPr>
          <w:spacing w:val="-5"/>
          <w:sz w:val="22"/>
          <w:szCs w:val="22"/>
        </w:rPr>
        <w:t xml:space="preserve">Blood Units are </w:t>
      </w:r>
      <w:r w:rsidRPr="009A3F10">
        <w:rPr>
          <w:spacing w:val="-5"/>
          <w:sz w:val="22"/>
          <w:szCs w:val="22"/>
        </w:rPr>
        <w:t>selected for a patient for serologic crossmatch testing</w:t>
      </w:r>
      <w:r>
        <w:rPr>
          <w:spacing w:val="-5"/>
          <w:sz w:val="22"/>
          <w:szCs w:val="22"/>
        </w:rPr>
        <w:t xml:space="preserve"> prior to</w:t>
      </w:r>
      <w:r w:rsidRPr="009A3F10">
        <w:rPr>
          <w:spacing w:val="-5"/>
          <w:sz w:val="22"/>
          <w:szCs w:val="22"/>
        </w:rPr>
        <w:t xml:space="preserve"> result transmission</w:t>
      </w:r>
      <w:r>
        <w:rPr>
          <w:spacing w:val="-5"/>
          <w:sz w:val="22"/>
          <w:szCs w:val="22"/>
        </w:rPr>
        <w:t xml:space="preserve"> from an automated instrument</w:t>
      </w:r>
      <w:r w:rsidRPr="009A3F10">
        <w:rPr>
          <w:spacing w:val="-5"/>
          <w:sz w:val="22"/>
          <w:szCs w:val="22"/>
        </w:rPr>
        <w:t>.</w:t>
      </w:r>
    </w:p>
    <w:p w14:paraId="5CF6F680" w14:textId="77777777" w:rsidR="00BE554D" w:rsidRPr="009A3F10" w:rsidRDefault="00BE554D" w:rsidP="00925CAD">
      <w:pPr>
        <w:numPr>
          <w:ilvl w:val="0"/>
          <w:numId w:val="42"/>
        </w:numPr>
        <w:rPr>
          <w:spacing w:val="-5"/>
          <w:sz w:val="22"/>
          <w:szCs w:val="22"/>
        </w:rPr>
      </w:pPr>
      <w:r w:rsidRPr="009A3F10">
        <w:rPr>
          <w:spacing w:val="-5"/>
          <w:sz w:val="22"/>
          <w:szCs w:val="22"/>
        </w:rPr>
        <w:t>Each transmitted test must include its results and interpretati</w:t>
      </w:r>
      <w:r>
        <w:rPr>
          <w:spacing w:val="-5"/>
          <w:sz w:val="22"/>
          <w:szCs w:val="22"/>
        </w:rPr>
        <w:t>on</w:t>
      </w:r>
      <w:r w:rsidRPr="009A3F10">
        <w:rPr>
          <w:spacing w:val="-5"/>
          <w:sz w:val="22"/>
          <w:szCs w:val="22"/>
        </w:rPr>
        <w:t>.</w:t>
      </w:r>
    </w:p>
    <w:p w14:paraId="095B733B" w14:textId="77777777" w:rsidR="00BE554D" w:rsidRDefault="00BE554D" w:rsidP="00BE554D">
      <w:pPr>
        <w:pStyle w:val="Heading4"/>
      </w:pPr>
      <w:r>
        <w:t xml:space="preserve">Outcome </w:t>
      </w:r>
    </w:p>
    <w:p w14:paraId="14605309" w14:textId="77777777" w:rsidR="00BE554D" w:rsidRPr="00D23C29" w:rsidRDefault="00BE554D" w:rsidP="00925CAD">
      <w:pPr>
        <w:pStyle w:val="TableTextBullet"/>
        <w:numPr>
          <w:ilvl w:val="0"/>
          <w:numId w:val="42"/>
        </w:numPr>
        <w:ind w:right="63"/>
        <w:rPr>
          <w:rFonts w:ascii="Times New Roman" w:hAnsi="Times New Roman"/>
          <w:spacing w:val="-5"/>
          <w:sz w:val="22"/>
          <w:szCs w:val="22"/>
        </w:rPr>
      </w:pPr>
      <w:r w:rsidRPr="00D23C29">
        <w:rPr>
          <w:rFonts w:ascii="Times New Roman" w:hAnsi="Times New Roman"/>
          <w:spacing w:val="-5"/>
          <w:sz w:val="22"/>
          <w:szCs w:val="22"/>
        </w:rPr>
        <w:t>The test record will capture the details of the verified testing. Completed, current unit and specimen test results will be available for the life of the system for inclusion in various reports generated to document patient and unit testing.</w:t>
      </w:r>
    </w:p>
    <w:p w14:paraId="4E5E4760" w14:textId="77777777" w:rsidR="00BE554D" w:rsidRPr="00D23C29" w:rsidRDefault="00BE554D" w:rsidP="00925CAD">
      <w:pPr>
        <w:pStyle w:val="TableTextBullet"/>
        <w:numPr>
          <w:ilvl w:val="0"/>
          <w:numId w:val="42"/>
        </w:numPr>
        <w:ind w:right="63"/>
        <w:rPr>
          <w:rFonts w:ascii="Times New Roman" w:hAnsi="Times New Roman"/>
          <w:spacing w:val="-5"/>
          <w:sz w:val="22"/>
          <w:szCs w:val="22"/>
        </w:rPr>
      </w:pPr>
      <w:r w:rsidRPr="00D23C29">
        <w:rPr>
          <w:rFonts w:ascii="Times New Roman" w:hAnsi="Times New Roman"/>
          <w:spacing w:val="-5"/>
          <w:sz w:val="22"/>
          <w:szCs w:val="22"/>
        </w:rPr>
        <w:t>The system updates the task status, the workload reporting in VBECS and the order status in VBECS and VistA.</w:t>
      </w:r>
    </w:p>
    <w:p w14:paraId="26D4DBE6" w14:textId="77777777" w:rsidR="00561829" w:rsidRDefault="00561829" w:rsidP="00561829">
      <w:pPr>
        <w:pStyle w:val="ListBullet"/>
        <w:numPr>
          <w:ilvl w:val="0"/>
          <w:numId w:val="42"/>
        </w:numPr>
      </w:pPr>
      <w:r>
        <w:t>If workload codes are assigned for this process, workload-related data collected as the result of this process are stored for inclusion in Workload Reports.</w:t>
      </w:r>
    </w:p>
    <w:p w14:paraId="11E5162E" w14:textId="77777777" w:rsidR="00BE554D" w:rsidRDefault="00BE554D" w:rsidP="00BE554D">
      <w:pPr>
        <w:pStyle w:val="Heading4"/>
      </w:pPr>
      <w:r>
        <w:t>Limitations and Restrictions</w:t>
      </w:r>
      <w:r>
        <w:rPr>
          <w:b w:val="0"/>
        </w:rPr>
        <w:t xml:space="preserve"> </w:t>
      </w:r>
    </w:p>
    <w:p w14:paraId="1C909032" w14:textId="77777777" w:rsidR="00BE554D" w:rsidRPr="009A3F10" w:rsidRDefault="00BE554D" w:rsidP="00925CAD">
      <w:pPr>
        <w:pStyle w:val="TableText"/>
        <w:numPr>
          <w:ilvl w:val="0"/>
          <w:numId w:val="42"/>
        </w:numPr>
        <w:rPr>
          <w:rFonts w:ascii="Times New Roman" w:hAnsi="Times New Roman"/>
          <w:spacing w:val="-5"/>
          <w:sz w:val="22"/>
          <w:szCs w:val="22"/>
        </w:rPr>
      </w:pPr>
      <w:r w:rsidRPr="009A3F10">
        <w:rPr>
          <w:rFonts w:ascii="Times New Roman" w:hAnsi="Times New Roman"/>
          <w:spacing w:val="-5"/>
          <w:sz w:val="22"/>
          <w:szCs w:val="22"/>
        </w:rPr>
        <w:t xml:space="preserve">VBECS does not accept inconclusive ABO/Rh test results.  </w:t>
      </w:r>
    </w:p>
    <w:p w14:paraId="70F88B74" w14:textId="77777777" w:rsidR="00BE554D" w:rsidRPr="009A3F10" w:rsidRDefault="00BE554D" w:rsidP="00925CAD">
      <w:pPr>
        <w:pStyle w:val="TableText"/>
        <w:numPr>
          <w:ilvl w:val="0"/>
          <w:numId w:val="42"/>
        </w:numPr>
        <w:rPr>
          <w:rFonts w:ascii="Times New Roman" w:hAnsi="Times New Roman"/>
          <w:spacing w:val="-5"/>
          <w:sz w:val="22"/>
          <w:szCs w:val="22"/>
        </w:rPr>
      </w:pPr>
      <w:r w:rsidRPr="009A3F10">
        <w:rPr>
          <w:rFonts w:ascii="Times New Roman" w:hAnsi="Times New Roman"/>
          <w:spacing w:val="-5"/>
          <w:sz w:val="22"/>
          <w:szCs w:val="22"/>
        </w:rPr>
        <w:t>VBECS does not accept inconclusive interpretations for antibody screen tests.</w:t>
      </w:r>
    </w:p>
    <w:p w14:paraId="0A0AD150" w14:textId="77777777" w:rsidR="00BE554D" w:rsidRPr="009A3F10" w:rsidRDefault="00BE554D" w:rsidP="00925CAD">
      <w:pPr>
        <w:pStyle w:val="TableText"/>
        <w:numPr>
          <w:ilvl w:val="0"/>
          <w:numId w:val="42"/>
        </w:numPr>
        <w:rPr>
          <w:rFonts w:ascii="Times New Roman" w:hAnsi="Times New Roman"/>
          <w:spacing w:val="-5"/>
          <w:sz w:val="22"/>
          <w:szCs w:val="22"/>
        </w:rPr>
      </w:pPr>
      <w:r w:rsidRPr="009A3F10">
        <w:rPr>
          <w:rFonts w:ascii="Times New Roman" w:hAnsi="Times New Roman"/>
          <w:spacing w:val="-5"/>
          <w:sz w:val="22"/>
          <w:szCs w:val="22"/>
        </w:rPr>
        <w:t>Immediate spin crossmatch is not allowed via au</w:t>
      </w:r>
      <w:r>
        <w:rPr>
          <w:rFonts w:ascii="Times New Roman" w:hAnsi="Times New Roman"/>
          <w:spacing w:val="-5"/>
          <w:sz w:val="22"/>
          <w:szCs w:val="22"/>
        </w:rPr>
        <w:t xml:space="preserve">tomated test entry. </w:t>
      </w:r>
    </w:p>
    <w:p w14:paraId="5C0C9A64" w14:textId="77777777" w:rsidR="00BE554D" w:rsidRPr="009A3F10" w:rsidRDefault="00BE554D" w:rsidP="00925CAD">
      <w:pPr>
        <w:pStyle w:val="TableText"/>
        <w:numPr>
          <w:ilvl w:val="0"/>
          <w:numId w:val="42"/>
        </w:numPr>
        <w:rPr>
          <w:rFonts w:ascii="Times New Roman" w:hAnsi="Times New Roman"/>
          <w:spacing w:val="-5"/>
          <w:sz w:val="22"/>
          <w:szCs w:val="22"/>
        </w:rPr>
      </w:pPr>
      <w:r w:rsidRPr="009A3F10">
        <w:rPr>
          <w:rFonts w:ascii="Times New Roman" w:hAnsi="Times New Roman"/>
          <w:spacing w:val="-5"/>
          <w:sz w:val="22"/>
          <w:szCs w:val="22"/>
        </w:rPr>
        <w:t xml:space="preserve">Patient Antigen typing applies only to patient specimens </w:t>
      </w:r>
      <w:r>
        <w:rPr>
          <w:rFonts w:ascii="Times New Roman" w:hAnsi="Times New Roman"/>
          <w:spacing w:val="-5"/>
          <w:sz w:val="22"/>
          <w:szCs w:val="22"/>
        </w:rPr>
        <w:t>that contain red blood cells.</w:t>
      </w:r>
    </w:p>
    <w:p w14:paraId="6A8BCE3C" w14:textId="77777777" w:rsidR="00BE554D" w:rsidRPr="009A3F10" w:rsidRDefault="00BE554D" w:rsidP="00925CAD">
      <w:pPr>
        <w:pStyle w:val="TableText"/>
        <w:numPr>
          <w:ilvl w:val="0"/>
          <w:numId w:val="42"/>
        </w:numPr>
        <w:rPr>
          <w:rFonts w:ascii="Times New Roman" w:hAnsi="Times New Roman"/>
          <w:spacing w:val="-5"/>
          <w:sz w:val="22"/>
          <w:szCs w:val="22"/>
        </w:rPr>
      </w:pPr>
      <w:r w:rsidRPr="009A3F10">
        <w:rPr>
          <w:rFonts w:ascii="Times New Roman" w:hAnsi="Times New Roman"/>
          <w:spacing w:val="-5"/>
          <w:sz w:val="22"/>
          <w:szCs w:val="22"/>
        </w:rPr>
        <w:t>The system does not check the specificity of a patient’s antibody against an existing patient antigen typing.</w:t>
      </w:r>
    </w:p>
    <w:p w14:paraId="1073C0D2" w14:textId="77777777" w:rsidR="00BE554D" w:rsidRDefault="00BE554D" w:rsidP="00925CAD">
      <w:pPr>
        <w:pStyle w:val="TableText"/>
        <w:numPr>
          <w:ilvl w:val="0"/>
          <w:numId w:val="42"/>
        </w:numPr>
        <w:rPr>
          <w:rFonts w:ascii="Times New Roman" w:hAnsi="Times New Roman"/>
          <w:spacing w:val="-5"/>
          <w:sz w:val="22"/>
          <w:szCs w:val="22"/>
        </w:rPr>
      </w:pPr>
      <w:r w:rsidRPr="009A3F10">
        <w:rPr>
          <w:rFonts w:ascii="Times New Roman" w:hAnsi="Times New Roman"/>
          <w:spacing w:val="-5"/>
          <w:sz w:val="22"/>
          <w:szCs w:val="22"/>
        </w:rPr>
        <w:t>The patient antigen typing result is not reported to the CPRS record.</w:t>
      </w:r>
    </w:p>
    <w:p w14:paraId="43B8F6C8" w14:textId="77777777" w:rsidR="00DA27C7" w:rsidRDefault="00DA27C7" w:rsidP="00925CAD">
      <w:pPr>
        <w:pStyle w:val="TableText"/>
        <w:numPr>
          <w:ilvl w:val="0"/>
          <w:numId w:val="42"/>
        </w:numPr>
        <w:rPr>
          <w:rFonts w:ascii="Times New Roman" w:hAnsi="Times New Roman"/>
          <w:spacing w:val="-5"/>
          <w:sz w:val="22"/>
          <w:szCs w:val="22"/>
        </w:rPr>
      </w:pPr>
      <w:r w:rsidRPr="00DA27C7">
        <w:rPr>
          <w:rFonts w:ascii="Times New Roman" w:hAnsi="Times New Roman"/>
          <w:spacing w:val="-5"/>
          <w:sz w:val="22"/>
          <w:szCs w:val="22"/>
        </w:rPr>
        <w:t>Order Rejection comment entry is required but is not visible on a report.</w:t>
      </w:r>
    </w:p>
    <w:p w14:paraId="29E01CDE" w14:textId="77777777" w:rsidR="00BE554D" w:rsidRDefault="00770FF0" w:rsidP="00BE554D">
      <w:pPr>
        <w:pStyle w:val="Heading4"/>
      </w:pPr>
      <w:r>
        <w:t>Additional Information</w:t>
      </w:r>
    </w:p>
    <w:p w14:paraId="15C02BB2" w14:textId="77777777" w:rsidR="002C3F2F" w:rsidRPr="002C3F2F" w:rsidRDefault="00057948" w:rsidP="00925CAD">
      <w:pPr>
        <w:pStyle w:val="ListBullet"/>
        <w:numPr>
          <w:ilvl w:val="0"/>
          <w:numId w:val="42"/>
        </w:numPr>
      </w:pPr>
      <w:r>
        <w:rPr>
          <w:noProof/>
        </w:rPr>
        <w:drawing>
          <wp:inline distT="0" distB="0" distL="0" distR="0" wp14:anchorId="08F53BE4" wp14:editId="1DF1DD3F">
            <wp:extent cx="276860" cy="221615"/>
            <wp:effectExtent l="0" t="0" r="8890" b="6985"/>
            <wp:docPr id="265" name="Picture 2" descr="Cau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Picture 2" descr="Caution icon"/>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76860" cy="221615"/>
                    </a:xfrm>
                    <a:prstGeom prst="rect">
                      <a:avLst/>
                    </a:prstGeom>
                    <a:noFill/>
                    <a:ln>
                      <a:noFill/>
                    </a:ln>
                  </pic:spPr>
                </pic:pic>
              </a:graphicData>
            </a:graphic>
          </wp:inline>
        </w:drawing>
      </w:r>
      <w:r w:rsidR="002C3F2F">
        <w:t xml:space="preserve"> </w:t>
      </w:r>
      <w:r w:rsidR="002C3F2F" w:rsidRPr="00D52104">
        <w:t>AABB Standards (5.16.1)</w:t>
      </w:r>
      <w:r w:rsidR="002C3F2F">
        <w:t xml:space="preserve"> </w:t>
      </w:r>
      <w:r w:rsidR="002C3F2F" w:rsidRPr="00D52104">
        <w:t>requires a serological XM to detect ABO incompatibility</w:t>
      </w:r>
      <w:r w:rsidR="002C3F2F">
        <w:t>. A</w:t>
      </w:r>
      <w:r w:rsidR="002C3F2F" w:rsidRPr="00D52104">
        <w:t xml:space="preserve"> local policy must be in place if the site is not performing a IS AHG as part of their serologic crossmatch test, manual or using an instrument.</w:t>
      </w:r>
      <w:r w:rsidR="002C3F2F">
        <w:t xml:space="preserve"> </w:t>
      </w:r>
      <w:r w:rsidR="002C3F2F" w:rsidRPr="002C3F2F">
        <w:rPr>
          <w:vanish/>
        </w:rPr>
        <w:t>Defect 362099</w:t>
      </w:r>
    </w:p>
    <w:p w14:paraId="0859043D" w14:textId="77777777" w:rsidR="00BE554D" w:rsidRPr="006E44D8" w:rsidRDefault="00BE554D" w:rsidP="00925CAD">
      <w:pPr>
        <w:pStyle w:val="TableText"/>
        <w:numPr>
          <w:ilvl w:val="0"/>
          <w:numId w:val="42"/>
        </w:numPr>
        <w:rPr>
          <w:rFonts w:ascii="Times New Roman" w:hAnsi="Times New Roman"/>
          <w:spacing w:val="-5"/>
          <w:sz w:val="22"/>
          <w:szCs w:val="22"/>
        </w:rPr>
      </w:pPr>
      <w:r w:rsidRPr="006E44D8">
        <w:rPr>
          <w:rFonts w:ascii="Times New Roman" w:hAnsi="Times New Roman"/>
          <w:spacing w:val="-5"/>
          <w:sz w:val="22"/>
          <w:szCs w:val="22"/>
        </w:rPr>
        <w:t>The patient’s antigen t</w:t>
      </w:r>
      <w:r>
        <w:rPr>
          <w:rFonts w:ascii="Times New Roman" w:hAnsi="Times New Roman"/>
          <w:spacing w:val="-5"/>
          <w:sz w:val="22"/>
          <w:szCs w:val="22"/>
        </w:rPr>
        <w:t xml:space="preserve">yping information will display in </w:t>
      </w:r>
      <w:r w:rsidRPr="006E44D8">
        <w:rPr>
          <w:rFonts w:ascii="Times New Roman" w:hAnsi="Times New Roman"/>
          <w:spacing w:val="-5"/>
          <w:sz w:val="22"/>
          <w:szCs w:val="22"/>
        </w:rPr>
        <w:t>Display Patient VBECS Data, but will not appear as part of the Transfusion Requirements or Special Instructi</w:t>
      </w:r>
      <w:r>
        <w:rPr>
          <w:rFonts w:ascii="Times New Roman" w:hAnsi="Times New Roman"/>
          <w:spacing w:val="-5"/>
          <w:sz w:val="22"/>
          <w:szCs w:val="22"/>
        </w:rPr>
        <w:t xml:space="preserve">ons that display in </w:t>
      </w:r>
      <w:r w:rsidRPr="006E44D8">
        <w:rPr>
          <w:rFonts w:ascii="Times New Roman" w:hAnsi="Times New Roman"/>
          <w:spacing w:val="-5"/>
          <w:sz w:val="22"/>
          <w:szCs w:val="22"/>
        </w:rPr>
        <w:t>Display Patient Transfusion Requirements and Special Instructions.</w:t>
      </w:r>
    </w:p>
    <w:p w14:paraId="5A0450F4" w14:textId="77777777" w:rsidR="00BE554D" w:rsidRPr="00E82F44" w:rsidRDefault="00E82F44" w:rsidP="00925CAD">
      <w:pPr>
        <w:pStyle w:val="TableText"/>
        <w:numPr>
          <w:ilvl w:val="0"/>
          <w:numId w:val="42"/>
        </w:numPr>
        <w:rPr>
          <w:rFonts w:ascii="Times New Roman" w:hAnsi="Times New Roman"/>
          <w:spacing w:val="-5"/>
          <w:sz w:val="22"/>
          <w:szCs w:val="22"/>
        </w:rPr>
      </w:pPr>
      <w:r w:rsidRPr="00E82F44">
        <w:rPr>
          <w:rFonts w:ascii="Times New Roman" w:hAnsi="Times New Roman"/>
          <w:vanish/>
          <w:spacing w:val="-5"/>
          <w:sz w:val="22"/>
          <w:szCs w:val="22"/>
        </w:rPr>
        <w:lastRenderedPageBreak/>
        <w:t xml:space="preserve">Defect 279095 </w:t>
      </w:r>
      <w:r w:rsidR="00BE554D" w:rsidRPr="00E82F44">
        <w:rPr>
          <w:rFonts w:ascii="Times New Roman" w:hAnsi="Times New Roman"/>
          <w:spacing w:val="-5"/>
          <w:sz w:val="22"/>
          <w:szCs w:val="22"/>
        </w:rPr>
        <w:t>When the Antibody Screen test is configured with a Direct Antiglobulin Test (DAT) for manual testing, that DAT test must be executed as a separate test when using an automated instrument for testing and displays on the DAT tab, not the TAS tab.</w:t>
      </w:r>
      <w:r w:rsidR="00770FF0">
        <w:rPr>
          <w:rFonts w:ascii="Times New Roman" w:hAnsi="Times New Roman"/>
          <w:spacing w:val="-5"/>
          <w:sz w:val="22"/>
          <w:szCs w:val="22"/>
        </w:rPr>
        <w:t xml:space="preserve"> </w:t>
      </w:r>
      <w:r w:rsidR="00770FF0" w:rsidRPr="00770FF0">
        <w:rPr>
          <w:rFonts w:ascii="Times New Roman" w:hAnsi="Times New Roman"/>
          <w:spacing w:val="-5"/>
          <w:sz w:val="22"/>
          <w:szCs w:val="22"/>
        </w:rPr>
        <w:t>Attempts to send the DAT to VBECS without a separate standalone DAT order (either a DAT ordered in CPRS or a Reflex DAT entered in VBECS) will result in a rejection of the DAT result message. Users must have a separate DAT test pending in order to send test results from the Automated Instrument.</w:t>
      </w:r>
    </w:p>
    <w:p w14:paraId="72A294B4" w14:textId="77777777" w:rsidR="00BE554D" w:rsidRDefault="00BE554D" w:rsidP="00925CAD">
      <w:pPr>
        <w:pStyle w:val="TableText"/>
        <w:numPr>
          <w:ilvl w:val="0"/>
          <w:numId w:val="42"/>
        </w:numPr>
        <w:rPr>
          <w:rFonts w:ascii="Times New Roman" w:hAnsi="Times New Roman"/>
          <w:spacing w:val="-5"/>
          <w:sz w:val="22"/>
          <w:szCs w:val="22"/>
        </w:rPr>
      </w:pPr>
      <w:r w:rsidRPr="006E44D8">
        <w:rPr>
          <w:rFonts w:ascii="Times New Roman" w:hAnsi="Times New Roman"/>
          <w:spacing w:val="-5"/>
          <w:sz w:val="22"/>
          <w:szCs w:val="22"/>
        </w:rPr>
        <w:t>When Workload is</w:t>
      </w:r>
      <w:r>
        <w:rPr>
          <w:rFonts w:ascii="Times New Roman" w:hAnsi="Times New Roman"/>
          <w:spacing w:val="-5"/>
          <w:sz w:val="22"/>
          <w:szCs w:val="22"/>
        </w:rPr>
        <w:t xml:space="preserve"> not configured per </w:t>
      </w:r>
      <w:r w:rsidRPr="006E44D8">
        <w:rPr>
          <w:rFonts w:ascii="Times New Roman" w:hAnsi="Times New Roman"/>
          <w:spacing w:val="-5"/>
          <w:sz w:val="22"/>
          <w:szCs w:val="22"/>
        </w:rPr>
        <w:t>Workload Codes, then Workload cannot be collected.</w:t>
      </w:r>
    </w:p>
    <w:p w14:paraId="622FA517" w14:textId="77777777" w:rsidR="00ED1FEE" w:rsidRPr="00ED1FEE" w:rsidRDefault="00ED1FEE" w:rsidP="00925CAD">
      <w:pPr>
        <w:pStyle w:val="TableText"/>
        <w:numPr>
          <w:ilvl w:val="0"/>
          <w:numId w:val="42"/>
        </w:numPr>
        <w:rPr>
          <w:rFonts w:ascii="Times New Roman" w:hAnsi="Times New Roman"/>
          <w:spacing w:val="-5"/>
          <w:sz w:val="22"/>
          <w:szCs w:val="22"/>
        </w:rPr>
      </w:pPr>
      <w:r w:rsidRPr="00672710">
        <w:rPr>
          <w:rFonts w:ascii="Times New Roman" w:hAnsi="Times New Roman"/>
          <w:spacing w:val="-5"/>
          <w:sz w:val="22"/>
          <w:szCs w:val="22"/>
        </w:rPr>
        <w:t>Review comment entered for ABO/Rh test results from an automated instrument is associated with both ABO and Rh interpretation and will be displayed for both on reports.</w:t>
      </w:r>
      <w:r>
        <w:rPr>
          <w:rFonts w:ascii="Times New Roman" w:hAnsi="Times New Roman"/>
          <w:spacing w:val="-5"/>
          <w:sz w:val="22"/>
          <w:szCs w:val="22"/>
        </w:rPr>
        <w:t xml:space="preserve"> </w:t>
      </w:r>
      <w:r w:rsidRPr="00672710">
        <w:rPr>
          <w:rFonts w:ascii="Times New Roman" w:hAnsi="Times New Roman"/>
          <w:vanish/>
          <w:spacing w:val="-5"/>
          <w:sz w:val="22"/>
          <w:szCs w:val="22"/>
        </w:rPr>
        <w:t>Defect 382981</w:t>
      </w:r>
    </w:p>
    <w:p w14:paraId="58DD4C2E" w14:textId="77777777" w:rsidR="00BE554D" w:rsidRDefault="00BE554D" w:rsidP="00BE554D">
      <w:pPr>
        <w:pStyle w:val="Heading4"/>
        <w:rPr>
          <w:b w:val="0"/>
        </w:rPr>
      </w:pPr>
      <w:r>
        <w:t>User Roles with Access to This Option</w:t>
      </w:r>
      <w:r>
        <w:rPr>
          <w:b w:val="0"/>
        </w:rPr>
        <w:t xml:space="preserve"> </w:t>
      </w:r>
    </w:p>
    <w:p w14:paraId="3CC05EF9" w14:textId="77777777" w:rsidR="00BE554D" w:rsidRDefault="00BE554D" w:rsidP="00BE554D">
      <w:pPr>
        <w:pStyle w:val="Roles"/>
      </w:pPr>
      <w:r>
        <w:t>All users</w:t>
      </w:r>
    </w:p>
    <w:p w14:paraId="3B083D44" w14:textId="77777777" w:rsidR="00BE554D" w:rsidRPr="00311A54" w:rsidRDefault="00BE554D" w:rsidP="00BE554D">
      <w:pPr>
        <w:pStyle w:val="Heading4"/>
      </w:pPr>
      <w:r w:rsidRPr="00311A54">
        <w:t>Automated Testing Review</w:t>
      </w:r>
    </w:p>
    <w:p w14:paraId="46232621" w14:textId="77777777" w:rsidR="00BE554D" w:rsidRDefault="00BE554D" w:rsidP="00BE554D">
      <w:pPr>
        <w:pStyle w:val="BodyText"/>
      </w:pPr>
      <w:r>
        <w:t>This feature allows the interface of automated blood banking instruments with VBECS through Data Innovations Instrument Manager. It eliminates the potential for human error associated with the manual entry of results from an automated instrument into VBECS. It also eliminates the potential for transcription errors that can lead to a patient safety issue of ABO incompatible transfusion. In addition to safety, these enhancements will also reduce the time spent entering results manually</w:t>
      </w:r>
      <w:r w:rsidRPr="00311A54">
        <w: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BE554D" w14:paraId="6656C105" w14:textId="77777777" w:rsidTr="00381224">
        <w:trPr>
          <w:cantSplit/>
          <w:tblHeader/>
        </w:trPr>
        <w:tc>
          <w:tcPr>
            <w:tcW w:w="3240" w:type="dxa"/>
            <w:shd w:val="pct30" w:color="auto" w:fill="FFFFFF"/>
            <w:vAlign w:val="bottom"/>
          </w:tcPr>
          <w:p w14:paraId="4D7AA451" w14:textId="77777777" w:rsidR="00BE554D" w:rsidRDefault="00BE554D" w:rsidP="00381224">
            <w:pPr>
              <w:pStyle w:val="TableText"/>
              <w:rPr>
                <w:b/>
              </w:rPr>
            </w:pPr>
            <w:r>
              <w:rPr>
                <w:b/>
              </w:rPr>
              <w:t>User Action</w:t>
            </w:r>
          </w:p>
        </w:tc>
        <w:tc>
          <w:tcPr>
            <w:tcW w:w="6120" w:type="dxa"/>
            <w:shd w:val="pct30" w:color="auto" w:fill="FFFFFF"/>
            <w:vAlign w:val="bottom"/>
          </w:tcPr>
          <w:p w14:paraId="74FE9994" w14:textId="77777777" w:rsidR="00BE554D" w:rsidRDefault="00BE554D" w:rsidP="00381224">
            <w:pPr>
              <w:pStyle w:val="TableText"/>
              <w:rPr>
                <w:b/>
              </w:rPr>
            </w:pPr>
            <w:r>
              <w:rPr>
                <w:b/>
              </w:rPr>
              <w:t>VBECS</w:t>
            </w:r>
          </w:p>
        </w:tc>
      </w:tr>
      <w:tr w:rsidR="00BE554D" w14:paraId="6E3DB6DD" w14:textId="77777777" w:rsidTr="00381224">
        <w:tc>
          <w:tcPr>
            <w:tcW w:w="3240" w:type="dxa"/>
          </w:tcPr>
          <w:p w14:paraId="2937B934" w14:textId="77777777" w:rsidR="001631DF" w:rsidRDefault="001631DF" w:rsidP="00925CAD">
            <w:pPr>
              <w:pStyle w:val="TableTextNumbers"/>
              <w:numPr>
                <w:ilvl w:val="0"/>
                <w:numId w:val="47"/>
              </w:numPr>
            </w:pPr>
            <w:r>
              <w:t xml:space="preserve">User logs into VBECS and selects </w:t>
            </w:r>
            <w:r>
              <w:rPr>
                <w:b/>
              </w:rPr>
              <w:t>Patients</w:t>
            </w:r>
            <w:r w:rsidRPr="001631DF">
              <w:rPr>
                <w:b/>
              </w:rPr>
              <w:t>, Automated Testing</w:t>
            </w:r>
            <w:r>
              <w:t xml:space="preserve"> from the main menu.</w:t>
            </w:r>
          </w:p>
          <w:p w14:paraId="59C8D84E" w14:textId="77777777" w:rsidR="001631DF" w:rsidRDefault="001631DF" w:rsidP="001631DF">
            <w:pPr>
              <w:pStyle w:val="TableTextNumbers"/>
              <w:numPr>
                <w:ilvl w:val="0"/>
                <w:numId w:val="0"/>
              </w:numPr>
              <w:ind w:left="288"/>
            </w:pPr>
          </w:p>
          <w:p w14:paraId="091F0F11" w14:textId="77777777" w:rsidR="001631DF" w:rsidRDefault="001631DF" w:rsidP="001631DF">
            <w:pPr>
              <w:pStyle w:val="TableTextNumbers"/>
              <w:numPr>
                <w:ilvl w:val="0"/>
                <w:numId w:val="0"/>
              </w:numPr>
              <w:ind w:left="288"/>
            </w:pPr>
            <w:r>
              <w:t>Or</w:t>
            </w:r>
          </w:p>
          <w:p w14:paraId="0791B3C7" w14:textId="77777777" w:rsidR="001631DF" w:rsidRDefault="001631DF" w:rsidP="001631DF">
            <w:pPr>
              <w:pStyle w:val="TableTextNumbers"/>
              <w:numPr>
                <w:ilvl w:val="0"/>
                <w:numId w:val="0"/>
              </w:numPr>
              <w:ind w:left="288"/>
            </w:pPr>
          </w:p>
          <w:p w14:paraId="7BAAA066" w14:textId="671A0058" w:rsidR="00BE554D" w:rsidRDefault="001631DF" w:rsidP="001631DF">
            <w:pPr>
              <w:pStyle w:val="TableTextNumbers"/>
              <w:numPr>
                <w:ilvl w:val="0"/>
                <w:numId w:val="0"/>
              </w:numPr>
              <w:ind w:left="288"/>
            </w:pPr>
            <w:r>
              <w:t xml:space="preserve">User logs into VBECS and clicks on the </w:t>
            </w:r>
            <w:r w:rsidRPr="001631DF">
              <w:rPr>
                <w:b/>
              </w:rPr>
              <w:t>Automated Testing Toolbar Icon</w:t>
            </w:r>
            <w:r>
              <w:t xml:space="preserve"> (patient face with </w:t>
            </w:r>
            <w:r w:rsidR="002E5AC8">
              <w:t>lightning</w:t>
            </w:r>
            <w:r>
              <w:t xml:space="preserve"> bolt)</w:t>
            </w:r>
          </w:p>
        </w:tc>
        <w:tc>
          <w:tcPr>
            <w:tcW w:w="6120" w:type="dxa"/>
          </w:tcPr>
          <w:p w14:paraId="5BD8515A" w14:textId="77777777" w:rsidR="001631DF" w:rsidRDefault="00D279DE" w:rsidP="001631DF">
            <w:pPr>
              <w:pStyle w:val="TableTextBullet"/>
            </w:pPr>
            <w:r>
              <w:t>Displays</w:t>
            </w:r>
            <w:r w:rsidR="001631DF">
              <w:t xml:space="preserve"> the Automated Testing – Pending Patient Orders window.</w:t>
            </w:r>
          </w:p>
          <w:p w14:paraId="14B5E3E8" w14:textId="77777777" w:rsidR="001631DF" w:rsidRDefault="001631DF" w:rsidP="001631DF">
            <w:pPr>
              <w:pStyle w:val="TableTextBullet"/>
            </w:pPr>
            <w:r>
              <w:rPr>
                <w:rFonts w:cs="Arial"/>
                <w:vanish/>
              </w:rPr>
              <w:t xml:space="preserve">BR_85.02 </w:t>
            </w:r>
            <w:r w:rsidR="00D279DE">
              <w:t xml:space="preserve">Allows a user </w:t>
            </w:r>
            <w:r>
              <w:t>to select a patient.</w:t>
            </w:r>
          </w:p>
          <w:p w14:paraId="20F4F893" w14:textId="77777777" w:rsidR="001631DF" w:rsidRDefault="001631DF" w:rsidP="001631DF">
            <w:pPr>
              <w:pStyle w:val="TableTextBullet"/>
            </w:pPr>
            <w:r>
              <w:t xml:space="preserve">Displays message when no pending </w:t>
            </w:r>
            <w:r w:rsidR="004A39DB">
              <w:t>patient specimens</w:t>
            </w:r>
            <w:r>
              <w:t xml:space="preserve"> were found to review.</w:t>
            </w:r>
          </w:p>
          <w:p w14:paraId="70F0E934" w14:textId="77777777" w:rsidR="00BE554D" w:rsidRDefault="00BE554D" w:rsidP="00381224">
            <w:pPr>
              <w:pStyle w:val="TableTextBullet"/>
              <w:numPr>
                <w:ilvl w:val="0"/>
                <w:numId w:val="0"/>
              </w:numPr>
              <w:ind w:left="288" w:hanging="288"/>
            </w:pPr>
          </w:p>
          <w:p w14:paraId="652F6CDE" w14:textId="7FF86AC4" w:rsidR="00BE554D" w:rsidRDefault="00BE554D" w:rsidP="00381224">
            <w:pPr>
              <w:pStyle w:val="TableText"/>
              <w:rPr>
                <w:b/>
                <w:bCs/>
                <w:szCs w:val="18"/>
              </w:rPr>
            </w:pPr>
            <w:r>
              <w:rPr>
                <w:b/>
                <w:bCs/>
                <w:szCs w:val="18"/>
              </w:rPr>
              <w:t>NOTES</w:t>
            </w:r>
          </w:p>
          <w:p w14:paraId="67707FF3" w14:textId="77777777" w:rsidR="00BE554D" w:rsidRDefault="00BE554D" w:rsidP="00381224">
            <w:pPr>
              <w:pStyle w:val="NotesText"/>
            </w:pPr>
          </w:p>
          <w:p w14:paraId="61E97E6B" w14:textId="77777777" w:rsidR="001631DF" w:rsidRDefault="001631DF" w:rsidP="001631DF">
            <w:pPr>
              <w:pStyle w:val="TableText"/>
              <w:ind w:left="720"/>
            </w:pPr>
            <w:r w:rsidRPr="00425938">
              <w:rPr>
                <w:vanish/>
              </w:rPr>
              <w:t xml:space="preserve">BR_2.43 </w:t>
            </w:r>
            <w:r>
              <w:t>The functionality is not accessible if division is defined as a Transfusion Only facility.</w:t>
            </w:r>
          </w:p>
          <w:p w14:paraId="55A3B359" w14:textId="77777777" w:rsidR="001631DF" w:rsidRDefault="001631DF" w:rsidP="001631DF">
            <w:pPr>
              <w:pStyle w:val="NotesText"/>
            </w:pPr>
          </w:p>
          <w:p w14:paraId="04244D6E" w14:textId="77777777" w:rsidR="001631DF" w:rsidRDefault="001631DF" w:rsidP="001631DF">
            <w:pPr>
              <w:pStyle w:val="TableText"/>
              <w:ind w:left="720"/>
            </w:pPr>
            <w:r w:rsidRPr="00F47ABD">
              <w:rPr>
                <w:vanish/>
              </w:rPr>
              <w:t xml:space="preserve">BR_115.03 </w:t>
            </w:r>
            <w:r>
              <w:t>The list displayed contains only those patients associated with pending results from an instrument message.</w:t>
            </w:r>
          </w:p>
          <w:p w14:paraId="7FBB1E3E" w14:textId="77777777" w:rsidR="001631DF" w:rsidRDefault="001631DF" w:rsidP="001631DF">
            <w:pPr>
              <w:pStyle w:val="TableText"/>
              <w:ind w:left="720"/>
            </w:pPr>
          </w:p>
          <w:p w14:paraId="488433F3" w14:textId="77777777" w:rsidR="001631DF" w:rsidRDefault="001631DF" w:rsidP="001631DF">
            <w:pPr>
              <w:pStyle w:val="TableText"/>
              <w:ind w:left="720"/>
            </w:pPr>
            <w:r w:rsidRPr="00F47ABD">
              <w:rPr>
                <w:vanish/>
              </w:rPr>
              <w:t xml:space="preserve">BR_115.04 </w:t>
            </w:r>
            <w:r>
              <w:t>System displays a list of patients who have pending test results from Auto Instrument including the following information:</w:t>
            </w:r>
          </w:p>
          <w:p w14:paraId="12C9BBD6" w14:textId="77777777" w:rsidR="001631DF" w:rsidRDefault="001631DF" w:rsidP="00925CAD">
            <w:pPr>
              <w:pStyle w:val="TableText"/>
              <w:numPr>
                <w:ilvl w:val="0"/>
                <w:numId w:val="43"/>
              </w:numPr>
            </w:pPr>
            <w:r>
              <w:t>Patient name</w:t>
            </w:r>
          </w:p>
          <w:p w14:paraId="6037A9F3" w14:textId="77777777" w:rsidR="001631DF" w:rsidRDefault="001631DF" w:rsidP="00925CAD">
            <w:pPr>
              <w:pStyle w:val="TableText"/>
              <w:numPr>
                <w:ilvl w:val="0"/>
                <w:numId w:val="43"/>
              </w:numPr>
            </w:pPr>
            <w:r>
              <w:t>Patient ID</w:t>
            </w:r>
          </w:p>
          <w:p w14:paraId="527FCBBC" w14:textId="77777777" w:rsidR="001631DF" w:rsidRDefault="001631DF" w:rsidP="00925CAD">
            <w:pPr>
              <w:pStyle w:val="TableText"/>
              <w:numPr>
                <w:ilvl w:val="0"/>
                <w:numId w:val="43"/>
              </w:numPr>
            </w:pPr>
            <w:r>
              <w:t>Patient Historic ABO/Rh</w:t>
            </w:r>
          </w:p>
          <w:p w14:paraId="0BB7B9D3" w14:textId="77777777" w:rsidR="001631DF" w:rsidRDefault="001631DF" w:rsidP="00925CAD">
            <w:pPr>
              <w:pStyle w:val="TableText"/>
              <w:numPr>
                <w:ilvl w:val="0"/>
                <w:numId w:val="43"/>
              </w:numPr>
            </w:pPr>
            <w:r>
              <w:t>Specimen UIDs</w:t>
            </w:r>
          </w:p>
          <w:p w14:paraId="226094EB" w14:textId="77777777" w:rsidR="00BE554D" w:rsidRPr="000D7828" w:rsidRDefault="00D00CAC" w:rsidP="00925CAD">
            <w:pPr>
              <w:pStyle w:val="TableText"/>
              <w:numPr>
                <w:ilvl w:val="0"/>
                <w:numId w:val="43"/>
              </w:numPr>
            </w:pPr>
            <w:r>
              <w:t>List of pending auto instrument tests for patient</w:t>
            </w:r>
          </w:p>
        </w:tc>
      </w:tr>
      <w:tr w:rsidR="00BE554D" w14:paraId="25FA24B6" w14:textId="77777777" w:rsidTr="00381224">
        <w:tc>
          <w:tcPr>
            <w:tcW w:w="3240" w:type="dxa"/>
          </w:tcPr>
          <w:p w14:paraId="509D1EAA" w14:textId="77777777" w:rsidR="001631DF" w:rsidRPr="00061040" w:rsidRDefault="00BE554D" w:rsidP="00381224">
            <w:pPr>
              <w:pStyle w:val="TableTextNumbers"/>
            </w:pPr>
            <w:r w:rsidRPr="00061040">
              <w:t xml:space="preserve">User selects </w:t>
            </w:r>
            <w:r w:rsidR="00D044A1" w:rsidRPr="00061040">
              <w:t>the</w:t>
            </w:r>
            <w:r w:rsidR="001631DF" w:rsidRPr="00061040">
              <w:t xml:space="preserve"> </w:t>
            </w:r>
            <w:r w:rsidR="00D044A1" w:rsidRPr="00061040">
              <w:t>p</w:t>
            </w:r>
            <w:r w:rsidR="001631DF" w:rsidRPr="00061040">
              <w:t>atient to review from the list of pending results</w:t>
            </w:r>
            <w:r w:rsidR="00D044A1" w:rsidRPr="00061040">
              <w:t xml:space="preserve"> and clicks </w:t>
            </w:r>
            <w:r w:rsidR="00D044A1" w:rsidRPr="00061040">
              <w:rPr>
                <w:b/>
              </w:rPr>
              <w:t>OK</w:t>
            </w:r>
            <w:r w:rsidR="00D044A1" w:rsidRPr="00061040">
              <w:t>.</w:t>
            </w:r>
          </w:p>
          <w:p w14:paraId="36AE4CA1" w14:textId="77777777" w:rsidR="00BE554D" w:rsidRDefault="00BE554D" w:rsidP="001631DF">
            <w:pPr>
              <w:pStyle w:val="TableTextNumbers"/>
              <w:numPr>
                <w:ilvl w:val="0"/>
                <w:numId w:val="0"/>
              </w:numPr>
              <w:ind w:left="288"/>
            </w:pPr>
          </w:p>
        </w:tc>
        <w:tc>
          <w:tcPr>
            <w:tcW w:w="6120" w:type="dxa"/>
          </w:tcPr>
          <w:p w14:paraId="57BE9367" w14:textId="77777777" w:rsidR="00D044A1" w:rsidRDefault="00D044A1" w:rsidP="00D044A1">
            <w:pPr>
              <w:pStyle w:val="TableTextBullet"/>
            </w:pPr>
            <w:r>
              <w:rPr>
                <w:rFonts w:cs="Arial"/>
                <w:vanish/>
              </w:rPr>
              <w:t xml:space="preserve">BR_115.14 </w:t>
            </w:r>
            <w:r w:rsidR="00D279DE">
              <w:t>D</w:t>
            </w:r>
            <w:r>
              <w:t>isplays information about the patient selected.</w:t>
            </w:r>
          </w:p>
          <w:p w14:paraId="4529CB3B" w14:textId="77777777" w:rsidR="00BE554D" w:rsidRDefault="00BE554D" w:rsidP="00381224">
            <w:pPr>
              <w:pStyle w:val="TableTextBullet"/>
              <w:numPr>
                <w:ilvl w:val="0"/>
                <w:numId w:val="0"/>
              </w:numPr>
              <w:ind w:left="288" w:hanging="288"/>
            </w:pPr>
          </w:p>
          <w:p w14:paraId="6F667717" w14:textId="7824E1A1" w:rsidR="00BE554D" w:rsidRDefault="00BE554D" w:rsidP="00381224">
            <w:pPr>
              <w:pStyle w:val="TableText"/>
              <w:rPr>
                <w:b/>
                <w:bCs/>
                <w:szCs w:val="18"/>
              </w:rPr>
            </w:pPr>
            <w:r>
              <w:rPr>
                <w:b/>
                <w:bCs/>
                <w:szCs w:val="18"/>
              </w:rPr>
              <w:t>NOTES</w:t>
            </w:r>
          </w:p>
          <w:p w14:paraId="48F39355" w14:textId="77777777" w:rsidR="00BE554D" w:rsidRDefault="00BE554D" w:rsidP="00381224">
            <w:pPr>
              <w:pStyle w:val="NotesText"/>
            </w:pPr>
          </w:p>
          <w:p w14:paraId="436805F6" w14:textId="77777777" w:rsidR="00BE554D" w:rsidRDefault="00BE554D" w:rsidP="00381224">
            <w:pPr>
              <w:pStyle w:val="TableText"/>
              <w:ind w:left="720"/>
            </w:pPr>
            <w:r w:rsidRPr="00F47ABD">
              <w:rPr>
                <w:vanish/>
              </w:rPr>
              <w:t xml:space="preserve">BR_115.03 </w:t>
            </w:r>
            <w:r>
              <w:t>The list displayed contains only those patients associated with pending results from an instrument message.</w:t>
            </w:r>
          </w:p>
          <w:p w14:paraId="08B97F4B" w14:textId="77777777" w:rsidR="00D044A1" w:rsidRDefault="00D044A1" w:rsidP="00381224">
            <w:pPr>
              <w:pStyle w:val="TableText"/>
              <w:ind w:left="720"/>
            </w:pPr>
          </w:p>
          <w:p w14:paraId="4F551A51" w14:textId="77777777" w:rsidR="00BE554D" w:rsidRDefault="00BE554D" w:rsidP="00381224">
            <w:pPr>
              <w:pStyle w:val="TableText"/>
              <w:ind w:left="720"/>
            </w:pPr>
            <w:r w:rsidRPr="00F47ABD">
              <w:rPr>
                <w:vanish/>
              </w:rPr>
              <w:t xml:space="preserve">BR_115.04 </w:t>
            </w:r>
            <w:r>
              <w:t>System displays a list of patients who have pending test results from Auto Instrument including the following information:</w:t>
            </w:r>
          </w:p>
          <w:p w14:paraId="0EDF6680" w14:textId="77777777" w:rsidR="00BE554D" w:rsidRDefault="00BE554D" w:rsidP="00925CAD">
            <w:pPr>
              <w:pStyle w:val="TableText"/>
              <w:numPr>
                <w:ilvl w:val="0"/>
                <w:numId w:val="43"/>
              </w:numPr>
            </w:pPr>
            <w:r>
              <w:t>Patient name</w:t>
            </w:r>
          </w:p>
          <w:p w14:paraId="2B6C0482" w14:textId="77777777" w:rsidR="00BE554D" w:rsidRDefault="00BE554D" w:rsidP="00925CAD">
            <w:pPr>
              <w:pStyle w:val="TableText"/>
              <w:numPr>
                <w:ilvl w:val="0"/>
                <w:numId w:val="43"/>
              </w:numPr>
            </w:pPr>
            <w:r>
              <w:t>Patient ID</w:t>
            </w:r>
          </w:p>
          <w:p w14:paraId="69F5B80E" w14:textId="77777777" w:rsidR="00BE554D" w:rsidRDefault="00BE554D" w:rsidP="00925CAD">
            <w:pPr>
              <w:pStyle w:val="TableText"/>
              <w:numPr>
                <w:ilvl w:val="0"/>
                <w:numId w:val="43"/>
              </w:numPr>
            </w:pPr>
            <w:r>
              <w:t>Patient Historic ABO/Rh</w:t>
            </w:r>
          </w:p>
          <w:p w14:paraId="12A2E035" w14:textId="77777777" w:rsidR="00BE554D" w:rsidRDefault="00BE554D" w:rsidP="00925CAD">
            <w:pPr>
              <w:pStyle w:val="TableText"/>
              <w:numPr>
                <w:ilvl w:val="0"/>
                <w:numId w:val="43"/>
              </w:numPr>
            </w:pPr>
            <w:r>
              <w:lastRenderedPageBreak/>
              <w:t>Specimen UIDs</w:t>
            </w:r>
          </w:p>
          <w:p w14:paraId="0D80130B" w14:textId="77777777" w:rsidR="00BE554D" w:rsidRDefault="00BE554D" w:rsidP="00925CAD">
            <w:pPr>
              <w:pStyle w:val="TableText"/>
              <w:numPr>
                <w:ilvl w:val="0"/>
                <w:numId w:val="43"/>
              </w:numPr>
            </w:pPr>
            <w:r>
              <w:t>List of pending auto instrument tests for patient</w:t>
            </w:r>
          </w:p>
          <w:p w14:paraId="056752E8" w14:textId="77777777" w:rsidR="00D044A1" w:rsidRDefault="00D044A1" w:rsidP="00D044A1">
            <w:pPr>
              <w:pStyle w:val="TableText"/>
              <w:ind w:left="720"/>
              <w:rPr>
                <w:vanish/>
              </w:rPr>
            </w:pPr>
          </w:p>
          <w:p w14:paraId="67E453D0" w14:textId="77777777" w:rsidR="00D044A1" w:rsidRDefault="00D044A1" w:rsidP="00D044A1">
            <w:pPr>
              <w:pStyle w:val="TableText"/>
              <w:ind w:left="720"/>
            </w:pPr>
            <w:r w:rsidRPr="00F47ABD">
              <w:rPr>
                <w:vanish/>
              </w:rPr>
              <w:t xml:space="preserve">BR_115.14 </w:t>
            </w:r>
            <w:r>
              <w:t>When patient is selected the system displays the following information:</w:t>
            </w:r>
          </w:p>
          <w:p w14:paraId="3D7041FB" w14:textId="77777777" w:rsidR="00D044A1" w:rsidRDefault="00D044A1" w:rsidP="00925CAD">
            <w:pPr>
              <w:pStyle w:val="TableText"/>
              <w:numPr>
                <w:ilvl w:val="0"/>
                <w:numId w:val="43"/>
              </w:numPr>
            </w:pPr>
            <w:r>
              <w:t>Patient name</w:t>
            </w:r>
          </w:p>
          <w:p w14:paraId="16A017D9" w14:textId="77777777" w:rsidR="00D044A1" w:rsidRDefault="00D044A1" w:rsidP="00925CAD">
            <w:pPr>
              <w:pStyle w:val="TableText"/>
              <w:numPr>
                <w:ilvl w:val="0"/>
                <w:numId w:val="43"/>
              </w:numPr>
            </w:pPr>
            <w:r>
              <w:t>Patient ID</w:t>
            </w:r>
          </w:p>
          <w:p w14:paraId="16BF9542" w14:textId="77777777" w:rsidR="00D044A1" w:rsidRDefault="00D044A1" w:rsidP="00925CAD">
            <w:pPr>
              <w:pStyle w:val="TableText"/>
              <w:numPr>
                <w:ilvl w:val="0"/>
                <w:numId w:val="43"/>
              </w:numPr>
            </w:pPr>
            <w:r>
              <w:t>Patient DOB</w:t>
            </w:r>
          </w:p>
          <w:p w14:paraId="4ECDCC02" w14:textId="77777777" w:rsidR="00D044A1" w:rsidRDefault="00D044A1" w:rsidP="00925CAD">
            <w:pPr>
              <w:pStyle w:val="TableText"/>
              <w:numPr>
                <w:ilvl w:val="0"/>
                <w:numId w:val="43"/>
              </w:numPr>
            </w:pPr>
            <w:r>
              <w:t>Patient Historic ABO/Rh</w:t>
            </w:r>
          </w:p>
          <w:p w14:paraId="48184A0F" w14:textId="77777777" w:rsidR="00D044A1" w:rsidRDefault="00D044A1" w:rsidP="00925CAD">
            <w:pPr>
              <w:pStyle w:val="TableText"/>
              <w:numPr>
                <w:ilvl w:val="0"/>
                <w:numId w:val="43"/>
              </w:numPr>
            </w:pPr>
            <w:r>
              <w:t>Patient Sex</w:t>
            </w:r>
          </w:p>
          <w:p w14:paraId="66DDF96A" w14:textId="77777777" w:rsidR="00D044A1" w:rsidRDefault="00D044A1" w:rsidP="00925CAD">
            <w:pPr>
              <w:pStyle w:val="TableText"/>
              <w:numPr>
                <w:ilvl w:val="0"/>
                <w:numId w:val="43"/>
              </w:numPr>
            </w:pPr>
            <w:r>
              <w:t>Patient location</w:t>
            </w:r>
          </w:p>
          <w:p w14:paraId="6CB63AC9" w14:textId="77777777" w:rsidR="00D044A1" w:rsidRDefault="00D044A1" w:rsidP="00D044A1">
            <w:pPr>
              <w:pStyle w:val="TableText"/>
            </w:pPr>
          </w:p>
        </w:tc>
      </w:tr>
      <w:tr w:rsidR="00BE554D" w14:paraId="67E4EC09" w14:textId="77777777" w:rsidTr="00381224">
        <w:tc>
          <w:tcPr>
            <w:tcW w:w="3240" w:type="dxa"/>
          </w:tcPr>
          <w:p w14:paraId="085F1EFB" w14:textId="2D13B133" w:rsidR="0071317D" w:rsidRDefault="00BE554D" w:rsidP="00381224">
            <w:pPr>
              <w:pStyle w:val="TableTextNumbers"/>
            </w:pPr>
            <w:r w:rsidRPr="00396B2B">
              <w:lastRenderedPageBreak/>
              <w:t>User selec</w:t>
            </w:r>
            <w:r>
              <w:t xml:space="preserve">ts </w:t>
            </w:r>
            <w:r w:rsidR="0071317D">
              <w:t>from the testing tabs that are enabled on the Automated Testing – Pending Specimen Tests window</w:t>
            </w:r>
            <w:r w:rsidR="00937534">
              <w:t xml:space="preserve"> (</w:t>
            </w:r>
            <w:r w:rsidR="00EE455E">
              <w:t xml:space="preserve">Figure </w:t>
            </w:r>
            <w:r w:rsidR="00EE455E">
              <w:rPr>
                <w:noProof/>
              </w:rPr>
              <w:t>116</w:t>
            </w:r>
            <w:r w:rsidR="00937534">
              <w:t>)</w:t>
            </w:r>
            <w:r w:rsidR="0071317D">
              <w:t>.</w:t>
            </w:r>
          </w:p>
          <w:p w14:paraId="443433E3" w14:textId="77777777" w:rsidR="0071317D" w:rsidRPr="0071317D" w:rsidRDefault="0071317D" w:rsidP="0071317D">
            <w:pPr>
              <w:pStyle w:val="TableTextNumbers"/>
              <w:numPr>
                <w:ilvl w:val="0"/>
                <w:numId w:val="0"/>
              </w:numPr>
              <w:ind w:left="288"/>
            </w:pPr>
          </w:p>
          <w:p w14:paraId="21B767DB" w14:textId="77777777" w:rsidR="0071317D" w:rsidRDefault="002615AD" w:rsidP="0071317D">
            <w:pPr>
              <w:pStyle w:val="TableTextNumbers"/>
              <w:numPr>
                <w:ilvl w:val="0"/>
                <w:numId w:val="0"/>
              </w:numPr>
              <w:ind w:left="288"/>
            </w:pPr>
            <w:r w:rsidRPr="002615AD">
              <w:rPr>
                <w:b/>
              </w:rPr>
              <w:t>TAS</w:t>
            </w:r>
            <w:r>
              <w:t xml:space="preserve"> tab </w:t>
            </w:r>
          </w:p>
          <w:p w14:paraId="1417EE9D" w14:textId="77777777" w:rsidR="0071317D" w:rsidRPr="002615AD" w:rsidRDefault="0071317D" w:rsidP="0071317D">
            <w:pPr>
              <w:pStyle w:val="TableTextNumbers"/>
              <w:numPr>
                <w:ilvl w:val="0"/>
                <w:numId w:val="0"/>
              </w:numPr>
              <w:ind w:left="288"/>
              <w:rPr>
                <w:b/>
              </w:rPr>
            </w:pPr>
          </w:p>
          <w:p w14:paraId="7529BD65" w14:textId="77777777" w:rsidR="00BE554D" w:rsidRDefault="002615AD" w:rsidP="0071317D">
            <w:pPr>
              <w:pStyle w:val="TableTextNumbers"/>
              <w:numPr>
                <w:ilvl w:val="0"/>
                <w:numId w:val="0"/>
              </w:numPr>
              <w:ind w:left="288"/>
            </w:pPr>
            <w:r w:rsidRPr="002615AD">
              <w:rPr>
                <w:b/>
              </w:rPr>
              <w:t>ABO/Rh</w:t>
            </w:r>
            <w:r>
              <w:t xml:space="preserve"> tab</w:t>
            </w:r>
          </w:p>
          <w:p w14:paraId="5D53CD04" w14:textId="77777777" w:rsidR="002615AD" w:rsidRDefault="002615AD" w:rsidP="0071317D">
            <w:pPr>
              <w:pStyle w:val="TableTextNumbers"/>
              <w:numPr>
                <w:ilvl w:val="0"/>
                <w:numId w:val="0"/>
              </w:numPr>
              <w:ind w:left="288"/>
            </w:pPr>
          </w:p>
          <w:p w14:paraId="72ED0012" w14:textId="77777777" w:rsidR="002615AD" w:rsidRPr="002615AD" w:rsidRDefault="002615AD" w:rsidP="0071317D">
            <w:pPr>
              <w:pStyle w:val="TableTextNumbers"/>
              <w:numPr>
                <w:ilvl w:val="0"/>
                <w:numId w:val="0"/>
              </w:numPr>
              <w:ind w:left="288"/>
            </w:pPr>
            <w:r>
              <w:rPr>
                <w:b/>
              </w:rPr>
              <w:t>ABS</w:t>
            </w:r>
            <w:r>
              <w:t xml:space="preserve"> tab.</w:t>
            </w:r>
          </w:p>
          <w:p w14:paraId="0928A8C8" w14:textId="77777777" w:rsidR="002615AD" w:rsidRDefault="002615AD" w:rsidP="0071317D">
            <w:pPr>
              <w:pStyle w:val="TableTextNumbers"/>
              <w:numPr>
                <w:ilvl w:val="0"/>
                <w:numId w:val="0"/>
              </w:numPr>
              <w:ind w:left="288"/>
              <w:rPr>
                <w:b/>
              </w:rPr>
            </w:pPr>
          </w:p>
          <w:p w14:paraId="77DFA60B" w14:textId="77777777" w:rsidR="002615AD" w:rsidRDefault="002615AD" w:rsidP="0071317D">
            <w:pPr>
              <w:pStyle w:val="TableTextNumbers"/>
              <w:numPr>
                <w:ilvl w:val="0"/>
                <w:numId w:val="0"/>
              </w:numPr>
              <w:ind w:left="288"/>
            </w:pPr>
            <w:r>
              <w:rPr>
                <w:b/>
              </w:rPr>
              <w:t xml:space="preserve">DAT </w:t>
            </w:r>
            <w:r>
              <w:t>tab.</w:t>
            </w:r>
          </w:p>
          <w:p w14:paraId="59F1E656" w14:textId="77777777" w:rsidR="0071317D" w:rsidRDefault="0071317D" w:rsidP="0071317D">
            <w:pPr>
              <w:pStyle w:val="TableTextNumbers"/>
              <w:numPr>
                <w:ilvl w:val="0"/>
                <w:numId w:val="0"/>
              </w:numPr>
              <w:ind w:left="288"/>
              <w:rPr>
                <w:b/>
              </w:rPr>
            </w:pPr>
          </w:p>
          <w:p w14:paraId="301E5247" w14:textId="77777777" w:rsidR="0071317D" w:rsidRPr="0071317D" w:rsidRDefault="0071317D" w:rsidP="0071317D">
            <w:pPr>
              <w:pStyle w:val="TableTextNumbers"/>
              <w:numPr>
                <w:ilvl w:val="0"/>
                <w:numId w:val="0"/>
              </w:numPr>
              <w:ind w:left="288"/>
            </w:pPr>
            <w:r>
              <w:rPr>
                <w:b/>
              </w:rPr>
              <w:t>An</w:t>
            </w:r>
            <w:r w:rsidR="00D3261A">
              <w:rPr>
                <w:b/>
              </w:rPr>
              <w:t>t</w:t>
            </w:r>
            <w:r>
              <w:rPr>
                <w:b/>
              </w:rPr>
              <w:t xml:space="preserve">igen Typing </w:t>
            </w:r>
            <w:r>
              <w:t>tab</w:t>
            </w:r>
          </w:p>
          <w:p w14:paraId="164729E3" w14:textId="77777777" w:rsidR="002615AD" w:rsidRDefault="002615AD" w:rsidP="0071317D">
            <w:pPr>
              <w:pStyle w:val="TableTextNumbers"/>
              <w:numPr>
                <w:ilvl w:val="0"/>
                <w:numId w:val="0"/>
              </w:numPr>
              <w:ind w:left="288"/>
              <w:rPr>
                <w:b/>
              </w:rPr>
            </w:pPr>
          </w:p>
          <w:p w14:paraId="7AB5D143" w14:textId="340C32B2" w:rsidR="00BE554D" w:rsidRDefault="00E82F44" w:rsidP="00FB2A8A">
            <w:pPr>
              <w:pStyle w:val="TableTextNumbers"/>
              <w:numPr>
                <w:ilvl w:val="0"/>
                <w:numId w:val="0"/>
              </w:numPr>
              <w:ind w:left="288"/>
            </w:pPr>
            <w:r>
              <w:t>See S</w:t>
            </w:r>
            <w:r w:rsidR="002615AD">
              <w:t xml:space="preserve">tep </w:t>
            </w:r>
            <w:r w:rsidR="00B16194">
              <w:t>7</w:t>
            </w:r>
            <w:r w:rsidR="002615AD">
              <w:t xml:space="preserve"> for process when the User selects </w:t>
            </w:r>
            <w:r w:rsidR="002615AD">
              <w:rPr>
                <w:b/>
              </w:rPr>
              <w:t>XMatch</w:t>
            </w:r>
            <w:r w:rsidR="002615AD">
              <w:t xml:space="preserve"> tab.</w:t>
            </w:r>
          </w:p>
        </w:tc>
        <w:tc>
          <w:tcPr>
            <w:tcW w:w="6120" w:type="dxa"/>
          </w:tcPr>
          <w:p w14:paraId="2C29FA77" w14:textId="77777777" w:rsidR="0071317D" w:rsidRDefault="00D279DE" w:rsidP="00381224">
            <w:pPr>
              <w:pStyle w:val="TableTextBullet"/>
            </w:pPr>
            <w:r>
              <w:t>D</w:t>
            </w:r>
            <w:r w:rsidR="0071317D">
              <w:t>isplays the first tab from the left side of the screen that has test results to review.</w:t>
            </w:r>
          </w:p>
          <w:p w14:paraId="617A7C46" w14:textId="77777777" w:rsidR="0020636F" w:rsidRDefault="00D279DE" w:rsidP="00381224">
            <w:pPr>
              <w:pStyle w:val="TableTextBullet"/>
            </w:pPr>
            <w:r>
              <w:t>D</w:t>
            </w:r>
            <w:r w:rsidR="0020636F">
              <w:t>etermines that all appropriate test results were entered for the patient.</w:t>
            </w:r>
          </w:p>
          <w:p w14:paraId="32FE697D" w14:textId="77777777" w:rsidR="00BE554D" w:rsidRDefault="00D279DE" w:rsidP="00381224">
            <w:pPr>
              <w:pStyle w:val="TableTextBullet"/>
            </w:pPr>
            <w:r>
              <w:t>V</w:t>
            </w:r>
            <w:r w:rsidR="0020636F">
              <w:t>alidates test results and displays Warning or Error indicator when results do not match expected pattern.</w:t>
            </w:r>
          </w:p>
          <w:p w14:paraId="6521B501" w14:textId="77777777" w:rsidR="0020636F" w:rsidRDefault="0020636F" w:rsidP="00381224">
            <w:pPr>
              <w:pStyle w:val="TableTextBullet"/>
            </w:pPr>
            <w:r>
              <w:t>Displays comments from the Automated Instrument.</w:t>
            </w:r>
          </w:p>
          <w:p w14:paraId="5929C3F9" w14:textId="77777777" w:rsidR="00BE554D" w:rsidRDefault="00BE554D" w:rsidP="00381224">
            <w:pPr>
              <w:pStyle w:val="TableText"/>
            </w:pPr>
          </w:p>
          <w:p w14:paraId="325014C7" w14:textId="39F0C437" w:rsidR="00BE554D" w:rsidRDefault="00BE554D" w:rsidP="00381224">
            <w:pPr>
              <w:pStyle w:val="TableText"/>
              <w:rPr>
                <w:b/>
                <w:bCs/>
                <w:szCs w:val="18"/>
              </w:rPr>
            </w:pPr>
            <w:r>
              <w:rPr>
                <w:b/>
                <w:bCs/>
                <w:szCs w:val="18"/>
              </w:rPr>
              <w:t>NOTES</w:t>
            </w:r>
          </w:p>
          <w:p w14:paraId="4539F0A8" w14:textId="77777777" w:rsidR="00BE554D" w:rsidRDefault="00BE554D" w:rsidP="00381224">
            <w:pPr>
              <w:pStyle w:val="NotesText"/>
            </w:pPr>
          </w:p>
          <w:p w14:paraId="69870732" w14:textId="73BDE881" w:rsidR="007F00C5" w:rsidRDefault="007F00C5" w:rsidP="007F00C5">
            <w:pPr>
              <w:pStyle w:val="TableText"/>
              <w:ind w:left="720"/>
              <w:rPr>
                <w:vanish/>
              </w:rPr>
            </w:pPr>
            <w:r w:rsidRPr="0020636F">
              <w:rPr>
                <w:vanish/>
              </w:rPr>
              <w:t xml:space="preserve">BR_16.01 </w:t>
            </w:r>
            <w:r>
              <w:t xml:space="preserve">The system provides a visual and audible indication to the user when there are patient Special Instructions or Transfusion Requirements to be viewed. </w:t>
            </w:r>
          </w:p>
          <w:p w14:paraId="7C2BF821" w14:textId="77777777" w:rsidR="007F00C5" w:rsidRDefault="007F00C5" w:rsidP="007F00C5">
            <w:pPr>
              <w:pStyle w:val="TableText"/>
              <w:ind w:left="720"/>
              <w:rPr>
                <w:vanish/>
              </w:rPr>
            </w:pPr>
          </w:p>
          <w:p w14:paraId="0F05ADB0" w14:textId="77777777" w:rsidR="00BE554D" w:rsidRPr="00004A4C" w:rsidRDefault="007F00C5" w:rsidP="007F00C5">
            <w:pPr>
              <w:pStyle w:val="TableText"/>
              <w:ind w:left="720"/>
              <w:rPr>
                <w:noProof/>
                <w:color w:val="000000"/>
              </w:rPr>
            </w:pPr>
            <w:r w:rsidRPr="00F47ABD">
              <w:rPr>
                <w:vanish/>
              </w:rPr>
              <w:t xml:space="preserve">BR_115.15 </w:t>
            </w:r>
            <w:r>
              <w:t xml:space="preserve">When the user has unsaved changes and attempts to close the Automated Testing window, the application will warn the user that the changes will not be saved. Clicking </w:t>
            </w:r>
            <w:r>
              <w:rPr>
                <w:b/>
              </w:rPr>
              <w:t>Yes</w:t>
            </w:r>
            <w:r>
              <w:t xml:space="preserve"> closes the form; clicking </w:t>
            </w:r>
            <w:r>
              <w:rPr>
                <w:b/>
              </w:rPr>
              <w:t>No</w:t>
            </w:r>
            <w:r>
              <w:t xml:space="preserve"> returns the user to the Automated Testing – Pending Specimen Tests window.</w:t>
            </w:r>
          </w:p>
        </w:tc>
      </w:tr>
      <w:tr w:rsidR="0020636F" w14:paraId="00BB0174" w14:textId="77777777" w:rsidTr="00381224">
        <w:tc>
          <w:tcPr>
            <w:tcW w:w="3240" w:type="dxa"/>
          </w:tcPr>
          <w:p w14:paraId="544010D3" w14:textId="77777777" w:rsidR="0020636F" w:rsidRDefault="005F3685" w:rsidP="005F3685">
            <w:pPr>
              <w:pStyle w:val="TableTextNumbers"/>
            </w:pPr>
            <w:r>
              <w:t>User clicks on the checkbox next to the result to be accepted or rejected.</w:t>
            </w:r>
          </w:p>
          <w:p w14:paraId="38D25CA6" w14:textId="77777777" w:rsidR="005F3685" w:rsidRDefault="005F3685" w:rsidP="005F3685">
            <w:pPr>
              <w:pStyle w:val="TableTextNumbers"/>
              <w:numPr>
                <w:ilvl w:val="0"/>
                <w:numId w:val="0"/>
              </w:numPr>
              <w:ind w:left="288"/>
            </w:pPr>
          </w:p>
          <w:p w14:paraId="793918A7" w14:textId="77777777" w:rsidR="008E6859" w:rsidRDefault="005F3685" w:rsidP="00E01AD8">
            <w:pPr>
              <w:pStyle w:val="TableTextNumbers"/>
              <w:numPr>
                <w:ilvl w:val="0"/>
                <w:numId w:val="0"/>
              </w:numPr>
              <w:ind w:left="288"/>
            </w:pPr>
            <w:r>
              <w:t xml:space="preserve">Clicks on the comment balloon to enter </w:t>
            </w:r>
            <w:r w:rsidRPr="005F3685">
              <w:rPr>
                <w:b/>
              </w:rPr>
              <w:t>Review Comments</w:t>
            </w:r>
            <w:r>
              <w:t xml:space="preserve"> as needed.</w:t>
            </w:r>
          </w:p>
        </w:tc>
        <w:tc>
          <w:tcPr>
            <w:tcW w:w="6120" w:type="dxa"/>
          </w:tcPr>
          <w:p w14:paraId="1E73C265" w14:textId="77777777" w:rsidR="0020636F" w:rsidRDefault="00D279DE" w:rsidP="00381224">
            <w:pPr>
              <w:pStyle w:val="TableTextBullet"/>
            </w:pPr>
            <w:r>
              <w:t>P</w:t>
            </w:r>
            <w:r w:rsidR="005F3685">
              <w:t>resents appropriate warning messages to the user.</w:t>
            </w:r>
          </w:p>
          <w:p w14:paraId="59F55CC1" w14:textId="77777777" w:rsidR="008D134F" w:rsidRDefault="00EB70AF" w:rsidP="00381224">
            <w:pPr>
              <w:pStyle w:val="TableTextBullet"/>
            </w:pPr>
            <w:r w:rsidRPr="00EB70AF">
              <w:rPr>
                <w:vanish/>
              </w:rPr>
              <w:t xml:space="preserve">BR_115.13 </w:t>
            </w:r>
            <w:r w:rsidR="00D279DE">
              <w:t>A</w:t>
            </w:r>
            <w:r w:rsidR="008D134F">
              <w:t>llows</w:t>
            </w:r>
            <w:r w:rsidR="00D279DE">
              <w:t xml:space="preserve"> user </w:t>
            </w:r>
            <w:r w:rsidR="008D134F">
              <w:t>selection of multiple tests with a Valid indicator.</w:t>
            </w:r>
          </w:p>
          <w:p w14:paraId="34F43D91" w14:textId="77777777" w:rsidR="008D134F" w:rsidRDefault="00EB70AF" w:rsidP="00381224">
            <w:pPr>
              <w:pStyle w:val="TableTextBullet"/>
            </w:pPr>
            <w:r w:rsidRPr="00EB70AF">
              <w:rPr>
                <w:vanish/>
              </w:rPr>
              <w:t xml:space="preserve">BR_115.25 </w:t>
            </w:r>
            <w:r w:rsidR="00D279DE">
              <w:t>R</w:t>
            </w:r>
            <w:r w:rsidR="008D134F">
              <w:t xml:space="preserve">estricts the processing of tests with a Warning or Error indicator to </w:t>
            </w:r>
            <w:r>
              <w:t>one at a time.</w:t>
            </w:r>
          </w:p>
          <w:p w14:paraId="18EABB45" w14:textId="77777777" w:rsidR="005F3685" w:rsidRDefault="005F3685" w:rsidP="005F3685">
            <w:pPr>
              <w:pStyle w:val="TableText"/>
            </w:pPr>
          </w:p>
          <w:p w14:paraId="001F0682" w14:textId="64A44D04" w:rsidR="005F3685" w:rsidRDefault="005F3685" w:rsidP="005F3685">
            <w:pPr>
              <w:pStyle w:val="TableText"/>
              <w:rPr>
                <w:b/>
                <w:bCs/>
                <w:szCs w:val="18"/>
              </w:rPr>
            </w:pPr>
            <w:r>
              <w:rPr>
                <w:b/>
                <w:bCs/>
                <w:szCs w:val="18"/>
              </w:rPr>
              <w:t>NOTES</w:t>
            </w:r>
          </w:p>
          <w:p w14:paraId="414964CB" w14:textId="77777777" w:rsidR="005F3685" w:rsidRDefault="005F3685" w:rsidP="005F3685">
            <w:pPr>
              <w:pStyle w:val="NotesText"/>
            </w:pPr>
          </w:p>
          <w:p w14:paraId="37ACA919" w14:textId="3FE26F45" w:rsidR="005F3685" w:rsidRDefault="005F3685" w:rsidP="005F3685">
            <w:pPr>
              <w:pStyle w:val="NotesText"/>
            </w:pPr>
            <w:r w:rsidRPr="005F3685">
              <w:rPr>
                <w:vanish/>
              </w:rPr>
              <w:t xml:space="preserve">BR_92.09 </w:t>
            </w:r>
            <w:r>
              <w:t xml:space="preserve">When the user selects an expired task for processing, the system will provide an audible alert and generate a warning message: “This order is expired. Do you want to continue processing it?” When the user responds “No”, the task is cleared and a new task can be entered. When the user responds “Yes”, he must enter a comment </w:t>
            </w:r>
            <w:r w:rsidR="00D62F02">
              <w:t>from the</w:t>
            </w:r>
            <w:r w:rsidR="00FA4349">
              <w:t xml:space="preserve"> “Patient Testing” context </w:t>
            </w:r>
            <w:r>
              <w:t>and the system will generate an exception report entry.</w:t>
            </w:r>
          </w:p>
          <w:p w14:paraId="75DFF4C7" w14:textId="77777777" w:rsidR="00C82313" w:rsidRDefault="00C82313" w:rsidP="005F3685">
            <w:pPr>
              <w:pStyle w:val="NotesText"/>
            </w:pPr>
          </w:p>
          <w:p w14:paraId="2BBE682F" w14:textId="77777777" w:rsidR="00501170" w:rsidRDefault="00C82313" w:rsidP="005F3685">
            <w:pPr>
              <w:pStyle w:val="NotesText"/>
              <w:rPr>
                <w:rFonts w:cs="Arial"/>
                <w:szCs w:val="18"/>
              </w:rPr>
            </w:pPr>
            <w:r w:rsidRPr="00C82313">
              <w:rPr>
                <w:rFonts w:cs="Arial"/>
                <w:vanish/>
                <w:szCs w:val="18"/>
              </w:rPr>
              <w:t xml:space="preserve">BR_115.18 </w:t>
            </w:r>
            <w:r w:rsidRPr="00E206E0">
              <w:rPr>
                <w:rFonts w:cs="Arial"/>
                <w:szCs w:val="18"/>
              </w:rPr>
              <w:t xml:space="preserve">When row validation for a patient ABO or Rh test results matches the </w:t>
            </w:r>
            <w:r>
              <w:rPr>
                <w:rFonts w:cs="Arial"/>
                <w:szCs w:val="18"/>
              </w:rPr>
              <w:t>instrument</w:t>
            </w:r>
            <w:r w:rsidRPr="00E206E0">
              <w:rPr>
                <w:rFonts w:cs="Arial"/>
                <w:szCs w:val="18"/>
              </w:rPr>
              <w:t xml:space="preserve"> interpretation and does not match the previous ABO</w:t>
            </w:r>
            <w:r w:rsidR="0001680D">
              <w:rPr>
                <w:rFonts w:cs="Arial"/>
                <w:szCs w:val="18"/>
              </w:rPr>
              <w:t xml:space="preserve"> or Rh interpretation on record, the system emits</w:t>
            </w:r>
          </w:p>
          <w:p w14:paraId="42AFB083" w14:textId="77777777" w:rsidR="00C82313" w:rsidRDefault="00C82313" w:rsidP="005F3685">
            <w:pPr>
              <w:pStyle w:val="NotesText"/>
              <w:rPr>
                <w:rFonts w:cs="Arial"/>
                <w:szCs w:val="18"/>
              </w:rPr>
            </w:pPr>
            <w:r w:rsidRPr="00E206E0">
              <w:rPr>
                <w:rFonts w:cs="Arial"/>
                <w:szCs w:val="18"/>
              </w:rPr>
              <w:t>an audible alert and displays a warning message that the current ABO/Rh does not match previous interpretations. The user is required to enter a comment (free text or canned from the “patient testing” context) to continue. The comment and the details of the transaction are captured for inclusion in an exception report</w:t>
            </w:r>
            <w:r>
              <w:rPr>
                <w:rFonts w:cs="Arial"/>
                <w:szCs w:val="18"/>
              </w:rPr>
              <w:t>.</w:t>
            </w:r>
          </w:p>
          <w:p w14:paraId="69135878" w14:textId="77777777" w:rsidR="00D14444" w:rsidRDefault="00D14444" w:rsidP="005F3685">
            <w:pPr>
              <w:pStyle w:val="NotesText"/>
              <w:rPr>
                <w:rFonts w:cs="Arial"/>
                <w:szCs w:val="18"/>
              </w:rPr>
            </w:pPr>
          </w:p>
          <w:p w14:paraId="2635ED5B" w14:textId="709CB1FF" w:rsidR="00D14444" w:rsidRDefault="00D14444" w:rsidP="005F3685">
            <w:pPr>
              <w:pStyle w:val="NotesText"/>
            </w:pPr>
            <w:r w:rsidRPr="00D14444">
              <w:rPr>
                <w:vanish/>
              </w:rPr>
              <w:t xml:space="preserve">BR_115.27 </w:t>
            </w:r>
            <w:r>
              <w:t>The</w:t>
            </w:r>
            <w:r w:rsidRPr="000E14BF">
              <w:t xml:space="preserve"> system check</w:t>
            </w:r>
            <w:r>
              <w:t>s</w:t>
            </w:r>
            <w:r w:rsidRPr="000E14BF">
              <w:t xml:space="preserve"> if a repeat ABO/Rh was performed on the patient specimen. When performed, the repeat ABO/Rh </w:t>
            </w:r>
            <w:r w:rsidRPr="000E14BF">
              <w:lastRenderedPageBreak/>
              <w:t>interpretation must match the original ABO/Rh interpretation. If they do not match, the system will provide an audible warning and display a warning message: “Original a</w:t>
            </w:r>
            <w:r>
              <w:t xml:space="preserve">nd repeat ABO/Rh interpretation </w:t>
            </w:r>
            <w:r w:rsidRPr="000E14BF">
              <w:t>do</w:t>
            </w:r>
            <w:r>
              <w:t>es</w:t>
            </w:r>
            <w:r w:rsidRPr="000E14BF">
              <w:t xml:space="preserve"> not match. You must resolve the discrepancy before this specimen may be used.” Continue to save?” A “No” response clears the ABO/Rh testing results and interpretation from the screen. A “Yes” response requires a comment (free text or canned from the “patient testing” context) and the details of the transaction are captured for inclusion in an exception report</w:t>
            </w:r>
            <w:r>
              <w:t>.</w:t>
            </w:r>
          </w:p>
          <w:p w14:paraId="46657740" w14:textId="3D9CB694" w:rsidR="00065638" w:rsidRDefault="00065638" w:rsidP="005F3685">
            <w:pPr>
              <w:pStyle w:val="NotesText"/>
            </w:pPr>
          </w:p>
          <w:p w14:paraId="40152DEC" w14:textId="45EB73DB" w:rsidR="00065638" w:rsidRDefault="00065638" w:rsidP="005F3685">
            <w:pPr>
              <w:pStyle w:val="NotesText"/>
            </w:pPr>
            <w:r w:rsidRPr="00065638">
              <w:rPr>
                <w:vanish/>
              </w:rPr>
              <w:t xml:space="preserve">BR_53.08 </w:t>
            </w:r>
            <w:r>
              <w:t>If the antibody screen is positive, the system emits an audible alert and warning that displays that the Patient has a POSITIVE Antibody Screen Result. Perform Antibody Identification on this patient prior to issue of blood components.</w:t>
            </w:r>
          </w:p>
          <w:p w14:paraId="7DDF75E6" w14:textId="77777777" w:rsidR="005F3685" w:rsidRDefault="005F3685" w:rsidP="005F3685">
            <w:pPr>
              <w:pStyle w:val="TableTextBullet"/>
              <w:numPr>
                <w:ilvl w:val="0"/>
                <w:numId w:val="0"/>
              </w:numPr>
              <w:ind w:left="288" w:hanging="288"/>
            </w:pPr>
          </w:p>
        </w:tc>
      </w:tr>
      <w:tr w:rsidR="00BE554D" w14:paraId="445F3DBA" w14:textId="77777777" w:rsidTr="00381224">
        <w:tc>
          <w:tcPr>
            <w:tcW w:w="3240" w:type="dxa"/>
          </w:tcPr>
          <w:p w14:paraId="21336D39" w14:textId="77777777" w:rsidR="00A80240" w:rsidRDefault="00BE554D" w:rsidP="00A80240">
            <w:pPr>
              <w:pStyle w:val="TableTextNumbers"/>
            </w:pPr>
            <w:r>
              <w:lastRenderedPageBreak/>
              <w:t xml:space="preserve">User </w:t>
            </w:r>
            <w:r w:rsidR="00B571AC" w:rsidRPr="00B571AC">
              <w:rPr>
                <w:b/>
              </w:rPr>
              <w:t>Accepts</w:t>
            </w:r>
            <w:r w:rsidR="00B571AC">
              <w:t xml:space="preserve"> or </w:t>
            </w:r>
            <w:r w:rsidR="00B571AC" w:rsidRPr="00B571AC">
              <w:rPr>
                <w:b/>
              </w:rPr>
              <w:t>Rejects</w:t>
            </w:r>
            <w:r w:rsidR="00B571AC">
              <w:t xml:space="preserve"> the selected patient test results.</w:t>
            </w:r>
          </w:p>
        </w:tc>
        <w:tc>
          <w:tcPr>
            <w:tcW w:w="6120" w:type="dxa"/>
          </w:tcPr>
          <w:p w14:paraId="4CF1F262" w14:textId="77777777" w:rsidR="00D279DE" w:rsidRDefault="00D279DE" w:rsidP="00381224">
            <w:pPr>
              <w:pStyle w:val="TableTextBullet"/>
            </w:pPr>
            <w:r>
              <w:t>Verifies the results for save.</w:t>
            </w:r>
          </w:p>
          <w:p w14:paraId="78EC744D" w14:textId="77777777" w:rsidR="00BE554D" w:rsidRDefault="00CA1AFE" w:rsidP="00381224">
            <w:pPr>
              <w:pStyle w:val="TableTextBullet"/>
            </w:pPr>
            <w:r>
              <w:t>Gathers comments from user for rejected results prior to saving.</w:t>
            </w:r>
          </w:p>
          <w:p w14:paraId="22369646" w14:textId="77777777" w:rsidR="00BE554D" w:rsidRDefault="00BE554D" w:rsidP="00381224">
            <w:pPr>
              <w:pStyle w:val="TableTextBullet"/>
              <w:numPr>
                <w:ilvl w:val="0"/>
                <w:numId w:val="0"/>
              </w:numPr>
              <w:ind w:left="288" w:hanging="288"/>
            </w:pPr>
          </w:p>
          <w:p w14:paraId="232FCF47" w14:textId="0E2B86E5" w:rsidR="00BE554D" w:rsidRDefault="00BE554D" w:rsidP="00381224">
            <w:pPr>
              <w:pStyle w:val="TableText"/>
              <w:rPr>
                <w:b/>
                <w:bCs/>
                <w:szCs w:val="18"/>
              </w:rPr>
            </w:pPr>
            <w:r>
              <w:rPr>
                <w:b/>
                <w:bCs/>
                <w:szCs w:val="18"/>
              </w:rPr>
              <w:t>NOTES</w:t>
            </w:r>
          </w:p>
          <w:p w14:paraId="7C2F9415" w14:textId="77777777" w:rsidR="00BE554D" w:rsidRDefault="00BE554D" w:rsidP="00381224">
            <w:pPr>
              <w:pStyle w:val="NotesText"/>
            </w:pPr>
          </w:p>
          <w:p w14:paraId="4850D9CC" w14:textId="77777777" w:rsidR="00B571AC" w:rsidRPr="00136C64" w:rsidRDefault="00B571AC" w:rsidP="00B571AC">
            <w:pPr>
              <w:pStyle w:val="NotesText"/>
              <w:rPr>
                <w:rFonts w:cs="Arial"/>
              </w:rPr>
            </w:pPr>
            <w:r w:rsidRPr="00F47ABD">
              <w:rPr>
                <w:rFonts w:cs="Arial"/>
                <w:vanish/>
              </w:rPr>
              <w:t xml:space="preserve">BR_115.07 </w:t>
            </w:r>
            <w:r>
              <w:rPr>
                <w:rFonts w:cs="Arial"/>
              </w:rPr>
              <w:t>When</w:t>
            </w:r>
            <w:r w:rsidRPr="00136C64">
              <w:rPr>
                <w:rFonts w:cs="Arial"/>
              </w:rPr>
              <w:t xml:space="preserve"> the test is accepted, the system will save the following:</w:t>
            </w:r>
          </w:p>
          <w:p w14:paraId="60C03DCD" w14:textId="77777777" w:rsidR="00B571AC" w:rsidRPr="00A51E88" w:rsidRDefault="00B571AC" w:rsidP="00925CAD">
            <w:pPr>
              <w:pStyle w:val="TableText"/>
              <w:numPr>
                <w:ilvl w:val="0"/>
                <w:numId w:val="43"/>
              </w:numPr>
            </w:pPr>
            <w:r>
              <w:t>R</w:t>
            </w:r>
            <w:r w:rsidRPr="00A51E88">
              <w:t>eviewing Tech ID (Name)</w:t>
            </w:r>
          </w:p>
          <w:p w14:paraId="4A0FC161" w14:textId="5FBFA8AA" w:rsidR="00B571AC" w:rsidRPr="00A51E88" w:rsidRDefault="00B571AC" w:rsidP="00925CAD">
            <w:pPr>
              <w:pStyle w:val="TableText"/>
              <w:numPr>
                <w:ilvl w:val="0"/>
                <w:numId w:val="43"/>
              </w:numPr>
            </w:pPr>
            <w:r w:rsidRPr="00A51E88">
              <w:t>Testing Tech ID (Name)</w:t>
            </w:r>
            <w:r w:rsidR="005E5EF2">
              <w:t xml:space="preserve"> as transmitted</w:t>
            </w:r>
            <w:r w:rsidR="009F1D95">
              <w:t xml:space="preserve"> from instrument</w:t>
            </w:r>
          </w:p>
          <w:p w14:paraId="597A9342" w14:textId="77777777" w:rsidR="00B571AC" w:rsidRPr="00A51E88" w:rsidRDefault="00B571AC" w:rsidP="00925CAD">
            <w:pPr>
              <w:pStyle w:val="TableText"/>
              <w:numPr>
                <w:ilvl w:val="0"/>
                <w:numId w:val="43"/>
              </w:numPr>
            </w:pPr>
            <w:r w:rsidRPr="00A51E88">
              <w:t xml:space="preserve">Interfaced instrument id (Name) as transmitted from instrument, </w:t>
            </w:r>
          </w:p>
          <w:p w14:paraId="4E702FD4" w14:textId="013FA2B9" w:rsidR="00B571AC" w:rsidRDefault="00B571AC" w:rsidP="00925CAD">
            <w:pPr>
              <w:pStyle w:val="TableText"/>
              <w:numPr>
                <w:ilvl w:val="0"/>
                <w:numId w:val="43"/>
              </w:numPr>
            </w:pPr>
            <w:r>
              <w:t>D</w:t>
            </w:r>
            <w:r w:rsidRPr="00A51E88">
              <w:t>ate and time te</w:t>
            </w:r>
            <w:r>
              <w:t>sted</w:t>
            </w:r>
            <w:r w:rsidR="009F1D95">
              <w:t xml:space="preserve"> as transmitted from instrument</w:t>
            </w:r>
          </w:p>
          <w:p w14:paraId="40E7C496" w14:textId="77777777" w:rsidR="00B571AC" w:rsidRDefault="00B571AC" w:rsidP="00925CAD">
            <w:pPr>
              <w:pStyle w:val="TableText"/>
              <w:numPr>
                <w:ilvl w:val="0"/>
                <w:numId w:val="43"/>
              </w:numPr>
            </w:pPr>
            <w:r>
              <w:t xml:space="preserve">Date and time reviewed </w:t>
            </w:r>
          </w:p>
          <w:p w14:paraId="3FCBD73F" w14:textId="77777777" w:rsidR="00582C2F" w:rsidRDefault="00B571AC" w:rsidP="00925CAD">
            <w:pPr>
              <w:pStyle w:val="TableText"/>
              <w:numPr>
                <w:ilvl w:val="0"/>
                <w:numId w:val="43"/>
              </w:numPr>
            </w:pPr>
            <w:r>
              <w:t>Test information: test results, test interpretations, and test comments</w:t>
            </w:r>
            <w:r w:rsidR="00C220AD">
              <w:t xml:space="preserve"> </w:t>
            </w:r>
            <w:r w:rsidR="00582C2F">
              <w:t>from instrument</w:t>
            </w:r>
          </w:p>
          <w:p w14:paraId="166D8FE7" w14:textId="2C166CC3" w:rsidR="00B571AC" w:rsidRPr="00F0612B" w:rsidRDefault="00582C2F" w:rsidP="00925CAD">
            <w:pPr>
              <w:pStyle w:val="TableText"/>
              <w:numPr>
                <w:ilvl w:val="0"/>
                <w:numId w:val="43"/>
              </w:numPr>
            </w:pPr>
            <w:r>
              <w:t xml:space="preserve">Comment from the </w:t>
            </w:r>
            <w:r w:rsidR="00A969F3">
              <w:t>“</w:t>
            </w:r>
            <w:r>
              <w:t>Automated Testing</w:t>
            </w:r>
            <w:r w:rsidR="00A969F3">
              <w:t xml:space="preserve"> Review” context</w:t>
            </w:r>
            <w:r w:rsidR="00B571AC">
              <w:t>.</w:t>
            </w:r>
          </w:p>
          <w:p w14:paraId="0436497E" w14:textId="77777777" w:rsidR="00B571AC" w:rsidRDefault="00B571AC" w:rsidP="00381224">
            <w:pPr>
              <w:pStyle w:val="NotesText"/>
              <w:rPr>
                <w:rFonts w:cs="Arial"/>
                <w:vanish/>
              </w:rPr>
            </w:pPr>
          </w:p>
          <w:p w14:paraId="31AE1F92" w14:textId="77777777" w:rsidR="00BE554D" w:rsidRDefault="00BE554D" w:rsidP="00381224">
            <w:pPr>
              <w:pStyle w:val="NotesText"/>
            </w:pPr>
            <w:r w:rsidRPr="00F47ABD">
              <w:rPr>
                <w:rFonts w:cs="Arial"/>
                <w:vanish/>
              </w:rPr>
              <w:t xml:space="preserve">BR_115.05 </w:t>
            </w:r>
            <w:r>
              <w:rPr>
                <w:rFonts w:cs="Arial"/>
              </w:rPr>
              <w:t>When the</w:t>
            </w:r>
            <w:r>
              <w:t xml:space="preserve"> test is rejected, the system will:</w:t>
            </w:r>
          </w:p>
          <w:p w14:paraId="7FFDF1BC" w14:textId="77777777" w:rsidR="00BE554D" w:rsidRDefault="00BE554D" w:rsidP="00925CAD">
            <w:pPr>
              <w:pStyle w:val="TableText"/>
              <w:numPr>
                <w:ilvl w:val="0"/>
                <w:numId w:val="43"/>
              </w:numPr>
            </w:pPr>
            <w:r>
              <w:t>Prompt user to confirm they want to reject.</w:t>
            </w:r>
          </w:p>
          <w:p w14:paraId="4C2FC75C" w14:textId="77777777" w:rsidR="00BE554D" w:rsidRDefault="00BE554D" w:rsidP="00925CAD">
            <w:pPr>
              <w:pStyle w:val="TableText"/>
              <w:numPr>
                <w:ilvl w:val="0"/>
                <w:numId w:val="43"/>
              </w:numPr>
            </w:pPr>
            <w:r>
              <w:t>Remove the test from the list for acceptance.</w:t>
            </w:r>
          </w:p>
          <w:p w14:paraId="5FFFFD3F" w14:textId="77777777" w:rsidR="00BE554D" w:rsidRDefault="00BE554D" w:rsidP="00925CAD">
            <w:pPr>
              <w:pStyle w:val="TableText"/>
              <w:numPr>
                <w:ilvl w:val="0"/>
                <w:numId w:val="43"/>
              </w:numPr>
            </w:pPr>
            <w:r>
              <w:t>No rejection message is sent to the instrument.</w:t>
            </w:r>
          </w:p>
          <w:p w14:paraId="7AA33825" w14:textId="77777777" w:rsidR="00BE554D" w:rsidRDefault="00BE554D" w:rsidP="00925CAD">
            <w:pPr>
              <w:pStyle w:val="TableText"/>
              <w:numPr>
                <w:ilvl w:val="0"/>
                <w:numId w:val="43"/>
              </w:numPr>
            </w:pPr>
            <w:r>
              <w:t>The Diagnostic test returns to the previous status and is ready for testing.</w:t>
            </w:r>
          </w:p>
          <w:p w14:paraId="62ADD09C" w14:textId="77777777" w:rsidR="00BE554D" w:rsidRDefault="00BE554D" w:rsidP="00381224">
            <w:pPr>
              <w:pStyle w:val="NotesText"/>
            </w:pPr>
          </w:p>
          <w:p w14:paraId="4128E38A" w14:textId="77777777" w:rsidR="00BE554D" w:rsidRPr="00016C78" w:rsidRDefault="00BE554D" w:rsidP="00381224">
            <w:pPr>
              <w:pStyle w:val="NotesText"/>
            </w:pPr>
            <w:r w:rsidRPr="00016C78">
              <w:rPr>
                <w:vanish/>
              </w:rPr>
              <w:t xml:space="preserve">BR_115.31 </w:t>
            </w:r>
            <w:r w:rsidRPr="00016C78">
              <w:t>Changes test Task status Completed for all tests except for Type and Screen which must have ABO/Rh and ABS saved before the TAS goes to a task status of Completed.</w:t>
            </w:r>
          </w:p>
          <w:p w14:paraId="58ADEA11" w14:textId="77777777" w:rsidR="00BE554D" w:rsidRPr="00016C78" w:rsidRDefault="00BE554D" w:rsidP="00381224">
            <w:pPr>
              <w:pStyle w:val="NotesText"/>
            </w:pPr>
          </w:p>
          <w:p w14:paraId="22F96C36" w14:textId="77777777" w:rsidR="00BE554D" w:rsidRDefault="00BE554D" w:rsidP="00B571AC">
            <w:pPr>
              <w:pStyle w:val="NotesText"/>
            </w:pPr>
            <w:r w:rsidRPr="00016C78">
              <w:rPr>
                <w:vanish/>
              </w:rPr>
              <w:t xml:space="preserve">BR_115.31 </w:t>
            </w:r>
            <w:r w:rsidRPr="00016C78">
              <w:t>If the user saves only the ABO/Rh and rejects ABS or only saves the ABS and rejects the ABO-Rh, the TAS goes to a task status of Partially Completed and is then selectable from the Pending Task List.</w:t>
            </w:r>
          </w:p>
          <w:p w14:paraId="55B92BE2" w14:textId="77777777" w:rsidR="00B571AC" w:rsidRDefault="00B571AC" w:rsidP="00B571AC">
            <w:pPr>
              <w:pStyle w:val="NotesText"/>
            </w:pPr>
          </w:p>
          <w:p w14:paraId="3BD555E4" w14:textId="77777777" w:rsidR="00B571AC" w:rsidRDefault="00B571AC" w:rsidP="00B571AC">
            <w:pPr>
              <w:pStyle w:val="NotesText"/>
            </w:pPr>
            <w:r w:rsidRPr="00B571AC">
              <w:rPr>
                <w:vanish/>
              </w:rPr>
              <w:t xml:space="preserve">BR_56.05 </w:t>
            </w:r>
            <w:r>
              <w:t>The system will update the order status when a valid interpretation is entered and saved for a test, the status of the ordered test is updated to “completed,” and an order status update message is sent to CPRS.</w:t>
            </w:r>
          </w:p>
          <w:p w14:paraId="024CEF0A" w14:textId="77777777" w:rsidR="00DE3FDB" w:rsidRDefault="00DE3FDB" w:rsidP="00B571AC">
            <w:pPr>
              <w:pStyle w:val="NotesText"/>
            </w:pPr>
          </w:p>
          <w:p w14:paraId="5C7AF2A0" w14:textId="77777777" w:rsidR="00DE3FDB" w:rsidRDefault="00DE3FDB" w:rsidP="00B571AC">
            <w:pPr>
              <w:pStyle w:val="NotesText"/>
            </w:pPr>
            <w:r w:rsidRPr="00DE3FDB">
              <w:rPr>
                <w:vanish/>
              </w:rPr>
              <w:t xml:space="preserve">BR_56.29 </w:t>
            </w:r>
            <w:r>
              <w:t xml:space="preserve">When a unit was issued and a conflicting test result found that indicates a potential unit incompatibility with the patient, such as a patient ABO/Rh discrepancy, the unit crossmatch is incompatible with the patient, the patient antibody screen test is </w:t>
            </w:r>
            <w:r>
              <w:lastRenderedPageBreak/>
              <w:t>positive, the patient DAT is positive, or the unit is antigen positive where antigen negative is required on the tested specimen, VBECS displays a warning message</w:t>
            </w:r>
            <w:r w:rsidRPr="007C05B4">
              <w:t xml:space="preserve"> such as: Unit has been emergency issued. Notify the physician of this potential problem IMMEDIATELY, per hospital policy! </w:t>
            </w:r>
            <w:r>
              <w:t>The warning message displays during the execution of the various tests related to the compatibility of a blood unit. An exception report entry is generated at the save.</w:t>
            </w:r>
          </w:p>
          <w:p w14:paraId="73BAD378" w14:textId="77777777" w:rsidR="00DE3FDB" w:rsidRDefault="002275D4" w:rsidP="00B571AC">
            <w:pPr>
              <w:pStyle w:val="NotesText"/>
            </w:pPr>
            <w:r>
              <w:t xml:space="preserve"> </w:t>
            </w:r>
          </w:p>
          <w:p w14:paraId="614F9049" w14:textId="77777777" w:rsidR="00DE3FDB" w:rsidRDefault="002275D4" w:rsidP="0071317D">
            <w:pPr>
              <w:pStyle w:val="NotesText"/>
            </w:pPr>
            <w:r w:rsidRPr="002275D4">
              <w:rPr>
                <w:vanish/>
              </w:rPr>
              <w:t xml:space="preserve">BR_54.07 </w:t>
            </w:r>
            <w:r>
              <w:t xml:space="preserve">A </w:t>
            </w:r>
            <w:r>
              <w:rPr>
                <w:vanish/>
              </w:rPr>
              <w:t>BRBR</w:t>
            </w:r>
            <w:r w:rsidR="00DE3FDB">
              <w:t xml:space="preserve">comment </w:t>
            </w:r>
            <w:r w:rsidR="0071317D">
              <w:t xml:space="preserve">appears on CPRS reports for patients with a </w:t>
            </w:r>
            <w:r w:rsidR="00DE3FDB">
              <w:t xml:space="preserve">positive </w:t>
            </w:r>
            <w:r w:rsidR="0071317D">
              <w:t xml:space="preserve">Antibody Screen or </w:t>
            </w:r>
            <w:r w:rsidR="00DE3FDB">
              <w:t xml:space="preserve">Direct Antiglobulin Test: </w:t>
            </w:r>
            <w:r w:rsidR="00DE3FDB" w:rsidRPr="0093080E">
              <w:t>Preparation of red cell components for transfusion may be delayed due to serologic problems. Contact transfusion service for information on potential clinical significance and availability of blood components</w:t>
            </w:r>
            <w:r>
              <w:t>.</w:t>
            </w:r>
          </w:p>
        </w:tc>
      </w:tr>
      <w:tr w:rsidR="00A80240" w14:paraId="07A0EDFA" w14:textId="77777777" w:rsidTr="00381224">
        <w:tc>
          <w:tcPr>
            <w:tcW w:w="3240" w:type="dxa"/>
          </w:tcPr>
          <w:p w14:paraId="14CFD00E" w14:textId="77777777" w:rsidR="00A80240" w:rsidRPr="00396B2B" w:rsidRDefault="00A80240" w:rsidP="008E6859">
            <w:pPr>
              <w:pStyle w:val="TableTextNumbers"/>
            </w:pPr>
            <w:r>
              <w:lastRenderedPageBreak/>
              <w:t xml:space="preserve">User clicks </w:t>
            </w:r>
            <w:r w:rsidRPr="00A80240">
              <w:rPr>
                <w:b/>
              </w:rPr>
              <w:t>Yes</w:t>
            </w:r>
            <w:r>
              <w:t xml:space="preserve"> to confirm the acceptance or rejection of the selected test(s).</w:t>
            </w:r>
          </w:p>
        </w:tc>
        <w:tc>
          <w:tcPr>
            <w:tcW w:w="6120" w:type="dxa"/>
          </w:tcPr>
          <w:p w14:paraId="036D6781" w14:textId="49804CDF" w:rsidR="00A80240" w:rsidRDefault="00A80240" w:rsidP="00A80240">
            <w:pPr>
              <w:pStyle w:val="TableTextBullet"/>
            </w:pPr>
            <w:r>
              <w:t>Closes the Automated Testing – Pending Specimen Tests window and displays the desktop when there a</w:t>
            </w:r>
            <w:r w:rsidR="0017153D">
              <w:t>re</w:t>
            </w:r>
            <w:r>
              <w:t xml:space="preserve"> no more pending tests to review.</w:t>
            </w:r>
          </w:p>
          <w:p w14:paraId="17287F1B" w14:textId="77777777" w:rsidR="00A80240" w:rsidRDefault="00A80240" w:rsidP="00A80240">
            <w:pPr>
              <w:pStyle w:val="TableTextBullet"/>
            </w:pPr>
            <w:r>
              <w:t>Closes the Automated Testing – Pending Specimen Tests window and displays the Automated Testing – Pending Patient Orders window when there are pending tests to review.</w:t>
            </w:r>
          </w:p>
        </w:tc>
      </w:tr>
      <w:tr w:rsidR="008E6859" w14:paraId="0028F079" w14:textId="77777777" w:rsidTr="00381224">
        <w:tc>
          <w:tcPr>
            <w:tcW w:w="3240" w:type="dxa"/>
          </w:tcPr>
          <w:p w14:paraId="43D64804" w14:textId="77777777" w:rsidR="00B16194" w:rsidRPr="00B16194" w:rsidRDefault="00B16194" w:rsidP="00B16194">
            <w:pPr>
              <w:pStyle w:val="TableTextNumbers"/>
              <w:numPr>
                <w:ilvl w:val="0"/>
                <w:numId w:val="0"/>
              </w:numPr>
              <w:ind w:left="288"/>
              <w:rPr>
                <w:b/>
                <w:i/>
              </w:rPr>
            </w:pPr>
            <w:r w:rsidRPr="00B16194">
              <w:rPr>
                <w:b/>
                <w:i/>
              </w:rPr>
              <w:t>CROSSMATCH</w:t>
            </w:r>
          </w:p>
          <w:p w14:paraId="0E95A423" w14:textId="77777777" w:rsidR="008E6859" w:rsidRDefault="0062092C" w:rsidP="008E6859">
            <w:pPr>
              <w:pStyle w:val="TableTextNumbers"/>
            </w:pPr>
            <w:r w:rsidRPr="00396B2B">
              <w:t>User selec</w:t>
            </w:r>
            <w:r>
              <w:t xml:space="preserve">ts </w:t>
            </w:r>
            <w:r w:rsidRPr="0062092C">
              <w:rPr>
                <w:b/>
              </w:rPr>
              <w:t>XMatch</w:t>
            </w:r>
            <w:r>
              <w:t xml:space="preserve"> from the testing tabs that are enabled on the Automated Testing – Pending Specimen Tests window</w:t>
            </w:r>
            <w:r w:rsidR="008F406C">
              <w:t>.</w:t>
            </w:r>
          </w:p>
        </w:tc>
        <w:tc>
          <w:tcPr>
            <w:tcW w:w="6120" w:type="dxa"/>
          </w:tcPr>
          <w:p w14:paraId="1DC68EA9" w14:textId="77777777" w:rsidR="00274D41" w:rsidRDefault="004A39DB" w:rsidP="00274D41">
            <w:pPr>
              <w:pStyle w:val="TableTextBullet"/>
            </w:pPr>
            <w:r>
              <w:t>D</w:t>
            </w:r>
            <w:r w:rsidR="00274D41">
              <w:t>etermines that all appropriate test results were entered for the patient.</w:t>
            </w:r>
          </w:p>
          <w:p w14:paraId="655BA8DB" w14:textId="77777777" w:rsidR="00274D41" w:rsidRDefault="004A39DB" w:rsidP="00274D41">
            <w:pPr>
              <w:pStyle w:val="TableTextBullet"/>
            </w:pPr>
            <w:r>
              <w:t>V</w:t>
            </w:r>
            <w:r w:rsidR="00274D41">
              <w:t>alidates test results and displays Warning or Error indicator when results do not match expected pattern.</w:t>
            </w:r>
          </w:p>
          <w:p w14:paraId="0869D3FF" w14:textId="77777777" w:rsidR="00274D41" w:rsidRDefault="00274D41" w:rsidP="00274D41">
            <w:pPr>
              <w:pStyle w:val="TableTextBullet"/>
            </w:pPr>
            <w:r>
              <w:t>Displays comments from the Automated Instrument.</w:t>
            </w:r>
          </w:p>
          <w:p w14:paraId="5EF68978" w14:textId="77777777" w:rsidR="0062092C" w:rsidRDefault="0062092C" w:rsidP="0062092C">
            <w:pPr>
              <w:pStyle w:val="TableText"/>
            </w:pPr>
          </w:p>
          <w:p w14:paraId="3304A466" w14:textId="36E2BD02" w:rsidR="0062092C" w:rsidRDefault="0062092C" w:rsidP="0062092C">
            <w:pPr>
              <w:pStyle w:val="TableText"/>
              <w:rPr>
                <w:b/>
                <w:bCs/>
                <w:szCs w:val="18"/>
              </w:rPr>
            </w:pPr>
            <w:r>
              <w:rPr>
                <w:b/>
                <w:bCs/>
                <w:szCs w:val="18"/>
              </w:rPr>
              <w:t>NOTES</w:t>
            </w:r>
          </w:p>
          <w:p w14:paraId="5423B4CB" w14:textId="77777777" w:rsidR="0062092C" w:rsidRDefault="0062092C" w:rsidP="0062092C">
            <w:pPr>
              <w:pStyle w:val="NotesText"/>
            </w:pPr>
          </w:p>
          <w:p w14:paraId="220DA2BD" w14:textId="5301B047" w:rsidR="00274D41" w:rsidRPr="00FB2A8A" w:rsidRDefault="0062092C" w:rsidP="00FB2A8A">
            <w:pPr>
              <w:pStyle w:val="TableText"/>
              <w:ind w:left="720"/>
              <w:rPr>
                <w:rFonts w:cs="Arial"/>
                <w:szCs w:val="18"/>
              </w:rPr>
            </w:pPr>
            <w:r w:rsidRPr="0062092C">
              <w:rPr>
                <w:rFonts w:cs="Arial"/>
                <w:vanish/>
                <w:szCs w:val="18"/>
              </w:rPr>
              <w:t xml:space="preserve">BR_115.19 </w:t>
            </w:r>
            <w:r>
              <w:rPr>
                <w:rFonts w:cs="Arial"/>
                <w:szCs w:val="18"/>
              </w:rPr>
              <w:t>Units for</w:t>
            </w:r>
            <w:r w:rsidR="00274D41">
              <w:rPr>
                <w:rFonts w:cs="Arial"/>
                <w:szCs w:val="18"/>
              </w:rPr>
              <w:t xml:space="preserve"> crossmatch must be selected for the patient</w:t>
            </w:r>
            <w:r>
              <w:rPr>
                <w:rFonts w:cs="Arial"/>
                <w:szCs w:val="18"/>
              </w:rPr>
              <w:t xml:space="preserve"> prior to results transmission from the Automated Instrument for the results to appear </w:t>
            </w:r>
            <w:r w:rsidR="00274D41">
              <w:rPr>
                <w:rFonts w:cs="Arial"/>
                <w:szCs w:val="18"/>
              </w:rPr>
              <w:t>in</w:t>
            </w:r>
            <w:r>
              <w:rPr>
                <w:rFonts w:cs="Arial"/>
                <w:szCs w:val="18"/>
              </w:rPr>
              <w:t xml:space="preserve"> the </w:t>
            </w:r>
            <w:r w:rsidR="00274D41">
              <w:rPr>
                <w:rFonts w:cs="Arial"/>
                <w:szCs w:val="18"/>
              </w:rPr>
              <w:t xml:space="preserve">Automated Testing – Pending </w:t>
            </w:r>
            <w:r w:rsidR="002A4CB4">
              <w:rPr>
                <w:rFonts w:cs="Arial"/>
                <w:szCs w:val="18"/>
              </w:rPr>
              <w:t>Specimen</w:t>
            </w:r>
            <w:r w:rsidR="00274D41">
              <w:rPr>
                <w:rFonts w:cs="Arial"/>
                <w:szCs w:val="18"/>
              </w:rPr>
              <w:t xml:space="preserve"> Tests window on the XMatch tab</w:t>
            </w:r>
            <w:r>
              <w:rPr>
                <w:rFonts w:cs="Arial"/>
                <w:szCs w:val="18"/>
              </w:rPr>
              <w:t xml:space="preserve"> for review.</w:t>
            </w:r>
          </w:p>
        </w:tc>
      </w:tr>
      <w:tr w:rsidR="00274D41" w14:paraId="19B95070" w14:textId="77777777" w:rsidTr="00381224">
        <w:tc>
          <w:tcPr>
            <w:tcW w:w="3240" w:type="dxa"/>
          </w:tcPr>
          <w:p w14:paraId="3D9E1432" w14:textId="77777777" w:rsidR="00274D41" w:rsidRDefault="00274D41" w:rsidP="00274D41">
            <w:pPr>
              <w:pStyle w:val="TableTextNumbers"/>
            </w:pPr>
            <w:r>
              <w:t>User clicks on the checkbox next to the Unit crossmatch result to be accepted or rejected.</w:t>
            </w:r>
          </w:p>
          <w:p w14:paraId="74798B84" w14:textId="77777777" w:rsidR="00274D41" w:rsidRDefault="00274D41" w:rsidP="00274D41">
            <w:pPr>
              <w:pStyle w:val="TableTextNumbers"/>
              <w:numPr>
                <w:ilvl w:val="0"/>
                <w:numId w:val="0"/>
              </w:numPr>
              <w:ind w:left="288"/>
            </w:pPr>
          </w:p>
          <w:p w14:paraId="75EA4EDF" w14:textId="77777777" w:rsidR="00274D41" w:rsidRDefault="00274D41" w:rsidP="00274D41">
            <w:pPr>
              <w:pStyle w:val="TableTextNumbers"/>
              <w:numPr>
                <w:ilvl w:val="0"/>
                <w:numId w:val="0"/>
              </w:numPr>
              <w:ind w:left="288"/>
            </w:pPr>
            <w:r>
              <w:t xml:space="preserve">Clicks on the comment balloon to enter </w:t>
            </w:r>
            <w:r w:rsidRPr="005F3685">
              <w:rPr>
                <w:b/>
              </w:rPr>
              <w:t>Review Comments</w:t>
            </w:r>
            <w:r>
              <w:t xml:space="preserve"> as needed.</w:t>
            </w:r>
          </w:p>
        </w:tc>
        <w:tc>
          <w:tcPr>
            <w:tcW w:w="6120" w:type="dxa"/>
          </w:tcPr>
          <w:p w14:paraId="38E0AE08" w14:textId="77777777" w:rsidR="00274D41" w:rsidRDefault="004A39DB" w:rsidP="00682345">
            <w:pPr>
              <w:pStyle w:val="TableTextBullet"/>
            </w:pPr>
            <w:r>
              <w:t>P</w:t>
            </w:r>
            <w:r w:rsidR="00274D41">
              <w:t>resents appropriate warning messages to the user.</w:t>
            </w:r>
          </w:p>
          <w:p w14:paraId="1E814DD6" w14:textId="77777777" w:rsidR="00274D41" w:rsidRPr="00274D41" w:rsidRDefault="00274D41" w:rsidP="00682345">
            <w:pPr>
              <w:pStyle w:val="TableTextBullet"/>
            </w:pPr>
            <w:r w:rsidRPr="00274D41">
              <w:rPr>
                <w:vanish/>
              </w:rPr>
              <w:t xml:space="preserve">BR_115.33 </w:t>
            </w:r>
            <w:r w:rsidR="004A39DB">
              <w:t>R</w:t>
            </w:r>
            <w:r>
              <w:t>equires the user to select the product code for the unit crossmatched when there are more than one unit selected for the patient with the same unit ID.</w:t>
            </w:r>
          </w:p>
          <w:p w14:paraId="6193D7EB" w14:textId="77777777" w:rsidR="00274D41" w:rsidRDefault="00274D41" w:rsidP="00682345">
            <w:pPr>
              <w:pStyle w:val="TableTextBullet"/>
            </w:pPr>
            <w:r w:rsidRPr="00EB70AF">
              <w:rPr>
                <w:vanish/>
              </w:rPr>
              <w:t xml:space="preserve">BR_115.13 </w:t>
            </w:r>
            <w:r w:rsidR="004A39DB">
              <w:t>A</w:t>
            </w:r>
            <w:r>
              <w:t>llows selection of multiple tests with a Valid indicator.</w:t>
            </w:r>
          </w:p>
          <w:p w14:paraId="7FCF2FA7" w14:textId="77777777" w:rsidR="00274D41" w:rsidRDefault="00274D41" w:rsidP="00682345">
            <w:pPr>
              <w:pStyle w:val="TableTextBullet"/>
            </w:pPr>
            <w:r w:rsidRPr="00EB70AF">
              <w:rPr>
                <w:vanish/>
              </w:rPr>
              <w:t xml:space="preserve">BR_115.25 </w:t>
            </w:r>
            <w:r w:rsidR="004A39DB">
              <w:t>R</w:t>
            </w:r>
            <w:r>
              <w:t>estricts the processing of tests with a Warning or Error indicator to one at a time.</w:t>
            </w:r>
          </w:p>
          <w:p w14:paraId="4A641F57" w14:textId="77777777" w:rsidR="00274D41" w:rsidRDefault="00274D41" w:rsidP="00682345">
            <w:pPr>
              <w:pStyle w:val="TableText"/>
            </w:pPr>
          </w:p>
          <w:p w14:paraId="7E13283D" w14:textId="3379C9F2" w:rsidR="00274D41" w:rsidRDefault="00274D41" w:rsidP="00682345">
            <w:pPr>
              <w:pStyle w:val="TableText"/>
              <w:rPr>
                <w:b/>
                <w:bCs/>
                <w:szCs w:val="18"/>
              </w:rPr>
            </w:pPr>
            <w:r>
              <w:rPr>
                <w:b/>
                <w:bCs/>
                <w:szCs w:val="18"/>
              </w:rPr>
              <w:t>NOTES</w:t>
            </w:r>
          </w:p>
          <w:p w14:paraId="3FFBB1FC" w14:textId="77777777" w:rsidR="00274D41" w:rsidRDefault="00274D41" w:rsidP="00682345">
            <w:pPr>
              <w:pStyle w:val="NotesText"/>
            </w:pPr>
          </w:p>
          <w:p w14:paraId="35E7D3E9" w14:textId="0A8F46BB" w:rsidR="00274D41" w:rsidRDefault="00274D41" w:rsidP="00AF08FF">
            <w:pPr>
              <w:pStyle w:val="NotesText"/>
            </w:pPr>
            <w:r w:rsidRPr="005F3685">
              <w:rPr>
                <w:vanish/>
              </w:rPr>
              <w:t xml:space="preserve">BR_92.09 </w:t>
            </w:r>
            <w:r>
              <w:t xml:space="preserve">When the user selects an expired task for processing, the system will provide an audible alert and generate a warning message: “This order is expired. Do you want to continue processing it?” When the user responds “No”, the task is cleared and a new task can be entered. When the user responds “Yes”, he must enter a comment </w:t>
            </w:r>
            <w:r w:rsidR="00B327D3">
              <w:t xml:space="preserve">from the “Patient Testing” context </w:t>
            </w:r>
            <w:r>
              <w:t>and the system will generate an exception report entry.</w:t>
            </w:r>
          </w:p>
        </w:tc>
      </w:tr>
      <w:tr w:rsidR="00F414D6" w14:paraId="0CC5B541" w14:textId="77777777" w:rsidTr="00381224">
        <w:tc>
          <w:tcPr>
            <w:tcW w:w="3240" w:type="dxa"/>
          </w:tcPr>
          <w:p w14:paraId="754F9467" w14:textId="7127EF51" w:rsidR="00F414D6" w:rsidRDefault="00F414D6" w:rsidP="00274D41">
            <w:pPr>
              <w:pStyle w:val="TableTextNumbers"/>
            </w:pPr>
            <w:r>
              <w:t xml:space="preserve">User can change the XMatch Interp by using the </w:t>
            </w:r>
            <w:r w:rsidR="006549B7">
              <w:t>drop-down</w:t>
            </w:r>
            <w:r>
              <w:t xml:space="preserve"> arrow to select another interpretation.</w:t>
            </w:r>
          </w:p>
        </w:tc>
        <w:tc>
          <w:tcPr>
            <w:tcW w:w="6120" w:type="dxa"/>
          </w:tcPr>
          <w:p w14:paraId="08FD2AB5" w14:textId="77777777" w:rsidR="00F414D6" w:rsidRDefault="00F414D6" w:rsidP="00F414D6">
            <w:pPr>
              <w:pStyle w:val="TableTextBullet"/>
            </w:pPr>
            <w:r>
              <w:t xml:space="preserve">Displays the </w:t>
            </w:r>
            <w:r w:rsidR="001809EC">
              <w:t>crossmatch results from the Automated Instrument and allows the user to edit that interpretation before saving.</w:t>
            </w:r>
            <w:r>
              <w:t xml:space="preserve"> </w:t>
            </w:r>
          </w:p>
          <w:p w14:paraId="735C1BD2" w14:textId="77777777" w:rsidR="00F414D6" w:rsidRDefault="00F414D6" w:rsidP="00F414D6">
            <w:pPr>
              <w:pStyle w:val="TableTextBullet"/>
              <w:numPr>
                <w:ilvl w:val="0"/>
                <w:numId w:val="0"/>
              </w:numPr>
              <w:ind w:left="288"/>
            </w:pPr>
          </w:p>
          <w:p w14:paraId="2FA43EBA" w14:textId="6245290C" w:rsidR="00F414D6" w:rsidRDefault="00F414D6" w:rsidP="00F414D6">
            <w:pPr>
              <w:pStyle w:val="TableText"/>
              <w:rPr>
                <w:b/>
                <w:bCs/>
                <w:szCs w:val="18"/>
              </w:rPr>
            </w:pPr>
            <w:r>
              <w:rPr>
                <w:b/>
                <w:bCs/>
                <w:szCs w:val="18"/>
              </w:rPr>
              <w:t>NOTES</w:t>
            </w:r>
          </w:p>
          <w:p w14:paraId="4B072DBA" w14:textId="77777777" w:rsidR="00F414D6" w:rsidRDefault="00F414D6" w:rsidP="00F414D6">
            <w:pPr>
              <w:pStyle w:val="NotesText"/>
            </w:pPr>
          </w:p>
          <w:p w14:paraId="6D720F56" w14:textId="77777777" w:rsidR="001809EC" w:rsidRDefault="001809EC" w:rsidP="001809EC">
            <w:pPr>
              <w:pStyle w:val="TableTextBullet"/>
              <w:numPr>
                <w:ilvl w:val="0"/>
                <w:numId w:val="0"/>
              </w:numPr>
              <w:ind w:left="720"/>
            </w:pPr>
            <w:r w:rsidRPr="001809EC">
              <w:rPr>
                <w:vanish/>
              </w:rPr>
              <w:t xml:space="preserve">BR_115.29 </w:t>
            </w:r>
            <w:r>
              <w:t xml:space="preserve">The system allows a user to change a final crossmatch interpretation of </w:t>
            </w:r>
            <w:r w:rsidRPr="00815BE1">
              <w:rPr>
                <w:b/>
                <w:i/>
              </w:rPr>
              <w:t>Crossmatch Compatible</w:t>
            </w:r>
            <w:r>
              <w:t xml:space="preserve"> (C) to </w:t>
            </w:r>
            <w:r w:rsidRPr="00815BE1">
              <w:rPr>
                <w:i/>
              </w:rPr>
              <w:t xml:space="preserve">Crossmatch </w:t>
            </w:r>
            <w:r w:rsidRPr="00815BE1">
              <w:rPr>
                <w:i/>
              </w:rPr>
              <w:lastRenderedPageBreak/>
              <w:t>Compatible: don’t transfuse</w:t>
            </w:r>
            <w:r>
              <w:t xml:space="preserve"> (D) prior to saving. The system re-evaluates changes made to the test interpretation and allows saving.</w:t>
            </w:r>
          </w:p>
          <w:p w14:paraId="4BC33D1E" w14:textId="77777777" w:rsidR="001809EC" w:rsidRDefault="001809EC" w:rsidP="001809EC">
            <w:pPr>
              <w:pStyle w:val="TableTextBullet"/>
              <w:numPr>
                <w:ilvl w:val="0"/>
                <w:numId w:val="0"/>
              </w:numPr>
              <w:ind w:left="720"/>
            </w:pPr>
          </w:p>
          <w:p w14:paraId="1C0C90E0" w14:textId="77777777" w:rsidR="001809EC" w:rsidRDefault="001809EC" w:rsidP="001809EC">
            <w:pPr>
              <w:pStyle w:val="TableTextBullet"/>
              <w:numPr>
                <w:ilvl w:val="0"/>
                <w:numId w:val="0"/>
              </w:numPr>
              <w:ind w:left="720"/>
            </w:pPr>
            <w:r>
              <w:t xml:space="preserve">The system allows a user to change a final crossmatch interpretation of </w:t>
            </w:r>
            <w:r w:rsidRPr="00815BE1">
              <w:rPr>
                <w:b/>
                <w:i/>
              </w:rPr>
              <w:t>Crossmatch Incompatible</w:t>
            </w:r>
            <w:r>
              <w:t xml:space="preserve"> (I) to </w:t>
            </w:r>
            <w:r>
              <w:rPr>
                <w:i/>
              </w:rPr>
              <w:t>Crossmatch Inc</w:t>
            </w:r>
            <w:r w:rsidRPr="00815BE1">
              <w:rPr>
                <w:i/>
              </w:rPr>
              <w:t xml:space="preserve">ompatible: </w:t>
            </w:r>
            <w:r>
              <w:rPr>
                <w:i/>
              </w:rPr>
              <w:t>give only with Medical Director approval</w:t>
            </w:r>
            <w:r>
              <w:t xml:space="preserve"> (G) prior to saving. The system re-evaluates changes made to the test interpretation and allows the user to save with appropriate warning messages and overrides.</w:t>
            </w:r>
          </w:p>
          <w:p w14:paraId="291EA736" w14:textId="77777777" w:rsidR="001809EC" w:rsidRDefault="001809EC" w:rsidP="001809EC">
            <w:pPr>
              <w:pStyle w:val="TableTextBullet"/>
              <w:numPr>
                <w:ilvl w:val="0"/>
                <w:numId w:val="0"/>
              </w:numPr>
              <w:ind w:left="720"/>
            </w:pPr>
          </w:p>
          <w:p w14:paraId="1801812F" w14:textId="08D114FC" w:rsidR="00F414D6" w:rsidRDefault="00F414D6" w:rsidP="008F1BE0">
            <w:pPr>
              <w:pStyle w:val="TableTextBullet"/>
              <w:numPr>
                <w:ilvl w:val="0"/>
                <w:numId w:val="0"/>
              </w:numPr>
              <w:ind w:left="720"/>
            </w:pPr>
            <w:r>
              <w:t>Refer to</w:t>
            </w:r>
            <w:r w:rsidR="008F1BE0">
              <w:t xml:space="preserve"> </w:t>
            </w:r>
            <w:r w:rsidR="00EE455E">
              <w:t xml:space="preserve">Table </w:t>
            </w:r>
            <w:r w:rsidR="00EE455E">
              <w:rPr>
                <w:noProof/>
              </w:rPr>
              <w:t>11</w:t>
            </w:r>
            <w:r w:rsidR="00EE455E">
              <w:t xml:space="preserve">: </w:t>
            </w:r>
            <w:r w:rsidR="00EE455E">
              <w:rPr>
                <w:rFonts w:cs="Arial"/>
                <w:vanish/>
              </w:rPr>
              <w:t xml:space="preserve">BR_40.14 </w:t>
            </w:r>
            <w:r w:rsidR="00EE455E">
              <w:t>Crossmatch Interpretations for Print Unit Caution Tag &amp; Transfusion Record Form</w:t>
            </w:r>
            <w:r w:rsidR="008F1BE0">
              <w:t>.</w:t>
            </w:r>
          </w:p>
        </w:tc>
      </w:tr>
      <w:tr w:rsidR="00A80240" w14:paraId="3405E2E7" w14:textId="77777777" w:rsidTr="00381224">
        <w:tc>
          <w:tcPr>
            <w:tcW w:w="3240" w:type="dxa"/>
          </w:tcPr>
          <w:p w14:paraId="17C7358A" w14:textId="77777777" w:rsidR="00A80240" w:rsidRDefault="00E82F44" w:rsidP="00274D41">
            <w:pPr>
              <w:pStyle w:val="TableTextNumbers"/>
            </w:pPr>
            <w:r>
              <w:lastRenderedPageBreak/>
              <w:t>Refer to S</w:t>
            </w:r>
            <w:r w:rsidR="00B16194">
              <w:t>tep</w:t>
            </w:r>
            <w:r>
              <w:t xml:space="preserve"> 5 and S</w:t>
            </w:r>
            <w:r w:rsidR="00D279DE">
              <w:t>tep 6 for process to save the crossmatch results.</w:t>
            </w:r>
          </w:p>
        </w:tc>
        <w:tc>
          <w:tcPr>
            <w:tcW w:w="6120" w:type="dxa"/>
          </w:tcPr>
          <w:p w14:paraId="505DA814" w14:textId="77777777" w:rsidR="00A80240" w:rsidRDefault="00A80240" w:rsidP="00D279DE">
            <w:pPr>
              <w:pStyle w:val="TableTextBullet"/>
              <w:numPr>
                <w:ilvl w:val="0"/>
                <w:numId w:val="0"/>
              </w:numPr>
              <w:ind w:left="288"/>
            </w:pPr>
          </w:p>
        </w:tc>
      </w:tr>
    </w:tbl>
    <w:p w14:paraId="56622773" w14:textId="06139221" w:rsidR="00937534" w:rsidRDefault="00937534" w:rsidP="00937534">
      <w:pPr>
        <w:pStyle w:val="Caption"/>
      </w:pPr>
      <w:bookmarkStart w:id="615" w:name="_Ref447168245"/>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7D1829">
        <w:rPr>
          <w:noProof/>
        </w:rPr>
        <w:t>117</w:t>
      </w:r>
      <w:r w:rsidR="004E20BD">
        <w:rPr>
          <w:noProof/>
        </w:rPr>
        <w:fldChar w:fldCharType="end"/>
      </w:r>
      <w:bookmarkEnd w:id="615"/>
      <w:r>
        <w:t>: Automated Testing</w:t>
      </w:r>
      <w:r w:rsidR="00B46534">
        <w:t xml:space="preserve"> - Pending Specimen</w:t>
      </w:r>
      <w:r>
        <w:t xml:space="preserve"> Tests Window</w:t>
      </w:r>
    </w:p>
    <w:p w14:paraId="0E903DFF" w14:textId="77777777" w:rsidR="00481912" w:rsidRDefault="00057948" w:rsidP="00481912">
      <w:r>
        <w:rPr>
          <w:noProof/>
        </w:rPr>
        <w:drawing>
          <wp:inline distT="0" distB="0" distL="0" distR="0" wp14:anchorId="197F4026" wp14:editId="4515B9BF">
            <wp:extent cx="3860800" cy="1920875"/>
            <wp:effectExtent l="0" t="0" r="6350" b="3175"/>
            <wp:docPr id="266" name="Picture 266" descr="Example of Automated Testing - Pending Specimen Tests Windos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Picture 266" descr="Example of Automated Testing - Pending Specimen Tests Windos screen capture"/>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3860800" cy="1920875"/>
                    </a:xfrm>
                    <a:prstGeom prst="rect">
                      <a:avLst/>
                    </a:prstGeom>
                    <a:noFill/>
                    <a:ln>
                      <a:noFill/>
                    </a:ln>
                  </pic:spPr>
                </pic:pic>
              </a:graphicData>
            </a:graphic>
          </wp:inline>
        </w:drawing>
      </w:r>
    </w:p>
    <w:p w14:paraId="7D0D74C0" w14:textId="77777777" w:rsidR="00F328F5" w:rsidRPr="00C36D9B" w:rsidRDefault="00C36D9B" w:rsidP="00C36D9B">
      <w:pPr>
        <w:pStyle w:val="Heading1"/>
      </w:pPr>
      <w:r>
        <w:rPr>
          <w:rStyle w:val="BodyTextChar"/>
          <w:rFonts w:ascii="Times New Roman" w:hAnsi="Times New Roman" w:cs="Times New Roman"/>
          <w:b w:val="0"/>
        </w:rPr>
        <w:br w:type="page"/>
      </w:r>
      <w:bookmarkStart w:id="616" w:name="_Toc203765941"/>
      <w:r w:rsidR="002A21AE" w:rsidRPr="00C36D9B">
        <w:lastRenderedPageBreak/>
        <w:t>Reports</w:t>
      </w:r>
      <w:bookmarkEnd w:id="616"/>
    </w:p>
    <w:p w14:paraId="0844F798" w14:textId="644DAE31" w:rsidR="00E22860" w:rsidRDefault="00E22860" w:rsidP="00E22860">
      <w:pPr>
        <w:rPr>
          <w:sz w:val="22"/>
          <w:szCs w:val="22"/>
        </w:rPr>
      </w:pPr>
      <w:r w:rsidRPr="00716B49">
        <w:rPr>
          <w:sz w:val="22"/>
          <w:szCs w:val="22"/>
        </w:rPr>
        <w:t>The report information that is presented on-screen, not the print preview, can be sorted by clicking on each</w:t>
      </w:r>
      <w:r w:rsidR="000B4E47" w:rsidRPr="00716B49">
        <w:rPr>
          <w:sz w:val="22"/>
          <w:szCs w:val="22"/>
        </w:rPr>
        <w:t xml:space="preserve"> column header. The sort changes made do not apply to the printed reports. Reports print in a default sort order.</w:t>
      </w:r>
    </w:p>
    <w:p w14:paraId="132089F6" w14:textId="62595504" w:rsidR="000A0FDE" w:rsidRDefault="000A0FDE" w:rsidP="00E22860">
      <w:pPr>
        <w:rPr>
          <w:sz w:val="22"/>
          <w:szCs w:val="22"/>
        </w:rPr>
      </w:pPr>
    </w:p>
    <w:p w14:paraId="6BC7896C" w14:textId="77777777" w:rsidR="00283DF4" w:rsidRDefault="00CA1FAF" w:rsidP="00E22860">
      <w:pPr>
        <w:rPr>
          <w:sz w:val="22"/>
          <w:szCs w:val="22"/>
        </w:rPr>
      </w:pPr>
      <w:r w:rsidRPr="00716B49">
        <w:rPr>
          <w:b/>
          <w:sz w:val="22"/>
          <w:szCs w:val="22"/>
        </w:rPr>
        <w:t>Note</w:t>
      </w:r>
      <w:r w:rsidR="00283DF4">
        <w:rPr>
          <w:b/>
          <w:sz w:val="22"/>
          <w:szCs w:val="22"/>
        </w:rPr>
        <w:t xml:space="preserve"> 1</w:t>
      </w:r>
      <w:r w:rsidRPr="00716B49">
        <w:rPr>
          <w:b/>
          <w:sz w:val="22"/>
          <w:szCs w:val="22"/>
        </w:rPr>
        <w:t>:</w:t>
      </w:r>
      <w:r w:rsidRPr="00716B49">
        <w:rPr>
          <w:sz w:val="22"/>
          <w:szCs w:val="22"/>
        </w:rPr>
        <w:t xml:space="preserve"> </w:t>
      </w:r>
      <w:r w:rsidR="00422E94">
        <w:rPr>
          <w:sz w:val="22"/>
          <w:szCs w:val="22"/>
        </w:rPr>
        <w:t xml:space="preserve">Switching to Normal layout view from Print layout view so the user can search the report may cause the error message </w:t>
      </w:r>
      <w:r w:rsidR="00422E94" w:rsidRPr="00716B49">
        <w:rPr>
          <w:b/>
          <w:sz w:val="22"/>
          <w:szCs w:val="22"/>
        </w:rPr>
        <w:t>“Error. Thread was being aborted</w:t>
      </w:r>
      <w:r w:rsidR="00422E94">
        <w:rPr>
          <w:b/>
          <w:sz w:val="22"/>
          <w:szCs w:val="22"/>
        </w:rPr>
        <w:t>.</w:t>
      </w:r>
      <w:r w:rsidR="00422E94" w:rsidRPr="00716B49">
        <w:rPr>
          <w:b/>
          <w:sz w:val="22"/>
          <w:szCs w:val="22"/>
        </w:rPr>
        <w:t>”</w:t>
      </w:r>
      <w:r w:rsidR="00422E94">
        <w:rPr>
          <w:sz w:val="22"/>
          <w:szCs w:val="22"/>
        </w:rPr>
        <w:t xml:space="preserve"> to appear for a large report. </w:t>
      </w:r>
      <w:r w:rsidRPr="00716B49">
        <w:rPr>
          <w:sz w:val="22"/>
          <w:szCs w:val="22"/>
        </w:rPr>
        <w:t>The report</w:t>
      </w:r>
      <w:r w:rsidR="00D441C9" w:rsidRPr="00716B49">
        <w:rPr>
          <w:sz w:val="22"/>
          <w:szCs w:val="22"/>
        </w:rPr>
        <w:t xml:space="preserve"> proceeds to load in the different layout </w:t>
      </w:r>
      <w:r w:rsidR="00422E94">
        <w:rPr>
          <w:sz w:val="22"/>
          <w:szCs w:val="22"/>
        </w:rPr>
        <w:t xml:space="preserve">view </w:t>
      </w:r>
      <w:r w:rsidR="00D441C9" w:rsidRPr="00716B49">
        <w:rPr>
          <w:sz w:val="22"/>
          <w:szCs w:val="22"/>
        </w:rPr>
        <w:t>chosen by the user. This is a normal behavior of a report engine and no harm is done.</w:t>
      </w:r>
      <w:r w:rsidR="00716B49" w:rsidRPr="00716B49">
        <w:rPr>
          <w:sz w:val="22"/>
          <w:szCs w:val="22"/>
        </w:rPr>
        <w:t xml:space="preserve"> </w:t>
      </w:r>
      <w:r w:rsidR="00283DF4" w:rsidRPr="00283DF4">
        <w:rPr>
          <w:vanish/>
          <w:sz w:val="22"/>
          <w:szCs w:val="22"/>
        </w:rPr>
        <w:t>DR 5059</w:t>
      </w:r>
    </w:p>
    <w:p w14:paraId="60EFDC29" w14:textId="77777777" w:rsidR="00283DF4" w:rsidRDefault="00283DF4" w:rsidP="00E22860">
      <w:pPr>
        <w:rPr>
          <w:sz w:val="22"/>
          <w:szCs w:val="22"/>
        </w:rPr>
      </w:pPr>
    </w:p>
    <w:p w14:paraId="6CDDE855" w14:textId="631980B5" w:rsidR="00733A12" w:rsidRPr="00716B49" w:rsidRDefault="00283DF4" w:rsidP="00E22860">
      <w:pPr>
        <w:rPr>
          <w:sz w:val="22"/>
          <w:szCs w:val="22"/>
        </w:rPr>
      </w:pPr>
      <w:r w:rsidRPr="00716B49">
        <w:rPr>
          <w:b/>
          <w:sz w:val="22"/>
          <w:szCs w:val="22"/>
        </w:rPr>
        <w:t>Note</w:t>
      </w:r>
      <w:r>
        <w:rPr>
          <w:b/>
          <w:sz w:val="22"/>
          <w:szCs w:val="22"/>
        </w:rPr>
        <w:t xml:space="preserve"> 2</w:t>
      </w:r>
      <w:r w:rsidRPr="00716B49">
        <w:rPr>
          <w:b/>
          <w:sz w:val="22"/>
          <w:szCs w:val="22"/>
        </w:rPr>
        <w:t>:</w:t>
      </w:r>
      <w:r w:rsidRPr="00716B49">
        <w:rPr>
          <w:sz w:val="22"/>
          <w:szCs w:val="22"/>
        </w:rPr>
        <w:t xml:space="preserve"> </w:t>
      </w:r>
      <w:r>
        <w:rPr>
          <w:sz w:val="22"/>
          <w:szCs w:val="22"/>
        </w:rPr>
        <w:t xml:space="preserve">The transfusion count total may indicate a site needs to complete a National Blood Collection and Utilization Survey if the total transfusions is greater than or equal to 100. </w:t>
      </w:r>
      <w:r w:rsidR="00E605B1" w:rsidRPr="00E605B1">
        <w:rPr>
          <w:vanish/>
          <w:sz w:val="22"/>
          <w:szCs w:val="22"/>
        </w:rPr>
        <w:t>Task 503042</w:t>
      </w:r>
    </w:p>
    <w:p w14:paraId="1827041C" w14:textId="77777777" w:rsidR="007A6EB0" w:rsidRDefault="007A6EB0" w:rsidP="007A6EB0">
      <w:pPr>
        <w:pStyle w:val="Heading2"/>
      </w:pPr>
      <w:bookmarkStart w:id="617" w:name="_Toc203765942"/>
      <w:bookmarkStart w:id="618" w:name="_Toc63680379"/>
      <w:bookmarkEnd w:id="605"/>
      <w:r>
        <w:t>Administrative Data Report</w:t>
      </w:r>
      <w:bookmarkEnd w:id="617"/>
      <w:r>
        <w:fldChar w:fldCharType="begin"/>
      </w:r>
      <w:r>
        <w:instrText xml:space="preserve"> XE “Administrative Data Report” </w:instrText>
      </w:r>
      <w:r>
        <w:fldChar w:fldCharType="end"/>
      </w:r>
      <w:r>
        <w:t xml:space="preserve"> </w:t>
      </w:r>
      <w:r>
        <w:rPr>
          <w:rFonts w:ascii="Times New Roman" w:hAnsi="Times New Roman" w:cs="Times New Roman"/>
          <w:b w:val="0"/>
          <w:i w:val="0"/>
          <w:vanish/>
          <w:sz w:val="22"/>
        </w:rPr>
        <w:t>UC_107</w:t>
      </w:r>
    </w:p>
    <w:p w14:paraId="2BD56A22" w14:textId="77777777" w:rsidR="007A6EB0" w:rsidRDefault="007A6EB0" w:rsidP="007A6EB0">
      <w:pPr>
        <w:pStyle w:val="BodyText"/>
      </w:pPr>
      <w:r>
        <w:t>The user views and</w:t>
      </w:r>
      <w:r w:rsidR="00EB1E5A">
        <w:t>/or</w:t>
      </w:r>
      <w:r>
        <w:t xml:space="preserve"> prints the Administrative Data Report.</w:t>
      </w:r>
    </w:p>
    <w:p w14:paraId="35556A87" w14:textId="77777777" w:rsidR="007A6EB0" w:rsidRDefault="007A6EB0" w:rsidP="007A6EB0">
      <w:pPr>
        <w:pStyle w:val="Heading4"/>
      </w:pPr>
      <w:r>
        <w:t>Assumptions</w:t>
      </w:r>
      <w:r>
        <w:rPr>
          <w:b w:val="0"/>
        </w:rPr>
        <w:t xml:space="preserve"> </w:t>
      </w:r>
    </w:p>
    <w:p w14:paraId="28E47E28" w14:textId="77777777" w:rsidR="007A6EB0" w:rsidRDefault="007A6EB0" w:rsidP="007A6EB0">
      <w:pPr>
        <w:pStyle w:val="ListBullet"/>
        <w:rPr>
          <w:b/>
        </w:rPr>
      </w:pPr>
      <w:r>
        <w:t>Data are available for inclusion in the report.</w:t>
      </w:r>
    </w:p>
    <w:p w14:paraId="60C89873" w14:textId="77777777" w:rsidR="00AE521B" w:rsidRDefault="007A6EB0" w:rsidP="007A6EB0">
      <w:pPr>
        <w:pStyle w:val="Heading4"/>
      </w:pPr>
      <w:r>
        <w:t xml:space="preserve">Outcome </w:t>
      </w:r>
    </w:p>
    <w:p w14:paraId="0A8D5E67" w14:textId="77777777" w:rsidR="007A6EB0" w:rsidRDefault="00AE521B" w:rsidP="00AE521B">
      <w:pPr>
        <w:pStyle w:val="ListBullet"/>
      </w:pPr>
      <w:r>
        <w:t>The user views and/or prints the report</w:t>
      </w:r>
      <w:r w:rsidR="007A6EB0">
        <w:t>.</w:t>
      </w:r>
    </w:p>
    <w:p w14:paraId="6C6B5B19" w14:textId="77777777" w:rsidR="007A6EB0" w:rsidRDefault="007A6EB0" w:rsidP="007A6EB0">
      <w:pPr>
        <w:pStyle w:val="Heading4"/>
        <w:rPr>
          <w:b w:val="0"/>
        </w:rPr>
      </w:pPr>
      <w:r>
        <w:t>Limitations and Restrictions</w:t>
      </w:r>
      <w:r>
        <w:rPr>
          <w:b w:val="0"/>
        </w:rPr>
        <w:t xml:space="preserve"> </w:t>
      </w:r>
    </w:p>
    <w:p w14:paraId="6D92CB6F" w14:textId="77777777" w:rsidR="007A6EB0" w:rsidRDefault="007A6EB0" w:rsidP="007A6EB0">
      <w:pPr>
        <w:pStyle w:val="ListBullet"/>
      </w:pPr>
      <w:r>
        <w:t>None</w:t>
      </w:r>
    </w:p>
    <w:p w14:paraId="33935D2F" w14:textId="77777777" w:rsidR="007A6EB0" w:rsidRDefault="007A6EB0" w:rsidP="007A6EB0">
      <w:pPr>
        <w:pStyle w:val="Heading4"/>
      </w:pPr>
      <w:r>
        <w:t xml:space="preserve">Additional Information </w:t>
      </w:r>
    </w:p>
    <w:p w14:paraId="376A914B" w14:textId="77777777" w:rsidR="007A6EB0" w:rsidRDefault="007A6EB0" w:rsidP="007A6EB0">
      <w:pPr>
        <w:pStyle w:val="ListBullet"/>
      </w:pPr>
      <w:r>
        <w:t>The report is available as a single-division or multidivisional (all divisions) report.</w:t>
      </w:r>
    </w:p>
    <w:p w14:paraId="0E54AD16" w14:textId="77777777" w:rsidR="007A6EB0" w:rsidRDefault="007A6EB0" w:rsidP="007A6EB0">
      <w:pPr>
        <w:pStyle w:val="Heading4"/>
        <w:rPr>
          <w:b w:val="0"/>
        </w:rPr>
      </w:pPr>
      <w:r>
        <w:t>User Roles with Access to This Option</w:t>
      </w:r>
      <w:r>
        <w:rPr>
          <w:b w:val="0"/>
        </w:rPr>
        <w:t xml:space="preserve"> </w:t>
      </w:r>
    </w:p>
    <w:p w14:paraId="6180D95E" w14:textId="77777777" w:rsidR="007A6EB0" w:rsidRDefault="007A6EB0" w:rsidP="007A6EB0">
      <w:pPr>
        <w:pStyle w:val="Roles"/>
      </w:pPr>
      <w:r>
        <w:t>All users</w:t>
      </w:r>
    </w:p>
    <w:p w14:paraId="271FC3B7" w14:textId="77777777" w:rsidR="007A6EB0" w:rsidRDefault="007A6EB0" w:rsidP="007A6EB0">
      <w:pPr>
        <w:pStyle w:val="Heading4"/>
      </w:pPr>
      <w:r>
        <w:t xml:space="preserve">Administrative Data Report </w:t>
      </w:r>
    </w:p>
    <w:p w14:paraId="08A411C9" w14:textId="77777777" w:rsidR="007A6EB0" w:rsidRDefault="007A6EB0" w:rsidP="007A6EB0">
      <w:pPr>
        <w:pStyle w:val="BodyText"/>
      </w:pPr>
      <w:r>
        <w:t xml:space="preserve">The user </w:t>
      </w:r>
      <w:r w:rsidR="00FF1708">
        <w:t xml:space="preserve">views </w:t>
      </w:r>
      <w:r w:rsidR="00EB1E5A">
        <w:t>and/or</w:t>
      </w:r>
      <w:r w:rsidR="00FF1708">
        <w:t xml:space="preserve"> prints </w:t>
      </w:r>
      <w:r>
        <w:t>the Administrative Data Report</w:t>
      </w:r>
      <w:r w:rsidR="00A611B6">
        <w:t>, which includes blood product transactions</w:t>
      </w:r>
      <w:r>
        <w:t xml:space="preserve"> for a given date range.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7A6EB0" w14:paraId="3EF79EFA" w14:textId="77777777">
        <w:trPr>
          <w:tblHeader/>
        </w:trPr>
        <w:tc>
          <w:tcPr>
            <w:tcW w:w="3240" w:type="dxa"/>
            <w:shd w:val="pct30" w:color="auto" w:fill="FFFFFF"/>
            <w:vAlign w:val="bottom"/>
          </w:tcPr>
          <w:p w14:paraId="194AF861" w14:textId="77777777" w:rsidR="007A6EB0" w:rsidRDefault="007A6EB0" w:rsidP="007A6EB0">
            <w:pPr>
              <w:pStyle w:val="TableText"/>
              <w:rPr>
                <w:b/>
              </w:rPr>
            </w:pPr>
            <w:r>
              <w:rPr>
                <w:b/>
              </w:rPr>
              <w:t>User Action</w:t>
            </w:r>
          </w:p>
        </w:tc>
        <w:tc>
          <w:tcPr>
            <w:tcW w:w="6120" w:type="dxa"/>
            <w:shd w:val="pct30" w:color="auto" w:fill="FFFFFF"/>
            <w:vAlign w:val="bottom"/>
          </w:tcPr>
          <w:p w14:paraId="6C276918" w14:textId="77777777" w:rsidR="007A6EB0" w:rsidRDefault="007A6EB0" w:rsidP="007A6EB0">
            <w:pPr>
              <w:pStyle w:val="TableText"/>
              <w:rPr>
                <w:b/>
              </w:rPr>
            </w:pPr>
            <w:r>
              <w:rPr>
                <w:b/>
              </w:rPr>
              <w:t>VBECS</w:t>
            </w:r>
          </w:p>
        </w:tc>
      </w:tr>
      <w:tr w:rsidR="007A6EB0" w14:paraId="17BE1CD6" w14:textId="77777777">
        <w:tc>
          <w:tcPr>
            <w:tcW w:w="3240" w:type="dxa"/>
          </w:tcPr>
          <w:p w14:paraId="3C9AADF8" w14:textId="77777777" w:rsidR="007A6EB0" w:rsidRDefault="007A6EB0" w:rsidP="00925CAD">
            <w:pPr>
              <w:pStyle w:val="TableTextNumbers"/>
              <w:numPr>
                <w:ilvl w:val="0"/>
                <w:numId w:val="50"/>
              </w:numPr>
            </w:pPr>
            <w:r>
              <w:t xml:space="preserve">Select </w:t>
            </w:r>
            <w:r w:rsidRPr="004831F9">
              <w:rPr>
                <w:b/>
              </w:rPr>
              <w:t>Reports</w:t>
            </w:r>
            <w:r>
              <w:t xml:space="preserve"> from the main menu.</w:t>
            </w:r>
          </w:p>
          <w:p w14:paraId="1510D212" w14:textId="77777777" w:rsidR="007A6EB0" w:rsidRDefault="007A6EB0" w:rsidP="007A6EB0">
            <w:pPr>
              <w:pStyle w:val="TableTextNumbersContinued"/>
            </w:pPr>
          </w:p>
          <w:p w14:paraId="4157C140" w14:textId="77777777" w:rsidR="007A6EB0" w:rsidRDefault="007A6EB0" w:rsidP="007A6EB0">
            <w:pPr>
              <w:pStyle w:val="TableTextNumbersContinued"/>
            </w:pPr>
            <w:r>
              <w:t xml:space="preserve">Select </w:t>
            </w:r>
            <w:r>
              <w:rPr>
                <w:b/>
              </w:rPr>
              <w:t>Administrative Data Report</w:t>
            </w:r>
            <w:r>
              <w:t>.</w:t>
            </w:r>
          </w:p>
        </w:tc>
        <w:tc>
          <w:tcPr>
            <w:tcW w:w="6120" w:type="dxa"/>
          </w:tcPr>
          <w:p w14:paraId="5E9D7D61" w14:textId="77777777" w:rsidR="007A6EB0" w:rsidRDefault="007A6EB0" w:rsidP="007A6EB0">
            <w:pPr>
              <w:pStyle w:val="TableTextBullet"/>
            </w:pPr>
            <w:r>
              <w:t>Lists report names.</w:t>
            </w:r>
          </w:p>
          <w:p w14:paraId="5ADFD6DE" w14:textId="77777777" w:rsidR="007A6EB0" w:rsidRDefault="007A6EB0" w:rsidP="007A6EB0">
            <w:pPr>
              <w:pStyle w:val="TableTextBullet"/>
            </w:pPr>
            <w:r>
              <w:t xml:space="preserve">Displays report compilation criteria. </w:t>
            </w:r>
          </w:p>
          <w:p w14:paraId="5842DA50" w14:textId="77777777" w:rsidR="007A6EB0" w:rsidRDefault="007A6EB0" w:rsidP="007A6EB0">
            <w:pPr>
              <w:pStyle w:val="TableTextBullet"/>
            </w:pPr>
            <w:r>
              <w:t>Displays a date range for selection.</w:t>
            </w:r>
          </w:p>
        </w:tc>
      </w:tr>
      <w:tr w:rsidR="007A6EB0" w14:paraId="469FFE36" w14:textId="77777777" w:rsidTr="00FB2A8A">
        <w:trPr>
          <w:cantSplit/>
        </w:trPr>
        <w:tc>
          <w:tcPr>
            <w:tcW w:w="3240" w:type="dxa"/>
          </w:tcPr>
          <w:p w14:paraId="7364F530" w14:textId="77777777" w:rsidR="0038145B" w:rsidRDefault="0038145B" w:rsidP="007A6EB0">
            <w:pPr>
              <w:pStyle w:val="TableTextNumbers"/>
            </w:pPr>
            <w:r>
              <w:lastRenderedPageBreak/>
              <w:t>Enter or select start and end dates.</w:t>
            </w:r>
          </w:p>
          <w:p w14:paraId="031F1C2A" w14:textId="77777777" w:rsidR="0038145B" w:rsidRDefault="0038145B" w:rsidP="0038145B">
            <w:pPr>
              <w:pStyle w:val="TableTextNumbers"/>
              <w:numPr>
                <w:ilvl w:val="0"/>
                <w:numId w:val="0"/>
              </w:numPr>
              <w:ind w:left="288"/>
            </w:pPr>
          </w:p>
          <w:p w14:paraId="5B88361F" w14:textId="77777777" w:rsidR="007A6EB0" w:rsidRDefault="007A6EB0" w:rsidP="0038145B">
            <w:pPr>
              <w:pStyle w:val="TableTextNumbers"/>
              <w:numPr>
                <w:ilvl w:val="0"/>
                <w:numId w:val="0"/>
              </w:numPr>
              <w:ind w:left="288"/>
            </w:pPr>
            <w:r>
              <w:t xml:space="preserve">Click the </w:t>
            </w:r>
            <w:r>
              <w:rPr>
                <w:b/>
              </w:rPr>
              <w:t>Current Divisions</w:t>
            </w:r>
            <w:r>
              <w:t xml:space="preserve"> or</w:t>
            </w:r>
            <w:r>
              <w:rPr>
                <w:b/>
              </w:rPr>
              <w:t xml:space="preserve"> All Divisions </w:t>
            </w:r>
            <w:r w:rsidRPr="00BF2E41">
              <w:t>radio button</w:t>
            </w:r>
            <w:r>
              <w:t>.</w:t>
            </w:r>
          </w:p>
        </w:tc>
        <w:tc>
          <w:tcPr>
            <w:tcW w:w="6120" w:type="dxa"/>
          </w:tcPr>
          <w:p w14:paraId="13912C51" w14:textId="77777777" w:rsidR="007A6EB0" w:rsidRDefault="007A6EB0" w:rsidP="007A6EB0">
            <w:pPr>
              <w:pStyle w:val="TableTextBullet"/>
            </w:pPr>
            <w:r>
              <w:t>Allows the user to select one or all divisions.</w:t>
            </w:r>
          </w:p>
          <w:p w14:paraId="435DDCDE" w14:textId="77777777" w:rsidR="007A6EB0" w:rsidRDefault="007A6EB0" w:rsidP="007A6EB0">
            <w:pPr>
              <w:pStyle w:val="TableText"/>
              <w:rPr>
                <w:b/>
                <w:bCs/>
                <w:szCs w:val="18"/>
              </w:rPr>
            </w:pPr>
          </w:p>
          <w:p w14:paraId="02EF0865" w14:textId="12448CED" w:rsidR="007A6EB0" w:rsidRDefault="007A6EB0" w:rsidP="007A6EB0">
            <w:pPr>
              <w:pStyle w:val="TableText"/>
              <w:rPr>
                <w:b/>
                <w:bCs/>
                <w:szCs w:val="18"/>
              </w:rPr>
            </w:pPr>
            <w:r>
              <w:rPr>
                <w:b/>
                <w:bCs/>
                <w:szCs w:val="18"/>
              </w:rPr>
              <w:t>NOTES</w:t>
            </w:r>
          </w:p>
          <w:p w14:paraId="2721B2B4" w14:textId="77777777" w:rsidR="007A6EB0" w:rsidRDefault="007A6EB0" w:rsidP="007A6EB0">
            <w:pPr>
              <w:pStyle w:val="NotesText"/>
            </w:pPr>
          </w:p>
          <w:p w14:paraId="52D17D15" w14:textId="77777777" w:rsidR="007A6EB0" w:rsidRDefault="007A6EB0" w:rsidP="007A6EB0">
            <w:pPr>
              <w:pStyle w:val="NotesText"/>
            </w:pPr>
            <w:r>
              <w:t>For each component class and its subdivisions, VBECS tallies:</w:t>
            </w:r>
          </w:p>
          <w:p w14:paraId="49B8695E" w14:textId="77777777" w:rsidR="007A6EB0" w:rsidRDefault="007A6EB0" w:rsidP="007A6EB0">
            <w:pPr>
              <w:pStyle w:val="NotesTextBullet"/>
              <w:tabs>
                <w:tab w:val="clear" w:pos="1008"/>
                <w:tab w:val="num" w:pos="288"/>
              </w:tabs>
            </w:pPr>
            <w:r>
              <w:rPr>
                <w:rFonts w:cs="Arial"/>
                <w:vanish/>
              </w:rPr>
              <w:t xml:space="preserve">BR_107.01 </w:t>
            </w:r>
            <w:r>
              <w:t>Products received</w:t>
            </w:r>
          </w:p>
          <w:p w14:paraId="42AF13B7" w14:textId="77777777" w:rsidR="007A6EB0" w:rsidRDefault="007A6EB0" w:rsidP="007A6EB0">
            <w:pPr>
              <w:pStyle w:val="NotesTextBullet"/>
              <w:tabs>
                <w:tab w:val="clear" w:pos="1008"/>
                <w:tab w:val="num" w:pos="288"/>
              </w:tabs>
            </w:pPr>
            <w:r>
              <w:rPr>
                <w:rFonts w:cs="Arial"/>
                <w:vanish/>
              </w:rPr>
              <w:t xml:space="preserve">BR_107.02 </w:t>
            </w:r>
            <w:r>
              <w:t>Products modified/prepared</w:t>
            </w:r>
          </w:p>
          <w:p w14:paraId="519421C8" w14:textId="77777777" w:rsidR="007A6EB0" w:rsidRDefault="007A6EB0" w:rsidP="007A6EB0">
            <w:pPr>
              <w:pStyle w:val="NotesTextBullet"/>
              <w:tabs>
                <w:tab w:val="clear" w:pos="1008"/>
                <w:tab w:val="num" w:pos="288"/>
              </w:tabs>
            </w:pPr>
            <w:r>
              <w:rPr>
                <w:rFonts w:cs="Arial"/>
                <w:vanish/>
              </w:rPr>
              <w:t xml:space="preserve">BR_107.03 </w:t>
            </w:r>
            <w:r>
              <w:t>Units transfused</w:t>
            </w:r>
          </w:p>
          <w:p w14:paraId="3AE0C861" w14:textId="77777777" w:rsidR="007A6EB0" w:rsidRDefault="007A6EB0" w:rsidP="007A6EB0">
            <w:pPr>
              <w:pStyle w:val="NotesTextBullet"/>
              <w:tabs>
                <w:tab w:val="clear" w:pos="1008"/>
                <w:tab w:val="num" w:pos="288"/>
              </w:tabs>
            </w:pPr>
            <w:r>
              <w:rPr>
                <w:rFonts w:cs="Arial"/>
                <w:vanish/>
              </w:rPr>
              <w:t xml:space="preserve">BR_107.04 </w:t>
            </w:r>
            <w:r>
              <w:t>Units shipped</w:t>
            </w:r>
          </w:p>
          <w:p w14:paraId="5C73F918" w14:textId="77777777" w:rsidR="007A6EB0" w:rsidRDefault="007A6EB0" w:rsidP="007A6EB0">
            <w:pPr>
              <w:pStyle w:val="NotesTextBullet"/>
              <w:tabs>
                <w:tab w:val="clear" w:pos="1008"/>
                <w:tab w:val="num" w:pos="288"/>
              </w:tabs>
            </w:pPr>
            <w:r>
              <w:rPr>
                <w:rFonts w:cs="Arial"/>
                <w:vanish/>
              </w:rPr>
              <w:t xml:space="preserve">BR_107.05 </w:t>
            </w:r>
            <w:r>
              <w:t>Outdated units</w:t>
            </w:r>
          </w:p>
          <w:p w14:paraId="6872D175" w14:textId="77777777" w:rsidR="00007B62" w:rsidRDefault="00007B62" w:rsidP="00CB0319">
            <w:pPr>
              <w:pStyle w:val="NotesTextBullet"/>
              <w:numPr>
                <w:ilvl w:val="0"/>
                <w:numId w:val="0"/>
              </w:numPr>
              <w:ind w:left="720"/>
              <w:rPr>
                <w:rFonts w:cs="Arial"/>
                <w:vanish/>
              </w:rPr>
            </w:pPr>
          </w:p>
          <w:p w14:paraId="6827EEF9" w14:textId="73503E4C" w:rsidR="007A6EB0" w:rsidRPr="00CB0319" w:rsidRDefault="007A6EB0" w:rsidP="00CB0319">
            <w:pPr>
              <w:pStyle w:val="NotesTextBullet"/>
              <w:numPr>
                <w:ilvl w:val="0"/>
                <w:numId w:val="0"/>
              </w:numPr>
              <w:ind w:left="720"/>
              <w:rPr>
                <w:rFonts w:cs="Arial"/>
                <w:szCs w:val="18"/>
              </w:rPr>
            </w:pPr>
            <w:r>
              <w:rPr>
                <w:rFonts w:cs="Arial"/>
                <w:vanish/>
              </w:rPr>
              <w:t xml:space="preserve">BR_107.06 </w:t>
            </w:r>
            <w:r w:rsidR="00CB0319" w:rsidRPr="006F59A1">
              <w:rPr>
                <w:rFonts w:cs="Arial"/>
                <w:szCs w:val="18"/>
              </w:rPr>
              <w:t>Tallies are presented for total units received as well as subtotals for donation type categories, allogeneic, directed, and autologous.</w:t>
            </w:r>
          </w:p>
          <w:p w14:paraId="5F07BDD1" w14:textId="77777777" w:rsidR="00623790" w:rsidRDefault="00623790" w:rsidP="00CB0319">
            <w:pPr>
              <w:pStyle w:val="NotesTextBullet"/>
              <w:numPr>
                <w:ilvl w:val="0"/>
                <w:numId w:val="0"/>
              </w:numPr>
              <w:tabs>
                <w:tab w:val="num" w:pos="288"/>
              </w:tabs>
            </w:pPr>
          </w:p>
          <w:p w14:paraId="4709E254" w14:textId="77777777" w:rsidR="00623790" w:rsidRDefault="00623790" w:rsidP="00623790">
            <w:pPr>
              <w:pStyle w:val="NotesTextBullet"/>
              <w:numPr>
                <w:ilvl w:val="0"/>
                <w:numId w:val="0"/>
              </w:numPr>
              <w:ind w:left="720"/>
              <w:rPr>
                <w:rFonts w:cs="Arial"/>
                <w:szCs w:val="18"/>
              </w:rPr>
            </w:pPr>
            <w:r w:rsidRPr="00623790">
              <w:rPr>
                <w:rFonts w:cs="Arial"/>
                <w:vanish/>
                <w:szCs w:val="18"/>
              </w:rPr>
              <w:t xml:space="preserve">BR_107.08 </w:t>
            </w:r>
            <w:r w:rsidRPr="006F59A1">
              <w:rPr>
                <w:rFonts w:cs="Arial"/>
                <w:szCs w:val="18"/>
              </w:rPr>
              <w:t>Tallies are presented for total units received as well as subtotals for donation type categories, allogeneic, directed, and autologous.</w:t>
            </w:r>
          </w:p>
          <w:p w14:paraId="613C7D77" w14:textId="77777777" w:rsidR="00623790" w:rsidRDefault="00623790" w:rsidP="00623790">
            <w:pPr>
              <w:pStyle w:val="NotesTextBullet"/>
              <w:numPr>
                <w:ilvl w:val="0"/>
                <w:numId w:val="0"/>
              </w:numPr>
              <w:ind w:left="1008" w:hanging="288"/>
              <w:rPr>
                <w:rFonts w:cs="Arial"/>
                <w:szCs w:val="18"/>
              </w:rPr>
            </w:pPr>
          </w:p>
          <w:p w14:paraId="68A62CF9" w14:textId="77777777" w:rsidR="00623790" w:rsidRDefault="00623790" w:rsidP="00623790">
            <w:pPr>
              <w:pStyle w:val="NotesTextBullet"/>
              <w:numPr>
                <w:ilvl w:val="0"/>
                <w:numId w:val="0"/>
              </w:numPr>
              <w:ind w:left="720"/>
              <w:rPr>
                <w:rFonts w:cs="Arial"/>
                <w:szCs w:val="18"/>
              </w:rPr>
            </w:pPr>
            <w:r w:rsidRPr="00623790">
              <w:rPr>
                <w:rFonts w:cs="Arial"/>
                <w:vanish/>
                <w:szCs w:val="18"/>
              </w:rPr>
              <w:t xml:space="preserve">BR_107.09 </w:t>
            </w:r>
            <w:r w:rsidRPr="006F59A1">
              <w:rPr>
                <w:rFonts w:cs="Arial"/>
                <w:szCs w:val="18"/>
              </w:rPr>
              <w:t>All categories are calculated within the selected date range, not for a total in the system.</w:t>
            </w:r>
          </w:p>
          <w:p w14:paraId="4A183821" w14:textId="77777777" w:rsidR="00623790" w:rsidRDefault="00623790" w:rsidP="00623790">
            <w:pPr>
              <w:pStyle w:val="NotesTextBullet"/>
              <w:numPr>
                <w:ilvl w:val="0"/>
                <w:numId w:val="0"/>
              </w:numPr>
              <w:ind w:left="1008" w:hanging="288"/>
              <w:rPr>
                <w:rFonts w:cs="Arial"/>
                <w:szCs w:val="18"/>
              </w:rPr>
            </w:pPr>
          </w:p>
          <w:p w14:paraId="1E2E2481" w14:textId="228964AF" w:rsidR="00623790" w:rsidRPr="006F59A1" w:rsidRDefault="00623790" w:rsidP="00623790">
            <w:pPr>
              <w:pStyle w:val="NotesTextBullet"/>
              <w:numPr>
                <w:ilvl w:val="0"/>
                <w:numId w:val="0"/>
              </w:numPr>
              <w:ind w:left="720"/>
              <w:rPr>
                <w:rFonts w:cs="Arial"/>
                <w:szCs w:val="18"/>
              </w:rPr>
            </w:pPr>
            <w:r w:rsidRPr="00623790">
              <w:rPr>
                <w:rFonts w:cs="Arial"/>
                <w:vanish/>
                <w:szCs w:val="18"/>
              </w:rPr>
              <w:t xml:space="preserve">BR_107.10 </w:t>
            </w:r>
            <w:r w:rsidRPr="006F59A1">
              <w:rPr>
                <w:rFonts w:cs="Arial"/>
                <w:szCs w:val="18"/>
              </w:rPr>
              <w:t xml:space="preserve">If there is no calculation for a given field, the system will display </w:t>
            </w:r>
            <w:r w:rsidR="00007B62">
              <w:rPr>
                <w:rFonts w:cs="Arial"/>
                <w:szCs w:val="18"/>
              </w:rPr>
              <w:t>0 (zero)</w:t>
            </w:r>
            <w:r w:rsidRPr="006F59A1">
              <w:rPr>
                <w:rFonts w:cs="Arial"/>
                <w:szCs w:val="18"/>
              </w:rPr>
              <w:t>.</w:t>
            </w:r>
          </w:p>
          <w:p w14:paraId="6B3B2C85" w14:textId="77777777" w:rsidR="00623790" w:rsidRDefault="00623790" w:rsidP="00623790">
            <w:pPr>
              <w:pStyle w:val="NotesTextBullet"/>
              <w:numPr>
                <w:ilvl w:val="0"/>
                <w:numId w:val="0"/>
              </w:numPr>
              <w:ind w:left="1008" w:hanging="288"/>
            </w:pPr>
          </w:p>
          <w:p w14:paraId="5827EB57" w14:textId="77777777" w:rsidR="00623790" w:rsidRDefault="00623790" w:rsidP="00623790">
            <w:pPr>
              <w:pStyle w:val="NotesTextBullet"/>
              <w:numPr>
                <w:ilvl w:val="0"/>
                <w:numId w:val="0"/>
              </w:numPr>
              <w:ind w:left="720"/>
              <w:rPr>
                <w:rFonts w:cs="Arial"/>
                <w:szCs w:val="18"/>
              </w:rPr>
            </w:pPr>
            <w:r w:rsidRPr="00623790">
              <w:rPr>
                <w:rFonts w:cs="Arial"/>
                <w:vanish/>
                <w:szCs w:val="18"/>
              </w:rPr>
              <w:t xml:space="preserve">BR_107.11 </w:t>
            </w:r>
            <w:r w:rsidRPr="006F59A1">
              <w:rPr>
                <w:rFonts w:cs="Arial"/>
                <w:szCs w:val="18"/>
              </w:rPr>
              <w:t>Identify split/divided units using the unit product code in ISBT 128</w:t>
            </w:r>
            <w:r>
              <w:rPr>
                <w:rFonts w:cs="Arial"/>
                <w:szCs w:val="18"/>
              </w:rPr>
              <w:t>;</w:t>
            </w:r>
            <w:r w:rsidRPr="006F59A1">
              <w:rPr>
                <w:rFonts w:cs="Arial"/>
                <w:szCs w:val="18"/>
              </w:rPr>
              <w:t xml:space="preserve"> labeling contains the unit division code in the seventh and eighth characters or may be a separ</w:t>
            </w:r>
            <w:r>
              <w:rPr>
                <w:rFonts w:cs="Arial"/>
                <w:szCs w:val="18"/>
              </w:rPr>
              <w:t xml:space="preserve">ate product code, indicated as </w:t>
            </w:r>
            <w:r w:rsidRPr="006F59A1">
              <w:rPr>
                <w:rFonts w:cs="Arial"/>
                <w:szCs w:val="18"/>
              </w:rPr>
              <w:t>1st container, 2nd container, and so on.</w:t>
            </w:r>
          </w:p>
          <w:p w14:paraId="0E7C60B8" w14:textId="77777777" w:rsidR="00623790" w:rsidRDefault="00623790" w:rsidP="00623790">
            <w:pPr>
              <w:pStyle w:val="NotesTextBullet"/>
              <w:numPr>
                <w:ilvl w:val="0"/>
                <w:numId w:val="0"/>
              </w:numPr>
              <w:ind w:left="1008" w:hanging="288"/>
              <w:rPr>
                <w:rFonts w:cs="Arial"/>
                <w:szCs w:val="18"/>
              </w:rPr>
            </w:pPr>
          </w:p>
          <w:p w14:paraId="54972CD6" w14:textId="77777777" w:rsidR="00623790" w:rsidRDefault="00623790" w:rsidP="00623790">
            <w:pPr>
              <w:pStyle w:val="NotesTextBullet"/>
              <w:numPr>
                <w:ilvl w:val="0"/>
                <w:numId w:val="0"/>
              </w:numPr>
              <w:ind w:left="720"/>
            </w:pPr>
            <w:r w:rsidRPr="00623790">
              <w:rPr>
                <w:rFonts w:cs="Arial"/>
                <w:vanish/>
                <w:szCs w:val="18"/>
              </w:rPr>
              <w:t xml:space="preserve">BR_107.12 </w:t>
            </w:r>
            <w:r w:rsidRPr="006F59A1">
              <w:rPr>
                <w:rFonts w:cs="Arial"/>
                <w:szCs w:val="18"/>
              </w:rPr>
              <w:t>For Pooled totals PREPARED in VBECS, include two numbers, the first being the total number of units included in those pools. The second number is number of pools created</w:t>
            </w:r>
            <w:r>
              <w:rPr>
                <w:rFonts w:cs="Arial"/>
                <w:szCs w:val="18"/>
              </w:rPr>
              <w:t>, for</w:t>
            </w:r>
            <w:r w:rsidRPr="006F59A1">
              <w:rPr>
                <w:rFonts w:cs="Arial"/>
                <w:szCs w:val="18"/>
              </w:rPr>
              <w:t xml:space="preserve"> example</w:t>
            </w:r>
            <w:r>
              <w:rPr>
                <w:rFonts w:cs="Arial"/>
                <w:szCs w:val="18"/>
              </w:rPr>
              <w:t>,</w:t>
            </w:r>
            <w:r w:rsidRPr="006F59A1">
              <w:rPr>
                <w:rFonts w:cs="Arial"/>
                <w:szCs w:val="18"/>
              </w:rPr>
              <w:t xml:space="preserve"> (2) 1</w:t>
            </w:r>
            <w:r>
              <w:rPr>
                <w:rFonts w:cs="Arial"/>
                <w:szCs w:val="18"/>
              </w:rPr>
              <w:t>.</w:t>
            </w:r>
          </w:p>
        </w:tc>
      </w:tr>
      <w:tr w:rsidR="007A6EB0" w14:paraId="447D023B" w14:textId="77777777">
        <w:tc>
          <w:tcPr>
            <w:tcW w:w="3240" w:type="dxa"/>
          </w:tcPr>
          <w:p w14:paraId="02E829C0" w14:textId="77777777" w:rsidR="007A6EB0" w:rsidRDefault="007A6EB0" w:rsidP="007A6EB0">
            <w:pPr>
              <w:pStyle w:val="TableTextNumbers"/>
            </w:pPr>
            <w:r>
              <w:t xml:space="preserve">In the Report Compilation area, click the </w:t>
            </w:r>
            <w:r>
              <w:rPr>
                <w:b/>
              </w:rPr>
              <w:t>Create Report Now</w:t>
            </w:r>
            <w:r>
              <w:t xml:space="preserve"> </w:t>
            </w:r>
            <w:r w:rsidRPr="00BF2E41">
              <w:t>radio button</w:t>
            </w:r>
            <w:r>
              <w:t xml:space="preserve">. Click </w:t>
            </w:r>
            <w:r>
              <w:rPr>
                <w:b/>
              </w:rPr>
              <w:t>OK</w:t>
            </w:r>
            <w:r>
              <w:t xml:space="preserve"> to view the report, or</w:t>
            </w:r>
          </w:p>
          <w:p w14:paraId="1F964CD8" w14:textId="77777777" w:rsidR="007A6EB0" w:rsidRDefault="007A6EB0" w:rsidP="007A6EB0">
            <w:pPr>
              <w:pStyle w:val="TableTextNumbersContinued"/>
            </w:pPr>
          </w:p>
          <w:p w14:paraId="640EC6BF" w14:textId="77777777" w:rsidR="007A6EB0" w:rsidRDefault="007A6EB0" w:rsidP="007A6EB0">
            <w:pPr>
              <w:pStyle w:val="TableTextNumbersContinued"/>
            </w:pPr>
            <w:r>
              <w:t xml:space="preserve">Click the </w:t>
            </w:r>
            <w:r>
              <w:rPr>
                <w:b/>
              </w:rPr>
              <w:t>Schedule Print Job</w:t>
            </w:r>
            <w:r>
              <w:t xml:space="preserve"> </w:t>
            </w:r>
            <w:r w:rsidRPr="00BF2E41">
              <w:t>radio button</w:t>
            </w:r>
            <w:r>
              <w:t xml:space="preserve"> and </w:t>
            </w:r>
            <w:r>
              <w:rPr>
                <w:b/>
              </w:rPr>
              <w:t>OK</w:t>
            </w:r>
            <w:r>
              <w:t xml:space="preserve">, then enter or select a print date and printer name. Click </w:t>
            </w:r>
            <w:r>
              <w:rPr>
                <w:b/>
              </w:rPr>
              <w:t>OK</w:t>
            </w:r>
            <w:r>
              <w:t xml:space="preserve"> to view and print the report.</w:t>
            </w:r>
          </w:p>
        </w:tc>
        <w:tc>
          <w:tcPr>
            <w:tcW w:w="6120" w:type="dxa"/>
          </w:tcPr>
          <w:p w14:paraId="25EB7AC9" w14:textId="77777777" w:rsidR="005B6A94" w:rsidRDefault="00F64B5C" w:rsidP="00AA2B2E">
            <w:pPr>
              <w:pStyle w:val="TableTextBullet"/>
            </w:pPr>
            <w:r>
              <w:t>Compiles and displays the report.</w:t>
            </w:r>
          </w:p>
          <w:p w14:paraId="55D22BFD" w14:textId="77777777" w:rsidR="00EA1A6F" w:rsidRDefault="00EA1A6F" w:rsidP="00EA1A6F">
            <w:pPr>
              <w:pStyle w:val="TableTextBullet"/>
              <w:numPr>
                <w:ilvl w:val="0"/>
                <w:numId w:val="0"/>
              </w:numPr>
              <w:ind w:left="288" w:hanging="288"/>
            </w:pPr>
          </w:p>
          <w:p w14:paraId="7AEE60DF" w14:textId="6ADF1239" w:rsidR="00EA1A6F" w:rsidRDefault="00EA1A6F" w:rsidP="00EA1A6F">
            <w:pPr>
              <w:pStyle w:val="TableText"/>
              <w:rPr>
                <w:b/>
                <w:bCs/>
                <w:szCs w:val="18"/>
              </w:rPr>
            </w:pPr>
            <w:r>
              <w:rPr>
                <w:b/>
                <w:bCs/>
                <w:szCs w:val="18"/>
              </w:rPr>
              <w:t>NOTES</w:t>
            </w:r>
          </w:p>
          <w:p w14:paraId="0BCA3428" w14:textId="77777777" w:rsidR="00EA1A6F" w:rsidRDefault="00EA1A6F" w:rsidP="00786F85">
            <w:pPr>
              <w:pStyle w:val="NotesText"/>
              <w:ind w:left="0"/>
            </w:pPr>
          </w:p>
          <w:p w14:paraId="673F8F1D" w14:textId="6C6B0C99" w:rsidR="00EA1A6F" w:rsidRDefault="00490777" w:rsidP="00EA1A6F">
            <w:pPr>
              <w:pStyle w:val="NotesText"/>
            </w:pPr>
            <w:r w:rsidRPr="00490777">
              <w:rPr>
                <w:vanish/>
              </w:rPr>
              <w:t xml:space="preserve">BR_77.11 </w:t>
            </w:r>
            <w:r w:rsidR="00D5504F">
              <w:t>The user may choose to schedule a report to run at a future date and time and print on a designated printer. When a date range is supplied for the report, the report's end date must occur before selected date of printing. The report scheduled to run at the future date/time will start processing the data at the time the report is scheduled to print (future date/time). If the date range spans more than 30 days, the system displays the warning message: "You are requesting more than 30 days of data to be printed. Continue?"</w:t>
            </w:r>
          </w:p>
          <w:p w14:paraId="0C623F4B" w14:textId="77777777" w:rsidR="00490777" w:rsidRDefault="00490777" w:rsidP="00EA1A6F">
            <w:pPr>
              <w:pStyle w:val="NotesText"/>
            </w:pPr>
          </w:p>
          <w:p w14:paraId="3022DCCA" w14:textId="77777777" w:rsidR="00490777" w:rsidRDefault="00490777" w:rsidP="00EA1A6F">
            <w:pPr>
              <w:pStyle w:val="NotesText"/>
            </w:pPr>
            <w:r w:rsidRPr="00490777">
              <w:rPr>
                <w:vanish/>
              </w:rPr>
              <w:t xml:space="preserve">BR_20.17 </w:t>
            </w:r>
            <w:r>
              <w:t>When the user chooses to a view report, the system always displays the report. The user may elect to print a hard copy of the report on a designated printer or exit.</w:t>
            </w:r>
          </w:p>
        </w:tc>
      </w:tr>
      <w:tr w:rsidR="007A6EB0" w14:paraId="3D986362" w14:textId="77777777" w:rsidTr="007E500E">
        <w:trPr>
          <w:cantSplit/>
        </w:trPr>
        <w:tc>
          <w:tcPr>
            <w:tcW w:w="3240" w:type="dxa"/>
          </w:tcPr>
          <w:p w14:paraId="0ACB6AE7" w14:textId="435A1CF0" w:rsidR="007A6EB0" w:rsidRDefault="007A6EB0" w:rsidP="007A6EB0">
            <w:pPr>
              <w:pStyle w:val="TableTextNumbers"/>
            </w:pPr>
            <w:bookmarkStart w:id="619" w:name="_Hlk2774996"/>
            <w:r w:rsidRPr="0076371D">
              <w:t xml:space="preserve">Select </w:t>
            </w:r>
            <w:r w:rsidRPr="0076371D">
              <w:rPr>
                <w:b/>
              </w:rPr>
              <w:t>Print</w:t>
            </w:r>
            <w:r w:rsidR="000A0FDE" w:rsidRPr="0076371D">
              <w:rPr>
                <w:b/>
              </w:rPr>
              <w:t xml:space="preserve"> </w:t>
            </w:r>
            <w:r w:rsidRPr="0076371D">
              <w:t>to print the repor</w:t>
            </w:r>
            <w:r w:rsidR="00E9352F">
              <w:t>t</w:t>
            </w:r>
            <w:r w:rsidR="00D330A4" w:rsidRPr="0076371D">
              <w:t xml:space="preserve">, </w:t>
            </w:r>
            <w:r w:rsidR="00D330A4" w:rsidRPr="0076371D">
              <w:rPr>
                <w:b/>
              </w:rPr>
              <w:t>Export</w:t>
            </w:r>
            <w:r w:rsidR="00D330A4" w:rsidRPr="0076371D">
              <w:t xml:space="preserve"> </w:t>
            </w:r>
            <w:r w:rsidR="00E60477">
              <w:t xml:space="preserve">to export the report </w:t>
            </w:r>
            <w:r w:rsidR="00E9352F" w:rsidRPr="0076371D">
              <w:rPr>
                <w:szCs w:val="18"/>
              </w:rPr>
              <w:t xml:space="preserve">(See </w:t>
            </w:r>
            <w:r w:rsidR="00EE455E" w:rsidRPr="00EE455E">
              <w:rPr>
                <w:szCs w:val="18"/>
              </w:rPr>
              <w:t>Report Export</w:t>
            </w:r>
            <w:r w:rsidR="00E9352F">
              <w:rPr>
                <w:szCs w:val="18"/>
              </w:rPr>
              <w:t xml:space="preserve"> section</w:t>
            </w:r>
            <w:r w:rsidR="00E9352F" w:rsidRPr="0076371D">
              <w:rPr>
                <w:szCs w:val="18"/>
              </w:rPr>
              <w:t>)</w:t>
            </w:r>
            <w:r w:rsidR="00E9352F">
              <w:t xml:space="preserve">, </w:t>
            </w:r>
            <w:r w:rsidR="00E9352F">
              <w:rPr>
                <w:szCs w:val="18"/>
              </w:rPr>
              <w:t xml:space="preserve">or </w:t>
            </w:r>
            <w:r w:rsidRPr="0076371D">
              <w:t xml:space="preserve">click </w:t>
            </w:r>
            <w:r w:rsidRPr="0076371D">
              <w:rPr>
                <w:b/>
              </w:rPr>
              <w:t>Close</w:t>
            </w:r>
            <w:r w:rsidRPr="0076371D">
              <w:t xml:space="preserve"> to exit</w:t>
            </w:r>
            <w:r w:rsidR="005C22EF">
              <w:t xml:space="preserve"> without printing</w:t>
            </w:r>
            <w:r w:rsidRPr="0076371D">
              <w:t>.</w:t>
            </w:r>
            <w:r w:rsidRPr="0076371D">
              <w:rPr>
                <w:rStyle w:val="StyleTableTextNumbersWhite1Char"/>
              </w:rPr>
              <w:t xml:space="preserve"> </w:t>
            </w:r>
            <w:bookmarkEnd w:id="619"/>
          </w:p>
        </w:tc>
        <w:tc>
          <w:tcPr>
            <w:tcW w:w="6120" w:type="dxa"/>
          </w:tcPr>
          <w:p w14:paraId="7FEAFD0C" w14:textId="70A44A1A" w:rsidR="007A6EB0" w:rsidRDefault="00E9352F" w:rsidP="007A6EB0">
            <w:pPr>
              <w:pStyle w:val="TableTextBullet"/>
            </w:pPr>
            <w:r>
              <w:t>If Print is selected, p</w:t>
            </w:r>
            <w:r w:rsidR="007A6EB0">
              <w:t xml:space="preserve">rints the report on the </w:t>
            </w:r>
            <w:r>
              <w:t>designated</w:t>
            </w:r>
            <w:r w:rsidR="007A6EB0">
              <w:t xml:space="preserve"> printer</w:t>
            </w:r>
            <w:r>
              <w:t>.</w:t>
            </w:r>
          </w:p>
          <w:p w14:paraId="774BAADC" w14:textId="0D0E73D9" w:rsidR="00E9352F" w:rsidRDefault="00E9352F" w:rsidP="007A6EB0">
            <w:pPr>
              <w:pStyle w:val="TableTextBullet"/>
            </w:pPr>
            <w:r>
              <w:t>If Export is selected, exports the report to the designated file.</w:t>
            </w:r>
          </w:p>
          <w:p w14:paraId="38D0CEC0" w14:textId="071F9704" w:rsidR="00E9352F" w:rsidRDefault="00E9352F" w:rsidP="007A6EB0">
            <w:pPr>
              <w:pStyle w:val="TableTextBullet"/>
            </w:pPr>
            <w:r>
              <w:t>If Close is selected, exits the report preview.</w:t>
            </w:r>
          </w:p>
        </w:tc>
      </w:tr>
    </w:tbl>
    <w:p w14:paraId="432BD800" w14:textId="77777777" w:rsidR="002A21AE" w:rsidRDefault="00F55832" w:rsidP="007A6EB0">
      <w:pPr>
        <w:pStyle w:val="Heading2"/>
      </w:pPr>
      <w:r>
        <w:br w:type="page"/>
      </w:r>
      <w:bookmarkStart w:id="620" w:name="_Toc203765943"/>
      <w:r w:rsidR="002A21AE">
        <w:lastRenderedPageBreak/>
        <w:t>Audit Trail</w:t>
      </w:r>
      <w:bookmarkEnd w:id="620"/>
      <w:r w:rsidR="002A21AE">
        <w:fldChar w:fldCharType="begin"/>
      </w:r>
      <w:r w:rsidR="002A21AE">
        <w:instrText xml:space="preserve"> XE </w:instrText>
      </w:r>
      <w:r w:rsidR="00FA7E65">
        <w:instrText>“</w:instrText>
      </w:r>
      <w:r w:rsidR="002A21AE">
        <w:instrText>Audit Trail</w:instrText>
      </w:r>
      <w:r w:rsidR="00FA7E65">
        <w:instrText>”</w:instrText>
      </w:r>
      <w:r w:rsidR="002A21AE">
        <w:instrText xml:space="preserve"> </w:instrText>
      </w:r>
      <w:r w:rsidR="002A21AE">
        <w:fldChar w:fldCharType="end"/>
      </w:r>
      <w:r w:rsidR="002A21AE">
        <w:t xml:space="preserve"> </w:t>
      </w:r>
      <w:r w:rsidR="002A21AE">
        <w:rPr>
          <w:rFonts w:ascii="Times New Roman" w:hAnsi="Times New Roman" w:cs="Times New Roman"/>
          <w:b w:val="0"/>
          <w:i w:val="0"/>
          <w:vanish/>
          <w:sz w:val="22"/>
        </w:rPr>
        <w:t>UC_77</w:t>
      </w:r>
    </w:p>
    <w:bookmarkEnd w:id="618"/>
    <w:p w14:paraId="040A5E48" w14:textId="77777777" w:rsidR="002A21AE" w:rsidRDefault="002A21AE" w:rsidP="00FA7E65">
      <w:pPr>
        <w:pStyle w:val="BodyText"/>
      </w:pPr>
      <w:r>
        <w:t xml:space="preserve">The user views </w:t>
      </w:r>
      <w:r w:rsidR="00EB1E5A">
        <w:t>and/or</w:t>
      </w:r>
      <w:r>
        <w:t xml:space="preserve"> prints an Audit Trail Report. </w:t>
      </w:r>
    </w:p>
    <w:p w14:paraId="1CCFA150" w14:textId="77777777" w:rsidR="002A21AE" w:rsidRDefault="002A21AE">
      <w:pPr>
        <w:pStyle w:val="Heading4"/>
      </w:pPr>
      <w:r>
        <w:t>Assumptions</w:t>
      </w:r>
    </w:p>
    <w:p w14:paraId="646C3388" w14:textId="77777777" w:rsidR="002A21AE" w:rsidRDefault="002A21AE">
      <w:pPr>
        <w:pStyle w:val="ListBullet"/>
        <w:rPr>
          <w:b/>
        </w:rPr>
      </w:pPr>
      <w:r>
        <w:t>Data are available for inclusion in the report.</w:t>
      </w:r>
    </w:p>
    <w:p w14:paraId="2601CE76" w14:textId="77777777" w:rsidR="002A21AE" w:rsidRDefault="002A21AE">
      <w:pPr>
        <w:pStyle w:val="ListBullet"/>
      </w:pPr>
      <w:r>
        <w:t>The user must be logged into the division in which the report is to be generated.</w:t>
      </w:r>
    </w:p>
    <w:p w14:paraId="2DEBEBCD" w14:textId="15228274" w:rsidR="00DA6D1C" w:rsidRDefault="00DA6D1C">
      <w:pPr>
        <w:pStyle w:val="ListBullet"/>
      </w:pPr>
      <w:r>
        <w:t xml:space="preserve">The connection to </w:t>
      </w:r>
      <w:r w:rsidR="009B0529">
        <w:t>VistA is active.</w:t>
      </w:r>
    </w:p>
    <w:p w14:paraId="2E5A477B" w14:textId="77777777" w:rsidR="002A21AE" w:rsidRDefault="002A21AE">
      <w:pPr>
        <w:pStyle w:val="Heading4"/>
      </w:pPr>
      <w:r>
        <w:t xml:space="preserve">Outcome </w:t>
      </w:r>
    </w:p>
    <w:p w14:paraId="5874FF84" w14:textId="77777777" w:rsidR="002A21AE" w:rsidRDefault="00AE521B">
      <w:pPr>
        <w:pStyle w:val="ListBullet"/>
      </w:pPr>
      <w:r>
        <w:t>The user views and/or prints the report</w:t>
      </w:r>
      <w:r w:rsidR="002A21AE">
        <w:t xml:space="preserve">. </w:t>
      </w:r>
    </w:p>
    <w:p w14:paraId="1B7B4FE2" w14:textId="77777777" w:rsidR="002A21AE" w:rsidRDefault="002A21AE">
      <w:pPr>
        <w:pStyle w:val="Heading4"/>
        <w:rPr>
          <w:b w:val="0"/>
        </w:rPr>
      </w:pPr>
      <w:r>
        <w:t>Limitations and Restrictions</w:t>
      </w:r>
      <w:r>
        <w:rPr>
          <w:b w:val="0"/>
        </w:rPr>
        <w:t xml:space="preserve"> </w:t>
      </w:r>
    </w:p>
    <w:p w14:paraId="64B45E47" w14:textId="77777777" w:rsidR="002A21AE" w:rsidRDefault="00170EEF" w:rsidP="005753B8">
      <w:pPr>
        <w:pStyle w:val="ListBullet"/>
      </w:pPr>
      <w:r>
        <w:t>VBECS does not accommodate online review (verification, signature) of reports.</w:t>
      </w:r>
    </w:p>
    <w:p w14:paraId="7691A713" w14:textId="77777777" w:rsidR="002A21AE" w:rsidRDefault="002A21AE">
      <w:pPr>
        <w:pStyle w:val="Heading4"/>
      </w:pPr>
      <w:r>
        <w:t>Additional Information</w:t>
      </w:r>
    </w:p>
    <w:p w14:paraId="4CC38993" w14:textId="17C0F801" w:rsidR="002A21AE" w:rsidRDefault="002A21AE">
      <w:pPr>
        <w:pStyle w:val="ListBullet"/>
      </w:pPr>
      <w:r>
        <w:t xml:space="preserve">Audit trail entries reflect the actual date and time the change was made. </w:t>
      </w:r>
    </w:p>
    <w:p w14:paraId="4119A250" w14:textId="00DCEFEF" w:rsidR="007E33DF" w:rsidRDefault="00684888" w:rsidP="001C651F">
      <w:pPr>
        <w:pStyle w:val="ListBullet"/>
      </w:pPr>
      <w:r>
        <w:t>When a unit is rec</w:t>
      </w:r>
      <w:r w:rsidR="00147B9F">
        <w:t>eived with RBC antigens</w:t>
      </w:r>
      <w:r w:rsidR="00532FD9">
        <w:t xml:space="preserve"> selected, that unit may appear on the Audit Trail Report. See the Unit History Report for RBC </w:t>
      </w:r>
      <w:r w:rsidR="002E1949">
        <w:t xml:space="preserve">antigen typing entered for the unit during Incoming Shipment. </w:t>
      </w:r>
      <w:r w:rsidR="00532FD9" w:rsidRPr="002E1949">
        <w:rPr>
          <w:vanish/>
        </w:rPr>
        <w:t>Defect 373942</w:t>
      </w:r>
    </w:p>
    <w:p w14:paraId="0481A80B" w14:textId="77777777" w:rsidR="002A21AE" w:rsidRDefault="002A21AE">
      <w:pPr>
        <w:pStyle w:val="Heading4"/>
        <w:rPr>
          <w:b w:val="0"/>
        </w:rPr>
      </w:pPr>
      <w:r>
        <w:t>User Roles with Access to This Option</w:t>
      </w:r>
      <w:r>
        <w:rPr>
          <w:b w:val="0"/>
        </w:rPr>
        <w:t xml:space="preserve"> </w:t>
      </w:r>
    </w:p>
    <w:p w14:paraId="7D186717" w14:textId="77777777" w:rsidR="002A21AE" w:rsidRDefault="00080A13">
      <w:pPr>
        <w:pStyle w:val="Roles"/>
        <w:rPr>
          <w:snapToGrid w:val="0"/>
        </w:rPr>
      </w:pPr>
      <w:r>
        <w:t>All users</w:t>
      </w:r>
    </w:p>
    <w:p w14:paraId="2C37C6EE" w14:textId="77777777" w:rsidR="002A21AE" w:rsidRDefault="002A21AE">
      <w:pPr>
        <w:pStyle w:val="Heading4"/>
      </w:pPr>
      <w:r>
        <w:t>Audit Trail</w:t>
      </w:r>
    </w:p>
    <w:p w14:paraId="72D76FC0" w14:textId="77777777" w:rsidR="002A21AE" w:rsidRDefault="00EB1E5A" w:rsidP="00FA7E65">
      <w:pPr>
        <w:pStyle w:val="BodyText"/>
      </w:pPr>
      <w:r>
        <w:t>The user views and/or prints an Audit Trail Report, which</w:t>
      </w:r>
      <w:r w:rsidR="002A21AE">
        <w:t xml:space="preserve"> lists changes to specific patient, unit, and division configuration settings. It is a regulatory requirement to maintain documentation proving that these changes were reviewed. </w:t>
      </w:r>
      <w:r w:rsidR="00B25CE5" w:rsidRPr="00BE7BF6">
        <w:t>Modi</w:t>
      </w:r>
      <w:r w:rsidR="00B25CE5">
        <w:t>f</w:t>
      </w:r>
      <w:r w:rsidR="00B25CE5" w:rsidRPr="00BE7BF6">
        <w:t>y local record retention policy to instruct users to print, review, document, and save these reports.</w:t>
      </w:r>
      <w:r w:rsidR="002A21AE">
        <w:t xml:space="preserve"> The Audit Trail Report contains only data changes generated in the user’s login division.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4702F836" w14:textId="77777777">
        <w:trPr>
          <w:cantSplit/>
          <w:tblHeader/>
        </w:trPr>
        <w:tc>
          <w:tcPr>
            <w:tcW w:w="3240" w:type="dxa"/>
            <w:shd w:val="pct30" w:color="auto" w:fill="FFFFFF"/>
            <w:vAlign w:val="bottom"/>
          </w:tcPr>
          <w:p w14:paraId="4DE70A0B" w14:textId="77777777" w:rsidR="002A21AE" w:rsidRDefault="002A21AE">
            <w:pPr>
              <w:pStyle w:val="TableText"/>
              <w:rPr>
                <w:b/>
              </w:rPr>
            </w:pPr>
            <w:r>
              <w:rPr>
                <w:b/>
              </w:rPr>
              <w:t>User Action</w:t>
            </w:r>
          </w:p>
        </w:tc>
        <w:tc>
          <w:tcPr>
            <w:tcW w:w="6120" w:type="dxa"/>
            <w:shd w:val="pct30" w:color="auto" w:fill="FFFFFF"/>
            <w:vAlign w:val="bottom"/>
          </w:tcPr>
          <w:p w14:paraId="3379140D" w14:textId="77777777" w:rsidR="002A21AE" w:rsidRDefault="002A21AE">
            <w:pPr>
              <w:pStyle w:val="TableText"/>
              <w:rPr>
                <w:b/>
              </w:rPr>
            </w:pPr>
            <w:r>
              <w:rPr>
                <w:b/>
              </w:rPr>
              <w:t>VBECS</w:t>
            </w:r>
          </w:p>
        </w:tc>
      </w:tr>
      <w:tr w:rsidR="002A21AE" w14:paraId="2C667136" w14:textId="77777777">
        <w:tc>
          <w:tcPr>
            <w:tcW w:w="3240" w:type="dxa"/>
          </w:tcPr>
          <w:p w14:paraId="57F90004" w14:textId="77777777" w:rsidR="002A21AE" w:rsidRDefault="002A21AE" w:rsidP="00925CAD">
            <w:pPr>
              <w:pStyle w:val="TableTextNumbers"/>
              <w:numPr>
                <w:ilvl w:val="0"/>
                <w:numId w:val="72"/>
              </w:numPr>
            </w:pPr>
            <w:r>
              <w:t xml:space="preserve">Select </w:t>
            </w:r>
            <w:r w:rsidRPr="00946DA2">
              <w:rPr>
                <w:b/>
              </w:rPr>
              <w:t>Reports</w:t>
            </w:r>
            <w:r>
              <w:t xml:space="preserve"> from the main menu.</w:t>
            </w:r>
          </w:p>
          <w:p w14:paraId="06826F7A" w14:textId="77777777" w:rsidR="002A21AE" w:rsidRDefault="002A21AE">
            <w:pPr>
              <w:pStyle w:val="TableTextNumbersContinued"/>
            </w:pPr>
          </w:p>
          <w:p w14:paraId="54FB3C83" w14:textId="77777777" w:rsidR="002A21AE" w:rsidRDefault="002A21AE">
            <w:pPr>
              <w:pStyle w:val="TableTextNumbersContinued"/>
            </w:pPr>
            <w:r>
              <w:t xml:space="preserve">Select </w:t>
            </w:r>
            <w:r>
              <w:rPr>
                <w:b/>
              </w:rPr>
              <w:t>Audit Trail</w:t>
            </w:r>
            <w:r>
              <w:t>.</w:t>
            </w:r>
          </w:p>
        </w:tc>
        <w:tc>
          <w:tcPr>
            <w:tcW w:w="6120" w:type="dxa"/>
          </w:tcPr>
          <w:p w14:paraId="454D5956" w14:textId="77777777" w:rsidR="002A21AE" w:rsidRDefault="002A21AE">
            <w:pPr>
              <w:pStyle w:val="TableTextBullet"/>
            </w:pPr>
            <w:r>
              <w:t>Lists report names.</w:t>
            </w:r>
          </w:p>
          <w:p w14:paraId="436919B9" w14:textId="77777777" w:rsidR="002A21AE" w:rsidRDefault="002A21AE">
            <w:pPr>
              <w:pStyle w:val="TableTextBullet"/>
            </w:pPr>
            <w:r>
              <w:t xml:space="preserve">Displays report compilation criteria. </w:t>
            </w:r>
          </w:p>
          <w:p w14:paraId="320CB41C" w14:textId="77777777" w:rsidR="002A21AE" w:rsidRDefault="002A21AE">
            <w:pPr>
              <w:pStyle w:val="TableTextBullet"/>
            </w:pPr>
            <w:r>
              <w:t>Displays a date range for selection.</w:t>
            </w:r>
          </w:p>
        </w:tc>
      </w:tr>
      <w:tr w:rsidR="002A21AE" w14:paraId="65395DFB" w14:textId="77777777">
        <w:tc>
          <w:tcPr>
            <w:tcW w:w="3240" w:type="dxa"/>
          </w:tcPr>
          <w:p w14:paraId="7111F2B1" w14:textId="77777777" w:rsidR="002A21AE" w:rsidRDefault="002A21AE">
            <w:pPr>
              <w:pStyle w:val="TableTextNumbers"/>
            </w:pPr>
            <w:r>
              <w:t>Enter or select start and end dates.</w:t>
            </w:r>
          </w:p>
        </w:tc>
        <w:tc>
          <w:tcPr>
            <w:tcW w:w="6120" w:type="dxa"/>
          </w:tcPr>
          <w:p w14:paraId="5898547B" w14:textId="77777777" w:rsidR="002A21AE" w:rsidRDefault="002A21AE">
            <w:pPr>
              <w:pStyle w:val="TableText"/>
            </w:pPr>
          </w:p>
          <w:p w14:paraId="66EDC6FA" w14:textId="0ACB0268" w:rsidR="002A21AE" w:rsidRDefault="002A21AE">
            <w:pPr>
              <w:pStyle w:val="TableText"/>
              <w:rPr>
                <w:b/>
                <w:bCs/>
                <w:szCs w:val="18"/>
              </w:rPr>
            </w:pPr>
            <w:r>
              <w:rPr>
                <w:b/>
                <w:bCs/>
                <w:szCs w:val="18"/>
              </w:rPr>
              <w:t>NOTES</w:t>
            </w:r>
          </w:p>
          <w:p w14:paraId="4AF74BEC" w14:textId="77777777" w:rsidR="002A21AE" w:rsidRDefault="002A21AE">
            <w:pPr>
              <w:pStyle w:val="NotesText"/>
            </w:pPr>
          </w:p>
          <w:p w14:paraId="0C28742E" w14:textId="77777777" w:rsidR="002A21AE" w:rsidRDefault="002A21AE">
            <w:pPr>
              <w:pStyle w:val="NotesText"/>
            </w:pPr>
            <w:r>
              <w:rPr>
                <w:rFonts w:cs="Arial"/>
                <w:vanish/>
              </w:rPr>
              <w:t xml:space="preserve">BR_77.06 </w:t>
            </w:r>
            <w:r>
              <w:t xml:space="preserve">The parameter table and Transfusion Requirements </w:t>
            </w:r>
            <w:r w:rsidR="00981F3F">
              <w:t>R</w:t>
            </w:r>
            <w:r>
              <w:t>eport sections include changes from no previous entry to an entry and from an entry to no entry.</w:t>
            </w:r>
          </w:p>
          <w:p w14:paraId="06FDBB37" w14:textId="77777777" w:rsidR="002A21AE" w:rsidRDefault="002A21AE">
            <w:pPr>
              <w:pStyle w:val="NotesText"/>
            </w:pPr>
          </w:p>
          <w:p w14:paraId="4F03F0CA" w14:textId="77777777" w:rsidR="002A21AE" w:rsidRDefault="002A21AE">
            <w:pPr>
              <w:pStyle w:val="NotesText"/>
            </w:pPr>
            <w:r>
              <w:rPr>
                <w:rFonts w:cs="Arial"/>
                <w:vanish/>
              </w:rPr>
              <w:t xml:space="preserve">BR_77.08 </w:t>
            </w:r>
            <w:r>
              <w:t>Each entry includes an area for supervisor acknowledgement (signature or initials and date of review) and comment.</w:t>
            </w:r>
          </w:p>
        </w:tc>
      </w:tr>
      <w:tr w:rsidR="002A21AE" w14:paraId="3207A558" w14:textId="77777777" w:rsidTr="00F3651E">
        <w:trPr>
          <w:cantSplit/>
        </w:trPr>
        <w:tc>
          <w:tcPr>
            <w:tcW w:w="3240" w:type="dxa"/>
          </w:tcPr>
          <w:p w14:paraId="64D755E6" w14:textId="77777777" w:rsidR="002A21AE" w:rsidRDefault="002A21AE">
            <w:pPr>
              <w:pStyle w:val="TableTextNumbers"/>
            </w:pPr>
            <w:r>
              <w:lastRenderedPageBreak/>
              <w:t xml:space="preserve">In the Report Compilation area, click the </w:t>
            </w:r>
            <w:r>
              <w:rPr>
                <w:b/>
              </w:rPr>
              <w:t>Create Report Now</w:t>
            </w:r>
            <w:r>
              <w:t xml:space="preserve"> </w:t>
            </w:r>
            <w:r w:rsidRPr="00BF2E41">
              <w:t>radio button</w:t>
            </w:r>
            <w:r>
              <w:t xml:space="preserve">. Click </w:t>
            </w:r>
            <w:r>
              <w:rPr>
                <w:b/>
              </w:rPr>
              <w:t>OK</w:t>
            </w:r>
            <w:r>
              <w:t xml:space="preserve"> to view the report, or</w:t>
            </w:r>
          </w:p>
          <w:p w14:paraId="34075217" w14:textId="77777777" w:rsidR="002A21AE" w:rsidRDefault="002A21AE">
            <w:pPr>
              <w:pStyle w:val="TableTextNumbersContinued"/>
            </w:pPr>
          </w:p>
          <w:p w14:paraId="17E507A9" w14:textId="77777777" w:rsidR="002A21AE" w:rsidRDefault="002A21AE">
            <w:pPr>
              <w:pStyle w:val="TableTextNumbersContinued"/>
            </w:pPr>
            <w:r>
              <w:t xml:space="preserve">Click the </w:t>
            </w:r>
            <w:r>
              <w:rPr>
                <w:b/>
              </w:rPr>
              <w:t>Schedule Print Job</w:t>
            </w:r>
            <w:r>
              <w:t xml:space="preserve"> </w:t>
            </w:r>
            <w:r w:rsidRPr="00BF2E41">
              <w:t>radio button</w:t>
            </w:r>
            <w:r>
              <w:t xml:space="preserve"> and </w:t>
            </w:r>
            <w:r>
              <w:rPr>
                <w:b/>
              </w:rPr>
              <w:t>OK</w:t>
            </w:r>
            <w:r>
              <w:t xml:space="preserve">, then enter or select a print date and printer name. Click </w:t>
            </w:r>
            <w:r>
              <w:rPr>
                <w:b/>
              </w:rPr>
              <w:t>OK</w:t>
            </w:r>
            <w:r>
              <w:t xml:space="preserve"> to view and print the report.</w:t>
            </w:r>
          </w:p>
        </w:tc>
        <w:tc>
          <w:tcPr>
            <w:tcW w:w="6120" w:type="dxa"/>
          </w:tcPr>
          <w:p w14:paraId="4863A6ED" w14:textId="77777777" w:rsidR="005B6A94" w:rsidRPr="00AA2B2E" w:rsidRDefault="00F64B5C" w:rsidP="00AA2B2E">
            <w:pPr>
              <w:pStyle w:val="TableTextBullet"/>
            </w:pPr>
            <w:r>
              <w:t>Compiles and displays the report.</w:t>
            </w:r>
          </w:p>
        </w:tc>
      </w:tr>
      <w:tr w:rsidR="002A21AE" w14:paraId="3D7B352A" w14:textId="77777777">
        <w:tc>
          <w:tcPr>
            <w:tcW w:w="3240" w:type="dxa"/>
          </w:tcPr>
          <w:p w14:paraId="6A5EF33D" w14:textId="7F66EBBE" w:rsidR="002A21AE" w:rsidRDefault="005C22EF">
            <w:pPr>
              <w:pStyle w:val="TableTextNumbers"/>
            </w:pPr>
            <w:r w:rsidRPr="0076371D">
              <w:t xml:space="preserve">Select </w:t>
            </w:r>
            <w:r w:rsidRPr="0076371D">
              <w:rPr>
                <w:b/>
              </w:rPr>
              <w:t xml:space="preserve">Print </w:t>
            </w:r>
            <w:r w:rsidRPr="0076371D">
              <w:t>to print the repor</w:t>
            </w:r>
            <w:r>
              <w:t>t</w:t>
            </w:r>
            <w:r w:rsidRPr="0076371D">
              <w:t xml:space="preserve">, </w:t>
            </w:r>
            <w:r w:rsidRPr="0076371D">
              <w:rPr>
                <w:b/>
              </w:rPr>
              <w:t>Export</w:t>
            </w:r>
            <w:r w:rsidRPr="0076371D">
              <w:t xml:space="preserve"> </w:t>
            </w:r>
            <w:r>
              <w:t xml:space="preserve">to export the report </w:t>
            </w:r>
            <w:r w:rsidRPr="0076371D">
              <w:rPr>
                <w:szCs w:val="18"/>
              </w:rPr>
              <w:t xml:space="preserve">(See </w:t>
            </w:r>
            <w:r w:rsidR="00EE455E" w:rsidRPr="00EE455E">
              <w:rPr>
                <w:szCs w:val="18"/>
              </w:rPr>
              <w:t>Report Export</w:t>
            </w:r>
            <w:r>
              <w:rPr>
                <w:szCs w:val="18"/>
              </w:rPr>
              <w:t xml:space="preserve"> section</w:t>
            </w:r>
            <w:r w:rsidRPr="0076371D">
              <w:rPr>
                <w:szCs w:val="18"/>
              </w:rPr>
              <w:t>)</w:t>
            </w:r>
            <w:r>
              <w:t xml:space="preserve">, </w:t>
            </w:r>
            <w:r>
              <w:rPr>
                <w:szCs w:val="18"/>
              </w:rPr>
              <w:t xml:space="preserve">or </w:t>
            </w:r>
            <w:r w:rsidRPr="0076371D">
              <w:t xml:space="preserve">click </w:t>
            </w:r>
            <w:r w:rsidRPr="0076371D">
              <w:rPr>
                <w:b/>
              </w:rPr>
              <w:t>Close</w:t>
            </w:r>
            <w:r w:rsidRPr="0076371D">
              <w:t xml:space="preserve"> to exit</w:t>
            </w:r>
            <w:r>
              <w:t xml:space="preserve"> without printing</w:t>
            </w:r>
            <w:r w:rsidRPr="0076371D">
              <w:rPr>
                <w:szCs w:val="18"/>
              </w:rPr>
              <w:t>.</w:t>
            </w:r>
            <w:r w:rsidR="002A21AE" w:rsidRPr="00B93B42">
              <w:rPr>
                <w:rStyle w:val="StyleTableTextNumbersWhite1Char"/>
              </w:rPr>
              <w:t xml:space="preserve"> </w:t>
            </w:r>
            <w:r w:rsidR="002A21AE">
              <w:rPr>
                <w:vanish/>
                <w:color w:val="FFFFFF"/>
                <w:szCs w:val="18"/>
              </w:rPr>
              <w:fldChar w:fldCharType="begin"/>
            </w:r>
            <w:r w:rsidR="002A21AE">
              <w:rPr>
                <w:vanish/>
                <w:color w:val="FFFFFF"/>
                <w:szCs w:val="18"/>
              </w:rPr>
              <w:instrText xml:space="preserve"> LISTNUM \l 1 \s 0 </w:instrText>
            </w:r>
            <w:r w:rsidR="002A21AE">
              <w:rPr>
                <w:vanish/>
                <w:color w:val="FFFFFF"/>
                <w:szCs w:val="18"/>
              </w:rPr>
              <w:fldChar w:fldCharType="end">
                <w:numberingChange w:id="621" w:author="MUSZYNSKI, THOMAS D. (SIERRA 7 INC)" w:date="2024-11-26T07:15:00Z" w:original="0."/>
              </w:fldChar>
            </w:r>
          </w:p>
        </w:tc>
        <w:tc>
          <w:tcPr>
            <w:tcW w:w="6120" w:type="dxa"/>
          </w:tcPr>
          <w:p w14:paraId="42C2F8AF" w14:textId="77777777" w:rsidR="005C22EF" w:rsidRDefault="005C22EF" w:rsidP="005C22EF">
            <w:pPr>
              <w:pStyle w:val="TableTextBullet"/>
            </w:pPr>
            <w:r>
              <w:t>If Print is selected, prints the report on the designated printer.</w:t>
            </w:r>
          </w:p>
          <w:p w14:paraId="4CCB20FF" w14:textId="77777777" w:rsidR="005C22EF" w:rsidRDefault="005C22EF" w:rsidP="005C22EF">
            <w:pPr>
              <w:pStyle w:val="TableTextBullet"/>
            </w:pPr>
            <w:r>
              <w:t>If Export is selected, exports the report to the designated file.</w:t>
            </w:r>
          </w:p>
          <w:p w14:paraId="05FE587D" w14:textId="77777777" w:rsidR="005C22EF" w:rsidRDefault="005C22EF" w:rsidP="005C22EF">
            <w:pPr>
              <w:pStyle w:val="TableTextBullet"/>
            </w:pPr>
            <w:r>
              <w:t>If Close is selected, exits the report preview.</w:t>
            </w:r>
          </w:p>
          <w:p w14:paraId="233B8572" w14:textId="5DB9E35F" w:rsidR="002A21AE" w:rsidRDefault="00245B2C" w:rsidP="005C22EF">
            <w:pPr>
              <w:pStyle w:val="TableTextBullet"/>
            </w:pPr>
            <w:r>
              <w:t xml:space="preserve">See </w:t>
            </w:r>
            <w:r w:rsidR="00EE455E">
              <w:t xml:space="preserve">Appendix </w:t>
            </w:r>
            <w:r w:rsidR="00EE455E">
              <w:rPr>
                <w:noProof/>
              </w:rPr>
              <w:t>B</w:t>
            </w:r>
            <w:r>
              <w:t xml:space="preserve">: </w:t>
            </w:r>
            <w:r w:rsidR="00EE455E">
              <w:t xml:space="preserve">Table </w:t>
            </w:r>
            <w:r w:rsidR="00EE455E">
              <w:rPr>
                <w:noProof/>
              </w:rPr>
              <w:t>20</w:t>
            </w:r>
            <w:r w:rsidR="00EE455E">
              <w:t xml:space="preserve">: </w:t>
            </w:r>
            <w:r w:rsidR="00EE455E">
              <w:rPr>
                <w:vanish/>
              </w:rPr>
              <w:t xml:space="preserve">TT_77.01 </w:t>
            </w:r>
            <w:r w:rsidR="00EE455E">
              <w:t>Details in Audit Trail Report</w:t>
            </w:r>
            <w:r w:rsidR="002A21AE">
              <w:t>.</w:t>
            </w:r>
          </w:p>
        </w:tc>
      </w:tr>
    </w:tbl>
    <w:p w14:paraId="3AB3626D" w14:textId="77777777" w:rsidR="002A21AE" w:rsidRDefault="00F55832">
      <w:pPr>
        <w:pStyle w:val="Heading2"/>
      </w:pPr>
      <w:r>
        <w:br w:type="page"/>
      </w:r>
      <w:bookmarkStart w:id="622" w:name="_Toc203765944"/>
      <w:r w:rsidR="002A21AE">
        <w:lastRenderedPageBreak/>
        <w:t>Blood Availability</w:t>
      </w:r>
      <w:bookmarkEnd w:id="622"/>
      <w:r w:rsidR="002A21AE">
        <w:fldChar w:fldCharType="begin"/>
      </w:r>
      <w:r w:rsidR="002A21AE">
        <w:instrText xml:space="preserve"> XE </w:instrText>
      </w:r>
      <w:r w:rsidR="00FA7E65">
        <w:instrText>“</w:instrText>
      </w:r>
      <w:r w:rsidR="002A21AE">
        <w:instrText>Blood Availability</w:instrText>
      </w:r>
      <w:r w:rsidR="00FA7E65">
        <w:instrText>”</w:instrText>
      </w:r>
      <w:r w:rsidR="002A21AE">
        <w:instrText xml:space="preserve"> </w:instrText>
      </w:r>
      <w:r w:rsidR="002A21AE">
        <w:fldChar w:fldCharType="end"/>
      </w:r>
      <w:r w:rsidR="002A21AE">
        <w:t xml:space="preserve"> </w:t>
      </w:r>
      <w:r w:rsidR="002A21AE">
        <w:rPr>
          <w:rFonts w:ascii="Times New Roman" w:hAnsi="Times New Roman" w:cs="Times New Roman"/>
          <w:b w:val="0"/>
          <w:i w:val="0"/>
          <w:vanish/>
          <w:sz w:val="22"/>
        </w:rPr>
        <w:t>UC_49</w:t>
      </w:r>
    </w:p>
    <w:p w14:paraId="0ED3C518" w14:textId="77777777" w:rsidR="002A21AE" w:rsidRDefault="002A21AE" w:rsidP="00FA7E65">
      <w:pPr>
        <w:pStyle w:val="BodyText"/>
      </w:pPr>
      <w:r>
        <w:t xml:space="preserve">The user </w:t>
      </w:r>
      <w:r w:rsidR="00FF1708">
        <w:t xml:space="preserve">views </w:t>
      </w:r>
      <w:r w:rsidR="00EB1E5A">
        <w:t>and/or</w:t>
      </w:r>
      <w:r w:rsidR="00FF1708">
        <w:t xml:space="preserve"> prints the Blood Availability Report</w:t>
      </w:r>
      <w:r>
        <w:t>.</w:t>
      </w:r>
    </w:p>
    <w:p w14:paraId="6D3CE6DC" w14:textId="77777777" w:rsidR="002A21AE" w:rsidRDefault="002A21AE">
      <w:pPr>
        <w:pStyle w:val="Heading4"/>
      </w:pPr>
      <w:r>
        <w:t>Assumptions</w:t>
      </w:r>
      <w:r>
        <w:rPr>
          <w:b w:val="0"/>
        </w:rPr>
        <w:t xml:space="preserve"> </w:t>
      </w:r>
    </w:p>
    <w:p w14:paraId="54716827" w14:textId="77777777" w:rsidR="002A21AE" w:rsidRDefault="002A21AE">
      <w:pPr>
        <w:pStyle w:val="ListBullet"/>
      </w:pPr>
      <w:r>
        <w:t>A blood unit is logged into a division in the database.</w:t>
      </w:r>
    </w:p>
    <w:p w14:paraId="1DB57F1B" w14:textId="77777777" w:rsidR="002A21AE" w:rsidRDefault="002A21AE">
      <w:pPr>
        <w:pStyle w:val="Heading4"/>
      </w:pPr>
      <w:r>
        <w:t xml:space="preserve">Outcome </w:t>
      </w:r>
    </w:p>
    <w:p w14:paraId="56D9E79A" w14:textId="77777777" w:rsidR="002A21AE" w:rsidRDefault="002A21AE">
      <w:pPr>
        <w:pStyle w:val="ListBullet"/>
      </w:pPr>
      <w:r>
        <w:t>VBECS users may view available blood unit data in several formats.</w:t>
      </w:r>
    </w:p>
    <w:p w14:paraId="0096F303" w14:textId="77777777" w:rsidR="002A21AE" w:rsidRDefault="002A21AE">
      <w:pPr>
        <w:pStyle w:val="Heading4"/>
      </w:pPr>
      <w:r>
        <w:t>Limitations and Restrictions</w:t>
      </w:r>
      <w:r>
        <w:rPr>
          <w:b w:val="0"/>
        </w:rPr>
        <w:t xml:space="preserve"> </w:t>
      </w:r>
    </w:p>
    <w:p w14:paraId="39F57B6E" w14:textId="77777777" w:rsidR="008F2BFA" w:rsidRDefault="00C3558E">
      <w:pPr>
        <w:pStyle w:val="ListBullet"/>
      </w:pPr>
      <w:r>
        <w:t>None.</w:t>
      </w:r>
    </w:p>
    <w:p w14:paraId="198CED6D" w14:textId="77777777" w:rsidR="002A21AE" w:rsidRDefault="002A21AE">
      <w:pPr>
        <w:pStyle w:val="Heading4"/>
      </w:pPr>
      <w:r>
        <w:t xml:space="preserve">Additional Information </w:t>
      </w:r>
    </w:p>
    <w:p w14:paraId="4E7D31F5" w14:textId="77777777" w:rsidR="002A21AE" w:rsidRDefault="002A21AE">
      <w:pPr>
        <w:pStyle w:val="ListBullet"/>
      </w:pPr>
      <w:r>
        <w:t>VBECS displays the defined reports and allows the user to view an individual Patient Blood Availability Report or to create a custom report.</w:t>
      </w:r>
    </w:p>
    <w:p w14:paraId="33F26928" w14:textId="1C722CCD" w:rsidR="00F86A79" w:rsidRDefault="00F86A79" w:rsidP="00F86A79">
      <w:pPr>
        <w:pStyle w:val="ListBullet"/>
      </w:pPr>
      <w:r>
        <w:t>The report is available as a single-division or multidivisional (all divisions) report.</w:t>
      </w:r>
    </w:p>
    <w:p w14:paraId="75B9059C" w14:textId="77777777" w:rsidR="002A21AE" w:rsidRPr="00C32FB5" w:rsidRDefault="002A21AE" w:rsidP="00A922BB">
      <w:pPr>
        <w:pStyle w:val="Heading4"/>
        <w:rPr>
          <w:b w:val="0"/>
        </w:rPr>
      </w:pPr>
      <w:r>
        <w:t>User Roles with Access to This Option</w:t>
      </w:r>
      <w:r w:rsidRPr="00C32FB5">
        <w:rPr>
          <w:b w:val="0"/>
        </w:rPr>
        <w:t xml:space="preserve"> </w:t>
      </w:r>
    </w:p>
    <w:p w14:paraId="561928F5" w14:textId="77777777" w:rsidR="002A21AE" w:rsidRDefault="00080A13">
      <w:pPr>
        <w:pStyle w:val="Roles"/>
      </w:pPr>
      <w:r>
        <w:t>All users</w:t>
      </w:r>
    </w:p>
    <w:p w14:paraId="1E451F70" w14:textId="77777777" w:rsidR="002A21AE" w:rsidRDefault="002A21AE">
      <w:pPr>
        <w:pStyle w:val="Heading4"/>
      </w:pPr>
      <w:r>
        <w:t>Blood Availability</w:t>
      </w:r>
    </w:p>
    <w:p w14:paraId="5CD3DCC2" w14:textId="77777777" w:rsidR="002A21AE" w:rsidRDefault="002A21AE" w:rsidP="00FA7E65">
      <w:pPr>
        <w:pStyle w:val="BodyText"/>
      </w:pPr>
      <w:r>
        <w:t xml:space="preserve">The user may check the blood availability for a specific patient and view </w:t>
      </w:r>
      <w:r w:rsidR="00EB1E5A">
        <w:t>and/or</w:t>
      </w:r>
      <w:r>
        <w:t xml:space="preserve"> print a variety of Blood Inventory Reports from the user’s and other divisions, as available. Blood </w:t>
      </w:r>
      <w:r w:rsidR="001E776B">
        <w:t>A</w:t>
      </w:r>
      <w:r>
        <w:t xml:space="preserve">vailability </w:t>
      </w:r>
      <w:r w:rsidR="001E776B">
        <w:t>R</w:t>
      </w:r>
      <w:r>
        <w:t>eports include the product’s unit status, indicators, patient information for units in the “assigned” and “issued” statuses, restrictions, and special testing or handling of a unit.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32068784" w14:textId="77777777">
        <w:trPr>
          <w:cantSplit/>
          <w:tblHeader/>
        </w:trPr>
        <w:tc>
          <w:tcPr>
            <w:tcW w:w="3240" w:type="dxa"/>
            <w:shd w:val="pct30" w:color="auto" w:fill="FFFFFF"/>
            <w:vAlign w:val="bottom"/>
          </w:tcPr>
          <w:p w14:paraId="46C8ECD9" w14:textId="77777777" w:rsidR="002A21AE" w:rsidRDefault="002A21AE">
            <w:pPr>
              <w:pStyle w:val="TableText"/>
              <w:rPr>
                <w:b/>
              </w:rPr>
            </w:pPr>
            <w:r>
              <w:rPr>
                <w:b/>
              </w:rPr>
              <w:t>User Action</w:t>
            </w:r>
          </w:p>
        </w:tc>
        <w:tc>
          <w:tcPr>
            <w:tcW w:w="6120" w:type="dxa"/>
            <w:shd w:val="pct30" w:color="auto" w:fill="FFFFFF"/>
            <w:vAlign w:val="bottom"/>
          </w:tcPr>
          <w:p w14:paraId="253309AA" w14:textId="77777777" w:rsidR="002A21AE" w:rsidRDefault="002A21AE">
            <w:pPr>
              <w:pStyle w:val="TableText"/>
              <w:rPr>
                <w:b/>
              </w:rPr>
            </w:pPr>
            <w:r>
              <w:rPr>
                <w:b/>
              </w:rPr>
              <w:t>VBECS</w:t>
            </w:r>
          </w:p>
        </w:tc>
      </w:tr>
      <w:tr w:rsidR="002A21AE" w14:paraId="76C6472E" w14:textId="77777777">
        <w:tc>
          <w:tcPr>
            <w:tcW w:w="3240" w:type="dxa"/>
          </w:tcPr>
          <w:p w14:paraId="3F8994BE" w14:textId="77777777" w:rsidR="002A21AE" w:rsidRDefault="002A21AE">
            <w:pPr>
              <w:pStyle w:val="TableTextNumbers"/>
            </w:pPr>
            <w:r>
              <w:t xml:space="preserve">For a non-individual report, select </w:t>
            </w:r>
            <w:r>
              <w:rPr>
                <w:b/>
              </w:rPr>
              <w:t>Reports</w:t>
            </w:r>
            <w:r>
              <w:t xml:space="preserve"> from the main menu.</w:t>
            </w:r>
          </w:p>
          <w:p w14:paraId="1C1C02EF" w14:textId="77777777" w:rsidR="002A21AE" w:rsidRDefault="002A21AE">
            <w:pPr>
              <w:pStyle w:val="TableTextNumbersContinued"/>
            </w:pPr>
          </w:p>
          <w:p w14:paraId="79A9505B" w14:textId="77777777" w:rsidR="002A21AE" w:rsidRDefault="002A21AE">
            <w:pPr>
              <w:pStyle w:val="TableTextNumbersContinued"/>
            </w:pPr>
            <w:r>
              <w:t xml:space="preserve">Select </w:t>
            </w:r>
            <w:r>
              <w:rPr>
                <w:b/>
              </w:rPr>
              <w:t>Blood Availability</w:t>
            </w:r>
            <w:r>
              <w:t>, or</w:t>
            </w:r>
          </w:p>
          <w:p w14:paraId="6F7CA279" w14:textId="77777777" w:rsidR="002A21AE" w:rsidRDefault="002A21AE">
            <w:pPr>
              <w:pStyle w:val="TableTextNumbersContinued"/>
            </w:pPr>
          </w:p>
          <w:p w14:paraId="1B72000F" w14:textId="77777777" w:rsidR="002A21AE" w:rsidRDefault="002A21AE">
            <w:pPr>
              <w:pStyle w:val="TableTextNumbersContinued"/>
            </w:pPr>
            <w:r>
              <w:t xml:space="preserve">For a patient-specific report, select </w:t>
            </w:r>
            <w:r>
              <w:rPr>
                <w:b/>
              </w:rPr>
              <w:t>Patients</w:t>
            </w:r>
            <w:r>
              <w:t xml:space="preserve"> from the main menu.</w:t>
            </w:r>
          </w:p>
          <w:p w14:paraId="7F78FBEA" w14:textId="77777777" w:rsidR="002A21AE" w:rsidRDefault="002A21AE">
            <w:pPr>
              <w:pStyle w:val="TableTextNumbersContinued"/>
            </w:pPr>
          </w:p>
          <w:p w14:paraId="5F653040" w14:textId="77777777" w:rsidR="002A21AE" w:rsidRDefault="002A21AE">
            <w:pPr>
              <w:pStyle w:val="TableTextNumbersContinued"/>
            </w:pPr>
            <w:r>
              <w:t xml:space="preserve">Select </w:t>
            </w:r>
            <w:r>
              <w:rPr>
                <w:b/>
              </w:rPr>
              <w:t>Blood Availability</w:t>
            </w:r>
            <w:r>
              <w:t>.</w:t>
            </w:r>
          </w:p>
        </w:tc>
        <w:tc>
          <w:tcPr>
            <w:tcW w:w="6120" w:type="dxa"/>
          </w:tcPr>
          <w:p w14:paraId="47F8E4FC" w14:textId="77777777" w:rsidR="002A21AE" w:rsidRDefault="002A21AE">
            <w:pPr>
              <w:pStyle w:val="TableTextBullet"/>
            </w:pPr>
            <w:r>
              <w:t>Displays options for generating, viewing, and printing blood reports.</w:t>
            </w:r>
          </w:p>
          <w:p w14:paraId="32757A4E" w14:textId="77777777" w:rsidR="002A21AE" w:rsidRDefault="002A21AE">
            <w:pPr>
              <w:pStyle w:val="TableTextBullet"/>
            </w:pPr>
            <w:r>
              <w:t xml:space="preserve">Displays non-individual report type and compilation criteria. </w:t>
            </w:r>
          </w:p>
          <w:p w14:paraId="5FE1C53F" w14:textId="77777777" w:rsidR="002A21AE" w:rsidRDefault="002A21AE">
            <w:pPr>
              <w:pStyle w:val="TableTextBullet"/>
            </w:pPr>
            <w:r>
              <w:t>Displays options for generating a patient-specific report.</w:t>
            </w:r>
          </w:p>
          <w:p w14:paraId="2F309B65" w14:textId="67BD8F02" w:rsidR="002A21AE" w:rsidRDefault="002A21AE">
            <w:pPr>
              <w:pStyle w:val="NotesText"/>
            </w:pPr>
          </w:p>
        </w:tc>
      </w:tr>
      <w:tr w:rsidR="002A21AE" w14:paraId="0C7E955A" w14:textId="77777777" w:rsidTr="00305B16">
        <w:trPr>
          <w:cantSplit/>
        </w:trPr>
        <w:tc>
          <w:tcPr>
            <w:tcW w:w="3240" w:type="dxa"/>
          </w:tcPr>
          <w:p w14:paraId="2FA5B995" w14:textId="77777777" w:rsidR="00981244" w:rsidRDefault="00981244" w:rsidP="00981244">
            <w:pPr>
              <w:pStyle w:val="TableTextNumbers"/>
            </w:pPr>
            <w:r>
              <w:lastRenderedPageBreak/>
              <w:t>Click a radio button to select a report format:</w:t>
            </w:r>
          </w:p>
          <w:p w14:paraId="03CD4500" w14:textId="77777777" w:rsidR="007A5DC2" w:rsidRPr="00945BF5" w:rsidRDefault="007A5DC2" w:rsidP="00FB2A8A">
            <w:pPr>
              <w:pStyle w:val="TableTextNumbersBullet"/>
              <w:tabs>
                <w:tab w:val="clear" w:pos="288"/>
              </w:tabs>
              <w:ind w:left="510" w:hanging="222"/>
              <w:rPr>
                <w:b/>
              </w:rPr>
            </w:pPr>
            <w:r w:rsidRPr="00945BF5">
              <w:rPr>
                <w:b/>
              </w:rPr>
              <w:t>Daily Inventory (All Units)</w:t>
            </w:r>
          </w:p>
          <w:p w14:paraId="74DCC97E" w14:textId="77777777" w:rsidR="007A5DC2" w:rsidRPr="00945BF5" w:rsidRDefault="007A5DC2" w:rsidP="00FB2A8A">
            <w:pPr>
              <w:pStyle w:val="TableTextNumbersBullet"/>
              <w:tabs>
                <w:tab w:val="clear" w:pos="288"/>
              </w:tabs>
              <w:ind w:left="510" w:hanging="222"/>
              <w:rPr>
                <w:b/>
              </w:rPr>
            </w:pPr>
            <w:r w:rsidRPr="00945BF5">
              <w:rPr>
                <w:b/>
              </w:rPr>
              <w:t>Daily Inventory (Available Units)</w:t>
            </w:r>
          </w:p>
          <w:p w14:paraId="552AE554" w14:textId="77777777" w:rsidR="007A5DC2" w:rsidRPr="00945BF5" w:rsidRDefault="007A5DC2" w:rsidP="00FB2A8A">
            <w:pPr>
              <w:pStyle w:val="TableTextNumbersBullet"/>
              <w:tabs>
                <w:tab w:val="clear" w:pos="288"/>
              </w:tabs>
              <w:ind w:left="510" w:hanging="222"/>
              <w:rPr>
                <w:b/>
              </w:rPr>
            </w:pPr>
            <w:r w:rsidRPr="00945BF5">
              <w:rPr>
                <w:b/>
              </w:rPr>
              <w:t>Antigen Typed Inventory (Available Units)</w:t>
            </w:r>
          </w:p>
          <w:p w14:paraId="69AC9969" w14:textId="77777777" w:rsidR="007A5DC2" w:rsidRPr="00945BF5" w:rsidRDefault="007A5DC2" w:rsidP="00FB2A8A">
            <w:pPr>
              <w:pStyle w:val="TableTextNumbersBullet"/>
              <w:tabs>
                <w:tab w:val="clear" w:pos="288"/>
              </w:tabs>
              <w:ind w:left="510" w:hanging="222"/>
              <w:rPr>
                <w:b/>
              </w:rPr>
            </w:pPr>
            <w:r w:rsidRPr="00945BF5">
              <w:rPr>
                <w:b/>
              </w:rPr>
              <w:t>Units with No Disposition</w:t>
            </w:r>
            <w:r w:rsidR="0055440E" w:rsidRPr="00945BF5">
              <w:rPr>
                <w:b/>
              </w:rPr>
              <w:t xml:space="preserve"> (Available Expired)</w:t>
            </w:r>
          </w:p>
          <w:p w14:paraId="1D863F71" w14:textId="77777777" w:rsidR="0055440E" w:rsidRPr="00945BF5" w:rsidRDefault="0055440E" w:rsidP="00FB2A8A">
            <w:pPr>
              <w:pStyle w:val="TableTextNumbersBullet"/>
              <w:tabs>
                <w:tab w:val="clear" w:pos="288"/>
              </w:tabs>
              <w:ind w:left="510" w:hanging="222"/>
              <w:rPr>
                <w:b/>
              </w:rPr>
            </w:pPr>
            <w:r w:rsidRPr="00945BF5">
              <w:rPr>
                <w:b/>
              </w:rPr>
              <w:t>Units with Final Disposition (Not Transfused)</w:t>
            </w:r>
          </w:p>
          <w:p w14:paraId="423C93EA" w14:textId="77777777" w:rsidR="007A5DC2" w:rsidRPr="00945BF5" w:rsidRDefault="007A5DC2" w:rsidP="00FB2A8A">
            <w:pPr>
              <w:pStyle w:val="TableTextNumbersBullet"/>
              <w:tabs>
                <w:tab w:val="clear" w:pos="288"/>
              </w:tabs>
              <w:ind w:left="510" w:hanging="222"/>
              <w:rPr>
                <w:b/>
              </w:rPr>
            </w:pPr>
            <w:r w:rsidRPr="00945BF5">
              <w:rPr>
                <w:b/>
              </w:rPr>
              <w:t>Custom Report</w:t>
            </w:r>
          </w:p>
          <w:p w14:paraId="290344E3" w14:textId="77777777" w:rsidR="002A21AE" w:rsidRDefault="007A5DC2" w:rsidP="00FB2A8A">
            <w:pPr>
              <w:pStyle w:val="TableTextNumbersBullet"/>
              <w:tabs>
                <w:tab w:val="clear" w:pos="288"/>
              </w:tabs>
              <w:ind w:left="510" w:hanging="222"/>
            </w:pPr>
            <w:r w:rsidRPr="00945BF5">
              <w:rPr>
                <w:b/>
              </w:rPr>
              <w:t>Individual Patient Blood Availability</w:t>
            </w:r>
          </w:p>
        </w:tc>
        <w:tc>
          <w:tcPr>
            <w:tcW w:w="6120" w:type="dxa"/>
          </w:tcPr>
          <w:p w14:paraId="7D7679E0" w14:textId="77777777" w:rsidR="002A21AE" w:rsidRDefault="002A21AE">
            <w:pPr>
              <w:pStyle w:val="TableTextBullet"/>
            </w:pPr>
            <w:r>
              <w:t xml:space="preserve">Displays a print preview of the report. </w:t>
            </w:r>
          </w:p>
          <w:p w14:paraId="452E762B" w14:textId="77777777" w:rsidR="002A21AE" w:rsidRDefault="002A21AE">
            <w:pPr>
              <w:pStyle w:val="TableText"/>
            </w:pPr>
          </w:p>
          <w:p w14:paraId="227829C3" w14:textId="29280043" w:rsidR="002A21AE" w:rsidRDefault="002A21AE">
            <w:pPr>
              <w:pStyle w:val="TableText"/>
              <w:rPr>
                <w:b/>
                <w:bCs/>
                <w:szCs w:val="18"/>
              </w:rPr>
            </w:pPr>
            <w:r>
              <w:rPr>
                <w:b/>
                <w:bCs/>
                <w:szCs w:val="18"/>
              </w:rPr>
              <w:t>NOTES</w:t>
            </w:r>
          </w:p>
          <w:p w14:paraId="76E6E505" w14:textId="77777777" w:rsidR="002A21AE" w:rsidRDefault="002A21AE">
            <w:pPr>
              <w:pStyle w:val="NotesText"/>
            </w:pPr>
          </w:p>
          <w:p w14:paraId="12ECE017" w14:textId="77777777" w:rsidR="00B20440" w:rsidRPr="00B20440" w:rsidRDefault="00B20440">
            <w:pPr>
              <w:pStyle w:val="NotesText"/>
              <w:rPr>
                <w:rFonts w:cs="Arial"/>
                <w:szCs w:val="18"/>
              </w:rPr>
            </w:pPr>
            <w:r w:rsidRPr="00B20440">
              <w:rPr>
                <w:rFonts w:cs="Arial"/>
                <w:szCs w:val="18"/>
              </w:rPr>
              <w:t xml:space="preserve">The user may click the </w:t>
            </w:r>
            <w:r w:rsidR="00B90391" w:rsidRPr="00B90391">
              <w:rPr>
                <w:rFonts w:cs="Arial"/>
                <w:b/>
                <w:szCs w:val="18"/>
              </w:rPr>
              <w:t xml:space="preserve">Custom Report </w:t>
            </w:r>
            <w:r w:rsidR="00B90391" w:rsidRPr="00BF2E41">
              <w:rPr>
                <w:rFonts w:cs="Arial"/>
                <w:szCs w:val="18"/>
              </w:rPr>
              <w:t>radio button</w:t>
            </w:r>
            <w:r w:rsidR="00B90391">
              <w:rPr>
                <w:rFonts w:cs="Arial"/>
                <w:szCs w:val="18"/>
              </w:rPr>
              <w:t xml:space="preserve"> and </w:t>
            </w:r>
            <w:r w:rsidR="00B90391" w:rsidRPr="00B90391">
              <w:rPr>
                <w:rFonts w:cs="Arial"/>
                <w:b/>
                <w:szCs w:val="18"/>
              </w:rPr>
              <w:t>OK</w:t>
            </w:r>
            <w:r w:rsidR="00B90391">
              <w:rPr>
                <w:rFonts w:cs="Arial"/>
                <w:szCs w:val="18"/>
              </w:rPr>
              <w:t xml:space="preserve">, and then click the </w:t>
            </w:r>
            <w:r w:rsidRPr="00B20440">
              <w:rPr>
                <w:rFonts w:cs="Arial"/>
                <w:szCs w:val="18"/>
              </w:rPr>
              <w:t xml:space="preserve">appropriate check boxes in the Component Class, Testing, Donation Type, Unit Status, Date Range, ABO/Rh, Product Attributes, and Division tabs </w:t>
            </w:r>
            <w:r w:rsidR="00D42D20">
              <w:rPr>
                <w:rFonts w:cs="Arial"/>
                <w:szCs w:val="18"/>
              </w:rPr>
              <w:t xml:space="preserve">to </w:t>
            </w:r>
            <w:r w:rsidRPr="00B20440">
              <w:rPr>
                <w:rFonts w:cs="Arial"/>
                <w:szCs w:val="18"/>
              </w:rPr>
              <w:t>custom</w:t>
            </w:r>
            <w:r w:rsidR="00D42D20">
              <w:rPr>
                <w:rFonts w:cs="Arial"/>
                <w:szCs w:val="18"/>
              </w:rPr>
              <w:t>ize the</w:t>
            </w:r>
            <w:r w:rsidRPr="00B20440">
              <w:rPr>
                <w:rFonts w:cs="Arial"/>
                <w:szCs w:val="18"/>
              </w:rPr>
              <w:t xml:space="preserve"> report.</w:t>
            </w:r>
          </w:p>
          <w:p w14:paraId="245D7BCB" w14:textId="77777777" w:rsidR="00B20440" w:rsidRDefault="00B20440">
            <w:pPr>
              <w:pStyle w:val="NotesText"/>
              <w:rPr>
                <w:rFonts w:cs="Arial"/>
                <w:vanish/>
              </w:rPr>
            </w:pPr>
          </w:p>
          <w:p w14:paraId="6198013B" w14:textId="77777777" w:rsidR="00DE2677" w:rsidRDefault="00DE2677">
            <w:pPr>
              <w:pStyle w:val="NotesText"/>
              <w:rPr>
                <w:color w:val="000000"/>
              </w:rPr>
            </w:pPr>
          </w:p>
          <w:p w14:paraId="392074C4" w14:textId="0A66E49C" w:rsidR="000D169A" w:rsidRDefault="00DE2677">
            <w:pPr>
              <w:pStyle w:val="NotesText"/>
              <w:rPr>
                <w:color w:val="000000"/>
              </w:rPr>
            </w:pPr>
            <w:r w:rsidRPr="00DE2677">
              <w:rPr>
                <w:vanish/>
                <w:color w:val="000000"/>
              </w:rPr>
              <w:t xml:space="preserve">BR_49.10 </w:t>
            </w:r>
            <w:r w:rsidR="00C82460" w:rsidRPr="00CC1028">
              <w:rPr>
                <w:color w:val="000000"/>
              </w:rPr>
              <w:t>When a user selects the Individual Patient Blood Availability report for his division only, the report includes all units available (unit statuses: assigned, crossmatched, and issued) in his division for the selected patient.</w:t>
            </w:r>
          </w:p>
          <w:p w14:paraId="4F255328" w14:textId="77777777" w:rsidR="00C82460" w:rsidRDefault="00C82460">
            <w:pPr>
              <w:pStyle w:val="NotesText"/>
            </w:pPr>
          </w:p>
          <w:p w14:paraId="2D2C4597" w14:textId="244D9190" w:rsidR="00CC1E5B" w:rsidRDefault="000D169A">
            <w:pPr>
              <w:pStyle w:val="NotesText"/>
            </w:pPr>
            <w:r w:rsidRPr="000D169A">
              <w:rPr>
                <w:vanish/>
                <w:szCs w:val="18"/>
              </w:rPr>
              <w:t>BR_49.22, BR_49.23, BR_49.24</w:t>
            </w:r>
            <w:r w:rsidR="00CC1E5B">
              <w:t xml:space="preserve">When a user selects Units with </w:t>
            </w:r>
            <w:r w:rsidR="00EC6847">
              <w:t>Final</w:t>
            </w:r>
            <w:r w:rsidR="00CC1E5B">
              <w:t xml:space="preserve"> Disposition, the report includes </w:t>
            </w:r>
            <w:r>
              <w:t>units with a status of “discarded,” “modified,” or “</w:t>
            </w:r>
            <w:r w:rsidR="00CC1E5B">
              <w:t xml:space="preserve">transferred.” </w:t>
            </w:r>
          </w:p>
          <w:p w14:paraId="16768926" w14:textId="77777777" w:rsidR="00CC1E5B" w:rsidRDefault="00CC1E5B">
            <w:pPr>
              <w:pStyle w:val="NotesText"/>
            </w:pPr>
          </w:p>
          <w:p w14:paraId="5C7841BB" w14:textId="77777777" w:rsidR="000D169A" w:rsidRDefault="000D169A">
            <w:pPr>
              <w:pStyle w:val="NotesText"/>
            </w:pPr>
            <w:r>
              <w:t>When a user selects Units with No Disposition, the report includes expired units with a status of “limited” or “available</w:t>
            </w:r>
            <w:r w:rsidR="00EC6847">
              <w:t>.</w:t>
            </w:r>
            <w:r>
              <w:t xml:space="preserve">” </w:t>
            </w:r>
          </w:p>
        </w:tc>
      </w:tr>
      <w:tr w:rsidR="001E7BDC" w14:paraId="17F70384" w14:textId="77777777">
        <w:tc>
          <w:tcPr>
            <w:tcW w:w="3240" w:type="dxa"/>
            <w:tcBorders>
              <w:top w:val="single" w:sz="4" w:space="0" w:color="auto"/>
              <w:left w:val="single" w:sz="4" w:space="0" w:color="auto"/>
              <w:bottom w:val="single" w:sz="4" w:space="0" w:color="auto"/>
              <w:right w:val="single" w:sz="4" w:space="0" w:color="auto"/>
            </w:tcBorders>
          </w:tcPr>
          <w:p w14:paraId="6F345F2E" w14:textId="77777777" w:rsidR="001E7BDC" w:rsidRDefault="001E7BDC" w:rsidP="001E7BDC">
            <w:pPr>
              <w:pStyle w:val="TableTextNumbers"/>
            </w:pPr>
            <w:r>
              <w:t xml:space="preserve">In the Report Compilation area, click the </w:t>
            </w:r>
            <w:r>
              <w:rPr>
                <w:b/>
              </w:rPr>
              <w:t>Create Report Now</w:t>
            </w:r>
            <w:r>
              <w:t xml:space="preserve"> </w:t>
            </w:r>
            <w:r w:rsidRPr="00BF2E41">
              <w:t>radio button</w:t>
            </w:r>
            <w:r>
              <w:t xml:space="preserve">. Click </w:t>
            </w:r>
            <w:r>
              <w:rPr>
                <w:b/>
              </w:rPr>
              <w:t>OK</w:t>
            </w:r>
            <w:r>
              <w:t xml:space="preserve"> to view the report, or</w:t>
            </w:r>
          </w:p>
          <w:p w14:paraId="47345E79" w14:textId="77777777" w:rsidR="001E7BDC" w:rsidRDefault="001E7BDC" w:rsidP="001E7BDC">
            <w:pPr>
              <w:pStyle w:val="TableTextNumbersContinued"/>
            </w:pPr>
          </w:p>
          <w:p w14:paraId="3F191E0D" w14:textId="77777777" w:rsidR="001E7BDC" w:rsidRDefault="001E7BDC" w:rsidP="001E7BDC">
            <w:pPr>
              <w:pStyle w:val="TableTextNumbersContinued"/>
            </w:pPr>
            <w:r>
              <w:t xml:space="preserve">Click the </w:t>
            </w:r>
            <w:r>
              <w:rPr>
                <w:b/>
              </w:rPr>
              <w:t>Schedule Print Job</w:t>
            </w:r>
            <w:r>
              <w:t xml:space="preserve"> </w:t>
            </w:r>
            <w:r w:rsidRPr="00BF2E41">
              <w:t>radio button</w:t>
            </w:r>
            <w:r>
              <w:t xml:space="preserve"> and </w:t>
            </w:r>
            <w:r>
              <w:rPr>
                <w:b/>
              </w:rPr>
              <w:t>OK</w:t>
            </w:r>
            <w:r>
              <w:t xml:space="preserve">, then enter or select a print date and printer name. Click </w:t>
            </w:r>
            <w:r>
              <w:rPr>
                <w:b/>
              </w:rPr>
              <w:t>OK</w:t>
            </w:r>
            <w:r>
              <w:t xml:space="preserve"> to view and print the report.</w:t>
            </w:r>
          </w:p>
        </w:tc>
        <w:tc>
          <w:tcPr>
            <w:tcW w:w="6120" w:type="dxa"/>
            <w:tcBorders>
              <w:top w:val="single" w:sz="4" w:space="0" w:color="auto"/>
              <w:left w:val="single" w:sz="4" w:space="0" w:color="auto"/>
              <w:bottom w:val="single" w:sz="4" w:space="0" w:color="auto"/>
              <w:right w:val="single" w:sz="4" w:space="0" w:color="auto"/>
            </w:tcBorders>
          </w:tcPr>
          <w:p w14:paraId="41A2A73F" w14:textId="77777777" w:rsidR="005B6A94" w:rsidRDefault="001E7BDC" w:rsidP="00AA2B2E">
            <w:pPr>
              <w:pStyle w:val="TableTextBullet"/>
            </w:pPr>
            <w:r>
              <w:t>Compiles and displays the report.</w:t>
            </w:r>
          </w:p>
        </w:tc>
      </w:tr>
      <w:tr w:rsidR="001E7BDC" w14:paraId="5D20FD9E" w14:textId="77777777">
        <w:tc>
          <w:tcPr>
            <w:tcW w:w="3240" w:type="dxa"/>
            <w:tcBorders>
              <w:top w:val="single" w:sz="4" w:space="0" w:color="auto"/>
              <w:left w:val="single" w:sz="4" w:space="0" w:color="auto"/>
              <w:bottom w:val="single" w:sz="4" w:space="0" w:color="auto"/>
              <w:right w:val="single" w:sz="4" w:space="0" w:color="auto"/>
            </w:tcBorders>
          </w:tcPr>
          <w:p w14:paraId="7A4E9A71" w14:textId="625AB1CB" w:rsidR="001E7BDC" w:rsidRDefault="005C22EF" w:rsidP="001E7BDC">
            <w:pPr>
              <w:pStyle w:val="TableTextNumbers"/>
            </w:pPr>
            <w:r w:rsidRPr="0076371D">
              <w:t xml:space="preserve">Select </w:t>
            </w:r>
            <w:r w:rsidRPr="0076371D">
              <w:rPr>
                <w:b/>
              </w:rPr>
              <w:t xml:space="preserve">Print </w:t>
            </w:r>
            <w:r w:rsidRPr="0076371D">
              <w:t>to print the repor</w:t>
            </w:r>
            <w:r>
              <w:t>t</w:t>
            </w:r>
            <w:r w:rsidRPr="0076371D">
              <w:t xml:space="preserve">, </w:t>
            </w:r>
            <w:r w:rsidRPr="0076371D">
              <w:rPr>
                <w:b/>
              </w:rPr>
              <w:t>Export</w:t>
            </w:r>
            <w:r w:rsidRPr="0076371D">
              <w:t xml:space="preserve"> </w:t>
            </w:r>
            <w:r>
              <w:t xml:space="preserve">to export the report </w:t>
            </w:r>
            <w:r w:rsidRPr="0076371D">
              <w:rPr>
                <w:szCs w:val="18"/>
              </w:rPr>
              <w:t xml:space="preserve">(See </w:t>
            </w:r>
            <w:r w:rsidR="00EE455E" w:rsidRPr="00EE455E">
              <w:rPr>
                <w:szCs w:val="18"/>
              </w:rPr>
              <w:t>Report Export</w:t>
            </w:r>
            <w:r>
              <w:rPr>
                <w:szCs w:val="18"/>
              </w:rPr>
              <w:t xml:space="preserve"> section</w:t>
            </w:r>
            <w:r w:rsidRPr="0076371D">
              <w:rPr>
                <w:szCs w:val="18"/>
              </w:rPr>
              <w:t>)</w:t>
            </w:r>
            <w:r>
              <w:t xml:space="preserve">, </w:t>
            </w:r>
            <w:r>
              <w:rPr>
                <w:szCs w:val="18"/>
              </w:rPr>
              <w:t xml:space="preserve">or </w:t>
            </w:r>
            <w:r w:rsidRPr="0076371D">
              <w:t xml:space="preserve">click </w:t>
            </w:r>
            <w:r w:rsidRPr="0076371D">
              <w:rPr>
                <w:b/>
              </w:rPr>
              <w:t>Close</w:t>
            </w:r>
            <w:r w:rsidRPr="0076371D">
              <w:t xml:space="preserve"> to exit</w:t>
            </w:r>
            <w:r>
              <w:t xml:space="preserve"> without printin</w:t>
            </w:r>
            <w:r w:rsidR="00900A4A">
              <w:t>g</w:t>
            </w:r>
            <w:r w:rsidRPr="0076371D">
              <w:rPr>
                <w:szCs w:val="18"/>
              </w:rPr>
              <w:t>.</w:t>
            </w:r>
            <w:r w:rsidR="001E7BDC" w:rsidRPr="00B93B42">
              <w:rPr>
                <w:rStyle w:val="StyleTableTextNumbersWhite1Char"/>
              </w:rPr>
              <w:t xml:space="preserve"> </w:t>
            </w:r>
          </w:p>
        </w:tc>
        <w:tc>
          <w:tcPr>
            <w:tcW w:w="6120" w:type="dxa"/>
            <w:tcBorders>
              <w:top w:val="single" w:sz="4" w:space="0" w:color="auto"/>
              <w:left w:val="single" w:sz="4" w:space="0" w:color="auto"/>
              <w:bottom w:val="single" w:sz="4" w:space="0" w:color="auto"/>
              <w:right w:val="single" w:sz="4" w:space="0" w:color="auto"/>
            </w:tcBorders>
          </w:tcPr>
          <w:p w14:paraId="2E685D1D" w14:textId="77777777" w:rsidR="005C22EF" w:rsidRDefault="005C22EF" w:rsidP="005C22EF">
            <w:pPr>
              <w:pStyle w:val="TableTextBullet"/>
            </w:pPr>
            <w:r>
              <w:t>If Print is selected, prints the report on the designated printer.</w:t>
            </w:r>
          </w:p>
          <w:p w14:paraId="74C8F8AD" w14:textId="77777777" w:rsidR="005C22EF" w:rsidRDefault="005C22EF" w:rsidP="005C22EF">
            <w:pPr>
              <w:pStyle w:val="TableTextBullet"/>
            </w:pPr>
            <w:r>
              <w:t>If Export is selected, exports the report to the designated file.</w:t>
            </w:r>
          </w:p>
          <w:p w14:paraId="3487E9CC" w14:textId="0697A0DE" w:rsidR="00C62C4D" w:rsidRDefault="005C22EF" w:rsidP="005C22EF">
            <w:pPr>
              <w:pStyle w:val="TableTextBullet"/>
            </w:pPr>
            <w:r>
              <w:t>If Close is selected, exits the report preview.</w:t>
            </w:r>
          </w:p>
        </w:tc>
      </w:tr>
    </w:tbl>
    <w:p w14:paraId="55AE6D50" w14:textId="77777777" w:rsidR="002A21AE" w:rsidRDefault="0067521A">
      <w:pPr>
        <w:pStyle w:val="Heading2"/>
      </w:pPr>
      <w:r>
        <w:br w:type="page"/>
      </w:r>
      <w:bookmarkStart w:id="623" w:name="_Toc203765945"/>
      <w:r w:rsidR="002A21AE">
        <w:lastRenderedPageBreak/>
        <w:t>Cost Accounting Report</w:t>
      </w:r>
      <w:bookmarkEnd w:id="623"/>
      <w:r w:rsidR="002A21AE">
        <w:fldChar w:fldCharType="begin"/>
      </w:r>
      <w:r w:rsidR="002A21AE">
        <w:instrText xml:space="preserve"> XE </w:instrText>
      </w:r>
      <w:r w:rsidR="00FA7E65">
        <w:instrText>“</w:instrText>
      </w:r>
      <w:r w:rsidR="002A21AE">
        <w:instrText>Cost Accounting Report</w:instrText>
      </w:r>
      <w:r w:rsidR="00FA7E65">
        <w:instrText>”</w:instrText>
      </w:r>
      <w:r w:rsidR="002A21AE">
        <w:instrText xml:space="preserve"> </w:instrText>
      </w:r>
      <w:r w:rsidR="002A21AE">
        <w:fldChar w:fldCharType="end"/>
      </w:r>
      <w:r w:rsidR="002A21AE">
        <w:t xml:space="preserve"> </w:t>
      </w:r>
      <w:r w:rsidR="002A21AE">
        <w:rPr>
          <w:rFonts w:ascii="Times New Roman" w:hAnsi="Times New Roman" w:cs="Times New Roman"/>
          <w:b w:val="0"/>
          <w:i w:val="0"/>
          <w:vanish/>
          <w:sz w:val="22"/>
        </w:rPr>
        <w:t>UC_75</w:t>
      </w:r>
    </w:p>
    <w:p w14:paraId="1FA48AE1" w14:textId="77777777" w:rsidR="002A21AE" w:rsidRDefault="002A21AE" w:rsidP="00FA7E65">
      <w:pPr>
        <w:pStyle w:val="BodyText"/>
      </w:pPr>
      <w:r>
        <w:t xml:space="preserve">The user views </w:t>
      </w:r>
      <w:r w:rsidR="00EB1E5A">
        <w:t xml:space="preserve">and/or </w:t>
      </w:r>
      <w:r>
        <w:t>prints the Cost Accounting Report.</w:t>
      </w:r>
    </w:p>
    <w:p w14:paraId="06709409" w14:textId="77777777" w:rsidR="002A21AE" w:rsidRDefault="002A21AE">
      <w:pPr>
        <w:pStyle w:val="Heading4"/>
      </w:pPr>
      <w:r>
        <w:t>Assumptions</w:t>
      </w:r>
      <w:r>
        <w:rPr>
          <w:b w:val="0"/>
        </w:rPr>
        <w:t xml:space="preserve"> </w:t>
      </w:r>
    </w:p>
    <w:p w14:paraId="27EBDCE3" w14:textId="77777777" w:rsidR="002A21AE" w:rsidRDefault="002A21AE">
      <w:pPr>
        <w:pStyle w:val="ListBullet"/>
      </w:pPr>
      <w:r>
        <w:t>Data for the report were saved in VBECS.</w:t>
      </w:r>
    </w:p>
    <w:p w14:paraId="1E85AC1C" w14:textId="77777777" w:rsidR="002A21AE" w:rsidRDefault="002A21AE">
      <w:pPr>
        <w:pStyle w:val="Heading4"/>
      </w:pPr>
      <w:r>
        <w:t xml:space="preserve">Outcome </w:t>
      </w:r>
    </w:p>
    <w:p w14:paraId="09287821" w14:textId="77777777" w:rsidR="002A21AE" w:rsidRDefault="002A21AE">
      <w:pPr>
        <w:pStyle w:val="ListBullet"/>
      </w:pPr>
      <w:r>
        <w:t>The report is viewable or printed.</w:t>
      </w:r>
    </w:p>
    <w:p w14:paraId="7095482D" w14:textId="77777777" w:rsidR="002A21AE" w:rsidRDefault="002A21AE">
      <w:pPr>
        <w:pStyle w:val="Heading4"/>
      </w:pPr>
      <w:r>
        <w:t>Limitations and Restrictions</w:t>
      </w:r>
      <w:r>
        <w:rPr>
          <w:b w:val="0"/>
        </w:rPr>
        <w:t xml:space="preserve"> </w:t>
      </w:r>
    </w:p>
    <w:p w14:paraId="29FEDD69" w14:textId="77777777" w:rsidR="002A21AE" w:rsidRDefault="006F5AE0">
      <w:pPr>
        <w:pStyle w:val="ListBullet"/>
      </w:pPr>
      <w:r>
        <w:t>None</w:t>
      </w:r>
    </w:p>
    <w:p w14:paraId="3180D0C0" w14:textId="77777777" w:rsidR="002A21AE" w:rsidRDefault="002A21AE">
      <w:pPr>
        <w:pStyle w:val="Heading4"/>
      </w:pPr>
      <w:r>
        <w:t xml:space="preserve">Additional Information </w:t>
      </w:r>
    </w:p>
    <w:p w14:paraId="35D513CB" w14:textId="5B039DA6" w:rsidR="002A21AE" w:rsidRDefault="002A21AE">
      <w:pPr>
        <w:pStyle w:val="ListBullet"/>
      </w:pPr>
      <w:r>
        <w:t>The report is for a single division.</w:t>
      </w:r>
    </w:p>
    <w:p w14:paraId="34C3E217" w14:textId="545B90CF" w:rsidR="00FC4E14" w:rsidRDefault="00FC4E14" w:rsidP="00FC4E14">
      <w:pPr>
        <w:pStyle w:val="ListBullet"/>
      </w:pPr>
      <w:r w:rsidRPr="00FC4E14">
        <w:t>A unit with an edited return credit in final status will not revert to the original return credit amount when the unit’s final status is removed.</w:t>
      </w:r>
      <w:r w:rsidR="007C00C8">
        <w:t xml:space="preserve"> </w:t>
      </w:r>
      <w:r w:rsidR="007C00C8" w:rsidRPr="00FC4E14">
        <w:t>Select Edit Financial Data and correct the return credit amount.</w:t>
      </w:r>
      <w:r w:rsidR="00244AD3">
        <w:t xml:space="preserve"> </w:t>
      </w:r>
      <w:r w:rsidR="00244AD3" w:rsidRPr="00244AD3">
        <w:rPr>
          <w:vanish/>
        </w:rPr>
        <w:t>Defect 208803</w:t>
      </w:r>
    </w:p>
    <w:p w14:paraId="4A651582" w14:textId="77777777" w:rsidR="002A21AE" w:rsidRDefault="002A21AE">
      <w:pPr>
        <w:pStyle w:val="Heading4"/>
        <w:rPr>
          <w:b w:val="0"/>
        </w:rPr>
      </w:pPr>
      <w:r>
        <w:t>User Roles with Access to This Option</w:t>
      </w:r>
      <w:r>
        <w:rPr>
          <w:b w:val="0"/>
        </w:rPr>
        <w:t xml:space="preserve"> </w:t>
      </w:r>
    </w:p>
    <w:p w14:paraId="22F6F000" w14:textId="77777777" w:rsidR="002A21AE" w:rsidRDefault="00606FB0">
      <w:pPr>
        <w:pStyle w:val="Roles"/>
      </w:pPr>
      <w:r>
        <w:t>All users</w:t>
      </w:r>
    </w:p>
    <w:p w14:paraId="7661E652" w14:textId="77777777" w:rsidR="002A21AE" w:rsidRDefault="002A21AE">
      <w:pPr>
        <w:pStyle w:val="Heading4"/>
      </w:pPr>
      <w:r>
        <w:t>Cost Accounting Report</w:t>
      </w:r>
    </w:p>
    <w:p w14:paraId="24CDCC14" w14:textId="77777777" w:rsidR="002A21AE" w:rsidRDefault="002A21AE" w:rsidP="00FA7E65">
      <w:pPr>
        <w:pStyle w:val="BodyText"/>
      </w:pPr>
      <w:r>
        <w:t xml:space="preserve">The user views </w:t>
      </w:r>
      <w:r w:rsidR="00EB1E5A">
        <w:t xml:space="preserve">and/or </w:t>
      </w:r>
      <w:r>
        <w:t xml:space="preserve">prints the Cost Accounting Report for a division. The Cost Accounting Report itemizes incoming and outgoing shipments, modifications of blood products, and patient testing costs for a given period. The report includes base cost, special testing, </w:t>
      </w:r>
      <w:r w:rsidR="006F5AE0">
        <w:t xml:space="preserve">modifications, </w:t>
      </w:r>
      <w:r>
        <w:t>and return credits for units, as applicable.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40E51352" w14:textId="77777777">
        <w:trPr>
          <w:cantSplit/>
          <w:tblHeader/>
        </w:trPr>
        <w:tc>
          <w:tcPr>
            <w:tcW w:w="3240" w:type="dxa"/>
            <w:shd w:val="pct30" w:color="auto" w:fill="FFFFFF"/>
            <w:vAlign w:val="bottom"/>
          </w:tcPr>
          <w:p w14:paraId="061AF183" w14:textId="77777777" w:rsidR="002A21AE" w:rsidRDefault="002A21AE">
            <w:pPr>
              <w:pStyle w:val="TableText"/>
              <w:rPr>
                <w:b/>
              </w:rPr>
            </w:pPr>
            <w:r>
              <w:rPr>
                <w:b/>
              </w:rPr>
              <w:t>User Action</w:t>
            </w:r>
          </w:p>
        </w:tc>
        <w:tc>
          <w:tcPr>
            <w:tcW w:w="6120" w:type="dxa"/>
            <w:shd w:val="pct30" w:color="auto" w:fill="FFFFFF"/>
            <w:vAlign w:val="bottom"/>
          </w:tcPr>
          <w:p w14:paraId="52AFE4B0" w14:textId="77777777" w:rsidR="002A21AE" w:rsidRDefault="002A21AE">
            <w:pPr>
              <w:pStyle w:val="TableText"/>
              <w:rPr>
                <w:b/>
              </w:rPr>
            </w:pPr>
            <w:r>
              <w:rPr>
                <w:b/>
              </w:rPr>
              <w:t>VBECS</w:t>
            </w:r>
          </w:p>
        </w:tc>
      </w:tr>
      <w:tr w:rsidR="002A21AE" w14:paraId="57A11443" w14:textId="77777777">
        <w:tc>
          <w:tcPr>
            <w:tcW w:w="3240" w:type="dxa"/>
          </w:tcPr>
          <w:p w14:paraId="2F231365" w14:textId="77777777" w:rsidR="002A21AE" w:rsidRDefault="002A21AE" w:rsidP="00925CAD">
            <w:pPr>
              <w:pStyle w:val="TableTextNumbers"/>
              <w:numPr>
                <w:ilvl w:val="0"/>
                <w:numId w:val="38"/>
              </w:numPr>
            </w:pPr>
            <w:r>
              <w:t xml:space="preserve">Select </w:t>
            </w:r>
            <w:r w:rsidRPr="002F2DF7">
              <w:t>Reports</w:t>
            </w:r>
            <w:r>
              <w:t xml:space="preserve"> from the main menu.</w:t>
            </w:r>
          </w:p>
          <w:p w14:paraId="6FABE507" w14:textId="77777777" w:rsidR="002A21AE" w:rsidRDefault="002A21AE">
            <w:pPr>
              <w:pStyle w:val="TableTextNumbersContinued"/>
            </w:pPr>
          </w:p>
          <w:p w14:paraId="307E277E" w14:textId="77777777" w:rsidR="002A21AE" w:rsidRDefault="002A21AE">
            <w:pPr>
              <w:pStyle w:val="TableTextNumbersContinued"/>
            </w:pPr>
            <w:r>
              <w:t xml:space="preserve">Select </w:t>
            </w:r>
            <w:r>
              <w:rPr>
                <w:b/>
              </w:rPr>
              <w:t>Cost Accounting Report</w:t>
            </w:r>
            <w:r>
              <w:t>.</w:t>
            </w:r>
          </w:p>
        </w:tc>
        <w:tc>
          <w:tcPr>
            <w:tcW w:w="6120" w:type="dxa"/>
          </w:tcPr>
          <w:p w14:paraId="72BDE09E" w14:textId="77777777" w:rsidR="002A21AE" w:rsidRDefault="002A21AE">
            <w:pPr>
              <w:pStyle w:val="TableTextBullet"/>
            </w:pPr>
            <w:r>
              <w:t>Lists report names.</w:t>
            </w:r>
          </w:p>
          <w:p w14:paraId="795EF10D" w14:textId="77777777" w:rsidR="002A21AE" w:rsidRDefault="002A21AE">
            <w:pPr>
              <w:pStyle w:val="TableTextBullet"/>
            </w:pPr>
            <w:r>
              <w:t xml:space="preserve">Displays report compilation criteria. </w:t>
            </w:r>
          </w:p>
          <w:p w14:paraId="4A52700A" w14:textId="77777777" w:rsidR="002A21AE" w:rsidRDefault="002A21AE">
            <w:pPr>
              <w:pStyle w:val="TableTextBullet"/>
            </w:pPr>
            <w:r>
              <w:t>Displays a date range for selection.</w:t>
            </w:r>
          </w:p>
        </w:tc>
      </w:tr>
      <w:tr w:rsidR="002A21AE" w14:paraId="1A73A773" w14:textId="77777777">
        <w:tc>
          <w:tcPr>
            <w:tcW w:w="3240" w:type="dxa"/>
          </w:tcPr>
          <w:p w14:paraId="59932601" w14:textId="77777777" w:rsidR="002A21AE" w:rsidRDefault="002A21AE">
            <w:pPr>
              <w:pStyle w:val="TableTextNumbers"/>
            </w:pPr>
            <w:r>
              <w:t>Enter or select start and end dates.</w:t>
            </w:r>
          </w:p>
        </w:tc>
        <w:tc>
          <w:tcPr>
            <w:tcW w:w="6120" w:type="dxa"/>
          </w:tcPr>
          <w:p w14:paraId="7D25E221" w14:textId="77777777" w:rsidR="002A21AE" w:rsidRDefault="002A21AE">
            <w:pPr>
              <w:pStyle w:val="TableTextBullet"/>
            </w:pPr>
            <w:r>
              <w:t xml:space="preserve">Compiles and displays the report. </w:t>
            </w:r>
          </w:p>
          <w:p w14:paraId="3161102A" w14:textId="77777777" w:rsidR="002A21AE" w:rsidRDefault="002A21AE">
            <w:pPr>
              <w:pStyle w:val="TableText"/>
            </w:pPr>
          </w:p>
          <w:p w14:paraId="73B5DE9E" w14:textId="7E9ED1D1" w:rsidR="002A21AE" w:rsidRDefault="002A21AE">
            <w:pPr>
              <w:pStyle w:val="TableText"/>
              <w:rPr>
                <w:b/>
                <w:bCs/>
                <w:szCs w:val="18"/>
              </w:rPr>
            </w:pPr>
            <w:r>
              <w:rPr>
                <w:b/>
                <w:bCs/>
                <w:szCs w:val="18"/>
              </w:rPr>
              <w:t>NOTES</w:t>
            </w:r>
          </w:p>
          <w:p w14:paraId="232A388E" w14:textId="77777777" w:rsidR="002A21AE" w:rsidRDefault="002A21AE">
            <w:pPr>
              <w:pStyle w:val="NotesText"/>
            </w:pPr>
          </w:p>
          <w:p w14:paraId="25C85B75" w14:textId="0EE353E6" w:rsidR="002A21AE" w:rsidRDefault="002A21AE">
            <w:pPr>
              <w:pStyle w:val="NotesText"/>
            </w:pPr>
            <w:r>
              <w:rPr>
                <w:rFonts w:cs="Arial"/>
                <w:vanish/>
              </w:rPr>
              <w:t xml:space="preserve">BR_75.03 </w:t>
            </w:r>
            <w:r>
              <w:t xml:space="preserve">Final calculations appear at the end of </w:t>
            </w:r>
            <w:r w:rsidR="00C16592">
              <w:t>each section</w:t>
            </w:r>
            <w:r>
              <w:t>:</w:t>
            </w:r>
          </w:p>
          <w:p w14:paraId="12695001" w14:textId="77777777" w:rsidR="002A21AE" w:rsidRDefault="002A21AE">
            <w:pPr>
              <w:pStyle w:val="NotesTextBullet"/>
            </w:pPr>
            <w:r>
              <w:t>Subtotal of base cost per invoice (Incoming Shipment section only)</w:t>
            </w:r>
          </w:p>
          <w:p w14:paraId="6D2EE830" w14:textId="77777777" w:rsidR="002A21AE" w:rsidRDefault="002A21AE">
            <w:pPr>
              <w:pStyle w:val="NotesTextBullet"/>
            </w:pPr>
            <w:r>
              <w:t>Subtotal of special testing cost (Incoming Shipment section only)</w:t>
            </w:r>
          </w:p>
          <w:p w14:paraId="266DE057" w14:textId="23E9A159" w:rsidR="002A21AE" w:rsidRDefault="002A21AE" w:rsidP="00C3613D">
            <w:pPr>
              <w:pStyle w:val="NotesTextBullet"/>
            </w:pPr>
            <w:r>
              <w:t>Subtotal of return credit for an invoice (Outgoing Shipment section only)</w:t>
            </w:r>
          </w:p>
          <w:p w14:paraId="6044361B" w14:textId="77777777" w:rsidR="002A21AE" w:rsidRDefault="002A21AE">
            <w:pPr>
              <w:pStyle w:val="NotesTextBullet"/>
            </w:pPr>
            <w:r>
              <w:t xml:space="preserve">Total special testing cost of all units </w:t>
            </w:r>
          </w:p>
          <w:p w14:paraId="6A9C7D16" w14:textId="2C720B01" w:rsidR="002A21AE" w:rsidRDefault="002A21AE" w:rsidP="00C3613D">
            <w:pPr>
              <w:pStyle w:val="NotesTextBullet"/>
            </w:pPr>
            <w:r>
              <w:t>Total off-site antibody identification testing cost</w:t>
            </w:r>
          </w:p>
          <w:p w14:paraId="0A95063D" w14:textId="110BEADC" w:rsidR="002A21AE" w:rsidRPr="0034286D" w:rsidRDefault="002A21AE" w:rsidP="00C3613D">
            <w:pPr>
              <w:pStyle w:val="NotesTextBullet"/>
            </w:pPr>
            <w:r>
              <w:t>Total cost of modifications</w:t>
            </w:r>
          </w:p>
          <w:p w14:paraId="5716A2E2" w14:textId="1C606567" w:rsidR="0034286D" w:rsidRDefault="0034286D">
            <w:pPr>
              <w:pStyle w:val="NotesTextBullet"/>
            </w:pPr>
            <w:r>
              <w:t>Total cost of units inactivated</w:t>
            </w:r>
          </w:p>
        </w:tc>
      </w:tr>
      <w:tr w:rsidR="002A21AE" w14:paraId="022E44EE" w14:textId="77777777" w:rsidTr="00FB2A8A">
        <w:trPr>
          <w:cantSplit/>
        </w:trPr>
        <w:tc>
          <w:tcPr>
            <w:tcW w:w="3240" w:type="dxa"/>
          </w:tcPr>
          <w:p w14:paraId="61EB971B" w14:textId="77777777" w:rsidR="002A21AE" w:rsidRDefault="002A21AE">
            <w:pPr>
              <w:pStyle w:val="TableTextNumbers"/>
            </w:pPr>
            <w:r>
              <w:lastRenderedPageBreak/>
              <w:t xml:space="preserve">In the Report Compilation area, click the </w:t>
            </w:r>
            <w:r>
              <w:rPr>
                <w:b/>
              </w:rPr>
              <w:t>Create Report Now</w:t>
            </w:r>
            <w:r>
              <w:t xml:space="preserve"> </w:t>
            </w:r>
            <w:r w:rsidRPr="00BF2E41">
              <w:t>radio button</w:t>
            </w:r>
            <w:r>
              <w:t xml:space="preserve">. Click </w:t>
            </w:r>
            <w:r>
              <w:rPr>
                <w:b/>
              </w:rPr>
              <w:t>OK</w:t>
            </w:r>
            <w:r>
              <w:t xml:space="preserve"> to view the report, or</w:t>
            </w:r>
          </w:p>
          <w:p w14:paraId="2610C6B8" w14:textId="77777777" w:rsidR="002A21AE" w:rsidRDefault="002A21AE">
            <w:pPr>
              <w:pStyle w:val="TableTextNumbersContinued"/>
            </w:pPr>
          </w:p>
          <w:p w14:paraId="6CA44780" w14:textId="77777777" w:rsidR="002A21AE" w:rsidRDefault="002A21AE">
            <w:pPr>
              <w:pStyle w:val="TableTextNumbersContinued"/>
            </w:pPr>
            <w:r>
              <w:t xml:space="preserve">Click the </w:t>
            </w:r>
            <w:r>
              <w:rPr>
                <w:b/>
              </w:rPr>
              <w:t>Schedule Print Job</w:t>
            </w:r>
            <w:r>
              <w:t xml:space="preserve"> </w:t>
            </w:r>
            <w:r w:rsidRPr="00BF2E41">
              <w:t>radio button</w:t>
            </w:r>
            <w:r>
              <w:t xml:space="preserve"> and </w:t>
            </w:r>
            <w:r>
              <w:rPr>
                <w:b/>
              </w:rPr>
              <w:t>OK</w:t>
            </w:r>
            <w:r>
              <w:t xml:space="preserve">, then enter or select a print date and printer name. Click </w:t>
            </w:r>
            <w:r>
              <w:rPr>
                <w:b/>
              </w:rPr>
              <w:t>OK</w:t>
            </w:r>
            <w:r>
              <w:t xml:space="preserve"> to view and print the report.</w:t>
            </w:r>
          </w:p>
        </w:tc>
        <w:tc>
          <w:tcPr>
            <w:tcW w:w="6120" w:type="dxa"/>
          </w:tcPr>
          <w:p w14:paraId="7557DE5A" w14:textId="77777777" w:rsidR="002A21AE" w:rsidRDefault="00F64B5C" w:rsidP="00F64B5C">
            <w:pPr>
              <w:pStyle w:val="TableTextBullet"/>
            </w:pPr>
            <w:r>
              <w:t>Compiles and displays the report.</w:t>
            </w:r>
          </w:p>
          <w:p w14:paraId="46FA0F6B" w14:textId="77777777" w:rsidR="005B6A94" w:rsidRDefault="005B6A94" w:rsidP="00AA2B2E">
            <w:pPr>
              <w:pStyle w:val="TableTextBullet"/>
              <w:numPr>
                <w:ilvl w:val="0"/>
                <w:numId w:val="0"/>
              </w:numPr>
            </w:pPr>
          </w:p>
        </w:tc>
      </w:tr>
      <w:tr w:rsidR="002A21AE" w14:paraId="5E4701BD" w14:textId="77777777">
        <w:tc>
          <w:tcPr>
            <w:tcW w:w="3240" w:type="dxa"/>
          </w:tcPr>
          <w:p w14:paraId="441715C2" w14:textId="4C63A804" w:rsidR="002A21AE" w:rsidRDefault="005C22EF">
            <w:pPr>
              <w:pStyle w:val="TableTextNumbers"/>
            </w:pPr>
            <w:r w:rsidRPr="0076371D">
              <w:t xml:space="preserve">Select </w:t>
            </w:r>
            <w:r w:rsidRPr="0076371D">
              <w:rPr>
                <w:b/>
              </w:rPr>
              <w:t xml:space="preserve">Print </w:t>
            </w:r>
            <w:r w:rsidRPr="0076371D">
              <w:t>to print the repor</w:t>
            </w:r>
            <w:r>
              <w:t>t</w:t>
            </w:r>
            <w:r w:rsidRPr="0076371D">
              <w:t xml:space="preserve">, </w:t>
            </w:r>
            <w:r w:rsidRPr="0076371D">
              <w:rPr>
                <w:b/>
              </w:rPr>
              <w:t>Export</w:t>
            </w:r>
            <w:r w:rsidRPr="0076371D">
              <w:t xml:space="preserve"> </w:t>
            </w:r>
            <w:r>
              <w:t xml:space="preserve">to export the report </w:t>
            </w:r>
            <w:r w:rsidRPr="0076371D">
              <w:rPr>
                <w:szCs w:val="18"/>
              </w:rPr>
              <w:t xml:space="preserve">(See </w:t>
            </w:r>
            <w:r w:rsidR="00EE455E" w:rsidRPr="00EE455E">
              <w:rPr>
                <w:szCs w:val="18"/>
              </w:rPr>
              <w:t>Report Export</w:t>
            </w:r>
            <w:r>
              <w:rPr>
                <w:szCs w:val="18"/>
              </w:rPr>
              <w:t xml:space="preserve"> section</w:t>
            </w:r>
            <w:r w:rsidRPr="0076371D">
              <w:rPr>
                <w:szCs w:val="18"/>
              </w:rPr>
              <w:t>)</w:t>
            </w:r>
            <w:r>
              <w:t xml:space="preserve">, </w:t>
            </w:r>
            <w:r>
              <w:rPr>
                <w:szCs w:val="18"/>
              </w:rPr>
              <w:t xml:space="preserve">or </w:t>
            </w:r>
            <w:r w:rsidRPr="0076371D">
              <w:t xml:space="preserve">click </w:t>
            </w:r>
            <w:r w:rsidRPr="0076371D">
              <w:rPr>
                <w:b/>
              </w:rPr>
              <w:t>Close</w:t>
            </w:r>
            <w:r w:rsidRPr="0076371D">
              <w:t xml:space="preserve"> to exit</w:t>
            </w:r>
            <w:r>
              <w:t xml:space="preserve"> without printing</w:t>
            </w:r>
            <w:r w:rsidRPr="0076371D">
              <w:rPr>
                <w:szCs w:val="18"/>
              </w:rPr>
              <w:t>.</w:t>
            </w:r>
            <w:r w:rsidR="002A21AE" w:rsidRPr="00B93B42">
              <w:rPr>
                <w:rStyle w:val="StyleTableTextNumbersWhite1Char"/>
              </w:rPr>
              <w:t xml:space="preserve"> </w:t>
            </w:r>
            <w:r w:rsidR="002A21AE">
              <w:rPr>
                <w:vanish/>
                <w:color w:val="FFFFFF"/>
                <w:szCs w:val="18"/>
              </w:rPr>
              <w:fldChar w:fldCharType="begin"/>
            </w:r>
            <w:r w:rsidR="002A21AE">
              <w:rPr>
                <w:vanish/>
                <w:color w:val="FFFFFF"/>
                <w:szCs w:val="18"/>
              </w:rPr>
              <w:instrText xml:space="preserve"> LISTNUM \l 1 \s 0 </w:instrText>
            </w:r>
            <w:r w:rsidR="002A21AE">
              <w:rPr>
                <w:vanish/>
                <w:color w:val="FFFFFF"/>
                <w:szCs w:val="18"/>
              </w:rPr>
              <w:fldChar w:fldCharType="end">
                <w:numberingChange w:id="624" w:author="MUSZYNSKI, THOMAS D. (SIERRA 7 INC)" w:date="2024-11-26T07:15:00Z" w:original="0."/>
              </w:fldChar>
            </w:r>
          </w:p>
        </w:tc>
        <w:tc>
          <w:tcPr>
            <w:tcW w:w="6120" w:type="dxa"/>
          </w:tcPr>
          <w:p w14:paraId="49D8AB48" w14:textId="77777777" w:rsidR="005C22EF" w:rsidRDefault="005C22EF" w:rsidP="005C22EF">
            <w:pPr>
              <w:pStyle w:val="TableTextBullet"/>
            </w:pPr>
            <w:r>
              <w:t>If Print is selected, prints the report on the designated printer.</w:t>
            </w:r>
          </w:p>
          <w:p w14:paraId="182FCC97" w14:textId="77777777" w:rsidR="005C22EF" w:rsidRDefault="005C22EF" w:rsidP="005C22EF">
            <w:pPr>
              <w:pStyle w:val="TableTextBullet"/>
            </w:pPr>
            <w:r>
              <w:t>If Export is selected, exports the report to the designated file.</w:t>
            </w:r>
          </w:p>
          <w:p w14:paraId="44AA8F44" w14:textId="0B40C2E7" w:rsidR="002A21AE" w:rsidRDefault="005C22EF" w:rsidP="005C22EF">
            <w:pPr>
              <w:pStyle w:val="TableTextBullet"/>
            </w:pPr>
            <w:r>
              <w:t>If Close is selected, exits the report preview.</w:t>
            </w:r>
          </w:p>
        </w:tc>
      </w:tr>
    </w:tbl>
    <w:p w14:paraId="45DD67E3" w14:textId="77777777" w:rsidR="002A21AE" w:rsidRDefault="00F55832">
      <w:pPr>
        <w:pStyle w:val="Heading2"/>
      </w:pPr>
      <w:r>
        <w:br w:type="page"/>
      </w:r>
      <w:bookmarkStart w:id="625" w:name="_Toc203765946"/>
      <w:r w:rsidR="002A21AE">
        <w:lastRenderedPageBreak/>
        <w:t>C:T Ratio Report</w:t>
      </w:r>
      <w:bookmarkEnd w:id="625"/>
      <w:r w:rsidR="002A21AE">
        <w:fldChar w:fldCharType="begin"/>
      </w:r>
      <w:r w:rsidR="002A21AE">
        <w:instrText xml:space="preserve"> XE </w:instrText>
      </w:r>
      <w:r w:rsidR="00FA7E65">
        <w:instrText>“</w:instrText>
      </w:r>
      <w:r w:rsidR="002A21AE">
        <w:instrText>C\:T Ratio Report</w:instrText>
      </w:r>
      <w:r w:rsidR="00FA7E65">
        <w:instrText>”</w:instrText>
      </w:r>
      <w:r w:rsidR="002A21AE">
        <w:instrText xml:space="preserve"> </w:instrText>
      </w:r>
      <w:r w:rsidR="002A21AE">
        <w:fldChar w:fldCharType="end"/>
      </w:r>
      <w:r w:rsidR="002A21AE">
        <w:t xml:space="preserve"> </w:t>
      </w:r>
      <w:r w:rsidR="002A21AE">
        <w:rPr>
          <w:rFonts w:ascii="Times New Roman" w:hAnsi="Times New Roman" w:cs="Times New Roman"/>
          <w:b w:val="0"/>
          <w:i w:val="0"/>
          <w:vanish/>
          <w:sz w:val="22"/>
        </w:rPr>
        <w:t>UC_104</w:t>
      </w:r>
      <w:r w:rsidR="002A21AE">
        <w:rPr>
          <w:rStyle w:val="CommentReference"/>
          <w:rFonts w:ascii="Times New Roman" w:hAnsi="Times New Roman" w:cs="Times New Roman"/>
          <w:b w:val="0"/>
          <w:bCs w:val="0"/>
          <w:vanish/>
        </w:rPr>
        <w:t xml:space="preserve"> </w:t>
      </w:r>
    </w:p>
    <w:p w14:paraId="59E752AB" w14:textId="77777777" w:rsidR="002A21AE" w:rsidRDefault="002A21AE" w:rsidP="00FA7E65">
      <w:pPr>
        <w:pStyle w:val="BodyText"/>
      </w:pPr>
      <w:r>
        <w:t xml:space="preserve">The user views </w:t>
      </w:r>
      <w:r w:rsidR="00EB1E5A">
        <w:t xml:space="preserve">and/or </w:t>
      </w:r>
      <w:r w:rsidR="00F86A79">
        <w:t>prints the C:T Ratio Report</w:t>
      </w:r>
      <w:r>
        <w:t>.</w:t>
      </w:r>
    </w:p>
    <w:p w14:paraId="1A5B56D8" w14:textId="77777777" w:rsidR="002A21AE" w:rsidRDefault="002A21AE">
      <w:pPr>
        <w:pStyle w:val="Heading4"/>
      </w:pPr>
      <w:r>
        <w:t>Assumptions</w:t>
      </w:r>
      <w:r>
        <w:rPr>
          <w:b w:val="0"/>
        </w:rPr>
        <w:t xml:space="preserve"> </w:t>
      </w:r>
    </w:p>
    <w:p w14:paraId="3D1F6573" w14:textId="77777777" w:rsidR="002A21AE" w:rsidRDefault="002A21AE">
      <w:pPr>
        <w:pStyle w:val="ListBullet"/>
      </w:pPr>
      <w:r>
        <w:t>Data for the report are available.</w:t>
      </w:r>
    </w:p>
    <w:p w14:paraId="7883C377" w14:textId="77777777" w:rsidR="002A21AE" w:rsidRDefault="002A21AE">
      <w:pPr>
        <w:pStyle w:val="Heading4"/>
      </w:pPr>
      <w:r>
        <w:t xml:space="preserve">Outcome </w:t>
      </w:r>
    </w:p>
    <w:p w14:paraId="71EEB280" w14:textId="77777777" w:rsidR="002A21AE" w:rsidRDefault="002A21AE">
      <w:pPr>
        <w:pStyle w:val="ListBullet"/>
      </w:pPr>
      <w:r>
        <w:t>The report is viewed or printed.</w:t>
      </w:r>
    </w:p>
    <w:p w14:paraId="6D42C585" w14:textId="77777777" w:rsidR="002A21AE" w:rsidRDefault="002A21AE">
      <w:pPr>
        <w:pStyle w:val="Heading4"/>
        <w:rPr>
          <w:b w:val="0"/>
        </w:rPr>
      </w:pPr>
      <w:r>
        <w:t>Limitations and Restrictions</w:t>
      </w:r>
      <w:r>
        <w:rPr>
          <w:b w:val="0"/>
        </w:rPr>
        <w:t xml:space="preserve"> </w:t>
      </w:r>
    </w:p>
    <w:p w14:paraId="35A0643F" w14:textId="77777777" w:rsidR="002A21AE" w:rsidRDefault="002A21AE">
      <w:pPr>
        <w:pStyle w:val="ListBullet"/>
      </w:pPr>
      <w:r>
        <w:t>None</w:t>
      </w:r>
    </w:p>
    <w:p w14:paraId="65329223" w14:textId="77777777" w:rsidR="002A21AE" w:rsidRDefault="002A21AE">
      <w:pPr>
        <w:pStyle w:val="Heading4"/>
      </w:pPr>
      <w:r>
        <w:t xml:space="preserve">Additional Information </w:t>
      </w:r>
    </w:p>
    <w:p w14:paraId="601D2CF8" w14:textId="41F79690" w:rsidR="002A21AE" w:rsidRDefault="002A21AE">
      <w:pPr>
        <w:pStyle w:val="ListBullet"/>
      </w:pPr>
      <w:r>
        <w:t xml:space="preserve">This </w:t>
      </w:r>
      <w:r w:rsidR="00834BA7">
        <w:t xml:space="preserve">ratio </w:t>
      </w:r>
      <w:r>
        <w:t>calculation include</w:t>
      </w:r>
      <w:r w:rsidR="00834BA7">
        <w:t>s all</w:t>
      </w:r>
      <w:r>
        <w:t xml:space="preserve"> component classes</w:t>
      </w:r>
      <w:r w:rsidR="00834BA7">
        <w:t>.</w:t>
      </w:r>
      <w:r>
        <w:t xml:space="preserve"> </w:t>
      </w:r>
      <w:r w:rsidR="00834BA7">
        <w:t>For component classes that are not crossmatched, the number of blood units assigned to the patient are used as a basis for calculation</w:t>
      </w:r>
      <w:r>
        <w:t>.</w:t>
      </w:r>
    </w:p>
    <w:p w14:paraId="5A530148" w14:textId="77777777" w:rsidR="00F86A79" w:rsidRDefault="00F86A79" w:rsidP="00F86A79">
      <w:pPr>
        <w:pStyle w:val="ListBullet"/>
      </w:pPr>
      <w:r>
        <w:t>The report is available as a single-division or multidivisional (all divisions) report.</w:t>
      </w:r>
    </w:p>
    <w:p w14:paraId="3D65032B" w14:textId="77777777" w:rsidR="002A21AE" w:rsidRDefault="002A21AE">
      <w:pPr>
        <w:pStyle w:val="Heading4"/>
        <w:rPr>
          <w:b w:val="0"/>
        </w:rPr>
      </w:pPr>
      <w:r>
        <w:t>User Roles with Access to This Option</w:t>
      </w:r>
      <w:r>
        <w:rPr>
          <w:b w:val="0"/>
        </w:rPr>
        <w:t xml:space="preserve"> </w:t>
      </w:r>
    </w:p>
    <w:p w14:paraId="6737648E" w14:textId="77777777" w:rsidR="002A21AE" w:rsidRDefault="00606FB0">
      <w:pPr>
        <w:pStyle w:val="Roles"/>
      </w:pPr>
      <w:r>
        <w:t>All users</w:t>
      </w:r>
    </w:p>
    <w:p w14:paraId="531996EB" w14:textId="77777777" w:rsidR="002A21AE" w:rsidRDefault="002A21AE">
      <w:pPr>
        <w:pStyle w:val="Heading4"/>
      </w:pPr>
      <w:r>
        <w:t>C:T Ratio Report</w:t>
      </w:r>
      <w:r>
        <w:rPr>
          <w:rStyle w:val="CommentReference"/>
          <w:rFonts w:ascii="Times New Roman" w:hAnsi="Times New Roman"/>
          <w:b w:val="0"/>
          <w:bCs/>
          <w:vanish/>
        </w:rPr>
        <w:t xml:space="preserve"> </w:t>
      </w:r>
    </w:p>
    <w:p w14:paraId="17BF8E77" w14:textId="1C60E6B9" w:rsidR="002A21AE" w:rsidRDefault="002A21AE" w:rsidP="00FA7E65">
      <w:pPr>
        <w:pStyle w:val="BodyText"/>
      </w:pPr>
      <w:r>
        <w:t>This option compiles and calculates the crossmatch</w:t>
      </w:r>
      <w:r w:rsidR="008C7C92">
        <w:t>/assigned</w:t>
      </w:r>
      <w:r>
        <w:t>-</w:t>
      </w:r>
      <w:r w:rsidR="00991CFE">
        <w:t>to-transfusion ratio.</w:t>
      </w:r>
      <w:r w:rsidR="00517AC6">
        <w:t xml:space="preserve"> The user may select one of five report formats.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655415A0" w14:textId="77777777">
        <w:trPr>
          <w:cantSplit/>
          <w:tblHeader/>
        </w:trPr>
        <w:tc>
          <w:tcPr>
            <w:tcW w:w="3240" w:type="dxa"/>
            <w:shd w:val="pct30" w:color="auto" w:fill="FFFFFF"/>
            <w:vAlign w:val="bottom"/>
          </w:tcPr>
          <w:p w14:paraId="2AC91D95" w14:textId="77777777" w:rsidR="002A21AE" w:rsidRDefault="002A21AE">
            <w:pPr>
              <w:pStyle w:val="TableText"/>
              <w:rPr>
                <w:b/>
              </w:rPr>
            </w:pPr>
            <w:r>
              <w:rPr>
                <w:b/>
              </w:rPr>
              <w:t>User Action</w:t>
            </w:r>
          </w:p>
        </w:tc>
        <w:tc>
          <w:tcPr>
            <w:tcW w:w="6120" w:type="dxa"/>
            <w:shd w:val="pct30" w:color="auto" w:fill="FFFFFF"/>
            <w:vAlign w:val="bottom"/>
          </w:tcPr>
          <w:p w14:paraId="0080B95F" w14:textId="77777777" w:rsidR="002A21AE" w:rsidRDefault="002A21AE">
            <w:pPr>
              <w:pStyle w:val="TableText"/>
              <w:rPr>
                <w:b/>
              </w:rPr>
            </w:pPr>
            <w:r>
              <w:rPr>
                <w:b/>
              </w:rPr>
              <w:t>VBECS</w:t>
            </w:r>
          </w:p>
        </w:tc>
      </w:tr>
      <w:tr w:rsidR="002A21AE" w14:paraId="4E51CC9C" w14:textId="77777777">
        <w:tc>
          <w:tcPr>
            <w:tcW w:w="3240" w:type="dxa"/>
          </w:tcPr>
          <w:p w14:paraId="65CE8A18" w14:textId="77777777" w:rsidR="002A21AE" w:rsidRDefault="002A21AE">
            <w:pPr>
              <w:pStyle w:val="TableTextNumbers"/>
            </w:pPr>
            <w:r>
              <w:t xml:space="preserve">Select </w:t>
            </w:r>
            <w:r>
              <w:rPr>
                <w:b/>
              </w:rPr>
              <w:t>Reports</w:t>
            </w:r>
            <w:r>
              <w:t xml:space="preserve"> from the main menu.</w:t>
            </w:r>
          </w:p>
          <w:p w14:paraId="3F94A066" w14:textId="77777777" w:rsidR="002A21AE" w:rsidRDefault="002A21AE">
            <w:pPr>
              <w:pStyle w:val="TableTextNumbersContinued"/>
            </w:pPr>
          </w:p>
          <w:p w14:paraId="43DA2F30" w14:textId="77777777" w:rsidR="002A21AE" w:rsidRDefault="002A21AE">
            <w:pPr>
              <w:pStyle w:val="TableTextNumbersContinued"/>
            </w:pPr>
            <w:r>
              <w:t xml:space="preserve">Select </w:t>
            </w:r>
            <w:r>
              <w:rPr>
                <w:b/>
              </w:rPr>
              <w:t>C:T Ratio Report</w:t>
            </w:r>
            <w:r>
              <w:t>.</w:t>
            </w:r>
          </w:p>
        </w:tc>
        <w:tc>
          <w:tcPr>
            <w:tcW w:w="6120" w:type="dxa"/>
          </w:tcPr>
          <w:p w14:paraId="24511EE1" w14:textId="77777777" w:rsidR="002A21AE" w:rsidRDefault="002A21AE">
            <w:pPr>
              <w:pStyle w:val="TableTextBullet"/>
            </w:pPr>
            <w:r>
              <w:t>Lists report names.</w:t>
            </w:r>
          </w:p>
          <w:p w14:paraId="571A5A6E" w14:textId="77777777" w:rsidR="002A21AE" w:rsidRDefault="002A21AE">
            <w:pPr>
              <w:pStyle w:val="TableTextBullet"/>
            </w:pPr>
            <w:r>
              <w:t xml:space="preserve">Displays report type and compilation criteria. </w:t>
            </w:r>
          </w:p>
          <w:p w14:paraId="290C0CBF" w14:textId="5257EF86" w:rsidR="002A21AE" w:rsidRDefault="002A21AE">
            <w:pPr>
              <w:pStyle w:val="TableTextBullet"/>
            </w:pPr>
            <w:r>
              <w:t xml:space="preserve">Displays a date range for selection. </w:t>
            </w:r>
          </w:p>
        </w:tc>
      </w:tr>
      <w:tr w:rsidR="002A21AE" w14:paraId="47E1AE6A" w14:textId="77777777">
        <w:tc>
          <w:tcPr>
            <w:tcW w:w="3240" w:type="dxa"/>
          </w:tcPr>
          <w:p w14:paraId="3323529E" w14:textId="0345A509" w:rsidR="002A21AE" w:rsidRDefault="002A21AE">
            <w:pPr>
              <w:pStyle w:val="TableTextNumbers"/>
            </w:pPr>
            <w:r>
              <w:t>Enter a date range.</w:t>
            </w:r>
          </w:p>
        </w:tc>
        <w:tc>
          <w:tcPr>
            <w:tcW w:w="6120" w:type="dxa"/>
          </w:tcPr>
          <w:p w14:paraId="6D2537FC" w14:textId="77777777" w:rsidR="002A21AE" w:rsidRDefault="002A21AE" w:rsidP="00960693">
            <w:pPr>
              <w:pStyle w:val="TableTextBullet"/>
            </w:pPr>
            <w:r>
              <w:t>Displays an option to compile the report for one or all divisions in the database.</w:t>
            </w:r>
          </w:p>
        </w:tc>
      </w:tr>
      <w:tr w:rsidR="002A21AE" w14:paraId="759A6601" w14:textId="77777777">
        <w:tc>
          <w:tcPr>
            <w:tcW w:w="3240" w:type="dxa"/>
          </w:tcPr>
          <w:p w14:paraId="37ECF9B1" w14:textId="77777777" w:rsidR="002A21AE" w:rsidRDefault="002A21AE">
            <w:pPr>
              <w:pStyle w:val="TableTextNumbers"/>
            </w:pPr>
            <w:r>
              <w:t xml:space="preserve">Click the </w:t>
            </w:r>
            <w:r>
              <w:rPr>
                <w:b/>
              </w:rPr>
              <w:t>Current Division</w:t>
            </w:r>
            <w:r>
              <w:t xml:space="preserve"> or </w:t>
            </w:r>
            <w:r>
              <w:rPr>
                <w:b/>
              </w:rPr>
              <w:t>All Divisions</w:t>
            </w:r>
            <w:r>
              <w:t xml:space="preserve"> </w:t>
            </w:r>
            <w:r w:rsidRPr="00BF2E41">
              <w:t>radio button</w:t>
            </w:r>
            <w:r>
              <w:t>.</w:t>
            </w:r>
          </w:p>
        </w:tc>
        <w:tc>
          <w:tcPr>
            <w:tcW w:w="6120" w:type="dxa"/>
          </w:tcPr>
          <w:p w14:paraId="1933C555" w14:textId="77777777" w:rsidR="002A21AE" w:rsidRDefault="002A21AE">
            <w:pPr>
              <w:pStyle w:val="TableTextBullet"/>
            </w:pPr>
            <w:r>
              <w:t>Allows the user to select a report format.</w:t>
            </w:r>
          </w:p>
          <w:p w14:paraId="72261309" w14:textId="77777777" w:rsidR="002A21AE" w:rsidRDefault="002A21AE">
            <w:pPr>
              <w:pStyle w:val="TableText"/>
            </w:pPr>
          </w:p>
          <w:p w14:paraId="39B53336" w14:textId="2DE44A12" w:rsidR="002A21AE" w:rsidRDefault="002A21AE">
            <w:pPr>
              <w:pStyle w:val="TableText"/>
              <w:rPr>
                <w:b/>
                <w:bCs/>
                <w:szCs w:val="18"/>
              </w:rPr>
            </w:pPr>
            <w:r>
              <w:rPr>
                <w:b/>
                <w:bCs/>
                <w:szCs w:val="18"/>
              </w:rPr>
              <w:t>NOTES</w:t>
            </w:r>
          </w:p>
          <w:p w14:paraId="777A6AAB" w14:textId="77777777" w:rsidR="002A21AE" w:rsidRDefault="002A21AE">
            <w:pPr>
              <w:pStyle w:val="NotesText"/>
            </w:pPr>
          </w:p>
          <w:p w14:paraId="2E5B09F9" w14:textId="7199E8DE" w:rsidR="002A21AE" w:rsidRDefault="002A21AE">
            <w:pPr>
              <w:pStyle w:val="NotesText"/>
            </w:pPr>
            <w:r>
              <w:rPr>
                <w:rFonts w:cs="Arial"/>
                <w:vanish/>
              </w:rPr>
              <w:t xml:space="preserve">BR_104.08 </w:t>
            </w:r>
            <w:r>
              <w:t>The user may request the</w:t>
            </w:r>
            <w:r w:rsidR="003D604B">
              <w:t xml:space="preserve"> Detailed R</w:t>
            </w:r>
            <w:r w:rsidR="0068564B">
              <w:t xml:space="preserve">eport, </w:t>
            </w:r>
            <w:r w:rsidR="004531B5">
              <w:t xml:space="preserve">Ordering </w:t>
            </w:r>
            <w:r w:rsidR="0068564B">
              <w:t>Physician Summary Report</w:t>
            </w:r>
            <w:r w:rsidR="003D604B">
              <w:t>, Treating Specialty Summary Report</w:t>
            </w:r>
            <w:r w:rsidR="0068564B">
              <w:t xml:space="preserve">, Detailed Report with </w:t>
            </w:r>
            <w:r w:rsidR="00BC7B60">
              <w:t xml:space="preserve">Ordering </w:t>
            </w:r>
            <w:r w:rsidR="0068564B">
              <w:t>Physician Summary, or Detailed Report with Treating Specialty Summary</w:t>
            </w:r>
            <w:r w:rsidR="003D604B">
              <w:t>.</w:t>
            </w:r>
            <w:r>
              <w:t xml:space="preserve"> </w:t>
            </w:r>
          </w:p>
        </w:tc>
      </w:tr>
      <w:tr w:rsidR="002A21AE" w14:paraId="1E7E545F" w14:textId="77777777" w:rsidTr="00E35FC4">
        <w:trPr>
          <w:cantSplit/>
        </w:trPr>
        <w:tc>
          <w:tcPr>
            <w:tcW w:w="3240" w:type="dxa"/>
          </w:tcPr>
          <w:p w14:paraId="3F481851" w14:textId="77777777" w:rsidR="002A21AE" w:rsidRDefault="002A21AE">
            <w:pPr>
              <w:pStyle w:val="TableTextNumbers"/>
            </w:pPr>
            <w:r>
              <w:lastRenderedPageBreak/>
              <w:t>Click a radio button to select a report format:</w:t>
            </w:r>
          </w:p>
          <w:p w14:paraId="4BD9C141" w14:textId="77777777" w:rsidR="002A21AE" w:rsidRPr="00945BF5" w:rsidRDefault="002A21AE" w:rsidP="00E35FC4">
            <w:pPr>
              <w:pStyle w:val="TableTextNumbersBullet"/>
              <w:tabs>
                <w:tab w:val="clear" w:pos="288"/>
              </w:tabs>
              <w:ind w:left="510" w:hanging="222"/>
              <w:rPr>
                <w:b/>
              </w:rPr>
            </w:pPr>
            <w:r w:rsidRPr="00945BF5">
              <w:rPr>
                <w:b/>
              </w:rPr>
              <w:t>Detailed Report</w:t>
            </w:r>
          </w:p>
          <w:p w14:paraId="7BD7AEAE" w14:textId="71518F33" w:rsidR="002A21AE" w:rsidRPr="00945BF5" w:rsidRDefault="00834BA7" w:rsidP="00E35FC4">
            <w:pPr>
              <w:pStyle w:val="TableTextNumbersBullet"/>
              <w:tabs>
                <w:tab w:val="clear" w:pos="288"/>
              </w:tabs>
              <w:ind w:left="510" w:hanging="222"/>
              <w:rPr>
                <w:b/>
              </w:rPr>
            </w:pPr>
            <w:r>
              <w:rPr>
                <w:b/>
              </w:rPr>
              <w:t xml:space="preserve">Ordering </w:t>
            </w:r>
            <w:r w:rsidR="002A21AE" w:rsidRPr="00945BF5">
              <w:rPr>
                <w:b/>
              </w:rPr>
              <w:t>Physician Summary Report</w:t>
            </w:r>
          </w:p>
          <w:p w14:paraId="1C5541C6" w14:textId="77777777" w:rsidR="002A21AE" w:rsidRPr="00945BF5" w:rsidRDefault="002A21AE" w:rsidP="00E35FC4">
            <w:pPr>
              <w:pStyle w:val="TableTextNumbersBullet"/>
              <w:tabs>
                <w:tab w:val="clear" w:pos="288"/>
              </w:tabs>
              <w:ind w:left="510" w:hanging="222"/>
              <w:rPr>
                <w:b/>
              </w:rPr>
            </w:pPr>
            <w:r w:rsidRPr="00945BF5">
              <w:rPr>
                <w:b/>
              </w:rPr>
              <w:t>Treating Specialty Summary Report</w:t>
            </w:r>
          </w:p>
          <w:p w14:paraId="0DC90673" w14:textId="1A20FE09" w:rsidR="002A21AE" w:rsidRPr="00945BF5" w:rsidRDefault="002A21AE" w:rsidP="00E35FC4">
            <w:pPr>
              <w:pStyle w:val="TableTextNumbersBullet"/>
              <w:tabs>
                <w:tab w:val="clear" w:pos="288"/>
              </w:tabs>
              <w:ind w:left="510" w:hanging="222"/>
              <w:rPr>
                <w:b/>
              </w:rPr>
            </w:pPr>
            <w:r w:rsidRPr="00945BF5">
              <w:rPr>
                <w:b/>
              </w:rPr>
              <w:t xml:space="preserve">Detailed Report with </w:t>
            </w:r>
            <w:r w:rsidR="00834BA7">
              <w:rPr>
                <w:b/>
              </w:rPr>
              <w:t xml:space="preserve">Ordering </w:t>
            </w:r>
            <w:r w:rsidRPr="00945BF5">
              <w:rPr>
                <w:b/>
              </w:rPr>
              <w:t>Physician Summary</w:t>
            </w:r>
          </w:p>
          <w:p w14:paraId="7409221F" w14:textId="77777777" w:rsidR="002A21AE" w:rsidRDefault="002A21AE" w:rsidP="00E35FC4">
            <w:pPr>
              <w:pStyle w:val="TableTextNumbersBullet"/>
              <w:tabs>
                <w:tab w:val="clear" w:pos="288"/>
              </w:tabs>
              <w:ind w:left="510" w:hanging="222"/>
            </w:pPr>
            <w:r w:rsidRPr="00945BF5">
              <w:rPr>
                <w:b/>
              </w:rPr>
              <w:t>Detailed Report with Treating Specialty Summary</w:t>
            </w:r>
          </w:p>
        </w:tc>
        <w:tc>
          <w:tcPr>
            <w:tcW w:w="6120" w:type="dxa"/>
          </w:tcPr>
          <w:p w14:paraId="1D6EEFE2" w14:textId="77777777" w:rsidR="002A21AE" w:rsidRDefault="002A21AE">
            <w:pPr>
              <w:pStyle w:val="TableTextBullet"/>
            </w:pPr>
            <w:r>
              <w:t>Compiles the report and displays an option to print the report or exit.</w:t>
            </w:r>
          </w:p>
          <w:p w14:paraId="43F564E1" w14:textId="77777777" w:rsidR="002A21AE" w:rsidRDefault="002A21AE">
            <w:pPr>
              <w:pStyle w:val="TableText"/>
            </w:pPr>
          </w:p>
          <w:p w14:paraId="382BD2EC" w14:textId="29FA53DB" w:rsidR="002A21AE" w:rsidRDefault="002A21AE">
            <w:pPr>
              <w:pStyle w:val="TableText"/>
              <w:rPr>
                <w:b/>
                <w:bCs/>
                <w:szCs w:val="18"/>
              </w:rPr>
            </w:pPr>
            <w:r>
              <w:rPr>
                <w:b/>
                <w:bCs/>
                <w:szCs w:val="18"/>
              </w:rPr>
              <w:t>NOTES</w:t>
            </w:r>
          </w:p>
          <w:p w14:paraId="044770A5" w14:textId="77777777" w:rsidR="002A21AE" w:rsidRDefault="002A21AE">
            <w:pPr>
              <w:pStyle w:val="NotesText"/>
            </w:pPr>
          </w:p>
          <w:p w14:paraId="43B9134D" w14:textId="2C92A76E" w:rsidR="00727AC7" w:rsidRDefault="002A21AE" w:rsidP="00727AC7">
            <w:pPr>
              <w:pStyle w:val="NotesText"/>
              <w:rPr>
                <w:rFonts w:cs="Arial"/>
                <w:vanish/>
              </w:rPr>
            </w:pPr>
            <w:r>
              <w:rPr>
                <w:rFonts w:cs="Arial"/>
                <w:vanish/>
              </w:rPr>
              <w:t xml:space="preserve">BR_104.03 </w:t>
            </w:r>
            <w:r>
              <w:t>The physician included in this report is the ordering physician.</w:t>
            </w:r>
            <w:r w:rsidR="002D77E5">
              <w:t xml:space="preserve"> </w:t>
            </w:r>
            <w:r w:rsidR="00727AC7">
              <w:rPr>
                <w:rFonts w:cs="Arial"/>
                <w:vanish/>
              </w:rPr>
              <w:t xml:space="preserve"> </w:t>
            </w:r>
          </w:p>
          <w:p w14:paraId="2E265501" w14:textId="77777777" w:rsidR="00727AC7" w:rsidRDefault="00727AC7" w:rsidP="00727AC7">
            <w:pPr>
              <w:pStyle w:val="NotesText"/>
              <w:rPr>
                <w:rFonts w:cs="Arial"/>
                <w:vanish/>
              </w:rPr>
            </w:pPr>
          </w:p>
          <w:p w14:paraId="0F97CDA6" w14:textId="2F3B2C51" w:rsidR="00727AC7" w:rsidRDefault="00727AC7" w:rsidP="00727AC7">
            <w:pPr>
              <w:pStyle w:val="NotesText"/>
            </w:pPr>
            <w:r>
              <w:rPr>
                <w:rFonts w:cs="Arial"/>
                <w:vanish/>
              </w:rPr>
              <w:t xml:space="preserve">BR_104.06 </w:t>
            </w:r>
            <w:r>
              <w:t>VBECS compiles the C:T ratio report as a summary or detailed report. All versions include a single C:T ratio for the division</w:t>
            </w:r>
            <w:r w:rsidR="00AF71F0">
              <w:t xml:space="preserve"> and each component class</w:t>
            </w:r>
            <w:r>
              <w:t xml:space="preserve">. </w:t>
            </w:r>
            <w:r w:rsidR="00AF71F0">
              <w:t>When a number of transfused units is 0, the ratio is equal to the number of units assigned and crossmatched.</w:t>
            </w:r>
          </w:p>
          <w:p w14:paraId="4DB91B51" w14:textId="77777777" w:rsidR="00727AC7" w:rsidRDefault="00727AC7" w:rsidP="00727AC7">
            <w:pPr>
              <w:pStyle w:val="NotesText"/>
            </w:pPr>
          </w:p>
          <w:p w14:paraId="5159CD3D" w14:textId="5A41196D" w:rsidR="00727AC7" w:rsidRDefault="00727AC7" w:rsidP="00727AC7">
            <w:pPr>
              <w:pStyle w:val="NotesText"/>
            </w:pPr>
            <w:r>
              <w:t>VBECS determines the C:T ratio for a division by dividing the number of units</w:t>
            </w:r>
            <w:r w:rsidR="00834BA7">
              <w:t xml:space="preserve"> assigned or</w:t>
            </w:r>
            <w:r>
              <w:t xml:space="preserve"> crossmatched </w:t>
            </w:r>
            <w:r w:rsidR="001F0C1C">
              <w:t>(electronic</w:t>
            </w:r>
            <w:r w:rsidR="00A9622F">
              <w:t>ally</w:t>
            </w:r>
            <w:r w:rsidR="001F0C1C">
              <w:t xml:space="preserve"> or serologic) </w:t>
            </w:r>
            <w:r>
              <w:t xml:space="preserve">during the period selected by the number of units transfused at the division. </w:t>
            </w:r>
          </w:p>
          <w:p w14:paraId="7D237CB1" w14:textId="77777777" w:rsidR="00727AC7" w:rsidRDefault="00727AC7" w:rsidP="00727AC7">
            <w:pPr>
              <w:pStyle w:val="NotesText"/>
            </w:pPr>
          </w:p>
          <w:p w14:paraId="557382D8" w14:textId="77777777" w:rsidR="002A21AE" w:rsidRDefault="00727AC7" w:rsidP="00727AC7">
            <w:pPr>
              <w:pStyle w:val="NotesText"/>
            </w:pPr>
            <w:r>
              <w:t>This calculation does not include units with a XM result of “Compatible - Don’t Transfuse” or “Incompatible - Unsafe to Transfuse.”</w:t>
            </w:r>
          </w:p>
          <w:p w14:paraId="4B6F6BB7" w14:textId="77777777" w:rsidR="00960693" w:rsidRDefault="00960693" w:rsidP="00960693">
            <w:pPr>
              <w:pStyle w:val="NotesText"/>
            </w:pPr>
          </w:p>
          <w:p w14:paraId="0C841DC1" w14:textId="7BF8A139" w:rsidR="00960693" w:rsidRDefault="00960693" w:rsidP="00960693">
            <w:pPr>
              <w:pStyle w:val="NotesText"/>
            </w:pPr>
            <w:r>
              <w:rPr>
                <w:rFonts w:cs="Arial"/>
                <w:vanish/>
              </w:rPr>
              <w:t xml:space="preserve">BR_104.07 </w:t>
            </w:r>
            <w:r>
              <w:t xml:space="preserve">The detailed C:T ratio report includes a list of units </w:t>
            </w:r>
            <w:r w:rsidR="00834BA7">
              <w:t xml:space="preserve">assigned or </w:t>
            </w:r>
            <w:r>
              <w:t xml:space="preserve">crossmatched </w:t>
            </w:r>
            <w:r w:rsidR="00270ABE">
              <w:t>(electronic</w:t>
            </w:r>
            <w:r w:rsidR="00A9622F">
              <w:t>ally</w:t>
            </w:r>
            <w:r w:rsidR="00270ABE">
              <w:t xml:space="preserve"> or serologic) </w:t>
            </w:r>
            <w:r>
              <w:t xml:space="preserve">for a patient during the selected date range. The report includes the unit ID, </w:t>
            </w:r>
            <w:r w:rsidR="00834BA7">
              <w:t xml:space="preserve">ordering </w:t>
            </w:r>
            <w:r>
              <w:t>physician name,</w:t>
            </w:r>
            <w:r w:rsidR="00834BA7">
              <w:t xml:space="preserve"> unit ABO/Rh,</w:t>
            </w:r>
            <w:r>
              <w:t xml:space="preserve"> treating specialty, XM interpretation, date and time the XM was completed, product short name, and an indication as to whether the unit was transfused or presumed transfused.</w:t>
            </w:r>
          </w:p>
          <w:p w14:paraId="43763986" w14:textId="77777777" w:rsidR="002A21AE" w:rsidRDefault="002A21AE">
            <w:pPr>
              <w:pStyle w:val="NotesText"/>
            </w:pPr>
          </w:p>
          <w:p w14:paraId="29899D4D" w14:textId="36EB3BED" w:rsidR="002A21AE" w:rsidRDefault="002A21AE">
            <w:pPr>
              <w:pStyle w:val="NotesText"/>
            </w:pPr>
            <w:r>
              <w:rPr>
                <w:rFonts w:cs="Arial"/>
                <w:vanish/>
              </w:rPr>
              <w:t xml:space="preserve">BR_104.04 </w:t>
            </w:r>
            <w:r>
              <w:t xml:space="preserve">VBECS determines the C:T ratio for a physician by dividing the number of units that were </w:t>
            </w:r>
            <w:r w:rsidR="00834BA7">
              <w:t xml:space="preserve">assigned or </w:t>
            </w:r>
            <w:r>
              <w:t xml:space="preserve">crossmatched </w:t>
            </w:r>
            <w:r w:rsidR="00270ABE">
              <w:t>(electronic</w:t>
            </w:r>
            <w:r w:rsidR="00A9622F">
              <w:t>ally</w:t>
            </w:r>
            <w:r w:rsidR="00270ABE">
              <w:t xml:space="preserve"> or serologic) </w:t>
            </w:r>
            <w:r>
              <w:t xml:space="preserve">during the period selected by the number of transfused units. </w:t>
            </w:r>
            <w:r w:rsidR="00AF71F0">
              <w:t>When a number of transfused units is 0, the ratio is equal to the number of units assigned and crossmatched.</w:t>
            </w:r>
          </w:p>
          <w:p w14:paraId="1F6461B9" w14:textId="77777777" w:rsidR="002A21AE" w:rsidRDefault="002A21AE">
            <w:pPr>
              <w:pStyle w:val="NotesText"/>
            </w:pPr>
          </w:p>
          <w:p w14:paraId="6905CC5F" w14:textId="33623BA7" w:rsidR="002A21AE" w:rsidRDefault="002A21AE" w:rsidP="00727AC7">
            <w:pPr>
              <w:pStyle w:val="NotesText"/>
            </w:pPr>
            <w:r>
              <w:rPr>
                <w:rFonts w:cs="Arial"/>
                <w:vanish/>
              </w:rPr>
              <w:t xml:space="preserve">BR_104.05 </w:t>
            </w:r>
            <w:r>
              <w:t xml:space="preserve">VBECS determines the C:T ratio for a treating specialty by dividing the number of units </w:t>
            </w:r>
            <w:r w:rsidR="00834BA7">
              <w:t xml:space="preserve">assigned or </w:t>
            </w:r>
            <w:r>
              <w:t xml:space="preserve">crossmatched </w:t>
            </w:r>
            <w:r w:rsidR="00270ABE">
              <w:t>(electronic</w:t>
            </w:r>
            <w:r w:rsidR="00A9622F">
              <w:t>ally</w:t>
            </w:r>
            <w:r w:rsidR="00270ABE">
              <w:t xml:space="preserve"> or serologic) </w:t>
            </w:r>
            <w:r>
              <w:t xml:space="preserve">for all patients listed in that treating specialty by the number of units transfused to all patients listed for that specialty. </w:t>
            </w:r>
            <w:r w:rsidR="00AF71F0">
              <w:t>When a number of transfused units is 0, the ratio is equal to the number of units assigned and crossmatched.</w:t>
            </w:r>
          </w:p>
        </w:tc>
      </w:tr>
      <w:tr w:rsidR="002A21AE" w14:paraId="2BF7BBBE" w14:textId="77777777">
        <w:tc>
          <w:tcPr>
            <w:tcW w:w="3240" w:type="dxa"/>
          </w:tcPr>
          <w:p w14:paraId="6F777DA7" w14:textId="77777777" w:rsidR="002A21AE" w:rsidRDefault="002A21AE">
            <w:pPr>
              <w:pStyle w:val="TableTextNumbers"/>
            </w:pPr>
            <w:r>
              <w:t xml:space="preserve">In the Report Compilation area, click the </w:t>
            </w:r>
            <w:r>
              <w:rPr>
                <w:b/>
              </w:rPr>
              <w:t>Create Report Now</w:t>
            </w:r>
            <w:r>
              <w:t xml:space="preserve"> </w:t>
            </w:r>
            <w:r w:rsidRPr="00BF2E41">
              <w:t>radio button</w:t>
            </w:r>
            <w:r>
              <w:t xml:space="preserve">. Click </w:t>
            </w:r>
            <w:r>
              <w:rPr>
                <w:b/>
              </w:rPr>
              <w:t>OK</w:t>
            </w:r>
            <w:r>
              <w:t xml:space="preserve"> to view the report, or</w:t>
            </w:r>
          </w:p>
          <w:p w14:paraId="561C51E6" w14:textId="77777777" w:rsidR="002A21AE" w:rsidRDefault="002A21AE">
            <w:pPr>
              <w:pStyle w:val="TableTextNumbersContinued"/>
            </w:pPr>
          </w:p>
          <w:p w14:paraId="177EC37E" w14:textId="77777777" w:rsidR="002A21AE" w:rsidRDefault="002A21AE">
            <w:pPr>
              <w:pStyle w:val="TableTextNumbersContinued"/>
            </w:pPr>
            <w:r>
              <w:t xml:space="preserve">Click the </w:t>
            </w:r>
            <w:r>
              <w:rPr>
                <w:b/>
              </w:rPr>
              <w:t>Schedule Print Job</w:t>
            </w:r>
            <w:r>
              <w:t xml:space="preserve"> </w:t>
            </w:r>
            <w:r w:rsidRPr="00BF2E41">
              <w:t>radio button</w:t>
            </w:r>
            <w:r>
              <w:t xml:space="preserve"> and </w:t>
            </w:r>
            <w:r>
              <w:rPr>
                <w:b/>
              </w:rPr>
              <w:t>OK</w:t>
            </w:r>
            <w:r>
              <w:t xml:space="preserve">, then enter or select a print date and printer name. Click </w:t>
            </w:r>
            <w:r>
              <w:rPr>
                <w:b/>
              </w:rPr>
              <w:t>OK</w:t>
            </w:r>
            <w:r>
              <w:t xml:space="preserve"> to view and print the report.</w:t>
            </w:r>
          </w:p>
        </w:tc>
        <w:tc>
          <w:tcPr>
            <w:tcW w:w="6120" w:type="dxa"/>
          </w:tcPr>
          <w:p w14:paraId="751E7191" w14:textId="77777777" w:rsidR="005B6A94" w:rsidRDefault="002A21AE" w:rsidP="00AA2B2E">
            <w:pPr>
              <w:pStyle w:val="TableTextBullet"/>
            </w:pPr>
            <w:r>
              <w:t>Compiles and displays the report.</w:t>
            </w:r>
          </w:p>
        </w:tc>
      </w:tr>
      <w:tr w:rsidR="002A21AE" w14:paraId="689A9409" w14:textId="77777777">
        <w:tc>
          <w:tcPr>
            <w:tcW w:w="3240" w:type="dxa"/>
          </w:tcPr>
          <w:p w14:paraId="59EA296F" w14:textId="4A5742A9" w:rsidR="002A21AE" w:rsidRDefault="005C22EF">
            <w:pPr>
              <w:pStyle w:val="TableTextNumbers"/>
            </w:pPr>
            <w:r w:rsidRPr="0076371D">
              <w:t xml:space="preserve">Select </w:t>
            </w:r>
            <w:r w:rsidRPr="0076371D">
              <w:rPr>
                <w:b/>
              </w:rPr>
              <w:t xml:space="preserve">Print </w:t>
            </w:r>
            <w:r w:rsidRPr="0076371D">
              <w:t>to print the repor</w:t>
            </w:r>
            <w:r>
              <w:t>t</w:t>
            </w:r>
            <w:r w:rsidRPr="0076371D">
              <w:t xml:space="preserve">, </w:t>
            </w:r>
            <w:r w:rsidRPr="0076371D">
              <w:rPr>
                <w:b/>
              </w:rPr>
              <w:t>Export</w:t>
            </w:r>
            <w:r w:rsidRPr="0076371D">
              <w:t xml:space="preserve"> </w:t>
            </w:r>
            <w:r>
              <w:t xml:space="preserve">to export the report </w:t>
            </w:r>
            <w:r w:rsidRPr="0076371D">
              <w:rPr>
                <w:szCs w:val="18"/>
              </w:rPr>
              <w:t xml:space="preserve">(See </w:t>
            </w:r>
            <w:r w:rsidR="00EE455E" w:rsidRPr="00EE455E">
              <w:rPr>
                <w:szCs w:val="18"/>
              </w:rPr>
              <w:t>Report Export</w:t>
            </w:r>
            <w:r>
              <w:rPr>
                <w:szCs w:val="18"/>
              </w:rPr>
              <w:t xml:space="preserve"> section</w:t>
            </w:r>
            <w:r w:rsidRPr="0076371D">
              <w:rPr>
                <w:szCs w:val="18"/>
              </w:rPr>
              <w:t>)</w:t>
            </w:r>
            <w:r>
              <w:t xml:space="preserve">, </w:t>
            </w:r>
            <w:r>
              <w:rPr>
                <w:szCs w:val="18"/>
              </w:rPr>
              <w:t xml:space="preserve">or </w:t>
            </w:r>
            <w:r w:rsidRPr="0076371D">
              <w:t xml:space="preserve">click </w:t>
            </w:r>
            <w:r w:rsidRPr="0076371D">
              <w:rPr>
                <w:b/>
              </w:rPr>
              <w:t>Close</w:t>
            </w:r>
            <w:r w:rsidRPr="0076371D">
              <w:t xml:space="preserve"> to exit</w:t>
            </w:r>
            <w:r>
              <w:t xml:space="preserve"> without printing</w:t>
            </w:r>
            <w:r w:rsidRPr="0076371D">
              <w:rPr>
                <w:szCs w:val="18"/>
              </w:rPr>
              <w:t>.</w:t>
            </w:r>
            <w:r w:rsidR="002A21AE" w:rsidRPr="00B93B42">
              <w:rPr>
                <w:rStyle w:val="StyleTableTextNumbersWhite1Char"/>
              </w:rPr>
              <w:t xml:space="preserve"> </w:t>
            </w:r>
            <w:r w:rsidR="002A21AE">
              <w:rPr>
                <w:vanish/>
                <w:color w:val="FFFFFF"/>
                <w:szCs w:val="18"/>
              </w:rPr>
              <w:fldChar w:fldCharType="begin"/>
            </w:r>
            <w:r w:rsidR="002A21AE">
              <w:rPr>
                <w:vanish/>
                <w:color w:val="FFFFFF"/>
                <w:szCs w:val="18"/>
              </w:rPr>
              <w:instrText xml:space="preserve"> LISTNUM \l 1 \s 0 </w:instrText>
            </w:r>
            <w:r w:rsidR="002A21AE">
              <w:rPr>
                <w:vanish/>
                <w:color w:val="FFFFFF"/>
                <w:szCs w:val="18"/>
              </w:rPr>
              <w:fldChar w:fldCharType="end">
                <w:numberingChange w:id="626" w:author="MUSZYNSKI, THOMAS D. (SIERRA 7 INC)" w:date="2024-11-26T07:15:00Z" w:original="0."/>
              </w:fldChar>
            </w:r>
          </w:p>
        </w:tc>
        <w:tc>
          <w:tcPr>
            <w:tcW w:w="6120" w:type="dxa"/>
          </w:tcPr>
          <w:p w14:paraId="32D7F4B4" w14:textId="77777777" w:rsidR="005C22EF" w:rsidRDefault="005C22EF" w:rsidP="005C22EF">
            <w:pPr>
              <w:pStyle w:val="TableTextBullet"/>
            </w:pPr>
            <w:r>
              <w:t>If Print is selected, prints the report on the designated printer.</w:t>
            </w:r>
          </w:p>
          <w:p w14:paraId="21D378BB" w14:textId="77777777" w:rsidR="005C22EF" w:rsidRDefault="005C22EF" w:rsidP="005C22EF">
            <w:pPr>
              <w:pStyle w:val="TableTextBullet"/>
            </w:pPr>
            <w:r>
              <w:t>If Export is selected, exports the report to the designated file.</w:t>
            </w:r>
          </w:p>
          <w:p w14:paraId="0744771F" w14:textId="48CB6185" w:rsidR="002A21AE" w:rsidRDefault="005C22EF" w:rsidP="005C22EF">
            <w:pPr>
              <w:pStyle w:val="TableTextBullet"/>
            </w:pPr>
            <w:r>
              <w:t>If Close is selected, exits the report preview.</w:t>
            </w:r>
          </w:p>
        </w:tc>
      </w:tr>
    </w:tbl>
    <w:p w14:paraId="6A883861" w14:textId="674F616A" w:rsidR="00006995" w:rsidRPr="00C32C1A" w:rsidRDefault="00006995" w:rsidP="00006995">
      <w:pPr>
        <w:pStyle w:val="Heading2"/>
      </w:pPr>
      <w:bookmarkStart w:id="627" w:name="_Toc203765947"/>
      <w:r w:rsidRPr="00C32C1A">
        <w:lastRenderedPageBreak/>
        <w:t>CPRS Blood Bank Report</w:t>
      </w:r>
      <w:r w:rsidRPr="00C32C1A">
        <w:fldChar w:fldCharType="begin"/>
      </w:r>
      <w:r w:rsidRPr="00C32C1A">
        <w:instrText xml:space="preserve"> XE “CPRS Blood Bank Report” </w:instrText>
      </w:r>
      <w:r w:rsidRPr="00C32C1A">
        <w:fldChar w:fldCharType="end"/>
      </w:r>
      <w:r w:rsidRPr="00C32C1A">
        <w:t xml:space="preserve"> </w:t>
      </w:r>
      <w:r w:rsidR="00C315E3" w:rsidRPr="00C32C1A">
        <w:t>(Used by JLV</w:t>
      </w:r>
      <w:r w:rsidR="006950B8">
        <w:t xml:space="preserve"> and VistA Read Only</w:t>
      </w:r>
      <w:r w:rsidR="00C315E3" w:rsidRPr="00C32C1A">
        <w:t>)</w:t>
      </w:r>
      <w:bookmarkEnd w:id="627"/>
      <w:r w:rsidRPr="00C32C1A">
        <w:rPr>
          <w:rFonts w:ascii="Times New Roman" w:hAnsi="Times New Roman" w:cs="Times New Roman"/>
          <w:b w:val="0"/>
          <w:i w:val="0"/>
          <w:vanish/>
          <w:sz w:val="22"/>
        </w:rPr>
        <w:t>UC_112</w:t>
      </w:r>
    </w:p>
    <w:p w14:paraId="08EE7BA8" w14:textId="1C4F62F1" w:rsidR="00006995" w:rsidRPr="00823F23" w:rsidRDefault="00006995" w:rsidP="00006995">
      <w:pPr>
        <w:pStyle w:val="BodyText"/>
      </w:pPr>
      <w:r w:rsidRPr="00C32C1A">
        <w:t xml:space="preserve">CPRS Blood Bank Report provides an overview of a patient’s blood bank / transfusion information and is available via Computerized Patient Record System (CPRS). It is not part of the main VBECS system; however, since it fully relies on data stored in VBECS, it is included in this guide. Being part of CPRS, this report is available not only to blood bank personnel but to all health providers who utilize CPRS. </w:t>
      </w:r>
      <w:r w:rsidR="00C315E3" w:rsidRPr="00C32C1A">
        <w:t>The CPRS Blood Bank Report is also viewable within the Joint Longitudinal Viewer (JLV) portal. For more information about JLV, consult the JLV website.</w:t>
      </w:r>
      <w:r w:rsidR="006950B8">
        <w:t xml:space="preserve"> Note that the VBECS data is not displayed when viewing the report through VistA Read Only.</w:t>
      </w:r>
    </w:p>
    <w:p w14:paraId="400A99D9" w14:textId="77777777" w:rsidR="00006995" w:rsidRDefault="00006995" w:rsidP="00006995">
      <w:pPr>
        <w:pStyle w:val="Heading4"/>
      </w:pPr>
      <w:r>
        <w:t>Navigation (How to generate a CPRS Blood Bank Report)</w:t>
      </w:r>
      <w:r>
        <w:rPr>
          <w:b w:val="0"/>
        </w:rPr>
        <w:t xml:space="preserve"> </w:t>
      </w:r>
    </w:p>
    <w:p w14:paraId="71BCEE0C" w14:textId="77777777" w:rsidR="00006995" w:rsidRPr="00BE47E0" w:rsidRDefault="00006995" w:rsidP="00006995">
      <w:pPr>
        <w:pStyle w:val="TableText"/>
        <w:ind w:firstLine="360"/>
        <w:rPr>
          <w:rFonts w:ascii="Times New Roman" w:hAnsi="Times New Roman"/>
          <w:sz w:val="22"/>
          <w:szCs w:val="22"/>
        </w:rPr>
      </w:pPr>
      <w:r w:rsidRPr="00BE47E0">
        <w:rPr>
          <w:rFonts w:ascii="Times New Roman" w:hAnsi="Times New Roman"/>
          <w:sz w:val="22"/>
          <w:szCs w:val="22"/>
        </w:rPr>
        <w:t>In CPRS:</w:t>
      </w:r>
    </w:p>
    <w:p w14:paraId="780548DA" w14:textId="77777777" w:rsidR="00006995" w:rsidRPr="00BE47E0" w:rsidRDefault="00006995" w:rsidP="00925CAD">
      <w:pPr>
        <w:pStyle w:val="TableText"/>
        <w:numPr>
          <w:ilvl w:val="0"/>
          <w:numId w:val="79"/>
        </w:numPr>
        <w:rPr>
          <w:rFonts w:ascii="Times New Roman" w:hAnsi="Times New Roman"/>
          <w:sz w:val="22"/>
          <w:szCs w:val="22"/>
        </w:rPr>
      </w:pPr>
      <w:r w:rsidRPr="00BE47E0">
        <w:rPr>
          <w:rFonts w:ascii="Times New Roman" w:hAnsi="Times New Roman"/>
          <w:sz w:val="22"/>
          <w:szCs w:val="22"/>
        </w:rPr>
        <w:t>Labs tab, Blood Bank</w:t>
      </w:r>
    </w:p>
    <w:p w14:paraId="7DC8D531" w14:textId="77777777" w:rsidR="00006995" w:rsidRPr="00BE47E0" w:rsidRDefault="00006995" w:rsidP="00925CAD">
      <w:pPr>
        <w:pStyle w:val="TableText"/>
        <w:numPr>
          <w:ilvl w:val="0"/>
          <w:numId w:val="79"/>
        </w:numPr>
        <w:rPr>
          <w:rFonts w:ascii="Times New Roman" w:hAnsi="Times New Roman"/>
          <w:sz w:val="22"/>
          <w:szCs w:val="22"/>
        </w:rPr>
      </w:pPr>
      <w:r w:rsidRPr="00BE47E0">
        <w:rPr>
          <w:rFonts w:ascii="Times New Roman" w:hAnsi="Times New Roman"/>
          <w:sz w:val="22"/>
          <w:szCs w:val="22"/>
        </w:rPr>
        <w:t>Reports tab, Blood Bank Report</w:t>
      </w:r>
    </w:p>
    <w:p w14:paraId="1CA7BEB3" w14:textId="77777777" w:rsidR="00006995" w:rsidRPr="00BE47E0" w:rsidRDefault="00006995" w:rsidP="00925CAD">
      <w:pPr>
        <w:pStyle w:val="TableText"/>
        <w:numPr>
          <w:ilvl w:val="0"/>
          <w:numId w:val="79"/>
        </w:numPr>
        <w:rPr>
          <w:rFonts w:ascii="Times New Roman" w:hAnsi="Times New Roman"/>
          <w:sz w:val="22"/>
          <w:szCs w:val="22"/>
        </w:rPr>
      </w:pPr>
      <w:r w:rsidRPr="00BE47E0">
        <w:rPr>
          <w:rFonts w:ascii="Times New Roman" w:hAnsi="Times New Roman"/>
          <w:sz w:val="22"/>
          <w:szCs w:val="22"/>
        </w:rPr>
        <w:t>Reports tab, Clinical Reports, Laboratory, Blood Bank Report</w:t>
      </w:r>
    </w:p>
    <w:p w14:paraId="6A4BA347" w14:textId="77777777" w:rsidR="00006995" w:rsidRDefault="00006995" w:rsidP="00006995">
      <w:pPr>
        <w:pStyle w:val="Heading4"/>
      </w:pPr>
      <w:r>
        <w:t xml:space="preserve">Report layout </w:t>
      </w:r>
    </w:p>
    <w:p w14:paraId="72C3DB38" w14:textId="77777777" w:rsidR="00006995" w:rsidRPr="00BE47E0" w:rsidRDefault="00006995" w:rsidP="00006995">
      <w:pPr>
        <w:pStyle w:val="TableText"/>
        <w:ind w:firstLine="360"/>
        <w:rPr>
          <w:rFonts w:ascii="Times New Roman" w:hAnsi="Times New Roman"/>
          <w:sz w:val="22"/>
          <w:szCs w:val="22"/>
        </w:rPr>
      </w:pPr>
      <w:r w:rsidRPr="00BE47E0">
        <w:rPr>
          <w:rFonts w:ascii="Times New Roman" w:hAnsi="Times New Roman"/>
          <w:sz w:val="22"/>
          <w:szCs w:val="22"/>
        </w:rPr>
        <w:t>Report consists of eight sections:</w:t>
      </w:r>
    </w:p>
    <w:p w14:paraId="5EBDD9EB" w14:textId="77777777" w:rsidR="00006995" w:rsidRPr="002D7AAD" w:rsidRDefault="00006995" w:rsidP="00925CAD">
      <w:pPr>
        <w:pStyle w:val="TableText"/>
        <w:numPr>
          <w:ilvl w:val="0"/>
          <w:numId w:val="79"/>
        </w:numPr>
      </w:pPr>
      <w:r w:rsidRPr="00BE47E0">
        <w:rPr>
          <w:rFonts w:ascii="Times New Roman" w:hAnsi="Times New Roman"/>
          <w:sz w:val="22"/>
          <w:szCs w:val="22"/>
        </w:rPr>
        <w:t xml:space="preserve">ABO/Rh - displays </w:t>
      </w:r>
      <w:r>
        <w:rPr>
          <w:rFonts w:ascii="Times New Roman" w:hAnsi="Times New Roman"/>
          <w:sz w:val="22"/>
          <w:szCs w:val="22"/>
        </w:rPr>
        <w:t xml:space="preserve">a </w:t>
      </w:r>
      <w:r w:rsidRPr="00BE47E0">
        <w:rPr>
          <w:rFonts w:ascii="Times New Roman" w:hAnsi="Times New Roman"/>
          <w:sz w:val="22"/>
          <w:szCs w:val="22"/>
        </w:rPr>
        <w:t>patient’s ABO/Rh based on patient’s ABO/Rh testing history.</w:t>
      </w:r>
    </w:p>
    <w:p w14:paraId="345DFFD6" w14:textId="77777777" w:rsidR="00006995" w:rsidRPr="002D7AAD" w:rsidRDefault="00006995" w:rsidP="00925CAD">
      <w:pPr>
        <w:pStyle w:val="TableText"/>
        <w:numPr>
          <w:ilvl w:val="0"/>
          <w:numId w:val="79"/>
        </w:numPr>
      </w:pPr>
      <w:r w:rsidRPr="00BE47E0">
        <w:rPr>
          <w:rFonts w:ascii="Times New Roman" w:hAnsi="Times New Roman"/>
          <w:sz w:val="22"/>
          <w:szCs w:val="22"/>
        </w:rPr>
        <w:t xml:space="preserve">Antibodies Identified and Transfusion Requirements - displays </w:t>
      </w:r>
      <w:r>
        <w:rPr>
          <w:rFonts w:ascii="Times New Roman" w:hAnsi="Times New Roman"/>
          <w:sz w:val="22"/>
          <w:szCs w:val="22"/>
        </w:rPr>
        <w:t xml:space="preserve">a </w:t>
      </w:r>
      <w:r w:rsidRPr="00BE47E0">
        <w:rPr>
          <w:rFonts w:ascii="Times New Roman" w:hAnsi="Times New Roman"/>
          <w:sz w:val="22"/>
          <w:szCs w:val="22"/>
        </w:rPr>
        <w:t>patient’s antibodies, antigen negative requirements and component requirements.</w:t>
      </w:r>
    </w:p>
    <w:p w14:paraId="152C8B10" w14:textId="77777777" w:rsidR="00006995" w:rsidRPr="00BE47E0" w:rsidRDefault="00006995" w:rsidP="00925CAD">
      <w:pPr>
        <w:pStyle w:val="TableText"/>
        <w:numPr>
          <w:ilvl w:val="0"/>
          <w:numId w:val="79"/>
        </w:numPr>
        <w:rPr>
          <w:rFonts w:ascii="Times New Roman" w:hAnsi="Times New Roman"/>
          <w:sz w:val="22"/>
          <w:szCs w:val="22"/>
        </w:rPr>
      </w:pPr>
      <w:r w:rsidRPr="00BE47E0">
        <w:rPr>
          <w:rFonts w:ascii="Times New Roman" w:hAnsi="Times New Roman"/>
          <w:sz w:val="22"/>
          <w:szCs w:val="22"/>
        </w:rPr>
        <w:t xml:space="preserve">Transfusion Reactions – displays </w:t>
      </w:r>
      <w:r>
        <w:rPr>
          <w:rFonts w:ascii="Times New Roman" w:hAnsi="Times New Roman"/>
          <w:sz w:val="22"/>
          <w:szCs w:val="22"/>
        </w:rPr>
        <w:t xml:space="preserve">the </w:t>
      </w:r>
      <w:r w:rsidRPr="00BE47E0">
        <w:rPr>
          <w:rFonts w:ascii="Times New Roman" w:hAnsi="Times New Roman"/>
          <w:sz w:val="22"/>
          <w:szCs w:val="22"/>
        </w:rPr>
        <w:t xml:space="preserve">history of </w:t>
      </w:r>
      <w:r>
        <w:rPr>
          <w:rFonts w:ascii="Times New Roman" w:hAnsi="Times New Roman"/>
          <w:sz w:val="22"/>
          <w:szCs w:val="22"/>
        </w:rPr>
        <w:t xml:space="preserve">a </w:t>
      </w:r>
      <w:r w:rsidRPr="00BE47E0">
        <w:rPr>
          <w:rFonts w:ascii="Times New Roman" w:hAnsi="Times New Roman"/>
          <w:sz w:val="22"/>
          <w:szCs w:val="22"/>
        </w:rPr>
        <w:t>patient’s transfusion reactions.</w:t>
      </w:r>
    </w:p>
    <w:p w14:paraId="68DFA1E0" w14:textId="77777777" w:rsidR="00006995" w:rsidRPr="00BE47E0" w:rsidRDefault="00006995" w:rsidP="00925CAD">
      <w:pPr>
        <w:pStyle w:val="TableText"/>
        <w:numPr>
          <w:ilvl w:val="0"/>
          <w:numId w:val="79"/>
        </w:numPr>
        <w:rPr>
          <w:rFonts w:ascii="Times New Roman" w:hAnsi="Times New Roman"/>
          <w:sz w:val="22"/>
          <w:szCs w:val="22"/>
        </w:rPr>
      </w:pPr>
      <w:r w:rsidRPr="00BE47E0">
        <w:rPr>
          <w:rFonts w:ascii="Times New Roman" w:hAnsi="Times New Roman"/>
          <w:sz w:val="22"/>
          <w:szCs w:val="22"/>
        </w:rPr>
        <w:t>Available/Issued Units - displays a list of units assigned, crossmatched and issued to the patient.</w:t>
      </w:r>
      <w:r>
        <w:rPr>
          <w:rFonts w:ascii="Times New Roman" w:hAnsi="Times New Roman"/>
          <w:sz w:val="22"/>
          <w:szCs w:val="22"/>
        </w:rPr>
        <w:t xml:space="preserve"> Issued units that are indicated as transfused or presumed transfused in VBECS no longer show in this section but instead display in the Transfused Units section.</w:t>
      </w:r>
    </w:p>
    <w:p w14:paraId="66521000" w14:textId="77777777" w:rsidR="00006995" w:rsidRPr="00BE47E0" w:rsidRDefault="00006995" w:rsidP="00925CAD">
      <w:pPr>
        <w:pStyle w:val="TableText"/>
        <w:numPr>
          <w:ilvl w:val="0"/>
          <w:numId w:val="79"/>
        </w:numPr>
        <w:rPr>
          <w:rFonts w:ascii="Times New Roman" w:hAnsi="Times New Roman"/>
          <w:sz w:val="22"/>
          <w:szCs w:val="22"/>
        </w:rPr>
      </w:pPr>
      <w:r w:rsidRPr="00BE47E0">
        <w:rPr>
          <w:rFonts w:ascii="Times New Roman" w:hAnsi="Times New Roman"/>
          <w:sz w:val="22"/>
          <w:szCs w:val="22"/>
        </w:rPr>
        <w:t xml:space="preserve">Diagnostic Tests - displays a history of the patient’s completed diagnostic tests (TAS, ABO/Rh, ABS, DAT Poly, DAT IgG and DAT Comp). Only the test interpretation is displayed. Invalidated tests are not shown unless the replacement results were entered. In such case, the invalidated test is marked as </w:t>
      </w:r>
      <w:r w:rsidRPr="00BE47E0">
        <w:rPr>
          <w:rFonts w:ascii="Times New Roman" w:hAnsi="Times New Roman"/>
          <w:b/>
          <w:sz w:val="22"/>
          <w:szCs w:val="22"/>
        </w:rPr>
        <w:t xml:space="preserve">** Entered in Error ** </w:t>
      </w:r>
      <w:r w:rsidRPr="00BE47E0">
        <w:rPr>
          <w:rFonts w:ascii="Times New Roman" w:hAnsi="Times New Roman"/>
          <w:sz w:val="22"/>
          <w:szCs w:val="22"/>
        </w:rPr>
        <w:t xml:space="preserve">and a replacement result is marked as </w:t>
      </w:r>
      <w:r w:rsidRPr="00BE47E0">
        <w:rPr>
          <w:rFonts w:ascii="Times New Roman" w:hAnsi="Times New Roman"/>
          <w:b/>
          <w:sz w:val="22"/>
          <w:szCs w:val="22"/>
        </w:rPr>
        <w:t>** Corrected Result **</w:t>
      </w:r>
      <w:r w:rsidRPr="00BE47E0">
        <w:rPr>
          <w:rFonts w:ascii="Times New Roman" w:hAnsi="Times New Roman"/>
          <w:bCs/>
          <w:sz w:val="22"/>
          <w:szCs w:val="22"/>
        </w:rPr>
        <w:t>.</w:t>
      </w:r>
    </w:p>
    <w:p w14:paraId="753CB2FA" w14:textId="77777777" w:rsidR="00006995" w:rsidRPr="00BE47E0" w:rsidRDefault="00006995" w:rsidP="00925CAD">
      <w:pPr>
        <w:pStyle w:val="TableText"/>
        <w:numPr>
          <w:ilvl w:val="0"/>
          <w:numId w:val="79"/>
        </w:numPr>
        <w:rPr>
          <w:rFonts w:ascii="Times New Roman" w:hAnsi="Times New Roman"/>
          <w:sz w:val="22"/>
          <w:szCs w:val="22"/>
        </w:rPr>
      </w:pPr>
      <w:r w:rsidRPr="00BE47E0">
        <w:rPr>
          <w:rFonts w:ascii="Times New Roman" w:hAnsi="Times New Roman"/>
          <w:sz w:val="22"/>
          <w:szCs w:val="22"/>
        </w:rPr>
        <w:t xml:space="preserve">Component Requests - displays a history of </w:t>
      </w:r>
      <w:r>
        <w:rPr>
          <w:rFonts w:ascii="Times New Roman" w:hAnsi="Times New Roman"/>
          <w:sz w:val="22"/>
          <w:szCs w:val="22"/>
        </w:rPr>
        <w:t xml:space="preserve">the </w:t>
      </w:r>
      <w:r w:rsidRPr="00BE47E0">
        <w:rPr>
          <w:rFonts w:ascii="Times New Roman" w:hAnsi="Times New Roman"/>
          <w:sz w:val="22"/>
          <w:szCs w:val="22"/>
        </w:rPr>
        <w:t>patient’s component orders. Cancelled orders are not included.</w:t>
      </w:r>
    </w:p>
    <w:p w14:paraId="34AB1F00" w14:textId="77777777" w:rsidR="00006995" w:rsidRPr="00BE47E0" w:rsidRDefault="00006995" w:rsidP="00925CAD">
      <w:pPr>
        <w:pStyle w:val="TableText"/>
        <w:numPr>
          <w:ilvl w:val="0"/>
          <w:numId w:val="79"/>
        </w:numPr>
        <w:rPr>
          <w:rFonts w:ascii="Times New Roman" w:hAnsi="Times New Roman"/>
          <w:sz w:val="22"/>
          <w:szCs w:val="22"/>
        </w:rPr>
      </w:pPr>
      <w:r w:rsidRPr="00BE47E0">
        <w:rPr>
          <w:rFonts w:ascii="Times New Roman" w:hAnsi="Times New Roman"/>
          <w:sz w:val="22"/>
          <w:szCs w:val="22"/>
        </w:rPr>
        <w:t xml:space="preserve">Transfused Units - displays </w:t>
      </w:r>
      <w:r>
        <w:rPr>
          <w:rFonts w:ascii="Times New Roman" w:hAnsi="Times New Roman"/>
          <w:sz w:val="22"/>
          <w:szCs w:val="22"/>
        </w:rPr>
        <w:t>the</w:t>
      </w:r>
      <w:r w:rsidRPr="00BE47E0">
        <w:rPr>
          <w:rFonts w:ascii="Times New Roman" w:hAnsi="Times New Roman"/>
          <w:sz w:val="22"/>
          <w:szCs w:val="22"/>
        </w:rPr>
        <w:t xml:space="preserve"> history of </w:t>
      </w:r>
      <w:r>
        <w:rPr>
          <w:rFonts w:ascii="Times New Roman" w:hAnsi="Times New Roman"/>
          <w:sz w:val="22"/>
          <w:szCs w:val="22"/>
        </w:rPr>
        <w:t xml:space="preserve">a </w:t>
      </w:r>
      <w:r w:rsidRPr="00BE47E0">
        <w:rPr>
          <w:rFonts w:ascii="Times New Roman" w:hAnsi="Times New Roman"/>
          <w:sz w:val="22"/>
          <w:szCs w:val="22"/>
        </w:rPr>
        <w:t>patient’s transfusions.</w:t>
      </w:r>
    </w:p>
    <w:p w14:paraId="23D11858" w14:textId="77777777" w:rsidR="00006995" w:rsidRPr="002D7AAD" w:rsidRDefault="00006995" w:rsidP="00925CAD">
      <w:pPr>
        <w:pStyle w:val="TableText"/>
        <w:numPr>
          <w:ilvl w:val="0"/>
          <w:numId w:val="79"/>
        </w:numPr>
      </w:pPr>
      <w:r w:rsidRPr="00BE47E0">
        <w:rPr>
          <w:rFonts w:ascii="Times New Roman" w:hAnsi="Times New Roman"/>
          <w:sz w:val="22"/>
          <w:szCs w:val="22"/>
        </w:rPr>
        <w:t xml:space="preserve">Legacy VistA Blood Bank Report - contains </w:t>
      </w:r>
      <w:r>
        <w:rPr>
          <w:rFonts w:ascii="Times New Roman" w:hAnsi="Times New Roman"/>
          <w:sz w:val="22"/>
          <w:szCs w:val="22"/>
        </w:rPr>
        <w:t xml:space="preserve">a </w:t>
      </w:r>
      <w:r w:rsidRPr="00BE47E0">
        <w:rPr>
          <w:rFonts w:ascii="Times New Roman" w:hAnsi="Times New Roman"/>
          <w:sz w:val="22"/>
          <w:szCs w:val="22"/>
        </w:rPr>
        <w:t>patient’s legacy blood bank information that was not recorded in VBECS.</w:t>
      </w:r>
    </w:p>
    <w:p w14:paraId="279FBD8A" w14:textId="77777777" w:rsidR="00006995" w:rsidRDefault="00006995" w:rsidP="00006995">
      <w:pPr>
        <w:pStyle w:val="Heading4"/>
      </w:pPr>
      <w:r>
        <w:t>Limitations and Restrictions</w:t>
      </w:r>
      <w:r>
        <w:rPr>
          <w:b w:val="0"/>
        </w:rPr>
        <w:t xml:space="preserve"> </w:t>
      </w:r>
    </w:p>
    <w:p w14:paraId="3091854A" w14:textId="77777777" w:rsidR="006950B8" w:rsidRPr="006950B8" w:rsidRDefault="00006995" w:rsidP="00006995">
      <w:pPr>
        <w:pStyle w:val="ListBullet"/>
        <w:rPr>
          <w:rFonts w:ascii="Arial" w:hAnsi="Arial" w:cs="Arial"/>
          <w:b/>
          <w:bCs/>
          <w:kern w:val="32"/>
          <w:sz w:val="36"/>
          <w:szCs w:val="32"/>
        </w:rPr>
      </w:pPr>
      <w:r>
        <w:t>The report is not multidivisional</w:t>
      </w:r>
      <w:r w:rsidR="007E06EE">
        <w:t>,</w:t>
      </w:r>
      <w:r>
        <w:t xml:space="preserve"> meaning it does not combine a patien</w:t>
      </w:r>
      <w:r w:rsidR="00676CAC">
        <w:t>t's</w:t>
      </w:r>
      <w:r>
        <w:t xml:space="preserve"> transfusion information from all VA hospitals.</w:t>
      </w:r>
    </w:p>
    <w:p w14:paraId="36371B3E" w14:textId="5C3ECDE1" w:rsidR="00006995" w:rsidRPr="00BE47E0" w:rsidRDefault="006950B8" w:rsidP="00006995">
      <w:pPr>
        <w:pStyle w:val="ListBullet"/>
        <w:rPr>
          <w:rFonts w:ascii="Arial" w:hAnsi="Arial" w:cs="Arial"/>
          <w:b/>
          <w:bCs/>
          <w:kern w:val="32"/>
          <w:sz w:val="36"/>
          <w:szCs w:val="32"/>
        </w:rPr>
      </w:pPr>
      <w:r>
        <w:t xml:space="preserve">VBECS data is not displayed when viewing the report through VistA Read Only (See </w:t>
      </w:r>
      <w:r>
        <w:fldChar w:fldCharType="begin"/>
      </w:r>
      <w:r>
        <w:instrText xml:space="preserve"> REF _Ref184224260 \h </w:instrText>
      </w:r>
      <w:r>
        <w:fldChar w:fldCharType="separate"/>
      </w:r>
      <w:r w:rsidR="007D1829">
        <w:t xml:space="preserve">Figure </w:t>
      </w:r>
      <w:r w:rsidR="007D1829">
        <w:rPr>
          <w:noProof/>
        </w:rPr>
        <w:t>118</w:t>
      </w:r>
      <w:r>
        <w:fldChar w:fldCharType="end"/>
      </w:r>
      <w:r>
        <w:t>)</w:t>
      </w:r>
      <w:r w:rsidR="00006995">
        <w:br w:type="page"/>
      </w:r>
    </w:p>
    <w:p w14:paraId="7B1CF7A1" w14:textId="77777777" w:rsidR="00006995" w:rsidRDefault="00006995" w:rsidP="00006995">
      <w:pPr>
        <w:pStyle w:val="Heading4"/>
        <w:tabs>
          <w:tab w:val="left" w:pos="2568"/>
        </w:tabs>
      </w:pPr>
      <w:r>
        <w:lastRenderedPageBreak/>
        <w:t>Troubleshooting</w:t>
      </w:r>
      <w:r>
        <w:rPr>
          <w:b w:val="0"/>
        </w:rPr>
        <w:t xml:space="preserve"> </w:t>
      </w:r>
      <w:r>
        <w:rPr>
          <w:b w:val="0"/>
        </w:rPr>
        <w:tab/>
      </w:r>
    </w:p>
    <w:p w14:paraId="2154E116" w14:textId="5EF95715" w:rsidR="00006995" w:rsidRDefault="00006995" w:rsidP="00565A21">
      <w:pPr>
        <w:pStyle w:val="TableText"/>
        <w:rPr>
          <w:rFonts w:ascii="Times New Roman" w:hAnsi="Times New Roman"/>
          <w:sz w:val="22"/>
          <w:szCs w:val="22"/>
        </w:rPr>
      </w:pPr>
      <w:r>
        <w:rPr>
          <w:rFonts w:ascii="Times New Roman" w:hAnsi="Times New Roman"/>
          <w:sz w:val="22"/>
          <w:szCs w:val="22"/>
        </w:rPr>
        <w:t xml:space="preserve">Since the CPRS Blood Bank Report relies on data stored in VBECS, it is possible for it to malfunction when the network connection to VBECS is disrupted or if there is a problem with VBECS </w:t>
      </w:r>
      <w:r w:rsidR="00F358AF">
        <w:rPr>
          <w:rFonts w:ascii="Times New Roman" w:hAnsi="Times New Roman"/>
          <w:sz w:val="22"/>
          <w:szCs w:val="22"/>
        </w:rPr>
        <w:t xml:space="preserve">VistALink </w:t>
      </w:r>
      <w:r>
        <w:rPr>
          <w:rFonts w:ascii="Times New Roman" w:hAnsi="Times New Roman"/>
          <w:sz w:val="22"/>
          <w:szCs w:val="22"/>
        </w:rPr>
        <w:t>service. If that happens, the report will display a message similar to this one:</w:t>
      </w:r>
    </w:p>
    <w:p w14:paraId="3543A265" w14:textId="6EABC454" w:rsidR="006950B8" w:rsidRDefault="006950B8" w:rsidP="006950B8">
      <w:pPr>
        <w:pStyle w:val="Caption"/>
      </w:pPr>
      <w:bookmarkStart w:id="628" w:name="_Ref184224260"/>
      <w:r>
        <w:t xml:space="preserve">Figure </w:t>
      </w:r>
      <w:r>
        <w:fldChar w:fldCharType="begin"/>
      </w:r>
      <w:r>
        <w:instrText xml:space="preserve"> SEQ Figure \* ARABIC </w:instrText>
      </w:r>
      <w:r>
        <w:fldChar w:fldCharType="separate"/>
      </w:r>
      <w:r w:rsidR="007D1829">
        <w:rPr>
          <w:noProof/>
        </w:rPr>
        <w:t>118</w:t>
      </w:r>
      <w:r>
        <w:fldChar w:fldCharType="end"/>
      </w:r>
      <w:bookmarkEnd w:id="628"/>
      <w:r>
        <w:t>: Example of Report Message</w:t>
      </w:r>
    </w:p>
    <w:p w14:paraId="09865FD9" w14:textId="77777777" w:rsidR="00006995" w:rsidRPr="00823F23" w:rsidRDefault="00006995" w:rsidP="00006995">
      <w:pPr>
        <w:autoSpaceDE w:val="0"/>
        <w:autoSpaceDN w:val="0"/>
        <w:adjustRightInd w:val="0"/>
        <w:rPr>
          <w:rFonts w:ascii="Courier New" w:hAnsi="Courier New" w:cs="Courier New"/>
          <w:sz w:val="16"/>
          <w:szCs w:val="16"/>
        </w:rPr>
      </w:pPr>
      <w:r w:rsidRPr="00823F23">
        <w:rPr>
          <w:rFonts w:ascii="Courier New" w:hAnsi="Courier New" w:cs="Courier New"/>
          <w:sz w:val="16"/>
          <w:szCs w:val="16"/>
        </w:rPr>
        <w:t xml:space="preserve">     ******************************************************************</w:t>
      </w:r>
    </w:p>
    <w:p w14:paraId="0317C68D" w14:textId="77777777" w:rsidR="00006995" w:rsidRPr="00823F23" w:rsidRDefault="00006995" w:rsidP="00006995">
      <w:pPr>
        <w:autoSpaceDE w:val="0"/>
        <w:autoSpaceDN w:val="0"/>
        <w:adjustRightInd w:val="0"/>
        <w:rPr>
          <w:rFonts w:ascii="Courier New" w:hAnsi="Courier New" w:cs="Courier New"/>
          <w:sz w:val="16"/>
          <w:szCs w:val="16"/>
        </w:rPr>
      </w:pPr>
      <w:r w:rsidRPr="00823F23">
        <w:rPr>
          <w:rFonts w:ascii="Courier New" w:hAnsi="Courier New" w:cs="Courier New"/>
          <w:sz w:val="16"/>
          <w:szCs w:val="16"/>
        </w:rPr>
        <w:t xml:space="preserve">     *                                                                *</w:t>
      </w:r>
    </w:p>
    <w:p w14:paraId="4228C3F9" w14:textId="77777777" w:rsidR="00006995" w:rsidRPr="00823F23" w:rsidRDefault="00006995" w:rsidP="00006995">
      <w:pPr>
        <w:autoSpaceDE w:val="0"/>
        <w:autoSpaceDN w:val="0"/>
        <w:adjustRightInd w:val="0"/>
        <w:rPr>
          <w:rFonts w:ascii="Courier New" w:hAnsi="Courier New" w:cs="Courier New"/>
          <w:sz w:val="16"/>
          <w:szCs w:val="16"/>
        </w:rPr>
      </w:pPr>
      <w:r w:rsidRPr="00823F23">
        <w:rPr>
          <w:rFonts w:ascii="Courier New" w:hAnsi="Courier New" w:cs="Courier New"/>
          <w:sz w:val="16"/>
          <w:szCs w:val="16"/>
        </w:rPr>
        <w:t xml:space="preserve">     *          Patient data is not available at this time            *</w:t>
      </w:r>
    </w:p>
    <w:p w14:paraId="30F2FC81" w14:textId="77777777" w:rsidR="00006995" w:rsidRPr="00823F23" w:rsidRDefault="00006995" w:rsidP="00006995">
      <w:pPr>
        <w:autoSpaceDE w:val="0"/>
        <w:autoSpaceDN w:val="0"/>
        <w:adjustRightInd w:val="0"/>
        <w:rPr>
          <w:rFonts w:ascii="Courier New" w:hAnsi="Courier New" w:cs="Courier New"/>
          <w:sz w:val="16"/>
          <w:szCs w:val="16"/>
        </w:rPr>
      </w:pPr>
      <w:r w:rsidRPr="00823F23">
        <w:rPr>
          <w:rFonts w:ascii="Courier New" w:hAnsi="Courier New" w:cs="Courier New"/>
          <w:sz w:val="16"/>
          <w:szCs w:val="16"/>
        </w:rPr>
        <w:t xml:space="preserve">     *            due to a VistALink connection failure.              *</w:t>
      </w:r>
    </w:p>
    <w:p w14:paraId="74CDB18F" w14:textId="77777777" w:rsidR="00006995" w:rsidRPr="007903A0" w:rsidRDefault="00006995" w:rsidP="00006995">
      <w:pPr>
        <w:autoSpaceDE w:val="0"/>
        <w:autoSpaceDN w:val="0"/>
        <w:adjustRightInd w:val="0"/>
        <w:rPr>
          <w:rFonts w:ascii="Courier New" w:hAnsi="Courier New" w:cs="Courier New"/>
          <w:sz w:val="16"/>
          <w:szCs w:val="16"/>
        </w:rPr>
      </w:pPr>
      <w:r w:rsidRPr="007903A0">
        <w:rPr>
          <w:rFonts w:ascii="Courier New" w:hAnsi="Courier New" w:cs="Courier New"/>
          <w:sz w:val="16"/>
          <w:szCs w:val="16"/>
        </w:rPr>
        <w:t xml:space="preserve">     *                                                                *</w:t>
      </w:r>
    </w:p>
    <w:p w14:paraId="1221ACD8" w14:textId="77777777" w:rsidR="00006995" w:rsidRPr="007903A0" w:rsidRDefault="00006995" w:rsidP="00006995">
      <w:pPr>
        <w:autoSpaceDE w:val="0"/>
        <w:autoSpaceDN w:val="0"/>
        <w:adjustRightInd w:val="0"/>
        <w:rPr>
          <w:rFonts w:ascii="Courier New" w:hAnsi="Courier New" w:cs="Courier New"/>
          <w:sz w:val="16"/>
          <w:szCs w:val="16"/>
        </w:rPr>
      </w:pPr>
      <w:r w:rsidRPr="007903A0">
        <w:rPr>
          <w:rFonts w:ascii="Courier New" w:hAnsi="Courier New" w:cs="Courier New"/>
          <w:sz w:val="16"/>
          <w:szCs w:val="16"/>
        </w:rPr>
        <w:t xml:space="preserve">     *                                                                *</w:t>
      </w:r>
    </w:p>
    <w:p w14:paraId="30F0918B" w14:textId="77777777" w:rsidR="00006995" w:rsidRPr="007903A0" w:rsidRDefault="00006995" w:rsidP="00006995">
      <w:pPr>
        <w:pStyle w:val="TableText"/>
        <w:ind w:left="360"/>
        <w:rPr>
          <w:rFonts w:ascii="Times New Roman" w:hAnsi="Times New Roman"/>
          <w:sz w:val="22"/>
          <w:szCs w:val="22"/>
        </w:rPr>
      </w:pPr>
      <w:r w:rsidRPr="007903A0">
        <w:rPr>
          <w:rFonts w:ascii="Courier New" w:hAnsi="Courier New" w:cs="Courier New"/>
          <w:sz w:val="16"/>
          <w:szCs w:val="16"/>
        </w:rPr>
        <w:t xml:space="preserve"> ******************************************************************</w:t>
      </w:r>
    </w:p>
    <w:p w14:paraId="180C4862" w14:textId="77777777" w:rsidR="00006995" w:rsidRDefault="00006995" w:rsidP="00006995">
      <w:pPr>
        <w:pStyle w:val="ListBullet"/>
        <w:numPr>
          <w:ilvl w:val="0"/>
          <w:numId w:val="0"/>
        </w:numPr>
      </w:pPr>
    </w:p>
    <w:p w14:paraId="6CFAE075" w14:textId="53D02D4C" w:rsidR="002F7CC9" w:rsidRDefault="00006995" w:rsidP="00006995">
      <w:r w:rsidRPr="00BE47E0">
        <w:t>In such cas</w:t>
      </w:r>
      <w:r>
        <w:t xml:space="preserve">e, </w:t>
      </w:r>
      <w:r w:rsidRPr="00BE47E0">
        <w:t>contact the Service Desk. See</w:t>
      </w:r>
      <w:r>
        <w:t xml:space="preserve"> the</w:t>
      </w:r>
      <w:r w:rsidRPr="00BE47E0">
        <w:t xml:space="preserve"> Customer Support section of this guide for contact information.</w:t>
      </w:r>
    </w:p>
    <w:p w14:paraId="3AA47715" w14:textId="45769971" w:rsidR="00565A21" w:rsidRDefault="00565A21" w:rsidP="00565A21">
      <w:pPr>
        <w:pStyle w:val="Heading4"/>
        <w:tabs>
          <w:tab w:val="left" w:pos="2568"/>
        </w:tabs>
      </w:pPr>
      <w:r>
        <w:t>Missing Division Names</w:t>
      </w:r>
    </w:p>
    <w:p w14:paraId="634900CE" w14:textId="4537E318" w:rsidR="000A0354" w:rsidRPr="00676270" w:rsidRDefault="00565A21" w:rsidP="00676270">
      <w:pPr>
        <w:rPr>
          <w:sz w:val="22"/>
          <w:szCs w:val="22"/>
        </w:rPr>
      </w:pPr>
      <w:r w:rsidRPr="00565A21">
        <w:rPr>
          <w:sz w:val="22"/>
          <w:szCs w:val="22"/>
        </w:rPr>
        <w:t xml:space="preserve">Available/Issued Units and Diagnostic Tests sections of the CPRS Blood Bank Report include the display of the division name. In certain circumstances, the division name might be missing from the report. If that happens, contact the Service Desk and file a ticket for </w:t>
      </w:r>
      <w:r>
        <w:rPr>
          <w:sz w:val="22"/>
          <w:szCs w:val="22"/>
        </w:rPr>
        <w:t xml:space="preserve">the </w:t>
      </w:r>
      <w:r w:rsidRPr="00565A21">
        <w:rPr>
          <w:sz w:val="22"/>
          <w:szCs w:val="22"/>
        </w:rPr>
        <w:t>VBECS team to have it fixed. See the Customer Support section</w:t>
      </w:r>
      <w:r w:rsidR="006F1FB3">
        <w:rPr>
          <w:sz w:val="22"/>
          <w:szCs w:val="22"/>
        </w:rPr>
        <w:t xml:space="preserve"> in </w:t>
      </w:r>
      <w:r w:rsidRPr="00565A21">
        <w:rPr>
          <w:sz w:val="22"/>
          <w:szCs w:val="22"/>
        </w:rPr>
        <w:t>this guide for contact information.</w:t>
      </w:r>
    </w:p>
    <w:p w14:paraId="5C4E844A" w14:textId="77777777" w:rsidR="00676270" w:rsidRDefault="00676270">
      <w:pPr>
        <w:rPr>
          <w:rFonts w:ascii="Arial" w:hAnsi="Arial" w:cs="Arial"/>
          <w:b/>
          <w:bCs/>
          <w:i/>
          <w:iCs/>
          <w:sz w:val="28"/>
          <w:szCs w:val="28"/>
        </w:rPr>
      </w:pPr>
      <w:r>
        <w:br w:type="page"/>
      </w:r>
    </w:p>
    <w:p w14:paraId="3A61BCD5" w14:textId="0C0FFC4B" w:rsidR="002A21AE" w:rsidRDefault="002A21AE">
      <w:pPr>
        <w:pStyle w:val="Heading2"/>
      </w:pPr>
      <w:bookmarkStart w:id="629" w:name="_Toc203765948"/>
      <w:r>
        <w:lastRenderedPageBreak/>
        <w:t>Division Transfusion Report</w:t>
      </w:r>
      <w:bookmarkEnd w:id="629"/>
      <w:r>
        <w:fldChar w:fldCharType="begin"/>
      </w:r>
      <w:r>
        <w:instrText xml:space="preserve"> XE </w:instrText>
      </w:r>
      <w:r w:rsidR="00FA7E65">
        <w:instrText>“</w:instrText>
      </w:r>
      <w:r>
        <w:instrText>Division Transfusion Report</w:instrText>
      </w:r>
      <w:r w:rsidR="00FA7E65">
        <w:instrText>”</w:instrText>
      </w:r>
      <w:r>
        <w:instrText xml:space="preserve"> </w:instrText>
      </w:r>
      <w:r>
        <w:fldChar w:fldCharType="end"/>
      </w:r>
      <w:r>
        <w:t xml:space="preserve"> </w:t>
      </w:r>
      <w:r>
        <w:rPr>
          <w:rFonts w:ascii="Times New Roman" w:hAnsi="Times New Roman" w:cs="Times New Roman"/>
          <w:b w:val="0"/>
          <w:i w:val="0"/>
          <w:vanish/>
          <w:sz w:val="22"/>
        </w:rPr>
        <w:t>UC_74</w:t>
      </w:r>
      <w:r>
        <w:rPr>
          <w:rStyle w:val="CommentReference"/>
          <w:rFonts w:ascii="Times New Roman" w:hAnsi="Times New Roman" w:cs="Times New Roman"/>
          <w:b w:val="0"/>
          <w:bCs w:val="0"/>
          <w:vanish/>
        </w:rPr>
        <w:t xml:space="preserve"> </w:t>
      </w:r>
    </w:p>
    <w:p w14:paraId="5296071A" w14:textId="77777777" w:rsidR="002A21AE" w:rsidRDefault="002A21AE" w:rsidP="00FA7E65">
      <w:pPr>
        <w:pStyle w:val="BodyText"/>
      </w:pPr>
      <w:r>
        <w:t xml:space="preserve">The user views </w:t>
      </w:r>
      <w:r w:rsidR="00EB1E5A">
        <w:t xml:space="preserve">and/or </w:t>
      </w:r>
      <w:r>
        <w:t>prints the Division Transfusion Report.</w:t>
      </w:r>
    </w:p>
    <w:p w14:paraId="609B5479" w14:textId="77777777" w:rsidR="002A21AE" w:rsidRDefault="002A21AE">
      <w:pPr>
        <w:pStyle w:val="Heading4"/>
      </w:pPr>
      <w:r>
        <w:t>Assumptions</w:t>
      </w:r>
      <w:r>
        <w:rPr>
          <w:b w:val="0"/>
        </w:rPr>
        <w:t xml:space="preserve"> </w:t>
      </w:r>
    </w:p>
    <w:p w14:paraId="4204929A" w14:textId="77777777" w:rsidR="002A21AE" w:rsidRDefault="002A21AE">
      <w:pPr>
        <w:pStyle w:val="ListBullet"/>
      </w:pPr>
      <w:r>
        <w:t>Transfused unit data for the report were saved in VBECS.</w:t>
      </w:r>
    </w:p>
    <w:p w14:paraId="44790652" w14:textId="77777777" w:rsidR="002A21AE" w:rsidRDefault="002A21AE">
      <w:pPr>
        <w:pStyle w:val="Heading4"/>
      </w:pPr>
      <w:r>
        <w:t xml:space="preserve">Outcome </w:t>
      </w:r>
    </w:p>
    <w:p w14:paraId="71F45299" w14:textId="77777777" w:rsidR="002A21AE" w:rsidRDefault="00AE521B">
      <w:pPr>
        <w:pStyle w:val="ListBullet"/>
      </w:pPr>
      <w:r>
        <w:t>The user views and/or prints the report</w:t>
      </w:r>
      <w:r w:rsidR="002A21AE">
        <w:t xml:space="preserve">. </w:t>
      </w:r>
    </w:p>
    <w:p w14:paraId="4511BD7B" w14:textId="77777777" w:rsidR="002A21AE" w:rsidRDefault="002A21AE">
      <w:pPr>
        <w:pStyle w:val="Heading4"/>
        <w:rPr>
          <w:b w:val="0"/>
        </w:rPr>
      </w:pPr>
      <w:r>
        <w:t>Limitations and Restrictions</w:t>
      </w:r>
      <w:r>
        <w:rPr>
          <w:b w:val="0"/>
        </w:rPr>
        <w:t xml:space="preserve"> </w:t>
      </w:r>
    </w:p>
    <w:p w14:paraId="549EE1F0" w14:textId="77777777" w:rsidR="002A21AE" w:rsidRDefault="002A21AE">
      <w:pPr>
        <w:pStyle w:val="ListBullet"/>
      </w:pPr>
      <w:r>
        <w:t>None</w:t>
      </w:r>
    </w:p>
    <w:p w14:paraId="6E4E8E40" w14:textId="77777777" w:rsidR="002A21AE" w:rsidRDefault="002A21AE">
      <w:pPr>
        <w:pStyle w:val="Heading4"/>
      </w:pPr>
      <w:r>
        <w:t xml:space="preserve">Additional Information </w:t>
      </w:r>
    </w:p>
    <w:p w14:paraId="56B413D3" w14:textId="77777777" w:rsidR="002A21AE" w:rsidRDefault="002A21AE">
      <w:pPr>
        <w:pStyle w:val="ListBullet"/>
      </w:pPr>
      <w:r>
        <w:rPr>
          <w:rFonts w:ascii="Arial" w:hAnsi="Arial" w:cs="Arial"/>
          <w:vanish/>
          <w:spacing w:val="0"/>
          <w:sz w:val="18"/>
        </w:rPr>
        <w:t xml:space="preserve">BR_74.01 </w:t>
      </w:r>
      <w:r>
        <w:t>VBECS compiles data for the report from the user’s login division.</w:t>
      </w:r>
    </w:p>
    <w:p w14:paraId="5569791E" w14:textId="77777777" w:rsidR="002A21AE" w:rsidRDefault="002A21AE">
      <w:pPr>
        <w:pStyle w:val="Heading4"/>
        <w:rPr>
          <w:b w:val="0"/>
        </w:rPr>
      </w:pPr>
      <w:r>
        <w:t xml:space="preserve">User Roles </w:t>
      </w:r>
      <w:r w:rsidRPr="005F46D4">
        <w:rPr>
          <w:rFonts w:ascii="Arial Bold" w:hAnsi="Arial Bold"/>
          <w:vanish/>
        </w:rPr>
        <w:t xml:space="preserve">with </w:t>
      </w:r>
      <w:r>
        <w:t>Access to This Option</w:t>
      </w:r>
      <w:r>
        <w:rPr>
          <w:b w:val="0"/>
        </w:rPr>
        <w:t xml:space="preserve"> </w:t>
      </w:r>
    </w:p>
    <w:p w14:paraId="4A584A37" w14:textId="77777777" w:rsidR="002A21AE" w:rsidRDefault="00606FB0">
      <w:pPr>
        <w:pStyle w:val="Roles"/>
      </w:pPr>
      <w:r>
        <w:t>All users</w:t>
      </w:r>
    </w:p>
    <w:p w14:paraId="38240369" w14:textId="77777777" w:rsidR="002A21AE" w:rsidRDefault="002A21AE">
      <w:pPr>
        <w:pStyle w:val="Heading4"/>
      </w:pPr>
      <w:r>
        <w:t xml:space="preserve">Division Transfusion Report </w:t>
      </w:r>
    </w:p>
    <w:p w14:paraId="58A3AE68" w14:textId="77777777" w:rsidR="002A21AE" w:rsidRDefault="002A21AE" w:rsidP="00FA7E65">
      <w:pPr>
        <w:pStyle w:val="BodyText"/>
      </w:pPr>
      <w:r>
        <w:t xml:space="preserve">The user views </w:t>
      </w:r>
      <w:r w:rsidR="00EB1E5A">
        <w:t xml:space="preserve">and/or </w:t>
      </w:r>
      <w:r>
        <w:t>prints a Division Transfusion Report</w:t>
      </w:r>
      <w:r w:rsidR="000E7CF5">
        <w:t>, which lists details of units transfused during a selected period</w:t>
      </w:r>
      <w:r>
        <w: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12E27061" w14:textId="77777777">
        <w:trPr>
          <w:cantSplit/>
          <w:tblHeader/>
        </w:trPr>
        <w:tc>
          <w:tcPr>
            <w:tcW w:w="3240" w:type="dxa"/>
            <w:shd w:val="pct30" w:color="auto" w:fill="FFFFFF"/>
            <w:vAlign w:val="bottom"/>
          </w:tcPr>
          <w:p w14:paraId="1A66AEC4" w14:textId="77777777" w:rsidR="002A21AE" w:rsidRDefault="002A21AE">
            <w:pPr>
              <w:pStyle w:val="TableText"/>
              <w:rPr>
                <w:b/>
              </w:rPr>
            </w:pPr>
            <w:r>
              <w:rPr>
                <w:b/>
              </w:rPr>
              <w:t>User Action</w:t>
            </w:r>
          </w:p>
        </w:tc>
        <w:tc>
          <w:tcPr>
            <w:tcW w:w="6120" w:type="dxa"/>
            <w:shd w:val="pct30" w:color="auto" w:fill="FFFFFF"/>
            <w:vAlign w:val="bottom"/>
          </w:tcPr>
          <w:p w14:paraId="704B46A7" w14:textId="77777777" w:rsidR="002A21AE" w:rsidRDefault="002A21AE">
            <w:pPr>
              <w:pStyle w:val="TableText"/>
              <w:rPr>
                <w:b/>
              </w:rPr>
            </w:pPr>
            <w:r>
              <w:rPr>
                <w:b/>
              </w:rPr>
              <w:t>VBECS</w:t>
            </w:r>
          </w:p>
        </w:tc>
      </w:tr>
      <w:tr w:rsidR="002A21AE" w14:paraId="5E49DBA9" w14:textId="77777777">
        <w:tc>
          <w:tcPr>
            <w:tcW w:w="3240" w:type="dxa"/>
            <w:tcBorders>
              <w:top w:val="single" w:sz="4" w:space="0" w:color="auto"/>
              <w:left w:val="single" w:sz="4" w:space="0" w:color="auto"/>
              <w:bottom w:val="single" w:sz="4" w:space="0" w:color="auto"/>
              <w:right w:val="single" w:sz="4" w:space="0" w:color="auto"/>
            </w:tcBorders>
          </w:tcPr>
          <w:p w14:paraId="13FDE885" w14:textId="77777777" w:rsidR="002A21AE" w:rsidRDefault="002A21AE">
            <w:pPr>
              <w:pStyle w:val="TableTextNumbers"/>
            </w:pPr>
            <w:r>
              <w:t xml:space="preserve">Select </w:t>
            </w:r>
            <w:r>
              <w:rPr>
                <w:b/>
              </w:rPr>
              <w:t>Reports</w:t>
            </w:r>
            <w:r>
              <w:t xml:space="preserve"> from the main menu.</w:t>
            </w:r>
          </w:p>
          <w:p w14:paraId="0ECE0166" w14:textId="77777777" w:rsidR="002A21AE" w:rsidRDefault="002A21AE">
            <w:pPr>
              <w:pStyle w:val="TableTextNumbersContinued"/>
            </w:pPr>
          </w:p>
          <w:p w14:paraId="101859AF" w14:textId="77777777" w:rsidR="002A21AE" w:rsidRDefault="002A21AE">
            <w:pPr>
              <w:pStyle w:val="TableTextNumbersContinued"/>
            </w:pPr>
            <w:r>
              <w:t xml:space="preserve">Select </w:t>
            </w:r>
            <w:r>
              <w:rPr>
                <w:b/>
              </w:rPr>
              <w:t>Division Transfusion Report</w:t>
            </w:r>
            <w:r>
              <w:t>.</w:t>
            </w:r>
          </w:p>
        </w:tc>
        <w:tc>
          <w:tcPr>
            <w:tcW w:w="6120" w:type="dxa"/>
            <w:tcBorders>
              <w:top w:val="single" w:sz="4" w:space="0" w:color="auto"/>
              <w:left w:val="single" w:sz="4" w:space="0" w:color="auto"/>
              <w:bottom w:val="single" w:sz="4" w:space="0" w:color="auto"/>
              <w:right w:val="single" w:sz="4" w:space="0" w:color="auto"/>
            </w:tcBorders>
          </w:tcPr>
          <w:p w14:paraId="113547D3" w14:textId="77777777" w:rsidR="002A21AE" w:rsidRDefault="002A21AE">
            <w:pPr>
              <w:pStyle w:val="TableTextBullet"/>
            </w:pPr>
            <w:r>
              <w:t>Lists report names.</w:t>
            </w:r>
          </w:p>
          <w:p w14:paraId="44111470" w14:textId="77777777" w:rsidR="002A21AE" w:rsidRDefault="002A21AE">
            <w:pPr>
              <w:pStyle w:val="TableTextBullet"/>
            </w:pPr>
            <w:r>
              <w:t>Displays fields for entering a report date range.</w:t>
            </w:r>
          </w:p>
        </w:tc>
      </w:tr>
      <w:tr w:rsidR="002A21AE" w14:paraId="5BD79351" w14:textId="77777777">
        <w:tc>
          <w:tcPr>
            <w:tcW w:w="3240" w:type="dxa"/>
          </w:tcPr>
          <w:p w14:paraId="527CCD77" w14:textId="77777777" w:rsidR="002A21AE" w:rsidRDefault="002A21AE">
            <w:pPr>
              <w:pStyle w:val="TableTextNumbers"/>
            </w:pPr>
            <w:r>
              <w:t xml:space="preserve">Enter or select start and end dates. </w:t>
            </w:r>
          </w:p>
          <w:p w14:paraId="18E33DBA" w14:textId="77777777" w:rsidR="002A21AE" w:rsidRDefault="002A21AE">
            <w:pPr>
              <w:pStyle w:val="TableTextNumbersContinued"/>
            </w:pPr>
          </w:p>
          <w:p w14:paraId="2F32D451" w14:textId="77777777" w:rsidR="002A21AE" w:rsidRDefault="002A21AE">
            <w:pPr>
              <w:pStyle w:val="TableTextNumbersContinued"/>
            </w:pPr>
            <w:r>
              <w:t xml:space="preserve">In the Report Type area, select the </w:t>
            </w:r>
            <w:r>
              <w:rPr>
                <w:b/>
              </w:rPr>
              <w:t>Issuing Physician Report</w:t>
            </w:r>
            <w:r>
              <w:t xml:space="preserve">, </w:t>
            </w:r>
            <w:r>
              <w:rPr>
                <w:b/>
              </w:rPr>
              <w:t>Treating Specialty Report</w:t>
            </w:r>
            <w:r>
              <w:t xml:space="preserve">, </w:t>
            </w:r>
            <w:r>
              <w:rPr>
                <w:b/>
              </w:rPr>
              <w:t xml:space="preserve">Issued-To Location Report </w:t>
            </w:r>
            <w:r w:rsidR="00057A94" w:rsidRPr="00057A94">
              <w:t>or</w:t>
            </w:r>
            <w:r w:rsidR="00057A94">
              <w:rPr>
                <w:b/>
              </w:rPr>
              <w:t xml:space="preserve"> Component Class Report </w:t>
            </w:r>
            <w:r w:rsidRPr="00BF2E41">
              <w:t>radio button</w:t>
            </w:r>
            <w:r>
              <w:t>.</w:t>
            </w:r>
          </w:p>
          <w:p w14:paraId="666838D3" w14:textId="77777777" w:rsidR="00057A94" w:rsidRDefault="00057A94">
            <w:pPr>
              <w:pStyle w:val="TableTextNumbersContinued"/>
            </w:pPr>
          </w:p>
          <w:p w14:paraId="60C3C6D6" w14:textId="55959D56" w:rsidR="00057A94" w:rsidRDefault="00057A94">
            <w:pPr>
              <w:pStyle w:val="TableTextNumbersContinued"/>
            </w:pPr>
            <w:r>
              <w:t>May select all or specific items to be included in the report.</w:t>
            </w:r>
          </w:p>
        </w:tc>
        <w:tc>
          <w:tcPr>
            <w:tcW w:w="6120" w:type="dxa"/>
          </w:tcPr>
          <w:p w14:paraId="51AFD768" w14:textId="4DD6FC01" w:rsidR="002A21AE" w:rsidRDefault="002A21AE">
            <w:pPr>
              <w:pStyle w:val="TableTextBullet"/>
            </w:pPr>
            <w:r>
              <w:rPr>
                <w:rFonts w:cs="Arial"/>
                <w:vanish/>
              </w:rPr>
              <w:t xml:space="preserve">BR_74.05 </w:t>
            </w:r>
            <w:r>
              <w:t>Allows the user to compile the report by issuing physician, by treating specialty, or by issued-to location</w:t>
            </w:r>
            <w:r w:rsidR="005F46D4">
              <w:t xml:space="preserve"> or component classes</w:t>
            </w:r>
            <w:r>
              <w:t>.</w:t>
            </w:r>
          </w:p>
          <w:p w14:paraId="502494C9" w14:textId="029707EF" w:rsidR="005F46D4" w:rsidRDefault="002A21AE" w:rsidP="005F46D4">
            <w:pPr>
              <w:pStyle w:val="TableTextBullet"/>
            </w:pPr>
            <w:r>
              <w:rPr>
                <w:rFonts w:cs="Arial"/>
                <w:vanish/>
              </w:rPr>
              <w:t xml:space="preserve">BR_74.06 </w:t>
            </w:r>
            <w:r>
              <w:t xml:space="preserve">Allows the user to include some or all </w:t>
            </w:r>
            <w:r w:rsidR="005F46D4">
              <w:t xml:space="preserve">issuing </w:t>
            </w:r>
            <w:r>
              <w:t>physicians, treating specialties, or issued-to locations</w:t>
            </w:r>
            <w:r w:rsidR="005F46D4">
              <w:t xml:space="preserve"> or component classes</w:t>
            </w:r>
            <w:r>
              <w:t>.</w:t>
            </w:r>
          </w:p>
          <w:p w14:paraId="77180628" w14:textId="3C3E57AB" w:rsidR="005F46D4" w:rsidRDefault="005F46D4" w:rsidP="005F46D4">
            <w:pPr>
              <w:pStyle w:val="TableTextBullet"/>
            </w:pPr>
            <w:r>
              <w:rPr>
                <w:rFonts w:cs="Arial"/>
              </w:rPr>
              <w:t>At the end, there is a summary table with tallies by Unit ABO/Rh and component class.</w:t>
            </w:r>
          </w:p>
          <w:p w14:paraId="0DBA6509" w14:textId="77777777" w:rsidR="002A21AE" w:rsidRDefault="002A21AE">
            <w:pPr>
              <w:pStyle w:val="TableText"/>
            </w:pPr>
          </w:p>
          <w:p w14:paraId="42C2CDA1" w14:textId="036FBEB2" w:rsidR="002A21AE" w:rsidRDefault="002A21AE">
            <w:pPr>
              <w:pStyle w:val="TableText"/>
              <w:rPr>
                <w:b/>
                <w:bCs/>
                <w:szCs w:val="18"/>
              </w:rPr>
            </w:pPr>
            <w:r>
              <w:rPr>
                <w:b/>
                <w:bCs/>
                <w:szCs w:val="18"/>
              </w:rPr>
              <w:t>NOTES</w:t>
            </w:r>
          </w:p>
          <w:p w14:paraId="6A474558" w14:textId="77777777" w:rsidR="00DA42F6" w:rsidRDefault="00DA42F6">
            <w:pPr>
              <w:pStyle w:val="NotesText"/>
            </w:pPr>
          </w:p>
          <w:p w14:paraId="25A23BA9" w14:textId="43B4CEA4" w:rsidR="002A21AE" w:rsidRDefault="00DA42F6" w:rsidP="00DA42F6">
            <w:pPr>
              <w:pStyle w:val="NotesText"/>
            </w:pPr>
            <w:r w:rsidRPr="00DA42F6">
              <w:rPr>
                <w:vanish/>
              </w:rPr>
              <w:t xml:space="preserve">BR_74.08 </w:t>
            </w:r>
            <w:r>
              <w:t>The user has the option to create the report by component class and to select some or all of the component classes for inclusion. The list includes all VBECS component classes.</w:t>
            </w:r>
          </w:p>
        </w:tc>
      </w:tr>
      <w:tr w:rsidR="002A21AE" w14:paraId="5F3D4CFE" w14:textId="77777777" w:rsidTr="00E35FC4">
        <w:trPr>
          <w:cantSplit/>
        </w:trPr>
        <w:tc>
          <w:tcPr>
            <w:tcW w:w="3240" w:type="dxa"/>
          </w:tcPr>
          <w:p w14:paraId="783B6ADB" w14:textId="77777777" w:rsidR="002A21AE" w:rsidRDefault="006738EE">
            <w:pPr>
              <w:pStyle w:val="TableTextNumbers"/>
            </w:pPr>
            <w:r>
              <w:lastRenderedPageBreak/>
              <w:t xml:space="preserve">In the </w:t>
            </w:r>
            <w:r w:rsidRPr="006738EE">
              <w:t>Report Compilation</w:t>
            </w:r>
            <w:r>
              <w:t xml:space="preserve"> area, click the </w:t>
            </w:r>
            <w:r w:rsidRPr="006738EE">
              <w:rPr>
                <w:b/>
              </w:rPr>
              <w:t>Create Report Now</w:t>
            </w:r>
            <w:r>
              <w:t xml:space="preserve"> radio button. Click </w:t>
            </w:r>
            <w:r w:rsidRPr="006738EE">
              <w:rPr>
                <w:b/>
              </w:rPr>
              <w:t>OK</w:t>
            </w:r>
            <w:r>
              <w:t xml:space="preserve"> to review the report, or</w:t>
            </w:r>
          </w:p>
          <w:p w14:paraId="1A7F4AFF" w14:textId="77777777" w:rsidR="006738EE" w:rsidRDefault="006738EE" w:rsidP="006738EE">
            <w:pPr>
              <w:pStyle w:val="TableTextNumbers"/>
              <w:numPr>
                <w:ilvl w:val="0"/>
                <w:numId w:val="0"/>
              </w:numPr>
              <w:ind w:left="288" w:hanging="288"/>
            </w:pPr>
          </w:p>
          <w:p w14:paraId="206CE0CB" w14:textId="77777777" w:rsidR="006738EE" w:rsidRDefault="006738EE" w:rsidP="006738EE">
            <w:pPr>
              <w:pStyle w:val="TableTextNumbers"/>
              <w:numPr>
                <w:ilvl w:val="0"/>
                <w:numId w:val="0"/>
              </w:numPr>
              <w:ind w:left="270" w:firstLine="18"/>
            </w:pPr>
            <w:r>
              <w:t xml:space="preserve">Click the </w:t>
            </w:r>
            <w:r w:rsidRPr="006738EE">
              <w:rPr>
                <w:b/>
              </w:rPr>
              <w:t xml:space="preserve">Schedule Print Job </w:t>
            </w:r>
            <w:r w:rsidRPr="009554A6">
              <w:t xml:space="preserve">radio button </w:t>
            </w:r>
            <w:r>
              <w:t xml:space="preserve">and </w:t>
            </w:r>
            <w:r w:rsidRPr="006738EE">
              <w:rPr>
                <w:b/>
              </w:rPr>
              <w:t>OK</w:t>
            </w:r>
            <w:r>
              <w:t xml:space="preserve">, then enter or select a print date and printer name. Click </w:t>
            </w:r>
            <w:r w:rsidRPr="006738EE">
              <w:rPr>
                <w:b/>
              </w:rPr>
              <w:t>OK</w:t>
            </w:r>
            <w:r>
              <w:t xml:space="preserve"> to view and print the report.</w:t>
            </w:r>
          </w:p>
        </w:tc>
        <w:tc>
          <w:tcPr>
            <w:tcW w:w="6120" w:type="dxa"/>
          </w:tcPr>
          <w:p w14:paraId="0BF8A284" w14:textId="77777777" w:rsidR="002A21AE" w:rsidRDefault="002A21AE">
            <w:pPr>
              <w:pStyle w:val="TableTextBullet"/>
            </w:pPr>
            <w:r>
              <w:t>Compiles and displays the report.</w:t>
            </w:r>
          </w:p>
          <w:p w14:paraId="5C7F6277" w14:textId="77777777" w:rsidR="002A21AE" w:rsidRDefault="002A21AE">
            <w:pPr>
              <w:pStyle w:val="TableText"/>
            </w:pPr>
          </w:p>
          <w:p w14:paraId="1DF15822" w14:textId="70F366BD" w:rsidR="002A21AE" w:rsidRDefault="002A21AE">
            <w:pPr>
              <w:pStyle w:val="TableText"/>
              <w:rPr>
                <w:b/>
                <w:bCs/>
                <w:szCs w:val="18"/>
              </w:rPr>
            </w:pPr>
            <w:r>
              <w:rPr>
                <w:b/>
                <w:bCs/>
                <w:szCs w:val="18"/>
              </w:rPr>
              <w:t>NOTES</w:t>
            </w:r>
          </w:p>
          <w:p w14:paraId="4ECECF37" w14:textId="77777777" w:rsidR="002A21AE" w:rsidRDefault="002A21AE">
            <w:pPr>
              <w:pStyle w:val="NotesText"/>
            </w:pPr>
          </w:p>
          <w:p w14:paraId="6EF05A07" w14:textId="77777777" w:rsidR="002A21AE" w:rsidRDefault="002A21AE">
            <w:pPr>
              <w:pStyle w:val="NotesText"/>
            </w:pPr>
            <w:r>
              <w:rPr>
                <w:rFonts w:cs="Arial"/>
                <w:vanish/>
              </w:rPr>
              <w:t xml:space="preserve">BR_74.03 </w:t>
            </w:r>
            <w:r>
              <w:t>The report displays tallies of units transfused by component class within the date range, by:</w:t>
            </w:r>
          </w:p>
          <w:p w14:paraId="15BAB1B6" w14:textId="77777777" w:rsidR="002A21AE" w:rsidRDefault="002A21AE">
            <w:pPr>
              <w:pStyle w:val="NotesTextBullet"/>
            </w:pPr>
            <w:r>
              <w:t>Physician name</w:t>
            </w:r>
          </w:p>
          <w:p w14:paraId="36404DA3" w14:textId="77777777" w:rsidR="002A21AE" w:rsidRDefault="002A21AE">
            <w:pPr>
              <w:pStyle w:val="NotesTextBullet"/>
            </w:pPr>
            <w:r>
              <w:t>Treating specialty</w:t>
            </w:r>
          </w:p>
          <w:p w14:paraId="5BEF3ABC" w14:textId="1B706107" w:rsidR="002A21AE" w:rsidRDefault="002A21AE">
            <w:pPr>
              <w:pStyle w:val="NotesTextBullet"/>
            </w:pPr>
            <w:r>
              <w:t>Issued-to location</w:t>
            </w:r>
          </w:p>
          <w:p w14:paraId="739180ED" w14:textId="00AAEB75" w:rsidR="002A21AE" w:rsidRDefault="00EA021C" w:rsidP="00EA021C">
            <w:pPr>
              <w:pStyle w:val="NotesTextBullet"/>
            </w:pPr>
            <w:r>
              <w:t>Component class</w:t>
            </w:r>
          </w:p>
          <w:p w14:paraId="38179489" w14:textId="77777777" w:rsidR="00EA021C" w:rsidRPr="00EA021C" w:rsidRDefault="00EA021C" w:rsidP="00EA021C">
            <w:pPr>
              <w:pStyle w:val="NotesTextBullet"/>
              <w:numPr>
                <w:ilvl w:val="0"/>
                <w:numId w:val="0"/>
              </w:numPr>
              <w:ind w:left="720"/>
            </w:pPr>
          </w:p>
          <w:p w14:paraId="300BFB9C" w14:textId="77777777" w:rsidR="002A21AE" w:rsidRDefault="002A21AE">
            <w:pPr>
              <w:pStyle w:val="NotesText"/>
            </w:pPr>
          </w:p>
          <w:p w14:paraId="56C05EB8" w14:textId="77777777" w:rsidR="002A21AE" w:rsidRDefault="002A21AE">
            <w:pPr>
              <w:pStyle w:val="NotesText"/>
            </w:pPr>
            <w:r>
              <w:rPr>
                <w:rFonts w:cs="Arial"/>
                <w:vanish/>
              </w:rPr>
              <w:t xml:space="preserve">BR_74.04 </w:t>
            </w:r>
            <w:r>
              <w:t>Reports include:</w:t>
            </w:r>
          </w:p>
          <w:p w14:paraId="2CFEAAE3" w14:textId="77777777" w:rsidR="002A21AE" w:rsidRDefault="002A21AE">
            <w:pPr>
              <w:pStyle w:val="NotesTextBullet"/>
            </w:pPr>
            <w:r>
              <w:t>Patient name</w:t>
            </w:r>
          </w:p>
          <w:p w14:paraId="40EE8B79" w14:textId="77777777" w:rsidR="002A21AE" w:rsidRDefault="002A21AE">
            <w:pPr>
              <w:pStyle w:val="NotesTextBullet"/>
            </w:pPr>
            <w:r>
              <w:t>Patient ID</w:t>
            </w:r>
          </w:p>
          <w:p w14:paraId="1A6985F7" w14:textId="77777777" w:rsidR="002A21AE" w:rsidRDefault="002A21AE">
            <w:pPr>
              <w:pStyle w:val="NotesTextBullet"/>
            </w:pPr>
            <w:r>
              <w:t>Unit ID</w:t>
            </w:r>
          </w:p>
          <w:p w14:paraId="5D450283" w14:textId="597DEF0B" w:rsidR="002A21AE" w:rsidRDefault="002A21AE">
            <w:pPr>
              <w:pStyle w:val="NotesTextBullet"/>
            </w:pPr>
            <w:r>
              <w:t>Product short name</w:t>
            </w:r>
            <w:r w:rsidR="0060023C">
              <w:t xml:space="preserve"> and product code</w:t>
            </w:r>
          </w:p>
          <w:p w14:paraId="3B7E34C1" w14:textId="4F486591" w:rsidR="002A21AE" w:rsidRDefault="002A21AE">
            <w:pPr>
              <w:pStyle w:val="NotesTextBullet"/>
            </w:pPr>
            <w:r>
              <w:t>If pooled, number of participants in pool</w:t>
            </w:r>
          </w:p>
          <w:p w14:paraId="276D4D16" w14:textId="188A6F37" w:rsidR="0060023C" w:rsidRDefault="0060023C">
            <w:pPr>
              <w:pStyle w:val="NotesTextBullet"/>
            </w:pPr>
            <w:r>
              <w:t>Unit ABO/Rh</w:t>
            </w:r>
          </w:p>
          <w:p w14:paraId="73BAAFCB" w14:textId="77777777" w:rsidR="002A21AE" w:rsidRDefault="002A21AE">
            <w:pPr>
              <w:pStyle w:val="NotesTextBullet"/>
            </w:pPr>
            <w:r>
              <w:t>Date and time Issued</w:t>
            </w:r>
          </w:p>
          <w:p w14:paraId="5BF6FD39" w14:textId="77777777" w:rsidR="002A21AE" w:rsidRDefault="002A21AE">
            <w:pPr>
              <w:pStyle w:val="NotesTextBullet"/>
            </w:pPr>
            <w:r>
              <w:t>Issued-to location</w:t>
            </w:r>
          </w:p>
          <w:p w14:paraId="2D5D64ED" w14:textId="77777777" w:rsidR="002A21AE" w:rsidRDefault="002A21AE">
            <w:pPr>
              <w:pStyle w:val="NotesTextBullet"/>
            </w:pPr>
            <w:r>
              <w:t>Physician</w:t>
            </w:r>
          </w:p>
          <w:p w14:paraId="72F59D2E" w14:textId="77777777" w:rsidR="002A21AE" w:rsidRDefault="002A21AE">
            <w:pPr>
              <w:pStyle w:val="NotesTextBullet"/>
            </w:pPr>
            <w:r>
              <w:t>Treating specialty</w:t>
            </w:r>
          </w:p>
          <w:p w14:paraId="539BD9AF" w14:textId="77777777" w:rsidR="002A21AE" w:rsidRDefault="002A21AE">
            <w:pPr>
              <w:pStyle w:val="NotesTextBullet"/>
            </w:pPr>
            <w:r>
              <w:t>Transfused or presumed transfused indicator, if present</w:t>
            </w:r>
          </w:p>
          <w:p w14:paraId="1CFADEAD" w14:textId="77777777" w:rsidR="00801D1F" w:rsidRPr="00AA2B2E" w:rsidRDefault="002A21AE" w:rsidP="00AA2B2E">
            <w:pPr>
              <w:pStyle w:val="NotesTextBullet"/>
              <w:rPr>
                <w:rFonts w:cs="Arial"/>
              </w:rPr>
            </w:pPr>
            <w:r>
              <w:t>Transfusion comments, if any</w:t>
            </w:r>
          </w:p>
        </w:tc>
      </w:tr>
      <w:tr w:rsidR="002A21AE" w14:paraId="11415545" w14:textId="77777777">
        <w:tc>
          <w:tcPr>
            <w:tcW w:w="3240" w:type="dxa"/>
          </w:tcPr>
          <w:p w14:paraId="4DBF8450" w14:textId="529C28D0" w:rsidR="002A21AE" w:rsidRDefault="005C22EF">
            <w:pPr>
              <w:pStyle w:val="TableTextNumbers"/>
            </w:pPr>
            <w:r w:rsidRPr="0076371D">
              <w:t xml:space="preserve">Select </w:t>
            </w:r>
            <w:r w:rsidRPr="0076371D">
              <w:rPr>
                <w:b/>
              </w:rPr>
              <w:t xml:space="preserve">Print </w:t>
            </w:r>
            <w:r w:rsidRPr="0076371D">
              <w:t>to print the repor</w:t>
            </w:r>
            <w:r>
              <w:t>t</w:t>
            </w:r>
            <w:r w:rsidRPr="0076371D">
              <w:t xml:space="preserve">, </w:t>
            </w:r>
            <w:r w:rsidRPr="0076371D">
              <w:rPr>
                <w:b/>
              </w:rPr>
              <w:t>Export</w:t>
            </w:r>
            <w:r w:rsidRPr="0076371D">
              <w:t xml:space="preserve"> </w:t>
            </w:r>
            <w:r>
              <w:t xml:space="preserve">to export the report </w:t>
            </w:r>
            <w:r w:rsidRPr="0076371D">
              <w:rPr>
                <w:szCs w:val="18"/>
              </w:rPr>
              <w:t xml:space="preserve">(See </w:t>
            </w:r>
            <w:r w:rsidR="00EE455E" w:rsidRPr="00EE455E">
              <w:rPr>
                <w:szCs w:val="18"/>
              </w:rPr>
              <w:t>Report Export</w:t>
            </w:r>
            <w:r>
              <w:rPr>
                <w:szCs w:val="18"/>
              </w:rPr>
              <w:t xml:space="preserve"> section</w:t>
            </w:r>
            <w:r w:rsidRPr="0076371D">
              <w:rPr>
                <w:szCs w:val="18"/>
              </w:rPr>
              <w:t>)</w:t>
            </w:r>
            <w:r>
              <w:t xml:space="preserve">, </w:t>
            </w:r>
            <w:r>
              <w:rPr>
                <w:szCs w:val="18"/>
              </w:rPr>
              <w:t xml:space="preserve">or </w:t>
            </w:r>
            <w:r w:rsidRPr="0076371D">
              <w:t xml:space="preserve">click </w:t>
            </w:r>
            <w:r w:rsidRPr="0076371D">
              <w:rPr>
                <w:b/>
              </w:rPr>
              <w:t>Close</w:t>
            </w:r>
            <w:r w:rsidRPr="0076371D">
              <w:t xml:space="preserve"> to exit</w:t>
            </w:r>
            <w:r>
              <w:t xml:space="preserve"> without printing</w:t>
            </w:r>
            <w:r w:rsidR="000C11EC">
              <w:rPr>
                <w:rStyle w:val="StyleTableTextNumbersWhite1Char"/>
              </w:rPr>
              <w:t>.</w:t>
            </w:r>
          </w:p>
        </w:tc>
        <w:tc>
          <w:tcPr>
            <w:tcW w:w="6120" w:type="dxa"/>
          </w:tcPr>
          <w:p w14:paraId="000BEBD0" w14:textId="77777777" w:rsidR="005C22EF" w:rsidRDefault="005C22EF" w:rsidP="005C22EF">
            <w:pPr>
              <w:pStyle w:val="TableTextBullet"/>
            </w:pPr>
            <w:r>
              <w:t>If Print is selected, prints the report on the designated printer.</w:t>
            </w:r>
          </w:p>
          <w:p w14:paraId="6462363E" w14:textId="77777777" w:rsidR="005C22EF" w:rsidRDefault="005C22EF" w:rsidP="005C22EF">
            <w:pPr>
              <w:pStyle w:val="TableTextBullet"/>
            </w:pPr>
            <w:r>
              <w:t>If Export is selected, exports the report to the designated file.</w:t>
            </w:r>
          </w:p>
          <w:p w14:paraId="4743DB50" w14:textId="26C7E4C2" w:rsidR="002A21AE" w:rsidRDefault="005C22EF" w:rsidP="005C22EF">
            <w:pPr>
              <w:pStyle w:val="TableTextBullet"/>
            </w:pPr>
            <w:r>
              <w:t>If Close is selected, exits the report preview.</w:t>
            </w:r>
          </w:p>
        </w:tc>
      </w:tr>
    </w:tbl>
    <w:p w14:paraId="13B24685" w14:textId="77777777" w:rsidR="008C5564" w:rsidRDefault="00F55832" w:rsidP="008C5564">
      <w:pPr>
        <w:pStyle w:val="Heading2"/>
      </w:pPr>
      <w:r>
        <w:br w:type="page"/>
      </w:r>
      <w:bookmarkStart w:id="630" w:name="_Toc203765949"/>
      <w:r w:rsidR="008C5564">
        <w:lastRenderedPageBreak/>
        <w:t>Division Workload Report</w:t>
      </w:r>
      <w:bookmarkEnd w:id="630"/>
      <w:r w:rsidR="008C5564">
        <w:fldChar w:fldCharType="begin"/>
      </w:r>
      <w:r w:rsidR="008C5564">
        <w:instrText xml:space="preserve"> XE </w:instrText>
      </w:r>
      <w:r w:rsidR="00FA7E65">
        <w:instrText>“</w:instrText>
      </w:r>
      <w:r w:rsidR="008C5564">
        <w:instrText>Division Workload Report</w:instrText>
      </w:r>
      <w:r w:rsidR="00FA7E65">
        <w:instrText>”</w:instrText>
      </w:r>
      <w:r w:rsidR="008C5564">
        <w:instrText xml:space="preserve"> </w:instrText>
      </w:r>
      <w:r w:rsidR="008C5564">
        <w:fldChar w:fldCharType="end"/>
      </w:r>
      <w:r w:rsidR="008C5564">
        <w:t xml:space="preserve"> </w:t>
      </w:r>
      <w:r w:rsidR="008C5564">
        <w:rPr>
          <w:vanish/>
        </w:rPr>
        <w:t>UC_79</w:t>
      </w:r>
    </w:p>
    <w:p w14:paraId="39482419" w14:textId="77777777" w:rsidR="008C5564" w:rsidRDefault="008C5564" w:rsidP="00FA7E65">
      <w:pPr>
        <w:pStyle w:val="BodyText"/>
      </w:pPr>
      <w:r>
        <w:t xml:space="preserve">The user views </w:t>
      </w:r>
      <w:r w:rsidR="00EB1E5A">
        <w:t xml:space="preserve">and/or </w:t>
      </w:r>
      <w:r>
        <w:t>prints a workload report.</w:t>
      </w:r>
    </w:p>
    <w:p w14:paraId="1F9DAD5F" w14:textId="77777777" w:rsidR="008C5564" w:rsidRDefault="008C5564" w:rsidP="008C5564">
      <w:pPr>
        <w:pStyle w:val="Heading4"/>
      </w:pPr>
      <w:r>
        <w:t>Assumptions</w:t>
      </w:r>
      <w:r>
        <w:rPr>
          <w:b w:val="0"/>
        </w:rPr>
        <w:t xml:space="preserve"> </w:t>
      </w:r>
    </w:p>
    <w:p w14:paraId="7F10EAA0" w14:textId="77777777" w:rsidR="008C5564" w:rsidRDefault="00CA6E27" w:rsidP="008C5564">
      <w:pPr>
        <w:pStyle w:val="ListBullet"/>
        <w:rPr>
          <w:b/>
        </w:rPr>
      </w:pPr>
      <w:r w:rsidRPr="00CA6E27">
        <w:rPr>
          <w:bCs/>
        </w:rPr>
        <w:t>VistA</w:t>
      </w:r>
      <w:r w:rsidR="008C5564">
        <w:t xml:space="preserve"> workload codes were assigned to VBECS processes through Workload Codes.</w:t>
      </w:r>
    </w:p>
    <w:p w14:paraId="47060984" w14:textId="77777777" w:rsidR="008C5564" w:rsidRDefault="008C5564" w:rsidP="008C5564">
      <w:pPr>
        <w:pStyle w:val="ListBullet"/>
      </w:pPr>
      <w:r>
        <w:t xml:space="preserve">Data for the report were saved in VBECS. </w:t>
      </w:r>
    </w:p>
    <w:p w14:paraId="4DA7DD80" w14:textId="77777777" w:rsidR="008C5564" w:rsidRDefault="008C5564" w:rsidP="008C5564">
      <w:pPr>
        <w:pStyle w:val="Heading4"/>
      </w:pPr>
      <w:r>
        <w:t xml:space="preserve">Outcome </w:t>
      </w:r>
    </w:p>
    <w:p w14:paraId="3BE95B74" w14:textId="77777777" w:rsidR="008C5564" w:rsidRDefault="00AE521B" w:rsidP="008C5564">
      <w:pPr>
        <w:pStyle w:val="ListBullet"/>
      </w:pPr>
      <w:r>
        <w:t>The user views and/or prints the report</w:t>
      </w:r>
      <w:r w:rsidR="008C5564">
        <w:t>.</w:t>
      </w:r>
    </w:p>
    <w:p w14:paraId="026656D3" w14:textId="77777777" w:rsidR="008C5564" w:rsidRDefault="008C5564" w:rsidP="008C5564">
      <w:pPr>
        <w:pStyle w:val="Heading4"/>
        <w:rPr>
          <w:b w:val="0"/>
        </w:rPr>
      </w:pPr>
      <w:r>
        <w:t>Limitations and Restrictions</w:t>
      </w:r>
      <w:r>
        <w:rPr>
          <w:b w:val="0"/>
        </w:rPr>
        <w:t xml:space="preserve"> </w:t>
      </w:r>
    </w:p>
    <w:p w14:paraId="2B1D7C6C" w14:textId="6E88B699" w:rsidR="008C5564" w:rsidRDefault="00B413D4" w:rsidP="008C5564">
      <w:pPr>
        <w:pStyle w:val="ListBullet"/>
      </w:pPr>
      <w:r>
        <w:t xml:space="preserve">A report printed with an end date of today or greater does not print “Preliminary” in the header. Check the subsequent pages of the report and write “PRELIMINARY” on the front page of the report prior to filing. The information included in the report is accurate to the time printed. There is a possibility of a gap of information should the user not overlap the print requests. Generally, this report is printed for the day prior or a time period that does not include the current day. </w:t>
      </w:r>
      <w:r w:rsidRPr="00B413D4">
        <w:rPr>
          <w:vanish/>
        </w:rPr>
        <w:t>Defect 213101</w:t>
      </w:r>
    </w:p>
    <w:p w14:paraId="253B15AD" w14:textId="77777777" w:rsidR="008C5564" w:rsidRDefault="008C5564" w:rsidP="008C5564">
      <w:pPr>
        <w:pStyle w:val="Heading4"/>
      </w:pPr>
      <w:r>
        <w:t xml:space="preserve">Additional Information </w:t>
      </w:r>
    </w:p>
    <w:p w14:paraId="66BB618A" w14:textId="21D0F74B" w:rsidR="00991CFE" w:rsidRDefault="00991CFE" w:rsidP="00991CFE">
      <w:pPr>
        <w:pStyle w:val="ListBullet"/>
      </w:pPr>
      <w:r>
        <w:t>The report is available as a single-division or multidivisional (all divisions) report.</w:t>
      </w:r>
    </w:p>
    <w:p w14:paraId="68ABCC50" w14:textId="6013E7E3" w:rsidR="00C17377" w:rsidRDefault="00C17377" w:rsidP="00C17377">
      <w:pPr>
        <w:pStyle w:val="ListBullet"/>
      </w:pPr>
      <w:r>
        <w:t>The r</w:t>
      </w:r>
      <w:r w:rsidRPr="00C17377">
        <w:t>eport will not print as “Preliminary” when the report contains the current day in the range of data requested.</w:t>
      </w:r>
      <w:r w:rsidR="00244AD3">
        <w:t xml:space="preserve"> </w:t>
      </w:r>
      <w:r w:rsidR="00244AD3" w:rsidRPr="00244AD3">
        <w:rPr>
          <w:vanish/>
        </w:rPr>
        <w:t>Defect 209080</w:t>
      </w:r>
    </w:p>
    <w:p w14:paraId="3D99E737" w14:textId="77777777" w:rsidR="008C5564" w:rsidRDefault="008C5564" w:rsidP="008C5564">
      <w:pPr>
        <w:pStyle w:val="Heading4"/>
      </w:pPr>
      <w:r>
        <w:t>User Roles with Access to This Option</w:t>
      </w:r>
    </w:p>
    <w:p w14:paraId="5447FB07" w14:textId="77777777" w:rsidR="008C5564" w:rsidRDefault="00606FB0" w:rsidP="008C5564">
      <w:pPr>
        <w:pStyle w:val="Roles"/>
      </w:pPr>
      <w:r>
        <w:t>All users</w:t>
      </w:r>
    </w:p>
    <w:p w14:paraId="68761169" w14:textId="77777777" w:rsidR="008C5564" w:rsidRDefault="008C5564" w:rsidP="008C5564">
      <w:pPr>
        <w:pStyle w:val="Heading4"/>
      </w:pPr>
      <w:r>
        <w:t>Division Workload Report</w:t>
      </w:r>
      <w:r>
        <w:rPr>
          <w:rStyle w:val="CommentReference"/>
          <w:rFonts w:ascii="Times New Roman" w:hAnsi="Times New Roman"/>
          <w:b w:val="0"/>
          <w:bCs/>
          <w:vanish/>
        </w:rPr>
        <w:t xml:space="preserve"> </w:t>
      </w:r>
    </w:p>
    <w:p w14:paraId="1486C921" w14:textId="77777777" w:rsidR="008C5564" w:rsidRDefault="008C5564" w:rsidP="00FA7E65">
      <w:pPr>
        <w:pStyle w:val="BodyText"/>
      </w:pPr>
      <w:r>
        <w:t xml:space="preserve">The user views </w:t>
      </w:r>
      <w:r w:rsidR="00EB1E5A">
        <w:t xml:space="preserve">and/or </w:t>
      </w:r>
      <w:r w:rsidR="00DC3B23">
        <w:t>prints</w:t>
      </w:r>
      <w:r>
        <w:t xml:space="preserve"> a workload report</w:t>
      </w:r>
      <w:r w:rsidR="00DC3B23">
        <w:t xml:space="preserve">, which includes totals of workload types, for one or </w:t>
      </w:r>
      <w:r w:rsidR="00DD0E58">
        <w:t>all</w:t>
      </w:r>
      <w:r w:rsidR="00DC3B23">
        <w:t xml:space="preserve"> divisions</w:t>
      </w:r>
      <w:r>
        <w: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8C5564" w14:paraId="19499B27" w14:textId="77777777">
        <w:trPr>
          <w:cantSplit/>
          <w:tblHeader/>
        </w:trPr>
        <w:tc>
          <w:tcPr>
            <w:tcW w:w="3240" w:type="dxa"/>
            <w:shd w:val="pct30" w:color="auto" w:fill="FFFFFF"/>
            <w:vAlign w:val="bottom"/>
          </w:tcPr>
          <w:p w14:paraId="11DEC49E" w14:textId="77777777" w:rsidR="008C5564" w:rsidRDefault="008C5564" w:rsidP="008C5564">
            <w:pPr>
              <w:pStyle w:val="TableText"/>
              <w:rPr>
                <w:b/>
              </w:rPr>
            </w:pPr>
            <w:r>
              <w:rPr>
                <w:b/>
              </w:rPr>
              <w:t>User Action</w:t>
            </w:r>
          </w:p>
        </w:tc>
        <w:tc>
          <w:tcPr>
            <w:tcW w:w="6120" w:type="dxa"/>
            <w:shd w:val="pct30" w:color="auto" w:fill="FFFFFF"/>
            <w:vAlign w:val="bottom"/>
          </w:tcPr>
          <w:p w14:paraId="2A299BC5" w14:textId="77777777" w:rsidR="008C5564" w:rsidRDefault="008C5564" w:rsidP="008C5564">
            <w:pPr>
              <w:pStyle w:val="TableText"/>
              <w:rPr>
                <w:b/>
              </w:rPr>
            </w:pPr>
            <w:r>
              <w:rPr>
                <w:b/>
              </w:rPr>
              <w:t>VBECS</w:t>
            </w:r>
          </w:p>
        </w:tc>
      </w:tr>
      <w:tr w:rsidR="008C5564" w14:paraId="2B10FAB3" w14:textId="77777777">
        <w:tc>
          <w:tcPr>
            <w:tcW w:w="3240" w:type="dxa"/>
          </w:tcPr>
          <w:p w14:paraId="37D1DEB1" w14:textId="77777777" w:rsidR="008C5564" w:rsidRDefault="008C5564" w:rsidP="008C5564">
            <w:pPr>
              <w:pStyle w:val="TableTextNumbers"/>
            </w:pPr>
            <w:r>
              <w:t xml:space="preserve">Select </w:t>
            </w:r>
            <w:r>
              <w:rPr>
                <w:b/>
              </w:rPr>
              <w:t>Reports</w:t>
            </w:r>
            <w:r>
              <w:t xml:space="preserve"> from the main menu.</w:t>
            </w:r>
          </w:p>
          <w:p w14:paraId="0958F6A2" w14:textId="77777777" w:rsidR="008C5564" w:rsidRDefault="008C5564" w:rsidP="008C5564">
            <w:pPr>
              <w:pStyle w:val="TableTextNumbersContinued"/>
            </w:pPr>
          </w:p>
          <w:p w14:paraId="34FA5F85" w14:textId="77777777" w:rsidR="008C5564" w:rsidRDefault="008C5564" w:rsidP="008C5564">
            <w:pPr>
              <w:pStyle w:val="TableTextNumbersContinued"/>
            </w:pPr>
            <w:r>
              <w:t xml:space="preserve">Select </w:t>
            </w:r>
            <w:r>
              <w:rPr>
                <w:b/>
              </w:rPr>
              <w:t>Division Workload Report</w:t>
            </w:r>
            <w:r>
              <w:t>.</w:t>
            </w:r>
          </w:p>
        </w:tc>
        <w:tc>
          <w:tcPr>
            <w:tcW w:w="6120" w:type="dxa"/>
          </w:tcPr>
          <w:p w14:paraId="042F53C7" w14:textId="77777777" w:rsidR="008C5564" w:rsidRDefault="008C5564" w:rsidP="008C5564">
            <w:pPr>
              <w:pStyle w:val="TableTextBullet"/>
            </w:pPr>
            <w:r>
              <w:t>Lists report names.</w:t>
            </w:r>
          </w:p>
          <w:p w14:paraId="26ADA055" w14:textId="77777777" w:rsidR="008C5564" w:rsidRDefault="008C5564" w:rsidP="008C5564">
            <w:pPr>
              <w:pStyle w:val="TableTextBullet"/>
            </w:pPr>
            <w:r>
              <w:t xml:space="preserve">Displays report division and compilation criteria. </w:t>
            </w:r>
          </w:p>
          <w:p w14:paraId="6DECA8B4" w14:textId="77777777" w:rsidR="008C5564" w:rsidRDefault="008C5564" w:rsidP="008C5564">
            <w:pPr>
              <w:pStyle w:val="TableTextBullet"/>
            </w:pPr>
            <w:r>
              <w:t>Displays a date range for selection.</w:t>
            </w:r>
          </w:p>
        </w:tc>
      </w:tr>
      <w:tr w:rsidR="008C5564" w14:paraId="0159AE0D" w14:textId="77777777">
        <w:tc>
          <w:tcPr>
            <w:tcW w:w="3240" w:type="dxa"/>
          </w:tcPr>
          <w:p w14:paraId="456E81DD" w14:textId="77777777" w:rsidR="008C5564" w:rsidRDefault="008C5564" w:rsidP="008C5564">
            <w:pPr>
              <w:pStyle w:val="TableTextNumbers"/>
            </w:pPr>
            <w:r>
              <w:t xml:space="preserve">Click the </w:t>
            </w:r>
            <w:r>
              <w:rPr>
                <w:b/>
              </w:rPr>
              <w:t xml:space="preserve">Current Divisions </w:t>
            </w:r>
            <w:r>
              <w:t>or</w:t>
            </w:r>
            <w:r>
              <w:rPr>
                <w:b/>
              </w:rPr>
              <w:t xml:space="preserve"> All Divisions </w:t>
            </w:r>
            <w:r w:rsidRPr="00BF2E41">
              <w:t>radio button</w:t>
            </w:r>
            <w:r>
              <w:t>.</w:t>
            </w:r>
          </w:p>
        </w:tc>
        <w:tc>
          <w:tcPr>
            <w:tcW w:w="6120" w:type="dxa"/>
          </w:tcPr>
          <w:p w14:paraId="3B78D726" w14:textId="77777777" w:rsidR="008C5564" w:rsidRDefault="008C5564" w:rsidP="008C5564">
            <w:pPr>
              <w:pStyle w:val="TableTextBullet"/>
            </w:pPr>
            <w:r>
              <w:t>Allows the user to select one or all divisions.</w:t>
            </w:r>
          </w:p>
          <w:p w14:paraId="25E29ACF" w14:textId="77777777" w:rsidR="008C5564" w:rsidRDefault="008C5564" w:rsidP="008C5564">
            <w:pPr>
              <w:pStyle w:val="TableTextBullet"/>
            </w:pPr>
            <w:r>
              <w:t>Displays a date range for selection.</w:t>
            </w:r>
          </w:p>
        </w:tc>
      </w:tr>
      <w:tr w:rsidR="008C5564" w14:paraId="4989814E" w14:textId="77777777">
        <w:tc>
          <w:tcPr>
            <w:tcW w:w="3240" w:type="dxa"/>
          </w:tcPr>
          <w:p w14:paraId="6876DAB3" w14:textId="77777777" w:rsidR="008C5564" w:rsidRDefault="008C5564" w:rsidP="008C5564">
            <w:pPr>
              <w:pStyle w:val="TableTextNumbers"/>
            </w:pPr>
            <w:r>
              <w:t>Enter or select start and end dates.</w:t>
            </w:r>
          </w:p>
        </w:tc>
        <w:tc>
          <w:tcPr>
            <w:tcW w:w="6120" w:type="dxa"/>
          </w:tcPr>
          <w:p w14:paraId="32B0E4CA" w14:textId="77777777" w:rsidR="008C5564" w:rsidRDefault="008C5564" w:rsidP="008C5564">
            <w:pPr>
              <w:pStyle w:val="TableTextBullet"/>
            </w:pPr>
            <w:r>
              <w:t>Compiles and displays the report.</w:t>
            </w:r>
          </w:p>
          <w:p w14:paraId="4745DD91" w14:textId="77777777" w:rsidR="008C5564" w:rsidRDefault="008C5564" w:rsidP="008C5564">
            <w:pPr>
              <w:pStyle w:val="TableTextBullet"/>
            </w:pPr>
            <w:r>
              <w:t>Allows the user to print the report.</w:t>
            </w:r>
          </w:p>
          <w:p w14:paraId="5E51E8C1" w14:textId="77777777" w:rsidR="008C5564" w:rsidRDefault="008C5564" w:rsidP="008C5564">
            <w:pPr>
              <w:pStyle w:val="TableText"/>
            </w:pPr>
          </w:p>
          <w:p w14:paraId="075B0F3B" w14:textId="44B943B7" w:rsidR="008C5564" w:rsidRDefault="008C5564" w:rsidP="008C5564">
            <w:pPr>
              <w:pStyle w:val="TableText"/>
              <w:rPr>
                <w:b/>
                <w:bCs/>
                <w:szCs w:val="18"/>
              </w:rPr>
            </w:pPr>
            <w:r>
              <w:rPr>
                <w:b/>
                <w:bCs/>
                <w:szCs w:val="18"/>
              </w:rPr>
              <w:t>NOTES</w:t>
            </w:r>
          </w:p>
          <w:p w14:paraId="4B63F91D" w14:textId="77777777" w:rsidR="008C5564" w:rsidRDefault="008C5564" w:rsidP="008C5564">
            <w:pPr>
              <w:pStyle w:val="NotesText"/>
            </w:pPr>
          </w:p>
          <w:p w14:paraId="5558AD98" w14:textId="77777777" w:rsidR="008C5564" w:rsidRDefault="008C5564" w:rsidP="008C5564">
            <w:pPr>
              <w:pStyle w:val="NotesText"/>
            </w:pPr>
            <w:r>
              <w:rPr>
                <w:rFonts w:cs="Arial"/>
                <w:vanish/>
              </w:rPr>
              <w:t xml:space="preserve">BR_79.03 </w:t>
            </w:r>
            <w:r>
              <w:t>A multiple-division workload report includes totals for each type of workload for each division requested in the report.</w:t>
            </w:r>
          </w:p>
          <w:p w14:paraId="460874D0" w14:textId="77777777" w:rsidR="008C5564" w:rsidRDefault="008C5564" w:rsidP="008C5564">
            <w:pPr>
              <w:pStyle w:val="NotesText"/>
            </w:pPr>
          </w:p>
          <w:p w14:paraId="4D762C2C" w14:textId="77777777" w:rsidR="008C5564" w:rsidRDefault="008C5564" w:rsidP="008C5564">
            <w:pPr>
              <w:pStyle w:val="NotesText"/>
            </w:pPr>
            <w:r>
              <w:rPr>
                <w:rFonts w:cs="Arial"/>
                <w:vanish/>
              </w:rPr>
              <w:t xml:space="preserve">BR_79.04 </w:t>
            </w:r>
            <w:r>
              <w:t>VBECS searches its workload file for entries within the selected date range.</w:t>
            </w:r>
          </w:p>
        </w:tc>
      </w:tr>
      <w:tr w:rsidR="008C5564" w14:paraId="1E838905" w14:textId="77777777" w:rsidTr="00E35FC4">
        <w:trPr>
          <w:cantSplit/>
        </w:trPr>
        <w:tc>
          <w:tcPr>
            <w:tcW w:w="3240" w:type="dxa"/>
          </w:tcPr>
          <w:p w14:paraId="3B3267B3" w14:textId="77777777" w:rsidR="008C5564" w:rsidRDefault="008C5564" w:rsidP="008C5564">
            <w:pPr>
              <w:pStyle w:val="TableTextNumbers"/>
            </w:pPr>
            <w:r>
              <w:lastRenderedPageBreak/>
              <w:t xml:space="preserve">In the Report Compilation area, click the </w:t>
            </w:r>
            <w:r>
              <w:rPr>
                <w:b/>
              </w:rPr>
              <w:t xml:space="preserve">Create Report Now </w:t>
            </w:r>
            <w:r w:rsidRPr="00BF2E41">
              <w:t>radio button</w:t>
            </w:r>
            <w:r>
              <w:t xml:space="preserve">. Click </w:t>
            </w:r>
            <w:r>
              <w:rPr>
                <w:b/>
              </w:rPr>
              <w:t>OK</w:t>
            </w:r>
            <w:r>
              <w:t xml:space="preserve"> to view the report, or</w:t>
            </w:r>
          </w:p>
          <w:p w14:paraId="17C11A1E" w14:textId="77777777" w:rsidR="008C5564" w:rsidRDefault="008C5564" w:rsidP="008C5564">
            <w:pPr>
              <w:pStyle w:val="TableTextNumbersContinued"/>
              <w:rPr>
                <w:b/>
                <w:bCs/>
              </w:rPr>
            </w:pPr>
          </w:p>
          <w:p w14:paraId="6613AD70" w14:textId="77777777" w:rsidR="008C5564" w:rsidRDefault="008C5564" w:rsidP="008C5564">
            <w:pPr>
              <w:pStyle w:val="TableTextNumbersContinued"/>
            </w:pPr>
            <w:r>
              <w:t xml:space="preserve">Click the </w:t>
            </w:r>
            <w:r>
              <w:rPr>
                <w:b/>
              </w:rPr>
              <w:t xml:space="preserve">Schedule Print Job </w:t>
            </w:r>
            <w:r w:rsidRPr="00BF2E41">
              <w:t>radio button</w:t>
            </w:r>
            <w:r>
              <w:t xml:space="preserve"> and </w:t>
            </w:r>
            <w:r>
              <w:rPr>
                <w:b/>
              </w:rPr>
              <w:t>OK</w:t>
            </w:r>
            <w:r>
              <w:t xml:space="preserve">, then enter or select a print date and printer name. Click </w:t>
            </w:r>
            <w:r>
              <w:rPr>
                <w:b/>
              </w:rPr>
              <w:t>OK</w:t>
            </w:r>
            <w:r>
              <w:t xml:space="preserve"> to view and print the report.</w:t>
            </w:r>
          </w:p>
        </w:tc>
        <w:tc>
          <w:tcPr>
            <w:tcW w:w="6120" w:type="dxa"/>
          </w:tcPr>
          <w:p w14:paraId="1BF198E7" w14:textId="77777777" w:rsidR="005B6A94" w:rsidRDefault="00F64B5C" w:rsidP="00AA2B2E">
            <w:pPr>
              <w:pStyle w:val="TableTextBullet"/>
            </w:pPr>
            <w:r>
              <w:t>Compiles and displays the report.</w:t>
            </w:r>
          </w:p>
        </w:tc>
      </w:tr>
      <w:tr w:rsidR="008C5564" w14:paraId="1BD74190" w14:textId="77777777">
        <w:tc>
          <w:tcPr>
            <w:tcW w:w="3240" w:type="dxa"/>
          </w:tcPr>
          <w:p w14:paraId="372C5A03" w14:textId="4BD6A83A" w:rsidR="008C5564" w:rsidRDefault="005C22EF" w:rsidP="008C5564">
            <w:pPr>
              <w:pStyle w:val="TableTextNumbers"/>
            </w:pPr>
            <w:r w:rsidRPr="0076371D">
              <w:t xml:space="preserve">Select </w:t>
            </w:r>
            <w:r w:rsidRPr="0076371D">
              <w:rPr>
                <w:b/>
              </w:rPr>
              <w:t xml:space="preserve">Print </w:t>
            </w:r>
            <w:r w:rsidRPr="0076371D">
              <w:t>to print the repor</w:t>
            </w:r>
            <w:r>
              <w:t>t</w:t>
            </w:r>
            <w:r w:rsidRPr="0076371D">
              <w:t xml:space="preserve">, </w:t>
            </w:r>
            <w:r w:rsidRPr="0076371D">
              <w:rPr>
                <w:b/>
              </w:rPr>
              <w:t>Export</w:t>
            </w:r>
            <w:r w:rsidRPr="0076371D">
              <w:t xml:space="preserve"> </w:t>
            </w:r>
            <w:r>
              <w:t xml:space="preserve">to export the report </w:t>
            </w:r>
            <w:r w:rsidRPr="0076371D">
              <w:rPr>
                <w:szCs w:val="18"/>
              </w:rPr>
              <w:t xml:space="preserve">(See </w:t>
            </w:r>
            <w:r w:rsidR="00EE455E" w:rsidRPr="00EE455E">
              <w:rPr>
                <w:szCs w:val="18"/>
              </w:rPr>
              <w:t>Report Export</w:t>
            </w:r>
            <w:r>
              <w:rPr>
                <w:szCs w:val="18"/>
              </w:rPr>
              <w:t xml:space="preserve"> section</w:t>
            </w:r>
            <w:r w:rsidRPr="0076371D">
              <w:rPr>
                <w:szCs w:val="18"/>
              </w:rPr>
              <w:t>)</w:t>
            </w:r>
            <w:r>
              <w:t xml:space="preserve">, </w:t>
            </w:r>
            <w:r>
              <w:rPr>
                <w:szCs w:val="18"/>
              </w:rPr>
              <w:t xml:space="preserve">or </w:t>
            </w:r>
            <w:r w:rsidRPr="0076371D">
              <w:t xml:space="preserve">click </w:t>
            </w:r>
            <w:r w:rsidRPr="0076371D">
              <w:rPr>
                <w:b/>
              </w:rPr>
              <w:t>Close</w:t>
            </w:r>
            <w:r w:rsidRPr="0076371D">
              <w:t xml:space="preserve"> to exit</w:t>
            </w:r>
            <w:r>
              <w:t xml:space="preserve"> without printing</w:t>
            </w:r>
            <w:r w:rsidRPr="0076371D">
              <w:rPr>
                <w:szCs w:val="18"/>
              </w:rPr>
              <w:t>.</w:t>
            </w:r>
          </w:p>
        </w:tc>
        <w:tc>
          <w:tcPr>
            <w:tcW w:w="6120" w:type="dxa"/>
          </w:tcPr>
          <w:p w14:paraId="671BBA65" w14:textId="77777777" w:rsidR="005C22EF" w:rsidRDefault="005C22EF" w:rsidP="005C22EF">
            <w:pPr>
              <w:pStyle w:val="TableTextBullet"/>
            </w:pPr>
            <w:r>
              <w:t>If Print is selected, prints the report on the designated printer.</w:t>
            </w:r>
          </w:p>
          <w:p w14:paraId="2DCAB4BF" w14:textId="77777777" w:rsidR="005C22EF" w:rsidRDefault="005C22EF" w:rsidP="005C22EF">
            <w:pPr>
              <w:pStyle w:val="TableTextBullet"/>
            </w:pPr>
            <w:r>
              <w:t>If Export is selected, exports the report to the designated file.</w:t>
            </w:r>
          </w:p>
          <w:p w14:paraId="3B85ECB9" w14:textId="5484C71F" w:rsidR="008C5564" w:rsidRDefault="005C22EF" w:rsidP="005C22EF">
            <w:pPr>
              <w:pStyle w:val="TableTextBullet"/>
            </w:pPr>
            <w:r>
              <w:t>If Close is selected, exits the report preview.</w:t>
            </w:r>
          </w:p>
        </w:tc>
      </w:tr>
    </w:tbl>
    <w:p w14:paraId="53AF04FA" w14:textId="77777777" w:rsidR="002A21AE" w:rsidRDefault="00F55832">
      <w:pPr>
        <w:pStyle w:val="Heading2"/>
      </w:pPr>
      <w:r>
        <w:br w:type="page"/>
      </w:r>
      <w:bookmarkStart w:id="631" w:name="_Toc203765950"/>
      <w:r w:rsidR="002A21AE">
        <w:lastRenderedPageBreak/>
        <w:t>Exception Report</w:t>
      </w:r>
      <w:bookmarkEnd w:id="631"/>
      <w:r w:rsidR="002A21AE">
        <w:fldChar w:fldCharType="begin"/>
      </w:r>
      <w:r w:rsidR="002A21AE">
        <w:instrText xml:space="preserve"> XE </w:instrText>
      </w:r>
      <w:r w:rsidR="00FA7E65">
        <w:instrText>“</w:instrText>
      </w:r>
      <w:r w:rsidR="002A21AE">
        <w:instrText>Exception Report</w:instrText>
      </w:r>
      <w:r w:rsidR="00FA7E65">
        <w:instrText>”</w:instrText>
      </w:r>
      <w:r w:rsidR="002A21AE">
        <w:instrText xml:space="preserve"> </w:instrText>
      </w:r>
      <w:r w:rsidR="002A21AE">
        <w:fldChar w:fldCharType="end"/>
      </w:r>
      <w:r w:rsidR="002A21AE">
        <w:t xml:space="preserve"> </w:t>
      </w:r>
      <w:r w:rsidR="002A21AE">
        <w:rPr>
          <w:rFonts w:ascii="Times New Roman" w:hAnsi="Times New Roman" w:cs="Times New Roman"/>
          <w:b w:val="0"/>
          <w:i w:val="0"/>
          <w:vanish/>
          <w:sz w:val="22"/>
        </w:rPr>
        <w:t>UC_82</w:t>
      </w:r>
      <w:r w:rsidR="002A21AE">
        <w:rPr>
          <w:rStyle w:val="CommentReference"/>
          <w:b w:val="0"/>
          <w:vanish/>
        </w:rPr>
        <w:t xml:space="preserve"> </w:t>
      </w:r>
    </w:p>
    <w:p w14:paraId="7C5EC255" w14:textId="77777777" w:rsidR="002A21AE" w:rsidRDefault="002A21AE" w:rsidP="00FA7E65">
      <w:pPr>
        <w:pStyle w:val="BodyText"/>
      </w:pPr>
      <w:r>
        <w:t xml:space="preserve">The user views </w:t>
      </w:r>
      <w:r w:rsidR="00EB1E5A">
        <w:t xml:space="preserve">and/or </w:t>
      </w:r>
      <w:r>
        <w:t xml:space="preserve">prints an Exception Report. </w:t>
      </w:r>
    </w:p>
    <w:p w14:paraId="5A523D13" w14:textId="77777777" w:rsidR="002A21AE" w:rsidRDefault="002A21AE">
      <w:pPr>
        <w:pStyle w:val="Heading4"/>
      </w:pPr>
      <w:r>
        <w:t>Assumptions</w:t>
      </w:r>
      <w:r>
        <w:rPr>
          <w:b w:val="0"/>
        </w:rPr>
        <w:t xml:space="preserve"> </w:t>
      </w:r>
    </w:p>
    <w:p w14:paraId="1FFDE808" w14:textId="77777777" w:rsidR="002A21AE" w:rsidRDefault="002A21AE">
      <w:pPr>
        <w:pStyle w:val="ListBullet"/>
      </w:pPr>
      <w:r>
        <w:t>Data are available for inclusion in the report.</w:t>
      </w:r>
    </w:p>
    <w:p w14:paraId="6ABB447C" w14:textId="77777777" w:rsidR="002A21AE" w:rsidRDefault="002A21AE">
      <w:pPr>
        <w:pStyle w:val="ListBullet"/>
      </w:pPr>
      <w:r>
        <w:t>The user must be logged into the division in which the report is to be generated.</w:t>
      </w:r>
    </w:p>
    <w:p w14:paraId="2D3F3120" w14:textId="77777777" w:rsidR="002A21AE" w:rsidRDefault="002A21AE">
      <w:pPr>
        <w:pStyle w:val="Heading4"/>
      </w:pPr>
      <w:r>
        <w:t xml:space="preserve">Outcome </w:t>
      </w:r>
    </w:p>
    <w:p w14:paraId="6C4C5790" w14:textId="77777777" w:rsidR="002A21AE" w:rsidRDefault="00AE521B">
      <w:pPr>
        <w:pStyle w:val="ListBullet"/>
      </w:pPr>
      <w:r>
        <w:t>The user views and/or prints the report</w:t>
      </w:r>
      <w:r w:rsidR="002A21AE">
        <w:t>.</w:t>
      </w:r>
    </w:p>
    <w:p w14:paraId="47C81F55" w14:textId="77777777" w:rsidR="002A21AE" w:rsidRDefault="002A21AE">
      <w:pPr>
        <w:pStyle w:val="Heading4"/>
        <w:rPr>
          <w:b w:val="0"/>
        </w:rPr>
      </w:pPr>
      <w:r>
        <w:t>Limitations and Restrictions</w:t>
      </w:r>
      <w:r>
        <w:rPr>
          <w:b w:val="0"/>
        </w:rPr>
        <w:t xml:space="preserve"> </w:t>
      </w:r>
    </w:p>
    <w:p w14:paraId="6366C8A2" w14:textId="77777777" w:rsidR="002A21AE" w:rsidRDefault="00ED5339">
      <w:pPr>
        <w:pStyle w:val="ListBullet"/>
      </w:pPr>
      <w:r>
        <w:t xml:space="preserve">VBECS does not accommodate online review </w:t>
      </w:r>
      <w:r w:rsidR="006C1277">
        <w:t xml:space="preserve">(verification, signature) </w:t>
      </w:r>
      <w:r>
        <w:t>of reports.</w:t>
      </w:r>
    </w:p>
    <w:p w14:paraId="792BD700" w14:textId="052CE1F2" w:rsidR="00C30F9C" w:rsidRDefault="00C30F9C">
      <w:pPr>
        <w:pStyle w:val="ListBullet"/>
      </w:pPr>
      <w:r>
        <w:t xml:space="preserve">Only the first twenty patient antigens will print on the report when an exception is generated for a unit issued with unsatisfied antigen negative requirements. </w:t>
      </w:r>
      <w:r w:rsidRPr="00C30F9C">
        <w:rPr>
          <w:vanish/>
        </w:rPr>
        <w:t>DR 4820</w:t>
      </w:r>
    </w:p>
    <w:p w14:paraId="25E4B943" w14:textId="1BC0AB7E" w:rsidR="007A0743" w:rsidRDefault="007A0743">
      <w:pPr>
        <w:pStyle w:val="ListBullet"/>
      </w:pPr>
      <w:r>
        <w:t>In some areas of the report, the user ID is displayed instead of the user name.</w:t>
      </w:r>
      <w:r w:rsidR="00703803">
        <w:t xml:space="preserve"> </w:t>
      </w:r>
      <w:r w:rsidR="00703803" w:rsidRPr="00703803">
        <w:rPr>
          <w:vanish/>
        </w:rPr>
        <w:t>Defect 209133</w:t>
      </w:r>
    </w:p>
    <w:p w14:paraId="497FD1D8" w14:textId="0BFC8F91" w:rsidR="00725EA9" w:rsidRDefault="00746F32">
      <w:pPr>
        <w:pStyle w:val="ListBullet"/>
      </w:pPr>
      <w:r>
        <w:t>The Exception Date displayed</w:t>
      </w:r>
      <w:r w:rsidR="002C5A43">
        <w:t xml:space="preserve"> is not consistently recorded to data records. It will either be the time the user entered the exception comment or the time the user saved the data record.</w:t>
      </w:r>
      <w:r w:rsidR="00BA05F4">
        <w:t xml:space="preserve"> </w:t>
      </w:r>
      <w:r w:rsidR="00BA05F4" w:rsidRPr="00BA05F4">
        <w:rPr>
          <w:vanish/>
        </w:rPr>
        <w:t>Defect 208987</w:t>
      </w:r>
    </w:p>
    <w:p w14:paraId="21E40746" w14:textId="77777777" w:rsidR="002A21AE" w:rsidRDefault="002A21AE">
      <w:pPr>
        <w:pStyle w:val="Heading4"/>
      </w:pPr>
      <w:r>
        <w:t xml:space="preserve">Additional Information </w:t>
      </w:r>
    </w:p>
    <w:p w14:paraId="43F7CE0A" w14:textId="77777777" w:rsidR="002A21AE" w:rsidRDefault="00DF389C">
      <w:pPr>
        <w:pStyle w:val="ListBullet"/>
      </w:pPr>
      <w:r>
        <w:t>A supervisor may use a</w:t>
      </w:r>
      <w:r w:rsidRPr="00DF389C">
        <w:t xml:space="preserve"> printed report</w:t>
      </w:r>
      <w:r>
        <w:t xml:space="preserve"> to document</w:t>
      </w:r>
      <w:r w:rsidRPr="00DF389C">
        <w:t xml:space="preserve"> the </w:t>
      </w:r>
      <w:r>
        <w:t>review</w:t>
      </w:r>
      <w:r w:rsidR="002A21AE">
        <w:t xml:space="preserve">. </w:t>
      </w:r>
    </w:p>
    <w:p w14:paraId="14A825A9" w14:textId="77777777" w:rsidR="002A21AE" w:rsidRDefault="002A21AE">
      <w:pPr>
        <w:pStyle w:val="ListBullet"/>
      </w:pPr>
      <w:r>
        <w:t>Exception Report entries reflect the actual date and time an exception occurred.</w:t>
      </w:r>
    </w:p>
    <w:p w14:paraId="11B97793" w14:textId="75EB21F6" w:rsidR="005E27C3" w:rsidRDefault="005E27C3">
      <w:pPr>
        <w:pStyle w:val="ListBullet"/>
      </w:pPr>
      <w:r>
        <w:t xml:space="preserve">Exception report entries associated with testing do not include additional information about method, manual or automated instrument. See the </w:t>
      </w:r>
      <w:r w:rsidRPr="00915EFD">
        <w:rPr>
          <w:i/>
        </w:rPr>
        <w:t xml:space="preserve">Testing Worklist </w:t>
      </w:r>
      <w:r w:rsidR="0024416B" w:rsidRPr="00915EFD">
        <w:rPr>
          <w:i/>
        </w:rPr>
        <w:t>Report,</w:t>
      </w:r>
      <w:r w:rsidRPr="00915EFD">
        <w:rPr>
          <w:i/>
        </w:rPr>
        <w:t xml:space="preserve"> Patient History Report or Unit History Report</w:t>
      </w:r>
      <w:r>
        <w:t xml:space="preserve"> for test method information. </w:t>
      </w:r>
      <w:r w:rsidRPr="005E27C3">
        <w:rPr>
          <w:vanish/>
        </w:rPr>
        <w:t>UC_82</w:t>
      </w:r>
    </w:p>
    <w:p w14:paraId="45CE8F89" w14:textId="156FDD13" w:rsidR="00EE28CF" w:rsidRDefault="00EE28CF" w:rsidP="00EE28CF">
      <w:pPr>
        <w:pStyle w:val="ListBullet"/>
      </w:pPr>
      <w:r>
        <w:t xml:space="preserve">In the Emergency Issue section of the report, </w:t>
      </w:r>
      <w:r w:rsidRPr="00EE28CF">
        <w:t>VBECS displays ISBT unit ID and product short name, but not the product code. See the Unit History report for the missing data saved in other options.</w:t>
      </w:r>
      <w:r w:rsidR="0024416B">
        <w:t xml:space="preserve"> </w:t>
      </w:r>
      <w:r w:rsidR="00CF31B7">
        <w:rPr>
          <w:vanish/>
        </w:rPr>
        <w:t>Bug 70863</w:t>
      </w:r>
    </w:p>
    <w:p w14:paraId="132CF834" w14:textId="77777777" w:rsidR="0087596E" w:rsidRDefault="00497307">
      <w:pPr>
        <w:pStyle w:val="ListBullet"/>
      </w:pPr>
      <w:r>
        <w:t>Issue Blood Component exceptions that include the Testing Status field displays numeric values 0, 1,</w:t>
      </w:r>
      <w:r w:rsidR="00494357">
        <w:t xml:space="preserve"> 2 or 3. Those numbers represent</w:t>
      </w:r>
      <w:r>
        <w:t xml:space="preserve"> the unit’s disease marker testing</w:t>
      </w:r>
      <w:r w:rsidR="00494357">
        <w:t>.</w:t>
      </w:r>
    </w:p>
    <w:p w14:paraId="3F3AA667" w14:textId="77777777" w:rsidR="0087596E" w:rsidRDefault="0087596E" w:rsidP="002F6D7B">
      <w:pPr>
        <w:pStyle w:val="ListBullet"/>
        <w:numPr>
          <w:ilvl w:val="1"/>
          <w:numId w:val="15"/>
        </w:numPr>
      </w:pPr>
      <w:r>
        <w:t xml:space="preserve">(0) – </w:t>
      </w:r>
      <w:r w:rsidR="000876E5">
        <w:t>N/A</w:t>
      </w:r>
      <w:r>
        <w:t xml:space="preserve"> </w:t>
      </w:r>
      <w:r w:rsidR="00497307">
        <w:t>for non-autologous units</w:t>
      </w:r>
      <w:r w:rsidR="00756D8E">
        <w:t>,</w:t>
      </w:r>
    </w:p>
    <w:p w14:paraId="480E8A25" w14:textId="77777777" w:rsidR="0087596E" w:rsidRDefault="0087596E" w:rsidP="002F6D7B">
      <w:pPr>
        <w:pStyle w:val="ListBullet"/>
        <w:numPr>
          <w:ilvl w:val="1"/>
          <w:numId w:val="15"/>
        </w:numPr>
      </w:pPr>
      <w:r>
        <w:t xml:space="preserve">(1) – </w:t>
      </w:r>
      <w:r w:rsidR="00497307">
        <w:t>NEG – Unit fully tested and negat</w:t>
      </w:r>
      <w:r>
        <w:t>ive for all disease markers</w:t>
      </w:r>
      <w:r w:rsidR="00756D8E">
        <w:t>,</w:t>
      </w:r>
    </w:p>
    <w:p w14:paraId="70D68747" w14:textId="77777777" w:rsidR="0087596E" w:rsidRDefault="0087596E" w:rsidP="002F6D7B">
      <w:pPr>
        <w:pStyle w:val="ListBullet"/>
        <w:numPr>
          <w:ilvl w:val="1"/>
          <w:numId w:val="15"/>
        </w:numPr>
      </w:pPr>
      <w:r>
        <w:t xml:space="preserve">(2) – </w:t>
      </w:r>
      <w:r w:rsidR="00497307">
        <w:t>POS – Unit tested and positive for one or more disease markers, Biohazard</w:t>
      </w:r>
      <w:r w:rsidR="00756D8E">
        <w:t>,</w:t>
      </w:r>
    </w:p>
    <w:p w14:paraId="7110A6D3" w14:textId="77777777" w:rsidR="00497307" w:rsidRDefault="0087596E" w:rsidP="002F6D7B">
      <w:pPr>
        <w:pStyle w:val="ListBullet"/>
        <w:numPr>
          <w:ilvl w:val="1"/>
          <w:numId w:val="15"/>
        </w:numPr>
      </w:pPr>
      <w:r>
        <w:t xml:space="preserve">(3) – </w:t>
      </w:r>
      <w:r w:rsidR="00497307">
        <w:t>NFT – Unit not fully tested for one or more disease</w:t>
      </w:r>
      <w:r w:rsidR="00756D8E">
        <w:t xml:space="preserve"> markers, Biohazard.</w:t>
      </w:r>
      <w:r>
        <w:t xml:space="preserve"> </w:t>
      </w:r>
      <w:r w:rsidRPr="00756D8E">
        <w:rPr>
          <w:vanish/>
        </w:rPr>
        <w:t>DR 4883</w:t>
      </w:r>
    </w:p>
    <w:p w14:paraId="26DCEC8F" w14:textId="77777777" w:rsidR="002A21AE" w:rsidRDefault="002A21AE">
      <w:pPr>
        <w:pStyle w:val="Heading4"/>
        <w:rPr>
          <w:b w:val="0"/>
        </w:rPr>
      </w:pPr>
      <w:r>
        <w:t>User Roles with Access to This Option</w:t>
      </w:r>
      <w:r>
        <w:rPr>
          <w:b w:val="0"/>
        </w:rPr>
        <w:t xml:space="preserve"> </w:t>
      </w:r>
    </w:p>
    <w:p w14:paraId="046BDFD4" w14:textId="77777777" w:rsidR="002A21AE" w:rsidRDefault="00606FB0">
      <w:pPr>
        <w:pStyle w:val="Roles"/>
        <w:rPr>
          <w:snapToGrid w:val="0"/>
        </w:rPr>
      </w:pPr>
      <w:r>
        <w:t>All users</w:t>
      </w:r>
    </w:p>
    <w:p w14:paraId="39766C22" w14:textId="77777777" w:rsidR="002A21AE" w:rsidRDefault="002A21AE">
      <w:pPr>
        <w:pStyle w:val="Heading4"/>
      </w:pPr>
      <w:r>
        <w:t>Exception Report</w:t>
      </w:r>
    </w:p>
    <w:p w14:paraId="0F1F1CF6" w14:textId="77777777" w:rsidR="002A21AE" w:rsidRDefault="000054DE" w:rsidP="00FA7E65">
      <w:pPr>
        <w:pStyle w:val="BodyText"/>
      </w:pPr>
      <w:r>
        <w:t xml:space="preserve">The user views </w:t>
      </w:r>
      <w:r w:rsidR="00EB1E5A">
        <w:t xml:space="preserve">and/or </w:t>
      </w:r>
      <w:r>
        <w:t xml:space="preserve">prints an Exception Report. </w:t>
      </w:r>
      <w:r w:rsidR="002A21AE">
        <w:t xml:space="preserve">Exception Reports list details of transactions that involve overrides to warnings and selected transactions of interest to the supervisor (for example, quarantined units). </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65B25BEB" w14:textId="77777777">
        <w:trPr>
          <w:cantSplit/>
          <w:tblHeader/>
        </w:trPr>
        <w:tc>
          <w:tcPr>
            <w:tcW w:w="3240" w:type="dxa"/>
            <w:shd w:val="pct30" w:color="auto" w:fill="FFFFFF"/>
            <w:vAlign w:val="bottom"/>
          </w:tcPr>
          <w:p w14:paraId="37A6BD38" w14:textId="77777777" w:rsidR="002A21AE" w:rsidRDefault="002A21AE">
            <w:pPr>
              <w:pStyle w:val="TableText"/>
              <w:rPr>
                <w:b/>
              </w:rPr>
            </w:pPr>
            <w:r>
              <w:t>.</w:t>
            </w:r>
            <w:r>
              <w:rPr>
                <w:b/>
              </w:rPr>
              <w:t>User Action</w:t>
            </w:r>
          </w:p>
        </w:tc>
        <w:tc>
          <w:tcPr>
            <w:tcW w:w="6120" w:type="dxa"/>
            <w:shd w:val="pct30" w:color="auto" w:fill="FFFFFF"/>
            <w:vAlign w:val="bottom"/>
          </w:tcPr>
          <w:p w14:paraId="12B5DB7F" w14:textId="77777777" w:rsidR="002A21AE" w:rsidRDefault="002A21AE">
            <w:pPr>
              <w:pStyle w:val="TableText"/>
              <w:rPr>
                <w:b/>
              </w:rPr>
            </w:pPr>
            <w:r>
              <w:rPr>
                <w:b/>
              </w:rPr>
              <w:t>VBECS</w:t>
            </w:r>
          </w:p>
        </w:tc>
      </w:tr>
      <w:tr w:rsidR="002A21AE" w14:paraId="41C89C4E" w14:textId="77777777">
        <w:tc>
          <w:tcPr>
            <w:tcW w:w="3240" w:type="dxa"/>
          </w:tcPr>
          <w:p w14:paraId="067D3CD6" w14:textId="77777777" w:rsidR="002A21AE" w:rsidRDefault="002A21AE" w:rsidP="00925CAD">
            <w:pPr>
              <w:pStyle w:val="TableTextNumbers"/>
              <w:numPr>
                <w:ilvl w:val="0"/>
                <w:numId w:val="73"/>
              </w:numPr>
            </w:pPr>
            <w:r>
              <w:t xml:space="preserve">Select </w:t>
            </w:r>
            <w:r w:rsidRPr="00946DA2">
              <w:rPr>
                <w:b/>
              </w:rPr>
              <w:t>Reports</w:t>
            </w:r>
            <w:r>
              <w:t xml:space="preserve"> from the main menu.</w:t>
            </w:r>
          </w:p>
          <w:p w14:paraId="0D9397E4" w14:textId="77777777" w:rsidR="002A21AE" w:rsidRDefault="002A21AE">
            <w:pPr>
              <w:pStyle w:val="TableTextNumbersContinued"/>
            </w:pPr>
          </w:p>
          <w:p w14:paraId="7236B781" w14:textId="77777777" w:rsidR="002A21AE" w:rsidRDefault="002A21AE">
            <w:pPr>
              <w:pStyle w:val="TableTextNumbersContinued"/>
            </w:pPr>
            <w:r>
              <w:t xml:space="preserve">Select </w:t>
            </w:r>
            <w:r>
              <w:rPr>
                <w:b/>
              </w:rPr>
              <w:t>Exception Report</w:t>
            </w:r>
            <w:r>
              <w:t>.</w:t>
            </w:r>
          </w:p>
        </w:tc>
        <w:tc>
          <w:tcPr>
            <w:tcW w:w="6120" w:type="dxa"/>
          </w:tcPr>
          <w:p w14:paraId="382ABA1D" w14:textId="77777777" w:rsidR="002A21AE" w:rsidRDefault="002A21AE">
            <w:pPr>
              <w:pStyle w:val="TableTextBullet"/>
            </w:pPr>
            <w:r>
              <w:t>Lists report names.</w:t>
            </w:r>
          </w:p>
          <w:p w14:paraId="5A32B3E4" w14:textId="77777777" w:rsidR="002A21AE" w:rsidRDefault="002A21AE">
            <w:pPr>
              <w:pStyle w:val="TableTextBullet"/>
            </w:pPr>
            <w:r>
              <w:t xml:space="preserve">Displays report compilation criteria. </w:t>
            </w:r>
          </w:p>
          <w:p w14:paraId="662C04FF" w14:textId="77777777" w:rsidR="002A21AE" w:rsidRDefault="002A21AE">
            <w:pPr>
              <w:pStyle w:val="TableTextBullet"/>
            </w:pPr>
            <w:r>
              <w:t>Displays a date range for selection.</w:t>
            </w:r>
          </w:p>
        </w:tc>
      </w:tr>
      <w:tr w:rsidR="002A21AE" w14:paraId="7333C946" w14:textId="77777777">
        <w:tc>
          <w:tcPr>
            <w:tcW w:w="3240" w:type="dxa"/>
          </w:tcPr>
          <w:p w14:paraId="482124DE" w14:textId="77777777" w:rsidR="002A21AE" w:rsidRDefault="002A21AE">
            <w:pPr>
              <w:pStyle w:val="TableTextNumbers"/>
            </w:pPr>
            <w:r>
              <w:lastRenderedPageBreak/>
              <w:t>Enter or select start and end dates.</w:t>
            </w:r>
          </w:p>
        </w:tc>
        <w:tc>
          <w:tcPr>
            <w:tcW w:w="6120" w:type="dxa"/>
          </w:tcPr>
          <w:p w14:paraId="3A902BE5" w14:textId="77777777" w:rsidR="002A21AE" w:rsidRDefault="002A21AE">
            <w:pPr>
              <w:pStyle w:val="TableText"/>
            </w:pPr>
          </w:p>
          <w:p w14:paraId="47F0C276" w14:textId="1267A26B" w:rsidR="002A21AE" w:rsidRDefault="002A21AE">
            <w:pPr>
              <w:pStyle w:val="TableText"/>
              <w:rPr>
                <w:b/>
                <w:bCs/>
                <w:szCs w:val="18"/>
              </w:rPr>
            </w:pPr>
            <w:r>
              <w:rPr>
                <w:b/>
                <w:bCs/>
                <w:szCs w:val="18"/>
              </w:rPr>
              <w:t>NOTES</w:t>
            </w:r>
          </w:p>
          <w:p w14:paraId="7A6113A3" w14:textId="77777777" w:rsidR="002A21AE" w:rsidRDefault="002A21AE">
            <w:pPr>
              <w:pStyle w:val="NotesText"/>
            </w:pPr>
          </w:p>
          <w:p w14:paraId="793B4E32" w14:textId="77777777" w:rsidR="002A21AE" w:rsidRDefault="002A21AE">
            <w:pPr>
              <w:pStyle w:val="NotesText"/>
            </w:pPr>
            <w:r>
              <w:rPr>
                <w:rFonts w:cs="Arial"/>
                <w:vanish/>
              </w:rPr>
              <w:t xml:space="preserve">BR_82.01 </w:t>
            </w:r>
            <w:r>
              <w:t>The report is sorted by exception type. Exception types are in chronological order.</w:t>
            </w:r>
          </w:p>
        </w:tc>
      </w:tr>
      <w:tr w:rsidR="002A21AE" w14:paraId="78FF1172" w14:textId="77777777">
        <w:tc>
          <w:tcPr>
            <w:tcW w:w="3240" w:type="dxa"/>
          </w:tcPr>
          <w:p w14:paraId="24BD7F0A" w14:textId="77777777" w:rsidR="002A21AE" w:rsidRDefault="002A21AE">
            <w:pPr>
              <w:pStyle w:val="TableTextNumbers"/>
            </w:pPr>
            <w:r>
              <w:t xml:space="preserve">In the Report Compilation area, click the </w:t>
            </w:r>
            <w:r>
              <w:rPr>
                <w:b/>
              </w:rPr>
              <w:t>Create Report Now</w:t>
            </w:r>
            <w:r>
              <w:t xml:space="preserve"> </w:t>
            </w:r>
            <w:r w:rsidRPr="00BF2E41">
              <w:t>radio button</w:t>
            </w:r>
            <w:r>
              <w:t xml:space="preserve">. Click </w:t>
            </w:r>
            <w:r>
              <w:rPr>
                <w:b/>
              </w:rPr>
              <w:t>OK</w:t>
            </w:r>
            <w:r>
              <w:t xml:space="preserve"> to view the report, or</w:t>
            </w:r>
          </w:p>
          <w:p w14:paraId="14BF58CF" w14:textId="77777777" w:rsidR="002A21AE" w:rsidRDefault="002A21AE">
            <w:pPr>
              <w:pStyle w:val="TableTextNumbersContinued"/>
            </w:pPr>
          </w:p>
          <w:p w14:paraId="0BBEBD31" w14:textId="77777777" w:rsidR="002A21AE" w:rsidRDefault="002A21AE">
            <w:pPr>
              <w:pStyle w:val="TableTextNumbersContinued"/>
            </w:pPr>
            <w:r>
              <w:t xml:space="preserve">Click the </w:t>
            </w:r>
            <w:r>
              <w:rPr>
                <w:b/>
              </w:rPr>
              <w:t>Schedule Print Job</w:t>
            </w:r>
            <w:r>
              <w:t xml:space="preserve"> </w:t>
            </w:r>
            <w:r w:rsidRPr="00BF2E41">
              <w:t>radio button</w:t>
            </w:r>
            <w:r>
              <w:t xml:space="preserve"> and </w:t>
            </w:r>
            <w:r>
              <w:rPr>
                <w:b/>
              </w:rPr>
              <w:t>OK</w:t>
            </w:r>
            <w:r>
              <w:t xml:space="preserve">, then enter or select a print date and printer name. Click </w:t>
            </w:r>
            <w:r>
              <w:rPr>
                <w:b/>
              </w:rPr>
              <w:t>OK</w:t>
            </w:r>
            <w:r>
              <w:t xml:space="preserve"> to view and print the report.</w:t>
            </w:r>
          </w:p>
        </w:tc>
        <w:tc>
          <w:tcPr>
            <w:tcW w:w="6120" w:type="dxa"/>
          </w:tcPr>
          <w:p w14:paraId="2F6CB8EC" w14:textId="77777777" w:rsidR="005B6A94" w:rsidRDefault="00F64B5C" w:rsidP="00AA2B2E">
            <w:pPr>
              <w:pStyle w:val="TableTextBullet"/>
            </w:pPr>
            <w:r>
              <w:t>Compiles and displays the report.</w:t>
            </w:r>
          </w:p>
        </w:tc>
      </w:tr>
      <w:tr w:rsidR="002A21AE" w14:paraId="1FB27CB3" w14:textId="77777777" w:rsidTr="000518ED">
        <w:trPr>
          <w:trHeight w:val="467"/>
        </w:trPr>
        <w:tc>
          <w:tcPr>
            <w:tcW w:w="3240" w:type="dxa"/>
          </w:tcPr>
          <w:p w14:paraId="6C4D28D7" w14:textId="387DA621" w:rsidR="002A21AE" w:rsidRDefault="005C22EF">
            <w:pPr>
              <w:pStyle w:val="TableTextNumbers"/>
            </w:pPr>
            <w:r w:rsidRPr="0076371D">
              <w:t xml:space="preserve">Select </w:t>
            </w:r>
            <w:r w:rsidRPr="0076371D">
              <w:rPr>
                <w:b/>
              </w:rPr>
              <w:t xml:space="preserve">Print </w:t>
            </w:r>
            <w:r w:rsidRPr="0076371D">
              <w:t>to print the repor</w:t>
            </w:r>
            <w:r>
              <w:t>t</w:t>
            </w:r>
            <w:r w:rsidRPr="0076371D">
              <w:t xml:space="preserve">, </w:t>
            </w:r>
            <w:r w:rsidRPr="0076371D">
              <w:rPr>
                <w:b/>
              </w:rPr>
              <w:t>Export</w:t>
            </w:r>
            <w:r w:rsidRPr="0076371D">
              <w:t xml:space="preserve"> </w:t>
            </w:r>
            <w:r>
              <w:t xml:space="preserve">to export the report </w:t>
            </w:r>
            <w:r w:rsidRPr="0076371D">
              <w:rPr>
                <w:szCs w:val="18"/>
              </w:rPr>
              <w:t xml:space="preserve">(See </w:t>
            </w:r>
            <w:r w:rsidR="00EE455E" w:rsidRPr="00EE455E">
              <w:rPr>
                <w:szCs w:val="18"/>
              </w:rPr>
              <w:t>Report Export</w:t>
            </w:r>
            <w:r>
              <w:rPr>
                <w:szCs w:val="18"/>
              </w:rPr>
              <w:t xml:space="preserve"> section</w:t>
            </w:r>
            <w:r w:rsidRPr="0076371D">
              <w:rPr>
                <w:szCs w:val="18"/>
              </w:rPr>
              <w:t>)</w:t>
            </w:r>
            <w:r>
              <w:t xml:space="preserve">, </w:t>
            </w:r>
            <w:r>
              <w:rPr>
                <w:szCs w:val="18"/>
              </w:rPr>
              <w:t xml:space="preserve">or </w:t>
            </w:r>
            <w:r w:rsidRPr="0076371D">
              <w:t xml:space="preserve">click </w:t>
            </w:r>
            <w:r w:rsidRPr="0076371D">
              <w:rPr>
                <w:b/>
              </w:rPr>
              <w:t>Close</w:t>
            </w:r>
            <w:r w:rsidRPr="0076371D">
              <w:t xml:space="preserve"> to exit</w:t>
            </w:r>
            <w:r>
              <w:t xml:space="preserve"> without printing</w:t>
            </w:r>
            <w:r w:rsidRPr="0076371D">
              <w:rPr>
                <w:szCs w:val="18"/>
              </w:rPr>
              <w:t>.</w:t>
            </w:r>
            <w:r w:rsidR="002A21AE" w:rsidRPr="00B93B42">
              <w:rPr>
                <w:rStyle w:val="StyleTableTextNumbersWhite1Char"/>
              </w:rPr>
              <w:t xml:space="preserve"> </w:t>
            </w:r>
            <w:r w:rsidR="002A21AE">
              <w:rPr>
                <w:vanish/>
                <w:color w:val="FFFFFF"/>
                <w:szCs w:val="18"/>
              </w:rPr>
              <w:fldChar w:fldCharType="begin"/>
            </w:r>
            <w:r w:rsidR="002A21AE">
              <w:rPr>
                <w:vanish/>
                <w:color w:val="FFFFFF"/>
                <w:szCs w:val="18"/>
              </w:rPr>
              <w:instrText xml:space="preserve"> LISTNUM \l 1 \s 0 </w:instrText>
            </w:r>
            <w:r w:rsidR="002A21AE">
              <w:rPr>
                <w:vanish/>
                <w:color w:val="FFFFFF"/>
                <w:szCs w:val="18"/>
              </w:rPr>
              <w:fldChar w:fldCharType="end">
                <w:numberingChange w:id="632" w:author="MUSZYNSKI, THOMAS D. (SIERRA 7 INC)" w:date="2024-11-26T07:15:00Z" w:original="0."/>
              </w:fldChar>
            </w:r>
          </w:p>
        </w:tc>
        <w:tc>
          <w:tcPr>
            <w:tcW w:w="6120" w:type="dxa"/>
          </w:tcPr>
          <w:p w14:paraId="04D7D1E6" w14:textId="77777777" w:rsidR="005C22EF" w:rsidRDefault="005C22EF" w:rsidP="005C22EF">
            <w:pPr>
              <w:pStyle w:val="TableTextBullet"/>
            </w:pPr>
            <w:r>
              <w:t>If Print is selected, prints the report on the designated printer.</w:t>
            </w:r>
          </w:p>
          <w:p w14:paraId="669C0BAA" w14:textId="77777777" w:rsidR="005C22EF" w:rsidRDefault="005C22EF" w:rsidP="005C22EF">
            <w:pPr>
              <w:pStyle w:val="TableTextBullet"/>
            </w:pPr>
            <w:r>
              <w:t>If Export is selected, exports the report to the designated file.</w:t>
            </w:r>
          </w:p>
          <w:p w14:paraId="5868424C" w14:textId="77777777" w:rsidR="005C22EF" w:rsidRDefault="005C22EF" w:rsidP="005C22EF">
            <w:pPr>
              <w:pStyle w:val="TableTextBullet"/>
            </w:pPr>
            <w:r>
              <w:t>If Close is selected, exits the report preview.</w:t>
            </w:r>
          </w:p>
          <w:p w14:paraId="03F3167D" w14:textId="1E0435C5" w:rsidR="002A21AE" w:rsidRDefault="002A21AE" w:rsidP="005C22EF">
            <w:pPr>
              <w:pStyle w:val="TableTextBullet"/>
            </w:pPr>
            <w:r>
              <w:t xml:space="preserve">See </w:t>
            </w:r>
            <w:r w:rsidR="00EE455E">
              <w:t xml:space="preserve">Appendix </w:t>
            </w:r>
            <w:r w:rsidR="00EE455E">
              <w:rPr>
                <w:noProof/>
              </w:rPr>
              <w:t>B</w:t>
            </w:r>
            <w:r>
              <w:t xml:space="preserve">: </w:t>
            </w:r>
            <w:r w:rsidR="00EE455E">
              <w:t xml:space="preserve">Table </w:t>
            </w:r>
            <w:r w:rsidR="00EE455E">
              <w:rPr>
                <w:noProof/>
              </w:rPr>
              <w:t>21</w:t>
            </w:r>
            <w:r w:rsidR="00EE455E">
              <w:t xml:space="preserve">: </w:t>
            </w:r>
            <w:r w:rsidR="00EE455E">
              <w:rPr>
                <w:vanish/>
              </w:rPr>
              <w:t xml:space="preserve">TT_82.01 </w:t>
            </w:r>
            <w:r w:rsidR="00EE455E">
              <w:t>Details in Exception Report</w:t>
            </w:r>
            <w:r>
              <w:t>.</w:t>
            </w:r>
          </w:p>
        </w:tc>
      </w:tr>
    </w:tbl>
    <w:p w14:paraId="03B5E90A" w14:textId="77777777" w:rsidR="00C400F4" w:rsidRPr="00C400F4" w:rsidRDefault="000518ED" w:rsidP="000518ED">
      <w:pPr>
        <w:pStyle w:val="Heading2"/>
      </w:pPr>
      <w:r>
        <w:br w:type="page"/>
      </w:r>
      <w:bookmarkStart w:id="633" w:name="_Toc203765951"/>
      <w:r w:rsidR="00C400F4">
        <w:lastRenderedPageBreak/>
        <w:t xml:space="preserve">Finalize/Print TRW </w:t>
      </w:r>
      <w:r w:rsidR="00C400F4" w:rsidRPr="00C400F4">
        <w:rPr>
          <w:rFonts w:ascii="Arial Bold" w:hAnsi="Arial Bold"/>
          <w:vanish/>
        </w:rPr>
        <w:t>UC_96</w:t>
      </w:r>
      <w:r w:rsidR="00C400F4">
        <w:rPr>
          <w:rFonts w:ascii="Arial Bold" w:hAnsi="Arial Bold"/>
          <w:vanish/>
        </w:rPr>
        <w:t xml:space="preserve"> </w:t>
      </w:r>
      <w:r w:rsidR="00BA595C">
        <w:t>(S</w:t>
      </w:r>
      <w:r w:rsidR="00C400F4">
        <w:t>ee Patient Services</w:t>
      </w:r>
      <w:r w:rsidR="00BC05B4">
        <w:t>, Finalize/Print TRW</w:t>
      </w:r>
      <w:r w:rsidR="00C400F4">
        <w:t>)</w:t>
      </w:r>
      <w:bookmarkEnd w:id="633"/>
    </w:p>
    <w:p w14:paraId="74B9CED1" w14:textId="77777777" w:rsidR="002A21AE" w:rsidRDefault="002A21AE">
      <w:pPr>
        <w:pStyle w:val="Heading2"/>
      </w:pPr>
      <w:bookmarkStart w:id="634" w:name="_Toc203765952"/>
      <w:r>
        <w:t>Inappropriate Transfusion Request Report</w:t>
      </w:r>
      <w:bookmarkEnd w:id="634"/>
      <w:r>
        <w:fldChar w:fldCharType="begin"/>
      </w:r>
      <w:r>
        <w:instrText xml:space="preserve"> XE </w:instrText>
      </w:r>
      <w:r w:rsidR="00FA7E65">
        <w:instrText>“</w:instrText>
      </w:r>
      <w:r>
        <w:instrText>Inappropriate Transfusion Request Report</w:instrText>
      </w:r>
      <w:r w:rsidR="00FA7E65">
        <w:instrText>”</w:instrText>
      </w:r>
      <w:r>
        <w:instrText xml:space="preserve"> </w:instrText>
      </w:r>
      <w:r>
        <w:fldChar w:fldCharType="end"/>
      </w:r>
      <w:r>
        <w:t xml:space="preserve"> </w:t>
      </w:r>
      <w:r>
        <w:rPr>
          <w:rFonts w:ascii="Times New Roman" w:hAnsi="Times New Roman" w:cs="Times New Roman"/>
          <w:b w:val="0"/>
          <w:i w:val="0"/>
          <w:vanish/>
          <w:sz w:val="22"/>
        </w:rPr>
        <w:t>UC_96</w:t>
      </w:r>
    </w:p>
    <w:p w14:paraId="17400BE2" w14:textId="77777777" w:rsidR="002A21AE" w:rsidRDefault="002A21AE" w:rsidP="00FA7E65">
      <w:pPr>
        <w:pStyle w:val="BodyText"/>
      </w:pPr>
      <w:r>
        <w:t xml:space="preserve">The user views </w:t>
      </w:r>
      <w:r w:rsidR="00EB1E5A">
        <w:t xml:space="preserve">and/or </w:t>
      </w:r>
      <w:r>
        <w:t>prints the Inappropriate Transfusion Request Report.</w:t>
      </w:r>
    </w:p>
    <w:p w14:paraId="0F149C92" w14:textId="77777777" w:rsidR="002A21AE" w:rsidRDefault="002A21AE">
      <w:pPr>
        <w:pStyle w:val="Heading4"/>
      </w:pPr>
      <w:r>
        <w:t>Assumptions</w:t>
      </w:r>
      <w:r>
        <w:rPr>
          <w:b w:val="0"/>
        </w:rPr>
        <w:t xml:space="preserve"> </w:t>
      </w:r>
    </w:p>
    <w:p w14:paraId="24C73ABF" w14:textId="77777777" w:rsidR="002A21AE" w:rsidRDefault="002A21AE">
      <w:pPr>
        <w:pStyle w:val="ListBullet"/>
      </w:pPr>
      <w:r>
        <w:t xml:space="preserve">The order is flagged as an inappropriate transfusion request during Accepting an Order. </w:t>
      </w:r>
    </w:p>
    <w:p w14:paraId="0A258396" w14:textId="77777777" w:rsidR="002A21AE" w:rsidRDefault="002A21AE">
      <w:pPr>
        <w:pStyle w:val="ListBullet"/>
      </w:pPr>
      <w:r>
        <w:t>Setting Component Requirements was processed and there are inappropriate test indicators associated with the component classes in the login division.</w:t>
      </w:r>
    </w:p>
    <w:p w14:paraId="5C35CEEF" w14:textId="77777777" w:rsidR="002A21AE" w:rsidRDefault="002A21AE">
      <w:pPr>
        <w:pStyle w:val="ListBullet"/>
      </w:pPr>
      <w:r>
        <w:t>Data for the report were saved in VBECS.</w:t>
      </w:r>
    </w:p>
    <w:p w14:paraId="17507E91" w14:textId="77777777" w:rsidR="002A21AE" w:rsidRDefault="002A21AE">
      <w:pPr>
        <w:pStyle w:val="Heading4"/>
      </w:pPr>
      <w:r>
        <w:t xml:space="preserve">Outcome </w:t>
      </w:r>
    </w:p>
    <w:p w14:paraId="06144F0E" w14:textId="77777777" w:rsidR="002A21AE" w:rsidRDefault="002A21AE">
      <w:pPr>
        <w:pStyle w:val="ListBullet"/>
      </w:pPr>
      <w:r>
        <w:t>The user view or prints the report.</w:t>
      </w:r>
    </w:p>
    <w:p w14:paraId="54297F69" w14:textId="77777777" w:rsidR="002A21AE" w:rsidRDefault="002A21AE">
      <w:pPr>
        <w:pStyle w:val="Heading4"/>
        <w:rPr>
          <w:b w:val="0"/>
        </w:rPr>
      </w:pPr>
      <w:r>
        <w:t>Limitations and Restrictions</w:t>
      </w:r>
      <w:r>
        <w:rPr>
          <w:b w:val="0"/>
        </w:rPr>
        <w:t xml:space="preserve"> </w:t>
      </w:r>
    </w:p>
    <w:p w14:paraId="5709C93E" w14:textId="77777777" w:rsidR="002A21AE" w:rsidRDefault="002A21AE">
      <w:pPr>
        <w:pStyle w:val="ListBullet"/>
      </w:pPr>
      <w:r>
        <w:t>None</w:t>
      </w:r>
    </w:p>
    <w:p w14:paraId="2D7A3128" w14:textId="77777777" w:rsidR="002A21AE" w:rsidRDefault="002A21AE">
      <w:pPr>
        <w:pStyle w:val="Heading4"/>
      </w:pPr>
      <w:r>
        <w:t xml:space="preserve">Additional Information </w:t>
      </w:r>
    </w:p>
    <w:p w14:paraId="43BC9902" w14:textId="77777777" w:rsidR="002A21AE" w:rsidRDefault="002A21AE">
      <w:pPr>
        <w:pStyle w:val="ListBullet"/>
      </w:pPr>
      <w:r>
        <w:t>None</w:t>
      </w:r>
    </w:p>
    <w:p w14:paraId="3546B486" w14:textId="77777777" w:rsidR="002A21AE" w:rsidRDefault="002A21AE">
      <w:pPr>
        <w:pStyle w:val="Heading4"/>
        <w:rPr>
          <w:b w:val="0"/>
        </w:rPr>
      </w:pPr>
      <w:r>
        <w:t>User Roles with Access to This Option</w:t>
      </w:r>
      <w:r>
        <w:rPr>
          <w:b w:val="0"/>
        </w:rPr>
        <w:t xml:space="preserve"> </w:t>
      </w:r>
    </w:p>
    <w:p w14:paraId="74884780" w14:textId="77777777" w:rsidR="002A21AE" w:rsidRDefault="00184EA4">
      <w:pPr>
        <w:pStyle w:val="Roles"/>
      </w:pPr>
      <w:r>
        <w:t>All users</w:t>
      </w:r>
    </w:p>
    <w:p w14:paraId="2B2BFD00" w14:textId="77777777" w:rsidR="002A21AE" w:rsidRDefault="002A21AE">
      <w:pPr>
        <w:pStyle w:val="Heading4"/>
      </w:pPr>
      <w:r>
        <w:t xml:space="preserve">Inappropriate Transfusion Request Report </w:t>
      </w:r>
    </w:p>
    <w:p w14:paraId="5195BA72" w14:textId="77777777" w:rsidR="002A21AE" w:rsidRDefault="002A21AE" w:rsidP="00FA7E65">
      <w:pPr>
        <w:pStyle w:val="BodyText"/>
      </w:pPr>
      <w:r>
        <w:t xml:space="preserve">The user views </w:t>
      </w:r>
      <w:r w:rsidR="00EB1E5A">
        <w:t xml:space="preserve">and/or </w:t>
      </w:r>
      <w:r>
        <w:t>prints the Inappropriate Transfusion Request Report</w:t>
      </w:r>
      <w:r w:rsidR="000054DE">
        <w:t>,</w:t>
      </w:r>
      <w:r w:rsidR="000054DE" w:rsidRPr="000054DE">
        <w:t xml:space="preserve"> </w:t>
      </w:r>
      <w:r w:rsidR="000054DE">
        <w:t>which includes inappropriate transfusion orders determined by the division’s configuration of each component class</w:t>
      </w:r>
      <w:r>
        <w: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2823EB2B" w14:textId="77777777">
        <w:trPr>
          <w:cantSplit/>
          <w:tblHeader/>
        </w:trPr>
        <w:tc>
          <w:tcPr>
            <w:tcW w:w="3240" w:type="dxa"/>
            <w:shd w:val="pct30" w:color="auto" w:fill="FFFFFF"/>
            <w:vAlign w:val="bottom"/>
          </w:tcPr>
          <w:p w14:paraId="781E9242" w14:textId="77777777" w:rsidR="002A21AE" w:rsidRDefault="002A21AE">
            <w:pPr>
              <w:pStyle w:val="TableText"/>
              <w:rPr>
                <w:b/>
              </w:rPr>
            </w:pPr>
            <w:bookmarkStart w:id="635" w:name="_Toc43285442"/>
            <w:bookmarkStart w:id="636" w:name="_Toc71363876"/>
            <w:bookmarkStart w:id="637" w:name="_Toc74366719"/>
            <w:r>
              <w:rPr>
                <w:b/>
              </w:rPr>
              <w:t>User Action</w:t>
            </w:r>
          </w:p>
        </w:tc>
        <w:tc>
          <w:tcPr>
            <w:tcW w:w="6120" w:type="dxa"/>
            <w:shd w:val="pct30" w:color="auto" w:fill="FFFFFF"/>
            <w:vAlign w:val="bottom"/>
          </w:tcPr>
          <w:p w14:paraId="47DDEEEE" w14:textId="77777777" w:rsidR="002A21AE" w:rsidRDefault="002A21AE">
            <w:pPr>
              <w:pStyle w:val="TableText"/>
              <w:rPr>
                <w:b/>
              </w:rPr>
            </w:pPr>
            <w:r>
              <w:rPr>
                <w:b/>
              </w:rPr>
              <w:t>VBECS</w:t>
            </w:r>
          </w:p>
        </w:tc>
      </w:tr>
      <w:tr w:rsidR="002A21AE" w14:paraId="00430656" w14:textId="77777777">
        <w:tc>
          <w:tcPr>
            <w:tcW w:w="3240" w:type="dxa"/>
          </w:tcPr>
          <w:p w14:paraId="050187C6" w14:textId="77777777" w:rsidR="002A21AE" w:rsidRDefault="002A21AE">
            <w:pPr>
              <w:pStyle w:val="TableTextNumbers"/>
            </w:pPr>
            <w:r>
              <w:t xml:space="preserve">Select </w:t>
            </w:r>
            <w:r>
              <w:rPr>
                <w:b/>
              </w:rPr>
              <w:t>Reports</w:t>
            </w:r>
            <w:r>
              <w:t xml:space="preserve"> from the main menu.</w:t>
            </w:r>
          </w:p>
          <w:p w14:paraId="26C25E6B" w14:textId="77777777" w:rsidR="002A21AE" w:rsidRDefault="002A21AE">
            <w:pPr>
              <w:pStyle w:val="TableTextNumbersContinued"/>
            </w:pPr>
          </w:p>
          <w:p w14:paraId="09ACFE26" w14:textId="77777777" w:rsidR="002A21AE" w:rsidRDefault="002A21AE">
            <w:pPr>
              <w:pStyle w:val="TableTextNumbersContinued"/>
            </w:pPr>
            <w:r>
              <w:t xml:space="preserve">Select </w:t>
            </w:r>
            <w:r>
              <w:rPr>
                <w:b/>
              </w:rPr>
              <w:t>Inappropriate Transfusion Request Report</w:t>
            </w:r>
            <w:r>
              <w:t>.</w:t>
            </w:r>
          </w:p>
        </w:tc>
        <w:tc>
          <w:tcPr>
            <w:tcW w:w="6120" w:type="dxa"/>
          </w:tcPr>
          <w:p w14:paraId="4C9EB206" w14:textId="77777777" w:rsidR="002A21AE" w:rsidRDefault="002A21AE">
            <w:pPr>
              <w:pStyle w:val="TableTextBullet"/>
            </w:pPr>
            <w:r>
              <w:t>Lists report names.</w:t>
            </w:r>
          </w:p>
          <w:p w14:paraId="7F206F2F" w14:textId="77777777" w:rsidR="002A21AE" w:rsidRDefault="002A21AE">
            <w:pPr>
              <w:pStyle w:val="TableTextBullet"/>
            </w:pPr>
            <w:r>
              <w:t xml:space="preserve">Displays report compilation criteria. </w:t>
            </w:r>
          </w:p>
          <w:p w14:paraId="1A566A91" w14:textId="77777777" w:rsidR="002A21AE" w:rsidRDefault="002A21AE">
            <w:pPr>
              <w:pStyle w:val="TableTextBullet"/>
            </w:pPr>
            <w:r>
              <w:t>Displays a date range for selection.</w:t>
            </w:r>
          </w:p>
        </w:tc>
      </w:tr>
      <w:tr w:rsidR="002A21AE" w14:paraId="321AFBEE" w14:textId="77777777">
        <w:tc>
          <w:tcPr>
            <w:tcW w:w="3240" w:type="dxa"/>
          </w:tcPr>
          <w:p w14:paraId="2656B390" w14:textId="77777777" w:rsidR="002A21AE" w:rsidRDefault="002A21AE">
            <w:pPr>
              <w:pStyle w:val="TableTextNumbers"/>
            </w:pPr>
            <w:r>
              <w:t>Enter or select start and end dates.</w:t>
            </w:r>
          </w:p>
        </w:tc>
        <w:tc>
          <w:tcPr>
            <w:tcW w:w="6120" w:type="dxa"/>
          </w:tcPr>
          <w:p w14:paraId="67335621" w14:textId="77777777" w:rsidR="002A21AE" w:rsidRDefault="002A21AE">
            <w:pPr>
              <w:pStyle w:val="TableTextBullet"/>
            </w:pPr>
            <w:r>
              <w:t xml:space="preserve">Compiles and displays the report. </w:t>
            </w:r>
          </w:p>
          <w:p w14:paraId="377C2EC5" w14:textId="77777777" w:rsidR="002A21AE" w:rsidRDefault="002A21AE" w:rsidP="0006709D">
            <w:pPr>
              <w:pStyle w:val="NotesText"/>
              <w:ind w:left="0"/>
            </w:pPr>
          </w:p>
        </w:tc>
      </w:tr>
      <w:tr w:rsidR="002A21AE" w14:paraId="71064A18" w14:textId="77777777">
        <w:tc>
          <w:tcPr>
            <w:tcW w:w="3240" w:type="dxa"/>
          </w:tcPr>
          <w:p w14:paraId="503FB46C" w14:textId="77777777" w:rsidR="002A21AE" w:rsidRDefault="002A21AE">
            <w:pPr>
              <w:pStyle w:val="TableTextNumbers"/>
            </w:pPr>
            <w:r>
              <w:t xml:space="preserve">In the Report Compilation area, click the </w:t>
            </w:r>
            <w:r>
              <w:rPr>
                <w:b/>
              </w:rPr>
              <w:t>Create Report Now</w:t>
            </w:r>
            <w:r>
              <w:t xml:space="preserve"> </w:t>
            </w:r>
            <w:r w:rsidRPr="00BF2E41">
              <w:t>radio button</w:t>
            </w:r>
            <w:r>
              <w:t xml:space="preserve">. Click </w:t>
            </w:r>
            <w:r>
              <w:rPr>
                <w:b/>
              </w:rPr>
              <w:t>OK</w:t>
            </w:r>
            <w:r>
              <w:t xml:space="preserve"> to view the report, or</w:t>
            </w:r>
          </w:p>
          <w:p w14:paraId="36F980B5" w14:textId="77777777" w:rsidR="002A21AE" w:rsidRDefault="002A21AE">
            <w:pPr>
              <w:pStyle w:val="TableTextNumbersContinued"/>
            </w:pPr>
          </w:p>
          <w:p w14:paraId="1CCB61B1" w14:textId="77777777" w:rsidR="002A21AE" w:rsidRDefault="002A21AE">
            <w:pPr>
              <w:pStyle w:val="TableTextNumbersContinued"/>
            </w:pPr>
            <w:r>
              <w:t xml:space="preserve">Click the </w:t>
            </w:r>
            <w:r>
              <w:rPr>
                <w:b/>
              </w:rPr>
              <w:t>Schedule Print Job</w:t>
            </w:r>
            <w:r>
              <w:t xml:space="preserve"> </w:t>
            </w:r>
            <w:r w:rsidRPr="00BF2E41">
              <w:t>radio button</w:t>
            </w:r>
            <w:r>
              <w:t xml:space="preserve"> and </w:t>
            </w:r>
            <w:r>
              <w:rPr>
                <w:b/>
              </w:rPr>
              <w:t>OK</w:t>
            </w:r>
            <w:r>
              <w:t xml:space="preserve">, then enter or select a print date and printer name. Click </w:t>
            </w:r>
            <w:r>
              <w:rPr>
                <w:b/>
              </w:rPr>
              <w:t>OK</w:t>
            </w:r>
            <w:r>
              <w:t xml:space="preserve"> to view and print the report.</w:t>
            </w:r>
          </w:p>
        </w:tc>
        <w:tc>
          <w:tcPr>
            <w:tcW w:w="6120" w:type="dxa"/>
          </w:tcPr>
          <w:p w14:paraId="416F9725" w14:textId="77777777" w:rsidR="005B6A94" w:rsidRDefault="00F64B5C" w:rsidP="00AA2B2E">
            <w:pPr>
              <w:pStyle w:val="TableTextBullet"/>
            </w:pPr>
            <w:r>
              <w:t>Compiles and displays the report.</w:t>
            </w:r>
          </w:p>
        </w:tc>
      </w:tr>
      <w:tr w:rsidR="002A21AE" w14:paraId="78ECA770" w14:textId="77777777">
        <w:tc>
          <w:tcPr>
            <w:tcW w:w="3240" w:type="dxa"/>
          </w:tcPr>
          <w:p w14:paraId="19556AE4" w14:textId="57063D2F" w:rsidR="002A21AE" w:rsidRDefault="00D45D8C">
            <w:pPr>
              <w:pStyle w:val="TableTextNumbers"/>
            </w:pPr>
            <w:r w:rsidRPr="0076371D">
              <w:t xml:space="preserve">Select </w:t>
            </w:r>
            <w:r w:rsidRPr="0076371D">
              <w:rPr>
                <w:b/>
              </w:rPr>
              <w:t xml:space="preserve">Print </w:t>
            </w:r>
            <w:r w:rsidRPr="0076371D">
              <w:t>to print the repor</w:t>
            </w:r>
            <w:r>
              <w:t>t</w:t>
            </w:r>
            <w:r w:rsidRPr="0076371D">
              <w:t xml:space="preserve">, </w:t>
            </w:r>
            <w:r w:rsidRPr="0076371D">
              <w:rPr>
                <w:b/>
              </w:rPr>
              <w:t>Export</w:t>
            </w:r>
            <w:r w:rsidRPr="0076371D">
              <w:t xml:space="preserve"> </w:t>
            </w:r>
            <w:r>
              <w:t xml:space="preserve">to export the report </w:t>
            </w:r>
            <w:r w:rsidRPr="0076371D">
              <w:rPr>
                <w:szCs w:val="18"/>
              </w:rPr>
              <w:t xml:space="preserve">(See </w:t>
            </w:r>
            <w:r w:rsidR="00EE455E" w:rsidRPr="00EE455E">
              <w:rPr>
                <w:szCs w:val="18"/>
              </w:rPr>
              <w:t>Report Export</w:t>
            </w:r>
            <w:r>
              <w:rPr>
                <w:szCs w:val="18"/>
              </w:rPr>
              <w:t xml:space="preserve"> section</w:t>
            </w:r>
            <w:r w:rsidRPr="0076371D">
              <w:rPr>
                <w:szCs w:val="18"/>
              </w:rPr>
              <w:t>)</w:t>
            </w:r>
            <w:r>
              <w:t xml:space="preserve">, </w:t>
            </w:r>
            <w:r>
              <w:rPr>
                <w:szCs w:val="18"/>
              </w:rPr>
              <w:t xml:space="preserve">or </w:t>
            </w:r>
            <w:r w:rsidRPr="0076371D">
              <w:t xml:space="preserve">click </w:t>
            </w:r>
            <w:r w:rsidRPr="0076371D">
              <w:rPr>
                <w:b/>
              </w:rPr>
              <w:t>Close</w:t>
            </w:r>
            <w:r w:rsidRPr="0076371D">
              <w:t xml:space="preserve"> to exit</w:t>
            </w:r>
            <w:r>
              <w:t xml:space="preserve"> without printing</w:t>
            </w:r>
            <w:r w:rsidR="0014031A">
              <w:rPr>
                <w:rStyle w:val="StyleTableTextNumbersWhite1Char"/>
              </w:rPr>
              <w:t>.</w:t>
            </w:r>
          </w:p>
        </w:tc>
        <w:tc>
          <w:tcPr>
            <w:tcW w:w="6120" w:type="dxa"/>
          </w:tcPr>
          <w:p w14:paraId="53D85857" w14:textId="77777777" w:rsidR="00D45D8C" w:rsidRDefault="00D45D8C" w:rsidP="00D45D8C">
            <w:pPr>
              <w:pStyle w:val="TableTextBullet"/>
            </w:pPr>
            <w:r>
              <w:t>If Print is selected, prints the report on the designated printer.</w:t>
            </w:r>
          </w:p>
          <w:p w14:paraId="2DC1F479" w14:textId="77777777" w:rsidR="00D45D8C" w:rsidRDefault="00D45D8C" w:rsidP="00D45D8C">
            <w:pPr>
              <w:pStyle w:val="TableTextBullet"/>
            </w:pPr>
            <w:r>
              <w:t>If Export is selected, exports the report to the designated file.</w:t>
            </w:r>
          </w:p>
          <w:p w14:paraId="7CF25D27" w14:textId="5702F813" w:rsidR="002A21AE" w:rsidRDefault="00D45D8C" w:rsidP="00D45D8C">
            <w:pPr>
              <w:pStyle w:val="TableTextBullet"/>
            </w:pPr>
            <w:r>
              <w:t>If Close is selected, exits the report preview.</w:t>
            </w:r>
          </w:p>
        </w:tc>
      </w:tr>
      <w:bookmarkEnd w:id="635"/>
      <w:bookmarkEnd w:id="636"/>
      <w:bookmarkEnd w:id="637"/>
    </w:tbl>
    <w:p w14:paraId="1FEAE4AF" w14:textId="77777777" w:rsidR="002A21AE" w:rsidRDefault="002A21AE">
      <w:pPr>
        <w:pStyle w:val="Heading2"/>
      </w:pPr>
      <w:r>
        <w:br w:type="page"/>
      </w:r>
      <w:bookmarkStart w:id="638" w:name="_Toc203765953"/>
      <w:r>
        <w:lastRenderedPageBreak/>
        <w:t>Issued/Returned Unit Report</w:t>
      </w:r>
      <w:bookmarkEnd w:id="638"/>
      <w:r>
        <w:fldChar w:fldCharType="begin"/>
      </w:r>
      <w:r>
        <w:instrText xml:space="preserve"> XE </w:instrText>
      </w:r>
      <w:r w:rsidR="00FA7E65">
        <w:instrText>“</w:instrText>
      </w:r>
      <w:r>
        <w:instrText>Issued/Returned Unit Report</w:instrText>
      </w:r>
      <w:r w:rsidR="00FA7E65">
        <w:instrText>”</w:instrText>
      </w:r>
      <w:r>
        <w:instrText xml:space="preserve"> </w:instrText>
      </w:r>
      <w:r>
        <w:fldChar w:fldCharType="end"/>
      </w:r>
      <w:r>
        <w:t xml:space="preserve"> </w:t>
      </w:r>
      <w:r>
        <w:rPr>
          <w:rFonts w:ascii="Times New Roman" w:hAnsi="Times New Roman" w:cs="Times New Roman"/>
          <w:b w:val="0"/>
          <w:i w:val="0"/>
          <w:vanish/>
          <w:sz w:val="22"/>
        </w:rPr>
        <w:t>UC_76</w:t>
      </w:r>
    </w:p>
    <w:p w14:paraId="1153DAC1" w14:textId="77777777" w:rsidR="002A21AE" w:rsidRDefault="002A21AE" w:rsidP="00FA7E65">
      <w:pPr>
        <w:pStyle w:val="BodyText"/>
      </w:pPr>
      <w:r>
        <w:t xml:space="preserve">The user views </w:t>
      </w:r>
      <w:r w:rsidR="00EB1E5A">
        <w:t xml:space="preserve">and/or </w:t>
      </w:r>
      <w:r>
        <w:t xml:space="preserve">prints the Issued/Returned Unit Report. </w:t>
      </w:r>
    </w:p>
    <w:p w14:paraId="58FBD509" w14:textId="77777777" w:rsidR="002A21AE" w:rsidRDefault="002A21AE">
      <w:pPr>
        <w:pStyle w:val="Heading4"/>
      </w:pPr>
      <w:r>
        <w:t>Assumptions</w:t>
      </w:r>
      <w:r>
        <w:rPr>
          <w:b w:val="0"/>
        </w:rPr>
        <w:t xml:space="preserve"> </w:t>
      </w:r>
    </w:p>
    <w:p w14:paraId="50289994" w14:textId="77777777" w:rsidR="002A21AE" w:rsidRDefault="002A21AE">
      <w:pPr>
        <w:pStyle w:val="ListBullet"/>
      </w:pPr>
      <w:r>
        <w:t>Data for the report were saved in the VBECS database.</w:t>
      </w:r>
    </w:p>
    <w:p w14:paraId="40989E67" w14:textId="77777777" w:rsidR="002A21AE" w:rsidRDefault="002A21AE">
      <w:pPr>
        <w:pStyle w:val="Heading4"/>
      </w:pPr>
      <w:r>
        <w:t xml:space="preserve">Outcome </w:t>
      </w:r>
    </w:p>
    <w:p w14:paraId="3A01B4E1" w14:textId="77777777" w:rsidR="002A21AE" w:rsidRDefault="00AE521B">
      <w:pPr>
        <w:pStyle w:val="ListBullet"/>
      </w:pPr>
      <w:r>
        <w:t>The user views and/or prints the report</w:t>
      </w:r>
      <w:r w:rsidR="002A21AE">
        <w:t xml:space="preserve">. </w:t>
      </w:r>
    </w:p>
    <w:p w14:paraId="6E84DEF2" w14:textId="77777777" w:rsidR="002A21AE" w:rsidRDefault="002A21AE">
      <w:pPr>
        <w:pStyle w:val="Heading4"/>
        <w:rPr>
          <w:b w:val="0"/>
        </w:rPr>
      </w:pPr>
      <w:r>
        <w:t>Limitations and Restrictions</w:t>
      </w:r>
      <w:r>
        <w:rPr>
          <w:b w:val="0"/>
        </w:rPr>
        <w:t xml:space="preserve"> </w:t>
      </w:r>
    </w:p>
    <w:p w14:paraId="7A69E77E" w14:textId="77777777" w:rsidR="002A21AE" w:rsidRDefault="002A21AE">
      <w:pPr>
        <w:pStyle w:val="ListBullet"/>
      </w:pPr>
      <w:r>
        <w:t>None</w:t>
      </w:r>
    </w:p>
    <w:p w14:paraId="4BE2B719" w14:textId="77777777" w:rsidR="002A21AE" w:rsidRDefault="002A21AE">
      <w:pPr>
        <w:pStyle w:val="Heading4"/>
      </w:pPr>
      <w:r>
        <w:t xml:space="preserve">Additional Information </w:t>
      </w:r>
    </w:p>
    <w:p w14:paraId="647426F5" w14:textId="130C4BCF" w:rsidR="002A21AE" w:rsidRDefault="002A21AE" w:rsidP="0054648D">
      <w:pPr>
        <w:pStyle w:val="ListBullet"/>
      </w:pPr>
      <w:r>
        <w:t>The report is compiled for one division.</w:t>
      </w:r>
    </w:p>
    <w:p w14:paraId="57077B2A" w14:textId="77777777" w:rsidR="002A21AE" w:rsidRDefault="002A21AE">
      <w:pPr>
        <w:pStyle w:val="Heading4"/>
      </w:pPr>
      <w:r>
        <w:t xml:space="preserve">User Roles with Access to This Option </w:t>
      </w:r>
    </w:p>
    <w:p w14:paraId="550CE541" w14:textId="77777777" w:rsidR="002A21AE" w:rsidRDefault="00184EA4">
      <w:pPr>
        <w:pStyle w:val="Roles"/>
      </w:pPr>
      <w:r>
        <w:t>All users</w:t>
      </w:r>
    </w:p>
    <w:p w14:paraId="6AC3D723" w14:textId="77777777" w:rsidR="002A21AE" w:rsidRDefault="002A21AE">
      <w:pPr>
        <w:pStyle w:val="Heading4"/>
      </w:pPr>
      <w:r>
        <w:t xml:space="preserve">Issued/Returned Unit Report </w:t>
      </w:r>
    </w:p>
    <w:p w14:paraId="76214276" w14:textId="77777777" w:rsidR="002A21AE" w:rsidRDefault="002A21AE" w:rsidP="00FA7E65">
      <w:pPr>
        <w:pStyle w:val="BodyText"/>
      </w:pPr>
      <w:r>
        <w:t xml:space="preserve">The user views </w:t>
      </w:r>
      <w:r w:rsidR="00EB1E5A">
        <w:t xml:space="preserve">and/or </w:t>
      </w:r>
      <w:r>
        <w:t>prints a report of units issued and/or returned to patients within a specified date range for a division.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05"/>
        <w:gridCol w:w="5855"/>
      </w:tblGrid>
      <w:tr w:rsidR="002A21AE" w14:paraId="4B7965AB" w14:textId="77777777" w:rsidTr="00E35FC4">
        <w:trPr>
          <w:cantSplit/>
          <w:tblHeader/>
        </w:trPr>
        <w:tc>
          <w:tcPr>
            <w:tcW w:w="3505" w:type="dxa"/>
            <w:shd w:val="pct30" w:color="auto" w:fill="FFFFFF"/>
            <w:vAlign w:val="bottom"/>
          </w:tcPr>
          <w:p w14:paraId="74FFA685" w14:textId="77777777" w:rsidR="002A21AE" w:rsidRDefault="002A21AE">
            <w:pPr>
              <w:pStyle w:val="TableText"/>
              <w:rPr>
                <w:b/>
              </w:rPr>
            </w:pPr>
            <w:r>
              <w:rPr>
                <w:b/>
              </w:rPr>
              <w:t>User Action</w:t>
            </w:r>
          </w:p>
        </w:tc>
        <w:tc>
          <w:tcPr>
            <w:tcW w:w="5855" w:type="dxa"/>
            <w:shd w:val="pct30" w:color="auto" w:fill="FFFFFF"/>
            <w:vAlign w:val="bottom"/>
          </w:tcPr>
          <w:p w14:paraId="0EA42DB0" w14:textId="77777777" w:rsidR="002A21AE" w:rsidRDefault="002A21AE">
            <w:pPr>
              <w:pStyle w:val="TableText"/>
              <w:rPr>
                <w:b/>
              </w:rPr>
            </w:pPr>
            <w:r>
              <w:rPr>
                <w:b/>
              </w:rPr>
              <w:t>VBECS</w:t>
            </w:r>
          </w:p>
        </w:tc>
      </w:tr>
      <w:tr w:rsidR="002A21AE" w14:paraId="151804A1" w14:textId="77777777" w:rsidTr="00E35FC4">
        <w:tc>
          <w:tcPr>
            <w:tcW w:w="3505" w:type="dxa"/>
            <w:tcBorders>
              <w:top w:val="single" w:sz="4" w:space="0" w:color="auto"/>
              <w:left w:val="single" w:sz="4" w:space="0" w:color="auto"/>
              <w:bottom w:val="single" w:sz="4" w:space="0" w:color="auto"/>
              <w:right w:val="single" w:sz="4" w:space="0" w:color="auto"/>
            </w:tcBorders>
          </w:tcPr>
          <w:p w14:paraId="0B3E3BD3" w14:textId="77777777" w:rsidR="002A21AE" w:rsidRDefault="002A21AE">
            <w:pPr>
              <w:pStyle w:val="TableTextNumbers"/>
            </w:pPr>
            <w:r>
              <w:t xml:space="preserve">Select </w:t>
            </w:r>
            <w:r>
              <w:rPr>
                <w:b/>
              </w:rPr>
              <w:t>Reports</w:t>
            </w:r>
            <w:r>
              <w:t xml:space="preserve"> from the main menu.</w:t>
            </w:r>
          </w:p>
          <w:p w14:paraId="6D89B3F0" w14:textId="77777777" w:rsidR="002A21AE" w:rsidRDefault="002A21AE">
            <w:pPr>
              <w:pStyle w:val="TableTextNumbersContinued"/>
            </w:pPr>
          </w:p>
          <w:p w14:paraId="56C8F76C" w14:textId="77777777" w:rsidR="002A21AE" w:rsidRDefault="002A21AE">
            <w:pPr>
              <w:pStyle w:val="TableTextNumbersContinued"/>
            </w:pPr>
            <w:r>
              <w:t xml:space="preserve">Select </w:t>
            </w:r>
            <w:r>
              <w:rPr>
                <w:b/>
              </w:rPr>
              <w:t>Issued/Returned Report</w:t>
            </w:r>
            <w:r>
              <w:t>.</w:t>
            </w:r>
          </w:p>
        </w:tc>
        <w:tc>
          <w:tcPr>
            <w:tcW w:w="5855" w:type="dxa"/>
            <w:tcBorders>
              <w:top w:val="single" w:sz="4" w:space="0" w:color="auto"/>
              <w:left w:val="single" w:sz="4" w:space="0" w:color="auto"/>
              <w:bottom w:val="single" w:sz="4" w:space="0" w:color="auto"/>
              <w:right w:val="single" w:sz="4" w:space="0" w:color="auto"/>
            </w:tcBorders>
          </w:tcPr>
          <w:p w14:paraId="76C8C02D" w14:textId="77777777" w:rsidR="002A21AE" w:rsidRDefault="002A21AE">
            <w:pPr>
              <w:pStyle w:val="TableTextBullet"/>
            </w:pPr>
            <w:r>
              <w:t>Lists report names.</w:t>
            </w:r>
          </w:p>
          <w:p w14:paraId="0E81654D" w14:textId="77777777" w:rsidR="002A21AE" w:rsidRDefault="002A21AE">
            <w:pPr>
              <w:pStyle w:val="TableTextBullet"/>
            </w:pPr>
            <w:r>
              <w:t>Displays fields for entering a report date range.</w:t>
            </w:r>
          </w:p>
        </w:tc>
      </w:tr>
      <w:tr w:rsidR="002A21AE" w14:paraId="2EF477DE" w14:textId="77777777" w:rsidTr="00E35FC4">
        <w:tc>
          <w:tcPr>
            <w:tcW w:w="3505" w:type="dxa"/>
          </w:tcPr>
          <w:p w14:paraId="55765D2B" w14:textId="77777777" w:rsidR="002A21AE" w:rsidRDefault="002A21AE">
            <w:pPr>
              <w:pStyle w:val="TableTextNumbers"/>
            </w:pPr>
            <w:r>
              <w:t xml:space="preserve">Enter or select start and end dates. </w:t>
            </w:r>
          </w:p>
        </w:tc>
        <w:tc>
          <w:tcPr>
            <w:tcW w:w="5855" w:type="dxa"/>
          </w:tcPr>
          <w:p w14:paraId="38E11BCE" w14:textId="3099D9E7" w:rsidR="002A21AE" w:rsidRDefault="002A21AE">
            <w:pPr>
              <w:pStyle w:val="TableTextBullet"/>
            </w:pPr>
            <w:r>
              <w:t>Allows the user to sort the report by issued date range</w:t>
            </w:r>
            <w:r w:rsidR="005F46D4">
              <w:t xml:space="preserve">, </w:t>
            </w:r>
            <w:r>
              <w:t>by patien</w:t>
            </w:r>
            <w:r w:rsidR="005F46D4">
              <w:t>t name or by component class</w:t>
            </w:r>
            <w:r>
              <w:t>.</w:t>
            </w:r>
          </w:p>
        </w:tc>
      </w:tr>
      <w:tr w:rsidR="00B33FB0" w14:paraId="6B72A20F" w14:textId="77777777" w:rsidTr="00E35FC4">
        <w:tc>
          <w:tcPr>
            <w:tcW w:w="3505" w:type="dxa"/>
          </w:tcPr>
          <w:p w14:paraId="73A744CE" w14:textId="3F560AA9" w:rsidR="00B33FB0" w:rsidRDefault="00B33FB0">
            <w:pPr>
              <w:pStyle w:val="TableTextNumbers"/>
            </w:pPr>
            <w:r>
              <w:t xml:space="preserve">In the Report Sort Order area, select the </w:t>
            </w:r>
            <w:r w:rsidRPr="000D2373">
              <w:rPr>
                <w:b/>
              </w:rPr>
              <w:t>Issue/Return Date</w:t>
            </w:r>
            <w:r w:rsidR="005F46D4">
              <w:rPr>
                <w:b/>
              </w:rPr>
              <w:t>, Patient Name</w:t>
            </w:r>
            <w:r>
              <w:t xml:space="preserve"> or </w:t>
            </w:r>
            <w:r w:rsidR="005F46D4">
              <w:rPr>
                <w:b/>
              </w:rPr>
              <w:t>Component Class</w:t>
            </w:r>
            <w:r>
              <w:t xml:space="preserve"> radio button.</w:t>
            </w:r>
          </w:p>
        </w:tc>
        <w:tc>
          <w:tcPr>
            <w:tcW w:w="5855" w:type="dxa"/>
          </w:tcPr>
          <w:p w14:paraId="730785C6" w14:textId="1BD26211" w:rsidR="00B33FB0" w:rsidRDefault="000D2373">
            <w:pPr>
              <w:pStyle w:val="TableTextBullet"/>
            </w:pPr>
            <w:r w:rsidRPr="000D2373">
              <w:rPr>
                <w:vanish/>
              </w:rPr>
              <w:t>BR_76</w:t>
            </w:r>
            <w:r w:rsidR="00893E3E">
              <w:rPr>
                <w:vanish/>
              </w:rPr>
              <w:t>.</w:t>
            </w:r>
            <w:r w:rsidRPr="000D2373">
              <w:rPr>
                <w:vanish/>
              </w:rPr>
              <w:t xml:space="preserve">01 </w:t>
            </w:r>
            <w:r>
              <w:t>Compiles the report and, for each unit issued and when units are returned, includes return information.</w:t>
            </w:r>
          </w:p>
          <w:p w14:paraId="02A3EF59" w14:textId="77777777" w:rsidR="000D2373" w:rsidRDefault="000D2373" w:rsidP="000D2373">
            <w:pPr>
              <w:pStyle w:val="TableTextBullet"/>
              <w:numPr>
                <w:ilvl w:val="0"/>
                <w:numId w:val="0"/>
              </w:numPr>
              <w:ind w:left="288" w:hanging="288"/>
            </w:pPr>
          </w:p>
          <w:p w14:paraId="6621EAE4" w14:textId="2CCE9BAB" w:rsidR="000D2373" w:rsidRDefault="000D2373" w:rsidP="000D2373">
            <w:pPr>
              <w:pStyle w:val="TableText"/>
              <w:rPr>
                <w:b/>
                <w:bCs/>
                <w:szCs w:val="18"/>
              </w:rPr>
            </w:pPr>
            <w:r>
              <w:rPr>
                <w:b/>
                <w:bCs/>
                <w:szCs w:val="18"/>
              </w:rPr>
              <w:t>NOTES</w:t>
            </w:r>
          </w:p>
          <w:p w14:paraId="3E3D2A90" w14:textId="77777777" w:rsidR="000D2373" w:rsidRDefault="000D2373" w:rsidP="000D2373">
            <w:pPr>
              <w:pStyle w:val="NotesText"/>
            </w:pPr>
          </w:p>
          <w:p w14:paraId="4B9698D9" w14:textId="69FD8D1D" w:rsidR="00F1278D" w:rsidRDefault="000D2373" w:rsidP="006D2C87">
            <w:pPr>
              <w:pStyle w:val="TableTextBullet"/>
              <w:numPr>
                <w:ilvl w:val="0"/>
                <w:numId w:val="0"/>
              </w:numPr>
              <w:ind w:left="738" w:hanging="18"/>
            </w:pPr>
            <w:r>
              <w:rPr>
                <w:rFonts w:cs="Arial"/>
                <w:vanish/>
              </w:rPr>
              <w:t xml:space="preserve">BR_76.02 </w:t>
            </w:r>
            <w:r>
              <w:t>The report includes a unit that is issued or returned within the entered date range. When a unit is identified as issued or returned during the entered date range, the report also includes unit return and issuance data, respectively, even when they fall outside the date range of the report</w:t>
            </w:r>
            <w:r w:rsidR="006D2C87">
              <w:t>.</w:t>
            </w:r>
          </w:p>
        </w:tc>
      </w:tr>
      <w:tr w:rsidR="00301F2A" w14:paraId="15501C6D" w14:textId="77777777" w:rsidTr="00E35FC4">
        <w:tc>
          <w:tcPr>
            <w:tcW w:w="3505" w:type="dxa"/>
          </w:tcPr>
          <w:p w14:paraId="27C00280" w14:textId="77777777" w:rsidR="00301F2A" w:rsidRDefault="00301F2A">
            <w:pPr>
              <w:pStyle w:val="TableTextNumbers"/>
            </w:pPr>
            <w:r>
              <w:t xml:space="preserve">In the Report Compilation area, click the </w:t>
            </w:r>
            <w:r w:rsidRPr="00B40DDD">
              <w:rPr>
                <w:b/>
              </w:rPr>
              <w:t>Create Report Now</w:t>
            </w:r>
            <w:r>
              <w:t xml:space="preserve"> radio button. Click </w:t>
            </w:r>
            <w:r w:rsidRPr="00B40DDD">
              <w:rPr>
                <w:b/>
              </w:rPr>
              <w:t>OK</w:t>
            </w:r>
            <w:r>
              <w:t xml:space="preserve"> to view the report, or</w:t>
            </w:r>
          </w:p>
          <w:p w14:paraId="0C2CB574" w14:textId="77777777" w:rsidR="00301F2A" w:rsidRDefault="00301F2A" w:rsidP="00301F2A">
            <w:pPr>
              <w:pStyle w:val="TableTextNumbers"/>
              <w:numPr>
                <w:ilvl w:val="0"/>
                <w:numId w:val="0"/>
              </w:numPr>
              <w:ind w:left="288"/>
            </w:pPr>
          </w:p>
          <w:p w14:paraId="2A39EB86" w14:textId="77777777" w:rsidR="00301F2A" w:rsidRDefault="00301F2A" w:rsidP="00301F2A">
            <w:pPr>
              <w:pStyle w:val="TableTextNumbers"/>
              <w:numPr>
                <w:ilvl w:val="0"/>
                <w:numId w:val="0"/>
              </w:numPr>
              <w:ind w:left="288"/>
            </w:pPr>
            <w:r>
              <w:t xml:space="preserve">Click the </w:t>
            </w:r>
            <w:r w:rsidRPr="00B40DDD">
              <w:rPr>
                <w:b/>
              </w:rPr>
              <w:t>Schedule Print Job</w:t>
            </w:r>
            <w:r>
              <w:t xml:space="preserve"> radio button and </w:t>
            </w:r>
            <w:r w:rsidRPr="00B40DDD">
              <w:rPr>
                <w:b/>
              </w:rPr>
              <w:t>OK</w:t>
            </w:r>
            <w:r>
              <w:t xml:space="preserve">, then enter or select a print date and printer name. Click </w:t>
            </w:r>
            <w:r w:rsidRPr="00B40DDD">
              <w:rPr>
                <w:b/>
              </w:rPr>
              <w:t>OK</w:t>
            </w:r>
            <w:r>
              <w:t xml:space="preserve"> to view and print the report.</w:t>
            </w:r>
          </w:p>
        </w:tc>
        <w:tc>
          <w:tcPr>
            <w:tcW w:w="5855" w:type="dxa"/>
          </w:tcPr>
          <w:p w14:paraId="0B0D38FE" w14:textId="77777777" w:rsidR="00B40DDD" w:rsidRDefault="00B40DDD" w:rsidP="00AA2B2E">
            <w:pPr>
              <w:pStyle w:val="TableTextBullet"/>
            </w:pPr>
            <w:r>
              <w:t>Compiles and displays the report.</w:t>
            </w:r>
          </w:p>
        </w:tc>
      </w:tr>
      <w:tr w:rsidR="00301F2A" w14:paraId="535A982D" w14:textId="77777777" w:rsidTr="00E35FC4">
        <w:tc>
          <w:tcPr>
            <w:tcW w:w="3505" w:type="dxa"/>
          </w:tcPr>
          <w:p w14:paraId="3D5F4542" w14:textId="25660FDD" w:rsidR="00301F2A" w:rsidRDefault="00D45D8C">
            <w:pPr>
              <w:pStyle w:val="TableTextNumbers"/>
            </w:pPr>
            <w:r w:rsidRPr="0076371D">
              <w:t xml:space="preserve">Select </w:t>
            </w:r>
            <w:r w:rsidRPr="0076371D">
              <w:rPr>
                <w:b/>
              </w:rPr>
              <w:t xml:space="preserve">Print </w:t>
            </w:r>
            <w:r w:rsidRPr="0076371D">
              <w:t>to print the repor</w:t>
            </w:r>
            <w:r>
              <w:t>t</w:t>
            </w:r>
            <w:r w:rsidRPr="0076371D">
              <w:t xml:space="preserve">, </w:t>
            </w:r>
            <w:r w:rsidRPr="0076371D">
              <w:rPr>
                <w:b/>
              </w:rPr>
              <w:t>Export</w:t>
            </w:r>
            <w:r w:rsidRPr="0076371D">
              <w:t xml:space="preserve"> </w:t>
            </w:r>
            <w:r>
              <w:t xml:space="preserve">to export the report </w:t>
            </w:r>
            <w:r w:rsidRPr="0076371D">
              <w:rPr>
                <w:szCs w:val="18"/>
              </w:rPr>
              <w:t xml:space="preserve">(See </w:t>
            </w:r>
            <w:r w:rsidR="00EE455E" w:rsidRPr="00EE455E">
              <w:rPr>
                <w:szCs w:val="18"/>
              </w:rPr>
              <w:t>Report Export</w:t>
            </w:r>
            <w:r>
              <w:rPr>
                <w:szCs w:val="18"/>
              </w:rPr>
              <w:t xml:space="preserve"> section</w:t>
            </w:r>
            <w:r w:rsidRPr="0076371D">
              <w:rPr>
                <w:szCs w:val="18"/>
              </w:rPr>
              <w:t>)</w:t>
            </w:r>
            <w:r>
              <w:t xml:space="preserve">, </w:t>
            </w:r>
            <w:r>
              <w:rPr>
                <w:szCs w:val="18"/>
              </w:rPr>
              <w:t xml:space="preserve">or </w:t>
            </w:r>
            <w:r w:rsidRPr="0076371D">
              <w:t xml:space="preserve">click </w:t>
            </w:r>
            <w:r w:rsidRPr="0076371D">
              <w:rPr>
                <w:b/>
              </w:rPr>
              <w:t>Close</w:t>
            </w:r>
            <w:r w:rsidRPr="0076371D">
              <w:t xml:space="preserve"> to exit</w:t>
            </w:r>
            <w:r>
              <w:t xml:space="preserve"> without printing</w:t>
            </w:r>
            <w:r w:rsidRPr="0076371D">
              <w:rPr>
                <w:szCs w:val="18"/>
              </w:rPr>
              <w:t>.</w:t>
            </w:r>
          </w:p>
        </w:tc>
        <w:tc>
          <w:tcPr>
            <w:tcW w:w="5855" w:type="dxa"/>
          </w:tcPr>
          <w:p w14:paraId="4E3CF220" w14:textId="77777777" w:rsidR="00D45D8C" w:rsidRDefault="00D45D8C" w:rsidP="00D45D8C">
            <w:pPr>
              <w:pStyle w:val="TableTextBullet"/>
            </w:pPr>
            <w:r>
              <w:t>If Print is selected, prints the report on the designated printer.</w:t>
            </w:r>
          </w:p>
          <w:p w14:paraId="1321A2A6" w14:textId="77777777" w:rsidR="00D45D8C" w:rsidRDefault="00D45D8C" w:rsidP="00D45D8C">
            <w:pPr>
              <w:pStyle w:val="TableTextBullet"/>
            </w:pPr>
            <w:r>
              <w:t>If Export is selected, exports the report to the designated file.</w:t>
            </w:r>
          </w:p>
          <w:p w14:paraId="0AF0CFA5" w14:textId="2123977C" w:rsidR="00301F2A" w:rsidRDefault="00D45D8C" w:rsidP="00D45D8C">
            <w:pPr>
              <w:pStyle w:val="TableTextBullet"/>
            </w:pPr>
            <w:r>
              <w:t>If Close is selected, exits the report preview.</w:t>
            </w:r>
          </w:p>
        </w:tc>
      </w:tr>
    </w:tbl>
    <w:p w14:paraId="14FEFFEA" w14:textId="2F0818A6" w:rsidR="00BA595C" w:rsidRDefault="00BA595C">
      <w:pPr>
        <w:pStyle w:val="Heading2"/>
      </w:pPr>
      <w:bookmarkStart w:id="639" w:name="_Toc203765954"/>
      <w:r>
        <w:lastRenderedPageBreak/>
        <w:t xml:space="preserve">Medication Profile </w:t>
      </w:r>
      <w:r w:rsidRPr="00BA595C">
        <w:rPr>
          <w:rFonts w:ascii="Arial Bold" w:hAnsi="Arial Bold"/>
          <w:vanish/>
        </w:rPr>
        <w:t xml:space="preserve">UC_46 </w:t>
      </w:r>
      <w:r>
        <w:t>(</w:t>
      </w:r>
      <w:r w:rsidR="00203702">
        <w:t>See Patient Information Toolbar</w:t>
      </w:r>
      <w:r>
        <w:t>)</w:t>
      </w:r>
      <w:bookmarkEnd w:id="639"/>
    </w:p>
    <w:p w14:paraId="15AC7F63" w14:textId="77777777" w:rsidR="002A21AE" w:rsidRDefault="002A21AE">
      <w:pPr>
        <w:pStyle w:val="Heading2"/>
      </w:pPr>
      <w:bookmarkStart w:id="640" w:name="_Toc203765955"/>
      <w:r>
        <w:t>Order History Report</w:t>
      </w:r>
      <w:bookmarkEnd w:id="640"/>
      <w:r>
        <w:fldChar w:fldCharType="begin"/>
      </w:r>
      <w:r>
        <w:instrText xml:space="preserve"> XE </w:instrText>
      </w:r>
      <w:r w:rsidR="00FA7E65">
        <w:instrText>“</w:instrText>
      </w:r>
      <w:r>
        <w:instrText>Order History Report</w:instrText>
      </w:r>
      <w:r w:rsidR="00FA7E65">
        <w:instrText>”</w:instrText>
      </w:r>
      <w:r>
        <w:instrText xml:space="preserve"> </w:instrText>
      </w:r>
      <w:r>
        <w:fldChar w:fldCharType="end"/>
      </w:r>
      <w:r>
        <w:t xml:space="preserve"> </w:t>
      </w:r>
      <w:r>
        <w:rPr>
          <w:rFonts w:ascii="Times New Roman" w:hAnsi="Times New Roman" w:cs="Times New Roman"/>
          <w:b w:val="0"/>
          <w:i w:val="0"/>
          <w:vanish/>
          <w:sz w:val="22"/>
        </w:rPr>
        <w:t>UC_86</w:t>
      </w:r>
      <w:r>
        <w:rPr>
          <w:rStyle w:val="CommentReference"/>
          <w:rFonts w:ascii="Times New Roman" w:hAnsi="Times New Roman" w:cs="Times New Roman"/>
          <w:b w:val="0"/>
          <w:bCs w:val="0"/>
          <w:vanish/>
        </w:rPr>
        <w:t xml:space="preserve"> </w:t>
      </w:r>
    </w:p>
    <w:p w14:paraId="159FC877" w14:textId="12990072" w:rsidR="002A21AE" w:rsidRDefault="002A21AE" w:rsidP="00FA7E65">
      <w:pPr>
        <w:pStyle w:val="BodyText"/>
      </w:pPr>
      <w:r>
        <w:t xml:space="preserve">The user views </w:t>
      </w:r>
      <w:r w:rsidR="00EB1E5A">
        <w:t xml:space="preserve">and/or </w:t>
      </w:r>
      <w:r>
        <w:t>prints a Single-Order History Report or an Order Summary Report.</w:t>
      </w:r>
    </w:p>
    <w:p w14:paraId="2DDA4C5B" w14:textId="77777777" w:rsidR="002A21AE" w:rsidRDefault="002A21AE">
      <w:pPr>
        <w:pStyle w:val="Heading4"/>
      </w:pPr>
      <w:r>
        <w:t>Assumptions</w:t>
      </w:r>
      <w:r>
        <w:rPr>
          <w:b w:val="0"/>
        </w:rPr>
        <w:t xml:space="preserve"> </w:t>
      </w:r>
    </w:p>
    <w:p w14:paraId="2AB011B5" w14:textId="77777777" w:rsidR="002A21AE" w:rsidRDefault="002A21AE">
      <w:pPr>
        <w:pStyle w:val="ListBullet"/>
      </w:pPr>
      <w:r>
        <w:t>Data for the report are available.</w:t>
      </w:r>
    </w:p>
    <w:p w14:paraId="3FA40DA4" w14:textId="77777777" w:rsidR="002A21AE" w:rsidRDefault="002A21AE">
      <w:pPr>
        <w:pStyle w:val="Heading4"/>
      </w:pPr>
      <w:r>
        <w:t xml:space="preserve">Outcome </w:t>
      </w:r>
    </w:p>
    <w:p w14:paraId="13AC31F6" w14:textId="77777777" w:rsidR="002A21AE" w:rsidRDefault="002A21AE">
      <w:pPr>
        <w:pStyle w:val="ListBullet"/>
      </w:pPr>
      <w:r>
        <w:t>The user may view and/or print a report.</w:t>
      </w:r>
    </w:p>
    <w:p w14:paraId="500554A0" w14:textId="77777777" w:rsidR="002A21AE" w:rsidRDefault="002A21AE">
      <w:pPr>
        <w:pStyle w:val="Heading4"/>
        <w:rPr>
          <w:b w:val="0"/>
        </w:rPr>
      </w:pPr>
      <w:r>
        <w:t>Limitations and Restrictions</w:t>
      </w:r>
      <w:r>
        <w:rPr>
          <w:b w:val="0"/>
        </w:rPr>
        <w:t xml:space="preserve"> </w:t>
      </w:r>
    </w:p>
    <w:p w14:paraId="778C690B" w14:textId="5C30B6D4" w:rsidR="002A21AE" w:rsidRDefault="00C43421">
      <w:pPr>
        <w:pStyle w:val="ListBullet"/>
      </w:pPr>
      <w:r>
        <w:t>VBECS does not display the identity of the CPRS user who discontinues a signed order in CPRS.</w:t>
      </w:r>
      <w:r w:rsidR="00DC0F5E">
        <w:t xml:space="preserve"> The CPRS order detail</w:t>
      </w:r>
      <w:r w:rsidR="00DD73AD">
        <w:t>s option contains all pertinent</w:t>
      </w:r>
      <w:r w:rsidR="00DC0F5E">
        <w:t xml:space="preserve"> order information.</w:t>
      </w:r>
      <w:r>
        <w:rPr>
          <w:vanish/>
        </w:rPr>
        <w:t xml:space="preserve"> DR 3766</w:t>
      </w:r>
      <w:r w:rsidR="00DC0F5E">
        <w:t xml:space="preserve"> </w:t>
      </w:r>
    </w:p>
    <w:p w14:paraId="53E2CEB0" w14:textId="5C745EB7" w:rsidR="00D8384F" w:rsidRDefault="000F404E">
      <w:pPr>
        <w:pStyle w:val="ListBullet"/>
      </w:pPr>
      <w:r>
        <w:t>Cancel</w:t>
      </w:r>
      <w:r w:rsidR="002F7E19">
        <w:t>l</w:t>
      </w:r>
      <w:r>
        <w:t>ed orders are included on the Order Summary Report without a column/data to help identify them as cance</w:t>
      </w:r>
      <w:r w:rsidR="002F7E19">
        <w:t>l</w:t>
      </w:r>
      <w:r>
        <w:t>led. The Single Order History Report includes the cance</w:t>
      </w:r>
      <w:r w:rsidR="002F7E19">
        <w:t>l</w:t>
      </w:r>
      <w:r>
        <w:t>led</w:t>
      </w:r>
      <w:r w:rsidR="0043651F">
        <w:t xml:space="preserve"> order information. When the order is also cance</w:t>
      </w:r>
      <w:r w:rsidR="002F7E19">
        <w:t>l</w:t>
      </w:r>
      <w:r w:rsidR="0043651F">
        <w:t>led in VistA, which would be the norm, there is a lab report that can be referenced</w:t>
      </w:r>
      <w:r w:rsidR="002F7E19">
        <w:t xml:space="preserve"> (See </w:t>
      </w:r>
      <w:r w:rsidR="00F97570" w:rsidRPr="00423A7F">
        <w:rPr>
          <w:i/>
          <w:iCs/>
        </w:rPr>
        <w:t xml:space="preserve">FAQ </w:t>
      </w:r>
      <w:r w:rsidR="002F7E19" w:rsidRPr="00423A7F">
        <w:rPr>
          <w:i/>
          <w:iCs/>
        </w:rPr>
        <w:t>Order Status Clarification</w:t>
      </w:r>
      <w:r w:rsidR="002F7E19">
        <w:t>)</w:t>
      </w:r>
      <w:r w:rsidR="0043651F">
        <w:t xml:space="preserve">. </w:t>
      </w:r>
      <w:r w:rsidRPr="0043651F">
        <w:rPr>
          <w:vanish/>
        </w:rPr>
        <w:t>Defect 2088</w:t>
      </w:r>
      <w:r w:rsidR="00CA4C08">
        <w:rPr>
          <w:vanish/>
        </w:rPr>
        <w:t>7</w:t>
      </w:r>
      <w:r w:rsidRPr="0043651F">
        <w:rPr>
          <w:vanish/>
        </w:rPr>
        <w:t>7</w:t>
      </w:r>
    </w:p>
    <w:p w14:paraId="6F2AEC00" w14:textId="0B725D5E" w:rsidR="00780C90" w:rsidRDefault="00780C90">
      <w:pPr>
        <w:pStyle w:val="ListBullet"/>
      </w:pPr>
      <w:r>
        <w:t>The Order History Report only displays the first twenty (20) characters of an ordering location. Ordering locations in VistA</w:t>
      </w:r>
      <w:r w:rsidR="003209A5">
        <w:t xml:space="preserve"> can be shortened or changed when the uniqueness of a location cannot be determined with the first twenty (20) characters. </w:t>
      </w:r>
      <w:r w:rsidR="003209A5" w:rsidRPr="003209A5">
        <w:rPr>
          <w:vanish/>
        </w:rPr>
        <w:t>Defect 209846</w:t>
      </w:r>
    </w:p>
    <w:p w14:paraId="60A6D2EA" w14:textId="77777777" w:rsidR="002A21AE" w:rsidRDefault="002A21AE">
      <w:pPr>
        <w:pStyle w:val="Heading4"/>
      </w:pPr>
      <w:r>
        <w:t xml:space="preserve">Additional Information </w:t>
      </w:r>
    </w:p>
    <w:p w14:paraId="7AF64806" w14:textId="77777777" w:rsidR="002A21AE" w:rsidRDefault="002A21AE">
      <w:pPr>
        <w:pStyle w:val="ListBullet"/>
      </w:pPr>
      <w:r>
        <w:t>Test counts and workload information for other VBECS processes are in the Workload Report.</w:t>
      </w:r>
    </w:p>
    <w:p w14:paraId="55361965" w14:textId="77777777" w:rsidR="002A21AE" w:rsidRDefault="002A21AE">
      <w:pPr>
        <w:pStyle w:val="Heading4"/>
        <w:rPr>
          <w:b w:val="0"/>
        </w:rPr>
      </w:pPr>
      <w:r>
        <w:t>User Roles with Access to This Option</w:t>
      </w:r>
      <w:r>
        <w:rPr>
          <w:b w:val="0"/>
        </w:rPr>
        <w:t xml:space="preserve"> </w:t>
      </w:r>
    </w:p>
    <w:p w14:paraId="1779246A" w14:textId="77777777" w:rsidR="002A21AE" w:rsidRDefault="00184EA4">
      <w:pPr>
        <w:pStyle w:val="Roles"/>
      </w:pPr>
      <w:r>
        <w:t>All users</w:t>
      </w:r>
    </w:p>
    <w:p w14:paraId="1D76BF7E" w14:textId="77777777" w:rsidR="002A21AE" w:rsidRDefault="002A21AE">
      <w:pPr>
        <w:pStyle w:val="Heading4"/>
      </w:pPr>
      <w:r>
        <w:t>Order History Report</w:t>
      </w:r>
      <w:r>
        <w:rPr>
          <w:rStyle w:val="CommentReference"/>
          <w:rFonts w:ascii="Times New Roman" w:hAnsi="Times New Roman"/>
          <w:b w:val="0"/>
          <w:bCs/>
          <w:vanish/>
        </w:rPr>
        <w:t xml:space="preserve"> </w:t>
      </w:r>
    </w:p>
    <w:p w14:paraId="6F9CF51A" w14:textId="77777777" w:rsidR="002A21AE" w:rsidRDefault="002A21AE" w:rsidP="00FA7E65">
      <w:pPr>
        <w:pStyle w:val="BodyText"/>
      </w:pPr>
      <w:r>
        <w:t>The user views and/or prints an Order History Report.</w:t>
      </w:r>
      <w:r w:rsidR="000054DE">
        <w:t xml:space="preserve"> </w:t>
      </w:r>
      <w:r>
        <w:t xml:space="preserve">The user may retrieve a report for a single order or </w:t>
      </w:r>
      <w:r w:rsidR="00C166BB">
        <w:t xml:space="preserve">a summary report </w:t>
      </w:r>
      <w:r>
        <w:t xml:space="preserve">for all VBECS orders within a date range. The user may sort the Order Summary Report by treating specialty or by patient location. </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386AEC69" w14:textId="77777777">
        <w:trPr>
          <w:cantSplit/>
          <w:tblHeader/>
        </w:trPr>
        <w:tc>
          <w:tcPr>
            <w:tcW w:w="3240" w:type="dxa"/>
            <w:shd w:val="pct30" w:color="auto" w:fill="FFFFFF"/>
            <w:vAlign w:val="bottom"/>
          </w:tcPr>
          <w:p w14:paraId="7373C65A" w14:textId="77777777" w:rsidR="002A21AE" w:rsidRDefault="002A21AE">
            <w:pPr>
              <w:pStyle w:val="TableText"/>
              <w:rPr>
                <w:b/>
              </w:rPr>
            </w:pPr>
            <w:r>
              <w:rPr>
                <w:b/>
              </w:rPr>
              <w:t>User Action</w:t>
            </w:r>
          </w:p>
        </w:tc>
        <w:tc>
          <w:tcPr>
            <w:tcW w:w="6120" w:type="dxa"/>
            <w:shd w:val="pct30" w:color="auto" w:fill="FFFFFF"/>
            <w:vAlign w:val="bottom"/>
          </w:tcPr>
          <w:p w14:paraId="3B8D57B7" w14:textId="77777777" w:rsidR="002A21AE" w:rsidRDefault="002A21AE">
            <w:pPr>
              <w:pStyle w:val="TableText"/>
              <w:rPr>
                <w:b/>
              </w:rPr>
            </w:pPr>
            <w:r>
              <w:rPr>
                <w:b/>
              </w:rPr>
              <w:t>VBECS</w:t>
            </w:r>
          </w:p>
        </w:tc>
      </w:tr>
      <w:tr w:rsidR="002A21AE" w14:paraId="15031065" w14:textId="77777777">
        <w:trPr>
          <w:trHeight w:val="773"/>
        </w:trPr>
        <w:tc>
          <w:tcPr>
            <w:tcW w:w="3240" w:type="dxa"/>
          </w:tcPr>
          <w:p w14:paraId="78FC4551" w14:textId="77777777" w:rsidR="002A21AE" w:rsidRDefault="002A21AE" w:rsidP="00925CAD">
            <w:pPr>
              <w:pStyle w:val="TableTextNumbers"/>
              <w:numPr>
                <w:ilvl w:val="0"/>
                <w:numId w:val="39"/>
              </w:numPr>
            </w:pPr>
            <w:r>
              <w:t xml:space="preserve">Select </w:t>
            </w:r>
            <w:r w:rsidRPr="002F2DF7">
              <w:rPr>
                <w:b/>
              </w:rPr>
              <w:t>Reports</w:t>
            </w:r>
            <w:r>
              <w:t xml:space="preserve"> from the main menu.</w:t>
            </w:r>
          </w:p>
          <w:p w14:paraId="00FC3814" w14:textId="77777777" w:rsidR="002A21AE" w:rsidRDefault="002A21AE">
            <w:pPr>
              <w:pStyle w:val="TableTextNumbersContinued"/>
            </w:pPr>
          </w:p>
          <w:p w14:paraId="67001049" w14:textId="77777777" w:rsidR="002A21AE" w:rsidRDefault="002A21AE">
            <w:pPr>
              <w:pStyle w:val="TableTextNumbersContinued"/>
            </w:pPr>
            <w:r>
              <w:t xml:space="preserve">Select </w:t>
            </w:r>
            <w:r>
              <w:rPr>
                <w:b/>
              </w:rPr>
              <w:t>Order History Report</w:t>
            </w:r>
            <w:r>
              <w:t>.</w:t>
            </w:r>
          </w:p>
        </w:tc>
        <w:tc>
          <w:tcPr>
            <w:tcW w:w="6120" w:type="dxa"/>
          </w:tcPr>
          <w:p w14:paraId="087DA321" w14:textId="77777777" w:rsidR="002A21AE" w:rsidRDefault="002A21AE">
            <w:pPr>
              <w:pStyle w:val="TableTextBullet"/>
            </w:pPr>
            <w:r>
              <w:t>Lists report names.</w:t>
            </w:r>
          </w:p>
          <w:p w14:paraId="56E7E96D" w14:textId="77777777" w:rsidR="002A21AE" w:rsidRDefault="002A21AE">
            <w:pPr>
              <w:pStyle w:val="TableTextBullet"/>
            </w:pPr>
            <w:r>
              <w:t>Displays options for generating, viewing, and printing reports.</w:t>
            </w:r>
          </w:p>
          <w:p w14:paraId="19F2DC88" w14:textId="77777777" w:rsidR="002A21AE" w:rsidRDefault="002A21AE">
            <w:pPr>
              <w:pStyle w:val="TableTextBullet"/>
            </w:pPr>
            <w:r>
              <w:t>Displays report type and compilation criteria.</w:t>
            </w:r>
          </w:p>
        </w:tc>
      </w:tr>
      <w:tr w:rsidR="002A21AE" w14:paraId="14E7A9FD" w14:textId="77777777">
        <w:trPr>
          <w:trHeight w:val="773"/>
        </w:trPr>
        <w:tc>
          <w:tcPr>
            <w:tcW w:w="3240" w:type="dxa"/>
            <w:tcBorders>
              <w:top w:val="single" w:sz="4" w:space="0" w:color="auto"/>
              <w:left w:val="single" w:sz="4" w:space="0" w:color="auto"/>
              <w:bottom w:val="single" w:sz="4" w:space="0" w:color="auto"/>
              <w:right w:val="single" w:sz="4" w:space="0" w:color="auto"/>
            </w:tcBorders>
          </w:tcPr>
          <w:p w14:paraId="3198B501" w14:textId="77777777" w:rsidR="002A21AE" w:rsidRDefault="002A21AE">
            <w:pPr>
              <w:pStyle w:val="TableTextNumbers"/>
            </w:pPr>
            <w:r>
              <w:t xml:space="preserve">Click the </w:t>
            </w:r>
            <w:r>
              <w:rPr>
                <w:b/>
              </w:rPr>
              <w:t>Order Summary Repor</w:t>
            </w:r>
            <w:r>
              <w:t xml:space="preserve">t or </w:t>
            </w:r>
            <w:r>
              <w:rPr>
                <w:b/>
              </w:rPr>
              <w:t>Single-Order History Report</w:t>
            </w:r>
            <w:r>
              <w:t xml:space="preserve"> </w:t>
            </w:r>
            <w:r w:rsidRPr="00BF2E41">
              <w:t>radio button</w:t>
            </w:r>
            <w:r>
              <w:t xml:space="preserve"> to select a report type.</w:t>
            </w:r>
          </w:p>
        </w:tc>
        <w:tc>
          <w:tcPr>
            <w:tcW w:w="6120" w:type="dxa"/>
            <w:tcBorders>
              <w:top w:val="single" w:sz="4" w:space="0" w:color="auto"/>
              <w:left w:val="single" w:sz="4" w:space="0" w:color="auto"/>
              <w:bottom w:val="single" w:sz="4" w:space="0" w:color="auto"/>
              <w:right w:val="single" w:sz="4" w:space="0" w:color="auto"/>
            </w:tcBorders>
          </w:tcPr>
          <w:p w14:paraId="4A64B7B0" w14:textId="77777777" w:rsidR="002A21AE" w:rsidRDefault="002A21AE">
            <w:pPr>
              <w:pStyle w:val="TableText"/>
            </w:pPr>
          </w:p>
        </w:tc>
      </w:tr>
      <w:tr w:rsidR="002A21AE" w14:paraId="52391AB0" w14:textId="77777777" w:rsidTr="00E35FC4">
        <w:trPr>
          <w:cantSplit/>
        </w:trPr>
        <w:tc>
          <w:tcPr>
            <w:tcW w:w="3240" w:type="dxa"/>
            <w:tcBorders>
              <w:top w:val="single" w:sz="4" w:space="0" w:color="auto"/>
              <w:left w:val="single" w:sz="4" w:space="0" w:color="auto"/>
              <w:bottom w:val="single" w:sz="4" w:space="0" w:color="auto"/>
              <w:right w:val="single" w:sz="4" w:space="0" w:color="auto"/>
            </w:tcBorders>
          </w:tcPr>
          <w:p w14:paraId="16711A97" w14:textId="77777777" w:rsidR="002A21AE" w:rsidRDefault="002A21AE">
            <w:pPr>
              <w:pStyle w:val="TableTextNumbers"/>
            </w:pPr>
            <w:r>
              <w:lastRenderedPageBreak/>
              <w:t>For an Order Summary Report, create a report date range:</w:t>
            </w:r>
          </w:p>
          <w:p w14:paraId="0C15D7DE" w14:textId="77777777" w:rsidR="002A21AE" w:rsidRDefault="002A21AE">
            <w:pPr>
              <w:pStyle w:val="TableText"/>
            </w:pPr>
          </w:p>
          <w:p w14:paraId="3D071E4A" w14:textId="77777777" w:rsidR="002A21AE" w:rsidRDefault="002A21AE">
            <w:pPr>
              <w:pStyle w:val="TableTextNumbersContinued"/>
            </w:pPr>
            <w:r>
              <w:t xml:space="preserve">Select or edit the dates and times in the </w:t>
            </w:r>
            <w:r w:rsidRPr="00945BF5">
              <w:t>Start Date</w:t>
            </w:r>
            <w:r>
              <w:t xml:space="preserve"> and </w:t>
            </w:r>
            <w:r w:rsidRPr="00945BF5">
              <w:t>End Date</w:t>
            </w:r>
            <w:r>
              <w:t xml:space="preserve"> fields. </w:t>
            </w:r>
          </w:p>
          <w:p w14:paraId="5521D107" w14:textId="77777777" w:rsidR="002A21AE" w:rsidRDefault="002A21AE">
            <w:pPr>
              <w:pStyle w:val="TableTextNumbersContinued"/>
            </w:pPr>
          </w:p>
          <w:p w14:paraId="0D5CD2B6" w14:textId="77777777" w:rsidR="002A21AE" w:rsidRDefault="002A21AE">
            <w:pPr>
              <w:pStyle w:val="TableTextNumbersContinued"/>
            </w:pPr>
            <w:r>
              <w:t xml:space="preserve">In the </w:t>
            </w:r>
            <w:r w:rsidRPr="00E82663">
              <w:rPr>
                <w:b/>
              </w:rPr>
              <w:t>Report Sort Order</w:t>
            </w:r>
            <w:r>
              <w:t xml:space="preserve"> area, click the </w:t>
            </w:r>
            <w:r>
              <w:rPr>
                <w:b/>
              </w:rPr>
              <w:t>Treating Specialty</w:t>
            </w:r>
            <w:r>
              <w:t xml:space="preserve"> or </w:t>
            </w:r>
            <w:r>
              <w:rPr>
                <w:b/>
              </w:rPr>
              <w:t>Ordering Location</w:t>
            </w:r>
            <w:r>
              <w:t xml:space="preserve"> </w:t>
            </w:r>
            <w:r w:rsidRPr="00BF2E41">
              <w:t>radio button</w:t>
            </w:r>
            <w:r>
              <w:t xml:space="preserve"> and continue at Step 5. </w:t>
            </w:r>
          </w:p>
        </w:tc>
        <w:tc>
          <w:tcPr>
            <w:tcW w:w="6120" w:type="dxa"/>
            <w:tcBorders>
              <w:top w:val="single" w:sz="4" w:space="0" w:color="auto"/>
              <w:left w:val="single" w:sz="4" w:space="0" w:color="auto"/>
              <w:bottom w:val="single" w:sz="4" w:space="0" w:color="auto"/>
              <w:right w:val="single" w:sz="4" w:space="0" w:color="auto"/>
            </w:tcBorders>
          </w:tcPr>
          <w:p w14:paraId="3D0C4970" w14:textId="77777777" w:rsidR="002A21AE" w:rsidRDefault="002A21AE">
            <w:pPr>
              <w:pStyle w:val="TableTextBullet"/>
            </w:pPr>
            <w:r>
              <w:t>Displays the option to enter a date range for the report based on the date and time VBECS acknowledged the order.</w:t>
            </w:r>
          </w:p>
          <w:p w14:paraId="1B6A25CE" w14:textId="77777777" w:rsidR="002A21AE" w:rsidRDefault="002A21AE">
            <w:pPr>
              <w:pStyle w:val="TableTextBullet"/>
            </w:pPr>
            <w:r>
              <w:t>Displays an option to sort the report by treating specialty or by ordering location. The report tallies orders in a given date range by ordering location and treating specialty.</w:t>
            </w:r>
          </w:p>
        </w:tc>
      </w:tr>
      <w:tr w:rsidR="002A21AE" w14:paraId="119E5C66" w14:textId="77777777">
        <w:tc>
          <w:tcPr>
            <w:tcW w:w="3240" w:type="dxa"/>
            <w:tcBorders>
              <w:top w:val="single" w:sz="4" w:space="0" w:color="auto"/>
              <w:left w:val="single" w:sz="4" w:space="0" w:color="auto"/>
              <w:bottom w:val="single" w:sz="4" w:space="0" w:color="auto"/>
              <w:right w:val="single" w:sz="4" w:space="0" w:color="auto"/>
            </w:tcBorders>
          </w:tcPr>
          <w:p w14:paraId="73C1BD62" w14:textId="77777777" w:rsidR="002A21AE" w:rsidRDefault="002A21AE">
            <w:pPr>
              <w:pStyle w:val="TableTextNumbers"/>
            </w:pPr>
            <w:r>
              <w:t>For a Single-Order History Report:</w:t>
            </w:r>
          </w:p>
          <w:p w14:paraId="6A8B4492" w14:textId="77777777" w:rsidR="002A21AE" w:rsidRDefault="002A21AE">
            <w:pPr>
              <w:pStyle w:val="TableTextNumbersContinued"/>
            </w:pPr>
          </w:p>
          <w:p w14:paraId="7BD28B7F" w14:textId="77777777" w:rsidR="002A21AE" w:rsidRDefault="002A21AE">
            <w:pPr>
              <w:pStyle w:val="TableTextNumbersContinued"/>
            </w:pPr>
            <w:r>
              <w:t xml:space="preserve">Enter the search criteria and/or click the </w:t>
            </w:r>
            <w:r w:rsidR="00A6373D" w:rsidRPr="00945BF5">
              <w:rPr>
                <w:b/>
              </w:rPr>
              <w:t>find</w:t>
            </w:r>
            <w:r>
              <w:rPr>
                <w:b/>
              </w:rPr>
              <w:t xml:space="preserve"> </w:t>
            </w:r>
            <w:r w:rsidRPr="00D1100E">
              <w:t>button</w:t>
            </w:r>
            <w:r>
              <w:t xml:space="preserve"> to select an order from the list. </w:t>
            </w:r>
          </w:p>
        </w:tc>
        <w:tc>
          <w:tcPr>
            <w:tcW w:w="6120" w:type="dxa"/>
            <w:tcBorders>
              <w:top w:val="single" w:sz="4" w:space="0" w:color="auto"/>
              <w:left w:val="single" w:sz="4" w:space="0" w:color="auto"/>
              <w:bottom w:val="single" w:sz="4" w:space="0" w:color="auto"/>
              <w:right w:val="single" w:sz="4" w:space="0" w:color="auto"/>
            </w:tcBorders>
          </w:tcPr>
          <w:p w14:paraId="573E8E02" w14:textId="77777777" w:rsidR="002A21AE" w:rsidRDefault="002A21AE">
            <w:pPr>
              <w:pStyle w:val="TableTextBullet"/>
              <w:rPr>
                <w:noProof/>
              </w:rPr>
            </w:pPr>
            <w:r>
              <w:rPr>
                <w:noProof/>
              </w:rPr>
              <w:t xml:space="preserve">Displays the </w:t>
            </w:r>
            <w:r>
              <w:t>Select</w:t>
            </w:r>
            <w:r>
              <w:rPr>
                <w:noProof/>
              </w:rPr>
              <w:t xml:space="preserve"> Patient Order window.</w:t>
            </w:r>
          </w:p>
          <w:p w14:paraId="15DABAC5" w14:textId="77777777" w:rsidR="002A21AE" w:rsidRDefault="002A21AE">
            <w:pPr>
              <w:pStyle w:val="TableText"/>
            </w:pPr>
          </w:p>
          <w:p w14:paraId="033BDB75" w14:textId="0D36BCD3" w:rsidR="002A21AE" w:rsidRDefault="002A21AE">
            <w:pPr>
              <w:pStyle w:val="TableText"/>
            </w:pPr>
            <w:r>
              <w:rPr>
                <w:b/>
                <w:bCs/>
                <w:szCs w:val="18"/>
              </w:rPr>
              <w:t>NOTES</w:t>
            </w:r>
          </w:p>
          <w:p w14:paraId="2A5EBA59" w14:textId="77777777" w:rsidR="002A21AE" w:rsidRDefault="002A21AE">
            <w:pPr>
              <w:pStyle w:val="NotesText"/>
            </w:pPr>
          </w:p>
          <w:p w14:paraId="0F1FAD92" w14:textId="77777777" w:rsidR="002A21AE" w:rsidRDefault="002A21AE">
            <w:pPr>
              <w:pStyle w:val="NotesText"/>
            </w:pPr>
            <w:r>
              <w:rPr>
                <w:rFonts w:cs="Arial"/>
                <w:vanish/>
              </w:rPr>
              <w:t xml:space="preserve">BR_86.03 </w:t>
            </w:r>
            <w:r>
              <w:t xml:space="preserve">The user enters a date or a specimen UID, or selects a patient to locate an order. VBECS displays the following information based on the selected search option: </w:t>
            </w:r>
          </w:p>
          <w:p w14:paraId="4D527E39" w14:textId="23BD5A56" w:rsidR="002A21AE" w:rsidRDefault="002A21AE">
            <w:pPr>
              <w:pStyle w:val="NotesTextBullet"/>
            </w:pPr>
            <w:r>
              <w:t>When a user enters a date, VBECS displays orders accepted or cancel</w:t>
            </w:r>
            <w:r w:rsidR="002F7E19">
              <w:t>l</w:t>
            </w:r>
            <w:r>
              <w:t xml:space="preserve">ed by VBECS on that date. </w:t>
            </w:r>
          </w:p>
          <w:p w14:paraId="70C135C8" w14:textId="77777777" w:rsidR="002A21AE" w:rsidRDefault="002A21AE">
            <w:pPr>
              <w:pStyle w:val="NotesTextBullet"/>
            </w:pPr>
            <w:r>
              <w:t>When the specimen UID is entered, VBECS displays only orders associated with that specimen.</w:t>
            </w:r>
          </w:p>
          <w:p w14:paraId="3F393B22" w14:textId="323F5143" w:rsidR="002A21AE" w:rsidRDefault="002A21AE">
            <w:pPr>
              <w:pStyle w:val="NotesTextBullet"/>
              <w:rPr>
                <w:noProof/>
              </w:rPr>
            </w:pPr>
            <w:r>
              <w:t>When a patient name is selected, VBECS displays the patient’s orders listed in reverse chronological order for the last 90 days with an option to display all of the patient’s accepted and cance</w:t>
            </w:r>
            <w:r w:rsidR="002F7E19">
              <w:t>l</w:t>
            </w:r>
            <w:r>
              <w:t>led orders.</w:t>
            </w:r>
          </w:p>
        </w:tc>
      </w:tr>
      <w:tr w:rsidR="002A21AE" w14:paraId="34D67C9E" w14:textId="77777777">
        <w:tc>
          <w:tcPr>
            <w:tcW w:w="3240" w:type="dxa"/>
            <w:tcBorders>
              <w:top w:val="single" w:sz="4" w:space="0" w:color="auto"/>
              <w:left w:val="single" w:sz="4" w:space="0" w:color="auto"/>
              <w:bottom w:val="single" w:sz="4" w:space="0" w:color="auto"/>
              <w:right w:val="single" w:sz="4" w:space="0" w:color="auto"/>
            </w:tcBorders>
          </w:tcPr>
          <w:p w14:paraId="034B6EC1" w14:textId="77777777" w:rsidR="002A21AE" w:rsidRDefault="002A21AE">
            <w:pPr>
              <w:pStyle w:val="TableTextNumbers"/>
            </w:pPr>
            <w:r>
              <w:t xml:space="preserve">In the Report Compilation area, click the </w:t>
            </w:r>
            <w:r>
              <w:rPr>
                <w:b/>
              </w:rPr>
              <w:t>Create Report Now</w:t>
            </w:r>
            <w:r>
              <w:t xml:space="preserve"> </w:t>
            </w:r>
            <w:r w:rsidRPr="00BF2E41">
              <w:t>radio button</w:t>
            </w:r>
            <w:r>
              <w:t xml:space="preserve"> and </w:t>
            </w:r>
            <w:r>
              <w:rPr>
                <w:b/>
              </w:rPr>
              <w:t>OK</w:t>
            </w:r>
            <w:r>
              <w:t xml:space="preserve"> to view the report, or </w:t>
            </w:r>
          </w:p>
          <w:p w14:paraId="7FE49057" w14:textId="77777777" w:rsidR="002A21AE" w:rsidRDefault="002A21AE">
            <w:pPr>
              <w:pStyle w:val="TableTextNumbersContinued"/>
            </w:pPr>
          </w:p>
          <w:p w14:paraId="7E825C94" w14:textId="77777777" w:rsidR="002A21AE" w:rsidRDefault="002A21AE">
            <w:pPr>
              <w:pStyle w:val="TableTextNumbersContinued"/>
            </w:pPr>
            <w:r>
              <w:t xml:space="preserve">Click the </w:t>
            </w:r>
            <w:r>
              <w:rPr>
                <w:b/>
              </w:rPr>
              <w:t>Schedule Print Job</w:t>
            </w:r>
            <w:r>
              <w:t xml:space="preserve"> </w:t>
            </w:r>
            <w:r w:rsidRPr="00BF2E41">
              <w:t>radio button</w:t>
            </w:r>
            <w:r>
              <w:t xml:space="preserve"> and </w:t>
            </w:r>
            <w:r>
              <w:rPr>
                <w:b/>
              </w:rPr>
              <w:t>OK</w:t>
            </w:r>
            <w:r>
              <w:t xml:space="preserve">, then enter or select a print date and printer name, then click </w:t>
            </w:r>
            <w:r>
              <w:rPr>
                <w:b/>
              </w:rPr>
              <w:t>OK</w:t>
            </w:r>
            <w:r>
              <w:t xml:space="preserve"> to view and print the report.</w:t>
            </w:r>
          </w:p>
        </w:tc>
        <w:tc>
          <w:tcPr>
            <w:tcW w:w="6120" w:type="dxa"/>
            <w:tcBorders>
              <w:top w:val="single" w:sz="4" w:space="0" w:color="auto"/>
              <w:left w:val="single" w:sz="4" w:space="0" w:color="auto"/>
              <w:bottom w:val="single" w:sz="4" w:space="0" w:color="auto"/>
              <w:right w:val="single" w:sz="4" w:space="0" w:color="auto"/>
            </w:tcBorders>
          </w:tcPr>
          <w:p w14:paraId="6A269E29" w14:textId="77777777" w:rsidR="002A21AE" w:rsidRDefault="002A21AE">
            <w:pPr>
              <w:pStyle w:val="TableTextBullet"/>
            </w:pPr>
            <w:r>
              <w:t>Compiles and displays the report.</w:t>
            </w:r>
          </w:p>
          <w:p w14:paraId="668E8999" w14:textId="77777777" w:rsidR="002A21AE" w:rsidRDefault="002A21AE">
            <w:pPr>
              <w:pStyle w:val="TableText"/>
            </w:pPr>
          </w:p>
          <w:p w14:paraId="05419258" w14:textId="07F6ABFE" w:rsidR="002A21AE" w:rsidRDefault="002A21AE">
            <w:pPr>
              <w:pStyle w:val="TableText"/>
              <w:rPr>
                <w:b/>
                <w:bCs/>
                <w:szCs w:val="18"/>
              </w:rPr>
            </w:pPr>
            <w:r>
              <w:rPr>
                <w:b/>
                <w:bCs/>
                <w:szCs w:val="18"/>
              </w:rPr>
              <w:t>NOTES</w:t>
            </w:r>
          </w:p>
          <w:p w14:paraId="3F97F2B1" w14:textId="77777777" w:rsidR="002A21AE" w:rsidRDefault="002A21AE">
            <w:pPr>
              <w:pStyle w:val="NotesText"/>
            </w:pPr>
          </w:p>
          <w:p w14:paraId="43463709" w14:textId="421D3DC6" w:rsidR="002A21AE" w:rsidRDefault="002A21AE">
            <w:pPr>
              <w:pStyle w:val="NotesText"/>
            </w:pPr>
            <w:r>
              <w:rPr>
                <w:rFonts w:cs="Arial"/>
                <w:vanish/>
              </w:rPr>
              <w:t xml:space="preserve">BR_86.04 </w:t>
            </w:r>
            <w:r>
              <w:t>The Order Summary Report includes a section for each treating specialty or ordering location, including accepted and cancel</w:t>
            </w:r>
            <w:r w:rsidR="002F7E19">
              <w:t>l</w:t>
            </w:r>
            <w:r>
              <w:t>ed VBECS orders and the Diagnostic Test or Component Orders for the selected date range. The report lists individual orders by order type, including the Patient Name, ID, CPRS and Lab Order Numbers, and Date.</w:t>
            </w:r>
          </w:p>
          <w:p w14:paraId="77BA19BA" w14:textId="77777777" w:rsidR="002A21AE" w:rsidRDefault="002A21AE">
            <w:pPr>
              <w:pStyle w:val="NotesText"/>
            </w:pPr>
          </w:p>
          <w:p w14:paraId="3979DD05" w14:textId="77777777" w:rsidR="008E4599" w:rsidRDefault="008E4599" w:rsidP="008E4599">
            <w:pPr>
              <w:pStyle w:val="TableText"/>
            </w:pPr>
            <w:r>
              <w:t>The Single-Order History Report contains details of an individual order group, including:</w:t>
            </w:r>
          </w:p>
          <w:p w14:paraId="1320EAC0" w14:textId="77777777" w:rsidR="008E4599" w:rsidRDefault="008E4599" w:rsidP="00925CAD">
            <w:pPr>
              <w:pStyle w:val="TableText"/>
              <w:numPr>
                <w:ilvl w:val="0"/>
                <w:numId w:val="61"/>
              </w:numPr>
            </w:pPr>
            <w:r>
              <w:t>Patient Name</w:t>
            </w:r>
          </w:p>
          <w:p w14:paraId="70DA8ABC" w14:textId="77777777" w:rsidR="008E4599" w:rsidRDefault="008E4599" w:rsidP="00925CAD">
            <w:pPr>
              <w:pStyle w:val="TableText"/>
              <w:numPr>
                <w:ilvl w:val="0"/>
                <w:numId w:val="61"/>
              </w:numPr>
            </w:pPr>
            <w:r>
              <w:t>Patient ID</w:t>
            </w:r>
          </w:p>
          <w:p w14:paraId="0B0936FA" w14:textId="77777777" w:rsidR="008E4599" w:rsidRDefault="008E4599" w:rsidP="00925CAD">
            <w:pPr>
              <w:pStyle w:val="TableText"/>
              <w:numPr>
                <w:ilvl w:val="0"/>
                <w:numId w:val="61"/>
              </w:numPr>
            </w:pPr>
            <w:r>
              <w:t>CPRS Order Name</w:t>
            </w:r>
          </w:p>
          <w:p w14:paraId="7B8EBEDA" w14:textId="77777777" w:rsidR="008E4599" w:rsidRDefault="008E4599" w:rsidP="00925CAD">
            <w:pPr>
              <w:pStyle w:val="TableText"/>
              <w:numPr>
                <w:ilvl w:val="0"/>
                <w:numId w:val="61"/>
              </w:numPr>
            </w:pPr>
            <w:r>
              <w:t xml:space="preserve">CPRS and Lab Order Numbers </w:t>
            </w:r>
          </w:p>
          <w:p w14:paraId="2E3CAD94" w14:textId="77777777" w:rsidR="008E4599" w:rsidRDefault="008E4599" w:rsidP="00925CAD">
            <w:pPr>
              <w:pStyle w:val="TableText"/>
              <w:numPr>
                <w:ilvl w:val="0"/>
                <w:numId w:val="61"/>
              </w:numPr>
            </w:pPr>
            <w:r>
              <w:t xml:space="preserve">Order Urgency </w:t>
            </w:r>
          </w:p>
          <w:p w14:paraId="68DBCE52" w14:textId="77777777" w:rsidR="008E4599" w:rsidRPr="00266E59" w:rsidRDefault="008E4599" w:rsidP="00925CAD">
            <w:pPr>
              <w:pStyle w:val="TableText"/>
              <w:numPr>
                <w:ilvl w:val="0"/>
                <w:numId w:val="61"/>
              </w:numPr>
            </w:pPr>
            <w:r w:rsidRPr="00266E59">
              <w:t>CPRS MODIFIER(S)</w:t>
            </w:r>
          </w:p>
          <w:p w14:paraId="53870B89" w14:textId="77777777" w:rsidR="008E4599" w:rsidRPr="00266E59" w:rsidRDefault="008E4599" w:rsidP="00925CAD">
            <w:pPr>
              <w:pStyle w:val="TableText"/>
              <w:numPr>
                <w:ilvl w:val="0"/>
                <w:numId w:val="61"/>
              </w:numPr>
            </w:pPr>
            <w:r w:rsidRPr="00266E59">
              <w:t>CPRS Reason for Request</w:t>
            </w:r>
          </w:p>
          <w:p w14:paraId="7ED2683F" w14:textId="77777777" w:rsidR="008E4599" w:rsidRPr="00266E59" w:rsidRDefault="008E4599" w:rsidP="00925CAD">
            <w:pPr>
              <w:pStyle w:val="TableText"/>
              <w:numPr>
                <w:ilvl w:val="0"/>
                <w:numId w:val="61"/>
              </w:numPr>
            </w:pPr>
            <w:r w:rsidRPr="00266E59">
              <w:t>CPRS Order Comment(s)</w:t>
            </w:r>
          </w:p>
          <w:p w14:paraId="68F64526" w14:textId="77777777" w:rsidR="008E4599" w:rsidRDefault="008E4599" w:rsidP="00925CAD">
            <w:pPr>
              <w:pStyle w:val="TableText"/>
              <w:numPr>
                <w:ilvl w:val="0"/>
                <w:numId w:val="61"/>
              </w:numPr>
            </w:pPr>
            <w:r>
              <w:t>Specimen Accession Number</w:t>
            </w:r>
          </w:p>
          <w:p w14:paraId="4AC7C435" w14:textId="77777777" w:rsidR="008E4599" w:rsidRDefault="008E4599" w:rsidP="00925CAD">
            <w:pPr>
              <w:pStyle w:val="TableText"/>
              <w:numPr>
                <w:ilvl w:val="0"/>
                <w:numId w:val="61"/>
              </w:numPr>
            </w:pPr>
            <w:r>
              <w:t xml:space="preserve">Specimen UID, if any </w:t>
            </w:r>
          </w:p>
          <w:p w14:paraId="6CBEF354" w14:textId="77777777" w:rsidR="008E4599" w:rsidRDefault="008E4599" w:rsidP="00925CAD">
            <w:pPr>
              <w:pStyle w:val="TableText"/>
              <w:numPr>
                <w:ilvl w:val="0"/>
                <w:numId w:val="61"/>
              </w:numPr>
            </w:pPr>
            <w:r>
              <w:t>Specimen unacceptable comment, if any</w:t>
            </w:r>
          </w:p>
          <w:p w14:paraId="7489C1B1" w14:textId="77777777" w:rsidR="008E4599" w:rsidRDefault="008E4599" w:rsidP="00925CAD">
            <w:pPr>
              <w:pStyle w:val="TableText"/>
              <w:numPr>
                <w:ilvl w:val="0"/>
                <w:numId w:val="61"/>
              </w:numPr>
            </w:pPr>
            <w:r>
              <w:t>Received Date, original and any updates</w:t>
            </w:r>
          </w:p>
          <w:p w14:paraId="63D89DF5" w14:textId="77777777" w:rsidR="008E4599" w:rsidRDefault="008E4599" w:rsidP="00925CAD">
            <w:pPr>
              <w:pStyle w:val="TableText"/>
              <w:numPr>
                <w:ilvl w:val="0"/>
                <w:numId w:val="61"/>
              </w:numPr>
            </w:pPr>
            <w:r>
              <w:t>Expiration Date, original and any updates</w:t>
            </w:r>
          </w:p>
          <w:p w14:paraId="0830A72F" w14:textId="77777777" w:rsidR="008E4599" w:rsidRDefault="008E4599" w:rsidP="00925CAD">
            <w:pPr>
              <w:pStyle w:val="TableText"/>
              <w:numPr>
                <w:ilvl w:val="0"/>
                <w:numId w:val="61"/>
              </w:numPr>
            </w:pPr>
            <w:r>
              <w:t>Accepting Technologist Name</w:t>
            </w:r>
          </w:p>
          <w:p w14:paraId="4D8A6E1F" w14:textId="77777777" w:rsidR="008E4599" w:rsidRDefault="008E4599" w:rsidP="00925CAD">
            <w:pPr>
              <w:pStyle w:val="TableText"/>
              <w:numPr>
                <w:ilvl w:val="0"/>
                <w:numId w:val="61"/>
              </w:numPr>
            </w:pPr>
            <w:r>
              <w:t>Acceptance Date and Time</w:t>
            </w:r>
          </w:p>
          <w:p w14:paraId="52AF7001" w14:textId="77777777" w:rsidR="008E4599" w:rsidRDefault="008E4599" w:rsidP="00925CAD">
            <w:pPr>
              <w:pStyle w:val="TableText"/>
              <w:numPr>
                <w:ilvl w:val="0"/>
                <w:numId w:val="61"/>
              </w:numPr>
            </w:pPr>
            <w:r>
              <w:t>Cancellation Date, if any</w:t>
            </w:r>
          </w:p>
          <w:p w14:paraId="2F68C0EA" w14:textId="77777777" w:rsidR="008E4599" w:rsidRDefault="008E4599" w:rsidP="00925CAD">
            <w:pPr>
              <w:pStyle w:val="TableText"/>
              <w:numPr>
                <w:ilvl w:val="0"/>
                <w:numId w:val="61"/>
              </w:numPr>
            </w:pPr>
            <w:r>
              <w:t>Cancellation Division</w:t>
            </w:r>
          </w:p>
          <w:p w14:paraId="60BD8FB9" w14:textId="77777777" w:rsidR="008E4599" w:rsidRDefault="008E4599" w:rsidP="00925CAD">
            <w:pPr>
              <w:pStyle w:val="TableText"/>
              <w:numPr>
                <w:ilvl w:val="0"/>
                <w:numId w:val="61"/>
              </w:numPr>
            </w:pPr>
            <w:r>
              <w:lastRenderedPageBreak/>
              <w:t>Cancellation Tech ID, if any</w:t>
            </w:r>
          </w:p>
          <w:p w14:paraId="633F8751" w14:textId="77777777" w:rsidR="008E4599" w:rsidRDefault="008E4599" w:rsidP="00925CAD">
            <w:pPr>
              <w:pStyle w:val="TableText"/>
              <w:numPr>
                <w:ilvl w:val="0"/>
                <w:numId w:val="61"/>
              </w:numPr>
            </w:pPr>
            <w:r>
              <w:t>Cancellation Comment, if any</w:t>
            </w:r>
          </w:p>
          <w:p w14:paraId="173729D6" w14:textId="77777777" w:rsidR="008E4599" w:rsidRDefault="008E4599" w:rsidP="00925CAD">
            <w:pPr>
              <w:pStyle w:val="TableText"/>
              <w:numPr>
                <w:ilvl w:val="0"/>
                <w:numId w:val="61"/>
              </w:numPr>
            </w:pPr>
            <w:r>
              <w:t>Ordering Provider</w:t>
            </w:r>
          </w:p>
          <w:p w14:paraId="3A4CB070" w14:textId="77777777" w:rsidR="008E4599" w:rsidRDefault="008E4599" w:rsidP="00925CAD">
            <w:pPr>
              <w:pStyle w:val="TableText"/>
              <w:numPr>
                <w:ilvl w:val="0"/>
                <w:numId w:val="61"/>
              </w:numPr>
            </w:pPr>
            <w:r>
              <w:t>Ordering Location</w:t>
            </w:r>
          </w:p>
          <w:p w14:paraId="2B198D48" w14:textId="77777777" w:rsidR="008E4599" w:rsidRDefault="008E4599" w:rsidP="00925CAD">
            <w:pPr>
              <w:pStyle w:val="TableText"/>
              <w:numPr>
                <w:ilvl w:val="0"/>
                <w:numId w:val="61"/>
              </w:numPr>
            </w:pPr>
            <w:r>
              <w:t>Treating Specialty (patient at time of order)</w:t>
            </w:r>
          </w:p>
          <w:p w14:paraId="0E4DDFC5" w14:textId="77777777" w:rsidR="008E4599" w:rsidRDefault="008E4599" w:rsidP="00925CAD">
            <w:pPr>
              <w:pStyle w:val="TableText"/>
              <w:numPr>
                <w:ilvl w:val="0"/>
                <w:numId w:val="61"/>
              </w:numPr>
            </w:pPr>
            <w:r>
              <w:rPr>
                <w:snapToGrid w:val="0"/>
              </w:rPr>
              <w:t>Component or Diagnostic Test originally ordered</w:t>
            </w:r>
          </w:p>
          <w:p w14:paraId="5C8E4F86" w14:textId="77777777" w:rsidR="008E4599" w:rsidRDefault="008E4599" w:rsidP="00925CAD">
            <w:pPr>
              <w:pStyle w:val="TableText"/>
              <w:numPr>
                <w:ilvl w:val="0"/>
                <w:numId w:val="61"/>
              </w:numPr>
            </w:pPr>
            <w:r>
              <w:t>All Added Reflex Tests, Date(s), and Requesting Tech Name</w:t>
            </w:r>
          </w:p>
          <w:p w14:paraId="5A8DA20B" w14:textId="77777777" w:rsidR="008E4599" w:rsidRDefault="008E4599" w:rsidP="00925CAD">
            <w:pPr>
              <w:pStyle w:val="TableText"/>
              <w:numPr>
                <w:ilvl w:val="0"/>
                <w:numId w:val="61"/>
              </w:numPr>
            </w:pPr>
            <w:r>
              <w:t>Inappropriate Request Information, if any</w:t>
            </w:r>
          </w:p>
          <w:p w14:paraId="068E5C16" w14:textId="77777777" w:rsidR="008E4599" w:rsidRDefault="008E4599" w:rsidP="00925CAD">
            <w:pPr>
              <w:pStyle w:val="TableText"/>
              <w:numPr>
                <w:ilvl w:val="0"/>
                <w:numId w:val="61"/>
              </w:numPr>
            </w:pPr>
            <w:r>
              <w:t>Workload name and VistA (LMIP) code after completion</w:t>
            </w:r>
          </w:p>
          <w:p w14:paraId="1E6F7489" w14:textId="77777777" w:rsidR="005B6A94" w:rsidRDefault="008E4599" w:rsidP="00925CAD">
            <w:pPr>
              <w:pStyle w:val="TableText"/>
              <w:numPr>
                <w:ilvl w:val="0"/>
                <w:numId w:val="61"/>
              </w:numPr>
            </w:pPr>
            <w:r>
              <w:t>Exception report section message: Exception report details are available as part of the patient’s record. Refer to the specimen section of the patient’s record.</w:t>
            </w:r>
          </w:p>
        </w:tc>
      </w:tr>
      <w:tr w:rsidR="00D45D8C" w14:paraId="5A8E1F50" w14:textId="77777777">
        <w:tc>
          <w:tcPr>
            <w:tcW w:w="3240" w:type="dxa"/>
            <w:tcBorders>
              <w:top w:val="single" w:sz="4" w:space="0" w:color="auto"/>
              <w:left w:val="single" w:sz="4" w:space="0" w:color="auto"/>
              <w:bottom w:val="single" w:sz="4" w:space="0" w:color="auto"/>
              <w:right w:val="single" w:sz="4" w:space="0" w:color="auto"/>
            </w:tcBorders>
          </w:tcPr>
          <w:p w14:paraId="237792DD" w14:textId="0D99F276" w:rsidR="00D45D8C" w:rsidRDefault="00D45D8C" w:rsidP="00D45D8C">
            <w:pPr>
              <w:pStyle w:val="TableTextNumbers"/>
            </w:pPr>
            <w:r w:rsidRPr="0076371D">
              <w:lastRenderedPageBreak/>
              <w:t xml:space="preserve">Select </w:t>
            </w:r>
            <w:r w:rsidRPr="0076371D">
              <w:rPr>
                <w:b/>
              </w:rPr>
              <w:t xml:space="preserve">Print </w:t>
            </w:r>
            <w:r w:rsidRPr="0076371D">
              <w:t>to print the repor</w:t>
            </w:r>
            <w:r>
              <w:t>t</w:t>
            </w:r>
            <w:r w:rsidRPr="0076371D">
              <w:t xml:space="preserve">, </w:t>
            </w:r>
            <w:r w:rsidRPr="0076371D">
              <w:rPr>
                <w:b/>
              </w:rPr>
              <w:t>Export</w:t>
            </w:r>
            <w:r w:rsidRPr="0076371D">
              <w:t xml:space="preserve"> </w:t>
            </w:r>
            <w:r>
              <w:t xml:space="preserve">to export the report </w:t>
            </w:r>
            <w:r w:rsidRPr="0076371D">
              <w:rPr>
                <w:szCs w:val="18"/>
              </w:rPr>
              <w:t xml:space="preserve">(See </w:t>
            </w:r>
            <w:r w:rsidR="00EE455E" w:rsidRPr="00EE455E">
              <w:rPr>
                <w:szCs w:val="18"/>
              </w:rPr>
              <w:t>Report Export</w:t>
            </w:r>
            <w:r>
              <w:rPr>
                <w:szCs w:val="18"/>
              </w:rPr>
              <w:t xml:space="preserve"> section</w:t>
            </w:r>
            <w:r w:rsidRPr="0076371D">
              <w:rPr>
                <w:szCs w:val="18"/>
              </w:rPr>
              <w:t>)</w:t>
            </w:r>
            <w:r>
              <w:t xml:space="preserve">, </w:t>
            </w:r>
            <w:r>
              <w:rPr>
                <w:szCs w:val="18"/>
              </w:rPr>
              <w:t xml:space="preserve">or </w:t>
            </w:r>
            <w:r w:rsidRPr="0076371D">
              <w:t xml:space="preserve">click </w:t>
            </w:r>
            <w:r w:rsidRPr="0076371D">
              <w:rPr>
                <w:b/>
              </w:rPr>
              <w:t>Close</w:t>
            </w:r>
            <w:r w:rsidRPr="0076371D">
              <w:t xml:space="preserve"> to exit</w:t>
            </w:r>
            <w:r>
              <w:t xml:space="preserve"> without printing</w:t>
            </w:r>
            <w:r w:rsidR="0032553E">
              <w:rPr>
                <w:rStyle w:val="StyleTableTextNumbersWhite1Char"/>
              </w:rPr>
              <w:t>.</w:t>
            </w:r>
          </w:p>
        </w:tc>
        <w:tc>
          <w:tcPr>
            <w:tcW w:w="6120" w:type="dxa"/>
            <w:tcBorders>
              <w:top w:val="single" w:sz="4" w:space="0" w:color="auto"/>
              <w:left w:val="single" w:sz="4" w:space="0" w:color="auto"/>
              <w:bottom w:val="single" w:sz="4" w:space="0" w:color="auto"/>
              <w:right w:val="single" w:sz="4" w:space="0" w:color="auto"/>
            </w:tcBorders>
          </w:tcPr>
          <w:p w14:paraId="2BBAD4C1" w14:textId="77777777" w:rsidR="00D45D8C" w:rsidRDefault="00D45D8C" w:rsidP="00D45D8C">
            <w:pPr>
              <w:pStyle w:val="TableTextBullet"/>
            </w:pPr>
            <w:r>
              <w:t>If Print is selected, prints the report on the designated printer.</w:t>
            </w:r>
          </w:p>
          <w:p w14:paraId="3980B92B" w14:textId="047B99F3" w:rsidR="00D45D8C" w:rsidRDefault="00D45D8C" w:rsidP="00D45D8C">
            <w:pPr>
              <w:pStyle w:val="TableTextBullet"/>
            </w:pPr>
            <w:r>
              <w:t>If Export is selected, exports the report to the designated file.</w:t>
            </w:r>
          </w:p>
          <w:p w14:paraId="3D49FD7B" w14:textId="712EB6FD" w:rsidR="00D45D8C" w:rsidRDefault="00D45D8C" w:rsidP="00D45D8C">
            <w:pPr>
              <w:pStyle w:val="TableTextBullet"/>
            </w:pPr>
            <w:r>
              <w:t>If Close is selected, exits the report preview.</w:t>
            </w:r>
          </w:p>
        </w:tc>
      </w:tr>
    </w:tbl>
    <w:p w14:paraId="4E2CD9A7" w14:textId="77777777" w:rsidR="002A21AE" w:rsidRDefault="00F55832">
      <w:pPr>
        <w:pStyle w:val="Heading2"/>
      </w:pPr>
      <w:r>
        <w:br w:type="page"/>
      </w:r>
      <w:bookmarkStart w:id="641" w:name="_Toc203765956"/>
      <w:r w:rsidR="002A21AE">
        <w:lastRenderedPageBreak/>
        <w:t>Patient History Report</w:t>
      </w:r>
      <w:bookmarkEnd w:id="641"/>
      <w:r w:rsidR="002A21AE">
        <w:fldChar w:fldCharType="begin"/>
      </w:r>
      <w:r w:rsidR="002A21AE">
        <w:instrText xml:space="preserve"> XE </w:instrText>
      </w:r>
      <w:r w:rsidR="00FA7E65">
        <w:instrText>“</w:instrText>
      </w:r>
      <w:r w:rsidR="002A21AE">
        <w:instrText>Patient History Report</w:instrText>
      </w:r>
      <w:r w:rsidR="00FA7E65">
        <w:instrText>”</w:instrText>
      </w:r>
      <w:r w:rsidR="002A21AE">
        <w:instrText xml:space="preserve"> </w:instrText>
      </w:r>
      <w:r w:rsidR="002A21AE">
        <w:fldChar w:fldCharType="end"/>
      </w:r>
      <w:r w:rsidR="002A21AE">
        <w:t xml:space="preserve"> </w:t>
      </w:r>
      <w:r w:rsidR="002A21AE">
        <w:rPr>
          <w:rFonts w:ascii="Times New Roman" w:hAnsi="Times New Roman" w:cs="Times New Roman"/>
          <w:b w:val="0"/>
          <w:i w:val="0"/>
          <w:vanish/>
          <w:sz w:val="22"/>
        </w:rPr>
        <w:t>UC_101</w:t>
      </w:r>
    </w:p>
    <w:p w14:paraId="29A6C1F2" w14:textId="77777777" w:rsidR="002A21AE" w:rsidRDefault="002A21AE" w:rsidP="00FA7E65">
      <w:pPr>
        <w:pStyle w:val="BodyText"/>
      </w:pPr>
      <w:r>
        <w:t>The user views and</w:t>
      </w:r>
      <w:r w:rsidR="000054DE">
        <w:t>/or</w:t>
      </w:r>
      <w:r>
        <w:t xml:space="preserve"> prints </w:t>
      </w:r>
      <w:r w:rsidR="000054DE">
        <w:t>the Patient History Report</w:t>
      </w:r>
      <w:r>
        <w:t>.</w:t>
      </w:r>
    </w:p>
    <w:p w14:paraId="7D6B386D" w14:textId="77777777" w:rsidR="002A21AE" w:rsidRDefault="002A21AE">
      <w:pPr>
        <w:pStyle w:val="Heading4"/>
      </w:pPr>
      <w:bookmarkStart w:id="642" w:name="_Toc94349358"/>
      <w:r>
        <w:t>Assumptions</w:t>
      </w:r>
      <w:bookmarkEnd w:id="642"/>
      <w:r>
        <w:rPr>
          <w:b w:val="0"/>
        </w:rPr>
        <w:t xml:space="preserve"> </w:t>
      </w:r>
    </w:p>
    <w:p w14:paraId="1560B3CC" w14:textId="77777777" w:rsidR="002A21AE" w:rsidRDefault="002A21AE">
      <w:pPr>
        <w:pStyle w:val="ListBullet"/>
      </w:pPr>
      <w:r>
        <w:t>VBECS displays the report header even when there is no information in the report.</w:t>
      </w:r>
    </w:p>
    <w:p w14:paraId="39DE58E0" w14:textId="77777777" w:rsidR="002A21AE" w:rsidRDefault="002A21AE">
      <w:pPr>
        <w:pStyle w:val="Heading4"/>
      </w:pPr>
      <w:bookmarkStart w:id="643" w:name="_Toc94349359"/>
      <w:r>
        <w:t>Outcome</w:t>
      </w:r>
      <w:bookmarkEnd w:id="643"/>
      <w:r>
        <w:t xml:space="preserve"> </w:t>
      </w:r>
    </w:p>
    <w:p w14:paraId="220452F5" w14:textId="77777777" w:rsidR="002A21AE" w:rsidRDefault="002A21AE">
      <w:pPr>
        <w:pStyle w:val="ListBullet"/>
      </w:pPr>
      <w:r>
        <w:t>The user views and prints a patient’s VBECS record.</w:t>
      </w:r>
    </w:p>
    <w:p w14:paraId="1AEF42B8" w14:textId="77777777" w:rsidR="002A21AE" w:rsidRDefault="002A21AE">
      <w:pPr>
        <w:pStyle w:val="Heading4"/>
      </w:pPr>
      <w:bookmarkStart w:id="644" w:name="_Toc94349360"/>
      <w:r>
        <w:t>Limitations and Restrictions</w:t>
      </w:r>
      <w:bookmarkEnd w:id="644"/>
      <w:r>
        <w:rPr>
          <w:b w:val="0"/>
        </w:rPr>
        <w:t xml:space="preserve"> </w:t>
      </w:r>
    </w:p>
    <w:p w14:paraId="67DF4BC8" w14:textId="2D98EFCC" w:rsidR="002A21AE" w:rsidRPr="00D94DA3" w:rsidRDefault="00831D8F">
      <w:pPr>
        <w:pStyle w:val="ListBullet"/>
      </w:pPr>
      <w:r>
        <w:t>When units are restricted for a patient during Incoming Shipment, VBECS does not display the</w:t>
      </w:r>
      <w:r w:rsidR="006E3236">
        <w:t>m on the Patient History Report</w:t>
      </w:r>
      <w:r w:rsidR="002A21AE">
        <w:t>.</w:t>
      </w:r>
      <w:r>
        <w:t xml:space="preserve"> </w:t>
      </w:r>
      <w:r w:rsidR="001D3AF6">
        <w:rPr>
          <w:vanish/>
        </w:rPr>
        <w:t>Defect 212160</w:t>
      </w:r>
    </w:p>
    <w:p w14:paraId="7C6B27AC" w14:textId="77777777" w:rsidR="00D94DA3" w:rsidRDefault="00D94DA3" w:rsidP="00D94DA3">
      <w:pPr>
        <w:pStyle w:val="ListBullet"/>
      </w:pPr>
      <w:r>
        <w:t xml:space="preserve">VBECS displays these default values </w:t>
      </w:r>
      <w:r w:rsidR="00FF5006">
        <w:t>for</w:t>
      </w:r>
      <w:r>
        <w:t xml:space="preserve"> transfusion reactions converted from VistA to VBECS. </w:t>
      </w:r>
      <w:r w:rsidR="00FF5006">
        <w:t>They do not</w:t>
      </w:r>
      <w:r>
        <w:t xml:space="preserve"> </w:t>
      </w:r>
      <w:r w:rsidR="00FF5006">
        <w:t>reflect actual interpretations or results:</w:t>
      </w:r>
      <w:r w:rsidR="00FF5006" w:rsidRPr="00FF5006">
        <w:rPr>
          <w:vanish/>
        </w:rPr>
        <w:t xml:space="preserve"> (DR 2,724)</w:t>
      </w:r>
    </w:p>
    <w:tbl>
      <w:tblPr>
        <w:tblW w:w="8640"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14"/>
        <w:gridCol w:w="3326"/>
      </w:tblGrid>
      <w:tr w:rsidR="00FF5006" w:rsidRPr="00887834" w14:paraId="19DF46D8" w14:textId="77777777">
        <w:trPr>
          <w:tblHeader/>
        </w:trPr>
        <w:tc>
          <w:tcPr>
            <w:tcW w:w="4428" w:type="dxa"/>
            <w:shd w:val="clear" w:color="auto" w:fill="B3B3B3"/>
          </w:tcPr>
          <w:p w14:paraId="35DDE087" w14:textId="77777777" w:rsidR="00FF5006" w:rsidRPr="00887834" w:rsidRDefault="00FF5006" w:rsidP="00FF5006">
            <w:pPr>
              <w:pStyle w:val="TableText"/>
              <w:rPr>
                <w:b/>
              </w:rPr>
            </w:pPr>
            <w:r w:rsidRPr="00887834">
              <w:rPr>
                <w:b/>
              </w:rPr>
              <w:t>Converted Transfusion Reaction</w:t>
            </w:r>
          </w:p>
        </w:tc>
        <w:tc>
          <w:tcPr>
            <w:tcW w:w="2772" w:type="dxa"/>
            <w:shd w:val="clear" w:color="auto" w:fill="B3B3B3"/>
          </w:tcPr>
          <w:p w14:paraId="1BFB7C61" w14:textId="77777777" w:rsidR="00FF5006" w:rsidRPr="00887834" w:rsidRDefault="00FF5006" w:rsidP="00FF5006">
            <w:pPr>
              <w:pStyle w:val="TableText"/>
              <w:rPr>
                <w:b/>
              </w:rPr>
            </w:pPr>
            <w:r w:rsidRPr="00887834">
              <w:rPr>
                <w:b/>
              </w:rPr>
              <w:t>Default</w:t>
            </w:r>
          </w:p>
        </w:tc>
      </w:tr>
      <w:tr w:rsidR="00FF5006" w14:paraId="78B9CA1A" w14:textId="77777777">
        <w:tc>
          <w:tcPr>
            <w:tcW w:w="4428" w:type="dxa"/>
          </w:tcPr>
          <w:p w14:paraId="25AD8963" w14:textId="77777777" w:rsidR="00FF5006" w:rsidRDefault="00FF5006" w:rsidP="00FF5006">
            <w:pPr>
              <w:pStyle w:val="TableText"/>
            </w:pPr>
            <w:r>
              <w:t xml:space="preserve">Pre-Transfusion Specimen Checks, Hemolysis Checks OK? </w:t>
            </w:r>
          </w:p>
        </w:tc>
        <w:tc>
          <w:tcPr>
            <w:tcW w:w="2772" w:type="dxa"/>
          </w:tcPr>
          <w:p w14:paraId="0D7C684B" w14:textId="77777777" w:rsidR="00FF5006" w:rsidRDefault="00FF5006" w:rsidP="00FF5006">
            <w:pPr>
              <w:pStyle w:val="TableText"/>
            </w:pPr>
            <w:r>
              <w:t>Yes</w:t>
            </w:r>
          </w:p>
        </w:tc>
      </w:tr>
      <w:tr w:rsidR="00FF5006" w14:paraId="33C7CDFF" w14:textId="77777777">
        <w:tc>
          <w:tcPr>
            <w:tcW w:w="4428" w:type="dxa"/>
          </w:tcPr>
          <w:p w14:paraId="0A8B44E1" w14:textId="77777777" w:rsidR="00FF5006" w:rsidRDefault="00FF5006" w:rsidP="00FF5006">
            <w:pPr>
              <w:pStyle w:val="TableText"/>
            </w:pPr>
            <w:r>
              <w:t xml:space="preserve">Post-Transfusion Specimen Checks, Hemolysis Checks OK? </w:t>
            </w:r>
          </w:p>
        </w:tc>
        <w:tc>
          <w:tcPr>
            <w:tcW w:w="2772" w:type="dxa"/>
          </w:tcPr>
          <w:p w14:paraId="1BDE21EA" w14:textId="77777777" w:rsidR="00FF5006" w:rsidRDefault="00FF5006" w:rsidP="00FF5006">
            <w:pPr>
              <w:pStyle w:val="TableText"/>
            </w:pPr>
            <w:r>
              <w:t>Yes</w:t>
            </w:r>
          </w:p>
        </w:tc>
      </w:tr>
      <w:tr w:rsidR="00FF5006" w14:paraId="583934E2" w14:textId="77777777">
        <w:tc>
          <w:tcPr>
            <w:tcW w:w="4428" w:type="dxa"/>
          </w:tcPr>
          <w:p w14:paraId="13368E20" w14:textId="77777777" w:rsidR="00FF5006" w:rsidRDefault="00A1063F" w:rsidP="00FF5006">
            <w:pPr>
              <w:pStyle w:val="TableText"/>
            </w:pPr>
            <w:r>
              <w:t>Symptoms</w:t>
            </w:r>
          </w:p>
        </w:tc>
        <w:tc>
          <w:tcPr>
            <w:tcW w:w="2772" w:type="dxa"/>
          </w:tcPr>
          <w:p w14:paraId="2EF716FA" w14:textId="77777777" w:rsidR="00FF5006" w:rsidRDefault="00FF5006" w:rsidP="00FF5006">
            <w:pPr>
              <w:pStyle w:val="TableText"/>
            </w:pPr>
            <w:r>
              <w:t>No symptoms identified.</w:t>
            </w:r>
          </w:p>
        </w:tc>
      </w:tr>
      <w:tr w:rsidR="00FF5006" w14:paraId="277F0727" w14:textId="77777777">
        <w:tc>
          <w:tcPr>
            <w:tcW w:w="4428" w:type="dxa"/>
          </w:tcPr>
          <w:p w14:paraId="25AEA78E" w14:textId="77777777" w:rsidR="00FF5006" w:rsidRDefault="00FF5006" w:rsidP="00FF5006">
            <w:pPr>
              <w:pStyle w:val="TableText"/>
            </w:pPr>
            <w:r>
              <w:t>Implicated units</w:t>
            </w:r>
          </w:p>
        </w:tc>
        <w:tc>
          <w:tcPr>
            <w:tcW w:w="2772" w:type="dxa"/>
          </w:tcPr>
          <w:p w14:paraId="385ECA2E" w14:textId="77777777" w:rsidR="00FF5006" w:rsidRDefault="00FF5006" w:rsidP="00FF5006">
            <w:pPr>
              <w:pStyle w:val="TableText"/>
            </w:pPr>
            <w:r>
              <w:t>No units implicated in reaction.</w:t>
            </w:r>
          </w:p>
        </w:tc>
      </w:tr>
      <w:tr w:rsidR="00FF5006" w14:paraId="7F3FD19D" w14:textId="77777777">
        <w:tc>
          <w:tcPr>
            <w:tcW w:w="4428" w:type="dxa"/>
          </w:tcPr>
          <w:p w14:paraId="4F421EBC" w14:textId="77777777" w:rsidR="00FF5006" w:rsidRDefault="00FF5006" w:rsidP="00FF5006">
            <w:pPr>
              <w:pStyle w:val="TableText"/>
            </w:pPr>
            <w:r>
              <w:t>Serologic tests</w:t>
            </w:r>
          </w:p>
        </w:tc>
        <w:tc>
          <w:tcPr>
            <w:tcW w:w="2772" w:type="dxa"/>
          </w:tcPr>
          <w:p w14:paraId="36A1FBA6" w14:textId="77777777" w:rsidR="00FF5006" w:rsidRDefault="00FF5006" w:rsidP="00FF5006">
            <w:pPr>
              <w:pStyle w:val="TableText"/>
            </w:pPr>
            <w:r>
              <w:t>No serologic tests performed.</w:t>
            </w:r>
          </w:p>
        </w:tc>
      </w:tr>
    </w:tbl>
    <w:p w14:paraId="4E596AB9" w14:textId="77777777" w:rsidR="002A21AE" w:rsidRDefault="002A21AE">
      <w:pPr>
        <w:pStyle w:val="Heading4"/>
      </w:pPr>
      <w:bookmarkStart w:id="645" w:name="_Toc94349361"/>
      <w:r>
        <w:t>Additional Information</w:t>
      </w:r>
      <w:bookmarkEnd w:id="645"/>
      <w:r>
        <w:t xml:space="preserve"> </w:t>
      </w:r>
    </w:p>
    <w:p w14:paraId="57600A41" w14:textId="77777777" w:rsidR="00831D8F" w:rsidRDefault="00831D8F" w:rsidP="00831D8F">
      <w:pPr>
        <w:pStyle w:val="ListBullet"/>
      </w:pPr>
      <w:r>
        <w:t>The patient record report is divided into sections for report retrieval.</w:t>
      </w:r>
    </w:p>
    <w:p w14:paraId="1A7651A8" w14:textId="77777777" w:rsidR="004F0553" w:rsidRDefault="004F0553">
      <w:pPr>
        <w:pStyle w:val="ListBullet"/>
      </w:pPr>
      <w:r>
        <w:t>This report includes:</w:t>
      </w:r>
    </w:p>
    <w:p w14:paraId="48275F0A" w14:textId="77777777" w:rsidR="004F0553" w:rsidRDefault="004F0553" w:rsidP="004F0553">
      <w:pPr>
        <w:pStyle w:val="ListBullet2"/>
      </w:pPr>
      <w:r>
        <w:t>Post-transfusion details.</w:t>
      </w:r>
    </w:p>
    <w:p w14:paraId="2975E7A3" w14:textId="77777777" w:rsidR="002A21AE" w:rsidRDefault="004F0553" w:rsidP="004F0553">
      <w:pPr>
        <w:pStyle w:val="ListBullet2"/>
      </w:pPr>
      <w:r>
        <w:t>Data</w:t>
      </w:r>
      <w:r w:rsidR="002A21AE">
        <w:t xml:space="preserve"> from all divisions within the database.</w:t>
      </w:r>
    </w:p>
    <w:p w14:paraId="2B442C5C" w14:textId="77777777" w:rsidR="002A21AE" w:rsidRDefault="002A21AE">
      <w:pPr>
        <w:pStyle w:val="Heading4"/>
        <w:rPr>
          <w:b w:val="0"/>
        </w:rPr>
      </w:pPr>
      <w:bookmarkStart w:id="646" w:name="_Toc94349362"/>
      <w:r>
        <w:t>User Roles with Access to This Option</w:t>
      </w:r>
      <w:bookmarkEnd w:id="646"/>
      <w:r>
        <w:rPr>
          <w:b w:val="0"/>
        </w:rPr>
        <w:t xml:space="preserve"> </w:t>
      </w:r>
    </w:p>
    <w:p w14:paraId="71669E95" w14:textId="77777777" w:rsidR="002A21AE" w:rsidRDefault="00184EA4">
      <w:pPr>
        <w:pStyle w:val="Roles"/>
      </w:pPr>
      <w:r>
        <w:t>All users</w:t>
      </w:r>
    </w:p>
    <w:p w14:paraId="08DEC02E" w14:textId="77777777" w:rsidR="002A21AE" w:rsidRDefault="002A21AE">
      <w:pPr>
        <w:pStyle w:val="Heading4"/>
      </w:pPr>
      <w:bookmarkStart w:id="647" w:name="_Toc94349363"/>
      <w:r>
        <w:t>Patient History Report</w:t>
      </w:r>
      <w:bookmarkEnd w:id="647"/>
    </w:p>
    <w:p w14:paraId="647F5689" w14:textId="77777777" w:rsidR="002A21AE" w:rsidRDefault="002A21AE" w:rsidP="00FA7E65">
      <w:pPr>
        <w:pStyle w:val="BodyText"/>
      </w:pPr>
      <w:r>
        <w:t>The user views and/or prints the patient’s VBECS record.</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70909013" w14:textId="77777777">
        <w:trPr>
          <w:tblHeader/>
        </w:trPr>
        <w:tc>
          <w:tcPr>
            <w:tcW w:w="3240" w:type="dxa"/>
            <w:shd w:val="pct30" w:color="auto" w:fill="FFFFFF"/>
            <w:vAlign w:val="bottom"/>
          </w:tcPr>
          <w:p w14:paraId="0427BDF5" w14:textId="77777777" w:rsidR="002A21AE" w:rsidRDefault="002A21AE">
            <w:pPr>
              <w:pStyle w:val="TableText"/>
              <w:rPr>
                <w:b/>
              </w:rPr>
            </w:pPr>
            <w:r>
              <w:rPr>
                <w:b/>
              </w:rPr>
              <w:t>User Action</w:t>
            </w:r>
          </w:p>
        </w:tc>
        <w:tc>
          <w:tcPr>
            <w:tcW w:w="6120" w:type="dxa"/>
            <w:shd w:val="pct30" w:color="auto" w:fill="FFFFFF"/>
            <w:vAlign w:val="bottom"/>
          </w:tcPr>
          <w:p w14:paraId="03AF20F9" w14:textId="77777777" w:rsidR="002A21AE" w:rsidRDefault="002A21AE">
            <w:pPr>
              <w:pStyle w:val="TableText"/>
              <w:rPr>
                <w:b/>
              </w:rPr>
            </w:pPr>
            <w:r>
              <w:rPr>
                <w:b/>
              </w:rPr>
              <w:t>VBECS</w:t>
            </w:r>
          </w:p>
        </w:tc>
      </w:tr>
      <w:tr w:rsidR="002A21AE" w14:paraId="6FC27939" w14:textId="77777777">
        <w:tc>
          <w:tcPr>
            <w:tcW w:w="3240" w:type="dxa"/>
          </w:tcPr>
          <w:p w14:paraId="74F41BC4" w14:textId="77777777" w:rsidR="002A21AE" w:rsidRDefault="002A21AE">
            <w:pPr>
              <w:pStyle w:val="TableTextNumbers"/>
            </w:pPr>
            <w:r>
              <w:t xml:space="preserve">Select </w:t>
            </w:r>
            <w:r>
              <w:rPr>
                <w:b/>
              </w:rPr>
              <w:t>Patients</w:t>
            </w:r>
            <w:r>
              <w:t xml:space="preserve"> or </w:t>
            </w:r>
            <w:r>
              <w:rPr>
                <w:b/>
              </w:rPr>
              <w:t>Reports</w:t>
            </w:r>
            <w:r>
              <w:t xml:space="preserve"> from the main menu.</w:t>
            </w:r>
          </w:p>
          <w:p w14:paraId="53DA1993" w14:textId="77777777" w:rsidR="002A21AE" w:rsidRDefault="002A21AE">
            <w:pPr>
              <w:pStyle w:val="TableTextNumbersContinued"/>
            </w:pPr>
          </w:p>
          <w:p w14:paraId="7114017A" w14:textId="77777777" w:rsidR="002A21AE" w:rsidRDefault="002A21AE">
            <w:pPr>
              <w:pStyle w:val="TableTextNumbersContinued"/>
            </w:pPr>
            <w:r>
              <w:t xml:space="preserve">Select </w:t>
            </w:r>
            <w:r>
              <w:rPr>
                <w:b/>
              </w:rPr>
              <w:t>Patient History Report</w:t>
            </w:r>
            <w:r>
              <w:t>.</w:t>
            </w:r>
          </w:p>
        </w:tc>
        <w:tc>
          <w:tcPr>
            <w:tcW w:w="6120" w:type="dxa"/>
          </w:tcPr>
          <w:p w14:paraId="2789A6CC" w14:textId="77777777" w:rsidR="002A21AE" w:rsidRDefault="002A21AE">
            <w:pPr>
              <w:pStyle w:val="TableTextBullet"/>
            </w:pPr>
            <w:r>
              <w:t>Displays options for processing patient-related functions, or for generating, viewing, and printing reports.</w:t>
            </w:r>
          </w:p>
          <w:p w14:paraId="66D0B527" w14:textId="77777777" w:rsidR="002A21AE" w:rsidRDefault="002A21AE">
            <w:pPr>
              <w:pStyle w:val="TableTextBullet"/>
            </w:pPr>
            <w:r>
              <w:t>Displays report sections and compilation criteria.</w:t>
            </w:r>
          </w:p>
        </w:tc>
      </w:tr>
      <w:tr w:rsidR="002A21AE" w14:paraId="115C29AE" w14:textId="77777777" w:rsidTr="00305B16">
        <w:trPr>
          <w:cantSplit/>
        </w:trPr>
        <w:tc>
          <w:tcPr>
            <w:tcW w:w="3240" w:type="dxa"/>
          </w:tcPr>
          <w:p w14:paraId="12B17AAB" w14:textId="77777777" w:rsidR="002A21AE" w:rsidRDefault="002A21AE">
            <w:pPr>
              <w:pStyle w:val="TableTextNumbers"/>
            </w:pPr>
            <w:r>
              <w:lastRenderedPageBreak/>
              <w:t xml:space="preserve">Enter the patient name </w:t>
            </w:r>
            <w:r w:rsidRPr="00945BF5">
              <w:t>and/or ID</w:t>
            </w:r>
            <w:r>
              <w:t xml:space="preserve">, or click the </w:t>
            </w:r>
            <w:r w:rsidR="00A6373D" w:rsidRPr="00945BF5">
              <w:rPr>
                <w:b/>
              </w:rPr>
              <w:t>find</w:t>
            </w:r>
            <w:r>
              <w:rPr>
                <w:b/>
              </w:rPr>
              <w:t xml:space="preserve"> </w:t>
            </w:r>
            <w:r w:rsidRPr="00D1100E">
              <w:t>button</w:t>
            </w:r>
            <w:r>
              <w:t xml:space="preserve"> to search for patient data.</w:t>
            </w:r>
          </w:p>
          <w:p w14:paraId="3DBBA872" w14:textId="77777777" w:rsidR="002A21AE" w:rsidRDefault="002A21AE">
            <w:pPr>
              <w:pStyle w:val="TableTextNumbersContinued"/>
            </w:pPr>
          </w:p>
          <w:p w14:paraId="6339EB56" w14:textId="77777777" w:rsidR="002A21AE" w:rsidRDefault="002A21AE">
            <w:pPr>
              <w:pStyle w:val="TableTextNumbersContinued"/>
            </w:pPr>
            <w:r>
              <w:t xml:space="preserve">Click </w:t>
            </w:r>
            <w:r>
              <w:rPr>
                <w:b/>
              </w:rPr>
              <w:t>OK</w:t>
            </w:r>
            <w:r>
              <w:t>.</w:t>
            </w:r>
          </w:p>
        </w:tc>
        <w:tc>
          <w:tcPr>
            <w:tcW w:w="6120" w:type="dxa"/>
          </w:tcPr>
          <w:p w14:paraId="40063ED9" w14:textId="77777777" w:rsidR="002A21AE" w:rsidRDefault="002A21AE">
            <w:pPr>
              <w:pStyle w:val="TableTextBullet"/>
              <w:tabs>
                <w:tab w:val="num" w:pos="360"/>
              </w:tabs>
            </w:pPr>
            <w:r>
              <w:t>Allows the entry or selection of a patient.</w:t>
            </w:r>
          </w:p>
          <w:p w14:paraId="4AA5E74B" w14:textId="77777777" w:rsidR="002A21AE" w:rsidRDefault="002A21AE">
            <w:pPr>
              <w:pStyle w:val="TableTextBullet"/>
              <w:tabs>
                <w:tab w:val="num" w:pos="360"/>
              </w:tabs>
            </w:pPr>
            <w:r>
              <w:t>Displays the patient report section types for selection:</w:t>
            </w:r>
          </w:p>
          <w:p w14:paraId="59A707A1" w14:textId="77777777" w:rsidR="002A21AE" w:rsidRDefault="002A21AE">
            <w:pPr>
              <w:pStyle w:val="TableTextBullet1"/>
            </w:pPr>
            <w:r>
              <w:t>Patient Demographic History</w:t>
            </w:r>
          </w:p>
          <w:p w14:paraId="77DC8E17" w14:textId="77777777" w:rsidR="002A21AE" w:rsidRDefault="002A21AE">
            <w:pPr>
              <w:pStyle w:val="TableTextBullet1"/>
            </w:pPr>
            <w:r>
              <w:t>Transfusion Requirements</w:t>
            </w:r>
          </w:p>
          <w:p w14:paraId="63440A0E" w14:textId="77777777" w:rsidR="002A21AE" w:rsidRDefault="002A21AE">
            <w:pPr>
              <w:pStyle w:val="TableTextBullet1"/>
            </w:pPr>
            <w:r>
              <w:t>Testing Details</w:t>
            </w:r>
          </w:p>
          <w:p w14:paraId="4442A51C" w14:textId="77777777" w:rsidR="002A21AE" w:rsidRDefault="002A21AE">
            <w:pPr>
              <w:pStyle w:val="TableTextBullet1"/>
            </w:pPr>
            <w:r>
              <w:t>Unit Assignment History</w:t>
            </w:r>
          </w:p>
          <w:p w14:paraId="4BC4FDD6" w14:textId="77777777" w:rsidR="002A21AE" w:rsidRDefault="002A21AE">
            <w:pPr>
              <w:pStyle w:val="TableTextBullet1"/>
            </w:pPr>
            <w:r>
              <w:t>Transfusion History</w:t>
            </w:r>
          </w:p>
          <w:p w14:paraId="5F4ACC56" w14:textId="77777777" w:rsidR="002A21AE" w:rsidRDefault="002A21AE">
            <w:pPr>
              <w:pStyle w:val="TableTextBullet1"/>
            </w:pPr>
            <w:r>
              <w:t>Specimen Details</w:t>
            </w:r>
          </w:p>
          <w:p w14:paraId="538DF807" w14:textId="77777777" w:rsidR="002A21AE" w:rsidRDefault="002A21AE">
            <w:pPr>
              <w:pStyle w:val="TableTextBullet1"/>
            </w:pPr>
            <w:r>
              <w:t>Special Instructions</w:t>
            </w:r>
          </w:p>
          <w:p w14:paraId="0870F6E5" w14:textId="77777777" w:rsidR="002A21AE" w:rsidRDefault="002A21AE">
            <w:pPr>
              <w:pStyle w:val="TableTextBullet1"/>
            </w:pPr>
            <w:r>
              <w:t>Transfusion Reaction Details</w:t>
            </w:r>
          </w:p>
          <w:p w14:paraId="70BC5434" w14:textId="77777777" w:rsidR="002A21AE" w:rsidRDefault="002A21AE">
            <w:pPr>
              <w:pStyle w:val="TableTextBullet1"/>
            </w:pPr>
            <w:r>
              <w:t>Exception Report Entries</w:t>
            </w:r>
          </w:p>
          <w:p w14:paraId="03F744C2" w14:textId="77777777" w:rsidR="002A21AE" w:rsidRDefault="002A21AE">
            <w:pPr>
              <w:pStyle w:val="TableTextBullet1"/>
            </w:pPr>
            <w:r>
              <w:t>Assignments/Releases</w:t>
            </w:r>
          </w:p>
          <w:p w14:paraId="40156F50" w14:textId="77777777" w:rsidR="002A21AE" w:rsidRDefault="002A21AE">
            <w:pPr>
              <w:pStyle w:val="TableTextBullet1"/>
            </w:pPr>
            <w:r>
              <w:t>Audit Trail Report</w:t>
            </w:r>
          </w:p>
        </w:tc>
      </w:tr>
      <w:tr w:rsidR="002A21AE" w14:paraId="01369482" w14:textId="77777777">
        <w:tc>
          <w:tcPr>
            <w:tcW w:w="3240" w:type="dxa"/>
          </w:tcPr>
          <w:p w14:paraId="17B7B4FB" w14:textId="77777777" w:rsidR="002A21AE" w:rsidRDefault="002A21AE">
            <w:pPr>
              <w:pStyle w:val="TableTextNumbers"/>
            </w:pPr>
            <w:r>
              <w:t>Select one or more sections to include in the report.</w:t>
            </w:r>
          </w:p>
        </w:tc>
        <w:tc>
          <w:tcPr>
            <w:tcW w:w="6120" w:type="dxa"/>
          </w:tcPr>
          <w:p w14:paraId="7DA6C092" w14:textId="77777777" w:rsidR="002A21AE" w:rsidRDefault="002A21AE">
            <w:pPr>
              <w:pStyle w:val="TableText"/>
            </w:pPr>
          </w:p>
        </w:tc>
      </w:tr>
      <w:tr w:rsidR="002A21AE" w14:paraId="64011988" w14:textId="77777777">
        <w:tc>
          <w:tcPr>
            <w:tcW w:w="3240" w:type="dxa"/>
          </w:tcPr>
          <w:p w14:paraId="25EBEF42" w14:textId="77777777" w:rsidR="002A21AE" w:rsidRDefault="002A21AE">
            <w:pPr>
              <w:pStyle w:val="TableTextNumbers"/>
            </w:pPr>
            <w:r>
              <w:t xml:space="preserve">Click the </w:t>
            </w:r>
            <w:r>
              <w:rPr>
                <w:b/>
              </w:rPr>
              <w:t>Schedule Print Job</w:t>
            </w:r>
            <w:r>
              <w:t xml:space="preserve"> </w:t>
            </w:r>
            <w:r w:rsidRPr="00BF2E41">
              <w:t>radio button</w:t>
            </w:r>
            <w:r>
              <w:t xml:space="preserve"> and </w:t>
            </w:r>
            <w:r>
              <w:rPr>
                <w:b/>
              </w:rPr>
              <w:t>OK</w:t>
            </w:r>
            <w:r>
              <w:t xml:space="preserve">, then enter or select a print date and printer name. Click </w:t>
            </w:r>
            <w:r>
              <w:rPr>
                <w:b/>
              </w:rPr>
              <w:t>OK</w:t>
            </w:r>
            <w:r>
              <w:t xml:space="preserve"> to view and print the report.</w:t>
            </w:r>
          </w:p>
        </w:tc>
        <w:tc>
          <w:tcPr>
            <w:tcW w:w="6120" w:type="dxa"/>
          </w:tcPr>
          <w:p w14:paraId="67467B03" w14:textId="77777777" w:rsidR="002A21AE" w:rsidRDefault="002A21AE">
            <w:pPr>
              <w:pStyle w:val="TableTextBullet"/>
              <w:tabs>
                <w:tab w:val="num" w:pos="360"/>
              </w:tabs>
            </w:pPr>
            <w:r>
              <w:t>Compiles and displays the report.</w:t>
            </w:r>
          </w:p>
          <w:p w14:paraId="15EA04BC" w14:textId="77777777" w:rsidR="002A21AE" w:rsidRDefault="002A21AE">
            <w:pPr>
              <w:pStyle w:val="TableTextBullet"/>
              <w:tabs>
                <w:tab w:val="num" w:pos="360"/>
              </w:tabs>
            </w:pPr>
            <w:r>
              <w:t xml:space="preserve">Allows the user to print the report. </w:t>
            </w:r>
          </w:p>
          <w:p w14:paraId="4DC46BF9" w14:textId="77777777" w:rsidR="002A21AE" w:rsidRDefault="002A21AE">
            <w:pPr>
              <w:pStyle w:val="TableText"/>
            </w:pPr>
          </w:p>
          <w:p w14:paraId="036F1AD5" w14:textId="1D30F1BD" w:rsidR="002A21AE" w:rsidRDefault="002A21AE">
            <w:pPr>
              <w:pStyle w:val="TableText"/>
              <w:rPr>
                <w:b/>
                <w:bCs/>
              </w:rPr>
            </w:pPr>
            <w:r>
              <w:rPr>
                <w:b/>
                <w:bCs/>
              </w:rPr>
              <w:t>NOTES</w:t>
            </w:r>
          </w:p>
          <w:p w14:paraId="58651C05" w14:textId="77777777" w:rsidR="002A21AE" w:rsidRDefault="002A21AE">
            <w:pPr>
              <w:pStyle w:val="NotesText"/>
            </w:pPr>
          </w:p>
          <w:p w14:paraId="39F0BFF6" w14:textId="77777777" w:rsidR="005B6A94" w:rsidRDefault="002A21AE" w:rsidP="00E90A01">
            <w:pPr>
              <w:pStyle w:val="NotesText"/>
            </w:pPr>
            <w:r>
              <w:rPr>
                <w:rFonts w:cs="Arial"/>
                <w:vanish/>
              </w:rPr>
              <w:t xml:space="preserve">BR_101.04 </w:t>
            </w:r>
            <w:r>
              <w:t xml:space="preserve">When the patient has an ABO/Rh as the result of a conversion, VBECS displays a message in the Transfusion History section instructing the user to check the legacy records for </w:t>
            </w:r>
            <w:r w:rsidR="00E90A01">
              <w:t>additional</w:t>
            </w:r>
            <w:r>
              <w:t xml:space="preserve"> information.</w:t>
            </w:r>
          </w:p>
        </w:tc>
      </w:tr>
      <w:tr w:rsidR="002A21AE" w14:paraId="1EAC54D0" w14:textId="77777777">
        <w:tc>
          <w:tcPr>
            <w:tcW w:w="3240" w:type="dxa"/>
          </w:tcPr>
          <w:p w14:paraId="193D5618" w14:textId="7015200F" w:rsidR="002A21AE" w:rsidRDefault="00D45D8C">
            <w:pPr>
              <w:pStyle w:val="TableTextNumbers"/>
            </w:pPr>
            <w:r w:rsidRPr="0076371D">
              <w:t xml:space="preserve">Select </w:t>
            </w:r>
            <w:r w:rsidRPr="0076371D">
              <w:rPr>
                <w:b/>
              </w:rPr>
              <w:t xml:space="preserve">Print </w:t>
            </w:r>
            <w:r w:rsidRPr="0076371D">
              <w:t>to print the repor</w:t>
            </w:r>
            <w:r>
              <w:t>t</w:t>
            </w:r>
            <w:r w:rsidRPr="0076371D">
              <w:t xml:space="preserve">, </w:t>
            </w:r>
            <w:r w:rsidRPr="0076371D">
              <w:rPr>
                <w:b/>
              </w:rPr>
              <w:t>Export</w:t>
            </w:r>
            <w:r w:rsidRPr="0076371D">
              <w:t xml:space="preserve"> </w:t>
            </w:r>
            <w:r>
              <w:t xml:space="preserve">to export the report </w:t>
            </w:r>
            <w:r w:rsidRPr="0076371D">
              <w:rPr>
                <w:szCs w:val="18"/>
              </w:rPr>
              <w:t xml:space="preserve">(See </w:t>
            </w:r>
            <w:r w:rsidR="00EE455E" w:rsidRPr="00EE455E">
              <w:rPr>
                <w:szCs w:val="18"/>
              </w:rPr>
              <w:t>Report Export</w:t>
            </w:r>
            <w:r>
              <w:rPr>
                <w:szCs w:val="18"/>
              </w:rPr>
              <w:t xml:space="preserve"> section</w:t>
            </w:r>
            <w:r w:rsidRPr="0076371D">
              <w:rPr>
                <w:szCs w:val="18"/>
              </w:rPr>
              <w:t>)</w:t>
            </w:r>
            <w:r>
              <w:t xml:space="preserve">, </w:t>
            </w:r>
            <w:r>
              <w:rPr>
                <w:szCs w:val="18"/>
              </w:rPr>
              <w:t xml:space="preserve">or </w:t>
            </w:r>
            <w:r w:rsidRPr="0076371D">
              <w:t xml:space="preserve">click </w:t>
            </w:r>
            <w:r w:rsidRPr="0076371D">
              <w:rPr>
                <w:b/>
              </w:rPr>
              <w:t>Close</w:t>
            </w:r>
            <w:r w:rsidRPr="0076371D">
              <w:t xml:space="preserve"> to exit</w:t>
            </w:r>
            <w:r>
              <w:t xml:space="preserve"> without printing</w:t>
            </w:r>
            <w:r w:rsidR="0032553E">
              <w:t>.</w:t>
            </w:r>
          </w:p>
        </w:tc>
        <w:tc>
          <w:tcPr>
            <w:tcW w:w="6120" w:type="dxa"/>
          </w:tcPr>
          <w:p w14:paraId="4E81DE2D" w14:textId="77777777" w:rsidR="00D45D8C" w:rsidRDefault="00D45D8C" w:rsidP="00D45D8C">
            <w:pPr>
              <w:pStyle w:val="TableTextBullet"/>
            </w:pPr>
            <w:r>
              <w:t>If Print is selected, prints the report on the designated printer.</w:t>
            </w:r>
          </w:p>
          <w:p w14:paraId="6735357E" w14:textId="77777777" w:rsidR="00D45D8C" w:rsidRDefault="00D45D8C" w:rsidP="00D45D8C">
            <w:pPr>
              <w:pStyle w:val="TableTextBullet"/>
            </w:pPr>
            <w:r>
              <w:t>If Export is selected, exports the report to the designated file.</w:t>
            </w:r>
          </w:p>
          <w:p w14:paraId="611C8878" w14:textId="7F52181C" w:rsidR="002A21AE" w:rsidRDefault="00D45D8C" w:rsidP="00D45D8C">
            <w:pPr>
              <w:pStyle w:val="TableTextBullet"/>
            </w:pPr>
            <w:r>
              <w:t>If Close is selected, exits the report preview.</w:t>
            </w:r>
          </w:p>
        </w:tc>
      </w:tr>
    </w:tbl>
    <w:p w14:paraId="6A22DB01" w14:textId="4DE43D83" w:rsidR="002A21AE" w:rsidRDefault="00F55832" w:rsidP="00246E50">
      <w:pPr>
        <w:pStyle w:val="Heading2"/>
      </w:pPr>
      <w:r>
        <w:br w:type="page"/>
      </w:r>
      <w:bookmarkStart w:id="648" w:name="_Toc203765957"/>
      <w:r w:rsidR="000E7760">
        <w:lastRenderedPageBreak/>
        <w:t>Patient Testing Worklist and Testing Worklist Reports</w:t>
      </w:r>
      <w:bookmarkEnd w:id="648"/>
      <w:r w:rsidR="002A21AE">
        <w:fldChar w:fldCharType="begin"/>
      </w:r>
      <w:r w:rsidR="002A21AE">
        <w:instrText xml:space="preserve"> XE </w:instrText>
      </w:r>
      <w:r w:rsidR="00FA7E65">
        <w:instrText>“</w:instrText>
      </w:r>
      <w:r w:rsidR="000E7760">
        <w:instrText>Patient Testing Worklist and Testing Worklist Reports</w:instrText>
      </w:r>
      <w:r w:rsidR="00FA7E65">
        <w:instrText>”</w:instrText>
      </w:r>
      <w:r w:rsidR="002A21AE">
        <w:instrText xml:space="preserve"> </w:instrText>
      </w:r>
      <w:r w:rsidR="002A21AE">
        <w:fldChar w:fldCharType="end"/>
      </w:r>
      <w:r w:rsidR="002A21AE">
        <w:t xml:space="preserve"> </w:t>
      </w:r>
      <w:r w:rsidR="002A21AE">
        <w:rPr>
          <w:rFonts w:ascii="Times New Roman" w:hAnsi="Times New Roman" w:cs="Times New Roman"/>
          <w:b w:val="0"/>
          <w:i w:val="0"/>
          <w:vanish/>
          <w:sz w:val="22"/>
        </w:rPr>
        <w:t>UC_48</w:t>
      </w:r>
    </w:p>
    <w:p w14:paraId="5638AB99" w14:textId="77777777" w:rsidR="002A21AE" w:rsidRDefault="002A21AE" w:rsidP="00FA7E65">
      <w:pPr>
        <w:pStyle w:val="BodyText"/>
      </w:pPr>
      <w:r>
        <w:t>The user views and</w:t>
      </w:r>
      <w:r w:rsidR="003A39EF">
        <w:t>/or</w:t>
      </w:r>
      <w:r>
        <w:t xml:space="preserve"> prints the</w:t>
      </w:r>
      <w:r w:rsidR="003D604B">
        <w:t xml:space="preserve"> Patient Testing Worklist and Testing Worklist Reports.</w:t>
      </w:r>
    </w:p>
    <w:p w14:paraId="571BFE8C" w14:textId="77777777" w:rsidR="002A21AE" w:rsidRDefault="002A21AE">
      <w:pPr>
        <w:pStyle w:val="Heading4"/>
      </w:pPr>
      <w:r>
        <w:t>Assumptions</w:t>
      </w:r>
      <w:r>
        <w:rPr>
          <w:b w:val="0"/>
        </w:rPr>
        <w:t xml:space="preserve"> </w:t>
      </w:r>
    </w:p>
    <w:p w14:paraId="68012543" w14:textId="77777777" w:rsidR="002A21AE" w:rsidRDefault="002A21AE">
      <w:pPr>
        <w:pStyle w:val="ListBullet"/>
      </w:pPr>
      <w:r>
        <w:t>The user must be logged into the division in which the report is to be generated.</w:t>
      </w:r>
    </w:p>
    <w:p w14:paraId="0EFF6478" w14:textId="77777777" w:rsidR="002A21AE" w:rsidRDefault="002A21AE">
      <w:pPr>
        <w:pStyle w:val="Heading4"/>
      </w:pPr>
      <w:r>
        <w:t xml:space="preserve">Outcome </w:t>
      </w:r>
    </w:p>
    <w:p w14:paraId="76BDFCFF" w14:textId="77777777" w:rsidR="002A21AE" w:rsidRDefault="002728D7">
      <w:pPr>
        <w:pStyle w:val="ListBullet"/>
      </w:pPr>
      <w:r>
        <w:t>The user views and/or prints</w:t>
      </w:r>
      <w:r w:rsidR="002A21AE">
        <w:t xml:space="preserve"> a report, or schedules a report for future compilation and printing.</w:t>
      </w:r>
    </w:p>
    <w:p w14:paraId="719FC5AF" w14:textId="77777777" w:rsidR="002A21AE" w:rsidRDefault="002A21AE">
      <w:pPr>
        <w:pStyle w:val="Heading4"/>
      </w:pPr>
      <w:r>
        <w:t>Limitations and Restrictions</w:t>
      </w:r>
      <w:r>
        <w:rPr>
          <w:b w:val="0"/>
        </w:rPr>
        <w:t xml:space="preserve"> </w:t>
      </w:r>
    </w:p>
    <w:p w14:paraId="196FBEF1" w14:textId="77777777" w:rsidR="002A21AE" w:rsidRDefault="000A5167">
      <w:pPr>
        <w:pStyle w:val="ListBullet"/>
      </w:pPr>
      <w:r>
        <w:t>Reports do</w:t>
      </w:r>
      <w:r w:rsidR="002A21AE">
        <w:t xml:space="preserve"> not include Transfusion Reaction Workup (TRW) test results.</w:t>
      </w:r>
    </w:p>
    <w:p w14:paraId="6EFCDA78" w14:textId="739386E6" w:rsidR="002A21AE" w:rsidRDefault="00170EEF">
      <w:pPr>
        <w:pStyle w:val="ListBullet"/>
      </w:pPr>
      <w:r>
        <w:t>VBECS does not accommodate online review (verification, signature) of reports.</w:t>
      </w:r>
    </w:p>
    <w:p w14:paraId="7DAB1DE3" w14:textId="351AF668" w:rsidR="00E47EDD" w:rsidRDefault="00E47EDD">
      <w:pPr>
        <w:pStyle w:val="ListBullet"/>
      </w:pPr>
      <w:r>
        <w:t xml:space="preserve">The Rack QC Testing Worklist Report section of the Testing Worklist Report does not contain a Processed By column. Maintain the original testing records for the QC that was performed offline with the testing tech information.  Do not change the testing tech name when entering results in VBECS so that the logged in tech that enters the results is included on the Testing Worklist report. </w:t>
      </w:r>
      <w:r w:rsidRPr="00E47EDD">
        <w:rPr>
          <w:vanish/>
        </w:rPr>
        <w:t>Defect 214073</w:t>
      </w:r>
    </w:p>
    <w:p w14:paraId="75563343" w14:textId="77777777" w:rsidR="002A21AE" w:rsidRDefault="002A21AE">
      <w:pPr>
        <w:pStyle w:val="Heading4"/>
      </w:pPr>
      <w:r>
        <w:t xml:space="preserve">Additional Information </w:t>
      </w:r>
    </w:p>
    <w:p w14:paraId="06F99358" w14:textId="77777777" w:rsidR="002A21AE" w:rsidRDefault="002A21AE">
      <w:pPr>
        <w:pStyle w:val="ListBullet"/>
      </w:pPr>
      <w:r w:rsidRPr="00D231F7">
        <w:rPr>
          <w:vanish/>
        </w:rPr>
        <w:t xml:space="preserve">BR_48.03 </w:t>
      </w:r>
      <w:r w:rsidR="00D231F7" w:rsidRPr="00D231F7">
        <w:t xml:space="preserve">In a </w:t>
      </w:r>
      <w:r w:rsidRPr="00D231F7">
        <w:t>t</w:t>
      </w:r>
      <w:r w:rsidR="00D231F7" w:rsidRPr="00D231F7">
        <w:t>ransfusi</w:t>
      </w:r>
      <w:r w:rsidR="00D231F7">
        <w:t xml:space="preserve">on-only facility, </w:t>
      </w:r>
      <w:r>
        <w:t>VBECS does not populate the test cell or phase results sections.</w:t>
      </w:r>
    </w:p>
    <w:p w14:paraId="2F965024" w14:textId="77777777" w:rsidR="002A21AE" w:rsidRDefault="002A21AE">
      <w:pPr>
        <w:pStyle w:val="ListBullet"/>
      </w:pPr>
      <w:r>
        <w:t>VBECS collates complete, incomplete, and invalidated unit test results entered in the user’s division when the date tested falls within the supplied date range for the unit testing, reagent QC, and patient testing sections of the report.</w:t>
      </w:r>
    </w:p>
    <w:p w14:paraId="348D3F42" w14:textId="77777777" w:rsidR="002A21AE" w:rsidRDefault="002A21AE">
      <w:pPr>
        <w:pStyle w:val="ListBullet"/>
      </w:pPr>
      <w:r w:rsidRPr="007D540F">
        <w:rPr>
          <w:vanish/>
        </w:rPr>
        <w:t xml:space="preserve">BR_48.10 </w:t>
      </w:r>
      <w:r>
        <w:t xml:space="preserve">VBECS includes test results on all units, regardless of status, for the unit testing section. CMV and Sickle Cell test results are not included in the report. </w:t>
      </w:r>
    </w:p>
    <w:p w14:paraId="29C09A13" w14:textId="77777777" w:rsidR="002A21AE" w:rsidRDefault="002A21AE">
      <w:pPr>
        <w:pStyle w:val="ListBullet"/>
      </w:pPr>
      <w:r w:rsidRPr="007D540F">
        <w:rPr>
          <w:vanish/>
        </w:rPr>
        <w:t xml:space="preserve">BR_48.11 </w:t>
      </w:r>
      <w:r>
        <w:t>VBECS includes the results of the daily rack QC and patient and unit control testing for the reagent QC section.</w:t>
      </w:r>
    </w:p>
    <w:p w14:paraId="5CE38F3C" w14:textId="77777777" w:rsidR="002A21AE" w:rsidRDefault="002A21AE">
      <w:pPr>
        <w:pStyle w:val="ListBullet"/>
      </w:pPr>
      <w:r w:rsidRPr="007D540F">
        <w:rPr>
          <w:vanish/>
        </w:rPr>
        <w:t xml:space="preserve">BR_48.06 </w:t>
      </w:r>
      <w:r>
        <w:t xml:space="preserve">For the patient testing section: </w:t>
      </w:r>
    </w:p>
    <w:p w14:paraId="20FAE3D0" w14:textId="77777777" w:rsidR="002A21AE" w:rsidRDefault="002A21AE" w:rsidP="00927C99">
      <w:pPr>
        <w:pStyle w:val="ListBullet2"/>
        <w:ind w:left="900" w:hanging="252"/>
      </w:pPr>
      <w:r>
        <w:t xml:space="preserve">VBECS collates as above for the selected patient specimens </w:t>
      </w:r>
      <w:r w:rsidR="00665443">
        <w:t>within a</w:t>
      </w:r>
      <w:r w:rsidR="00CC0418">
        <w:t xml:space="preserve"> specified </w:t>
      </w:r>
      <w:r w:rsidR="00665443">
        <w:t>date range</w:t>
      </w:r>
      <w:r>
        <w:t>.</w:t>
      </w:r>
    </w:p>
    <w:p w14:paraId="5402756F" w14:textId="77777777" w:rsidR="002A21AE" w:rsidRDefault="002A21AE" w:rsidP="00927C99">
      <w:pPr>
        <w:pStyle w:val="ListBullet2"/>
        <w:ind w:left="900" w:hanging="252"/>
      </w:pPr>
      <w:r>
        <w:t xml:space="preserve">The report does not include TRW test results. </w:t>
      </w:r>
    </w:p>
    <w:p w14:paraId="7D5FF91D" w14:textId="77777777" w:rsidR="004C1952" w:rsidRDefault="002A21AE" w:rsidP="00927C99">
      <w:pPr>
        <w:pStyle w:val="ListBullet2"/>
        <w:ind w:left="900" w:hanging="252"/>
      </w:pPr>
      <w:r w:rsidRPr="0045199E">
        <w:rPr>
          <w:vanish/>
        </w:rPr>
        <w:t xml:space="preserve">BR_48.08 </w:t>
      </w:r>
      <w:r>
        <w:t>VBECS includes XMs only in the patient testing section.</w:t>
      </w:r>
    </w:p>
    <w:p w14:paraId="65E4CCE9" w14:textId="3ED19C8F" w:rsidR="002A21AE" w:rsidRDefault="002A21AE" w:rsidP="004C1952">
      <w:pPr>
        <w:pStyle w:val="ListBullet2"/>
        <w:ind w:left="900" w:hanging="252"/>
      </w:pPr>
      <w:r w:rsidRPr="007D540F">
        <w:rPr>
          <w:vanish/>
          <w:spacing w:val="-5"/>
        </w:rPr>
        <w:t xml:space="preserve">BR_48.12 </w:t>
      </w:r>
      <w:r>
        <w:t>VBECS displays individual tests within the TAS.</w:t>
      </w:r>
    </w:p>
    <w:p w14:paraId="365B1279" w14:textId="77777777" w:rsidR="0088290C" w:rsidRPr="00622C54" w:rsidRDefault="0088290C" w:rsidP="0088290C">
      <w:pPr>
        <w:pStyle w:val="ListBullet"/>
      </w:pPr>
      <w:r w:rsidRPr="00622C54">
        <w:t xml:space="preserve">If a rack has </w:t>
      </w:r>
      <w:r w:rsidR="006D0362">
        <w:t>only</w:t>
      </w:r>
      <w:r w:rsidR="008F5298">
        <w:t xml:space="preserve"> </w:t>
      </w:r>
      <w:r w:rsidRPr="00622C54">
        <w:t xml:space="preserve">been tested offline </w:t>
      </w:r>
      <w:r w:rsidR="006D0362">
        <w:t>(</w:t>
      </w:r>
      <w:r w:rsidR="008F5298">
        <w:t>never tested within VBECS</w:t>
      </w:r>
      <w:r w:rsidR="006D0362">
        <w:t>)</w:t>
      </w:r>
      <w:r w:rsidR="008F5298">
        <w:t xml:space="preserve"> </w:t>
      </w:r>
      <w:r w:rsidRPr="00622C54">
        <w:t>and the QC has expired</w:t>
      </w:r>
      <w:r w:rsidR="006F2884" w:rsidRPr="00622C54">
        <w:t>, the message “Rack was never QC’d and cannot be used.”</w:t>
      </w:r>
      <w:r w:rsidR="00CF410C" w:rsidRPr="00622C54">
        <w:t xml:space="preserve"> is displayed</w:t>
      </w:r>
      <w:r w:rsidR="006F2884" w:rsidRPr="00622C54">
        <w:t>.</w:t>
      </w:r>
      <w:r w:rsidR="001545B8" w:rsidRPr="00622C54">
        <w:t xml:space="preserve"> </w:t>
      </w:r>
      <w:r w:rsidR="001545B8" w:rsidRPr="00622C54">
        <w:rPr>
          <w:vanish/>
        </w:rPr>
        <w:t>DR 4317</w:t>
      </w:r>
    </w:p>
    <w:p w14:paraId="5EE0760F" w14:textId="1F8F2AE4" w:rsidR="00F62041" w:rsidRDefault="00F62041" w:rsidP="0088290C">
      <w:pPr>
        <w:pStyle w:val="ListBullet"/>
      </w:pPr>
      <w:r w:rsidRPr="00622C54">
        <w:t xml:space="preserve">The Testing Worklist Report does not display any information for Rack QC when QC Documentation Offline has been checked for that date. </w:t>
      </w:r>
      <w:r w:rsidRPr="00622C54">
        <w:rPr>
          <w:vanish/>
        </w:rPr>
        <w:t>DR 4317</w:t>
      </w:r>
    </w:p>
    <w:p w14:paraId="641E0FF0" w14:textId="77777777" w:rsidR="002A21AE" w:rsidRDefault="002A21AE">
      <w:pPr>
        <w:pStyle w:val="Heading4"/>
        <w:rPr>
          <w:b w:val="0"/>
          <w:bCs/>
          <w:snapToGrid w:val="0"/>
        </w:rPr>
      </w:pPr>
      <w:r>
        <w:rPr>
          <w:bCs/>
          <w:snapToGrid w:val="0"/>
        </w:rPr>
        <w:t>User Roles with Access to This Option</w:t>
      </w:r>
      <w:r>
        <w:rPr>
          <w:b w:val="0"/>
          <w:bCs/>
          <w:snapToGrid w:val="0"/>
        </w:rPr>
        <w:t xml:space="preserve"> </w:t>
      </w:r>
    </w:p>
    <w:p w14:paraId="70565901" w14:textId="77777777" w:rsidR="002A21AE" w:rsidRDefault="00184EA4">
      <w:pPr>
        <w:pStyle w:val="Roles"/>
      </w:pPr>
      <w:r>
        <w:t>All users</w:t>
      </w:r>
    </w:p>
    <w:p w14:paraId="3BA16E01" w14:textId="77777777" w:rsidR="00752960" w:rsidRDefault="00F55832" w:rsidP="00752960">
      <w:pPr>
        <w:pStyle w:val="Heading4"/>
      </w:pPr>
      <w:r>
        <w:br w:type="page"/>
      </w:r>
      <w:r w:rsidR="00752960">
        <w:lastRenderedPageBreak/>
        <w:t>Patient Testing Worklist and Testing Worklist Reports</w:t>
      </w:r>
    </w:p>
    <w:p w14:paraId="3B05F2E8" w14:textId="52266F07" w:rsidR="002A21AE" w:rsidRDefault="002A21AE" w:rsidP="00FA7E65">
      <w:pPr>
        <w:pStyle w:val="BodyText"/>
      </w:pPr>
      <w:r>
        <w:t xml:space="preserve">The user </w:t>
      </w:r>
      <w:r w:rsidR="003A39EF">
        <w:t>views and/or prints</w:t>
      </w:r>
      <w:r>
        <w:t xml:space="preserve"> a</w:t>
      </w:r>
      <w:r w:rsidR="00455261">
        <w:t xml:space="preserve"> Patient Testing Worklist Report for</w:t>
      </w:r>
      <w:r>
        <w:t xml:space="preserve"> a specific patient</w:t>
      </w:r>
      <w:r w:rsidR="00455261">
        <w:t xml:space="preserve"> or a Testing Worklist Report for a division. </w:t>
      </w:r>
      <w:r>
        <w:t>The report</w:t>
      </w:r>
      <w:r w:rsidR="000E7760">
        <w:t>s</w:t>
      </w:r>
      <w:r>
        <w:t xml:space="preserve"> contain both partially completed and completed testing data entries on patients, units, and reagents created in the same division as the user generating the report.</w:t>
      </w:r>
      <w:r w:rsidR="006C3E9C">
        <w:t xml:space="preserve"> Crossmatch test results</w:t>
      </w:r>
      <w:r w:rsidR="007B4C92" w:rsidRPr="007B4C92">
        <w:t xml:space="preserve"> </w:t>
      </w:r>
      <w:r w:rsidR="006C3E9C">
        <w:t xml:space="preserve">are sequenced </w:t>
      </w:r>
      <w:r w:rsidR="007B4C92" w:rsidRPr="007B4C92">
        <w:t>by date and time on the repor</w:t>
      </w:r>
      <w:r w:rsidR="006C3E9C">
        <w:t xml:space="preserve">t. </w:t>
      </w:r>
      <w:r w:rsidR="00FC3506" w:rsidRPr="00FC3506">
        <w:t>The Interp. Column of the Patient Testing Worklist Report displays "Inc", which</w:t>
      </w:r>
      <w:r w:rsidR="007C00C8">
        <w:t xml:space="preserve"> can </w:t>
      </w:r>
      <w:r w:rsidR="00FC3506" w:rsidRPr="00FC3506">
        <w:t xml:space="preserve">mean </w:t>
      </w:r>
      <w:r w:rsidR="00FC3506">
        <w:t>“</w:t>
      </w:r>
      <w:r w:rsidR="00FC3506" w:rsidRPr="00FC3506">
        <w:t>Incompatible</w:t>
      </w:r>
      <w:r w:rsidR="00FC3506">
        <w:t>”</w:t>
      </w:r>
      <w:r w:rsidR="006C3E9C">
        <w:t xml:space="preserve"> or “Inconclusive</w:t>
      </w:r>
      <w:r w:rsidR="001A1374">
        <w:t>”</w:t>
      </w:r>
      <w:r w:rsidR="006C3E9C">
        <w:t>, depending on the test it is displayed with</w:t>
      </w:r>
      <w:r w:rsidR="00FC3506" w:rsidRPr="00FC3506">
        <w:t>.</w:t>
      </w:r>
      <w:r w:rsidR="00DC3A9D">
        <w:t xml:space="preserve"> </w:t>
      </w:r>
      <w:r w:rsidR="00DC3A9D" w:rsidRPr="00DC3A9D">
        <w:rPr>
          <w:vanish/>
        </w:rPr>
        <w:t>Defect 208964</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7161E1C4" w14:textId="77777777">
        <w:trPr>
          <w:tblHeader/>
        </w:trPr>
        <w:tc>
          <w:tcPr>
            <w:tcW w:w="3240" w:type="dxa"/>
            <w:shd w:val="pct30" w:color="auto" w:fill="FFFFFF"/>
            <w:vAlign w:val="bottom"/>
          </w:tcPr>
          <w:p w14:paraId="6E448040" w14:textId="77777777" w:rsidR="002A21AE" w:rsidRDefault="002A21AE">
            <w:pPr>
              <w:pStyle w:val="TableText"/>
              <w:rPr>
                <w:b/>
              </w:rPr>
            </w:pPr>
            <w:r>
              <w:rPr>
                <w:b/>
              </w:rPr>
              <w:t>User Action</w:t>
            </w:r>
          </w:p>
        </w:tc>
        <w:tc>
          <w:tcPr>
            <w:tcW w:w="6120" w:type="dxa"/>
            <w:shd w:val="pct30" w:color="auto" w:fill="FFFFFF"/>
            <w:vAlign w:val="bottom"/>
          </w:tcPr>
          <w:p w14:paraId="54F90C83" w14:textId="77777777" w:rsidR="002A21AE" w:rsidRDefault="002A21AE">
            <w:pPr>
              <w:pStyle w:val="TableText"/>
              <w:rPr>
                <w:b/>
              </w:rPr>
            </w:pPr>
            <w:r>
              <w:rPr>
                <w:b/>
              </w:rPr>
              <w:t>VBECS</w:t>
            </w:r>
          </w:p>
        </w:tc>
      </w:tr>
      <w:tr w:rsidR="002A21AE" w14:paraId="26F640E9" w14:textId="77777777">
        <w:tc>
          <w:tcPr>
            <w:tcW w:w="3240" w:type="dxa"/>
          </w:tcPr>
          <w:p w14:paraId="6AB9FD26" w14:textId="79892FE9" w:rsidR="002A21AE" w:rsidRDefault="002A21AE" w:rsidP="00A73BE2">
            <w:pPr>
              <w:pStyle w:val="TableTextNumbers"/>
              <w:numPr>
                <w:ilvl w:val="0"/>
                <w:numId w:val="94"/>
              </w:numPr>
            </w:pPr>
            <w:r>
              <w:t xml:space="preserve">For </w:t>
            </w:r>
            <w:r w:rsidR="00F05FA1">
              <w:t>a Patient Testing Worklist Report (for</w:t>
            </w:r>
            <w:r>
              <w:t xml:space="preserve"> a single patient, select </w:t>
            </w:r>
            <w:r w:rsidRPr="0034022A">
              <w:rPr>
                <w:b/>
              </w:rPr>
              <w:t>Patients</w:t>
            </w:r>
            <w:r>
              <w:t xml:space="preserve"> from the main menu.</w:t>
            </w:r>
            <w:r w:rsidR="006C08BE">
              <w:t>)</w:t>
            </w:r>
            <w:r>
              <w:t xml:space="preserve"> </w:t>
            </w:r>
          </w:p>
          <w:p w14:paraId="7C319CBA" w14:textId="5FFB8680" w:rsidR="002A21AE" w:rsidRDefault="002A21AE">
            <w:pPr>
              <w:pStyle w:val="TableTextNumbersContinued"/>
            </w:pPr>
            <w:r>
              <w:t xml:space="preserve">Select </w:t>
            </w:r>
            <w:r>
              <w:rPr>
                <w:b/>
              </w:rPr>
              <w:t>Patient</w:t>
            </w:r>
            <w:r>
              <w:t xml:space="preserve"> </w:t>
            </w:r>
            <w:r>
              <w:rPr>
                <w:b/>
              </w:rPr>
              <w:t>Testing Worklist Report</w:t>
            </w:r>
            <w:r w:rsidR="00D13DE6">
              <w:t>.</w:t>
            </w:r>
          </w:p>
          <w:p w14:paraId="16568A6D" w14:textId="77777777" w:rsidR="002A21AE" w:rsidRDefault="002A21AE">
            <w:pPr>
              <w:pStyle w:val="TableTextNumbersContinued"/>
            </w:pPr>
          </w:p>
          <w:p w14:paraId="11093F02" w14:textId="77777777" w:rsidR="002A21AE" w:rsidRDefault="002A21AE">
            <w:pPr>
              <w:pStyle w:val="TableTextNumbersContinued"/>
            </w:pPr>
            <w:r>
              <w:t xml:space="preserve">For a </w:t>
            </w:r>
            <w:r w:rsidR="000E7760">
              <w:t>Testing Worklist Report</w:t>
            </w:r>
            <w:r>
              <w:t xml:space="preserve"> for a division, go to Step 5.</w:t>
            </w:r>
          </w:p>
        </w:tc>
        <w:tc>
          <w:tcPr>
            <w:tcW w:w="6120" w:type="dxa"/>
          </w:tcPr>
          <w:p w14:paraId="2AC2E72D" w14:textId="77777777" w:rsidR="002A21AE" w:rsidRDefault="002A21AE">
            <w:pPr>
              <w:pStyle w:val="TableTextBullet"/>
            </w:pPr>
            <w:r>
              <w:t>Displays options for processing patient-related functions.</w:t>
            </w:r>
          </w:p>
          <w:p w14:paraId="122B6CB6" w14:textId="77777777" w:rsidR="002A21AE" w:rsidRDefault="002A21AE">
            <w:pPr>
              <w:pStyle w:val="TableTextBullet"/>
            </w:pPr>
            <w:r>
              <w:t>Displays patient search criteria.</w:t>
            </w:r>
          </w:p>
        </w:tc>
      </w:tr>
      <w:tr w:rsidR="002A21AE" w14:paraId="14BE447E" w14:textId="77777777">
        <w:tc>
          <w:tcPr>
            <w:tcW w:w="3240" w:type="dxa"/>
          </w:tcPr>
          <w:p w14:paraId="5024E65D" w14:textId="77777777" w:rsidR="002A21AE" w:rsidRDefault="002A21AE">
            <w:pPr>
              <w:pStyle w:val="TableTextNumbers"/>
            </w:pPr>
            <w:r>
              <w:t xml:space="preserve">Enter the </w:t>
            </w:r>
            <w:r w:rsidRPr="00945BF5">
              <w:t>patient name or identification number.</w:t>
            </w:r>
            <w:r>
              <w:t xml:space="preserve"> </w:t>
            </w:r>
          </w:p>
          <w:p w14:paraId="32A64EB5" w14:textId="77777777" w:rsidR="002A21AE" w:rsidRDefault="002A21AE">
            <w:pPr>
              <w:pStyle w:val="TableTextNumbersContinued"/>
            </w:pPr>
          </w:p>
          <w:p w14:paraId="31265630" w14:textId="77777777" w:rsidR="002A21AE" w:rsidRDefault="002A21AE">
            <w:pPr>
              <w:pStyle w:val="TableTextNumbersContinued"/>
            </w:pPr>
            <w:r>
              <w:t xml:space="preserve">Click </w:t>
            </w:r>
            <w:r>
              <w:rPr>
                <w:b/>
              </w:rPr>
              <w:t xml:space="preserve">Search, </w:t>
            </w:r>
            <w:r>
              <w:t xml:space="preserve">as required. </w:t>
            </w:r>
          </w:p>
          <w:p w14:paraId="26C54083" w14:textId="77777777" w:rsidR="002A21AE" w:rsidRDefault="002A21AE">
            <w:pPr>
              <w:pStyle w:val="TableTextNumbersContinued"/>
            </w:pPr>
          </w:p>
          <w:p w14:paraId="7848A998" w14:textId="77777777" w:rsidR="002A21AE" w:rsidRDefault="002A21AE">
            <w:pPr>
              <w:pStyle w:val="TableTextNumbersContinued"/>
            </w:pPr>
            <w:r>
              <w:t xml:space="preserve">Select a patient and click </w:t>
            </w:r>
            <w:r>
              <w:rPr>
                <w:b/>
              </w:rPr>
              <w:t>OK</w:t>
            </w:r>
            <w:r>
              <w:t>.</w:t>
            </w:r>
          </w:p>
        </w:tc>
        <w:tc>
          <w:tcPr>
            <w:tcW w:w="6120" w:type="dxa"/>
          </w:tcPr>
          <w:p w14:paraId="169F1B6A" w14:textId="77777777" w:rsidR="002A21AE" w:rsidRDefault="002A21AE">
            <w:pPr>
              <w:pStyle w:val="TableTextBullet"/>
            </w:pPr>
            <w:r>
              <w:t>Requires the user to select a patient.</w:t>
            </w:r>
          </w:p>
          <w:p w14:paraId="70EB7A43" w14:textId="77777777" w:rsidR="002A21AE" w:rsidRDefault="002A21AE">
            <w:pPr>
              <w:pStyle w:val="TableTextBullet"/>
            </w:pPr>
            <w:r>
              <w:t>Displays specimen search criteria.</w:t>
            </w:r>
          </w:p>
        </w:tc>
      </w:tr>
      <w:tr w:rsidR="002A21AE" w14:paraId="29A2A13F" w14:textId="77777777">
        <w:tc>
          <w:tcPr>
            <w:tcW w:w="3240" w:type="dxa"/>
          </w:tcPr>
          <w:p w14:paraId="62565BD4" w14:textId="77777777" w:rsidR="002A21AE" w:rsidRDefault="002A21AE">
            <w:pPr>
              <w:pStyle w:val="TableTextNumbers"/>
            </w:pPr>
            <w:r>
              <w:t>Select or edit the dates and times in the Sp</w:t>
            </w:r>
            <w:r w:rsidRPr="00CE38AA">
              <w:t>ecimen Received Start Date and End Date fields</w:t>
            </w:r>
            <w:r w:rsidRPr="00945BF5">
              <w:t>.</w:t>
            </w:r>
          </w:p>
          <w:p w14:paraId="260DCDDA" w14:textId="77777777" w:rsidR="002A21AE" w:rsidRDefault="002A21AE">
            <w:pPr>
              <w:pStyle w:val="TableTextNumbersContinued"/>
            </w:pPr>
          </w:p>
          <w:p w14:paraId="7A9EE501" w14:textId="77777777" w:rsidR="002A21AE" w:rsidRDefault="002A21AE">
            <w:pPr>
              <w:pStyle w:val="TableTextNumbersContinued"/>
            </w:pPr>
            <w:r>
              <w:t xml:space="preserve">Click </w:t>
            </w:r>
            <w:r>
              <w:rPr>
                <w:b/>
              </w:rPr>
              <w:t>Search</w:t>
            </w:r>
            <w:r>
              <w:t>, as required.</w:t>
            </w:r>
          </w:p>
        </w:tc>
        <w:tc>
          <w:tcPr>
            <w:tcW w:w="6120" w:type="dxa"/>
          </w:tcPr>
          <w:p w14:paraId="3CC45C23" w14:textId="77777777" w:rsidR="002A21AE" w:rsidRDefault="002A21AE">
            <w:pPr>
              <w:pStyle w:val="TableTextBullet"/>
            </w:pPr>
            <w:r>
              <w:t>Allows the user to indicate a date range and patient specimens to include in the report.</w:t>
            </w:r>
          </w:p>
          <w:p w14:paraId="540F7F75" w14:textId="77777777" w:rsidR="002A21AE" w:rsidRDefault="002A21AE">
            <w:pPr>
              <w:pStyle w:val="TableTextBullet"/>
            </w:pPr>
            <w:r>
              <w:t xml:space="preserve">Displays specimens with associated testing for the selected patient. </w:t>
            </w:r>
          </w:p>
          <w:p w14:paraId="7199960D" w14:textId="77777777" w:rsidR="002A21AE" w:rsidRDefault="002A21AE">
            <w:pPr>
              <w:pStyle w:val="TableText"/>
            </w:pPr>
          </w:p>
          <w:p w14:paraId="2C1E55CD" w14:textId="6CE10FC1" w:rsidR="002A21AE" w:rsidRDefault="002A21AE">
            <w:pPr>
              <w:pStyle w:val="TableText"/>
              <w:rPr>
                <w:b/>
                <w:bCs/>
                <w:szCs w:val="18"/>
              </w:rPr>
            </w:pPr>
            <w:r>
              <w:rPr>
                <w:b/>
                <w:bCs/>
                <w:szCs w:val="18"/>
              </w:rPr>
              <w:t>NOTES</w:t>
            </w:r>
          </w:p>
          <w:p w14:paraId="22CE74AA" w14:textId="77777777" w:rsidR="002A21AE" w:rsidRDefault="002A21AE">
            <w:pPr>
              <w:pStyle w:val="NotesText"/>
            </w:pPr>
          </w:p>
          <w:p w14:paraId="655E5368" w14:textId="77777777" w:rsidR="002A21AE" w:rsidRDefault="002A21AE">
            <w:pPr>
              <w:pStyle w:val="NotesText"/>
            </w:pPr>
            <w:r>
              <w:rPr>
                <w:rFonts w:cs="Arial"/>
                <w:vanish/>
              </w:rPr>
              <w:t xml:space="preserve">BR_48.15 </w:t>
            </w:r>
            <w:r>
              <w:t xml:space="preserve">The individual </w:t>
            </w:r>
            <w:r w:rsidR="00F05FA1">
              <w:t xml:space="preserve">Patient Testing Worklist Report </w:t>
            </w:r>
            <w:r>
              <w:t xml:space="preserve">includes VBECS specimen UIDs from the last 90 days, by default. The user may remove one or more specimen UIDs and/or edit the default date range. </w:t>
            </w:r>
          </w:p>
          <w:p w14:paraId="6EB298B7" w14:textId="77777777" w:rsidR="002A21AE" w:rsidRDefault="002A21AE">
            <w:pPr>
              <w:pStyle w:val="NotesText"/>
            </w:pPr>
          </w:p>
          <w:p w14:paraId="54999FD0" w14:textId="77777777" w:rsidR="002A21AE" w:rsidRDefault="002A21AE">
            <w:pPr>
              <w:pStyle w:val="NotesText"/>
            </w:pPr>
            <w:r>
              <w:rPr>
                <w:rFonts w:cs="Arial"/>
                <w:vanish/>
              </w:rPr>
              <w:t xml:space="preserve">BR_48.04 </w:t>
            </w:r>
            <w:r>
              <w:t>When the patient record is not found, VBECS notifies the user that no matching patients were found.</w:t>
            </w:r>
          </w:p>
          <w:p w14:paraId="2494C7CE" w14:textId="77777777" w:rsidR="002A21AE" w:rsidRDefault="002A21AE">
            <w:pPr>
              <w:pStyle w:val="NotesText"/>
            </w:pPr>
          </w:p>
          <w:p w14:paraId="7AC1EA1F" w14:textId="77777777" w:rsidR="00FC3506" w:rsidRDefault="002A21AE" w:rsidP="00FC3506">
            <w:pPr>
              <w:pStyle w:val="NotesText"/>
            </w:pPr>
            <w:r>
              <w:rPr>
                <w:rFonts w:cs="Arial"/>
                <w:vanish/>
              </w:rPr>
              <w:t xml:space="preserve">BR_48.01 </w:t>
            </w:r>
            <w:r>
              <w:t>When the selected patient has no specimen on file within the division, VBECS warns the user and asks the user to select a different patient.</w:t>
            </w:r>
          </w:p>
          <w:p w14:paraId="7C3FA19E" w14:textId="77777777" w:rsidR="002A21AE" w:rsidRDefault="002A21AE">
            <w:pPr>
              <w:pStyle w:val="NotesText"/>
            </w:pPr>
          </w:p>
          <w:p w14:paraId="30281C11" w14:textId="77777777" w:rsidR="002A21AE" w:rsidRDefault="002A21AE">
            <w:pPr>
              <w:pStyle w:val="NotesText"/>
            </w:pPr>
            <w:r>
              <w:t>Requires the user to indicate the format of the report:</w:t>
            </w:r>
          </w:p>
          <w:p w14:paraId="0DC980C9" w14:textId="77777777" w:rsidR="00661E8D" w:rsidRDefault="00661E8D">
            <w:pPr>
              <w:pStyle w:val="NotesTextBullet"/>
            </w:pPr>
            <w:r>
              <w:t>Patient Testing</w:t>
            </w:r>
          </w:p>
          <w:p w14:paraId="065E52E0" w14:textId="77777777" w:rsidR="00661E8D" w:rsidRDefault="00661E8D">
            <w:pPr>
              <w:pStyle w:val="NotesTextBullet"/>
            </w:pPr>
            <w:r>
              <w:t>Unit Testing</w:t>
            </w:r>
          </w:p>
          <w:p w14:paraId="6B9E0329" w14:textId="77777777" w:rsidR="00661E8D" w:rsidRDefault="00661E8D">
            <w:pPr>
              <w:pStyle w:val="NotesTextBullet"/>
            </w:pPr>
            <w:r>
              <w:t>Daily QC</w:t>
            </w:r>
          </w:p>
          <w:p w14:paraId="27EC270B" w14:textId="77777777" w:rsidR="002A21AE" w:rsidRDefault="00661E8D">
            <w:pPr>
              <w:pStyle w:val="NotesTextBullet"/>
            </w:pPr>
            <w:r>
              <w:t>Miscellaneous Reagent QC</w:t>
            </w:r>
          </w:p>
        </w:tc>
      </w:tr>
      <w:tr w:rsidR="002A21AE" w14:paraId="00BC2F18" w14:textId="77777777">
        <w:tc>
          <w:tcPr>
            <w:tcW w:w="3240" w:type="dxa"/>
          </w:tcPr>
          <w:p w14:paraId="5F10B5F7" w14:textId="77777777" w:rsidR="002A21AE" w:rsidRDefault="002A21AE">
            <w:pPr>
              <w:pStyle w:val="TableTextNumbers"/>
            </w:pPr>
            <w:r>
              <w:t>Click one or more check boxes to select specimens.</w:t>
            </w:r>
          </w:p>
          <w:p w14:paraId="1F21BAE5" w14:textId="77777777" w:rsidR="002A21AE" w:rsidRDefault="002A21AE">
            <w:pPr>
              <w:pStyle w:val="TableTextNumbersContinued"/>
            </w:pPr>
          </w:p>
          <w:p w14:paraId="6C0BA7D3" w14:textId="77777777" w:rsidR="002A21AE" w:rsidRDefault="002A21AE">
            <w:pPr>
              <w:pStyle w:val="TableTextNumbersContinued"/>
            </w:pPr>
            <w:r>
              <w:t xml:space="preserve">Click </w:t>
            </w:r>
            <w:r>
              <w:rPr>
                <w:b/>
              </w:rPr>
              <w:t>OK</w:t>
            </w:r>
            <w:r>
              <w:t>.</w:t>
            </w:r>
          </w:p>
          <w:p w14:paraId="1632322E" w14:textId="77777777" w:rsidR="002A21AE" w:rsidRDefault="002A21AE">
            <w:pPr>
              <w:pStyle w:val="TableTextNumbersContinued"/>
            </w:pPr>
          </w:p>
          <w:p w14:paraId="1EBBD12D" w14:textId="77777777" w:rsidR="002A21AE" w:rsidRDefault="002A21AE">
            <w:pPr>
              <w:pStyle w:val="TableTextNumbersContinued"/>
            </w:pPr>
            <w:r>
              <w:t>Go to Step 8.</w:t>
            </w:r>
          </w:p>
        </w:tc>
        <w:tc>
          <w:tcPr>
            <w:tcW w:w="6120" w:type="dxa"/>
          </w:tcPr>
          <w:p w14:paraId="2654633F" w14:textId="77777777" w:rsidR="002A21AE" w:rsidRDefault="002A21AE">
            <w:pPr>
              <w:pStyle w:val="TableTextBullet"/>
            </w:pPr>
            <w:r>
              <w:t>Displays the report.</w:t>
            </w:r>
          </w:p>
          <w:p w14:paraId="0E702EB3" w14:textId="77777777" w:rsidR="002A21AE" w:rsidRDefault="002A21AE">
            <w:pPr>
              <w:pStyle w:val="TableTextBullet"/>
            </w:pPr>
            <w:r>
              <w:t>Allows the user to print the report.</w:t>
            </w:r>
          </w:p>
        </w:tc>
      </w:tr>
      <w:tr w:rsidR="002A21AE" w14:paraId="30092800" w14:textId="77777777" w:rsidTr="00E35FC4">
        <w:trPr>
          <w:cantSplit/>
        </w:trPr>
        <w:tc>
          <w:tcPr>
            <w:tcW w:w="3240" w:type="dxa"/>
          </w:tcPr>
          <w:p w14:paraId="4E6769AF" w14:textId="77777777" w:rsidR="002A21AE" w:rsidRDefault="002A21AE">
            <w:pPr>
              <w:pStyle w:val="TableTextNumbers"/>
            </w:pPr>
            <w:r>
              <w:lastRenderedPageBreak/>
              <w:t xml:space="preserve">For a Testing Worklist Report for a division, select </w:t>
            </w:r>
            <w:r>
              <w:rPr>
                <w:b/>
              </w:rPr>
              <w:t>Reports</w:t>
            </w:r>
            <w:r>
              <w:t xml:space="preserve"> from the main menu.</w:t>
            </w:r>
          </w:p>
          <w:p w14:paraId="704E40BB" w14:textId="77777777" w:rsidR="002A21AE" w:rsidRDefault="002A21AE">
            <w:pPr>
              <w:pStyle w:val="TableTextNumbersContinued"/>
            </w:pPr>
          </w:p>
          <w:p w14:paraId="0516294B" w14:textId="77777777" w:rsidR="002A21AE" w:rsidRDefault="002A21AE">
            <w:pPr>
              <w:pStyle w:val="TableTextNumbersContinued"/>
            </w:pPr>
            <w:r>
              <w:t xml:space="preserve">Select </w:t>
            </w:r>
            <w:r>
              <w:rPr>
                <w:b/>
              </w:rPr>
              <w:t>Testing Worklist Report</w:t>
            </w:r>
            <w:r>
              <w:t>.</w:t>
            </w:r>
          </w:p>
        </w:tc>
        <w:tc>
          <w:tcPr>
            <w:tcW w:w="6120" w:type="dxa"/>
          </w:tcPr>
          <w:p w14:paraId="3E3AD054" w14:textId="77777777" w:rsidR="002A21AE" w:rsidRDefault="002A21AE">
            <w:pPr>
              <w:pStyle w:val="TableTextBullet"/>
            </w:pPr>
            <w:r>
              <w:t>Lists report names.</w:t>
            </w:r>
          </w:p>
          <w:p w14:paraId="7156F530" w14:textId="77777777" w:rsidR="002A21AE" w:rsidRDefault="002A21AE">
            <w:pPr>
              <w:pStyle w:val="TableTextBullet"/>
            </w:pPr>
            <w:r>
              <w:t>Displays the report date range, sections</w:t>
            </w:r>
            <w:r w:rsidR="00E3701B">
              <w:t xml:space="preserve"> (Patient Testing, Unit Testing, Rack QC, and Miscellaneous Reagent QC)</w:t>
            </w:r>
            <w:r>
              <w:t>, and compilation criteria.</w:t>
            </w:r>
          </w:p>
        </w:tc>
      </w:tr>
      <w:tr w:rsidR="002A21AE" w14:paraId="7D0945E6" w14:textId="77777777">
        <w:tc>
          <w:tcPr>
            <w:tcW w:w="3240" w:type="dxa"/>
          </w:tcPr>
          <w:p w14:paraId="6A5061B0" w14:textId="77777777" w:rsidR="002A21AE" w:rsidRDefault="002A21AE">
            <w:pPr>
              <w:pStyle w:val="TableTextNumbers"/>
            </w:pPr>
            <w:r>
              <w:t xml:space="preserve">Select or edit the dates and times in the </w:t>
            </w:r>
            <w:r w:rsidRPr="00945BF5">
              <w:rPr>
                <w:b/>
              </w:rPr>
              <w:t>Start Date</w:t>
            </w:r>
            <w:r w:rsidRPr="00945BF5">
              <w:t xml:space="preserve"> and </w:t>
            </w:r>
            <w:r w:rsidRPr="00945BF5">
              <w:rPr>
                <w:b/>
              </w:rPr>
              <w:t>End Date</w:t>
            </w:r>
            <w:r>
              <w:t xml:space="preserve"> fields.</w:t>
            </w:r>
          </w:p>
        </w:tc>
        <w:tc>
          <w:tcPr>
            <w:tcW w:w="6120" w:type="dxa"/>
          </w:tcPr>
          <w:p w14:paraId="28C0870A" w14:textId="77777777" w:rsidR="002A21AE" w:rsidRDefault="002A21AE">
            <w:pPr>
              <w:pStyle w:val="TableTextBullet"/>
            </w:pPr>
            <w:r>
              <w:t>Displays the option to enter a date range for the report based on the date and time VBECS acknowledged the order.</w:t>
            </w:r>
          </w:p>
        </w:tc>
      </w:tr>
      <w:tr w:rsidR="002A21AE" w14:paraId="2BB2D39A" w14:textId="77777777">
        <w:tc>
          <w:tcPr>
            <w:tcW w:w="3240" w:type="dxa"/>
          </w:tcPr>
          <w:p w14:paraId="67CB7C64" w14:textId="77777777" w:rsidR="002A21AE" w:rsidRDefault="002A21AE" w:rsidP="001D6377">
            <w:pPr>
              <w:pStyle w:val="TableTextNumbers"/>
            </w:pPr>
            <w:r>
              <w:t xml:space="preserve">In the Report Compilation area, click the </w:t>
            </w:r>
            <w:r>
              <w:rPr>
                <w:b/>
              </w:rPr>
              <w:t>Create Report Now</w:t>
            </w:r>
            <w:r>
              <w:t xml:space="preserve"> </w:t>
            </w:r>
            <w:r w:rsidRPr="00BF2E41">
              <w:t>radio button</w:t>
            </w:r>
            <w:r>
              <w:t xml:space="preserve">. Click </w:t>
            </w:r>
            <w:r>
              <w:rPr>
                <w:b/>
              </w:rPr>
              <w:t>OK</w:t>
            </w:r>
            <w:r>
              <w:t xml:space="preserve"> to view the report, or</w:t>
            </w:r>
          </w:p>
          <w:p w14:paraId="047001A4" w14:textId="77777777" w:rsidR="002A21AE" w:rsidRDefault="002A21AE">
            <w:pPr>
              <w:pStyle w:val="TableTextNumbersContinued"/>
            </w:pPr>
          </w:p>
          <w:p w14:paraId="57FBA6FA" w14:textId="77777777" w:rsidR="002A21AE" w:rsidRDefault="002A21AE">
            <w:pPr>
              <w:pStyle w:val="TableTextNumbersContinued"/>
            </w:pPr>
            <w:r>
              <w:t xml:space="preserve">Click the </w:t>
            </w:r>
            <w:r>
              <w:rPr>
                <w:b/>
              </w:rPr>
              <w:t>Schedule Print Job</w:t>
            </w:r>
            <w:r>
              <w:t xml:space="preserve"> </w:t>
            </w:r>
            <w:r w:rsidRPr="00BF2E41">
              <w:t>radio button</w:t>
            </w:r>
            <w:r>
              <w:t xml:space="preserve"> and </w:t>
            </w:r>
            <w:r>
              <w:rPr>
                <w:b/>
              </w:rPr>
              <w:t>OK</w:t>
            </w:r>
            <w:r>
              <w:t xml:space="preserve">, then enter or select a print date and printer name. Click </w:t>
            </w:r>
            <w:r>
              <w:rPr>
                <w:b/>
              </w:rPr>
              <w:t>OK</w:t>
            </w:r>
            <w:r>
              <w:t xml:space="preserve"> to view and print the report.</w:t>
            </w:r>
          </w:p>
        </w:tc>
        <w:tc>
          <w:tcPr>
            <w:tcW w:w="6120" w:type="dxa"/>
          </w:tcPr>
          <w:p w14:paraId="6C4199B6" w14:textId="77777777" w:rsidR="000566D6" w:rsidRDefault="002A21AE" w:rsidP="00AA2B2E">
            <w:pPr>
              <w:pStyle w:val="TableTextBullet"/>
            </w:pPr>
            <w:r>
              <w:t>Compiles and displays the report.</w:t>
            </w:r>
          </w:p>
        </w:tc>
      </w:tr>
      <w:tr w:rsidR="002A21AE" w14:paraId="34E54F51" w14:textId="77777777">
        <w:tc>
          <w:tcPr>
            <w:tcW w:w="3240" w:type="dxa"/>
          </w:tcPr>
          <w:p w14:paraId="066C97C9" w14:textId="1D9294AB" w:rsidR="002A21AE" w:rsidRDefault="00D45D8C">
            <w:pPr>
              <w:pStyle w:val="TableTextNumbers"/>
            </w:pPr>
            <w:r w:rsidRPr="0076371D">
              <w:t xml:space="preserve">Select </w:t>
            </w:r>
            <w:r w:rsidRPr="0076371D">
              <w:rPr>
                <w:b/>
              </w:rPr>
              <w:t xml:space="preserve">Print </w:t>
            </w:r>
            <w:r w:rsidRPr="0076371D">
              <w:t>to print the repor</w:t>
            </w:r>
            <w:r>
              <w:t>t</w:t>
            </w:r>
            <w:r w:rsidRPr="0076371D">
              <w:t xml:space="preserve">, </w:t>
            </w:r>
            <w:r w:rsidRPr="0076371D">
              <w:rPr>
                <w:b/>
              </w:rPr>
              <w:t>Export</w:t>
            </w:r>
            <w:r w:rsidRPr="0076371D">
              <w:t xml:space="preserve"> </w:t>
            </w:r>
            <w:r>
              <w:t xml:space="preserve">to export the report </w:t>
            </w:r>
            <w:r w:rsidRPr="0076371D">
              <w:rPr>
                <w:szCs w:val="18"/>
              </w:rPr>
              <w:t xml:space="preserve">(See </w:t>
            </w:r>
            <w:r w:rsidR="00EE455E" w:rsidRPr="00EE455E">
              <w:rPr>
                <w:szCs w:val="18"/>
              </w:rPr>
              <w:t>Report Export</w:t>
            </w:r>
            <w:r>
              <w:rPr>
                <w:szCs w:val="18"/>
              </w:rPr>
              <w:t xml:space="preserve"> section</w:t>
            </w:r>
            <w:r w:rsidRPr="0076371D">
              <w:rPr>
                <w:szCs w:val="18"/>
              </w:rPr>
              <w:t>)</w:t>
            </w:r>
            <w:r>
              <w:t xml:space="preserve">, </w:t>
            </w:r>
            <w:r>
              <w:rPr>
                <w:szCs w:val="18"/>
              </w:rPr>
              <w:t xml:space="preserve">or </w:t>
            </w:r>
            <w:r w:rsidRPr="0076371D">
              <w:t xml:space="preserve">click </w:t>
            </w:r>
            <w:r w:rsidRPr="0076371D">
              <w:rPr>
                <w:b/>
              </w:rPr>
              <w:t>Close</w:t>
            </w:r>
            <w:r w:rsidRPr="0076371D">
              <w:t xml:space="preserve"> to exit</w:t>
            </w:r>
            <w:r>
              <w:t xml:space="preserve"> without printing</w:t>
            </w:r>
            <w:r w:rsidRPr="0076371D">
              <w:rPr>
                <w:szCs w:val="18"/>
              </w:rPr>
              <w:t>.</w:t>
            </w:r>
          </w:p>
        </w:tc>
        <w:tc>
          <w:tcPr>
            <w:tcW w:w="6120" w:type="dxa"/>
          </w:tcPr>
          <w:p w14:paraId="29E9E381" w14:textId="77777777" w:rsidR="00D45D8C" w:rsidRDefault="00D45D8C" w:rsidP="00D45D8C">
            <w:pPr>
              <w:pStyle w:val="TableTextBullet"/>
            </w:pPr>
            <w:r>
              <w:t>If Print is selected, prints the report on the designated printer.</w:t>
            </w:r>
          </w:p>
          <w:p w14:paraId="0CC9A3D5" w14:textId="77777777" w:rsidR="00D45D8C" w:rsidRDefault="00D45D8C" w:rsidP="00D45D8C">
            <w:pPr>
              <w:pStyle w:val="TableTextBullet"/>
            </w:pPr>
            <w:r>
              <w:t>If Export is selected, exports the report to the designated file.</w:t>
            </w:r>
          </w:p>
          <w:p w14:paraId="0F07AF86" w14:textId="2E9EDF4C" w:rsidR="002A21AE" w:rsidRDefault="00D45D8C" w:rsidP="00D45D8C">
            <w:pPr>
              <w:pStyle w:val="TableTextBullet"/>
            </w:pPr>
            <w:r>
              <w:t>If Close is selected, exits the report preview.</w:t>
            </w:r>
          </w:p>
        </w:tc>
      </w:tr>
    </w:tbl>
    <w:p w14:paraId="1BD59FBB" w14:textId="77777777" w:rsidR="00246E50" w:rsidRDefault="00F55832" w:rsidP="00246E50">
      <w:pPr>
        <w:pStyle w:val="Heading2"/>
      </w:pPr>
      <w:r>
        <w:br w:type="page"/>
      </w:r>
      <w:bookmarkStart w:id="649" w:name="_Toc203765958"/>
      <w:r w:rsidR="00246E50">
        <w:lastRenderedPageBreak/>
        <w:t>Prolonged Transfusion Time Report</w:t>
      </w:r>
      <w:bookmarkEnd w:id="649"/>
      <w:r w:rsidR="00246E50">
        <w:fldChar w:fldCharType="begin"/>
      </w:r>
      <w:r w:rsidR="00246E50">
        <w:instrText xml:space="preserve"> XE “Prolonged Transfusion Time Report” </w:instrText>
      </w:r>
      <w:r w:rsidR="00246E50">
        <w:fldChar w:fldCharType="end"/>
      </w:r>
      <w:r w:rsidR="00246E50">
        <w:t xml:space="preserve"> </w:t>
      </w:r>
      <w:r w:rsidR="00246E50">
        <w:rPr>
          <w:rFonts w:ascii="Times New Roman" w:hAnsi="Times New Roman" w:cs="Times New Roman"/>
          <w:b w:val="0"/>
          <w:i w:val="0"/>
          <w:vanish/>
          <w:sz w:val="22"/>
        </w:rPr>
        <w:t>UC_105</w:t>
      </w:r>
    </w:p>
    <w:p w14:paraId="6D5D9416" w14:textId="77777777" w:rsidR="00246E50" w:rsidRDefault="00246E50" w:rsidP="00246E50">
      <w:pPr>
        <w:pStyle w:val="BodyText"/>
      </w:pPr>
      <w:r>
        <w:t xml:space="preserve">The user views and/or prints the Prolonged Transfusion Time Report. </w:t>
      </w:r>
    </w:p>
    <w:p w14:paraId="3A06F0F3" w14:textId="77777777" w:rsidR="00246E50" w:rsidRDefault="00246E50" w:rsidP="00246E50">
      <w:pPr>
        <w:pStyle w:val="Heading4"/>
      </w:pPr>
      <w:r>
        <w:t>Assumptions</w:t>
      </w:r>
      <w:r>
        <w:rPr>
          <w:b w:val="0"/>
        </w:rPr>
        <w:t xml:space="preserve"> </w:t>
      </w:r>
    </w:p>
    <w:p w14:paraId="375675EA" w14:textId="77777777" w:rsidR="00246E50" w:rsidRDefault="00246E50" w:rsidP="00246E50">
      <w:pPr>
        <w:pStyle w:val="ListBullet"/>
      </w:pPr>
      <w:r>
        <w:t>Data for the report were saved in VBECS.</w:t>
      </w:r>
    </w:p>
    <w:p w14:paraId="0AF67178" w14:textId="77777777" w:rsidR="00246E50" w:rsidRDefault="00246E50" w:rsidP="00246E50">
      <w:pPr>
        <w:pStyle w:val="Heading4"/>
      </w:pPr>
      <w:r>
        <w:t xml:space="preserve">Outcome </w:t>
      </w:r>
    </w:p>
    <w:p w14:paraId="2B6BCBCE" w14:textId="77777777" w:rsidR="00246E50" w:rsidRDefault="00246E50" w:rsidP="00246E50">
      <w:pPr>
        <w:pStyle w:val="ListBullet"/>
      </w:pPr>
      <w:r>
        <w:t>The user views and prints the report.</w:t>
      </w:r>
    </w:p>
    <w:p w14:paraId="6176750D" w14:textId="77777777" w:rsidR="00246E50" w:rsidRDefault="00246E50" w:rsidP="00246E50">
      <w:pPr>
        <w:pStyle w:val="Heading4"/>
        <w:rPr>
          <w:b w:val="0"/>
        </w:rPr>
      </w:pPr>
      <w:r>
        <w:t>Limitations and Restrictions</w:t>
      </w:r>
      <w:r>
        <w:rPr>
          <w:b w:val="0"/>
        </w:rPr>
        <w:t xml:space="preserve"> </w:t>
      </w:r>
    </w:p>
    <w:p w14:paraId="6169C610" w14:textId="53BC9036" w:rsidR="00DF4DD6" w:rsidRDefault="00DF4DD6" w:rsidP="00246E50">
      <w:pPr>
        <w:pStyle w:val="ListBullet"/>
      </w:pPr>
      <w:r w:rsidRPr="00DF4DD6">
        <w:t>This report does not include presumed transfused units.</w:t>
      </w:r>
    </w:p>
    <w:p w14:paraId="04D8FC94" w14:textId="501BAE8A" w:rsidR="00DF4DD6" w:rsidRDefault="00DF4DD6" w:rsidP="00246E50">
      <w:pPr>
        <w:pStyle w:val="ListBullet"/>
      </w:pPr>
      <w:r w:rsidRPr="00DF4DD6">
        <w:t>Units issued to a remote storage location are not filtered from the report.</w:t>
      </w:r>
      <w:r w:rsidR="008233F6" w:rsidRPr="008233F6">
        <w:rPr>
          <w:vanish/>
        </w:rPr>
        <w:t xml:space="preserve"> (Bug 64625)</w:t>
      </w:r>
    </w:p>
    <w:p w14:paraId="297D6A98" w14:textId="084A9D16" w:rsidR="00DF4DD6" w:rsidRDefault="00DF4DD6" w:rsidP="00DF4DD6">
      <w:pPr>
        <w:pStyle w:val="ListBullet"/>
      </w:pPr>
      <w:r w:rsidRPr="00DF4DD6">
        <w:t>The Delayed (minutes) column on the report is not subtracting 30 minutes when the Transfusion Start time is greater than 30 minutes from the time of issue. Handwrite the correct Delayed (minutes) on the printed report.</w:t>
      </w:r>
      <w:r w:rsidR="008233F6" w:rsidRPr="008233F6">
        <w:rPr>
          <w:vanish/>
        </w:rPr>
        <w:t xml:space="preserve"> (Bug 64332)</w:t>
      </w:r>
    </w:p>
    <w:p w14:paraId="7686A670" w14:textId="77777777" w:rsidR="00246E50" w:rsidRDefault="00246E50" w:rsidP="00246E50">
      <w:pPr>
        <w:pStyle w:val="Heading4"/>
      </w:pPr>
      <w:r>
        <w:t xml:space="preserve">Additional Information </w:t>
      </w:r>
    </w:p>
    <w:p w14:paraId="26AC02D0" w14:textId="77777777" w:rsidR="00246E50" w:rsidRPr="00AA647C" w:rsidRDefault="00246E50" w:rsidP="00246E50">
      <w:pPr>
        <w:pStyle w:val="Roles"/>
      </w:pPr>
      <w:r>
        <w:rPr>
          <w:vanish/>
        </w:rPr>
        <w:t xml:space="preserve">PT_105.01 </w:t>
      </w:r>
      <w:r>
        <w:t>None</w:t>
      </w:r>
    </w:p>
    <w:p w14:paraId="2FF49D3C" w14:textId="77777777" w:rsidR="00246E50" w:rsidRDefault="00246E50" w:rsidP="00246E50">
      <w:pPr>
        <w:pStyle w:val="Heading4"/>
      </w:pPr>
      <w:r>
        <w:t xml:space="preserve">User Roles with Access to This Option </w:t>
      </w:r>
    </w:p>
    <w:p w14:paraId="5640DF10" w14:textId="77777777" w:rsidR="00246E50" w:rsidRDefault="00246E50" w:rsidP="00246E50">
      <w:pPr>
        <w:pStyle w:val="Roles"/>
      </w:pPr>
      <w:r>
        <w:t>All users</w:t>
      </w:r>
    </w:p>
    <w:p w14:paraId="11BA419B" w14:textId="77777777" w:rsidR="00246E50" w:rsidRDefault="00246E50" w:rsidP="00246E50">
      <w:pPr>
        <w:pStyle w:val="Heading4"/>
      </w:pPr>
      <w:r>
        <w:t>Prolonged Transfusion Time Report</w:t>
      </w:r>
    </w:p>
    <w:p w14:paraId="31739427" w14:textId="77777777" w:rsidR="00246E50" w:rsidRDefault="00246E50" w:rsidP="00246E50">
      <w:pPr>
        <w:pStyle w:val="BodyText"/>
      </w:pPr>
      <w:r>
        <w:t>The user views and/or prints the Prolonged Transfusion Time Report, which shows transfusions started more than 30 minutes after issue and units transfused for more than the maximum transfusion time set by each division.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46E50" w14:paraId="7DCA22DE" w14:textId="77777777" w:rsidTr="00246E50">
        <w:trPr>
          <w:cantSplit/>
          <w:tblHeader/>
        </w:trPr>
        <w:tc>
          <w:tcPr>
            <w:tcW w:w="3240" w:type="dxa"/>
            <w:shd w:val="pct30" w:color="auto" w:fill="FFFFFF"/>
            <w:vAlign w:val="bottom"/>
          </w:tcPr>
          <w:p w14:paraId="3A076287" w14:textId="77777777" w:rsidR="00246E50" w:rsidRDefault="00246E50" w:rsidP="00246E50">
            <w:pPr>
              <w:pStyle w:val="TableText"/>
              <w:rPr>
                <w:b/>
              </w:rPr>
            </w:pPr>
            <w:r>
              <w:rPr>
                <w:b/>
              </w:rPr>
              <w:t>User Action</w:t>
            </w:r>
          </w:p>
        </w:tc>
        <w:tc>
          <w:tcPr>
            <w:tcW w:w="6120" w:type="dxa"/>
            <w:shd w:val="pct30" w:color="auto" w:fill="FFFFFF"/>
            <w:vAlign w:val="bottom"/>
          </w:tcPr>
          <w:p w14:paraId="485B9E06" w14:textId="77777777" w:rsidR="00246E50" w:rsidRDefault="00246E50" w:rsidP="00246E50">
            <w:pPr>
              <w:pStyle w:val="TableText"/>
              <w:rPr>
                <w:b/>
              </w:rPr>
            </w:pPr>
            <w:r>
              <w:rPr>
                <w:b/>
              </w:rPr>
              <w:t>VBECS</w:t>
            </w:r>
          </w:p>
        </w:tc>
      </w:tr>
      <w:tr w:rsidR="00246E50" w14:paraId="0C2E780D" w14:textId="77777777" w:rsidTr="00246E50">
        <w:tc>
          <w:tcPr>
            <w:tcW w:w="3240" w:type="dxa"/>
          </w:tcPr>
          <w:p w14:paraId="4EA8A4EB" w14:textId="77777777" w:rsidR="00246E50" w:rsidRDefault="00246E50" w:rsidP="00925CAD">
            <w:pPr>
              <w:pStyle w:val="TableTextNumbers"/>
              <w:numPr>
                <w:ilvl w:val="0"/>
                <w:numId w:val="80"/>
              </w:numPr>
            </w:pPr>
            <w:r>
              <w:t xml:space="preserve">Select </w:t>
            </w:r>
            <w:r w:rsidRPr="00A809BB">
              <w:rPr>
                <w:b/>
              </w:rPr>
              <w:t>Reports</w:t>
            </w:r>
            <w:r>
              <w:t xml:space="preserve"> from the main menu.</w:t>
            </w:r>
          </w:p>
          <w:p w14:paraId="36CBB865" w14:textId="77777777" w:rsidR="00246E50" w:rsidRDefault="00246E50" w:rsidP="00246E50">
            <w:pPr>
              <w:pStyle w:val="TableTextNumbersContinued"/>
            </w:pPr>
          </w:p>
          <w:p w14:paraId="406DB92F" w14:textId="77777777" w:rsidR="00246E50" w:rsidRDefault="00246E50" w:rsidP="00246E50">
            <w:pPr>
              <w:pStyle w:val="TableTextNumbersContinued"/>
            </w:pPr>
            <w:r>
              <w:t xml:space="preserve">Select </w:t>
            </w:r>
            <w:r>
              <w:rPr>
                <w:b/>
              </w:rPr>
              <w:t>Prolonged Transfusion Time Report</w:t>
            </w:r>
            <w:r>
              <w:t>.</w:t>
            </w:r>
          </w:p>
        </w:tc>
        <w:tc>
          <w:tcPr>
            <w:tcW w:w="6120" w:type="dxa"/>
          </w:tcPr>
          <w:p w14:paraId="4C660648" w14:textId="77777777" w:rsidR="00246E50" w:rsidRDefault="00246E50" w:rsidP="00246E50">
            <w:pPr>
              <w:pStyle w:val="TableTextBullet"/>
            </w:pPr>
            <w:r>
              <w:t>Displays options for generating, viewing, and printing reports.</w:t>
            </w:r>
          </w:p>
          <w:p w14:paraId="010BD991" w14:textId="77777777" w:rsidR="00246E50" w:rsidRDefault="00246E50" w:rsidP="00246E50">
            <w:pPr>
              <w:pStyle w:val="TableTextBullet"/>
            </w:pPr>
            <w:r>
              <w:t>Displays a date range for selection.</w:t>
            </w:r>
          </w:p>
          <w:p w14:paraId="3EA6483F" w14:textId="77777777" w:rsidR="00246E50" w:rsidRDefault="00246E50" w:rsidP="00246E50">
            <w:pPr>
              <w:pStyle w:val="TableTextBullet"/>
            </w:pPr>
            <w:r>
              <w:t>Displays report sort order and compilation criteria.</w:t>
            </w:r>
          </w:p>
        </w:tc>
      </w:tr>
      <w:tr w:rsidR="00246E50" w14:paraId="6DCC89FB" w14:textId="77777777" w:rsidTr="00246E50">
        <w:tc>
          <w:tcPr>
            <w:tcW w:w="3240" w:type="dxa"/>
          </w:tcPr>
          <w:p w14:paraId="6DC03D86" w14:textId="77777777" w:rsidR="00246E50" w:rsidRDefault="00246E50" w:rsidP="00246E50">
            <w:pPr>
              <w:pStyle w:val="TableTextNumbers"/>
            </w:pPr>
            <w:r>
              <w:t>Enter a date range.</w:t>
            </w:r>
          </w:p>
          <w:p w14:paraId="03051D5E" w14:textId="77777777" w:rsidR="00246E50" w:rsidRDefault="00246E50" w:rsidP="00246E50">
            <w:pPr>
              <w:pStyle w:val="TableTextNumbersContinued"/>
            </w:pPr>
          </w:p>
          <w:p w14:paraId="764450F9" w14:textId="77777777" w:rsidR="00246E50" w:rsidRDefault="00246E50" w:rsidP="00246E50">
            <w:pPr>
              <w:pStyle w:val="TableTextNumbersContinued"/>
            </w:pPr>
            <w:r>
              <w:t xml:space="preserve">Click the </w:t>
            </w:r>
            <w:r>
              <w:rPr>
                <w:b/>
              </w:rPr>
              <w:t>Transfusion Date (Reverse Chronological)</w:t>
            </w:r>
            <w:r>
              <w:t xml:space="preserve"> or </w:t>
            </w:r>
            <w:r>
              <w:rPr>
                <w:b/>
              </w:rPr>
              <w:t xml:space="preserve">Issue-To Location </w:t>
            </w:r>
            <w:r w:rsidRPr="00BF2E41">
              <w:t>radio button</w:t>
            </w:r>
            <w:r>
              <w:t xml:space="preserve"> to select a sort order.</w:t>
            </w:r>
          </w:p>
        </w:tc>
        <w:tc>
          <w:tcPr>
            <w:tcW w:w="6120" w:type="dxa"/>
          </w:tcPr>
          <w:p w14:paraId="35E358A5" w14:textId="77777777" w:rsidR="00246E50" w:rsidRDefault="00246E50" w:rsidP="00246E50">
            <w:pPr>
              <w:pStyle w:val="TableText"/>
            </w:pPr>
            <w:r>
              <w:t xml:space="preserve"> </w:t>
            </w:r>
          </w:p>
        </w:tc>
      </w:tr>
      <w:tr w:rsidR="00246E50" w14:paraId="277A1001" w14:textId="77777777" w:rsidTr="00246E50">
        <w:tc>
          <w:tcPr>
            <w:tcW w:w="3240" w:type="dxa"/>
          </w:tcPr>
          <w:p w14:paraId="5AD64C6E" w14:textId="77777777" w:rsidR="00246E50" w:rsidRDefault="00246E50" w:rsidP="00246E50">
            <w:pPr>
              <w:pStyle w:val="TableTextNumbers"/>
            </w:pPr>
            <w:r>
              <w:t xml:space="preserve">In the Report Compilation area, click the </w:t>
            </w:r>
            <w:r>
              <w:rPr>
                <w:b/>
              </w:rPr>
              <w:t>Create Report Now</w:t>
            </w:r>
            <w:r>
              <w:t xml:space="preserve"> </w:t>
            </w:r>
            <w:r w:rsidRPr="00BF2E41">
              <w:t>radio button</w:t>
            </w:r>
            <w:r>
              <w:t xml:space="preserve">. Click </w:t>
            </w:r>
            <w:r>
              <w:rPr>
                <w:b/>
              </w:rPr>
              <w:t>OK</w:t>
            </w:r>
            <w:r>
              <w:t xml:space="preserve"> to view the report, or</w:t>
            </w:r>
          </w:p>
          <w:p w14:paraId="6A3F07AD" w14:textId="77777777" w:rsidR="00246E50" w:rsidRDefault="00246E50" w:rsidP="00246E50">
            <w:pPr>
              <w:pStyle w:val="TableTextNumbersContinued"/>
            </w:pPr>
          </w:p>
          <w:p w14:paraId="0F167162" w14:textId="77777777" w:rsidR="00246E50" w:rsidRDefault="00246E50" w:rsidP="00246E50">
            <w:pPr>
              <w:pStyle w:val="TableTextNumbersContinued"/>
            </w:pPr>
            <w:r>
              <w:t xml:space="preserve">Click the </w:t>
            </w:r>
            <w:r>
              <w:rPr>
                <w:b/>
              </w:rPr>
              <w:t>Schedule Print Job</w:t>
            </w:r>
            <w:r>
              <w:t xml:space="preserve"> </w:t>
            </w:r>
            <w:r w:rsidRPr="00BF2E41">
              <w:t>radio button</w:t>
            </w:r>
            <w:r>
              <w:t xml:space="preserve"> and </w:t>
            </w:r>
            <w:r>
              <w:rPr>
                <w:b/>
              </w:rPr>
              <w:t>OK</w:t>
            </w:r>
            <w:r>
              <w:t xml:space="preserve">, then enter or select a print date and printer name. Click </w:t>
            </w:r>
            <w:r>
              <w:rPr>
                <w:b/>
              </w:rPr>
              <w:t>OK</w:t>
            </w:r>
            <w:r>
              <w:t xml:space="preserve"> to view and print the report.</w:t>
            </w:r>
          </w:p>
        </w:tc>
        <w:tc>
          <w:tcPr>
            <w:tcW w:w="6120" w:type="dxa"/>
          </w:tcPr>
          <w:p w14:paraId="6B0887E7" w14:textId="77777777" w:rsidR="00246E50" w:rsidRDefault="00246E50" w:rsidP="00246E50">
            <w:pPr>
              <w:pStyle w:val="TableTextBullet"/>
              <w:rPr>
                <w:b/>
                <w:bCs/>
                <w:szCs w:val="18"/>
              </w:rPr>
            </w:pPr>
            <w:r>
              <w:t>Compiles and displays the report.</w:t>
            </w:r>
            <w:r>
              <w:rPr>
                <w:b/>
                <w:bCs/>
              </w:rPr>
              <w:t xml:space="preserve"> </w:t>
            </w:r>
          </w:p>
          <w:p w14:paraId="415297D0" w14:textId="77777777" w:rsidR="00246E50" w:rsidRDefault="00246E50" w:rsidP="00246E50">
            <w:pPr>
              <w:pStyle w:val="TableText"/>
            </w:pPr>
          </w:p>
          <w:p w14:paraId="1896D9D0" w14:textId="77777777" w:rsidR="00246E50" w:rsidRDefault="00246E50" w:rsidP="00246E50">
            <w:pPr>
              <w:pStyle w:val="TableText"/>
              <w:rPr>
                <w:b/>
                <w:bCs/>
              </w:rPr>
            </w:pPr>
            <w:r>
              <w:rPr>
                <w:b/>
                <w:bCs/>
              </w:rPr>
              <w:t>NOTES</w:t>
            </w:r>
          </w:p>
          <w:p w14:paraId="6E2EAC78" w14:textId="77777777" w:rsidR="00246E50" w:rsidRDefault="00246E50" w:rsidP="00246E50">
            <w:pPr>
              <w:pStyle w:val="NotesText"/>
            </w:pPr>
          </w:p>
          <w:p w14:paraId="0F9B625F" w14:textId="77777777" w:rsidR="00246E50" w:rsidRDefault="00246E50" w:rsidP="00246E50">
            <w:pPr>
              <w:pStyle w:val="NotesText"/>
              <w:rPr>
                <w:rFonts w:cs="Arial"/>
              </w:rPr>
            </w:pPr>
            <w:r>
              <w:t>The report includes:</w:t>
            </w:r>
            <w:r>
              <w:rPr>
                <w:rFonts w:cs="Arial"/>
              </w:rPr>
              <w:t xml:space="preserve"> </w:t>
            </w:r>
          </w:p>
          <w:p w14:paraId="571983D8" w14:textId="77777777" w:rsidR="00246E50" w:rsidRDefault="00246E50" w:rsidP="00246E50">
            <w:pPr>
              <w:pStyle w:val="NotesTextBullet"/>
            </w:pPr>
            <w:r>
              <w:t>Issue-to location</w:t>
            </w:r>
          </w:p>
          <w:p w14:paraId="08E3CB31" w14:textId="77777777" w:rsidR="00246E50" w:rsidRDefault="00246E50" w:rsidP="00246E50">
            <w:pPr>
              <w:pStyle w:val="NotesTextBullet"/>
            </w:pPr>
            <w:r>
              <w:t>Unit ID</w:t>
            </w:r>
          </w:p>
          <w:p w14:paraId="25F6C27C" w14:textId="77777777" w:rsidR="00246E50" w:rsidRDefault="00246E50" w:rsidP="00246E50">
            <w:pPr>
              <w:pStyle w:val="NotesTextBullet"/>
            </w:pPr>
            <w:r>
              <w:t>Product short name</w:t>
            </w:r>
          </w:p>
          <w:p w14:paraId="068FE4EB" w14:textId="77777777" w:rsidR="00246E50" w:rsidRDefault="00246E50" w:rsidP="00246E50">
            <w:pPr>
              <w:pStyle w:val="NotesTextBullet"/>
            </w:pPr>
            <w:r>
              <w:t>Issue Date/time</w:t>
            </w:r>
          </w:p>
          <w:p w14:paraId="594DC4FD" w14:textId="77777777" w:rsidR="00246E50" w:rsidRDefault="00246E50" w:rsidP="00246E50">
            <w:pPr>
              <w:pStyle w:val="NotesTextBullet"/>
            </w:pPr>
            <w:r>
              <w:t xml:space="preserve">Start Date/time </w:t>
            </w:r>
          </w:p>
          <w:p w14:paraId="178B11E7" w14:textId="77777777" w:rsidR="00246E50" w:rsidRDefault="00246E50" w:rsidP="00246E50">
            <w:pPr>
              <w:pStyle w:val="NotesTextBullet"/>
            </w:pPr>
            <w:r>
              <w:t>End Date/time</w:t>
            </w:r>
          </w:p>
          <w:p w14:paraId="4D3A8549" w14:textId="77777777" w:rsidR="00246E50" w:rsidRDefault="00246E50" w:rsidP="00246E50">
            <w:pPr>
              <w:pStyle w:val="NotesTextBullet"/>
            </w:pPr>
            <w:r>
              <w:lastRenderedPageBreak/>
              <w:t>Number of minutes elapsed between unit issue and start time, when exceeds 30 minutes</w:t>
            </w:r>
          </w:p>
          <w:p w14:paraId="59182E77" w14:textId="77777777" w:rsidR="00246E50" w:rsidRDefault="00246E50" w:rsidP="00246E50">
            <w:pPr>
              <w:pStyle w:val="NotesTextBullet"/>
            </w:pPr>
            <w:r>
              <w:t xml:space="preserve">Number of minutes elapsed between the unit start and end dates and times, when they exceed the maximum transfusion setting for the component class. </w:t>
            </w:r>
          </w:p>
          <w:p w14:paraId="0FBB691E" w14:textId="77777777" w:rsidR="00246E50" w:rsidRDefault="00246E50" w:rsidP="00246E50">
            <w:pPr>
              <w:pStyle w:val="NotesTextBullet"/>
            </w:pPr>
            <w:r>
              <w:t>Patient Name</w:t>
            </w:r>
          </w:p>
          <w:p w14:paraId="23BC6E3B" w14:textId="77777777" w:rsidR="00246E50" w:rsidRDefault="00246E50" w:rsidP="00246E50">
            <w:pPr>
              <w:pStyle w:val="NotesTextBullet"/>
            </w:pPr>
            <w:r>
              <w:t>Patient ID</w:t>
            </w:r>
          </w:p>
          <w:p w14:paraId="0EDD881B" w14:textId="77777777" w:rsidR="00246E50" w:rsidRDefault="00246E50" w:rsidP="00246E50">
            <w:pPr>
              <w:pStyle w:val="NotesTextBullet"/>
            </w:pPr>
            <w:r>
              <w:t>Treating Specialty</w:t>
            </w:r>
          </w:p>
          <w:p w14:paraId="63BB2FE6" w14:textId="77777777" w:rsidR="00246E50" w:rsidRDefault="00246E50" w:rsidP="00246E50">
            <w:pPr>
              <w:pStyle w:val="NotesText"/>
            </w:pPr>
          </w:p>
          <w:p w14:paraId="1F297E52" w14:textId="77777777" w:rsidR="00246E50" w:rsidRDefault="00246E50" w:rsidP="00246E50">
            <w:pPr>
              <w:pStyle w:val="NotesText"/>
            </w:pPr>
            <w:r>
              <w:rPr>
                <w:rFonts w:cs="Arial"/>
                <w:vanish/>
              </w:rPr>
              <w:t xml:space="preserve">BR_105.02 </w:t>
            </w:r>
            <w:r>
              <w:t>The report includes instances of a prolonged start time and/or the prolonged transfusion time.</w:t>
            </w:r>
          </w:p>
          <w:p w14:paraId="15DFDB9F" w14:textId="77777777" w:rsidR="00246E50" w:rsidRDefault="00246E50" w:rsidP="00246E50">
            <w:pPr>
              <w:pStyle w:val="NotesText"/>
            </w:pPr>
          </w:p>
          <w:p w14:paraId="47F90F58" w14:textId="77777777" w:rsidR="00246E50" w:rsidRDefault="00246E50" w:rsidP="00246E50">
            <w:pPr>
              <w:pStyle w:val="NotesText"/>
            </w:pPr>
            <w:r>
              <w:rPr>
                <w:rFonts w:cs="Arial"/>
                <w:vanish/>
              </w:rPr>
              <w:t xml:space="preserve">BR_105.03 </w:t>
            </w:r>
            <w:r>
              <w:t>A prolonged transfusion time is the number of minutes elapsed between the transfusion start and end times and the maximum transfusion time setting for the component class. When the number of minutes exceeds the maximum transfusion time setting for the component class, the unit and its transfusion data are included in the report.</w:t>
            </w:r>
          </w:p>
          <w:p w14:paraId="38CE7FBB" w14:textId="77777777" w:rsidR="00246E50" w:rsidRDefault="00246E50" w:rsidP="00246E50">
            <w:pPr>
              <w:pStyle w:val="NotesText"/>
            </w:pPr>
          </w:p>
          <w:p w14:paraId="6506FDD3" w14:textId="77777777" w:rsidR="00246E50" w:rsidRDefault="00246E50" w:rsidP="00246E50">
            <w:pPr>
              <w:pStyle w:val="NotesText"/>
            </w:pPr>
            <w:r>
              <w:rPr>
                <w:rFonts w:cs="Arial"/>
                <w:vanish/>
              </w:rPr>
              <w:t xml:space="preserve">BR_105.04 </w:t>
            </w:r>
            <w:r>
              <w:t>A delayed start of transfusion is the number of minutes elapsed between the issue time and the transfusion start time. When the start time of the unit’s transfusion is greater than 30 minutes from the unit’s issue time and when no remote storage location is indicated, the unit and its transfusion data are included in the report.</w:t>
            </w:r>
          </w:p>
          <w:p w14:paraId="58448023" w14:textId="77777777" w:rsidR="00246E50" w:rsidRDefault="00246E50" w:rsidP="00246E50">
            <w:pPr>
              <w:pStyle w:val="NotesText"/>
            </w:pPr>
          </w:p>
          <w:p w14:paraId="56F49B8D" w14:textId="77777777" w:rsidR="00246E50" w:rsidRDefault="00246E50" w:rsidP="00246E50">
            <w:pPr>
              <w:pStyle w:val="NotesText"/>
            </w:pPr>
            <w:r>
              <w:rPr>
                <w:rFonts w:cs="Arial"/>
                <w:vanish/>
              </w:rPr>
              <w:t xml:space="preserve">BR_105.06 </w:t>
            </w:r>
            <w:r>
              <w:t>The total transfusion time is the number of minutes elapsed between the issue and end times.</w:t>
            </w:r>
          </w:p>
          <w:p w14:paraId="01004C17" w14:textId="77777777" w:rsidR="00246E50" w:rsidRDefault="00246E50" w:rsidP="00246E50">
            <w:pPr>
              <w:pStyle w:val="NotesText"/>
            </w:pPr>
          </w:p>
          <w:p w14:paraId="0373B5FF" w14:textId="77777777" w:rsidR="00246E50" w:rsidRDefault="00246E50" w:rsidP="00246E50">
            <w:pPr>
              <w:pStyle w:val="NotesText"/>
            </w:pPr>
            <w:r>
              <w:rPr>
                <w:rFonts w:cs="Arial"/>
                <w:vanish/>
              </w:rPr>
              <w:t xml:space="preserve">BR_105.05 </w:t>
            </w:r>
            <w:r>
              <w:t>The report includes:</w:t>
            </w:r>
          </w:p>
          <w:p w14:paraId="0919AE7D" w14:textId="77777777" w:rsidR="00246E50" w:rsidRDefault="00246E50" w:rsidP="00246E50">
            <w:pPr>
              <w:pStyle w:val="NotesTextBullet"/>
            </w:pPr>
            <w:r>
              <w:t>Issue-To Location</w:t>
            </w:r>
          </w:p>
          <w:p w14:paraId="3947AEE3" w14:textId="77777777" w:rsidR="00246E50" w:rsidRDefault="00246E50" w:rsidP="00246E50">
            <w:pPr>
              <w:pStyle w:val="NotesTextBullet"/>
            </w:pPr>
            <w:r>
              <w:t>Unit ID</w:t>
            </w:r>
          </w:p>
          <w:p w14:paraId="0E0CFAE3" w14:textId="77777777" w:rsidR="00246E50" w:rsidRDefault="00246E50" w:rsidP="00246E50">
            <w:pPr>
              <w:pStyle w:val="NotesTextBullet"/>
            </w:pPr>
            <w:r>
              <w:t>Product Short Name</w:t>
            </w:r>
          </w:p>
          <w:p w14:paraId="230199E7" w14:textId="77777777" w:rsidR="00246E50" w:rsidRDefault="00246E50" w:rsidP="00246E50">
            <w:pPr>
              <w:pStyle w:val="NotesTextBullet"/>
            </w:pPr>
            <w:r>
              <w:t>Issue Date/Time</w:t>
            </w:r>
          </w:p>
          <w:p w14:paraId="0F79F8AE" w14:textId="77777777" w:rsidR="00246E50" w:rsidRDefault="00246E50" w:rsidP="00246E50">
            <w:pPr>
              <w:pStyle w:val="NotesTextBullet"/>
            </w:pPr>
            <w:r>
              <w:t xml:space="preserve">Start Date/Time </w:t>
            </w:r>
          </w:p>
          <w:p w14:paraId="5545E2CF" w14:textId="77777777" w:rsidR="00246E50" w:rsidRDefault="00246E50" w:rsidP="00246E50">
            <w:pPr>
              <w:pStyle w:val="NotesTextBullet"/>
            </w:pPr>
            <w:r>
              <w:t>End Date/Time</w:t>
            </w:r>
          </w:p>
          <w:p w14:paraId="751AF07E" w14:textId="77777777" w:rsidR="00246E50" w:rsidRDefault="00246E50" w:rsidP="00246E50">
            <w:pPr>
              <w:pStyle w:val="NotesTextBullet"/>
            </w:pPr>
            <w:r>
              <w:t>Delayed start interval (the number of minutes elapsed between unit issue and start times, when it exceeds 30 minutes)</w:t>
            </w:r>
          </w:p>
          <w:p w14:paraId="2589150D" w14:textId="77777777" w:rsidR="00246E50" w:rsidRDefault="00246E50" w:rsidP="00246E50">
            <w:pPr>
              <w:pStyle w:val="NotesTextBullet"/>
            </w:pPr>
            <w:r>
              <w:t>Prolonged transfusion interval (the number of minutes elapsed between unit start and end dates and times, when they exceed the maximum transfusion setting for the component class)</w:t>
            </w:r>
          </w:p>
          <w:p w14:paraId="16F95031" w14:textId="77777777" w:rsidR="00246E50" w:rsidRDefault="00246E50" w:rsidP="00246E50">
            <w:pPr>
              <w:pStyle w:val="NotesTextBullet"/>
            </w:pPr>
            <w:r>
              <w:t>Patient Name</w:t>
            </w:r>
          </w:p>
          <w:p w14:paraId="758631AD" w14:textId="77777777" w:rsidR="00246E50" w:rsidRDefault="00246E50" w:rsidP="00246E50">
            <w:pPr>
              <w:pStyle w:val="NotesTextBullet"/>
            </w:pPr>
            <w:r>
              <w:t xml:space="preserve">Patient ID </w:t>
            </w:r>
          </w:p>
          <w:p w14:paraId="63E0031B" w14:textId="77777777" w:rsidR="00246E50" w:rsidRDefault="00246E50" w:rsidP="00246E50">
            <w:pPr>
              <w:pStyle w:val="NotesTextBullet"/>
            </w:pPr>
            <w:r>
              <w:t>Treating Specialty</w:t>
            </w:r>
          </w:p>
          <w:p w14:paraId="2C87B390" w14:textId="77777777" w:rsidR="0056266F" w:rsidRDefault="0056266F" w:rsidP="0056266F">
            <w:pPr>
              <w:pStyle w:val="NotesTextBullet"/>
              <w:numPr>
                <w:ilvl w:val="0"/>
                <w:numId w:val="0"/>
              </w:numPr>
              <w:ind w:left="1008" w:hanging="288"/>
            </w:pPr>
          </w:p>
          <w:p w14:paraId="382CBDCC" w14:textId="6D006B69" w:rsidR="0021028D" w:rsidRDefault="0021028D" w:rsidP="0021028D">
            <w:pPr>
              <w:pStyle w:val="NotesText"/>
            </w:pPr>
            <w:r w:rsidRPr="00CE5107">
              <w:rPr>
                <w:vanish/>
              </w:rPr>
              <w:t xml:space="preserve">BR_105.07 </w:t>
            </w:r>
            <w:r w:rsidRPr="0021028D">
              <w:t>The report’s start date and end date must include a blood unit’s issued date for the blood unit to be included in the report.</w:t>
            </w:r>
          </w:p>
        </w:tc>
      </w:tr>
      <w:tr w:rsidR="00246E50" w14:paraId="56908E25" w14:textId="77777777" w:rsidTr="00246E50">
        <w:trPr>
          <w:cantSplit/>
        </w:trPr>
        <w:tc>
          <w:tcPr>
            <w:tcW w:w="3240" w:type="dxa"/>
          </w:tcPr>
          <w:p w14:paraId="10C4C87D" w14:textId="1BDA6B5F" w:rsidR="00246E50" w:rsidRDefault="00246E50" w:rsidP="00246E50">
            <w:pPr>
              <w:pStyle w:val="TableTextNumbers"/>
            </w:pPr>
            <w:r w:rsidRPr="0076371D">
              <w:lastRenderedPageBreak/>
              <w:t xml:space="preserve">Select </w:t>
            </w:r>
            <w:r w:rsidRPr="0076371D">
              <w:rPr>
                <w:b/>
              </w:rPr>
              <w:t xml:space="preserve">Print </w:t>
            </w:r>
            <w:r w:rsidRPr="0076371D">
              <w:t>to print the repor</w:t>
            </w:r>
            <w:r>
              <w:t>t</w:t>
            </w:r>
            <w:r w:rsidRPr="0076371D">
              <w:t xml:space="preserve">, </w:t>
            </w:r>
            <w:r w:rsidRPr="0076371D">
              <w:rPr>
                <w:b/>
              </w:rPr>
              <w:t>Export</w:t>
            </w:r>
            <w:r w:rsidRPr="0076371D">
              <w:t xml:space="preserve"> </w:t>
            </w:r>
            <w:r>
              <w:t xml:space="preserve">to export the report </w:t>
            </w:r>
            <w:r w:rsidRPr="0076371D">
              <w:rPr>
                <w:szCs w:val="18"/>
              </w:rPr>
              <w:t xml:space="preserve">(See </w:t>
            </w:r>
            <w:r w:rsidR="00EE455E" w:rsidRPr="00EE455E">
              <w:rPr>
                <w:szCs w:val="18"/>
              </w:rPr>
              <w:t>Report Export</w:t>
            </w:r>
            <w:r>
              <w:rPr>
                <w:szCs w:val="18"/>
              </w:rPr>
              <w:t xml:space="preserve"> section</w:t>
            </w:r>
            <w:r w:rsidRPr="0076371D">
              <w:rPr>
                <w:szCs w:val="18"/>
              </w:rPr>
              <w:t>)</w:t>
            </w:r>
            <w:r>
              <w:t xml:space="preserve">, </w:t>
            </w:r>
            <w:r>
              <w:rPr>
                <w:szCs w:val="18"/>
              </w:rPr>
              <w:t xml:space="preserve">or </w:t>
            </w:r>
            <w:r w:rsidRPr="0076371D">
              <w:t xml:space="preserve">click </w:t>
            </w:r>
            <w:r w:rsidRPr="0076371D">
              <w:rPr>
                <w:b/>
              </w:rPr>
              <w:t>Close</w:t>
            </w:r>
            <w:r w:rsidRPr="0076371D">
              <w:t xml:space="preserve"> to exit</w:t>
            </w:r>
            <w:r>
              <w:t xml:space="preserve"> without printing</w:t>
            </w:r>
            <w:r w:rsidR="00BC11E3">
              <w:rPr>
                <w:rStyle w:val="StyleTableTextNumbersWhite1Char"/>
              </w:rPr>
              <w:t>.</w:t>
            </w:r>
          </w:p>
        </w:tc>
        <w:tc>
          <w:tcPr>
            <w:tcW w:w="6120" w:type="dxa"/>
          </w:tcPr>
          <w:p w14:paraId="684C19E2" w14:textId="77777777" w:rsidR="00246E50" w:rsidRDefault="00246E50" w:rsidP="00246E50">
            <w:pPr>
              <w:pStyle w:val="TableTextBullet"/>
            </w:pPr>
            <w:r>
              <w:t>If Print is selected, prints the report on the designated printer.</w:t>
            </w:r>
          </w:p>
          <w:p w14:paraId="4A89CEF7" w14:textId="77777777" w:rsidR="00246E50" w:rsidRDefault="00246E50" w:rsidP="00246E50">
            <w:pPr>
              <w:pStyle w:val="TableTextBullet"/>
            </w:pPr>
            <w:r>
              <w:t>If Export is selected, exports the report to the designated file.</w:t>
            </w:r>
          </w:p>
          <w:p w14:paraId="23D5A7BC" w14:textId="77777777" w:rsidR="00246E50" w:rsidRDefault="00246E50" w:rsidP="00246E50">
            <w:pPr>
              <w:pStyle w:val="TableTextBullet"/>
            </w:pPr>
            <w:r>
              <w:t>If Close is selected, exits the report preview.</w:t>
            </w:r>
          </w:p>
        </w:tc>
      </w:tr>
    </w:tbl>
    <w:p w14:paraId="6D984C8E" w14:textId="53302593" w:rsidR="002A21AE" w:rsidRDefault="002A21AE">
      <w:pPr>
        <w:pStyle w:val="Heading2"/>
      </w:pPr>
      <w:bookmarkStart w:id="650" w:name="_Toc203765959"/>
      <w:r>
        <w:lastRenderedPageBreak/>
        <w:t>Transfusion Complications Report</w:t>
      </w:r>
      <w:bookmarkEnd w:id="650"/>
      <w:r>
        <w:fldChar w:fldCharType="begin"/>
      </w:r>
      <w:r>
        <w:instrText xml:space="preserve"> XE </w:instrText>
      </w:r>
      <w:r w:rsidR="00FA7E65">
        <w:instrText>“</w:instrText>
      </w:r>
      <w:r>
        <w:instrText>Transfusion Complications Report</w:instrText>
      </w:r>
      <w:r w:rsidR="00FA7E65">
        <w:instrText>”</w:instrText>
      </w:r>
      <w:r>
        <w:instrText xml:space="preserve"> </w:instrText>
      </w:r>
      <w:r>
        <w:fldChar w:fldCharType="end"/>
      </w:r>
      <w:r>
        <w:t xml:space="preserve"> </w:t>
      </w:r>
      <w:r>
        <w:rPr>
          <w:rFonts w:ascii="Times New Roman" w:hAnsi="Times New Roman" w:cs="Times New Roman"/>
          <w:b w:val="0"/>
          <w:i w:val="0"/>
          <w:vanish/>
          <w:sz w:val="22"/>
        </w:rPr>
        <w:t>UC_90</w:t>
      </w:r>
    </w:p>
    <w:p w14:paraId="06BDC359" w14:textId="77777777" w:rsidR="002A21AE" w:rsidRDefault="002A21AE" w:rsidP="00FA7E65">
      <w:pPr>
        <w:pStyle w:val="BodyText"/>
      </w:pPr>
      <w:r>
        <w:t xml:space="preserve">The user views </w:t>
      </w:r>
      <w:r w:rsidR="003F3B4B">
        <w:t>and</w:t>
      </w:r>
      <w:r w:rsidR="009162DB">
        <w:t>/or</w:t>
      </w:r>
      <w:r>
        <w:t xml:space="preserve"> prints the T</w:t>
      </w:r>
      <w:r w:rsidR="009162DB">
        <w:t>ransfusion Complications Report</w:t>
      </w:r>
      <w:r>
        <w:t xml:space="preserve">. </w:t>
      </w:r>
    </w:p>
    <w:p w14:paraId="38FBE634" w14:textId="77777777" w:rsidR="002A21AE" w:rsidRDefault="002A21AE">
      <w:pPr>
        <w:pStyle w:val="Heading4"/>
      </w:pPr>
      <w:r>
        <w:t>Assumptions</w:t>
      </w:r>
      <w:r>
        <w:rPr>
          <w:b w:val="0"/>
        </w:rPr>
        <w:t xml:space="preserve"> </w:t>
      </w:r>
    </w:p>
    <w:p w14:paraId="32BB2D90" w14:textId="77777777" w:rsidR="00CA6E27" w:rsidRDefault="00CA6E27">
      <w:pPr>
        <w:pStyle w:val="ListBullet"/>
      </w:pPr>
      <w:r w:rsidRPr="00CA6E27">
        <w:rPr>
          <w:bCs/>
        </w:rPr>
        <w:t>VistA</w:t>
      </w:r>
      <w:r w:rsidR="002A21AE">
        <w:t xml:space="preserve"> tests are defined</w:t>
      </w:r>
      <w:r w:rsidR="00DF389C">
        <w:t xml:space="preserve"> in Transfusion Complications</w:t>
      </w:r>
      <w:r>
        <w:t>.</w:t>
      </w:r>
    </w:p>
    <w:p w14:paraId="51CFAA87" w14:textId="77777777" w:rsidR="002A21AE" w:rsidRDefault="00CA6E27">
      <w:pPr>
        <w:pStyle w:val="ListBullet"/>
      </w:pPr>
      <w:r>
        <w:t>T</w:t>
      </w:r>
      <w:r w:rsidR="002A21AE">
        <w:t xml:space="preserve">he connection to </w:t>
      </w:r>
      <w:r w:rsidRPr="00CA6E27">
        <w:rPr>
          <w:bCs/>
        </w:rPr>
        <w:t>VistA</w:t>
      </w:r>
      <w:r w:rsidR="002A21AE">
        <w:t xml:space="preserve"> is active.</w:t>
      </w:r>
    </w:p>
    <w:p w14:paraId="26CDE63F" w14:textId="77777777" w:rsidR="002A21AE" w:rsidRDefault="002A21AE">
      <w:pPr>
        <w:pStyle w:val="ListBullet"/>
      </w:pPr>
      <w:r>
        <w:t>Transfusion Complications was processed and post-transfusion complication tests are defined.</w:t>
      </w:r>
    </w:p>
    <w:p w14:paraId="4406B343" w14:textId="77777777" w:rsidR="002A21AE" w:rsidRDefault="002A21AE">
      <w:pPr>
        <w:pStyle w:val="ListBullet"/>
      </w:pPr>
      <w:r>
        <w:t>Units have a status of presumed transfused or transfused for the patient.</w:t>
      </w:r>
    </w:p>
    <w:p w14:paraId="5017E9E8" w14:textId="77777777" w:rsidR="002A21AE" w:rsidRDefault="002A21AE">
      <w:pPr>
        <w:pStyle w:val="Heading4"/>
      </w:pPr>
      <w:r>
        <w:t xml:space="preserve">Outcome </w:t>
      </w:r>
    </w:p>
    <w:p w14:paraId="40753795" w14:textId="77777777" w:rsidR="002A21AE" w:rsidRDefault="00AE521B">
      <w:pPr>
        <w:pStyle w:val="ListBullet"/>
      </w:pPr>
      <w:r>
        <w:t>The user views and/or prints the report</w:t>
      </w:r>
      <w:r w:rsidR="002A21AE">
        <w:t xml:space="preserve">. </w:t>
      </w:r>
    </w:p>
    <w:p w14:paraId="6BE221D9" w14:textId="77777777" w:rsidR="002A21AE" w:rsidRDefault="002A21AE">
      <w:pPr>
        <w:pStyle w:val="Heading4"/>
      </w:pPr>
      <w:r>
        <w:t>Limitations and Restrictions</w:t>
      </w:r>
      <w:r>
        <w:rPr>
          <w:b w:val="0"/>
        </w:rPr>
        <w:t xml:space="preserve"> </w:t>
      </w:r>
    </w:p>
    <w:p w14:paraId="5D39700D" w14:textId="77777777" w:rsidR="002A21AE" w:rsidRDefault="002A21AE">
      <w:pPr>
        <w:pStyle w:val="ListBullet"/>
      </w:pPr>
      <w:r>
        <w:t>The report does not include units in an issued status.</w:t>
      </w:r>
    </w:p>
    <w:p w14:paraId="7F8C840D" w14:textId="15DB27E1" w:rsidR="00270D6F" w:rsidRDefault="00270D6F" w:rsidP="00270D6F">
      <w:pPr>
        <w:pStyle w:val="ListBullet"/>
      </w:pPr>
      <w:r>
        <w:t xml:space="preserve">The report cannot be </w:t>
      </w:r>
      <w:r w:rsidR="00C73E0E">
        <w:t>scheduled.</w:t>
      </w:r>
      <w:r w:rsidR="00CD5BA1">
        <w:t xml:space="preserve"> </w:t>
      </w:r>
      <w:r w:rsidR="00CD5BA1" w:rsidRPr="00CD5BA1">
        <w:rPr>
          <w:vanish/>
        </w:rPr>
        <w:t>Defect 210264</w:t>
      </w:r>
    </w:p>
    <w:p w14:paraId="060A0728" w14:textId="13A64A81" w:rsidR="002A21AE" w:rsidRDefault="002A21AE" w:rsidP="005304F5">
      <w:pPr>
        <w:pStyle w:val="Heading4"/>
      </w:pPr>
      <w:r>
        <w:t xml:space="preserve">Additional Information </w:t>
      </w:r>
    </w:p>
    <w:p w14:paraId="49C13E6E" w14:textId="77777777" w:rsidR="002A21AE" w:rsidRDefault="002A21AE">
      <w:pPr>
        <w:pStyle w:val="ListBullet"/>
      </w:pPr>
      <w:r>
        <w:t xml:space="preserve">The report searches for </w:t>
      </w:r>
      <w:r w:rsidR="00CA6E27" w:rsidRPr="00CA6E27">
        <w:rPr>
          <w:bCs/>
        </w:rPr>
        <w:t>VistA</w:t>
      </w:r>
      <w:r>
        <w:t xml:space="preserve"> tests defined in Transfusion Complications when the report is requested.</w:t>
      </w:r>
    </w:p>
    <w:p w14:paraId="1584E4F2" w14:textId="77777777" w:rsidR="002A21AE" w:rsidRDefault="002A21AE">
      <w:pPr>
        <w:pStyle w:val="ListBullet"/>
      </w:pPr>
      <w:r>
        <w:t>If threshold values are words, they are case insensitive.</w:t>
      </w:r>
    </w:p>
    <w:p w14:paraId="264FC95E" w14:textId="77777777" w:rsidR="002A21AE" w:rsidRDefault="002A21AE">
      <w:pPr>
        <w:pStyle w:val="ListBullet"/>
      </w:pPr>
      <w:r>
        <w:t>A patient’s test results and transfusions are not directly linked by date, episode, or admission event.</w:t>
      </w:r>
    </w:p>
    <w:p w14:paraId="5DECF07E" w14:textId="77777777" w:rsidR="002A21AE" w:rsidRDefault="002A21AE">
      <w:pPr>
        <w:pStyle w:val="ListBullet"/>
      </w:pPr>
      <w:r>
        <w:t>Lab test data retrieved for the report are not saved in VBECS.</w:t>
      </w:r>
    </w:p>
    <w:p w14:paraId="65D2E757" w14:textId="77777777" w:rsidR="002A21AE" w:rsidRDefault="002A21AE">
      <w:pPr>
        <w:pStyle w:val="ListBullet"/>
      </w:pPr>
      <w:r>
        <w:t>The report is not saved in VBECS.</w:t>
      </w:r>
    </w:p>
    <w:p w14:paraId="6701DF14" w14:textId="77777777" w:rsidR="002A21AE" w:rsidRDefault="002A21AE">
      <w:pPr>
        <w:pStyle w:val="Heading4"/>
        <w:rPr>
          <w:b w:val="0"/>
        </w:rPr>
      </w:pPr>
      <w:r>
        <w:t>User Roles with Access to This Option</w:t>
      </w:r>
      <w:r>
        <w:rPr>
          <w:b w:val="0"/>
        </w:rPr>
        <w:t xml:space="preserve"> </w:t>
      </w:r>
    </w:p>
    <w:p w14:paraId="4DD7E060" w14:textId="77777777" w:rsidR="002A21AE" w:rsidRDefault="00184EA4">
      <w:pPr>
        <w:pStyle w:val="Roles"/>
      </w:pPr>
      <w:r>
        <w:t>All users</w:t>
      </w:r>
    </w:p>
    <w:p w14:paraId="6DC7A21B" w14:textId="77777777" w:rsidR="002A21AE" w:rsidRDefault="002A21AE">
      <w:pPr>
        <w:pStyle w:val="Heading4"/>
        <w:tabs>
          <w:tab w:val="left" w:pos="6885"/>
        </w:tabs>
      </w:pPr>
      <w:r>
        <w:t xml:space="preserve">Transfusion Complications Report </w:t>
      </w:r>
      <w:r>
        <w:tab/>
      </w:r>
    </w:p>
    <w:p w14:paraId="1EA2E0D8" w14:textId="77777777" w:rsidR="002A21AE" w:rsidRDefault="002A21AE" w:rsidP="00FA7E65">
      <w:pPr>
        <w:pStyle w:val="BodyText"/>
      </w:pPr>
      <w:r>
        <w:t xml:space="preserve">The user views </w:t>
      </w:r>
      <w:r w:rsidR="009162DB">
        <w:t>and/</w:t>
      </w:r>
      <w:r>
        <w:t>or prints the Transfusion Complications Report</w:t>
      </w:r>
      <w:r w:rsidR="009162DB">
        <w:t>, which includes patients transfused in his division with a test result that exceeds the threshold set in Transfusion Complications for that test</w:t>
      </w:r>
      <w:r>
        <w:t>. Tests associated with possible post-transfusion complications are gathered by searching for results in a user-defined date range for the report. The report also includes the documented patient transfusions from 12 months prior to the start date of the report through the end date of the report.</w:t>
      </w:r>
      <w:r w:rsidR="009162DB">
        <w:t xml:space="preserve"> </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64824773" w14:textId="77777777">
        <w:trPr>
          <w:cantSplit/>
          <w:tblHeader/>
        </w:trPr>
        <w:tc>
          <w:tcPr>
            <w:tcW w:w="3240" w:type="dxa"/>
            <w:shd w:val="pct30" w:color="auto" w:fill="FFFFFF"/>
            <w:vAlign w:val="bottom"/>
          </w:tcPr>
          <w:p w14:paraId="69987BD5" w14:textId="77777777" w:rsidR="002A21AE" w:rsidRDefault="002A21AE">
            <w:pPr>
              <w:pStyle w:val="TableText"/>
              <w:rPr>
                <w:b/>
              </w:rPr>
            </w:pPr>
            <w:r>
              <w:rPr>
                <w:b/>
              </w:rPr>
              <w:t>User Action</w:t>
            </w:r>
          </w:p>
        </w:tc>
        <w:tc>
          <w:tcPr>
            <w:tcW w:w="6120" w:type="dxa"/>
            <w:shd w:val="pct30" w:color="auto" w:fill="FFFFFF"/>
            <w:vAlign w:val="bottom"/>
          </w:tcPr>
          <w:p w14:paraId="19D39184" w14:textId="77777777" w:rsidR="002A21AE" w:rsidRDefault="002A21AE">
            <w:pPr>
              <w:pStyle w:val="TableText"/>
              <w:rPr>
                <w:b/>
              </w:rPr>
            </w:pPr>
            <w:r>
              <w:rPr>
                <w:b/>
              </w:rPr>
              <w:t>VBECS</w:t>
            </w:r>
          </w:p>
        </w:tc>
      </w:tr>
      <w:tr w:rsidR="002A21AE" w14:paraId="63A9D506" w14:textId="77777777">
        <w:tc>
          <w:tcPr>
            <w:tcW w:w="3240" w:type="dxa"/>
            <w:tcBorders>
              <w:top w:val="single" w:sz="4" w:space="0" w:color="auto"/>
              <w:left w:val="single" w:sz="4" w:space="0" w:color="auto"/>
              <w:bottom w:val="single" w:sz="4" w:space="0" w:color="auto"/>
              <w:right w:val="single" w:sz="4" w:space="0" w:color="auto"/>
            </w:tcBorders>
          </w:tcPr>
          <w:p w14:paraId="74FBE017" w14:textId="77777777" w:rsidR="002A21AE" w:rsidRDefault="002A21AE" w:rsidP="00925CAD">
            <w:pPr>
              <w:pStyle w:val="TableTextNumbers"/>
              <w:numPr>
                <w:ilvl w:val="0"/>
                <w:numId w:val="74"/>
              </w:numPr>
            </w:pPr>
            <w:r>
              <w:t xml:space="preserve">Select </w:t>
            </w:r>
            <w:r w:rsidRPr="00946DA2">
              <w:rPr>
                <w:b/>
              </w:rPr>
              <w:t>Reports</w:t>
            </w:r>
            <w:r>
              <w:t xml:space="preserve"> from the main menu.</w:t>
            </w:r>
          </w:p>
          <w:p w14:paraId="7DD0BFF9" w14:textId="77777777" w:rsidR="002A21AE" w:rsidRDefault="002A21AE">
            <w:pPr>
              <w:pStyle w:val="TableTextNumbersContinued"/>
            </w:pPr>
          </w:p>
          <w:p w14:paraId="4C61A9C5" w14:textId="77777777" w:rsidR="002A21AE" w:rsidRDefault="002A21AE">
            <w:pPr>
              <w:pStyle w:val="TableTextNumbersContinued"/>
            </w:pPr>
            <w:r>
              <w:t xml:space="preserve">Select </w:t>
            </w:r>
            <w:r>
              <w:rPr>
                <w:b/>
              </w:rPr>
              <w:t>Transfusion Complications Report</w:t>
            </w:r>
            <w:r>
              <w:t>.</w:t>
            </w:r>
          </w:p>
        </w:tc>
        <w:tc>
          <w:tcPr>
            <w:tcW w:w="6120" w:type="dxa"/>
            <w:tcBorders>
              <w:top w:val="single" w:sz="4" w:space="0" w:color="auto"/>
              <w:left w:val="single" w:sz="4" w:space="0" w:color="auto"/>
              <w:bottom w:val="single" w:sz="4" w:space="0" w:color="auto"/>
              <w:right w:val="single" w:sz="4" w:space="0" w:color="auto"/>
            </w:tcBorders>
          </w:tcPr>
          <w:p w14:paraId="59BABD36" w14:textId="77777777" w:rsidR="002A21AE" w:rsidRDefault="002A21AE">
            <w:pPr>
              <w:pStyle w:val="TableTextBullet"/>
            </w:pPr>
            <w:r>
              <w:t>Lists report names.</w:t>
            </w:r>
          </w:p>
          <w:p w14:paraId="6BF9A7DE" w14:textId="77777777" w:rsidR="002A21AE" w:rsidRDefault="002A21AE">
            <w:pPr>
              <w:pStyle w:val="TableTextBullet"/>
            </w:pPr>
            <w:r>
              <w:t>Displays fields for entering a report date range.</w:t>
            </w:r>
          </w:p>
        </w:tc>
      </w:tr>
      <w:tr w:rsidR="002A21AE" w14:paraId="2686EF75" w14:textId="77777777" w:rsidTr="00305B16">
        <w:trPr>
          <w:cantSplit/>
        </w:trPr>
        <w:tc>
          <w:tcPr>
            <w:tcW w:w="3240" w:type="dxa"/>
          </w:tcPr>
          <w:p w14:paraId="055E3E3F" w14:textId="77777777" w:rsidR="002A21AE" w:rsidRDefault="002A21AE">
            <w:pPr>
              <w:pStyle w:val="TableTextNumbers"/>
            </w:pPr>
            <w:r>
              <w:lastRenderedPageBreak/>
              <w:t>Enter or select start and end dates.</w:t>
            </w:r>
          </w:p>
        </w:tc>
        <w:tc>
          <w:tcPr>
            <w:tcW w:w="6120" w:type="dxa"/>
          </w:tcPr>
          <w:p w14:paraId="0B869C0E" w14:textId="77777777" w:rsidR="002A21AE" w:rsidRDefault="002A21AE">
            <w:pPr>
              <w:pStyle w:val="TableTextBullet"/>
            </w:pPr>
            <w:r>
              <w:t>Compiles and displays the report and allows the user to print it.</w:t>
            </w:r>
          </w:p>
          <w:p w14:paraId="461D7C28" w14:textId="77777777" w:rsidR="002A21AE" w:rsidRDefault="002A21AE">
            <w:pPr>
              <w:pStyle w:val="TableText"/>
            </w:pPr>
          </w:p>
          <w:p w14:paraId="7430F7C6" w14:textId="112651FB" w:rsidR="002A21AE" w:rsidRDefault="002A21AE">
            <w:pPr>
              <w:pStyle w:val="TableText"/>
              <w:rPr>
                <w:b/>
                <w:bCs/>
                <w:szCs w:val="18"/>
              </w:rPr>
            </w:pPr>
            <w:r>
              <w:rPr>
                <w:b/>
                <w:bCs/>
                <w:szCs w:val="18"/>
              </w:rPr>
              <w:t>NOTES</w:t>
            </w:r>
          </w:p>
          <w:p w14:paraId="159E60B1" w14:textId="77777777" w:rsidR="002A21AE" w:rsidRDefault="002A21AE">
            <w:pPr>
              <w:pStyle w:val="NotesText"/>
            </w:pPr>
          </w:p>
          <w:p w14:paraId="77F02038" w14:textId="77777777" w:rsidR="002A21AE" w:rsidRDefault="002A21AE">
            <w:pPr>
              <w:pStyle w:val="NotesText"/>
            </w:pPr>
            <w:r>
              <w:rPr>
                <w:rFonts w:cs="Arial"/>
                <w:vanish/>
              </w:rPr>
              <w:t xml:space="preserve">BR_90.02 </w:t>
            </w:r>
            <w:r>
              <w:t>VBECS searches the Laboratory files (VistALink) and gathers instances of tests that exceed the threshold result of the tests set in Transfusion Complications within the specified date range. Retrieved test results are then filtered so that the report includes results only</w:t>
            </w:r>
            <w:r>
              <w:rPr>
                <w:b/>
              </w:rPr>
              <w:t xml:space="preserve"> </w:t>
            </w:r>
            <w:r>
              <w:t>for patients who have transfusions documented in VBECS within the last 12 months prior to the start date of the report through the end date.</w:t>
            </w:r>
          </w:p>
          <w:p w14:paraId="5210EDD8" w14:textId="77777777" w:rsidR="002A21AE" w:rsidRDefault="002A21AE">
            <w:pPr>
              <w:pStyle w:val="NotesText"/>
            </w:pPr>
          </w:p>
          <w:p w14:paraId="6E8147B7" w14:textId="41E9C47F" w:rsidR="002A21AE" w:rsidRDefault="002A21AE">
            <w:pPr>
              <w:pStyle w:val="NotesText"/>
            </w:pPr>
            <w:r>
              <w:rPr>
                <w:rFonts w:cs="Arial"/>
                <w:vanish/>
              </w:rPr>
              <w:t xml:space="preserve">BR_90.03 </w:t>
            </w:r>
            <w:r>
              <w:t>VBECS includes the evaluated tests and their threshold values in the report criteria section</w:t>
            </w:r>
            <w:r w:rsidR="006E7ECE">
              <w:t xml:space="preserve"> ‘Transfusion Complication Test Name’</w:t>
            </w:r>
            <w:r>
              <w:t>.</w:t>
            </w:r>
            <w:r w:rsidR="006E7ECE">
              <w:t xml:space="preserve"> All complications and thresholds are reported, not just the ones where the threshold is exceeded.</w:t>
            </w:r>
          </w:p>
          <w:p w14:paraId="70A925EC" w14:textId="77777777" w:rsidR="002A21AE" w:rsidRDefault="002A21AE">
            <w:pPr>
              <w:pStyle w:val="NotesText"/>
            </w:pPr>
          </w:p>
          <w:p w14:paraId="2420C50C" w14:textId="77777777" w:rsidR="002A21AE" w:rsidRDefault="002A21AE">
            <w:pPr>
              <w:pStyle w:val="NotesText"/>
            </w:pPr>
            <w:r>
              <w:rPr>
                <w:rFonts w:cs="Arial"/>
                <w:vanish/>
              </w:rPr>
              <w:t xml:space="preserve">BR_90.04 </w:t>
            </w:r>
            <w:r>
              <w:rPr>
                <w:color w:val="000000"/>
              </w:rPr>
              <w:t>Details of the report include</w:t>
            </w:r>
            <w:r>
              <w:t>:</w:t>
            </w:r>
          </w:p>
          <w:p w14:paraId="18343002" w14:textId="77777777" w:rsidR="002A21AE" w:rsidRDefault="002A21AE">
            <w:pPr>
              <w:pStyle w:val="NotesTextBullet"/>
            </w:pPr>
            <w:r>
              <w:t>Patient name</w:t>
            </w:r>
          </w:p>
          <w:p w14:paraId="25227D9E" w14:textId="77777777" w:rsidR="002A21AE" w:rsidRDefault="002A21AE">
            <w:pPr>
              <w:pStyle w:val="NotesTextBullet"/>
            </w:pPr>
            <w:r>
              <w:t>Patient ID</w:t>
            </w:r>
          </w:p>
          <w:p w14:paraId="3739D56A" w14:textId="77777777" w:rsidR="002A21AE" w:rsidRDefault="002A21AE">
            <w:pPr>
              <w:pStyle w:val="NotesTextBullet"/>
            </w:pPr>
            <w:r>
              <w:t>Current hospital location</w:t>
            </w:r>
          </w:p>
          <w:p w14:paraId="40BD1422" w14:textId="77777777" w:rsidR="002A21AE" w:rsidRDefault="002A21AE">
            <w:pPr>
              <w:pStyle w:val="NotesTextBullet"/>
            </w:pPr>
            <w:r>
              <w:t>Date of death (in lieu of location if patient died)</w:t>
            </w:r>
          </w:p>
          <w:p w14:paraId="30BA20EA" w14:textId="77777777" w:rsidR="002A21AE" w:rsidRDefault="002A21AE">
            <w:pPr>
              <w:pStyle w:val="NotesTextBullet"/>
            </w:pPr>
            <w:r>
              <w:t>Unit ID</w:t>
            </w:r>
          </w:p>
          <w:p w14:paraId="6F8D6C33" w14:textId="77777777" w:rsidR="002A21AE" w:rsidRDefault="002A21AE">
            <w:pPr>
              <w:pStyle w:val="NotesTextBullet"/>
            </w:pPr>
            <w:r>
              <w:t>Unit short name</w:t>
            </w:r>
          </w:p>
          <w:p w14:paraId="1F7CCD67" w14:textId="77777777" w:rsidR="002A21AE" w:rsidRDefault="002A21AE">
            <w:pPr>
              <w:pStyle w:val="NotesTextBullet"/>
            </w:pPr>
            <w:r>
              <w:t>End date and time of the unit’s transfusion, if available</w:t>
            </w:r>
          </w:p>
          <w:p w14:paraId="11E0990D" w14:textId="77777777" w:rsidR="002A21AE" w:rsidRDefault="002A21AE">
            <w:pPr>
              <w:pStyle w:val="NotesText"/>
            </w:pPr>
          </w:p>
          <w:p w14:paraId="705C36C6" w14:textId="77777777" w:rsidR="002A21AE" w:rsidRDefault="002A21AE">
            <w:pPr>
              <w:pStyle w:val="NotesText"/>
            </w:pPr>
            <w:r>
              <w:t xml:space="preserve">From </w:t>
            </w:r>
            <w:r w:rsidR="00CA6E27" w:rsidRPr="00CA6E27">
              <w:rPr>
                <w:bCs/>
              </w:rPr>
              <w:t>VistA</w:t>
            </w:r>
            <w:r>
              <w:t xml:space="preserve"> for each patient’s tests:</w:t>
            </w:r>
          </w:p>
          <w:p w14:paraId="1CAE4CD5" w14:textId="77777777" w:rsidR="002A21AE" w:rsidRDefault="002A21AE">
            <w:pPr>
              <w:pStyle w:val="NotesTextBullet"/>
            </w:pPr>
            <w:r>
              <w:t>Test name</w:t>
            </w:r>
          </w:p>
          <w:p w14:paraId="65C64771" w14:textId="77777777" w:rsidR="002A21AE" w:rsidRDefault="002A21AE">
            <w:pPr>
              <w:pStyle w:val="NotesTextBullet"/>
            </w:pPr>
            <w:r>
              <w:t>Associated test result</w:t>
            </w:r>
          </w:p>
          <w:p w14:paraId="02AF9F82" w14:textId="77777777" w:rsidR="002A21AE" w:rsidRDefault="002A21AE">
            <w:pPr>
              <w:pStyle w:val="NotesTextBullet"/>
            </w:pPr>
            <w:r>
              <w:t>Date and time recorded</w:t>
            </w:r>
          </w:p>
        </w:tc>
      </w:tr>
      <w:tr w:rsidR="000D2373" w14:paraId="2B4BA2B3" w14:textId="77777777">
        <w:tc>
          <w:tcPr>
            <w:tcW w:w="3240" w:type="dxa"/>
          </w:tcPr>
          <w:p w14:paraId="219D1BF2" w14:textId="77777777" w:rsidR="000D2373" w:rsidRDefault="000D2373" w:rsidP="000D2373">
            <w:pPr>
              <w:pStyle w:val="TableTextNumbers"/>
            </w:pPr>
            <w:r>
              <w:t xml:space="preserve">In the Report Compilation area, click the </w:t>
            </w:r>
            <w:r w:rsidRPr="00B40DDD">
              <w:rPr>
                <w:b/>
              </w:rPr>
              <w:t>Create Report Now</w:t>
            </w:r>
            <w:r>
              <w:t xml:space="preserve"> radio button. Click </w:t>
            </w:r>
            <w:r w:rsidRPr="00B40DDD">
              <w:rPr>
                <w:b/>
              </w:rPr>
              <w:t>OK</w:t>
            </w:r>
            <w:r>
              <w:t xml:space="preserve"> to view the report, or</w:t>
            </w:r>
          </w:p>
          <w:p w14:paraId="2345E57D" w14:textId="77777777" w:rsidR="000D2373" w:rsidRDefault="000D2373" w:rsidP="000D2373">
            <w:pPr>
              <w:pStyle w:val="TableTextNumbers"/>
              <w:numPr>
                <w:ilvl w:val="0"/>
                <w:numId w:val="0"/>
              </w:numPr>
              <w:ind w:left="288"/>
            </w:pPr>
          </w:p>
          <w:p w14:paraId="4B81A654" w14:textId="77777777" w:rsidR="000D2373" w:rsidRDefault="000D2373" w:rsidP="000D2373">
            <w:pPr>
              <w:pStyle w:val="TableTextNumbers"/>
              <w:numPr>
                <w:ilvl w:val="0"/>
                <w:numId w:val="0"/>
              </w:numPr>
              <w:ind w:left="288"/>
            </w:pPr>
            <w:r>
              <w:t xml:space="preserve">Click the </w:t>
            </w:r>
            <w:r w:rsidRPr="00B40DDD">
              <w:rPr>
                <w:b/>
              </w:rPr>
              <w:t>Schedule Print Job</w:t>
            </w:r>
            <w:r>
              <w:t xml:space="preserve"> radio button and </w:t>
            </w:r>
            <w:r w:rsidRPr="00B40DDD">
              <w:rPr>
                <w:b/>
              </w:rPr>
              <w:t>OK</w:t>
            </w:r>
            <w:r>
              <w:t xml:space="preserve">, then enter or select a print date and printer name. Click </w:t>
            </w:r>
            <w:r w:rsidRPr="00B40DDD">
              <w:rPr>
                <w:b/>
              </w:rPr>
              <w:t>OK</w:t>
            </w:r>
            <w:r>
              <w:t xml:space="preserve"> to view and print the report.</w:t>
            </w:r>
          </w:p>
        </w:tc>
        <w:tc>
          <w:tcPr>
            <w:tcW w:w="6120" w:type="dxa"/>
          </w:tcPr>
          <w:p w14:paraId="47D6CE04" w14:textId="77777777" w:rsidR="000D2373" w:rsidRDefault="000D2373" w:rsidP="000D2373">
            <w:pPr>
              <w:pStyle w:val="TableTextBullet"/>
            </w:pPr>
            <w:r>
              <w:t>Compiles and displays the report.</w:t>
            </w:r>
          </w:p>
          <w:p w14:paraId="16AA3FB4" w14:textId="77777777" w:rsidR="000D2373" w:rsidRDefault="000D2373" w:rsidP="000D2373">
            <w:pPr>
              <w:pStyle w:val="TableText"/>
              <w:rPr>
                <w:b/>
                <w:bCs/>
                <w:szCs w:val="18"/>
              </w:rPr>
            </w:pPr>
          </w:p>
          <w:p w14:paraId="1C5AA479" w14:textId="0623CF32" w:rsidR="000D2373" w:rsidRDefault="000D2373" w:rsidP="000D2373">
            <w:pPr>
              <w:pStyle w:val="TableText"/>
              <w:rPr>
                <w:b/>
                <w:bCs/>
                <w:szCs w:val="18"/>
              </w:rPr>
            </w:pPr>
            <w:r>
              <w:rPr>
                <w:b/>
                <w:bCs/>
                <w:szCs w:val="18"/>
              </w:rPr>
              <w:t>NOTES</w:t>
            </w:r>
          </w:p>
          <w:p w14:paraId="5C6485C1" w14:textId="77777777" w:rsidR="000D2373" w:rsidRDefault="000D2373" w:rsidP="000D2373">
            <w:pPr>
              <w:pStyle w:val="NotesText"/>
            </w:pPr>
          </w:p>
          <w:p w14:paraId="176C281D" w14:textId="77777777" w:rsidR="00CD40A5" w:rsidRDefault="00CD40A5" w:rsidP="000D2373">
            <w:pPr>
              <w:pStyle w:val="TableTextBullet"/>
            </w:pPr>
            <w:r>
              <w:rPr>
                <w:rFonts w:cs="Arial"/>
              </w:rPr>
              <w:t>This report requires a logged on VistA user to retrieve the lab results.</w:t>
            </w:r>
            <w:r>
              <w:t xml:space="preserve"> It cannot be scheduled to print. </w:t>
            </w:r>
            <w:r w:rsidRPr="00124A3D">
              <w:rPr>
                <w:vanish/>
              </w:rPr>
              <w:t>DR 4810</w:t>
            </w:r>
          </w:p>
        </w:tc>
      </w:tr>
      <w:tr w:rsidR="002A21AE" w14:paraId="632FDF66" w14:textId="77777777">
        <w:tc>
          <w:tcPr>
            <w:tcW w:w="3240" w:type="dxa"/>
          </w:tcPr>
          <w:p w14:paraId="0FAD6F6B" w14:textId="16A9CF48" w:rsidR="002A21AE" w:rsidRDefault="00D45D8C">
            <w:pPr>
              <w:pStyle w:val="TableTextNumbers"/>
            </w:pPr>
            <w:r w:rsidRPr="0076371D">
              <w:t xml:space="preserve">Select </w:t>
            </w:r>
            <w:r w:rsidRPr="0076371D">
              <w:rPr>
                <w:b/>
              </w:rPr>
              <w:t xml:space="preserve">Print </w:t>
            </w:r>
            <w:r w:rsidRPr="0076371D">
              <w:t>to print the repor</w:t>
            </w:r>
            <w:r>
              <w:t>t</w:t>
            </w:r>
            <w:r w:rsidRPr="0076371D">
              <w:t xml:space="preserve">, </w:t>
            </w:r>
            <w:r w:rsidRPr="0076371D">
              <w:rPr>
                <w:b/>
              </w:rPr>
              <w:t>Export</w:t>
            </w:r>
            <w:r w:rsidRPr="0076371D">
              <w:t xml:space="preserve"> </w:t>
            </w:r>
            <w:r>
              <w:t xml:space="preserve">to export the report </w:t>
            </w:r>
            <w:r w:rsidRPr="0076371D">
              <w:rPr>
                <w:szCs w:val="18"/>
              </w:rPr>
              <w:t xml:space="preserve">(See </w:t>
            </w:r>
            <w:r w:rsidR="00EE455E" w:rsidRPr="00EE455E">
              <w:rPr>
                <w:szCs w:val="18"/>
              </w:rPr>
              <w:t>Report Export</w:t>
            </w:r>
            <w:r>
              <w:rPr>
                <w:szCs w:val="18"/>
              </w:rPr>
              <w:t xml:space="preserve"> section</w:t>
            </w:r>
            <w:r w:rsidRPr="0076371D">
              <w:rPr>
                <w:szCs w:val="18"/>
              </w:rPr>
              <w:t>)</w:t>
            </w:r>
            <w:r>
              <w:t xml:space="preserve">, </w:t>
            </w:r>
            <w:r>
              <w:rPr>
                <w:szCs w:val="18"/>
              </w:rPr>
              <w:t xml:space="preserve">or </w:t>
            </w:r>
            <w:r w:rsidRPr="0076371D">
              <w:t xml:space="preserve">click </w:t>
            </w:r>
            <w:r w:rsidRPr="0076371D">
              <w:rPr>
                <w:b/>
              </w:rPr>
              <w:t>Close</w:t>
            </w:r>
            <w:r w:rsidRPr="0076371D">
              <w:t xml:space="preserve"> to exit</w:t>
            </w:r>
            <w:r>
              <w:t xml:space="preserve"> without printing</w:t>
            </w:r>
            <w:r w:rsidRPr="0076371D">
              <w:rPr>
                <w:rStyle w:val="StyleTableTextNumbersWhite1Char"/>
              </w:rPr>
              <w:t xml:space="preserve"> </w:t>
            </w:r>
          </w:p>
        </w:tc>
        <w:tc>
          <w:tcPr>
            <w:tcW w:w="6120" w:type="dxa"/>
          </w:tcPr>
          <w:p w14:paraId="20DFBCC0" w14:textId="77777777" w:rsidR="00D45D8C" w:rsidRDefault="00D45D8C" w:rsidP="00D45D8C">
            <w:pPr>
              <w:pStyle w:val="TableTextBullet"/>
            </w:pPr>
            <w:r>
              <w:t>If Print is selected, prints the report on the designated printer.</w:t>
            </w:r>
          </w:p>
          <w:p w14:paraId="4258C6F3" w14:textId="77777777" w:rsidR="00D45D8C" w:rsidRDefault="00D45D8C" w:rsidP="00D45D8C">
            <w:pPr>
              <w:pStyle w:val="TableTextBullet"/>
            </w:pPr>
            <w:r>
              <w:t>If Export is selected, exports the report to the designated file.</w:t>
            </w:r>
          </w:p>
          <w:p w14:paraId="0B980CCE" w14:textId="62D530C4" w:rsidR="002A21AE" w:rsidRDefault="00D45D8C" w:rsidP="00D45D8C">
            <w:pPr>
              <w:pStyle w:val="TableTextBullet"/>
            </w:pPr>
            <w:r>
              <w:t>If Close is selected, exits the report preview.</w:t>
            </w:r>
          </w:p>
        </w:tc>
      </w:tr>
    </w:tbl>
    <w:p w14:paraId="3E5B6972" w14:textId="77777777" w:rsidR="002A21AE" w:rsidRDefault="00F55832">
      <w:pPr>
        <w:pStyle w:val="Heading2"/>
      </w:pPr>
      <w:r>
        <w:br w:type="page"/>
      </w:r>
      <w:bookmarkStart w:id="651" w:name="_Toc203765960"/>
      <w:r w:rsidR="002A21AE">
        <w:lastRenderedPageBreak/>
        <w:t>Transfusion Effectiveness Report</w:t>
      </w:r>
      <w:bookmarkEnd w:id="651"/>
      <w:r w:rsidR="002A21AE">
        <w:fldChar w:fldCharType="begin"/>
      </w:r>
      <w:r w:rsidR="002A21AE">
        <w:instrText xml:space="preserve"> XE </w:instrText>
      </w:r>
      <w:r w:rsidR="00FA7E65">
        <w:instrText>“</w:instrText>
      </w:r>
      <w:r w:rsidR="002A21AE">
        <w:instrText>Transfusion Effectiveness Report</w:instrText>
      </w:r>
      <w:r w:rsidR="00FA7E65">
        <w:instrText>”</w:instrText>
      </w:r>
      <w:r w:rsidR="002A21AE">
        <w:instrText xml:space="preserve"> </w:instrText>
      </w:r>
      <w:r w:rsidR="002A21AE">
        <w:fldChar w:fldCharType="end"/>
      </w:r>
      <w:r w:rsidR="002A21AE">
        <w:t xml:space="preserve"> </w:t>
      </w:r>
      <w:r w:rsidR="002A21AE">
        <w:rPr>
          <w:rFonts w:ascii="Times New Roman" w:hAnsi="Times New Roman" w:cs="Times New Roman"/>
          <w:b w:val="0"/>
          <w:i w:val="0"/>
          <w:vanish/>
          <w:sz w:val="22"/>
        </w:rPr>
        <w:t>UC_91</w:t>
      </w:r>
    </w:p>
    <w:p w14:paraId="53E90AD0" w14:textId="77777777" w:rsidR="002A21AE" w:rsidRDefault="002A21AE" w:rsidP="00FA7E65">
      <w:pPr>
        <w:pStyle w:val="BodyText"/>
      </w:pPr>
      <w:r>
        <w:t>The user views and</w:t>
      </w:r>
      <w:r w:rsidR="00AF59E4">
        <w:t>/or</w:t>
      </w:r>
      <w:r>
        <w:t xml:space="preserve"> prints a Transfusion Effectiveness Report.</w:t>
      </w:r>
    </w:p>
    <w:p w14:paraId="2E50A395" w14:textId="77777777" w:rsidR="002A21AE" w:rsidRDefault="002A21AE">
      <w:pPr>
        <w:pStyle w:val="Heading4"/>
      </w:pPr>
      <w:r>
        <w:t>Assumptions</w:t>
      </w:r>
      <w:r>
        <w:rPr>
          <w:b w:val="0"/>
        </w:rPr>
        <w:t xml:space="preserve"> </w:t>
      </w:r>
    </w:p>
    <w:p w14:paraId="66A052AF" w14:textId="77777777" w:rsidR="007A48D1" w:rsidRDefault="00CA6E27">
      <w:pPr>
        <w:pStyle w:val="ListBullet"/>
      </w:pPr>
      <w:r w:rsidRPr="00CA6E27">
        <w:rPr>
          <w:bCs/>
        </w:rPr>
        <w:t>VistA</w:t>
      </w:r>
      <w:r w:rsidR="002A21AE">
        <w:t xml:space="preserve"> tests are defined </w:t>
      </w:r>
      <w:r w:rsidR="007A48D1">
        <w:t>in Transfusion Effectiveness.</w:t>
      </w:r>
    </w:p>
    <w:p w14:paraId="2F90EF53" w14:textId="77777777" w:rsidR="002A21AE" w:rsidRDefault="007A48D1">
      <w:pPr>
        <w:pStyle w:val="ListBullet"/>
      </w:pPr>
      <w:r>
        <w:t>Th</w:t>
      </w:r>
      <w:r w:rsidR="002A21AE">
        <w:t xml:space="preserve">e connection to </w:t>
      </w:r>
      <w:r w:rsidR="00CA6E27" w:rsidRPr="00CA6E27">
        <w:rPr>
          <w:bCs/>
        </w:rPr>
        <w:t>VistA</w:t>
      </w:r>
      <w:r w:rsidR="002A21AE">
        <w:t xml:space="preserve"> is active.</w:t>
      </w:r>
    </w:p>
    <w:p w14:paraId="6639FE45" w14:textId="77777777" w:rsidR="007A48D1" w:rsidRDefault="007A48D1">
      <w:pPr>
        <w:pStyle w:val="ListBullet"/>
      </w:pPr>
      <w:r>
        <w:t>Units have a status of presumed transfused or transfused for the patient.</w:t>
      </w:r>
    </w:p>
    <w:p w14:paraId="59DC82F8" w14:textId="77777777" w:rsidR="002A21AE" w:rsidRDefault="002A21AE">
      <w:pPr>
        <w:pStyle w:val="ListBullet"/>
      </w:pPr>
      <w:r>
        <w:t xml:space="preserve">Data for the report were saved in VBECS and in </w:t>
      </w:r>
      <w:r w:rsidR="00CA6E27" w:rsidRPr="00CA6E27">
        <w:rPr>
          <w:bCs/>
        </w:rPr>
        <w:t>VistA</w:t>
      </w:r>
      <w:r>
        <w:t>.</w:t>
      </w:r>
    </w:p>
    <w:p w14:paraId="7B993F21" w14:textId="77777777" w:rsidR="002A21AE" w:rsidRDefault="002A21AE">
      <w:pPr>
        <w:pStyle w:val="Heading4"/>
      </w:pPr>
      <w:r>
        <w:t xml:space="preserve">Outcome </w:t>
      </w:r>
    </w:p>
    <w:p w14:paraId="4117C96D" w14:textId="77777777" w:rsidR="002A21AE" w:rsidRDefault="00AE521B">
      <w:pPr>
        <w:pStyle w:val="ListBullet"/>
      </w:pPr>
      <w:r>
        <w:t>The user views and/or prints the report</w:t>
      </w:r>
      <w:r w:rsidR="002A21AE">
        <w:t>.</w:t>
      </w:r>
    </w:p>
    <w:p w14:paraId="48973EED" w14:textId="77777777" w:rsidR="002A21AE" w:rsidRDefault="002A21AE">
      <w:pPr>
        <w:pStyle w:val="Heading4"/>
      </w:pPr>
      <w:r>
        <w:t>Limitations and Restrictions</w:t>
      </w:r>
      <w:r>
        <w:rPr>
          <w:b w:val="0"/>
        </w:rPr>
        <w:t xml:space="preserve"> </w:t>
      </w:r>
    </w:p>
    <w:p w14:paraId="6D55EC40" w14:textId="77777777" w:rsidR="002A21AE" w:rsidRDefault="002A21AE">
      <w:pPr>
        <w:pStyle w:val="ListBullet"/>
      </w:pPr>
      <w:r>
        <w:t>The report does not include VBECS diagnostic tests.</w:t>
      </w:r>
    </w:p>
    <w:p w14:paraId="14555182" w14:textId="77777777" w:rsidR="002A21AE" w:rsidRDefault="002A21AE">
      <w:pPr>
        <w:pStyle w:val="Heading4"/>
      </w:pPr>
      <w:r>
        <w:t xml:space="preserve">Additional Information </w:t>
      </w:r>
    </w:p>
    <w:p w14:paraId="28249E40" w14:textId="77777777" w:rsidR="002A21AE" w:rsidRDefault="002A21AE">
      <w:pPr>
        <w:pStyle w:val="ListBullet"/>
      </w:pPr>
      <w:r>
        <w:rPr>
          <w:rFonts w:ascii="Arial" w:hAnsi="Arial" w:cs="Arial"/>
          <w:vanish/>
          <w:spacing w:val="0"/>
          <w:sz w:val="18"/>
        </w:rPr>
        <w:t xml:space="preserve">BR_91.01 </w:t>
      </w:r>
      <w:r>
        <w:t xml:space="preserve">Only verified Laboratory test results are available from </w:t>
      </w:r>
      <w:r w:rsidR="00CA6E27" w:rsidRPr="00CA6E27">
        <w:rPr>
          <w:bCs/>
        </w:rPr>
        <w:t>VistA</w:t>
      </w:r>
      <w:r>
        <w:t xml:space="preserve">. </w:t>
      </w:r>
    </w:p>
    <w:p w14:paraId="1FD7D5AB" w14:textId="77777777" w:rsidR="002A21AE" w:rsidRDefault="002A21AE">
      <w:pPr>
        <w:pStyle w:val="ListBullet"/>
      </w:pPr>
      <w:r>
        <w:t xml:space="preserve">Laboratory test data retrieved for the report from </w:t>
      </w:r>
      <w:r w:rsidR="00CA6E27" w:rsidRPr="00CA6E27">
        <w:rPr>
          <w:bCs/>
        </w:rPr>
        <w:t>VistA</w:t>
      </w:r>
      <w:r>
        <w:t xml:space="preserve"> are not saved in VBECS. </w:t>
      </w:r>
    </w:p>
    <w:p w14:paraId="362CC17C" w14:textId="77777777" w:rsidR="002A21AE" w:rsidRDefault="002A21AE">
      <w:pPr>
        <w:pStyle w:val="ListBullet"/>
      </w:pPr>
      <w:r>
        <w:rPr>
          <w:rFonts w:ascii="Arial" w:hAnsi="Arial" w:cs="Arial"/>
          <w:vanish/>
          <w:spacing w:val="0"/>
          <w:sz w:val="18"/>
        </w:rPr>
        <w:t xml:space="preserve">BR_91.03 </w:t>
      </w:r>
      <w:r>
        <w:t>A new page is started for each patient in the report.</w:t>
      </w:r>
    </w:p>
    <w:p w14:paraId="6E078D02" w14:textId="77777777" w:rsidR="002A21AE" w:rsidRDefault="002A21AE">
      <w:pPr>
        <w:pStyle w:val="ListBullet"/>
      </w:pPr>
      <w:r>
        <w:t>Test results in the report do not include units of measure or normal ranges.</w:t>
      </w:r>
    </w:p>
    <w:p w14:paraId="17A97CEE" w14:textId="2BFDC1C2" w:rsidR="00177689" w:rsidRDefault="00177689" w:rsidP="00177689">
      <w:pPr>
        <w:pStyle w:val="ListBullet"/>
      </w:pPr>
      <w:r w:rsidRPr="006846EB">
        <w:rPr>
          <w:vanish/>
        </w:rPr>
        <w:t xml:space="preserve">BR_91.04 </w:t>
      </w:r>
      <w:r w:rsidRPr="00685949">
        <w:t>The report’s start date and end date must include a blood unit’s issue date to be included in the report. If no issue date exists, then the report’s start date and end date must include a blood unit’s transfusion end date to be included in the report.</w:t>
      </w:r>
    </w:p>
    <w:p w14:paraId="32B97333" w14:textId="77777777" w:rsidR="002A21AE" w:rsidRDefault="002A21AE">
      <w:pPr>
        <w:pStyle w:val="Heading4"/>
        <w:rPr>
          <w:b w:val="0"/>
        </w:rPr>
      </w:pPr>
      <w:r>
        <w:t>User Roles with Access to This Option</w:t>
      </w:r>
      <w:r>
        <w:rPr>
          <w:b w:val="0"/>
        </w:rPr>
        <w:t xml:space="preserve"> </w:t>
      </w:r>
    </w:p>
    <w:p w14:paraId="0F852D8B" w14:textId="77777777" w:rsidR="002A21AE" w:rsidRDefault="00184EA4">
      <w:pPr>
        <w:pStyle w:val="Roles"/>
      </w:pPr>
      <w:r>
        <w:t>All users</w:t>
      </w:r>
    </w:p>
    <w:p w14:paraId="0330E1F3" w14:textId="77777777" w:rsidR="002A21AE" w:rsidRDefault="002A21AE">
      <w:pPr>
        <w:pStyle w:val="Heading4"/>
      </w:pPr>
      <w:r>
        <w:t xml:space="preserve">Transfusion Effectiveness Report </w:t>
      </w:r>
    </w:p>
    <w:p w14:paraId="0558E074" w14:textId="77777777" w:rsidR="002A21AE" w:rsidRDefault="002A21AE" w:rsidP="00FA7E65">
      <w:pPr>
        <w:pStyle w:val="BodyText"/>
      </w:pPr>
      <w:r>
        <w:t xml:space="preserve">The user views </w:t>
      </w:r>
      <w:r w:rsidR="00AF59E4">
        <w:t>and/</w:t>
      </w:r>
      <w:r>
        <w:t>or prints the Transfusion Effectiveness Report</w:t>
      </w:r>
      <w:r w:rsidR="00AF59E4">
        <w:t>, which contains transfusion episodes and Laboratory results for patients for a selected period</w:t>
      </w:r>
      <w:r>
        <w: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32FD3511" w14:textId="77777777">
        <w:trPr>
          <w:cantSplit/>
          <w:tblHeader/>
        </w:trPr>
        <w:tc>
          <w:tcPr>
            <w:tcW w:w="3240" w:type="dxa"/>
            <w:shd w:val="pct30" w:color="auto" w:fill="FFFFFF"/>
            <w:vAlign w:val="bottom"/>
          </w:tcPr>
          <w:p w14:paraId="3DA765F6" w14:textId="77777777" w:rsidR="002A21AE" w:rsidRDefault="002A21AE">
            <w:pPr>
              <w:pStyle w:val="TableText"/>
              <w:rPr>
                <w:b/>
              </w:rPr>
            </w:pPr>
            <w:r>
              <w:rPr>
                <w:b/>
              </w:rPr>
              <w:t>User Action</w:t>
            </w:r>
          </w:p>
        </w:tc>
        <w:tc>
          <w:tcPr>
            <w:tcW w:w="6120" w:type="dxa"/>
            <w:shd w:val="pct30" w:color="auto" w:fill="FFFFFF"/>
            <w:vAlign w:val="bottom"/>
          </w:tcPr>
          <w:p w14:paraId="59FF5217" w14:textId="77777777" w:rsidR="002A21AE" w:rsidRDefault="002A21AE">
            <w:pPr>
              <w:pStyle w:val="TableText"/>
              <w:rPr>
                <w:b/>
              </w:rPr>
            </w:pPr>
            <w:r>
              <w:rPr>
                <w:b/>
              </w:rPr>
              <w:t>VBECS</w:t>
            </w:r>
          </w:p>
        </w:tc>
      </w:tr>
      <w:tr w:rsidR="002A21AE" w14:paraId="0C7E860B" w14:textId="77777777">
        <w:tc>
          <w:tcPr>
            <w:tcW w:w="3240" w:type="dxa"/>
          </w:tcPr>
          <w:p w14:paraId="36E9988E" w14:textId="77777777" w:rsidR="002A21AE" w:rsidRDefault="002A21AE" w:rsidP="00A73BE2">
            <w:pPr>
              <w:pStyle w:val="TableTextNumbers"/>
              <w:numPr>
                <w:ilvl w:val="0"/>
                <w:numId w:val="95"/>
              </w:numPr>
            </w:pPr>
            <w:r>
              <w:t xml:space="preserve">Select </w:t>
            </w:r>
            <w:r w:rsidRPr="0034022A">
              <w:rPr>
                <w:b/>
              </w:rPr>
              <w:t>Reports</w:t>
            </w:r>
            <w:r>
              <w:t xml:space="preserve"> from the main menu.</w:t>
            </w:r>
          </w:p>
          <w:p w14:paraId="3A8E4F16" w14:textId="77777777" w:rsidR="002A21AE" w:rsidRDefault="002A21AE">
            <w:pPr>
              <w:pStyle w:val="TableTextNumbersContinued"/>
            </w:pPr>
          </w:p>
          <w:p w14:paraId="007CCE1F" w14:textId="77777777" w:rsidR="002A21AE" w:rsidRDefault="002A21AE">
            <w:pPr>
              <w:pStyle w:val="TableTextNumbersContinued"/>
            </w:pPr>
            <w:r>
              <w:t xml:space="preserve">Select </w:t>
            </w:r>
            <w:r>
              <w:rPr>
                <w:b/>
              </w:rPr>
              <w:t>Transfusion Effectiveness Report</w:t>
            </w:r>
            <w:r>
              <w:t>.</w:t>
            </w:r>
          </w:p>
        </w:tc>
        <w:tc>
          <w:tcPr>
            <w:tcW w:w="6120" w:type="dxa"/>
          </w:tcPr>
          <w:p w14:paraId="4EFC278B" w14:textId="77777777" w:rsidR="002A21AE" w:rsidRDefault="002A21AE">
            <w:pPr>
              <w:pStyle w:val="TableTextBullet"/>
            </w:pPr>
            <w:r>
              <w:t>Lists report names.</w:t>
            </w:r>
          </w:p>
          <w:p w14:paraId="3A85E6C0" w14:textId="77777777" w:rsidR="002A21AE" w:rsidRDefault="002A21AE">
            <w:pPr>
              <w:pStyle w:val="TableTextBullet"/>
            </w:pPr>
            <w:r>
              <w:t xml:space="preserve">Displays report compilation criteria. </w:t>
            </w:r>
          </w:p>
          <w:p w14:paraId="3DF21E3B" w14:textId="77777777" w:rsidR="002A21AE" w:rsidRDefault="002A21AE">
            <w:pPr>
              <w:pStyle w:val="TableTextBullet"/>
            </w:pPr>
            <w:r>
              <w:t>Displays a date range for selection.</w:t>
            </w:r>
          </w:p>
        </w:tc>
      </w:tr>
      <w:tr w:rsidR="002A21AE" w14:paraId="7AF6D167" w14:textId="77777777">
        <w:tc>
          <w:tcPr>
            <w:tcW w:w="3240" w:type="dxa"/>
          </w:tcPr>
          <w:p w14:paraId="6CE907D8" w14:textId="77777777" w:rsidR="002A21AE" w:rsidRDefault="002A21AE">
            <w:pPr>
              <w:pStyle w:val="TableTextNumbers"/>
            </w:pPr>
            <w:r>
              <w:t>Enter or select start and end dates.</w:t>
            </w:r>
          </w:p>
        </w:tc>
        <w:tc>
          <w:tcPr>
            <w:tcW w:w="6120" w:type="dxa"/>
          </w:tcPr>
          <w:p w14:paraId="42DEDDFB" w14:textId="77777777" w:rsidR="002A21AE" w:rsidRDefault="002A21AE">
            <w:pPr>
              <w:pStyle w:val="NotesText"/>
            </w:pPr>
          </w:p>
        </w:tc>
      </w:tr>
      <w:tr w:rsidR="002A21AE" w14:paraId="16296543" w14:textId="77777777">
        <w:tc>
          <w:tcPr>
            <w:tcW w:w="3240" w:type="dxa"/>
          </w:tcPr>
          <w:p w14:paraId="69CC59D9" w14:textId="77777777" w:rsidR="002A21AE" w:rsidRDefault="002A21AE">
            <w:pPr>
              <w:pStyle w:val="TableTextNumbers"/>
            </w:pPr>
            <w:r>
              <w:t xml:space="preserve">In the Report Type area, select the </w:t>
            </w:r>
            <w:r>
              <w:rPr>
                <w:b/>
              </w:rPr>
              <w:t>All Patients</w:t>
            </w:r>
            <w:r>
              <w:t xml:space="preserve"> </w:t>
            </w:r>
            <w:r w:rsidRPr="00BF2E41">
              <w:t>radio button</w:t>
            </w:r>
            <w:r>
              <w:t xml:space="preserve">, or </w:t>
            </w:r>
          </w:p>
          <w:p w14:paraId="5F9FB65E" w14:textId="77777777" w:rsidR="002A21AE" w:rsidRDefault="002A21AE">
            <w:pPr>
              <w:pStyle w:val="TableTextNumbersContinued"/>
            </w:pPr>
          </w:p>
          <w:p w14:paraId="0D241A81" w14:textId="77777777" w:rsidR="002A21AE" w:rsidRDefault="002A21AE">
            <w:pPr>
              <w:pStyle w:val="TableTextNumbersContinued"/>
            </w:pPr>
            <w:r>
              <w:t xml:space="preserve">Click the </w:t>
            </w:r>
            <w:r>
              <w:rPr>
                <w:b/>
              </w:rPr>
              <w:t xml:space="preserve">Individual Patient Report </w:t>
            </w:r>
            <w:r w:rsidRPr="00ED1C1B">
              <w:t>radio</w:t>
            </w:r>
            <w:r>
              <w:rPr>
                <w:b/>
              </w:rPr>
              <w:t xml:space="preserve"> </w:t>
            </w:r>
            <w:r w:rsidRPr="00BF2E41">
              <w:t>button</w:t>
            </w:r>
            <w:r>
              <w:t xml:space="preserve"> and the </w:t>
            </w:r>
            <w:r w:rsidR="00A6373D" w:rsidRPr="00945BF5">
              <w:rPr>
                <w:b/>
              </w:rPr>
              <w:t>find</w:t>
            </w:r>
            <w:r>
              <w:rPr>
                <w:b/>
              </w:rPr>
              <w:t xml:space="preserve"> </w:t>
            </w:r>
            <w:r w:rsidRPr="00BF2E41">
              <w:t>button</w:t>
            </w:r>
            <w:r>
              <w:rPr>
                <w:b/>
              </w:rPr>
              <w:t xml:space="preserve"> </w:t>
            </w:r>
            <w:r>
              <w:t>to search for a patient.</w:t>
            </w:r>
          </w:p>
        </w:tc>
        <w:tc>
          <w:tcPr>
            <w:tcW w:w="6120" w:type="dxa"/>
          </w:tcPr>
          <w:p w14:paraId="3D197EFC" w14:textId="77777777" w:rsidR="002A21AE" w:rsidRDefault="002A21AE">
            <w:pPr>
              <w:pStyle w:val="TableTextBullet"/>
            </w:pPr>
            <w:r>
              <w:t xml:space="preserve">Compiles and displays the report. </w:t>
            </w:r>
          </w:p>
        </w:tc>
      </w:tr>
      <w:tr w:rsidR="002A21AE" w14:paraId="5C3230E4" w14:textId="77777777" w:rsidTr="00305B16">
        <w:trPr>
          <w:cantSplit/>
        </w:trPr>
        <w:tc>
          <w:tcPr>
            <w:tcW w:w="3240" w:type="dxa"/>
          </w:tcPr>
          <w:p w14:paraId="4D1E7B67" w14:textId="77777777" w:rsidR="002A21AE" w:rsidRDefault="002A21AE">
            <w:pPr>
              <w:pStyle w:val="TableTextNumbers"/>
            </w:pPr>
            <w:r>
              <w:lastRenderedPageBreak/>
              <w:t xml:space="preserve">In the Report Compilation area, click the </w:t>
            </w:r>
            <w:r>
              <w:rPr>
                <w:b/>
              </w:rPr>
              <w:t>Create Report Now</w:t>
            </w:r>
            <w:r>
              <w:t xml:space="preserve"> </w:t>
            </w:r>
            <w:r w:rsidRPr="00BF2E41">
              <w:t>radio button</w:t>
            </w:r>
            <w:r>
              <w:t xml:space="preserve">. Click </w:t>
            </w:r>
            <w:r>
              <w:rPr>
                <w:b/>
              </w:rPr>
              <w:t>OK</w:t>
            </w:r>
            <w:r>
              <w:t xml:space="preserve"> to view the report, or</w:t>
            </w:r>
          </w:p>
          <w:p w14:paraId="257103DF" w14:textId="77777777" w:rsidR="002A21AE" w:rsidRDefault="002A21AE">
            <w:pPr>
              <w:pStyle w:val="TableTextNumbersContinued"/>
            </w:pPr>
          </w:p>
          <w:p w14:paraId="7BAE5999" w14:textId="77777777" w:rsidR="002A21AE" w:rsidRDefault="002A21AE">
            <w:pPr>
              <w:pStyle w:val="TableTextNumbersContinued"/>
            </w:pPr>
            <w:r>
              <w:t xml:space="preserve">Click the </w:t>
            </w:r>
            <w:r>
              <w:rPr>
                <w:b/>
              </w:rPr>
              <w:t>Schedule Print Job</w:t>
            </w:r>
            <w:r>
              <w:t xml:space="preserve"> </w:t>
            </w:r>
            <w:r w:rsidRPr="00BF2E41">
              <w:t>radio button</w:t>
            </w:r>
            <w:r>
              <w:t xml:space="preserve"> and </w:t>
            </w:r>
            <w:r>
              <w:rPr>
                <w:b/>
              </w:rPr>
              <w:t>OK</w:t>
            </w:r>
            <w:r>
              <w:t xml:space="preserve">, then enter or select a print date and printer name. Click </w:t>
            </w:r>
            <w:r>
              <w:rPr>
                <w:b/>
              </w:rPr>
              <w:t>OK</w:t>
            </w:r>
            <w:r>
              <w:t xml:space="preserve"> to view and print the report.</w:t>
            </w:r>
          </w:p>
        </w:tc>
        <w:tc>
          <w:tcPr>
            <w:tcW w:w="6120" w:type="dxa"/>
          </w:tcPr>
          <w:p w14:paraId="6AB04FBF" w14:textId="77777777" w:rsidR="002A21AE" w:rsidRDefault="00F64B5C" w:rsidP="00F64B5C">
            <w:pPr>
              <w:pStyle w:val="TableTextBullet"/>
            </w:pPr>
            <w:r>
              <w:t>Compiles and displays the report.</w:t>
            </w:r>
          </w:p>
          <w:p w14:paraId="08F03452" w14:textId="77777777" w:rsidR="000566D6" w:rsidRDefault="000566D6" w:rsidP="000566D6">
            <w:pPr>
              <w:pStyle w:val="TableTextBullet"/>
              <w:numPr>
                <w:ilvl w:val="0"/>
                <w:numId w:val="0"/>
              </w:numPr>
              <w:ind w:left="288"/>
            </w:pPr>
          </w:p>
          <w:p w14:paraId="0213F0C7" w14:textId="26D06FCE" w:rsidR="000566D6" w:rsidRDefault="000566D6" w:rsidP="000566D6">
            <w:pPr>
              <w:pStyle w:val="TableText"/>
              <w:rPr>
                <w:b/>
                <w:bCs/>
                <w:szCs w:val="18"/>
              </w:rPr>
            </w:pPr>
            <w:r>
              <w:rPr>
                <w:b/>
                <w:bCs/>
                <w:szCs w:val="18"/>
              </w:rPr>
              <w:t>NOTES</w:t>
            </w:r>
          </w:p>
          <w:p w14:paraId="5208C49B" w14:textId="77777777" w:rsidR="00124A3D" w:rsidRDefault="00124A3D" w:rsidP="00AA2B2E">
            <w:pPr>
              <w:pStyle w:val="TableTextBullet"/>
              <w:numPr>
                <w:ilvl w:val="0"/>
                <w:numId w:val="0"/>
              </w:numPr>
              <w:rPr>
                <w:rFonts w:cs="Arial"/>
              </w:rPr>
            </w:pPr>
          </w:p>
          <w:p w14:paraId="356B3EA3" w14:textId="77777777" w:rsidR="00124A3D" w:rsidRPr="00EF5693" w:rsidRDefault="00124A3D" w:rsidP="00EF5693">
            <w:pPr>
              <w:pStyle w:val="TableTextBullet"/>
              <w:rPr>
                <w:rFonts w:cs="Arial"/>
              </w:rPr>
            </w:pPr>
            <w:r>
              <w:rPr>
                <w:rFonts w:cs="Arial"/>
              </w:rPr>
              <w:t>This report requires a logged on VistA user to retrieve the lab results.</w:t>
            </w:r>
            <w:r w:rsidRPr="00EF5693">
              <w:rPr>
                <w:rFonts w:cs="Arial"/>
              </w:rPr>
              <w:t xml:space="preserve"> It cannot be scheduled to print.</w:t>
            </w:r>
            <w:r w:rsidRPr="00EF5693">
              <w:rPr>
                <w:rFonts w:cs="Arial"/>
                <w:vanish/>
              </w:rPr>
              <w:t xml:space="preserve"> DR 4810</w:t>
            </w:r>
          </w:p>
          <w:p w14:paraId="6B5FBFD5" w14:textId="77777777" w:rsidR="000566D6" w:rsidRDefault="000566D6" w:rsidP="000566D6">
            <w:pPr>
              <w:pStyle w:val="TableTextBullet"/>
              <w:numPr>
                <w:ilvl w:val="0"/>
                <w:numId w:val="0"/>
              </w:numPr>
              <w:ind w:left="720"/>
              <w:rPr>
                <w:rFonts w:cs="Arial"/>
                <w:vanish/>
              </w:rPr>
            </w:pPr>
            <w:r>
              <w:rPr>
                <w:rFonts w:cs="Arial"/>
                <w:vanish/>
              </w:rPr>
              <w:t xml:space="preserve"> DR 4013</w:t>
            </w:r>
          </w:p>
          <w:p w14:paraId="20E045FC" w14:textId="77777777" w:rsidR="00156A94" w:rsidRDefault="00156A94" w:rsidP="000566D6">
            <w:pPr>
              <w:pStyle w:val="TableTextBullet"/>
              <w:numPr>
                <w:ilvl w:val="0"/>
                <w:numId w:val="0"/>
              </w:numPr>
              <w:ind w:left="720"/>
              <w:rPr>
                <w:rFonts w:cs="Arial"/>
                <w:vanish/>
              </w:rPr>
            </w:pPr>
          </w:p>
          <w:p w14:paraId="6E4EB2E7" w14:textId="77A1EC19" w:rsidR="00156A94" w:rsidRDefault="004E49B9" w:rsidP="004E49B9">
            <w:pPr>
              <w:pStyle w:val="TableTextBullet"/>
            </w:pPr>
            <w:r w:rsidRPr="003654B2">
              <w:rPr>
                <w:rFonts w:cs="Arial"/>
                <w:vanish/>
              </w:rPr>
              <w:t xml:space="preserve">BR_91.04 </w:t>
            </w:r>
            <w:r w:rsidRPr="004E49B9">
              <w:rPr>
                <w:rFonts w:cs="Arial"/>
              </w:rPr>
              <w:t>The report’s start date and end date must include a blood unit’s issue date to be included in the report. If no issue date exists, then the report’s start date and end date must include a blood unit’s transfusion end date to be included in the report.</w:t>
            </w:r>
          </w:p>
        </w:tc>
      </w:tr>
      <w:tr w:rsidR="002A21AE" w14:paraId="40EB273D" w14:textId="77777777">
        <w:tc>
          <w:tcPr>
            <w:tcW w:w="3240" w:type="dxa"/>
          </w:tcPr>
          <w:p w14:paraId="0C8A871A" w14:textId="0E656102" w:rsidR="002A21AE" w:rsidRDefault="00D45D8C">
            <w:pPr>
              <w:pStyle w:val="TableTextNumbers"/>
            </w:pPr>
            <w:r w:rsidRPr="0076371D">
              <w:t xml:space="preserve">Select </w:t>
            </w:r>
            <w:r w:rsidRPr="0076371D">
              <w:rPr>
                <w:b/>
              </w:rPr>
              <w:t xml:space="preserve">Print </w:t>
            </w:r>
            <w:r w:rsidRPr="0076371D">
              <w:t>to print the repor</w:t>
            </w:r>
            <w:r>
              <w:t>t</w:t>
            </w:r>
            <w:r w:rsidRPr="0076371D">
              <w:t xml:space="preserve">, </w:t>
            </w:r>
            <w:r w:rsidRPr="0076371D">
              <w:rPr>
                <w:b/>
              </w:rPr>
              <w:t>Export</w:t>
            </w:r>
            <w:r w:rsidRPr="0076371D">
              <w:t xml:space="preserve"> </w:t>
            </w:r>
            <w:r>
              <w:t xml:space="preserve">to export the report </w:t>
            </w:r>
            <w:r w:rsidRPr="0076371D">
              <w:rPr>
                <w:szCs w:val="18"/>
              </w:rPr>
              <w:t xml:space="preserve">(See </w:t>
            </w:r>
            <w:r w:rsidR="00EE455E" w:rsidRPr="00EE455E">
              <w:rPr>
                <w:szCs w:val="18"/>
              </w:rPr>
              <w:t>Report Export</w:t>
            </w:r>
            <w:r>
              <w:rPr>
                <w:szCs w:val="18"/>
              </w:rPr>
              <w:t xml:space="preserve"> section</w:t>
            </w:r>
            <w:r w:rsidRPr="0076371D">
              <w:rPr>
                <w:szCs w:val="18"/>
              </w:rPr>
              <w:t>)</w:t>
            </w:r>
            <w:r>
              <w:t xml:space="preserve">, </w:t>
            </w:r>
            <w:r>
              <w:rPr>
                <w:szCs w:val="18"/>
              </w:rPr>
              <w:t xml:space="preserve">or </w:t>
            </w:r>
            <w:r w:rsidRPr="0076371D">
              <w:t xml:space="preserve">click </w:t>
            </w:r>
            <w:r w:rsidRPr="0076371D">
              <w:rPr>
                <w:b/>
              </w:rPr>
              <w:t>Close</w:t>
            </w:r>
            <w:r w:rsidRPr="0076371D">
              <w:t xml:space="preserve"> to exit</w:t>
            </w:r>
            <w:r>
              <w:t xml:space="preserve"> without printing</w:t>
            </w:r>
            <w:r w:rsidR="00AB0CCB">
              <w:rPr>
                <w:rStyle w:val="StyleTableTextNumbersWhite1Char"/>
              </w:rPr>
              <w:t>.</w:t>
            </w:r>
          </w:p>
        </w:tc>
        <w:tc>
          <w:tcPr>
            <w:tcW w:w="6120" w:type="dxa"/>
          </w:tcPr>
          <w:p w14:paraId="0EA79A66" w14:textId="77777777" w:rsidR="00D45D8C" w:rsidRDefault="00D45D8C" w:rsidP="00D45D8C">
            <w:pPr>
              <w:pStyle w:val="TableTextBullet"/>
            </w:pPr>
            <w:r>
              <w:t>If Print is selected, prints the report on the designated printer.</w:t>
            </w:r>
          </w:p>
          <w:p w14:paraId="4EDB0289" w14:textId="77777777" w:rsidR="00D45D8C" w:rsidRDefault="00D45D8C" w:rsidP="00D45D8C">
            <w:pPr>
              <w:pStyle w:val="TableTextBullet"/>
            </w:pPr>
            <w:r>
              <w:t>If Export is selected, exports the report to the designated file.</w:t>
            </w:r>
          </w:p>
          <w:p w14:paraId="396DB5FB" w14:textId="42FD268C" w:rsidR="002A21AE" w:rsidRDefault="00D45D8C" w:rsidP="00D45D8C">
            <w:pPr>
              <w:pStyle w:val="TableTextBullet"/>
            </w:pPr>
            <w:r>
              <w:t>If Close is selected, exits the report preview.</w:t>
            </w:r>
          </w:p>
        </w:tc>
      </w:tr>
    </w:tbl>
    <w:p w14:paraId="63BD5013" w14:textId="77777777" w:rsidR="002A21AE" w:rsidRDefault="002813A3">
      <w:pPr>
        <w:pStyle w:val="Heading2"/>
      </w:pPr>
      <w:r>
        <w:br w:type="page"/>
      </w:r>
      <w:bookmarkStart w:id="652" w:name="_Toc203765961"/>
      <w:r w:rsidR="002A21AE">
        <w:lastRenderedPageBreak/>
        <w:t>Transfusion Reaction Count Report</w:t>
      </w:r>
      <w:bookmarkEnd w:id="652"/>
      <w:r w:rsidR="002A21AE">
        <w:fldChar w:fldCharType="begin"/>
      </w:r>
      <w:r w:rsidR="002A21AE">
        <w:instrText xml:space="preserve"> XE </w:instrText>
      </w:r>
      <w:r w:rsidR="00FA7E65">
        <w:instrText>“</w:instrText>
      </w:r>
      <w:r w:rsidR="002A21AE">
        <w:instrText>Transfusion Reaction Count Report</w:instrText>
      </w:r>
      <w:r w:rsidR="00FA7E65">
        <w:instrText>”</w:instrText>
      </w:r>
      <w:r w:rsidR="002A21AE">
        <w:instrText xml:space="preserve"> </w:instrText>
      </w:r>
      <w:r w:rsidR="002A21AE">
        <w:fldChar w:fldCharType="end"/>
      </w:r>
      <w:r w:rsidR="002A21AE">
        <w:t xml:space="preserve"> </w:t>
      </w:r>
      <w:r w:rsidR="002A21AE">
        <w:rPr>
          <w:rFonts w:ascii="Times New Roman" w:hAnsi="Times New Roman" w:cs="Times New Roman"/>
          <w:b w:val="0"/>
          <w:i w:val="0"/>
          <w:vanish/>
          <w:sz w:val="22"/>
        </w:rPr>
        <w:t>UC_106</w:t>
      </w:r>
    </w:p>
    <w:p w14:paraId="70B5D64C" w14:textId="77777777" w:rsidR="002A21AE" w:rsidRDefault="002A21AE" w:rsidP="00FA7E65">
      <w:pPr>
        <w:pStyle w:val="BodyText"/>
      </w:pPr>
      <w:r>
        <w:t>The user views and</w:t>
      </w:r>
      <w:r w:rsidR="00DD0E58">
        <w:t>/or</w:t>
      </w:r>
      <w:r>
        <w:t xml:space="preserve"> prints a Transfusion Reaction Count Report.</w:t>
      </w:r>
    </w:p>
    <w:p w14:paraId="0AEB02F2" w14:textId="77777777" w:rsidR="002A21AE" w:rsidRDefault="002A21AE">
      <w:pPr>
        <w:pStyle w:val="Heading4"/>
      </w:pPr>
      <w:r>
        <w:t>Assumptions</w:t>
      </w:r>
      <w:r>
        <w:rPr>
          <w:b w:val="0"/>
        </w:rPr>
        <w:t xml:space="preserve"> </w:t>
      </w:r>
    </w:p>
    <w:p w14:paraId="74DCAF97" w14:textId="77777777" w:rsidR="002A21AE" w:rsidRDefault="002A21AE">
      <w:pPr>
        <w:pStyle w:val="ListBullet"/>
      </w:pPr>
      <w:r>
        <w:t>Data for the report were saved in VBECS.</w:t>
      </w:r>
    </w:p>
    <w:p w14:paraId="51491E1A" w14:textId="77777777" w:rsidR="002A21AE" w:rsidRDefault="002A21AE">
      <w:pPr>
        <w:pStyle w:val="Heading4"/>
      </w:pPr>
      <w:r>
        <w:t xml:space="preserve">Outcome </w:t>
      </w:r>
    </w:p>
    <w:p w14:paraId="7D14BB29" w14:textId="77777777" w:rsidR="002A21AE" w:rsidRDefault="00AE521B">
      <w:pPr>
        <w:pStyle w:val="ListBullet"/>
      </w:pPr>
      <w:r>
        <w:t>The user views and/or prints the report</w:t>
      </w:r>
      <w:r w:rsidR="002A21AE">
        <w:t>.</w:t>
      </w:r>
    </w:p>
    <w:p w14:paraId="1F5D0D6E" w14:textId="77777777" w:rsidR="002A21AE" w:rsidRDefault="002A21AE">
      <w:pPr>
        <w:pStyle w:val="Heading4"/>
        <w:rPr>
          <w:b w:val="0"/>
        </w:rPr>
      </w:pPr>
      <w:r>
        <w:t>Limitations and Restrictions</w:t>
      </w:r>
      <w:r>
        <w:rPr>
          <w:b w:val="0"/>
        </w:rPr>
        <w:t xml:space="preserve"> </w:t>
      </w:r>
    </w:p>
    <w:p w14:paraId="4FD9006A" w14:textId="7BAE3775" w:rsidR="002A21AE" w:rsidRDefault="00AC682A">
      <w:pPr>
        <w:pStyle w:val="ListBullet"/>
      </w:pPr>
      <w:r>
        <w:t xml:space="preserve">Transfusion Reactions are only included on the report if the data were entered/updated during the selected date range. This means that retrospective entry of transfusion reactions may not display in the correct date range. The recorded date of the reaction is not considered in the selection criteria. Rerun the report for a date range that includes the date the data was entered or updated. For example, if a transfusion reaction that occurred on February 28 is retrospectively entered on March 1, it will only display on a report that includes March 1 in its date range. </w:t>
      </w:r>
      <w:r w:rsidRPr="00AC682A">
        <w:rPr>
          <w:vanish/>
        </w:rPr>
        <w:t>Defect 209152</w:t>
      </w:r>
    </w:p>
    <w:p w14:paraId="52F1B8F9" w14:textId="77777777" w:rsidR="002A21AE" w:rsidRDefault="002A21AE">
      <w:pPr>
        <w:pStyle w:val="Heading4"/>
      </w:pPr>
      <w:r>
        <w:t xml:space="preserve">Additional Information </w:t>
      </w:r>
    </w:p>
    <w:p w14:paraId="1E5219D3" w14:textId="77777777" w:rsidR="00991CFE" w:rsidRDefault="00991CFE" w:rsidP="00991CFE">
      <w:pPr>
        <w:pStyle w:val="ListBullet"/>
      </w:pPr>
      <w:r>
        <w:t>The report is available as a single-division or multidivisional (all divisions) report.</w:t>
      </w:r>
    </w:p>
    <w:p w14:paraId="4EB586AC" w14:textId="03190B1E" w:rsidR="00B15891" w:rsidRDefault="00B15891" w:rsidP="004210FE">
      <w:pPr>
        <w:pStyle w:val="ListBullet"/>
      </w:pPr>
      <w:r w:rsidRPr="00B15891">
        <w:t>The report only displays text entered in the “details” field of the Finalize T</w:t>
      </w:r>
      <w:r w:rsidR="004210FE">
        <w:t xml:space="preserve">ransfusion </w:t>
      </w:r>
      <w:r w:rsidRPr="00B15891">
        <w:t>R</w:t>
      </w:r>
      <w:r w:rsidR="004210FE">
        <w:t xml:space="preserve">eaction </w:t>
      </w:r>
      <w:r w:rsidRPr="00B15891">
        <w:t>W</w:t>
      </w:r>
      <w:r w:rsidR="004210FE">
        <w:t>orkup</w:t>
      </w:r>
      <w:r w:rsidRPr="00B15891">
        <w:t xml:space="preserve"> screen. The canned comments entered are suppressed on the report.</w:t>
      </w:r>
      <w:r w:rsidR="004210FE">
        <w:t xml:space="preserve"> </w:t>
      </w:r>
      <w:r w:rsidR="004210FE" w:rsidRPr="004210FE">
        <w:t>Enter all comments in the “details” field for them to print on the report.</w:t>
      </w:r>
      <w:r w:rsidR="0045341A">
        <w:t xml:space="preserve"> </w:t>
      </w:r>
      <w:r w:rsidR="0045341A" w:rsidRPr="0045341A">
        <w:rPr>
          <w:vanish/>
        </w:rPr>
        <w:t>Defect 209792</w:t>
      </w:r>
    </w:p>
    <w:p w14:paraId="24FC5837" w14:textId="77777777" w:rsidR="002A21AE" w:rsidRDefault="002A21AE">
      <w:pPr>
        <w:pStyle w:val="Heading4"/>
        <w:tabs>
          <w:tab w:val="left" w:pos="4140"/>
        </w:tabs>
        <w:rPr>
          <w:b w:val="0"/>
        </w:rPr>
      </w:pPr>
      <w:r>
        <w:t>User Roles with Access to This Option</w:t>
      </w:r>
      <w:r>
        <w:rPr>
          <w:b w:val="0"/>
        </w:rPr>
        <w:t xml:space="preserve"> </w:t>
      </w:r>
    </w:p>
    <w:p w14:paraId="7FD106C0" w14:textId="77777777" w:rsidR="002A21AE" w:rsidRDefault="00184EA4">
      <w:pPr>
        <w:pStyle w:val="Roles"/>
      </w:pPr>
      <w:r>
        <w:t>All users</w:t>
      </w:r>
    </w:p>
    <w:p w14:paraId="10FCEC9D" w14:textId="77777777" w:rsidR="002A21AE" w:rsidRDefault="002A21AE">
      <w:pPr>
        <w:pStyle w:val="Heading4"/>
      </w:pPr>
      <w:bookmarkStart w:id="653" w:name="_Hlk523065871"/>
      <w:r>
        <w:t>Transfusion Reaction Count Report</w:t>
      </w:r>
    </w:p>
    <w:bookmarkEnd w:id="653"/>
    <w:p w14:paraId="520DF610" w14:textId="77777777" w:rsidR="002A21AE" w:rsidRDefault="002A21AE" w:rsidP="00FA7E65">
      <w:pPr>
        <w:pStyle w:val="BodyText"/>
      </w:pPr>
      <w:r>
        <w:t>The user views and/or prints the Transfusion Reaction Count Report for a single division or for all divisions in the database.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17388305" w14:textId="77777777">
        <w:trPr>
          <w:cantSplit/>
          <w:tblHeader/>
        </w:trPr>
        <w:tc>
          <w:tcPr>
            <w:tcW w:w="3240" w:type="dxa"/>
            <w:shd w:val="pct30" w:color="auto" w:fill="FFFFFF"/>
            <w:vAlign w:val="bottom"/>
          </w:tcPr>
          <w:p w14:paraId="7CA59209" w14:textId="77777777" w:rsidR="002A21AE" w:rsidRDefault="002A21AE">
            <w:pPr>
              <w:pStyle w:val="TableText"/>
              <w:rPr>
                <w:b/>
              </w:rPr>
            </w:pPr>
            <w:r>
              <w:rPr>
                <w:b/>
              </w:rPr>
              <w:t>User Action</w:t>
            </w:r>
          </w:p>
        </w:tc>
        <w:tc>
          <w:tcPr>
            <w:tcW w:w="6120" w:type="dxa"/>
            <w:shd w:val="pct30" w:color="auto" w:fill="FFFFFF"/>
            <w:vAlign w:val="bottom"/>
          </w:tcPr>
          <w:p w14:paraId="76E05562" w14:textId="77777777" w:rsidR="002A21AE" w:rsidRDefault="002A21AE">
            <w:pPr>
              <w:pStyle w:val="TableText"/>
              <w:rPr>
                <w:b/>
              </w:rPr>
            </w:pPr>
            <w:r>
              <w:rPr>
                <w:b/>
              </w:rPr>
              <w:t>VBECS</w:t>
            </w:r>
          </w:p>
        </w:tc>
      </w:tr>
      <w:tr w:rsidR="002A21AE" w14:paraId="5DAD6685" w14:textId="77777777">
        <w:tc>
          <w:tcPr>
            <w:tcW w:w="3240" w:type="dxa"/>
          </w:tcPr>
          <w:p w14:paraId="6E071860" w14:textId="77777777" w:rsidR="002A21AE" w:rsidRDefault="002A21AE" w:rsidP="00A73BE2">
            <w:pPr>
              <w:pStyle w:val="TableTextNumbers"/>
              <w:numPr>
                <w:ilvl w:val="0"/>
                <w:numId w:val="96"/>
              </w:numPr>
            </w:pPr>
            <w:r>
              <w:t xml:space="preserve">Select </w:t>
            </w:r>
            <w:r w:rsidRPr="0034022A">
              <w:rPr>
                <w:b/>
              </w:rPr>
              <w:t>Reports</w:t>
            </w:r>
            <w:r>
              <w:t xml:space="preserve"> from the main menu.</w:t>
            </w:r>
          </w:p>
          <w:p w14:paraId="213F189B" w14:textId="77777777" w:rsidR="002A21AE" w:rsidRDefault="002A21AE">
            <w:pPr>
              <w:pStyle w:val="TableTextNumbersContinued"/>
            </w:pPr>
          </w:p>
          <w:p w14:paraId="0C9FC45C" w14:textId="77777777" w:rsidR="002A21AE" w:rsidRDefault="002A21AE">
            <w:pPr>
              <w:pStyle w:val="TableTextNumbersContinued"/>
            </w:pPr>
            <w:r>
              <w:t xml:space="preserve">Select </w:t>
            </w:r>
            <w:r>
              <w:rPr>
                <w:b/>
              </w:rPr>
              <w:t>Transfusion Reaction Count Report</w:t>
            </w:r>
            <w:r>
              <w:t>.</w:t>
            </w:r>
          </w:p>
        </w:tc>
        <w:tc>
          <w:tcPr>
            <w:tcW w:w="6120" w:type="dxa"/>
          </w:tcPr>
          <w:p w14:paraId="683CACED" w14:textId="77777777" w:rsidR="002A21AE" w:rsidRDefault="002A21AE">
            <w:pPr>
              <w:pStyle w:val="TableTextBullet"/>
            </w:pPr>
            <w:r>
              <w:t>Lists report names.</w:t>
            </w:r>
          </w:p>
          <w:p w14:paraId="7AC2E014" w14:textId="77777777" w:rsidR="002A21AE" w:rsidRDefault="002A21AE">
            <w:pPr>
              <w:pStyle w:val="TableTextBullet"/>
            </w:pPr>
            <w:r>
              <w:t xml:space="preserve">Displays report division, format, and compilation criteria. </w:t>
            </w:r>
          </w:p>
          <w:p w14:paraId="211B5342" w14:textId="77777777" w:rsidR="002A21AE" w:rsidRDefault="002A21AE">
            <w:pPr>
              <w:pStyle w:val="TableText"/>
            </w:pPr>
          </w:p>
          <w:p w14:paraId="3055C559" w14:textId="255E05FB" w:rsidR="002A21AE" w:rsidRDefault="002A21AE">
            <w:pPr>
              <w:pStyle w:val="TableText"/>
              <w:rPr>
                <w:b/>
                <w:bCs/>
                <w:szCs w:val="18"/>
              </w:rPr>
            </w:pPr>
            <w:r>
              <w:rPr>
                <w:b/>
                <w:bCs/>
                <w:szCs w:val="18"/>
              </w:rPr>
              <w:t>NOTES</w:t>
            </w:r>
          </w:p>
          <w:p w14:paraId="6580ADEA" w14:textId="77777777" w:rsidR="002A21AE" w:rsidRDefault="002A21AE">
            <w:pPr>
              <w:pStyle w:val="NotesText"/>
            </w:pPr>
          </w:p>
          <w:p w14:paraId="149CC7E5" w14:textId="77777777" w:rsidR="002A21AE" w:rsidRDefault="002A21AE">
            <w:pPr>
              <w:pStyle w:val="NotesText"/>
            </w:pPr>
            <w:r>
              <w:rPr>
                <w:rFonts w:cs="Arial"/>
                <w:vanish/>
              </w:rPr>
              <w:t xml:space="preserve">BR_106.01 </w:t>
            </w:r>
            <w:bookmarkStart w:id="654" w:name="_Hlk523065851"/>
            <w:r>
              <w:t>The report includes transfusion reactions that are ordered, pending, completed, or finalized</w:t>
            </w:r>
            <w:r w:rsidR="00AF0CB8">
              <w:t>, and those indicated during Post-Transfusion Information.</w:t>
            </w:r>
            <w:bookmarkEnd w:id="654"/>
          </w:p>
        </w:tc>
      </w:tr>
      <w:tr w:rsidR="002A21AE" w14:paraId="0E60BDDA" w14:textId="77777777">
        <w:tc>
          <w:tcPr>
            <w:tcW w:w="3240" w:type="dxa"/>
          </w:tcPr>
          <w:p w14:paraId="6042DD59" w14:textId="77777777" w:rsidR="002A21AE" w:rsidRDefault="002A21AE">
            <w:pPr>
              <w:pStyle w:val="TableTextNumbers"/>
            </w:pPr>
            <w:r>
              <w:t>Enter or select start and end dates.</w:t>
            </w:r>
          </w:p>
        </w:tc>
        <w:tc>
          <w:tcPr>
            <w:tcW w:w="6120" w:type="dxa"/>
          </w:tcPr>
          <w:p w14:paraId="003281CB" w14:textId="77777777" w:rsidR="002A21AE" w:rsidRDefault="002A21AE">
            <w:pPr>
              <w:pStyle w:val="TableTextBullet"/>
            </w:pPr>
            <w:r>
              <w:t>Compiles and displays the report.</w:t>
            </w:r>
          </w:p>
          <w:p w14:paraId="2CA9EFC9" w14:textId="77777777" w:rsidR="002A21AE" w:rsidRDefault="002A21AE">
            <w:pPr>
              <w:pStyle w:val="TableTextBullet"/>
            </w:pPr>
            <w:r>
              <w:t>Allows the user to print the report.</w:t>
            </w:r>
          </w:p>
        </w:tc>
      </w:tr>
      <w:tr w:rsidR="002A21AE" w14:paraId="2EEF4632" w14:textId="77777777" w:rsidTr="00305B16">
        <w:trPr>
          <w:cantSplit/>
        </w:trPr>
        <w:tc>
          <w:tcPr>
            <w:tcW w:w="3240" w:type="dxa"/>
          </w:tcPr>
          <w:p w14:paraId="30600F2A" w14:textId="77777777" w:rsidR="002A21AE" w:rsidRDefault="002A21AE">
            <w:pPr>
              <w:pStyle w:val="TableTextNumbers"/>
            </w:pPr>
            <w:r>
              <w:t xml:space="preserve">Click the </w:t>
            </w:r>
            <w:r>
              <w:rPr>
                <w:b/>
              </w:rPr>
              <w:t xml:space="preserve">Current Divisions </w:t>
            </w:r>
            <w:r>
              <w:t>or</w:t>
            </w:r>
            <w:r>
              <w:rPr>
                <w:b/>
              </w:rPr>
              <w:t xml:space="preserve"> All Divisions </w:t>
            </w:r>
            <w:r w:rsidRPr="00BF2E41">
              <w:t>radio button</w:t>
            </w:r>
            <w:r>
              <w:t>.</w:t>
            </w:r>
          </w:p>
        </w:tc>
        <w:tc>
          <w:tcPr>
            <w:tcW w:w="6120" w:type="dxa"/>
          </w:tcPr>
          <w:p w14:paraId="70329639" w14:textId="77777777" w:rsidR="002A21AE" w:rsidRDefault="002A21AE">
            <w:pPr>
              <w:pStyle w:val="TableTextBullet"/>
            </w:pPr>
            <w:r>
              <w:t>Allows the user to select one or all divisions.</w:t>
            </w:r>
          </w:p>
          <w:p w14:paraId="5FB9EBFC" w14:textId="77777777" w:rsidR="002A21AE" w:rsidRDefault="002A21AE">
            <w:pPr>
              <w:pStyle w:val="TableTextBullet"/>
            </w:pPr>
            <w:r>
              <w:t>Displays a date range for selection.</w:t>
            </w:r>
          </w:p>
          <w:p w14:paraId="7A9F164F" w14:textId="77777777" w:rsidR="002A21AE" w:rsidRDefault="002A21AE">
            <w:pPr>
              <w:pStyle w:val="TableText"/>
              <w:rPr>
                <w:b/>
                <w:bCs/>
                <w:szCs w:val="18"/>
              </w:rPr>
            </w:pPr>
          </w:p>
          <w:p w14:paraId="4427C6E4" w14:textId="2318475A" w:rsidR="002A21AE" w:rsidRDefault="002A21AE">
            <w:pPr>
              <w:pStyle w:val="TableText"/>
              <w:rPr>
                <w:b/>
                <w:bCs/>
                <w:szCs w:val="18"/>
              </w:rPr>
            </w:pPr>
            <w:r>
              <w:rPr>
                <w:b/>
                <w:bCs/>
                <w:szCs w:val="18"/>
              </w:rPr>
              <w:t>NOTES</w:t>
            </w:r>
          </w:p>
          <w:p w14:paraId="4505EBC6" w14:textId="77777777" w:rsidR="002A21AE" w:rsidRDefault="002A21AE">
            <w:pPr>
              <w:pStyle w:val="NotesText"/>
            </w:pPr>
          </w:p>
          <w:p w14:paraId="0F32E7B2" w14:textId="77777777" w:rsidR="002A21AE" w:rsidRDefault="002A21AE">
            <w:pPr>
              <w:pStyle w:val="NotesText"/>
            </w:pPr>
            <w:r>
              <w:rPr>
                <w:rFonts w:cs="Arial"/>
                <w:vanish/>
              </w:rPr>
              <w:t xml:space="preserve">BR_106.03 </w:t>
            </w:r>
            <w:r>
              <w:t>The Transfusion Reaction Count Report by type includes specific patient information indicated by the user. The default report setting excludes patient names.</w:t>
            </w:r>
          </w:p>
        </w:tc>
      </w:tr>
      <w:tr w:rsidR="002A21AE" w14:paraId="137C388E" w14:textId="77777777">
        <w:tc>
          <w:tcPr>
            <w:tcW w:w="3240" w:type="dxa"/>
          </w:tcPr>
          <w:p w14:paraId="2C64BE49" w14:textId="77777777" w:rsidR="002A21AE" w:rsidRDefault="002A21AE">
            <w:pPr>
              <w:pStyle w:val="TableTextNumbers"/>
            </w:pPr>
            <w:r>
              <w:lastRenderedPageBreak/>
              <w:t xml:space="preserve">Click the </w:t>
            </w:r>
            <w:r>
              <w:rPr>
                <w:b/>
              </w:rPr>
              <w:t xml:space="preserve">Detailed Report </w:t>
            </w:r>
            <w:r>
              <w:t>or</w:t>
            </w:r>
            <w:r>
              <w:rPr>
                <w:b/>
              </w:rPr>
              <w:t xml:space="preserve"> Summary Report </w:t>
            </w:r>
            <w:r w:rsidRPr="00BF2E41">
              <w:t>radio button</w:t>
            </w:r>
            <w:r>
              <w:t>.</w:t>
            </w:r>
          </w:p>
        </w:tc>
        <w:tc>
          <w:tcPr>
            <w:tcW w:w="6120" w:type="dxa"/>
          </w:tcPr>
          <w:p w14:paraId="2FE4D35B" w14:textId="77777777" w:rsidR="002A21AE" w:rsidRDefault="002A21AE">
            <w:pPr>
              <w:pStyle w:val="TableTextBullet"/>
            </w:pPr>
            <w:r>
              <w:t>Displays an option to compile the report as detailed or summary.</w:t>
            </w:r>
          </w:p>
          <w:p w14:paraId="788D25EB" w14:textId="77777777" w:rsidR="002A21AE" w:rsidRDefault="002A21AE">
            <w:pPr>
              <w:pStyle w:val="TableTextBullet"/>
            </w:pPr>
            <w:r>
              <w:t>Compiles and displays the report.</w:t>
            </w:r>
          </w:p>
          <w:p w14:paraId="59F49CBC" w14:textId="77777777" w:rsidR="002A21AE" w:rsidRDefault="002A21AE">
            <w:pPr>
              <w:pStyle w:val="TableTextBullet"/>
            </w:pPr>
            <w:r>
              <w:t xml:space="preserve">Allows the user to print the report. </w:t>
            </w:r>
          </w:p>
          <w:p w14:paraId="182DB596" w14:textId="77777777" w:rsidR="002A21AE" w:rsidRDefault="002A21AE">
            <w:pPr>
              <w:pStyle w:val="TableText"/>
            </w:pPr>
          </w:p>
          <w:p w14:paraId="2C9BF470" w14:textId="75760103" w:rsidR="002A21AE" w:rsidRDefault="002A21AE">
            <w:pPr>
              <w:pStyle w:val="TableText"/>
              <w:rPr>
                <w:b/>
                <w:bCs/>
                <w:szCs w:val="18"/>
              </w:rPr>
            </w:pPr>
            <w:r>
              <w:rPr>
                <w:b/>
                <w:bCs/>
                <w:szCs w:val="18"/>
              </w:rPr>
              <w:t>NOTES</w:t>
            </w:r>
          </w:p>
          <w:p w14:paraId="75FD4852" w14:textId="77777777" w:rsidR="002A21AE" w:rsidRDefault="002A21AE">
            <w:pPr>
              <w:pStyle w:val="NotesText"/>
            </w:pPr>
          </w:p>
          <w:p w14:paraId="10CC779D" w14:textId="77777777" w:rsidR="002A21AE" w:rsidRDefault="002A21AE">
            <w:pPr>
              <w:pStyle w:val="NotesText"/>
            </w:pPr>
            <w:r>
              <w:rPr>
                <w:rFonts w:cs="Arial"/>
                <w:vanish/>
              </w:rPr>
              <w:t xml:space="preserve">BR_106.04 </w:t>
            </w:r>
            <w:r>
              <w:t>The Transfusion Reaction Count Report prints the implicated unit numbers or “no implicated units,” as appropriate.</w:t>
            </w:r>
          </w:p>
          <w:p w14:paraId="0F158566" w14:textId="77777777" w:rsidR="002A21AE" w:rsidRDefault="002A21AE">
            <w:pPr>
              <w:pStyle w:val="NotesText"/>
            </w:pPr>
          </w:p>
          <w:p w14:paraId="47AB58D8" w14:textId="77777777" w:rsidR="002A21AE" w:rsidRDefault="002A21AE" w:rsidP="0053173B">
            <w:pPr>
              <w:pStyle w:val="NotesText"/>
            </w:pPr>
            <w:r>
              <w:rPr>
                <w:rFonts w:cs="Arial"/>
                <w:vanish/>
              </w:rPr>
              <w:t xml:space="preserve">BR_106.06 </w:t>
            </w:r>
            <w:r>
              <w:t>VBECS reports the total number of patient transfusion reactions in the selected date range.</w:t>
            </w:r>
          </w:p>
        </w:tc>
      </w:tr>
      <w:tr w:rsidR="002A21AE" w14:paraId="1B7171DA" w14:textId="77777777">
        <w:tc>
          <w:tcPr>
            <w:tcW w:w="3240" w:type="dxa"/>
          </w:tcPr>
          <w:p w14:paraId="1F924A26" w14:textId="77777777" w:rsidR="002A21AE" w:rsidRDefault="002A21AE">
            <w:pPr>
              <w:pStyle w:val="TableTextNumbers"/>
            </w:pPr>
            <w:r>
              <w:t xml:space="preserve">In the Report Compilation area, click the </w:t>
            </w:r>
            <w:r>
              <w:rPr>
                <w:b/>
              </w:rPr>
              <w:t xml:space="preserve">Create Report Now </w:t>
            </w:r>
            <w:r w:rsidRPr="00BF2E41">
              <w:t>radio button</w:t>
            </w:r>
            <w:r>
              <w:t xml:space="preserve">. Click </w:t>
            </w:r>
            <w:r>
              <w:rPr>
                <w:b/>
              </w:rPr>
              <w:t>OK</w:t>
            </w:r>
            <w:r>
              <w:t xml:space="preserve"> to view the report, or</w:t>
            </w:r>
          </w:p>
          <w:p w14:paraId="4A334DE0" w14:textId="77777777" w:rsidR="002A21AE" w:rsidRDefault="002A21AE">
            <w:pPr>
              <w:pStyle w:val="TableTextNumbersContinued"/>
              <w:rPr>
                <w:b/>
                <w:bCs/>
              </w:rPr>
            </w:pPr>
          </w:p>
          <w:p w14:paraId="2D3F5B73" w14:textId="77777777" w:rsidR="002A21AE" w:rsidRDefault="002A21AE">
            <w:pPr>
              <w:pStyle w:val="TableTextNumbersContinued"/>
            </w:pPr>
            <w:r>
              <w:t xml:space="preserve">Click the </w:t>
            </w:r>
            <w:r>
              <w:rPr>
                <w:b/>
              </w:rPr>
              <w:t>Schedule Print Job</w:t>
            </w:r>
            <w:r>
              <w:t xml:space="preserve"> </w:t>
            </w:r>
            <w:r w:rsidRPr="00BF2E41">
              <w:t>radio button</w:t>
            </w:r>
            <w:r>
              <w:t xml:space="preserve"> and </w:t>
            </w:r>
            <w:r>
              <w:rPr>
                <w:b/>
              </w:rPr>
              <w:t>OK</w:t>
            </w:r>
            <w:r>
              <w:t xml:space="preserve">, then enter or select a print date and printer name. Click </w:t>
            </w:r>
            <w:r>
              <w:rPr>
                <w:b/>
              </w:rPr>
              <w:t>OK</w:t>
            </w:r>
            <w:r>
              <w:t xml:space="preserve"> to view and print the report, or click </w:t>
            </w:r>
            <w:r>
              <w:rPr>
                <w:b/>
              </w:rPr>
              <w:t>Close</w:t>
            </w:r>
            <w:r>
              <w:t xml:space="preserve"> to exit without printing.</w:t>
            </w:r>
            <w:r>
              <w:rPr>
                <w:color w:val="FFFFFF"/>
              </w:rPr>
              <w:t xml:space="preserve"> </w:t>
            </w:r>
          </w:p>
        </w:tc>
        <w:tc>
          <w:tcPr>
            <w:tcW w:w="6120" w:type="dxa"/>
          </w:tcPr>
          <w:p w14:paraId="72A412C8" w14:textId="77777777" w:rsidR="000566D6" w:rsidRDefault="00F64B5C" w:rsidP="00AA2B2E">
            <w:pPr>
              <w:pStyle w:val="TableTextBullet"/>
            </w:pPr>
            <w:r>
              <w:t>Compiles and displays the report.</w:t>
            </w:r>
          </w:p>
        </w:tc>
      </w:tr>
      <w:tr w:rsidR="00F64B5C" w14:paraId="4C498BDE" w14:textId="77777777">
        <w:tc>
          <w:tcPr>
            <w:tcW w:w="3240" w:type="dxa"/>
            <w:tcBorders>
              <w:top w:val="single" w:sz="4" w:space="0" w:color="auto"/>
              <w:left w:val="single" w:sz="4" w:space="0" w:color="auto"/>
              <w:bottom w:val="single" w:sz="4" w:space="0" w:color="auto"/>
              <w:right w:val="single" w:sz="4" w:space="0" w:color="auto"/>
            </w:tcBorders>
          </w:tcPr>
          <w:p w14:paraId="6A2980F3" w14:textId="0DB07EBD" w:rsidR="00F64B5C" w:rsidRDefault="00D45D8C" w:rsidP="007E0D91">
            <w:pPr>
              <w:pStyle w:val="TableTextNumbers"/>
            </w:pPr>
            <w:r w:rsidRPr="0076371D">
              <w:t xml:space="preserve">Select </w:t>
            </w:r>
            <w:r w:rsidRPr="0076371D">
              <w:rPr>
                <w:b/>
              </w:rPr>
              <w:t xml:space="preserve">Print </w:t>
            </w:r>
            <w:r w:rsidRPr="0076371D">
              <w:t>to print the repor</w:t>
            </w:r>
            <w:r>
              <w:t>t</w:t>
            </w:r>
            <w:r w:rsidRPr="0076371D">
              <w:t xml:space="preserve">, </w:t>
            </w:r>
            <w:r w:rsidRPr="0076371D">
              <w:rPr>
                <w:b/>
              </w:rPr>
              <w:t>Export</w:t>
            </w:r>
            <w:r w:rsidRPr="0076371D">
              <w:t xml:space="preserve"> </w:t>
            </w:r>
            <w:r>
              <w:t xml:space="preserve">to export the report </w:t>
            </w:r>
            <w:r w:rsidRPr="0076371D">
              <w:rPr>
                <w:szCs w:val="18"/>
              </w:rPr>
              <w:t xml:space="preserve">(See </w:t>
            </w:r>
            <w:r w:rsidR="00EE455E" w:rsidRPr="00EE455E">
              <w:rPr>
                <w:szCs w:val="18"/>
              </w:rPr>
              <w:t>Report Export</w:t>
            </w:r>
            <w:r>
              <w:rPr>
                <w:szCs w:val="18"/>
              </w:rPr>
              <w:t xml:space="preserve"> section</w:t>
            </w:r>
            <w:r w:rsidRPr="0076371D">
              <w:rPr>
                <w:szCs w:val="18"/>
              </w:rPr>
              <w:t>)</w:t>
            </w:r>
            <w:r>
              <w:t xml:space="preserve">, </w:t>
            </w:r>
            <w:r>
              <w:rPr>
                <w:szCs w:val="18"/>
              </w:rPr>
              <w:t xml:space="preserve">or </w:t>
            </w:r>
            <w:r w:rsidRPr="0076371D">
              <w:t xml:space="preserve">click </w:t>
            </w:r>
            <w:r w:rsidRPr="0076371D">
              <w:rPr>
                <w:b/>
              </w:rPr>
              <w:t>Close</w:t>
            </w:r>
            <w:r w:rsidRPr="0076371D">
              <w:t xml:space="preserve"> to exit</w:t>
            </w:r>
            <w:r>
              <w:t xml:space="preserve"> without printing</w:t>
            </w:r>
            <w:r w:rsidR="00BC11E3">
              <w:rPr>
                <w:rStyle w:val="StyleTableTextNumbersWhite1Char"/>
              </w:rPr>
              <w:t>.</w:t>
            </w:r>
          </w:p>
        </w:tc>
        <w:tc>
          <w:tcPr>
            <w:tcW w:w="6120" w:type="dxa"/>
            <w:tcBorders>
              <w:top w:val="single" w:sz="4" w:space="0" w:color="auto"/>
              <w:left w:val="single" w:sz="4" w:space="0" w:color="auto"/>
              <w:bottom w:val="single" w:sz="4" w:space="0" w:color="auto"/>
              <w:right w:val="single" w:sz="4" w:space="0" w:color="auto"/>
            </w:tcBorders>
          </w:tcPr>
          <w:p w14:paraId="151E0E21" w14:textId="77777777" w:rsidR="00D45D8C" w:rsidRDefault="00D45D8C" w:rsidP="00D45D8C">
            <w:pPr>
              <w:pStyle w:val="TableTextBullet"/>
            </w:pPr>
            <w:r>
              <w:t>If Print is selected, prints the report on the designated printer.</w:t>
            </w:r>
          </w:p>
          <w:p w14:paraId="3D10BE76" w14:textId="77777777" w:rsidR="00D45D8C" w:rsidRDefault="00D45D8C" w:rsidP="00D45D8C">
            <w:pPr>
              <w:pStyle w:val="TableTextBullet"/>
            </w:pPr>
            <w:r>
              <w:t>If Export is selected, exports the report to the designated file.</w:t>
            </w:r>
          </w:p>
          <w:p w14:paraId="5544D26D" w14:textId="466790BB" w:rsidR="00F64B5C" w:rsidRDefault="00D45D8C" w:rsidP="00D45D8C">
            <w:pPr>
              <w:pStyle w:val="TableTextBullet"/>
            </w:pPr>
            <w:r>
              <w:t>If Close is selected, exits the report preview.</w:t>
            </w:r>
          </w:p>
        </w:tc>
      </w:tr>
    </w:tbl>
    <w:p w14:paraId="3C6656EA" w14:textId="77777777" w:rsidR="002A21AE" w:rsidRDefault="002813A3">
      <w:pPr>
        <w:pStyle w:val="Heading2"/>
      </w:pPr>
      <w:r>
        <w:br w:type="page"/>
      </w:r>
      <w:bookmarkStart w:id="655" w:name="_Toc203765962"/>
      <w:r w:rsidR="002A21AE">
        <w:lastRenderedPageBreak/>
        <w:t>Transfusion Requirements Report</w:t>
      </w:r>
      <w:bookmarkEnd w:id="655"/>
      <w:r w:rsidR="002A21AE">
        <w:fldChar w:fldCharType="begin"/>
      </w:r>
      <w:r w:rsidR="002A21AE">
        <w:instrText xml:space="preserve"> XE </w:instrText>
      </w:r>
      <w:r w:rsidR="00FA7E65">
        <w:instrText>“</w:instrText>
      </w:r>
      <w:r w:rsidR="002A21AE">
        <w:instrText>Transfusion Requirements Report</w:instrText>
      </w:r>
      <w:r w:rsidR="00FA7E65">
        <w:instrText>”</w:instrText>
      </w:r>
      <w:r w:rsidR="002A21AE">
        <w:instrText xml:space="preserve"> </w:instrText>
      </w:r>
      <w:r w:rsidR="002A21AE">
        <w:fldChar w:fldCharType="end"/>
      </w:r>
      <w:r w:rsidR="002A21AE">
        <w:t xml:space="preserve"> </w:t>
      </w:r>
      <w:r w:rsidR="002A21AE">
        <w:rPr>
          <w:rFonts w:ascii="Times New Roman" w:hAnsi="Times New Roman" w:cs="Times New Roman"/>
          <w:b w:val="0"/>
          <w:i w:val="0"/>
          <w:vanish/>
          <w:sz w:val="22"/>
        </w:rPr>
        <w:t>UC_89</w:t>
      </w:r>
    </w:p>
    <w:p w14:paraId="3D212CAB" w14:textId="77777777" w:rsidR="002A21AE" w:rsidRDefault="002A21AE" w:rsidP="00FA7E65">
      <w:pPr>
        <w:pStyle w:val="BodyText"/>
      </w:pPr>
      <w:r>
        <w:t xml:space="preserve">The user views </w:t>
      </w:r>
      <w:r w:rsidR="00EB1E5A">
        <w:t xml:space="preserve">and/or </w:t>
      </w:r>
      <w:r>
        <w:t xml:space="preserve">prints a Transfusion Requirements Report. </w:t>
      </w:r>
    </w:p>
    <w:p w14:paraId="3CBB77E9" w14:textId="77777777" w:rsidR="002A21AE" w:rsidRDefault="002A21AE">
      <w:pPr>
        <w:pStyle w:val="Heading4"/>
      </w:pPr>
      <w:r>
        <w:t>Assumptions</w:t>
      </w:r>
      <w:r>
        <w:rPr>
          <w:b w:val="0"/>
        </w:rPr>
        <w:t xml:space="preserve"> </w:t>
      </w:r>
    </w:p>
    <w:p w14:paraId="7EF3ECAC" w14:textId="77777777" w:rsidR="002A21AE" w:rsidRDefault="002A21AE">
      <w:pPr>
        <w:pStyle w:val="ListBullet"/>
      </w:pPr>
      <w:r>
        <w:t xml:space="preserve">The database conversion of </w:t>
      </w:r>
      <w:r w:rsidR="00CA6E27" w:rsidRPr="00CA6E27">
        <w:rPr>
          <w:bCs/>
        </w:rPr>
        <w:t>VistA</w:t>
      </w:r>
      <w:r>
        <w:t xml:space="preserve"> patient files is complete.</w:t>
      </w:r>
    </w:p>
    <w:p w14:paraId="6ECB8A2D" w14:textId="77777777" w:rsidR="002A21AE" w:rsidRDefault="002A21AE">
      <w:pPr>
        <w:pStyle w:val="ListBullet"/>
      </w:pPr>
      <w:r>
        <w:t>Data for the report were saved in VBECS.</w:t>
      </w:r>
    </w:p>
    <w:p w14:paraId="1180DEC1" w14:textId="77777777" w:rsidR="002A21AE" w:rsidRDefault="002A21AE">
      <w:pPr>
        <w:pStyle w:val="Heading4"/>
      </w:pPr>
      <w:r>
        <w:t xml:space="preserve">Outcome </w:t>
      </w:r>
    </w:p>
    <w:p w14:paraId="17EE5613" w14:textId="77777777" w:rsidR="002A21AE" w:rsidRDefault="00AE521B">
      <w:pPr>
        <w:pStyle w:val="ListBullet"/>
      </w:pPr>
      <w:r>
        <w:t>The user views and/or prints the report</w:t>
      </w:r>
      <w:r w:rsidR="002A21AE">
        <w:t>.</w:t>
      </w:r>
    </w:p>
    <w:p w14:paraId="2D68E714" w14:textId="77777777" w:rsidR="002A21AE" w:rsidRDefault="002A21AE">
      <w:pPr>
        <w:pStyle w:val="Heading4"/>
      </w:pPr>
      <w:r>
        <w:t>Limitations and Restrictions</w:t>
      </w:r>
      <w:r>
        <w:rPr>
          <w:b w:val="0"/>
        </w:rPr>
        <w:t xml:space="preserve"> </w:t>
      </w:r>
    </w:p>
    <w:p w14:paraId="2C75AB61" w14:textId="4AEEA982" w:rsidR="002A21AE" w:rsidRPr="00684625" w:rsidRDefault="002A21AE">
      <w:pPr>
        <w:pStyle w:val="ListBullet"/>
      </w:pPr>
      <w:r>
        <w:rPr>
          <w:rFonts w:ascii="Arial" w:hAnsi="Arial" w:cs="Arial"/>
          <w:vanish/>
          <w:spacing w:val="0"/>
          <w:sz w:val="18"/>
        </w:rPr>
        <w:t xml:space="preserve">BR_89.01 </w:t>
      </w:r>
      <w:r w:rsidR="00B93109" w:rsidRPr="00684625">
        <w:rPr>
          <w:spacing w:val="0"/>
        </w:rPr>
        <w:t>Deceased patient records do not appear on the report when they are generated after the patient has been marked</w:t>
      </w:r>
      <w:r w:rsidR="00DB68D8" w:rsidRPr="00684625">
        <w:rPr>
          <w:spacing w:val="0"/>
        </w:rPr>
        <w:t xml:space="preserve"> as deceased</w:t>
      </w:r>
      <w:r w:rsidR="00B93109" w:rsidRPr="00684625">
        <w:rPr>
          <w:spacing w:val="0"/>
        </w:rPr>
        <w:t xml:space="preserve"> in the VBECS database via a VistA Death Notification Update.</w:t>
      </w:r>
      <w:r w:rsidR="00DB68D8" w:rsidRPr="00684625">
        <w:rPr>
          <w:spacing w:val="0"/>
        </w:rPr>
        <w:t xml:space="preserve"> </w:t>
      </w:r>
      <w:r w:rsidR="00DB68D8" w:rsidRPr="00684625">
        <w:rPr>
          <w:vanish/>
          <w:spacing w:val="0"/>
        </w:rPr>
        <w:t>DR 5086</w:t>
      </w:r>
    </w:p>
    <w:p w14:paraId="40E9BFD6" w14:textId="32BFDF97" w:rsidR="00684625" w:rsidRDefault="00684625">
      <w:pPr>
        <w:pStyle w:val="ListBullet"/>
      </w:pPr>
      <w:r w:rsidRPr="00684625">
        <w:rPr>
          <w:spacing w:val="0"/>
        </w:rPr>
        <w:t xml:space="preserve">The cumulative report is not displaying </w:t>
      </w:r>
      <w:r w:rsidRPr="00684625">
        <w:t>all patients on file. A patient with ABO/Rh testing and no other requirement appears on the partial Transfusion Requirements report, but not on the cumulative report.</w:t>
      </w:r>
      <w:r>
        <w:t xml:space="preserve"> </w:t>
      </w:r>
      <w:r w:rsidRPr="00684625">
        <w:rPr>
          <w:vanish/>
        </w:rPr>
        <w:t>Defect 208903</w:t>
      </w:r>
    </w:p>
    <w:p w14:paraId="6BB4EAD9" w14:textId="17712B70" w:rsidR="00684625" w:rsidRPr="00684625" w:rsidRDefault="00684625">
      <w:pPr>
        <w:pStyle w:val="ListBullet"/>
      </w:pPr>
      <w:r>
        <w:t xml:space="preserve">A report printed with an end date of today or greater does not print “Partial” in the header. </w:t>
      </w:r>
      <w:r w:rsidRPr="00684625">
        <w:rPr>
          <w:vanish/>
        </w:rPr>
        <w:t>Defect 208901</w:t>
      </w:r>
    </w:p>
    <w:p w14:paraId="393C7C29" w14:textId="77777777" w:rsidR="002A21AE" w:rsidRDefault="002A21AE">
      <w:pPr>
        <w:pStyle w:val="Heading4"/>
      </w:pPr>
      <w:r>
        <w:t>Additional Information</w:t>
      </w:r>
      <w:r>
        <w:rPr>
          <w:rFonts w:ascii="Times New Roman" w:hAnsi="Times New Roman"/>
          <w:i/>
          <w:sz w:val="24"/>
        </w:rPr>
        <w:t xml:space="preserve"> </w:t>
      </w:r>
    </w:p>
    <w:p w14:paraId="6073F527" w14:textId="0BFD6913" w:rsidR="002A21AE" w:rsidRPr="00E53D6C" w:rsidRDefault="002A21AE" w:rsidP="00684625">
      <w:pPr>
        <w:pStyle w:val="ListBullet"/>
        <w:tabs>
          <w:tab w:val="clear" w:pos="648"/>
          <w:tab w:val="num" w:pos="630"/>
          <w:tab w:val="num" w:pos="720"/>
        </w:tabs>
        <w:ind w:left="720"/>
      </w:pPr>
      <w:r>
        <w:rPr>
          <w:rFonts w:ascii="Arial" w:hAnsi="Arial" w:cs="Arial"/>
          <w:vanish/>
          <w:spacing w:val="0"/>
          <w:sz w:val="18"/>
        </w:rPr>
        <w:t xml:space="preserve">BR_89.06 </w:t>
      </w:r>
      <w:r w:rsidRPr="00F32AB8">
        <w:rPr>
          <w:vanish/>
        </w:rPr>
        <w:t xml:space="preserve"> </w:t>
      </w:r>
      <w:r w:rsidR="00F32AB8" w:rsidRPr="00E53D6C">
        <w:t xml:space="preserve">A </w:t>
      </w:r>
      <w:r w:rsidRPr="00E53D6C">
        <w:t xml:space="preserve">Transfusion Requirements report is compiled </w:t>
      </w:r>
      <w:r w:rsidR="00875D04" w:rsidRPr="00E53D6C">
        <w:t xml:space="preserve">from </w:t>
      </w:r>
      <w:r w:rsidR="00F32AB8" w:rsidRPr="00E53D6C">
        <w:t xml:space="preserve">all VBECS </w:t>
      </w:r>
      <w:r w:rsidRPr="00E53D6C">
        <w:t>divisions</w:t>
      </w:r>
      <w:r w:rsidR="00F32AB8" w:rsidRPr="00E53D6C">
        <w:t xml:space="preserve"> defined in the VBECS</w:t>
      </w:r>
      <w:r w:rsidR="00684625">
        <w:t xml:space="preserve"> </w:t>
      </w:r>
      <w:r w:rsidR="00F32AB8" w:rsidRPr="00E53D6C">
        <w:t>database.</w:t>
      </w:r>
    </w:p>
    <w:p w14:paraId="5B90C537" w14:textId="77777777" w:rsidR="002A21AE" w:rsidRPr="00E53D6C" w:rsidRDefault="002A21AE">
      <w:pPr>
        <w:pStyle w:val="ListBullet"/>
        <w:tabs>
          <w:tab w:val="num" w:pos="720"/>
        </w:tabs>
        <w:ind w:left="720"/>
      </w:pPr>
      <w:r w:rsidRPr="00E53D6C">
        <w:rPr>
          <w:vanish/>
          <w:spacing w:val="0"/>
        </w:rPr>
        <w:t xml:space="preserve">BR_89.02 </w:t>
      </w:r>
      <w:r w:rsidRPr="00E53D6C">
        <w:t>VBECS does not allow a report to be printed when no data are available.</w:t>
      </w:r>
    </w:p>
    <w:p w14:paraId="5BEAA5F9" w14:textId="77777777" w:rsidR="002A21AE" w:rsidRDefault="002A21AE" w:rsidP="00E53D6C">
      <w:pPr>
        <w:pStyle w:val="ListBullet"/>
        <w:tabs>
          <w:tab w:val="clear" w:pos="648"/>
          <w:tab w:val="left" w:pos="630"/>
          <w:tab w:val="num" w:pos="720"/>
        </w:tabs>
        <w:ind w:left="720"/>
      </w:pPr>
      <w:r w:rsidRPr="00E53D6C">
        <w:rPr>
          <w:vanish/>
          <w:spacing w:val="0"/>
        </w:rPr>
        <w:t xml:space="preserve">BR_89.04 </w:t>
      </w:r>
      <w:r w:rsidRPr="00E53D6C">
        <w:t>When the date range includes a future date and time, VBECS displays “Partial” in the report header on each page of the report.</w:t>
      </w:r>
    </w:p>
    <w:p w14:paraId="6ACEF957" w14:textId="0F2F86C9" w:rsidR="00BD4462" w:rsidRPr="00E53D6C" w:rsidRDefault="00721A9D" w:rsidP="001403D9">
      <w:pPr>
        <w:pStyle w:val="ListBullet"/>
        <w:tabs>
          <w:tab w:val="clear" w:pos="648"/>
          <w:tab w:val="left" w:pos="630"/>
          <w:tab w:val="num" w:pos="720"/>
        </w:tabs>
        <w:ind w:left="720"/>
      </w:pPr>
      <w:r w:rsidRPr="00721A9D">
        <w:t xml:space="preserve">The </w:t>
      </w:r>
      <w:r>
        <w:t>“</w:t>
      </w:r>
      <w:r w:rsidRPr="00721A9D">
        <w:t>Partial</w:t>
      </w:r>
      <w:r>
        <w:t>”</w:t>
      </w:r>
      <w:r w:rsidRPr="00721A9D">
        <w:t xml:space="preserve"> format of the report does not allow scheduling to print in the future</w:t>
      </w:r>
      <w:r w:rsidR="001403D9">
        <w:t xml:space="preserve">; a full report </w:t>
      </w:r>
      <w:r w:rsidR="00571BE3">
        <w:t>will print instead.</w:t>
      </w:r>
      <w:r w:rsidR="0045341A">
        <w:t xml:space="preserve"> </w:t>
      </w:r>
      <w:r w:rsidR="0045341A" w:rsidRPr="0045341A">
        <w:rPr>
          <w:vanish/>
        </w:rPr>
        <w:t>Defect 210519</w:t>
      </w:r>
    </w:p>
    <w:p w14:paraId="6FF06BE9" w14:textId="77777777" w:rsidR="007E0D91" w:rsidRPr="00E53D6C" w:rsidRDefault="002A21AE" w:rsidP="007E0D91">
      <w:pPr>
        <w:pStyle w:val="ListBullet"/>
        <w:tabs>
          <w:tab w:val="num" w:pos="720"/>
        </w:tabs>
        <w:ind w:left="720"/>
      </w:pPr>
      <w:r w:rsidRPr="00E53D6C">
        <w:rPr>
          <w:vanish/>
          <w:spacing w:val="0"/>
        </w:rPr>
        <w:t xml:space="preserve">BR_89.05 </w:t>
      </w:r>
      <w:r w:rsidRPr="00E53D6C">
        <w:t>Each page containing patient information includes the patient name.</w:t>
      </w:r>
    </w:p>
    <w:p w14:paraId="7568AFFE" w14:textId="77777777" w:rsidR="007E0D91" w:rsidRPr="00E53D6C" w:rsidRDefault="007E0D91" w:rsidP="007E0D91">
      <w:pPr>
        <w:pStyle w:val="ListBullet"/>
        <w:tabs>
          <w:tab w:val="num" w:pos="720"/>
        </w:tabs>
        <w:ind w:left="720"/>
      </w:pPr>
      <w:r w:rsidRPr="00E53D6C">
        <w:t>Divisions in a multidivisional database may view each other’s Special Instructions (SI) comments.</w:t>
      </w:r>
    </w:p>
    <w:p w14:paraId="4C34A845" w14:textId="7E42D019" w:rsidR="00E53D6C" w:rsidRPr="00E53D6C" w:rsidRDefault="00E53D6C" w:rsidP="00E53D6C">
      <w:pPr>
        <w:pStyle w:val="ListBullet"/>
        <w:tabs>
          <w:tab w:val="clear" w:pos="648"/>
          <w:tab w:val="left" w:pos="630"/>
          <w:tab w:val="num" w:pos="720"/>
        </w:tabs>
        <w:ind w:left="720"/>
      </w:pPr>
      <w:r w:rsidRPr="00E53D6C">
        <w:t>Important transfusion related information for a patient may</w:t>
      </w:r>
      <w:r>
        <w:t xml:space="preserve"> appear on more than one page. </w:t>
      </w:r>
      <w:r w:rsidR="0045341A">
        <w:t xml:space="preserve">Always </w:t>
      </w:r>
      <w:r w:rsidRPr="00E53D6C">
        <w:t>check the next page for additional patient information.</w:t>
      </w:r>
      <w:r>
        <w:t xml:space="preserve"> </w:t>
      </w:r>
      <w:r w:rsidRPr="00E53D6C">
        <w:rPr>
          <w:vanish/>
        </w:rPr>
        <w:t>DR 5125</w:t>
      </w:r>
    </w:p>
    <w:p w14:paraId="1B2848CB" w14:textId="77777777" w:rsidR="002A21AE" w:rsidRDefault="002A21AE">
      <w:pPr>
        <w:pStyle w:val="Heading4"/>
        <w:rPr>
          <w:b w:val="0"/>
        </w:rPr>
      </w:pPr>
      <w:r>
        <w:t>User Roles with Access to This Option</w:t>
      </w:r>
      <w:r>
        <w:rPr>
          <w:b w:val="0"/>
        </w:rPr>
        <w:t xml:space="preserve"> </w:t>
      </w:r>
    </w:p>
    <w:p w14:paraId="737D5288" w14:textId="77777777" w:rsidR="002A21AE" w:rsidRDefault="00184EA4">
      <w:pPr>
        <w:pStyle w:val="Roles"/>
      </w:pPr>
      <w:r>
        <w:t>All users</w:t>
      </w:r>
    </w:p>
    <w:p w14:paraId="29D433DA" w14:textId="77777777" w:rsidR="002A21AE" w:rsidRDefault="002A21AE">
      <w:pPr>
        <w:pStyle w:val="Heading4"/>
      </w:pPr>
      <w:r>
        <w:t xml:space="preserve">Transfusion Requirements Report </w:t>
      </w:r>
    </w:p>
    <w:p w14:paraId="4CD60331" w14:textId="77777777" w:rsidR="002A21AE" w:rsidRDefault="002A21AE" w:rsidP="00FA7E65">
      <w:pPr>
        <w:pStyle w:val="BodyText"/>
      </w:pPr>
      <w:r>
        <w:t xml:space="preserve">The user views </w:t>
      </w:r>
      <w:r w:rsidR="00EB1E5A">
        <w:t xml:space="preserve">and/or </w:t>
      </w:r>
      <w:r>
        <w:t>prints the Transfusion Requirements Report</w:t>
      </w:r>
      <w:r w:rsidR="00B04E4F">
        <w:t xml:space="preserve"> for a division</w:t>
      </w:r>
      <w:r>
        <w:t>. This option describes the continuous compilation of the complete file of patients in the VBECS database</w:t>
      </w:r>
      <w:r w:rsidR="00B04E4F">
        <w:t xml:space="preserve"> for historic record checking during downtime.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620087D9" w14:textId="77777777">
        <w:trPr>
          <w:cantSplit/>
          <w:tblHeader/>
        </w:trPr>
        <w:tc>
          <w:tcPr>
            <w:tcW w:w="3240" w:type="dxa"/>
            <w:shd w:val="pct30" w:color="auto" w:fill="FFFFFF"/>
            <w:vAlign w:val="bottom"/>
          </w:tcPr>
          <w:p w14:paraId="49455634" w14:textId="77777777" w:rsidR="002A21AE" w:rsidRDefault="002A21AE">
            <w:pPr>
              <w:pStyle w:val="TableText"/>
              <w:rPr>
                <w:b/>
              </w:rPr>
            </w:pPr>
            <w:r>
              <w:rPr>
                <w:b/>
              </w:rPr>
              <w:t>User Action</w:t>
            </w:r>
          </w:p>
        </w:tc>
        <w:tc>
          <w:tcPr>
            <w:tcW w:w="6120" w:type="dxa"/>
            <w:shd w:val="pct30" w:color="auto" w:fill="FFFFFF"/>
            <w:vAlign w:val="bottom"/>
          </w:tcPr>
          <w:p w14:paraId="0408D5D9" w14:textId="77777777" w:rsidR="002A21AE" w:rsidRDefault="002A21AE">
            <w:pPr>
              <w:pStyle w:val="TableText"/>
              <w:rPr>
                <w:b/>
              </w:rPr>
            </w:pPr>
            <w:r>
              <w:rPr>
                <w:b/>
              </w:rPr>
              <w:t>VBECS</w:t>
            </w:r>
          </w:p>
        </w:tc>
      </w:tr>
      <w:tr w:rsidR="002A21AE" w14:paraId="1087BECE" w14:textId="77777777">
        <w:tc>
          <w:tcPr>
            <w:tcW w:w="3240" w:type="dxa"/>
          </w:tcPr>
          <w:p w14:paraId="49687B81" w14:textId="77777777" w:rsidR="002A21AE" w:rsidRDefault="002A21AE" w:rsidP="00A73BE2">
            <w:pPr>
              <w:pStyle w:val="TableTextNumbers"/>
              <w:numPr>
                <w:ilvl w:val="0"/>
                <w:numId w:val="97"/>
              </w:numPr>
            </w:pPr>
            <w:r>
              <w:t xml:space="preserve">Select </w:t>
            </w:r>
            <w:r w:rsidRPr="0034022A">
              <w:rPr>
                <w:b/>
              </w:rPr>
              <w:t>Reports</w:t>
            </w:r>
            <w:r>
              <w:t xml:space="preserve"> from the main menu.</w:t>
            </w:r>
          </w:p>
          <w:p w14:paraId="4856DE60" w14:textId="77777777" w:rsidR="002A21AE" w:rsidRDefault="002A21AE">
            <w:pPr>
              <w:pStyle w:val="TableTextNumbersContinued"/>
            </w:pPr>
          </w:p>
          <w:p w14:paraId="479DF2E6" w14:textId="77777777" w:rsidR="002A21AE" w:rsidRDefault="002A21AE">
            <w:pPr>
              <w:pStyle w:val="TableTextNumbersContinued"/>
            </w:pPr>
            <w:r>
              <w:t xml:space="preserve">Select </w:t>
            </w:r>
            <w:r>
              <w:rPr>
                <w:b/>
              </w:rPr>
              <w:t>Transfusion Requirements Report</w:t>
            </w:r>
            <w:r>
              <w:t>.</w:t>
            </w:r>
          </w:p>
        </w:tc>
        <w:tc>
          <w:tcPr>
            <w:tcW w:w="6120" w:type="dxa"/>
          </w:tcPr>
          <w:p w14:paraId="117C3C39" w14:textId="77777777" w:rsidR="002A21AE" w:rsidRDefault="002A21AE">
            <w:pPr>
              <w:pStyle w:val="TableTextBullet"/>
            </w:pPr>
            <w:r>
              <w:t>Lists report names.</w:t>
            </w:r>
          </w:p>
          <w:p w14:paraId="661F01F0" w14:textId="77777777" w:rsidR="002A21AE" w:rsidRDefault="002A21AE">
            <w:pPr>
              <w:pStyle w:val="TableTextBullet"/>
            </w:pPr>
            <w:r>
              <w:t xml:space="preserve">Displays report compilation criteria. </w:t>
            </w:r>
          </w:p>
          <w:p w14:paraId="4E9A4CF9" w14:textId="77777777" w:rsidR="002A21AE" w:rsidRDefault="002A21AE">
            <w:pPr>
              <w:pStyle w:val="TableTextBullet"/>
            </w:pPr>
            <w:r>
              <w:t>Displays a date range for selection.</w:t>
            </w:r>
          </w:p>
        </w:tc>
      </w:tr>
      <w:tr w:rsidR="002A21AE" w14:paraId="361834BD" w14:textId="77777777">
        <w:tc>
          <w:tcPr>
            <w:tcW w:w="3240" w:type="dxa"/>
          </w:tcPr>
          <w:p w14:paraId="42AFB037" w14:textId="77777777" w:rsidR="002A21AE" w:rsidRDefault="002A21AE">
            <w:pPr>
              <w:pStyle w:val="TableTextNumbers"/>
            </w:pPr>
            <w:r>
              <w:lastRenderedPageBreak/>
              <w:t xml:space="preserve">In the </w:t>
            </w:r>
            <w:r w:rsidRPr="00B46EEA">
              <w:rPr>
                <w:b/>
              </w:rPr>
              <w:t>Report Type</w:t>
            </w:r>
            <w:r>
              <w:t xml:space="preserve"> area, select the </w:t>
            </w:r>
            <w:r>
              <w:rPr>
                <w:b/>
              </w:rPr>
              <w:t>Cumulative Report</w:t>
            </w:r>
            <w:r>
              <w:t xml:space="preserve"> </w:t>
            </w:r>
            <w:r w:rsidRPr="00BF2E41">
              <w:t>radio button</w:t>
            </w:r>
            <w:r>
              <w:t xml:space="preserve">, or </w:t>
            </w:r>
          </w:p>
          <w:p w14:paraId="6907FD7A" w14:textId="77777777" w:rsidR="002A21AE" w:rsidRDefault="002A21AE">
            <w:pPr>
              <w:pStyle w:val="TableTextNumbersContinued"/>
            </w:pPr>
          </w:p>
          <w:p w14:paraId="729426CE" w14:textId="77777777" w:rsidR="002A21AE" w:rsidRDefault="002A21AE">
            <w:pPr>
              <w:pStyle w:val="TableTextNumbersContinued"/>
            </w:pPr>
            <w:r>
              <w:t xml:space="preserve">Click the </w:t>
            </w:r>
            <w:r>
              <w:rPr>
                <w:b/>
              </w:rPr>
              <w:t xml:space="preserve">Partial Report </w:t>
            </w:r>
            <w:r w:rsidRPr="00BF2E41">
              <w:t>radio button</w:t>
            </w:r>
            <w:r>
              <w:t xml:space="preserve"> and enter or select start and end dates.</w:t>
            </w:r>
          </w:p>
        </w:tc>
        <w:tc>
          <w:tcPr>
            <w:tcW w:w="6120" w:type="dxa"/>
          </w:tcPr>
          <w:p w14:paraId="38A1A5D9" w14:textId="77777777" w:rsidR="00811C5F" w:rsidRDefault="002A21AE">
            <w:pPr>
              <w:pStyle w:val="TableTextBullet"/>
            </w:pPr>
            <w:r>
              <w:t>Compiles and displays the report.</w:t>
            </w:r>
          </w:p>
          <w:p w14:paraId="2C6436CC" w14:textId="77777777" w:rsidR="00811C5F" w:rsidRDefault="00811C5F" w:rsidP="00811C5F">
            <w:pPr>
              <w:pStyle w:val="TableText"/>
              <w:rPr>
                <w:b/>
                <w:bCs/>
                <w:szCs w:val="18"/>
              </w:rPr>
            </w:pPr>
          </w:p>
          <w:p w14:paraId="1B96F618" w14:textId="4B11CE92" w:rsidR="00811C5F" w:rsidRDefault="00811C5F" w:rsidP="00811C5F">
            <w:pPr>
              <w:pStyle w:val="TableText"/>
              <w:rPr>
                <w:b/>
                <w:bCs/>
                <w:szCs w:val="18"/>
              </w:rPr>
            </w:pPr>
            <w:r>
              <w:rPr>
                <w:b/>
                <w:bCs/>
                <w:szCs w:val="18"/>
              </w:rPr>
              <w:t>NOTES</w:t>
            </w:r>
          </w:p>
          <w:p w14:paraId="096BC339" w14:textId="77777777" w:rsidR="00811C5F" w:rsidRDefault="00811C5F" w:rsidP="00811C5F">
            <w:pPr>
              <w:pStyle w:val="NotesText"/>
              <w:ind w:left="0"/>
            </w:pPr>
          </w:p>
          <w:p w14:paraId="062D26A5" w14:textId="77777777" w:rsidR="00F9149B" w:rsidRPr="00DC4D3E" w:rsidRDefault="00BC7A6E" w:rsidP="00811C5F">
            <w:pPr>
              <w:pStyle w:val="NotesText"/>
            </w:pPr>
            <w:r>
              <w:t>Patients who do not have a blood type, SI, TR, or Transfusion Reaction in their VBECS record do not display on the Transfusion Requirements Report in either the Cumulative or Partial format.</w:t>
            </w:r>
            <w:r w:rsidR="00DC4D3E">
              <w:rPr>
                <w:vanish/>
              </w:rPr>
              <w:t xml:space="preserve"> DR 3356</w:t>
            </w:r>
          </w:p>
          <w:p w14:paraId="0D303F9E" w14:textId="77777777" w:rsidR="00F9149B" w:rsidRDefault="00F9149B" w:rsidP="00811C5F">
            <w:pPr>
              <w:pStyle w:val="NotesText"/>
            </w:pPr>
          </w:p>
          <w:p w14:paraId="0F05424E" w14:textId="77777777" w:rsidR="00F9149B" w:rsidRDefault="00811C5F" w:rsidP="00811C5F">
            <w:pPr>
              <w:pStyle w:val="NotesText"/>
            </w:pPr>
            <w:r>
              <w:t>The Cumulative Report displays patients that have a blood type, SI, TR</w:t>
            </w:r>
            <w:r w:rsidR="00F9149B">
              <w:t>, or Transfusion Reaction.</w:t>
            </w:r>
          </w:p>
          <w:p w14:paraId="57CD5CC3" w14:textId="77777777" w:rsidR="00F9149B" w:rsidRDefault="00F9149B" w:rsidP="00811C5F">
            <w:pPr>
              <w:pStyle w:val="NotesText"/>
            </w:pPr>
          </w:p>
          <w:p w14:paraId="7C6C880B" w14:textId="77777777" w:rsidR="00811C5F" w:rsidRDefault="00811C5F" w:rsidP="00811C5F">
            <w:pPr>
              <w:pStyle w:val="NotesText"/>
            </w:pPr>
            <w:r>
              <w:t xml:space="preserve">The Partial Report displays </w:t>
            </w:r>
            <w:r w:rsidR="00313C6B">
              <w:t>patient</w:t>
            </w:r>
            <w:r w:rsidR="00F9149B">
              <w:t>s that have a change to their VBECS record within the date range of the requested report.</w:t>
            </w:r>
          </w:p>
          <w:p w14:paraId="6AABFAB7" w14:textId="77777777" w:rsidR="00F9149B" w:rsidRDefault="00F9149B" w:rsidP="00811C5F">
            <w:pPr>
              <w:pStyle w:val="NotesText"/>
            </w:pPr>
            <w:r>
              <w:t>Changes are defined as:</w:t>
            </w:r>
          </w:p>
          <w:p w14:paraId="62BE2DE6" w14:textId="77777777" w:rsidR="00F9149B" w:rsidRDefault="00F9149B" w:rsidP="00F9149B">
            <w:pPr>
              <w:pStyle w:val="NotesTextBullet"/>
            </w:pPr>
            <w:r>
              <w:t>New order</w:t>
            </w:r>
          </w:p>
          <w:p w14:paraId="34F3AE37" w14:textId="77777777" w:rsidR="00F9149B" w:rsidRDefault="00F9149B" w:rsidP="00F9149B">
            <w:pPr>
              <w:pStyle w:val="NotesTextBullet"/>
            </w:pPr>
            <w:r>
              <w:t>Record of testing</w:t>
            </w:r>
          </w:p>
          <w:p w14:paraId="036F4FC6" w14:textId="77777777" w:rsidR="00F9149B" w:rsidRDefault="00F9149B" w:rsidP="00F9149B">
            <w:pPr>
              <w:pStyle w:val="NotesTextBullet"/>
            </w:pPr>
            <w:r>
              <w:t>Patient Update event</w:t>
            </w:r>
          </w:p>
          <w:p w14:paraId="6053FF99" w14:textId="77777777" w:rsidR="00F9149B" w:rsidRDefault="00F9149B" w:rsidP="00F9149B">
            <w:pPr>
              <w:pStyle w:val="NotesTextBullet"/>
            </w:pPr>
            <w:r>
              <w:t>New SI entered</w:t>
            </w:r>
          </w:p>
          <w:p w14:paraId="118171EB" w14:textId="77777777" w:rsidR="00F9149B" w:rsidRDefault="00F9149B" w:rsidP="00F9149B">
            <w:pPr>
              <w:pStyle w:val="NotesTextBullet"/>
            </w:pPr>
            <w:r>
              <w:t>New TR entered</w:t>
            </w:r>
          </w:p>
          <w:p w14:paraId="2DFBF5FA" w14:textId="77777777" w:rsidR="00811C5F" w:rsidRDefault="00F9149B" w:rsidP="00DC4D3E">
            <w:pPr>
              <w:pStyle w:val="NotesTextBullet"/>
            </w:pPr>
            <w:r>
              <w:t>New Transfusion Reaction entered</w:t>
            </w:r>
          </w:p>
        </w:tc>
      </w:tr>
      <w:tr w:rsidR="002A21AE" w14:paraId="0D84C894" w14:textId="77777777">
        <w:tc>
          <w:tcPr>
            <w:tcW w:w="3240" w:type="dxa"/>
          </w:tcPr>
          <w:p w14:paraId="59AC03FC" w14:textId="77777777" w:rsidR="002A21AE" w:rsidRDefault="002A21AE">
            <w:pPr>
              <w:pStyle w:val="TableTextNumbers"/>
            </w:pPr>
            <w:r>
              <w:t xml:space="preserve">In the Report Compilation area, click the </w:t>
            </w:r>
            <w:r>
              <w:rPr>
                <w:b/>
              </w:rPr>
              <w:t>Create Report Now</w:t>
            </w:r>
            <w:r>
              <w:t xml:space="preserve"> </w:t>
            </w:r>
            <w:r w:rsidRPr="00BF2E41">
              <w:t>radio button</w:t>
            </w:r>
            <w:r>
              <w:t xml:space="preserve">. Click </w:t>
            </w:r>
            <w:r>
              <w:rPr>
                <w:b/>
              </w:rPr>
              <w:t>OK</w:t>
            </w:r>
            <w:r>
              <w:t xml:space="preserve"> to view the report, or</w:t>
            </w:r>
          </w:p>
          <w:p w14:paraId="3721C5C5" w14:textId="77777777" w:rsidR="002A21AE" w:rsidRDefault="002A21AE">
            <w:pPr>
              <w:pStyle w:val="TableTextNumbersContinued"/>
            </w:pPr>
          </w:p>
          <w:p w14:paraId="25ACEDA3" w14:textId="77777777" w:rsidR="002A21AE" w:rsidRDefault="002A21AE">
            <w:pPr>
              <w:pStyle w:val="TableTextNumbersContinued"/>
            </w:pPr>
            <w:r>
              <w:t xml:space="preserve">Click the </w:t>
            </w:r>
            <w:r>
              <w:rPr>
                <w:b/>
              </w:rPr>
              <w:t>Schedule Print Job</w:t>
            </w:r>
            <w:r>
              <w:t xml:space="preserve"> </w:t>
            </w:r>
            <w:r w:rsidRPr="00BF2E41">
              <w:t>radio button</w:t>
            </w:r>
            <w:r>
              <w:t xml:space="preserve"> and </w:t>
            </w:r>
            <w:r>
              <w:rPr>
                <w:b/>
              </w:rPr>
              <w:t>OK</w:t>
            </w:r>
            <w:r>
              <w:t xml:space="preserve">, then enter or select a print date and printer name. Click </w:t>
            </w:r>
            <w:r>
              <w:rPr>
                <w:b/>
              </w:rPr>
              <w:t>OK</w:t>
            </w:r>
            <w:r>
              <w:t xml:space="preserve"> to view and print the report.</w:t>
            </w:r>
          </w:p>
        </w:tc>
        <w:tc>
          <w:tcPr>
            <w:tcW w:w="6120" w:type="dxa"/>
          </w:tcPr>
          <w:p w14:paraId="76253C3C" w14:textId="77777777" w:rsidR="000566D6" w:rsidRDefault="00F64B5C" w:rsidP="00AA2B2E">
            <w:pPr>
              <w:pStyle w:val="TableTextBullet"/>
            </w:pPr>
            <w:r>
              <w:t>Compiles and displays the report.</w:t>
            </w:r>
          </w:p>
        </w:tc>
      </w:tr>
      <w:tr w:rsidR="002A21AE" w14:paraId="16EB39C0" w14:textId="77777777">
        <w:tc>
          <w:tcPr>
            <w:tcW w:w="3240" w:type="dxa"/>
          </w:tcPr>
          <w:p w14:paraId="3A0F9621" w14:textId="673504FF" w:rsidR="002A21AE" w:rsidRDefault="00D45D8C">
            <w:pPr>
              <w:pStyle w:val="TableTextNumbers"/>
            </w:pPr>
            <w:r w:rsidRPr="0076371D">
              <w:t xml:space="preserve">Select </w:t>
            </w:r>
            <w:r w:rsidRPr="0076371D">
              <w:rPr>
                <w:b/>
              </w:rPr>
              <w:t xml:space="preserve">Print </w:t>
            </w:r>
            <w:r w:rsidRPr="0076371D">
              <w:t>to print the repor</w:t>
            </w:r>
            <w:r>
              <w:t>t</w:t>
            </w:r>
            <w:r w:rsidRPr="0076371D">
              <w:t xml:space="preserve">, </w:t>
            </w:r>
            <w:r w:rsidRPr="0076371D">
              <w:rPr>
                <w:b/>
              </w:rPr>
              <w:t>Export</w:t>
            </w:r>
            <w:r w:rsidRPr="0076371D">
              <w:t xml:space="preserve"> </w:t>
            </w:r>
            <w:r>
              <w:t xml:space="preserve">to export the report </w:t>
            </w:r>
            <w:r w:rsidRPr="0076371D">
              <w:rPr>
                <w:szCs w:val="18"/>
              </w:rPr>
              <w:t xml:space="preserve">(See </w:t>
            </w:r>
            <w:r w:rsidR="00EE455E" w:rsidRPr="00EE455E">
              <w:rPr>
                <w:szCs w:val="18"/>
              </w:rPr>
              <w:t>Report Export</w:t>
            </w:r>
            <w:r>
              <w:rPr>
                <w:szCs w:val="18"/>
              </w:rPr>
              <w:t xml:space="preserve"> section</w:t>
            </w:r>
            <w:r w:rsidRPr="0076371D">
              <w:rPr>
                <w:szCs w:val="18"/>
              </w:rPr>
              <w:t>)</w:t>
            </w:r>
            <w:r>
              <w:t xml:space="preserve">, </w:t>
            </w:r>
            <w:r>
              <w:rPr>
                <w:szCs w:val="18"/>
              </w:rPr>
              <w:t xml:space="preserve">or </w:t>
            </w:r>
            <w:r w:rsidRPr="0076371D">
              <w:t xml:space="preserve">click </w:t>
            </w:r>
            <w:r w:rsidRPr="0076371D">
              <w:rPr>
                <w:b/>
              </w:rPr>
              <w:t>Close</w:t>
            </w:r>
            <w:r w:rsidRPr="0076371D">
              <w:t xml:space="preserve"> to exit</w:t>
            </w:r>
            <w:r>
              <w:t xml:space="preserve"> without printing</w:t>
            </w:r>
            <w:r w:rsidRPr="0076371D">
              <w:rPr>
                <w:szCs w:val="18"/>
              </w:rPr>
              <w:t>.</w:t>
            </w:r>
          </w:p>
        </w:tc>
        <w:tc>
          <w:tcPr>
            <w:tcW w:w="6120" w:type="dxa"/>
          </w:tcPr>
          <w:p w14:paraId="34F76509" w14:textId="77777777" w:rsidR="00D45D8C" w:rsidRDefault="00D45D8C" w:rsidP="00D45D8C">
            <w:pPr>
              <w:pStyle w:val="TableTextBullet"/>
            </w:pPr>
            <w:r>
              <w:t>If Print is selected, prints the report on the designated printer.</w:t>
            </w:r>
          </w:p>
          <w:p w14:paraId="11EBE29D" w14:textId="77777777" w:rsidR="00D45D8C" w:rsidRDefault="00D45D8C" w:rsidP="00D45D8C">
            <w:pPr>
              <w:pStyle w:val="TableTextBullet"/>
            </w:pPr>
            <w:r>
              <w:t>If Export is selected, exports the report to the designated file.</w:t>
            </w:r>
          </w:p>
          <w:p w14:paraId="02FF4AF5" w14:textId="21615A6F" w:rsidR="002A21AE" w:rsidRDefault="00D45D8C" w:rsidP="00D45D8C">
            <w:pPr>
              <w:pStyle w:val="TableTextBullet"/>
            </w:pPr>
            <w:r>
              <w:t>If Close is selected, exits the report preview.</w:t>
            </w:r>
          </w:p>
        </w:tc>
      </w:tr>
    </w:tbl>
    <w:p w14:paraId="59133CB0" w14:textId="77777777" w:rsidR="002A21AE" w:rsidRDefault="002A21AE">
      <w:pPr>
        <w:pStyle w:val="Heading2"/>
      </w:pPr>
      <w:r>
        <w:br w:type="page"/>
      </w:r>
      <w:bookmarkStart w:id="656" w:name="_Toc203765963"/>
      <w:r>
        <w:lastRenderedPageBreak/>
        <w:t>Unit History Report</w:t>
      </w:r>
      <w:bookmarkEnd w:id="656"/>
      <w:r>
        <w:fldChar w:fldCharType="begin"/>
      </w:r>
      <w:r>
        <w:instrText xml:space="preserve"> XE </w:instrText>
      </w:r>
      <w:r w:rsidR="00FA7E65">
        <w:instrText>“</w:instrText>
      </w:r>
      <w:r>
        <w:instrText>Unit History Report</w:instrText>
      </w:r>
      <w:r w:rsidR="00FA7E65">
        <w:instrText>”</w:instrText>
      </w:r>
      <w:r>
        <w:instrText xml:space="preserve"> </w:instrText>
      </w:r>
      <w:r>
        <w:fldChar w:fldCharType="end"/>
      </w:r>
      <w:r>
        <w:t xml:space="preserve"> </w:t>
      </w:r>
      <w:r>
        <w:rPr>
          <w:rFonts w:ascii="Times New Roman" w:hAnsi="Times New Roman" w:cs="Times New Roman"/>
          <w:b w:val="0"/>
          <w:i w:val="0"/>
          <w:vanish/>
          <w:sz w:val="22"/>
        </w:rPr>
        <w:t>UC_85</w:t>
      </w:r>
    </w:p>
    <w:p w14:paraId="520C16C9" w14:textId="77777777" w:rsidR="002A21AE" w:rsidRDefault="002A21AE" w:rsidP="00FA7E65">
      <w:pPr>
        <w:pStyle w:val="BodyText"/>
      </w:pPr>
      <w:r>
        <w:t xml:space="preserve">The user views </w:t>
      </w:r>
      <w:r w:rsidR="00EB1E5A">
        <w:t xml:space="preserve">and/or </w:t>
      </w:r>
      <w:r>
        <w:t xml:space="preserve">prints a Unit History Report. </w:t>
      </w:r>
    </w:p>
    <w:p w14:paraId="34D2F79C" w14:textId="77777777" w:rsidR="002A21AE" w:rsidRDefault="002A21AE">
      <w:pPr>
        <w:pStyle w:val="Heading4"/>
      </w:pPr>
      <w:r>
        <w:t>Assumptions</w:t>
      </w:r>
      <w:r>
        <w:rPr>
          <w:b w:val="0"/>
        </w:rPr>
        <w:t xml:space="preserve"> </w:t>
      </w:r>
    </w:p>
    <w:p w14:paraId="1C71E64E" w14:textId="77777777" w:rsidR="002A21AE" w:rsidRDefault="002A21AE">
      <w:pPr>
        <w:pStyle w:val="ListBullet"/>
      </w:pPr>
      <w:r>
        <w:t>The unit exists in the user’s division.</w:t>
      </w:r>
    </w:p>
    <w:p w14:paraId="589CEE83" w14:textId="77777777" w:rsidR="002A21AE" w:rsidRDefault="002A21AE">
      <w:pPr>
        <w:pStyle w:val="Heading4"/>
      </w:pPr>
      <w:r>
        <w:t xml:space="preserve">Outcome </w:t>
      </w:r>
    </w:p>
    <w:p w14:paraId="17770FED" w14:textId="77777777" w:rsidR="002A21AE" w:rsidRDefault="00AE521B">
      <w:pPr>
        <w:pStyle w:val="ListBullet"/>
      </w:pPr>
      <w:r>
        <w:t>The user views and/or prints the report</w:t>
      </w:r>
      <w:r w:rsidR="002A21AE">
        <w:t>.</w:t>
      </w:r>
    </w:p>
    <w:p w14:paraId="4DAAC5FF" w14:textId="77777777" w:rsidR="002A21AE" w:rsidRDefault="002A21AE">
      <w:pPr>
        <w:pStyle w:val="Heading4"/>
      </w:pPr>
      <w:r>
        <w:t>Limitations and Restrictions</w:t>
      </w:r>
      <w:r>
        <w:rPr>
          <w:b w:val="0"/>
        </w:rPr>
        <w:t xml:space="preserve"> </w:t>
      </w:r>
    </w:p>
    <w:p w14:paraId="2B7AABBE" w14:textId="77777777" w:rsidR="002A21AE" w:rsidRDefault="002A21AE">
      <w:pPr>
        <w:pStyle w:val="ListBullet"/>
      </w:pPr>
      <w:r>
        <w:t xml:space="preserve">The report is not multidivisional. </w:t>
      </w:r>
    </w:p>
    <w:p w14:paraId="1C1B6547" w14:textId="77777777" w:rsidR="00DD7CAF" w:rsidRDefault="00DD7CAF">
      <w:pPr>
        <w:pStyle w:val="ListBullet"/>
      </w:pPr>
      <w:r>
        <w:t>When a user retroactively updates a unit status through Discard or Quarantine, the Unit History Report displays the updated information, but does not display the date the change was made.</w:t>
      </w:r>
    </w:p>
    <w:p w14:paraId="620912AF" w14:textId="6B6250F4" w:rsidR="001F1DB9" w:rsidRDefault="001F1DB9" w:rsidP="001F1DB9">
      <w:pPr>
        <w:pStyle w:val="ListBullet"/>
      </w:pPr>
      <w:r>
        <w:t>The r</w:t>
      </w:r>
      <w:r w:rsidRPr="001F1DB9">
        <w:t xml:space="preserve">eport </w:t>
      </w:r>
      <w:r>
        <w:t>will not indicate if a unit was returned to shipper, or shipped to another facility. This information can be found in the Cost Accounting Report.</w:t>
      </w:r>
      <w:r w:rsidR="00CD5BA1">
        <w:t xml:space="preserve"> </w:t>
      </w:r>
      <w:r w:rsidR="00CD5BA1" w:rsidRPr="00CD5BA1">
        <w:rPr>
          <w:vanish/>
        </w:rPr>
        <w:t>Defect 212158</w:t>
      </w:r>
    </w:p>
    <w:p w14:paraId="1235ABF3" w14:textId="53B3CA46" w:rsidR="00CD5BA1" w:rsidRDefault="00CD5BA1" w:rsidP="006B7ADC">
      <w:pPr>
        <w:pStyle w:val="ListBullet"/>
      </w:pPr>
      <w:r>
        <w:t xml:space="preserve">The report does not display the Antigen Testing Phase Change Exception. See the Exception Report for this information. </w:t>
      </w:r>
      <w:r w:rsidRPr="00CD5BA1">
        <w:rPr>
          <w:vanish/>
        </w:rPr>
        <w:t>Defect 209575</w:t>
      </w:r>
    </w:p>
    <w:p w14:paraId="3363C1E3" w14:textId="4268C65D" w:rsidR="00680B7F" w:rsidRDefault="00680B7F" w:rsidP="006B7ADC">
      <w:pPr>
        <w:pStyle w:val="ListBullet"/>
      </w:pPr>
      <w:r>
        <w:t xml:space="preserve">When a user retroactively updates a unit status through the Discard or Quarantine option, the Unit History Report displays the updated information, but does not display the date the change was made. </w:t>
      </w:r>
      <w:r w:rsidRPr="00680B7F">
        <w:rPr>
          <w:vanish/>
        </w:rPr>
        <w:t>Defect 212537</w:t>
      </w:r>
    </w:p>
    <w:p w14:paraId="261ED922" w14:textId="2D8AB749" w:rsidR="002A21AE" w:rsidRDefault="002A21AE" w:rsidP="005B025F">
      <w:pPr>
        <w:pStyle w:val="Heading4"/>
      </w:pPr>
      <w:r>
        <w:t xml:space="preserve">Additional Information </w:t>
      </w:r>
    </w:p>
    <w:p w14:paraId="087CC253" w14:textId="77777777" w:rsidR="002A21AE" w:rsidRDefault="002A21AE">
      <w:pPr>
        <w:pStyle w:val="ListBullet"/>
      </w:pPr>
      <w:r>
        <w:t>There may be multiple instances of the same unit number and product code in the same division. Inactivated unit records may have a unit ID and product code that duplicate an active unit ID and product code.</w:t>
      </w:r>
    </w:p>
    <w:p w14:paraId="35379CE1" w14:textId="77777777" w:rsidR="002A21AE" w:rsidRDefault="002A21AE">
      <w:pPr>
        <w:pStyle w:val="ListBullet"/>
      </w:pPr>
      <w:r>
        <w:t xml:space="preserve">VBECS always displays the current unit status when the user selects a blood unit, so there is no need for a separate report option, as is possible in </w:t>
      </w:r>
      <w:r w:rsidR="00CA6E27" w:rsidRPr="00CA6E27">
        <w:rPr>
          <w:bCs/>
        </w:rPr>
        <w:t>VistA</w:t>
      </w:r>
      <w:r>
        <w:t>.</w:t>
      </w:r>
    </w:p>
    <w:p w14:paraId="318A3C74" w14:textId="77777777" w:rsidR="002A21AE" w:rsidRDefault="002A21AE">
      <w:pPr>
        <w:pStyle w:val="ListBullet"/>
      </w:pPr>
      <w:r>
        <w:t>Unit testing details are included in Testing Worklist Report.</w:t>
      </w:r>
    </w:p>
    <w:p w14:paraId="1F3E0A61" w14:textId="6CF7B245" w:rsidR="002D3BEC" w:rsidRDefault="002D3BEC">
      <w:pPr>
        <w:pStyle w:val="ListBullet"/>
      </w:pPr>
      <w:r>
        <w:t xml:space="preserve">The report header for RBC and WB products does not display the </w:t>
      </w:r>
      <w:r w:rsidR="005E237B">
        <w:t xml:space="preserve">= </w:t>
      </w:r>
      <w:r>
        <w:t>&gt; 2 mL RBC contamination information.</w:t>
      </w:r>
    </w:p>
    <w:p w14:paraId="2A20F5B8" w14:textId="77777777" w:rsidR="002A21AE" w:rsidRDefault="002A21AE">
      <w:pPr>
        <w:pStyle w:val="Heading4"/>
        <w:rPr>
          <w:b w:val="0"/>
        </w:rPr>
      </w:pPr>
      <w:r>
        <w:t>User Roles with Access to This Option</w:t>
      </w:r>
      <w:r>
        <w:rPr>
          <w:b w:val="0"/>
        </w:rPr>
        <w:t xml:space="preserve"> </w:t>
      </w:r>
    </w:p>
    <w:p w14:paraId="4D7F5C73" w14:textId="77777777" w:rsidR="002A21AE" w:rsidRDefault="00184EA4">
      <w:pPr>
        <w:pStyle w:val="Roles"/>
      </w:pPr>
      <w:r>
        <w:t>All users</w:t>
      </w:r>
    </w:p>
    <w:p w14:paraId="2A0A81FE" w14:textId="77777777" w:rsidR="002A21AE" w:rsidRDefault="002A21AE">
      <w:pPr>
        <w:pStyle w:val="Heading4"/>
      </w:pPr>
      <w:r>
        <w:t xml:space="preserve">Unit History Report </w:t>
      </w:r>
    </w:p>
    <w:p w14:paraId="7029BB6C" w14:textId="77777777" w:rsidR="002A21AE" w:rsidRDefault="002A21AE" w:rsidP="00FA7E65">
      <w:pPr>
        <w:pStyle w:val="BodyText"/>
      </w:pPr>
      <w:r>
        <w:t xml:space="preserve">The user views </w:t>
      </w:r>
      <w:r w:rsidR="00EB1E5A">
        <w:t xml:space="preserve">and/or </w:t>
      </w:r>
      <w:r>
        <w:t>prints the complete record for a blood unit</w:t>
      </w:r>
      <w:r w:rsidR="00160D7B">
        <w:t>, from incoming shipment through final status, including unit activities saved in the VBECS database</w:t>
      </w:r>
      <w:r>
        <w:t>. VBECS compiles data for that unit for one division.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20F8A747" w14:textId="77777777">
        <w:trPr>
          <w:cantSplit/>
          <w:tblHeader/>
        </w:trPr>
        <w:tc>
          <w:tcPr>
            <w:tcW w:w="3240" w:type="dxa"/>
            <w:shd w:val="pct30" w:color="auto" w:fill="FFFFFF"/>
            <w:vAlign w:val="bottom"/>
          </w:tcPr>
          <w:p w14:paraId="0C080963" w14:textId="77777777" w:rsidR="002A21AE" w:rsidRDefault="002A21AE">
            <w:pPr>
              <w:pStyle w:val="TableText"/>
              <w:rPr>
                <w:b/>
              </w:rPr>
            </w:pPr>
            <w:r>
              <w:rPr>
                <w:b/>
              </w:rPr>
              <w:t>User Action</w:t>
            </w:r>
          </w:p>
        </w:tc>
        <w:tc>
          <w:tcPr>
            <w:tcW w:w="6120" w:type="dxa"/>
            <w:shd w:val="pct30" w:color="auto" w:fill="FFFFFF"/>
            <w:vAlign w:val="bottom"/>
          </w:tcPr>
          <w:p w14:paraId="2B5CC4DA" w14:textId="77777777" w:rsidR="002A21AE" w:rsidRDefault="002A21AE">
            <w:pPr>
              <w:pStyle w:val="TableText"/>
              <w:rPr>
                <w:b/>
              </w:rPr>
            </w:pPr>
            <w:r>
              <w:rPr>
                <w:b/>
              </w:rPr>
              <w:t>VBECS</w:t>
            </w:r>
          </w:p>
        </w:tc>
      </w:tr>
      <w:tr w:rsidR="002A21AE" w14:paraId="4AC01B50" w14:textId="77777777">
        <w:tc>
          <w:tcPr>
            <w:tcW w:w="3240" w:type="dxa"/>
          </w:tcPr>
          <w:p w14:paraId="7E361E97" w14:textId="77777777" w:rsidR="002A21AE" w:rsidRDefault="002A21AE" w:rsidP="00A73BE2">
            <w:pPr>
              <w:pStyle w:val="TableTextNumbers"/>
              <w:numPr>
                <w:ilvl w:val="0"/>
                <w:numId w:val="98"/>
              </w:numPr>
            </w:pPr>
            <w:r>
              <w:t xml:space="preserve">Select </w:t>
            </w:r>
            <w:r w:rsidRPr="0034022A">
              <w:rPr>
                <w:b/>
              </w:rPr>
              <w:t>Reports</w:t>
            </w:r>
            <w:r>
              <w:t xml:space="preserve"> from the main menu.</w:t>
            </w:r>
          </w:p>
          <w:p w14:paraId="7D4071DA" w14:textId="77777777" w:rsidR="002A21AE" w:rsidRDefault="002A21AE">
            <w:pPr>
              <w:pStyle w:val="TableTextNumbersContinued"/>
            </w:pPr>
          </w:p>
          <w:p w14:paraId="2C5CA0B9" w14:textId="77777777" w:rsidR="002A21AE" w:rsidRDefault="002A21AE">
            <w:pPr>
              <w:pStyle w:val="TableTextNumbersContinued"/>
            </w:pPr>
            <w:r>
              <w:t xml:space="preserve">Select </w:t>
            </w:r>
            <w:r>
              <w:rPr>
                <w:b/>
              </w:rPr>
              <w:t>Unit History Report</w:t>
            </w:r>
            <w:r>
              <w:t>.</w:t>
            </w:r>
          </w:p>
        </w:tc>
        <w:tc>
          <w:tcPr>
            <w:tcW w:w="6120" w:type="dxa"/>
          </w:tcPr>
          <w:p w14:paraId="788E9BAA" w14:textId="77777777" w:rsidR="002A21AE" w:rsidRDefault="002A21AE">
            <w:pPr>
              <w:pStyle w:val="TableTextBullet"/>
            </w:pPr>
            <w:r>
              <w:t>Lists report names.</w:t>
            </w:r>
          </w:p>
          <w:p w14:paraId="11F6CD62" w14:textId="77777777" w:rsidR="002A21AE" w:rsidRDefault="002A21AE">
            <w:pPr>
              <w:pStyle w:val="TableTextBullet"/>
            </w:pPr>
            <w:r>
              <w:t>Allows the user to scan or enter a unit ID and product code.</w:t>
            </w:r>
          </w:p>
          <w:p w14:paraId="4431EF8F" w14:textId="77777777" w:rsidR="002A21AE" w:rsidRDefault="002A21AE" w:rsidP="009D2266">
            <w:pPr>
              <w:pStyle w:val="TableTextBullet"/>
              <w:numPr>
                <w:ilvl w:val="0"/>
                <w:numId w:val="10"/>
              </w:numPr>
              <w:tabs>
                <w:tab w:val="clear" w:pos="720"/>
                <w:tab w:val="num" w:pos="288"/>
              </w:tabs>
              <w:ind w:left="288" w:hanging="288"/>
            </w:pPr>
            <w:r>
              <w:t xml:space="preserve">Displays compilation criteria. </w:t>
            </w:r>
          </w:p>
        </w:tc>
      </w:tr>
      <w:tr w:rsidR="002A21AE" w14:paraId="06D2C6E4" w14:textId="77777777" w:rsidTr="00E35FC4">
        <w:trPr>
          <w:cantSplit/>
        </w:trPr>
        <w:tc>
          <w:tcPr>
            <w:tcW w:w="3240" w:type="dxa"/>
          </w:tcPr>
          <w:p w14:paraId="46E4A826" w14:textId="77777777" w:rsidR="002A21AE" w:rsidRDefault="002A21AE">
            <w:pPr>
              <w:pStyle w:val="TableTextNumbers"/>
            </w:pPr>
            <w:r>
              <w:lastRenderedPageBreak/>
              <w:t xml:space="preserve">Scan or enter the unit ID and product code, or click the </w:t>
            </w:r>
            <w:r w:rsidR="00A6373D" w:rsidRPr="00945BF5">
              <w:rPr>
                <w:b/>
              </w:rPr>
              <w:t>find</w:t>
            </w:r>
            <w:r>
              <w:rPr>
                <w:b/>
              </w:rPr>
              <w:t xml:space="preserve"> </w:t>
            </w:r>
            <w:r w:rsidRPr="00D1100E">
              <w:t>button</w:t>
            </w:r>
            <w:r>
              <w:t xml:space="preserve"> to search for and select a unit.</w:t>
            </w:r>
          </w:p>
        </w:tc>
        <w:tc>
          <w:tcPr>
            <w:tcW w:w="6120" w:type="dxa"/>
          </w:tcPr>
          <w:p w14:paraId="4D139CB6" w14:textId="77777777" w:rsidR="002A21AE" w:rsidRDefault="002A21AE">
            <w:pPr>
              <w:pStyle w:val="TableText"/>
            </w:pPr>
          </w:p>
          <w:p w14:paraId="046FC2F8" w14:textId="052E81E5" w:rsidR="002A21AE" w:rsidRDefault="002A21AE">
            <w:pPr>
              <w:pStyle w:val="TableText"/>
              <w:rPr>
                <w:b/>
                <w:bCs/>
                <w:szCs w:val="18"/>
              </w:rPr>
            </w:pPr>
            <w:r>
              <w:rPr>
                <w:b/>
                <w:bCs/>
                <w:szCs w:val="18"/>
              </w:rPr>
              <w:t>NOTES</w:t>
            </w:r>
          </w:p>
          <w:p w14:paraId="4E975732" w14:textId="77777777" w:rsidR="002A21AE" w:rsidRDefault="002A21AE">
            <w:pPr>
              <w:pStyle w:val="NotesText"/>
            </w:pPr>
          </w:p>
          <w:p w14:paraId="1EF8EE5C" w14:textId="77777777" w:rsidR="002A21AE" w:rsidRDefault="002A21AE">
            <w:pPr>
              <w:pStyle w:val="NotesText"/>
            </w:pPr>
            <w:r>
              <w:rPr>
                <w:rFonts w:cs="Arial"/>
                <w:vanish/>
              </w:rPr>
              <w:t xml:space="preserve">BR_85.01 </w:t>
            </w:r>
            <w:r>
              <w:t>The user may select any unit (active or inactive) in a division. VBECS marks the units so that the active ones are distinct from the inactive ones.</w:t>
            </w:r>
          </w:p>
          <w:p w14:paraId="4EDD070E" w14:textId="77777777" w:rsidR="005104F5" w:rsidRDefault="005104F5">
            <w:pPr>
              <w:pStyle w:val="NotesText"/>
            </w:pPr>
          </w:p>
          <w:p w14:paraId="10647071" w14:textId="77777777" w:rsidR="005104F5" w:rsidRPr="00FF65BE" w:rsidRDefault="005104F5" w:rsidP="005104F5">
            <w:pPr>
              <w:pStyle w:val="NotesText"/>
            </w:pPr>
            <w:r w:rsidRPr="00FF65BE">
              <w:rPr>
                <w:vanish/>
              </w:rPr>
              <w:t xml:space="preserve">BR_1.34 </w:t>
            </w:r>
            <w:r w:rsidRPr="00FF65BE">
              <w:t xml:space="preserve">When processing an Autologous unit, the user must indicate the testing status of that unit. </w:t>
            </w:r>
          </w:p>
          <w:p w14:paraId="783A560C" w14:textId="77777777" w:rsidR="005104F5" w:rsidRPr="00FF65BE" w:rsidRDefault="005104F5" w:rsidP="005104F5">
            <w:pPr>
              <w:pStyle w:val="NotesText"/>
            </w:pPr>
            <w:r w:rsidRPr="00FF65BE">
              <w:t>There are three valid choices:</w:t>
            </w:r>
          </w:p>
          <w:p w14:paraId="7103F0A2" w14:textId="77777777" w:rsidR="005104F5" w:rsidRPr="00FF65BE" w:rsidRDefault="005104F5" w:rsidP="005104F5">
            <w:pPr>
              <w:pStyle w:val="NotesText"/>
            </w:pPr>
            <w:r w:rsidRPr="00FF65BE">
              <w:t>NEG - Unit fully tested and negative for all disease markers</w:t>
            </w:r>
          </w:p>
          <w:p w14:paraId="3F3374CE" w14:textId="77777777" w:rsidR="005104F5" w:rsidRPr="00FF65BE" w:rsidRDefault="005104F5" w:rsidP="005104F5">
            <w:pPr>
              <w:pStyle w:val="NotesText"/>
            </w:pPr>
            <w:r w:rsidRPr="00FF65BE">
              <w:t xml:space="preserve">POS - Unit tested and positive for one or more disease markers, Biohazard </w:t>
            </w:r>
          </w:p>
          <w:p w14:paraId="3414E9B7" w14:textId="77777777" w:rsidR="005104F5" w:rsidRDefault="005104F5" w:rsidP="005104F5">
            <w:pPr>
              <w:pStyle w:val="NotesText"/>
            </w:pPr>
            <w:r>
              <w:t>NFT - Unit not fully tested for one or more disease markers, Biohazard</w:t>
            </w:r>
          </w:p>
          <w:p w14:paraId="2156D405" w14:textId="77777777" w:rsidR="005104F5" w:rsidRDefault="005104F5" w:rsidP="005104F5">
            <w:pPr>
              <w:pStyle w:val="NotesText"/>
            </w:pPr>
          </w:p>
          <w:p w14:paraId="1B1082AF" w14:textId="77777777" w:rsidR="005104F5" w:rsidRDefault="005104F5" w:rsidP="005104F5">
            <w:pPr>
              <w:pStyle w:val="NotesText"/>
              <w:rPr>
                <w:rFonts w:cs="Arial"/>
                <w:szCs w:val="18"/>
              </w:rPr>
            </w:pPr>
            <w:r w:rsidRPr="00894624">
              <w:rPr>
                <w:rFonts w:cs="Arial"/>
                <w:vanish/>
                <w:szCs w:val="18"/>
              </w:rPr>
              <w:t xml:space="preserve">BR_73.38 </w:t>
            </w:r>
            <w:r>
              <w:rPr>
                <w:rFonts w:cs="Arial"/>
                <w:szCs w:val="18"/>
              </w:rPr>
              <w:t xml:space="preserve">When the component order is for PLATELETS or OTHER the units with = &gt; 2 mL of RBC contamination must be presented </w:t>
            </w:r>
            <w:r w:rsidRPr="005722FA">
              <w:rPr>
                <w:rFonts w:cs="Arial"/>
                <w:szCs w:val="18"/>
              </w:rPr>
              <w:t>and checke</w:t>
            </w:r>
            <w:r>
              <w:rPr>
                <w:rFonts w:cs="Arial"/>
                <w:szCs w:val="18"/>
              </w:rPr>
              <w:t>d for compatibility during Issue Blood Component and will display before products with less than (&lt; ) 2 mL of RBC contamination.</w:t>
            </w:r>
          </w:p>
          <w:p w14:paraId="63723642" w14:textId="77777777" w:rsidR="005104F5" w:rsidRDefault="005104F5" w:rsidP="005104F5">
            <w:pPr>
              <w:pStyle w:val="NotesText"/>
              <w:rPr>
                <w:rFonts w:cs="Arial"/>
                <w:szCs w:val="18"/>
              </w:rPr>
            </w:pPr>
          </w:p>
          <w:p w14:paraId="2F987525" w14:textId="77777777" w:rsidR="005104F5" w:rsidRDefault="005104F5" w:rsidP="005104F5">
            <w:pPr>
              <w:pStyle w:val="NotesText"/>
            </w:pPr>
            <w:r>
              <w:rPr>
                <w:rFonts w:cs="Arial"/>
                <w:szCs w:val="18"/>
              </w:rPr>
              <w:t>The system will present all available units when the Product Type is PLATELETS or OTHER non-plasma components that have &lt; 2 mL RBC contamination.</w:t>
            </w:r>
          </w:p>
        </w:tc>
      </w:tr>
      <w:tr w:rsidR="002A21AE" w14:paraId="2BC06499" w14:textId="77777777">
        <w:tc>
          <w:tcPr>
            <w:tcW w:w="3240" w:type="dxa"/>
          </w:tcPr>
          <w:p w14:paraId="5F24C004" w14:textId="77777777" w:rsidR="002A21AE" w:rsidRDefault="002A21AE">
            <w:pPr>
              <w:pStyle w:val="TableTextNumbers"/>
            </w:pPr>
            <w:r>
              <w:t xml:space="preserve">In the </w:t>
            </w:r>
            <w:r w:rsidRPr="00B46EEA">
              <w:rPr>
                <w:b/>
              </w:rPr>
              <w:t>Include Report Sections</w:t>
            </w:r>
            <w:r>
              <w:t xml:space="preserve"> area, click one or more check boxes to select report sections.</w:t>
            </w:r>
          </w:p>
        </w:tc>
        <w:tc>
          <w:tcPr>
            <w:tcW w:w="6120" w:type="dxa"/>
          </w:tcPr>
          <w:p w14:paraId="1FE73338" w14:textId="77777777" w:rsidR="002A21AE" w:rsidRDefault="002A21AE">
            <w:pPr>
              <w:pStyle w:val="TableTextBullet"/>
            </w:pPr>
            <w:r>
              <w:rPr>
                <w:rFonts w:cs="Arial"/>
                <w:vanish/>
              </w:rPr>
              <w:t xml:space="preserve">BR_85.02 </w:t>
            </w:r>
            <w:r>
              <w:t>Displays the unit report section types for selection:</w:t>
            </w:r>
          </w:p>
          <w:p w14:paraId="03A4B60D" w14:textId="77777777" w:rsidR="00753E10" w:rsidRDefault="00753E10" w:rsidP="00100276">
            <w:pPr>
              <w:pStyle w:val="TableTextBullet1"/>
            </w:pPr>
            <w:r>
              <w:t>Incoming Shipment</w:t>
            </w:r>
          </w:p>
          <w:p w14:paraId="60E8C7DE" w14:textId="77777777" w:rsidR="00753E10" w:rsidRDefault="00753E10" w:rsidP="00AC5D7B">
            <w:pPr>
              <w:pStyle w:val="TableTextBullet1"/>
            </w:pPr>
            <w:r>
              <w:t>Outgoing Shipment</w:t>
            </w:r>
          </w:p>
          <w:p w14:paraId="5D4883DC" w14:textId="77777777" w:rsidR="00753E10" w:rsidRDefault="00753E10" w:rsidP="00AC5D7B">
            <w:pPr>
              <w:pStyle w:val="TableTextBullet1"/>
            </w:pPr>
            <w:r>
              <w:t>Unit Quarantine Information</w:t>
            </w:r>
          </w:p>
          <w:p w14:paraId="41F7848F" w14:textId="77777777" w:rsidR="00753E10" w:rsidRDefault="00753E10" w:rsidP="00AC5D7B">
            <w:pPr>
              <w:pStyle w:val="TableTextBullet1"/>
            </w:pPr>
            <w:r>
              <w:t>Unit Financials</w:t>
            </w:r>
          </w:p>
          <w:p w14:paraId="4FA54288" w14:textId="77777777" w:rsidR="00753E10" w:rsidRDefault="00753E10" w:rsidP="00AC5D7B">
            <w:pPr>
              <w:pStyle w:val="TableTextBullet1"/>
            </w:pPr>
            <w:r>
              <w:t>Patient Associations History</w:t>
            </w:r>
          </w:p>
          <w:p w14:paraId="11F63A6B" w14:textId="77777777" w:rsidR="009D4082" w:rsidRDefault="009D4082" w:rsidP="00AC5D7B">
            <w:pPr>
              <w:pStyle w:val="TableTextBullet1"/>
            </w:pPr>
            <w:r>
              <w:t>Restricted Patient</w:t>
            </w:r>
          </w:p>
          <w:p w14:paraId="2E2BDAA3" w14:textId="77777777" w:rsidR="00753E10" w:rsidRDefault="00753E10" w:rsidP="00AC5D7B">
            <w:pPr>
              <w:pStyle w:val="TableTextBullet1"/>
            </w:pPr>
            <w:r>
              <w:t>Issue Information</w:t>
            </w:r>
          </w:p>
          <w:p w14:paraId="636F68CB" w14:textId="77777777" w:rsidR="00753E10" w:rsidRDefault="00753E10" w:rsidP="00AC5D7B">
            <w:pPr>
              <w:pStyle w:val="TableTextBullet1"/>
            </w:pPr>
            <w:r>
              <w:t>Testing</w:t>
            </w:r>
          </w:p>
          <w:p w14:paraId="44141BD2" w14:textId="77777777" w:rsidR="009D4082" w:rsidRDefault="009D4082" w:rsidP="00AC5D7B">
            <w:pPr>
              <w:pStyle w:val="TableTextBullet1"/>
            </w:pPr>
            <w:r>
              <w:t>Antigen Typing</w:t>
            </w:r>
          </w:p>
          <w:p w14:paraId="527C2C97" w14:textId="77777777" w:rsidR="00753E10" w:rsidRDefault="00753E10" w:rsidP="00AC5D7B">
            <w:pPr>
              <w:pStyle w:val="TableTextBullet1"/>
            </w:pPr>
            <w:r>
              <w:t>Crossmatch</w:t>
            </w:r>
          </w:p>
          <w:p w14:paraId="00C78CE1" w14:textId="77777777" w:rsidR="00753E10" w:rsidRDefault="00753E10" w:rsidP="00AC5D7B">
            <w:pPr>
              <w:pStyle w:val="TableTextBullet1"/>
            </w:pPr>
            <w:r>
              <w:t>Modification</w:t>
            </w:r>
          </w:p>
          <w:p w14:paraId="0274360F" w14:textId="77777777" w:rsidR="00753E10" w:rsidRDefault="00753E10" w:rsidP="00AC5D7B">
            <w:pPr>
              <w:pStyle w:val="TableTextBullet1"/>
            </w:pPr>
            <w:r>
              <w:t>Transfused To</w:t>
            </w:r>
          </w:p>
          <w:p w14:paraId="3F4A9845" w14:textId="77777777" w:rsidR="00753E10" w:rsidRDefault="00753E10" w:rsidP="00AC5D7B">
            <w:pPr>
              <w:pStyle w:val="TableTextBullet1"/>
            </w:pPr>
            <w:r>
              <w:t>Exception Report</w:t>
            </w:r>
          </w:p>
        </w:tc>
      </w:tr>
      <w:tr w:rsidR="002A21AE" w14:paraId="208BD89B" w14:textId="77777777" w:rsidTr="00305B16">
        <w:trPr>
          <w:cantSplit/>
        </w:trPr>
        <w:tc>
          <w:tcPr>
            <w:tcW w:w="3240" w:type="dxa"/>
          </w:tcPr>
          <w:p w14:paraId="0EDFFE6D" w14:textId="77777777" w:rsidR="002A21AE" w:rsidRDefault="002A21AE">
            <w:pPr>
              <w:pStyle w:val="TableTextNumbers"/>
            </w:pPr>
            <w:r>
              <w:lastRenderedPageBreak/>
              <w:t xml:space="preserve">In the </w:t>
            </w:r>
            <w:r w:rsidRPr="009554A6">
              <w:t>Report Compilation</w:t>
            </w:r>
            <w:r>
              <w:t xml:space="preserve"> area, click the </w:t>
            </w:r>
            <w:r>
              <w:rPr>
                <w:b/>
              </w:rPr>
              <w:t xml:space="preserve">Create Report Now </w:t>
            </w:r>
            <w:r w:rsidRPr="00BF2E41">
              <w:t>radio button</w:t>
            </w:r>
            <w:r>
              <w:t xml:space="preserve">. Click </w:t>
            </w:r>
            <w:r>
              <w:rPr>
                <w:b/>
              </w:rPr>
              <w:t>OK</w:t>
            </w:r>
            <w:r>
              <w:t xml:space="preserve"> to view the report, or</w:t>
            </w:r>
          </w:p>
          <w:p w14:paraId="423061F5" w14:textId="77777777" w:rsidR="002A21AE" w:rsidRDefault="002A21AE">
            <w:pPr>
              <w:pStyle w:val="TableTextNumbersContinued"/>
              <w:rPr>
                <w:b/>
                <w:bCs/>
              </w:rPr>
            </w:pPr>
          </w:p>
          <w:p w14:paraId="552ABCFC" w14:textId="77777777" w:rsidR="002A21AE" w:rsidRDefault="002A21AE">
            <w:pPr>
              <w:pStyle w:val="TableTextNumbersContinued"/>
            </w:pPr>
            <w:r>
              <w:t xml:space="preserve">Click the </w:t>
            </w:r>
            <w:r>
              <w:rPr>
                <w:b/>
              </w:rPr>
              <w:t xml:space="preserve">Schedule Print Job </w:t>
            </w:r>
            <w:r w:rsidRPr="00BF2E41">
              <w:t>radio button</w:t>
            </w:r>
            <w:r>
              <w:t xml:space="preserve"> and </w:t>
            </w:r>
            <w:r>
              <w:rPr>
                <w:b/>
              </w:rPr>
              <w:t>OK</w:t>
            </w:r>
            <w:r>
              <w:t xml:space="preserve">, then enter or select a print date and printer name. Click </w:t>
            </w:r>
            <w:r>
              <w:rPr>
                <w:b/>
              </w:rPr>
              <w:t>OK</w:t>
            </w:r>
            <w:r>
              <w:t xml:space="preserve"> to view and print the report.</w:t>
            </w:r>
          </w:p>
        </w:tc>
        <w:tc>
          <w:tcPr>
            <w:tcW w:w="6120" w:type="dxa"/>
          </w:tcPr>
          <w:p w14:paraId="63A0E63D" w14:textId="77777777" w:rsidR="002A21AE" w:rsidRDefault="002A21AE">
            <w:pPr>
              <w:pStyle w:val="TableTextBullet"/>
            </w:pPr>
            <w:r>
              <w:rPr>
                <w:rFonts w:cs="Arial"/>
                <w:vanish/>
              </w:rPr>
              <w:t xml:space="preserve">BR_74.01 </w:t>
            </w:r>
            <w:r>
              <w:t>Compiles and displays the report for the user’s login division.</w:t>
            </w:r>
          </w:p>
          <w:p w14:paraId="2EAD9212" w14:textId="77777777" w:rsidR="002A21AE" w:rsidRDefault="002A21AE">
            <w:pPr>
              <w:pStyle w:val="TableText"/>
            </w:pPr>
          </w:p>
          <w:p w14:paraId="53C98332" w14:textId="6439F346" w:rsidR="002A21AE" w:rsidRDefault="002A21AE">
            <w:pPr>
              <w:pStyle w:val="TableText"/>
              <w:rPr>
                <w:b/>
                <w:bCs/>
                <w:szCs w:val="18"/>
              </w:rPr>
            </w:pPr>
            <w:r>
              <w:rPr>
                <w:b/>
                <w:bCs/>
                <w:szCs w:val="18"/>
              </w:rPr>
              <w:t>NOTES</w:t>
            </w:r>
          </w:p>
          <w:p w14:paraId="74BAFA04" w14:textId="77777777" w:rsidR="002A21AE" w:rsidRDefault="002A21AE" w:rsidP="00AD6A88">
            <w:pPr>
              <w:pStyle w:val="NotesText"/>
            </w:pPr>
          </w:p>
          <w:p w14:paraId="44165806" w14:textId="77777777" w:rsidR="002A21AE" w:rsidRDefault="002A21AE">
            <w:pPr>
              <w:pStyle w:val="NotesText"/>
            </w:pPr>
            <w:r>
              <w:rPr>
                <w:rFonts w:cs="Arial"/>
                <w:vanish/>
              </w:rPr>
              <w:t xml:space="preserve">BR_85.03 </w:t>
            </w:r>
            <w:r>
              <w:t>The page header includes the standard VBECS header, the unit ID, product, donation type, expiration date, restricted for patient, status, ABO/Rh, division, product long name, and user.</w:t>
            </w:r>
          </w:p>
          <w:p w14:paraId="283BBFAA" w14:textId="77777777" w:rsidR="002A21AE" w:rsidRDefault="002A21AE">
            <w:pPr>
              <w:pStyle w:val="NotesText"/>
            </w:pPr>
          </w:p>
          <w:p w14:paraId="17349C4D" w14:textId="77777777" w:rsidR="002A21AE" w:rsidRDefault="002A21AE">
            <w:pPr>
              <w:pStyle w:val="NotesText"/>
            </w:pPr>
            <w:r>
              <w:rPr>
                <w:rFonts w:cs="Arial"/>
                <w:vanish/>
              </w:rPr>
              <w:t xml:space="preserve">BR_85.04 </w:t>
            </w:r>
            <w:r>
              <w:t xml:space="preserve">VBECS displays entries from only the related reports (Audit Trail and Exception Reports) specific to the selected unit or patient. </w:t>
            </w:r>
          </w:p>
          <w:p w14:paraId="585CEAA5" w14:textId="77777777" w:rsidR="002A21AE" w:rsidRDefault="002A21AE">
            <w:pPr>
              <w:pStyle w:val="NotesText"/>
            </w:pPr>
          </w:p>
          <w:p w14:paraId="7FA2B060" w14:textId="77777777" w:rsidR="002A21AE" w:rsidRDefault="002A21AE">
            <w:pPr>
              <w:pStyle w:val="NotesText"/>
            </w:pPr>
            <w:r>
              <w:t>Audit Trail and Exception Reports that record only unit override information are linked to the unit</w:t>
            </w:r>
            <w:r w:rsidR="00FA7E65">
              <w:t>’</w:t>
            </w:r>
            <w:r>
              <w:t xml:space="preserve">s </w:t>
            </w:r>
            <w:r w:rsidR="0051757B">
              <w:t>historic</w:t>
            </w:r>
            <w:r>
              <w:t xml:space="preserve"> record. Those that record only patient override information are linked to the patient</w:t>
            </w:r>
            <w:r w:rsidR="00FA7E65">
              <w:t>’</w:t>
            </w:r>
            <w:r>
              <w:t xml:space="preserve">s </w:t>
            </w:r>
            <w:r w:rsidR="0051757B">
              <w:t>historic</w:t>
            </w:r>
            <w:r>
              <w:t xml:space="preserve"> record. Those that record both are accessible in unit and patient </w:t>
            </w:r>
            <w:r w:rsidR="0051757B">
              <w:t>historic</w:t>
            </w:r>
            <w:r>
              <w:t xml:space="preserve"> records.</w:t>
            </w:r>
          </w:p>
          <w:p w14:paraId="1F555D6B" w14:textId="77777777" w:rsidR="002A21AE" w:rsidRDefault="002A21AE">
            <w:pPr>
              <w:pStyle w:val="NotesText"/>
              <w:rPr>
                <w:rFonts w:eastAsia="Symbol" w:cs="Arial"/>
                <w:sz w:val="20"/>
              </w:rPr>
            </w:pPr>
          </w:p>
          <w:p w14:paraId="28EDA62B" w14:textId="2BC45C14" w:rsidR="002A21AE" w:rsidRDefault="002A21AE">
            <w:pPr>
              <w:pStyle w:val="NotesText"/>
            </w:pPr>
            <w:r>
              <w:t xml:space="preserve">See </w:t>
            </w:r>
            <w:r w:rsidR="00EE455E">
              <w:t xml:space="preserve">Appendix </w:t>
            </w:r>
            <w:r w:rsidR="00EE455E">
              <w:rPr>
                <w:noProof/>
              </w:rPr>
              <w:t>B</w:t>
            </w:r>
            <w:r>
              <w:t xml:space="preserve">: </w:t>
            </w:r>
            <w:r w:rsidR="00EE455E">
              <w:t xml:space="preserve">Table </w:t>
            </w:r>
            <w:r w:rsidR="00EE455E">
              <w:rPr>
                <w:noProof/>
              </w:rPr>
              <w:t>20</w:t>
            </w:r>
            <w:r w:rsidR="00EE455E">
              <w:t xml:space="preserve">: </w:t>
            </w:r>
            <w:r w:rsidR="00EE455E">
              <w:rPr>
                <w:vanish/>
              </w:rPr>
              <w:t xml:space="preserve">TT_77.01 </w:t>
            </w:r>
            <w:r w:rsidR="00EE455E">
              <w:t>Details in Audit Trail Report</w:t>
            </w:r>
            <w:r>
              <w:t xml:space="preserve"> and </w:t>
            </w:r>
            <w:r w:rsidR="00EE455E">
              <w:t xml:space="preserve">Table </w:t>
            </w:r>
            <w:r w:rsidR="00EE455E">
              <w:rPr>
                <w:noProof/>
              </w:rPr>
              <w:t>21</w:t>
            </w:r>
            <w:r w:rsidR="00EE455E">
              <w:t xml:space="preserve">: </w:t>
            </w:r>
            <w:r w:rsidR="00EE455E">
              <w:rPr>
                <w:vanish/>
              </w:rPr>
              <w:t xml:space="preserve">TT_82.01 </w:t>
            </w:r>
            <w:r w:rsidR="00EE455E">
              <w:t>Details in Exception Report</w:t>
            </w:r>
            <w:r>
              <w:t>.</w:t>
            </w:r>
          </w:p>
          <w:p w14:paraId="400C805C" w14:textId="77777777" w:rsidR="002A21AE" w:rsidRDefault="002A21AE">
            <w:pPr>
              <w:pStyle w:val="NotesText"/>
            </w:pPr>
          </w:p>
          <w:p w14:paraId="3AA520DD" w14:textId="77777777" w:rsidR="002A21AE" w:rsidRDefault="002A21AE">
            <w:pPr>
              <w:pStyle w:val="NotesText"/>
              <w:rPr>
                <w:rFonts w:eastAsia="Symbol" w:cs="Arial"/>
                <w:sz w:val="20"/>
              </w:rPr>
            </w:pPr>
            <w:r>
              <w:rPr>
                <w:rFonts w:cs="Arial"/>
                <w:vanish/>
              </w:rPr>
              <w:t xml:space="preserve">BR_85.05 </w:t>
            </w:r>
            <w:r>
              <w:t>The report displays the product long name.</w:t>
            </w:r>
          </w:p>
          <w:p w14:paraId="6BEA9726" w14:textId="77777777" w:rsidR="002A21AE" w:rsidRDefault="002A21AE">
            <w:pPr>
              <w:pStyle w:val="NotesText"/>
            </w:pPr>
          </w:p>
          <w:p w14:paraId="21B576FB" w14:textId="1252B904" w:rsidR="002A21AE" w:rsidRDefault="002A21AE">
            <w:pPr>
              <w:pStyle w:val="NotesText"/>
              <w:rPr>
                <w:rFonts w:eastAsia="Symbol" w:cs="Arial"/>
                <w:sz w:val="20"/>
              </w:rPr>
            </w:pPr>
            <w:r>
              <w:rPr>
                <w:rFonts w:cs="Arial"/>
                <w:vanish/>
              </w:rPr>
              <w:t xml:space="preserve">BR_85.08 </w:t>
            </w:r>
            <w:r>
              <w:t xml:space="preserve">The </w:t>
            </w:r>
            <w:r w:rsidR="00020B22">
              <w:t>report displays “CMV neg”,</w:t>
            </w:r>
            <w:r>
              <w:t xml:space="preserve"> “SC </w:t>
            </w:r>
            <w:r w:rsidR="006549B7">
              <w:t>neg” and</w:t>
            </w:r>
            <w:r w:rsidR="00452A6C">
              <w:t xml:space="preserve">/or </w:t>
            </w:r>
            <w:r w:rsidR="003723D4">
              <w:t xml:space="preserve">= </w:t>
            </w:r>
            <w:r w:rsidR="00452A6C">
              <w:t xml:space="preserve">&gt; </w:t>
            </w:r>
            <w:r w:rsidR="003723D4">
              <w:t>2</w:t>
            </w:r>
            <w:r w:rsidR="00452A6C">
              <w:t xml:space="preserve"> </w:t>
            </w:r>
            <w:r w:rsidR="003723D4">
              <w:t xml:space="preserve">mL RBC contamination </w:t>
            </w:r>
            <w:r w:rsidR="00B62C7E">
              <w:t xml:space="preserve">(which will display only for non-WB and non-RBC blood products) </w:t>
            </w:r>
            <w:r>
              <w:t>in the “Special Testing” column when a unit qualifies.</w:t>
            </w:r>
          </w:p>
          <w:p w14:paraId="49A23D7F" w14:textId="77777777" w:rsidR="002A21AE" w:rsidRDefault="002A21AE">
            <w:pPr>
              <w:pStyle w:val="NotesText"/>
            </w:pPr>
          </w:p>
          <w:p w14:paraId="701E0175" w14:textId="1E8EB06D" w:rsidR="002A21AE" w:rsidRDefault="002A21AE">
            <w:pPr>
              <w:pStyle w:val="NotesText"/>
            </w:pPr>
            <w:r>
              <w:rPr>
                <w:rFonts w:cs="Arial"/>
                <w:vanish/>
              </w:rPr>
              <w:t xml:space="preserve">BR_85.09 </w:t>
            </w:r>
            <w:r>
              <w:t>The report displays the unit’s quarantine indicator in the “Quarantined” column: “Yes” when quarantined, and “No”</w:t>
            </w:r>
            <w:r w:rsidR="00B446F5">
              <w:t xml:space="preserve"> if it was never</w:t>
            </w:r>
            <w:r>
              <w:t xml:space="preserve"> quarantine</w:t>
            </w:r>
            <w:r w:rsidR="00B446F5">
              <w:t>d</w:t>
            </w:r>
            <w:r>
              <w:t>.</w:t>
            </w:r>
          </w:p>
          <w:p w14:paraId="4A2ADAEB" w14:textId="77777777" w:rsidR="002A21AE" w:rsidRDefault="002A21AE">
            <w:pPr>
              <w:pStyle w:val="NotesText"/>
              <w:rPr>
                <w:rFonts w:eastAsia="Symbol" w:cs="Arial"/>
                <w:sz w:val="20"/>
              </w:rPr>
            </w:pPr>
          </w:p>
          <w:p w14:paraId="691D351F" w14:textId="6312F95F" w:rsidR="000566D6" w:rsidRDefault="002A21AE" w:rsidP="00AA2B2E">
            <w:pPr>
              <w:pStyle w:val="NotesText"/>
            </w:pPr>
            <w:r>
              <w:rPr>
                <w:rFonts w:cs="Arial"/>
                <w:vanish/>
              </w:rPr>
              <w:t xml:space="preserve">BR_85.10 </w:t>
            </w:r>
            <w:r>
              <w:t xml:space="preserve">The report displays the unit’s biohazardous indicator in the “Biohazard” column “Yes” when biohazardous, and “No” </w:t>
            </w:r>
            <w:r w:rsidR="00B446F5">
              <w:t>if it was never a biohazard.</w:t>
            </w:r>
          </w:p>
        </w:tc>
      </w:tr>
      <w:tr w:rsidR="00946DA2" w14:paraId="6AE4BE69" w14:textId="77777777">
        <w:tc>
          <w:tcPr>
            <w:tcW w:w="3240" w:type="dxa"/>
          </w:tcPr>
          <w:p w14:paraId="30016CD4" w14:textId="52EA3E5A" w:rsidR="00946DA2" w:rsidRDefault="00946DA2" w:rsidP="00946DA2">
            <w:pPr>
              <w:pStyle w:val="TableTextNumbers"/>
            </w:pPr>
            <w:r w:rsidRPr="0076371D">
              <w:t xml:space="preserve">Select </w:t>
            </w:r>
            <w:r w:rsidRPr="0076371D">
              <w:rPr>
                <w:b/>
              </w:rPr>
              <w:t xml:space="preserve">Print </w:t>
            </w:r>
            <w:r w:rsidRPr="0076371D">
              <w:t>to print the repor</w:t>
            </w:r>
            <w:r>
              <w:t>t</w:t>
            </w:r>
            <w:r w:rsidRPr="0076371D">
              <w:t xml:space="preserve">, </w:t>
            </w:r>
            <w:r w:rsidRPr="0076371D">
              <w:rPr>
                <w:b/>
              </w:rPr>
              <w:t>Export</w:t>
            </w:r>
            <w:r w:rsidRPr="0076371D">
              <w:t xml:space="preserve"> </w:t>
            </w:r>
            <w:r>
              <w:t xml:space="preserve">to export the report </w:t>
            </w:r>
            <w:r w:rsidRPr="0076371D">
              <w:rPr>
                <w:szCs w:val="18"/>
              </w:rPr>
              <w:t xml:space="preserve">(See </w:t>
            </w:r>
            <w:r w:rsidR="00EE455E" w:rsidRPr="00EE455E">
              <w:rPr>
                <w:szCs w:val="18"/>
              </w:rPr>
              <w:t>Report Export</w:t>
            </w:r>
            <w:r>
              <w:rPr>
                <w:szCs w:val="18"/>
              </w:rPr>
              <w:t xml:space="preserve"> section</w:t>
            </w:r>
            <w:r w:rsidRPr="0076371D">
              <w:rPr>
                <w:szCs w:val="18"/>
              </w:rPr>
              <w:t>)</w:t>
            </w:r>
            <w:r>
              <w:t xml:space="preserve">, </w:t>
            </w:r>
            <w:r>
              <w:rPr>
                <w:szCs w:val="18"/>
              </w:rPr>
              <w:t xml:space="preserve">or </w:t>
            </w:r>
            <w:r w:rsidRPr="0076371D">
              <w:t xml:space="preserve">click </w:t>
            </w:r>
            <w:r w:rsidRPr="0076371D">
              <w:rPr>
                <w:b/>
              </w:rPr>
              <w:t>Close</w:t>
            </w:r>
            <w:r w:rsidRPr="0076371D">
              <w:t xml:space="preserve"> to exit</w:t>
            </w:r>
            <w:r>
              <w:t xml:space="preserve"> without printing</w:t>
            </w:r>
            <w:r w:rsidR="004022EA">
              <w:rPr>
                <w:rStyle w:val="StyleTableTextNumbersWhite1Char"/>
              </w:rPr>
              <w:t>.</w:t>
            </w:r>
          </w:p>
        </w:tc>
        <w:tc>
          <w:tcPr>
            <w:tcW w:w="6120" w:type="dxa"/>
          </w:tcPr>
          <w:p w14:paraId="78C7865B" w14:textId="77777777" w:rsidR="00946DA2" w:rsidRDefault="00946DA2" w:rsidP="00946DA2">
            <w:pPr>
              <w:pStyle w:val="TableTextBullet"/>
            </w:pPr>
            <w:r>
              <w:t>If Print is selected, prints the report on the designated printer.</w:t>
            </w:r>
          </w:p>
          <w:p w14:paraId="197A4C52" w14:textId="77777777" w:rsidR="00946DA2" w:rsidRDefault="00946DA2" w:rsidP="00946DA2">
            <w:pPr>
              <w:pStyle w:val="TableTextBullet"/>
            </w:pPr>
            <w:r>
              <w:t>If Export is selected, exports the report to the designated file.</w:t>
            </w:r>
          </w:p>
          <w:p w14:paraId="41B8D589" w14:textId="03CEA88E" w:rsidR="00946DA2" w:rsidRDefault="00946DA2" w:rsidP="00946DA2">
            <w:pPr>
              <w:pStyle w:val="TableTextBullet"/>
            </w:pPr>
            <w:r>
              <w:t>If Close is selected, exits the report preview.</w:t>
            </w:r>
          </w:p>
        </w:tc>
      </w:tr>
    </w:tbl>
    <w:p w14:paraId="14798E4D" w14:textId="5E9AB2D6" w:rsidR="00823F23" w:rsidRPr="00BE47E0" w:rsidRDefault="00823F23" w:rsidP="00006995">
      <w:pPr>
        <w:pStyle w:val="Heading2"/>
      </w:pPr>
      <w:r w:rsidRPr="00BE47E0">
        <w:br w:type="page"/>
      </w:r>
    </w:p>
    <w:p w14:paraId="2253269F" w14:textId="77777777" w:rsidR="00823F23" w:rsidRDefault="00823F23" w:rsidP="00BE47E0">
      <w:pPr>
        <w:pStyle w:val="ListBullet"/>
        <w:numPr>
          <w:ilvl w:val="0"/>
          <w:numId w:val="0"/>
        </w:numPr>
        <w:ind w:left="648" w:hanging="360"/>
        <w:rPr>
          <w:rFonts w:ascii="Arial" w:hAnsi="Arial" w:cs="Arial"/>
          <w:b/>
          <w:bCs/>
          <w:kern w:val="32"/>
          <w:sz w:val="36"/>
          <w:szCs w:val="32"/>
        </w:rPr>
      </w:pPr>
    </w:p>
    <w:p w14:paraId="22971D09" w14:textId="3A4AAC65" w:rsidR="002A21AE" w:rsidRDefault="002A21AE" w:rsidP="00A04F10">
      <w:pPr>
        <w:pStyle w:val="Heading1"/>
      </w:pPr>
      <w:bookmarkStart w:id="657" w:name="_Toc203765964"/>
      <w:r>
        <w:t>References</w:t>
      </w:r>
      <w:bookmarkEnd w:id="657"/>
      <w:r>
        <w:fldChar w:fldCharType="begin"/>
      </w:r>
      <w:r>
        <w:instrText xml:space="preserve"> XE </w:instrText>
      </w:r>
      <w:r w:rsidR="00FA7E65">
        <w:instrText>“</w:instrText>
      </w:r>
      <w:r>
        <w:instrText>References</w:instrText>
      </w:r>
      <w:r w:rsidR="00FA7E65">
        <w:instrText>”</w:instrText>
      </w:r>
      <w:r>
        <w:instrText xml:space="preserve"> </w:instrText>
      </w:r>
      <w:r>
        <w:fldChar w:fldCharType="end"/>
      </w:r>
    </w:p>
    <w:p w14:paraId="1A41AB2D" w14:textId="77777777" w:rsidR="002A21AE" w:rsidRDefault="002A21AE">
      <w:pPr>
        <w:pStyle w:val="ListBullet"/>
        <w:rPr>
          <w:i/>
        </w:rPr>
      </w:pPr>
      <w:r>
        <w:t>Association for the Advancement of Medical Instrumentation, Arlington, Virginia.</w:t>
      </w:r>
      <w:r>
        <w:rPr>
          <w:i/>
        </w:rPr>
        <w:t xml:space="preserve"> The Quality System Compendium: GMP Requirements &amp; Industry Practice, </w:t>
      </w:r>
      <w:r>
        <w:t>1998.</w:t>
      </w:r>
    </w:p>
    <w:p w14:paraId="6450AD12" w14:textId="77777777" w:rsidR="002A21AE" w:rsidRPr="0026301E" w:rsidRDefault="002A21AE">
      <w:pPr>
        <w:pStyle w:val="ListBullet"/>
        <w:rPr>
          <w:i/>
        </w:rPr>
      </w:pPr>
      <w:r w:rsidRPr="0026301E">
        <w:t>Association for the Advancement of Medical Instrumentation.</w:t>
      </w:r>
      <w:r>
        <w:rPr>
          <w:i/>
        </w:rPr>
        <w:t xml:space="preserve"> </w:t>
      </w:r>
      <w:r w:rsidRPr="0026301E">
        <w:rPr>
          <w:i/>
        </w:rPr>
        <w:t>Medical device software—Software life cycle processes (ANSI/AAMI SW68:2001), 2001.</w:t>
      </w:r>
    </w:p>
    <w:p w14:paraId="060C6F92" w14:textId="77777777" w:rsidR="002A21AE" w:rsidRDefault="002A21AE">
      <w:pPr>
        <w:pStyle w:val="ListBullet"/>
        <w:rPr>
          <w:i/>
        </w:rPr>
      </w:pPr>
      <w:r w:rsidRPr="0026301E">
        <w:t>Brandt, Gwyneth. ClinicalTrialJobs.com. “Preparing for FDA Inspections.” July 18, 2002.</w:t>
      </w:r>
    </w:p>
    <w:p w14:paraId="2620FA53" w14:textId="77777777" w:rsidR="002A21AE" w:rsidRDefault="002A21AE">
      <w:pPr>
        <w:pStyle w:val="ListBullet"/>
      </w:pPr>
      <w:r>
        <w:rPr>
          <w:i/>
        </w:rPr>
        <w:t>Clinical Laboratory Technical Procedure Manuals</w:t>
      </w:r>
      <w:r>
        <w:rPr>
          <w:i/>
          <w:iCs/>
        </w:rPr>
        <w:t>; Approved Guideline—Fourth Edition</w:t>
      </w:r>
      <w:r>
        <w:t>, NCCLS document GP2-A4 (Wayne, PA: National Committee for Clinical Laboratory Standards, 2002).</w:t>
      </w:r>
    </w:p>
    <w:p w14:paraId="5A30042A" w14:textId="77777777" w:rsidR="002A21AE" w:rsidRDefault="002A21AE">
      <w:pPr>
        <w:pStyle w:val="ListBullet"/>
        <w:rPr>
          <w:i/>
        </w:rPr>
      </w:pPr>
      <w:r w:rsidRPr="0026301E">
        <w:t>CMMI Product Development Team, Carnegie Mellon Software Engineering Institute.</w:t>
      </w:r>
      <w:r>
        <w:rPr>
          <w:i/>
        </w:rPr>
        <w:t xml:space="preserve"> </w:t>
      </w:r>
      <w:r w:rsidRPr="0026301E">
        <w:rPr>
          <w:i/>
        </w:rPr>
        <w:t>CMMI</w:t>
      </w:r>
      <w:r w:rsidRPr="0026301E">
        <w:rPr>
          <w:i/>
          <w:vertAlign w:val="superscript"/>
        </w:rPr>
        <w:t>SM</w:t>
      </w:r>
      <w:r w:rsidRPr="0026301E">
        <w:rPr>
          <w:i/>
        </w:rPr>
        <w:t xml:space="preserve">-SE/SW, V1.0, Capability Maturity Model®—Integrated for Systems Engineering/Software Engineering, Version 1.0 </w:t>
      </w:r>
      <w:r w:rsidRPr="0026301E">
        <w:t>(Pittsburgh, PA: Carnegie Mellon Software Engineering Institute, August 2000).</w:t>
      </w:r>
    </w:p>
    <w:p w14:paraId="7F1C9A11" w14:textId="77777777" w:rsidR="002A21AE" w:rsidRDefault="002A21AE">
      <w:pPr>
        <w:pStyle w:val="ListBullet"/>
      </w:pPr>
      <w:r w:rsidRPr="0026301E">
        <w:t xml:space="preserve">Commission on Laboratory Accreditation, Laboratory Accreditation Program. </w:t>
      </w:r>
      <w:r>
        <w:rPr>
          <w:i/>
        </w:rPr>
        <w:t>Laboratory General Checklist</w:t>
      </w:r>
      <w:r>
        <w:t xml:space="preserve"> (Northfield, IL: </w:t>
      </w:r>
      <w:bookmarkStart w:id="658" w:name="OLE_LINK15"/>
      <w:bookmarkStart w:id="659" w:name="OLE_LINK16"/>
      <w:r>
        <w:t>College of American Pathologists</w:t>
      </w:r>
      <w:bookmarkEnd w:id="658"/>
      <w:bookmarkEnd w:id="659"/>
      <w:r w:rsidR="00680E9A">
        <w:t>, 201</w:t>
      </w:r>
      <w:r w:rsidR="00BE3412">
        <w:t>7</w:t>
      </w:r>
      <w:r>
        <w:t>).</w:t>
      </w:r>
    </w:p>
    <w:p w14:paraId="074F8414" w14:textId="77777777" w:rsidR="002A21AE" w:rsidRDefault="002A21AE">
      <w:pPr>
        <w:pStyle w:val="ListBullet"/>
      </w:pPr>
      <w:r w:rsidRPr="0026301E">
        <w:t xml:space="preserve">Commission on Laboratory Accreditation, Laboratory Accreditation Program. </w:t>
      </w:r>
      <w:r>
        <w:rPr>
          <w:i/>
        </w:rPr>
        <w:t>Transfusion Medicine Checklist</w:t>
      </w:r>
      <w:r>
        <w:t xml:space="preserve"> (Northfield, IL: Colle</w:t>
      </w:r>
      <w:r w:rsidR="00680E9A">
        <w:t>ge of American Pathologists, 201</w:t>
      </w:r>
      <w:r w:rsidR="00BE3412">
        <w:t>7</w:t>
      </w:r>
      <w:r>
        <w:t>).</w:t>
      </w:r>
    </w:p>
    <w:p w14:paraId="108A9729" w14:textId="77777777" w:rsidR="002A21AE" w:rsidRDefault="002A21AE">
      <w:pPr>
        <w:pStyle w:val="ListBullet"/>
        <w:rPr>
          <w:i/>
        </w:rPr>
      </w:pPr>
      <w:r>
        <w:t xml:space="preserve">Joint Commission on Accreditation of Healthcare Organizations. </w:t>
      </w:r>
      <w:r>
        <w:rPr>
          <w:i/>
        </w:rPr>
        <w:t>Comprehensive Accreditation Manual for Hospitals: The Official Handbook (CAMH)</w:t>
      </w:r>
      <w:r>
        <w:t>. (Oakbrook Terrace, Illinois: Joint Commission on Accreditation o</w:t>
      </w:r>
      <w:r w:rsidR="00680E9A">
        <w:t>f Healthcare Organizations, 2013</w:t>
      </w:r>
      <w:r>
        <w:t>).</w:t>
      </w:r>
    </w:p>
    <w:p w14:paraId="2FD5B399" w14:textId="77777777" w:rsidR="00C10667" w:rsidRDefault="00C10667">
      <w:pPr>
        <w:pStyle w:val="ListBullet"/>
      </w:pPr>
      <w:r>
        <w:t xml:space="preserve">Department of Veterans Affairs, </w:t>
      </w:r>
      <w:r w:rsidRPr="005F521F">
        <w:t>Software Engineering Process Group</w:t>
      </w:r>
      <w:r>
        <w:t xml:space="preserve"> (SEPG) and </w:t>
      </w:r>
      <w:r w:rsidRPr="005F521F">
        <w:t>Software Quality Assurance (SQA)</w:t>
      </w:r>
      <w:r>
        <w:t xml:space="preserve">, </w:t>
      </w:r>
      <w:r w:rsidRPr="00FF500D">
        <w:rPr>
          <w:i/>
        </w:rPr>
        <w:t>National Documentation Standards</w:t>
      </w:r>
      <w:r>
        <w:t xml:space="preserve"> (</w:t>
      </w:r>
      <w:r w:rsidR="00C827F9">
        <w:t>October</w:t>
      </w:r>
      <w:r>
        <w:t xml:space="preserve"> 2005).</w:t>
      </w:r>
    </w:p>
    <w:p w14:paraId="3457B4CC" w14:textId="77777777" w:rsidR="00C10667" w:rsidRPr="001C6432" w:rsidRDefault="00C10667">
      <w:pPr>
        <w:pStyle w:val="ListBullet"/>
        <w:rPr>
          <w:i/>
        </w:rPr>
      </w:pPr>
      <w:r>
        <w:t xml:space="preserve">Department of Veterans Affairs, Veterans Health Administration. </w:t>
      </w:r>
      <w:r>
        <w:rPr>
          <w:i/>
        </w:rPr>
        <w:t xml:space="preserve">VHA Directive 99-053, </w:t>
      </w:r>
      <w:r w:rsidR="00DD0D86">
        <w:rPr>
          <w:i/>
        </w:rPr>
        <w:t>VBECS</w:t>
      </w:r>
      <w:r>
        <w:rPr>
          <w:i/>
        </w:rPr>
        <w:t xml:space="preserve"> Blood Bank Software</w:t>
      </w:r>
      <w:r w:rsidR="00DD0D86">
        <w:t>, November 8, 2007</w:t>
      </w:r>
      <w:r>
        <w:t>.</w:t>
      </w:r>
    </w:p>
    <w:p w14:paraId="23BFC323" w14:textId="77777777" w:rsidR="002A21AE" w:rsidRDefault="002A21AE">
      <w:pPr>
        <w:pStyle w:val="ListBullet"/>
        <w:rPr>
          <w:i/>
        </w:rPr>
      </w:pPr>
      <w:r>
        <w:t xml:space="preserve">Galloway, Dianne. </w:t>
      </w:r>
      <w:r>
        <w:rPr>
          <w:i/>
        </w:rPr>
        <w:t>Mapping Work Processes</w:t>
      </w:r>
      <w:r>
        <w:t>. (Milwaukee, Wisconsin: ASQ Quality Press, 1994).</w:t>
      </w:r>
    </w:p>
    <w:p w14:paraId="0EADE511" w14:textId="77777777" w:rsidR="002A21AE" w:rsidRDefault="002A21AE">
      <w:pPr>
        <w:pStyle w:val="ListBullet"/>
        <w:rPr>
          <w:i/>
        </w:rPr>
      </w:pPr>
      <w:r>
        <w:rPr>
          <w:i/>
        </w:rPr>
        <w:t>General Principles of Software Validation; Final Guidance for Industry and FDA Staff</w:t>
      </w:r>
      <w:r>
        <w:t xml:space="preserve"> (U.S. Department Of Health and Human Services, Food and Drug Administration, Center for Devices and Radiological Health, Center for Biologics Evaluation and Research, January 11, 2002).</w:t>
      </w:r>
    </w:p>
    <w:p w14:paraId="40397E5D" w14:textId="77777777" w:rsidR="002A21AE" w:rsidRDefault="002A21AE">
      <w:pPr>
        <w:pStyle w:val="ListBullet"/>
      </w:pPr>
      <w:r>
        <w:rPr>
          <w:i/>
        </w:rPr>
        <w:t>Guidance for Industry and FDA Premarket and Design Control Reviewers, Medical Device Use-Safety: Incorporating Human Factors Engineering into Risk Management</w:t>
      </w:r>
      <w:r>
        <w:t xml:space="preserve"> (U.S. Department of Health and Human Services, Food and Drug Administration, Center for Devices and Radiological Health, Division of Device User Programs and Systems Analysis, Office of Health and Industry Programs, July 18, 2000).</w:t>
      </w:r>
    </w:p>
    <w:p w14:paraId="78B190AC" w14:textId="77777777" w:rsidR="002A21AE" w:rsidRPr="0000295A" w:rsidRDefault="002A21AE">
      <w:pPr>
        <w:pStyle w:val="ListBullet"/>
        <w:rPr>
          <w:i/>
        </w:rPr>
      </w:pPr>
      <w:r>
        <w:rPr>
          <w:i/>
        </w:rPr>
        <w:t>Guidance for Industry, FDA Reviewers and Compliance on Off-The-Shelf Software Use in Medical Devices</w:t>
      </w:r>
      <w:r>
        <w:t xml:space="preserve"> (U.S. Department Of Health And Human Services, Food and Drug Administration, Center for Devices and Radiological Health, Office of Device Evaluation, September 9, 1999).</w:t>
      </w:r>
    </w:p>
    <w:p w14:paraId="4F07FCFC" w14:textId="77777777" w:rsidR="0000295A" w:rsidRDefault="0000295A">
      <w:pPr>
        <w:pStyle w:val="ListBullet"/>
        <w:rPr>
          <w:i/>
        </w:rPr>
      </w:pPr>
      <w:r w:rsidRPr="00257AD6">
        <w:rPr>
          <w:i/>
        </w:rPr>
        <w:t xml:space="preserve">Guidelines for </w:t>
      </w:r>
      <w:r w:rsidRPr="00257AD6">
        <w:rPr>
          <w:bCs/>
          <w:i/>
        </w:rPr>
        <w:t>Implementing the Electronic Crossmatch</w:t>
      </w:r>
      <w:r w:rsidRPr="0026301E">
        <w:t xml:space="preserve"> (Bethesda, MD: American Association of Blood Banks, 200</w:t>
      </w:r>
      <w:r>
        <w:t>3</w:t>
      </w:r>
      <w:r w:rsidRPr="0026301E">
        <w:t>).</w:t>
      </w:r>
    </w:p>
    <w:p w14:paraId="00813BF9" w14:textId="77777777" w:rsidR="002A21AE" w:rsidRPr="0026301E" w:rsidRDefault="002A21AE">
      <w:pPr>
        <w:pStyle w:val="ListBullet"/>
        <w:rPr>
          <w:i/>
        </w:rPr>
      </w:pPr>
      <w:r w:rsidRPr="0026301E">
        <w:rPr>
          <w:i/>
        </w:rPr>
        <w:t xml:space="preserve">Guidelines for the Labeling of Specimens for Compatibility Testing. </w:t>
      </w:r>
      <w:r w:rsidRPr="0026301E">
        <w:t>Ed. James P. AuBuchon, MD. (Bethesda, MD: American Association of Blood Banks, 2002).</w:t>
      </w:r>
    </w:p>
    <w:p w14:paraId="78E66C90" w14:textId="77777777" w:rsidR="002A21AE" w:rsidRDefault="002A21AE">
      <w:pPr>
        <w:pStyle w:val="ListBullet"/>
        <w:rPr>
          <w:i/>
        </w:rPr>
      </w:pPr>
      <w:r>
        <w:rPr>
          <w:i/>
          <w:iCs/>
        </w:rPr>
        <w:t>Guidelines for the Laboratory Evaluation of Transfusion Reactions</w:t>
      </w:r>
      <w:r>
        <w:t xml:space="preserve"> (Bethesda, MD: American Association of Blood Banks, 2003).</w:t>
      </w:r>
    </w:p>
    <w:p w14:paraId="3ADFB77E" w14:textId="77777777" w:rsidR="002A21AE" w:rsidRDefault="002A21AE">
      <w:pPr>
        <w:pStyle w:val="ListBullet"/>
      </w:pPr>
      <w:r>
        <w:rPr>
          <w:i/>
        </w:rPr>
        <w:t>IEEE Standard for Software Configuration Management Plans</w:t>
      </w:r>
      <w:r>
        <w:rPr>
          <w:iCs/>
        </w:rPr>
        <w:t xml:space="preserve"> (IEEE Std 828-1998) (New York: Institute of Electrical and Electronic Engineers, Inc., 1998).</w:t>
      </w:r>
    </w:p>
    <w:p w14:paraId="338F206F" w14:textId="77777777" w:rsidR="002A21AE" w:rsidRDefault="002A21AE">
      <w:pPr>
        <w:pStyle w:val="ListBullet"/>
      </w:pPr>
      <w:r>
        <w:rPr>
          <w:i/>
        </w:rPr>
        <w:lastRenderedPageBreak/>
        <w:t>ISBT 128 Bar Code Symbology and Application Specification for Labeling of Whole Blood and Blood Components,</w:t>
      </w:r>
      <w:r>
        <w:t xml:space="preserve"> Version Number 1.4.0 [York, PA: International Council for Commonality in Blood Banking Automation (ICCBBA), June 2001].</w:t>
      </w:r>
    </w:p>
    <w:p w14:paraId="14DC1CFE" w14:textId="77777777" w:rsidR="002A21AE" w:rsidRDefault="002A21AE">
      <w:pPr>
        <w:pStyle w:val="ListBullet"/>
        <w:rPr>
          <w:i/>
        </w:rPr>
      </w:pPr>
      <w:r>
        <w:t xml:space="preserve">Jacobson, Ivar, Grady Booch, and James Rumbaugh. </w:t>
      </w:r>
      <w:r>
        <w:rPr>
          <w:i/>
        </w:rPr>
        <w:t>The Unified Software Development Process</w:t>
      </w:r>
      <w:r>
        <w:t xml:space="preserve"> (Boston: Addison-Wesley, 1999).</w:t>
      </w:r>
    </w:p>
    <w:p w14:paraId="5B50E781" w14:textId="77777777" w:rsidR="002A21AE" w:rsidRDefault="002A21AE">
      <w:pPr>
        <w:pStyle w:val="ListBullet"/>
        <w:rPr>
          <w:i/>
        </w:rPr>
      </w:pPr>
      <w:r>
        <w:rPr>
          <w:i/>
        </w:rPr>
        <w:t>Medical devices—Application of risk management to medical devices</w:t>
      </w:r>
      <w:r>
        <w:t xml:space="preserve"> (ANSI/AAMI/ISO 14971:2000), 2001. Association for the Advancement of Medical Instrumentation.</w:t>
      </w:r>
    </w:p>
    <w:p w14:paraId="49CE38A6" w14:textId="77777777" w:rsidR="002A21AE" w:rsidRDefault="002A21AE">
      <w:pPr>
        <w:pStyle w:val="ListBullet"/>
      </w:pPr>
      <w:r>
        <w:t xml:space="preserve">Nevalainen, D. E. and M. F. Callery. </w:t>
      </w:r>
      <w:r>
        <w:rPr>
          <w:i/>
        </w:rPr>
        <w:t>Applying Self-Assessment and Process Analysis to Create a Quality System</w:t>
      </w:r>
      <w:r>
        <w:t xml:space="preserve"> (Basel, Switzerland: S. Karger Publishing, 1995).</w:t>
      </w:r>
    </w:p>
    <w:p w14:paraId="07600AA8" w14:textId="77777777" w:rsidR="00994DBA" w:rsidRDefault="00994DBA">
      <w:pPr>
        <w:pStyle w:val="ListBullet"/>
      </w:pPr>
      <w:r>
        <w:t xml:space="preserve">Nozick, Robin F. “Demystifying the Information Systems Validation Process,” </w:t>
      </w:r>
      <w:r w:rsidRPr="008D14C3">
        <w:rPr>
          <w:i/>
        </w:rPr>
        <w:t>AABB News</w:t>
      </w:r>
      <w:r>
        <w:t xml:space="preserve"> 7:6 (</w:t>
      </w:r>
      <w:r w:rsidR="008D14C3">
        <w:t xml:space="preserve">2005): </w:t>
      </w:r>
      <w:r>
        <w:t>50–51.</w:t>
      </w:r>
    </w:p>
    <w:p w14:paraId="0A85740D" w14:textId="77777777" w:rsidR="002A21AE" w:rsidRPr="00BA2FFC" w:rsidRDefault="002A21AE">
      <w:pPr>
        <w:pStyle w:val="ListBullet"/>
      </w:pPr>
      <w:r w:rsidRPr="00BA2FFC">
        <w:rPr>
          <w:i/>
        </w:rPr>
        <w:t>Object-Oriented Analysis and Design Using the UML: Student Manual, Book 1, Version 4.2</w:t>
      </w:r>
      <w:r w:rsidRPr="00BA2FFC">
        <w:t xml:space="preserve"> (Cupertino, CA: Rational Corporation, 1999).</w:t>
      </w:r>
    </w:p>
    <w:p w14:paraId="3CC1BFDC" w14:textId="77777777" w:rsidR="002A21AE" w:rsidRDefault="002A21AE">
      <w:pPr>
        <w:pStyle w:val="ListBullet"/>
      </w:pPr>
      <w:r w:rsidRPr="00BA2FFC">
        <w:rPr>
          <w:i/>
        </w:rPr>
        <w:t xml:space="preserve">Rational </w:t>
      </w:r>
      <w:r w:rsidR="007E56E1">
        <w:rPr>
          <w:i/>
        </w:rPr>
        <w:t>Team Concert. Version 6.0.5</w:t>
      </w:r>
      <w:r w:rsidR="00451526">
        <w:rPr>
          <w:i/>
        </w:rPr>
        <w:t>,</w:t>
      </w:r>
      <w:r w:rsidRPr="00BA2FFC">
        <w:t xml:space="preserve"> Rational Software Corporation.</w:t>
      </w:r>
    </w:p>
    <w:p w14:paraId="6FEA2A0B" w14:textId="77777777" w:rsidR="008D65D0" w:rsidRPr="008D65D0" w:rsidRDefault="008D65D0">
      <w:pPr>
        <w:pStyle w:val="ListBullet"/>
      </w:pPr>
      <w:r w:rsidRPr="008D65D0">
        <w:rPr>
          <w:i/>
        </w:rPr>
        <w:t>Deciding When to Submit a 510(k) for a Software Change to an Existing Device</w:t>
      </w:r>
      <w:r>
        <w:t>, October 25, 2017.</w:t>
      </w:r>
    </w:p>
    <w:p w14:paraId="055BE102" w14:textId="65CD6C30" w:rsidR="002A21AE" w:rsidRDefault="00483FF1">
      <w:pPr>
        <w:pStyle w:val="ListBullet"/>
      </w:pPr>
      <w:r>
        <w:rPr>
          <w:i/>
        </w:rPr>
        <w:t xml:space="preserve">Department of Veterans Affairs, </w:t>
      </w:r>
      <w:r w:rsidR="006549B7">
        <w:rPr>
          <w:i/>
        </w:rPr>
        <w:t>Office</w:t>
      </w:r>
      <w:r>
        <w:rPr>
          <w:i/>
        </w:rPr>
        <w:t xml:space="preserve"> of Information and Technology (OIT) </w:t>
      </w:r>
      <w:r w:rsidR="002A21AE">
        <w:rPr>
          <w:i/>
        </w:rPr>
        <w:t xml:space="preserve">Documentation Style </w:t>
      </w:r>
      <w:r>
        <w:rPr>
          <w:i/>
        </w:rPr>
        <w:t>Guide</w:t>
      </w:r>
      <w:r>
        <w:t>, October 2016</w:t>
      </w:r>
      <w:r w:rsidR="002A21AE">
        <w:t>.</w:t>
      </w:r>
    </w:p>
    <w:p w14:paraId="30D3CAB1" w14:textId="77777777" w:rsidR="002A21AE" w:rsidRDefault="002A21AE">
      <w:pPr>
        <w:pStyle w:val="ListBullet"/>
        <w:rPr>
          <w:i/>
        </w:rPr>
      </w:pPr>
      <w:r>
        <w:rPr>
          <w:i/>
        </w:rPr>
        <w:t xml:space="preserve">Standards for Blood Banks and Transfusion Services. </w:t>
      </w:r>
      <w:r>
        <w:t>Twenty-</w:t>
      </w:r>
      <w:r w:rsidR="00680E9A">
        <w:t>ninth</w:t>
      </w:r>
      <w:r>
        <w:t xml:space="preserve"> edition (Bethesda, MD: American Association </w:t>
      </w:r>
      <w:r w:rsidR="00680E9A">
        <w:t>of Blood Banks, 2014</w:t>
      </w:r>
      <w:r>
        <w:t>).</w:t>
      </w:r>
    </w:p>
    <w:p w14:paraId="4813AE49" w14:textId="77777777" w:rsidR="002A21AE" w:rsidRDefault="002A21AE">
      <w:pPr>
        <w:pStyle w:val="ListBullet"/>
        <w:rPr>
          <w:i/>
        </w:rPr>
      </w:pPr>
      <w:r>
        <w:rPr>
          <w:i/>
        </w:rPr>
        <w:t xml:space="preserve">Technical Manual. </w:t>
      </w:r>
      <w:r w:rsidR="00680E9A">
        <w:rPr>
          <w:i/>
        </w:rPr>
        <w:t>Eighteenth</w:t>
      </w:r>
      <w:r>
        <w:rPr>
          <w:i/>
        </w:rPr>
        <w:t xml:space="preserve"> edition </w:t>
      </w:r>
      <w:r>
        <w:t>(Bethesda, MD: American</w:t>
      </w:r>
      <w:r w:rsidR="00680E9A">
        <w:t xml:space="preserve"> Association of Blood Banks, 2014</w:t>
      </w:r>
      <w:r>
        <w:t>).</w:t>
      </w:r>
    </w:p>
    <w:p w14:paraId="3611F306" w14:textId="77777777" w:rsidR="00D931C3" w:rsidRPr="00D931C3" w:rsidRDefault="00D931C3" w:rsidP="00D931C3">
      <w:pPr>
        <w:pStyle w:val="ListBullet"/>
      </w:pPr>
      <w:r w:rsidRPr="00D931C3">
        <w:rPr>
          <w:i/>
        </w:rPr>
        <w:t>The Chicago Manual of Style</w:t>
      </w:r>
      <w:r w:rsidR="00680E9A">
        <w:t>, 16</w:t>
      </w:r>
      <w:r w:rsidRPr="00D931C3">
        <w:t>th</w:t>
      </w:r>
      <w:r>
        <w:t xml:space="preserve"> ed., (Chicago: The U</w:t>
      </w:r>
      <w:r w:rsidR="00680E9A">
        <w:t>niversity of Chicago Press, 2014</w:t>
      </w:r>
      <w:r>
        <w:t>).</w:t>
      </w:r>
    </w:p>
    <w:p w14:paraId="69A4F21D" w14:textId="77777777" w:rsidR="002A21AE" w:rsidRDefault="002A21AE">
      <w:pPr>
        <w:pStyle w:val="ListBullet"/>
        <w:rPr>
          <w:i/>
        </w:rPr>
      </w:pPr>
      <w:r>
        <w:rPr>
          <w:i/>
        </w:rPr>
        <w:t>Title 21 Code of Federal Regulations,</w:t>
      </w:r>
      <w:r>
        <w:t xml:space="preserve"> Part 11, Electronic Records; Electronic Signatures.</w:t>
      </w:r>
    </w:p>
    <w:p w14:paraId="77E92091" w14:textId="77777777" w:rsidR="002A21AE" w:rsidRDefault="002A21AE">
      <w:pPr>
        <w:pStyle w:val="ListBullet"/>
        <w:rPr>
          <w:i/>
        </w:rPr>
      </w:pPr>
      <w:r>
        <w:rPr>
          <w:i/>
        </w:rPr>
        <w:t xml:space="preserve">Title 21 Code of Federal Regulations, </w:t>
      </w:r>
      <w:r>
        <w:t>Part 803, Medical Device Reporting.</w:t>
      </w:r>
    </w:p>
    <w:p w14:paraId="4593594E" w14:textId="77777777" w:rsidR="002A21AE" w:rsidRDefault="002A21AE">
      <w:pPr>
        <w:pStyle w:val="ListBullet"/>
        <w:rPr>
          <w:i/>
        </w:rPr>
      </w:pPr>
      <w:r>
        <w:rPr>
          <w:i/>
        </w:rPr>
        <w:t xml:space="preserve">Title 21 Code of Federal Regulations, </w:t>
      </w:r>
      <w:r>
        <w:t>Part 806, Medical Devices; Reports of Corrections and Removals.</w:t>
      </w:r>
    </w:p>
    <w:p w14:paraId="40D5DE47" w14:textId="77777777" w:rsidR="002A21AE" w:rsidRDefault="002A21AE">
      <w:pPr>
        <w:pStyle w:val="ListBullet"/>
        <w:rPr>
          <w:i/>
        </w:rPr>
      </w:pPr>
      <w:r>
        <w:rPr>
          <w:i/>
        </w:rPr>
        <w:t>Title 21 Code of Federal Regulations,</w:t>
      </w:r>
      <w:r>
        <w:t xml:space="preserve"> Part 807, Establishment Registration and Device Listing for Manufacturers and Initial Importers of Devices.</w:t>
      </w:r>
    </w:p>
    <w:p w14:paraId="67BD1492" w14:textId="77777777" w:rsidR="002A21AE" w:rsidRDefault="002A21AE">
      <w:pPr>
        <w:pStyle w:val="ListBullet"/>
        <w:rPr>
          <w:i/>
        </w:rPr>
      </w:pPr>
      <w:r>
        <w:rPr>
          <w:i/>
        </w:rPr>
        <w:t>Title 21 Code of Federal Regulations</w:t>
      </w:r>
      <w:r>
        <w:t>, Part 810, Medical Device Recall Authority.</w:t>
      </w:r>
    </w:p>
    <w:p w14:paraId="5BCB0984" w14:textId="77777777" w:rsidR="002A21AE" w:rsidRDefault="002A21AE">
      <w:pPr>
        <w:pStyle w:val="ListBullet"/>
        <w:rPr>
          <w:i/>
        </w:rPr>
      </w:pPr>
      <w:r>
        <w:rPr>
          <w:i/>
        </w:rPr>
        <w:t xml:space="preserve">Title 21 Code of Federal Regulations, </w:t>
      </w:r>
      <w:r>
        <w:t>Part 820, Quality System Regulation.</w:t>
      </w:r>
    </w:p>
    <w:p w14:paraId="1738FD0C" w14:textId="77777777" w:rsidR="002A21AE" w:rsidRDefault="002A21AE">
      <w:pPr>
        <w:pStyle w:val="ListBullet"/>
        <w:rPr>
          <w:i/>
        </w:rPr>
      </w:pPr>
      <w:r>
        <w:rPr>
          <w:i/>
        </w:rPr>
        <w:t>Title 21 Code of Federal Regulations,</w:t>
      </w:r>
      <w:r>
        <w:t xml:space="preserve"> Parts 200 to 299, Food and Drugs.</w:t>
      </w:r>
    </w:p>
    <w:p w14:paraId="00508503" w14:textId="77777777" w:rsidR="002A21AE" w:rsidRDefault="002A21AE">
      <w:pPr>
        <w:pStyle w:val="ListBullet"/>
        <w:rPr>
          <w:i/>
        </w:rPr>
      </w:pPr>
      <w:r>
        <w:rPr>
          <w:i/>
        </w:rPr>
        <w:t>Title 21 Code of Federal Regulations,</w:t>
      </w:r>
      <w:r>
        <w:t xml:space="preserve"> Parts 600 to 799, Food and Drugs.</w:t>
      </w:r>
    </w:p>
    <w:p w14:paraId="2C0B7ACA" w14:textId="77777777" w:rsidR="002A21AE" w:rsidRDefault="002A21AE">
      <w:pPr>
        <w:pStyle w:val="ListBullet"/>
        <w:rPr>
          <w:i/>
        </w:rPr>
      </w:pPr>
      <w:r>
        <w:rPr>
          <w:i/>
        </w:rPr>
        <w:t>Title 21 Code of Federal Regulations,</w:t>
      </w:r>
      <w:r>
        <w:t xml:space="preserve"> Parts 800 to 1299, Food and Drugs.</w:t>
      </w:r>
    </w:p>
    <w:p w14:paraId="4F7261CA" w14:textId="77777777" w:rsidR="002A21AE" w:rsidRDefault="002A21AE">
      <w:pPr>
        <w:pStyle w:val="ListBullet"/>
      </w:pPr>
      <w:r>
        <w:t xml:space="preserve">Trautman, Kimberly A. </w:t>
      </w:r>
      <w:r>
        <w:rPr>
          <w:i/>
        </w:rPr>
        <w:t xml:space="preserve">The FDA and Worldwide Quality System Requirements Guidebook for Medical Devices </w:t>
      </w:r>
      <w:r>
        <w:t>(Milwaukee, Wisconsin: ASQ Quality Press, 1997).</w:t>
      </w:r>
    </w:p>
    <w:p w14:paraId="721E5267" w14:textId="77777777" w:rsidR="002A21AE" w:rsidRDefault="002A21AE">
      <w:pPr>
        <w:pStyle w:val="ListBullet"/>
      </w:pPr>
      <w:r>
        <w:t xml:space="preserve">U.S. Department Of Health and Human Services, Food and Drug Administration, Center for Devices and Radiological Health. </w:t>
      </w:r>
      <w:r>
        <w:rPr>
          <w:i/>
        </w:rPr>
        <w:t>Design Control Guidance for Medical Device Manufacturers</w:t>
      </w:r>
      <w:r>
        <w:t>, March 11, 1997.</w:t>
      </w:r>
    </w:p>
    <w:p w14:paraId="104C3953" w14:textId="77777777" w:rsidR="002A21AE" w:rsidRDefault="002A21AE">
      <w:pPr>
        <w:pStyle w:val="ListBullet"/>
      </w:pPr>
      <w:r>
        <w:t xml:space="preserve">U.S. Department Of Health and Human Services, Food and Drug Administration, Center for Devices and Radiological Health. </w:t>
      </w:r>
      <w:r>
        <w:rPr>
          <w:i/>
        </w:rPr>
        <w:t>Inspection of Medical Device Manufacturers, Final Guidance for Industry and FDA</w:t>
      </w:r>
      <w:r>
        <w:t>, February 7, 2001.</w:t>
      </w:r>
    </w:p>
    <w:p w14:paraId="573FDB06" w14:textId="77777777" w:rsidR="002A21AE" w:rsidRDefault="002A21AE">
      <w:pPr>
        <w:pStyle w:val="ListBullet"/>
      </w:pPr>
      <w:r>
        <w:t xml:space="preserve">U.S. Department Of Health and Human Services, Food and Drug Administration, Center for Devices and Radiological Health. </w:t>
      </w:r>
      <w:r>
        <w:rPr>
          <w:i/>
        </w:rPr>
        <w:t>Medical Device Quality Systems Manual: A Small Entity Compliance Guide</w:t>
      </w:r>
      <w:r>
        <w:t>. First edition, December 1996.</w:t>
      </w:r>
    </w:p>
    <w:p w14:paraId="47C26606" w14:textId="77777777" w:rsidR="002A21AE" w:rsidRDefault="002A21AE">
      <w:pPr>
        <w:pStyle w:val="ListBullet"/>
        <w:rPr>
          <w:i/>
        </w:rPr>
      </w:pPr>
      <w:r>
        <w:t xml:space="preserve">U.S. Department Of Health And Human Services, Food and Drug Administration, Center for Devices and Radiological Health, Office of Device Evaluation. </w:t>
      </w:r>
      <w:r>
        <w:rPr>
          <w:i/>
        </w:rPr>
        <w:t>Guidance for the Content of Premarket Submissions for Software Contained in Medical Devices</w:t>
      </w:r>
      <w:r>
        <w:t>, May 29, 1998.</w:t>
      </w:r>
    </w:p>
    <w:p w14:paraId="07D0BCCA" w14:textId="77777777" w:rsidR="002A21AE" w:rsidRDefault="002A21AE">
      <w:pPr>
        <w:pStyle w:val="ListBullet"/>
        <w:rPr>
          <w:i/>
        </w:rPr>
      </w:pPr>
      <w:r>
        <w:lastRenderedPageBreak/>
        <w:t xml:space="preserve">U.S. Department Of Health And Human Services, Food and Drug Administration, Center for Devices and Radiological Health, Office of Regulatory Affairs. </w:t>
      </w:r>
      <w:r>
        <w:rPr>
          <w:i/>
        </w:rPr>
        <w:t>Glossary of Computerized System and Software Development Terminology</w:t>
      </w:r>
      <w:r>
        <w:t>, August 1995.</w:t>
      </w:r>
    </w:p>
    <w:p w14:paraId="6DE7453B" w14:textId="77777777" w:rsidR="002A21AE" w:rsidRDefault="002A21AE">
      <w:pPr>
        <w:pStyle w:val="ListBullet"/>
        <w:rPr>
          <w:i/>
        </w:rPr>
      </w:pPr>
      <w:r>
        <w:t xml:space="preserve">U.S. Department Of Health and Human Services, Food and Drug Administration, Center for Devices and Radiological Health. </w:t>
      </w:r>
      <w:r>
        <w:rPr>
          <w:i/>
        </w:rPr>
        <w:t>Premarket Approval Manual</w:t>
      </w:r>
      <w:r>
        <w:t>. January 1998.</w:t>
      </w:r>
    </w:p>
    <w:p w14:paraId="5C57DCF2" w14:textId="77777777" w:rsidR="002A21AE" w:rsidRDefault="002A21AE">
      <w:pPr>
        <w:pStyle w:val="ListBullet"/>
      </w:pPr>
      <w:r>
        <w:t>U.S. Food and Drug Administration, Office of Regulatory Affairs and the Center for Devices and Radiological Health</w:t>
      </w:r>
      <w:r w:rsidR="00845D52">
        <w:t>.</w:t>
      </w:r>
      <w:r>
        <w:t xml:space="preserve"> </w:t>
      </w:r>
      <w:r>
        <w:rPr>
          <w:i/>
        </w:rPr>
        <w:t>Guide to Inspections of Medical Device Manufacturers</w:t>
      </w:r>
      <w:r>
        <w:t>,</w:t>
      </w:r>
      <w:r>
        <w:rPr>
          <w:i/>
        </w:rPr>
        <w:t xml:space="preserve"> </w:t>
      </w:r>
      <w:r>
        <w:t>December 1997.</w:t>
      </w:r>
    </w:p>
    <w:p w14:paraId="31C41B23" w14:textId="77777777" w:rsidR="002A21AE" w:rsidRDefault="002A21AE">
      <w:pPr>
        <w:pStyle w:val="ListBullet"/>
      </w:pPr>
      <w:r>
        <w:t xml:space="preserve">U.S. Food and Drug Administration, ORA Inspectional References, Quality Inspection System Technique. </w:t>
      </w:r>
      <w:r>
        <w:rPr>
          <w:i/>
        </w:rPr>
        <w:t>Guide to Inspections of Quality Systems</w:t>
      </w:r>
      <w:r>
        <w:t>, August 1999.</w:t>
      </w:r>
    </w:p>
    <w:p w14:paraId="4B51E4C8" w14:textId="77777777" w:rsidR="002A21AE" w:rsidRDefault="002A21AE">
      <w:pPr>
        <w:pStyle w:val="ListBullet"/>
      </w:pPr>
      <w:r>
        <w:rPr>
          <w:i/>
        </w:rPr>
        <w:t>United States Industry Consensus Standard for the Uniform Labeling of Blood and Blood Components Using</w:t>
      </w:r>
      <w:r w:rsidRPr="00845D52">
        <w:rPr>
          <w:i/>
        </w:rPr>
        <w:t xml:space="preserve"> ISBT 128, Version 1.2.0</w:t>
      </w:r>
      <w:r>
        <w:t>, prepared by the International Council for Commonality in Blood Banking Automation, Inc. (U.S. Department of Health and Human Services, Food and Drug Administration, Center for Biologics Evaluation and Research, November 1999).</w:t>
      </w:r>
    </w:p>
    <w:p w14:paraId="1FC2A90C" w14:textId="77777777" w:rsidR="00FE1B9A" w:rsidRDefault="00782012">
      <w:pPr>
        <w:pStyle w:val="ListBullet"/>
      </w:pPr>
      <w:r>
        <w:rPr>
          <w:i/>
        </w:rPr>
        <w:t>Office of Enterprise Developme</w:t>
      </w:r>
      <w:r w:rsidR="00FE1B9A">
        <w:rPr>
          <w:i/>
        </w:rPr>
        <w:t>nt Documentation Standards, Version 1</w:t>
      </w:r>
      <w:r w:rsidR="00FE1B9A" w:rsidRPr="00FE1B9A">
        <w:t>.</w:t>
      </w:r>
      <w:r w:rsidR="00FE1B9A">
        <w:t>4, June 2009.</w:t>
      </w:r>
    </w:p>
    <w:p w14:paraId="09DBE36A" w14:textId="77777777" w:rsidR="002A21AE" w:rsidRDefault="002A21AE">
      <w:pPr>
        <w:pStyle w:val="ListBullet"/>
      </w:pPr>
      <w:r>
        <w:t xml:space="preserve">Wilson, Paul F., Larry D. Dell, and Gaylord F. Anderson. </w:t>
      </w:r>
      <w:r>
        <w:rPr>
          <w:i/>
        </w:rPr>
        <w:t>Root Cause Analysis: A Tool for Total Quality Management</w:t>
      </w:r>
      <w:r>
        <w:t xml:space="preserve"> (Milwaukee, Wisconsin: ASQ Quality Press, 1993).</w:t>
      </w:r>
    </w:p>
    <w:p w14:paraId="53B019DF" w14:textId="77777777" w:rsidR="002A21AE" w:rsidRDefault="002A21AE">
      <w:pPr>
        <w:pStyle w:val="ListBullet"/>
      </w:pPr>
      <w:r>
        <w:rPr>
          <w:i/>
        </w:rPr>
        <w:t>ZPL II Programming Guide</w:t>
      </w:r>
      <w:r>
        <w:t>, Customer order # 46530L, Manufacturer part # 46530LB (Zebr</w:t>
      </w:r>
      <w:r w:rsidR="00845B27">
        <w:t>a Technologies Corporation, November 18, 201</w:t>
      </w:r>
      <w:r w:rsidR="00680E9A">
        <w:t>6</w:t>
      </w:r>
      <w:r>
        <w:t>).</w:t>
      </w:r>
    </w:p>
    <w:p w14:paraId="37F7EFEE" w14:textId="77777777" w:rsidR="002A21AE" w:rsidRDefault="002A21AE">
      <w:pPr>
        <w:pStyle w:val="Heading1"/>
      </w:pPr>
      <w:r>
        <w:br w:type="page"/>
      </w:r>
      <w:bookmarkStart w:id="660" w:name="_Toc203765965"/>
      <w:r>
        <w:lastRenderedPageBreak/>
        <w:t>Glossary</w:t>
      </w:r>
      <w:bookmarkEnd w:id="660"/>
      <w:r>
        <w:fldChar w:fldCharType="begin"/>
      </w:r>
      <w:r>
        <w:instrText xml:space="preserve"> XE </w:instrText>
      </w:r>
      <w:r w:rsidR="00FA7E65">
        <w:instrText>“</w:instrText>
      </w:r>
      <w:r>
        <w:instrText>Glossary</w:instrText>
      </w:r>
      <w:r w:rsidR="00FA7E65">
        <w:instrText>”</w:instrText>
      </w:r>
      <w:r>
        <w:instrText xml:space="preserve"> </w:instrText>
      </w:r>
      <w:r>
        <w:fldChar w:fldCharType="end"/>
      </w:r>
    </w:p>
    <w:tbl>
      <w:tblPr>
        <w:tblW w:w="4944" w:type="pct"/>
        <w:tblLook w:val="0000" w:firstRow="0" w:lastRow="0" w:firstColumn="0" w:lastColumn="0" w:noHBand="0" w:noVBand="0"/>
      </w:tblPr>
      <w:tblGrid>
        <w:gridCol w:w="3097"/>
        <w:gridCol w:w="6158"/>
      </w:tblGrid>
      <w:tr w:rsidR="00AF274B" w14:paraId="14DDFE36" w14:textId="77777777">
        <w:trPr>
          <w:cantSplit/>
          <w:trHeight w:val="403"/>
          <w:tblHeader/>
        </w:trPr>
        <w:tc>
          <w:tcPr>
            <w:tcW w:w="1673" w:type="pct"/>
            <w:shd w:val="clear" w:color="auto" w:fill="B3B3B3"/>
            <w:vAlign w:val="bottom"/>
          </w:tcPr>
          <w:p w14:paraId="3DBC3F66" w14:textId="77777777" w:rsidR="00AF274B" w:rsidRDefault="00AF274B">
            <w:pPr>
              <w:pStyle w:val="GlossaryTableText"/>
              <w:rPr>
                <w:b/>
                <w:bCs/>
              </w:rPr>
            </w:pPr>
            <w:r>
              <w:rPr>
                <w:b/>
                <w:bCs/>
              </w:rPr>
              <w:t>Acronym, Term</w:t>
            </w:r>
          </w:p>
        </w:tc>
        <w:tc>
          <w:tcPr>
            <w:tcW w:w="3327" w:type="pct"/>
            <w:shd w:val="clear" w:color="auto" w:fill="B3B3B3"/>
            <w:vAlign w:val="bottom"/>
          </w:tcPr>
          <w:p w14:paraId="79D8FFE5" w14:textId="77777777" w:rsidR="00AF274B" w:rsidRDefault="00AF274B">
            <w:pPr>
              <w:pStyle w:val="GlossaryTableText"/>
              <w:rPr>
                <w:b/>
                <w:bCs/>
              </w:rPr>
            </w:pPr>
            <w:r>
              <w:rPr>
                <w:b/>
                <w:bCs/>
              </w:rPr>
              <w:t>Definition</w:t>
            </w:r>
          </w:p>
        </w:tc>
      </w:tr>
      <w:tr w:rsidR="00AF274B" w14:paraId="5D4AC7EA" w14:textId="77777777">
        <w:trPr>
          <w:cantSplit/>
        </w:trPr>
        <w:tc>
          <w:tcPr>
            <w:tcW w:w="1673" w:type="pct"/>
          </w:tcPr>
          <w:p w14:paraId="236E2793" w14:textId="77777777" w:rsidR="00AF274B" w:rsidRDefault="00AF274B">
            <w:pPr>
              <w:pStyle w:val="GlossaryTableText"/>
              <w:rPr>
                <w:rFonts w:ascii="Symbol"/>
                <w:b/>
              </w:rPr>
            </w:pPr>
            <w:r>
              <w:rPr>
                <w:b/>
              </w:rPr>
              <w:t>AABB</w:t>
            </w:r>
          </w:p>
        </w:tc>
        <w:tc>
          <w:tcPr>
            <w:tcW w:w="3327" w:type="pct"/>
          </w:tcPr>
          <w:p w14:paraId="53F0F098" w14:textId="77777777" w:rsidR="00AF274B" w:rsidRDefault="00AF274B">
            <w:pPr>
              <w:pStyle w:val="GlossaryTableText"/>
            </w:pPr>
            <w:r>
              <w:t>American Association of Blood Banks.</w:t>
            </w:r>
          </w:p>
        </w:tc>
      </w:tr>
      <w:tr w:rsidR="001A1559" w14:paraId="0CF5D029" w14:textId="77777777">
        <w:trPr>
          <w:cantSplit/>
        </w:trPr>
        <w:tc>
          <w:tcPr>
            <w:tcW w:w="1673" w:type="pct"/>
          </w:tcPr>
          <w:p w14:paraId="18E44DE7" w14:textId="77777777" w:rsidR="001A1559" w:rsidRDefault="001A1559">
            <w:pPr>
              <w:pStyle w:val="GlossaryTableText"/>
              <w:rPr>
                <w:b/>
              </w:rPr>
            </w:pPr>
            <w:r>
              <w:rPr>
                <w:b/>
              </w:rPr>
              <w:t>ABID</w:t>
            </w:r>
          </w:p>
        </w:tc>
        <w:tc>
          <w:tcPr>
            <w:tcW w:w="3327" w:type="pct"/>
          </w:tcPr>
          <w:p w14:paraId="098D4DFE" w14:textId="77777777" w:rsidR="001A1559" w:rsidRDefault="001A1559">
            <w:pPr>
              <w:pStyle w:val="GlossaryTableText"/>
            </w:pPr>
            <w:r>
              <w:t>Antibody identification.</w:t>
            </w:r>
          </w:p>
        </w:tc>
      </w:tr>
      <w:tr w:rsidR="00AF274B" w14:paraId="7AE50FDD" w14:textId="77777777">
        <w:trPr>
          <w:cantSplit/>
        </w:trPr>
        <w:tc>
          <w:tcPr>
            <w:tcW w:w="1673" w:type="pct"/>
          </w:tcPr>
          <w:p w14:paraId="4D3F61ED" w14:textId="77777777" w:rsidR="00AF274B" w:rsidRDefault="00AF274B">
            <w:pPr>
              <w:pStyle w:val="GlossaryTableText"/>
              <w:rPr>
                <w:b/>
              </w:rPr>
            </w:pPr>
            <w:r>
              <w:rPr>
                <w:b/>
              </w:rPr>
              <w:t>ABO</w:t>
            </w:r>
          </w:p>
        </w:tc>
        <w:tc>
          <w:tcPr>
            <w:tcW w:w="3327" w:type="pct"/>
          </w:tcPr>
          <w:p w14:paraId="139CA14F" w14:textId="77777777" w:rsidR="00AF274B" w:rsidRDefault="00AF274B">
            <w:pPr>
              <w:pStyle w:val="GlossaryTableText"/>
            </w:pPr>
            <w:r>
              <w:t>A group for classifying human blood, based on the presence or absence of specific antigens in the blood, which contains four blood types: A, B, AB, and O. The ABO group is the most critical of the human blood systems. It is used to determine general compatibility of donor units to a recipient.</w:t>
            </w:r>
          </w:p>
        </w:tc>
      </w:tr>
      <w:tr w:rsidR="00AF274B" w14:paraId="2EF29EBE" w14:textId="77777777">
        <w:trPr>
          <w:cantSplit/>
        </w:trPr>
        <w:tc>
          <w:tcPr>
            <w:tcW w:w="1673" w:type="pct"/>
          </w:tcPr>
          <w:p w14:paraId="409E8C05" w14:textId="77777777" w:rsidR="00AF274B" w:rsidRDefault="00AF274B">
            <w:pPr>
              <w:pStyle w:val="GlossaryTableText"/>
              <w:rPr>
                <w:b/>
              </w:rPr>
            </w:pPr>
            <w:r>
              <w:rPr>
                <w:b/>
              </w:rPr>
              <w:t>ABS</w:t>
            </w:r>
          </w:p>
        </w:tc>
        <w:tc>
          <w:tcPr>
            <w:tcW w:w="3327" w:type="pct"/>
          </w:tcPr>
          <w:p w14:paraId="1D6E63AD" w14:textId="77777777" w:rsidR="00AF274B" w:rsidRDefault="00AF274B">
            <w:pPr>
              <w:pStyle w:val="GlossaryTableText"/>
            </w:pPr>
            <w:r>
              <w:t xml:space="preserve">Antibody screen, </w:t>
            </w:r>
            <w:r w:rsidR="008E2E30">
              <w:t>Antibody Screen Test</w:t>
            </w:r>
            <w:r>
              <w:t>.</w:t>
            </w:r>
          </w:p>
        </w:tc>
      </w:tr>
      <w:tr w:rsidR="00AF274B" w14:paraId="2B0F0C4C" w14:textId="77777777">
        <w:trPr>
          <w:cantSplit/>
        </w:trPr>
        <w:tc>
          <w:tcPr>
            <w:tcW w:w="1673" w:type="pct"/>
          </w:tcPr>
          <w:p w14:paraId="2CC0B006" w14:textId="77777777" w:rsidR="00AF274B" w:rsidRDefault="00AF274B">
            <w:pPr>
              <w:pStyle w:val="GlossaryTableText"/>
              <w:rPr>
                <w:b/>
              </w:rPr>
            </w:pPr>
            <w:r>
              <w:rPr>
                <w:b/>
              </w:rPr>
              <w:t>Access Code</w:t>
            </w:r>
          </w:p>
        </w:tc>
        <w:tc>
          <w:tcPr>
            <w:tcW w:w="3327" w:type="pct"/>
          </w:tcPr>
          <w:p w14:paraId="772D9737" w14:textId="77777777" w:rsidR="00AF274B" w:rsidRDefault="00AF274B">
            <w:pPr>
              <w:pStyle w:val="GlossaryTableText"/>
            </w:pPr>
            <w:r>
              <w:t xml:space="preserve">A field in the </w:t>
            </w:r>
            <w:r w:rsidRPr="00CA6E27">
              <w:rPr>
                <w:bCs/>
              </w:rPr>
              <w:t>VistA</w:t>
            </w:r>
            <w:r>
              <w:t xml:space="preserve"> New Person file used to uniquely identify a user on the </w:t>
            </w:r>
            <w:r w:rsidRPr="00CA6E27">
              <w:rPr>
                <w:bCs/>
              </w:rPr>
              <w:t>VistA</w:t>
            </w:r>
            <w:r>
              <w:t xml:space="preserve"> system.</w:t>
            </w:r>
          </w:p>
        </w:tc>
      </w:tr>
      <w:tr w:rsidR="00AF274B" w14:paraId="25E2F8AF" w14:textId="77777777">
        <w:trPr>
          <w:cantSplit/>
        </w:trPr>
        <w:tc>
          <w:tcPr>
            <w:tcW w:w="1673" w:type="pct"/>
          </w:tcPr>
          <w:p w14:paraId="7B578810" w14:textId="77777777" w:rsidR="00AF274B" w:rsidRDefault="00AF274B">
            <w:pPr>
              <w:pStyle w:val="GlossaryTableText"/>
              <w:rPr>
                <w:b/>
              </w:rPr>
            </w:pPr>
            <w:r>
              <w:rPr>
                <w:b/>
              </w:rPr>
              <w:t>Accessioned</w:t>
            </w:r>
          </w:p>
        </w:tc>
        <w:tc>
          <w:tcPr>
            <w:tcW w:w="3327" w:type="pct"/>
          </w:tcPr>
          <w:p w14:paraId="680BC073" w14:textId="77777777" w:rsidR="00AF274B" w:rsidRDefault="00AF274B">
            <w:pPr>
              <w:pStyle w:val="GlossaryTableText"/>
            </w:pPr>
            <w:r>
              <w:t xml:space="preserve">Describes an order when a specimen has been collected or has been placed on a current collection list by the </w:t>
            </w:r>
            <w:r w:rsidRPr="00CA6E27">
              <w:rPr>
                <w:bCs/>
              </w:rPr>
              <w:t>VistA</w:t>
            </w:r>
            <w:r>
              <w:t xml:space="preserve"> Laboratory software. </w:t>
            </w:r>
            <w:r>
              <w:rPr>
                <w:i/>
              </w:rPr>
              <w:t>A mechanism for accessioning orders for blood components that do not require a specimen needs to be designed.</w:t>
            </w:r>
          </w:p>
        </w:tc>
      </w:tr>
      <w:tr w:rsidR="00AF274B" w14:paraId="4B3B7695" w14:textId="77777777">
        <w:trPr>
          <w:cantSplit/>
        </w:trPr>
        <w:tc>
          <w:tcPr>
            <w:tcW w:w="1673" w:type="pct"/>
          </w:tcPr>
          <w:p w14:paraId="0F6B238D" w14:textId="77777777" w:rsidR="00AF274B" w:rsidRDefault="00AF274B">
            <w:pPr>
              <w:pStyle w:val="GlossaryTableText"/>
              <w:rPr>
                <w:b/>
              </w:rPr>
            </w:pPr>
            <w:r>
              <w:rPr>
                <w:b/>
                <w:snapToGrid w:val="0"/>
              </w:rPr>
              <w:t>Active order</w:t>
            </w:r>
          </w:p>
        </w:tc>
        <w:tc>
          <w:tcPr>
            <w:tcW w:w="3327" w:type="pct"/>
          </w:tcPr>
          <w:p w14:paraId="1C3F80C3" w14:textId="77777777" w:rsidR="00AF274B" w:rsidRDefault="00AF274B">
            <w:pPr>
              <w:pStyle w:val="GlossaryTableText"/>
            </w:pPr>
            <w:r>
              <w:t>A patient order for blood product(s) that is not completed or expired. Depending on the component class, an accompanying specimen may be required.</w:t>
            </w:r>
          </w:p>
        </w:tc>
      </w:tr>
      <w:tr w:rsidR="00AF274B" w14:paraId="118F8CF7" w14:textId="77777777">
        <w:trPr>
          <w:cantSplit/>
        </w:trPr>
        <w:tc>
          <w:tcPr>
            <w:tcW w:w="1673" w:type="pct"/>
          </w:tcPr>
          <w:p w14:paraId="4340FF61" w14:textId="77777777" w:rsidR="00AF274B" w:rsidRDefault="00AF274B">
            <w:pPr>
              <w:pStyle w:val="GlossaryTableText"/>
              <w:rPr>
                <w:b/>
              </w:rPr>
            </w:pPr>
            <w:r>
              <w:rPr>
                <w:b/>
              </w:rPr>
              <w:t>Active user</w:t>
            </w:r>
          </w:p>
        </w:tc>
        <w:tc>
          <w:tcPr>
            <w:tcW w:w="3327" w:type="pct"/>
          </w:tcPr>
          <w:p w14:paraId="2F92107E" w14:textId="77777777" w:rsidR="00AF274B" w:rsidRDefault="00AF274B">
            <w:pPr>
              <w:pStyle w:val="GlossaryTableText"/>
            </w:pPr>
            <w:r>
              <w:t xml:space="preserve">A user with a setting in </w:t>
            </w:r>
            <w:r w:rsidRPr="00CA6E27">
              <w:t>VistA</w:t>
            </w:r>
            <w:r>
              <w:t xml:space="preserve"> that allows him to access VBECS. Inactive use</w:t>
            </w:r>
            <w:r w:rsidR="000D6CFB">
              <w:t>rs may no longer access VBECS.</w:t>
            </w:r>
          </w:p>
        </w:tc>
      </w:tr>
      <w:tr w:rsidR="00AF274B" w14:paraId="7CD24150" w14:textId="77777777">
        <w:trPr>
          <w:cantSplit/>
        </w:trPr>
        <w:tc>
          <w:tcPr>
            <w:tcW w:w="1673" w:type="pct"/>
          </w:tcPr>
          <w:p w14:paraId="4B1F9561" w14:textId="77777777" w:rsidR="00AF274B" w:rsidRDefault="00AF274B">
            <w:pPr>
              <w:pStyle w:val="GlossaryTableText"/>
              <w:rPr>
                <w:b/>
              </w:rPr>
            </w:pPr>
            <w:r>
              <w:rPr>
                <w:b/>
              </w:rPr>
              <w:t>Activities</w:t>
            </w:r>
          </w:p>
        </w:tc>
        <w:tc>
          <w:tcPr>
            <w:tcW w:w="3327" w:type="pct"/>
          </w:tcPr>
          <w:p w14:paraId="15B2862E" w14:textId="77777777" w:rsidR="00AF274B" w:rsidRDefault="00AF274B">
            <w:pPr>
              <w:pStyle w:val="GlossaryTableText"/>
            </w:pPr>
            <w:r>
              <w:t>Business processes that the product supports.</w:t>
            </w:r>
          </w:p>
        </w:tc>
      </w:tr>
      <w:tr w:rsidR="00AF274B" w14:paraId="50509D3A" w14:textId="77777777">
        <w:trPr>
          <w:cantSplit/>
        </w:trPr>
        <w:tc>
          <w:tcPr>
            <w:tcW w:w="1673" w:type="pct"/>
          </w:tcPr>
          <w:p w14:paraId="29209984" w14:textId="77777777" w:rsidR="00AF274B" w:rsidRDefault="00AF274B">
            <w:pPr>
              <w:pStyle w:val="GlossaryTableText"/>
              <w:rPr>
                <w:b/>
              </w:rPr>
            </w:pPr>
            <w:r>
              <w:rPr>
                <w:b/>
              </w:rPr>
              <w:t>Activity</w:t>
            </w:r>
          </w:p>
        </w:tc>
        <w:tc>
          <w:tcPr>
            <w:tcW w:w="3327" w:type="pct"/>
          </w:tcPr>
          <w:p w14:paraId="62AE35BE" w14:textId="77777777" w:rsidR="00AF274B" w:rsidRDefault="00AF274B">
            <w:pPr>
              <w:pStyle w:val="GlossaryTableText"/>
            </w:pPr>
            <w:r>
              <w:t>An identified verification and validation task.</w:t>
            </w:r>
          </w:p>
        </w:tc>
      </w:tr>
      <w:tr w:rsidR="00AF274B" w14:paraId="02C7DC3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7C441A3F" w14:textId="77777777" w:rsidR="00AF274B" w:rsidRDefault="00AF274B">
            <w:pPr>
              <w:pStyle w:val="GlossaryTableText"/>
              <w:rPr>
                <w:b/>
              </w:rPr>
            </w:pPr>
            <w:r>
              <w:rPr>
                <w:b/>
              </w:rPr>
              <w:t>AHG</w:t>
            </w:r>
          </w:p>
        </w:tc>
        <w:tc>
          <w:tcPr>
            <w:tcW w:w="3327" w:type="pct"/>
            <w:tcBorders>
              <w:top w:val="nil"/>
              <w:left w:val="nil"/>
              <w:bottom w:val="nil"/>
              <w:right w:val="nil"/>
            </w:tcBorders>
          </w:tcPr>
          <w:p w14:paraId="5BAFCFE8" w14:textId="77777777" w:rsidR="00AF274B" w:rsidRDefault="00AF274B">
            <w:pPr>
              <w:pStyle w:val="GlossaryTableText"/>
            </w:pPr>
            <w:r>
              <w:t>Anti-Human Globulin.</w:t>
            </w:r>
          </w:p>
        </w:tc>
      </w:tr>
      <w:tr w:rsidR="00AF274B" w14:paraId="381FFE3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4857D0CB" w14:textId="77777777" w:rsidR="00AF274B" w:rsidRDefault="00AF274B">
            <w:pPr>
              <w:pStyle w:val="GlossaryTableText"/>
              <w:rPr>
                <w:b/>
              </w:rPr>
            </w:pPr>
            <w:r>
              <w:rPr>
                <w:b/>
              </w:rPr>
              <w:t>Aliquot</w:t>
            </w:r>
          </w:p>
        </w:tc>
        <w:tc>
          <w:tcPr>
            <w:tcW w:w="3327" w:type="pct"/>
            <w:tcBorders>
              <w:top w:val="nil"/>
              <w:left w:val="nil"/>
              <w:bottom w:val="nil"/>
              <w:right w:val="nil"/>
            </w:tcBorders>
          </w:tcPr>
          <w:p w14:paraId="6BF1D908" w14:textId="77777777" w:rsidR="00AF274B" w:rsidRDefault="00AF274B">
            <w:pPr>
              <w:pStyle w:val="GlossaryTableText"/>
            </w:pPr>
            <w:r>
              <w:t>A sample/portion divided off or separated as a part of a whole.</w:t>
            </w:r>
          </w:p>
        </w:tc>
      </w:tr>
      <w:tr w:rsidR="00AF274B" w14:paraId="2F24534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3E687CFD" w14:textId="77777777" w:rsidR="00AF274B" w:rsidRDefault="00AF274B">
            <w:pPr>
              <w:pStyle w:val="GlossaryTableText"/>
              <w:rPr>
                <w:b/>
              </w:rPr>
            </w:pPr>
            <w:r>
              <w:rPr>
                <w:b/>
              </w:rPr>
              <w:t>Allogeneic</w:t>
            </w:r>
          </w:p>
        </w:tc>
        <w:tc>
          <w:tcPr>
            <w:tcW w:w="3327" w:type="pct"/>
            <w:tcBorders>
              <w:top w:val="nil"/>
              <w:left w:val="nil"/>
              <w:bottom w:val="nil"/>
              <w:right w:val="nil"/>
            </w:tcBorders>
          </w:tcPr>
          <w:p w14:paraId="498FDD29" w14:textId="77777777" w:rsidR="00AF274B" w:rsidRDefault="00AF274B">
            <w:pPr>
              <w:pStyle w:val="GlossaryTableText"/>
            </w:pPr>
            <w:r>
              <w:t>See “Homologous.”</w:t>
            </w:r>
          </w:p>
        </w:tc>
      </w:tr>
      <w:tr w:rsidR="00AF274B" w14:paraId="05C9C18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1F9B750E" w14:textId="77777777" w:rsidR="00AF274B" w:rsidRDefault="00AF274B">
            <w:pPr>
              <w:pStyle w:val="GlossaryTableText"/>
              <w:rPr>
                <w:b/>
              </w:rPr>
            </w:pPr>
            <w:r>
              <w:rPr>
                <w:b/>
                <w:snapToGrid w:val="0"/>
              </w:rPr>
              <w:t>Antibody</w:t>
            </w:r>
          </w:p>
        </w:tc>
        <w:tc>
          <w:tcPr>
            <w:tcW w:w="3327" w:type="pct"/>
            <w:tcBorders>
              <w:top w:val="nil"/>
              <w:left w:val="nil"/>
              <w:bottom w:val="nil"/>
              <w:right w:val="nil"/>
            </w:tcBorders>
          </w:tcPr>
          <w:p w14:paraId="29E65EA6" w14:textId="77777777" w:rsidR="00AF274B" w:rsidRDefault="00AF274B">
            <w:pPr>
              <w:pStyle w:val="GlossaryTableText"/>
            </w:pPr>
            <w:r>
              <w:rPr>
                <w:snapToGrid w:val="0"/>
              </w:rPr>
              <w:t xml:space="preserve">A protein in the serum of some people that will react to a specific antigen on the blood cells. </w:t>
            </w:r>
            <w:r>
              <w:rPr>
                <w:i/>
                <w:snapToGrid w:val="0"/>
              </w:rPr>
              <w:t>In the case of a red blood cell transfusion, a patient with a clinically significant (leading to a transfusion reaction and possible patient harm) identified antibody must receive only red cells that are typed and found negative for the associated antigen. Once a clinically significant antibody is identified, antigen-negative cells must always be transfused even if a current specimen no longer shows the presence of the antibody. The antibody table in VBECS addresses the antibodies associated with red cell antigens. Though many antibodies are considered clinically significant, some are more of a nuisance to testing than a problem for transfusion. Many antibodies have documentation that defines their clinical significance; that information is used to define the VBECS table system warnings and overrides.</w:t>
            </w:r>
          </w:p>
        </w:tc>
      </w:tr>
      <w:tr w:rsidR="00AF274B" w14:paraId="5FCE616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28111202" w14:textId="77777777" w:rsidR="00AF274B" w:rsidRDefault="00AF274B">
            <w:pPr>
              <w:pStyle w:val="GlossaryTableText"/>
              <w:rPr>
                <w:b/>
                <w:snapToGrid w:val="0"/>
              </w:rPr>
            </w:pPr>
            <w:r>
              <w:rPr>
                <w:b/>
              </w:rPr>
              <w:t>Antigen</w:t>
            </w:r>
          </w:p>
        </w:tc>
        <w:tc>
          <w:tcPr>
            <w:tcW w:w="3327" w:type="pct"/>
            <w:tcBorders>
              <w:top w:val="nil"/>
              <w:left w:val="nil"/>
              <w:bottom w:val="nil"/>
              <w:right w:val="nil"/>
            </w:tcBorders>
          </w:tcPr>
          <w:p w14:paraId="31ECADA5" w14:textId="77777777" w:rsidR="00AF274B" w:rsidRDefault="00AF274B">
            <w:pPr>
              <w:pStyle w:val="GlossaryTableText"/>
              <w:rPr>
                <w:snapToGrid w:val="0"/>
              </w:rPr>
            </w:pPr>
            <w:r>
              <w:t>A substance on the surface of a red cell that stimulates an immune response (formation of an antibody).</w:t>
            </w:r>
          </w:p>
        </w:tc>
      </w:tr>
      <w:tr w:rsidR="00AF274B" w14:paraId="0DB9FCB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0B7B19FD" w14:textId="77777777" w:rsidR="00AF274B" w:rsidRDefault="00AF274B">
            <w:pPr>
              <w:pStyle w:val="GlossaryTableText"/>
              <w:rPr>
                <w:b/>
                <w:snapToGrid w:val="0"/>
              </w:rPr>
            </w:pPr>
            <w:r>
              <w:rPr>
                <w:b/>
                <w:snapToGrid w:val="0"/>
              </w:rPr>
              <w:t>Antigen negative requirement</w:t>
            </w:r>
          </w:p>
        </w:tc>
        <w:tc>
          <w:tcPr>
            <w:tcW w:w="3327" w:type="pct"/>
            <w:tcBorders>
              <w:top w:val="nil"/>
              <w:left w:val="nil"/>
              <w:bottom w:val="nil"/>
              <w:right w:val="nil"/>
            </w:tcBorders>
          </w:tcPr>
          <w:p w14:paraId="0CA0BE87" w14:textId="77777777" w:rsidR="00AF274B" w:rsidRDefault="00AF274B">
            <w:pPr>
              <w:pStyle w:val="GlossaryTableText"/>
              <w:rPr>
                <w:snapToGrid w:val="0"/>
              </w:rPr>
            </w:pPr>
            <w:r>
              <w:rPr>
                <w:snapToGrid w:val="0"/>
              </w:rPr>
              <w:t>A prerequisite that specified blood product categories must not contain stated characteristics.</w:t>
            </w:r>
          </w:p>
        </w:tc>
      </w:tr>
      <w:tr w:rsidR="00AF274B" w14:paraId="0EF4104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331FB5E5" w14:textId="77777777" w:rsidR="00AF274B" w:rsidRDefault="00AF274B">
            <w:pPr>
              <w:pStyle w:val="GlossaryTableText"/>
              <w:rPr>
                <w:b/>
              </w:rPr>
            </w:pPr>
            <w:r>
              <w:rPr>
                <w:b/>
              </w:rPr>
              <w:t>Antigen typing</w:t>
            </w:r>
          </w:p>
        </w:tc>
        <w:tc>
          <w:tcPr>
            <w:tcW w:w="3327" w:type="pct"/>
            <w:tcBorders>
              <w:top w:val="nil"/>
              <w:left w:val="nil"/>
              <w:bottom w:val="nil"/>
              <w:right w:val="nil"/>
            </w:tcBorders>
          </w:tcPr>
          <w:p w14:paraId="6291D061" w14:textId="77777777" w:rsidR="00AF274B" w:rsidRDefault="00AF274B">
            <w:pPr>
              <w:pStyle w:val="GlossaryTableText"/>
            </w:pPr>
            <w:r>
              <w:t>Testing for the presence or absence of an antigen on a red blood cell.</w:t>
            </w:r>
          </w:p>
        </w:tc>
      </w:tr>
      <w:tr w:rsidR="00AF274B" w14:paraId="0696CA1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44222580" w14:textId="77777777" w:rsidR="00AF274B" w:rsidRDefault="00AF274B">
            <w:pPr>
              <w:pStyle w:val="GlossaryTableText"/>
              <w:rPr>
                <w:b/>
                <w:snapToGrid w:val="0"/>
              </w:rPr>
            </w:pPr>
            <w:r>
              <w:rPr>
                <w:b/>
              </w:rPr>
              <w:lastRenderedPageBreak/>
              <w:t>Antiglobulin</w:t>
            </w:r>
          </w:p>
        </w:tc>
        <w:tc>
          <w:tcPr>
            <w:tcW w:w="3327" w:type="pct"/>
            <w:tcBorders>
              <w:top w:val="nil"/>
              <w:left w:val="nil"/>
              <w:bottom w:val="nil"/>
              <w:right w:val="nil"/>
            </w:tcBorders>
          </w:tcPr>
          <w:p w14:paraId="6D057CEF" w14:textId="77777777" w:rsidR="00AF274B" w:rsidRDefault="00AF274B">
            <w:pPr>
              <w:pStyle w:val="GlossaryTableText"/>
              <w:rPr>
                <w:snapToGrid w:val="0"/>
              </w:rPr>
            </w:pPr>
            <w:r>
              <w:t>An antibody that combines with a specific protein on a different type of antibody.</w:t>
            </w:r>
          </w:p>
        </w:tc>
      </w:tr>
      <w:tr w:rsidR="00AF274B" w14:paraId="6EB3953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61D2E815" w14:textId="77777777" w:rsidR="00AF274B" w:rsidRDefault="00AF274B">
            <w:pPr>
              <w:pStyle w:val="GlossaryTableText"/>
              <w:rPr>
                <w:b/>
              </w:rPr>
            </w:pPr>
            <w:r>
              <w:rPr>
                <w:b/>
                <w:snapToGrid w:val="0"/>
              </w:rPr>
              <w:t>Anti-Human Globulin</w:t>
            </w:r>
          </w:p>
        </w:tc>
        <w:tc>
          <w:tcPr>
            <w:tcW w:w="3327" w:type="pct"/>
            <w:tcBorders>
              <w:top w:val="nil"/>
              <w:left w:val="nil"/>
              <w:bottom w:val="nil"/>
              <w:right w:val="nil"/>
            </w:tcBorders>
          </w:tcPr>
          <w:p w14:paraId="731E5BC5" w14:textId="77777777" w:rsidR="00AF274B" w:rsidRDefault="00AF274B">
            <w:pPr>
              <w:pStyle w:val="GlossaryTableText"/>
            </w:pPr>
            <w:r>
              <w:rPr>
                <w:snapToGrid w:val="0"/>
              </w:rPr>
              <w:t>A commercial reagent that binds to immunoglobulin molecules attached to the surface of a red blood cell.</w:t>
            </w:r>
          </w:p>
        </w:tc>
      </w:tr>
      <w:tr w:rsidR="00AF274B" w14:paraId="285B368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7A705A89" w14:textId="77777777" w:rsidR="00AF274B" w:rsidRDefault="00AF274B">
            <w:pPr>
              <w:pStyle w:val="GlossaryTableText"/>
              <w:rPr>
                <w:b/>
              </w:rPr>
            </w:pPr>
            <w:r>
              <w:rPr>
                <w:b/>
              </w:rPr>
              <w:t>Antisera</w:t>
            </w:r>
          </w:p>
        </w:tc>
        <w:tc>
          <w:tcPr>
            <w:tcW w:w="3327" w:type="pct"/>
            <w:tcBorders>
              <w:top w:val="nil"/>
              <w:left w:val="nil"/>
              <w:bottom w:val="nil"/>
              <w:right w:val="nil"/>
            </w:tcBorders>
          </w:tcPr>
          <w:p w14:paraId="434E27D7" w14:textId="77777777" w:rsidR="00AF274B" w:rsidRDefault="00AF274B">
            <w:pPr>
              <w:pStyle w:val="GlossaryTableText"/>
            </w:pPr>
            <w:r>
              <w:t>Plural of “antiserum.”</w:t>
            </w:r>
          </w:p>
        </w:tc>
      </w:tr>
      <w:tr w:rsidR="00AF274B" w14:paraId="5F658AE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4E46ACB5" w14:textId="77777777" w:rsidR="00AF274B" w:rsidRDefault="00AF274B">
            <w:pPr>
              <w:pStyle w:val="GlossaryTableText"/>
              <w:rPr>
                <w:b/>
              </w:rPr>
            </w:pPr>
            <w:r>
              <w:rPr>
                <w:b/>
              </w:rPr>
              <w:t>Antiserum</w:t>
            </w:r>
          </w:p>
        </w:tc>
        <w:tc>
          <w:tcPr>
            <w:tcW w:w="3327" w:type="pct"/>
            <w:tcBorders>
              <w:top w:val="nil"/>
              <w:left w:val="nil"/>
              <w:bottom w:val="nil"/>
              <w:right w:val="nil"/>
            </w:tcBorders>
          </w:tcPr>
          <w:p w14:paraId="085C7E4A" w14:textId="77777777" w:rsidR="00AF274B" w:rsidRDefault="00AF274B">
            <w:pPr>
              <w:pStyle w:val="GlossaryTableText"/>
            </w:pPr>
            <w:r>
              <w:t>Blood serum (human, animal, monoclonal) containing antibodies that are specific for one or more antigens.</w:t>
            </w:r>
          </w:p>
        </w:tc>
      </w:tr>
      <w:tr w:rsidR="00AF274B" w14:paraId="67020E9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558E1489" w14:textId="77777777" w:rsidR="00AF274B" w:rsidRDefault="00AF274B">
            <w:pPr>
              <w:pStyle w:val="GlossaryTableText"/>
              <w:rPr>
                <w:b/>
              </w:rPr>
            </w:pPr>
            <w:r>
              <w:rPr>
                <w:b/>
              </w:rPr>
              <w:t>Assigned</w:t>
            </w:r>
          </w:p>
        </w:tc>
        <w:tc>
          <w:tcPr>
            <w:tcW w:w="3327" w:type="pct"/>
            <w:tcBorders>
              <w:top w:val="nil"/>
              <w:left w:val="nil"/>
              <w:bottom w:val="nil"/>
              <w:right w:val="nil"/>
            </w:tcBorders>
          </w:tcPr>
          <w:p w14:paraId="46B69F17" w14:textId="77777777" w:rsidR="00AF274B" w:rsidRDefault="00AF274B">
            <w:pPr>
              <w:pStyle w:val="GlossaryTableText"/>
            </w:pPr>
            <w:r>
              <w:t>Describes a unit of blood in a state that can be issued for transfusion and assign</w:t>
            </w:r>
            <w:r w:rsidR="00534B75">
              <w:t>ed to a patient.</w:t>
            </w:r>
          </w:p>
        </w:tc>
      </w:tr>
      <w:tr w:rsidR="00AF274B" w14:paraId="38EA15F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54F6C3DF" w14:textId="77777777" w:rsidR="00AF274B" w:rsidRDefault="00AF274B">
            <w:pPr>
              <w:pStyle w:val="GlossaryTableText"/>
              <w:rPr>
                <w:b/>
              </w:rPr>
            </w:pPr>
            <w:r>
              <w:rPr>
                <w:b/>
              </w:rPr>
              <w:t>Attribute</w:t>
            </w:r>
          </w:p>
        </w:tc>
        <w:tc>
          <w:tcPr>
            <w:tcW w:w="3327" w:type="pct"/>
            <w:tcBorders>
              <w:top w:val="nil"/>
              <w:left w:val="nil"/>
              <w:bottom w:val="nil"/>
              <w:right w:val="nil"/>
            </w:tcBorders>
          </w:tcPr>
          <w:p w14:paraId="19C51602" w14:textId="77777777" w:rsidR="00AF274B" w:rsidRDefault="00AF274B">
            <w:pPr>
              <w:pStyle w:val="GlossaryTableText"/>
            </w:pPr>
            <w:r>
              <w:t xml:space="preserve">ISBT 128 term that describes a property of a collected blood product. </w:t>
            </w:r>
            <w:r>
              <w:rPr>
                <w:i/>
              </w:rPr>
              <w:t>Examples include “Irradiated” and “Residual Leukocyte Content” (Leukopoor).</w:t>
            </w:r>
          </w:p>
        </w:tc>
      </w:tr>
      <w:tr w:rsidR="00AF274B" w14:paraId="4BB322E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07591992" w14:textId="77777777" w:rsidR="00AF274B" w:rsidRDefault="00AF274B">
            <w:pPr>
              <w:pStyle w:val="GlossaryTableText"/>
              <w:rPr>
                <w:b/>
              </w:rPr>
            </w:pPr>
            <w:r>
              <w:rPr>
                <w:b/>
              </w:rPr>
              <w:t>Audit Trail Report</w:t>
            </w:r>
          </w:p>
        </w:tc>
        <w:tc>
          <w:tcPr>
            <w:tcW w:w="3327" w:type="pct"/>
            <w:tcBorders>
              <w:top w:val="nil"/>
              <w:left w:val="nil"/>
              <w:bottom w:val="nil"/>
              <w:right w:val="nil"/>
            </w:tcBorders>
          </w:tcPr>
          <w:p w14:paraId="0036A70C" w14:textId="77777777" w:rsidR="00AF274B" w:rsidRDefault="00AF274B">
            <w:pPr>
              <w:pStyle w:val="GlossaryTableText"/>
            </w:pPr>
            <w:r>
              <w:t xml:space="preserve">The report of changes made to previously verified data. </w:t>
            </w:r>
            <w:r>
              <w:rPr>
                <w:i/>
              </w:rPr>
              <w:t>Regulations require that a mechanism be in place to prevent “electronic white-out.” An audit report contains details of the change, before and after data, date, and who made the change.</w:t>
            </w:r>
          </w:p>
        </w:tc>
      </w:tr>
      <w:tr w:rsidR="00AF274B" w14:paraId="4514F37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324E7320" w14:textId="77777777" w:rsidR="00AF274B" w:rsidRDefault="00AF274B">
            <w:pPr>
              <w:pStyle w:val="GlossaryTableText"/>
              <w:rPr>
                <w:b/>
                <w:snapToGrid w:val="0"/>
              </w:rPr>
            </w:pPr>
            <w:r>
              <w:rPr>
                <w:b/>
                <w:snapToGrid w:val="0"/>
              </w:rPr>
              <w:t>Autocontrol</w:t>
            </w:r>
          </w:p>
        </w:tc>
        <w:tc>
          <w:tcPr>
            <w:tcW w:w="3327" w:type="pct"/>
            <w:tcBorders>
              <w:top w:val="nil"/>
              <w:left w:val="nil"/>
              <w:bottom w:val="nil"/>
              <w:right w:val="nil"/>
            </w:tcBorders>
          </w:tcPr>
          <w:p w14:paraId="06A362E1" w14:textId="77777777" w:rsidR="00AF274B" w:rsidRDefault="00AF274B">
            <w:pPr>
              <w:pStyle w:val="GlossaryTableText"/>
              <w:rPr>
                <w:snapToGrid w:val="0"/>
              </w:rPr>
            </w:pPr>
            <w:r>
              <w:rPr>
                <w:snapToGrid w:val="0"/>
              </w:rPr>
              <w:t>A test using a patient’s serum (plasma) and cells under the same conditions as the accompanying test.</w:t>
            </w:r>
          </w:p>
        </w:tc>
      </w:tr>
      <w:tr w:rsidR="00AF274B" w14:paraId="6E580D9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4FCC9F4D" w14:textId="77777777" w:rsidR="00AF274B" w:rsidRDefault="00AF274B">
            <w:pPr>
              <w:pStyle w:val="GlossaryTableText"/>
              <w:rPr>
                <w:b/>
                <w:snapToGrid w:val="0"/>
              </w:rPr>
            </w:pPr>
            <w:r>
              <w:rPr>
                <w:b/>
              </w:rPr>
              <w:t>Autodiscriminate</w:t>
            </w:r>
          </w:p>
        </w:tc>
        <w:tc>
          <w:tcPr>
            <w:tcW w:w="3327" w:type="pct"/>
            <w:tcBorders>
              <w:top w:val="nil"/>
              <w:left w:val="nil"/>
              <w:bottom w:val="nil"/>
              <w:right w:val="nil"/>
            </w:tcBorders>
          </w:tcPr>
          <w:p w14:paraId="780837F8" w14:textId="77777777" w:rsidR="00AF274B" w:rsidRDefault="00AF274B">
            <w:pPr>
              <w:pStyle w:val="GlossaryTableText"/>
              <w:rPr>
                <w:snapToGrid w:val="0"/>
              </w:rPr>
            </w:pPr>
            <w:r>
              <w:t>Describes the ability of a barcode scanner to identify and interpret more than one barcode symbology without having to adjust any software or hardware parameters.</w:t>
            </w:r>
          </w:p>
        </w:tc>
      </w:tr>
      <w:tr w:rsidR="00AF274B" w14:paraId="04C39FC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430F4F39" w14:textId="77777777" w:rsidR="00AF274B" w:rsidRDefault="00AF274B">
            <w:pPr>
              <w:pStyle w:val="GlossaryTableText"/>
              <w:rPr>
                <w:b/>
                <w:snapToGrid w:val="0"/>
              </w:rPr>
            </w:pPr>
            <w:r>
              <w:rPr>
                <w:b/>
              </w:rPr>
              <w:t>Autologous</w:t>
            </w:r>
          </w:p>
        </w:tc>
        <w:tc>
          <w:tcPr>
            <w:tcW w:w="3327" w:type="pct"/>
            <w:tcBorders>
              <w:top w:val="nil"/>
              <w:left w:val="nil"/>
              <w:bottom w:val="nil"/>
              <w:right w:val="nil"/>
            </w:tcBorders>
          </w:tcPr>
          <w:p w14:paraId="3D5F1C0B" w14:textId="77777777" w:rsidR="00AF274B" w:rsidRDefault="00AF274B">
            <w:pPr>
              <w:pStyle w:val="GlossaryTableText"/>
              <w:rPr>
                <w:snapToGrid w:val="0"/>
              </w:rPr>
            </w:pPr>
            <w:r>
              <w:t xml:space="preserve">Describes blood donated in advance for use by the donor in the future, often for elective surgery. </w:t>
            </w:r>
            <w:r>
              <w:rPr>
                <w:i/>
              </w:rPr>
              <w:t>Regulations allow for processing patients with diseases that otherwise would preclude them from donating blood to donate for themselves autologously. It is imperative that software guarantee that such blood is never available for use by anyone other than the intended recipient.</w:t>
            </w:r>
          </w:p>
        </w:tc>
      </w:tr>
      <w:tr w:rsidR="00AF274B" w14:paraId="62A2562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5FD5373C" w14:textId="77777777" w:rsidR="00AF274B" w:rsidRDefault="00AF274B">
            <w:pPr>
              <w:pStyle w:val="GlossaryTableText"/>
              <w:rPr>
                <w:b/>
              </w:rPr>
            </w:pPr>
            <w:r>
              <w:rPr>
                <w:b/>
              </w:rPr>
              <w:t>Barcode scanner</w:t>
            </w:r>
          </w:p>
        </w:tc>
        <w:tc>
          <w:tcPr>
            <w:tcW w:w="3327" w:type="pct"/>
            <w:tcBorders>
              <w:top w:val="nil"/>
              <w:left w:val="nil"/>
              <w:bottom w:val="nil"/>
              <w:right w:val="nil"/>
            </w:tcBorders>
          </w:tcPr>
          <w:p w14:paraId="11B4DD81" w14:textId="77777777" w:rsidR="00AF274B" w:rsidRDefault="00AF274B">
            <w:pPr>
              <w:pStyle w:val="GlossaryTableText"/>
            </w:pPr>
            <w:r>
              <w:t>An electronic device that uses a finely focused beam of light to sense and transmit the data in a barcode image.</w:t>
            </w:r>
          </w:p>
        </w:tc>
      </w:tr>
      <w:tr w:rsidR="00AF274B" w14:paraId="0B26B3A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1C288F58" w14:textId="77777777" w:rsidR="00AF274B" w:rsidRDefault="00AF274B">
            <w:pPr>
              <w:pStyle w:val="GlossaryTableText"/>
              <w:rPr>
                <w:b/>
              </w:rPr>
            </w:pPr>
            <w:r>
              <w:rPr>
                <w:b/>
              </w:rPr>
              <w:t>Billable</w:t>
            </w:r>
          </w:p>
        </w:tc>
        <w:tc>
          <w:tcPr>
            <w:tcW w:w="3327" w:type="pct"/>
            <w:tcBorders>
              <w:top w:val="nil"/>
              <w:left w:val="nil"/>
              <w:bottom w:val="nil"/>
              <w:right w:val="nil"/>
            </w:tcBorders>
          </w:tcPr>
          <w:p w14:paraId="5B0FE08F" w14:textId="77777777" w:rsidR="00AF274B" w:rsidRDefault="00AF274B">
            <w:pPr>
              <w:pStyle w:val="GlossaryTableText"/>
            </w:pPr>
            <w:r>
              <w:t>A characteristic of an LMIP workload code that determines if statistics gathered as a result of that workload code should be included in the monthly report to the Austin Automation Center.</w:t>
            </w:r>
          </w:p>
        </w:tc>
      </w:tr>
      <w:tr w:rsidR="00AF274B" w14:paraId="0D9BD29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66C5ED9E" w14:textId="77777777" w:rsidR="00AF274B" w:rsidRDefault="00AF274B">
            <w:pPr>
              <w:pStyle w:val="GlossaryTableText"/>
              <w:rPr>
                <w:b/>
              </w:rPr>
            </w:pPr>
            <w:r>
              <w:rPr>
                <w:b/>
              </w:rPr>
              <w:t>Blood product</w:t>
            </w:r>
          </w:p>
        </w:tc>
        <w:tc>
          <w:tcPr>
            <w:tcW w:w="3327" w:type="pct"/>
            <w:tcBorders>
              <w:top w:val="nil"/>
              <w:left w:val="nil"/>
              <w:bottom w:val="nil"/>
              <w:right w:val="nil"/>
            </w:tcBorders>
          </w:tcPr>
          <w:p w14:paraId="5239C733" w14:textId="7CE20C55" w:rsidR="00AF274B" w:rsidRDefault="00534B75">
            <w:pPr>
              <w:pStyle w:val="GlossaryTableText"/>
            </w:pPr>
            <w:r>
              <w:t>A specific example of a blood component class (e.g.,</w:t>
            </w:r>
            <w:r>
              <w:rPr>
                <w:i/>
              </w:rPr>
              <w:t xml:space="preserve"> AS-1 Red Blood Cells in the component class Red Blood Cells</w:t>
            </w:r>
            <w:r w:rsidR="0030726A">
              <w:rPr>
                <w:i/>
              </w:rPr>
              <w:t>)</w:t>
            </w:r>
            <w:r>
              <w:rPr>
                <w:i/>
              </w:rPr>
              <w:t>. (</w:t>
            </w:r>
            <w:r>
              <w:t>BloodProduct</w:t>
            </w:r>
            <w:r>
              <w:rPr>
                <w:i/>
              </w:rPr>
              <w:t xml:space="preserve"> in VBECS model).</w:t>
            </w:r>
          </w:p>
        </w:tc>
      </w:tr>
      <w:tr w:rsidR="00AF274B" w14:paraId="45AE236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2DEA7CEA" w14:textId="77777777" w:rsidR="00AF274B" w:rsidRDefault="00AF274B">
            <w:pPr>
              <w:pStyle w:val="GlossaryTableText"/>
              <w:rPr>
                <w:b/>
              </w:rPr>
            </w:pPr>
            <w:r>
              <w:rPr>
                <w:b/>
              </w:rPr>
              <w:t>Blood Transfusion Record Form (BTRF)</w:t>
            </w:r>
          </w:p>
        </w:tc>
        <w:tc>
          <w:tcPr>
            <w:tcW w:w="3327" w:type="pct"/>
            <w:tcBorders>
              <w:top w:val="nil"/>
              <w:left w:val="nil"/>
              <w:bottom w:val="nil"/>
              <w:right w:val="nil"/>
            </w:tcBorders>
          </w:tcPr>
          <w:p w14:paraId="17C6EE3C" w14:textId="77777777" w:rsidR="00AF274B" w:rsidRDefault="00AF274B">
            <w:pPr>
              <w:pStyle w:val="GlossaryTableText"/>
              <w:rPr>
                <w:b/>
                <w:i/>
              </w:rPr>
            </w:pPr>
            <w:r>
              <w:t xml:space="preserve">A form printed in the blood bank used to record the actual events of a transfusion. </w:t>
            </w:r>
            <w:r>
              <w:rPr>
                <w:i/>
              </w:rPr>
              <w:t>Examples: start/stop time, transfusionists, vitals, reaction information. Formerly “SF 518 equivalent”</w:t>
            </w:r>
            <w:r>
              <w:t xml:space="preserve"> (</w:t>
            </w:r>
            <w:r w:rsidRPr="00CA6E27">
              <w:rPr>
                <w:bCs/>
                <w:i/>
              </w:rPr>
              <w:t>VistA</w:t>
            </w:r>
            <w:r>
              <w:rPr>
                <w:i/>
              </w:rPr>
              <w:t xml:space="preserve"> nomenclature).</w:t>
            </w:r>
          </w:p>
        </w:tc>
      </w:tr>
      <w:tr w:rsidR="00AF274B" w14:paraId="3C74656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449000D4" w14:textId="77777777" w:rsidR="00AF274B" w:rsidRDefault="00AF274B">
            <w:pPr>
              <w:pStyle w:val="GlossaryTableText"/>
              <w:rPr>
                <w:b/>
              </w:rPr>
            </w:pPr>
            <w:r>
              <w:rPr>
                <w:b/>
              </w:rPr>
              <w:t>Blood type (blood group)</w:t>
            </w:r>
          </w:p>
        </w:tc>
        <w:tc>
          <w:tcPr>
            <w:tcW w:w="3327" w:type="pct"/>
            <w:tcBorders>
              <w:top w:val="nil"/>
              <w:left w:val="nil"/>
              <w:bottom w:val="nil"/>
              <w:right w:val="nil"/>
            </w:tcBorders>
          </w:tcPr>
          <w:p w14:paraId="637C8E85" w14:textId="77777777" w:rsidR="00AF274B" w:rsidRDefault="00AF274B">
            <w:pPr>
              <w:pStyle w:val="GlossaryTableText"/>
            </w:pPr>
            <w:r>
              <w:t>The ABO and Rh type of blood determined by testing.</w:t>
            </w:r>
          </w:p>
        </w:tc>
      </w:tr>
      <w:tr w:rsidR="00AF274B" w14:paraId="28E4B60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5863C9A8" w14:textId="77777777" w:rsidR="00AF274B" w:rsidRDefault="00AF274B">
            <w:pPr>
              <w:pStyle w:val="GlossaryTableText"/>
              <w:rPr>
                <w:b/>
                <w:bCs/>
              </w:rPr>
            </w:pPr>
            <w:r>
              <w:rPr>
                <w:b/>
                <w:bCs/>
              </w:rPr>
              <w:t>Canned comment</w:t>
            </w:r>
          </w:p>
        </w:tc>
        <w:tc>
          <w:tcPr>
            <w:tcW w:w="3327" w:type="pct"/>
            <w:tcBorders>
              <w:top w:val="nil"/>
              <w:left w:val="nil"/>
              <w:bottom w:val="nil"/>
              <w:right w:val="nil"/>
            </w:tcBorders>
          </w:tcPr>
          <w:p w14:paraId="073C21AE" w14:textId="77777777" w:rsidR="00AF274B" w:rsidRDefault="00AF274B">
            <w:pPr>
              <w:pStyle w:val="GlossaryTableText"/>
            </w:pPr>
            <w:r>
              <w:t xml:space="preserve">Defined comments, entered in abbreviated form and displayed as expanded text, used to enter supporting information at a variety of data entry points. </w:t>
            </w:r>
          </w:p>
        </w:tc>
      </w:tr>
      <w:tr w:rsidR="00AF274B" w14:paraId="0D55892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6928E025" w14:textId="77777777" w:rsidR="00AF274B" w:rsidRDefault="00AF274B">
            <w:pPr>
              <w:pStyle w:val="GlossaryTableText"/>
              <w:rPr>
                <w:b/>
                <w:bCs/>
              </w:rPr>
            </w:pPr>
            <w:r>
              <w:rPr>
                <w:b/>
                <w:bCs/>
                <w:snapToGrid w:val="0"/>
              </w:rPr>
              <w:t>Category type</w:t>
            </w:r>
          </w:p>
        </w:tc>
        <w:tc>
          <w:tcPr>
            <w:tcW w:w="3327" w:type="pct"/>
            <w:tcBorders>
              <w:top w:val="nil"/>
              <w:left w:val="nil"/>
              <w:bottom w:val="nil"/>
              <w:right w:val="nil"/>
            </w:tcBorders>
          </w:tcPr>
          <w:p w14:paraId="602BD9F6" w14:textId="77777777" w:rsidR="00AF274B" w:rsidRDefault="00AF274B">
            <w:pPr>
              <w:pStyle w:val="GlossaryTableText"/>
            </w:pPr>
            <w:r>
              <w:rPr>
                <w:snapToGrid w:val="0"/>
              </w:rPr>
              <w:t>When used in relation to the file of canned comments, the category of the comment that determines in which functionality the comment may be selected and associated with other data.</w:t>
            </w:r>
          </w:p>
        </w:tc>
      </w:tr>
      <w:tr w:rsidR="00AF274B" w14:paraId="72D8885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257AC43B" w14:textId="77777777" w:rsidR="00AF274B" w:rsidRDefault="00AF274B">
            <w:pPr>
              <w:pStyle w:val="GlossaryTableText"/>
              <w:rPr>
                <w:b/>
                <w:bCs/>
              </w:rPr>
            </w:pPr>
            <w:r>
              <w:rPr>
                <w:b/>
                <w:bCs/>
              </w:rPr>
              <w:lastRenderedPageBreak/>
              <w:t>Caution Tag</w:t>
            </w:r>
          </w:p>
        </w:tc>
        <w:tc>
          <w:tcPr>
            <w:tcW w:w="3327" w:type="pct"/>
            <w:tcBorders>
              <w:top w:val="nil"/>
              <w:left w:val="nil"/>
              <w:bottom w:val="nil"/>
              <w:right w:val="nil"/>
            </w:tcBorders>
          </w:tcPr>
          <w:p w14:paraId="71C6CDF8" w14:textId="77777777" w:rsidR="00AF274B" w:rsidRDefault="00AF274B">
            <w:pPr>
              <w:pStyle w:val="GlossaryTableText"/>
            </w:pPr>
            <w:r>
              <w:t>A blood bank-generated form attached to a unit of blood when the unit is assigned or crossmatched.</w:t>
            </w:r>
          </w:p>
        </w:tc>
      </w:tr>
      <w:tr w:rsidR="00AF274B" w14:paraId="46984CE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77F29AE9" w14:textId="77777777" w:rsidR="00AF274B" w:rsidRDefault="00AF274B">
            <w:pPr>
              <w:pStyle w:val="GlossaryTableText"/>
              <w:rPr>
                <w:b/>
                <w:bCs/>
              </w:rPr>
            </w:pPr>
            <w:r>
              <w:rPr>
                <w:b/>
                <w:bCs/>
              </w:rPr>
              <w:t>CC</w:t>
            </w:r>
          </w:p>
        </w:tc>
        <w:tc>
          <w:tcPr>
            <w:tcW w:w="3327" w:type="pct"/>
            <w:tcBorders>
              <w:top w:val="nil"/>
              <w:left w:val="nil"/>
              <w:bottom w:val="nil"/>
              <w:right w:val="nil"/>
            </w:tcBorders>
          </w:tcPr>
          <w:p w14:paraId="312DD6DB" w14:textId="77777777" w:rsidR="00AF274B" w:rsidRDefault="00AF274B">
            <w:pPr>
              <w:pStyle w:val="GlossaryTableText"/>
            </w:pPr>
            <w:r>
              <w:t>Check Cell.</w:t>
            </w:r>
          </w:p>
        </w:tc>
      </w:tr>
      <w:tr w:rsidR="00AF274B" w14:paraId="0B49ED8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5BCBF0DE" w14:textId="77777777" w:rsidR="00AF274B" w:rsidRDefault="00AF274B">
            <w:pPr>
              <w:pStyle w:val="GlossaryTableText"/>
              <w:rPr>
                <w:b/>
                <w:bCs/>
              </w:rPr>
            </w:pPr>
            <w:r>
              <w:rPr>
                <w:b/>
                <w:bCs/>
              </w:rPr>
              <w:t>Check Cell (CC)</w:t>
            </w:r>
          </w:p>
        </w:tc>
        <w:tc>
          <w:tcPr>
            <w:tcW w:w="3327" w:type="pct"/>
            <w:tcBorders>
              <w:top w:val="nil"/>
              <w:left w:val="nil"/>
              <w:bottom w:val="nil"/>
              <w:right w:val="nil"/>
            </w:tcBorders>
          </w:tcPr>
          <w:p w14:paraId="39E46D82" w14:textId="77777777" w:rsidR="00AF274B" w:rsidRDefault="00AF274B">
            <w:pPr>
              <w:pStyle w:val="GlossaryTableText"/>
            </w:pPr>
            <w:r>
              <w:t xml:space="preserve">A type of reagent red cell used in the blood bank to verify the reactivity of antiglobulin antisera when the results of an antiglobulin test are negative. </w:t>
            </w:r>
            <w:r>
              <w:rPr>
                <w:i/>
              </w:rPr>
              <w:t>Also referred to as “Coombs Control cells.”</w:t>
            </w:r>
          </w:p>
        </w:tc>
      </w:tr>
      <w:tr w:rsidR="00BE425A" w14:paraId="3D88F88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2E2AB4C1" w14:textId="77777777" w:rsidR="00BE425A" w:rsidRDefault="00BE425A">
            <w:pPr>
              <w:pStyle w:val="GlossaryTableText"/>
              <w:rPr>
                <w:b/>
                <w:bCs/>
              </w:rPr>
            </w:pPr>
            <w:r>
              <w:rPr>
                <w:b/>
                <w:bCs/>
              </w:rPr>
              <w:t>Check character</w:t>
            </w:r>
          </w:p>
        </w:tc>
        <w:tc>
          <w:tcPr>
            <w:tcW w:w="3327" w:type="pct"/>
            <w:tcBorders>
              <w:top w:val="nil"/>
              <w:left w:val="nil"/>
              <w:bottom w:val="nil"/>
              <w:right w:val="nil"/>
            </w:tcBorders>
          </w:tcPr>
          <w:p w14:paraId="37651FFD" w14:textId="77777777" w:rsidR="00BE425A" w:rsidRDefault="00BE425A">
            <w:pPr>
              <w:pStyle w:val="GlossaryTableText"/>
            </w:pPr>
            <w:r>
              <w:rPr>
                <w:rFonts w:cs="Arial"/>
              </w:rPr>
              <w:t>A character used to check the integrity of a barcode</w:t>
            </w:r>
            <w:r w:rsidR="005C2D6C">
              <w:rPr>
                <w:rFonts w:cs="Arial"/>
              </w:rPr>
              <w:t xml:space="preserve"> symbol.</w:t>
            </w:r>
          </w:p>
        </w:tc>
      </w:tr>
      <w:tr w:rsidR="00AF274B" w14:paraId="34BCD6D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4AB29DFE" w14:textId="77777777" w:rsidR="00AF274B" w:rsidRDefault="00AF274B">
            <w:pPr>
              <w:pStyle w:val="GlossaryTableText"/>
              <w:rPr>
                <w:b/>
                <w:bCs/>
              </w:rPr>
            </w:pPr>
            <w:r>
              <w:rPr>
                <w:b/>
                <w:bCs/>
              </w:rPr>
              <w:t>Clinically significant antibodies</w:t>
            </w:r>
          </w:p>
        </w:tc>
        <w:tc>
          <w:tcPr>
            <w:tcW w:w="3327" w:type="pct"/>
            <w:tcBorders>
              <w:top w:val="nil"/>
              <w:left w:val="nil"/>
              <w:bottom w:val="nil"/>
              <w:right w:val="nil"/>
            </w:tcBorders>
          </w:tcPr>
          <w:p w14:paraId="41640266" w14:textId="77777777" w:rsidR="00AF274B" w:rsidRDefault="00AF274B">
            <w:pPr>
              <w:pStyle w:val="GlossaryTableText"/>
              <w:rPr>
                <w:i/>
              </w:rPr>
            </w:pPr>
            <w:r>
              <w:t xml:space="preserve">If there is a chance of an adverse reaction to a transfusion, the antibodies associated with the antigens in that unit are considered clinically significant. </w:t>
            </w:r>
            <w:r>
              <w:rPr>
                <w:i/>
              </w:rPr>
              <w:t>Only clinically significant antibodies require that the patient receive red cells that have been phenotyped as negative for the associated antigen.</w:t>
            </w:r>
          </w:p>
        </w:tc>
      </w:tr>
      <w:tr w:rsidR="00AF274B" w14:paraId="2C0A13A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4B8A3957" w14:textId="77777777" w:rsidR="00AF274B" w:rsidRDefault="00AF274B">
            <w:pPr>
              <w:pStyle w:val="GlossaryTableText"/>
              <w:rPr>
                <w:b/>
                <w:bCs/>
              </w:rPr>
            </w:pPr>
            <w:r>
              <w:rPr>
                <w:b/>
                <w:bCs/>
              </w:rPr>
              <w:t>CMS</w:t>
            </w:r>
          </w:p>
        </w:tc>
        <w:tc>
          <w:tcPr>
            <w:tcW w:w="3327" w:type="pct"/>
            <w:tcBorders>
              <w:top w:val="nil"/>
              <w:left w:val="nil"/>
              <w:bottom w:val="nil"/>
              <w:right w:val="nil"/>
            </w:tcBorders>
          </w:tcPr>
          <w:p w14:paraId="10C68C89" w14:textId="77777777" w:rsidR="00AF274B" w:rsidRDefault="00AF274B">
            <w:pPr>
              <w:pStyle w:val="GlossaryTableText"/>
            </w:pPr>
            <w:r>
              <w:t xml:space="preserve">Centers for Medicare and Medicaid Services. </w:t>
            </w:r>
            <w:r w:rsidR="00F13656">
              <w:t xml:space="preserve">The federal agency responsible for administering the Medicare and Medicaid programs as well as certain other healthcare entitlement programs. </w:t>
            </w:r>
            <w:r w:rsidR="00A42B8B">
              <w:t>“</w:t>
            </w:r>
            <w:r w:rsidR="00F13656">
              <w:t>CMS</w:t>
            </w:r>
            <w:r w:rsidR="00A42B8B">
              <w:t>”</w:t>
            </w:r>
            <w:r>
              <w:t xml:space="preserve"> is the new name for HCFA (Health Care Financing Administration) under the Bush administration.</w:t>
            </w:r>
          </w:p>
        </w:tc>
      </w:tr>
      <w:tr w:rsidR="00AF274B" w14:paraId="1326DE1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19A0A3C5" w14:textId="77777777" w:rsidR="00AF274B" w:rsidRDefault="00AF274B">
            <w:pPr>
              <w:pStyle w:val="GlossaryTableText"/>
              <w:rPr>
                <w:b/>
                <w:bCs/>
              </w:rPr>
            </w:pPr>
            <w:r>
              <w:rPr>
                <w:b/>
                <w:bCs/>
              </w:rPr>
              <w:t>CMV</w:t>
            </w:r>
          </w:p>
        </w:tc>
        <w:tc>
          <w:tcPr>
            <w:tcW w:w="3327" w:type="pct"/>
            <w:tcBorders>
              <w:top w:val="nil"/>
              <w:left w:val="nil"/>
              <w:bottom w:val="nil"/>
              <w:right w:val="nil"/>
            </w:tcBorders>
          </w:tcPr>
          <w:p w14:paraId="42B77596" w14:textId="77777777" w:rsidR="00AF274B" w:rsidRDefault="00AF274B">
            <w:pPr>
              <w:pStyle w:val="GlossaryTableText"/>
            </w:pPr>
            <w:r>
              <w:t>Cytomegalovirus. Some patients should receive only blood units that have been tested and found negative for CMV.</w:t>
            </w:r>
          </w:p>
        </w:tc>
      </w:tr>
      <w:tr w:rsidR="00083B7D" w14:paraId="5F8975F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5523406B" w14:textId="77777777" w:rsidR="00083B7D" w:rsidRDefault="00083B7D">
            <w:pPr>
              <w:pStyle w:val="GlossaryTableText"/>
              <w:rPr>
                <w:b/>
                <w:bCs/>
              </w:rPr>
            </w:pPr>
            <w:r>
              <w:rPr>
                <w:b/>
                <w:bCs/>
              </w:rPr>
              <w:t>COTS</w:t>
            </w:r>
          </w:p>
        </w:tc>
        <w:tc>
          <w:tcPr>
            <w:tcW w:w="3327" w:type="pct"/>
            <w:tcBorders>
              <w:top w:val="nil"/>
              <w:left w:val="nil"/>
              <w:bottom w:val="nil"/>
              <w:right w:val="nil"/>
            </w:tcBorders>
          </w:tcPr>
          <w:p w14:paraId="446B32D2" w14:textId="77777777" w:rsidR="00083B7D" w:rsidRDefault="00083B7D">
            <w:pPr>
              <w:pStyle w:val="GlossaryTableText"/>
            </w:pPr>
            <w:r>
              <w:t>Commercial-Off-The-Shelf.</w:t>
            </w:r>
          </w:p>
        </w:tc>
      </w:tr>
      <w:tr w:rsidR="00AF274B" w14:paraId="119A6AC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7D9EF061" w14:textId="77777777" w:rsidR="00AF274B" w:rsidRDefault="00AF274B">
            <w:pPr>
              <w:pStyle w:val="GlossaryTableText"/>
              <w:rPr>
                <w:b/>
                <w:bCs/>
              </w:rPr>
            </w:pPr>
            <w:r>
              <w:rPr>
                <w:b/>
                <w:bCs/>
              </w:rPr>
              <w:t>Compatibility testing</w:t>
            </w:r>
          </w:p>
        </w:tc>
        <w:tc>
          <w:tcPr>
            <w:tcW w:w="3327" w:type="pct"/>
            <w:tcBorders>
              <w:top w:val="nil"/>
              <w:left w:val="nil"/>
              <w:bottom w:val="nil"/>
              <w:right w:val="nil"/>
            </w:tcBorders>
          </w:tcPr>
          <w:p w14:paraId="5578AD3A" w14:textId="77777777" w:rsidR="00AF274B" w:rsidRDefault="00AF274B">
            <w:pPr>
              <w:pStyle w:val="GlossaryTableText"/>
            </w:pPr>
            <w:r>
              <w:t xml:space="preserve">Tests performed in the blood bank to determine the suitability of a unit of blood for a patient. </w:t>
            </w:r>
            <w:r>
              <w:rPr>
                <w:i/>
              </w:rPr>
              <w:t>Depending on the component class, compatibility testing can be as limited as comparing donor and patient ABO/Rh or as complex as requiring crossmatch.</w:t>
            </w:r>
          </w:p>
        </w:tc>
      </w:tr>
      <w:tr w:rsidR="00AF274B" w14:paraId="40B709E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6C00276B" w14:textId="77777777" w:rsidR="00AF274B" w:rsidRDefault="00AF274B">
            <w:pPr>
              <w:pStyle w:val="GlossaryTableText"/>
              <w:rPr>
                <w:b/>
                <w:bCs/>
              </w:rPr>
            </w:pPr>
            <w:r>
              <w:rPr>
                <w:b/>
                <w:bCs/>
              </w:rPr>
              <w:t>Completed TRW</w:t>
            </w:r>
          </w:p>
        </w:tc>
        <w:tc>
          <w:tcPr>
            <w:tcW w:w="3327" w:type="pct"/>
            <w:tcBorders>
              <w:top w:val="nil"/>
              <w:left w:val="nil"/>
              <w:bottom w:val="nil"/>
              <w:right w:val="nil"/>
            </w:tcBorders>
          </w:tcPr>
          <w:p w14:paraId="5CF511C1" w14:textId="77777777" w:rsidR="00AF274B" w:rsidRDefault="00AF274B">
            <w:pPr>
              <w:pStyle w:val="GlossaryTableText"/>
            </w:pPr>
            <w:r w:rsidRPr="007F427E">
              <w:t xml:space="preserve">A completed TRW indicates that serologic testing was completed. </w:t>
            </w:r>
          </w:p>
        </w:tc>
      </w:tr>
      <w:tr w:rsidR="00AF274B" w14:paraId="27E2786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4902E4BD" w14:textId="77777777" w:rsidR="00AF274B" w:rsidRDefault="00AF274B">
            <w:pPr>
              <w:pStyle w:val="GlossaryTableText"/>
              <w:rPr>
                <w:b/>
                <w:bCs/>
              </w:rPr>
            </w:pPr>
            <w:r>
              <w:rPr>
                <w:b/>
                <w:bCs/>
              </w:rPr>
              <w:t>Component</w:t>
            </w:r>
          </w:p>
        </w:tc>
        <w:tc>
          <w:tcPr>
            <w:tcW w:w="3327" w:type="pct"/>
            <w:tcBorders>
              <w:top w:val="nil"/>
              <w:left w:val="nil"/>
              <w:bottom w:val="nil"/>
              <w:right w:val="nil"/>
            </w:tcBorders>
          </w:tcPr>
          <w:p w14:paraId="0F0E0500" w14:textId="77777777" w:rsidR="00AF274B" w:rsidRDefault="00AF274B">
            <w:pPr>
              <w:pStyle w:val="GlossaryTableText"/>
            </w:pPr>
            <w:r>
              <w:t>Any raw material, substance, piece, part, software, firmware, labeling, or assembly that is intended to be included as part of the finished, packaged, and labeled device.</w:t>
            </w:r>
          </w:p>
        </w:tc>
      </w:tr>
      <w:tr w:rsidR="00AF274B" w14:paraId="6AA8B15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363242D1" w14:textId="77777777" w:rsidR="00AF274B" w:rsidRDefault="00AF274B">
            <w:pPr>
              <w:pStyle w:val="GlossaryTableText"/>
              <w:rPr>
                <w:b/>
                <w:bCs/>
              </w:rPr>
            </w:pPr>
            <w:r>
              <w:rPr>
                <w:b/>
                <w:bCs/>
              </w:rPr>
              <w:t>Component class</w:t>
            </w:r>
          </w:p>
        </w:tc>
        <w:tc>
          <w:tcPr>
            <w:tcW w:w="3327" w:type="pct"/>
            <w:tcBorders>
              <w:top w:val="nil"/>
              <w:left w:val="nil"/>
              <w:bottom w:val="nil"/>
              <w:right w:val="nil"/>
            </w:tcBorders>
          </w:tcPr>
          <w:p w14:paraId="413A0A44" w14:textId="77777777" w:rsidR="00AF274B" w:rsidRDefault="00AF274B">
            <w:pPr>
              <w:pStyle w:val="GlossaryTableText"/>
            </w:pPr>
            <w:r>
              <w:t xml:space="preserve">The general form of a specific product produced by a blood supplier. </w:t>
            </w:r>
            <w:r>
              <w:rPr>
                <w:i/>
              </w:rPr>
              <w:t>Example: Red Blood Cells, Fresh Frozen Plasma, and Platelets. (</w:t>
            </w:r>
            <w:r>
              <w:t>Product Type</w:t>
            </w:r>
            <w:r>
              <w:rPr>
                <w:i/>
              </w:rPr>
              <w:t xml:space="preserve"> in VBECS model)</w:t>
            </w:r>
          </w:p>
        </w:tc>
      </w:tr>
      <w:tr w:rsidR="00AF274B" w14:paraId="3FEA3F4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64A819E4" w14:textId="77777777" w:rsidR="00AF274B" w:rsidRDefault="00AF274B">
            <w:pPr>
              <w:pStyle w:val="GlossaryTableText"/>
              <w:rPr>
                <w:b/>
                <w:bCs/>
              </w:rPr>
            </w:pPr>
            <w:r>
              <w:rPr>
                <w:b/>
                <w:bCs/>
              </w:rPr>
              <w:t>Coombs test</w:t>
            </w:r>
          </w:p>
        </w:tc>
        <w:tc>
          <w:tcPr>
            <w:tcW w:w="3327" w:type="pct"/>
            <w:tcBorders>
              <w:top w:val="nil"/>
              <w:left w:val="nil"/>
              <w:bottom w:val="nil"/>
              <w:right w:val="nil"/>
            </w:tcBorders>
          </w:tcPr>
          <w:p w14:paraId="1FF61E04" w14:textId="77777777" w:rsidR="00AF274B" w:rsidRPr="00366313" w:rsidRDefault="00AF274B" w:rsidP="00366313">
            <w:pPr>
              <w:pStyle w:val="GlossaryTableText"/>
            </w:pPr>
            <w:r w:rsidRPr="00366313">
              <w:t xml:space="preserve">See </w:t>
            </w:r>
            <w:r>
              <w:t>“</w:t>
            </w:r>
            <w:r w:rsidRPr="00366313">
              <w:t>Anti-Human Globulin.</w:t>
            </w:r>
            <w:r>
              <w:t>”</w:t>
            </w:r>
          </w:p>
        </w:tc>
      </w:tr>
      <w:tr w:rsidR="00AF274B" w14:paraId="4FE3DBB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188AF0CC" w14:textId="77777777" w:rsidR="00AF274B" w:rsidRDefault="00AF274B">
            <w:pPr>
              <w:pStyle w:val="GlossaryTableText"/>
              <w:rPr>
                <w:b/>
                <w:bCs/>
              </w:rPr>
            </w:pPr>
            <w:r>
              <w:rPr>
                <w:b/>
                <w:bCs/>
              </w:rPr>
              <w:t>CPRS</w:t>
            </w:r>
          </w:p>
        </w:tc>
        <w:tc>
          <w:tcPr>
            <w:tcW w:w="3327" w:type="pct"/>
            <w:tcBorders>
              <w:top w:val="nil"/>
              <w:left w:val="nil"/>
              <w:bottom w:val="nil"/>
              <w:right w:val="nil"/>
            </w:tcBorders>
          </w:tcPr>
          <w:p w14:paraId="25447FB4" w14:textId="77777777" w:rsidR="00AF274B" w:rsidRDefault="00AF274B">
            <w:pPr>
              <w:pStyle w:val="GlossaryTableText"/>
            </w:pPr>
            <w:r>
              <w:t xml:space="preserve">Computerized Patient Record System. A </w:t>
            </w:r>
            <w:r w:rsidRPr="00CA6E27">
              <w:rPr>
                <w:bCs/>
              </w:rPr>
              <w:t>VistA</w:t>
            </w:r>
            <w:r>
              <w:t xml:space="preserve"> software application that provides an integrated patient record system for use by clinicians, managers, quality assurance staff, and researchers.</w:t>
            </w:r>
          </w:p>
        </w:tc>
      </w:tr>
      <w:tr w:rsidR="00AF274B" w14:paraId="25193B0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737074E2" w14:textId="77777777" w:rsidR="00AF274B" w:rsidRDefault="00AF274B">
            <w:pPr>
              <w:pStyle w:val="GlossaryTableText"/>
              <w:rPr>
                <w:b/>
                <w:bCs/>
              </w:rPr>
            </w:pPr>
            <w:r>
              <w:rPr>
                <w:b/>
                <w:bCs/>
              </w:rPr>
              <w:t>CPT</w:t>
            </w:r>
          </w:p>
        </w:tc>
        <w:tc>
          <w:tcPr>
            <w:tcW w:w="3327" w:type="pct"/>
            <w:tcBorders>
              <w:top w:val="nil"/>
              <w:left w:val="nil"/>
              <w:bottom w:val="nil"/>
              <w:right w:val="nil"/>
            </w:tcBorders>
          </w:tcPr>
          <w:p w14:paraId="3C4102E7" w14:textId="77777777" w:rsidR="00AF274B" w:rsidRDefault="00AF274B">
            <w:pPr>
              <w:pStyle w:val="GlossaryTableText"/>
              <w:rPr>
                <w:i/>
              </w:rPr>
            </w:pPr>
            <w:r>
              <w:t xml:space="preserve">Current Procedural Terminology. A proprietary terminology system owned by the AMA that enumerates medical and surgical services typically provided by physicians. </w:t>
            </w:r>
            <w:r>
              <w:rPr>
                <w:i/>
                <w:iCs/>
              </w:rPr>
              <w:t>Although CPT is proprietary, CMS (formerly HCFA) includes it in HCPCS and requires its use for outpatient claims submitted for Medicare and Medicaid beneficiaries.</w:t>
            </w:r>
          </w:p>
        </w:tc>
      </w:tr>
      <w:tr w:rsidR="00AF274B" w14:paraId="72679D8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53FB211C" w14:textId="77777777" w:rsidR="00AF274B" w:rsidRDefault="00AF274B">
            <w:pPr>
              <w:pStyle w:val="GlossaryTableText"/>
              <w:rPr>
                <w:b/>
                <w:bCs/>
              </w:rPr>
            </w:pPr>
            <w:r>
              <w:rPr>
                <w:b/>
                <w:bCs/>
              </w:rPr>
              <w:lastRenderedPageBreak/>
              <w:t>Crossmatch</w:t>
            </w:r>
          </w:p>
        </w:tc>
        <w:tc>
          <w:tcPr>
            <w:tcW w:w="3327" w:type="pct"/>
            <w:tcBorders>
              <w:top w:val="nil"/>
              <w:left w:val="nil"/>
              <w:bottom w:val="nil"/>
              <w:right w:val="nil"/>
            </w:tcBorders>
          </w:tcPr>
          <w:p w14:paraId="643222A2" w14:textId="77777777" w:rsidR="00AF274B" w:rsidRDefault="00AF274B">
            <w:pPr>
              <w:pStyle w:val="GlossaryTableText"/>
            </w:pPr>
            <w:r>
              <w:t xml:space="preserve">A procedure that demonstrates ABO compatibility and the absence of clinically significant antibody reactions between a patient and a unit of blood. </w:t>
            </w:r>
            <w:r>
              <w:rPr>
                <w:i/>
              </w:rPr>
              <w:t>Traditionally, a crossmatch consists of a serological test between the patient’s blood and a sample of the blood unit to be transfused. New regulations allow for what is called “computer/electronic crossmatch” in defined circumstances.</w:t>
            </w:r>
          </w:p>
        </w:tc>
      </w:tr>
      <w:tr w:rsidR="00AF274B" w14:paraId="5390773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0C134DD7" w14:textId="77777777" w:rsidR="00AF274B" w:rsidRDefault="00AF274B">
            <w:pPr>
              <w:pStyle w:val="GlossaryTableText"/>
              <w:rPr>
                <w:b/>
                <w:bCs/>
              </w:rPr>
            </w:pPr>
            <w:r>
              <w:rPr>
                <w:b/>
                <w:bCs/>
              </w:rPr>
              <w:t>Crossover</w:t>
            </w:r>
          </w:p>
        </w:tc>
        <w:tc>
          <w:tcPr>
            <w:tcW w:w="3327" w:type="pct"/>
            <w:tcBorders>
              <w:top w:val="nil"/>
              <w:left w:val="nil"/>
              <w:bottom w:val="nil"/>
              <w:right w:val="nil"/>
            </w:tcBorders>
          </w:tcPr>
          <w:p w14:paraId="5B9DE614" w14:textId="77777777" w:rsidR="00AF274B" w:rsidRDefault="00AF274B">
            <w:pPr>
              <w:pStyle w:val="GlossaryTableText"/>
              <w:rPr>
                <w:i/>
              </w:rPr>
            </w:pPr>
            <w:r>
              <w:t xml:space="preserve">A process by which an autologous or directed donor unit is released from the intended recipient and made available for general transfusion. </w:t>
            </w:r>
            <w:r>
              <w:rPr>
                <w:i/>
              </w:rPr>
              <w:t>VBECS supports only directed unit crossover.</w:t>
            </w:r>
          </w:p>
        </w:tc>
      </w:tr>
      <w:tr w:rsidR="00AF274B" w14:paraId="4CE4B2B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683A4CAC" w14:textId="77777777" w:rsidR="00AF274B" w:rsidRDefault="00AF274B">
            <w:pPr>
              <w:pStyle w:val="GlossaryTableText"/>
              <w:rPr>
                <w:b/>
                <w:bCs/>
              </w:rPr>
            </w:pPr>
            <w:r>
              <w:rPr>
                <w:b/>
                <w:bCs/>
              </w:rPr>
              <w:t>D</w:t>
            </w:r>
          </w:p>
        </w:tc>
        <w:tc>
          <w:tcPr>
            <w:tcW w:w="3327" w:type="pct"/>
            <w:tcBorders>
              <w:top w:val="nil"/>
              <w:left w:val="nil"/>
              <w:bottom w:val="nil"/>
              <w:right w:val="nil"/>
            </w:tcBorders>
          </w:tcPr>
          <w:p w14:paraId="1F9C5E91" w14:textId="77777777" w:rsidR="00AF274B" w:rsidRDefault="00AF274B">
            <w:pPr>
              <w:pStyle w:val="GlossaryTableText"/>
            </w:pPr>
            <w:r>
              <w:t>The major antigen of the Rh system. Also “Rh</w:t>
            </w:r>
            <w:r>
              <w:rPr>
                <w:vertAlign w:val="subscript"/>
              </w:rPr>
              <w:t>o</w:t>
            </w:r>
            <w:r>
              <w:t xml:space="preserve">.” </w:t>
            </w:r>
            <w:r>
              <w:rPr>
                <w:i/>
              </w:rPr>
              <w:t>The presence of this antigen on red blood cells determines if a patient or donor is Rh Pos or Rh Neg. A weak expression of the D antigen, referred to as “Du” or “weak D,” may require additional testing to determine its presence. “D negative” is another term for “Rh negative”; “D control” is another term for “Rh control.” The convention for VBECS GUIs is D control.</w:t>
            </w:r>
          </w:p>
        </w:tc>
      </w:tr>
      <w:tr w:rsidR="00AF274B" w14:paraId="1C276B2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7CA93912" w14:textId="77777777" w:rsidR="00AF274B" w:rsidRDefault="00AF274B">
            <w:pPr>
              <w:pStyle w:val="GlossaryTableText"/>
              <w:rPr>
                <w:b/>
              </w:rPr>
            </w:pPr>
            <w:r>
              <w:rPr>
                <w:b/>
                <w:snapToGrid w:val="0"/>
              </w:rPr>
              <w:t>Data entry grid</w:t>
            </w:r>
          </w:p>
        </w:tc>
        <w:tc>
          <w:tcPr>
            <w:tcW w:w="3327" w:type="pct"/>
            <w:tcBorders>
              <w:top w:val="nil"/>
              <w:left w:val="nil"/>
              <w:bottom w:val="nil"/>
              <w:right w:val="nil"/>
            </w:tcBorders>
          </w:tcPr>
          <w:p w14:paraId="02FF6DE4" w14:textId="77777777" w:rsidR="00AF274B" w:rsidRDefault="00AF274B">
            <w:pPr>
              <w:pStyle w:val="GlossaryTableText"/>
              <w:rPr>
                <w:snapToGrid w:val="0"/>
              </w:rPr>
            </w:pPr>
            <w:r>
              <w:rPr>
                <w:snapToGrid w:val="0"/>
              </w:rPr>
              <w:t>A grid that contains observations and interpretations of observations.</w:t>
            </w:r>
          </w:p>
        </w:tc>
      </w:tr>
      <w:tr w:rsidR="00AF274B" w14:paraId="2299379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2F4711F6" w14:textId="77777777" w:rsidR="00AF274B" w:rsidRDefault="00AF274B">
            <w:pPr>
              <w:pStyle w:val="GlossaryTableText"/>
              <w:rPr>
                <w:b/>
              </w:rPr>
            </w:pPr>
            <w:r>
              <w:rPr>
                <w:b/>
              </w:rPr>
              <w:t>Database</w:t>
            </w:r>
          </w:p>
        </w:tc>
        <w:tc>
          <w:tcPr>
            <w:tcW w:w="3327" w:type="pct"/>
            <w:tcBorders>
              <w:top w:val="nil"/>
              <w:left w:val="nil"/>
              <w:bottom w:val="nil"/>
              <w:right w:val="nil"/>
            </w:tcBorders>
          </w:tcPr>
          <w:p w14:paraId="5488E3D5" w14:textId="77777777" w:rsidR="00AF274B" w:rsidRDefault="00AF274B">
            <w:pPr>
              <w:pStyle w:val="GlossaryTableText"/>
            </w:pPr>
            <w:r>
              <w:t>A collection of data arranged for ease and speed of retrieval that may or may not contain data from multiple VBECS divisions.</w:t>
            </w:r>
          </w:p>
        </w:tc>
      </w:tr>
      <w:tr w:rsidR="00AF274B" w14:paraId="2FE3BC3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6AF5CA08" w14:textId="77777777" w:rsidR="00AF274B" w:rsidRDefault="00AF274B">
            <w:pPr>
              <w:pStyle w:val="GlossaryTableText"/>
              <w:rPr>
                <w:b/>
              </w:rPr>
            </w:pPr>
            <w:r>
              <w:rPr>
                <w:b/>
              </w:rPr>
              <w:t>Day of use</w:t>
            </w:r>
          </w:p>
        </w:tc>
        <w:tc>
          <w:tcPr>
            <w:tcW w:w="3327" w:type="pct"/>
            <w:tcBorders>
              <w:top w:val="nil"/>
              <w:left w:val="nil"/>
              <w:bottom w:val="nil"/>
              <w:right w:val="nil"/>
            </w:tcBorders>
          </w:tcPr>
          <w:p w14:paraId="7254879E" w14:textId="77777777" w:rsidR="00AF274B" w:rsidRDefault="00AF274B">
            <w:pPr>
              <w:pStyle w:val="GlossaryTableText"/>
              <w:rPr>
                <w:snapToGrid w:val="0"/>
              </w:rPr>
            </w:pPr>
            <w:r>
              <w:t>The calendar date times (0000–2359) a reagent is used.</w:t>
            </w:r>
          </w:p>
        </w:tc>
      </w:tr>
      <w:tr w:rsidR="00AF274B" w14:paraId="195B9A3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4EB7B77C" w14:textId="77777777" w:rsidR="00AF274B" w:rsidRDefault="00AF274B">
            <w:pPr>
              <w:pStyle w:val="GlossaryTableText"/>
              <w:rPr>
                <w:b/>
              </w:rPr>
            </w:pPr>
            <w:r>
              <w:rPr>
                <w:b/>
              </w:rPr>
              <w:t>DDE</w:t>
            </w:r>
          </w:p>
        </w:tc>
        <w:tc>
          <w:tcPr>
            <w:tcW w:w="3327" w:type="pct"/>
            <w:tcBorders>
              <w:top w:val="nil"/>
              <w:left w:val="nil"/>
              <w:bottom w:val="nil"/>
              <w:right w:val="nil"/>
            </w:tcBorders>
          </w:tcPr>
          <w:p w14:paraId="7906EA68" w14:textId="77777777" w:rsidR="00AF274B" w:rsidRDefault="00AF274B">
            <w:pPr>
              <w:pStyle w:val="GlossaryTableText"/>
            </w:pPr>
            <w:r>
              <w:t xml:space="preserve">Direct data entry. </w:t>
            </w:r>
          </w:p>
        </w:tc>
      </w:tr>
      <w:tr w:rsidR="00AF274B" w14:paraId="499FE37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6A38AC69" w14:textId="77777777" w:rsidR="00AF274B" w:rsidRDefault="00AF274B">
            <w:pPr>
              <w:pStyle w:val="GlossaryTableText"/>
              <w:rPr>
                <w:b/>
              </w:rPr>
            </w:pPr>
            <w:r>
              <w:rPr>
                <w:b/>
              </w:rPr>
              <w:t>Delete</w:t>
            </w:r>
          </w:p>
        </w:tc>
        <w:tc>
          <w:tcPr>
            <w:tcW w:w="3327" w:type="pct"/>
            <w:tcBorders>
              <w:top w:val="nil"/>
              <w:left w:val="nil"/>
              <w:bottom w:val="nil"/>
              <w:right w:val="nil"/>
            </w:tcBorders>
          </w:tcPr>
          <w:p w14:paraId="1B3B3654" w14:textId="77777777" w:rsidR="00AF274B" w:rsidRPr="007A099E" w:rsidRDefault="00AF274B" w:rsidP="007A099E">
            <w:pPr>
              <w:pStyle w:val="TableText"/>
            </w:pPr>
            <w:r>
              <w:t>Remove a VBECS record from user access and keep it in the database.</w:t>
            </w:r>
          </w:p>
        </w:tc>
      </w:tr>
      <w:tr w:rsidR="00AF274B" w14:paraId="0C02676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15E754B5" w14:textId="77777777" w:rsidR="00AF274B" w:rsidRDefault="00AF274B">
            <w:pPr>
              <w:pStyle w:val="GlossaryTableText"/>
              <w:rPr>
                <w:b/>
              </w:rPr>
            </w:pPr>
            <w:r>
              <w:rPr>
                <w:b/>
              </w:rPr>
              <w:t>Direct Antiglobulin Test (DAT)</w:t>
            </w:r>
          </w:p>
        </w:tc>
        <w:tc>
          <w:tcPr>
            <w:tcW w:w="3327" w:type="pct"/>
            <w:tcBorders>
              <w:top w:val="nil"/>
              <w:left w:val="nil"/>
              <w:bottom w:val="nil"/>
              <w:right w:val="nil"/>
            </w:tcBorders>
          </w:tcPr>
          <w:p w14:paraId="66A967DD" w14:textId="77777777" w:rsidR="00AF274B" w:rsidRDefault="00AF274B">
            <w:pPr>
              <w:pStyle w:val="GlossaryTableText"/>
              <w:rPr>
                <w:b/>
              </w:rPr>
            </w:pPr>
            <w:r>
              <w:t xml:space="preserve">A laboratory test performed in a blood bank in conjunction with pre-transfusion testing or as a diagnostic test. </w:t>
            </w:r>
            <w:r>
              <w:rPr>
                <w:i/>
              </w:rPr>
              <w:t>A positive DAT indicates that an antibody-antigen reaction may have occurred in vivo, which may be related to medications or previous transfusions. “Direct Coombs” and “DAT” are used interchangeably.</w:t>
            </w:r>
          </w:p>
        </w:tc>
      </w:tr>
      <w:tr w:rsidR="00AF274B" w14:paraId="5F0806C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53456CED" w14:textId="77777777" w:rsidR="00AF274B" w:rsidRDefault="00AF274B">
            <w:pPr>
              <w:pStyle w:val="GlossaryTableText"/>
              <w:rPr>
                <w:b/>
              </w:rPr>
            </w:pPr>
            <w:r>
              <w:rPr>
                <w:b/>
              </w:rPr>
              <w:t>Direct data entry (DDE)</w:t>
            </w:r>
          </w:p>
        </w:tc>
        <w:tc>
          <w:tcPr>
            <w:tcW w:w="3327" w:type="pct"/>
            <w:tcBorders>
              <w:top w:val="nil"/>
              <w:left w:val="nil"/>
              <w:bottom w:val="nil"/>
              <w:right w:val="nil"/>
            </w:tcBorders>
          </w:tcPr>
          <w:p w14:paraId="297094C5" w14:textId="77777777" w:rsidR="00AF274B" w:rsidRDefault="00AF274B">
            <w:pPr>
              <w:pStyle w:val="GlossaryTableText"/>
            </w:pPr>
            <w:r>
              <w:t>The process of entering test results in a computer rather than recording them on paper.</w:t>
            </w:r>
          </w:p>
        </w:tc>
      </w:tr>
      <w:tr w:rsidR="00AF274B" w14:paraId="2FD77F2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51F90FDB" w14:textId="77777777" w:rsidR="00AF274B" w:rsidRDefault="00AF274B">
            <w:pPr>
              <w:pStyle w:val="GlossaryTableText"/>
              <w:rPr>
                <w:b/>
              </w:rPr>
            </w:pPr>
            <w:r>
              <w:rPr>
                <w:b/>
              </w:rPr>
              <w:t>Directed</w:t>
            </w:r>
          </w:p>
        </w:tc>
        <w:tc>
          <w:tcPr>
            <w:tcW w:w="3327" w:type="pct"/>
            <w:tcBorders>
              <w:top w:val="nil"/>
              <w:left w:val="nil"/>
              <w:bottom w:val="nil"/>
              <w:right w:val="nil"/>
            </w:tcBorders>
          </w:tcPr>
          <w:p w14:paraId="5AE21F4C" w14:textId="77777777" w:rsidR="00AF274B" w:rsidRDefault="00AF274B">
            <w:pPr>
              <w:pStyle w:val="GlossaryTableText"/>
            </w:pPr>
            <w:r>
              <w:t xml:space="preserve">Blood that is donated in advance to be set aside for a specific patient. </w:t>
            </w:r>
            <w:r>
              <w:rPr>
                <w:i/>
              </w:rPr>
              <w:t>Directed donation units must meet all of the requirements of any regular unit of donated blood (all disease marker testing must be negative). If not needed by the intended recipient, a directed unit may be released for general use.</w:t>
            </w:r>
          </w:p>
        </w:tc>
      </w:tr>
      <w:tr w:rsidR="00AF274B" w14:paraId="2C74426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7936AFA5" w14:textId="77777777" w:rsidR="00AF274B" w:rsidRDefault="00AF274B">
            <w:pPr>
              <w:pStyle w:val="GlossaryTableText"/>
              <w:rPr>
                <w:b/>
              </w:rPr>
            </w:pPr>
            <w:r>
              <w:rPr>
                <w:b/>
              </w:rPr>
              <w:t>Disposition</w:t>
            </w:r>
          </w:p>
        </w:tc>
        <w:tc>
          <w:tcPr>
            <w:tcW w:w="3327" w:type="pct"/>
            <w:tcBorders>
              <w:top w:val="nil"/>
              <w:left w:val="nil"/>
              <w:bottom w:val="nil"/>
              <w:right w:val="nil"/>
            </w:tcBorders>
          </w:tcPr>
          <w:p w14:paraId="41FD4607" w14:textId="77777777" w:rsidR="00AF274B" w:rsidRDefault="00AF274B">
            <w:pPr>
              <w:pStyle w:val="GlossaryTableText"/>
            </w:pPr>
            <w:r>
              <w:t xml:space="preserve">The recorded final state of a blood unit. </w:t>
            </w:r>
            <w:r>
              <w:rPr>
                <w:i/>
              </w:rPr>
              <w:t>A blood unit with a disposition is no longer available for routine processing.</w:t>
            </w:r>
          </w:p>
        </w:tc>
      </w:tr>
      <w:tr w:rsidR="00AF274B" w14:paraId="239A40D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03242451" w14:textId="77777777" w:rsidR="00AF274B" w:rsidRDefault="00AF274B">
            <w:pPr>
              <w:pStyle w:val="GlossaryTableText"/>
              <w:rPr>
                <w:b/>
                <w:bCs/>
              </w:rPr>
            </w:pPr>
            <w:r>
              <w:rPr>
                <w:b/>
                <w:bCs/>
              </w:rPr>
              <w:t>Edit</w:t>
            </w:r>
          </w:p>
        </w:tc>
        <w:tc>
          <w:tcPr>
            <w:tcW w:w="3327" w:type="pct"/>
            <w:tcBorders>
              <w:top w:val="nil"/>
              <w:left w:val="nil"/>
              <w:bottom w:val="nil"/>
              <w:right w:val="nil"/>
            </w:tcBorders>
          </w:tcPr>
          <w:p w14:paraId="1C91E210" w14:textId="77777777" w:rsidR="00AF274B" w:rsidRDefault="00AF274B">
            <w:pPr>
              <w:pStyle w:val="GlossaryTableText"/>
            </w:pPr>
            <w:r>
              <w:t xml:space="preserve">To enter or change previously saved information. </w:t>
            </w:r>
            <w:r>
              <w:rPr>
                <w:i/>
              </w:rPr>
              <w:t>VistA overwrites the data and does not create an audit trail. VBECS overlays the data and creates an audit trail.</w:t>
            </w:r>
          </w:p>
        </w:tc>
      </w:tr>
      <w:tr w:rsidR="00AF274B" w14:paraId="689A92E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5E5A4805" w14:textId="77777777" w:rsidR="00AF274B" w:rsidRDefault="00AF274B">
            <w:pPr>
              <w:pStyle w:val="GlossaryTableText"/>
              <w:rPr>
                <w:b/>
                <w:bCs/>
              </w:rPr>
            </w:pPr>
            <w:r>
              <w:rPr>
                <w:b/>
                <w:bCs/>
              </w:rPr>
              <w:t>Emergency issue</w:t>
            </w:r>
          </w:p>
        </w:tc>
        <w:tc>
          <w:tcPr>
            <w:tcW w:w="3327" w:type="pct"/>
            <w:tcBorders>
              <w:top w:val="nil"/>
              <w:left w:val="nil"/>
              <w:bottom w:val="nil"/>
              <w:right w:val="nil"/>
            </w:tcBorders>
          </w:tcPr>
          <w:p w14:paraId="4889C6C0" w14:textId="77777777" w:rsidR="00AF274B" w:rsidRDefault="00AF274B">
            <w:pPr>
              <w:pStyle w:val="GlossaryTableText"/>
            </w:pPr>
            <w:r>
              <w:t xml:space="preserve">The release of blood prior to pre-transfusion testing and crossmatch. </w:t>
            </w:r>
          </w:p>
        </w:tc>
      </w:tr>
      <w:tr w:rsidR="00AF274B" w14:paraId="516F35F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0D02C259" w14:textId="77777777" w:rsidR="00AF274B" w:rsidRDefault="00AF274B">
            <w:pPr>
              <w:pStyle w:val="GlossaryTableText"/>
              <w:rPr>
                <w:b/>
                <w:bCs/>
              </w:rPr>
            </w:pPr>
            <w:r>
              <w:rPr>
                <w:b/>
                <w:bCs/>
              </w:rPr>
              <w:t>Exception Report</w:t>
            </w:r>
          </w:p>
        </w:tc>
        <w:tc>
          <w:tcPr>
            <w:tcW w:w="3327" w:type="pct"/>
            <w:tcBorders>
              <w:top w:val="nil"/>
              <w:left w:val="nil"/>
              <w:bottom w:val="nil"/>
              <w:right w:val="nil"/>
            </w:tcBorders>
          </w:tcPr>
          <w:p w14:paraId="3DE691AC" w14:textId="77777777" w:rsidR="00AF274B" w:rsidRDefault="00AF274B">
            <w:pPr>
              <w:pStyle w:val="GlossaryTableText"/>
            </w:pPr>
            <w:r>
              <w:t xml:space="preserve">A report that details a user deviation from a standard process. </w:t>
            </w:r>
            <w:r>
              <w:rPr>
                <w:i/>
              </w:rPr>
              <w:t>Example: a user overrides a warning and is required to enter a justification for continuing.</w:t>
            </w:r>
            <w:r>
              <w:t xml:space="preserve"> </w:t>
            </w:r>
          </w:p>
        </w:tc>
      </w:tr>
      <w:tr w:rsidR="00AF274B" w14:paraId="7C29D6F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3275632D" w14:textId="77777777" w:rsidR="00AF274B" w:rsidRDefault="00AF274B">
            <w:pPr>
              <w:pStyle w:val="GlossaryTableText"/>
              <w:rPr>
                <w:b/>
                <w:bCs/>
              </w:rPr>
            </w:pPr>
            <w:r>
              <w:rPr>
                <w:b/>
                <w:bCs/>
                <w:snapToGrid w:val="0"/>
              </w:rPr>
              <w:t>eXM</w:t>
            </w:r>
          </w:p>
        </w:tc>
        <w:tc>
          <w:tcPr>
            <w:tcW w:w="3327" w:type="pct"/>
            <w:tcBorders>
              <w:top w:val="nil"/>
              <w:left w:val="nil"/>
              <w:bottom w:val="nil"/>
              <w:right w:val="nil"/>
            </w:tcBorders>
          </w:tcPr>
          <w:p w14:paraId="5C6A7C27" w14:textId="77777777" w:rsidR="00AF274B" w:rsidRDefault="00AF274B">
            <w:pPr>
              <w:pStyle w:val="GlossaryTableText"/>
              <w:rPr>
                <w:b/>
              </w:rPr>
            </w:pPr>
            <w:r>
              <w:rPr>
                <w:snapToGrid w:val="0"/>
              </w:rPr>
              <w:t>Electronic crossmatch.</w:t>
            </w:r>
          </w:p>
        </w:tc>
      </w:tr>
      <w:tr w:rsidR="00AF274B" w14:paraId="5D5CB51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6C285955" w14:textId="77777777" w:rsidR="00AF274B" w:rsidRDefault="00AF274B">
            <w:pPr>
              <w:pStyle w:val="GlossaryTableText"/>
              <w:rPr>
                <w:b/>
                <w:bCs/>
              </w:rPr>
            </w:pPr>
            <w:r>
              <w:rPr>
                <w:b/>
                <w:bCs/>
              </w:rPr>
              <w:lastRenderedPageBreak/>
              <w:t>Expiration date</w:t>
            </w:r>
          </w:p>
        </w:tc>
        <w:tc>
          <w:tcPr>
            <w:tcW w:w="3327" w:type="pct"/>
            <w:tcBorders>
              <w:top w:val="nil"/>
              <w:left w:val="nil"/>
              <w:bottom w:val="nil"/>
              <w:right w:val="nil"/>
            </w:tcBorders>
          </w:tcPr>
          <w:p w14:paraId="62F7F41C" w14:textId="7BA88A13" w:rsidR="00AF274B" w:rsidRDefault="00AF274B">
            <w:pPr>
              <w:pStyle w:val="GlossaryTableText"/>
            </w:pPr>
            <w:r>
              <w:t xml:space="preserve">The last date during which a blood component can be considered safe for transfusion. </w:t>
            </w:r>
            <w:r>
              <w:rPr>
                <w:i/>
              </w:rPr>
              <w:t>If the expiration date does not include a time, the time is assumed to be</w:t>
            </w:r>
            <w:r w:rsidR="00143C19">
              <w:rPr>
                <w:i/>
              </w:rPr>
              <w:t xml:space="preserve"> at</w:t>
            </w:r>
            <w:r>
              <w:rPr>
                <w:i/>
              </w:rPr>
              <w:t xml:space="preserve"> </w:t>
            </w:r>
            <w:r w:rsidR="00143C19">
              <w:rPr>
                <w:i/>
              </w:rPr>
              <w:t>23:59</w:t>
            </w:r>
            <w:r>
              <w:rPr>
                <w:i/>
              </w:rPr>
              <w:t>.</w:t>
            </w:r>
          </w:p>
        </w:tc>
      </w:tr>
      <w:tr w:rsidR="00AF274B" w14:paraId="1FF4B30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306A6B3D" w14:textId="77777777" w:rsidR="00AF274B" w:rsidRDefault="00AF274B">
            <w:pPr>
              <w:pStyle w:val="GlossaryTableText"/>
              <w:rPr>
                <w:b/>
                <w:bCs/>
              </w:rPr>
            </w:pPr>
            <w:r>
              <w:rPr>
                <w:b/>
                <w:bCs/>
              </w:rPr>
              <w:t>Facility (see “Site”)</w:t>
            </w:r>
          </w:p>
        </w:tc>
        <w:tc>
          <w:tcPr>
            <w:tcW w:w="3327" w:type="pct"/>
            <w:tcBorders>
              <w:top w:val="nil"/>
              <w:left w:val="nil"/>
              <w:bottom w:val="nil"/>
              <w:right w:val="nil"/>
            </w:tcBorders>
          </w:tcPr>
          <w:p w14:paraId="7DA0E16B" w14:textId="77777777" w:rsidR="00AF274B" w:rsidRDefault="00AF274B">
            <w:pPr>
              <w:pStyle w:val="GlossaryTableText"/>
            </w:pPr>
            <w:r>
              <w:t>A blood bank laboratory where a blood unit is located.</w:t>
            </w:r>
          </w:p>
        </w:tc>
      </w:tr>
      <w:tr w:rsidR="00AF274B" w14:paraId="7EEBC85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09857980" w14:textId="77777777" w:rsidR="00AF274B" w:rsidRDefault="00AF274B">
            <w:pPr>
              <w:pStyle w:val="GlossaryTableText"/>
              <w:rPr>
                <w:b/>
                <w:bCs/>
              </w:rPr>
            </w:pPr>
            <w:r>
              <w:rPr>
                <w:b/>
                <w:bCs/>
              </w:rPr>
              <w:t>FDA</w:t>
            </w:r>
          </w:p>
        </w:tc>
        <w:tc>
          <w:tcPr>
            <w:tcW w:w="3327" w:type="pct"/>
            <w:tcBorders>
              <w:top w:val="nil"/>
              <w:left w:val="nil"/>
              <w:bottom w:val="nil"/>
              <w:right w:val="nil"/>
            </w:tcBorders>
          </w:tcPr>
          <w:p w14:paraId="6092E86F" w14:textId="77777777" w:rsidR="00AF274B" w:rsidRDefault="00AF274B">
            <w:pPr>
              <w:pStyle w:val="GlossaryTableText"/>
            </w:pPr>
            <w:r>
              <w:t>Food and Drug Administration.</w:t>
            </w:r>
          </w:p>
        </w:tc>
      </w:tr>
      <w:tr w:rsidR="00AF274B" w14:paraId="7BD907B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74B84B6E" w14:textId="77777777" w:rsidR="00AF274B" w:rsidRDefault="00AF274B">
            <w:pPr>
              <w:pStyle w:val="GlossaryTableText"/>
              <w:rPr>
                <w:b/>
                <w:bCs/>
              </w:rPr>
            </w:pPr>
            <w:r>
              <w:rPr>
                <w:b/>
                <w:bCs/>
              </w:rPr>
              <w:t>File</w:t>
            </w:r>
          </w:p>
        </w:tc>
        <w:tc>
          <w:tcPr>
            <w:tcW w:w="3327" w:type="pct"/>
            <w:tcBorders>
              <w:top w:val="nil"/>
              <w:left w:val="nil"/>
              <w:bottom w:val="nil"/>
              <w:right w:val="nil"/>
            </w:tcBorders>
          </w:tcPr>
          <w:p w14:paraId="5D32AB0D" w14:textId="77777777" w:rsidR="00AF274B" w:rsidRDefault="00AF274B">
            <w:pPr>
              <w:pStyle w:val="GlossaryTableText"/>
            </w:pPr>
            <w:r>
              <w:t>Source code, data, and documentation.</w:t>
            </w:r>
          </w:p>
        </w:tc>
      </w:tr>
      <w:tr w:rsidR="00AF274B" w14:paraId="793DE16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500A945B" w14:textId="77777777" w:rsidR="00AF274B" w:rsidRDefault="00AF274B">
            <w:pPr>
              <w:pStyle w:val="GlossaryTableText"/>
              <w:rPr>
                <w:b/>
                <w:bCs/>
              </w:rPr>
            </w:pPr>
            <w:r>
              <w:rPr>
                <w:b/>
                <w:bCs/>
              </w:rPr>
              <w:t>Finalized TRW</w:t>
            </w:r>
          </w:p>
        </w:tc>
        <w:tc>
          <w:tcPr>
            <w:tcW w:w="3327" w:type="pct"/>
            <w:tcBorders>
              <w:top w:val="nil"/>
              <w:left w:val="nil"/>
              <w:bottom w:val="nil"/>
              <w:right w:val="nil"/>
            </w:tcBorders>
          </w:tcPr>
          <w:p w14:paraId="40EA57FA" w14:textId="77777777" w:rsidR="00AF274B" w:rsidRDefault="00AF274B">
            <w:pPr>
              <w:pStyle w:val="GlossaryTableText"/>
            </w:pPr>
            <w:r w:rsidRPr="007F427E">
              <w:t>A finalized TRW indicates that the medical director reviewed the TRW, classified the reaction, and may make recommendations for future transfusions.</w:t>
            </w:r>
          </w:p>
        </w:tc>
      </w:tr>
      <w:tr w:rsidR="001A1559" w14:paraId="78F5D1F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55FCB5C8" w14:textId="77777777" w:rsidR="001A1559" w:rsidRDefault="001A1559">
            <w:pPr>
              <w:pStyle w:val="GlossaryTableText"/>
              <w:rPr>
                <w:b/>
                <w:bCs/>
              </w:rPr>
            </w:pPr>
            <w:r>
              <w:rPr>
                <w:b/>
                <w:bCs/>
              </w:rPr>
              <w:t>FOIA</w:t>
            </w:r>
          </w:p>
        </w:tc>
        <w:tc>
          <w:tcPr>
            <w:tcW w:w="3327" w:type="pct"/>
            <w:tcBorders>
              <w:top w:val="nil"/>
              <w:left w:val="nil"/>
              <w:bottom w:val="nil"/>
              <w:right w:val="nil"/>
            </w:tcBorders>
          </w:tcPr>
          <w:p w14:paraId="5AD6AE9E" w14:textId="77777777" w:rsidR="001A1559" w:rsidRDefault="001A1559">
            <w:pPr>
              <w:pStyle w:val="GlossaryTableText"/>
            </w:pPr>
            <w:r>
              <w:t>Freedom of Information Act.</w:t>
            </w:r>
          </w:p>
        </w:tc>
      </w:tr>
      <w:tr w:rsidR="00AF274B" w14:paraId="15AE3DD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0985DB03" w14:textId="77777777" w:rsidR="00AF274B" w:rsidRDefault="00AF274B">
            <w:pPr>
              <w:pStyle w:val="GlossaryTableText"/>
              <w:rPr>
                <w:b/>
                <w:bCs/>
              </w:rPr>
            </w:pPr>
            <w:r>
              <w:rPr>
                <w:b/>
                <w:bCs/>
              </w:rPr>
              <w:t>HCPCS</w:t>
            </w:r>
          </w:p>
        </w:tc>
        <w:tc>
          <w:tcPr>
            <w:tcW w:w="3327" w:type="pct"/>
            <w:tcBorders>
              <w:top w:val="nil"/>
              <w:left w:val="nil"/>
              <w:bottom w:val="nil"/>
              <w:right w:val="nil"/>
            </w:tcBorders>
          </w:tcPr>
          <w:p w14:paraId="6F2FBE8E" w14:textId="77777777" w:rsidR="00AF274B" w:rsidRDefault="00AF274B">
            <w:pPr>
              <w:pStyle w:val="GlossaryTableText"/>
              <w:rPr>
                <w:b/>
              </w:rPr>
            </w:pPr>
            <w:r>
              <w:t xml:space="preserve">Healthcare Common Procedure Coding System. Codes used to enumerate medical and surgical services and supplies in the outpatient setting. </w:t>
            </w:r>
            <w:r>
              <w:rPr>
                <w:i/>
                <w:iCs/>
              </w:rPr>
              <w:t>CMS (formerly HCFA) uses HCPCS for Medicare and Medicaid reimbursement. HCPCS are the required code set for medical and surgical services and supplies for the outpatient setting under the final code set standards for HIPAA. There are three levels of HCPCS codes: level I are CPT codes from AMA; level II are additional codes developed by HCFA for services and supplies not covered by CPT; level III are local codes assigned by individual state Medicare carriers. Level III codes are scheduled to be phased out under HIPAA.</w:t>
            </w:r>
          </w:p>
        </w:tc>
      </w:tr>
      <w:tr w:rsidR="00AF274B" w14:paraId="22E6A92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5886CBC0" w14:textId="77777777" w:rsidR="00AF274B" w:rsidRDefault="00AF274B">
            <w:pPr>
              <w:pStyle w:val="GlossaryTableText"/>
              <w:rPr>
                <w:b/>
                <w:bCs/>
              </w:rPr>
            </w:pPr>
            <w:r>
              <w:rPr>
                <w:b/>
                <w:bCs/>
              </w:rPr>
              <w:t>HIPAA</w:t>
            </w:r>
          </w:p>
        </w:tc>
        <w:tc>
          <w:tcPr>
            <w:tcW w:w="3327" w:type="pct"/>
            <w:tcBorders>
              <w:top w:val="nil"/>
              <w:left w:val="nil"/>
              <w:bottom w:val="nil"/>
              <w:right w:val="nil"/>
            </w:tcBorders>
          </w:tcPr>
          <w:p w14:paraId="46436781" w14:textId="77777777" w:rsidR="00AF274B" w:rsidRDefault="00AF274B">
            <w:pPr>
              <w:pStyle w:val="GlossaryTableText"/>
            </w:pPr>
            <w:r>
              <w:rPr>
                <w:bCs/>
              </w:rPr>
              <w:t>Health Insurance Portability and Accountability Act</w:t>
            </w:r>
            <w:r w:rsidR="00F717BC">
              <w:rPr>
                <w:bCs/>
              </w:rPr>
              <w:t xml:space="preserve"> of 1996</w:t>
            </w:r>
            <w:r>
              <w:rPr>
                <w:bCs/>
              </w:rPr>
              <w:t>.</w:t>
            </w:r>
          </w:p>
        </w:tc>
      </w:tr>
      <w:tr w:rsidR="00AF274B" w14:paraId="738765E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05F3856D" w14:textId="77777777" w:rsidR="00AF274B" w:rsidRDefault="00AF274B">
            <w:pPr>
              <w:pStyle w:val="GlossaryTableText"/>
              <w:rPr>
                <w:b/>
                <w:bCs/>
              </w:rPr>
            </w:pPr>
            <w:r>
              <w:rPr>
                <w:b/>
                <w:bCs/>
              </w:rPr>
              <w:t>Historical ABO/Rh</w:t>
            </w:r>
          </w:p>
        </w:tc>
        <w:tc>
          <w:tcPr>
            <w:tcW w:w="3327" w:type="pct"/>
            <w:tcBorders>
              <w:top w:val="nil"/>
              <w:left w:val="nil"/>
              <w:bottom w:val="nil"/>
              <w:right w:val="nil"/>
            </w:tcBorders>
          </w:tcPr>
          <w:p w14:paraId="6A5254AD" w14:textId="77777777" w:rsidR="00AF274B" w:rsidRDefault="00AF274B">
            <w:pPr>
              <w:pStyle w:val="GlossaryTableText"/>
              <w:rPr>
                <w:rFonts w:ascii="Symbol"/>
              </w:rPr>
            </w:pPr>
            <w:r>
              <w:t>The most recent valid entry entered in the same division as the current order/treatment record, not from the database conversion.</w:t>
            </w:r>
          </w:p>
        </w:tc>
      </w:tr>
      <w:tr w:rsidR="00AF274B" w14:paraId="4673CA8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2C5C84AA" w14:textId="77777777" w:rsidR="00AF274B" w:rsidRDefault="00AF274B" w:rsidP="005957FF">
            <w:pPr>
              <w:pStyle w:val="GlossaryTableText"/>
              <w:rPr>
                <w:b/>
                <w:bCs/>
              </w:rPr>
            </w:pPr>
            <w:r>
              <w:rPr>
                <w:b/>
                <w:bCs/>
              </w:rPr>
              <w:t>Historical record</w:t>
            </w:r>
          </w:p>
        </w:tc>
        <w:tc>
          <w:tcPr>
            <w:tcW w:w="3327" w:type="pct"/>
            <w:tcBorders>
              <w:top w:val="nil"/>
              <w:left w:val="nil"/>
              <w:bottom w:val="nil"/>
              <w:right w:val="nil"/>
            </w:tcBorders>
          </w:tcPr>
          <w:p w14:paraId="745A4772" w14:textId="77777777" w:rsidR="00AF274B" w:rsidRDefault="00AF274B" w:rsidP="005957FF">
            <w:pPr>
              <w:pStyle w:val="GlossaryTableText"/>
            </w:pPr>
            <w:r>
              <w:t>Cumulative, redundant data, referenced continually throughout VBECS.</w:t>
            </w:r>
          </w:p>
        </w:tc>
      </w:tr>
      <w:tr w:rsidR="00AF274B" w14:paraId="7B35A2D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632CE538" w14:textId="77777777" w:rsidR="00AF274B" w:rsidRDefault="00AF274B">
            <w:pPr>
              <w:pStyle w:val="GlossaryTableText"/>
              <w:rPr>
                <w:b/>
                <w:bCs/>
              </w:rPr>
            </w:pPr>
            <w:r>
              <w:rPr>
                <w:b/>
                <w:bCs/>
              </w:rPr>
              <w:t>HL7</w:t>
            </w:r>
          </w:p>
        </w:tc>
        <w:tc>
          <w:tcPr>
            <w:tcW w:w="3327" w:type="pct"/>
            <w:tcBorders>
              <w:top w:val="nil"/>
              <w:left w:val="nil"/>
              <w:bottom w:val="nil"/>
              <w:right w:val="nil"/>
            </w:tcBorders>
          </w:tcPr>
          <w:p w14:paraId="4C62892F" w14:textId="77777777" w:rsidR="00AF274B" w:rsidRDefault="00AF274B">
            <w:pPr>
              <w:pStyle w:val="GlossaryTableText"/>
            </w:pPr>
            <w:r>
              <w:t>Health Level 7. An international messaging standard used predominantly in the healthcare industry.</w:t>
            </w:r>
          </w:p>
        </w:tc>
      </w:tr>
      <w:tr w:rsidR="00AF274B" w14:paraId="78D0EA1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53B613D6" w14:textId="77777777" w:rsidR="00AF274B" w:rsidRDefault="00AF274B">
            <w:pPr>
              <w:pStyle w:val="GlossaryTableText"/>
              <w:rPr>
                <w:b/>
                <w:bCs/>
              </w:rPr>
            </w:pPr>
            <w:r>
              <w:rPr>
                <w:b/>
                <w:bCs/>
                <w:snapToGrid w:val="0"/>
              </w:rPr>
              <w:t>HLA (histocompatibility locus antigens)</w:t>
            </w:r>
          </w:p>
        </w:tc>
        <w:tc>
          <w:tcPr>
            <w:tcW w:w="3327" w:type="pct"/>
            <w:tcBorders>
              <w:top w:val="nil"/>
              <w:left w:val="nil"/>
              <w:bottom w:val="nil"/>
              <w:right w:val="nil"/>
            </w:tcBorders>
          </w:tcPr>
          <w:p w14:paraId="0B23D5E2" w14:textId="77777777" w:rsidR="00AF274B" w:rsidRDefault="00AF274B">
            <w:pPr>
              <w:pStyle w:val="GlossaryTableText"/>
              <w:rPr>
                <w:b/>
              </w:rPr>
            </w:pPr>
            <w:r>
              <w:rPr>
                <w:snapToGrid w:val="0"/>
              </w:rPr>
              <w:t>Antigens associated with cellular immunity.</w:t>
            </w:r>
          </w:p>
        </w:tc>
      </w:tr>
      <w:tr w:rsidR="00AF274B" w14:paraId="5B15117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01B2180E" w14:textId="77777777" w:rsidR="00AF274B" w:rsidRDefault="00AF274B">
            <w:pPr>
              <w:pStyle w:val="GlossaryTableText"/>
              <w:rPr>
                <w:b/>
                <w:bCs/>
              </w:rPr>
            </w:pPr>
            <w:r>
              <w:rPr>
                <w:b/>
                <w:bCs/>
              </w:rPr>
              <w:t>Homologous (also “allogeneic”)</w:t>
            </w:r>
          </w:p>
        </w:tc>
        <w:tc>
          <w:tcPr>
            <w:tcW w:w="3327" w:type="pct"/>
            <w:tcBorders>
              <w:top w:val="nil"/>
              <w:left w:val="nil"/>
              <w:bottom w:val="nil"/>
              <w:right w:val="nil"/>
            </w:tcBorders>
          </w:tcPr>
          <w:p w14:paraId="28518982" w14:textId="77777777" w:rsidR="00AF274B" w:rsidRDefault="00AF274B">
            <w:pPr>
              <w:pStyle w:val="GlossaryTableText"/>
            </w:pPr>
            <w:r>
              <w:t>The standard type of blood donation: a volunteer donor reports to a blood collection facility and donates a unit of blood. The blood is tested and released for general use.</w:t>
            </w:r>
          </w:p>
        </w:tc>
      </w:tr>
      <w:tr w:rsidR="00B85400" w14:paraId="251FFB0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524B55B9" w14:textId="77777777" w:rsidR="00B85400" w:rsidRDefault="00B85400">
            <w:pPr>
              <w:pStyle w:val="GlossaryTableText"/>
              <w:rPr>
                <w:b/>
                <w:bCs/>
              </w:rPr>
            </w:pPr>
            <w:r>
              <w:rPr>
                <w:b/>
                <w:bCs/>
              </w:rPr>
              <w:t>I</w:t>
            </w:r>
            <w:r w:rsidR="00072167">
              <w:rPr>
                <w:b/>
                <w:bCs/>
              </w:rPr>
              <w:t>AM</w:t>
            </w:r>
          </w:p>
        </w:tc>
        <w:tc>
          <w:tcPr>
            <w:tcW w:w="3327" w:type="pct"/>
            <w:tcBorders>
              <w:top w:val="nil"/>
              <w:left w:val="nil"/>
              <w:bottom w:val="nil"/>
              <w:right w:val="nil"/>
            </w:tcBorders>
          </w:tcPr>
          <w:p w14:paraId="2F247818" w14:textId="77777777" w:rsidR="00B85400" w:rsidRDefault="00072167">
            <w:pPr>
              <w:pStyle w:val="GlossaryTableText"/>
            </w:pPr>
            <w:r>
              <w:t>Identity and Access Management</w:t>
            </w:r>
          </w:p>
        </w:tc>
      </w:tr>
      <w:tr w:rsidR="00AF274B" w14:paraId="55354E6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56EEDC64" w14:textId="77777777" w:rsidR="00AF274B" w:rsidRDefault="00AF274B">
            <w:pPr>
              <w:pStyle w:val="GlossaryTableText"/>
              <w:rPr>
                <w:b/>
                <w:bCs/>
              </w:rPr>
            </w:pPr>
            <w:r>
              <w:rPr>
                <w:b/>
                <w:bCs/>
              </w:rPr>
              <w:t>ICCBBA</w:t>
            </w:r>
          </w:p>
        </w:tc>
        <w:tc>
          <w:tcPr>
            <w:tcW w:w="3327" w:type="pct"/>
            <w:tcBorders>
              <w:top w:val="nil"/>
              <w:left w:val="nil"/>
              <w:bottom w:val="nil"/>
              <w:right w:val="nil"/>
            </w:tcBorders>
          </w:tcPr>
          <w:p w14:paraId="2489CAC9" w14:textId="77777777" w:rsidR="00AF274B" w:rsidRDefault="00AF274B">
            <w:pPr>
              <w:pStyle w:val="GlossaryTableText"/>
            </w:pPr>
            <w:r>
              <w:t>International Council for Commonality in Blood Banking Automation, Inc. The governing body that developed and maintained the database that governs the ISBT 128 blood labeling system.</w:t>
            </w:r>
          </w:p>
        </w:tc>
      </w:tr>
      <w:tr w:rsidR="001A1559" w14:paraId="3F0BE05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790E510F" w14:textId="77777777" w:rsidR="001A1559" w:rsidRDefault="001A1559">
            <w:pPr>
              <w:pStyle w:val="GlossaryTableText"/>
              <w:rPr>
                <w:b/>
                <w:bCs/>
                <w:snapToGrid w:val="0"/>
              </w:rPr>
            </w:pPr>
            <w:r>
              <w:rPr>
                <w:b/>
                <w:bCs/>
                <w:snapToGrid w:val="0"/>
              </w:rPr>
              <w:t>IEN</w:t>
            </w:r>
          </w:p>
        </w:tc>
        <w:tc>
          <w:tcPr>
            <w:tcW w:w="3327" w:type="pct"/>
            <w:tcBorders>
              <w:top w:val="nil"/>
              <w:left w:val="nil"/>
              <w:bottom w:val="nil"/>
              <w:right w:val="nil"/>
            </w:tcBorders>
          </w:tcPr>
          <w:p w14:paraId="3548A5C2" w14:textId="77777777" w:rsidR="001A1559" w:rsidRDefault="001A1559">
            <w:pPr>
              <w:pStyle w:val="GlossaryTableText"/>
              <w:rPr>
                <w:snapToGrid w:val="0"/>
              </w:rPr>
            </w:pPr>
            <w:r>
              <w:rPr>
                <w:snapToGrid w:val="0"/>
              </w:rPr>
              <w:t xml:space="preserve">Internal Entry Number. </w:t>
            </w:r>
          </w:p>
        </w:tc>
      </w:tr>
      <w:tr w:rsidR="00AF274B" w14:paraId="0FFF5E4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45A938ED" w14:textId="77777777" w:rsidR="00AF274B" w:rsidRDefault="00AF274B">
            <w:pPr>
              <w:pStyle w:val="GlossaryTableText"/>
              <w:rPr>
                <w:b/>
                <w:bCs/>
              </w:rPr>
            </w:pPr>
            <w:r>
              <w:rPr>
                <w:b/>
                <w:bCs/>
                <w:snapToGrid w:val="0"/>
              </w:rPr>
              <w:t>IgA (Immunoglobulin A)</w:t>
            </w:r>
          </w:p>
        </w:tc>
        <w:tc>
          <w:tcPr>
            <w:tcW w:w="3327" w:type="pct"/>
            <w:tcBorders>
              <w:top w:val="nil"/>
              <w:left w:val="nil"/>
              <w:bottom w:val="nil"/>
              <w:right w:val="nil"/>
            </w:tcBorders>
          </w:tcPr>
          <w:p w14:paraId="07F9AA1A" w14:textId="77777777" w:rsidR="00AF274B" w:rsidRDefault="00AF274B">
            <w:pPr>
              <w:pStyle w:val="GlossaryTableText"/>
              <w:rPr>
                <w:b/>
              </w:rPr>
            </w:pPr>
            <w:r>
              <w:rPr>
                <w:snapToGrid w:val="0"/>
              </w:rPr>
              <w:t>Immune protein usually associated with tissue response (hypersensitivity).</w:t>
            </w:r>
          </w:p>
        </w:tc>
      </w:tr>
      <w:tr w:rsidR="00AF274B" w14:paraId="3A207B5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52D13B96" w14:textId="77777777" w:rsidR="00AF274B" w:rsidRDefault="00AF274B">
            <w:pPr>
              <w:pStyle w:val="GlossaryTableText"/>
              <w:rPr>
                <w:b/>
                <w:bCs/>
              </w:rPr>
            </w:pPr>
            <w:r>
              <w:rPr>
                <w:b/>
                <w:bCs/>
              </w:rPr>
              <w:t>In-date</w:t>
            </w:r>
          </w:p>
        </w:tc>
        <w:tc>
          <w:tcPr>
            <w:tcW w:w="3327" w:type="pct"/>
            <w:tcBorders>
              <w:top w:val="nil"/>
              <w:left w:val="nil"/>
              <w:bottom w:val="nil"/>
              <w:right w:val="nil"/>
            </w:tcBorders>
          </w:tcPr>
          <w:p w14:paraId="3FE7C940" w14:textId="77777777" w:rsidR="00AF274B" w:rsidRDefault="00AF274B">
            <w:pPr>
              <w:pStyle w:val="GlossaryTableText"/>
            </w:pPr>
            <w:r>
              <w:t xml:space="preserve">Describes the state of a unit of blood when the expiration date/time of the unit is in the future. </w:t>
            </w:r>
          </w:p>
        </w:tc>
      </w:tr>
      <w:tr w:rsidR="00AF274B" w14:paraId="24E4703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0B2858FA" w14:textId="77777777" w:rsidR="00AF274B" w:rsidRDefault="00AF274B">
            <w:pPr>
              <w:pStyle w:val="GlossaryTableText"/>
              <w:rPr>
                <w:b/>
                <w:bCs/>
              </w:rPr>
            </w:pPr>
            <w:r>
              <w:rPr>
                <w:b/>
                <w:bCs/>
              </w:rPr>
              <w:t>Interpretation</w:t>
            </w:r>
          </w:p>
        </w:tc>
        <w:tc>
          <w:tcPr>
            <w:tcW w:w="3327" w:type="pct"/>
            <w:tcBorders>
              <w:top w:val="nil"/>
              <w:left w:val="nil"/>
              <w:bottom w:val="nil"/>
              <w:right w:val="nil"/>
            </w:tcBorders>
          </w:tcPr>
          <w:p w14:paraId="25EA3448" w14:textId="77777777" w:rsidR="00AF274B" w:rsidRDefault="00AF274B">
            <w:pPr>
              <w:pStyle w:val="GlossaryTableText"/>
            </w:pPr>
            <w:r>
              <w:t>The evaluation of serologic test reactions.</w:t>
            </w:r>
          </w:p>
        </w:tc>
      </w:tr>
      <w:tr w:rsidR="00AF274B" w14:paraId="0E90CB4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6AB2DC4D" w14:textId="77777777" w:rsidR="00AF274B" w:rsidRDefault="00AF274B">
            <w:pPr>
              <w:pStyle w:val="GlossaryTableText"/>
              <w:rPr>
                <w:b/>
                <w:bCs/>
              </w:rPr>
            </w:pPr>
            <w:r>
              <w:rPr>
                <w:b/>
                <w:bCs/>
              </w:rPr>
              <w:t>IRM</w:t>
            </w:r>
          </w:p>
        </w:tc>
        <w:tc>
          <w:tcPr>
            <w:tcW w:w="3327" w:type="pct"/>
            <w:tcBorders>
              <w:top w:val="nil"/>
              <w:left w:val="nil"/>
              <w:bottom w:val="nil"/>
              <w:right w:val="nil"/>
            </w:tcBorders>
          </w:tcPr>
          <w:p w14:paraId="6ABA77BF" w14:textId="77777777" w:rsidR="00AF274B" w:rsidRDefault="00AF274B">
            <w:pPr>
              <w:pStyle w:val="GlossaryTableText"/>
              <w:rPr>
                <w:rFonts w:ascii="Symbol"/>
              </w:rPr>
            </w:pPr>
            <w:r>
              <w:t>Information Resource Management.</w:t>
            </w:r>
          </w:p>
        </w:tc>
      </w:tr>
      <w:tr w:rsidR="00AF274B" w14:paraId="676C8F2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63D43EE8" w14:textId="77777777" w:rsidR="00AF274B" w:rsidRDefault="00AF274B">
            <w:pPr>
              <w:pStyle w:val="GlossaryTableText"/>
              <w:rPr>
                <w:b/>
                <w:bCs/>
              </w:rPr>
            </w:pPr>
            <w:r>
              <w:rPr>
                <w:b/>
                <w:bCs/>
                <w:snapToGrid w:val="0"/>
              </w:rPr>
              <w:lastRenderedPageBreak/>
              <w:t>Irradiate</w:t>
            </w:r>
          </w:p>
        </w:tc>
        <w:tc>
          <w:tcPr>
            <w:tcW w:w="3327" w:type="pct"/>
            <w:tcBorders>
              <w:top w:val="nil"/>
              <w:left w:val="nil"/>
              <w:bottom w:val="nil"/>
              <w:right w:val="nil"/>
            </w:tcBorders>
          </w:tcPr>
          <w:p w14:paraId="607E46BC" w14:textId="77777777" w:rsidR="00C64C05" w:rsidRPr="00C64C05" w:rsidRDefault="00BB6868" w:rsidP="00BB6868">
            <w:pPr>
              <w:pStyle w:val="GlossaryTableText"/>
            </w:pPr>
            <w:r>
              <w:t xml:space="preserve">To expose blood products to radiation to damage white cells and </w:t>
            </w:r>
            <w:r w:rsidR="00A77C51">
              <w:t>avoid graft-versus-</w:t>
            </w:r>
            <w:r>
              <w:t>host disease.</w:t>
            </w:r>
          </w:p>
        </w:tc>
      </w:tr>
      <w:tr w:rsidR="00AF274B" w14:paraId="197CF17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4ABDE5B3" w14:textId="77777777" w:rsidR="00AF274B" w:rsidRDefault="00AF274B">
            <w:pPr>
              <w:pStyle w:val="GlossaryTableText"/>
              <w:rPr>
                <w:b/>
                <w:bCs/>
              </w:rPr>
            </w:pPr>
            <w:r>
              <w:rPr>
                <w:b/>
                <w:bCs/>
              </w:rPr>
              <w:t>ISBT</w:t>
            </w:r>
          </w:p>
        </w:tc>
        <w:tc>
          <w:tcPr>
            <w:tcW w:w="3327" w:type="pct"/>
            <w:tcBorders>
              <w:top w:val="nil"/>
              <w:left w:val="nil"/>
              <w:bottom w:val="nil"/>
              <w:right w:val="nil"/>
            </w:tcBorders>
          </w:tcPr>
          <w:p w14:paraId="7221E5E2" w14:textId="77777777" w:rsidR="00AF274B" w:rsidRDefault="00AF274B">
            <w:pPr>
              <w:pStyle w:val="GlossaryTableText"/>
            </w:pPr>
            <w:r>
              <w:t>International Society of Blood Transfusion.</w:t>
            </w:r>
          </w:p>
        </w:tc>
      </w:tr>
      <w:tr w:rsidR="00AF274B" w14:paraId="1C7F315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6948E88D" w14:textId="77777777" w:rsidR="00AF274B" w:rsidRDefault="00AF274B">
            <w:pPr>
              <w:pStyle w:val="GlossaryTableText"/>
              <w:rPr>
                <w:b/>
                <w:bCs/>
              </w:rPr>
            </w:pPr>
            <w:r>
              <w:rPr>
                <w:b/>
                <w:bCs/>
              </w:rPr>
              <w:t>ISBT 128</w:t>
            </w:r>
          </w:p>
        </w:tc>
        <w:tc>
          <w:tcPr>
            <w:tcW w:w="3327" w:type="pct"/>
            <w:tcBorders>
              <w:top w:val="nil"/>
              <w:left w:val="nil"/>
              <w:bottom w:val="nil"/>
              <w:right w:val="nil"/>
            </w:tcBorders>
          </w:tcPr>
          <w:p w14:paraId="2D0E6681" w14:textId="3F9C2811" w:rsidR="00AF274B" w:rsidRDefault="00AF274B">
            <w:pPr>
              <w:pStyle w:val="GlossaryTableText"/>
            </w:pPr>
            <w:r>
              <w:t>New standardized method for labeling blood units</w:t>
            </w:r>
            <w:r w:rsidR="002A6AEA">
              <w:t>,</w:t>
            </w:r>
            <w:r w:rsidR="00646D98">
              <w:t xml:space="preserve"> </w:t>
            </w:r>
            <w:r w:rsidR="0050114F">
              <w:t>that has replaced Codabar</w:t>
            </w:r>
            <w:r>
              <w:t xml:space="preserve"> </w:t>
            </w:r>
            <w:r>
              <w:rPr>
                <w:i/>
              </w:rPr>
              <w:t>It includes much more information within the barcodes than is possible with Codabar. Its rules are much more structured than Codabar. It is not backwards compatible with Codabar.</w:t>
            </w:r>
          </w:p>
        </w:tc>
      </w:tr>
      <w:tr w:rsidR="00AF274B" w14:paraId="4F226C4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5693AAB8" w14:textId="77777777" w:rsidR="00AF274B" w:rsidRDefault="00AF274B">
            <w:pPr>
              <w:pStyle w:val="GlossaryTableText"/>
              <w:rPr>
                <w:b/>
                <w:bCs/>
                <w:snapToGrid w:val="0"/>
              </w:rPr>
            </w:pPr>
            <w:r>
              <w:rPr>
                <w:b/>
                <w:bCs/>
                <w:snapToGrid w:val="0"/>
              </w:rPr>
              <w:t>Leukopoor</w:t>
            </w:r>
          </w:p>
        </w:tc>
        <w:tc>
          <w:tcPr>
            <w:tcW w:w="3327" w:type="pct"/>
            <w:tcBorders>
              <w:top w:val="nil"/>
              <w:left w:val="nil"/>
              <w:bottom w:val="nil"/>
              <w:right w:val="nil"/>
            </w:tcBorders>
          </w:tcPr>
          <w:p w14:paraId="7A093AD1" w14:textId="77777777" w:rsidR="00AF274B" w:rsidRDefault="00AF274B">
            <w:pPr>
              <w:pStyle w:val="GlossaryTableText"/>
            </w:pPr>
            <w:r>
              <w:t>See “leukoreduce.”</w:t>
            </w:r>
          </w:p>
        </w:tc>
      </w:tr>
      <w:tr w:rsidR="00E85CF4" w14:paraId="10D2C79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76A16990" w14:textId="77777777" w:rsidR="00E85CF4" w:rsidRDefault="00E85CF4" w:rsidP="00AD0B01">
            <w:pPr>
              <w:pStyle w:val="GlossaryTableText"/>
              <w:rPr>
                <w:b/>
                <w:bCs/>
                <w:snapToGrid w:val="0"/>
              </w:rPr>
            </w:pPr>
          </w:p>
          <w:p w14:paraId="295B9DDE" w14:textId="77777777" w:rsidR="00E85CF4" w:rsidRDefault="00E85CF4" w:rsidP="00AD0B01">
            <w:pPr>
              <w:pStyle w:val="GlossaryTableText"/>
              <w:rPr>
                <w:b/>
                <w:bCs/>
                <w:snapToGrid w:val="0"/>
              </w:rPr>
            </w:pPr>
            <w:r>
              <w:rPr>
                <w:b/>
                <w:bCs/>
                <w:snapToGrid w:val="0"/>
              </w:rPr>
              <w:t>Leukoreduce</w:t>
            </w:r>
          </w:p>
        </w:tc>
        <w:tc>
          <w:tcPr>
            <w:tcW w:w="3327" w:type="pct"/>
            <w:tcBorders>
              <w:top w:val="nil"/>
              <w:left w:val="nil"/>
              <w:bottom w:val="nil"/>
              <w:right w:val="nil"/>
            </w:tcBorders>
          </w:tcPr>
          <w:p w14:paraId="3AC41E7F" w14:textId="77777777" w:rsidR="00E85CF4" w:rsidRDefault="00E85CF4" w:rsidP="00AD0B01">
            <w:pPr>
              <w:pStyle w:val="GlossaryTableText"/>
            </w:pPr>
            <w:r>
              <w:t>To remove white cells from a cellular product through filtration. The resulting product is considered “leukoreduced” or “leukopoor.”</w:t>
            </w:r>
          </w:p>
        </w:tc>
      </w:tr>
      <w:tr w:rsidR="0003186D" w14:paraId="5116E27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01403425" w14:textId="77777777" w:rsidR="0003186D" w:rsidRDefault="0003186D">
            <w:pPr>
              <w:pStyle w:val="GlossaryTableText"/>
              <w:rPr>
                <w:b/>
                <w:bCs/>
              </w:rPr>
            </w:pPr>
            <w:r>
              <w:rPr>
                <w:b/>
                <w:bCs/>
              </w:rPr>
              <w:t>ListServ</w:t>
            </w:r>
          </w:p>
        </w:tc>
        <w:tc>
          <w:tcPr>
            <w:tcW w:w="3327" w:type="pct"/>
            <w:tcBorders>
              <w:top w:val="nil"/>
              <w:left w:val="nil"/>
              <w:bottom w:val="nil"/>
              <w:right w:val="nil"/>
            </w:tcBorders>
          </w:tcPr>
          <w:p w14:paraId="171D10B6" w14:textId="77777777" w:rsidR="0003186D" w:rsidRDefault="0003186D">
            <w:pPr>
              <w:pStyle w:val="GlossaryTableText"/>
            </w:pPr>
            <w:r>
              <w:t>A</w:t>
            </w:r>
            <w:r w:rsidRPr="00F05B26">
              <w:t>n email distribution list to manage discussion groups</w:t>
            </w:r>
            <w:r>
              <w:t>.</w:t>
            </w:r>
          </w:p>
        </w:tc>
      </w:tr>
      <w:tr w:rsidR="00AF274B" w14:paraId="6794FD2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75FAFE74" w14:textId="77777777" w:rsidR="00AF274B" w:rsidRDefault="00AF274B">
            <w:pPr>
              <w:pStyle w:val="GlossaryTableText"/>
              <w:rPr>
                <w:b/>
                <w:bCs/>
              </w:rPr>
            </w:pPr>
            <w:r>
              <w:rPr>
                <w:b/>
                <w:bCs/>
              </w:rPr>
              <w:t>LMIP</w:t>
            </w:r>
          </w:p>
        </w:tc>
        <w:tc>
          <w:tcPr>
            <w:tcW w:w="3327" w:type="pct"/>
            <w:tcBorders>
              <w:top w:val="nil"/>
              <w:left w:val="nil"/>
              <w:bottom w:val="nil"/>
              <w:right w:val="nil"/>
            </w:tcBorders>
          </w:tcPr>
          <w:p w14:paraId="39009D08" w14:textId="77777777" w:rsidR="00AF274B" w:rsidRDefault="00AF274B">
            <w:pPr>
              <w:pStyle w:val="GlossaryTableText"/>
            </w:pPr>
            <w:r>
              <w:t>Laboratory Management Index Program</w:t>
            </w:r>
            <w:r w:rsidR="003D16EE">
              <w:t xml:space="preserve"> (LMIP) is the name given to the functionality in Veterans Health Information and Technology Architecture (VistA) software designed to capture and tabulate both technical and professional workload as it relates to the performance of ordered/billable tests in VA laboratories</w:t>
            </w:r>
            <w:r>
              <w:t>.</w:t>
            </w:r>
          </w:p>
        </w:tc>
      </w:tr>
      <w:tr w:rsidR="003D16EE" w14:paraId="7BBA1DD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59C13C7A" w14:textId="77777777" w:rsidR="003D16EE" w:rsidRDefault="003D16EE">
            <w:pPr>
              <w:pStyle w:val="GlossaryTableText"/>
              <w:rPr>
                <w:b/>
                <w:bCs/>
              </w:rPr>
            </w:pPr>
            <w:r>
              <w:rPr>
                <w:b/>
                <w:bCs/>
              </w:rPr>
              <w:t>Managerial Cost Accounting</w:t>
            </w:r>
          </w:p>
        </w:tc>
        <w:tc>
          <w:tcPr>
            <w:tcW w:w="3327" w:type="pct"/>
            <w:tcBorders>
              <w:top w:val="nil"/>
              <w:left w:val="nil"/>
              <w:bottom w:val="nil"/>
              <w:right w:val="nil"/>
            </w:tcBorders>
          </w:tcPr>
          <w:p w14:paraId="6539F6B3" w14:textId="77777777" w:rsidR="003D16EE" w:rsidRDefault="003D16EE">
            <w:pPr>
              <w:pStyle w:val="GlossaryTableText"/>
            </w:pPr>
            <w:r>
              <w:t>MCA means the process of accumulating, measuring, analyzing, interpreting and reporting cost information useful to both internal and external groups concerned with the way the organization uses, accounts for, safeguards and controls its resources to meet its objectives. MCA assists budgeting, financial accounting and reporting and provides useful information to leadership.</w:t>
            </w:r>
          </w:p>
        </w:tc>
      </w:tr>
      <w:tr w:rsidR="00AF274B" w14:paraId="38B5051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2E16F79A" w14:textId="77777777" w:rsidR="00AF274B" w:rsidRDefault="00AF274B" w:rsidP="003004A7">
            <w:pPr>
              <w:pStyle w:val="GlossaryTableText"/>
              <w:rPr>
                <w:b/>
              </w:rPr>
            </w:pPr>
            <w:r>
              <w:rPr>
                <w:b/>
              </w:rPr>
              <w:t>Medical device</w:t>
            </w:r>
          </w:p>
        </w:tc>
        <w:tc>
          <w:tcPr>
            <w:tcW w:w="3327" w:type="pct"/>
            <w:tcBorders>
              <w:top w:val="nil"/>
              <w:left w:val="nil"/>
              <w:bottom w:val="nil"/>
              <w:right w:val="nil"/>
            </w:tcBorders>
          </w:tcPr>
          <w:p w14:paraId="4225A197" w14:textId="77777777" w:rsidR="00AF274B" w:rsidRDefault="00142B16" w:rsidP="00142B16">
            <w:pPr>
              <w:pStyle w:val="GlossaryTableText"/>
            </w:pPr>
            <w:r>
              <w:t>An instrument, apparatus, implement, machine, contrivance, implant, in vitro reagent, or other similar or related article, including a component part, or accessory that is intended for use in the diagnosis of disease or other conditions, or in the cure, mitigation, treatment, or prevention of disease.</w:t>
            </w:r>
          </w:p>
        </w:tc>
      </w:tr>
      <w:tr w:rsidR="00AF274B" w14:paraId="214B366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1391C231" w14:textId="77777777" w:rsidR="00AF274B" w:rsidRDefault="00AF274B">
            <w:pPr>
              <w:pStyle w:val="GlossaryTableText"/>
              <w:rPr>
                <w:b/>
                <w:bCs/>
              </w:rPr>
            </w:pPr>
            <w:r>
              <w:rPr>
                <w:b/>
                <w:bCs/>
              </w:rPr>
              <w:t>Modifier</w:t>
            </w:r>
          </w:p>
        </w:tc>
        <w:tc>
          <w:tcPr>
            <w:tcW w:w="3327" w:type="pct"/>
            <w:tcBorders>
              <w:top w:val="nil"/>
              <w:left w:val="nil"/>
              <w:bottom w:val="nil"/>
              <w:right w:val="nil"/>
            </w:tcBorders>
          </w:tcPr>
          <w:p w14:paraId="59D37C0F" w14:textId="77777777" w:rsidR="00AF274B" w:rsidRDefault="00AF274B">
            <w:pPr>
              <w:pStyle w:val="GlossaryTableText"/>
            </w:pPr>
            <w:r>
              <w:t xml:space="preserve">An ISBT 128 term that describes a characteristic of a donated unit of blood that distinguishes it from other members of the component class. </w:t>
            </w:r>
            <w:r>
              <w:rPr>
                <w:i/>
              </w:rPr>
              <w:t>The VBECS application is concerned with the modifiers “Washed,” “Thawed,” “Liquid,” “Frozen,” “Rejuvenated,” and “Deglycerolized.”</w:t>
            </w:r>
          </w:p>
        </w:tc>
      </w:tr>
      <w:tr w:rsidR="00AF274B" w14:paraId="55BC344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5D71BC11" w14:textId="77777777" w:rsidR="00AF274B" w:rsidRDefault="00AF274B" w:rsidP="005957FF">
            <w:pPr>
              <w:pStyle w:val="GlossaryTableText"/>
              <w:rPr>
                <w:b/>
                <w:bCs/>
              </w:rPr>
            </w:pPr>
            <w:r>
              <w:rPr>
                <w:b/>
                <w:bCs/>
              </w:rPr>
              <w:t>Modifier (order)</w:t>
            </w:r>
          </w:p>
        </w:tc>
        <w:tc>
          <w:tcPr>
            <w:tcW w:w="3327" w:type="pct"/>
            <w:tcBorders>
              <w:top w:val="nil"/>
              <w:left w:val="nil"/>
              <w:bottom w:val="nil"/>
              <w:right w:val="nil"/>
            </w:tcBorders>
          </w:tcPr>
          <w:p w14:paraId="6F48C50B" w14:textId="77777777" w:rsidR="00AF274B" w:rsidRDefault="00AF274B" w:rsidP="005957FF">
            <w:pPr>
              <w:pStyle w:val="GlossaryTableText"/>
            </w:pPr>
            <w:r>
              <w:t xml:space="preserve">Component requirements associated with a specific component order. </w:t>
            </w:r>
            <w:r>
              <w:rPr>
                <w:i/>
              </w:rPr>
              <w:t>Example: a component order where red blood cells must be leukoreduced. When a component order is accompanied by special requirements, units issued for transfusion must meet specific criteria that translate into “Modifiers” or “Attributes” in ISBT 128.</w:t>
            </w:r>
            <w:r>
              <w:t xml:space="preserve"> </w:t>
            </w:r>
          </w:p>
        </w:tc>
      </w:tr>
      <w:tr w:rsidR="00AF274B" w14:paraId="7062EFB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302E563F" w14:textId="77777777" w:rsidR="00AF274B" w:rsidRDefault="00AF274B">
            <w:pPr>
              <w:pStyle w:val="GlossaryTableText"/>
              <w:rPr>
                <w:b/>
                <w:bCs/>
              </w:rPr>
            </w:pPr>
            <w:r>
              <w:rPr>
                <w:b/>
                <w:bCs/>
              </w:rPr>
              <w:t>MSBOS</w:t>
            </w:r>
          </w:p>
        </w:tc>
        <w:tc>
          <w:tcPr>
            <w:tcW w:w="3327" w:type="pct"/>
            <w:tcBorders>
              <w:top w:val="nil"/>
              <w:left w:val="nil"/>
              <w:bottom w:val="nil"/>
              <w:right w:val="nil"/>
            </w:tcBorders>
          </w:tcPr>
          <w:p w14:paraId="7CAF692D" w14:textId="77777777" w:rsidR="00AF274B" w:rsidRDefault="00AF274B">
            <w:pPr>
              <w:pStyle w:val="GlossaryTableText"/>
            </w:pPr>
            <w:r>
              <w:t xml:space="preserve">Maximum Surgical Blood Ordering Schedule. The appropriate number of specific blood components to be ordered for selected surgeries at a facility. </w:t>
            </w:r>
            <w:r>
              <w:rPr>
                <w:i/>
              </w:rPr>
              <w:t>Preoperative blood component orders are compared with this list and details of orders falling outside of these established criteria are recorded and reportable.</w:t>
            </w:r>
          </w:p>
        </w:tc>
      </w:tr>
      <w:tr w:rsidR="00AF274B" w14:paraId="77ACDFF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1E921505" w14:textId="77777777" w:rsidR="00AF274B" w:rsidRDefault="00AF274B">
            <w:pPr>
              <w:pStyle w:val="GlossaryTableText"/>
              <w:rPr>
                <w:b/>
                <w:bCs/>
              </w:rPr>
            </w:pPr>
            <w:r>
              <w:rPr>
                <w:b/>
                <w:bCs/>
              </w:rPr>
              <w:t>Multidivisional database</w:t>
            </w:r>
          </w:p>
        </w:tc>
        <w:tc>
          <w:tcPr>
            <w:tcW w:w="3327" w:type="pct"/>
            <w:tcBorders>
              <w:top w:val="nil"/>
              <w:left w:val="nil"/>
              <w:bottom w:val="nil"/>
              <w:right w:val="nil"/>
            </w:tcBorders>
          </w:tcPr>
          <w:p w14:paraId="653D31D0" w14:textId="77777777" w:rsidR="00AF274B" w:rsidRDefault="00AF274B">
            <w:pPr>
              <w:pStyle w:val="GlossaryTableText"/>
            </w:pPr>
            <w:r>
              <w:t>More than one separate transfusion services share a database.</w:t>
            </w:r>
          </w:p>
        </w:tc>
      </w:tr>
      <w:tr w:rsidR="00AF274B" w14:paraId="2372357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3E18D3AF" w14:textId="77777777" w:rsidR="00AF274B" w:rsidRDefault="00AF274B">
            <w:pPr>
              <w:pStyle w:val="GlossaryTableText"/>
              <w:rPr>
                <w:b/>
                <w:bCs/>
              </w:rPr>
            </w:pPr>
            <w:r>
              <w:rPr>
                <w:b/>
                <w:bCs/>
              </w:rPr>
              <w:lastRenderedPageBreak/>
              <w:t>Negative control</w:t>
            </w:r>
          </w:p>
        </w:tc>
        <w:tc>
          <w:tcPr>
            <w:tcW w:w="3327" w:type="pct"/>
            <w:tcBorders>
              <w:top w:val="nil"/>
              <w:left w:val="nil"/>
              <w:bottom w:val="nil"/>
              <w:right w:val="nil"/>
            </w:tcBorders>
          </w:tcPr>
          <w:p w14:paraId="597DA907" w14:textId="77777777" w:rsidR="00AF274B" w:rsidRDefault="00AF274B">
            <w:pPr>
              <w:pStyle w:val="GlossaryTableText"/>
            </w:pPr>
            <w:r>
              <w:t>The negative control cell is known to lack the antigen the antiserum type is to detect. This cell should demonstrate negative serologic reaction, and, therefore, have a valid negative interpretation.</w:t>
            </w:r>
          </w:p>
          <w:p w14:paraId="44CA642F" w14:textId="229F6F30" w:rsidR="00AF274B" w:rsidRDefault="00AF274B">
            <w:pPr>
              <w:pStyle w:val="GlossaryTableText"/>
            </w:pPr>
            <w:r>
              <w:t>The positive and negative control cells must demonstrate a valid positive or negative set of serologic reactions and interpretations for the test of the unit or patient to be considered valid, regardless of the row validation of the unit test itself. (See “Positive contro</w:t>
            </w:r>
            <w:r w:rsidR="00C97822">
              <w:t>l”</w:t>
            </w:r>
            <w:r>
              <w:t>.</w:t>
            </w:r>
            <w:r w:rsidR="002F10B0">
              <w:t>)</w:t>
            </w:r>
          </w:p>
        </w:tc>
      </w:tr>
      <w:tr w:rsidR="00AF274B" w14:paraId="0D06BEE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6F7A00A0" w14:textId="77777777" w:rsidR="00AF274B" w:rsidRDefault="00AF274B">
            <w:pPr>
              <w:pStyle w:val="GlossaryTableText"/>
              <w:rPr>
                <w:b/>
                <w:bCs/>
              </w:rPr>
            </w:pPr>
            <w:r>
              <w:rPr>
                <w:b/>
                <w:bCs/>
              </w:rPr>
              <w:t>NFT</w:t>
            </w:r>
          </w:p>
        </w:tc>
        <w:tc>
          <w:tcPr>
            <w:tcW w:w="3327" w:type="pct"/>
            <w:tcBorders>
              <w:top w:val="nil"/>
              <w:left w:val="nil"/>
              <w:bottom w:val="nil"/>
              <w:right w:val="nil"/>
            </w:tcBorders>
          </w:tcPr>
          <w:p w14:paraId="3676F7A1" w14:textId="77777777" w:rsidR="00AF274B" w:rsidRDefault="00AF274B">
            <w:pPr>
              <w:pStyle w:val="GlossaryTableText"/>
              <w:rPr>
                <w:b/>
              </w:rPr>
            </w:pPr>
            <w:r>
              <w:t>Not fully tested.</w:t>
            </w:r>
          </w:p>
        </w:tc>
      </w:tr>
      <w:tr w:rsidR="00AF274B" w14:paraId="5F5C803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56D718A2" w14:textId="77777777" w:rsidR="00AF274B" w:rsidRDefault="00AF274B">
            <w:pPr>
              <w:pStyle w:val="GlossaryTableText"/>
              <w:rPr>
                <w:b/>
                <w:bCs/>
              </w:rPr>
            </w:pPr>
            <w:r>
              <w:rPr>
                <w:b/>
                <w:bCs/>
              </w:rPr>
              <w:t>NLT</w:t>
            </w:r>
          </w:p>
        </w:tc>
        <w:tc>
          <w:tcPr>
            <w:tcW w:w="3327" w:type="pct"/>
            <w:tcBorders>
              <w:top w:val="nil"/>
              <w:left w:val="nil"/>
              <w:bottom w:val="nil"/>
              <w:right w:val="nil"/>
            </w:tcBorders>
          </w:tcPr>
          <w:p w14:paraId="14D8E1D6" w14:textId="77777777" w:rsidR="00AF274B" w:rsidRDefault="00AF274B">
            <w:pPr>
              <w:pStyle w:val="GlossaryTableText"/>
            </w:pPr>
            <w:r>
              <w:t xml:space="preserve">National Laboratory Test code. Coding schema used by the </w:t>
            </w:r>
            <w:r w:rsidRPr="00CA6E27">
              <w:rPr>
                <w:bCs/>
              </w:rPr>
              <w:t>VistA</w:t>
            </w:r>
            <w:r>
              <w:t xml:space="preserve"> Laboratory software to assign numeric </w:t>
            </w:r>
            <w:r>
              <w:rPr>
                <w:color w:val="000000"/>
              </w:rPr>
              <w:t>identifier</w:t>
            </w:r>
            <w:r>
              <w:t xml:space="preserve"> code to specific tests. Also known as Workload Code (WKLD CODE).</w:t>
            </w:r>
          </w:p>
        </w:tc>
      </w:tr>
      <w:tr w:rsidR="00AF274B" w14:paraId="13D3115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7AAED381" w14:textId="77777777" w:rsidR="00AF274B" w:rsidRDefault="00AF274B">
            <w:pPr>
              <w:pStyle w:val="GlossaryTableText"/>
              <w:rPr>
                <w:b/>
                <w:bCs/>
              </w:rPr>
            </w:pPr>
            <w:r>
              <w:rPr>
                <w:b/>
                <w:bCs/>
              </w:rPr>
              <w:t>Order</w:t>
            </w:r>
          </w:p>
        </w:tc>
        <w:tc>
          <w:tcPr>
            <w:tcW w:w="3327" w:type="pct"/>
            <w:tcBorders>
              <w:top w:val="nil"/>
              <w:left w:val="nil"/>
              <w:bottom w:val="nil"/>
              <w:right w:val="nil"/>
            </w:tcBorders>
          </w:tcPr>
          <w:p w14:paraId="1FF4F7CC" w14:textId="77777777" w:rsidR="00AF274B" w:rsidRDefault="00AF274B">
            <w:pPr>
              <w:pStyle w:val="GlossaryTableText"/>
            </w:pPr>
            <w:r>
              <w:t xml:space="preserve">Request for a service. </w:t>
            </w:r>
            <w:r>
              <w:rPr>
                <w:i/>
              </w:rPr>
              <w:t>The request may specify when the order is to be completed, e.g., immediately (STAT). VBECS acts on the order when it has been “accessioned.”</w:t>
            </w:r>
          </w:p>
        </w:tc>
      </w:tr>
      <w:tr w:rsidR="001A1559" w14:paraId="78299BF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234E2F32" w14:textId="77777777" w:rsidR="001A1559" w:rsidRDefault="001A1559">
            <w:pPr>
              <w:pStyle w:val="GlossaryTableText"/>
              <w:rPr>
                <w:b/>
                <w:bCs/>
              </w:rPr>
            </w:pPr>
            <w:r>
              <w:rPr>
                <w:b/>
                <w:bCs/>
              </w:rPr>
              <w:t>Original unit</w:t>
            </w:r>
          </w:p>
        </w:tc>
        <w:tc>
          <w:tcPr>
            <w:tcW w:w="3327" w:type="pct"/>
            <w:tcBorders>
              <w:top w:val="nil"/>
              <w:left w:val="nil"/>
              <w:bottom w:val="nil"/>
              <w:right w:val="nil"/>
            </w:tcBorders>
          </w:tcPr>
          <w:p w14:paraId="09756829" w14:textId="77777777" w:rsidR="001A1559" w:rsidRDefault="001A1559">
            <w:pPr>
              <w:pStyle w:val="GlossaryTableText"/>
            </w:pPr>
            <w:r>
              <w:rPr>
                <w:snapToGrid w:val="0"/>
              </w:rPr>
              <w:t xml:space="preserve">A unit </w:t>
            </w:r>
            <w:r w:rsidR="004974ED">
              <w:rPr>
                <w:snapToGrid w:val="0"/>
              </w:rPr>
              <w:t>before modification</w:t>
            </w:r>
            <w:r>
              <w:rPr>
                <w:snapToGrid w:val="0"/>
              </w:rPr>
              <w:t>.</w:t>
            </w:r>
          </w:p>
        </w:tc>
      </w:tr>
      <w:tr w:rsidR="00AF274B" w14:paraId="1400F97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6F5095D0" w14:textId="77777777" w:rsidR="00AF274B" w:rsidRDefault="00AF274B">
            <w:pPr>
              <w:pStyle w:val="GlossaryTableText"/>
              <w:rPr>
                <w:b/>
                <w:bCs/>
              </w:rPr>
            </w:pPr>
            <w:r>
              <w:rPr>
                <w:b/>
                <w:bCs/>
              </w:rPr>
              <w:t>Outdated</w:t>
            </w:r>
          </w:p>
        </w:tc>
        <w:tc>
          <w:tcPr>
            <w:tcW w:w="3327" w:type="pct"/>
            <w:tcBorders>
              <w:top w:val="nil"/>
              <w:left w:val="nil"/>
              <w:bottom w:val="nil"/>
              <w:right w:val="nil"/>
            </w:tcBorders>
          </w:tcPr>
          <w:p w14:paraId="019032FE" w14:textId="77777777" w:rsidR="00AF274B" w:rsidRDefault="00AF274B">
            <w:pPr>
              <w:pStyle w:val="GlossaryTableText"/>
            </w:pPr>
            <w:r>
              <w:t xml:space="preserve">Describes the state of a unit of blood that has passed the expiration date/time. </w:t>
            </w:r>
          </w:p>
        </w:tc>
      </w:tr>
      <w:tr w:rsidR="00AF274B" w14:paraId="6D69FC2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046E1C41" w14:textId="77777777" w:rsidR="00AF274B" w:rsidRDefault="00AF274B">
            <w:pPr>
              <w:pStyle w:val="GlossaryTableText"/>
              <w:rPr>
                <w:b/>
                <w:bCs/>
              </w:rPr>
            </w:pPr>
            <w:r>
              <w:rPr>
                <w:b/>
                <w:bCs/>
              </w:rPr>
              <w:t>Patch</w:t>
            </w:r>
          </w:p>
        </w:tc>
        <w:tc>
          <w:tcPr>
            <w:tcW w:w="3327" w:type="pct"/>
            <w:tcBorders>
              <w:top w:val="nil"/>
              <w:left w:val="nil"/>
              <w:bottom w:val="nil"/>
              <w:right w:val="nil"/>
            </w:tcBorders>
          </w:tcPr>
          <w:p w14:paraId="0F3E8B12" w14:textId="77777777" w:rsidR="00AF274B" w:rsidRDefault="00AF274B">
            <w:pPr>
              <w:pStyle w:val="GlossaryTableText"/>
            </w:pPr>
            <w:r>
              <w:rPr>
                <w:color w:val="000000"/>
              </w:rPr>
              <w:t>Software developed and released to correct a defect, or change or enhance existing functionality; usually a modified subset or small addition to existing software.</w:t>
            </w:r>
          </w:p>
        </w:tc>
      </w:tr>
      <w:tr w:rsidR="00AF274B" w14:paraId="5FF0CB0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15FA643B" w14:textId="77777777" w:rsidR="00AF274B" w:rsidRDefault="00AF274B">
            <w:pPr>
              <w:pStyle w:val="GlossaryTableText"/>
              <w:rPr>
                <w:b/>
                <w:bCs/>
              </w:rPr>
            </w:pPr>
            <w:r>
              <w:rPr>
                <w:b/>
                <w:bCs/>
                <w:snapToGrid w:val="0"/>
              </w:rPr>
              <w:t>Patient care encounter (PCE)</w:t>
            </w:r>
          </w:p>
        </w:tc>
        <w:tc>
          <w:tcPr>
            <w:tcW w:w="3327" w:type="pct"/>
            <w:tcBorders>
              <w:top w:val="nil"/>
              <w:left w:val="nil"/>
              <w:bottom w:val="nil"/>
              <w:right w:val="nil"/>
            </w:tcBorders>
          </w:tcPr>
          <w:p w14:paraId="41E3EC66" w14:textId="77777777" w:rsidR="00AF274B" w:rsidRDefault="00AF274B">
            <w:pPr>
              <w:pStyle w:val="GlossaryTableText"/>
              <w:rPr>
                <w:snapToGrid w:val="0"/>
              </w:rPr>
            </w:pPr>
            <w:r>
              <w:rPr>
                <w:snapToGrid w:val="0"/>
              </w:rPr>
              <w:t>A contact with a patient documented in the patient’s record.</w:t>
            </w:r>
          </w:p>
        </w:tc>
      </w:tr>
      <w:tr w:rsidR="00AF274B" w14:paraId="6CC4785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33AA0B23" w14:textId="77777777" w:rsidR="00AF274B" w:rsidRDefault="00AF274B">
            <w:pPr>
              <w:pStyle w:val="GlossaryTableText"/>
              <w:rPr>
                <w:b/>
                <w:bCs/>
              </w:rPr>
            </w:pPr>
            <w:r>
              <w:rPr>
                <w:b/>
                <w:bCs/>
                <w:snapToGrid w:val="0"/>
              </w:rPr>
              <w:t>Pending Order List (POL)</w:t>
            </w:r>
          </w:p>
        </w:tc>
        <w:tc>
          <w:tcPr>
            <w:tcW w:w="3327" w:type="pct"/>
            <w:tcBorders>
              <w:top w:val="nil"/>
              <w:left w:val="nil"/>
              <w:bottom w:val="nil"/>
              <w:right w:val="nil"/>
            </w:tcBorders>
          </w:tcPr>
          <w:p w14:paraId="1D7A02A7" w14:textId="77777777" w:rsidR="00AF274B" w:rsidRDefault="00AF274B">
            <w:pPr>
              <w:pStyle w:val="GlossaryTableText"/>
              <w:rPr>
                <w:snapToGrid w:val="0"/>
              </w:rPr>
            </w:pPr>
            <w:r>
              <w:rPr>
                <w:snapToGrid w:val="0"/>
              </w:rPr>
              <w:t>A list of orders transmitted from CPRS waiting to be processed.</w:t>
            </w:r>
          </w:p>
        </w:tc>
      </w:tr>
      <w:tr w:rsidR="00AF274B" w14:paraId="1FF6B36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484979DF" w14:textId="77777777" w:rsidR="00AF274B" w:rsidRDefault="00AF274B">
            <w:pPr>
              <w:pStyle w:val="GlossaryTableText"/>
              <w:rPr>
                <w:b/>
                <w:bCs/>
              </w:rPr>
            </w:pPr>
            <w:r>
              <w:rPr>
                <w:b/>
                <w:bCs/>
                <w:snapToGrid w:val="0"/>
              </w:rPr>
              <w:t>Pending Task List (PTL)</w:t>
            </w:r>
          </w:p>
        </w:tc>
        <w:tc>
          <w:tcPr>
            <w:tcW w:w="3327" w:type="pct"/>
            <w:tcBorders>
              <w:top w:val="nil"/>
              <w:left w:val="nil"/>
              <w:bottom w:val="nil"/>
              <w:right w:val="nil"/>
            </w:tcBorders>
          </w:tcPr>
          <w:p w14:paraId="45D538F4" w14:textId="77777777" w:rsidR="00AF274B" w:rsidRDefault="00AF274B">
            <w:pPr>
              <w:pStyle w:val="GlossaryTableText"/>
              <w:rPr>
                <w:snapToGrid w:val="0"/>
              </w:rPr>
            </w:pPr>
            <w:r>
              <w:t>A list of tasks to be processed in the blood bank.</w:t>
            </w:r>
          </w:p>
        </w:tc>
      </w:tr>
      <w:tr w:rsidR="00AF274B" w14:paraId="3665273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564DF459" w14:textId="77777777" w:rsidR="00AF274B" w:rsidRDefault="00AF274B">
            <w:pPr>
              <w:pStyle w:val="GlossaryTableText"/>
              <w:rPr>
                <w:b/>
                <w:bCs/>
              </w:rPr>
            </w:pPr>
            <w:r>
              <w:rPr>
                <w:b/>
                <w:bCs/>
              </w:rPr>
              <w:t>Phenotype</w:t>
            </w:r>
          </w:p>
        </w:tc>
        <w:tc>
          <w:tcPr>
            <w:tcW w:w="3327" w:type="pct"/>
            <w:tcBorders>
              <w:top w:val="nil"/>
              <w:left w:val="nil"/>
              <w:bottom w:val="nil"/>
              <w:right w:val="nil"/>
            </w:tcBorders>
          </w:tcPr>
          <w:p w14:paraId="07A3EA6E" w14:textId="77777777" w:rsidR="00AF274B" w:rsidRDefault="00AF274B">
            <w:pPr>
              <w:pStyle w:val="GlossaryTableText"/>
            </w:pPr>
            <w:r>
              <w:t>Describes the presence or absence of specific antigens.</w:t>
            </w:r>
          </w:p>
        </w:tc>
      </w:tr>
      <w:tr w:rsidR="00AF274B" w14:paraId="338C173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619F78F2" w14:textId="77777777" w:rsidR="00AF274B" w:rsidRDefault="00AF274B">
            <w:pPr>
              <w:pStyle w:val="GlossaryTableText"/>
              <w:rPr>
                <w:b/>
                <w:bCs/>
              </w:rPr>
            </w:pPr>
            <w:r>
              <w:rPr>
                <w:b/>
                <w:bCs/>
              </w:rPr>
              <w:t>Phenotyping</w:t>
            </w:r>
          </w:p>
        </w:tc>
        <w:tc>
          <w:tcPr>
            <w:tcW w:w="3327" w:type="pct"/>
            <w:tcBorders>
              <w:top w:val="nil"/>
              <w:left w:val="nil"/>
              <w:bottom w:val="nil"/>
              <w:right w:val="nil"/>
            </w:tcBorders>
          </w:tcPr>
          <w:p w14:paraId="3DEFCCAE" w14:textId="77777777" w:rsidR="00AF274B" w:rsidRDefault="00AF274B">
            <w:pPr>
              <w:pStyle w:val="GlossaryTableText"/>
            </w:pPr>
            <w:r>
              <w:t>Testing for the presence or absence of specific antigens. See “Antigen typing.”</w:t>
            </w:r>
          </w:p>
        </w:tc>
      </w:tr>
      <w:tr w:rsidR="00AF274B" w14:paraId="4009C72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206350F4" w14:textId="77777777" w:rsidR="00AF274B" w:rsidRDefault="00AF274B">
            <w:pPr>
              <w:pStyle w:val="GlossaryTableText"/>
              <w:rPr>
                <w:b/>
                <w:bCs/>
              </w:rPr>
            </w:pPr>
            <w:r>
              <w:rPr>
                <w:b/>
                <w:bCs/>
                <w:snapToGrid w:val="0"/>
              </w:rPr>
              <w:t>Pick list</w:t>
            </w:r>
          </w:p>
        </w:tc>
        <w:tc>
          <w:tcPr>
            <w:tcW w:w="3327" w:type="pct"/>
            <w:tcBorders>
              <w:top w:val="nil"/>
              <w:left w:val="nil"/>
              <w:bottom w:val="nil"/>
              <w:right w:val="nil"/>
            </w:tcBorders>
          </w:tcPr>
          <w:p w14:paraId="1D256E6B" w14:textId="77777777" w:rsidR="00AF274B" w:rsidRDefault="00AF274B">
            <w:pPr>
              <w:pStyle w:val="GlossaryTableText"/>
              <w:rPr>
                <w:snapToGrid w:val="0"/>
              </w:rPr>
            </w:pPr>
            <w:r>
              <w:rPr>
                <w:snapToGrid w:val="0"/>
              </w:rPr>
              <w:t>A system-generated list that allows a user to select one or more entries.</w:t>
            </w:r>
          </w:p>
        </w:tc>
      </w:tr>
      <w:tr w:rsidR="00AF274B" w14:paraId="69ED57B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522AEE0D" w14:textId="77777777" w:rsidR="00AF274B" w:rsidRDefault="00AF274B">
            <w:pPr>
              <w:pStyle w:val="GlossaryTableText"/>
              <w:rPr>
                <w:b/>
                <w:bCs/>
              </w:rPr>
            </w:pPr>
            <w:r>
              <w:rPr>
                <w:b/>
                <w:bCs/>
              </w:rPr>
              <w:t>Pool</w:t>
            </w:r>
          </w:p>
        </w:tc>
        <w:tc>
          <w:tcPr>
            <w:tcW w:w="3327" w:type="pct"/>
            <w:tcBorders>
              <w:top w:val="nil"/>
              <w:left w:val="nil"/>
              <w:bottom w:val="nil"/>
              <w:right w:val="nil"/>
            </w:tcBorders>
          </w:tcPr>
          <w:p w14:paraId="53FB475B" w14:textId="77777777" w:rsidR="008A6FC3" w:rsidRPr="008A6FC3" w:rsidRDefault="008A6FC3" w:rsidP="008A6FC3">
            <w:pPr>
              <w:pStyle w:val="GlossaryTableText"/>
            </w:pPr>
            <w:r>
              <w:t>A blood product from many donors stored for later use.</w:t>
            </w:r>
          </w:p>
        </w:tc>
      </w:tr>
      <w:tr w:rsidR="00AF274B" w14:paraId="094B0E5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514A98F0" w14:textId="77777777" w:rsidR="00AF274B" w:rsidRDefault="00AF274B">
            <w:pPr>
              <w:pStyle w:val="GlossaryTableText"/>
              <w:rPr>
                <w:b/>
                <w:bCs/>
              </w:rPr>
            </w:pPr>
            <w:r>
              <w:rPr>
                <w:b/>
                <w:bCs/>
              </w:rPr>
              <w:t>Positive control</w:t>
            </w:r>
          </w:p>
        </w:tc>
        <w:tc>
          <w:tcPr>
            <w:tcW w:w="3327" w:type="pct"/>
            <w:tcBorders>
              <w:top w:val="nil"/>
              <w:left w:val="nil"/>
              <w:bottom w:val="nil"/>
              <w:right w:val="nil"/>
            </w:tcBorders>
          </w:tcPr>
          <w:p w14:paraId="35DA1564" w14:textId="77777777" w:rsidR="00AF274B" w:rsidRDefault="00AF274B">
            <w:pPr>
              <w:pStyle w:val="GlossaryTableText"/>
            </w:pPr>
            <w:r>
              <w:t xml:space="preserve">The positive control cell is known to have the antigen that the reagent antiserum type is to detect. This cell should demonstrate positive serologic reaction and, therefore, have a valid positive interpretation. </w:t>
            </w:r>
          </w:p>
          <w:p w14:paraId="0A736DE1" w14:textId="77777777" w:rsidR="00AF274B" w:rsidRDefault="00AF274B">
            <w:pPr>
              <w:pStyle w:val="GlossaryTableText"/>
            </w:pPr>
            <w:r>
              <w:t>The positive and negative control cells must demonstrate a valid positive or negative set of serologic reactions and interpretations for the test of the unit or patient to be considered valid, regardless of the row validation of the unit test itself. (See “Negative control.”)</w:t>
            </w:r>
          </w:p>
        </w:tc>
      </w:tr>
      <w:tr w:rsidR="00AF274B" w14:paraId="6A82940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1F719232" w14:textId="77777777" w:rsidR="00AF274B" w:rsidRDefault="00AF274B">
            <w:pPr>
              <w:pStyle w:val="GlossaryTableText"/>
              <w:rPr>
                <w:b/>
                <w:bCs/>
              </w:rPr>
            </w:pPr>
            <w:r>
              <w:rPr>
                <w:b/>
                <w:bCs/>
              </w:rPr>
              <w:t>Potential hazard</w:t>
            </w:r>
          </w:p>
        </w:tc>
        <w:tc>
          <w:tcPr>
            <w:tcW w:w="3327" w:type="pct"/>
            <w:tcBorders>
              <w:top w:val="nil"/>
              <w:left w:val="nil"/>
              <w:bottom w:val="nil"/>
              <w:right w:val="nil"/>
            </w:tcBorders>
          </w:tcPr>
          <w:p w14:paraId="63024E4C" w14:textId="77777777" w:rsidR="00AF274B" w:rsidRDefault="00AF274B">
            <w:pPr>
              <w:pStyle w:val="GlossaryTableText"/>
            </w:pPr>
            <w:r>
              <w:t>An event that compromises the safety of the patient or blood supply.</w:t>
            </w:r>
          </w:p>
        </w:tc>
      </w:tr>
      <w:tr w:rsidR="00AF274B" w14:paraId="7417767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2E76736A" w14:textId="77777777" w:rsidR="00AF274B" w:rsidRDefault="00AF274B">
            <w:pPr>
              <w:pStyle w:val="GlossaryTableText"/>
              <w:rPr>
                <w:b/>
                <w:bCs/>
              </w:rPr>
            </w:pPr>
            <w:r>
              <w:rPr>
                <w:b/>
                <w:bCs/>
              </w:rPr>
              <w:t>Pre-transfusion testing</w:t>
            </w:r>
          </w:p>
        </w:tc>
        <w:tc>
          <w:tcPr>
            <w:tcW w:w="3327" w:type="pct"/>
            <w:tcBorders>
              <w:top w:val="nil"/>
              <w:left w:val="nil"/>
              <w:bottom w:val="nil"/>
              <w:right w:val="nil"/>
            </w:tcBorders>
          </w:tcPr>
          <w:p w14:paraId="1136884C" w14:textId="77777777" w:rsidR="00AF274B" w:rsidRDefault="00AF274B">
            <w:pPr>
              <w:pStyle w:val="GlossaryTableText"/>
            </w:pPr>
            <w:r>
              <w:t>A group of tests, including ABO/Rh and an antibody screen, that must be performed on a sample of blood prior to crossmatching red cells for transfusion.</w:t>
            </w:r>
          </w:p>
        </w:tc>
      </w:tr>
      <w:tr w:rsidR="00AF274B" w14:paraId="41C8BF9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4328AF89" w14:textId="77777777" w:rsidR="00AF274B" w:rsidRDefault="00AF274B">
            <w:pPr>
              <w:pStyle w:val="GlossaryTableText"/>
              <w:rPr>
                <w:b/>
                <w:bCs/>
              </w:rPr>
            </w:pPr>
            <w:r>
              <w:rPr>
                <w:b/>
                <w:bCs/>
              </w:rPr>
              <w:t>Product</w:t>
            </w:r>
          </w:p>
        </w:tc>
        <w:tc>
          <w:tcPr>
            <w:tcW w:w="3327" w:type="pct"/>
            <w:tcBorders>
              <w:top w:val="nil"/>
              <w:left w:val="nil"/>
              <w:bottom w:val="nil"/>
              <w:right w:val="nil"/>
            </w:tcBorders>
          </w:tcPr>
          <w:p w14:paraId="0AE301CD" w14:textId="77777777" w:rsidR="00AF274B" w:rsidRDefault="00AF274B">
            <w:pPr>
              <w:pStyle w:val="GlossaryTableText"/>
            </w:pPr>
            <w:r>
              <w:t>Components, manufacturing materials, in-process devices, finished devices, and returned devices.</w:t>
            </w:r>
          </w:p>
        </w:tc>
      </w:tr>
      <w:tr w:rsidR="00AF274B" w14:paraId="641CD70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4D6A941D" w14:textId="77777777" w:rsidR="00AF274B" w:rsidRDefault="00AF274B">
            <w:pPr>
              <w:pStyle w:val="GlossaryTableText"/>
              <w:rPr>
                <w:b/>
                <w:bCs/>
              </w:rPr>
            </w:pPr>
            <w:r>
              <w:rPr>
                <w:b/>
                <w:bCs/>
              </w:rPr>
              <w:lastRenderedPageBreak/>
              <w:t>Product type</w:t>
            </w:r>
          </w:p>
        </w:tc>
        <w:tc>
          <w:tcPr>
            <w:tcW w:w="3327" w:type="pct"/>
            <w:tcBorders>
              <w:top w:val="nil"/>
              <w:left w:val="nil"/>
              <w:bottom w:val="nil"/>
              <w:right w:val="nil"/>
            </w:tcBorders>
          </w:tcPr>
          <w:p w14:paraId="0CC10656" w14:textId="77777777" w:rsidR="00AF274B" w:rsidRDefault="00AF274B">
            <w:pPr>
              <w:pStyle w:val="GlossaryTableText"/>
            </w:pPr>
            <w:r>
              <w:t>See “Component class.”</w:t>
            </w:r>
          </w:p>
        </w:tc>
      </w:tr>
      <w:tr w:rsidR="00542729" w14:paraId="2CD144A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4170F8F6" w14:textId="77777777" w:rsidR="00542729" w:rsidRDefault="00542729">
            <w:pPr>
              <w:pStyle w:val="GlossaryTableText"/>
              <w:rPr>
                <w:b/>
                <w:bCs/>
              </w:rPr>
            </w:pPr>
            <w:r>
              <w:rPr>
                <w:b/>
                <w:bCs/>
              </w:rPr>
              <w:t>Presumed transfused</w:t>
            </w:r>
          </w:p>
        </w:tc>
        <w:tc>
          <w:tcPr>
            <w:tcW w:w="3327" w:type="pct"/>
            <w:tcBorders>
              <w:top w:val="nil"/>
              <w:left w:val="nil"/>
              <w:bottom w:val="nil"/>
              <w:right w:val="nil"/>
            </w:tcBorders>
          </w:tcPr>
          <w:p w14:paraId="260BC6AB" w14:textId="77777777" w:rsidR="00542729" w:rsidRDefault="00542729">
            <w:pPr>
              <w:pStyle w:val="GlossaryTableText"/>
            </w:pPr>
            <w:r>
              <w:t>Unit status that VBECS assigns 48 hours after issue of a bl</w:t>
            </w:r>
            <w:r w:rsidR="006B7AA9">
              <w:t>ood product.</w:t>
            </w:r>
          </w:p>
        </w:tc>
      </w:tr>
      <w:tr w:rsidR="00AF274B" w14:paraId="75D6E40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734436F3" w14:textId="77777777" w:rsidR="00AF274B" w:rsidRDefault="00AF274B">
            <w:pPr>
              <w:pStyle w:val="GlossaryTableText"/>
              <w:rPr>
                <w:b/>
                <w:bCs/>
              </w:rPr>
            </w:pPr>
            <w:r>
              <w:rPr>
                <w:b/>
                <w:bCs/>
              </w:rPr>
              <w:t>QC</w:t>
            </w:r>
          </w:p>
        </w:tc>
        <w:tc>
          <w:tcPr>
            <w:tcW w:w="3327" w:type="pct"/>
            <w:tcBorders>
              <w:top w:val="nil"/>
              <w:left w:val="nil"/>
              <w:bottom w:val="nil"/>
              <w:right w:val="nil"/>
            </w:tcBorders>
          </w:tcPr>
          <w:p w14:paraId="1AFCF886" w14:textId="77777777" w:rsidR="00AF274B" w:rsidRDefault="00AF274B">
            <w:pPr>
              <w:pStyle w:val="GlossaryTableText"/>
            </w:pPr>
            <w:r>
              <w:t xml:space="preserve">Quality control. Testing routinely performed to ensure the proper functioning of materials, equipment, and methods. </w:t>
            </w:r>
          </w:p>
        </w:tc>
      </w:tr>
      <w:tr w:rsidR="00AF274B" w14:paraId="4EFCE6A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4FF7A97A" w14:textId="77777777" w:rsidR="00AF274B" w:rsidRDefault="00AF274B">
            <w:pPr>
              <w:pStyle w:val="GlossaryTableText"/>
              <w:rPr>
                <w:b/>
                <w:bCs/>
              </w:rPr>
            </w:pPr>
            <w:r>
              <w:rPr>
                <w:b/>
                <w:bCs/>
              </w:rPr>
              <w:t>Quality</w:t>
            </w:r>
          </w:p>
        </w:tc>
        <w:tc>
          <w:tcPr>
            <w:tcW w:w="3327" w:type="pct"/>
            <w:tcBorders>
              <w:top w:val="nil"/>
              <w:left w:val="nil"/>
              <w:bottom w:val="nil"/>
              <w:right w:val="nil"/>
            </w:tcBorders>
          </w:tcPr>
          <w:p w14:paraId="6B2D96BE" w14:textId="77777777" w:rsidR="00AF274B" w:rsidRDefault="00AF274B">
            <w:pPr>
              <w:pStyle w:val="GlossaryTableText"/>
            </w:pPr>
            <w:r>
              <w:t>The totality of features and characteristics that affect the ability of a device to satisfy fitness-for-use, including safety and performance.</w:t>
            </w:r>
          </w:p>
        </w:tc>
      </w:tr>
      <w:tr w:rsidR="00AF274B" w14:paraId="02BCF6B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5729FA79" w14:textId="77777777" w:rsidR="00AF274B" w:rsidRDefault="00AF274B">
            <w:pPr>
              <w:pStyle w:val="GlossaryTableText"/>
              <w:rPr>
                <w:b/>
                <w:bCs/>
              </w:rPr>
            </w:pPr>
            <w:r>
              <w:rPr>
                <w:b/>
                <w:bCs/>
              </w:rPr>
              <w:t>Reagent rack (also “rack”)</w:t>
            </w:r>
          </w:p>
        </w:tc>
        <w:tc>
          <w:tcPr>
            <w:tcW w:w="3327" w:type="pct"/>
            <w:tcBorders>
              <w:top w:val="nil"/>
              <w:left w:val="nil"/>
              <w:bottom w:val="nil"/>
              <w:right w:val="nil"/>
            </w:tcBorders>
          </w:tcPr>
          <w:p w14:paraId="007AD152" w14:textId="77777777" w:rsidR="00AF274B" w:rsidRDefault="00AF274B">
            <w:pPr>
              <w:pStyle w:val="GlossaryTableText"/>
            </w:pPr>
            <w:r>
              <w:t>A group of reagents used in routine blood bank testing.</w:t>
            </w:r>
          </w:p>
        </w:tc>
      </w:tr>
      <w:tr w:rsidR="00AF274B" w14:paraId="662415B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26512EE9" w14:textId="77777777" w:rsidR="00AF274B" w:rsidRDefault="00AF274B">
            <w:pPr>
              <w:pStyle w:val="GlossaryTableText"/>
              <w:rPr>
                <w:b/>
                <w:bCs/>
              </w:rPr>
            </w:pPr>
            <w:r>
              <w:rPr>
                <w:b/>
                <w:bCs/>
              </w:rPr>
              <w:t>Reagent red blood cells</w:t>
            </w:r>
          </w:p>
        </w:tc>
        <w:tc>
          <w:tcPr>
            <w:tcW w:w="3327" w:type="pct"/>
            <w:tcBorders>
              <w:top w:val="nil"/>
              <w:left w:val="nil"/>
              <w:bottom w:val="nil"/>
              <w:right w:val="nil"/>
            </w:tcBorders>
          </w:tcPr>
          <w:p w14:paraId="1381659E" w14:textId="77777777" w:rsidR="00AF274B" w:rsidRDefault="00AF274B">
            <w:pPr>
              <w:pStyle w:val="GlossaryTableText"/>
            </w:pPr>
            <w:r>
              <w:t>Non-patient testing materials, usually from a commercial source.</w:t>
            </w:r>
          </w:p>
        </w:tc>
      </w:tr>
      <w:tr w:rsidR="00AF274B" w14:paraId="2851477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11629964" w14:textId="77777777" w:rsidR="00AF274B" w:rsidRDefault="00AF274B">
            <w:pPr>
              <w:pStyle w:val="GlossaryTableText"/>
              <w:rPr>
                <w:b/>
                <w:bCs/>
              </w:rPr>
            </w:pPr>
            <w:r>
              <w:rPr>
                <w:b/>
                <w:bCs/>
              </w:rPr>
              <w:t>Reflex order</w:t>
            </w:r>
          </w:p>
        </w:tc>
        <w:tc>
          <w:tcPr>
            <w:tcW w:w="3327" w:type="pct"/>
            <w:tcBorders>
              <w:top w:val="nil"/>
              <w:left w:val="nil"/>
              <w:bottom w:val="nil"/>
              <w:right w:val="nil"/>
            </w:tcBorders>
          </w:tcPr>
          <w:p w14:paraId="0EA34315" w14:textId="77777777" w:rsidR="00AF274B" w:rsidRDefault="00AF274B">
            <w:pPr>
              <w:pStyle w:val="GlossaryTableText"/>
            </w:pPr>
            <w:r>
              <w:t>An order for additional testing to be performed resulting from observations of previous testing.</w:t>
            </w:r>
          </w:p>
        </w:tc>
      </w:tr>
      <w:tr w:rsidR="00AF274B" w14:paraId="7C9B036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51302521" w14:textId="77777777" w:rsidR="00AF274B" w:rsidRDefault="00AF274B">
            <w:pPr>
              <w:pStyle w:val="GlossaryTableText"/>
              <w:rPr>
                <w:b/>
                <w:bCs/>
              </w:rPr>
            </w:pPr>
            <w:r>
              <w:rPr>
                <w:b/>
                <w:bCs/>
              </w:rPr>
              <w:t>Reflex test</w:t>
            </w:r>
          </w:p>
        </w:tc>
        <w:tc>
          <w:tcPr>
            <w:tcW w:w="3327" w:type="pct"/>
            <w:tcBorders>
              <w:top w:val="nil"/>
              <w:left w:val="nil"/>
              <w:bottom w:val="nil"/>
              <w:right w:val="nil"/>
            </w:tcBorders>
          </w:tcPr>
          <w:p w14:paraId="3F0D4EF6" w14:textId="77777777" w:rsidR="00AF274B" w:rsidRDefault="00AF274B">
            <w:pPr>
              <w:pStyle w:val="GlossaryTableText"/>
            </w:pPr>
            <w:r>
              <w:t>A laboratory test not ordered by a physician but performed in response to results of other laboratory tests.</w:t>
            </w:r>
          </w:p>
        </w:tc>
      </w:tr>
      <w:tr w:rsidR="00AF274B" w14:paraId="162ABAF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61DDECDE" w14:textId="77777777" w:rsidR="00AF274B" w:rsidRDefault="00AF274B">
            <w:pPr>
              <w:pStyle w:val="GlossaryTableText"/>
              <w:rPr>
                <w:b/>
                <w:bCs/>
              </w:rPr>
            </w:pPr>
            <w:r>
              <w:rPr>
                <w:b/>
                <w:bCs/>
                <w:snapToGrid w:val="0"/>
              </w:rPr>
              <w:t>Rh (also “Rh factor”)</w:t>
            </w:r>
          </w:p>
        </w:tc>
        <w:tc>
          <w:tcPr>
            <w:tcW w:w="3327" w:type="pct"/>
            <w:tcBorders>
              <w:top w:val="nil"/>
              <w:left w:val="nil"/>
              <w:bottom w:val="nil"/>
              <w:right w:val="nil"/>
            </w:tcBorders>
          </w:tcPr>
          <w:p w14:paraId="19D4DCE3" w14:textId="77777777" w:rsidR="00AF274B" w:rsidRDefault="00AF274B">
            <w:pPr>
              <w:pStyle w:val="GlossaryTableText"/>
              <w:rPr>
                <w:snapToGrid w:val="0"/>
              </w:rPr>
            </w:pPr>
            <w:r>
              <w:rPr>
                <w:snapToGrid w:val="0"/>
              </w:rPr>
              <w:t xml:space="preserve">Rhesus factor. </w:t>
            </w:r>
            <w:r>
              <w:t>The major antigen of the Rh system. Also “D.”</w:t>
            </w:r>
            <w:r>
              <w:rPr>
                <w:i/>
              </w:rPr>
              <w:t xml:space="preserve"> The presence of this antigen on red blood cells determines if a patient or donor is Rh Pos or Rh Neg. A weak expression of the D antigen, referred to as “Du” or “weak D,” may require additional testing to determine its presence.</w:t>
            </w:r>
          </w:p>
        </w:tc>
      </w:tr>
      <w:tr w:rsidR="00AF274B" w14:paraId="753DE58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00529E86" w14:textId="77777777" w:rsidR="00AF274B" w:rsidRDefault="00AF274B">
            <w:pPr>
              <w:pStyle w:val="GlossaryTableText"/>
              <w:rPr>
                <w:b/>
                <w:bCs/>
              </w:rPr>
            </w:pPr>
            <w:r>
              <w:rPr>
                <w:b/>
                <w:bCs/>
                <w:snapToGrid w:val="0"/>
              </w:rPr>
              <w:t>SCD</w:t>
            </w:r>
          </w:p>
        </w:tc>
        <w:tc>
          <w:tcPr>
            <w:tcW w:w="3327" w:type="pct"/>
            <w:tcBorders>
              <w:top w:val="nil"/>
              <w:left w:val="nil"/>
              <w:bottom w:val="nil"/>
              <w:right w:val="nil"/>
            </w:tcBorders>
          </w:tcPr>
          <w:p w14:paraId="7C982E87" w14:textId="77777777" w:rsidR="00AF274B" w:rsidRDefault="00AF274B">
            <w:pPr>
              <w:pStyle w:val="GlossaryTableText"/>
              <w:rPr>
                <w:snapToGrid w:val="0"/>
              </w:rPr>
            </w:pPr>
            <w:r>
              <w:rPr>
                <w:snapToGrid w:val="0"/>
              </w:rPr>
              <w:t>Sterile connection device.</w:t>
            </w:r>
          </w:p>
        </w:tc>
      </w:tr>
      <w:tr w:rsidR="00AF274B" w14:paraId="7060FEF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074137D2" w14:textId="77777777" w:rsidR="00AF274B" w:rsidRDefault="00AF274B">
            <w:pPr>
              <w:pStyle w:val="GlossaryTableText"/>
              <w:rPr>
                <w:b/>
                <w:bCs/>
                <w:snapToGrid w:val="0"/>
              </w:rPr>
            </w:pPr>
            <w:r>
              <w:rPr>
                <w:b/>
                <w:bCs/>
                <w:snapToGrid w:val="0"/>
              </w:rPr>
              <w:t>Screening cell (SC)</w:t>
            </w:r>
          </w:p>
          <w:p w14:paraId="629C7231" w14:textId="68D18599" w:rsidR="0022026D" w:rsidRPr="0022026D" w:rsidRDefault="0022026D" w:rsidP="0022026D">
            <w:pPr>
              <w:pStyle w:val="TableText"/>
              <w:rPr>
                <w:b/>
                <w:sz w:val="20"/>
                <w:szCs w:val="20"/>
              </w:rPr>
            </w:pPr>
            <w:r w:rsidRPr="0022026D">
              <w:rPr>
                <w:b/>
                <w:sz w:val="20"/>
                <w:szCs w:val="20"/>
              </w:rPr>
              <w:t>SD</w:t>
            </w:r>
          </w:p>
        </w:tc>
        <w:tc>
          <w:tcPr>
            <w:tcW w:w="3327" w:type="pct"/>
            <w:tcBorders>
              <w:top w:val="nil"/>
              <w:left w:val="nil"/>
              <w:bottom w:val="nil"/>
              <w:right w:val="nil"/>
            </w:tcBorders>
          </w:tcPr>
          <w:p w14:paraId="247FA565" w14:textId="77777777" w:rsidR="00AF274B" w:rsidRDefault="00AF274B">
            <w:pPr>
              <w:pStyle w:val="GlossaryTableText"/>
              <w:rPr>
                <w:snapToGrid w:val="0"/>
              </w:rPr>
            </w:pPr>
            <w:r>
              <w:rPr>
                <w:snapToGrid w:val="0"/>
              </w:rPr>
              <w:t>Antigenically defined cells used to detect alloantibodies.</w:t>
            </w:r>
          </w:p>
          <w:p w14:paraId="26D5BA83" w14:textId="3CE79ADE" w:rsidR="0022026D" w:rsidRPr="0022026D" w:rsidRDefault="0022026D" w:rsidP="0022026D">
            <w:pPr>
              <w:pStyle w:val="TableText"/>
              <w:rPr>
                <w:sz w:val="20"/>
                <w:szCs w:val="20"/>
              </w:rPr>
            </w:pPr>
            <w:r w:rsidRPr="0022026D">
              <w:rPr>
                <w:sz w:val="20"/>
                <w:szCs w:val="20"/>
              </w:rPr>
              <w:t>Service Desk (formerly National Help Desk).</w:t>
            </w:r>
          </w:p>
        </w:tc>
      </w:tr>
      <w:tr w:rsidR="00AF274B" w14:paraId="17B4D77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54223F97" w14:textId="77777777" w:rsidR="00AF274B" w:rsidRDefault="00AF274B">
            <w:pPr>
              <w:pStyle w:val="GlossaryTableText"/>
              <w:rPr>
                <w:b/>
                <w:bCs/>
              </w:rPr>
            </w:pPr>
            <w:r>
              <w:rPr>
                <w:b/>
                <w:bCs/>
              </w:rPr>
              <w:t>Selected</w:t>
            </w:r>
          </w:p>
        </w:tc>
        <w:tc>
          <w:tcPr>
            <w:tcW w:w="3327" w:type="pct"/>
            <w:tcBorders>
              <w:top w:val="nil"/>
              <w:left w:val="nil"/>
              <w:bottom w:val="nil"/>
              <w:right w:val="nil"/>
            </w:tcBorders>
          </w:tcPr>
          <w:p w14:paraId="40EE796B" w14:textId="77777777" w:rsidR="00AF274B" w:rsidRDefault="00AF274B">
            <w:pPr>
              <w:pStyle w:val="GlossaryTableText"/>
            </w:pPr>
            <w:r>
              <w:t xml:space="preserve">Status of a unit of red cells when the blood bank technician selects it from available inventory to be crossmatched with a patient specimen. </w:t>
            </w:r>
            <w:r>
              <w:rPr>
                <w:i/>
              </w:rPr>
              <w:t>A unit in “selected” state is not available to be issued for transfusion. By entering a crossmatch result of “compatible,” the state changes from “selected” to “assigned.”</w:t>
            </w:r>
          </w:p>
        </w:tc>
      </w:tr>
      <w:tr w:rsidR="00AF274B" w14:paraId="5E58B18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0FBB932E" w14:textId="77777777" w:rsidR="00AF274B" w:rsidRDefault="00AF274B">
            <w:pPr>
              <w:pStyle w:val="GlossaryTableText"/>
              <w:rPr>
                <w:b/>
                <w:bCs/>
              </w:rPr>
            </w:pPr>
            <w:r>
              <w:rPr>
                <w:b/>
                <w:bCs/>
                <w:snapToGrid w:val="0"/>
              </w:rPr>
              <w:t>Serologic crossmatch</w:t>
            </w:r>
          </w:p>
        </w:tc>
        <w:tc>
          <w:tcPr>
            <w:tcW w:w="3327" w:type="pct"/>
            <w:tcBorders>
              <w:top w:val="nil"/>
              <w:left w:val="nil"/>
              <w:bottom w:val="nil"/>
              <w:right w:val="nil"/>
            </w:tcBorders>
          </w:tcPr>
          <w:p w14:paraId="2A0A0B1A" w14:textId="77777777" w:rsidR="00AF274B" w:rsidRDefault="00AF274B">
            <w:pPr>
              <w:pStyle w:val="GlossaryTableText"/>
              <w:rPr>
                <w:b/>
              </w:rPr>
            </w:pPr>
            <w:r>
              <w:rPr>
                <w:snapToGrid w:val="0"/>
              </w:rPr>
              <w:t>Performance of a laboratory test to predict post-transfusion survival of transfused blood.</w:t>
            </w:r>
          </w:p>
        </w:tc>
      </w:tr>
      <w:tr w:rsidR="00AF274B" w14:paraId="140FB88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0BA01E2E" w14:textId="77777777" w:rsidR="00AF274B" w:rsidRDefault="00AF274B">
            <w:pPr>
              <w:pStyle w:val="GlossaryTableText"/>
              <w:rPr>
                <w:b/>
                <w:bCs/>
              </w:rPr>
            </w:pPr>
            <w:r>
              <w:rPr>
                <w:b/>
                <w:bCs/>
              </w:rPr>
              <w:t>Serum</w:t>
            </w:r>
          </w:p>
        </w:tc>
        <w:tc>
          <w:tcPr>
            <w:tcW w:w="3327" w:type="pct"/>
            <w:tcBorders>
              <w:top w:val="nil"/>
              <w:left w:val="nil"/>
              <w:bottom w:val="nil"/>
              <w:right w:val="nil"/>
            </w:tcBorders>
          </w:tcPr>
          <w:p w14:paraId="18B287C8" w14:textId="77777777" w:rsidR="00AF274B" w:rsidRDefault="00AF274B">
            <w:pPr>
              <w:pStyle w:val="GlossaryTableText"/>
            </w:pPr>
            <w:r>
              <w:t>The liquid portion of blood used to detect antibodies.</w:t>
            </w:r>
          </w:p>
        </w:tc>
      </w:tr>
      <w:tr w:rsidR="00AF274B" w14:paraId="493E531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3A280291" w14:textId="77777777" w:rsidR="00AF274B" w:rsidRDefault="00AF274B">
            <w:pPr>
              <w:pStyle w:val="GlossaryTableText"/>
              <w:rPr>
                <w:b/>
                <w:bCs/>
              </w:rPr>
            </w:pPr>
            <w:r>
              <w:rPr>
                <w:b/>
                <w:bCs/>
              </w:rPr>
              <w:t>Server</w:t>
            </w:r>
          </w:p>
        </w:tc>
        <w:tc>
          <w:tcPr>
            <w:tcW w:w="3327" w:type="pct"/>
            <w:tcBorders>
              <w:top w:val="nil"/>
              <w:left w:val="nil"/>
              <w:bottom w:val="nil"/>
              <w:right w:val="nil"/>
            </w:tcBorders>
          </w:tcPr>
          <w:p w14:paraId="2BF74C7E" w14:textId="77777777" w:rsidR="00AF274B" w:rsidRDefault="00AF274B">
            <w:pPr>
              <w:pStyle w:val="GlossaryTableText"/>
            </w:pPr>
            <w:r>
              <w:t>A computer system in a network shared by multiple users.</w:t>
            </w:r>
          </w:p>
        </w:tc>
      </w:tr>
      <w:tr w:rsidR="00AF274B" w14:paraId="455BCD9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77077B77" w14:textId="77777777" w:rsidR="00AF274B" w:rsidRDefault="00AF274B">
            <w:pPr>
              <w:pStyle w:val="GlossaryTableText"/>
              <w:rPr>
                <w:b/>
                <w:bCs/>
              </w:rPr>
            </w:pPr>
            <w:r>
              <w:rPr>
                <w:b/>
                <w:bCs/>
              </w:rPr>
              <w:t>SF 518 equivalent</w:t>
            </w:r>
          </w:p>
        </w:tc>
        <w:tc>
          <w:tcPr>
            <w:tcW w:w="3327" w:type="pct"/>
            <w:tcBorders>
              <w:top w:val="nil"/>
              <w:left w:val="nil"/>
              <w:bottom w:val="nil"/>
              <w:right w:val="nil"/>
            </w:tcBorders>
          </w:tcPr>
          <w:p w14:paraId="75186EB3" w14:textId="77777777" w:rsidR="00AF274B" w:rsidRDefault="00AF274B">
            <w:pPr>
              <w:pStyle w:val="GlossaryTableText"/>
            </w:pPr>
            <w:r>
              <w:t>See “Blood Transfusion Reaction Form.”</w:t>
            </w:r>
          </w:p>
        </w:tc>
      </w:tr>
      <w:tr w:rsidR="00AF274B" w14:paraId="335FD76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6DEA66AD" w14:textId="77777777" w:rsidR="00AF274B" w:rsidRDefault="00AF274B">
            <w:pPr>
              <w:pStyle w:val="GlossaryTableText"/>
              <w:rPr>
                <w:b/>
                <w:bCs/>
              </w:rPr>
            </w:pPr>
            <w:r>
              <w:rPr>
                <w:b/>
                <w:bCs/>
              </w:rPr>
              <w:t>Site (see also “Facility”)</w:t>
            </w:r>
          </w:p>
        </w:tc>
        <w:tc>
          <w:tcPr>
            <w:tcW w:w="3327" w:type="pct"/>
            <w:tcBorders>
              <w:top w:val="nil"/>
              <w:left w:val="nil"/>
              <w:bottom w:val="nil"/>
              <w:right w:val="nil"/>
            </w:tcBorders>
          </w:tcPr>
          <w:p w14:paraId="5471F8BA" w14:textId="77777777" w:rsidR="00AF274B" w:rsidRDefault="00AF274B">
            <w:pPr>
              <w:pStyle w:val="GlossaryTableText"/>
            </w:pPr>
            <w:r>
              <w:t>A blood bank laboratory where a blood unit is located.</w:t>
            </w:r>
          </w:p>
        </w:tc>
      </w:tr>
      <w:tr w:rsidR="001A1559" w14:paraId="400A6AF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7ED77077" w14:textId="77777777" w:rsidR="001A1559" w:rsidRDefault="001A1559">
            <w:pPr>
              <w:pStyle w:val="GlossaryTableText"/>
              <w:rPr>
                <w:b/>
                <w:bCs/>
              </w:rPr>
            </w:pPr>
            <w:r>
              <w:rPr>
                <w:b/>
                <w:bCs/>
              </w:rPr>
              <w:t>SME</w:t>
            </w:r>
          </w:p>
        </w:tc>
        <w:tc>
          <w:tcPr>
            <w:tcW w:w="3327" w:type="pct"/>
            <w:tcBorders>
              <w:top w:val="nil"/>
              <w:left w:val="nil"/>
              <w:bottom w:val="nil"/>
              <w:right w:val="nil"/>
            </w:tcBorders>
          </w:tcPr>
          <w:p w14:paraId="2A029492" w14:textId="77777777" w:rsidR="001A1559" w:rsidRDefault="001A1559">
            <w:pPr>
              <w:pStyle w:val="GlossaryTableText"/>
            </w:pPr>
            <w:r>
              <w:t>Subject matter expert.</w:t>
            </w:r>
          </w:p>
        </w:tc>
      </w:tr>
      <w:tr w:rsidR="00AF274B" w14:paraId="7BA9280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6AB5B1CF" w14:textId="77777777" w:rsidR="00AF274B" w:rsidRDefault="00AF274B">
            <w:pPr>
              <w:pStyle w:val="GlossaryTableText"/>
              <w:rPr>
                <w:b/>
                <w:bCs/>
              </w:rPr>
            </w:pPr>
            <w:r>
              <w:rPr>
                <w:b/>
                <w:bCs/>
              </w:rPr>
              <w:t>Software</w:t>
            </w:r>
          </w:p>
        </w:tc>
        <w:tc>
          <w:tcPr>
            <w:tcW w:w="3327" w:type="pct"/>
            <w:tcBorders>
              <w:top w:val="nil"/>
              <w:left w:val="nil"/>
              <w:bottom w:val="nil"/>
              <w:right w:val="nil"/>
            </w:tcBorders>
          </w:tcPr>
          <w:p w14:paraId="5773419E" w14:textId="77777777" w:rsidR="00AF274B" w:rsidRDefault="00AF274B">
            <w:pPr>
              <w:pStyle w:val="GlossaryTableText"/>
              <w:rPr>
                <w:b/>
              </w:rPr>
            </w:pPr>
            <w:r>
              <w:t>Computer programs and associated documentation pertaining to the operation of a system.</w:t>
            </w:r>
          </w:p>
        </w:tc>
      </w:tr>
      <w:tr w:rsidR="00AF274B" w14:paraId="4748730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2372A33D" w14:textId="77777777" w:rsidR="00AF274B" w:rsidRDefault="00AF274B">
            <w:pPr>
              <w:pStyle w:val="GlossaryTableText"/>
              <w:rPr>
                <w:b/>
                <w:bCs/>
              </w:rPr>
            </w:pPr>
            <w:r>
              <w:rPr>
                <w:b/>
                <w:bCs/>
                <w:snapToGrid w:val="0"/>
              </w:rPr>
              <w:t>Special Instructions (SIs)</w:t>
            </w:r>
          </w:p>
        </w:tc>
        <w:tc>
          <w:tcPr>
            <w:tcW w:w="3327" w:type="pct"/>
            <w:tcBorders>
              <w:top w:val="nil"/>
              <w:left w:val="nil"/>
              <w:bottom w:val="nil"/>
              <w:right w:val="nil"/>
            </w:tcBorders>
          </w:tcPr>
          <w:p w14:paraId="7FED2243" w14:textId="77777777" w:rsidR="00AF274B" w:rsidRDefault="00AF274B">
            <w:pPr>
              <w:pStyle w:val="GlossaryTableText"/>
              <w:rPr>
                <w:snapToGrid w:val="0"/>
              </w:rPr>
            </w:pPr>
            <w:r>
              <w:rPr>
                <w:snapToGrid w:val="0"/>
              </w:rPr>
              <w:t>Free-text or canned comments entered by the Blood Bank Technologist to communicate problems, restrictions, and considerations not otherwise documented in a patient’s record.</w:t>
            </w:r>
          </w:p>
        </w:tc>
      </w:tr>
      <w:tr w:rsidR="00AF274B" w14:paraId="283D417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4170C135" w14:textId="77777777" w:rsidR="00AF274B" w:rsidRDefault="00AF274B">
            <w:pPr>
              <w:pStyle w:val="GlossaryTableText"/>
              <w:rPr>
                <w:b/>
                <w:bCs/>
              </w:rPr>
            </w:pPr>
            <w:r>
              <w:rPr>
                <w:b/>
                <w:bCs/>
              </w:rPr>
              <w:t>Status</w:t>
            </w:r>
          </w:p>
        </w:tc>
        <w:tc>
          <w:tcPr>
            <w:tcW w:w="3327" w:type="pct"/>
            <w:tcBorders>
              <w:top w:val="nil"/>
              <w:left w:val="nil"/>
              <w:bottom w:val="nil"/>
              <w:right w:val="nil"/>
            </w:tcBorders>
          </w:tcPr>
          <w:p w14:paraId="1DB0F1E9" w14:textId="77777777" w:rsidR="00AF274B" w:rsidRDefault="00AF274B">
            <w:pPr>
              <w:pStyle w:val="GlossaryTableText"/>
            </w:pPr>
            <w:r>
              <w:t>The disposition of a unit of blood.</w:t>
            </w:r>
          </w:p>
        </w:tc>
      </w:tr>
      <w:tr w:rsidR="00AF274B" w14:paraId="3E71A7A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5104AF65" w14:textId="77777777" w:rsidR="00AF274B" w:rsidRDefault="00AF274B">
            <w:pPr>
              <w:pStyle w:val="GlossaryTableText"/>
              <w:rPr>
                <w:b/>
                <w:bCs/>
              </w:rPr>
            </w:pPr>
            <w:r>
              <w:rPr>
                <w:b/>
                <w:bCs/>
                <w:snapToGrid w:val="0"/>
              </w:rPr>
              <w:t>Sterile connection device</w:t>
            </w:r>
          </w:p>
        </w:tc>
        <w:tc>
          <w:tcPr>
            <w:tcW w:w="3327" w:type="pct"/>
            <w:tcBorders>
              <w:top w:val="nil"/>
              <w:left w:val="nil"/>
              <w:bottom w:val="nil"/>
              <w:right w:val="nil"/>
            </w:tcBorders>
          </w:tcPr>
          <w:p w14:paraId="3BC98EA2" w14:textId="77777777" w:rsidR="00AF274B" w:rsidRDefault="00AF274B">
            <w:pPr>
              <w:pStyle w:val="GlossaryTableText"/>
              <w:rPr>
                <w:snapToGrid w:val="0"/>
              </w:rPr>
            </w:pPr>
            <w:r>
              <w:rPr>
                <w:snapToGrid w:val="0"/>
              </w:rPr>
              <w:t>An instrument that connects two plastic tubes while maintaining sterility.</w:t>
            </w:r>
          </w:p>
        </w:tc>
      </w:tr>
      <w:tr w:rsidR="009A6A1E" w14:paraId="2E181C4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2938AFF8" w14:textId="77777777" w:rsidR="009A6A1E" w:rsidRDefault="009A6A1E">
            <w:pPr>
              <w:pStyle w:val="GlossaryTableText"/>
              <w:rPr>
                <w:b/>
                <w:bCs/>
                <w:snapToGrid w:val="0"/>
              </w:rPr>
            </w:pPr>
            <w:r>
              <w:rPr>
                <w:b/>
                <w:bCs/>
                <w:snapToGrid w:val="0"/>
              </w:rPr>
              <w:t>SSRS</w:t>
            </w:r>
          </w:p>
        </w:tc>
        <w:tc>
          <w:tcPr>
            <w:tcW w:w="3327" w:type="pct"/>
            <w:tcBorders>
              <w:top w:val="nil"/>
              <w:left w:val="nil"/>
              <w:bottom w:val="nil"/>
              <w:right w:val="nil"/>
            </w:tcBorders>
          </w:tcPr>
          <w:p w14:paraId="7EC386D2" w14:textId="77777777" w:rsidR="009A6A1E" w:rsidRDefault="009A6A1E">
            <w:pPr>
              <w:pStyle w:val="GlossaryTableText"/>
              <w:rPr>
                <w:snapToGrid w:val="0"/>
              </w:rPr>
            </w:pPr>
            <w:r>
              <w:rPr>
                <w:snapToGrid w:val="0"/>
              </w:rPr>
              <w:t>SQL Server Reporting Services.</w:t>
            </w:r>
          </w:p>
        </w:tc>
      </w:tr>
      <w:tr w:rsidR="00AF274B" w14:paraId="6A4E3A8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6E02931B" w14:textId="77777777" w:rsidR="00AF274B" w:rsidRDefault="00AF274B">
            <w:pPr>
              <w:pStyle w:val="GlossaryTableText"/>
              <w:rPr>
                <w:b/>
                <w:bCs/>
                <w:snapToGrid w:val="0"/>
              </w:rPr>
            </w:pPr>
            <w:r>
              <w:rPr>
                <w:b/>
                <w:bCs/>
                <w:snapToGrid w:val="0"/>
              </w:rPr>
              <w:t>Target unit</w:t>
            </w:r>
          </w:p>
        </w:tc>
        <w:tc>
          <w:tcPr>
            <w:tcW w:w="3327" w:type="pct"/>
            <w:tcBorders>
              <w:top w:val="nil"/>
              <w:left w:val="nil"/>
              <w:bottom w:val="nil"/>
              <w:right w:val="nil"/>
            </w:tcBorders>
          </w:tcPr>
          <w:p w14:paraId="73D26A8B" w14:textId="77777777" w:rsidR="00AF274B" w:rsidRDefault="00AF274B">
            <w:pPr>
              <w:pStyle w:val="GlossaryTableText"/>
              <w:rPr>
                <w:snapToGrid w:val="0"/>
              </w:rPr>
            </w:pPr>
            <w:r>
              <w:rPr>
                <w:snapToGrid w:val="0"/>
              </w:rPr>
              <w:t>A unit formed as a result of a pool or split.</w:t>
            </w:r>
          </w:p>
        </w:tc>
      </w:tr>
      <w:tr w:rsidR="00AF274B" w14:paraId="0D2A62C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56281366" w14:textId="77777777" w:rsidR="00AF274B" w:rsidRDefault="00AF274B">
            <w:pPr>
              <w:pStyle w:val="GlossaryTableText"/>
              <w:rPr>
                <w:b/>
                <w:bCs/>
              </w:rPr>
            </w:pPr>
            <w:r>
              <w:rPr>
                <w:b/>
                <w:bCs/>
                <w:snapToGrid w:val="0"/>
              </w:rPr>
              <w:t>TAS</w:t>
            </w:r>
          </w:p>
        </w:tc>
        <w:tc>
          <w:tcPr>
            <w:tcW w:w="3327" w:type="pct"/>
            <w:tcBorders>
              <w:top w:val="nil"/>
              <w:left w:val="nil"/>
              <w:bottom w:val="nil"/>
              <w:right w:val="nil"/>
            </w:tcBorders>
          </w:tcPr>
          <w:p w14:paraId="5A7D1F66" w14:textId="77777777" w:rsidR="00AF274B" w:rsidRDefault="00AF274B">
            <w:pPr>
              <w:pStyle w:val="GlossaryTableText"/>
              <w:rPr>
                <w:snapToGrid w:val="0"/>
              </w:rPr>
            </w:pPr>
            <w:r>
              <w:rPr>
                <w:snapToGrid w:val="0"/>
              </w:rPr>
              <w:t>Type &amp; Screen.</w:t>
            </w:r>
          </w:p>
        </w:tc>
      </w:tr>
      <w:tr w:rsidR="00AF274B" w14:paraId="64D5F88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2E1B194C" w14:textId="77777777" w:rsidR="00AF274B" w:rsidRDefault="00AF274B">
            <w:pPr>
              <w:pStyle w:val="GlossaryTableText"/>
              <w:rPr>
                <w:b/>
                <w:bCs/>
              </w:rPr>
            </w:pPr>
            <w:r w:rsidRPr="00741C68">
              <w:rPr>
                <w:b/>
                <w:bCs/>
                <w:snapToGrid w:val="0"/>
              </w:rPr>
              <w:lastRenderedPageBreak/>
              <w:t>TCP/IP</w:t>
            </w:r>
          </w:p>
        </w:tc>
        <w:tc>
          <w:tcPr>
            <w:tcW w:w="3327" w:type="pct"/>
            <w:tcBorders>
              <w:top w:val="nil"/>
              <w:left w:val="nil"/>
              <w:bottom w:val="nil"/>
              <w:right w:val="nil"/>
            </w:tcBorders>
          </w:tcPr>
          <w:p w14:paraId="60A63F44" w14:textId="77777777" w:rsidR="00AF274B" w:rsidRDefault="00AF274B">
            <w:pPr>
              <w:pStyle w:val="GlossaryTableText"/>
            </w:pPr>
            <w:r>
              <w:t>Transmission Control Protocol/Internet Protocol.</w:t>
            </w:r>
          </w:p>
        </w:tc>
      </w:tr>
      <w:tr w:rsidR="00AF274B" w14:paraId="2252852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7FAD4C27" w14:textId="77777777" w:rsidR="00AF274B" w:rsidRDefault="00AF274B">
            <w:pPr>
              <w:pStyle w:val="GlossaryTableText"/>
              <w:rPr>
                <w:b/>
                <w:bCs/>
              </w:rPr>
            </w:pPr>
            <w:r>
              <w:rPr>
                <w:b/>
                <w:bCs/>
              </w:rPr>
              <w:t>Test (in general and laboratory contexts)</w:t>
            </w:r>
          </w:p>
        </w:tc>
        <w:tc>
          <w:tcPr>
            <w:tcW w:w="3327" w:type="pct"/>
            <w:tcBorders>
              <w:top w:val="nil"/>
              <w:left w:val="nil"/>
              <w:bottom w:val="nil"/>
              <w:right w:val="nil"/>
            </w:tcBorders>
          </w:tcPr>
          <w:p w14:paraId="364F7BF0" w14:textId="77777777" w:rsidR="00AF274B" w:rsidRDefault="00AF274B">
            <w:pPr>
              <w:pStyle w:val="GlossaryTableText"/>
            </w:pPr>
            <w:r>
              <w:t>A means of examination to determine a property. In the context of the VBECS database, the contents of a single grid entry (test cell).</w:t>
            </w:r>
          </w:p>
        </w:tc>
      </w:tr>
      <w:tr w:rsidR="00AF274B" w14:paraId="2FD9818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52C9D56B" w14:textId="77777777" w:rsidR="00AF274B" w:rsidRDefault="00AF274B">
            <w:pPr>
              <w:pStyle w:val="GlossaryTableText"/>
              <w:rPr>
                <w:b/>
                <w:bCs/>
              </w:rPr>
            </w:pPr>
            <w:r>
              <w:rPr>
                <w:b/>
                <w:bCs/>
              </w:rPr>
              <w:t>Test cell</w:t>
            </w:r>
          </w:p>
        </w:tc>
        <w:tc>
          <w:tcPr>
            <w:tcW w:w="3327" w:type="pct"/>
            <w:tcBorders>
              <w:top w:val="nil"/>
              <w:left w:val="nil"/>
              <w:bottom w:val="nil"/>
              <w:right w:val="nil"/>
            </w:tcBorders>
          </w:tcPr>
          <w:p w14:paraId="240D5DF0" w14:textId="77777777" w:rsidR="00AF274B" w:rsidRDefault="00AF274B">
            <w:pPr>
              <w:pStyle w:val="GlossaryTableText"/>
              <w:rPr>
                <w:b/>
              </w:rPr>
            </w:pPr>
            <w:r>
              <w:t>In the context of the VBECS database: A grid space. In a laboratory: Red cells, in a reagent vial, used in a test.</w:t>
            </w:r>
          </w:p>
        </w:tc>
      </w:tr>
      <w:tr w:rsidR="00AF274B" w14:paraId="570D436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464ADA81" w14:textId="77777777" w:rsidR="00AF274B" w:rsidRDefault="00AF274B">
            <w:pPr>
              <w:pStyle w:val="GlossaryTableText"/>
              <w:rPr>
                <w:b/>
                <w:bCs/>
              </w:rPr>
            </w:pPr>
            <w:r>
              <w:rPr>
                <w:b/>
                <w:bCs/>
              </w:rPr>
              <w:t>Testing phase</w:t>
            </w:r>
          </w:p>
        </w:tc>
        <w:tc>
          <w:tcPr>
            <w:tcW w:w="3327" w:type="pct"/>
            <w:tcBorders>
              <w:top w:val="nil"/>
              <w:left w:val="nil"/>
              <w:bottom w:val="nil"/>
              <w:right w:val="nil"/>
            </w:tcBorders>
          </w:tcPr>
          <w:p w14:paraId="40AD6520" w14:textId="77777777" w:rsidR="00AF274B" w:rsidRDefault="00AF274B">
            <w:pPr>
              <w:pStyle w:val="GlossaryTableText"/>
            </w:pPr>
            <w:r>
              <w:t>1. The portion of a laboratory test in which an interpretation is recorded. 2. The phase of the development process in which the functionality is available for testing.</w:t>
            </w:r>
          </w:p>
        </w:tc>
      </w:tr>
      <w:tr w:rsidR="00AF274B" w14:paraId="075A506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32E0C5C1" w14:textId="77777777" w:rsidR="00AF274B" w:rsidRDefault="00AF274B">
            <w:pPr>
              <w:pStyle w:val="GlossaryTableText"/>
              <w:rPr>
                <w:b/>
                <w:bCs/>
              </w:rPr>
            </w:pPr>
            <w:r>
              <w:rPr>
                <w:b/>
                <w:bCs/>
                <w:snapToGrid w:val="0"/>
              </w:rPr>
              <w:t>Transfusion Requirements (TRs)</w:t>
            </w:r>
          </w:p>
        </w:tc>
        <w:tc>
          <w:tcPr>
            <w:tcW w:w="3327" w:type="pct"/>
            <w:tcBorders>
              <w:top w:val="nil"/>
              <w:left w:val="nil"/>
              <w:bottom w:val="nil"/>
              <w:right w:val="nil"/>
            </w:tcBorders>
          </w:tcPr>
          <w:p w14:paraId="740F3B13" w14:textId="77777777" w:rsidR="00AF274B" w:rsidRDefault="00AF274B">
            <w:pPr>
              <w:pStyle w:val="GlossaryTableText"/>
              <w:rPr>
                <w:snapToGrid w:val="0"/>
              </w:rPr>
            </w:pPr>
            <w:r>
              <w:rPr>
                <w:snapToGrid w:val="0"/>
              </w:rPr>
              <w:t>Mandatory blood product attributes applied to every transfusion.</w:t>
            </w:r>
          </w:p>
        </w:tc>
      </w:tr>
      <w:tr w:rsidR="00AF274B" w14:paraId="002A566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2ECC1747" w14:textId="77777777" w:rsidR="00AF274B" w:rsidRDefault="00AF274B">
            <w:pPr>
              <w:pStyle w:val="GlossaryTableText"/>
              <w:rPr>
                <w:b/>
                <w:bCs/>
              </w:rPr>
            </w:pPr>
            <w:r>
              <w:rPr>
                <w:b/>
                <w:bCs/>
              </w:rPr>
              <w:t>Truth table</w:t>
            </w:r>
          </w:p>
        </w:tc>
        <w:tc>
          <w:tcPr>
            <w:tcW w:w="3327" w:type="pct"/>
            <w:tcBorders>
              <w:top w:val="nil"/>
              <w:left w:val="nil"/>
              <w:bottom w:val="nil"/>
              <w:right w:val="nil"/>
            </w:tcBorders>
          </w:tcPr>
          <w:p w14:paraId="66A5C2AD" w14:textId="77777777" w:rsidR="00AF274B" w:rsidRDefault="00AF274B">
            <w:pPr>
              <w:pStyle w:val="GlossaryTableText"/>
            </w:pPr>
            <w:r>
              <w:t>A table, specific to a test or action, listing all possible combinations of user inputs and the corresponding acceptable results and/or interpretations. It allows the system to verify user input based on established parameters.</w:t>
            </w:r>
          </w:p>
        </w:tc>
      </w:tr>
      <w:tr w:rsidR="00AF274B" w14:paraId="270CE84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73420C1A" w14:textId="77777777" w:rsidR="00AF274B" w:rsidRDefault="00AF274B">
            <w:pPr>
              <w:pStyle w:val="GlossaryTableText"/>
              <w:rPr>
                <w:b/>
                <w:bCs/>
              </w:rPr>
            </w:pPr>
            <w:r>
              <w:rPr>
                <w:b/>
                <w:bCs/>
              </w:rPr>
              <w:t>TRW</w:t>
            </w:r>
          </w:p>
        </w:tc>
        <w:tc>
          <w:tcPr>
            <w:tcW w:w="3327" w:type="pct"/>
            <w:tcBorders>
              <w:top w:val="nil"/>
              <w:left w:val="nil"/>
              <w:bottom w:val="nil"/>
              <w:right w:val="nil"/>
            </w:tcBorders>
          </w:tcPr>
          <w:p w14:paraId="47D73B5B" w14:textId="77777777" w:rsidR="00AF274B" w:rsidRDefault="00AF274B">
            <w:pPr>
              <w:pStyle w:val="GlossaryTableText"/>
            </w:pPr>
            <w:r>
              <w:t>Transfusion reaction workup.</w:t>
            </w:r>
          </w:p>
        </w:tc>
      </w:tr>
      <w:tr w:rsidR="00AF274B" w14:paraId="49FC7D5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3538AE6F" w14:textId="77777777" w:rsidR="00AF274B" w:rsidRDefault="00AF274B">
            <w:pPr>
              <w:pStyle w:val="GlossaryTableText"/>
              <w:rPr>
                <w:b/>
                <w:bCs/>
              </w:rPr>
            </w:pPr>
            <w:r>
              <w:rPr>
                <w:b/>
                <w:bCs/>
              </w:rPr>
              <w:t>UID</w:t>
            </w:r>
          </w:p>
        </w:tc>
        <w:tc>
          <w:tcPr>
            <w:tcW w:w="3327" w:type="pct"/>
            <w:tcBorders>
              <w:top w:val="nil"/>
              <w:left w:val="nil"/>
              <w:bottom w:val="nil"/>
              <w:right w:val="nil"/>
            </w:tcBorders>
          </w:tcPr>
          <w:p w14:paraId="5A88B7B5" w14:textId="77777777" w:rsidR="00AF274B" w:rsidRDefault="00AF274B">
            <w:pPr>
              <w:pStyle w:val="GlossaryTableText"/>
              <w:rPr>
                <w:i/>
              </w:rPr>
            </w:pPr>
            <w:r>
              <w:t xml:space="preserve">Universal ID. An eye-readable and barcode-scannable coded representation of the Accession Number assigned by the laboratory package. </w:t>
            </w:r>
            <w:r>
              <w:rPr>
                <w:i/>
              </w:rPr>
              <w:t>UID is unique to the generating information system where the specimen was received.</w:t>
            </w:r>
          </w:p>
        </w:tc>
      </w:tr>
      <w:tr w:rsidR="00AF274B" w14:paraId="3E5AEA7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76620DC2" w14:textId="77777777" w:rsidR="00AF274B" w:rsidRDefault="00AF274B">
            <w:pPr>
              <w:pStyle w:val="GlossaryTableText"/>
              <w:rPr>
                <w:b/>
                <w:bCs/>
              </w:rPr>
            </w:pPr>
            <w:r>
              <w:rPr>
                <w:b/>
                <w:bCs/>
              </w:rPr>
              <w:t>Unit</w:t>
            </w:r>
          </w:p>
        </w:tc>
        <w:tc>
          <w:tcPr>
            <w:tcW w:w="3327" w:type="pct"/>
            <w:tcBorders>
              <w:top w:val="nil"/>
              <w:left w:val="nil"/>
              <w:bottom w:val="nil"/>
              <w:right w:val="nil"/>
            </w:tcBorders>
          </w:tcPr>
          <w:p w14:paraId="2AB6B56D" w14:textId="77777777" w:rsidR="00AF274B" w:rsidRDefault="00AF274B">
            <w:pPr>
              <w:pStyle w:val="GlossaryTableText"/>
            </w:pPr>
            <w:r>
              <w:t>A single example of a blood component type. Example: a single unit of red cells, a unit of plasma, a unit of platelets.</w:t>
            </w:r>
          </w:p>
        </w:tc>
      </w:tr>
      <w:tr w:rsidR="00AF274B" w14:paraId="7E425D9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40E0D4B5" w14:textId="77777777" w:rsidR="00AF274B" w:rsidRDefault="00AF274B">
            <w:pPr>
              <w:pStyle w:val="GlossaryTableText"/>
              <w:rPr>
                <w:b/>
                <w:bCs/>
              </w:rPr>
            </w:pPr>
            <w:r>
              <w:rPr>
                <w:b/>
                <w:bCs/>
              </w:rPr>
              <w:t>Unit ID</w:t>
            </w:r>
          </w:p>
        </w:tc>
        <w:tc>
          <w:tcPr>
            <w:tcW w:w="3327" w:type="pct"/>
            <w:tcBorders>
              <w:top w:val="nil"/>
              <w:left w:val="nil"/>
              <w:bottom w:val="nil"/>
              <w:right w:val="nil"/>
            </w:tcBorders>
          </w:tcPr>
          <w:p w14:paraId="0C4CED90" w14:textId="77777777" w:rsidR="00AF274B" w:rsidRDefault="00AF274B">
            <w:pPr>
              <w:pStyle w:val="GlossaryTableText"/>
            </w:pPr>
            <w:r>
              <w:t>The label identifier, consisting of a string of characters, of the unit of blood, barcoded on the blood bag label and scanned when a blood unit is received in the blood bank in a shipment.</w:t>
            </w:r>
          </w:p>
        </w:tc>
      </w:tr>
      <w:tr w:rsidR="00AF274B" w14:paraId="585BAF8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530C5C9D" w14:textId="77777777" w:rsidR="00AF274B" w:rsidRDefault="00AF274B">
            <w:pPr>
              <w:pStyle w:val="GlossaryTableText"/>
              <w:rPr>
                <w:b/>
                <w:bCs/>
              </w:rPr>
            </w:pPr>
            <w:r>
              <w:rPr>
                <w:b/>
                <w:bCs/>
              </w:rPr>
              <w:t>Unit status</w:t>
            </w:r>
          </w:p>
        </w:tc>
        <w:tc>
          <w:tcPr>
            <w:tcW w:w="3327" w:type="pct"/>
            <w:tcBorders>
              <w:top w:val="nil"/>
              <w:left w:val="nil"/>
              <w:bottom w:val="nil"/>
              <w:right w:val="nil"/>
            </w:tcBorders>
          </w:tcPr>
          <w:p w14:paraId="1C49E441" w14:textId="77777777" w:rsidR="00AF274B" w:rsidRDefault="00AF274B">
            <w:pPr>
              <w:pStyle w:val="GlossaryTableText"/>
              <w:rPr>
                <w:u w:val="single"/>
              </w:rPr>
            </w:pPr>
            <w:r>
              <w:t>The state of a unit of blood at any given time.</w:t>
            </w:r>
          </w:p>
          <w:p w14:paraId="59C656B2" w14:textId="77777777" w:rsidR="00AF274B" w:rsidRDefault="00AF274B">
            <w:pPr>
              <w:pStyle w:val="GlossaryTableTextBullets"/>
            </w:pPr>
            <w:r>
              <w:t>Available: Required processing is complete.</w:t>
            </w:r>
          </w:p>
          <w:p w14:paraId="28F8D6A3" w14:textId="77777777" w:rsidR="00AF274B" w:rsidRDefault="00AF274B">
            <w:pPr>
              <w:pStyle w:val="GlossaryTableTextBullets"/>
            </w:pPr>
            <w:r>
              <w:t>Crossmatched/Assigned: The unit is immediately available for transfusion. All required compatibility testing, including crossmatch if indicated, is performed.</w:t>
            </w:r>
          </w:p>
          <w:p w14:paraId="6D4EFB3C" w14:textId="77777777" w:rsidR="00AF274B" w:rsidRDefault="00AF274B">
            <w:pPr>
              <w:pStyle w:val="GlossaryTableTextBullets"/>
            </w:pPr>
            <w:r>
              <w:t>Discarded: The unit has been destroyed and is no longer available.</w:t>
            </w:r>
          </w:p>
          <w:p w14:paraId="0A092CB4" w14:textId="77777777" w:rsidR="00AF274B" w:rsidRDefault="00AF274B">
            <w:pPr>
              <w:pStyle w:val="GlossaryTableTextBullets"/>
            </w:pPr>
            <w:r>
              <w:t xml:space="preserve">Issued: The unit is not currently located in the blood bank. </w:t>
            </w:r>
          </w:p>
          <w:p w14:paraId="1D04AB44" w14:textId="77777777" w:rsidR="00AF274B" w:rsidRDefault="00AF274B">
            <w:pPr>
              <w:pStyle w:val="GlossaryTableTextBullets"/>
            </w:pPr>
            <w:r>
              <w:t>Limited: Required processing is complete, except for ABO/Rh confirmation</w:t>
            </w:r>
            <w:r w:rsidR="009204CC">
              <w:t>.</w:t>
            </w:r>
          </w:p>
          <w:p w14:paraId="572B1A2E" w14:textId="77777777" w:rsidR="00AF274B" w:rsidRDefault="00AF274B">
            <w:pPr>
              <w:pStyle w:val="GlossaryTableTextBullets"/>
            </w:pPr>
            <w:r>
              <w:t>Quarantine: The unit cannot be selected.</w:t>
            </w:r>
          </w:p>
          <w:p w14:paraId="2B9845AE" w14:textId="77777777" w:rsidR="00AF274B" w:rsidRDefault="00AF274B">
            <w:pPr>
              <w:pStyle w:val="GlossaryTableTextBullets"/>
            </w:pPr>
            <w:r>
              <w:t>Selected: The unit is reserved for one or more patients. Additional compatibility testing is required, such as antigen phenotype, crossmatch, and unit ABO/Rh confirmation.</w:t>
            </w:r>
          </w:p>
          <w:p w14:paraId="0BB5FE6E" w14:textId="77777777" w:rsidR="00AF274B" w:rsidRDefault="00AF274B">
            <w:pPr>
              <w:pStyle w:val="GlossaryTableTextBullets"/>
              <w:rPr>
                <w:b/>
              </w:rPr>
            </w:pPr>
            <w:r>
              <w:t>Transferred: The unit has been returned to the original supplier or transferred to a different facility.</w:t>
            </w:r>
          </w:p>
          <w:p w14:paraId="5FEE69BF" w14:textId="77777777" w:rsidR="00AF274B" w:rsidRDefault="00AF274B">
            <w:pPr>
              <w:pStyle w:val="GlossaryTableTextBullets"/>
              <w:rPr>
                <w:b/>
              </w:rPr>
            </w:pPr>
            <w:r>
              <w:t>Transfused: The unit has been infused into a patient and is no longer available.</w:t>
            </w:r>
          </w:p>
        </w:tc>
      </w:tr>
      <w:tr w:rsidR="0064398B" w14:paraId="47FC348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1DAA8F2F" w14:textId="2E720649" w:rsidR="0064398B" w:rsidRDefault="0064398B">
            <w:pPr>
              <w:pStyle w:val="GlossaryTableText"/>
              <w:rPr>
                <w:b/>
                <w:bCs/>
              </w:rPr>
            </w:pPr>
            <w:r>
              <w:rPr>
                <w:b/>
                <w:bCs/>
              </w:rPr>
              <w:t>UTC</w:t>
            </w:r>
          </w:p>
        </w:tc>
        <w:tc>
          <w:tcPr>
            <w:tcW w:w="3327" w:type="pct"/>
            <w:tcBorders>
              <w:top w:val="nil"/>
              <w:left w:val="nil"/>
              <w:bottom w:val="nil"/>
              <w:right w:val="nil"/>
            </w:tcBorders>
          </w:tcPr>
          <w:p w14:paraId="3343B825" w14:textId="4C0CE83C" w:rsidR="0064398B" w:rsidRDefault="003D267D">
            <w:pPr>
              <w:pStyle w:val="GlossaryTableText"/>
            </w:pPr>
            <w:r>
              <w:t xml:space="preserve">Coordinated </w:t>
            </w:r>
            <w:r w:rsidR="0064398B">
              <w:t>Universal Time</w:t>
            </w:r>
          </w:p>
        </w:tc>
      </w:tr>
      <w:tr w:rsidR="00AF274B" w14:paraId="3F3F019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5069EADE" w14:textId="77777777" w:rsidR="00AF274B" w:rsidRDefault="00AF274B">
            <w:pPr>
              <w:pStyle w:val="GlossaryTableText"/>
              <w:rPr>
                <w:b/>
                <w:bCs/>
              </w:rPr>
            </w:pPr>
            <w:r>
              <w:rPr>
                <w:b/>
                <w:bCs/>
              </w:rPr>
              <w:t>Validation</w:t>
            </w:r>
          </w:p>
        </w:tc>
        <w:tc>
          <w:tcPr>
            <w:tcW w:w="3327" w:type="pct"/>
            <w:tcBorders>
              <w:top w:val="nil"/>
              <w:left w:val="nil"/>
              <w:bottom w:val="nil"/>
              <w:right w:val="nil"/>
            </w:tcBorders>
          </w:tcPr>
          <w:p w14:paraId="0A642729" w14:textId="77777777" w:rsidR="00AF274B" w:rsidRDefault="00AF274B">
            <w:pPr>
              <w:pStyle w:val="GlossaryTableText"/>
            </w:pPr>
            <w:r>
              <w:t>Establishment by objective evidence that a specific process or device specification conforms to user needs and intended use.</w:t>
            </w:r>
          </w:p>
        </w:tc>
      </w:tr>
      <w:tr w:rsidR="001A1559" w14:paraId="796CD90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016FF746" w14:textId="77777777" w:rsidR="001A1559" w:rsidRDefault="004974ED">
            <w:pPr>
              <w:pStyle w:val="GlossaryTableText"/>
              <w:rPr>
                <w:b/>
                <w:bCs/>
              </w:rPr>
            </w:pPr>
            <w:r>
              <w:rPr>
                <w:b/>
                <w:bCs/>
              </w:rPr>
              <w:lastRenderedPageBreak/>
              <w:t>VDL</w:t>
            </w:r>
          </w:p>
        </w:tc>
        <w:tc>
          <w:tcPr>
            <w:tcW w:w="3327" w:type="pct"/>
            <w:tcBorders>
              <w:top w:val="nil"/>
              <w:left w:val="nil"/>
              <w:bottom w:val="nil"/>
              <w:right w:val="nil"/>
            </w:tcBorders>
          </w:tcPr>
          <w:p w14:paraId="3F6DFC17" w14:textId="77777777" w:rsidR="001A1559" w:rsidRDefault="004974ED">
            <w:pPr>
              <w:pStyle w:val="GlossaryTableText"/>
            </w:pPr>
            <w:r w:rsidRPr="000C7684">
              <w:rPr>
                <w:bCs/>
              </w:rPr>
              <w:t>VistA</w:t>
            </w:r>
            <w:r>
              <w:t xml:space="preserve"> Documentation Library.</w:t>
            </w:r>
          </w:p>
        </w:tc>
      </w:tr>
      <w:tr w:rsidR="00AF274B" w14:paraId="53CCFFD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5FCE71E0" w14:textId="77777777" w:rsidR="00AF274B" w:rsidRDefault="00AF274B">
            <w:pPr>
              <w:pStyle w:val="GlossaryTableText"/>
              <w:rPr>
                <w:b/>
                <w:bCs/>
              </w:rPr>
            </w:pPr>
            <w:r>
              <w:rPr>
                <w:b/>
                <w:bCs/>
              </w:rPr>
              <w:t>Verification</w:t>
            </w:r>
          </w:p>
        </w:tc>
        <w:tc>
          <w:tcPr>
            <w:tcW w:w="3327" w:type="pct"/>
            <w:tcBorders>
              <w:top w:val="nil"/>
              <w:left w:val="nil"/>
              <w:bottom w:val="nil"/>
              <w:right w:val="nil"/>
            </w:tcBorders>
          </w:tcPr>
          <w:p w14:paraId="0DF38F4C" w14:textId="77777777" w:rsidR="00AF274B" w:rsidRDefault="00AF274B">
            <w:pPr>
              <w:pStyle w:val="GlossaryTableText"/>
            </w:pPr>
            <w:r>
              <w:t>Confirmation by examination and provision of objective evidence that requirements were fulfilled.</w:t>
            </w:r>
          </w:p>
        </w:tc>
      </w:tr>
      <w:tr w:rsidR="00AF274B" w14:paraId="3D5AB24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7A7EF161" w14:textId="77777777" w:rsidR="00AF274B" w:rsidRDefault="00AF274B">
            <w:pPr>
              <w:pStyle w:val="GlossaryTableText"/>
              <w:rPr>
                <w:b/>
                <w:bCs/>
              </w:rPr>
            </w:pPr>
            <w:r>
              <w:rPr>
                <w:b/>
                <w:bCs/>
              </w:rPr>
              <w:t>Verify Code</w:t>
            </w:r>
          </w:p>
        </w:tc>
        <w:tc>
          <w:tcPr>
            <w:tcW w:w="3327" w:type="pct"/>
            <w:tcBorders>
              <w:top w:val="nil"/>
              <w:left w:val="nil"/>
              <w:bottom w:val="nil"/>
              <w:right w:val="nil"/>
            </w:tcBorders>
          </w:tcPr>
          <w:p w14:paraId="72FF0B20" w14:textId="77777777" w:rsidR="00AF274B" w:rsidRDefault="00AF274B">
            <w:pPr>
              <w:pStyle w:val="GlossaryTableText"/>
              <w:rPr>
                <w:b/>
              </w:rPr>
            </w:pPr>
            <w:r>
              <w:t xml:space="preserve">A field in the </w:t>
            </w:r>
            <w:r w:rsidRPr="00CA6E27">
              <w:rPr>
                <w:bCs/>
              </w:rPr>
              <w:t>VistA</w:t>
            </w:r>
            <w:r>
              <w:t xml:space="preserve"> New Person file used to verify the identity of a user associated with an Access Code.</w:t>
            </w:r>
          </w:p>
        </w:tc>
      </w:tr>
      <w:tr w:rsidR="00AF274B" w14:paraId="48A4792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5B75232E" w14:textId="77777777" w:rsidR="00AF274B" w:rsidRDefault="00AF274B">
            <w:pPr>
              <w:pStyle w:val="GlossaryTableText"/>
              <w:rPr>
                <w:b/>
                <w:bCs/>
              </w:rPr>
            </w:pPr>
            <w:r>
              <w:rPr>
                <w:b/>
                <w:bCs/>
              </w:rPr>
              <w:t>Vial identifier</w:t>
            </w:r>
          </w:p>
        </w:tc>
        <w:tc>
          <w:tcPr>
            <w:tcW w:w="3327" w:type="pct"/>
            <w:tcBorders>
              <w:top w:val="nil"/>
              <w:left w:val="nil"/>
              <w:bottom w:val="nil"/>
              <w:right w:val="nil"/>
            </w:tcBorders>
          </w:tcPr>
          <w:p w14:paraId="37D38510" w14:textId="77777777" w:rsidR="00AF274B" w:rsidRDefault="00AF274B">
            <w:pPr>
              <w:pStyle w:val="GlossaryTableText"/>
              <w:rPr>
                <w:b/>
              </w:rPr>
            </w:pPr>
            <w:r>
              <w:t xml:space="preserve">A one- or two-character number that identifies a specific vial contained within a kit of reagents. </w:t>
            </w:r>
            <w:r>
              <w:rPr>
                <w:i/>
              </w:rPr>
              <w:t>A vial contains antigen positive or antigen negative blood cells to be used in quality control of antisera. Also referred to as “cell identifier.”</w:t>
            </w:r>
          </w:p>
        </w:tc>
      </w:tr>
      <w:tr w:rsidR="00AF274B" w14:paraId="5471273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68C790F2" w14:textId="77777777" w:rsidR="00AF274B" w:rsidRDefault="00AF274B">
            <w:pPr>
              <w:pStyle w:val="GlossaryTableText"/>
              <w:rPr>
                <w:b/>
                <w:bCs/>
              </w:rPr>
            </w:pPr>
            <w:r>
              <w:rPr>
                <w:b/>
                <w:bCs/>
              </w:rPr>
              <w:t>VISN</w:t>
            </w:r>
          </w:p>
        </w:tc>
        <w:tc>
          <w:tcPr>
            <w:tcW w:w="3327" w:type="pct"/>
            <w:tcBorders>
              <w:top w:val="nil"/>
              <w:left w:val="nil"/>
              <w:bottom w:val="nil"/>
              <w:right w:val="nil"/>
            </w:tcBorders>
          </w:tcPr>
          <w:p w14:paraId="4B108954" w14:textId="77777777" w:rsidR="00AF274B" w:rsidRDefault="00AF274B">
            <w:pPr>
              <w:pStyle w:val="GlossaryTableText"/>
            </w:pPr>
            <w:r>
              <w:t>Veterans Integrated Services Network.</w:t>
            </w:r>
          </w:p>
        </w:tc>
      </w:tr>
      <w:tr w:rsidR="00AF274B" w14:paraId="3CBC280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13F96E2D" w14:textId="77777777" w:rsidR="00AF274B" w:rsidRPr="00CA6E27" w:rsidRDefault="00AF274B">
            <w:pPr>
              <w:pStyle w:val="GlossaryTableText"/>
              <w:rPr>
                <w:b/>
                <w:bCs/>
              </w:rPr>
            </w:pPr>
            <w:r w:rsidRPr="00CA6E27">
              <w:rPr>
                <w:b/>
                <w:bCs/>
              </w:rPr>
              <w:t>VistA</w:t>
            </w:r>
          </w:p>
        </w:tc>
        <w:tc>
          <w:tcPr>
            <w:tcW w:w="3327" w:type="pct"/>
            <w:tcBorders>
              <w:top w:val="nil"/>
              <w:left w:val="nil"/>
              <w:bottom w:val="nil"/>
              <w:right w:val="nil"/>
            </w:tcBorders>
          </w:tcPr>
          <w:p w14:paraId="630472FC" w14:textId="77777777" w:rsidR="00AF274B" w:rsidRDefault="00AF274B">
            <w:pPr>
              <w:pStyle w:val="GlossaryTableText"/>
            </w:pPr>
            <w:r>
              <w:t>Veterans Health Information Systems and Technology Architecture.</w:t>
            </w:r>
          </w:p>
        </w:tc>
      </w:tr>
      <w:tr w:rsidR="00AF274B" w14:paraId="443050F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19597A41" w14:textId="77777777" w:rsidR="00AF274B" w:rsidRDefault="00AF274B">
            <w:pPr>
              <w:pStyle w:val="GlossaryTableText"/>
              <w:rPr>
                <w:b/>
                <w:bCs/>
              </w:rPr>
            </w:pPr>
            <w:r>
              <w:rPr>
                <w:b/>
                <w:bCs/>
              </w:rPr>
              <w:t>VistALink</w:t>
            </w:r>
          </w:p>
        </w:tc>
        <w:tc>
          <w:tcPr>
            <w:tcW w:w="3327" w:type="pct"/>
            <w:tcBorders>
              <w:top w:val="nil"/>
              <w:left w:val="nil"/>
              <w:bottom w:val="nil"/>
              <w:right w:val="nil"/>
            </w:tcBorders>
          </w:tcPr>
          <w:p w14:paraId="18B3C8F0" w14:textId="77777777" w:rsidR="00AF274B" w:rsidRDefault="00AF274B">
            <w:pPr>
              <w:pStyle w:val="GlossaryTableText"/>
            </w:pPr>
            <w:r>
              <w:t xml:space="preserve">A real-time communication link that provides connectivity and utilities for data exchange between </w:t>
            </w:r>
            <w:r w:rsidRPr="00CA6E27">
              <w:rPr>
                <w:bCs/>
              </w:rPr>
              <w:t>VistA</w:t>
            </w:r>
            <w:r>
              <w:t xml:space="preserve"> and VBECS.</w:t>
            </w:r>
          </w:p>
        </w:tc>
      </w:tr>
      <w:tr w:rsidR="004974ED" w14:paraId="39F6744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0C9DF868" w14:textId="77777777" w:rsidR="004974ED" w:rsidRDefault="004974ED">
            <w:pPr>
              <w:pStyle w:val="GlossaryTableText"/>
              <w:rPr>
                <w:b/>
                <w:bCs/>
                <w:snapToGrid w:val="0"/>
              </w:rPr>
            </w:pPr>
            <w:r>
              <w:rPr>
                <w:b/>
                <w:bCs/>
                <w:snapToGrid w:val="0"/>
              </w:rPr>
              <w:t>WAN</w:t>
            </w:r>
          </w:p>
        </w:tc>
        <w:tc>
          <w:tcPr>
            <w:tcW w:w="3327" w:type="pct"/>
            <w:tcBorders>
              <w:top w:val="nil"/>
              <w:left w:val="nil"/>
              <w:bottom w:val="nil"/>
              <w:right w:val="nil"/>
            </w:tcBorders>
          </w:tcPr>
          <w:p w14:paraId="234F72DE" w14:textId="77777777" w:rsidR="004974ED" w:rsidRDefault="004974ED">
            <w:pPr>
              <w:pStyle w:val="GlossaryTableText"/>
              <w:rPr>
                <w:snapToGrid w:val="0"/>
              </w:rPr>
            </w:pPr>
            <w:r>
              <w:rPr>
                <w:snapToGrid w:val="0"/>
              </w:rPr>
              <w:t>Wide Area Network.</w:t>
            </w:r>
          </w:p>
        </w:tc>
      </w:tr>
      <w:tr w:rsidR="00AF274B" w14:paraId="7329F74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3ED6D800" w14:textId="77777777" w:rsidR="00AF274B" w:rsidRDefault="00AF274B">
            <w:pPr>
              <w:pStyle w:val="GlossaryTableText"/>
              <w:rPr>
                <w:b/>
                <w:bCs/>
              </w:rPr>
            </w:pPr>
            <w:r>
              <w:rPr>
                <w:b/>
                <w:bCs/>
                <w:snapToGrid w:val="0"/>
              </w:rPr>
              <w:t>Worklist</w:t>
            </w:r>
          </w:p>
        </w:tc>
        <w:tc>
          <w:tcPr>
            <w:tcW w:w="3327" w:type="pct"/>
            <w:tcBorders>
              <w:top w:val="nil"/>
              <w:left w:val="nil"/>
              <w:bottom w:val="nil"/>
              <w:right w:val="nil"/>
            </w:tcBorders>
          </w:tcPr>
          <w:p w14:paraId="5329518A" w14:textId="77777777" w:rsidR="00AF274B" w:rsidRDefault="00AF274B">
            <w:pPr>
              <w:pStyle w:val="GlossaryTableText"/>
              <w:rPr>
                <w:snapToGrid w:val="0"/>
              </w:rPr>
            </w:pPr>
            <w:r>
              <w:rPr>
                <w:snapToGrid w:val="0"/>
              </w:rPr>
              <w:t>A list detailing work to be performed.</w:t>
            </w:r>
          </w:p>
        </w:tc>
      </w:tr>
      <w:tr w:rsidR="00AF274B" w14:paraId="58DD229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2C00E21F" w14:textId="77777777" w:rsidR="00AF274B" w:rsidRDefault="00AF274B">
            <w:pPr>
              <w:pStyle w:val="GlossaryTableText"/>
              <w:rPr>
                <w:b/>
                <w:bCs/>
              </w:rPr>
            </w:pPr>
            <w:r>
              <w:rPr>
                <w:b/>
                <w:bCs/>
              </w:rPr>
              <w:t>Workload</w:t>
            </w:r>
          </w:p>
        </w:tc>
        <w:tc>
          <w:tcPr>
            <w:tcW w:w="3327" w:type="pct"/>
            <w:tcBorders>
              <w:top w:val="nil"/>
              <w:left w:val="nil"/>
              <w:bottom w:val="nil"/>
              <w:right w:val="nil"/>
            </w:tcBorders>
          </w:tcPr>
          <w:p w14:paraId="38EF8C10" w14:textId="77777777" w:rsidR="00AF274B" w:rsidRDefault="00AF274B">
            <w:pPr>
              <w:pStyle w:val="GlossaryTableText"/>
            </w:pPr>
            <w:r>
              <w:t>Statistical data used to calculate productivity.</w:t>
            </w:r>
          </w:p>
        </w:tc>
      </w:tr>
      <w:tr w:rsidR="00AF274B" w14:paraId="217760B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3685FB50" w14:textId="77777777" w:rsidR="00AF274B" w:rsidRDefault="00AF274B">
            <w:pPr>
              <w:pStyle w:val="GlossaryTableText"/>
              <w:rPr>
                <w:b/>
                <w:bCs/>
              </w:rPr>
            </w:pPr>
            <w:r>
              <w:rPr>
                <w:b/>
                <w:bCs/>
                <w:snapToGrid w:val="0"/>
              </w:rPr>
              <w:t>XM</w:t>
            </w:r>
          </w:p>
        </w:tc>
        <w:tc>
          <w:tcPr>
            <w:tcW w:w="3327" w:type="pct"/>
            <w:tcBorders>
              <w:top w:val="nil"/>
              <w:left w:val="nil"/>
              <w:bottom w:val="nil"/>
              <w:right w:val="nil"/>
            </w:tcBorders>
          </w:tcPr>
          <w:p w14:paraId="4D0705D3" w14:textId="77777777" w:rsidR="00AF274B" w:rsidRDefault="00AF274B">
            <w:pPr>
              <w:pStyle w:val="GlossaryTableText"/>
              <w:rPr>
                <w:snapToGrid w:val="0"/>
              </w:rPr>
            </w:pPr>
            <w:r>
              <w:rPr>
                <w:snapToGrid w:val="0"/>
              </w:rPr>
              <w:t>Crossmatch.</w:t>
            </w:r>
          </w:p>
        </w:tc>
      </w:tr>
      <w:tr w:rsidR="004974ED" w14:paraId="282F39F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7BC6505A" w14:textId="77777777" w:rsidR="004974ED" w:rsidRDefault="004974ED">
            <w:pPr>
              <w:pStyle w:val="GlossaryTableText"/>
              <w:rPr>
                <w:b/>
                <w:bCs/>
                <w:snapToGrid w:val="0"/>
              </w:rPr>
            </w:pPr>
            <w:r>
              <w:rPr>
                <w:b/>
                <w:bCs/>
                <w:snapToGrid w:val="0"/>
              </w:rPr>
              <w:t>XML</w:t>
            </w:r>
          </w:p>
        </w:tc>
        <w:tc>
          <w:tcPr>
            <w:tcW w:w="3327" w:type="pct"/>
            <w:tcBorders>
              <w:top w:val="nil"/>
              <w:left w:val="nil"/>
              <w:bottom w:val="nil"/>
              <w:right w:val="nil"/>
            </w:tcBorders>
          </w:tcPr>
          <w:p w14:paraId="020580EA" w14:textId="77777777" w:rsidR="004974ED" w:rsidRDefault="004974ED">
            <w:pPr>
              <w:pStyle w:val="GlossaryTableText"/>
              <w:rPr>
                <w:snapToGrid w:val="0"/>
              </w:rPr>
            </w:pPr>
            <w:r>
              <w:t>Extensible Markup Language.</w:t>
            </w:r>
          </w:p>
        </w:tc>
      </w:tr>
    </w:tbl>
    <w:p w14:paraId="6F97546E" w14:textId="77777777" w:rsidR="00B27FE8" w:rsidRDefault="00B27FE8">
      <w:pPr>
        <w:rPr>
          <w:rFonts w:ascii="Arial" w:hAnsi="Arial" w:cs="Arial"/>
          <w:b/>
          <w:bCs/>
          <w:kern w:val="32"/>
          <w:sz w:val="36"/>
          <w:szCs w:val="32"/>
        </w:rPr>
      </w:pPr>
      <w:r>
        <w:br w:type="page"/>
      </w:r>
    </w:p>
    <w:p w14:paraId="7E830C8A" w14:textId="12BCC9D3" w:rsidR="002A21AE" w:rsidRDefault="002A21AE" w:rsidP="0086066C">
      <w:pPr>
        <w:pStyle w:val="Heading1"/>
      </w:pPr>
      <w:bookmarkStart w:id="661" w:name="_Toc203765966"/>
      <w:r>
        <w:lastRenderedPageBreak/>
        <w:t>Appendices</w:t>
      </w:r>
      <w:bookmarkEnd w:id="661"/>
    </w:p>
    <w:p w14:paraId="04850DF0" w14:textId="239D94E3" w:rsidR="002A21AE" w:rsidRDefault="002A21AE">
      <w:pPr>
        <w:pStyle w:val="Heading2"/>
      </w:pPr>
      <w:bookmarkStart w:id="662" w:name="_Toc203765967"/>
      <w:r>
        <w:t xml:space="preserve">Appendix </w:t>
      </w:r>
      <w:r w:rsidR="004E20BD">
        <w:rPr>
          <w:noProof/>
        </w:rPr>
        <w:fldChar w:fldCharType="begin"/>
      </w:r>
      <w:r w:rsidR="004E20BD">
        <w:rPr>
          <w:noProof/>
        </w:rPr>
        <w:instrText xml:space="preserve"> SEQ Appendix \* ALPHABETIC </w:instrText>
      </w:r>
      <w:r w:rsidR="004E20BD">
        <w:rPr>
          <w:noProof/>
        </w:rPr>
        <w:fldChar w:fldCharType="separate"/>
      </w:r>
      <w:r w:rsidR="007D1829">
        <w:rPr>
          <w:noProof/>
        </w:rPr>
        <w:t>A</w:t>
      </w:r>
      <w:r w:rsidR="004E20BD">
        <w:rPr>
          <w:noProof/>
        </w:rPr>
        <w:fldChar w:fldCharType="end"/>
      </w:r>
      <w:r>
        <w:t>: Downtime Forms and Instructions</w:t>
      </w:r>
      <w:bookmarkEnd w:id="662"/>
      <w:r>
        <w:fldChar w:fldCharType="begin"/>
      </w:r>
      <w:r>
        <w:instrText xml:space="preserve"> XE </w:instrText>
      </w:r>
      <w:r w:rsidR="00FA7E65">
        <w:instrText>“</w:instrText>
      </w:r>
      <w:r>
        <w:instrText>Downtime Forms and Instructions</w:instrText>
      </w:r>
      <w:r w:rsidR="00FA7E65">
        <w:instrText>”</w:instrText>
      </w:r>
      <w:r>
        <w:instrText xml:space="preserve"> </w:instrText>
      </w:r>
      <w:r>
        <w:fldChar w:fldCharType="end"/>
      </w:r>
    </w:p>
    <w:p w14:paraId="7F7450C7" w14:textId="77777777" w:rsidR="00270245" w:rsidRDefault="00270245" w:rsidP="00E35FC4">
      <w:pPr>
        <w:pStyle w:val="BodyText"/>
        <w:spacing w:before="0" w:after="0"/>
      </w:pPr>
      <w:r>
        <w:t>Each site establishes its own policies, procedures, and processes to address unexpected VBECS downtime issues such as:</w:t>
      </w:r>
      <w:r>
        <w:rPr>
          <w:rStyle w:val="CommentReference"/>
          <w:b/>
          <w:bCs/>
          <w:vanish/>
        </w:rPr>
        <w:t xml:space="preserve"> </w:t>
      </w:r>
    </w:p>
    <w:p w14:paraId="2C4BE305" w14:textId="77777777" w:rsidR="00270245" w:rsidRDefault="00270245" w:rsidP="00270245">
      <w:pPr>
        <w:pStyle w:val="ListBullet"/>
      </w:pPr>
      <w:r>
        <w:t>The interface is unavailable. It is recommended that blood bank staff notify clinicians when messaging between CPRS and VBECS fails during order completion: clinicians may need to know that blood units are ready for pickup and transfusion.</w:t>
      </w:r>
      <w:r>
        <w:rPr>
          <w:vanish/>
        </w:rPr>
        <w:t xml:space="preserve"> (ClearQuest Task 386)</w:t>
      </w:r>
    </w:p>
    <w:p w14:paraId="7651130D" w14:textId="77777777" w:rsidR="00270245" w:rsidRDefault="00270245" w:rsidP="00270245">
      <w:pPr>
        <w:pStyle w:val="ListBullet"/>
      </w:pPr>
      <w:r>
        <w:rPr>
          <w:szCs w:val="20"/>
        </w:rPr>
        <w:t>T</w:t>
      </w:r>
      <w:r>
        <w:t>est order handling and completion when the serologic testing is performed off-site or in a non-VA facility. The CPRS test order must be processed and completed even when testing is done off-site.</w:t>
      </w:r>
    </w:p>
    <w:p w14:paraId="1F54CA91" w14:textId="77777777" w:rsidR="00270245" w:rsidRDefault="00270245" w:rsidP="00270245">
      <w:pPr>
        <w:pStyle w:val="ListBullet"/>
      </w:pPr>
      <w:r>
        <w:t xml:space="preserve">The physical handling of a blood unit when it </w:t>
      </w:r>
      <w:r w:rsidR="00313C6B">
        <w:t>cannot</w:t>
      </w:r>
      <w:r>
        <w:t xml:space="preserve"> be logged into inventory because VistALink is down and the patient is not in the VBECS database. The unit does not exist in VBECS until it is logged in, but is physically available.</w:t>
      </w:r>
      <w:r>
        <w:rPr>
          <w:vanish/>
        </w:rPr>
        <w:t xml:space="preserve"> (ClearQuest Task 387)</w:t>
      </w:r>
    </w:p>
    <w:p w14:paraId="12EBE56F" w14:textId="77777777" w:rsidR="00270245" w:rsidRDefault="00270245" w:rsidP="00270245">
      <w:pPr>
        <w:pStyle w:val="ListBullet"/>
      </w:pPr>
      <w:r>
        <w:t>Manual blood labeling, verification of labels, and tracking documentation of the downtime labeling.</w:t>
      </w:r>
      <w:r>
        <w:rPr>
          <w:vanish/>
        </w:rPr>
        <w:t xml:space="preserve"> (ClearQuest Task 521)</w:t>
      </w:r>
    </w:p>
    <w:p w14:paraId="7ECD951C" w14:textId="77777777" w:rsidR="00270245" w:rsidRDefault="00270245" w:rsidP="00270245">
      <w:pPr>
        <w:pStyle w:val="ListBullet"/>
      </w:pPr>
      <w:r>
        <w:t>Some Special Instructions (SIs) that were moved to VBECS during the database conversion must be entered as Transfusion Requirements (TRs) in VBECS. Inactivate the old SI and create a TR and new updated SI: the database conversion software cannot automatically translate the SI from database conversion into a rule-based TR.</w:t>
      </w:r>
    </w:p>
    <w:p w14:paraId="2FDE3F72" w14:textId="77777777" w:rsidR="00270245" w:rsidRDefault="00270245" w:rsidP="00270245">
      <w:pPr>
        <w:pStyle w:val="ListBullet"/>
      </w:pPr>
      <w:r>
        <w:t>Creating the Audit Trail, Exception, and Testing Worklist Reports.</w:t>
      </w:r>
    </w:p>
    <w:p w14:paraId="7C34BE05" w14:textId="77777777" w:rsidR="00270245" w:rsidRDefault="00270245" w:rsidP="00270245">
      <w:pPr>
        <w:pStyle w:val="ListBullet"/>
      </w:pPr>
      <w:r>
        <w:t>Mitigation of the risk of patient identification conflicts due to patient merge issues (changing patient name or ID). It is recommended that staff submit the patient name and ID in writing to the blood bank when picking up blood products.</w:t>
      </w:r>
      <w:r>
        <w:rPr>
          <w:vanish/>
        </w:rPr>
        <w:t xml:space="preserve"> (ClearQuest Task 395)</w:t>
      </w:r>
    </w:p>
    <w:p w14:paraId="0E6ABC35" w14:textId="77777777" w:rsidR="00270245" w:rsidRDefault="00270245" w:rsidP="00270245">
      <w:pPr>
        <w:pStyle w:val="ListBullet"/>
      </w:pPr>
      <w:r>
        <w:t xml:space="preserve">VBECS is unavailable. To ensure accurate entry of information when VBECS is running, users must record the unit number and ID on their downtime form. </w:t>
      </w:r>
    </w:p>
    <w:p w14:paraId="2FC2F06E" w14:textId="77777777" w:rsidR="00E27E7A" w:rsidRDefault="00640159" w:rsidP="00E35FC4">
      <w:pPr>
        <w:pStyle w:val="BodyText"/>
        <w:spacing w:after="0"/>
      </w:pPr>
      <w:r>
        <w:t>It is recommended that e</w:t>
      </w:r>
      <w:r w:rsidR="00780A01">
        <w:t xml:space="preserve">ach site have </w:t>
      </w:r>
      <w:r w:rsidR="001B6D4B">
        <w:t>available</w:t>
      </w:r>
      <w:r w:rsidR="00780A01">
        <w:t>:</w:t>
      </w:r>
    </w:p>
    <w:p w14:paraId="648E881F" w14:textId="77777777" w:rsidR="00112590" w:rsidRDefault="00112590" w:rsidP="00780A01">
      <w:pPr>
        <w:pStyle w:val="ListBullet"/>
      </w:pPr>
      <w:r>
        <w:t>Antibody Workup Forms</w:t>
      </w:r>
    </w:p>
    <w:p w14:paraId="4B08F723" w14:textId="77777777" w:rsidR="00112590" w:rsidRDefault="00112590" w:rsidP="00780A01">
      <w:pPr>
        <w:pStyle w:val="ListBullet"/>
      </w:pPr>
      <w:r>
        <w:t>Antigen Typing Forms (for patient)</w:t>
      </w:r>
    </w:p>
    <w:p w14:paraId="31FDC671" w14:textId="77777777" w:rsidR="00112590" w:rsidRDefault="00112590" w:rsidP="00780A01">
      <w:pPr>
        <w:pStyle w:val="ListBullet"/>
      </w:pPr>
      <w:r>
        <w:t>Antigen Typing Forms (for unit)</w:t>
      </w:r>
    </w:p>
    <w:p w14:paraId="6FB2B6E3" w14:textId="77777777" w:rsidR="00112590" w:rsidRDefault="00112590" w:rsidP="00780A01">
      <w:pPr>
        <w:pStyle w:val="ListBullet"/>
      </w:pPr>
      <w:r>
        <w:t>Blood Transfusion Record Forms</w:t>
      </w:r>
    </w:p>
    <w:p w14:paraId="361F1A80" w14:textId="77777777" w:rsidR="00112590" w:rsidRDefault="00112590" w:rsidP="00780A01">
      <w:pPr>
        <w:pStyle w:val="ListBullet"/>
      </w:pPr>
      <w:r>
        <w:t>Caution Tags</w:t>
      </w:r>
    </w:p>
    <w:p w14:paraId="62487A0A" w14:textId="77777777" w:rsidR="00112590" w:rsidRDefault="00112590" w:rsidP="00780A01">
      <w:pPr>
        <w:pStyle w:val="ListBullet"/>
      </w:pPr>
      <w:r>
        <w:t>Daily QC Forms</w:t>
      </w:r>
    </w:p>
    <w:p w14:paraId="117EADCC" w14:textId="77777777" w:rsidR="00112590" w:rsidRDefault="00112590" w:rsidP="0095796B">
      <w:pPr>
        <w:pStyle w:val="ListBullet"/>
      </w:pPr>
      <w:r>
        <w:t>Emergency Issue Forms: developed by each site to reflect site-specific emergency issue policies and procedures</w:t>
      </w:r>
    </w:p>
    <w:p w14:paraId="43DE2E9F" w14:textId="77777777" w:rsidR="00112590" w:rsidRDefault="00112590" w:rsidP="00780A01">
      <w:pPr>
        <w:pStyle w:val="ListBullet"/>
      </w:pPr>
      <w:r>
        <w:t>Reagent Receipt Log</w:t>
      </w:r>
    </w:p>
    <w:p w14:paraId="3DAF567D" w14:textId="77777777" w:rsidR="00112590" w:rsidRDefault="00112590" w:rsidP="00780A01">
      <w:pPr>
        <w:pStyle w:val="ListBullet"/>
      </w:pPr>
      <w:r>
        <w:t>Supply Receipt Log</w:t>
      </w:r>
    </w:p>
    <w:p w14:paraId="0A95D341" w14:textId="77777777" w:rsidR="00112590" w:rsidRDefault="00112590" w:rsidP="00780A01">
      <w:pPr>
        <w:pStyle w:val="ListBullet"/>
      </w:pPr>
      <w:r>
        <w:t>Transfusion Reaction Forms</w:t>
      </w:r>
    </w:p>
    <w:p w14:paraId="30D60FEC" w14:textId="6BE19D74" w:rsidR="00112590" w:rsidRDefault="00112590" w:rsidP="0095796B">
      <w:pPr>
        <w:pStyle w:val="ListBullet"/>
      </w:pPr>
      <w:r>
        <w:t>Transfusion Requirements Report: current printed version must be available at all times for user</w:t>
      </w:r>
      <w:r w:rsidR="004C1E6C">
        <w:t>s to check patient historic records and Transfusion Requirements</w:t>
      </w:r>
      <w:r>
        <w:t>. (See</w:t>
      </w:r>
      <w:r w:rsidR="00EE4647">
        <w:t xml:space="preserve"> </w:t>
      </w:r>
      <w:r w:rsidR="00EE455E">
        <w:t xml:space="preserve">Appendix </w:t>
      </w:r>
      <w:r w:rsidR="00EE455E">
        <w:rPr>
          <w:noProof/>
        </w:rPr>
        <w:t>J</w:t>
      </w:r>
      <w:r w:rsidR="00EE455E">
        <w:t>: Recommended Report Usage</w:t>
      </w:r>
      <w:r>
        <w:t xml:space="preserve">: </w:t>
      </w:r>
      <w:r w:rsidR="00EE455E">
        <w:t xml:space="preserve">Table </w:t>
      </w:r>
      <w:r w:rsidR="00EE455E">
        <w:rPr>
          <w:noProof/>
        </w:rPr>
        <w:t>36</w:t>
      </w:r>
      <w:r w:rsidR="00EE455E">
        <w:t>: Recommended Report Usage</w:t>
      </w:r>
      <w:r>
        <w:t>.)</w:t>
      </w:r>
    </w:p>
    <w:p w14:paraId="1F2DAA20" w14:textId="77777777" w:rsidR="004C542E" w:rsidRDefault="0000620B" w:rsidP="00E35FC4">
      <w:pPr>
        <w:pStyle w:val="BodyText"/>
        <w:spacing w:after="0"/>
      </w:pPr>
      <w:r>
        <w:t>Each site may use</w:t>
      </w:r>
      <w:r w:rsidR="004C542E">
        <w:t xml:space="preserve"> and modify</w:t>
      </w:r>
      <w:r>
        <w:t xml:space="preserve"> (included in this appendix)</w:t>
      </w:r>
      <w:r w:rsidR="004C542E">
        <w:t>:</w:t>
      </w:r>
      <w:r w:rsidR="001D72C9">
        <w:t xml:space="preserve"> </w:t>
      </w:r>
    </w:p>
    <w:p w14:paraId="35E45BDA" w14:textId="77777777" w:rsidR="0000620B" w:rsidRDefault="0000620B" w:rsidP="004C542E">
      <w:pPr>
        <w:pStyle w:val="ListBullet"/>
      </w:pPr>
      <w:r>
        <w:t>Patient Testing Forms</w:t>
      </w:r>
    </w:p>
    <w:p w14:paraId="14A485F3" w14:textId="77777777" w:rsidR="0000620B" w:rsidRDefault="0000620B" w:rsidP="004C542E">
      <w:pPr>
        <w:pStyle w:val="ListBullet"/>
      </w:pPr>
      <w:r>
        <w:t>Unit ABO/Rh Confirmation Forms</w:t>
      </w:r>
    </w:p>
    <w:p w14:paraId="06B38742" w14:textId="77777777" w:rsidR="0000620B" w:rsidRDefault="0000620B" w:rsidP="004C542E">
      <w:pPr>
        <w:pStyle w:val="ListBullet"/>
      </w:pPr>
      <w:r>
        <w:t>Unit Issue and Inspection Logs</w:t>
      </w:r>
    </w:p>
    <w:p w14:paraId="3058A97F" w14:textId="77777777" w:rsidR="0000620B" w:rsidRDefault="0000620B" w:rsidP="004C542E">
      <w:pPr>
        <w:pStyle w:val="ListBullet"/>
      </w:pPr>
      <w:r>
        <w:t>Unit Modification Forms</w:t>
      </w:r>
    </w:p>
    <w:p w14:paraId="546B41A8" w14:textId="77777777" w:rsidR="004C542E" w:rsidRDefault="004C542E" w:rsidP="00E35FC4">
      <w:pPr>
        <w:pStyle w:val="BodyText"/>
        <w:spacing w:before="0" w:after="60"/>
      </w:pPr>
      <w:r>
        <w:t>The information on these forms match</w:t>
      </w:r>
      <w:r w:rsidR="00672426">
        <w:t>es</w:t>
      </w:r>
      <w:r>
        <w:t xml:space="preserve"> information to be input in VBECS.</w:t>
      </w:r>
    </w:p>
    <w:p w14:paraId="31C29FAD" w14:textId="77777777" w:rsidR="002A21AE" w:rsidRDefault="002A21AE">
      <w:pPr>
        <w:pStyle w:val="ListBullet"/>
        <w:numPr>
          <w:ilvl w:val="0"/>
          <w:numId w:val="0"/>
        </w:numPr>
        <w:ind w:left="576" w:hanging="288"/>
        <w:sectPr w:rsidR="002A21AE" w:rsidSect="00EE771C">
          <w:pgSz w:w="12240" w:h="15840" w:code="1"/>
          <w:pgMar w:top="1440" w:right="1440" w:bottom="1440" w:left="1440" w:header="720" w:footer="720" w:gutter="0"/>
          <w:cols w:space="720"/>
          <w:docGrid w:linePitch="360"/>
        </w:sectPr>
      </w:pPr>
    </w:p>
    <w:p w14:paraId="12747AEE" w14:textId="77777777" w:rsidR="004A6408" w:rsidRDefault="004A6408" w:rsidP="00266EAB">
      <w:pPr>
        <w:pStyle w:val="Heading3"/>
      </w:pPr>
      <w:bookmarkStart w:id="663" w:name="_Toc203765968"/>
      <w:r w:rsidRPr="009244E2">
        <w:lastRenderedPageBreak/>
        <w:t>Patient Testing Form</w:t>
      </w:r>
      <w:bookmarkEnd w:id="663"/>
      <w:r w:rsidR="00246F04">
        <w:fldChar w:fldCharType="begin"/>
      </w:r>
      <w:r w:rsidR="00246F04">
        <w:instrText xml:space="preserve"> XE "</w:instrText>
      </w:r>
      <w:r w:rsidR="00246F04" w:rsidRPr="004C6254">
        <w:instrText>Patient Testing Form</w:instrText>
      </w:r>
      <w:r w:rsidR="00246F04">
        <w:instrText xml:space="preserve">" </w:instrText>
      </w:r>
      <w:r w:rsidR="00246F04">
        <w:fldChar w:fldCharType="end"/>
      </w:r>
      <w:r w:rsidR="00A95965">
        <w:fldChar w:fldCharType="begin"/>
      </w:r>
      <w:r w:rsidR="00A95965">
        <w:instrText xml:space="preserve"> XE “Forms:Patient Testing Form” </w:instrText>
      </w:r>
      <w:r w:rsidR="00A95965">
        <w:fldChar w:fldCharType="end"/>
      </w:r>
    </w:p>
    <w:tbl>
      <w:tblPr>
        <w:tblW w:w="12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75"/>
        <w:gridCol w:w="2189"/>
        <w:gridCol w:w="1244"/>
        <w:gridCol w:w="1420"/>
        <w:gridCol w:w="897"/>
        <w:gridCol w:w="603"/>
        <w:gridCol w:w="1020"/>
        <w:gridCol w:w="694"/>
        <w:gridCol w:w="457"/>
        <w:gridCol w:w="702"/>
        <w:gridCol w:w="1459"/>
      </w:tblGrid>
      <w:tr w:rsidR="003F4F8B" w14:paraId="2B1C1B9A" w14:textId="77777777">
        <w:tc>
          <w:tcPr>
            <w:tcW w:w="12960" w:type="dxa"/>
            <w:gridSpan w:val="11"/>
          </w:tcPr>
          <w:p w14:paraId="199CB017" w14:textId="77777777" w:rsidR="003F4F8B" w:rsidRPr="003F4F8B" w:rsidRDefault="003F4F8B" w:rsidP="00FC4396">
            <w:pPr>
              <w:pStyle w:val="TableText"/>
            </w:pPr>
            <w:r w:rsidRPr="00887834">
              <w:rPr>
                <w:b/>
              </w:rPr>
              <w:t xml:space="preserve">Facility Name: </w:t>
            </w:r>
          </w:p>
        </w:tc>
      </w:tr>
      <w:tr w:rsidR="003F4F8B" w14:paraId="0918CBB2" w14:textId="77777777">
        <w:tc>
          <w:tcPr>
            <w:tcW w:w="12960" w:type="dxa"/>
            <w:gridSpan w:val="11"/>
          </w:tcPr>
          <w:p w14:paraId="705BB417" w14:textId="77777777" w:rsidR="003F4F8B" w:rsidRPr="003F4F8B" w:rsidRDefault="003F4F8B" w:rsidP="00FC4396">
            <w:pPr>
              <w:pStyle w:val="TableText"/>
            </w:pPr>
            <w:r w:rsidRPr="00887834">
              <w:rPr>
                <w:b/>
              </w:rPr>
              <w:t xml:space="preserve">Address: </w:t>
            </w:r>
          </w:p>
        </w:tc>
      </w:tr>
      <w:tr w:rsidR="003F4F8B" w14:paraId="3A915BBF" w14:textId="77777777">
        <w:tc>
          <w:tcPr>
            <w:tcW w:w="12960" w:type="dxa"/>
            <w:gridSpan w:val="11"/>
          </w:tcPr>
          <w:p w14:paraId="174B3087" w14:textId="77777777" w:rsidR="003F4F8B" w:rsidRPr="003F4F8B" w:rsidRDefault="003F4F8B" w:rsidP="00FC4396">
            <w:pPr>
              <w:pStyle w:val="TableText"/>
            </w:pPr>
            <w:r w:rsidRPr="00887834">
              <w:rPr>
                <w:b/>
              </w:rPr>
              <w:t>City, State, Zip Code:</w:t>
            </w:r>
            <w:r>
              <w:t xml:space="preserve"> </w:t>
            </w:r>
          </w:p>
        </w:tc>
      </w:tr>
      <w:tr w:rsidR="004A6408" w:rsidRPr="0085788A" w14:paraId="5D07378C"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Ex>
        <w:trPr>
          <w:cantSplit/>
          <w:trHeight w:val="231"/>
        </w:trPr>
        <w:tc>
          <w:tcPr>
            <w:tcW w:w="2275" w:type="dxa"/>
            <w:tcBorders>
              <w:bottom w:val="single" w:sz="2" w:space="0" w:color="auto"/>
            </w:tcBorders>
            <w:shd w:val="clear" w:color="auto" w:fill="B3B3B3"/>
            <w:noWrap/>
          </w:tcPr>
          <w:p w14:paraId="75798AC5" w14:textId="77777777" w:rsidR="004A6408" w:rsidRPr="0085788A" w:rsidRDefault="004A6408" w:rsidP="00A95965">
            <w:pPr>
              <w:pStyle w:val="TableText"/>
              <w:rPr>
                <w:b/>
              </w:rPr>
            </w:pPr>
            <w:r w:rsidRPr="0085788A">
              <w:rPr>
                <w:b/>
              </w:rPr>
              <w:t>Patient Name</w:t>
            </w:r>
          </w:p>
        </w:tc>
        <w:tc>
          <w:tcPr>
            <w:tcW w:w="2189" w:type="dxa"/>
            <w:tcBorders>
              <w:bottom w:val="single" w:sz="2" w:space="0" w:color="auto"/>
            </w:tcBorders>
            <w:shd w:val="clear" w:color="auto" w:fill="B3B3B3"/>
            <w:noWrap/>
          </w:tcPr>
          <w:p w14:paraId="52CDA658" w14:textId="77777777" w:rsidR="004A6408" w:rsidRPr="0085788A" w:rsidRDefault="004A6408" w:rsidP="00A95965">
            <w:pPr>
              <w:pStyle w:val="TableText"/>
              <w:rPr>
                <w:b/>
              </w:rPr>
            </w:pPr>
            <w:r w:rsidRPr="0085788A">
              <w:rPr>
                <w:b/>
              </w:rPr>
              <w:t xml:space="preserve">Patient </w:t>
            </w:r>
            <w:r>
              <w:rPr>
                <w:b/>
                <w:szCs w:val="20"/>
              </w:rPr>
              <w:t>Identification Number</w:t>
            </w:r>
            <w:r w:rsidRPr="0085788A">
              <w:rPr>
                <w:b/>
              </w:rPr>
              <w:t xml:space="preserve"> </w:t>
            </w:r>
          </w:p>
        </w:tc>
        <w:tc>
          <w:tcPr>
            <w:tcW w:w="1244" w:type="dxa"/>
            <w:tcBorders>
              <w:bottom w:val="single" w:sz="2" w:space="0" w:color="auto"/>
            </w:tcBorders>
            <w:shd w:val="clear" w:color="auto" w:fill="B3B3B3"/>
            <w:noWrap/>
          </w:tcPr>
          <w:p w14:paraId="367364B2" w14:textId="77777777" w:rsidR="004A6408" w:rsidRPr="0085788A" w:rsidRDefault="004A6408" w:rsidP="00A95965">
            <w:pPr>
              <w:pStyle w:val="TableText"/>
              <w:rPr>
                <w:b/>
              </w:rPr>
            </w:pPr>
            <w:r w:rsidRPr="0085788A">
              <w:rPr>
                <w:b/>
              </w:rPr>
              <w:t>Location</w:t>
            </w:r>
          </w:p>
        </w:tc>
        <w:tc>
          <w:tcPr>
            <w:tcW w:w="2317" w:type="dxa"/>
            <w:gridSpan w:val="2"/>
            <w:tcBorders>
              <w:bottom w:val="single" w:sz="2" w:space="0" w:color="auto"/>
            </w:tcBorders>
            <w:shd w:val="clear" w:color="auto" w:fill="B3B3B3"/>
            <w:noWrap/>
          </w:tcPr>
          <w:p w14:paraId="03EADBA2" w14:textId="77777777" w:rsidR="004A6408" w:rsidRPr="0085788A" w:rsidRDefault="004A6408" w:rsidP="00A95965">
            <w:pPr>
              <w:pStyle w:val="TableText"/>
              <w:rPr>
                <w:b/>
              </w:rPr>
            </w:pPr>
            <w:r w:rsidRPr="0085788A">
              <w:rPr>
                <w:b/>
              </w:rPr>
              <w:t>CPRS Order Number</w:t>
            </w:r>
          </w:p>
        </w:tc>
        <w:tc>
          <w:tcPr>
            <w:tcW w:w="2317" w:type="dxa"/>
            <w:gridSpan w:val="3"/>
            <w:tcBorders>
              <w:bottom w:val="single" w:sz="2" w:space="0" w:color="auto"/>
            </w:tcBorders>
            <w:shd w:val="clear" w:color="auto" w:fill="B3B3B3"/>
            <w:noWrap/>
          </w:tcPr>
          <w:p w14:paraId="63F87698" w14:textId="77777777" w:rsidR="004A6408" w:rsidRPr="0085788A" w:rsidRDefault="004A6408" w:rsidP="00A95965">
            <w:pPr>
              <w:pStyle w:val="TableText"/>
              <w:rPr>
                <w:b/>
              </w:rPr>
            </w:pPr>
            <w:r w:rsidRPr="0085788A">
              <w:rPr>
                <w:b/>
              </w:rPr>
              <w:t>Lab Order Number</w:t>
            </w:r>
          </w:p>
        </w:tc>
        <w:tc>
          <w:tcPr>
            <w:tcW w:w="1159" w:type="dxa"/>
            <w:gridSpan w:val="2"/>
            <w:tcBorders>
              <w:bottom w:val="single" w:sz="2" w:space="0" w:color="auto"/>
            </w:tcBorders>
            <w:shd w:val="clear" w:color="auto" w:fill="B3B3B3"/>
            <w:noWrap/>
          </w:tcPr>
          <w:p w14:paraId="4DEA8D85" w14:textId="77777777" w:rsidR="004A6408" w:rsidRPr="0085788A" w:rsidRDefault="004A6408" w:rsidP="00A95965">
            <w:pPr>
              <w:pStyle w:val="TableText"/>
              <w:rPr>
                <w:b/>
              </w:rPr>
            </w:pPr>
            <w:r w:rsidRPr="0085788A">
              <w:rPr>
                <w:b/>
              </w:rPr>
              <w:t>Urgency</w:t>
            </w:r>
          </w:p>
        </w:tc>
        <w:tc>
          <w:tcPr>
            <w:tcW w:w="1459" w:type="dxa"/>
            <w:tcBorders>
              <w:bottom w:val="single" w:sz="2" w:space="0" w:color="auto"/>
            </w:tcBorders>
            <w:shd w:val="clear" w:color="auto" w:fill="B3B3B3"/>
            <w:noWrap/>
          </w:tcPr>
          <w:p w14:paraId="3A43FB29" w14:textId="77777777" w:rsidR="004A6408" w:rsidRPr="0085788A" w:rsidRDefault="004A6408" w:rsidP="00A95965">
            <w:pPr>
              <w:pStyle w:val="TableText"/>
              <w:rPr>
                <w:b/>
              </w:rPr>
            </w:pPr>
            <w:r w:rsidRPr="0085788A">
              <w:rPr>
                <w:b/>
              </w:rPr>
              <w:t>Appropriate?</w:t>
            </w:r>
            <w:r>
              <w:rPr>
                <w:b/>
              </w:rPr>
              <w:t xml:space="preserve"> (Yes, No)</w:t>
            </w:r>
          </w:p>
        </w:tc>
      </w:tr>
      <w:tr w:rsidR="004A6408" w:rsidRPr="004603A1" w14:paraId="26A35F95"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Ex>
        <w:trPr>
          <w:cantSplit/>
          <w:trHeight w:val="432"/>
        </w:trPr>
        <w:tc>
          <w:tcPr>
            <w:tcW w:w="2275" w:type="dxa"/>
            <w:tcBorders>
              <w:top w:val="single" w:sz="2" w:space="0" w:color="auto"/>
              <w:left w:val="single" w:sz="2" w:space="0" w:color="auto"/>
              <w:bottom w:val="single" w:sz="2" w:space="0" w:color="auto"/>
              <w:right w:val="single" w:sz="2" w:space="0" w:color="auto"/>
            </w:tcBorders>
            <w:shd w:val="clear" w:color="auto" w:fill="auto"/>
            <w:noWrap/>
          </w:tcPr>
          <w:p w14:paraId="78EAE606" w14:textId="77777777" w:rsidR="004A6408" w:rsidRPr="004603A1" w:rsidRDefault="004A6408" w:rsidP="00A95965">
            <w:pPr>
              <w:pStyle w:val="TableText"/>
            </w:pPr>
          </w:p>
        </w:tc>
        <w:tc>
          <w:tcPr>
            <w:tcW w:w="2189" w:type="dxa"/>
            <w:tcBorders>
              <w:top w:val="single" w:sz="2" w:space="0" w:color="auto"/>
              <w:left w:val="single" w:sz="2" w:space="0" w:color="auto"/>
              <w:bottom w:val="single" w:sz="2" w:space="0" w:color="auto"/>
              <w:right w:val="single" w:sz="2" w:space="0" w:color="auto"/>
            </w:tcBorders>
            <w:shd w:val="clear" w:color="auto" w:fill="auto"/>
            <w:noWrap/>
          </w:tcPr>
          <w:p w14:paraId="66877128" w14:textId="77777777" w:rsidR="004A6408" w:rsidRPr="004603A1" w:rsidRDefault="004A6408" w:rsidP="00A95965">
            <w:pPr>
              <w:pStyle w:val="TableText"/>
            </w:pPr>
          </w:p>
        </w:tc>
        <w:tc>
          <w:tcPr>
            <w:tcW w:w="1244" w:type="dxa"/>
            <w:tcBorders>
              <w:top w:val="single" w:sz="2" w:space="0" w:color="auto"/>
              <w:left w:val="single" w:sz="2" w:space="0" w:color="auto"/>
              <w:bottom w:val="single" w:sz="2" w:space="0" w:color="auto"/>
              <w:right w:val="single" w:sz="2" w:space="0" w:color="auto"/>
            </w:tcBorders>
            <w:shd w:val="clear" w:color="auto" w:fill="auto"/>
            <w:noWrap/>
          </w:tcPr>
          <w:p w14:paraId="750D0AD5" w14:textId="77777777" w:rsidR="004A6408" w:rsidRPr="004603A1" w:rsidRDefault="004A6408" w:rsidP="00A95965">
            <w:pPr>
              <w:pStyle w:val="TableText"/>
            </w:pPr>
          </w:p>
        </w:tc>
        <w:tc>
          <w:tcPr>
            <w:tcW w:w="2317" w:type="dxa"/>
            <w:gridSpan w:val="2"/>
            <w:tcBorders>
              <w:top w:val="single" w:sz="2" w:space="0" w:color="auto"/>
              <w:left w:val="single" w:sz="2" w:space="0" w:color="auto"/>
              <w:bottom w:val="single" w:sz="2" w:space="0" w:color="auto"/>
              <w:right w:val="single" w:sz="2" w:space="0" w:color="auto"/>
            </w:tcBorders>
            <w:shd w:val="clear" w:color="auto" w:fill="auto"/>
            <w:noWrap/>
          </w:tcPr>
          <w:p w14:paraId="10657E86" w14:textId="77777777" w:rsidR="004A6408" w:rsidRPr="004603A1" w:rsidRDefault="004A6408" w:rsidP="00A95965">
            <w:pPr>
              <w:pStyle w:val="TableText"/>
            </w:pPr>
          </w:p>
        </w:tc>
        <w:tc>
          <w:tcPr>
            <w:tcW w:w="2317" w:type="dxa"/>
            <w:gridSpan w:val="3"/>
            <w:tcBorders>
              <w:top w:val="single" w:sz="2" w:space="0" w:color="auto"/>
              <w:left w:val="single" w:sz="2" w:space="0" w:color="auto"/>
              <w:bottom w:val="single" w:sz="2" w:space="0" w:color="auto"/>
              <w:right w:val="single" w:sz="2" w:space="0" w:color="auto"/>
            </w:tcBorders>
            <w:shd w:val="clear" w:color="auto" w:fill="auto"/>
            <w:noWrap/>
          </w:tcPr>
          <w:p w14:paraId="20B398F3" w14:textId="77777777" w:rsidR="004A6408" w:rsidRPr="004603A1" w:rsidRDefault="004A6408" w:rsidP="00A95965">
            <w:pPr>
              <w:pStyle w:val="TableText"/>
            </w:pPr>
          </w:p>
        </w:tc>
        <w:tc>
          <w:tcPr>
            <w:tcW w:w="1159" w:type="dxa"/>
            <w:gridSpan w:val="2"/>
            <w:tcBorders>
              <w:top w:val="single" w:sz="2" w:space="0" w:color="auto"/>
              <w:left w:val="single" w:sz="2" w:space="0" w:color="auto"/>
              <w:bottom w:val="single" w:sz="2" w:space="0" w:color="auto"/>
              <w:right w:val="single" w:sz="2" w:space="0" w:color="auto"/>
            </w:tcBorders>
            <w:shd w:val="clear" w:color="auto" w:fill="auto"/>
            <w:noWrap/>
          </w:tcPr>
          <w:p w14:paraId="24FF5395" w14:textId="77777777" w:rsidR="004A6408" w:rsidRPr="004603A1" w:rsidRDefault="004A6408" w:rsidP="00A95965">
            <w:pPr>
              <w:pStyle w:val="TableText"/>
            </w:pPr>
          </w:p>
        </w:tc>
        <w:tc>
          <w:tcPr>
            <w:tcW w:w="1459" w:type="dxa"/>
            <w:tcBorders>
              <w:top w:val="single" w:sz="2" w:space="0" w:color="auto"/>
              <w:left w:val="single" w:sz="2" w:space="0" w:color="auto"/>
              <w:bottom w:val="single" w:sz="2" w:space="0" w:color="auto"/>
              <w:right w:val="single" w:sz="2" w:space="0" w:color="auto"/>
            </w:tcBorders>
            <w:shd w:val="clear" w:color="auto" w:fill="auto"/>
            <w:noWrap/>
          </w:tcPr>
          <w:p w14:paraId="72364288" w14:textId="77777777" w:rsidR="004A6408" w:rsidRPr="004603A1" w:rsidRDefault="004A6408" w:rsidP="00A95965">
            <w:pPr>
              <w:pStyle w:val="TableText"/>
            </w:pPr>
          </w:p>
        </w:tc>
      </w:tr>
      <w:tr w:rsidR="004A6408" w:rsidRPr="004603A1" w14:paraId="2AEFEB7A"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Ex>
        <w:trPr>
          <w:cantSplit/>
          <w:trHeight w:val="432"/>
        </w:trPr>
        <w:tc>
          <w:tcPr>
            <w:tcW w:w="2275" w:type="dxa"/>
            <w:tcBorders>
              <w:top w:val="single" w:sz="2" w:space="0" w:color="auto"/>
              <w:left w:val="single" w:sz="2" w:space="0" w:color="auto"/>
              <w:bottom w:val="single" w:sz="2" w:space="0" w:color="auto"/>
              <w:right w:val="single" w:sz="2" w:space="0" w:color="auto"/>
            </w:tcBorders>
            <w:shd w:val="clear" w:color="auto" w:fill="B3B3B3"/>
            <w:noWrap/>
          </w:tcPr>
          <w:p w14:paraId="64969A7D" w14:textId="77777777" w:rsidR="004A6408" w:rsidRPr="0085788A" w:rsidRDefault="004A6408" w:rsidP="00A95965">
            <w:pPr>
              <w:pStyle w:val="TableText"/>
              <w:rPr>
                <w:b/>
              </w:rPr>
            </w:pPr>
            <w:r w:rsidRPr="0085788A">
              <w:rPr>
                <w:b/>
              </w:rPr>
              <w:t>Specimen UID</w:t>
            </w:r>
          </w:p>
        </w:tc>
        <w:tc>
          <w:tcPr>
            <w:tcW w:w="2189" w:type="dxa"/>
            <w:tcBorders>
              <w:top w:val="single" w:sz="2" w:space="0" w:color="auto"/>
              <w:left w:val="single" w:sz="2" w:space="0" w:color="auto"/>
              <w:bottom w:val="single" w:sz="2" w:space="0" w:color="auto"/>
              <w:right w:val="single" w:sz="2" w:space="0" w:color="auto"/>
            </w:tcBorders>
            <w:shd w:val="clear" w:color="auto" w:fill="B3B3B3"/>
            <w:noWrap/>
          </w:tcPr>
          <w:p w14:paraId="00B19291" w14:textId="77777777" w:rsidR="004A6408" w:rsidRPr="0085788A" w:rsidRDefault="004A6408" w:rsidP="00A95965">
            <w:pPr>
              <w:pStyle w:val="TableText"/>
              <w:rPr>
                <w:b/>
              </w:rPr>
            </w:pPr>
            <w:r w:rsidRPr="0085788A">
              <w:rPr>
                <w:rFonts w:eastAsia="Symbol"/>
                <w:b/>
              </w:rPr>
              <w:t>Date</w:t>
            </w:r>
            <w:r>
              <w:rPr>
                <w:rFonts w:eastAsia="Symbol"/>
                <w:b/>
              </w:rPr>
              <w:t xml:space="preserve"> and </w:t>
            </w:r>
            <w:r w:rsidRPr="0085788A">
              <w:rPr>
                <w:rFonts w:eastAsia="Symbol"/>
                <w:b/>
              </w:rPr>
              <w:t>Time Collected</w:t>
            </w:r>
          </w:p>
        </w:tc>
        <w:tc>
          <w:tcPr>
            <w:tcW w:w="2664" w:type="dxa"/>
            <w:gridSpan w:val="2"/>
            <w:tcBorders>
              <w:top w:val="single" w:sz="2" w:space="0" w:color="auto"/>
              <w:left w:val="single" w:sz="2" w:space="0" w:color="auto"/>
              <w:bottom w:val="single" w:sz="2" w:space="0" w:color="auto"/>
              <w:right w:val="single" w:sz="2" w:space="0" w:color="auto"/>
            </w:tcBorders>
            <w:shd w:val="clear" w:color="auto" w:fill="B3B3B3"/>
            <w:noWrap/>
          </w:tcPr>
          <w:p w14:paraId="37508065" w14:textId="77777777" w:rsidR="004A6408" w:rsidRPr="004603A1" w:rsidRDefault="004A6408" w:rsidP="00A95965">
            <w:pPr>
              <w:pStyle w:val="TableText"/>
            </w:pPr>
            <w:r w:rsidRPr="0085788A">
              <w:rPr>
                <w:b/>
              </w:rPr>
              <w:t xml:space="preserve">Phlebotomist </w:t>
            </w:r>
            <w:r>
              <w:rPr>
                <w:b/>
                <w:szCs w:val="20"/>
              </w:rPr>
              <w:t>Name</w:t>
            </w:r>
          </w:p>
        </w:tc>
        <w:tc>
          <w:tcPr>
            <w:tcW w:w="2520" w:type="dxa"/>
            <w:gridSpan w:val="3"/>
            <w:tcBorders>
              <w:top w:val="single" w:sz="2" w:space="0" w:color="auto"/>
              <w:left w:val="single" w:sz="2" w:space="0" w:color="auto"/>
              <w:bottom w:val="single" w:sz="2" w:space="0" w:color="auto"/>
              <w:right w:val="single" w:sz="2" w:space="0" w:color="auto"/>
            </w:tcBorders>
            <w:shd w:val="clear" w:color="auto" w:fill="B3B3B3"/>
            <w:noWrap/>
          </w:tcPr>
          <w:p w14:paraId="265A739E" w14:textId="77777777" w:rsidR="004A6408" w:rsidRPr="004603A1" w:rsidRDefault="004A6408" w:rsidP="00A95965">
            <w:pPr>
              <w:pStyle w:val="TableText"/>
            </w:pPr>
            <w:r w:rsidRPr="0085788A">
              <w:rPr>
                <w:b/>
              </w:rPr>
              <w:t>Date</w:t>
            </w:r>
            <w:r>
              <w:rPr>
                <w:b/>
              </w:rPr>
              <w:t xml:space="preserve"> and </w:t>
            </w:r>
            <w:r w:rsidRPr="0085788A">
              <w:rPr>
                <w:b/>
              </w:rPr>
              <w:t>Time Received</w:t>
            </w:r>
          </w:p>
        </w:tc>
        <w:tc>
          <w:tcPr>
            <w:tcW w:w="1853" w:type="dxa"/>
            <w:gridSpan w:val="3"/>
            <w:tcBorders>
              <w:top w:val="single" w:sz="2" w:space="0" w:color="auto"/>
              <w:left w:val="single" w:sz="2" w:space="0" w:color="auto"/>
              <w:bottom w:val="single" w:sz="2" w:space="0" w:color="auto"/>
              <w:right w:val="single" w:sz="2" w:space="0" w:color="auto"/>
            </w:tcBorders>
            <w:shd w:val="clear" w:color="auto" w:fill="B3B3B3"/>
            <w:noWrap/>
          </w:tcPr>
          <w:p w14:paraId="771239EE" w14:textId="77777777" w:rsidR="004A6408" w:rsidRPr="004603A1" w:rsidRDefault="004A6408" w:rsidP="00A95965">
            <w:pPr>
              <w:pStyle w:val="TableText"/>
            </w:pPr>
            <w:r w:rsidRPr="0085788A">
              <w:rPr>
                <w:b/>
              </w:rPr>
              <w:t xml:space="preserve">Processed </w:t>
            </w:r>
            <w:r>
              <w:rPr>
                <w:b/>
              </w:rPr>
              <w:t>B</w:t>
            </w:r>
            <w:r w:rsidRPr="0085788A">
              <w:rPr>
                <w:b/>
              </w:rPr>
              <w:t>y:</w:t>
            </w:r>
          </w:p>
        </w:tc>
        <w:tc>
          <w:tcPr>
            <w:tcW w:w="1459" w:type="dxa"/>
            <w:tcBorders>
              <w:top w:val="single" w:sz="2" w:space="0" w:color="auto"/>
              <w:left w:val="single" w:sz="2" w:space="0" w:color="auto"/>
              <w:bottom w:val="single" w:sz="2" w:space="0" w:color="auto"/>
              <w:right w:val="single" w:sz="2" w:space="0" w:color="auto"/>
            </w:tcBorders>
            <w:shd w:val="clear" w:color="auto" w:fill="B3B3B3"/>
            <w:noWrap/>
          </w:tcPr>
          <w:p w14:paraId="11454EE2" w14:textId="77777777" w:rsidR="004A6408" w:rsidRPr="004603A1" w:rsidRDefault="004A6408" w:rsidP="00A95965">
            <w:pPr>
              <w:pStyle w:val="TableText"/>
            </w:pPr>
            <w:r w:rsidRPr="0085788A">
              <w:rPr>
                <w:b/>
              </w:rPr>
              <w:t>Acceptable?</w:t>
            </w:r>
            <w:r>
              <w:rPr>
                <w:b/>
              </w:rPr>
              <w:t xml:space="preserve"> (Yes, No)</w:t>
            </w:r>
          </w:p>
        </w:tc>
      </w:tr>
      <w:tr w:rsidR="004A6408" w:rsidRPr="004603A1" w14:paraId="2543F8A0"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Ex>
        <w:trPr>
          <w:cantSplit/>
          <w:trHeight w:val="432"/>
        </w:trPr>
        <w:tc>
          <w:tcPr>
            <w:tcW w:w="2275" w:type="dxa"/>
            <w:tcBorders>
              <w:top w:val="single" w:sz="2" w:space="0" w:color="auto"/>
              <w:left w:val="single" w:sz="2" w:space="0" w:color="auto"/>
              <w:bottom w:val="single" w:sz="2" w:space="0" w:color="auto"/>
              <w:right w:val="single" w:sz="2" w:space="0" w:color="auto"/>
            </w:tcBorders>
            <w:shd w:val="clear" w:color="auto" w:fill="auto"/>
            <w:noWrap/>
          </w:tcPr>
          <w:p w14:paraId="512963B6" w14:textId="77777777" w:rsidR="004A6408" w:rsidRPr="004603A1" w:rsidRDefault="004A6408" w:rsidP="00A95965">
            <w:pPr>
              <w:pStyle w:val="TableText"/>
            </w:pPr>
          </w:p>
        </w:tc>
        <w:tc>
          <w:tcPr>
            <w:tcW w:w="2189" w:type="dxa"/>
            <w:tcBorders>
              <w:top w:val="single" w:sz="2" w:space="0" w:color="auto"/>
              <w:left w:val="single" w:sz="2" w:space="0" w:color="auto"/>
              <w:bottom w:val="single" w:sz="2" w:space="0" w:color="auto"/>
              <w:right w:val="single" w:sz="2" w:space="0" w:color="auto"/>
            </w:tcBorders>
            <w:shd w:val="clear" w:color="auto" w:fill="auto"/>
            <w:noWrap/>
          </w:tcPr>
          <w:p w14:paraId="3BE32664" w14:textId="77777777" w:rsidR="004A6408" w:rsidRPr="004603A1" w:rsidRDefault="004A6408" w:rsidP="00A95965">
            <w:pPr>
              <w:pStyle w:val="TableText"/>
            </w:pPr>
          </w:p>
        </w:tc>
        <w:tc>
          <w:tcPr>
            <w:tcW w:w="2664" w:type="dxa"/>
            <w:gridSpan w:val="2"/>
            <w:tcBorders>
              <w:top w:val="single" w:sz="2" w:space="0" w:color="auto"/>
              <w:left w:val="single" w:sz="2" w:space="0" w:color="auto"/>
              <w:bottom w:val="single" w:sz="2" w:space="0" w:color="auto"/>
              <w:right w:val="single" w:sz="2" w:space="0" w:color="auto"/>
            </w:tcBorders>
            <w:shd w:val="clear" w:color="auto" w:fill="auto"/>
            <w:noWrap/>
          </w:tcPr>
          <w:p w14:paraId="1444AC0A" w14:textId="77777777" w:rsidR="004A6408" w:rsidRPr="004603A1" w:rsidRDefault="004A6408" w:rsidP="00A95965">
            <w:pPr>
              <w:pStyle w:val="TableText"/>
            </w:pPr>
          </w:p>
        </w:tc>
        <w:tc>
          <w:tcPr>
            <w:tcW w:w="2520" w:type="dxa"/>
            <w:gridSpan w:val="3"/>
            <w:tcBorders>
              <w:top w:val="single" w:sz="2" w:space="0" w:color="auto"/>
              <w:left w:val="single" w:sz="2" w:space="0" w:color="auto"/>
              <w:bottom w:val="single" w:sz="2" w:space="0" w:color="auto"/>
              <w:right w:val="single" w:sz="2" w:space="0" w:color="auto"/>
            </w:tcBorders>
            <w:shd w:val="clear" w:color="auto" w:fill="auto"/>
            <w:noWrap/>
          </w:tcPr>
          <w:p w14:paraId="2988A9B7" w14:textId="77777777" w:rsidR="004A6408" w:rsidRPr="004603A1" w:rsidRDefault="004A6408" w:rsidP="00A95965">
            <w:pPr>
              <w:pStyle w:val="TableText"/>
            </w:pPr>
          </w:p>
        </w:tc>
        <w:tc>
          <w:tcPr>
            <w:tcW w:w="1853" w:type="dxa"/>
            <w:gridSpan w:val="3"/>
            <w:tcBorders>
              <w:top w:val="single" w:sz="2" w:space="0" w:color="auto"/>
              <w:left w:val="single" w:sz="2" w:space="0" w:color="auto"/>
              <w:bottom w:val="single" w:sz="2" w:space="0" w:color="auto"/>
              <w:right w:val="single" w:sz="2" w:space="0" w:color="auto"/>
            </w:tcBorders>
            <w:shd w:val="clear" w:color="auto" w:fill="auto"/>
            <w:noWrap/>
          </w:tcPr>
          <w:p w14:paraId="7AE3A027" w14:textId="77777777" w:rsidR="004A6408" w:rsidRPr="004603A1" w:rsidRDefault="004A6408" w:rsidP="00A95965">
            <w:pPr>
              <w:pStyle w:val="TableText"/>
            </w:pPr>
          </w:p>
        </w:tc>
        <w:tc>
          <w:tcPr>
            <w:tcW w:w="1459" w:type="dxa"/>
            <w:tcBorders>
              <w:top w:val="single" w:sz="2" w:space="0" w:color="auto"/>
              <w:left w:val="single" w:sz="2" w:space="0" w:color="auto"/>
              <w:bottom w:val="single" w:sz="2" w:space="0" w:color="auto"/>
              <w:right w:val="single" w:sz="2" w:space="0" w:color="auto"/>
            </w:tcBorders>
            <w:shd w:val="clear" w:color="auto" w:fill="auto"/>
            <w:noWrap/>
          </w:tcPr>
          <w:p w14:paraId="0983EDBC" w14:textId="77777777" w:rsidR="004A6408" w:rsidRPr="004603A1" w:rsidRDefault="004A6408" w:rsidP="00A95965">
            <w:pPr>
              <w:pStyle w:val="TableText"/>
            </w:pPr>
          </w:p>
        </w:tc>
      </w:tr>
      <w:tr w:rsidR="004A6408" w14:paraId="640A3A8D"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Ex>
        <w:trPr>
          <w:cantSplit/>
          <w:trHeight w:val="432"/>
        </w:trPr>
        <w:tc>
          <w:tcPr>
            <w:tcW w:w="12960" w:type="dxa"/>
            <w:gridSpan w:val="11"/>
            <w:noWrap/>
          </w:tcPr>
          <w:p w14:paraId="3BA5D5DC" w14:textId="77777777" w:rsidR="004A6408" w:rsidRPr="00547668" w:rsidRDefault="004A6408" w:rsidP="00A95965">
            <w:pPr>
              <w:pStyle w:val="TableText"/>
              <w:rPr>
                <w:b/>
                <w:szCs w:val="20"/>
              </w:rPr>
            </w:pPr>
            <w:r w:rsidRPr="00547668">
              <w:rPr>
                <w:b/>
                <w:szCs w:val="20"/>
              </w:rPr>
              <w:t>Ordered Tests:</w:t>
            </w:r>
          </w:p>
        </w:tc>
      </w:tr>
      <w:tr w:rsidR="004A6408" w14:paraId="1A4E9325"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Ex>
        <w:trPr>
          <w:cantSplit/>
          <w:trHeight w:val="432"/>
        </w:trPr>
        <w:tc>
          <w:tcPr>
            <w:tcW w:w="8628" w:type="dxa"/>
            <w:gridSpan w:val="6"/>
            <w:noWrap/>
          </w:tcPr>
          <w:p w14:paraId="7775270F" w14:textId="77777777" w:rsidR="004A6408" w:rsidRPr="00547668" w:rsidRDefault="004A6408" w:rsidP="00A95965">
            <w:pPr>
              <w:pStyle w:val="TableText"/>
              <w:rPr>
                <w:b/>
                <w:szCs w:val="20"/>
              </w:rPr>
            </w:pPr>
            <w:r w:rsidRPr="00547668">
              <w:rPr>
                <w:b/>
                <w:szCs w:val="20"/>
              </w:rPr>
              <w:t>Comments:</w:t>
            </w:r>
          </w:p>
        </w:tc>
        <w:tc>
          <w:tcPr>
            <w:tcW w:w="2171" w:type="dxa"/>
            <w:gridSpan w:val="3"/>
          </w:tcPr>
          <w:p w14:paraId="6468639B" w14:textId="77777777" w:rsidR="004A6408" w:rsidRPr="00547668" w:rsidRDefault="004A6408" w:rsidP="00A95965">
            <w:pPr>
              <w:pStyle w:val="TableText"/>
              <w:rPr>
                <w:b/>
                <w:szCs w:val="20"/>
              </w:rPr>
            </w:pPr>
            <w:r w:rsidRPr="00547668">
              <w:rPr>
                <w:b/>
                <w:szCs w:val="20"/>
              </w:rPr>
              <w:t>Entered By:</w:t>
            </w:r>
          </w:p>
        </w:tc>
        <w:tc>
          <w:tcPr>
            <w:tcW w:w="2161" w:type="dxa"/>
            <w:gridSpan w:val="2"/>
          </w:tcPr>
          <w:p w14:paraId="13C22693" w14:textId="77777777" w:rsidR="004A6408" w:rsidRPr="00547668" w:rsidRDefault="004A6408" w:rsidP="00A95965">
            <w:pPr>
              <w:pStyle w:val="TableText"/>
              <w:rPr>
                <w:b/>
                <w:szCs w:val="20"/>
              </w:rPr>
            </w:pPr>
            <w:r w:rsidRPr="00547668">
              <w:rPr>
                <w:b/>
                <w:szCs w:val="20"/>
              </w:rPr>
              <w:t>Date and Time</w:t>
            </w:r>
            <w:r>
              <w:rPr>
                <w:b/>
                <w:szCs w:val="20"/>
              </w:rPr>
              <w:t>:</w:t>
            </w:r>
          </w:p>
        </w:tc>
      </w:tr>
    </w:tbl>
    <w:p w14:paraId="536FBFB1" w14:textId="77777777" w:rsidR="004A6408" w:rsidRDefault="004A6408" w:rsidP="00DD75E5">
      <w:pPr>
        <w:pStyle w:val="BodyText"/>
      </w:pPr>
    </w:p>
    <w:tbl>
      <w:tblPr>
        <w:tblW w:w="1296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B3B3B3"/>
        <w:tblLook w:val="0000" w:firstRow="0" w:lastRow="0" w:firstColumn="0" w:lastColumn="0" w:noHBand="0" w:noVBand="0"/>
      </w:tblPr>
      <w:tblGrid>
        <w:gridCol w:w="1455"/>
        <w:gridCol w:w="897"/>
        <w:gridCol w:w="546"/>
        <w:gridCol w:w="1407"/>
        <w:gridCol w:w="28"/>
        <w:gridCol w:w="1434"/>
        <w:gridCol w:w="1434"/>
        <w:gridCol w:w="1441"/>
        <w:gridCol w:w="1433"/>
        <w:gridCol w:w="1433"/>
        <w:gridCol w:w="1452"/>
      </w:tblGrid>
      <w:tr w:rsidR="004A6408" w14:paraId="4D3DC2F4" w14:textId="77777777">
        <w:trPr>
          <w:cantSplit/>
          <w:trHeight w:val="230"/>
        </w:trPr>
        <w:tc>
          <w:tcPr>
            <w:tcW w:w="2352" w:type="dxa"/>
            <w:gridSpan w:val="2"/>
            <w:shd w:val="clear" w:color="auto" w:fill="B3B3B3"/>
            <w:noWrap/>
          </w:tcPr>
          <w:p w14:paraId="0119CD8F" w14:textId="77777777" w:rsidR="004A6408" w:rsidRPr="00DD058C" w:rsidRDefault="004A6408" w:rsidP="00A95965">
            <w:pPr>
              <w:pStyle w:val="TableText"/>
              <w:rPr>
                <w:b/>
                <w:szCs w:val="20"/>
              </w:rPr>
            </w:pPr>
            <w:r>
              <w:rPr>
                <w:b/>
                <w:szCs w:val="20"/>
              </w:rPr>
              <w:t>Reagent Rack</w:t>
            </w:r>
          </w:p>
        </w:tc>
        <w:tc>
          <w:tcPr>
            <w:tcW w:w="1953" w:type="dxa"/>
            <w:gridSpan w:val="2"/>
            <w:shd w:val="clear" w:color="auto" w:fill="B3B3B3"/>
          </w:tcPr>
          <w:p w14:paraId="55EF9BC6" w14:textId="77777777" w:rsidR="004A6408" w:rsidRPr="00DD058C" w:rsidRDefault="004A6408" w:rsidP="00A95965">
            <w:pPr>
              <w:pStyle w:val="TableText"/>
              <w:rPr>
                <w:b/>
                <w:szCs w:val="20"/>
              </w:rPr>
            </w:pPr>
            <w:r>
              <w:rPr>
                <w:b/>
                <w:szCs w:val="20"/>
              </w:rPr>
              <w:t>Date and Time</w:t>
            </w:r>
          </w:p>
        </w:tc>
        <w:tc>
          <w:tcPr>
            <w:tcW w:w="8655" w:type="dxa"/>
            <w:gridSpan w:val="7"/>
            <w:shd w:val="clear" w:color="auto" w:fill="B3B3B3"/>
          </w:tcPr>
          <w:p w14:paraId="6437D6F1" w14:textId="77777777" w:rsidR="004A6408" w:rsidRPr="00DD058C" w:rsidRDefault="004A6408" w:rsidP="00A95965">
            <w:pPr>
              <w:pStyle w:val="TableText"/>
              <w:rPr>
                <w:b/>
                <w:szCs w:val="20"/>
              </w:rPr>
            </w:pPr>
            <w:r>
              <w:rPr>
                <w:b/>
                <w:szCs w:val="20"/>
              </w:rPr>
              <w:t>Tech Name</w:t>
            </w:r>
          </w:p>
        </w:tc>
      </w:tr>
      <w:tr w:rsidR="004A6408" w14:paraId="71E8E720" w14:textId="77777777">
        <w:tblPrEx>
          <w:shd w:val="clear" w:color="auto" w:fill="auto"/>
        </w:tblPrEx>
        <w:trPr>
          <w:cantSplit/>
          <w:trHeight w:val="432"/>
        </w:trPr>
        <w:tc>
          <w:tcPr>
            <w:tcW w:w="2352" w:type="dxa"/>
            <w:gridSpan w:val="2"/>
            <w:noWrap/>
          </w:tcPr>
          <w:p w14:paraId="556CD797" w14:textId="77777777" w:rsidR="004A6408" w:rsidRDefault="004A6408" w:rsidP="00A95965">
            <w:pPr>
              <w:pStyle w:val="TableText"/>
              <w:rPr>
                <w:szCs w:val="20"/>
              </w:rPr>
            </w:pPr>
          </w:p>
        </w:tc>
        <w:tc>
          <w:tcPr>
            <w:tcW w:w="1953" w:type="dxa"/>
            <w:gridSpan w:val="2"/>
          </w:tcPr>
          <w:p w14:paraId="4B97AA99" w14:textId="77777777" w:rsidR="004A6408" w:rsidRDefault="004A6408" w:rsidP="00A95965">
            <w:pPr>
              <w:pStyle w:val="TableText"/>
              <w:rPr>
                <w:szCs w:val="20"/>
              </w:rPr>
            </w:pPr>
          </w:p>
        </w:tc>
        <w:tc>
          <w:tcPr>
            <w:tcW w:w="8655" w:type="dxa"/>
            <w:gridSpan w:val="7"/>
          </w:tcPr>
          <w:p w14:paraId="14789B42" w14:textId="77777777" w:rsidR="004A6408" w:rsidRDefault="004A6408" w:rsidP="00A95965">
            <w:pPr>
              <w:pStyle w:val="TableText"/>
              <w:rPr>
                <w:szCs w:val="20"/>
              </w:rPr>
            </w:pPr>
          </w:p>
        </w:tc>
      </w:tr>
      <w:tr w:rsidR="004A6408" w14:paraId="4E8EB06F" w14:textId="77777777">
        <w:tblPrEx>
          <w:shd w:val="clear" w:color="auto" w:fill="auto"/>
        </w:tblPrEx>
        <w:trPr>
          <w:cantSplit/>
          <w:trHeight w:val="230"/>
          <w:tblHeader/>
        </w:trPr>
        <w:tc>
          <w:tcPr>
            <w:tcW w:w="1455" w:type="dxa"/>
            <w:vMerge w:val="restart"/>
            <w:shd w:val="clear" w:color="auto" w:fill="B3B3B3"/>
            <w:noWrap/>
          </w:tcPr>
          <w:p w14:paraId="0EF7A0A7" w14:textId="77777777" w:rsidR="004A6408" w:rsidRPr="00E42FCF" w:rsidRDefault="004A6408" w:rsidP="00A95965">
            <w:pPr>
              <w:pStyle w:val="TableText"/>
              <w:rPr>
                <w:b/>
                <w:szCs w:val="20"/>
              </w:rPr>
            </w:pPr>
            <w:r>
              <w:rPr>
                <w:b/>
                <w:szCs w:val="20"/>
              </w:rPr>
              <w:t>Historic ABO/Rh Check</w:t>
            </w:r>
          </w:p>
        </w:tc>
        <w:tc>
          <w:tcPr>
            <w:tcW w:w="4312" w:type="dxa"/>
            <w:gridSpan w:val="5"/>
            <w:tcBorders>
              <w:bottom w:val="single" w:sz="2" w:space="0" w:color="auto"/>
            </w:tcBorders>
            <w:shd w:val="clear" w:color="auto" w:fill="B3B3B3"/>
          </w:tcPr>
          <w:p w14:paraId="4CDADB0B" w14:textId="77777777" w:rsidR="004A6408" w:rsidRPr="00E42FCF" w:rsidRDefault="004A6408" w:rsidP="00FC4396">
            <w:pPr>
              <w:pStyle w:val="TableText"/>
              <w:rPr>
                <w:b/>
                <w:szCs w:val="20"/>
              </w:rPr>
            </w:pPr>
            <w:r w:rsidRPr="00E42FCF">
              <w:rPr>
                <w:b/>
                <w:szCs w:val="20"/>
              </w:rPr>
              <w:t>Forward ABO Grouping</w:t>
            </w:r>
          </w:p>
        </w:tc>
        <w:tc>
          <w:tcPr>
            <w:tcW w:w="2875" w:type="dxa"/>
            <w:gridSpan w:val="2"/>
            <w:tcBorders>
              <w:bottom w:val="single" w:sz="2" w:space="0" w:color="auto"/>
            </w:tcBorders>
            <w:shd w:val="clear" w:color="auto" w:fill="B3B3B3"/>
          </w:tcPr>
          <w:p w14:paraId="03120D91" w14:textId="77777777" w:rsidR="004A6408" w:rsidRPr="00E42FCF" w:rsidRDefault="004A6408" w:rsidP="00FC4396">
            <w:pPr>
              <w:pStyle w:val="TableText"/>
              <w:rPr>
                <w:b/>
                <w:szCs w:val="20"/>
              </w:rPr>
            </w:pPr>
            <w:r w:rsidRPr="00E42FCF">
              <w:rPr>
                <w:b/>
                <w:szCs w:val="20"/>
              </w:rPr>
              <w:t>Rh Typing</w:t>
            </w:r>
          </w:p>
        </w:tc>
        <w:tc>
          <w:tcPr>
            <w:tcW w:w="2866" w:type="dxa"/>
            <w:gridSpan w:val="2"/>
            <w:tcBorders>
              <w:bottom w:val="single" w:sz="2" w:space="0" w:color="auto"/>
            </w:tcBorders>
            <w:shd w:val="clear" w:color="auto" w:fill="B3B3B3"/>
          </w:tcPr>
          <w:p w14:paraId="669F1B9C" w14:textId="77777777" w:rsidR="004A6408" w:rsidRPr="00E42FCF" w:rsidRDefault="004A6408" w:rsidP="00FC4396">
            <w:pPr>
              <w:pStyle w:val="TableText"/>
              <w:rPr>
                <w:b/>
                <w:szCs w:val="20"/>
              </w:rPr>
            </w:pPr>
            <w:r w:rsidRPr="00E42FCF">
              <w:rPr>
                <w:b/>
                <w:szCs w:val="20"/>
              </w:rPr>
              <w:t>Reverse ABO Grouping</w:t>
            </w:r>
          </w:p>
        </w:tc>
        <w:tc>
          <w:tcPr>
            <w:tcW w:w="1452" w:type="dxa"/>
            <w:vMerge w:val="restart"/>
            <w:shd w:val="clear" w:color="auto" w:fill="B3B3B3"/>
          </w:tcPr>
          <w:p w14:paraId="00F328C3" w14:textId="77777777" w:rsidR="004A6408" w:rsidRDefault="004A6408" w:rsidP="00A95965">
            <w:pPr>
              <w:pStyle w:val="TableText"/>
              <w:rPr>
                <w:b/>
                <w:szCs w:val="20"/>
              </w:rPr>
            </w:pPr>
            <w:r w:rsidRPr="00E42FCF">
              <w:rPr>
                <w:b/>
                <w:szCs w:val="20"/>
              </w:rPr>
              <w:t>ABO/Rh</w:t>
            </w:r>
          </w:p>
          <w:p w14:paraId="0B6F7957" w14:textId="77777777" w:rsidR="004A6408" w:rsidRPr="00E42FCF" w:rsidRDefault="004A6408" w:rsidP="00A95965">
            <w:pPr>
              <w:pStyle w:val="TableText"/>
              <w:rPr>
                <w:b/>
                <w:szCs w:val="20"/>
              </w:rPr>
            </w:pPr>
            <w:r>
              <w:rPr>
                <w:b/>
                <w:szCs w:val="20"/>
              </w:rPr>
              <w:t>Interpretation</w:t>
            </w:r>
          </w:p>
        </w:tc>
      </w:tr>
      <w:tr w:rsidR="004A6408" w14:paraId="1D5F4665" w14:textId="77777777">
        <w:tblPrEx>
          <w:shd w:val="clear" w:color="auto" w:fill="auto"/>
        </w:tblPrEx>
        <w:trPr>
          <w:cantSplit/>
          <w:trHeight w:val="230"/>
          <w:tblHeader/>
        </w:trPr>
        <w:tc>
          <w:tcPr>
            <w:tcW w:w="1455" w:type="dxa"/>
            <w:vMerge/>
            <w:noWrap/>
          </w:tcPr>
          <w:p w14:paraId="53136FA6" w14:textId="77777777" w:rsidR="004A6408" w:rsidRDefault="004A6408" w:rsidP="00A95965">
            <w:pPr>
              <w:pStyle w:val="TableText"/>
              <w:rPr>
                <w:szCs w:val="20"/>
              </w:rPr>
            </w:pPr>
          </w:p>
        </w:tc>
        <w:tc>
          <w:tcPr>
            <w:tcW w:w="1443" w:type="dxa"/>
            <w:gridSpan w:val="2"/>
            <w:shd w:val="clear" w:color="auto" w:fill="B3B3B3"/>
          </w:tcPr>
          <w:p w14:paraId="2BAF02E1" w14:textId="77777777" w:rsidR="004A6408" w:rsidRPr="00C3237D" w:rsidRDefault="004A6408" w:rsidP="000D14B2">
            <w:pPr>
              <w:pStyle w:val="TableText"/>
              <w:jc w:val="center"/>
              <w:rPr>
                <w:b/>
                <w:szCs w:val="20"/>
              </w:rPr>
            </w:pPr>
            <w:r>
              <w:rPr>
                <w:b/>
                <w:szCs w:val="20"/>
              </w:rPr>
              <w:t>Anti-A</w:t>
            </w:r>
          </w:p>
        </w:tc>
        <w:tc>
          <w:tcPr>
            <w:tcW w:w="1435" w:type="dxa"/>
            <w:gridSpan w:val="2"/>
            <w:shd w:val="clear" w:color="auto" w:fill="B3B3B3"/>
          </w:tcPr>
          <w:p w14:paraId="740E47D4" w14:textId="77777777" w:rsidR="004A6408" w:rsidRPr="00C3237D" w:rsidRDefault="004A6408" w:rsidP="000D14B2">
            <w:pPr>
              <w:pStyle w:val="TableText"/>
              <w:jc w:val="center"/>
              <w:rPr>
                <w:b/>
                <w:szCs w:val="20"/>
              </w:rPr>
            </w:pPr>
            <w:r>
              <w:rPr>
                <w:b/>
                <w:szCs w:val="20"/>
              </w:rPr>
              <w:t>Anti-B</w:t>
            </w:r>
          </w:p>
        </w:tc>
        <w:tc>
          <w:tcPr>
            <w:tcW w:w="1434" w:type="dxa"/>
            <w:shd w:val="clear" w:color="auto" w:fill="B3B3B3"/>
          </w:tcPr>
          <w:p w14:paraId="62E684E7" w14:textId="77777777" w:rsidR="004A6408" w:rsidRPr="00C3237D" w:rsidRDefault="004A6408" w:rsidP="000D14B2">
            <w:pPr>
              <w:pStyle w:val="TableText"/>
              <w:jc w:val="center"/>
              <w:rPr>
                <w:b/>
                <w:szCs w:val="20"/>
              </w:rPr>
            </w:pPr>
            <w:r>
              <w:rPr>
                <w:b/>
                <w:szCs w:val="20"/>
              </w:rPr>
              <w:t>Anti-A,B</w:t>
            </w:r>
          </w:p>
        </w:tc>
        <w:tc>
          <w:tcPr>
            <w:tcW w:w="1434" w:type="dxa"/>
            <w:shd w:val="clear" w:color="auto" w:fill="B3B3B3"/>
          </w:tcPr>
          <w:p w14:paraId="4085798B" w14:textId="77777777" w:rsidR="004A6408" w:rsidRPr="00C3237D" w:rsidRDefault="004A6408" w:rsidP="000D14B2">
            <w:pPr>
              <w:pStyle w:val="TableText"/>
              <w:jc w:val="center"/>
              <w:rPr>
                <w:b/>
                <w:szCs w:val="20"/>
              </w:rPr>
            </w:pPr>
            <w:r>
              <w:rPr>
                <w:b/>
                <w:szCs w:val="20"/>
              </w:rPr>
              <w:t>Anti-D</w:t>
            </w:r>
          </w:p>
        </w:tc>
        <w:tc>
          <w:tcPr>
            <w:tcW w:w="1441" w:type="dxa"/>
            <w:shd w:val="clear" w:color="auto" w:fill="B3B3B3"/>
          </w:tcPr>
          <w:p w14:paraId="5B94AB5A" w14:textId="77777777" w:rsidR="004A6408" w:rsidRPr="00C3237D" w:rsidRDefault="004A6408" w:rsidP="000D14B2">
            <w:pPr>
              <w:pStyle w:val="TableText"/>
              <w:jc w:val="center"/>
              <w:rPr>
                <w:b/>
                <w:szCs w:val="20"/>
              </w:rPr>
            </w:pPr>
            <w:r>
              <w:rPr>
                <w:b/>
                <w:szCs w:val="20"/>
              </w:rPr>
              <w:t>Rh Control</w:t>
            </w:r>
          </w:p>
        </w:tc>
        <w:tc>
          <w:tcPr>
            <w:tcW w:w="1433" w:type="dxa"/>
            <w:shd w:val="clear" w:color="auto" w:fill="B3B3B3"/>
          </w:tcPr>
          <w:p w14:paraId="717E7E13" w14:textId="77777777" w:rsidR="004A6408" w:rsidRPr="00C3237D" w:rsidRDefault="004A6408" w:rsidP="000D14B2">
            <w:pPr>
              <w:pStyle w:val="TableText"/>
              <w:jc w:val="center"/>
              <w:rPr>
                <w:b/>
                <w:szCs w:val="20"/>
              </w:rPr>
            </w:pPr>
            <w:r>
              <w:rPr>
                <w:b/>
                <w:szCs w:val="20"/>
              </w:rPr>
              <w:t>A1 Cell</w:t>
            </w:r>
          </w:p>
        </w:tc>
        <w:tc>
          <w:tcPr>
            <w:tcW w:w="1433" w:type="dxa"/>
            <w:shd w:val="clear" w:color="auto" w:fill="B3B3B3"/>
          </w:tcPr>
          <w:p w14:paraId="1CB78BB3" w14:textId="77777777" w:rsidR="004A6408" w:rsidRPr="00C3237D" w:rsidRDefault="004A6408" w:rsidP="000D14B2">
            <w:pPr>
              <w:pStyle w:val="TableText"/>
              <w:jc w:val="center"/>
              <w:rPr>
                <w:b/>
                <w:szCs w:val="20"/>
              </w:rPr>
            </w:pPr>
            <w:r>
              <w:rPr>
                <w:b/>
                <w:szCs w:val="20"/>
              </w:rPr>
              <w:t>B Cell</w:t>
            </w:r>
          </w:p>
        </w:tc>
        <w:tc>
          <w:tcPr>
            <w:tcW w:w="1452" w:type="dxa"/>
            <w:vMerge/>
          </w:tcPr>
          <w:p w14:paraId="487721FA" w14:textId="77777777" w:rsidR="004A6408" w:rsidRDefault="004A6408" w:rsidP="00A95965">
            <w:pPr>
              <w:pStyle w:val="TableText"/>
              <w:rPr>
                <w:szCs w:val="20"/>
              </w:rPr>
            </w:pPr>
          </w:p>
        </w:tc>
      </w:tr>
      <w:tr w:rsidR="00041C69" w14:paraId="7054D68E" w14:textId="77777777">
        <w:tblPrEx>
          <w:shd w:val="clear" w:color="auto" w:fill="auto"/>
        </w:tblPrEx>
        <w:trPr>
          <w:cantSplit/>
          <w:trHeight w:val="432"/>
        </w:trPr>
        <w:tc>
          <w:tcPr>
            <w:tcW w:w="1455" w:type="dxa"/>
            <w:noWrap/>
          </w:tcPr>
          <w:p w14:paraId="6B1C4A9C" w14:textId="77777777" w:rsidR="00041C69" w:rsidRDefault="00041C69" w:rsidP="00A95965">
            <w:pPr>
              <w:pStyle w:val="TableText"/>
              <w:rPr>
                <w:szCs w:val="20"/>
              </w:rPr>
            </w:pPr>
          </w:p>
        </w:tc>
        <w:tc>
          <w:tcPr>
            <w:tcW w:w="1443" w:type="dxa"/>
            <w:gridSpan w:val="2"/>
          </w:tcPr>
          <w:p w14:paraId="37672C2C" w14:textId="77777777" w:rsidR="00041C69" w:rsidRDefault="00041C69" w:rsidP="00A95965">
            <w:pPr>
              <w:pStyle w:val="TableText"/>
              <w:rPr>
                <w:szCs w:val="20"/>
              </w:rPr>
            </w:pPr>
          </w:p>
        </w:tc>
        <w:tc>
          <w:tcPr>
            <w:tcW w:w="1435" w:type="dxa"/>
            <w:gridSpan w:val="2"/>
          </w:tcPr>
          <w:p w14:paraId="0C16643C" w14:textId="77777777" w:rsidR="00041C69" w:rsidRDefault="00041C69" w:rsidP="00A95965">
            <w:pPr>
              <w:pStyle w:val="TableText"/>
              <w:rPr>
                <w:szCs w:val="20"/>
              </w:rPr>
            </w:pPr>
          </w:p>
        </w:tc>
        <w:tc>
          <w:tcPr>
            <w:tcW w:w="1434" w:type="dxa"/>
          </w:tcPr>
          <w:p w14:paraId="521019E1" w14:textId="77777777" w:rsidR="00041C69" w:rsidRDefault="00041C69" w:rsidP="00A95965">
            <w:pPr>
              <w:pStyle w:val="TableText"/>
              <w:rPr>
                <w:szCs w:val="20"/>
              </w:rPr>
            </w:pPr>
          </w:p>
        </w:tc>
        <w:tc>
          <w:tcPr>
            <w:tcW w:w="1434" w:type="dxa"/>
          </w:tcPr>
          <w:p w14:paraId="4EBD9C89" w14:textId="77777777" w:rsidR="00041C69" w:rsidRDefault="00041C69" w:rsidP="00A95965">
            <w:pPr>
              <w:pStyle w:val="TableText"/>
              <w:rPr>
                <w:szCs w:val="20"/>
              </w:rPr>
            </w:pPr>
          </w:p>
        </w:tc>
        <w:tc>
          <w:tcPr>
            <w:tcW w:w="1441" w:type="dxa"/>
          </w:tcPr>
          <w:p w14:paraId="5B2B1EC4" w14:textId="77777777" w:rsidR="00041C69" w:rsidRDefault="00041C69" w:rsidP="00A95965">
            <w:pPr>
              <w:pStyle w:val="TableText"/>
              <w:rPr>
                <w:szCs w:val="20"/>
              </w:rPr>
            </w:pPr>
          </w:p>
        </w:tc>
        <w:tc>
          <w:tcPr>
            <w:tcW w:w="1433" w:type="dxa"/>
          </w:tcPr>
          <w:p w14:paraId="20482DBB" w14:textId="77777777" w:rsidR="00041C69" w:rsidRDefault="00041C69" w:rsidP="00A95965">
            <w:pPr>
              <w:pStyle w:val="TableText"/>
              <w:rPr>
                <w:szCs w:val="20"/>
              </w:rPr>
            </w:pPr>
          </w:p>
        </w:tc>
        <w:tc>
          <w:tcPr>
            <w:tcW w:w="1433" w:type="dxa"/>
          </w:tcPr>
          <w:p w14:paraId="0C0F2153" w14:textId="77777777" w:rsidR="00041C69" w:rsidRDefault="00041C69" w:rsidP="00A95965">
            <w:pPr>
              <w:pStyle w:val="TableText"/>
              <w:rPr>
                <w:szCs w:val="20"/>
              </w:rPr>
            </w:pPr>
          </w:p>
        </w:tc>
        <w:tc>
          <w:tcPr>
            <w:tcW w:w="1452" w:type="dxa"/>
          </w:tcPr>
          <w:p w14:paraId="3B7E1E15" w14:textId="77777777" w:rsidR="00041C69" w:rsidRDefault="00041C69" w:rsidP="00A95965">
            <w:pPr>
              <w:pStyle w:val="TableText"/>
              <w:rPr>
                <w:szCs w:val="20"/>
              </w:rPr>
            </w:pPr>
          </w:p>
        </w:tc>
      </w:tr>
      <w:tr w:rsidR="00041C69" w14:paraId="5958216A" w14:textId="77777777">
        <w:tblPrEx>
          <w:shd w:val="clear" w:color="auto" w:fill="auto"/>
        </w:tblPrEx>
        <w:trPr>
          <w:cantSplit/>
          <w:trHeight w:val="432"/>
        </w:trPr>
        <w:tc>
          <w:tcPr>
            <w:tcW w:w="1455" w:type="dxa"/>
            <w:noWrap/>
          </w:tcPr>
          <w:p w14:paraId="01B7F801" w14:textId="77777777" w:rsidR="00041C69" w:rsidRDefault="00041C69" w:rsidP="00A95965">
            <w:pPr>
              <w:pStyle w:val="TableText"/>
              <w:rPr>
                <w:szCs w:val="20"/>
              </w:rPr>
            </w:pPr>
          </w:p>
        </w:tc>
        <w:tc>
          <w:tcPr>
            <w:tcW w:w="1443" w:type="dxa"/>
            <w:gridSpan w:val="2"/>
          </w:tcPr>
          <w:p w14:paraId="09B1FFEE" w14:textId="77777777" w:rsidR="00041C69" w:rsidRDefault="00041C69" w:rsidP="00A95965">
            <w:pPr>
              <w:pStyle w:val="TableText"/>
              <w:rPr>
                <w:szCs w:val="20"/>
              </w:rPr>
            </w:pPr>
          </w:p>
        </w:tc>
        <w:tc>
          <w:tcPr>
            <w:tcW w:w="1435" w:type="dxa"/>
            <w:gridSpan w:val="2"/>
          </w:tcPr>
          <w:p w14:paraId="0CB3FE78" w14:textId="77777777" w:rsidR="00041C69" w:rsidRDefault="00041C69" w:rsidP="00A95965">
            <w:pPr>
              <w:pStyle w:val="TableText"/>
              <w:rPr>
                <w:szCs w:val="20"/>
              </w:rPr>
            </w:pPr>
          </w:p>
        </w:tc>
        <w:tc>
          <w:tcPr>
            <w:tcW w:w="1434" w:type="dxa"/>
          </w:tcPr>
          <w:p w14:paraId="7036041E" w14:textId="77777777" w:rsidR="00041C69" w:rsidRDefault="00041C69" w:rsidP="00A95965">
            <w:pPr>
              <w:pStyle w:val="TableText"/>
              <w:rPr>
                <w:szCs w:val="20"/>
              </w:rPr>
            </w:pPr>
          </w:p>
        </w:tc>
        <w:tc>
          <w:tcPr>
            <w:tcW w:w="1434" w:type="dxa"/>
          </w:tcPr>
          <w:p w14:paraId="6348EF3B" w14:textId="77777777" w:rsidR="00041C69" w:rsidRDefault="00041C69" w:rsidP="00A95965">
            <w:pPr>
              <w:pStyle w:val="TableText"/>
              <w:rPr>
                <w:szCs w:val="20"/>
              </w:rPr>
            </w:pPr>
          </w:p>
        </w:tc>
        <w:tc>
          <w:tcPr>
            <w:tcW w:w="1441" w:type="dxa"/>
          </w:tcPr>
          <w:p w14:paraId="000E98CF" w14:textId="77777777" w:rsidR="00041C69" w:rsidRDefault="00041C69" w:rsidP="00A95965">
            <w:pPr>
              <w:pStyle w:val="TableText"/>
              <w:rPr>
                <w:szCs w:val="20"/>
              </w:rPr>
            </w:pPr>
          </w:p>
        </w:tc>
        <w:tc>
          <w:tcPr>
            <w:tcW w:w="1433" w:type="dxa"/>
          </w:tcPr>
          <w:p w14:paraId="4B08DFAA" w14:textId="77777777" w:rsidR="00041C69" w:rsidRDefault="00041C69" w:rsidP="00A95965">
            <w:pPr>
              <w:pStyle w:val="TableText"/>
              <w:rPr>
                <w:szCs w:val="20"/>
              </w:rPr>
            </w:pPr>
          </w:p>
        </w:tc>
        <w:tc>
          <w:tcPr>
            <w:tcW w:w="1433" w:type="dxa"/>
          </w:tcPr>
          <w:p w14:paraId="2E796BE1" w14:textId="77777777" w:rsidR="00041C69" w:rsidRDefault="00041C69" w:rsidP="00A95965">
            <w:pPr>
              <w:pStyle w:val="TableText"/>
              <w:rPr>
                <w:szCs w:val="20"/>
              </w:rPr>
            </w:pPr>
          </w:p>
        </w:tc>
        <w:tc>
          <w:tcPr>
            <w:tcW w:w="1452" w:type="dxa"/>
          </w:tcPr>
          <w:p w14:paraId="032C662B" w14:textId="77777777" w:rsidR="00041C69" w:rsidRDefault="00041C69" w:rsidP="00A95965">
            <w:pPr>
              <w:pStyle w:val="TableText"/>
              <w:rPr>
                <w:szCs w:val="20"/>
              </w:rPr>
            </w:pPr>
          </w:p>
        </w:tc>
      </w:tr>
    </w:tbl>
    <w:p w14:paraId="2506B647" w14:textId="77777777" w:rsidR="00140686" w:rsidRDefault="00140686" w:rsidP="00DD75E5">
      <w:pPr>
        <w:pStyle w:val="BodyText"/>
      </w:pPr>
    </w:p>
    <w:p w14:paraId="0D8B9950" w14:textId="77777777" w:rsidR="003F3F74" w:rsidRDefault="00140686" w:rsidP="00DD75E5">
      <w:pPr>
        <w:pStyle w:val="BodyText"/>
      </w:pPr>
      <w:r>
        <w:br w:type="page"/>
      </w:r>
    </w:p>
    <w:tbl>
      <w:tblPr>
        <w:tblW w:w="1296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B3B3B3"/>
        <w:tblLook w:val="0000" w:firstRow="0" w:lastRow="0" w:firstColumn="0" w:lastColumn="0" w:noHBand="0" w:noVBand="0"/>
      </w:tblPr>
      <w:tblGrid>
        <w:gridCol w:w="746"/>
        <w:gridCol w:w="641"/>
        <w:gridCol w:w="686"/>
        <w:gridCol w:w="643"/>
        <w:gridCol w:w="681"/>
        <w:gridCol w:w="641"/>
        <w:gridCol w:w="650"/>
        <w:gridCol w:w="639"/>
        <w:gridCol w:w="681"/>
        <w:gridCol w:w="641"/>
        <w:gridCol w:w="650"/>
        <w:gridCol w:w="641"/>
        <w:gridCol w:w="681"/>
        <w:gridCol w:w="641"/>
        <w:gridCol w:w="650"/>
        <w:gridCol w:w="639"/>
        <w:gridCol w:w="2409"/>
      </w:tblGrid>
      <w:tr w:rsidR="004A6408" w14:paraId="77AF8675" w14:textId="77777777">
        <w:trPr>
          <w:cantSplit/>
          <w:trHeight w:val="230"/>
          <w:tblHeader/>
        </w:trPr>
        <w:tc>
          <w:tcPr>
            <w:tcW w:w="12888" w:type="dxa"/>
            <w:gridSpan w:val="17"/>
            <w:shd w:val="clear" w:color="auto" w:fill="B3B3B3"/>
            <w:noWrap/>
          </w:tcPr>
          <w:p w14:paraId="3F854B88" w14:textId="77777777" w:rsidR="004A6408" w:rsidRPr="006A7FD3" w:rsidRDefault="004A6408" w:rsidP="00FC4396">
            <w:pPr>
              <w:pStyle w:val="TableText"/>
              <w:rPr>
                <w:b/>
                <w:szCs w:val="20"/>
              </w:rPr>
            </w:pPr>
            <w:r>
              <w:rPr>
                <w:b/>
                <w:szCs w:val="20"/>
              </w:rPr>
              <w:lastRenderedPageBreak/>
              <w:t>Antibody Screening</w:t>
            </w:r>
          </w:p>
        </w:tc>
      </w:tr>
      <w:tr w:rsidR="004A6408" w14:paraId="0E4DD13E" w14:textId="77777777">
        <w:tblPrEx>
          <w:shd w:val="clear" w:color="auto" w:fill="auto"/>
        </w:tblPrEx>
        <w:trPr>
          <w:cantSplit/>
          <w:trHeight w:val="230"/>
          <w:tblHeader/>
        </w:trPr>
        <w:tc>
          <w:tcPr>
            <w:tcW w:w="2704" w:type="dxa"/>
            <w:gridSpan w:val="4"/>
            <w:tcBorders>
              <w:top w:val="single" w:sz="2" w:space="0" w:color="auto"/>
              <w:left w:val="single" w:sz="2" w:space="0" w:color="auto"/>
              <w:bottom w:val="single" w:sz="2" w:space="0" w:color="auto"/>
              <w:right w:val="single" w:sz="2" w:space="0" w:color="auto"/>
            </w:tcBorders>
            <w:shd w:val="clear" w:color="auto" w:fill="B3B3B3"/>
            <w:noWrap/>
          </w:tcPr>
          <w:p w14:paraId="23C61F7B" w14:textId="77777777" w:rsidR="004A6408" w:rsidRPr="006A7FD3" w:rsidRDefault="004A6408" w:rsidP="00FC4396">
            <w:pPr>
              <w:pStyle w:val="TableText"/>
              <w:rPr>
                <w:b/>
                <w:szCs w:val="20"/>
              </w:rPr>
            </w:pPr>
            <w:r>
              <w:rPr>
                <w:b/>
                <w:szCs w:val="20"/>
              </w:rPr>
              <w:t>Screen Cell 1</w:t>
            </w:r>
          </w:p>
        </w:tc>
        <w:tc>
          <w:tcPr>
            <w:tcW w:w="2596" w:type="dxa"/>
            <w:gridSpan w:val="4"/>
            <w:tcBorders>
              <w:top w:val="single" w:sz="2" w:space="0" w:color="auto"/>
              <w:left w:val="single" w:sz="2" w:space="0" w:color="auto"/>
              <w:bottom w:val="single" w:sz="2" w:space="0" w:color="auto"/>
              <w:right w:val="single" w:sz="2" w:space="0" w:color="auto"/>
            </w:tcBorders>
            <w:shd w:val="clear" w:color="auto" w:fill="B3B3B3"/>
          </w:tcPr>
          <w:p w14:paraId="02B27799" w14:textId="77777777" w:rsidR="004A6408" w:rsidRPr="006A7FD3" w:rsidRDefault="004A6408" w:rsidP="00FC4396">
            <w:pPr>
              <w:pStyle w:val="TableText"/>
              <w:rPr>
                <w:b/>
                <w:szCs w:val="20"/>
              </w:rPr>
            </w:pPr>
            <w:r>
              <w:rPr>
                <w:b/>
                <w:szCs w:val="20"/>
              </w:rPr>
              <w:t>Screen Cell 2</w:t>
            </w:r>
          </w:p>
        </w:tc>
        <w:tc>
          <w:tcPr>
            <w:tcW w:w="2597" w:type="dxa"/>
            <w:gridSpan w:val="4"/>
            <w:tcBorders>
              <w:top w:val="single" w:sz="2" w:space="0" w:color="auto"/>
              <w:left w:val="single" w:sz="2" w:space="0" w:color="auto"/>
              <w:bottom w:val="single" w:sz="2" w:space="0" w:color="auto"/>
              <w:right w:val="single" w:sz="2" w:space="0" w:color="auto"/>
            </w:tcBorders>
            <w:shd w:val="clear" w:color="auto" w:fill="B3B3B3"/>
          </w:tcPr>
          <w:p w14:paraId="13A2C7C1" w14:textId="77777777" w:rsidR="004A6408" w:rsidRPr="006A7FD3" w:rsidRDefault="004A6408" w:rsidP="00FC4396">
            <w:pPr>
              <w:pStyle w:val="TableText"/>
              <w:rPr>
                <w:b/>
                <w:szCs w:val="20"/>
              </w:rPr>
            </w:pPr>
            <w:r>
              <w:rPr>
                <w:b/>
                <w:szCs w:val="20"/>
              </w:rPr>
              <w:t>Screen Cell 3</w:t>
            </w:r>
          </w:p>
        </w:tc>
        <w:tc>
          <w:tcPr>
            <w:tcW w:w="2595" w:type="dxa"/>
            <w:gridSpan w:val="4"/>
            <w:tcBorders>
              <w:top w:val="single" w:sz="2" w:space="0" w:color="auto"/>
              <w:left w:val="single" w:sz="2" w:space="0" w:color="auto"/>
              <w:bottom w:val="single" w:sz="2" w:space="0" w:color="auto"/>
              <w:right w:val="single" w:sz="2" w:space="0" w:color="auto"/>
            </w:tcBorders>
            <w:shd w:val="clear" w:color="auto" w:fill="B3B3B3"/>
          </w:tcPr>
          <w:p w14:paraId="66D6002B" w14:textId="77777777" w:rsidR="004A6408" w:rsidRPr="006A7FD3" w:rsidRDefault="004A6408" w:rsidP="00FC4396">
            <w:pPr>
              <w:pStyle w:val="TableText"/>
              <w:rPr>
                <w:b/>
                <w:szCs w:val="20"/>
              </w:rPr>
            </w:pPr>
            <w:r>
              <w:rPr>
                <w:b/>
                <w:szCs w:val="20"/>
              </w:rPr>
              <w:t>Screen Cell 4</w:t>
            </w:r>
          </w:p>
        </w:tc>
        <w:tc>
          <w:tcPr>
            <w:tcW w:w="2396" w:type="dxa"/>
            <w:vMerge w:val="restart"/>
            <w:tcBorders>
              <w:top w:val="single" w:sz="2" w:space="0" w:color="auto"/>
              <w:left w:val="single" w:sz="2" w:space="0" w:color="auto"/>
              <w:right w:val="single" w:sz="2" w:space="0" w:color="auto"/>
            </w:tcBorders>
            <w:shd w:val="clear" w:color="auto" w:fill="B3B3B3"/>
          </w:tcPr>
          <w:p w14:paraId="3AD16649" w14:textId="77777777" w:rsidR="004A6408" w:rsidRPr="006A7FD3" w:rsidRDefault="004A6408" w:rsidP="00FC4396">
            <w:pPr>
              <w:pStyle w:val="TableText"/>
              <w:rPr>
                <w:b/>
                <w:szCs w:val="20"/>
              </w:rPr>
            </w:pPr>
            <w:r>
              <w:rPr>
                <w:b/>
                <w:szCs w:val="20"/>
              </w:rPr>
              <w:t>Screen Interpretation</w:t>
            </w:r>
          </w:p>
        </w:tc>
      </w:tr>
      <w:tr w:rsidR="004A6408" w14:paraId="20F9E86A" w14:textId="77777777">
        <w:tblPrEx>
          <w:shd w:val="clear" w:color="auto" w:fill="auto"/>
        </w:tblPrEx>
        <w:trPr>
          <w:cantSplit/>
          <w:trHeight w:val="230"/>
          <w:tblHeader/>
        </w:trPr>
        <w:tc>
          <w:tcPr>
            <w:tcW w:w="743" w:type="dxa"/>
            <w:shd w:val="clear" w:color="auto" w:fill="B3B3B3"/>
            <w:noWrap/>
          </w:tcPr>
          <w:p w14:paraId="5A60FF61" w14:textId="77777777" w:rsidR="004A6408" w:rsidRPr="006A7FD3" w:rsidRDefault="004A6408" w:rsidP="00FC4396">
            <w:pPr>
              <w:pStyle w:val="TableText"/>
              <w:jc w:val="both"/>
              <w:rPr>
                <w:b/>
                <w:szCs w:val="20"/>
              </w:rPr>
            </w:pPr>
            <w:r w:rsidRPr="006A7FD3">
              <w:rPr>
                <w:b/>
                <w:szCs w:val="20"/>
              </w:rPr>
              <w:t>RT/IS</w:t>
            </w:r>
            <w:r>
              <w:rPr>
                <w:rStyle w:val="FootnoteReference"/>
                <w:b/>
                <w:szCs w:val="20"/>
              </w:rPr>
              <w:footnoteReference w:id="5"/>
            </w:r>
          </w:p>
        </w:tc>
        <w:tc>
          <w:tcPr>
            <w:tcW w:w="638" w:type="dxa"/>
            <w:shd w:val="clear" w:color="auto" w:fill="B3B3B3"/>
          </w:tcPr>
          <w:p w14:paraId="56320D7F" w14:textId="77777777" w:rsidR="004A6408" w:rsidRPr="006A7FD3" w:rsidRDefault="004A6408" w:rsidP="00FC4396">
            <w:pPr>
              <w:pStyle w:val="TableText"/>
              <w:jc w:val="both"/>
              <w:rPr>
                <w:b/>
                <w:szCs w:val="20"/>
              </w:rPr>
            </w:pPr>
            <w:r w:rsidRPr="006A7FD3">
              <w:rPr>
                <w:b/>
                <w:szCs w:val="20"/>
              </w:rPr>
              <w:t>37</w:t>
            </w:r>
            <w:r w:rsidRPr="006A7FD3">
              <w:rPr>
                <w:rFonts w:cs="Arial"/>
                <w:b/>
                <w:szCs w:val="20"/>
              </w:rPr>
              <w:t>°</w:t>
            </w:r>
          </w:p>
        </w:tc>
        <w:tc>
          <w:tcPr>
            <w:tcW w:w="683" w:type="dxa"/>
            <w:shd w:val="clear" w:color="auto" w:fill="B3B3B3"/>
          </w:tcPr>
          <w:p w14:paraId="593C9222" w14:textId="77777777" w:rsidR="004A6408" w:rsidRPr="006A7FD3" w:rsidRDefault="004A6408" w:rsidP="00FC4396">
            <w:pPr>
              <w:pStyle w:val="TableText"/>
              <w:jc w:val="both"/>
              <w:rPr>
                <w:b/>
                <w:szCs w:val="20"/>
              </w:rPr>
            </w:pPr>
            <w:r w:rsidRPr="006A7FD3">
              <w:rPr>
                <w:b/>
                <w:szCs w:val="20"/>
              </w:rPr>
              <w:t>AHG</w:t>
            </w:r>
            <w:r>
              <w:rPr>
                <w:rStyle w:val="FootnoteReference"/>
                <w:b/>
                <w:szCs w:val="20"/>
              </w:rPr>
              <w:footnoteReference w:id="6"/>
            </w:r>
          </w:p>
        </w:tc>
        <w:tc>
          <w:tcPr>
            <w:tcW w:w="640" w:type="dxa"/>
            <w:shd w:val="clear" w:color="auto" w:fill="B3B3B3"/>
          </w:tcPr>
          <w:p w14:paraId="03BF09C2" w14:textId="77777777" w:rsidR="004A6408" w:rsidRPr="006A7FD3" w:rsidRDefault="004A6408" w:rsidP="00FC4396">
            <w:pPr>
              <w:pStyle w:val="TableText"/>
              <w:jc w:val="both"/>
              <w:rPr>
                <w:b/>
                <w:szCs w:val="20"/>
              </w:rPr>
            </w:pPr>
            <w:r w:rsidRPr="006A7FD3">
              <w:rPr>
                <w:b/>
                <w:szCs w:val="20"/>
              </w:rPr>
              <w:t>CC</w:t>
            </w:r>
            <w:r>
              <w:rPr>
                <w:rStyle w:val="FootnoteReference"/>
                <w:b/>
                <w:szCs w:val="20"/>
              </w:rPr>
              <w:footnoteReference w:id="7"/>
            </w:r>
          </w:p>
        </w:tc>
        <w:tc>
          <w:tcPr>
            <w:tcW w:w="678" w:type="dxa"/>
            <w:shd w:val="clear" w:color="auto" w:fill="B3B3B3"/>
          </w:tcPr>
          <w:p w14:paraId="52E5FE10" w14:textId="77777777" w:rsidR="004A6408" w:rsidRPr="006A7FD3" w:rsidRDefault="004A6408" w:rsidP="00FC4396">
            <w:pPr>
              <w:pStyle w:val="TableText"/>
              <w:jc w:val="both"/>
              <w:rPr>
                <w:b/>
                <w:szCs w:val="20"/>
              </w:rPr>
            </w:pPr>
            <w:r w:rsidRPr="006A7FD3">
              <w:rPr>
                <w:b/>
                <w:szCs w:val="20"/>
              </w:rPr>
              <w:t>RT/IS</w:t>
            </w:r>
          </w:p>
        </w:tc>
        <w:tc>
          <w:tcPr>
            <w:tcW w:w="637" w:type="dxa"/>
            <w:shd w:val="clear" w:color="auto" w:fill="B3B3B3"/>
          </w:tcPr>
          <w:p w14:paraId="5C509A8E" w14:textId="77777777" w:rsidR="004A6408" w:rsidRPr="006A7FD3" w:rsidRDefault="004A6408" w:rsidP="00FC4396">
            <w:pPr>
              <w:pStyle w:val="TableText"/>
              <w:jc w:val="both"/>
              <w:rPr>
                <w:b/>
                <w:szCs w:val="20"/>
              </w:rPr>
            </w:pPr>
            <w:r w:rsidRPr="006A7FD3">
              <w:rPr>
                <w:b/>
                <w:szCs w:val="20"/>
              </w:rPr>
              <w:t>37</w:t>
            </w:r>
            <w:r w:rsidRPr="006A7FD3">
              <w:rPr>
                <w:rFonts w:cs="Arial"/>
                <w:b/>
                <w:szCs w:val="20"/>
              </w:rPr>
              <w:t>°</w:t>
            </w:r>
          </w:p>
        </w:tc>
        <w:tc>
          <w:tcPr>
            <w:tcW w:w="646" w:type="dxa"/>
            <w:shd w:val="clear" w:color="auto" w:fill="B3B3B3"/>
          </w:tcPr>
          <w:p w14:paraId="1B462543" w14:textId="77777777" w:rsidR="004A6408" w:rsidRPr="006A7FD3" w:rsidRDefault="004A6408" w:rsidP="00FC4396">
            <w:pPr>
              <w:pStyle w:val="TableText"/>
              <w:jc w:val="both"/>
              <w:rPr>
                <w:b/>
                <w:szCs w:val="20"/>
              </w:rPr>
            </w:pPr>
            <w:r w:rsidRPr="006A7FD3">
              <w:rPr>
                <w:b/>
                <w:szCs w:val="20"/>
              </w:rPr>
              <w:t>AHG</w:t>
            </w:r>
          </w:p>
        </w:tc>
        <w:tc>
          <w:tcPr>
            <w:tcW w:w="635" w:type="dxa"/>
            <w:shd w:val="clear" w:color="auto" w:fill="B3B3B3"/>
          </w:tcPr>
          <w:p w14:paraId="6D102F7D" w14:textId="77777777" w:rsidR="004A6408" w:rsidRPr="006A7FD3" w:rsidRDefault="004A6408" w:rsidP="00FC4396">
            <w:pPr>
              <w:pStyle w:val="TableText"/>
              <w:jc w:val="both"/>
              <w:rPr>
                <w:b/>
                <w:szCs w:val="20"/>
              </w:rPr>
            </w:pPr>
            <w:r w:rsidRPr="006A7FD3">
              <w:rPr>
                <w:b/>
                <w:szCs w:val="20"/>
              </w:rPr>
              <w:t>CC</w:t>
            </w:r>
          </w:p>
        </w:tc>
        <w:tc>
          <w:tcPr>
            <w:tcW w:w="677" w:type="dxa"/>
            <w:shd w:val="clear" w:color="auto" w:fill="B3B3B3"/>
          </w:tcPr>
          <w:p w14:paraId="20FAB870" w14:textId="77777777" w:rsidR="004A6408" w:rsidRPr="006A7FD3" w:rsidRDefault="004A6408" w:rsidP="00FC4396">
            <w:pPr>
              <w:pStyle w:val="TableText"/>
              <w:jc w:val="both"/>
              <w:rPr>
                <w:b/>
                <w:szCs w:val="20"/>
              </w:rPr>
            </w:pPr>
            <w:r w:rsidRPr="006A7FD3">
              <w:rPr>
                <w:b/>
                <w:szCs w:val="20"/>
              </w:rPr>
              <w:t>RT/IS</w:t>
            </w:r>
          </w:p>
        </w:tc>
        <w:tc>
          <w:tcPr>
            <w:tcW w:w="637" w:type="dxa"/>
            <w:shd w:val="clear" w:color="auto" w:fill="B3B3B3"/>
          </w:tcPr>
          <w:p w14:paraId="4D825510" w14:textId="77777777" w:rsidR="004A6408" w:rsidRPr="006A7FD3" w:rsidRDefault="004A6408" w:rsidP="00FC4396">
            <w:pPr>
              <w:pStyle w:val="TableText"/>
              <w:jc w:val="both"/>
              <w:rPr>
                <w:b/>
                <w:szCs w:val="20"/>
              </w:rPr>
            </w:pPr>
            <w:r w:rsidRPr="006A7FD3">
              <w:rPr>
                <w:b/>
                <w:szCs w:val="20"/>
              </w:rPr>
              <w:t>37</w:t>
            </w:r>
            <w:r w:rsidRPr="006A7FD3">
              <w:rPr>
                <w:rFonts w:cs="Arial"/>
                <w:b/>
                <w:szCs w:val="20"/>
              </w:rPr>
              <w:t>°</w:t>
            </w:r>
          </w:p>
        </w:tc>
        <w:tc>
          <w:tcPr>
            <w:tcW w:w="646" w:type="dxa"/>
            <w:shd w:val="clear" w:color="auto" w:fill="B3B3B3"/>
          </w:tcPr>
          <w:p w14:paraId="1C061F61" w14:textId="77777777" w:rsidR="004A6408" w:rsidRPr="006A7FD3" w:rsidRDefault="004A6408" w:rsidP="00FC4396">
            <w:pPr>
              <w:pStyle w:val="TableText"/>
              <w:jc w:val="both"/>
              <w:rPr>
                <w:b/>
                <w:szCs w:val="20"/>
              </w:rPr>
            </w:pPr>
            <w:r w:rsidRPr="006A7FD3">
              <w:rPr>
                <w:b/>
                <w:szCs w:val="20"/>
              </w:rPr>
              <w:t>AHG</w:t>
            </w:r>
          </w:p>
        </w:tc>
        <w:tc>
          <w:tcPr>
            <w:tcW w:w="637" w:type="dxa"/>
            <w:shd w:val="clear" w:color="auto" w:fill="B3B3B3"/>
          </w:tcPr>
          <w:p w14:paraId="31EE9A8A" w14:textId="77777777" w:rsidR="004A6408" w:rsidRPr="006A7FD3" w:rsidRDefault="004A6408" w:rsidP="00FC4396">
            <w:pPr>
              <w:pStyle w:val="TableText"/>
              <w:jc w:val="both"/>
              <w:rPr>
                <w:b/>
                <w:szCs w:val="20"/>
              </w:rPr>
            </w:pPr>
            <w:r w:rsidRPr="006A7FD3">
              <w:rPr>
                <w:b/>
                <w:szCs w:val="20"/>
              </w:rPr>
              <w:t>CC</w:t>
            </w:r>
          </w:p>
        </w:tc>
        <w:tc>
          <w:tcPr>
            <w:tcW w:w="677" w:type="dxa"/>
            <w:shd w:val="clear" w:color="auto" w:fill="B3B3B3"/>
          </w:tcPr>
          <w:p w14:paraId="29AB72DB" w14:textId="77777777" w:rsidR="004A6408" w:rsidRPr="006A7FD3" w:rsidRDefault="004A6408" w:rsidP="00FC4396">
            <w:pPr>
              <w:pStyle w:val="TableText"/>
              <w:jc w:val="both"/>
              <w:rPr>
                <w:b/>
                <w:szCs w:val="20"/>
              </w:rPr>
            </w:pPr>
            <w:r w:rsidRPr="006A7FD3">
              <w:rPr>
                <w:b/>
                <w:szCs w:val="20"/>
              </w:rPr>
              <w:t>RT/IS</w:t>
            </w:r>
          </w:p>
        </w:tc>
        <w:tc>
          <w:tcPr>
            <w:tcW w:w="637" w:type="dxa"/>
            <w:shd w:val="clear" w:color="auto" w:fill="B3B3B3"/>
          </w:tcPr>
          <w:p w14:paraId="3162036B" w14:textId="77777777" w:rsidR="004A6408" w:rsidRPr="006A7FD3" w:rsidRDefault="004A6408" w:rsidP="00FC4396">
            <w:pPr>
              <w:pStyle w:val="TableText"/>
              <w:jc w:val="both"/>
              <w:rPr>
                <w:b/>
                <w:szCs w:val="20"/>
              </w:rPr>
            </w:pPr>
            <w:r w:rsidRPr="006A7FD3">
              <w:rPr>
                <w:b/>
                <w:szCs w:val="20"/>
              </w:rPr>
              <w:t>37</w:t>
            </w:r>
            <w:r w:rsidRPr="006A7FD3">
              <w:rPr>
                <w:rFonts w:cs="Arial"/>
                <w:b/>
                <w:szCs w:val="20"/>
              </w:rPr>
              <w:t>°</w:t>
            </w:r>
          </w:p>
        </w:tc>
        <w:tc>
          <w:tcPr>
            <w:tcW w:w="646" w:type="dxa"/>
            <w:shd w:val="clear" w:color="auto" w:fill="B3B3B3"/>
          </w:tcPr>
          <w:p w14:paraId="1829DAC4" w14:textId="77777777" w:rsidR="004A6408" w:rsidRPr="006A7FD3" w:rsidRDefault="004A6408" w:rsidP="00FC4396">
            <w:pPr>
              <w:pStyle w:val="TableText"/>
              <w:jc w:val="both"/>
              <w:rPr>
                <w:b/>
                <w:szCs w:val="20"/>
              </w:rPr>
            </w:pPr>
            <w:r w:rsidRPr="006A7FD3">
              <w:rPr>
                <w:b/>
                <w:szCs w:val="20"/>
              </w:rPr>
              <w:t>AHG</w:t>
            </w:r>
          </w:p>
        </w:tc>
        <w:tc>
          <w:tcPr>
            <w:tcW w:w="635" w:type="dxa"/>
            <w:tcBorders>
              <w:right w:val="single" w:sz="2" w:space="0" w:color="auto"/>
            </w:tcBorders>
            <w:shd w:val="clear" w:color="auto" w:fill="B3B3B3"/>
          </w:tcPr>
          <w:p w14:paraId="18BA6234" w14:textId="77777777" w:rsidR="004A6408" w:rsidRPr="006A7FD3" w:rsidRDefault="004A6408" w:rsidP="00FC4396">
            <w:pPr>
              <w:pStyle w:val="TableText"/>
              <w:jc w:val="both"/>
              <w:rPr>
                <w:b/>
                <w:szCs w:val="20"/>
              </w:rPr>
            </w:pPr>
            <w:r w:rsidRPr="006A7FD3">
              <w:rPr>
                <w:b/>
                <w:szCs w:val="20"/>
              </w:rPr>
              <w:t>CC</w:t>
            </w:r>
          </w:p>
        </w:tc>
        <w:tc>
          <w:tcPr>
            <w:tcW w:w="2396" w:type="dxa"/>
            <w:vMerge/>
            <w:tcBorders>
              <w:left w:val="single" w:sz="2" w:space="0" w:color="auto"/>
              <w:right w:val="single" w:sz="2" w:space="0" w:color="auto"/>
            </w:tcBorders>
          </w:tcPr>
          <w:p w14:paraId="415625EE" w14:textId="77777777" w:rsidR="004A6408" w:rsidRPr="006A7FD3" w:rsidRDefault="004A6408" w:rsidP="00FC4396">
            <w:pPr>
              <w:pStyle w:val="TableText"/>
              <w:jc w:val="both"/>
              <w:rPr>
                <w:b/>
                <w:szCs w:val="20"/>
              </w:rPr>
            </w:pPr>
          </w:p>
        </w:tc>
      </w:tr>
      <w:tr w:rsidR="004A6408" w14:paraId="172CE6F9" w14:textId="77777777">
        <w:tblPrEx>
          <w:shd w:val="clear" w:color="auto" w:fill="auto"/>
        </w:tblPrEx>
        <w:trPr>
          <w:cantSplit/>
          <w:trHeight w:val="432"/>
        </w:trPr>
        <w:tc>
          <w:tcPr>
            <w:tcW w:w="743" w:type="dxa"/>
            <w:noWrap/>
          </w:tcPr>
          <w:p w14:paraId="2E55F2E4" w14:textId="77777777" w:rsidR="004A6408" w:rsidRDefault="004A6408" w:rsidP="00A95965">
            <w:pPr>
              <w:pStyle w:val="TableText"/>
              <w:rPr>
                <w:szCs w:val="20"/>
              </w:rPr>
            </w:pPr>
          </w:p>
        </w:tc>
        <w:tc>
          <w:tcPr>
            <w:tcW w:w="638" w:type="dxa"/>
          </w:tcPr>
          <w:p w14:paraId="3253DA23" w14:textId="77777777" w:rsidR="004A6408" w:rsidRDefault="004A6408" w:rsidP="00A95965">
            <w:pPr>
              <w:pStyle w:val="TableText"/>
              <w:rPr>
                <w:szCs w:val="20"/>
              </w:rPr>
            </w:pPr>
          </w:p>
        </w:tc>
        <w:tc>
          <w:tcPr>
            <w:tcW w:w="683" w:type="dxa"/>
          </w:tcPr>
          <w:p w14:paraId="55E44B3A" w14:textId="77777777" w:rsidR="004A6408" w:rsidRDefault="004A6408" w:rsidP="00A95965">
            <w:pPr>
              <w:pStyle w:val="TableText"/>
              <w:rPr>
                <w:szCs w:val="20"/>
              </w:rPr>
            </w:pPr>
          </w:p>
        </w:tc>
        <w:tc>
          <w:tcPr>
            <w:tcW w:w="640" w:type="dxa"/>
          </w:tcPr>
          <w:p w14:paraId="3226DA18" w14:textId="77777777" w:rsidR="004A6408" w:rsidRDefault="004A6408" w:rsidP="00A95965">
            <w:pPr>
              <w:pStyle w:val="TableText"/>
              <w:rPr>
                <w:szCs w:val="20"/>
              </w:rPr>
            </w:pPr>
          </w:p>
        </w:tc>
        <w:tc>
          <w:tcPr>
            <w:tcW w:w="678" w:type="dxa"/>
          </w:tcPr>
          <w:p w14:paraId="1789A563" w14:textId="77777777" w:rsidR="004A6408" w:rsidRDefault="004A6408" w:rsidP="00A95965">
            <w:pPr>
              <w:pStyle w:val="TableText"/>
              <w:rPr>
                <w:szCs w:val="20"/>
              </w:rPr>
            </w:pPr>
          </w:p>
        </w:tc>
        <w:tc>
          <w:tcPr>
            <w:tcW w:w="637" w:type="dxa"/>
          </w:tcPr>
          <w:p w14:paraId="169A7234" w14:textId="77777777" w:rsidR="004A6408" w:rsidRDefault="004A6408" w:rsidP="00A95965">
            <w:pPr>
              <w:pStyle w:val="TableText"/>
              <w:rPr>
                <w:szCs w:val="20"/>
              </w:rPr>
            </w:pPr>
          </w:p>
        </w:tc>
        <w:tc>
          <w:tcPr>
            <w:tcW w:w="646" w:type="dxa"/>
          </w:tcPr>
          <w:p w14:paraId="3E1BE0F3" w14:textId="77777777" w:rsidR="004A6408" w:rsidRDefault="004A6408" w:rsidP="00A95965">
            <w:pPr>
              <w:pStyle w:val="TableText"/>
              <w:rPr>
                <w:szCs w:val="20"/>
              </w:rPr>
            </w:pPr>
          </w:p>
        </w:tc>
        <w:tc>
          <w:tcPr>
            <w:tcW w:w="635" w:type="dxa"/>
          </w:tcPr>
          <w:p w14:paraId="4E919C9F" w14:textId="77777777" w:rsidR="004A6408" w:rsidRDefault="004A6408" w:rsidP="00A95965">
            <w:pPr>
              <w:pStyle w:val="TableText"/>
              <w:rPr>
                <w:szCs w:val="20"/>
              </w:rPr>
            </w:pPr>
          </w:p>
        </w:tc>
        <w:tc>
          <w:tcPr>
            <w:tcW w:w="677" w:type="dxa"/>
          </w:tcPr>
          <w:p w14:paraId="43327181" w14:textId="77777777" w:rsidR="004A6408" w:rsidRDefault="004A6408" w:rsidP="00A95965">
            <w:pPr>
              <w:pStyle w:val="TableText"/>
              <w:rPr>
                <w:szCs w:val="20"/>
              </w:rPr>
            </w:pPr>
          </w:p>
        </w:tc>
        <w:tc>
          <w:tcPr>
            <w:tcW w:w="637" w:type="dxa"/>
          </w:tcPr>
          <w:p w14:paraId="0139315E" w14:textId="77777777" w:rsidR="004A6408" w:rsidRDefault="004A6408" w:rsidP="00A95965">
            <w:pPr>
              <w:pStyle w:val="TableText"/>
              <w:rPr>
                <w:szCs w:val="20"/>
              </w:rPr>
            </w:pPr>
          </w:p>
        </w:tc>
        <w:tc>
          <w:tcPr>
            <w:tcW w:w="646" w:type="dxa"/>
          </w:tcPr>
          <w:p w14:paraId="0A278BEA" w14:textId="77777777" w:rsidR="004A6408" w:rsidRDefault="004A6408" w:rsidP="00A95965">
            <w:pPr>
              <w:pStyle w:val="TableText"/>
              <w:rPr>
                <w:szCs w:val="20"/>
              </w:rPr>
            </w:pPr>
          </w:p>
        </w:tc>
        <w:tc>
          <w:tcPr>
            <w:tcW w:w="637" w:type="dxa"/>
          </w:tcPr>
          <w:p w14:paraId="2A2F3C4B" w14:textId="77777777" w:rsidR="004A6408" w:rsidRDefault="004A6408" w:rsidP="00A95965">
            <w:pPr>
              <w:pStyle w:val="TableText"/>
              <w:rPr>
                <w:szCs w:val="20"/>
              </w:rPr>
            </w:pPr>
          </w:p>
        </w:tc>
        <w:tc>
          <w:tcPr>
            <w:tcW w:w="677" w:type="dxa"/>
          </w:tcPr>
          <w:p w14:paraId="7128D5A2" w14:textId="77777777" w:rsidR="004A6408" w:rsidRDefault="004A6408" w:rsidP="00A95965">
            <w:pPr>
              <w:pStyle w:val="TableText"/>
              <w:rPr>
                <w:szCs w:val="20"/>
              </w:rPr>
            </w:pPr>
          </w:p>
        </w:tc>
        <w:tc>
          <w:tcPr>
            <w:tcW w:w="637" w:type="dxa"/>
          </w:tcPr>
          <w:p w14:paraId="46989BE1" w14:textId="77777777" w:rsidR="004A6408" w:rsidRDefault="004A6408" w:rsidP="00A95965">
            <w:pPr>
              <w:pStyle w:val="TableText"/>
              <w:rPr>
                <w:szCs w:val="20"/>
              </w:rPr>
            </w:pPr>
          </w:p>
        </w:tc>
        <w:tc>
          <w:tcPr>
            <w:tcW w:w="646" w:type="dxa"/>
          </w:tcPr>
          <w:p w14:paraId="67A0D7E2" w14:textId="77777777" w:rsidR="004A6408" w:rsidRDefault="004A6408" w:rsidP="00A95965">
            <w:pPr>
              <w:pStyle w:val="TableText"/>
              <w:rPr>
                <w:szCs w:val="20"/>
              </w:rPr>
            </w:pPr>
          </w:p>
        </w:tc>
        <w:tc>
          <w:tcPr>
            <w:tcW w:w="635" w:type="dxa"/>
          </w:tcPr>
          <w:p w14:paraId="2086EE71" w14:textId="77777777" w:rsidR="004A6408" w:rsidRDefault="004A6408" w:rsidP="00A95965">
            <w:pPr>
              <w:pStyle w:val="TableText"/>
              <w:rPr>
                <w:szCs w:val="20"/>
              </w:rPr>
            </w:pPr>
          </w:p>
        </w:tc>
        <w:tc>
          <w:tcPr>
            <w:tcW w:w="2396" w:type="dxa"/>
          </w:tcPr>
          <w:p w14:paraId="737629C2" w14:textId="77777777" w:rsidR="004A6408" w:rsidRDefault="004A6408" w:rsidP="00A95965">
            <w:pPr>
              <w:pStyle w:val="TableText"/>
              <w:rPr>
                <w:szCs w:val="20"/>
              </w:rPr>
            </w:pPr>
          </w:p>
        </w:tc>
      </w:tr>
      <w:tr w:rsidR="004A6408" w14:paraId="67711F5F" w14:textId="77777777">
        <w:tblPrEx>
          <w:shd w:val="clear" w:color="auto" w:fill="auto"/>
        </w:tblPrEx>
        <w:trPr>
          <w:cantSplit/>
          <w:trHeight w:val="432"/>
        </w:trPr>
        <w:tc>
          <w:tcPr>
            <w:tcW w:w="743" w:type="dxa"/>
            <w:noWrap/>
          </w:tcPr>
          <w:p w14:paraId="30A59CB9" w14:textId="77777777" w:rsidR="004A6408" w:rsidRDefault="004A6408" w:rsidP="00A95965">
            <w:pPr>
              <w:pStyle w:val="TableText"/>
              <w:rPr>
                <w:szCs w:val="20"/>
              </w:rPr>
            </w:pPr>
          </w:p>
        </w:tc>
        <w:tc>
          <w:tcPr>
            <w:tcW w:w="638" w:type="dxa"/>
          </w:tcPr>
          <w:p w14:paraId="5C7A3CDF" w14:textId="77777777" w:rsidR="004A6408" w:rsidRDefault="004A6408" w:rsidP="00A95965">
            <w:pPr>
              <w:pStyle w:val="TableText"/>
              <w:rPr>
                <w:szCs w:val="20"/>
              </w:rPr>
            </w:pPr>
          </w:p>
        </w:tc>
        <w:tc>
          <w:tcPr>
            <w:tcW w:w="683" w:type="dxa"/>
          </w:tcPr>
          <w:p w14:paraId="587E24C8" w14:textId="77777777" w:rsidR="004A6408" w:rsidRDefault="004A6408" w:rsidP="00A95965">
            <w:pPr>
              <w:pStyle w:val="TableText"/>
              <w:rPr>
                <w:szCs w:val="20"/>
              </w:rPr>
            </w:pPr>
          </w:p>
        </w:tc>
        <w:tc>
          <w:tcPr>
            <w:tcW w:w="640" w:type="dxa"/>
          </w:tcPr>
          <w:p w14:paraId="7A55EA77" w14:textId="77777777" w:rsidR="004A6408" w:rsidRDefault="004A6408" w:rsidP="00A95965">
            <w:pPr>
              <w:pStyle w:val="TableText"/>
              <w:rPr>
                <w:szCs w:val="20"/>
              </w:rPr>
            </w:pPr>
          </w:p>
        </w:tc>
        <w:tc>
          <w:tcPr>
            <w:tcW w:w="678" w:type="dxa"/>
          </w:tcPr>
          <w:p w14:paraId="4D10C0F4" w14:textId="77777777" w:rsidR="004A6408" w:rsidRDefault="004A6408" w:rsidP="00A95965">
            <w:pPr>
              <w:pStyle w:val="TableText"/>
              <w:rPr>
                <w:szCs w:val="20"/>
              </w:rPr>
            </w:pPr>
          </w:p>
        </w:tc>
        <w:tc>
          <w:tcPr>
            <w:tcW w:w="637" w:type="dxa"/>
          </w:tcPr>
          <w:p w14:paraId="16C735DF" w14:textId="77777777" w:rsidR="004A6408" w:rsidRDefault="004A6408" w:rsidP="00A95965">
            <w:pPr>
              <w:pStyle w:val="TableText"/>
              <w:rPr>
                <w:szCs w:val="20"/>
              </w:rPr>
            </w:pPr>
          </w:p>
        </w:tc>
        <w:tc>
          <w:tcPr>
            <w:tcW w:w="646" w:type="dxa"/>
          </w:tcPr>
          <w:p w14:paraId="736A6EB2" w14:textId="77777777" w:rsidR="004A6408" w:rsidRDefault="004A6408" w:rsidP="00A95965">
            <w:pPr>
              <w:pStyle w:val="TableText"/>
              <w:rPr>
                <w:szCs w:val="20"/>
              </w:rPr>
            </w:pPr>
          </w:p>
        </w:tc>
        <w:tc>
          <w:tcPr>
            <w:tcW w:w="635" w:type="dxa"/>
          </w:tcPr>
          <w:p w14:paraId="552595D4" w14:textId="77777777" w:rsidR="004A6408" w:rsidRDefault="004A6408" w:rsidP="00A95965">
            <w:pPr>
              <w:pStyle w:val="TableText"/>
              <w:rPr>
                <w:szCs w:val="20"/>
              </w:rPr>
            </w:pPr>
          </w:p>
        </w:tc>
        <w:tc>
          <w:tcPr>
            <w:tcW w:w="677" w:type="dxa"/>
          </w:tcPr>
          <w:p w14:paraId="1DF1C6E6" w14:textId="77777777" w:rsidR="004A6408" w:rsidRDefault="004A6408" w:rsidP="00A95965">
            <w:pPr>
              <w:pStyle w:val="TableText"/>
              <w:rPr>
                <w:szCs w:val="20"/>
              </w:rPr>
            </w:pPr>
          </w:p>
        </w:tc>
        <w:tc>
          <w:tcPr>
            <w:tcW w:w="637" w:type="dxa"/>
          </w:tcPr>
          <w:p w14:paraId="5F683A12" w14:textId="77777777" w:rsidR="004A6408" w:rsidRDefault="004A6408" w:rsidP="00A95965">
            <w:pPr>
              <w:pStyle w:val="TableText"/>
              <w:rPr>
                <w:szCs w:val="20"/>
              </w:rPr>
            </w:pPr>
          </w:p>
        </w:tc>
        <w:tc>
          <w:tcPr>
            <w:tcW w:w="646" w:type="dxa"/>
          </w:tcPr>
          <w:p w14:paraId="3C88C08C" w14:textId="77777777" w:rsidR="004A6408" w:rsidRDefault="004A6408" w:rsidP="00A95965">
            <w:pPr>
              <w:pStyle w:val="TableText"/>
              <w:rPr>
                <w:szCs w:val="20"/>
              </w:rPr>
            </w:pPr>
          </w:p>
        </w:tc>
        <w:tc>
          <w:tcPr>
            <w:tcW w:w="637" w:type="dxa"/>
          </w:tcPr>
          <w:p w14:paraId="654F85F0" w14:textId="77777777" w:rsidR="004A6408" w:rsidRDefault="004A6408" w:rsidP="00A95965">
            <w:pPr>
              <w:pStyle w:val="TableText"/>
              <w:rPr>
                <w:szCs w:val="20"/>
              </w:rPr>
            </w:pPr>
          </w:p>
        </w:tc>
        <w:tc>
          <w:tcPr>
            <w:tcW w:w="677" w:type="dxa"/>
          </w:tcPr>
          <w:p w14:paraId="36D2222D" w14:textId="77777777" w:rsidR="004A6408" w:rsidRDefault="004A6408" w:rsidP="00A95965">
            <w:pPr>
              <w:pStyle w:val="TableText"/>
              <w:rPr>
                <w:szCs w:val="20"/>
              </w:rPr>
            </w:pPr>
          </w:p>
        </w:tc>
        <w:tc>
          <w:tcPr>
            <w:tcW w:w="637" w:type="dxa"/>
          </w:tcPr>
          <w:p w14:paraId="3675F7F5" w14:textId="77777777" w:rsidR="004A6408" w:rsidRDefault="004A6408" w:rsidP="00A95965">
            <w:pPr>
              <w:pStyle w:val="TableText"/>
              <w:rPr>
                <w:szCs w:val="20"/>
              </w:rPr>
            </w:pPr>
          </w:p>
        </w:tc>
        <w:tc>
          <w:tcPr>
            <w:tcW w:w="646" w:type="dxa"/>
          </w:tcPr>
          <w:p w14:paraId="66B64326" w14:textId="77777777" w:rsidR="004A6408" w:rsidRDefault="004A6408" w:rsidP="00A95965">
            <w:pPr>
              <w:pStyle w:val="TableText"/>
              <w:rPr>
                <w:szCs w:val="20"/>
              </w:rPr>
            </w:pPr>
          </w:p>
        </w:tc>
        <w:tc>
          <w:tcPr>
            <w:tcW w:w="635" w:type="dxa"/>
          </w:tcPr>
          <w:p w14:paraId="793AFE24" w14:textId="77777777" w:rsidR="004A6408" w:rsidRDefault="004A6408" w:rsidP="00A95965">
            <w:pPr>
              <w:pStyle w:val="TableText"/>
              <w:rPr>
                <w:szCs w:val="20"/>
              </w:rPr>
            </w:pPr>
          </w:p>
        </w:tc>
        <w:tc>
          <w:tcPr>
            <w:tcW w:w="2396" w:type="dxa"/>
          </w:tcPr>
          <w:p w14:paraId="67349626" w14:textId="77777777" w:rsidR="004A6408" w:rsidRDefault="004A6408" w:rsidP="00A95965">
            <w:pPr>
              <w:pStyle w:val="TableText"/>
              <w:rPr>
                <w:szCs w:val="20"/>
              </w:rPr>
            </w:pPr>
          </w:p>
        </w:tc>
      </w:tr>
      <w:tr w:rsidR="004A6408" w14:paraId="5892E4B7" w14:textId="77777777">
        <w:tblPrEx>
          <w:shd w:val="clear" w:color="auto" w:fill="auto"/>
        </w:tblPrEx>
        <w:trPr>
          <w:cantSplit/>
          <w:trHeight w:val="432"/>
        </w:trPr>
        <w:tc>
          <w:tcPr>
            <w:tcW w:w="12888" w:type="dxa"/>
            <w:gridSpan w:val="17"/>
            <w:noWrap/>
          </w:tcPr>
          <w:p w14:paraId="79CD6B1B" w14:textId="77777777" w:rsidR="004A6408" w:rsidRPr="00AC5C64" w:rsidRDefault="004A6408" w:rsidP="00A95965">
            <w:pPr>
              <w:pStyle w:val="TableText"/>
              <w:rPr>
                <w:b/>
                <w:szCs w:val="20"/>
              </w:rPr>
            </w:pPr>
            <w:r>
              <w:rPr>
                <w:b/>
                <w:szCs w:val="20"/>
              </w:rPr>
              <w:t>Comments:</w:t>
            </w:r>
          </w:p>
        </w:tc>
      </w:tr>
    </w:tbl>
    <w:p w14:paraId="165D2EB4" w14:textId="77777777" w:rsidR="003F3F74" w:rsidRDefault="003F3F74" w:rsidP="00DD75E5">
      <w:pPr>
        <w:pStyle w:val="BodyText"/>
      </w:pPr>
    </w:p>
    <w:tbl>
      <w:tblPr>
        <w:tblW w:w="1296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
      <w:tblGrid>
        <w:gridCol w:w="3402"/>
        <w:gridCol w:w="19"/>
        <w:gridCol w:w="969"/>
        <w:gridCol w:w="970"/>
        <w:gridCol w:w="970"/>
        <w:gridCol w:w="971"/>
        <w:gridCol w:w="970"/>
        <w:gridCol w:w="970"/>
        <w:gridCol w:w="21"/>
        <w:gridCol w:w="1938"/>
        <w:gridCol w:w="1760"/>
      </w:tblGrid>
      <w:tr w:rsidR="004A6408" w14:paraId="1344A179" w14:textId="77777777">
        <w:trPr>
          <w:cantSplit/>
          <w:trHeight w:val="230"/>
        </w:trPr>
        <w:tc>
          <w:tcPr>
            <w:tcW w:w="3402" w:type="dxa"/>
            <w:shd w:val="clear" w:color="auto" w:fill="B3B3B3"/>
            <w:noWrap/>
          </w:tcPr>
          <w:p w14:paraId="0FD56A4A" w14:textId="77777777" w:rsidR="004A6408" w:rsidRPr="00AC5C64" w:rsidRDefault="004A6408" w:rsidP="00A95965">
            <w:pPr>
              <w:pStyle w:val="TableText"/>
              <w:rPr>
                <w:b/>
                <w:szCs w:val="20"/>
              </w:rPr>
            </w:pPr>
            <w:r>
              <w:rPr>
                <w:b/>
                <w:szCs w:val="20"/>
              </w:rPr>
              <w:t>Patient Name</w:t>
            </w:r>
          </w:p>
        </w:tc>
        <w:tc>
          <w:tcPr>
            <w:tcW w:w="3899" w:type="dxa"/>
            <w:gridSpan w:val="5"/>
            <w:shd w:val="clear" w:color="auto" w:fill="B3B3B3"/>
          </w:tcPr>
          <w:p w14:paraId="095B4385" w14:textId="77777777" w:rsidR="004A6408" w:rsidRPr="00AC5C64" w:rsidRDefault="004A6408" w:rsidP="00A95965">
            <w:pPr>
              <w:pStyle w:val="TableText"/>
              <w:rPr>
                <w:b/>
                <w:szCs w:val="20"/>
              </w:rPr>
            </w:pPr>
            <w:r>
              <w:rPr>
                <w:b/>
                <w:szCs w:val="20"/>
              </w:rPr>
              <w:t>Patient Identification Number</w:t>
            </w:r>
          </w:p>
        </w:tc>
        <w:tc>
          <w:tcPr>
            <w:tcW w:w="1961" w:type="dxa"/>
            <w:gridSpan w:val="3"/>
            <w:shd w:val="clear" w:color="auto" w:fill="B3B3B3"/>
          </w:tcPr>
          <w:p w14:paraId="0D3A065C" w14:textId="77777777" w:rsidR="004A6408" w:rsidRPr="00AC5C64" w:rsidRDefault="004A6408" w:rsidP="00A95965">
            <w:pPr>
              <w:pStyle w:val="TableText"/>
              <w:rPr>
                <w:b/>
                <w:szCs w:val="20"/>
              </w:rPr>
            </w:pPr>
            <w:r>
              <w:rPr>
                <w:b/>
                <w:szCs w:val="20"/>
              </w:rPr>
              <w:t>Location</w:t>
            </w:r>
          </w:p>
        </w:tc>
        <w:tc>
          <w:tcPr>
            <w:tcW w:w="3698" w:type="dxa"/>
            <w:gridSpan w:val="2"/>
            <w:shd w:val="clear" w:color="auto" w:fill="B3B3B3"/>
          </w:tcPr>
          <w:p w14:paraId="06129E04" w14:textId="77777777" w:rsidR="004A6408" w:rsidRPr="00AC5C64" w:rsidRDefault="004A6408" w:rsidP="00A95965">
            <w:pPr>
              <w:pStyle w:val="TableText"/>
              <w:rPr>
                <w:b/>
                <w:szCs w:val="20"/>
              </w:rPr>
            </w:pPr>
            <w:r>
              <w:rPr>
                <w:b/>
                <w:szCs w:val="20"/>
              </w:rPr>
              <w:t>Specimen UID</w:t>
            </w:r>
          </w:p>
        </w:tc>
      </w:tr>
      <w:tr w:rsidR="004A6408" w14:paraId="4E105E03" w14:textId="77777777">
        <w:trPr>
          <w:cantSplit/>
          <w:trHeight w:val="432"/>
        </w:trPr>
        <w:tc>
          <w:tcPr>
            <w:tcW w:w="3402" w:type="dxa"/>
            <w:noWrap/>
          </w:tcPr>
          <w:p w14:paraId="4AF36444" w14:textId="77777777" w:rsidR="004A6408" w:rsidRDefault="004A6408" w:rsidP="00A95965">
            <w:pPr>
              <w:pStyle w:val="TableText"/>
              <w:rPr>
                <w:szCs w:val="20"/>
              </w:rPr>
            </w:pPr>
          </w:p>
        </w:tc>
        <w:tc>
          <w:tcPr>
            <w:tcW w:w="3899" w:type="dxa"/>
            <w:gridSpan w:val="5"/>
          </w:tcPr>
          <w:p w14:paraId="765A5F37" w14:textId="77777777" w:rsidR="004A6408" w:rsidRDefault="004A6408" w:rsidP="00A95965">
            <w:pPr>
              <w:pStyle w:val="TableText"/>
              <w:rPr>
                <w:szCs w:val="20"/>
              </w:rPr>
            </w:pPr>
          </w:p>
        </w:tc>
        <w:tc>
          <w:tcPr>
            <w:tcW w:w="1961" w:type="dxa"/>
            <w:gridSpan w:val="3"/>
          </w:tcPr>
          <w:p w14:paraId="0403AB02" w14:textId="77777777" w:rsidR="004A6408" w:rsidRDefault="004A6408" w:rsidP="00A95965">
            <w:pPr>
              <w:pStyle w:val="TableText"/>
              <w:rPr>
                <w:szCs w:val="20"/>
              </w:rPr>
            </w:pPr>
          </w:p>
        </w:tc>
        <w:tc>
          <w:tcPr>
            <w:tcW w:w="3698" w:type="dxa"/>
            <w:gridSpan w:val="2"/>
          </w:tcPr>
          <w:p w14:paraId="1BC4201B" w14:textId="77777777" w:rsidR="004A6408" w:rsidRDefault="004A6408" w:rsidP="00A95965">
            <w:pPr>
              <w:pStyle w:val="TableText"/>
              <w:rPr>
                <w:szCs w:val="20"/>
              </w:rPr>
            </w:pPr>
          </w:p>
        </w:tc>
      </w:tr>
      <w:tr w:rsidR="004A6408" w14:paraId="68D23A0C" w14:textId="77777777">
        <w:trPr>
          <w:cantSplit/>
          <w:trHeight w:val="230"/>
          <w:tblHeader/>
        </w:trPr>
        <w:tc>
          <w:tcPr>
            <w:tcW w:w="12960" w:type="dxa"/>
            <w:gridSpan w:val="11"/>
            <w:shd w:val="clear" w:color="auto" w:fill="B3B3B3"/>
            <w:noWrap/>
          </w:tcPr>
          <w:p w14:paraId="64F36763" w14:textId="77777777" w:rsidR="004A6408" w:rsidRPr="00035A4D" w:rsidRDefault="004A6408" w:rsidP="00FC4396">
            <w:pPr>
              <w:pStyle w:val="TableText"/>
              <w:rPr>
                <w:b/>
                <w:szCs w:val="20"/>
              </w:rPr>
            </w:pPr>
            <w:r>
              <w:rPr>
                <w:b/>
                <w:szCs w:val="20"/>
              </w:rPr>
              <w:t>Compatibility Testing</w:t>
            </w:r>
          </w:p>
        </w:tc>
      </w:tr>
      <w:tr w:rsidR="006304EB" w14:paraId="5135CEE4" w14:textId="77777777">
        <w:trPr>
          <w:cantSplit/>
          <w:trHeight w:val="230"/>
          <w:tblHeader/>
        </w:trPr>
        <w:tc>
          <w:tcPr>
            <w:tcW w:w="3421" w:type="dxa"/>
            <w:gridSpan w:val="2"/>
            <w:shd w:val="clear" w:color="auto" w:fill="B3B3B3"/>
            <w:noWrap/>
          </w:tcPr>
          <w:p w14:paraId="6409CC94" w14:textId="77777777" w:rsidR="006304EB" w:rsidRPr="00035A4D" w:rsidRDefault="006304EB" w:rsidP="00FC4396">
            <w:pPr>
              <w:pStyle w:val="TableText"/>
              <w:rPr>
                <w:b/>
                <w:szCs w:val="20"/>
              </w:rPr>
            </w:pPr>
            <w:r w:rsidRPr="00035A4D">
              <w:rPr>
                <w:b/>
                <w:szCs w:val="20"/>
              </w:rPr>
              <w:t>Unit Identification Number</w:t>
            </w:r>
          </w:p>
        </w:tc>
        <w:tc>
          <w:tcPr>
            <w:tcW w:w="969" w:type="dxa"/>
            <w:shd w:val="clear" w:color="auto" w:fill="B3B3B3"/>
          </w:tcPr>
          <w:p w14:paraId="66FA2B05" w14:textId="77777777" w:rsidR="006304EB" w:rsidRPr="00035A4D" w:rsidRDefault="006304EB" w:rsidP="00FC4396">
            <w:pPr>
              <w:pStyle w:val="TableText"/>
              <w:rPr>
                <w:b/>
                <w:szCs w:val="20"/>
              </w:rPr>
            </w:pPr>
            <w:r>
              <w:rPr>
                <w:b/>
                <w:szCs w:val="20"/>
              </w:rPr>
              <w:t>Product Code</w:t>
            </w:r>
          </w:p>
        </w:tc>
        <w:tc>
          <w:tcPr>
            <w:tcW w:w="970" w:type="dxa"/>
            <w:shd w:val="clear" w:color="auto" w:fill="B3B3B3"/>
          </w:tcPr>
          <w:p w14:paraId="2651562E" w14:textId="77777777" w:rsidR="006304EB" w:rsidRPr="00035A4D" w:rsidRDefault="006304EB" w:rsidP="00FC4396">
            <w:pPr>
              <w:pStyle w:val="TableText"/>
              <w:rPr>
                <w:b/>
                <w:szCs w:val="20"/>
              </w:rPr>
            </w:pPr>
            <w:r w:rsidRPr="00035A4D">
              <w:rPr>
                <w:b/>
                <w:szCs w:val="20"/>
              </w:rPr>
              <w:t>ABO/Rh</w:t>
            </w:r>
          </w:p>
        </w:tc>
        <w:tc>
          <w:tcPr>
            <w:tcW w:w="970" w:type="dxa"/>
            <w:shd w:val="clear" w:color="auto" w:fill="B3B3B3"/>
          </w:tcPr>
          <w:p w14:paraId="1963E3C0" w14:textId="77777777" w:rsidR="006304EB" w:rsidRPr="00035A4D" w:rsidRDefault="006304EB" w:rsidP="00FC4396">
            <w:pPr>
              <w:pStyle w:val="TableText"/>
              <w:rPr>
                <w:b/>
                <w:szCs w:val="20"/>
              </w:rPr>
            </w:pPr>
            <w:r w:rsidRPr="00035A4D">
              <w:rPr>
                <w:b/>
                <w:szCs w:val="20"/>
              </w:rPr>
              <w:t>RT/IS</w:t>
            </w:r>
          </w:p>
        </w:tc>
        <w:tc>
          <w:tcPr>
            <w:tcW w:w="971" w:type="dxa"/>
            <w:shd w:val="clear" w:color="auto" w:fill="B3B3B3"/>
          </w:tcPr>
          <w:p w14:paraId="282509B4" w14:textId="77777777" w:rsidR="006304EB" w:rsidRPr="00035A4D" w:rsidRDefault="006304EB" w:rsidP="00FC4396">
            <w:pPr>
              <w:pStyle w:val="TableText"/>
              <w:rPr>
                <w:b/>
                <w:szCs w:val="20"/>
              </w:rPr>
            </w:pPr>
            <w:r w:rsidRPr="00035A4D">
              <w:rPr>
                <w:b/>
                <w:szCs w:val="20"/>
              </w:rPr>
              <w:t>37</w:t>
            </w:r>
            <w:r w:rsidRPr="00035A4D">
              <w:rPr>
                <w:rFonts w:cs="Arial"/>
                <w:b/>
                <w:szCs w:val="20"/>
              </w:rPr>
              <w:t>°</w:t>
            </w:r>
          </w:p>
        </w:tc>
        <w:tc>
          <w:tcPr>
            <w:tcW w:w="970" w:type="dxa"/>
            <w:shd w:val="clear" w:color="auto" w:fill="B3B3B3"/>
          </w:tcPr>
          <w:p w14:paraId="2FF206C6" w14:textId="77777777" w:rsidR="006304EB" w:rsidRPr="00035A4D" w:rsidRDefault="006304EB" w:rsidP="00FC4396">
            <w:pPr>
              <w:pStyle w:val="TableText"/>
              <w:rPr>
                <w:b/>
                <w:szCs w:val="20"/>
              </w:rPr>
            </w:pPr>
            <w:r w:rsidRPr="00035A4D">
              <w:rPr>
                <w:b/>
                <w:szCs w:val="20"/>
              </w:rPr>
              <w:t>AHG</w:t>
            </w:r>
          </w:p>
        </w:tc>
        <w:tc>
          <w:tcPr>
            <w:tcW w:w="970" w:type="dxa"/>
            <w:shd w:val="clear" w:color="auto" w:fill="B3B3B3"/>
          </w:tcPr>
          <w:p w14:paraId="72FA9F3C" w14:textId="77777777" w:rsidR="006304EB" w:rsidRPr="00035A4D" w:rsidRDefault="006304EB" w:rsidP="00FC4396">
            <w:pPr>
              <w:pStyle w:val="TableText"/>
              <w:rPr>
                <w:b/>
                <w:szCs w:val="20"/>
              </w:rPr>
            </w:pPr>
            <w:r w:rsidRPr="00035A4D">
              <w:rPr>
                <w:b/>
                <w:szCs w:val="20"/>
              </w:rPr>
              <w:t>CC</w:t>
            </w:r>
          </w:p>
        </w:tc>
        <w:tc>
          <w:tcPr>
            <w:tcW w:w="1959" w:type="dxa"/>
            <w:gridSpan w:val="2"/>
            <w:shd w:val="clear" w:color="auto" w:fill="B3B3B3"/>
          </w:tcPr>
          <w:p w14:paraId="13BBC1AD" w14:textId="77777777" w:rsidR="006304EB" w:rsidRPr="00035A4D" w:rsidRDefault="006304EB" w:rsidP="00FC4396">
            <w:pPr>
              <w:pStyle w:val="TableText"/>
              <w:rPr>
                <w:b/>
                <w:szCs w:val="20"/>
              </w:rPr>
            </w:pPr>
            <w:r w:rsidRPr="00035A4D">
              <w:rPr>
                <w:b/>
                <w:szCs w:val="20"/>
              </w:rPr>
              <w:t>Interpretation</w:t>
            </w:r>
          </w:p>
        </w:tc>
        <w:tc>
          <w:tcPr>
            <w:tcW w:w="1760" w:type="dxa"/>
            <w:shd w:val="clear" w:color="auto" w:fill="B3B3B3"/>
          </w:tcPr>
          <w:p w14:paraId="2501CD83" w14:textId="77777777" w:rsidR="006304EB" w:rsidRPr="00035A4D" w:rsidRDefault="006304EB" w:rsidP="00FC4396">
            <w:pPr>
              <w:pStyle w:val="TableText"/>
              <w:rPr>
                <w:b/>
                <w:szCs w:val="20"/>
              </w:rPr>
            </w:pPr>
            <w:r w:rsidRPr="00035A4D">
              <w:rPr>
                <w:b/>
                <w:szCs w:val="20"/>
              </w:rPr>
              <w:t>Tech Name</w:t>
            </w:r>
          </w:p>
        </w:tc>
      </w:tr>
      <w:tr w:rsidR="006304EB" w14:paraId="6E9BC5E0" w14:textId="77777777">
        <w:trPr>
          <w:cantSplit/>
          <w:trHeight w:val="432"/>
        </w:trPr>
        <w:tc>
          <w:tcPr>
            <w:tcW w:w="3421" w:type="dxa"/>
            <w:gridSpan w:val="2"/>
            <w:noWrap/>
          </w:tcPr>
          <w:p w14:paraId="184ED26E" w14:textId="77777777" w:rsidR="006304EB" w:rsidRDefault="006304EB" w:rsidP="00A95965">
            <w:pPr>
              <w:pStyle w:val="TableText"/>
              <w:rPr>
                <w:szCs w:val="20"/>
              </w:rPr>
            </w:pPr>
          </w:p>
        </w:tc>
        <w:tc>
          <w:tcPr>
            <w:tcW w:w="969" w:type="dxa"/>
          </w:tcPr>
          <w:p w14:paraId="22EB7205" w14:textId="77777777" w:rsidR="006304EB" w:rsidRDefault="006304EB" w:rsidP="00A95965">
            <w:pPr>
              <w:pStyle w:val="TableText"/>
              <w:rPr>
                <w:szCs w:val="20"/>
              </w:rPr>
            </w:pPr>
          </w:p>
        </w:tc>
        <w:tc>
          <w:tcPr>
            <w:tcW w:w="970" w:type="dxa"/>
          </w:tcPr>
          <w:p w14:paraId="3D81FC2A" w14:textId="77777777" w:rsidR="006304EB" w:rsidRDefault="006304EB" w:rsidP="00A95965">
            <w:pPr>
              <w:pStyle w:val="TableText"/>
              <w:rPr>
                <w:szCs w:val="20"/>
              </w:rPr>
            </w:pPr>
          </w:p>
        </w:tc>
        <w:tc>
          <w:tcPr>
            <w:tcW w:w="970" w:type="dxa"/>
          </w:tcPr>
          <w:p w14:paraId="3EB3A2A3" w14:textId="77777777" w:rsidR="006304EB" w:rsidRDefault="006304EB" w:rsidP="00A95965">
            <w:pPr>
              <w:pStyle w:val="TableText"/>
              <w:rPr>
                <w:szCs w:val="20"/>
              </w:rPr>
            </w:pPr>
          </w:p>
        </w:tc>
        <w:tc>
          <w:tcPr>
            <w:tcW w:w="971" w:type="dxa"/>
          </w:tcPr>
          <w:p w14:paraId="0C7316B8" w14:textId="77777777" w:rsidR="006304EB" w:rsidRPr="006A7FD3" w:rsidRDefault="006304EB" w:rsidP="00A95965">
            <w:pPr>
              <w:pStyle w:val="TableText"/>
              <w:jc w:val="center"/>
              <w:rPr>
                <w:b/>
                <w:szCs w:val="20"/>
              </w:rPr>
            </w:pPr>
          </w:p>
        </w:tc>
        <w:tc>
          <w:tcPr>
            <w:tcW w:w="970" w:type="dxa"/>
          </w:tcPr>
          <w:p w14:paraId="363B399B" w14:textId="77777777" w:rsidR="006304EB" w:rsidRPr="006A7FD3" w:rsidRDefault="006304EB" w:rsidP="00A95965">
            <w:pPr>
              <w:pStyle w:val="TableText"/>
              <w:jc w:val="center"/>
              <w:rPr>
                <w:b/>
                <w:szCs w:val="20"/>
              </w:rPr>
            </w:pPr>
          </w:p>
        </w:tc>
        <w:tc>
          <w:tcPr>
            <w:tcW w:w="970" w:type="dxa"/>
          </w:tcPr>
          <w:p w14:paraId="191DC1F5" w14:textId="77777777" w:rsidR="006304EB" w:rsidRPr="006A7FD3" w:rsidRDefault="006304EB" w:rsidP="00A95965">
            <w:pPr>
              <w:pStyle w:val="TableText"/>
              <w:jc w:val="center"/>
              <w:rPr>
                <w:b/>
                <w:szCs w:val="20"/>
              </w:rPr>
            </w:pPr>
          </w:p>
        </w:tc>
        <w:tc>
          <w:tcPr>
            <w:tcW w:w="1959" w:type="dxa"/>
            <w:gridSpan w:val="2"/>
          </w:tcPr>
          <w:p w14:paraId="25A694E5" w14:textId="77777777" w:rsidR="006304EB" w:rsidRDefault="006304EB" w:rsidP="00A95965">
            <w:pPr>
              <w:pStyle w:val="TableText"/>
              <w:rPr>
                <w:szCs w:val="20"/>
              </w:rPr>
            </w:pPr>
          </w:p>
        </w:tc>
        <w:tc>
          <w:tcPr>
            <w:tcW w:w="1760" w:type="dxa"/>
          </w:tcPr>
          <w:p w14:paraId="02AAD436" w14:textId="77777777" w:rsidR="006304EB" w:rsidRDefault="006304EB" w:rsidP="00A95965">
            <w:pPr>
              <w:pStyle w:val="TableText"/>
              <w:rPr>
                <w:szCs w:val="20"/>
              </w:rPr>
            </w:pPr>
          </w:p>
        </w:tc>
      </w:tr>
      <w:tr w:rsidR="006304EB" w14:paraId="688116C3" w14:textId="77777777">
        <w:trPr>
          <w:cantSplit/>
          <w:trHeight w:val="432"/>
        </w:trPr>
        <w:tc>
          <w:tcPr>
            <w:tcW w:w="3421" w:type="dxa"/>
            <w:gridSpan w:val="2"/>
            <w:noWrap/>
          </w:tcPr>
          <w:p w14:paraId="69030D4C" w14:textId="77777777" w:rsidR="006304EB" w:rsidRDefault="006304EB" w:rsidP="00A95965">
            <w:pPr>
              <w:pStyle w:val="TableText"/>
              <w:rPr>
                <w:szCs w:val="20"/>
              </w:rPr>
            </w:pPr>
          </w:p>
        </w:tc>
        <w:tc>
          <w:tcPr>
            <w:tcW w:w="969" w:type="dxa"/>
          </w:tcPr>
          <w:p w14:paraId="3522152C" w14:textId="77777777" w:rsidR="006304EB" w:rsidRDefault="006304EB" w:rsidP="00A95965">
            <w:pPr>
              <w:pStyle w:val="TableText"/>
              <w:rPr>
                <w:szCs w:val="20"/>
              </w:rPr>
            </w:pPr>
          </w:p>
        </w:tc>
        <w:tc>
          <w:tcPr>
            <w:tcW w:w="970" w:type="dxa"/>
          </w:tcPr>
          <w:p w14:paraId="7792F66C" w14:textId="77777777" w:rsidR="006304EB" w:rsidRDefault="006304EB" w:rsidP="00A95965">
            <w:pPr>
              <w:pStyle w:val="TableText"/>
              <w:rPr>
                <w:szCs w:val="20"/>
              </w:rPr>
            </w:pPr>
          </w:p>
        </w:tc>
        <w:tc>
          <w:tcPr>
            <w:tcW w:w="970" w:type="dxa"/>
          </w:tcPr>
          <w:p w14:paraId="5C048B56" w14:textId="77777777" w:rsidR="006304EB" w:rsidRDefault="006304EB" w:rsidP="00A95965">
            <w:pPr>
              <w:pStyle w:val="TableText"/>
              <w:rPr>
                <w:szCs w:val="20"/>
              </w:rPr>
            </w:pPr>
          </w:p>
        </w:tc>
        <w:tc>
          <w:tcPr>
            <w:tcW w:w="971" w:type="dxa"/>
          </w:tcPr>
          <w:p w14:paraId="3562570E" w14:textId="77777777" w:rsidR="006304EB" w:rsidRPr="006A7FD3" w:rsidRDefault="006304EB" w:rsidP="00A95965">
            <w:pPr>
              <w:pStyle w:val="TableText"/>
              <w:jc w:val="center"/>
              <w:rPr>
                <w:b/>
                <w:szCs w:val="20"/>
              </w:rPr>
            </w:pPr>
          </w:p>
        </w:tc>
        <w:tc>
          <w:tcPr>
            <w:tcW w:w="970" w:type="dxa"/>
          </w:tcPr>
          <w:p w14:paraId="18B294BF" w14:textId="77777777" w:rsidR="006304EB" w:rsidRPr="006A7FD3" w:rsidRDefault="006304EB" w:rsidP="00A95965">
            <w:pPr>
              <w:pStyle w:val="TableText"/>
              <w:jc w:val="center"/>
              <w:rPr>
                <w:b/>
                <w:szCs w:val="20"/>
              </w:rPr>
            </w:pPr>
          </w:p>
        </w:tc>
        <w:tc>
          <w:tcPr>
            <w:tcW w:w="970" w:type="dxa"/>
          </w:tcPr>
          <w:p w14:paraId="16012301" w14:textId="77777777" w:rsidR="006304EB" w:rsidRPr="006A7FD3" w:rsidRDefault="006304EB" w:rsidP="00A95965">
            <w:pPr>
              <w:pStyle w:val="TableText"/>
              <w:jc w:val="center"/>
              <w:rPr>
                <w:b/>
                <w:szCs w:val="20"/>
              </w:rPr>
            </w:pPr>
          </w:p>
        </w:tc>
        <w:tc>
          <w:tcPr>
            <w:tcW w:w="1959" w:type="dxa"/>
            <w:gridSpan w:val="2"/>
          </w:tcPr>
          <w:p w14:paraId="44A89902" w14:textId="77777777" w:rsidR="006304EB" w:rsidRDefault="006304EB" w:rsidP="00A95965">
            <w:pPr>
              <w:pStyle w:val="TableText"/>
              <w:rPr>
                <w:szCs w:val="20"/>
              </w:rPr>
            </w:pPr>
          </w:p>
        </w:tc>
        <w:tc>
          <w:tcPr>
            <w:tcW w:w="1760" w:type="dxa"/>
          </w:tcPr>
          <w:p w14:paraId="1302ABAF" w14:textId="77777777" w:rsidR="006304EB" w:rsidRDefault="006304EB" w:rsidP="00A95965">
            <w:pPr>
              <w:pStyle w:val="TableText"/>
              <w:rPr>
                <w:szCs w:val="20"/>
              </w:rPr>
            </w:pPr>
          </w:p>
        </w:tc>
      </w:tr>
      <w:tr w:rsidR="006304EB" w14:paraId="7D09D4DE" w14:textId="77777777">
        <w:trPr>
          <w:cantSplit/>
          <w:trHeight w:val="432"/>
        </w:trPr>
        <w:tc>
          <w:tcPr>
            <w:tcW w:w="3421" w:type="dxa"/>
            <w:gridSpan w:val="2"/>
            <w:noWrap/>
          </w:tcPr>
          <w:p w14:paraId="3B532DE7" w14:textId="77777777" w:rsidR="006304EB" w:rsidRDefault="006304EB" w:rsidP="00A95965">
            <w:pPr>
              <w:pStyle w:val="TableText"/>
              <w:rPr>
                <w:szCs w:val="20"/>
              </w:rPr>
            </w:pPr>
          </w:p>
        </w:tc>
        <w:tc>
          <w:tcPr>
            <w:tcW w:w="969" w:type="dxa"/>
          </w:tcPr>
          <w:p w14:paraId="0114C273" w14:textId="77777777" w:rsidR="006304EB" w:rsidRDefault="006304EB" w:rsidP="00A95965">
            <w:pPr>
              <w:pStyle w:val="TableText"/>
              <w:rPr>
                <w:szCs w:val="20"/>
              </w:rPr>
            </w:pPr>
          </w:p>
        </w:tc>
        <w:tc>
          <w:tcPr>
            <w:tcW w:w="970" w:type="dxa"/>
          </w:tcPr>
          <w:p w14:paraId="14746CDA" w14:textId="77777777" w:rsidR="006304EB" w:rsidRDefault="006304EB" w:rsidP="00A95965">
            <w:pPr>
              <w:pStyle w:val="TableText"/>
              <w:rPr>
                <w:szCs w:val="20"/>
              </w:rPr>
            </w:pPr>
          </w:p>
        </w:tc>
        <w:tc>
          <w:tcPr>
            <w:tcW w:w="970" w:type="dxa"/>
          </w:tcPr>
          <w:p w14:paraId="5180AE14" w14:textId="77777777" w:rsidR="006304EB" w:rsidRDefault="006304EB" w:rsidP="00A95965">
            <w:pPr>
              <w:pStyle w:val="TableText"/>
              <w:rPr>
                <w:szCs w:val="20"/>
              </w:rPr>
            </w:pPr>
          </w:p>
        </w:tc>
        <w:tc>
          <w:tcPr>
            <w:tcW w:w="971" w:type="dxa"/>
          </w:tcPr>
          <w:p w14:paraId="50A31429" w14:textId="77777777" w:rsidR="006304EB" w:rsidRPr="006A7FD3" w:rsidRDefault="006304EB" w:rsidP="00A95965">
            <w:pPr>
              <w:pStyle w:val="TableText"/>
              <w:jc w:val="center"/>
              <w:rPr>
                <w:b/>
                <w:szCs w:val="20"/>
              </w:rPr>
            </w:pPr>
          </w:p>
        </w:tc>
        <w:tc>
          <w:tcPr>
            <w:tcW w:w="970" w:type="dxa"/>
          </w:tcPr>
          <w:p w14:paraId="1B4957CA" w14:textId="77777777" w:rsidR="006304EB" w:rsidRPr="006A7FD3" w:rsidRDefault="006304EB" w:rsidP="00A95965">
            <w:pPr>
              <w:pStyle w:val="TableText"/>
              <w:jc w:val="center"/>
              <w:rPr>
                <w:b/>
                <w:szCs w:val="20"/>
              </w:rPr>
            </w:pPr>
          </w:p>
        </w:tc>
        <w:tc>
          <w:tcPr>
            <w:tcW w:w="970" w:type="dxa"/>
          </w:tcPr>
          <w:p w14:paraId="67B9B3A0" w14:textId="77777777" w:rsidR="006304EB" w:rsidRPr="006A7FD3" w:rsidRDefault="006304EB" w:rsidP="00A95965">
            <w:pPr>
              <w:pStyle w:val="TableText"/>
              <w:jc w:val="center"/>
              <w:rPr>
                <w:b/>
                <w:szCs w:val="20"/>
              </w:rPr>
            </w:pPr>
          </w:p>
        </w:tc>
        <w:tc>
          <w:tcPr>
            <w:tcW w:w="1959" w:type="dxa"/>
            <w:gridSpan w:val="2"/>
          </w:tcPr>
          <w:p w14:paraId="5A2CF9C2" w14:textId="77777777" w:rsidR="006304EB" w:rsidRDefault="006304EB" w:rsidP="00A95965">
            <w:pPr>
              <w:pStyle w:val="TableText"/>
              <w:rPr>
                <w:szCs w:val="20"/>
              </w:rPr>
            </w:pPr>
          </w:p>
        </w:tc>
        <w:tc>
          <w:tcPr>
            <w:tcW w:w="1760" w:type="dxa"/>
          </w:tcPr>
          <w:p w14:paraId="0A767241" w14:textId="77777777" w:rsidR="006304EB" w:rsidRDefault="006304EB" w:rsidP="00A95965">
            <w:pPr>
              <w:pStyle w:val="TableText"/>
              <w:rPr>
                <w:szCs w:val="20"/>
              </w:rPr>
            </w:pPr>
          </w:p>
        </w:tc>
      </w:tr>
      <w:tr w:rsidR="006304EB" w14:paraId="302873A3" w14:textId="77777777">
        <w:trPr>
          <w:cantSplit/>
          <w:trHeight w:val="432"/>
        </w:trPr>
        <w:tc>
          <w:tcPr>
            <w:tcW w:w="3421" w:type="dxa"/>
            <w:gridSpan w:val="2"/>
            <w:noWrap/>
          </w:tcPr>
          <w:p w14:paraId="7D383DC2" w14:textId="77777777" w:rsidR="006304EB" w:rsidRDefault="006304EB" w:rsidP="00A95965">
            <w:pPr>
              <w:pStyle w:val="TableText"/>
              <w:rPr>
                <w:szCs w:val="20"/>
              </w:rPr>
            </w:pPr>
          </w:p>
        </w:tc>
        <w:tc>
          <w:tcPr>
            <w:tcW w:w="969" w:type="dxa"/>
          </w:tcPr>
          <w:p w14:paraId="71A63814" w14:textId="77777777" w:rsidR="006304EB" w:rsidRDefault="006304EB" w:rsidP="00A95965">
            <w:pPr>
              <w:pStyle w:val="TableText"/>
              <w:rPr>
                <w:szCs w:val="20"/>
              </w:rPr>
            </w:pPr>
          </w:p>
        </w:tc>
        <w:tc>
          <w:tcPr>
            <w:tcW w:w="970" w:type="dxa"/>
          </w:tcPr>
          <w:p w14:paraId="10C25A2B" w14:textId="77777777" w:rsidR="006304EB" w:rsidRDefault="006304EB" w:rsidP="00A95965">
            <w:pPr>
              <w:pStyle w:val="TableText"/>
              <w:rPr>
                <w:szCs w:val="20"/>
              </w:rPr>
            </w:pPr>
          </w:p>
        </w:tc>
        <w:tc>
          <w:tcPr>
            <w:tcW w:w="970" w:type="dxa"/>
          </w:tcPr>
          <w:p w14:paraId="0B09E3B0" w14:textId="77777777" w:rsidR="006304EB" w:rsidRDefault="006304EB" w:rsidP="00A95965">
            <w:pPr>
              <w:pStyle w:val="TableText"/>
              <w:rPr>
                <w:szCs w:val="20"/>
              </w:rPr>
            </w:pPr>
          </w:p>
        </w:tc>
        <w:tc>
          <w:tcPr>
            <w:tcW w:w="971" w:type="dxa"/>
          </w:tcPr>
          <w:p w14:paraId="15709608" w14:textId="77777777" w:rsidR="006304EB" w:rsidRPr="006A7FD3" w:rsidRDefault="006304EB" w:rsidP="00A95965">
            <w:pPr>
              <w:pStyle w:val="TableText"/>
              <w:jc w:val="center"/>
              <w:rPr>
                <w:b/>
                <w:szCs w:val="20"/>
              </w:rPr>
            </w:pPr>
          </w:p>
        </w:tc>
        <w:tc>
          <w:tcPr>
            <w:tcW w:w="970" w:type="dxa"/>
          </w:tcPr>
          <w:p w14:paraId="1B386223" w14:textId="77777777" w:rsidR="006304EB" w:rsidRPr="006A7FD3" w:rsidRDefault="006304EB" w:rsidP="00A95965">
            <w:pPr>
              <w:pStyle w:val="TableText"/>
              <w:jc w:val="center"/>
              <w:rPr>
                <w:b/>
                <w:szCs w:val="20"/>
              </w:rPr>
            </w:pPr>
          </w:p>
        </w:tc>
        <w:tc>
          <w:tcPr>
            <w:tcW w:w="970" w:type="dxa"/>
          </w:tcPr>
          <w:p w14:paraId="5D199927" w14:textId="77777777" w:rsidR="006304EB" w:rsidRPr="006A7FD3" w:rsidRDefault="006304EB" w:rsidP="00A95965">
            <w:pPr>
              <w:pStyle w:val="TableText"/>
              <w:jc w:val="center"/>
              <w:rPr>
                <w:b/>
                <w:szCs w:val="20"/>
              </w:rPr>
            </w:pPr>
          </w:p>
        </w:tc>
        <w:tc>
          <w:tcPr>
            <w:tcW w:w="1959" w:type="dxa"/>
            <w:gridSpan w:val="2"/>
          </w:tcPr>
          <w:p w14:paraId="3A154F1A" w14:textId="77777777" w:rsidR="006304EB" w:rsidRDefault="006304EB" w:rsidP="00A95965">
            <w:pPr>
              <w:pStyle w:val="TableText"/>
              <w:rPr>
                <w:szCs w:val="20"/>
              </w:rPr>
            </w:pPr>
          </w:p>
        </w:tc>
        <w:tc>
          <w:tcPr>
            <w:tcW w:w="1760" w:type="dxa"/>
          </w:tcPr>
          <w:p w14:paraId="5E885B6E" w14:textId="77777777" w:rsidR="006304EB" w:rsidRDefault="006304EB" w:rsidP="00A95965">
            <w:pPr>
              <w:pStyle w:val="TableText"/>
              <w:rPr>
                <w:szCs w:val="20"/>
              </w:rPr>
            </w:pPr>
          </w:p>
        </w:tc>
      </w:tr>
      <w:tr w:rsidR="006304EB" w14:paraId="217B9172" w14:textId="77777777">
        <w:trPr>
          <w:cantSplit/>
          <w:trHeight w:val="432"/>
        </w:trPr>
        <w:tc>
          <w:tcPr>
            <w:tcW w:w="3421" w:type="dxa"/>
            <w:gridSpan w:val="2"/>
            <w:noWrap/>
          </w:tcPr>
          <w:p w14:paraId="1AE9048A" w14:textId="77777777" w:rsidR="006304EB" w:rsidRDefault="006304EB" w:rsidP="00A95965">
            <w:pPr>
              <w:pStyle w:val="TableText"/>
              <w:rPr>
                <w:szCs w:val="20"/>
              </w:rPr>
            </w:pPr>
          </w:p>
        </w:tc>
        <w:tc>
          <w:tcPr>
            <w:tcW w:w="969" w:type="dxa"/>
          </w:tcPr>
          <w:p w14:paraId="785FF12E" w14:textId="77777777" w:rsidR="006304EB" w:rsidRDefault="006304EB" w:rsidP="00A95965">
            <w:pPr>
              <w:pStyle w:val="TableText"/>
              <w:rPr>
                <w:szCs w:val="20"/>
              </w:rPr>
            </w:pPr>
          </w:p>
        </w:tc>
        <w:tc>
          <w:tcPr>
            <w:tcW w:w="970" w:type="dxa"/>
          </w:tcPr>
          <w:p w14:paraId="13B463C1" w14:textId="77777777" w:rsidR="006304EB" w:rsidRDefault="006304EB" w:rsidP="00A95965">
            <w:pPr>
              <w:pStyle w:val="TableText"/>
              <w:rPr>
                <w:szCs w:val="20"/>
              </w:rPr>
            </w:pPr>
          </w:p>
        </w:tc>
        <w:tc>
          <w:tcPr>
            <w:tcW w:w="970" w:type="dxa"/>
          </w:tcPr>
          <w:p w14:paraId="0A63A847" w14:textId="77777777" w:rsidR="006304EB" w:rsidRDefault="006304EB" w:rsidP="00A95965">
            <w:pPr>
              <w:pStyle w:val="TableText"/>
              <w:rPr>
                <w:szCs w:val="20"/>
              </w:rPr>
            </w:pPr>
          </w:p>
        </w:tc>
        <w:tc>
          <w:tcPr>
            <w:tcW w:w="971" w:type="dxa"/>
          </w:tcPr>
          <w:p w14:paraId="2C3B5202" w14:textId="77777777" w:rsidR="006304EB" w:rsidRPr="006A7FD3" w:rsidRDefault="006304EB" w:rsidP="00A95965">
            <w:pPr>
              <w:pStyle w:val="TableText"/>
              <w:jc w:val="center"/>
              <w:rPr>
                <w:b/>
                <w:szCs w:val="20"/>
              </w:rPr>
            </w:pPr>
          </w:p>
        </w:tc>
        <w:tc>
          <w:tcPr>
            <w:tcW w:w="970" w:type="dxa"/>
          </w:tcPr>
          <w:p w14:paraId="7AC5E2A0" w14:textId="77777777" w:rsidR="006304EB" w:rsidRPr="006A7FD3" w:rsidRDefault="006304EB" w:rsidP="00A95965">
            <w:pPr>
              <w:pStyle w:val="TableText"/>
              <w:jc w:val="center"/>
              <w:rPr>
                <w:b/>
                <w:szCs w:val="20"/>
              </w:rPr>
            </w:pPr>
          </w:p>
        </w:tc>
        <w:tc>
          <w:tcPr>
            <w:tcW w:w="970" w:type="dxa"/>
          </w:tcPr>
          <w:p w14:paraId="14941468" w14:textId="77777777" w:rsidR="006304EB" w:rsidRPr="006A7FD3" w:rsidRDefault="006304EB" w:rsidP="00A95965">
            <w:pPr>
              <w:pStyle w:val="TableText"/>
              <w:jc w:val="center"/>
              <w:rPr>
                <w:b/>
                <w:szCs w:val="20"/>
              </w:rPr>
            </w:pPr>
          </w:p>
        </w:tc>
        <w:tc>
          <w:tcPr>
            <w:tcW w:w="1959" w:type="dxa"/>
            <w:gridSpan w:val="2"/>
          </w:tcPr>
          <w:p w14:paraId="0FDF8C10" w14:textId="77777777" w:rsidR="006304EB" w:rsidRDefault="006304EB" w:rsidP="00A95965">
            <w:pPr>
              <w:pStyle w:val="TableText"/>
              <w:rPr>
                <w:szCs w:val="20"/>
              </w:rPr>
            </w:pPr>
          </w:p>
        </w:tc>
        <w:tc>
          <w:tcPr>
            <w:tcW w:w="1760" w:type="dxa"/>
          </w:tcPr>
          <w:p w14:paraId="0E0CF0B9" w14:textId="77777777" w:rsidR="006304EB" w:rsidRDefault="006304EB" w:rsidP="00A95965">
            <w:pPr>
              <w:pStyle w:val="TableText"/>
              <w:rPr>
                <w:szCs w:val="20"/>
              </w:rPr>
            </w:pPr>
          </w:p>
        </w:tc>
      </w:tr>
      <w:tr w:rsidR="006304EB" w14:paraId="5F48C799" w14:textId="77777777">
        <w:trPr>
          <w:cantSplit/>
          <w:trHeight w:val="432"/>
        </w:trPr>
        <w:tc>
          <w:tcPr>
            <w:tcW w:w="3421" w:type="dxa"/>
            <w:gridSpan w:val="2"/>
            <w:noWrap/>
          </w:tcPr>
          <w:p w14:paraId="1C878AA6" w14:textId="77777777" w:rsidR="006304EB" w:rsidRDefault="006304EB" w:rsidP="00A95965">
            <w:pPr>
              <w:pStyle w:val="TableText"/>
              <w:rPr>
                <w:szCs w:val="20"/>
              </w:rPr>
            </w:pPr>
          </w:p>
        </w:tc>
        <w:tc>
          <w:tcPr>
            <w:tcW w:w="969" w:type="dxa"/>
          </w:tcPr>
          <w:p w14:paraId="16DEB9AE" w14:textId="77777777" w:rsidR="006304EB" w:rsidRDefault="006304EB" w:rsidP="00A95965">
            <w:pPr>
              <w:pStyle w:val="TableText"/>
              <w:rPr>
                <w:szCs w:val="20"/>
              </w:rPr>
            </w:pPr>
          </w:p>
        </w:tc>
        <w:tc>
          <w:tcPr>
            <w:tcW w:w="970" w:type="dxa"/>
          </w:tcPr>
          <w:p w14:paraId="7986049A" w14:textId="77777777" w:rsidR="006304EB" w:rsidRDefault="006304EB" w:rsidP="00A95965">
            <w:pPr>
              <w:pStyle w:val="TableText"/>
              <w:rPr>
                <w:szCs w:val="20"/>
              </w:rPr>
            </w:pPr>
          </w:p>
        </w:tc>
        <w:tc>
          <w:tcPr>
            <w:tcW w:w="970" w:type="dxa"/>
          </w:tcPr>
          <w:p w14:paraId="256B7139" w14:textId="77777777" w:rsidR="006304EB" w:rsidRDefault="006304EB" w:rsidP="00A95965">
            <w:pPr>
              <w:pStyle w:val="TableText"/>
              <w:rPr>
                <w:szCs w:val="20"/>
              </w:rPr>
            </w:pPr>
          </w:p>
        </w:tc>
        <w:tc>
          <w:tcPr>
            <w:tcW w:w="971" w:type="dxa"/>
          </w:tcPr>
          <w:p w14:paraId="25E35321" w14:textId="77777777" w:rsidR="006304EB" w:rsidRPr="006A7FD3" w:rsidRDefault="006304EB" w:rsidP="00A95965">
            <w:pPr>
              <w:pStyle w:val="TableText"/>
              <w:jc w:val="center"/>
              <w:rPr>
                <w:b/>
                <w:szCs w:val="20"/>
              </w:rPr>
            </w:pPr>
          </w:p>
        </w:tc>
        <w:tc>
          <w:tcPr>
            <w:tcW w:w="970" w:type="dxa"/>
          </w:tcPr>
          <w:p w14:paraId="1CF8CE0A" w14:textId="77777777" w:rsidR="006304EB" w:rsidRPr="006A7FD3" w:rsidRDefault="006304EB" w:rsidP="00A95965">
            <w:pPr>
              <w:pStyle w:val="TableText"/>
              <w:jc w:val="center"/>
              <w:rPr>
                <w:b/>
                <w:szCs w:val="20"/>
              </w:rPr>
            </w:pPr>
          </w:p>
        </w:tc>
        <w:tc>
          <w:tcPr>
            <w:tcW w:w="970" w:type="dxa"/>
          </w:tcPr>
          <w:p w14:paraId="10052031" w14:textId="77777777" w:rsidR="006304EB" w:rsidRPr="006A7FD3" w:rsidRDefault="006304EB" w:rsidP="00A95965">
            <w:pPr>
              <w:pStyle w:val="TableText"/>
              <w:jc w:val="center"/>
              <w:rPr>
                <w:b/>
                <w:szCs w:val="20"/>
              </w:rPr>
            </w:pPr>
          </w:p>
        </w:tc>
        <w:tc>
          <w:tcPr>
            <w:tcW w:w="1959" w:type="dxa"/>
            <w:gridSpan w:val="2"/>
          </w:tcPr>
          <w:p w14:paraId="2FB0A103" w14:textId="77777777" w:rsidR="006304EB" w:rsidRDefault="006304EB" w:rsidP="00A95965">
            <w:pPr>
              <w:pStyle w:val="TableText"/>
              <w:rPr>
                <w:szCs w:val="20"/>
              </w:rPr>
            </w:pPr>
          </w:p>
        </w:tc>
        <w:tc>
          <w:tcPr>
            <w:tcW w:w="1760" w:type="dxa"/>
          </w:tcPr>
          <w:p w14:paraId="261DC62F" w14:textId="77777777" w:rsidR="006304EB" w:rsidRDefault="006304EB" w:rsidP="00A95965">
            <w:pPr>
              <w:pStyle w:val="TableText"/>
              <w:rPr>
                <w:szCs w:val="20"/>
              </w:rPr>
            </w:pPr>
          </w:p>
        </w:tc>
      </w:tr>
      <w:tr w:rsidR="006304EB" w14:paraId="735C6AE2" w14:textId="77777777">
        <w:trPr>
          <w:cantSplit/>
          <w:trHeight w:val="432"/>
        </w:trPr>
        <w:tc>
          <w:tcPr>
            <w:tcW w:w="3421" w:type="dxa"/>
            <w:gridSpan w:val="2"/>
            <w:noWrap/>
          </w:tcPr>
          <w:p w14:paraId="061E2036" w14:textId="77777777" w:rsidR="006304EB" w:rsidRDefault="006304EB" w:rsidP="00A95965">
            <w:pPr>
              <w:pStyle w:val="TableText"/>
              <w:rPr>
                <w:szCs w:val="20"/>
              </w:rPr>
            </w:pPr>
          </w:p>
        </w:tc>
        <w:tc>
          <w:tcPr>
            <w:tcW w:w="969" w:type="dxa"/>
          </w:tcPr>
          <w:p w14:paraId="4CC6731C" w14:textId="77777777" w:rsidR="006304EB" w:rsidRDefault="006304EB" w:rsidP="00A95965">
            <w:pPr>
              <w:pStyle w:val="TableText"/>
              <w:rPr>
                <w:szCs w:val="20"/>
              </w:rPr>
            </w:pPr>
          </w:p>
        </w:tc>
        <w:tc>
          <w:tcPr>
            <w:tcW w:w="970" w:type="dxa"/>
          </w:tcPr>
          <w:p w14:paraId="743ADB8D" w14:textId="77777777" w:rsidR="006304EB" w:rsidRDefault="006304EB" w:rsidP="00A95965">
            <w:pPr>
              <w:pStyle w:val="TableText"/>
              <w:rPr>
                <w:szCs w:val="20"/>
              </w:rPr>
            </w:pPr>
          </w:p>
        </w:tc>
        <w:tc>
          <w:tcPr>
            <w:tcW w:w="970" w:type="dxa"/>
          </w:tcPr>
          <w:p w14:paraId="11059D06" w14:textId="77777777" w:rsidR="006304EB" w:rsidRDefault="006304EB" w:rsidP="00A95965">
            <w:pPr>
              <w:pStyle w:val="TableText"/>
              <w:rPr>
                <w:szCs w:val="20"/>
              </w:rPr>
            </w:pPr>
          </w:p>
        </w:tc>
        <w:tc>
          <w:tcPr>
            <w:tcW w:w="971" w:type="dxa"/>
          </w:tcPr>
          <w:p w14:paraId="1F6598C4" w14:textId="77777777" w:rsidR="006304EB" w:rsidRPr="006A7FD3" w:rsidRDefault="006304EB" w:rsidP="00A95965">
            <w:pPr>
              <w:pStyle w:val="TableText"/>
              <w:jc w:val="center"/>
              <w:rPr>
                <w:b/>
                <w:szCs w:val="20"/>
              </w:rPr>
            </w:pPr>
          </w:p>
        </w:tc>
        <w:tc>
          <w:tcPr>
            <w:tcW w:w="970" w:type="dxa"/>
          </w:tcPr>
          <w:p w14:paraId="17A269C7" w14:textId="77777777" w:rsidR="006304EB" w:rsidRPr="006A7FD3" w:rsidRDefault="006304EB" w:rsidP="00A95965">
            <w:pPr>
              <w:pStyle w:val="TableText"/>
              <w:jc w:val="center"/>
              <w:rPr>
                <w:b/>
                <w:szCs w:val="20"/>
              </w:rPr>
            </w:pPr>
          </w:p>
        </w:tc>
        <w:tc>
          <w:tcPr>
            <w:tcW w:w="970" w:type="dxa"/>
          </w:tcPr>
          <w:p w14:paraId="4CC0B136" w14:textId="77777777" w:rsidR="006304EB" w:rsidRPr="006A7FD3" w:rsidRDefault="006304EB" w:rsidP="00A95965">
            <w:pPr>
              <w:pStyle w:val="TableText"/>
              <w:jc w:val="center"/>
              <w:rPr>
                <w:b/>
                <w:szCs w:val="20"/>
              </w:rPr>
            </w:pPr>
          </w:p>
        </w:tc>
        <w:tc>
          <w:tcPr>
            <w:tcW w:w="1959" w:type="dxa"/>
            <w:gridSpan w:val="2"/>
          </w:tcPr>
          <w:p w14:paraId="175B4E1E" w14:textId="77777777" w:rsidR="006304EB" w:rsidRDefault="006304EB" w:rsidP="00A95965">
            <w:pPr>
              <w:pStyle w:val="TableText"/>
              <w:rPr>
                <w:szCs w:val="20"/>
              </w:rPr>
            </w:pPr>
          </w:p>
        </w:tc>
        <w:tc>
          <w:tcPr>
            <w:tcW w:w="1760" w:type="dxa"/>
          </w:tcPr>
          <w:p w14:paraId="24D0A526" w14:textId="77777777" w:rsidR="006304EB" w:rsidRDefault="006304EB" w:rsidP="00A95965">
            <w:pPr>
              <w:pStyle w:val="TableText"/>
              <w:rPr>
                <w:szCs w:val="20"/>
              </w:rPr>
            </w:pPr>
          </w:p>
        </w:tc>
      </w:tr>
    </w:tbl>
    <w:p w14:paraId="3B7D5644" w14:textId="77777777" w:rsidR="004A6408" w:rsidRDefault="004A6408" w:rsidP="00DD75E5">
      <w:pPr>
        <w:pStyle w:val="BodyText"/>
      </w:pPr>
    </w:p>
    <w:tbl>
      <w:tblPr>
        <w:tblW w:w="12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76"/>
        <w:gridCol w:w="2044"/>
        <w:gridCol w:w="2044"/>
        <w:gridCol w:w="1973"/>
        <w:gridCol w:w="2432"/>
        <w:gridCol w:w="2091"/>
      </w:tblGrid>
      <w:tr w:rsidR="00902D46" w:rsidRPr="00887834" w14:paraId="42B832A3" w14:textId="77777777">
        <w:trPr>
          <w:tblHeader/>
        </w:trPr>
        <w:tc>
          <w:tcPr>
            <w:tcW w:w="12960" w:type="dxa"/>
            <w:gridSpan w:val="6"/>
            <w:shd w:val="clear" w:color="auto" w:fill="B3B3B3"/>
          </w:tcPr>
          <w:p w14:paraId="52633369" w14:textId="77777777" w:rsidR="00902D46" w:rsidRPr="00887834" w:rsidRDefault="00902D46" w:rsidP="00FC4396">
            <w:pPr>
              <w:pStyle w:val="TableText"/>
              <w:rPr>
                <w:b/>
              </w:rPr>
            </w:pPr>
            <w:r w:rsidRPr="00887834">
              <w:rPr>
                <w:b/>
              </w:rPr>
              <w:lastRenderedPageBreak/>
              <w:t>Direct Antiglobulin Test</w:t>
            </w:r>
          </w:p>
        </w:tc>
      </w:tr>
      <w:tr w:rsidR="00887834" w:rsidRPr="00887834" w14:paraId="3AAE88DB" w14:textId="77777777">
        <w:trPr>
          <w:tblHeader/>
        </w:trPr>
        <w:tc>
          <w:tcPr>
            <w:tcW w:w="2376" w:type="dxa"/>
            <w:shd w:val="clear" w:color="auto" w:fill="B3B3B3"/>
          </w:tcPr>
          <w:p w14:paraId="2F7B7BD8" w14:textId="77777777" w:rsidR="008B5CC4" w:rsidRPr="00887834" w:rsidRDefault="008B5CC4" w:rsidP="00FC4396">
            <w:pPr>
              <w:pStyle w:val="TableText"/>
              <w:rPr>
                <w:b/>
              </w:rPr>
            </w:pPr>
            <w:r w:rsidRPr="00887834">
              <w:rPr>
                <w:b/>
              </w:rPr>
              <w:t>Reagent</w:t>
            </w:r>
            <w:r w:rsidR="00CB127B" w:rsidRPr="00887834">
              <w:rPr>
                <w:b/>
              </w:rPr>
              <w:t xml:space="preserve"> Antiserum</w:t>
            </w:r>
          </w:p>
        </w:tc>
        <w:tc>
          <w:tcPr>
            <w:tcW w:w="2044" w:type="dxa"/>
            <w:shd w:val="clear" w:color="auto" w:fill="B3B3B3"/>
          </w:tcPr>
          <w:p w14:paraId="2F4AE523" w14:textId="77777777" w:rsidR="008B5CC4" w:rsidRPr="00887834" w:rsidRDefault="008B5CC4" w:rsidP="00FC4396">
            <w:pPr>
              <w:pStyle w:val="TableText"/>
              <w:rPr>
                <w:b/>
              </w:rPr>
            </w:pPr>
            <w:r w:rsidRPr="00887834">
              <w:rPr>
                <w:b/>
                <w:szCs w:val="20"/>
              </w:rPr>
              <w:t>Lot Number</w:t>
            </w:r>
          </w:p>
        </w:tc>
        <w:tc>
          <w:tcPr>
            <w:tcW w:w="2044" w:type="dxa"/>
            <w:shd w:val="clear" w:color="auto" w:fill="B3B3B3"/>
          </w:tcPr>
          <w:p w14:paraId="6745371F" w14:textId="77777777" w:rsidR="008B5CC4" w:rsidRPr="00887834" w:rsidRDefault="008B5CC4" w:rsidP="00FC4396">
            <w:pPr>
              <w:pStyle w:val="TableText"/>
              <w:rPr>
                <w:b/>
              </w:rPr>
            </w:pPr>
            <w:r w:rsidRPr="00887834">
              <w:rPr>
                <w:b/>
                <w:szCs w:val="20"/>
              </w:rPr>
              <w:t>AHG</w:t>
            </w:r>
          </w:p>
        </w:tc>
        <w:tc>
          <w:tcPr>
            <w:tcW w:w="1973" w:type="dxa"/>
            <w:shd w:val="clear" w:color="auto" w:fill="B3B3B3"/>
          </w:tcPr>
          <w:p w14:paraId="65607E12" w14:textId="77777777" w:rsidR="008B5CC4" w:rsidRPr="00887834" w:rsidRDefault="008B5CC4" w:rsidP="00FC4396">
            <w:pPr>
              <w:pStyle w:val="TableText"/>
              <w:rPr>
                <w:b/>
              </w:rPr>
            </w:pPr>
            <w:r w:rsidRPr="00887834">
              <w:rPr>
                <w:b/>
                <w:szCs w:val="20"/>
              </w:rPr>
              <w:t>CC</w:t>
            </w:r>
          </w:p>
        </w:tc>
        <w:tc>
          <w:tcPr>
            <w:tcW w:w="2432" w:type="dxa"/>
            <w:shd w:val="clear" w:color="auto" w:fill="B3B3B3"/>
          </w:tcPr>
          <w:p w14:paraId="41D16243" w14:textId="77777777" w:rsidR="008B5CC4" w:rsidRPr="00887834" w:rsidRDefault="008B5CC4" w:rsidP="00FC4396">
            <w:pPr>
              <w:pStyle w:val="TableText"/>
              <w:rPr>
                <w:b/>
              </w:rPr>
            </w:pPr>
            <w:r w:rsidRPr="00887834">
              <w:rPr>
                <w:b/>
                <w:szCs w:val="20"/>
              </w:rPr>
              <w:t>Interpretation</w:t>
            </w:r>
          </w:p>
        </w:tc>
        <w:tc>
          <w:tcPr>
            <w:tcW w:w="2091" w:type="dxa"/>
            <w:shd w:val="clear" w:color="auto" w:fill="B3B3B3"/>
          </w:tcPr>
          <w:p w14:paraId="18B3897F" w14:textId="77777777" w:rsidR="008B5CC4" w:rsidRPr="00887834" w:rsidRDefault="008B5CC4" w:rsidP="00FC4396">
            <w:pPr>
              <w:pStyle w:val="TableText"/>
              <w:rPr>
                <w:b/>
              </w:rPr>
            </w:pPr>
            <w:r w:rsidRPr="00887834">
              <w:rPr>
                <w:b/>
                <w:szCs w:val="20"/>
              </w:rPr>
              <w:t>Tech Name</w:t>
            </w:r>
          </w:p>
        </w:tc>
      </w:tr>
      <w:tr w:rsidR="00887834" w14:paraId="382D7AD4" w14:textId="77777777">
        <w:trPr>
          <w:trHeight w:val="432"/>
        </w:trPr>
        <w:tc>
          <w:tcPr>
            <w:tcW w:w="2376" w:type="dxa"/>
          </w:tcPr>
          <w:p w14:paraId="54C50A7B" w14:textId="77777777" w:rsidR="008B5CC4" w:rsidRPr="00887834" w:rsidRDefault="008B5CC4" w:rsidP="00902D46">
            <w:pPr>
              <w:pStyle w:val="TableText"/>
              <w:rPr>
                <w:b/>
              </w:rPr>
            </w:pPr>
            <w:r w:rsidRPr="00887834">
              <w:rPr>
                <w:b/>
              </w:rPr>
              <w:t>Polyspecific</w:t>
            </w:r>
          </w:p>
        </w:tc>
        <w:tc>
          <w:tcPr>
            <w:tcW w:w="2044" w:type="dxa"/>
          </w:tcPr>
          <w:p w14:paraId="262FF11E" w14:textId="77777777" w:rsidR="008B5CC4" w:rsidRDefault="008B5CC4" w:rsidP="00571D70">
            <w:pPr>
              <w:pStyle w:val="TableText"/>
            </w:pPr>
          </w:p>
        </w:tc>
        <w:tc>
          <w:tcPr>
            <w:tcW w:w="2044" w:type="dxa"/>
          </w:tcPr>
          <w:p w14:paraId="1841DCF9" w14:textId="77777777" w:rsidR="008B5CC4" w:rsidRDefault="008B5CC4" w:rsidP="00902D46">
            <w:pPr>
              <w:pStyle w:val="TableText"/>
            </w:pPr>
          </w:p>
        </w:tc>
        <w:tc>
          <w:tcPr>
            <w:tcW w:w="1973" w:type="dxa"/>
          </w:tcPr>
          <w:p w14:paraId="31C70477" w14:textId="77777777" w:rsidR="008B5CC4" w:rsidRDefault="008B5CC4" w:rsidP="00902D46">
            <w:pPr>
              <w:pStyle w:val="TableText"/>
            </w:pPr>
          </w:p>
        </w:tc>
        <w:tc>
          <w:tcPr>
            <w:tcW w:w="2432" w:type="dxa"/>
          </w:tcPr>
          <w:p w14:paraId="3B031210" w14:textId="77777777" w:rsidR="008B5CC4" w:rsidRDefault="008B5CC4" w:rsidP="00902D46">
            <w:pPr>
              <w:pStyle w:val="TableText"/>
            </w:pPr>
          </w:p>
        </w:tc>
        <w:tc>
          <w:tcPr>
            <w:tcW w:w="2091" w:type="dxa"/>
          </w:tcPr>
          <w:p w14:paraId="7FD8B890" w14:textId="77777777" w:rsidR="008B5CC4" w:rsidRDefault="008B5CC4" w:rsidP="00902D46">
            <w:pPr>
              <w:pStyle w:val="TableText"/>
            </w:pPr>
          </w:p>
        </w:tc>
      </w:tr>
      <w:tr w:rsidR="00887834" w14:paraId="570534BA" w14:textId="77777777">
        <w:trPr>
          <w:trHeight w:val="432"/>
        </w:trPr>
        <w:tc>
          <w:tcPr>
            <w:tcW w:w="2376" w:type="dxa"/>
          </w:tcPr>
          <w:p w14:paraId="43CDDD13" w14:textId="77777777" w:rsidR="008B5CC4" w:rsidRPr="00887834" w:rsidRDefault="008B5CC4" w:rsidP="00902D46">
            <w:pPr>
              <w:pStyle w:val="TableText"/>
              <w:rPr>
                <w:b/>
              </w:rPr>
            </w:pPr>
            <w:r w:rsidRPr="00887834">
              <w:rPr>
                <w:b/>
              </w:rPr>
              <w:t>Anti-IgG</w:t>
            </w:r>
          </w:p>
        </w:tc>
        <w:tc>
          <w:tcPr>
            <w:tcW w:w="2044" w:type="dxa"/>
          </w:tcPr>
          <w:p w14:paraId="4BA6F55F" w14:textId="77777777" w:rsidR="008B5CC4" w:rsidRDefault="008B5CC4" w:rsidP="00571D70">
            <w:pPr>
              <w:pStyle w:val="TableText"/>
            </w:pPr>
          </w:p>
        </w:tc>
        <w:tc>
          <w:tcPr>
            <w:tcW w:w="2044" w:type="dxa"/>
          </w:tcPr>
          <w:p w14:paraId="5F2024B0" w14:textId="77777777" w:rsidR="008B5CC4" w:rsidRDefault="008B5CC4" w:rsidP="00902D46">
            <w:pPr>
              <w:pStyle w:val="TableText"/>
            </w:pPr>
          </w:p>
        </w:tc>
        <w:tc>
          <w:tcPr>
            <w:tcW w:w="1973" w:type="dxa"/>
          </w:tcPr>
          <w:p w14:paraId="6F2C5258" w14:textId="77777777" w:rsidR="008B5CC4" w:rsidRDefault="008B5CC4" w:rsidP="00902D46">
            <w:pPr>
              <w:pStyle w:val="TableText"/>
            </w:pPr>
          </w:p>
        </w:tc>
        <w:tc>
          <w:tcPr>
            <w:tcW w:w="2432" w:type="dxa"/>
          </w:tcPr>
          <w:p w14:paraId="125FF514" w14:textId="77777777" w:rsidR="008B5CC4" w:rsidRDefault="008B5CC4" w:rsidP="00902D46">
            <w:pPr>
              <w:pStyle w:val="TableText"/>
            </w:pPr>
          </w:p>
        </w:tc>
        <w:tc>
          <w:tcPr>
            <w:tcW w:w="2091" w:type="dxa"/>
          </w:tcPr>
          <w:p w14:paraId="0649C487" w14:textId="77777777" w:rsidR="008B5CC4" w:rsidRDefault="008B5CC4" w:rsidP="00902D46">
            <w:pPr>
              <w:pStyle w:val="TableText"/>
            </w:pPr>
          </w:p>
        </w:tc>
      </w:tr>
      <w:tr w:rsidR="00887834" w14:paraId="65B081D5" w14:textId="77777777">
        <w:trPr>
          <w:trHeight w:val="432"/>
        </w:trPr>
        <w:tc>
          <w:tcPr>
            <w:tcW w:w="2376" w:type="dxa"/>
          </w:tcPr>
          <w:p w14:paraId="7DC49A8F" w14:textId="77777777" w:rsidR="008B5CC4" w:rsidRPr="00887834" w:rsidRDefault="008B5CC4" w:rsidP="00902D46">
            <w:pPr>
              <w:pStyle w:val="TableText"/>
              <w:rPr>
                <w:b/>
              </w:rPr>
            </w:pPr>
            <w:r w:rsidRPr="00887834">
              <w:rPr>
                <w:b/>
              </w:rPr>
              <w:t>Anti-C3d</w:t>
            </w:r>
          </w:p>
        </w:tc>
        <w:tc>
          <w:tcPr>
            <w:tcW w:w="2044" w:type="dxa"/>
          </w:tcPr>
          <w:p w14:paraId="7A6A5BBA" w14:textId="77777777" w:rsidR="008B5CC4" w:rsidRDefault="008B5CC4" w:rsidP="00571D70">
            <w:pPr>
              <w:pStyle w:val="TableText"/>
            </w:pPr>
          </w:p>
        </w:tc>
        <w:tc>
          <w:tcPr>
            <w:tcW w:w="2044" w:type="dxa"/>
          </w:tcPr>
          <w:p w14:paraId="5D4DF178" w14:textId="77777777" w:rsidR="008B5CC4" w:rsidRDefault="008B5CC4" w:rsidP="00902D46">
            <w:pPr>
              <w:pStyle w:val="TableText"/>
            </w:pPr>
          </w:p>
        </w:tc>
        <w:tc>
          <w:tcPr>
            <w:tcW w:w="1973" w:type="dxa"/>
          </w:tcPr>
          <w:p w14:paraId="12356F06" w14:textId="77777777" w:rsidR="008B5CC4" w:rsidRDefault="008B5CC4" w:rsidP="00902D46">
            <w:pPr>
              <w:pStyle w:val="TableText"/>
            </w:pPr>
          </w:p>
        </w:tc>
        <w:tc>
          <w:tcPr>
            <w:tcW w:w="2432" w:type="dxa"/>
          </w:tcPr>
          <w:p w14:paraId="26F0F845" w14:textId="77777777" w:rsidR="008B5CC4" w:rsidRDefault="008B5CC4" w:rsidP="00902D46">
            <w:pPr>
              <w:pStyle w:val="TableText"/>
            </w:pPr>
          </w:p>
        </w:tc>
        <w:tc>
          <w:tcPr>
            <w:tcW w:w="2091" w:type="dxa"/>
          </w:tcPr>
          <w:p w14:paraId="057146A9" w14:textId="77777777" w:rsidR="008B5CC4" w:rsidRDefault="008B5CC4" w:rsidP="00902D46">
            <w:pPr>
              <w:pStyle w:val="TableText"/>
            </w:pPr>
          </w:p>
        </w:tc>
      </w:tr>
    </w:tbl>
    <w:p w14:paraId="3F71AA4F" w14:textId="77777777" w:rsidR="00902D46" w:rsidRDefault="00902D46" w:rsidP="00902D46">
      <w:pPr>
        <w:rPr>
          <w:rFonts w:ascii="Arial" w:hAnsi="Arial" w:cs="Arial"/>
          <w:sz w:val="18"/>
          <w:szCs w:val="18"/>
        </w:rPr>
      </w:pPr>
    </w:p>
    <w:tbl>
      <w:tblPr>
        <w:tblW w:w="12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18"/>
        <w:gridCol w:w="1099"/>
        <w:gridCol w:w="1099"/>
        <w:gridCol w:w="1100"/>
        <w:gridCol w:w="1100"/>
        <w:gridCol w:w="1100"/>
        <w:gridCol w:w="1100"/>
        <w:gridCol w:w="1100"/>
        <w:gridCol w:w="1410"/>
        <w:gridCol w:w="1434"/>
      </w:tblGrid>
      <w:tr w:rsidR="00C54677" w:rsidRPr="00887834" w14:paraId="304CEF09" w14:textId="77777777">
        <w:trPr>
          <w:tblHeader/>
        </w:trPr>
        <w:tc>
          <w:tcPr>
            <w:tcW w:w="12960" w:type="dxa"/>
            <w:gridSpan w:val="10"/>
            <w:shd w:val="clear" w:color="auto" w:fill="B3B3B3"/>
          </w:tcPr>
          <w:p w14:paraId="069F820D" w14:textId="77777777" w:rsidR="00C54677" w:rsidRPr="00887834" w:rsidRDefault="00C54677" w:rsidP="00FC4396">
            <w:pPr>
              <w:pStyle w:val="TableText"/>
              <w:rPr>
                <w:b/>
              </w:rPr>
            </w:pPr>
            <w:r w:rsidRPr="00887834">
              <w:rPr>
                <w:b/>
              </w:rPr>
              <w:t>Direct Antiglobulin QC</w:t>
            </w:r>
          </w:p>
        </w:tc>
      </w:tr>
      <w:tr w:rsidR="00887834" w:rsidRPr="00887834" w14:paraId="6A0C388A" w14:textId="77777777">
        <w:trPr>
          <w:tblHeader/>
        </w:trPr>
        <w:tc>
          <w:tcPr>
            <w:tcW w:w="2418" w:type="dxa"/>
            <w:shd w:val="clear" w:color="auto" w:fill="B3B3B3"/>
          </w:tcPr>
          <w:p w14:paraId="127AFC99" w14:textId="77777777" w:rsidR="007375B1" w:rsidRPr="00887834" w:rsidRDefault="007375B1" w:rsidP="00FC4396">
            <w:pPr>
              <w:pStyle w:val="TableText"/>
              <w:rPr>
                <w:b/>
              </w:rPr>
            </w:pPr>
            <w:r w:rsidRPr="00887834">
              <w:rPr>
                <w:b/>
              </w:rPr>
              <w:t>Reagent Antiserum</w:t>
            </w:r>
          </w:p>
        </w:tc>
        <w:tc>
          <w:tcPr>
            <w:tcW w:w="1099" w:type="dxa"/>
            <w:shd w:val="clear" w:color="auto" w:fill="B3B3B3"/>
          </w:tcPr>
          <w:p w14:paraId="13392245" w14:textId="77777777" w:rsidR="007375B1" w:rsidRPr="00887834" w:rsidRDefault="007375B1" w:rsidP="00FC4396">
            <w:pPr>
              <w:pStyle w:val="TableText"/>
              <w:rPr>
                <w:b/>
              </w:rPr>
            </w:pPr>
            <w:r w:rsidRPr="00887834">
              <w:rPr>
                <w:b/>
                <w:szCs w:val="20"/>
              </w:rPr>
              <w:t>Lot Number</w:t>
            </w:r>
          </w:p>
        </w:tc>
        <w:tc>
          <w:tcPr>
            <w:tcW w:w="1099" w:type="dxa"/>
            <w:shd w:val="clear" w:color="auto" w:fill="B3B3B3"/>
          </w:tcPr>
          <w:p w14:paraId="11E47CBF" w14:textId="77777777" w:rsidR="007375B1" w:rsidRPr="00887834" w:rsidRDefault="007375B1" w:rsidP="00FC4396">
            <w:pPr>
              <w:pStyle w:val="TableText"/>
              <w:rPr>
                <w:b/>
                <w:szCs w:val="20"/>
              </w:rPr>
            </w:pPr>
            <w:r w:rsidRPr="00887834">
              <w:rPr>
                <w:b/>
                <w:szCs w:val="20"/>
              </w:rPr>
              <w:t>Expiration Date</w:t>
            </w:r>
          </w:p>
        </w:tc>
        <w:tc>
          <w:tcPr>
            <w:tcW w:w="1100" w:type="dxa"/>
            <w:shd w:val="clear" w:color="auto" w:fill="B3B3B3"/>
          </w:tcPr>
          <w:p w14:paraId="05927066" w14:textId="77777777" w:rsidR="007375B1" w:rsidRPr="00887834" w:rsidRDefault="007375B1" w:rsidP="00FC4396">
            <w:pPr>
              <w:pStyle w:val="TableText"/>
              <w:rPr>
                <w:b/>
                <w:szCs w:val="20"/>
              </w:rPr>
            </w:pPr>
            <w:r w:rsidRPr="00887834">
              <w:rPr>
                <w:b/>
                <w:szCs w:val="20"/>
              </w:rPr>
              <w:t>Reagent Red Cells</w:t>
            </w:r>
          </w:p>
        </w:tc>
        <w:tc>
          <w:tcPr>
            <w:tcW w:w="1100" w:type="dxa"/>
            <w:shd w:val="clear" w:color="auto" w:fill="B3B3B3"/>
          </w:tcPr>
          <w:p w14:paraId="5DEEB7B1" w14:textId="77777777" w:rsidR="007375B1" w:rsidRPr="00887834" w:rsidRDefault="007375B1" w:rsidP="00FC4396">
            <w:pPr>
              <w:pStyle w:val="TableText"/>
              <w:rPr>
                <w:b/>
                <w:szCs w:val="20"/>
              </w:rPr>
            </w:pPr>
            <w:r w:rsidRPr="00887834">
              <w:rPr>
                <w:b/>
                <w:szCs w:val="20"/>
              </w:rPr>
              <w:t>Lot Number</w:t>
            </w:r>
          </w:p>
        </w:tc>
        <w:tc>
          <w:tcPr>
            <w:tcW w:w="1100" w:type="dxa"/>
            <w:shd w:val="clear" w:color="auto" w:fill="B3B3B3"/>
          </w:tcPr>
          <w:p w14:paraId="2A09FBCF" w14:textId="77777777" w:rsidR="007375B1" w:rsidRPr="00887834" w:rsidRDefault="007375B1" w:rsidP="00FC4396">
            <w:pPr>
              <w:pStyle w:val="TableText"/>
              <w:rPr>
                <w:b/>
                <w:szCs w:val="20"/>
              </w:rPr>
            </w:pPr>
            <w:r w:rsidRPr="00887834">
              <w:rPr>
                <w:b/>
                <w:szCs w:val="20"/>
              </w:rPr>
              <w:t>Expiration Date</w:t>
            </w:r>
          </w:p>
        </w:tc>
        <w:tc>
          <w:tcPr>
            <w:tcW w:w="1100" w:type="dxa"/>
            <w:shd w:val="clear" w:color="auto" w:fill="B3B3B3"/>
          </w:tcPr>
          <w:p w14:paraId="5C0E0D5D" w14:textId="77777777" w:rsidR="007375B1" w:rsidRPr="00887834" w:rsidRDefault="007375B1" w:rsidP="00FC4396">
            <w:pPr>
              <w:pStyle w:val="TableText"/>
              <w:rPr>
                <w:b/>
              </w:rPr>
            </w:pPr>
            <w:r w:rsidRPr="00887834">
              <w:rPr>
                <w:b/>
                <w:szCs w:val="20"/>
              </w:rPr>
              <w:t>AHG</w:t>
            </w:r>
          </w:p>
        </w:tc>
        <w:tc>
          <w:tcPr>
            <w:tcW w:w="1100" w:type="dxa"/>
            <w:shd w:val="clear" w:color="auto" w:fill="B3B3B3"/>
          </w:tcPr>
          <w:p w14:paraId="22238879" w14:textId="77777777" w:rsidR="007375B1" w:rsidRPr="00887834" w:rsidRDefault="007375B1" w:rsidP="00FC4396">
            <w:pPr>
              <w:pStyle w:val="TableText"/>
              <w:rPr>
                <w:b/>
              </w:rPr>
            </w:pPr>
            <w:r w:rsidRPr="00887834">
              <w:rPr>
                <w:b/>
                <w:szCs w:val="20"/>
              </w:rPr>
              <w:t>CC</w:t>
            </w:r>
          </w:p>
        </w:tc>
        <w:tc>
          <w:tcPr>
            <w:tcW w:w="1410" w:type="dxa"/>
            <w:shd w:val="clear" w:color="auto" w:fill="B3B3B3"/>
          </w:tcPr>
          <w:p w14:paraId="48373BB6" w14:textId="77777777" w:rsidR="007375B1" w:rsidRPr="00887834" w:rsidRDefault="007375B1" w:rsidP="00FC4396">
            <w:pPr>
              <w:pStyle w:val="TableText"/>
              <w:rPr>
                <w:b/>
              </w:rPr>
            </w:pPr>
            <w:r w:rsidRPr="00887834">
              <w:rPr>
                <w:b/>
                <w:szCs w:val="20"/>
              </w:rPr>
              <w:t>Interpretation</w:t>
            </w:r>
          </w:p>
        </w:tc>
        <w:tc>
          <w:tcPr>
            <w:tcW w:w="1434" w:type="dxa"/>
            <w:shd w:val="clear" w:color="auto" w:fill="B3B3B3"/>
          </w:tcPr>
          <w:p w14:paraId="09FA7FF9" w14:textId="77777777" w:rsidR="007375B1" w:rsidRPr="00887834" w:rsidRDefault="007375B1" w:rsidP="00FC4396">
            <w:pPr>
              <w:pStyle w:val="TableText"/>
              <w:rPr>
                <w:b/>
              </w:rPr>
            </w:pPr>
            <w:r w:rsidRPr="00887834">
              <w:rPr>
                <w:b/>
                <w:szCs w:val="20"/>
              </w:rPr>
              <w:t>Tech Name</w:t>
            </w:r>
          </w:p>
        </w:tc>
      </w:tr>
      <w:tr w:rsidR="00887834" w14:paraId="39F05340" w14:textId="77777777">
        <w:trPr>
          <w:trHeight w:val="432"/>
        </w:trPr>
        <w:tc>
          <w:tcPr>
            <w:tcW w:w="2418" w:type="dxa"/>
          </w:tcPr>
          <w:p w14:paraId="71E1F21A" w14:textId="77777777" w:rsidR="007375B1" w:rsidRPr="00887834" w:rsidRDefault="007375B1" w:rsidP="00DF12C8">
            <w:pPr>
              <w:pStyle w:val="TableText"/>
              <w:rPr>
                <w:b/>
              </w:rPr>
            </w:pPr>
            <w:r w:rsidRPr="00887834">
              <w:rPr>
                <w:b/>
              </w:rPr>
              <w:t>Polyspecific</w:t>
            </w:r>
          </w:p>
        </w:tc>
        <w:tc>
          <w:tcPr>
            <w:tcW w:w="1099" w:type="dxa"/>
          </w:tcPr>
          <w:p w14:paraId="0411C5D6" w14:textId="77777777" w:rsidR="007375B1" w:rsidRDefault="007375B1" w:rsidP="00DF12C8">
            <w:pPr>
              <w:pStyle w:val="TableText"/>
            </w:pPr>
          </w:p>
        </w:tc>
        <w:tc>
          <w:tcPr>
            <w:tcW w:w="1099" w:type="dxa"/>
          </w:tcPr>
          <w:p w14:paraId="38DF55EB" w14:textId="77777777" w:rsidR="007375B1" w:rsidRDefault="007375B1" w:rsidP="00DF12C8">
            <w:pPr>
              <w:pStyle w:val="TableText"/>
            </w:pPr>
          </w:p>
        </w:tc>
        <w:tc>
          <w:tcPr>
            <w:tcW w:w="1100" w:type="dxa"/>
          </w:tcPr>
          <w:p w14:paraId="6AEFF488" w14:textId="77777777" w:rsidR="007375B1" w:rsidRDefault="007375B1" w:rsidP="00DF12C8">
            <w:pPr>
              <w:pStyle w:val="TableText"/>
            </w:pPr>
          </w:p>
        </w:tc>
        <w:tc>
          <w:tcPr>
            <w:tcW w:w="1100" w:type="dxa"/>
          </w:tcPr>
          <w:p w14:paraId="1284EF48" w14:textId="77777777" w:rsidR="007375B1" w:rsidRDefault="007375B1" w:rsidP="00DF12C8">
            <w:pPr>
              <w:pStyle w:val="TableText"/>
            </w:pPr>
          </w:p>
        </w:tc>
        <w:tc>
          <w:tcPr>
            <w:tcW w:w="1100" w:type="dxa"/>
          </w:tcPr>
          <w:p w14:paraId="10DC69F6" w14:textId="77777777" w:rsidR="007375B1" w:rsidRDefault="007375B1" w:rsidP="00DF12C8">
            <w:pPr>
              <w:pStyle w:val="TableText"/>
            </w:pPr>
          </w:p>
        </w:tc>
        <w:tc>
          <w:tcPr>
            <w:tcW w:w="1100" w:type="dxa"/>
          </w:tcPr>
          <w:p w14:paraId="72D9BCCF" w14:textId="77777777" w:rsidR="007375B1" w:rsidRDefault="007375B1" w:rsidP="00DF12C8">
            <w:pPr>
              <w:pStyle w:val="TableText"/>
            </w:pPr>
          </w:p>
        </w:tc>
        <w:tc>
          <w:tcPr>
            <w:tcW w:w="1100" w:type="dxa"/>
          </w:tcPr>
          <w:p w14:paraId="262D451D" w14:textId="77777777" w:rsidR="007375B1" w:rsidRDefault="007375B1" w:rsidP="00DF12C8">
            <w:pPr>
              <w:pStyle w:val="TableText"/>
            </w:pPr>
          </w:p>
        </w:tc>
        <w:tc>
          <w:tcPr>
            <w:tcW w:w="1410" w:type="dxa"/>
          </w:tcPr>
          <w:p w14:paraId="31C14360" w14:textId="77777777" w:rsidR="007375B1" w:rsidRDefault="007375B1" w:rsidP="00DF12C8">
            <w:pPr>
              <w:pStyle w:val="TableText"/>
            </w:pPr>
          </w:p>
        </w:tc>
        <w:tc>
          <w:tcPr>
            <w:tcW w:w="1434" w:type="dxa"/>
          </w:tcPr>
          <w:p w14:paraId="5E428B8C" w14:textId="77777777" w:rsidR="007375B1" w:rsidRDefault="007375B1" w:rsidP="00DF12C8">
            <w:pPr>
              <w:pStyle w:val="TableText"/>
            </w:pPr>
          </w:p>
        </w:tc>
      </w:tr>
      <w:tr w:rsidR="00887834" w14:paraId="07769D52" w14:textId="77777777">
        <w:trPr>
          <w:trHeight w:val="432"/>
        </w:trPr>
        <w:tc>
          <w:tcPr>
            <w:tcW w:w="2418" w:type="dxa"/>
          </w:tcPr>
          <w:p w14:paraId="53B68C79" w14:textId="77777777" w:rsidR="007375B1" w:rsidRPr="00887834" w:rsidRDefault="007375B1" w:rsidP="00DF12C8">
            <w:pPr>
              <w:pStyle w:val="TableText"/>
              <w:rPr>
                <w:b/>
              </w:rPr>
            </w:pPr>
            <w:r w:rsidRPr="00887834">
              <w:rPr>
                <w:b/>
              </w:rPr>
              <w:t>Anti-IgG</w:t>
            </w:r>
          </w:p>
        </w:tc>
        <w:tc>
          <w:tcPr>
            <w:tcW w:w="1099" w:type="dxa"/>
          </w:tcPr>
          <w:p w14:paraId="1D37F013" w14:textId="77777777" w:rsidR="007375B1" w:rsidRDefault="007375B1" w:rsidP="00DF12C8">
            <w:pPr>
              <w:pStyle w:val="TableText"/>
            </w:pPr>
          </w:p>
        </w:tc>
        <w:tc>
          <w:tcPr>
            <w:tcW w:w="1099" w:type="dxa"/>
          </w:tcPr>
          <w:p w14:paraId="0601D4E2" w14:textId="77777777" w:rsidR="007375B1" w:rsidRDefault="007375B1" w:rsidP="00DF12C8">
            <w:pPr>
              <w:pStyle w:val="TableText"/>
            </w:pPr>
          </w:p>
        </w:tc>
        <w:tc>
          <w:tcPr>
            <w:tcW w:w="1100" w:type="dxa"/>
          </w:tcPr>
          <w:p w14:paraId="0F509CA0" w14:textId="77777777" w:rsidR="007375B1" w:rsidRDefault="007375B1" w:rsidP="00DF12C8">
            <w:pPr>
              <w:pStyle w:val="TableText"/>
            </w:pPr>
          </w:p>
        </w:tc>
        <w:tc>
          <w:tcPr>
            <w:tcW w:w="1100" w:type="dxa"/>
          </w:tcPr>
          <w:p w14:paraId="22955448" w14:textId="77777777" w:rsidR="007375B1" w:rsidRDefault="007375B1" w:rsidP="00DF12C8">
            <w:pPr>
              <w:pStyle w:val="TableText"/>
            </w:pPr>
          </w:p>
        </w:tc>
        <w:tc>
          <w:tcPr>
            <w:tcW w:w="1100" w:type="dxa"/>
          </w:tcPr>
          <w:p w14:paraId="55CF23CC" w14:textId="77777777" w:rsidR="007375B1" w:rsidRDefault="007375B1" w:rsidP="00DF12C8">
            <w:pPr>
              <w:pStyle w:val="TableText"/>
            </w:pPr>
          </w:p>
        </w:tc>
        <w:tc>
          <w:tcPr>
            <w:tcW w:w="1100" w:type="dxa"/>
          </w:tcPr>
          <w:p w14:paraId="069D3A8E" w14:textId="77777777" w:rsidR="007375B1" w:rsidRDefault="007375B1" w:rsidP="00DF12C8">
            <w:pPr>
              <w:pStyle w:val="TableText"/>
            </w:pPr>
          </w:p>
        </w:tc>
        <w:tc>
          <w:tcPr>
            <w:tcW w:w="1100" w:type="dxa"/>
          </w:tcPr>
          <w:p w14:paraId="58DC0D36" w14:textId="77777777" w:rsidR="007375B1" w:rsidRDefault="007375B1" w:rsidP="00DF12C8">
            <w:pPr>
              <w:pStyle w:val="TableText"/>
            </w:pPr>
          </w:p>
        </w:tc>
        <w:tc>
          <w:tcPr>
            <w:tcW w:w="1410" w:type="dxa"/>
          </w:tcPr>
          <w:p w14:paraId="0CF3B03B" w14:textId="77777777" w:rsidR="007375B1" w:rsidRDefault="007375B1" w:rsidP="00DF12C8">
            <w:pPr>
              <w:pStyle w:val="TableText"/>
            </w:pPr>
          </w:p>
        </w:tc>
        <w:tc>
          <w:tcPr>
            <w:tcW w:w="1434" w:type="dxa"/>
          </w:tcPr>
          <w:p w14:paraId="7BBC7237" w14:textId="77777777" w:rsidR="007375B1" w:rsidRDefault="007375B1" w:rsidP="00DF12C8">
            <w:pPr>
              <w:pStyle w:val="TableText"/>
            </w:pPr>
          </w:p>
        </w:tc>
      </w:tr>
      <w:tr w:rsidR="00887834" w14:paraId="7E125E34" w14:textId="77777777">
        <w:trPr>
          <w:trHeight w:val="432"/>
        </w:trPr>
        <w:tc>
          <w:tcPr>
            <w:tcW w:w="2418" w:type="dxa"/>
          </w:tcPr>
          <w:p w14:paraId="6C7E17A5" w14:textId="77777777" w:rsidR="007375B1" w:rsidRPr="00887834" w:rsidRDefault="007375B1" w:rsidP="00DF12C8">
            <w:pPr>
              <w:pStyle w:val="TableText"/>
              <w:rPr>
                <w:b/>
              </w:rPr>
            </w:pPr>
            <w:r w:rsidRPr="00887834">
              <w:rPr>
                <w:b/>
              </w:rPr>
              <w:t>Anti-C3d</w:t>
            </w:r>
          </w:p>
        </w:tc>
        <w:tc>
          <w:tcPr>
            <w:tcW w:w="1099" w:type="dxa"/>
          </w:tcPr>
          <w:p w14:paraId="3C5E125F" w14:textId="77777777" w:rsidR="007375B1" w:rsidRDefault="007375B1" w:rsidP="00DF12C8">
            <w:pPr>
              <w:pStyle w:val="TableText"/>
            </w:pPr>
          </w:p>
        </w:tc>
        <w:tc>
          <w:tcPr>
            <w:tcW w:w="1099" w:type="dxa"/>
          </w:tcPr>
          <w:p w14:paraId="7FF3A30B" w14:textId="77777777" w:rsidR="007375B1" w:rsidRDefault="007375B1" w:rsidP="00DF12C8">
            <w:pPr>
              <w:pStyle w:val="TableText"/>
            </w:pPr>
          </w:p>
        </w:tc>
        <w:tc>
          <w:tcPr>
            <w:tcW w:w="1100" w:type="dxa"/>
          </w:tcPr>
          <w:p w14:paraId="40C2E9B6" w14:textId="77777777" w:rsidR="007375B1" w:rsidRDefault="007375B1" w:rsidP="00DF12C8">
            <w:pPr>
              <w:pStyle w:val="TableText"/>
            </w:pPr>
          </w:p>
        </w:tc>
        <w:tc>
          <w:tcPr>
            <w:tcW w:w="1100" w:type="dxa"/>
          </w:tcPr>
          <w:p w14:paraId="108CC9C1" w14:textId="77777777" w:rsidR="007375B1" w:rsidRDefault="007375B1" w:rsidP="00DF12C8">
            <w:pPr>
              <w:pStyle w:val="TableText"/>
            </w:pPr>
          </w:p>
        </w:tc>
        <w:tc>
          <w:tcPr>
            <w:tcW w:w="1100" w:type="dxa"/>
          </w:tcPr>
          <w:p w14:paraId="0424B467" w14:textId="77777777" w:rsidR="007375B1" w:rsidRDefault="007375B1" w:rsidP="00DF12C8">
            <w:pPr>
              <w:pStyle w:val="TableText"/>
            </w:pPr>
          </w:p>
        </w:tc>
        <w:tc>
          <w:tcPr>
            <w:tcW w:w="1100" w:type="dxa"/>
          </w:tcPr>
          <w:p w14:paraId="0F298B3E" w14:textId="77777777" w:rsidR="007375B1" w:rsidRDefault="007375B1" w:rsidP="00DF12C8">
            <w:pPr>
              <w:pStyle w:val="TableText"/>
            </w:pPr>
          </w:p>
        </w:tc>
        <w:tc>
          <w:tcPr>
            <w:tcW w:w="1100" w:type="dxa"/>
          </w:tcPr>
          <w:p w14:paraId="47CF895D" w14:textId="77777777" w:rsidR="007375B1" w:rsidRDefault="007375B1" w:rsidP="00DF12C8">
            <w:pPr>
              <w:pStyle w:val="TableText"/>
            </w:pPr>
          </w:p>
        </w:tc>
        <w:tc>
          <w:tcPr>
            <w:tcW w:w="1410" w:type="dxa"/>
          </w:tcPr>
          <w:p w14:paraId="7FD58554" w14:textId="77777777" w:rsidR="007375B1" w:rsidRDefault="007375B1" w:rsidP="00DF12C8">
            <w:pPr>
              <w:pStyle w:val="TableText"/>
            </w:pPr>
          </w:p>
        </w:tc>
        <w:tc>
          <w:tcPr>
            <w:tcW w:w="1434" w:type="dxa"/>
          </w:tcPr>
          <w:p w14:paraId="3D68F1D5" w14:textId="77777777" w:rsidR="007375B1" w:rsidRDefault="007375B1" w:rsidP="00DF12C8">
            <w:pPr>
              <w:pStyle w:val="TableText"/>
            </w:pPr>
          </w:p>
        </w:tc>
      </w:tr>
    </w:tbl>
    <w:p w14:paraId="21B4EB53" w14:textId="77777777" w:rsidR="00C54677" w:rsidRDefault="00C54677" w:rsidP="00C54677">
      <w:pPr>
        <w:pStyle w:val="BodyText"/>
      </w:pPr>
      <w:r>
        <w:t>Test Results: Positive, Graded = M, F, W, 1+, 2+, 3+, 4+; Negative = 0; NT = Not Tested</w:t>
      </w:r>
    </w:p>
    <w:p w14:paraId="34B4A180" w14:textId="77777777" w:rsidR="0050722E" w:rsidRDefault="0050722E" w:rsidP="00C54677">
      <w:pPr>
        <w:pStyle w:val="BodyText"/>
      </w:pPr>
    </w:p>
    <w:p w14:paraId="10A476E2" w14:textId="77777777" w:rsidR="00E7240A" w:rsidRDefault="00E7240A" w:rsidP="0050722E">
      <w:pPr>
        <w:pStyle w:val="Heading3"/>
      </w:pPr>
      <w:r>
        <w:br w:type="page"/>
      </w:r>
      <w:bookmarkStart w:id="664" w:name="_Toc203765969"/>
      <w:r>
        <w:lastRenderedPageBreak/>
        <w:t>Unit ABO/Rh Confirmation Form</w:t>
      </w:r>
      <w:bookmarkEnd w:id="664"/>
      <w:r w:rsidR="00246F04">
        <w:fldChar w:fldCharType="begin"/>
      </w:r>
      <w:r w:rsidR="00246F04">
        <w:instrText xml:space="preserve"> XE "</w:instrText>
      </w:r>
      <w:r w:rsidR="00246F04" w:rsidRPr="005960AD">
        <w:instrText>Unit ABO/Rh Confirmation Form</w:instrText>
      </w:r>
      <w:r w:rsidR="00246F04">
        <w:instrText xml:space="preserve">" </w:instrText>
      </w:r>
      <w:r w:rsidR="00246F04">
        <w:fldChar w:fldCharType="end"/>
      </w:r>
      <w:r w:rsidR="00A95965">
        <w:fldChar w:fldCharType="begin"/>
      </w:r>
      <w:r w:rsidR="00A95965">
        <w:instrText xml:space="preserve"> XE “Forms:Unit ABO/Rh Confirmation Form” </w:instrText>
      </w:r>
      <w:r w:rsidR="00A95965">
        <w:fldChar w:fldCharType="end"/>
      </w:r>
    </w:p>
    <w:tbl>
      <w:tblPr>
        <w:tblW w:w="12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70"/>
        <w:gridCol w:w="3161"/>
        <w:gridCol w:w="1588"/>
        <w:gridCol w:w="1584"/>
        <w:gridCol w:w="3157"/>
      </w:tblGrid>
      <w:tr w:rsidR="003F4F8B" w14:paraId="6945A448" w14:textId="77777777">
        <w:tc>
          <w:tcPr>
            <w:tcW w:w="12960" w:type="dxa"/>
            <w:gridSpan w:val="5"/>
          </w:tcPr>
          <w:p w14:paraId="1071653E" w14:textId="77777777" w:rsidR="003F4F8B" w:rsidRPr="003F4F8B" w:rsidRDefault="003F4F8B" w:rsidP="003F4F8B">
            <w:pPr>
              <w:pStyle w:val="TableText"/>
            </w:pPr>
            <w:r w:rsidRPr="00887834">
              <w:rPr>
                <w:b/>
              </w:rPr>
              <w:t xml:space="preserve">Facility Name: </w:t>
            </w:r>
          </w:p>
        </w:tc>
      </w:tr>
      <w:tr w:rsidR="003F4F8B" w14:paraId="6768CD82" w14:textId="77777777">
        <w:tc>
          <w:tcPr>
            <w:tcW w:w="12960" w:type="dxa"/>
            <w:gridSpan w:val="5"/>
          </w:tcPr>
          <w:p w14:paraId="2FBC572B" w14:textId="77777777" w:rsidR="003F4F8B" w:rsidRPr="003F4F8B" w:rsidRDefault="003F4F8B" w:rsidP="003F4F8B">
            <w:pPr>
              <w:pStyle w:val="TableText"/>
            </w:pPr>
            <w:r w:rsidRPr="00887834">
              <w:rPr>
                <w:b/>
              </w:rPr>
              <w:t xml:space="preserve">Address: </w:t>
            </w:r>
          </w:p>
        </w:tc>
      </w:tr>
      <w:tr w:rsidR="003F4F8B" w14:paraId="47C8DFEE" w14:textId="77777777">
        <w:tc>
          <w:tcPr>
            <w:tcW w:w="12960" w:type="dxa"/>
            <w:gridSpan w:val="5"/>
          </w:tcPr>
          <w:p w14:paraId="3AA0D99B" w14:textId="77777777" w:rsidR="003F4F8B" w:rsidRPr="003F4F8B" w:rsidRDefault="003F4F8B" w:rsidP="003F4F8B">
            <w:pPr>
              <w:pStyle w:val="TableText"/>
            </w:pPr>
            <w:r w:rsidRPr="00887834">
              <w:rPr>
                <w:b/>
              </w:rPr>
              <w:t>City, State, Zip Code:</w:t>
            </w:r>
            <w:r>
              <w:t xml:space="preserve"> </w:t>
            </w:r>
          </w:p>
        </w:tc>
      </w:tr>
      <w:tr w:rsidR="00E7240A" w14:paraId="6675C4F7"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B3B3B3"/>
          <w:tblLook w:val="0000" w:firstRow="0" w:lastRow="0" w:firstColumn="0" w:lastColumn="0" w:noHBand="0" w:noVBand="0"/>
        </w:tblPrEx>
        <w:trPr>
          <w:cantSplit/>
          <w:trHeight w:val="230"/>
        </w:trPr>
        <w:tc>
          <w:tcPr>
            <w:tcW w:w="3470" w:type="dxa"/>
            <w:tcBorders>
              <w:bottom w:val="single" w:sz="2" w:space="0" w:color="auto"/>
            </w:tcBorders>
            <w:shd w:val="clear" w:color="auto" w:fill="B3B3B3"/>
            <w:noWrap/>
          </w:tcPr>
          <w:p w14:paraId="00439863" w14:textId="77777777" w:rsidR="00E7240A" w:rsidRPr="00E8564A" w:rsidRDefault="00E7240A" w:rsidP="00A95965">
            <w:pPr>
              <w:pStyle w:val="TableText"/>
              <w:rPr>
                <w:b/>
                <w:szCs w:val="20"/>
              </w:rPr>
            </w:pPr>
            <w:r w:rsidRPr="00E8564A">
              <w:rPr>
                <w:b/>
                <w:szCs w:val="20"/>
              </w:rPr>
              <w:t>Invoice Number</w:t>
            </w:r>
          </w:p>
        </w:tc>
        <w:tc>
          <w:tcPr>
            <w:tcW w:w="3161" w:type="dxa"/>
            <w:tcBorders>
              <w:bottom w:val="single" w:sz="2" w:space="0" w:color="auto"/>
            </w:tcBorders>
            <w:shd w:val="clear" w:color="auto" w:fill="B3B3B3"/>
          </w:tcPr>
          <w:p w14:paraId="3C39C929" w14:textId="77777777" w:rsidR="00E7240A" w:rsidRPr="00E8564A" w:rsidRDefault="00E7240A" w:rsidP="00A95965">
            <w:pPr>
              <w:pStyle w:val="TableText"/>
              <w:rPr>
                <w:b/>
                <w:szCs w:val="20"/>
              </w:rPr>
            </w:pPr>
            <w:r w:rsidRPr="00E8564A">
              <w:rPr>
                <w:b/>
                <w:szCs w:val="20"/>
              </w:rPr>
              <w:t>Source (Shipper) Name</w:t>
            </w:r>
          </w:p>
        </w:tc>
        <w:tc>
          <w:tcPr>
            <w:tcW w:w="1588" w:type="dxa"/>
            <w:tcBorders>
              <w:bottom w:val="single" w:sz="2" w:space="0" w:color="auto"/>
            </w:tcBorders>
            <w:shd w:val="clear" w:color="auto" w:fill="B3B3B3"/>
          </w:tcPr>
          <w:p w14:paraId="0FE6F068" w14:textId="77777777" w:rsidR="00E7240A" w:rsidRPr="00E8564A" w:rsidRDefault="00E7240A" w:rsidP="00A95965">
            <w:pPr>
              <w:pStyle w:val="TableText"/>
              <w:rPr>
                <w:b/>
                <w:szCs w:val="20"/>
              </w:rPr>
            </w:pPr>
            <w:r w:rsidRPr="00E8564A">
              <w:rPr>
                <w:b/>
                <w:szCs w:val="20"/>
              </w:rPr>
              <w:t>Reagent Rack</w:t>
            </w:r>
          </w:p>
        </w:tc>
        <w:tc>
          <w:tcPr>
            <w:tcW w:w="1584" w:type="dxa"/>
            <w:tcBorders>
              <w:bottom w:val="single" w:sz="2" w:space="0" w:color="auto"/>
            </w:tcBorders>
            <w:shd w:val="clear" w:color="auto" w:fill="B3B3B3"/>
          </w:tcPr>
          <w:p w14:paraId="29A184B9" w14:textId="77777777" w:rsidR="00E7240A" w:rsidRPr="00E8564A" w:rsidRDefault="00E7240A" w:rsidP="00A95965">
            <w:pPr>
              <w:pStyle w:val="TableText"/>
              <w:rPr>
                <w:b/>
                <w:szCs w:val="20"/>
              </w:rPr>
            </w:pPr>
            <w:r w:rsidRPr="00E8564A">
              <w:rPr>
                <w:b/>
                <w:szCs w:val="20"/>
              </w:rPr>
              <w:t>Date</w:t>
            </w:r>
            <w:r>
              <w:rPr>
                <w:b/>
                <w:szCs w:val="20"/>
              </w:rPr>
              <w:t xml:space="preserve"> and Time</w:t>
            </w:r>
          </w:p>
        </w:tc>
        <w:tc>
          <w:tcPr>
            <w:tcW w:w="3157" w:type="dxa"/>
            <w:tcBorders>
              <w:bottom w:val="single" w:sz="2" w:space="0" w:color="auto"/>
            </w:tcBorders>
            <w:shd w:val="clear" w:color="auto" w:fill="B3B3B3"/>
          </w:tcPr>
          <w:p w14:paraId="346D76DD" w14:textId="77777777" w:rsidR="00E7240A" w:rsidRPr="00E8564A" w:rsidRDefault="00E7240A" w:rsidP="00A95965">
            <w:pPr>
              <w:pStyle w:val="TableText"/>
              <w:rPr>
                <w:b/>
                <w:szCs w:val="20"/>
              </w:rPr>
            </w:pPr>
            <w:r w:rsidRPr="00E8564A">
              <w:rPr>
                <w:b/>
                <w:szCs w:val="20"/>
              </w:rPr>
              <w:t>Tech Name</w:t>
            </w:r>
          </w:p>
        </w:tc>
      </w:tr>
      <w:tr w:rsidR="00E7240A" w14:paraId="1064CDBF"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B3B3B3"/>
          <w:tblLook w:val="0000" w:firstRow="0" w:lastRow="0" w:firstColumn="0" w:lastColumn="0" w:noHBand="0" w:noVBand="0"/>
        </w:tblPrEx>
        <w:trPr>
          <w:cantSplit/>
          <w:trHeight w:val="432"/>
        </w:trPr>
        <w:tc>
          <w:tcPr>
            <w:tcW w:w="3470" w:type="dxa"/>
            <w:shd w:val="clear" w:color="auto" w:fill="auto"/>
            <w:noWrap/>
          </w:tcPr>
          <w:p w14:paraId="4F1218E9" w14:textId="77777777" w:rsidR="00E7240A" w:rsidRPr="00E8564A" w:rsidRDefault="00E7240A" w:rsidP="00A95965">
            <w:pPr>
              <w:pStyle w:val="TableText"/>
              <w:rPr>
                <w:b/>
                <w:szCs w:val="20"/>
              </w:rPr>
            </w:pPr>
          </w:p>
        </w:tc>
        <w:tc>
          <w:tcPr>
            <w:tcW w:w="3161" w:type="dxa"/>
            <w:shd w:val="clear" w:color="auto" w:fill="auto"/>
          </w:tcPr>
          <w:p w14:paraId="0452930A" w14:textId="77777777" w:rsidR="00E7240A" w:rsidRPr="00E8564A" w:rsidRDefault="00E7240A" w:rsidP="00A95965">
            <w:pPr>
              <w:pStyle w:val="TableText"/>
              <w:rPr>
                <w:b/>
                <w:szCs w:val="20"/>
              </w:rPr>
            </w:pPr>
          </w:p>
        </w:tc>
        <w:tc>
          <w:tcPr>
            <w:tcW w:w="1588" w:type="dxa"/>
            <w:shd w:val="clear" w:color="auto" w:fill="auto"/>
          </w:tcPr>
          <w:p w14:paraId="6EDFABCA" w14:textId="77777777" w:rsidR="00E7240A" w:rsidRPr="00E8564A" w:rsidRDefault="00E7240A" w:rsidP="00A95965">
            <w:pPr>
              <w:pStyle w:val="TableText"/>
              <w:rPr>
                <w:b/>
                <w:szCs w:val="20"/>
              </w:rPr>
            </w:pPr>
          </w:p>
        </w:tc>
        <w:tc>
          <w:tcPr>
            <w:tcW w:w="1584" w:type="dxa"/>
            <w:shd w:val="clear" w:color="auto" w:fill="auto"/>
          </w:tcPr>
          <w:p w14:paraId="15CE5753" w14:textId="77777777" w:rsidR="00E7240A" w:rsidRPr="00E8564A" w:rsidRDefault="00E7240A" w:rsidP="00A95965">
            <w:pPr>
              <w:pStyle w:val="TableText"/>
              <w:rPr>
                <w:b/>
                <w:szCs w:val="20"/>
              </w:rPr>
            </w:pPr>
          </w:p>
        </w:tc>
        <w:tc>
          <w:tcPr>
            <w:tcW w:w="3157" w:type="dxa"/>
            <w:shd w:val="clear" w:color="auto" w:fill="auto"/>
          </w:tcPr>
          <w:p w14:paraId="27F8D735" w14:textId="77777777" w:rsidR="00E7240A" w:rsidRPr="00E8564A" w:rsidRDefault="00E7240A" w:rsidP="00A95965">
            <w:pPr>
              <w:pStyle w:val="TableText"/>
              <w:rPr>
                <w:b/>
                <w:szCs w:val="20"/>
              </w:rPr>
            </w:pPr>
          </w:p>
        </w:tc>
      </w:tr>
    </w:tbl>
    <w:p w14:paraId="0635C26D" w14:textId="77777777" w:rsidR="00E7240A" w:rsidRDefault="00E7240A" w:rsidP="00DD75E5">
      <w:pPr>
        <w:pStyle w:val="BodyText"/>
      </w:pPr>
    </w:p>
    <w:tbl>
      <w:tblPr>
        <w:tblW w:w="1296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
      <w:tblGrid>
        <w:gridCol w:w="3973"/>
        <w:gridCol w:w="1127"/>
        <w:gridCol w:w="1132"/>
        <w:gridCol w:w="971"/>
        <w:gridCol w:w="971"/>
        <w:gridCol w:w="971"/>
        <w:gridCol w:w="971"/>
        <w:gridCol w:w="1103"/>
        <w:gridCol w:w="1741"/>
      </w:tblGrid>
      <w:tr w:rsidR="006304EB" w14:paraId="10B5B47E" w14:textId="77777777">
        <w:trPr>
          <w:cantSplit/>
          <w:trHeight w:val="230"/>
          <w:tblHeader/>
        </w:trPr>
        <w:tc>
          <w:tcPr>
            <w:tcW w:w="3973" w:type="dxa"/>
            <w:shd w:val="clear" w:color="auto" w:fill="B3B3B3"/>
            <w:noWrap/>
          </w:tcPr>
          <w:p w14:paraId="57707F40" w14:textId="77777777" w:rsidR="006304EB" w:rsidRPr="005F4649" w:rsidRDefault="006304EB" w:rsidP="00A95965">
            <w:pPr>
              <w:pStyle w:val="TableText"/>
              <w:rPr>
                <w:b/>
                <w:szCs w:val="20"/>
              </w:rPr>
            </w:pPr>
            <w:r w:rsidRPr="005F4649">
              <w:rPr>
                <w:b/>
                <w:szCs w:val="20"/>
              </w:rPr>
              <w:t>Unit Identification Number</w:t>
            </w:r>
          </w:p>
        </w:tc>
        <w:tc>
          <w:tcPr>
            <w:tcW w:w="1127" w:type="dxa"/>
            <w:shd w:val="clear" w:color="auto" w:fill="B3B3B3"/>
          </w:tcPr>
          <w:p w14:paraId="11CEA82C" w14:textId="77777777" w:rsidR="006304EB" w:rsidRPr="005F4649" w:rsidRDefault="006304EB" w:rsidP="006304EB">
            <w:pPr>
              <w:pStyle w:val="TableText"/>
              <w:rPr>
                <w:b/>
                <w:szCs w:val="20"/>
              </w:rPr>
            </w:pPr>
            <w:r>
              <w:rPr>
                <w:b/>
                <w:szCs w:val="20"/>
              </w:rPr>
              <w:t xml:space="preserve">Product Code </w:t>
            </w:r>
          </w:p>
        </w:tc>
        <w:tc>
          <w:tcPr>
            <w:tcW w:w="1132" w:type="dxa"/>
            <w:shd w:val="clear" w:color="auto" w:fill="B3B3B3"/>
          </w:tcPr>
          <w:p w14:paraId="4016655E" w14:textId="77777777" w:rsidR="006304EB" w:rsidRPr="005F4649" w:rsidRDefault="006304EB" w:rsidP="00A95965">
            <w:pPr>
              <w:pStyle w:val="TableText"/>
              <w:rPr>
                <w:b/>
                <w:szCs w:val="20"/>
              </w:rPr>
            </w:pPr>
            <w:r w:rsidRPr="005F4649">
              <w:rPr>
                <w:b/>
                <w:szCs w:val="20"/>
              </w:rPr>
              <w:t>Unit ABO/Rh</w:t>
            </w:r>
          </w:p>
        </w:tc>
        <w:tc>
          <w:tcPr>
            <w:tcW w:w="971" w:type="dxa"/>
            <w:shd w:val="clear" w:color="auto" w:fill="B3B3B3"/>
          </w:tcPr>
          <w:p w14:paraId="363BA8A2" w14:textId="77777777" w:rsidR="006304EB" w:rsidRPr="005F4649" w:rsidRDefault="006304EB" w:rsidP="00A95965">
            <w:pPr>
              <w:pStyle w:val="TableText"/>
              <w:rPr>
                <w:b/>
                <w:szCs w:val="20"/>
              </w:rPr>
            </w:pPr>
            <w:r w:rsidRPr="005F4649">
              <w:rPr>
                <w:b/>
                <w:szCs w:val="20"/>
              </w:rPr>
              <w:t>Anti-A</w:t>
            </w:r>
          </w:p>
        </w:tc>
        <w:tc>
          <w:tcPr>
            <w:tcW w:w="971" w:type="dxa"/>
            <w:shd w:val="clear" w:color="auto" w:fill="B3B3B3"/>
          </w:tcPr>
          <w:p w14:paraId="29C10E64" w14:textId="77777777" w:rsidR="006304EB" w:rsidRPr="005F4649" w:rsidRDefault="006304EB" w:rsidP="00A95965">
            <w:pPr>
              <w:pStyle w:val="TableText"/>
              <w:rPr>
                <w:b/>
                <w:szCs w:val="20"/>
              </w:rPr>
            </w:pPr>
            <w:r w:rsidRPr="005F4649">
              <w:rPr>
                <w:b/>
                <w:szCs w:val="20"/>
              </w:rPr>
              <w:t>Anti-B</w:t>
            </w:r>
          </w:p>
        </w:tc>
        <w:tc>
          <w:tcPr>
            <w:tcW w:w="971" w:type="dxa"/>
            <w:shd w:val="clear" w:color="auto" w:fill="B3B3B3"/>
          </w:tcPr>
          <w:p w14:paraId="6E51ED5D" w14:textId="77777777" w:rsidR="006304EB" w:rsidRPr="005F4649" w:rsidRDefault="006304EB" w:rsidP="00A95965">
            <w:pPr>
              <w:pStyle w:val="TableText"/>
              <w:rPr>
                <w:b/>
                <w:szCs w:val="20"/>
              </w:rPr>
            </w:pPr>
            <w:r w:rsidRPr="005F4649">
              <w:rPr>
                <w:b/>
                <w:szCs w:val="20"/>
              </w:rPr>
              <w:t>Anti-A,B</w:t>
            </w:r>
          </w:p>
        </w:tc>
        <w:tc>
          <w:tcPr>
            <w:tcW w:w="971" w:type="dxa"/>
            <w:shd w:val="clear" w:color="auto" w:fill="B3B3B3"/>
          </w:tcPr>
          <w:p w14:paraId="580BFD39" w14:textId="77777777" w:rsidR="006304EB" w:rsidRPr="005F4649" w:rsidRDefault="006304EB" w:rsidP="00A95965">
            <w:pPr>
              <w:pStyle w:val="TableText"/>
              <w:rPr>
                <w:b/>
                <w:szCs w:val="20"/>
              </w:rPr>
            </w:pPr>
            <w:r w:rsidRPr="005F4649">
              <w:rPr>
                <w:b/>
                <w:szCs w:val="20"/>
              </w:rPr>
              <w:t>Anti-D</w:t>
            </w:r>
          </w:p>
        </w:tc>
        <w:tc>
          <w:tcPr>
            <w:tcW w:w="1103" w:type="dxa"/>
            <w:shd w:val="clear" w:color="auto" w:fill="B3B3B3"/>
          </w:tcPr>
          <w:p w14:paraId="5EFE5809" w14:textId="77777777" w:rsidR="006304EB" w:rsidRPr="005F4649" w:rsidRDefault="006304EB" w:rsidP="00A95965">
            <w:pPr>
              <w:pStyle w:val="TableText"/>
              <w:rPr>
                <w:b/>
                <w:szCs w:val="20"/>
              </w:rPr>
            </w:pPr>
            <w:r>
              <w:rPr>
                <w:b/>
                <w:szCs w:val="20"/>
              </w:rPr>
              <w:t>Rh C</w:t>
            </w:r>
            <w:r w:rsidRPr="005F4649">
              <w:rPr>
                <w:b/>
                <w:szCs w:val="20"/>
              </w:rPr>
              <w:t>ontrol</w:t>
            </w:r>
          </w:p>
        </w:tc>
        <w:tc>
          <w:tcPr>
            <w:tcW w:w="1741" w:type="dxa"/>
            <w:shd w:val="clear" w:color="auto" w:fill="B3B3B3"/>
          </w:tcPr>
          <w:p w14:paraId="5E84336D" w14:textId="77777777" w:rsidR="006304EB" w:rsidRPr="005F4649" w:rsidRDefault="006304EB" w:rsidP="00A95965">
            <w:pPr>
              <w:pStyle w:val="TableText"/>
              <w:rPr>
                <w:b/>
                <w:szCs w:val="20"/>
              </w:rPr>
            </w:pPr>
            <w:r w:rsidRPr="005F4649">
              <w:rPr>
                <w:b/>
                <w:szCs w:val="20"/>
              </w:rPr>
              <w:t>ABO/Rh Interpretation</w:t>
            </w:r>
          </w:p>
        </w:tc>
      </w:tr>
      <w:tr w:rsidR="006304EB" w14:paraId="772D3865" w14:textId="77777777">
        <w:trPr>
          <w:cantSplit/>
          <w:trHeight w:val="432"/>
        </w:trPr>
        <w:tc>
          <w:tcPr>
            <w:tcW w:w="3973" w:type="dxa"/>
            <w:noWrap/>
          </w:tcPr>
          <w:p w14:paraId="25D9FBB9" w14:textId="77777777" w:rsidR="006304EB" w:rsidRPr="005F4649" w:rsidRDefault="006304EB" w:rsidP="00A95965">
            <w:pPr>
              <w:pStyle w:val="TableText"/>
              <w:rPr>
                <w:b/>
                <w:szCs w:val="20"/>
              </w:rPr>
            </w:pPr>
          </w:p>
        </w:tc>
        <w:tc>
          <w:tcPr>
            <w:tcW w:w="1127" w:type="dxa"/>
          </w:tcPr>
          <w:p w14:paraId="369AB9A8" w14:textId="77777777" w:rsidR="006304EB" w:rsidRPr="005F4649" w:rsidRDefault="006304EB" w:rsidP="006304EB">
            <w:pPr>
              <w:pStyle w:val="TableText"/>
              <w:rPr>
                <w:b/>
                <w:szCs w:val="20"/>
              </w:rPr>
            </w:pPr>
          </w:p>
        </w:tc>
        <w:tc>
          <w:tcPr>
            <w:tcW w:w="1132" w:type="dxa"/>
          </w:tcPr>
          <w:p w14:paraId="68D12683" w14:textId="77777777" w:rsidR="006304EB" w:rsidRPr="005F4649" w:rsidRDefault="006304EB" w:rsidP="00A95965">
            <w:pPr>
              <w:pStyle w:val="TableText"/>
              <w:rPr>
                <w:b/>
                <w:szCs w:val="20"/>
              </w:rPr>
            </w:pPr>
          </w:p>
        </w:tc>
        <w:tc>
          <w:tcPr>
            <w:tcW w:w="971" w:type="dxa"/>
          </w:tcPr>
          <w:p w14:paraId="3ABF708B" w14:textId="77777777" w:rsidR="006304EB" w:rsidRPr="005F4649" w:rsidRDefault="006304EB" w:rsidP="00A95965">
            <w:pPr>
              <w:pStyle w:val="TableText"/>
              <w:rPr>
                <w:b/>
                <w:szCs w:val="20"/>
              </w:rPr>
            </w:pPr>
          </w:p>
        </w:tc>
        <w:tc>
          <w:tcPr>
            <w:tcW w:w="971" w:type="dxa"/>
          </w:tcPr>
          <w:p w14:paraId="5D4D4F20" w14:textId="77777777" w:rsidR="006304EB" w:rsidRPr="005F4649" w:rsidRDefault="006304EB" w:rsidP="00A95965">
            <w:pPr>
              <w:pStyle w:val="TableText"/>
              <w:rPr>
                <w:b/>
                <w:szCs w:val="20"/>
              </w:rPr>
            </w:pPr>
          </w:p>
        </w:tc>
        <w:tc>
          <w:tcPr>
            <w:tcW w:w="971" w:type="dxa"/>
          </w:tcPr>
          <w:p w14:paraId="79E1552A" w14:textId="77777777" w:rsidR="006304EB" w:rsidRPr="005F4649" w:rsidRDefault="006304EB" w:rsidP="00A95965">
            <w:pPr>
              <w:pStyle w:val="TableText"/>
              <w:rPr>
                <w:b/>
                <w:szCs w:val="20"/>
              </w:rPr>
            </w:pPr>
          </w:p>
        </w:tc>
        <w:tc>
          <w:tcPr>
            <w:tcW w:w="971" w:type="dxa"/>
          </w:tcPr>
          <w:p w14:paraId="548D2497" w14:textId="77777777" w:rsidR="006304EB" w:rsidRPr="005F4649" w:rsidRDefault="006304EB" w:rsidP="00A95965">
            <w:pPr>
              <w:pStyle w:val="TableText"/>
              <w:rPr>
                <w:b/>
                <w:szCs w:val="20"/>
              </w:rPr>
            </w:pPr>
          </w:p>
        </w:tc>
        <w:tc>
          <w:tcPr>
            <w:tcW w:w="1103" w:type="dxa"/>
          </w:tcPr>
          <w:p w14:paraId="45C1AA45" w14:textId="77777777" w:rsidR="006304EB" w:rsidRDefault="006304EB" w:rsidP="00A95965">
            <w:pPr>
              <w:pStyle w:val="TableText"/>
              <w:rPr>
                <w:b/>
                <w:szCs w:val="20"/>
              </w:rPr>
            </w:pPr>
          </w:p>
        </w:tc>
        <w:tc>
          <w:tcPr>
            <w:tcW w:w="1741" w:type="dxa"/>
          </w:tcPr>
          <w:p w14:paraId="31ADE4BF" w14:textId="77777777" w:rsidR="006304EB" w:rsidRPr="005F4649" w:rsidRDefault="006304EB" w:rsidP="00A95965">
            <w:pPr>
              <w:pStyle w:val="TableText"/>
              <w:rPr>
                <w:b/>
                <w:szCs w:val="20"/>
              </w:rPr>
            </w:pPr>
          </w:p>
        </w:tc>
      </w:tr>
      <w:tr w:rsidR="006304EB" w14:paraId="7D363DC9" w14:textId="77777777">
        <w:trPr>
          <w:cantSplit/>
          <w:trHeight w:val="432"/>
        </w:trPr>
        <w:tc>
          <w:tcPr>
            <w:tcW w:w="3973" w:type="dxa"/>
            <w:noWrap/>
          </w:tcPr>
          <w:p w14:paraId="1CD95FB2" w14:textId="77777777" w:rsidR="006304EB" w:rsidRPr="005F4649" w:rsidRDefault="006304EB" w:rsidP="00A95965">
            <w:pPr>
              <w:pStyle w:val="TableText"/>
              <w:rPr>
                <w:b/>
                <w:szCs w:val="20"/>
              </w:rPr>
            </w:pPr>
          </w:p>
        </w:tc>
        <w:tc>
          <w:tcPr>
            <w:tcW w:w="1127" w:type="dxa"/>
          </w:tcPr>
          <w:p w14:paraId="5A3903CF" w14:textId="77777777" w:rsidR="006304EB" w:rsidRPr="005F4649" w:rsidRDefault="006304EB" w:rsidP="006304EB">
            <w:pPr>
              <w:pStyle w:val="TableText"/>
              <w:rPr>
                <w:b/>
                <w:szCs w:val="20"/>
              </w:rPr>
            </w:pPr>
          </w:p>
        </w:tc>
        <w:tc>
          <w:tcPr>
            <w:tcW w:w="1132" w:type="dxa"/>
          </w:tcPr>
          <w:p w14:paraId="5853F55D" w14:textId="77777777" w:rsidR="006304EB" w:rsidRPr="005F4649" w:rsidRDefault="006304EB" w:rsidP="00A95965">
            <w:pPr>
              <w:pStyle w:val="TableText"/>
              <w:rPr>
                <w:b/>
                <w:szCs w:val="20"/>
              </w:rPr>
            </w:pPr>
          </w:p>
        </w:tc>
        <w:tc>
          <w:tcPr>
            <w:tcW w:w="971" w:type="dxa"/>
          </w:tcPr>
          <w:p w14:paraId="27F8D078" w14:textId="77777777" w:rsidR="006304EB" w:rsidRPr="005F4649" w:rsidRDefault="006304EB" w:rsidP="00A95965">
            <w:pPr>
              <w:pStyle w:val="TableText"/>
              <w:rPr>
                <w:b/>
                <w:szCs w:val="20"/>
              </w:rPr>
            </w:pPr>
          </w:p>
        </w:tc>
        <w:tc>
          <w:tcPr>
            <w:tcW w:w="971" w:type="dxa"/>
          </w:tcPr>
          <w:p w14:paraId="0F6263B6" w14:textId="77777777" w:rsidR="006304EB" w:rsidRPr="005F4649" w:rsidRDefault="006304EB" w:rsidP="00A95965">
            <w:pPr>
              <w:pStyle w:val="TableText"/>
              <w:rPr>
                <w:b/>
                <w:szCs w:val="20"/>
              </w:rPr>
            </w:pPr>
          </w:p>
        </w:tc>
        <w:tc>
          <w:tcPr>
            <w:tcW w:w="971" w:type="dxa"/>
          </w:tcPr>
          <w:p w14:paraId="4C9807F8" w14:textId="77777777" w:rsidR="006304EB" w:rsidRPr="005F4649" w:rsidRDefault="006304EB" w:rsidP="00A95965">
            <w:pPr>
              <w:pStyle w:val="TableText"/>
              <w:rPr>
                <w:b/>
                <w:szCs w:val="20"/>
              </w:rPr>
            </w:pPr>
          </w:p>
        </w:tc>
        <w:tc>
          <w:tcPr>
            <w:tcW w:w="971" w:type="dxa"/>
          </w:tcPr>
          <w:p w14:paraId="7F76A08A" w14:textId="77777777" w:rsidR="006304EB" w:rsidRPr="005F4649" w:rsidRDefault="006304EB" w:rsidP="00A95965">
            <w:pPr>
              <w:pStyle w:val="TableText"/>
              <w:rPr>
                <w:b/>
                <w:szCs w:val="20"/>
              </w:rPr>
            </w:pPr>
          </w:p>
        </w:tc>
        <w:tc>
          <w:tcPr>
            <w:tcW w:w="1103" w:type="dxa"/>
          </w:tcPr>
          <w:p w14:paraId="04F9BA1C" w14:textId="77777777" w:rsidR="006304EB" w:rsidRDefault="006304EB" w:rsidP="00A95965">
            <w:pPr>
              <w:pStyle w:val="TableText"/>
              <w:rPr>
                <w:b/>
                <w:szCs w:val="20"/>
              </w:rPr>
            </w:pPr>
          </w:p>
        </w:tc>
        <w:tc>
          <w:tcPr>
            <w:tcW w:w="1741" w:type="dxa"/>
          </w:tcPr>
          <w:p w14:paraId="7B656DE7" w14:textId="77777777" w:rsidR="006304EB" w:rsidRPr="005F4649" w:rsidRDefault="006304EB" w:rsidP="00A95965">
            <w:pPr>
              <w:pStyle w:val="TableText"/>
              <w:rPr>
                <w:b/>
                <w:szCs w:val="20"/>
              </w:rPr>
            </w:pPr>
          </w:p>
        </w:tc>
      </w:tr>
      <w:tr w:rsidR="006304EB" w14:paraId="4AD12AE5" w14:textId="77777777">
        <w:trPr>
          <w:cantSplit/>
          <w:trHeight w:val="432"/>
        </w:trPr>
        <w:tc>
          <w:tcPr>
            <w:tcW w:w="3973" w:type="dxa"/>
            <w:noWrap/>
          </w:tcPr>
          <w:p w14:paraId="24ED466D" w14:textId="77777777" w:rsidR="006304EB" w:rsidRPr="005F4649" w:rsidRDefault="006304EB" w:rsidP="00A95965">
            <w:pPr>
              <w:pStyle w:val="TableText"/>
              <w:rPr>
                <w:b/>
                <w:szCs w:val="20"/>
              </w:rPr>
            </w:pPr>
          </w:p>
        </w:tc>
        <w:tc>
          <w:tcPr>
            <w:tcW w:w="1127" w:type="dxa"/>
          </w:tcPr>
          <w:p w14:paraId="3DB3878F" w14:textId="77777777" w:rsidR="006304EB" w:rsidRPr="005F4649" w:rsidRDefault="006304EB" w:rsidP="006304EB">
            <w:pPr>
              <w:pStyle w:val="TableText"/>
              <w:rPr>
                <w:b/>
                <w:szCs w:val="20"/>
              </w:rPr>
            </w:pPr>
          </w:p>
        </w:tc>
        <w:tc>
          <w:tcPr>
            <w:tcW w:w="1132" w:type="dxa"/>
          </w:tcPr>
          <w:p w14:paraId="2B644920" w14:textId="77777777" w:rsidR="006304EB" w:rsidRPr="005F4649" w:rsidRDefault="006304EB" w:rsidP="00A95965">
            <w:pPr>
              <w:pStyle w:val="TableText"/>
              <w:rPr>
                <w:b/>
                <w:szCs w:val="20"/>
              </w:rPr>
            </w:pPr>
          </w:p>
        </w:tc>
        <w:tc>
          <w:tcPr>
            <w:tcW w:w="971" w:type="dxa"/>
          </w:tcPr>
          <w:p w14:paraId="415611BD" w14:textId="77777777" w:rsidR="006304EB" w:rsidRPr="005F4649" w:rsidRDefault="006304EB" w:rsidP="00A95965">
            <w:pPr>
              <w:pStyle w:val="TableText"/>
              <w:rPr>
                <w:b/>
                <w:szCs w:val="20"/>
              </w:rPr>
            </w:pPr>
          </w:p>
        </w:tc>
        <w:tc>
          <w:tcPr>
            <w:tcW w:w="971" w:type="dxa"/>
          </w:tcPr>
          <w:p w14:paraId="1DF35395" w14:textId="77777777" w:rsidR="006304EB" w:rsidRPr="005F4649" w:rsidRDefault="006304EB" w:rsidP="00A95965">
            <w:pPr>
              <w:pStyle w:val="TableText"/>
              <w:rPr>
                <w:b/>
                <w:szCs w:val="20"/>
              </w:rPr>
            </w:pPr>
          </w:p>
        </w:tc>
        <w:tc>
          <w:tcPr>
            <w:tcW w:w="971" w:type="dxa"/>
          </w:tcPr>
          <w:p w14:paraId="1ADA3F64" w14:textId="77777777" w:rsidR="006304EB" w:rsidRPr="005F4649" w:rsidRDefault="006304EB" w:rsidP="00A95965">
            <w:pPr>
              <w:pStyle w:val="TableText"/>
              <w:rPr>
                <w:b/>
                <w:szCs w:val="20"/>
              </w:rPr>
            </w:pPr>
          </w:p>
        </w:tc>
        <w:tc>
          <w:tcPr>
            <w:tcW w:w="971" w:type="dxa"/>
          </w:tcPr>
          <w:p w14:paraId="41BEA503" w14:textId="77777777" w:rsidR="006304EB" w:rsidRPr="005F4649" w:rsidRDefault="006304EB" w:rsidP="00A95965">
            <w:pPr>
              <w:pStyle w:val="TableText"/>
              <w:rPr>
                <w:b/>
                <w:szCs w:val="20"/>
              </w:rPr>
            </w:pPr>
          </w:p>
        </w:tc>
        <w:tc>
          <w:tcPr>
            <w:tcW w:w="1103" w:type="dxa"/>
          </w:tcPr>
          <w:p w14:paraId="49CD3B15" w14:textId="77777777" w:rsidR="006304EB" w:rsidRDefault="006304EB" w:rsidP="00A95965">
            <w:pPr>
              <w:pStyle w:val="TableText"/>
              <w:rPr>
                <w:b/>
                <w:szCs w:val="20"/>
              </w:rPr>
            </w:pPr>
          </w:p>
        </w:tc>
        <w:tc>
          <w:tcPr>
            <w:tcW w:w="1741" w:type="dxa"/>
          </w:tcPr>
          <w:p w14:paraId="61606A0C" w14:textId="77777777" w:rsidR="006304EB" w:rsidRPr="005F4649" w:rsidRDefault="006304EB" w:rsidP="00A95965">
            <w:pPr>
              <w:pStyle w:val="TableText"/>
              <w:rPr>
                <w:b/>
                <w:szCs w:val="20"/>
              </w:rPr>
            </w:pPr>
          </w:p>
        </w:tc>
      </w:tr>
      <w:tr w:rsidR="006304EB" w14:paraId="6C15B4F9" w14:textId="77777777">
        <w:trPr>
          <w:cantSplit/>
          <w:trHeight w:val="432"/>
        </w:trPr>
        <w:tc>
          <w:tcPr>
            <w:tcW w:w="3973" w:type="dxa"/>
            <w:noWrap/>
          </w:tcPr>
          <w:p w14:paraId="5567798B" w14:textId="77777777" w:rsidR="006304EB" w:rsidRPr="005F4649" w:rsidRDefault="006304EB" w:rsidP="00A95965">
            <w:pPr>
              <w:pStyle w:val="TableText"/>
              <w:rPr>
                <w:b/>
                <w:szCs w:val="20"/>
              </w:rPr>
            </w:pPr>
          </w:p>
        </w:tc>
        <w:tc>
          <w:tcPr>
            <w:tcW w:w="1127" w:type="dxa"/>
          </w:tcPr>
          <w:p w14:paraId="7DAEA7FA" w14:textId="77777777" w:rsidR="006304EB" w:rsidRPr="005F4649" w:rsidRDefault="006304EB" w:rsidP="006304EB">
            <w:pPr>
              <w:pStyle w:val="TableText"/>
              <w:rPr>
                <w:b/>
                <w:szCs w:val="20"/>
              </w:rPr>
            </w:pPr>
          </w:p>
        </w:tc>
        <w:tc>
          <w:tcPr>
            <w:tcW w:w="1132" w:type="dxa"/>
          </w:tcPr>
          <w:p w14:paraId="306F23E6" w14:textId="77777777" w:rsidR="006304EB" w:rsidRPr="005F4649" w:rsidRDefault="006304EB" w:rsidP="00A95965">
            <w:pPr>
              <w:pStyle w:val="TableText"/>
              <w:rPr>
                <w:b/>
                <w:szCs w:val="20"/>
              </w:rPr>
            </w:pPr>
          </w:p>
        </w:tc>
        <w:tc>
          <w:tcPr>
            <w:tcW w:w="971" w:type="dxa"/>
          </w:tcPr>
          <w:p w14:paraId="32C0EE9F" w14:textId="77777777" w:rsidR="006304EB" w:rsidRPr="005F4649" w:rsidRDefault="006304EB" w:rsidP="00A95965">
            <w:pPr>
              <w:pStyle w:val="TableText"/>
              <w:rPr>
                <w:b/>
                <w:szCs w:val="20"/>
              </w:rPr>
            </w:pPr>
          </w:p>
        </w:tc>
        <w:tc>
          <w:tcPr>
            <w:tcW w:w="971" w:type="dxa"/>
          </w:tcPr>
          <w:p w14:paraId="2E8F08DA" w14:textId="77777777" w:rsidR="006304EB" w:rsidRPr="005F4649" w:rsidRDefault="006304EB" w:rsidP="00A95965">
            <w:pPr>
              <w:pStyle w:val="TableText"/>
              <w:rPr>
                <w:b/>
                <w:szCs w:val="20"/>
              </w:rPr>
            </w:pPr>
          </w:p>
        </w:tc>
        <w:tc>
          <w:tcPr>
            <w:tcW w:w="971" w:type="dxa"/>
          </w:tcPr>
          <w:p w14:paraId="40536AC9" w14:textId="77777777" w:rsidR="006304EB" w:rsidRPr="005F4649" w:rsidRDefault="006304EB" w:rsidP="00A95965">
            <w:pPr>
              <w:pStyle w:val="TableText"/>
              <w:rPr>
                <w:b/>
                <w:szCs w:val="20"/>
              </w:rPr>
            </w:pPr>
          </w:p>
        </w:tc>
        <w:tc>
          <w:tcPr>
            <w:tcW w:w="971" w:type="dxa"/>
          </w:tcPr>
          <w:p w14:paraId="5B3487D2" w14:textId="77777777" w:rsidR="006304EB" w:rsidRPr="005F4649" w:rsidRDefault="006304EB" w:rsidP="00A95965">
            <w:pPr>
              <w:pStyle w:val="TableText"/>
              <w:rPr>
                <w:b/>
                <w:szCs w:val="20"/>
              </w:rPr>
            </w:pPr>
          </w:p>
        </w:tc>
        <w:tc>
          <w:tcPr>
            <w:tcW w:w="1103" w:type="dxa"/>
          </w:tcPr>
          <w:p w14:paraId="094B6539" w14:textId="77777777" w:rsidR="006304EB" w:rsidRDefault="006304EB" w:rsidP="00A95965">
            <w:pPr>
              <w:pStyle w:val="TableText"/>
              <w:rPr>
                <w:b/>
                <w:szCs w:val="20"/>
              </w:rPr>
            </w:pPr>
          </w:p>
        </w:tc>
        <w:tc>
          <w:tcPr>
            <w:tcW w:w="1741" w:type="dxa"/>
          </w:tcPr>
          <w:p w14:paraId="2C76FEB2" w14:textId="77777777" w:rsidR="006304EB" w:rsidRPr="005F4649" w:rsidRDefault="006304EB" w:rsidP="00A95965">
            <w:pPr>
              <w:pStyle w:val="TableText"/>
              <w:rPr>
                <w:b/>
                <w:szCs w:val="20"/>
              </w:rPr>
            </w:pPr>
          </w:p>
        </w:tc>
      </w:tr>
      <w:tr w:rsidR="006304EB" w14:paraId="714F72D1" w14:textId="77777777">
        <w:trPr>
          <w:cantSplit/>
          <w:trHeight w:val="432"/>
        </w:trPr>
        <w:tc>
          <w:tcPr>
            <w:tcW w:w="3973" w:type="dxa"/>
            <w:noWrap/>
          </w:tcPr>
          <w:p w14:paraId="17CCAB25" w14:textId="77777777" w:rsidR="006304EB" w:rsidRPr="005F4649" w:rsidRDefault="006304EB" w:rsidP="00A95965">
            <w:pPr>
              <w:pStyle w:val="TableText"/>
              <w:rPr>
                <w:b/>
                <w:szCs w:val="20"/>
              </w:rPr>
            </w:pPr>
          </w:p>
        </w:tc>
        <w:tc>
          <w:tcPr>
            <w:tcW w:w="1127" w:type="dxa"/>
          </w:tcPr>
          <w:p w14:paraId="21CE797E" w14:textId="77777777" w:rsidR="006304EB" w:rsidRPr="005F4649" w:rsidRDefault="006304EB" w:rsidP="006304EB">
            <w:pPr>
              <w:pStyle w:val="TableText"/>
              <w:rPr>
                <w:b/>
                <w:szCs w:val="20"/>
              </w:rPr>
            </w:pPr>
          </w:p>
        </w:tc>
        <w:tc>
          <w:tcPr>
            <w:tcW w:w="1132" w:type="dxa"/>
          </w:tcPr>
          <w:p w14:paraId="0917A274" w14:textId="77777777" w:rsidR="006304EB" w:rsidRPr="005F4649" w:rsidRDefault="006304EB" w:rsidP="00A95965">
            <w:pPr>
              <w:pStyle w:val="TableText"/>
              <w:rPr>
                <w:b/>
                <w:szCs w:val="20"/>
              </w:rPr>
            </w:pPr>
          </w:p>
        </w:tc>
        <w:tc>
          <w:tcPr>
            <w:tcW w:w="971" w:type="dxa"/>
          </w:tcPr>
          <w:p w14:paraId="6AC00126" w14:textId="77777777" w:rsidR="006304EB" w:rsidRPr="005F4649" w:rsidRDefault="006304EB" w:rsidP="00A95965">
            <w:pPr>
              <w:pStyle w:val="TableText"/>
              <w:rPr>
                <w:b/>
                <w:szCs w:val="20"/>
              </w:rPr>
            </w:pPr>
          </w:p>
        </w:tc>
        <w:tc>
          <w:tcPr>
            <w:tcW w:w="971" w:type="dxa"/>
          </w:tcPr>
          <w:p w14:paraId="62F8F3CE" w14:textId="77777777" w:rsidR="006304EB" w:rsidRPr="005F4649" w:rsidRDefault="006304EB" w:rsidP="00A95965">
            <w:pPr>
              <w:pStyle w:val="TableText"/>
              <w:rPr>
                <w:b/>
                <w:szCs w:val="20"/>
              </w:rPr>
            </w:pPr>
          </w:p>
        </w:tc>
        <w:tc>
          <w:tcPr>
            <w:tcW w:w="971" w:type="dxa"/>
          </w:tcPr>
          <w:p w14:paraId="03AE2059" w14:textId="77777777" w:rsidR="006304EB" w:rsidRPr="005F4649" w:rsidRDefault="006304EB" w:rsidP="00A95965">
            <w:pPr>
              <w:pStyle w:val="TableText"/>
              <w:rPr>
                <w:b/>
                <w:szCs w:val="20"/>
              </w:rPr>
            </w:pPr>
          </w:p>
        </w:tc>
        <w:tc>
          <w:tcPr>
            <w:tcW w:w="971" w:type="dxa"/>
          </w:tcPr>
          <w:p w14:paraId="4A1BA922" w14:textId="77777777" w:rsidR="006304EB" w:rsidRPr="005F4649" w:rsidRDefault="006304EB" w:rsidP="00A95965">
            <w:pPr>
              <w:pStyle w:val="TableText"/>
              <w:rPr>
                <w:b/>
                <w:szCs w:val="20"/>
              </w:rPr>
            </w:pPr>
          </w:p>
        </w:tc>
        <w:tc>
          <w:tcPr>
            <w:tcW w:w="1103" w:type="dxa"/>
          </w:tcPr>
          <w:p w14:paraId="22345D0A" w14:textId="77777777" w:rsidR="006304EB" w:rsidRDefault="006304EB" w:rsidP="00A95965">
            <w:pPr>
              <w:pStyle w:val="TableText"/>
              <w:rPr>
                <w:b/>
                <w:szCs w:val="20"/>
              </w:rPr>
            </w:pPr>
          </w:p>
        </w:tc>
        <w:tc>
          <w:tcPr>
            <w:tcW w:w="1741" w:type="dxa"/>
          </w:tcPr>
          <w:p w14:paraId="4DE1FA62" w14:textId="77777777" w:rsidR="006304EB" w:rsidRPr="005F4649" w:rsidRDefault="006304EB" w:rsidP="00A95965">
            <w:pPr>
              <w:pStyle w:val="TableText"/>
              <w:rPr>
                <w:b/>
                <w:szCs w:val="20"/>
              </w:rPr>
            </w:pPr>
          </w:p>
        </w:tc>
      </w:tr>
      <w:tr w:rsidR="006304EB" w14:paraId="33626256" w14:textId="77777777">
        <w:trPr>
          <w:cantSplit/>
          <w:trHeight w:val="432"/>
        </w:trPr>
        <w:tc>
          <w:tcPr>
            <w:tcW w:w="3973" w:type="dxa"/>
            <w:noWrap/>
          </w:tcPr>
          <w:p w14:paraId="0FF4A760" w14:textId="77777777" w:rsidR="006304EB" w:rsidRPr="005F4649" w:rsidRDefault="006304EB" w:rsidP="00A95965">
            <w:pPr>
              <w:pStyle w:val="TableText"/>
              <w:rPr>
                <w:b/>
                <w:szCs w:val="20"/>
              </w:rPr>
            </w:pPr>
          </w:p>
        </w:tc>
        <w:tc>
          <w:tcPr>
            <w:tcW w:w="1127" w:type="dxa"/>
          </w:tcPr>
          <w:p w14:paraId="37C5D3A2" w14:textId="77777777" w:rsidR="006304EB" w:rsidRPr="005F4649" w:rsidRDefault="006304EB" w:rsidP="006304EB">
            <w:pPr>
              <w:pStyle w:val="TableText"/>
              <w:rPr>
                <w:b/>
                <w:szCs w:val="20"/>
              </w:rPr>
            </w:pPr>
          </w:p>
        </w:tc>
        <w:tc>
          <w:tcPr>
            <w:tcW w:w="1132" w:type="dxa"/>
          </w:tcPr>
          <w:p w14:paraId="3B54CBD0" w14:textId="77777777" w:rsidR="006304EB" w:rsidRPr="005F4649" w:rsidRDefault="006304EB" w:rsidP="00A95965">
            <w:pPr>
              <w:pStyle w:val="TableText"/>
              <w:rPr>
                <w:b/>
                <w:szCs w:val="20"/>
              </w:rPr>
            </w:pPr>
          </w:p>
        </w:tc>
        <w:tc>
          <w:tcPr>
            <w:tcW w:w="971" w:type="dxa"/>
          </w:tcPr>
          <w:p w14:paraId="3F1BBBDC" w14:textId="77777777" w:rsidR="006304EB" w:rsidRPr="005F4649" w:rsidRDefault="006304EB" w:rsidP="00A95965">
            <w:pPr>
              <w:pStyle w:val="TableText"/>
              <w:rPr>
                <w:b/>
                <w:szCs w:val="20"/>
              </w:rPr>
            </w:pPr>
          </w:p>
        </w:tc>
        <w:tc>
          <w:tcPr>
            <w:tcW w:w="971" w:type="dxa"/>
          </w:tcPr>
          <w:p w14:paraId="2602C3D6" w14:textId="77777777" w:rsidR="006304EB" w:rsidRPr="005F4649" w:rsidRDefault="006304EB" w:rsidP="00A95965">
            <w:pPr>
              <w:pStyle w:val="TableText"/>
              <w:rPr>
                <w:b/>
                <w:szCs w:val="20"/>
              </w:rPr>
            </w:pPr>
          </w:p>
        </w:tc>
        <w:tc>
          <w:tcPr>
            <w:tcW w:w="971" w:type="dxa"/>
          </w:tcPr>
          <w:p w14:paraId="531FA535" w14:textId="77777777" w:rsidR="006304EB" w:rsidRPr="005F4649" w:rsidRDefault="006304EB" w:rsidP="00A95965">
            <w:pPr>
              <w:pStyle w:val="TableText"/>
              <w:rPr>
                <w:b/>
                <w:szCs w:val="20"/>
              </w:rPr>
            </w:pPr>
          </w:p>
        </w:tc>
        <w:tc>
          <w:tcPr>
            <w:tcW w:w="971" w:type="dxa"/>
          </w:tcPr>
          <w:p w14:paraId="0011D280" w14:textId="77777777" w:rsidR="006304EB" w:rsidRPr="005F4649" w:rsidRDefault="006304EB" w:rsidP="00A95965">
            <w:pPr>
              <w:pStyle w:val="TableText"/>
              <w:rPr>
                <w:b/>
                <w:szCs w:val="20"/>
              </w:rPr>
            </w:pPr>
          </w:p>
        </w:tc>
        <w:tc>
          <w:tcPr>
            <w:tcW w:w="1103" w:type="dxa"/>
          </w:tcPr>
          <w:p w14:paraId="46C52FB9" w14:textId="77777777" w:rsidR="006304EB" w:rsidRDefault="006304EB" w:rsidP="00A95965">
            <w:pPr>
              <w:pStyle w:val="TableText"/>
              <w:rPr>
                <w:b/>
                <w:szCs w:val="20"/>
              </w:rPr>
            </w:pPr>
          </w:p>
        </w:tc>
        <w:tc>
          <w:tcPr>
            <w:tcW w:w="1741" w:type="dxa"/>
          </w:tcPr>
          <w:p w14:paraId="15C4A108" w14:textId="77777777" w:rsidR="006304EB" w:rsidRPr="005F4649" w:rsidRDefault="006304EB" w:rsidP="00A95965">
            <w:pPr>
              <w:pStyle w:val="TableText"/>
              <w:rPr>
                <w:b/>
                <w:szCs w:val="20"/>
              </w:rPr>
            </w:pPr>
          </w:p>
        </w:tc>
      </w:tr>
      <w:tr w:rsidR="006304EB" w14:paraId="3FB535F2" w14:textId="77777777">
        <w:trPr>
          <w:cantSplit/>
          <w:trHeight w:val="432"/>
        </w:trPr>
        <w:tc>
          <w:tcPr>
            <w:tcW w:w="3973" w:type="dxa"/>
            <w:noWrap/>
          </w:tcPr>
          <w:p w14:paraId="60633A15" w14:textId="77777777" w:rsidR="006304EB" w:rsidRPr="005F4649" w:rsidRDefault="006304EB" w:rsidP="00A95965">
            <w:pPr>
              <w:pStyle w:val="TableText"/>
              <w:rPr>
                <w:b/>
                <w:szCs w:val="20"/>
              </w:rPr>
            </w:pPr>
          </w:p>
        </w:tc>
        <w:tc>
          <w:tcPr>
            <w:tcW w:w="1127" w:type="dxa"/>
          </w:tcPr>
          <w:p w14:paraId="59B82459" w14:textId="77777777" w:rsidR="006304EB" w:rsidRPr="005F4649" w:rsidRDefault="006304EB" w:rsidP="006304EB">
            <w:pPr>
              <w:pStyle w:val="TableText"/>
              <w:rPr>
                <w:b/>
                <w:szCs w:val="20"/>
              </w:rPr>
            </w:pPr>
          </w:p>
        </w:tc>
        <w:tc>
          <w:tcPr>
            <w:tcW w:w="1132" w:type="dxa"/>
          </w:tcPr>
          <w:p w14:paraId="085759AE" w14:textId="77777777" w:rsidR="006304EB" w:rsidRPr="005F4649" w:rsidRDefault="006304EB" w:rsidP="00A95965">
            <w:pPr>
              <w:pStyle w:val="TableText"/>
              <w:rPr>
                <w:b/>
                <w:szCs w:val="20"/>
              </w:rPr>
            </w:pPr>
          </w:p>
        </w:tc>
        <w:tc>
          <w:tcPr>
            <w:tcW w:w="971" w:type="dxa"/>
          </w:tcPr>
          <w:p w14:paraId="1A18188B" w14:textId="77777777" w:rsidR="006304EB" w:rsidRPr="005F4649" w:rsidRDefault="006304EB" w:rsidP="00A95965">
            <w:pPr>
              <w:pStyle w:val="TableText"/>
              <w:rPr>
                <w:b/>
                <w:szCs w:val="20"/>
              </w:rPr>
            </w:pPr>
          </w:p>
        </w:tc>
        <w:tc>
          <w:tcPr>
            <w:tcW w:w="971" w:type="dxa"/>
          </w:tcPr>
          <w:p w14:paraId="2972460B" w14:textId="77777777" w:rsidR="006304EB" w:rsidRPr="005F4649" w:rsidRDefault="006304EB" w:rsidP="00A95965">
            <w:pPr>
              <w:pStyle w:val="TableText"/>
              <w:rPr>
                <w:b/>
                <w:szCs w:val="20"/>
              </w:rPr>
            </w:pPr>
          </w:p>
        </w:tc>
        <w:tc>
          <w:tcPr>
            <w:tcW w:w="971" w:type="dxa"/>
          </w:tcPr>
          <w:p w14:paraId="1FF5DAA8" w14:textId="77777777" w:rsidR="006304EB" w:rsidRPr="005F4649" w:rsidRDefault="006304EB" w:rsidP="00A95965">
            <w:pPr>
              <w:pStyle w:val="TableText"/>
              <w:rPr>
                <w:b/>
                <w:szCs w:val="20"/>
              </w:rPr>
            </w:pPr>
          </w:p>
        </w:tc>
        <w:tc>
          <w:tcPr>
            <w:tcW w:w="971" w:type="dxa"/>
          </w:tcPr>
          <w:p w14:paraId="35D21D86" w14:textId="77777777" w:rsidR="006304EB" w:rsidRPr="005F4649" w:rsidRDefault="006304EB" w:rsidP="00A95965">
            <w:pPr>
              <w:pStyle w:val="TableText"/>
              <w:rPr>
                <w:b/>
                <w:szCs w:val="20"/>
              </w:rPr>
            </w:pPr>
          </w:p>
        </w:tc>
        <w:tc>
          <w:tcPr>
            <w:tcW w:w="1103" w:type="dxa"/>
          </w:tcPr>
          <w:p w14:paraId="58C363E3" w14:textId="77777777" w:rsidR="006304EB" w:rsidRDefault="006304EB" w:rsidP="00A95965">
            <w:pPr>
              <w:pStyle w:val="TableText"/>
              <w:rPr>
                <w:b/>
                <w:szCs w:val="20"/>
              </w:rPr>
            </w:pPr>
          </w:p>
        </w:tc>
        <w:tc>
          <w:tcPr>
            <w:tcW w:w="1741" w:type="dxa"/>
          </w:tcPr>
          <w:p w14:paraId="5ADBDCDF" w14:textId="77777777" w:rsidR="006304EB" w:rsidRPr="005F4649" w:rsidRDefault="006304EB" w:rsidP="00A95965">
            <w:pPr>
              <w:pStyle w:val="TableText"/>
              <w:rPr>
                <w:b/>
                <w:szCs w:val="20"/>
              </w:rPr>
            </w:pPr>
          </w:p>
        </w:tc>
      </w:tr>
      <w:tr w:rsidR="006304EB" w14:paraId="04CD2994" w14:textId="77777777">
        <w:trPr>
          <w:cantSplit/>
          <w:trHeight w:val="432"/>
        </w:trPr>
        <w:tc>
          <w:tcPr>
            <w:tcW w:w="3973" w:type="dxa"/>
            <w:noWrap/>
          </w:tcPr>
          <w:p w14:paraId="25E36413" w14:textId="77777777" w:rsidR="006304EB" w:rsidRPr="005F4649" w:rsidRDefault="006304EB" w:rsidP="00A95965">
            <w:pPr>
              <w:pStyle w:val="TableText"/>
              <w:rPr>
                <w:b/>
                <w:szCs w:val="20"/>
              </w:rPr>
            </w:pPr>
          </w:p>
        </w:tc>
        <w:tc>
          <w:tcPr>
            <w:tcW w:w="1127" w:type="dxa"/>
          </w:tcPr>
          <w:p w14:paraId="1F82FA9B" w14:textId="77777777" w:rsidR="006304EB" w:rsidRPr="005F4649" w:rsidRDefault="006304EB" w:rsidP="006304EB">
            <w:pPr>
              <w:pStyle w:val="TableText"/>
              <w:rPr>
                <w:b/>
                <w:szCs w:val="20"/>
              </w:rPr>
            </w:pPr>
          </w:p>
        </w:tc>
        <w:tc>
          <w:tcPr>
            <w:tcW w:w="1132" w:type="dxa"/>
          </w:tcPr>
          <w:p w14:paraId="7ED4CDA4" w14:textId="77777777" w:rsidR="006304EB" w:rsidRPr="005F4649" w:rsidRDefault="006304EB" w:rsidP="00A95965">
            <w:pPr>
              <w:pStyle w:val="TableText"/>
              <w:rPr>
                <w:b/>
                <w:szCs w:val="20"/>
              </w:rPr>
            </w:pPr>
          </w:p>
        </w:tc>
        <w:tc>
          <w:tcPr>
            <w:tcW w:w="971" w:type="dxa"/>
          </w:tcPr>
          <w:p w14:paraId="44E21BC4" w14:textId="77777777" w:rsidR="006304EB" w:rsidRPr="005F4649" w:rsidRDefault="006304EB" w:rsidP="00A95965">
            <w:pPr>
              <w:pStyle w:val="TableText"/>
              <w:rPr>
                <w:b/>
                <w:szCs w:val="20"/>
              </w:rPr>
            </w:pPr>
          </w:p>
        </w:tc>
        <w:tc>
          <w:tcPr>
            <w:tcW w:w="971" w:type="dxa"/>
          </w:tcPr>
          <w:p w14:paraId="31500C8A" w14:textId="77777777" w:rsidR="006304EB" w:rsidRPr="005F4649" w:rsidRDefault="006304EB" w:rsidP="00A95965">
            <w:pPr>
              <w:pStyle w:val="TableText"/>
              <w:rPr>
                <w:b/>
                <w:szCs w:val="20"/>
              </w:rPr>
            </w:pPr>
          </w:p>
        </w:tc>
        <w:tc>
          <w:tcPr>
            <w:tcW w:w="971" w:type="dxa"/>
          </w:tcPr>
          <w:p w14:paraId="66FDD7E8" w14:textId="77777777" w:rsidR="006304EB" w:rsidRPr="005F4649" w:rsidRDefault="006304EB" w:rsidP="00A95965">
            <w:pPr>
              <w:pStyle w:val="TableText"/>
              <w:rPr>
                <w:b/>
                <w:szCs w:val="20"/>
              </w:rPr>
            </w:pPr>
          </w:p>
        </w:tc>
        <w:tc>
          <w:tcPr>
            <w:tcW w:w="971" w:type="dxa"/>
          </w:tcPr>
          <w:p w14:paraId="3350CDF4" w14:textId="77777777" w:rsidR="006304EB" w:rsidRPr="005F4649" w:rsidRDefault="006304EB" w:rsidP="00A95965">
            <w:pPr>
              <w:pStyle w:val="TableText"/>
              <w:rPr>
                <w:b/>
                <w:szCs w:val="20"/>
              </w:rPr>
            </w:pPr>
          </w:p>
        </w:tc>
        <w:tc>
          <w:tcPr>
            <w:tcW w:w="1103" w:type="dxa"/>
          </w:tcPr>
          <w:p w14:paraId="3DF9C7FB" w14:textId="77777777" w:rsidR="006304EB" w:rsidRDefault="006304EB" w:rsidP="00A95965">
            <w:pPr>
              <w:pStyle w:val="TableText"/>
              <w:rPr>
                <w:b/>
                <w:szCs w:val="20"/>
              </w:rPr>
            </w:pPr>
          </w:p>
        </w:tc>
        <w:tc>
          <w:tcPr>
            <w:tcW w:w="1741" w:type="dxa"/>
          </w:tcPr>
          <w:p w14:paraId="3279C6D2" w14:textId="77777777" w:rsidR="006304EB" w:rsidRPr="005F4649" w:rsidRDefault="006304EB" w:rsidP="00A95965">
            <w:pPr>
              <w:pStyle w:val="TableText"/>
              <w:rPr>
                <w:b/>
                <w:szCs w:val="20"/>
              </w:rPr>
            </w:pPr>
          </w:p>
        </w:tc>
      </w:tr>
      <w:tr w:rsidR="006304EB" w14:paraId="2B8332EE" w14:textId="77777777">
        <w:trPr>
          <w:cantSplit/>
          <w:trHeight w:val="432"/>
        </w:trPr>
        <w:tc>
          <w:tcPr>
            <w:tcW w:w="3973" w:type="dxa"/>
            <w:noWrap/>
          </w:tcPr>
          <w:p w14:paraId="4DC0CA96" w14:textId="77777777" w:rsidR="006304EB" w:rsidRPr="005F4649" w:rsidRDefault="006304EB" w:rsidP="00A95965">
            <w:pPr>
              <w:pStyle w:val="TableText"/>
              <w:rPr>
                <w:b/>
                <w:szCs w:val="20"/>
              </w:rPr>
            </w:pPr>
          </w:p>
        </w:tc>
        <w:tc>
          <w:tcPr>
            <w:tcW w:w="1127" w:type="dxa"/>
          </w:tcPr>
          <w:p w14:paraId="7828C2B1" w14:textId="77777777" w:rsidR="006304EB" w:rsidRPr="005F4649" w:rsidRDefault="006304EB" w:rsidP="006304EB">
            <w:pPr>
              <w:pStyle w:val="TableText"/>
              <w:rPr>
                <w:b/>
                <w:szCs w:val="20"/>
              </w:rPr>
            </w:pPr>
          </w:p>
        </w:tc>
        <w:tc>
          <w:tcPr>
            <w:tcW w:w="1132" w:type="dxa"/>
          </w:tcPr>
          <w:p w14:paraId="4EC1F736" w14:textId="77777777" w:rsidR="006304EB" w:rsidRPr="005F4649" w:rsidRDefault="006304EB" w:rsidP="00A95965">
            <w:pPr>
              <w:pStyle w:val="TableText"/>
              <w:rPr>
                <w:b/>
                <w:szCs w:val="20"/>
              </w:rPr>
            </w:pPr>
          </w:p>
        </w:tc>
        <w:tc>
          <w:tcPr>
            <w:tcW w:w="971" w:type="dxa"/>
          </w:tcPr>
          <w:p w14:paraId="0235B6A7" w14:textId="77777777" w:rsidR="006304EB" w:rsidRPr="005F4649" w:rsidRDefault="006304EB" w:rsidP="00A95965">
            <w:pPr>
              <w:pStyle w:val="TableText"/>
              <w:rPr>
                <w:b/>
                <w:szCs w:val="20"/>
              </w:rPr>
            </w:pPr>
          </w:p>
        </w:tc>
        <w:tc>
          <w:tcPr>
            <w:tcW w:w="971" w:type="dxa"/>
          </w:tcPr>
          <w:p w14:paraId="61ACC496" w14:textId="77777777" w:rsidR="006304EB" w:rsidRPr="005F4649" w:rsidRDefault="006304EB" w:rsidP="00A95965">
            <w:pPr>
              <w:pStyle w:val="TableText"/>
              <w:rPr>
                <w:b/>
                <w:szCs w:val="20"/>
              </w:rPr>
            </w:pPr>
          </w:p>
        </w:tc>
        <w:tc>
          <w:tcPr>
            <w:tcW w:w="971" w:type="dxa"/>
          </w:tcPr>
          <w:p w14:paraId="3BFE96DF" w14:textId="77777777" w:rsidR="006304EB" w:rsidRPr="005F4649" w:rsidRDefault="006304EB" w:rsidP="00A95965">
            <w:pPr>
              <w:pStyle w:val="TableText"/>
              <w:rPr>
                <w:b/>
                <w:szCs w:val="20"/>
              </w:rPr>
            </w:pPr>
          </w:p>
        </w:tc>
        <w:tc>
          <w:tcPr>
            <w:tcW w:w="971" w:type="dxa"/>
          </w:tcPr>
          <w:p w14:paraId="30EEB477" w14:textId="77777777" w:rsidR="006304EB" w:rsidRPr="005F4649" w:rsidRDefault="006304EB" w:rsidP="00A95965">
            <w:pPr>
              <w:pStyle w:val="TableText"/>
              <w:rPr>
                <w:b/>
                <w:szCs w:val="20"/>
              </w:rPr>
            </w:pPr>
          </w:p>
        </w:tc>
        <w:tc>
          <w:tcPr>
            <w:tcW w:w="1103" w:type="dxa"/>
          </w:tcPr>
          <w:p w14:paraId="508E0FB2" w14:textId="77777777" w:rsidR="006304EB" w:rsidRDefault="006304EB" w:rsidP="00A95965">
            <w:pPr>
              <w:pStyle w:val="TableText"/>
              <w:rPr>
                <w:b/>
                <w:szCs w:val="20"/>
              </w:rPr>
            </w:pPr>
          </w:p>
        </w:tc>
        <w:tc>
          <w:tcPr>
            <w:tcW w:w="1741" w:type="dxa"/>
          </w:tcPr>
          <w:p w14:paraId="74FD1107" w14:textId="77777777" w:rsidR="006304EB" w:rsidRPr="005F4649" w:rsidRDefault="006304EB" w:rsidP="00A95965">
            <w:pPr>
              <w:pStyle w:val="TableText"/>
              <w:rPr>
                <w:b/>
                <w:szCs w:val="20"/>
              </w:rPr>
            </w:pPr>
          </w:p>
        </w:tc>
      </w:tr>
      <w:tr w:rsidR="006304EB" w14:paraId="000F378F" w14:textId="77777777">
        <w:trPr>
          <w:cantSplit/>
          <w:trHeight w:val="432"/>
        </w:trPr>
        <w:tc>
          <w:tcPr>
            <w:tcW w:w="3973" w:type="dxa"/>
            <w:noWrap/>
          </w:tcPr>
          <w:p w14:paraId="634591D3" w14:textId="77777777" w:rsidR="006304EB" w:rsidRPr="005F4649" w:rsidRDefault="006304EB" w:rsidP="00A95965">
            <w:pPr>
              <w:pStyle w:val="TableText"/>
              <w:rPr>
                <w:b/>
                <w:szCs w:val="20"/>
              </w:rPr>
            </w:pPr>
          </w:p>
        </w:tc>
        <w:tc>
          <w:tcPr>
            <w:tcW w:w="1127" w:type="dxa"/>
          </w:tcPr>
          <w:p w14:paraId="7EF842C9" w14:textId="77777777" w:rsidR="006304EB" w:rsidRPr="005F4649" w:rsidRDefault="006304EB" w:rsidP="006304EB">
            <w:pPr>
              <w:pStyle w:val="TableText"/>
              <w:rPr>
                <w:b/>
                <w:szCs w:val="20"/>
              </w:rPr>
            </w:pPr>
          </w:p>
        </w:tc>
        <w:tc>
          <w:tcPr>
            <w:tcW w:w="1132" w:type="dxa"/>
          </w:tcPr>
          <w:p w14:paraId="152711E2" w14:textId="77777777" w:rsidR="006304EB" w:rsidRPr="005F4649" w:rsidRDefault="006304EB" w:rsidP="00A95965">
            <w:pPr>
              <w:pStyle w:val="TableText"/>
              <w:rPr>
                <w:b/>
                <w:szCs w:val="20"/>
              </w:rPr>
            </w:pPr>
          </w:p>
        </w:tc>
        <w:tc>
          <w:tcPr>
            <w:tcW w:w="971" w:type="dxa"/>
          </w:tcPr>
          <w:p w14:paraId="16E5BE21" w14:textId="77777777" w:rsidR="006304EB" w:rsidRPr="005F4649" w:rsidRDefault="006304EB" w:rsidP="00A95965">
            <w:pPr>
              <w:pStyle w:val="TableText"/>
              <w:rPr>
                <w:b/>
                <w:szCs w:val="20"/>
              </w:rPr>
            </w:pPr>
          </w:p>
        </w:tc>
        <w:tc>
          <w:tcPr>
            <w:tcW w:w="971" w:type="dxa"/>
          </w:tcPr>
          <w:p w14:paraId="06BBC638" w14:textId="77777777" w:rsidR="006304EB" w:rsidRPr="005F4649" w:rsidRDefault="006304EB" w:rsidP="00A95965">
            <w:pPr>
              <w:pStyle w:val="TableText"/>
              <w:rPr>
                <w:b/>
                <w:szCs w:val="20"/>
              </w:rPr>
            </w:pPr>
          </w:p>
        </w:tc>
        <w:tc>
          <w:tcPr>
            <w:tcW w:w="971" w:type="dxa"/>
          </w:tcPr>
          <w:p w14:paraId="6CAFF7BB" w14:textId="77777777" w:rsidR="006304EB" w:rsidRPr="005F4649" w:rsidRDefault="006304EB" w:rsidP="00A95965">
            <w:pPr>
              <w:pStyle w:val="TableText"/>
              <w:rPr>
                <w:b/>
                <w:szCs w:val="20"/>
              </w:rPr>
            </w:pPr>
          </w:p>
        </w:tc>
        <w:tc>
          <w:tcPr>
            <w:tcW w:w="971" w:type="dxa"/>
          </w:tcPr>
          <w:p w14:paraId="35BFB346" w14:textId="77777777" w:rsidR="006304EB" w:rsidRPr="005F4649" w:rsidRDefault="006304EB" w:rsidP="00A95965">
            <w:pPr>
              <w:pStyle w:val="TableText"/>
              <w:rPr>
                <w:b/>
                <w:szCs w:val="20"/>
              </w:rPr>
            </w:pPr>
          </w:p>
        </w:tc>
        <w:tc>
          <w:tcPr>
            <w:tcW w:w="1103" w:type="dxa"/>
          </w:tcPr>
          <w:p w14:paraId="164D6577" w14:textId="77777777" w:rsidR="006304EB" w:rsidRDefault="006304EB" w:rsidP="00A95965">
            <w:pPr>
              <w:pStyle w:val="TableText"/>
              <w:rPr>
                <w:b/>
                <w:szCs w:val="20"/>
              </w:rPr>
            </w:pPr>
          </w:p>
        </w:tc>
        <w:tc>
          <w:tcPr>
            <w:tcW w:w="1741" w:type="dxa"/>
          </w:tcPr>
          <w:p w14:paraId="323A4253" w14:textId="77777777" w:rsidR="006304EB" w:rsidRPr="005F4649" w:rsidRDefault="006304EB" w:rsidP="00A95965">
            <w:pPr>
              <w:pStyle w:val="TableText"/>
              <w:rPr>
                <w:b/>
                <w:szCs w:val="20"/>
              </w:rPr>
            </w:pPr>
          </w:p>
        </w:tc>
      </w:tr>
      <w:tr w:rsidR="006304EB" w14:paraId="43198127" w14:textId="77777777">
        <w:trPr>
          <w:cantSplit/>
          <w:trHeight w:val="432"/>
        </w:trPr>
        <w:tc>
          <w:tcPr>
            <w:tcW w:w="3973" w:type="dxa"/>
            <w:noWrap/>
          </w:tcPr>
          <w:p w14:paraId="62D30E69" w14:textId="77777777" w:rsidR="006304EB" w:rsidRPr="005F4649" w:rsidRDefault="006304EB" w:rsidP="00A95965">
            <w:pPr>
              <w:pStyle w:val="TableText"/>
              <w:rPr>
                <w:b/>
                <w:szCs w:val="20"/>
              </w:rPr>
            </w:pPr>
          </w:p>
        </w:tc>
        <w:tc>
          <w:tcPr>
            <w:tcW w:w="1127" w:type="dxa"/>
          </w:tcPr>
          <w:p w14:paraId="55DCCB74" w14:textId="77777777" w:rsidR="006304EB" w:rsidRPr="005F4649" w:rsidRDefault="006304EB" w:rsidP="006304EB">
            <w:pPr>
              <w:pStyle w:val="TableText"/>
              <w:rPr>
                <w:b/>
                <w:szCs w:val="20"/>
              </w:rPr>
            </w:pPr>
          </w:p>
        </w:tc>
        <w:tc>
          <w:tcPr>
            <w:tcW w:w="1132" w:type="dxa"/>
          </w:tcPr>
          <w:p w14:paraId="12760B8B" w14:textId="77777777" w:rsidR="006304EB" w:rsidRPr="005F4649" w:rsidRDefault="006304EB" w:rsidP="00A95965">
            <w:pPr>
              <w:pStyle w:val="TableText"/>
              <w:rPr>
                <w:b/>
                <w:szCs w:val="20"/>
              </w:rPr>
            </w:pPr>
          </w:p>
        </w:tc>
        <w:tc>
          <w:tcPr>
            <w:tcW w:w="971" w:type="dxa"/>
          </w:tcPr>
          <w:p w14:paraId="55A58446" w14:textId="77777777" w:rsidR="006304EB" w:rsidRPr="005F4649" w:rsidRDefault="006304EB" w:rsidP="00A95965">
            <w:pPr>
              <w:pStyle w:val="TableText"/>
              <w:rPr>
                <w:b/>
                <w:szCs w:val="20"/>
              </w:rPr>
            </w:pPr>
          </w:p>
        </w:tc>
        <w:tc>
          <w:tcPr>
            <w:tcW w:w="971" w:type="dxa"/>
          </w:tcPr>
          <w:p w14:paraId="49D054C9" w14:textId="77777777" w:rsidR="006304EB" w:rsidRPr="005F4649" w:rsidRDefault="006304EB" w:rsidP="00A95965">
            <w:pPr>
              <w:pStyle w:val="TableText"/>
              <w:rPr>
                <w:b/>
                <w:szCs w:val="20"/>
              </w:rPr>
            </w:pPr>
          </w:p>
        </w:tc>
        <w:tc>
          <w:tcPr>
            <w:tcW w:w="971" w:type="dxa"/>
          </w:tcPr>
          <w:p w14:paraId="58517750" w14:textId="77777777" w:rsidR="006304EB" w:rsidRPr="005F4649" w:rsidRDefault="006304EB" w:rsidP="00A95965">
            <w:pPr>
              <w:pStyle w:val="TableText"/>
              <w:rPr>
                <w:b/>
                <w:szCs w:val="20"/>
              </w:rPr>
            </w:pPr>
          </w:p>
        </w:tc>
        <w:tc>
          <w:tcPr>
            <w:tcW w:w="971" w:type="dxa"/>
          </w:tcPr>
          <w:p w14:paraId="485B1F2A" w14:textId="77777777" w:rsidR="006304EB" w:rsidRPr="005F4649" w:rsidRDefault="006304EB" w:rsidP="00A95965">
            <w:pPr>
              <w:pStyle w:val="TableText"/>
              <w:rPr>
                <w:b/>
                <w:szCs w:val="20"/>
              </w:rPr>
            </w:pPr>
          </w:p>
        </w:tc>
        <w:tc>
          <w:tcPr>
            <w:tcW w:w="1103" w:type="dxa"/>
          </w:tcPr>
          <w:p w14:paraId="6AC765B2" w14:textId="77777777" w:rsidR="006304EB" w:rsidRDefault="006304EB" w:rsidP="00A95965">
            <w:pPr>
              <w:pStyle w:val="TableText"/>
              <w:rPr>
                <w:b/>
                <w:szCs w:val="20"/>
              </w:rPr>
            </w:pPr>
          </w:p>
        </w:tc>
        <w:tc>
          <w:tcPr>
            <w:tcW w:w="1741" w:type="dxa"/>
          </w:tcPr>
          <w:p w14:paraId="7E955CE4" w14:textId="77777777" w:rsidR="006304EB" w:rsidRPr="005F4649" w:rsidRDefault="006304EB" w:rsidP="00A95965">
            <w:pPr>
              <w:pStyle w:val="TableText"/>
              <w:rPr>
                <w:b/>
                <w:szCs w:val="20"/>
              </w:rPr>
            </w:pPr>
          </w:p>
        </w:tc>
      </w:tr>
      <w:tr w:rsidR="006304EB" w14:paraId="79A0BBD2" w14:textId="77777777">
        <w:trPr>
          <w:cantSplit/>
          <w:trHeight w:val="432"/>
        </w:trPr>
        <w:tc>
          <w:tcPr>
            <w:tcW w:w="3973" w:type="dxa"/>
            <w:noWrap/>
          </w:tcPr>
          <w:p w14:paraId="447C856B" w14:textId="77777777" w:rsidR="006304EB" w:rsidRPr="005F4649" w:rsidRDefault="006304EB" w:rsidP="00A95965">
            <w:pPr>
              <w:pStyle w:val="TableText"/>
              <w:rPr>
                <w:b/>
                <w:szCs w:val="20"/>
              </w:rPr>
            </w:pPr>
          </w:p>
        </w:tc>
        <w:tc>
          <w:tcPr>
            <w:tcW w:w="1127" w:type="dxa"/>
          </w:tcPr>
          <w:p w14:paraId="781721F3" w14:textId="77777777" w:rsidR="006304EB" w:rsidRPr="005F4649" w:rsidRDefault="006304EB" w:rsidP="006304EB">
            <w:pPr>
              <w:pStyle w:val="TableText"/>
              <w:rPr>
                <w:b/>
                <w:szCs w:val="20"/>
              </w:rPr>
            </w:pPr>
          </w:p>
        </w:tc>
        <w:tc>
          <w:tcPr>
            <w:tcW w:w="1132" w:type="dxa"/>
          </w:tcPr>
          <w:p w14:paraId="2A7E5D71" w14:textId="77777777" w:rsidR="006304EB" w:rsidRPr="005F4649" w:rsidRDefault="006304EB" w:rsidP="00A95965">
            <w:pPr>
              <w:pStyle w:val="TableText"/>
              <w:rPr>
                <w:b/>
                <w:szCs w:val="20"/>
              </w:rPr>
            </w:pPr>
          </w:p>
        </w:tc>
        <w:tc>
          <w:tcPr>
            <w:tcW w:w="971" w:type="dxa"/>
          </w:tcPr>
          <w:p w14:paraId="4CD37CC2" w14:textId="77777777" w:rsidR="006304EB" w:rsidRPr="005F4649" w:rsidRDefault="006304EB" w:rsidP="00A95965">
            <w:pPr>
              <w:pStyle w:val="TableText"/>
              <w:rPr>
                <w:b/>
                <w:szCs w:val="20"/>
              </w:rPr>
            </w:pPr>
          </w:p>
        </w:tc>
        <w:tc>
          <w:tcPr>
            <w:tcW w:w="971" w:type="dxa"/>
          </w:tcPr>
          <w:p w14:paraId="68660DF8" w14:textId="77777777" w:rsidR="006304EB" w:rsidRPr="005F4649" w:rsidRDefault="006304EB" w:rsidP="00A95965">
            <w:pPr>
              <w:pStyle w:val="TableText"/>
              <w:rPr>
                <w:b/>
                <w:szCs w:val="20"/>
              </w:rPr>
            </w:pPr>
          </w:p>
        </w:tc>
        <w:tc>
          <w:tcPr>
            <w:tcW w:w="971" w:type="dxa"/>
          </w:tcPr>
          <w:p w14:paraId="2E32C7B9" w14:textId="77777777" w:rsidR="006304EB" w:rsidRPr="005F4649" w:rsidRDefault="006304EB" w:rsidP="00A95965">
            <w:pPr>
              <w:pStyle w:val="TableText"/>
              <w:rPr>
                <w:b/>
                <w:szCs w:val="20"/>
              </w:rPr>
            </w:pPr>
          </w:p>
        </w:tc>
        <w:tc>
          <w:tcPr>
            <w:tcW w:w="971" w:type="dxa"/>
          </w:tcPr>
          <w:p w14:paraId="6D24DBDF" w14:textId="77777777" w:rsidR="006304EB" w:rsidRPr="005F4649" w:rsidRDefault="006304EB" w:rsidP="00A95965">
            <w:pPr>
              <w:pStyle w:val="TableText"/>
              <w:rPr>
                <w:b/>
                <w:szCs w:val="20"/>
              </w:rPr>
            </w:pPr>
          </w:p>
        </w:tc>
        <w:tc>
          <w:tcPr>
            <w:tcW w:w="1103" w:type="dxa"/>
          </w:tcPr>
          <w:p w14:paraId="3A13E7C8" w14:textId="77777777" w:rsidR="006304EB" w:rsidRDefault="006304EB" w:rsidP="00A95965">
            <w:pPr>
              <w:pStyle w:val="TableText"/>
              <w:rPr>
                <w:b/>
                <w:szCs w:val="20"/>
              </w:rPr>
            </w:pPr>
          </w:p>
        </w:tc>
        <w:tc>
          <w:tcPr>
            <w:tcW w:w="1741" w:type="dxa"/>
          </w:tcPr>
          <w:p w14:paraId="28AFC18B" w14:textId="77777777" w:rsidR="006304EB" w:rsidRPr="005F4649" w:rsidRDefault="006304EB" w:rsidP="00A95965">
            <w:pPr>
              <w:pStyle w:val="TableText"/>
              <w:rPr>
                <w:b/>
                <w:szCs w:val="20"/>
              </w:rPr>
            </w:pPr>
          </w:p>
        </w:tc>
      </w:tr>
    </w:tbl>
    <w:p w14:paraId="26526EB0" w14:textId="77777777" w:rsidR="00E7240A" w:rsidRDefault="00E7240A" w:rsidP="00E7240A">
      <w:pPr>
        <w:pStyle w:val="Heading3"/>
      </w:pPr>
      <w:bookmarkStart w:id="665" w:name="_Toc203765970"/>
      <w:r>
        <w:lastRenderedPageBreak/>
        <w:t>Unit Issue and Inspection Log</w:t>
      </w:r>
      <w:bookmarkEnd w:id="665"/>
      <w:r w:rsidR="00246F04">
        <w:fldChar w:fldCharType="begin"/>
      </w:r>
      <w:r w:rsidR="00246F04">
        <w:instrText xml:space="preserve"> XE "</w:instrText>
      </w:r>
      <w:r w:rsidR="00246F04" w:rsidRPr="003C3810">
        <w:instrText>Unit Issue and Inspection Log</w:instrText>
      </w:r>
      <w:r w:rsidR="00246F04">
        <w:instrText xml:space="preserve">" </w:instrText>
      </w:r>
      <w:r w:rsidR="00246F04">
        <w:fldChar w:fldCharType="end"/>
      </w:r>
      <w:r w:rsidR="00A95965">
        <w:fldChar w:fldCharType="begin"/>
      </w:r>
      <w:r w:rsidR="00A95965">
        <w:instrText xml:space="preserve"> XE “Forms:Unit Issue and Inspection Log” </w:instrText>
      </w:r>
      <w:r w:rsidR="00A95965">
        <w:fldChar w:fldCharType="end"/>
      </w:r>
    </w:p>
    <w:tbl>
      <w:tblPr>
        <w:tblW w:w="12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98"/>
        <w:gridCol w:w="2290"/>
        <w:gridCol w:w="897"/>
        <w:gridCol w:w="797"/>
        <w:gridCol w:w="835"/>
        <w:gridCol w:w="905"/>
        <w:gridCol w:w="1357"/>
        <w:gridCol w:w="747"/>
        <w:gridCol w:w="708"/>
        <w:gridCol w:w="1026"/>
      </w:tblGrid>
      <w:tr w:rsidR="003F4F8B" w14:paraId="4A5C6A2D" w14:textId="77777777">
        <w:tc>
          <w:tcPr>
            <w:tcW w:w="12960" w:type="dxa"/>
            <w:gridSpan w:val="10"/>
          </w:tcPr>
          <w:p w14:paraId="436D121B" w14:textId="77777777" w:rsidR="003F4F8B" w:rsidRPr="003F4F8B" w:rsidRDefault="003F4F8B" w:rsidP="003F4F8B">
            <w:pPr>
              <w:pStyle w:val="TableText"/>
            </w:pPr>
            <w:r w:rsidRPr="00887834">
              <w:rPr>
                <w:b/>
              </w:rPr>
              <w:t xml:space="preserve">Facility Name: </w:t>
            </w:r>
          </w:p>
        </w:tc>
      </w:tr>
      <w:tr w:rsidR="003F4F8B" w14:paraId="0F9B9232" w14:textId="77777777">
        <w:tc>
          <w:tcPr>
            <w:tcW w:w="12960" w:type="dxa"/>
            <w:gridSpan w:val="10"/>
          </w:tcPr>
          <w:p w14:paraId="56622E6B" w14:textId="77777777" w:rsidR="003F4F8B" w:rsidRPr="003F4F8B" w:rsidRDefault="003F4F8B" w:rsidP="003F4F8B">
            <w:pPr>
              <w:pStyle w:val="TableText"/>
            </w:pPr>
            <w:r w:rsidRPr="00887834">
              <w:rPr>
                <w:b/>
              </w:rPr>
              <w:t xml:space="preserve">Address: </w:t>
            </w:r>
          </w:p>
        </w:tc>
      </w:tr>
      <w:tr w:rsidR="003F4F8B" w14:paraId="7A99D548" w14:textId="77777777">
        <w:tc>
          <w:tcPr>
            <w:tcW w:w="12960" w:type="dxa"/>
            <w:gridSpan w:val="10"/>
          </w:tcPr>
          <w:p w14:paraId="5E443B0A" w14:textId="77777777" w:rsidR="003F4F8B" w:rsidRPr="003F4F8B" w:rsidRDefault="003F4F8B" w:rsidP="003F4F8B">
            <w:pPr>
              <w:pStyle w:val="TableText"/>
            </w:pPr>
            <w:r w:rsidRPr="00887834">
              <w:rPr>
                <w:b/>
              </w:rPr>
              <w:t>City, State, Zip Code:</w:t>
            </w:r>
            <w:r>
              <w:t xml:space="preserve"> </w:t>
            </w:r>
          </w:p>
        </w:tc>
      </w:tr>
      <w:tr w:rsidR="00695EBA" w14:paraId="54FBB575"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Ex>
        <w:trPr>
          <w:trHeight w:val="230"/>
          <w:tblHeader/>
        </w:trPr>
        <w:tc>
          <w:tcPr>
            <w:tcW w:w="3398" w:type="dxa"/>
            <w:vMerge w:val="restart"/>
            <w:shd w:val="clear" w:color="auto" w:fill="B3B3B3"/>
            <w:noWrap/>
          </w:tcPr>
          <w:p w14:paraId="7A982583" w14:textId="77777777" w:rsidR="00695EBA" w:rsidRPr="003521C6" w:rsidRDefault="00695EBA" w:rsidP="00F72DE4">
            <w:pPr>
              <w:pStyle w:val="TableText"/>
              <w:rPr>
                <w:b/>
                <w:szCs w:val="20"/>
              </w:rPr>
            </w:pPr>
            <w:r w:rsidRPr="003521C6">
              <w:rPr>
                <w:b/>
                <w:szCs w:val="20"/>
              </w:rPr>
              <w:t>Patient Last Name</w:t>
            </w:r>
            <w:r>
              <w:rPr>
                <w:b/>
                <w:szCs w:val="20"/>
              </w:rPr>
              <w:t>, Last Four Digits</w:t>
            </w:r>
            <w:r w:rsidRPr="003521C6">
              <w:rPr>
                <w:b/>
                <w:szCs w:val="20"/>
              </w:rPr>
              <w:t xml:space="preserve"> of SSN</w:t>
            </w:r>
          </w:p>
        </w:tc>
        <w:tc>
          <w:tcPr>
            <w:tcW w:w="2290" w:type="dxa"/>
            <w:vMerge w:val="restart"/>
            <w:shd w:val="clear" w:color="auto" w:fill="B3B3B3"/>
          </w:tcPr>
          <w:p w14:paraId="39E40442" w14:textId="77777777" w:rsidR="00695EBA" w:rsidRPr="003521C6" w:rsidRDefault="00695EBA" w:rsidP="00F72DE4">
            <w:pPr>
              <w:pStyle w:val="TableText"/>
              <w:rPr>
                <w:b/>
                <w:szCs w:val="20"/>
              </w:rPr>
            </w:pPr>
            <w:r w:rsidRPr="003521C6">
              <w:rPr>
                <w:b/>
                <w:szCs w:val="20"/>
              </w:rPr>
              <w:t>Unit Number</w:t>
            </w:r>
          </w:p>
        </w:tc>
        <w:tc>
          <w:tcPr>
            <w:tcW w:w="897" w:type="dxa"/>
            <w:vMerge w:val="restart"/>
            <w:shd w:val="clear" w:color="auto" w:fill="B3B3B3"/>
          </w:tcPr>
          <w:p w14:paraId="7B842094" w14:textId="77777777" w:rsidR="00695EBA" w:rsidRPr="003521C6" w:rsidRDefault="00695EBA" w:rsidP="00F72DE4">
            <w:pPr>
              <w:pStyle w:val="TableText"/>
              <w:rPr>
                <w:b/>
                <w:szCs w:val="20"/>
              </w:rPr>
            </w:pPr>
            <w:r>
              <w:rPr>
                <w:b/>
                <w:szCs w:val="20"/>
              </w:rPr>
              <w:t>Product Code</w:t>
            </w:r>
          </w:p>
        </w:tc>
        <w:tc>
          <w:tcPr>
            <w:tcW w:w="797" w:type="dxa"/>
            <w:vMerge w:val="restart"/>
            <w:shd w:val="clear" w:color="auto" w:fill="B3B3B3"/>
          </w:tcPr>
          <w:p w14:paraId="16E2CE58" w14:textId="77777777" w:rsidR="00695EBA" w:rsidRPr="003521C6" w:rsidRDefault="00695EBA" w:rsidP="00F72DE4">
            <w:pPr>
              <w:pStyle w:val="TableText"/>
              <w:rPr>
                <w:b/>
                <w:szCs w:val="20"/>
              </w:rPr>
            </w:pPr>
            <w:r w:rsidRPr="003521C6">
              <w:rPr>
                <w:b/>
                <w:szCs w:val="20"/>
              </w:rPr>
              <w:t>Date</w:t>
            </w:r>
          </w:p>
        </w:tc>
        <w:tc>
          <w:tcPr>
            <w:tcW w:w="1740" w:type="dxa"/>
            <w:gridSpan w:val="2"/>
            <w:tcBorders>
              <w:bottom w:val="single" w:sz="2" w:space="0" w:color="auto"/>
            </w:tcBorders>
            <w:shd w:val="clear" w:color="auto" w:fill="B3B3B3"/>
          </w:tcPr>
          <w:p w14:paraId="1612D41F" w14:textId="77777777" w:rsidR="00695EBA" w:rsidRPr="003521C6" w:rsidRDefault="00695EBA" w:rsidP="00F72DE4">
            <w:pPr>
              <w:pStyle w:val="TableText"/>
              <w:rPr>
                <w:b/>
                <w:szCs w:val="20"/>
              </w:rPr>
            </w:pPr>
            <w:r w:rsidRPr="003521C6">
              <w:rPr>
                <w:b/>
                <w:szCs w:val="20"/>
              </w:rPr>
              <w:t>Time</w:t>
            </w:r>
          </w:p>
        </w:tc>
        <w:tc>
          <w:tcPr>
            <w:tcW w:w="1357" w:type="dxa"/>
            <w:vMerge w:val="restart"/>
            <w:shd w:val="clear" w:color="auto" w:fill="B3B3B3"/>
          </w:tcPr>
          <w:p w14:paraId="6B606E0B" w14:textId="77777777" w:rsidR="00695EBA" w:rsidRPr="003521C6" w:rsidRDefault="00695EBA" w:rsidP="00F72DE4">
            <w:pPr>
              <w:pStyle w:val="TableText"/>
              <w:rPr>
                <w:b/>
                <w:szCs w:val="20"/>
              </w:rPr>
            </w:pPr>
            <w:r>
              <w:rPr>
                <w:b/>
                <w:szCs w:val="20"/>
              </w:rPr>
              <w:t xml:space="preserve">Unit </w:t>
            </w:r>
            <w:r w:rsidRPr="003521C6">
              <w:rPr>
                <w:b/>
                <w:szCs w:val="20"/>
              </w:rPr>
              <w:t>Satisfactory</w:t>
            </w:r>
            <w:r>
              <w:rPr>
                <w:b/>
                <w:szCs w:val="20"/>
              </w:rPr>
              <w:t>?</w:t>
            </w:r>
          </w:p>
          <w:p w14:paraId="6D6A9275" w14:textId="77777777" w:rsidR="00695EBA" w:rsidRPr="003521C6" w:rsidRDefault="00695EBA" w:rsidP="00F72DE4">
            <w:pPr>
              <w:pStyle w:val="TableText"/>
              <w:rPr>
                <w:b/>
                <w:szCs w:val="20"/>
              </w:rPr>
            </w:pPr>
            <w:r w:rsidRPr="003521C6">
              <w:rPr>
                <w:b/>
                <w:szCs w:val="20"/>
              </w:rPr>
              <w:t>(Yes</w:t>
            </w:r>
            <w:r>
              <w:rPr>
                <w:b/>
                <w:szCs w:val="20"/>
              </w:rPr>
              <w:t>,</w:t>
            </w:r>
            <w:r w:rsidRPr="003521C6">
              <w:rPr>
                <w:b/>
                <w:szCs w:val="20"/>
              </w:rPr>
              <w:t xml:space="preserve"> No)</w:t>
            </w:r>
          </w:p>
        </w:tc>
        <w:tc>
          <w:tcPr>
            <w:tcW w:w="747" w:type="dxa"/>
            <w:vMerge w:val="restart"/>
            <w:shd w:val="clear" w:color="auto" w:fill="B3B3B3"/>
          </w:tcPr>
          <w:p w14:paraId="2C817317" w14:textId="77777777" w:rsidR="00695EBA" w:rsidRPr="003521C6" w:rsidRDefault="00695EBA" w:rsidP="00F72DE4">
            <w:pPr>
              <w:pStyle w:val="TableText"/>
              <w:rPr>
                <w:b/>
                <w:szCs w:val="20"/>
              </w:rPr>
            </w:pPr>
            <w:r w:rsidRPr="003521C6">
              <w:rPr>
                <w:b/>
                <w:szCs w:val="20"/>
              </w:rPr>
              <w:t>Ward</w:t>
            </w:r>
          </w:p>
        </w:tc>
        <w:tc>
          <w:tcPr>
            <w:tcW w:w="708" w:type="dxa"/>
            <w:vMerge w:val="restart"/>
            <w:shd w:val="clear" w:color="auto" w:fill="B3B3B3"/>
          </w:tcPr>
          <w:p w14:paraId="7D28F213" w14:textId="77777777" w:rsidR="00695EBA" w:rsidRPr="003521C6" w:rsidRDefault="00695EBA" w:rsidP="00F72DE4">
            <w:pPr>
              <w:pStyle w:val="TableText"/>
              <w:rPr>
                <w:b/>
                <w:szCs w:val="20"/>
              </w:rPr>
            </w:pPr>
            <w:r w:rsidRPr="003521C6">
              <w:rPr>
                <w:b/>
                <w:szCs w:val="20"/>
              </w:rPr>
              <w:t>Tech</w:t>
            </w:r>
          </w:p>
        </w:tc>
        <w:tc>
          <w:tcPr>
            <w:tcW w:w="1026" w:type="dxa"/>
            <w:vMerge w:val="restart"/>
            <w:shd w:val="clear" w:color="auto" w:fill="B3B3B3"/>
          </w:tcPr>
          <w:p w14:paraId="26DBB000" w14:textId="77777777" w:rsidR="00695EBA" w:rsidRPr="003521C6" w:rsidRDefault="00695EBA" w:rsidP="00F72DE4">
            <w:pPr>
              <w:pStyle w:val="TableText"/>
              <w:rPr>
                <w:b/>
                <w:szCs w:val="20"/>
              </w:rPr>
            </w:pPr>
            <w:r w:rsidRPr="003521C6">
              <w:rPr>
                <w:b/>
                <w:szCs w:val="20"/>
              </w:rPr>
              <w:t>Issued To</w:t>
            </w:r>
            <w:r>
              <w:rPr>
                <w:b/>
                <w:szCs w:val="20"/>
              </w:rPr>
              <w:t>:</w:t>
            </w:r>
          </w:p>
        </w:tc>
      </w:tr>
      <w:tr w:rsidR="00695EBA" w14:paraId="11501E35"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Ex>
        <w:trPr>
          <w:trHeight w:val="230"/>
          <w:tblHeader/>
        </w:trPr>
        <w:tc>
          <w:tcPr>
            <w:tcW w:w="3398" w:type="dxa"/>
            <w:vMerge/>
            <w:noWrap/>
          </w:tcPr>
          <w:p w14:paraId="576D31F4" w14:textId="77777777" w:rsidR="00695EBA" w:rsidRDefault="00695EBA" w:rsidP="00F72DE4">
            <w:pPr>
              <w:pStyle w:val="TableText"/>
              <w:rPr>
                <w:szCs w:val="20"/>
              </w:rPr>
            </w:pPr>
          </w:p>
        </w:tc>
        <w:tc>
          <w:tcPr>
            <w:tcW w:w="2290" w:type="dxa"/>
            <w:vMerge/>
          </w:tcPr>
          <w:p w14:paraId="13223F6D" w14:textId="77777777" w:rsidR="00695EBA" w:rsidRDefault="00695EBA" w:rsidP="00F72DE4">
            <w:pPr>
              <w:pStyle w:val="TableText"/>
              <w:rPr>
                <w:szCs w:val="20"/>
              </w:rPr>
            </w:pPr>
          </w:p>
        </w:tc>
        <w:tc>
          <w:tcPr>
            <w:tcW w:w="897" w:type="dxa"/>
            <w:vMerge/>
          </w:tcPr>
          <w:p w14:paraId="23E7EDA6" w14:textId="77777777" w:rsidR="00695EBA" w:rsidRDefault="00695EBA" w:rsidP="00F72DE4">
            <w:pPr>
              <w:pStyle w:val="TableText"/>
              <w:rPr>
                <w:szCs w:val="20"/>
              </w:rPr>
            </w:pPr>
          </w:p>
        </w:tc>
        <w:tc>
          <w:tcPr>
            <w:tcW w:w="797" w:type="dxa"/>
            <w:vMerge/>
          </w:tcPr>
          <w:p w14:paraId="1394C3DD" w14:textId="77777777" w:rsidR="00695EBA" w:rsidRDefault="00695EBA" w:rsidP="00F72DE4">
            <w:pPr>
              <w:pStyle w:val="TableText"/>
              <w:rPr>
                <w:szCs w:val="20"/>
              </w:rPr>
            </w:pPr>
          </w:p>
        </w:tc>
        <w:tc>
          <w:tcPr>
            <w:tcW w:w="835" w:type="dxa"/>
            <w:shd w:val="clear" w:color="auto" w:fill="B3B3B3"/>
          </w:tcPr>
          <w:p w14:paraId="4D2A9E7F" w14:textId="77777777" w:rsidR="00695EBA" w:rsidRPr="003521C6" w:rsidRDefault="00695EBA" w:rsidP="00F72DE4">
            <w:pPr>
              <w:pStyle w:val="TableText"/>
              <w:rPr>
                <w:b/>
                <w:szCs w:val="20"/>
              </w:rPr>
            </w:pPr>
            <w:r w:rsidRPr="003521C6">
              <w:rPr>
                <w:b/>
                <w:szCs w:val="20"/>
              </w:rPr>
              <w:t>Issue</w:t>
            </w:r>
          </w:p>
        </w:tc>
        <w:tc>
          <w:tcPr>
            <w:tcW w:w="905" w:type="dxa"/>
            <w:shd w:val="clear" w:color="auto" w:fill="B3B3B3"/>
          </w:tcPr>
          <w:p w14:paraId="770F443A" w14:textId="77777777" w:rsidR="00695EBA" w:rsidRPr="003521C6" w:rsidRDefault="00695EBA" w:rsidP="00F72DE4">
            <w:pPr>
              <w:pStyle w:val="TableText"/>
              <w:rPr>
                <w:b/>
                <w:szCs w:val="20"/>
              </w:rPr>
            </w:pPr>
            <w:r w:rsidRPr="003521C6">
              <w:rPr>
                <w:b/>
                <w:szCs w:val="20"/>
              </w:rPr>
              <w:t>Return</w:t>
            </w:r>
          </w:p>
        </w:tc>
        <w:tc>
          <w:tcPr>
            <w:tcW w:w="1357" w:type="dxa"/>
            <w:vMerge/>
          </w:tcPr>
          <w:p w14:paraId="1FB959F6" w14:textId="77777777" w:rsidR="00695EBA" w:rsidRDefault="00695EBA" w:rsidP="00F72DE4">
            <w:pPr>
              <w:pStyle w:val="TableText"/>
              <w:rPr>
                <w:szCs w:val="20"/>
              </w:rPr>
            </w:pPr>
          </w:p>
        </w:tc>
        <w:tc>
          <w:tcPr>
            <w:tcW w:w="747" w:type="dxa"/>
            <w:vMerge/>
          </w:tcPr>
          <w:p w14:paraId="24BCF3A2" w14:textId="77777777" w:rsidR="00695EBA" w:rsidRDefault="00695EBA" w:rsidP="00F72DE4">
            <w:pPr>
              <w:pStyle w:val="TableText"/>
              <w:rPr>
                <w:szCs w:val="20"/>
              </w:rPr>
            </w:pPr>
          </w:p>
        </w:tc>
        <w:tc>
          <w:tcPr>
            <w:tcW w:w="708" w:type="dxa"/>
            <w:vMerge/>
          </w:tcPr>
          <w:p w14:paraId="7FDB4957" w14:textId="77777777" w:rsidR="00695EBA" w:rsidRDefault="00695EBA" w:rsidP="00F72DE4">
            <w:pPr>
              <w:pStyle w:val="TableText"/>
              <w:rPr>
                <w:szCs w:val="20"/>
              </w:rPr>
            </w:pPr>
          </w:p>
        </w:tc>
        <w:tc>
          <w:tcPr>
            <w:tcW w:w="1026" w:type="dxa"/>
            <w:vMerge/>
          </w:tcPr>
          <w:p w14:paraId="1A99975A" w14:textId="77777777" w:rsidR="00695EBA" w:rsidRDefault="00695EBA" w:rsidP="00F72DE4">
            <w:pPr>
              <w:pStyle w:val="TableText"/>
              <w:rPr>
                <w:szCs w:val="20"/>
              </w:rPr>
            </w:pPr>
          </w:p>
        </w:tc>
      </w:tr>
      <w:tr w:rsidR="00695EBA" w14:paraId="609C234B"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Ex>
        <w:trPr>
          <w:trHeight w:val="432"/>
        </w:trPr>
        <w:tc>
          <w:tcPr>
            <w:tcW w:w="3398" w:type="dxa"/>
            <w:noWrap/>
          </w:tcPr>
          <w:p w14:paraId="49A387CF" w14:textId="77777777" w:rsidR="00695EBA" w:rsidRDefault="00695EBA" w:rsidP="00A95965">
            <w:pPr>
              <w:pStyle w:val="TableText"/>
              <w:rPr>
                <w:szCs w:val="20"/>
              </w:rPr>
            </w:pPr>
          </w:p>
        </w:tc>
        <w:tc>
          <w:tcPr>
            <w:tcW w:w="2290" w:type="dxa"/>
          </w:tcPr>
          <w:p w14:paraId="219DDEA7" w14:textId="77777777" w:rsidR="00695EBA" w:rsidRDefault="00695EBA" w:rsidP="00A95965">
            <w:pPr>
              <w:pStyle w:val="TableText"/>
              <w:rPr>
                <w:szCs w:val="20"/>
              </w:rPr>
            </w:pPr>
          </w:p>
        </w:tc>
        <w:tc>
          <w:tcPr>
            <w:tcW w:w="897" w:type="dxa"/>
          </w:tcPr>
          <w:p w14:paraId="407366F6" w14:textId="77777777" w:rsidR="00695EBA" w:rsidRDefault="00695EBA" w:rsidP="00571D70">
            <w:pPr>
              <w:pStyle w:val="TableText"/>
              <w:rPr>
                <w:szCs w:val="20"/>
              </w:rPr>
            </w:pPr>
          </w:p>
        </w:tc>
        <w:tc>
          <w:tcPr>
            <w:tcW w:w="797" w:type="dxa"/>
          </w:tcPr>
          <w:p w14:paraId="2641D159" w14:textId="77777777" w:rsidR="00695EBA" w:rsidRDefault="00695EBA" w:rsidP="00A95965">
            <w:pPr>
              <w:pStyle w:val="TableText"/>
              <w:rPr>
                <w:szCs w:val="20"/>
              </w:rPr>
            </w:pPr>
          </w:p>
        </w:tc>
        <w:tc>
          <w:tcPr>
            <w:tcW w:w="835" w:type="dxa"/>
          </w:tcPr>
          <w:p w14:paraId="4608FEFA" w14:textId="77777777" w:rsidR="00695EBA" w:rsidRDefault="00695EBA" w:rsidP="00A95965">
            <w:pPr>
              <w:pStyle w:val="TableText"/>
              <w:rPr>
                <w:szCs w:val="20"/>
              </w:rPr>
            </w:pPr>
          </w:p>
        </w:tc>
        <w:tc>
          <w:tcPr>
            <w:tcW w:w="905" w:type="dxa"/>
          </w:tcPr>
          <w:p w14:paraId="622A86C6" w14:textId="77777777" w:rsidR="00695EBA" w:rsidRDefault="00695EBA" w:rsidP="00A95965">
            <w:pPr>
              <w:pStyle w:val="TableText"/>
              <w:rPr>
                <w:szCs w:val="20"/>
              </w:rPr>
            </w:pPr>
          </w:p>
        </w:tc>
        <w:tc>
          <w:tcPr>
            <w:tcW w:w="1357" w:type="dxa"/>
          </w:tcPr>
          <w:p w14:paraId="14813E7D" w14:textId="77777777" w:rsidR="00695EBA" w:rsidRDefault="00695EBA" w:rsidP="00A95965">
            <w:pPr>
              <w:pStyle w:val="TableText"/>
              <w:rPr>
                <w:szCs w:val="20"/>
              </w:rPr>
            </w:pPr>
          </w:p>
        </w:tc>
        <w:tc>
          <w:tcPr>
            <w:tcW w:w="747" w:type="dxa"/>
          </w:tcPr>
          <w:p w14:paraId="3D46EBBF" w14:textId="77777777" w:rsidR="00695EBA" w:rsidRDefault="00695EBA" w:rsidP="00A95965">
            <w:pPr>
              <w:pStyle w:val="TableText"/>
              <w:rPr>
                <w:szCs w:val="20"/>
              </w:rPr>
            </w:pPr>
          </w:p>
        </w:tc>
        <w:tc>
          <w:tcPr>
            <w:tcW w:w="708" w:type="dxa"/>
          </w:tcPr>
          <w:p w14:paraId="64CEC9EA" w14:textId="77777777" w:rsidR="00695EBA" w:rsidRDefault="00695EBA" w:rsidP="00A95965">
            <w:pPr>
              <w:pStyle w:val="TableText"/>
              <w:rPr>
                <w:szCs w:val="20"/>
              </w:rPr>
            </w:pPr>
          </w:p>
        </w:tc>
        <w:tc>
          <w:tcPr>
            <w:tcW w:w="1026" w:type="dxa"/>
          </w:tcPr>
          <w:p w14:paraId="6C24F371" w14:textId="77777777" w:rsidR="00695EBA" w:rsidRDefault="00695EBA" w:rsidP="00A95965">
            <w:pPr>
              <w:pStyle w:val="TableText"/>
              <w:rPr>
                <w:szCs w:val="20"/>
              </w:rPr>
            </w:pPr>
          </w:p>
        </w:tc>
      </w:tr>
      <w:tr w:rsidR="00695EBA" w14:paraId="749DD2B0"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Ex>
        <w:trPr>
          <w:trHeight w:val="432"/>
        </w:trPr>
        <w:tc>
          <w:tcPr>
            <w:tcW w:w="3398" w:type="dxa"/>
            <w:noWrap/>
          </w:tcPr>
          <w:p w14:paraId="6102EE27" w14:textId="77777777" w:rsidR="00695EBA" w:rsidRDefault="00695EBA" w:rsidP="00A95965">
            <w:pPr>
              <w:pStyle w:val="TableText"/>
              <w:rPr>
                <w:szCs w:val="20"/>
              </w:rPr>
            </w:pPr>
          </w:p>
        </w:tc>
        <w:tc>
          <w:tcPr>
            <w:tcW w:w="2290" w:type="dxa"/>
          </w:tcPr>
          <w:p w14:paraId="48773C50" w14:textId="77777777" w:rsidR="00695EBA" w:rsidRDefault="00695EBA" w:rsidP="00A95965">
            <w:pPr>
              <w:pStyle w:val="TableText"/>
              <w:rPr>
                <w:szCs w:val="20"/>
              </w:rPr>
            </w:pPr>
          </w:p>
        </w:tc>
        <w:tc>
          <w:tcPr>
            <w:tcW w:w="897" w:type="dxa"/>
          </w:tcPr>
          <w:p w14:paraId="2151A35A" w14:textId="77777777" w:rsidR="00695EBA" w:rsidRDefault="00695EBA" w:rsidP="00571D70">
            <w:pPr>
              <w:pStyle w:val="TableText"/>
              <w:rPr>
                <w:szCs w:val="20"/>
              </w:rPr>
            </w:pPr>
          </w:p>
        </w:tc>
        <w:tc>
          <w:tcPr>
            <w:tcW w:w="797" w:type="dxa"/>
          </w:tcPr>
          <w:p w14:paraId="53F488D0" w14:textId="77777777" w:rsidR="00695EBA" w:rsidRDefault="00695EBA" w:rsidP="00A95965">
            <w:pPr>
              <w:pStyle w:val="TableText"/>
              <w:rPr>
                <w:szCs w:val="20"/>
              </w:rPr>
            </w:pPr>
          </w:p>
        </w:tc>
        <w:tc>
          <w:tcPr>
            <w:tcW w:w="835" w:type="dxa"/>
          </w:tcPr>
          <w:p w14:paraId="67317A96" w14:textId="77777777" w:rsidR="00695EBA" w:rsidRDefault="00695EBA" w:rsidP="00A95965">
            <w:pPr>
              <w:pStyle w:val="TableText"/>
              <w:rPr>
                <w:szCs w:val="20"/>
              </w:rPr>
            </w:pPr>
          </w:p>
        </w:tc>
        <w:tc>
          <w:tcPr>
            <w:tcW w:w="905" w:type="dxa"/>
          </w:tcPr>
          <w:p w14:paraId="7038C353" w14:textId="77777777" w:rsidR="00695EBA" w:rsidRDefault="00695EBA" w:rsidP="00A95965">
            <w:pPr>
              <w:pStyle w:val="TableText"/>
              <w:rPr>
                <w:szCs w:val="20"/>
              </w:rPr>
            </w:pPr>
          </w:p>
        </w:tc>
        <w:tc>
          <w:tcPr>
            <w:tcW w:w="1357" w:type="dxa"/>
          </w:tcPr>
          <w:p w14:paraId="4CAA4A80" w14:textId="77777777" w:rsidR="00695EBA" w:rsidRDefault="00695EBA" w:rsidP="00A95965">
            <w:pPr>
              <w:pStyle w:val="TableText"/>
              <w:rPr>
                <w:szCs w:val="20"/>
              </w:rPr>
            </w:pPr>
          </w:p>
        </w:tc>
        <w:tc>
          <w:tcPr>
            <w:tcW w:w="747" w:type="dxa"/>
          </w:tcPr>
          <w:p w14:paraId="3BF8FA60" w14:textId="77777777" w:rsidR="00695EBA" w:rsidRDefault="00695EBA" w:rsidP="00A95965">
            <w:pPr>
              <w:pStyle w:val="TableText"/>
              <w:rPr>
                <w:szCs w:val="20"/>
              </w:rPr>
            </w:pPr>
          </w:p>
        </w:tc>
        <w:tc>
          <w:tcPr>
            <w:tcW w:w="708" w:type="dxa"/>
          </w:tcPr>
          <w:p w14:paraId="59AA019A" w14:textId="77777777" w:rsidR="00695EBA" w:rsidRDefault="00695EBA" w:rsidP="00A95965">
            <w:pPr>
              <w:pStyle w:val="TableText"/>
              <w:rPr>
                <w:szCs w:val="20"/>
              </w:rPr>
            </w:pPr>
          </w:p>
        </w:tc>
        <w:tc>
          <w:tcPr>
            <w:tcW w:w="1026" w:type="dxa"/>
          </w:tcPr>
          <w:p w14:paraId="6A0C4AC8" w14:textId="77777777" w:rsidR="00695EBA" w:rsidRDefault="00695EBA" w:rsidP="00A95965">
            <w:pPr>
              <w:pStyle w:val="TableText"/>
              <w:rPr>
                <w:szCs w:val="20"/>
              </w:rPr>
            </w:pPr>
          </w:p>
        </w:tc>
      </w:tr>
      <w:tr w:rsidR="00695EBA" w14:paraId="2258F60B"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Ex>
        <w:trPr>
          <w:trHeight w:val="432"/>
        </w:trPr>
        <w:tc>
          <w:tcPr>
            <w:tcW w:w="3398" w:type="dxa"/>
            <w:noWrap/>
          </w:tcPr>
          <w:p w14:paraId="65A8A9B0" w14:textId="77777777" w:rsidR="00695EBA" w:rsidRDefault="00695EBA" w:rsidP="00A95965">
            <w:pPr>
              <w:pStyle w:val="TableText"/>
              <w:rPr>
                <w:szCs w:val="20"/>
              </w:rPr>
            </w:pPr>
          </w:p>
        </w:tc>
        <w:tc>
          <w:tcPr>
            <w:tcW w:w="2290" w:type="dxa"/>
          </w:tcPr>
          <w:p w14:paraId="1282B99B" w14:textId="77777777" w:rsidR="00695EBA" w:rsidRDefault="00695EBA" w:rsidP="00A95965">
            <w:pPr>
              <w:pStyle w:val="TableText"/>
              <w:rPr>
                <w:szCs w:val="20"/>
              </w:rPr>
            </w:pPr>
          </w:p>
        </w:tc>
        <w:tc>
          <w:tcPr>
            <w:tcW w:w="897" w:type="dxa"/>
          </w:tcPr>
          <w:p w14:paraId="3C171BAB" w14:textId="77777777" w:rsidR="00695EBA" w:rsidRDefault="00695EBA" w:rsidP="00571D70">
            <w:pPr>
              <w:pStyle w:val="TableText"/>
              <w:rPr>
                <w:szCs w:val="20"/>
              </w:rPr>
            </w:pPr>
          </w:p>
        </w:tc>
        <w:tc>
          <w:tcPr>
            <w:tcW w:w="797" w:type="dxa"/>
          </w:tcPr>
          <w:p w14:paraId="5D8D36FA" w14:textId="77777777" w:rsidR="00695EBA" w:rsidRDefault="00695EBA" w:rsidP="00A95965">
            <w:pPr>
              <w:pStyle w:val="TableText"/>
              <w:rPr>
                <w:szCs w:val="20"/>
              </w:rPr>
            </w:pPr>
          </w:p>
        </w:tc>
        <w:tc>
          <w:tcPr>
            <w:tcW w:w="835" w:type="dxa"/>
          </w:tcPr>
          <w:p w14:paraId="0D82F615" w14:textId="77777777" w:rsidR="00695EBA" w:rsidRDefault="00695EBA" w:rsidP="00A95965">
            <w:pPr>
              <w:pStyle w:val="TableText"/>
              <w:rPr>
                <w:szCs w:val="20"/>
              </w:rPr>
            </w:pPr>
          </w:p>
        </w:tc>
        <w:tc>
          <w:tcPr>
            <w:tcW w:w="905" w:type="dxa"/>
          </w:tcPr>
          <w:p w14:paraId="74272E43" w14:textId="77777777" w:rsidR="00695EBA" w:rsidRDefault="00695EBA" w:rsidP="00A95965">
            <w:pPr>
              <w:pStyle w:val="TableText"/>
              <w:rPr>
                <w:szCs w:val="20"/>
              </w:rPr>
            </w:pPr>
          </w:p>
        </w:tc>
        <w:tc>
          <w:tcPr>
            <w:tcW w:w="1357" w:type="dxa"/>
          </w:tcPr>
          <w:p w14:paraId="1E26A7BE" w14:textId="77777777" w:rsidR="00695EBA" w:rsidRDefault="00695EBA" w:rsidP="00A95965">
            <w:pPr>
              <w:pStyle w:val="TableText"/>
              <w:rPr>
                <w:szCs w:val="20"/>
              </w:rPr>
            </w:pPr>
          </w:p>
        </w:tc>
        <w:tc>
          <w:tcPr>
            <w:tcW w:w="747" w:type="dxa"/>
          </w:tcPr>
          <w:p w14:paraId="4BFDF0F9" w14:textId="77777777" w:rsidR="00695EBA" w:rsidRDefault="00695EBA" w:rsidP="00A95965">
            <w:pPr>
              <w:pStyle w:val="TableText"/>
              <w:rPr>
                <w:szCs w:val="20"/>
              </w:rPr>
            </w:pPr>
          </w:p>
        </w:tc>
        <w:tc>
          <w:tcPr>
            <w:tcW w:w="708" w:type="dxa"/>
          </w:tcPr>
          <w:p w14:paraId="68126F33" w14:textId="77777777" w:rsidR="00695EBA" w:rsidRDefault="00695EBA" w:rsidP="00A95965">
            <w:pPr>
              <w:pStyle w:val="TableText"/>
              <w:rPr>
                <w:szCs w:val="20"/>
              </w:rPr>
            </w:pPr>
          </w:p>
        </w:tc>
        <w:tc>
          <w:tcPr>
            <w:tcW w:w="1026" w:type="dxa"/>
          </w:tcPr>
          <w:p w14:paraId="2640E334" w14:textId="77777777" w:rsidR="00695EBA" w:rsidRDefault="00695EBA" w:rsidP="00A95965">
            <w:pPr>
              <w:pStyle w:val="TableText"/>
              <w:rPr>
                <w:szCs w:val="20"/>
              </w:rPr>
            </w:pPr>
          </w:p>
        </w:tc>
      </w:tr>
      <w:tr w:rsidR="00695EBA" w14:paraId="545C7FCB"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Ex>
        <w:trPr>
          <w:trHeight w:val="432"/>
        </w:trPr>
        <w:tc>
          <w:tcPr>
            <w:tcW w:w="3398" w:type="dxa"/>
            <w:noWrap/>
          </w:tcPr>
          <w:p w14:paraId="49E3C7A8" w14:textId="77777777" w:rsidR="00695EBA" w:rsidRDefault="00695EBA" w:rsidP="00A95965">
            <w:pPr>
              <w:pStyle w:val="TableText"/>
              <w:rPr>
                <w:szCs w:val="20"/>
              </w:rPr>
            </w:pPr>
          </w:p>
        </w:tc>
        <w:tc>
          <w:tcPr>
            <w:tcW w:w="2290" w:type="dxa"/>
          </w:tcPr>
          <w:p w14:paraId="426F52B2" w14:textId="77777777" w:rsidR="00695EBA" w:rsidRDefault="00695EBA" w:rsidP="00A95965">
            <w:pPr>
              <w:pStyle w:val="TableText"/>
              <w:rPr>
                <w:szCs w:val="20"/>
              </w:rPr>
            </w:pPr>
          </w:p>
        </w:tc>
        <w:tc>
          <w:tcPr>
            <w:tcW w:w="897" w:type="dxa"/>
          </w:tcPr>
          <w:p w14:paraId="43C44843" w14:textId="77777777" w:rsidR="00695EBA" w:rsidRDefault="00695EBA" w:rsidP="00571D70">
            <w:pPr>
              <w:pStyle w:val="TableText"/>
              <w:rPr>
                <w:szCs w:val="20"/>
              </w:rPr>
            </w:pPr>
          </w:p>
        </w:tc>
        <w:tc>
          <w:tcPr>
            <w:tcW w:w="797" w:type="dxa"/>
          </w:tcPr>
          <w:p w14:paraId="5C1504C2" w14:textId="77777777" w:rsidR="00695EBA" w:rsidRDefault="00695EBA" w:rsidP="00A95965">
            <w:pPr>
              <w:pStyle w:val="TableText"/>
              <w:rPr>
                <w:szCs w:val="20"/>
              </w:rPr>
            </w:pPr>
          </w:p>
        </w:tc>
        <w:tc>
          <w:tcPr>
            <w:tcW w:w="835" w:type="dxa"/>
          </w:tcPr>
          <w:p w14:paraId="2D647F30" w14:textId="77777777" w:rsidR="00695EBA" w:rsidRDefault="00695EBA" w:rsidP="00A95965">
            <w:pPr>
              <w:pStyle w:val="TableText"/>
              <w:rPr>
                <w:szCs w:val="20"/>
              </w:rPr>
            </w:pPr>
          </w:p>
        </w:tc>
        <w:tc>
          <w:tcPr>
            <w:tcW w:w="905" w:type="dxa"/>
          </w:tcPr>
          <w:p w14:paraId="03701FD2" w14:textId="77777777" w:rsidR="00695EBA" w:rsidRDefault="00695EBA" w:rsidP="00A95965">
            <w:pPr>
              <w:pStyle w:val="TableText"/>
              <w:rPr>
                <w:szCs w:val="20"/>
              </w:rPr>
            </w:pPr>
          </w:p>
        </w:tc>
        <w:tc>
          <w:tcPr>
            <w:tcW w:w="1357" w:type="dxa"/>
          </w:tcPr>
          <w:p w14:paraId="7F81646C" w14:textId="77777777" w:rsidR="00695EBA" w:rsidRDefault="00695EBA" w:rsidP="00A95965">
            <w:pPr>
              <w:pStyle w:val="TableText"/>
              <w:rPr>
                <w:szCs w:val="20"/>
              </w:rPr>
            </w:pPr>
          </w:p>
        </w:tc>
        <w:tc>
          <w:tcPr>
            <w:tcW w:w="747" w:type="dxa"/>
          </w:tcPr>
          <w:p w14:paraId="21F678B9" w14:textId="77777777" w:rsidR="00695EBA" w:rsidRDefault="00695EBA" w:rsidP="00A95965">
            <w:pPr>
              <w:pStyle w:val="TableText"/>
              <w:rPr>
                <w:szCs w:val="20"/>
              </w:rPr>
            </w:pPr>
          </w:p>
        </w:tc>
        <w:tc>
          <w:tcPr>
            <w:tcW w:w="708" w:type="dxa"/>
          </w:tcPr>
          <w:p w14:paraId="078223DB" w14:textId="77777777" w:rsidR="00695EBA" w:rsidRDefault="00695EBA" w:rsidP="00A95965">
            <w:pPr>
              <w:pStyle w:val="TableText"/>
              <w:rPr>
                <w:szCs w:val="20"/>
              </w:rPr>
            </w:pPr>
          </w:p>
        </w:tc>
        <w:tc>
          <w:tcPr>
            <w:tcW w:w="1026" w:type="dxa"/>
          </w:tcPr>
          <w:p w14:paraId="26A64973" w14:textId="77777777" w:rsidR="00695EBA" w:rsidRDefault="00695EBA" w:rsidP="00A95965">
            <w:pPr>
              <w:pStyle w:val="TableText"/>
              <w:rPr>
                <w:szCs w:val="20"/>
              </w:rPr>
            </w:pPr>
          </w:p>
        </w:tc>
      </w:tr>
      <w:tr w:rsidR="00695EBA" w14:paraId="3F72F762"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Ex>
        <w:trPr>
          <w:trHeight w:val="432"/>
        </w:trPr>
        <w:tc>
          <w:tcPr>
            <w:tcW w:w="3398" w:type="dxa"/>
            <w:noWrap/>
          </w:tcPr>
          <w:p w14:paraId="7B9F5F5E" w14:textId="77777777" w:rsidR="00695EBA" w:rsidRDefault="00695EBA" w:rsidP="00A95965">
            <w:pPr>
              <w:pStyle w:val="TableText"/>
              <w:rPr>
                <w:szCs w:val="20"/>
              </w:rPr>
            </w:pPr>
          </w:p>
        </w:tc>
        <w:tc>
          <w:tcPr>
            <w:tcW w:w="2290" w:type="dxa"/>
          </w:tcPr>
          <w:p w14:paraId="2C1A8413" w14:textId="77777777" w:rsidR="00695EBA" w:rsidRDefault="00695EBA" w:rsidP="00A95965">
            <w:pPr>
              <w:pStyle w:val="TableText"/>
              <w:rPr>
                <w:szCs w:val="20"/>
              </w:rPr>
            </w:pPr>
          </w:p>
        </w:tc>
        <w:tc>
          <w:tcPr>
            <w:tcW w:w="897" w:type="dxa"/>
          </w:tcPr>
          <w:p w14:paraId="1049882D" w14:textId="77777777" w:rsidR="00695EBA" w:rsidRDefault="00695EBA" w:rsidP="00571D70">
            <w:pPr>
              <w:pStyle w:val="TableText"/>
              <w:rPr>
                <w:szCs w:val="20"/>
              </w:rPr>
            </w:pPr>
          </w:p>
        </w:tc>
        <w:tc>
          <w:tcPr>
            <w:tcW w:w="797" w:type="dxa"/>
          </w:tcPr>
          <w:p w14:paraId="6FF9CD75" w14:textId="77777777" w:rsidR="00695EBA" w:rsidRDefault="00695EBA" w:rsidP="00A95965">
            <w:pPr>
              <w:pStyle w:val="TableText"/>
              <w:rPr>
                <w:szCs w:val="20"/>
              </w:rPr>
            </w:pPr>
          </w:p>
        </w:tc>
        <w:tc>
          <w:tcPr>
            <w:tcW w:w="835" w:type="dxa"/>
          </w:tcPr>
          <w:p w14:paraId="5D4BFAA9" w14:textId="77777777" w:rsidR="00695EBA" w:rsidRDefault="00695EBA" w:rsidP="00A95965">
            <w:pPr>
              <w:pStyle w:val="TableText"/>
              <w:rPr>
                <w:szCs w:val="20"/>
              </w:rPr>
            </w:pPr>
          </w:p>
        </w:tc>
        <w:tc>
          <w:tcPr>
            <w:tcW w:w="905" w:type="dxa"/>
          </w:tcPr>
          <w:p w14:paraId="46DC1AA8" w14:textId="77777777" w:rsidR="00695EBA" w:rsidRDefault="00695EBA" w:rsidP="00A95965">
            <w:pPr>
              <w:pStyle w:val="TableText"/>
              <w:rPr>
                <w:szCs w:val="20"/>
              </w:rPr>
            </w:pPr>
          </w:p>
        </w:tc>
        <w:tc>
          <w:tcPr>
            <w:tcW w:w="1357" w:type="dxa"/>
          </w:tcPr>
          <w:p w14:paraId="04F78324" w14:textId="77777777" w:rsidR="00695EBA" w:rsidRDefault="00695EBA" w:rsidP="00A95965">
            <w:pPr>
              <w:pStyle w:val="TableText"/>
              <w:rPr>
                <w:szCs w:val="20"/>
              </w:rPr>
            </w:pPr>
          </w:p>
        </w:tc>
        <w:tc>
          <w:tcPr>
            <w:tcW w:w="747" w:type="dxa"/>
          </w:tcPr>
          <w:p w14:paraId="266EA2F8" w14:textId="77777777" w:rsidR="00695EBA" w:rsidRDefault="00695EBA" w:rsidP="00A95965">
            <w:pPr>
              <w:pStyle w:val="TableText"/>
              <w:rPr>
                <w:szCs w:val="20"/>
              </w:rPr>
            </w:pPr>
          </w:p>
        </w:tc>
        <w:tc>
          <w:tcPr>
            <w:tcW w:w="708" w:type="dxa"/>
          </w:tcPr>
          <w:p w14:paraId="7D6EC1FB" w14:textId="77777777" w:rsidR="00695EBA" w:rsidRDefault="00695EBA" w:rsidP="00A95965">
            <w:pPr>
              <w:pStyle w:val="TableText"/>
              <w:rPr>
                <w:szCs w:val="20"/>
              </w:rPr>
            </w:pPr>
          </w:p>
        </w:tc>
        <w:tc>
          <w:tcPr>
            <w:tcW w:w="1026" w:type="dxa"/>
          </w:tcPr>
          <w:p w14:paraId="1D14BBBD" w14:textId="77777777" w:rsidR="00695EBA" w:rsidRDefault="00695EBA" w:rsidP="00A95965">
            <w:pPr>
              <w:pStyle w:val="TableText"/>
              <w:rPr>
                <w:szCs w:val="20"/>
              </w:rPr>
            </w:pPr>
          </w:p>
        </w:tc>
      </w:tr>
      <w:tr w:rsidR="00695EBA" w14:paraId="7C061EE0"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Ex>
        <w:trPr>
          <w:trHeight w:val="432"/>
        </w:trPr>
        <w:tc>
          <w:tcPr>
            <w:tcW w:w="3398" w:type="dxa"/>
            <w:noWrap/>
          </w:tcPr>
          <w:p w14:paraId="38894D82" w14:textId="77777777" w:rsidR="00695EBA" w:rsidRDefault="00695EBA" w:rsidP="00A95965">
            <w:pPr>
              <w:pStyle w:val="TableText"/>
              <w:rPr>
                <w:szCs w:val="20"/>
              </w:rPr>
            </w:pPr>
          </w:p>
        </w:tc>
        <w:tc>
          <w:tcPr>
            <w:tcW w:w="2290" w:type="dxa"/>
          </w:tcPr>
          <w:p w14:paraId="066F4514" w14:textId="77777777" w:rsidR="00695EBA" w:rsidRDefault="00695EBA" w:rsidP="00A95965">
            <w:pPr>
              <w:pStyle w:val="TableText"/>
              <w:rPr>
                <w:szCs w:val="20"/>
              </w:rPr>
            </w:pPr>
          </w:p>
        </w:tc>
        <w:tc>
          <w:tcPr>
            <w:tcW w:w="897" w:type="dxa"/>
          </w:tcPr>
          <w:p w14:paraId="75B9C35D" w14:textId="77777777" w:rsidR="00695EBA" w:rsidRDefault="00695EBA" w:rsidP="00571D70">
            <w:pPr>
              <w:pStyle w:val="TableText"/>
              <w:rPr>
                <w:szCs w:val="20"/>
              </w:rPr>
            </w:pPr>
          </w:p>
        </w:tc>
        <w:tc>
          <w:tcPr>
            <w:tcW w:w="797" w:type="dxa"/>
          </w:tcPr>
          <w:p w14:paraId="7288C257" w14:textId="77777777" w:rsidR="00695EBA" w:rsidRDefault="00695EBA" w:rsidP="00A95965">
            <w:pPr>
              <w:pStyle w:val="TableText"/>
              <w:rPr>
                <w:szCs w:val="20"/>
              </w:rPr>
            </w:pPr>
          </w:p>
        </w:tc>
        <w:tc>
          <w:tcPr>
            <w:tcW w:w="835" w:type="dxa"/>
          </w:tcPr>
          <w:p w14:paraId="039471AE" w14:textId="77777777" w:rsidR="00695EBA" w:rsidRDefault="00695EBA" w:rsidP="00A95965">
            <w:pPr>
              <w:pStyle w:val="TableText"/>
              <w:rPr>
                <w:szCs w:val="20"/>
              </w:rPr>
            </w:pPr>
          </w:p>
        </w:tc>
        <w:tc>
          <w:tcPr>
            <w:tcW w:w="905" w:type="dxa"/>
          </w:tcPr>
          <w:p w14:paraId="70D9CD3D" w14:textId="77777777" w:rsidR="00695EBA" w:rsidRDefault="00695EBA" w:rsidP="00A95965">
            <w:pPr>
              <w:pStyle w:val="TableText"/>
              <w:rPr>
                <w:szCs w:val="20"/>
              </w:rPr>
            </w:pPr>
          </w:p>
        </w:tc>
        <w:tc>
          <w:tcPr>
            <w:tcW w:w="1357" w:type="dxa"/>
          </w:tcPr>
          <w:p w14:paraId="6EA3A3BB" w14:textId="77777777" w:rsidR="00695EBA" w:rsidRDefault="00695EBA" w:rsidP="00A95965">
            <w:pPr>
              <w:pStyle w:val="TableText"/>
              <w:rPr>
                <w:szCs w:val="20"/>
              </w:rPr>
            </w:pPr>
          </w:p>
        </w:tc>
        <w:tc>
          <w:tcPr>
            <w:tcW w:w="747" w:type="dxa"/>
          </w:tcPr>
          <w:p w14:paraId="16CD1F78" w14:textId="77777777" w:rsidR="00695EBA" w:rsidRDefault="00695EBA" w:rsidP="00A95965">
            <w:pPr>
              <w:pStyle w:val="TableText"/>
              <w:rPr>
                <w:szCs w:val="20"/>
              </w:rPr>
            </w:pPr>
          </w:p>
        </w:tc>
        <w:tc>
          <w:tcPr>
            <w:tcW w:w="708" w:type="dxa"/>
          </w:tcPr>
          <w:p w14:paraId="563CECAC" w14:textId="77777777" w:rsidR="00695EBA" w:rsidRDefault="00695EBA" w:rsidP="00A95965">
            <w:pPr>
              <w:pStyle w:val="TableText"/>
              <w:rPr>
                <w:szCs w:val="20"/>
              </w:rPr>
            </w:pPr>
          </w:p>
        </w:tc>
        <w:tc>
          <w:tcPr>
            <w:tcW w:w="1026" w:type="dxa"/>
          </w:tcPr>
          <w:p w14:paraId="7A507785" w14:textId="77777777" w:rsidR="00695EBA" w:rsidRDefault="00695EBA" w:rsidP="00A95965">
            <w:pPr>
              <w:pStyle w:val="TableText"/>
              <w:rPr>
                <w:szCs w:val="20"/>
              </w:rPr>
            </w:pPr>
          </w:p>
        </w:tc>
      </w:tr>
      <w:tr w:rsidR="00695EBA" w14:paraId="2383ACD2"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Ex>
        <w:trPr>
          <w:trHeight w:val="432"/>
        </w:trPr>
        <w:tc>
          <w:tcPr>
            <w:tcW w:w="3398" w:type="dxa"/>
            <w:noWrap/>
          </w:tcPr>
          <w:p w14:paraId="11DB776E" w14:textId="77777777" w:rsidR="00695EBA" w:rsidRDefault="00695EBA" w:rsidP="00A95965">
            <w:pPr>
              <w:pStyle w:val="TableText"/>
              <w:rPr>
                <w:szCs w:val="20"/>
              </w:rPr>
            </w:pPr>
          </w:p>
        </w:tc>
        <w:tc>
          <w:tcPr>
            <w:tcW w:w="2290" w:type="dxa"/>
          </w:tcPr>
          <w:p w14:paraId="2B817AC6" w14:textId="77777777" w:rsidR="00695EBA" w:rsidRDefault="00695EBA" w:rsidP="00A95965">
            <w:pPr>
              <w:pStyle w:val="TableText"/>
              <w:rPr>
                <w:szCs w:val="20"/>
              </w:rPr>
            </w:pPr>
          </w:p>
        </w:tc>
        <w:tc>
          <w:tcPr>
            <w:tcW w:w="897" w:type="dxa"/>
          </w:tcPr>
          <w:p w14:paraId="214FC02B" w14:textId="77777777" w:rsidR="00695EBA" w:rsidRDefault="00695EBA" w:rsidP="00571D70">
            <w:pPr>
              <w:pStyle w:val="TableText"/>
              <w:rPr>
                <w:szCs w:val="20"/>
              </w:rPr>
            </w:pPr>
          </w:p>
        </w:tc>
        <w:tc>
          <w:tcPr>
            <w:tcW w:w="797" w:type="dxa"/>
          </w:tcPr>
          <w:p w14:paraId="0B8BFAFB" w14:textId="77777777" w:rsidR="00695EBA" w:rsidRDefault="00695EBA" w:rsidP="00A95965">
            <w:pPr>
              <w:pStyle w:val="TableText"/>
              <w:rPr>
                <w:szCs w:val="20"/>
              </w:rPr>
            </w:pPr>
          </w:p>
        </w:tc>
        <w:tc>
          <w:tcPr>
            <w:tcW w:w="835" w:type="dxa"/>
          </w:tcPr>
          <w:p w14:paraId="14281BFE" w14:textId="77777777" w:rsidR="00695EBA" w:rsidRDefault="00695EBA" w:rsidP="00A95965">
            <w:pPr>
              <w:pStyle w:val="TableText"/>
              <w:rPr>
                <w:szCs w:val="20"/>
              </w:rPr>
            </w:pPr>
          </w:p>
        </w:tc>
        <w:tc>
          <w:tcPr>
            <w:tcW w:w="905" w:type="dxa"/>
          </w:tcPr>
          <w:p w14:paraId="61C6AA93" w14:textId="77777777" w:rsidR="00695EBA" w:rsidRDefault="00695EBA" w:rsidP="00A95965">
            <w:pPr>
              <w:pStyle w:val="TableText"/>
              <w:rPr>
                <w:szCs w:val="20"/>
              </w:rPr>
            </w:pPr>
          </w:p>
        </w:tc>
        <w:tc>
          <w:tcPr>
            <w:tcW w:w="1357" w:type="dxa"/>
          </w:tcPr>
          <w:p w14:paraId="1D8AB84C" w14:textId="77777777" w:rsidR="00695EBA" w:rsidRDefault="00695EBA" w:rsidP="00A95965">
            <w:pPr>
              <w:pStyle w:val="TableText"/>
              <w:rPr>
                <w:szCs w:val="20"/>
              </w:rPr>
            </w:pPr>
          </w:p>
        </w:tc>
        <w:tc>
          <w:tcPr>
            <w:tcW w:w="747" w:type="dxa"/>
          </w:tcPr>
          <w:p w14:paraId="6DCD0EDA" w14:textId="77777777" w:rsidR="00695EBA" w:rsidRDefault="00695EBA" w:rsidP="00A95965">
            <w:pPr>
              <w:pStyle w:val="TableText"/>
              <w:rPr>
                <w:szCs w:val="20"/>
              </w:rPr>
            </w:pPr>
          </w:p>
        </w:tc>
        <w:tc>
          <w:tcPr>
            <w:tcW w:w="708" w:type="dxa"/>
          </w:tcPr>
          <w:p w14:paraId="6EBFB9D4" w14:textId="77777777" w:rsidR="00695EBA" w:rsidRDefault="00695EBA" w:rsidP="00A95965">
            <w:pPr>
              <w:pStyle w:val="TableText"/>
              <w:rPr>
                <w:szCs w:val="20"/>
              </w:rPr>
            </w:pPr>
          </w:p>
        </w:tc>
        <w:tc>
          <w:tcPr>
            <w:tcW w:w="1026" w:type="dxa"/>
          </w:tcPr>
          <w:p w14:paraId="4C48E4F0" w14:textId="77777777" w:rsidR="00695EBA" w:rsidRDefault="00695EBA" w:rsidP="00A95965">
            <w:pPr>
              <w:pStyle w:val="TableText"/>
              <w:rPr>
                <w:szCs w:val="20"/>
              </w:rPr>
            </w:pPr>
          </w:p>
        </w:tc>
      </w:tr>
      <w:tr w:rsidR="00695EBA" w14:paraId="6F578B19"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Ex>
        <w:trPr>
          <w:trHeight w:val="432"/>
        </w:trPr>
        <w:tc>
          <w:tcPr>
            <w:tcW w:w="3398" w:type="dxa"/>
            <w:noWrap/>
          </w:tcPr>
          <w:p w14:paraId="0D89C1C5" w14:textId="77777777" w:rsidR="00695EBA" w:rsidRDefault="00695EBA" w:rsidP="00A95965">
            <w:pPr>
              <w:pStyle w:val="TableText"/>
              <w:rPr>
                <w:szCs w:val="20"/>
              </w:rPr>
            </w:pPr>
          </w:p>
        </w:tc>
        <w:tc>
          <w:tcPr>
            <w:tcW w:w="2290" w:type="dxa"/>
          </w:tcPr>
          <w:p w14:paraId="78DB4EFF" w14:textId="77777777" w:rsidR="00695EBA" w:rsidRDefault="00695EBA" w:rsidP="00A95965">
            <w:pPr>
              <w:pStyle w:val="TableText"/>
              <w:rPr>
                <w:szCs w:val="20"/>
              </w:rPr>
            </w:pPr>
          </w:p>
        </w:tc>
        <w:tc>
          <w:tcPr>
            <w:tcW w:w="897" w:type="dxa"/>
          </w:tcPr>
          <w:p w14:paraId="107281D4" w14:textId="77777777" w:rsidR="00695EBA" w:rsidRDefault="00695EBA" w:rsidP="00571D70">
            <w:pPr>
              <w:pStyle w:val="TableText"/>
              <w:rPr>
                <w:szCs w:val="20"/>
              </w:rPr>
            </w:pPr>
          </w:p>
        </w:tc>
        <w:tc>
          <w:tcPr>
            <w:tcW w:w="797" w:type="dxa"/>
          </w:tcPr>
          <w:p w14:paraId="13EB58CB" w14:textId="77777777" w:rsidR="00695EBA" w:rsidRDefault="00695EBA" w:rsidP="00A95965">
            <w:pPr>
              <w:pStyle w:val="TableText"/>
              <w:rPr>
                <w:szCs w:val="20"/>
              </w:rPr>
            </w:pPr>
          </w:p>
        </w:tc>
        <w:tc>
          <w:tcPr>
            <w:tcW w:w="835" w:type="dxa"/>
          </w:tcPr>
          <w:p w14:paraId="46BA0EC1" w14:textId="77777777" w:rsidR="00695EBA" w:rsidRDefault="00695EBA" w:rsidP="00A95965">
            <w:pPr>
              <w:pStyle w:val="TableText"/>
              <w:rPr>
                <w:szCs w:val="20"/>
              </w:rPr>
            </w:pPr>
          </w:p>
        </w:tc>
        <w:tc>
          <w:tcPr>
            <w:tcW w:w="905" w:type="dxa"/>
          </w:tcPr>
          <w:p w14:paraId="6AD4E5FE" w14:textId="77777777" w:rsidR="00695EBA" w:rsidRDefault="00695EBA" w:rsidP="00A95965">
            <w:pPr>
              <w:pStyle w:val="TableText"/>
              <w:rPr>
                <w:szCs w:val="20"/>
              </w:rPr>
            </w:pPr>
          </w:p>
        </w:tc>
        <w:tc>
          <w:tcPr>
            <w:tcW w:w="1357" w:type="dxa"/>
          </w:tcPr>
          <w:p w14:paraId="04881FFD" w14:textId="77777777" w:rsidR="00695EBA" w:rsidRDefault="00695EBA" w:rsidP="00A95965">
            <w:pPr>
              <w:pStyle w:val="TableText"/>
              <w:rPr>
                <w:szCs w:val="20"/>
              </w:rPr>
            </w:pPr>
          </w:p>
        </w:tc>
        <w:tc>
          <w:tcPr>
            <w:tcW w:w="747" w:type="dxa"/>
          </w:tcPr>
          <w:p w14:paraId="753FD0CC" w14:textId="77777777" w:rsidR="00695EBA" w:rsidRDefault="00695EBA" w:rsidP="00A95965">
            <w:pPr>
              <w:pStyle w:val="TableText"/>
              <w:rPr>
                <w:szCs w:val="20"/>
              </w:rPr>
            </w:pPr>
          </w:p>
        </w:tc>
        <w:tc>
          <w:tcPr>
            <w:tcW w:w="708" w:type="dxa"/>
          </w:tcPr>
          <w:p w14:paraId="2C3A228A" w14:textId="77777777" w:rsidR="00695EBA" w:rsidRDefault="00695EBA" w:rsidP="00A95965">
            <w:pPr>
              <w:pStyle w:val="TableText"/>
              <w:rPr>
                <w:szCs w:val="20"/>
              </w:rPr>
            </w:pPr>
          </w:p>
        </w:tc>
        <w:tc>
          <w:tcPr>
            <w:tcW w:w="1026" w:type="dxa"/>
          </w:tcPr>
          <w:p w14:paraId="4D4BC87F" w14:textId="77777777" w:rsidR="00695EBA" w:rsidRDefault="00695EBA" w:rsidP="00A95965">
            <w:pPr>
              <w:pStyle w:val="TableText"/>
              <w:rPr>
                <w:szCs w:val="20"/>
              </w:rPr>
            </w:pPr>
          </w:p>
        </w:tc>
      </w:tr>
      <w:tr w:rsidR="00695EBA" w14:paraId="3E70C289"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Ex>
        <w:trPr>
          <w:trHeight w:val="432"/>
        </w:trPr>
        <w:tc>
          <w:tcPr>
            <w:tcW w:w="3398" w:type="dxa"/>
            <w:noWrap/>
          </w:tcPr>
          <w:p w14:paraId="0C802B8E" w14:textId="77777777" w:rsidR="00695EBA" w:rsidRDefault="00695EBA" w:rsidP="00A95965">
            <w:pPr>
              <w:pStyle w:val="TableText"/>
              <w:rPr>
                <w:szCs w:val="20"/>
              </w:rPr>
            </w:pPr>
          </w:p>
        </w:tc>
        <w:tc>
          <w:tcPr>
            <w:tcW w:w="2290" w:type="dxa"/>
          </w:tcPr>
          <w:p w14:paraId="2C13A899" w14:textId="77777777" w:rsidR="00695EBA" w:rsidRDefault="00695EBA" w:rsidP="00A95965">
            <w:pPr>
              <w:pStyle w:val="TableText"/>
              <w:rPr>
                <w:szCs w:val="20"/>
              </w:rPr>
            </w:pPr>
          </w:p>
        </w:tc>
        <w:tc>
          <w:tcPr>
            <w:tcW w:w="897" w:type="dxa"/>
          </w:tcPr>
          <w:p w14:paraId="0937D066" w14:textId="77777777" w:rsidR="00695EBA" w:rsidRDefault="00695EBA" w:rsidP="00571D70">
            <w:pPr>
              <w:pStyle w:val="TableText"/>
              <w:rPr>
                <w:szCs w:val="20"/>
              </w:rPr>
            </w:pPr>
          </w:p>
        </w:tc>
        <w:tc>
          <w:tcPr>
            <w:tcW w:w="797" w:type="dxa"/>
          </w:tcPr>
          <w:p w14:paraId="3D42923A" w14:textId="77777777" w:rsidR="00695EBA" w:rsidRDefault="00695EBA" w:rsidP="00A95965">
            <w:pPr>
              <w:pStyle w:val="TableText"/>
              <w:rPr>
                <w:szCs w:val="20"/>
              </w:rPr>
            </w:pPr>
          </w:p>
        </w:tc>
        <w:tc>
          <w:tcPr>
            <w:tcW w:w="835" w:type="dxa"/>
          </w:tcPr>
          <w:p w14:paraId="3DF08540" w14:textId="77777777" w:rsidR="00695EBA" w:rsidRDefault="00695EBA" w:rsidP="00A95965">
            <w:pPr>
              <w:pStyle w:val="TableText"/>
              <w:rPr>
                <w:szCs w:val="20"/>
              </w:rPr>
            </w:pPr>
          </w:p>
        </w:tc>
        <w:tc>
          <w:tcPr>
            <w:tcW w:w="905" w:type="dxa"/>
          </w:tcPr>
          <w:p w14:paraId="4F34BB58" w14:textId="77777777" w:rsidR="00695EBA" w:rsidRDefault="00695EBA" w:rsidP="00A95965">
            <w:pPr>
              <w:pStyle w:val="TableText"/>
              <w:rPr>
                <w:szCs w:val="20"/>
              </w:rPr>
            </w:pPr>
          </w:p>
        </w:tc>
        <w:tc>
          <w:tcPr>
            <w:tcW w:w="1357" w:type="dxa"/>
          </w:tcPr>
          <w:p w14:paraId="350409AB" w14:textId="77777777" w:rsidR="00695EBA" w:rsidRDefault="00695EBA" w:rsidP="00A95965">
            <w:pPr>
              <w:pStyle w:val="TableText"/>
              <w:rPr>
                <w:szCs w:val="20"/>
              </w:rPr>
            </w:pPr>
          </w:p>
        </w:tc>
        <w:tc>
          <w:tcPr>
            <w:tcW w:w="747" w:type="dxa"/>
          </w:tcPr>
          <w:p w14:paraId="76F3B1C5" w14:textId="77777777" w:rsidR="00695EBA" w:rsidRDefault="00695EBA" w:rsidP="00A95965">
            <w:pPr>
              <w:pStyle w:val="TableText"/>
              <w:rPr>
                <w:szCs w:val="20"/>
              </w:rPr>
            </w:pPr>
          </w:p>
        </w:tc>
        <w:tc>
          <w:tcPr>
            <w:tcW w:w="708" w:type="dxa"/>
          </w:tcPr>
          <w:p w14:paraId="7DF7CBCC" w14:textId="77777777" w:rsidR="00695EBA" w:rsidRDefault="00695EBA" w:rsidP="00A95965">
            <w:pPr>
              <w:pStyle w:val="TableText"/>
              <w:rPr>
                <w:szCs w:val="20"/>
              </w:rPr>
            </w:pPr>
          </w:p>
        </w:tc>
        <w:tc>
          <w:tcPr>
            <w:tcW w:w="1026" w:type="dxa"/>
          </w:tcPr>
          <w:p w14:paraId="26524D6B" w14:textId="77777777" w:rsidR="00695EBA" w:rsidRDefault="00695EBA" w:rsidP="00A95965">
            <w:pPr>
              <w:pStyle w:val="TableText"/>
              <w:rPr>
                <w:szCs w:val="20"/>
              </w:rPr>
            </w:pPr>
          </w:p>
        </w:tc>
      </w:tr>
      <w:tr w:rsidR="00695EBA" w14:paraId="3E1AFC0E"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Ex>
        <w:trPr>
          <w:trHeight w:val="432"/>
        </w:trPr>
        <w:tc>
          <w:tcPr>
            <w:tcW w:w="3398" w:type="dxa"/>
            <w:noWrap/>
          </w:tcPr>
          <w:p w14:paraId="06E3D23F" w14:textId="77777777" w:rsidR="00695EBA" w:rsidRDefault="00695EBA" w:rsidP="00A95965">
            <w:pPr>
              <w:pStyle w:val="TableText"/>
              <w:rPr>
                <w:szCs w:val="20"/>
              </w:rPr>
            </w:pPr>
          </w:p>
        </w:tc>
        <w:tc>
          <w:tcPr>
            <w:tcW w:w="2290" w:type="dxa"/>
          </w:tcPr>
          <w:p w14:paraId="6D057182" w14:textId="77777777" w:rsidR="00695EBA" w:rsidRDefault="00695EBA" w:rsidP="00A95965">
            <w:pPr>
              <w:pStyle w:val="TableText"/>
              <w:rPr>
                <w:szCs w:val="20"/>
              </w:rPr>
            </w:pPr>
          </w:p>
        </w:tc>
        <w:tc>
          <w:tcPr>
            <w:tcW w:w="897" w:type="dxa"/>
          </w:tcPr>
          <w:p w14:paraId="04E07207" w14:textId="77777777" w:rsidR="00695EBA" w:rsidRDefault="00695EBA" w:rsidP="00571D70">
            <w:pPr>
              <w:pStyle w:val="TableText"/>
              <w:rPr>
                <w:szCs w:val="20"/>
              </w:rPr>
            </w:pPr>
          </w:p>
        </w:tc>
        <w:tc>
          <w:tcPr>
            <w:tcW w:w="797" w:type="dxa"/>
          </w:tcPr>
          <w:p w14:paraId="31833C4D" w14:textId="77777777" w:rsidR="00695EBA" w:rsidRDefault="00695EBA" w:rsidP="00A95965">
            <w:pPr>
              <w:pStyle w:val="TableText"/>
              <w:rPr>
                <w:szCs w:val="20"/>
              </w:rPr>
            </w:pPr>
          </w:p>
        </w:tc>
        <w:tc>
          <w:tcPr>
            <w:tcW w:w="835" w:type="dxa"/>
          </w:tcPr>
          <w:p w14:paraId="12AD33F0" w14:textId="77777777" w:rsidR="00695EBA" w:rsidRDefault="00695EBA" w:rsidP="00A95965">
            <w:pPr>
              <w:pStyle w:val="TableText"/>
              <w:rPr>
                <w:szCs w:val="20"/>
              </w:rPr>
            </w:pPr>
          </w:p>
        </w:tc>
        <w:tc>
          <w:tcPr>
            <w:tcW w:w="905" w:type="dxa"/>
          </w:tcPr>
          <w:p w14:paraId="19AE2920" w14:textId="77777777" w:rsidR="00695EBA" w:rsidRDefault="00695EBA" w:rsidP="00A95965">
            <w:pPr>
              <w:pStyle w:val="TableText"/>
              <w:rPr>
                <w:szCs w:val="20"/>
              </w:rPr>
            </w:pPr>
          </w:p>
        </w:tc>
        <w:tc>
          <w:tcPr>
            <w:tcW w:w="1357" w:type="dxa"/>
          </w:tcPr>
          <w:p w14:paraId="496C672C" w14:textId="77777777" w:rsidR="00695EBA" w:rsidRDefault="00695EBA" w:rsidP="00A95965">
            <w:pPr>
              <w:pStyle w:val="TableText"/>
              <w:rPr>
                <w:szCs w:val="20"/>
              </w:rPr>
            </w:pPr>
          </w:p>
        </w:tc>
        <w:tc>
          <w:tcPr>
            <w:tcW w:w="747" w:type="dxa"/>
          </w:tcPr>
          <w:p w14:paraId="5EBEE5D0" w14:textId="77777777" w:rsidR="00695EBA" w:rsidRDefault="00695EBA" w:rsidP="00A95965">
            <w:pPr>
              <w:pStyle w:val="TableText"/>
              <w:rPr>
                <w:szCs w:val="20"/>
              </w:rPr>
            </w:pPr>
          </w:p>
        </w:tc>
        <w:tc>
          <w:tcPr>
            <w:tcW w:w="708" w:type="dxa"/>
          </w:tcPr>
          <w:p w14:paraId="5C834CCE" w14:textId="77777777" w:rsidR="00695EBA" w:rsidRDefault="00695EBA" w:rsidP="00A95965">
            <w:pPr>
              <w:pStyle w:val="TableText"/>
              <w:rPr>
                <w:szCs w:val="20"/>
              </w:rPr>
            </w:pPr>
          </w:p>
        </w:tc>
        <w:tc>
          <w:tcPr>
            <w:tcW w:w="1026" w:type="dxa"/>
          </w:tcPr>
          <w:p w14:paraId="3426586C" w14:textId="77777777" w:rsidR="00695EBA" w:rsidRDefault="00695EBA" w:rsidP="00A95965">
            <w:pPr>
              <w:pStyle w:val="TableText"/>
              <w:rPr>
                <w:szCs w:val="20"/>
              </w:rPr>
            </w:pPr>
          </w:p>
        </w:tc>
      </w:tr>
      <w:tr w:rsidR="00695EBA" w14:paraId="4D9E2BD7"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Ex>
        <w:trPr>
          <w:trHeight w:val="432"/>
        </w:trPr>
        <w:tc>
          <w:tcPr>
            <w:tcW w:w="3398" w:type="dxa"/>
            <w:noWrap/>
          </w:tcPr>
          <w:p w14:paraId="2C44703E" w14:textId="77777777" w:rsidR="00695EBA" w:rsidRDefault="00695EBA" w:rsidP="00A95965">
            <w:pPr>
              <w:pStyle w:val="TableText"/>
              <w:rPr>
                <w:szCs w:val="20"/>
              </w:rPr>
            </w:pPr>
          </w:p>
        </w:tc>
        <w:tc>
          <w:tcPr>
            <w:tcW w:w="2290" w:type="dxa"/>
          </w:tcPr>
          <w:p w14:paraId="5892B51E" w14:textId="77777777" w:rsidR="00695EBA" w:rsidRDefault="00695EBA" w:rsidP="00A95965">
            <w:pPr>
              <w:pStyle w:val="TableText"/>
              <w:rPr>
                <w:szCs w:val="20"/>
              </w:rPr>
            </w:pPr>
          </w:p>
        </w:tc>
        <w:tc>
          <w:tcPr>
            <w:tcW w:w="897" w:type="dxa"/>
          </w:tcPr>
          <w:p w14:paraId="0F3B1B64" w14:textId="77777777" w:rsidR="00695EBA" w:rsidRDefault="00695EBA" w:rsidP="00571D70">
            <w:pPr>
              <w:pStyle w:val="TableText"/>
              <w:rPr>
                <w:szCs w:val="20"/>
              </w:rPr>
            </w:pPr>
          </w:p>
        </w:tc>
        <w:tc>
          <w:tcPr>
            <w:tcW w:w="797" w:type="dxa"/>
          </w:tcPr>
          <w:p w14:paraId="6996767C" w14:textId="77777777" w:rsidR="00695EBA" w:rsidRDefault="00695EBA" w:rsidP="00A95965">
            <w:pPr>
              <w:pStyle w:val="TableText"/>
              <w:rPr>
                <w:szCs w:val="20"/>
              </w:rPr>
            </w:pPr>
          </w:p>
        </w:tc>
        <w:tc>
          <w:tcPr>
            <w:tcW w:w="835" w:type="dxa"/>
          </w:tcPr>
          <w:p w14:paraId="4C4C64DD" w14:textId="77777777" w:rsidR="00695EBA" w:rsidRDefault="00695EBA" w:rsidP="00A95965">
            <w:pPr>
              <w:pStyle w:val="TableText"/>
              <w:rPr>
                <w:szCs w:val="20"/>
              </w:rPr>
            </w:pPr>
          </w:p>
        </w:tc>
        <w:tc>
          <w:tcPr>
            <w:tcW w:w="905" w:type="dxa"/>
          </w:tcPr>
          <w:p w14:paraId="29C648C1" w14:textId="77777777" w:rsidR="00695EBA" w:rsidRDefault="00695EBA" w:rsidP="00A95965">
            <w:pPr>
              <w:pStyle w:val="TableText"/>
              <w:rPr>
                <w:szCs w:val="20"/>
              </w:rPr>
            </w:pPr>
          </w:p>
        </w:tc>
        <w:tc>
          <w:tcPr>
            <w:tcW w:w="1357" w:type="dxa"/>
          </w:tcPr>
          <w:p w14:paraId="36E1DF1E" w14:textId="77777777" w:rsidR="00695EBA" w:rsidRDefault="00695EBA" w:rsidP="00A95965">
            <w:pPr>
              <w:pStyle w:val="TableText"/>
              <w:rPr>
                <w:szCs w:val="20"/>
              </w:rPr>
            </w:pPr>
          </w:p>
        </w:tc>
        <w:tc>
          <w:tcPr>
            <w:tcW w:w="747" w:type="dxa"/>
          </w:tcPr>
          <w:p w14:paraId="123954EC" w14:textId="77777777" w:rsidR="00695EBA" w:rsidRDefault="00695EBA" w:rsidP="00A95965">
            <w:pPr>
              <w:pStyle w:val="TableText"/>
              <w:rPr>
                <w:szCs w:val="20"/>
              </w:rPr>
            </w:pPr>
          </w:p>
        </w:tc>
        <w:tc>
          <w:tcPr>
            <w:tcW w:w="708" w:type="dxa"/>
          </w:tcPr>
          <w:p w14:paraId="3C7B9F1A" w14:textId="77777777" w:rsidR="00695EBA" w:rsidRDefault="00695EBA" w:rsidP="00A95965">
            <w:pPr>
              <w:pStyle w:val="TableText"/>
              <w:rPr>
                <w:szCs w:val="20"/>
              </w:rPr>
            </w:pPr>
          </w:p>
        </w:tc>
        <w:tc>
          <w:tcPr>
            <w:tcW w:w="1026" w:type="dxa"/>
          </w:tcPr>
          <w:p w14:paraId="6D937937" w14:textId="77777777" w:rsidR="00695EBA" w:rsidRDefault="00695EBA" w:rsidP="00A95965">
            <w:pPr>
              <w:pStyle w:val="TableText"/>
              <w:rPr>
                <w:szCs w:val="20"/>
              </w:rPr>
            </w:pPr>
          </w:p>
        </w:tc>
      </w:tr>
      <w:tr w:rsidR="00695EBA" w14:paraId="4721B9B4"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Ex>
        <w:trPr>
          <w:trHeight w:val="432"/>
        </w:trPr>
        <w:tc>
          <w:tcPr>
            <w:tcW w:w="3398" w:type="dxa"/>
            <w:noWrap/>
          </w:tcPr>
          <w:p w14:paraId="4804B07F" w14:textId="77777777" w:rsidR="00695EBA" w:rsidRDefault="00695EBA" w:rsidP="00A95965">
            <w:pPr>
              <w:pStyle w:val="TableText"/>
              <w:rPr>
                <w:szCs w:val="20"/>
              </w:rPr>
            </w:pPr>
          </w:p>
        </w:tc>
        <w:tc>
          <w:tcPr>
            <w:tcW w:w="2290" w:type="dxa"/>
          </w:tcPr>
          <w:p w14:paraId="76F3C65C" w14:textId="77777777" w:rsidR="00695EBA" w:rsidRDefault="00695EBA" w:rsidP="00A95965">
            <w:pPr>
              <w:pStyle w:val="TableText"/>
              <w:rPr>
                <w:szCs w:val="20"/>
              </w:rPr>
            </w:pPr>
          </w:p>
        </w:tc>
        <w:tc>
          <w:tcPr>
            <w:tcW w:w="897" w:type="dxa"/>
          </w:tcPr>
          <w:p w14:paraId="010DA98B" w14:textId="77777777" w:rsidR="00695EBA" w:rsidRDefault="00695EBA" w:rsidP="00571D70">
            <w:pPr>
              <w:pStyle w:val="TableText"/>
              <w:rPr>
                <w:szCs w:val="20"/>
              </w:rPr>
            </w:pPr>
          </w:p>
        </w:tc>
        <w:tc>
          <w:tcPr>
            <w:tcW w:w="797" w:type="dxa"/>
          </w:tcPr>
          <w:p w14:paraId="042DDF30" w14:textId="77777777" w:rsidR="00695EBA" w:rsidRDefault="00695EBA" w:rsidP="00A95965">
            <w:pPr>
              <w:pStyle w:val="TableText"/>
              <w:rPr>
                <w:szCs w:val="20"/>
              </w:rPr>
            </w:pPr>
          </w:p>
        </w:tc>
        <w:tc>
          <w:tcPr>
            <w:tcW w:w="835" w:type="dxa"/>
          </w:tcPr>
          <w:p w14:paraId="6ED7F5EC" w14:textId="77777777" w:rsidR="00695EBA" w:rsidRDefault="00695EBA" w:rsidP="00A95965">
            <w:pPr>
              <w:pStyle w:val="TableText"/>
              <w:rPr>
                <w:szCs w:val="20"/>
              </w:rPr>
            </w:pPr>
          </w:p>
        </w:tc>
        <w:tc>
          <w:tcPr>
            <w:tcW w:w="905" w:type="dxa"/>
          </w:tcPr>
          <w:p w14:paraId="6E0260FD" w14:textId="77777777" w:rsidR="00695EBA" w:rsidRDefault="00695EBA" w:rsidP="00A95965">
            <w:pPr>
              <w:pStyle w:val="TableText"/>
              <w:rPr>
                <w:szCs w:val="20"/>
              </w:rPr>
            </w:pPr>
          </w:p>
        </w:tc>
        <w:tc>
          <w:tcPr>
            <w:tcW w:w="1357" w:type="dxa"/>
          </w:tcPr>
          <w:p w14:paraId="6C4FCD68" w14:textId="77777777" w:rsidR="00695EBA" w:rsidRDefault="00695EBA" w:rsidP="00A95965">
            <w:pPr>
              <w:pStyle w:val="TableText"/>
              <w:rPr>
                <w:szCs w:val="20"/>
              </w:rPr>
            </w:pPr>
          </w:p>
        </w:tc>
        <w:tc>
          <w:tcPr>
            <w:tcW w:w="747" w:type="dxa"/>
          </w:tcPr>
          <w:p w14:paraId="4C880697" w14:textId="77777777" w:rsidR="00695EBA" w:rsidRDefault="00695EBA" w:rsidP="00A95965">
            <w:pPr>
              <w:pStyle w:val="TableText"/>
              <w:rPr>
                <w:szCs w:val="20"/>
              </w:rPr>
            </w:pPr>
          </w:p>
        </w:tc>
        <w:tc>
          <w:tcPr>
            <w:tcW w:w="708" w:type="dxa"/>
          </w:tcPr>
          <w:p w14:paraId="1971B9C8" w14:textId="77777777" w:rsidR="00695EBA" w:rsidRDefault="00695EBA" w:rsidP="00A95965">
            <w:pPr>
              <w:pStyle w:val="TableText"/>
              <w:rPr>
                <w:szCs w:val="20"/>
              </w:rPr>
            </w:pPr>
          </w:p>
        </w:tc>
        <w:tc>
          <w:tcPr>
            <w:tcW w:w="1026" w:type="dxa"/>
          </w:tcPr>
          <w:p w14:paraId="3AF0E8DA" w14:textId="77777777" w:rsidR="00695EBA" w:rsidRDefault="00695EBA" w:rsidP="00A95965">
            <w:pPr>
              <w:pStyle w:val="TableText"/>
              <w:rPr>
                <w:szCs w:val="20"/>
              </w:rPr>
            </w:pPr>
          </w:p>
        </w:tc>
      </w:tr>
      <w:tr w:rsidR="00695EBA" w14:paraId="30A3D660"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Ex>
        <w:trPr>
          <w:trHeight w:val="432"/>
        </w:trPr>
        <w:tc>
          <w:tcPr>
            <w:tcW w:w="3398" w:type="dxa"/>
            <w:noWrap/>
          </w:tcPr>
          <w:p w14:paraId="73DE054E" w14:textId="77777777" w:rsidR="00695EBA" w:rsidRDefault="00695EBA" w:rsidP="00A95965">
            <w:pPr>
              <w:pStyle w:val="TableText"/>
              <w:rPr>
                <w:szCs w:val="20"/>
              </w:rPr>
            </w:pPr>
          </w:p>
        </w:tc>
        <w:tc>
          <w:tcPr>
            <w:tcW w:w="2290" w:type="dxa"/>
          </w:tcPr>
          <w:p w14:paraId="277E7627" w14:textId="77777777" w:rsidR="00695EBA" w:rsidRDefault="00695EBA" w:rsidP="00A95965">
            <w:pPr>
              <w:pStyle w:val="TableText"/>
              <w:rPr>
                <w:szCs w:val="20"/>
              </w:rPr>
            </w:pPr>
          </w:p>
        </w:tc>
        <w:tc>
          <w:tcPr>
            <w:tcW w:w="897" w:type="dxa"/>
          </w:tcPr>
          <w:p w14:paraId="3987708A" w14:textId="77777777" w:rsidR="00695EBA" w:rsidRDefault="00695EBA" w:rsidP="00571D70">
            <w:pPr>
              <w:pStyle w:val="TableText"/>
              <w:rPr>
                <w:szCs w:val="20"/>
              </w:rPr>
            </w:pPr>
          </w:p>
        </w:tc>
        <w:tc>
          <w:tcPr>
            <w:tcW w:w="797" w:type="dxa"/>
          </w:tcPr>
          <w:p w14:paraId="1BF524B8" w14:textId="77777777" w:rsidR="00695EBA" w:rsidRDefault="00695EBA" w:rsidP="00A95965">
            <w:pPr>
              <w:pStyle w:val="TableText"/>
              <w:rPr>
                <w:szCs w:val="20"/>
              </w:rPr>
            </w:pPr>
          </w:p>
        </w:tc>
        <w:tc>
          <w:tcPr>
            <w:tcW w:w="835" w:type="dxa"/>
          </w:tcPr>
          <w:p w14:paraId="268E5E5E" w14:textId="77777777" w:rsidR="00695EBA" w:rsidRDefault="00695EBA" w:rsidP="00A95965">
            <w:pPr>
              <w:pStyle w:val="TableText"/>
              <w:rPr>
                <w:szCs w:val="20"/>
              </w:rPr>
            </w:pPr>
          </w:p>
        </w:tc>
        <w:tc>
          <w:tcPr>
            <w:tcW w:w="905" w:type="dxa"/>
          </w:tcPr>
          <w:p w14:paraId="3EC7067A" w14:textId="77777777" w:rsidR="00695EBA" w:rsidRDefault="00695EBA" w:rsidP="00A95965">
            <w:pPr>
              <w:pStyle w:val="TableText"/>
              <w:rPr>
                <w:szCs w:val="20"/>
              </w:rPr>
            </w:pPr>
          </w:p>
        </w:tc>
        <w:tc>
          <w:tcPr>
            <w:tcW w:w="1357" w:type="dxa"/>
          </w:tcPr>
          <w:p w14:paraId="74505759" w14:textId="77777777" w:rsidR="00695EBA" w:rsidRDefault="00695EBA" w:rsidP="00A95965">
            <w:pPr>
              <w:pStyle w:val="TableText"/>
              <w:rPr>
                <w:szCs w:val="20"/>
              </w:rPr>
            </w:pPr>
          </w:p>
        </w:tc>
        <w:tc>
          <w:tcPr>
            <w:tcW w:w="747" w:type="dxa"/>
          </w:tcPr>
          <w:p w14:paraId="4933FA27" w14:textId="77777777" w:rsidR="00695EBA" w:rsidRDefault="00695EBA" w:rsidP="00A95965">
            <w:pPr>
              <w:pStyle w:val="TableText"/>
              <w:rPr>
                <w:szCs w:val="20"/>
              </w:rPr>
            </w:pPr>
          </w:p>
        </w:tc>
        <w:tc>
          <w:tcPr>
            <w:tcW w:w="708" w:type="dxa"/>
          </w:tcPr>
          <w:p w14:paraId="6A1077B7" w14:textId="77777777" w:rsidR="00695EBA" w:rsidRDefault="00695EBA" w:rsidP="00A95965">
            <w:pPr>
              <w:pStyle w:val="TableText"/>
              <w:rPr>
                <w:szCs w:val="20"/>
              </w:rPr>
            </w:pPr>
          </w:p>
        </w:tc>
        <w:tc>
          <w:tcPr>
            <w:tcW w:w="1026" w:type="dxa"/>
          </w:tcPr>
          <w:p w14:paraId="14CDA79C" w14:textId="77777777" w:rsidR="00695EBA" w:rsidRDefault="00695EBA" w:rsidP="00A95965">
            <w:pPr>
              <w:pStyle w:val="TableText"/>
              <w:rPr>
                <w:szCs w:val="20"/>
              </w:rPr>
            </w:pPr>
          </w:p>
        </w:tc>
      </w:tr>
      <w:tr w:rsidR="00695EBA" w14:paraId="61634816"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Ex>
        <w:trPr>
          <w:trHeight w:val="432"/>
        </w:trPr>
        <w:tc>
          <w:tcPr>
            <w:tcW w:w="3398" w:type="dxa"/>
            <w:noWrap/>
          </w:tcPr>
          <w:p w14:paraId="1863FE63" w14:textId="77777777" w:rsidR="00695EBA" w:rsidRDefault="00695EBA" w:rsidP="00A95965">
            <w:pPr>
              <w:pStyle w:val="TableText"/>
              <w:rPr>
                <w:szCs w:val="20"/>
              </w:rPr>
            </w:pPr>
          </w:p>
        </w:tc>
        <w:tc>
          <w:tcPr>
            <w:tcW w:w="2290" w:type="dxa"/>
          </w:tcPr>
          <w:p w14:paraId="4F22E9D1" w14:textId="77777777" w:rsidR="00695EBA" w:rsidRDefault="00695EBA" w:rsidP="00A95965">
            <w:pPr>
              <w:pStyle w:val="TableText"/>
              <w:rPr>
                <w:szCs w:val="20"/>
              </w:rPr>
            </w:pPr>
          </w:p>
        </w:tc>
        <w:tc>
          <w:tcPr>
            <w:tcW w:w="897" w:type="dxa"/>
          </w:tcPr>
          <w:p w14:paraId="0970C634" w14:textId="77777777" w:rsidR="00695EBA" w:rsidRDefault="00695EBA" w:rsidP="00571D70">
            <w:pPr>
              <w:pStyle w:val="TableText"/>
              <w:rPr>
                <w:szCs w:val="20"/>
              </w:rPr>
            </w:pPr>
          </w:p>
        </w:tc>
        <w:tc>
          <w:tcPr>
            <w:tcW w:w="797" w:type="dxa"/>
          </w:tcPr>
          <w:p w14:paraId="4670731C" w14:textId="77777777" w:rsidR="00695EBA" w:rsidRDefault="00695EBA" w:rsidP="00A95965">
            <w:pPr>
              <w:pStyle w:val="TableText"/>
              <w:rPr>
                <w:szCs w:val="20"/>
              </w:rPr>
            </w:pPr>
          </w:p>
        </w:tc>
        <w:tc>
          <w:tcPr>
            <w:tcW w:w="835" w:type="dxa"/>
          </w:tcPr>
          <w:p w14:paraId="62FCD82E" w14:textId="77777777" w:rsidR="00695EBA" w:rsidRDefault="00695EBA" w:rsidP="00A95965">
            <w:pPr>
              <w:pStyle w:val="TableText"/>
              <w:rPr>
                <w:szCs w:val="20"/>
              </w:rPr>
            </w:pPr>
          </w:p>
        </w:tc>
        <w:tc>
          <w:tcPr>
            <w:tcW w:w="905" w:type="dxa"/>
          </w:tcPr>
          <w:p w14:paraId="18FE42D7" w14:textId="77777777" w:rsidR="00695EBA" w:rsidRDefault="00695EBA" w:rsidP="00A95965">
            <w:pPr>
              <w:pStyle w:val="TableText"/>
              <w:rPr>
                <w:szCs w:val="20"/>
              </w:rPr>
            </w:pPr>
          </w:p>
        </w:tc>
        <w:tc>
          <w:tcPr>
            <w:tcW w:w="1357" w:type="dxa"/>
          </w:tcPr>
          <w:p w14:paraId="6D56FBAF" w14:textId="77777777" w:rsidR="00695EBA" w:rsidRDefault="00695EBA" w:rsidP="00A95965">
            <w:pPr>
              <w:pStyle w:val="TableText"/>
              <w:rPr>
                <w:szCs w:val="20"/>
              </w:rPr>
            </w:pPr>
          </w:p>
        </w:tc>
        <w:tc>
          <w:tcPr>
            <w:tcW w:w="747" w:type="dxa"/>
          </w:tcPr>
          <w:p w14:paraId="3D0250A6" w14:textId="77777777" w:rsidR="00695EBA" w:rsidRDefault="00695EBA" w:rsidP="00A95965">
            <w:pPr>
              <w:pStyle w:val="TableText"/>
              <w:rPr>
                <w:szCs w:val="20"/>
              </w:rPr>
            </w:pPr>
          </w:p>
        </w:tc>
        <w:tc>
          <w:tcPr>
            <w:tcW w:w="708" w:type="dxa"/>
          </w:tcPr>
          <w:p w14:paraId="1CDCD5AF" w14:textId="77777777" w:rsidR="00695EBA" w:rsidRDefault="00695EBA" w:rsidP="00A95965">
            <w:pPr>
              <w:pStyle w:val="TableText"/>
              <w:rPr>
                <w:szCs w:val="20"/>
              </w:rPr>
            </w:pPr>
          </w:p>
        </w:tc>
        <w:tc>
          <w:tcPr>
            <w:tcW w:w="1026" w:type="dxa"/>
          </w:tcPr>
          <w:p w14:paraId="5EFE6B32" w14:textId="77777777" w:rsidR="00695EBA" w:rsidRDefault="00695EBA" w:rsidP="00A95965">
            <w:pPr>
              <w:pStyle w:val="TableText"/>
              <w:rPr>
                <w:szCs w:val="20"/>
              </w:rPr>
            </w:pPr>
          </w:p>
        </w:tc>
      </w:tr>
    </w:tbl>
    <w:p w14:paraId="38D1558D" w14:textId="77777777" w:rsidR="00E7240A" w:rsidRDefault="00E7240A" w:rsidP="00DD75E5">
      <w:pPr>
        <w:pStyle w:val="BodyText"/>
      </w:pPr>
    </w:p>
    <w:p w14:paraId="51CBC8BB" w14:textId="77777777" w:rsidR="00E7240A" w:rsidRDefault="00E7240A" w:rsidP="00E7240A">
      <w:pPr>
        <w:pStyle w:val="Heading3"/>
      </w:pPr>
      <w:r>
        <w:br w:type="page"/>
      </w:r>
      <w:bookmarkStart w:id="666" w:name="_Toc203765971"/>
      <w:r>
        <w:lastRenderedPageBreak/>
        <w:t>Unit Modification Form</w:t>
      </w:r>
      <w:bookmarkEnd w:id="666"/>
      <w:r w:rsidR="00246F04">
        <w:fldChar w:fldCharType="begin"/>
      </w:r>
      <w:r w:rsidR="00246F04">
        <w:instrText xml:space="preserve"> XE "</w:instrText>
      </w:r>
      <w:r w:rsidR="00246F04" w:rsidRPr="00775C8B">
        <w:instrText>Unit Modification Form</w:instrText>
      </w:r>
      <w:r w:rsidR="00246F04">
        <w:instrText xml:space="preserve">" </w:instrText>
      </w:r>
      <w:r w:rsidR="00246F04">
        <w:fldChar w:fldCharType="end"/>
      </w:r>
      <w:r w:rsidR="00A95965">
        <w:fldChar w:fldCharType="begin"/>
      </w:r>
      <w:r w:rsidR="00A95965">
        <w:instrText xml:space="preserve"> XE “Forms:Unit Modification Form” </w:instrText>
      </w:r>
      <w:r w:rsidR="00A95965">
        <w:fldChar w:fldCharType="end"/>
      </w:r>
    </w:p>
    <w:tbl>
      <w:tblPr>
        <w:tblW w:w="12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32"/>
        <w:gridCol w:w="1609"/>
        <w:gridCol w:w="2039"/>
        <w:gridCol w:w="1201"/>
        <w:gridCol w:w="2639"/>
        <w:gridCol w:w="600"/>
        <w:gridCol w:w="3240"/>
      </w:tblGrid>
      <w:tr w:rsidR="003F4F8B" w14:paraId="6D556DA5" w14:textId="77777777">
        <w:tc>
          <w:tcPr>
            <w:tcW w:w="12960" w:type="dxa"/>
            <w:gridSpan w:val="7"/>
          </w:tcPr>
          <w:p w14:paraId="11E084DB" w14:textId="77777777" w:rsidR="003F4F8B" w:rsidRPr="003F4F8B" w:rsidRDefault="003F4F8B" w:rsidP="003F4F8B">
            <w:pPr>
              <w:pStyle w:val="TableText"/>
            </w:pPr>
            <w:r w:rsidRPr="00887834">
              <w:rPr>
                <w:b/>
              </w:rPr>
              <w:t xml:space="preserve">Facility Name: </w:t>
            </w:r>
          </w:p>
        </w:tc>
      </w:tr>
      <w:tr w:rsidR="003F4F8B" w14:paraId="49345AB6" w14:textId="77777777">
        <w:tc>
          <w:tcPr>
            <w:tcW w:w="12960" w:type="dxa"/>
            <w:gridSpan w:val="7"/>
          </w:tcPr>
          <w:p w14:paraId="015C339A" w14:textId="77777777" w:rsidR="003F4F8B" w:rsidRPr="003F4F8B" w:rsidRDefault="003F4F8B" w:rsidP="003F4F8B">
            <w:pPr>
              <w:pStyle w:val="TableText"/>
            </w:pPr>
            <w:r w:rsidRPr="00887834">
              <w:rPr>
                <w:b/>
              </w:rPr>
              <w:t xml:space="preserve">Address: </w:t>
            </w:r>
          </w:p>
        </w:tc>
      </w:tr>
      <w:tr w:rsidR="003F4F8B" w14:paraId="317BBD34" w14:textId="77777777">
        <w:tc>
          <w:tcPr>
            <w:tcW w:w="12960" w:type="dxa"/>
            <w:gridSpan w:val="7"/>
          </w:tcPr>
          <w:p w14:paraId="7888C1B2" w14:textId="77777777" w:rsidR="003F4F8B" w:rsidRPr="003F4F8B" w:rsidRDefault="003F4F8B" w:rsidP="003F4F8B">
            <w:pPr>
              <w:pStyle w:val="TableText"/>
            </w:pPr>
            <w:r w:rsidRPr="00887834">
              <w:rPr>
                <w:b/>
              </w:rPr>
              <w:t>City, State, Zip Code:</w:t>
            </w:r>
            <w:r>
              <w:t xml:space="preserve"> </w:t>
            </w:r>
          </w:p>
        </w:tc>
      </w:tr>
      <w:tr w:rsidR="00E7240A" w14:paraId="46653702"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Ex>
        <w:trPr>
          <w:cantSplit/>
          <w:trHeight w:val="230"/>
        </w:trPr>
        <w:tc>
          <w:tcPr>
            <w:tcW w:w="3241" w:type="dxa"/>
            <w:gridSpan w:val="2"/>
            <w:shd w:val="clear" w:color="auto" w:fill="B3B3B3"/>
            <w:noWrap/>
          </w:tcPr>
          <w:p w14:paraId="73165153" w14:textId="77777777" w:rsidR="00E7240A" w:rsidRPr="005F4649" w:rsidRDefault="00E7240A" w:rsidP="00A95965">
            <w:pPr>
              <w:pStyle w:val="TableText"/>
              <w:rPr>
                <w:b/>
                <w:szCs w:val="20"/>
              </w:rPr>
            </w:pPr>
            <w:r>
              <w:rPr>
                <w:b/>
                <w:szCs w:val="20"/>
              </w:rPr>
              <w:t>Modification Date and Time</w:t>
            </w:r>
          </w:p>
        </w:tc>
        <w:tc>
          <w:tcPr>
            <w:tcW w:w="3240" w:type="dxa"/>
            <w:gridSpan w:val="2"/>
            <w:shd w:val="clear" w:color="auto" w:fill="B3B3B3"/>
          </w:tcPr>
          <w:p w14:paraId="3A3ACA66" w14:textId="77777777" w:rsidR="00E7240A" w:rsidRPr="005F4649" w:rsidRDefault="00E7240A" w:rsidP="00A95965">
            <w:pPr>
              <w:pStyle w:val="TableText"/>
              <w:rPr>
                <w:b/>
                <w:szCs w:val="20"/>
              </w:rPr>
            </w:pPr>
            <w:r>
              <w:rPr>
                <w:b/>
                <w:szCs w:val="20"/>
              </w:rPr>
              <w:t>Modification Type</w:t>
            </w:r>
          </w:p>
        </w:tc>
        <w:tc>
          <w:tcPr>
            <w:tcW w:w="3239" w:type="dxa"/>
            <w:gridSpan w:val="2"/>
            <w:shd w:val="clear" w:color="auto" w:fill="B3B3B3"/>
          </w:tcPr>
          <w:p w14:paraId="7C737E99" w14:textId="77777777" w:rsidR="00E7240A" w:rsidRDefault="00E7240A" w:rsidP="00A95965">
            <w:pPr>
              <w:pStyle w:val="TableText"/>
              <w:rPr>
                <w:b/>
                <w:szCs w:val="20"/>
              </w:rPr>
            </w:pPr>
            <w:r>
              <w:rPr>
                <w:b/>
                <w:szCs w:val="20"/>
              </w:rPr>
              <w:t>Method (Open, Closed, SCD)</w:t>
            </w:r>
          </w:p>
        </w:tc>
        <w:tc>
          <w:tcPr>
            <w:tcW w:w="3240" w:type="dxa"/>
            <w:shd w:val="clear" w:color="auto" w:fill="B3B3B3"/>
          </w:tcPr>
          <w:p w14:paraId="75CCA1B9" w14:textId="77777777" w:rsidR="00E7240A" w:rsidRPr="005F4649" w:rsidRDefault="00E7240A" w:rsidP="00A95965">
            <w:pPr>
              <w:pStyle w:val="TableText"/>
              <w:rPr>
                <w:b/>
                <w:szCs w:val="20"/>
              </w:rPr>
            </w:pPr>
            <w:r>
              <w:rPr>
                <w:b/>
                <w:szCs w:val="20"/>
              </w:rPr>
              <w:t>Modified By:</w:t>
            </w:r>
          </w:p>
        </w:tc>
      </w:tr>
      <w:tr w:rsidR="00E7240A" w14:paraId="4B383EB4"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Ex>
        <w:trPr>
          <w:cantSplit/>
          <w:trHeight w:val="432"/>
        </w:trPr>
        <w:tc>
          <w:tcPr>
            <w:tcW w:w="3241" w:type="dxa"/>
            <w:gridSpan w:val="2"/>
            <w:noWrap/>
          </w:tcPr>
          <w:p w14:paraId="33FC2ADC" w14:textId="77777777" w:rsidR="00E7240A" w:rsidRDefault="00E7240A" w:rsidP="00A95965">
            <w:pPr>
              <w:pStyle w:val="TableText"/>
              <w:rPr>
                <w:b/>
                <w:szCs w:val="20"/>
              </w:rPr>
            </w:pPr>
          </w:p>
        </w:tc>
        <w:tc>
          <w:tcPr>
            <w:tcW w:w="3240" w:type="dxa"/>
            <w:gridSpan w:val="2"/>
          </w:tcPr>
          <w:p w14:paraId="6C04F94F" w14:textId="77777777" w:rsidR="00E7240A" w:rsidRDefault="00E7240A" w:rsidP="00A95965">
            <w:pPr>
              <w:pStyle w:val="TableText"/>
              <w:rPr>
                <w:b/>
                <w:szCs w:val="20"/>
              </w:rPr>
            </w:pPr>
          </w:p>
        </w:tc>
        <w:tc>
          <w:tcPr>
            <w:tcW w:w="3239" w:type="dxa"/>
            <w:gridSpan w:val="2"/>
          </w:tcPr>
          <w:p w14:paraId="15DD3F2B" w14:textId="77777777" w:rsidR="00E7240A" w:rsidRDefault="00E7240A" w:rsidP="00A95965">
            <w:pPr>
              <w:pStyle w:val="TableText"/>
              <w:rPr>
                <w:b/>
                <w:szCs w:val="20"/>
              </w:rPr>
            </w:pPr>
          </w:p>
        </w:tc>
        <w:tc>
          <w:tcPr>
            <w:tcW w:w="3240" w:type="dxa"/>
          </w:tcPr>
          <w:p w14:paraId="63CD04A6" w14:textId="77777777" w:rsidR="00E7240A" w:rsidRDefault="00E7240A" w:rsidP="00A95965">
            <w:pPr>
              <w:pStyle w:val="TableText"/>
              <w:rPr>
                <w:b/>
                <w:szCs w:val="20"/>
              </w:rPr>
            </w:pPr>
          </w:p>
        </w:tc>
      </w:tr>
      <w:tr w:rsidR="00E7240A" w14:paraId="04AF9B96"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B3B3B3"/>
          <w:tblLook w:val="0000" w:firstRow="0" w:lastRow="0" w:firstColumn="0" w:lastColumn="0" w:noHBand="0" w:noVBand="0"/>
        </w:tblPrEx>
        <w:trPr>
          <w:cantSplit/>
          <w:trHeight w:val="230"/>
        </w:trPr>
        <w:tc>
          <w:tcPr>
            <w:tcW w:w="1632" w:type="dxa"/>
            <w:tcBorders>
              <w:bottom w:val="single" w:sz="2" w:space="0" w:color="auto"/>
            </w:tcBorders>
            <w:shd w:val="clear" w:color="auto" w:fill="B3B3B3"/>
            <w:noWrap/>
          </w:tcPr>
          <w:p w14:paraId="47CA5688" w14:textId="77777777" w:rsidR="00E7240A" w:rsidRDefault="00E7240A" w:rsidP="00A95965">
            <w:pPr>
              <w:pStyle w:val="TableText"/>
              <w:rPr>
                <w:b/>
                <w:szCs w:val="20"/>
              </w:rPr>
            </w:pPr>
            <w:r>
              <w:rPr>
                <w:b/>
                <w:szCs w:val="20"/>
              </w:rPr>
              <w:t>Unit Assigned? (Yes, No)</w:t>
            </w:r>
          </w:p>
        </w:tc>
        <w:tc>
          <w:tcPr>
            <w:tcW w:w="3648" w:type="dxa"/>
            <w:gridSpan w:val="2"/>
            <w:tcBorders>
              <w:bottom w:val="single" w:sz="2" w:space="0" w:color="auto"/>
            </w:tcBorders>
            <w:shd w:val="clear" w:color="auto" w:fill="B3B3B3"/>
          </w:tcPr>
          <w:p w14:paraId="386682C3" w14:textId="77777777" w:rsidR="00E7240A" w:rsidRDefault="00E7240A" w:rsidP="00A95965">
            <w:pPr>
              <w:pStyle w:val="TableText"/>
              <w:rPr>
                <w:b/>
                <w:szCs w:val="20"/>
              </w:rPr>
            </w:pPr>
            <w:r>
              <w:rPr>
                <w:b/>
                <w:szCs w:val="20"/>
              </w:rPr>
              <w:t>Patient Name</w:t>
            </w:r>
          </w:p>
        </w:tc>
        <w:tc>
          <w:tcPr>
            <w:tcW w:w="3840" w:type="dxa"/>
            <w:gridSpan w:val="2"/>
            <w:tcBorders>
              <w:bottom w:val="single" w:sz="2" w:space="0" w:color="auto"/>
            </w:tcBorders>
            <w:shd w:val="clear" w:color="auto" w:fill="B3B3B3"/>
          </w:tcPr>
          <w:p w14:paraId="4FB34722" w14:textId="77777777" w:rsidR="00E7240A" w:rsidRDefault="00E7240A" w:rsidP="00A95965">
            <w:pPr>
              <w:pStyle w:val="TableText"/>
              <w:rPr>
                <w:b/>
                <w:szCs w:val="20"/>
              </w:rPr>
            </w:pPr>
            <w:r>
              <w:rPr>
                <w:b/>
                <w:szCs w:val="20"/>
              </w:rPr>
              <w:t>Patient Identification Number</w:t>
            </w:r>
          </w:p>
        </w:tc>
        <w:tc>
          <w:tcPr>
            <w:tcW w:w="3840" w:type="dxa"/>
            <w:gridSpan w:val="2"/>
            <w:tcBorders>
              <w:bottom w:val="single" w:sz="2" w:space="0" w:color="auto"/>
            </w:tcBorders>
            <w:shd w:val="clear" w:color="auto" w:fill="B3B3B3"/>
          </w:tcPr>
          <w:p w14:paraId="2BBCCA74" w14:textId="77777777" w:rsidR="00E7240A" w:rsidRDefault="00E7240A" w:rsidP="00A95965">
            <w:pPr>
              <w:pStyle w:val="TableText"/>
              <w:rPr>
                <w:b/>
                <w:szCs w:val="20"/>
              </w:rPr>
            </w:pPr>
            <w:r>
              <w:rPr>
                <w:b/>
                <w:szCs w:val="20"/>
              </w:rPr>
              <w:t>Specimen UID</w:t>
            </w:r>
          </w:p>
        </w:tc>
      </w:tr>
      <w:tr w:rsidR="00E7240A" w14:paraId="3AC72D5F"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B3B3B3"/>
          <w:tblLook w:val="0000" w:firstRow="0" w:lastRow="0" w:firstColumn="0" w:lastColumn="0" w:noHBand="0" w:noVBand="0"/>
        </w:tblPrEx>
        <w:trPr>
          <w:cantSplit/>
          <w:trHeight w:val="432"/>
        </w:trPr>
        <w:tc>
          <w:tcPr>
            <w:tcW w:w="1632" w:type="dxa"/>
            <w:shd w:val="clear" w:color="auto" w:fill="auto"/>
            <w:noWrap/>
          </w:tcPr>
          <w:p w14:paraId="5FF07BFE" w14:textId="77777777" w:rsidR="00E7240A" w:rsidRDefault="00E7240A" w:rsidP="00A95965">
            <w:pPr>
              <w:pStyle w:val="TableText"/>
              <w:rPr>
                <w:b/>
                <w:szCs w:val="20"/>
              </w:rPr>
            </w:pPr>
          </w:p>
        </w:tc>
        <w:tc>
          <w:tcPr>
            <w:tcW w:w="3648" w:type="dxa"/>
            <w:gridSpan w:val="2"/>
            <w:shd w:val="clear" w:color="auto" w:fill="auto"/>
          </w:tcPr>
          <w:p w14:paraId="27D1A973" w14:textId="77777777" w:rsidR="00E7240A" w:rsidRDefault="00E7240A" w:rsidP="00A95965">
            <w:pPr>
              <w:pStyle w:val="TableText"/>
              <w:rPr>
                <w:b/>
                <w:szCs w:val="20"/>
              </w:rPr>
            </w:pPr>
          </w:p>
        </w:tc>
        <w:tc>
          <w:tcPr>
            <w:tcW w:w="3840" w:type="dxa"/>
            <w:gridSpan w:val="2"/>
            <w:shd w:val="clear" w:color="auto" w:fill="auto"/>
          </w:tcPr>
          <w:p w14:paraId="315E6304" w14:textId="77777777" w:rsidR="00E7240A" w:rsidRDefault="00E7240A" w:rsidP="00A95965">
            <w:pPr>
              <w:pStyle w:val="TableText"/>
              <w:rPr>
                <w:b/>
                <w:szCs w:val="20"/>
              </w:rPr>
            </w:pPr>
          </w:p>
        </w:tc>
        <w:tc>
          <w:tcPr>
            <w:tcW w:w="3840" w:type="dxa"/>
            <w:gridSpan w:val="2"/>
            <w:shd w:val="clear" w:color="auto" w:fill="auto"/>
          </w:tcPr>
          <w:p w14:paraId="0D0959D0" w14:textId="77777777" w:rsidR="00E7240A" w:rsidRDefault="00E7240A" w:rsidP="00A95965">
            <w:pPr>
              <w:pStyle w:val="TableText"/>
              <w:rPr>
                <w:b/>
                <w:szCs w:val="20"/>
              </w:rPr>
            </w:pPr>
          </w:p>
        </w:tc>
      </w:tr>
    </w:tbl>
    <w:p w14:paraId="062460D2" w14:textId="77777777" w:rsidR="00E7240A" w:rsidRDefault="00E7240A" w:rsidP="00DD75E5">
      <w:pPr>
        <w:pStyle w:val="BodyText"/>
      </w:pPr>
    </w:p>
    <w:tbl>
      <w:tblPr>
        <w:tblW w:w="1296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B3B3B3"/>
        <w:tblLook w:val="0000" w:firstRow="0" w:lastRow="0" w:firstColumn="0" w:lastColumn="0" w:noHBand="0" w:noVBand="0"/>
      </w:tblPr>
      <w:tblGrid>
        <w:gridCol w:w="3793"/>
        <w:gridCol w:w="2330"/>
        <w:gridCol w:w="2111"/>
        <w:gridCol w:w="2330"/>
        <w:gridCol w:w="2396"/>
      </w:tblGrid>
      <w:tr w:rsidR="00E7240A" w14:paraId="536F2DC0" w14:textId="77777777">
        <w:trPr>
          <w:cantSplit/>
          <w:trHeight w:val="235"/>
          <w:tblHeader/>
        </w:trPr>
        <w:tc>
          <w:tcPr>
            <w:tcW w:w="12960" w:type="dxa"/>
            <w:gridSpan w:val="5"/>
            <w:shd w:val="clear" w:color="auto" w:fill="B3B3B3"/>
            <w:noWrap/>
          </w:tcPr>
          <w:p w14:paraId="3CA2FA75" w14:textId="77777777" w:rsidR="00E7240A" w:rsidRPr="005F4649" w:rsidRDefault="00E7240A" w:rsidP="00CA119C">
            <w:pPr>
              <w:pStyle w:val="TableText"/>
              <w:rPr>
                <w:b/>
                <w:szCs w:val="20"/>
              </w:rPr>
            </w:pPr>
            <w:r>
              <w:rPr>
                <w:b/>
                <w:szCs w:val="20"/>
              </w:rPr>
              <w:t>Unit(s) to Be Modified</w:t>
            </w:r>
          </w:p>
        </w:tc>
      </w:tr>
      <w:tr w:rsidR="00E7240A" w14:paraId="3218E773" w14:textId="77777777">
        <w:tblPrEx>
          <w:shd w:val="clear" w:color="auto" w:fill="auto"/>
        </w:tblPrEx>
        <w:trPr>
          <w:cantSplit/>
          <w:trHeight w:val="230"/>
          <w:tblHeader/>
        </w:trPr>
        <w:tc>
          <w:tcPr>
            <w:tcW w:w="3793" w:type="dxa"/>
            <w:shd w:val="clear" w:color="auto" w:fill="B3B3B3"/>
            <w:noWrap/>
          </w:tcPr>
          <w:p w14:paraId="6B3AF105" w14:textId="77777777" w:rsidR="00E7240A" w:rsidRPr="005F4649" w:rsidRDefault="00E7240A" w:rsidP="00CA119C">
            <w:pPr>
              <w:pStyle w:val="TableText"/>
              <w:rPr>
                <w:b/>
                <w:szCs w:val="20"/>
              </w:rPr>
            </w:pPr>
            <w:r>
              <w:rPr>
                <w:b/>
                <w:szCs w:val="20"/>
              </w:rPr>
              <w:t>Unit Identification Number</w:t>
            </w:r>
          </w:p>
        </w:tc>
        <w:tc>
          <w:tcPr>
            <w:tcW w:w="2330" w:type="dxa"/>
            <w:shd w:val="clear" w:color="auto" w:fill="B3B3B3"/>
          </w:tcPr>
          <w:p w14:paraId="4F3D3797" w14:textId="77777777" w:rsidR="00E7240A" w:rsidRPr="005F4649" w:rsidRDefault="00E7240A" w:rsidP="00CA119C">
            <w:pPr>
              <w:pStyle w:val="TableText"/>
              <w:rPr>
                <w:b/>
                <w:szCs w:val="20"/>
              </w:rPr>
            </w:pPr>
            <w:r>
              <w:rPr>
                <w:b/>
                <w:szCs w:val="20"/>
              </w:rPr>
              <w:t>Product Code</w:t>
            </w:r>
          </w:p>
        </w:tc>
        <w:tc>
          <w:tcPr>
            <w:tcW w:w="2111" w:type="dxa"/>
            <w:shd w:val="clear" w:color="auto" w:fill="B3B3B3"/>
          </w:tcPr>
          <w:p w14:paraId="7A8A6F8C" w14:textId="77777777" w:rsidR="00E7240A" w:rsidRDefault="00E7240A" w:rsidP="00CA119C">
            <w:pPr>
              <w:pStyle w:val="TableText"/>
              <w:rPr>
                <w:b/>
                <w:szCs w:val="20"/>
              </w:rPr>
            </w:pPr>
            <w:r>
              <w:rPr>
                <w:b/>
                <w:szCs w:val="20"/>
              </w:rPr>
              <w:t>ABO/Rh</w:t>
            </w:r>
          </w:p>
        </w:tc>
        <w:tc>
          <w:tcPr>
            <w:tcW w:w="2330" w:type="dxa"/>
            <w:shd w:val="clear" w:color="auto" w:fill="B3B3B3"/>
          </w:tcPr>
          <w:p w14:paraId="2BE649F1" w14:textId="77777777" w:rsidR="00E7240A" w:rsidRPr="005F4649" w:rsidRDefault="00E7240A" w:rsidP="00CA119C">
            <w:pPr>
              <w:pStyle w:val="TableText"/>
              <w:rPr>
                <w:b/>
                <w:szCs w:val="20"/>
              </w:rPr>
            </w:pPr>
            <w:r>
              <w:rPr>
                <w:b/>
                <w:szCs w:val="20"/>
              </w:rPr>
              <w:t>Container Lot Number</w:t>
            </w:r>
          </w:p>
        </w:tc>
        <w:tc>
          <w:tcPr>
            <w:tcW w:w="2396" w:type="dxa"/>
            <w:shd w:val="clear" w:color="auto" w:fill="B3B3B3"/>
          </w:tcPr>
          <w:p w14:paraId="3CAF7499" w14:textId="77777777" w:rsidR="00E7240A" w:rsidRPr="005F4649" w:rsidRDefault="00E7240A" w:rsidP="00CA119C">
            <w:pPr>
              <w:pStyle w:val="TableText"/>
              <w:rPr>
                <w:b/>
                <w:szCs w:val="20"/>
              </w:rPr>
            </w:pPr>
            <w:r>
              <w:rPr>
                <w:b/>
                <w:szCs w:val="20"/>
              </w:rPr>
              <w:t>Expiration Date and Time</w:t>
            </w:r>
          </w:p>
        </w:tc>
      </w:tr>
      <w:tr w:rsidR="00E7240A" w14:paraId="77FC1AA8" w14:textId="77777777">
        <w:tblPrEx>
          <w:shd w:val="clear" w:color="auto" w:fill="auto"/>
        </w:tblPrEx>
        <w:trPr>
          <w:cantSplit/>
          <w:trHeight w:val="432"/>
        </w:trPr>
        <w:tc>
          <w:tcPr>
            <w:tcW w:w="3793" w:type="dxa"/>
            <w:noWrap/>
          </w:tcPr>
          <w:p w14:paraId="007406C4" w14:textId="77777777" w:rsidR="00E7240A" w:rsidRDefault="00E7240A" w:rsidP="00A95965">
            <w:pPr>
              <w:pStyle w:val="TableText"/>
              <w:rPr>
                <w:b/>
                <w:szCs w:val="20"/>
              </w:rPr>
            </w:pPr>
          </w:p>
        </w:tc>
        <w:tc>
          <w:tcPr>
            <w:tcW w:w="2330" w:type="dxa"/>
          </w:tcPr>
          <w:p w14:paraId="7E343476" w14:textId="77777777" w:rsidR="00E7240A" w:rsidRDefault="00E7240A" w:rsidP="00A95965">
            <w:pPr>
              <w:pStyle w:val="TableText"/>
              <w:rPr>
                <w:b/>
                <w:szCs w:val="20"/>
              </w:rPr>
            </w:pPr>
          </w:p>
        </w:tc>
        <w:tc>
          <w:tcPr>
            <w:tcW w:w="2111" w:type="dxa"/>
          </w:tcPr>
          <w:p w14:paraId="33CD99F7" w14:textId="77777777" w:rsidR="00E7240A" w:rsidRDefault="00E7240A" w:rsidP="00A95965">
            <w:pPr>
              <w:pStyle w:val="TableText"/>
              <w:rPr>
                <w:b/>
                <w:szCs w:val="20"/>
              </w:rPr>
            </w:pPr>
          </w:p>
        </w:tc>
        <w:tc>
          <w:tcPr>
            <w:tcW w:w="2330" w:type="dxa"/>
          </w:tcPr>
          <w:p w14:paraId="71986AED" w14:textId="77777777" w:rsidR="00E7240A" w:rsidRDefault="00E7240A" w:rsidP="00A95965">
            <w:pPr>
              <w:pStyle w:val="TableText"/>
              <w:rPr>
                <w:b/>
                <w:szCs w:val="20"/>
              </w:rPr>
            </w:pPr>
          </w:p>
        </w:tc>
        <w:tc>
          <w:tcPr>
            <w:tcW w:w="2396" w:type="dxa"/>
          </w:tcPr>
          <w:p w14:paraId="7F4AE9E6" w14:textId="77777777" w:rsidR="00E7240A" w:rsidRDefault="00E7240A" w:rsidP="00A95965">
            <w:pPr>
              <w:pStyle w:val="TableText"/>
              <w:rPr>
                <w:b/>
                <w:szCs w:val="20"/>
              </w:rPr>
            </w:pPr>
          </w:p>
        </w:tc>
      </w:tr>
      <w:tr w:rsidR="00E7240A" w14:paraId="1C5BA426" w14:textId="77777777">
        <w:tblPrEx>
          <w:shd w:val="clear" w:color="auto" w:fill="auto"/>
        </w:tblPrEx>
        <w:trPr>
          <w:cantSplit/>
          <w:trHeight w:val="432"/>
        </w:trPr>
        <w:tc>
          <w:tcPr>
            <w:tcW w:w="3793" w:type="dxa"/>
            <w:noWrap/>
          </w:tcPr>
          <w:p w14:paraId="1D9793D9" w14:textId="77777777" w:rsidR="00E7240A" w:rsidRDefault="00E7240A" w:rsidP="00A95965">
            <w:pPr>
              <w:pStyle w:val="TableText"/>
              <w:rPr>
                <w:b/>
                <w:szCs w:val="20"/>
              </w:rPr>
            </w:pPr>
          </w:p>
        </w:tc>
        <w:tc>
          <w:tcPr>
            <w:tcW w:w="2330" w:type="dxa"/>
          </w:tcPr>
          <w:p w14:paraId="5B0FA633" w14:textId="77777777" w:rsidR="00E7240A" w:rsidRDefault="00E7240A" w:rsidP="00A95965">
            <w:pPr>
              <w:pStyle w:val="TableText"/>
              <w:rPr>
                <w:b/>
                <w:szCs w:val="20"/>
              </w:rPr>
            </w:pPr>
          </w:p>
        </w:tc>
        <w:tc>
          <w:tcPr>
            <w:tcW w:w="2111" w:type="dxa"/>
          </w:tcPr>
          <w:p w14:paraId="0267DF7A" w14:textId="77777777" w:rsidR="00E7240A" w:rsidRDefault="00E7240A" w:rsidP="00A95965">
            <w:pPr>
              <w:pStyle w:val="TableText"/>
              <w:rPr>
                <w:b/>
                <w:szCs w:val="20"/>
              </w:rPr>
            </w:pPr>
          </w:p>
        </w:tc>
        <w:tc>
          <w:tcPr>
            <w:tcW w:w="2330" w:type="dxa"/>
          </w:tcPr>
          <w:p w14:paraId="65F502D7" w14:textId="77777777" w:rsidR="00E7240A" w:rsidRDefault="00E7240A" w:rsidP="00A95965">
            <w:pPr>
              <w:pStyle w:val="TableText"/>
              <w:rPr>
                <w:b/>
                <w:szCs w:val="20"/>
              </w:rPr>
            </w:pPr>
          </w:p>
        </w:tc>
        <w:tc>
          <w:tcPr>
            <w:tcW w:w="2396" w:type="dxa"/>
          </w:tcPr>
          <w:p w14:paraId="037AE2CE" w14:textId="77777777" w:rsidR="00E7240A" w:rsidRDefault="00E7240A" w:rsidP="00A95965">
            <w:pPr>
              <w:pStyle w:val="TableText"/>
              <w:rPr>
                <w:b/>
                <w:szCs w:val="20"/>
              </w:rPr>
            </w:pPr>
          </w:p>
        </w:tc>
      </w:tr>
      <w:tr w:rsidR="00E7240A" w14:paraId="08F307A9" w14:textId="77777777">
        <w:tblPrEx>
          <w:shd w:val="clear" w:color="auto" w:fill="auto"/>
        </w:tblPrEx>
        <w:trPr>
          <w:cantSplit/>
          <w:trHeight w:val="432"/>
        </w:trPr>
        <w:tc>
          <w:tcPr>
            <w:tcW w:w="3793" w:type="dxa"/>
            <w:noWrap/>
          </w:tcPr>
          <w:p w14:paraId="02B4F8D6" w14:textId="77777777" w:rsidR="00E7240A" w:rsidRDefault="00E7240A" w:rsidP="00A95965">
            <w:pPr>
              <w:pStyle w:val="TableText"/>
              <w:rPr>
                <w:b/>
                <w:szCs w:val="20"/>
              </w:rPr>
            </w:pPr>
          </w:p>
        </w:tc>
        <w:tc>
          <w:tcPr>
            <w:tcW w:w="2330" w:type="dxa"/>
          </w:tcPr>
          <w:p w14:paraId="73BAD19A" w14:textId="77777777" w:rsidR="00E7240A" w:rsidRDefault="00E7240A" w:rsidP="00A95965">
            <w:pPr>
              <w:pStyle w:val="TableText"/>
              <w:rPr>
                <w:b/>
                <w:szCs w:val="20"/>
              </w:rPr>
            </w:pPr>
          </w:p>
        </w:tc>
        <w:tc>
          <w:tcPr>
            <w:tcW w:w="2111" w:type="dxa"/>
          </w:tcPr>
          <w:p w14:paraId="6107F310" w14:textId="77777777" w:rsidR="00E7240A" w:rsidRDefault="00E7240A" w:rsidP="00A95965">
            <w:pPr>
              <w:pStyle w:val="TableText"/>
              <w:rPr>
                <w:b/>
                <w:szCs w:val="20"/>
              </w:rPr>
            </w:pPr>
          </w:p>
        </w:tc>
        <w:tc>
          <w:tcPr>
            <w:tcW w:w="2330" w:type="dxa"/>
          </w:tcPr>
          <w:p w14:paraId="09048FCC" w14:textId="77777777" w:rsidR="00E7240A" w:rsidRDefault="00E7240A" w:rsidP="00A95965">
            <w:pPr>
              <w:pStyle w:val="TableText"/>
              <w:rPr>
                <w:b/>
                <w:szCs w:val="20"/>
              </w:rPr>
            </w:pPr>
          </w:p>
        </w:tc>
        <w:tc>
          <w:tcPr>
            <w:tcW w:w="2396" w:type="dxa"/>
          </w:tcPr>
          <w:p w14:paraId="0F0D3691" w14:textId="77777777" w:rsidR="00E7240A" w:rsidRDefault="00E7240A" w:rsidP="00A95965">
            <w:pPr>
              <w:pStyle w:val="TableText"/>
              <w:rPr>
                <w:b/>
                <w:szCs w:val="20"/>
              </w:rPr>
            </w:pPr>
          </w:p>
        </w:tc>
      </w:tr>
      <w:tr w:rsidR="00E7240A" w14:paraId="14212F11" w14:textId="77777777">
        <w:tblPrEx>
          <w:shd w:val="clear" w:color="auto" w:fill="auto"/>
        </w:tblPrEx>
        <w:trPr>
          <w:cantSplit/>
          <w:trHeight w:val="432"/>
        </w:trPr>
        <w:tc>
          <w:tcPr>
            <w:tcW w:w="3793" w:type="dxa"/>
            <w:noWrap/>
          </w:tcPr>
          <w:p w14:paraId="6E798D99" w14:textId="77777777" w:rsidR="00E7240A" w:rsidRDefault="00E7240A" w:rsidP="00A95965">
            <w:pPr>
              <w:pStyle w:val="TableText"/>
              <w:rPr>
                <w:b/>
                <w:szCs w:val="20"/>
              </w:rPr>
            </w:pPr>
          </w:p>
        </w:tc>
        <w:tc>
          <w:tcPr>
            <w:tcW w:w="2330" w:type="dxa"/>
          </w:tcPr>
          <w:p w14:paraId="483A110E" w14:textId="77777777" w:rsidR="00E7240A" w:rsidRDefault="00E7240A" w:rsidP="00A95965">
            <w:pPr>
              <w:pStyle w:val="TableText"/>
              <w:rPr>
                <w:b/>
                <w:szCs w:val="20"/>
              </w:rPr>
            </w:pPr>
          </w:p>
        </w:tc>
        <w:tc>
          <w:tcPr>
            <w:tcW w:w="2111" w:type="dxa"/>
          </w:tcPr>
          <w:p w14:paraId="76AD2445" w14:textId="77777777" w:rsidR="00E7240A" w:rsidRDefault="00E7240A" w:rsidP="00A95965">
            <w:pPr>
              <w:pStyle w:val="TableText"/>
              <w:rPr>
                <w:b/>
                <w:szCs w:val="20"/>
              </w:rPr>
            </w:pPr>
          </w:p>
        </w:tc>
        <w:tc>
          <w:tcPr>
            <w:tcW w:w="2330" w:type="dxa"/>
          </w:tcPr>
          <w:p w14:paraId="6B555144" w14:textId="77777777" w:rsidR="00E7240A" w:rsidRDefault="00E7240A" w:rsidP="00A95965">
            <w:pPr>
              <w:pStyle w:val="TableText"/>
              <w:rPr>
                <w:b/>
                <w:szCs w:val="20"/>
              </w:rPr>
            </w:pPr>
          </w:p>
        </w:tc>
        <w:tc>
          <w:tcPr>
            <w:tcW w:w="2396" w:type="dxa"/>
          </w:tcPr>
          <w:p w14:paraId="431B949D" w14:textId="77777777" w:rsidR="00E7240A" w:rsidRDefault="00E7240A" w:rsidP="00A95965">
            <w:pPr>
              <w:pStyle w:val="TableText"/>
              <w:rPr>
                <w:b/>
                <w:szCs w:val="20"/>
              </w:rPr>
            </w:pPr>
          </w:p>
        </w:tc>
      </w:tr>
      <w:tr w:rsidR="00E7240A" w14:paraId="1C6BB747" w14:textId="77777777">
        <w:tblPrEx>
          <w:shd w:val="clear" w:color="auto" w:fill="auto"/>
        </w:tblPrEx>
        <w:trPr>
          <w:cantSplit/>
          <w:trHeight w:val="432"/>
        </w:trPr>
        <w:tc>
          <w:tcPr>
            <w:tcW w:w="3793" w:type="dxa"/>
            <w:noWrap/>
          </w:tcPr>
          <w:p w14:paraId="58176575" w14:textId="77777777" w:rsidR="00E7240A" w:rsidRDefault="00E7240A" w:rsidP="00A95965">
            <w:pPr>
              <w:pStyle w:val="TableText"/>
              <w:rPr>
                <w:b/>
                <w:szCs w:val="20"/>
              </w:rPr>
            </w:pPr>
          </w:p>
        </w:tc>
        <w:tc>
          <w:tcPr>
            <w:tcW w:w="2330" w:type="dxa"/>
          </w:tcPr>
          <w:p w14:paraId="149C21E2" w14:textId="77777777" w:rsidR="00E7240A" w:rsidRDefault="00E7240A" w:rsidP="00A95965">
            <w:pPr>
              <w:pStyle w:val="TableText"/>
              <w:rPr>
                <w:b/>
                <w:szCs w:val="20"/>
              </w:rPr>
            </w:pPr>
          </w:p>
        </w:tc>
        <w:tc>
          <w:tcPr>
            <w:tcW w:w="2111" w:type="dxa"/>
          </w:tcPr>
          <w:p w14:paraId="44CC8F8D" w14:textId="77777777" w:rsidR="00E7240A" w:rsidRDefault="00E7240A" w:rsidP="00A95965">
            <w:pPr>
              <w:pStyle w:val="TableText"/>
              <w:rPr>
                <w:b/>
                <w:szCs w:val="20"/>
              </w:rPr>
            </w:pPr>
          </w:p>
        </w:tc>
        <w:tc>
          <w:tcPr>
            <w:tcW w:w="2330" w:type="dxa"/>
          </w:tcPr>
          <w:p w14:paraId="76ABF3C1" w14:textId="77777777" w:rsidR="00E7240A" w:rsidRDefault="00E7240A" w:rsidP="00A95965">
            <w:pPr>
              <w:pStyle w:val="TableText"/>
              <w:rPr>
                <w:b/>
                <w:szCs w:val="20"/>
              </w:rPr>
            </w:pPr>
          </w:p>
        </w:tc>
        <w:tc>
          <w:tcPr>
            <w:tcW w:w="2396" w:type="dxa"/>
          </w:tcPr>
          <w:p w14:paraId="3DB323A8" w14:textId="77777777" w:rsidR="00E7240A" w:rsidRDefault="00E7240A" w:rsidP="00A95965">
            <w:pPr>
              <w:pStyle w:val="TableText"/>
              <w:rPr>
                <w:b/>
                <w:szCs w:val="20"/>
              </w:rPr>
            </w:pPr>
          </w:p>
        </w:tc>
      </w:tr>
      <w:tr w:rsidR="00E7240A" w14:paraId="09A305B6" w14:textId="77777777">
        <w:tblPrEx>
          <w:shd w:val="clear" w:color="auto" w:fill="auto"/>
        </w:tblPrEx>
        <w:trPr>
          <w:cantSplit/>
          <w:trHeight w:val="432"/>
        </w:trPr>
        <w:tc>
          <w:tcPr>
            <w:tcW w:w="3793" w:type="dxa"/>
            <w:noWrap/>
          </w:tcPr>
          <w:p w14:paraId="6B62F110" w14:textId="77777777" w:rsidR="00E7240A" w:rsidRDefault="00E7240A" w:rsidP="00A95965">
            <w:pPr>
              <w:pStyle w:val="TableText"/>
              <w:rPr>
                <w:b/>
                <w:szCs w:val="20"/>
              </w:rPr>
            </w:pPr>
          </w:p>
        </w:tc>
        <w:tc>
          <w:tcPr>
            <w:tcW w:w="2330" w:type="dxa"/>
          </w:tcPr>
          <w:p w14:paraId="4DC6DD96" w14:textId="77777777" w:rsidR="00E7240A" w:rsidRDefault="00E7240A" w:rsidP="00A95965">
            <w:pPr>
              <w:pStyle w:val="TableText"/>
              <w:rPr>
                <w:b/>
                <w:szCs w:val="20"/>
              </w:rPr>
            </w:pPr>
          </w:p>
        </w:tc>
        <w:tc>
          <w:tcPr>
            <w:tcW w:w="2111" w:type="dxa"/>
          </w:tcPr>
          <w:p w14:paraId="612F972F" w14:textId="77777777" w:rsidR="00E7240A" w:rsidRDefault="00E7240A" w:rsidP="00A95965">
            <w:pPr>
              <w:pStyle w:val="TableText"/>
              <w:rPr>
                <w:b/>
                <w:szCs w:val="20"/>
              </w:rPr>
            </w:pPr>
          </w:p>
        </w:tc>
        <w:tc>
          <w:tcPr>
            <w:tcW w:w="2330" w:type="dxa"/>
          </w:tcPr>
          <w:p w14:paraId="79C7E227" w14:textId="77777777" w:rsidR="00E7240A" w:rsidRDefault="00E7240A" w:rsidP="00A95965">
            <w:pPr>
              <w:pStyle w:val="TableText"/>
              <w:rPr>
                <w:b/>
                <w:szCs w:val="20"/>
              </w:rPr>
            </w:pPr>
          </w:p>
        </w:tc>
        <w:tc>
          <w:tcPr>
            <w:tcW w:w="2396" w:type="dxa"/>
          </w:tcPr>
          <w:p w14:paraId="043BEA95" w14:textId="77777777" w:rsidR="00E7240A" w:rsidRDefault="00E7240A" w:rsidP="00A95965">
            <w:pPr>
              <w:pStyle w:val="TableText"/>
              <w:rPr>
                <w:b/>
                <w:szCs w:val="20"/>
              </w:rPr>
            </w:pPr>
          </w:p>
        </w:tc>
      </w:tr>
      <w:tr w:rsidR="00E7240A" w14:paraId="15DCE05A" w14:textId="77777777">
        <w:tblPrEx>
          <w:shd w:val="clear" w:color="auto" w:fill="auto"/>
        </w:tblPrEx>
        <w:trPr>
          <w:cantSplit/>
          <w:trHeight w:val="432"/>
        </w:trPr>
        <w:tc>
          <w:tcPr>
            <w:tcW w:w="3793" w:type="dxa"/>
            <w:noWrap/>
          </w:tcPr>
          <w:p w14:paraId="4E1ED7B4" w14:textId="77777777" w:rsidR="00E7240A" w:rsidRDefault="00E7240A" w:rsidP="00A95965">
            <w:pPr>
              <w:pStyle w:val="TableText"/>
              <w:rPr>
                <w:b/>
                <w:szCs w:val="20"/>
              </w:rPr>
            </w:pPr>
          </w:p>
        </w:tc>
        <w:tc>
          <w:tcPr>
            <w:tcW w:w="2330" w:type="dxa"/>
          </w:tcPr>
          <w:p w14:paraId="10460443" w14:textId="77777777" w:rsidR="00E7240A" w:rsidRDefault="00E7240A" w:rsidP="00A95965">
            <w:pPr>
              <w:pStyle w:val="TableText"/>
              <w:rPr>
                <w:b/>
                <w:szCs w:val="20"/>
              </w:rPr>
            </w:pPr>
          </w:p>
        </w:tc>
        <w:tc>
          <w:tcPr>
            <w:tcW w:w="2111" w:type="dxa"/>
          </w:tcPr>
          <w:p w14:paraId="691E3915" w14:textId="77777777" w:rsidR="00E7240A" w:rsidRDefault="00E7240A" w:rsidP="00A95965">
            <w:pPr>
              <w:pStyle w:val="TableText"/>
              <w:rPr>
                <w:b/>
                <w:szCs w:val="20"/>
              </w:rPr>
            </w:pPr>
          </w:p>
        </w:tc>
        <w:tc>
          <w:tcPr>
            <w:tcW w:w="2330" w:type="dxa"/>
          </w:tcPr>
          <w:p w14:paraId="4780C40E" w14:textId="77777777" w:rsidR="00E7240A" w:rsidRDefault="00E7240A" w:rsidP="00A95965">
            <w:pPr>
              <w:pStyle w:val="TableText"/>
              <w:rPr>
                <w:b/>
                <w:szCs w:val="20"/>
              </w:rPr>
            </w:pPr>
          </w:p>
        </w:tc>
        <w:tc>
          <w:tcPr>
            <w:tcW w:w="2396" w:type="dxa"/>
          </w:tcPr>
          <w:p w14:paraId="31EE165E" w14:textId="77777777" w:rsidR="00E7240A" w:rsidRDefault="00E7240A" w:rsidP="00A95965">
            <w:pPr>
              <w:pStyle w:val="TableText"/>
              <w:rPr>
                <w:b/>
                <w:szCs w:val="20"/>
              </w:rPr>
            </w:pPr>
          </w:p>
        </w:tc>
      </w:tr>
      <w:tr w:rsidR="00E7240A" w14:paraId="0F7439D8" w14:textId="77777777">
        <w:tblPrEx>
          <w:shd w:val="clear" w:color="auto" w:fill="auto"/>
        </w:tblPrEx>
        <w:trPr>
          <w:cantSplit/>
          <w:trHeight w:val="432"/>
        </w:trPr>
        <w:tc>
          <w:tcPr>
            <w:tcW w:w="3793" w:type="dxa"/>
            <w:noWrap/>
          </w:tcPr>
          <w:p w14:paraId="5597AC1E" w14:textId="77777777" w:rsidR="00E7240A" w:rsidRDefault="00E7240A" w:rsidP="00A95965">
            <w:pPr>
              <w:pStyle w:val="TableText"/>
              <w:rPr>
                <w:b/>
                <w:szCs w:val="20"/>
              </w:rPr>
            </w:pPr>
          </w:p>
        </w:tc>
        <w:tc>
          <w:tcPr>
            <w:tcW w:w="2330" w:type="dxa"/>
          </w:tcPr>
          <w:p w14:paraId="36B2E96B" w14:textId="77777777" w:rsidR="00E7240A" w:rsidRDefault="00E7240A" w:rsidP="00A95965">
            <w:pPr>
              <w:pStyle w:val="TableText"/>
              <w:rPr>
                <w:b/>
                <w:szCs w:val="20"/>
              </w:rPr>
            </w:pPr>
          </w:p>
        </w:tc>
        <w:tc>
          <w:tcPr>
            <w:tcW w:w="2111" w:type="dxa"/>
          </w:tcPr>
          <w:p w14:paraId="08B184A4" w14:textId="77777777" w:rsidR="00E7240A" w:rsidRDefault="00E7240A" w:rsidP="00A95965">
            <w:pPr>
              <w:pStyle w:val="TableText"/>
              <w:rPr>
                <w:b/>
                <w:szCs w:val="20"/>
              </w:rPr>
            </w:pPr>
          </w:p>
        </w:tc>
        <w:tc>
          <w:tcPr>
            <w:tcW w:w="2330" w:type="dxa"/>
          </w:tcPr>
          <w:p w14:paraId="1D3A4818" w14:textId="77777777" w:rsidR="00E7240A" w:rsidRDefault="00E7240A" w:rsidP="00A95965">
            <w:pPr>
              <w:pStyle w:val="TableText"/>
              <w:rPr>
                <w:b/>
                <w:szCs w:val="20"/>
              </w:rPr>
            </w:pPr>
          </w:p>
        </w:tc>
        <w:tc>
          <w:tcPr>
            <w:tcW w:w="2396" w:type="dxa"/>
          </w:tcPr>
          <w:p w14:paraId="5FEC8341" w14:textId="77777777" w:rsidR="00E7240A" w:rsidRDefault="00E7240A" w:rsidP="00A95965">
            <w:pPr>
              <w:pStyle w:val="TableText"/>
              <w:rPr>
                <w:b/>
                <w:szCs w:val="20"/>
              </w:rPr>
            </w:pPr>
          </w:p>
        </w:tc>
      </w:tr>
      <w:tr w:rsidR="00E7240A" w14:paraId="3DCC3941" w14:textId="77777777">
        <w:tblPrEx>
          <w:shd w:val="clear" w:color="auto" w:fill="auto"/>
        </w:tblPrEx>
        <w:trPr>
          <w:cantSplit/>
          <w:trHeight w:val="432"/>
        </w:trPr>
        <w:tc>
          <w:tcPr>
            <w:tcW w:w="3793" w:type="dxa"/>
            <w:noWrap/>
          </w:tcPr>
          <w:p w14:paraId="78DBD627" w14:textId="77777777" w:rsidR="00E7240A" w:rsidRDefault="00E7240A" w:rsidP="00A95965">
            <w:pPr>
              <w:pStyle w:val="TableText"/>
              <w:rPr>
                <w:b/>
                <w:szCs w:val="20"/>
              </w:rPr>
            </w:pPr>
          </w:p>
        </w:tc>
        <w:tc>
          <w:tcPr>
            <w:tcW w:w="2330" w:type="dxa"/>
          </w:tcPr>
          <w:p w14:paraId="24B38956" w14:textId="77777777" w:rsidR="00E7240A" w:rsidRDefault="00E7240A" w:rsidP="00A95965">
            <w:pPr>
              <w:pStyle w:val="TableText"/>
              <w:rPr>
                <w:b/>
                <w:szCs w:val="20"/>
              </w:rPr>
            </w:pPr>
          </w:p>
        </w:tc>
        <w:tc>
          <w:tcPr>
            <w:tcW w:w="2111" w:type="dxa"/>
          </w:tcPr>
          <w:p w14:paraId="16A862C4" w14:textId="77777777" w:rsidR="00E7240A" w:rsidRDefault="00E7240A" w:rsidP="00A95965">
            <w:pPr>
              <w:pStyle w:val="TableText"/>
              <w:rPr>
                <w:b/>
                <w:szCs w:val="20"/>
              </w:rPr>
            </w:pPr>
          </w:p>
        </w:tc>
        <w:tc>
          <w:tcPr>
            <w:tcW w:w="2330" w:type="dxa"/>
          </w:tcPr>
          <w:p w14:paraId="54E1A75C" w14:textId="77777777" w:rsidR="00E7240A" w:rsidRDefault="00E7240A" w:rsidP="00A95965">
            <w:pPr>
              <w:pStyle w:val="TableText"/>
              <w:rPr>
                <w:b/>
                <w:szCs w:val="20"/>
              </w:rPr>
            </w:pPr>
          </w:p>
        </w:tc>
        <w:tc>
          <w:tcPr>
            <w:tcW w:w="2396" w:type="dxa"/>
          </w:tcPr>
          <w:p w14:paraId="6FDE4A10" w14:textId="77777777" w:rsidR="00E7240A" w:rsidRDefault="00E7240A" w:rsidP="00A95965">
            <w:pPr>
              <w:pStyle w:val="TableText"/>
              <w:rPr>
                <w:b/>
                <w:szCs w:val="20"/>
              </w:rPr>
            </w:pPr>
          </w:p>
        </w:tc>
      </w:tr>
      <w:tr w:rsidR="00E7240A" w14:paraId="23320386" w14:textId="77777777">
        <w:tblPrEx>
          <w:shd w:val="clear" w:color="auto" w:fill="auto"/>
        </w:tblPrEx>
        <w:trPr>
          <w:cantSplit/>
          <w:trHeight w:val="432"/>
        </w:trPr>
        <w:tc>
          <w:tcPr>
            <w:tcW w:w="3793" w:type="dxa"/>
            <w:noWrap/>
          </w:tcPr>
          <w:p w14:paraId="5EBD4CC0" w14:textId="77777777" w:rsidR="00E7240A" w:rsidRDefault="00E7240A" w:rsidP="00A95965">
            <w:pPr>
              <w:pStyle w:val="TableText"/>
              <w:rPr>
                <w:b/>
                <w:szCs w:val="20"/>
              </w:rPr>
            </w:pPr>
          </w:p>
        </w:tc>
        <w:tc>
          <w:tcPr>
            <w:tcW w:w="2330" w:type="dxa"/>
          </w:tcPr>
          <w:p w14:paraId="1F364F4C" w14:textId="77777777" w:rsidR="00E7240A" w:rsidRDefault="00E7240A" w:rsidP="00A95965">
            <w:pPr>
              <w:pStyle w:val="TableText"/>
              <w:rPr>
                <w:b/>
                <w:szCs w:val="20"/>
              </w:rPr>
            </w:pPr>
          </w:p>
        </w:tc>
        <w:tc>
          <w:tcPr>
            <w:tcW w:w="2111" w:type="dxa"/>
          </w:tcPr>
          <w:p w14:paraId="018CDF85" w14:textId="77777777" w:rsidR="00E7240A" w:rsidRDefault="00E7240A" w:rsidP="00A95965">
            <w:pPr>
              <w:pStyle w:val="TableText"/>
              <w:rPr>
                <w:b/>
                <w:szCs w:val="20"/>
              </w:rPr>
            </w:pPr>
          </w:p>
        </w:tc>
        <w:tc>
          <w:tcPr>
            <w:tcW w:w="2330" w:type="dxa"/>
          </w:tcPr>
          <w:p w14:paraId="14679AAE" w14:textId="77777777" w:rsidR="00E7240A" w:rsidRDefault="00E7240A" w:rsidP="00A95965">
            <w:pPr>
              <w:pStyle w:val="TableText"/>
              <w:rPr>
                <w:b/>
                <w:szCs w:val="20"/>
              </w:rPr>
            </w:pPr>
          </w:p>
        </w:tc>
        <w:tc>
          <w:tcPr>
            <w:tcW w:w="2396" w:type="dxa"/>
          </w:tcPr>
          <w:p w14:paraId="65A5C2E0" w14:textId="77777777" w:rsidR="00E7240A" w:rsidRDefault="00E7240A" w:rsidP="00A95965">
            <w:pPr>
              <w:pStyle w:val="TableText"/>
              <w:rPr>
                <w:b/>
                <w:szCs w:val="20"/>
              </w:rPr>
            </w:pPr>
          </w:p>
        </w:tc>
      </w:tr>
      <w:tr w:rsidR="00246F04" w14:paraId="659897A4" w14:textId="77777777">
        <w:tblPrEx>
          <w:shd w:val="clear" w:color="auto" w:fill="auto"/>
        </w:tblPrEx>
        <w:trPr>
          <w:cantSplit/>
          <w:trHeight w:val="432"/>
        </w:trPr>
        <w:tc>
          <w:tcPr>
            <w:tcW w:w="3793" w:type="dxa"/>
            <w:noWrap/>
          </w:tcPr>
          <w:p w14:paraId="50BDFC4D" w14:textId="77777777" w:rsidR="00246F04" w:rsidRDefault="00246F04" w:rsidP="00A95965">
            <w:pPr>
              <w:pStyle w:val="TableText"/>
              <w:rPr>
                <w:b/>
                <w:szCs w:val="20"/>
              </w:rPr>
            </w:pPr>
          </w:p>
        </w:tc>
        <w:tc>
          <w:tcPr>
            <w:tcW w:w="2330" w:type="dxa"/>
          </w:tcPr>
          <w:p w14:paraId="238500E6" w14:textId="77777777" w:rsidR="00246F04" w:rsidRDefault="00246F04" w:rsidP="00A95965">
            <w:pPr>
              <w:pStyle w:val="TableText"/>
              <w:rPr>
                <w:b/>
                <w:szCs w:val="20"/>
              </w:rPr>
            </w:pPr>
          </w:p>
        </w:tc>
        <w:tc>
          <w:tcPr>
            <w:tcW w:w="2111" w:type="dxa"/>
          </w:tcPr>
          <w:p w14:paraId="408032C0" w14:textId="77777777" w:rsidR="00246F04" w:rsidRDefault="00246F04" w:rsidP="00A95965">
            <w:pPr>
              <w:pStyle w:val="TableText"/>
              <w:rPr>
                <w:b/>
                <w:szCs w:val="20"/>
              </w:rPr>
            </w:pPr>
          </w:p>
        </w:tc>
        <w:tc>
          <w:tcPr>
            <w:tcW w:w="2330" w:type="dxa"/>
          </w:tcPr>
          <w:p w14:paraId="1127B643" w14:textId="77777777" w:rsidR="00246F04" w:rsidRDefault="00246F04" w:rsidP="00A95965">
            <w:pPr>
              <w:pStyle w:val="TableText"/>
              <w:rPr>
                <w:b/>
                <w:szCs w:val="20"/>
              </w:rPr>
            </w:pPr>
          </w:p>
        </w:tc>
        <w:tc>
          <w:tcPr>
            <w:tcW w:w="2396" w:type="dxa"/>
          </w:tcPr>
          <w:p w14:paraId="3B87D8E5" w14:textId="77777777" w:rsidR="00246F04" w:rsidRDefault="00246F04" w:rsidP="00A95965">
            <w:pPr>
              <w:pStyle w:val="TableText"/>
              <w:rPr>
                <w:b/>
                <w:szCs w:val="20"/>
              </w:rPr>
            </w:pPr>
          </w:p>
        </w:tc>
      </w:tr>
      <w:tr w:rsidR="00E7240A" w14:paraId="1B075C8D" w14:textId="77777777">
        <w:tblPrEx>
          <w:shd w:val="clear" w:color="auto" w:fill="auto"/>
        </w:tblPrEx>
        <w:trPr>
          <w:cantSplit/>
          <w:trHeight w:val="432"/>
        </w:trPr>
        <w:tc>
          <w:tcPr>
            <w:tcW w:w="3793" w:type="dxa"/>
            <w:noWrap/>
          </w:tcPr>
          <w:p w14:paraId="29FE4F3D" w14:textId="77777777" w:rsidR="00E7240A" w:rsidRDefault="00E7240A" w:rsidP="00A95965">
            <w:pPr>
              <w:pStyle w:val="TableText"/>
              <w:rPr>
                <w:b/>
                <w:szCs w:val="20"/>
              </w:rPr>
            </w:pPr>
          </w:p>
        </w:tc>
        <w:tc>
          <w:tcPr>
            <w:tcW w:w="2330" w:type="dxa"/>
          </w:tcPr>
          <w:p w14:paraId="1C3296C7" w14:textId="77777777" w:rsidR="00E7240A" w:rsidRDefault="00E7240A" w:rsidP="00A95965">
            <w:pPr>
              <w:pStyle w:val="TableText"/>
              <w:rPr>
                <w:b/>
                <w:szCs w:val="20"/>
              </w:rPr>
            </w:pPr>
          </w:p>
        </w:tc>
        <w:tc>
          <w:tcPr>
            <w:tcW w:w="2111" w:type="dxa"/>
          </w:tcPr>
          <w:p w14:paraId="5BCF0BEF" w14:textId="77777777" w:rsidR="00E7240A" w:rsidRDefault="00E7240A" w:rsidP="00A95965">
            <w:pPr>
              <w:pStyle w:val="TableText"/>
              <w:rPr>
                <w:b/>
                <w:szCs w:val="20"/>
              </w:rPr>
            </w:pPr>
          </w:p>
        </w:tc>
        <w:tc>
          <w:tcPr>
            <w:tcW w:w="2330" w:type="dxa"/>
          </w:tcPr>
          <w:p w14:paraId="3109C025" w14:textId="77777777" w:rsidR="00E7240A" w:rsidRDefault="00E7240A" w:rsidP="00A95965">
            <w:pPr>
              <w:pStyle w:val="TableText"/>
              <w:rPr>
                <w:b/>
                <w:szCs w:val="20"/>
              </w:rPr>
            </w:pPr>
          </w:p>
        </w:tc>
        <w:tc>
          <w:tcPr>
            <w:tcW w:w="2396" w:type="dxa"/>
          </w:tcPr>
          <w:p w14:paraId="5E1D09A1" w14:textId="77777777" w:rsidR="00E7240A" w:rsidRDefault="00E7240A" w:rsidP="00A95965">
            <w:pPr>
              <w:pStyle w:val="TableText"/>
              <w:rPr>
                <w:b/>
                <w:szCs w:val="20"/>
              </w:rPr>
            </w:pPr>
          </w:p>
        </w:tc>
      </w:tr>
      <w:tr w:rsidR="00E7240A" w14:paraId="0B3D33B1" w14:textId="77777777">
        <w:tblPrEx>
          <w:shd w:val="clear" w:color="auto" w:fill="auto"/>
        </w:tblPrEx>
        <w:trPr>
          <w:cantSplit/>
          <w:trHeight w:val="432"/>
        </w:trPr>
        <w:tc>
          <w:tcPr>
            <w:tcW w:w="3793" w:type="dxa"/>
            <w:noWrap/>
          </w:tcPr>
          <w:p w14:paraId="047658C1" w14:textId="77777777" w:rsidR="00E7240A" w:rsidRDefault="00E7240A" w:rsidP="00A95965">
            <w:pPr>
              <w:pStyle w:val="TableText"/>
              <w:rPr>
                <w:b/>
                <w:szCs w:val="20"/>
              </w:rPr>
            </w:pPr>
          </w:p>
        </w:tc>
        <w:tc>
          <w:tcPr>
            <w:tcW w:w="2330" w:type="dxa"/>
          </w:tcPr>
          <w:p w14:paraId="4B379B2F" w14:textId="77777777" w:rsidR="00E7240A" w:rsidRDefault="00E7240A" w:rsidP="00A95965">
            <w:pPr>
              <w:pStyle w:val="TableText"/>
              <w:rPr>
                <w:b/>
                <w:szCs w:val="20"/>
              </w:rPr>
            </w:pPr>
          </w:p>
        </w:tc>
        <w:tc>
          <w:tcPr>
            <w:tcW w:w="2111" w:type="dxa"/>
          </w:tcPr>
          <w:p w14:paraId="2F494752" w14:textId="77777777" w:rsidR="00E7240A" w:rsidRDefault="00E7240A" w:rsidP="00A95965">
            <w:pPr>
              <w:pStyle w:val="TableText"/>
              <w:rPr>
                <w:b/>
                <w:szCs w:val="20"/>
              </w:rPr>
            </w:pPr>
          </w:p>
        </w:tc>
        <w:tc>
          <w:tcPr>
            <w:tcW w:w="2330" w:type="dxa"/>
          </w:tcPr>
          <w:p w14:paraId="2941E830" w14:textId="77777777" w:rsidR="00E7240A" w:rsidRDefault="00E7240A" w:rsidP="00A95965">
            <w:pPr>
              <w:pStyle w:val="TableText"/>
              <w:rPr>
                <w:b/>
                <w:szCs w:val="20"/>
              </w:rPr>
            </w:pPr>
          </w:p>
        </w:tc>
        <w:tc>
          <w:tcPr>
            <w:tcW w:w="2396" w:type="dxa"/>
          </w:tcPr>
          <w:p w14:paraId="60753348" w14:textId="77777777" w:rsidR="00E7240A" w:rsidRDefault="00E7240A" w:rsidP="00A95965">
            <w:pPr>
              <w:pStyle w:val="TableText"/>
              <w:rPr>
                <w:b/>
                <w:szCs w:val="20"/>
              </w:rPr>
            </w:pPr>
          </w:p>
        </w:tc>
      </w:tr>
    </w:tbl>
    <w:p w14:paraId="45F4BB4F" w14:textId="77777777" w:rsidR="00E7240A" w:rsidRDefault="00E7240A" w:rsidP="00DD75E5">
      <w:pPr>
        <w:pStyle w:val="BodyText"/>
      </w:pPr>
    </w:p>
    <w:tbl>
      <w:tblPr>
        <w:tblW w:w="1296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B3B3B3"/>
        <w:tblLayout w:type="fixed"/>
        <w:tblLook w:val="0000" w:firstRow="0" w:lastRow="0" w:firstColumn="0" w:lastColumn="0" w:noHBand="0" w:noVBand="0"/>
      </w:tblPr>
      <w:tblGrid>
        <w:gridCol w:w="1632"/>
        <w:gridCol w:w="3648"/>
        <w:gridCol w:w="3840"/>
        <w:gridCol w:w="3840"/>
      </w:tblGrid>
      <w:tr w:rsidR="00E7240A" w14:paraId="479D7D11" w14:textId="77777777">
        <w:trPr>
          <w:cantSplit/>
          <w:trHeight w:val="230"/>
        </w:trPr>
        <w:tc>
          <w:tcPr>
            <w:tcW w:w="1632" w:type="dxa"/>
            <w:tcBorders>
              <w:bottom w:val="single" w:sz="2" w:space="0" w:color="auto"/>
            </w:tcBorders>
            <w:shd w:val="clear" w:color="auto" w:fill="B3B3B3"/>
            <w:noWrap/>
          </w:tcPr>
          <w:p w14:paraId="58C28D68" w14:textId="77777777" w:rsidR="00E7240A" w:rsidRDefault="00E7240A" w:rsidP="00A95965">
            <w:pPr>
              <w:pStyle w:val="TableText"/>
              <w:rPr>
                <w:b/>
                <w:szCs w:val="20"/>
              </w:rPr>
            </w:pPr>
            <w:r>
              <w:br w:type="page"/>
            </w:r>
            <w:r>
              <w:rPr>
                <w:b/>
                <w:szCs w:val="20"/>
              </w:rPr>
              <w:t xml:space="preserve"> Unit Assigned? (Yes, No)</w:t>
            </w:r>
          </w:p>
        </w:tc>
        <w:tc>
          <w:tcPr>
            <w:tcW w:w="3648" w:type="dxa"/>
            <w:tcBorders>
              <w:bottom w:val="single" w:sz="2" w:space="0" w:color="auto"/>
            </w:tcBorders>
            <w:shd w:val="clear" w:color="auto" w:fill="B3B3B3"/>
          </w:tcPr>
          <w:p w14:paraId="3AB7A21A" w14:textId="77777777" w:rsidR="00E7240A" w:rsidRDefault="00E7240A" w:rsidP="00A95965">
            <w:pPr>
              <w:pStyle w:val="TableText"/>
              <w:rPr>
                <w:b/>
                <w:szCs w:val="20"/>
              </w:rPr>
            </w:pPr>
            <w:r>
              <w:rPr>
                <w:b/>
                <w:szCs w:val="20"/>
              </w:rPr>
              <w:t>Patient Name</w:t>
            </w:r>
          </w:p>
        </w:tc>
        <w:tc>
          <w:tcPr>
            <w:tcW w:w="3840" w:type="dxa"/>
            <w:tcBorders>
              <w:bottom w:val="single" w:sz="2" w:space="0" w:color="auto"/>
            </w:tcBorders>
            <w:shd w:val="clear" w:color="auto" w:fill="B3B3B3"/>
          </w:tcPr>
          <w:p w14:paraId="31D298B0" w14:textId="77777777" w:rsidR="00E7240A" w:rsidRDefault="00E7240A" w:rsidP="00A95965">
            <w:pPr>
              <w:pStyle w:val="TableText"/>
              <w:rPr>
                <w:b/>
                <w:szCs w:val="20"/>
              </w:rPr>
            </w:pPr>
            <w:r>
              <w:rPr>
                <w:b/>
                <w:szCs w:val="20"/>
              </w:rPr>
              <w:t>Patient Identification Number</w:t>
            </w:r>
          </w:p>
        </w:tc>
        <w:tc>
          <w:tcPr>
            <w:tcW w:w="3840" w:type="dxa"/>
            <w:tcBorders>
              <w:bottom w:val="single" w:sz="2" w:space="0" w:color="auto"/>
            </w:tcBorders>
            <w:shd w:val="clear" w:color="auto" w:fill="B3B3B3"/>
          </w:tcPr>
          <w:p w14:paraId="77385839" w14:textId="77777777" w:rsidR="00E7240A" w:rsidRDefault="00E7240A" w:rsidP="00A95965">
            <w:pPr>
              <w:pStyle w:val="TableText"/>
              <w:rPr>
                <w:b/>
                <w:szCs w:val="20"/>
              </w:rPr>
            </w:pPr>
            <w:r>
              <w:rPr>
                <w:b/>
                <w:szCs w:val="20"/>
              </w:rPr>
              <w:t>Specimen UID</w:t>
            </w:r>
          </w:p>
        </w:tc>
      </w:tr>
      <w:tr w:rsidR="00E7240A" w14:paraId="712A973F" w14:textId="77777777">
        <w:trPr>
          <w:cantSplit/>
          <w:trHeight w:val="432"/>
        </w:trPr>
        <w:tc>
          <w:tcPr>
            <w:tcW w:w="1632" w:type="dxa"/>
            <w:shd w:val="clear" w:color="auto" w:fill="auto"/>
            <w:noWrap/>
          </w:tcPr>
          <w:p w14:paraId="7FD3C07A" w14:textId="77777777" w:rsidR="00E7240A" w:rsidRDefault="00E7240A" w:rsidP="00A95965">
            <w:pPr>
              <w:pStyle w:val="TableText"/>
              <w:rPr>
                <w:b/>
                <w:szCs w:val="20"/>
              </w:rPr>
            </w:pPr>
          </w:p>
        </w:tc>
        <w:tc>
          <w:tcPr>
            <w:tcW w:w="3648" w:type="dxa"/>
            <w:shd w:val="clear" w:color="auto" w:fill="auto"/>
          </w:tcPr>
          <w:p w14:paraId="798BF736" w14:textId="77777777" w:rsidR="00E7240A" w:rsidRDefault="00E7240A" w:rsidP="00A95965">
            <w:pPr>
              <w:pStyle w:val="TableText"/>
              <w:rPr>
                <w:b/>
                <w:szCs w:val="20"/>
              </w:rPr>
            </w:pPr>
          </w:p>
        </w:tc>
        <w:tc>
          <w:tcPr>
            <w:tcW w:w="3840" w:type="dxa"/>
            <w:shd w:val="clear" w:color="auto" w:fill="auto"/>
          </w:tcPr>
          <w:p w14:paraId="0997CC3B" w14:textId="77777777" w:rsidR="00E7240A" w:rsidRDefault="00E7240A" w:rsidP="00A95965">
            <w:pPr>
              <w:pStyle w:val="TableText"/>
              <w:rPr>
                <w:b/>
                <w:szCs w:val="20"/>
              </w:rPr>
            </w:pPr>
          </w:p>
        </w:tc>
        <w:tc>
          <w:tcPr>
            <w:tcW w:w="3840" w:type="dxa"/>
            <w:shd w:val="clear" w:color="auto" w:fill="auto"/>
          </w:tcPr>
          <w:p w14:paraId="1F829F6B" w14:textId="77777777" w:rsidR="00E7240A" w:rsidRDefault="00E7240A" w:rsidP="00A95965">
            <w:pPr>
              <w:pStyle w:val="TableText"/>
              <w:rPr>
                <w:b/>
                <w:szCs w:val="20"/>
              </w:rPr>
            </w:pPr>
          </w:p>
        </w:tc>
      </w:tr>
    </w:tbl>
    <w:p w14:paraId="09F941C1" w14:textId="77777777" w:rsidR="00E7240A" w:rsidRDefault="00E7240A" w:rsidP="00DD75E5">
      <w:pPr>
        <w:pStyle w:val="BodyText"/>
      </w:pPr>
    </w:p>
    <w:tbl>
      <w:tblPr>
        <w:tblW w:w="1296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B3B3B3"/>
        <w:tblLook w:val="0000" w:firstRow="0" w:lastRow="0" w:firstColumn="0" w:lastColumn="0" w:noHBand="0" w:noVBand="0"/>
      </w:tblPr>
      <w:tblGrid>
        <w:gridCol w:w="3793"/>
        <w:gridCol w:w="2330"/>
        <w:gridCol w:w="2111"/>
        <w:gridCol w:w="2330"/>
        <w:gridCol w:w="2396"/>
      </w:tblGrid>
      <w:tr w:rsidR="00E7240A" w14:paraId="7DF510E3" w14:textId="77777777">
        <w:trPr>
          <w:cantSplit/>
          <w:trHeight w:val="235"/>
          <w:tblHeader/>
        </w:trPr>
        <w:tc>
          <w:tcPr>
            <w:tcW w:w="12960" w:type="dxa"/>
            <w:gridSpan w:val="5"/>
            <w:shd w:val="clear" w:color="auto" w:fill="B3B3B3"/>
            <w:noWrap/>
          </w:tcPr>
          <w:p w14:paraId="3A5C31F3" w14:textId="77777777" w:rsidR="00E7240A" w:rsidRPr="005F4649" w:rsidRDefault="00E7240A" w:rsidP="00CA119C">
            <w:pPr>
              <w:pStyle w:val="TableText"/>
              <w:rPr>
                <w:b/>
                <w:szCs w:val="20"/>
              </w:rPr>
            </w:pPr>
            <w:r>
              <w:rPr>
                <w:b/>
                <w:szCs w:val="20"/>
              </w:rPr>
              <w:t>Modified Unit(s)</w:t>
            </w:r>
          </w:p>
        </w:tc>
      </w:tr>
      <w:tr w:rsidR="00E7240A" w14:paraId="78A2AB14" w14:textId="77777777">
        <w:tblPrEx>
          <w:shd w:val="clear" w:color="auto" w:fill="auto"/>
        </w:tblPrEx>
        <w:trPr>
          <w:cantSplit/>
          <w:trHeight w:val="230"/>
          <w:tblHeader/>
        </w:trPr>
        <w:tc>
          <w:tcPr>
            <w:tcW w:w="3793" w:type="dxa"/>
            <w:shd w:val="clear" w:color="auto" w:fill="B3B3B3"/>
            <w:noWrap/>
          </w:tcPr>
          <w:p w14:paraId="3D95DDF5" w14:textId="77777777" w:rsidR="00E7240A" w:rsidRPr="005F4649" w:rsidRDefault="00E7240A" w:rsidP="00CA119C">
            <w:pPr>
              <w:pStyle w:val="TableText"/>
              <w:rPr>
                <w:b/>
                <w:szCs w:val="20"/>
              </w:rPr>
            </w:pPr>
            <w:r>
              <w:rPr>
                <w:b/>
                <w:szCs w:val="20"/>
              </w:rPr>
              <w:t>Unit Identification Number</w:t>
            </w:r>
          </w:p>
        </w:tc>
        <w:tc>
          <w:tcPr>
            <w:tcW w:w="2330" w:type="dxa"/>
            <w:shd w:val="clear" w:color="auto" w:fill="B3B3B3"/>
          </w:tcPr>
          <w:p w14:paraId="3970E5D5" w14:textId="77777777" w:rsidR="00E7240A" w:rsidRPr="005F4649" w:rsidRDefault="00E7240A" w:rsidP="00CA119C">
            <w:pPr>
              <w:pStyle w:val="TableText"/>
              <w:rPr>
                <w:b/>
                <w:szCs w:val="20"/>
              </w:rPr>
            </w:pPr>
            <w:r>
              <w:rPr>
                <w:b/>
                <w:szCs w:val="20"/>
              </w:rPr>
              <w:t>Product Code</w:t>
            </w:r>
          </w:p>
        </w:tc>
        <w:tc>
          <w:tcPr>
            <w:tcW w:w="2111" w:type="dxa"/>
            <w:shd w:val="clear" w:color="auto" w:fill="B3B3B3"/>
          </w:tcPr>
          <w:p w14:paraId="3B2DF073" w14:textId="77777777" w:rsidR="00E7240A" w:rsidRDefault="00E7240A" w:rsidP="00CA119C">
            <w:pPr>
              <w:pStyle w:val="TableText"/>
              <w:rPr>
                <w:b/>
                <w:szCs w:val="20"/>
              </w:rPr>
            </w:pPr>
            <w:r>
              <w:rPr>
                <w:b/>
                <w:szCs w:val="20"/>
              </w:rPr>
              <w:t>ABO/Rh</w:t>
            </w:r>
          </w:p>
        </w:tc>
        <w:tc>
          <w:tcPr>
            <w:tcW w:w="2330" w:type="dxa"/>
            <w:shd w:val="clear" w:color="auto" w:fill="B3B3B3"/>
          </w:tcPr>
          <w:p w14:paraId="6C6E3DF9" w14:textId="77777777" w:rsidR="00E7240A" w:rsidRPr="005F4649" w:rsidRDefault="00E7240A" w:rsidP="00CA119C">
            <w:pPr>
              <w:pStyle w:val="TableText"/>
              <w:rPr>
                <w:b/>
                <w:szCs w:val="20"/>
              </w:rPr>
            </w:pPr>
            <w:r>
              <w:rPr>
                <w:b/>
                <w:szCs w:val="20"/>
              </w:rPr>
              <w:t>Container Lot Number</w:t>
            </w:r>
          </w:p>
        </w:tc>
        <w:tc>
          <w:tcPr>
            <w:tcW w:w="2396" w:type="dxa"/>
            <w:shd w:val="clear" w:color="auto" w:fill="B3B3B3"/>
          </w:tcPr>
          <w:p w14:paraId="5C4C5D43" w14:textId="77777777" w:rsidR="00E7240A" w:rsidRPr="005F4649" w:rsidRDefault="00E7240A" w:rsidP="00CA119C">
            <w:pPr>
              <w:pStyle w:val="TableText"/>
              <w:rPr>
                <w:b/>
                <w:szCs w:val="20"/>
              </w:rPr>
            </w:pPr>
            <w:r>
              <w:rPr>
                <w:b/>
                <w:szCs w:val="20"/>
              </w:rPr>
              <w:t>Expiration Date and Time</w:t>
            </w:r>
          </w:p>
        </w:tc>
      </w:tr>
      <w:tr w:rsidR="00E7240A" w14:paraId="584DFC26" w14:textId="77777777">
        <w:tblPrEx>
          <w:shd w:val="clear" w:color="auto" w:fill="auto"/>
        </w:tblPrEx>
        <w:trPr>
          <w:cantSplit/>
          <w:trHeight w:val="432"/>
        </w:trPr>
        <w:tc>
          <w:tcPr>
            <w:tcW w:w="3793" w:type="dxa"/>
            <w:noWrap/>
          </w:tcPr>
          <w:p w14:paraId="138A1302" w14:textId="77777777" w:rsidR="00E7240A" w:rsidRDefault="00E7240A" w:rsidP="00A95965">
            <w:pPr>
              <w:pStyle w:val="TableText"/>
              <w:rPr>
                <w:b/>
                <w:szCs w:val="20"/>
              </w:rPr>
            </w:pPr>
          </w:p>
        </w:tc>
        <w:tc>
          <w:tcPr>
            <w:tcW w:w="2330" w:type="dxa"/>
          </w:tcPr>
          <w:p w14:paraId="3307E734" w14:textId="77777777" w:rsidR="00E7240A" w:rsidRDefault="00E7240A" w:rsidP="00A95965">
            <w:pPr>
              <w:pStyle w:val="TableText"/>
              <w:rPr>
                <w:b/>
                <w:szCs w:val="20"/>
              </w:rPr>
            </w:pPr>
          </w:p>
        </w:tc>
        <w:tc>
          <w:tcPr>
            <w:tcW w:w="2111" w:type="dxa"/>
          </w:tcPr>
          <w:p w14:paraId="513D8790" w14:textId="77777777" w:rsidR="00E7240A" w:rsidRDefault="00E7240A" w:rsidP="00A95965">
            <w:pPr>
              <w:pStyle w:val="TableText"/>
              <w:rPr>
                <w:b/>
                <w:szCs w:val="20"/>
              </w:rPr>
            </w:pPr>
          </w:p>
        </w:tc>
        <w:tc>
          <w:tcPr>
            <w:tcW w:w="2330" w:type="dxa"/>
          </w:tcPr>
          <w:p w14:paraId="408678B4" w14:textId="77777777" w:rsidR="00E7240A" w:rsidRDefault="00E7240A" w:rsidP="00A95965">
            <w:pPr>
              <w:pStyle w:val="TableText"/>
              <w:rPr>
                <w:b/>
                <w:szCs w:val="20"/>
              </w:rPr>
            </w:pPr>
          </w:p>
        </w:tc>
        <w:tc>
          <w:tcPr>
            <w:tcW w:w="2396" w:type="dxa"/>
          </w:tcPr>
          <w:p w14:paraId="01D15F9F" w14:textId="77777777" w:rsidR="00E7240A" w:rsidRDefault="00E7240A" w:rsidP="00A95965">
            <w:pPr>
              <w:pStyle w:val="TableText"/>
              <w:rPr>
                <w:b/>
                <w:szCs w:val="20"/>
              </w:rPr>
            </w:pPr>
          </w:p>
        </w:tc>
      </w:tr>
      <w:tr w:rsidR="00E7240A" w14:paraId="311F8130" w14:textId="77777777">
        <w:tblPrEx>
          <w:shd w:val="clear" w:color="auto" w:fill="auto"/>
        </w:tblPrEx>
        <w:trPr>
          <w:cantSplit/>
          <w:trHeight w:val="432"/>
        </w:trPr>
        <w:tc>
          <w:tcPr>
            <w:tcW w:w="3793" w:type="dxa"/>
            <w:noWrap/>
          </w:tcPr>
          <w:p w14:paraId="42CF3026" w14:textId="77777777" w:rsidR="00E7240A" w:rsidRDefault="00E7240A" w:rsidP="00A95965">
            <w:pPr>
              <w:pStyle w:val="TableText"/>
              <w:rPr>
                <w:b/>
                <w:szCs w:val="20"/>
              </w:rPr>
            </w:pPr>
          </w:p>
        </w:tc>
        <w:tc>
          <w:tcPr>
            <w:tcW w:w="2330" w:type="dxa"/>
          </w:tcPr>
          <w:p w14:paraId="2176F354" w14:textId="77777777" w:rsidR="00E7240A" w:rsidRDefault="00E7240A" w:rsidP="00A95965">
            <w:pPr>
              <w:pStyle w:val="TableText"/>
              <w:rPr>
                <w:b/>
                <w:szCs w:val="20"/>
              </w:rPr>
            </w:pPr>
          </w:p>
        </w:tc>
        <w:tc>
          <w:tcPr>
            <w:tcW w:w="2111" w:type="dxa"/>
          </w:tcPr>
          <w:p w14:paraId="6B61A8F7" w14:textId="77777777" w:rsidR="00E7240A" w:rsidRDefault="00E7240A" w:rsidP="00A95965">
            <w:pPr>
              <w:pStyle w:val="TableText"/>
              <w:rPr>
                <w:b/>
                <w:szCs w:val="20"/>
              </w:rPr>
            </w:pPr>
          </w:p>
        </w:tc>
        <w:tc>
          <w:tcPr>
            <w:tcW w:w="2330" w:type="dxa"/>
          </w:tcPr>
          <w:p w14:paraId="1C9C0890" w14:textId="77777777" w:rsidR="00E7240A" w:rsidRDefault="00E7240A" w:rsidP="00A95965">
            <w:pPr>
              <w:pStyle w:val="TableText"/>
              <w:rPr>
                <w:b/>
                <w:szCs w:val="20"/>
              </w:rPr>
            </w:pPr>
          </w:p>
        </w:tc>
        <w:tc>
          <w:tcPr>
            <w:tcW w:w="2396" w:type="dxa"/>
          </w:tcPr>
          <w:p w14:paraId="29014778" w14:textId="77777777" w:rsidR="00E7240A" w:rsidRDefault="00E7240A" w:rsidP="00A95965">
            <w:pPr>
              <w:pStyle w:val="TableText"/>
              <w:rPr>
                <w:b/>
                <w:szCs w:val="20"/>
              </w:rPr>
            </w:pPr>
          </w:p>
        </w:tc>
      </w:tr>
      <w:tr w:rsidR="00E7240A" w14:paraId="69684C91" w14:textId="77777777">
        <w:tblPrEx>
          <w:shd w:val="clear" w:color="auto" w:fill="auto"/>
        </w:tblPrEx>
        <w:trPr>
          <w:cantSplit/>
          <w:trHeight w:val="432"/>
        </w:trPr>
        <w:tc>
          <w:tcPr>
            <w:tcW w:w="3793" w:type="dxa"/>
            <w:noWrap/>
          </w:tcPr>
          <w:p w14:paraId="20ABE9ED" w14:textId="77777777" w:rsidR="00E7240A" w:rsidRDefault="00E7240A" w:rsidP="00A95965">
            <w:pPr>
              <w:pStyle w:val="TableText"/>
              <w:rPr>
                <w:b/>
                <w:szCs w:val="20"/>
              </w:rPr>
            </w:pPr>
          </w:p>
        </w:tc>
        <w:tc>
          <w:tcPr>
            <w:tcW w:w="2330" w:type="dxa"/>
          </w:tcPr>
          <w:p w14:paraId="7E39FA9E" w14:textId="77777777" w:rsidR="00E7240A" w:rsidRDefault="00E7240A" w:rsidP="00A95965">
            <w:pPr>
              <w:pStyle w:val="TableText"/>
              <w:rPr>
                <w:b/>
                <w:szCs w:val="20"/>
              </w:rPr>
            </w:pPr>
          </w:p>
        </w:tc>
        <w:tc>
          <w:tcPr>
            <w:tcW w:w="2111" w:type="dxa"/>
          </w:tcPr>
          <w:p w14:paraId="11507138" w14:textId="77777777" w:rsidR="00E7240A" w:rsidRDefault="00E7240A" w:rsidP="00A95965">
            <w:pPr>
              <w:pStyle w:val="TableText"/>
              <w:rPr>
                <w:b/>
                <w:szCs w:val="20"/>
              </w:rPr>
            </w:pPr>
          </w:p>
        </w:tc>
        <w:tc>
          <w:tcPr>
            <w:tcW w:w="2330" w:type="dxa"/>
          </w:tcPr>
          <w:p w14:paraId="56142186" w14:textId="77777777" w:rsidR="00E7240A" w:rsidRDefault="00E7240A" w:rsidP="00A95965">
            <w:pPr>
              <w:pStyle w:val="TableText"/>
              <w:rPr>
                <w:b/>
                <w:szCs w:val="20"/>
              </w:rPr>
            </w:pPr>
          </w:p>
        </w:tc>
        <w:tc>
          <w:tcPr>
            <w:tcW w:w="2396" w:type="dxa"/>
          </w:tcPr>
          <w:p w14:paraId="5D56E3A6" w14:textId="77777777" w:rsidR="00E7240A" w:rsidRDefault="00E7240A" w:rsidP="00A95965">
            <w:pPr>
              <w:pStyle w:val="TableText"/>
              <w:rPr>
                <w:b/>
                <w:szCs w:val="20"/>
              </w:rPr>
            </w:pPr>
          </w:p>
        </w:tc>
      </w:tr>
      <w:tr w:rsidR="00246F04" w14:paraId="1AD19D65" w14:textId="77777777">
        <w:tblPrEx>
          <w:shd w:val="clear" w:color="auto" w:fill="auto"/>
        </w:tblPrEx>
        <w:trPr>
          <w:cantSplit/>
          <w:trHeight w:val="432"/>
        </w:trPr>
        <w:tc>
          <w:tcPr>
            <w:tcW w:w="3793" w:type="dxa"/>
            <w:noWrap/>
          </w:tcPr>
          <w:p w14:paraId="614E3AC7" w14:textId="77777777" w:rsidR="00246F04" w:rsidRDefault="00246F04" w:rsidP="00A95965">
            <w:pPr>
              <w:pStyle w:val="TableText"/>
              <w:rPr>
                <w:b/>
                <w:szCs w:val="20"/>
              </w:rPr>
            </w:pPr>
          </w:p>
        </w:tc>
        <w:tc>
          <w:tcPr>
            <w:tcW w:w="2330" w:type="dxa"/>
          </w:tcPr>
          <w:p w14:paraId="1131D7E9" w14:textId="77777777" w:rsidR="00246F04" w:rsidRDefault="00246F04" w:rsidP="00A95965">
            <w:pPr>
              <w:pStyle w:val="TableText"/>
              <w:rPr>
                <w:b/>
                <w:szCs w:val="20"/>
              </w:rPr>
            </w:pPr>
          </w:p>
        </w:tc>
        <w:tc>
          <w:tcPr>
            <w:tcW w:w="2111" w:type="dxa"/>
          </w:tcPr>
          <w:p w14:paraId="4034C389" w14:textId="77777777" w:rsidR="00246F04" w:rsidRDefault="00246F04" w:rsidP="00A95965">
            <w:pPr>
              <w:pStyle w:val="TableText"/>
              <w:rPr>
                <w:b/>
                <w:szCs w:val="20"/>
              </w:rPr>
            </w:pPr>
          </w:p>
        </w:tc>
        <w:tc>
          <w:tcPr>
            <w:tcW w:w="2330" w:type="dxa"/>
          </w:tcPr>
          <w:p w14:paraId="433E39F5" w14:textId="77777777" w:rsidR="00246F04" w:rsidRDefault="00246F04" w:rsidP="00A95965">
            <w:pPr>
              <w:pStyle w:val="TableText"/>
              <w:rPr>
                <w:b/>
                <w:szCs w:val="20"/>
              </w:rPr>
            </w:pPr>
          </w:p>
        </w:tc>
        <w:tc>
          <w:tcPr>
            <w:tcW w:w="2396" w:type="dxa"/>
          </w:tcPr>
          <w:p w14:paraId="45424804" w14:textId="77777777" w:rsidR="00246F04" w:rsidRDefault="00246F04" w:rsidP="00A95965">
            <w:pPr>
              <w:pStyle w:val="TableText"/>
              <w:rPr>
                <w:b/>
                <w:szCs w:val="20"/>
              </w:rPr>
            </w:pPr>
          </w:p>
        </w:tc>
      </w:tr>
      <w:tr w:rsidR="00246F04" w14:paraId="0400771A" w14:textId="77777777">
        <w:tblPrEx>
          <w:shd w:val="clear" w:color="auto" w:fill="auto"/>
        </w:tblPrEx>
        <w:trPr>
          <w:cantSplit/>
          <w:trHeight w:val="432"/>
        </w:trPr>
        <w:tc>
          <w:tcPr>
            <w:tcW w:w="3793" w:type="dxa"/>
            <w:noWrap/>
          </w:tcPr>
          <w:p w14:paraId="768FDA4B" w14:textId="77777777" w:rsidR="00246F04" w:rsidRDefault="00246F04" w:rsidP="00A95965">
            <w:pPr>
              <w:pStyle w:val="TableText"/>
              <w:rPr>
                <w:b/>
                <w:szCs w:val="20"/>
              </w:rPr>
            </w:pPr>
          </w:p>
        </w:tc>
        <w:tc>
          <w:tcPr>
            <w:tcW w:w="2330" w:type="dxa"/>
          </w:tcPr>
          <w:p w14:paraId="07B66EB4" w14:textId="77777777" w:rsidR="00246F04" w:rsidRDefault="00246F04" w:rsidP="00A95965">
            <w:pPr>
              <w:pStyle w:val="TableText"/>
              <w:rPr>
                <w:b/>
                <w:szCs w:val="20"/>
              </w:rPr>
            </w:pPr>
          </w:p>
        </w:tc>
        <w:tc>
          <w:tcPr>
            <w:tcW w:w="2111" w:type="dxa"/>
          </w:tcPr>
          <w:p w14:paraId="7CC1A1D0" w14:textId="77777777" w:rsidR="00246F04" w:rsidRDefault="00246F04" w:rsidP="00A95965">
            <w:pPr>
              <w:pStyle w:val="TableText"/>
              <w:rPr>
                <w:b/>
                <w:szCs w:val="20"/>
              </w:rPr>
            </w:pPr>
          </w:p>
        </w:tc>
        <w:tc>
          <w:tcPr>
            <w:tcW w:w="2330" w:type="dxa"/>
          </w:tcPr>
          <w:p w14:paraId="2B69B222" w14:textId="77777777" w:rsidR="00246F04" w:rsidRDefault="00246F04" w:rsidP="00A95965">
            <w:pPr>
              <w:pStyle w:val="TableText"/>
              <w:rPr>
                <w:b/>
                <w:szCs w:val="20"/>
              </w:rPr>
            </w:pPr>
          </w:p>
        </w:tc>
        <w:tc>
          <w:tcPr>
            <w:tcW w:w="2396" w:type="dxa"/>
          </w:tcPr>
          <w:p w14:paraId="10E388B6" w14:textId="77777777" w:rsidR="00246F04" w:rsidRDefault="00246F04" w:rsidP="00A95965">
            <w:pPr>
              <w:pStyle w:val="TableText"/>
              <w:rPr>
                <w:b/>
                <w:szCs w:val="20"/>
              </w:rPr>
            </w:pPr>
          </w:p>
        </w:tc>
      </w:tr>
      <w:tr w:rsidR="00246F04" w14:paraId="2F693C29" w14:textId="77777777">
        <w:tblPrEx>
          <w:shd w:val="clear" w:color="auto" w:fill="auto"/>
        </w:tblPrEx>
        <w:trPr>
          <w:cantSplit/>
          <w:trHeight w:val="432"/>
        </w:trPr>
        <w:tc>
          <w:tcPr>
            <w:tcW w:w="3793" w:type="dxa"/>
            <w:noWrap/>
          </w:tcPr>
          <w:p w14:paraId="20E5D0C7" w14:textId="77777777" w:rsidR="00246F04" w:rsidRDefault="00246F04" w:rsidP="00A95965">
            <w:pPr>
              <w:pStyle w:val="TableText"/>
              <w:rPr>
                <w:b/>
                <w:szCs w:val="20"/>
              </w:rPr>
            </w:pPr>
          </w:p>
        </w:tc>
        <w:tc>
          <w:tcPr>
            <w:tcW w:w="2330" w:type="dxa"/>
          </w:tcPr>
          <w:p w14:paraId="2B871BD7" w14:textId="77777777" w:rsidR="00246F04" w:rsidRDefault="00246F04" w:rsidP="00A95965">
            <w:pPr>
              <w:pStyle w:val="TableText"/>
              <w:rPr>
                <w:b/>
                <w:szCs w:val="20"/>
              </w:rPr>
            </w:pPr>
          </w:p>
        </w:tc>
        <w:tc>
          <w:tcPr>
            <w:tcW w:w="2111" w:type="dxa"/>
          </w:tcPr>
          <w:p w14:paraId="7943CDC2" w14:textId="77777777" w:rsidR="00246F04" w:rsidRDefault="00246F04" w:rsidP="00A95965">
            <w:pPr>
              <w:pStyle w:val="TableText"/>
              <w:rPr>
                <w:b/>
                <w:szCs w:val="20"/>
              </w:rPr>
            </w:pPr>
          </w:p>
        </w:tc>
        <w:tc>
          <w:tcPr>
            <w:tcW w:w="2330" w:type="dxa"/>
          </w:tcPr>
          <w:p w14:paraId="393996B2" w14:textId="77777777" w:rsidR="00246F04" w:rsidRDefault="00246F04" w:rsidP="00A95965">
            <w:pPr>
              <w:pStyle w:val="TableText"/>
              <w:rPr>
                <w:b/>
                <w:szCs w:val="20"/>
              </w:rPr>
            </w:pPr>
          </w:p>
        </w:tc>
        <w:tc>
          <w:tcPr>
            <w:tcW w:w="2396" w:type="dxa"/>
          </w:tcPr>
          <w:p w14:paraId="7156F105" w14:textId="77777777" w:rsidR="00246F04" w:rsidRDefault="00246F04" w:rsidP="00A95965">
            <w:pPr>
              <w:pStyle w:val="TableText"/>
              <w:rPr>
                <w:b/>
                <w:szCs w:val="20"/>
              </w:rPr>
            </w:pPr>
          </w:p>
        </w:tc>
      </w:tr>
      <w:tr w:rsidR="00E7240A" w14:paraId="33B74B18" w14:textId="77777777">
        <w:tblPrEx>
          <w:shd w:val="clear" w:color="auto" w:fill="auto"/>
        </w:tblPrEx>
        <w:trPr>
          <w:cantSplit/>
          <w:trHeight w:val="432"/>
        </w:trPr>
        <w:tc>
          <w:tcPr>
            <w:tcW w:w="3793" w:type="dxa"/>
            <w:noWrap/>
          </w:tcPr>
          <w:p w14:paraId="7335C7BC" w14:textId="77777777" w:rsidR="00E7240A" w:rsidRDefault="00E7240A" w:rsidP="00A95965">
            <w:pPr>
              <w:pStyle w:val="TableText"/>
              <w:rPr>
                <w:b/>
                <w:szCs w:val="20"/>
              </w:rPr>
            </w:pPr>
          </w:p>
        </w:tc>
        <w:tc>
          <w:tcPr>
            <w:tcW w:w="2330" w:type="dxa"/>
          </w:tcPr>
          <w:p w14:paraId="713C6524" w14:textId="77777777" w:rsidR="00E7240A" w:rsidRDefault="00E7240A" w:rsidP="00A95965">
            <w:pPr>
              <w:pStyle w:val="TableText"/>
              <w:rPr>
                <w:b/>
                <w:szCs w:val="20"/>
              </w:rPr>
            </w:pPr>
          </w:p>
        </w:tc>
        <w:tc>
          <w:tcPr>
            <w:tcW w:w="2111" w:type="dxa"/>
          </w:tcPr>
          <w:p w14:paraId="3500FB02" w14:textId="77777777" w:rsidR="00E7240A" w:rsidRDefault="00E7240A" w:rsidP="00A95965">
            <w:pPr>
              <w:pStyle w:val="TableText"/>
              <w:rPr>
                <w:b/>
                <w:szCs w:val="20"/>
              </w:rPr>
            </w:pPr>
          </w:p>
        </w:tc>
        <w:tc>
          <w:tcPr>
            <w:tcW w:w="2330" w:type="dxa"/>
          </w:tcPr>
          <w:p w14:paraId="01AA48FB" w14:textId="77777777" w:rsidR="00E7240A" w:rsidRDefault="00E7240A" w:rsidP="00A95965">
            <w:pPr>
              <w:pStyle w:val="TableText"/>
              <w:rPr>
                <w:b/>
                <w:szCs w:val="20"/>
              </w:rPr>
            </w:pPr>
          </w:p>
        </w:tc>
        <w:tc>
          <w:tcPr>
            <w:tcW w:w="2396" w:type="dxa"/>
          </w:tcPr>
          <w:p w14:paraId="7CBE8312" w14:textId="77777777" w:rsidR="00E7240A" w:rsidRDefault="00E7240A" w:rsidP="00A95965">
            <w:pPr>
              <w:pStyle w:val="TableText"/>
              <w:rPr>
                <w:b/>
                <w:szCs w:val="20"/>
              </w:rPr>
            </w:pPr>
          </w:p>
        </w:tc>
      </w:tr>
      <w:tr w:rsidR="00E7240A" w14:paraId="59B9A127" w14:textId="77777777">
        <w:tblPrEx>
          <w:shd w:val="clear" w:color="auto" w:fill="auto"/>
        </w:tblPrEx>
        <w:trPr>
          <w:cantSplit/>
          <w:trHeight w:val="432"/>
        </w:trPr>
        <w:tc>
          <w:tcPr>
            <w:tcW w:w="3793" w:type="dxa"/>
            <w:noWrap/>
          </w:tcPr>
          <w:p w14:paraId="19C898FC" w14:textId="77777777" w:rsidR="00E7240A" w:rsidRDefault="00E7240A" w:rsidP="00A95965">
            <w:pPr>
              <w:pStyle w:val="TableText"/>
              <w:rPr>
                <w:b/>
                <w:szCs w:val="20"/>
              </w:rPr>
            </w:pPr>
          </w:p>
        </w:tc>
        <w:tc>
          <w:tcPr>
            <w:tcW w:w="2330" w:type="dxa"/>
          </w:tcPr>
          <w:p w14:paraId="3FA1B70A" w14:textId="77777777" w:rsidR="00E7240A" w:rsidRDefault="00E7240A" w:rsidP="00A95965">
            <w:pPr>
              <w:pStyle w:val="TableText"/>
              <w:rPr>
                <w:b/>
                <w:szCs w:val="20"/>
              </w:rPr>
            </w:pPr>
          </w:p>
        </w:tc>
        <w:tc>
          <w:tcPr>
            <w:tcW w:w="2111" w:type="dxa"/>
          </w:tcPr>
          <w:p w14:paraId="39F7DD04" w14:textId="77777777" w:rsidR="00E7240A" w:rsidRDefault="00E7240A" w:rsidP="00A95965">
            <w:pPr>
              <w:pStyle w:val="TableText"/>
              <w:rPr>
                <w:b/>
                <w:szCs w:val="20"/>
              </w:rPr>
            </w:pPr>
          </w:p>
        </w:tc>
        <w:tc>
          <w:tcPr>
            <w:tcW w:w="2330" w:type="dxa"/>
          </w:tcPr>
          <w:p w14:paraId="74E6A8E2" w14:textId="77777777" w:rsidR="00E7240A" w:rsidRDefault="00E7240A" w:rsidP="00A95965">
            <w:pPr>
              <w:pStyle w:val="TableText"/>
              <w:rPr>
                <w:b/>
                <w:szCs w:val="20"/>
              </w:rPr>
            </w:pPr>
          </w:p>
        </w:tc>
        <w:tc>
          <w:tcPr>
            <w:tcW w:w="2396" w:type="dxa"/>
          </w:tcPr>
          <w:p w14:paraId="4FE9DC6A" w14:textId="77777777" w:rsidR="00E7240A" w:rsidRDefault="00E7240A" w:rsidP="00A95965">
            <w:pPr>
              <w:pStyle w:val="TableText"/>
              <w:rPr>
                <w:b/>
                <w:szCs w:val="20"/>
              </w:rPr>
            </w:pPr>
          </w:p>
        </w:tc>
      </w:tr>
      <w:tr w:rsidR="00E7240A" w14:paraId="0231BA1D" w14:textId="77777777">
        <w:tblPrEx>
          <w:shd w:val="clear" w:color="auto" w:fill="auto"/>
        </w:tblPrEx>
        <w:trPr>
          <w:cantSplit/>
          <w:trHeight w:val="432"/>
        </w:trPr>
        <w:tc>
          <w:tcPr>
            <w:tcW w:w="3793" w:type="dxa"/>
            <w:noWrap/>
          </w:tcPr>
          <w:p w14:paraId="41683C6B" w14:textId="77777777" w:rsidR="00E7240A" w:rsidRDefault="00E7240A" w:rsidP="00A95965">
            <w:pPr>
              <w:pStyle w:val="TableText"/>
              <w:rPr>
                <w:b/>
                <w:szCs w:val="20"/>
              </w:rPr>
            </w:pPr>
          </w:p>
        </w:tc>
        <w:tc>
          <w:tcPr>
            <w:tcW w:w="2330" w:type="dxa"/>
          </w:tcPr>
          <w:p w14:paraId="56E2BA3F" w14:textId="77777777" w:rsidR="00E7240A" w:rsidRDefault="00E7240A" w:rsidP="00A95965">
            <w:pPr>
              <w:pStyle w:val="TableText"/>
              <w:rPr>
                <w:b/>
                <w:szCs w:val="20"/>
              </w:rPr>
            </w:pPr>
          </w:p>
        </w:tc>
        <w:tc>
          <w:tcPr>
            <w:tcW w:w="2111" w:type="dxa"/>
          </w:tcPr>
          <w:p w14:paraId="530FF9DF" w14:textId="77777777" w:rsidR="00E7240A" w:rsidRDefault="00E7240A" w:rsidP="00A95965">
            <w:pPr>
              <w:pStyle w:val="TableText"/>
              <w:rPr>
                <w:b/>
                <w:szCs w:val="20"/>
              </w:rPr>
            </w:pPr>
          </w:p>
        </w:tc>
        <w:tc>
          <w:tcPr>
            <w:tcW w:w="2330" w:type="dxa"/>
          </w:tcPr>
          <w:p w14:paraId="26F1CAF0" w14:textId="77777777" w:rsidR="00E7240A" w:rsidRDefault="00E7240A" w:rsidP="00A95965">
            <w:pPr>
              <w:pStyle w:val="TableText"/>
              <w:rPr>
                <w:b/>
                <w:szCs w:val="20"/>
              </w:rPr>
            </w:pPr>
          </w:p>
        </w:tc>
        <w:tc>
          <w:tcPr>
            <w:tcW w:w="2396" w:type="dxa"/>
          </w:tcPr>
          <w:p w14:paraId="25031462" w14:textId="77777777" w:rsidR="00E7240A" w:rsidRDefault="00E7240A" w:rsidP="00A95965">
            <w:pPr>
              <w:pStyle w:val="TableText"/>
              <w:rPr>
                <w:b/>
                <w:szCs w:val="20"/>
              </w:rPr>
            </w:pPr>
          </w:p>
        </w:tc>
      </w:tr>
    </w:tbl>
    <w:p w14:paraId="48BD9B17" w14:textId="77777777" w:rsidR="00902D46" w:rsidRDefault="00902D46" w:rsidP="00CF32F4">
      <w:pPr>
        <w:pStyle w:val="BodyText"/>
        <w:jc w:val="center"/>
        <w:sectPr w:rsidR="00902D46" w:rsidSect="00EE771C">
          <w:footerReference w:type="default" r:id="rId208"/>
          <w:pgSz w:w="15840" w:h="12240" w:orient="landscape" w:code="1"/>
          <w:pgMar w:top="1440" w:right="1440" w:bottom="1440" w:left="1440" w:header="720" w:footer="720" w:gutter="0"/>
          <w:cols w:space="720"/>
          <w:docGrid w:linePitch="360"/>
        </w:sectPr>
      </w:pPr>
    </w:p>
    <w:p w14:paraId="16E0C980" w14:textId="5BE9E282" w:rsidR="002A21AE" w:rsidRDefault="002A21AE">
      <w:pPr>
        <w:pStyle w:val="Heading2"/>
      </w:pPr>
      <w:bookmarkStart w:id="667" w:name="_Ref170004931"/>
      <w:bookmarkStart w:id="668" w:name="_Toc203765972"/>
      <w:r>
        <w:lastRenderedPageBreak/>
        <w:t xml:space="preserve">Appendix </w:t>
      </w:r>
      <w:r w:rsidR="004E20BD">
        <w:rPr>
          <w:noProof/>
        </w:rPr>
        <w:fldChar w:fldCharType="begin"/>
      </w:r>
      <w:r w:rsidR="004E20BD">
        <w:rPr>
          <w:noProof/>
        </w:rPr>
        <w:instrText xml:space="preserve"> SEQ Appendix \* ALPHABETIC </w:instrText>
      </w:r>
      <w:r w:rsidR="004E20BD">
        <w:rPr>
          <w:noProof/>
        </w:rPr>
        <w:fldChar w:fldCharType="separate"/>
      </w:r>
      <w:r w:rsidR="007D1829">
        <w:rPr>
          <w:noProof/>
        </w:rPr>
        <w:t>B</w:t>
      </w:r>
      <w:r w:rsidR="004E20BD">
        <w:rPr>
          <w:noProof/>
        </w:rPr>
        <w:fldChar w:fldCharType="end"/>
      </w:r>
      <w:bookmarkEnd w:id="667"/>
      <w:r>
        <w:t>: Database Table Information</w:t>
      </w:r>
      <w:bookmarkEnd w:id="668"/>
      <w:r w:rsidR="00681D23">
        <w:fldChar w:fldCharType="begin"/>
      </w:r>
      <w:r w:rsidR="00681D23">
        <w:instrText xml:space="preserve"> XE "</w:instrText>
      </w:r>
      <w:r w:rsidR="00681D23" w:rsidRPr="00FB2A0A">
        <w:instrText>Database Table Information</w:instrText>
      </w:r>
      <w:r w:rsidR="00681D23">
        <w:instrText xml:space="preserve">" </w:instrText>
      </w:r>
      <w:r w:rsidR="00681D23">
        <w:fldChar w:fldCharType="end"/>
      </w:r>
    </w:p>
    <w:p w14:paraId="489EEA0C" w14:textId="77777777" w:rsidR="002A21AE" w:rsidRDefault="002A21AE">
      <w:pPr>
        <w:pStyle w:val="Heading3"/>
      </w:pPr>
      <w:bookmarkStart w:id="669" w:name="_Toc77663546"/>
      <w:bookmarkStart w:id="670" w:name="_Toc91323761"/>
      <w:bookmarkStart w:id="671" w:name="_Toc77663549"/>
      <w:bookmarkStart w:id="672" w:name="_Toc91323764"/>
      <w:bookmarkStart w:id="673" w:name="_Toc91323735"/>
      <w:r w:rsidRPr="00302434">
        <w:rPr>
          <w:rFonts w:ascii="Arial Bold" w:hAnsi="Arial Bold"/>
          <w:vanish/>
        </w:rPr>
        <w:t xml:space="preserve">TT_23.01 </w:t>
      </w:r>
      <w:bookmarkStart w:id="674" w:name="_Toc203765973"/>
      <w:r>
        <w:t>Antibody and Antigen Tables</w:t>
      </w:r>
      <w:bookmarkEnd w:id="669"/>
      <w:bookmarkEnd w:id="670"/>
      <w:bookmarkEnd w:id="674"/>
    </w:p>
    <w:p w14:paraId="1385B131" w14:textId="77777777" w:rsidR="002A21AE" w:rsidRDefault="002A21AE" w:rsidP="0065062F">
      <w:pPr>
        <w:pStyle w:val="Heading3"/>
      </w:pPr>
      <w:bookmarkStart w:id="675" w:name="table13"/>
      <w:bookmarkStart w:id="676" w:name="_Toc77663547"/>
      <w:bookmarkStart w:id="677" w:name="_Toc91323762"/>
      <w:bookmarkStart w:id="678" w:name="_Toc203765974"/>
      <w:bookmarkEnd w:id="675"/>
      <w:r>
        <w:t>Antibody and Antigen Table: Irregular Antibodies</w:t>
      </w:r>
      <w:bookmarkEnd w:id="676"/>
      <w:bookmarkEnd w:id="677"/>
      <w:bookmarkEnd w:id="678"/>
      <w:r>
        <w:fldChar w:fldCharType="begin"/>
      </w:r>
      <w:r>
        <w:instrText xml:space="preserve"> XE </w:instrText>
      </w:r>
      <w:r w:rsidR="00FA7E65">
        <w:instrText>“</w:instrText>
      </w:r>
      <w:r>
        <w:instrText>Tables:Antibody and Antigen Table, Irregular Antibodies</w:instrText>
      </w:r>
      <w:r w:rsidR="00FA7E65">
        <w:instrText>”</w:instrText>
      </w:r>
      <w:r>
        <w:instrText xml:space="preserve"> </w:instrText>
      </w:r>
      <w:r>
        <w:fldChar w:fldCharType="end"/>
      </w:r>
    </w:p>
    <w:p w14:paraId="0AEB6EAF" w14:textId="77777777" w:rsidR="006C5E3A" w:rsidRDefault="00247207" w:rsidP="006C5E3A">
      <w:pPr>
        <w:pStyle w:val="BodyText"/>
      </w:pPr>
      <w:r>
        <w:t xml:space="preserve">VBECS </w:t>
      </w:r>
      <w:r w:rsidR="006C5E3A">
        <w:t xml:space="preserve">creates a division-specific copy in each division in the database. Setting Antibody Parameters allows the division to reset the calculated antigen negative requirement of antibodies to its medical director’s policy. </w:t>
      </w:r>
      <w:r w:rsidR="009A11C7">
        <w:t>Each orderable test name has a corresponding repeat test.</w:t>
      </w:r>
    </w:p>
    <w:p w14:paraId="0501E6CD" w14:textId="77777777" w:rsidR="002A21AE" w:rsidRDefault="002A21AE" w:rsidP="00FA7E65">
      <w:pPr>
        <w:pStyle w:val="BodyText"/>
      </w:pPr>
      <w:r>
        <w:t>Clinical significance of antibody specificity is set using the 14th edition of the AABB Technical Manual. A specific instance of an antibody for certain patients or different treatment conditions may behave quite differently, requiring antigen negative or crossmatch-compatible blood for the patient. The user may edit these settings for an individual patient.</w:t>
      </w:r>
    </w:p>
    <w:p w14:paraId="34FFF4EE" w14:textId="77777777" w:rsidR="002A21AE" w:rsidRDefault="002A21AE" w:rsidP="00FA7E65">
      <w:pPr>
        <w:pStyle w:val="BodyText"/>
      </w:pPr>
      <w:r>
        <w:t xml:space="preserve">The antigen negative required settings apply to all instances of the antibody. Individual hospital policy may indicate that a setting of “OPT” should be made “REQ.” A policy of a global OPT may remain in the event of a specific clinically significant instance of a specificity in a particular patient. The individual patient’s antigen negative requirement may be set for the specificity in Entering and Removing Transfusion Requirements. </w:t>
      </w:r>
      <w:r>
        <w:rPr>
          <w:szCs w:val="16"/>
        </w:rPr>
        <w:t>In the Antigen Negative Requirement column:</w:t>
      </w:r>
    </w:p>
    <w:p w14:paraId="5A64199D" w14:textId="77777777" w:rsidR="002A21AE" w:rsidRDefault="002A21AE">
      <w:pPr>
        <w:pStyle w:val="ListBullet"/>
      </w:pPr>
      <w:r>
        <w:t>“REQ” sets an antigen negative requirement that is not editable because these are generally considered to require the provision of antigen negative blood for patient transfusion.</w:t>
      </w:r>
    </w:p>
    <w:p w14:paraId="4D377CFE" w14:textId="77777777" w:rsidR="002A21AE" w:rsidRDefault="002A21AE">
      <w:pPr>
        <w:pStyle w:val="ListBullet"/>
      </w:pPr>
      <w:r>
        <w:t xml:space="preserve">“NO” does not set an antigen negative requirement and is not editable. </w:t>
      </w:r>
    </w:p>
    <w:p w14:paraId="64C2F7C2" w14:textId="77777777" w:rsidR="002A21AE" w:rsidRDefault="002A21AE">
      <w:pPr>
        <w:pStyle w:val="ListBullet"/>
      </w:pPr>
      <w:r>
        <w:t xml:space="preserve">“OPT” in the Antibody sets an antigen negative requirement is editable and may be reset repeatedly on the division’s copy of the table. </w:t>
      </w:r>
    </w:p>
    <w:p w14:paraId="26A7C55D" w14:textId="5C08D0AB" w:rsidR="002A21AE" w:rsidRDefault="00896B41">
      <w:pPr>
        <w:pStyle w:val="Caption"/>
      </w:pPr>
      <w:bookmarkStart w:id="679" w:name="_Toc97523630"/>
      <w:bookmarkStart w:id="680" w:name="_Toc97527600"/>
      <w:r>
        <w:br w:type="page"/>
      </w:r>
      <w:bookmarkStart w:id="681" w:name="_Ref126730855"/>
      <w:bookmarkStart w:id="682" w:name="_Ref126484449"/>
      <w:r w:rsidR="002A21AE">
        <w:lastRenderedPageBreak/>
        <w:t xml:space="preserve">Table </w:t>
      </w:r>
      <w:r w:rsidR="004E20BD">
        <w:rPr>
          <w:noProof/>
        </w:rPr>
        <w:fldChar w:fldCharType="begin"/>
      </w:r>
      <w:r w:rsidR="004E20BD">
        <w:rPr>
          <w:noProof/>
        </w:rPr>
        <w:instrText xml:space="preserve"> SEQ Table \* ARABIC </w:instrText>
      </w:r>
      <w:r w:rsidR="004E20BD">
        <w:rPr>
          <w:noProof/>
        </w:rPr>
        <w:fldChar w:fldCharType="separate"/>
      </w:r>
      <w:r w:rsidR="007D1829">
        <w:rPr>
          <w:noProof/>
        </w:rPr>
        <w:t>14</w:t>
      </w:r>
      <w:r w:rsidR="004E20BD">
        <w:rPr>
          <w:noProof/>
        </w:rPr>
        <w:fldChar w:fldCharType="end"/>
      </w:r>
      <w:bookmarkEnd w:id="681"/>
      <w:r w:rsidR="002A21AE">
        <w:t xml:space="preserve">: </w:t>
      </w:r>
      <w:r w:rsidR="002A21AE">
        <w:rPr>
          <w:vanish/>
        </w:rPr>
        <w:t xml:space="preserve">TT_23.01A </w:t>
      </w:r>
      <w:r w:rsidR="002A21AE">
        <w:t>Antibody and Antigen Table: Irregular Antibodies</w:t>
      </w:r>
      <w:bookmarkEnd w:id="679"/>
      <w:bookmarkEnd w:id="680"/>
      <w:bookmarkEnd w:id="682"/>
    </w:p>
    <w:tbl>
      <w:tblPr>
        <w:tblW w:w="10084" w:type="dxa"/>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1975"/>
        <w:gridCol w:w="1710"/>
        <w:gridCol w:w="878"/>
        <w:gridCol w:w="878"/>
        <w:gridCol w:w="1253"/>
        <w:gridCol w:w="1253"/>
        <w:gridCol w:w="1296"/>
        <w:gridCol w:w="841"/>
      </w:tblGrid>
      <w:tr w:rsidR="00B769D3" w:rsidRPr="00F77B4F" w14:paraId="7760C45D" w14:textId="77777777" w:rsidTr="00031618">
        <w:trPr>
          <w:cantSplit/>
          <w:tblHeader/>
        </w:trPr>
        <w:tc>
          <w:tcPr>
            <w:tcW w:w="3685" w:type="dxa"/>
            <w:gridSpan w:val="2"/>
            <w:tcBorders>
              <w:top w:val="single" w:sz="4" w:space="0" w:color="auto"/>
              <w:left w:val="single" w:sz="4" w:space="0" w:color="auto"/>
              <w:bottom w:val="single" w:sz="4" w:space="0" w:color="auto"/>
              <w:right w:val="single" w:sz="4" w:space="0" w:color="auto"/>
            </w:tcBorders>
            <w:shd w:val="clear" w:color="auto" w:fill="B3B3B3"/>
          </w:tcPr>
          <w:p w14:paraId="0D4B4C3E" w14:textId="77777777" w:rsidR="00824338" w:rsidRPr="00F77B4F" w:rsidRDefault="00824338" w:rsidP="004D0818">
            <w:pPr>
              <w:pStyle w:val="TableText"/>
              <w:jc w:val="center"/>
              <w:rPr>
                <w:b/>
              </w:rPr>
            </w:pPr>
            <w:r w:rsidRPr="00F77B4F">
              <w:rPr>
                <w:b/>
              </w:rPr>
              <w:t>Antibody Name</w:t>
            </w:r>
          </w:p>
        </w:tc>
        <w:tc>
          <w:tcPr>
            <w:tcW w:w="878" w:type="dxa"/>
            <w:vMerge w:val="restart"/>
            <w:tcBorders>
              <w:top w:val="single" w:sz="4" w:space="0" w:color="auto"/>
              <w:left w:val="single" w:sz="4" w:space="0" w:color="auto"/>
              <w:right w:val="single" w:sz="4" w:space="0" w:color="auto"/>
            </w:tcBorders>
            <w:shd w:val="clear" w:color="auto" w:fill="B3B3B3"/>
            <w:textDirection w:val="btLr"/>
          </w:tcPr>
          <w:p w14:paraId="1CB896A1" w14:textId="77777777" w:rsidR="00824338" w:rsidRPr="00F77B4F" w:rsidRDefault="00824338" w:rsidP="0088039E">
            <w:pPr>
              <w:pStyle w:val="TableText"/>
              <w:rPr>
                <w:b/>
                <w:szCs w:val="16"/>
              </w:rPr>
            </w:pPr>
            <w:r>
              <w:rPr>
                <w:b/>
                <w:szCs w:val="16"/>
              </w:rPr>
              <w:t>Clinically Significant?</w:t>
            </w:r>
            <w:r w:rsidR="00F528F3" w:rsidRPr="00191509">
              <w:rPr>
                <w:rFonts w:ascii="Arial Bold" w:hAnsi="Arial Bold"/>
                <w:b/>
                <w:szCs w:val="18"/>
              </w:rPr>
              <w:t>§</w:t>
            </w:r>
            <w:r w:rsidR="00191509" w:rsidRPr="00191509">
              <w:rPr>
                <w:rFonts w:ascii="Arial Bold" w:hAnsi="Arial Bold"/>
                <w:b/>
                <w:vanish/>
                <w:szCs w:val="18"/>
              </w:rPr>
              <w:t>UserDoc Task 1096</w:t>
            </w:r>
          </w:p>
        </w:tc>
        <w:tc>
          <w:tcPr>
            <w:tcW w:w="878" w:type="dxa"/>
            <w:vMerge w:val="restart"/>
            <w:tcBorders>
              <w:top w:val="single" w:sz="4" w:space="0" w:color="auto"/>
              <w:left w:val="single" w:sz="4" w:space="0" w:color="auto"/>
              <w:right w:val="single" w:sz="4" w:space="0" w:color="auto"/>
            </w:tcBorders>
            <w:shd w:val="clear" w:color="auto" w:fill="B3B3B3"/>
            <w:textDirection w:val="btLr"/>
          </w:tcPr>
          <w:p w14:paraId="7077697D" w14:textId="77777777" w:rsidR="00824338" w:rsidRPr="00F77B4F" w:rsidRDefault="00824338" w:rsidP="0088039E">
            <w:pPr>
              <w:pStyle w:val="TableText"/>
              <w:rPr>
                <w:b/>
                <w:szCs w:val="16"/>
              </w:rPr>
            </w:pPr>
            <w:r w:rsidRPr="00F77B4F">
              <w:rPr>
                <w:b/>
                <w:szCs w:val="16"/>
              </w:rPr>
              <w:t>Does Antibody Set a</w:t>
            </w:r>
            <w:r>
              <w:rPr>
                <w:b/>
                <w:szCs w:val="16"/>
              </w:rPr>
              <w:t>n Antigen Negative Requirement?</w:t>
            </w:r>
          </w:p>
        </w:tc>
        <w:tc>
          <w:tcPr>
            <w:tcW w:w="2506" w:type="dxa"/>
            <w:gridSpan w:val="2"/>
            <w:tcBorders>
              <w:top w:val="single" w:sz="4" w:space="0" w:color="auto"/>
              <w:left w:val="single" w:sz="4" w:space="0" w:color="auto"/>
              <w:bottom w:val="single" w:sz="4" w:space="0" w:color="auto"/>
              <w:right w:val="single" w:sz="4" w:space="0" w:color="auto"/>
            </w:tcBorders>
            <w:shd w:val="clear" w:color="auto" w:fill="B3B3B3"/>
          </w:tcPr>
          <w:p w14:paraId="3016D9CC" w14:textId="77777777" w:rsidR="00824338" w:rsidRPr="00F77B4F" w:rsidRDefault="00824338" w:rsidP="004D0818">
            <w:pPr>
              <w:pStyle w:val="TableText"/>
              <w:jc w:val="center"/>
              <w:rPr>
                <w:b/>
              </w:rPr>
            </w:pPr>
            <w:r w:rsidRPr="00F77B4F">
              <w:rPr>
                <w:b/>
              </w:rPr>
              <w:t>Associated Antigen</w:t>
            </w:r>
          </w:p>
        </w:tc>
        <w:tc>
          <w:tcPr>
            <w:tcW w:w="1296" w:type="dxa"/>
            <w:vMerge w:val="restart"/>
            <w:tcBorders>
              <w:top w:val="single" w:sz="4" w:space="0" w:color="auto"/>
              <w:left w:val="single" w:sz="4" w:space="0" w:color="auto"/>
              <w:right w:val="single" w:sz="4" w:space="0" w:color="auto"/>
            </w:tcBorders>
            <w:shd w:val="clear" w:color="auto" w:fill="B3B3B3"/>
            <w:textDirection w:val="btLr"/>
          </w:tcPr>
          <w:p w14:paraId="77AE2479" w14:textId="77777777" w:rsidR="00824338" w:rsidRPr="00F77B4F" w:rsidRDefault="00824338" w:rsidP="0088039E">
            <w:pPr>
              <w:pStyle w:val="TableText"/>
              <w:rPr>
                <w:b/>
              </w:rPr>
            </w:pPr>
            <w:r w:rsidRPr="00F77B4F">
              <w:rPr>
                <w:b/>
              </w:rPr>
              <w:t>Antigen Negative Compatibility Percentage</w:t>
            </w:r>
          </w:p>
        </w:tc>
        <w:tc>
          <w:tcPr>
            <w:tcW w:w="841" w:type="dxa"/>
            <w:vMerge w:val="restart"/>
            <w:tcBorders>
              <w:top w:val="single" w:sz="4" w:space="0" w:color="auto"/>
              <w:left w:val="single" w:sz="4" w:space="0" w:color="auto"/>
              <w:right w:val="single" w:sz="4" w:space="0" w:color="auto"/>
            </w:tcBorders>
            <w:shd w:val="clear" w:color="auto" w:fill="B3B3B3"/>
            <w:textDirection w:val="btLr"/>
          </w:tcPr>
          <w:p w14:paraId="6EBA2D17" w14:textId="77777777" w:rsidR="00824338" w:rsidRPr="00F77B4F" w:rsidRDefault="00824338" w:rsidP="0088039E">
            <w:pPr>
              <w:pStyle w:val="TableText"/>
              <w:rPr>
                <w:b/>
              </w:rPr>
            </w:pPr>
            <w:r w:rsidRPr="00F77B4F">
              <w:rPr>
                <w:b/>
              </w:rPr>
              <w:t>VBECS Antigen Typing Orderable Test</w:t>
            </w:r>
          </w:p>
        </w:tc>
      </w:tr>
      <w:tr w:rsidR="00824338" w:rsidRPr="00F77B4F" w14:paraId="2A445DF4" w14:textId="77777777" w:rsidTr="00031618">
        <w:trPr>
          <w:cantSplit/>
          <w:trHeight w:val="1358"/>
          <w:tblHeader/>
        </w:trPr>
        <w:tc>
          <w:tcPr>
            <w:tcW w:w="1975" w:type="dxa"/>
            <w:tcBorders>
              <w:top w:val="single" w:sz="4" w:space="0" w:color="auto"/>
              <w:left w:val="single" w:sz="4" w:space="0" w:color="auto"/>
              <w:bottom w:val="single" w:sz="4" w:space="0" w:color="auto"/>
              <w:right w:val="single" w:sz="4" w:space="0" w:color="auto"/>
            </w:tcBorders>
            <w:shd w:val="clear" w:color="auto" w:fill="B3B3B3"/>
            <w:vAlign w:val="bottom"/>
          </w:tcPr>
          <w:p w14:paraId="565A0B1C" w14:textId="77777777" w:rsidR="00824338" w:rsidRPr="00F77B4F" w:rsidRDefault="00824338" w:rsidP="00AD0B01">
            <w:pPr>
              <w:pStyle w:val="TableText"/>
              <w:rPr>
                <w:rFonts w:eastAsia="Symbol"/>
                <w:b/>
              </w:rPr>
            </w:pPr>
            <w:r w:rsidRPr="00F77B4F">
              <w:rPr>
                <w:b/>
              </w:rPr>
              <w:t>VBECS*</w:t>
            </w:r>
          </w:p>
        </w:tc>
        <w:tc>
          <w:tcPr>
            <w:tcW w:w="1710" w:type="dxa"/>
            <w:tcBorders>
              <w:top w:val="single" w:sz="4" w:space="0" w:color="auto"/>
              <w:left w:val="single" w:sz="4" w:space="0" w:color="auto"/>
              <w:bottom w:val="single" w:sz="4" w:space="0" w:color="auto"/>
              <w:right w:val="single" w:sz="4" w:space="0" w:color="auto"/>
            </w:tcBorders>
            <w:shd w:val="clear" w:color="auto" w:fill="B3B3B3"/>
            <w:vAlign w:val="bottom"/>
          </w:tcPr>
          <w:p w14:paraId="57691D98" w14:textId="77777777" w:rsidR="00824338" w:rsidRPr="00F77B4F" w:rsidRDefault="00824338" w:rsidP="00AD0B01">
            <w:pPr>
              <w:pStyle w:val="TableText"/>
              <w:rPr>
                <w:b/>
              </w:rPr>
            </w:pPr>
            <w:r w:rsidRPr="00F77B4F">
              <w:rPr>
                <w:b/>
              </w:rPr>
              <w:t>VistA</w:t>
            </w:r>
            <w:r>
              <w:rPr>
                <w:b/>
              </w:rPr>
              <w:t>†</w:t>
            </w:r>
          </w:p>
        </w:tc>
        <w:tc>
          <w:tcPr>
            <w:tcW w:w="878" w:type="dxa"/>
            <w:vMerge/>
            <w:tcBorders>
              <w:left w:val="single" w:sz="4" w:space="0" w:color="auto"/>
              <w:bottom w:val="single" w:sz="4" w:space="0" w:color="auto"/>
              <w:right w:val="single" w:sz="4" w:space="0" w:color="auto"/>
            </w:tcBorders>
            <w:shd w:val="clear" w:color="auto" w:fill="B3B3B3"/>
            <w:textDirection w:val="btLr"/>
          </w:tcPr>
          <w:p w14:paraId="76A123B0" w14:textId="77777777" w:rsidR="00824338" w:rsidRPr="00F77B4F" w:rsidRDefault="00824338" w:rsidP="00AD0B01">
            <w:pPr>
              <w:pStyle w:val="TableText"/>
              <w:rPr>
                <w:b/>
                <w:szCs w:val="16"/>
              </w:rPr>
            </w:pPr>
          </w:p>
        </w:tc>
        <w:tc>
          <w:tcPr>
            <w:tcW w:w="878" w:type="dxa"/>
            <w:vMerge/>
            <w:tcBorders>
              <w:left w:val="single" w:sz="4" w:space="0" w:color="auto"/>
              <w:bottom w:val="single" w:sz="4" w:space="0" w:color="auto"/>
              <w:right w:val="single" w:sz="4" w:space="0" w:color="auto"/>
            </w:tcBorders>
            <w:shd w:val="clear" w:color="auto" w:fill="B3B3B3"/>
            <w:textDirection w:val="btLr"/>
          </w:tcPr>
          <w:p w14:paraId="1EE2FE1E" w14:textId="77777777" w:rsidR="00824338" w:rsidRPr="00F77B4F" w:rsidRDefault="00824338" w:rsidP="00AD0B01">
            <w:pPr>
              <w:pStyle w:val="TableText"/>
              <w:rPr>
                <w:rFonts w:eastAsia="Symbol"/>
                <w:b/>
                <w:szCs w:val="16"/>
              </w:rPr>
            </w:pPr>
          </w:p>
        </w:tc>
        <w:tc>
          <w:tcPr>
            <w:tcW w:w="1253" w:type="dxa"/>
            <w:tcBorders>
              <w:top w:val="single" w:sz="4" w:space="0" w:color="auto"/>
              <w:left w:val="single" w:sz="4" w:space="0" w:color="auto"/>
              <w:bottom w:val="single" w:sz="4" w:space="0" w:color="auto"/>
              <w:right w:val="single" w:sz="4" w:space="0" w:color="auto"/>
            </w:tcBorders>
            <w:shd w:val="clear" w:color="auto" w:fill="B3B3B3"/>
            <w:vAlign w:val="bottom"/>
          </w:tcPr>
          <w:p w14:paraId="053B7D06" w14:textId="77777777" w:rsidR="00824338" w:rsidRPr="006831BE" w:rsidRDefault="00824338" w:rsidP="006831BE">
            <w:pPr>
              <w:pStyle w:val="TableText"/>
              <w:rPr>
                <w:b/>
              </w:rPr>
            </w:pPr>
            <w:r w:rsidRPr="006831BE">
              <w:rPr>
                <w:b/>
              </w:rPr>
              <w:t>VBECS</w:t>
            </w:r>
          </w:p>
        </w:tc>
        <w:tc>
          <w:tcPr>
            <w:tcW w:w="1253" w:type="dxa"/>
            <w:tcBorders>
              <w:top w:val="single" w:sz="4" w:space="0" w:color="auto"/>
              <w:left w:val="single" w:sz="4" w:space="0" w:color="auto"/>
              <w:bottom w:val="single" w:sz="4" w:space="0" w:color="auto"/>
              <w:right w:val="single" w:sz="4" w:space="0" w:color="auto"/>
            </w:tcBorders>
            <w:shd w:val="clear" w:color="auto" w:fill="B3B3B3"/>
            <w:vAlign w:val="bottom"/>
          </w:tcPr>
          <w:p w14:paraId="56380487" w14:textId="77777777" w:rsidR="00824338" w:rsidRPr="006831BE" w:rsidRDefault="00824338" w:rsidP="006831BE">
            <w:pPr>
              <w:pStyle w:val="TableText"/>
              <w:rPr>
                <w:b/>
              </w:rPr>
            </w:pPr>
            <w:r w:rsidRPr="006831BE">
              <w:rPr>
                <w:b/>
              </w:rPr>
              <w:t>VistA†</w:t>
            </w:r>
          </w:p>
        </w:tc>
        <w:tc>
          <w:tcPr>
            <w:tcW w:w="1296" w:type="dxa"/>
            <w:vMerge/>
            <w:tcBorders>
              <w:left w:val="single" w:sz="4" w:space="0" w:color="auto"/>
              <w:bottom w:val="single" w:sz="4" w:space="0" w:color="auto"/>
              <w:right w:val="single" w:sz="4" w:space="0" w:color="auto"/>
            </w:tcBorders>
            <w:shd w:val="clear" w:color="auto" w:fill="B3B3B3"/>
            <w:textDirection w:val="btLr"/>
          </w:tcPr>
          <w:p w14:paraId="3E129578" w14:textId="77777777" w:rsidR="00824338" w:rsidRPr="00F77B4F" w:rsidRDefault="00824338" w:rsidP="00AD0B01">
            <w:pPr>
              <w:pStyle w:val="TableText"/>
              <w:rPr>
                <w:rFonts w:eastAsia="Symbol"/>
                <w:b/>
              </w:rPr>
            </w:pPr>
          </w:p>
        </w:tc>
        <w:tc>
          <w:tcPr>
            <w:tcW w:w="841" w:type="dxa"/>
            <w:vMerge/>
            <w:tcBorders>
              <w:left w:val="single" w:sz="4" w:space="0" w:color="auto"/>
              <w:bottom w:val="single" w:sz="4" w:space="0" w:color="auto"/>
              <w:right w:val="single" w:sz="4" w:space="0" w:color="auto"/>
            </w:tcBorders>
            <w:shd w:val="clear" w:color="auto" w:fill="B3B3B3"/>
            <w:textDirection w:val="btLr"/>
          </w:tcPr>
          <w:p w14:paraId="69FD020B" w14:textId="77777777" w:rsidR="00824338" w:rsidRPr="00F77B4F" w:rsidRDefault="00824338" w:rsidP="00AD0B01">
            <w:pPr>
              <w:pStyle w:val="TableText"/>
              <w:rPr>
                <w:b/>
              </w:rPr>
            </w:pPr>
          </w:p>
        </w:tc>
      </w:tr>
      <w:tr w:rsidR="00824338" w14:paraId="5A4E9F51" w14:textId="77777777" w:rsidTr="00031618">
        <w:tblPrEx>
          <w:tblBorders>
            <w:insideH w:val="single" w:sz="4" w:space="0" w:color="auto"/>
            <w:insideV w:val="single" w:sz="4" w:space="0" w:color="auto"/>
          </w:tblBorders>
        </w:tblPrEx>
        <w:tc>
          <w:tcPr>
            <w:tcW w:w="1975" w:type="dxa"/>
            <w:shd w:val="clear" w:color="auto" w:fill="auto"/>
          </w:tcPr>
          <w:p w14:paraId="1BD51A15" w14:textId="77777777" w:rsidR="003E3D07" w:rsidRDefault="003E3D07">
            <w:pPr>
              <w:pStyle w:val="TableText"/>
              <w:rPr>
                <w:rFonts w:eastAsia="Symbol"/>
              </w:rPr>
            </w:pPr>
            <w:bookmarkStart w:id="683" w:name="_Toc77663548"/>
            <w:r>
              <w:t>Anti-D</w:t>
            </w:r>
          </w:p>
        </w:tc>
        <w:tc>
          <w:tcPr>
            <w:tcW w:w="1710" w:type="dxa"/>
            <w:shd w:val="clear" w:color="auto" w:fill="auto"/>
          </w:tcPr>
          <w:p w14:paraId="59565332" w14:textId="77777777" w:rsidR="003E3D07" w:rsidRDefault="003E3D07">
            <w:pPr>
              <w:pStyle w:val="TableText"/>
              <w:rPr>
                <w:rFonts w:eastAsia="Symbol"/>
              </w:rPr>
            </w:pPr>
            <w:r>
              <w:t>Anti-D</w:t>
            </w:r>
          </w:p>
        </w:tc>
        <w:tc>
          <w:tcPr>
            <w:tcW w:w="878" w:type="dxa"/>
            <w:shd w:val="clear" w:color="auto" w:fill="auto"/>
          </w:tcPr>
          <w:p w14:paraId="5FC28E83" w14:textId="77777777" w:rsidR="003E3D07" w:rsidRDefault="003E3D07">
            <w:pPr>
              <w:pStyle w:val="TableText"/>
              <w:rPr>
                <w:b/>
                <w:bCs/>
              </w:rPr>
            </w:pPr>
            <w:r>
              <w:rPr>
                <w:bCs/>
              </w:rPr>
              <w:t>Yes</w:t>
            </w:r>
          </w:p>
        </w:tc>
        <w:tc>
          <w:tcPr>
            <w:tcW w:w="878" w:type="dxa"/>
            <w:shd w:val="clear" w:color="auto" w:fill="auto"/>
          </w:tcPr>
          <w:p w14:paraId="45E22044" w14:textId="77777777" w:rsidR="003E3D07" w:rsidRDefault="003E3D07">
            <w:pPr>
              <w:pStyle w:val="TableText"/>
              <w:rPr>
                <w:rFonts w:eastAsia="Symbol"/>
                <w:b/>
                <w:bCs/>
              </w:rPr>
            </w:pPr>
            <w:r>
              <w:rPr>
                <w:bCs/>
              </w:rPr>
              <w:t>Yes</w:t>
            </w:r>
          </w:p>
        </w:tc>
        <w:tc>
          <w:tcPr>
            <w:tcW w:w="1253" w:type="dxa"/>
            <w:shd w:val="clear" w:color="auto" w:fill="auto"/>
          </w:tcPr>
          <w:p w14:paraId="0EFCA108" w14:textId="77777777" w:rsidR="003E3D07" w:rsidRDefault="003E3D07">
            <w:pPr>
              <w:pStyle w:val="TableText"/>
              <w:rPr>
                <w:rFonts w:eastAsia="Symbol"/>
              </w:rPr>
            </w:pPr>
            <w:r>
              <w:t>D</w:t>
            </w:r>
          </w:p>
        </w:tc>
        <w:tc>
          <w:tcPr>
            <w:tcW w:w="1253" w:type="dxa"/>
            <w:shd w:val="clear" w:color="auto" w:fill="auto"/>
          </w:tcPr>
          <w:p w14:paraId="0CBA5899" w14:textId="77777777" w:rsidR="003E3D07" w:rsidRDefault="003E3D07">
            <w:pPr>
              <w:pStyle w:val="TableText"/>
              <w:rPr>
                <w:rFonts w:eastAsia="Symbol"/>
              </w:rPr>
            </w:pPr>
            <w:r>
              <w:t>D</w:t>
            </w:r>
          </w:p>
        </w:tc>
        <w:tc>
          <w:tcPr>
            <w:tcW w:w="1296" w:type="dxa"/>
            <w:shd w:val="clear" w:color="auto" w:fill="auto"/>
          </w:tcPr>
          <w:p w14:paraId="63E58AE5" w14:textId="77777777" w:rsidR="003E3D07" w:rsidRDefault="003E3D07">
            <w:pPr>
              <w:pStyle w:val="TableText"/>
              <w:rPr>
                <w:rFonts w:eastAsia="Symbol"/>
              </w:rPr>
            </w:pPr>
            <w:r>
              <w:t>13</w:t>
            </w:r>
          </w:p>
        </w:tc>
        <w:tc>
          <w:tcPr>
            <w:tcW w:w="841" w:type="dxa"/>
            <w:shd w:val="clear" w:color="auto" w:fill="auto"/>
          </w:tcPr>
          <w:p w14:paraId="780E5E90" w14:textId="77777777" w:rsidR="003E3D07" w:rsidRDefault="003E3D07">
            <w:pPr>
              <w:pStyle w:val="TableText"/>
              <w:rPr>
                <w:rFonts w:eastAsia="Symbol"/>
              </w:rPr>
            </w:pPr>
            <w:r>
              <w:t>AGD</w:t>
            </w:r>
          </w:p>
        </w:tc>
      </w:tr>
      <w:tr w:rsidR="00824338" w14:paraId="774ED68D" w14:textId="77777777" w:rsidTr="00031618">
        <w:tblPrEx>
          <w:tblBorders>
            <w:insideH w:val="single" w:sz="4" w:space="0" w:color="auto"/>
            <w:insideV w:val="single" w:sz="4" w:space="0" w:color="auto"/>
          </w:tblBorders>
        </w:tblPrEx>
        <w:tc>
          <w:tcPr>
            <w:tcW w:w="1975" w:type="dxa"/>
            <w:shd w:val="clear" w:color="auto" w:fill="auto"/>
          </w:tcPr>
          <w:p w14:paraId="1542BA93" w14:textId="77777777" w:rsidR="003E3D07" w:rsidRDefault="003E3D07">
            <w:pPr>
              <w:pStyle w:val="TableText"/>
            </w:pPr>
            <w:r>
              <w:t>N/A</w:t>
            </w:r>
          </w:p>
        </w:tc>
        <w:tc>
          <w:tcPr>
            <w:tcW w:w="1710" w:type="dxa"/>
            <w:shd w:val="clear" w:color="auto" w:fill="auto"/>
          </w:tcPr>
          <w:p w14:paraId="3BFC4C34" w14:textId="77777777" w:rsidR="003E3D07" w:rsidRDefault="003E3D07">
            <w:pPr>
              <w:pStyle w:val="TableText"/>
            </w:pPr>
            <w:r>
              <w:t>N/A</w:t>
            </w:r>
          </w:p>
        </w:tc>
        <w:tc>
          <w:tcPr>
            <w:tcW w:w="878" w:type="dxa"/>
            <w:shd w:val="clear" w:color="auto" w:fill="auto"/>
          </w:tcPr>
          <w:p w14:paraId="59044693" w14:textId="77777777" w:rsidR="003E3D07" w:rsidRDefault="003E3D07">
            <w:pPr>
              <w:pStyle w:val="TableText"/>
              <w:rPr>
                <w:b/>
                <w:bCs/>
              </w:rPr>
            </w:pPr>
            <w:r>
              <w:t>N/A</w:t>
            </w:r>
          </w:p>
        </w:tc>
        <w:tc>
          <w:tcPr>
            <w:tcW w:w="878" w:type="dxa"/>
            <w:shd w:val="clear" w:color="auto" w:fill="auto"/>
          </w:tcPr>
          <w:p w14:paraId="14144D85" w14:textId="77777777" w:rsidR="003E3D07" w:rsidRDefault="003E3D07">
            <w:pPr>
              <w:pStyle w:val="TableText"/>
              <w:rPr>
                <w:b/>
                <w:bCs/>
              </w:rPr>
            </w:pPr>
            <w:r>
              <w:t>N/A</w:t>
            </w:r>
          </w:p>
        </w:tc>
        <w:tc>
          <w:tcPr>
            <w:tcW w:w="1253" w:type="dxa"/>
            <w:shd w:val="clear" w:color="auto" w:fill="auto"/>
          </w:tcPr>
          <w:p w14:paraId="69EEB22B" w14:textId="77777777" w:rsidR="003E3D07" w:rsidRDefault="003E3D07">
            <w:pPr>
              <w:pStyle w:val="TableText"/>
            </w:pPr>
            <w:r>
              <w:t>N/A</w:t>
            </w:r>
          </w:p>
        </w:tc>
        <w:tc>
          <w:tcPr>
            <w:tcW w:w="1253" w:type="dxa"/>
            <w:shd w:val="clear" w:color="auto" w:fill="auto"/>
          </w:tcPr>
          <w:p w14:paraId="05360712" w14:textId="77777777" w:rsidR="003E3D07" w:rsidRDefault="003E3D07">
            <w:pPr>
              <w:pStyle w:val="TableText"/>
            </w:pPr>
            <w:r>
              <w:t>N/A</w:t>
            </w:r>
          </w:p>
        </w:tc>
        <w:tc>
          <w:tcPr>
            <w:tcW w:w="1296" w:type="dxa"/>
            <w:shd w:val="clear" w:color="auto" w:fill="auto"/>
          </w:tcPr>
          <w:p w14:paraId="04BA0327" w14:textId="77777777" w:rsidR="003E3D07" w:rsidRDefault="003E3D07">
            <w:pPr>
              <w:pStyle w:val="TableText"/>
            </w:pPr>
            <w:r>
              <w:t>N/A</w:t>
            </w:r>
          </w:p>
        </w:tc>
        <w:tc>
          <w:tcPr>
            <w:tcW w:w="841" w:type="dxa"/>
            <w:shd w:val="clear" w:color="auto" w:fill="auto"/>
          </w:tcPr>
          <w:p w14:paraId="6F1798D3" w14:textId="77777777" w:rsidR="003E3D07" w:rsidRDefault="003E3D07">
            <w:pPr>
              <w:pStyle w:val="TableText"/>
            </w:pPr>
            <w:r>
              <w:t>AGwD</w:t>
            </w:r>
          </w:p>
        </w:tc>
      </w:tr>
      <w:tr w:rsidR="00824338" w14:paraId="3C767DF3" w14:textId="77777777" w:rsidTr="00031618">
        <w:tblPrEx>
          <w:tblBorders>
            <w:insideH w:val="single" w:sz="4" w:space="0" w:color="auto"/>
            <w:insideV w:val="single" w:sz="4" w:space="0" w:color="auto"/>
          </w:tblBorders>
        </w:tblPrEx>
        <w:tc>
          <w:tcPr>
            <w:tcW w:w="1975" w:type="dxa"/>
            <w:shd w:val="clear" w:color="auto" w:fill="auto"/>
          </w:tcPr>
          <w:p w14:paraId="2689E1D3" w14:textId="77777777" w:rsidR="003E3D07" w:rsidRDefault="003E3D07">
            <w:pPr>
              <w:pStyle w:val="TableText"/>
              <w:rPr>
                <w:rFonts w:eastAsia="Symbol"/>
              </w:rPr>
            </w:pPr>
            <w:r>
              <w:t>Anti-C</w:t>
            </w:r>
          </w:p>
        </w:tc>
        <w:tc>
          <w:tcPr>
            <w:tcW w:w="1710" w:type="dxa"/>
            <w:shd w:val="clear" w:color="auto" w:fill="auto"/>
          </w:tcPr>
          <w:p w14:paraId="12A92636" w14:textId="77777777" w:rsidR="003E3D07" w:rsidRDefault="003E3D07">
            <w:pPr>
              <w:pStyle w:val="TableText"/>
              <w:rPr>
                <w:rFonts w:eastAsia="Symbol"/>
              </w:rPr>
            </w:pPr>
            <w:r>
              <w:t>Anti-C</w:t>
            </w:r>
          </w:p>
        </w:tc>
        <w:tc>
          <w:tcPr>
            <w:tcW w:w="878" w:type="dxa"/>
            <w:shd w:val="clear" w:color="auto" w:fill="auto"/>
          </w:tcPr>
          <w:p w14:paraId="7E2B8ED3" w14:textId="77777777" w:rsidR="003E3D07" w:rsidRDefault="003E3D07">
            <w:pPr>
              <w:pStyle w:val="TableText"/>
              <w:rPr>
                <w:b/>
                <w:bCs/>
              </w:rPr>
            </w:pPr>
            <w:r>
              <w:rPr>
                <w:bCs/>
              </w:rPr>
              <w:t>Yes</w:t>
            </w:r>
          </w:p>
        </w:tc>
        <w:tc>
          <w:tcPr>
            <w:tcW w:w="878" w:type="dxa"/>
            <w:shd w:val="clear" w:color="auto" w:fill="auto"/>
          </w:tcPr>
          <w:p w14:paraId="6813311B" w14:textId="77777777" w:rsidR="003E3D07" w:rsidRDefault="003E3D07">
            <w:pPr>
              <w:pStyle w:val="TableText"/>
              <w:rPr>
                <w:rFonts w:eastAsia="Symbol"/>
                <w:b/>
                <w:bCs/>
              </w:rPr>
            </w:pPr>
            <w:r>
              <w:rPr>
                <w:bCs/>
              </w:rPr>
              <w:t>Yes</w:t>
            </w:r>
          </w:p>
        </w:tc>
        <w:tc>
          <w:tcPr>
            <w:tcW w:w="1253" w:type="dxa"/>
            <w:shd w:val="clear" w:color="auto" w:fill="auto"/>
          </w:tcPr>
          <w:p w14:paraId="434FCDC6" w14:textId="77777777" w:rsidR="003E3D07" w:rsidRDefault="003E3D07">
            <w:pPr>
              <w:pStyle w:val="TableText"/>
              <w:rPr>
                <w:rFonts w:eastAsia="Symbol"/>
              </w:rPr>
            </w:pPr>
            <w:r>
              <w:t>C</w:t>
            </w:r>
          </w:p>
        </w:tc>
        <w:tc>
          <w:tcPr>
            <w:tcW w:w="1253" w:type="dxa"/>
            <w:shd w:val="clear" w:color="auto" w:fill="auto"/>
          </w:tcPr>
          <w:p w14:paraId="6795ED29" w14:textId="77777777" w:rsidR="003E3D07" w:rsidRDefault="003E3D07">
            <w:pPr>
              <w:pStyle w:val="TableText"/>
              <w:rPr>
                <w:rFonts w:eastAsia="Symbol"/>
              </w:rPr>
            </w:pPr>
            <w:r>
              <w:t>C</w:t>
            </w:r>
          </w:p>
        </w:tc>
        <w:tc>
          <w:tcPr>
            <w:tcW w:w="1296" w:type="dxa"/>
            <w:shd w:val="clear" w:color="auto" w:fill="auto"/>
          </w:tcPr>
          <w:p w14:paraId="7DB81BA0" w14:textId="77777777" w:rsidR="003E3D07" w:rsidRDefault="003E3D07">
            <w:pPr>
              <w:pStyle w:val="TableText"/>
              <w:rPr>
                <w:rFonts w:eastAsia="Symbol"/>
              </w:rPr>
            </w:pPr>
            <w:r>
              <w:t>53</w:t>
            </w:r>
          </w:p>
        </w:tc>
        <w:tc>
          <w:tcPr>
            <w:tcW w:w="841" w:type="dxa"/>
            <w:shd w:val="clear" w:color="auto" w:fill="auto"/>
          </w:tcPr>
          <w:p w14:paraId="1B08D23F" w14:textId="77777777" w:rsidR="003E3D07" w:rsidRDefault="003E3D07">
            <w:pPr>
              <w:pStyle w:val="TableText"/>
              <w:rPr>
                <w:rFonts w:eastAsia="Symbol"/>
              </w:rPr>
            </w:pPr>
            <w:r>
              <w:t>AGC</w:t>
            </w:r>
          </w:p>
        </w:tc>
      </w:tr>
      <w:tr w:rsidR="00824338" w14:paraId="60CE930B" w14:textId="77777777" w:rsidTr="00031618">
        <w:tblPrEx>
          <w:tblBorders>
            <w:insideH w:val="single" w:sz="4" w:space="0" w:color="auto"/>
            <w:insideV w:val="single" w:sz="4" w:space="0" w:color="auto"/>
          </w:tblBorders>
        </w:tblPrEx>
        <w:tc>
          <w:tcPr>
            <w:tcW w:w="1975" w:type="dxa"/>
            <w:shd w:val="clear" w:color="auto" w:fill="auto"/>
          </w:tcPr>
          <w:p w14:paraId="28CA9C8F" w14:textId="77777777" w:rsidR="003E3D07" w:rsidRDefault="003E3D07">
            <w:pPr>
              <w:pStyle w:val="TableText"/>
              <w:rPr>
                <w:rFonts w:eastAsia="Symbol"/>
              </w:rPr>
            </w:pPr>
            <w:r>
              <w:t>Anti-E</w:t>
            </w:r>
          </w:p>
        </w:tc>
        <w:tc>
          <w:tcPr>
            <w:tcW w:w="1710" w:type="dxa"/>
            <w:shd w:val="clear" w:color="auto" w:fill="auto"/>
          </w:tcPr>
          <w:p w14:paraId="7FE4E626" w14:textId="77777777" w:rsidR="003E3D07" w:rsidRDefault="003E3D07">
            <w:pPr>
              <w:pStyle w:val="TableText"/>
              <w:rPr>
                <w:rFonts w:eastAsia="Symbol"/>
              </w:rPr>
            </w:pPr>
            <w:r>
              <w:t>Anti-E</w:t>
            </w:r>
          </w:p>
        </w:tc>
        <w:tc>
          <w:tcPr>
            <w:tcW w:w="878" w:type="dxa"/>
            <w:shd w:val="clear" w:color="auto" w:fill="auto"/>
          </w:tcPr>
          <w:p w14:paraId="0B5E3598" w14:textId="77777777" w:rsidR="003E3D07" w:rsidRDefault="003E3D07">
            <w:pPr>
              <w:pStyle w:val="TableText"/>
              <w:rPr>
                <w:b/>
                <w:bCs/>
              </w:rPr>
            </w:pPr>
            <w:r>
              <w:rPr>
                <w:bCs/>
              </w:rPr>
              <w:t>Yes</w:t>
            </w:r>
          </w:p>
        </w:tc>
        <w:tc>
          <w:tcPr>
            <w:tcW w:w="878" w:type="dxa"/>
            <w:shd w:val="clear" w:color="auto" w:fill="auto"/>
          </w:tcPr>
          <w:p w14:paraId="383AD060" w14:textId="77777777" w:rsidR="003E3D07" w:rsidRDefault="003E3D07">
            <w:pPr>
              <w:pStyle w:val="TableText"/>
              <w:rPr>
                <w:rFonts w:eastAsia="Symbol"/>
                <w:b/>
                <w:bCs/>
              </w:rPr>
            </w:pPr>
            <w:r>
              <w:rPr>
                <w:bCs/>
              </w:rPr>
              <w:t>Yes</w:t>
            </w:r>
          </w:p>
        </w:tc>
        <w:tc>
          <w:tcPr>
            <w:tcW w:w="1253" w:type="dxa"/>
            <w:shd w:val="clear" w:color="auto" w:fill="auto"/>
          </w:tcPr>
          <w:p w14:paraId="4358C9A4" w14:textId="77777777" w:rsidR="003E3D07" w:rsidRDefault="003E3D07">
            <w:pPr>
              <w:pStyle w:val="TableText"/>
              <w:rPr>
                <w:rFonts w:eastAsia="Symbol"/>
              </w:rPr>
            </w:pPr>
            <w:r>
              <w:t>E</w:t>
            </w:r>
          </w:p>
        </w:tc>
        <w:tc>
          <w:tcPr>
            <w:tcW w:w="1253" w:type="dxa"/>
            <w:shd w:val="clear" w:color="auto" w:fill="auto"/>
          </w:tcPr>
          <w:p w14:paraId="403C7F74" w14:textId="77777777" w:rsidR="003E3D07" w:rsidRDefault="003E3D07">
            <w:pPr>
              <w:pStyle w:val="TableText"/>
              <w:rPr>
                <w:rFonts w:eastAsia="Symbol"/>
              </w:rPr>
            </w:pPr>
            <w:r>
              <w:t>E</w:t>
            </w:r>
          </w:p>
        </w:tc>
        <w:tc>
          <w:tcPr>
            <w:tcW w:w="1296" w:type="dxa"/>
            <w:shd w:val="clear" w:color="auto" w:fill="auto"/>
          </w:tcPr>
          <w:p w14:paraId="6BF26E0A" w14:textId="77777777" w:rsidR="003E3D07" w:rsidRDefault="003E3D07">
            <w:pPr>
              <w:pStyle w:val="TableText"/>
              <w:rPr>
                <w:rFonts w:eastAsia="Symbol"/>
              </w:rPr>
            </w:pPr>
            <w:r>
              <w:t>75</w:t>
            </w:r>
          </w:p>
        </w:tc>
        <w:tc>
          <w:tcPr>
            <w:tcW w:w="841" w:type="dxa"/>
            <w:shd w:val="clear" w:color="auto" w:fill="auto"/>
          </w:tcPr>
          <w:p w14:paraId="4E745ADC" w14:textId="77777777" w:rsidR="003E3D07" w:rsidRDefault="003E3D07">
            <w:pPr>
              <w:pStyle w:val="TableText"/>
              <w:rPr>
                <w:rFonts w:eastAsia="Symbol"/>
              </w:rPr>
            </w:pPr>
            <w:r>
              <w:t>AGE</w:t>
            </w:r>
          </w:p>
        </w:tc>
      </w:tr>
      <w:tr w:rsidR="00824338" w14:paraId="060D2408" w14:textId="77777777" w:rsidTr="00031618">
        <w:tblPrEx>
          <w:tblBorders>
            <w:insideH w:val="single" w:sz="4" w:space="0" w:color="auto"/>
            <w:insideV w:val="single" w:sz="4" w:space="0" w:color="auto"/>
          </w:tblBorders>
        </w:tblPrEx>
        <w:tc>
          <w:tcPr>
            <w:tcW w:w="1975" w:type="dxa"/>
            <w:shd w:val="clear" w:color="auto" w:fill="auto"/>
          </w:tcPr>
          <w:p w14:paraId="6FEC0720" w14:textId="77777777" w:rsidR="003E3D07" w:rsidRDefault="003E3D07">
            <w:pPr>
              <w:pStyle w:val="TableText"/>
              <w:rPr>
                <w:rFonts w:eastAsia="Symbol"/>
              </w:rPr>
            </w:pPr>
            <w:r>
              <w:t>Anti-c</w:t>
            </w:r>
          </w:p>
        </w:tc>
        <w:tc>
          <w:tcPr>
            <w:tcW w:w="1710" w:type="dxa"/>
            <w:shd w:val="clear" w:color="auto" w:fill="auto"/>
          </w:tcPr>
          <w:p w14:paraId="4CDA59AD" w14:textId="77777777" w:rsidR="003E3D07" w:rsidRDefault="003E3D07">
            <w:pPr>
              <w:pStyle w:val="TableText"/>
              <w:rPr>
                <w:rFonts w:eastAsia="Symbol"/>
              </w:rPr>
            </w:pPr>
            <w:r>
              <w:t>Anti-c</w:t>
            </w:r>
          </w:p>
        </w:tc>
        <w:tc>
          <w:tcPr>
            <w:tcW w:w="878" w:type="dxa"/>
            <w:shd w:val="clear" w:color="auto" w:fill="auto"/>
          </w:tcPr>
          <w:p w14:paraId="6FAF0FD8" w14:textId="77777777" w:rsidR="003E3D07" w:rsidRDefault="003E3D07">
            <w:pPr>
              <w:pStyle w:val="TableText"/>
              <w:rPr>
                <w:b/>
                <w:bCs/>
              </w:rPr>
            </w:pPr>
            <w:r>
              <w:rPr>
                <w:bCs/>
              </w:rPr>
              <w:t>Yes</w:t>
            </w:r>
          </w:p>
        </w:tc>
        <w:tc>
          <w:tcPr>
            <w:tcW w:w="878" w:type="dxa"/>
            <w:shd w:val="clear" w:color="auto" w:fill="auto"/>
          </w:tcPr>
          <w:p w14:paraId="29FFD50B" w14:textId="77777777" w:rsidR="003E3D07" w:rsidRDefault="003E3D07">
            <w:pPr>
              <w:pStyle w:val="TableText"/>
              <w:rPr>
                <w:rFonts w:eastAsia="Symbol"/>
                <w:b/>
                <w:bCs/>
              </w:rPr>
            </w:pPr>
            <w:r>
              <w:rPr>
                <w:bCs/>
              </w:rPr>
              <w:t>Yes</w:t>
            </w:r>
          </w:p>
        </w:tc>
        <w:tc>
          <w:tcPr>
            <w:tcW w:w="1253" w:type="dxa"/>
            <w:shd w:val="clear" w:color="auto" w:fill="auto"/>
          </w:tcPr>
          <w:p w14:paraId="569CDF56" w14:textId="77777777" w:rsidR="003E3D07" w:rsidRDefault="003E3D07">
            <w:pPr>
              <w:pStyle w:val="TableText"/>
              <w:rPr>
                <w:rFonts w:eastAsia="Symbol"/>
              </w:rPr>
            </w:pPr>
            <w:r>
              <w:t>c</w:t>
            </w:r>
          </w:p>
        </w:tc>
        <w:tc>
          <w:tcPr>
            <w:tcW w:w="1253" w:type="dxa"/>
            <w:shd w:val="clear" w:color="auto" w:fill="auto"/>
          </w:tcPr>
          <w:p w14:paraId="5B30C600" w14:textId="77777777" w:rsidR="003E3D07" w:rsidRDefault="003E3D07">
            <w:pPr>
              <w:pStyle w:val="TableText"/>
              <w:rPr>
                <w:rFonts w:eastAsia="Symbol"/>
              </w:rPr>
            </w:pPr>
            <w:r>
              <w:t>c</w:t>
            </w:r>
          </w:p>
        </w:tc>
        <w:tc>
          <w:tcPr>
            <w:tcW w:w="1296" w:type="dxa"/>
            <w:shd w:val="clear" w:color="auto" w:fill="auto"/>
          </w:tcPr>
          <w:p w14:paraId="7928CD15" w14:textId="77777777" w:rsidR="003E3D07" w:rsidRDefault="003E3D07">
            <w:pPr>
              <w:pStyle w:val="TableText"/>
              <w:rPr>
                <w:rFonts w:eastAsia="Symbol"/>
              </w:rPr>
            </w:pPr>
            <w:r>
              <w:t>12</w:t>
            </w:r>
          </w:p>
        </w:tc>
        <w:tc>
          <w:tcPr>
            <w:tcW w:w="841" w:type="dxa"/>
            <w:shd w:val="clear" w:color="auto" w:fill="auto"/>
          </w:tcPr>
          <w:p w14:paraId="2D508BBA" w14:textId="77777777" w:rsidR="003E3D07" w:rsidRDefault="003E3D07">
            <w:pPr>
              <w:pStyle w:val="TableText"/>
              <w:rPr>
                <w:rFonts w:eastAsia="Symbol"/>
              </w:rPr>
            </w:pPr>
            <w:r>
              <w:t>AGc</w:t>
            </w:r>
          </w:p>
        </w:tc>
      </w:tr>
      <w:tr w:rsidR="00824338" w14:paraId="0563970B" w14:textId="77777777" w:rsidTr="00031618">
        <w:tblPrEx>
          <w:tblBorders>
            <w:insideH w:val="single" w:sz="4" w:space="0" w:color="auto"/>
            <w:insideV w:val="single" w:sz="4" w:space="0" w:color="auto"/>
          </w:tblBorders>
        </w:tblPrEx>
        <w:tc>
          <w:tcPr>
            <w:tcW w:w="1975" w:type="dxa"/>
            <w:shd w:val="clear" w:color="auto" w:fill="auto"/>
          </w:tcPr>
          <w:p w14:paraId="412C08FE" w14:textId="77777777" w:rsidR="003E3D07" w:rsidRDefault="003E3D07">
            <w:pPr>
              <w:pStyle w:val="TableText"/>
              <w:rPr>
                <w:rFonts w:eastAsia="Symbol"/>
              </w:rPr>
            </w:pPr>
            <w:r>
              <w:t>Anti-e</w:t>
            </w:r>
          </w:p>
        </w:tc>
        <w:tc>
          <w:tcPr>
            <w:tcW w:w="1710" w:type="dxa"/>
            <w:shd w:val="clear" w:color="auto" w:fill="auto"/>
          </w:tcPr>
          <w:p w14:paraId="5161DA0E" w14:textId="77777777" w:rsidR="003E3D07" w:rsidRDefault="003E3D07">
            <w:pPr>
              <w:pStyle w:val="TableText"/>
              <w:rPr>
                <w:rFonts w:eastAsia="Symbol"/>
              </w:rPr>
            </w:pPr>
            <w:r>
              <w:t>Anti-e</w:t>
            </w:r>
          </w:p>
        </w:tc>
        <w:tc>
          <w:tcPr>
            <w:tcW w:w="878" w:type="dxa"/>
            <w:shd w:val="clear" w:color="auto" w:fill="auto"/>
          </w:tcPr>
          <w:p w14:paraId="31F72680" w14:textId="77777777" w:rsidR="003E3D07" w:rsidRDefault="003E3D07">
            <w:pPr>
              <w:pStyle w:val="TableText"/>
              <w:rPr>
                <w:b/>
                <w:bCs/>
              </w:rPr>
            </w:pPr>
            <w:r>
              <w:rPr>
                <w:bCs/>
              </w:rPr>
              <w:t>Yes</w:t>
            </w:r>
          </w:p>
        </w:tc>
        <w:tc>
          <w:tcPr>
            <w:tcW w:w="878" w:type="dxa"/>
            <w:shd w:val="clear" w:color="auto" w:fill="auto"/>
          </w:tcPr>
          <w:p w14:paraId="718CC70D" w14:textId="77777777" w:rsidR="003E3D07" w:rsidRDefault="003E3D07">
            <w:pPr>
              <w:pStyle w:val="TableText"/>
              <w:rPr>
                <w:rFonts w:eastAsia="Symbol"/>
                <w:b/>
                <w:bCs/>
              </w:rPr>
            </w:pPr>
            <w:r>
              <w:rPr>
                <w:bCs/>
              </w:rPr>
              <w:t>Yes</w:t>
            </w:r>
          </w:p>
        </w:tc>
        <w:tc>
          <w:tcPr>
            <w:tcW w:w="1253" w:type="dxa"/>
            <w:shd w:val="clear" w:color="auto" w:fill="auto"/>
          </w:tcPr>
          <w:p w14:paraId="40BD33A9" w14:textId="77777777" w:rsidR="003E3D07" w:rsidRDefault="003E3D07">
            <w:pPr>
              <w:pStyle w:val="TableText"/>
              <w:rPr>
                <w:rFonts w:eastAsia="Symbol"/>
              </w:rPr>
            </w:pPr>
            <w:r>
              <w:t>e</w:t>
            </w:r>
          </w:p>
        </w:tc>
        <w:tc>
          <w:tcPr>
            <w:tcW w:w="1253" w:type="dxa"/>
            <w:shd w:val="clear" w:color="auto" w:fill="auto"/>
          </w:tcPr>
          <w:p w14:paraId="3573B0A3" w14:textId="77777777" w:rsidR="003E3D07" w:rsidRDefault="003E3D07">
            <w:pPr>
              <w:pStyle w:val="TableText"/>
              <w:rPr>
                <w:rFonts w:eastAsia="Symbol"/>
              </w:rPr>
            </w:pPr>
            <w:r>
              <w:t>e</w:t>
            </w:r>
          </w:p>
        </w:tc>
        <w:tc>
          <w:tcPr>
            <w:tcW w:w="1296" w:type="dxa"/>
            <w:shd w:val="clear" w:color="auto" w:fill="auto"/>
          </w:tcPr>
          <w:p w14:paraId="324C39AD" w14:textId="77777777" w:rsidR="003E3D07" w:rsidRDefault="003E3D07">
            <w:pPr>
              <w:pStyle w:val="TableText"/>
              <w:rPr>
                <w:rFonts w:eastAsia="Symbol"/>
              </w:rPr>
            </w:pPr>
            <w:r>
              <w:t>2</w:t>
            </w:r>
          </w:p>
        </w:tc>
        <w:tc>
          <w:tcPr>
            <w:tcW w:w="841" w:type="dxa"/>
            <w:shd w:val="clear" w:color="auto" w:fill="auto"/>
          </w:tcPr>
          <w:p w14:paraId="314D813C" w14:textId="77777777" w:rsidR="003E3D07" w:rsidRDefault="003E3D07">
            <w:pPr>
              <w:pStyle w:val="TableText"/>
              <w:rPr>
                <w:rFonts w:eastAsia="Symbol"/>
              </w:rPr>
            </w:pPr>
            <w:r>
              <w:t>AGe</w:t>
            </w:r>
          </w:p>
        </w:tc>
      </w:tr>
      <w:tr w:rsidR="00824338" w14:paraId="582E595A" w14:textId="77777777" w:rsidTr="00031618">
        <w:tblPrEx>
          <w:tblBorders>
            <w:insideH w:val="single" w:sz="4" w:space="0" w:color="auto"/>
            <w:insideV w:val="single" w:sz="4" w:space="0" w:color="auto"/>
          </w:tblBorders>
        </w:tblPrEx>
        <w:tc>
          <w:tcPr>
            <w:tcW w:w="1975" w:type="dxa"/>
            <w:shd w:val="clear" w:color="auto" w:fill="auto"/>
          </w:tcPr>
          <w:p w14:paraId="58A635F8" w14:textId="0EE3CB5C" w:rsidR="007408F1" w:rsidRDefault="003E3D07" w:rsidP="00F358AF">
            <w:pPr>
              <w:pStyle w:val="TableText"/>
              <w:rPr>
                <w:rFonts w:eastAsia="Symbol"/>
              </w:rPr>
            </w:pPr>
            <w:r>
              <w:t>Anti-f</w:t>
            </w:r>
          </w:p>
        </w:tc>
        <w:tc>
          <w:tcPr>
            <w:tcW w:w="1710" w:type="dxa"/>
            <w:shd w:val="clear" w:color="auto" w:fill="auto"/>
          </w:tcPr>
          <w:p w14:paraId="7B71550A" w14:textId="77777777" w:rsidR="003E3D07" w:rsidRDefault="003E3D07">
            <w:pPr>
              <w:pStyle w:val="TableText"/>
              <w:rPr>
                <w:rFonts w:eastAsia="Symbol"/>
              </w:rPr>
            </w:pPr>
            <w:r>
              <w:t>Anti-f</w:t>
            </w:r>
          </w:p>
        </w:tc>
        <w:tc>
          <w:tcPr>
            <w:tcW w:w="878" w:type="dxa"/>
            <w:shd w:val="clear" w:color="auto" w:fill="auto"/>
          </w:tcPr>
          <w:p w14:paraId="45D85AB1" w14:textId="77777777" w:rsidR="003E3D07" w:rsidRDefault="003E3D07">
            <w:pPr>
              <w:pStyle w:val="TableText"/>
              <w:rPr>
                <w:b/>
                <w:bCs/>
              </w:rPr>
            </w:pPr>
            <w:r>
              <w:rPr>
                <w:bCs/>
              </w:rPr>
              <w:t>Yes</w:t>
            </w:r>
          </w:p>
        </w:tc>
        <w:tc>
          <w:tcPr>
            <w:tcW w:w="878" w:type="dxa"/>
            <w:shd w:val="clear" w:color="auto" w:fill="auto"/>
          </w:tcPr>
          <w:p w14:paraId="181C0E19" w14:textId="77777777" w:rsidR="003E3D07" w:rsidRDefault="003E3D07">
            <w:pPr>
              <w:pStyle w:val="TableText"/>
              <w:rPr>
                <w:rFonts w:eastAsia="Symbol"/>
                <w:b/>
                <w:bCs/>
              </w:rPr>
            </w:pPr>
            <w:r>
              <w:rPr>
                <w:bCs/>
              </w:rPr>
              <w:t>Yes</w:t>
            </w:r>
          </w:p>
        </w:tc>
        <w:tc>
          <w:tcPr>
            <w:tcW w:w="1253" w:type="dxa"/>
            <w:shd w:val="clear" w:color="auto" w:fill="auto"/>
          </w:tcPr>
          <w:p w14:paraId="075587BD" w14:textId="0ADA7C08" w:rsidR="003E3D07" w:rsidRDefault="003E3D07">
            <w:pPr>
              <w:pStyle w:val="TableText"/>
              <w:rPr>
                <w:rFonts w:eastAsia="Symbol"/>
              </w:rPr>
            </w:pPr>
            <w:r>
              <w:t>c and e</w:t>
            </w:r>
            <w:r w:rsidR="00F358AF">
              <w:br/>
              <w:t>(only one needs to be negative, neither can be positive)</w:t>
            </w:r>
          </w:p>
        </w:tc>
        <w:tc>
          <w:tcPr>
            <w:tcW w:w="1253" w:type="dxa"/>
            <w:shd w:val="clear" w:color="auto" w:fill="auto"/>
          </w:tcPr>
          <w:p w14:paraId="7745090A" w14:textId="77777777" w:rsidR="003E3D07" w:rsidRDefault="003E3D07">
            <w:pPr>
              <w:pStyle w:val="TableText"/>
              <w:rPr>
                <w:rFonts w:eastAsia="Symbol"/>
              </w:rPr>
            </w:pPr>
            <w:r>
              <w:t>f</w:t>
            </w:r>
          </w:p>
        </w:tc>
        <w:tc>
          <w:tcPr>
            <w:tcW w:w="1296" w:type="dxa"/>
            <w:shd w:val="clear" w:color="auto" w:fill="auto"/>
          </w:tcPr>
          <w:p w14:paraId="2E78CB5B" w14:textId="77777777" w:rsidR="003E3D07" w:rsidRDefault="003E3D07">
            <w:pPr>
              <w:pStyle w:val="TableText"/>
              <w:rPr>
                <w:rFonts w:eastAsia="Symbol"/>
              </w:rPr>
            </w:pPr>
            <w:r>
              <w:t>N/A</w:t>
            </w:r>
          </w:p>
        </w:tc>
        <w:tc>
          <w:tcPr>
            <w:tcW w:w="841" w:type="dxa"/>
            <w:shd w:val="clear" w:color="auto" w:fill="auto"/>
          </w:tcPr>
          <w:p w14:paraId="6B1E2C4F" w14:textId="77777777" w:rsidR="003E3D07" w:rsidRDefault="003E3D07">
            <w:pPr>
              <w:pStyle w:val="TableText"/>
            </w:pPr>
            <w:r>
              <w:t>AGc</w:t>
            </w:r>
          </w:p>
          <w:p w14:paraId="7F96D31F" w14:textId="77777777" w:rsidR="003E3D07" w:rsidRDefault="003E3D07">
            <w:pPr>
              <w:pStyle w:val="TableText"/>
              <w:rPr>
                <w:rFonts w:eastAsia="Symbol"/>
              </w:rPr>
            </w:pPr>
            <w:r>
              <w:t>AGe</w:t>
            </w:r>
          </w:p>
        </w:tc>
      </w:tr>
      <w:tr w:rsidR="00824338" w14:paraId="5A7FA011" w14:textId="77777777" w:rsidTr="00031618">
        <w:tblPrEx>
          <w:tblBorders>
            <w:insideH w:val="single" w:sz="4" w:space="0" w:color="auto"/>
            <w:insideV w:val="single" w:sz="4" w:space="0" w:color="auto"/>
          </w:tblBorders>
        </w:tblPrEx>
        <w:tc>
          <w:tcPr>
            <w:tcW w:w="1975" w:type="dxa"/>
            <w:shd w:val="clear" w:color="auto" w:fill="auto"/>
          </w:tcPr>
          <w:p w14:paraId="0526ACBD" w14:textId="77777777" w:rsidR="003E3D07" w:rsidRDefault="003E3D07">
            <w:pPr>
              <w:pStyle w:val="TableText"/>
              <w:rPr>
                <w:rFonts w:eastAsia="Symbol"/>
              </w:rPr>
            </w:pPr>
            <w:r>
              <w:t>Anti-G</w:t>
            </w:r>
          </w:p>
        </w:tc>
        <w:tc>
          <w:tcPr>
            <w:tcW w:w="1710" w:type="dxa"/>
            <w:shd w:val="clear" w:color="auto" w:fill="auto"/>
          </w:tcPr>
          <w:p w14:paraId="37BD765F" w14:textId="77777777" w:rsidR="003E3D07" w:rsidRDefault="003E3D07">
            <w:pPr>
              <w:pStyle w:val="TableText"/>
              <w:rPr>
                <w:rFonts w:eastAsia="Symbol"/>
              </w:rPr>
            </w:pPr>
            <w:r>
              <w:t>Anti-G</w:t>
            </w:r>
          </w:p>
        </w:tc>
        <w:tc>
          <w:tcPr>
            <w:tcW w:w="878" w:type="dxa"/>
            <w:shd w:val="clear" w:color="auto" w:fill="auto"/>
          </w:tcPr>
          <w:p w14:paraId="7A72FEB0" w14:textId="77777777" w:rsidR="003E3D07" w:rsidRDefault="003E3D07">
            <w:pPr>
              <w:pStyle w:val="TableText"/>
              <w:rPr>
                <w:b/>
                <w:bCs/>
              </w:rPr>
            </w:pPr>
            <w:r>
              <w:rPr>
                <w:bCs/>
              </w:rPr>
              <w:t>Yes</w:t>
            </w:r>
          </w:p>
        </w:tc>
        <w:tc>
          <w:tcPr>
            <w:tcW w:w="878" w:type="dxa"/>
            <w:shd w:val="clear" w:color="auto" w:fill="auto"/>
          </w:tcPr>
          <w:p w14:paraId="28A1A086" w14:textId="77777777" w:rsidR="003E3D07" w:rsidRDefault="003E3D07">
            <w:pPr>
              <w:pStyle w:val="TableText"/>
              <w:rPr>
                <w:rFonts w:eastAsia="Symbol"/>
                <w:b/>
                <w:bCs/>
              </w:rPr>
            </w:pPr>
            <w:r>
              <w:rPr>
                <w:bCs/>
              </w:rPr>
              <w:t>Yes</w:t>
            </w:r>
          </w:p>
        </w:tc>
        <w:tc>
          <w:tcPr>
            <w:tcW w:w="1253" w:type="dxa"/>
            <w:shd w:val="clear" w:color="auto" w:fill="auto"/>
          </w:tcPr>
          <w:p w14:paraId="5B97EE73" w14:textId="77777777" w:rsidR="003E3D07" w:rsidRDefault="003E3D07">
            <w:pPr>
              <w:pStyle w:val="TableText"/>
              <w:rPr>
                <w:rFonts w:eastAsia="Symbol"/>
              </w:rPr>
            </w:pPr>
            <w:r>
              <w:rPr>
                <w:rFonts w:eastAsia="Symbol"/>
              </w:rPr>
              <w:t>C and D</w:t>
            </w:r>
          </w:p>
        </w:tc>
        <w:tc>
          <w:tcPr>
            <w:tcW w:w="1253" w:type="dxa"/>
            <w:shd w:val="clear" w:color="auto" w:fill="auto"/>
          </w:tcPr>
          <w:p w14:paraId="6EA38D56" w14:textId="77777777" w:rsidR="003E3D07" w:rsidRDefault="003E3D07">
            <w:pPr>
              <w:pStyle w:val="TableText"/>
              <w:rPr>
                <w:rFonts w:eastAsia="Symbol"/>
              </w:rPr>
            </w:pPr>
            <w:r>
              <w:t>G</w:t>
            </w:r>
          </w:p>
        </w:tc>
        <w:tc>
          <w:tcPr>
            <w:tcW w:w="1296" w:type="dxa"/>
            <w:shd w:val="clear" w:color="auto" w:fill="auto"/>
          </w:tcPr>
          <w:p w14:paraId="13721B19" w14:textId="77777777" w:rsidR="003E3D07" w:rsidRDefault="003E3D07">
            <w:pPr>
              <w:pStyle w:val="TableText"/>
              <w:rPr>
                <w:rFonts w:eastAsia="Symbol"/>
              </w:rPr>
            </w:pPr>
            <w:r>
              <w:t>N/A</w:t>
            </w:r>
          </w:p>
        </w:tc>
        <w:tc>
          <w:tcPr>
            <w:tcW w:w="841" w:type="dxa"/>
            <w:shd w:val="clear" w:color="auto" w:fill="auto"/>
          </w:tcPr>
          <w:p w14:paraId="1B86557E" w14:textId="77777777" w:rsidR="003E3D07" w:rsidRDefault="003E3D07">
            <w:pPr>
              <w:pStyle w:val="TableText"/>
            </w:pPr>
            <w:r>
              <w:t>AGD</w:t>
            </w:r>
          </w:p>
          <w:p w14:paraId="0B8A7A39" w14:textId="77777777" w:rsidR="003E3D07" w:rsidRDefault="003E3D07">
            <w:pPr>
              <w:pStyle w:val="TableText"/>
              <w:rPr>
                <w:rFonts w:eastAsia="Symbol"/>
              </w:rPr>
            </w:pPr>
            <w:r>
              <w:t>AGC</w:t>
            </w:r>
          </w:p>
        </w:tc>
      </w:tr>
      <w:tr w:rsidR="00824338" w14:paraId="15659884" w14:textId="77777777" w:rsidTr="00031618">
        <w:tblPrEx>
          <w:tblBorders>
            <w:insideH w:val="single" w:sz="4" w:space="0" w:color="auto"/>
            <w:insideV w:val="single" w:sz="4" w:space="0" w:color="auto"/>
          </w:tblBorders>
        </w:tblPrEx>
        <w:tc>
          <w:tcPr>
            <w:tcW w:w="1975" w:type="dxa"/>
            <w:shd w:val="clear" w:color="auto" w:fill="auto"/>
          </w:tcPr>
          <w:p w14:paraId="6D2C9154" w14:textId="77777777" w:rsidR="003E3D07" w:rsidRDefault="003E3D07">
            <w:pPr>
              <w:pStyle w:val="TableText"/>
              <w:rPr>
                <w:rFonts w:eastAsia="Symbol"/>
              </w:rPr>
            </w:pPr>
            <w:r>
              <w:t>Anti-K</w:t>
            </w:r>
          </w:p>
        </w:tc>
        <w:tc>
          <w:tcPr>
            <w:tcW w:w="1710" w:type="dxa"/>
            <w:shd w:val="clear" w:color="auto" w:fill="auto"/>
          </w:tcPr>
          <w:p w14:paraId="61D02598" w14:textId="77777777" w:rsidR="003E3D07" w:rsidRDefault="003E3D07">
            <w:pPr>
              <w:pStyle w:val="TableText"/>
              <w:rPr>
                <w:b/>
                <w:bCs/>
              </w:rPr>
            </w:pPr>
            <w:r>
              <w:t>Anti-K</w:t>
            </w:r>
          </w:p>
        </w:tc>
        <w:tc>
          <w:tcPr>
            <w:tcW w:w="878" w:type="dxa"/>
            <w:shd w:val="clear" w:color="auto" w:fill="auto"/>
          </w:tcPr>
          <w:p w14:paraId="093F2F95" w14:textId="77777777" w:rsidR="003E3D07" w:rsidRDefault="003E3D07">
            <w:pPr>
              <w:pStyle w:val="TableText"/>
              <w:rPr>
                <w:b/>
                <w:bCs/>
              </w:rPr>
            </w:pPr>
            <w:r>
              <w:rPr>
                <w:bCs/>
              </w:rPr>
              <w:t>Yes</w:t>
            </w:r>
          </w:p>
        </w:tc>
        <w:tc>
          <w:tcPr>
            <w:tcW w:w="878" w:type="dxa"/>
            <w:shd w:val="clear" w:color="auto" w:fill="auto"/>
          </w:tcPr>
          <w:p w14:paraId="5811282A" w14:textId="77777777" w:rsidR="003E3D07" w:rsidRDefault="003E3D07">
            <w:pPr>
              <w:pStyle w:val="TableText"/>
              <w:rPr>
                <w:rFonts w:eastAsia="Symbol"/>
                <w:b/>
                <w:bCs/>
              </w:rPr>
            </w:pPr>
            <w:r>
              <w:rPr>
                <w:bCs/>
              </w:rPr>
              <w:t>Yes</w:t>
            </w:r>
          </w:p>
        </w:tc>
        <w:tc>
          <w:tcPr>
            <w:tcW w:w="1253" w:type="dxa"/>
            <w:shd w:val="clear" w:color="auto" w:fill="auto"/>
          </w:tcPr>
          <w:p w14:paraId="253EC693" w14:textId="77777777" w:rsidR="003E3D07" w:rsidRDefault="003E3D07">
            <w:pPr>
              <w:pStyle w:val="TableText"/>
              <w:rPr>
                <w:rFonts w:eastAsia="Symbol"/>
              </w:rPr>
            </w:pPr>
            <w:r>
              <w:t>K</w:t>
            </w:r>
          </w:p>
        </w:tc>
        <w:tc>
          <w:tcPr>
            <w:tcW w:w="1253" w:type="dxa"/>
            <w:shd w:val="clear" w:color="auto" w:fill="auto"/>
          </w:tcPr>
          <w:p w14:paraId="7454BDC8" w14:textId="77777777" w:rsidR="003E3D07" w:rsidRDefault="003E3D07">
            <w:pPr>
              <w:pStyle w:val="TableText"/>
            </w:pPr>
            <w:r>
              <w:t>K</w:t>
            </w:r>
          </w:p>
        </w:tc>
        <w:tc>
          <w:tcPr>
            <w:tcW w:w="1296" w:type="dxa"/>
            <w:shd w:val="clear" w:color="auto" w:fill="auto"/>
          </w:tcPr>
          <w:p w14:paraId="72018D53" w14:textId="77777777" w:rsidR="003E3D07" w:rsidRDefault="003E3D07">
            <w:pPr>
              <w:pStyle w:val="TableText"/>
              <w:rPr>
                <w:rFonts w:eastAsia="Symbol"/>
              </w:rPr>
            </w:pPr>
            <w:r>
              <w:t>91</w:t>
            </w:r>
          </w:p>
        </w:tc>
        <w:tc>
          <w:tcPr>
            <w:tcW w:w="841" w:type="dxa"/>
            <w:shd w:val="clear" w:color="auto" w:fill="auto"/>
          </w:tcPr>
          <w:p w14:paraId="4097AA1B" w14:textId="77777777" w:rsidR="003E3D07" w:rsidRDefault="003E3D07">
            <w:pPr>
              <w:pStyle w:val="TableText"/>
              <w:rPr>
                <w:rFonts w:eastAsia="Symbol"/>
              </w:rPr>
            </w:pPr>
            <w:r>
              <w:t>AGK</w:t>
            </w:r>
          </w:p>
        </w:tc>
      </w:tr>
      <w:tr w:rsidR="00824338" w14:paraId="5AF96BC2" w14:textId="77777777" w:rsidTr="00031618">
        <w:tblPrEx>
          <w:tblBorders>
            <w:insideH w:val="single" w:sz="4" w:space="0" w:color="auto"/>
            <w:insideV w:val="single" w:sz="4" w:space="0" w:color="auto"/>
          </w:tblBorders>
        </w:tblPrEx>
        <w:tc>
          <w:tcPr>
            <w:tcW w:w="1975" w:type="dxa"/>
            <w:shd w:val="clear" w:color="auto" w:fill="auto"/>
          </w:tcPr>
          <w:p w14:paraId="7598B719" w14:textId="77777777" w:rsidR="003E3D07" w:rsidRDefault="003E3D07">
            <w:pPr>
              <w:pStyle w:val="TableText"/>
              <w:rPr>
                <w:rFonts w:eastAsia="Symbol"/>
              </w:rPr>
            </w:pPr>
            <w:r>
              <w:t>Anti-k</w:t>
            </w:r>
          </w:p>
        </w:tc>
        <w:tc>
          <w:tcPr>
            <w:tcW w:w="1710" w:type="dxa"/>
            <w:shd w:val="clear" w:color="auto" w:fill="auto"/>
          </w:tcPr>
          <w:p w14:paraId="7EB52E4B" w14:textId="77777777" w:rsidR="003E3D07" w:rsidRDefault="003E3D07">
            <w:pPr>
              <w:pStyle w:val="TableText"/>
              <w:rPr>
                <w:rFonts w:eastAsia="Symbol"/>
              </w:rPr>
            </w:pPr>
            <w:r>
              <w:t>Anti-k</w:t>
            </w:r>
          </w:p>
        </w:tc>
        <w:tc>
          <w:tcPr>
            <w:tcW w:w="878" w:type="dxa"/>
            <w:shd w:val="clear" w:color="auto" w:fill="auto"/>
          </w:tcPr>
          <w:p w14:paraId="07BDE8F6" w14:textId="77777777" w:rsidR="003E3D07" w:rsidRDefault="003E3D07">
            <w:pPr>
              <w:pStyle w:val="TableText"/>
              <w:rPr>
                <w:b/>
                <w:bCs/>
              </w:rPr>
            </w:pPr>
            <w:r>
              <w:rPr>
                <w:bCs/>
              </w:rPr>
              <w:t>Yes</w:t>
            </w:r>
          </w:p>
        </w:tc>
        <w:tc>
          <w:tcPr>
            <w:tcW w:w="878" w:type="dxa"/>
            <w:shd w:val="clear" w:color="auto" w:fill="auto"/>
          </w:tcPr>
          <w:p w14:paraId="1B9EE6A2" w14:textId="77777777" w:rsidR="003E3D07" w:rsidRDefault="003E3D07">
            <w:pPr>
              <w:pStyle w:val="TableText"/>
              <w:rPr>
                <w:rFonts w:eastAsia="Symbol"/>
                <w:b/>
                <w:bCs/>
              </w:rPr>
            </w:pPr>
            <w:r>
              <w:rPr>
                <w:bCs/>
              </w:rPr>
              <w:t>Yes</w:t>
            </w:r>
          </w:p>
        </w:tc>
        <w:tc>
          <w:tcPr>
            <w:tcW w:w="1253" w:type="dxa"/>
            <w:shd w:val="clear" w:color="auto" w:fill="auto"/>
          </w:tcPr>
          <w:p w14:paraId="3A029058" w14:textId="77777777" w:rsidR="003E3D07" w:rsidRDefault="003E3D07">
            <w:pPr>
              <w:pStyle w:val="TableText"/>
              <w:rPr>
                <w:rFonts w:eastAsia="Symbol"/>
              </w:rPr>
            </w:pPr>
            <w:r>
              <w:t>k</w:t>
            </w:r>
          </w:p>
        </w:tc>
        <w:tc>
          <w:tcPr>
            <w:tcW w:w="1253" w:type="dxa"/>
            <w:shd w:val="clear" w:color="auto" w:fill="auto"/>
          </w:tcPr>
          <w:p w14:paraId="0F68625A" w14:textId="77777777" w:rsidR="003E3D07" w:rsidRDefault="003E3D07">
            <w:pPr>
              <w:pStyle w:val="TableText"/>
              <w:rPr>
                <w:rFonts w:eastAsia="Symbol"/>
              </w:rPr>
            </w:pPr>
            <w:r>
              <w:t>k</w:t>
            </w:r>
          </w:p>
        </w:tc>
        <w:tc>
          <w:tcPr>
            <w:tcW w:w="1296" w:type="dxa"/>
            <w:shd w:val="clear" w:color="auto" w:fill="auto"/>
          </w:tcPr>
          <w:p w14:paraId="3291DD21" w14:textId="77777777" w:rsidR="003E3D07" w:rsidRDefault="003E3D07">
            <w:pPr>
              <w:pStyle w:val="TableText"/>
              <w:rPr>
                <w:rFonts w:eastAsia="Symbol"/>
              </w:rPr>
            </w:pPr>
            <w:r>
              <w:t>1</w:t>
            </w:r>
          </w:p>
        </w:tc>
        <w:tc>
          <w:tcPr>
            <w:tcW w:w="841" w:type="dxa"/>
            <w:shd w:val="clear" w:color="auto" w:fill="auto"/>
          </w:tcPr>
          <w:p w14:paraId="20DD0AF0" w14:textId="77777777" w:rsidR="003E3D07" w:rsidRDefault="003E3D07">
            <w:pPr>
              <w:pStyle w:val="TableText"/>
              <w:rPr>
                <w:rFonts w:eastAsia="Symbol"/>
              </w:rPr>
            </w:pPr>
            <w:r>
              <w:t>AGk</w:t>
            </w:r>
          </w:p>
        </w:tc>
      </w:tr>
      <w:tr w:rsidR="00824338" w14:paraId="657F0CEC" w14:textId="77777777" w:rsidTr="00031618">
        <w:tblPrEx>
          <w:tblBorders>
            <w:insideH w:val="single" w:sz="4" w:space="0" w:color="auto"/>
            <w:insideV w:val="single" w:sz="4" w:space="0" w:color="auto"/>
          </w:tblBorders>
        </w:tblPrEx>
        <w:tc>
          <w:tcPr>
            <w:tcW w:w="1975" w:type="dxa"/>
            <w:shd w:val="clear" w:color="auto" w:fill="auto"/>
          </w:tcPr>
          <w:p w14:paraId="2DA7D1C3" w14:textId="77777777" w:rsidR="003E3D07" w:rsidRDefault="003E3D07">
            <w:pPr>
              <w:pStyle w:val="TableText"/>
              <w:rPr>
                <w:rFonts w:eastAsia="Symbol"/>
              </w:rPr>
            </w:pPr>
            <w:r>
              <w:t xml:space="preserve">Anti-Kp(a) </w:t>
            </w:r>
          </w:p>
        </w:tc>
        <w:tc>
          <w:tcPr>
            <w:tcW w:w="1710" w:type="dxa"/>
            <w:shd w:val="clear" w:color="auto" w:fill="auto"/>
          </w:tcPr>
          <w:p w14:paraId="1A26E8FA" w14:textId="77777777" w:rsidR="003E3D07" w:rsidRDefault="003E3D07">
            <w:pPr>
              <w:pStyle w:val="TableText"/>
              <w:rPr>
                <w:rFonts w:eastAsia="Symbol"/>
              </w:rPr>
            </w:pPr>
            <w:r>
              <w:t>Anti-Kp(a)</w:t>
            </w:r>
          </w:p>
        </w:tc>
        <w:tc>
          <w:tcPr>
            <w:tcW w:w="878" w:type="dxa"/>
            <w:shd w:val="clear" w:color="auto" w:fill="auto"/>
          </w:tcPr>
          <w:p w14:paraId="61C48F11" w14:textId="77777777" w:rsidR="003E3D07" w:rsidRDefault="003E3D07">
            <w:pPr>
              <w:pStyle w:val="TableText"/>
              <w:rPr>
                <w:b/>
                <w:bCs/>
              </w:rPr>
            </w:pPr>
            <w:r>
              <w:rPr>
                <w:bCs/>
              </w:rPr>
              <w:t>Yes</w:t>
            </w:r>
          </w:p>
        </w:tc>
        <w:tc>
          <w:tcPr>
            <w:tcW w:w="878" w:type="dxa"/>
            <w:shd w:val="clear" w:color="auto" w:fill="auto"/>
          </w:tcPr>
          <w:p w14:paraId="4CB16D9F" w14:textId="77777777" w:rsidR="003E3D07" w:rsidRDefault="003E3D07">
            <w:pPr>
              <w:pStyle w:val="TableText"/>
              <w:rPr>
                <w:rFonts w:eastAsia="Symbol"/>
              </w:rPr>
            </w:pPr>
            <w:r>
              <w:t>Optional</w:t>
            </w:r>
          </w:p>
        </w:tc>
        <w:tc>
          <w:tcPr>
            <w:tcW w:w="1253" w:type="dxa"/>
            <w:shd w:val="clear" w:color="auto" w:fill="auto"/>
          </w:tcPr>
          <w:p w14:paraId="4DC73C8F" w14:textId="77777777" w:rsidR="003E3D07" w:rsidRDefault="003E3D07">
            <w:pPr>
              <w:pStyle w:val="TableText"/>
              <w:rPr>
                <w:rFonts w:eastAsia="Symbol"/>
              </w:rPr>
            </w:pPr>
            <w:r>
              <w:t>Kp(a)</w:t>
            </w:r>
          </w:p>
        </w:tc>
        <w:tc>
          <w:tcPr>
            <w:tcW w:w="1253" w:type="dxa"/>
            <w:shd w:val="clear" w:color="auto" w:fill="auto"/>
          </w:tcPr>
          <w:p w14:paraId="6F6B24F2" w14:textId="77777777" w:rsidR="003E3D07" w:rsidRDefault="003E3D07">
            <w:pPr>
              <w:pStyle w:val="TableText"/>
              <w:rPr>
                <w:rFonts w:eastAsia="Symbol"/>
              </w:rPr>
            </w:pPr>
            <w:r>
              <w:t>Kp(a)</w:t>
            </w:r>
          </w:p>
        </w:tc>
        <w:tc>
          <w:tcPr>
            <w:tcW w:w="1296" w:type="dxa"/>
            <w:shd w:val="clear" w:color="auto" w:fill="auto"/>
          </w:tcPr>
          <w:p w14:paraId="7C754070" w14:textId="77777777" w:rsidR="003E3D07" w:rsidRDefault="003E3D07">
            <w:pPr>
              <w:pStyle w:val="TableText"/>
              <w:rPr>
                <w:rFonts w:eastAsia="Symbol"/>
              </w:rPr>
            </w:pPr>
            <w:r>
              <w:t>98</w:t>
            </w:r>
          </w:p>
        </w:tc>
        <w:tc>
          <w:tcPr>
            <w:tcW w:w="841" w:type="dxa"/>
            <w:shd w:val="clear" w:color="auto" w:fill="auto"/>
          </w:tcPr>
          <w:p w14:paraId="3935F183" w14:textId="77777777" w:rsidR="003E3D07" w:rsidRDefault="003E3D07">
            <w:pPr>
              <w:pStyle w:val="TableText"/>
              <w:rPr>
                <w:rFonts w:eastAsia="Symbol"/>
              </w:rPr>
            </w:pPr>
            <w:r>
              <w:t xml:space="preserve">AGKp(a) </w:t>
            </w:r>
          </w:p>
        </w:tc>
      </w:tr>
      <w:tr w:rsidR="00824338" w14:paraId="45858648" w14:textId="77777777" w:rsidTr="00031618">
        <w:tblPrEx>
          <w:tblBorders>
            <w:insideH w:val="single" w:sz="4" w:space="0" w:color="auto"/>
            <w:insideV w:val="single" w:sz="4" w:space="0" w:color="auto"/>
          </w:tblBorders>
        </w:tblPrEx>
        <w:tc>
          <w:tcPr>
            <w:tcW w:w="1975" w:type="dxa"/>
            <w:shd w:val="clear" w:color="auto" w:fill="auto"/>
          </w:tcPr>
          <w:p w14:paraId="561FADDF" w14:textId="77777777" w:rsidR="003E3D07" w:rsidRDefault="003E3D07">
            <w:pPr>
              <w:pStyle w:val="TableText"/>
              <w:rPr>
                <w:rFonts w:eastAsia="Symbol"/>
              </w:rPr>
            </w:pPr>
            <w:r>
              <w:t>Anti-Kp(b)</w:t>
            </w:r>
          </w:p>
        </w:tc>
        <w:tc>
          <w:tcPr>
            <w:tcW w:w="1710" w:type="dxa"/>
            <w:shd w:val="clear" w:color="auto" w:fill="auto"/>
          </w:tcPr>
          <w:p w14:paraId="185E32AF" w14:textId="77777777" w:rsidR="003E3D07" w:rsidRDefault="003E3D07">
            <w:pPr>
              <w:pStyle w:val="TableText"/>
              <w:rPr>
                <w:rFonts w:eastAsia="Symbol"/>
              </w:rPr>
            </w:pPr>
            <w:r>
              <w:t>Anti-Kp(b)</w:t>
            </w:r>
          </w:p>
        </w:tc>
        <w:tc>
          <w:tcPr>
            <w:tcW w:w="878" w:type="dxa"/>
            <w:shd w:val="clear" w:color="auto" w:fill="auto"/>
          </w:tcPr>
          <w:p w14:paraId="70CB21E9" w14:textId="77777777" w:rsidR="003E3D07" w:rsidRDefault="003E3D07">
            <w:pPr>
              <w:pStyle w:val="TableText"/>
              <w:rPr>
                <w:b/>
                <w:bCs/>
              </w:rPr>
            </w:pPr>
            <w:r>
              <w:rPr>
                <w:bCs/>
              </w:rPr>
              <w:t>Yes</w:t>
            </w:r>
          </w:p>
        </w:tc>
        <w:tc>
          <w:tcPr>
            <w:tcW w:w="878" w:type="dxa"/>
            <w:shd w:val="clear" w:color="auto" w:fill="auto"/>
          </w:tcPr>
          <w:p w14:paraId="3BE0ECA5" w14:textId="77777777" w:rsidR="003E3D07" w:rsidRDefault="003E3D07">
            <w:pPr>
              <w:pStyle w:val="TableText"/>
              <w:rPr>
                <w:rFonts w:eastAsia="Symbol"/>
              </w:rPr>
            </w:pPr>
            <w:r>
              <w:t>Optional</w:t>
            </w:r>
          </w:p>
        </w:tc>
        <w:tc>
          <w:tcPr>
            <w:tcW w:w="1253" w:type="dxa"/>
            <w:shd w:val="clear" w:color="auto" w:fill="auto"/>
          </w:tcPr>
          <w:p w14:paraId="3EE3394D" w14:textId="77777777" w:rsidR="003E3D07" w:rsidRDefault="003E3D07">
            <w:pPr>
              <w:pStyle w:val="TableText"/>
              <w:rPr>
                <w:rFonts w:eastAsia="Symbol"/>
              </w:rPr>
            </w:pPr>
            <w:r>
              <w:t>Kp(b)</w:t>
            </w:r>
          </w:p>
        </w:tc>
        <w:tc>
          <w:tcPr>
            <w:tcW w:w="1253" w:type="dxa"/>
            <w:shd w:val="clear" w:color="auto" w:fill="auto"/>
          </w:tcPr>
          <w:p w14:paraId="2E1A2421" w14:textId="77777777" w:rsidR="003E3D07" w:rsidRDefault="003E3D07">
            <w:pPr>
              <w:pStyle w:val="TableText"/>
              <w:rPr>
                <w:rFonts w:eastAsia="Symbol"/>
              </w:rPr>
            </w:pPr>
            <w:r>
              <w:t>Kp(b)</w:t>
            </w:r>
          </w:p>
        </w:tc>
        <w:tc>
          <w:tcPr>
            <w:tcW w:w="1296" w:type="dxa"/>
            <w:shd w:val="clear" w:color="auto" w:fill="auto"/>
          </w:tcPr>
          <w:p w14:paraId="3BE8C1B5" w14:textId="77777777" w:rsidR="003E3D07" w:rsidRDefault="003E3D07">
            <w:pPr>
              <w:pStyle w:val="TableText"/>
              <w:rPr>
                <w:rFonts w:eastAsia="Symbol"/>
              </w:rPr>
            </w:pPr>
            <w:r>
              <w:t>2</w:t>
            </w:r>
          </w:p>
        </w:tc>
        <w:tc>
          <w:tcPr>
            <w:tcW w:w="841" w:type="dxa"/>
            <w:shd w:val="clear" w:color="auto" w:fill="auto"/>
          </w:tcPr>
          <w:p w14:paraId="6B5C0DAD" w14:textId="77777777" w:rsidR="003E3D07" w:rsidRDefault="003E3D07">
            <w:pPr>
              <w:pStyle w:val="TableText"/>
              <w:rPr>
                <w:rFonts w:eastAsia="Symbol"/>
              </w:rPr>
            </w:pPr>
            <w:r>
              <w:t>AGKp(b)</w:t>
            </w:r>
          </w:p>
        </w:tc>
      </w:tr>
      <w:tr w:rsidR="00824338" w14:paraId="40995D3F" w14:textId="77777777" w:rsidTr="00031618">
        <w:tblPrEx>
          <w:tblBorders>
            <w:insideH w:val="single" w:sz="4" w:space="0" w:color="auto"/>
            <w:insideV w:val="single" w:sz="4" w:space="0" w:color="auto"/>
          </w:tblBorders>
        </w:tblPrEx>
        <w:tc>
          <w:tcPr>
            <w:tcW w:w="1975" w:type="dxa"/>
            <w:shd w:val="clear" w:color="auto" w:fill="auto"/>
          </w:tcPr>
          <w:p w14:paraId="2E7D494E" w14:textId="77777777" w:rsidR="003E3D07" w:rsidRDefault="003E3D07">
            <w:pPr>
              <w:pStyle w:val="TableText"/>
              <w:rPr>
                <w:rFonts w:eastAsia="Symbol"/>
              </w:rPr>
            </w:pPr>
            <w:r>
              <w:t>Anti-Jk(a)</w:t>
            </w:r>
          </w:p>
        </w:tc>
        <w:tc>
          <w:tcPr>
            <w:tcW w:w="1710" w:type="dxa"/>
            <w:shd w:val="clear" w:color="auto" w:fill="auto"/>
          </w:tcPr>
          <w:p w14:paraId="17720450" w14:textId="77777777" w:rsidR="003E3D07" w:rsidRDefault="003E3D07">
            <w:pPr>
              <w:pStyle w:val="TableText"/>
              <w:rPr>
                <w:rFonts w:eastAsia="Symbol"/>
              </w:rPr>
            </w:pPr>
            <w:r>
              <w:t>Anti-Jk(a)</w:t>
            </w:r>
          </w:p>
        </w:tc>
        <w:tc>
          <w:tcPr>
            <w:tcW w:w="878" w:type="dxa"/>
            <w:shd w:val="clear" w:color="auto" w:fill="auto"/>
          </w:tcPr>
          <w:p w14:paraId="0C1C35C6" w14:textId="77777777" w:rsidR="003E3D07" w:rsidRDefault="003E3D07">
            <w:pPr>
              <w:pStyle w:val="TableText"/>
              <w:rPr>
                <w:b/>
                <w:bCs/>
              </w:rPr>
            </w:pPr>
            <w:r>
              <w:rPr>
                <w:bCs/>
              </w:rPr>
              <w:t>Yes</w:t>
            </w:r>
          </w:p>
        </w:tc>
        <w:tc>
          <w:tcPr>
            <w:tcW w:w="878" w:type="dxa"/>
            <w:shd w:val="clear" w:color="auto" w:fill="auto"/>
          </w:tcPr>
          <w:p w14:paraId="3147B610" w14:textId="77777777" w:rsidR="003E3D07" w:rsidRDefault="003E3D07">
            <w:pPr>
              <w:pStyle w:val="TableText"/>
              <w:rPr>
                <w:rFonts w:eastAsia="Symbol"/>
                <w:b/>
                <w:bCs/>
              </w:rPr>
            </w:pPr>
            <w:r>
              <w:rPr>
                <w:bCs/>
              </w:rPr>
              <w:t>Yes</w:t>
            </w:r>
          </w:p>
        </w:tc>
        <w:tc>
          <w:tcPr>
            <w:tcW w:w="1253" w:type="dxa"/>
            <w:shd w:val="clear" w:color="auto" w:fill="auto"/>
          </w:tcPr>
          <w:p w14:paraId="27204214" w14:textId="77777777" w:rsidR="003E3D07" w:rsidRDefault="003E3D07">
            <w:pPr>
              <w:pStyle w:val="TableText"/>
              <w:rPr>
                <w:rFonts w:eastAsia="Symbol"/>
              </w:rPr>
            </w:pPr>
            <w:r>
              <w:t>Jk(a)</w:t>
            </w:r>
          </w:p>
        </w:tc>
        <w:tc>
          <w:tcPr>
            <w:tcW w:w="1253" w:type="dxa"/>
            <w:shd w:val="clear" w:color="auto" w:fill="auto"/>
          </w:tcPr>
          <w:p w14:paraId="1B93D0EF" w14:textId="77777777" w:rsidR="003E3D07" w:rsidRDefault="003E3D07">
            <w:pPr>
              <w:pStyle w:val="TableText"/>
              <w:rPr>
                <w:rFonts w:eastAsia="Symbol"/>
              </w:rPr>
            </w:pPr>
            <w:r>
              <w:t>Jk(a)</w:t>
            </w:r>
          </w:p>
        </w:tc>
        <w:tc>
          <w:tcPr>
            <w:tcW w:w="1296" w:type="dxa"/>
            <w:shd w:val="clear" w:color="auto" w:fill="auto"/>
          </w:tcPr>
          <w:p w14:paraId="10C3283C" w14:textId="77777777" w:rsidR="003E3D07" w:rsidRDefault="003E3D07">
            <w:pPr>
              <w:pStyle w:val="TableText"/>
              <w:rPr>
                <w:rFonts w:eastAsia="Symbol"/>
              </w:rPr>
            </w:pPr>
            <w:r>
              <w:t>15</w:t>
            </w:r>
          </w:p>
        </w:tc>
        <w:tc>
          <w:tcPr>
            <w:tcW w:w="841" w:type="dxa"/>
            <w:shd w:val="clear" w:color="auto" w:fill="auto"/>
          </w:tcPr>
          <w:p w14:paraId="29EB3D3F" w14:textId="77777777" w:rsidR="003E3D07" w:rsidRDefault="003E3D07">
            <w:pPr>
              <w:pStyle w:val="TableText"/>
              <w:rPr>
                <w:rFonts w:eastAsia="Symbol"/>
              </w:rPr>
            </w:pPr>
            <w:r>
              <w:t>AGJk(a)</w:t>
            </w:r>
          </w:p>
        </w:tc>
      </w:tr>
      <w:tr w:rsidR="00824338" w14:paraId="7EACA7DF" w14:textId="77777777" w:rsidTr="00031618">
        <w:tblPrEx>
          <w:tblBorders>
            <w:insideH w:val="single" w:sz="4" w:space="0" w:color="auto"/>
            <w:insideV w:val="single" w:sz="4" w:space="0" w:color="auto"/>
          </w:tblBorders>
        </w:tblPrEx>
        <w:tc>
          <w:tcPr>
            <w:tcW w:w="1975" w:type="dxa"/>
            <w:shd w:val="clear" w:color="auto" w:fill="auto"/>
          </w:tcPr>
          <w:p w14:paraId="569B1F0A" w14:textId="77777777" w:rsidR="003E3D07" w:rsidRDefault="003E3D07">
            <w:pPr>
              <w:pStyle w:val="TableText"/>
              <w:rPr>
                <w:rFonts w:eastAsia="Symbol"/>
              </w:rPr>
            </w:pPr>
            <w:r>
              <w:t>Anti-Jk(b)</w:t>
            </w:r>
          </w:p>
        </w:tc>
        <w:tc>
          <w:tcPr>
            <w:tcW w:w="1710" w:type="dxa"/>
            <w:shd w:val="clear" w:color="auto" w:fill="auto"/>
          </w:tcPr>
          <w:p w14:paraId="1802A4B7" w14:textId="77777777" w:rsidR="003E3D07" w:rsidRDefault="003E3D07">
            <w:pPr>
              <w:pStyle w:val="TableText"/>
              <w:rPr>
                <w:rFonts w:eastAsia="Symbol"/>
              </w:rPr>
            </w:pPr>
            <w:r>
              <w:t>Anti-Jk(b)</w:t>
            </w:r>
          </w:p>
        </w:tc>
        <w:tc>
          <w:tcPr>
            <w:tcW w:w="878" w:type="dxa"/>
            <w:shd w:val="clear" w:color="auto" w:fill="auto"/>
          </w:tcPr>
          <w:p w14:paraId="3875D167" w14:textId="77777777" w:rsidR="003E3D07" w:rsidRDefault="003E3D07">
            <w:pPr>
              <w:pStyle w:val="TableText"/>
              <w:rPr>
                <w:b/>
                <w:bCs/>
              </w:rPr>
            </w:pPr>
            <w:r>
              <w:rPr>
                <w:bCs/>
              </w:rPr>
              <w:t>Yes</w:t>
            </w:r>
          </w:p>
        </w:tc>
        <w:tc>
          <w:tcPr>
            <w:tcW w:w="878" w:type="dxa"/>
            <w:shd w:val="clear" w:color="auto" w:fill="auto"/>
          </w:tcPr>
          <w:p w14:paraId="1AEF3CDA" w14:textId="77777777" w:rsidR="003E3D07" w:rsidRDefault="003E3D07">
            <w:pPr>
              <w:pStyle w:val="TableText"/>
              <w:rPr>
                <w:rFonts w:eastAsia="Symbol"/>
                <w:b/>
                <w:bCs/>
              </w:rPr>
            </w:pPr>
            <w:r>
              <w:rPr>
                <w:bCs/>
              </w:rPr>
              <w:t>Yes</w:t>
            </w:r>
          </w:p>
        </w:tc>
        <w:tc>
          <w:tcPr>
            <w:tcW w:w="1253" w:type="dxa"/>
            <w:shd w:val="clear" w:color="auto" w:fill="auto"/>
          </w:tcPr>
          <w:p w14:paraId="66FE4844" w14:textId="77777777" w:rsidR="003E3D07" w:rsidRDefault="003E3D07">
            <w:pPr>
              <w:pStyle w:val="TableText"/>
              <w:rPr>
                <w:rFonts w:eastAsia="Symbol"/>
              </w:rPr>
            </w:pPr>
            <w:r>
              <w:t>Jk(b)</w:t>
            </w:r>
          </w:p>
        </w:tc>
        <w:tc>
          <w:tcPr>
            <w:tcW w:w="1253" w:type="dxa"/>
            <w:shd w:val="clear" w:color="auto" w:fill="auto"/>
          </w:tcPr>
          <w:p w14:paraId="44274713" w14:textId="77777777" w:rsidR="003E3D07" w:rsidRDefault="003E3D07">
            <w:pPr>
              <w:pStyle w:val="TableText"/>
              <w:rPr>
                <w:rFonts w:eastAsia="Symbol"/>
              </w:rPr>
            </w:pPr>
            <w:r>
              <w:t>Jk(b)</w:t>
            </w:r>
          </w:p>
        </w:tc>
        <w:tc>
          <w:tcPr>
            <w:tcW w:w="1296" w:type="dxa"/>
            <w:shd w:val="clear" w:color="auto" w:fill="auto"/>
          </w:tcPr>
          <w:p w14:paraId="31DE6CBC" w14:textId="77777777" w:rsidR="003E3D07" w:rsidRDefault="003E3D07">
            <w:pPr>
              <w:pStyle w:val="TableText"/>
              <w:rPr>
                <w:rFonts w:eastAsia="Symbol"/>
              </w:rPr>
            </w:pPr>
            <w:r>
              <w:t>42</w:t>
            </w:r>
          </w:p>
        </w:tc>
        <w:tc>
          <w:tcPr>
            <w:tcW w:w="841" w:type="dxa"/>
            <w:shd w:val="clear" w:color="auto" w:fill="auto"/>
          </w:tcPr>
          <w:p w14:paraId="3CFE310E" w14:textId="77777777" w:rsidR="003E3D07" w:rsidRDefault="003E3D07">
            <w:pPr>
              <w:pStyle w:val="TableText"/>
              <w:rPr>
                <w:rFonts w:eastAsia="Symbol"/>
              </w:rPr>
            </w:pPr>
            <w:r>
              <w:t>AGJk(b)</w:t>
            </w:r>
          </w:p>
        </w:tc>
      </w:tr>
      <w:tr w:rsidR="00824338" w14:paraId="64C487C6" w14:textId="77777777" w:rsidTr="00031618">
        <w:tblPrEx>
          <w:tblBorders>
            <w:insideH w:val="single" w:sz="4" w:space="0" w:color="auto"/>
            <w:insideV w:val="single" w:sz="4" w:space="0" w:color="auto"/>
          </w:tblBorders>
        </w:tblPrEx>
        <w:tc>
          <w:tcPr>
            <w:tcW w:w="1975" w:type="dxa"/>
            <w:shd w:val="clear" w:color="auto" w:fill="auto"/>
          </w:tcPr>
          <w:p w14:paraId="40B10249" w14:textId="77777777" w:rsidR="003E3D07" w:rsidRDefault="003E3D07">
            <w:pPr>
              <w:pStyle w:val="TableText"/>
              <w:rPr>
                <w:rFonts w:eastAsia="Symbol"/>
              </w:rPr>
            </w:pPr>
            <w:r>
              <w:t>Anti-Jk3</w:t>
            </w:r>
          </w:p>
        </w:tc>
        <w:tc>
          <w:tcPr>
            <w:tcW w:w="1710" w:type="dxa"/>
            <w:shd w:val="clear" w:color="auto" w:fill="auto"/>
          </w:tcPr>
          <w:p w14:paraId="61B17020" w14:textId="77777777" w:rsidR="003E3D07" w:rsidRDefault="003E3D07">
            <w:pPr>
              <w:pStyle w:val="TableText"/>
              <w:rPr>
                <w:rFonts w:eastAsia="Symbol"/>
              </w:rPr>
            </w:pPr>
            <w:r>
              <w:rPr>
                <w:rFonts w:eastAsia="Symbol"/>
              </w:rPr>
              <w:t>Anti-Jk(a)Jk(b)</w:t>
            </w:r>
          </w:p>
        </w:tc>
        <w:tc>
          <w:tcPr>
            <w:tcW w:w="878" w:type="dxa"/>
            <w:shd w:val="clear" w:color="auto" w:fill="auto"/>
          </w:tcPr>
          <w:p w14:paraId="6F277202" w14:textId="77777777" w:rsidR="003E3D07" w:rsidRDefault="003E3D07">
            <w:pPr>
              <w:pStyle w:val="TableText"/>
              <w:rPr>
                <w:rFonts w:eastAsia="Symbol"/>
              </w:rPr>
            </w:pPr>
            <w:r>
              <w:rPr>
                <w:bCs/>
              </w:rPr>
              <w:t>Yes</w:t>
            </w:r>
          </w:p>
        </w:tc>
        <w:tc>
          <w:tcPr>
            <w:tcW w:w="878" w:type="dxa"/>
            <w:shd w:val="clear" w:color="auto" w:fill="auto"/>
          </w:tcPr>
          <w:p w14:paraId="574DB6A1" w14:textId="77777777" w:rsidR="003E3D07" w:rsidRDefault="003E3D07">
            <w:pPr>
              <w:pStyle w:val="TableText"/>
              <w:rPr>
                <w:rFonts w:eastAsia="Symbol"/>
              </w:rPr>
            </w:pPr>
            <w:r>
              <w:rPr>
                <w:bCs/>
              </w:rPr>
              <w:t>Yes</w:t>
            </w:r>
          </w:p>
        </w:tc>
        <w:tc>
          <w:tcPr>
            <w:tcW w:w="1253" w:type="dxa"/>
            <w:shd w:val="clear" w:color="auto" w:fill="auto"/>
          </w:tcPr>
          <w:p w14:paraId="5B641AB9" w14:textId="77777777" w:rsidR="003E3D07" w:rsidRDefault="003E3D07">
            <w:pPr>
              <w:pStyle w:val="TableText"/>
              <w:rPr>
                <w:rFonts w:eastAsia="Symbol"/>
              </w:rPr>
            </w:pPr>
            <w:r>
              <w:t>Jk(a) and Jk(b)</w:t>
            </w:r>
          </w:p>
        </w:tc>
        <w:tc>
          <w:tcPr>
            <w:tcW w:w="1253" w:type="dxa"/>
            <w:shd w:val="clear" w:color="auto" w:fill="auto"/>
          </w:tcPr>
          <w:p w14:paraId="2A621C0D" w14:textId="77777777" w:rsidR="003E3D07" w:rsidRDefault="003E3D07">
            <w:pPr>
              <w:pStyle w:val="TableText"/>
              <w:rPr>
                <w:rFonts w:eastAsia="Symbol"/>
              </w:rPr>
            </w:pPr>
            <w:r>
              <w:rPr>
                <w:rFonts w:eastAsia="Symbol"/>
              </w:rPr>
              <w:t>None</w:t>
            </w:r>
          </w:p>
        </w:tc>
        <w:tc>
          <w:tcPr>
            <w:tcW w:w="1296" w:type="dxa"/>
            <w:shd w:val="clear" w:color="auto" w:fill="auto"/>
          </w:tcPr>
          <w:p w14:paraId="10DAE755" w14:textId="77777777" w:rsidR="003E3D07" w:rsidRDefault="003E3D07">
            <w:pPr>
              <w:pStyle w:val="TableText"/>
              <w:rPr>
                <w:rFonts w:eastAsia="Symbol"/>
              </w:rPr>
            </w:pPr>
            <w:r>
              <w:t>N/A</w:t>
            </w:r>
          </w:p>
        </w:tc>
        <w:tc>
          <w:tcPr>
            <w:tcW w:w="841" w:type="dxa"/>
            <w:shd w:val="clear" w:color="auto" w:fill="auto"/>
          </w:tcPr>
          <w:p w14:paraId="38E95BBB" w14:textId="77777777" w:rsidR="003E3D07" w:rsidRDefault="003E3D07">
            <w:pPr>
              <w:pStyle w:val="TableText"/>
            </w:pPr>
            <w:r>
              <w:t>AGJk(a)</w:t>
            </w:r>
          </w:p>
          <w:p w14:paraId="6B70E315" w14:textId="77777777" w:rsidR="003E3D07" w:rsidRDefault="003E3D07">
            <w:pPr>
              <w:pStyle w:val="TableText"/>
              <w:rPr>
                <w:rFonts w:eastAsia="Symbol"/>
              </w:rPr>
            </w:pPr>
            <w:r>
              <w:t>AGJk(b)</w:t>
            </w:r>
          </w:p>
        </w:tc>
      </w:tr>
      <w:tr w:rsidR="00824338" w14:paraId="3D9D9A8E" w14:textId="77777777" w:rsidTr="00031618">
        <w:tblPrEx>
          <w:tblBorders>
            <w:insideH w:val="single" w:sz="4" w:space="0" w:color="auto"/>
            <w:insideV w:val="single" w:sz="4" w:space="0" w:color="auto"/>
          </w:tblBorders>
        </w:tblPrEx>
        <w:tc>
          <w:tcPr>
            <w:tcW w:w="1975" w:type="dxa"/>
            <w:shd w:val="clear" w:color="auto" w:fill="auto"/>
          </w:tcPr>
          <w:p w14:paraId="6299AD8A" w14:textId="77777777" w:rsidR="003E3D07" w:rsidRDefault="003E3D07">
            <w:pPr>
              <w:pStyle w:val="TableText"/>
              <w:rPr>
                <w:rFonts w:eastAsia="Symbol"/>
              </w:rPr>
            </w:pPr>
            <w:r>
              <w:t>Anti-Fy(a)</w:t>
            </w:r>
          </w:p>
        </w:tc>
        <w:tc>
          <w:tcPr>
            <w:tcW w:w="1710" w:type="dxa"/>
            <w:shd w:val="clear" w:color="auto" w:fill="auto"/>
          </w:tcPr>
          <w:p w14:paraId="3CA37594" w14:textId="77777777" w:rsidR="003E3D07" w:rsidRDefault="003E3D07">
            <w:pPr>
              <w:pStyle w:val="TableText"/>
              <w:rPr>
                <w:rFonts w:eastAsia="Symbol"/>
              </w:rPr>
            </w:pPr>
            <w:r>
              <w:t>Anti-Fy(a)</w:t>
            </w:r>
          </w:p>
        </w:tc>
        <w:tc>
          <w:tcPr>
            <w:tcW w:w="878" w:type="dxa"/>
            <w:shd w:val="clear" w:color="auto" w:fill="auto"/>
          </w:tcPr>
          <w:p w14:paraId="65E27E90" w14:textId="77777777" w:rsidR="003E3D07" w:rsidRDefault="003E3D07">
            <w:pPr>
              <w:pStyle w:val="TableText"/>
              <w:rPr>
                <w:b/>
                <w:bCs/>
              </w:rPr>
            </w:pPr>
            <w:r>
              <w:rPr>
                <w:bCs/>
              </w:rPr>
              <w:t>Yes</w:t>
            </w:r>
          </w:p>
        </w:tc>
        <w:tc>
          <w:tcPr>
            <w:tcW w:w="878" w:type="dxa"/>
            <w:shd w:val="clear" w:color="auto" w:fill="auto"/>
          </w:tcPr>
          <w:p w14:paraId="3D1E4550" w14:textId="77777777" w:rsidR="003E3D07" w:rsidRDefault="003E3D07">
            <w:pPr>
              <w:pStyle w:val="TableText"/>
              <w:rPr>
                <w:rFonts w:eastAsia="Symbol"/>
                <w:b/>
                <w:bCs/>
              </w:rPr>
            </w:pPr>
            <w:r>
              <w:rPr>
                <w:bCs/>
              </w:rPr>
              <w:t>Yes</w:t>
            </w:r>
          </w:p>
        </w:tc>
        <w:tc>
          <w:tcPr>
            <w:tcW w:w="1253" w:type="dxa"/>
            <w:shd w:val="clear" w:color="auto" w:fill="auto"/>
          </w:tcPr>
          <w:p w14:paraId="4D55D039" w14:textId="77777777" w:rsidR="003E3D07" w:rsidRDefault="003E3D07">
            <w:pPr>
              <w:pStyle w:val="TableText"/>
              <w:rPr>
                <w:rFonts w:eastAsia="Symbol"/>
              </w:rPr>
            </w:pPr>
            <w:r>
              <w:t>Fy(a)</w:t>
            </w:r>
          </w:p>
        </w:tc>
        <w:tc>
          <w:tcPr>
            <w:tcW w:w="1253" w:type="dxa"/>
            <w:shd w:val="clear" w:color="auto" w:fill="auto"/>
          </w:tcPr>
          <w:p w14:paraId="70220374" w14:textId="77777777" w:rsidR="003E3D07" w:rsidRDefault="003E3D07">
            <w:pPr>
              <w:pStyle w:val="TableText"/>
              <w:rPr>
                <w:rFonts w:eastAsia="Symbol"/>
              </w:rPr>
            </w:pPr>
            <w:r>
              <w:t>Fy(a)</w:t>
            </w:r>
          </w:p>
        </w:tc>
        <w:tc>
          <w:tcPr>
            <w:tcW w:w="1296" w:type="dxa"/>
            <w:shd w:val="clear" w:color="auto" w:fill="auto"/>
          </w:tcPr>
          <w:p w14:paraId="63EB76CB" w14:textId="77777777" w:rsidR="003E3D07" w:rsidRDefault="003E3D07">
            <w:pPr>
              <w:pStyle w:val="TableText"/>
              <w:rPr>
                <w:rFonts w:eastAsia="Symbol"/>
              </w:rPr>
            </w:pPr>
            <w:r>
              <w:t>63</w:t>
            </w:r>
          </w:p>
        </w:tc>
        <w:tc>
          <w:tcPr>
            <w:tcW w:w="841" w:type="dxa"/>
            <w:shd w:val="clear" w:color="auto" w:fill="auto"/>
          </w:tcPr>
          <w:p w14:paraId="5B393B1C" w14:textId="77777777" w:rsidR="003E3D07" w:rsidRDefault="003E3D07">
            <w:pPr>
              <w:pStyle w:val="TableText"/>
              <w:rPr>
                <w:rFonts w:eastAsia="Symbol"/>
              </w:rPr>
            </w:pPr>
            <w:r>
              <w:t>AGFy(a)</w:t>
            </w:r>
          </w:p>
        </w:tc>
      </w:tr>
      <w:tr w:rsidR="00824338" w14:paraId="50724538" w14:textId="77777777" w:rsidTr="00031618">
        <w:tblPrEx>
          <w:tblBorders>
            <w:insideH w:val="single" w:sz="4" w:space="0" w:color="auto"/>
            <w:insideV w:val="single" w:sz="4" w:space="0" w:color="auto"/>
          </w:tblBorders>
        </w:tblPrEx>
        <w:tc>
          <w:tcPr>
            <w:tcW w:w="1975" w:type="dxa"/>
            <w:shd w:val="clear" w:color="auto" w:fill="auto"/>
          </w:tcPr>
          <w:p w14:paraId="623F1D50" w14:textId="77777777" w:rsidR="003E3D07" w:rsidRDefault="003E3D07">
            <w:pPr>
              <w:pStyle w:val="TableText"/>
              <w:rPr>
                <w:rFonts w:eastAsia="Symbol"/>
              </w:rPr>
            </w:pPr>
            <w:r>
              <w:t>Anti-Fy(b)</w:t>
            </w:r>
          </w:p>
        </w:tc>
        <w:tc>
          <w:tcPr>
            <w:tcW w:w="1710" w:type="dxa"/>
            <w:shd w:val="clear" w:color="auto" w:fill="auto"/>
          </w:tcPr>
          <w:p w14:paraId="2A547D33" w14:textId="77777777" w:rsidR="003E3D07" w:rsidRDefault="003E3D07">
            <w:pPr>
              <w:pStyle w:val="TableText"/>
              <w:rPr>
                <w:rFonts w:eastAsia="Symbol"/>
              </w:rPr>
            </w:pPr>
            <w:r>
              <w:t>Anti-Fy(b)</w:t>
            </w:r>
          </w:p>
        </w:tc>
        <w:tc>
          <w:tcPr>
            <w:tcW w:w="878" w:type="dxa"/>
            <w:shd w:val="clear" w:color="auto" w:fill="auto"/>
          </w:tcPr>
          <w:p w14:paraId="0653E007" w14:textId="77777777" w:rsidR="003E3D07" w:rsidRDefault="003E3D07">
            <w:pPr>
              <w:pStyle w:val="TableText"/>
              <w:rPr>
                <w:b/>
                <w:bCs/>
              </w:rPr>
            </w:pPr>
            <w:r>
              <w:rPr>
                <w:bCs/>
              </w:rPr>
              <w:t>Yes</w:t>
            </w:r>
          </w:p>
        </w:tc>
        <w:tc>
          <w:tcPr>
            <w:tcW w:w="878" w:type="dxa"/>
            <w:shd w:val="clear" w:color="auto" w:fill="auto"/>
          </w:tcPr>
          <w:p w14:paraId="5AC61F7E" w14:textId="77777777" w:rsidR="003E3D07" w:rsidRDefault="003E3D07">
            <w:pPr>
              <w:pStyle w:val="TableText"/>
              <w:rPr>
                <w:rFonts w:eastAsia="Symbol"/>
                <w:b/>
                <w:bCs/>
              </w:rPr>
            </w:pPr>
            <w:r>
              <w:rPr>
                <w:bCs/>
              </w:rPr>
              <w:t>Yes</w:t>
            </w:r>
          </w:p>
        </w:tc>
        <w:tc>
          <w:tcPr>
            <w:tcW w:w="1253" w:type="dxa"/>
            <w:shd w:val="clear" w:color="auto" w:fill="auto"/>
          </w:tcPr>
          <w:p w14:paraId="7DB31264" w14:textId="77777777" w:rsidR="003E3D07" w:rsidRDefault="003E3D07">
            <w:pPr>
              <w:pStyle w:val="TableText"/>
              <w:rPr>
                <w:rFonts w:eastAsia="Symbol"/>
              </w:rPr>
            </w:pPr>
            <w:r>
              <w:t>Fy(b)</w:t>
            </w:r>
          </w:p>
        </w:tc>
        <w:tc>
          <w:tcPr>
            <w:tcW w:w="1253" w:type="dxa"/>
            <w:shd w:val="clear" w:color="auto" w:fill="auto"/>
          </w:tcPr>
          <w:p w14:paraId="59D57C90" w14:textId="77777777" w:rsidR="003E3D07" w:rsidRDefault="003E3D07">
            <w:pPr>
              <w:pStyle w:val="TableText"/>
              <w:rPr>
                <w:rFonts w:eastAsia="Symbol"/>
              </w:rPr>
            </w:pPr>
            <w:r>
              <w:t>Fy(b)</w:t>
            </w:r>
          </w:p>
        </w:tc>
        <w:tc>
          <w:tcPr>
            <w:tcW w:w="1296" w:type="dxa"/>
            <w:shd w:val="clear" w:color="auto" w:fill="auto"/>
          </w:tcPr>
          <w:p w14:paraId="6E18926D" w14:textId="77777777" w:rsidR="003E3D07" w:rsidRDefault="003E3D07">
            <w:pPr>
              <w:pStyle w:val="TableText"/>
              <w:rPr>
                <w:rFonts w:eastAsia="Symbol"/>
              </w:rPr>
            </w:pPr>
            <w:r>
              <w:t>47</w:t>
            </w:r>
          </w:p>
        </w:tc>
        <w:tc>
          <w:tcPr>
            <w:tcW w:w="841" w:type="dxa"/>
            <w:shd w:val="clear" w:color="auto" w:fill="auto"/>
          </w:tcPr>
          <w:p w14:paraId="3FB651F0" w14:textId="77777777" w:rsidR="003E3D07" w:rsidRDefault="003E3D07">
            <w:pPr>
              <w:pStyle w:val="TableText"/>
              <w:rPr>
                <w:rFonts w:eastAsia="Symbol"/>
              </w:rPr>
            </w:pPr>
            <w:r>
              <w:t>AGFy(b)</w:t>
            </w:r>
          </w:p>
        </w:tc>
      </w:tr>
      <w:tr w:rsidR="00824338" w14:paraId="7BB473CE" w14:textId="77777777" w:rsidTr="00031618">
        <w:tblPrEx>
          <w:tblBorders>
            <w:insideH w:val="single" w:sz="4" w:space="0" w:color="auto"/>
            <w:insideV w:val="single" w:sz="4" w:space="0" w:color="auto"/>
          </w:tblBorders>
        </w:tblPrEx>
        <w:tc>
          <w:tcPr>
            <w:tcW w:w="1975" w:type="dxa"/>
            <w:shd w:val="clear" w:color="auto" w:fill="auto"/>
          </w:tcPr>
          <w:p w14:paraId="4AD657CD" w14:textId="77777777" w:rsidR="003E3D07" w:rsidRDefault="003E3D07">
            <w:pPr>
              <w:pStyle w:val="TableText"/>
              <w:rPr>
                <w:rFonts w:eastAsia="Symbol"/>
              </w:rPr>
            </w:pPr>
            <w:r>
              <w:t>Anti-M</w:t>
            </w:r>
          </w:p>
        </w:tc>
        <w:tc>
          <w:tcPr>
            <w:tcW w:w="1710" w:type="dxa"/>
            <w:shd w:val="clear" w:color="auto" w:fill="auto"/>
          </w:tcPr>
          <w:p w14:paraId="1BF320E0" w14:textId="77777777" w:rsidR="003E3D07" w:rsidRDefault="003E3D07">
            <w:pPr>
              <w:pStyle w:val="TableText"/>
            </w:pPr>
            <w:r>
              <w:t>Anti-M</w:t>
            </w:r>
          </w:p>
        </w:tc>
        <w:tc>
          <w:tcPr>
            <w:tcW w:w="878" w:type="dxa"/>
            <w:shd w:val="clear" w:color="auto" w:fill="auto"/>
          </w:tcPr>
          <w:p w14:paraId="5940FD34" w14:textId="77777777" w:rsidR="003E3D07" w:rsidRDefault="003E3D07">
            <w:pPr>
              <w:pStyle w:val="TableText"/>
            </w:pPr>
            <w:r>
              <w:t>No</w:t>
            </w:r>
          </w:p>
        </w:tc>
        <w:tc>
          <w:tcPr>
            <w:tcW w:w="878" w:type="dxa"/>
            <w:shd w:val="clear" w:color="auto" w:fill="auto"/>
          </w:tcPr>
          <w:p w14:paraId="2D3E86D6" w14:textId="77777777" w:rsidR="003E3D07" w:rsidRDefault="003E3D07">
            <w:pPr>
              <w:pStyle w:val="TableText"/>
              <w:rPr>
                <w:rFonts w:eastAsia="Symbol"/>
              </w:rPr>
            </w:pPr>
            <w:r w:rsidRPr="00035BA7">
              <w:t>Optional</w:t>
            </w:r>
          </w:p>
        </w:tc>
        <w:tc>
          <w:tcPr>
            <w:tcW w:w="1253" w:type="dxa"/>
            <w:shd w:val="clear" w:color="auto" w:fill="auto"/>
          </w:tcPr>
          <w:p w14:paraId="52C79C81" w14:textId="77777777" w:rsidR="003E3D07" w:rsidRDefault="003E3D07">
            <w:pPr>
              <w:pStyle w:val="TableText"/>
              <w:rPr>
                <w:rFonts w:eastAsia="Symbol"/>
              </w:rPr>
            </w:pPr>
            <w:r>
              <w:t>M</w:t>
            </w:r>
          </w:p>
        </w:tc>
        <w:tc>
          <w:tcPr>
            <w:tcW w:w="1253" w:type="dxa"/>
            <w:shd w:val="clear" w:color="auto" w:fill="auto"/>
          </w:tcPr>
          <w:p w14:paraId="4ECBD5C2" w14:textId="77777777" w:rsidR="003E3D07" w:rsidRDefault="003E3D07">
            <w:pPr>
              <w:pStyle w:val="TableText"/>
            </w:pPr>
            <w:r>
              <w:t>M</w:t>
            </w:r>
          </w:p>
        </w:tc>
        <w:tc>
          <w:tcPr>
            <w:tcW w:w="1296" w:type="dxa"/>
            <w:shd w:val="clear" w:color="auto" w:fill="auto"/>
          </w:tcPr>
          <w:p w14:paraId="7CD44598" w14:textId="77777777" w:rsidR="003E3D07" w:rsidRDefault="003E3D07">
            <w:pPr>
              <w:pStyle w:val="TableText"/>
              <w:rPr>
                <w:rFonts w:eastAsia="Symbol"/>
              </w:rPr>
            </w:pPr>
            <w:r>
              <w:t>26</w:t>
            </w:r>
          </w:p>
        </w:tc>
        <w:tc>
          <w:tcPr>
            <w:tcW w:w="841" w:type="dxa"/>
            <w:shd w:val="clear" w:color="auto" w:fill="auto"/>
          </w:tcPr>
          <w:p w14:paraId="767EDB6A" w14:textId="77777777" w:rsidR="003E3D07" w:rsidRDefault="003E3D07">
            <w:pPr>
              <w:pStyle w:val="TableText"/>
              <w:rPr>
                <w:rFonts w:eastAsia="Symbol"/>
              </w:rPr>
            </w:pPr>
            <w:r>
              <w:t>AGM</w:t>
            </w:r>
          </w:p>
        </w:tc>
      </w:tr>
      <w:tr w:rsidR="00824338" w14:paraId="3986DA93" w14:textId="77777777" w:rsidTr="00031618">
        <w:tblPrEx>
          <w:tblBorders>
            <w:insideH w:val="single" w:sz="4" w:space="0" w:color="auto"/>
            <w:insideV w:val="single" w:sz="4" w:space="0" w:color="auto"/>
          </w:tblBorders>
        </w:tblPrEx>
        <w:tc>
          <w:tcPr>
            <w:tcW w:w="1975" w:type="dxa"/>
            <w:shd w:val="clear" w:color="auto" w:fill="auto"/>
          </w:tcPr>
          <w:p w14:paraId="54CBA13E" w14:textId="77777777" w:rsidR="003E3D07" w:rsidRDefault="003E3D07">
            <w:pPr>
              <w:pStyle w:val="TableText"/>
              <w:rPr>
                <w:rFonts w:eastAsia="Symbol"/>
              </w:rPr>
            </w:pPr>
            <w:r>
              <w:t>Anti-N</w:t>
            </w:r>
          </w:p>
        </w:tc>
        <w:tc>
          <w:tcPr>
            <w:tcW w:w="1710" w:type="dxa"/>
            <w:shd w:val="clear" w:color="auto" w:fill="auto"/>
          </w:tcPr>
          <w:p w14:paraId="22F5A7A9" w14:textId="77777777" w:rsidR="003E3D07" w:rsidRDefault="003E3D07">
            <w:pPr>
              <w:pStyle w:val="TableText"/>
            </w:pPr>
            <w:r>
              <w:t>Anti-N</w:t>
            </w:r>
          </w:p>
        </w:tc>
        <w:tc>
          <w:tcPr>
            <w:tcW w:w="878" w:type="dxa"/>
            <w:shd w:val="clear" w:color="auto" w:fill="auto"/>
          </w:tcPr>
          <w:p w14:paraId="452DB398" w14:textId="77777777" w:rsidR="003E3D07" w:rsidRDefault="003E3D07">
            <w:pPr>
              <w:pStyle w:val="TableText"/>
            </w:pPr>
            <w:r>
              <w:t>No</w:t>
            </w:r>
          </w:p>
        </w:tc>
        <w:tc>
          <w:tcPr>
            <w:tcW w:w="878" w:type="dxa"/>
            <w:shd w:val="clear" w:color="auto" w:fill="auto"/>
          </w:tcPr>
          <w:p w14:paraId="054FA6B7" w14:textId="77777777" w:rsidR="003E3D07" w:rsidRDefault="003E3D07">
            <w:pPr>
              <w:pStyle w:val="TableText"/>
              <w:rPr>
                <w:rFonts w:eastAsia="Symbol"/>
              </w:rPr>
            </w:pPr>
            <w:r>
              <w:t>Optional</w:t>
            </w:r>
          </w:p>
        </w:tc>
        <w:tc>
          <w:tcPr>
            <w:tcW w:w="1253" w:type="dxa"/>
            <w:shd w:val="clear" w:color="auto" w:fill="auto"/>
          </w:tcPr>
          <w:p w14:paraId="5BBB5B73" w14:textId="77777777" w:rsidR="003E3D07" w:rsidRDefault="003E3D07">
            <w:pPr>
              <w:pStyle w:val="TableText"/>
              <w:rPr>
                <w:rFonts w:eastAsia="Symbol"/>
              </w:rPr>
            </w:pPr>
            <w:r>
              <w:t>N</w:t>
            </w:r>
          </w:p>
        </w:tc>
        <w:tc>
          <w:tcPr>
            <w:tcW w:w="1253" w:type="dxa"/>
            <w:shd w:val="clear" w:color="auto" w:fill="auto"/>
          </w:tcPr>
          <w:p w14:paraId="3DB0219F" w14:textId="77777777" w:rsidR="003E3D07" w:rsidRDefault="003E3D07">
            <w:pPr>
              <w:pStyle w:val="TableText"/>
            </w:pPr>
            <w:r>
              <w:t>N</w:t>
            </w:r>
          </w:p>
        </w:tc>
        <w:tc>
          <w:tcPr>
            <w:tcW w:w="1296" w:type="dxa"/>
            <w:shd w:val="clear" w:color="auto" w:fill="auto"/>
          </w:tcPr>
          <w:p w14:paraId="2906983F" w14:textId="77777777" w:rsidR="003E3D07" w:rsidRDefault="003E3D07">
            <w:pPr>
              <w:pStyle w:val="TableText"/>
              <w:rPr>
                <w:rFonts w:eastAsia="Symbol"/>
              </w:rPr>
            </w:pPr>
            <w:r>
              <w:t>27</w:t>
            </w:r>
          </w:p>
        </w:tc>
        <w:tc>
          <w:tcPr>
            <w:tcW w:w="841" w:type="dxa"/>
            <w:shd w:val="clear" w:color="auto" w:fill="auto"/>
          </w:tcPr>
          <w:p w14:paraId="7D0B674C" w14:textId="77777777" w:rsidR="003E3D07" w:rsidRDefault="003E3D07">
            <w:pPr>
              <w:pStyle w:val="TableText"/>
              <w:rPr>
                <w:rFonts w:eastAsia="Symbol"/>
              </w:rPr>
            </w:pPr>
            <w:r>
              <w:t>AGN</w:t>
            </w:r>
          </w:p>
        </w:tc>
      </w:tr>
      <w:tr w:rsidR="00824338" w14:paraId="10FD6535" w14:textId="77777777" w:rsidTr="00031618">
        <w:tblPrEx>
          <w:tblBorders>
            <w:insideH w:val="single" w:sz="4" w:space="0" w:color="auto"/>
            <w:insideV w:val="single" w:sz="4" w:space="0" w:color="auto"/>
          </w:tblBorders>
        </w:tblPrEx>
        <w:tc>
          <w:tcPr>
            <w:tcW w:w="1975" w:type="dxa"/>
            <w:shd w:val="clear" w:color="auto" w:fill="auto"/>
          </w:tcPr>
          <w:p w14:paraId="057C1EEF" w14:textId="77777777" w:rsidR="003E3D07" w:rsidRDefault="003E3D07">
            <w:pPr>
              <w:pStyle w:val="TableText"/>
              <w:rPr>
                <w:rFonts w:eastAsia="Symbol"/>
              </w:rPr>
            </w:pPr>
            <w:r>
              <w:t>Anti-S</w:t>
            </w:r>
          </w:p>
        </w:tc>
        <w:tc>
          <w:tcPr>
            <w:tcW w:w="1710" w:type="dxa"/>
            <w:shd w:val="clear" w:color="auto" w:fill="auto"/>
          </w:tcPr>
          <w:p w14:paraId="05BB6F06" w14:textId="77777777" w:rsidR="003E3D07" w:rsidRDefault="003E3D07">
            <w:pPr>
              <w:pStyle w:val="TableText"/>
              <w:rPr>
                <w:rFonts w:eastAsia="Symbol"/>
              </w:rPr>
            </w:pPr>
            <w:r>
              <w:t>Anti-S</w:t>
            </w:r>
          </w:p>
        </w:tc>
        <w:tc>
          <w:tcPr>
            <w:tcW w:w="878" w:type="dxa"/>
            <w:shd w:val="clear" w:color="auto" w:fill="auto"/>
          </w:tcPr>
          <w:p w14:paraId="029EF580" w14:textId="77777777" w:rsidR="003E3D07" w:rsidRDefault="003E3D07">
            <w:pPr>
              <w:pStyle w:val="TableText"/>
              <w:rPr>
                <w:b/>
                <w:bCs/>
              </w:rPr>
            </w:pPr>
            <w:r>
              <w:rPr>
                <w:bCs/>
              </w:rPr>
              <w:t>Yes</w:t>
            </w:r>
          </w:p>
        </w:tc>
        <w:tc>
          <w:tcPr>
            <w:tcW w:w="878" w:type="dxa"/>
            <w:shd w:val="clear" w:color="auto" w:fill="auto"/>
          </w:tcPr>
          <w:p w14:paraId="273CEB72" w14:textId="77777777" w:rsidR="003E3D07" w:rsidRDefault="003E3D07">
            <w:pPr>
              <w:pStyle w:val="TableText"/>
              <w:rPr>
                <w:rFonts w:eastAsia="Symbol"/>
                <w:b/>
                <w:bCs/>
              </w:rPr>
            </w:pPr>
            <w:r>
              <w:rPr>
                <w:bCs/>
              </w:rPr>
              <w:t>Yes</w:t>
            </w:r>
          </w:p>
        </w:tc>
        <w:tc>
          <w:tcPr>
            <w:tcW w:w="1253" w:type="dxa"/>
            <w:shd w:val="clear" w:color="auto" w:fill="auto"/>
          </w:tcPr>
          <w:p w14:paraId="672133E1" w14:textId="77777777" w:rsidR="003E3D07" w:rsidRDefault="003E3D07">
            <w:pPr>
              <w:pStyle w:val="TableText"/>
              <w:rPr>
                <w:rFonts w:eastAsia="Symbol"/>
              </w:rPr>
            </w:pPr>
            <w:r>
              <w:t>S</w:t>
            </w:r>
          </w:p>
        </w:tc>
        <w:tc>
          <w:tcPr>
            <w:tcW w:w="1253" w:type="dxa"/>
            <w:shd w:val="clear" w:color="auto" w:fill="auto"/>
          </w:tcPr>
          <w:p w14:paraId="7FD029CF" w14:textId="77777777" w:rsidR="003E3D07" w:rsidRDefault="003E3D07">
            <w:pPr>
              <w:pStyle w:val="TableText"/>
              <w:rPr>
                <w:rFonts w:eastAsia="Symbol"/>
              </w:rPr>
            </w:pPr>
            <w:r>
              <w:t>S</w:t>
            </w:r>
          </w:p>
        </w:tc>
        <w:tc>
          <w:tcPr>
            <w:tcW w:w="1296" w:type="dxa"/>
            <w:shd w:val="clear" w:color="auto" w:fill="auto"/>
          </w:tcPr>
          <w:p w14:paraId="6FE0D9B1" w14:textId="77777777" w:rsidR="003E3D07" w:rsidRDefault="003E3D07">
            <w:pPr>
              <w:pStyle w:val="TableText"/>
              <w:rPr>
                <w:rFonts w:eastAsia="Symbol"/>
              </w:rPr>
            </w:pPr>
            <w:r>
              <w:t>58</w:t>
            </w:r>
          </w:p>
        </w:tc>
        <w:tc>
          <w:tcPr>
            <w:tcW w:w="841" w:type="dxa"/>
            <w:shd w:val="clear" w:color="auto" w:fill="auto"/>
          </w:tcPr>
          <w:p w14:paraId="200C3FEF" w14:textId="77777777" w:rsidR="003E3D07" w:rsidRDefault="003E3D07">
            <w:pPr>
              <w:pStyle w:val="TableText"/>
              <w:rPr>
                <w:rFonts w:eastAsia="Symbol"/>
              </w:rPr>
            </w:pPr>
            <w:r>
              <w:t>AGS</w:t>
            </w:r>
          </w:p>
        </w:tc>
      </w:tr>
      <w:tr w:rsidR="00824338" w14:paraId="42DB3B35" w14:textId="77777777" w:rsidTr="00031618">
        <w:tblPrEx>
          <w:tblBorders>
            <w:insideH w:val="single" w:sz="4" w:space="0" w:color="auto"/>
            <w:insideV w:val="single" w:sz="4" w:space="0" w:color="auto"/>
          </w:tblBorders>
        </w:tblPrEx>
        <w:tc>
          <w:tcPr>
            <w:tcW w:w="1975" w:type="dxa"/>
            <w:shd w:val="clear" w:color="auto" w:fill="auto"/>
          </w:tcPr>
          <w:p w14:paraId="64204A44" w14:textId="77777777" w:rsidR="003E3D07" w:rsidRDefault="003E3D07">
            <w:pPr>
              <w:pStyle w:val="TableText"/>
              <w:rPr>
                <w:rFonts w:eastAsia="Symbol"/>
              </w:rPr>
            </w:pPr>
            <w:r>
              <w:t>Anti-s</w:t>
            </w:r>
          </w:p>
        </w:tc>
        <w:tc>
          <w:tcPr>
            <w:tcW w:w="1710" w:type="dxa"/>
            <w:shd w:val="clear" w:color="auto" w:fill="auto"/>
          </w:tcPr>
          <w:p w14:paraId="45CDEC64" w14:textId="77777777" w:rsidR="003E3D07" w:rsidRDefault="003E3D07">
            <w:pPr>
              <w:pStyle w:val="TableText"/>
              <w:rPr>
                <w:rFonts w:eastAsia="Symbol"/>
              </w:rPr>
            </w:pPr>
            <w:r>
              <w:t>Anti-s</w:t>
            </w:r>
          </w:p>
        </w:tc>
        <w:tc>
          <w:tcPr>
            <w:tcW w:w="878" w:type="dxa"/>
            <w:shd w:val="clear" w:color="auto" w:fill="auto"/>
          </w:tcPr>
          <w:p w14:paraId="07F2A26E" w14:textId="77777777" w:rsidR="003E3D07" w:rsidRDefault="003E3D07">
            <w:pPr>
              <w:pStyle w:val="TableText"/>
              <w:rPr>
                <w:b/>
                <w:bCs/>
              </w:rPr>
            </w:pPr>
            <w:r>
              <w:rPr>
                <w:bCs/>
              </w:rPr>
              <w:t>Yes</w:t>
            </w:r>
          </w:p>
        </w:tc>
        <w:tc>
          <w:tcPr>
            <w:tcW w:w="878" w:type="dxa"/>
            <w:shd w:val="clear" w:color="auto" w:fill="auto"/>
          </w:tcPr>
          <w:p w14:paraId="024E113C" w14:textId="77777777" w:rsidR="003E3D07" w:rsidRDefault="003E3D07">
            <w:pPr>
              <w:pStyle w:val="TableText"/>
              <w:rPr>
                <w:rFonts w:eastAsia="Symbol"/>
                <w:b/>
                <w:bCs/>
              </w:rPr>
            </w:pPr>
            <w:r>
              <w:rPr>
                <w:bCs/>
              </w:rPr>
              <w:t>Yes</w:t>
            </w:r>
          </w:p>
        </w:tc>
        <w:tc>
          <w:tcPr>
            <w:tcW w:w="1253" w:type="dxa"/>
            <w:shd w:val="clear" w:color="auto" w:fill="auto"/>
          </w:tcPr>
          <w:p w14:paraId="07F7D1EA" w14:textId="77777777" w:rsidR="003E3D07" w:rsidRDefault="003E3D07">
            <w:pPr>
              <w:pStyle w:val="TableText"/>
              <w:rPr>
                <w:rFonts w:eastAsia="Symbol"/>
              </w:rPr>
            </w:pPr>
            <w:r>
              <w:t>s</w:t>
            </w:r>
          </w:p>
        </w:tc>
        <w:tc>
          <w:tcPr>
            <w:tcW w:w="1253" w:type="dxa"/>
            <w:shd w:val="clear" w:color="auto" w:fill="auto"/>
          </w:tcPr>
          <w:p w14:paraId="493CAA71" w14:textId="77777777" w:rsidR="003E3D07" w:rsidRDefault="003E3D07">
            <w:pPr>
              <w:pStyle w:val="TableText"/>
              <w:rPr>
                <w:rFonts w:eastAsia="Symbol"/>
              </w:rPr>
            </w:pPr>
            <w:r>
              <w:t>s</w:t>
            </w:r>
          </w:p>
        </w:tc>
        <w:tc>
          <w:tcPr>
            <w:tcW w:w="1296" w:type="dxa"/>
            <w:shd w:val="clear" w:color="auto" w:fill="auto"/>
          </w:tcPr>
          <w:p w14:paraId="376396DF" w14:textId="77777777" w:rsidR="003E3D07" w:rsidRDefault="003E3D07">
            <w:pPr>
              <w:pStyle w:val="TableText"/>
              <w:rPr>
                <w:rFonts w:eastAsia="Symbol"/>
              </w:rPr>
            </w:pPr>
            <w:r>
              <w:t>7</w:t>
            </w:r>
          </w:p>
        </w:tc>
        <w:tc>
          <w:tcPr>
            <w:tcW w:w="841" w:type="dxa"/>
            <w:shd w:val="clear" w:color="auto" w:fill="auto"/>
          </w:tcPr>
          <w:p w14:paraId="029FADCD" w14:textId="77777777" w:rsidR="003E3D07" w:rsidRDefault="003E3D07">
            <w:pPr>
              <w:pStyle w:val="TableText"/>
              <w:rPr>
                <w:rFonts w:eastAsia="Symbol"/>
              </w:rPr>
            </w:pPr>
            <w:r>
              <w:t>AGs</w:t>
            </w:r>
          </w:p>
        </w:tc>
      </w:tr>
      <w:tr w:rsidR="00824338" w14:paraId="13473369" w14:textId="77777777" w:rsidTr="00031618">
        <w:tblPrEx>
          <w:tblBorders>
            <w:insideH w:val="single" w:sz="4" w:space="0" w:color="auto"/>
            <w:insideV w:val="single" w:sz="4" w:space="0" w:color="auto"/>
          </w:tblBorders>
        </w:tblPrEx>
        <w:tc>
          <w:tcPr>
            <w:tcW w:w="1975" w:type="dxa"/>
            <w:shd w:val="clear" w:color="auto" w:fill="auto"/>
          </w:tcPr>
          <w:p w14:paraId="6F7B40C3" w14:textId="77777777" w:rsidR="003E3D07" w:rsidRDefault="003E3D07">
            <w:pPr>
              <w:pStyle w:val="TableText"/>
              <w:rPr>
                <w:rFonts w:eastAsia="Symbol"/>
              </w:rPr>
            </w:pPr>
            <w:r>
              <w:t>Anti-U</w:t>
            </w:r>
          </w:p>
        </w:tc>
        <w:tc>
          <w:tcPr>
            <w:tcW w:w="1710" w:type="dxa"/>
            <w:shd w:val="clear" w:color="auto" w:fill="auto"/>
          </w:tcPr>
          <w:p w14:paraId="667067E2" w14:textId="77777777" w:rsidR="003E3D07" w:rsidRDefault="003E3D07">
            <w:pPr>
              <w:pStyle w:val="TableText"/>
              <w:rPr>
                <w:b/>
                <w:bCs/>
              </w:rPr>
            </w:pPr>
            <w:r>
              <w:t>Anti-U</w:t>
            </w:r>
          </w:p>
        </w:tc>
        <w:tc>
          <w:tcPr>
            <w:tcW w:w="878" w:type="dxa"/>
            <w:shd w:val="clear" w:color="auto" w:fill="auto"/>
          </w:tcPr>
          <w:p w14:paraId="014E2A70" w14:textId="77777777" w:rsidR="003E3D07" w:rsidRDefault="003E3D07">
            <w:pPr>
              <w:pStyle w:val="TableText"/>
              <w:rPr>
                <w:b/>
                <w:bCs/>
              </w:rPr>
            </w:pPr>
            <w:r>
              <w:rPr>
                <w:bCs/>
              </w:rPr>
              <w:t>Yes</w:t>
            </w:r>
          </w:p>
        </w:tc>
        <w:tc>
          <w:tcPr>
            <w:tcW w:w="878" w:type="dxa"/>
            <w:shd w:val="clear" w:color="auto" w:fill="auto"/>
          </w:tcPr>
          <w:p w14:paraId="2EBEBC4B" w14:textId="77777777" w:rsidR="003E3D07" w:rsidRDefault="003E3D07">
            <w:pPr>
              <w:pStyle w:val="TableText"/>
              <w:rPr>
                <w:rFonts w:eastAsia="Symbol"/>
              </w:rPr>
            </w:pPr>
            <w:r>
              <w:t>Optional</w:t>
            </w:r>
          </w:p>
        </w:tc>
        <w:tc>
          <w:tcPr>
            <w:tcW w:w="1253" w:type="dxa"/>
            <w:shd w:val="clear" w:color="auto" w:fill="auto"/>
          </w:tcPr>
          <w:p w14:paraId="664A4629" w14:textId="77777777" w:rsidR="003E3D07" w:rsidRDefault="003E3D07">
            <w:pPr>
              <w:pStyle w:val="TableText"/>
              <w:rPr>
                <w:rFonts w:eastAsia="Symbol"/>
              </w:rPr>
            </w:pPr>
            <w:r>
              <w:t>U</w:t>
            </w:r>
          </w:p>
        </w:tc>
        <w:tc>
          <w:tcPr>
            <w:tcW w:w="1253" w:type="dxa"/>
            <w:shd w:val="clear" w:color="auto" w:fill="auto"/>
          </w:tcPr>
          <w:p w14:paraId="4A729216" w14:textId="77777777" w:rsidR="003E3D07" w:rsidRDefault="003E3D07">
            <w:pPr>
              <w:pStyle w:val="TableText"/>
            </w:pPr>
            <w:r>
              <w:t>U</w:t>
            </w:r>
          </w:p>
        </w:tc>
        <w:tc>
          <w:tcPr>
            <w:tcW w:w="1296" w:type="dxa"/>
            <w:shd w:val="clear" w:color="auto" w:fill="auto"/>
          </w:tcPr>
          <w:p w14:paraId="285B2977" w14:textId="77777777" w:rsidR="003E3D07" w:rsidRDefault="003E3D07">
            <w:pPr>
              <w:pStyle w:val="TableText"/>
              <w:rPr>
                <w:rFonts w:eastAsia="Symbol"/>
              </w:rPr>
            </w:pPr>
            <w:r>
              <w:t>0</w:t>
            </w:r>
          </w:p>
        </w:tc>
        <w:tc>
          <w:tcPr>
            <w:tcW w:w="841" w:type="dxa"/>
            <w:shd w:val="clear" w:color="auto" w:fill="auto"/>
          </w:tcPr>
          <w:p w14:paraId="4C527B0B" w14:textId="77777777" w:rsidR="003E3D07" w:rsidRDefault="003E3D07">
            <w:pPr>
              <w:pStyle w:val="TableText"/>
              <w:rPr>
                <w:rFonts w:eastAsia="Symbol"/>
              </w:rPr>
            </w:pPr>
            <w:r>
              <w:t>AGU</w:t>
            </w:r>
          </w:p>
        </w:tc>
      </w:tr>
      <w:tr w:rsidR="00824338" w14:paraId="79275613" w14:textId="77777777" w:rsidTr="00031618">
        <w:tblPrEx>
          <w:tblBorders>
            <w:insideH w:val="single" w:sz="4" w:space="0" w:color="auto"/>
            <w:insideV w:val="single" w:sz="4" w:space="0" w:color="auto"/>
          </w:tblBorders>
        </w:tblPrEx>
        <w:tc>
          <w:tcPr>
            <w:tcW w:w="1975" w:type="dxa"/>
            <w:shd w:val="clear" w:color="auto" w:fill="auto"/>
          </w:tcPr>
          <w:p w14:paraId="2D8BF187" w14:textId="77777777" w:rsidR="003E3D07" w:rsidRDefault="003E3D07">
            <w:pPr>
              <w:pStyle w:val="TableText"/>
              <w:rPr>
                <w:rFonts w:eastAsia="Symbol"/>
              </w:rPr>
            </w:pPr>
            <w:r>
              <w:t>Anti-P1</w:t>
            </w:r>
          </w:p>
        </w:tc>
        <w:tc>
          <w:tcPr>
            <w:tcW w:w="1710" w:type="dxa"/>
            <w:shd w:val="clear" w:color="auto" w:fill="auto"/>
          </w:tcPr>
          <w:p w14:paraId="6CBD8C3A" w14:textId="77777777" w:rsidR="003E3D07" w:rsidRDefault="003E3D07">
            <w:pPr>
              <w:pStyle w:val="TableText"/>
            </w:pPr>
            <w:r>
              <w:t>Anti-P1</w:t>
            </w:r>
          </w:p>
        </w:tc>
        <w:tc>
          <w:tcPr>
            <w:tcW w:w="878" w:type="dxa"/>
            <w:shd w:val="clear" w:color="auto" w:fill="auto"/>
          </w:tcPr>
          <w:p w14:paraId="3EB97226" w14:textId="77777777" w:rsidR="003E3D07" w:rsidRDefault="003E3D07">
            <w:pPr>
              <w:pStyle w:val="TableText"/>
            </w:pPr>
            <w:r>
              <w:t>No</w:t>
            </w:r>
          </w:p>
        </w:tc>
        <w:tc>
          <w:tcPr>
            <w:tcW w:w="878" w:type="dxa"/>
            <w:shd w:val="clear" w:color="auto" w:fill="auto"/>
          </w:tcPr>
          <w:p w14:paraId="6B5CF6FD" w14:textId="77777777" w:rsidR="003E3D07" w:rsidRDefault="003E3D07">
            <w:pPr>
              <w:pStyle w:val="TableText"/>
              <w:rPr>
                <w:rFonts w:eastAsia="Symbol"/>
              </w:rPr>
            </w:pPr>
            <w:r>
              <w:t>Optional</w:t>
            </w:r>
          </w:p>
        </w:tc>
        <w:tc>
          <w:tcPr>
            <w:tcW w:w="1253" w:type="dxa"/>
            <w:shd w:val="clear" w:color="auto" w:fill="auto"/>
          </w:tcPr>
          <w:p w14:paraId="687C4A49" w14:textId="77777777" w:rsidR="003E3D07" w:rsidRDefault="003E3D07">
            <w:pPr>
              <w:pStyle w:val="TableText"/>
              <w:rPr>
                <w:rFonts w:eastAsia="Symbol"/>
              </w:rPr>
            </w:pPr>
            <w:r>
              <w:t>P1</w:t>
            </w:r>
          </w:p>
        </w:tc>
        <w:tc>
          <w:tcPr>
            <w:tcW w:w="1253" w:type="dxa"/>
            <w:shd w:val="clear" w:color="auto" w:fill="auto"/>
          </w:tcPr>
          <w:p w14:paraId="033AAE76" w14:textId="77777777" w:rsidR="003E3D07" w:rsidRDefault="003E3D07">
            <w:pPr>
              <w:pStyle w:val="TableText"/>
              <w:rPr>
                <w:rFonts w:eastAsia="Symbol"/>
              </w:rPr>
            </w:pPr>
            <w:r>
              <w:t>P1</w:t>
            </w:r>
          </w:p>
        </w:tc>
        <w:tc>
          <w:tcPr>
            <w:tcW w:w="1296" w:type="dxa"/>
            <w:shd w:val="clear" w:color="auto" w:fill="auto"/>
          </w:tcPr>
          <w:p w14:paraId="7D439378" w14:textId="77777777" w:rsidR="003E3D07" w:rsidRDefault="003E3D07">
            <w:pPr>
              <w:pStyle w:val="TableText"/>
              <w:rPr>
                <w:rFonts w:eastAsia="Symbol"/>
              </w:rPr>
            </w:pPr>
            <w:r>
              <w:rPr>
                <w:rFonts w:eastAsia="Symbol"/>
              </w:rPr>
              <w:t>21</w:t>
            </w:r>
          </w:p>
        </w:tc>
        <w:tc>
          <w:tcPr>
            <w:tcW w:w="841" w:type="dxa"/>
            <w:shd w:val="clear" w:color="auto" w:fill="auto"/>
          </w:tcPr>
          <w:p w14:paraId="247D620D" w14:textId="77777777" w:rsidR="003E3D07" w:rsidRDefault="003E3D07">
            <w:pPr>
              <w:pStyle w:val="TableText"/>
              <w:rPr>
                <w:rFonts w:eastAsia="Symbol"/>
              </w:rPr>
            </w:pPr>
            <w:r>
              <w:t>AGP1</w:t>
            </w:r>
          </w:p>
        </w:tc>
      </w:tr>
      <w:tr w:rsidR="00824338" w14:paraId="498FCCEB" w14:textId="77777777" w:rsidTr="00031618">
        <w:tblPrEx>
          <w:tblBorders>
            <w:insideH w:val="single" w:sz="4" w:space="0" w:color="auto"/>
            <w:insideV w:val="single" w:sz="4" w:space="0" w:color="auto"/>
          </w:tblBorders>
        </w:tblPrEx>
        <w:tc>
          <w:tcPr>
            <w:tcW w:w="1975" w:type="dxa"/>
            <w:shd w:val="clear" w:color="auto" w:fill="auto"/>
          </w:tcPr>
          <w:p w14:paraId="751E106F" w14:textId="77777777" w:rsidR="003E3D07" w:rsidRDefault="003E3D07">
            <w:pPr>
              <w:pStyle w:val="TableText"/>
              <w:rPr>
                <w:rFonts w:eastAsia="Symbol"/>
              </w:rPr>
            </w:pPr>
            <w:r>
              <w:t>Anti-Le(a)</w:t>
            </w:r>
          </w:p>
        </w:tc>
        <w:tc>
          <w:tcPr>
            <w:tcW w:w="1710" w:type="dxa"/>
            <w:shd w:val="clear" w:color="auto" w:fill="auto"/>
          </w:tcPr>
          <w:p w14:paraId="1D696425" w14:textId="77777777" w:rsidR="003E3D07" w:rsidRDefault="003E3D07">
            <w:pPr>
              <w:pStyle w:val="TableText"/>
              <w:rPr>
                <w:rFonts w:eastAsia="Symbol"/>
              </w:rPr>
            </w:pPr>
            <w:r>
              <w:t>Anti-Le(a)</w:t>
            </w:r>
          </w:p>
        </w:tc>
        <w:tc>
          <w:tcPr>
            <w:tcW w:w="878" w:type="dxa"/>
            <w:shd w:val="clear" w:color="auto" w:fill="auto"/>
          </w:tcPr>
          <w:p w14:paraId="6F338F9E" w14:textId="77777777" w:rsidR="003E3D07" w:rsidRDefault="003E3D07">
            <w:pPr>
              <w:pStyle w:val="TableText"/>
            </w:pPr>
            <w:r>
              <w:t>No</w:t>
            </w:r>
          </w:p>
        </w:tc>
        <w:tc>
          <w:tcPr>
            <w:tcW w:w="878" w:type="dxa"/>
            <w:shd w:val="clear" w:color="auto" w:fill="auto"/>
          </w:tcPr>
          <w:p w14:paraId="281998BC" w14:textId="77777777" w:rsidR="003E3D07" w:rsidRDefault="003E3D07">
            <w:pPr>
              <w:pStyle w:val="TableText"/>
              <w:rPr>
                <w:rFonts w:eastAsia="Symbol"/>
              </w:rPr>
            </w:pPr>
            <w:r>
              <w:t>Optional</w:t>
            </w:r>
          </w:p>
        </w:tc>
        <w:tc>
          <w:tcPr>
            <w:tcW w:w="1253" w:type="dxa"/>
            <w:shd w:val="clear" w:color="auto" w:fill="auto"/>
          </w:tcPr>
          <w:p w14:paraId="79053358" w14:textId="77777777" w:rsidR="003E3D07" w:rsidRDefault="003E3D07">
            <w:pPr>
              <w:pStyle w:val="TableText"/>
              <w:rPr>
                <w:rFonts w:eastAsia="Symbol"/>
              </w:rPr>
            </w:pPr>
            <w:r>
              <w:t>Le(a)</w:t>
            </w:r>
          </w:p>
        </w:tc>
        <w:tc>
          <w:tcPr>
            <w:tcW w:w="1253" w:type="dxa"/>
            <w:shd w:val="clear" w:color="auto" w:fill="auto"/>
          </w:tcPr>
          <w:p w14:paraId="578FA902" w14:textId="77777777" w:rsidR="003E3D07" w:rsidRDefault="003E3D07">
            <w:pPr>
              <w:pStyle w:val="TableText"/>
              <w:rPr>
                <w:rFonts w:eastAsia="Symbol"/>
              </w:rPr>
            </w:pPr>
            <w:r>
              <w:t>Le(a)</w:t>
            </w:r>
          </w:p>
        </w:tc>
        <w:tc>
          <w:tcPr>
            <w:tcW w:w="1296" w:type="dxa"/>
            <w:shd w:val="clear" w:color="auto" w:fill="auto"/>
          </w:tcPr>
          <w:p w14:paraId="3D539D40" w14:textId="77777777" w:rsidR="003E3D07" w:rsidRDefault="003E3D07">
            <w:pPr>
              <w:pStyle w:val="TableText"/>
              <w:rPr>
                <w:rFonts w:eastAsia="Symbol"/>
              </w:rPr>
            </w:pPr>
            <w:r>
              <w:t>78</w:t>
            </w:r>
          </w:p>
        </w:tc>
        <w:tc>
          <w:tcPr>
            <w:tcW w:w="841" w:type="dxa"/>
            <w:shd w:val="clear" w:color="auto" w:fill="auto"/>
          </w:tcPr>
          <w:p w14:paraId="4BC46CD4" w14:textId="77777777" w:rsidR="003E3D07" w:rsidRDefault="003E3D07">
            <w:pPr>
              <w:pStyle w:val="TableText"/>
              <w:rPr>
                <w:rFonts w:eastAsia="Symbol"/>
              </w:rPr>
            </w:pPr>
            <w:r>
              <w:t>AGLe(a)</w:t>
            </w:r>
          </w:p>
        </w:tc>
      </w:tr>
      <w:tr w:rsidR="00824338" w14:paraId="4444A92F" w14:textId="77777777" w:rsidTr="00031618">
        <w:tblPrEx>
          <w:tblBorders>
            <w:insideH w:val="single" w:sz="4" w:space="0" w:color="auto"/>
            <w:insideV w:val="single" w:sz="4" w:space="0" w:color="auto"/>
          </w:tblBorders>
        </w:tblPrEx>
        <w:tc>
          <w:tcPr>
            <w:tcW w:w="1975" w:type="dxa"/>
            <w:shd w:val="clear" w:color="auto" w:fill="auto"/>
          </w:tcPr>
          <w:p w14:paraId="2CB52D49" w14:textId="77777777" w:rsidR="003E3D07" w:rsidRDefault="003E3D07">
            <w:pPr>
              <w:pStyle w:val="TableText"/>
              <w:rPr>
                <w:rFonts w:eastAsia="Symbol"/>
              </w:rPr>
            </w:pPr>
            <w:r>
              <w:t>Anti-Le(b)</w:t>
            </w:r>
          </w:p>
        </w:tc>
        <w:tc>
          <w:tcPr>
            <w:tcW w:w="1710" w:type="dxa"/>
            <w:shd w:val="clear" w:color="auto" w:fill="auto"/>
          </w:tcPr>
          <w:p w14:paraId="3D972229" w14:textId="77777777" w:rsidR="003E3D07" w:rsidRDefault="003E3D07">
            <w:pPr>
              <w:pStyle w:val="TableText"/>
              <w:rPr>
                <w:rFonts w:eastAsia="Symbol"/>
              </w:rPr>
            </w:pPr>
            <w:r>
              <w:t>Anti-Le(b)</w:t>
            </w:r>
          </w:p>
        </w:tc>
        <w:tc>
          <w:tcPr>
            <w:tcW w:w="878" w:type="dxa"/>
            <w:shd w:val="clear" w:color="auto" w:fill="auto"/>
          </w:tcPr>
          <w:p w14:paraId="6A065429" w14:textId="77777777" w:rsidR="003E3D07" w:rsidRDefault="003E3D07">
            <w:pPr>
              <w:pStyle w:val="TableText"/>
            </w:pPr>
            <w:r>
              <w:t>No</w:t>
            </w:r>
          </w:p>
        </w:tc>
        <w:tc>
          <w:tcPr>
            <w:tcW w:w="878" w:type="dxa"/>
            <w:shd w:val="clear" w:color="auto" w:fill="auto"/>
          </w:tcPr>
          <w:p w14:paraId="0FD79DDC" w14:textId="77777777" w:rsidR="003E3D07" w:rsidRDefault="003E3D07">
            <w:pPr>
              <w:pStyle w:val="TableText"/>
              <w:rPr>
                <w:rFonts w:eastAsia="Symbol"/>
              </w:rPr>
            </w:pPr>
            <w:r>
              <w:t>Optional</w:t>
            </w:r>
          </w:p>
        </w:tc>
        <w:tc>
          <w:tcPr>
            <w:tcW w:w="1253" w:type="dxa"/>
            <w:shd w:val="clear" w:color="auto" w:fill="auto"/>
          </w:tcPr>
          <w:p w14:paraId="5DCFC927" w14:textId="77777777" w:rsidR="003E3D07" w:rsidRDefault="003E3D07">
            <w:pPr>
              <w:pStyle w:val="TableText"/>
              <w:rPr>
                <w:rFonts w:eastAsia="Symbol"/>
              </w:rPr>
            </w:pPr>
            <w:r>
              <w:t>Le(b)</w:t>
            </w:r>
          </w:p>
        </w:tc>
        <w:tc>
          <w:tcPr>
            <w:tcW w:w="1253" w:type="dxa"/>
            <w:shd w:val="clear" w:color="auto" w:fill="auto"/>
          </w:tcPr>
          <w:p w14:paraId="0764BAE8" w14:textId="77777777" w:rsidR="003E3D07" w:rsidRDefault="003E3D07">
            <w:pPr>
              <w:pStyle w:val="TableText"/>
              <w:rPr>
                <w:rFonts w:eastAsia="Symbol"/>
              </w:rPr>
            </w:pPr>
            <w:r>
              <w:t>Le(b)</w:t>
            </w:r>
          </w:p>
        </w:tc>
        <w:tc>
          <w:tcPr>
            <w:tcW w:w="1296" w:type="dxa"/>
            <w:shd w:val="clear" w:color="auto" w:fill="auto"/>
          </w:tcPr>
          <w:p w14:paraId="3E6312AD" w14:textId="77777777" w:rsidR="003E3D07" w:rsidRDefault="003E3D07">
            <w:pPr>
              <w:pStyle w:val="TableText"/>
              <w:rPr>
                <w:rFonts w:eastAsia="Symbol"/>
              </w:rPr>
            </w:pPr>
            <w:r>
              <w:t>37</w:t>
            </w:r>
          </w:p>
        </w:tc>
        <w:tc>
          <w:tcPr>
            <w:tcW w:w="841" w:type="dxa"/>
            <w:shd w:val="clear" w:color="auto" w:fill="auto"/>
          </w:tcPr>
          <w:p w14:paraId="79D039C1" w14:textId="77777777" w:rsidR="003E3D07" w:rsidRDefault="003E3D07">
            <w:pPr>
              <w:pStyle w:val="TableText"/>
              <w:rPr>
                <w:rFonts w:eastAsia="Symbol"/>
              </w:rPr>
            </w:pPr>
            <w:r>
              <w:t>AGLe(b)</w:t>
            </w:r>
          </w:p>
        </w:tc>
      </w:tr>
      <w:tr w:rsidR="00824338" w14:paraId="6CCDEF03" w14:textId="77777777" w:rsidTr="00031618">
        <w:tblPrEx>
          <w:tblBorders>
            <w:insideH w:val="single" w:sz="4" w:space="0" w:color="auto"/>
            <w:insideV w:val="single" w:sz="4" w:space="0" w:color="auto"/>
          </w:tblBorders>
        </w:tblPrEx>
        <w:tc>
          <w:tcPr>
            <w:tcW w:w="1975" w:type="dxa"/>
            <w:shd w:val="clear" w:color="auto" w:fill="auto"/>
          </w:tcPr>
          <w:p w14:paraId="191B4485" w14:textId="77777777" w:rsidR="003E3D07" w:rsidRDefault="003E3D07">
            <w:pPr>
              <w:pStyle w:val="TableText"/>
              <w:rPr>
                <w:rFonts w:eastAsia="Symbol"/>
              </w:rPr>
            </w:pPr>
            <w:r>
              <w:t>Anti-Js(a)</w:t>
            </w:r>
          </w:p>
        </w:tc>
        <w:tc>
          <w:tcPr>
            <w:tcW w:w="1710" w:type="dxa"/>
            <w:shd w:val="clear" w:color="auto" w:fill="auto"/>
          </w:tcPr>
          <w:p w14:paraId="462070FE" w14:textId="77777777" w:rsidR="003E3D07" w:rsidRDefault="003E3D07">
            <w:pPr>
              <w:pStyle w:val="TableText"/>
              <w:rPr>
                <w:rFonts w:eastAsia="Symbol"/>
              </w:rPr>
            </w:pPr>
            <w:r>
              <w:t>Anti-Js(a)</w:t>
            </w:r>
          </w:p>
        </w:tc>
        <w:tc>
          <w:tcPr>
            <w:tcW w:w="878" w:type="dxa"/>
            <w:shd w:val="clear" w:color="auto" w:fill="auto"/>
          </w:tcPr>
          <w:p w14:paraId="659B8F78" w14:textId="77777777" w:rsidR="003E3D07" w:rsidRDefault="003E3D07">
            <w:pPr>
              <w:pStyle w:val="TableText"/>
              <w:rPr>
                <w:b/>
                <w:bCs/>
              </w:rPr>
            </w:pPr>
            <w:r>
              <w:rPr>
                <w:bCs/>
              </w:rPr>
              <w:t>Yes</w:t>
            </w:r>
          </w:p>
        </w:tc>
        <w:tc>
          <w:tcPr>
            <w:tcW w:w="878" w:type="dxa"/>
            <w:shd w:val="clear" w:color="auto" w:fill="auto"/>
          </w:tcPr>
          <w:p w14:paraId="1BDBEE93" w14:textId="77777777" w:rsidR="003E3D07" w:rsidRDefault="003E3D07">
            <w:pPr>
              <w:pStyle w:val="TableText"/>
              <w:rPr>
                <w:rFonts w:eastAsia="Symbol"/>
              </w:rPr>
            </w:pPr>
            <w:r>
              <w:t>Optional</w:t>
            </w:r>
          </w:p>
        </w:tc>
        <w:tc>
          <w:tcPr>
            <w:tcW w:w="1253" w:type="dxa"/>
            <w:shd w:val="clear" w:color="auto" w:fill="auto"/>
          </w:tcPr>
          <w:p w14:paraId="5F5C3A2B" w14:textId="77777777" w:rsidR="003E3D07" w:rsidRDefault="003E3D07">
            <w:pPr>
              <w:pStyle w:val="TableText"/>
              <w:rPr>
                <w:rFonts w:eastAsia="Symbol"/>
              </w:rPr>
            </w:pPr>
            <w:r>
              <w:t>Js(a)</w:t>
            </w:r>
          </w:p>
        </w:tc>
        <w:tc>
          <w:tcPr>
            <w:tcW w:w="1253" w:type="dxa"/>
            <w:shd w:val="clear" w:color="auto" w:fill="auto"/>
          </w:tcPr>
          <w:p w14:paraId="7030695F" w14:textId="77777777" w:rsidR="003E3D07" w:rsidRDefault="003E3D07">
            <w:pPr>
              <w:pStyle w:val="TableText"/>
              <w:rPr>
                <w:rFonts w:eastAsia="Symbol"/>
              </w:rPr>
            </w:pPr>
            <w:r>
              <w:t>Js(a)</w:t>
            </w:r>
          </w:p>
        </w:tc>
        <w:tc>
          <w:tcPr>
            <w:tcW w:w="1296" w:type="dxa"/>
            <w:shd w:val="clear" w:color="auto" w:fill="auto"/>
          </w:tcPr>
          <w:p w14:paraId="0C4754FB" w14:textId="77777777" w:rsidR="003E3D07" w:rsidRDefault="003E3D07">
            <w:pPr>
              <w:pStyle w:val="TableText"/>
              <w:rPr>
                <w:rFonts w:eastAsia="Symbol"/>
              </w:rPr>
            </w:pPr>
            <w:r>
              <w:t>90</w:t>
            </w:r>
          </w:p>
        </w:tc>
        <w:tc>
          <w:tcPr>
            <w:tcW w:w="841" w:type="dxa"/>
            <w:shd w:val="clear" w:color="auto" w:fill="auto"/>
          </w:tcPr>
          <w:p w14:paraId="2793D137" w14:textId="77777777" w:rsidR="003E3D07" w:rsidRDefault="003E3D07">
            <w:pPr>
              <w:pStyle w:val="TableText"/>
              <w:rPr>
                <w:rFonts w:eastAsia="Symbol"/>
              </w:rPr>
            </w:pPr>
            <w:r>
              <w:t>AGJs(a)</w:t>
            </w:r>
          </w:p>
        </w:tc>
      </w:tr>
      <w:tr w:rsidR="00824338" w14:paraId="483CC55D" w14:textId="77777777" w:rsidTr="00031618">
        <w:tblPrEx>
          <w:tblBorders>
            <w:insideH w:val="single" w:sz="4" w:space="0" w:color="auto"/>
            <w:insideV w:val="single" w:sz="4" w:space="0" w:color="auto"/>
          </w:tblBorders>
        </w:tblPrEx>
        <w:tc>
          <w:tcPr>
            <w:tcW w:w="1975" w:type="dxa"/>
            <w:shd w:val="clear" w:color="auto" w:fill="auto"/>
          </w:tcPr>
          <w:p w14:paraId="33574399" w14:textId="77777777" w:rsidR="003E3D07" w:rsidRDefault="003E3D07">
            <w:pPr>
              <w:pStyle w:val="TableText"/>
              <w:rPr>
                <w:rFonts w:eastAsia="Symbol"/>
              </w:rPr>
            </w:pPr>
            <w:r>
              <w:t>Anti-Js(b)</w:t>
            </w:r>
          </w:p>
        </w:tc>
        <w:tc>
          <w:tcPr>
            <w:tcW w:w="1710" w:type="dxa"/>
            <w:shd w:val="clear" w:color="auto" w:fill="auto"/>
          </w:tcPr>
          <w:p w14:paraId="35C901A6" w14:textId="77777777" w:rsidR="003E3D07" w:rsidRDefault="003E3D07">
            <w:pPr>
              <w:pStyle w:val="TableText"/>
              <w:rPr>
                <w:rFonts w:eastAsia="Symbol"/>
              </w:rPr>
            </w:pPr>
            <w:r>
              <w:t>Anti-Js(b)</w:t>
            </w:r>
          </w:p>
        </w:tc>
        <w:tc>
          <w:tcPr>
            <w:tcW w:w="878" w:type="dxa"/>
            <w:shd w:val="clear" w:color="auto" w:fill="auto"/>
          </w:tcPr>
          <w:p w14:paraId="7B511890" w14:textId="77777777" w:rsidR="003E3D07" w:rsidRDefault="003E3D07">
            <w:pPr>
              <w:pStyle w:val="TableText"/>
              <w:rPr>
                <w:b/>
                <w:bCs/>
              </w:rPr>
            </w:pPr>
            <w:r>
              <w:rPr>
                <w:bCs/>
              </w:rPr>
              <w:t>Yes</w:t>
            </w:r>
          </w:p>
        </w:tc>
        <w:tc>
          <w:tcPr>
            <w:tcW w:w="878" w:type="dxa"/>
            <w:shd w:val="clear" w:color="auto" w:fill="auto"/>
          </w:tcPr>
          <w:p w14:paraId="712855A7" w14:textId="77777777" w:rsidR="003E3D07" w:rsidRDefault="003E3D07">
            <w:pPr>
              <w:pStyle w:val="TableText"/>
              <w:rPr>
                <w:rFonts w:eastAsia="Symbol"/>
              </w:rPr>
            </w:pPr>
            <w:r>
              <w:t>Optional</w:t>
            </w:r>
          </w:p>
        </w:tc>
        <w:tc>
          <w:tcPr>
            <w:tcW w:w="1253" w:type="dxa"/>
            <w:shd w:val="clear" w:color="auto" w:fill="auto"/>
          </w:tcPr>
          <w:p w14:paraId="336AE5EC" w14:textId="77777777" w:rsidR="003E3D07" w:rsidRDefault="003E3D07">
            <w:pPr>
              <w:pStyle w:val="TableText"/>
              <w:rPr>
                <w:rFonts w:eastAsia="Symbol"/>
              </w:rPr>
            </w:pPr>
            <w:r>
              <w:t>Js(b)</w:t>
            </w:r>
          </w:p>
        </w:tc>
        <w:tc>
          <w:tcPr>
            <w:tcW w:w="1253" w:type="dxa"/>
            <w:shd w:val="clear" w:color="auto" w:fill="auto"/>
          </w:tcPr>
          <w:p w14:paraId="27036B1F" w14:textId="77777777" w:rsidR="003E3D07" w:rsidRDefault="003E3D07">
            <w:pPr>
              <w:pStyle w:val="TableText"/>
              <w:rPr>
                <w:rFonts w:eastAsia="Symbol"/>
              </w:rPr>
            </w:pPr>
            <w:r>
              <w:t>Js(b)</w:t>
            </w:r>
          </w:p>
        </w:tc>
        <w:tc>
          <w:tcPr>
            <w:tcW w:w="1296" w:type="dxa"/>
            <w:shd w:val="clear" w:color="auto" w:fill="auto"/>
          </w:tcPr>
          <w:p w14:paraId="49315CAD" w14:textId="77777777" w:rsidR="003E3D07" w:rsidRDefault="003E3D07">
            <w:pPr>
              <w:pStyle w:val="TableText"/>
              <w:rPr>
                <w:rFonts w:eastAsia="Symbol"/>
              </w:rPr>
            </w:pPr>
            <w:r>
              <w:t>10</w:t>
            </w:r>
          </w:p>
        </w:tc>
        <w:tc>
          <w:tcPr>
            <w:tcW w:w="841" w:type="dxa"/>
            <w:shd w:val="clear" w:color="auto" w:fill="auto"/>
          </w:tcPr>
          <w:p w14:paraId="05BD3F94" w14:textId="77777777" w:rsidR="003E3D07" w:rsidRDefault="003E3D07">
            <w:pPr>
              <w:pStyle w:val="TableText"/>
              <w:rPr>
                <w:rFonts w:eastAsia="Symbol"/>
              </w:rPr>
            </w:pPr>
            <w:r>
              <w:t>AGJs(b)</w:t>
            </w:r>
          </w:p>
        </w:tc>
      </w:tr>
      <w:tr w:rsidR="00824338" w14:paraId="48713D53" w14:textId="77777777" w:rsidTr="00031618">
        <w:tblPrEx>
          <w:tblBorders>
            <w:insideH w:val="single" w:sz="4" w:space="0" w:color="auto"/>
            <w:insideV w:val="single" w:sz="4" w:space="0" w:color="auto"/>
          </w:tblBorders>
        </w:tblPrEx>
        <w:tc>
          <w:tcPr>
            <w:tcW w:w="1975" w:type="dxa"/>
            <w:shd w:val="clear" w:color="auto" w:fill="auto"/>
          </w:tcPr>
          <w:p w14:paraId="5E6C6E41" w14:textId="77777777" w:rsidR="003E3D07" w:rsidRDefault="003E3D07">
            <w:pPr>
              <w:pStyle w:val="TableText"/>
              <w:rPr>
                <w:rFonts w:eastAsia="Symbol"/>
              </w:rPr>
            </w:pPr>
            <w:r>
              <w:t>Anti-Lu(a)</w:t>
            </w:r>
          </w:p>
        </w:tc>
        <w:tc>
          <w:tcPr>
            <w:tcW w:w="1710" w:type="dxa"/>
            <w:shd w:val="clear" w:color="auto" w:fill="auto"/>
          </w:tcPr>
          <w:p w14:paraId="00CE9BEB" w14:textId="77777777" w:rsidR="003E3D07" w:rsidRDefault="003E3D07">
            <w:pPr>
              <w:pStyle w:val="TableText"/>
            </w:pPr>
            <w:r>
              <w:t>Anti-Lu(a)</w:t>
            </w:r>
          </w:p>
        </w:tc>
        <w:tc>
          <w:tcPr>
            <w:tcW w:w="878" w:type="dxa"/>
            <w:shd w:val="clear" w:color="auto" w:fill="auto"/>
          </w:tcPr>
          <w:p w14:paraId="114033DB" w14:textId="77777777" w:rsidR="003E3D07" w:rsidRDefault="003E3D07">
            <w:pPr>
              <w:pStyle w:val="TableText"/>
            </w:pPr>
            <w:r>
              <w:t>No</w:t>
            </w:r>
          </w:p>
        </w:tc>
        <w:tc>
          <w:tcPr>
            <w:tcW w:w="878" w:type="dxa"/>
            <w:shd w:val="clear" w:color="auto" w:fill="auto"/>
          </w:tcPr>
          <w:p w14:paraId="671215D9" w14:textId="77777777" w:rsidR="003E3D07" w:rsidRDefault="003E3D07">
            <w:pPr>
              <w:pStyle w:val="TableText"/>
              <w:rPr>
                <w:rFonts w:eastAsia="Symbol"/>
              </w:rPr>
            </w:pPr>
            <w:r>
              <w:t>Optional</w:t>
            </w:r>
          </w:p>
        </w:tc>
        <w:tc>
          <w:tcPr>
            <w:tcW w:w="1253" w:type="dxa"/>
            <w:shd w:val="clear" w:color="auto" w:fill="auto"/>
          </w:tcPr>
          <w:p w14:paraId="3BDD2180" w14:textId="77777777" w:rsidR="003E3D07" w:rsidRDefault="003E3D07">
            <w:pPr>
              <w:pStyle w:val="TableText"/>
              <w:rPr>
                <w:rFonts w:eastAsia="Symbol"/>
              </w:rPr>
            </w:pPr>
            <w:r>
              <w:t>Lu(a)</w:t>
            </w:r>
          </w:p>
        </w:tc>
        <w:tc>
          <w:tcPr>
            <w:tcW w:w="1253" w:type="dxa"/>
            <w:shd w:val="clear" w:color="auto" w:fill="auto"/>
          </w:tcPr>
          <w:p w14:paraId="2D5B10CE" w14:textId="77777777" w:rsidR="003E3D07" w:rsidRDefault="003E3D07">
            <w:pPr>
              <w:pStyle w:val="TableText"/>
            </w:pPr>
            <w:r>
              <w:t>Lu(a)</w:t>
            </w:r>
          </w:p>
        </w:tc>
        <w:tc>
          <w:tcPr>
            <w:tcW w:w="1296" w:type="dxa"/>
            <w:shd w:val="clear" w:color="auto" w:fill="auto"/>
          </w:tcPr>
          <w:p w14:paraId="19A0787E" w14:textId="77777777" w:rsidR="003E3D07" w:rsidRDefault="003E3D07">
            <w:pPr>
              <w:pStyle w:val="TableText"/>
              <w:rPr>
                <w:rFonts w:eastAsia="Symbol"/>
              </w:rPr>
            </w:pPr>
            <w:r>
              <w:t>92</w:t>
            </w:r>
          </w:p>
        </w:tc>
        <w:tc>
          <w:tcPr>
            <w:tcW w:w="841" w:type="dxa"/>
            <w:shd w:val="clear" w:color="auto" w:fill="auto"/>
          </w:tcPr>
          <w:p w14:paraId="3C3B4274" w14:textId="77777777" w:rsidR="003E3D07" w:rsidRDefault="003E3D07">
            <w:pPr>
              <w:pStyle w:val="TableText"/>
              <w:rPr>
                <w:rFonts w:eastAsia="Symbol"/>
              </w:rPr>
            </w:pPr>
            <w:r>
              <w:t>AGLu(a)</w:t>
            </w:r>
          </w:p>
        </w:tc>
      </w:tr>
      <w:tr w:rsidR="00824338" w14:paraId="309FFED3" w14:textId="77777777" w:rsidTr="00031618">
        <w:tblPrEx>
          <w:tblBorders>
            <w:insideH w:val="single" w:sz="4" w:space="0" w:color="auto"/>
            <w:insideV w:val="single" w:sz="4" w:space="0" w:color="auto"/>
          </w:tblBorders>
        </w:tblPrEx>
        <w:tc>
          <w:tcPr>
            <w:tcW w:w="1975" w:type="dxa"/>
            <w:shd w:val="clear" w:color="auto" w:fill="auto"/>
          </w:tcPr>
          <w:p w14:paraId="3B4A632F" w14:textId="77777777" w:rsidR="003E3D07" w:rsidRDefault="003E3D07">
            <w:pPr>
              <w:pStyle w:val="TableText"/>
              <w:rPr>
                <w:rFonts w:eastAsia="Symbol"/>
              </w:rPr>
            </w:pPr>
            <w:r>
              <w:t>Anti-Lu(b)</w:t>
            </w:r>
          </w:p>
        </w:tc>
        <w:tc>
          <w:tcPr>
            <w:tcW w:w="1710" w:type="dxa"/>
            <w:shd w:val="clear" w:color="auto" w:fill="auto"/>
          </w:tcPr>
          <w:p w14:paraId="2FCBC73C" w14:textId="77777777" w:rsidR="003E3D07" w:rsidRDefault="003E3D07">
            <w:pPr>
              <w:pStyle w:val="TableText"/>
            </w:pPr>
            <w:r>
              <w:t>Anti-Lu(b)</w:t>
            </w:r>
          </w:p>
        </w:tc>
        <w:tc>
          <w:tcPr>
            <w:tcW w:w="878" w:type="dxa"/>
            <w:shd w:val="clear" w:color="auto" w:fill="auto"/>
          </w:tcPr>
          <w:p w14:paraId="37A71560" w14:textId="77777777" w:rsidR="003E3D07" w:rsidRDefault="003E3D07">
            <w:pPr>
              <w:pStyle w:val="TableText"/>
            </w:pPr>
            <w:r>
              <w:t>No</w:t>
            </w:r>
          </w:p>
        </w:tc>
        <w:tc>
          <w:tcPr>
            <w:tcW w:w="878" w:type="dxa"/>
            <w:shd w:val="clear" w:color="auto" w:fill="auto"/>
          </w:tcPr>
          <w:p w14:paraId="1FEBCFC8" w14:textId="77777777" w:rsidR="003E3D07" w:rsidRDefault="003E3D07">
            <w:pPr>
              <w:pStyle w:val="TableText"/>
              <w:rPr>
                <w:rFonts w:eastAsia="Symbol"/>
              </w:rPr>
            </w:pPr>
            <w:r>
              <w:t>Optional</w:t>
            </w:r>
          </w:p>
        </w:tc>
        <w:tc>
          <w:tcPr>
            <w:tcW w:w="1253" w:type="dxa"/>
            <w:shd w:val="clear" w:color="auto" w:fill="auto"/>
          </w:tcPr>
          <w:p w14:paraId="348EDF35" w14:textId="77777777" w:rsidR="003E3D07" w:rsidRDefault="003E3D07">
            <w:pPr>
              <w:pStyle w:val="TableText"/>
              <w:rPr>
                <w:rFonts w:eastAsia="Symbol"/>
              </w:rPr>
            </w:pPr>
            <w:r>
              <w:t>Lu(b)</w:t>
            </w:r>
          </w:p>
        </w:tc>
        <w:tc>
          <w:tcPr>
            <w:tcW w:w="1253" w:type="dxa"/>
            <w:shd w:val="clear" w:color="auto" w:fill="auto"/>
          </w:tcPr>
          <w:p w14:paraId="6815CCE4" w14:textId="77777777" w:rsidR="003E3D07" w:rsidRDefault="003E3D07">
            <w:pPr>
              <w:pStyle w:val="TableText"/>
            </w:pPr>
            <w:r>
              <w:t>Lu(b)</w:t>
            </w:r>
          </w:p>
        </w:tc>
        <w:tc>
          <w:tcPr>
            <w:tcW w:w="1296" w:type="dxa"/>
            <w:shd w:val="clear" w:color="auto" w:fill="auto"/>
          </w:tcPr>
          <w:p w14:paraId="27624276" w14:textId="77777777" w:rsidR="003E3D07" w:rsidRDefault="003E3D07">
            <w:pPr>
              <w:pStyle w:val="TableText"/>
              <w:rPr>
                <w:rFonts w:eastAsia="Symbol"/>
              </w:rPr>
            </w:pPr>
            <w:r>
              <w:t>2</w:t>
            </w:r>
          </w:p>
        </w:tc>
        <w:tc>
          <w:tcPr>
            <w:tcW w:w="841" w:type="dxa"/>
            <w:shd w:val="clear" w:color="auto" w:fill="auto"/>
          </w:tcPr>
          <w:p w14:paraId="7F9C7777" w14:textId="77777777" w:rsidR="003E3D07" w:rsidRDefault="003E3D07">
            <w:pPr>
              <w:pStyle w:val="TableText"/>
              <w:rPr>
                <w:rFonts w:eastAsia="Symbol"/>
              </w:rPr>
            </w:pPr>
            <w:r>
              <w:t>AGLu(b)</w:t>
            </w:r>
          </w:p>
        </w:tc>
      </w:tr>
      <w:tr w:rsidR="00824338" w:rsidRPr="00584AF9" w14:paraId="4A4B6F06" w14:textId="77777777" w:rsidTr="00031618">
        <w:tblPrEx>
          <w:tblBorders>
            <w:insideH w:val="single" w:sz="4" w:space="0" w:color="auto"/>
            <w:insideV w:val="single" w:sz="4" w:space="0" w:color="auto"/>
          </w:tblBorders>
        </w:tblPrEx>
        <w:tc>
          <w:tcPr>
            <w:tcW w:w="1975" w:type="dxa"/>
            <w:shd w:val="clear" w:color="auto" w:fill="auto"/>
          </w:tcPr>
          <w:p w14:paraId="04FFC264" w14:textId="77777777" w:rsidR="003E3D07" w:rsidRPr="00584AF9" w:rsidRDefault="003E3D07" w:rsidP="00584AF9">
            <w:pPr>
              <w:pStyle w:val="TableText"/>
              <w:rPr>
                <w:rFonts w:eastAsia="Symbol"/>
              </w:rPr>
            </w:pPr>
            <w:r w:rsidRPr="00584AF9">
              <w:t>Anti-Lu3</w:t>
            </w:r>
          </w:p>
        </w:tc>
        <w:tc>
          <w:tcPr>
            <w:tcW w:w="1710" w:type="dxa"/>
            <w:shd w:val="clear" w:color="auto" w:fill="auto"/>
          </w:tcPr>
          <w:p w14:paraId="62D132B8" w14:textId="77777777" w:rsidR="003E3D07" w:rsidRPr="006E05B3" w:rsidRDefault="003E3D07" w:rsidP="00584AF9">
            <w:pPr>
              <w:pStyle w:val="TableText"/>
              <w:rPr>
                <w:lang w:val="fr-FR"/>
              </w:rPr>
            </w:pPr>
            <w:r w:rsidRPr="006E05B3">
              <w:rPr>
                <w:lang w:val="fr-FR"/>
              </w:rPr>
              <w:t>Anti-Lu(a)Lu(b)</w:t>
            </w:r>
          </w:p>
        </w:tc>
        <w:tc>
          <w:tcPr>
            <w:tcW w:w="878" w:type="dxa"/>
            <w:shd w:val="clear" w:color="auto" w:fill="auto"/>
          </w:tcPr>
          <w:p w14:paraId="0E93A61F" w14:textId="77777777" w:rsidR="003E3D07" w:rsidRPr="00584AF9" w:rsidRDefault="003E3D07" w:rsidP="00584AF9">
            <w:pPr>
              <w:pStyle w:val="TableText"/>
            </w:pPr>
            <w:r w:rsidRPr="00584AF9">
              <w:t>No</w:t>
            </w:r>
          </w:p>
        </w:tc>
        <w:tc>
          <w:tcPr>
            <w:tcW w:w="878" w:type="dxa"/>
            <w:shd w:val="clear" w:color="auto" w:fill="auto"/>
          </w:tcPr>
          <w:p w14:paraId="5158AE9B" w14:textId="77777777" w:rsidR="003E3D07" w:rsidRPr="00584AF9" w:rsidRDefault="003E3D07" w:rsidP="00584AF9">
            <w:pPr>
              <w:pStyle w:val="TableText"/>
              <w:rPr>
                <w:rFonts w:eastAsia="Symbol"/>
              </w:rPr>
            </w:pPr>
            <w:r w:rsidRPr="00584AF9">
              <w:t>Optional</w:t>
            </w:r>
          </w:p>
        </w:tc>
        <w:tc>
          <w:tcPr>
            <w:tcW w:w="1253" w:type="dxa"/>
            <w:shd w:val="clear" w:color="auto" w:fill="auto"/>
          </w:tcPr>
          <w:p w14:paraId="522F44C1" w14:textId="77777777" w:rsidR="003E3D07" w:rsidRPr="00584AF9" w:rsidRDefault="003E3D07" w:rsidP="00584AF9">
            <w:pPr>
              <w:pStyle w:val="TableText"/>
              <w:rPr>
                <w:rFonts w:eastAsia="Symbol"/>
              </w:rPr>
            </w:pPr>
            <w:r w:rsidRPr="00584AF9">
              <w:t>Lu (a) and Lu(b)</w:t>
            </w:r>
          </w:p>
        </w:tc>
        <w:tc>
          <w:tcPr>
            <w:tcW w:w="1253" w:type="dxa"/>
            <w:shd w:val="clear" w:color="auto" w:fill="auto"/>
          </w:tcPr>
          <w:p w14:paraId="7A6D6EC9" w14:textId="77777777" w:rsidR="003E3D07" w:rsidRPr="00584AF9" w:rsidRDefault="003E3D07" w:rsidP="00584AF9">
            <w:pPr>
              <w:pStyle w:val="TableText"/>
              <w:rPr>
                <w:rFonts w:eastAsia="Symbol"/>
              </w:rPr>
            </w:pPr>
            <w:r w:rsidRPr="00584AF9">
              <w:rPr>
                <w:rFonts w:eastAsia="Symbol"/>
              </w:rPr>
              <w:t>None</w:t>
            </w:r>
          </w:p>
        </w:tc>
        <w:tc>
          <w:tcPr>
            <w:tcW w:w="1296" w:type="dxa"/>
            <w:shd w:val="clear" w:color="auto" w:fill="auto"/>
          </w:tcPr>
          <w:p w14:paraId="53400A95" w14:textId="77777777" w:rsidR="003E3D07" w:rsidRPr="00584AF9" w:rsidRDefault="003E3D07" w:rsidP="00584AF9">
            <w:pPr>
              <w:pStyle w:val="TableText"/>
              <w:rPr>
                <w:rFonts w:eastAsia="Symbol"/>
              </w:rPr>
            </w:pPr>
            <w:r w:rsidRPr="00584AF9">
              <w:t>N/A</w:t>
            </w:r>
          </w:p>
        </w:tc>
        <w:tc>
          <w:tcPr>
            <w:tcW w:w="841" w:type="dxa"/>
            <w:shd w:val="clear" w:color="auto" w:fill="auto"/>
          </w:tcPr>
          <w:p w14:paraId="5AE2CFD1" w14:textId="77777777" w:rsidR="003E3D07" w:rsidRPr="00584AF9" w:rsidRDefault="003E3D07" w:rsidP="00584AF9">
            <w:pPr>
              <w:pStyle w:val="TableText"/>
              <w:rPr>
                <w:rFonts w:eastAsia="Symbol"/>
              </w:rPr>
            </w:pPr>
            <w:r w:rsidRPr="00584AF9">
              <w:t>AGLu(a) AGLu(b)</w:t>
            </w:r>
          </w:p>
        </w:tc>
      </w:tr>
      <w:tr w:rsidR="00824338" w14:paraId="63EC4D8B" w14:textId="77777777" w:rsidTr="00031618">
        <w:tblPrEx>
          <w:tblBorders>
            <w:insideH w:val="single" w:sz="4" w:space="0" w:color="auto"/>
            <w:insideV w:val="single" w:sz="4" w:space="0" w:color="auto"/>
          </w:tblBorders>
        </w:tblPrEx>
        <w:tc>
          <w:tcPr>
            <w:tcW w:w="1975" w:type="dxa"/>
            <w:shd w:val="clear" w:color="auto" w:fill="auto"/>
          </w:tcPr>
          <w:p w14:paraId="4AEF1AD0" w14:textId="77777777" w:rsidR="003E3D07" w:rsidRDefault="003E3D07">
            <w:pPr>
              <w:pStyle w:val="TableText"/>
              <w:rPr>
                <w:rFonts w:eastAsia="Symbol"/>
              </w:rPr>
            </w:pPr>
            <w:r>
              <w:t>Anti-C(w)</w:t>
            </w:r>
          </w:p>
        </w:tc>
        <w:tc>
          <w:tcPr>
            <w:tcW w:w="1710" w:type="dxa"/>
            <w:shd w:val="clear" w:color="auto" w:fill="auto"/>
          </w:tcPr>
          <w:p w14:paraId="51E46B0A" w14:textId="77777777" w:rsidR="003E3D07" w:rsidRDefault="003E3D07">
            <w:pPr>
              <w:pStyle w:val="TableText"/>
            </w:pPr>
            <w:r>
              <w:t>Anti-Cw</w:t>
            </w:r>
          </w:p>
        </w:tc>
        <w:tc>
          <w:tcPr>
            <w:tcW w:w="878" w:type="dxa"/>
            <w:shd w:val="clear" w:color="auto" w:fill="auto"/>
          </w:tcPr>
          <w:p w14:paraId="42EB316E" w14:textId="77777777" w:rsidR="003E3D07" w:rsidRDefault="003E3D07">
            <w:pPr>
              <w:pStyle w:val="TableText"/>
            </w:pPr>
            <w:r>
              <w:rPr>
                <w:bCs/>
              </w:rPr>
              <w:t>Yes</w:t>
            </w:r>
          </w:p>
        </w:tc>
        <w:tc>
          <w:tcPr>
            <w:tcW w:w="878" w:type="dxa"/>
            <w:shd w:val="clear" w:color="auto" w:fill="auto"/>
          </w:tcPr>
          <w:p w14:paraId="53D417C9" w14:textId="77777777" w:rsidR="003E3D07" w:rsidRDefault="003E3D07">
            <w:pPr>
              <w:pStyle w:val="TableText"/>
              <w:rPr>
                <w:rFonts w:eastAsia="Symbol"/>
              </w:rPr>
            </w:pPr>
            <w:r>
              <w:t>Optional</w:t>
            </w:r>
          </w:p>
        </w:tc>
        <w:tc>
          <w:tcPr>
            <w:tcW w:w="1253" w:type="dxa"/>
            <w:shd w:val="clear" w:color="auto" w:fill="auto"/>
          </w:tcPr>
          <w:p w14:paraId="0AA15729" w14:textId="77777777" w:rsidR="003E3D07" w:rsidRDefault="003E3D07">
            <w:pPr>
              <w:pStyle w:val="TableText"/>
              <w:rPr>
                <w:rFonts w:eastAsia="Symbol"/>
              </w:rPr>
            </w:pPr>
            <w:r>
              <w:t>C(w)</w:t>
            </w:r>
          </w:p>
        </w:tc>
        <w:tc>
          <w:tcPr>
            <w:tcW w:w="1253" w:type="dxa"/>
            <w:shd w:val="clear" w:color="auto" w:fill="auto"/>
          </w:tcPr>
          <w:p w14:paraId="6A996AE7" w14:textId="77777777" w:rsidR="003E3D07" w:rsidRDefault="003E3D07">
            <w:pPr>
              <w:pStyle w:val="TableText"/>
            </w:pPr>
            <w:r>
              <w:t>Cw</w:t>
            </w:r>
          </w:p>
        </w:tc>
        <w:tc>
          <w:tcPr>
            <w:tcW w:w="1296" w:type="dxa"/>
            <w:shd w:val="clear" w:color="auto" w:fill="auto"/>
          </w:tcPr>
          <w:p w14:paraId="1AA703CD" w14:textId="77777777" w:rsidR="003E3D07" w:rsidRDefault="003E3D07">
            <w:pPr>
              <w:pStyle w:val="TableText"/>
              <w:rPr>
                <w:rFonts w:eastAsia="Symbol"/>
              </w:rPr>
            </w:pPr>
            <w:r>
              <w:t>99</w:t>
            </w:r>
          </w:p>
        </w:tc>
        <w:tc>
          <w:tcPr>
            <w:tcW w:w="841" w:type="dxa"/>
            <w:shd w:val="clear" w:color="auto" w:fill="auto"/>
          </w:tcPr>
          <w:p w14:paraId="144987D2" w14:textId="77777777" w:rsidR="003E3D07" w:rsidRDefault="003E3D07">
            <w:pPr>
              <w:pStyle w:val="TableText"/>
              <w:rPr>
                <w:rFonts w:eastAsia="Symbol"/>
              </w:rPr>
            </w:pPr>
            <w:r>
              <w:t>AGC(w)</w:t>
            </w:r>
          </w:p>
        </w:tc>
      </w:tr>
      <w:tr w:rsidR="00824338" w14:paraId="08EB2C05" w14:textId="77777777" w:rsidTr="00031618">
        <w:tblPrEx>
          <w:tblBorders>
            <w:insideH w:val="single" w:sz="4" w:space="0" w:color="auto"/>
            <w:insideV w:val="single" w:sz="4" w:space="0" w:color="auto"/>
          </w:tblBorders>
        </w:tblPrEx>
        <w:tc>
          <w:tcPr>
            <w:tcW w:w="1975" w:type="dxa"/>
            <w:shd w:val="clear" w:color="auto" w:fill="auto"/>
          </w:tcPr>
          <w:p w14:paraId="7B67A78E" w14:textId="77777777" w:rsidR="003E3D07" w:rsidRDefault="003E3D07">
            <w:pPr>
              <w:pStyle w:val="TableText"/>
              <w:rPr>
                <w:rFonts w:eastAsia="Symbol"/>
              </w:rPr>
            </w:pPr>
            <w:r>
              <w:t>Anti-Ce</w:t>
            </w:r>
          </w:p>
        </w:tc>
        <w:tc>
          <w:tcPr>
            <w:tcW w:w="1710" w:type="dxa"/>
            <w:shd w:val="clear" w:color="auto" w:fill="auto"/>
          </w:tcPr>
          <w:p w14:paraId="5293FF86" w14:textId="77777777" w:rsidR="003E3D07" w:rsidRDefault="003E3D07">
            <w:pPr>
              <w:pStyle w:val="TableText"/>
              <w:rPr>
                <w:rFonts w:eastAsia="Symbol"/>
              </w:rPr>
            </w:pPr>
            <w:r>
              <w:t>Anti-Ce</w:t>
            </w:r>
          </w:p>
        </w:tc>
        <w:tc>
          <w:tcPr>
            <w:tcW w:w="878" w:type="dxa"/>
            <w:shd w:val="clear" w:color="auto" w:fill="auto"/>
          </w:tcPr>
          <w:p w14:paraId="12BEAB26" w14:textId="77777777" w:rsidR="003E3D07" w:rsidRDefault="003E3D07">
            <w:pPr>
              <w:pStyle w:val="TableText"/>
            </w:pPr>
            <w:r>
              <w:rPr>
                <w:bCs/>
              </w:rPr>
              <w:t>Yes</w:t>
            </w:r>
          </w:p>
        </w:tc>
        <w:tc>
          <w:tcPr>
            <w:tcW w:w="878" w:type="dxa"/>
            <w:shd w:val="clear" w:color="auto" w:fill="auto"/>
          </w:tcPr>
          <w:p w14:paraId="37B880C2" w14:textId="77777777" w:rsidR="003E3D07" w:rsidRDefault="003E3D07">
            <w:pPr>
              <w:pStyle w:val="TableText"/>
              <w:rPr>
                <w:rFonts w:eastAsia="Symbol"/>
              </w:rPr>
            </w:pPr>
            <w:r>
              <w:rPr>
                <w:bCs/>
              </w:rPr>
              <w:t>Yes</w:t>
            </w:r>
          </w:p>
        </w:tc>
        <w:tc>
          <w:tcPr>
            <w:tcW w:w="1253" w:type="dxa"/>
            <w:shd w:val="clear" w:color="auto" w:fill="auto"/>
          </w:tcPr>
          <w:p w14:paraId="3C3075E8" w14:textId="77777777" w:rsidR="003E3D07" w:rsidRDefault="003E3D07">
            <w:pPr>
              <w:pStyle w:val="TableText"/>
              <w:rPr>
                <w:rFonts w:eastAsia="Symbol"/>
              </w:rPr>
            </w:pPr>
            <w:r>
              <w:t>C and e</w:t>
            </w:r>
          </w:p>
        </w:tc>
        <w:tc>
          <w:tcPr>
            <w:tcW w:w="1253" w:type="dxa"/>
            <w:shd w:val="clear" w:color="auto" w:fill="auto"/>
          </w:tcPr>
          <w:p w14:paraId="2A28208C" w14:textId="77777777" w:rsidR="003E3D07" w:rsidRDefault="003E3D07">
            <w:pPr>
              <w:pStyle w:val="TableText"/>
              <w:rPr>
                <w:rFonts w:eastAsia="Symbol"/>
              </w:rPr>
            </w:pPr>
            <w:r>
              <w:t>Ce</w:t>
            </w:r>
          </w:p>
        </w:tc>
        <w:tc>
          <w:tcPr>
            <w:tcW w:w="1296" w:type="dxa"/>
            <w:shd w:val="clear" w:color="auto" w:fill="auto"/>
          </w:tcPr>
          <w:p w14:paraId="6075577A" w14:textId="77777777" w:rsidR="003E3D07" w:rsidRDefault="003E3D07">
            <w:pPr>
              <w:pStyle w:val="TableText"/>
              <w:rPr>
                <w:rFonts w:eastAsia="Symbol"/>
              </w:rPr>
            </w:pPr>
            <w:r>
              <w:t>N/A</w:t>
            </w:r>
          </w:p>
        </w:tc>
        <w:tc>
          <w:tcPr>
            <w:tcW w:w="841" w:type="dxa"/>
            <w:shd w:val="clear" w:color="auto" w:fill="auto"/>
          </w:tcPr>
          <w:p w14:paraId="10A9BB24" w14:textId="77777777" w:rsidR="003E3D07" w:rsidRDefault="003E3D07">
            <w:pPr>
              <w:pStyle w:val="TableText"/>
            </w:pPr>
            <w:r>
              <w:t>AGC</w:t>
            </w:r>
          </w:p>
          <w:p w14:paraId="5A7D030F" w14:textId="77777777" w:rsidR="003E3D07" w:rsidRDefault="003E3D07">
            <w:pPr>
              <w:pStyle w:val="TableText"/>
              <w:rPr>
                <w:rFonts w:eastAsia="Symbol"/>
              </w:rPr>
            </w:pPr>
            <w:r>
              <w:t>AGe</w:t>
            </w:r>
          </w:p>
        </w:tc>
      </w:tr>
      <w:tr w:rsidR="00824338" w14:paraId="765E51DB" w14:textId="77777777" w:rsidTr="00031618">
        <w:tblPrEx>
          <w:tblBorders>
            <w:insideH w:val="single" w:sz="4" w:space="0" w:color="auto"/>
            <w:insideV w:val="single" w:sz="4" w:space="0" w:color="auto"/>
          </w:tblBorders>
        </w:tblPrEx>
        <w:tc>
          <w:tcPr>
            <w:tcW w:w="1975" w:type="dxa"/>
            <w:shd w:val="clear" w:color="auto" w:fill="auto"/>
          </w:tcPr>
          <w:p w14:paraId="41047FED" w14:textId="77777777" w:rsidR="003E3D07" w:rsidRDefault="003E3D07">
            <w:pPr>
              <w:pStyle w:val="TableText"/>
              <w:rPr>
                <w:rFonts w:eastAsia="Symbol"/>
              </w:rPr>
            </w:pPr>
            <w:r>
              <w:t>Anti-C(x)</w:t>
            </w:r>
          </w:p>
        </w:tc>
        <w:tc>
          <w:tcPr>
            <w:tcW w:w="1710" w:type="dxa"/>
            <w:shd w:val="clear" w:color="auto" w:fill="auto"/>
          </w:tcPr>
          <w:p w14:paraId="64AC8535" w14:textId="77777777" w:rsidR="003E3D07" w:rsidRDefault="003E3D07">
            <w:pPr>
              <w:pStyle w:val="TableText"/>
              <w:rPr>
                <w:rFonts w:eastAsia="Symbol"/>
              </w:rPr>
            </w:pPr>
            <w:r>
              <w:t>Anti-Cx</w:t>
            </w:r>
          </w:p>
        </w:tc>
        <w:tc>
          <w:tcPr>
            <w:tcW w:w="878" w:type="dxa"/>
            <w:shd w:val="clear" w:color="auto" w:fill="auto"/>
          </w:tcPr>
          <w:p w14:paraId="497F217D" w14:textId="77777777" w:rsidR="003E3D07" w:rsidRDefault="003E3D07">
            <w:pPr>
              <w:pStyle w:val="TableText"/>
            </w:pPr>
            <w:r>
              <w:rPr>
                <w:bCs/>
              </w:rPr>
              <w:t>Yes</w:t>
            </w:r>
          </w:p>
        </w:tc>
        <w:tc>
          <w:tcPr>
            <w:tcW w:w="878" w:type="dxa"/>
            <w:shd w:val="clear" w:color="auto" w:fill="auto"/>
          </w:tcPr>
          <w:p w14:paraId="2D348D15" w14:textId="77777777" w:rsidR="003E3D07" w:rsidRDefault="003E3D07">
            <w:pPr>
              <w:pStyle w:val="TableText"/>
              <w:rPr>
                <w:rFonts w:eastAsia="Symbol"/>
              </w:rPr>
            </w:pPr>
            <w:r>
              <w:t>Optional</w:t>
            </w:r>
          </w:p>
        </w:tc>
        <w:tc>
          <w:tcPr>
            <w:tcW w:w="1253" w:type="dxa"/>
            <w:shd w:val="clear" w:color="auto" w:fill="auto"/>
          </w:tcPr>
          <w:p w14:paraId="54151BD8" w14:textId="77777777" w:rsidR="003E3D07" w:rsidRDefault="003E3D07">
            <w:pPr>
              <w:pStyle w:val="TableText"/>
              <w:rPr>
                <w:rFonts w:eastAsia="Symbol"/>
              </w:rPr>
            </w:pPr>
            <w:r>
              <w:t>C(x)</w:t>
            </w:r>
          </w:p>
        </w:tc>
        <w:tc>
          <w:tcPr>
            <w:tcW w:w="1253" w:type="dxa"/>
            <w:shd w:val="clear" w:color="auto" w:fill="auto"/>
          </w:tcPr>
          <w:p w14:paraId="48DA16AB" w14:textId="77777777" w:rsidR="003E3D07" w:rsidRDefault="003E3D07">
            <w:pPr>
              <w:pStyle w:val="TableText"/>
              <w:rPr>
                <w:rFonts w:eastAsia="Symbol"/>
              </w:rPr>
            </w:pPr>
            <w:r>
              <w:t>Cx</w:t>
            </w:r>
          </w:p>
        </w:tc>
        <w:tc>
          <w:tcPr>
            <w:tcW w:w="1296" w:type="dxa"/>
            <w:shd w:val="clear" w:color="auto" w:fill="auto"/>
          </w:tcPr>
          <w:p w14:paraId="71A478DB" w14:textId="77777777" w:rsidR="003E3D07" w:rsidRDefault="003E3D07">
            <w:pPr>
              <w:pStyle w:val="TableText"/>
              <w:rPr>
                <w:rFonts w:eastAsia="Symbol"/>
              </w:rPr>
            </w:pPr>
            <w:r>
              <w:t>99</w:t>
            </w:r>
          </w:p>
        </w:tc>
        <w:tc>
          <w:tcPr>
            <w:tcW w:w="841" w:type="dxa"/>
            <w:shd w:val="clear" w:color="auto" w:fill="auto"/>
          </w:tcPr>
          <w:p w14:paraId="4DBD687D" w14:textId="77777777" w:rsidR="003E3D07" w:rsidRDefault="003E3D07">
            <w:pPr>
              <w:pStyle w:val="TableText"/>
              <w:rPr>
                <w:rFonts w:eastAsia="Symbol"/>
              </w:rPr>
            </w:pPr>
            <w:r>
              <w:rPr>
                <w:rFonts w:eastAsia="Symbol"/>
              </w:rPr>
              <w:t>AGC(x)</w:t>
            </w:r>
          </w:p>
        </w:tc>
      </w:tr>
      <w:tr w:rsidR="00824338" w14:paraId="7EEDCE82" w14:textId="77777777" w:rsidTr="00031618">
        <w:tblPrEx>
          <w:tblBorders>
            <w:insideH w:val="single" w:sz="4" w:space="0" w:color="auto"/>
            <w:insideV w:val="single" w:sz="4" w:space="0" w:color="auto"/>
          </w:tblBorders>
        </w:tblPrEx>
        <w:tc>
          <w:tcPr>
            <w:tcW w:w="1975" w:type="dxa"/>
            <w:shd w:val="clear" w:color="auto" w:fill="auto"/>
          </w:tcPr>
          <w:p w14:paraId="1B774595" w14:textId="77777777" w:rsidR="003E3D07" w:rsidRDefault="003E3D07">
            <w:pPr>
              <w:pStyle w:val="TableText"/>
              <w:rPr>
                <w:rFonts w:eastAsia="Symbol"/>
              </w:rPr>
            </w:pPr>
            <w:r>
              <w:t>Anti-E(w)</w:t>
            </w:r>
          </w:p>
        </w:tc>
        <w:tc>
          <w:tcPr>
            <w:tcW w:w="1710" w:type="dxa"/>
            <w:shd w:val="clear" w:color="auto" w:fill="auto"/>
          </w:tcPr>
          <w:p w14:paraId="49B524E5" w14:textId="77777777" w:rsidR="003E3D07" w:rsidRDefault="003E3D07">
            <w:pPr>
              <w:pStyle w:val="TableText"/>
              <w:rPr>
                <w:rFonts w:eastAsia="Symbol"/>
              </w:rPr>
            </w:pPr>
            <w:r>
              <w:t>Anti-E(w)</w:t>
            </w:r>
          </w:p>
        </w:tc>
        <w:tc>
          <w:tcPr>
            <w:tcW w:w="878" w:type="dxa"/>
            <w:shd w:val="clear" w:color="auto" w:fill="auto"/>
          </w:tcPr>
          <w:p w14:paraId="45552EC5" w14:textId="77777777" w:rsidR="003E3D07" w:rsidRDefault="003E3D07">
            <w:pPr>
              <w:pStyle w:val="TableText"/>
            </w:pPr>
            <w:r>
              <w:rPr>
                <w:bCs/>
              </w:rPr>
              <w:t>Yes</w:t>
            </w:r>
          </w:p>
        </w:tc>
        <w:tc>
          <w:tcPr>
            <w:tcW w:w="878" w:type="dxa"/>
            <w:shd w:val="clear" w:color="auto" w:fill="auto"/>
          </w:tcPr>
          <w:p w14:paraId="6FF023A4" w14:textId="77777777" w:rsidR="003E3D07" w:rsidRDefault="003E3D07">
            <w:pPr>
              <w:pStyle w:val="TableText"/>
              <w:rPr>
                <w:rFonts w:eastAsia="Symbol"/>
              </w:rPr>
            </w:pPr>
            <w:r>
              <w:t>Optional</w:t>
            </w:r>
          </w:p>
        </w:tc>
        <w:tc>
          <w:tcPr>
            <w:tcW w:w="1253" w:type="dxa"/>
            <w:shd w:val="clear" w:color="auto" w:fill="auto"/>
          </w:tcPr>
          <w:p w14:paraId="6A942FE1" w14:textId="77777777" w:rsidR="003E3D07" w:rsidRDefault="003E3D07">
            <w:pPr>
              <w:pStyle w:val="TableText"/>
              <w:rPr>
                <w:rFonts w:eastAsia="Symbol"/>
              </w:rPr>
            </w:pPr>
            <w:r>
              <w:t>E(w)</w:t>
            </w:r>
          </w:p>
        </w:tc>
        <w:tc>
          <w:tcPr>
            <w:tcW w:w="1253" w:type="dxa"/>
            <w:shd w:val="clear" w:color="auto" w:fill="auto"/>
          </w:tcPr>
          <w:p w14:paraId="51FDBAC1" w14:textId="77777777" w:rsidR="003E3D07" w:rsidRDefault="003E3D07">
            <w:pPr>
              <w:pStyle w:val="TableText"/>
              <w:rPr>
                <w:rFonts w:eastAsia="Symbol"/>
              </w:rPr>
            </w:pPr>
            <w:r>
              <w:t>E(w)</w:t>
            </w:r>
          </w:p>
        </w:tc>
        <w:tc>
          <w:tcPr>
            <w:tcW w:w="1296" w:type="dxa"/>
            <w:shd w:val="clear" w:color="auto" w:fill="auto"/>
          </w:tcPr>
          <w:p w14:paraId="0DF26D29" w14:textId="77777777" w:rsidR="003E3D07" w:rsidRDefault="003E3D07">
            <w:pPr>
              <w:pStyle w:val="TableText"/>
              <w:rPr>
                <w:rFonts w:eastAsia="Symbol"/>
              </w:rPr>
            </w:pPr>
            <w:r>
              <w:t>99</w:t>
            </w:r>
          </w:p>
        </w:tc>
        <w:tc>
          <w:tcPr>
            <w:tcW w:w="841" w:type="dxa"/>
            <w:shd w:val="clear" w:color="auto" w:fill="auto"/>
          </w:tcPr>
          <w:p w14:paraId="285278B7" w14:textId="77777777" w:rsidR="003E3D07" w:rsidRDefault="003E3D07">
            <w:pPr>
              <w:pStyle w:val="TableText"/>
              <w:rPr>
                <w:rFonts w:eastAsia="Symbol"/>
              </w:rPr>
            </w:pPr>
            <w:r>
              <w:rPr>
                <w:rFonts w:eastAsia="Symbol"/>
              </w:rPr>
              <w:t>AGE(w)</w:t>
            </w:r>
          </w:p>
        </w:tc>
      </w:tr>
      <w:tr w:rsidR="00824338" w14:paraId="2E30B754" w14:textId="77777777" w:rsidTr="00031618">
        <w:tblPrEx>
          <w:tblBorders>
            <w:insideH w:val="single" w:sz="4" w:space="0" w:color="auto"/>
            <w:insideV w:val="single" w:sz="4" w:space="0" w:color="auto"/>
          </w:tblBorders>
        </w:tblPrEx>
        <w:tc>
          <w:tcPr>
            <w:tcW w:w="1975" w:type="dxa"/>
            <w:shd w:val="clear" w:color="auto" w:fill="auto"/>
          </w:tcPr>
          <w:p w14:paraId="04183CC1" w14:textId="77777777" w:rsidR="003E3D07" w:rsidRDefault="003E3D07">
            <w:pPr>
              <w:pStyle w:val="TableText"/>
              <w:rPr>
                <w:rFonts w:eastAsia="Symbol"/>
              </w:rPr>
            </w:pPr>
            <w:r>
              <w:t>Anti-V</w:t>
            </w:r>
          </w:p>
        </w:tc>
        <w:tc>
          <w:tcPr>
            <w:tcW w:w="1710" w:type="dxa"/>
            <w:shd w:val="clear" w:color="auto" w:fill="auto"/>
          </w:tcPr>
          <w:p w14:paraId="30DF5E67" w14:textId="77777777" w:rsidR="003E3D07" w:rsidRDefault="003E3D07">
            <w:pPr>
              <w:pStyle w:val="TableText"/>
            </w:pPr>
            <w:r>
              <w:t>Anti-V</w:t>
            </w:r>
          </w:p>
        </w:tc>
        <w:tc>
          <w:tcPr>
            <w:tcW w:w="878" w:type="dxa"/>
            <w:shd w:val="clear" w:color="auto" w:fill="auto"/>
          </w:tcPr>
          <w:p w14:paraId="0435684B" w14:textId="77777777" w:rsidR="003E3D07" w:rsidRDefault="003E3D07">
            <w:pPr>
              <w:pStyle w:val="TableText"/>
            </w:pPr>
            <w:r>
              <w:rPr>
                <w:bCs/>
              </w:rPr>
              <w:t>Yes</w:t>
            </w:r>
          </w:p>
        </w:tc>
        <w:tc>
          <w:tcPr>
            <w:tcW w:w="878" w:type="dxa"/>
            <w:shd w:val="clear" w:color="auto" w:fill="auto"/>
          </w:tcPr>
          <w:p w14:paraId="0FEEB4AE" w14:textId="77777777" w:rsidR="003E3D07" w:rsidRDefault="003E3D07">
            <w:pPr>
              <w:pStyle w:val="TableText"/>
              <w:rPr>
                <w:rFonts w:eastAsia="Symbol"/>
              </w:rPr>
            </w:pPr>
            <w:r>
              <w:t>Optional</w:t>
            </w:r>
          </w:p>
        </w:tc>
        <w:tc>
          <w:tcPr>
            <w:tcW w:w="1253" w:type="dxa"/>
            <w:shd w:val="clear" w:color="auto" w:fill="auto"/>
          </w:tcPr>
          <w:p w14:paraId="539629DD" w14:textId="77777777" w:rsidR="003E3D07" w:rsidRDefault="003E3D07">
            <w:pPr>
              <w:pStyle w:val="TableText"/>
              <w:rPr>
                <w:rFonts w:eastAsia="Symbol"/>
              </w:rPr>
            </w:pPr>
            <w:r>
              <w:t>V</w:t>
            </w:r>
          </w:p>
        </w:tc>
        <w:tc>
          <w:tcPr>
            <w:tcW w:w="1253" w:type="dxa"/>
            <w:shd w:val="clear" w:color="auto" w:fill="auto"/>
          </w:tcPr>
          <w:p w14:paraId="42D0D508" w14:textId="77777777" w:rsidR="003E3D07" w:rsidRDefault="003E3D07">
            <w:pPr>
              <w:pStyle w:val="TableText"/>
              <w:rPr>
                <w:rFonts w:eastAsia="Symbol"/>
              </w:rPr>
            </w:pPr>
            <w:r>
              <w:t>V</w:t>
            </w:r>
          </w:p>
        </w:tc>
        <w:tc>
          <w:tcPr>
            <w:tcW w:w="1296" w:type="dxa"/>
            <w:shd w:val="clear" w:color="auto" w:fill="auto"/>
          </w:tcPr>
          <w:p w14:paraId="60897443" w14:textId="77777777" w:rsidR="003E3D07" w:rsidRDefault="003E3D07">
            <w:pPr>
              <w:pStyle w:val="TableText"/>
              <w:rPr>
                <w:rFonts w:eastAsia="Symbol"/>
              </w:rPr>
            </w:pPr>
            <w:r>
              <w:t>85</w:t>
            </w:r>
          </w:p>
        </w:tc>
        <w:tc>
          <w:tcPr>
            <w:tcW w:w="841" w:type="dxa"/>
            <w:shd w:val="clear" w:color="auto" w:fill="auto"/>
          </w:tcPr>
          <w:p w14:paraId="143E1ECF" w14:textId="77777777" w:rsidR="003E3D07" w:rsidRDefault="003E3D07">
            <w:pPr>
              <w:pStyle w:val="TableText"/>
              <w:rPr>
                <w:rFonts w:eastAsia="Symbol"/>
              </w:rPr>
            </w:pPr>
            <w:r>
              <w:rPr>
                <w:rFonts w:eastAsia="Symbol"/>
              </w:rPr>
              <w:t>AGV</w:t>
            </w:r>
          </w:p>
        </w:tc>
      </w:tr>
      <w:tr w:rsidR="00824338" w14:paraId="50219277" w14:textId="77777777" w:rsidTr="00031618">
        <w:tblPrEx>
          <w:tblBorders>
            <w:insideH w:val="single" w:sz="4" w:space="0" w:color="auto"/>
            <w:insideV w:val="single" w:sz="4" w:space="0" w:color="auto"/>
          </w:tblBorders>
        </w:tblPrEx>
        <w:tc>
          <w:tcPr>
            <w:tcW w:w="1975" w:type="dxa"/>
            <w:shd w:val="clear" w:color="auto" w:fill="auto"/>
          </w:tcPr>
          <w:p w14:paraId="1DF5D9F9" w14:textId="77777777" w:rsidR="003E3D07" w:rsidRDefault="003E3D07">
            <w:pPr>
              <w:pStyle w:val="TableText"/>
              <w:rPr>
                <w:rFonts w:eastAsia="Symbol"/>
              </w:rPr>
            </w:pPr>
            <w:r>
              <w:t>Anti-Xg(a)</w:t>
            </w:r>
          </w:p>
        </w:tc>
        <w:tc>
          <w:tcPr>
            <w:tcW w:w="1710" w:type="dxa"/>
            <w:shd w:val="clear" w:color="auto" w:fill="auto"/>
          </w:tcPr>
          <w:p w14:paraId="7BB7F1BB" w14:textId="77777777" w:rsidR="003E3D07" w:rsidRDefault="003E3D07">
            <w:pPr>
              <w:pStyle w:val="TableText"/>
            </w:pPr>
            <w:r>
              <w:t>Anti-Xg(a)</w:t>
            </w:r>
          </w:p>
        </w:tc>
        <w:tc>
          <w:tcPr>
            <w:tcW w:w="878" w:type="dxa"/>
            <w:shd w:val="clear" w:color="auto" w:fill="auto"/>
          </w:tcPr>
          <w:p w14:paraId="5AC18FB0" w14:textId="77777777" w:rsidR="003E3D07" w:rsidRDefault="003E3D07">
            <w:pPr>
              <w:pStyle w:val="TableText"/>
            </w:pPr>
            <w:r>
              <w:t>No</w:t>
            </w:r>
          </w:p>
        </w:tc>
        <w:tc>
          <w:tcPr>
            <w:tcW w:w="878" w:type="dxa"/>
            <w:shd w:val="clear" w:color="auto" w:fill="auto"/>
          </w:tcPr>
          <w:p w14:paraId="4EB23D69" w14:textId="77777777" w:rsidR="003E3D07" w:rsidRDefault="003E3D07">
            <w:pPr>
              <w:pStyle w:val="TableText"/>
              <w:rPr>
                <w:rFonts w:eastAsia="Symbol"/>
              </w:rPr>
            </w:pPr>
            <w:r>
              <w:t>Optional</w:t>
            </w:r>
          </w:p>
        </w:tc>
        <w:tc>
          <w:tcPr>
            <w:tcW w:w="1253" w:type="dxa"/>
            <w:shd w:val="clear" w:color="auto" w:fill="auto"/>
          </w:tcPr>
          <w:p w14:paraId="26EAC342" w14:textId="77777777" w:rsidR="003E3D07" w:rsidRDefault="003E3D07">
            <w:pPr>
              <w:pStyle w:val="TableText"/>
              <w:rPr>
                <w:rFonts w:eastAsia="Symbol"/>
              </w:rPr>
            </w:pPr>
            <w:r>
              <w:t>Xg(a)</w:t>
            </w:r>
          </w:p>
        </w:tc>
        <w:tc>
          <w:tcPr>
            <w:tcW w:w="1253" w:type="dxa"/>
            <w:shd w:val="clear" w:color="auto" w:fill="auto"/>
          </w:tcPr>
          <w:p w14:paraId="175173DA" w14:textId="77777777" w:rsidR="003E3D07" w:rsidRDefault="003E3D07">
            <w:pPr>
              <w:pStyle w:val="TableText"/>
            </w:pPr>
            <w:r>
              <w:t>Xg(a)</w:t>
            </w:r>
          </w:p>
        </w:tc>
        <w:tc>
          <w:tcPr>
            <w:tcW w:w="1296" w:type="dxa"/>
            <w:shd w:val="clear" w:color="auto" w:fill="auto"/>
          </w:tcPr>
          <w:p w14:paraId="2AD62081" w14:textId="77777777" w:rsidR="003E3D07" w:rsidRDefault="003E3D07">
            <w:pPr>
              <w:pStyle w:val="TableText"/>
              <w:rPr>
                <w:rFonts w:eastAsia="Symbol"/>
              </w:rPr>
            </w:pPr>
            <w:r>
              <w:t>25</w:t>
            </w:r>
          </w:p>
        </w:tc>
        <w:tc>
          <w:tcPr>
            <w:tcW w:w="841" w:type="dxa"/>
            <w:shd w:val="clear" w:color="auto" w:fill="auto"/>
          </w:tcPr>
          <w:p w14:paraId="73A9B214" w14:textId="77777777" w:rsidR="003E3D07" w:rsidRDefault="003E3D07">
            <w:pPr>
              <w:pStyle w:val="TableText"/>
              <w:rPr>
                <w:rFonts w:eastAsia="Symbol"/>
              </w:rPr>
            </w:pPr>
            <w:r>
              <w:t>AGXg(a)</w:t>
            </w:r>
          </w:p>
        </w:tc>
      </w:tr>
      <w:tr w:rsidR="00824338" w14:paraId="64BF1E51" w14:textId="77777777" w:rsidTr="00031618">
        <w:tblPrEx>
          <w:tblBorders>
            <w:insideH w:val="single" w:sz="4" w:space="0" w:color="auto"/>
            <w:insideV w:val="single" w:sz="4" w:space="0" w:color="auto"/>
          </w:tblBorders>
        </w:tblPrEx>
        <w:tc>
          <w:tcPr>
            <w:tcW w:w="1975" w:type="dxa"/>
            <w:shd w:val="clear" w:color="auto" w:fill="auto"/>
          </w:tcPr>
          <w:p w14:paraId="32FCB9F8" w14:textId="77777777" w:rsidR="003E3D07" w:rsidRDefault="003E3D07">
            <w:pPr>
              <w:pStyle w:val="TableText"/>
              <w:rPr>
                <w:rFonts w:eastAsia="Symbol"/>
              </w:rPr>
            </w:pPr>
            <w:r>
              <w:t>Anti-M(g)</w:t>
            </w:r>
          </w:p>
        </w:tc>
        <w:tc>
          <w:tcPr>
            <w:tcW w:w="1710" w:type="dxa"/>
            <w:shd w:val="clear" w:color="auto" w:fill="auto"/>
          </w:tcPr>
          <w:p w14:paraId="247737A9" w14:textId="77777777" w:rsidR="003E3D07" w:rsidRDefault="003E3D07">
            <w:pPr>
              <w:pStyle w:val="TableText"/>
            </w:pPr>
            <w:r>
              <w:t>Anti-M(g)</w:t>
            </w:r>
          </w:p>
        </w:tc>
        <w:tc>
          <w:tcPr>
            <w:tcW w:w="878" w:type="dxa"/>
            <w:shd w:val="clear" w:color="auto" w:fill="auto"/>
          </w:tcPr>
          <w:p w14:paraId="0C9F1CB3" w14:textId="77777777" w:rsidR="003E3D07" w:rsidRDefault="003E3D07">
            <w:pPr>
              <w:pStyle w:val="TableText"/>
            </w:pPr>
            <w:r>
              <w:t>No</w:t>
            </w:r>
          </w:p>
        </w:tc>
        <w:tc>
          <w:tcPr>
            <w:tcW w:w="878" w:type="dxa"/>
            <w:shd w:val="clear" w:color="auto" w:fill="auto"/>
          </w:tcPr>
          <w:p w14:paraId="4F1CAB62" w14:textId="77777777" w:rsidR="003E3D07" w:rsidRDefault="003E3D07">
            <w:pPr>
              <w:pStyle w:val="TableText"/>
              <w:rPr>
                <w:rFonts w:eastAsia="Symbol"/>
              </w:rPr>
            </w:pPr>
            <w:r>
              <w:t>Optional</w:t>
            </w:r>
          </w:p>
        </w:tc>
        <w:tc>
          <w:tcPr>
            <w:tcW w:w="1253" w:type="dxa"/>
            <w:shd w:val="clear" w:color="auto" w:fill="auto"/>
          </w:tcPr>
          <w:p w14:paraId="19E7BCD3" w14:textId="77777777" w:rsidR="003E3D07" w:rsidRDefault="003E3D07">
            <w:pPr>
              <w:pStyle w:val="TableText"/>
              <w:rPr>
                <w:rFonts w:eastAsia="Symbol"/>
              </w:rPr>
            </w:pPr>
            <w:r>
              <w:t>M(g)</w:t>
            </w:r>
          </w:p>
        </w:tc>
        <w:tc>
          <w:tcPr>
            <w:tcW w:w="1253" w:type="dxa"/>
            <w:shd w:val="clear" w:color="auto" w:fill="auto"/>
          </w:tcPr>
          <w:p w14:paraId="6A43A58B" w14:textId="77777777" w:rsidR="003E3D07" w:rsidRDefault="003E3D07">
            <w:pPr>
              <w:pStyle w:val="TableText"/>
              <w:rPr>
                <w:rFonts w:eastAsia="Symbol"/>
              </w:rPr>
            </w:pPr>
            <w:r>
              <w:t>M(g)</w:t>
            </w:r>
          </w:p>
        </w:tc>
        <w:tc>
          <w:tcPr>
            <w:tcW w:w="1296" w:type="dxa"/>
            <w:shd w:val="clear" w:color="auto" w:fill="auto"/>
          </w:tcPr>
          <w:p w14:paraId="4032BCDB" w14:textId="77777777" w:rsidR="003E3D07" w:rsidRDefault="003E3D07">
            <w:pPr>
              <w:pStyle w:val="TableText"/>
              <w:rPr>
                <w:rFonts w:eastAsia="Symbol"/>
              </w:rPr>
            </w:pPr>
            <w:r>
              <w:rPr>
                <w:rFonts w:eastAsia="Symbol"/>
              </w:rPr>
              <w:t>99</w:t>
            </w:r>
          </w:p>
        </w:tc>
        <w:tc>
          <w:tcPr>
            <w:tcW w:w="841" w:type="dxa"/>
            <w:shd w:val="clear" w:color="auto" w:fill="auto"/>
          </w:tcPr>
          <w:p w14:paraId="758404F5" w14:textId="77777777" w:rsidR="003E3D07" w:rsidRDefault="003E3D07">
            <w:pPr>
              <w:pStyle w:val="TableText"/>
              <w:rPr>
                <w:rFonts w:eastAsia="Symbol"/>
              </w:rPr>
            </w:pPr>
            <w:r>
              <w:rPr>
                <w:rFonts w:eastAsia="Symbol"/>
              </w:rPr>
              <w:t>AGM(g)</w:t>
            </w:r>
          </w:p>
        </w:tc>
      </w:tr>
      <w:tr w:rsidR="00824338" w14:paraId="71D46994" w14:textId="77777777" w:rsidTr="00031618">
        <w:tblPrEx>
          <w:tblBorders>
            <w:insideH w:val="single" w:sz="4" w:space="0" w:color="auto"/>
            <w:insideV w:val="single" w:sz="4" w:space="0" w:color="auto"/>
          </w:tblBorders>
        </w:tblPrEx>
        <w:tc>
          <w:tcPr>
            <w:tcW w:w="1975" w:type="dxa"/>
            <w:shd w:val="clear" w:color="auto" w:fill="auto"/>
          </w:tcPr>
          <w:p w14:paraId="12FAF83F" w14:textId="77777777" w:rsidR="003E3D07" w:rsidRDefault="003E3D07">
            <w:pPr>
              <w:pStyle w:val="TableText"/>
              <w:rPr>
                <w:rFonts w:eastAsia="Symbol"/>
              </w:rPr>
            </w:pPr>
            <w:r>
              <w:t>Anti-Mi(a)</w:t>
            </w:r>
          </w:p>
        </w:tc>
        <w:tc>
          <w:tcPr>
            <w:tcW w:w="1710" w:type="dxa"/>
            <w:shd w:val="clear" w:color="auto" w:fill="auto"/>
          </w:tcPr>
          <w:p w14:paraId="4112552A" w14:textId="77777777" w:rsidR="003E3D07" w:rsidRDefault="003E3D07">
            <w:pPr>
              <w:pStyle w:val="TableText"/>
            </w:pPr>
            <w:r>
              <w:t>Anti-Mi(a)</w:t>
            </w:r>
          </w:p>
        </w:tc>
        <w:tc>
          <w:tcPr>
            <w:tcW w:w="878" w:type="dxa"/>
            <w:shd w:val="clear" w:color="auto" w:fill="auto"/>
          </w:tcPr>
          <w:p w14:paraId="775A02A6" w14:textId="77777777" w:rsidR="003E3D07" w:rsidRDefault="003E3D07">
            <w:pPr>
              <w:pStyle w:val="TableText"/>
            </w:pPr>
            <w:r>
              <w:t>No</w:t>
            </w:r>
          </w:p>
        </w:tc>
        <w:tc>
          <w:tcPr>
            <w:tcW w:w="878" w:type="dxa"/>
            <w:shd w:val="clear" w:color="auto" w:fill="auto"/>
          </w:tcPr>
          <w:p w14:paraId="532484B4" w14:textId="77777777" w:rsidR="003E3D07" w:rsidRDefault="003E3D07">
            <w:pPr>
              <w:pStyle w:val="TableText"/>
              <w:rPr>
                <w:rFonts w:eastAsia="Symbol"/>
              </w:rPr>
            </w:pPr>
            <w:r>
              <w:t>Optional</w:t>
            </w:r>
          </w:p>
        </w:tc>
        <w:tc>
          <w:tcPr>
            <w:tcW w:w="1253" w:type="dxa"/>
            <w:shd w:val="clear" w:color="auto" w:fill="auto"/>
          </w:tcPr>
          <w:p w14:paraId="3B03C488" w14:textId="77777777" w:rsidR="003E3D07" w:rsidRDefault="003E3D07">
            <w:pPr>
              <w:pStyle w:val="TableText"/>
              <w:rPr>
                <w:rFonts w:eastAsia="Symbol"/>
              </w:rPr>
            </w:pPr>
            <w:r>
              <w:t>Mi(a)</w:t>
            </w:r>
          </w:p>
        </w:tc>
        <w:tc>
          <w:tcPr>
            <w:tcW w:w="1253" w:type="dxa"/>
            <w:shd w:val="clear" w:color="auto" w:fill="auto"/>
          </w:tcPr>
          <w:p w14:paraId="1A9778C4" w14:textId="77777777" w:rsidR="003E3D07" w:rsidRDefault="003E3D07">
            <w:pPr>
              <w:pStyle w:val="TableText"/>
              <w:rPr>
                <w:rFonts w:eastAsia="Symbol"/>
              </w:rPr>
            </w:pPr>
            <w:r>
              <w:t>Mi(a)</w:t>
            </w:r>
          </w:p>
        </w:tc>
        <w:tc>
          <w:tcPr>
            <w:tcW w:w="1296" w:type="dxa"/>
            <w:shd w:val="clear" w:color="auto" w:fill="auto"/>
          </w:tcPr>
          <w:p w14:paraId="4000A522" w14:textId="77777777" w:rsidR="003E3D07" w:rsidRDefault="003E3D07">
            <w:pPr>
              <w:pStyle w:val="TableText"/>
              <w:rPr>
                <w:rFonts w:eastAsia="Symbol"/>
              </w:rPr>
            </w:pPr>
            <w:r>
              <w:rPr>
                <w:rFonts w:eastAsia="Symbol"/>
              </w:rPr>
              <w:t>99</w:t>
            </w:r>
          </w:p>
        </w:tc>
        <w:tc>
          <w:tcPr>
            <w:tcW w:w="841" w:type="dxa"/>
            <w:shd w:val="clear" w:color="auto" w:fill="auto"/>
          </w:tcPr>
          <w:p w14:paraId="73CBF073" w14:textId="77777777" w:rsidR="003E3D07" w:rsidRDefault="003E3D07">
            <w:pPr>
              <w:pStyle w:val="TableText"/>
              <w:rPr>
                <w:rFonts w:eastAsia="Symbol"/>
              </w:rPr>
            </w:pPr>
            <w:r>
              <w:rPr>
                <w:rFonts w:eastAsia="Symbol"/>
              </w:rPr>
              <w:t>AGMi(a)</w:t>
            </w:r>
          </w:p>
        </w:tc>
      </w:tr>
      <w:tr w:rsidR="00824338" w14:paraId="4907B9C4" w14:textId="77777777" w:rsidTr="00031618">
        <w:tblPrEx>
          <w:tblBorders>
            <w:insideH w:val="single" w:sz="4" w:space="0" w:color="auto"/>
            <w:insideV w:val="single" w:sz="4" w:space="0" w:color="auto"/>
          </w:tblBorders>
        </w:tblPrEx>
        <w:tc>
          <w:tcPr>
            <w:tcW w:w="1975" w:type="dxa"/>
            <w:shd w:val="clear" w:color="auto" w:fill="auto"/>
          </w:tcPr>
          <w:p w14:paraId="7CE35211" w14:textId="77777777" w:rsidR="003E3D07" w:rsidRDefault="003E3D07">
            <w:pPr>
              <w:pStyle w:val="TableText"/>
              <w:rPr>
                <w:rFonts w:eastAsia="Symbol"/>
              </w:rPr>
            </w:pPr>
            <w:r>
              <w:lastRenderedPageBreak/>
              <w:t>Anti-P</w:t>
            </w:r>
          </w:p>
        </w:tc>
        <w:tc>
          <w:tcPr>
            <w:tcW w:w="1710" w:type="dxa"/>
            <w:shd w:val="clear" w:color="auto" w:fill="auto"/>
          </w:tcPr>
          <w:p w14:paraId="37D04765" w14:textId="77777777" w:rsidR="003E3D07" w:rsidRDefault="003E3D07">
            <w:pPr>
              <w:pStyle w:val="TableText"/>
            </w:pPr>
            <w:r>
              <w:t>Anti-P</w:t>
            </w:r>
          </w:p>
        </w:tc>
        <w:tc>
          <w:tcPr>
            <w:tcW w:w="878" w:type="dxa"/>
            <w:shd w:val="clear" w:color="auto" w:fill="auto"/>
          </w:tcPr>
          <w:p w14:paraId="4C4FB2DA" w14:textId="77777777" w:rsidR="003E3D07" w:rsidRDefault="003E3D07">
            <w:pPr>
              <w:pStyle w:val="TableText"/>
            </w:pPr>
            <w:r>
              <w:t>No</w:t>
            </w:r>
          </w:p>
        </w:tc>
        <w:tc>
          <w:tcPr>
            <w:tcW w:w="878" w:type="dxa"/>
            <w:shd w:val="clear" w:color="auto" w:fill="auto"/>
          </w:tcPr>
          <w:p w14:paraId="288D21C6" w14:textId="77777777" w:rsidR="003E3D07" w:rsidRDefault="003E3D07">
            <w:pPr>
              <w:pStyle w:val="TableText"/>
              <w:rPr>
                <w:rFonts w:eastAsia="Symbol"/>
              </w:rPr>
            </w:pPr>
            <w:r>
              <w:t>Optional</w:t>
            </w:r>
          </w:p>
        </w:tc>
        <w:tc>
          <w:tcPr>
            <w:tcW w:w="1253" w:type="dxa"/>
            <w:shd w:val="clear" w:color="auto" w:fill="auto"/>
          </w:tcPr>
          <w:p w14:paraId="495574D5" w14:textId="77777777" w:rsidR="003E3D07" w:rsidRDefault="003E3D07">
            <w:pPr>
              <w:pStyle w:val="TableText"/>
              <w:rPr>
                <w:rFonts w:eastAsia="Symbol"/>
              </w:rPr>
            </w:pPr>
            <w:r>
              <w:t>P</w:t>
            </w:r>
          </w:p>
        </w:tc>
        <w:tc>
          <w:tcPr>
            <w:tcW w:w="1253" w:type="dxa"/>
            <w:shd w:val="clear" w:color="auto" w:fill="auto"/>
          </w:tcPr>
          <w:p w14:paraId="6E6FE94A" w14:textId="77777777" w:rsidR="003E3D07" w:rsidRDefault="003E3D07">
            <w:pPr>
              <w:pStyle w:val="TableText"/>
              <w:rPr>
                <w:rFonts w:eastAsia="Symbol"/>
              </w:rPr>
            </w:pPr>
            <w:r>
              <w:t>P (not otherwise specified)</w:t>
            </w:r>
          </w:p>
        </w:tc>
        <w:tc>
          <w:tcPr>
            <w:tcW w:w="1296" w:type="dxa"/>
            <w:shd w:val="clear" w:color="auto" w:fill="auto"/>
          </w:tcPr>
          <w:p w14:paraId="5655BAE3" w14:textId="77777777" w:rsidR="003E3D07" w:rsidRDefault="003E3D07">
            <w:pPr>
              <w:pStyle w:val="TableText"/>
              <w:rPr>
                <w:rFonts w:eastAsia="Symbol"/>
              </w:rPr>
            </w:pPr>
            <w:r>
              <w:rPr>
                <w:rFonts w:eastAsia="Symbol"/>
              </w:rPr>
              <w:t>25</w:t>
            </w:r>
          </w:p>
        </w:tc>
        <w:tc>
          <w:tcPr>
            <w:tcW w:w="841" w:type="dxa"/>
            <w:shd w:val="clear" w:color="auto" w:fill="auto"/>
          </w:tcPr>
          <w:p w14:paraId="31EF6BCF" w14:textId="77777777" w:rsidR="003E3D07" w:rsidRDefault="003E3D07">
            <w:pPr>
              <w:pStyle w:val="TableText"/>
              <w:rPr>
                <w:rFonts w:eastAsia="Symbol"/>
              </w:rPr>
            </w:pPr>
            <w:r>
              <w:t>AGP</w:t>
            </w:r>
          </w:p>
        </w:tc>
      </w:tr>
      <w:tr w:rsidR="00824338" w14:paraId="5FB98875" w14:textId="77777777" w:rsidTr="00031618">
        <w:tblPrEx>
          <w:tblBorders>
            <w:insideH w:val="single" w:sz="4" w:space="0" w:color="auto"/>
            <w:insideV w:val="single" w:sz="4" w:space="0" w:color="auto"/>
          </w:tblBorders>
        </w:tblPrEx>
        <w:tc>
          <w:tcPr>
            <w:tcW w:w="1975" w:type="dxa"/>
            <w:shd w:val="clear" w:color="auto" w:fill="auto"/>
          </w:tcPr>
          <w:p w14:paraId="486E7EAD" w14:textId="77777777" w:rsidR="003E3D07" w:rsidRDefault="003E3D07">
            <w:pPr>
              <w:pStyle w:val="TableText"/>
              <w:rPr>
                <w:rFonts w:eastAsia="Symbol"/>
              </w:rPr>
            </w:pPr>
            <w:r>
              <w:t>Anti-A1</w:t>
            </w:r>
          </w:p>
        </w:tc>
        <w:tc>
          <w:tcPr>
            <w:tcW w:w="1710" w:type="dxa"/>
            <w:shd w:val="clear" w:color="auto" w:fill="auto"/>
          </w:tcPr>
          <w:p w14:paraId="51FE90F5" w14:textId="77777777" w:rsidR="003E3D07" w:rsidRDefault="003E3D07">
            <w:pPr>
              <w:pStyle w:val="TableText"/>
            </w:pPr>
            <w:r>
              <w:t>Anti-A-1</w:t>
            </w:r>
          </w:p>
        </w:tc>
        <w:tc>
          <w:tcPr>
            <w:tcW w:w="878" w:type="dxa"/>
            <w:shd w:val="clear" w:color="auto" w:fill="auto"/>
          </w:tcPr>
          <w:p w14:paraId="2E0BE63D" w14:textId="77777777" w:rsidR="003E3D07" w:rsidRDefault="003E3D07">
            <w:pPr>
              <w:pStyle w:val="TableText"/>
            </w:pPr>
            <w:r>
              <w:t>No</w:t>
            </w:r>
          </w:p>
        </w:tc>
        <w:tc>
          <w:tcPr>
            <w:tcW w:w="878" w:type="dxa"/>
            <w:shd w:val="clear" w:color="auto" w:fill="auto"/>
          </w:tcPr>
          <w:p w14:paraId="198C86D5" w14:textId="77777777" w:rsidR="003E3D07" w:rsidRDefault="003E3D07">
            <w:pPr>
              <w:pStyle w:val="TableText"/>
              <w:rPr>
                <w:rFonts w:eastAsia="Symbol"/>
              </w:rPr>
            </w:pPr>
            <w:r>
              <w:t>Optional</w:t>
            </w:r>
          </w:p>
        </w:tc>
        <w:tc>
          <w:tcPr>
            <w:tcW w:w="1253" w:type="dxa"/>
            <w:shd w:val="clear" w:color="auto" w:fill="auto"/>
          </w:tcPr>
          <w:p w14:paraId="3F1D5699" w14:textId="77777777" w:rsidR="003E3D07" w:rsidRDefault="003E3D07">
            <w:pPr>
              <w:pStyle w:val="TableText"/>
              <w:rPr>
                <w:rFonts w:eastAsia="Symbol"/>
              </w:rPr>
            </w:pPr>
            <w:r>
              <w:t>A1</w:t>
            </w:r>
          </w:p>
        </w:tc>
        <w:tc>
          <w:tcPr>
            <w:tcW w:w="1253" w:type="dxa"/>
            <w:shd w:val="clear" w:color="auto" w:fill="auto"/>
          </w:tcPr>
          <w:p w14:paraId="638FEE6B" w14:textId="77777777" w:rsidR="003E3D07" w:rsidRDefault="003E3D07">
            <w:pPr>
              <w:pStyle w:val="TableText"/>
              <w:rPr>
                <w:rFonts w:eastAsia="Symbol"/>
              </w:rPr>
            </w:pPr>
            <w:r>
              <w:t>A-1</w:t>
            </w:r>
          </w:p>
        </w:tc>
        <w:tc>
          <w:tcPr>
            <w:tcW w:w="1296" w:type="dxa"/>
            <w:shd w:val="clear" w:color="auto" w:fill="auto"/>
          </w:tcPr>
          <w:p w14:paraId="23BA599C" w14:textId="77777777" w:rsidR="003E3D07" w:rsidRDefault="003E3D07">
            <w:pPr>
              <w:pStyle w:val="TableText"/>
              <w:rPr>
                <w:rFonts w:eastAsia="Symbol"/>
              </w:rPr>
            </w:pPr>
            <w:r>
              <w:rPr>
                <w:rFonts w:eastAsia="Symbol"/>
              </w:rPr>
              <w:t>10</w:t>
            </w:r>
          </w:p>
        </w:tc>
        <w:tc>
          <w:tcPr>
            <w:tcW w:w="841" w:type="dxa"/>
            <w:shd w:val="clear" w:color="auto" w:fill="auto"/>
          </w:tcPr>
          <w:p w14:paraId="3F0C8E3D" w14:textId="77777777" w:rsidR="003E3D07" w:rsidRDefault="003E3D07">
            <w:pPr>
              <w:pStyle w:val="TableText"/>
              <w:rPr>
                <w:rFonts w:eastAsia="Symbol"/>
              </w:rPr>
            </w:pPr>
            <w:r>
              <w:t>AGA1</w:t>
            </w:r>
          </w:p>
        </w:tc>
      </w:tr>
      <w:tr w:rsidR="00824338" w14:paraId="63C3A7D1" w14:textId="77777777" w:rsidTr="00031618">
        <w:tblPrEx>
          <w:tblBorders>
            <w:insideH w:val="single" w:sz="4" w:space="0" w:color="auto"/>
            <w:insideV w:val="single" w:sz="4" w:space="0" w:color="auto"/>
          </w:tblBorders>
        </w:tblPrEx>
        <w:tc>
          <w:tcPr>
            <w:tcW w:w="1975" w:type="dxa"/>
            <w:shd w:val="clear" w:color="auto" w:fill="auto"/>
          </w:tcPr>
          <w:p w14:paraId="6BB4E996" w14:textId="77777777" w:rsidR="003E3D07" w:rsidRDefault="003E3D07">
            <w:pPr>
              <w:pStyle w:val="TableText"/>
              <w:rPr>
                <w:rFonts w:eastAsia="Symbol"/>
              </w:rPr>
            </w:pPr>
            <w:r>
              <w:t>Anti-H</w:t>
            </w:r>
          </w:p>
        </w:tc>
        <w:tc>
          <w:tcPr>
            <w:tcW w:w="1710" w:type="dxa"/>
            <w:shd w:val="clear" w:color="auto" w:fill="auto"/>
          </w:tcPr>
          <w:p w14:paraId="16720DB7" w14:textId="77777777" w:rsidR="003E3D07" w:rsidRDefault="003E3D07">
            <w:pPr>
              <w:pStyle w:val="TableText"/>
              <w:rPr>
                <w:rFonts w:eastAsia="Symbol"/>
              </w:rPr>
            </w:pPr>
            <w:r>
              <w:t>Anti-H</w:t>
            </w:r>
          </w:p>
        </w:tc>
        <w:tc>
          <w:tcPr>
            <w:tcW w:w="878" w:type="dxa"/>
            <w:shd w:val="clear" w:color="auto" w:fill="auto"/>
          </w:tcPr>
          <w:p w14:paraId="3084E073" w14:textId="77777777" w:rsidR="003E3D07" w:rsidRDefault="003E3D07">
            <w:pPr>
              <w:pStyle w:val="TableText"/>
            </w:pPr>
            <w:r>
              <w:t>No</w:t>
            </w:r>
          </w:p>
        </w:tc>
        <w:tc>
          <w:tcPr>
            <w:tcW w:w="878" w:type="dxa"/>
            <w:shd w:val="clear" w:color="auto" w:fill="auto"/>
          </w:tcPr>
          <w:p w14:paraId="74A373BE" w14:textId="77777777" w:rsidR="003E3D07" w:rsidRDefault="003E3D07">
            <w:pPr>
              <w:pStyle w:val="TableText"/>
              <w:rPr>
                <w:rFonts w:eastAsia="Symbol"/>
              </w:rPr>
            </w:pPr>
            <w:r>
              <w:t>Optional</w:t>
            </w:r>
          </w:p>
        </w:tc>
        <w:tc>
          <w:tcPr>
            <w:tcW w:w="1253" w:type="dxa"/>
            <w:shd w:val="clear" w:color="auto" w:fill="auto"/>
          </w:tcPr>
          <w:p w14:paraId="3D9C234E" w14:textId="77777777" w:rsidR="003E3D07" w:rsidRDefault="003E3D07">
            <w:pPr>
              <w:pStyle w:val="TableText"/>
              <w:rPr>
                <w:rFonts w:eastAsia="Symbol"/>
              </w:rPr>
            </w:pPr>
            <w:r>
              <w:t>H</w:t>
            </w:r>
          </w:p>
        </w:tc>
        <w:tc>
          <w:tcPr>
            <w:tcW w:w="1253" w:type="dxa"/>
            <w:shd w:val="clear" w:color="auto" w:fill="auto"/>
          </w:tcPr>
          <w:p w14:paraId="2A0334BD" w14:textId="77777777" w:rsidR="003E3D07" w:rsidRDefault="003E3D07">
            <w:pPr>
              <w:pStyle w:val="TableText"/>
              <w:rPr>
                <w:rFonts w:eastAsia="Symbol"/>
              </w:rPr>
            </w:pPr>
            <w:r>
              <w:t>H</w:t>
            </w:r>
          </w:p>
        </w:tc>
        <w:tc>
          <w:tcPr>
            <w:tcW w:w="1296" w:type="dxa"/>
            <w:shd w:val="clear" w:color="auto" w:fill="auto"/>
          </w:tcPr>
          <w:p w14:paraId="580B027D" w14:textId="77777777" w:rsidR="003E3D07" w:rsidRDefault="003E3D07">
            <w:pPr>
              <w:pStyle w:val="TableText"/>
              <w:rPr>
                <w:rFonts w:eastAsia="Symbol"/>
              </w:rPr>
            </w:pPr>
            <w:r>
              <w:t>0</w:t>
            </w:r>
          </w:p>
        </w:tc>
        <w:tc>
          <w:tcPr>
            <w:tcW w:w="841" w:type="dxa"/>
            <w:shd w:val="clear" w:color="auto" w:fill="auto"/>
          </w:tcPr>
          <w:p w14:paraId="396B485B" w14:textId="77777777" w:rsidR="003E3D07" w:rsidRDefault="003E3D07">
            <w:pPr>
              <w:pStyle w:val="TableText"/>
              <w:rPr>
                <w:rFonts w:eastAsia="Symbol"/>
              </w:rPr>
            </w:pPr>
            <w:r>
              <w:rPr>
                <w:rFonts w:eastAsia="Symbol"/>
              </w:rPr>
              <w:t>AGH</w:t>
            </w:r>
          </w:p>
        </w:tc>
      </w:tr>
      <w:tr w:rsidR="00824338" w14:paraId="4C6B89D6" w14:textId="77777777" w:rsidTr="00031618">
        <w:tblPrEx>
          <w:tblBorders>
            <w:insideH w:val="single" w:sz="4" w:space="0" w:color="auto"/>
            <w:insideV w:val="single" w:sz="4" w:space="0" w:color="auto"/>
          </w:tblBorders>
        </w:tblPrEx>
        <w:trPr>
          <w:trHeight w:val="720"/>
        </w:trPr>
        <w:tc>
          <w:tcPr>
            <w:tcW w:w="1975" w:type="dxa"/>
            <w:shd w:val="clear" w:color="auto" w:fill="auto"/>
          </w:tcPr>
          <w:p w14:paraId="6409F82E" w14:textId="77777777" w:rsidR="003E3D07" w:rsidRDefault="003E3D07">
            <w:pPr>
              <w:pStyle w:val="TableText"/>
              <w:rPr>
                <w:rFonts w:eastAsia="Symbol"/>
              </w:rPr>
            </w:pPr>
            <w:r>
              <w:t>Anti-I</w:t>
            </w:r>
          </w:p>
        </w:tc>
        <w:tc>
          <w:tcPr>
            <w:tcW w:w="1710" w:type="dxa"/>
            <w:shd w:val="clear" w:color="auto" w:fill="auto"/>
          </w:tcPr>
          <w:p w14:paraId="6D82F531" w14:textId="77777777" w:rsidR="003E3D07" w:rsidRDefault="003E3D07">
            <w:pPr>
              <w:pStyle w:val="TableText"/>
              <w:rPr>
                <w:rFonts w:eastAsia="Symbol"/>
              </w:rPr>
            </w:pPr>
            <w:r>
              <w:t>Anti-I</w:t>
            </w:r>
          </w:p>
        </w:tc>
        <w:tc>
          <w:tcPr>
            <w:tcW w:w="878" w:type="dxa"/>
            <w:shd w:val="clear" w:color="auto" w:fill="auto"/>
          </w:tcPr>
          <w:p w14:paraId="54055C00" w14:textId="77777777" w:rsidR="003E3D07" w:rsidRDefault="003E3D07">
            <w:pPr>
              <w:pStyle w:val="TableText"/>
            </w:pPr>
            <w:r>
              <w:t>No</w:t>
            </w:r>
          </w:p>
        </w:tc>
        <w:tc>
          <w:tcPr>
            <w:tcW w:w="878" w:type="dxa"/>
            <w:shd w:val="clear" w:color="auto" w:fill="auto"/>
          </w:tcPr>
          <w:p w14:paraId="6CA747EF" w14:textId="77777777" w:rsidR="003E3D07" w:rsidRDefault="003E3D07">
            <w:pPr>
              <w:pStyle w:val="TableText"/>
              <w:rPr>
                <w:rFonts w:eastAsia="Symbol"/>
              </w:rPr>
            </w:pPr>
            <w:r>
              <w:t>No</w:t>
            </w:r>
          </w:p>
        </w:tc>
        <w:tc>
          <w:tcPr>
            <w:tcW w:w="1253" w:type="dxa"/>
            <w:shd w:val="clear" w:color="auto" w:fill="auto"/>
          </w:tcPr>
          <w:p w14:paraId="687F9727" w14:textId="77777777" w:rsidR="003E3D07" w:rsidRDefault="003E3D07">
            <w:pPr>
              <w:pStyle w:val="TableText"/>
              <w:rPr>
                <w:rFonts w:eastAsia="Symbol"/>
              </w:rPr>
            </w:pPr>
            <w:r>
              <w:t>None</w:t>
            </w:r>
          </w:p>
        </w:tc>
        <w:tc>
          <w:tcPr>
            <w:tcW w:w="1253" w:type="dxa"/>
            <w:shd w:val="clear" w:color="auto" w:fill="auto"/>
          </w:tcPr>
          <w:p w14:paraId="01D6B2C6" w14:textId="77777777" w:rsidR="003E3D07" w:rsidRDefault="003E3D07">
            <w:pPr>
              <w:pStyle w:val="TableText"/>
              <w:rPr>
                <w:rFonts w:eastAsia="Symbol"/>
              </w:rPr>
            </w:pPr>
            <w:r>
              <w:t>None</w:t>
            </w:r>
          </w:p>
        </w:tc>
        <w:tc>
          <w:tcPr>
            <w:tcW w:w="1296" w:type="dxa"/>
            <w:shd w:val="clear" w:color="auto" w:fill="auto"/>
          </w:tcPr>
          <w:p w14:paraId="24951638" w14:textId="77777777" w:rsidR="003E3D07" w:rsidRDefault="003E3D07">
            <w:pPr>
              <w:pStyle w:val="TableText"/>
              <w:rPr>
                <w:rFonts w:eastAsia="Symbol"/>
              </w:rPr>
            </w:pPr>
            <w:r>
              <w:t>0</w:t>
            </w:r>
          </w:p>
        </w:tc>
        <w:tc>
          <w:tcPr>
            <w:tcW w:w="841" w:type="dxa"/>
            <w:vMerge w:val="restart"/>
            <w:shd w:val="clear" w:color="auto" w:fill="auto"/>
          </w:tcPr>
          <w:p w14:paraId="06823658" w14:textId="77777777" w:rsidR="003E3D07" w:rsidRDefault="003E3D07">
            <w:pPr>
              <w:pStyle w:val="TableText"/>
              <w:rPr>
                <w:rFonts w:eastAsia="Symbol"/>
              </w:rPr>
            </w:pPr>
            <w:r>
              <w:rPr>
                <w:rFonts w:eastAsia="Symbol"/>
              </w:rPr>
              <w:t>None</w:t>
            </w:r>
          </w:p>
        </w:tc>
      </w:tr>
      <w:tr w:rsidR="00824338" w14:paraId="0B07AE97" w14:textId="77777777" w:rsidTr="00031618">
        <w:tblPrEx>
          <w:tblBorders>
            <w:insideH w:val="single" w:sz="4" w:space="0" w:color="auto"/>
            <w:insideV w:val="single" w:sz="4" w:space="0" w:color="auto"/>
          </w:tblBorders>
        </w:tblPrEx>
        <w:trPr>
          <w:trHeight w:val="720"/>
        </w:trPr>
        <w:tc>
          <w:tcPr>
            <w:tcW w:w="1975" w:type="dxa"/>
            <w:shd w:val="clear" w:color="auto" w:fill="auto"/>
          </w:tcPr>
          <w:p w14:paraId="5493B59A" w14:textId="77777777" w:rsidR="003E3D07" w:rsidRDefault="003E3D07">
            <w:pPr>
              <w:pStyle w:val="TableText"/>
              <w:rPr>
                <w:rFonts w:eastAsia="Symbol"/>
              </w:rPr>
            </w:pPr>
            <w:r>
              <w:t>Anti-i</w:t>
            </w:r>
          </w:p>
        </w:tc>
        <w:tc>
          <w:tcPr>
            <w:tcW w:w="1710" w:type="dxa"/>
            <w:shd w:val="clear" w:color="auto" w:fill="auto"/>
          </w:tcPr>
          <w:p w14:paraId="41AAAD23" w14:textId="77777777" w:rsidR="003E3D07" w:rsidRDefault="003E3D07">
            <w:pPr>
              <w:pStyle w:val="TableText"/>
              <w:rPr>
                <w:rFonts w:eastAsia="Symbol"/>
              </w:rPr>
            </w:pPr>
            <w:r>
              <w:t>Anti-i</w:t>
            </w:r>
          </w:p>
        </w:tc>
        <w:tc>
          <w:tcPr>
            <w:tcW w:w="878" w:type="dxa"/>
            <w:shd w:val="clear" w:color="auto" w:fill="auto"/>
          </w:tcPr>
          <w:p w14:paraId="4BC0E989" w14:textId="77777777" w:rsidR="003E3D07" w:rsidRDefault="003E3D07">
            <w:pPr>
              <w:pStyle w:val="TableText"/>
            </w:pPr>
            <w:r>
              <w:t>No</w:t>
            </w:r>
          </w:p>
        </w:tc>
        <w:tc>
          <w:tcPr>
            <w:tcW w:w="878" w:type="dxa"/>
            <w:shd w:val="clear" w:color="auto" w:fill="auto"/>
          </w:tcPr>
          <w:p w14:paraId="42CC1419" w14:textId="77777777" w:rsidR="003E3D07" w:rsidRDefault="003E3D07">
            <w:pPr>
              <w:pStyle w:val="TableText"/>
              <w:rPr>
                <w:rFonts w:eastAsia="Symbol"/>
              </w:rPr>
            </w:pPr>
            <w:r>
              <w:t>No</w:t>
            </w:r>
          </w:p>
        </w:tc>
        <w:tc>
          <w:tcPr>
            <w:tcW w:w="1253" w:type="dxa"/>
            <w:shd w:val="clear" w:color="auto" w:fill="auto"/>
          </w:tcPr>
          <w:p w14:paraId="2A2BC911" w14:textId="77777777" w:rsidR="003E3D07" w:rsidRDefault="003E3D07">
            <w:pPr>
              <w:pStyle w:val="TableText"/>
              <w:rPr>
                <w:rFonts w:eastAsia="Symbol"/>
              </w:rPr>
            </w:pPr>
            <w:r>
              <w:t>None</w:t>
            </w:r>
          </w:p>
        </w:tc>
        <w:tc>
          <w:tcPr>
            <w:tcW w:w="1253" w:type="dxa"/>
            <w:shd w:val="clear" w:color="auto" w:fill="auto"/>
          </w:tcPr>
          <w:p w14:paraId="6CCD5DAD" w14:textId="77777777" w:rsidR="003E3D07" w:rsidRDefault="003E3D07">
            <w:pPr>
              <w:pStyle w:val="TableText"/>
              <w:rPr>
                <w:rFonts w:eastAsia="Symbol"/>
              </w:rPr>
            </w:pPr>
            <w:r>
              <w:t>None</w:t>
            </w:r>
          </w:p>
        </w:tc>
        <w:tc>
          <w:tcPr>
            <w:tcW w:w="1296" w:type="dxa"/>
            <w:shd w:val="clear" w:color="auto" w:fill="auto"/>
          </w:tcPr>
          <w:p w14:paraId="1D8FA126" w14:textId="77777777" w:rsidR="003E3D07" w:rsidRDefault="003E3D07">
            <w:pPr>
              <w:pStyle w:val="TableText"/>
              <w:rPr>
                <w:rFonts w:eastAsia="Symbol"/>
              </w:rPr>
            </w:pPr>
            <w:r>
              <w:rPr>
                <w:rFonts w:eastAsia="Symbol"/>
              </w:rPr>
              <w:t>99</w:t>
            </w:r>
          </w:p>
        </w:tc>
        <w:tc>
          <w:tcPr>
            <w:tcW w:w="841" w:type="dxa"/>
            <w:vMerge/>
            <w:shd w:val="clear" w:color="auto" w:fill="auto"/>
          </w:tcPr>
          <w:p w14:paraId="2A25E67A" w14:textId="77777777" w:rsidR="003E3D07" w:rsidRDefault="003E3D07">
            <w:pPr>
              <w:pStyle w:val="TableText"/>
              <w:rPr>
                <w:rFonts w:eastAsia="Symbol"/>
              </w:rPr>
            </w:pPr>
          </w:p>
        </w:tc>
      </w:tr>
      <w:tr w:rsidR="00824338" w14:paraId="01F2EAB7" w14:textId="77777777" w:rsidTr="00031618">
        <w:tblPrEx>
          <w:tblBorders>
            <w:insideH w:val="single" w:sz="4" w:space="0" w:color="auto"/>
            <w:insideV w:val="single" w:sz="4" w:space="0" w:color="auto"/>
          </w:tblBorders>
        </w:tblPrEx>
        <w:trPr>
          <w:trHeight w:val="720"/>
        </w:trPr>
        <w:tc>
          <w:tcPr>
            <w:tcW w:w="1975" w:type="dxa"/>
            <w:shd w:val="clear" w:color="auto" w:fill="auto"/>
          </w:tcPr>
          <w:p w14:paraId="40C18948" w14:textId="77777777" w:rsidR="003E3D07" w:rsidRDefault="003E3D07">
            <w:pPr>
              <w:pStyle w:val="TableText"/>
            </w:pPr>
            <w:r>
              <w:t>Warm autoantibody</w:t>
            </w:r>
          </w:p>
        </w:tc>
        <w:tc>
          <w:tcPr>
            <w:tcW w:w="1710" w:type="dxa"/>
            <w:shd w:val="clear" w:color="auto" w:fill="auto"/>
          </w:tcPr>
          <w:p w14:paraId="5BBC725C" w14:textId="77777777" w:rsidR="003E3D07" w:rsidRDefault="003E3D07">
            <w:pPr>
              <w:pStyle w:val="TableText"/>
            </w:pPr>
            <w:r>
              <w:t>Warm autoantibody</w:t>
            </w:r>
          </w:p>
        </w:tc>
        <w:tc>
          <w:tcPr>
            <w:tcW w:w="878" w:type="dxa"/>
            <w:shd w:val="clear" w:color="auto" w:fill="auto"/>
          </w:tcPr>
          <w:p w14:paraId="677C2024" w14:textId="77777777" w:rsidR="003E3D07" w:rsidRDefault="003E3D07">
            <w:pPr>
              <w:pStyle w:val="TableText"/>
            </w:pPr>
            <w:r>
              <w:t>Unknown</w:t>
            </w:r>
            <w:r w:rsidR="00F528F3" w:rsidRPr="00191509">
              <w:rPr>
                <w:szCs w:val="18"/>
              </w:rPr>
              <w:t>§</w:t>
            </w:r>
          </w:p>
        </w:tc>
        <w:tc>
          <w:tcPr>
            <w:tcW w:w="878" w:type="dxa"/>
            <w:shd w:val="clear" w:color="auto" w:fill="auto"/>
          </w:tcPr>
          <w:p w14:paraId="1FE9F46D" w14:textId="77777777" w:rsidR="003E3D07" w:rsidRDefault="003E3D07">
            <w:pPr>
              <w:pStyle w:val="TableText"/>
            </w:pPr>
            <w:r>
              <w:t>No</w:t>
            </w:r>
          </w:p>
        </w:tc>
        <w:tc>
          <w:tcPr>
            <w:tcW w:w="1253" w:type="dxa"/>
            <w:shd w:val="clear" w:color="auto" w:fill="auto"/>
          </w:tcPr>
          <w:p w14:paraId="6D52A9ED" w14:textId="77777777" w:rsidR="003E3D07" w:rsidRDefault="003E3D07">
            <w:pPr>
              <w:pStyle w:val="TableText"/>
              <w:rPr>
                <w:rFonts w:eastAsia="Symbol"/>
              </w:rPr>
            </w:pPr>
            <w:r>
              <w:rPr>
                <w:rFonts w:eastAsia="Symbol"/>
              </w:rPr>
              <w:t>None</w:t>
            </w:r>
          </w:p>
        </w:tc>
        <w:tc>
          <w:tcPr>
            <w:tcW w:w="1253" w:type="dxa"/>
            <w:shd w:val="clear" w:color="auto" w:fill="auto"/>
          </w:tcPr>
          <w:p w14:paraId="174DC902" w14:textId="77777777" w:rsidR="003E3D07" w:rsidRDefault="003E3D07">
            <w:pPr>
              <w:pStyle w:val="TableText"/>
              <w:rPr>
                <w:rFonts w:eastAsia="Symbol"/>
              </w:rPr>
            </w:pPr>
            <w:r>
              <w:rPr>
                <w:rFonts w:eastAsia="Symbol"/>
              </w:rPr>
              <w:t>None</w:t>
            </w:r>
          </w:p>
        </w:tc>
        <w:tc>
          <w:tcPr>
            <w:tcW w:w="1296" w:type="dxa"/>
            <w:shd w:val="clear" w:color="auto" w:fill="auto"/>
          </w:tcPr>
          <w:p w14:paraId="1E251863" w14:textId="77777777" w:rsidR="003E3D07" w:rsidRDefault="003E3D07">
            <w:pPr>
              <w:pStyle w:val="TableText"/>
            </w:pPr>
            <w:r>
              <w:rPr>
                <w:rFonts w:eastAsia="Symbol"/>
              </w:rPr>
              <w:t>0</w:t>
            </w:r>
          </w:p>
        </w:tc>
        <w:tc>
          <w:tcPr>
            <w:tcW w:w="841" w:type="dxa"/>
            <w:vMerge/>
            <w:shd w:val="clear" w:color="auto" w:fill="auto"/>
          </w:tcPr>
          <w:p w14:paraId="10254C75" w14:textId="77777777" w:rsidR="003E3D07" w:rsidRDefault="003E3D07">
            <w:pPr>
              <w:pStyle w:val="TableText"/>
              <w:rPr>
                <w:rFonts w:eastAsia="Symbol"/>
              </w:rPr>
            </w:pPr>
          </w:p>
        </w:tc>
      </w:tr>
      <w:tr w:rsidR="00824338" w14:paraId="0912AA9A" w14:textId="77777777" w:rsidTr="00031618">
        <w:tblPrEx>
          <w:tblBorders>
            <w:insideH w:val="single" w:sz="4" w:space="0" w:color="auto"/>
            <w:insideV w:val="single" w:sz="4" w:space="0" w:color="auto"/>
          </w:tblBorders>
        </w:tblPrEx>
        <w:trPr>
          <w:trHeight w:val="720"/>
        </w:trPr>
        <w:tc>
          <w:tcPr>
            <w:tcW w:w="1975" w:type="dxa"/>
            <w:shd w:val="clear" w:color="auto" w:fill="auto"/>
          </w:tcPr>
          <w:p w14:paraId="5F232986" w14:textId="77777777" w:rsidR="003E3D07" w:rsidRDefault="003E3D07">
            <w:pPr>
              <w:pStyle w:val="TableText"/>
              <w:rPr>
                <w:rFonts w:eastAsia="Symbol"/>
              </w:rPr>
            </w:pPr>
            <w:r>
              <w:t>Cold autoantibody</w:t>
            </w:r>
          </w:p>
        </w:tc>
        <w:tc>
          <w:tcPr>
            <w:tcW w:w="1710" w:type="dxa"/>
            <w:shd w:val="clear" w:color="auto" w:fill="auto"/>
          </w:tcPr>
          <w:p w14:paraId="62FCD89D" w14:textId="77777777" w:rsidR="003E3D07" w:rsidRDefault="003E3D07">
            <w:pPr>
              <w:pStyle w:val="TableText"/>
            </w:pPr>
            <w:r>
              <w:t>Cold autoantibody</w:t>
            </w:r>
          </w:p>
        </w:tc>
        <w:tc>
          <w:tcPr>
            <w:tcW w:w="878" w:type="dxa"/>
            <w:shd w:val="clear" w:color="auto" w:fill="auto"/>
          </w:tcPr>
          <w:p w14:paraId="190EF533" w14:textId="77777777" w:rsidR="003E3D07" w:rsidRDefault="003E3D07">
            <w:pPr>
              <w:pStyle w:val="TableText"/>
            </w:pPr>
            <w:r>
              <w:t>No</w:t>
            </w:r>
          </w:p>
        </w:tc>
        <w:tc>
          <w:tcPr>
            <w:tcW w:w="878" w:type="dxa"/>
            <w:shd w:val="clear" w:color="auto" w:fill="auto"/>
          </w:tcPr>
          <w:p w14:paraId="6DE16A29" w14:textId="77777777" w:rsidR="003E3D07" w:rsidRDefault="003E3D07">
            <w:pPr>
              <w:pStyle w:val="TableText"/>
              <w:rPr>
                <w:rFonts w:eastAsia="Symbol"/>
              </w:rPr>
            </w:pPr>
            <w:r>
              <w:t>No</w:t>
            </w:r>
          </w:p>
        </w:tc>
        <w:tc>
          <w:tcPr>
            <w:tcW w:w="1253" w:type="dxa"/>
            <w:shd w:val="clear" w:color="auto" w:fill="auto"/>
          </w:tcPr>
          <w:p w14:paraId="7BB28F6B" w14:textId="77777777" w:rsidR="003E3D07" w:rsidRDefault="003E3D07">
            <w:pPr>
              <w:pStyle w:val="TableText"/>
              <w:rPr>
                <w:rFonts w:eastAsia="Symbol"/>
              </w:rPr>
            </w:pPr>
            <w:r>
              <w:rPr>
                <w:rFonts w:eastAsia="Symbol"/>
              </w:rPr>
              <w:t>None</w:t>
            </w:r>
          </w:p>
        </w:tc>
        <w:tc>
          <w:tcPr>
            <w:tcW w:w="1253" w:type="dxa"/>
            <w:shd w:val="clear" w:color="auto" w:fill="auto"/>
          </w:tcPr>
          <w:p w14:paraId="0C34E4B3" w14:textId="77777777" w:rsidR="003E3D07" w:rsidRDefault="003E3D07">
            <w:pPr>
              <w:pStyle w:val="TableText"/>
              <w:rPr>
                <w:rFonts w:eastAsia="Symbol"/>
              </w:rPr>
            </w:pPr>
            <w:r>
              <w:rPr>
                <w:rFonts w:eastAsia="Symbol"/>
              </w:rPr>
              <w:t>None</w:t>
            </w:r>
          </w:p>
        </w:tc>
        <w:tc>
          <w:tcPr>
            <w:tcW w:w="1296" w:type="dxa"/>
            <w:shd w:val="clear" w:color="auto" w:fill="auto"/>
          </w:tcPr>
          <w:p w14:paraId="64365EFF" w14:textId="77777777" w:rsidR="003E3D07" w:rsidRDefault="003E3D07">
            <w:pPr>
              <w:pStyle w:val="TableText"/>
              <w:rPr>
                <w:rFonts w:eastAsia="Symbol"/>
              </w:rPr>
            </w:pPr>
            <w:r>
              <w:t>0</w:t>
            </w:r>
          </w:p>
        </w:tc>
        <w:tc>
          <w:tcPr>
            <w:tcW w:w="841" w:type="dxa"/>
            <w:vMerge/>
            <w:shd w:val="clear" w:color="auto" w:fill="auto"/>
          </w:tcPr>
          <w:p w14:paraId="14E750C7" w14:textId="77777777" w:rsidR="003E3D07" w:rsidRDefault="003E3D07">
            <w:pPr>
              <w:pStyle w:val="TableText"/>
              <w:rPr>
                <w:rFonts w:eastAsia="Symbol"/>
              </w:rPr>
            </w:pPr>
          </w:p>
        </w:tc>
      </w:tr>
      <w:tr w:rsidR="00824338" w14:paraId="0B275F59" w14:textId="77777777" w:rsidTr="00031618">
        <w:tblPrEx>
          <w:tblBorders>
            <w:insideH w:val="single" w:sz="4" w:space="0" w:color="auto"/>
            <w:insideV w:val="single" w:sz="4" w:space="0" w:color="auto"/>
          </w:tblBorders>
        </w:tblPrEx>
        <w:tc>
          <w:tcPr>
            <w:tcW w:w="1975" w:type="dxa"/>
            <w:shd w:val="clear" w:color="auto" w:fill="auto"/>
          </w:tcPr>
          <w:p w14:paraId="2C27944A" w14:textId="77777777" w:rsidR="003E3D07" w:rsidRDefault="003E3D07">
            <w:pPr>
              <w:pStyle w:val="TableText"/>
              <w:rPr>
                <w:rFonts w:eastAsia="Symbol"/>
              </w:rPr>
            </w:pPr>
            <w:r>
              <w:t>Anti-Le(ab)</w:t>
            </w:r>
          </w:p>
        </w:tc>
        <w:tc>
          <w:tcPr>
            <w:tcW w:w="1710" w:type="dxa"/>
            <w:shd w:val="clear" w:color="auto" w:fill="auto"/>
          </w:tcPr>
          <w:p w14:paraId="05709328" w14:textId="77777777" w:rsidR="003E3D07" w:rsidRDefault="003E3D07">
            <w:pPr>
              <w:pStyle w:val="TableText"/>
            </w:pPr>
            <w:r>
              <w:t>Anti-Le(x)</w:t>
            </w:r>
          </w:p>
        </w:tc>
        <w:tc>
          <w:tcPr>
            <w:tcW w:w="878" w:type="dxa"/>
            <w:shd w:val="clear" w:color="auto" w:fill="auto"/>
          </w:tcPr>
          <w:p w14:paraId="4ACA28D1" w14:textId="77777777" w:rsidR="003E3D07" w:rsidRDefault="003E3D07">
            <w:pPr>
              <w:pStyle w:val="TableText"/>
            </w:pPr>
            <w:r>
              <w:t>N</w:t>
            </w:r>
            <w:r w:rsidR="004D0818">
              <w:t>o</w:t>
            </w:r>
          </w:p>
        </w:tc>
        <w:tc>
          <w:tcPr>
            <w:tcW w:w="878" w:type="dxa"/>
            <w:shd w:val="clear" w:color="auto" w:fill="auto"/>
          </w:tcPr>
          <w:p w14:paraId="488CB81C" w14:textId="77777777" w:rsidR="003E3D07" w:rsidRDefault="003E3D07">
            <w:pPr>
              <w:pStyle w:val="TableText"/>
              <w:rPr>
                <w:rFonts w:eastAsia="Symbol"/>
              </w:rPr>
            </w:pPr>
            <w:r>
              <w:t>Optional</w:t>
            </w:r>
          </w:p>
        </w:tc>
        <w:tc>
          <w:tcPr>
            <w:tcW w:w="1253" w:type="dxa"/>
            <w:shd w:val="clear" w:color="auto" w:fill="auto"/>
          </w:tcPr>
          <w:p w14:paraId="597FF05F" w14:textId="77777777" w:rsidR="003E3D07" w:rsidRDefault="003E3D07">
            <w:pPr>
              <w:pStyle w:val="TableText"/>
              <w:rPr>
                <w:rFonts w:eastAsia="Symbol"/>
              </w:rPr>
            </w:pPr>
            <w:r>
              <w:rPr>
                <w:rFonts w:eastAsia="Symbol"/>
              </w:rPr>
              <w:t>Le(a) and Le(b)</w:t>
            </w:r>
          </w:p>
        </w:tc>
        <w:tc>
          <w:tcPr>
            <w:tcW w:w="1253" w:type="dxa"/>
            <w:shd w:val="clear" w:color="auto" w:fill="auto"/>
          </w:tcPr>
          <w:p w14:paraId="1C35636D" w14:textId="77777777" w:rsidR="003E3D07" w:rsidRDefault="003E3D07">
            <w:pPr>
              <w:pStyle w:val="TableText"/>
              <w:rPr>
                <w:rFonts w:eastAsia="Symbol"/>
              </w:rPr>
            </w:pPr>
            <w:r>
              <w:rPr>
                <w:rFonts w:eastAsia="Symbol"/>
              </w:rPr>
              <w:t>None</w:t>
            </w:r>
          </w:p>
        </w:tc>
        <w:tc>
          <w:tcPr>
            <w:tcW w:w="1296" w:type="dxa"/>
            <w:shd w:val="clear" w:color="auto" w:fill="auto"/>
          </w:tcPr>
          <w:p w14:paraId="47340A30" w14:textId="77777777" w:rsidR="003E3D07" w:rsidRDefault="003E3D07">
            <w:pPr>
              <w:pStyle w:val="TableText"/>
              <w:rPr>
                <w:rFonts w:eastAsia="Symbol"/>
              </w:rPr>
            </w:pPr>
            <w:r>
              <w:t>N/A</w:t>
            </w:r>
          </w:p>
        </w:tc>
        <w:tc>
          <w:tcPr>
            <w:tcW w:w="841" w:type="dxa"/>
            <w:shd w:val="clear" w:color="auto" w:fill="auto"/>
          </w:tcPr>
          <w:p w14:paraId="3277B91E" w14:textId="77777777" w:rsidR="003E3D07" w:rsidRDefault="003E3D07">
            <w:pPr>
              <w:pStyle w:val="TableText"/>
            </w:pPr>
            <w:r>
              <w:t>AGLe(a)</w:t>
            </w:r>
          </w:p>
          <w:p w14:paraId="36057A08" w14:textId="77777777" w:rsidR="003E3D07" w:rsidRDefault="003E3D07">
            <w:pPr>
              <w:pStyle w:val="TableText"/>
              <w:rPr>
                <w:rFonts w:eastAsia="Symbol"/>
              </w:rPr>
            </w:pPr>
            <w:r>
              <w:t>AGLe(b)</w:t>
            </w:r>
          </w:p>
        </w:tc>
      </w:tr>
      <w:tr w:rsidR="00824338" w14:paraId="556A385E" w14:textId="77777777" w:rsidTr="00031618">
        <w:tblPrEx>
          <w:tblBorders>
            <w:insideH w:val="single" w:sz="4" w:space="0" w:color="auto"/>
            <w:insideV w:val="single" w:sz="4" w:space="0" w:color="auto"/>
          </w:tblBorders>
        </w:tblPrEx>
        <w:tc>
          <w:tcPr>
            <w:tcW w:w="1975" w:type="dxa"/>
            <w:shd w:val="clear" w:color="auto" w:fill="auto"/>
          </w:tcPr>
          <w:p w14:paraId="00819607" w14:textId="77777777" w:rsidR="003E3D07" w:rsidRDefault="003E3D07">
            <w:pPr>
              <w:pStyle w:val="TableText"/>
              <w:rPr>
                <w:rFonts w:eastAsia="Symbol"/>
              </w:rPr>
            </w:pPr>
            <w:r>
              <w:t>Anti-Di(a)</w:t>
            </w:r>
          </w:p>
        </w:tc>
        <w:tc>
          <w:tcPr>
            <w:tcW w:w="1710" w:type="dxa"/>
            <w:shd w:val="clear" w:color="auto" w:fill="auto"/>
          </w:tcPr>
          <w:p w14:paraId="066542F8" w14:textId="77777777" w:rsidR="003E3D07" w:rsidRDefault="003E3D07">
            <w:pPr>
              <w:pStyle w:val="TableText"/>
              <w:rPr>
                <w:rFonts w:eastAsia="Symbol"/>
              </w:rPr>
            </w:pPr>
            <w:r>
              <w:t>Anti-Di(a)</w:t>
            </w:r>
          </w:p>
        </w:tc>
        <w:tc>
          <w:tcPr>
            <w:tcW w:w="878" w:type="dxa"/>
            <w:shd w:val="clear" w:color="auto" w:fill="auto"/>
          </w:tcPr>
          <w:p w14:paraId="75C6CEF3" w14:textId="77777777" w:rsidR="003E3D07" w:rsidRDefault="003E3D07">
            <w:pPr>
              <w:pStyle w:val="TableText"/>
            </w:pPr>
            <w:r>
              <w:t>No</w:t>
            </w:r>
          </w:p>
        </w:tc>
        <w:tc>
          <w:tcPr>
            <w:tcW w:w="878" w:type="dxa"/>
            <w:shd w:val="clear" w:color="auto" w:fill="auto"/>
          </w:tcPr>
          <w:p w14:paraId="66FE4814" w14:textId="77777777" w:rsidR="003E3D07" w:rsidRDefault="003E3D07">
            <w:pPr>
              <w:pStyle w:val="TableText"/>
              <w:rPr>
                <w:rFonts w:eastAsia="Symbol"/>
              </w:rPr>
            </w:pPr>
            <w:r>
              <w:t>Optional</w:t>
            </w:r>
          </w:p>
        </w:tc>
        <w:tc>
          <w:tcPr>
            <w:tcW w:w="1253" w:type="dxa"/>
            <w:shd w:val="clear" w:color="auto" w:fill="auto"/>
          </w:tcPr>
          <w:p w14:paraId="44201556" w14:textId="77777777" w:rsidR="003E3D07" w:rsidRDefault="003E3D07">
            <w:pPr>
              <w:pStyle w:val="TableText"/>
              <w:rPr>
                <w:rFonts w:eastAsia="Symbol"/>
              </w:rPr>
            </w:pPr>
            <w:r>
              <w:t>Di(a)</w:t>
            </w:r>
          </w:p>
        </w:tc>
        <w:tc>
          <w:tcPr>
            <w:tcW w:w="1253" w:type="dxa"/>
            <w:shd w:val="clear" w:color="auto" w:fill="auto"/>
          </w:tcPr>
          <w:p w14:paraId="1DDF5791" w14:textId="77777777" w:rsidR="003E3D07" w:rsidRDefault="003E3D07">
            <w:pPr>
              <w:pStyle w:val="TableText"/>
              <w:rPr>
                <w:rFonts w:eastAsia="Symbol"/>
              </w:rPr>
            </w:pPr>
            <w:r>
              <w:t>Di(a)</w:t>
            </w:r>
          </w:p>
        </w:tc>
        <w:tc>
          <w:tcPr>
            <w:tcW w:w="1296" w:type="dxa"/>
            <w:shd w:val="clear" w:color="auto" w:fill="auto"/>
          </w:tcPr>
          <w:p w14:paraId="1C2F088E" w14:textId="77777777" w:rsidR="003E3D07" w:rsidRDefault="003E3D07">
            <w:pPr>
              <w:pStyle w:val="TableText"/>
              <w:rPr>
                <w:rFonts w:eastAsia="Symbol"/>
              </w:rPr>
            </w:pPr>
            <w:r>
              <w:t>0</w:t>
            </w:r>
          </w:p>
        </w:tc>
        <w:tc>
          <w:tcPr>
            <w:tcW w:w="841" w:type="dxa"/>
            <w:shd w:val="clear" w:color="auto" w:fill="auto"/>
          </w:tcPr>
          <w:p w14:paraId="5367EFE0" w14:textId="77777777" w:rsidR="003E3D07" w:rsidRDefault="003E3D07">
            <w:pPr>
              <w:pStyle w:val="TableText"/>
              <w:rPr>
                <w:rFonts w:eastAsia="Symbol"/>
              </w:rPr>
            </w:pPr>
            <w:r>
              <w:t>AGDi(a)</w:t>
            </w:r>
          </w:p>
        </w:tc>
      </w:tr>
      <w:tr w:rsidR="00824338" w14:paraId="1F99D031" w14:textId="77777777" w:rsidTr="00031618">
        <w:tblPrEx>
          <w:tblBorders>
            <w:insideH w:val="single" w:sz="4" w:space="0" w:color="auto"/>
            <w:insideV w:val="single" w:sz="4" w:space="0" w:color="auto"/>
          </w:tblBorders>
        </w:tblPrEx>
        <w:tc>
          <w:tcPr>
            <w:tcW w:w="1975" w:type="dxa"/>
            <w:shd w:val="clear" w:color="auto" w:fill="auto"/>
          </w:tcPr>
          <w:p w14:paraId="67015FBD" w14:textId="77777777" w:rsidR="003E3D07" w:rsidRDefault="003E3D07">
            <w:pPr>
              <w:pStyle w:val="TableText"/>
              <w:rPr>
                <w:rFonts w:eastAsia="Symbol"/>
              </w:rPr>
            </w:pPr>
            <w:r>
              <w:t>Anti-Di(b)</w:t>
            </w:r>
          </w:p>
        </w:tc>
        <w:tc>
          <w:tcPr>
            <w:tcW w:w="1710" w:type="dxa"/>
            <w:shd w:val="clear" w:color="auto" w:fill="auto"/>
          </w:tcPr>
          <w:p w14:paraId="3AC2BD96" w14:textId="77777777" w:rsidR="003E3D07" w:rsidRDefault="003E3D07">
            <w:pPr>
              <w:pStyle w:val="TableText"/>
              <w:rPr>
                <w:rFonts w:eastAsia="Symbol"/>
              </w:rPr>
            </w:pPr>
            <w:r>
              <w:t>Anti-Di(b)</w:t>
            </w:r>
          </w:p>
        </w:tc>
        <w:tc>
          <w:tcPr>
            <w:tcW w:w="878" w:type="dxa"/>
            <w:shd w:val="clear" w:color="auto" w:fill="auto"/>
          </w:tcPr>
          <w:p w14:paraId="5BEFFADB" w14:textId="77777777" w:rsidR="003E3D07" w:rsidRDefault="003E3D07">
            <w:pPr>
              <w:pStyle w:val="TableText"/>
            </w:pPr>
            <w:r>
              <w:t>No</w:t>
            </w:r>
          </w:p>
        </w:tc>
        <w:tc>
          <w:tcPr>
            <w:tcW w:w="878" w:type="dxa"/>
            <w:shd w:val="clear" w:color="auto" w:fill="auto"/>
          </w:tcPr>
          <w:p w14:paraId="20779BD2" w14:textId="77777777" w:rsidR="003E3D07" w:rsidRDefault="003E3D07">
            <w:pPr>
              <w:pStyle w:val="TableText"/>
              <w:rPr>
                <w:rFonts w:eastAsia="Symbol"/>
              </w:rPr>
            </w:pPr>
            <w:r>
              <w:t>Optional</w:t>
            </w:r>
          </w:p>
        </w:tc>
        <w:tc>
          <w:tcPr>
            <w:tcW w:w="1253" w:type="dxa"/>
            <w:shd w:val="clear" w:color="auto" w:fill="auto"/>
          </w:tcPr>
          <w:p w14:paraId="27A18F39" w14:textId="77777777" w:rsidR="003E3D07" w:rsidRDefault="003E3D07">
            <w:pPr>
              <w:pStyle w:val="TableText"/>
              <w:rPr>
                <w:rFonts w:eastAsia="Symbol"/>
              </w:rPr>
            </w:pPr>
            <w:r>
              <w:t>Di(b)</w:t>
            </w:r>
          </w:p>
        </w:tc>
        <w:tc>
          <w:tcPr>
            <w:tcW w:w="1253" w:type="dxa"/>
            <w:shd w:val="clear" w:color="auto" w:fill="auto"/>
          </w:tcPr>
          <w:p w14:paraId="7C003F91" w14:textId="77777777" w:rsidR="003E3D07" w:rsidRDefault="003E3D07">
            <w:pPr>
              <w:pStyle w:val="TableText"/>
              <w:rPr>
                <w:rFonts w:eastAsia="Symbol"/>
              </w:rPr>
            </w:pPr>
            <w:r>
              <w:t>Di(b)</w:t>
            </w:r>
          </w:p>
        </w:tc>
        <w:tc>
          <w:tcPr>
            <w:tcW w:w="1296" w:type="dxa"/>
            <w:shd w:val="clear" w:color="auto" w:fill="auto"/>
          </w:tcPr>
          <w:p w14:paraId="309390EB" w14:textId="77777777" w:rsidR="003E3D07" w:rsidRDefault="003E3D07">
            <w:pPr>
              <w:pStyle w:val="TableText"/>
              <w:rPr>
                <w:rFonts w:eastAsia="Symbol"/>
              </w:rPr>
            </w:pPr>
            <w:r>
              <w:rPr>
                <w:rFonts w:eastAsia="Symbol"/>
              </w:rPr>
              <w:t>99</w:t>
            </w:r>
          </w:p>
        </w:tc>
        <w:tc>
          <w:tcPr>
            <w:tcW w:w="841" w:type="dxa"/>
            <w:shd w:val="clear" w:color="auto" w:fill="auto"/>
          </w:tcPr>
          <w:p w14:paraId="282B48EF" w14:textId="77777777" w:rsidR="003E3D07" w:rsidRDefault="003E3D07">
            <w:pPr>
              <w:pStyle w:val="TableText"/>
              <w:rPr>
                <w:rFonts w:eastAsia="Symbol"/>
              </w:rPr>
            </w:pPr>
            <w:r>
              <w:t>AGDi(b)</w:t>
            </w:r>
          </w:p>
        </w:tc>
      </w:tr>
      <w:tr w:rsidR="00824338" w14:paraId="012E08E8" w14:textId="77777777" w:rsidTr="00031618">
        <w:tblPrEx>
          <w:tblBorders>
            <w:insideH w:val="single" w:sz="4" w:space="0" w:color="auto"/>
            <w:insideV w:val="single" w:sz="4" w:space="0" w:color="auto"/>
          </w:tblBorders>
        </w:tblPrEx>
        <w:tc>
          <w:tcPr>
            <w:tcW w:w="1975" w:type="dxa"/>
            <w:shd w:val="clear" w:color="auto" w:fill="auto"/>
          </w:tcPr>
          <w:p w14:paraId="6AD4B9B2" w14:textId="77777777" w:rsidR="003E3D07" w:rsidRDefault="003E3D07">
            <w:pPr>
              <w:pStyle w:val="TableText"/>
              <w:rPr>
                <w:rFonts w:eastAsia="Symbol"/>
              </w:rPr>
            </w:pPr>
            <w:r>
              <w:t>Anti-Do(a)</w:t>
            </w:r>
          </w:p>
        </w:tc>
        <w:tc>
          <w:tcPr>
            <w:tcW w:w="1710" w:type="dxa"/>
            <w:shd w:val="clear" w:color="auto" w:fill="auto"/>
          </w:tcPr>
          <w:p w14:paraId="7DE4CFF4" w14:textId="77777777" w:rsidR="003E3D07" w:rsidRDefault="003E3D07">
            <w:pPr>
              <w:pStyle w:val="TableText"/>
              <w:rPr>
                <w:rFonts w:eastAsia="Symbol"/>
              </w:rPr>
            </w:pPr>
            <w:r>
              <w:t>Anti-Do(a)</w:t>
            </w:r>
          </w:p>
        </w:tc>
        <w:tc>
          <w:tcPr>
            <w:tcW w:w="878" w:type="dxa"/>
            <w:shd w:val="clear" w:color="auto" w:fill="auto"/>
          </w:tcPr>
          <w:p w14:paraId="4E0AD23B" w14:textId="77777777" w:rsidR="003E3D07" w:rsidRDefault="003E3D07">
            <w:pPr>
              <w:pStyle w:val="TableText"/>
            </w:pPr>
            <w:r>
              <w:t>No</w:t>
            </w:r>
          </w:p>
        </w:tc>
        <w:tc>
          <w:tcPr>
            <w:tcW w:w="878" w:type="dxa"/>
            <w:shd w:val="clear" w:color="auto" w:fill="auto"/>
          </w:tcPr>
          <w:p w14:paraId="102FEE63" w14:textId="77777777" w:rsidR="003E3D07" w:rsidRDefault="003E3D07">
            <w:pPr>
              <w:pStyle w:val="TableText"/>
              <w:rPr>
                <w:rFonts w:eastAsia="Symbol"/>
              </w:rPr>
            </w:pPr>
            <w:r>
              <w:t>Optional</w:t>
            </w:r>
          </w:p>
        </w:tc>
        <w:tc>
          <w:tcPr>
            <w:tcW w:w="1253" w:type="dxa"/>
            <w:shd w:val="clear" w:color="auto" w:fill="auto"/>
          </w:tcPr>
          <w:p w14:paraId="19D91459" w14:textId="77777777" w:rsidR="003E3D07" w:rsidRDefault="003E3D07">
            <w:pPr>
              <w:pStyle w:val="TableText"/>
              <w:rPr>
                <w:rFonts w:eastAsia="Symbol"/>
              </w:rPr>
            </w:pPr>
            <w:r>
              <w:t>Do(a)</w:t>
            </w:r>
          </w:p>
        </w:tc>
        <w:tc>
          <w:tcPr>
            <w:tcW w:w="1253" w:type="dxa"/>
            <w:shd w:val="clear" w:color="auto" w:fill="auto"/>
          </w:tcPr>
          <w:p w14:paraId="37EE5FA4" w14:textId="77777777" w:rsidR="003E3D07" w:rsidRDefault="003E3D07">
            <w:pPr>
              <w:pStyle w:val="TableText"/>
              <w:rPr>
                <w:rFonts w:eastAsia="Symbol"/>
              </w:rPr>
            </w:pPr>
            <w:r>
              <w:t>Do(a)</w:t>
            </w:r>
          </w:p>
        </w:tc>
        <w:tc>
          <w:tcPr>
            <w:tcW w:w="1296" w:type="dxa"/>
            <w:shd w:val="clear" w:color="auto" w:fill="auto"/>
          </w:tcPr>
          <w:p w14:paraId="4ED7F117" w14:textId="77777777" w:rsidR="003E3D07" w:rsidRDefault="003E3D07">
            <w:pPr>
              <w:pStyle w:val="TableText"/>
              <w:rPr>
                <w:rFonts w:eastAsia="Symbol"/>
              </w:rPr>
            </w:pPr>
            <w:r>
              <w:t>33</w:t>
            </w:r>
          </w:p>
        </w:tc>
        <w:tc>
          <w:tcPr>
            <w:tcW w:w="841" w:type="dxa"/>
            <w:shd w:val="clear" w:color="auto" w:fill="auto"/>
          </w:tcPr>
          <w:p w14:paraId="4D48E961" w14:textId="77777777" w:rsidR="003E3D07" w:rsidRDefault="003E3D07">
            <w:pPr>
              <w:pStyle w:val="TableText"/>
            </w:pPr>
            <w:r>
              <w:t>AGDo(a)</w:t>
            </w:r>
          </w:p>
        </w:tc>
      </w:tr>
      <w:tr w:rsidR="00824338" w14:paraId="0C18C74E" w14:textId="77777777" w:rsidTr="00031618">
        <w:tblPrEx>
          <w:tblBorders>
            <w:insideH w:val="single" w:sz="4" w:space="0" w:color="auto"/>
            <w:insideV w:val="single" w:sz="4" w:space="0" w:color="auto"/>
          </w:tblBorders>
        </w:tblPrEx>
        <w:tc>
          <w:tcPr>
            <w:tcW w:w="1975" w:type="dxa"/>
            <w:shd w:val="clear" w:color="auto" w:fill="auto"/>
          </w:tcPr>
          <w:p w14:paraId="5E185783" w14:textId="77777777" w:rsidR="003E3D07" w:rsidRDefault="003E3D07">
            <w:pPr>
              <w:pStyle w:val="TableText"/>
              <w:rPr>
                <w:rFonts w:eastAsia="Symbol"/>
              </w:rPr>
            </w:pPr>
            <w:r>
              <w:t>Anti-Do(b)</w:t>
            </w:r>
          </w:p>
        </w:tc>
        <w:tc>
          <w:tcPr>
            <w:tcW w:w="1710" w:type="dxa"/>
            <w:shd w:val="clear" w:color="auto" w:fill="auto"/>
          </w:tcPr>
          <w:p w14:paraId="66E23560" w14:textId="77777777" w:rsidR="003E3D07" w:rsidRDefault="003E3D07">
            <w:pPr>
              <w:pStyle w:val="TableText"/>
              <w:rPr>
                <w:rFonts w:eastAsia="Symbol"/>
              </w:rPr>
            </w:pPr>
            <w:r>
              <w:t>None</w:t>
            </w:r>
          </w:p>
        </w:tc>
        <w:tc>
          <w:tcPr>
            <w:tcW w:w="878" w:type="dxa"/>
            <w:shd w:val="clear" w:color="auto" w:fill="auto"/>
          </w:tcPr>
          <w:p w14:paraId="0F2681B0" w14:textId="77777777" w:rsidR="003E3D07" w:rsidRDefault="003E3D07">
            <w:pPr>
              <w:pStyle w:val="TableText"/>
            </w:pPr>
            <w:r>
              <w:t>No</w:t>
            </w:r>
          </w:p>
        </w:tc>
        <w:tc>
          <w:tcPr>
            <w:tcW w:w="878" w:type="dxa"/>
            <w:shd w:val="clear" w:color="auto" w:fill="auto"/>
          </w:tcPr>
          <w:p w14:paraId="534A004C" w14:textId="77777777" w:rsidR="003E3D07" w:rsidRDefault="003E3D07">
            <w:pPr>
              <w:pStyle w:val="TableText"/>
              <w:rPr>
                <w:rFonts w:eastAsia="Symbol"/>
              </w:rPr>
            </w:pPr>
            <w:r>
              <w:t>Optional</w:t>
            </w:r>
          </w:p>
        </w:tc>
        <w:tc>
          <w:tcPr>
            <w:tcW w:w="1253" w:type="dxa"/>
            <w:shd w:val="clear" w:color="auto" w:fill="auto"/>
          </w:tcPr>
          <w:p w14:paraId="58FA48C3" w14:textId="77777777" w:rsidR="003E3D07" w:rsidRDefault="003E3D07">
            <w:pPr>
              <w:pStyle w:val="TableText"/>
              <w:rPr>
                <w:rFonts w:eastAsia="Symbol"/>
              </w:rPr>
            </w:pPr>
            <w:r>
              <w:t>Do(b)</w:t>
            </w:r>
          </w:p>
        </w:tc>
        <w:tc>
          <w:tcPr>
            <w:tcW w:w="1253" w:type="dxa"/>
            <w:shd w:val="clear" w:color="auto" w:fill="auto"/>
          </w:tcPr>
          <w:p w14:paraId="14C642ED" w14:textId="77777777" w:rsidR="003E3D07" w:rsidRDefault="003E3D07">
            <w:pPr>
              <w:pStyle w:val="TableText"/>
              <w:rPr>
                <w:rFonts w:eastAsia="Symbol"/>
              </w:rPr>
            </w:pPr>
            <w:r>
              <w:t>None</w:t>
            </w:r>
          </w:p>
        </w:tc>
        <w:tc>
          <w:tcPr>
            <w:tcW w:w="1296" w:type="dxa"/>
            <w:shd w:val="clear" w:color="auto" w:fill="auto"/>
          </w:tcPr>
          <w:p w14:paraId="150228A9" w14:textId="77777777" w:rsidR="003E3D07" w:rsidRDefault="003E3D07">
            <w:pPr>
              <w:pStyle w:val="TableText"/>
              <w:rPr>
                <w:rFonts w:eastAsia="Symbol"/>
              </w:rPr>
            </w:pPr>
            <w:r>
              <w:t>17</w:t>
            </w:r>
          </w:p>
        </w:tc>
        <w:tc>
          <w:tcPr>
            <w:tcW w:w="841" w:type="dxa"/>
            <w:shd w:val="clear" w:color="auto" w:fill="auto"/>
          </w:tcPr>
          <w:p w14:paraId="0EDE9578" w14:textId="77777777" w:rsidR="003E3D07" w:rsidRDefault="003E3D07">
            <w:pPr>
              <w:pStyle w:val="TableText"/>
            </w:pPr>
            <w:r>
              <w:t>AGDo(b)</w:t>
            </w:r>
          </w:p>
        </w:tc>
      </w:tr>
      <w:tr w:rsidR="00824338" w14:paraId="6E9829D7" w14:textId="77777777" w:rsidTr="00031618">
        <w:tblPrEx>
          <w:tblBorders>
            <w:insideH w:val="single" w:sz="4" w:space="0" w:color="auto"/>
            <w:insideV w:val="single" w:sz="4" w:space="0" w:color="auto"/>
          </w:tblBorders>
        </w:tblPrEx>
        <w:tc>
          <w:tcPr>
            <w:tcW w:w="1975" w:type="dxa"/>
            <w:shd w:val="clear" w:color="auto" w:fill="auto"/>
          </w:tcPr>
          <w:p w14:paraId="2DA2C358" w14:textId="77777777" w:rsidR="003E3D07" w:rsidRDefault="003E3D07">
            <w:pPr>
              <w:pStyle w:val="TableText"/>
              <w:rPr>
                <w:rFonts w:eastAsia="Symbol"/>
              </w:rPr>
            </w:pPr>
            <w:r>
              <w:t>Anti-Co(a)</w:t>
            </w:r>
          </w:p>
        </w:tc>
        <w:tc>
          <w:tcPr>
            <w:tcW w:w="1710" w:type="dxa"/>
            <w:shd w:val="clear" w:color="auto" w:fill="auto"/>
          </w:tcPr>
          <w:p w14:paraId="582CCFCC" w14:textId="77777777" w:rsidR="003E3D07" w:rsidRDefault="003E3D07">
            <w:pPr>
              <w:pStyle w:val="TableText"/>
              <w:rPr>
                <w:rFonts w:eastAsia="Symbol"/>
              </w:rPr>
            </w:pPr>
            <w:r>
              <w:t>None</w:t>
            </w:r>
          </w:p>
        </w:tc>
        <w:tc>
          <w:tcPr>
            <w:tcW w:w="878" w:type="dxa"/>
            <w:shd w:val="clear" w:color="auto" w:fill="auto"/>
          </w:tcPr>
          <w:p w14:paraId="4A2CB43A" w14:textId="77777777" w:rsidR="003E3D07" w:rsidRDefault="003E3D07">
            <w:pPr>
              <w:pStyle w:val="TableText"/>
            </w:pPr>
            <w:r>
              <w:t>No</w:t>
            </w:r>
          </w:p>
        </w:tc>
        <w:tc>
          <w:tcPr>
            <w:tcW w:w="878" w:type="dxa"/>
            <w:shd w:val="clear" w:color="auto" w:fill="auto"/>
          </w:tcPr>
          <w:p w14:paraId="300AFD39" w14:textId="77777777" w:rsidR="003E3D07" w:rsidRDefault="003E3D07">
            <w:pPr>
              <w:pStyle w:val="TableText"/>
              <w:rPr>
                <w:rFonts w:eastAsia="Symbol"/>
              </w:rPr>
            </w:pPr>
            <w:r>
              <w:t>Optional</w:t>
            </w:r>
          </w:p>
        </w:tc>
        <w:tc>
          <w:tcPr>
            <w:tcW w:w="1253" w:type="dxa"/>
            <w:shd w:val="clear" w:color="auto" w:fill="auto"/>
          </w:tcPr>
          <w:p w14:paraId="30A1399E" w14:textId="77777777" w:rsidR="003E3D07" w:rsidRDefault="003E3D07">
            <w:pPr>
              <w:pStyle w:val="TableText"/>
              <w:rPr>
                <w:rFonts w:eastAsia="Symbol"/>
              </w:rPr>
            </w:pPr>
            <w:r>
              <w:t>Co(a)</w:t>
            </w:r>
          </w:p>
        </w:tc>
        <w:tc>
          <w:tcPr>
            <w:tcW w:w="1253" w:type="dxa"/>
            <w:shd w:val="clear" w:color="auto" w:fill="auto"/>
          </w:tcPr>
          <w:p w14:paraId="342C27EF" w14:textId="77777777" w:rsidR="003E3D07" w:rsidRDefault="003E3D07">
            <w:pPr>
              <w:pStyle w:val="TableText"/>
              <w:rPr>
                <w:rFonts w:eastAsia="Symbol"/>
              </w:rPr>
            </w:pPr>
            <w:r>
              <w:t>None</w:t>
            </w:r>
          </w:p>
        </w:tc>
        <w:tc>
          <w:tcPr>
            <w:tcW w:w="1296" w:type="dxa"/>
            <w:shd w:val="clear" w:color="auto" w:fill="auto"/>
          </w:tcPr>
          <w:p w14:paraId="1D04C4E2" w14:textId="77777777" w:rsidR="003E3D07" w:rsidRDefault="003E3D07">
            <w:pPr>
              <w:pStyle w:val="TableText"/>
              <w:rPr>
                <w:rFonts w:eastAsia="Symbol"/>
              </w:rPr>
            </w:pPr>
            <w:r>
              <w:t>33</w:t>
            </w:r>
          </w:p>
        </w:tc>
        <w:tc>
          <w:tcPr>
            <w:tcW w:w="841" w:type="dxa"/>
            <w:shd w:val="clear" w:color="auto" w:fill="auto"/>
          </w:tcPr>
          <w:p w14:paraId="5B01C966" w14:textId="77777777" w:rsidR="003E3D07" w:rsidRDefault="003E3D07">
            <w:pPr>
              <w:pStyle w:val="TableText"/>
            </w:pPr>
            <w:r>
              <w:t>AGCo(a)</w:t>
            </w:r>
          </w:p>
        </w:tc>
      </w:tr>
      <w:tr w:rsidR="00824338" w14:paraId="5AD011AA" w14:textId="77777777" w:rsidTr="00031618">
        <w:tblPrEx>
          <w:tblBorders>
            <w:insideH w:val="single" w:sz="4" w:space="0" w:color="auto"/>
            <w:insideV w:val="single" w:sz="4" w:space="0" w:color="auto"/>
          </w:tblBorders>
        </w:tblPrEx>
        <w:tc>
          <w:tcPr>
            <w:tcW w:w="1975" w:type="dxa"/>
            <w:shd w:val="clear" w:color="auto" w:fill="auto"/>
          </w:tcPr>
          <w:p w14:paraId="5E8A0A80" w14:textId="77777777" w:rsidR="003E3D07" w:rsidRDefault="003E3D07">
            <w:pPr>
              <w:pStyle w:val="TableText"/>
              <w:rPr>
                <w:rFonts w:eastAsia="Symbol"/>
              </w:rPr>
            </w:pPr>
            <w:r>
              <w:t>Anti-Co(b)</w:t>
            </w:r>
          </w:p>
        </w:tc>
        <w:tc>
          <w:tcPr>
            <w:tcW w:w="1710" w:type="dxa"/>
            <w:shd w:val="clear" w:color="auto" w:fill="auto"/>
          </w:tcPr>
          <w:p w14:paraId="70C1B1D4" w14:textId="77777777" w:rsidR="003E3D07" w:rsidRDefault="003E3D07">
            <w:pPr>
              <w:pStyle w:val="TableText"/>
              <w:rPr>
                <w:rFonts w:eastAsia="Symbol"/>
              </w:rPr>
            </w:pPr>
            <w:r>
              <w:t>None</w:t>
            </w:r>
          </w:p>
        </w:tc>
        <w:tc>
          <w:tcPr>
            <w:tcW w:w="878" w:type="dxa"/>
            <w:shd w:val="clear" w:color="auto" w:fill="auto"/>
          </w:tcPr>
          <w:p w14:paraId="51D01058" w14:textId="77777777" w:rsidR="003E3D07" w:rsidRDefault="003E3D07">
            <w:pPr>
              <w:pStyle w:val="TableText"/>
            </w:pPr>
            <w:r>
              <w:t>No</w:t>
            </w:r>
          </w:p>
        </w:tc>
        <w:tc>
          <w:tcPr>
            <w:tcW w:w="878" w:type="dxa"/>
            <w:shd w:val="clear" w:color="auto" w:fill="auto"/>
          </w:tcPr>
          <w:p w14:paraId="360FE366" w14:textId="77777777" w:rsidR="003E3D07" w:rsidRDefault="003E3D07">
            <w:pPr>
              <w:pStyle w:val="TableText"/>
              <w:rPr>
                <w:rFonts w:eastAsia="Symbol"/>
              </w:rPr>
            </w:pPr>
            <w:r>
              <w:t>Optional</w:t>
            </w:r>
          </w:p>
        </w:tc>
        <w:tc>
          <w:tcPr>
            <w:tcW w:w="1253" w:type="dxa"/>
            <w:shd w:val="clear" w:color="auto" w:fill="auto"/>
          </w:tcPr>
          <w:p w14:paraId="1A939B52" w14:textId="77777777" w:rsidR="003E3D07" w:rsidRDefault="003E3D07">
            <w:pPr>
              <w:pStyle w:val="TableText"/>
              <w:rPr>
                <w:rFonts w:eastAsia="Symbol"/>
              </w:rPr>
            </w:pPr>
            <w:r>
              <w:t>Co(b)</w:t>
            </w:r>
          </w:p>
        </w:tc>
        <w:tc>
          <w:tcPr>
            <w:tcW w:w="1253" w:type="dxa"/>
            <w:shd w:val="clear" w:color="auto" w:fill="auto"/>
          </w:tcPr>
          <w:p w14:paraId="2BBA5568" w14:textId="77777777" w:rsidR="003E3D07" w:rsidRDefault="003E3D07">
            <w:pPr>
              <w:pStyle w:val="TableText"/>
              <w:rPr>
                <w:rFonts w:eastAsia="Symbol"/>
              </w:rPr>
            </w:pPr>
            <w:r>
              <w:t>None</w:t>
            </w:r>
          </w:p>
        </w:tc>
        <w:tc>
          <w:tcPr>
            <w:tcW w:w="1296" w:type="dxa"/>
            <w:shd w:val="clear" w:color="auto" w:fill="auto"/>
          </w:tcPr>
          <w:p w14:paraId="266B4E99" w14:textId="77777777" w:rsidR="003E3D07" w:rsidRDefault="003E3D07">
            <w:pPr>
              <w:pStyle w:val="TableText"/>
              <w:rPr>
                <w:rFonts w:eastAsia="Symbol"/>
              </w:rPr>
            </w:pPr>
            <w:r>
              <w:t>17</w:t>
            </w:r>
          </w:p>
        </w:tc>
        <w:tc>
          <w:tcPr>
            <w:tcW w:w="841" w:type="dxa"/>
            <w:shd w:val="clear" w:color="auto" w:fill="auto"/>
          </w:tcPr>
          <w:p w14:paraId="7DB318EC" w14:textId="77777777" w:rsidR="003E3D07" w:rsidRDefault="003E3D07">
            <w:pPr>
              <w:pStyle w:val="TableText"/>
            </w:pPr>
            <w:r>
              <w:t>AGCo(b)</w:t>
            </w:r>
          </w:p>
        </w:tc>
      </w:tr>
      <w:tr w:rsidR="00824338" w14:paraId="13052F8B" w14:textId="77777777" w:rsidTr="00031618">
        <w:tblPrEx>
          <w:tblBorders>
            <w:insideH w:val="single" w:sz="4" w:space="0" w:color="auto"/>
            <w:insideV w:val="single" w:sz="4" w:space="0" w:color="auto"/>
          </w:tblBorders>
        </w:tblPrEx>
        <w:tc>
          <w:tcPr>
            <w:tcW w:w="1975" w:type="dxa"/>
            <w:shd w:val="clear" w:color="auto" w:fill="auto"/>
          </w:tcPr>
          <w:p w14:paraId="7B429161" w14:textId="77777777" w:rsidR="003E3D07" w:rsidRDefault="003E3D07">
            <w:pPr>
              <w:pStyle w:val="TableText"/>
              <w:rPr>
                <w:rFonts w:eastAsia="Symbol"/>
              </w:rPr>
            </w:pPr>
            <w:r>
              <w:t>Anti-LW(a)</w:t>
            </w:r>
          </w:p>
        </w:tc>
        <w:tc>
          <w:tcPr>
            <w:tcW w:w="1710" w:type="dxa"/>
            <w:shd w:val="clear" w:color="auto" w:fill="auto"/>
          </w:tcPr>
          <w:p w14:paraId="43D02249" w14:textId="77777777" w:rsidR="003E3D07" w:rsidRDefault="003E3D07">
            <w:pPr>
              <w:pStyle w:val="TableText"/>
            </w:pPr>
            <w:r>
              <w:t>None</w:t>
            </w:r>
          </w:p>
        </w:tc>
        <w:tc>
          <w:tcPr>
            <w:tcW w:w="878" w:type="dxa"/>
            <w:shd w:val="clear" w:color="auto" w:fill="auto"/>
          </w:tcPr>
          <w:p w14:paraId="22C021AA" w14:textId="77777777" w:rsidR="003E3D07" w:rsidRDefault="003E3D07">
            <w:pPr>
              <w:pStyle w:val="TableText"/>
            </w:pPr>
            <w:r>
              <w:t>No</w:t>
            </w:r>
          </w:p>
        </w:tc>
        <w:tc>
          <w:tcPr>
            <w:tcW w:w="878" w:type="dxa"/>
            <w:shd w:val="clear" w:color="auto" w:fill="auto"/>
          </w:tcPr>
          <w:p w14:paraId="3FD833C0" w14:textId="77777777" w:rsidR="003E3D07" w:rsidRDefault="003E3D07">
            <w:pPr>
              <w:pStyle w:val="TableText"/>
              <w:rPr>
                <w:rFonts w:eastAsia="Symbol"/>
              </w:rPr>
            </w:pPr>
            <w:r>
              <w:t>Optional</w:t>
            </w:r>
          </w:p>
        </w:tc>
        <w:tc>
          <w:tcPr>
            <w:tcW w:w="1253" w:type="dxa"/>
            <w:shd w:val="clear" w:color="auto" w:fill="auto"/>
          </w:tcPr>
          <w:p w14:paraId="6446210B" w14:textId="77777777" w:rsidR="003E3D07" w:rsidRDefault="003E3D07">
            <w:pPr>
              <w:pStyle w:val="TableText"/>
              <w:rPr>
                <w:rFonts w:eastAsia="Symbol"/>
              </w:rPr>
            </w:pPr>
            <w:r>
              <w:t>LW(a)</w:t>
            </w:r>
          </w:p>
        </w:tc>
        <w:tc>
          <w:tcPr>
            <w:tcW w:w="1253" w:type="dxa"/>
            <w:shd w:val="clear" w:color="auto" w:fill="auto"/>
          </w:tcPr>
          <w:p w14:paraId="716E8A18" w14:textId="77777777" w:rsidR="003E3D07" w:rsidRDefault="003E3D07">
            <w:pPr>
              <w:pStyle w:val="TableText"/>
              <w:rPr>
                <w:rFonts w:eastAsia="Symbol"/>
              </w:rPr>
            </w:pPr>
            <w:r>
              <w:t>None</w:t>
            </w:r>
          </w:p>
        </w:tc>
        <w:tc>
          <w:tcPr>
            <w:tcW w:w="1296" w:type="dxa"/>
            <w:shd w:val="clear" w:color="auto" w:fill="auto"/>
          </w:tcPr>
          <w:p w14:paraId="38B4B886" w14:textId="77777777" w:rsidR="003E3D07" w:rsidRDefault="003E3D07">
            <w:pPr>
              <w:pStyle w:val="TableText"/>
              <w:rPr>
                <w:rFonts w:eastAsia="Symbol"/>
              </w:rPr>
            </w:pPr>
            <w:r>
              <w:t>0</w:t>
            </w:r>
          </w:p>
        </w:tc>
        <w:tc>
          <w:tcPr>
            <w:tcW w:w="841" w:type="dxa"/>
            <w:shd w:val="clear" w:color="auto" w:fill="auto"/>
          </w:tcPr>
          <w:p w14:paraId="0817C5A0" w14:textId="77777777" w:rsidR="003E3D07" w:rsidRDefault="003E3D07">
            <w:pPr>
              <w:pStyle w:val="TableText"/>
            </w:pPr>
            <w:r>
              <w:t>AG LW(a)</w:t>
            </w:r>
          </w:p>
        </w:tc>
      </w:tr>
      <w:tr w:rsidR="00824338" w14:paraId="5B63CA50" w14:textId="77777777" w:rsidTr="00031618">
        <w:tblPrEx>
          <w:tblBorders>
            <w:insideH w:val="single" w:sz="4" w:space="0" w:color="auto"/>
            <w:insideV w:val="single" w:sz="4" w:space="0" w:color="auto"/>
          </w:tblBorders>
        </w:tblPrEx>
        <w:tc>
          <w:tcPr>
            <w:tcW w:w="1975" w:type="dxa"/>
            <w:shd w:val="clear" w:color="auto" w:fill="auto"/>
          </w:tcPr>
          <w:p w14:paraId="48FDA59D" w14:textId="77777777" w:rsidR="003E3D07" w:rsidRDefault="003E3D07">
            <w:pPr>
              <w:pStyle w:val="TableText"/>
              <w:rPr>
                <w:rFonts w:eastAsia="Symbol"/>
              </w:rPr>
            </w:pPr>
            <w:r>
              <w:t>Anti-LW(b)</w:t>
            </w:r>
          </w:p>
        </w:tc>
        <w:tc>
          <w:tcPr>
            <w:tcW w:w="1710" w:type="dxa"/>
            <w:shd w:val="clear" w:color="auto" w:fill="auto"/>
          </w:tcPr>
          <w:p w14:paraId="45C741C4" w14:textId="77777777" w:rsidR="003E3D07" w:rsidRDefault="003E3D07">
            <w:pPr>
              <w:pStyle w:val="TableText"/>
            </w:pPr>
            <w:r>
              <w:t>None</w:t>
            </w:r>
          </w:p>
        </w:tc>
        <w:tc>
          <w:tcPr>
            <w:tcW w:w="878" w:type="dxa"/>
            <w:shd w:val="clear" w:color="auto" w:fill="auto"/>
          </w:tcPr>
          <w:p w14:paraId="0832CBDB" w14:textId="77777777" w:rsidR="003E3D07" w:rsidRDefault="003E3D07">
            <w:pPr>
              <w:pStyle w:val="TableText"/>
            </w:pPr>
            <w:r>
              <w:t>No</w:t>
            </w:r>
          </w:p>
        </w:tc>
        <w:tc>
          <w:tcPr>
            <w:tcW w:w="878" w:type="dxa"/>
            <w:shd w:val="clear" w:color="auto" w:fill="auto"/>
          </w:tcPr>
          <w:p w14:paraId="1FC34742" w14:textId="77777777" w:rsidR="003E3D07" w:rsidRDefault="003E3D07">
            <w:pPr>
              <w:pStyle w:val="TableText"/>
              <w:rPr>
                <w:rFonts w:eastAsia="Symbol"/>
              </w:rPr>
            </w:pPr>
            <w:r>
              <w:t>Optional</w:t>
            </w:r>
          </w:p>
        </w:tc>
        <w:tc>
          <w:tcPr>
            <w:tcW w:w="1253" w:type="dxa"/>
            <w:shd w:val="clear" w:color="auto" w:fill="auto"/>
          </w:tcPr>
          <w:p w14:paraId="21917962" w14:textId="77777777" w:rsidR="003E3D07" w:rsidRDefault="003E3D07">
            <w:pPr>
              <w:pStyle w:val="TableText"/>
              <w:rPr>
                <w:rFonts w:eastAsia="Symbol"/>
              </w:rPr>
            </w:pPr>
            <w:r>
              <w:t>LW(b)</w:t>
            </w:r>
          </w:p>
        </w:tc>
        <w:tc>
          <w:tcPr>
            <w:tcW w:w="1253" w:type="dxa"/>
            <w:shd w:val="clear" w:color="auto" w:fill="auto"/>
          </w:tcPr>
          <w:p w14:paraId="64EA663D" w14:textId="77777777" w:rsidR="003E3D07" w:rsidRDefault="003E3D07">
            <w:pPr>
              <w:pStyle w:val="TableText"/>
              <w:rPr>
                <w:rFonts w:eastAsia="Symbol"/>
              </w:rPr>
            </w:pPr>
            <w:r>
              <w:t>None</w:t>
            </w:r>
          </w:p>
        </w:tc>
        <w:tc>
          <w:tcPr>
            <w:tcW w:w="1296" w:type="dxa"/>
            <w:shd w:val="clear" w:color="auto" w:fill="auto"/>
          </w:tcPr>
          <w:p w14:paraId="0F611080" w14:textId="77777777" w:rsidR="003E3D07" w:rsidRDefault="003E3D07">
            <w:pPr>
              <w:pStyle w:val="TableText"/>
              <w:rPr>
                <w:rFonts w:eastAsia="Symbol"/>
              </w:rPr>
            </w:pPr>
            <w:r>
              <w:t>99</w:t>
            </w:r>
          </w:p>
        </w:tc>
        <w:tc>
          <w:tcPr>
            <w:tcW w:w="841" w:type="dxa"/>
            <w:shd w:val="clear" w:color="auto" w:fill="auto"/>
          </w:tcPr>
          <w:p w14:paraId="19C2A5EA" w14:textId="77777777" w:rsidR="003E3D07" w:rsidRDefault="003E3D07">
            <w:pPr>
              <w:pStyle w:val="TableText"/>
            </w:pPr>
            <w:r>
              <w:t>AG LW(b)</w:t>
            </w:r>
          </w:p>
        </w:tc>
      </w:tr>
      <w:tr w:rsidR="00824338" w14:paraId="7E3475C1" w14:textId="77777777" w:rsidTr="00031618">
        <w:tblPrEx>
          <w:tblBorders>
            <w:insideH w:val="single" w:sz="4" w:space="0" w:color="auto"/>
            <w:insideV w:val="single" w:sz="4" w:space="0" w:color="auto"/>
          </w:tblBorders>
        </w:tblPrEx>
        <w:tc>
          <w:tcPr>
            <w:tcW w:w="1975" w:type="dxa"/>
            <w:shd w:val="clear" w:color="auto" w:fill="auto"/>
          </w:tcPr>
          <w:p w14:paraId="1E5543C5" w14:textId="77777777" w:rsidR="003E3D07" w:rsidRDefault="003E3D07">
            <w:pPr>
              <w:pStyle w:val="TableText"/>
              <w:rPr>
                <w:rFonts w:eastAsia="Symbol"/>
              </w:rPr>
            </w:pPr>
            <w:r>
              <w:t>Anti-Sc1</w:t>
            </w:r>
          </w:p>
        </w:tc>
        <w:tc>
          <w:tcPr>
            <w:tcW w:w="1710" w:type="dxa"/>
            <w:shd w:val="clear" w:color="auto" w:fill="auto"/>
          </w:tcPr>
          <w:p w14:paraId="481594D6" w14:textId="77777777" w:rsidR="003E3D07" w:rsidRDefault="003E3D07">
            <w:pPr>
              <w:pStyle w:val="TableText"/>
              <w:rPr>
                <w:rFonts w:eastAsia="Symbol"/>
              </w:rPr>
            </w:pPr>
            <w:r>
              <w:t>None</w:t>
            </w:r>
          </w:p>
        </w:tc>
        <w:tc>
          <w:tcPr>
            <w:tcW w:w="878" w:type="dxa"/>
            <w:shd w:val="clear" w:color="auto" w:fill="auto"/>
          </w:tcPr>
          <w:p w14:paraId="7EFBBF63" w14:textId="77777777" w:rsidR="003E3D07" w:rsidRDefault="003E3D07">
            <w:pPr>
              <w:pStyle w:val="TableText"/>
            </w:pPr>
            <w:r>
              <w:t>No</w:t>
            </w:r>
          </w:p>
        </w:tc>
        <w:tc>
          <w:tcPr>
            <w:tcW w:w="878" w:type="dxa"/>
            <w:shd w:val="clear" w:color="auto" w:fill="auto"/>
          </w:tcPr>
          <w:p w14:paraId="1AEA3D84" w14:textId="77777777" w:rsidR="003E3D07" w:rsidRDefault="003E3D07">
            <w:pPr>
              <w:pStyle w:val="TableText"/>
              <w:rPr>
                <w:rFonts w:eastAsia="Symbol"/>
              </w:rPr>
            </w:pPr>
            <w:r>
              <w:t>Optional</w:t>
            </w:r>
          </w:p>
        </w:tc>
        <w:tc>
          <w:tcPr>
            <w:tcW w:w="1253" w:type="dxa"/>
            <w:shd w:val="clear" w:color="auto" w:fill="auto"/>
          </w:tcPr>
          <w:p w14:paraId="2746B0DE" w14:textId="77777777" w:rsidR="003E3D07" w:rsidRDefault="003E3D07">
            <w:pPr>
              <w:pStyle w:val="TableText"/>
              <w:rPr>
                <w:rFonts w:eastAsia="Symbol"/>
              </w:rPr>
            </w:pPr>
            <w:r>
              <w:t>Sc1</w:t>
            </w:r>
          </w:p>
        </w:tc>
        <w:tc>
          <w:tcPr>
            <w:tcW w:w="1253" w:type="dxa"/>
            <w:shd w:val="clear" w:color="auto" w:fill="auto"/>
          </w:tcPr>
          <w:p w14:paraId="5DFC0C2A" w14:textId="77777777" w:rsidR="003E3D07" w:rsidRDefault="003E3D07">
            <w:pPr>
              <w:pStyle w:val="TableText"/>
              <w:rPr>
                <w:rFonts w:eastAsia="Symbol"/>
              </w:rPr>
            </w:pPr>
            <w:r>
              <w:t>None</w:t>
            </w:r>
          </w:p>
        </w:tc>
        <w:tc>
          <w:tcPr>
            <w:tcW w:w="1296" w:type="dxa"/>
            <w:shd w:val="clear" w:color="auto" w:fill="auto"/>
          </w:tcPr>
          <w:p w14:paraId="296B8718" w14:textId="77777777" w:rsidR="003E3D07" w:rsidRDefault="003E3D07">
            <w:pPr>
              <w:pStyle w:val="TableText"/>
              <w:rPr>
                <w:rFonts w:eastAsia="Symbol"/>
              </w:rPr>
            </w:pPr>
            <w:r>
              <w:t>0</w:t>
            </w:r>
          </w:p>
        </w:tc>
        <w:tc>
          <w:tcPr>
            <w:tcW w:w="841" w:type="dxa"/>
            <w:shd w:val="clear" w:color="auto" w:fill="auto"/>
          </w:tcPr>
          <w:p w14:paraId="1D2A6369" w14:textId="77777777" w:rsidR="003E3D07" w:rsidRDefault="003E3D07">
            <w:pPr>
              <w:pStyle w:val="TableText"/>
              <w:rPr>
                <w:rFonts w:eastAsia="Symbol"/>
              </w:rPr>
            </w:pPr>
            <w:r>
              <w:t>AGSc1</w:t>
            </w:r>
          </w:p>
        </w:tc>
      </w:tr>
      <w:tr w:rsidR="00824338" w14:paraId="6B6D9A3C" w14:textId="77777777" w:rsidTr="00031618">
        <w:tblPrEx>
          <w:tblBorders>
            <w:insideH w:val="single" w:sz="4" w:space="0" w:color="auto"/>
            <w:insideV w:val="single" w:sz="4" w:space="0" w:color="auto"/>
          </w:tblBorders>
        </w:tblPrEx>
        <w:tc>
          <w:tcPr>
            <w:tcW w:w="1975" w:type="dxa"/>
            <w:shd w:val="clear" w:color="auto" w:fill="auto"/>
          </w:tcPr>
          <w:p w14:paraId="3D96594F" w14:textId="77777777" w:rsidR="003E3D07" w:rsidRDefault="003E3D07">
            <w:pPr>
              <w:pStyle w:val="TableText"/>
              <w:rPr>
                <w:rFonts w:eastAsia="Symbol"/>
              </w:rPr>
            </w:pPr>
            <w:r>
              <w:t>Anti-Sc2</w:t>
            </w:r>
          </w:p>
        </w:tc>
        <w:tc>
          <w:tcPr>
            <w:tcW w:w="1710" w:type="dxa"/>
            <w:shd w:val="clear" w:color="auto" w:fill="auto"/>
          </w:tcPr>
          <w:p w14:paraId="4BED10A1" w14:textId="77777777" w:rsidR="003E3D07" w:rsidRDefault="003E3D07">
            <w:pPr>
              <w:pStyle w:val="TableText"/>
              <w:rPr>
                <w:rFonts w:eastAsia="Symbol"/>
              </w:rPr>
            </w:pPr>
            <w:r>
              <w:t>None</w:t>
            </w:r>
          </w:p>
        </w:tc>
        <w:tc>
          <w:tcPr>
            <w:tcW w:w="878" w:type="dxa"/>
            <w:shd w:val="clear" w:color="auto" w:fill="auto"/>
          </w:tcPr>
          <w:p w14:paraId="60A3BDAA" w14:textId="77777777" w:rsidR="003E3D07" w:rsidRDefault="003E3D07">
            <w:pPr>
              <w:pStyle w:val="TableText"/>
            </w:pPr>
            <w:r>
              <w:t>No</w:t>
            </w:r>
          </w:p>
        </w:tc>
        <w:tc>
          <w:tcPr>
            <w:tcW w:w="878" w:type="dxa"/>
            <w:shd w:val="clear" w:color="auto" w:fill="auto"/>
          </w:tcPr>
          <w:p w14:paraId="04B0000C" w14:textId="77777777" w:rsidR="003E3D07" w:rsidRDefault="003E3D07">
            <w:pPr>
              <w:pStyle w:val="TableText"/>
              <w:rPr>
                <w:rFonts w:eastAsia="Symbol"/>
              </w:rPr>
            </w:pPr>
            <w:r>
              <w:t>Optional</w:t>
            </w:r>
          </w:p>
        </w:tc>
        <w:tc>
          <w:tcPr>
            <w:tcW w:w="1253" w:type="dxa"/>
            <w:shd w:val="clear" w:color="auto" w:fill="auto"/>
          </w:tcPr>
          <w:p w14:paraId="6EFE854D" w14:textId="77777777" w:rsidR="003E3D07" w:rsidRDefault="003E3D07">
            <w:pPr>
              <w:pStyle w:val="TableText"/>
              <w:rPr>
                <w:rFonts w:eastAsia="Symbol"/>
              </w:rPr>
            </w:pPr>
            <w:r>
              <w:t>Sc2</w:t>
            </w:r>
          </w:p>
        </w:tc>
        <w:tc>
          <w:tcPr>
            <w:tcW w:w="1253" w:type="dxa"/>
            <w:shd w:val="clear" w:color="auto" w:fill="auto"/>
          </w:tcPr>
          <w:p w14:paraId="354CDCF9" w14:textId="77777777" w:rsidR="003E3D07" w:rsidRDefault="003E3D07">
            <w:pPr>
              <w:pStyle w:val="TableText"/>
              <w:rPr>
                <w:rFonts w:eastAsia="Symbol"/>
              </w:rPr>
            </w:pPr>
            <w:r>
              <w:t>None</w:t>
            </w:r>
          </w:p>
        </w:tc>
        <w:tc>
          <w:tcPr>
            <w:tcW w:w="1296" w:type="dxa"/>
            <w:shd w:val="clear" w:color="auto" w:fill="auto"/>
          </w:tcPr>
          <w:p w14:paraId="60C61BFD" w14:textId="77777777" w:rsidR="003E3D07" w:rsidRDefault="003E3D07">
            <w:pPr>
              <w:pStyle w:val="TableText"/>
              <w:rPr>
                <w:rFonts w:eastAsia="Symbol"/>
              </w:rPr>
            </w:pPr>
            <w:r>
              <w:t>99</w:t>
            </w:r>
          </w:p>
        </w:tc>
        <w:tc>
          <w:tcPr>
            <w:tcW w:w="841" w:type="dxa"/>
            <w:shd w:val="clear" w:color="auto" w:fill="auto"/>
          </w:tcPr>
          <w:p w14:paraId="2B2CA974" w14:textId="77777777" w:rsidR="003E3D07" w:rsidRDefault="003E3D07">
            <w:pPr>
              <w:pStyle w:val="TableText"/>
              <w:rPr>
                <w:rFonts w:eastAsia="Symbol"/>
              </w:rPr>
            </w:pPr>
            <w:r>
              <w:t>AGSc2</w:t>
            </w:r>
          </w:p>
        </w:tc>
      </w:tr>
      <w:tr w:rsidR="00824338" w14:paraId="28FE1473" w14:textId="77777777" w:rsidTr="00031618">
        <w:tblPrEx>
          <w:tblBorders>
            <w:insideH w:val="single" w:sz="4" w:space="0" w:color="auto"/>
            <w:insideV w:val="single" w:sz="4" w:space="0" w:color="auto"/>
          </w:tblBorders>
        </w:tblPrEx>
        <w:tc>
          <w:tcPr>
            <w:tcW w:w="1975" w:type="dxa"/>
            <w:shd w:val="clear" w:color="auto" w:fill="auto"/>
          </w:tcPr>
          <w:p w14:paraId="66C2DA7E" w14:textId="77777777" w:rsidR="003E3D07" w:rsidRDefault="003E3D07">
            <w:pPr>
              <w:pStyle w:val="TableText"/>
              <w:rPr>
                <w:rFonts w:eastAsia="Symbol"/>
              </w:rPr>
            </w:pPr>
            <w:r>
              <w:t>Anti-Sd(a)</w:t>
            </w:r>
          </w:p>
        </w:tc>
        <w:tc>
          <w:tcPr>
            <w:tcW w:w="1710" w:type="dxa"/>
            <w:shd w:val="clear" w:color="auto" w:fill="auto"/>
          </w:tcPr>
          <w:p w14:paraId="5C4506C9" w14:textId="77777777" w:rsidR="003E3D07" w:rsidRDefault="003E3D07">
            <w:pPr>
              <w:pStyle w:val="TableText"/>
              <w:rPr>
                <w:rFonts w:eastAsia="Symbol"/>
              </w:rPr>
            </w:pPr>
            <w:r>
              <w:t>None</w:t>
            </w:r>
          </w:p>
        </w:tc>
        <w:tc>
          <w:tcPr>
            <w:tcW w:w="878" w:type="dxa"/>
            <w:shd w:val="clear" w:color="auto" w:fill="auto"/>
          </w:tcPr>
          <w:p w14:paraId="5F224640" w14:textId="77777777" w:rsidR="003E3D07" w:rsidRDefault="003E3D07">
            <w:pPr>
              <w:pStyle w:val="TableText"/>
            </w:pPr>
            <w:r>
              <w:t>No</w:t>
            </w:r>
          </w:p>
        </w:tc>
        <w:tc>
          <w:tcPr>
            <w:tcW w:w="878" w:type="dxa"/>
            <w:shd w:val="clear" w:color="auto" w:fill="auto"/>
          </w:tcPr>
          <w:p w14:paraId="40EE0168" w14:textId="77777777" w:rsidR="003E3D07" w:rsidRDefault="003E3D07">
            <w:pPr>
              <w:pStyle w:val="TableText"/>
              <w:rPr>
                <w:rFonts w:eastAsia="Symbol"/>
              </w:rPr>
            </w:pPr>
            <w:r>
              <w:t>Optional</w:t>
            </w:r>
          </w:p>
        </w:tc>
        <w:tc>
          <w:tcPr>
            <w:tcW w:w="1253" w:type="dxa"/>
            <w:shd w:val="clear" w:color="auto" w:fill="auto"/>
          </w:tcPr>
          <w:p w14:paraId="05B8CBCD" w14:textId="77777777" w:rsidR="003E3D07" w:rsidRDefault="003E3D07">
            <w:pPr>
              <w:pStyle w:val="TableText"/>
              <w:rPr>
                <w:rFonts w:eastAsia="Symbol"/>
              </w:rPr>
            </w:pPr>
            <w:r>
              <w:t>Sd(a)</w:t>
            </w:r>
          </w:p>
        </w:tc>
        <w:tc>
          <w:tcPr>
            <w:tcW w:w="1253" w:type="dxa"/>
            <w:shd w:val="clear" w:color="auto" w:fill="auto"/>
          </w:tcPr>
          <w:p w14:paraId="1D6F22DC" w14:textId="77777777" w:rsidR="003E3D07" w:rsidRDefault="003E3D07">
            <w:pPr>
              <w:pStyle w:val="TableText"/>
            </w:pPr>
            <w:r>
              <w:t>None</w:t>
            </w:r>
          </w:p>
        </w:tc>
        <w:tc>
          <w:tcPr>
            <w:tcW w:w="1296" w:type="dxa"/>
            <w:shd w:val="clear" w:color="auto" w:fill="auto"/>
          </w:tcPr>
          <w:p w14:paraId="4B990BEA" w14:textId="77777777" w:rsidR="003E3D07" w:rsidRDefault="003E3D07">
            <w:pPr>
              <w:pStyle w:val="TableText"/>
              <w:rPr>
                <w:rFonts w:eastAsia="Symbol"/>
              </w:rPr>
            </w:pPr>
            <w:r>
              <w:t>1</w:t>
            </w:r>
          </w:p>
        </w:tc>
        <w:tc>
          <w:tcPr>
            <w:tcW w:w="841" w:type="dxa"/>
            <w:shd w:val="clear" w:color="auto" w:fill="auto"/>
          </w:tcPr>
          <w:p w14:paraId="496B007A" w14:textId="77777777" w:rsidR="003E3D07" w:rsidRDefault="003E3D07">
            <w:pPr>
              <w:pStyle w:val="TableText"/>
              <w:rPr>
                <w:rFonts w:eastAsia="Symbol"/>
              </w:rPr>
            </w:pPr>
            <w:r>
              <w:t>AGSd(a)</w:t>
            </w:r>
          </w:p>
        </w:tc>
      </w:tr>
      <w:tr w:rsidR="00824338" w14:paraId="2BE12FB2" w14:textId="77777777" w:rsidTr="00031618">
        <w:tblPrEx>
          <w:tblBorders>
            <w:insideH w:val="single" w:sz="4" w:space="0" w:color="auto"/>
            <w:insideV w:val="single" w:sz="4" w:space="0" w:color="auto"/>
          </w:tblBorders>
        </w:tblPrEx>
        <w:tc>
          <w:tcPr>
            <w:tcW w:w="1975" w:type="dxa"/>
            <w:shd w:val="clear" w:color="auto" w:fill="auto"/>
          </w:tcPr>
          <w:p w14:paraId="3663483C" w14:textId="77777777" w:rsidR="003E3D07" w:rsidRDefault="003E3D07">
            <w:pPr>
              <w:pStyle w:val="TableText"/>
              <w:rPr>
                <w:rFonts w:eastAsia="Symbol"/>
              </w:rPr>
            </w:pPr>
            <w:r>
              <w:t>Anti-Au(a)</w:t>
            </w:r>
          </w:p>
        </w:tc>
        <w:tc>
          <w:tcPr>
            <w:tcW w:w="1710" w:type="dxa"/>
            <w:shd w:val="clear" w:color="auto" w:fill="auto"/>
          </w:tcPr>
          <w:p w14:paraId="19D6F214" w14:textId="77777777" w:rsidR="003E3D07" w:rsidRDefault="003E3D07">
            <w:pPr>
              <w:pStyle w:val="TableText"/>
              <w:rPr>
                <w:rFonts w:eastAsia="Symbol"/>
              </w:rPr>
            </w:pPr>
            <w:r>
              <w:t>Anti-Au(a)</w:t>
            </w:r>
          </w:p>
        </w:tc>
        <w:tc>
          <w:tcPr>
            <w:tcW w:w="878" w:type="dxa"/>
            <w:shd w:val="clear" w:color="auto" w:fill="auto"/>
          </w:tcPr>
          <w:p w14:paraId="6611994B" w14:textId="77777777" w:rsidR="003E3D07" w:rsidRDefault="003E3D07">
            <w:pPr>
              <w:pStyle w:val="TableText"/>
            </w:pPr>
            <w:r>
              <w:t>No</w:t>
            </w:r>
          </w:p>
        </w:tc>
        <w:tc>
          <w:tcPr>
            <w:tcW w:w="878" w:type="dxa"/>
            <w:shd w:val="clear" w:color="auto" w:fill="auto"/>
          </w:tcPr>
          <w:p w14:paraId="4C32BCA5" w14:textId="77777777" w:rsidR="003E3D07" w:rsidRDefault="003E3D07">
            <w:pPr>
              <w:pStyle w:val="TableText"/>
              <w:rPr>
                <w:rFonts w:eastAsia="Symbol"/>
              </w:rPr>
            </w:pPr>
            <w:r>
              <w:t>Optional</w:t>
            </w:r>
          </w:p>
        </w:tc>
        <w:tc>
          <w:tcPr>
            <w:tcW w:w="1253" w:type="dxa"/>
            <w:shd w:val="clear" w:color="auto" w:fill="auto"/>
          </w:tcPr>
          <w:p w14:paraId="517BDD15" w14:textId="77777777" w:rsidR="003E3D07" w:rsidRDefault="003E3D07">
            <w:pPr>
              <w:pStyle w:val="TableText"/>
              <w:rPr>
                <w:rFonts w:eastAsia="Symbol"/>
              </w:rPr>
            </w:pPr>
            <w:r>
              <w:t>Au(a)</w:t>
            </w:r>
          </w:p>
        </w:tc>
        <w:tc>
          <w:tcPr>
            <w:tcW w:w="1253" w:type="dxa"/>
            <w:shd w:val="clear" w:color="auto" w:fill="auto"/>
          </w:tcPr>
          <w:p w14:paraId="17DD51FD" w14:textId="77777777" w:rsidR="003E3D07" w:rsidRDefault="003E3D07">
            <w:pPr>
              <w:pStyle w:val="TableText"/>
              <w:rPr>
                <w:rFonts w:eastAsia="Symbol"/>
              </w:rPr>
            </w:pPr>
            <w:r>
              <w:t>Au(a)</w:t>
            </w:r>
          </w:p>
        </w:tc>
        <w:tc>
          <w:tcPr>
            <w:tcW w:w="1296" w:type="dxa"/>
            <w:shd w:val="clear" w:color="auto" w:fill="auto"/>
          </w:tcPr>
          <w:p w14:paraId="209F04D8" w14:textId="77777777" w:rsidR="003E3D07" w:rsidRDefault="003E3D07">
            <w:pPr>
              <w:pStyle w:val="TableText"/>
              <w:rPr>
                <w:rFonts w:eastAsia="Symbol"/>
              </w:rPr>
            </w:pPr>
            <w:r>
              <w:t>20</w:t>
            </w:r>
          </w:p>
        </w:tc>
        <w:tc>
          <w:tcPr>
            <w:tcW w:w="841" w:type="dxa"/>
            <w:shd w:val="clear" w:color="auto" w:fill="auto"/>
          </w:tcPr>
          <w:p w14:paraId="0F899336" w14:textId="77777777" w:rsidR="003E3D07" w:rsidRDefault="003E3D07">
            <w:pPr>
              <w:pStyle w:val="TableText"/>
            </w:pPr>
            <w:r>
              <w:t>AGAu(a)</w:t>
            </w:r>
          </w:p>
        </w:tc>
      </w:tr>
      <w:tr w:rsidR="00824338" w14:paraId="61753B56" w14:textId="77777777" w:rsidTr="00031618">
        <w:tblPrEx>
          <w:tblBorders>
            <w:insideH w:val="single" w:sz="4" w:space="0" w:color="auto"/>
            <w:insideV w:val="single" w:sz="4" w:space="0" w:color="auto"/>
          </w:tblBorders>
        </w:tblPrEx>
        <w:tc>
          <w:tcPr>
            <w:tcW w:w="1975" w:type="dxa"/>
            <w:shd w:val="clear" w:color="auto" w:fill="auto"/>
          </w:tcPr>
          <w:p w14:paraId="78EF9887" w14:textId="77777777" w:rsidR="003E3D07" w:rsidRDefault="003E3D07">
            <w:pPr>
              <w:pStyle w:val="TableText"/>
            </w:pPr>
            <w:r>
              <w:t>Anti-Au(b)</w:t>
            </w:r>
          </w:p>
        </w:tc>
        <w:tc>
          <w:tcPr>
            <w:tcW w:w="1710" w:type="dxa"/>
            <w:shd w:val="clear" w:color="auto" w:fill="auto"/>
          </w:tcPr>
          <w:p w14:paraId="1ABB5D38" w14:textId="77777777" w:rsidR="003E3D07" w:rsidRDefault="003E3D07">
            <w:pPr>
              <w:pStyle w:val="TableText"/>
              <w:rPr>
                <w:rFonts w:eastAsia="Symbol"/>
              </w:rPr>
            </w:pPr>
            <w:r>
              <w:t>None</w:t>
            </w:r>
          </w:p>
        </w:tc>
        <w:tc>
          <w:tcPr>
            <w:tcW w:w="878" w:type="dxa"/>
            <w:shd w:val="clear" w:color="auto" w:fill="auto"/>
          </w:tcPr>
          <w:p w14:paraId="20F3EFA8" w14:textId="77777777" w:rsidR="003E3D07" w:rsidRDefault="003E3D07">
            <w:pPr>
              <w:pStyle w:val="TableText"/>
            </w:pPr>
            <w:r>
              <w:t>No</w:t>
            </w:r>
          </w:p>
        </w:tc>
        <w:tc>
          <w:tcPr>
            <w:tcW w:w="878" w:type="dxa"/>
            <w:shd w:val="clear" w:color="auto" w:fill="auto"/>
          </w:tcPr>
          <w:p w14:paraId="493DD05B" w14:textId="77777777" w:rsidR="003E3D07" w:rsidRDefault="003E3D07">
            <w:pPr>
              <w:pStyle w:val="TableText"/>
            </w:pPr>
            <w:r>
              <w:t>Optional</w:t>
            </w:r>
          </w:p>
        </w:tc>
        <w:tc>
          <w:tcPr>
            <w:tcW w:w="1253" w:type="dxa"/>
            <w:shd w:val="clear" w:color="auto" w:fill="auto"/>
          </w:tcPr>
          <w:p w14:paraId="636F021B" w14:textId="77777777" w:rsidR="003E3D07" w:rsidRDefault="003E3D07">
            <w:pPr>
              <w:pStyle w:val="TableText"/>
            </w:pPr>
            <w:r>
              <w:t>Au(b)</w:t>
            </w:r>
          </w:p>
        </w:tc>
        <w:tc>
          <w:tcPr>
            <w:tcW w:w="1253" w:type="dxa"/>
            <w:shd w:val="clear" w:color="auto" w:fill="auto"/>
          </w:tcPr>
          <w:p w14:paraId="34B0B7DA" w14:textId="77777777" w:rsidR="003E3D07" w:rsidRDefault="003E3D07">
            <w:pPr>
              <w:pStyle w:val="TableText"/>
            </w:pPr>
            <w:r>
              <w:t>None</w:t>
            </w:r>
          </w:p>
        </w:tc>
        <w:tc>
          <w:tcPr>
            <w:tcW w:w="1296" w:type="dxa"/>
            <w:shd w:val="clear" w:color="auto" w:fill="auto"/>
          </w:tcPr>
          <w:p w14:paraId="7A89EB33" w14:textId="77777777" w:rsidR="003E3D07" w:rsidRDefault="003E3D07">
            <w:pPr>
              <w:pStyle w:val="TableText"/>
              <w:rPr>
                <w:rFonts w:eastAsia="Symbol"/>
              </w:rPr>
            </w:pPr>
            <w:r>
              <w:t>50</w:t>
            </w:r>
          </w:p>
        </w:tc>
        <w:tc>
          <w:tcPr>
            <w:tcW w:w="841" w:type="dxa"/>
            <w:shd w:val="clear" w:color="auto" w:fill="auto"/>
          </w:tcPr>
          <w:p w14:paraId="18110EE6" w14:textId="77777777" w:rsidR="003E3D07" w:rsidRDefault="003E3D07">
            <w:pPr>
              <w:pStyle w:val="TableText"/>
            </w:pPr>
            <w:r>
              <w:t>AGAu(b)</w:t>
            </w:r>
          </w:p>
        </w:tc>
      </w:tr>
      <w:tr w:rsidR="00824338" w14:paraId="05598B58" w14:textId="77777777" w:rsidTr="00031618">
        <w:tblPrEx>
          <w:tblBorders>
            <w:insideH w:val="single" w:sz="4" w:space="0" w:color="auto"/>
            <w:insideV w:val="single" w:sz="4" w:space="0" w:color="auto"/>
          </w:tblBorders>
        </w:tblPrEx>
        <w:tc>
          <w:tcPr>
            <w:tcW w:w="1975" w:type="dxa"/>
            <w:shd w:val="clear" w:color="auto" w:fill="auto"/>
          </w:tcPr>
          <w:p w14:paraId="69722B68" w14:textId="77777777" w:rsidR="003E3D07" w:rsidRDefault="003E3D07">
            <w:pPr>
              <w:pStyle w:val="TableText"/>
              <w:rPr>
                <w:rFonts w:eastAsia="Symbol"/>
              </w:rPr>
            </w:pPr>
            <w:r>
              <w:t>Anti-Ch</w:t>
            </w:r>
          </w:p>
        </w:tc>
        <w:tc>
          <w:tcPr>
            <w:tcW w:w="1710" w:type="dxa"/>
            <w:shd w:val="clear" w:color="auto" w:fill="auto"/>
          </w:tcPr>
          <w:p w14:paraId="5BF81477" w14:textId="77777777" w:rsidR="003E3D07" w:rsidRDefault="003E3D07">
            <w:pPr>
              <w:pStyle w:val="TableText"/>
              <w:rPr>
                <w:rFonts w:eastAsia="Symbol"/>
              </w:rPr>
            </w:pPr>
            <w:r>
              <w:t>None</w:t>
            </w:r>
          </w:p>
        </w:tc>
        <w:tc>
          <w:tcPr>
            <w:tcW w:w="878" w:type="dxa"/>
            <w:shd w:val="clear" w:color="auto" w:fill="auto"/>
          </w:tcPr>
          <w:p w14:paraId="5735F158" w14:textId="77777777" w:rsidR="003E3D07" w:rsidRDefault="003E3D07">
            <w:pPr>
              <w:pStyle w:val="TableText"/>
            </w:pPr>
            <w:r>
              <w:t>No</w:t>
            </w:r>
          </w:p>
        </w:tc>
        <w:tc>
          <w:tcPr>
            <w:tcW w:w="878" w:type="dxa"/>
            <w:shd w:val="clear" w:color="auto" w:fill="auto"/>
          </w:tcPr>
          <w:p w14:paraId="4B78AE2F" w14:textId="77777777" w:rsidR="003E3D07" w:rsidRDefault="003E3D07">
            <w:pPr>
              <w:pStyle w:val="TableText"/>
              <w:rPr>
                <w:rFonts w:eastAsia="Symbol"/>
              </w:rPr>
            </w:pPr>
            <w:r>
              <w:t>Optional</w:t>
            </w:r>
          </w:p>
        </w:tc>
        <w:tc>
          <w:tcPr>
            <w:tcW w:w="1253" w:type="dxa"/>
            <w:shd w:val="clear" w:color="auto" w:fill="auto"/>
          </w:tcPr>
          <w:p w14:paraId="6FBF2C85" w14:textId="77777777" w:rsidR="003E3D07" w:rsidRDefault="003E3D07">
            <w:pPr>
              <w:pStyle w:val="TableText"/>
              <w:rPr>
                <w:rFonts w:eastAsia="Symbol"/>
              </w:rPr>
            </w:pPr>
            <w:r>
              <w:t>Ch</w:t>
            </w:r>
          </w:p>
        </w:tc>
        <w:tc>
          <w:tcPr>
            <w:tcW w:w="1253" w:type="dxa"/>
            <w:shd w:val="clear" w:color="auto" w:fill="auto"/>
          </w:tcPr>
          <w:p w14:paraId="141BD64B" w14:textId="77777777" w:rsidR="003E3D07" w:rsidRDefault="003E3D07">
            <w:pPr>
              <w:pStyle w:val="TableText"/>
            </w:pPr>
            <w:r>
              <w:t>None</w:t>
            </w:r>
          </w:p>
        </w:tc>
        <w:tc>
          <w:tcPr>
            <w:tcW w:w="1296" w:type="dxa"/>
            <w:shd w:val="clear" w:color="auto" w:fill="auto"/>
          </w:tcPr>
          <w:p w14:paraId="0AF8A4FC" w14:textId="77777777" w:rsidR="003E3D07" w:rsidRDefault="003E3D07">
            <w:pPr>
              <w:pStyle w:val="TableText"/>
              <w:rPr>
                <w:rFonts w:eastAsia="Symbol"/>
              </w:rPr>
            </w:pPr>
            <w:r>
              <w:t>2</w:t>
            </w:r>
          </w:p>
        </w:tc>
        <w:tc>
          <w:tcPr>
            <w:tcW w:w="841" w:type="dxa"/>
            <w:shd w:val="clear" w:color="auto" w:fill="auto"/>
          </w:tcPr>
          <w:p w14:paraId="7FDE11B0" w14:textId="77777777" w:rsidR="003E3D07" w:rsidRDefault="003E3D07">
            <w:pPr>
              <w:pStyle w:val="TableText"/>
            </w:pPr>
            <w:r>
              <w:t>AGCh</w:t>
            </w:r>
          </w:p>
        </w:tc>
      </w:tr>
      <w:tr w:rsidR="00824338" w14:paraId="0A08A2EB" w14:textId="77777777" w:rsidTr="00031618">
        <w:tblPrEx>
          <w:tblBorders>
            <w:insideH w:val="single" w:sz="4" w:space="0" w:color="auto"/>
            <w:insideV w:val="single" w:sz="4" w:space="0" w:color="auto"/>
          </w:tblBorders>
        </w:tblPrEx>
        <w:tc>
          <w:tcPr>
            <w:tcW w:w="1975" w:type="dxa"/>
            <w:shd w:val="clear" w:color="auto" w:fill="auto"/>
          </w:tcPr>
          <w:p w14:paraId="574372ED" w14:textId="77777777" w:rsidR="003E3D07" w:rsidRDefault="003E3D07">
            <w:pPr>
              <w:pStyle w:val="TableText"/>
              <w:rPr>
                <w:rFonts w:eastAsia="Symbol"/>
              </w:rPr>
            </w:pPr>
            <w:r>
              <w:t>Anti-Rg</w:t>
            </w:r>
          </w:p>
        </w:tc>
        <w:tc>
          <w:tcPr>
            <w:tcW w:w="1710" w:type="dxa"/>
            <w:shd w:val="clear" w:color="auto" w:fill="auto"/>
          </w:tcPr>
          <w:p w14:paraId="519CE4A2" w14:textId="77777777" w:rsidR="003E3D07" w:rsidRDefault="003E3D07">
            <w:pPr>
              <w:pStyle w:val="TableText"/>
              <w:rPr>
                <w:rFonts w:eastAsia="Symbol"/>
              </w:rPr>
            </w:pPr>
            <w:r>
              <w:t>None</w:t>
            </w:r>
          </w:p>
        </w:tc>
        <w:tc>
          <w:tcPr>
            <w:tcW w:w="878" w:type="dxa"/>
            <w:shd w:val="clear" w:color="auto" w:fill="auto"/>
          </w:tcPr>
          <w:p w14:paraId="0AFC0255" w14:textId="77777777" w:rsidR="003E3D07" w:rsidRDefault="003E3D07">
            <w:pPr>
              <w:pStyle w:val="TableText"/>
            </w:pPr>
            <w:r>
              <w:t>No</w:t>
            </w:r>
          </w:p>
        </w:tc>
        <w:tc>
          <w:tcPr>
            <w:tcW w:w="878" w:type="dxa"/>
            <w:shd w:val="clear" w:color="auto" w:fill="auto"/>
          </w:tcPr>
          <w:p w14:paraId="00F22471" w14:textId="77777777" w:rsidR="003E3D07" w:rsidRDefault="003E3D07">
            <w:pPr>
              <w:pStyle w:val="TableText"/>
              <w:rPr>
                <w:rFonts w:eastAsia="Symbol"/>
              </w:rPr>
            </w:pPr>
            <w:r>
              <w:t>Optional</w:t>
            </w:r>
          </w:p>
        </w:tc>
        <w:tc>
          <w:tcPr>
            <w:tcW w:w="1253" w:type="dxa"/>
            <w:shd w:val="clear" w:color="auto" w:fill="auto"/>
          </w:tcPr>
          <w:p w14:paraId="646CA0F2" w14:textId="77777777" w:rsidR="003E3D07" w:rsidRDefault="003E3D07">
            <w:pPr>
              <w:pStyle w:val="TableText"/>
              <w:rPr>
                <w:rFonts w:eastAsia="Symbol"/>
              </w:rPr>
            </w:pPr>
            <w:r>
              <w:t>Rg</w:t>
            </w:r>
          </w:p>
        </w:tc>
        <w:tc>
          <w:tcPr>
            <w:tcW w:w="1253" w:type="dxa"/>
            <w:shd w:val="clear" w:color="auto" w:fill="auto"/>
          </w:tcPr>
          <w:p w14:paraId="36674FF6" w14:textId="77777777" w:rsidR="003E3D07" w:rsidRDefault="003E3D07">
            <w:pPr>
              <w:pStyle w:val="TableText"/>
            </w:pPr>
            <w:r>
              <w:t>None</w:t>
            </w:r>
          </w:p>
        </w:tc>
        <w:tc>
          <w:tcPr>
            <w:tcW w:w="1296" w:type="dxa"/>
            <w:shd w:val="clear" w:color="auto" w:fill="auto"/>
          </w:tcPr>
          <w:p w14:paraId="347372D3" w14:textId="77777777" w:rsidR="003E3D07" w:rsidRDefault="003E3D07">
            <w:pPr>
              <w:pStyle w:val="TableText"/>
              <w:rPr>
                <w:rFonts w:eastAsia="Symbol"/>
              </w:rPr>
            </w:pPr>
            <w:r>
              <w:t>3</w:t>
            </w:r>
          </w:p>
        </w:tc>
        <w:tc>
          <w:tcPr>
            <w:tcW w:w="841" w:type="dxa"/>
            <w:shd w:val="clear" w:color="auto" w:fill="auto"/>
          </w:tcPr>
          <w:p w14:paraId="4C08D60E" w14:textId="77777777" w:rsidR="003E3D07" w:rsidRDefault="003E3D07">
            <w:pPr>
              <w:pStyle w:val="TableText"/>
            </w:pPr>
            <w:r>
              <w:t>AGRg</w:t>
            </w:r>
          </w:p>
        </w:tc>
      </w:tr>
      <w:tr w:rsidR="00824338" w14:paraId="1CCA1380" w14:textId="77777777" w:rsidTr="00031618">
        <w:tblPrEx>
          <w:tblBorders>
            <w:insideH w:val="single" w:sz="4" w:space="0" w:color="auto"/>
            <w:insideV w:val="single" w:sz="4" w:space="0" w:color="auto"/>
          </w:tblBorders>
        </w:tblPrEx>
        <w:tc>
          <w:tcPr>
            <w:tcW w:w="1975" w:type="dxa"/>
            <w:shd w:val="clear" w:color="auto" w:fill="auto"/>
          </w:tcPr>
          <w:p w14:paraId="085EBDF5" w14:textId="77777777" w:rsidR="003E3D07" w:rsidRDefault="003E3D07">
            <w:pPr>
              <w:pStyle w:val="TableText"/>
              <w:rPr>
                <w:rFonts w:eastAsia="Symbol"/>
              </w:rPr>
            </w:pPr>
            <w:r>
              <w:t>Anti-Cs(a)</w:t>
            </w:r>
          </w:p>
        </w:tc>
        <w:tc>
          <w:tcPr>
            <w:tcW w:w="1710" w:type="dxa"/>
            <w:shd w:val="clear" w:color="auto" w:fill="auto"/>
          </w:tcPr>
          <w:p w14:paraId="35AA1667" w14:textId="77777777" w:rsidR="003E3D07" w:rsidRDefault="003E3D07">
            <w:pPr>
              <w:pStyle w:val="TableText"/>
              <w:rPr>
                <w:rFonts w:eastAsia="Symbol"/>
              </w:rPr>
            </w:pPr>
            <w:r>
              <w:t>None</w:t>
            </w:r>
          </w:p>
        </w:tc>
        <w:tc>
          <w:tcPr>
            <w:tcW w:w="878" w:type="dxa"/>
            <w:shd w:val="clear" w:color="auto" w:fill="auto"/>
          </w:tcPr>
          <w:p w14:paraId="592A424F" w14:textId="77777777" w:rsidR="003E3D07" w:rsidRDefault="003E3D07">
            <w:pPr>
              <w:pStyle w:val="TableText"/>
            </w:pPr>
            <w:r>
              <w:t>No</w:t>
            </w:r>
          </w:p>
        </w:tc>
        <w:tc>
          <w:tcPr>
            <w:tcW w:w="878" w:type="dxa"/>
            <w:shd w:val="clear" w:color="auto" w:fill="auto"/>
          </w:tcPr>
          <w:p w14:paraId="453EC92F" w14:textId="77777777" w:rsidR="003E3D07" w:rsidRDefault="003E3D07">
            <w:pPr>
              <w:pStyle w:val="TableText"/>
              <w:rPr>
                <w:rFonts w:eastAsia="Symbol"/>
              </w:rPr>
            </w:pPr>
            <w:r>
              <w:t>Optional</w:t>
            </w:r>
          </w:p>
        </w:tc>
        <w:tc>
          <w:tcPr>
            <w:tcW w:w="1253" w:type="dxa"/>
            <w:shd w:val="clear" w:color="auto" w:fill="auto"/>
          </w:tcPr>
          <w:p w14:paraId="14B8ECEA" w14:textId="77777777" w:rsidR="003E3D07" w:rsidRDefault="003E3D07">
            <w:pPr>
              <w:pStyle w:val="TableText"/>
              <w:rPr>
                <w:rFonts w:eastAsia="Symbol"/>
              </w:rPr>
            </w:pPr>
            <w:r>
              <w:t>Cs(a)</w:t>
            </w:r>
          </w:p>
        </w:tc>
        <w:tc>
          <w:tcPr>
            <w:tcW w:w="1253" w:type="dxa"/>
            <w:shd w:val="clear" w:color="auto" w:fill="auto"/>
          </w:tcPr>
          <w:p w14:paraId="15658282" w14:textId="77777777" w:rsidR="003E3D07" w:rsidRDefault="003E3D07">
            <w:pPr>
              <w:pStyle w:val="TableText"/>
            </w:pPr>
            <w:r>
              <w:t>None</w:t>
            </w:r>
          </w:p>
        </w:tc>
        <w:tc>
          <w:tcPr>
            <w:tcW w:w="1296" w:type="dxa"/>
            <w:shd w:val="clear" w:color="auto" w:fill="auto"/>
          </w:tcPr>
          <w:p w14:paraId="724C8339" w14:textId="77777777" w:rsidR="003E3D07" w:rsidRDefault="003E3D07">
            <w:pPr>
              <w:pStyle w:val="TableText"/>
              <w:rPr>
                <w:rFonts w:eastAsia="Symbol"/>
              </w:rPr>
            </w:pPr>
            <w:r>
              <w:t>4</w:t>
            </w:r>
          </w:p>
        </w:tc>
        <w:tc>
          <w:tcPr>
            <w:tcW w:w="841" w:type="dxa"/>
            <w:shd w:val="clear" w:color="auto" w:fill="auto"/>
          </w:tcPr>
          <w:p w14:paraId="7C532547" w14:textId="77777777" w:rsidR="003E3D07" w:rsidRDefault="003E3D07">
            <w:pPr>
              <w:pStyle w:val="TableText"/>
            </w:pPr>
            <w:r>
              <w:t>AGCs(a)</w:t>
            </w:r>
          </w:p>
        </w:tc>
      </w:tr>
      <w:tr w:rsidR="00824338" w14:paraId="74F9F96B" w14:textId="77777777" w:rsidTr="00031618">
        <w:tblPrEx>
          <w:tblBorders>
            <w:insideH w:val="single" w:sz="4" w:space="0" w:color="auto"/>
            <w:insideV w:val="single" w:sz="4" w:space="0" w:color="auto"/>
          </w:tblBorders>
        </w:tblPrEx>
        <w:tc>
          <w:tcPr>
            <w:tcW w:w="1975" w:type="dxa"/>
            <w:shd w:val="clear" w:color="auto" w:fill="auto"/>
          </w:tcPr>
          <w:p w14:paraId="0F5ACEF9" w14:textId="77777777" w:rsidR="003E3D07" w:rsidRDefault="003E3D07">
            <w:pPr>
              <w:pStyle w:val="TableText"/>
              <w:rPr>
                <w:rFonts w:eastAsia="Symbol"/>
              </w:rPr>
            </w:pPr>
            <w:r>
              <w:t>Anti-Yk(a)</w:t>
            </w:r>
          </w:p>
        </w:tc>
        <w:tc>
          <w:tcPr>
            <w:tcW w:w="1710" w:type="dxa"/>
            <w:shd w:val="clear" w:color="auto" w:fill="auto"/>
          </w:tcPr>
          <w:p w14:paraId="29C2E626" w14:textId="77777777" w:rsidR="003E3D07" w:rsidRDefault="003E3D07">
            <w:pPr>
              <w:pStyle w:val="TableText"/>
              <w:rPr>
                <w:rFonts w:eastAsia="Symbol"/>
              </w:rPr>
            </w:pPr>
            <w:r>
              <w:t>None</w:t>
            </w:r>
          </w:p>
        </w:tc>
        <w:tc>
          <w:tcPr>
            <w:tcW w:w="878" w:type="dxa"/>
            <w:shd w:val="clear" w:color="auto" w:fill="auto"/>
          </w:tcPr>
          <w:p w14:paraId="3504026B" w14:textId="77777777" w:rsidR="003E3D07" w:rsidRDefault="003E3D07">
            <w:pPr>
              <w:pStyle w:val="TableText"/>
            </w:pPr>
            <w:r>
              <w:t>No</w:t>
            </w:r>
          </w:p>
        </w:tc>
        <w:tc>
          <w:tcPr>
            <w:tcW w:w="878" w:type="dxa"/>
            <w:shd w:val="clear" w:color="auto" w:fill="auto"/>
          </w:tcPr>
          <w:p w14:paraId="75DD88B4" w14:textId="77777777" w:rsidR="003E3D07" w:rsidRDefault="003E3D07">
            <w:pPr>
              <w:pStyle w:val="TableText"/>
              <w:rPr>
                <w:rFonts w:eastAsia="Symbol"/>
              </w:rPr>
            </w:pPr>
            <w:r>
              <w:t>Optional</w:t>
            </w:r>
          </w:p>
        </w:tc>
        <w:tc>
          <w:tcPr>
            <w:tcW w:w="1253" w:type="dxa"/>
            <w:shd w:val="clear" w:color="auto" w:fill="auto"/>
          </w:tcPr>
          <w:p w14:paraId="4ED24652" w14:textId="77777777" w:rsidR="003E3D07" w:rsidRDefault="003E3D07">
            <w:pPr>
              <w:pStyle w:val="TableText"/>
              <w:rPr>
                <w:rFonts w:eastAsia="Symbol"/>
              </w:rPr>
            </w:pPr>
            <w:r>
              <w:t>Yk(a)</w:t>
            </w:r>
          </w:p>
        </w:tc>
        <w:tc>
          <w:tcPr>
            <w:tcW w:w="1253" w:type="dxa"/>
            <w:shd w:val="clear" w:color="auto" w:fill="auto"/>
          </w:tcPr>
          <w:p w14:paraId="73E0850A" w14:textId="77777777" w:rsidR="003E3D07" w:rsidRDefault="003E3D07">
            <w:pPr>
              <w:pStyle w:val="TableText"/>
            </w:pPr>
            <w:r>
              <w:t>None</w:t>
            </w:r>
          </w:p>
        </w:tc>
        <w:tc>
          <w:tcPr>
            <w:tcW w:w="1296" w:type="dxa"/>
            <w:shd w:val="clear" w:color="auto" w:fill="auto"/>
          </w:tcPr>
          <w:p w14:paraId="075CB4E4" w14:textId="77777777" w:rsidR="003E3D07" w:rsidRDefault="003E3D07">
            <w:pPr>
              <w:pStyle w:val="TableText"/>
              <w:rPr>
                <w:rFonts w:eastAsia="Symbol"/>
              </w:rPr>
            </w:pPr>
            <w:r>
              <w:t>4</w:t>
            </w:r>
          </w:p>
        </w:tc>
        <w:tc>
          <w:tcPr>
            <w:tcW w:w="841" w:type="dxa"/>
            <w:shd w:val="clear" w:color="auto" w:fill="auto"/>
          </w:tcPr>
          <w:p w14:paraId="0A9443CE" w14:textId="77777777" w:rsidR="003E3D07" w:rsidRDefault="003E3D07">
            <w:pPr>
              <w:pStyle w:val="TableText"/>
            </w:pPr>
            <w:r>
              <w:t>AGYk(a)</w:t>
            </w:r>
          </w:p>
        </w:tc>
      </w:tr>
      <w:tr w:rsidR="00824338" w14:paraId="705DD3BE" w14:textId="77777777" w:rsidTr="00031618">
        <w:tblPrEx>
          <w:tblBorders>
            <w:insideH w:val="single" w:sz="4" w:space="0" w:color="auto"/>
            <w:insideV w:val="single" w:sz="4" w:space="0" w:color="auto"/>
          </w:tblBorders>
        </w:tblPrEx>
        <w:tc>
          <w:tcPr>
            <w:tcW w:w="1975" w:type="dxa"/>
            <w:shd w:val="clear" w:color="auto" w:fill="auto"/>
          </w:tcPr>
          <w:p w14:paraId="34E277EE" w14:textId="77777777" w:rsidR="003E3D07" w:rsidRDefault="003E3D07">
            <w:pPr>
              <w:pStyle w:val="TableText"/>
              <w:rPr>
                <w:rFonts w:eastAsia="Symbol"/>
              </w:rPr>
            </w:pPr>
            <w:r>
              <w:t>Anti-Kn(a)</w:t>
            </w:r>
          </w:p>
        </w:tc>
        <w:tc>
          <w:tcPr>
            <w:tcW w:w="1710" w:type="dxa"/>
            <w:shd w:val="clear" w:color="auto" w:fill="auto"/>
          </w:tcPr>
          <w:p w14:paraId="6F1FBB40" w14:textId="77777777" w:rsidR="003E3D07" w:rsidRDefault="003E3D07">
            <w:pPr>
              <w:pStyle w:val="TableText"/>
              <w:rPr>
                <w:rFonts w:eastAsia="Symbol"/>
              </w:rPr>
            </w:pPr>
            <w:r>
              <w:t>None</w:t>
            </w:r>
          </w:p>
        </w:tc>
        <w:tc>
          <w:tcPr>
            <w:tcW w:w="878" w:type="dxa"/>
            <w:shd w:val="clear" w:color="auto" w:fill="auto"/>
          </w:tcPr>
          <w:p w14:paraId="2F5F85A1" w14:textId="77777777" w:rsidR="003E3D07" w:rsidRDefault="003E3D07">
            <w:pPr>
              <w:pStyle w:val="TableText"/>
            </w:pPr>
            <w:r>
              <w:t>No</w:t>
            </w:r>
          </w:p>
        </w:tc>
        <w:tc>
          <w:tcPr>
            <w:tcW w:w="878" w:type="dxa"/>
            <w:shd w:val="clear" w:color="auto" w:fill="auto"/>
          </w:tcPr>
          <w:p w14:paraId="7E96433B" w14:textId="77777777" w:rsidR="003E3D07" w:rsidRDefault="003E3D07">
            <w:pPr>
              <w:pStyle w:val="TableText"/>
              <w:rPr>
                <w:rFonts w:eastAsia="Symbol"/>
              </w:rPr>
            </w:pPr>
            <w:r>
              <w:t>Optional</w:t>
            </w:r>
          </w:p>
        </w:tc>
        <w:tc>
          <w:tcPr>
            <w:tcW w:w="1253" w:type="dxa"/>
            <w:shd w:val="clear" w:color="auto" w:fill="auto"/>
          </w:tcPr>
          <w:p w14:paraId="659E3527" w14:textId="77777777" w:rsidR="003E3D07" w:rsidRDefault="003E3D07">
            <w:pPr>
              <w:pStyle w:val="TableText"/>
              <w:rPr>
                <w:rFonts w:eastAsia="Symbol"/>
              </w:rPr>
            </w:pPr>
            <w:r>
              <w:t>Kn(a)</w:t>
            </w:r>
          </w:p>
        </w:tc>
        <w:tc>
          <w:tcPr>
            <w:tcW w:w="1253" w:type="dxa"/>
            <w:shd w:val="clear" w:color="auto" w:fill="auto"/>
          </w:tcPr>
          <w:p w14:paraId="016A09CA" w14:textId="77777777" w:rsidR="003E3D07" w:rsidRDefault="003E3D07">
            <w:pPr>
              <w:pStyle w:val="TableText"/>
            </w:pPr>
            <w:r>
              <w:t>None</w:t>
            </w:r>
          </w:p>
        </w:tc>
        <w:tc>
          <w:tcPr>
            <w:tcW w:w="1296" w:type="dxa"/>
            <w:shd w:val="clear" w:color="auto" w:fill="auto"/>
          </w:tcPr>
          <w:p w14:paraId="5C063E15" w14:textId="77777777" w:rsidR="003E3D07" w:rsidRDefault="003E3D07">
            <w:pPr>
              <w:pStyle w:val="TableText"/>
              <w:rPr>
                <w:rFonts w:eastAsia="Symbol"/>
              </w:rPr>
            </w:pPr>
            <w:r>
              <w:t>1</w:t>
            </w:r>
          </w:p>
        </w:tc>
        <w:tc>
          <w:tcPr>
            <w:tcW w:w="841" w:type="dxa"/>
            <w:shd w:val="clear" w:color="auto" w:fill="auto"/>
          </w:tcPr>
          <w:p w14:paraId="76889234" w14:textId="77777777" w:rsidR="003E3D07" w:rsidRDefault="003E3D07">
            <w:pPr>
              <w:pStyle w:val="TableText"/>
            </w:pPr>
            <w:r>
              <w:t>AGKn(a)</w:t>
            </w:r>
          </w:p>
        </w:tc>
      </w:tr>
      <w:tr w:rsidR="00824338" w14:paraId="7275D38E" w14:textId="77777777" w:rsidTr="00031618">
        <w:tblPrEx>
          <w:tblBorders>
            <w:insideH w:val="single" w:sz="4" w:space="0" w:color="auto"/>
            <w:insideV w:val="single" w:sz="4" w:space="0" w:color="auto"/>
          </w:tblBorders>
        </w:tblPrEx>
        <w:tc>
          <w:tcPr>
            <w:tcW w:w="1975" w:type="dxa"/>
            <w:shd w:val="clear" w:color="auto" w:fill="auto"/>
          </w:tcPr>
          <w:p w14:paraId="5A910DCB" w14:textId="77777777" w:rsidR="003E3D07" w:rsidRDefault="003E3D07">
            <w:pPr>
              <w:pStyle w:val="TableText"/>
              <w:rPr>
                <w:rFonts w:eastAsia="Symbol"/>
              </w:rPr>
            </w:pPr>
            <w:r>
              <w:t>Anti-McC(a)</w:t>
            </w:r>
          </w:p>
        </w:tc>
        <w:tc>
          <w:tcPr>
            <w:tcW w:w="1710" w:type="dxa"/>
            <w:shd w:val="clear" w:color="auto" w:fill="auto"/>
          </w:tcPr>
          <w:p w14:paraId="09CB02A3" w14:textId="77777777" w:rsidR="003E3D07" w:rsidRDefault="003E3D07">
            <w:pPr>
              <w:pStyle w:val="TableText"/>
            </w:pPr>
            <w:r>
              <w:t>None</w:t>
            </w:r>
          </w:p>
        </w:tc>
        <w:tc>
          <w:tcPr>
            <w:tcW w:w="878" w:type="dxa"/>
            <w:shd w:val="clear" w:color="auto" w:fill="auto"/>
          </w:tcPr>
          <w:p w14:paraId="4C30CB2E" w14:textId="77777777" w:rsidR="003E3D07" w:rsidRDefault="003E3D07">
            <w:pPr>
              <w:pStyle w:val="TableText"/>
            </w:pPr>
            <w:r>
              <w:t>No</w:t>
            </w:r>
          </w:p>
        </w:tc>
        <w:tc>
          <w:tcPr>
            <w:tcW w:w="878" w:type="dxa"/>
            <w:shd w:val="clear" w:color="auto" w:fill="auto"/>
          </w:tcPr>
          <w:p w14:paraId="06EF84BF" w14:textId="77777777" w:rsidR="003E3D07" w:rsidRDefault="003E3D07">
            <w:pPr>
              <w:pStyle w:val="TableText"/>
              <w:rPr>
                <w:rFonts w:eastAsia="Symbol"/>
              </w:rPr>
            </w:pPr>
            <w:r>
              <w:t>Optional</w:t>
            </w:r>
          </w:p>
        </w:tc>
        <w:tc>
          <w:tcPr>
            <w:tcW w:w="1253" w:type="dxa"/>
            <w:shd w:val="clear" w:color="auto" w:fill="auto"/>
          </w:tcPr>
          <w:p w14:paraId="2DC44F7B" w14:textId="77777777" w:rsidR="003E3D07" w:rsidRDefault="003E3D07">
            <w:pPr>
              <w:pStyle w:val="TableText"/>
              <w:rPr>
                <w:rFonts w:eastAsia="Symbol"/>
              </w:rPr>
            </w:pPr>
            <w:r>
              <w:t>McC(a)</w:t>
            </w:r>
          </w:p>
        </w:tc>
        <w:tc>
          <w:tcPr>
            <w:tcW w:w="1253" w:type="dxa"/>
            <w:shd w:val="clear" w:color="auto" w:fill="auto"/>
          </w:tcPr>
          <w:p w14:paraId="5F29EF15" w14:textId="77777777" w:rsidR="003E3D07" w:rsidRDefault="003E3D07">
            <w:pPr>
              <w:pStyle w:val="TableText"/>
            </w:pPr>
            <w:r>
              <w:t>None</w:t>
            </w:r>
          </w:p>
        </w:tc>
        <w:tc>
          <w:tcPr>
            <w:tcW w:w="1296" w:type="dxa"/>
            <w:shd w:val="clear" w:color="auto" w:fill="auto"/>
          </w:tcPr>
          <w:p w14:paraId="66C5EAD1" w14:textId="77777777" w:rsidR="003E3D07" w:rsidRDefault="003E3D07">
            <w:pPr>
              <w:pStyle w:val="TableText"/>
              <w:rPr>
                <w:rFonts w:eastAsia="Symbol"/>
              </w:rPr>
            </w:pPr>
            <w:r>
              <w:t>1</w:t>
            </w:r>
          </w:p>
        </w:tc>
        <w:tc>
          <w:tcPr>
            <w:tcW w:w="841" w:type="dxa"/>
            <w:shd w:val="clear" w:color="auto" w:fill="auto"/>
          </w:tcPr>
          <w:p w14:paraId="51CE4D3C" w14:textId="77777777" w:rsidR="003E3D07" w:rsidRDefault="003E3D07">
            <w:pPr>
              <w:pStyle w:val="TableText"/>
            </w:pPr>
            <w:r>
              <w:t>AGMcC(a)</w:t>
            </w:r>
          </w:p>
        </w:tc>
      </w:tr>
      <w:tr w:rsidR="00824338" w14:paraId="0352CFBC" w14:textId="77777777" w:rsidTr="00031618">
        <w:tblPrEx>
          <w:tblBorders>
            <w:insideH w:val="single" w:sz="4" w:space="0" w:color="auto"/>
            <w:insideV w:val="single" w:sz="4" w:space="0" w:color="auto"/>
          </w:tblBorders>
        </w:tblPrEx>
        <w:tc>
          <w:tcPr>
            <w:tcW w:w="1975" w:type="dxa"/>
            <w:shd w:val="clear" w:color="auto" w:fill="auto"/>
          </w:tcPr>
          <w:p w14:paraId="2D41E9D8" w14:textId="77777777" w:rsidR="003E3D07" w:rsidRDefault="003E3D07" w:rsidP="009C5939">
            <w:pPr>
              <w:pStyle w:val="TableText"/>
              <w:rPr>
                <w:rFonts w:eastAsia="Symbol"/>
              </w:rPr>
            </w:pPr>
            <w:r>
              <w:t>Anti-JMH</w:t>
            </w:r>
          </w:p>
        </w:tc>
        <w:tc>
          <w:tcPr>
            <w:tcW w:w="1710" w:type="dxa"/>
            <w:shd w:val="clear" w:color="auto" w:fill="auto"/>
          </w:tcPr>
          <w:p w14:paraId="54B4D5AA" w14:textId="77777777" w:rsidR="003E3D07" w:rsidRDefault="003E3D07" w:rsidP="009C5939">
            <w:pPr>
              <w:pStyle w:val="TableText"/>
            </w:pPr>
            <w:r>
              <w:t>None</w:t>
            </w:r>
          </w:p>
        </w:tc>
        <w:tc>
          <w:tcPr>
            <w:tcW w:w="878" w:type="dxa"/>
            <w:shd w:val="clear" w:color="auto" w:fill="auto"/>
          </w:tcPr>
          <w:p w14:paraId="3875BE90" w14:textId="77777777" w:rsidR="003E3D07" w:rsidRDefault="003E3D07" w:rsidP="009C5939">
            <w:pPr>
              <w:pStyle w:val="TableText"/>
            </w:pPr>
            <w:r>
              <w:t>No</w:t>
            </w:r>
          </w:p>
        </w:tc>
        <w:tc>
          <w:tcPr>
            <w:tcW w:w="878" w:type="dxa"/>
            <w:shd w:val="clear" w:color="auto" w:fill="auto"/>
          </w:tcPr>
          <w:p w14:paraId="181C720E" w14:textId="77777777" w:rsidR="003E3D07" w:rsidRDefault="003E3D07" w:rsidP="009C5939">
            <w:pPr>
              <w:pStyle w:val="TableText"/>
              <w:rPr>
                <w:rFonts w:eastAsia="Symbol"/>
              </w:rPr>
            </w:pPr>
            <w:r>
              <w:t>Optional</w:t>
            </w:r>
          </w:p>
        </w:tc>
        <w:tc>
          <w:tcPr>
            <w:tcW w:w="1253" w:type="dxa"/>
            <w:shd w:val="clear" w:color="auto" w:fill="auto"/>
          </w:tcPr>
          <w:p w14:paraId="16505177" w14:textId="77777777" w:rsidR="003E3D07" w:rsidRDefault="003E3D07" w:rsidP="009C5939">
            <w:pPr>
              <w:pStyle w:val="TableText"/>
              <w:rPr>
                <w:rFonts w:eastAsia="Symbol"/>
              </w:rPr>
            </w:pPr>
            <w:r>
              <w:t>JMH</w:t>
            </w:r>
          </w:p>
        </w:tc>
        <w:tc>
          <w:tcPr>
            <w:tcW w:w="1253" w:type="dxa"/>
            <w:shd w:val="clear" w:color="auto" w:fill="auto"/>
          </w:tcPr>
          <w:p w14:paraId="2251F58F" w14:textId="77777777" w:rsidR="003E3D07" w:rsidRDefault="003E3D07" w:rsidP="009C5939">
            <w:pPr>
              <w:pStyle w:val="TableText"/>
            </w:pPr>
            <w:r>
              <w:t>None</w:t>
            </w:r>
          </w:p>
        </w:tc>
        <w:tc>
          <w:tcPr>
            <w:tcW w:w="1296" w:type="dxa"/>
            <w:shd w:val="clear" w:color="auto" w:fill="auto"/>
          </w:tcPr>
          <w:p w14:paraId="3D4632AF" w14:textId="77777777" w:rsidR="003E3D07" w:rsidRDefault="003E3D07" w:rsidP="009C5939">
            <w:pPr>
              <w:pStyle w:val="TableText"/>
              <w:rPr>
                <w:rFonts w:eastAsia="Symbol"/>
              </w:rPr>
            </w:pPr>
            <w:r>
              <w:t>1</w:t>
            </w:r>
          </w:p>
        </w:tc>
        <w:tc>
          <w:tcPr>
            <w:tcW w:w="841" w:type="dxa"/>
            <w:shd w:val="clear" w:color="auto" w:fill="auto"/>
          </w:tcPr>
          <w:p w14:paraId="49134535" w14:textId="77777777" w:rsidR="003E3D07" w:rsidRDefault="003E3D07" w:rsidP="009C5939">
            <w:pPr>
              <w:pStyle w:val="TableText"/>
            </w:pPr>
            <w:r>
              <w:t>AGJMH</w:t>
            </w:r>
          </w:p>
        </w:tc>
      </w:tr>
      <w:tr w:rsidR="00824338" w14:paraId="5C81B15E" w14:textId="77777777" w:rsidTr="00031618">
        <w:tblPrEx>
          <w:tblBorders>
            <w:insideH w:val="single" w:sz="4" w:space="0" w:color="auto"/>
            <w:insideV w:val="single" w:sz="4" w:space="0" w:color="auto"/>
          </w:tblBorders>
        </w:tblPrEx>
        <w:tc>
          <w:tcPr>
            <w:tcW w:w="1975" w:type="dxa"/>
            <w:shd w:val="clear" w:color="auto" w:fill="auto"/>
          </w:tcPr>
          <w:p w14:paraId="1AF80BBB" w14:textId="77777777" w:rsidR="003E3D07" w:rsidRDefault="003E3D07" w:rsidP="009C5939">
            <w:pPr>
              <w:pStyle w:val="TableText"/>
              <w:rPr>
                <w:rFonts w:eastAsia="Symbol"/>
              </w:rPr>
            </w:pPr>
            <w:r>
              <w:t>Anti-Yt(a)</w:t>
            </w:r>
          </w:p>
        </w:tc>
        <w:tc>
          <w:tcPr>
            <w:tcW w:w="1710" w:type="dxa"/>
            <w:shd w:val="clear" w:color="auto" w:fill="auto"/>
          </w:tcPr>
          <w:p w14:paraId="38E6D3C3" w14:textId="77777777" w:rsidR="003E3D07" w:rsidRDefault="003E3D07" w:rsidP="009C5939">
            <w:pPr>
              <w:pStyle w:val="TableText"/>
              <w:rPr>
                <w:rFonts w:eastAsia="Symbol"/>
              </w:rPr>
            </w:pPr>
            <w:r>
              <w:t>None</w:t>
            </w:r>
          </w:p>
        </w:tc>
        <w:tc>
          <w:tcPr>
            <w:tcW w:w="878" w:type="dxa"/>
            <w:shd w:val="clear" w:color="auto" w:fill="auto"/>
          </w:tcPr>
          <w:p w14:paraId="0A56AD9E" w14:textId="77777777" w:rsidR="003E3D07" w:rsidRDefault="003E3D07" w:rsidP="009C5939">
            <w:pPr>
              <w:pStyle w:val="TableText"/>
            </w:pPr>
            <w:r>
              <w:t>No</w:t>
            </w:r>
          </w:p>
        </w:tc>
        <w:tc>
          <w:tcPr>
            <w:tcW w:w="878" w:type="dxa"/>
            <w:shd w:val="clear" w:color="auto" w:fill="auto"/>
          </w:tcPr>
          <w:p w14:paraId="3A4F4EB4" w14:textId="77777777" w:rsidR="003E3D07" w:rsidRDefault="003E3D07" w:rsidP="009C5939">
            <w:pPr>
              <w:pStyle w:val="TableText"/>
              <w:rPr>
                <w:rFonts w:eastAsia="Symbol"/>
              </w:rPr>
            </w:pPr>
            <w:r>
              <w:t>Optional</w:t>
            </w:r>
          </w:p>
        </w:tc>
        <w:tc>
          <w:tcPr>
            <w:tcW w:w="1253" w:type="dxa"/>
            <w:shd w:val="clear" w:color="auto" w:fill="auto"/>
          </w:tcPr>
          <w:p w14:paraId="0F8B3419" w14:textId="77777777" w:rsidR="003E3D07" w:rsidRDefault="003E3D07" w:rsidP="009C5939">
            <w:pPr>
              <w:pStyle w:val="TableText"/>
              <w:rPr>
                <w:rFonts w:eastAsia="Symbol"/>
              </w:rPr>
            </w:pPr>
            <w:r>
              <w:t>Yt(a)</w:t>
            </w:r>
          </w:p>
        </w:tc>
        <w:tc>
          <w:tcPr>
            <w:tcW w:w="1253" w:type="dxa"/>
            <w:shd w:val="clear" w:color="auto" w:fill="auto"/>
          </w:tcPr>
          <w:p w14:paraId="6A5A5B5A" w14:textId="77777777" w:rsidR="003E3D07" w:rsidRDefault="003E3D07" w:rsidP="009C5939">
            <w:pPr>
              <w:pStyle w:val="TableText"/>
              <w:rPr>
                <w:rFonts w:eastAsia="Symbol"/>
              </w:rPr>
            </w:pPr>
            <w:r>
              <w:t>None</w:t>
            </w:r>
          </w:p>
        </w:tc>
        <w:tc>
          <w:tcPr>
            <w:tcW w:w="1296" w:type="dxa"/>
            <w:shd w:val="clear" w:color="auto" w:fill="auto"/>
          </w:tcPr>
          <w:p w14:paraId="276F7559" w14:textId="77777777" w:rsidR="003E3D07" w:rsidRDefault="003E3D07" w:rsidP="009C5939">
            <w:pPr>
              <w:pStyle w:val="TableText"/>
              <w:rPr>
                <w:rFonts w:eastAsia="Symbol"/>
              </w:rPr>
            </w:pPr>
            <w:r>
              <w:t>1</w:t>
            </w:r>
          </w:p>
        </w:tc>
        <w:tc>
          <w:tcPr>
            <w:tcW w:w="841" w:type="dxa"/>
            <w:shd w:val="clear" w:color="auto" w:fill="auto"/>
          </w:tcPr>
          <w:p w14:paraId="79F58F27" w14:textId="77777777" w:rsidR="003E3D07" w:rsidRDefault="003E3D07" w:rsidP="009C5939">
            <w:pPr>
              <w:pStyle w:val="TableText"/>
              <w:rPr>
                <w:rFonts w:eastAsia="Symbol"/>
              </w:rPr>
            </w:pPr>
            <w:r>
              <w:t>AGYt(a)</w:t>
            </w:r>
          </w:p>
        </w:tc>
      </w:tr>
      <w:tr w:rsidR="00824338" w14:paraId="30CF6168" w14:textId="77777777" w:rsidTr="00031618">
        <w:tblPrEx>
          <w:tblBorders>
            <w:insideH w:val="single" w:sz="4" w:space="0" w:color="auto"/>
            <w:insideV w:val="single" w:sz="4" w:space="0" w:color="auto"/>
          </w:tblBorders>
        </w:tblPrEx>
        <w:tc>
          <w:tcPr>
            <w:tcW w:w="1975" w:type="dxa"/>
            <w:shd w:val="clear" w:color="auto" w:fill="auto"/>
          </w:tcPr>
          <w:p w14:paraId="767E5A0E" w14:textId="77777777" w:rsidR="003E3D07" w:rsidRDefault="003E3D07" w:rsidP="009C5939">
            <w:pPr>
              <w:pStyle w:val="TableText"/>
              <w:rPr>
                <w:rFonts w:eastAsia="Symbol"/>
              </w:rPr>
            </w:pPr>
            <w:r>
              <w:t>Anti-Yt(b)</w:t>
            </w:r>
          </w:p>
        </w:tc>
        <w:tc>
          <w:tcPr>
            <w:tcW w:w="1710" w:type="dxa"/>
            <w:shd w:val="clear" w:color="auto" w:fill="auto"/>
          </w:tcPr>
          <w:p w14:paraId="6851D567" w14:textId="77777777" w:rsidR="003E3D07" w:rsidRDefault="003E3D07" w:rsidP="009C5939">
            <w:pPr>
              <w:pStyle w:val="TableText"/>
              <w:rPr>
                <w:rFonts w:eastAsia="Symbol"/>
              </w:rPr>
            </w:pPr>
            <w:r>
              <w:t>None</w:t>
            </w:r>
          </w:p>
        </w:tc>
        <w:tc>
          <w:tcPr>
            <w:tcW w:w="878" w:type="dxa"/>
            <w:shd w:val="clear" w:color="auto" w:fill="auto"/>
          </w:tcPr>
          <w:p w14:paraId="2674B63F" w14:textId="77777777" w:rsidR="003E3D07" w:rsidRDefault="003E3D07" w:rsidP="009C5939">
            <w:pPr>
              <w:pStyle w:val="TableText"/>
            </w:pPr>
            <w:r>
              <w:t>No</w:t>
            </w:r>
          </w:p>
        </w:tc>
        <w:tc>
          <w:tcPr>
            <w:tcW w:w="878" w:type="dxa"/>
            <w:shd w:val="clear" w:color="auto" w:fill="auto"/>
          </w:tcPr>
          <w:p w14:paraId="668062F4" w14:textId="77777777" w:rsidR="003E3D07" w:rsidRDefault="003E3D07" w:rsidP="009C5939">
            <w:pPr>
              <w:pStyle w:val="TableText"/>
              <w:rPr>
                <w:rFonts w:eastAsia="Symbol"/>
              </w:rPr>
            </w:pPr>
            <w:r>
              <w:t>Optional</w:t>
            </w:r>
          </w:p>
        </w:tc>
        <w:tc>
          <w:tcPr>
            <w:tcW w:w="1253" w:type="dxa"/>
            <w:shd w:val="clear" w:color="auto" w:fill="auto"/>
          </w:tcPr>
          <w:p w14:paraId="66612333" w14:textId="77777777" w:rsidR="003E3D07" w:rsidRDefault="003E3D07" w:rsidP="009C5939">
            <w:pPr>
              <w:pStyle w:val="TableText"/>
              <w:rPr>
                <w:rFonts w:eastAsia="Symbol"/>
              </w:rPr>
            </w:pPr>
            <w:r>
              <w:t>Yt(b)</w:t>
            </w:r>
          </w:p>
        </w:tc>
        <w:tc>
          <w:tcPr>
            <w:tcW w:w="1253" w:type="dxa"/>
            <w:shd w:val="clear" w:color="auto" w:fill="auto"/>
          </w:tcPr>
          <w:p w14:paraId="37903F55" w14:textId="77777777" w:rsidR="003E3D07" w:rsidRDefault="003E3D07" w:rsidP="009C5939">
            <w:pPr>
              <w:pStyle w:val="TableText"/>
              <w:rPr>
                <w:rFonts w:eastAsia="Symbol"/>
              </w:rPr>
            </w:pPr>
            <w:r>
              <w:t>None</w:t>
            </w:r>
          </w:p>
        </w:tc>
        <w:tc>
          <w:tcPr>
            <w:tcW w:w="1296" w:type="dxa"/>
            <w:shd w:val="clear" w:color="auto" w:fill="auto"/>
          </w:tcPr>
          <w:p w14:paraId="33DA779F" w14:textId="77777777" w:rsidR="003E3D07" w:rsidRDefault="003E3D07" w:rsidP="009C5939">
            <w:pPr>
              <w:pStyle w:val="TableText"/>
              <w:rPr>
                <w:rFonts w:eastAsia="Symbol"/>
              </w:rPr>
            </w:pPr>
            <w:r>
              <w:t>92</w:t>
            </w:r>
          </w:p>
        </w:tc>
        <w:tc>
          <w:tcPr>
            <w:tcW w:w="841" w:type="dxa"/>
            <w:shd w:val="clear" w:color="auto" w:fill="auto"/>
          </w:tcPr>
          <w:p w14:paraId="5F2BDD23" w14:textId="77777777" w:rsidR="003E3D07" w:rsidRDefault="003E3D07" w:rsidP="009C5939">
            <w:pPr>
              <w:pStyle w:val="TableText"/>
              <w:rPr>
                <w:rFonts w:eastAsia="Symbol"/>
              </w:rPr>
            </w:pPr>
            <w:r>
              <w:t>AGYt(b)</w:t>
            </w:r>
          </w:p>
        </w:tc>
      </w:tr>
      <w:tr w:rsidR="00824338" w14:paraId="67FC33DF" w14:textId="77777777" w:rsidTr="00031618">
        <w:tblPrEx>
          <w:tblBorders>
            <w:insideH w:val="single" w:sz="4" w:space="0" w:color="auto"/>
            <w:insideV w:val="single" w:sz="4" w:space="0" w:color="auto"/>
          </w:tblBorders>
        </w:tblPrEx>
        <w:tc>
          <w:tcPr>
            <w:tcW w:w="1975" w:type="dxa"/>
            <w:shd w:val="clear" w:color="auto" w:fill="auto"/>
          </w:tcPr>
          <w:p w14:paraId="1ED89685" w14:textId="77777777" w:rsidR="003E3D07" w:rsidRDefault="003E3D07" w:rsidP="009C5939">
            <w:pPr>
              <w:pStyle w:val="TableText"/>
              <w:rPr>
                <w:rFonts w:eastAsia="Symbol"/>
              </w:rPr>
            </w:pPr>
            <w:r>
              <w:t>HTLA (probable)</w:t>
            </w:r>
          </w:p>
        </w:tc>
        <w:tc>
          <w:tcPr>
            <w:tcW w:w="1710" w:type="dxa"/>
            <w:shd w:val="clear" w:color="auto" w:fill="auto"/>
          </w:tcPr>
          <w:p w14:paraId="76132795" w14:textId="77777777" w:rsidR="003E3D07" w:rsidRDefault="003E3D07" w:rsidP="009C5939">
            <w:pPr>
              <w:pStyle w:val="TableText"/>
            </w:pPr>
            <w:r>
              <w:t>None</w:t>
            </w:r>
          </w:p>
        </w:tc>
        <w:tc>
          <w:tcPr>
            <w:tcW w:w="878" w:type="dxa"/>
            <w:shd w:val="clear" w:color="auto" w:fill="auto"/>
          </w:tcPr>
          <w:p w14:paraId="57E272F8" w14:textId="77777777" w:rsidR="003E3D07" w:rsidRDefault="003E3D07" w:rsidP="009C5939">
            <w:pPr>
              <w:pStyle w:val="TableText"/>
            </w:pPr>
            <w:r>
              <w:t>No</w:t>
            </w:r>
          </w:p>
        </w:tc>
        <w:tc>
          <w:tcPr>
            <w:tcW w:w="878" w:type="dxa"/>
            <w:shd w:val="clear" w:color="auto" w:fill="auto"/>
          </w:tcPr>
          <w:p w14:paraId="2561670B" w14:textId="77777777" w:rsidR="003E3D07" w:rsidRDefault="003E3D07" w:rsidP="009C5939">
            <w:pPr>
              <w:pStyle w:val="TableText"/>
              <w:rPr>
                <w:rFonts w:eastAsia="Symbol"/>
              </w:rPr>
            </w:pPr>
            <w:r>
              <w:t>No</w:t>
            </w:r>
          </w:p>
        </w:tc>
        <w:tc>
          <w:tcPr>
            <w:tcW w:w="1253" w:type="dxa"/>
            <w:shd w:val="clear" w:color="auto" w:fill="auto"/>
          </w:tcPr>
          <w:p w14:paraId="24BAC765" w14:textId="77777777" w:rsidR="003E3D07" w:rsidRDefault="003E3D07" w:rsidP="009C5939">
            <w:pPr>
              <w:pStyle w:val="TableText"/>
              <w:rPr>
                <w:rFonts w:eastAsia="Symbol"/>
              </w:rPr>
            </w:pPr>
            <w:r>
              <w:t>None</w:t>
            </w:r>
          </w:p>
        </w:tc>
        <w:tc>
          <w:tcPr>
            <w:tcW w:w="1253" w:type="dxa"/>
            <w:shd w:val="clear" w:color="auto" w:fill="auto"/>
          </w:tcPr>
          <w:p w14:paraId="2C804296" w14:textId="77777777" w:rsidR="003E3D07" w:rsidRDefault="003E3D07" w:rsidP="009C5939">
            <w:pPr>
              <w:pStyle w:val="TableText"/>
              <w:rPr>
                <w:rFonts w:eastAsia="Symbol"/>
              </w:rPr>
            </w:pPr>
            <w:r>
              <w:t>None</w:t>
            </w:r>
          </w:p>
        </w:tc>
        <w:tc>
          <w:tcPr>
            <w:tcW w:w="1296" w:type="dxa"/>
            <w:shd w:val="clear" w:color="auto" w:fill="auto"/>
          </w:tcPr>
          <w:p w14:paraId="4F87469D" w14:textId="77777777" w:rsidR="003E3D07" w:rsidRDefault="003E3D07" w:rsidP="009C5939">
            <w:pPr>
              <w:pStyle w:val="TableText"/>
              <w:rPr>
                <w:rFonts w:eastAsia="Symbol"/>
              </w:rPr>
            </w:pPr>
            <w:r>
              <w:rPr>
                <w:rFonts w:eastAsia="Symbol"/>
              </w:rPr>
              <w:t>0</w:t>
            </w:r>
          </w:p>
        </w:tc>
        <w:tc>
          <w:tcPr>
            <w:tcW w:w="841" w:type="dxa"/>
            <w:vMerge w:val="restart"/>
            <w:shd w:val="clear" w:color="auto" w:fill="auto"/>
          </w:tcPr>
          <w:p w14:paraId="13ACD1E0" w14:textId="77777777" w:rsidR="003E3D07" w:rsidRDefault="003E3D07" w:rsidP="009C5939">
            <w:pPr>
              <w:pStyle w:val="TableText"/>
            </w:pPr>
            <w:r>
              <w:rPr>
                <w:rFonts w:eastAsia="Symbol"/>
              </w:rPr>
              <w:t>None</w:t>
            </w:r>
          </w:p>
        </w:tc>
      </w:tr>
      <w:tr w:rsidR="00824338" w14:paraId="7845CE28" w14:textId="77777777" w:rsidTr="00031618">
        <w:tblPrEx>
          <w:tblBorders>
            <w:insideH w:val="single" w:sz="4" w:space="0" w:color="auto"/>
            <w:insideV w:val="single" w:sz="4" w:space="0" w:color="auto"/>
          </w:tblBorders>
        </w:tblPrEx>
        <w:tc>
          <w:tcPr>
            <w:tcW w:w="1975" w:type="dxa"/>
            <w:shd w:val="clear" w:color="auto" w:fill="auto"/>
          </w:tcPr>
          <w:p w14:paraId="515EE660" w14:textId="77777777" w:rsidR="003E3D07" w:rsidRDefault="003E3D07" w:rsidP="009C5939">
            <w:pPr>
              <w:pStyle w:val="TableText"/>
            </w:pPr>
            <w:r>
              <w:t>Antibody, No Specificity</w:t>
            </w:r>
          </w:p>
          <w:p w14:paraId="40B8CE16" w14:textId="77777777" w:rsidR="003E3D07" w:rsidRDefault="003E3D07" w:rsidP="009C5939">
            <w:pPr>
              <w:pStyle w:val="TableText"/>
              <w:rPr>
                <w:sz w:val="20"/>
              </w:rPr>
            </w:pPr>
            <w:r>
              <w:t>Identified</w:t>
            </w:r>
          </w:p>
        </w:tc>
        <w:tc>
          <w:tcPr>
            <w:tcW w:w="1710" w:type="dxa"/>
            <w:shd w:val="clear" w:color="auto" w:fill="auto"/>
          </w:tcPr>
          <w:p w14:paraId="0CC6FA56" w14:textId="77777777" w:rsidR="003E3D07" w:rsidRDefault="003E3D07" w:rsidP="009C5939">
            <w:pPr>
              <w:pStyle w:val="TableText"/>
              <w:rPr>
                <w:sz w:val="20"/>
              </w:rPr>
            </w:pPr>
            <w:r>
              <w:t>Antibody (not otherwise specified)</w:t>
            </w:r>
          </w:p>
        </w:tc>
        <w:tc>
          <w:tcPr>
            <w:tcW w:w="878" w:type="dxa"/>
            <w:shd w:val="clear" w:color="auto" w:fill="auto"/>
          </w:tcPr>
          <w:p w14:paraId="487E6EA3" w14:textId="77777777" w:rsidR="003E3D07" w:rsidRDefault="003E3D07" w:rsidP="009C5939">
            <w:pPr>
              <w:pStyle w:val="TableText"/>
            </w:pPr>
            <w:r>
              <w:t>Unknown</w:t>
            </w:r>
            <w:r w:rsidR="00191509" w:rsidRPr="00191509">
              <w:rPr>
                <w:szCs w:val="18"/>
              </w:rPr>
              <w:t>§</w:t>
            </w:r>
          </w:p>
        </w:tc>
        <w:tc>
          <w:tcPr>
            <w:tcW w:w="878" w:type="dxa"/>
            <w:shd w:val="clear" w:color="auto" w:fill="auto"/>
          </w:tcPr>
          <w:p w14:paraId="3567424D" w14:textId="77777777" w:rsidR="003E3D07" w:rsidRDefault="003E3D07" w:rsidP="009C5939">
            <w:pPr>
              <w:pStyle w:val="TableText"/>
            </w:pPr>
            <w:r>
              <w:t>No</w:t>
            </w:r>
          </w:p>
        </w:tc>
        <w:tc>
          <w:tcPr>
            <w:tcW w:w="1253" w:type="dxa"/>
            <w:shd w:val="clear" w:color="auto" w:fill="auto"/>
          </w:tcPr>
          <w:p w14:paraId="55674AB4" w14:textId="77777777" w:rsidR="003E3D07" w:rsidRDefault="003E3D07" w:rsidP="009C5939">
            <w:pPr>
              <w:pStyle w:val="TableText"/>
            </w:pPr>
            <w:r>
              <w:t>None</w:t>
            </w:r>
          </w:p>
        </w:tc>
        <w:tc>
          <w:tcPr>
            <w:tcW w:w="1253" w:type="dxa"/>
            <w:shd w:val="clear" w:color="auto" w:fill="auto"/>
          </w:tcPr>
          <w:p w14:paraId="76A9C736" w14:textId="77777777" w:rsidR="003E3D07" w:rsidRDefault="003E3D07" w:rsidP="009C5939">
            <w:pPr>
              <w:pStyle w:val="TableText"/>
            </w:pPr>
            <w:r>
              <w:t>None</w:t>
            </w:r>
          </w:p>
        </w:tc>
        <w:tc>
          <w:tcPr>
            <w:tcW w:w="1296" w:type="dxa"/>
            <w:shd w:val="clear" w:color="auto" w:fill="auto"/>
          </w:tcPr>
          <w:p w14:paraId="6A4C4B11" w14:textId="77777777" w:rsidR="003E3D07" w:rsidRDefault="003E3D07" w:rsidP="009C5939">
            <w:pPr>
              <w:pStyle w:val="TableText"/>
              <w:rPr>
                <w:rFonts w:eastAsia="Symbol"/>
              </w:rPr>
            </w:pPr>
            <w:r>
              <w:rPr>
                <w:rFonts w:eastAsia="Symbol"/>
              </w:rPr>
              <w:t>0</w:t>
            </w:r>
          </w:p>
        </w:tc>
        <w:tc>
          <w:tcPr>
            <w:tcW w:w="841" w:type="dxa"/>
            <w:vMerge/>
            <w:shd w:val="clear" w:color="auto" w:fill="auto"/>
          </w:tcPr>
          <w:p w14:paraId="0BE8AD1C" w14:textId="77777777" w:rsidR="003E3D07" w:rsidRDefault="003E3D07" w:rsidP="009C5939">
            <w:pPr>
              <w:pStyle w:val="TableText"/>
              <w:rPr>
                <w:rFonts w:eastAsia="Symbol"/>
              </w:rPr>
            </w:pPr>
          </w:p>
        </w:tc>
      </w:tr>
      <w:tr w:rsidR="00824338" w14:paraId="3ECAFF10" w14:textId="77777777" w:rsidTr="00031618">
        <w:tblPrEx>
          <w:tblBorders>
            <w:insideH w:val="single" w:sz="4" w:space="0" w:color="auto"/>
            <w:insideV w:val="single" w:sz="4" w:space="0" w:color="auto"/>
          </w:tblBorders>
        </w:tblPrEx>
        <w:tc>
          <w:tcPr>
            <w:tcW w:w="1975" w:type="dxa"/>
            <w:shd w:val="clear" w:color="auto" w:fill="auto"/>
          </w:tcPr>
          <w:p w14:paraId="2902BD35" w14:textId="77777777" w:rsidR="003E3D07" w:rsidRDefault="003E3D07" w:rsidP="009C5939">
            <w:pPr>
              <w:pStyle w:val="TableText"/>
            </w:pPr>
            <w:r>
              <w:t>Antibody to Low-Incidence Antigen</w:t>
            </w:r>
          </w:p>
        </w:tc>
        <w:tc>
          <w:tcPr>
            <w:tcW w:w="1710" w:type="dxa"/>
            <w:shd w:val="clear" w:color="auto" w:fill="auto"/>
          </w:tcPr>
          <w:p w14:paraId="69216AA6" w14:textId="77777777" w:rsidR="003E3D07" w:rsidRDefault="003E3D07" w:rsidP="009C5939">
            <w:pPr>
              <w:pStyle w:val="TableText"/>
            </w:pPr>
            <w:r>
              <w:t>Antibody, private (not otherwise specified)</w:t>
            </w:r>
          </w:p>
        </w:tc>
        <w:tc>
          <w:tcPr>
            <w:tcW w:w="878" w:type="dxa"/>
            <w:shd w:val="clear" w:color="auto" w:fill="auto"/>
          </w:tcPr>
          <w:p w14:paraId="42055EB0" w14:textId="77777777" w:rsidR="003E3D07" w:rsidRDefault="003E3D07" w:rsidP="009C5939">
            <w:pPr>
              <w:pStyle w:val="TableText"/>
            </w:pPr>
            <w:r>
              <w:t>Unknown</w:t>
            </w:r>
            <w:r w:rsidR="00191509" w:rsidRPr="00191509">
              <w:rPr>
                <w:szCs w:val="18"/>
              </w:rPr>
              <w:t>§</w:t>
            </w:r>
          </w:p>
        </w:tc>
        <w:tc>
          <w:tcPr>
            <w:tcW w:w="878" w:type="dxa"/>
            <w:shd w:val="clear" w:color="auto" w:fill="auto"/>
          </w:tcPr>
          <w:p w14:paraId="630E4D7E" w14:textId="77777777" w:rsidR="003E3D07" w:rsidRDefault="003E3D07" w:rsidP="009C5939">
            <w:pPr>
              <w:pStyle w:val="TableText"/>
            </w:pPr>
            <w:r>
              <w:t>No</w:t>
            </w:r>
          </w:p>
        </w:tc>
        <w:tc>
          <w:tcPr>
            <w:tcW w:w="1253" w:type="dxa"/>
            <w:shd w:val="clear" w:color="auto" w:fill="auto"/>
          </w:tcPr>
          <w:p w14:paraId="36BFC685" w14:textId="77777777" w:rsidR="003E3D07" w:rsidRDefault="003E3D07" w:rsidP="009C5939">
            <w:pPr>
              <w:pStyle w:val="TableText"/>
            </w:pPr>
            <w:r>
              <w:t>None</w:t>
            </w:r>
          </w:p>
        </w:tc>
        <w:tc>
          <w:tcPr>
            <w:tcW w:w="1253" w:type="dxa"/>
            <w:shd w:val="clear" w:color="auto" w:fill="auto"/>
          </w:tcPr>
          <w:p w14:paraId="762FBDCC" w14:textId="77777777" w:rsidR="003E3D07" w:rsidRDefault="003E3D07" w:rsidP="009C5939">
            <w:pPr>
              <w:pStyle w:val="TableText"/>
            </w:pPr>
            <w:r>
              <w:t>None</w:t>
            </w:r>
          </w:p>
        </w:tc>
        <w:tc>
          <w:tcPr>
            <w:tcW w:w="1296" w:type="dxa"/>
            <w:shd w:val="clear" w:color="auto" w:fill="auto"/>
          </w:tcPr>
          <w:p w14:paraId="20912104" w14:textId="77777777" w:rsidR="003E3D07" w:rsidRDefault="003E3D07" w:rsidP="009C5939">
            <w:pPr>
              <w:pStyle w:val="TableText"/>
              <w:rPr>
                <w:rFonts w:eastAsia="Symbol"/>
              </w:rPr>
            </w:pPr>
            <w:r>
              <w:rPr>
                <w:rFonts w:eastAsia="Symbol"/>
              </w:rPr>
              <w:t>99</w:t>
            </w:r>
          </w:p>
        </w:tc>
        <w:tc>
          <w:tcPr>
            <w:tcW w:w="841" w:type="dxa"/>
            <w:vMerge/>
            <w:shd w:val="clear" w:color="auto" w:fill="auto"/>
          </w:tcPr>
          <w:p w14:paraId="7AAC4B20" w14:textId="77777777" w:rsidR="003E3D07" w:rsidRDefault="003E3D07" w:rsidP="009C5939">
            <w:pPr>
              <w:pStyle w:val="TableText"/>
              <w:rPr>
                <w:rFonts w:eastAsia="Symbol"/>
              </w:rPr>
            </w:pPr>
          </w:p>
        </w:tc>
      </w:tr>
      <w:tr w:rsidR="00824338" w14:paraId="3F4996E0" w14:textId="77777777" w:rsidTr="00031618">
        <w:tblPrEx>
          <w:tblBorders>
            <w:insideH w:val="single" w:sz="4" w:space="0" w:color="auto"/>
            <w:insideV w:val="single" w:sz="4" w:space="0" w:color="auto"/>
          </w:tblBorders>
        </w:tblPrEx>
        <w:tc>
          <w:tcPr>
            <w:tcW w:w="1975" w:type="dxa"/>
            <w:shd w:val="clear" w:color="auto" w:fill="auto"/>
          </w:tcPr>
          <w:p w14:paraId="0CA7ED25" w14:textId="77777777" w:rsidR="003E3D07" w:rsidRDefault="003E3D07" w:rsidP="009C5939">
            <w:pPr>
              <w:pStyle w:val="TableText"/>
              <w:rPr>
                <w:sz w:val="20"/>
              </w:rPr>
            </w:pPr>
            <w:r>
              <w:lastRenderedPageBreak/>
              <w:t>Antibody to High-Incidence Antigen</w:t>
            </w:r>
          </w:p>
        </w:tc>
        <w:tc>
          <w:tcPr>
            <w:tcW w:w="1710" w:type="dxa"/>
            <w:shd w:val="clear" w:color="auto" w:fill="auto"/>
          </w:tcPr>
          <w:p w14:paraId="2141603D" w14:textId="77777777" w:rsidR="003E3D07" w:rsidRDefault="003E3D07" w:rsidP="009C5939">
            <w:pPr>
              <w:pStyle w:val="TableText"/>
              <w:rPr>
                <w:sz w:val="20"/>
              </w:rPr>
            </w:pPr>
            <w:r>
              <w:t>Antibody, public (not otherwise specified)</w:t>
            </w:r>
          </w:p>
        </w:tc>
        <w:tc>
          <w:tcPr>
            <w:tcW w:w="878" w:type="dxa"/>
            <w:shd w:val="clear" w:color="auto" w:fill="auto"/>
          </w:tcPr>
          <w:p w14:paraId="6415B5B0" w14:textId="77777777" w:rsidR="003E3D07" w:rsidRDefault="003E3D07" w:rsidP="009C5939">
            <w:pPr>
              <w:pStyle w:val="TableText"/>
            </w:pPr>
            <w:r>
              <w:t>Unknown</w:t>
            </w:r>
            <w:r w:rsidR="00191509" w:rsidRPr="00191509">
              <w:rPr>
                <w:szCs w:val="18"/>
              </w:rPr>
              <w:t>§</w:t>
            </w:r>
          </w:p>
        </w:tc>
        <w:tc>
          <w:tcPr>
            <w:tcW w:w="878" w:type="dxa"/>
            <w:shd w:val="clear" w:color="auto" w:fill="auto"/>
          </w:tcPr>
          <w:p w14:paraId="2FE7FD40" w14:textId="77777777" w:rsidR="003E3D07" w:rsidRDefault="003E3D07" w:rsidP="009C5939">
            <w:pPr>
              <w:pStyle w:val="TableText"/>
            </w:pPr>
            <w:r>
              <w:t>No</w:t>
            </w:r>
          </w:p>
        </w:tc>
        <w:tc>
          <w:tcPr>
            <w:tcW w:w="1253" w:type="dxa"/>
            <w:shd w:val="clear" w:color="auto" w:fill="auto"/>
          </w:tcPr>
          <w:p w14:paraId="71EB51B2" w14:textId="77777777" w:rsidR="003E3D07" w:rsidRDefault="003E3D07" w:rsidP="009C5939">
            <w:pPr>
              <w:pStyle w:val="TableText"/>
            </w:pPr>
            <w:r>
              <w:t>None</w:t>
            </w:r>
          </w:p>
        </w:tc>
        <w:tc>
          <w:tcPr>
            <w:tcW w:w="1253" w:type="dxa"/>
            <w:shd w:val="clear" w:color="auto" w:fill="auto"/>
          </w:tcPr>
          <w:p w14:paraId="6BAA0482" w14:textId="77777777" w:rsidR="003E3D07" w:rsidRDefault="003E3D07" w:rsidP="009C5939">
            <w:pPr>
              <w:pStyle w:val="TableText"/>
            </w:pPr>
            <w:r>
              <w:t>None</w:t>
            </w:r>
          </w:p>
        </w:tc>
        <w:tc>
          <w:tcPr>
            <w:tcW w:w="1296" w:type="dxa"/>
            <w:shd w:val="clear" w:color="auto" w:fill="auto"/>
          </w:tcPr>
          <w:p w14:paraId="747BF053" w14:textId="77777777" w:rsidR="003E3D07" w:rsidRDefault="003E3D07" w:rsidP="009C5939">
            <w:pPr>
              <w:pStyle w:val="TableText"/>
              <w:rPr>
                <w:rFonts w:eastAsia="Symbol"/>
              </w:rPr>
            </w:pPr>
            <w:r>
              <w:rPr>
                <w:rFonts w:eastAsia="Symbol"/>
              </w:rPr>
              <w:t>0</w:t>
            </w:r>
          </w:p>
        </w:tc>
        <w:tc>
          <w:tcPr>
            <w:tcW w:w="841" w:type="dxa"/>
            <w:vMerge/>
            <w:shd w:val="clear" w:color="auto" w:fill="auto"/>
          </w:tcPr>
          <w:p w14:paraId="51BF9F28" w14:textId="77777777" w:rsidR="003E3D07" w:rsidRDefault="003E3D07" w:rsidP="009C5939">
            <w:pPr>
              <w:pStyle w:val="TableText"/>
              <w:rPr>
                <w:rFonts w:eastAsia="Symbol"/>
              </w:rPr>
            </w:pPr>
          </w:p>
        </w:tc>
      </w:tr>
      <w:tr w:rsidR="00A447A2" w14:paraId="3D20AD8A" w14:textId="77777777" w:rsidTr="00031618">
        <w:tblPrEx>
          <w:tblBorders>
            <w:insideH w:val="single" w:sz="4" w:space="0" w:color="auto"/>
            <w:insideV w:val="single" w:sz="4" w:space="0" w:color="auto"/>
          </w:tblBorders>
        </w:tblPrEx>
        <w:tc>
          <w:tcPr>
            <w:tcW w:w="1975" w:type="dxa"/>
            <w:shd w:val="clear" w:color="auto" w:fill="auto"/>
          </w:tcPr>
          <w:p w14:paraId="052DE4F2" w14:textId="77777777" w:rsidR="00A447A2" w:rsidRDefault="00A447A2" w:rsidP="009C5939">
            <w:pPr>
              <w:pStyle w:val="TableText"/>
            </w:pPr>
            <w:r>
              <w:t xml:space="preserve">Serologic Crossmatch Test Required </w:t>
            </w:r>
            <w:r w:rsidRPr="00A447A2">
              <w:rPr>
                <w:vanish/>
              </w:rPr>
              <w:t>DR 3145</w:t>
            </w:r>
          </w:p>
        </w:tc>
        <w:tc>
          <w:tcPr>
            <w:tcW w:w="1710" w:type="dxa"/>
            <w:shd w:val="clear" w:color="auto" w:fill="auto"/>
          </w:tcPr>
          <w:p w14:paraId="4CB4DC06" w14:textId="77777777" w:rsidR="00A447A2" w:rsidRDefault="00A447A2" w:rsidP="009C5939">
            <w:pPr>
              <w:pStyle w:val="TableText"/>
            </w:pPr>
            <w:r>
              <w:t>N/A</w:t>
            </w:r>
          </w:p>
        </w:tc>
        <w:tc>
          <w:tcPr>
            <w:tcW w:w="878" w:type="dxa"/>
            <w:shd w:val="clear" w:color="auto" w:fill="auto"/>
          </w:tcPr>
          <w:p w14:paraId="5169B04A" w14:textId="77777777" w:rsidR="00A447A2" w:rsidRDefault="00A447A2" w:rsidP="009C5939">
            <w:pPr>
              <w:pStyle w:val="TableText"/>
            </w:pPr>
            <w:r>
              <w:t>No</w:t>
            </w:r>
          </w:p>
        </w:tc>
        <w:tc>
          <w:tcPr>
            <w:tcW w:w="878" w:type="dxa"/>
            <w:shd w:val="clear" w:color="auto" w:fill="auto"/>
          </w:tcPr>
          <w:p w14:paraId="5E9CE61D" w14:textId="77777777" w:rsidR="00A447A2" w:rsidRDefault="00A447A2" w:rsidP="009C5939">
            <w:pPr>
              <w:pStyle w:val="TableText"/>
            </w:pPr>
            <w:r>
              <w:t>No</w:t>
            </w:r>
          </w:p>
        </w:tc>
        <w:tc>
          <w:tcPr>
            <w:tcW w:w="1253" w:type="dxa"/>
            <w:shd w:val="clear" w:color="auto" w:fill="auto"/>
          </w:tcPr>
          <w:p w14:paraId="4434E191" w14:textId="77777777" w:rsidR="00A447A2" w:rsidRDefault="00A447A2" w:rsidP="009C5939">
            <w:pPr>
              <w:pStyle w:val="TableText"/>
            </w:pPr>
            <w:r>
              <w:t>None</w:t>
            </w:r>
          </w:p>
        </w:tc>
        <w:tc>
          <w:tcPr>
            <w:tcW w:w="1253" w:type="dxa"/>
            <w:shd w:val="clear" w:color="auto" w:fill="auto"/>
          </w:tcPr>
          <w:p w14:paraId="3BBE5B42" w14:textId="77777777" w:rsidR="00A447A2" w:rsidRDefault="00A447A2" w:rsidP="009C5939">
            <w:pPr>
              <w:pStyle w:val="TableText"/>
            </w:pPr>
            <w:r>
              <w:t>None</w:t>
            </w:r>
          </w:p>
        </w:tc>
        <w:tc>
          <w:tcPr>
            <w:tcW w:w="1296" w:type="dxa"/>
            <w:shd w:val="clear" w:color="auto" w:fill="auto"/>
          </w:tcPr>
          <w:p w14:paraId="10BFB5D1" w14:textId="77777777" w:rsidR="00A447A2" w:rsidRDefault="00A447A2" w:rsidP="009C5939">
            <w:pPr>
              <w:pStyle w:val="TableText"/>
              <w:rPr>
                <w:rFonts w:eastAsia="Symbol"/>
              </w:rPr>
            </w:pPr>
            <w:r>
              <w:rPr>
                <w:rFonts w:eastAsia="Symbol"/>
              </w:rPr>
              <w:t>N/A</w:t>
            </w:r>
          </w:p>
        </w:tc>
        <w:tc>
          <w:tcPr>
            <w:tcW w:w="841" w:type="dxa"/>
            <w:shd w:val="clear" w:color="auto" w:fill="auto"/>
          </w:tcPr>
          <w:p w14:paraId="25AEC74D" w14:textId="77777777" w:rsidR="00A447A2" w:rsidRDefault="00A447A2" w:rsidP="009C5939">
            <w:pPr>
              <w:pStyle w:val="TableText"/>
              <w:rPr>
                <w:rFonts w:eastAsia="Symbol"/>
              </w:rPr>
            </w:pPr>
            <w:r>
              <w:rPr>
                <w:rFonts w:eastAsia="Symbol"/>
              </w:rPr>
              <w:t>None</w:t>
            </w:r>
          </w:p>
        </w:tc>
      </w:tr>
    </w:tbl>
    <w:bookmarkEnd w:id="683"/>
    <w:p w14:paraId="29AE556F" w14:textId="77777777" w:rsidR="00460F61" w:rsidRDefault="00460F61" w:rsidP="00460F61">
      <w:pPr>
        <w:pStyle w:val="BodyText"/>
      </w:pPr>
      <w:r>
        <w:t xml:space="preserve">*Specificities written </w:t>
      </w:r>
      <w:r w:rsidR="00C732CF">
        <w:t>as</w:t>
      </w:r>
      <w:r>
        <w:t xml:space="preserve"> superscript</w:t>
      </w:r>
      <w:r w:rsidR="000C01A8">
        <w:t xml:space="preserve"> or subscript</w:t>
      </w:r>
      <w:r>
        <w:t xml:space="preserve"> </w:t>
      </w:r>
      <w:r w:rsidR="00C732CF">
        <w:t xml:space="preserve">letters </w:t>
      </w:r>
      <w:r>
        <w:t xml:space="preserve">in blood bank literature are </w:t>
      </w:r>
      <w:r w:rsidR="00C732CF">
        <w:t>shown as</w:t>
      </w:r>
      <w:r>
        <w:t xml:space="preserve"> letters enclosed in parentheses in VBECS </w:t>
      </w:r>
      <w:r w:rsidR="00C732CF">
        <w:t>(</w:t>
      </w:r>
      <w:r>
        <w:t>the GUI cannot display superscript</w:t>
      </w:r>
      <w:r w:rsidR="000C01A8">
        <w:t xml:space="preserve"> or subscript</w:t>
      </w:r>
      <w:r>
        <w:t xml:space="preserve"> letter</w:t>
      </w:r>
      <w:r w:rsidR="00C732CF">
        <w:t>s)</w:t>
      </w:r>
      <w:r>
        <w:t xml:space="preserve">. Specificities written </w:t>
      </w:r>
      <w:r w:rsidR="00C732CF">
        <w:t>as</w:t>
      </w:r>
      <w:r>
        <w:t xml:space="preserve"> subscript</w:t>
      </w:r>
      <w:r w:rsidR="00C732CF">
        <w:t xml:space="preserve"> characters</w:t>
      </w:r>
      <w:r>
        <w:t xml:space="preserve"> in blood bank literature are</w:t>
      </w:r>
      <w:r w:rsidR="00C732CF">
        <w:t xml:space="preserve"> shown as</w:t>
      </w:r>
      <w:r>
        <w:t xml:space="preserve"> numbers or letters not enclosed in parentheses.</w:t>
      </w:r>
    </w:p>
    <w:p w14:paraId="2010560C" w14:textId="77777777" w:rsidR="00460F61" w:rsidRDefault="001116E3" w:rsidP="00460F61">
      <w:pPr>
        <w:pStyle w:val="BodyText"/>
      </w:pPr>
      <w:r w:rsidRPr="00191509">
        <w:rPr>
          <w:rFonts w:eastAsia="Symbol"/>
        </w:rPr>
        <w:t>†</w:t>
      </w:r>
      <w:r w:rsidR="00460F61">
        <w:t xml:space="preserve">Examples of common </w:t>
      </w:r>
      <w:r w:rsidR="00460F61" w:rsidRPr="00CA6E27">
        <w:rPr>
          <w:bCs/>
        </w:rPr>
        <w:t>VistA</w:t>
      </w:r>
      <w:r w:rsidR="00460F61">
        <w:t xml:space="preserve"> antibody</w:t>
      </w:r>
      <w:r w:rsidR="00EB4BDF">
        <w:t xml:space="preserve"> and </w:t>
      </w:r>
      <w:r w:rsidR="00460F61">
        <w:t xml:space="preserve">antigen terminology. Individual sites may vary. Refer to </w:t>
      </w:r>
      <w:r w:rsidR="00EB4BDF">
        <w:t>division-specific</w:t>
      </w:r>
      <w:r w:rsidR="00460F61">
        <w:t xml:space="preserve"> </w:t>
      </w:r>
      <w:r w:rsidR="00EB4BDF">
        <w:t xml:space="preserve">mapping </w:t>
      </w:r>
      <w:r w:rsidR="00460F61">
        <w:t>documents.</w:t>
      </w:r>
    </w:p>
    <w:p w14:paraId="2DC1D238" w14:textId="77777777" w:rsidR="001116E3" w:rsidRDefault="001116E3" w:rsidP="00460F61">
      <w:pPr>
        <w:pStyle w:val="BodyText"/>
        <w:rPr>
          <w:rFonts w:eastAsia="Symbol"/>
        </w:rPr>
      </w:pPr>
      <w:r>
        <w:rPr>
          <w:rFonts w:eastAsia="Symbol"/>
        </w:rPr>
        <w:t>‡The user will order the tests for each antigen separately; VBECS does not display a duplicate antigen typing for this com</w:t>
      </w:r>
      <w:r w:rsidR="00C15725">
        <w:rPr>
          <w:rFonts w:eastAsia="Symbol"/>
        </w:rPr>
        <w:t>bination antibody specificity.</w:t>
      </w:r>
    </w:p>
    <w:p w14:paraId="7FAA693C" w14:textId="77777777" w:rsidR="004D0818" w:rsidRDefault="00F528F3" w:rsidP="00270245">
      <w:pPr>
        <w:pStyle w:val="BodyText"/>
      </w:pPr>
      <w:r w:rsidRPr="00191509">
        <w:t>§</w:t>
      </w:r>
      <w:r w:rsidR="004D0818" w:rsidRPr="00663162">
        <w:t>When the clinical significance is unknow</w:t>
      </w:r>
      <w:r w:rsidR="004D0818">
        <w:t>n,</w:t>
      </w:r>
      <w:r w:rsidR="004D0818" w:rsidRPr="00663162">
        <w:t xml:space="preserve"> it is displayed as "No" due to the limitations of the system</w:t>
      </w:r>
      <w:r w:rsidR="004D0818">
        <w:t>.</w:t>
      </w:r>
    </w:p>
    <w:p w14:paraId="47941A28" w14:textId="77777777" w:rsidR="002A21AE" w:rsidRDefault="0065062F" w:rsidP="0065062F">
      <w:pPr>
        <w:pStyle w:val="Heading3"/>
      </w:pPr>
      <w:bookmarkStart w:id="684" w:name="table14"/>
      <w:bookmarkStart w:id="685" w:name="_Toc203765975"/>
      <w:bookmarkEnd w:id="684"/>
      <w:r w:rsidRPr="00F628FE">
        <w:t>Antibody and Antigen Table: Database Conversion</w:t>
      </w:r>
      <w:bookmarkEnd w:id="685"/>
      <w:r w:rsidR="002A21AE">
        <w:t xml:space="preserve"> </w:t>
      </w:r>
      <w:r w:rsidR="002A21AE">
        <w:rPr>
          <w:rFonts w:ascii="Geneva" w:hAnsi="Geneva"/>
          <w:vanish/>
        </w:rPr>
        <w:t xml:space="preserve">TT_23.01C </w:t>
      </w:r>
      <w:bookmarkEnd w:id="671"/>
      <w:bookmarkEnd w:id="672"/>
      <w:r w:rsidR="002A21AE">
        <w:fldChar w:fldCharType="begin"/>
      </w:r>
      <w:r w:rsidR="002A21AE">
        <w:instrText xml:space="preserve"> XE </w:instrText>
      </w:r>
      <w:r w:rsidR="00FA7E65">
        <w:instrText>“</w:instrText>
      </w:r>
      <w:r w:rsidR="002A21AE">
        <w:instrText>Tables:Antibody and Antigen Table, Database Conversion</w:instrText>
      </w:r>
      <w:r w:rsidR="00FA7E65">
        <w:instrText>”</w:instrText>
      </w:r>
      <w:r w:rsidR="002A21AE">
        <w:instrText xml:space="preserve"> </w:instrText>
      </w:r>
      <w:r w:rsidR="002A21AE">
        <w:fldChar w:fldCharType="end"/>
      </w:r>
    </w:p>
    <w:p w14:paraId="17BC5803" w14:textId="7501487D" w:rsidR="00D7283A" w:rsidRDefault="00E105E6" w:rsidP="00D7283A">
      <w:pPr>
        <w:pStyle w:val="BodyText"/>
      </w:pPr>
      <w:r>
        <w:t>Users cannot set antigen negative requirements for these antibodies in VBECS</w:t>
      </w:r>
      <w:r w:rsidR="004764F4">
        <w:t xml:space="preserve"> </w:t>
      </w:r>
      <w:r w:rsidR="00DB0CE8">
        <w:t>[</w:t>
      </w:r>
      <w:r w:rsidR="00EE455E">
        <w:t xml:space="preserve">Table </w:t>
      </w:r>
      <w:r w:rsidR="00EE455E">
        <w:rPr>
          <w:noProof/>
        </w:rPr>
        <w:t>15</w:t>
      </w:r>
      <w:r w:rsidR="00DB0CE8">
        <w:t xml:space="preserve"> (See </w:t>
      </w:r>
      <w:r w:rsidR="00DB0CE8" w:rsidRPr="00423A7F">
        <w:rPr>
          <w:i/>
          <w:iCs/>
        </w:rPr>
        <w:t>FAQ Database Conversion Oddballs</w:t>
      </w:r>
      <w:r w:rsidR="004764F4">
        <w:t>)</w:t>
      </w:r>
      <w:r w:rsidR="00DB0CE8">
        <w:t>]</w:t>
      </w:r>
      <w:r>
        <w:t xml:space="preserve">. </w:t>
      </w:r>
      <w:r w:rsidR="00D7283A">
        <w:t xml:space="preserve">Clinical significance of antibody specificity is set using the 14th edition of the AABB Technical Manual. </w:t>
      </w:r>
    </w:p>
    <w:p w14:paraId="2F8918A6" w14:textId="1B3CB41E" w:rsidR="002A21AE" w:rsidRDefault="002A21AE">
      <w:pPr>
        <w:pStyle w:val="Caption"/>
      </w:pPr>
      <w:bookmarkStart w:id="686" w:name="_Ref126730915"/>
      <w:bookmarkStart w:id="687" w:name="_Toc97523632"/>
      <w:bookmarkStart w:id="688" w:name="_Toc97527602"/>
      <w:r>
        <w:t xml:space="preserve">Table </w:t>
      </w:r>
      <w:r w:rsidR="004E20BD">
        <w:rPr>
          <w:noProof/>
        </w:rPr>
        <w:fldChar w:fldCharType="begin"/>
      </w:r>
      <w:r w:rsidR="004E20BD">
        <w:rPr>
          <w:noProof/>
        </w:rPr>
        <w:instrText xml:space="preserve"> SEQ Table \* ARABIC </w:instrText>
      </w:r>
      <w:r w:rsidR="004E20BD">
        <w:rPr>
          <w:noProof/>
        </w:rPr>
        <w:fldChar w:fldCharType="separate"/>
      </w:r>
      <w:r w:rsidR="007D1829">
        <w:rPr>
          <w:noProof/>
        </w:rPr>
        <w:t>15</w:t>
      </w:r>
      <w:r w:rsidR="004E20BD">
        <w:rPr>
          <w:noProof/>
        </w:rPr>
        <w:fldChar w:fldCharType="end"/>
      </w:r>
      <w:bookmarkEnd w:id="686"/>
      <w:r>
        <w:t xml:space="preserve">: </w:t>
      </w:r>
      <w:r>
        <w:rPr>
          <w:vanish/>
        </w:rPr>
        <w:t xml:space="preserve">TT_23.01C </w:t>
      </w:r>
      <w:r>
        <w:t>Antibody and Antigen Table: Database Conversion</w:t>
      </w:r>
      <w:bookmarkEnd w:id="687"/>
      <w:bookmarkEnd w:id="688"/>
    </w:p>
    <w:tbl>
      <w:tblPr>
        <w:tblW w:w="9360" w:type="dxa"/>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2339"/>
        <w:gridCol w:w="2339"/>
        <w:gridCol w:w="2341"/>
        <w:gridCol w:w="2341"/>
      </w:tblGrid>
      <w:tr w:rsidR="0012237C" w14:paraId="5CB25C6A" w14:textId="77777777">
        <w:trPr>
          <w:tblHeader/>
        </w:trPr>
        <w:tc>
          <w:tcPr>
            <w:tcW w:w="3740" w:type="dxa"/>
            <w:gridSpan w:val="2"/>
            <w:tcBorders>
              <w:top w:val="single" w:sz="4" w:space="0" w:color="auto"/>
              <w:left w:val="single" w:sz="4" w:space="0" w:color="auto"/>
              <w:bottom w:val="single" w:sz="4" w:space="0" w:color="auto"/>
              <w:right w:val="single" w:sz="4" w:space="0" w:color="auto"/>
            </w:tcBorders>
            <w:shd w:val="clear" w:color="auto" w:fill="C0C0C0"/>
          </w:tcPr>
          <w:p w14:paraId="39835C91" w14:textId="77777777" w:rsidR="0012237C" w:rsidRPr="00CA6E27" w:rsidRDefault="0012237C" w:rsidP="00084E6B">
            <w:pPr>
              <w:pStyle w:val="TableText"/>
              <w:rPr>
                <w:b/>
              </w:rPr>
            </w:pPr>
            <w:r>
              <w:rPr>
                <w:b/>
              </w:rPr>
              <w:t>Antibody Name</w:t>
            </w:r>
          </w:p>
        </w:tc>
        <w:tc>
          <w:tcPr>
            <w:tcW w:w="3742" w:type="dxa"/>
            <w:gridSpan w:val="2"/>
            <w:tcBorders>
              <w:top w:val="single" w:sz="4" w:space="0" w:color="auto"/>
              <w:left w:val="single" w:sz="4" w:space="0" w:color="auto"/>
              <w:bottom w:val="single" w:sz="4" w:space="0" w:color="auto"/>
              <w:right w:val="single" w:sz="4" w:space="0" w:color="auto"/>
            </w:tcBorders>
            <w:shd w:val="clear" w:color="auto" w:fill="C0C0C0"/>
          </w:tcPr>
          <w:p w14:paraId="7F82EC5B" w14:textId="77777777" w:rsidR="0012237C" w:rsidRPr="00CA6E27" w:rsidRDefault="0012237C" w:rsidP="00084E6B">
            <w:pPr>
              <w:pStyle w:val="TableText"/>
              <w:rPr>
                <w:b/>
              </w:rPr>
            </w:pPr>
            <w:r>
              <w:rPr>
                <w:b/>
              </w:rPr>
              <w:t>Associated Antigen</w:t>
            </w:r>
          </w:p>
        </w:tc>
      </w:tr>
      <w:tr w:rsidR="0012237C" w14:paraId="367042F5" w14:textId="77777777">
        <w:trPr>
          <w:tblHeader/>
        </w:trPr>
        <w:tc>
          <w:tcPr>
            <w:tcW w:w="1870" w:type="dxa"/>
            <w:tcBorders>
              <w:top w:val="single" w:sz="4" w:space="0" w:color="auto"/>
              <w:left w:val="single" w:sz="4" w:space="0" w:color="auto"/>
              <w:bottom w:val="single" w:sz="4" w:space="0" w:color="auto"/>
              <w:right w:val="single" w:sz="4" w:space="0" w:color="auto"/>
            </w:tcBorders>
            <w:shd w:val="clear" w:color="auto" w:fill="C0C0C0"/>
          </w:tcPr>
          <w:p w14:paraId="41902400" w14:textId="77777777" w:rsidR="0012237C" w:rsidRPr="003B5F9B" w:rsidRDefault="0012237C" w:rsidP="00084E6B">
            <w:pPr>
              <w:pStyle w:val="TableText"/>
              <w:rPr>
                <w:b/>
              </w:rPr>
            </w:pPr>
            <w:r>
              <w:rPr>
                <w:b/>
              </w:rPr>
              <w:t>VBECS</w:t>
            </w:r>
            <w:r w:rsidR="00E047E8">
              <w:rPr>
                <w:b/>
              </w:rPr>
              <w:t>*</w:t>
            </w:r>
          </w:p>
        </w:tc>
        <w:tc>
          <w:tcPr>
            <w:tcW w:w="1870" w:type="dxa"/>
            <w:tcBorders>
              <w:top w:val="single" w:sz="4" w:space="0" w:color="auto"/>
              <w:left w:val="single" w:sz="4" w:space="0" w:color="auto"/>
              <w:bottom w:val="single" w:sz="4" w:space="0" w:color="auto"/>
              <w:right w:val="single" w:sz="4" w:space="0" w:color="auto"/>
            </w:tcBorders>
            <w:shd w:val="clear" w:color="auto" w:fill="C0C0C0"/>
          </w:tcPr>
          <w:p w14:paraId="51C1F781" w14:textId="77777777" w:rsidR="0012237C" w:rsidRDefault="0012237C" w:rsidP="00084E6B">
            <w:pPr>
              <w:pStyle w:val="TableText"/>
              <w:rPr>
                <w:b/>
              </w:rPr>
            </w:pPr>
            <w:r w:rsidRPr="00CA6E27">
              <w:rPr>
                <w:b/>
              </w:rPr>
              <w:t>VistA</w:t>
            </w:r>
            <w:r w:rsidR="00E047E8">
              <w:rPr>
                <w:rFonts w:cs="Arial"/>
                <w:b/>
              </w:rPr>
              <w:t>†</w:t>
            </w:r>
          </w:p>
        </w:tc>
        <w:tc>
          <w:tcPr>
            <w:tcW w:w="1871" w:type="dxa"/>
            <w:tcBorders>
              <w:top w:val="single" w:sz="4" w:space="0" w:color="auto"/>
              <w:left w:val="single" w:sz="4" w:space="0" w:color="auto"/>
              <w:bottom w:val="single" w:sz="4" w:space="0" w:color="auto"/>
              <w:right w:val="single" w:sz="4" w:space="0" w:color="auto"/>
            </w:tcBorders>
            <w:shd w:val="clear" w:color="auto" w:fill="C0C0C0"/>
          </w:tcPr>
          <w:p w14:paraId="1940F219" w14:textId="77777777" w:rsidR="0012237C" w:rsidRPr="003B5F9B" w:rsidRDefault="0012237C" w:rsidP="00084E6B">
            <w:pPr>
              <w:pStyle w:val="TableText"/>
              <w:rPr>
                <w:b/>
              </w:rPr>
            </w:pPr>
            <w:r>
              <w:rPr>
                <w:b/>
              </w:rPr>
              <w:t>VBECS</w:t>
            </w:r>
            <w:r w:rsidR="00E047E8">
              <w:rPr>
                <w:b/>
              </w:rPr>
              <w:t>*</w:t>
            </w:r>
          </w:p>
        </w:tc>
        <w:tc>
          <w:tcPr>
            <w:tcW w:w="1871" w:type="dxa"/>
            <w:tcBorders>
              <w:top w:val="single" w:sz="4" w:space="0" w:color="auto"/>
              <w:left w:val="single" w:sz="4" w:space="0" w:color="auto"/>
              <w:bottom w:val="single" w:sz="4" w:space="0" w:color="auto"/>
              <w:right w:val="single" w:sz="4" w:space="0" w:color="auto"/>
            </w:tcBorders>
            <w:shd w:val="clear" w:color="auto" w:fill="C0C0C0"/>
          </w:tcPr>
          <w:p w14:paraId="6B946193" w14:textId="77777777" w:rsidR="0012237C" w:rsidRDefault="0012237C" w:rsidP="00084E6B">
            <w:pPr>
              <w:pStyle w:val="TableText"/>
              <w:rPr>
                <w:b/>
              </w:rPr>
            </w:pPr>
            <w:r w:rsidRPr="00CA6E27">
              <w:rPr>
                <w:b/>
              </w:rPr>
              <w:t>VistA</w:t>
            </w:r>
            <w:r w:rsidR="00E047E8">
              <w:rPr>
                <w:rFonts w:cs="Arial"/>
                <w:b/>
              </w:rPr>
              <w:t>†</w:t>
            </w:r>
          </w:p>
        </w:tc>
      </w:tr>
      <w:tr w:rsidR="0012237C" w14:paraId="7FDE63ED" w14:textId="77777777">
        <w:tc>
          <w:tcPr>
            <w:tcW w:w="1870" w:type="dxa"/>
            <w:tcBorders>
              <w:top w:val="single" w:sz="4" w:space="0" w:color="auto"/>
              <w:left w:val="single" w:sz="4" w:space="0" w:color="auto"/>
              <w:bottom w:val="single" w:sz="4" w:space="0" w:color="auto"/>
              <w:right w:val="single" w:sz="4" w:space="0" w:color="auto"/>
            </w:tcBorders>
            <w:shd w:val="clear" w:color="auto" w:fill="FFFFFF"/>
          </w:tcPr>
          <w:p w14:paraId="0BC582E7" w14:textId="77777777" w:rsidR="0012237C" w:rsidRDefault="00E047E8">
            <w:pPr>
              <w:pStyle w:val="TableText"/>
            </w:pPr>
            <w:r>
              <w:t>Anti-P1+P+P(k)</w:t>
            </w:r>
          </w:p>
        </w:tc>
        <w:tc>
          <w:tcPr>
            <w:tcW w:w="1870" w:type="dxa"/>
            <w:tcBorders>
              <w:top w:val="single" w:sz="4" w:space="0" w:color="auto"/>
              <w:left w:val="single" w:sz="4" w:space="0" w:color="auto"/>
              <w:bottom w:val="single" w:sz="4" w:space="0" w:color="auto"/>
              <w:right w:val="single" w:sz="4" w:space="0" w:color="auto"/>
            </w:tcBorders>
            <w:shd w:val="clear" w:color="auto" w:fill="FFFFFF"/>
          </w:tcPr>
          <w:p w14:paraId="333B9FDA" w14:textId="77777777" w:rsidR="0012237C" w:rsidRDefault="0012237C">
            <w:pPr>
              <w:pStyle w:val="TableText"/>
            </w:pPr>
            <w:r>
              <w:t>Anti-PP1</w:t>
            </w:r>
          </w:p>
        </w:tc>
        <w:tc>
          <w:tcPr>
            <w:tcW w:w="1871" w:type="dxa"/>
            <w:tcBorders>
              <w:top w:val="single" w:sz="4" w:space="0" w:color="auto"/>
              <w:left w:val="single" w:sz="4" w:space="0" w:color="auto"/>
              <w:bottom w:val="single" w:sz="4" w:space="0" w:color="auto"/>
              <w:right w:val="single" w:sz="4" w:space="0" w:color="auto"/>
            </w:tcBorders>
            <w:shd w:val="clear" w:color="auto" w:fill="FFFFFF"/>
          </w:tcPr>
          <w:p w14:paraId="1170300F" w14:textId="77777777" w:rsidR="0012237C" w:rsidRDefault="0012237C">
            <w:pPr>
              <w:pStyle w:val="TableText"/>
              <w:rPr>
                <w:rFonts w:eastAsia="Symbol"/>
              </w:rPr>
            </w:pPr>
            <w:r>
              <w:t>P1+P+P(k)</w:t>
            </w:r>
          </w:p>
        </w:tc>
        <w:tc>
          <w:tcPr>
            <w:tcW w:w="1871" w:type="dxa"/>
            <w:tcBorders>
              <w:top w:val="single" w:sz="4" w:space="0" w:color="auto"/>
              <w:left w:val="single" w:sz="4" w:space="0" w:color="auto"/>
              <w:bottom w:val="single" w:sz="4" w:space="0" w:color="auto"/>
              <w:right w:val="single" w:sz="4" w:space="0" w:color="auto"/>
            </w:tcBorders>
            <w:shd w:val="clear" w:color="auto" w:fill="FFFFFF"/>
          </w:tcPr>
          <w:p w14:paraId="17F07C54" w14:textId="77777777" w:rsidR="0012237C" w:rsidRDefault="0012237C">
            <w:pPr>
              <w:pStyle w:val="TableText"/>
              <w:rPr>
                <w:rFonts w:eastAsia="Symbol"/>
              </w:rPr>
            </w:pPr>
            <w:r>
              <w:rPr>
                <w:rFonts w:eastAsia="Symbol"/>
              </w:rPr>
              <w:t>PP1</w:t>
            </w:r>
          </w:p>
        </w:tc>
      </w:tr>
      <w:tr w:rsidR="0012237C" w14:paraId="1048B5C1" w14:textId="77777777">
        <w:tc>
          <w:tcPr>
            <w:tcW w:w="1870" w:type="dxa"/>
            <w:tcBorders>
              <w:top w:val="single" w:sz="4" w:space="0" w:color="auto"/>
              <w:left w:val="single" w:sz="4" w:space="0" w:color="auto"/>
              <w:bottom w:val="single" w:sz="4" w:space="0" w:color="auto"/>
              <w:right w:val="single" w:sz="4" w:space="0" w:color="auto"/>
            </w:tcBorders>
            <w:shd w:val="clear" w:color="auto" w:fill="FFFFFF"/>
          </w:tcPr>
          <w:p w14:paraId="11AC6AE5" w14:textId="77777777" w:rsidR="0012237C" w:rsidRDefault="0012237C">
            <w:pPr>
              <w:pStyle w:val="TableText"/>
            </w:pPr>
            <w:r>
              <w:t>Anti-Pk</w:t>
            </w:r>
          </w:p>
        </w:tc>
        <w:tc>
          <w:tcPr>
            <w:tcW w:w="1870" w:type="dxa"/>
            <w:tcBorders>
              <w:top w:val="single" w:sz="4" w:space="0" w:color="auto"/>
              <w:left w:val="single" w:sz="4" w:space="0" w:color="auto"/>
              <w:bottom w:val="single" w:sz="4" w:space="0" w:color="auto"/>
              <w:right w:val="single" w:sz="4" w:space="0" w:color="auto"/>
            </w:tcBorders>
            <w:shd w:val="clear" w:color="auto" w:fill="FFFFFF"/>
          </w:tcPr>
          <w:p w14:paraId="1E8D86F8" w14:textId="77777777" w:rsidR="0012237C" w:rsidRDefault="0012237C">
            <w:pPr>
              <w:pStyle w:val="TableText"/>
            </w:pPr>
            <w:r>
              <w:t>Anti-p(k)</w:t>
            </w:r>
          </w:p>
        </w:tc>
        <w:tc>
          <w:tcPr>
            <w:tcW w:w="1871" w:type="dxa"/>
            <w:tcBorders>
              <w:top w:val="single" w:sz="4" w:space="0" w:color="auto"/>
              <w:left w:val="single" w:sz="4" w:space="0" w:color="auto"/>
              <w:bottom w:val="single" w:sz="4" w:space="0" w:color="auto"/>
              <w:right w:val="single" w:sz="4" w:space="0" w:color="auto"/>
            </w:tcBorders>
            <w:shd w:val="clear" w:color="auto" w:fill="FFFFFF"/>
          </w:tcPr>
          <w:p w14:paraId="367F9F47" w14:textId="77777777" w:rsidR="0012237C" w:rsidRDefault="0012237C">
            <w:pPr>
              <w:pStyle w:val="TableText"/>
              <w:rPr>
                <w:rFonts w:eastAsia="Symbol"/>
              </w:rPr>
            </w:pPr>
            <w:r>
              <w:t>P(k)</w:t>
            </w:r>
          </w:p>
        </w:tc>
        <w:tc>
          <w:tcPr>
            <w:tcW w:w="1871" w:type="dxa"/>
            <w:tcBorders>
              <w:top w:val="single" w:sz="4" w:space="0" w:color="auto"/>
              <w:left w:val="single" w:sz="4" w:space="0" w:color="auto"/>
              <w:bottom w:val="single" w:sz="4" w:space="0" w:color="auto"/>
              <w:right w:val="single" w:sz="4" w:space="0" w:color="auto"/>
            </w:tcBorders>
            <w:shd w:val="clear" w:color="auto" w:fill="FFFFFF"/>
          </w:tcPr>
          <w:p w14:paraId="590E2FB2" w14:textId="77777777" w:rsidR="0012237C" w:rsidRDefault="0012237C">
            <w:pPr>
              <w:pStyle w:val="TableText"/>
              <w:rPr>
                <w:rFonts w:eastAsia="Symbol"/>
              </w:rPr>
            </w:pPr>
            <w:r>
              <w:t>p(k)</w:t>
            </w:r>
          </w:p>
        </w:tc>
      </w:tr>
      <w:tr w:rsidR="0012237C" w14:paraId="76935528" w14:textId="77777777">
        <w:tc>
          <w:tcPr>
            <w:tcW w:w="1870" w:type="dxa"/>
            <w:tcBorders>
              <w:top w:val="single" w:sz="4" w:space="0" w:color="auto"/>
              <w:left w:val="single" w:sz="4" w:space="0" w:color="auto"/>
              <w:bottom w:val="single" w:sz="4" w:space="0" w:color="auto"/>
              <w:right w:val="single" w:sz="4" w:space="0" w:color="auto"/>
            </w:tcBorders>
            <w:shd w:val="clear" w:color="auto" w:fill="FFFFFF"/>
          </w:tcPr>
          <w:p w14:paraId="50716AC7" w14:textId="77777777" w:rsidR="0012237C" w:rsidRDefault="0012237C">
            <w:pPr>
              <w:pStyle w:val="TableText"/>
            </w:pPr>
            <w:r>
              <w:t>Anti -M, other</w:t>
            </w:r>
          </w:p>
        </w:tc>
        <w:tc>
          <w:tcPr>
            <w:tcW w:w="1870" w:type="dxa"/>
            <w:tcBorders>
              <w:top w:val="single" w:sz="4" w:space="0" w:color="auto"/>
              <w:left w:val="single" w:sz="4" w:space="0" w:color="auto"/>
              <w:bottom w:val="single" w:sz="4" w:space="0" w:color="auto"/>
              <w:right w:val="single" w:sz="4" w:space="0" w:color="auto"/>
            </w:tcBorders>
            <w:shd w:val="clear" w:color="auto" w:fill="FFFFFF"/>
          </w:tcPr>
          <w:p w14:paraId="2A1A40F1" w14:textId="77777777" w:rsidR="0012237C" w:rsidRDefault="0012237C">
            <w:pPr>
              <w:pStyle w:val="TableText"/>
            </w:pPr>
            <w:r>
              <w:t>Anti-M, other</w:t>
            </w:r>
          </w:p>
        </w:tc>
        <w:tc>
          <w:tcPr>
            <w:tcW w:w="1871" w:type="dxa"/>
            <w:tcBorders>
              <w:top w:val="single" w:sz="4" w:space="0" w:color="auto"/>
              <w:left w:val="single" w:sz="4" w:space="0" w:color="auto"/>
              <w:bottom w:val="single" w:sz="4" w:space="0" w:color="auto"/>
              <w:right w:val="single" w:sz="4" w:space="0" w:color="auto"/>
            </w:tcBorders>
            <w:shd w:val="clear" w:color="auto" w:fill="FFFFFF"/>
          </w:tcPr>
          <w:p w14:paraId="4C3A1F90" w14:textId="77777777" w:rsidR="0012237C" w:rsidRDefault="0012237C">
            <w:pPr>
              <w:pStyle w:val="TableText"/>
              <w:rPr>
                <w:szCs w:val="18"/>
              </w:rPr>
            </w:pPr>
            <w:r>
              <w:rPr>
                <w:rFonts w:eastAsia="Symbol"/>
              </w:rPr>
              <w:t>None</w:t>
            </w:r>
          </w:p>
        </w:tc>
        <w:tc>
          <w:tcPr>
            <w:tcW w:w="1871" w:type="dxa"/>
            <w:tcBorders>
              <w:top w:val="single" w:sz="4" w:space="0" w:color="auto"/>
              <w:left w:val="single" w:sz="4" w:space="0" w:color="auto"/>
              <w:bottom w:val="single" w:sz="4" w:space="0" w:color="auto"/>
              <w:right w:val="single" w:sz="4" w:space="0" w:color="auto"/>
            </w:tcBorders>
            <w:shd w:val="clear" w:color="auto" w:fill="FFFFFF"/>
          </w:tcPr>
          <w:p w14:paraId="6CD9B220" w14:textId="77777777" w:rsidR="0012237C" w:rsidRDefault="0012237C">
            <w:pPr>
              <w:pStyle w:val="TableText"/>
            </w:pPr>
            <w:r>
              <w:rPr>
                <w:rFonts w:eastAsia="Symbol"/>
              </w:rPr>
              <w:t>None</w:t>
            </w:r>
          </w:p>
        </w:tc>
      </w:tr>
      <w:tr w:rsidR="0012237C" w14:paraId="1442EEA3" w14:textId="77777777">
        <w:tc>
          <w:tcPr>
            <w:tcW w:w="1870" w:type="dxa"/>
            <w:tcBorders>
              <w:top w:val="single" w:sz="4" w:space="0" w:color="auto"/>
              <w:left w:val="single" w:sz="4" w:space="0" w:color="auto"/>
              <w:bottom w:val="single" w:sz="4" w:space="0" w:color="auto"/>
              <w:right w:val="single" w:sz="4" w:space="0" w:color="auto"/>
            </w:tcBorders>
            <w:shd w:val="clear" w:color="auto" w:fill="FFFFFF"/>
          </w:tcPr>
          <w:p w14:paraId="0D36D027" w14:textId="77777777" w:rsidR="0012237C" w:rsidRDefault="0012237C">
            <w:pPr>
              <w:pStyle w:val="TableText"/>
            </w:pPr>
            <w:r>
              <w:t>Anti-LW</w:t>
            </w:r>
          </w:p>
        </w:tc>
        <w:tc>
          <w:tcPr>
            <w:tcW w:w="1870" w:type="dxa"/>
            <w:tcBorders>
              <w:top w:val="single" w:sz="4" w:space="0" w:color="auto"/>
              <w:left w:val="single" w:sz="4" w:space="0" w:color="auto"/>
              <w:bottom w:val="single" w:sz="4" w:space="0" w:color="auto"/>
              <w:right w:val="single" w:sz="4" w:space="0" w:color="auto"/>
            </w:tcBorders>
            <w:shd w:val="clear" w:color="auto" w:fill="FFFFFF"/>
          </w:tcPr>
          <w:p w14:paraId="0ADC1BF2" w14:textId="77777777" w:rsidR="0012237C" w:rsidRDefault="0012237C">
            <w:pPr>
              <w:pStyle w:val="TableText"/>
            </w:pPr>
            <w:r>
              <w:t>Anti-LW</w:t>
            </w:r>
          </w:p>
        </w:tc>
        <w:tc>
          <w:tcPr>
            <w:tcW w:w="1871" w:type="dxa"/>
            <w:tcBorders>
              <w:top w:val="single" w:sz="4" w:space="0" w:color="auto"/>
              <w:left w:val="single" w:sz="4" w:space="0" w:color="auto"/>
              <w:bottom w:val="single" w:sz="4" w:space="0" w:color="auto"/>
              <w:right w:val="single" w:sz="4" w:space="0" w:color="auto"/>
            </w:tcBorders>
            <w:shd w:val="clear" w:color="auto" w:fill="FFFFFF"/>
          </w:tcPr>
          <w:p w14:paraId="3928DA19" w14:textId="77777777" w:rsidR="0012237C" w:rsidRDefault="0012237C">
            <w:pPr>
              <w:pStyle w:val="TableText"/>
              <w:rPr>
                <w:szCs w:val="18"/>
              </w:rPr>
            </w:pPr>
            <w:r>
              <w:rPr>
                <w:szCs w:val="18"/>
              </w:rPr>
              <w:t>None</w:t>
            </w:r>
          </w:p>
        </w:tc>
        <w:tc>
          <w:tcPr>
            <w:tcW w:w="1871" w:type="dxa"/>
            <w:tcBorders>
              <w:top w:val="single" w:sz="4" w:space="0" w:color="auto"/>
              <w:left w:val="single" w:sz="4" w:space="0" w:color="auto"/>
              <w:bottom w:val="single" w:sz="4" w:space="0" w:color="auto"/>
              <w:right w:val="single" w:sz="4" w:space="0" w:color="auto"/>
            </w:tcBorders>
            <w:shd w:val="clear" w:color="auto" w:fill="FFFFFF"/>
          </w:tcPr>
          <w:p w14:paraId="6F43B9FC" w14:textId="77777777" w:rsidR="0012237C" w:rsidRDefault="0012237C">
            <w:pPr>
              <w:pStyle w:val="TableText"/>
            </w:pPr>
            <w:r>
              <w:t>LW</w:t>
            </w:r>
          </w:p>
        </w:tc>
      </w:tr>
      <w:tr w:rsidR="0012237C" w14:paraId="729BF662" w14:textId="77777777">
        <w:tc>
          <w:tcPr>
            <w:tcW w:w="1870" w:type="dxa"/>
            <w:tcBorders>
              <w:top w:val="single" w:sz="4" w:space="0" w:color="auto"/>
              <w:left w:val="single" w:sz="4" w:space="0" w:color="auto"/>
              <w:bottom w:val="single" w:sz="4" w:space="0" w:color="auto"/>
              <w:right w:val="single" w:sz="4" w:space="0" w:color="auto"/>
            </w:tcBorders>
            <w:shd w:val="clear" w:color="auto" w:fill="FFFFFF"/>
          </w:tcPr>
          <w:p w14:paraId="66C9A0E1" w14:textId="77777777" w:rsidR="0012237C" w:rsidRDefault="0012237C">
            <w:pPr>
              <w:pStyle w:val="TableText"/>
              <w:rPr>
                <w:szCs w:val="18"/>
              </w:rPr>
            </w:pPr>
            <w:r>
              <w:t>Anti-Lu</w:t>
            </w:r>
          </w:p>
        </w:tc>
        <w:tc>
          <w:tcPr>
            <w:tcW w:w="1870" w:type="dxa"/>
            <w:tcBorders>
              <w:top w:val="single" w:sz="4" w:space="0" w:color="auto"/>
              <w:left w:val="single" w:sz="4" w:space="0" w:color="auto"/>
              <w:bottom w:val="single" w:sz="4" w:space="0" w:color="auto"/>
              <w:right w:val="single" w:sz="4" w:space="0" w:color="auto"/>
            </w:tcBorders>
            <w:shd w:val="clear" w:color="auto" w:fill="FFFFFF"/>
          </w:tcPr>
          <w:p w14:paraId="602DC462" w14:textId="77777777" w:rsidR="0012237C" w:rsidRDefault="0012237C">
            <w:pPr>
              <w:pStyle w:val="TableText"/>
              <w:rPr>
                <w:szCs w:val="18"/>
              </w:rPr>
            </w:pPr>
            <w:r>
              <w:t>Anti-Lu</w:t>
            </w:r>
          </w:p>
        </w:tc>
        <w:tc>
          <w:tcPr>
            <w:tcW w:w="1871" w:type="dxa"/>
            <w:tcBorders>
              <w:top w:val="single" w:sz="4" w:space="0" w:color="auto"/>
              <w:left w:val="single" w:sz="4" w:space="0" w:color="auto"/>
              <w:bottom w:val="single" w:sz="4" w:space="0" w:color="auto"/>
              <w:right w:val="single" w:sz="4" w:space="0" w:color="auto"/>
            </w:tcBorders>
            <w:shd w:val="clear" w:color="auto" w:fill="FFFFFF"/>
          </w:tcPr>
          <w:p w14:paraId="56D3CBFA" w14:textId="77777777" w:rsidR="0012237C" w:rsidRDefault="0012237C">
            <w:pPr>
              <w:pStyle w:val="TableText"/>
              <w:rPr>
                <w:szCs w:val="18"/>
              </w:rPr>
            </w:pPr>
            <w:r>
              <w:rPr>
                <w:szCs w:val="18"/>
              </w:rPr>
              <w:t>None</w:t>
            </w:r>
          </w:p>
        </w:tc>
        <w:tc>
          <w:tcPr>
            <w:tcW w:w="1871" w:type="dxa"/>
            <w:tcBorders>
              <w:top w:val="single" w:sz="4" w:space="0" w:color="auto"/>
              <w:left w:val="single" w:sz="4" w:space="0" w:color="auto"/>
              <w:bottom w:val="single" w:sz="4" w:space="0" w:color="auto"/>
              <w:right w:val="single" w:sz="4" w:space="0" w:color="auto"/>
            </w:tcBorders>
            <w:shd w:val="clear" w:color="auto" w:fill="FFFFFF"/>
          </w:tcPr>
          <w:p w14:paraId="164510A3" w14:textId="77777777" w:rsidR="0012237C" w:rsidRDefault="0012237C">
            <w:pPr>
              <w:pStyle w:val="TableText"/>
              <w:rPr>
                <w:szCs w:val="18"/>
              </w:rPr>
            </w:pPr>
            <w:r>
              <w:t>Lu</w:t>
            </w:r>
          </w:p>
        </w:tc>
      </w:tr>
      <w:tr w:rsidR="0012237C" w14:paraId="0ABE422B" w14:textId="77777777">
        <w:tc>
          <w:tcPr>
            <w:tcW w:w="1870" w:type="dxa"/>
            <w:tcBorders>
              <w:top w:val="single" w:sz="4" w:space="0" w:color="auto"/>
              <w:left w:val="single" w:sz="4" w:space="0" w:color="auto"/>
              <w:bottom w:val="single" w:sz="4" w:space="0" w:color="auto"/>
              <w:right w:val="single" w:sz="4" w:space="0" w:color="auto"/>
            </w:tcBorders>
            <w:shd w:val="clear" w:color="auto" w:fill="FFFFFF"/>
          </w:tcPr>
          <w:p w14:paraId="6447FE24" w14:textId="77777777" w:rsidR="0012237C" w:rsidRDefault="0012237C">
            <w:pPr>
              <w:pStyle w:val="TableText"/>
              <w:rPr>
                <w:rFonts w:eastAsia="Symbol"/>
                <w:szCs w:val="18"/>
              </w:rPr>
            </w:pPr>
            <w:r>
              <w:rPr>
                <w:szCs w:val="18"/>
              </w:rPr>
              <w:t>Anti-Le, other</w:t>
            </w:r>
          </w:p>
        </w:tc>
        <w:tc>
          <w:tcPr>
            <w:tcW w:w="1870" w:type="dxa"/>
            <w:tcBorders>
              <w:top w:val="single" w:sz="4" w:space="0" w:color="auto"/>
              <w:left w:val="single" w:sz="4" w:space="0" w:color="auto"/>
              <w:bottom w:val="single" w:sz="4" w:space="0" w:color="auto"/>
              <w:right w:val="single" w:sz="4" w:space="0" w:color="auto"/>
            </w:tcBorders>
            <w:shd w:val="clear" w:color="auto" w:fill="FFFFFF"/>
          </w:tcPr>
          <w:p w14:paraId="38EDA4B0" w14:textId="77777777" w:rsidR="0012237C" w:rsidRDefault="0012237C">
            <w:pPr>
              <w:pStyle w:val="TableText"/>
              <w:rPr>
                <w:szCs w:val="18"/>
              </w:rPr>
            </w:pPr>
            <w:r>
              <w:rPr>
                <w:szCs w:val="18"/>
              </w:rPr>
              <w:t>Anti-Le, other</w:t>
            </w:r>
          </w:p>
        </w:tc>
        <w:tc>
          <w:tcPr>
            <w:tcW w:w="1871" w:type="dxa"/>
            <w:tcBorders>
              <w:top w:val="single" w:sz="4" w:space="0" w:color="auto"/>
              <w:left w:val="single" w:sz="4" w:space="0" w:color="auto"/>
              <w:bottom w:val="single" w:sz="4" w:space="0" w:color="auto"/>
              <w:right w:val="single" w:sz="4" w:space="0" w:color="auto"/>
            </w:tcBorders>
            <w:shd w:val="clear" w:color="auto" w:fill="FFFFFF"/>
          </w:tcPr>
          <w:p w14:paraId="0FD3C636" w14:textId="77777777" w:rsidR="0012237C" w:rsidRDefault="0012237C">
            <w:pPr>
              <w:pStyle w:val="TableText"/>
              <w:rPr>
                <w:rFonts w:eastAsia="Symbol"/>
                <w:szCs w:val="18"/>
              </w:rPr>
            </w:pPr>
            <w:r>
              <w:rPr>
                <w:szCs w:val="18"/>
              </w:rPr>
              <w:t>None</w:t>
            </w:r>
          </w:p>
        </w:tc>
        <w:tc>
          <w:tcPr>
            <w:tcW w:w="1871" w:type="dxa"/>
            <w:tcBorders>
              <w:top w:val="single" w:sz="4" w:space="0" w:color="auto"/>
              <w:left w:val="single" w:sz="4" w:space="0" w:color="auto"/>
              <w:bottom w:val="single" w:sz="4" w:space="0" w:color="auto"/>
              <w:right w:val="single" w:sz="4" w:space="0" w:color="auto"/>
            </w:tcBorders>
            <w:shd w:val="clear" w:color="auto" w:fill="FFFFFF"/>
          </w:tcPr>
          <w:p w14:paraId="4A67CA07" w14:textId="77777777" w:rsidR="0012237C" w:rsidRDefault="0012237C">
            <w:pPr>
              <w:pStyle w:val="TableText"/>
              <w:rPr>
                <w:szCs w:val="18"/>
              </w:rPr>
            </w:pPr>
            <w:r>
              <w:rPr>
                <w:szCs w:val="18"/>
              </w:rPr>
              <w:t>None</w:t>
            </w:r>
          </w:p>
        </w:tc>
      </w:tr>
      <w:tr w:rsidR="0012237C" w14:paraId="28241E5E" w14:textId="77777777">
        <w:tc>
          <w:tcPr>
            <w:tcW w:w="1870" w:type="dxa"/>
            <w:tcBorders>
              <w:top w:val="single" w:sz="4" w:space="0" w:color="auto"/>
              <w:left w:val="single" w:sz="4" w:space="0" w:color="auto"/>
              <w:bottom w:val="single" w:sz="4" w:space="0" w:color="auto"/>
              <w:right w:val="single" w:sz="4" w:space="0" w:color="auto"/>
            </w:tcBorders>
            <w:shd w:val="clear" w:color="auto" w:fill="FFFFFF"/>
          </w:tcPr>
          <w:p w14:paraId="3FFD1402" w14:textId="77777777" w:rsidR="0012237C" w:rsidRDefault="0012237C">
            <w:pPr>
              <w:pStyle w:val="TableText"/>
              <w:rPr>
                <w:rFonts w:eastAsia="Symbol"/>
                <w:szCs w:val="18"/>
              </w:rPr>
            </w:pPr>
            <w:r>
              <w:rPr>
                <w:szCs w:val="18"/>
              </w:rPr>
              <w:t>Anti-N, other</w:t>
            </w:r>
          </w:p>
        </w:tc>
        <w:tc>
          <w:tcPr>
            <w:tcW w:w="1870" w:type="dxa"/>
            <w:tcBorders>
              <w:top w:val="single" w:sz="4" w:space="0" w:color="auto"/>
              <w:left w:val="single" w:sz="4" w:space="0" w:color="auto"/>
              <w:bottom w:val="single" w:sz="4" w:space="0" w:color="auto"/>
              <w:right w:val="single" w:sz="4" w:space="0" w:color="auto"/>
            </w:tcBorders>
            <w:shd w:val="clear" w:color="auto" w:fill="FFFFFF"/>
          </w:tcPr>
          <w:p w14:paraId="6AF566E4" w14:textId="77777777" w:rsidR="0012237C" w:rsidRDefault="0012237C">
            <w:pPr>
              <w:pStyle w:val="TableText"/>
              <w:rPr>
                <w:szCs w:val="18"/>
              </w:rPr>
            </w:pPr>
            <w:r>
              <w:rPr>
                <w:szCs w:val="18"/>
              </w:rPr>
              <w:t>Anti-N, other</w:t>
            </w:r>
          </w:p>
        </w:tc>
        <w:tc>
          <w:tcPr>
            <w:tcW w:w="1871" w:type="dxa"/>
            <w:tcBorders>
              <w:top w:val="single" w:sz="4" w:space="0" w:color="auto"/>
              <w:left w:val="single" w:sz="4" w:space="0" w:color="auto"/>
              <w:bottom w:val="single" w:sz="4" w:space="0" w:color="auto"/>
              <w:right w:val="single" w:sz="4" w:space="0" w:color="auto"/>
            </w:tcBorders>
            <w:shd w:val="clear" w:color="auto" w:fill="FFFFFF"/>
          </w:tcPr>
          <w:p w14:paraId="637934AF" w14:textId="77777777" w:rsidR="0012237C" w:rsidRDefault="0012237C">
            <w:pPr>
              <w:pStyle w:val="TableText"/>
              <w:rPr>
                <w:rFonts w:eastAsia="Symbol"/>
                <w:szCs w:val="18"/>
              </w:rPr>
            </w:pPr>
            <w:r>
              <w:rPr>
                <w:szCs w:val="18"/>
              </w:rPr>
              <w:t>None</w:t>
            </w:r>
          </w:p>
        </w:tc>
        <w:tc>
          <w:tcPr>
            <w:tcW w:w="1871" w:type="dxa"/>
            <w:tcBorders>
              <w:top w:val="single" w:sz="4" w:space="0" w:color="auto"/>
              <w:left w:val="single" w:sz="4" w:space="0" w:color="auto"/>
              <w:bottom w:val="single" w:sz="4" w:space="0" w:color="auto"/>
              <w:right w:val="single" w:sz="4" w:space="0" w:color="auto"/>
            </w:tcBorders>
            <w:shd w:val="clear" w:color="auto" w:fill="FFFFFF"/>
          </w:tcPr>
          <w:p w14:paraId="3BE70128" w14:textId="77777777" w:rsidR="0012237C" w:rsidRDefault="0012237C">
            <w:pPr>
              <w:pStyle w:val="TableText"/>
              <w:rPr>
                <w:szCs w:val="18"/>
              </w:rPr>
            </w:pPr>
            <w:r>
              <w:rPr>
                <w:szCs w:val="18"/>
              </w:rPr>
              <w:t>None</w:t>
            </w:r>
          </w:p>
        </w:tc>
      </w:tr>
      <w:tr w:rsidR="0012237C" w14:paraId="3102E5AE" w14:textId="77777777">
        <w:tc>
          <w:tcPr>
            <w:tcW w:w="1870" w:type="dxa"/>
            <w:tcBorders>
              <w:top w:val="single" w:sz="4" w:space="0" w:color="auto"/>
              <w:left w:val="single" w:sz="4" w:space="0" w:color="auto"/>
              <w:bottom w:val="single" w:sz="4" w:space="0" w:color="auto"/>
              <w:right w:val="single" w:sz="4" w:space="0" w:color="auto"/>
            </w:tcBorders>
            <w:shd w:val="clear" w:color="auto" w:fill="FFFFFF"/>
          </w:tcPr>
          <w:p w14:paraId="0CADD6E4" w14:textId="77777777" w:rsidR="0012237C" w:rsidRDefault="0012237C">
            <w:pPr>
              <w:pStyle w:val="TableText"/>
              <w:rPr>
                <w:rFonts w:eastAsia="Symbol"/>
                <w:szCs w:val="18"/>
              </w:rPr>
            </w:pPr>
            <w:r>
              <w:rPr>
                <w:szCs w:val="18"/>
              </w:rPr>
              <w:t>Anti-I(int)</w:t>
            </w:r>
          </w:p>
        </w:tc>
        <w:tc>
          <w:tcPr>
            <w:tcW w:w="1870" w:type="dxa"/>
            <w:tcBorders>
              <w:top w:val="single" w:sz="4" w:space="0" w:color="auto"/>
              <w:left w:val="single" w:sz="4" w:space="0" w:color="auto"/>
              <w:bottom w:val="single" w:sz="4" w:space="0" w:color="auto"/>
              <w:right w:val="single" w:sz="4" w:space="0" w:color="auto"/>
            </w:tcBorders>
            <w:shd w:val="clear" w:color="auto" w:fill="FFFFFF"/>
          </w:tcPr>
          <w:p w14:paraId="04199B09" w14:textId="77777777" w:rsidR="0012237C" w:rsidRDefault="0012237C">
            <w:pPr>
              <w:pStyle w:val="TableText"/>
              <w:rPr>
                <w:rFonts w:eastAsia="Symbol"/>
                <w:szCs w:val="18"/>
              </w:rPr>
            </w:pPr>
            <w:r>
              <w:rPr>
                <w:szCs w:val="18"/>
              </w:rPr>
              <w:t>Anti-I(int)</w:t>
            </w:r>
          </w:p>
        </w:tc>
        <w:tc>
          <w:tcPr>
            <w:tcW w:w="1871" w:type="dxa"/>
            <w:tcBorders>
              <w:top w:val="single" w:sz="4" w:space="0" w:color="auto"/>
              <w:left w:val="single" w:sz="4" w:space="0" w:color="auto"/>
              <w:bottom w:val="single" w:sz="4" w:space="0" w:color="auto"/>
              <w:right w:val="single" w:sz="4" w:space="0" w:color="auto"/>
            </w:tcBorders>
            <w:shd w:val="clear" w:color="auto" w:fill="FFFFFF"/>
          </w:tcPr>
          <w:p w14:paraId="655D5034" w14:textId="77777777" w:rsidR="0012237C" w:rsidRDefault="0012237C">
            <w:pPr>
              <w:pStyle w:val="TableText"/>
              <w:rPr>
                <w:rFonts w:eastAsia="Symbol"/>
                <w:szCs w:val="18"/>
              </w:rPr>
            </w:pPr>
            <w:r>
              <w:rPr>
                <w:szCs w:val="18"/>
              </w:rPr>
              <w:t>None</w:t>
            </w:r>
          </w:p>
        </w:tc>
        <w:tc>
          <w:tcPr>
            <w:tcW w:w="1871" w:type="dxa"/>
            <w:tcBorders>
              <w:top w:val="single" w:sz="4" w:space="0" w:color="auto"/>
              <w:left w:val="single" w:sz="4" w:space="0" w:color="auto"/>
              <w:bottom w:val="single" w:sz="4" w:space="0" w:color="auto"/>
              <w:right w:val="single" w:sz="4" w:space="0" w:color="auto"/>
            </w:tcBorders>
            <w:shd w:val="clear" w:color="auto" w:fill="FFFFFF"/>
          </w:tcPr>
          <w:p w14:paraId="47DAD3F9" w14:textId="77777777" w:rsidR="0012237C" w:rsidRDefault="0012237C">
            <w:pPr>
              <w:pStyle w:val="TableText"/>
              <w:rPr>
                <w:rFonts w:eastAsia="Symbol"/>
                <w:szCs w:val="18"/>
              </w:rPr>
            </w:pPr>
            <w:r>
              <w:rPr>
                <w:szCs w:val="18"/>
              </w:rPr>
              <w:t>I(int)</w:t>
            </w:r>
          </w:p>
        </w:tc>
      </w:tr>
      <w:tr w:rsidR="0012237C" w14:paraId="48FA9EEA" w14:textId="77777777">
        <w:tc>
          <w:tcPr>
            <w:tcW w:w="1870" w:type="dxa"/>
            <w:tcBorders>
              <w:top w:val="single" w:sz="4" w:space="0" w:color="auto"/>
              <w:left w:val="single" w:sz="4" w:space="0" w:color="auto"/>
              <w:bottom w:val="single" w:sz="4" w:space="0" w:color="auto"/>
              <w:right w:val="single" w:sz="4" w:space="0" w:color="auto"/>
            </w:tcBorders>
            <w:shd w:val="clear" w:color="auto" w:fill="FFFFFF"/>
          </w:tcPr>
          <w:p w14:paraId="5731FF1A" w14:textId="77777777" w:rsidR="0012237C" w:rsidRDefault="0012237C">
            <w:pPr>
              <w:pStyle w:val="TableText"/>
              <w:rPr>
                <w:rFonts w:eastAsia="Symbol"/>
                <w:szCs w:val="18"/>
              </w:rPr>
            </w:pPr>
            <w:r>
              <w:rPr>
                <w:szCs w:val="18"/>
              </w:rPr>
              <w:t>Anti-rhesus (not otherwise specified)</w:t>
            </w:r>
          </w:p>
        </w:tc>
        <w:tc>
          <w:tcPr>
            <w:tcW w:w="1870" w:type="dxa"/>
            <w:tcBorders>
              <w:top w:val="single" w:sz="4" w:space="0" w:color="auto"/>
              <w:left w:val="single" w:sz="4" w:space="0" w:color="auto"/>
              <w:bottom w:val="single" w:sz="4" w:space="0" w:color="auto"/>
              <w:right w:val="single" w:sz="4" w:space="0" w:color="auto"/>
            </w:tcBorders>
            <w:shd w:val="clear" w:color="auto" w:fill="FFFFFF"/>
          </w:tcPr>
          <w:p w14:paraId="34147FCF" w14:textId="77777777" w:rsidR="0012237C" w:rsidRDefault="0012237C">
            <w:pPr>
              <w:pStyle w:val="TableText"/>
              <w:rPr>
                <w:rFonts w:eastAsia="Symbol"/>
                <w:szCs w:val="18"/>
              </w:rPr>
            </w:pPr>
            <w:r>
              <w:rPr>
                <w:szCs w:val="18"/>
              </w:rPr>
              <w:t>Anti-rhesus</w:t>
            </w:r>
            <w:r w:rsidR="00B70069">
              <w:rPr>
                <w:szCs w:val="18"/>
              </w:rPr>
              <w:t xml:space="preserve"> </w:t>
            </w:r>
            <w:r>
              <w:rPr>
                <w:szCs w:val="18"/>
              </w:rPr>
              <w:t>(not otherwise specified)</w:t>
            </w:r>
          </w:p>
        </w:tc>
        <w:tc>
          <w:tcPr>
            <w:tcW w:w="1871" w:type="dxa"/>
            <w:tcBorders>
              <w:top w:val="single" w:sz="4" w:space="0" w:color="auto"/>
              <w:left w:val="single" w:sz="4" w:space="0" w:color="auto"/>
              <w:bottom w:val="single" w:sz="4" w:space="0" w:color="auto"/>
              <w:right w:val="single" w:sz="4" w:space="0" w:color="auto"/>
            </w:tcBorders>
            <w:shd w:val="clear" w:color="auto" w:fill="FFFFFF"/>
          </w:tcPr>
          <w:p w14:paraId="1177E93D" w14:textId="77777777" w:rsidR="0012237C" w:rsidRDefault="0012237C">
            <w:pPr>
              <w:pStyle w:val="TableText"/>
              <w:rPr>
                <w:rFonts w:eastAsia="Symbol"/>
                <w:szCs w:val="18"/>
              </w:rPr>
            </w:pPr>
            <w:r>
              <w:rPr>
                <w:szCs w:val="18"/>
              </w:rPr>
              <w:t>None</w:t>
            </w:r>
          </w:p>
        </w:tc>
        <w:tc>
          <w:tcPr>
            <w:tcW w:w="1871" w:type="dxa"/>
            <w:tcBorders>
              <w:top w:val="single" w:sz="4" w:space="0" w:color="auto"/>
              <w:left w:val="single" w:sz="4" w:space="0" w:color="auto"/>
              <w:bottom w:val="single" w:sz="4" w:space="0" w:color="auto"/>
              <w:right w:val="single" w:sz="4" w:space="0" w:color="auto"/>
            </w:tcBorders>
            <w:shd w:val="clear" w:color="auto" w:fill="FFFFFF"/>
          </w:tcPr>
          <w:p w14:paraId="403B961D" w14:textId="77777777" w:rsidR="0012237C" w:rsidRDefault="0012237C">
            <w:pPr>
              <w:pStyle w:val="TableText"/>
              <w:rPr>
                <w:szCs w:val="18"/>
              </w:rPr>
            </w:pPr>
            <w:r>
              <w:rPr>
                <w:szCs w:val="18"/>
              </w:rPr>
              <w:t>None</w:t>
            </w:r>
          </w:p>
        </w:tc>
      </w:tr>
    </w:tbl>
    <w:p w14:paraId="51AF62AE" w14:textId="77777777" w:rsidR="00DB0629" w:rsidRDefault="00DB0629" w:rsidP="00DB0629">
      <w:pPr>
        <w:pStyle w:val="BodyText"/>
      </w:pPr>
      <w:bookmarkStart w:id="689" w:name="_Toc30328380"/>
      <w:bookmarkStart w:id="690" w:name="_Toc40167869"/>
      <w:bookmarkStart w:id="691" w:name="_Toc91323806"/>
      <w:r>
        <w:t xml:space="preserve">*Specificities written as superscript </w:t>
      </w:r>
      <w:r w:rsidR="00F60E07">
        <w:t>or</w:t>
      </w:r>
      <w:r w:rsidR="00776377">
        <w:t xml:space="preserve"> subscript </w:t>
      </w:r>
      <w:r>
        <w:t xml:space="preserve">letters in blood bank literature are shown as letters enclosed in parentheses in VBECS (the GUI cannot display superscript </w:t>
      </w:r>
      <w:r w:rsidR="00F60E07">
        <w:t>or</w:t>
      </w:r>
      <w:r w:rsidR="00776377">
        <w:t xml:space="preserve"> subscript </w:t>
      </w:r>
      <w:r>
        <w:t>letters). Specificities written as subscript characters in blood bank literature are shown as numbers or letters not enclosed in parentheses.</w:t>
      </w:r>
    </w:p>
    <w:p w14:paraId="506987B9" w14:textId="77777777" w:rsidR="00D7283A" w:rsidRDefault="00E047E8" w:rsidP="00D7283A">
      <w:pPr>
        <w:pStyle w:val="BodyText"/>
      </w:pPr>
      <w:r>
        <w:t>†</w:t>
      </w:r>
      <w:r w:rsidR="00DB0629">
        <w:t xml:space="preserve">Examples of common </w:t>
      </w:r>
      <w:r w:rsidR="00DB0629" w:rsidRPr="00CA6E27">
        <w:rPr>
          <w:bCs/>
        </w:rPr>
        <w:t>VistA</w:t>
      </w:r>
      <w:r w:rsidR="00DB0629">
        <w:t xml:space="preserve"> antibody and antigen terminology. Individual sites may vary. Refer to division-specific mapping documents.</w:t>
      </w:r>
    </w:p>
    <w:p w14:paraId="7B88AE3A" w14:textId="77777777" w:rsidR="002A21AE" w:rsidRDefault="00D7283A" w:rsidP="0054285E">
      <w:pPr>
        <w:pStyle w:val="Heading3"/>
      </w:pPr>
      <w:r>
        <w:br w:type="page"/>
      </w:r>
      <w:bookmarkStart w:id="692" w:name="tables"/>
      <w:bookmarkEnd w:id="692"/>
      <w:r w:rsidR="00966400">
        <w:rPr>
          <w:rFonts w:ascii="Geneva" w:hAnsi="Geneva"/>
          <w:vanish/>
        </w:rPr>
        <w:lastRenderedPageBreak/>
        <w:t xml:space="preserve"> </w:t>
      </w:r>
      <w:r w:rsidR="002A21AE">
        <w:rPr>
          <w:rFonts w:ascii="Geneva" w:hAnsi="Geneva"/>
          <w:vanish/>
        </w:rPr>
        <w:t xml:space="preserve">TT_53.02 </w:t>
      </w:r>
      <w:bookmarkStart w:id="693" w:name="_Toc203765976"/>
      <w:r w:rsidR="002A21AE">
        <w:t>Antibody Screen Test Interpretation</w:t>
      </w:r>
      <w:bookmarkEnd w:id="689"/>
      <w:bookmarkEnd w:id="690"/>
      <w:bookmarkEnd w:id="691"/>
      <w:bookmarkEnd w:id="693"/>
      <w:r w:rsidR="002A21AE">
        <w:fldChar w:fldCharType="begin"/>
      </w:r>
      <w:r w:rsidR="002A21AE">
        <w:instrText xml:space="preserve"> XE </w:instrText>
      </w:r>
      <w:r w:rsidR="00FA7E65">
        <w:instrText>“</w:instrText>
      </w:r>
      <w:r w:rsidR="002A21AE">
        <w:instrText>Tables:Antibody Screen Test Interpretation</w:instrText>
      </w:r>
      <w:r w:rsidR="00FA7E65">
        <w:instrText>”</w:instrText>
      </w:r>
      <w:r w:rsidR="002A21AE">
        <w:instrText xml:space="preserve"> </w:instrText>
      </w:r>
      <w:r w:rsidR="002A21AE">
        <w:fldChar w:fldCharType="end"/>
      </w:r>
      <w:r w:rsidR="002A21AE">
        <w:t xml:space="preserve"> </w:t>
      </w:r>
    </w:p>
    <w:p w14:paraId="4590E819" w14:textId="0EA6D7B4" w:rsidR="002A21AE" w:rsidRDefault="002A21AE" w:rsidP="00FA7E65">
      <w:pPr>
        <w:pStyle w:val="BodyText"/>
      </w:pPr>
      <w:r>
        <w:t xml:space="preserve">For an </w:t>
      </w:r>
      <w:r w:rsidR="008E2E30">
        <w:t>Antibody Screen Test (ABS)</w:t>
      </w:r>
      <w:r w:rsidR="0023261D">
        <w:t xml:space="preserve"> </w:t>
      </w:r>
      <w:r>
        <w:t>to be correctly interpreted, the system must take the row validation (</w:t>
      </w:r>
      <w:r w:rsidR="00EE455E">
        <w:t xml:space="preserve">Table </w:t>
      </w:r>
      <w:r w:rsidR="00EE455E">
        <w:rPr>
          <w:noProof/>
        </w:rPr>
        <w:t>16</w:t>
      </w:r>
      <w:r>
        <w:t>) for each screening cell and test method and determine whether the screening in total is positive</w:t>
      </w:r>
      <w:r w:rsidR="00760B98">
        <w:t xml:space="preserve"> or ne</w:t>
      </w:r>
      <w:r>
        <w:t xml:space="preserve">gative. This table is the input from the Blood Bank Technologist. Interpreting the </w:t>
      </w:r>
      <w:r w:rsidR="008E2E30">
        <w:t>ABS</w:t>
      </w:r>
      <w:r>
        <w:t>: The Blood Bank Technologist does not enter an interpretation for each row/cell of the antibody screen. The technologist enters an interpretation for the combination of screening cells including the autocontrol when tested. The system must correlate the information from the rows in the test, as described in system rules</w:t>
      </w:r>
      <w:r w:rsidR="0047520D">
        <w:t xml:space="preserve"> </w:t>
      </w:r>
      <w:r>
        <w:rPr>
          <w:vanish/>
        </w:rPr>
        <w:t>TT_53.01</w:t>
      </w:r>
      <w:r>
        <w:t xml:space="preserve">, to determine the proper interpretation for the </w:t>
      </w:r>
      <w:r w:rsidR="008E2E30">
        <w:t>ABS</w:t>
      </w:r>
      <w:r>
        <w:t>. Valid interpretations are positive or negative. A technologist may enter an antibody screen comment with the interpretation.</w:t>
      </w:r>
    </w:p>
    <w:p w14:paraId="6324D8D4" w14:textId="77777777" w:rsidR="002A21AE" w:rsidRDefault="002A21AE" w:rsidP="000E3E6B">
      <w:pPr>
        <w:pStyle w:val="BodyText"/>
        <w:ind w:leftChars="120" w:left="288"/>
      </w:pPr>
      <w:r w:rsidRPr="00D1343E">
        <w:rPr>
          <w:rFonts w:ascii="Wingdings 2" w:hAnsi="Wingdings 2" w:cs="Arial"/>
          <w:sz w:val="27"/>
          <w:szCs w:val="27"/>
        </w:rPr>
        <w:t></w:t>
      </w:r>
      <w:r w:rsidRPr="00D1343E">
        <w:rPr>
          <w:rStyle w:val="BodyTextChar"/>
        </w:rPr>
        <w:t xml:space="preserve"> SR 1: Valid interpretation. Update database.</w:t>
      </w:r>
    </w:p>
    <w:p w14:paraId="179F1D60" w14:textId="77777777" w:rsidR="002A21AE" w:rsidRDefault="00D1343E" w:rsidP="000E3E6B">
      <w:pPr>
        <w:pStyle w:val="BodyText"/>
        <w:ind w:leftChars="120" w:left="288"/>
        <w:rPr>
          <w:rStyle w:val="BodyTextChar"/>
        </w:rPr>
      </w:pPr>
      <w:r w:rsidRPr="00D1343E">
        <w:rPr>
          <w:rFonts w:ascii="Wingdings 2" w:hAnsi="Wingdings 2" w:cs="Arial"/>
          <w:sz w:val="27"/>
          <w:szCs w:val="27"/>
        </w:rPr>
        <w:t></w:t>
      </w:r>
      <w:r w:rsidRPr="00D1343E">
        <w:rPr>
          <w:rStyle w:val="BodyTextChar"/>
        </w:rPr>
        <w:t xml:space="preserve"> </w:t>
      </w:r>
      <w:r w:rsidR="002A21AE" w:rsidRPr="00D1343E">
        <w:rPr>
          <w:rStyle w:val="BodyTextChar"/>
        </w:rPr>
        <w:t>SR 2: Warning message. No override. Do not update database at this time.</w:t>
      </w:r>
    </w:p>
    <w:p w14:paraId="4E36B5FB" w14:textId="77777777" w:rsidR="00760B98" w:rsidRDefault="00760B98" w:rsidP="000E3E6B">
      <w:pPr>
        <w:pStyle w:val="BodyText"/>
        <w:ind w:leftChars="120" w:left="288"/>
      </w:pPr>
      <w:r w:rsidRPr="00D1343E">
        <w:rPr>
          <w:rFonts w:ascii="Wingdings 2" w:hAnsi="Wingdings 2" w:cs="Arial"/>
          <w:sz w:val="27"/>
          <w:szCs w:val="27"/>
        </w:rPr>
        <w:t></w:t>
      </w:r>
      <w:r w:rsidRPr="00D1343E">
        <w:rPr>
          <w:rStyle w:val="BodyTextChar"/>
        </w:rPr>
        <w:t xml:space="preserve"> </w:t>
      </w:r>
      <w:r>
        <w:t>SR 3: Valid interpretation. Update database. Collect comment and exception.</w:t>
      </w:r>
    </w:p>
    <w:p w14:paraId="23F02A50" w14:textId="77777777" w:rsidR="002A21AE" w:rsidRDefault="00D1343E" w:rsidP="000E3E6B">
      <w:pPr>
        <w:pStyle w:val="BodyText"/>
        <w:ind w:leftChars="120" w:left="288"/>
        <w:rPr>
          <w:rStyle w:val="BodyTextChar"/>
        </w:rPr>
      </w:pPr>
      <w:r w:rsidRPr="00D1343E">
        <w:rPr>
          <w:rFonts w:ascii="Wingdings 2" w:hAnsi="Wingdings 2" w:cs="Arial"/>
          <w:sz w:val="27"/>
          <w:szCs w:val="27"/>
        </w:rPr>
        <w:t></w:t>
      </w:r>
      <w:r w:rsidRPr="00D1343E">
        <w:rPr>
          <w:rStyle w:val="BodyTextChar"/>
        </w:rPr>
        <w:t xml:space="preserve"> </w:t>
      </w:r>
      <w:r w:rsidR="002A21AE" w:rsidRPr="00D1343E">
        <w:rPr>
          <w:rStyle w:val="BodyTextChar"/>
        </w:rPr>
        <w:t>EM 1: “Interpretation does not match your results.”</w:t>
      </w:r>
    </w:p>
    <w:p w14:paraId="4F940784" w14:textId="77777777" w:rsidR="00FF176A" w:rsidRDefault="00FF176A" w:rsidP="000E3E6B">
      <w:pPr>
        <w:pStyle w:val="BodyText"/>
        <w:ind w:leftChars="120" w:left="288"/>
      </w:pPr>
      <w:r w:rsidRPr="00D1343E">
        <w:rPr>
          <w:rFonts w:ascii="Wingdings 2" w:hAnsi="Wingdings 2" w:cs="Arial"/>
          <w:sz w:val="27"/>
          <w:szCs w:val="27"/>
        </w:rPr>
        <w:t></w:t>
      </w:r>
      <w:r w:rsidRPr="00D1343E">
        <w:rPr>
          <w:rStyle w:val="BodyTextChar"/>
        </w:rPr>
        <w:t xml:space="preserve"> </w:t>
      </w:r>
      <w:r>
        <w:rPr>
          <w:rStyle w:val="BodyTextChar"/>
        </w:rPr>
        <w:t xml:space="preserve">EM 2: </w:t>
      </w:r>
      <w:r w:rsidR="00AD0B01" w:rsidRPr="00AD0B01">
        <w:rPr>
          <w:rStyle w:val="BodyTextChar"/>
        </w:rPr>
        <w:t>“You are attempting to file an invalid antibody screen. This is not allowed.”</w:t>
      </w:r>
    </w:p>
    <w:p w14:paraId="7CF14597" w14:textId="4CA1A6FA" w:rsidR="002A21AE" w:rsidRDefault="002A21AE">
      <w:pPr>
        <w:pStyle w:val="Caption"/>
      </w:pPr>
      <w:bookmarkStart w:id="694" w:name="_Ref126732000"/>
      <w:bookmarkStart w:id="695" w:name="_Toc97523633"/>
      <w:bookmarkStart w:id="696" w:name="_Toc97527603"/>
      <w:bookmarkStart w:id="697" w:name="_Ref126504351"/>
      <w:bookmarkStart w:id="698" w:name="_Ref126504384"/>
      <w:r>
        <w:t xml:space="preserve">Table </w:t>
      </w:r>
      <w:r w:rsidR="004E20BD">
        <w:rPr>
          <w:noProof/>
        </w:rPr>
        <w:fldChar w:fldCharType="begin"/>
      </w:r>
      <w:r w:rsidR="004E20BD">
        <w:rPr>
          <w:noProof/>
        </w:rPr>
        <w:instrText xml:space="preserve"> SEQ Table \* ARABIC </w:instrText>
      </w:r>
      <w:r w:rsidR="004E20BD">
        <w:rPr>
          <w:noProof/>
        </w:rPr>
        <w:fldChar w:fldCharType="separate"/>
      </w:r>
      <w:r w:rsidR="007D1829">
        <w:rPr>
          <w:noProof/>
        </w:rPr>
        <w:t>16</w:t>
      </w:r>
      <w:r w:rsidR="004E20BD">
        <w:rPr>
          <w:noProof/>
        </w:rPr>
        <w:fldChar w:fldCharType="end"/>
      </w:r>
      <w:bookmarkEnd w:id="694"/>
      <w:r>
        <w:t xml:space="preserve">: </w:t>
      </w:r>
      <w:r>
        <w:rPr>
          <w:vanish/>
        </w:rPr>
        <w:t xml:space="preserve">TT_53.02 </w:t>
      </w:r>
      <w:r>
        <w:t>Antibody Screen Test Interpretation</w:t>
      </w:r>
      <w:bookmarkEnd w:id="695"/>
      <w:bookmarkEnd w:id="696"/>
      <w:bookmarkEnd w:id="697"/>
      <w:bookmarkEnd w:id="698"/>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5"/>
        <w:gridCol w:w="2938"/>
        <w:gridCol w:w="1209"/>
        <w:gridCol w:w="1572"/>
        <w:gridCol w:w="1088"/>
        <w:gridCol w:w="1028"/>
      </w:tblGrid>
      <w:tr w:rsidR="00FA5AF0" w:rsidRPr="00FC17CF" w14:paraId="74C28124" w14:textId="77777777">
        <w:trPr>
          <w:cantSplit/>
          <w:tblHeader/>
        </w:trPr>
        <w:tc>
          <w:tcPr>
            <w:tcW w:w="9288" w:type="dxa"/>
            <w:gridSpan w:val="6"/>
            <w:tcBorders>
              <w:bottom w:val="nil"/>
            </w:tcBorders>
            <w:shd w:val="clear" w:color="auto" w:fill="C0C0C0"/>
          </w:tcPr>
          <w:p w14:paraId="4F07AE9C" w14:textId="77777777" w:rsidR="00FA5AF0" w:rsidRPr="00FC17CF" w:rsidRDefault="00FA5AF0" w:rsidP="00CD34EB">
            <w:pPr>
              <w:pStyle w:val="TableText"/>
              <w:rPr>
                <w:b/>
              </w:rPr>
            </w:pPr>
            <w:r w:rsidRPr="00FC17CF">
              <w:rPr>
                <w:b/>
              </w:rPr>
              <w:t>Antibody Screen Test Interpretation</w:t>
            </w:r>
          </w:p>
        </w:tc>
      </w:tr>
      <w:tr w:rsidR="00FA5AF0" w:rsidRPr="00FC17CF" w14:paraId="42B3CA15" w14:textId="77777777">
        <w:trPr>
          <w:cantSplit/>
        </w:trPr>
        <w:tc>
          <w:tcPr>
            <w:tcW w:w="1513" w:type="dxa"/>
            <w:vMerge w:val="restart"/>
            <w:shd w:val="clear" w:color="auto" w:fill="C0C0C0"/>
          </w:tcPr>
          <w:p w14:paraId="64E1468D" w14:textId="77777777" w:rsidR="00FA5AF0" w:rsidRPr="00FC17CF" w:rsidRDefault="00FA5AF0" w:rsidP="00CD34EB">
            <w:pPr>
              <w:pStyle w:val="TableText"/>
              <w:rPr>
                <w:b/>
              </w:rPr>
            </w:pPr>
            <w:r>
              <w:rPr>
                <w:b/>
              </w:rPr>
              <w:t>Antibody Screen I</w:t>
            </w:r>
            <w:r w:rsidRPr="00FC17CF">
              <w:rPr>
                <w:b/>
              </w:rPr>
              <w:t xml:space="preserve">nterpretation: includes all cells tested; might be SC 1 and SC 2 only, or SC 1, 2, 3, or SC 1, 2, 3, 4, as indicated by site parameter in </w:t>
            </w:r>
            <w:r w:rsidR="00C73BF5" w:rsidRPr="00C73BF5">
              <w:rPr>
                <w:b/>
              </w:rPr>
              <w:t>Configure Daily QC</w:t>
            </w:r>
            <w:r w:rsidRPr="00FC17CF">
              <w:rPr>
                <w:b/>
              </w:rPr>
              <w:t>. Method of Tube, Gel, or Solid Phase</w:t>
            </w:r>
          </w:p>
        </w:tc>
        <w:tc>
          <w:tcPr>
            <w:tcW w:w="2915" w:type="dxa"/>
            <w:tcBorders>
              <w:bottom w:val="nil"/>
            </w:tcBorders>
            <w:shd w:val="clear" w:color="auto" w:fill="C0C0C0"/>
            <w:vAlign w:val="bottom"/>
          </w:tcPr>
          <w:p w14:paraId="315C6E75" w14:textId="77777777" w:rsidR="00FA5AF0" w:rsidRPr="00FC17CF" w:rsidRDefault="00FA5AF0" w:rsidP="00CD34EB">
            <w:pPr>
              <w:pStyle w:val="TableText"/>
              <w:rPr>
                <w:b/>
              </w:rPr>
            </w:pPr>
            <w:r w:rsidRPr="00FC17CF">
              <w:rPr>
                <w:b/>
              </w:rPr>
              <w:t>SC 1</w:t>
            </w:r>
            <w:r>
              <w:rPr>
                <w:b/>
              </w:rPr>
              <w:t xml:space="preserve">, </w:t>
            </w:r>
            <w:r w:rsidRPr="00FC17CF">
              <w:rPr>
                <w:b/>
              </w:rPr>
              <w:t>SC 2</w:t>
            </w:r>
            <w:r>
              <w:rPr>
                <w:b/>
              </w:rPr>
              <w:t xml:space="preserve">, </w:t>
            </w:r>
            <w:r w:rsidRPr="00FC17CF">
              <w:rPr>
                <w:b/>
              </w:rPr>
              <w:t>SC 3</w:t>
            </w:r>
            <w:r>
              <w:rPr>
                <w:b/>
              </w:rPr>
              <w:t xml:space="preserve">, </w:t>
            </w:r>
            <w:r w:rsidRPr="00FC17CF">
              <w:rPr>
                <w:b/>
              </w:rPr>
              <w:t>SC 4</w:t>
            </w:r>
            <w:r>
              <w:rPr>
                <w:b/>
              </w:rPr>
              <w:t xml:space="preserve">, </w:t>
            </w:r>
            <w:r w:rsidRPr="00FC17CF">
              <w:rPr>
                <w:b/>
              </w:rPr>
              <w:t>Autocontrol Interpretation</w:t>
            </w:r>
          </w:p>
        </w:tc>
        <w:tc>
          <w:tcPr>
            <w:tcW w:w="1200" w:type="dxa"/>
            <w:tcBorders>
              <w:bottom w:val="nil"/>
            </w:tcBorders>
            <w:shd w:val="clear" w:color="auto" w:fill="C0C0C0"/>
            <w:vAlign w:val="bottom"/>
          </w:tcPr>
          <w:p w14:paraId="4206532C" w14:textId="77777777" w:rsidR="00FA5AF0" w:rsidRPr="00FC17CF" w:rsidRDefault="00FA5AF0" w:rsidP="00CD34EB">
            <w:pPr>
              <w:pStyle w:val="TableText"/>
              <w:rPr>
                <w:b/>
              </w:rPr>
            </w:pPr>
            <w:r w:rsidRPr="00FC17CF">
              <w:rPr>
                <w:b/>
              </w:rPr>
              <w:t>Tech Entry</w:t>
            </w:r>
          </w:p>
        </w:tc>
        <w:tc>
          <w:tcPr>
            <w:tcW w:w="1560" w:type="dxa"/>
            <w:tcBorders>
              <w:bottom w:val="nil"/>
            </w:tcBorders>
            <w:shd w:val="clear" w:color="auto" w:fill="C0C0C0"/>
            <w:vAlign w:val="bottom"/>
          </w:tcPr>
          <w:p w14:paraId="07B1A291" w14:textId="77777777" w:rsidR="00FA5AF0" w:rsidRPr="00FC17CF" w:rsidRDefault="00FA5AF0" w:rsidP="00CD34EB">
            <w:pPr>
              <w:pStyle w:val="TableText"/>
              <w:rPr>
                <w:b/>
              </w:rPr>
            </w:pPr>
            <w:r w:rsidRPr="00FC17CF">
              <w:rPr>
                <w:b/>
              </w:rPr>
              <w:t>System Interpretation of Screening Cell Test</w:t>
            </w:r>
          </w:p>
        </w:tc>
        <w:tc>
          <w:tcPr>
            <w:tcW w:w="1080" w:type="dxa"/>
            <w:tcBorders>
              <w:bottom w:val="nil"/>
            </w:tcBorders>
            <w:shd w:val="clear" w:color="auto" w:fill="C0C0C0"/>
            <w:vAlign w:val="bottom"/>
          </w:tcPr>
          <w:p w14:paraId="44B65783" w14:textId="77777777" w:rsidR="00FA5AF0" w:rsidRPr="00FC17CF" w:rsidRDefault="00FA5AF0" w:rsidP="00CD34EB">
            <w:pPr>
              <w:pStyle w:val="TableText"/>
              <w:rPr>
                <w:b/>
              </w:rPr>
            </w:pPr>
            <w:r w:rsidRPr="00FC17CF">
              <w:rPr>
                <w:b/>
              </w:rPr>
              <w:t>System Response</w:t>
            </w:r>
          </w:p>
        </w:tc>
        <w:tc>
          <w:tcPr>
            <w:tcW w:w="1020" w:type="dxa"/>
            <w:tcBorders>
              <w:bottom w:val="nil"/>
            </w:tcBorders>
            <w:shd w:val="clear" w:color="auto" w:fill="C0C0C0"/>
            <w:vAlign w:val="bottom"/>
          </w:tcPr>
          <w:p w14:paraId="22481755" w14:textId="77777777" w:rsidR="00FA5AF0" w:rsidRPr="00FC17CF" w:rsidRDefault="00FA5AF0" w:rsidP="00CD34EB">
            <w:pPr>
              <w:pStyle w:val="TableText"/>
              <w:rPr>
                <w:b/>
              </w:rPr>
            </w:pPr>
            <w:r w:rsidRPr="00FC17CF">
              <w:rPr>
                <w:b/>
              </w:rPr>
              <w:t>Error Message</w:t>
            </w:r>
          </w:p>
        </w:tc>
      </w:tr>
      <w:tr w:rsidR="00FA5AF0" w14:paraId="12E6752E" w14:textId="77777777">
        <w:trPr>
          <w:cantSplit/>
        </w:trPr>
        <w:tc>
          <w:tcPr>
            <w:tcW w:w="1513" w:type="dxa"/>
            <w:vMerge/>
          </w:tcPr>
          <w:p w14:paraId="065C55EF" w14:textId="77777777" w:rsidR="00FA5AF0" w:rsidRDefault="00FA5AF0" w:rsidP="00FA5AF0">
            <w:pPr>
              <w:pStyle w:val="TableText"/>
            </w:pPr>
          </w:p>
        </w:tc>
        <w:tc>
          <w:tcPr>
            <w:tcW w:w="2915" w:type="dxa"/>
            <w:vMerge w:val="restart"/>
            <w:tcBorders>
              <w:top w:val="single" w:sz="4" w:space="0" w:color="auto"/>
            </w:tcBorders>
          </w:tcPr>
          <w:p w14:paraId="1F595E2F" w14:textId="77777777" w:rsidR="00FA5AF0" w:rsidRPr="00565DBF" w:rsidRDefault="00FA5AF0" w:rsidP="00FA5AF0">
            <w:pPr>
              <w:pStyle w:val="TableText"/>
            </w:pPr>
            <w:r w:rsidRPr="00565DBF">
              <w:t>System interpretation if all individual row validations are negative.</w:t>
            </w:r>
          </w:p>
        </w:tc>
        <w:tc>
          <w:tcPr>
            <w:tcW w:w="1200" w:type="dxa"/>
            <w:tcBorders>
              <w:top w:val="single" w:sz="4" w:space="0" w:color="auto"/>
            </w:tcBorders>
          </w:tcPr>
          <w:p w14:paraId="427EF8EE" w14:textId="77777777" w:rsidR="00FA5AF0" w:rsidRPr="00565DBF" w:rsidRDefault="00FA5AF0" w:rsidP="00FA5AF0">
            <w:pPr>
              <w:pStyle w:val="TableText"/>
            </w:pPr>
            <w:r w:rsidRPr="00565DBF">
              <w:t>Negative</w:t>
            </w:r>
          </w:p>
        </w:tc>
        <w:tc>
          <w:tcPr>
            <w:tcW w:w="1560" w:type="dxa"/>
            <w:tcBorders>
              <w:top w:val="single" w:sz="4" w:space="0" w:color="auto"/>
            </w:tcBorders>
            <w:shd w:val="clear" w:color="auto" w:fill="auto"/>
          </w:tcPr>
          <w:p w14:paraId="1C20A3B8" w14:textId="77777777" w:rsidR="00FA5AF0" w:rsidRPr="00565DBF" w:rsidRDefault="00FA5AF0" w:rsidP="00FA5AF0">
            <w:pPr>
              <w:pStyle w:val="TableText"/>
              <w:rPr>
                <w:szCs w:val="20"/>
              </w:rPr>
            </w:pPr>
            <w:r w:rsidRPr="00565DBF">
              <w:rPr>
                <w:szCs w:val="20"/>
              </w:rPr>
              <w:t>Negative (N)</w:t>
            </w:r>
          </w:p>
        </w:tc>
        <w:tc>
          <w:tcPr>
            <w:tcW w:w="1080" w:type="dxa"/>
            <w:tcBorders>
              <w:top w:val="single" w:sz="4" w:space="0" w:color="auto"/>
            </w:tcBorders>
          </w:tcPr>
          <w:p w14:paraId="2B359AD8" w14:textId="77777777" w:rsidR="00FA5AF0" w:rsidRPr="00565DBF" w:rsidRDefault="00FA5AF0" w:rsidP="00FA5AF0">
            <w:pPr>
              <w:pStyle w:val="TableText"/>
            </w:pPr>
            <w:r w:rsidRPr="00565DBF">
              <w:t>SR 1</w:t>
            </w:r>
          </w:p>
        </w:tc>
        <w:tc>
          <w:tcPr>
            <w:tcW w:w="1020" w:type="dxa"/>
            <w:tcBorders>
              <w:top w:val="single" w:sz="4" w:space="0" w:color="auto"/>
            </w:tcBorders>
          </w:tcPr>
          <w:p w14:paraId="42821182" w14:textId="77777777" w:rsidR="00FA5AF0" w:rsidRPr="00565DBF" w:rsidRDefault="00FA5AF0" w:rsidP="00FA5AF0">
            <w:pPr>
              <w:pStyle w:val="TableText"/>
            </w:pPr>
            <w:r w:rsidRPr="00565DBF">
              <w:t>N/A</w:t>
            </w:r>
          </w:p>
        </w:tc>
      </w:tr>
      <w:tr w:rsidR="00FA5AF0" w14:paraId="5BF3E906" w14:textId="77777777">
        <w:trPr>
          <w:cantSplit/>
        </w:trPr>
        <w:tc>
          <w:tcPr>
            <w:tcW w:w="1513" w:type="dxa"/>
            <w:vMerge/>
          </w:tcPr>
          <w:p w14:paraId="2E2A2E18" w14:textId="77777777" w:rsidR="00FA5AF0" w:rsidRDefault="00FA5AF0" w:rsidP="00FA5AF0">
            <w:pPr>
              <w:pStyle w:val="TableText"/>
            </w:pPr>
          </w:p>
        </w:tc>
        <w:tc>
          <w:tcPr>
            <w:tcW w:w="2915" w:type="dxa"/>
            <w:vMerge/>
          </w:tcPr>
          <w:p w14:paraId="23371408" w14:textId="77777777" w:rsidR="00FA5AF0" w:rsidRPr="00565DBF" w:rsidRDefault="00FA5AF0" w:rsidP="00FA5AF0">
            <w:pPr>
              <w:pStyle w:val="TableText"/>
            </w:pPr>
          </w:p>
        </w:tc>
        <w:tc>
          <w:tcPr>
            <w:tcW w:w="1200" w:type="dxa"/>
          </w:tcPr>
          <w:p w14:paraId="13082B0F" w14:textId="77777777" w:rsidR="00FA5AF0" w:rsidRPr="00565DBF" w:rsidRDefault="00760B98" w:rsidP="00FA5AF0">
            <w:pPr>
              <w:pStyle w:val="TableText"/>
            </w:pPr>
            <w:r>
              <w:t>Positive</w:t>
            </w:r>
          </w:p>
        </w:tc>
        <w:tc>
          <w:tcPr>
            <w:tcW w:w="1560" w:type="dxa"/>
            <w:shd w:val="clear" w:color="auto" w:fill="auto"/>
          </w:tcPr>
          <w:p w14:paraId="3B68A21C" w14:textId="77777777" w:rsidR="00FA5AF0" w:rsidRPr="00565DBF" w:rsidRDefault="00FA5AF0" w:rsidP="00FA5AF0">
            <w:pPr>
              <w:pStyle w:val="TableText"/>
              <w:rPr>
                <w:szCs w:val="20"/>
              </w:rPr>
            </w:pPr>
            <w:r w:rsidRPr="00565DBF">
              <w:rPr>
                <w:szCs w:val="20"/>
              </w:rPr>
              <w:t>Negative (N)</w:t>
            </w:r>
          </w:p>
        </w:tc>
        <w:tc>
          <w:tcPr>
            <w:tcW w:w="1080" w:type="dxa"/>
          </w:tcPr>
          <w:p w14:paraId="381FE6D6" w14:textId="77777777" w:rsidR="00FA5AF0" w:rsidRPr="00565DBF" w:rsidRDefault="00FA5AF0" w:rsidP="00FA5AF0">
            <w:pPr>
              <w:pStyle w:val="TableText"/>
            </w:pPr>
            <w:r w:rsidRPr="00565DBF">
              <w:t>SR 2</w:t>
            </w:r>
          </w:p>
        </w:tc>
        <w:tc>
          <w:tcPr>
            <w:tcW w:w="1020" w:type="dxa"/>
          </w:tcPr>
          <w:p w14:paraId="3AE77157" w14:textId="77777777" w:rsidR="00FA5AF0" w:rsidRPr="00565DBF" w:rsidRDefault="00FA5AF0" w:rsidP="00FA5AF0">
            <w:pPr>
              <w:pStyle w:val="TableText"/>
            </w:pPr>
            <w:r w:rsidRPr="00565DBF">
              <w:t>EM 1</w:t>
            </w:r>
          </w:p>
        </w:tc>
      </w:tr>
      <w:tr w:rsidR="00FA5AF0" w14:paraId="20163560" w14:textId="77777777">
        <w:trPr>
          <w:cantSplit/>
        </w:trPr>
        <w:tc>
          <w:tcPr>
            <w:tcW w:w="1513" w:type="dxa"/>
            <w:vMerge/>
          </w:tcPr>
          <w:p w14:paraId="373F83E4" w14:textId="77777777" w:rsidR="00FA5AF0" w:rsidRDefault="00FA5AF0" w:rsidP="00FA5AF0">
            <w:pPr>
              <w:pStyle w:val="TableText"/>
            </w:pPr>
          </w:p>
        </w:tc>
        <w:tc>
          <w:tcPr>
            <w:tcW w:w="2915" w:type="dxa"/>
            <w:tcBorders>
              <w:top w:val="single" w:sz="4" w:space="0" w:color="auto"/>
            </w:tcBorders>
          </w:tcPr>
          <w:p w14:paraId="1AB38D35" w14:textId="77777777" w:rsidR="00FA5AF0" w:rsidRPr="00565DBF" w:rsidRDefault="00FA5AF0" w:rsidP="00FA5AF0">
            <w:pPr>
              <w:pStyle w:val="TableText"/>
            </w:pPr>
            <w:r w:rsidRPr="00565DBF">
              <w:t xml:space="preserve">System interpretation if all individual row validations are negative and indicates that a comment is required. </w:t>
            </w:r>
          </w:p>
        </w:tc>
        <w:tc>
          <w:tcPr>
            <w:tcW w:w="1200" w:type="dxa"/>
            <w:tcBorders>
              <w:top w:val="single" w:sz="4" w:space="0" w:color="auto"/>
            </w:tcBorders>
          </w:tcPr>
          <w:p w14:paraId="753CF9C0" w14:textId="77777777" w:rsidR="00FA5AF0" w:rsidRPr="00565DBF" w:rsidRDefault="00FA5AF0" w:rsidP="00FA5AF0">
            <w:pPr>
              <w:pStyle w:val="TableText"/>
            </w:pPr>
            <w:r w:rsidRPr="00565DBF">
              <w:t>Negative</w:t>
            </w:r>
          </w:p>
        </w:tc>
        <w:tc>
          <w:tcPr>
            <w:tcW w:w="1560" w:type="dxa"/>
            <w:tcBorders>
              <w:top w:val="single" w:sz="4" w:space="0" w:color="auto"/>
            </w:tcBorders>
          </w:tcPr>
          <w:p w14:paraId="3F46303D" w14:textId="77777777" w:rsidR="00FA5AF0" w:rsidRPr="00565DBF" w:rsidRDefault="00FA5AF0" w:rsidP="00FA5AF0">
            <w:pPr>
              <w:pStyle w:val="TableText"/>
              <w:rPr>
                <w:szCs w:val="20"/>
              </w:rPr>
            </w:pPr>
            <w:r w:rsidRPr="00565DBF">
              <w:rPr>
                <w:szCs w:val="16"/>
              </w:rPr>
              <w:t>Negative (N</w:t>
            </w:r>
            <w:r w:rsidRPr="00565DBF">
              <w:rPr>
                <w:szCs w:val="20"/>
              </w:rPr>
              <w:t>)</w:t>
            </w:r>
          </w:p>
        </w:tc>
        <w:tc>
          <w:tcPr>
            <w:tcW w:w="1080" w:type="dxa"/>
            <w:tcBorders>
              <w:top w:val="single" w:sz="4" w:space="0" w:color="auto"/>
            </w:tcBorders>
          </w:tcPr>
          <w:p w14:paraId="02B566CF" w14:textId="77777777" w:rsidR="00FA5AF0" w:rsidRPr="00565DBF" w:rsidRDefault="00FA5AF0" w:rsidP="00FA5AF0">
            <w:pPr>
              <w:pStyle w:val="TableText"/>
            </w:pPr>
            <w:r w:rsidRPr="00565DBF">
              <w:t>SR 3</w:t>
            </w:r>
          </w:p>
        </w:tc>
        <w:tc>
          <w:tcPr>
            <w:tcW w:w="1020" w:type="dxa"/>
            <w:tcBorders>
              <w:top w:val="single" w:sz="4" w:space="0" w:color="auto"/>
            </w:tcBorders>
          </w:tcPr>
          <w:p w14:paraId="0435D417" w14:textId="77777777" w:rsidR="00FA5AF0" w:rsidRPr="00565DBF" w:rsidRDefault="00604046" w:rsidP="00FA5AF0">
            <w:pPr>
              <w:pStyle w:val="TableText"/>
            </w:pPr>
            <w:r>
              <w:t>N/A</w:t>
            </w:r>
          </w:p>
        </w:tc>
      </w:tr>
      <w:tr w:rsidR="00FA5AF0" w14:paraId="2C4831BF" w14:textId="77777777">
        <w:trPr>
          <w:cantSplit/>
        </w:trPr>
        <w:tc>
          <w:tcPr>
            <w:tcW w:w="1513" w:type="dxa"/>
            <w:vMerge/>
          </w:tcPr>
          <w:p w14:paraId="0F0A6522" w14:textId="77777777" w:rsidR="00FA5AF0" w:rsidRDefault="00FA5AF0" w:rsidP="00FA5AF0">
            <w:pPr>
              <w:pStyle w:val="TableText"/>
            </w:pPr>
          </w:p>
        </w:tc>
        <w:tc>
          <w:tcPr>
            <w:tcW w:w="2915" w:type="dxa"/>
            <w:vMerge w:val="restart"/>
            <w:tcBorders>
              <w:top w:val="single" w:sz="4" w:space="0" w:color="auto"/>
            </w:tcBorders>
          </w:tcPr>
          <w:p w14:paraId="1CD67599" w14:textId="77777777" w:rsidR="00FA5AF0" w:rsidRPr="00565DBF" w:rsidRDefault="00FA5AF0" w:rsidP="00FA5AF0">
            <w:pPr>
              <w:pStyle w:val="TableText"/>
            </w:pPr>
            <w:r w:rsidRPr="00565DBF">
              <w:t>System interpretation if one, several, or all rows are positive (P).</w:t>
            </w:r>
          </w:p>
        </w:tc>
        <w:tc>
          <w:tcPr>
            <w:tcW w:w="1200" w:type="dxa"/>
            <w:tcBorders>
              <w:top w:val="single" w:sz="4" w:space="0" w:color="auto"/>
            </w:tcBorders>
          </w:tcPr>
          <w:p w14:paraId="6A6A3F2A" w14:textId="77777777" w:rsidR="00FA5AF0" w:rsidRPr="00565DBF" w:rsidRDefault="00FA5AF0" w:rsidP="00FA5AF0">
            <w:pPr>
              <w:pStyle w:val="TableText"/>
            </w:pPr>
            <w:r w:rsidRPr="00565DBF">
              <w:t>Positive</w:t>
            </w:r>
          </w:p>
        </w:tc>
        <w:tc>
          <w:tcPr>
            <w:tcW w:w="1560" w:type="dxa"/>
            <w:tcBorders>
              <w:top w:val="single" w:sz="4" w:space="0" w:color="auto"/>
            </w:tcBorders>
            <w:shd w:val="clear" w:color="auto" w:fill="auto"/>
          </w:tcPr>
          <w:p w14:paraId="090628E2" w14:textId="77777777" w:rsidR="00FA5AF0" w:rsidRPr="00565DBF" w:rsidRDefault="00FA5AF0" w:rsidP="00FA5AF0">
            <w:pPr>
              <w:pStyle w:val="TableText"/>
              <w:rPr>
                <w:szCs w:val="20"/>
              </w:rPr>
            </w:pPr>
            <w:r w:rsidRPr="00565DBF">
              <w:rPr>
                <w:szCs w:val="20"/>
              </w:rPr>
              <w:t>Positive (P)</w:t>
            </w:r>
          </w:p>
        </w:tc>
        <w:tc>
          <w:tcPr>
            <w:tcW w:w="1080" w:type="dxa"/>
            <w:tcBorders>
              <w:top w:val="single" w:sz="4" w:space="0" w:color="auto"/>
            </w:tcBorders>
          </w:tcPr>
          <w:p w14:paraId="4C5B1036" w14:textId="77777777" w:rsidR="00FA5AF0" w:rsidRPr="00565DBF" w:rsidRDefault="00FA5AF0" w:rsidP="00FA5AF0">
            <w:pPr>
              <w:pStyle w:val="TableText"/>
            </w:pPr>
            <w:r w:rsidRPr="00565DBF">
              <w:t>SR 1</w:t>
            </w:r>
          </w:p>
        </w:tc>
        <w:tc>
          <w:tcPr>
            <w:tcW w:w="1020" w:type="dxa"/>
            <w:tcBorders>
              <w:top w:val="single" w:sz="4" w:space="0" w:color="auto"/>
            </w:tcBorders>
          </w:tcPr>
          <w:p w14:paraId="5C89C49A" w14:textId="77777777" w:rsidR="00FA5AF0" w:rsidRPr="00565DBF" w:rsidRDefault="00FA5AF0" w:rsidP="00FA5AF0">
            <w:pPr>
              <w:pStyle w:val="TableText"/>
            </w:pPr>
            <w:r w:rsidRPr="00565DBF">
              <w:t>N/A</w:t>
            </w:r>
          </w:p>
        </w:tc>
      </w:tr>
      <w:tr w:rsidR="00FA5AF0" w14:paraId="47D2DA84" w14:textId="77777777">
        <w:trPr>
          <w:cantSplit/>
        </w:trPr>
        <w:tc>
          <w:tcPr>
            <w:tcW w:w="1513" w:type="dxa"/>
            <w:vMerge/>
          </w:tcPr>
          <w:p w14:paraId="68A93225" w14:textId="77777777" w:rsidR="00FA5AF0" w:rsidRDefault="00FA5AF0" w:rsidP="00FA5AF0">
            <w:pPr>
              <w:pStyle w:val="TableText"/>
            </w:pPr>
          </w:p>
        </w:tc>
        <w:tc>
          <w:tcPr>
            <w:tcW w:w="2915" w:type="dxa"/>
            <w:vMerge/>
          </w:tcPr>
          <w:p w14:paraId="3DF59367" w14:textId="77777777" w:rsidR="00FA5AF0" w:rsidRPr="00565DBF" w:rsidRDefault="00FA5AF0" w:rsidP="00FA5AF0">
            <w:pPr>
              <w:pStyle w:val="TableText"/>
            </w:pPr>
          </w:p>
        </w:tc>
        <w:tc>
          <w:tcPr>
            <w:tcW w:w="1200" w:type="dxa"/>
          </w:tcPr>
          <w:p w14:paraId="1124A7B8" w14:textId="77777777" w:rsidR="00FA5AF0" w:rsidRPr="00565DBF" w:rsidRDefault="00FA5AF0" w:rsidP="00FA5AF0">
            <w:pPr>
              <w:pStyle w:val="TableText"/>
            </w:pPr>
            <w:r w:rsidRPr="00565DBF">
              <w:t>Negative</w:t>
            </w:r>
          </w:p>
        </w:tc>
        <w:tc>
          <w:tcPr>
            <w:tcW w:w="1560" w:type="dxa"/>
            <w:shd w:val="clear" w:color="auto" w:fill="auto"/>
          </w:tcPr>
          <w:p w14:paraId="4642F464" w14:textId="77777777" w:rsidR="00FA5AF0" w:rsidRPr="00565DBF" w:rsidRDefault="00FA5AF0" w:rsidP="00FA5AF0">
            <w:pPr>
              <w:pStyle w:val="TableText"/>
              <w:rPr>
                <w:szCs w:val="20"/>
              </w:rPr>
            </w:pPr>
            <w:r w:rsidRPr="00565DBF">
              <w:rPr>
                <w:szCs w:val="20"/>
              </w:rPr>
              <w:t>Positive (P)</w:t>
            </w:r>
          </w:p>
        </w:tc>
        <w:tc>
          <w:tcPr>
            <w:tcW w:w="1080" w:type="dxa"/>
          </w:tcPr>
          <w:p w14:paraId="11A68329" w14:textId="77777777" w:rsidR="00FA5AF0" w:rsidRPr="00565DBF" w:rsidRDefault="00FA5AF0" w:rsidP="00FA5AF0">
            <w:pPr>
              <w:pStyle w:val="TableText"/>
            </w:pPr>
            <w:r w:rsidRPr="00565DBF">
              <w:t>SR 2</w:t>
            </w:r>
          </w:p>
        </w:tc>
        <w:tc>
          <w:tcPr>
            <w:tcW w:w="1020" w:type="dxa"/>
          </w:tcPr>
          <w:p w14:paraId="3C0285C6" w14:textId="77777777" w:rsidR="00FA5AF0" w:rsidRPr="00565DBF" w:rsidRDefault="00FA5AF0" w:rsidP="00FA5AF0">
            <w:pPr>
              <w:pStyle w:val="TableText"/>
            </w:pPr>
            <w:r w:rsidRPr="00565DBF">
              <w:t>EM 1</w:t>
            </w:r>
          </w:p>
        </w:tc>
      </w:tr>
      <w:tr w:rsidR="00FA5AF0" w14:paraId="2C243086" w14:textId="77777777">
        <w:trPr>
          <w:cantSplit/>
        </w:trPr>
        <w:tc>
          <w:tcPr>
            <w:tcW w:w="1513" w:type="dxa"/>
            <w:vMerge/>
          </w:tcPr>
          <w:p w14:paraId="7F15CEC5" w14:textId="77777777" w:rsidR="00FA5AF0" w:rsidRDefault="00FA5AF0" w:rsidP="00FA5AF0">
            <w:pPr>
              <w:pStyle w:val="TableText"/>
            </w:pPr>
          </w:p>
        </w:tc>
        <w:tc>
          <w:tcPr>
            <w:tcW w:w="2915" w:type="dxa"/>
          </w:tcPr>
          <w:p w14:paraId="02AA4D16" w14:textId="77777777" w:rsidR="00FA5AF0" w:rsidRPr="00565DBF" w:rsidRDefault="00FA5AF0" w:rsidP="00FA5AF0">
            <w:pPr>
              <w:pStyle w:val="TableText"/>
            </w:pPr>
            <w:r w:rsidRPr="00565DBF">
              <w:t>System interpretation if one, several, or all rows are positive (P) and indicates that a comment is required.</w:t>
            </w:r>
          </w:p>
        </w:tc>
        <w:tc>
          <w:tcPr>
            <w:tcW w:w="1200" w:type="dxa"/>
          </w:tcPr>
          <w:p w14:paraId="5A5BFFA9" w14:textId="77777777" w:rsidR="00FA5AF0" w:rsidRPr="00565DBF" w:rsidRDefault="00FA5AF0" w:rsidP="00FA5AF0">
            <w:pPr>
              <w:pStyle w:val="TableText"/>
              <w:rPr>
                <w:szCs w:val="16"/>
              </w:rPr>
            </w:pPr>
            <w:r w:rsidRPr="00565DBF">
              <w:rPr>
                <w:szCs w:val="16"/>
              </w:rPr>
              <w:t>Positive</w:t>
            </w:r>
          </w:p>
        </w:tc>
        <w:tc>
          <w:tcPr>
            <w:tcW w:w="1560" w:type="dxa"/>
          </w:tcPr>
          <w:p w14:paraId="166BD8DB" w14:textId="77777777" w:rsidR="00FA5AF0" w:rsidRPr="00565DBF" w:rsidRDefault="00FA5AF0" w:rsidP="00FA5AF0">
            <w:pPr>
              <w:pStyle w:val="TableText"/>
              <w:rPr>
                <w:szCs w:val="16"/>
              </w:rPr>
            </w:pPr>
            <w:r w:rsidRPr="00565DBF">
              <w:rPr>
                <w:szCs w:val="16"/>
              </w:rPr>
              <w:t>Positive (P)</w:t>
            </w:r>
          </w:p>
        </w:tc>
        <w:tc>
          <w:tcPr>
            <w:tcW w:w="1080" w:type="dxa"/>
          </w:tcPr>
          <w:p w14:paraId="426B0799" w14:textId="77777777" w:rsidR="00FA5AF0" w:rsidRPr="00565DBF" w:rsidRDefault="00FA5AF0" w:rsidP="00FA5AF0">
            <w:pPr>
              <w:pStyle w:val="TableText"/>
            </w:pPr>
            <w:r w:rsidRPr="00565DBF">
              <w:t>SR 3</w:t>
            </w:r>
          </w:p>
        </w:tc>
        <w:tc>
          <w:tcPr>
            <w:tcW w:w="1020" w:type="dxa"/>
          </w:tcPr>
          <w:p w14:paraId="1F0F61B5" w14:textId="77777777" w:rsidR="00FA5AF0" w:rsidRPr="00565DBF" w:rsidRDefault="00CB127B" w:rsidP="00FA5AF0">
            <w:pPr>
              <w:pStyle w:val="TableText"/>
            </w:pPr>
            <w:r w:rsidRPr="00565DBF">
              <w:t>N/A</w:t>
            </w:r>
          </w:p>
        </w:tc>
      </w:tr>
      <w:tr w:rsidR="00FA5AF0" w14:paraId="09CBF01C" w14:textId="77777777">
        <w:trPr>
          <w:cantSplit/>
        </w:trPr>
        <w:tc>
          <w:tcPr>
            <w:tcW w:w="1513" w:type="dxa"/>
            <w:vMerge/>
          </w:tcPr>
          <w:p w14:paraId="0366615F" w14:textId="77777777" w:rsidR="00FA5AF0" w:rsidRDefault="00FA5AF0" w:rsidP="00FA5AF0">
            <w:pPr>
              <w:pStyle w:val="TableText"/>
            </w:pPr>
          </w:p>
        </w:tc>
        <w:tc>
          <w:tcPr>
            <w:tcW w:w="2915" w:type="dxa"/>
          </w:tcPr>
          <w:p w14:paraId="09B22114" w14:textId="77777777" w:rsidR="00FA5AF0" w:rsidRPr="00565DBF" w:rsidRDefault="00FA5AF0" w:rsidP="00FA5AF0">
            <w:pPr>
              <w:pStyle w:val="TableText"/>
            </w:pPr>
            <w:r w:rsidRPr="00565DBF">
              <w:t>System interpretation if one, several, or all rows are invalid (I).</w:t>
            </w:r>
          </w:p>
        </w:tc>
        <w:tc>
          <w:tcPr>
            <w:tcW w:w="1200" w:type="dxa"/>
          </w:tcPr>
          <w:p w14:paraId="11ABAC26" w14:textId="77777777" w:rsidR="00FA5AF0" w:rsidRPr="00565DBF" w:rsidRDefault="00FA5AF0" w:rsidP="00FA5AF0">
            <w:pPr>
              <w:pStyle w:val="TableText"/>
            </w:pPr>
            <w:r w:rsidRPr="00565DBF">
              <w:t>Positive or Negative</w:t>
            </w:r>
          </w:p>
        </w:tc>
        <w:tc>
          <w:tcPr>
            <w:tcW w:w="1560" w:type="dxa"/>
          </w:tcPr>
          <w:p w14:paraId="01F7E3E8" w14:textId="77777777" w:rsidR="00FA5AF0" w:rsidRPr="00565DBF" w:rsidRDefault="00FA5AF0" w:rsidP="00FA5AF0">
            <w:pPr>
              <w:pStyle w:val="TableText"/>
              <w:rPr>
                <w:szCs w:val="20"/>
              </w:rPr>
            </w:pPr>
            <w:r w:rsidRPr="00565DBF">
              <w:rPr>
                <w:szCs w:val="20"/>
              </w:rPr>
              <w:t>Invalid (I)</w:t>
            </w:r>
          </w:p>
        </w:tc>
        <w:tc>
          <w:tcPr>
            <w:tcW w:w="1080" w:type="dxa"/>
          </w:tcPr>
          <w:p w14:paraId="1DEEF44E" w14:textId="77777777" w:rsidR="00FA5AF0" w:rsidRPr="00565DBF" w:rsidRDefault="00FA5AF0" w:rsidP="00FA5AF0">
            <w:pPr>
              <w:pStyle w:val="TableText"/>
            </w:pPr>
            <w:r w:rsidRPr="00565DBF">
              <w:t>SR 2</w:t>
            </w:r>
          </w:p>
        </w:tc>
        <w:tc>
          <w:tcPr>
            <w:tcW w:w="1020" w:type="dxa"/>
          </w:tcPr>
          <w:p w14:paraId="731F1094" w14:textId="77777777" w:rsidR="00FA5AF0" w:rsidRPr="00565DBF" w:rsidRDefault="00FA5AF0" w:rsidP="00FA5AF0">
            <w:pPr>
              <w:pStyle w:val="TableText"/>
            </w:pPr>
            <w:r w:rsidRPr="00565DBF">
              <w:t>EM2</w:t>
            </w:r>
          </w:p>
        </w:tc>
      </w:tr>
    </w:tbl>
    <w:p w14:paraId="6FC71CD7" w14:textId="0F71FD94" w:rsidR="001200B8" w:rsidRPr="001200B8" w:rsidRDefault="001200B8" w:rsidP="001200B8">
      <w:pPr>
        <w:pStyle w:val="Heading3"/>
      </w:pPr>
      <w:r>
        <w:rPr>
          <w:rFonts w:ascii="Geneva" w:hAnsi="Geneva"/>
          <w:vanish/>
        </w:rPr>
        <w:br w:type="page"/>
        <w:t xml:space="preserve">PT_31.01 </w:t>
      </w:r>
      <w:bookmarkStart w:id="699" w:name="_Toc203765977"/>
      <w:r>
        <w:t>Canned Comment Category Types and Text</w:t>
      </w:r>
      <w:bookmarkEnd w:id="699"/>
    </w:p>
    <w:p w14:paraId="44AA4690" w14:textId="65BEA0FE" w:rsidR="00CE2820" w:rsidRDefault="002A21AE" w:rsidP="001200B8">
      <w:pPr>
        <w:pStyle w:val="BodyText"/>
        <w:keepNext/>
      </w:pPr>
      <w:r>
        <w:t xml:space="preserve">Canned comments are defined comments that can be inserted in a record during execution of a variety of functions. The canned comments available in a function are restricted to the category type associated with that function. </w:t>
      </w:r>
      <w:r w:rsidR="00EE455E">
        <w:t xml:space="preserve">Table </w:t>
      </w:r>
      <w:r w:rsidR="00EE455E">
        <w:rPr>
          <w:noProof/>
        </w:rPr>
        <w:t>17</w:t>
      </w:r>
      <w:r>
        <w:t xml:space="preserve"> lists the category types available when defining canned comments.</w:t>
      </w:r>
    </w:p>
    <w:p w14:paraId="5361CFDD" w14:textId="17DCDF98" w:rsidR="0077267A" w:rsidRDefault="002A21AE">
      <w:pPr>
        <w:pStyle w:val="Caption"/>
      </w:pPr>
      <w:bookmarkStart w:id="700" w:name="_Ref126732112"/>
      <w:bookmarkStart w:id="701" w:name="_Toc97523634"/>
      <w:bookmarkStart w:id="702" w:name="_Toc97527604"/>
      <w:bookmarkStart w:id="703" w:name="_Ref126484498"/>
      <w:r>
        <w:t xml:space="preserve">Table </w:t>
      </w:r>
      <w:r w:rsidR="004E20BD">
        <w:rPr>
          <w:noProof/>
        </w:rPr>
        <w:fldChar w:fldCharType="begin"/>
      </w:r>
      <w:r w:rsidR="004E20BD">
        <w:rPr>
          <w:noProof/>
        </w:rPr>
        <w:instrText xml:space="preserve"> SEQ Table \* ARABIC </w:instrText>
      </w:r>
      <w:r w:rsidR="004E20BD">
        <w:rPr>
          <w:noProof/>
        </w:rPr>
        <w:fldChar w:fldCharType="separate"/>
      </w:r>
      <w:r w:rsidR="007D1829">
        <w:rPr>
          <w:noProof/>
        </w:rPr>
        <w:t>17</w:t>
      </w:r>
      <w:r w:rsidR="004E20BD">
        <w:rPr>
          <w:noProof/>
        </w:rPr>
        <w:fldChar w:fldCharType="end"/>
      </w:r>
      <w:bookmarkEnd w:id="700"/>
      <w:r>
        <w:t xml:space="preserve">: </w:t>
      </w:r>
      <w:r>
        <w:rPr>
          <w:vanish/>
        </w:rPr>
        <w:t xml:space="preserve">PT_31.01 </w:t>
      </w:r>
      <w:r>
        <w:t xml:space="preserve">Canned Comment Category Types and </w:t>
      </w:r>
      <w:r w:rsidR="004F2549">
        <w:t xml:space="preserve">Message </w:t>
      </w:r>
      <w:r>
        <w:t>Text</w:t>
      </w:r>
      <w:bookmarkEnd w:id="701"/>
      <w:bookmarkEnd w:id="702"/>
      <w:bookmarkEnd w:id="703"/>
      <w:r w:rsidR="00562075">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68"/>
        <w:gridCol w:w="5490"/>
      </w:tblGrid>
      <w:tr w:rsidR="00CE2820" w:rsidRPr="00575988" w14:paraId="16569F1C" w14:textId="77777777" w:rsidTr="00CE2820">
        <w:trPr>
          <w:cantSplit/>
          <w:tblHeader/>
        </w:trPr>
        <w:tc>
          <w:tcPr>
            <w:tcW w:w="3168" w:type="dxa"/>
            <w:shd w:val="pct25" w:color="auto" w:fill="auto"/>
          </w:tcPr>
          <w:p w14:paraId="6A702B0C" w14:textId="77777777" w:rsidR="00CE2820" w:rsidRPr="00CE2820" w:rsidRDefault="00562075" w:rsidP="00CA1F44">
            <w:pPr>
              <w:pStyle w:val="Caption"/>
              <w:keepNext w:val="0"/>
              <w:spacing w:before="0" w:after="0"/>
              <w:rPr>
                <w:rFonts w:ascii="Arial" w:hAnsi="Arial" w:cs="Arial"/>
                <w:sz w:val="18"/>
                <w:szCs w:val="18"/>
              </w:rPr>
            </w:pPr>
            <w:r w:rsidRPr="00CE2820">
              <w:rPr>
                <w:rFonts w:ascii="Arial" w:hAnsi="Arial" w:cs="Arial"/>
                <w:sz w:val="18"/>
                <w:szCs w:val="18"/>
              </w:rPr>
              <w:fldChar w:fldCharType="begin"/>
            </w:r>
            <w:r w:rsidRPr="00CE2820">
              <w:rPr>
                <w:rFonts w:ascii="Arial" w:hAnsi="Arial" w:cs="Arial"/>
                <w:sz w:val="18"/>
                <w:szCs w:val="18"/>
              </w:rPr>
              <w:instrText xml:space="preserve"> XE “Tables:Canned Comment Category Types and Text” </w:instrText>
            </w:r>
            <w:r w:rsidRPr="00CE2820">
              <w:rPr>
                <w:rFonts w:ascii="Arial" w:hAnsi="Arial" w:cs="Arial"/>
                <w:sz w:val="18"/>
                <w:szCs w:val="18"/>
              </w:rPr>
              <w:fldChar w:fldCharType="end"/>
            </w:r>
            <w:r w:rsidR="00CE2820" w:rsidRPr="00CE2820">
              <w:rPr>
                <w:rFonts w:ascii="Arial" w:hAnsi="Arial" w:cs="Arial"/>
                <w:sz w:val="18"/>
                <w:szCs w:val="18"/>
              </w:rPr>
              <w:t>Canned Comment Category Type</w:t>
            </w:r>
          </w:p>
        </w:tc>
        <w:tc>
          <w:tcPr>
            <w:tcW w:w="5490" w:type="dxa"/>
            <w:shd w:val="pct25" w:color="auto" w:fill="auto"/>
          </w:tcPr>
          <w:p w14:paraId="6C305C6C" w14:textId="77777777" w:rsidR="00CE2820" w:rsidRPr="00CE2820" w:rsidRDefault="00CE2820" w:rsidP="00CA1F44">
            <w:pPr>
              <w:pStyle w:val="Caption"/>
              <w:keepNext w:val="0"/>
              <w:spacing w:before="0" w:after="0"/>
              <w:ind w:left="162" w:hanging="180"/>
              <w:rPr>
                <w:rFonts w:ascii="Arial" w:hAnsi="Arial" w:cs="Arial"/>
                <w:sz w:val="18"/>
                <w:szCs w:val="18"/>
              </w:rPr>
            </w:pPr>
            <w:r w:rsidRPr="00CE2820">
              <w:rPr>
                <w:rFonts w:ascii="Arial" w:hAnsi="Arial" w:cs="Arial"/>
                <w:sz w:val="18"/>
                <w:szCs w:val="18"/>
              </w:rPr>
              <w:t>Message Text</w:t>
            </w:r>
          </w:p>
        </w:tc>
      </w:tr>
      <w:tr w:rsidR="00CE2820" w:rsidRPr="00575988" w14:paraId="6F0296D3" w14:textId="77777777" w:rsidTr="00CE2820">
        <w:trPr>
          <w:cantSplit/>
        </w:trPr>
        <w:tc>
          <w:tcPr>
            <w:tcW w:w="3168" w:type="dxa"/>
            <w:shd w:val="clear" w:color="auto" w:fill="auto"/>
          </w:tcPr>
          <w:p w14:paraId="1422C306" w14:textId="77777777" w:rsidR="00CE2820" w:rsidRPr="00575988" w:rsidRDefault="00CE2820" w:rsidP="00CA1F44">
            <w:pPr>
              <w:pStyle w:val="Caption"/>
              <w:keepNext w:val="0"/>
              <w:spacing w:before="0" w:after="0"/>
              <w:rPr>
                <w:rFonts w:ascii="Arial" w:hAnsi="Arial" w:cs="Arial"/>
                <w:b w:val="0"/>
                <w:sz w:val="18"/>
                <w:szCs w:val="18"/>
              </w:rPr>
            </w:pPr>
            <w:r w:rsidRPr="00575988">
              <w:rPr>
                <w:rFonts w:ascii="Arial" w:hAnsi="Arial" w:cs="Arial"/>
                <w:b w:val="0"/>
                <w:sz w:val="18"/>
                <w:szCs w:val="18"/>
              </w:rPr>
              <w:t>ABO Incompatible Issue</w:t>
            </w:r>
          </w:p>
        </w:tc>
        <w:tc>
          <w:tcPr>
            <w:tcW w:w="5490" w:type="dxa"/>
            <w:shd w:val="clear" w:color="auto" w:fill="auto"/>
          </w:tcPr>
          <w:p w14:paraId="14A08C75"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Blood shortage</w:t>
            </w:r>
          </w:p>
          <w:p w14:paraId="6E391EB8"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Issued to ER</w:t>
            </w:r>
          </w:p>
          <w:p w14:paraId="205C7E38"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Massive transfusion</w:t>
            </w:r>
          </w:p>
          <w:p w14:paraId="1762EA1C"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Trauma</w:t>
            </w:r>
          </w:p>
          <w:p w14:paraId="48BBFDC0"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Other</w:t>
            </w:r>
          </w:p>
        </w:tc>
      </w:tr>
      <w:tr w:rsidR="00CE2820" w:rsidRPr="00575988" w14:paraId="6F1B94CE" w14:textId="77777777" w:rsidTr="00CE2820">
        <w:trPr>
          <w:cantSplit/>
        </w:trPr>
        <w:tc>
          <w:tcPr>
            <w:tcW w:w="3168" w:type="dxa"/>
            <w:shd w:val="clear" w:color="auto" w:fill="auto"/>
          </w:tcPr>
          <w:p w14:paraId="516101F4" w14:textId="77777777" w:rsidR="00CE2820" w:rsidRPr="00575988" w:rsidRDefault="00CE2820" w:rsidP="00CA1F44">
            <w:pPr>
              <w:pStyle w:val="Caption"/>
              <w:keepNext w:val="0"/>
              <w:spacing w:before="0" w:after="0"/>
              <w:rPr>
                <w:rFonts w:ascii="Arial" w:hAnsi="Arial" w:cs="Arial"/>
                <w:b w:val="0"/>
                <w:sz w:val="18"/>
                <w:szCs w:val="18"/>
              </w:rPr>
            </w:pPr>
            <w:r w:rsidRPr="00575988">
              <w:rPr>
                <w:rFonts w:ascii="Arial" w:hAnsi="Arial" w:cs="Arial"/>
                <w:b w:val="0"/>
                <w:sz w:val="18"/>
                <w:szCs w:val="18"/>
              </w:rPr>
              <w:lastRenderedPageBreak/>
              <w:t>Automated Testing Review</w:t>
            </w:r>
          </w:p>
        </w:tc>
        <w:tc>
          <w:tcPr>
            <w:tcW w:w="5490" w:type="dxa"/>
            <w:shd w:val="clear" w:color="auto" w:fill="auto"/>
          </w:tcPr>
          <w:p w14:paraId="1194DDA9"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Control NEG</w:t>
            </w:r>
          </w:p>
          <w:p w14:paraId="17086514"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Control POS</w:t>
            </w:r>
          </w:p>
          <w:p w14:paraId="381A6B16"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Post-transfusion reaction</w:t>
            </w:r>
          </w:p>
          <w:p w14:paraId="688AF505"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Remote Data Record reviewed, history</w:t>
            </w:r>
          </w:p>
          <w:p w14:paraId="35E6AC57"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Remote Data Record reviewed, no history</w:t>
            </w:r>
          </w:p>
          <w:p w14:paraId="6D6E522E"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Results confirmed with tube testing</w:t>
            </w:r>
          </w:p>
          <w:p w14:paraId="3C53A0FA"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Rh (D) control negative</w:t>
            </w:r>
          </w:p>
          <w:p w14:paraId="6F5370CE"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Other</w:t>
            </w:r>
          </w:p>
        </w:tc>
      </w:tr>
      <w:tr w:rsidR="00CE2820" w:rsidRPr="00575988" w14:paraId="64ABD647" w14:textId="77777777" w:rsidTr="00CE2820">
        <w:trPr>
          <w:cantSplit/>
        </w:trPr>
        <w:tc>
          <w:tcPr>
            <w:tcW w:w="3168" w:type="dxa"/>
            <w:shd w:val="clear" w:color="auto" w:fill="auto"/>
          </w:tcPr>
          <w:p w14:paraId="10289A5A" w14:textId="77777777" w:rsidR="00CE2820" w:rsidRPr="00575988" w:rsidRDefault="00CE2820" w:rsidP="00CA1F44">
            <w:pPr>
              <w:pStyle w:val="Caption"/>
              <w:keepNext w:val="0"/>
              <w:spacing w:before="0" w:after="0"/>
              <w:rPr>
                <w:rFonts w:ascii="Arial" w:hAnsi="Arial" w:cs="Arial"/>
                <w:b w:val="0"/>
                <w:sz w:val="18"/>
                <w:szCs w:val="18"/>
              </w:rPr>
            </w:pPr>
            <w:r w:rsidRPr="00575988">
              <w:rPr>
                <w:rFonts w:ascii="Arial" w:hAnsi="Arial" w:cs="Arial"/>
                <w:b w:val="0"/>
                <w:sz w:val="18"/>
                <w:szCs w:val="18"/>
              </w:rPr>
              <w:t>Crossmatch</w:t>
            </w:r>
          </w:p>
        </w:tc>
        <w:tc>
          <w:tcPr>
            <w:tcW w:w="5490" w:type="dxa"/>
            <w:shd w:val="clear" w:color="auto" w:fill="auto"/>
          </w:tcPr>
          <w:p w14:paraId="00B61763"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Other</w:t>
            </w:r>
          </w:p>
        </w:tc>
      </w:tr>
      <w:tr w:rsidR="00CE2820" w:rsidRPr="00575988" w14:paraId="53941BE5" w14:textId="77777777" w:rsidTr="00CE2820">
        <w:trPr>
          <w:cantSplit/>
        </w:trPr>
        <w:tc>
          <w:tcPr>
            <w:tcW w:w="3168" w:type="dxa"/>
            <w:shd w:val="clear" w:color="auto" w:fill="auto"/>
          </w:tcPr>
          <w:p w14:paraId="2F484D2B" w14:textId="77777777" w:rsidR="00CE2820" w:rsidRPr="00575988" w:rsidRDefault="00CE2820" w:rsidP="00CA1F44">
            <w:pPr>
              <w:pStyle w:val="Caption"/>
              <w:keepNext w:val="0"/>
              <w:spacing w:before="0" w:after="0"/>
              <w:rPr>
                <w:rFonts w:ascii="Arial" w:hAnsi="Arial" w:cs="Arial"/>
                <w:b w:val="0"/>
                <w:sz w:val="18"/>
                <w:szCs w:val="18"/>
              </w:rPr>
            </w:pPr>
            <w:r w:rsidRPr="00575988">
              <w:rPr>
                <w:rFonts w:ascii="Arial" w:hAnsi="Arial" w:cs="Arial"/>
                <w:b w:val="0"/>
                <w:sz w:val="18"/>
                <w:szCs w:val="18"/>
              </w:rPr>
              <w:t>Incoming Shipment</w:t>
            </w:r>
          </w:p>
        </w:tc>
        <w:tc>
          <w:tcPr>
            <w:tcW w:w="5490" w:type="dxa"/>
            <w:shd w:val="clear" w:color="auto" w:fill="auto"/>
          </w:tcPr>
          <w:p w14:paraId="03C534BB"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Prolonged storage outside of monitored storage area</w:t>
            </w:r>
          </w:p>
          <w:p w14:paraId="3F848FB3"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Spiked or damaged</w:t>
            </w:r>
          </w:p>
          <w:p w14:paraId="5B898E7B"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Unit returned unused</w:t>
            </w:r>
          </w:p>
          <w:p w14:paraId="472BF753"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Visual inspection unsatisfactory</w:t>
            </w:r>
          </w:p>
          <w:p w14:paraId="7CBC018B"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Other</w:t>
            </w:r>
          </w:p>
        </w:tc>
      </w:tr>
      <w:tr w:rsidR="00CE2820" w:rsidRPr="00575988" w14:paraId="59AFE13D" w14:textId="77777777" w:rsidTr="00CE2820">
        <w:trPr>
          <w:cantSplit/>
        </w:trPr>
        <w:tc>
          <w:tcPr>
            <w:tcW w:w="3168" w:type="dxa"/>
            <w:shd w:val="clear" w:color="auto" w:fill="auto"/>
          </w:tcPr>
          <w:p w14:paraId="73FEF755" w14:textId="77777777" w:rsidR="00CE2820" w:rsidRPr="00575988" w:rsidRDefault="00CE2820" w:rsidP="00CA1F44">
            <w:pPr>
              <w:pStyle w:val="Caption"/>
              <w:keepNext w:val="0"/>
              <w:spacing w:before="0" w:after="0"/>
              <w:rPr>
                <w:rFonts w:ascii="Arial" w:hAnsi="Arial" w:cs="Arial"/>
                <w:b w:val="0"/>
                <w:sz w:val="18"/>
                <w:szCs w:val="18"/>
              </w:rPr>
            </w:pPr>
            <w:r w:rsidRPr="00575988">
              <w:rPr>
                <w:rFonts w:ascii="Arial" w:hAnsi="Arial" w:cs="Arial"/>
                <w:b w:val="0"/>
                <w:sz w:val="18"/>
                <w:szCs w:val="18"/>
              </w:rPr>
              <w:t>Justify ABO/Rh Change</w:t>
            </w:r>
          </w:p>
        </w:tc>
        <w:tc>
          <w:tcPr>
            <w:tcW w:w="5490" w:type="dxa"/>
            <w:shd w:val="clear" w:color="auto" w:fill="auto"/>
          </w:tcPr>
          <w:p w14:paraId="17635B3D" w14:textId="77777777" w:rsidR="00CE2820" w:rsidRPr="00575988" w:rsidRDefault="00CE2820" w:rsidP="00CA1F44">
            <w:pPr>
              <w:pStyle w:val="Caption"/>
              <w:keepNext w:val="0"/>
              <w:tabs>
                <w:tab w:val="center" w:pos="1962"/>
              </w:tabs>
              <w:spacing w:before="0" w:after="0"/>
              <w:ind w:left="162" w:hanging="180"/>
              <w:rPr>
                <w:rFonts w:ascii="Arial" w:hAnsi="Arial" w:cs="Arial"/>
                <w:b w:val="0"/>
                <w:sz w:val="18"/>
                <w:szCs w:val="18"/>
              </w:rPr>
            </w:pPr>
            <w:r w:rsidRPr="00575988">
              <w:rPr>
                <w:rFonts w:ascii="Arial" w:hAnsi="Arial" w:cs="Arial"/>
                <w:b w:val="0"/>
                <w:sz w:val="18"/>
                <w:szCs w:val="18"/>
              </w:rPr>
              <w:t>Other</w:t>
            </w:r>
            <w:r w:rsidRPr="00575988">
              <w:rPr>
                <w:rFonts w:ascii="Arial" w:hAnsi="Arial" w:cs="Arial"/>
                <w:b w:val="0"/>
                <w:sz w:val="18"/>
                <w:szCs w:val="18"/>
              </w:rPr>
              <w:tab/>
            </w:r>
          </w:p>
        </w:tc>
      </w:tr>
      <w:tr w:rsidR="00CE2820" w:rsidRPr="00575988" w14:paraId="4CA56D07" w14:textId="77777777" w:rsidTr="00CE2820">
        <w:trPr>
          <w:cantSplit/>
        </w:trPr>
        <w:tc>
          <w:tcPr>
            <w:tcW w:w="3168" w:type="dxa"/>
            <w:shd w:val="clear" w:color="auto" w:fill="auto"/>
          </w:tcPr>
          <w:p w14:paraId="723DF30A" w14:textId="77777777" w:rsidR="00CE2820" w:rsidRPr="00575988" w:rsidRDefault="00CE2820" w:rsidP="00CA1F44">
            <w:pPr>
              <w:pStyle w:val="Caption"/>
              <w:keepNext w:val="0"/>
              <w:spacing w:before="0" w:after="0"/>
              <w:rPr>
                <w:rFonts w:ascii="Arial" w:hAnsi="Arial" w:cs="Arial"/>
                <w:b w:val="0"/>
                <w:sz w:val="18"/>
                <w:szCs w:val="18"/>
              </w:rPr>
            </w:pPr>
            <w:r w:rsidRPr="00575988">
              <w:rPr>
                <w:rFonts w:ascii="Arial" w:hAnsi="Arial" w:cs="Arial"/>
                <w:b w:val="0"/>
                <w:sz w:val="18"/>
                <w:szCs w:val="18"/>
              </w:rPr>
              <w:t>Order Cancellation</w:t>
            </w:r>
          </w:p>
        </w:tc>
        <w:tc>
          <w:tcPr>
            <w:tcW w:w="5490" w:type="dxa"/>
            <w:shd w:val="clear" w:color="auto" w:fill="auto"/>
          </w:tcPr>
          <w:p w14:paraId="4DA1C350"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Inappropriate blood component ordered</w:t>
            </w:r>
          </w:p>
          <w:p w14:paraId="51CEB77E"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Inappropriate test ordered</w:t>
            </w:r>
          </w:p>
          <w:p w14:paraId="0262380A"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Max time for active orders exceeded</w:t>
            </w:r>
          </w:p>
          <w:p w14:paraId="0D0C9441"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Patient deceased</w:t>
            </w:r>
          </w:p>
          <w:p w14:paraId="36A03312"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Patient discharged or transferred</w:t>
            </w:r>
          </w:p>
          <w:p w14:paraId="3AD3FF83"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Patient refuses treatment</w:t>
            </w:r>
          </w:p>
          <w:p w14:paraId="71FE282B"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Patient unavailable</w:t>
            </w:r>
          </w:p>
          <w:p w14:paraId="3E57E2D2"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Other</w:t>
            </w:r>
          </w:p>
        </w:tc>
      </w:tr>
      <w:tr w:rsidR="00CE2820" w:rsidRPr="00575988" w14:paraId="3E0D0092" w14:textId="77777777" w:rsidTr="00CE2820">
        <w:trPr>
          <w:cantSplit/>
        </w:trPr>
        <w:tc>
          <w:tcPr>
            <w:tcW w:w="3168" w:type="dxa"/>
            <w:shd w:val="clear" w:color="auto" w:fill="auto"/>
          </w:tcPr>
          <w:p w14:paraId="01547E1D" w14:textId="77777777" w:rsidR="00CE2820" w:rsidRPr="00575988" w:rsidRDefault="00CE2820" w:rsidP="00CA1F44">
            <w:pPr>
              <w:pStyle w:val="Caption"/>
              <w:keepNext w:val="0"/>
              <w:spacing w:before="0" w:after="0"/>
              <w:rPr>
                <w:rFonts w:ascii="Arial" w:hAnsi="Arial" w:cs="Arial"/>
                <w:b w:val="0"/>
                <w:sz w:val="18"/>
                <w:szCs w:val="18"/>
              </w:rPr>
            </w:pPr>
            <w:r w:rsidRPr="00575988">
              <w:rPr>
                <w:rFonts w:ascii="Arial" w:hAnsi="Arial" w:cs="Arial"/>
                <w:b w:val="0"/>
                <w:sz w:val="18"/>
                <w:szCs w:val="18"/>
              </w:rPr>
              <w:t>Order Processing</w:t>
            </w:r>
          </w:p>
        </w:tc>
        <w:tc>
          <w:tcPr>
            <w:tcW w:w="5490" w:type="dxa"/>
            <w:shd w:val="clear" w:color="auto" w:fill="auto"/>
          </w:tcPr>
          <w:p w14:paraId="2176C679"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Verbal order</w:t>
            </w:r>
          </w:p>
          <w:p w14:paraId="64A8E2AD"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Other</w:t>
            </w:r>
          </w:p>
        </w:tc>
      </w:tr>
      <w:tr w:rsidR="00D17F64" w:rsidRPr="00575988" w14:paraId="43B70B7A" w14:textId="77777777" w:rsidTr="00615FC3">
        <w:trPr>
          <w:cantSplit/>
        </w:trPr>
        <w:tc>
          <w:tcPr>
            <w:tcW w:w="3168" w:type="dxa"/>
            <w:shd w:val="clear" w:color="auto" w:fill="auto"/>
          </w:tcPr>
          <w:p w14:paraId="22251103" w14:textId="77777777" w:rsidR="00D17F64" w:rsidRPr="00575988" w:rsidRDefault="00D17F64" w:rsidP="00615FC3">
            <w:pPr>
              <w:pStyle w:val="Caption"/>
              <w:keepNext w:val="0"/>
              <w:spacing w:before="0" w:after="0"/>
              <w:rPr>
                <w:rFonts w:ascii="Arial" w:hAnsi="Arial" w:cs="Arial"/>
                <w:b w:val="0"/>
                <w:sz w:val="18"/>
                <w:szCs w:val="18"/>
              </w:rPr>
            </w:pPr>
            <w:r>
              <w:rPr>
                <w:rFonts w:ascii="Arial" w:hAnsi="Arial" w:cs="Arial"/>
                <w:b w:val="0"/>
                <w:sz w:val="18"/>
                <w:szCs w:val="18"/>
              </w:rPr>
              <w:t>Outgoing Shipment</w:t>
            </w:r>
          </w:p>
        </w:tc>
        <w:tc>
          <w:tcPr>
            <w:tcW w:w="5490" w:type="dxa"/>
            <w:shd w:val="clear" w:color="auto" w:fill="auto"/>
          </w:tcPr>
          <w:p w14:paraId="73E217C6" w14:textId="77777777" w:rsidR="00D17F64" w:rsidRPr="00575988" w:rsidRDefault="00D17F64" w:rsidP="00615FC3">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Other</w:t>
            </w:r>
          </w:p>
        </w:tc>
      </w:tr>
      <w:tr w:rsidR="00CE2820" w:rsidRPr="00575988" w14:paraId="0531D865" w14:textId="77777777" w:rsidTr="00CE2820">
        <w:trPr>
          <w:cantSplit/>
        </w:trPr>
        <w:tc>
          <w:tcPr>
            <w:tcW w:w="3168" w:type="dxa"/>
            <w:shd w:val="clear" w:color="auto" w:fill="auto"/>
          </w:tcPr>
          <w:p w14:paraId="13DBAA9F" w14:textId="77777777" w:rsidR="00CE2820" w:rsidRPr="00575988" w:rsidRDefault="00CE2820" w:rsidP="00CA1F44">
            <w:pPr>
              <w:pStyle w:val="Caption"/>
              <w:keepNext w:val="0"/>
              <w:spacing w:before="0" w:after="0"/>
              <w:rPr>
                <w:rFonts w:ascii="Arial" w:hAnsi="Arial" w:cs="Arial"/>
                <w:b w:val="0"/>
                <w:sz w:val="18"/>
                <w:szCs w:val="18"/>
              </w:rPr>
            </w:pPr>
            <w:r w:rsidRPr="00575988">
              <w:rPr>
                <w:rFonts w:ascii="Arial" w:hAnsi="Arial" w:cs="Arial"/>
                <w:b w:val="0"/>
                <w:sz w:val="18"/>
                <w:szCs w:val="18"/>
              </w:rPr>
              <w:t>Parameter Setting Change</w:t>
            </w:r>
          </w:p>
        </w:tc>
        <w:tc>
          <w:tcPr>
            <w:tcW w:w="5490" w:type="dxa"/>
            <w:shd w:val="clear" w:color="auto" w:fill="auto"/>
          </w:tcPr>
          <w:p w14:paraId="6D2D5779"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No longer applies</w:t>
            </w:r>
          </w:p>
          <w:p w14:paraId="7F81A242"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Resetting due to policy change</w:t>
            </w:r>
          </w:p>
          <w:p w14:paraId="2B3AADFF"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Other</w:t>
            </w:r>
          </w:p>
        </w:tc>
      </w:tr>
      <w:tr w:rsidR="00CE2820" w:rsidRPr="00575988" w14:paraId="18E90C2B" w14:textId="77777777" w:rsidTr="00CE2820">
        <w:trPr>
          <w:cantSplit/>
        </w:trPr>
        <w:tc>
          <w:tcPr>
            <w:tcW w:w="3168" w:type="dxa"/>
            <w:shd w:val="clear" w:color="auto" w:fill="auto"/>
          </w:tcPr>
          <w:p w14:paraId="64475C7A" w14:textId="77777777" w:rsidR="00CE2820" w:rsidRPr="00575988" w:rsidRDefault="00CE2820" w:rsidP="00CA1F44">
            <w:pPr>
              <w:pStyle w:val="Caption"/>
              <w:keepNext w:val="0"/>
              <w:spacing w:before="0" w:after="0"/>
              <w:rPr>
                <w:rFonts w:ascii="Arial" w:hAnsi="Arial" w:cs="Arial"/>
                <w:b w:val="0"/>
                <w:sz w:val="18"/>
                <w:szCs w:val="18"/>
              </w:rPr>
            </w:pPr>
            <w:r w:rsidRPr="00575988">
              <w:rPr>
                <w:rFonts w:ascii="Arial" w:hAnsi="Arial" w:cs="Arial"/>
                <w:b w:val="0"/>
                <w:sz w:val="18"/>
                <w:szCs w:val="18"/>
              </w:rPr>
              <w:t>Patient Testing</w:t>
            </w:r>
          </w:p>
        </w:tc>
        <w:tc>
          <w:tcPr>
            <w:tcW w:w="5490" w:type="dxa"/>
            <w:shd w:val="clear" w:color="auto" w:fill="auto"/>
          </w:tcPr>
          <w:p w14:paraId="20B3A098"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Lab equipment failure</w:t>
            </w:r>
          </w:p>
          <w:p w14:paraId="2624ACC1"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New lot numbers in use</w:t>
            </w:r>
          </w:p>
          <w:p w14:paraId="6804312B"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New specimen required</w:t>
            </w:r>
          </w:p>
          <w:p w14:paraId="03DF1C49"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Specimen ruined during test process</w:t>
            </w:r>
          </w:p>
          <w:p w14:paraId="214CD1F2"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Test cancelled</w:t>
            </w:r>
          </w:p>
          <w:p w14:paraId="1B1EF7F3"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Test complete, results inconclusive</w:t>
            </w:r>
          </w:p>
          <w:p w14:paraId="0E1AE040"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Test compromised</w:t>
            </w:r>
          </w:p>
          <w:p w14:paraId="3819A8DA"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Testing inconclusive</w:t>
            </w:r>
          </w:p>
          <w:p w14:paraId="4B6F967A"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Testing interrupted</w:t>
            </w:r>
          </w:p>
          <w:p w14:paraId="12EC93A6"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Other</w:t>
            </w:r>
          </w:p>
        </w:tc>
      </w:tr>
      <w:tr w:rsidR="00D17F64" w:rsidRPr="00575988" w14:paraId="58ED052D" w14:textId="77777777" w:rsidTr="00615FC3">
        <w:trPr>
          <w:cantSplit/>
        </w:trPr>
        <w:tc>
          <w:tcPr>
            <w:tcW w:w="3168" w:type="dxa"/>
            <w:shd w:val="clear" w:color="auto" w:fill="auto"/>
          </w:tcPr>
          <w:p w14:paraId="4D3B198B" w14:textId="77777777" w:rsidR="00D17F64" w:rsidRPr="00575988" w:rsidRDefault="00D17F64" w:rsidP="00615FC3">
            <w:pPr>
              <w:pStyle w:val="Caption"/>
              <w:keepNext w:val="0"/>
              <w:spacing w:before="0" w:after="0"/>
              <w:rPr>
                <w:rFonts w:ascii="Arial" w:hAnsi="Arial" w:cs="Arial"/>
                <w:b w:val="0"/>
                <w:sz w:val="18"/>
                <w:szCs w:val="18"/>
              </w:rPr>
            </w:pPr>
            <w:r w:rsidRPr="00575988">
              <w:rPr>
                <w:rFonts w:ascii="Arial" w:hAnsi="Arial" w:cs="Arial"/>
                <w:b w:val="0"/>
                <w:sz w:val="18"/>
                <w:szCs w:val="18"/>
              </w:rPr>
              <w:t>Post-Transfusion Specimen Checks</w:t>
            </w:r>
          </w:p>
        </w:tc>
        <w:tc>
          <w:tcPr>
            <w:tcW w:w="5490" w:type="dxa"/>
            <w:shd w:val="clear" w:color="auto" w:fill="auto"/>
          </w:tcPr>
          <w:p w14:paraId="6F4FC07C" w14:textId="77777777" w:rsidR="00D17F64" w:rsidRDefault="00D17F64" w:rsidP="00615FC3">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Incomplete label</w:t>
            </w:r>
          </w:p>
          <w:p w14:paraId="619850D4" w14:textId="77777777" w:rsidR="00D17F64" w:rsidRDefault="00D17F64" w:rsidP="00615FC3">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Incorrectly labeled</w:t>
            </w:r>
          </w:p>
          <w:p w14:paraId="2B61B18E" w14:textId="77777777" w:rsidR="00D17F64" w:rsidRDefault="00D17F64" w:rsidP="00615FC3">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Specimen and paperwork do not match</w:t>
            </w:r>
          </w:p>
          <w:p w14:paraId="5DE55493" w14:textId="77777777" w:rsidR="00D17F64" w:rsidRDefault="00D17F64" w:rsidP="00615FC3">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Specimen misplaced</w:t>
            </w:r>
          </w:p>
          <w:p w14:paraId="41EA69E3" w14:textId="77777777" w:rsidR="00D17F64" w:rsidRPr="00575988" w:rsidRDefault="00D17F64" w:rsidP="00615FC3">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Other</w:t>
            </w:r>
          </w:p>
        </w:tc>
      </w:tr>
      <w:tr w:rsidR="00D17F64" w:rsidRPr="00575988" w14:paraId="34E68E88" w14:textId="77777777" w:rsidTr="00615FC3">
        <w:trPr>
          <w:cantSplit/>
        </w:trPr>
        <w:tc>
          <w:tcPr>
            <w:tcW w:w="3168" w:type="dxa"/>
            <w:shd w:val="clear" w:color="auto" w:fill="auto"/>
          </w:tcPr>
          <w:p w14:paraId="26A09281" w14:textId="77777777" w:rsidR="00D17F64" w:rsidRPr="00575988" w:rsidRDefault="00D17F64" w:rsidP="00615FC3">
            <w:pPr>
              <w:pStyle w:val="Caption"/>
              <w:keepNext w:val="0"/>
              <w:spacing w:before="0" w:after="0"/>
              <w:rPr>
                <w:rFonts w:ascii="Arial" w:hAnsi="Arial" w:cs="Arial"/>
                <w:b w:val="0"/>
                <w:sz w:val="18"/>
                <w:szCs w:val="18"/>
              </w:rPr>
            </w:pPr>
            <w:r w:rsidRPr="00575988">
              <w:rPr>
                <w:rFonts w:ascii="Arial" w:hAnsi="Arial" w:cs="Arial"/>
                <w:b w:val="0"/>
                <w:sz w:val="18"/>
                <w:szCs w:val="18"/>
              </w:rPr>
              <w:t>Pre-Transfusion Specimen Checks</w:t>
            </w:r>
          </w:p>
        </w:tc>
        <w:tc>
          <w:tcPr>
            <w:tcW w:w="5490" w:type="dxa"/>
            <w:shd w:val="clear" w:color="auto" w:fill="auto"/>
          </w:tcPr>
          <w:p w14:paraId="79212A8A" w14:textId="77777777" w:rsidR="00D17F64" w:rsidRDefault="00D17F64" w:rsidP="00615FC3">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Incomplete label</w:t>
            </w:r>
          </w:p>
          <w:p w14:paraId="0869DB82" w14:textId="77777777" w:rsidR="00D17F64" w:rsidRDefault="00D17F64" w:rsidP="00615FC3">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Incorrectly labeled</w:t>
            </w:r>
          </w:p>
          <w:p w14:paraId="6016C8F1" w14:textId="77777777" w:rsidR="00D17F64" w:rsidRDefault="00D17F64" w:rsidP="00615FC3">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Specimen and paperwork do not match</w:t>
            </w:r>
          </w:p>
          <w:p w14:paraId="6527A0A9" w14:textId="77777777" w:rsidR="00D17F64" w:rsidRDefault="00D17F64" w:rsidP="00615FC3">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Specimen misplaced</w:t>
            </w:r>
          </w:p>
          <w:p w14:paraId="3C4B6ECD" w14:textId="77777777" w:rsidR="00D17F64" w:rsidRPr="00575988" w:rsidRDefault="00D17F64" w:rsidP="00615FC3">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Other</w:t>
            </w:r>
          </w:p>
        </w:tc>
      </w:tr>
      <w:tr w:rsidR="00CE2820" w:rsidRPr="00575988" w14:paraId="4F4169D9" w14:textId="77777777" w:rsidTr="00CE2820">
        <w:trPr>
          <w:cantSplit/>
        </w:trPr>
        <w:tc>
          <w:tcPr>
            <w:tcW w:w="3168" w:type="dxa"/>
            <w:shd w:val="clear" w:color="auto" w:fill="auto"/>
          </w:tcPr>
          <w:p w14:paraId="3F847E53" w14:textId="77777777" w:rsidR="00CE2820" w:rsidRPr="00575988" w:rsidRDefault="00CE2820" w:rsidP="00CA1F44">
            <w:pPr>
              <w:pStyle w:val="Caption"/>
              <w:keepNext w:val="0"/>
              <w:spacing w:before="0" w:after="0"/>
              <w:rPr>
                <w:rFonts w:ascii="Arial" w:hAnsi="Arial" w:cs="Arial"/>
                <w:b w:val="0"/>
                <w:sz w:val="18"/>
                <w:szCs w:val="18"/>
              </w:rPr>
            </w:pPr>
            <w:r w:rsidRPr="00575988">
              <w:rPr>
                <w:rFonts w:ascii="Arial" w:hAnsi="Arial" w:cs="Arial"/>
                <w:b w:val="0"/>
                <w:sz w:val="18"/>
                <w:szCs w:val="18"/>
              </w:rPr>
              <w:lastRenderedPageBreak/>
              <w:t>Quarantine/Discard</w:t>
            </w:r>
          </w:p>
        </w:tc>
        <w:tc>
          <w:tcPr>
            <w:tcW w:w="5490" w:type="dxa"/>
            <w:shd w:val="clear" w:color="auto" w:fill="auto"/>
          </w:tcPr>
          <w:p w14:paraId="58EF128A"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ABO inconclusive</w:t>
            </w:r>
          </w:p>
          <w:p w14:paraId="66A7108C"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Disposition for research</w:t>
            </w:r>
          </w:p>
          <w:p w14:paraId="3232B196"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Expired</w:t>
            </w:r>
          </w:p>
          <w:p w14:paraId="5DD3A274"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Incinerated</w:t>
            </w:r>
          </w:p>
          <w:p w14:paraId="1B0C299D"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Incomplete donor screening tests</w:t>
            </w:r>
          </w:p>
          <w:p w14:paraId="3CA52DF9"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Positive donor screening test(s)</w:t>
            </w:r>
          </w:p>
          <w:p w14:paraId="27E17D4E"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Prolonged storage outside of monitored storage area</w:t>
            </w:r>
          </w:p>
          <w:p w14:paraId="1090D6A1"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Punctured</w:t>
            </w:r>
          </w:p>
          <w:p w14:paraId="1F86A84C"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Ruptured during thaw</w:t>
            </w:r>
          </w:p>
          <w:p w14:paraId="0BF31BDE"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Visual inspection unsatisfactory</w:t>
            </w:r>
          </w:p>
          <w:p w14:paraId="0880C63B"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Other</w:t>
            </w:r>
          </w:p>
        </w:tc>
      </w:tr>
      <w:tr w:rsidR="00CE2820" w:rsidRPr="00575988" w14:paraId="04909510" w14:textId="77777777" w:rsidTr="00CE2820">
        <w:trPr>
          <w:cantSplit/>
        </w:trPr>
        <w:tc>
          <w:tcPr>
            <w:tcW w:w="3168" w:type="dxa"/>
            <w:shd w:val="clear" w:color="auto" w:fill="auto"/>
          </w:tcPr>
          <w:p w14:paraId="1B868E50" w14:textId="77777777" w:rsidR="00CE2820" w:rsidRPr="00575988" w:rsidRDefault="00CE2820" w:rsidP="00CA1F44">
            <w:pPr>
              <w:pStyle w:val="Caption"/>
              <w:keepNext w:val="0"/>
              <w:spacing w:before="0" w:after="0"/>
              <w:rPr>
                <w:rFonts w:ascii="Arial" w:hAnsi="Arial" w:cs="Arial"/>
                <w:b w:val="0"/>
                <w:sz w:val="18"/>
                <w:szCs w:val="18"/>
              </w:rPr>
            </w:pPr>
            <w:r w:rsidRPr="00575988">
              <w:rPr>
                <w:rFonts w:ascii="Arial" w:hAnsi="Arial" w:cs="Arial"/>
                <w:b w:val="0"/>
                <w:sz w:val="18"/>
                <w:szCs w:val="18"/>
              </w:rPr>
              <w:t>Reagent and Supply</w:t>
            </w:r>
          </w:p>
        </w:tc>
        <w:tc>
          <w:tcPr>
            <w:tcW w:w="5490" w:type="dxa"/>
            <w:shd w:val="clear" w:color="auto" w:fill="auto"/>
          </w:tcPr>
          <w:p w14:paraId="140E5CCC"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Broken upon receipt</w:t>
            </w:r>
          </w:p>
          <w:p w14:paraId="060AA766"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Contaminated</w:t>
            </w:r>
          </w:p>
          <w:p w14:paraId="61C4AAC0"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Improperly stored</w:t>
            </w:r>
          </w:p>
          <w:p w14:paraId="50D77884"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Product shortage</w:t>
            </w:r>
          </w:p>
          <w:p w14:paraId="753747F3"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Spilled</w:t>
            </w:r>
          </w:p>
          <w:p w14:paraId="64D039F9"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Unsatisfactory, return to supplier</w:t>
            </w:r>
          </w:p>
          <w:p w14:paraId="234CF9AC"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Updated inventory</w:t>
            </w:r>
          </w:p>
          <w:p w14:paraId="5B130AC2"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Other</w:t>
            </w:r>
          </w:p>
        </w:tc>
      </w:tr>
      <w:tr w:rsidR="00CE2820" w:rsidRPr="00575988" w14:paraId="0A5BAD6B" w14:textId="77777777" w:rsidTr="00CE2820">
        <w:trPr>
          <w:cantSplit/>
        </w:trPr>
        <w:tc>
          <w:tcPr>
            <w:tcW w:w="3168" w:type="dxa"/>
            <w:shd w:val="clear" w:color="auto" w:fill="auto"/>
          </w:tcPr>
          <w:p w14:paraId="62C6CD09" w14:textId="77777777" w:rsidR="00CE2820" w:rsidRPr="00575988" w:rsidRDefault="00CE2820" w:rsidP="00CA1F44">
            <w:pPr>
              <w:pStyle w:val="Caption"/>
              <w:keepNext w:val="0"/>
              <w:spacing w:before="0" w:after="0"/>
              <w:rPr>
                <w:rFonts w:ascii="Arial" w:hAnsi="Arial" w:cs="Arial"/>
                <w:b w:val="0"/>
                <w:sz w:val="18"/>
                <w:szCs w:val="18"/>
              </w:rPr>
            </w:pPr>
            <w:r w:rsidRPr="00575988">
              <w:rPr>
                <w:rFonts w:ascii="Arial" w:hAnsi="Arial" w:cs="Arial"/>
                <w:b w:val="0"/>
                <w:sz w:val="18"/>
                <w:szCs w:val="18"/>
              </w:rPr>
              <w:t>Reason for Release</w:t>
            </w:r>
          </w:p>
        </w:tc>
        <w:tc>
          <w:tcPr>
            <w:tcW w:w="5490" w:type="dxa"/>
            <w:shd w:val="clear" w:color="auto" w:fill="auto"/>
          </w:tcPr>
          <w:p w14:paraId="7FB4B792" w14:textId="25804C0C" w:rsidR="00CE2820" w:rsidRPr="00575988" w:rsidRDefault="006549B7"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24-hour</w:t>
            </w:r>
            <w:r w:rsidR="00CE2820" w:rsidRPr="00575988">
              <w:rPr>
                <w:rFonts w:ascii="Arial" w:hAnsi="Arial" w:cs="Arial"/>
                <w:b w:val="0"/>
                <w:sz w:val="18"/>
                <w:szCs w:val="18"/>
              </w:rPr>
              <w:t xml:space="preserve"> post-op</w:t>
            </w:r>
          </w:p>
          <w:p w14:paraId="52F34C0E"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Biohazardous</w:t>
            </w:r>
          </w:p>
          <w:p w14:paraId="5AB9A434"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Counts or levels exceed transfusion trigger</w:t>
            </w:r>
          </w:p>
          <w:p w14:paraId="1EDD470B"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For use by another patient</w:t>
            </w:r>
          </w:p>
          <w:p w14:paraId="29FB36E8"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Order cancelled</w:t>
            </w:r>
          </w:p>
          <w:p w14:paraId="257627D1"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Patient deceased</w:t>
            </w:r>
          </w:p>
          <w:p w14:paraId="40E245FB"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Patient discharged or transferred</w:t>
            </w:r>
          </w:p>
          <w:p w14:paraId="43A38BD8"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Specimen expired</w:t>
            </w:r>
          </w:p>
          <w:p w14:paraId="7438B941"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Transfusion reaction</w:t>
            </w:r>
          </w:p>
          <w:p w14:paraId="3F27E002"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Unit expired</w:t>
            </w:r>
          </w:p>
          <w:p w14:paraId="77C98E0E"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Other</w:t>
            </w:r>
          </w:p>
        </w:tc>
      </w:tr>
      <w:tr w:rsidR="00D17F64" w:rsidRPr="00575988" w14:paraId="049BEFA5" w14:textId="77777777" w:rsidTr="00615FC3">
        <w:trPr>
          <w:cantSplit/>
        </w:trPr>
        <w:tc>
          <w:tcPr>
            <w:tcW w:w="3168" w:type="dxa"/>
            <w:shd w:val="clear" w:color="auto" w:fill="auto"/>
          </w:tcPr>
          <w:p w14:paraId="36799BC8" w14:textId="77777777" w:rsidR="00D17F64" w:rsidRPr="00575988" w:rsidRDefault="00D17F64" w:rsidP="00615FC3">
            <w:pPr>
              <w:pStyle w:val="Caption"/>
              <w:keepNext w:val="0"/>
              <w:spacing w:before="0" w:after="0"/>
              <w:rPr>
                <w:rFonts w:ascii="Arial" w:hAnsi="Arial" w:cs="Arial"/>
                <w:b w:val="0"/>
                <w:sz w:val="18"/>
                <w:szCs w:val="18"/>
              </w:rPr>
            </w:pPr>
            <w:r w:rsidRPr="00575988">
              <w:rPr>
                <w:rFonts w:ascii="Arial" w:hAnsi="Arial" w:cs="Arial"/>
                <w:b w:val="0"/>
                <w:sz w:val="18"/>
                <w:szCs w:val="18"/>
              </w:rPr>
              <w:t>Release from Quarantine</w:t>
            </w:r>
          </w:p>
        </w:tc>
        <w:tc>
          <w:tcPr>
            <w:tcW w:w="5490" w:type="dxa"/>
            <w:shd w:val="clear" w:color="auto" w:fill="auto"/>
          </w:tcPr>
          <w:p w14:paraId="725A131B" w14:textId="77777777" w:rsidR="00D17F64" w:rsidRPr="00575988" w:rsidRDefault="00D17F64" w:rsidP="00615FC3">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Other</w:t>
            </w:r>
          </w:p>
        </w:tc>
      </w:tr>
      <w:tr w:rsidR="00CE2820" w:rsidRPr="00575988" w14:paraId="57DE8808" w14:textId="77777777" w:rsidTr="00CE2820">
        <w:trPr>
          <w:cantSplit/>
        </w:trPr>
        <w:tc>
          <w:tcPr>
            <w:tcW w:w="3168" w:type="dxa"/>
            <w:shd w:val="clear" w:color="auto" w:fill="auto"/>
          </w:tcPr>
          <w:p w14:paraId="7A189EEF" w14:textId="77777777" w:rsidR="00CE2820" w:rsidRPr="00575988" w:rsidRDefault="00CE2820" w:rsidP="00CA1F44">
            <w:pPr>
              <w:pStyle w:val="Caption"/>
              <w:keepNext w:val="0"/>
              <w:spacing w:before="0" w:after="0"/>
              <w:rPr>
                <w:rFonts w:ascii="Arial" w:hAnsi="Arial" w:cs="Arial"/>
                <w:b w:val="0"/>
                <w:sz w:val="18"/>
                <w:szCs w:val="18"/>
              </w:rPr>
            </w:pPr>
            <w:r w:rsidRPr="00575988">
              <w:rPr>
                <w:rFonts w:ascii="Arial" w:hAnsi="Arial" w:cs="Arial"/>
                <w:b w:val="0"/>
                <w:sz w:val="18"/>
                <w:szCs w:val="18"/>
              </w:rPr>
              <w:t>Special Instruction Inactivation</w:t>
            </w:r>
          </w:p>
        </w:tc>
        <w:tc>
          <w:tcPr>
            <w:tcW w:w="5490" w:type="dxa"/>
            <w:shd w:val="clear" w:color="auto" w:fill="auto"/>
          </w:tcPr>
          <w:p w14:paraId="1D963874"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No longer applies</w:t>
            </w:r>
          </w:p>
          <w:p w14:paraId="270076E9"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Other</w:t>
            </w:r>
          </w:p>
        </w:tc>
      </w:tr>
      <w:tr w:rsidR="00CE2820" w:rsidRPr="00575988" w14:paraId="2764AFE9" w14:textId="77777777" w:rsidTr="00CE2820">
        <w:trPr>
          <w:cantSplit/>
        </w:trPr>
        <w:tc>
          <w:tcPr>
            <w:tcW w:w="3168" w:type="dxa"/>
            <w:shd w:val="clear" w:color="auto" w:fill="auto"/>
          </w:tcPr>
          <w:p w14:paraId="0F158E60" w14:textId="77777777" w:rsidR="00CE2820" w:rsidRPr="00575988" w:rsidRDefault="00CE2820" w:rsidP="00CA1F44">
            <w:pPr>
              <w:pStyle w:val="Caption"/>
              <w:keepNext w:val="0"/>
              <w:spacing w:before="0" w:after="0"/>
              <w:rPr>
                <w:rFonts w:ascii="Arial" w:hAnsi="Arial" w:cs="Arial"/>
                <w:b w:val="0"/>
                <w:sz w:val="18"/>
                <w:szCs w:val="18"/>
              </w:rPr>
            </w:pPr>
            <w:r w:rsidRPr="00575988">
              <w:rPr>
                <w:rFonts w:ascii="Arial" w:hAnsi="Arial" w:cs="Arial"/>
                <w:b w:val="0"/>
                <w:sz w:val="18"/>
                <w:szCs w:val="18"/>
              </w:rPr>
              <w:t>Special Instructions</w:t>
            </w:r>
          </w:p>
        </w:tc>
        <w:tc>
          <w:tcPr>
            <w:tcW w:w="5490" w:type="dxa"/>
            <w:shd w:val="clear" w:color="auto" w:fill="auto"/>
          </w:tcPr>
          <w:p w14:paraId="4903A8D4"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Check the patient’s blood counts before selecting units, use often exceeds original order</w:t>
            </w:r>
          </w:p>
          <w:p w14:paraId="2C70B072"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Patient has rouleaux; saline replacement crossmatches are needed</w:t>
            </w:r>
          </w:p>
          <w:p w14:paraId="7A2DE0AC"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Split units for transfusion today</w:t>
            </w:r>
          </w:p>
          <w:p w14:paraId="4D112FD4"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Volume reduce platelet pools over 300 mL</w:t>
            </w:r>
          </w:p>
        </w:tc>
      </w:tr>
      <w:tr w:rsidR="00CE2820" w:rsidRPr="00575988" w14:paraId="6BA8A52E" w14:textId="77777777" w:rsidTr="00CE2820">
        <w:trPr>
          <w:cantSplit/>
        </w:trPr>
        <w:tc>
          <w:tcPr>
            <w:tcW w:w="3168" w:type="dxa"/>
            <w:shd w:val="clear" w:color="auto" w:fill="auto"/>
          </w:tcPr>
          <w:p w14:paraId="5CBD3397" w14:textId="77777777" w:rsidR="00CE2820" w:rsidRPr="00575988" w:rsidRDefault="00CE2820" w:rsidP="00CA1F44">
            <w:pPr>
              <w:pStyle w:val="Caption"/>
              <w:keepNext w:val="0"/>
              <w:spacing w:before="0" w:after="0"/>
              <w:rPr>
                <w:rFonts w:ascii="Arial" w:hAnsi="Arial" w:cs="Arial"/>
                <w:b w:val="0"/>
                <w:sz w:val="18"/>
                <w:szCs w:val="18"/>
              </w:rPr>
            </w:pPr>
            <w:r w:rsidRPr="00575988">
              <w:rPr>
                <w:rFonts w:ascii="Arial" w:hAnsi="Arial" w:cs="Arial"/>
                <w:b w:val="0"/>
                <w:sz w:val="18"/>
                <w:szCs w:val="18"/>
              </w:rPr>
              <w:t>Specimen Extension</w:t>
            </w:r>
          </w:p>
        </w:tc>
        <w:tc>
          <w:tcPr>
            <w:tcW w:w="5490" w:type="dxa"/>
            <w:shd w:val="clear" w:color="auto" w:fill="auto"/>
          </w:tcPr>
          <w:p w14:paraId="61711FAA"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Pre-op Workup</w:t>
            </w:r>
          </w:p>
          <w:p w14:paraId="4BD8A79B"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Surgery rescheduled</w:t>
            </w:r>
          </w:p>
          <w:p w14:paraId="51A2BFE5"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Other</w:t>
            </w:r>
          </w:p>
        </w:tc>
      </w:tr>
      <w:tr w:rsidR="00CE2820" w:rsidRPr="00575988" w14:paraId="48E064B4" w14:textId="77777777" w:rsidTr="00CE2820">
        <w:trPr>
          <w:cantSplit/>
        </w:trPr>
        <w:tc>
          <w:tcPr>
            <w:tcW w:w="3168" w:type="dxa"/>
            <w:shd w:val="clear" w:color="auto" w:fill="auto"/>
          </w:tcPr>
          <w:p w14:paraId="3FD5D29E" w14:textId="77777777" w:rsidR="00CE2820" w:rsidRPr="00575988" w:rsidRDefault="00CE2820" w:rsidP="00CA1F44">
            <w:pPr>
              <w:pStyle w:val="Caption"/>
              <w:keepNext w:val="0"/>
              <w:spacing w:before="0" w:after="0"/>
              <w:rPr>
                <w:rFonts w:ascii="Arial" w:hAnsi="Arial" w:cs="Arial"/>
                <w:b w:val="0"/>
                <w:sz w:val="18"/>
                <w:szCs w:val="18"/>
              </w:rPr>
            </w:pPr>
            <w:r w:rsidRPr="00575988">
              <w:rPr>
                <w:rFonts w:ascii="Arial" w:hAnsi="Arial" w:cs="Arial"/>
                <w:b w:val="0"/>
                <w:sz w:val="18"/>
                <w:szCs w:val="18"/>
              </w:rPr>
              <w:t>Specimen General</w:t>
            </w:r>
          </w:p>
        </w:tc>
        <w:tc>
          <w:tcPr>
            <w:tcW w:w="5490" w:type="dxa"/>
            <w:shd w:val="clear" w:color="auto" w:fill="auto"/>
          </w:tcPr>
          <w:p w14:paraId="08FDC973"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Patient eligible for specimen extension</w:t>
            </w:r>
          </w:p>
          <w:p w14:paraId="0B25F049"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Specimen recollected</w:t>
            </w:r>
          </w:p>
          <w:p w14:paraId="497FDA24"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Other</w:t>
            </w:r>
          </w:p>
        </w:tc>
      </w:tr>
      <w:tr w:rsidR="00CE2820" w:rsidRPr="00575988" w14:paraId="519343A0" w14:textId="77777777" w:rsidTr="00CE2820">
        <w:trPr>
          <w:cantSplit/>
        </w:trPr>
        <w:tc>
          <w:tcPr>
            <w:tcW w:w="3168" w:type="dxa"/>
            <w:shd w:val="clear" w:color="auto" w:fill="auto"/>
          </w:tcPr>
          <w:p w14:paraId="64B6DB5E" w14:textId="77777777" w:rsidR="00CE2820" w:rsidRPr="00575988" w:rsidRDefault="00CE2820" w:rsidP="00CA1F44">
            <w:pPr>
              <w:pStyle w:val="Caption"/>
              <w:keepNext w:val="0"/>
              <w:spacing w:before="0" w:after="0"/>
              <w:rPr>
                <w:rFonts w:ascii="Arial" w:hAnsi="Arial" w:cs="Arial"/>
                <w:b w:val="0"/>
                <w:sz w:val="18"/>
                <w:szCs w:val="18"/>
              </w:rPr>
            </w:pPr>
            <w:r w:rsidRPr="00575988">
              <w:rPr>
                <w:rFonts w:ascii="Arial" w:hAnsi="Arial" w:cs="Arial"/>
                <w:b w:val="0"/>
                <w:sz w:val="18"/>
                <w:szCs w:val="18"/>
              </w:rPr>
              <w:t>Specimen Unacceptable</w:t>
            </w:r>
          </w:p>
        </w:tc>
        <w:tc>
          <w:tcPr>
            <w:tcW w:w="5490" w:type="dxa"/>
            <w:shd w:val="clear" w:color="auto" w:fill="auto"/>
          </w:tcPr>
          <w:p w14:paraId="560A7EE9"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Broken during processing</w:t>
            </w:r>
          </w:p>
          <w:p w14:paraId="6BB3A1B5"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Incomplete label</w:t>
            </w:r>
          </w:p>
          <w:p w14:paraId="654FA0A0"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Incomplete or unreadable Phlebotomist ID</w:t>
            </w:r>
          </w:p>
          <w:p w14:paraId="3AD20E57"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Incorrectly labeled</w:t>
            </w:r>
          </w:p>
          <w:p w14:paraId="277CEEE2"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No phlebotomist ID</w:t>
            </w:r>
          </w:p>
          <w:p w14:paraId="7EE50E51"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QNS (quantity not sufficient)</w:t>
            </w:r>
          </w:p>
          <w:p w14:paraId="34633ECD"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Specimen and paperwork do not match</w:t>
            </w:r>
          </w:p>
          <w:p w14:paraId="5E6CFE3C"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Specimen hemolyzed</w:t>
            </w:r>
          </w:p>
          <w:p w14:paraId="166233BE"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Specimen misplaced</w:t>
            </w:r>
          </w:p>
          <w:p w14:paraId="5067C1BC"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Specimen not received</w:t>
            </w:r>
          </w:p>
          <w:p w14:paraId="37802E9A"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Wrong specimen type collected</w:t>
            </w:r>
          </w:p>
          <w:p w14:paraId="4B889399"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Other</w:t>
            </w:r>
          </w:p>
        </w:tc>
      </w:tr>
      <w:tr w:rsidR="00D17F64" w:rsidRPr="00575988" w14:paraId="400978E9" w14:textId="77777777" w:rsidTr="00615FC3">
        <w:trPr>
          <w:cantSplit/>
        </w:trPr>
        <w:tc>
          <w:tcPr>
            <w:tcW w:w="3168" w:type="dxa"/>
            <w:shd w:val="clear" w:color="auto" w:fill="auto"/>
          </w:tcPr>
          <w:p w14:paraId="2B30992C" w14:textId="77777777" w:rsidR="00D17F64" w:rsidRPr="00575988" w:rsidRDefault="00D17F64" w:rsidP="00615FC3">
            <w:pPr>
              <w:pStyle w:val="Caption"/>
              <w:keepNext w:val="0"/>
              <w:spacing w:before="0" w:after="0"/>
              <w:rPr>
                <w:rFonts w:ascii="Arial" w:hAnsi="Arial" w:cs="Arial"/>
                <w:b w:val="0"/>
                <w:sz w:val="18"/>
                <w:szCs w:val="18"/>
              </w:rPr>
            </w:pPr>
            <w:r w:rsidRPr="00575988">
              <w:rPr>
                <w:rFonts w:ascii="Arial" w:hAnsi="Arial" w:cs="Arial"/>
                <w:b w:val="0"/>
                <w:sz w:val="18"/>
                <w:szCs w:val="18"/>
              </w:rPr>
              <w:lastRenderedPageBreak/>
              <w:t>Symptom Details</w:t>
            </w:r>
          </w:p>
        </w:tc>
        <w:tc>
          <w:tcPr>
            <w:tcW w:w="5490" w:type="dxa"/>
            <w:shd w:val="clear" w:color="auto" w:fill="auto"/>
          </w:tcPr>
          <w:p w14:paraId="0270E4E3" w14:textId="77777777" w:rsidR="00D17F64" w:rsidRPr="00575988" w:rsidRDefault="00D17F64" w:rsidP="00615FC3">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Other</w:t>
            </w:r>
          </w:p>
        </w:tc>
      </w:tr>
      <w:tr w:rsidR="00D17F64" w:rsidRPr="00575988" w14:paraId="6D0F2419" w14:textId="77777777" w:rsidTr="00615FC3">
        <w:trPr>
          <w:cantSplit/>
        </w:trPr>
        <w:tc>
          <w:tcPr>
            <w:tcW w:w="3168" w:type="dxa"/>
            <w:shd w:val="clear" w:color="auto" w:fill="auto"/>
          </w:tcPr>
          <w:p w14:paraId="46704F13" w14:textId="77777777" w:rsidR="00D17F64" w:rsidRPr="00575988" w:rsidRDefault="00D17F64" w:rsidP="00615FC3">
            <w:pPr>
              <w:pStyle w:val="Caption"/>
              <w:keepNext w:val="0"/>
              <w:spacing w:before="0" w:after="0"/>
              <w:rPr>
                <w:rFonts w:ascii="Arial" w:hAnsi="Arial" w:cs="Arial"/>
                <w:b w:val="0"/>
                <w:sz w:val="18"/>
                <w:szCs w:val="18"/>
              </w:rPr>
            </w:pPr>
            <w:r w:rsidRPr="00575988">
              <w:rPr>
                <w:rFonts w:ascii="Arial" w:hAnsi="Arial" w:cs="Arial"/>
                <w:b w:val="0"/>
                <w:sz w:val="18"/>
                <w:szCs w:val="18"/>
              </w:rPr>
              <w:t>Transfusion Blood Bag Not Returned</w:t>
            </w:r>
          </w:p>
        </w:tc>
        <w:tc>
          <w:tcPr>
            <w:tcW w:w="5490" w:type="dxa"/>
            <w:shd w:val="clear" w:color="auto" w:fill="auto"/>
          </w:tcPr>
          <w:p w14:paraId="5D9660DF" w14:textId="77777777" w:rsidR="00D17F64" w:rsidRPr="00575988" w:rsidRDefault="00D17F64" w:rsidP="00615FC3">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Other</w:t>
            </w:r>
          </w:p>
        </w:tc>
      </w:tr>
      <w:tr w:rsidR="00D17F64" w:rsidRPr="00575988" w14:paraId="42F621E8" w14:textId="77777777" w:rsidTr="00615FC3">
        <w:trPr>
          <w:cantSplit/>
        </w:trPr>
        <w:tc>
          <w:tcPr>
            <w:tcW w:w="3168" w:type="dxa"/>
            <w:shd w:val="clear" w:color="auto" w:fill="auto"/>
          </w:tcPr>
          <w:p w14:paraId="78E8D228" w14:textId="77777777" w:rsidR="00D17F64" w:rsidRPr="00575988" w:rsidRDefault="00D17F64" w:rsidP="00615FC3">
            <w:pPr>
              <w:pStyle w:val="Caption"/>
              <w:keepNext w:val="0"/>
              <w:spacing w:before="0" w:after="0"/>
              <w:rPr>
                <w:rFonts w:ascii="Arial" w:hAnsi="Arial" w:cs="Arial"/>
                <w:b w:val="0"/>
                <w:sz w:val="18"/>
                <w:szCs w:val="18"/>
              </w:rPr>
            </w:pPr>
            <w:r w:rsidRPr="00575988">
              <w:rPr>
                <w:rFonts w:ascii="Arial" w:hAnsi="Arial" w:cs="Arial"/>
                <w:b w:val="0"/>
                <w:sz w:val="18"/>
                <w:szCs w:val="18"/>
              </w:rPr>
              <w:t>Transfusion Clerical Checks Failed</w:t>
            </w:r>
          </w:p>
        </w:tc>
        <w:tc>
          <w:tcPr>
            <w:tcW w:w="5490" w:type="dxa"/>
            <w:shd w:val="clear" w:color="auto" w:fill="auto"/>
          </w:tcPr>
          <w:p w14:paraId="16D34B22" w14:textId="77777777" w:rsidR="00D17F64" w:rsidRPr="00575988" w:rsidRDefault="00D17F64" w:rsidP="00615FC3">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Other</w:t>
            </w:r>
          </w:p>
        </w:tc>
      </w:tr>
      <w:tr w:rsidR="00CE2820" w:rsidRPr="00575988" w14:paraId="62B22D17" w14:textId="77777777" w:rsidTr="00CE2820">
        <w:trPr>
          <w:cantSplit/>
        </w:trPr>
        <w:tc>
          <w:tcPr>
            <w:tcW w:w="3168" w:type="dxa"/>
            <w:shd w:val="clear" w:color="auto" w:fill="auto"/>
          </w:tcPr>
          <w:p w14:paraId="1996324F" w14:textId="77777777" w:rsidR="00CE2820" w:rsidRPr="00575988" w:rsidRDefault="00CE2820" w:rsidP="00CA1F44">
            <w:pPr>
              <w:pStyle w:val="Caption"/>
              <w:keepNext w:val="0"/>
              <w:spacing w:before="0" w:after="0"/>
              <w:rPr>
                <w:rFonts w:ascii="Arial" w:hAnsi="Arial" w:cs="Arial"/>
                <w:b w:val="0"/>
                <w:sz w:val="18"/>
                <w:szCs w:val="18"/>
              </w:rPr>
            </w:pPr>
            <w:r w:rsidRPr="00575988">
              <w:rPr>
                <w:rFonts w:ascii="Arial" w:hAnsi="Arial" w:cs="Arial"/>
                <w:b w:val="0"/>
                <w:sz w:val="18"/>
                <w:szCs w:val="18"/>
              </w:rPr>
              <w:t>Transfusion Processing</w:t>
            </w:r>
          </w:p>
        </w:tc>
        <w:tc>
          <w:tcPr>
            <w:tcW w:w="5490" w:type="dxa"/>
            <w:shd w:val="clear" w:color="auto" w:fill="auto"/>
          </w:tcPr>
          <w:p w14:paraId="3214CABB"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Other</w:t>
            </w:r>
          </w:p>
        </w:tc>
      </w:tr>
      <w:tr w:rsidR="00CE2820" w:rsidRPr="00575988" w14:paraId="76F6BC80" w14:textId="77777777" w:rsidTr="00CE2820">
        <w:trPr>
          <w:cantSplit/>
        </w:trPr>
        <w:tc>
          <w:tcPr>
            <w:tcW w:w="3168" w:type="dxa"/>
            <w:shd w:val="clear" w:color="auto" w:fill="auto"/>
          </w:tcPr>
          <w:p w14:paraId="6878BE4B" w14:textId="77777777" w:rsidR="00CE2820" w:rsidRPr="00575988" w:rsidRDefault="00CE2820" w:rsidP="00CA1F44">
            <w:pPr>
              <w:pStyle w:val="Caption"/>
              <w:keepNext w:val="0"/>
              <w:spacing w:before="0" w:after="0"/>
              <w:rPr>
                <w:rFonts w:ascii="Arial" w:hAnsi="Arial" w:cs="Arial"/>
                <w:b w:val="0"/>
                <w:sz w:val="18"/>
                <w:szCs w:val="18"/>
              </w:rPr>
            </w:pPr>
            <w:r w:rsidRPr="00575988">
              <w:rPr>
                <w:rFonts w:ascii="Arial" w:hAnsi="Arial" w:cs="Arial"/>
                <w:b w:val="0"/>
                <w:sz w:val="18"/>
                <w:szCs w:val="18"/>
              </w:rPr>
              <w:t>Transfusion Reaction Workup</w:t>
            </w:r>
          </w:p>
        </w:tc>
        <w:tc>
          <w:tcPr>
            <w:tcW w:w="5490" w:type="dxa"/>
            <w:shd w:val="clear" w:color="auto" w:fill="auto"/>
          </w:tcPr>
          <w:p w14:paraId="7B293582"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Other</w:t>
            </w:r>
          </w:p>
        </w:tc>
      </w:tr>
      <w:tr w:rsidR="00CE2820" w:rsidRPr="00575988" w14:paraId="57DE7D9F" w14:textId="77777777" w:rsidTr="00CE2820">
        <w:trPr>
          <w:cantSplit/>
        </w:trPr>
        <w:tc>
          <w:tcPr>
            <w:tcW w:w="3168" w:type="dxa"/>
            <w:shd w:val="clear" w:color="auto" w:fill="auto"/>
          </w:tcPr>
          <w:p w14:paraId="2A77C153" w14:textId="77777777" w:rsidR="00CE2820" w:rsidRPr="00575988" w:rsidRDefault="00CE2820" w:rsidP="00CA1F44">
            <w:pPr>
              <w:pStyle w:val="Caption"/>
              <w:keepNext w:val="0"/>
              <w:spacing w:before="0" w:after="0"/>
              <w:rPr>
                <w:rFonts w:ascii="Arial" w:hAnsi="Arial" w:cs="Arial"/>
                <w:b w:val="0"/>
                <w:sz w:val="18"/>
                <w:szCs w:val="18"/>
              </w:rPr>
            </w:pPr>
            <w:r w:rsidRPr="00575988">
              <w:rPr>
                <w:rFonts w:ascii="Arial" w:hAnsi="Arial" w:cs="Arial"/>
                <w:b w:val="0"/>
                <w:sz w:val="18"/>
                <w:szCs w:val="18"/>
              </w:rPr>
              <w:t>Transfusion Requirement Inactivation</w:t>
            </w:r>
          </w:p>
        </w:tc>
        <w:tc>
          <w:tcPr>
            <w:tcW w:w="5490" w:type="dxa"/>
            <w:shd w:val="clear" w:color="auto" w:fill="auto"/>
          </w:tcPr>
          <w:p w14:paraId="4F40559B"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Clerical error</w:t>
            </w:r>
          </w:p>
          <w:p w14:paraId="72210DF2"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No longer applied</w:t>
            </w:r>
          </w:p>
          <w:p w14:paraId="7920F9AB"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Order cancelled</w:t>
            </w:r>
          </w:p>
          <w:p w14:paraId="0116FF99" w14:textId="77777777" w:rsidR="00CE2820"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Typographical error</w:t>
            </w:r>
          </w:p>
          <w:p w14:paraId="6A584867"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Other</w:t>
            </w:r>
          </w:p>
        </w:tc>
      </w:tr>
      <w:tr w:rsidR="00CE2820" w:rsidRPr="00575988" w14:paraId="6E62DDDD" w14:textId="77777777" w:rsidTr="00CE2820">
        <w:trPr>
          <w:cantSplit/>
        </w:trPr>
        <w:tc>
          <w:tcPr>
            <w:tcW w:w="3168" w:type="dxa"/>
            <w:shd w:val="clear" w:color="auto" w:fill="auto"/>
          </w:tcPr>
          <w:p w14:paraId="0D8618C7" w14:textId="77777777" w:rsidR="00CE2820" w:rsidRPr="00575988" w:rsidRDefault="00CE2820" w:rsidP="00CA1F44">
            <w:pPr>
              <w:pStyle w:val="Caption"/>
              <w:keepNext w:val="0"/>
              <w:spacing w:before="0" w:after="0"/>
              <w:rPr>
                <w:rFonts w:ascii="Arial" w:hAnsi="Arial" w:cs="Arial"/>
                <w:b w:val="0"/>
                <w:sz w:val="18"/>
                <w:szCs w:val="18"/>
              </w:rPr>
            </w:pPr>
            <w:r w:rsidRPr="00575988">
              <w:rPr>
                <w:rFonts w:ascii="Arial" w:hAnsi="Arial" w:cs="Arial"/>
                <w:b w:val="0"/>
                <w:sz w:val="18"/>
                <w:szCs w:val="18"/>
              </w:rPr>
              <w:t>Unit Inactivation</w:t>
            </w:r>
          </w:p>
        </w:tc>
        <w:tc>
          <w:tcPr>
            <w:tcW w:w="5490" w:type="dxa"/>
            <w:shd w:val="clear" w:color="auto" w:fill="auto"/>
          </w:tcPr>
          <w:p w14:paraId="6C713FDD"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Clerical error</w:t>
            </w:r>
          </w:p>
          <w:p w14:paraId="4FABFC9E" w14:textId="77777777" w:rsidR="00CE2820"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Typographical error</w:t>
            </w:r>
          </w:p>
          <w:p w14:paraId="140712A4"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Other</w:t>
            </w:r>
          </w:p>
        </w:tc>
      </w:tr>
      <w:tr w:rsidR="00CE2820" w:rsidRPr="00575988" w14:paraId="340A4F84" w14:textId="77777777" w:rsidTr="00CE2820">
        <w:trPr>
          <w:cantSplit/>
        </w:trPr>
        <w:tc>
          <w:tcPr>
            <w:tcW w:w="3168" w:type="dxa"/>
            <w:shd w:val="clear" w:color="auto" w:fill="auto"/>
          </w:tcPr>
          <w:p w14:paraId="3F180465" w14:textId="77777777" w:rsidR="00CE2820" w:rsidRPr="00575988" w:rsidRDefault="00CE2820" w:rsidP="00CA1F44">
            <w:pPr>
              <w:pStyle w:val="Caption"/>
              <w:keepNext w:val="0"/>
              <w:spacing w:before="0" w:after="0"/>
              <w:rPr>
                <w:rFonts w:ascii="Arial" w:hAnsi="Arial" w:cs="Arial"/>
                <w:b w:val="0"/>
                <w:sz w:val="18"/>
                <w:szCs w:val="18"/>
              </w:rPr>
            </w:pPr>
            <w:r w:rsidRPr="00575988">
              <w:rPr>
                <w:rFonts w:ascii="Arial" w:hAnsi="Arial" w:cs="Arial"/>
                <w:b w:val="0"/>
                <w:sz w:val="18"/>
                <w:szCs w:val="18"/>
              </w:rPr>
              <w:t>Unit Issue</w:t>
            </w:r>
          </w:p>
        </w:tc>
        <w:tc>
          <w:tcPr>
            <w:tcW w:w="5490" w:type="dxa"/>
            <w:shd w:val="clear" w:color="auto" w:fill="auto"/>
          </w:tcPr>
          <w:p w14:paraId="176D6A50"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Blood shortage</w:t>
            </w:r>
          </w:p>
          <w:p w14:paraId="5B944DD0"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Critical need</w:t>
            </w:r>
          </w:p>
          <w:p w14:paraId="6379FABA"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Incomplete donor screening tests</w:t>
            </w:r>
          </w:p>
          <w:p w14:paraId="5994AD6D"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Issued to ER</w:t>
            </w:r>
          </w:p>
          <w:p w14:paraId="37CE121A"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Massive transfusion</w:t>
            </w:r>
          </w:p>
          <w:p w14:paraId="779951AC"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Positive donor screening test(s)</w:t>
            </w:r>
          </w:p>
          <w:p w14:paraId="4FDF38B5"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Remote storage cooler A</w:t>
            </w:r>
          </w:p>
          <w:p w14:paraId="418F5018"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Trauma</w:t>
            </w:r>
          </w:p>
          <w:p w14:paraId="3200887A" w14:textId="77777777" w:rsidR="00CE2820"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Visual inspection unsatisfactory</w:t>
            </w:r>
          </w:p>
          <w:p w14:paraId="59808F67"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Other</w:t>
            </w:r>
          </w:p>
        </w:tc>
      </w:tr>
      <w:tr w:rsidR="00CE2820" w:rsidRPr="001465A4" w14:paraId="07E77264" w14:textId="77777777" w:rsidTr="00CE2820">
        <w:trPr>
          <w:cantSplit/>
        </w:trPr>
        <w:tc>
          <w:tcPr>
            <w:tcW w:w="3168" w:type="dxa"/>
            <w:shd w:val="clear" w:color="auto" w:fill="auto"/>
          </w:tcPr>
          <w:p w14:paraId="0A99406A" w14:textId="77777777" w:rsidR="00CE2820" w:rsidRPr="00575988" w:rsidRDefault="00CE2820" w:rsidP="00CA1F44">
            <w:pPr>
              <w:pStyle w:val="Caption"/>
              <w:keepNext w:val="0"/>
              <w:spacing w:before="0" w:after="0"/>
              <w:rPr>
                <w:rFonts w:ascii="Arial" w:hAnsi="Arial" w:cs="Arial"/>
                <w:b w:val="0"/>
                <w:sz w:val="18"/>
                <w:szCs w:val="18"/>
              </w:rPr>
            </w:pPr>
            <w:r w:rsidRPr="00575988">
              <w:rPr>
                <w:rFonts w:ascii="Arial" w:hAnsi="Arial" w:cs="Arial"/>
                <w:b w:val="0"/>
                <w:sz w:val="18"/>
                <w:szCs w:val="18"/>
              </w:rPr>
              <w:t>Unit Modification</w:t>
            </w:r>
          </w:p>
        </w:tc>
        <w:tc>
          <w:tcPr>
            <w:tcW w:w="5490" w:type="dxa"/>
            <w:shd w:val="clear" w:color="auto" w:fill="auto"/>
          </w:tcPr>
          <w:p w14:paraId="3448E498"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Contaminated</w:t>
            </w:r>
          </w:p>
          <w:p w14:paraId="6B767CFF"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Punctured</w:t>
            </w:r>
          </w:p>
          <w:p w14:paraId="3BA6446A" w14:textId="77777777" w:rsidR="00CE2820"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Ruptured during thaw</w:t>
            </w:r>
          </w:p>
          <w:p w14:paraId="749B610F" w14:textId="77777777" w:rsidR="00CE2820" w:rsidRPr="001465A4"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Other</w:t>
            </w:r>
          </w:p>
        </w:tc>
      </w:tr>
      <w:tr w:rsidR="00F358AF" w:rsidRPr="001465A4" w14:paraId="7F567BA6" w14:textId="77777777" w:rsidTr="00615FC3">
        <w:trPr>
          <w:cantSplit/>
        </w:trPr>
        <w:tc>
          <w:tcPr>
            <w:tcW w:w="3168" w:type="dxa"/>
            <w:shd w:val="clear" w:color="auto" w:fill="auto"/>
          </w:tcPr>
          <w:p w14:paraId="45504FD8" w14:textId="77777777" w:rsidR="00F358AF" w:rsidRPr="00575988" w:rsidRDefault="00F358AF" w:rsidP="00615FC3">
            <w:pPr>
              <w:pStyle w:val="Caption"/>
              <w:keepNext w:val="0"/>
              <w:spacing w:before="0" w:after="0"/>
              <w:rPr>
                <w:rFonts w:ascii="Arial" w:hAnsi="Arial" w:cs="Arial"/>
                <w:b w:val="0"/>
                <w:sz w:val="18"/>
                <w:szCs w:val="18"/>
              </w:rPr>
            </w:pPr>
            <w:r w:rsidRPr="00575988">
              <w:rPr>
                <w:rFonts w:ascii="Arial" w:hAnsi="Arial" w:cs="Arial"/>
                <w:b w:val="0"/>
                <w:sz w:val="18"/>
                <w:szCs w:val="18"/>
              </w:rPr>
              <w:t>Unit Restriction</w:t>
            </w:r>
          </w:p>
        </w:tc>
        <w:tc>
          <w:tcPr>
            <w:tcW w:w="5490" w:type="dxa"/>
            <w:shd w:val="clear" w:color="auto" w:fill="auto"/>
          </w:tcPr>
          <w:p w14:paraId="3513EEE8" w14:textId="77777777" w:rsidR="00F358AF" w:rsidRDefault="00F358AF" w:rsidP="00615FC3">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No longer applied</w:t>
            </w:r>
          </w:p>
          <w:p w14:paraId="58C1012A" w14:textId="77777777" w:rsidR="00F358AF" w:rsidRPr="001465A4" w:rsidRDefault="00F358AF" w:rsidP="00615FC3">
            <w:pPr>
              <w:pStyle w:val="Caption"/>
              <w:keepNext w:val="0"/>
              <w:spacing w:before="0" w:after="0"/>
              <w:ind w:left="162" w:hanging="180"/>
            </w:pPr>
            <w:r w:rsidRPr="00575988">
              <w:rPr>
                <w:rFonts w:ascii="Arial" w:hAnsi="Arial" w:cs="Arial"/>
                <w:b w:val="0"/>
                <w:sz w:val="18"/>
                <w:szCs w:val="18"/>
              </w:rPr>
              <w:t>Other</w:t>
            </w:r>
          </w:p>
        </w:tc>
      </w:tr>
      <w:tr w:rsidR="00CE2820" w:rsidRPr="001465A4" w14:paraId="1C2D7183" w14:textId="77777777" w:rsidTr="00CE2820">
        <w:trPr>
          <w:cantSplit/>
        </w:trPr>
        <w:tc>
          <w:tcPr>
            <w:tcW w:w="3168" w:type="dxa"/>
            <w:shd w:val="clear" w:color="auto" w:fill="auto"/>
          </w:tcPr>
          <w:p w14:paraId="551C1635" w14:textId="77777777" w:rsidR="00CE2820" w:rsidRPr="00575988" w:rsidRDefault="00CE2820" w:rsidP="00CA1F44">
            <w:pPr>
              <w:pStyle w:val="Caption"/>
              <w:keepNext w:val="0"/>
              <w:spacing w:before="0" w:after="0"/>
              <w:rPr>
                <w:rFonts w:ascii="Arial" w:hAnsi="Arial" w:cs="Arial"/>
                <w:b w:val="0"/>
                <w:sz w:val="18"/>
                <w:szCs w:val="18"/>
              </w:rPr>
            </w:pPr>
            <w:r w:rsidRPr="00575988">
              <w:rPr>
                <w:rFonts w:ascii="Arial" w:hAnsi="Arial" w:cs="Arial"/>
                <w:b w:val="0"/>
                <w:sz w:val="18"/>
                <w:szCs w:val="18"/>
              </w:rPr>
              <w:t>Unit Return</w:t>
            </w:r>
          </w:p>
        </w:tc>
        <w:tc>
          <w:tcPr>
            <w:tcW w:w="5490" w:type="dxa"/>
            <w:shd w:val="clear" w:color="auto" w:fill="auto"/>
          </w:tcPr>
          <w:p w14:paraId="318CCBB7"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Blood shortage</w:t>
            </w:r>
          </w:p>
          <w:p w14:paraId="01700ADE"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Broken during processing</w:t>
            </w:r>
          </w:p>
          <w:p w14:paraId="425DA2E4"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Broken upon receipt</w:t>
            </w:r>
          </w:p>
          <w:p w14:paraId="1D3EE02B" w14:textId="77777777" w:rsidR="00CE2820"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Expired</w:t>
            </w:r>
          </w:p>
          <w:p w14:paraId="102AA0AC"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Improperly stored</w:t>
            </w:r>
          </w:p>
          <w:p w14:paraId="4E62B229"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Massive transfusion</w:t>
            </w:r>
          </w:p>
          <w:p w14:paraId="3B59BA44"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Patient deceased</w:t>
            </w:r>
          </w:p>
          <w:p w14:paraId="7C4BA7B4"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Patient discharged or transferred</w:t>
            </w:r>
          </w:p>
          <w:p w14:paraId="7D6D9EE5"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Patient refuses treatment</w:t>
            </w:r>
          </w:p>
          <w:p w14:paraId="7175B6CB"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Patient unavailable</w:t>
            </w:r>
          </w:p>
          <w:p w14:paraId="4BF27079"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Punctured</w:t>
            </w:r>
          </w:p>
          <w:p w14:paraId="2ED1ACFF"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Ruptured during thaw</w:t>
            </w:r>
          </w:p>
          <w:p w14:paraId="3CE680B6"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Spiked or damaged</w:t>
            </w:r>
          </w:p>
          <w:p w14:paraId="71E4AA4B"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Surgery rescheduled</w:t>
            </w:r>
          </w:p>
          <w:p w14:paraId="6C65F9D4"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Trauma</w:t>
            </w:r>
          </w:p>
          <w:p w14:paraId="1F2E1A27" w14:textId="77777777" w:rsidR="00CE2820"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Unsatisfactory, return to supplier</w:t>
            </w:r>
          </w:p>
          <w:p w14:paraId="46ADFF71" w14:textId="77777777" w:rsidR="00CE2820" w:rsidRPr="001465A4"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Other</w:t>
            </w:r>
          </w:p>
        </w:tc>
      </w:tr>
      <w:tr w:rsidR="00CE2820" w:rsidRPr="001465A4" w14:paraId="2F69C148" w14:textId="77777777" w:rsidTr="00CE2820">
        <w:trPr>
          <w:cantSplit/>
        </w:trPr>
        <w:tc>
          <w:tcPr>
            <w:tcW w:w="3168" w:type="dxa"/>
            <w:shd w:val="clear" w:color="auto" w:fill="auto"/>
          </w:tcPr>
          <w:p w14:paraId="3D91E137" w14:textId="77777777" w:rsidR="00CE2820" w:rsidRPr="00575988" w:rsidRDefault="00CE2820" w:rsidP="00CA1F44">
            <w:pPr>
              <w:pStyle w:val="Caption"/>
              <w:keepNext w:val="0"/>
              <w:spacing w:before="0" w:after="0"/>
              <w:rPr>
                <w:rFonts w:ascii="Arial" w:hAnsi="Arial" w:cs="Arial"/>
                <w:b w:val="0"/>
                <w:sz w:val="18"/>
                <w:szCs w:val="18"/>
              </w:rPr>
            </w:pPr>
            <w:r w:rsidRPr="00575988">
              <w:rPr>
                <w:rFonts w:ascii="Arial" w:hAnsi="Arial" w:cs="Arial"/>
                <w:b w:val="0"/>
                <w:sz w:val="18"/>
                <w:szCs w:val="18"/>
              </w:rPr>
              <w:t>Unit Selection</w:t>
            </w:r>
          </w:p>
        </w:tc>
        <w:tc>
          <w:tcPr>
            <w:tcW w:w="5490" w:type="dxa"/>
            <w:shd w:val="clear" w:color="auto" w:fill="auto"/>
          </w:tcPr>
          <w:p w14:paraId="2079DCD7"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Blood shortage</w:t>
            </w:r>
          </w:p>
          <w:p w14:paraId="7E19E01F"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Critical need</w:t>
            </w:r>
          </w:p>
          <w:p w14:paraId="41B7F20F"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Massive transfusion</w:t>
            </w:r>
          </w:p>
          <w:p w14:paraId="48CDF966"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Rh mismatch selection necessary</w:t>
            </w:r>
          </w:p>
          <w:p w14:paraId="20E590A1" w14:textId="77777777" w:rsidR="00CE2820"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Trauma</w:t>
            </w:r>
          </w:p>
          <w:p w14:paraId="21EA2A69" w14:textId="77777777" w:rsidR="00CE2820" w:rsidRPr="001465A4"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Other</w:t>
            </w:r>
          </w:p>
        </w:tc>
      </w:tr>
      <w:tr w:rsidR="00CE2820" w:rsidRPr="00575988" w14:paraId="615C6615" w14:textId="77777777" w:rsidTr="00CE2820">
        <w:trPr>
          <w:cantSplit/>
        </w:trPr>
        <w:tc>
          <w:tcPr>
            <w:tcW w:w="3168" w:type="dxa"/>
            <w:shd w:val="clear" w:color="auto" w:fill="auto"/>
          </w:tcPr>
          <w:p w14:paraId="0728B769" w14:textId="77777777" w:rsidR="00CE2820" w:rsidRPr="00575988" w:rsidRDefault="00CE2820" w:rsidP="00CA1F44">
            <w:pPr>
              <w:pStyle w:val="Caption"/>
              <w:keepNext w:val="0"/>
              <w:spacing w:before="0" w:after="0"/>
              <w:rPr>
                <w:rFonts w:ascii="Arial" w:hAnsi="Arial" w:cs="Arial"/>
                <w:b w:val="0"/>
                <w:sz w:val="18"/>
                <w:szCs w:val="18"/>
              </w:rPr>
            </w:pPr>
            <w:r w:rsidRPr="00575988">
              <w:rPr>
                <w:rFonts w:ascii="Arial" w:hAnsi="Arial" w:cs="Arial"/>
                <w:b w:val="0"/>
                <w:sz w:val="18"/>
                <w:szCs w:val="18"/>
              </w:rPr>
              <w:t>Unit Status Removal</w:t>
            </w:r>
          </w:p>
        </w:tc>
        <w:tc>
          <w:tcPr>
            <w:tcW w:w="5490" w:type="dxa"/>
            <w:shd w:val="clear" w:color="auto" w:fill="auto"/>
          </w:tcPr>
          <w:p w14:paraId="4010D8DD"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Other</w:t>
            </w:r>
          </w:p>
        </w:tc>
      </w:tr>
      <w:tr w:rsidR="00CE2820" w:rsidRPr="00575988" w14:paraId="42EABC56" w14:textId="77777777" w:rsidTr="00CE2820">
        <w:trPr>
          <w:cantSplit/>
        </w:trPr>
        <w:tc>
          <w:tcPr>
            <w:tcW w:w="3168" w:type="dxa"/>
            <w:shd w:val="clear" w:color="auto" w:fill="auto"/>
          </w:tcPr>
          <w:p w14:paraId="30C51EA1" w14:textId="77777777" w:rsidR="00CE2820" w:rsidRPr="00575988" w:rsidRDefault="00CE2820" w:rsidP="00CA1F44">
            <w:pPr>
              <w:pStyle w:val="Caption"/>
              <w:keepNext w:val="0"/>
              <w:spacing w:before="0" w:after="0"/>
              <w:rPr>
                <w:rFonts w:ascii="Arial" w:hAnsi="Arial" w:cs="Arial"/>
                <w:b w:val="0"/>
                <w:sz w:val="18"/>
                <w:szCs w:val="18"/>
              </w:rPr>
            </w:pPr>
            <w:r w:rsidRPr="00575988">
              <w:rPr>
                <w:rFonts w:ascii="Arial" w:hAnsi="Arial" w:cs="Arial"/>
                <w:b w:val="0"/>
                <w:sz w:val="18"/>
                <w:szCs w:val="18"/>
              </w:rPr>
              <w:lastRenderedPageBreak/>
              <w:t>Unit Testing</w:t>
            </w:r>
          </w:p>
        </w:tc>
        <w:tc>
          <w:tcPr>
            <w:tcW w:w="5490" w:type="dxa"/>
            <w:shd w:val="clear" w:color="auto" w:fill="auto"/>
          </w:tcPr>
          <w:p w14:paraId="1534C8A7"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Incomplete donor screening tests</w:t>
            </w:r>
          </w:p>
          <w:p w14:paraId="2502710E"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Lab equipment failure</w:t>
            </w:r>
          </w:p>
          <w:p w14:paraId="69B7FD60"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Positive donor screening test(s)</w:t>
            </w:r>
          </w:p>
          <w:p w14:paraId="52803D2A" w14:textId="77777777" w:rsidR="00CE2820"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Unit test cancelle</w:t>
            </w:r>
            <w:r>
              <w:rPr>
                <w:rFonts w:ascii="Arial" w:hAnsi="Arial" w:cs="Arial"/>
                <w:b w:val="0"/>
                <w:sz w:val="18"/>
                <w:szCs w:val="18"/>
              </w:rPr>
              <w:t>d</w:t>
            </w:r>
          </w:p>
          <w:p w14:paraId="1CB766AD"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Other</w:t>
            </w:r>
          </w:p>
        </w:tc>
      </w:tr>
    </w:tbl>
    <w:p w14:paraId="4247FFA4" w14:textId="77777777" w:rsidR="00667BEE" w:rsidRDefault="00667BEE" w:rsidP="00E73261">
      <w:pPr>
        <w:pStyle w:val="Caption"/>
        <w:sectPr w:rsidR="00667BEE" w:rsidSect="004C5759">
          <w:footerReference w:type="default" r:id="rId209"/>
          <w:pgSz w:w="12240" w:h="15840" w:code="1"/>
          <w:pgMar w:top="1440" w:right="1440" w:bottom="1440" w:left="1440" w:header="720" w:footer="720" w:gutter="0"/>
          <w:cols w:space="720"/>
          <w:docGrid w:linePitch="360"/>
        </w:sectPr>
      </w:pPr>
    </w:p>
    <w:p w14:paraId="5F270C98" w14:textId="77777777" w:rsidR="00E73261" w:rsidRDefault="00E73261" w:rsidP="00E73261">
      <w:pPr>
        <w:pStyle w:val="Caption"/>
      </w:pPr>
    </w:p>
    <w:p w14:paraId="781B1123" w14:textId="1F642A49" w:rsidR="00E73261" w:rsidRDefault="00EE455E" w:rsidP="00E73261">
      <w:pPr>
        <w:rPr>
          <w:sz w:val="22"/>
          <w:szCs w:val="22"/>
        </w:rPr>
      </w:pPr>
      <w:r w:rsidRPr="00EE455E">
        <w:rPr>
          <w:sz w:val="22"/>
          <w:szCs w:val="22"/>
        </w:rPr>
        <w:t xml:space="preserve">Table </w:t>
      </w:r>
      <w:r w:rsidRPr="00EE455E">
        <w:rPr>
          <w:noProof/>
          <w:sz w:val="22"/>
          <w:szCs w:val="22"/>
        </w:rPr>
        <w:t>18</w:t>
      </w:r>
      <w:r w:rsidR="00667BEE" w:rsidRPr="00667BEE">
        <w:rPr>
          <w:sz w:val="22"/>
          <w:szCs w:val="22"/>
        </w:rPr>
        <w:t xml:space="preserve"> </w:t>
      </w:r>
      <w:r w:rsidR="00E73261" w:rsidRPr="00667BEE">
        <w:rPr>
          <w:sz w:val="22"/>
          <w:szCs w:val="22"/>
        </w:rPr>
        <w:t>is a</w:t>
      </w:r>
      <w:r w:rsidR="00D323CF" w:rsidRPr="00667BEE">
        <w:rPr>
          <w:sz w:val="22"/>
          <w:szCs w:val="22"/>
        </w:rPr>
        <w:t xml:space="preserve"> partial</w:t>
      </w:r>
      <w:r w:rsidR="00E73261" w:rsidRPr="00667BEE">
        <w:rPr>
          <w:sz w:val="22"/>
          <w:szCs w:val="22"/>
        </w:rPr>
        <w:t xml:space="preserve"> list of where comments appear in the options based on the requirements documents. </w:t>
      </w:r>
    </w:p>
    <w:p w14:paraId="416D5776" w14:textId="77777777" w:rsidR="00D72BC1" w:rsidRPr="00667BEE" w:rsidRDefault="00D72BC1" w:rsidP="00E73261">
      <w:pPr>
        <w:rPr>
          <w:sz w:val="22"/>
          <w:szCs w:val="22"/>
        </w:rPr>
      </w:pPr>
      <w:r>
        <w:rPr>
          <w:sz w:val="22"/>
          <w:szCs w:val="22"/>
        </w:rPr>
        <w:t>The comment list that appears in the “Reason for Change” field in Update Reagent Inventory is a fixed list and is not locally editable.</w:t>
      </w:r>
    </w:p>
    <w:p w14:paraId="1AC12B80" w14:textId="0699B341" w:rsidR="002A21AE" w:rsidRDefault="00E73261" w:rsidP="00E73261">
      <w:pPr>
        <w:pStyle w:val="Caption"/>
      </w:pPr>
      <w:bookmarkStart w:id="704" w:name="_Ref507070009"/>
      <w:r>
        <w:t xml:space="preserve">Table </w:t>
      </w:r>
      <w:r w:rsidR="004E20BD">
        <w:rPr>
          <w:noProof/>
        </w:rPr>
        <w:fldChar w:fldCharType="begin"/>
      </w:r>
      <w:r w:rsidR="004E20BD">
        <w:rPr>
          <w:noProof/>
        </w:rPr>
        <w:instrText xml:space="preserve"> SEQ Table \* ARABIC </w:instrText>
      </w:r>
      <w:r w:rsidR="004E20BD">
        <w:rPr>
          <w:noProof/>
        </w:rPr>
        <w:fldChar w:fldCharType="separate"/>
      </w:r>
      <w:r w:rsidR="007D1829">
        <w:rPr>
          <w:noProof/>
        </w:rPr>
        <w:t>18</w:t>
      </w:r>
      <w:r w:rsidR="004E20BD">
        <w:rPr>
          <w:noProof/>
        </w:rPr>
        <w:fldChar w:fldCharType="end"/>
      </w:r>
      <w:bookmarkEnd w:id="704"/>
      <w:r>
        <w:t xml:space="preserve">: </w:t>
      </w:r>
      <w:r w:rsidRPr="00C05D94">
        <w:t>Canned Comment Category vs Option</w:t>
      </w:r>
      <w:r w:rsidR="00812371">
        <w:fldChar w:fldCharType="begin"/>
      </w:r>
      <w:r w:rsidR="00812371">
        <w:instrText xml:space="preserve"> XE "Tables:Canned Comment Category vs Option" </w:instrText>
      </w:r>
      <w:r w:rsidR="00812371">
        <w:fldChar w:fldCharType="end"/>
      </w:r>
    </w:p>
    <w:tbl>
      <w:tblPr>
        <w:tblW w:w="0" w:type="auto"/>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8"/>
        <w:gridCol w:w="6059"/>
      </w:tblGrid>
      <w:tr w:rsidR="00E73261" w:rsidRPr="009F2938" w14:paraId="0107EB4D" w14:textId="77777777" w:rsidTr="00E73261">
        <w:trPr>
          <w:cantSplit/>
          <w:trHeight w:val="20"/>
          <w:tblHeader/>
        </w:trPr>
        <w:tc>
          <w:tcPr>
            <w:tcW w:w="0" w:type="auto"/>
            <w:shd w:val="pct25" w:color="auto" w:fill="auto"/>
            <w:noWrap/>
            <w:vAlign w:val="bottom"/>
            <w:hideMark/>
          </w:tcPr>
          <w:p w14:paraId="7FAE9AF9"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Canned Comment Category</w:t>
            </w:r>
          </w:p>
        </w:tc>
        <w:tc>
          <w:tcPr>
            <w:tcW w:w="0" w:type="auto"/>
            <w:shd w:val="pct25" w:color="auto" w:fill="auto"/>
            <w:vAlign w:val="bottom"/>
          </w:tcPr>
          <w:p w14:paraId="687C3B9D"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Option Appears In</w:t>
            </w:r>
          </w:p>
        </w:tc>
      </w:tr>
      <w:tr w:rsidR="00E73261" w:rsidRPr="009F2938" w14:paraId="027600B1" w14:textId="77777777" w:rsidTr="00E73261">
        <w:trPr>
          <w:cantSplit/>
          <w:trHeight w:val="20"/>
        </w:trPr>
        <w:tc>
          <w:tcPr>
            <w:tcW w:w="0" w:type="auto"/>
            <w:shd w:val="clear" w:color="auto" w:fill="auto"/>
            <w:noWrap/>
            <w:vAlign w:val="bottom"/>
            <w:hideMark/>
          </w:tcPr>
          <w:p w14:paraId="27DAA6B7"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ABO Incompatible Issue</w:t>
            </w:r>
          </w:p>
        </w:tc>
        <w:tc>
          <w:tcPr>
            <w:tcW w:w="0" w:type="auto"/>
            <w:vAlign w:val="bottom"/>
          </w:tcPr>
          <w:p w14:paraId="0A3A87BC" w14:textId="77777777" w:rsidR="00E73261" w:rsidRPr="00ED5636" w:rsidRDefault="00E73261" w:rsidP="00E73261">
            <w:pPr>
              <w:rPr>
                <w:rFonts w:ascii="Arial" w:hAnsi="Arial" w:cs="Arial"/>
                <w:color w:val="000000"/>
                <w:sz w:val="18"/>
                <w:szCs w:val="18"/>
              </w:rPr>
            </w:pPr>
            <w:r w:rsidRPr="00ED5636">
              <w:rPr>
                <w:rFonts w:ascii="Arial" w:hAnsi="Arial" w:cs="Arial"/>
                <w:sz w:val="18"/>
                <w:szCs w:val="18"/>
              </w:rPr>
              <w:t>ABO Incompatible Unit Transfused override during Issue Unit</w:t>
            </w:r>
          </w:p>
        </w:tc>
      </w:tr>
      <w:tr w:rsidR="00CC6656" w:rsidRPr="009F2938" w14:paraId="4FC93BC5" w14:textId="77777777" w:rsidTr="00E73261">
        <w:trPr>
          <w:cantSplit/>
          <w:trHeight w:val="20"/>
        </w:trPr>
        <w:tc>
          <w:tcPr>
            <w:tcW w:w="0" w:type="auto"/>
            <w:shd w:val="clear" w:color="auto" w:fill="auto"/>
            <w:noWrap/>
            <w:vAlign w:val="bottom"/>
          </w:tcPr>
          <w:p w14:paraId="040549C7" w14:textId="77777777" w:rsidR="00CC6656" w:rsidRPr="00ED5636" w:rsidRDefault="00CC6656" w:rsidP="00E73261">
            <w:pPr>
              <w:rPr>
                <w:rFonts w:ascii="Arial" w:hAnsi="Arial" w:cs="Arial"/>
                <w:color w:val="000000"/>
                <w:sz w:val="18"/>
                <w:szCs w:val="18"/>
              </w:rPr>
            </w:pPr>
            <w:r w:rsidRPr="00CC6656">
              <w:rPr>
                <w:rFonts w:ascii="Arial" w:hAnsi="Arial" w:cs="Arial"/>
                <w:color w:val="000000"/>
                <w:sz w:val="18"/>
                <w:szCs w:val="18"/>
              </w:rPr>
              <w:t>Automated Testing Review</w:t>
            </w:r>
          </w:p>
        </w:tc>
        <w:tc>
          <w:tcPr>
            <w:tcW w:w="0" w:type="auto"/>
            <w:vAlign w:val="bottom"/>
          </w:tcPr>
          <w:p w14:paraId="59EC0D5B" w14:textId="77777777" w:rsidR="00CC6656" w:rsidRPr="00ED5636" w:rsidRDefault="00797E11" w:rsidP="00D323CF">
            <w:pPr>
              <w:rPr>
                <w:rFonts w:ascii="Arial" w:hAnsi="Arial" w:cs="Arial"/>
                <w:sz w:val="18"/>
                <w:szCs w:val="18"/>
              </w:rPr>
            </w:pPr>
            <w:r>
              <w:rPr>
                <w:rFonts w:ascii="Arial" w:hAnsi="Arial" w:cs="Arial"/>
                <w:sz w:val="18"/>
                <w:szCs w:val="18"/>
              </w:rPr>
              <w:t>Automated Testing</w:t>
            </w:r>
          </w:p>
        </w:tc>
      </w:tr>
      <w:tr w:rsidR="00E73261" w:rsidRPr="009F2938" w14:paraId="4C0ED45F" w14:textId="77777777" w:rsidTr="00E73261">
        <w:trPr>
          <w:cantSplit/>
          <w:trHeight w:val="20"/>
        </w:trPr>
        <w:tc>
          <w:tcPr>
            <w:tcW w:w="0" w:type="auto"/>
            <w:shd w:val="clear" w:color="auto" w:fill="auto"/>
            <w:noWrap/>
            <w:vAlign w:val="bottom"/>
            <w:hideMark/>
          </w:tcPr>
          <w:p w14:paraId="7606D419"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Crossmatch</w:t>
            </w:r>
          </w:p>
        </w:tc>
        <w:tc>
          <w:tcPr>
            <w:tcW w:w="0" w:type="auto"/>
            <w:vAlign w:val="bottom"/>
          </w:tcPr>
          <w:p w14:paraId="7F03B39F"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“G” (Give with Medical Director Approval) compatibility Override</w:t>
            </w:r>
          </w:p>
        </w:tc>
      </w:tr>
      <w:tr w:rsidR="00E73261" w:rsidRPr="009F2938" w14:paraId="4728529F" w14:textId="77777777" w:rsidTr="00E73261">
        <w:trPr>
          <w:cantSplit/>
          <w:trHeight w:val="20"/>
        </w:trPr>
        <w:tc>
          <w:tcPr>
            <w:tcW w:w="0" w:type="auto"/>
            <w:shd w:val="clear" w:color="auto" w:fill="auto"/>
            <w:noWrap/>
            <w:vAlign w:val="bottom"/>
            <w:hideMark/>
          </w:tcPr>
          <w:p w14:paraId="6FF612DB"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Incoming Shipment</w:t>
            </w:r>
          </w:p>
        </w:tc>
        <w:tc>
          <w:tcPr>
            <w:tcW w:w="0" w:type="auto"/>
            <w:vAlign w:val="bottom"/>
          </w:tcPr>
          <w:p w14:paraId="4E3E4D4D"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Expired Unit Received override</w:t>
            </w:r>
          </w:p>
        </w:tc>
      </w:tr>
      <w:tr w:rsidR="00E73261" w:rsidRPr="00836B93" w14:paraId="415EF029" w14:textId="77777777" w:rsidTr="00E73261">
        <w:trPr>
          <w:cantSplit/>
          <w:trHeight w:val="20"/>
        </w:trPr>
        <w:tc>
          <w:tcPr>
            <w:tcW w:w="0" w:type="auto"/>
            <w:shd w:val="clear" w:color="auto" w:fill="auto"/>
            <w:noWrap/>
            <w:vAlign w:val="bottom"/>
            <w:hideMark/>
          </w:tcPr>
          <w:p w14:paraId="70F67AD2"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Justify ABO/Rh Change</w:t>
            </w:r>
          </w:p>
        </w:tc>
        <w:tc>
          <w:tcPr>
            <w:tcW w:w="0" w:type="auto"/>
            <w:vAlign w:val="bottom"/>
          </w:tcPr>
          <w:p w14:paraId="3AD2BB0F"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No use identified at this time.</w:t>
            </w:r>
          </w:p>
        </w:tc>
      </w:tr>
      <w:tr w:rsidR="00E73261" w:rsidRPr="00836B93" w14:paraId="3E7BACF0" w14:textId="77777777" w:rsidTr="00E73261">
        <w:trPr>
          <w:cantSplit/>
          <w:trHeight w:val="20"/>
        </w:trPr>
        <w:tc>
          <w:tcPr>
            <w:tcW w:w="0" w:type="auto"/>
            <w:shd w:val="clear" w:color="auto" w:fill="auto"/>
            <w:noWrap/>
            <w:vAlign w:val="bottom"/>
            <w:hideMark/>
          </w:tcPr>
          <w:p w14:paraId="0333D42C"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Order Cancellation</w:t>
            </w:r>
          </w:p>
        </w:tc>
        <w:tc>
          <w:tcPr>
            <w:tcW w:w="0" w:type="auto"/>
            <w:vAlign w:val="bottom"/>
          </w:tcPr>
          <w:p w14:paraId="765F3B87"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Accept Order, Patient Testing Task List</w:t>
            </w:r>
          </w:p>
        </w:tc>
      </w:tr>
      <w:tr w:rsidR="00E73261" w:rsidRPr="00836B93" w14:paraId="59A57F27" w14:textId="77777777" w:rsidTr="00E73261">
        <w:trPr>
          <w:cantSplit/>
          <w:trHeight w:val="20"/>
        </w:trPr>
        <w:tc>
          <w:tcPr>
            <w:tcW w:w="0" w:type="auto"/>
            <w:shd w:val="clear" w:color="auto" w:fill="auto"/>
            <w:noWrap/>
            <w:vAlign w:val="bottom"/>
            <w:hideMark/>
          </w:tcPr>
          <w:p w14:paraId="29A651F9"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Order Processing</w:t>
            </w:r>
          </w:p>
        </w:tc>
        <w:tc>
          <w:tcPr>
            <w:tcW w:w="0" w:type="auto"/>
            <w:vAlign w:val="bottom"/>
          </w:tcPr>
          <w:p w14:paraId="6CA38EAD"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Accept Order, Patient Testing Task List</w:t>
            </w:r>
          </w:p>
        </w:tc>
      </w:tr>
      <w:tr w:rsidR="00E73261" w:rsidRPr="00836B93" w14:paraId="47481233" w14:textId="77777777" w:rsidTr="00E73261">
        <w:trPr>
          <w:cantSplit/>
          <w:trHeight w:val="20"/>
        </w:trPr>
        <w:tc>
          <w:tcPr>
            <w:tcW w:w="0" w:type="auto"/>
            <w:shd w:val="clear" w:color="auto" w:fill="auto"/>
            <w:noWrap/>
            <w:vAlign w:val="bottom"/>
            <w:hideMark/>
          </w:tcPr>
          <w:p w14:paraId="3D0BE232"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Parameter Setting Change</w:t>
            </w:r>
          </w:p>
        </w:tc>
        <w:tc>
          <w:tcPr>
            <w:tcW w:w="0" w:type="auto"/>
            <w:vAlign w:val="bottom"/>
          </w:tcPr>
          <w:p w14:paraId="0BF168A4"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All the configure division options</w:t>
            </w:r>
          </w:p>
        </w:tc>
      </w:tr>
      <w:tr w:rsidR="00E73261" w:rsidRPr="00836B93" w14:paraId="21679F64" w14:textId="77777777" w:rsidTr="00E73261">
        <w:trPr>
          <w:cantSplit/>
          <w:trHeight w:val="20"/>
        </w:trPr>
        <w:tc>
          <w:tcPr>
            <w:tcW w:w="0" w:type="auto"/>
            <w:shd w:val="clear" w:color="auto" w:fill="auto"/>
            <w:noWrap/>
            <w:vAlign w:val="bottom"/>
            <w:hideMark/>
          </w:tcPr>
          <w:p w14:paraId="32EF1854"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Patient Testing</w:t>
            </w:r>
          </w:p>
        </w:tc>
        <w:tc>
          <w:tcPr>
            <w:tcW w:w="0" w:type="auto"/>
            <w:vAlign w:val="bottom"/>
          </w:tcPr>
          <w:p w14:paraId="19851447"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All patient test grid comment boxes including crossmatch test and ABID comment, TRW Serologic test entry. Invalidate patient testing in grid and option. Discrepant Repeat ABO/Rh Typing override.</w:t>
            </w:r>
          </w:p>
        </w:tc>
      </w:tr>
      <w:tr w:rsidR="00E73261" w:rsidRPr="00836B93" w14:paraId="59C56719" w14:textId="77777777" w:rsidTr="00E73261">
        <w:trPr>
          <w:cantSplit/>
          <w:trHeight w:val="20"/>
        </w:trPr>
        <w:tc>
          <w:tcPr>
            <w:tcW w:w="0" w:type="auto"/>
            <w:shd w:val="clear" w:color="auto" w:fill="auto"/>
            <w:noWrap/>
            <w:vAlign w:val="bottom"/>
            <w:hideMark/>
          </w:tcPr>
          <w:p w14:paraId="1F5A90A1"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Quarantine/Discard</w:t>
            </w:r>
          </w:p>
        </w:tc>
        <w:tc>
          <w:tcPr>
            <w:tcW w:w="0" w:type="auto"/>
            <w:vAlign w:val="bottom"/>
          </w:tcPr>
          <w:p w14:paraId="706B2709" w14:textId="7BAEACF8" w:rsidR="00E73261" w:rsidRPr="00ED5636" w:rsidRDefault="006549B7" w:rsidP="00E73261">
            <w:pPr>
              <w:rPr>
                <w:rFonts w:ascii="Arial" w:hAnsi="Arial" w:cs="Arial"/>
                <w:color w:val="000000"/>
                <w:sz w:val="18"/>
                <w:szCs w:val="18"/>
              </w:rPr>
            </w:pPr>
            <w:r w:rsidRPr="00ED5636">
              <w:rPr>
                <w:rFonts w:ascii="Arial" w:hAnsi="Arial" w:cs="Arial"/>
                <w:color w:val="000000"/>
                <w:sz w:val="18"/>
                <w:szCs w:val="18"/>
              </w:rPr>
              <w:t>Discard, Quarantine</w:t>
            </w:r>
          </w:p>
        </w:tc>
      </w:tr>
      <w:tr w:rsidR="00E73261" w:rsidRPr="00836B93" w14:paraId="23ADF45F" w14:textId="77777777" w:rsidTr="00E73261">
        <w:trPr>
          <w:cantSplit/>
          <w:trHeight w:val="20"/>
        </w:trPr>
        <w:tc>
          <w:tcPr>
            <w:tcW w:w="0" w:type="auto"/>
            <w:shd w:val="clear" w:color="auto" w:fill="auto"/>
            <w:noWrap/>
            <w:vAlign w:val="bottom"/>
            <w:hideMark/>
          </w:tcPr>
          <w:p w14:paraId="05111A67"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Reagent and Supply</w:t>
            </w:r>
          </w:p>
        </w:tc>
        <w:tc>
          <w:tcPr>
            <w:tcW w:w="0" w:type="auto"/>
            <w:vAlign w:val="bottom"/>
          </w:tcPr>
          <w:p w14:paraId="7C2E9F9B"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Enter Reagents, when unacceptable, when unacceptable, QC overrides</w:t>
            </w:r>
          </w:p>
        </w:tc>
      </w:tr>
      <w:tr w:rsidR="00E73261" w:rsidRPr="00836B93" w14:paraId="6982B84F" w14:textId="77777777" w:rsidTr="00E73261">
        <w:trPr>
          <w:cantSplit/>
          <w:trHeight w:val="20"/>
        </w:trPr>
        <w:tc>
          <w:tcPr>
            <w:tcW w:w="0" w:type="auto"/>
            <w:shd w:val="clear" w:color="auto" w:fill="auto"/>
            <w:noWrap/>
            <w:vAlign w:val="bottom"/>
            <w:hideMark/>
          </w:tcPr>
          <w:p w14:paraId="6384AC1D"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Release from Quarantine</w:t>
            </w:r>
          </w:p>
        </w:tc>
        <w:tc>
          <w:tcPr>
            <w:tcW w:w="0" w:type="auto"/>
            <w:vAlign w:val="bottom"/>
          </w:tcPr>
          <w:p w14:paraId="73CBB8F0"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Release from Quarantine.</w:t>
            </w:r>
          </w:p>
        </w:tc>
      </w:tr>
      <w:tr w:rsidR="00E73261" w:rsidRPr="00836B93" w14:paraId="2DA353FE" w14:textId="77777777" w:rsidTr="00E73261">
        <w:trPr>
          <w:cantSplit/>
          <w:trHeight w:val="20"/>
        </w:trPr>
        <w:tc>
          <w:tcPr>
            <w:tcW w:w="0" w:type="auto"/>
            <w:shd w:val="clear" w:color="auto" w:fill="auto"/>
            <w:noWrap/>
            <w:vAlign w:val="bottom"/>
            <w:hideMark/>
          </w:tcPr>
          <w:p w14:paraId="56E5A8E8"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Reason for Release</w:t>
            </w:r>
          </w:p>
        </w:tc>
        <w:tc>
          <w:tcPr>
            <w:tcW w:w="0" w:type="auto"/>
            <w:vAlign w:val="bottom"/>
          </w:tcPr>
          <w:p w14:paraId="438DAFF0"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Release unit from assignment</w:t>
            </w:r>
          </w:p>
        </w:tc>
      </w:tr>
      <w:tr w:rsidR="00E73261" w:rsidRPr="00836B93" w14:paraId="647D9C6B" w14:textId="77777777" w:rsidTr="00E73261">
        <w:trPr>
          <w:cantSplit/>
          <w:trHeight w:val="20"/>
        </w:trPr>
        <w:tc>
          <w:tcPr>
            <w:tcW w:w="0" w:type="auto"/>
            <w:shd w:val="clear" w:color="auto" w:fill="auto"/>
            <w:noWrap/>
            <w:vAlign w:val="bottom"/>
            <w:hideMark/>
          </w:tcPr>
          <w:p w14:paraId="6DDA0DE3"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Special Instruction Inactivation</w:t>
            </w:r>
          </w:p>
        </w:tc>
        <w:tc>
          <w:tcPr>
            <w:tcW w:w="0" w:type="auto"/>
            <w:vAlign w:val="bottom"/>
          </w:tcPr>
          <w:p w14:paraId="6153BCC4"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SI when inactivating an SI entry.</w:t>
            </w:r>
          </w:p>
        </w:tc>
      </w:tr>
      <w:tr w:rsidR="00E73261" w:rsidRPr="00836B93" w14:paraId="0DA42C15" w14:textId="77777777" w:rsidTr="00E73261">
        <w:trPr>
          <w:cantSplit/>
          <w:trHeight w:val="20"/>
        </w:trPr>
        <w:tc>
          <w:tcPr>
            <w:tcW w:w="0" w:type="auto"/>
            <w:shd w:val="clear" w:color="auto" w:fill="auto"/>
            <w:noWrap/>
            <w:vAlign w:val="bottom"/>
            <w:hideMark/>
          </w:tcPr>
          <w:p w14:paraId="41E6A052"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Special Instructions</w:t>
            </w:r>
          </w:p>
        </w:tc>
        <w:tc>
          <w:tcPr>
            <w:tcW w:w="0" w:type="auto"/>
            <w:vAlign w:val="bottom"/>
          </w:tcPr>
          <w:p w14:paraId="47A12F66"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SI actual message is considered a canned comment.</w:t>
            </w:r>
          </w:p>
        </w:tc>
      </w:tr>
      <w:tr w:rsidR="00E73261" w:rsidRPr="00836B93" w14:paraId="5C2F26A9" w14:textId="77777777" w:rsidTr="00E73261">
        <w:trPr>
          <w:cantSplit/>
          <w:trHeight w:val="20"/>
        </w:trPr>
        <w:tc>
          <w:tcPr>
            <w:tcW w:w="0" w:type="auto"/>
            <w:shd w:val="clear" w:color="auto" w:fill="auto"/>
            <w:noWrap/>
            <w:vAlign w:val="bottom"/>
            <w:hideMark/>
          </w:tcPr>
          <w:p w14:paraId="6E3BD4CD"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Specimen Extension</w:t>
            </w:r>
          </w:p>
        </w:tc>
        <w:tc>
          <w:tcPr>
            <w:tcW w:w="0" w:type="auto"/>
            <w:vAlign w:val="bottom"/>
          </w:tcPr>
          <w:p w14:paraId="085FBF00"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Maintain specimen</w:t>
            </w:r>
          </w:p>
        </w:tc>
      </w:tr>
      <w:tr w:rsidR="00E73261" w:rsidRPr="00836B93" w14:paraId="7399A7C7" w14:textId="77777777" w:rsidTr="00E73261">
        <w:trPr>
          <w:cantSplit/>
          <w:trHeight w:val="20"/>
        </w:trPr>
        <w:tc>
          <w:tcPr>
            <w:tcW w:w="0" w:type="auto"/>
            <w:shd w:val="clear" w:color="auto" w:fill="auto"/>
            <w:noWrap/>
            <w:vAlign w:val="bottom"/>
            <w:hideMark/>
          </w:tcPr>
          <w:p w14:paraId="17EAFC0F"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Specimen General</w:t>
            </w:r>
          </w:p>
        </w:tc>
        <w:tc>
          <w:tcPr>
            <w:tcW w:w="0" w:type="auto"/>
            <w:vAlign w:val="bottom"/>
          </w:tcPr>
          <w:p w14:paraId="2CD49D0C"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Accept Order</w:t>
            </w:r>
          </w:p>
        </w:tc>
      </w:tr>
      <w:tr w:rsidR="00E73261" w:rsidRPr="00836B93" w14:paraId="6B481C4D" w14:textId="77777777" w:rsidTr="00E73261">
        <w:trPr>
          <w:cantSplit/>
          <w:trHeight w:val="20"/>
        </w:trPr>
        <w:tc>
          <w:tcPr>
            <w:tcW w:w="0" w:type="auto"/>
            <w:shd w:val="clear" w:color="auto" w:fill="auto"/>
            <w:noWrap/>
            <w:vAlign w:val="bottom"/>
            <w:hideMark/>
          </w:tcPr>
          <w:p w14:paraId="7C3CFCB1"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Specimen Unacceptable</w:t>
            </w:r>
          </w:p>
        </w:tc>
        <w:tc>
          <w:tcPr>
            <w:tcW w:w="0" w:type="auto"/>
            <w:vAlign w:val="bottom"/>
          </w:tcPr>
          <w:p w14:paraId="4AB70BAF"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Accept Order</w:t>
            </w:r>
          </w:p>
        </w:tc>
      </w:tr>
      <w:tr w:rsidR="00E73261" w:rsidRPr="00836B93" w14:paraId="15B5822E" w14:textId="77777777" w:rsidTr="00E73261">
        <w:trPr>
          <w:cantSplit/>
          <w:trHeight w:val="20"/>
        </w:trPr>
        <w:tc>
          <w:tcPr>
            <w:tcW w:w="0" w:type="auto"/>
            <w:shd w:val="clear" w:color="auto" w:fill="auto"/>
            <w:noWrap/>
            <w:vAlign w:val="bottom"/>
            <w:hideMark/>
          </w:tcPr>
          <w:p w14:paraId="4872AD1C"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Transfusion Processing</w:t>
            </w:r>
          </w:p>
        </w:tc>
        <w:tc>
          <w:tcPr>
            <w:tcW w:w="0" w:type="auto"/>
            <w:vAlign w:val="bottom"/>
          </w:tcPr>
          <w:p w14:paraId="7267DDD1"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Post transfusion data</w:t>
            </w:r>
          </w:p>
        </w:tc>
      </w:tr>
      <w:tr w:rsidR="00E73261" w:rsidRPr="00836B93" w14:paraId="1E668BA8" w14:textId="77777777" w:rsidTr="00E73261">
        <w:trPr>
          <w:cantSplit/>
          <w:trHeight w:val="20"/>
        </w:trPr>
        <w:tc>
          <w:tcPr>
            <w:tcW w:w="0" w:type="auto"/>
            <w:shd w:val="clear" w:color="auto" w:fill="auto"/>
            <w:noWrap/>
            <w:vAlign w:val="bottom"/>
            <w:hideMark/>
          </w:tcPr>
          <w:p w14:paraId="6F4FDDDF"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Transfusion Reaction Workup</w:t>
            </w:r>
          </w:p>
        </w:tc>
        <w:tc>
          <w:tcPr>
            <w:tcW w:w="0" w:type="auto"/>
            <w:vAlign w:val="bottom"/>
          </w:tcPr>
          <w:p w14:paraId="65FFB8EF"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TRW Finalization Canned Comment</w:t>
            </w:r>
          </w:p>
        </w:tc>
      </w:tr>
      <w:tr w:rsidR="00E73261" w:rsidRPr="00836B93" w14:paraId="7A0BFD61" w14:textId="77777777" w:rsidTr="00E73261">
        <w:trPr>
          <w:cantSplit/>
          <w:trHeight w:val="20"/>
        </w:trPr>
        <w:tc>
          <w:tcPr>
            <w:tcW w:w="0" w:type="auto"/>
            <w:shd w:val="clear" w:color="auto" w:fill="auto"/>
            <w:noWrap/>
            <w:vAlign w:val="bottom"/>
            <w:hideMark/>
          </w:tcPr>
          <w:p w14:paraId="663C55C4"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Pre-Transfusion Specimen Checks</w:t>
            </w:r>
          </w:p>
        </w:tc>
        <w:tc>
          <w:tcPr>
            <w:tcW w:w="0" w:type="auto"/>
            <w:vAlign w:val="bottom"/>
          </w:tcPr>
          <w:p w14:paraId="33B32129"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TRW when pre is marked not available</w:t>
            </w:r>
          </w:p>
        </w:tc>
      </w:tr>
      <w:tr w:rsidR="00E73261" w:rsidRPr="00836B93" w14:paraId="2996EABC" w14:textId="77777777" w:rsidTr="00E73261">
        <w:trPr>
          <w:cantSplit/>
          <w:trHeight w:val="20"/>
        </w:trPr>
        <w:tc>
          <w:tcPr>
            <w:tcW w:w="0" w:type="auto"/>
            <w:shd w:val="clear" w:color="auto" w:fill="auto"/>
            <w:noWrap/>
            <w:vAlign w:val="bottom"/>
            <w:hideMark/>
          </w:tcPr>
          <w:p w14:paraId="39046A20"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Post-Transfusion Specimen Checks</w:t>
            </w:r>
          </w:p>
        </w:tc>
        <w:tc>
          <w:tcPr>
            <w:tcW w:w="0" w:type="auto"/>
            <w:vAlign w:val="bottom"/>
          </w:tcPr>
          <w:p w14:paraId="79681913"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TRW when post is marked not available</w:t>
            </w:r>
          </w:p>
        </w:tc>
      </w:tr>
      <w:tr w:rsidR="00E73261" w:rsidRPr="00836B93" w14:paraId="0333F7C0" w14:textId="77777777" w:rsidTr="00E73261">
        <w:trPr>
          <w:cantSplit/>
          <w:trHeight w:val="20"/>
        </w:trPr>
        <w:tc>
          <w:tcPr>
            <w:tcW w:w="0" w:type="auto"/>
            <w:shd w:val="clear" w:color="auto" w:fill="auto"/>
            <w:noWrap/>
            <w:vAlign w:val="bottom"/>
            <w:hideMark/>
          </w:tcPr>
          <w:p w14:paraId="038C548C"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Symptom Details</w:t>
            </w:r>
          </w:p>
        </w:tc>
        <w:tc>
          <w:tcPr>
            <w:tcW w:w="0" w:type="auto"/>
          </w:tcPr>
          <w:p w14:paraId="399423F3" w14:textId="77777777" w:rsidR="00E73261" w:rsidRPr="00ED5636" w:rsidRDefault="00E73261" w:rsidP="00E73261">
            <w:pPr>
              <w:rPr>
                <w:rFonts w:ascii="Arial" w:hAnsi="Arial" w:cs="Arial"/>
                <w:sz w:val="18"/>
                <w:szCs w:val="18"/>
              </w:rPr>
            </w:pPr>
            <w:r w:rsidRPr="00ED5636">
              <w:rPr>
                <w:rFonts w:ascii="Arial" w:hAnsi="Arial" w:cs="Arial"/>
                <w:color w:val="000000"/>
                <w:sz w:val="18"/>
                <w:szCs w:val="18"/>
              </w:rPr>
              <w:t>No use identified at this time.</w:t>
            </w:r>
          </w:p>
        </w:tc>
      </w:tr>
      <w:tr w:rsidR="00E73261" w:rsidRPr="00836B93" w14:paraId="4FB09124" w14:textId="77777777" w:rsidTr="00E73261">
        <w:trPr>
          <w:cantSplit/>
          <w:trHeight w:val="20"/>
        </w:trPr>
        <w:tc>
          <w:tcPr>
            <w:tcW w:w="0" w:type="auto"/>
            <w:shd w:val="clear" w:color="auto" w:fill="auto"/>
            <w:noWrap/>
            <w:vAlign w:val="bottom"/>
            <w:hideMark/>
          </w:tcPr>
          <w:p w14:paraId="7BB42563"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Transfusion Blood Bag Not Returned</w:t>
            </w:r>
          </w:p>
        </w:tc>
        <w:tc>
          <w:tcPr>
            <w:tcW w:w="0" w:type="auto"/>
            <w:vAlign w:val="bottom"/>
          </w:tcPr>
          <w:p w14:paraId="490B405A"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TRW when an implicated unit is entered and marked as not returned.</w:t>
            </w:r>
          </w:p>
        </w:tc>
      </w:tr>
      <w:tr w:rsidR="00E73261" w:rsidRPr="00836B93" w14:paraId="4C73C0FA" w14:textId="77777777" w:rsidTr="00E73261">
        <w:trPr>
          <w:cantSplit/>
          <w:trHeight w:val="20"/>
        </w:trPr>
        <w:tc>
          <w:tcPr>
            <w:tcW w:w="0" w:type="auto"/>
            <w:shd w:val="clear" w:color="auto" w:fill="auto"/>
            <w:noWrap/>
            <w:vAlign w:val="bottom"/>
            <w:hideMark/>
          </w:tcPr>
          <w:p w14:paraId="43BCE0C1"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Transfusion Clerical Checks Failed</w:t>
            </w:r>
          </w:p>
        </w:tc>
        <w:tc>
          <w:tcPr>
            <w:tcW w:w="0" w:type="auto"/>
            <w:vAlign w:val="bottom"/>
          </w:tcPr>
          <w:p w14:paraId="40071B50"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TRW when specimen is marked available</w:t>
            </w:r>
          </w:p>
          <w:p w14:paraId="6BAFA5AD"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TRW when an implicated unit is entered and marked as returned</w:t>
            </w:r>
          </w:p>
        </w:tc>
      </w:tr>
      <w:tr w:rsidR="00E73261" w:rsidRPr="00836B93" w14:paraId="693E9512" w14:textId="77777777" w:rsidTr="00E73261">
        <w:trPr>
          <w:cantSplit/>
          <w:trHeight w:val="20"/>
        </w:trPr>
        <w:tc>
          <w:tcPr>
            <w:tcW w:w="0" w:type="auto"/>
            <w:shd w:val="clear" w:color="auto" w:fill="auto"/>
            <w:noWrap/>
            <w:vAlign w:val="bottom"/>
            <w:hideMark/>
          </w:tcPr>
          <w:p w14:paraId="0FBF1CA7"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Transfusion Requirement Inactivation</w:t>
            </w:r>
          </w:p>
        </w:tc>
        <w:tc>
          <w:tcPr>
            <w:tcW w:w="0" w:type="auto"/>
            <w:vAlign w:val="bottom"/>
          </w:tcPr>
          <w:p w14:paraId="31BAE060"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TR tabs, including antigen negative requirement, Transfusion requirement and antibody identified tabs.</w:t>
            </w:r>
          </w:p>
        </w:tc>
      </w:tr>
      <w:tr w:rsidR="00E73261" w:rsidRPr="00836B93" w14:paraId="3D424E7E" w14:textId="77777777" w:rsidTr="00E73261">
        <w:trPr>
          <w:cantSplit/>
          <w:trHeight w:val="20"/>
        </w:trPr>
        <w:tc>
          <w:tcPr>
            <w:tcW w:w="0" w:type="auto"/>
            <w:shd w:val="clear" w:color="auto" w:fill="auto"/>
            <w:noWrap/>
            <w:vAlign w:val="bottom"/>
            <w:hideMark/>
          </w:tcPr>
          <w:p w14:paraId="20E9B759"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Unit Inactivation</w:t>
            </w:r>
          </w:p>
        </w:tc>
        <w:tc>
          <w:tcPr>
            <w:tcW w:w="0" w:type="auto"/>
          </w:tcPr>
          <w:p w14:paraId="412B82B6" w14:textId="77777777" w:rsidR="00E73261" w:rsidRPr="00ED5636" w:rsidRDefault="0055121B" w:rsidP="00E73261">
            <w:pPr>
              <w:rPr>
                <w:rFonts w:ascii="Arial" w:hAnsi="Arial" w:cs="Arial"/>
                <w:sz w:val="18"/>
                <w:szCs w:val="18"/>
              </w:rPr>
            </w:pPr>
            <w:r>
              <w:rPr>
                <w:rFonts w:ascii="Arial" w:hAnsi="Arial" w:cs="Arial"/>
                <w:color w:val="000000"/>
                <w:sz w:val="18"/>
                <w:szCs w:val="18"/>
              </w:rPr>
              <w:t>Edit Unit Information.</w:t>
            </w:r>
          </w:p>
        </w:tc>
      </w:tr>
      <w:tr w:rsidR="00E73261" w:rsidRPr="00836B93" w14:paraId="79470989" w14:textId="77777777" w:rsidTr="00E73261">
        <w:trPr>
          <w:cantSplit/>
          <w:trHeight w:val="20"/>
        </w:trPr>
        <w:tc>
          <w:tcPr>
            <w:tcW w:w="0" w:type="auto"/>
            <w:shd w:val="clear" w:color="auto" w:fill="auto"/>
            <w:noWrap/>
            <w:vAlign w:val="bottom"/>
            <w:hideMark/>
          </w:tcPr>
          <w:p w14:paraId="10B09B44"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Unit Issue</w:t>
            </w:r>
          </w:p>
        </w:tc>
        <w:tc>
          <w:tcPr>
            <w:tcW w:w="0" w:type="auto"/>
            <w:vAlign w:val="bottom"/>
          </w:tcPr>
          <w:p w14:paraId="62412C22"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Unit Issue Override for TR not satisfied.</w:t>
            </w:r>
          </w:p>
        </w:tc>
      </w:tr>
      <w:tr w:rsidR="00E73261" w:rsidRPr="00836B93" w14:paraId="70DA646F" w14:textId="77777777" w:rsidTr="00E73261">
        <w:trPr>
          <w:cantSplit/>
          <w:trHeight w:val="20"/>
        </w:trPr>
        <w:tc>
          <w:tcPr>
            <w:tcW w:w="0" w:type="auto"/>
            <w:shd w:val="clear" w:color="auto" w:fill="auto"/>
            <w:noWrap/>
            <w:vAlign w:val="bottom"/>
            <w:hideMark/>
          </w:tcPr>
          <w:p w14:paraId="3545D045"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Unit Modification</w:t>
            </w:r>
          </w:p>
        </w:tc>
        <w:tc>
          <w:tcPr>
            <w:tcW w:w="0" w:type="auto"/>
            <w:vAlign w:val="bottom"/>
          </w:tcPr>
          <w:p w14:paraId="5253B883"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Any modification override</w:t>
            </w:r>
          </w:p>
        </w:tc>
      </w:tr>
      <w:tr w:rsidR="00E73261" w:rsidRPr="00836B93" w14:paraId="73F6CAA5" w14:textId="77777777" w:rsidTr="00E73261">
        <w:trPr>
          <w:cantSplit/>
          <w:trHeight w:val="20"/>
        </w:trPr>
        <w:tc>
          <w:tcPr>
            <w:tcW w:w="0" w:type="auto"/>
            <w:shd w:val="clear" w:color="auto" w:fill="auto"/>
            <w:noWrap/>
            <w:vAlign w:val="bottom"/>
            <w:hideMark/>
          </w:tcPr>
          <w:p w14:paraId="054BF748"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Unit Return</w:t>
            </w:r>
          </w:p>
        </w:tc>
        <w:tc>
          <w:tcPr>
            <w:tcW w:w="0" w:type="auto"/>
            <w:vAlign w:val="bottom"/>
          </w:tcPr>
          <w:p w14:paraId="4E5A297F"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Return unit from Issue when unit is marked unsatisfactory</w:t>
            </w:r>
          </w:p>
        </w:tc>
      </w:tr>
      <w:tr w:rsidR="00E73261" w:rsidRPr="00836B93" w14:paraId="3F1EA84A" w14:textId="77777777" w:rsidTr="00E73261">
        <w:trPr>
          <w:cantSplit/>
          <w:trHeight w:val="20"/>
        </w:trPr>
        <w:tc>
          <w:tcPr>
            <w:tcW w:w="0" w:type="auto"/>
            <w:shd w:val="clear" w:color="auto" w:fill="auto"/>
            <w:noWrap/>
            <w:vAlign w:val="bottom"/>
            <w:hideMark/>
          </w:tcPr>
          <w:p w14:paraId="5DC91027"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Unit Restriction</w:t>
            </w:r>
          </w:p>
        </w:tc>
        <w:tc>
          <w:tcPr>
            <w:tcW w:w="0" w:type="auto"/>
            <w:vAlign w:val="bottom"/>
          </w:tcPr>
          <w:p w14:paraId="057D9DE2"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No use identified at this time.</w:t>
            </w:r>
          </w:p>
        </w:tc>
      </w:tr>
      <w:tr w:rsidR="00E73261" w:rsidRPr="00836B93" w14:paraId="2E133599" w14:textId="77777777" w:rsidTr="00E73261">
        <w:trPr>
          <w:cantSplit/>
          <w:trHeight w:val="20"/>
        </w:trPr>
        <w:tc>
          <w:tcPr>
            <w:tcW w:w="0" w:type="auto"/>
            <w:shd w:val="clear" w:color="auto" w:fill="auto"/>
            <w:noWrap/>
            <w:vAlign w:val="bottom"/>
            <w:hideMark/>
          </w:tcPr>
          <w:p w14:paraId="162AF9C6"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Unit Selection</w:t>
            </w:r>
          </w:p>
        </w:tc>
        <w:tc>
          <w:tcPr>
            <w:tcW w:w="0" w:type="auto"/>
            <w:vAlign w:val="bottom"/>
          </w:tcPr>
          <w:p w14:paraId="09BCE112"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Select Unit</w:t>
            </w:r>
          </w:p>
        </w:tc>
      </w:tr>
      <w:tr w:rsidR="00E73261" w:rsidRPr="00836B93" w14:paraId="6E21BCF6" w14:textId="77777777" w:rsidTr="00E73261">
        <w:trPr>
          <w:cantSplit/>
          <w:trHeight w:val="20"/>
        </w:trPr>
        <w:tc>
          <w:tcPr>
            <w:tcW w:w="0" w:type="auto"/>
            <w:shd w:val="clear" w:color="auto" w:fill="auto"/>
            <w:noWrap/>
            <w:vAlign w:val="bottom"/>
            <w:hideMark/>
          </w:tcPr>
          <w:p w14:paraId="31FC020E"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Unit Status Removal</w:t>
            </w:r>
          </w:p>
        </w:tc>
        <w:tc>
          <w:tcPr>
            <w:tcW w:w="0" w:type="auto"/>
            <w:vAlign w:val="bottom"/>
          </w:tcPr>
          <w:p w14:paraId="2BE793E7"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 xml:space="preserve">Remove Final </w:t>
            </w:r>
            <w:r w:rsidR="0055121B">
              <w:rPr>
                <w:rFonts w:ascii="Arial" w:hAnsi="Arial" w:cs="Arial"/>
                <w:color w:val="000000"/>
                <w:sz w:val="18"/>
                <w:szCs w:val="18"/>
              </w:rPr>
              <w:t>Status</w:t>
            </w:r>
            <w:r w:rsidRPr="00ED5636">
              <w:rPr>
                <w:rFonts w:ascii="Arial" w:hAnsi="Arial" w:cs="Arial"/>
                <w:color w:val="000000"/>
                <w:sz w:val="18"/>
                <w:szCs w:val="18"/>
              </w:rPr>
              <w:t>, Inactivate unit</w:t>
            </w:r>
          </w:p>
        </w:tc>
      </w:tr>
      <w:tr w:rsidR="00E73261" w:rsidRPr="009F2938" w14:paraId="54C6378E" w14:textId="77777777" w:rsidTr="00E73261">
        <w:trPr>
          <w:cantSplit/>
          <w:trHeight w:val="20"/>
        </w:trPr>
        <w:tc>
          <w:tcPr>
            <w:tcW w:w="0" w:type="auto"/>
            <w:shd w:val="clear" w:color="auto" w:fill="auto"/>
            <w:noWrap/>
            <w:vAlign w:val="bottom"/>
            <w:hideMark/>
          </w:tcPr>
          <w:p w14:paraId="1F5B247A"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Unit Testing</w:t>
            </w:r>
          </w:p>
        </w:tc>
        <w:tc>
          <w:tcPr>
            <w:tcW w:w="0" w:type="auto"/>
            <w:vAlign w:val="bottom"/>
          </w:tcPr>
          <w:p w14:paraId="06932095"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ABO/RH confirmation and Unit Antigen Typing Testing</w:t>
            </w:r>
          </w:p>
          <w:p w14:paraId="5555B9D0"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Edit Unit Information (Invalidate test results and unit inactivation)</w:t>
            </w:r>
          </w:p>
        </w:tc>
      </w:tr>
    </w:tbl>
    <w:p w14:paraId="534E1801" w14:textId="15063988" w:rsidR="002A21AE" w:rsidRDefault="00ED5636" w:rsidP="00ED5636">
      <w:pPr>
        <w:pStyle w:val="Heading3"/>
      </w:pPr>
      <w:bookmarkStart w:id="705" w:name="_Toc91323799"/>
      <w:r>
        <w:rPr>
          <w:rFonts w:ascii="Geneva" w:hAnsi="Geneva"/>
        </w:rPr>
        <w:br w:type="page"/>
      </w:r>
      <w:r w:rsidR="002548EA">
        <w:rPr>
          <w:rFonts w:ascii="Geneva" w:hAnsi="Geneva"/>
          <w:vanish/>
        </w:rPr>
        <w:lastRenderedPageBreak/>
        <w:t>PT_1</w:t>
      </w:r>
      <w:r w:rsidR="002A21AE">
        <w:rPr>
          <w:rFonts w:ascii="Geneva" w:hAnsi="Geneva"/>
          <w:vanish/>
        </w:rPr>
        <w:t>.0</w:t>
      </w:r>
      <w:r w:rsidR="002548EA">
        <w:rPr>
          <w:rFonts w:ascii="Geneva" w:hAnsi="Geneva"/>
          <w:vanish/>
        </w:rPr>
        <w:t>6</w:t>
      </w:r>
      <w:r w:rsidR="002A21AE">
        <w:rPr>
          <w:rFonts w:ascii="Geneva" w:hAnsi="Geneva"/>
          <w:vanish/>
        </w:rPr>
        <w:t xml:space="preserve"> </w:t>
      </w:r>
      <w:bookmarkStart w:id="706" w:name="_Toc203765978"/>
      <w:r w:rsidR="002A21AE">
        <w:t>CPRS Orderable Blood Components (Component Classes) Mapped to ICCBBA Component Classes</w:t>
      </w:r>
      <w:bookmarkEnd w:id="705"/>
      <w:bookmarkEnd w:id="706"/>
      <w:r w:rsidR="002A21AE">
        <w:fldChar w:fldCharType="begin"/>
      </w:r>
      <w:r w:rsidR="002A21AE">
        <w:instrText xml:space="preserve"> XE </w:instrText>
      </w:r>
      <w:r w:rsidR="00FA7E65">
        <w:instrText>“</w:instrText>
      </w:r>
      <w:r w:rsidR="002A21AE">
        <w:instrText>Tables:CPRS Orderable Blood Components (Component Classes) Mapped to ICCBBA Component Classes</w:instrText>
      </w:r>
      <w:r w:rsidR="00FA7E65">
        <w:instrText>”</w:instrText>
      </w:r>
      <w:r w:rsidR="002A21AE">
        <w:instrText xml:space="preserve"> </w:instrText>
      </w:r>
      <w:r w:rsidR="002A21AE">
        <w:fldChar w:fldCharType="end"/>
      </w:r>
    </w:p>
    <w:p w14:paraId="75FBBAE6" w14:textId="2BEFCF93" w:rsidR="002A21AE" w:rsidRDefault="00EE455E" w:rsidP="00FA7E65">
      <w:pPr>
        <w:pStyle w:val="BodyText"/>
      </w:pPr>
      <w:r w:rsidRPr="00575E6D">
        <w:t xml:space="preserve">Table </w:t>
      </w:r>
      <w:r>
        <w:rPr>
          <w:noProof/>
        </w:rPr>
        <w:t>19</w:t>
      </w:r>
      <w:r w:rsidR="00E73261">
        <w:t xml:space="preserve"> </w:t>
      </w:r>
      <w:r w:rsidR="002A21AE">
        <w:t>is used to map the CPRS/</w:t>
      </w:r>
      <w:r w:rsidR="00CA6E27" w:rsidRPr="00CA6E27">
        <w:rPr>
          <w:bCs/>
        </w:rPr>
        <w:t>VistA</w:t>
      </w:r>
      <w:r w:rsidR="002A21AE">
        <w:t xml:space="preserve"> orderables available to clinicians to the ICCBBA component classes.</w:t>
      </w:r>
      <w:r w:rsidR="00F04185">
        <w:t xml:space="preserve"> </w:t>
      </w:r>
      <w:r w:rsidR="00203682">
        <w:t>(</w:t>
      </w:r>
      <w:r w:rsidR="00911CAF" w:rsidRPr="00911CAF">
        <w:rPr>
          <w:vanish/>
        </w:rPr>
        <w:t xml:space="preserve">DR 4481 </w:t>
      </w:r>
      <w:r w:rsidR="00911CAF">
        <w:t xml:space="preserve">See </w:t>
      </w:r>
      <w:r w:rsidR="00911CAF" w:rsidRPr="00423A7F">
        <w:rPr>
          <w:i/>
          <w:iCs/>
        </w:rPr>
        <w:t>FAQ VBECS Blood Product Hierarchy</w:t>
      </w:r>
      <w:r w:rsidR="00911CAF">
        <w:t xml:space="preserve"> for additional information.</w:t>
      </w:r>
      <w:r w:rsidR="00203682">
        <w:t>)</w:t>
      </w:r>
    </w:p>
    <w:p w14:paraId="553DEFE8" w14:textId="30D57B26" w:rsidR="002A21AE" w:rsidRDefault="002A21AE">
      <w:pPr>
        <w:pStyle w:val="Caption"/>
        <w:rPr>
          <w:rFonts w:ascii="Arial" w:hAnsi="Arial"/>
          <w:sz w:val="16"/>
        </w:rPr>
      </w:pPr>
      <w:bookmarkStart w:id="707" w:name="_Ref507069801"/>
      <w:bookmarkStart w:id="708" w:name="_Ref507152797"/>
      <w:r w:rsidRPr="00575E6D">
        <w:t xml:space="preserve">Table </w:t>
      </w:r>
      <w:r w:rsidR="004E20BD">
        <w:rPr>
          <w:noProof/>
        </w:rPr>
        <w:fldChar w:fldCharType="begin"/>
      </w:r>
      <w:r w:rsidR="004E20BD">
        <w:rPr>
          <w:noProof/>
        </w:rPr>
        <w:instrText xml:space="preserve"> SEQ Table \* ARABIC </w:instrText>
      </w:r>
      <w:r w:rsidR="004E20BD">
        <w:rPr>
          <w:noProof/>
        </w:rPr>
        <w:fldChar w:fldCharType="separate"/>
      </w:r>
      <w:r w:rsidR="007D1829">
        <w:rPr>
          <w:noProof/>
        </w:rPr>
        <w:t>19</w:t>
      </w:r>
      <w:r w:rsidR="004E20BD">
        <w:rPr>
          <w:noProof/>
        </w:rPr>
        <w:fldChar w:fldCharType="end"/>
      </w:r>
      <w:bookmarkEnd w:id="707"/>
      <w:r w:rsidRPr="00575E6D">
        <w:t xml:space="preserve">: </w:t>
      </w:r>
      <w:r w:rsidRPr="00575E6D">
        <w:rPr>
          <w:vanish/>
        </w:rPr>
        <w:t>PT_</w:t>
      </w:r>
      <w:r w:rsidR="002548EA" w:rsidRPr="00575E6D">
        <w:rPr>
          <w:vanish/>
        </w:rPr>
        <w:t>1</w:t>
      </w:r>
      <w:r w:rsidRPr="00575E6D">
        <w:rPr>
          <w:vanish/>
        </w:rPr>
        <w:t>.0</w:t>
      </w:r>
      <w:r w:rsidR="002548EA" w:rsidRPr="00575E6D">
        <w:rPr>
          <w:vanish/>
        </w:rPr>
        <w:t>6</w:t>
      </w:r>
      <w:r w:rsidRPr="00575E6D">
        <w:rPr>
          <w:vanish/>
        </w:rPr>
        <w:t xml:space="preserve"> </w:t>
      </w:r>
      <w:r w:rsidRPr="00575E6D">
        <w:t>CPRS Orderable Blood Components (Component Classes) Mapped to ICCBBA Component Classes</w:t>
      </w:r>
      <w:bookmarkEnd w:id="708"/>
    </w:p>
    <w:tbl>
      <w:tblPr>
        <w:tblW w:w="7128" w:type="dxa"/>
        <w:tblInd w:w="604" w:type="dxa"/>
        <w:tblCellMar>
          <w:left w:w="0" w:type="dxa"/>
          <w:right w:w="0" w:type="dxa"/>
        </w:tblCellMar>
        <w:tblLook w:val="04A0" w:firstRow="1" w:lastRow="0" w:firstColumn="1" w:lastColumn="0" w:noHBand="0" w:noVBand="1"/>
      </w:tblPr>
      <w:tblGrid>
        <w:gridCol w:w="2988"/>
        <w:gridCol w:w="4140"/>
      </w:tblGrid>
      <w:tr w:rsidR="002202D4" w14:paraId="059DBA38" w14:textId="77777777" w:rsidTr="002202D4">
        <w:trPr>
          <w:trHeight w:val="255"/>
        </w:trPr>
        <w:tc>
          <w:tcPr>
            <w:tcW w:w="2988" w:type="dxa"/>
            <w:tcBorders>
              <w:top w:val="single" w:sz="8" w:space="0" w:color="auto"/>
              <w:left w:val="single" w:sz="8" w:space="0" w:color="auto"/>
              <w:bottom w:val="single" w:sz="8" w:space="0" w:color="auto"/>
              <w:right w:val="single" w:sz="8" w:space="0" w:color="auto"/>
            </w:tcBorders>
            <w:shd w:val="clear" w:color="auto" w:fill="CCCCCC"/>
            <w:noWrap/>
            <w:tcMar>
              <w:top w:w="0" w:type="dxa"/>
              <w:left w:w="108" w:type="dxa"/>
              <w:bottom w:w="0" w:type="dxa"/>
              <w:right w:w="108" w:type="dxa"/>
            </w:tcMar>
            <w:vAlign w:val="bottom"/>
            <w:hideMark/>
          </w:tcPr>
          <w:p w14:paraId="442975EA" w14:textId="77777777" w:rsidR="002202D4" w:rsidRPr="002202D4" w:rsidRDefault="002202D4">
            <w:pPr>
              <w:jc w:val="center"/>
              <w:rPr>
                <w:rFonts w:ascii="Arial" w:eastAsia="Calibri" w:hAnsi="Arial" w:cs="Arial"/>
                <w:b/>
                <w:bCs/>
                <w:sz w:val="18"/>
                <w:szCs w:val="18"/>
              </w:rPr>
            </w:pPr>
            <w:r w:rsidRPr="002202D4">
              <w:rPr>
                <w:rFonts w:ascii="Arial" w:hAnsi="Arial" w:cs="Arial"/>
                <w:b/>
                <w:bCs/>
                <w:sz w:val="18"/>
                <w:szCs w:val="18"/>
              </w:rPr>
              <w:t>CPRS Orderable Item</w:t>
            </w:r>
          </w:p>
        </w:tc>
        <w:tc>
          <w:tcPr>
            <w:tcW w:w="4140" w:type="dxa"/>
            <w:tcBorders>
              <w:top w:val="single" w:sz="8" w:space="0" w:color="auto"/>
              <w:left w:val="nil"/>
              <w:bottom w:val="single" w:sz="8" w:space="0" w:color="auto"/>
              <w:right w:val="single" w:sz="8" w:space="0" w:color="auto"/>
            </w:tcBorders>
            <w:shd w:val="clear" w:color="auto" w:fill="CCCCCC"/>
            <w:noWrap/>
            <w:tcMar>
              <w:top w:w="0" w:type="dxa"/>
              <w:left w:w="108" w:type="dxa"/>
              <w:bottom w:w="0" w:type="dxa"/>
              <w:right w:w="108" w:type="dxa"/>
            </w:tcMar>
            <w:vAlign w:val="bottom"/>
            <w:hideMark/>
          </w:tcPr>
          <w:p w14:paraId="059D7BA9" w14:textId="77777777" w:rsidR="002202D4" w:rsidRPr="002202D4" w:rsidRDefault="002202D4">
            <w:pPr>
              <w:jc w:val="center"/>
              <w:rPr>
                <w:rFonts w:ascii="Arial" w:eastAsia="Calibri" w:hAnsi="Arial" w:cs="Arial"/>
                <w:b/>
                <w:bCs/>
                <w:sz w:val="18"/>
                <w:szCs w:val="18"/>
              </w:rPr>
            </w:pPr>
            <w:r w:rsidRPr="002202D4">
              <w:rPr>
                <w:rFonts w:ascii="Arial" w:hAnsi="Arial" w:cs="Arial"/>
                <w:b/>
                <w:bCs/>
                <w:sz w:val="18"/>
                <w:szCs w:val="18"/>
              </w:rPr>
              <w:t>Blood Product Component Class</w:t>
            </w:r>
          </w:p>
        </w:tc>
      </w:tr>
      <w:tr w:rsidR="002202D4" w14:paraId="426F2CB7" w14:textId="77777777" w:rsidTr="002202D4">
        <w:trPr>
          <w:trHeight w:val="255"/>
        </w:trPr>
        <w:tc>
          <w:tcPr>
            <w:tcW w:w="2988"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0EFDB630" w14:textId="77777777" w:rsidR="002202D4" w:rsidRPr="002202D4" w:rsidRDefault="002202D4">
            <w:pPr>
              <w:jc w:val="center"/>
              <w:rPr>
                <w:rFonts w:ascii="Arial" w:eastAsia="Calibri" w:hAnsi="Arial" w:cs="Arial"/>
                <w:sz w:val="18"/>
                <w:szCs w:val="18"/>
              </w:rPr>
            </w:pPr>
            <w:r w:rsidRPr="002202D4">
              <w:rPr>
                <w:rFonts w:ascii="Arial" w:hAnsi="Arial" w:cs="Arial"/>
                <w:sz w:val="18"/>
                <w:szCs w:val="18"/>
              </w:rPr>
              <w:t>WHOLE BLOOD</w:t>
            </w:r>
          </w:p>
        </w:tc>
        <w:tc>
          <w:tcPr>
            <w:tcW w:w="41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642F9A0" w14:textId="77777777" w:rsidR="002202D4" w:rsidRPr="002202D4" w:rsidRDefault="002202D4">
            <w:pPr>
              <w:jc w:val="center"/>
              <w:rPr>
                <w:rFonts w:ascii="Arial" w:eastAsia="Calibri" w:hAnsi="Arial" w:cs="Arial"/>
                <w:sz w:val="18"/>
                <w:szCs w:val="18"/>
              </w:rPr>
            </w:pPr>
            <w:r w:rsidRPr="002202D4">
              <w:rPr>
                <w:rFonts w:ascii="Arial" w:hAnsi="Arial" w:cs="Arial"/>
                <w:sz w:val="18"/>
                <w:szCs w:val="18"/>
              </w:rPr>
              <w:t>RED BLOOD CELLS</w:t>
            </w:r>
          </w:p>
        </w:tc>
      </w:tr>
      <w:tr w:rsidR="002202D4" w14:paraId="6F8D83FB" w14:textId="77777777" w:rsidTr="002202D4">
        <w:trPr>
          <w:trHeight w:val="255"/>
        </w:trPr>
        <w:tc>
          <w:tcPr>
            <w:tcW w:w="2988"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3E134E29" w14:textId="77777777" w:rsidR="002202D4" w:rsidRPr="002202D4" w:rsidRDefault="002202D4">
            <w:pPr>
              <w:jc w:val="center"/>
              <w:rPr>
                <w:rFonts w:ascii="Arial" w:eastAsia="Calibri" w:hAnsi="Arial" w:cs="Arial"/>
                <w:sz w:val="18"/>
                <w:szCs w:val="18"/>
              </w:rPr>
            </w:pPr>
            <w:r w:rsidRPr="002202D4">
              <w:rPr>
                <w:rFonts w:ascii="Arial" w:hAnsi="Arial" w:cs="Arial"/>
                <w:sz w:val="18"/>
                <w:szCs w:val="18"/>
              </w:rPr>
              <w:t>WHOLE BLOOD</w:t>
            </w:r>
          </w:p>
        </w:tc>
        <w:tc>
          <w:tcPr>
            <w:tcW w:w="41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5AA4108" w14:textId="77777777" w:rsidR="002202D4" w:rsidRPr="002202D4" w:rsidRDefault="002202D4">
            <w:pPr>
              <w:jc w:val="center"/>
              <w:rPr>
                <w:rFonts w:ascii="Arial" w:eastAsia="Calibri" w:hAnsi="Arial" w:cs="Arial"/>
                <w:sz w:val="18"/>
                <w:szCs w:val="18"/>
              </w:rPr>
            </w:pPr>
            <w:r w:rsidRPr="002202D4">
              <w:rPr>
                <w:rFonts w:ascii="Arial" w:hAnsi="Arial" w:cs="Arial"/>
                <w:sz w:val="18"/>
                <w:szCs w:val="18"/>
              </w:rPr>
              <w:t>WHOLE BLOOD</w:t>
            </w:r>
          </w:p>
        </w:tc>
      </w:tr>
      <w:tr w:rsidR="002202D4" w14:paraId="0EC39DE2" w14:textId="77777777" w:rsidTr="002202D4">
        <w:trPr>
          <w:trHeight w:val="255"/>
        </w:trPr>
        <w:tc>
          <w:tcPr>
            <w:tcW w:w="2988"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230D173E" w14:textId="77777777" w:rsidR="002202D4" w:rsidRPr="002202D4" w:rsidRDefault="002202D4">
            <w:pPr>
              <w:jc w:val="center"/>
              <w:rPr>
                <w:rFonts w:ascii="Arial" w:eastAsia="Calibri" w:hAnsi="Arial" w:cs="Arial"/>
                <w:sz w:val="18"/>
                <w:szCs w:val="18"/>
              </w:rPr>
            </w:pPr>
            <w:r w:rsidRPr="002202D4">
              <w:rPr>
                <w:rFonts w:ascii="Arial" w:hAnsi="Arial" w:cs="Arial"/>
                <w:sz w:val="18"/>
                <w:szCs w:val="18"/>
              </w:rPr>
              <w:t>RED BLOOD CELLS</w:t>
            </w:r>
          </w:p>
        </w:tc>
        <w:tc>
          <w:tcPr>
            <w:tcW w:w="41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8415E18" w14:textId="77777777" w:rsidR="002202D4" w:rsidRPr="002202D4" w:rsidRDefault="002202D4">
            <w:pPr>
              <w:jc w:val="center"/>
              <w:rPr>
                <w:rFonts w:ascii="Arial" w:eastAsia="Calibri" w:hAnsi="Arial" w:cs="Arial"/>
                <w:sz w:val="18"/>
                <w:szCs w:val="18"/>
              </w:rPr>
            </w:pPr>
            <w:r w:rsidRPr="002202D4">
              <w:rPr>
                <w:rFonts w:ascii="Arial" w:hAnsi="Arial" w:cs="Arial"/>
                <w:sz w:val="18"/>
                <w:szCs w:val="18"/>
              </w:rPr>
              <w:t>RED BLOOD CELLS</w:t>
            </w:r>
          </w:p>
        </w:tc>
      </w:tr>
      <w:tr w:rsidR="002202D4" w14:paraId="4B362CCA" w14:textId="77777777" w:rsidTr="002202D4">
        <w:trPr>
          <w:trHeight w:val="255"/>
        </w:trPr>
        <w:tc>
          <w:tcPr>
            <w:tcW w:w="2988"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018C8E71" w14:textId="77777777" w:rsidR="002202D4" w:rsidRPr="002202D4" w:rsidRDefault="002202D4">
            <w:pPr>
              <w:jc w:val="center"/>
              <w:rPr>
                <w:rFonts w:ascii="Arial" w:eastAsia="Calibri" w:hAnsi="Arial" w:cs="Arial"/>
                <w:sz w:val="18"/>
                <w:szCs w:val="18"/>
              </w:rPr>
            </w:pPr>
            <w:r w:rsidRPr="002202D4">
              <w:rPr>
                <w:rFonts w:ascii="Arial" w:hAnsi="Arial" w:cs="Arial"/>
                <w:sz w:val="18"/>
                <w:szCs w:val="18"/>
              </w:rPr>
              <w:t>RED BLOOD CELLS</w:t>
            </w:r>
          </w:p>
        </w:tc>
        <w:tc>
          <w:tcPr>
            <w:tcW w:w="41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8414664" w14:textId="77777777" w:rsidR="002202D4" w:rsidRPr="002202D4" w:rsidRDefault="002202D4">
            <w:pPr>
              <w:jc w:val="center"/>
              <w:rPr>
                <w:rFonts w:ascii="Arial" w:eastAsia="Calibri" w:hAnsi="Arial" w:cs="Arial"/>
                <w:sz w:val="18"/>
                <w:szCs w:val="18"/>
              </w:rPr>
            </w:pPr>
            <w:r w:rsidRPr="002202D4">
              <w:rPr>
                <w:rFonts w:ascii="Arial" w:hAnsi="Arial" w:cs="Arial"/>
                <w:sz w:val="18"/>
                <w:szCs w:val="18"/>
              </w:rPr>
              <w:t>WHOLE BLOOD</w:t>
            </w:r>
          </w:p>
        </w:tc>
      </w:tr>
      <w:tr w:rsidR="002202D4" w14:paraId="01247776" w14:textId="77777777" w:rsidTr="002202D4">
        <w:trPr>
          <w:trHeight w:val="255"/>
        </w:trPr>
        <w:tc>
          <w:tcPr>
            <w:tcW w:w="2988"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78612B24" w14:textId="77777777" w:rsidR="002202D4" w:rsidRPr="002202D4" w:rsidRDefault="002202D4">
            <w:pPr>
              <w:jc w:val="center"/>
              <w:rPr>
                <w:rFonts w:ascii="Arial" w:eastAsia="Calibri" w:hAnsi="Arial" w:cs="Arial"/>
                <w:sz w:val="18"/>
                <w:szCs w:val="18"/>
              </w:rPr>
            </w:pPr>
            <w:r w:rsidRPr="002202D4">
              <w:rPr>
                <w:rFonts w:ascii="Arial" w:hAnsi="Arial" w:cs="Arial"/>
                <w:sz w:val="18"/>
                <w:szCs w:val="18"/>
              </w:rPr>
              <w:t>FRESH FROZEN PLASMA</w:t>
            </w:r>
          </w:p>
        </w:tc>
        <w:tc>
          <w:tcPr>
            <w:tcW w:w="41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2C0FFDC" w14:textId="77777777" w:rsidR="002202D4" w:rsidRPr="002202D4" w:rsidRDefault="002202D4">
            <w:pPr>
              <w:jc w:val="center"/>
              <w:rPr>
                <w:rFonts w:ascii="Arial" w:eastAsia="Calibri" w:hAnsi="Arial" w:cs="Arial"/>
                <w:sz w:val="18"/>
                <w:szCs w:val="18"/>
              </w:rPr>
            </w:pPr>
            <w:r w:rsidRPr="002202D4">
              <w:rPr>
                <w:rFonts w:ascii="Arial" w:hAnsi="Arial" w:cs="Arial"/>
                <w:sz w:val="18"/>
                <w:szCs w:val="18"/>
              </w:rPr>
              <w:t>FRESH FROZEN PLASMA</w:t>
            </w:r>
          </w:p>
        </w:tc>
      </w:tr>
      <w:tr w:rsidR="002202D4" w14:paraId="2E902E53" w14:textId="77777777" w:rsidTr="002202D4">
        <w:trPr>
          <w:trHeight w:val="255"/>
        </w:trPr>
        <w:tc>
          <w:tcPr>
            <w:tcW w:w="2988"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6F07A9DA" w14:textId="77777777" w:rsidR="002202D4" w:rsidRPr="002202D4" w:rsidRDefault="002202D4">
            <w:pPr>
              <w:jc w:val="center"/>
              <w:rPr>
                <w:rFonts w:ascii="Arial" w:eastAsia="Calibri" w:hAnsi="Arial" w:cs="Arial"/>
                <w:sz w:val="18"/>
                <w:szCs w:val="18"/>
              </w:rPr>
            </w:pPr>
            <w:r w:rsidRPr="002202D4">
              <w:rPr>
                <w:rFonts w:ascii="Arial" w:hAnsi="Arial" w:cs="Arial"/>
                <w:sz w:val="18"/>
                <w:szCs w:val="18"/>
              </w:rPr>
              <w:t>PLATELETS</w:t>
            </w:r>
          </w:p>
        </w:tc>
        <w:tc>
          <w:tcPr>
            <w:tcW w:w="41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40C150C" w14:textId="77777777" w:rsidR="002202D4" w:rsidRPr="002202D4" w:rsidRDefault="002202D4">
            <w:pPr>
              <w:jc w:val="center"/>
              <w:rPr>
                <w:rFonts w:ascii="Arial" w:eastAsia="Calibri" w:hAnsi="Arial" w:cs="Arial"/>
                <w:sz w:val="18"/>
                <w:szCs w:val="18"/>
              </w:rPr>
            </w:pPr>
            <w:r w:rsidRPr="002202D4">
              <w:rPr>
                <w:rFonts w:ascii="Arial" w:hAnsi="Arial" w:cs="Arial"/>
                <w:sz w:val="18"/>
                <w:szCs w:val="18"/>
              </w:rPr>
              <w:t>PLATELETS</w:t>
            </w:r>
          </w:p>
        </w:tc>
      </w:tr>
      <w:tr w:rsidR="002202D4" w14:paraId="42AF745A" w14:textId="77777777" w:rsidTr="002202D4">
        <w:trPr>
          <w:trHeight w:val="255"/>
        </w:trPr>
        <w:tc>
          <w:tcPr>
            <w:tcW w:w="2988"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6C4DEC22" w14:textId="77777777" w:rsidR="002202D4" w:rsidRPr="002202D4" w:rsidRDefault="002202D4">
            <w:pPr>
              <w:jc w:val="center"/>
              <w:rPr>
                <w:rFonts w:ascii="Arial" w:eastAsia="Calibri" w:hAnsi="Arial" w:cs="Arial"/>
                <w:sz w:val="18"/>
                <w:szCs w:val="18"/>
              </w:rPr>
            </w:pPr>
            <w:r w:rsidRPr="002202D4">
              <w:rPr>
                <w:rFonts w:ascii="Arial" w:hAnsi="Arial" w:cs="Arial"/>
                <w:sz w:val="18"/>
                <w:szCs w:val="18"/>
              </w:rPr>
              <w:t>CRYOPRECIPITATE</w:t>
            </w:r>
          </w:p>
        </w:tc>
        <w:tc>
          <w:tcPr>
            <w:tcW w:w="41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468C738" w14:textId="77777777" w:rsidR="002202D4" w:rsidRPr="002202D4" w:rsidRDefault="002202D4">
            <w:pPr>
              <w:jc w:val="center"/>
              <w:rPr>
                <w:rFonts w:ascii="Arial" w:eastAsia="Calibri" w:hAnsi="Arial" w:cs="Arial"/>
                <w:sz w:val="18"/>
                <w:szCs w:val="18"/>
              </w:rPr>
            </w:pPr>
            <w:r w:rsidRPr="002202D4">
              <w:rPr>
                <w:rFonts w:ascii="Arial" w:hAnsi="Arial" w:cs="Arial"/>
                <w:sz w:val="18"/>
                <w:szCs w:val="18"/>
              </w:rPr>
              <w:t>CRYOPRECIPITATE</w:t>
            </w:r>
          </w:p>
        </w:tc>
      </w:tr>
      <w:tr w:rsidR="002202D4" w14:paraId="77A58925" w14:textId="77777777" w:rsidTr="002202D4">
        <w:trPr>
          <w:trHeight w:val="255"/>
        </w:trPr>
        <w:tc>
          <w:tcPr>
            <w:tcW w:w="2988"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600F85B2" w14:textId="77777777" w:rsidR="002202D4" w:rsidRPr="002202D4" w:rsidRDefault="002202D4">
            <w:pPr>
              <w:jc w:val="center"/>
              <w:rPr>
                <w:rFonts w:ascii="Arial" w:eastAsia="Calibri" w:hAnsi="Arial" w:cs="Arial"/>
                <w:sz w:val="18"/>
                <w:szCs w:val="18"/>
              </w:rPr>
            </w:pPr>
            <w:r w:rsidRPr="002202D4">
              <w:rPr>
                <w:rFonts w:ascii="Arial" w:hAnsi="Arial" w:cs="Arial"/>
                <w:sz w:val="18"/>
                <w:szCs w:val="18"/>
              </w:rPr>
              <w:t>OTHER</w:t>
            </w:r>
          </w:p>
        </w:tc>
        <w:tc>
          <w:tcPr>
            <w:tcW w:w="41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E88F82C" w14:textId="77777777" w:rsidR="002202D4" w:rsidRPr="002202D4" w:rsidRDefault="002202D4">
            <w:pPr>
              <w:jc w:val="center"/>
              <w:rPr>
                <w:rFonts w:ascii="Arial" w:eastAsia="Calibri" w:hAnsi="Arial" w:cs="Arial"/>
                <w:sz w:val="18"/>
                <w:szCs w:val="18"/>
              </w:rPr>
            </w:pPr>
            <w:r w:rsidRPr="002202D4">
              <w:rPr>
                <w:rFonts w:ascii="Arial" w:hAnsi="Arial" w:cs="Arial"/>
                <w:sz w:val="18"/>
                <w:szCs w:val="18"/>
              </w:rPr>
              <w:t>OTHER</w:t>
            </w:r>
          </w:p>
        </w:tc>
      </w:tr>
    </w:tbl>
    <w:p w14:paraId="248B567D" w14:textId="77777777" w:rsidR="002A21AE" w:rsidRDefault="002A21AE">
      <w:pPr>
        <w:pStyle w:val="Heading3"/>
      </w:pPr>
      <w:r w:rsidRPr="00691DFF">
        <w:rPr>
          <w:rFonts w:ascii="Geneva" w:hAnsi="Geneva"/>
          <w:vanish/>
        </w:rPr>
        <w:t xml:space="preserve">TT_77.01 </w:t>
      </w:r>
      <w:bookmarkStart w:id="709" w:name="_Toc203765979"/>
      <w:r w:rsidRPr="00691DFF">
        <w:t>Details in Audit Trail Report</w:t>
      </w:r>
      <w:bookmarkEnd w:id="709"/>
      <w:r w:rsidRPr="00691DFF">
        <w:fldChar w:fldCharType="begin"/>
      </w:r>
      <w:r w:rsidRPr="00691DFF">
        <w:instrText xml:space="preserve"> XE </w:instrText>
      </w:r>
      <w:r w:rsidR="00FA7E65" w:rsidRPr="00691DFF">
        <w:instrText>“</w:instrText>
      </w:r>
      <w:r w:rsidRPr="00691DFF">
        <w:instrText>Tables:Details in Audit Trail Report</w:instrText>
      </w:r>
      <w:r w:rsidR="00FA7E65" w:rsidRPr="00691DFF">
        <w:instrText>”</w:instrText>
      </w:r>
      <w:r w:rsidRPr="00691DFF">
        <w:instrText xml:space="preserve"> </w:instrText>
      </w:r>
      <w:r w:rsidRPr="00691DFF">
        <w:fldChar w:fldCharType="end"/>
      </w:r>
    </w:p>
    <w:p w14:paraId="1081D19B" w14:textId="157F172C" w:rsidR="00264588" w:rsidRPr="00264588" w:rsidRDefault="00264588" w:rsidP="00264588">
      <w:pPr>
        <w:pStyle w:val="BodyText"/>
      </w:pPr>
      <w:r>
        <w:t>Changes include the date and time of the change, ID of the user who made the change, and required comments</w:t>
      </w:r>
      <w:r w:rsidR="00E531AC">
        <w:t xml:space="preserve"> (</w:t>
      </w:r>
      <w:r w:rsidR="00EE455E">
        <w:t xml:space="preserve">Table </w:t>
      </w:r>
      <w:r w:rsidR="00EE455E">
        <w:rPr>
          <w:noProof/>
        </w:rPr>
        <w:t>20</w:t>
      </w:r>
      <w:r w:rsidR="00E531AC">
        <w:t>)</w:t>
      </w:r>
      <w:r>
        <w:t>.</w:t>
      </w:r>
    </w:p>
    <w:p w14:paraId="5F52D2C4" w14:textId="0D25B491" w:rsidR="002A21AE" w:rsidRDefault="002A21AE">
      <w:pPr>
        <w:pStyle w:val="Caption"/>
      </w:pPr>
      <w:bookmarkStart w:id="710" w:name="_Ref126732219"/>
      <w:bookmarkStart w:id="711" w:name="_Toc97523637"/>
      <w:bookmarkStart w:id="712" w:name="_Toc97527607"/>
      <w:bookmarkStart w:id="713" w:name="_Ref126504486"/>
      <w:bookmarkStart w:id="714" w:name="_Ref126504618"/>
      <w:r>
        <w:t xml:space="preserve">Table </w:t>
      </w:r>
      <w:r w:rsidR="004E20BD">
        <w:rPr>
          <w:noProof/>
        </w:rPr>
        <w:fldChar w:fldCharType="begin"/>
      </w:r>
      <w:r w:rsidR="004E20BD">
        <w:rPr>
          <w:noProof/>
        </w:rPr>
        <w:instrText xml:space="preserve"> SEQ Table \* ARABIC </w:instrText>
      </w:r>
      <w:r w:rsidR="004E20BD">
        <w:rPr>
          <w:noProof/>
        </w:rPr>
        <w:fldChar w:fldCharType="separate"/>
      </w:r>
      <w:r w:rsidR="007D1829">
        <w:rPr>
          <w:noProof/>
        </w:rPr>
        <w:t>20</w:t>
      </w:r>
      <w:r w:rsidR="004E20BD">
        <w:rPr>
          <w:noProof/>
        </w:rPr>
        <w:fldChar w:fldCharType="end"/>
      </w:r>
      <w:bookmarkEnd w:id="710"/>
      <w:r>
        <w:t xml:space="preserve">: </w:t>
      </w:r>
      <w:r>
        <w:rPr>
          <w:vanish/>
        </w:rPr>
        <w:t xml:space="preserve">TT_77.01 </w:t>
      </w:r>
      <w:r>
        <w:t>Details in Audit Trail Report</w:t>
      </w:r>
      <w:bookmarkEnd w:id="711"/>
      <w:bookmarkEnd w:id="712"/>
      <w:bookmarkEnd w:id="713"/>
      <w:bookmarkEnd w:id="714"/>
    </w:p>
    <w:tbl>
      <w:tblPr>
        <w:tblW w:w="95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5"/>
        <w:gridCol w:w="1979"/>
        <w:gridCol w:w="3470"/>
        <w:gridCol w:w="1243"/>
        <w:gridCol w:w="1295"/>
      </w:tblGrid>
      <w:tr w:rsidR="002A21AE" w14:paraId="709F05F7" w14:textId="77777777" w:rsidTr="00DC1872">
        <w:trPr>
          <w:cantSplit/>
          <w:tblHeader/>
        </w:trPr>
        <w:tc>
          <w:tcPr>
            <w:tcW w:w="1525" w:type="dxa"/>
            <w:vMerge w:val="restart"/>
            <w:shd w:val="clear" w:color="auto" w:fill="B3B3B3"/>
            <w:vAlign w:val="bottom"/>
          </w:tcPr>
          <w:p w14:paraId="076C9088" w14:textId="77777777" w:rsidR="002A21AE" w:rsidRDefault="002A21AE" w:rsidP="00CD34EB">
            <w:pPr>
              <w:pStyle w:val="TableText"/>
              <w:rPr>
                <w:b/>
                <w:bCs/>
              </w:rPr>
            </w:pPr>
            <w:r>
              <w:rPr>
                <w:b/>
                <w:bCs/>
              </w:rPr>
              <w:t>Report Section</w:t>
            </w:r>
          </w:p>
        </w:tc>
        <w:tc>
          <w:tcPr>
            <w:tcW w:w="1979" w:type="dxa"/>
            <w:vMerge w:val="restart"/>
            <w:shd w:val="clear" w:color="auto" w:fill="B3B3B3"/>
            <w:vAlign w:val="bottom"/>
          </w:tcPr>
          <w:p w14:paraId="6AF17763" w14:textId="77777777" w:rsidR="002A21AE" w:rsidRDefault="002A21AE">
            <w:pPr>
              <w:pStyle w:val="TableText"/>
              <w:rPr>
                <w:b/>
                <w:bCs/>
              </w:rPr>
            </w:pPr>
            <w:r>
              <w:rPr>
                <w:b/>
                <w:bCs/>
              </w:rPr>
              <w:t>Generating Options</w:t>
            </w:r>
          </w:p>
        </w:tc>
        <w:tc>
          <w:tcPr>
            <w:tcW w:w="3470" w:type="dxa"/>
            <w:vMerge w:val="restart"/>
            <w:shd w:val="clear" w:color="auto" w:fill="B3B3B3"/>
            <w:vAlign w:val="bottom"/>
          </w:tcPr>
          <w:p w14:paraId="4C7E03D4" w14:textId="77777777" w:rsidR="002A21AE" w:rsidRDefault="002A21AE">
            <w:pPr>
              <w:pStyle w:val="TableText"/>
              <w:rPr>
                <w:b/>
                <w:bCs/>
              </w:rPr>
            </w:pPr>
            <w:r>
              <w:rPr>
                <w:b/>
                <w:bCs/>
              </w:rPr>
              <w:t>GUI Fields Monitored</w:t>
            </w:r>
          </w:p>
        </w:tc>
        <w:tc>
          <w:tcPr>
            <w:tcW w:w="2538" w:type="dxa"/>
            <w:gridSpan w:val="2"/>
            <w:tcBorders>
              <w:bottom w:val="single" w:sz="4" w:space="0" w:color="auto"/>
            </w:tcBorders>
            <w:shd w:val="clear" w:color="auto" w:fill="B3B3B3"/>
            <w:vAlign w:val="bottom"/>
          </w:tcPr>
          <w:p w14:paraId="1965C764" w14:textId="77777777" w:rsidR="002A21AE" w:rsidRDefault="002A21AE" w:rsidP="0058499D">
            <w:pPr>
              <w:pStyle w:val="TableText"/>
              <w:jc w:val="center"/>
              <w:rPr>
                <w:rFonts w:eastAsia="Symbol"/>
                <w:b/>
                <w:bCs/>
              </w:rPr>
            </w:pPr>
            <w:r>
              <w:rPr>
                <w:rFonts w:eastAsia="Symbol"/>
                <w:b/>
                <w:bCs/>
              </w:rPr>
              <w:t>Accessible in:</w:t>
            </w:r>
          </w:p>
        </w:tc>
      </w:tr>
      <w:tr w:rsidR="002A21AE" w14:paraId="52686887" w14:textId="77777777" w:rsidTr="00DC1872">
        <w:trPr>
          <w:cantSplit/>
          <w:tblHeader/>
        </w:trPr>
        <w:tc>
          <w:tcPr>
            <w:tcW w:w="1525" w:type="dxa"/>
            <w:vMerge/>
            <w:tcBorders>
              <w:bottom w:val="single" w:sz="4" w:space="0" w:color="auto"/>
            </w:tcBorders>
            <w:shd w:val="clear" w:color="auto" w:fill="B3B3B3"/>
            <w:vAlign w:val="bottom"/>
          </w:tcPr>
          <w:p w14:paraId="1FB4CF3E" w14:textId="77777777" w:rsidR="002A21AE" w:rsidRDefault="002A21AE" w:rsidP="00CD34EB">
            <w:pPr>
              <w:pStyle w:val="TableText"/>
              <w:rPr>
                <w:b/>
                <w:bCs/>
              </w:rPr>
            </w:pPr>
          </w:p>
        </w:tc>
        <w:tc>
          <w:tcPr>
            <w:tcW w:w="1979" w:type="dxa"/>
            <w:vMerge/>
            <w:tcBorders>
              <w:bottom w:val="single" w:sz="4" w:space="0" w:color="auto"/>
            </w:tcBorders>
            <w:shd w:val="clear" w:color="auto" w:fill="B3B3B3"/>
            <w:vAlign w:val="bottom"/>
          </w:tcPr>
          <w:p w14:paraId="767F3066" w14:textId="77777777" w:rsidR="002A21AE" w:rsidRDefault="002A21AE">
            <w:pPr>
              <w:pStyle w:val="TableText"/>
              <w:rPr>
                <w:b/>
                <w:bCs/>
              </w:rPr>
            </w:pPr>
          </w:p>
        </w:tc>
        <w:tc>
          <w:tcPr>
            <w:tcW w:w="3470" w:type="dxa"/>
            <w:vMerge/>
            <w:tcBorders>
              <w:bottom w:val="single" w:sz="4" w:space="0" w:color="auto"/>
            </w:tcBorders>
            <w:shd w:val="clear" w:color="auto" w:fill="B3B3B3"/>
            <w:vAlign w:val="bottom"/>
          </w:tcPr>
          <w:p w14:paraId="08709FB6" w14:textId="77777777" w:rsidR="002A21AE" w:rsidRDefault="002A21AE">
            <w:pPr>
              <w:pStyle w:val="TableText"/>
              <w:rPr>
                <w:b/>
                <w:bCs/>
              </w:rPr>
            </w:pPr>
          </w:p>
        </w:tc>
        <w:tc>
          <w:tcPr>
            <w:tcW w:w="1243" w:type="dxa"/>
            <w:tcBorders>
              <w:bottom w:val="single" w:sz="4" w:space="0" w:color="auto"/>
            </w:tcBorders>
            <w:shd w:val="clear" w:color="auto" w:fill="B3B3B3"/>
            <w:vAlign w:val="bottom"/>
          </w:tcPr>
          <w:p w14:paraId="63ABB6E6" w14:textId="77777777" w:rsidR="002A21AE" w:rsidRDefault="002A21AE">
            <w:pPr>
              <w:pStyle w:val="TableText"/>
              <w:rPr>
                <w:rFonts w:eastAsia="Symbol"/>
                <w:b/>
                <w:bCs/>
              </w:rPr>
            </w:pPr>
            <w:r>
              <w:rPr>
                <w:rFonts w:eastAsia="Symbol"/>
                <w:b/>
                <w:bCs/>
              </w:rPr>
              <w:t>Unit History Report?</w:t>
            </w:r>
          </w:p>
        </w:tc>
        <w:tc>
          <w:tcPr>
            <w:tcW w:w="1295" w:type="dxa"/>
            <w:tcBorders>
              <w:bottom w:val="single" w:sz="4" w:space="0" w:color="auto"/>
            </w:tcBorders>
            <w:shd w:val="clear" w:color="auto" w:fill="B3B3B3"/>
            <w:vAlign w:val="bottom"/>
          </w:tcPr>
          <w:p w14:paraId="4D946EB8" w14:textId="77777777" w:rsidR="002A21AE" w:rsidRDefault="002A21AE">
            <w:pPr>
              <w:pStyle w:val="TableText"/>
              <w:rPr>
                <w:rFonts w:eastAsia="Symbol"/>
                <w:b/>
                <w:bCs/>
              </w:rPr>
            </w:pPr>
            <w:r>
              <w:rPr>
                <w:rFonts w:eastAsia="Symbol"/>
                <w:b/>
                <w:bCs/>
              </w:rPr>
              <w:t>Patient History Report?</w:t>
            </w:r>
          </w:p>
        </w:tc>
      </w:tr>
      <w:tr w:rsidR="002A21AE" w14:paraId="42D14CED" w14:textId="77777777" w:rsidTr="00DC1872">
        <w:trPr>
          <w:cantSplit/>
        </w:trPr>
        <w:tc>
          <w:tcPr>
            <w:tcW w:w="1525" w:type="dxa"/>
            <w:vMerge w:val="restart"/>
          </w:tcPr>
          <w:p w14:paraId="0A7EDB2A" w14:textId="77777777" w:rsidR="002A21AE" w:rsidRDefault="002A21AE" w:rsidP="00CD34EB">
            <w:pPr>
              <w:pStyle w:val="TableText"/>
            </w:pPr>
            <w:r>
              <w:t>Blood Unit Changes</w:t>
            </w:r>
          </w:p>
        </w:tc>
        <w:tc>
          <w:tcPr>
            <w:tcW w:w="1979" w:type="dxa"/>
          </w:tcPr>
          <w:p w14:paraId="3FAA7EC0" w14:textId="77777777" w:rsidR="002A21AE" w:rsidRDefault="002A21AE">
            <w:pPr>
              <w:pStyle w:val="TableText"/>
            </w:pPr>
            <w:r>
              <w:t>Modify Units: Pool Units</w:t>
            </w:r>
            <w:r w:rsidR="0030405B">
              <w:t xml:space="preserve"> (when a previously pooled unit is edited)</w:t>
            </w:r>
          </w:p>
        </w:tc>
        <w:tc>
          <w:tcPr>
            <w:tcW w:w="3470" w:type="dxa"/>
          </w:tcPr>
          <w:p w14:paraId="0ACD50D6" w14:textId="77777777" w:rsidR="00EC2271" w:rsidRDefault="00EC2271" w:rsidP="00EC2271">
            <w:pPr>
              <w:pStyle w:val="TableText"/>
            </w:pPr>
            <w:r>
              <w:t>For each pooled unit edited (unit ID, long name, product code):</w:t>
            </w:r>
          </w:p>
          <w:p w14:paraId="01A2E75B" w14:textId="77777777" w:rsidR="002A21AE" w:rsidRDefault="002A21AE">
            <w:pPr>
              <w:pStyle w:val="TableTextBullet"/>
            </w:pPr>
            <w:r>
              <w:t xml:space="preserve">Added </w:t>
            </w:r>
            <w:r w:rsidR="00BD6C59">
              <w:t xml:space="preserve">or Removed </w:t>
            </w:r>
            <w:r>
              <w:t>Unit IDs and Product Codes</w:t>
            </w:r>
          </w:p>
          <w:p w14:paraId="619237B8" w14:textId="77777777" w:rsidR="002A21AE" w:rsidRDefault="002A21AE">
            <w:pPr>
              <w:pStyle w:val="TableTextBullet"/>
            </w:pPr>
            <w:r>
              <w:t>Comment</w:t>
            </w:r>
          </w:p>
        </w:tc>
        <w:tc>
          <w:tcPr>
            <w:tcW w:w="1243" w:type="dxa"/>
          </w:tcPr>
          <w:p w14:paraId="41706762" w14:textId="77777777" w:rsidR="002A21AE" w:rsidRDefault="002A21AE">
            <w:pPr>
              <w:pStyle w:val="TableText"/>
            </w:pPr>
            <w:r>
              <w:rPr>
                <w:rFonts w:eastAsia="Symbol"/>
              </w:rPr>
              <w:t>Yes</w:t>
            </w:r>
          </w:p>
        </w:tc>
        <w:tc>
          <w:tcPr>
            <w:tcW w:w="1295" w:type="dxa"/>
          </w:tcPr>
          <w:p w14:paraId="103B023B" w14:textId="77777777" w:rsidR="002A21AE" w:rsidRDefault="002A21AE">
            <w:pPr>
              <w:pStyle w:val="TableText"/>
            </w:pPr>
            <w:r>
              <w:t>No</w:t>
            </w:r>
          </w:p>
        </w:tc>
      </w:tr>
      <w:tr w:rsidR="002A21AE" w14:paraId="303E1540" w14:textId="77777777" w:rsidTr="00DC1872">
        <w:trPr>
          <w:cantSplit/>
        </w:trPr>
        <w:tc>
          <w:tcPr>
            <w:tcW w:w="1525" w:type="dxa"/>
            <w:vMerge/>
          </w:tcPr>
          <w:p w14:paraId="7281027A" w14:textId="77777777" w:rsidR="002A21AE" w:rsidRDefault="002A21AE" w:rsidP="00CD34EB">
            <w:pPr>
              <w:pStyle w:val="TableText"/>
            </w:pPr>
          </w:p>
        </w:tc>
        <w:tc>
          <w:tcPr>
            <w:tcW w:w="1979" w:type="dxa"/>
          </w:tcPr>
          <w:p w14:paraId="5A48EF1D" w14:textId="77777777" w:rsidR="002A21AE" w:rsidRDefault="002A21AE">
            <w:pPr>
              <w:pStyle w:val="TableText"/>
            </w:pPr>
            <w:r>
              <w:t>Editing A Unit</w:t>
            </w:r>
          </w:p>
        </w:tc>
        <w:tc>
          <w:tcPr>
            <w:tcW w:w="3470" w:type="dxa"/>
          </w:tcPr>
          <w:p w14:paraId="3B0A21D9" w14:textId="77777777" w:rsidR="00EC2271" w:rsidRDefault="00EC2271" w:rsidP="00EC2271">
            <w:pPr>
              <w:pStyle w:val="TableText"/>
            </w:pPr>
            <w:r>
              <w:t>For each unit edited (unit ID, long name, product code):</w:t>
            </w:r>
          </w:p>
          <w:p w14:paraId="0EC15468" w14:textId="77777777" w:rsidR="002A21AE" w:rsidRDefault="002A21AE">
            <w:pPr>
              <w:pStyle w:val="TableTextBullet"/>
            </w:pPr>
            <w:r>
              <w:t xml:space="preserve">Unit </w:t>
            </w:r>
            <w:r w:rsidR="0083176A">
              <w:t xml:space="preserve">Antigen </w:t>
            </w:r>
            <w:r>
              <w:t>Information</w:t>
            </w:r>
          </w:p>
          <w:p w14:paraId="29CFD3B4" w14:textId="77777777" w:rsidR="0083176A" w:rsidRDefault="0083176A">
            <w:pPr>
              <w:pStyle w:val="TableTextBullet"/>
            </w:pPr>
            <w:r>
              <w:t>Special Testing Information</w:t>
            </w:r>
          </w:p>
          <w:p w14:paraId="24F96387" w14:textId="77777777" w:rsidR="0083176A" w:rsidRDefault="0083176A">
            <w:pPr>
              <w:pStyle w:val="TableTextBullet"/>
            </w:pPr>
            <w:r>
              <w:t>Discarded Plasma Volume</w:t>
            </w:r>
          </w:p>
          <w:p w14:paraId="0E6C024B" w14:textId="77777777" w:rsidR="0083176A" w:rsidRDefault="0083176A">
            <w:pPr>
              <w:pStyle w:val="TableTextBullet"/>
            </w:pPr>
            <w:r>
              <w:t>Unit Volume</w:t>
            </w:r>
          </w:p>
          <w:p w14:paraId="60A0BF53" w14:textId="77777777" w:rsidR="0083176A" w:rsidRDefault="0083176A">
            <w:pPr>
              <w:pStyle w:val="TableTextBullet"/>
            </w:pPr>
            <w:r>
              <w:t>Biohazardous Indicator</w:t>
            </w:r>
          </w:p>
          <w:p w14:paraId="11D8C951" w14:textId="77777777" w:rsidR="002A21AE" w:rsidRDefault="002A21AE">
            <w:pPr>
              <w:pStyle w:val="TableTextBullet"/>
            </w:pPr>
            <w:r>
              <w:t>Unit ABO/Rh Confirmation Test</w:t>
            </w:r>
            <w:r w:rsidR="00A047A4">
              <w:t xml:space="preserve">, </w:t>
            </w:r>
            <w:r w:rsidR="0083176A">
              <w:t>Invalidation Indicator</w:t>
            </w:r>
          </w:p>
          <w:p w14:paraId="44AFED0F" w14:textId="77777777" w:rsidR="002A21AE" w:rsidRDefault="002A21AE">
            <w:pPr>
              <w:pStyle w:val="TableTextBullet"/>
            </w:pPr>
            <w:r>
              <w:t>Unit Antigen Typing Test</w:t>
            </w:r>
            <w:r w:rsidR="00A047A4">
              <w:t xml:space="preserve">, </w:t>
            </w:r>
            <w:r w:rsidR="0083176A">
              <w:t>Invalidation Indicator</w:t>
            </w:r>
          </w:p>
          <w:p w14:paraId="2C2640FA" w14:textId="77777777" w:rsidR="002A21AE" w:rsidRDefault="002A21AE">
            <w:pPr>
              <w:pStyle w:val="TableTextBullet"/>
            </w:pPr>
            <w:r>
              <w:t>Unit Record Inactivation Indicator</w:t>
            </w:r>
          </w:p>
          <w:p w14:paraId="52977935" w14:textId="77777777" w:rsidR="0083176A" w:rsidRDefault="002F766E">
            <w:pPr>
              <w:pStyle w:val="TableTextBullet"/>
            </w:pPr>
            <w:r>
              <w:t>Restricted For</w:t>
            </w:r>
            <w:r w:rsidR="0083176A">
              <w:t xml:space="preserve"> Patient Name and Patient ID</w:t>
            </w:r>
          </w:p>
          <w:p w14:paraId="1811BD8C" w14:textId="77777777" w:rsidR="002A21AE" w:rsidRDefault="002A21AE">
            <w:pPr>
              <w:pStyle w:val="TableTextBullet"/>
            </w:pPr>
            <w:r>
              <w:t>Comment</w:t>
            </w:r>
          </w:p>
        </w:tc>
        <w:tc>
          <w:tcPr>
            <w:tcW w:w="1243" w:type="dxa"/>
          </w:tcPr>
          <w:p w14:paraId="7BA16EC9" w14:textId="77777777" w:rsidR="002A21AE" w:rsidRDefault="002A21AE">
            <w:pPr>
              <w:pStyle w:val="TableText"/>
            </w:pPr>
            <w:r>
              <w:rPr>
                <w:rFonts w:eastAsia="Symbol"/>
              </w:rPr>
              <w:t>Yes</w:t>
            </w:r>
          </w:p>
        </w:tc>
        <w:tc>
          <w:tcPr>
            <w:tcW w:w="1295" w:type="dxa"/>
          </w:tcPr>
          <w:p w14:paraId="7B24076F" w14:textId="77777777" w:rsidR="002A21AE" w:rsidRDefault="002A21AE">
            <w:pPr>
              <w:pStyle w:val="TableText"/>
            </w:pPr>
            <w:r>
              <w:t>No</w:t>
            </w:r>
          </w:p>
        </w:tc>
      </w:tr>
      <w:tr w:rsidR="002A21AE" w14:paraId="06BDD35D" w14:textId="77777777" w:rsidTr="00DC1872">
        <w:trPr>
          <w:cantSplit/>
        </w:trPr>
        <w:tc>
          <w:tcPr>
            <w:tcW w:w="1525" w:type="dxa"/>
          </w:tcPr>
          <w:p w14:paraId="58C20FB1" w14:textId="77777777" w:rsidR="002A21AE" w:rsidRDefault="002A21AE" w:rsidP="00CD34EB">
            <w:pPr>
              <w:pStyle w:val="TableText"/>
            </w:pPr>
            <w:r>
              <w:t>Blood Unit Financial Changes</w:t>
            </w:r>
          </w:p>
        </w:tc>
        <w:tc>
          <w:tcPr>
            <w:tcW w:w="1979" w:type="dxa"/>
          </w:tcPr>
          <w:p w14:paraId="27E0D22B" w14:textId="77777777" w:rsidR="002A21AE" w:rsidRDefault="002A21AE">
            <w:pPr>
              <w:pStyle w:val="TableText"/>
            </w:pPr>
            <w:r>
              <w:t>Edit Financial Data</w:t>
            </w:r>
          </w:p>
        </w:tc>
        <w:tc>
          <w:tcPr>
            <w:tcW w:w="3470" w:type="dxa"/>
          </w:tcPr>
          <w:p w14:paraId="76EB7F6E" w14:textId="77777777" w:rsidR="00F0285D" w:rsidRDefault="00F0285D" w:rsidP="00F0285D">
            <w:pPr>
              <w:pStyle w:val="TableText"/>
            </w:pPr>
            <w:r>
              <w:t>For each unit edited (unit ID, long name, product code):</w:t>
            </w:r>
          </w:p>
          <w:p w14:paraId="43848790" w14:textId="77777777" w:rsidR="002A21AE" w:rsidRDefault="002A21AE">
            <w:pPr>
              <w:pStyle w:val="TableTextBullet"/>
            </w:pPr>
            <w:r>
              <w:t xml:space="preserve">Unit Base Cost </w:t>
            </w:r>
          </w:p>
          <w:p w14:paraId="4E5168AB" w14:textId="77777777" w:rsidR="002A21AE" w:rsidRDefault="002A21AE">
            <w:pPr>
              <w:pStyle w:val="TableTextBullet"/>
            </w:pPr>
            <w:r>
              <w:t>Special Test Cost</w:t>
            </w:r>
          </w:p>
          <w:p w14:paraId="24293B4B" w14:textId="77777777" w:rsidR="002A21AE" w:rsidRDefault="002A21AE">
            <w:pPr>
              <w:pStyle w:val="TableTextBullet"/>
            </w:pPr>
            <w:r>
              <w:t>Return Credit</w:t>
            </w:r>
          </w:p>
        </w:tc>
        <w:tc>
          <w:tcPr>
            <w:tcW w:w="1243" w:type="dxa"/>
          </w:tcPr>
          <w:p w14:paraId="5CD4778C" w14:textId="77777777" w:rsidR="002A21AE" w:rsidRDefault="002A21AE">
            <w:pPr>
              <w:pStyle w:val="TableText"/>
            </w:pPr>
            <w:r>
              <w:rPr>
                <w:rFonts w:eastAsia="Symbol"/>
              </w:rPr>
              <w:t>Yes</w:t>
            </w:r>
          </w:p>
        </w:tc>
        <w:tc>
          <w:tcPr>
            <w:tcW w:w="1295" w:type="dxa"/>
          </w:tcPr>
          <w:p w14:paraId="5DFB24C0" w14:textId="77777777" w:rsidR="002A21AE" w:rsidRDefault="002A21AE">
            <w:pPr>
              <w:pStyle w:val="TableText"/>
            </w:pPr>
            <w:r>
              <w:t>No</w:t>
            </w:r>
          </w:p>
        </w:tc>
      </w:tr>
      <w:tr w:rsidR="002A21AE" w14:paraId="4D3BB8AB" w14:textId="77777777" w:rsidTr="00DC1872">
        <w:trPr>
          <w:cantSplit/>
        </w:trPr>
        <w:tc>
          <w:tcPr>
            <w:tcW w:w="1525" w:type="dxa"/>
            <w:vMerge w:val="restart"/>
          </w:tcPr>
          <w:p w14:paraId="3B6242B2" w14:textId="77777777" w:rsidR="002A21AE" w:rsidRDefault="002A21AE" w:rsidP="00CD34EB">
            <w:pPr>
              <w:pStyle w:val="TableText"/>
            </w:pPr>
            <w:r>
              <w:lastRenderedPageBreak/>
              <w:t>Patient Testing Changes</w:t>
            </w:r>
          </w:p>
        </w:tc>
        <w:tc>
          <w:tcPr>
            <w:tcW w:w="1979" w:type="dxa"/>
          </w:tcPr>
          <w:p w14:paraId="43A56B13" w14:textId="77777777" w:rsidR="002A21AE" w:rsidRDefault="002A21AE">
            <w:pPr>
              <w:pStyle w:val="TableText"/>
            </w:pPr>
            <w:r>
              <w:t>Invalidate Test Results</w:t>
            </w:r>
          </w:p>
        </w:tc>
        <w:tc>
          <w:tcPr>
            <w:tcW w:w="3470" w:type="dxa"/>
          </w:tcPr>
          <w:p w14:paraId="3C098B86" w14:textId="77777777" w:rsidR="004F2A5E" w:rsidRDefault="004F2A5E" w:rsidP="004F2A5E">
            <w:pPr>
              <w:pStyle w:val="TableText"/>
            </w:pPr>
            <w:r>
              <w:t>For each patient (name, ID):</w:t>
            </w:r>
          </w:p>
          <w:p w14:paraId="553A626E" w14:textId="77777777" w:rsidR="002A21AE" w:rsidRDefault="002A21AE" w:rsidP="00691DFF">
            <w:pPr>
              <w:pStyle w:val="TableTextBullet"/>
            </w:pPr>
            <w:r>
              <w:t>Ordered Test Original Results</w:t>
            </w:r>
            <w:r w:rsidR="00A047A4">
              <w:t xml:space="preserve">, </w:t>
            </w:r>
            <w:r w:rsidR="004F2A5E">
              <w:t>Invalidation Indicator</w:t>
            </w:r>
          </w:p>
          <w:p w14:paraId="3BDEEC21" w14:textId="77777777" w:rsidR="002A21AE" w:rsidRDefault="002A21AE">
            <w:pPr>
              <w:pStyle w:val="TableTextBullet"/>
            </w:pPr>
            <w:r>
              <w:t>Comment</w:t>
            </w:r>
          </w:p>
        </w:tc>
        <w:tc>
          <w:tcPr>
            <w:tcW w:w="1243" w:type="dxa"/>
          </w:tcPr>
          <w:p w14:paraId="7215837B" w14:textId="77777777" w:rsidR="002A21AE" w:rsidRDefault="002A21AE">
            <w:pPr>
              <w:pStyle w:val="TableText"/>
            </w:pPr>
            <w:r>
              <w:t>No</w:t>
            </w:r>
          </w:p>
        </w:tc>
        <w:tc>
          <w:tcPr>
            <w:tcW w:w="1295" w:type="dxa"/>
          </w:tcPr>
          <w:p w14:paraId="3E61E930" w14:textId="77777777" w:rsidR="002A21AE" w:rsidRDefault="002A21AE">
            <w:pPr>
              <w:pStyle w:val="TableText"/>
            </w:pPr>
            <w:r>
              <w:rPr>
                <w:rFonts w:eastAsia="Symbol"/>
              </w:rPr>
              <w:t>Yes</w:t>
            </w:r>
          </w:p>
        </w:tc>
      </w:tr>
      <w:tr w:rsidR="002A21AE" w14:paraId="4430E637" w14:textId="77777777" w:rsidTr="00DC1872">
        <w:trPr>
          <w:cantSplit/>
        </w:trPr>
        <w:tc>
          <w:tcPr>
            <w:tcW w:w="1525" w:type="dxa"/>
            <w:vMerge/>
          </w:tcPr>
          <w:p w14:paraId="072856FC" w14:textId="77777777" w:rsidR="002A21AE" w:rsidRDefault="002A21AE" w:rsidP="00CD34EB">
            <w:pPr>
              <w:pStyle w:val="TableText"/>
            </w:pPr>
          </w:p>
        </w:tc>
        <w:tc>
          <w:tcPr>
            <w:tcW w:w="1979" w:type="dxa"/>
          </w:tcPr>
          <w:p w14:paraId="319DB360" w14:textId="77777777" w:rsidR="002A21AE" w:rsidRDefault="002A21AE">
            <w:pPr>
              <w:pStyle w:val="TableText"/>
            </w:pPr>
            <w:r>
              <w:t>Justify ABO/Rh Change</w:t>
            </w:r>
          </w:p>
        </w:tc>
        <w:tc>
          <w:tcPr>
            <w:tcW w:w="3470" w:type="dxa"/>
          </w:tcPr>
          <w:p w14:paraId="09F73BB3" w14:textId="77777777" w:rsidR="00C46FA2" w:rsidRDefault="00C46FA2" w:rsidP="00C46FA2">
            <w:pPr>
              <w:pStyle w:val="TableText"/>
            </w:pPr>
            <w:r>
              <w:t>For each patient (name, ID):</w:t>
            </w:r>
          </w:p>
          <w:p w14:paraId="6CBA02FD" w14:textId="77777777" w:rsidR="002A21AE" w:rsidRDefault="002A21AE">
            <w:pPr>
              <w:pStyle w:val="TableTextBullet"/>
            </w:pPr>
            <w:r>
              <w:t>Patient ABO/Rh</w:t>
            </w:r>
          </w:p>
          <w:p w14:paraId="37119042" w14:textId="77777777" w:rsidR="002A21AE" w:rsidRDefault="002A21AE">
            <w:pPr>
              <w:pStyle w:val="TableTextBullet"/>
            </w:pPr>
            <w:r>
              <w:t>Comment</w:t>
            </w:r>
          </w:p>
        </w:tc>
        <w:tc>
          <w:tcPr>
            <w:tcW w:w="1243" w:type="dxa"/>
          </w:tcPr>
          <w:p w14:paraId="37D800A1" w14:textId="77777777" w:rsidR="002A21AE" w:rsidRDefault="002A21AE">
            <w:pPr>
              <w:pStyle w:val="TableText"/>
            </w:pPr>
            <w:r>
              <w:t>No</w:t>
            </w:r>
          </w:p>
        </w:tc>
        <w:tc>
          <w:tcPr>
            <w:tcW w:w="1295" w:type="dxa"/>
          </w:tcPr>
          <w:p w14:paraId="749CF35B" w14:textId="77777777" w:rsidR="002A21AE" w:rsidRDefault="002A21AE">
            <w:pPr>
              <w:pStyle w:val="TableText"/>
            </w:pPr>
            <w:r>
              <w:rPr>
                <w:rFonts w:eastAsia="Symbol"/>
              </w:rPr>
              <w:t>Yes</w:t>
            </w:r>
          </w:p>
        </w:tc>
      </w:tr>
      <w:tr w:rsidR="002A21AE" w14:paraId="3B3C2363" w14:textId="77777777" w:rsidTr="00DC1872">
        <w:trPr>
          <w:cantSplit/>
        </w:trPr>
        <w:tc>
          <w:tcPr>
            <w:tcW w:w="1525" w:type="dxa"/>
          </w:tcPr>
          <w:p w14:paraId="22FCA513" w14:textId="77777777" w:rsidR="002A21AE" w:rsidRDefault="002A21AE" w:rsidP="00CD34EB">
            <w:pPr>
              <w:pStyle w:val="TableText"/>
            </w:pPr>
            <w:r>
              <w:t>Patient Transfusion Requirements</w:t>
            </w:r>
          </w:p>
        </w:tc>
        <w:tc>
          <w:tcPr>
            <w:tcW w:w="1979" w:type="dxa"/>
          </w:tcPr>
          <w:p w14:paraId="51557C41" w14:textId="77777777" w:rsidR="0030405B" w:rsidRDefault="002A21AE">
            <w:pPr>
              <w:pStyle w:val="TableText"/>
            </w:pPr>
            <w:r>
              <w:t xml:space="preserve">Special Instructions &amp; Transfusion Requirements: </w:t>
            </w:r>
            <w:r w:rsidR="00526D93">
              <w:t>Enter a Transfusion Requirement</w:t>
            </w:r>
          </w:p>
          <w:p w14:paraId="578CA5D9" w14:textId="77777777" w:rsidR="0030405B" w:rsidRDefault="0030405B">
            <w:pPr>
              <w:pStyle w:val="TableText"/>
            </w:pPr>
            <w:r>
              <w:t>Patient Testing: Record Patient Test Results (new TR created from ABID data entry)</w:t>
            </w:r>
          </w:p>
        </w:tc>
        <w:tc>
          <w:tcPr>
            <w:tcW w:w="3470" w:type="dxa"/>
          </w:tcPr>
          <w:p w14:paraId="49C366AC" w14:textId="77777777" w:rsidR="0030405B" w:rsidRDefault="0030405B" w:rsidP="0030405B">
            <w:pPr>
              <w:pStyle w:val="TableText"/>
            </w:pPr>
            <w:r>
              <w:t>For each Transfusion Requirement category or Special Instruction:</w:t>
            </w:r>
          </w:p>
          <w:p w14:paraId="6846C373" w14:textId="77777777" w:rsidR="002A21AE" w:rsidRDefault="0030405B">
            <w:pPr>
              <w:pStyle w:val="TableTextBullet"/>
            </w:pPr>
            <w:r>
              <w:t>Status</w:t>
            </w:r>
            <w:r w:rsidR="002A21AE">
              <w:t xml:space="preserve"> Indicator</w:t>
            </w:r>
          </w:p>
          <w:p w14:paraId="7DC5135A" w14:textId="77777777" w:rsidR="002A21AE" w:rsidRDefault="002A21AE">
            <w:pPr>
              <w:pStyle w:val="TableTextBullet"/>
            </w:pPr>
            <w:r>
              <w:t>Comment</w:t>
            </w:r>
          </w:p>
        </w:tc>
        <w:tc>
          <w:tcPr>
            <w:tcW w:w="1243" w:type="dxa"/>
          </w:tcPr>
          <w:p w14:paraId="0C845836" w14:textId="77777777" w:rsidR="002A21AE" w:rsidRDefault="002A21AE">
            <w:pPr>
              <w:pStyle w:val="TableText"/>
            </w:pPr>
            <w:r>
              <w:t>No</w:t>
            </w:r>
          </w:p>
        </w:tc>
        <w:tc>
          <w:tcPr>
            <w:tcW w:w="1295" w:type="dxa"/>
          </w:tcPr>
          <w:p w14:paraId="4C38D47A" w14:textId="77777777" w:rsidR="002A21AE" w:rsidRDefault="002A21AE">
            <w:pPr>
              <w:pStyle w:val="TableText"/>
            </w:pPr>
            <w:r>
              <w:rPr>
                <w:rFonts w:eastAsia="Symbol"/>
              </w:rPr>
              <w:t>Yes</w:t>
            </w:r>
          </w:p>
        </w:tc>
      </w:tr>
      <w:tr w:rsidR="002A21AE" w14:paraId="31DBE5FE" w14:textId="77777777" w:rsidTr="00DC1872">
        <w:trPr>
          <w:cantSplit/>
        </w:trPr>
        <w:tc>
          <w:tcPr>
            <w:tcW w:w="1525" w:type="dxa"/>
          </w:tcPr>
          <w:p w14:paraId="0D26695B" w14:textId="77777777" w:rsidR="002A21AE" w:rsidRDefault="002A21AE" w:rsidP="00CD34EB">
            <w:pPr>
              <w:pStyle w:val="TableText"/>
            </w:pPr>
            <w:r>
              <w:t>Maintenance: Local Facilities</w:t>
            </w:r>
          </w:p>
        </w:tc>
        <w:tc>
          <w:tcPr>
            <w:tcW w:w="1979" w:type="dxa"/>
          </w:tcPr>
          <w:p w14:paraId="15A47A1D" w14:textId="77777777" w:rsidR="002A21AE" w:rsidRDefault="002A21AE" w:rsidP="0030405B">
            <w:pPr>
              <w:pStyle w:val="TableText"/>
            </w:pPr>
            <w:r>
              <w:t>Local Facilities</w:t>
            </w:r>
          </w:p>
        </w:tc>
        <w:tc>
          <w:tcPr>
            <w:tcW w:w="3470" w:type="dxa"/>
          </w:tcPr>
          <w:p w14:paraId="61ED6AE6" w14:textId="77777777" w:rsidR="0030405B" w:rsidRDefault="0030405B" w:rsidP="0030405B">
            <w:pPr>
              <w:pStyle w:val="TableText"/>
            </w:pPr>
            <w:r>
              <w:t xml:space="preserve">For each </w:t>
            </w:r>
            <w:r w:rsidR="00B059A9">
              <w:t>f</w:t>
            </w:r>
            <w:r>
              <w:t xml:space="preserve">acility </w:t>
            </w:r>
            <w:r w:rsidR="00B059A9">
              <w:t>n</w:t>
            </w:r>
            <w:r>
              <w:t>ame and FDA Registration Number:</w:t>
            </w:r>
          </w:p>
          <w:p w14:paraId="6C2AD484" w14:textId="77777777" w:rsidR="002A21AE" w:rsidRDefault="002A21AE">
            <w:pPr>
              <w:pStyle w:val="TableTextBullet"/>
            </w:pPr>
            <w:r>
              <w:t>Eye-readable prefix</w:t>
            </w:r>
          </w:p>
          <w:p w14:paraId="4227B96C" w14:textId="77777777" w:rsidR="0030405B" w:rsidRDefault="0030405B">
            <w:pPr>
              <w:pStyle w:val="TableTextBullet"/>
            </w:pPr>
            <w:r>
              <w:t>ICCBBA Registration Number</w:t>
            </w:r>
          </w:p>
          <w:p w14:paraId="09014C9D" w14:textId="77777777" w:rsidR="002A21AE" w:rsidRDefault="002A21AE">
            <w:pPr>
              <w:pStyle w:val="TableTextBullet"/>
            </w:pPr>
            <w:r>
              <w:t xml:space="preserve">Alpha </w:t>
            </w:r>
            <w:r w:rsidR="00765991">
              <w:t>C</w:t>
            </w:r>
            <w:r>
              <w:t>haracters</w:t>
            </w:r>
            <w:r w:rsidR="0030405B">
              <w:t xml:space="preserve"> Indicator</w:t>
            </w:r>
          </w:p>
          <w:p w14:paraId="11E4D77D" w14:textId="77777777" w:rsidR="002A21AE" w:rsidRDefault="002A21AE">
            <w:pPr>
              <w:pStyle w:val="TableTextBullet"/>
            </w:pPr>
            <w:r>
              <w:t>Active</w:t>
            </w:r>
            <w:r w:rsidR="0030405B">
              <w:t xml:space="preserve"> Facility</w:t>
            </w:r>
            <w:r>
              <w:t xml:space="preserve"> Indicator</w:t>
            </w:r>
          </w:p>
          <w:p w14:paraId="132B8F95" w14:textId="77777777" w:rsidR="002A21AE" w:rsidRDefault="002A21AE">
            <w:pPr>
              <w:pStyle w:val="TableTextBullet"/>
            </w:pPr>
            <w:r>
              <w:t xml:space="preserve">Collection Facility Indicator </w:t>
            </w:r>
          </w:p>
          <w:p w14:paraId="09301150" w14:textId="77777777" w:rsidR="002A21AE" w:rsidRDefault="002A21AE">
            <w:pPr>
              <w:pStyle w:val="TableTextBullet"/>
            </w:pPr>
            <w:r>
              <w:t xml:space="preserve">Testing Facility Indicator </w:t>
            </w:r>
          </w:p>
          <w:p w14:paraId="1414D6CC" w14:textId="77777777" w:rsidR="002B6A72" w:rsidRDefault="002A21AE">
            <w:pPr>
              <w:pStyle w:val="TableTextBullet"/>
            </w:pPr>
            <w:r>
              <w:t>Address Line</w:t>
            </w:r>
            <w:r w:rsidR="002B6A72">
              <w:t xml:space="preserve"> 1</w:t>
            </w:r>
          </w:p>
          <w:p w14:paraId="7E811471" w14:textId="77777777" w:rsidR="002B6A72" w:rsidRDefault="002B6A72">
            <w:pPr>
              <w:pStyle w:val="TableTextBullet"/>
            </w:pPr>
            <w:r>
              <w:t>Address Line2</w:t>
            </w:r>
          </w:p>
          <w:p w14:paraId="38FA2611" w14:textId="77777777" w:rsidR="002A21AE" w:rsidRDefault="002B6A72">
            <w:pPr>
              <w:pStyle w:val="TableTextBullet"/>
            </w:pPr>
            <w:r>
              <w:t>Address Line 3</w:t>
            </w:r>
          </w:p>
          <w:p w14:paraId="6F932D1E" w14:textId="77777777" w:rsidR="002A21AE" w:rsidRDefault="002A21AE">
            <w:pPr>
              <w:pStyle w:val="TableTextBullet"/>
            </w:pPr>
            <w:r>
              <w:t>City</w:t>
            </w:r>
          </w:p>
          <w:p w14:paraId="7C36DB05" w14:textId="77777777" w:rsidR="002A21AE" w:rsidRDefault="002A21AE">
            <w:pPr>
              <w:pStyle w:val="TableTextBullet"/>
            </w:pPr>
            <w:r>
              <w:t>State</w:t>
            </w:r>
          </w:p>
          <w:p w14:paraId="5F7D4A39" w14:textId="77777777" w:rsidR="002A21AE" w:rsidRDefault="002A21AE">
            <w:pPr>
              <w:pStyle w:val="TableTextBullet"/>
            </w:pPr>
            <w:r>
              <w:t>Zip</w:t>
            </w:r>
          </w:p>
          <w:p w14:paraId="64954CD7" w14:textId="77777777" w:rsidR="0030405B" w:rsidRDefault="0030405B">
            <w:pPr>
              <w:pStyle w:val="TableTextBullet"/>
            </w:pPr>
            <w:r>
              <w:t>Phone</w:t>
            </w:r>
          </w:p>
          <w:p w14:paraId="4EB1AFAB" w14:textId="77777777" w:rsidR="0030405B" w:rsidRDefault="0030405B">
            <w:pPr>
              <w:pStyle w:val="TableTextBullet"/>
            </w:pPr>
            <w:r>
              <w:t>Fax</w:t>
            </w:r>
          </w:p>
        </w:tc>
        <w:tc>
          <w:tcPr>
            <w:tcW w:w="1243" w:type="dxa"/>
          </w:tcPr>
          <w:p w14:paraId="11AD0B9D" w14:textId="77777777" w:rsidR="002A21AE" w:rsidRDefault="002A21AE">
            <w:pPr>
              <w:pStyle w:val="TableText"/>
            </w:pPr>
            <w:r>
              <w:t>No</w:t>
            </w:r>
          </w:p>
        </w:tc>
        <w:tc>
          <w:tcPr>
            <w:tcW w:w="1295" w:type="dxa"/>
          </w:tcPr>
          <w:p w14:paraId="36A34D5E" w14:textId="77777777" w:rsidR="002A21AE" w:rsidRDefault="002A21AE">
            <w:pPr>
              <w:pStyle w:val="TableText"/>
            </w:pPr>
            <w:r>
              <w:t>No</w:t>
            </w:r>
          </w:p>
        </w:tc>
      </w:tr>
      <w:tr w:rsidR="002A21AE" w14:paraId="0E5E8262" w14:textId="77777777" w:rsidTr="00DC1872">
        <w:trPr>
          <w:cantSplit/>
        </w:trPr>
        <w:tc>
          <w:tcPr>
            <w:tcW w:w="1525" w:type="dxa"/>
          </w:tcPr>
          <w:p w14:paraId="5C1308C1" w14:textId="77777777" w:rsidR="002A21AE" w:rsidRDefault="002A21AE" w:rsidP="00CD34EB">
            <w:pPr>
              <w:pStyle w:val="TableText"/>
            </w:pPr>
            <w:r>
              <w:t>Maintenance: Blood Product</w:t>
            </w:r>
          </w:p>
        </w:tc>
        <w:tc>
          <w:tcPr>
            <w:tcW w:w="1979" w:type="dxa"/>
          </w:tcPr>
          <w:p w14:paraId="6143B8E4" w14:textId="77777777" w:rsidR="002A21AE" w:rsidRDefault="002A21AE">
            <w:pPr>
              <w:pStyle w:val="TableText"/>
            </w:pPr>
            <w:r>
              <w:t>Blood Products</w:t>
            </w:r>
          </w:p>
        </w:tc>
        <w:tc>
          <w:tcPr>
            <w:tcW w:w="3470" w:type="dxa"/>
          </w:tcPr>
          <w:p w14:paraId="7E18E86D" w14:textId="77777777" w:rsidR="007F2C58" w:rsidRDefault="007F2C58" w:rsidP="007F2C58">
            <w:pPr>
              <w:pStyle w:val="TableText"/>
            </w:pPr>
            <w:r>
              <w:t xml:space="preserve">For each </w:t>
            </w:r>
            <w:r w:rsidR="00B059A9">
              <w:t>blood p</w:t>
            </w:r>
            <w:r>
              <w:t>roduct (name, code):</w:t>
            </w:r>
          </w:p>
          <w:p w14:paraId="1C99A97E" w14:textId="36C591F2" w:rsidR="007F2C58" w:rsidRDefault="007F2C58" w:rsidP="007F2C58">
            <w:pPr>
              <w:pStyle w:val="TableTextBullet"/>
            </w:pPr>
            <w:r>
              <w:t>HCPCS Code and Text</w:t>
            </w:r>
          </w:p>
          <w:p w14:paraId="547CD398" w14:textId="27F02DF6" w:rsidR="00953DA2" w:rsidRDefault="00953DA2" w:rsidP="007F2C58">
            <w:pPr>
              <w:pStyle w:val="TableTextBullet"/>
            </w:pPr>
            <w:r>
              <w:t>Maximum Storage Time</w:t>
            </w:r>
          </w:p>
          <w:p w14:paraId="4E07FF0B" w14:textId="77777777" w:rsidR="007F2C58" w:rsidRDefault="007F2C58" w:rsidP="007F2C58">
            <w:pPr>
              <w:pStyle w:val="TableText"/>
            </w:pPr>
            <w:r>
              <w:t>For each shipper of this product code (name, ID):</w:t>
            </w:r>
          </w:p>
          <w:p w14:paraId="23D032A6" w14:textId="77777777" w:rsidR="002A21AE" w:rsidRDefault="007F2C58">
            <w:pPr>
              <w:pStyle w:val="TableTextBullet"/>
            </w:pPr>
            <w:r>
              <w:t>Cost</w:t>
            </w:r>
          </w:p>
          <w:p w14:paraId="0533C221" w14:textId="77777777" w:rsidR="002A21AE" w:rsidRDefault="002A21AE">
            <w:pPr>
              <w:pStyle w:val="TableTextBullet"/>
            </w:pPr>
            <w:r>
              <w:t xml:space="preserve">Return Credit </w:t>
            </w:r>
            <w:r w:rsidR="007F2C58">
              <w:t>Percentage</w:t>
            </w:r>
          </w:p>
          <w:p w14:paraId="2DAB2BD4" w14:textId="06EA90EF" w:rsidR="0010595A" w:rsidRDefault="007F2C58" w:rsidP="00953DA2">
            <w:pPr>
              <w:pStyle w:val="TableTextBullet"/>
            </w:pPr>
            <w:r>
              <w:t>Status Indicator</w:t>
            </w:r>
          </w:p>
        </w:tc>
        <w:tc>
          <w:tcPr>
            <w:tcW w:w="1243" w:type="dxa"/>
          </w:tcPr>
          <w:p w14:paraId="1ABD3491" w14:textId="77777777" w:rsidR="002A21AE" w:rsidRDefault="002A21AE">
            <w:pPr>
              <w:pStyle w:val="TableText"/>
            </w:pPr>
            <w:r>
              <w:t>No</w:t>
            </w:r>
          </w:p>
        </w:tc>
        <w:tc>
          <w:tcPr>
            <w:tcW w:w="1295" w:type="dxa"/>
          </w:tcPr>
          <w:p w14:paraId="67965C44" w14:textId="77777777" w:rsidR="002A21AE" w:rsidRDefault="002A21AE">
            <w:pPr>
              <w:pStyle w:val="TableText"/>
            </w:pPr>
            <w:r>
              <w:t>No</w:t>
            </w:r>
          </w:p>
        </w:tc>
      </w:tr>
      <w:tr w:rsidR="002A21AE" w14:paraId="70BC2EEF" w14:textId="77777777" w:rsidTr="00DC1872">
        <w:trPr>
          <w:cantSplit/>
        </w:trPr>
        <w:tc>
          <w:tcPr>
            <w:tcW w:w="1525" w:type="dxa"/>
          </w:tcPr>
          <w:p w14:paraId="5ABCAFBC" w14:textId="77777777" w:rsidR="002A21AE" w:rsidRDefault="002A21AE" w:rsidP="00CD34EB">
            <w:pPr>
              <w:pStyle w:val="TableText"/>
            </w:pPr>
            <w:r>
              <w:lastRenderedPageBreak/>
              <w:t>Maintenance: Division Configuration</w:t>
            </w:r>
          </w:p>
        </w:tc>
        <w:tc>
          <w:tcPr>
            <w:tcW w:w="1979" w:type="dxa"/>
          </w:tcPr>
          <w:p w14:paraId="13AE99BD" w14:textId="77777777" w:rsidR="002A21AE" w:rsidRDefault="00D567C9">
            <w:pPr>
              <w:pStyle w:val="TableText"/>
            </w:pPr>
            <w:r>
              <w:t>Configure Division</w:t>
            </w:r>
          </w:p>
        </w:tc>
        <w:tc>
          <w:tcPr>
            <w:tcW w:w="3470" w:type="dxa"/>
          </w:tcPr>
          <w:p w14:paraId="2C4CA45B" w14:textId="77777777" w:rsidR="005773E9" w:rsidRDefault="005773E9" w:rsidP="005773E9">
            <w:pPr>
              <w:pStyle w:val="TableText"/>
            </w:pPr>
            <w:r>
              <w:t>For each Division (Name and Code):</w:t>
            </w:r>
          </w:p>
          <w:p w14:paraId="1349EF7C" w14:textId="77777777" w:rsidR="005773E9" w:rsidRDefault="005773E9" w:rsidP="00925CAD">
            <w:pPr>
              <w:pStyle w:val="TableText"/>
              <w:numPr>
                <w:ilvl w:val="0"/>
                <w:numId w:val="30"/>
              </w:numPr>
            </w:pPr>
            <w:r>
              <w:t>Full Service, Transfusion Only Indicator</w:t>
            </w:r>
          </w:p>
          <w:p w14:paraId="167512E9" w14:textId="77777777" w:rsidR="005773E9" w:rsidRDefault="005773E9" w:rsidP="00925CAD">
            <w:pPr>
              <w:pStyle w:val="TableText"/>
              <w:numPr>
                <w:ilvl w:val="0"/>
                <w:numId w:val="30"/>
              </w:numPr>
            </w:pPr>
            <w:r>
              <w:t>Facility Name</w:t>
            </w:r>
          </w:p>
          <w:p w14:paraId="2463243A" w14:textId="77777777" w:rsidR="005773E9" w:rsidRDefault="005773E9" w:rsidP="00925CAD">
            <w:pPr>
              <w:pStyle w:val="TableText"/>
              <w:numPr>
                <w:ilvl w:val="0"/>
                <w:numId w:val="30"/>
              </w:numPr>
            </w:pPr>
            <w:r>
              <w:t xml:space="preserve">Active Status </w:t>
            </w:r>
          </w:p>
          <w:p w14:paraId="0A7185A9" w14:textId="77777777" w:rsidR="005773E9" w:rsidRDefault="00691DFF" w:rsidP="00925CAD">
            <w:pPr>
              <w:pStyle w:val="TableText"/>
              <w:numPr>
                <w:ilvl w:val="0"/>
                <w:numId w:val="30"/>
              </w:numPr>
            </w:pPr>
            <w:r>
              <w:t>Full-Face-</w:t>
            </w:r>
            <w:r w:rsidR="005773E9">
              <w:t>Label Printer Status</w:t>
            </w:r>
          </w:p>
          <w:p w14:paraId="40216DE6" w14:textId="77777777" w:rsidR="005773E9" w:rsidRDefault="00691DFF" w:rsidP="00925CAD">
            <w:pPr>
              <w:pStyle w:val="TableText"/>
              <w:numPr>
                <w:ilvl w:val="0"/>
                <w:numId w:val="30"/>
              </w:numPr>
            </w:pPr>
            <w:r>
              <w:t>Full-Face-</w:t>
            </w:r>
            <w:r w:rsidR="005773E9">
              <w:t>Label Printer Port Number</w:t>
            </w:r>
          </w:p>
          <w:p w14:paraId="5D81F1A9" w14:textId="77777777" w:rsidR="005773E9" w:rsidRDefault="00691DFF" w:rsidP="00925CAD">
            <w:pPr>
              <w:pStyle w:val="TableText"/>
              <w:numPr>
                <w:ilvl w:val="0"/>
                <w:numId w:val="30"/>
              </w:numPr>
            </w:pPr>
            <w:r>
              <w:t>Full-Face-</w:t>
            </w:r>
            <w:r w:rsidR="005773E9">
              <w:t>Label Printer IP address</w:t>
            </w:r>
          </w:p>
          <w:p w14:paraId="5D20C9D1" w14:textId="77777777" w:rsidR="005773E9" w:rsidRDefault="00691DFF" w:rsidP="00925CAD">
            <w:pPr>
              <w:pStyle w:val="TableText"/>
              <w:numPr>
                <w:ilvl w:val="0"/>
                <w:numId w:val="30"/>
              </w:numPr>
            </w:pPr>
            <w:r>
              <w:t>Full-Face-</w:t>
            </w:r>
            <w:r w:rsidR="005773E9">
              <w:t xml:space="preserve">Label Printer COM </w:t>
            </w:r>
          </w:p>
          <w:p w14:paraId="4DEB4692" w14:textId="77777777" w:rsidR="005773E9" w:rsidRDefault="005773E9" w:rsidP="00925CAD">
            <w:pPr>
              <w:pStyle w:val="TableText"/>
              <w:numPr>
                <w:ilvl w:val="0"/>
                <w:numId w:val="30"/>
              </w:numPr>
            </w:pPr>
            <w:r>
              <w:t>Report Printer Name</w:t>
            </w:r>
            <w:r w:rsidR="006D54AE">
              <w:t xml:space="preserve"> </w:t>
            </w:r>
            <w:r w:rsidR="00892C58" w:rsidRPr="00892C58">
              <w:rPr>
                <w:vanish/>
              </w:rPr>
              <w:t>DR 2,882</w:t>
            </w:r>
          </w:p>
          <w:p w14:paraId="55FF1B3D" w14:textId="77777777" w:rsidR="005773E9" w:rsidRDefault="005773E9" w:rsidP="00925CAD">
            <w:pPr>
              <w:pStyle w:val="TableText"/>
              <w:numPr>
                <w:ilvl w:val="0"/>
                <w:numId w:val="30"/>
              </w:numPr>
            </w:pPr>
            <w:r>
              <w:t>Accession Area Name</w:t>
            </w:r>
          </w:p>
          <w:p w14:paraId="36C4E8F3" w14:textId="77777777" w:rsidR="005773E9" w:rsidRDefault="005773E9" w:rsidP="00925CAD">
            <w:pPr>
              <w:pStyle w:val="TableText"/>
              <w:numPr>
                <w:ilvl w:val="0"/>
                <w:numId w:val="31"/>
              </w:numPr>
              <w:ind w:left="0" w:firstLine="0"/>
            </w:pPr>
            <w:r>
              <w:t>Lock Inactivity Timeout Setting</w:t>
            </w:r>
          </w:p>
          <w:p w14:paraId="3B297A6F" w14:textId="77777777" w:rsidR="005773E9" w:rsidRDefault="005773E9" w:rsidP="00925CAD">
            <w:pPr>
              <w:pStyle w:val="TableText"/>
              <w:numPr>
                <w:ilvl w:val="0"/>
                <w:numId w:val="31"/>
              </w:numPr>
              <w:ind w:left="0" w:firstLine="0"/>
            </w:pPr>
            <w:r>
              <w:t>Time Zone Setting</w:t>
            </w:r>
          </w:p>
          <w:p w14:paraId="414ACB17" w14:textId="77777777" w:rsidR="005773E9" w:rsidRDefault="005773E9" w:rsidP="00925CAD">
            <w:pPr>
              <w:pStyle w:val="TableText"/>
              <w:numPr>
                <w:ilvl w:val="0"/>
                <w:numId w:val="32"/>
              </w:numPr>
            </w:pPr>
            <w:r>
              <w:t>Daylight savings time Setting</w:t>
            </w:r>
          </w:p>
          <w:p w14:paraId="6D5E183B" w14:textId="77777777" w:rsidR="005773E9" w:rsidRPr="00756ABF" w:rsidRDefault="005773E9" w:rsidP="00925CAD">
            <w:pPr>
              <w:pStyle w:val="TableText"/>
              <w:numPr>
                <w:ilvl w:val="0"/>
                <w:numId w:val="32"/>
              </w:numPr>
              <w:rPr>
                <w:rFonts w:cs="Arial"/>
              </w:rPr>
            </w:pPr>
            <w:r w:rsidRPr="00756ABF">
              <w:rPr>
                <w:rFonts w:cs="Arial"/>
              </w:rPr>
              <w:t>Daylight savings time start date</w:t>
            </w:r>
          </w:p>
          <w:p w14:paraId="4DD47855" w14:textId="77777777" w:rsidR="005773E9" w:rsidRPr="00756ABF" w:rsidRDefault="005773E9" w:rsidP="00925CAD">
            <w:pPr>
              <w:pStyle w:val="TableText"/>
              <w:numPr>
                <w:ilvl w:val="0"/>
                <w:numId w:val="32"/>
              </w:numPr>
              <w:rPr>
                <w:rFonts w:cs="Arial"/>
              </w:rPr>
            </w:pPr>
            <w:r w:rsidRPr="00756ABF">
              <w:rPr>
                <w:rFonts w:cs="Arial"/>
              </w:rPr>
              <w:t>Daylight savings time end date</w:t>
            </w:r>
          </w:p>
          <w:p w14:paraId="6B193A1B" w14:textId="77777777" w:rsidR="005773E9" w:rsidRPr="00756ABF" w:rsidRDefault="005773E9" w:rsidP="005773E9">
            <w:pPr>
              <w:rPr>
                <w:rFonts w:ascii="Arial" w:hAnsi="Arial" w:cs="Arial"/>
                <w:sz w:val="18"/>
                <w:szCs w:val="18"/>
              </w:rPr>
            </w:pPr>
            <w:r w:rsidRPr="00756ABF">
              <w:rPr>
                <w:rFonts w:ascii="Arial" w:hAnsi="Arial" w:cs="Arial"/>
                <w:sz w:val="18"/>
                <w:szCs w:val="18"/>
              </w:rPr>
              <w:t>For each Associated Institution (Division Code)</w:t>
            </w:r>
          </w:p>
          <w:p w14:paraId="41D706DC" w14:textId="77777777" w:rsidR="005773E9" w:rsidRDefault="005773E9" w:rsidP="00925CAD">
            <w:pPr>
              <w:pStyle w:val="TableText"/>
              <w:numPr>
                <w:ilvl w:val="0"/>
                <w:numId w:val="30"/>
              </w:numPr>
            </w:pPr>
            <w:r w:rsidRPr="00892C58">
              <w:t>Status indicator</w:t>
            </w:r>
            <w:r w:rsidR="006D54AE">
              <w:t xml:space="preserve"> </w:t>
            </w:r>
            <w:r w:rsidR="006D54AE" w:rsidRPr="006D54AE">
              <w:rPr>
                <w:vanish/>
              </w:rPr>
              <w:t>DR 2,723</w:t>
            </w:r>
          </w:p>
        </w:tc>
        <w:tc>
          <w:tcPr>
            <w:tcW w:w="1243" w:type="dxa"/>
          </w:tcPr>
          <w:p w14:paraId="712EF2DF" w14:textId="77777777" w:rsidR="002A21AE" w:rsidRDefault="002A21AE">
            <w:pPr>
              <w:pStyle w:val="TableText"/>
            </w:pPr>
            <w:r>
              <w:t>No</w:t>
            </w:r>
          </w:p>
        </w:tc>
        <w:tc>
          <w:tcPr>
            <w:tcW w:w="1295" w:type="dxa"/>
          </w:tcPr>
          <w:p w14:paraId="312843C2" w14:textId="77777777" w:rsidR="002A21AE" w:rsidRDefault="002A21AE">
            <w:pPr>
              <w:pStyle w:val="TableText"/>
            </w:pPr>
            <w:r>
              <w:t>No</w:t>
            </w:r>
          </w:p>
        </w:tc>
      </w:tr>
      <w:tr w:rsidR="007F2C58" w14:paraId="7D28710F" w14:textId="77777777" w:rsidTr="00DC1872">
        <w:trPr>
          <w:cantSplit/>
        </w:trPr>
        <w:tc>
          <w:tcPr>
            <w:tcW w:w="1525" w:type="dxa"/>
          </w:tcPr>
          <w:p w14:paraId="7E616F45" w14:textId="77777777" w:rsidR="007F2C58" w:rsidRDefault="007F2C58" w:rsidP="00CD34EB">
            <w:pPr>
              <w:pStyle w:val="TableText"/>
            </w:pPr>
            <w:r>
              <w:t>Maintenance: Division Configuration</w:t>
            </w:r>
          </w:p>
        </w:tc>
        <w:tc>
          <w:tcPr>
            <w:tcW w:w="1979" w:type="dxa"/>
          </w:tcPr>
          <w:p w14:paraId="7AF6B25C" w14:textId="77777777" w:rsidR="007F2C58" w:rsidRDefault="007F2C58">
            <w:pPr>
              <w:pStyle w:val="TableText"/>
            </w:pPr>
            <w:r>
              <w:t>Configure Division</w:t>
            </w:r>
          </w:p>
        </w:tc>
        <w:tc>
          <w:tcPr>
            <w:tcW w:w="3470" w:type="dxa"/>
          </w:tcPr>
          <w:p w14:paraId="65255CD8" w14:textId="77777777" w:rsidR="007F2C58" w:rsidRDefault="007F2C58" w:rsidP="007F2C58">
            <w:pPr>
              <w:pStyle w:val="TableText"/>
            </w:pPr>
            <w:r>
              <w:t xml:space="preserve">For each </w:t>
            </w:r>
            <w:r w:rsidR="00067C65">
              <w:t>d</w:t>
            </w:r>
            <w:r>
              <w:t>ivision (name, code):</w:t>
            </w:r>
          </w:p>
          <w:p w14:paraId="6567BA2F" w14:textId="77777777" w:rsidR="007F2C58" w:rsidRDefault="007F2C58" w:rsidP="007F2C58">
            <w:pPr>
              <w:pStyle w:val="TableTextBullet"/>
            </w:pPr>
            <w:r>
              <w:t>Electronic Crossmatch Enabled Indicator</w:t>
            </w:r>
          </w:p>
          <w:p w14:paraId="575E969B" w14:textId="77777777" w:rsidR="007F2C58" w:rsidRDefault="007F2C58" w:rsidP="007F2C58">
            <w:pPr>
              <w:pStyle w:val="TableTextBullet"/>
            </w:pPr>
            <w:r>
              <w:t>ICCBBA Registration Number</w:t>
            </w:r>
          </w:p>
          <w:p w14:paraId="62C4A9F9" w14:textId="77777777" w:rsidR="007F2C58" w:rsidRDefault="007F2C58" w:rsidP="007F2C58">
            <w:pPr>
              <w:pStyle w:val="TableTextBullet"/>
            </w:pPr>
            <w:r>
              <w:t>Maximum Specimen Expiration Days</w:t>
            </w:r>
          </w:p>
          <w:p w14:paraId="2DB9A45A" w14:textId="77777777" w:rsidR="007F2C58" w:rsidRDefault="007F2C58" w:rsidP="009C0ACB">
            <w:pPr>
              <w:pStyle w:val="TableTextBullet"/>
            </w:pPr>
            <w:r>
              <w:t>Blood Bank MD</w:t>
            </w:r>
          </w:p>
        </w:tc>
        <w:tc>
          <w:tcPr>
            <w:tcW w:w="1243" w:type="dxa"/>
          </w:tcPr>
          <w:p w14:paraId="45E2E3F1" w14:textId="77777777" w:rsidR="007F2C58" w:rsidRDefault="007F2C58">
            <w:pPr>
              <w:pStyle w:val="TableText"/>
            </w:pPr>
            <w:r>
              <w:t>No</w:t>
            </w:r>
          </w:p>
        </w:tc>
        <w:tc>
          <w:tcPr>
            <w:tcW w:w="1295" w:type="dxa"/>
          </w:tcPr>
          <w:p w14:paraId="2C4F66D3" w14:textId="77777777" w:rsidR="007F2C58" w:rsidRDefault="007F2C58">
            <w:pPr>
              <w:pStyle w:val="TableText"/>
            </w:pPr>
            <w:r>
              <w:t>No</w:t>
            </w:r>
          </w:p>
        </w:tc>
      </w:tr>
      <w:tr w:rsidR="00C64288" w14:paraId="3140E7BC" w14:textId="77777777" w:rsidTr="00DC1872">
        <w:trPr>
          <w:cantSplit/>
        </w:trPr>
        <w:tc>
          <w:tcPr>
            <w:tcW w:w="1525" w:type="dxa"/>
          </w:tcPr>
          <w:p w14:paraId="1386466F" w14:textId="77777777" w:rsidR="00C64288" w:rsidRDefault="00C64288" w:rsidP="00CD34EB">
            <w:pPr>
              <w:pStyle w:val="TableText"/>
            </w:pPr>
            <w:r>
              <w:t>Maintenance: Division Configuration</w:t>
            </w:r>
          </w:p>
        </w:tc>
        <w:tc>
          <w:tcPr>
            <w:tcW w:w="1979" w:type="dxa"/>
          </w:tcPr>
          <w:p w14:paraId="2148DF13" w14:textId="77777777" w:rsidR="00C64288" w:rsidRDefault="00C64288" w:rsidP="000B284D">
            <w:pPr>
              <w:pStyle w:val="TableText"/>
            </w:pPr>
            <w:r>
              <w:t>Edit Invoice Text</w:t>
            </w:r>
          </w:p>
        </w:tc>
        <w:tc>
          <w:tcPr>
            <w:tcW w:w="3470" w:type="dxa"/>
          </w:tcPr>
          <w:p w14:paraId="03A2B213" w14:textId="77777777" w:rsidR="00C64288" w:rsidRDefault="00C64288" w:rsidP="000B284D">
            <w:pPr>
              <w:pStyle w:val="TableText"/>
            </w:pPr>
            <w:r>
              <w:t xml:space="preserve">For each </w:t>
            </w:r>
            <w:r w:rsidR="002713C2">
              <w:t>d</w:t>
            </w:r>
            <w:r>
              <w:t>ivision (name, code):</w:t>
            </w:r>
          </w:p>
          <w:p w14:paraId="13963209" w14:textId="77777777" w:rsidR="00C64288" w:rsidRDefault="00C64288" w:rsidP="000B284D">
            <w:pPr>
              <w:pStyle w:val="TableTextBullet"/>
            </w:pPr>
            <w:r>
              <w:t>Invoice Text</w:t>
            </w:r>
          </w:p>
        </w:tc>
        <w:tc>
          <w:tcPr>
            <w:tcW w:w="1243" w:type="dxa"/>
          </w:tcPr>
          <w:p w14:paraId="040A406A" w14:textId="77777777" w:rsidR="00C64288" w:rsidRDefault="00C64288" w:rsidP="000B284D">
            <w:pPr>
              <w:pStyle w:val="TableText"/>
            </w:pPr>
            <w:r>
              <w:t>No</w:t>
            </w:r>
          </w:p>
        </w:tc>
        <w:tc>
          <w:tcPr>
            <w:tcW w:w="1295" w:type="dxa"/>
          </w:tcPr>
          <w:p w14:paraId="1855DE61" w14:textId="77777777" w:rsidR="00C64288" w:rsidRDefault="00C64288" w:rsidP="000B284D">
            <w:pPr>
              <w:pStyle w:val="TableText"/>
            </w:pPr>
            <w:r>
              <w:t>No</w:t>
            </w:r>
          </w:p>
        </w:tc>
      </w:tr>
      <w:tr w:rsidR="009C0ACB" w14:paraId="08B3BD57" w14:textId="77777777" w:rsidTr="00DC1872">
        <w:trPr>
          <w:cantSplit/>
        </w:trPr>
        <w:tc>
          <w:tcPr>
            <w:tcW w:w="1525" w:type="dxa"/>
          </w:tcPr>
          <w:p w14:paraId="2206EF7D" w14:textId="77777777" w:rsidR="009C0ACB" w:rsidRDefault="009C0ACB" w:rsidP="005C03DD">
            <w:pPr>
              <w:pStyle w:val="TableText"/>
            </w:pPr>
            <w:r>
              <w:t>Maintenance: Division Configuration</w:t>
            </w:r>
          </w:p>
        </w:tc>
        <w:tc>
          <w:tcPr>
            <w:tcW w:w="1979" w:type="dxa"/>
          </w:tcPr>
          <w:p w14:paraId="7F1E603A" w14:textId="77777777" w:rsidR="009C0ACB" w:rsidRDefault="009C0ACB" w:rsidP="005C03DD">
            <w:pPr>
              <w:pStyle w:val="TableText"/>
            </w:pPr>
            <w:r>
              <w:t>Configure Testing</w:t>
            </w:r>
          </w:p>
        </w:tc>
        <w:tc>
          <w:tcPr>
            <w:tcW w:w="3470" w:type="dxa"/>
          </w:tcPr>
          <w:p w14:paraId="4B5E9EC2" w14:textId="77777777" w:rsidR="009C0ACB" w:rsidRDefault="009C0ACB" w:rsidP="005C03DD">
            <w:pPr>
              <w:pStyle w:val="TableText"/>
            </w:pPr>
            <w:r>
              <w:t>For each division (name, code):</w:t>
            </w:r>
          </w:p>
          <w:p w14:paraId="07FD64E7" w14:textId="77777777" w:rsidR="009C0ACB" w:rsidRDefault="009C0ACB" w:rsidP="005C03DD">
            <w:pPr>
              <w:pStyle w:val="TableTextBullet"/>
            </w:pPr>
            <w:r>
              <w:t>Antibody Screen Indicator</w:t>
            </w:r>
          </w:p>
          <w:p w14:paraId="1F149F07" w14:textId="77777777" w:rsidR="006F4516" w:rsidRDefault="006F4516" w:rsidP="005C03DD">
            <w:pPr>
              <w:pStyle w:val="TableTextBullet"/>
            </w:pPr>
            <w:r>
              <w:t>ABS and XM Testing Phases</w:t>
            </w:r>
          </w:p>
        </w:tc>
        <w:tc>
          <w:tcPr>
            <w:tcW w:w="1243" w:type="dxa"/>
          </w:tcPr>
          <w:p w14:paraId="7525905A" w14:textId="77777777" w:rsidR="009C0ACB" w:rsidRDefault="009C0ACB" w:rsidP="005C03DD">
            <w:pPr>
              <w:pStyle w:val="TableText"/>
            </w:pPr>
            <w:r>
              <w:t>No</w:t>
            </w:r>
          </w:p>
        </w:tc>
        <w:tc>
          <w:tcPr>
            <w:tcW w:w="1295" w:type="dxa"/>
          </w:tcPr>
          <w:p w14:paraId="3D1FD178" w14:textId="77777777" w:rsidR="009C0ACB" w:rsidRDefault="009C0ACB" w:rsidP="005C03DD">
            <w:pPr>
              <w:pStyle w:val="TableText"/>
            </w:pPr>
            <w:r>
              <w:t>No</w:t>
            </w:r>
          </w:p>
        </w:tc>
      </w:tr>
      <w:tr w:rsidR="00EE6F41" w14:paraId="1EA64A43" w14:textId="77777777" w:rsidTr="00DC1872">
        <w:trPr>
          <w:cantSplit/>
        </w:trPr>
        <w:tc>
          <w:tcPr>
            <w:tcW w:w="1525" w:type="dxa"/>
          </w:tcPr>
          <w:p w14:paraId="727376CA" w14:textId="77777777" w:rsidR="00EE6F41" w:rsidRDefault="00EE6F41" w:rsidP="00CD34EB">
            <w:pPr>
              <w:pStyle w:val="TableText"/>
            </w:pPr>
            <w:r>
              <w:t>Maintenance: Division Configuration</w:t>
            </w:r>
          </w:p>
        </w:tc>
        <w:tc>
          <w:tcPr>
            <w:tcW w:w="1979" w:type="dxa"/>
          </w:tcPr>
          <w:p w14:paraId="52A10876" w14:textId="77777777" w:rsidR="00EE6F41" w:rsidRDefault="009C0ACB" w:rsidP="00EE6F41">
            <w:pPr>
              <w:pStyle w:val="TableText"/>
            </w:pPr>
            <w:r>
              <w:t>Order Alerts</w:t>
            </w:r>
          </w:p>
        </w:tc>
        <w:tc>
          <w:tcPr>
            <w:tcW w:w="3470" w:type="dxa"/>
          </w:tcPr>
          <w:p w14:paraId="06CE720F" w14:textId="77777777" w:rsidR="00EE6F41" w:rsidRDefault="00EE6F41" w:rsidP="00EE6F41">
            <w:pPr>
              <w:pStyle w:val="TableText"/>
            </w:pPr>
            <w:r>
              <w:t xml:space="preserve">For each </w:t>
            </w:r>
            <w:r w:rsidR="002713C2">
              <w:t>d</w:t>
            </w:r>
            <w:r>
              <w:t>ivision (name, code):</w:t>
            </w:r>
          </w:p>
          <w:p w14:paraId="38FA5F19" w14:textId="77777777" w:rsidR="00EE6F41" w:rsidRDefault="009C0ACB" w:rsidP="00EE6F41">
            <w:pPr>
              <w:pStyle w:val="TableTextBullet"/>
            </w:pPr>
            <w:r>
              <w:t>Login Message</w:t>
            </w:r>
          </w:p>
        </w:tc>
        <w:tc>
          <w:tcPr>
            <w:tcW w:w="1243" w:type="dxa"/>
          </w:tcPr>
          <w:p w14:paraId="781F1E04" w14:textId="77777777" w:rsidR="00EE6F41" w:rsidRDefault="00EE6F41" w:rsidP="00EE6F41">
            <w:pPr>
              <w:pStyle w:val="TableText"/>
            </w:pPr>
            <w:r>
              <w:t>No</w:t>
            </w:r>
          </w:p>
        </w:tc>
        <w:tc>
          <w:tcPr>
            <w:tcW w:w="1295" w:type="dxa"/>
          </w:tcPr>
          <w:p w14:paraId="5CCF7AC9" w14:textId="77777777" w:rsidR="00EE6F41" w:rsidRDefault="00EE6F41" w:rsidP="00EE6F41">
            <w:pPr>
              <w:pStyle w:val="TableText"/>
            </w:pPr>
            <w:r>
              <w:t>No</w:t>
            </w:r>
          </w:p>
        </w:tc>
      </w:tr>
      <w:tr w:rsidR="002A21AE" w14:paraId="33C48D4F" w14:textId="77777777" w:rsidTr="00DC1872">
        <w:trPr>
          <w:cantSplit/>
        </w:trPr>
        <w:tc>
          <w:tcPr>
            <w:tcW w:w="1525" w:type="dxa"/>
          </w:tcPr>
          <w:p w14:paraId="6C7BACA0" w14:textId="77777777" w:rsidR="002A21AE" w:rsidRDefault="002A21AE" w:rsidP="00CD34EB">
            <w:pPr>
              <w:pStyle w:val="TableText"/>
            </w:pPr>
            <w:r>
              <w:t>Maintenance: Modifications Configuration</w:t>
            </w:r>
          </w:p>
        </w:tc>
        <w:tc>
          <w:tcPr>
            <w:tcW w:w="1979" w:type="dxa"/>
          </w:tcPr>
          <w:p w14:paraId="5F9A707B" w14:textId="77777777" w:rsidR="002A21AE" w:rsidRDefault="00046402">
            <w:pPr>
              <w:pStyle w:val="TableText"/>
            </w:pPr>
            <w:r>
              <w:t>Product Modifications</w:t>
            </w:r>
          </w:p>
        </w:tc>
        <w:tc>
          <w:tcPr>
            <w:tcW w:w="3470" w:type="dxa"/>
          </w:tcPr>
          <w:p w14:paraId="42DA105A" w14:textId="77777777" w:rsidR="00563120" w:rsidRDefault="00563120" w:rsidP="00563120">
            <w:pPr>
              <w:pStyle w:val="TableText"/>
            </w:pPr>
            <w:r>
              <w:t>For each modification type:</w:t>
            </w:r>
          </w:p>
          <w:p w14:paraId="42B2153A" w14:textId="77777777" w:rsidR="002A21AE" w:rsidRDefault="002A21AE">
            <w:pPr>
              <w:pStyle w:val="TableTextBullet"/>
            </w:pPr>
            <w:r>
              <w:t>Enabled</w:t>
            </w:r>
            <w:r w:rsidR="00A047A4">
              <w:t xml:space="preserve"> or </w:t>
            </w:r>
            <w:r>
              <w:t>Disabled Indicator</w:t>
            </w:r>
          </w:p>
          <w:p w14:paraId="44E52551" w14:textId="77777777" w:rsidR="002A21AE" w:rsidRDefault="00563120">
            <w:pPr>
              <w:pStyle w:val="TableTextBullet"/>
            </w:pPr>
            <w:r>
              <w:t>Cost</w:t>
            </w:r>
          </w:p>
        </w:tc>
        <w:tc>
          <w:tcPr>
            <w:tcW w:w="1243" w:type="dxa"/>
          </w:tcPr>
          <w:p w14:paraId="25D566B3" w14:textId="77777777" w:rsidR="002A21AE" w:rsidRDefault="002A21AE">
            <w:pPr>
              <w:pStyle w:val="TableText"/>
            </w:pPr>
            <w:r>
              <w:t>No</w:t>
            </w:r>
          </w:p>
        </w:tc>
        <w:tc>
          <w:tcPr>
            <w:tcW w:w="1295" w:type="dxa"/>
          </w:tcPr>
          <w:p w14:paraId="06D1A571" w14:textId="77777777" w:rsidR="002A21AE" w:rsidRDefault="002A21AE">
            <w:pPr>
              <w:pStyle w:val="TableText"/>
            </w:pPr>
            <w:r>
              <w:t>No</w:t>
            </w:r>
          </w:p>
        </w:tc>
      </w:tr>
      <w:tr w:rsidR="002A21AE" w14:paraId="4F01DFDD" w14:textId="77777777" w:rsidTr="00DC1872">
        <w:trPr>
          <w:cantSplit/>
        </w:trPr>
        <w:tc>
          <w:tcPr>
            <w:tcW w:w="1525" w:type="dxa"/>
            <w:tcBorders>
              <w:bottom w:val="single" w:sz="4" w:space="0" w:color="auto"/>
            </w:tcBorders>
          </w:tcPr>
          <w:p w14:paraId="166DDE74" w14:textId="77777777" w:rsidR="002A21AE" w:rsidRDefault="002A21AE" w:rsidP="00CD34EB">
            <w:pPr>
              <w:pStyle w:val="TableText"/>
            </w:pPr>
            <w:r>
              <w:t>Maintenance: User Role Changes</w:t>
            </w:r>
          </w:p>
        </w:tc>
        <w:tc>
          <w:tcPr>
            <w:tcW w:w="1979" w:type="dxa"/>
            <w:tcBorders>
              <w:bottom w:val="single" w:sz="4" w:space="0" w:color="auto"/>
            </w:tcBorders>
          </w:tcPr>
          <w:p w14:paraId="0FFBB7F3" w14:textId="77777777" w:rsidR="002A21AE" w:rsidRDefault="002A21AE">
            <w:pPr>
              <w:pStyle w:val="TableText"/>
            </w:pPr>
            <w:r>
              <w:t>Update User Roles</w:t>
            </w:r>
          </w:p>
        </w:tc>
        <w:tc>
          <w:tcPr>
            <w:tcW w:w="3470" w:type="dxa"/>
            <w:tcBorders>
              <w:bottom w:val="single" w:sz="4" w:space="0" w:color="auto"/>
            </w:tcBorders>
          </w:tcPr>
          <w:p w14:paraId="46CC9468" w14:textId="77777777" w:rsidR="00563120" w:rsidRDefault="00563120" w:rsidP="00563120">
            <w:pPr>
              <w:pStyle w:val="TableText"/>
            </w:pPr>
            <w:r>
              <w:t>For each user:</w:t>
            </w:r>
          </w:p>
          <w:p w14:paraId="31663D4A" w14:textId="77777777" w:rsidR="002A21AE" w:rsidRDefault="002A21AE">
            <w:pPr>
              <w:pStyle w:val="TableTextBullet"/>
            </w:pPr>
            <w:r>
              <w:t xml:space="preserve">User Role Security Setting </w:t>
            </w:r>
          </w:p>
        </w:tc>
        <w:tc>
          <w:tcPr>
            <w:tcW w:w="1243" w:type="dxa"/>
            <w:tcBorders>
              <w:bottom w:val="single" w:sz="4" w:space="0" w:color="auto"/>
            </w:tcBorders>
          </w:tcPr>
          <w:p w14:paraId="3A49FBC0" w14:textId="77777777" w:rsidR="002A21AE" w:rsidRDefault="002A21AE">
            <w:pPr>
              <w:pStyle w:val="TableText"/>
            </w:pPr>
            <w:r>
              <w:t>No</w:t>
            </w:r>
          </w:p>
        </w:tc>
        <w:tc>
          <w:tcPr>
            <w:tcW w:w="1295" w:type="dxa"/>
            <w:tcBorders>
              <w:bottom w:val="single" w:sz="4" w:space="0" w:color="auto"/>
            </w:tcBorders>
          </w:tcPr>
          <w:p w14:paraId="434BD39C" w14:textId="77777777" w:rsidR="002A21AE" w:rsidRDefault="002A21AE">
            <w:pPr>
              <w:pStyle w:val="TableText"/>
            </w:pPr>
            <w:r>
              <w:t>No</w:t>
            </w:r>
          </w:p>
        </w:tc>
      </w:tr>
      <w:tr w:rsidR="00C644E6" w14:paraId="199DC208" w14:textId="77777777" w:rsidTr="00DC1872">
        <w:trPr>
          <w:cantSplit/>
        </w:trPr>
        <w:tc>
          <w:tcPr>
            <w:tcW w:w="1525" w:type="dxa"/>
          </w:tcPr>
          <w:p w14:paraId="15F5F31C" w14:textId="77777777" w:rsidR="00C644E6" w:rsidRDefault="00C644E6" w:rsidP="00CD34EB">
            <w:pPr>
              <w:pStyle w:val="TableText"/>
            </w:pPr>
            <w:r>
              <w:t>Maintenance: User Role Changes</w:t>
            </w:r>
          </w:p>
        </w:tc>
        <w:tc>
          <w:tcPr>
            <w:tcW w:w="1979" w:type="dxa"/>
          </w:tcPr>
          <w:p w14:paraId="177C3A23" w14:textId="77777777" w:rsidR="00C644E6" w:rsidRDefault="00F453CE" w:rsidP="000B284D">
            <w:pPr>
              <w:pStyle w:val="TableText"/>
            </w:pPr>
            <w:r>
              <w:t>Configure</w:t>
            </w:r>
            <w:r w:rsidR="00C644E6">
              <w:t xml:space="preserve"> Users</w:t>
            </w:r>
            <w:r w:rsidR="00DE4FF7" w:rsidRPr="00DE4FF7">
              <w:rPr>
                <w:vanish/>
                <w:szCs w:val="18"/>
              </w:rPr>
              <w:t xml:space="preserve"> MUC_03</w:t>
            </w:r>
          </w:p>
        </w:tc>
        <w:tc>
          <w:tcPr>
            <w:tcW w:w="3470" w:type="dxa"/>
          </w:tcPr>
          <w:p w14:paraId="13CF16B3" w14:textId="77777777" w:rsidR="00C644E6" w:rsidRDefault="00C644E6" w:rsidP="00C644E6">
            <w:pPr>
              <w:pStyle w:val="TableText"/>
            </w:pPr>
            <w:r>
              <w:t>For each NT user (name, ID):</w:t>
            </w:r>
          </w:p>
          <w:p w14:paraId="0AA69D88" w14:textId="77777777" w:rsidR="00C644E6" w:rsidRDefault="00C644E6" w:rsidP="000B284D">
            <w:pPr>
              <w:pStyle w:val="TableTextBullet"/>
            </w:pPr>
            <w:r>
              <w:t>VistA DUZ</w:t>
            </w:r>
          </w:p>
          <w:p w14:paraId="34F62F57" w14:textId="77777777" w:rsidR="00C644E6" w:rsidRDefault="00C644E6" w:rsidP="000B284D">
            <w:pPr>
              <w:pStyle w:val="TableTextBullet"/>
            </w:pPr>
            <w:r>
              <w:t>VistA User Name</w:t>
            </w:r>
          </w:p>
          <w:p w14:paraId="6382FAA3" w14:textId="77777777" w:rsidR="00C644E6" w:rsidRDefault="00C644E6" w:rsidP="000B284D">
            <w:pPr>
              <w:pStyle w:val="TableTextBullet"/>
            </w:pPr>
            <w:r>
              <w:t>Email Address</w:t>
            </w:r>
          </w:p>
          <w:p w14:paraId="32D63DD8" w14:textId="77777777" w:rsidR="00C644E6" w:rsidRDefault="00C644E6" w:rsidP="000B284D">
            <w:pPr>
              <w:pStyle w:val="TableTextBullet"/>
            </w:pPr>
            <w:r>
              <w:t>User Initials</w:t>
            </w:r>
          </w:p>
          <w:p w14:paraId="600F6042" w14:textId="77777777" w:rsidR="00C644E6" w:rsidRDefault="00C644E6" w:rsidP="000B284D">
            <w:pPr>
              <w:pStyle w:val="TableTextBullet"/>
            </w:pPr>
            <w:r>
              <w:t>Active VBECS User Indicator</w:t>
            </w:r>
          </w:p>
          <w:p w14:paraId="48ECA72E" w14:textId="77777777" w:rsidR="00C644E6" w:rsidRDefault="00342C0E" w:rsidP="000B284D">
            <w:pPr>
              <w:pStyle w:val="TableTextBullet"/>
            </w:pPr>
            <w:r>
              <w:t>Active Division Indicator</w:t>
            </w:r>
          </w:p>
        </w:tc>
        <w:tc>
          <w:tcPr>
            <w:tcW w:w="1243" w:type="dxa"/>
          </w:tcPr>
          <w:p w14:paraId="39D67C6F" w14:textId="77777777" w:rsidR="00C644E6" w:rsidRDefault="00C644E6" w:rsidP="000B284D">
            <w:pPr>
              <w:pStyle w:val="TableText"/>
            </w:pPr>
            <w:r>
              <w:t>No</w:t>
            </w:r>
          </w:p>
        </w:tc>
        <w:tc>
          <w:tcPr>
            <w:tcW w:w="1295" w:type="dxa"/>
          </w:tcPr>
          <w:p w14:paraId="7470774D" w14:textId="77777777" w:rsidR="00C644E6" w:rsidRDefault="00C644E6" w:rsidP="000B284D">
            <w:pPr>
              <w:pStyle w:val="TableText"/>
            </w:pPr>
            <w:r>
              <w:t>No</w:t>
            </w:r>
          </w:p>
        </w:tc>
      </w:tr>
      <w:tr w:rsidR="002A21AE" w14:paraId="7418B723" w14:textId="77777777" w:rsidTr="00DC1872">
        <w:trPr>
          <w:cantSplit/>
        </w:trPr>
        <w:tc>
          <w:tcPr>
            <w:tcW w:w="1525" w:type="dxa"/>
          </w:tcPr>
          <w:p w14:paraId="54296686" w14:textId="77777777" w:rsidR="002A21AE" w:rsidRDefault="002A21AE" w:rsidP="00CD34EB">
            <w:pPr>
              <w:pStyle w:val="TableText"/>
            </w:pPr>
            <w:r>
              <w:t>Maintenance: Antibody Configuration</w:t>
            </w:r>
          </w:p>
        </w:tc>
        <w:tc>
          <w:tcPr>
            <w:tcW w:w="1979" w:type="dxa"/>
          </w:tcPr>
          <w:p w14:paraId="534F16AB" w14:textId="77777777" w:rsidR="002A21AE" w:rsidRDefault="002A21AE">
            <w:pPr>
              <w:pStyle w:val="TableText"/>
            </w:pPr>
            <w:r>
              <w:t>Antibodies</w:t>
            </w:r>
          </w:p>
        </w:tc>
        <w:tc>
          <w:tcPr>
            <w:tcW w:w="3470" w:type="dxa"/>
          </w:tcPr>
          <w:p w14:paraId="1C257EDB" w14:textId="77777777" w:rsidR="00A71D77" w:rsidRDefault="00A71D77" w:rsidP="00A71D77">
            <w:pPr>
              <w:pStyle w:val="TableText"/>
            </w:pPr>
            <w:r>
              <w:t>For each antibody specificity:</w:t>
            </w:r>
          </w:p>
          <w:p w14:paraId="65805E24" w14:textId="77777777" w:rsidR="002A21AE" w:rsidRDefault="002A21AE">
            <w:pPr>
              <w:pStyle w:val="TableTextBullet"/>
            </w:pPr>
            <w:r>
              <w:t>Compatibility Percentage</w:t>
            </w:r>
          </w:p>
          <w:p w14:paraId="08A868F8" w14:textId="77777777" w:rsidR="002A21AE" w:rsidRDefault="00A71D77">
            <w:pPr>
              <w:pStyle w:val="TableTextBullet"/>
            </w:pPr>
            <w:r>
              <w:t>Higher Level Override Required Indicator</w:t>
            </w:r>
          </w:p>
        </w:tc>
        <w:tc>
          <w:tcPr>
            <w:tcW w:w="1243" w:type="dxa"/>
          </w:tcPr>
          <w:p w14:paraId="3FCF960F" w14:textId="77777777" w:rsidR="002A21AE" w:rsidRDefault="002A21AE">
            <w:pPr>
              <w:pStyle w:val="TableText"/>
            </w:pPr>
            <w:r>
              <w:t>No</w:t>
            </w:r>
          </w:p>
        </w:tc>
        <w:tc>
          <w:tcPr>
            <w:tcW w:w="1295" w:type="dxa"/>
          </w:tcPr>
          <w:p w14:paraId="19BC9E7C" w14:textId="77777777" w:rsidR="002A21AE" w:rsidRDefault="002A21AE">
            <w:pPr>
              <w:pStyle w:val="TableText"/>
            </w:pPr>
            <w:r>
              <w:t>No</w:t>
            </w:r>
          </w:p>
        </w:tc>
      </w:tr>
      <w:tr w:rsidR="002A21AE" w14:paraId="21EE63DB" w14:textId="77777777" w:rsidTr="00DC1872">
        <w:trPr>
          <w:cantSplit/>
        </w:trPr>
        <w:tc>
          <w:tcPr>
            <w:tcW w:w="1525" w:type="dxa"/>
          </w:tcPr>
          <w:p w14:paraId="7336AD7A" w14:textId="77777777" w:rsidR="002A21AE" w:rsidRDefault="002A21AE" w:rsidP="00CD34EB">
            <w:pPr>
              <w:pStyle w:val="TableText"/>
            </w:pPr>
            <w:r>
              <w:lastRenderedPageBreak/>
              <w:t>Maintenance: Workload Configuration</w:t>
            </w:r>
          </w:p>
        </w:tc>
        <w:tc>
          <w:tcPr>
            <w:tcW w:w="1979" w:type="dxa"/>
          </w:tcPr>
          <w:p w14:paraId="13AA1397" w14:textId="77777777" w:rsidR="002A21AE" w:rsidRDefault="002A21AE">
            <w:pPr>
              <w:pStyle w:val="TableText"/>
            </w:pPr>
            <w:r>
              <w:t>Workload Codes</w:t>
            </w:r>
          </w:p>
        </w:tc>
        <w:tc>
          <w:tcPr>
            <w:tcW w:w="3470" w:type="dxa"/>
          </w:tcPr>
          <w:p w14:paraId="7EBE3B7A" w14:textId="77777777" w:rsidR="00B320F4" w:rsidRDefault="00B320F4" w:rsidP="00B320F4">
            <w:pPr>
              <w:pStyle w:val="TableText"/>
            </w:pPr>
            <w:r>
              <w:t>For each workload process and for each LMIP procedure and LMIP/NLT code:</w:t>
            </w:r>
          </w:p>
          <w:p w14:paraId="62FCBD4A" w14:textId="77777777" w:rsidR="00B320F4" w:rsidRDefault="00B320F4" w:rsidP="00B320F4">
            <w:pPr>
              <w:pStyle w:val="TableTextBullet"/>
            </w:pPr>
            <w:r>
              <w:t>Start Date</w:t>
            </w:r>
          </w:p>
          <w:p w14:paraId="14F6B765" w14:textId="77777777" w:rsidR="00B320F4" w:rsidRDefault="00B320F4" w:rsidP="00B320F4">
            <w:pPr>
              <w:pStyle w:val="TableTextBullet"/>
            </w:pPr>
            <w:r>
              <w:t>Stop Date</w:t>
            </w:r>
          </w:p>
          <w:p w14:paraId="57E66CAA" w14:textId="77777777" w:rsidR="0098047D" w:rsidRDefault="00B320F4" w:rsidP="00B320F4">
            <w:pPr>
              <w:pStyle w:val="TableTextBullet"/>
            </w:pPr>
            <w:r>
              <w:t>Status Indicator</w:t>
            </w:r>
          </w:p>
        </w:tc>
        <w:tc>
          <w:tcPr>
            <w:tcW w:w="1243" w:type="dxa"/>
          </w:tcPr>
          <w:p w14:paraId="3DE3A0D5" w14:textId="77777777" w:rsidR="002A21AE" w:rsidRDefault="002A21AE">
            <w:pPr>
              <w:pStyle w:val="TableText"/>
            </w:pPr>
            <w:r>
              <w:t>No</w:t>
            </w:r>
          </w:p>
        </w:tc>
        <w:tc>
          <w:tcPr>
            <w:tcW w:w="1295" w:type="dxa"/>
          </w:tcPr>
          <w:p w14:paraId="609DD482" w14:textId="77777777" w:rsidR="002A21AE" w:rsidRDefault="002A21AE">
            <w:pPr>
              <w:pStyle w:val="TableText"/>
            </w:pPr>
            <w:r>
              <w:t>No</w:t>
            </w:r>
          </w:p>
        </w:tc>
      </w:tr>
      <w:tr w:rsidR="002A21AE" w14:paraId="07409DFB" w14:textId="77777777" w:rsidTr="00DC1872">
        <w:trPr>
          <w:cantSplit/>
        </w:trPr>
        <w:tc>
          <w:tcPr>
            <w:tcW w:w="1525" w:type="dxa"/>
          </w:tcPr>
          <w:p w14:paraId="5179A039" w14:textId="77777777" w:rsidR="002A21AE" w:rsidRDefault="002A21AE" w:rsidP="00CD34EB">
            <w:pPr>
              <w:pStyle w:val="TableText"/>
            </w:pPr>
            <w:r>
              <w:t>Maintenance: MSBOS Configuration</w:t>
            </w:r>
          </w:p>
        </w:tc>
        <w:tc>
          <w:tcPr>
            <w:tcW w:w="1979" w:type="dxa"/>
          </w:tcPr>
          <w:p w14:paraId="4204987A" w14:textId="77777777" w:rsidR="002A21AE" w:rsidRDefault="002A21AE">
            <w:pPr>
              <w:pStyle w:val="TableText"/>
            </w:pPr>
            <w:r>
              <w:t>MSBOS</w:t>
            </w:r>
          </w:p>
        </w:tc>
        <w:tc>
          <w:tcPr>
            <w:tcW w:w="3470" w:type="dxa"/>
          </w:tcPr>
          <w:p w14:paraId="455A5E21" w14:textId="77777777" w:rsidR="002A21AE" w:rsidRDefault="00F06D63" w:rsidP="00F06D63">
            <w:pPr>
              <w:pStyle w:val="TableText"/>
            </w:pPr>
            <w:r>
              <w:t xml:space="preserve">For each </w:t>
            </w:r>
            <w:r w:rsidR="00B63E26">
              <w:t>s</w:t>
            </w:r>
            <w:r w:rsidR="002A21AE">
              <w:t xml:space="preserve">urgery </w:t>
            </w:r>
            <w:r w:rsidR="00B63E26">
              <w:t>n</w:t>
            </w:r>
            <w:r>
              <w:t xml:space="preserve">ame: </w:t>
            </w:r>
          </w:p>
          <w:p w14:paraId="36DA01B7" w14:textId="77777777" w:rsidR="002A21AE" w:rsidRDefault="00F06D63">
            <w:pPr>
              <w:pStyle w:val="TableTextBullet"/>
            </w:pPr>
            <w:r>
              <w:t xml:space="preserve">Surgery Status </w:t>
            </w:r>
            <w:r w:rsidR="002A21AE">
              <w:t>Indicator</w:t>
            </w:r>
          </w:p>
          <w:p w14:paraId="64808845" w14:textId="77777777" w:rsidR="00F06D63" w:rsidRDefault="00F06D63" w:rsidP="00F06D63">
            <w:pPr>
              <w:pStyle w:val="TableText"/>
            </w:pPr>
            <w:r>
              <w:t xml:space="preserve">For each </w:t>
            </w:r>
            <w:r w:rsidR="002A21AE">
              <w:t xml:space="preserve">MSBOS </w:t>
            </w:r>
            <w:r w:rsidR="00B63E26">
              <w:t>r</w:t>
            </w:r>
            <w:r w:rsidR="002A21AE">
              <w:t>ecommendation</w:t>
            </w:r>
            <w:r>
              <w:t>:</w:t>
            </w:r>
          </w:p>
          <w:p w14:paraId="31F8A126" w14:textId="77777777" w:rsidR="002A21AE" w:rsidRDefault="002A21AE" w:rsidP="00F06D63">
            <w:pPr>
              <w:pStyle w:val="TableTextBullet"/>
            </w:pPr>
            <w:r>
              <w:t xml:space="preserve">TAS </w:t>
            </w:r>
            <w:r w:rsidR="00F06D63">
              <w:t>Indicator</w:t>
            </w:r>
          </w:p>
          <w:p w14:paraId="2A4AFFBB" w14:textId="77777777" w:rsidR="00F06D63" w:rsidRDefault="00F06D63" w:rsidP="00F06D63">
            <w:pPr>
              <w:pStyle w:val="TableTextBullet"/>
            </w:pPr>
            <w:r>
              <w:t>No Blood Required Indicator</w:t>
            </w:r>
          </w:p>
          <w:p w14:paraId="1A416301" w14:textId="77777777" w:rsidR="00F06D63" w:rsidRDefault="00F06D63" w:rsidP="00F06D63">
            <w:pPr>
              <w:pStyle w:val="TableText"/>
            </w:pPr>
            <w:r>
              <w:t>For each selected component class:</w:t>
            </w:r>
          </w:p>
          <w:p w14:paraId="597FEE6F" w14:textId="77777777" w:rsidR="00F06D63" w:rsidRDefault="00F06D63" w:rsidP="00F06D63">
            <w:pPr>
              <w:pStyle w:val="TableTextBullet"/>
            </w:pPr>
            <w:r>
              <w:t>Number of Units</w:t>
            </w:r>
          </w:p>
          <w:p w14:paraId="1BEB06B2" w14:textId="77777777" w:rsidR="00F06D63" w:rsidRDefault="00F06D63" w:rsidP="00F06D63">
            <w:pPr>
              <w:pStyle w:val="TableTextBullet"/>
            </w:pPr>
            <w:r>
              <w:t>Recommendation Status Indicator</w:t>
            </w:r>
          </w:p>
        </w:tc>
        <w:tc>
          <w:tcPr>
            <w:tcW w:w="1243" w:type="dxa"/>
          </w:tcPr>
          <w:p w14:paraId="226CA37F" w14:textId="77777777" w:rsidR="002A21AE" w:rsidRDefault="002A21AE">
            <w:pPr>
              <w:pStyle w:val="TableText"/>
            </w:pPr>
            <w:r>
              <w:t>No</w:t>
            </w:r>
          </w:p>
        </w:tc>
        <w:tc>
          <w:tcPr>
            <w:tcW w:w="1295" w:type="dxa"/>
          </w:tcPr>
          <w:p w14:paraId="3CC907E5" w14:textId="77777777" w:rsidR="002A21AE" w:rsidRDefault="002A21AE">
            <w:pPr>
              <w:pStyle w:val="TableText"/>
            </w:pPr>
            <w:r>
              <w:t>No</w:t>
            </w:r>
          </w:p>
        </w:tc>
      </w:tr>
      <w:tr w:rsidR="002A21AE" w14:paraId="1B100FF4" w14:textId="77777777" w:rsidTr="00DC1872">
        <w:trPr>
          <w:cantSplit/>
        </w:trPr>
        <w:tc>
          <w:tcPr>
            <w:tcW w:w="1525" w:type="dxa"/>
          </w:tcPr>
          <w:p w14:paraId="54F96C17" w14:textId="77777777" w:rsidR="002A21AE" w:rsidRDefault="002A21AE" w:rsidP="00CD34EB">
            <w:pPr>
              <w:pStyle w:val="TableText"/>
            </w:pPr>
            <w:r>
              <w:t>Maintenance: Transfusion Effectiveness Changes</w:t>
            </w:r>
          </w:p>
        </w:tc>
        <w:tc>
          <w:tcPr>
            <w:tcW w:w="1979" w:type="dxa"/>
          </w:tcPr>
          <w:p w14:paraId="7FB49A40" w14:textId="77777777" w:rsidR="002A21AE" w:rsidRDefault="002A21AE">
            <w:pPr>
              <w:pStyle w:val="TableText"/>
            </w:pPr>
            <w:r>
              <w:t>Transfusion Effectiveness</w:t>
            </w:r>
          </w:p>
        </w:tc>
        <w:tc>
          <w:tcPr>
            <w:tcW w:w="3470" w:type="dxa"/>
          </w:tcPr>
          <w:p w14:paraId="4E8E78AB" w14:textId="77777777" w:rsidR="004E501B" w:rsidRDefault="008945EE" w:rsidP="004E501B">
            <w:pPr>
              <w:pStyle w:val="TableText"/>
            </w:pPr>
            <w:r>
              <w:t>For each Laboratory t</w:t>
            </w:r>
            <w:r w:rsidR="004E501B">
              <w:t xml:space="preserve">est </w:t>
            </w:r>
            <w:r>
              <w:t>n</w:t>
            </w:r>
            <w:r w:rsidR="004E501B">
              <w:t xml:space="preserve">ame, for each VistA Laboratory </w:t>
            </w:r>
            <w:r>
              <w:t>t</w:t>
            </w:r>
            <w:r w:rsidR="004E501B">
              <w:t xml:space="preserve">est Internal Entry Number (IEN), and for each </w:t>
            </w:r>
            <w:r>
              <w:t>s</w:t>
            </w:r>
            <w:r w:rsidR="004E501B">
              <w:t xml:space="preserve">pecimen </w:t>
            </w:r>
            <w:r>
              <w:t>t</w:t>
            </w:r>
            <w:r w:rsidR="004E501B">
              <w:t xml:space="preserve">ype: </w:t>
            </w:r>
          </w:p>
          <w:p w14:paraId="4AB815DB" w14:textId="77777777" w:rsidR="002A21AE" w:rsidRDefault="004E501B">
            <w:pPr>
              <w:pStyle w:val="TableTextBullet"/>
            </w:pPr>
            <w:r>
              <w:t>Status Indicator</w:t>
            </w:r>
          </w:p>
        </w:tc>
        <w:tc>
          <w:tcPr>
            <w:tcW w:w="1243" w:type="dxa"/>
          </w:tcPr>
          <w:p w14:paraId="132B5551" w14:textId="77777777" w:rsidR="002A21AE" w:rsidRDefault="002A21AE">
            <w:pPr>
              <w:pStyle w:val="TableText"/>
            </w:pPr>
            <w:r>
              <w:t>No</w:t>
            </w:r>
          </w:p>
        </w:tc>
        <w:tc>
          <w:tcPr>
            <w:tcW w:w="1295" w:type="dxa"/>
          </w:tcPr>
          <w:p w14:paraId="0074C757" w14:textId="77777777" w:rsidR="002A21AE" w:rsidRDefault="002A21AE">
            <w:pPr>
              <w:pStyle w:val="TableText"/>
            </w:pPr>
            <w:r>
              <w:t>No</w:t>
            </w:r>
          </w:p>
        </w:tc>
      </w:tr>
      <w:tr w:rsidR="002A21AE" w14:paraId="38E86C78" w14:textId="77777777" w:rsidTr="00DC1872">
        <w:trPr>
          <w:cantSplit/>
        </w:trPr>
        <w:tc>
          <w:tcPr>
            <w:tcW w:w="1525" w:type="dxa"/>
          </w:tcPr>
          <w:p w14:paraId="5240B1B9" w14:textId="77777777" w:rsidR="002A21AE" w:rsidRDefault="002A21AE" w:rsidP="00CD34EB">
            <w:pPr>
              <w:pStyle w:val="TableText"/>
            </w:pPr>
            <w:r>
              <w:t>Maintenance: Transfusion Complications Changes</w:t>
            </w:r>
          </w:p>
        </w:tc>
        <w:tc>
          <w:tcPr>
            <w:tcW w:w="1979" w:type="dxa"/>
          </w:tcPr>
          <w:p w14:paraId="16EEE063" w14:textId="77777777" w:rsidR="002A21AE" w:rsidRDefault="002A21AE">
            <w:pPr>
              <w:pStyle w:val="TableText"/>
            </w:pPr>
            <w:r>
              <w:t>Transfusion Complications</w:t>
            </w:r>
          </w:p>
        </w:tc>
        <w:tc>
          <w:tcPr>
            <w:tcW w:w="3470" w:type="dxa"/>
          </w:tcPr>
          <w:p w14:paraId="6522ED69" w14:textId="77777777" w:rsidR="004E501B" w:rsidRDefault="004E501B" w:rsidP="004E501B">
            <w:pPr>
              <w:pStyle w:val="TableText"/>
            </w:pPr>
            <w:r>
              <w:t xml:space="preserve">For each Laboratory </w:t>
            </w:r>
            <w:r w:rsidR="008945EE">
              <w:t>te</w:t>
            </w:r>
            <w:r>
              <w:t xml:space="preserve">st </w:t>
            </w:r>
            <w:r w:rsidR="008945EE">
              <w:t>n</w:t>
            </w:r>
            <w:r>
              <w:t xml:space="preserve">ame, for each VistA Laboratory </w:t>
            </w:r>
            <w:r w:rsidR="008945EE">
              <w:t>t</w:t>
            </w:r>
            <w:r>
              <w:t xml:space="preserve">est IEN, and for each </w:t>
            </w:r>
            <w:r w:rsidR="008945EE">
              <w:t>s</w:t>
            </w:r>
            <w:r>
              <w:t xml:space="preserve">pecimen </w:t>
            </w:r>
            <w:r w:rsidR="008945EE">
              <w:t>t</w:t>
            </w:r>
            <w:r>
              <w:t xml:space="preserve">ype: </w:t>
            </w:r>
          </w:p>
          <w:p w14:paraId="07FABEDF" w14:textId="77777777" w:rsidR="004E501B" w:rsidRDefault="004E501B" w:rsidP="004E501B">
            <w:pPr>
              <w:pStyle w:val="TableTextBullet"/>
            </w:pPr>
            <w:r>
              <w:t>Threshold Result</w:t>
            </w:r>
          </w:p>
          <w:p w14:paraId="39792FCD" w14:textId="77777777" w:rsidR="004E501B" w:rsidRDefault="004E501B" w:rsidP="004E501B">
            <w:pPr>
              <w:pStyle w:val="TableTextBullet"/>
            </w:pPr>
            <w:r>
              <w:t>Threshold Setting Status</w:t>
            </w:r>
          </w:p>
          <w:p w14:paraId="792BAD8D" w14:textId="77777777" w:rsidR="002A21AE" w:rsidRDefault="004E501B" w:rsidP="004E501B">
            <w:pPr>
              <w:pStyle w:val="TableTextBullet"/>
            </w:pPr>
            <w:r>
              <w:t>Status indicator</w:t>
            </w:r>
            <w:r w:rsidDel="003933CD">
              <w:t xml:space="preserve"> </w:t>
            </w:r>
          </w:p>
        </w:tc>
        <w:tc>
          <w:tcPr>
            <w:tcW w:w="1243" w:type="dxa"/>
          </w:tcPr>
          <w:p w14:paraId="1BADF183" w14:textId="77777777" w:rsidR="002A21AE" w:rsidRDefault="002A21AE">
            <w:pPr>
              <w:pStyle w:val="TableText"/>
            </w:pPr>
            <w:r>
              <w:t>No</w:t>
            </w:r>
          </w:p>
        </w:tc>
        <w:tc>
          <w:tcPr>
            <w:tcW w:w="1295" w:type="dxa"/>
          </w:tcPr>
          <w:p w14:paraId="7B16E8A8" w14:textId="77777777" w:rsidR="002A21AE" w:rsidRDefault="002A21AE">
            <w:pPr>
              <w:pStyle w:val="TableText"/>
            </w:pPr>
            <w:r>
              <w:t>No</w:t>
            </w:r>
          </w:p>
        </w:tc>
      </w:tr>
      <w:tr w:rsidR="002A21AE" w14:paraId="2CA76DEE" w14:textId="77777777" w:rsidTr="00DC1872">
        <w:trPr>
          <w:cantSplit/>
        </w:trPr>
        <w:tc>
          <w:tcPr>
            <w:tcW w:w="1525" w:type="dxa"/>
          </w:tcPr>
          <w:p w14:paraId="4795FFC0" w14:textId="77777777" w:rsidR="002A21AE" w:rsidRDefault="002A21AE" w:rsidP="00CD34EB">
            <w:pPr>
              <w:pStyle w:val="TableText"/>
            </w:pPr>
            <w:r>
              <w:t>Maintenance: Component Class</w:t>
            </w:r>
          </w:p>
        </w:tc>
        <w:tc>
          <w:tcPr>
            <w:tcW w:w="1979" w:type="dxa"/>
          </w:tcPr>
          <w:p w14:paraId="60813F84" w14:textId="77777777" w:rsidR="002A21AE" w:rsidRDefault="002A21AE">
            <w:pPr>
              <w:pStyle w:val="TableText"/>
            </w:pPr>
            <w:r>
              <w:t xml:space="preserve">Component Classes </w:t>
            </w:r>
          </w:p>
        </w:tc>
        <w:tc>
          <w:tcPr>
            <w:tcW w:w="3470" w:type="dxa"/>
          </w:tcPr>
          <w:p w14:paraId="596E91D4" w14:textId="77777777" w:rsidR="002A21AE" w:rsidRDefault="002A21AE">
            <w:pPr>
              <w:pStyle w:val="TableText"/>
            </w:pPr>
            <w:r>
              <w:t>For each component class configured:</w:t>
            </w:r>
          </w:p>
          <w:p w14:paraId="01DD5AEB" w14:textId="77777777" w:rsidR="002A21AE" w:rsidRDefault="0072124A">
            <w:pPr>
              <w:pStyle w:val="TableTextBullet"/>
            </w:pPr>
            <w:r>
              <w:t>Current ABO/Rh Specimen Results Required Indicator</w:t>
            </w:r>
          </w:p>
          <w:p w14:paraId="23F5A83D" w14:textId="77777777" w:rsidR="0072124A" w:rsidRDefault="0072124A">
            <w:pPr>
              <w:pStyle w:val="TableTextBullet"/>
            </w:pPr>
            <w:r>
              <w:t>M</w:t>
            </w:r>
            <w:r w:rsidR="002A21AE">
              <w:t xml:space="preserve">aximum </w:t>
            </w:r>
            <w:r>
              <w:t>T</w:t>
            </w:r>
            <w:r w:rsidR="002A21AE">
              <w:t xml:space="preserve">ransfusion </w:t>
            </w:r>
            <w:r>
              <w:t>T</w:t>
            </w:r>
            <w:r w:rsidR="002A21AE">
              <w:t>ime</w:t>
            </w:r>
          </w:p>
          <w:p w14:paraId="2243EEDA" w14:textId="77777777" w:rsidR="0072124A" w:rsidRDefault="002B6A72">
            <w:pPr>
              <w:pStyle w:val="TableTextBullet"/>
            </w:pPr>
            <w:r>
              <w:t>For each Laboratory Test Name, for each VistA Laboratory Test Internal Entry Number (IEN), and for each Specimen Type:</w:t>
            </w:r>
            <w:r w:rsidR="00B63E26">
              <w:t xml:space="preserve"> </w:t>
            </w:r>
            <w:r w:rsidR="0072124A">
              <w:t>Lab Test Status</w:t>
            </w:r>
          </w:p>
          <w:p w14:paraId="232EDEA3" w14:textId="77777777" w:rsidR="0072124A" w:rsidRDefault="0072124A">
            <w:pPr>
              <w:pStyle w:val="TableTextBullet"/>
            </w:pPr>
            <w:r>
              <w:t>Threshold Result</w:t>
            </w:r>
          </w:p>
        </w:tc>
        <w:tc>
          <w:tcPr>
            <w:tcW w:w="1243" w:type="dxa"/>
          </w:tcPr>
          <w:p w14:paraId="581FEAF4" w14:textId="77777777" w:rsidR="002A21AE" w:rsidRDefault="002A21AE">
            <w:pPr>
              <w:pStyle w:val="TableText"/>
            </w:pPr>
            <w:r>
              <w:t>No</w:t>
            </w:r>
          </w:p>
        </w:tc>
        <w:tc>
          <w:tcPr>
            <w:tcW w:w="1295" w:type="dxa"/>
          </w:tcPr>
          <w:p w14:paraId="5B858761" w14:textId="77777777" w:rsidR="002A21AE" w:rsidRDefault="002A21AE">
            <w:pPr>
              <w:pStyle w:val="TableText"/>
            </w:pPr>
            <w:r>
              <w:t>No</w:t>
            </w:r>
          </w:p>
        </w:tc>
      </w:tr>
      <w:tr w:rsidR="002A21AE" w14:paraId="4474E54C" w14:textId="77777777" w:rsidTr="00DC1872">
        <w:trPr>
          <w:cantSplit/>
        </w:trPr>
        <w:tc>
          <w:tcPr>
            <w:tcW w:w="1525" w:type="dxa"/>
          </w:tcPr>
          <w:p w14:paraId="2E310733" w14:textId="77777777" w:rsidR="002A21AE" w:rsidRDefault="002A21AE" w:rsidP="00CD34EB">
            <w:pPr>
              <w:pStyle w:val="TableText"/>
            </w:pPr>
            <w:r>
              <w:t>Maintenance: Daily QC Configuration</w:t>
            </w:r>
          </w:p>
        </w:tc>
        <w:tc>
          <w:tcPr>
            <w:tcW w:w="1979" w:type="dxa"/>
          </w:tcPr>
          <w:p w14:paraId="29EDEACC" w14:textId="77777777" w:rsidR="002A21AE" w:rsidRDefault="002A21AE">
            <w:pPr>
              <w:pStyle w:val="TableText"/>
            </w:pPr>
            <w:r>
              <w:t>Configure Daily QC</w:t>
            </w:r>
          </w:p>
        </w:tc>
        <w:tc>
          <w:tcPr>
            <w:tcW w:w="3470" w:type="dxa"/>
          </w:tcPr>
          <w:p w14:paraId="27556196" w14:textId="77777777" w:rsidR="002B6A72" w:rsidRPr="00BF10B2" w:rsidRDefault="002838D6" w:rsidP="002B6A72">
            <w:pPr>
              <w:pStyle w:val="TableText"/>
            </w:pPr>
            <w:r w:rsidRPr="00BF10B2">
              <w:t>For each d</w:t>
            </w:r>
            <w:r w:rsidR="002B6A72" w:rsidRPr="00BF10B2">
              <w:t xml:space="preserve">aily QC </w:t>
            </w:r>
            <w:r w:rsidR="00B63E26" w:rsidRPr="00BF10B2">
              <w:t>s</w:t>
            </w:r>
            <w:r w:rsidR="002B6A72" w:rsidRPr="00BF10B2">
              <w:t xml:space="preserve">etup </w:t>
            </w:r>
            <w:r w:rsidR="00B63E26" w:rsidRPr="00BF10B2">
              <w:t>c</w:t>
            </w:r>
            <w:r w:rsidR="002B6A72" w:rsidRPr="00BF10B2">
              <w:t>hanged:</w:t>
            </w:r>
          </w:p>
          <w:p w14:paraId="118D8A4B" w14:textId="77777777" w:rsidR="002A21AE" w:rsidRPr="00BF10B2" w:rsidRDefault="002A21AE">
            <w:pPr>
              <w:pStyle w:val="TableTextBullet"/>
            </w:pPr>
            <w:r w:rsidRPr="00BF10B2">
              <w:t>Commercial or Non-Commercial QC Indicator</w:t>
            </w:r>
          </w:p>
          <w:p w14:paraId="7DFF07B4" w14:textId="77777777" w:rsidR="002A21AE" w:rsidRPr="00BF10B2" w:rsidRDefault="002A21AE">
            <w:pPr>
              <w:pStyle w:val="TableTextBullet"/>
            </w:pPr>
            <w:r w:rsidRPr="00BF10B2">
              <w:t>Rack Nam</w:t>
            </w:r>
            <w:r w:rsidR="00155120" w:rsidRPr="00BF10B2">
              <w:t>e</w:t>
            </w:r>
            <w:r w:rsidRPr="00BF10B2">
              <w:t xml:space="preserve"> Indicator</w:t>
            </w:r>
            <w:r w:rsidR="00155120" w:rsidRPr="00BF10B2">
              <w:t xml:space="preserve"> (</w:t>
            </w:r>
            <w:r w:rsidRPr="00BF10B2">
              <w:t>A through Z or 1 through 26</w:t>
            </w:r>
            <w:r w:rsidR="00155120" w:rsidRPr="00BF10B2">
              <w:t>)</w:t>
            </w:r>
          </w:p>
          <w:p w14:paraId="3BD787E4" w14:textId="77777777" w:rsidR="00155120" w:rsidRPr="00BF10B2" w:rsidRDefault="00155120">
            <w:pPr>
              <w:pStyle w:val="TableTextBullet"/>
            </w:pPr>
            <w:r w:rsidRPr="00BF10B2">
              <w:t>Number of Racks to Test</w:t>
            </w:r>
          </w:p>
          <w:p w14:paraId="56850746" w14:textId="77777777" w:rsidR="00155120" w:rsidRPr="00BF10B2" w:rsidRDefault="00155120">
            <w:pPr>
              <w:pStyle w:val="TableTextBullet"/>
            </w:pPr>
            <w:r w:rsidRPr="00BF10B2">
              <w:t>Daily Alert Time</w:t>
            </w:r>
          </w:p>
          <w:p w14:paraId="4874F347" w14:textId="77777777" w:rsidR="00155120" w:rsidRPr="00BF10B2" w:rsidRDefault="00155120">
            <w:pPr>
              <w:pStyle w:val="TableTextBullet"/>
            </w:pPr>
            <w:r w:rsidRPr="00BF10B2">
              <w:t>Primary Enhancement Media</w:t>
            </w:r>
          </w:p>
          <w:p w14:paraId="49A5C562" w14:textId="77777777" w:rsidR="00155120" w:rsidRPr="00BF10B2" w:rsidRDefault="00155120">
            <w:pPr>
              <w:pStyle w:val="TableTextBullet"/>
            </w:pPr>
            <w:r w:rsidRPr="00BF10B2">
              <w:t>Secondary Enhancement Media</w:t>
            </w:r>
          </w:p>
          <w:p w14:paraId="77920B3A" w14:textId="77777777" w:rsidR="00155120" w:rsidRPr="00BF10B2" w:rsidRDefault="00155120">
            <w:pPr>
              <w:pStyle w:val="TableTextBullet"/>
            </w:pPr>
            <w:r w:rsidRPr="00BF10B2">
              <w:t>Comment</w:t>
            </w:r>
          </w:p>
          <w:p w14:paraId="38C5ACFA" w14:textId="77777777" w:rsidR="00155120" w:rsidRPr="00BF10B2" w:rsidRDefault="00155120" w:rsidP="00155120">
            <w:pPr>
              <w:pStyle w:val="TableText"/>
            </w:pPr>
            <w:r w:rsidRPr="00BF10B2">
              <w:t xml:space="preserve">For each </w:t>
            </w:r>
            <w:r w:rsidR="00B63E26" w:rsidRPr="00BF10B2">
              <w:t>reagent t</w:t>
            </w:r>
            <w:r w:rsidRPr="00BF10B2">
              <w:t xml:space="preserve">ype and </w:t>
            </w:r>
            <w:r w:rsidR="00B63E26" w:rsidRPr="00BF10B2">
              <w:t>t</w:t>
            </w:r>
            <w:r w:rsidRPr="00BF10B2">
              <w:t xml:space="preserve">est </w:t>
            </w:r>
            <w:r w:rsidR="00B63E26" w:rsidRPr="00BF10B2">
              <w:t>w</w:t>
            </w:r>
            <w:r w:rsidRPr="00BF10B2">
              <w:t>ith combination:</w:t>
            </w:r>
          </w:p>
          <w:p w14:paraId="1289C4DF" w14:textId="77777777" w:rsidR="002A21AE" w:rsidRPr="00BF10B2" w:rsidRDefault="00155120">
            <w:pPr>
              <w:pStyle w:val="TableTextBullet"/>
            </w:pPr>
            <w:r w:rsidRPr="00BF10B2">
              <w:t>Sta</w:t>
            </w:r>
            <w:r w:rsidR="00B63E26" w:rsidRPr="00BF10B2">
              <w:t>t</w:t>
            </w:r>
            <w:r w:rsidRPr="00BF10B2">
              <w:t>us Indicator</w:t>
            </w:r>
          </w:p>
          <w:p w14:paraId="4A524E84" w14:textId="77777777" w:rsidR="00155120" w:rsidRDefault="00155120">
            <w:pPr>
              <w:pStyle w:val="TableTextBullet"/>
            </w:pPr>
            <w:r w:rsidRPr="00BF10B2">
              <w:t>Minimum Reaction Entry</w:t>
            </w:r>
          </w:p>
        </w:tc>
        <w:tc>
          <w:tcPr>
            <w:tcW w:w="1243" w:type="dxa"/>
          </w:tcPr>
          <w:p w14:paraId="529AFDEF" w14:textId="77777777" w:rsidR="002A21AE" w:rsidRDefault="002A21AE">
            <w:pPr>
              <w:pStyle w:val="TableText"/>
            </w:pPr>
            <w:r>
              <w:t>No</w:t>
            </w:r>
          </w:p>
        </w:tc>
        <w:tc>
          <w:tcPr>
            <w:tcW w:w="1295" w:type="dxa"/>
          </w:tcPr>
          <w:p w14:paraId="1F0CADD1" w14:textId="77777777" w:rsidR="002A21AE" w:rsidRDefault="002A21AE">
            <w:pPr>
              <w:pStyle w:val="TableText"/>
            </w:pPr>
            <w:r>
              <w:t>No</w:t>
            </w:r>
          </w:p>
        </w:tc>
      </w:tr>
      <w:tr w:rsidR="002A21AE" w14:paraId="344A59C8" w14:textId="77777777" w:rsidTr="00DC1872">
        <w:trPr>
          <w:cantSplit/>
        </w:trPr>
        <w:tc>
          <w:tcPr>
            <w:tcW w:w="1525" w:type="dxa"/>
          </w:tcPr>
          <w:p w14:paraId="538D5B31" w14:textId="77777777" w:rsidR="002A21AE" w:rsidRDefault="002A21AE" w:rsidP="00CD34EB">
            <w:pPr>
              <w:pStyle w:val="TableText"/>
            </w:pPr>
            <w:r>
              <w:t>Maintenance: Minimum Reagent Inventory Levels</w:t>
            </w:r>
          </w:p>
        </w:tc>
        <w:tc>
          <w:tcPr>
            <w:tcW w:w="1979" w:type="dxa"/>
          </w:tcPr>
          <w:p w14:paraId="70F044AF" w14:textId="77777777" w:rsidR="002A21AE" w:rsidRDefault="002A21AE">
            <w:pPr>
              <w:pStyle w:val="TableText"/>
            </w:pPr>
            <w:r>
              <w:t>Maintain Minimum Levels</w:t>
            </w:r>
          </w:p>
        </w:tc>
        <w:tc>
          <w:tcPr>
            <w:tcW w:w="3470" w:type="dxa"/>
          </w:tcPr>
          <w:p w14:paraId="4C87DE44" w14:textId="77777777" w:rsidR="002A21AE" w:rsidRDefault="00BE1AC3">
            <w:pPr>
              <w:pStyle w:val="TableText"/>
            </w:pPr>
            <w:r>
              <w:t>For each reagent type:</w:t>
            </w:r>
          </w:p>
          <w:p w14:paraId="1366B7BD" w14:textId="77777777" w:rsidR="00BE1AC3" w:rsidRDefault="00BE1AC3" w:rsidP="00BE1AC3">
            <w:pPr>
              <w:pStyle w:val="TableTextBullet"/>
            </w:pPr>
            <w:r>
              <w:t>Minimum Inventory Level</w:t>
            </w:r>
          </w:p>
        </w:tc>
        <w:tc>
          <w:tcPr>
            <w:tcW w:w="1243" w:type="dxa"/>
          </w:tcPr>
          <w:p w14:paraId="66A389C0" w14:textId="77777777" w:rsidR="002A21AE" w:rsidRDefault="002A21AE">
            <w:pPr>
              <w:pStyle w:val="TableText"/>
            </w:pPr>
            <w:r>
              <w:t>No</w:t>
            </w:r>
          </w:p>
        </w:tc>
        <w:tc>
          <w:tcPr>
            <w:tcW w:w="1295" w:type="dxa"/>
          </w:tcPr>
          <w:p w14:paraId="2AE87E84" w14:textId="77777777" w:rsidR="002A21AE" w:rsidRDefault="002A21AE">
            <w:pPr>
              <w:pStyle w:val="TableText"/>
            </w:pPr>
            <w:r>
              <w:t>No</w:t>
            </w:r>
          </w:p>
        </w:tc>
      </w:tr>
      <w:tr w:rsidR="002A21AE" w14:paraId="6E459EBF" w14:textId="77777777" w:rsidTr="00DC1872">
        <w:trPr>
          <w:cantSplit/>
        </w:trPr>
        <w:tc>
          <w:tcPr>
            <w:tcW w:w="1525" w:type="dxa"/>
          </w:tcPr>
          <w:p w14:paraId="2363209B" w14:textId="77777777" w:rsidR="002A21AE" w:rsidRDefault="002A21AE" w:rsidP="00CD34EB">
            <w:pPr>
              <w:pStyle w:val="TableText"/>
            </w:pPr>
            <w:r>
              <w:lastRenderedPageBreak/>
              <w:t>Maintenance: User Alert Configuration</w:t>
            </w:r>
          </w:p>
        </w:tc>
        <w:tc>
          <w:tcPr>
            <w:tcW w:w="1979" w:type="dxa"/>
          </w:tcPr>
          <w:p w14:paraId="2CE690B5" w14:textId="77777777" w:rsidR="002A21AE" w:rsidRDefault="006068DE">
            <w:pPr>
              <w:pStyle w:val="TableText"/>
            </w:pPr>
            <w:r>
              <w:t>Order Alerts</w:t>
            </w:r>
          </w:p>
        </w:tc>
        <w:tc>
          <w:tcPr>
            <w:tcW w:w="3470" w:type="dxa"/>
          </w:tcPr>
          <w:p w14:paraId="244A44A6" w14:textId="77777777" w:rsidR="00BE1AC3" w:rsidRDefault="00BE1AC3" w:rsidP="00BE1AC3">
            <w:pPr>
              <w:pStyle w:val="TableText"/>
            </w:pPr>
            <w:r>
              <w:t xml:space="preserve">For each </w:t>
            </w:r>
            <w:r w:rsidR="00B63E26">
              <w:t>d</w:t>
            </w:r>
            <w:r>
              <w:t>ivision (name, code):</w:t>
            </w:r>
          </w:p>
          <w:p w14:paraId="5038666D" w14:textId="77777777" w:rsidR="00AC7D2D" w:rsidRDefault="00AC7D2D" w:rsidP="00AC7D2D">
            <w:pPr>
              <w:pStyle w:val="TableTextBullet"/>
            </w:pPr>
            <w:r>
              <w:t>Printer Alerts On</w:t>
            </w:r>
          </w:p>
          <w:p w14:paraId="1EBE4070" w14:textId="77777777" w:rsidR="00AC7D2D" w:rsidRDefault="00AC7D2D" w:rsidP="00AC7D2D">
            <w:pPr>
              <w:pStyle w:val="TableTextBullet"/>
            </w:pPr>
            <w:r>
              <w:t>Printer Name</w:t>
            </w:r>
          </w:p>
          <w:p w14:paraId="03BABE31" w14:textId="77777777" w:rsidR="00AC7D2D" w:rsidRDefault="00AC7D2D" w:rsidP="00AC7D2D">
            <w:pPr>
              <w:pStyle w:val="TableTextBullet"/>
            </w:pPr>
            <w:r>
              <w:t xml:space="preserve">(Printer) Order Alert Type </w:t>
            </w:r>
          </w:p>
          <w:p w14:paraId="2E1F0570" w14:textId="77777777" w:rsidR="00AC7D2D" w:rsidRDefault="00AC7D2D" w:rsidP="00AC7D2D">
            <w:pPr>
              <w:pStyle w:val="TableTextBullet"/>
            </w:pPr>
            <w:r>
              <w:t>(Printer) Orders Needed In</w:t>
            </w:r>
          </w:p>
          <w:p w14:paraId="772076E5" w14:textId="77777777" w:rsidR="00AC7D2D" w:rsidRDefault="00AC7D2D" w:rsidP="00AC7D2D">
            <w:pPr>
              <w:pStyle w:val="TableTextBullet"/>
            </w:pPr>
            <w:r>
              <w:t>Icon Alerts On</w:t>
            </w:r>
          </w:p>
          <w:p w14:paraId="337E2DE5" w14:textId="77777777" w:rsidR="00AC7D2D" w:rsidRDefault="00AC7D2D" w:rsidP="00AC7D2D">
            <w:pPr>
              <w:pStyle w:val="TableTextBullet"/>
            </w:pPr>
            <w:r>
              <w:t>Refresh Rate</w:t>
            </w:r>
          </w:p>
          <w:p w14:paraId="0AB38A07" w14:textId="77777777" w:rsidR="00AC7D2D" w:rsidRDefault="00AC7D2D" w:rsidP="00AC7D2D">
            <w:pPr>
              <w:pStyle w:val="TableTextBullet"/>
            </w:pPr>
            <w:r>
              <w:t xml:space="preserve">(Icon) Order Alert Type </w:t>
            </w:r>
          </w:p>
          <w:p w14:paraId="24C2EE3C" w14:textId="77777777" w:rsidR="002A21AE" w:rsidRDefault="00AC7D2D" w:rsidP="00AC7D2D">
            <w:pPr>
              <w:pStyle w:val="TableTextBullet"/>
            </w:pPr>
            <w:r>
              <w:t>(Icon) Orders Needed In</w:t>
            </w:r>
          </w:p>
        </w:tc>
        <w:tc>
          <w:tcPr>
            <w:tcW w:w="1243" w:type="dxa"/>
          </w:tcPr>
          <w:p w14:paraId="653A3668" w14:textId="77777777" w:rsidR="002A21AE" w:rsidRDefault="002A21AE">
            <w:pPr>
              <w:pStyle w:val="TableText"/>
            </w:pPr>
            <w:r>
              <w:t>No</w:t>
            </w:r>
          </w:p>
        </w:tc>
        <w:tc>
          <w:tcPr>
            <w:tcW w:w="1295" w:type="dxa"/>
          </w:tcPr>
          <w:p w14:paraId="05461FFB" w14:textId="77777777" w:rsidR="002A21AE" w:rsidRDefault="002A21AE">
            <w:pPr>
              <w:pStyle w:val="TableText"/>
            </w:pPr>
            <w:r>
              <w:t>No</w:t>
            </w:r>
          </w:p>
        </w:tc>
      </w:tr>
      <w:tr w:rsidR="002A21AE" w14:paraId="722604EC" w14:textId="77777777" w:rsidTr="00DC1872">
        <w:trPr>
          <w:cantSplit/>
        </w:trPr>
        <w:tc>
          <w:tcPr>
            <w:tcW w:w="1525" w:type="dxa"/>
          </w:tcPr>
          <w:p w14:paraId="7FE7F8EC" w14:textId="77777777" w:rsidR="002A21AE" w:rsidRDefault="002A21AE" w:rsidP="00CD34EB">
            <w:pPr>
              <w:pStyle w:val="TableText"/>
            </w:pPr>
            <w:r>
              <w:t>Maintenance: Interface Control</w:t>
            </w:r>
          </w:p>
        </w:tc>
        <w:tc>
          <w:tcPr>
            <w:tcW w:w="1979" w:type="dxa"/>
          </w:tcPr>
          <w:p w14:paraId="0145798A" w14:textId="77777777" w:rsidR="002A21AE" w:rsidRDefault="00706DB3">
            <w:pPr>
              <w:pStyle w:val="TableText"/>
            </w:pPr>
            <w:r>
              <w:t>Configure Interfaces</w:t>
            </w:r>
            <w:r w:rsidRPr="00706DB3">
              <w:rPr>
                <w:vanish/>
                <w:szCs w:val="18"/>
              </w:rPr>
              <w:t xml:space="preserve"> MUC_01</w:t>
            </w:r>
          </w:p>
        </w:tc>
        <w:tc>
          <w:tcPr>
            <w:tcW w:w="3470" w:type="dxa"/>
          </w:tcPr>
          <w:p w14:paraId="615443BA" w14:textId="77777777" w:rsidR="002A21AE" w:rsidRDefault="00BE1AC3">
            <w:pPr>
              <w:pStyle w:val="TableTextBullet"/>
            </w:pPr>
            <w:r>
              <w:t xml:space="preserve">VistA </w:t>
            </w:r>
            <w:r w:rsidR="00A615EC">
              <w:t>IP Address or Server Name</w:t>
            </w:r>
          </w:p>
          <w:p w14:paraId="78B710EF" w14:textId="77777777" w:rsidR="002A21AE" w:rsidRDefault="00BE1AC3">
            <w:pPr>
              <w:pStyle w:val="TableTextBullet"/>
            </w:pPr>
            <w:r>
              <w:t xml:space="preserve">VistA </w:t>
            </w:r>
            <w:r w:rsidR="002A21AE">
              <w:t>Port Number</w:t>
            </w:r>
          </w:p>
          <w:p w14:paraId="22118861" w14:textId="77777777" w:rsidR="005773E9" w:rsidRDefault="00A615EC">
            <w:pPr>
              <w:pStyle w:val="TableTextBullet"/>
            </w:pPr>
            <w:r>
              <w:t>VBECS VistALink Service IP Address or Server Name</w:t>
            </w:r>
          </w:p>
          <w:p w14:paraId="15A9A5EA" w14:textId="77777777" w:rsidR="00A615EC" w:rsidRDefault="00A615EC">
            <w:pPr>
              <w:pStyle w:val="TableTextBullet"/>
            </w:pPr>
            <w:r>
              <w:t>VBECS VistALink Service Port Number</w:t>
            </w:r>
          </w:p>
          <w:p w14:paraId="284ED016" w14:textId="77777777" w:rsidR="00A615EC" w:rsidRDefault="00A615EC">
            <w:pPr>
              <w:pStyle w:val="TableTextBullet"/>
            </w:pPr>
            <w:r>
              <w:t>Broker IP Address or Server Name</w:t>
            </w:r>
          </w:p>
          <w:p w14:paraId="729199CE" w14:textId="77777777" w:rsidR="00A615EC" w:rsidRDefault="00A615EC">
            <w:pPr>
              <w:pStyle w:val="TableTextBullet"/>
            </w:pPr>
            <w:r>
              <w:t>Broker Port Number</w:t>
            </w:r>
          </w:p>
        </w:tc>
        <w:tc>
          <w:tcPr>
            <w:tcW w:w="1243" w:type="dxa"/>
          </w:tcPr>
          <w:p w14:paraId="56C66E6B" w14:textId="77777777" w:rsidR="002A21AE" w:rsidRDefault="002A21AE">
            <w:pPr>
              <w:pStyle w:val="TableText"/>
            </w:pPr>
            <w:r>
              <w:t>No</w:t>
            </w:r>
          </w:p>
        </w:tc>
        <w:tc>
          <w:tcPr>
            <w:tcW w:w="1295" w:type="dxa"/>
          </w:tcPr>
          <w:p w14:paraId="1586DF02" w14:textId="77777777" w:rsidR="002A21AE" w:rsidRDefault="002A21AE">
            <w:pPr>
              <w:pStyle w:val="TableText"/>
            </w:pPr>
            <w:r>
              <w:t>No</w:t>
            </w:r>
          </w:p>
        </w:tc>
      </w:tr>
      <w:tr w:rsidR="002A21AE" w14:paraId="0B53FE79" w14:textId="77777777" w:rsidTr="00DC1872">
        <w:trPr>
          <w:cantSplit/>
        </w:trPr>
        <w:tc>
          <w:tcPr>
            <w:tcW w:w="1525" w:type="dxa"/>
          </w:tcPr>
          <w:p w14:paraId="3797D097" w14:textId="77777777" w:rsidR="002A21AE" w:rsidRDefault="002A21AE" w:rsidP="00CD34EB">
            <w:pPr>
              <w:pStyle w:val="TableText"/>
            </w:pPr>
            <w:r>
              <w:t>Maintenance: Interface Control</w:t>
            </w:r>
          </w:p>
        </w:tc>
        <w:tc>
          <w:tcPr>
            <w:tcW w:w="1979" w:type="dxa"/>
          </w:tcPr>
          <w:p w14:paraId="5629F843" w14:textId="77777777" w:rsidR="002A21AE" w:rsidRDefault="00DE4FF7">
            <w:pPr>
              <w:pStyle w:val="TableText"/>
            </w:pPr>
            <w:r w:rsidRPr="00DE4FF7">
              <w:rPr>
                <w:szCs w:val="18"/>
              </w:rPr>
              <w:t>Configure Interfaces</w:t>
            </w:r>
            <w:r>
              <w:rPr>
                <w:vanish/>
                <w:szCs w:val="18"/>
              </w:rPr>
              <w:t xml:space="preserve"> </w:t>
            </w:r>
            <w:r w:rsidR="002A21AE" w:rsidRPr="00DE4FF7">
              <w:rPr>
                <w:vanish/>
                <w:szCs w:val="18"/>
              </w:rPr>
              <w:t>Define Interface Control Parameters</w:t>
            </w:r>
            <w:r w:rsidRPr="00DE4FF7">
              <w:rPr>
                <w:vanish/>
                <w:szCs w:val="18"/>
              </w:rPr>
              <w:t xml:space="preserve"> MUC_0</w:t>
            </w:r>
            <w:r w:rsidR="00EC2E09">
              <w:rPr>
                <w:vanish/>
                <w:szCs w:val="18"/>
              </w:rPr>
              <w:t>1</w:t>
            </w:r>
          </w:p>
        </w:tc>
        <w:tc>
          <w:tcPr>
            <w:tcW w:w="3470" w:type="dxa"/>
          </w:tcPr>
          <w:p w14:paraId="23260027" w14:textId="77777777" w:rsidR="00BE1AC3" w:rsidRPr="00BE1AC3" w:rsidRDefault="00BE1AC3" w:rsidP="00BE1AC3">
            <w:pPr>
              <w:pStyle w:val="TableText"/>
            </w:pPr>
            <w:r>
              <w:t>For each interface defined:</w:t>
            </w:r>
          </w:p>
          <w:p w14:paraId="03E09B88" w14:textId="77777777" w:rsidR="005773E9" w:rsidRDefault="00BE1AC3" w:rsidP="00A615EC">
            <w:pPr>
              <w:pStyle w:val="TableTextBullet"/>
            </w:pPr>
            <w:r>
              <w:rPr>
                <w:bCs/>
              </w:rPr>
              <w:t>Interface</w:t>
            </w:r>
            <w:r>
              <w:t xml:space="preserve"> </w:t>
            </w:r>
            <w:r w:rsidR="002A21AE">
              <w:t>IP Address</w:t>
            </w:r>
            <w:r w:rsidR="00A615EC">
              <w:t xml:space="preserve"> or Server Name</w:t>
            </w:r>
          </w:p>
          <w:p w14:paraId="5ABB6F32" w14:textId="77777777" w:rsidR="002A21AE" w:rsidRDefault="00BE1AC3">
            <w:pPr>
              <w:pStyle w:val="TableTextBullet"/>
            </w:pPr>
            <w:r>
              <w:rPr>
                <w:bCs/>
              </w:rPr>
              <w:t>Interface</w:t>
            </w:r>
            <w:r>
              <w:t xml:space="preserve"> </w:t>
            </w:r>
            <w:r w:rsidR="002A21AE">
              <w:t>Port Number</w:t>
            </w:r>
          </w:p>
          <w:p w14:paraId="63A5B33E" w14:textId="77777777" w:rsidR="00BE1AC3" w:rsidRDefault="00BE1AC3">
            <w:pPr>
              <w:pStyle w:val="TableTextBullet"/>
            </w:pPr>
            <w:r>
              <w:t>Interface Facility ID</w:t>
            </w:r>
          </w:p>
          <w:p w14:paraId="66DA48CF" w14:textId="77777777" w:rsidR="00BE1AC3" w:rsidRDefault="0009266F" w:rsidP="00A615EC">
            <w:pPr>
              <w:pStyle w:val="TableTextBullet"/>
            </w:pPr>
            <w:r>
              <w:t>Interface Status</w:t>
            </w:r>
          </w:p>
          <w:p w14:paraId="5F280DA1" w14:textId="77777777" w:rsidR="0009266F" w:rsidRDefault="0009266F" w:rsidP="0009266F">
            <w:pPr>
              <w:pStyle w:val="TableTextBullet"/>
              <w:numPr>
                <w:ilvl w:val="0"/>
                <w:numId w:val="0"/>
              </w:numPr>
              <w:ind w:left="288" w:hanging="288"/>
            </w:pPr>
          </w:p>
          <w:p w14:paraId="1E9FD0ED" w14:textId="77777777" w:rsidR="0013678B" w:rsidRDefault="0013678B" w:rsidP="0013678B">
            <w:pPr>
              <w:pStyle w:val="TableTextBullet"/>
              <w:numPr>
                <w:ilvl w:val="0"/>
                <w:numId w:val="0"/>
              </w:numPr>
              <w:ind w:left="288" w:hanging="288"/>
            </w:pPr>
            <w:r>
              <w:t>Common Interface settings</w:t>
            </w:r>
          </w:p>
          <w:p w14:paraId="741EDC1A" w14:textId="77777777" w:rsidR="00BE1AC3" w:rsidRDefault="0009266F" w:rsidP="00B85891">
            <w:pPr>
              <w:pStyle w:val="TableTextBullet"/>
            </w:pPr>
            <w:r>
              <w:t>VBECS IP Address or Server Name</w:t>
            </w:r>
          </w:p>
          <w:p w14:paraId="5EEEC0A3" w14:textId="77777777" w:rsidR="0009266F" w:rsidRDefault="0009266F" w:rsidP="00B85891">
            <w:pPr>
              <w:pStyle w:val="TableTextBullet"/>
            </w:pPr>
            <w:r>
              <w:t>VBECS Port Number</w:t>
            </w:r>
          </w:p>
          <w:p w14:paraId="08611C56" w14:textId="77777777" w:rsidR="002A21AE" w:rsidRDefault="002A21AE">
            <w:pPr>
              <w:pStyle w:val="TableTextBullet"/>
            </w:pPr>
            <w:r>
              <w:t>Ack Timeout</w:t>
            </w:r>
          </w:p>
          <w:p w14:paraId="1088D108" w14:textId="77777777" w:rsidR="002A21AE" w:rsidRDefault="002A21AE">
            <w:pPr>
              <w:pStyle w:val="TableTextBullet"/>
            </w:pPr>
            <w:r>
              <w:t xml:space="preserve">Retransmit Attempts </w:t>
            </w:r>
          </w:p>
          <w:p w14:paraId="6BC7E5D0" w14:textId="77777777" w:rsidR="00ED67B4" w:rsidRDefault="002A21AE" w:rsidP="0009266F">
            <w:pPr>
              <w:pStyle w:val="TableTextBullet"/>
            </w:pPr>
            <w:r>
              <w:t>Interface Administrator Email</w:t>
            </w:r>
          </w:p>
        </w:tc>
        <w:tc>
          <w:tcPr>
            <w:tcW w:w="1243" w:type="dxa"/>
          </w:tcPr>
          <w:p w14:paraId="6EC84875" w14:textId="77777777" w:rsidR="002A21AE" w:rsidRDefault="002A21AE">
            <w:pPr>
              <w:pStyle w:val="TableText"/>
            </w:pPr>
            <w:r>
              <w:t>No</w:t>
            </w:r>
          </w:p>
        </w:tc>
        <w:tc>
          <w:tcPr>
            <w:tcW w:w="1295" w:type="dxa"/>
          </w:tcPr>
          <w:p w14:paraId="14909FED" w14:textId="77777777" w:rsidR="002A21AE" w:rsidRDefault="002A21AE">
            <w:pPr>
              <w:pStyle w:val="TableText"/>
            </w:pPr>
            <w:r>
              <w:t>No</w:t>
            </w:r>
          </w:p>
        </w:tc>
      </w:tr>
    </w:tbl>
    <w:p w14:paraId="3056245A" w14:textId="77777777" w:rsidR="002A21AE" w:rsidRDefault="002A21AE">
      <w:pPr>
        <w:pStyle w:val="Heading3"/>
        <w:sectPr w:rsidR="002A21AE" w:rsidSect="00667BEE">
          <w:pgSz w:w="12240" w:h="15840" w:code="1"/>
          <w:pgMar w:top="1440" w:right="1440" w:bottom="1440" w:left="1440" w:header="720" w:footer="720" w:gutter="0"/>
          <w:cols w:space="720"/>
          <w:docGrid w:linePitch="360"/>
        </w:sectPr>
      </w:pPr>
    </w:p>
    <w:p w14:paraId="73BD539A" w14:textId="77777777" w:rsidR="002A21AE" w:rsidRDefault="002A21AE">
      <w:pPr>
        <w:pStyle w:val="Heading3"/>
      </w:pPr>
      <w:r>
        <w:rPr>
          <w:rFonts w:ascii="Geneva" w:hAnsi="Geneva"/>
          <w:vanish/>
        </w:rPr>
        <w:lastRenderedPageBreak/>
        <w:t xml:space="preserve">TT_82.01 </w:t>
      </w:r>
      <w:bookmarkStart w:id="715" w:name="_Toc203765980"/>
      <w:r>
        <w:t>Details in Exception Report</w:t>
      </w:r>
      <w:bookmarkEnd w:id="715"/>
      <w:r>
        <w:fldChar w:fldCharType="begin"/>
      </w:r>
      <w:r>
        <w:instrText xml:space="preserve"> XE </w:instrText>
      </w:r>
      <w:r w:rsidR="00FA7E65">
        <w:instrText>“</w:instrText>
      </w:r>
      <w:r>
        <w:instrText>Tables:Details in Exception Report</w:instrText>
      </w:r>
      <w:r w:rsidR="00FA7E65">
        <w:instrText>”</w:instrText>
      </w:r>
      <w:r>
        <w:instrText xml:space="preserve"> </w:instrText>
      </w:r>
      <w:r>
        <w:fldChar w:fldCharType="end"/>
      </w:r>
    </w:p>
    <w:p w14:paraId="413D4304" w14:textId="28E0BC58" w:rsidR="002A21AE" w:rsidRDefault="00EE455E" w:rsidP="00FA7E65">
      <w:pPr>
        <w:pStyle w:val="BodyText"/>
      </w:pPr>
      <w:r>
        <w:t xml:space="preserve">Table </w:t>
      </w:r>
      <w:r>
        <w:rPr>
          <w:noProof/>
        </w:rPr>
        <w:t>21</w:t>
      </w:r>
      <w:r w:rsidR="002A21AE">
        <w:t xml:space="preserve"> </w:t>
      </w:r>
      <w:r w:rsidR="008D0E7B">
        <w:t>lists exception types and the reports in which they appear.</w:t>
      </w:r>
    </w:p>
    <w:p w14:paraId="6640C4E5" w14:textId="7BD1986C" w:rsidR="002A21AE" w:rsidRDefault="002A21AE">
      <w:pPr>
        <w:pStyle w:val="Caption"/>
      </w:pPr>
      <w:bookmarkStart w:id="716" w:name="_Ref126732272"/>
      <w:bookmarkStart w:id="717" w:name="_Toc97523638"/>
      <w:bookmarkStart w:id="718" w:name="_Toc97527608"/>
      <w:bookmarkStart w:id="719" w:name="_Ref126504543"/>
      <w:bookmarkStart w:id="720" w:name="_Ref126504629"/>
      <w:r>
        <w:t xml:space="preserve">Table </w:t>
      </w:r>
      <w:r w:rsidR="004E20BD">
        <w:rPr>
          <w:noProof/>
        </w:rPr>
        <w:fldChar w:fldCharType="begin"/>
      </w:r>
      <w:r w:rsidR="004E20BD">
        <w:rPr>
          <w:noProof/>
        </w:rPr>
        <w:instrText xml:space="preserve"> SEQ Table \* ARABIC </w:instrText>
      </w:r>
      <w:r w:rsidR="004E20BD">
        <w:rPr>
          <w:noProof/>
        </w:rPr>
        <w:fldChar w:fldCharType="separate"/>
      </w:r>
      <w:r w:rsidR="007D1829">
        <w:rPr>
          <w:noProof/>
        </w:rPr>
        <w:t>21</w:t>
      </w:r>
      <w:r w:rsidR="004E20BD">
        <w:rPr>
          <w:noProof/>
        </w:rPr>
        <w:fldChar w:fldCharType="end"/>
      </w:r>
      <w:bookmarkEnd w:id="716"/>
      <w:r>
        <w:t xml:space="preserve">: </w:t>
      </w:r>
      <w:r>
        <w:rPr>
          <w:vanish/>
        </w:rPr>
        <w:t xml:space="preserve">TT_82.01 </w:t>
      </w:r>
      <w:r>
        <w:t>Details in Exception Report</w:t>
      </w:r>
      <w:bookmarkEnd w:id="717"/>
      <w:bookmarkEnd w:id="718"/>
      <w:bookmarkEnd w:id="719"/>
      <w:bookmarkEnd w:id="720"/>
    </w:p>
    <w:tbl>
      <w:tblPr>
        <w:tblW w:w="104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35"/>
        <w:gridCol w:w="1710"/>
        <w:gridCol w:w="2520"/>
        <w:gridCol w:w="1417"/>
        <w:gridCol w:w="1530"/>
      </w:tblGrid>
      <w:tr w:rsidR="00C045C1" w14:paraId="491D7F2D" w14:textId="77777777" w:rsidTr="006F58C9">
        <w:trPr>
          <w:cantSplit/>
          <w:tblHeader/>
        </w:trPr>
        <w:tc>
          <w:tcPr>
            <w:tcW w:w="3235" w:type="dxa"/>
            <w:vMerge w:val="restart"/>
            <w:shd w:val="clear" w:color="auto" w:fill="B3B3B3"/>
            <w:vAlign w:val="bottom"/>
          </w:tcPr>
          <w:p w14:paraId="5DCE7A3A" w14:textId="77777777" w:rsidR="00C045C1" w:rsidRDefault="00C045C1" w:rsidP="00C045C1">
            <w:pPr>
              <w:pStyle w:val="TableText"/>
              <w:rPr>
                <w:rFonts w:ascii="Symbol" w:eastAsia="Symbol" w:hAnsi="Symbol"/>
                <w:b/>
              </w:rPr>
            </w:pPr>
            <w:r>
              <w:rPr>
                <w:b/>
              </w:rPr>
              <w:t>Exception Type</w:t>
            </w:r>
          </w:p>
        </w:tc>
        <w:tc>
          <w:tcPr>
            <w:tcW w:w="1710" w:type="dxa"/>
            <w:vMerge w:val="restart"/>
            <w:shd w:val="clear" w:color="auto" w:fill="B3B3B3"/>
            <w:vAlign w:val="bottom"/>
          </w:tcPr>
          <w:p w14:paraId="5533F8A2" w14:textId="77777777" w:rsidR="00C045C1" w:rsidRPr="0095633D" w:rsidRDefault="00C045C1" w:rsidP="00C045C1">
            <w:pPr>
              <w:pStyle w:val="TableText"/>
              <w:rPr>
                <w:rFonts w:eastAsia="Symbol" w:cs="Arial"/>
                <w:b/>
              </w:rPr>
            </w:pPr>
            <w:r>
              <w:rPr>
                <w:rFonts w:eastAsia="Symbol" w:cs="Arial"/>
                <w:b/>
              </w:rPr>
              <w:t>Available to Role</w:t>
            </w:r>
          </w:p>
        </w:tc>
        <w:tc>
          <w:tcPr>
            <w:tcW w:w="2520" w:type="dxa"/>
            <w:vMerge w:val="restart"/>
            <w:shd w:val="clear" w:color="auto" w:fill="B3B3B3"/>
            <w:vAlign w:val="bottom"/>
          </w:tcPr>
          <w:p w14:paraId="45D63877" w14:textId="77777777" w:rsidR="00C045C1" w:rsidRPr="00A7231C" w:rsidRDefault="00C045C1" w:rsidP="00C045C1">
            <w:pPr>
              <w:pStyle w:val="TableText"/>
              <w:rPr>
                <w:rFonts w:eastAsia="Symbol" w:cs="Arial"/>
                <w:b/>
              </w:rPr>
            </w:pPr>
            <w:r>
              <w:rPr>
                <w:rFonts w:eastAsia="Symbol" w:cs="Arial"/>
                <w:b/>
              </w:rPr>
              <w:t>Available in Option</w:t>
            </w:r>
          </w:p>
        </w:tc>
        <w:tc>
          <w:tcPr>
            <w:tcW w:w="2947" w:type="dxa"/>
            <w:gridSpan w:val="2"/>
            <w:shd w:val="clear" w:color="auto" w:fill="B3B3B3"/>
          </w:tcPr>
          <w:p w14:paraId="4641105C" w14:textId="77777777" w:rsidR="00C045C1" w:rsidRDefault="00C045C1" w:rsidP="0058499D">
            <w:pPr>
              <w:pStyle w:val="TableText"/>
              <w:jc w:val="center"/>
              <w:rPr>
                <w:rFonts w:eastAsia="Symbol"/>
                <w:b/>
                <w:bCs/>
              </w:rPr>
            </w:pPr>
            <w:r>
              <w:rPr>
                <w:rFonts w:eastAsia="Symbol"/>
                <w:b/>
                <w:bCs/>
              </w:rPr>
              <w:t>Accessible in:</w:t>
            </w:r>
          </w:p>
        </w:tc>
      </w:tr>
      <w:tr w:rsidR="00C045C1" w14:paraId="7511D216" w14:textId="77777777" w:rsidTr="006F58C9">
        <w:trPr>
          <w:cantSplit/>
          <w:tblHeader/>
        </w:trPr>
        <w:tc>
          <w:tcPr>
            <w:tcW w:w="3235" w:type="dxa"/>
            <w:vMerge/>
            <w:shd w:val="clear" w:color="auto" w:fill="C0C0C0"/>
          </w:tcPr>
          <w:p w14:paraId="0BA4AE74" w14:textId="77777777" w:rsidR="00C045C1" w:rsidRDefault="00C045C1" w:rsidP="00C045C1">
            <w:pPr>
              <w:pStyle w:val="TableText"/>
              <w:rPr>
                <w:b/>
              </w:rPr>
            </w:pPr>
          </w:p>
        </w:tc>
        <w:tc>
          <w:tcPr>
            <w:tcW w:w="1710" w:type="dxa"/>
            <w:vMerge/>
            <w:shd w:val="clear" w:color="auto" w:fill="C0C0C0"/>
          </w:tcPr>
          <w:p w14:paraId="47C54818" w14:textId="77777777" w:rsidR="00C045C1" w:rsidRDefault="00C045C1" w:rsidP="00C045C1">
            <w:pPr>
              <w:pStyle w:val="TableText"/>
              <w:rPr>
                <w:b/>
              </w:rPr>
            </w:pPr>
          </w:p>
        </w:tc>
        <w:tc>
          <w:tcPr>
            <w:tcW w:w="2520" w:type="dxa"/>
            <w:vMerge/>
            <w:shd w:val="clear" w:color="auto" w:fill="C0C0C0"/>
          </w:tcPr>
          <w:p w14:paraId="766BA425" w14:textId="77777777" w:rsidR="00C045C1" w:rsidRDefault="00C045C1" w:rsidP="00C045C1">
            <w:pPr>
              <w:pStyle w:val="TableText"/>
              <w:rPr>
                <w:b/>
              </w:rPr>
            </w:pPr>
          </w:p>
        </w:tc>
        <w:tc>
          <w:tcPr>
            <w:tcW w:w="1417" w:type="dxa"/>
            <w:shd w:val="clear" w:color="auto" w:fill="B3B3B3"/>
          </w:tcPr>
          <w:p w14:paraId="1A852112" w14:textId="77777777" w:rsidR="00C045C1" w:rsidRDefault="00C045C1" w:rsidP="00C045C1">
            <w:pPr>
              <w:pStyle w:val="TableText"/>
              <w:rPr>
                <w:rFonts w:eastAsia="Symbol"/>
                <w:b/>
                <w:bCs/>
              </w:rPr>
            </w:pPr>
            <w:r>
              <w:rPr>
                <w:rFonts w:eastAsia="Symbol"/>
                <w:b/>
                <w:bCs/>
              </w:rPr>
              <w:t>Unit History Report?</w:t>
            </w:r>
          </w:p>
        </w:tc>
        <w:tc>
          <w:tcPr>
            <w:tcW w:w="1530" w:type="dxa"/>
            <w:shd w:val="clear" w:color="auto" w:fill="B3B3B3"/>
          </w:tcPr>
          <w:p w14:paraId="00526C4F" w14:textId="77777777" w:rsidR="00C045C1" w:rsidRDefault="00C045C1" w:rsidP="00C045C1">
            <w:pPr>
              <w:pStyle w:val="TableText"/>
              <w:rPr>
                <w:rFonts w:eastAsia="Symbol"/>
                <w:b/>
                <w:bCs/>
              </w:rPr>
            </w:pPr>
            <w:r>
              <w:rPr>
                <w:rFonts w:eastAsia="Symbol"/>
                <w:b/>
                <w:bCs/>
              </w:rPr>
              <w:t>Patient History Report?</w:t>
            </w:r>
          </w:p>
        </w:tc>
      </w:tr>
      <w:tr w:rsidR="00C045C1" w14:paraId="4E1AA96A" w14:textId="77777777" w:rsidTr="006F58C9">
        <w:trPr>
          <w:cantSplit/>
        </w:trPr>
        <w:tc>
          <w:tcPr>
            <w:tcW w:w="3235" w:type="dxa"/>
          </w:tcPr>
          <w:p w14:paraId="47B58975" w14:textId="77777777" w:rsidR="00C045C1" w:rsidRDefault="00C045C1" w:rsidP="00C045C1">
            <w:pPr>
              <w:pStyle w:val="TableText"/>
            </w:pPr>
            <w:r>
              <w:t>ABO discrepant unit issue</w:t>
            </w:r>
          </w:p>
        </w:tc>
        <w:tc>
          <w:tcPr>
            <w:tcW w:w="1710" w:type="dxa"/>
          </w:tcPr>
          <w:p w14:paraId="1A673249" w14:textId="77777777" w:rsidR="00C045C1" w:rsidRDefault="00C045C1" w:rsidP="00C045C1">
            <w:pPr>
              <w:pStyle w:val="TableText"/>
            </w:pPr>
            <w:r>
              <w:t>All</w:t>
            </w:r>
          </w:p>
        </w:tc>
        <w:tc>
          <w:tcPr>
            <w:tcW w:w="2520" w:type="dxa"/>
          </w:tcPr>
          <w:p w14:paraId="0400D9C3" w14:textId="77777777" w:rsidR="00C045C1" w:rsidRDefault="00C045C1" w:rsidP="00C045C1">
            <w:pPr>
              <w:pStyle w:val="TableText"/>
            </w:pPr>
            <w:r>
              <w:t>Issue Unit</w:t>
            </w:r>
          </w:p>
        </w:tc>
        <w:tc>
          <w:tcPr>
            <w:tcW w:w="1417" w:type="dxa"/>
          </w:tcPr>
          <w:p w14:paraId="2FAECD01" w14:textId="77777777" w:rsidR="00C045C1" w:rsidRDefault="00C045C1" w:rsidP="00C045C1">
            <w:pPr>
              <w:pStyle w:val="TableText"/>
            </w:pPr>
            <w:r>
              <w:t>No</w:t>
            </w:r>
          </w:p>
        </w:tc>
        <w:tc>
          <w:tcPr>
            <w:tcW w:w="1530" w:type="dxa"/>
          </w:tcPr>
          <w:p w14:paraId="5FFB7DEC" w14:textId="77777777" w:rsidR="00C045C1" w:rsidRDefault="00C045C1" w:rsidP="00C045C1">
            <w:pPr>
              <w:pStyle w:val="TableText"/>
            </w:pPr>
            <w:r>
              <w:rPr>
                <w:rFonts w:eastAsia="Symbol"/>
              </w:rPr>
              <w:t>Yes</w:t>
            </w:r>
          </w:p>
        </w:tc>
      </w:tr>
      <w:tr w:rsidR="00C045C1" w14:paraId="40048133" w14:textId="77777777" w:rsidTr="006F58C9">
        <w:trPr>
          <w:cantSplit/>
        </w:trPr>
        <w:tc>
          <w:tcPr>
            <w:tcW w:w="3235" w:type="dxa"/>
          </w:tcPr>
          <w:p w14:paraId="4A9416B1" w14:textId="24F067C9" w:rsidR="00C045C1" w:rsidRDefault="00C045C1" w:rsidP="00C045C1">
            <w:pPr>
              <w:pStyle w:val="TableText"/>
            </w:pPr>
            <w:r>
              <w:t xml:space="preserve">ABO </w:t>
            </w:r>
            <w:r w:rsidR="00271FB6">
              <w:t>incompatible unit transfused</w:t>
            </w:r>
          </w:p>
        </w:tc>
        <w:tc>
          <w:tcPr>
            <w:tcW w:w="1710" w:type="dxa"/>
          </w:tcPr>
          <w:p w14:paraId="2E375812" w14:textId="77777777" w:rsidR="00C045C1" w:rsidRPr="0095633D" w:rsidRDefault="00C045C1" w:rsidP="00C045C1">
            <w:pPr>
              <w:pStyle w:val="TableText"/>
            </w:pPr>
            <w:r>
              <w:rPr>
                <w:u w:val="single"/>
              </w:rPr>
              <w:t>&gt;</w:t>
            </w:r>
            <w:r>
              <w:t xml:space="preserve"> Traditional Supervisor</w:t>
            </w:r>
          </w:p>
        </w:tc>
        <w:tc>
          <w:tcPr>
            <w:tcW w:w="2520" w:type="dxa"/>
          </w:tcPr>
          <w:p w14:paraId="1C3A873A" w14:textId="77777777" w:rsidR="00C045C1" w:rsidRDefault="00C045C1" w:rsidP="00C045C1">
            <w:pPr>
              <w:pStyle w:val="TableText"/>
            </w:pPr>
            <w:r>
              <w:t>Document ABO Incompatible Transfusion</w:t>
            </w:r>
          </w:p>
        </w:tc>
        <w:tc>
          <w:tcPr>
            <w:tcW w:w="1417" w:type="dxa"/>
          </w:tcPr>
          <w:p w14:paraId="0C628A00" w14:textId="35CA3D45" w:rsidR="00C045C1" w:rsidRDefault="00271FB6" w:rsidP="00C045C1">
            <w:pPr>
              <w:pStyle w:val="TableText"/>
            </w:pPr>
            <w:r>
              <w:t>Yes</w:t>
            </w:r>
          </w:p>
        </w:tc>
        <w:tc>
          <w:tcPr>
            <w:tcW w:w="1530" w:type="dxa"/>
          </w:tcPr>
          <w:p w14:paraId="3B54D1E1" w14:textId="77777777" w:rsidR="00C045C1" w:rsidRDefault="00C045C1" w:rsidP="00C045C1">
            <w:pPr>
              <w:pStyle w:val="TableText"/>
            </w:pPr>
            <w:r>
              <w:rPr>
                <w:rFonts w:eastAsia="Symbol"/>
              </w:rPr>
              <w:t>Yes</w:t>
            </w:r>
          </w:p>
        </w:tc>
      </w:tr>
      <w:tr w:rsidR="00C045C1" w14:paraId="0DF3236B" w14:textId="77777777" w:rsidTr="006F58C9">
        <w:trPr>
          <w:cantSplit/>
        </w:trPr>
        <w:tc>
          <w:tcPr>
            <w:tcW w:w="3235" w:type="dxa"/>
          </w:tcPr>
          <w:p w14:paraId="3E82DFDB" w14:textId="77777777" w:rsidR="00C045C1" w:rsidRDefault="00C045C1" w:rsidP="00C045C1">
            <w:pPr>
              <w:pStyle w:val="TableText"/>
              <w:rPr>
                <w:rFonts w:eastAsia="Symbol"/>
              </w:rPr>
            </w:pPr>
            <w:r>
              <w:t>Antigen positive unit selected</w:t>
            </w:r>
          </w:p>
        </w:tc>
        <w:tc>
          <w:tcPr>
            <w:tcW w:w="1710" w:type="dxa"/>
          </w:tcPr>
          <w:p w14:paraId="3DD2AA6D" w14:textId="77777777" w:rsidR="00C045C1" w:rsidRDefault="00C045C1" w:rsidP="00C045C1">
            <w:pPr>
              <w:pStyle w:val="TableText"/>
              <w:rPr>
                <w:rFonts w:eastAsia="Symbol"/>
              </w:rPr>
            </w:pPr>
            <w:r>
              <w:rPr>
                <w:u w:val="single"/>
              </w:rPr>
              <w:t>&gt;</w:t>
            </w:r>
            <w:r>
              <w:t xml:space="preserve"> Lead Tech</w:t>
            </w:r>
          </w:p>
        </w:tc>
        <w:tc>
          <w:tcPr>
            <w:tcW w:w="2520" w:type="dxa"/>
          </w:tcPr>
          <w:p w14:paraId="55E0F794" w14:textId="77777777" w:rsidR="00C045C1" w:rsidRDefault="00C045C1" w:rsidP="00C045C1">
            <w:pPr>
              <w:pStyle w:val="TableText"/>
              <w:rPr>
                <w:rFonts w:eastAsia="Symbol"/>
              </w:rPr>
            </w:pPr>
            <w:r>
              <w:rPr>
                <w:rFonts w:eastAsia="Symbol"/>
              </w:rPr>
              <w:t>Select Unit</w:t>
            </w:r>
          </w:p>
        </w:tc>
        <w:tc>
          <w:tcPr>
            <w:tcW w:w="1417" w:type="dxa"/>
          </w:tcPr>
          <w:p w14:paraId="3286DCC1" w14:textId="77777777" w:rsidR="00C045C1" w:rsidRDefault="00C045C1" w:rsidP="00C045C1">
            <w:pPr>
              <w:pStyle w:val="TableText"/>
              <w:rPr>
                <w:rFonts w:eastAsia="Symbol"/>
              </w:rPr>
            </w:pPr>
            <w:r>
              <w:t>No</w:t>
            </w:r>
          </w:p>
        </w:tc>
        <w:tc>
          <w:tcPr>
            <w:tcW w:w="1530" w:type="dxa"/>
          </w:tcPr>
          <w:p w14:paraId="7ACFB8D8" w14:textId="77777777" w:rsidR="00C045C1" w:rsidRDefault="00C045C1" w:rsidP="00C045C1">
            <w:pPr>
              <w:pStyle w:val="TableText"/>
              <w:rPr>
                <w:rFonts w:eastAsia="Symbol"/>
              </w:rPr>
            </w:pPr>
            <w:r>
              <w:t>Yes</w:t>
            </w:r>
          </w:p>
        </w:tc>
      </w:tr>
      <w:tr w:rsidR="006D698E" w14:paraId="562C8B31" w14:textId="77777777" w:rsidTr="006F58C9">
        <w:trPr>
          <w:cantSplit/>
        </w:trPr>
        <w:tc>
          <w:tcPr>
            <w:tcW w:w="3235" w:type="dxa"/>
          </w:tcPr>
          <w:p w14:paraId="6FDACC31" w14:textId="77777777" w:rsidR="006D698E" w:rsidRDefault="006D698E" w:rsidP="00F06C4A">
            <w:pPr>
              <w:pStyle w:val="TableText"/>
            </w:pPr>
            <w:r>
              <w:t>Antigen positive/untested units issued</w:t>
            </w:r>
          </w:p>
        </w:tc>
        <w:tc>
          <w:tcPr>
            <w:tcW w:w="1710" w:type="dxa"/>
          </w:tcPr>
          <w:p w14:paraId="37D85848" w14:textId="77777777" w:rsidR="006D698E" w:rsidRDefault="006D698E" w:rsidP="00F06C4A">
            <w:pPr>
              <w:pStyle w:val="TableText"/>
            </w:pPr>
            <w:r>
              <w:rPr>
                <w:u w:val="single"/>
              </w:rPr>
              <w:t>&gt;</w:t>
            </w:r>
            <w:r>
              <w:t xml:space="preserve"> Lead Tech</w:t>
            </w:r>
          </w:p>
        </w:tc>
        <w:tc>
          <w:tcPr>
            <w:tcW w:w="2520" w:type="dxa"/>
          </w:tcPr>
          <w:p w14:paraId="01BF8BF7" w14:textId="77777777" w:rsidR="006D698E" w:rsidRDefault="006D698E" w:rsidP="00F06C4A">
            <w:pPr>
              <w:pStyle w:val="TableText"/>
            </w:pPr>
            <w:r>
              <w:t>Issue Blood</w:t>
            </w:r>
          </w:p>
        </w:tc>
        <w:tc>
          <w:tcPr>
            <w:tcW w:w="1417" w:type="dxa"/>
          </w:tcPr>
          <w:p w14:paraId="2C6932FC" w14:textId="77777777" w:rsidR="006D698E" w:rsidRDefault="006D698E" w:rsidP="00F06C4A">
            <w:pPr>
              <w:pStyle w:val="TableText"/>
            </w:pPr>
            <w:r>
              <w:t>No</w:t>
            </w:r>
          </w:p>
        </w:tc>
        <w:tc>
          <w:tcPr>
            <w:tcW w:w="1530" w:type="dxa"/>
          </w:tcPr>
          <w:p w14:paraId="5AD5C67D" w14:textId="77777777" w:rsidR="006D698E" w:rsidRDefault="006D698E" w:rsidP="00F06C4A">
            <w:pPr>
              <w:pStyle w:val="TableText"/>
            </w:pPr>
            <w:r>
              <w:rPr>
                <w:rFonts w:eastAsia="Symbol"/>
              </w:rPr>
              <w:t>Yes</w:t>
            </w:r>
          </w:p>
        </w:tc>
      </w:tr>
      <w:tr w:rsidR="00C045C1" w14:paraId="1D52BD2A" w14:textId="77777777" w:rsidTr="006F58C9">
        <w:trPr>
          <w:cantSplit/>
        </w:trPr>
        <w:tc>
          <w:tcPr>
            <w:tcW w:w="3235" w:type="dxa"/>
          </w:tcPr>
          <w:p w14:paraId="43A2778B" w14:textId="77777777" w:rsidR="00C045C1" w:rsidRDefault="00C045C1" w:rsidP="00C045C1">
            <w:pPr>
              <w:pStyle w:val="TableText"/>
            </w:pPr>
            <w:r>
              <w:t>Antigen testing phase change</w:t>
            </w:r>
          </w:p>
        </w:tc>
        <w:tc>
          <w:tcPr>
            <w:tcW w:w="1710" w:type="dxa"/>
          </w:tcPr>
          <w:p w14:paraId="4AD0E7C3" w14:textId="77777777" w:rsidR="00C045C1" w:rsidRDefault="00C045C1" w:rsidP="00C045C1">
            <w:pPr>
              <w:pStyle w:val="TableText"/>
            </w:pPr>
            <w:r>
              <w:t>All</w:t>
            </w:r>
          </w:p>
        </w:tc>
        <w:tc>
          <w:tcPr>
            <w:tcW w:w="2520" w:type="dxa"/>
          </w:tcPr>
          <w:p w14:paraId="4B57FCA1" w14:textId="77777777" w:rsidR="00C045C1" w:rsidRDefault="00C045C1" w:rsidP="00C045C1">
            <w:pPr>
              <w:pStyle w:val="TableText"/>
            </w:pPr>
            <w:r>
              <w:t xml:space="preserve">Unit or Patient Antigen typing </w:t>
            </w:r>
          </w:p>
        </w:tc>
        <w:tc>
          <w:tcPr>
            <w:tcW w:w="1417" w:type="dxa"/>
          </w:tcPr>
          <w:p w14:paraId="09838FB2" w14:textId="77777777" w:rsidR="00C045C1" w:rsidRDefault="00C045C1" w:rsidP="00C045C1">
            <w:pPr>
              <w:pStyle w:val="TableText"/>
              <w:rPr>
                <w:rFonts w:eastAsia="Symbol"/>
              </w:rPr>
            </w:pPr>
            <w:r>
              <w:rPr>
                <w:rFonts w:eastAsia="Symbol"/>
              </w:rPr>
              <w:t>Yes (Antigen Typing)</w:t>
            </w:r>
          </w:p>
        </w:tc>
        <w:tc>
          <w:tcPr>
            <w:tcW w:w="1530" w:type="dxa"/>
          </w:tcPr>
          <w:p w14:paraId="172C6606" w14:textId="77777777" w:rsidR="00C045C1" w:rsidRDefault="00C045C1" w:rsidP="00C045C1">
            <w:pPr>
              <w:pStyle w:val="TableText"/>
              <w:rPr>
                <w:rFonts w:eastAsia="Symbol"/>
              </w:rPr>
            </w:pPr>
            <w:r>
              <w:rPr>
                <w:rFonts w:eastAsia="Symbol"/>
              </w:rPr>
              <w:t>Yes (Patient Testing: Record a Patient Antigen Typing)</w:t>
            </w:r>
          </w:p>
        </w:tc>
      </w:tr>
      <w:tr w:rsidR="00C045C1" w14:paraId="53B36E45" w14:textId="77777777" w:rsidTr="006F58C9">
        <w:trPr>
          <w:cantSplit/>
        </w:trPr>
        <w:tc>
          <w:tcPr>
            <w:tcW w:w="3235" w:type="dxa"/>
          </w:tcPr>
          <w:p w14:paraId="2607A31F" w14:textId="77777777" w:rsidR="00C045C1" w:rsidRDefault="00C045C1" w:rsidP="00C045C1">
            <w:pPr>
              <w:pStyle w:val="TableText"/>
            </w:pPr>
            <w:r>
              <w:t>Biohazardous unit issued</w:t>
            </w:r>
          </w:p>
        </w:tc>
        <w:tc>
          <w:tcPr>
            <w:tcW w:w="1710" w:type="dxa"/>
          </w:tcPr>
          <w:p w14:paraId="0E099510" w14:textId="77777777" w:rsidR="00C045C1" w:rsidRDefault="00C045C1" w:rsidP="00C045C1">
            <w:pPr>
              <w:pStyle w:val="TableText"/>
            </w:pPr>
            <w:r>
              <w:t>All</w:t>
            </w:r>
          </w:p>
        </w:tc>
        <w:tc>
          <w:tcPr>
            <w:tcW w:w="2520" w:type="dxa"/>
          </w:tcPr>
          <w:p w14:paraId="20A82E27" w14:textId="77777777" w:rsidR="00C045C1" w:rsidRDefault="00C045C1" w:rsidP="00C045C1">
            <w:pPr>
              <w:pStyle w:val="TableText"/>
            </w:pPr>
            <w:r>
              <w:t>Issue Blood</w:t>
            </w:r>
          </w:p>
        </w:tc>
        <w:tc>
          <w:tcPr>
            <w:tcW w:w="1417" w:type="dxa"/>
          </w:tcPr>
          <w:p w14:paraId="6EFF4F81" w14:textId="77777777" w:rsidR="00C045C1" w:rsidRDefault="00C045C1" w:rsidP="00C045C1">
            <w:pPr>
              <w:pStyle w:val="TableText"/>
            </w:pPr>
            <w:r>
              <w:t>No</w:t>
            </w:r>
          </w:p>
        </w:tc>
        <w:tc>
          <w:tcPr>
            <w:tcW w:w="1530" w:type="dxa"/>
          </w:tcPr>
          <w:p w14:paraId="5399F0B0" w14:textId="77777777" w:rsidR="00C045C1" w:rsidRDefault="00C045C1" w:rsidP="00C045C1">
            <w:pPr>
              <w:pStyle w:val="TableText"/>
            </w:pPr>
            <w:r>
              <w:rPr>
                <w:rFonts w:eastAsia="Symbol"/>
              </w:rPr>
              <w:t>Yes</w:t>
            </w:r>
          </w:p>
        </w:tc>
      </w:tr>
      <w:tr w:rsidR="00C045C1" w14:paraId="7F8CF5E3" w14:textId="77777777" w:rsidTr="006F58C9">
        <w:trPr>
          <w:cantSplit/>
        </w:trPr>
        <w:tc>
          <w:tcPr>
            <w:tcW w:w="3235" w:type="dxa"/>
          </w:tcPr>
          <w:p w14:paraId="259A4135" w14:textId="77777777" w:rsidR="00C045C1" w:rsidRDefault="00C045C1" w:rsidP="00C045C1">
            <w:pPr>
              <w:pStyle w:val="TableText"/>
              <w:rPr>
                <w:rFonts w:eastAsia="Symbol"/>
              </w:rPr>
            </w:pPr>
            <w:r>
              <w:t>Biohazardous unit modified</w:t>
            </w:r>
          </w:p>
        </w:tc>
        <w:tc>
          <w:tcPr>
            <w:tcW w:w="1710" w:type="dxa"/>
          </w:tcPr>
          <w:p w14:paraId="29C45690" w14:textId="77777777" w:rsidR="00C045C1" w:rsidRDefault="00C045C1" w:rsidP="00C045C1">
            <w:pPr>
              <w:pStyle w:val="TableText"/>
              <w:rPr>
                <w:rFonts w:eastAsia="Symbol"/>
              </w:rPr>
            </w:pPr>
            <w:r>
              <w:t>All</w:t>
            </w:r>
          </w:p>
        </w:tc>
        <w:tc>
          <w:tcPr>
            <w:tcW w:w="2520" w:type="dxa"/>
          </w:tcPr>
          <w:p w14:paraId="6C3990A7" w14:textId="77777777" w:rsidR="00C045C1" w:rsidRDefault="00C045C1" w:rsidP="00C045C1">
            <w:pPr>
              <w:pStyle w:val="TableText"/>
              <w:rPr>
                <w:rFonts w:eastAsia="Symbol"/>
              </w:rPr>
            </w:pPr>
            <w:r>
              <w:rPr>
                <w:rFonts w:eastAsia="Symbol"/>
              </w:rPr>
              <w:t>Modification</w:t>
            </w:r>
          </w:p>
        </w:tc>
        <w:tc>
          <w:tcPr>
            <w:tcW w:w="1417" w:type="dxa"/>
          </w:tcPr>
          <w:p w14:paraId="776F354D" w14:textId="77777777" w:rsidR="00C045C1" w:rsidRDefault="00C045C1" w:rsidP="00C045C1">
            <w:pPr>
              <w:pStyle w:val="TableText"/>
              <w:rPr>
                <w:rFonts w:eastAsia="Symbol"/>
              </w:rPr>
            </w:pPr>
            <w:r>
              <w:t>Yes</w:t>
            </w:r>
          </w:p>
        </w:tc>
        <w:tc>
          <w:tcPr>
            <w:tcW w:w="1530" w:type="dxa"/>
          </w:tcPr>
          <w:p w14:paraId="005CB4B3" w14:textId="77777777" w:rsidR="00C045C1" w:rsidRDefault="00C045C1" w:rsidP="00C045C1">
            <w:pPr>
              <w:pStyle w:val="TableText"/>
              <w:rPr>
                <w:rFonts w:eastAsia="Symbol"/>
              </w:rPr>
            </w:pPr>
            <w:r>
              <w:t>No</w:t>
            </w:r>
          </w:p>
        </w:tc>
      </w:tr>
      <w:tr w:rsidR="00C045C1" w14:paraId="4D175D2B" w14:textId="77777777" w:rsidTr="006F58C9">
        <w:trPr>
          <w:cantSplit/>
        </w:trPr>
        <w:tc>
          <w:tcPr>
            <w:tcW w:w="3235" w:type="dxa"/>
          </w:tcPr>
          <w:p w14:paraId="5DC214E1" w14:textId="77777777" w:rsidR="00C045C1" w:rsidRDefault="00C045C1" w:rsidP="00C045C1">
            <w:pPr>
              <w:pStyle w:val="TableText"/>
              <w:rPr>
                <w:rFonts w:eastAsia="Symbol"/>
              </w:rPr>
            </w:pPr>
            <w:r>
              <w:t>Biohazardous unit selected</w:t>
            </w:r>
          </w:p>
        </w:tc>
        <w:tc>
          <w:tcPr>
            <w:tcW w:w="1710" w:type="dxa"/>
          </w:tcPr>
          <w:p w14:paraId="79A7D6EC" w14:textId="77777777" w:rsidR="00C045C1" w:rsidRDefault="00C045C1" w:rsidP="00C045C1">
            <w:pPr>
              <w:pStyle w:val="TableText"/>
              <w:rPr>
                <w:rFonts w:eastAsia="Symbol"/>
              </w:rPr>
            </w:pPr>
            <w:r>
              <w:t>All</w:t>
            </w:r>
          </w:p>
        </w:tc>
        <w:tc>
          <w:tcPr>
            <w:tcW w:w="2520" w:type="dxa"/>
          </w:tcPr>
          <w:p w14:paraId="36ED1E1C" w14:textId="77777777" w:rsidR="00C045C1" w:rsidRDefault="00C045C1" w:rsidP="00C045C1">
            <w:pPr>
              <w:pStyle w:val="TableText"/>
              <w:rPr>
                <w:rFonts w:eastAsia="Symbol"/>
              </w:rPr>
            </w:pPr>
            <w:r>
              <w:rPr>
                <w:rFonts w:eastAsia="Symbol"/>
              </w:rPr>
              <w:t>Select Unit</w:t>
            </w:r>
          </w:p>
        </w:tc>
        <w:tc>
          <w:tcPr>
            <w:tcW w:w="1417" w:type="dxa"/>
          </w:tcPr>
          <w:p w14:paraId="41A8F41C" w14:textId="77777777" w:rsidR="00C045C1" w:rsidRDefault="00C045C1" w:rsidP="00C045C1">
            <w:pPr>
              <w:pStyle w:val="TableText"/>
              <w:rPr>
                <w:rFonts w:eastAsia="Symbol"/>
              </w:rPr>
            </w:pPr>
            <w:r>
              <w:t>No</w:t>
            </w:r>
          </w:p>
        </w:tc>
        <w:tc>
          <w:tcPr>
            <w:tcW w:w="1530" w:type="dxa"/>
          </w:tcPr>
          <w:p w14:paraId="09A9AB25" w14:textId="77777777" w:rsidR="00C045C1" w:rsidRDefault="00C045C1" w:rsidP="00C045C1">
            <w:pPr>
              <w:pStyle w:val="TableText"/>
              <w:rPr>
                <w:rFonts w:eastAsia="Symbol"/>
              </w:rPr>
            </w:pPr>
            <w:r>
              <w:rPr>
                <w:rFonts w:eastAsia="Symbol"/>
              </w:rPr>
              <w:t>Yes</w:t>
            </w:r>
          </w:p>
        </w:tc>
      </w:tr>
      <w:tr w:rsidR="00C045C1" w14:paraId="4C3E7695" w14:textId="77777777" w:rsidTr="006F58C9">
        <w:trPr>
          <w:cantSplit/>
        </w:trPr>
        <w:tc>
          <w:tcPr>
            <w:tcW w:w="3235" w:type="dxa"/>
          </w:tcPr>
          <w:p w14:paraId="145E1357" w14:textId="77777777" w:rsidR="00C045C1" w:rsidRDefault="00C045C1" w:rsidP="00C045C1">
            <w:pPr>
              <w:pStyle w:val="TableText"/>
            </w:pPr>
            <w:r>
              <w:t>Caution Tag or Blood Transfusion Record Form printed for antigen positive or untested unit</w:t>
            </w:r>
          </w:p>
        </w:tc>
        <w:tc>
          <w:tcPr>
            <w:tcW w:w="1710" w:type="dxa"/>
          </w:tcPr>
          <w:p w14:paraId="7818A67A" w14:textId="77777777" w:rsidR="00C045C1" w:rsidRDefault="00C045C1" w:rsidP="00C045C1">
            <w:pPr>
              <w:pStyle w:val="TableText"/>
            </w:pPr>
            <w:r>
              <w:rPr>
                <w:u w:val="single"/>
              </w:rPr>
              <w:t>&gt;</w:t>
            </w:r>
            <w:r>
              <w:t xml:space="preserve"> Lead Tech</w:t>
            </w:r>
          </w:p>
        </w:tc>
        <w:tc>
          <w:tcPr>
            <w:tcW w:w="2520" w:type="dxa"/>
          </w:tcPr>
          <w:p w14:paraId="64B78729" w14:textId="6DAD0B40" w:rsidR="00C045C1" w:rsidRDefault="006C08BE" w:rsidP="00C045C1">
            <w:pPr>
              <w:pStyle w:val="TableText"/>
            </w:pPr>
            <w:r>
              <w:t>Print Unit Caution Tag &amp; Transfusion Record Form</w:t>
            </w:r>
          </w:p>
        </w:tc>
        <w:tc>
          <w:tcPr>
            <w:tcW w:w="1417" w:type="dxa"/>
          </w:tcPr>
          <w:p w14:paraId="6FC91F03" w14:textId="77777777" w:rsidR="00C045C1" w:rsidRDefault="00C045C1" w:rsidP="00C045C1">
            <w:pPr>
              <w:pStyle w:val="TableText"/>
              <w:rPr>
                <w:rFonts w:eastAsia="Symbol"/>
              </w:rPr>
            </w:pPr>
            <w:r>
              <w:t>No</w:t>
            </w:r>
          </w:p>
        </w:tc>
        <w:tc>
          <w:tcPr>
            <w:tcW w:w="1530" w:type="dxa"/>
          </w:tcPr>
          <w:p w14:paraId="11B79E3E" w14:textId="77777777" w:rsidR="00C045C1" w:rsidRDefault="00C045C1" w:rsidP="00C045C1">
            <w:pPr>
              <w:pStyle w:val="TableText"/>
              <w:rPr>
                <w:rFonts w:eastAsia="Symbol"/>
              </w:rPr>
            </w:pPr>
            <w:r>
              <w:rPr>
                <w:rFonts w:eastAsia="Symbol"/>
              </w:rPr>
              <w:t>Yes</w:t>
            </w:r>
          </w:p>
        </w:tc>
      </w:tr>
      <w:tr w:rsidR="00C045C1" w14:paraId="7F44F28C" w14:textId="77777777" w:rsidTr="006F58C9">
        <w:trPr>
          <w:cantSplit/>
        </w:trPr>
        <w:tc>
          <w:tcPr>
            <w:tcW w:w="3235" w:type="dxa"/>
          </w:tcPr>
          <w:p w14:paraId="1358059A" w14:textId="77777777" w:rsidR="00C045C1" w:rsidRDefault="00C045C1" w:rsidP="00C045C1">
            <w:pPr>
              <w:pStyle w:val="TableText"/>
            </w:pPr>
            <w:r>
              <w:t>Caution Tag or Blood Transfusion Record Form printed on expired specimen</w:t>
            </w:r>
          </w:p>
        </w:tc>
        <w:tc>
          <w:tcPr>
            <w:tcW w:w="1710" w:type="dxa"/>
          </w:tcPr>
          <w:p w14:paraId="32DBA5C2" w14:textId="77777777" w:rsidR="00C045C1" w:rsidRDefault="00C045C1" w:rsidP="00C045C1">
            <w:pPr>
              <w:pStyle w:val="TableText"/>
            </w:pPr>
            <w:r>
              <w:rPr>
                <w:u w:val="single"/>
              </w:rPr>
              <w:t>&gt;</w:t>
            </w:r>
            <w:r>
              <w:t xml:space="preserve"> Enhanced Tech</w:t>
            </w:r>
          </w:p>
        </w:tc>
        <w:tc>
          <w:tcPr>
            <w:tcW w:w="2520" w:type="dxa"/>
          </w:tcPr>
          <w:p w14:paraId="2F72E1E3" w14:textId="1AC8B3BE" w:rsidR="00C045C1" w:rsidRDefault="006C08BE" w:rsidP="00C045C1">
            <w:pPr>
              <w:pStyle w:val="TableText"/>
            </w:pPr>
            <w:r>
              <w:t>Print Unit Caution Tag &amp; Transfusion Record Form</w:t>
            </w:r>
          </w:p>
        </w:tc>
        <w:tc>
          <w:tcPr>
            <w:tcW w:w="1417" w:type="dxa"/>
          </w:tcPr>
          <w:p w14:paraId="65509635" w14:textId="77777777" w:rsidR="00C045C1" w:rsidRDefault="00C045C1" w:rsidP="00C045C1">
            <w:pPr>
              <w:pStyle w:val="TableText"/>
              <w:rPr>
                <w:rFonts w:eastAsia="Symbol"/>
              </w:rPr>
            </w:pPr>
            <w:r>
              <w:t>No</w:t>
            </w:r>
          </w:p>
        </w:tc>
        <w:tc>
          <w:tcPr>
            <w:tcW w:w="1530" w:type="dxa"/>
          </w:tcPr>
          <w:p w14:paraId="5F9F59CD" w14:textId="77777777" w:rsidR="00C045C1" w:rsidRDefault="00C045C1" w:rsidP="00C045C1">
            <w:pPr>
              <w:pStyle w:val="TableText"/>
              <w:rPr>
                <w:rFonts w:eastAsia="Symbol"/>
              </w:rPr>
            </w:pPr>
            <w:r>
              <w:rPr>
                <w:rFonts w:eastAsia="Symbol"/>
              </w:rPr>
              <w:t>Yes</w:t>
            </w:r>
          </w:p>
        </w:tc>
      </w:tr>
      <w:tr w:rsidR="00C045C1" w14:paraId="203A1619" w14:textId="77777777" w:rsidTr="006F58C9">
        <w:trPr>
          <w:cantSplit/>
        </w:trPr>
        <w:tc>
          <w:tcPr>
            <w:tcW w:w="3235" w:type="dxa"/>
          </w:tcPr>
          <w:p w14:paraId="1319E657" w14:textId="77777777" w:rsidR="00C045C1" w:rsidRDefault="00C045C1" w:rsidP="00C045C1">
            <w:pPr>
              <w:pStyle w:val="TableText"/>
            </w:pPr>
            <w:r>
              <w:t>Caution Tag or Blood Transfusion Record Form printed on expired unit</w:t>
            </w:r>
          </w:p>
        </w:tc>
        <w:tc>
          <w:tcPr>
            <w:tcW w:w="1710" w:type="dxa"/>
          </w:tcPr>
          <w:p w14:paraId="63A64649" w14:textId="77777777" w:rsidR="00C045C1" w:rsidRDefault="00C045C1" w:rsidP="00C045C1">
            <w:pPr>
              <w:pStyle w:val="TableText"/>
            </w:pPr>
            <w:r>
              <w:rPr>
                <w:u w:val="single"/>
              </w:rPr>
              <w:t>&gt;</w:t>
            </w:r>
            <w:r>
              <w:t xml:space="preserve"> Enhanced Tech</w:t>
            </w:r>
          </w:p>
        </w:tc>
        <w:tc>
          <w:tcPr>
            <w:tcW w:w="2520" w:type="dxa"/>
          </w:tcPr>
          <w:p w14:paraId="7CE33E93" w14:textId="20A43320" w:rsidR="00C045C1" w:rsidRDefault="006C08BE" w:rsidP="00C045C1">
            <w:pPr>
              <w:pStyle w:val="TableText"/>
            </w:pPr>
            <w:r>
              <w:t>Print Unit Caution Tag &amp; Transfusion Record Form</w:t>
            </w:r>
          </w:p>
        </w:tc>
        <w:tc>
          <w:tcPr>
            <w:tcW w:w="1417" w:type="dxa"/>
          </w:tcPr>
          <w:p w14:paraId="34E4885C" w14:textId="77777777" w:rsidR="00C045C1" w:rsidRDefault="00C045C1" w:rsidP="00C045C1">
            <w:pPr>
              <w:pStyle w:val="TableText"/>
              <w:rPr>
                <w:rFonts w:eastAsia="Symbol"/>
              </w:rPr>
            </w:pPr>
            <w:r>
              <w:t>No</w:t>
            </w:r>
          </w:p>
        </w:tc>
        <w:tc>
          <w:tcPr>
            <w:tcW w:w="1530" w:type="dxa"/>
          </w:tcPr>
          <w:p w14:paraId="3E500E1C" w14:textId="77777777" w:rsidR="00C045C1" w:rsidRDefault="00C045C1" w:rsidP="00C045C1">
            <w:pPr>
              <w:pStyle w:val="TableText"/>
              <w:rPr>
                <w:rFonts w:eastAsia="Symbol"/>
              </w:rPr>
            </w:pPr>
            <w:r>
              <w:rPr>
                <w:rFonts w:eastAsia="Symbol"/>
              </w:rPr>
              <w:t>Yes</w:t>
            </w:r>
          </w:p>
        </w:tc>
      </w:tr>
      <w:tr w:rsidR="00C045C1" w14:paraId="3372F2CC" w14:textId="77777777" w:rsidTr="006F58C9">
        <w:trPr>
          <w:cantSplit/>
        </w:trPr>
        <w:tc>
          <w:tcPr>
            <w:tcW w:w="3235" w:type="dxa"/>
          </w:tcPr>
          <w:p w14:paraId="6F6E9352" w14:textId="77777777" w:rsidR="00C045C1" w:rsidRDefault="00C045C1" w:rsidP="00C045C1">
            <w:pPr>
              <w:pStyle w:val="TableText"/>
            </w:pPr>
            <w:r>
              <w:t>Caution Tag or Blood Transfusion Record Form printed with unsatisfied Transfusion Requirement</w:t>
            </w:r>
          </w:p>
        </w:tc>
        <w:tc>
          <w:tcPr>
            <w:tcW w:w="1710" w:type="dxa"/>
          </w:tcPr>
          <w:p w14:paraId="0016B39E" w14:textId="77777777" w:rsidR="00C045C1" w:rsidRDefault="00C045C1" w:rsidP="00C045C1">
            <w:pPr>
              <w:pStyle w:val="TableText"/>
            </w:pPr>
            <w:r>
              <w:rPr>
                <w:u w:val="single"/>
              </w:rPr>
              <w:t>&gt;</w:t>
            </w:r>
            <w:r>
              <w:t xml:space="preserve"> Lead Tech</w:t>
            </w:r>
          </w:p>
        </w:tc>
        <w:tc>
          <w:tcPr>
            <w:tcW w:w="2520" w:type="dxa"/>
          </w:tcPr>
          <w:p w14:paraId="01F56D93" w14:textId="564A27D1" w:rsidR="00C045C1" w:rsidRDefault="006C08BE" w:rsidP="00C045C1">
            <w:pPr>
              <w:pStyle w:val="TableText"/>
            </w:pPr>
            <w:r>
              <w:t>Print Unit Caution Tag &amp; Transfusion Record Form</w:t>
            </w:r>
          </w:p>
        </w:tc>
        <w:tc>
          <w:tcPr>
            <w:tcW w:w="1417" w:type="dxa"/>
          </w:tcPr>
          <w:p w14:paraId="3F794438" w14:textId="77777777" w:rsidR="00C045C1" w:rsidRDefault="00C045C1" w:rsidP="00C045C1">
            <w:pPr>
              <w:pStyle w:val="TableText"/>
              <w:rPr>
                <w:rFonts w:eastAsia="Symbol"/>
              </w:rPr>
            </w:pPr>
            <w:r>
              <w:t>No</w:t>
            </w:r>
          </w:p>
        </w:tc>
        <w:tc>
          <w:tcPr>
            <w:tcW w:w="1530" w:type="dxa"/>
          </w:tcPr>
          <w:p w14:paraId="2A3AF919" w14:textId="77777777" w:rsidR="00C045C1" w:rsidRDefault="00C045C1" w:rsidP="00C045C1">
            <w:pPr>
              <w:pStyle w:val="TableText"/>
              <w:rPr>
                <w:rFonts w:eastAsia="Symbol"/>
              </w:rPr>
            </w:pPr>
            <w:r>
              <w:rPr>
                <w:rFonts w:eastAsia="Symbol"/>
              </w:rPr>
              <w:t>Yes</w:t>
            </w:r>
          </w:p>
        </w:tc>
      </w:tr>
      <w:tr w:rsidR="00C045C1" w14:paraId="6DA36C60" w14:textId="77777777" w:rsidTr="006F58C9">
        <w:trPr>
          <w:cantSplit/>
        </w:trPr>
        <w:tc>
          <w:tcPr>
            <w:tcW w:w="3235" w:type="dxa"/>
          </w:tcPr>
          <w:p w14:paraId="5BD95739" w14:textId="77777777" w:rsidR="00C045C1" w:rsidRDefault="00C045C1" w:rsidP="00C045C1">
            <w:pPr>
              <w:pStyle w:val="TableText"/>
              <w:rPr>
                <w:rFonts w:eastAsia="Symbol"/>
              </w:rPr>
            </w:pPr>
            <w:r>
              <w:t>Crossmatch incompatible: Give only with MD approval</w:t>
            </w:r>
          </w:p>
        </w:tc>
        <w:tc>
          <w:tcPr>
            <w:tcW w:w="1710" w:type="dxa"/>
          </w:tcPr>
          <w:p w14:paraId="3BF3FAC0" w14:textId="77777777" w:rsidR="00C045C1" w:rsidRDefault="00C045C1" w:rsidP="00C045C1">
            <w:pPr>
              <w:pStyle w:val="TableText"/>
              <w:rPr>
                <w:rFonts w:eastAsia="Symbol"/>
              </w:rPr>
            </w:pPr>
            <w:r>
              <w:t>All</w:t>
            </w:r>
          </w:p>
        </w:tc>
        <w:tc>
          <w:tcPr>
            <w:tcW w:w="2520" w:type="dxa"/>
          </w:tcPr>
          <w:p w14:paraId="19E777D0" w14:textId="427F4186" w:rsidR="00C045C1" w:rsidRDefault="006C08BE" w:rsidP="00C045C1">
            <w:pPr>
              <w:pStyle w:val="TableText"/>
              <w:rPr>
                <w:rFonts w:eastAsia="Symbol"/>
              </w:rPr>
            </w:pPr>
            <w:r>
              <w:rPr>
                <w:rFonts w:eastAsia="Symbol"/>
              </w:rPr>
              <w:t>Patient Testing, serologic crossmatch</w:t>
            </w:r>
          </w:p>
        </w:tc>
        <w:tc>
          <w:tcPr>
            <w:tcW w:w="1417" w:type="dxa"/>
          </w:tcPr>
          <w:p w14:paraId="5FEC14CB" w14:textId="77777777" w:rsidR="00C045C1" w:rsidRDefault="00C045C1" w:rsidP="00C045C1">
            <w:pPr>
              <w:pStyle w:val="TableText"/>
              <w:rPr>
                <w:rFonts w:eastAsia="Symbol"/>
              </w:rPr>
            </w:pPr>
            <w:r>
              <w:t>No</w:t>
            </w:r>
          </w:p>
        </w:tc>
        <w:tc>
          <w:tcPr>
            <w:tcW w:w="1530" w:type="dxa"/>
          </w:tcPr>
          <w:p w14:paraId="7EE68C5B" w14:textId="77777777" w:rsidR="00C045C1" w:rsidRDefault="00C045C1" w:rsidP="00C045C1">
            <w:pPr>
              <w:pStyle w:val="TableText"/>
              <w:rPr>
                <w:rFonts w:eastAsia="Symbol"/>
              </w:rPr>
            </w:pPr>
            <w:r>
              <w:rPr>
                <w:rFonts w:eastAsia="Symbol"/>
              </w:rPr>
              <w:t>Yes</w:t>
            </w:r>
          </w:p>
        </w:tc>
      </w:tr>
      <w:tr w:rsidR="00C045C1" w14:paraId="609CB903" w14:textId="77777777" w:rsidTr="006F58C9">
        <w:trPr>
          <w:cantSplit/>
        </w:trPr>
        <w:tc>
          <w:tcPr>
            <w:tcW w:w="3235" w:type="dxa"/>
          </w:tcPr>
          <w:p w14:paraId="31819FAE" w14:textId="77777777" w:rsidR="00C045C1" w:rsidRDefault="00C045C1" w:rsidP="00C045C1">
            <w:pPr>
              <w:pStyle w:val="TableText"/>
            </w:pPr>
            <w:r>
              <w:t>Deletion of partially completed QC</w:t>
            </w:r>
          </w:p>
        </w:tc>
        <w:tc>
          <w:tcPr>
            <w:tcW w:w="1710" w:type="dxa"/>
          </w:tcPr>
          <w:p w14:paraId="54D792FA" w14:textId="77777777" w:rsidR="00C045C1" w:rsidRDefault="00C045C1" w:rsidP="00C045C1">
            <w:pPr>
              <w:pStyle w:val="TableText"/>
            </w:pPr>
            <w:r>
              <w:t>All</w:t>
            </w:r>
          </w:p>
        </w:tc>
        <w:tc>
          <w:tcPr>
            <w:tcW w:w="2520" w:type="dxa"/>
          </w:tcPr>
          <w:p w14:paraId="6D2E6692" w14:textId="77777777" w:rsidR="00C045C1" w:rsidRDefault="00C045C1" w:rsidP="00C045C1">
            <w:pPr>
              <w:pStyle w:val="TableText"/>
            </w:pPr>
            <w:r>
              <w:t>Enter Daily QC</w:t>
            </w:r>
          </w:p>
        </w:tc>
        <w:tc>
          <w:tcPr>
            <w:tcW w:w="1417" w:type="dxa"/>
          </w:tcPr>
          <w:p w14:paraId="2821E281" w14:textId="77777777" w:rsidR="00C045C1" w:rsidRDefault="00C045C1" w:rsidP="00C045C1">
            <w:pPr>
              <w:pStyle w:val="TableText"/>
            </w:pPr>
            <w:r>
              <w:t>No</w:t>
            </w:r>
          </w:p>
        </w:tc>
        <w:tc>
          <w:tcPr>
            <w:tcW w:w="1530" w:type="dxa"/>
          </w:tcPr>
          <w:p w14:paraId="36FB4542" w14:textId="77777777" w:rsidR="00C045C1" w:rsidRDefault="00C045C1" w:rsidP="00C045C1">
            <w:pPr>
              <w:pStyle w:val="TableText"/>
            </w:pPr>
            <w:r>
              <w:t>No</w:t>
            </w:r>
          </w:p>
        </w:tc>
      </w:tr>
      <w:tr w:rsidR="00C045C1" w14:paraId="0E0AA802" w14:textId="77777777" w:rsidTr="006F58C9">
        <w:trPr>
          <w:cantSplit/>
        </w:trPr>
        <w:tc>
          <w:tcPr>
            <w:tcW w:w="3235" w:type="dxa"/>
          </w:tcPr>
          <w:p w14:paraId="77727F3A" w14:textId="77777777" w:rsidR="00C045C1" w:rsidRDefault="00C045C1" w:rsidP="00C045C1">
            <w:pPr>
              <w:pStyle w:val="TableText"/>
              <w:rPr>
                <w:rFonts w:eastAsia="Symbol"/>
              </w:rPr>
            </w:pPr>
            <w:r>
              <w:t>Discrepant ABO/Rh override</w:t>
            </w:r>
          </w:p>
        </w:tc>
        <w:tc>
          <w:tcPr>
            <w:tcW w:w="1710" w:type="dxa"/>
          </w:tcPr>
          <w:p w14:paraId="7E87DDC9" w14:textId="77777777" w:rsidR="00C045C1" w:rsidRDefault="00C045C1" w:rsidP="00C045C1">
            <w:pPr>
              <w:pStyle w:val="TableText"/>
              <w:rPr>
                <w:rFonts w:eastAsia="Symbol"/>
              </w:rPr>
            </w:pPr>
            <w:r>
              <w:rPr>
                <w:u w:val="single"/>
              </w:rPr>
              <w:t>&gt;</w:t>
            </w:r>
            <w:r>
              <w:t xml:space="preserve"> Enhanced Tech</w:t>
            </w:r>
          </w:p>
        </w:tc>
        <w:tc>
          <w:tcPr>
            <w:tcW w:w="2520" w:type="dxa"/>
          </w:tcPr>
          <w:p w14:paraId="3D5462D4" w14:textId="77777777" w:rsidR="00C045C1" w:rsidRDefault="00C045C1" w:rsidP="00C045C1">
            <w:pPr>
              <w:pStyle w:val="TableText"/>
              <w:rPr>
                <w:rFonts w:eastAsia="Symbol"/>
              </w:rPr>
            </w:pPr>
            <w:r>
              <w:rPr>
                <w:rFonts w:eastAsia="Symbol"/>
              </w:rPr>
              <w:t>Patient Testing</w:t>
            </w:r>
          </w:p>
        </w:tc>
        <w:tc>
          <w:tcPr>
            <w:tcW w:w="1417" w:type="dxa"/>
          </w:tcPr>
          <w:p w14:paraId="69602DC3" w14:textId="77777777" w:rsidR="00C045C1" w:rsidRDefault="00C045C1" w:rsidP="00C045C1">
            <w:pPr>
              <w:pStyle w:val="TableText"/>
              <w:rPr>
                <w:rFonts w:eastAsia="Symbol"/>
              </w:rPr>
            </w:pPr>
            <w:r>
              <w:t>No</w:t>
            </w:r>
          </w:p>
        </w:tc>
        <w:tc>
          <w:tcPr>
            <w:tcW w:w="1530" w:type="dxa"/>
          </w:tcPr>
          <w:p w14:paraId="29C88E5F" w14:textId="77777777" w:rsidR="00C045C1" w:rsidRDefault="00C045C1" w:rsidP="00C045C1">
            <w:pPr>
              <w:pStyle w:val="TableText"/>
              <w:rPr>
                <w:rFonts w:eastAsia="Symbol"/>
              </w:rPr>
            </w:pPr>
            <w:r>
              <w:rPr>
                <w:rFonts w:eastAsia="Symbol"/>
              </w:rPr>
              <w:t>Yes</w:t>
            </w:r>
          </w:p>
        </w:tc>
      </w:tr>
      <w:tr w:rsidR="00C045C1" w14:paraId="16F853F3" w14:textId="77777777" w:rsidTr="006F58C9">
        <w:trPr>
          <w:cantSplit/>
        </w:trPr>
        <w:tc>
          <w:tcPr>
            <w:tcW w:w="3235" w:type="dxa"/>
          </w:tcPr>
          <w:p w14:paraId="49DC11DE" w14:textId="77777777" w:rsidR="00C045C1" w:rsidRDefault="00C045C1" w:rsidP="00C045C1">
            <w:pPr>
              <w:pStyle w:val="TableText"/>
              <w:rPr>
                <w:rFonts w:eastAsia="Symbol"/>
              </w:rPr>
            </w:pPr>
            <w:r>
              <w:t>Discrepant patient antigen typing</w:t>
            </w:r>
          </w:p>
        </w:tc>
        <w:tc>
          <w:tcPr>
            <w:tcW w:w="1710" w:type="dxa"/>
          </w:tcPr>
          <w:p w14:paraId="1AA653E2" w14:textId="77777777" w:rsidR="00C045C1" w:rsidRDefault="00C045C1" w:rsidP="00C045C1">
            <w:pPr>
              <w:pStyle w:val="TableText"/>
              <w:rPr>
                <w:rFonts w:eastAsia="Symbol"/>
              </w:rPr>
            </w:pPr>
            <w:r>
              <w:t>All</w:t>
            </w:r>
          </w:p>
        </w:tc>
        <w:tc>
          <w:tcPr>
            <w:tcW w:w="2520" w:type="dxa"/>
          </w:tcPr>
          <w:p w14:paraId="79ECBD98" w14:textId="77777777" w:rsidR="00C045C1" w:rsidRDefault="00C045C1" w:rsidP="00C045C1">
            <w:pPr>
              <w:pStyle w:val="TableText"/>
              <w:rPr>
                <w:rFonts w:eastAsia="Symbol"/>
              </w:rPr>
            </w:pPr>
            <w:r>
              <w:rPr>
                <w:rFonts w:eastAsia="Symbol"/>
              </w:rPr>
              <w:t>Patient Testing</w:t>
            </w:r>
          </w:p>
        </w:tc>
        <w:tc>
          <w:tcPr>
            <w:tcW w:w="1417" w:type="dxa"/>
          </w:tcPr>
          <w:p w14:paraId="0A326EC7" w14:textId="77777777" w:rsidR="00C045C1" w:rsidRDefault="00C045C1" w:rsidP="00C045C1">
            <w:pPr>
              <w:pStyle w:val="TableText"/>
              <w:rPr>
                <w:rFonts w:eastAsia="Symbol"/>
              </w:rPr>
            </w:pPr>
            <w:r>
              <w:t>No</w:t>
            </w:r>
          </w:p>
        </w:tc>
        <w:tc>
          <w:tcPr>
            <w:tcW w:w="1530" w:type="dxa"/>
          </w:tcPr>
          <w:p w14:paraId="4BD073D3" w14:textId="77777777" w:rsidR="00C045C1" w:rsidRDefault="00C045C1" w:rsidP="00C045C1">
            <w:pPr>
              <w:pStyle w:val="TableText"/>
              <w:rPr>
                <w:rFonts w:eastAsia="Symbol"/>
              </w:rPr>
            </w:pPr>
            <w:r>
              <w:rPr>
                <w:rFonts w:eastAsia="Symbol"/>
              </w:rPr>
              <w:t>Yes</w:t>
            </w:r>
          </w:p>
        </w:tc>
      </w:tr>
      <w:tr w:rsidR="008A701E" w14:paraId="433E85B8" w14:textId="77777777" w:rsidTr="006F58C9">
        <w:trPr>
          <w:cantSplit/>
        </w:trPr>
        <w:tc>
          <w:tcPr>
            <w:tcW w:w="3235" w:type="dxa"/>
          </w:tcPr>
          <w:p w14:paraId="4FB95324" w14:textId="77777777" w:rsidR="008A701E" w:rsidRDefault="008A701E" w:rsidP="00C045C1">
            <w:pPr>
              <w:pStyle w:val="TableText"/>
            </w:pPr>
            <w:r>
              <w:t>Electronic Transfusion Record Update</w:t>
            </w:r>
          </w:p>
        </w:tc>
        <w:tc>
          <w:tcPr>
            <w:tcW w:w="1710" w:type="dxa"/>
          </w:tcPr>
          <w:p w14:paraId="13B758F5" w14:textId="77777777" w:rsidR="008A701E" w:rsidRDefault="008A701E" w:rsidP="00C045C1">
            <w:pPr>
              <w:pStyle w:val="TableText"/>
            </w:pPr>
            <w:r>
              <w:t>BCE COTS system</w:t>
            </w:r>
          </w:p>
        </w:tc>
        <w:tc>
          <w:tcPr>
            <w:tcW w:w="2520" w:type="dxa"/>
          </w:tcPr>
          <w:p w14:paraId="7BDC706A" w14:textId="77777777" w:rsidR="008A701E" w:rsidRDefault="008A701E" w:rsidP="00C045C1">
            <w:pPr>
              <w:pStyle w:val="TableText"/>
            </w:pPr>
            <w:r>
              <w:t>Post –Transfusion Information</w:t>
            </w:r>
          </w:p>
        </w:tc>
        <w:tc>
          <w:tcPr>
            <w:tcW w:w="1417" w:type="dxa"/>
          </w:tcPr>
          <w:p w14:paraId="52D1824D" w14:textId="77777777" w:rsidR="008A701E" w:rsidRDefault="008A701E" w:rsidP="00C045C1">
            <w:pPr>
              <w:pStyle w:val="TableText"/>
            </w:pPr>
            <w:r>
              <w:t>No</w:t>
            </w:r>
          </w:p>
        </w:tc>
        <w:tc>
          <w:tcPr>
            <w:tcW w:w="1530" w:type="dxa"/>
          </w:tcPr>
          <w:p w14:paraId="4A809E1C" w14:textId="77777777" w:rsidR="008A701E" w:rsidRDefault="008A701E" w:rsidP="00C045C1">
            <w:pPr>
              <w:pStyle w:val="TableText"/>
              <w:rPr>
                <w:rFonts w:eastAsia="Symbol"/>
              </w:rPr>
            </w:pPr>
            <w:r>
              <w:rPr>
                <w:rFonts w:eastAsia="Symbol"/>
              </w:rPr>
              <w:t>No</w:t>
            </w:r>
          </w:p>
        </w:tc>
      </w:tr>
      <w:tr w:rsidR="00C045C1" w14:paraId="0B74C2FB" w14:textId="77777777" w:rsidTr="006F58C9">
        <w:trPr>
          <w:cantSplit/>
        </w:trPr>
        <w:tc>
          <w:tcPr>
            <w:tcW w:w="3235" w:type="dxa"/>
          </w:tcPr>
          <w:p w14:paraId="509CACC0" w14:textId="77777777" w:rsidR="00C045C1" w:rsidRDefault="00C045C1" w:rsidP="00C045C1">
            <w:pPr>
              <w:pStyle w:val="TableText"/>
            </w:pPr>
            <w:r>
              <w:t>Emergency issue request (no specimen)</w:t>
            </w:r>
          </w:p>
        </w:tc>
        <w:tc>
          <w:tcPr>
            <w:tcW w:w="1710" w:type="dxa"/>
          </w:tcPr>
          <w:p w14:paraId="259C117A" w14:textId="77777777" w:rsidR="00C045C1" w:rsidRDefault="00C045C1" w:rsidP="00C045C1">
            <w:pPr>
              <w:pStyle w:val="TableText"/>
            </w:pPr>
            <w:r>
              <w:t>All</w:t>
            </w:r>
          </w:p>
        </w:tc>
        <w:tc>
          <w:tcPr>
            <w:tcW w:w="2520" w:type="dxa"/>
          </w:tcPr>
          <w:p w14:paraId="6F5732FC" w14:textId="77777777" w:rsidR="00C045C1" w:rsidRDefault="00C045C1" w:rsidP="00C045C1">
            <w:pPr>
              <w:pStyle w:val="TableText"/>
            </w:pPr>
            <w:r>
              <w:t>Accept Order</w:t>
            </w:r>
          </w:p>
        </w:tc>
        <w:tc>
          <w:tcPr>
            <w:tcW w:w="1417" w:type="dxa"/>
          </w:tcPr>
          <w:p w14:paraId="7F4BDA30" w14:textId="77777777" w:rsidR="00C045C1" w:rsidRDefault="00C045C1" w:rsidP="00C045C1">
            <w:pPr>
              <w:pStyle w:val="TableText"/>
              <w:rPr>
                <w:rFonts w:eastAsia="Symbol"/>
              </w:rPr>
            </w:pPr>
            <w:r>
              <w:t>No</w:t>
            </w:r>
          </w:p>
        </w:tc>
        <w:tc>
          <w:tcPr>
            <w:tcW w:w="1530" w:type="dxa"/>
          </w:tcPr>
          <w:p w14:paraId="1BFE7254" w14:textId="77777777" w:rsidR="00C045C1" w:rsidRDefault="00C045C1" w:rsidP="00C045C1">
            <w:pPr>
              <w:pStyle w:val="TableText"/>
              <w:rPr>
                <w:rFonts w:eastAsia="Symbol"/>
              </w:rPr>
            </w:pPr>
            <w:r>
              <w:rPr>
                <w:rFonts w:eastAsia="Symbol"/>
              </w:rPr>
              <w:t>Yes</w:t>
            </w:r>
          </w:p>
        </w:tc>
      </w:tr>
      <w:tr w:rsidR="00C045C1" w14:paraId="2FA31B18" w14:textId="77777777" w:rsidTr="006F58C9">
        <w:trPr>
          <w:cantSplit/>
        </w:trPr>
        <w:tc>
          <w:tcPr>
            <w:tcW w:w="3235" w:type="dxa"/>
          </w:tcPr>
          <w:p w14:paraId="1968CF15" w14:textId="77777777" w:rsidR="00C045C1" w:rsidRDefault="00C045C1" w:rsidP="00C045C1">
            <w:pPr>
              <w:pStyle w:val="TableText"/>
            </w:pPr>
            <w:r>
              <w:t>Emergency issue, require testing incomplete</w:t>
            </w:r>
          </w:p>
        </w:tc>
        <w:tc>
          <w:tcPr>
            <w:tcW w:w="1710" w:type="dxa"/>
          </w:tcPr>
          <w:p w14:paraId="64DD1F6F" w14:textId="77777777" w:rsidR="00C045C1" w:rsidRDefault="00C045C1" w:rsidP="00C045C1">
            <w:pPr>
              <w:pStyle w:val="TableText"/>
            </w:pPr>
            <w:r>
              <w:t>All</w:t>
            </w:r>
          </w:p>
        </w:tc>
        <w:tc>
          <w:tcPr>
            <w:tcW w:w="2520" w:type="dxa"/>
          </w:tcPr>
          <w:p w14:paraId="120BD81E" w14:textId="77777777" w:rsidR="00C045C1" w:rsidRDefault="00C045C1" w:rsidP="00C045C1">
            <w:pPr>
              <w:pStyle w:val="TableText"/>
            </w:pPr>
            <w:r>
              <w:t>Patient Testing</w:t>
            </w:r>
          </w:p>
        </w:tc>
        <w:tc>
          <w:tcPr>
            <w:tcW w:w="1417" w:type="dxa"/>
          </w:tcPr>
          <w:p w14:paraId="6B6EB4DD" w14:textId="77777777" w:rsidR="00C045C1" w:rsidRDefault="00C045C1" w:rsidP="00C045C1">
            <w:pPr>
              <w:pStyle w:val="TableText"/>
            </w:pPr>
            <w:r>
              <w:t>No</w:t>
            </w:r>
          </w:p>
        </w:tc>
        <w:tc>
          <w:tcPr>
            <w:tcW w:w="1530" w:type="dxa"/>
          </w:tcPr>
          <w:p w14:paraId="111D6472" w14:textId="77777777" w:rsidR="00C045C1" w:rsidRDefault="00C045C1" w:rsidP="00C045C1">
            <w:pPr>
              <w:pStyle w:val="TableText"/>
            </w:pPr>
            <w:r>
              <w:rPr>
                <w:rFonts w:eastAsia="Symbol"/>
              </w:rPr>
              <w:t>Yes</w:t>
            </w:r>
          </w:p>
        </w:tc>
      </w:tr>
      <w:tr w:rsidR="00C045C1" w14:paraId="02BC16F5" w14:textId="77777777" w:rsidTr="006F58C9">
        <w:trPr>
          <w:cantSplit/>
        </w:trPr>
        <w:tc>
          <w:tcPr>
            <w:tcW w:w="3235" w:type="dxa"/>
          </w:tcPr>
          <w:p w14:paraId="1F532B9B" w14:textId="77777777" w:rsidR="00C045C1" w:rsidRDefault="00C045C1" w:rsidP="00C045C1">
            <w:pPr>
              <w:pStyle w:val="TableText"/>
              <w:rPr>
                <w:rFonts w:eastAsia="Symbol"/>
              </w:rPr>
            </w:pPr>
            <w:r>
              <w:t>Expired antisera used</w:t>
            </w:r>
          </w:p>
        </w:tc>
        <w:tc>
          <w:tcPr>
            <w:tcW w:w="1710" w:type="dxa"/>
          </w:tcPr>
          <w:p w14:paraId="54BCA283" w14:textId="77777777" w:rsidR="00C045C1" w:rsidRDefault="00C045C1" w:rsidP="00C045C1">
            <w:pPr>
              <w:pStyle w:val="TableText"/>
              <w:rPr>
                <w:rFonts w:eastAsia="Symbol"/>
              </w:rPr>
            </w:pPr>
            <w:r>
              <w:t>All</w:t>
            </w:r>
          </w:p>
        </w:tc>
        <w:tc>
          <w:tcPr>
            <w:tcW w:w="2520" w:type="dxa"/>
          </w:tcPr>
          <w:p w14:paraId="63B3672F" w14:textId="77777777" w:rsidR="00C045C1" w:rsidRDefault="00C045C1" w:rsidP="00C045C1">
            <w:pPr>
              <w:pStyle w:val="TableText"/>
              <w:rPr>
                <w:rFonts w:eastAsia="Symbol"/>
              </w:rPr>
            </w:pPr>
            <w:r>
              <w:rPr>
                <w:rFonts w:eastAsia="Symbol"/>
              </w:rPr>
              <w:t>Enter Rack QC, Patient and Unit Antigen typing</w:t>
            </w:r>
          </w:p>
        </w:tc>
        <w:tc>
          <w:tcPr>
            <w:tcW w:w="1417" w:type="dxa"/>
          </w:tcPr>
          <w:p w14:paraId="748A6FFB" w14:textId="77777777" w:rsidR="00C045C1" w:rsidRDefault="00C045C1" w:rsidP="00C045C1">
            <w:pPr>
              <w:pStyle w:val="TableText"/>
              <w:rPr>
                <w:rFonts w:eastAsia="Symbol"/>
              </w:rPr>
            </w:pPr>
            <w:r>
              <w:rPr>
                <w:rFonts w:eastAsia="Symbol"/>
              </w:rPr>
              <w:t>Yes (Antigen Typing)</w:t>
            </w:r>
          </w:p>
        </w:tc>
        <w:tc>
          <w:tcPr>
            <w:tcW w:w="1530" w:type="dxa"/>
          </w:tcPr>
          <w:p w14:paraId="7DF6DE53" w14:textId="77777777" w:rsidR="00C045C1" w:rsidRDefault="00C045C1" w:rsidP="00C045C1">
            <w:pPr>
              <w:pStyle w:val="TableText"/>
              <w:rPr>
                <w:rFonts w:eastAsia="Symbol"/>
              </w:rPr>
            </w:pPr>
            <w:r>
              <w:rPr>
                <w:rFonts w:eastAsia="Symbol"/>
              </w:rPr>
              <w:t>Yes (Patient Testing: Record a Patient Antigen Typing)</w:t>
            </w:r>
          </w:p>
        </w:tc>
      </w:tr>
      <w:tr w:rsidR="00C045C1" w14:paraId="7F6EA7C9" w14:textId="77777777" w:rsidTr="006F58C9">
        <w:trPr>
          <w:cantSplit/>
        </w:trPr>
        <w:tc>
          <w:tcPr>
            <w:tcW w:w="3235" w:type="dxa"/>
          </w:tcPr>
          <w:p w14:paraId="04C971C6" w14:textId="77777777" w:rsidR="00C045C1" w:rsidRDefault="00C045C1" w:rsidP="00C045C1">
            <w:pPr>
              <w:pStyle w:val="TableText"/>
              <w:rPr>
                <w:rFonts w:eastAsia="Symbol"/>
              </w:rPr>
            </w:pPr>
            <w:r>
              <w:t>Expired reagent QC’d</w:t>
            </w:r>
          </w:p>
        </w:tc>
        <w:tc>
          <w:tcPr>
            <w:tcW w:w="1710" w:type="dxa"/>
          </w:tcPr>
          <w:p w14:paraId="3F1E7852" w14:textId="77777777" w:rsidR="00C045C1" w:rsidRDefault="00C045C1" w:rsidP="00C045C1">
            <w:pPr>
              <w:pStyle w:val="TableText"/>
              <w:rPr>
                <w:rFonts w:eastAsia="Symbol"/>
              </w:rPr>
            </w:pPr>
            <w:r>
              <w:t>All</w:t>
            </w:r>
          </w:p>
        </w:tc>
        <w:tc>
          <w:tcPr>
            <w:tcW w:w="2520" w:type="dxa"/>
          </w:tcPr>
          <w:p w14:paraId="0EFAC5E3" w14:textId="77777777" w:rsidR="00C045C1" w:rsidRDefault="00C045C1" w:rsidP="00C045C1">
            <w:pPr>
              <w:pStyle w:val="TableText"/>
              <w:rPr>
                <w:rFonts w:eastAsia="Symbol"/>
              </w:rPr>
            </w:pPr>
            <w:r>
              <w:rPr>
                <w:rFonts w:eastAsia="Symbol"/>
              </w:rPr>
              <w:t>Enter Daily QC</w:t>
            </w:r>
          </w:p>
        </w:tc>
        <w:tc>
          <w:tcPr>
            <w:tcW w:w="1417" w:type="dxa"/>
          </w:tcPr>
          <w:p w14:paraId="4586536E" w14:textId="77777777" w:rsidR="00C045C1" w:rsidRDefault="00C045C1" w:rsidP="00C045C1">
            <w:pPr>
              <w:pStyle w:val="TableText"/>
              <w:rPr>
                <w:rFonts w:eastAsia="Symbol"/>
              </w:rPr>
            </w:pPr>
            <w:r>
              <w:t>No</w:t>
            </w:r>
          </w:p>
        </w:tc>
        <w:tc>
          <w:tcPr>
            <w:tcW w:w="1530" w:type="dxa"/>
          </w:tcPr>
          <w:p w14:paraId="4D3B851E" w14:textId="77777777" w:rsidR="00C045C1" w:rsidRDefault="00C045C1" w:rsidP="00C045C1">
            <w:pPr>
              <w:pStyle w:val="TableText"/>
              <w:rPr>
                <w:rFonts w:eastAsia="Symbol"/>
              </w:rPr>
            </w:pPr>
            <w:r>
              <w:t>No</w:t>
            </w:r>
          </w:p>
        </w:tc>
      </w:tr>
      <w:tr w:rsidR="00C045C1" w14:paraId="52A0A7B0" w14:textId="77777777" w:rsidTr="006F58C9">
        <w:trPr>
          <w:cantSplit/>
        </w:trPr>
        <w:tc>
          <w:tcPr>
            <w:tcW w:w="3235" w:type="dxa"/>
          </w:tcPr>
          <w:p w14:paraId="5327CCB2" w14:textId="77777777" w:rsidR="00C045C1" w:rsidRDefault="00C045C1" w:rsidP="00C045C1">
            <w:pPr>
              <w:pStyle w:val="TableText"/>
            </w:pPr>
            <w:r>
              <w:t>Expired supply used in modification</w:t>
            </w:r>
          </w:p>
        </w:tc>
        <w:tc>
          <w:tcPr>
            <w:tcW w:w="1710" w:type="dxa"/>
          </w:tcPr>
          <w:p w14:paraId="38E49A1D" w14:textId="77777777" w:rsidR="00C045C1" w:rsidRDefault="00C045C1" w:rsidP="00C045C1">
            <w:pPr>
              <w:pStyle w:val="TableText"/>
            </w:pPr>
            <w:r>
              <w:t>All</w:t>
            </w:r>
          </w:p>
        </w:tc>
        <w:tc>
          <w:tcPr>
            <w:tcW w:w="2520" w:type="dxa"/>
          </w:tcPr>
          <w:p w14:paraId="34F90F05" w14:textId="77777777" w:rsidR="00C045C1" w:rsidRDefault="00C045C1" w:rsidP="00C045C1">
            <w:pPr>
              <w:pStyle w:val="TableText"/>
            </w:pPr>
            <w:r>
              <w:t>Modify Units</w:t>
            </w:r>
          </w:p>
        </w:tc>
        <w:tc>
          <w:tcPr>
            <w:tcW w:w="1417" w:type="dxa"/>
          </w:tcPr>
          <w:p w14:paraId="51C20D67" w14:textId="6D5B919B" w:rsidR="00C045C1" w:rsidRDefault="00474780" w:rsidP="00C045C1">
            <w:pPr>
              <w:pStyle w:val="TableText"/>
            </w:pPr>
            <w:r>
              <w:t>Yes</w:t>
            </w:r>
          </w:p>
        </w:tc>
        <w:tc>
          <w:tcPr>
            <w:tcW w:w="1530" w:type="dxa"/>
          </w:tcPr>
          <w:p w14:paraId="1C89196A" w14:textId="77777777" w:rsidR="00C045C1" w:rsidRDefault="00C045C1" w:rsidP="00C045C1">
            <w:pPr>
              <w:pStyle w:val="TableText"/>
              <w:rPr>
                <w:rFonts w:eastAsia="Symbol"/>
              </w:rPr>
            </w:pPr>
            <w:r>
              <w:t>No</w:t>
            </w:r>
          </w:p>
        </w:tc>
      </w:tr>
      <w:tr w:rsidR="00C045C1" w14:paraId="4917C443" w14:textId="77777777" w:rsidTr="006F58C9">
        <w:trPr>
          <w:cantSplit/>
        </w:trPr>
        <w:tc>
          <w:tcPr>
            <w:tcW w:w="3235" w:type="dxa"/>
          </w:tcPr>
          <w:p w14:paraId="784DDCE8" w14:textId="77777777" w:rsidR="00C045C1" w:rsidRDefault="00C045C1" w:rsidP="00C045C1">
            <w:pPr>
              <w:pStyle w:val="TableText"/>
            </w:pPr>
            <w:r>
              <w:t xml:space="preserve">Expired task processed </w:t>
            </w:r>
          </w:p>
        </w:tc>
        <w:tc>
          <w:tcPr>
            <w:tcW w:w="1710" w:type="dxa"/>
          </w:tcPr>
          <w:p w14:paraId="5E20A58B" w14:textId="77777777" w:rsidR="00C045C1" w:rsidRDefault="000075A9" w:rsidP="00C045C1">
            <w:pPr>
              <w:pStyle w:val="TableText"/>
            </w:pPr>
            <w:r>
              <w:t>All</w:t>
            </w:r>
          </w:p>
        </w:tc>
        <w:tc>
          <w:tcPr>
            <w:tcW w:w="2520" w:type="dxa"/>
          </w:tcPr>
          <w:p w14:paraId="257BA9AD" w14:textId="77777777" w:rsidR="00C045C1" w:rsidRDefault="000075A9" w:rsidP="00C045C1">
            <w:pPr>
              <w:pStyle w:val="TableText"/>
            </w:pPr>
            <w:r>
              <w:t>Pending Task List</w:t>
            </w:r>
          </w:p>
        </w:tc>
        <w:tc>
          <w:tcPr>
            <w:tcW w:w="1417" w:type="dxa"/>
          </w:tcPr>
          <w:p w14:paraId="14292612" w14:textId="77777777" w:rsidR="00C045C1" w:rsidRDefault="00C045C1" w:rsidP="00C045C1">
            <w:pPr>
              <w:pStyle w:val="TableText"/>
            </w:pPr>
            <w:r>
              <w:t>No</w:t>
            </w:r>
          </w:p>
        </w:tc>
        <w:tc>
          <w:tcPr>
            <w:tcW w:w="1530" w:type="dxa"/>
          </w:tcPr>
          <w:p w14:paraId="09A63A50" w14:textId="77777777" w:rsidR="00C045C1" w:rsidRDefault="00C045C1" w:rsidP="00C045C1">
            <w:pPr>
              <w:pStyle w:val="TableText"/>
            </w:pPr>
            <w:r>
              <w:rPr>
                <w:rFonts w:eastAsia="Symbol"/>
              </w:rPr>
              <w:t>Yes</w:t>
            </w:r>
          </w:p>
        </w:tc>
      </w:tr>
      <w:tr w:rsidR="00C045C1" w14:paraId="35CA2B18" w14:textId="77777777" w:rsidTr="006F58C9">
        <w:trPr>
          <w:cantSplit/>
        </w:trPr>
        <w:tc>
          <w:tcPr>
            <w:tcW w:w="3235" w:type="dxa"/>
          </w:tcPr>
          <w:p w14:paraId="2FD116D5" w14:textId="77777777" w:rsidR="00C045C1" w:rsidRDefault="00C045C1" w:rsidP="00C045C1">
            <w:pPr>
              <w:pStyle w:val="TableText"/>
              <w:rPr>
                <w:rFonts w:eastAsia="Symbol"/>
              </w:rPr>
            </w:pPr>
            <w:r>
              <w:t>Expired unit modified</w:t>
            </w:r>
          </w:p>
        </w:tc>
        <w:tc>
          <w:tcPr>
            <w:tcW w:w="1710" w:type="dxa"/>
          </w:tcPr>
          <w:p w14:paraId="0365B0B7" w14:textId="77777777" w:rsidR="00C045C1" w:rsidRDefault="00C045C1" w:rsidP="00C045C1">
            <w:pPr>
              <w:pStyle w:val="TableText"/>
              <w:rPr>
                <w:rFonts w:eastAsia="Symbol"/>
              </w:rPr>
            </w:pPr>
            <w:r>
              <w:rPr>
                <w:u w:val="single"/>
              </w:rPr>
              <w:t>&gt;</w:t>
            </w:r>
            <w:r>
              <w:t xml:space="preserve"> Enhanced Tech</w:t>
            </w:r>
          </w:p>
        </w:tc>
        <w:tc>
          <w:tcPr>
            <w:tcW w:w="2520" w:type="dxa"/>
          </w:tcPr>
          <w:p w14:paraId="6F390CF5" w14:textId="77777777" w:rsidR="00C045C1" w:rsidRDefault="00C045C1" w:rsidP="00C045C1">
            <w:pPr>
              <w:pStyle w:val="TableText"/>
              <w:rPr>
                <w:rFonts w:eastAsia="Symbol"/>
              </w:rPr>
            </w:pPr>
            <w:r>
              <w:rPr>
                <w:rFonts w:eastAsia="Symbol"/>
              </w:rPr>
              <w:t>Modify Units</w:t>
            </w:r>
          </w:p>
        </w:tc>
        <w:tc>
          <w:tcPr>
            <w:tcW w:w="1417" w:type="dxa"/>
          </w:tcPr>
          <w:p w14:paraId="7AB300D8" w14:textId="77777777" w:rsidR="00C045C1" w:rsidRDefault="00C045C1" w:rsidP="00C045C1">
            <w:pPr>
              <w:pStyle w:val="TableText"/>
              <w:rPr>
                <w:rFonts w:eastAsia="Symbol"/>
              </w:rPr>
            </w:pPr>
            <w:r>
              <w:t>Yes</w:t>
            </w:r>
          </w:p>
        </w:tc>
        <w:tc>
          <w:tcPr>
            <w:tcW w:w="1530" w:type="dxa"/>
          </w:tcPr>
          <w:p w14:paraId="403469C3" w14:textId="77777777" w:rsidR="00C045C1" w:rsidRDefault="00C045C1" w:rsidP="00C045C1">
            <w:pPr>
              <w:pStyle w:val="TableText"/>
              <w:rPr>
                <w:rFonts w:eastAsia="Symbol"/>
              </w:rPr>
            </w:pPr>
            <w:r>
              <w:t>No</w:t>
            </w:r>
          </w:p>
        </w:tc>
      </w:tr>
      <w:tr w:rsidR="00C045C1" w14:paraId="0997BE4B" w14:textId="77777777" w:rsidTr="006F58C9">
        <w:trPr>
          <w:cantSplit/>
        </w:trPr>
        <w:tc>
          <w:tcPr>
            <w:tcW w:w="3235" w:type="dxa"/>
          </w:tcPr>
          <w:p w14:paraId="27E3F59C" w14:textId="77777777" w:rsidR="00C045C1" w:rsidRDefault="00C045C1" w:rsidP="00C045C1">
            <w:pPr>
              <w:pStyle w:val="TableText"/>
            </w:pPr>
            <w:r>
              <w:t>Expired unit received</w:t>
            </w:r>
          </w:p>
        </w:tc>
        <w:tc>
          <w:tcPr>
            <w:tcW w:w="1710" w:type="dxa"/>
          </w:tcPr>
          <w:p w14:paraId="6F523CDB" w14:textId="77777777" w:rsidR="00C045C1" w:rsidRDefault="00C045C1" w:rsidP="00C045C1">
            <w:pPr>
              <w:pStyle w:val="TableText"/>
            </w:pPr>
            <w:r>
              <w:t>All</w:t>
            </w:r>
          </w:p>
        </w:tc>
        <w:tc>
          <w:tcPr>
            <w:tcW w:w="2520" w:type="dxa"/>
          </w:tcPr>
          <w:p w14:paraId="40F59FEF" w14:textId="77777777" w:rsidR="00C045C1" w:rsidRDefault="00C045C1" w:rsidP="00C045C1">
            <w:pPr>
              <w:pStyle w:val="TableText"/>
            </w:pPr>
            <w:r>
              <w:t>Incoming Shipment</w:t>
            </w:r>
          </w:p>
        </w:tc>
        <w:tc>
          <w:tcPr>
            <w:tcW w:w="1417" w:type="dxa"/>
          </w:tcPr>
          <w:p w14:paraId="2A056FC3" w14:textId="77777777" w:rsidR="00C045C1" w:rsidRDefault="00C045C1" w:rsidP="00C045C1">
            <w:pPr>
              <w:pStyle w:val="TableText"/>
            </w:pPr>
            <w:r>
              <w:t>Yes</w:t>
            </w:r>
          </w:p>
        </w:tc>
        <w:tc>
          <w:tcPr>
            <w:tcW w:w="1530" w:type="dxa"/>
          </w:tcPr>
          <w:p w14:paraId="2D9D60CF" w14:textId="77777777" w:rsidR="00C045C1" w:rsidRDefault="00C045C1" w:rsidP="00C045C1">
            <w:pPr>
              <w:pStyle w:val="TableText"/>
            </w:pPr>
            <w:r>
              <w:t>No</w:t>
            </w:r>
          </w:p>
        </w:tc>
      </w:tr>
      <w:tr w:rsidR="00C045C1" w14:paraId="503F4EAD" w14:textId="77777777" w:rsidTr="006F58C9">
        <w:trPr>
          <w:cantSplit/>
        </w:trPr>
        <w:tc>
          <w:tcPr>
            <w:tcW w:w="3235" w:type="dxa"/>
          </w:tcPr>
          <w:p w14:paraId="1D6BF59A" w14:textId="77777777" w:rsidR="00C045C1" w:rsidRDefault="00C045C1" w:rsidP="00C045C1">
            <w:pPr>
              <w:pStyle w:val="TableText"/>
              <w:rPr>
                <w:rFonts w:eastAsia="Symbol"/>
              </w:rPr>
            </w:pPr>
            <w:r>
              <w:t>Expired unit released from quarantine</w:t>
            </w:r>
          </w:p>
        </w:tc>
        <w:tc>
          <w:tcPr>
            <w:tcW w:w="1710" w:type="dxa"/>
          </w:tcPr>
          <w:p w14:paraId="51B9CAD1" w14:textId="77777777" w:rsidR="00C045C1" w:rsidRDefault="00C045C1" w:rsidP="00C045C1">
            <w:pPr>
              <w:pStyle w:val="TableText"/>
              <w:rPr>
                <w:rFonts w:eastAsia="Symbol"/>
              </w:rPr>
            </w:pPr>
            <w:r>
              <w:rPr>
                <w:u w:val="single"/>
              </w:rPr>
              <w:t>&gt;</w:t>
            </w:r>
            <w:r>
              <w:t xml:space="preserve"> Enhanced Tech</w:t>
            </w:r>
          </w:p>
        </w:tc>
        <w:tc>
          <w:tcPr>
            <w:tcW w:w="2520" w:type="dxa"/>
          </w:tcPr>
          <w:p w14:paraId="5FA6A4C4" w14:textId="77777777" w:rsidR="00C045C1" w:rsidRDefault="00C045C1" w:rsidP="00C045C1">
            <w:pPr>
              <w:pStyle w:val="TableText"/>
              <w:rPr>
                <w:rFonts w:eastAsia="Symbol"/>
              </w:rPr>
            </w:pPr>
            <w:r>
              <w:rPr>
                <w:rFonts w:eastAsia="Symbol"/>
              </w:rPr>
              <w:t>Release from Quarantine</w:t>
            </w:r>
          </w:p>
        </w:tc>
        <w:tc>
          <w:tcPr>
            <w:tcW w:w="1417" w:type="dxa"/>
          </w:tcPr>
          <w:p w14:paraId="170BE22D" w14:textId="77777777" w:rsidR="00C045C1" w:rsidRDefault="00C045C1" w:rsidP="00C045C1">
            <w:pPr>
              <w:pStyle w:val="TableText"/>
              <w:rPr>
                <w:rFonts w:eastAsia="Symbol"/>
              </w:rPr>
            </w:pPr>
            <w:r>
              <w:t>Yes</w:t>
            </w:r>
          </w:p>
        </w:tc>
        <w:tc>
          <w:tcPr>
            <w:tcW w:w="1530" w:type="dxa"/>
          </w:tcPr>
          <w:p w14:paraId="3DF08C33" w14:textId="77777777" w:rsidR="00C045C1" w:rsidRDefault="00C045C1" w:rsidP="00C045C1">
            <w:pPr>
              <w:pStyle w:val="TableText"/>
              <w:rPr>
                <w:rFonts w:eastAsia="Symbol"/>
              </w:rPr>
            </w:pPr>
            <w:r>
              <w:t>No</w:t>
            </w:r>
          </w:p>
        </w:tc>
      </w:tr>
      <w:tr w:rsidR="00C045C1" w14:paraId="55A02354" w14:textId="77777777" w:rsidTr="006F58C9">
        <w:trPr>
          <w:cantSplit/>
        </w:trPr>
        <w:tc>
          <w:tcPr>
            <w:tcW w:w="3235" w:type="dxa"/>
          </w:tcPr>
          <w:p w14:paraId="27BA2DFF" w14:textId="77777777" w:rsidR="00C045C1" w:rsidRDefault="00C045C1" w:rsidP="00C045C1">
            <w:pPr>
              <w:pStyle w:val="TableText"/>
            </w:pPr>
            <w:r>
              <w:t>Expired unit selected</w:t>
            </w:r>
          </w:p>
        </w:tc>
        <w:tc>
          <w:tcPr>
            <w:tcW w:w="1710" w:type="dxa"/>
          </w:tcPr>
          <w:p w14:paraId="2C835FBD" w14:textId="77777777" w:rsidR="00C045C1" w:rsidRDefault="00C045C1" w:rsidP="00C045C1">
            <w:pPr>
              <w:pStyle w:val="TableText"/>
            </w:pPr>
            <w:r>
              <w:rPr>
                <w:u w:val="single"/>
              </w:rPr>
              <w:t>&gt;</w:t>
            </w:r>
            <w:r>
              <w:t xml:space="preserve"> Enhanced Tech</w:t>
            </w:r>
          </w:p>
        </w:tc>
        <w:tc>
          <w:tcPr>
            <w:tcW w:w="2520" w:type="dxa"/>
          </w:tcPr>
          <w:p w14:paraId="46FC8FCE" w14:textId="77777777" w:rsidR="00C045C1" w:rsidRDefault="00C045C1" w:rsidP="00C045C1">
            <w:pPr>
              <w:pStyle w:val="TableText"/>
            </w:pPr>
            <w:r>
              <w:t>Select Unit</w:t>
            </w:r>
          </w:p>
        </w:tc>
        <w:tc>
          <w:tcPr>
            <w:tcW w:w="1417" w:type="dxa"/>
          </w:tcPr>
          <w:p w14:paraId="6225A9E0" w14:textId="77777777" w:rsidR="00C045C1" w:rsidRDefault="00C045C1" w:rsidP="00C045C1">
            <w:pPr>
              <w:pStyle w:val="TableText"/>
            </w:pPr>
            <w:r>
              <w:t>No</w:t>
            </w:r>
          </w:p>
        </w:tc>
        <w:tc>
          <w:tcPr>
            <w:tcW w:w="1530" w:type="dxa"/>
          </w:tcPr>
          <w:p w14:paraId="59F2E09F" w14:textId="77777777" w:rsidR="00C045C1" w:rsidRDefault="00C045C1" w:rsidP="00C045C1">
            <w:pPr>
              <w:pStyle w:val="TableText"/>
              <w:rPr>
                <w:rFonts w:eastAsia="Symbol"/>
              </w:rPr>
            </w:pPr>
            <w:r>
              <w:rPr>
                <w:rFonts w:eastAsia="Symbol"/>
              </w:rPr>
              <w:t>Yes</w:t>
            </w:r>
          </w:p>
        </w:tc>
      </w:tr>
      <w:tr w:rsidR="00C045C1" w14:paraId="4D517948" w14:textId="77777777" w:rsidTr="006F58C9">
        <w:trPr>
          <w:cantSplit/>
        </w:trPr>
        <w:tc>
          <w:tcPr>
            <w:tcW w:w="3235" w:type="dxa"/>
          </w:tcPr>
          <w:p w14:paraId="7B78391C" w14:textId="77777777" w:rsidR="00C045C1" w:rsidRDefault="00C045C1" w:rsidP="00C045C1">
            <w:pPr>
              <w:pStyle w:val="TableText"/>
            </w:pPr>
            <w:r>
              <w:t>Final unit status or modification removed</w:t>
            </w:r>
          </w:p>
        </w:tc>
        <w:tc>
          <w:tcPr>
            <w:tcW w:w="1710" w:type="dxa"/>
          </w:tcPr>
          <w:p w14:paraId="4E33E114" w14:textId="77777777" w:rsidR="00C045C1" w:rsidRDefault="00C045C1" w:rsidP="00C045C1">
            <w:pPr>
              <w:pStyle w:val="TableText"/>
            </w:pPr>
            <w:r>
              <w:rPr>
                <w:u w:val="single"/>
              </w:rPr>
              <w:t>&gt;</w:t>
            </w:r>
            <w:r>
              <w:t xml:space="preserve"> Traditional Supervisor</w:t>
            </w:r>
          </w:p>
        </w:tc>
        <w:tc>
          <w:tcPr>
            <w:tcW w:w="2520" w:type="dxa"/>
          </w:tcPr>
          <w:p w14:paraId="374EAA7C" w14:textId="77777777" w:rsidR="00C045C1" w:rsidRDefault="00C045C1" w:rsidP="00C045C1">
            <w:pPr>
              <w:pStyle w:val="TableText"/>
            </w:pPr>
            <w:r>
              <w:t>Remove Final Status</w:t>
            </w:r>
          </w:p>
        </w:tc>
        <w:tc>
          <w:tcPr>
            <w:tcW w:w="1417" w:type="dxa"/>
          </w:tcPr>
          <w:p w14:paraId="5FEF384D" w14:textId="77777777" w:rsidR="00C045C1" w:rsidRDefault="00C045C1" w:rsidP="00C045C1">
            <w:pPr>
              <w:pStyle w:val="TableText"/>
            </w:pPr>
            <w:r>
              <w:t>Yes</w:t>
            </w:r>
          </w:p>
        </w:tc>
        <w:tc>
          <w:tcPr>
            <w:tcW w:w="1530" w:type="dxa"/>
          </w:tcPr>
          <w:p w14:paraId="774FD955" w14:textId="77777777" w:rsidR="00C045C1" w:rsidRDefault="00C045C1" w:rsidP="00C045C1">
            <w:pPr>
              <w:pStyle w:val="TableText"/>
              <w:rPr>
                <w:rFonts w:eastAsia="Symbol"/>
              </w:rPr>
            </w:pPr>
            <w:r>
              <w:rPr>
                <w:rFonts w:eastAsia="Symbol"/>
              </w:rPr>
              <w:t>No</w:t>
            </w:r>
          </w:p>
        </w:tc>
      </w:tr>
      <w:tr w:rsidR="00C045C1" w14:paraId="7C8FE92B" w14:textId="77777777" w:rsidTr="006F58C9">
        <w:trPr>
          <w:cantSplit/>
        </w:trPr>
        <w:tc>
          <w:tcPr>
            <w:tcW w:w="3235" w:type="dxa"/>
          </w:tcPr>
          <w:p w14:paraId="49A68C1B" w14:textId="77777777" w:rsidR="00C045C1" w:rsidRPr="002C66CF" w:rsidRDefault="00C045C1" w:rsidP="00C045C1">
            <w:pPr>
              <w:pStyle w:val="TableText"/>
            </w:pPr>
            <w:r w:rsidRPr="002C66CF">
              <w:t xml:space="preserve">Inconclusive </w:t>
            </w:r>
            <w:r>
              <w:t>c</w:t>
            </w:r>
            <w:r w:rsidRPr="002C66CF">
              <w:t>rossmatch</w:t>
            </w:r>
          </w:p>
        </w:tc>
        <w:tc>
          <w:tcPr>
            <w:tcW w:w="1710" w:type="dxa"/>
          </w:tcPr>
          <w:p w14:paraId="1559D68E" w14:textId="77777777" w:rsidR="00C045C1" w:rsidRPr="002C66CF" w:rsidRDefault="00C045C1" w:rsidP="00C045C1">
            <w:pPr>
              <w:pStyle w:val="TableText"/>
            </w:pPr>
            <w:r>
              <w:t>All</w:t>
            </w:r>
          </w:p>
        </w:tc>
        <w:tc>
          <w:tcPr>
            <w:tcW w:w="2520" w:type="dxa"/>
          </w:tcPr>
          <w:p w14:paraId="3288CAE5" w14:textId="77777777" w:rsidR="00C045C1" w:rsidRPr="002C66CF" w:rsidRDefault="00C045C1" w:rsidP="00C045C1">
            <w:pPr>
              <w:pStyle w:val="TableText"/>
            </w:pPr>
            <w:r>
              <w:t>Patient Testing, serologic crossmatch grid</w:t>
            </w:r>
          </w:p>
        </w:tc>
        <w:tc>
          <w:tcPr>
            <w:tcW w:w="1417" w:type="dxa"/>
          </w:tcPr>
          <w:p w14:paraId="44DC8DB4" w14:textId="77777777" w:rsidR="00C045C1" w:rsidRDefault="00C045C1" w:rsidP="00C045C1">
            <w:pPr>
              <w:pStyle w:val="TableText"/>
            </w:pPr>
            <w:r>
              <w:t>No</w:t>
            </w:r>
          </w:p>
        </w:tc>
        <w:tc>
          <w:tcPr>
            <w:tcW w:w="1530" w:type="dxa"/>
          </w:tcPr>
          <w:p w14:paraId="5C351C6A" w14:textId="77777777" w:rsidR="00C045C1" w:rsidRDefault="00C045C1" w:rsidP="00C045C1">
            <w:pPr>
              <w:pStyle w:val="TableText"/>
            </w:pPr>
            <w:r>
              <w:rPr>
                <w:rFonts w:eastAsia="Symbol"/>
              </w:rPr>
              <w:t>Yes</w:t>
            </w:r>
          </w:p>
        </w:tc>
      </w:tr>
      <w:tr w:rsidR="00C045C1" w14:paraId="356B2228" w14:textId="77777777" w:rsidTr="006F58C9">
        <w:trPr>
          <w:cantSplit/>
        </w:trPr>
        <w:tc>
          <w:tcPr>
            <w:tcW w:w="3235" w:type="dxa"/>
          </w:tcPr>
          <w:p w14:paraId="37F10E95" w14:textId="77777777" w:rsidR="00C045C1" w:rsidRDefault="00C045C1" w:rsidP="00C045C1">
            <w:pPr>
              <w:pStyle w:val="TableText"/>
            </w:pPr>
            <w:r>
              <w:lastRenderedPageBreak/>
              <w:t>Issued expired unit</w:t>
            </w:r>
          </w:p>
        </w:tc>
        <w:tc>
          <w:tcPr>
            <w:tcW w:w="1710" w:type="dxa"/>
          </w:tcPr>
          <w:p w14:paraId="35C93CA0" w14:textId="77777777" w:rsidR="00C045C1" w:rsidRDefault="00C045C1" w:rsidP="00C045C1">
            <w:pPr>
              <w:pStyle w:val="TableText"/>
            </w:pPr>
            <w:r>
              <w:rPr>
                <w:u w:val="single"/>
              </w:rPr>
              <w:t>&gt;</w:t>
            </w:r>
            <w:r>
              <w:t xml:space="preserve"> Enhanced Tech</w:t>
            </w:r>
          </w:p>
        </w:tc>
        <w:tc>
          <w:tcPr>
            <w:tcW w:w="2520" w:type="dxa"/>
          </w:tcPr>
          <w:p w14:paraId="04279F72" w14:textId="77777777" w:rsidR="00C045C1" w:rsidRDefault="00C045C1" w:rsidP="00C045C1">
            <w:pPr>
              <w:pStyle w:val="TableText"/>
            </w:pPr>
            <w:r>
              <w:t>Issue Blood</w:t>
            </w:r>
          </w:p>
        </w:tc>
        <w:tc>
          <w:tcPr>
            <w:tcW w:w="1417" w:type="dxa"/>
          </w:tcPr>
          <w:p w14:paraId="7F1C794E" w14:textId="77777777" w:rsidR="00C045C1" w:rsidRDefault="00C045C1" w:rsidP="00C045C1">
            <w:pPr>
              <w:pStyle w:val="TableText"/>
            </w:pPr>
            <w:r>
              <w:t>No</w:t>
            </w:r>
          </w:p>
        </w:tc>
        <w:tc>
          <w:tcPr>
            <w:tcW w:w="1530" w:type="dxa"/>
          </w:tcPr>
          <w:p w14:paraId="02669B94" w14:textId="77777777" w:rsidR="00C045C1" w:rsidRDefault="00C045C1" w:rsidP="00C045C1">
            <w:pPr>
              <w:pStyle w:val="TableText"/>
            </w:pPr>
            <w:r>
              <w:rPr>
                <w:rFonts w:eastAsia="Symbol"/>
              </w:rPr>
              <w:t>Yes</w:t>
            </w:r>
          </w:p>
        </w:tc>
      </w:tr>
      <w:tr w:rsidR="00C045C1" w14:paraId="0258478C" w14:textId="77777777" w:rsidTr="006F58C9">
        <w:trPr>
          <w:cantSplit/>
        </w:trPr>
        <w:tc>
          <w:tcPr>
            <w:tcW w:w="3235" w:type="dxa"/>
          </w:tcPr>
          <w:p w14:paraId="6A0A2482" w14:textId="77777777" w:rsidR="00C045C1" w:rsidRDefault="00C045C1" w:rsidP="00C045C1">
            <w:pPr>
              <w:pStyle w:val="TableText"/>
            </w:pPr>
            <w:r>
              <w:t>Less restrictive unit issued</w:t>
            </w:r>
          </w:p>
        </w:tc>
        <w:tc>
          <w:tcPr>
            <w:tcW w:w="1710" w:type="dxa"/>
          </w:tcPr>
          <w:p w14:paraId="2227871D" w14:textId="77777777" w:rsidR="00C045C1" w:rsidRDefault="00C045C1" w:rsidP="00C045C1">
            <w:pPr>
              <w:pStyle w:val="TableText"/>
            </w:pPr>
            <w:r>
              <w:t>All</w:t>
            </w:r>
          </w:p>
        </w:tc>
        <w:tc>
          <w:tcPr>
            <w:tcW w:w="2520" w:type="dxa"/>
          </w:tcPr>
          <w:p w14:paraId="61772EFC" w14:textId="77777777" w:rsidR="00C045C1" w:rsidRDefault="00C045C1" w:rsidP="00C045C1">
            <w:pPr>
              <w:pStyle w:val="TableText"/>
            </w:pPr>
            <w:r>
              <w:t>Issue Blood</w:t>
            </w:r>
          </w:p>
        </w:tc>
        <w:tc>
          <w:tcPr>
            <w:tcW w:w="1417" w:type="dxa"/>
          </w:tcPr>
          <w:p w14:paraId="34527661" w14:textId="77777777" w:rsidR="00C045C1" w:rsidRDefault="00C045C1" w:rsidP="00C045C1">
            <w:pPr>
              <w:pStyle w:val="TableText"/>
            </w:pPr>
            <w:r>
              <w:t>No</w:t>
            </w:r>
          </w:p>
        </w:tc>
        <w:tc>
          <w:tcPr>
            <w:tcW w:w="1530" w:type="dxa"/>
          </w:tcPr>
          <w:p w14:paraId="5A94323D" w14:textId="77777777" w:rsidR="00C045C1" w:rsidRDefault="00C045C1" w:rsidP="00C045C1">
            <w:pPr>
              <w:pStyle w:val="TableText"/>
            </w:pPr>
            <w:r>
              <w:rPr>
                <w:rFonts w:eastAsia="Symbol"/>
              </w:rPr>
              <w:t>Yes</w:t>
            </w:r>
          </w:p>
        </w:tc>
      </w:tr>
      <w:tr w:rsidR="00C045C1" w14:paraId="2C931FAC" w14:textId="77777777" w:rsidTr="006F58C9">
        <w:trPr>
          <w:cantSplit/>
        </w:trPr>
        <w:tc>
          <w:tcPr>
            <w:tcW w:w="3235" w:type="dxa"/>
          </w:tcPr>
          <w:p w14:paraId="0FBD833B" w14:textId="77777777" w:rsidR="00C045C1" w:rsidRDefault="00C045C1" w:rsidP="00C045C1">
            <w:pPr>
              <w:pStyle w:val="TableText"/>
            </w:pPr>
            <w:r>
              <w:t>Less restrictive unit selected</w:t>
            </w:r>
          </w:p>
        </w:tc>
        <w:tc>
          <w:tcPr>
            <w:tcW w:w="1710" w:type="dxa"/>
          </w:tcPr>
          <w:p w14:paraId="746018D8" w14:textId="77777777" w:rsidR="00C045C1" w:rsidRDefault="00C045C1" w:rsidP="00C045C1">
            <w:pPr>
              <w:pStyle w:val="TableText"/>
            </w:pPr>
            <w:r>
              <w:t>All</w:t>
            </w:r>
          </w:p>
        </w:tc>
        <w:tc>
          <w:tcPr>
            <w:tcW w:w="2520" w:type="dxa"/>
          </w:tcPr>
          <w:p w14:paraId="25A5FFF8" w14:textId="77777777" w:rsidR="00C045C1" w:rsidRDefault="00C045C1" w:rsidP="00C045C1">
            <w:pPr>
              <w:pStyle w:val="TableText"/>
            </w:pPr>
            <w:r>
              <w:t>Select Unit</w:t>
            </w:r>
          </w:p>
        </w:tc>
        <w:tc>
          <w:tcPr>
            <w:tcW w:w="1417" w:type="dxa"/>
          </w:tcPr>
          <w:p w14:paraId="6C599D57" w14:textId="77777777" w:rsidR="00C045C1" w:rsidRDefault="00C045C1" w:rsidP="00C045C1">
            <w:pPr>
              <w:pStyle w:val="TableText"/>
            </w:pPr>
            <w:r>
              <w:t>No</w:t>
            </w:r>
          </w:p>
        </w:tc>
        <w:tc>
          <w:tcPr>
            <w:tcW w:w="1530" w:type="dxa"/>
          </w:tcPr>
          <w:p w14:paraId="44F6010D" w14:textId="77777777" w:rsidR="00C045C1" w:rsidRDefault="00C045C1" w:rsidP="00C045C1">
            <w:pPr>
              <w:pStyle w:val="TableText"/>
            </w:pPr>
            <w:r>
              <w:rPr>
                <w:rFonts w:eastAsia="Symbol"/>
              </w:rPr>
              <w:t>Yes</w:t>
            </w:r>
          </w:p>
        </w:tc>
      </w:tr>
      <w:tr w:rsidR="00C045C1" w14:paraId="7916E2CA" w14:textId="77777777" w:rsidTr="006F58C9">
        <w:trPr>
          <w:cantSplit/>
        </w:trPr>
        <w:tc>
          <w:tcPr>
            <w:tcW w:w="3235" w:type="dxa"/>
          </w:tcPr>
          <w:p w14:paraId="2332DC0F" w14:textId="77777777" w:rsidR="00C045C1" w:rsidRDefault="00C045C1" w:rsidP="00C045C1">
            <w:pPr>
              <w:pStyle w:val="TableText"/>
              <w:rPr>
                <w:rFonts w:eastAsia="Symbol"/>
              </w:rPr>
            </w:pPr>
            <w:r>
              <w:t>Non-standard test procedure</w:t>
            </w:r>
          </w:p>
        </w:tc>
        <w:tc>
          <w:tcPr>
            <w:tcW w:w="1710" w:type="dxa"/>
          </w:tcPr>
          <w:p w14:paraId="7130E55E" w14:textId="77777777" w:rsidR="00C045C1" w:rsidRDefault="00C045C1" w:rsidP="00C045C1">
            <w:pPr>
              <w:pStyle w:val="TableText"/>
              <w:rPr>
                <w:rFonts w:eastAsia="Symbol"/>
              </w:rPr>
            </w:pPr>
            <w:r>
              <w:rPr>
                <w:rFonts w:eastAsia="Symbol"/>
              </w:rPr>
              <w:t>All</w:t>
            </w:r>
          </w:p>
        </w:tc>
        <w:tc>
          <w:tcPr>
            <w:tcW w:w="2520" w:type="dxa"/>
          </w:tcPr>
          <w:p w14:paraId="7BDC30A5" w14:textId="77777777" w:rsidR="00C045C1" w:rsidRDefault="00C045C1" w:rsidP="00C045C1">
            <w:pPr>
              <w:pStyle w:val="TableText"/>
              <w:rPr>
                <w:rFonts w:eastAsia="Symbol"/>
              </w:rPr>
            </w:pPr>
            <w:r>
              <w:rPr>
                <w:rFonts w:eastAsia="Symbol"/>
              </w:rPr>
              <w:t>Patient Testing, Antibody screen, serologic crossmatch</w:t>
            </w:r>
          </w:p>
        </w:tc>
        <w:tc>
          <w:tcPr>
            <w:tcW w:w="1417" w:type="dxa"/>
          </w:tcPr>
          <w:p w14:paraId="4943208D" w14:textId="77777777" w:rsidR="00C045C1" w:rsidRDefault="00C045C1" w:rsidP="00C045C1">
            <w:pPr>
              <w:pStyle w:val="TableText"/>
              <w:rPr>
                <w:rFonts w:eastAsia="Symbol"/>
              </w:rPr>
            </w:pPr>
            <w:r>
              <w:t>No</w:t>
            </w:r>
          </w:p>
        </w:tc>
        <w:tc>
          <w:tcPr>
            <w:tcW w:w="1530" w:type="dxa"/>
          </w:tcPr>
          <w:p w14:paraId="2F44AFBE" w14:textId="77777777" w:rsidR="00C045C1" w:rsidRDefault="00C045C1" w:rsidP="00C045C1">
            <w:pPr>
              <w:pStyle w:val="TableText"/>
              <w:rPr>
                <w:rFonts w:eastAsia="Symbol"/>
              </w:rPr>
            </w:pPr>
            <w:r>
              <w:rPr>
                <w:rFonts w:eastAsia="Symbol"/>
              </w:rPr>
              <w:t>Yes</w:t>
            </w:r>
          </w:p>
        </w:tc>
      </w:tr>
      <w:tr w:rsidR="00C045C1" w14:paraId="6384D5F5" w14:textId="77777777" w:rsidTr="006F58C9">
        <w:trPr>
          <w:cantSplit/>
        </w:trPr>
        <w:tc>
          <w:tcPr>
            <w:tcW w:w="3235" w:type="dxa"/>
          </w:tcPr>
          <w:p w14:paraId="7E074642" w14:textId="77777777" w:rsidR="00C045C1" w:rsidRDefault="00C045C1" w:rsidP="00C045C1">
            <w:pPr>
              <w:pStyle w:val="TableText"/>
              <w:rPr>
                <w:rFonts w:eastAsia="Symbol"/>
              </w:rPr>
            </w:pPr>
            <w:r>
              <w:t>(Patient) ABO/Rh discrepancy</w:t>
            </w:r>
          </w:p>
        </w:tc>
        <w:tc>
          <w:tcPr>
            <w:tcW w:w="1710" w:type="dxa"/>
          </w:tcPr>
          <w:p w14:paraId="781F3AF3" w14:textId="77777777" w:rsidR="00C045C1" w:rsidRDefault="00C045C1" w:rsidP="00C045C1">
            <w:pPr>
              <w:pStyle w:val="TableText"/>
              <w:rPr>
                <w:rFonts w:eastAsia="Symbol"/>
              </w:rPr>
            </w:pPr>
            <w:r>
              <w:rPr>
                <w:rFonts w:eastAsia="Symbol"/>
              </w:rPr>
              <w:t>All</w:t>
            </w:r>
          </w:p>
        </w:tc>
        <w:tc>
          <w:tcPr>
            <w:tcW w:w="2520" w:type="dxa"/>
          </w:tcPr>
          <w:p w14:paraId="6125688C" w14:textId="77777777" w:rsidR="00C045C1" w:rsidRDefault="00C045C1" w:rsidP="00C045C1">
            <w:pPr>
              <w:pStyle w:val="TableText"/>
              <w:rPr>
                <w:rFonts w:eastAsia="Symbol"/>
              </w:rPr>
            </w:pPr>
            <w:r>
              <w:rPr>
                <w:rFonts w:eastAsia="Symbol"/>
              </w:rPr>
              <w:t>Patient testing, ABO/Rh test</w:t>
            </w:r>
          </w:p>
        </w:tc>
        <w:tc>
          <w:tcPr>
            <w:tcW w:w="1417" w:type="dxa"/>
          </w:tcPr>
          <w:p w14:paraId="7328AED4" w14:textId="77777777" w:rsidR="00C045C1" w:rsidRDefault="00C045C1" w:rsidP="00C045C1">
            <w:pPr>
              <w:pStyle w:val="TableText"/>
              <w:rPr>
                <w:rFonts w:eastAsia="Symbol"/>
              </w:rPr>
            </w:pPr>
            <w:r>
              <w:t>No</w:t>
            </w:r>
          </w:p>
        </w:tc>
        <w:tc>
          <w:tcPr>
            <w:tcW w:w="1530" w:type="dxa"/>
          </w:tcPr>
          <w:p w14:paraId="7AC7F166" w14:textId="77777777" w:rsidR="00C045C1" w:rsidRDefault="00C045C1" w:rsidP="00C045C1">
            <w:pPr>
              <w:pStyle w:val="TableText"/>
              <w:rPr>
                <w:rFonts w:eastAsia="Symbol"/>
              </w:rPr>
            </w:pPr>
            <w:r>
              <w:rPr>
                <w:rFonts w:eastAsia="Symbol"/>
              </w:rPr>
              <w:t>Yes</w:t>
            </w:r>
          </w:p>
        </w:tc>
      </w:tr>
      <w:tr w:rsidR="00C045C1" w14:paraId="0B1DE147" w14:textId="77777777" w:rsidTr="006F58C9">
        <w:trPr>
          <w:cantSplit/>
        </w:trPr>
        <w:tc>
          <w:tcPr>
            <w:tcW w:w="3235" w:type="dxa"/>
          </w:tcPr>
          <w:p w14:paraId="7A10F43D" w14:textId="77777777" w:rsidR="00C045C1" w:rsidRDefault="00C045C1" w:rsidP="00C045C1">
            <w:pPr>
              <w:pStyle w:val="TableText"/>
              <w:rPr>
                <w:rFonts w:eastAsia="Symbol"/>
              </w:rPr>
            </w:pPr>
            <w:r>
              <w:t>Previously recorded results inactivated</w:t>
            </w:r>
          </w:p>
        </w:tc>
        <w:tc>
          <w:tcPr>
            <w:tcW w:w="1710" w:type="dxa"/>
          </w:tcPr>
          <w:p w14:paraId="7776B900" w14:textId="77777777" w:rsidR="00C045C1" w:rsidRPr="0095633D" w:rsidRDefault="00C045C1" w:rsidP="00C045C1">
            <w:pPr>
              <w:rPr>
                <w:rFonts w:ascii="Arial" w:hAnsi="Arial" w:cs="Arial"/>
                <w:sz w:val="18"/>
                <w:szCs w:val="18"/>
              </w:rPr>
            </w:pPr>
            <w:r w:rsidRPr="0095633D">
              <w:rPr>
                <w:rFonts w:ascii="Arial" w:eastAsia="Symbol" w:hAnsi="Arial" w:cs="Arial"/>
                <w:sz w:val="18"/>
                <w:szCs w:val="18"/>
              </w:rPr>
              <w:t>All</w:t>
            </w:r>
          </w:p>
        </w:tc>
        <w:tc>
          <w:tcPr>
            <w:tcW w:w="2520" w:type="dxa"/>
          </w:tcPr>
          <w:p w14:paraId="20A4241F" w14:textId="77777777" w:rsidR="00C045C1" w:rsidRDefault="00C045C1" w:rsidP="00C045C1">
            <w:pPr>
              <w:pStyle w:val="TableText"/>
              <w:rPr>
                <w:rFonts w:eastAsia="Symbol"/>
              </w:rPr>
            </w:pPr>
            <w:r>
              <w:rPr>
                <w:rFonts w:eastAsia="Symbol"/>
              </w:rPr>
              <w:t>All testing grids where the red x is used to clear a grid.</w:t>
            </w:r>
          </w:p>
        </w:tc>
        <w:tc>
          <w:tcPr>
            <w:tcW w:w="1417" w:type="dxa"/>
          </w:tcPr>
          <w:p w14:paraId="540A7B1F" w14:textId="77777777" w:rsidR="00C045C1" w:rsidRDefault="00C045C1" w:rsidP="00C045C1">
            <w:pPr>
              <w:pStyle w:val="TableText"/>
              <w:rPr>
                <w:rFonts w:eastAsia="Symbol"/>
              </w:rPr>
            </w:pPr>
            <w:r>
              <w:t>No</w:t>
            </w:r>
          </w:p>
        </w:tc>
        <w:tc>
          <w:tcPr>
            <w:tcW w:w="1530" w:type="dxa"/>
          </w:tcPr>
          <w:p w14:paraId="31224781" w14:textId="77777777" w:rsidR="00C045C1" w:rsidRDefault="00C045C1" w:rsidP="00C045C1">
            <w:pPr>
              <w:pStyle w:val="TableText"/>
              <w:rPr>
                <w:rFonts w:eastAsia="Symbol"/>
              </w:rPr>
            </w:pPr>
            <w:r>
              <w:rPr>
                <w:rFonts w:eastAsia="Symbol"/>
              </w:rPr>
              <w:t>Yes</w:t>
            </w:r>
          </w:p>
        </w:tc>
      </w:tr>
      <w:tr w:rsidR="00C045C1" w14:paraId="0AB9F879" w14:textId="77777777" w:rsidTr="006F58C9">
        <w:trPr>
          <w:cantSplit/>
        </w:trPr>
        <w:tc>
          <w:tcPr>
            <w:tcW w:w="3235" w:type="dxa"/>
          </w:tcPr>
          <w:p w14:paraId="14582A3A" w14:textId="77777777" w:rsidR="00C045C1" w:rsidRDefault="00C045C1" w:rsidP="00C045C1">
            <w:pPr>
              <w:pStyle w:val="TableText"/>
            </w:pPr>
            <w:r>
              <w:t>Previously recorded results invalidated</w:t>
            </w:r>
          </w:p>
        </w:tc>
        <w:tc>
          <w:tcPr>
            <w:tcW w:w="1710" w:type="dxa"/>
          </w:tcPr>
          <w:p w14:paraId="1558A6D9" w14:textId="77777777" w:rsidR="00C045C1" w:rsidRPr="0095633D" w:rsidRDefault="00C045C1" w:rsidP="00C045C1">
            <w:pPr>
              <w:rPr>
                <w:rFonts w:ascii="Arial" w:hAnsi="Arial" w:cs="Arial"/>
                <w:sz w:val="18"/>
                <w:szCs w:val="18"/>
              </w:rPr>
            </w:pPr>
            <w:r w:rsidRPr="0095633D">
              <w:rPr>
                <w:rFonts w:ascii="Arial" w:eastAsia="Symbol" w:hAnsi="Arial" w:cs="Arial"/>
                <w:sz w:val="18"/>
                <w:szCs w:val="18"/>
              </w:rPr>
              <w:t>All</w:t>
            </w:r>
          </w:p>
        </w:tc>
        <w:tc>
          <w:tcPr>
            <w:tcW w:w="2520" w:type="dxa"/>
          </w:tcPr>
          <w:p w14:paraId="05059A05" w14:textId="77777777" w:rsidR="00C045C1" w:rsidRDefault="00C045C1" w:rsidP="00C045C1">
            <w:pPr>
              <w:pStyle w:val="TableText"/>
            </w:pPr>
            <w:r>
              <w:rPr>
                <w:rFonts w:eastAsia="Symbol"/>
              </w:rPr>
              <w:t>Invalidate Patient Testing</w:t>
            </w:r>
          </w:p>
        </w:tc>
        <w:tc>
          <w:tcPr>
            <w:tcW w:w="1417" w:type="dxa"/>
          </w:tcPr>
          <w:p w14:paraId="42F2545C" w14:textId="77777777" w:rsidR="00C045C1" w:rsidRDefault="00C045C1" w:rsidP="00C045C1">
            <w:pPr>
              <w:pStyle w:val="TableText"/>
              <w:rPr>
                <w:rFonts w:eastAsia="Symbol"/>
              </w:rPr>
            </w:pPr>
            <w:r>
              <w:rPr>
                <w:rFonts w:eastAsia="Symbol"/>
              </w:rPr>
              <w:t xml:space="preserve">Yes </w:t>
            </w:r>
          </w:p>
        </w:tc>
        <w:tc>
          <w:tcPr>
            <w:tcW w:w="1530" w:type="dxa"/>
          </w:tcPr>
          <w:p w14:paraId="659B1D25" w14:textId="77777777" w:rsidR="00C045C1" w:rsidRDefault="00C045C1" w:rsidP="00C045C1">
            <w:pPr>
              <w:pStyle w:val="TableText"/>
              <w:rPr>
                <w:rFonts w:eastAsia="Symbol"/>
              </w:rPr>
            </w:pPr>
            <w:r>
              <w:t>No</w:t>
            </w:r>
          </w:p>
        </w:tc>
      </w:tr>
      <w:tr w:rsidR="00C045C1" w14:paraId="5803E248" w14:textId="77777777" w:rsidTr="006F58C9">
        <w:trPr>
          <w:cantSplit/>
        </w:trPr>
        <w:tc>
          <w:tcPr>
            <w:tcW w:w="3235" w:type="dxa"/>
          </w:tcPr>
          <w:p w14:paraId="1B7E003E" w14:textId="2A9D6333" w:rsidR="00C045C1" w:rsidRDefault="00C045C1" w:rsidP="00C045C1">
            <w:pPr>
              <w:pStyle w:val="TableText"/>
              <w:rPr>
                <w:rFonts w:eastAsia="Symbol"/>
              </w:rPr>
            </w:pPr>
            <w:r>
              <w:t xml:space="preserve">QC decrease reagent reactivity </w:t>
            </w:r>
            <w:r w:rsidR="008D4668">
              <w:rPr>
                <w:rStyle w:val="Char"/>
                <w:sz w:val="18"/>
                <w:szCs w:val="18"/>
              </w:rPr>
              <w:t>&gt;=</w:t>
            </w:r>
            <w:r w:rsidRPr="004D0684">
              <w:rPr>
                <w:rStyle w:val="Char"/>
                <w:sz w:val="18"/>
                <w:szCs w:val="18"/>
              </w:rPr>
              <w:t>2</w:t>
            </w:r>
          </w:p>
        </w:tc>
        <w:tc>
          <w:tcPr>
            <w:tcW w:w="1710" w:type="dxa"/>
          </w:tcPr>
          <w:p w14:paraId="4BDC0C89" w14:textId="77777777" w:rsidR="00C045C1" w:rsidRDefault="00C045C1" w:rsidP="00C045C1">
            <w:pPr>
              <w:pStyle w:val="TableText"/>
              <w:rPr>
                <w:rFonts w:eastAsia="Symbol"/>
              </w:rPr>
            </w:pPr>
            <w:r>
              <w:rPr>
                <w:rFonts w:eastAsia="Symbol"/>
              </w:rPr>
              <w:t>All</w:t>
            </w:r>
          </w:p>
        </w:tc>
        <w:tc>
          <w:tcPr>
            <w:tcW w:w="2520" w:type="dxa"/>
          </w:tcPr>
          <w:p w14:paraId="53D9BE95" w14:textId="77777777" w:rsidR="00C045C1" w:rsidRDefault="00C045C1" w:rsidP="00C045C1">
            <w:pPr>
              <w:pStyle w:val="TableText"/>
              <w:rPr>
                <w:rFonts w:eastAsia="Symbol"/>
              </w:rPr>
            </w:pPr>
            <w:r>
              <w:rPr>
                <w:rFonts w:eastAsia="Symbol"/>
              </w:rPr>
              <w:t>All testing where Rack is selected</w:t>
            </w:r>
          </w:p>
        </w:tc>
        <w:tc>
          <w:tcPr>
            <w:tcW w:w="1417" w:type="dxa"/>
          </w:tcPr>
          <w:p w14:paraId="637139A9" w14:textId="77777777" w:rsidR="00C045C1" w:rsidRDefault="00C045C1" w:rsidP="00C045C1">
            <w:pPr>
              <w:pStyle w:val="TableText"/>
              <w:rPr>
                <w:rFonts w:eastAsia="Symbol"/>
              </w:rPr>
            </w:pPr>
            <w:r>
              <w:t>No</w:t>
            </w:r>
          </w:p>
        </w:tc>
        <w:tc>
          <w:tcPr>
            <w:tcW w:w="1530" w:type="dxa"/>
          </w:tcPr>
          <w:p w14:paraId="09BDF8F1" w14:textId="77777777" w:rsidR="00C045C1" w:rsidRDefault="00C045C1" w:rsidP="00C045C1">
            <w:pPr>
              <w:pStyle w:val="TableText"/>
              <w:rPr>
                <w:rFonts w:eastAsia="Symbol"/>
              </w:rPr>
            </w:pPr>
            <w:r>
              <w:t>No</w:t>
            </w:r>
          </w:p>
        </w:tc>
      </w:tr>
      <w:tr w:rsidR="00C045C1" w14:paraId="50E1EC07" w14:textId="77777777" w:rsidTr="006F58C9">
        <w:trPr>
          <w:cantSplit/>
        </w:trPr>
        <w:tc>
          <w:tcPr>
            <w:tcW w:w="3235" w:type="dxa"/>
          </w:tcPr>
          <w:p w14:paraId="280CCEDB" w14:textId="77777777" w:rsidR="00C045C1" w:rsidRDefault="00C045C1" w:rsidP="00C045C1">
            <w:pPr>
              <w:pStyle w:val="TableText"/>
              <w:rPr>
                <w:rFonts w:eastAsia="Symbol"/>
              </w:rPr>
            </w:pPr>
            <w:r>
              <w:t>QC not performed on rack used for testing</w:t>
            </w:r>
          </w:p>
        </w:tc>
        <w:tc>
          <w:tcPr>
            <w:tcW w:w="1710" w:type="dxa"/>
          </w:tcPr>
          <w:p w14:paraId="0E687437" w14:textId="77777777" w:rsidR="00C045C1" w:rsidRDefault="00C045C1" w:rsidP="00C045C1">
            <w:pPr>
              <w:pStyle w:val="TableText"/>
              <w:rPr>
                <w:rFonts w:eastAsia="Symbol"/>
              </w:rPr>
            </w:pPr>
            <w:r>
              <w:rPr>
                <w:rFonts w:eastAsia="Symbol"/>
              </w:rPr>
              <w:t>All</w:t>
            </w:r>
          </w:p>
        </w:tc>
        <w:tc>
          <w:tcPr>
            <w:tcW w:w="2520" w:type="dxa"/>
          </w:tcPr>
          <w:p w14:paraId="583F0E7D" w14:textId="77777777" w:rsidR="00C045C1" w:rsidRDefault="00C045C1" w:rsidP="00C045C1">
            <w:pPr>
              <w:pStyle w:val="TableText"/>
              <w:rPr>
                <w:rFonts w:eastAsia="Symbol"/>
              </w:rPr>
            </w:pPr>
            <w:r>
              <w:rPr>
                <w:rFonts w:eastAsia="Symbol"/>
              </w:rPr>
              <w:t>All testing where Rack is selected</w:t>
            </w:r>
          </w:p>
        </w:tc>
        <w:tc>
          <w:tcPr>
            <w:tcW w:w="1417" w:type="dxa"/>
          </w:tcPr>
          <w:p w14:paraId="061BA735" w14:textId="77777777" w:rsidR="00C045C1" w:rsidRDefault="00C045C1" w:rsidP="00C045C1">
            <w:pPr>
              <w:pStyle w:val="TableText"/>
              <w:rPr>
                <w:rFonts w:eastAsia="Symbol"/>
              </w:rPr>
            </w:pPr>
            <w:r>
              <w:t>No</w:t>
            </w:r>
          </w:p>
        </w:tc>
        <w:tc>
          <w:tcPr>
            <w:tcW w:w="1530" w:type="dxa"/>
          </w:tcPr>
          <w:p w14:paraId="6DEA4EE7" w14:textId="77777777" w:rsidR="00C045C1" w:rsidRDefault="00C045C1" w:rsidP="00C045C1">
            <w:pPr>
              <w:pStyle w:val="TableText"/>
              <w:rPr>
                <w:rFonts w:eastAsia="Symbol"/>
              </w:rPr>
            </w:pPr>
            <w:r>
              <w:rPr>
                <w:rFonts w:eastAsia="Symbol"/>
              </w:rPr>
              <w:t>Yes</w:t>
            </w:r>
          </w:p>
        </w:tc>
      </w:tr>
      <w:tr w:rsidR="00C045C1" w14:paraId="0BFD4180" w14:textId="77777777" w:rsidTr="006F58C9">
        <w:trPr>
          <w:cantSplit/>
        </w:trPr>
        <w:tc>
          <w:tcPr>
            <w:tcW w:w="3235" w:type="dxa"/>
          </w:tcPr>
          <w:p w14:paraId="0628A8FB" w14:textId="77777777" w:rsidR="00C045C1" w:rsidRDefault="00C045C1" w:rsidP="00C045C1">
            <w:pPr>
              <w:pStyle w:val="TableText"/>
              <w:rPr>
                <w:rFonts w:eastAsia="Symbol"/>
              </w:rPr>
            </w:pPr>
            <w:r>
              <w:t>Reflex test ordered on expired specimen</w:t>
            </w:r>
          </w:p>
        </w:tc>
        <w:tc>
          <w:tcPr>
            <w:tcW w:w="1710" w:type="dxa"/>
          </w:tcPr>
          <w:p w14:paraId="60E74FE4" w14:textId="77777777" w:rsidR="00C045C1" w:rsidRDefault="00C045C1" w:rsidP="00C045C1">
            <w:pPr>
              <w:pStyle w:val="TableText"/>
              <w:rPr>
                <w:rFonts w:eastAsia="Symbol"/>
              </w:rPr>
            </w:pPr>
            <w:r>
              <w:rPr>
                <w:rFonts w:eastAsia="Symbol"/>
              </w:rPr>
              <w:t>All</w:t>
            </w:r>
          </w:p>
        </w:tc>
        <w:tc>
          <w:tcPr>
            <w:tcW w:w="2520" w:type="dxa"/>
          </w:tcPr>
          <w:p w14:paraId="24F0CC33" w14:textId="77777777" w:rsidR="00C045C1" w:rsidRDefault="00C045C1" w:rsidP="00C045C1">
            <w:pPr>
              <w:pStyle w:val="TableText"/>
              <w:rPr>
                <w:rFonts w:eastAsia="Symbol"/>
              </w:rPr>
            </w:pPr>
            <w:r>
              <w:rPr>
                <w:rFonts w:eastAsia="Symbol"/>
              </w:rPr>
              <w:t>Order Reflex Test</w:t>
            </w:r>
          </w:p>
        </w:tc>
        <w:tc>
          <w:tcPr>
            <w:tcW w:w="1417" w:type="dxa"/>
          </w:tcPr>
          <w:p w14:paraId="44D6895C" w14:textId="77777777" w:rsidR="00C045C1" w:rsidRDefault="00C045C1" w:rsidP="00C045C1">
            <w:pPr>
              <w:pStyle w:val="TableText"/>
              <w:rPr>
                <w:rFonts w:eastAsia="Symbol"/>
              </w:rPr>
            </w:pPr>
            <w:r>
              <w:t>No</w:t>
            </w:r>
          </w:p>
        </w:tc>
        <w:tc>
          <w:tcPr>
            <w:tcW w:w="1530" w:type="dxa"/>
          </w:tcPr>
          <w:p w14:paraId="7560572D" w14:textId="77777777" w:rsidR="00C045C1" w:rsidRDefault="00C045C1" w:rsidP="00C045C1">
            <w:pPr>
              <w:pStyle w:val="TableText"/>
              <w:rPr>
                <w:rFonts w:eastAsia="Symbol"/>
              </w:rPr>
            </w:pPr>
            <w:r>
              <w:rPr>
                <w:rFonts w:eastAsia="Symbol"/>
              </w:rPr>
              <w:t>Yes</w:t>
            </w:r>
          </w:p>
        </w:tc>
      </w:tr>
      <w:tr w:rsidR="00C045C1" w14:paraId="4E5BEB3F" w14:textId="77777777" w:rsidTr="006F58C9">
        <w:trPr>
          <w:cantSplit/>
        </w:trPr>
        <w:tc>
          <w:tcPr>
            <w:tcW w:w="3235" w:type="dxa"/>
          </w:tcPr>
          <w:p w14:paraId="0DC69190" w14:textId="77777777" w:rsidR="00C045C1" w:rsidRDefault="00C045C1" w:rsidP="00C045C1">
            <w:pPr>
              <w:pStyle w:val="TableText"/>
            </w:pPr>
            <w:r>
              <w:t>Released patient restriction</w:t>
            </w:r>
          </w:p>
        </w:tc>
        <w:tc>
          <w:tcPr>
            <w:tcW w:w="1710" w:type="dxa"/>
          </w:tcPr>
          <w:p w14:paraId="15CAEE6C" w14:textId="77777777" w:rsidR="00C045C1" w:rsidRDefault="00C045C1" w:rsidP="00C045C1">
            <w:pPr>
              <w:pStyle w:val="TableText"/>
            </w:pPr>
            <w:r>
              <w:rPr>
                <w:u w:val="single"/>
              </w:rPr>
              <w:t>&gt;</w:t>
            </w:r>
            <w:r>
              <w:t xml:space="preserve"> Enhanced Tech</w:t>
            </w:r>
          </w:p>
        </w:tc>
        <w:tc>
          <w:tcPr>
            <w:tcW w:w="2520" w:type="dxa"/>
          </w:tcPr>
          <w:p w14:paraId="2529660D" w14:textId="77777777" w:rsidR="00C045C1" w:rsidRDefault="00C045C1" w:rsidP="00C045C1">
            <w:pPr>
              <w:pStyle w:val="TableText"/>
            </w:pPr>
            <w:r>
              <w:t>Free Directed Donor</w:t>
            </w:r>
          </w:p>
        </w:tc>
        <w:tc>
          <w:tcPr>
            <w:tcW w:w="1417" w:type="dxa"/>
          </w:tcPr>
          <w:p w14:paraId="403CB8C5" w14:textId="77777777" w:rsidR="00C045C1" w:rsidRDefault="00C045C1" w:rsidP="00C045C1">
            <w:pPr>
              <w:pStyle w:val="TableText"/>
            </w:pPr>
            <w:r>
              <w:t>No</w:t>
            </w:r>
          </w:p>
        </w:tc>
        <w:tc>
          <w:tcPr>
            <w:tcW w:w="1530" w:type="dxa"/>
          </w:tcPr>
          <w:p w14:paraId="7489324F" w14:textId="77777777" w:rsidR="00C045C1" w:rsidRDefault="00C045C1" w:rsidP="00C045C1">
            <w:pPr>
              <w:pStyle w:val="TableText"/>
            </w:pPr>
            <w:r>
              <w:rPr>
                <w:rFonts w:eastAsia="Symbol"/>
              </w:rPr>
              <w:t>Yes</w:t>
            </w:r>
          </w:p>
        </w:tc>
      </w:tr>
      <w:tr w:rsidR="00C045C1" w14:paraId="2C36B1BE" w14:textId="77777777" w:rsidTr="006F58C9">
        <w:trPr>
          <w:cantSplit/>
        </w:trPr>
        <w:tc>
          <w:tcPr>
            <w:tcW w:w="3235" w:type="dxa"/>
          </w:tcPr>
          <w:p w14:paraId="375CB51E" w14:textId="77777777" w:rsidR="00C045C1" w:rsidRDefault="00C045C1" w:rsidP="00C045C1">
            <w:pPr>
              <w:pStyle w:val="TableText"/>
              <w:rPr>
                <w:rFonts w:eastAsia="Symbol"/>
              </w:rPr>
            </w:pPr>
            <w:r>
              <w:t>Retrospective update prior to last record update</w:t>
            </w:r>
          </w:p>
        </w:tc>
        <w:tc>
          <w:tcPr>
            <w:tcW w:w="1710" w:type="dxa"/>
          </w:tcPr>
          <w:p w14:paraId="7A9D0295" w14:textId="77777777" w:rsidR="00C045C1" w:rsidRDefault="00C045C1" w:rsidP="00C045C1">
            <w:pPr>
              <w:pStyle w:val="TableText"/>
              <w:rPr>
                <w:rFonts w:eastAsia="Symbol"/>
              </w:rPr>
            </w:pPr>
            <w:r>
              <w:rPr>
                <w:u w:val="single"/>
              </w:rPr>
              <w:t>&gt;</w:t>
            </w:r>
            <w:r>
              <w:t xml:space="preserve"> Lead Tech</w:t>
            </w:r>
          </w:p>
        </w:tc>
        <w:tc>
          <w:tcPr>
            <w:tcW w:w="2520" w:type="dxa"/>
          </w:tcPr>
          <w:p w14:paraId="7479014A" w14:textId="77777777" w:rsidR="00C045C1" w:rsidRDefault="00C045C1" w:rsidP="00C045C1">
            <w:pPr>
              <w:pStyle w:val="TableText"/>
              <w:rPr>
                <w:rFonts w:eastAsia="Symbol"/>
              </w:rPr>
            </w:pPr>
            <w:r>
              <w:rPr>
                <w:rFonts w:eastAsia="Symbol"/>
              </w:rPr>
              <w:t>Discard/Quarantine</w:t>
            </w:r>
          </w:p>
        </w:tc>
        <w:tc>
          <w:tcPr>
            <w:tcW w:w="1417" w:type="dxa"/>
          </w:tcPr>
          <w:p w14:paraId="61337B20" w14:textId="77777777" w:rsidR="00C045C1" w:rsidRDefault="00C045C1" w:rsidP="00C045C1">
            <w:pPr>
              <w:pStyle w:val="TableText"/>
              <w:rPr>
                <w:rFonts w:eastAsia="Symbol"/>
              </w:rPr>
            </w:pPr>
            <w:r>
              <w:rPr>
                <w:rFonts w:eastAsia="Symbol"/>
              </w:rPr>
              <w:t>Yes</w:t>
            </w:r>
          </w:p>
        </w:tc>
        <w:tc>
          <w:tcPr>
            <w:tcW w:w="1530" w:type="dxa"/>
          </w:tcPr>
          <w:p w14:paraId="0F077596" w14:textId="77777777" w:rsidR="00C045C1" w:rsidRDefault="00C045C1" w:rsidP="00C045C1">
            <w:pPr>
              <w:pStyle w:val="TableText"/>
              <w:rPr>
                <w:rFonts w:eastAsia="Symbol"/>
              </w:rPr>
            </w:pPr>
            <w:r>
              <w:t>No</w:t>
            </w:r>
          </w:p>
        </w:tc>
      </w:tr>
      <w:tr w:rsidR="00C045C1" w14:paraId="3C2B642E" w14:textId="77777777" w:rsidTr="006F58C9">
        <w:trPr>
          <w:cantSplit/>
        </w:trPr>
        <w:tc>
          <w:tcPr>
            <w:tcW w:w="3235" w:type="dxa"/>
          </w:tcPr>
          <w:p w14:paraId="494D8CFB" w14:textId="77777777" w:rsidR="00C045C1" w:rsidRDefault="00C045C1" w:rsidP="00C045C1">
            <w:pPr>
              <w:pStyle w:val="TableText"/>
            </w:pPr>
            <w:r>
              <w:t xml:space="preserve">Rh positive units selected </w:t>
            </w:r>
          </w:p>
        </w:tc>
        <w:tc>
          <w:tcPr>
            <w:tcW w:w="1710" w:type="dxa"/>
          </w:tcPr>
          <w:p w14:paraId="3F26538C" w14:textId="77777777" w:rsidR="00C045C1" w:rsidRDefault="00C045C1" w:rsidP="00C045C1">
            <w:pPr>
              <w:pStyle w:val="TableText"/>
            </w:pPr>
            <w:r>
              <w:rPr>
                <w:rFonts w:eastAsia="Symbol"/>
              </w:rPr>
              <w:t>All</w:t>
            </w:r>
          </w:p>
        </w:tc>
        <w:tc>
          <w:tcPr>
            <w:tcW w:w="2520" w:type="dxa"/>
          </w:tcPr>
          <w:p w14:paraId="3C5FFDF2" w14:textId="77777777" w:rsidR="00C045C1" w:rsidRDefault="00C045C1" w:rsidP="00C045C1">
            <w:pPr>
              <w:pStyle w:val="TableText"/>
            </w:pPr>
            <w:r>
              <w:t>Select Units</w:t>
            </w:r>
          </w:p>
        </w:tc>
        <w:tc>
          <w:tcPr>
            <w:tcW w:w="1417" w:type="dxa"/>
          </w:tcPr>
          <w:p w14:paraId="499E0FD2" w14:textId="77777777" w:rsidR="00C045C1" w:rsidRDefault="00C045C1" w:rsidP="00C045C1">
            <w:pPr>
              <w:pStyle w:val="TableText"/>
            </w:pPr>
            <w:r>
              <w:t>No</w:t>
            </w:r>
          </w:p>
        </w:tc>
        <w:tc>
          <w:tcPr>
            <w:tcW w:w="1530" w:type="dxa"/>
          </w:tcPr>
          <w:p w14:paraId="4FD1BC23" w14:textId="77777777" w:rsidR="00C045C1" w:rsidRDefault="00C045C1" w:rsidP="00C045C1">
            <w:pPr>
              <w:pStyle w:val="TableText"/>
            </w:pPr>
            <w:r>
              <w:rPr>
                <w:rFonts w:eastAsia="Symbol"/>
              </w:rPr>
              <w:t>Yes</w:t>
            </w:r>
          </w:p>
        </w:tc>
      </w:tr>
      <w:tr w:rsidR="00C045C1" w14:paraId="4C217957" w14:textId="77777777" w:rsidTr="006F58C9">
        <w:trPr>
          <w:cantSplit/>
        </w:trPr>
        <w:tc>
          <w:tcPr>
            <w:tcW w:w="3235" w:type="dxa"/>
          </w:tcPr>
          <w:p w14:paraId="67AF0DE7" w14:textId="77777777" w:rsidR="00C045C1" w:rsidRDefault="00C045C1" w:rsidP="00C045C1">
            <w:pPr>
              <w:pStyle w:val="TableText"/>
              <w:rPr>
                <w:rFonts w:eastAsia="Symbol"/>
              </w:rPr>
            </w:pPr>
            <w:r>
              <w:t>Specimen expiration date extended</w:t>
            </w:r>
          </w:p>
        </w:tc>
        <w:tc>
          <w:tcPr>
            <w:tcW w:w="1710" w:type="dxa"/>
          </w:tcPr>
          <w:p w14:paraId="41B544EA" w14:textId="77777777" w:rsidR="00C045C1" w:rsidRDefault="00C045C1" w:rsidP="00C045C1">
            <w:pPr>
              <w:pStyle w:val="TableText"/>
              <w:rPr>
                <w:rFonts w:eastAsia="Symbol"/>
              </w:rPr>
            </w:pPr>
            <w:r>
              <w:rPr>
                <w:rFonts w:eastAsia="Symbol"/>
              </w:rPr>
              <w:t>All</w:t>
            </w:r>
          </w:p>
        </w:tc>
        <w:tc>
          <w:tcPr>
            <w:tcW w:w="2520" w:type="dxa"/>
          </w:tcPr>
          <w:p w14:paraId="6221915C" w14:textId="77777777" w:rsidR="00C045C1" w:rsidRDefault="00C045C1" w:rsidP="00C045C1">
            <w:pPr>
              <w:pStyle w:val="TableText"/>
              <w:rPr>
                <w:rFonts w:eastAsia="Symbol"/>
              </w:rPr>
            </w:pPr>
            <w:r>
              <w:rPr>
                <w:rFonts w:eastAsia="Symbol"/>
              </w:rPr>
              <w:t>Maintain Specimen</w:t>
            </w:r>
          </w:p>
        </w:tc>
        <w:tc>
          <w:tcPr>
            <w:tcW w:w="1417" w:type="dxa"/>
          </w:tcPr>
          <w:p w14:paraId="3CD253C8" w14:textId="77777777" w:rsidR="00C045C1" w:rsidRDefault="00C045C1" w:rsidP="00C045C1">
            <w:pPr>
              <w:pStyle w:val="TableText"/>
              <w:rPr>
                <w:rFonts w:eastAsia="Symbol"/>
              </w:rPr>
            </w:pPr>
            <w:r>
              <w:t>No</w:t>
            </w:r>
          </w:p>
        </w:tc>
        <w:tc>
          <w:tcPr>
            <w:tcW w:w="1530" w:type="dxa"/>
          </w:tcPr>
          <w:p w14:paraId="6BE505EE" w14:textId="77777777" w:rsidR="00C045C1" w:rsidRDefault="00C045C1" w:rsidP="00C045C1">
            <w:pPr>
              <w:pStyle w:val="TableText"/>
              <w:rPr>
                <w:rFonts w:eastAsia="Symbol"/>
              </w:rPr>
            </w:pPr>
            <w:r>
              <w:rPr>
                <w:rFonts w:eastAsia="Symbol"/>
              </w:rPr>
              <w:t>Yes</w:t>
            </w:r>
          </w:p>
        </w:tc>
      </w:tr>
      <w:tr w:rsidR="00C045C1" w14:paraId="1F60F710" w14:textId="77777777" w:rsidTr="006F58C9">
        <w:trPr>
          <w:cantSplit/>
        </w:trPr>
        <w:tc>
          <w:tcPr>
            <w:tcW w:w="3235" w:type="dxa"/>
          </w:tcPr>
          <w:p w14:paraId="3B38DE70" w14:textId="77777777" w:rsidR="00C045C1" w:rsidRDefault="00C045C1" w:rsidP="00C045C1">
            <w:pPr>
              <w:pStyle w:val="TableText"/>
              <w:rPr>
                <w:rFonts w:eastAsia="Symbol"/>
              </w:rPr>
            </w:pPr>
            <w:r>
              <w:t>Target product label failed checks</w:t>
            </w:r>
          </w:p>
        </w:tc>
        <w:tc>
          <w:tcPr>
            <w:tcW w:w="1710" w:type="dxa"/>
          </w:tcPr>
          <w:p w14:paraId="0FBA54BE" w14:textId="77777777" w:rsidR="00C045C1" w:rsidRDefault="00C045C1" w:rsidP="00C045C1">
            <w:pPr>
              <w:pStyle w:val="TableText"/>
              <w:rPr>
                <w:rFonts w:eastAsia="Symbol"/>
              </w:rPr>
            </w:pPr>
            <w:r>
              <w:rPr>
                <w:rFonts w:eastAsia="Symbol"/>
              </w:rPr>
              <w:t>All</w:t>
            </w:r>
          </w:p>
        </w:tc>
        <w:tc>
          <w:tcPr>
            <w:tcW w:w="2520" w:type="dxa"/>
          </w:tcPr>
          <w:p w14:paraId="7A51BFA2" w14:textId="77777777" w:rsidR="00C045C1" w:rsidRDefault="00C045C1" w:rsidP="00C045C1">
            <w:pPr>
              <w:pStyle w:val="TableText"/>
              <w:rPr>
                <w:rFonts w:eastAsia="Symbol"/>
              </w:rPr>
            </w:pPr>
            <w:r>
              <w:rPr>
                <w:rFonts w:eastAsia="Symbol"/>
              </w:rPr>
              <w:t>All modification processes</w:t>
            </w:r>
          </w:p>
        </w:tc>
        <w:tc>
          <w:tcPr>
            <w:tcW w:w="1417" w:type="dxa"/>
          </w:tcPr>
          <w:p w14:paraId="2D31960D" w14:textId="77777777" w:rsidR="00C045C1" w:rsidRDefault="00C045C1" w:rsidP="00C045C1">
            <w:pPr>
              <w:pStyle w:val="TableText"/>
              <w:rPr>
                <w:rFonts w:eastAsia="Symbol"/>
              </w:rPr>
            </w:pPr>
            <w:r>
              <w:t>Yes</w:t>
            </w:r>
          </w:p>
        </w:tc>
        <w:tc>
          <w:tcPr>
            <w:tcW w:w="1530" w:type="dxa"/>
          </w:tcPr>
          <w:p w14:paraId="62562F49" w14:textId="77777777" w:rsidR="00C045C1" w:rsidRDefault="00C045C1" w:rsidP="00C045C1">
            <w:pPr>
              <w:pStyle w:val="TableText"/>
              <w:rPr>
                <w:rFonts w:eastAsia="Symbol"/>
              </w:rPr>
            </w:pPr>
            <w:r>
              <w:t>No</w:t>
            </w:r>
          </w:p>
        </w:tc>
      </w:tr>
      <w:tr w:rsidR="00C045C1" w14:paraId="29BCDB36" w14:textId="77777777" w:rsidTr="006F58C9">
        <w:trPr>
          <w:cantSplit/>
        </w:trPr>
        <w:tc>
          <w:tcPr>
            <w:tcW w:w="3235" w:type="dxa"/>
          </w:tcPr>
          <w:p w14:paraId="65F2D7BC" w14:textId="77777777" w:rsidR="00C045C1" w:rsidRDefault="00C045C1" w:rsidP="00C045C1">
            <w:pPr>
              <w:pStyle w:val="TableText"/>
              <w:rPr>
                <w:rFonts w:eastAsia="Symbol"/>
              </w:rPr>
            </w:pPr>
            <w:r>
              <w:t>Target product outdate extended</w:t>
            </w:r>
          </w:p>
        </w:tc>
        <w:tc>
          <w:tcPr>
            <w:tcW w:w="1710" w:type="dxa"/>
          </w:tcPr>
          <w:p w14:paraId="304B269B" w14:textId="77777777" w:rsidR="00C045C1" w:rsidRDefault="00C045C1" w:rsidP="00C045C1">
            <w:pPr>
              <w:pStyle w:val="TableText"/>
              <w:rPr>
                <w:rFonts w:eastAsia="Symbol"/>
              </w:rPr>
            </w:pPr>
            <w:r>
              <w:rPr>
                <w:u w:val="single"/>
              </w:rPr>
              <w:t>&gt;</w:t>
            </w:r>
            <w:r>
              <w:t xml:space="preserve"> Enhanced Tech</w:t>
            </w:r>
          </w:p>
        </w:tc>
        <w:tc>
          <w:tcPr>
            <w:tcW w:w="2520" w:type="dxa"/>
          </w:tcPr>
          <w:p w14:paraId="4E14E3F2" w14:textId="77777777" w:rsidR="00C045C1" w:rsidRDefault="00C045C1" w:rsidP="00C045C1">
            <w:pPr>
              <w:pStyle w:val="TableText"/>
              <w:rPr>
                <w:rFonts w:eastAsia="Symbol"/>
              </w:rPr>
            </w:pPr>
            <w:r>
              <w:rPr>
                <w:rFonts w:eastAsia="Symbol"/>
              </w:rPr>
              <w:t>All modification processes</w:t>
            </w:r>
          </w:p>
        </w:tc>
        <w:tc>
          <w:tcPr>
            <w:tcW w:w="1417" w:type="dxa"/>
          </w:tcPr>
          <w:p w14:paraId="12799A60" w14:textId="77777777" w:rsidR="00C045C1" w:rsidRDefault="00C045C1" w:rsidP="00C045C1">
            <w:pPr>
              <w:pStyle w:val="TableText"/>
              <w:rPr>
                <w:rFonts w:eastAsia="Symbol"/>
              </w:rPr>
            </w:pPr>
            <w:r>
              <w:t>Yes</w:t>
            </w:r>
          </w:p>
        </w:tc>
        <w:tc>
          <w:tcPr>
            <w:tcW w:w="1530" w:type="dxa"/>
          </w:tcPr>
          <w:p w14:paraId="5E241816" w14:textId="77777777" w:rsidR="00C045C1" w:rsidRDefault="00C045C1" w:rsidP="00C045C1">
            <w:pPr>
              <w:pStyle w:val="TableText"/>
              <w:rPr>
                <w:rFonts w:eastAsia="Symbol"/>
              </w:rPr>
            </w:pPr>
            <w:r>
              <w:t>No</w:t>
            </w:r>
          </w:p>
        </w:tc>
      </w:tr>
      <w:tr w:rsidR="00C045C1" w14:paraId="5B547CA4" w14:textId="77777777" w:rsidTr="006F58C9">
        <w:trPr>
          <w:cantSplit/>
        </w:trPr>
        <w:tc>
          <w:tcPr>
            <w:tcW w:w="3235" w:type="dxa"/>
          </w:tcPr>
          <w:p w14:paraId="4D326A94" w14:textId="77777777" w:rsidR="00C045C1" w:rsidRDefault="00C045C1" w:rsidP="00C045C1">
            <w:pPr>
              <w:pStyle w:val="TableText"/>
            </w:pPr>
            <w:r>
              <w:t>Transfusion Reaction Workup</w:t>
            </w:r>
          </w:p>
        </w:tc>
        <w:tc>
          <w:tcPr>
            <w:tcW w:w="1710" w:type="dxa"/>
          </w:tcPr>
          <w:p w14:paraId="222F7FF1" w14:textId="77777777" w:rsidR="00C045C1" w:rsidRDefault="00C045C1" w:rsidP="00C045C1">
            <w:pPr>
              <w:pStyle w:val="TableText"/>
            </w:pPr>
            <w:r>
              <w:rPr>
                <w:rFonts w:eastAsia="Symbol"/>
              </w:rPr>
              <w:t>All</w:t>
            </w:r>
          </w:p>
        </w:tc>
        <w:tc>
          <w:tcPr>
            <w:tcW w:w="2520" w:type="dxa"/>
          </w:tcPr>
          <w:p w14:paraId="134C01AB" w14:textId="77777777" w:rsidR="00C045C1" w:rsidRDefault="00C045C1" w:rsidP="00C045C1">
            <w:pPr>
              <w:pStyle w:val="TableText"/>
            </w:pPr>
            <w:r>
              <w:t>Transfusion Reaction Workup</w:t>
            </w:r>
          </w:p>
        </w:tc>
        <w:tc>
          <w:tcPr>
            <w:tcW w:w="1417" w:type="dxa"/>
          </w:tcPr>
          <w:p w14:paraId="65E8AAAD" w14:textId="77777777" w:rsidR="00C045C1" w:rsidRDefault="00C045C1" w:rsidP="00C045C1">
            <w:pPr>
              <w:pStyle w:val="TableText"/>
              <w:rPr>
                <w:rFonts w:eastAsia="Symbol"/>
              </w:rPr>
            </w:pPr>
            <w:r>
              <w:t>No</w:t>
            </w:r>
          </w:p>
        </w:tc>
        <w:tc>
          <w:tcPr>
            <w:tcW w:w="1530" w:type="dxa"/>
          </w:tcPr>
          <w:p w14:paraId="29E89979" w14:textId="77777777" w:rsidR="00C045C1" w:rsidRDefault="00C045C1" w:rsidP="00C045C1">
            <w:pPr>
              <w:pStyle w:val="TableText"/>
              <w:rPr>
                <w:rFonts w:eastAsia="Symbol"/>
              </w:rPr>
            </w:pPr>
            <w:r>
              <w:rPr>
                <w:rFonts w:eastAsia="Symbol"/>
              </w:rPr>
              <w:t>Yes</w:t>
            </w:r>
          </w:p>
        </w:tc>
      </w:tr>
      <w:tr w:rsidR="00C045C1" w14:paraId="41E9029E" w14:textId="77777777" w:rsidTr="006F58C9">
        <w:trPr>
          <w:cantSplit/>
        </w:trPr>
        <w:tc>
          <w:tcPr>
            <w:tcW w:w="3235" w:type="dxa"/>
          </w:tcPr>
          <w:p w14:paraId="533E7692" w14:textId="77777777" w:rsidR="00C045C1" w:rsidRDefault="00C045C1" w:rsidP="00C045C1">
            <w:pPr>
              <w:pStyle w:val="TableText"/>
              <w:rPr>
                <w:rFonts w:eastAsia="Symbol"/>
              </w:rPr>
            </w:pPr>
            <w:r>
              <w:t>Transfusion Requirement incompatible unit selected</w:t>
            </w:r>
          </w:p>
        </w:tc>
        <w:tc>
          <w:tcPr>
            <w:tcW w:w="1710" w:type="dxa"/>
          </w:tcPr>
          <w:p w14:paraId="1E579476" w14:textId="77777777" w:rsidR="00C045C1" w:rsidRDefault="00C045C1" w:rsidP="00C045C1">
            <w:pPr>
              <w:pStyle w:val="TableText"/>
              <w:rPr>
                <w:rFonts w:eastAsia="Symbol"/>
              </w:rPr>
            </w:pPr>
            <w:r>
              <w:rPr>
                <w:u w:val="single"/>
              </w:rPr>
              <w:t>&gt;</w:t>
            </w:r>
            <w:r>
              <w:t xml:space="preserve"> Lead Tech</w:t>
            </w:r>
          </w:p>
        </w:tc>
        <w:tc>
          <w:tcPr>
            <w:tcW w:w="2520" w:type="dxa"/>
          </w:tcPr>
          <w:p w14:paraId="20E7290B" w14:textId="77777777" w:rsidR="00C045C1" w:rsidRDefault="00C045C1" w:rsidP="00C045C1">
            <w:pPr>
              <w:pStyle w:val="TableText"/>
              <w:rPr>
                <w:rFonts w:eastAsia="Symbol"/>
              </w:rPr>
            </w:pPr>
            <w:r>
              <w:rPr>
                <w:rFonts w:eastAsia="Symbol"/>
              </w:rPr>
              <w:t>Select Unit</w:t>
            </w:r>
          </w:p>
        </w:tc>
        <w:tc>
          <w:tcPr>
            <w:tcW w:w="1417" w:type="dxa"/>
          </w:tcPr>
          <w:p w14:paraId="5F1E4AFC" w14:textId="77777777" w:rsidR="00C045C1" w:rsidRDefault="00C045C1" w:rsidP="00C045C1">
            <w:pPr>
              <w:pStyle w:val="TableText"/>
              <w:rPr>
                <w:rFonts w:eastAsia="Symbol"/>
              </w:rPr>
            </w:pPr>
            <w:r>
              <w:t>No</w:t>
            </w:r>
          </w:p>
        </w:tc>
        <w:tc>
          <w:tcPr>
            <w:tcW w:w="1530" w:type="dxa"/>
          </w:tcPr>
          <w:p w14:paraId="282F8409" w14:textId="77777777" w:rsidR="00C045C1" w:rsidRDefault="00C045C1" w:rsidP="00C045C1">
            <w:pPr>
              <w:pStyle w:val="TableText"/>
              <w:rPr>
                <w:rFonts w:eastAsia="Symbol"/>
              </w:rPr>
            </w:pPr>
            <w:r>
              <w:rPr>
                <w:rFonts w:eastAsia="Symbol"/>
              </w:rPr>
              <w:t>Yes</w:t>
            </w:r>
          </w:p>
        </w:tc>
      </w:tr>
      <w:tr w:rsidR="00C045C1" w14:paraId="08710EC3" w14:textId="77777777" w:rsidTr="006F58C9">
        <w:trPr>
          <w:cantSplit/>
        </w:trPr>
        <w:tc>
          <w:tcPr>
            <w:tcW w:w="3235" w:type="dxa"/>
          </w:tcPr>
          <w:p w14:paraId="23164DD4" w14:textId="77777777" w:rsidR="00C045C1" w:rsidRDefault="00C045C1" w:rsidP="00C045C1">
            <w:pPr>
              <w:pStyle w:val="TableText"/>
              <w:rPr>
                <w:rFonts w:eastAsia="Symbol"/>
              </w:rPr>
            </w:pPr>
            <w:r>
              <w:t>Unacceptable/expired specimen used</w:t>
            </w:r>
          </w:p>
        </w:tc>
        <w:tc>
          <w:tcPr>
            <w:tcW w:w="1710" w:type="dxa"/>
          </w:tcPr>
          <w:p w14:paraId="29B47D1B" w14:textId="77777777" w:rsidR="00C045C1" w:rsidRDefault="00C045C1" w:rsidP="00C045C1">
            <w:pPr>
              <w:pStyle w:val="TableText"/>
              <w:rPr>
                <w:rFonts w:eastAsia="Symbol"/>
              </w:rPr>
            </w:pPr>
            <w:r>
              <w:rPr>
                <w:rFonts w:eastAsia="Symbol"/>
              </w:rPr>
              <w:t>All</w:t>
            </w:r>
          </w:p>
        </w:tc>
        <w:tc>
          <w:tcPr>
            <w:tcW w:w="2520" w:type="dxa"/>
          </w:tcPr>
          <w:p w14:paraId="0C304C67" w14:textId="77777777" w:rsidR="00C045C1" w:rsidRDefault="00C045C1" w:rsidP="00C045C1">
            <w:pPr>
              <w:pStyle w:val="TableText"/>
              <w:rPr>
                <w:rFonts w:eastAsia="Symbol"/>
              </w:rPr>
            </w:pPr>
            <w:r>
              <w:rPr>
                <w:rFonts w:eastAsia="Symbol"/>
              </w:rPr>
              <w:t>Patient Testing</w:t>
            </w:r>
          </w:p>
        </w:tc>
        <w:tc>
          <w:tcPr>
            <w:tcW w:w="1417" w:type="dxa"/>
          </w:tcPr>
          <w:p w14:paraId="33EFCBDB" w14:textId="77777777" w:rsidR="00C045C1" w:rsidRDefault="00C045C1" w:rsidP="00C045C1">
            <w:pPr>
              <w:pStyle w:val="TableText"/>
              <w:rPr>
                <w:rFonts w:eastAsia="Symbol"/>
              </w:rPr>
            </w:pPr>
            <w:r>
              <w:t>No</w:t>
            </w:r>
          </w:p>
        </w:tc>
        <w:tc>
          <w:tcPr>
            <w:tcW w:w="1530" w:type="dxa"/>
          </w:tcPr>
          <w:p w14:paraId="116C727E" w14:textId="77777777" w:rsidR="00C045C1" w:rsidRDefault="00C045C1" w:rsidP="00C045C1">
            <w:pPr>
              <w:pStyle w:val="TableText"/>
              <w:rPr>
                <w:rFonts w:eastAsia="Symbol"/>
              </w:rPr>
            </w:pPr>
            <w:r>
              <w:rPr>
                <w:rFonts w:eastAsia="Symbol"/>
              </w:rPr>
              <w:t>Yes</w:t>
            </w:r>
          </w:p>
        </w:tc>
      </w:tr>
      <w:tr w:rsidR="00C045C1" w14:paraId="70475577" w14:textId="77777777" w:rsidTr="006F58C9">
        <w:trPr>
          <w:cantSplit/>
        </w:trPr>
        <w:tc>
          <w:tcPr>
            <w:tcW w:w="3235" w:type="dxa"/>
          </w:tcPr>
          <w:p w14:paraId="74501126" w14:textId="77777777" w:rsidR="00C045C1" w:rsidRDefault="00C045C1" w:rsidP="00C045C1">
            <w:pPr>
              <w:pStyle w:val="TableText"/>
              <w:rPr>
                <w:rFonts w:eastAsia="Symbol"/>
              </w:rPr>
            </w:pPr>
            <w:r>
              <w:t>Unit ABO/Rh confirmation inconclusive, unit quarantined</w:t>
            </w:r>
          </w:p>
        </w:tc>
        <w:tc>
          <w:tcPr>
            <w:tcW w:w="1710" w:type="dxa"/>
          </w:tcPr>
          <w:p w14:paraId="3EAED57E" w14:textId="77777777" w:rsidR="00C045C1" w:rsidRDefault="00C045C1" w:rsidP="00C045C1">
            <w:pPr>
              <w:pStyle w:val="TableText"/>
              <w:rPr>
                <w:rFonts w:eastAsia="Symbol"/>
              </w:rPr>
            </w:pPr>
            <w:r>
              <w:rPr>
                <w:rFonts w:eastAsia="Symbol"/>
              </w:rPr>
              <w:t>All</w:t>
            </w:r>
          </w:p>
        </w:tc>
        <w:tc>
          <w:tcPr>
            <w:tcW w:w="2520" w:type="dxa"/>
          </w:tcPr>
          <w:p w14:paraId="544111D2" w14:textId="77777777" w:rsidR="00C045C1" w:rsidRDefault="00C045C1" w:rsidP="00C045C1">
            <w:pPr>
              <w:pStyle w:val="TableText"/>
              <w:rPr>
                <w:rFonts w:eastAsia="Symbol"/>
              </w:rPr>
            </w:pPr>
            <w:r>
              <w:rPr>
                <w:rFonts w:eastAsia="Symbol"/>
              </w:rPr>
              <w:t>ABO/Rh Confirmation</w:t>
            </w:r>
          </w:p>
        </w:tc>
        <w:tc>
          <w:tcPr>
            <w:tcW w:w="1417" w:type="dxa"/>
          </w:tcPr>
          <w:p w14:paraId="5F559754" w14:textId="77777777" w:rsidR="00C045C1" w:rsidRDefault="00C045C1" w:rsidP="00C045C1">
            <w:pPr>
              <w:pStyle w:val="TableText"/>
              <w:rPr>
                <w:rFonts w:eastAsia="Symbol"/>
              </w:rPr>
            </w:pPr>
            <w:r>
              <w:t>Yes</w:t>
            </w:r>
          </w:p>
        </w:tc>
        <w:tc>
          <w:tcPr>
            <w:tcW w:w="1530" w:type="dxa"/>
          </w:tcPr>
          <w:p w14:paraId="719B5CE3" w14:textId="77777777" w:rsidR="00C045C1" w:rsidRDefault="00C045C1" w:rsidP="00C045C1">
            <w:pPr>
              <w:pStyle w:val="TableText"/>
              <w:rPr>
                <w:rFonts w:eastAsia="Symbol"/>
              </w:rPr>
            </w:pPr>
            <w:r>
              <w:t>No</w:t>
            </w:r>
          </w:p>
        </w:tc>
      </w:tr>
      <w:tr w:rsidR="00C045C1" w14:paraId="7EAFA872" w14:textId="77777777" w:rsidTr="006F58C9">
        <w:trPr>
          <w:cantSplit/>
        </w:trPr>
        <w:tc>
          <w:tcPr>
            <w:tcW w:w="3235" w:type="dxa"/>
          </w:tcPr>
          <w:p w14:paraId="7BA6B0BC" w14:textId="77777777" w:rsidR="00C045C1" w:rsidRDefault="00C045C1" w:rsidP="00C045C1">
            <w:pPr>
              <w:pStyle w:val="TableText"/>
              <w:rPr>
                <w:rFonts w:eastAsia="Symbol"/>
              </w:rPr>
            </w:pPr>
            <w:r>
              <w:t>Unit ABO/Rh log-in vs. confirmation do not match, unit quarantined</w:t>
            </w:r>
          </w:p>
        </w:tc>
        <w:tc>
          <w:tcPr>
            <w:tcW w:w="1710" w:type="dxa"/>
          </w:tcPr>
          <w:p w14:paraId="44D71BE6" w14:textId="77777777" w:rsidR="00C045C1" w:rsidRDefault="00C045C1" w:rsidP="00C045C1">
            <w:pPr>
              <w:pStyle w:val="TableText"/>
              <w:rPr>
                <w:rFonts w:eastAsia="Symbol"/>
              </w:rPr>
            </w:pPr>
            <w:r>
              <w:rPr>
                <w:rFonts w:eastAsia="Symbol"/>
              </w:rPr>
              <w:t>All</w:t>
            </w:r>
          </w:p>
        </w:tc>
        <w:tc>
          <w:tcPr>
            <w:tcW w:w="2520" w:type="dxa"/>
          </w:tcPr>
          <w:p w14:paraId="0B562D49" w14:textId="77777777" w:rsidR="00C045C1" w:rsidRDefault="00C045C1" w:rsidP="00C045C1">
            <w:pPr>
              <w:pStyle w:val="TableText"/>
              <w:rPr>
                <w:rFonts w:eastAsia="Symbol"/>
              </w:rPr>
            </w:pPr>
            <w:r>
              <w:rPr>
                <w:rFonts w:eastAsia="Symbol"/>
              </w:rPr>
              <w:t>ABO/Rh Confirmation</w:t>
            </w:r>
          </w:p>
        </w:tc>
        <w:tc>
          <w:tcPr>
            <w:tcW w:w="1417" w:type="dxa"/>
          </w:tcPr>
          <w:p w14:paraId="0413FE20" w14:textId="77777777" w:rsidR="00C045C1" w:rsidRDefault="00C045C1" w:rsidP="00C045C1">
            <w:pPr>
              <w:pStyle w:val="TableText"/>
              <w:rPr>
                <w:rFonts w:eastAsia="Symbol"/>
              </w:rPr>
            </w:pPr>
            <w:r>
              <w:t>Yes</w:t>
            </w:r>
          </w:p>
        </w:tc>
        <w:tc>
          <w:tcPr>
            <w:tcW w:w="1530" w:type="dxa"/>
          </w:tcPr>
          <w:p w14:paraId="0E08B25F" w14:textId="77777777" w:rsidR="00C045C1" w:rsidRDefault="00C045C1" w:rsidP="00C045C1">
            <w:pPr>
              <w:pStyle w:val="TableText"/>
              <w:rPr>
                <w:rFonts w:eastAsia="Symbol"/>
              </w:rPr>
            </w:pPr>
            <w:r>
              <w:t>No</w:t>
            </w:r>
          </w:p>
        </w:tc>
      </w:tr>
      <w:tr w:rsidR="00C045C1" w14:paraId="25CD5722" w14:textId="77777777" w:rsidTr="006F58C9">
        <w:trPr>
          <w:cantSplit/>
        </w:trPr>
        <w:tc>
          <w:tcPr>
            <w:tcW w:w="3235" w:type="dxa"/>
          </w:tcPr>
          <w:p w14:paraId="33DE17A0" w14:textId="77777777" w:rsidR="00C045C1" w:rsidRDefault="00C045C1" w:rsidP="00C045C1">
            <w:pPr>
              <w:pStyle w:val="TableText"/>
              <w:rPr>
                <w:rFonts w:eastAsia="Symbol"/>
              </w:rPr>
            </w:pPr>
            <w:r>
              <w:t>Unit discarded</w:t>
            </w:r>
          </w:p>
        </w:tc>
        <w:tc>
          <w:tcPr>
            <w:tcW w:w="1710" w:type="dxa"/>
          </w:tcPr>
          <w:p w14:paraId="6A3D127D" w14:textId="77777777" w:rsidR="00C045C1" w:rsidRDefault="00C045C1" w:rsidP="00C045C1">
            <w:pPr>
              <w:pStyle w:val="TableText"/>
              <w:rPr>
                <w:rFonts w:eastAsia="Symbol"/>
              </w:rPr>
            </w:pPr>
            <w:r>
              <w:rPr>
                <w:rFonts w:eastAsia="Symbol"/>
              </w:rPr>
              <w:t>All</w:t>
            </w:r>
          </w:p>
        </w:tc>
        <w:tc>
          <w:tcPr>
            <w:tcW w:w="2520" w:type="dxa"/>
          </w:tcPr>
          <w:p w14:paraId="43FB3C8C" w14:textId="77777777" w:rsidR="00C045C1" w:rsidRDefault="00C045C1" w:rsidP="00C045C1">
            <w:pPr>
              <w:pStyle w:val="TableText"/>
              <w:rPr>
                <w:rFonts w:eastAsia="Symbol"/>
              </w:rPr>
            </w:pPr>
            <w:r>
              <w:rPr>
                <w:rFonts w:eastAsia="Symbol"/>
              </w:rPr>
              <w:t>Discard</w:t>
            </w:r>
          </w:p>
        </w:tc>
        <w:tc>
          <w:tcPr>
            <w:tcW w:w="1417" w:type="dxa"/>
          </w:tcPr>
          <w:p w14:paraId="184E995C" w14:textId="77777777" w:rsidR="00C045C1" w:rsidRDefault="00C045C1" w:rsidP="00C045C1">
            <w:pPr>
              <w:pStyle w:val="TableText"/>
              <w:rPr>
                <w:rFonts w:eastAsia="Symbol"/>
              </w:rPr>
            </w:pPr>
            <w:r>
              <w:t>Yes</w:t>
            </w:r>
          </w:p>
        </w:tc>
        <w:tc>
          <w:tcPr>
            <w:tcW w:w="1530" w:type="dxa"/>
          </w:tcPr>
          <w:p w14:paraId="1A5E1160" w14:textId="77777777" w:rsidR="00C045C1" w:rsidRDefault="00C045C1" w:rsidP="00C045C1">
            <w:pPr>
              <w:pStyle w:val="TableText"/>
              <w:rPr>
                <w:rFonts w:eastAsia="Symbol"/>
              </w:rPr>
            </w:pPr>
            <w:r>
              <w:t>No</w:t>
            </w:r>
          </w:p>
        </w:tc>
      </w:tr>
      <w:tr w:rsidR="00C045C1" w14:paraId="46BFE4F6" w14:textId="77777777" w:rsidTr="006F58C9">
        <w:trPr>
          <w:cantSplit/>
        </w:trPr>
        <w:tc>
          <w:tcPr>
            <w:tcW w:w="3235" w:type="dxa"/>
          </w:tcPr>
          <w:p w14:paraId="51948339" w14:textId="39768F1C" w:rsidR="00C045C1" w:rsidRDefault="00C045C1" w:rsidP="00C045C1">
            <w:pPr>
              <w:pStyle w:val="TableText"/>
            </w:pPr>
            <w:r>
              <w:t>Unit issued, testing problem</w:t>
            </w:r>
          </w:p>
        </w:tc>
        <w:tc>
          <w:tcPr>
            <w:tcW w:w="1710" w:type="dxa"/>
          </w:tcPr>
          <w:p w14:paraId="497B13AC" w14:textId="77777777" w:rsidR="00C045C1" w:rsidRDefault="00C045C1" w:rsidP="00C045C1">
            <w:pPr>
              <w:pStyle w:val="TableText"/>
            </w:pPr>
            <w:r>
              <w:rPr>
                <w:rFonts w:eastAsia="Symbol"/>
              </w:rPr>
              <w:t>All</w:t>
            </w:r>
          </w:p>
        </w:tc>
        <w:tc>
          <w:tcPr>
            <w:tcW w:w="2520" w:type="dxa"/>
          </w:tcPr>
          <w:p w14:paraId="11AE91E4" w14:textId="77777777" w:rsidR="00C045C1" w:rsidRDefault="00C045C1" w:rsidP="00C045C1">
            <w:pPr>
              <w:pStyle w:val="TableText"/>
            </w:pPr>
            <w:r>
              <w:t>Patient testing, unit antigen typing</w:t>
            </w:r>
          </w:p>
        </w:tc>
        <w:tc>
          <w:tcPr>
            <w:tcW w:w="1417" w:type="dxa"/>
          </w:tcPr>
          <w:p w14:paraId="711F9A96" w14:textId="77777777" w:rsidR="00C045C1" w:rsidRDefault="00C045C1" w:rsidP="00C045C1">
            <w:pPr>
              <w:pStyle w:val="TableText"/>
              <w:rPr>
                <w:rFonts w:eastAsia="Symbol"/>
              </w:rPr>
            </w:pPr>
            <w:r>
              <w:t>No</w:t>
            </w:r>
          </w:p>
        </w:tc>
        <w:tc>
          <w:tcPr>
            <w:tcW w:w="1530" w:type="dxa"/>
          </w:tcPr>
          <w:p w14:paraId="647A66A0" w14:textId="77777777" w:rsidR="00C045C1" w:rsidRDefault="00C045C1" w:rsidP="00C045C1">
            <w:pPr>
              <w:pStyle w:val="TableText"/>
              <w:rPr>
                <w:rFonts w:eastAsia="Symbol"/>
              </w:rPr>
            </w:pPr>
            <w:r>
              <w:rPr>
                <w:rFonts w:eastAsia="Symbol"/>
              </w:rPr>
              <w:t>Yes</w:t>
            </w:r>
          </w:p>
        </w:tc>
      </w:tr>
      <w:tr w:rsidR="00C045C1" w14:paraId="70BCAF6A" w14:textId="77777777" w:rsidTr="006F58C9">
        <w:trPr>
          <w:cantSplit/>
        </w:trPr>
        <w:tc>
          <w:tcPr>
            <w:tcW w:w="3235" w:type="dxa"/>
          </w:tcPr>
          <w:p w14:paraId="4ABF8D3B" w14:textId="77777777" w:rsidR="00C045C1" w:rsidRDefault="00C045C1" w:rsidP="00C045C1">
            <w:pPr>
              <w:pStyle w:val="TableText"/>
            </w:pPr>
            <w:r>
              <w:t>Unit issued on expired specimen</w:t>
            </w:r>
          </w:p>
        </w:tc>
        <w:tc>
          <w:tcPr>
            <w:tcW w:w="1710" w:type="dxa"/>
          </w:tcPr>
          <w:p w14:paraId="3199DE6F" w14:textId="77777777" w:rsidR="00C045C1" w:rsidRDefault="00C045C1" w:rsidP="00C045C1">
            <w:pPr>
              <w:pStyle w:val="TableText"/>
            </w:pPr>
            <w:r>
              <w:rPr>
                <w:u w:val="single"/>
              </w:rPr>
              <w:t>&gt;</w:t>
            </w:r>
            <w:r>
              <w:t xml:space="preserve"> Enhanced Tech</w:t>
            </w:r>
          </w:p>
        </w:tc>
        <w:tc>
          <w:tcPr>
            <w:tcW w:w="2520" w:type="dxa"/>
          </w:tcPr>
          <w:p w14:paraId="76F72588" w14:textId="77777777" w:rsidR="00C045C1" w:rsidRDefault="00C045C1" w:rsidP="00C045C1">
            <w:pPr>
              <w:pStyle w:val="TableText"/>
            </w:pPr>
            <w:r>
              <w:t>Issue Unit</w:t>
            </w:r>
          </w:p>
        </w:tc>
        <w:tc>
          <w:tcPr>
            <w:tcW w:w="1417" w:type="dxa"/>
          </w:tcPr>
          <w:p w14:paraId="0267D11D" w14:textId="77777777" w:rsidR="00C045C1" w:rsidRDefault="00C045C1" w:rsidP="00C045C1">
            <w:pPr>
              <w:pStyle w:val="TableText"/>
            </w:pPr>
            <w:r>
              <w:t>No</w:t>
            </w:r>
          </w:p>
        </w:tc>
        <w:tc>
          <w:tcPr>
            <w:tcW w:w="1530" w:type="dxa"/>
          </w:tcPr>
          <w:p w14:paraId="63CDFF01" w14:textId="77777777" w:rsidR="00C045C1" w:rsidRDefault="00C045C1" w:rsidP="00C045C1">
            <w:pPr>
              <w:pStyle w:val="TableText"/>
            </w:pPr>
            <w:r>
              <w:rPr>
                <w:rFonts w:eastAsia="Symbol"/>
              </w:rPr>
              <w:t>Yes</w:t>
            </w:r>
          </w:p>
        </w:tc>
      </w:tr>
      <w:tr w:rsidR="00C045C1" w14:paraId="5DB5CDC7" w14:textId="77777777" w:rsidTr="006F58C9">
        <w:trPr>
          <w:cantSplit/>
        </w:trPr>
        <w:tc>
          <w:tcPr>
            <w:tcW w:w="3235" w:type="dxa"/>
          </w:tcPr>
          <w:p w14:paraId="11A2757D" w14:textId="77777777" w:rsidR="00C045C1" w:rsidRDefault="00C045C1" w:rsidP="00C045C1">
            <w:pPr>
              <w:pStyle w:val="TableText"/>
            </w:pPr>
            <w:r>
              <w:t>Unit issued with unsatisfied Transfusion Requirement</w:t>
            </w:r>
          </w:p>
        </w:tc>
        <w:tc>
          <w:tcPr>
            <w:tcW w:w="1710" w:type="dxa"/>
          </w:tcPr>
          <w:p w14:paraId="2081F92E" w14:textId="77777777" w:rsidR="00C045C1" w:rsidRDefault="00C045C1" w:rsidP="00C045C1">
            <w:pPr>
              <w:pStyle w:val="TableText"/>
            </w:pPr>
            <w:r>
              <w:rPr>
                <w:u w:val="single"/>
              </w:rPr>
              <w:t>&gt;</w:t>
            </w:r>
            <w:r>
              <w:t xml:space="preserve"> Lead Tech</w:t>
            </w:r>
          </w:p>
        </w:tc>
        <w:tc>
          <w:tcPr>
            <w:tcW w:w="2520" w:type="dxa"/>
          </w:tcPr>
          <w:p w14:paraId="3541191A" w14:textId="77777777" w:rsidR="00C045C1" w:rsidRDefault="00C045C1" w:rsidP="00C045C1">
            <w:pPr>
              <w:pStyle w:val="TableText"/>
            </w:pPr>
            <w:r>
              <w:t>Issue Unit</w:t>
            </w:r>
          </w:p>
        </w:tc>
        <w:tc>
          <w:tcPr>
            <w:tcW w:w="1417" w:type="dxa"/>
          </w:tcPr>
          <w:p w14:paraId="1D6CC78D" w14:textId="77777777" w:rsidR="00C045C1" w:rsidRDefault="00C045C1" w:rsidP="00C045C1">
            <w:pPr>
              <w:pStyle w:val="TableText"/>
            </w:pPr>
            <w:r>
              <w:t>No</w:t>
            </w:r>
          </w:p>
        </w:tc>
        <w:tc>
          <w:tcPr>
            <w:tcW w:w="1530" w:type="dxa"/>
          </w:tcPr>
          <w:p w14:paraId="71301C2D" w14:textId="77777777" w:rsidR="00C045C1" w:rsidRDefault="00C045C1" w:rsidP="00C045C1">
            <w:pPr>
              <w:pStyle w:val="TableText"/>
            </w:pPr>
            <w:r>
              <w:rPr>
                <w:rFonts w:eastAsia="Symbol"/>
              </w:rPr>
              <w:t>Yes</w:t>
            </w:r>
          </w:p>
        </w:tc>
      </w:tr>
      <w:tr w:rsidR="00C045C1" w14:paraId="01B0879D" w14:textId="77777777" w:rsidTr="006F58C9">
        <w:trPr>
          <w:cantSplit/>
        </w:trPr>
        <w:tc>
          <w:tcPr>
            <w:tcW w:w="3235" w:type="dxa"/>
          </w:tcPr>
          <w:p w14:paraId="22A426A2" w14:textId="77777777" w:rsidR="00C045C1" w:rsidRDefault="00C045C1" w:rsidP="00C045C1">
            <w:pPr>
              <w:pStyle w:val="TableText"/>
              <w:rPr>
                <w:rFonts w:eastAsia="Symbol"/>
              </w:rPr>
            </w:pPr>
            <w:r>
              <w:t>Unit quarantined</w:t>
            </w:r>
          </w:p>
        </w:tc>
        <w:tc>
          <w:tcPr>
            <w:tcW w:w="1710" w:type="dxa"/>
          </w:tcPr>
          <w:p w14:paraId="0E6AD871" w14:textId="77777777" w:rsidR="00C045C1" w:rsidRDefault="00C045C1" w:rsidP="00C045C1">
            <w:pPr>
              <w:pStyle w:val="TableText"/>
              <w:rPr>
                <w:rFonts w:eastAsia="Symbol"/>
              </w:rPr>
            </w:pPr>
            <w:r>
              <w:rPr>
                <w:rFonts w:eastAsia="Symbol"/>
              </w:rPr>
              <w:t>All</w:t>
            </w:r>
          </w:p>
        </w:tc>
        <w:tc>
          <w:tcPr>
            <w:tcW w:w="2520" w:type="dxa"/>
          </w:tcPr>
          <w:p w14:paraId="33FE1462" w14:textId="77777777" w:rsidR="00C045C1" w:rsidRDefault="00C045C1" w:rsidP="00C045C1">
            <w:pPr>
              <w:pStyle w:val="TableText"/>
              <w:rPr>
                <w:rFonts w:eastAsia="Symbol"/>
              </w:rPr>
            </w:pPr>
            <w:r>
              <w:rPr>
                <w:rFonts w:eastAsia="Symbol"/>
              </w:rPr>
              <w:t>Quarantine</w:t>
            </w:r>
          </w:p>
        </w:tc>
        <w:tc>
          <w:tcPr>
            <w:tcW w:w="1417" w:type="dxa"/>
          </w:tcPr>
          <w:p w14:paraId="3560C952" w14:textId="77777777" w:rsidR="00C045C1" w:rsidRDefault="00C045C1" w:rsidP="00C045C1">
            <w:pPr>
              <w:pStyle w:val="TableText"/>
              <w:rPr>
                <w:rFonts w:eastAsia="Symbol"/>
              </w:rPr>
            </w:pPr>
            <w:r>
              <w:t>Yes</w:t>
            </w:r>
          </w:p>
        </w:tc>
        <w:tc>
          <w:tcPr>
            <w:tcW w:w="1530" w:type="dxa"/>
          </w:tcPr>
          <w:p w14:paraId="5D1820D6" w14:textId="77777777" w:rsidR="00C045C1" w:rsidRDefault="00C045C1" w:rsidP="00C045C1">
            <w:pPr>
              <w:pStyle w:val="TableText"/>
              <w:rPr>
                <w:rFonts w:eastAsia="Symbol"/>
              </w:rPr>
            </w:pPr>
            <w:r>
              <w:t>No</w:t>
            </w:r>
          </w:p>
        </w:tc>
      </w:tr>
      <w:tr w:rsidR="00C045C1" w14:paraId="04677011" w14:textId="77777777" w:rsidTr="006F58C9">
        <w:trPr>
          <w:cantSplit/>
        </w:trPr>
        <w:tc>
          <w:tcPr>
            <w:tcW w:w="3235" w:type="dxa"/>
          </w:tcPr>
          <w:p w14:paraId="6C4F4BA7" w14:textId="77777777" w:rsidR="00C045C1" w:rsidRDefault="00C045C1" w:rsidP="00C045C1">
            <w:pPr>
              <w:pStyle w:val="TableText"/>
              <w:rPr>
                <w:rFonts w:eastAsia="Symbol"/>
              </w:rPr>
            </w:pPr>
            <w:r>
              <w:t>Unit released from quarantine</w:t>
            </w:r>
          </w:p>
        </w:tc>
        <w:tc>
          <w:tcPr>
            <w:tcW w:w="1710" w:type="dxa"/>
          </w:tcPr>
          <w:p w14:paraId="391639A9" w14:textId="77777777" w:rsidR="00C045C1" w:rsidRDefault="00C045C1" w:rsidP="00C045C1">
            <w:pPr>
              <w:pStyle w:val="TableText"/>
              <w:rPr>
                <w:rFonts w:eastAsia="Symbol"/>
              </w:rPr>
            </w:pPr>
            <w:r>
              <w:rPr>
                <w:u w:val="single"/>
              </w:rPr>
              <w:t>&gt;</w:t>
            </w:r>
            <w:r>
              <w:t xml:space="preserve"> Enhanced Tech</w:t>
            </w:r>
          </w:p>
        </w:tc>
        <w:tc>
          <w:tcPr>
            <w:tcW w:w="2520" w:type="dxa"/>
          </w:tcPr>
          <w:p w14:paraId="24AED9D8" w14:textId="77777777" w:rsidR="00C045C1" w:rsidRDefault="00C045C1" w:rsidP="00C045C1">
            <w:pPr>
              <w:pStyle w:val="TableText"/>
              <w:rPr>
                <w:rFonts w:eastAsia="Symbol"/>
              </w:rPr>
            </w:pPr>
            <w:r>
              <w:rPr>
                <w:rFonts w:eastAsia="Symbol"/>
              </w:rPr>
              <w:t>Release Unit from Quarantine</w:t>
            </w:r>
          </w:p>
        </w:tc>
        <w:tc>
          <w:tcPr>
            <w:tcW w:w="1417" w:type="dxa"/>
          </w:tcPr>
          <w:p w14:paraId="62E7F7F4" w14:textId="77777777" w:rsidR="00C045C1" w:rsidRDefault="00C045C1" w:rsidP="00C045C1">
            <w:pPr>
              <w:pStyle w:val="TableText"/>
              <w:rPr>
                <w:rFonts w:eastAsia="Symbol"/>
              </w:rPr>
            </w:pPr>
            <w:r>
              <w:t>Yes</w:t>
            </w:r>
          </w:p>
        </w:tc>
        <w:tc>
          <w:tcPr>
            <w:tcW w:w="1530" w:type="dxa"/>
          </w:tcPr>
          <w:p w14:paraId="7820263A" w14:textId="77777777" w:rsidR="00C045C1" w:rsidRDefault="00C045C1" w:rsidP="00C045C1">
            <w:pPr>
              <w:pStyle w:val="TableText"/>
              <w:rPr>
                <w:rFonts w:eastAsia="Symbol"/>
              </w:rPr>
            </w:pPr>
            <w:r>
              <w:t>No</w:t>
            </w:r>
          </w:p>
        </w:tc>
      </w:tr>
      <w:tr w:rsidR="00C045C1" w14:paraId="7F40F6B9" w14:textId="77777777" w:rsidTr="006F58C9">
        <w:trPr>
          <w:cantSplit/>
        </w:trPr>
        <w:tc>
          <w:tcPr>
            <w:tcW w:w="3235" w:type="dxa"/>
            <w:vMerge w:val="restart"/>
          </w:tcPr>
          <w:p w14:paraId="0F42EC5C" w14:textId="77777777" w:rsidR="00C045C1" w:rsidRDefault="00C045C1" w:rsidP="006F58C9">
            <w:pPr>
              <w:pStyle w:val="TableText"/>
              <w:keepNext/>
            </w:pPr>
            <w:r>
              <w:t>Unit unsatisfactory upon return from issue</w:t>
            </w:r>
          </w:p>
        </w:tc>
        <w:tc>
          <w:tcPr>
            <w:tcW w:w="1710" w:type="dxa"/>
            <w:vMerge w:val="restart"/>
          </w:tcPr>
          <w:p w14:paraId="15723108" w14:textId="77777777" w:rsidR="00C045C1" w:rsidRDefault="00C045C1" w:rsidP="006F58C9">
            <w:pPr>
              <w:pStyle w:val="TableText"/>
              <w:keepNext/>
            </w:pPr>
            <w:r>
              <w:rPr>
                <w:rFonts w:eastAsia="Symbol"/>
              </w:rPr>
              <w:t>All</w:t>
            </w:r>
          </w:p>
        </w:tc>
        <w:tc>
          <w:tcPr>
            <w:tcW w:w="2520" w:type="dxa"/>
            <w:vMerge w:val="restart"/>
          </w:tcPr>
          <w:p w14:paraId="58CFCECE" w14:textId="77777777" w:rsidR="00C045C1" w:rsidRDefault="00C045C1" w:rsidP="006F58C9">
            <w:pPr>
              <w:pStyle w:val="TableText"/>
              <w:keepNext/>
            </w:pPr>
            <w:r>
              <w:t>Return Issued Units to Blood Bank</w:t>
            </w:r>
          </w:p>
        </w:tc>
        <w:tc>
          <w:tcPr>
            <w:tcW w:w="1417" w:type="dxa"/>
          </w:tcPr>
          <w:p w14:paraId="373D98F1" w14:textId="77777777" w:rsidR="00C045C1" w:rsidRDefault="00C045C1" w:rsidP="006F58C9">
            <w:pPr>
              <w:pStyle w:val="TableText"/>
              <w:keepNext/>
            </w:pPr>
            <w:r>
              <w:rPr>
                <w:rFonts w:eastAsia="Symbol"/>
              </w:rPr>
              <w:t>Yes</w:t>
            </w:r>
            <w:r w:rsidR="00E31FC6">
              <w:rPr>
                <w:rFonts w:eastAsia="Symbol"/>
              </w:rPr>
              <w:t xml:space="preserve"> </w:t>
            </w:r>
            <w:r>
              <w:rPr>
                <w:rFonts w:eastAsia="Symbol"/>
                <w:vanish/>
                <w:szCs w:val="18"/>
              </w:rPr>
              <w:t xml:space="preserve"> BR_59.08 </w:t>
            </w:r>
            <w:r w:rsidRPr="00C4235F">
              <w:rPr>
                <w:rFonts w:eastAsia="Symbol"/>
                <w:szCs w:val="18"/>
              </w:rPr>
              <w:t>(quarantined)</w:t>
            </w:r>
          </w:p>
        </w:tc>
        <w:tc>
          <w:tcPr>
            <w:tcW w:w="1530" w:type="dxa"/>
          </w:tcPr>
          <w:p w14:paraId="512122CD" w14:textId="77777777" w:rsidR="00C045C1" w:rsidRDefault="00C045C1" w:rsidP="006F58C9">
            <w:pPr>
              <w:pStyle w:val="TableText"/>
              <w:keepNext/>
            </w:pPr>
            <w:r>
              <w:t>No</w:t>
            </w:r>
          </w:p>
        </w:tc>
      </w:tr>
      <w:tr w:rsidR="00C045C1" w14:paraId="2B3302FE" w14:textId="77777777" w:rsidTr="006F58C9">
        <w:trPr>
          <w:cantSplit/>
        </w:trPr>
        <w:tc>
          <w:tcPr>
            <w:tcW w:w="3235" w:type="dxa"/>
            <w:vMerge/>
          </w:tcPr>
          <w:p w14:paraId="7A4618C1" w14:textId="77777777" w:rsidR="00C045C1" w:rsidRDefault="00C045C1" w:rsidP="00C045C1">
            <w:pPr>
              <w:pStyle w:val="TableText"/>
            </w:pPr>
          </w:p>
        </w:tc>
        <w:tc>
          <w:tcPr>
            <w:tcW w:w="1710" w:type="dxa"/>
            <w:vMerge/>
          </w:tcPr>
          <w:p w14:paraId="6E30A690" w14:textId="77777777" w:rsidR="00C045C1" w:rsidRDefault="00C045C1" w:rsidP="00C045C1">
            <w:pPr>
              <w:pStyle w:val="TableText"/>
            </w:pPr>
          </w:p>
        </w:tc>
        <w:tc>
          <w:tcPr>
            <w:tcW w:w="2520" w:type="dxa"/>
            <w:vMerge/>
          </w:tcPr>
          <w:p w14:paraId="5B72C54B" w14:textId="77777777" w:rsidR="00C045C1" w:rsidRDefault="00C045C1" w:rsidP="00C045C1">
            <w:pPr>
              <w:pStyle w:val="TableText"/>
            </w:pPr>
          </w:p>
        </w:tc>
        <w:tc>
          <w:tcPr>
            <w:tcW w:w="1417" w:type="dxa"/>
          </w:tcPr>
          <w:p w14:paraId="5D07A623" w14:textId="77777777" w:rsidR="00C045C1" w:rsidRDefault="00C045C1" w:rsidP="00C045C1">
            <w:pPr>
              <w:pStyle w:val="TableText"/>
              <w:rPr>
                <w:rFonts w:eastAsia="Symbol"/>
              </w:rPr>
            </w:pPr>
            <w:r>
              <w:rPr>
                <w:rFonts w:eastAsia="Symbol"/>
              </w:rPr>
              <w:t>Yes</w:t>
            </w:r>
            <w:r w:rsidR="00E31FC6">
              <w:rPr>
                <w:rFonts w:eastAsia="Symbol"/>
              </w:rPr>
              <w:t xml:space="preserve"> </w:t>
            </w:r>
            <w:r>
              <w:rPr>
                <w:rFonts w:eastAsia="Symbol"/>
                <w:vanish/>
                <w:szCs w:val="18"/>
              </w:rPr>
              <w:t xml:space="preserve"> BR_59.09 </w:t>
            </w:r>
            <w:r w:rsidRPr="00C4235F">
              <w:rPr>
                <w:rFonts w:eastAsia="Symbol"/>
                <w:szCs w:val="18"/>
              </w:rPr>
              <w:t>(quarantined with patient assignment)</w:t>
            </w:r>
          </w:p>
        </w:tc>
        <w:tc>
          <w:tcPr>
            <w:tcW w:w="1530" w:type="dxa"/>
          </w:tcPr>
          <w:p w14:paraId="097D6908" w14:textId="77777777" w:rsidR="00C045C1" w:rsidRDefault="00C045C1" w:rsidP="00C045C1">
            <w:pPr>
              <w:pStyle w:val="TableText"/>
            </w:pPr>
            <w:r>
              <w:rPr>
                <w:rFonts w:eastAsia="Symbol"/>
              </w:rPr>
              <w:t>Yes</w:t>
            </w:r>
          </w:p>
        </w:tc>
      </w:tr>
      <w:tr w:rsidR="001A049C" w14:paraId="05E4B385" w14:textId="77777777" w:rsidTr="006F58C9">
        <w:trPr>
          <w:cantSplit/>
        </w:trPr>
        <w:tc>
          <w:tcPr>
            <w:tcW w:w="3235" w:type="dxa"/>
            <w:vAlign w:val="bottom"/>
          </w:tcPr>
          <w:p w14:paraId="5F068EC2" w14:textId="77777777" w:rsidR="001A049C" w:rsidRDefault="001A049C" w:rsidP="009C25B8">
            <w:pPr>
              <w:pStyle w:val="TableText"/>
            </w:pPr>
            <w:r w:rsidRPr="001C1687">
              <w:rPr>
                <w:rFonts w:cs="Arial"/>
              </w:rPr>
              <w:t>Unit out of controlled storage found acceptable</w:t>
            </w:r>
          </w:p>
        </w:tc>
        <w:tc>
          <w:tcPr>
            <w:tcW w:w="1710" w:type="dxa"/>
            <w:vAlign w:val="bottom"/>
          </w:tcPr>
          <w:p w14:paraId="199F8311" w14:textId="77777777" w:rsidR="001A049C" w:rsidRDefault="001A049C" w:rsidP="009C25B8">
            <w:pPr>
              <w:pStyle w:val="TableText"/>
            </w:pPr>
            <w:r>
              <w:t>All</w:t>
            </w:r>
          </w:p>
        </w:tc>
        <w:tc>
          <w:tcPr>
            <w:tcW w:w="2520" w:type="dxa"/>
          </w:tcPr>
          <w:p w14:paraId="1773EDCF" w14:textId="77777777" w:rsidR="001A049C" w:rsidRDefault="001A049C" w:rsidP="009C25B8">
            <w:pPr>
              <w:pStyle w:val="TableText"/>
            </w:pPr>
            <w:r>
              <w:t>Return Issued Units to Blood Bank</w:t>
            </w:r>
          </w:p>
        </w:tc>
        <w:tc>
          <w:tcPr>
            <w:tcW w:w="1417" w:type="dxa"/>
            <w:vAlign w:val="bottom"/>
          </w:tcPr>
          <w:p w14:paraId="5576CE61" w14:textId="77777777" w:rsidR="001A049C" w:rsidRDefault="001A049C" w:rsidP="009C25B8">
            <w:pPr>
              <w:pStyle w:val="TableText"/>
              <w:rPr>
                <w:rFonts w:eastAsia="Arial Unicode MS"/>
              </w:rPr>
            </w:pPr>
            <w:r>
              <w:rPr>
                <w:rFonts w:eastAsia="Arial Unicode MS"/>
              </w:rPr>
              <w:t>Yes</w:t>
            </w:r>
          </w:p>
        </w:tc>
        <w:tc>
          <w:tcPr>
            <w:tcW w:w="1530" w:type="dxa"/>
            <w:vAlign w:val="bottom"/>
          </w:tcPr>
          <w:p w14:paraId="49D83136" w14:textId="77777777" w:rsidR="001A049C" w:rsidRPr="00FD55BB" w:rsidRDefault="001A049C" w:rsidP="009C25B8">
            <w:pPr>
              <w:pStyle w:val="TableText"/>
            </w:pPr>
            <w:r>
              <w:t>No</w:t>
            </w:r>
          </w:p>
        </w:tc>
      </w:tr>
    </w:tbl>
    <w:p w14:paraId="31C7B30F" w14:textId="50AC0708" w:rsidR="002A21AE" w:rsidRDefault="002A21AE">
      <w:pPr>
        <w:pStyle w:val="Heading3"/>
      </w:pPr>
      <w:r>
        <w:br w:type="page"/>
      </w:r>
      <w:bookmarkStart w:id="721" w:name="_Toc203765981"/>
      <w:r w:rsidR="000563F7">
        <w:lastRenderedPageBreak/>
        <w:t>Product Modification Targets</w:t>
      </w:r>
      <w:bookmarkEnd w:id="721"/>
    </w:p>
    <w:p w14:paraId="552D13B3" w14:textId="5FF9FBA0" w:rsidR="002A21AE" w:rsidRDefault="00423A7F" w:rsidP="00FA7E65">
      <w:pPr>
        <w:pStyle w:val="BodyText"/>
        <w:rPr>
          <w:color w:val="800080"/>
        </w:rPr>
      </w:pPr>
      <w:r>
        <w:t xml:space="preserve">If a product modification does not find a target product, see </w:t>
      </w:r>
      <w:r>
        <w:rPr>
          <w:i/>
          <w:iCs/>
        </w:rPr>
        <w:t xml:space="preserve">FAQ </w:t>
      </w:r>
      <w:r w:rsidR="00C51CD6">
        <w:rPr>
          <w:i/>
          <w:iCs/>
        </w:rPr>
        <w:t xml:space="preserve">Modification </w:t>
      </w:r>
      <w:r>
        <w:rPr>
          <w:i/>
          <w:iCs/>
        </w:rPr>
        <w:t>Target Not Available</w:t>
      </w:r>
      <w:r w:rsidR="002A21AE">
        <w:t>.</w:t>
      </w:r>
    </w:p>
    <w:p w14:paraId="3D599E48" w14:textId="77777777" w:rsidR="002A21AE" w:rsidRDefault="002A21AE">
      <w:pPr>
        <w:pStyle w:val="Heading4"/>
      </w:pPr>
      <w:r>
        <w:t>Calculation of the Expiration Date</w:t>
      </w:r>
    </w:p>
    <w:p w14:paraId="321A0B58" w14:textId="77777777" w:rsidR="002A21AE" w:rsidRDefault="002A21AE" w:rsidP="00FA7E65">
      <w:pPr>
        <w:pStyle w:val="BodyText"/>
      </w:pPr>
      <w:r>
        <w:t xml:space="preserve">VBECS calculates the expiration date of the new unit based on system rules specific to the blood product and modification types, and on whether the system is open or closed. The user may accept or edit this expiration date. </w:t>
      </w:r>
    </w:p>
    <w:p w14:paraId="4678DF39" w14:textId="77777777" w:rsidR="002A21AE" w:rsidRPr="00D327A3" w:rsidRDefault="002A21AE" w:rsidP="00D327A3">
      <w:pPr>
        <w:pStyle w:val="Heading3"/>
      </w:pPr>
      <w:bookmarkStart w:id="722" w:name="_Toc91323817"/>
      <w:bookmarkStart w:id="723" w:name="_Toc40061745"/>
      <w:bookmarkStart w:id="724" w:name="_Toc91323752"/>
      <w:bookmarkEnd w:id="673"/>
      <w:r w:rsidRPr="00D327A3">
        <w:rPr>
          <w:rFonts w:ascii="Arial Bold" w:hAnsi="Arial Bold"/>
          <w:vanish/>
        </w:rPr>
        <w:lastRenderedPageBreak/>
        <w:t xml:space="preserve">TT_92.01 </w:t>
      </w:r>
      <w:bookmarkStart w:id="725" w:name="_Toc203765982"/>
      <w:r w:rsidRPr="00D327A3">
        <w:t>Order Status Flowchart</w:t>
      </w:r>
      <w:bookmarkEnd w:id="722"/>
      <w:bookmarkEnd w:id="725"/>
      <w:r w:rsidRPr="00D327A3">
        <w:fldChar w:fldCharType="begin"/>
      </w:r>
      <w:r w:rsidRPr="00D327A3">
        <w:instrText xml:space="preserve"> XE </w:instrText>
      </w:r>
      <w:r w:rsidR="00FA7E65" w:rsidRPr="00D327A3">
        <w:instrText>“</w:instrText>
      </w:r>
      <w:r w:rsidRPr="00D327A3">
        <w:instrText>Figures:Order Status Flowchart</w:instrText>
      </w:r>
      <w:r w:rsidR="00FA7E65" w:rsidRPr="00D327A3">
        <w:instrText>”</w:instrText>
      </w:r>
      <w:r w:rsidRPr="00D327A3">
        <w:instrText xml:space="preserve"> </w:instrText>
      </w:r>
      <w:r w:rsidRPr="00D327A3">
        <w:fldChar w:fldCharType="end"/>
      </w:r>
    </w:p>
    <w:p w14:paraId="26186201" w14:textId="0C16FD56" w:rsidR="002A21AE" w:rsidRDefault="002A21AE">
      <w:pPr>
        <w:pStyle w:val="Caption"/>
      </w:pPr>
      <w:bookmarkStart w:id="726" w:name="_Ref126728889"/>
      <w:bookmarkStart w:id="727" w:name="_Toc97523642"/>
      <w:bookmarkStart w:id="728" w:name="_Toc97527612"/>
      <w:bookmarkStart w:id="729" w:name="_Ref126729528"/>
      <w:bookmarkStart w:id="730" w:name="_Ref126729659"/>
      <w:bookmarkStart w:id="731" w:name="_Ref126729757"/>
      <w:bookmarkStart w:id="732" w:name="_Ref126729901"/>
      <w:bookmarkStart w:id="733" w:name="_Ref127061358"/>
      <w:bookmarkStart w:id="734" w:name="_Ref127061360"/>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7D1829">
        <w:rPr>
          <w:noProof/>
        </w:rPr>
        <w:t>119</w:t>
      </w:r>
      <w:r w:rsidR="004E20BD">
        <w:rPr>
          <w:noProof/>
        </w:rPr>
        <w:fldChar w:fldCharType="end"/>
      </w:r>
      <w:bookmarkEnd w:id="726"/>
      <w:r>
        <w:t xml:space="preserve">: </w:t>
      </w:r>
      <w:r>
        <w:rPr>
          <w:vanish/>
        </w:rPr>
        <w:t xml:space="preserve">TT_92.01 </w:t>
      </w:r>
      <w:r w:rsidRPr="005B6A9C">
        <w:rPr>
          <w:rStyle w:val="Heading3Char"/>
          <w:rFonts w:ascii="Times New Roman" w:hAnsi="Times New Roman" w:cs="Times New Roman"/>
          <w:b/>
          <w:sz w:val="22"/>
        </w:rPr>
        <w:t>Order</w:t>
      </w:r>
      <w:r>
        <w:t xml:space="preserve"> Status Flowchart</w:t>
      </w:r>
      <w:bookmarkEnd w:id="727"/>
      <w:bookmarkEnd w:id="728"/>
      <w:bookmarkEnd w:id="729"/>
      <w:bookmarkEnd w:id="730"/>
      <w:bookmarkEnd w:id="731"/>
      <w:bookmarkEnd w:id="732"/>
      <w:bookmarkEnd w:id="733"/>
      <w:bookmarkEnd w:id="734"/>
    </w:p>
    <w:p w14:paraId="1074811B" w14:textId="3CD8C553" w:rsidR="009C72EC" w:rsidRDefault="00627964" w:rsidP="004D2640">
      <w:pPr>
        <w:pStyle w:val="BodyText"/>
        <w:jc w:val="center"/>
      </w:pPr>
      <w:r>
        <w:object w:dxaOrig="9770" w:dyaOrig="16915" w14:anchorId="7272D2D2">
          <v:shape id="_x0000_i1030" type="#_x0000_t75" alt="Order Status Flowchart" style="width:367.5pt;height:555pt" o:ole="">
            <v:imagedata r:id="rId210" o:title=""/>
          </v:shape>
          <o:OLEObject Type="Embed" ProgID="Visio.Drawing.11" ShapeID="_x0000_i1030" DrawAspect="Content" ObjectID="_1816593592" r:id="rId211"/>
        </w:object>
      </w:r>
    </w:p>
    <w:p w14:paraId="608999E3" w14:textId="67F74A53" w:rsidR="002A21AE" w:rsidRDefault="002A21AE" w:rsidP="009C72EC">
      <w:pPr>
        <w:pStyle w:val="Heading3"/>
      </w:pPr>
      <w:r>
        <w:rPr>
          <w:rFonts w:ascii="Geneva" w:hAnsi="Geneva"/>
          <w:vanish/>
        </w:rPr>
        <w:lastRenderedPageBreak/>
        <w:t xml:space="preserve">TT_3.05 </w:t>
      </w:r>
      <w:bookmarkStart w:id="735" w:name="_Toc203765983"/>
      <w:r>
        <w:t>Rules for</w:t>
      </w:r>
      <w:bookmarkEnd w:id="723"/>
      <w:r>
        <w:t xml:space="preserve"> Electronic and Serologic</w:t>
      </w:r>
      <w:bookmarkEnd w:id="724"/>
      <w:r>
        <w:t xml:space="preserve"> Crossmatch</w:t>
      </w:r>
      <w:bookmarkEnd w:id="735"/>
      <w:r>
        <w:fldChar w:fldCharType="begin"/>
      </w:r>
      <w:r>
        <w:instrText xml:space="preserve"> XE </w:instrText>
      </w:r>
      <w:r w:rsidR="00FA7E65">
        <w:instrText>“</w:instrText>
      </w:r>
      <w:r>
        <w:instrText>Tables:Rules for Electronic and Serologic Crossmatch</w:instrText>
      </w:r>
      <w:r w:rsidR="00FA7E65">
        <w:instrText>”</w:instrText>
      </w:r>
      <w:r>
        <w:instrText xml:space="preserve"> </w:instrText>
      </w:r>
      <w:r>
        <w:fldChar w:fldCharType="end"/>
      </w:r>
    </w:p>
    <w:p w14:paraId="19E17255" w14:textId="77777777" w:rsidR="007A1C09" w:rsidRDefault="007A1C09" w:rsidP="00FA7E65">
      <w:pPr>
        <w:pStyle w:val="BodyText"/>
      </w:pPr>
      <w:r>
        <w:t xml:space="preserve">Component Classes with greater than (&gt;) 2 mL RBC contamination require crossmatch evaluation, serologic or electronic (when enabled).  For component classes in the component class “OTHER”, a reflex crossmatch test has been ordered per the technologist’s evaluation of the </w:t>
      </w:r>
      <w:r w:rsidR="00F22231">
        <w:t>unit itself. E</w:t>
      </w:r>
      <w:r>
        <w:t xml:space="preserve">ach collection is different and the tech must evaluate the red blood cell content of the unit at the time of selection. </w:t>
      </w:r>
    </w:p>
    <w:p w14:paraId="78EBEAB0" w14:textId="7DCCFF60" w:rsidR="00F22231" w:rsidRDefault="001A53C8" w:rsidP="00FA7E65">
      <w:pPr>
        <w:pStyle w:val="BodyText"/>
      </w:pPr>
      <w:r>
        <w:t>When electronic crossmatch is enabled at a division and units that require crossmatch (Component Classes “WHOLE BLOOD”, “RED BLOOD CELLS”, or a reflex crossmatch test has been ordered) are selected, VBECS performs a comprehensive set of data validation, which does not include inactivated patient or units tests. This patient and unit data validation is to ensure that the combination of patient and blood unit testing allows the unit to be eligible for electronic crossmatch. To assist the user, when the combination does not allow for electronic crossmatch</w:t>
      </w:r>
      <w:r w:rsidR="00F22231">
        <w:t>, a warning message is displayed with a short explanation as to why the electronic crossmatch will not be applied.</w:t>
      </w:r>
    </w:p>
    <w:p w14:paraId="0D974A8A" w14:textId="4CDFFC89" w:rsidR="002A21AE" w:rsidRDefault="00EE455E" w:rsidP="00FA7E65">
      <w:pPr>
        <w:pStyle w:val="BodyText"/>
      </w:pPr>
      <w:r>
        <w:t xml:space="preserve">Table </w:t>
      </w:r>
      <w:r>
        <w:rPr>
          <w:noProof/>
        </w:rPr>
        <w:t>22</w:t>
      </w:r>
      <w:r w:rsidR="00440DF9">
        <w:t xml:space="preserve"> </w:t>
      </w:r>
      <w:r w:rsidR="002A21AE">
        <w:t xml:space="preserve">provides the mapping for the actual parameters verified and associated error messages. All parameters must comply in order for the unit to be eligible for electronic crossmatch: there are no exceptions or overrides. The parameters are checked in the order listed and once a parameter fails, VBECS displays the appropriate error message, no further checking occurs, and the selected unit must have serologic crossmatch performed. </w:t>
      </w:r>
      <w:r w:rsidR="00203682">
        <w:t>(</w:t>
      </w:r>
      <w:r w:rsidR="00CA745C">
        <w:t xml:space="preserve">See </w:t>
      </w:r>
      <w:r w:rsidR="00CA745C" w:rsidRPr="00C51CD6">
        <w:rPr>
          <w:i/>
          <w:iCs/>
        </w:rPr>
        <w:t>FAQ VBECS Computer Crossmatch Decision Tree</w:t>
      </w:r>
      <w:r w:rsidR="00CA745C">
        <w:t xml:space="preserve"> for additional information.</w:t>
      </w:r>
      <w:r w:rsidR="00203682">
        <w:t>)</w:t>
      </w:r>
    </w:p>
    <w:p w14:paraId="0013597E" w14:textId="77777777" w:rsidR="00D96746" w:rsidRDefault="00057948" w:rsidP="00D96746">
      <w:pPr>
        <w:pStyle w:val="Caution"/>
      </w:pPr>
      <w:r>
        <w:rPr>
          <w:noProof/>
        </w:rPr>
        <w:drawing>
          <wp:inline distT="0" distB="0" distL="0" distR="0" wp14:anchorId="3A0EAF9C" wp14:editId="1B987EBC">
            <wp:extent cx="267970" cy="221615"/>
            <wp:effectExtent l="0" t="0" r="0" b="6985"/>
            <wp:docPr id="268" name="Picture 268" descr="Caution box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 name="Picture 268" descr="Caution box icon"/>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67970" cy="221615"/>
                    </a:xfrm>
                    <a:prstGeom prst="rect">
                      <a:avLst/>
                    </a:prstGeom>
                    <a:noFill/>
                    <a:ln>
                      <a:noFill/>
                    </a:ln>
                  </pic:spPr>
                </pic:pic>
              </a:graphicData>
            </a:graphic>
          </wp:inline>
        </w:drawing>
      </w:r>
      <w:r w:rsidR="005B60F7">
        <w:t xml:space="preserve"> </w:t>
      </w:r>
      <w:r w:rsidR="00D96746">
        <w:t xml:space="preserve">To use </w:t>
      </w:r>
      <w:r w:rsidR="007743E5">
        <w:t xml:space="preserve">the </w:t>
      </w:r>
      <w:r w:rsidR="00D96746">
        <w:t>electronic crossmatch</w:t>
      </w:r>
      <w:r w:rsidR="007743E5">
        <w:t xml:space="preserve"> function</w:t>
      </w:r>
      <w:r w:rsidR="00D96746">
        <w:t>, sites must perform a</w:t>
      </w:r>
      <w:r w:rsidR="00413CBC">
        <w:t>dditional</w:t>
      </w:r>
      <w:r w:rsidR="00D96746">
        <w:t xml:space="preserve"> validation of </w:t>
      </w:r>
      <w:r w:rsidR="00413CBC">
        <w:t>electronic crossmatch to meet regulatory requirements</w:t>
      </w:r>
      <w:r w:rsidR="00D96746">
        <w:t>.</w:t>
      </w:r>
      <w:r w:rsidR="00214959">
        <w:t xml:space="preserve"> See </w:t>
      </w:r>
      <w:r w:rsidR="00214959" w:rsidRPr="001A6C60">
        <w:t>Guidelines for Implementing the Electronic Crossmatch</w:t>
      </w:r>
      <w:r w:rsidR="00214959" w:rsidRPr="0026301E">
        <w:t xml:space="preserve"> (Bethesda, MD: American Association of Blood Banks, 200</w:t>
      </w:r>
      <w:r w:rsidR="00214959">
        <w:t>3</w:t>
      </w:r>
      <w:r w:rsidR="00214959" w:rsidRPr="0026301E">
        <w:t>).</w:t>
      </w:r>
    </w:p>
    <w:p w14:paraId="015CE396" w14:textId="36DBE01B" w:rsidR="002A21AE" w:rsidRDefault="002A21AE">
      <w:pPr>
        <w:pStyle w:val="Caption"/>
      </w:pPr>
      <w:bookmarkStart w:id="736" w:name="_Ref126732439"/>
      <w:bookmarkStart w:id="737" w:name="_Ref317682164"/>
      <w:bookmarkStart w:id="738" w:name="_Toc97523643"/>
      <w:bookmarkStart w:id="739" w:name="_Toc97527613"/>
      <w:bookmarkStart w:id="740" w:name="_Ref126486028"/>
      <w:bookmarkStart w:id="741" w:name="_Ref126486167"/>
      <w:bookmarkStart w:id="742" w:name="_Ref126486265"/>
      <w:bookmarkStart w:id="743" w:name="_Ref126504234"/>
      <w:bookmarkStart w:id="744" w:name="_Ref126504434"/>
      <w:bookmarkStart w:id="745" w:name="_Ref317762597"/>
      <w:r>
        <w:t xml:space="preserve">Table </w:t>
      </w:r>
      <w:r w:rsidR="004E20BD">
        <w:rPr>
          <w:noProof/>
        </w:rPr>
        <w:fldChar w:fldCharType="begin"/>
      </w:r>
      <w:r w:rsidR="004E20BD">
        <w:rPr>
          <w:noProof/>
        </w:rPr>
        <w:instrText xml:space="preserve"> SEQ Table \* ARABIC </w:instrText>
      </w:r>
      <w:r w:rsidR="004E20BD">
        <w:rPr>
          <w:noProof/>
        </w:rPr>
        <w:fldChar w:fldCharType="separate"/>
      </w:r>
      <w:r w:rsidR="007D1829">
        <w:rPr>
          <w:noProof/>
        </w:rPr>
        <w:t>22</w:t>
      </w:r>
      <w:r w:rsidR="004E20BD">
        <w:rPr>
          <w:noProof/>
        </w:rPr>
        <w:fldChar w:fldCharType="end"/>
      </w:r>
      <w:bookmarkEnd w:id="736"/>
      <w:bookmarkEnd w:id="737"/>
      <w:r>
        <w:t xml:space="preserve">: </w:t>
      </w:r>
      <w:r>
        <w:rPr>
          <w:vanish/>
        </w:rPr>
        <w:t xml:space="preserve">TT_3.05 </w:t>
      </w:r>
      <w:r>
        <w:t>Rules for Electronic and Serologic Crossmatch</w:t>
      </w:r>
      <w:bookmarkEnd w:id="738"/>
      <w:bookmarkEnd w:id="739"/>
      <w:bookmarkEnd w:id="740"/>
      <w:bookmarkEnd w:id="741"/>
      <w:bookmarkEnd w:id="742"/>
      <w:bookmarkEnd w:id="743"/>
      <w:bookmarkEnd w:id="744"/>
      <w:bookmarkEnd w:id="745"/>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760"/>
        <w:gridCol w:w="3600"/>
      </w:tblGrid>
      <w:tr w:rsidR="002A21AE" w14:paraId="6343C1C0" w14:textId="77777777">
        <w:trPr>
          <w:tblHeader/>
        </w:trPr>
        <w:tc>
          <w:tcPr>
            <w:tcW w:w="5760" w:type="dxa"/>
            <w:shd w:val="clear" w:color="auto" w:fill="B3B3B3"/>
          </w:tcPr>
          <w:p w14:paraId="6393966E" w14:textId="77777777" w:rsidR="002A21AE" w:rsidRDefault="002A21AE">
            <w:pPr>
              <w:pStyle w:val="TableText"/>
              <w:rPr>
                <w:b/>
              </w:rPr>
            </w:pPr>
            <w:r>
              <w:rPr>
                <w:b/>
              </w:rPr>
              <w:t>Parameter Checked</w:t>
            </w:r>
          </w:p>
        </w:tc>
        <w:tc>
          <w:tcPr>
            <w:tcW w:w="3600" w:type="dxa"/>
            <w:shd w:val="clear" w:color="auto" w:fill="B3B3B3"/>
          </w:tcPr>
          <w:p w14:paraId="2FFEF683" w14:textId="77777777" w:rsidR="002A21AE" w:rsidRDefault="002A21AE">
            <w:pPr>
              <w:pStyle w:val="TableText"/>
              <w:rPr>
                <w:b/>
              </w:rPr>
            </w:pPr>
            <w:r>
              <w:rPr>
                <w:b/>
              </w:rPr>
              <w:t>Error Message When Parameter Fails</w:t>
            </w:r>
          </w:p>
        </w:tc>
      </w:tr>
      <w:tr w:rsidR="002A21AE" w14:paraId="13D56AAD" w14:textId="77777777">
        <w:tc>
          <w:tcPr>
            <w:tcW w:w="5760" w:type="dxa"/>
          </w:tcPr>
          <w:p w14:paraId="396CCB80" w14:textId="77777777" w:rsidR="002A21AE" w:rsidRDefault="002A21AE">
            <w:pPr>
              <w:pStyle w:val="TableText"/>
            </w:pPr>
            <w:r>
              <w:t xml:space="preserve">Current specimen ABO/Rh and Antibody Screen testing must be complete. </w:t>
            </w:r>
          </w:p>
        </w:tc>
        <w:tc>
          <w:tcPr>
            <w:tcW w:w="3600" w:type="dxa"/>
          </w:tcPr>
          <w:p w14:paraId="1DC7C4CB" w14:textId="77777777" w:rsidR="002A21AE" w:rsidRDefault="002A21AE">
            <w:pPr>
              <w:pStyle w:val="TableText"/>
            </w:pPr>
            <w:r>
              <w:t>Patient not eligible for eXM. Current specimen not fully tested.</w:t>
            </w:r>
          </w:p>
        </w:tc>
      </w:tr>
      <w:tr w:rsidR="002A21AE" w14:paraId="2EA57355" w14:textId="77777777">
        <w:tc>
          <w:tcPr>
            <w:tcW w:w="5760" w:type="dxa"/>
          </w:tcPr>
          <w:p w14:paraId="7D6A3AE5" w14:textId="77777777" w:rsidR="002A21AE" w:rsidRDefault="002A21AE">
            <w:pPr>
              <w:pStyle w:val="TableText"/>
            </w:pPr>
            <w:r>
              <w:t>Current specimen Antibody Screen interpretation must be negative.</w:t>
            </w:r>
            <w:r w:rsidR="009A061C">
              <w:t xml:space="preserve"> VBECS checks only the last Antibody Screen entered.</w:t>
            </w:r>
          </w:p>
        </w:tc>
        <w:tc>
          <w:tcPr>
            <w:tcW w:w="3600" w:type="dxa"/>
          </w:tcPr>
          <w:p w14:paraId="6F627167" w14:textId="77777777" w:rsidR="002A21AE" w:rsidRDefault="002A21AE">
            <w:pPr>
              <w:pStyle w:val="TableText"/>
            </w:pPr>
            <w:r>
              <w:t>Patient not eligible for eXM due to positive Antibody Screen.</w:t>
            </w:r>
          </w:p>
        </w:tc>
      </w:tr>
      <w:tr w:rsidR="002A21AE" w14:paraId="09217375" w14:textId="77777777">
        <w:tc>
          <w:tcPr>
            <w:tcW w:w="5760" w:type="dxa"/>
          </w:tcPr>
          <w:p w14:paraId="1C46418C" w14:textId="77777777" w:rsidR="002A21AE" w:rsidRDefault="002A21AE">
            <w:pPr>
              <w:pStyle w:val="TableText"/>
            </w:pPr>
            <w:r>
              <w:t xml:space="preserve">Patient must have no history of previously identified antibodies, regardless of clinical significance based on system rules </w:t>
            </w:r>
            <w:r>
              <w:rPr>
                <w:vanish/>
                <w:szCs w:val="18"/>
              </w:rPr>
              <w:t>TT_23.01</w:t>
            </w:r>
            <w:r>
              <w:t>or division (or from conversion) of the antibody ID.</w:t>
            </w:r>
          </w:p>
        </w:tc>
        <w:tc>
          <w:tcPr>
            <w:tcW w:w="3600" w:type="dxa"/>
          </w:tcPr>
          <w:p w14:paraId="4E4D5E24" w14:textId="77777777" w:rsidR="002A21AE" w:rsidRDefault="002A21AE">
            <w:pPr>
              <w:pStyle w:val="TableText"/>
            </w:pPr>
            <w:r>
              <w:t>Patient not eligible for eXM due to previous antibody history.</w:t>
            </w:r>
          </w:p>
        </w:tc>
      </w:tr>
      <w:tr w:rsidR="002A21AE" w14:paraId="4C319387" w14:textId="77777777">
        <w:tc>
          <w:tcPr>
            <w:tcW w:w="5760" w:type="dxa"/>
          </w:tcPr>
          <w:p w14:paraId="635703F4" w14:textId="77777777" w:rsidR="002A21AE" w:rsidRDefault="002A21AE">
            <w:pPr>
              <w:pStyle w:val="TableText"/>
            </w:pPr>
            <w:r>
              <w:t>Patient cannot have a persistent antigen negative requirement regardless of the division of the requirement entry.</w:t>
            </w:r>
          </w:p>
        </w:tc>
        <w:tc>
          <w:tcPr>
            <w:tcW w:w="3600" w:type="dxa"/>
          </w:tcPr>
          <w:p w14:paraId="1C3F872D" w14:textId="77777777" w:rsidR="002A21AE" w:rsidRDefault="002A21AE">
            <w:pPr>
              <w:pStyle w:val="TableText"/>
            </w:pPr>
            <w:r>
              <w:t>Patient not eligible for eXM due to transfusion antigen negative requirement.</w:t>
            </w:r>
          </w:p>
        </w:tc>
      </w:tr>
      <w:tr w:rsidR="002A21AE" w:rsidRPr="005A7636" w14:paraId="29E57129" w14:textId="77777777">
        <w:tc>
          <w:tcPr>
            <w:tcW w:w="5760" w:type="dxa"/>
          </w:tcPr>
          <w:p w14:paraId="24F57524" w14:textId="77777777" w:rsidR="002A21AE" w:rsidRPr="005A7636" w:rsidRDefault="00B05CCE" w:rsidP="005A7636">
            <w:pPr>
              <w:pStyle w:val="TableText"/>
            </w:pPr>
            <w:r w:rsidRPr="00B05CCE">
              <w:t>The patient current ABO/Rh must match the historical record when there is a historical record, and there must be no previous justifications. An ABO/Rh marked as “entered in error” is not considered part of the patient’s record.</w:t>
            </w:r>
          </w:p>
        </w:tc>
        <w:tc>
          <w:tcPr>
            <w:tcW w:w="3600" w:type="dxa"/>
          </w:tcPr>
          <w:p w14:paraId="779BAA69" w14:textId="77777777" w:rsidR="002A21AE" w:rsidRPr="005A7636" w:rsidRDefault="002A21AE" w:rsidP="005A7636">
            <w:pPr>
              <w:pStyle w:val="TableText"/>
            </w:pPr>
            <w:r w:rsidRPr="005A7636">
              <w:t>Patient not eligible for eXM due to ABO/Rh discrepancy from previous record.</w:t>
            </w:r>
          </w:p>
        </w:tc>
      </w:tr>
      <w:tr w:rsidR="002A21AE" w14:paraId="6B88818A" w14:textId="77777777">
        <w:tc>
          <w:tcPr>
            <w:tcW w:w="5760" w:type="dxa"/>
          </w:tcPr>
          <w:p w14:paraId="623304D7" w14:textId="77777777" w:rsidR="002A21AE" w:rsidRDefault="002A21AE">
            <w:pPr>
              <w:pStyle w:val="TableText"/>
            </w:pPr>
            <w:r>
              <w:t>The patient cannot have a documented ins</w:t>
            </w:r>
            <w:r w:rsidR="004F09C6">
              <w:t>tance of current or previous</w:t>
            </w:r>
            <w:r>
              <w:t xml:space="preserve"> Inconclusive ABO/Rh typing.</w:t>
            </w:r>
          </w:p>
        </w:tc>
        <w:tc>
          <w:tcPr>
            <w:tcW w:w="3600" w:type="dxa"/>
          </w:tcPr>
          <w:p w14:paraId="5A4D88DE" w14:textId="77777777" w:rsidR="002A21AE" w:rsidRDefault="002A21AE">
            <w:pPr>
              <w:pStyle w:val="TableText"/>
            </w:pPr>
            <w:r>
              <w:t>Patient not eligible for eXM due to ABO/Rh typing difficulty.</w:t>
            </w:r>
          </w:p>
        </w:tc>
      </w:tr>
      <w:tr w:rsidR="002A21AE" w14:paraId="7443D6BB" w14:textId="77777777">
        <w:tc>
          <w:tcPr>
            <w:tcW w:w="5760" w:type="dxa"/>
          </w:tcPr>
          <w:p w14:paraId="6EDE839D" w14:textId="77777777" w:rsidR="00810934" w:rsidRPr="00810934" w:rsidRDefault="002A21AE">
            <w:pPr>
              <w:pStyle w:val="TableText"/>
              <w:rPr>
                <w:szCs w:val="18"/>
              </w:rPr>
            </w:pPr>
            <w:r>
              <w:t xml:space="preserve">There must be at least two valid instances of ABO/Rh typing performed in the same division for the patient. One instance must be a valid ABO/Rh on the current specimen and not “unknown” or “inconclusive”; the other may be from a previous typing episode or a repeat ABO/Rh performed on the current specimen. The patient ABO/Rh interpretations must match in all instances. </w:t>
            </w:r>
            <w:r w:rsidR="00810934">
              <w:rPr>
                <w:szCs w:val="18"/>
              </w:rPr>
              <w:t>The user m</w:t>
            </w:r>
            <w:r w:rsidR="00810934" w:rsidRPr="00810934">
              <w:rPr>
                <w:szCs w:val="18"/>
              </w:rPr>
              <w:t xml:space="preserve">ust enter valid forward and reverse typing </w:t>
            </w:r>
            <w:r w:rsidR="00810934">
              <w:rPr>
                <w:szCs w:val="18"/>
              </w:rPr>
              <w:t>for</w:t>
            </w:r>
            <w:r w:rsidR="00810934" w:rsidRPr="00810934">
              <w:rPr>
                <w:szCs w:val="18"/>
              </w:rPr>
              <w:t xml:space="preserve"> the system </w:t>
            </w:r>
            <w:r w:rsidR="00810934">
              <w:rPr>
                <w:szCs w:val="18"/>
              </w:rPr>
              <w:t>to</w:t>
            </w:r>
            <w:r w:rsidR="00810934" w:rsidRPr="00810934">
              <w:rPr>
                <w:szCs w:val="18"/>
              </w:rPr>
              <w:t xml:space="preserve"> use as the second test performed in the division.</w:t>
            </w:r>
          </w:p>
        </w:tc>
        <w:tc>
          <w:tcPr>
            <w:tcW w:w="3600" w:type="dxa"/>
          </w:tcPr>
          <w:p w14:paraId="696C213B" w14:textId="77777777" w:rsidR="002A21AE" w:rsidRDefault="00810934">
            <w:pPr>
              <w:pStyle w:val="TableText"/>
            </w:pPr>
            <w:r>
              <w:t>Patient not eligible for eXM:</w:t>
            </w:r>
            <w:r w:rsidR="002A21AE">
              <w:t xml:space="preserve"> he must have two instances of ABO/Rh typing at the division for eXM, including the current specimen.</w:t>
            </w:r>
          </w:p>
        </w:tc>
      </w:tr>
      <w:tr w:rsidR="002A21AE" w14:paraId="5C574033" w14:textId="77777777">
        <w:tc>
          <w:tcPr>
            <w:tcW w:w="5760" w:type="dxa"/>
          </w:tcPr>
          <w:p w14:paraId="6991BF43" w14:textId="77777777" w:rsidR="002A21AE" w:rsidRDefault="002A21AE">
            <w:pPr>
              <w:pStyle w:val="TableText"/>
            </w:pPr>
            <w:r>
              <w:t>Selected unit must be ABO compatible based on system rules</w:t>
            </w:r>
            <w:r>
              <w:rPr>
                <w:vanish/>
                <w:szCs w:val="18"/>
              </w:rPr>
              <w:t>TT_3.01 or TT_3.02</w:t>
            </w:r>
            <w:r>
              <w:t>.</w:t>
            </w:r>
          </w:p>
        </w:tc>
        <w:tc>
          <w:tcPr>
            <w:tcW w:w="3600" w:type="dxa"/>
          </w:tcPr>
          <w:p w14:paraId="17636CF2" w14:textId="77777777" w:rsidR="002A21AE" w:rsidRDefault="002A21AE">
            <w:pPr>
              <w:pStyle w:val="TableText"/>
            </w:pPr>
            <w:r>
              <w:t>Unit not eligible for eXM. Unit is ABO incompatible with the patient.</w:t>
            </w:r>
          </w:p>
        </w:tc>
      </w:tr>
    </w:tbl>
    <w:p w14:paraId="1A46DEE3" w14:textId="77777777" w:rsidR="002A21AE" w:rsidRDefault="002A21AE">
      <w:pPr>
        <w:pStyle w:val="Heading3"/>
        <w:rPr>
          <w:noProof/>
        </w:rPr>
      </w:pPr>
      <w:r>
        <w:rPr>
          <w:rFonts w:ascii="Geneva" w:hAnsi="Geneva"/>
          <w:vanish/>
        </w:rPr>
        <w:lastRenderedPageBreak/>
        <w:t xml:space="preserve">TT_27.01 </w:t>
      </w:r>
      <w:bookmarkStart w:id="746" w:name="_Toc203765984"/>
      <w:r>
        <w:t>Unit Status Flowchart</w:t>
      </w:r>
      <w:bookmarkEnd w:id="746"/>
      <w:r>
        <w:fldChar w:fldCharType="begin"/>
      </w:r>
      <w:r>
        <w:instrText xml:space="preserve"> XE </w:instrText>
      </w:r>
      <w:r w:rsidR="00FA7E65">
        <w:instrText>“</w:instrText>
      </w:r>
      <w:r>
        <w:instrText>Figures:Unit Status Flowchart</w:instrText>
      </w:r>
      <w:r w:rsidR="00FA7E65">
        <w:instrText>”</w:instrText>
      </w:r>
      <w:r>
        <w:instrText xml:space="preserve"> </w:instrText>
      </w:r>
      <w:r>
        <w:fldChar w:fldCharType="end"/>
      </w:r>
    </w:p>
    <w:p w14:paraId="2BE175B2" w14:textId="77777777" w:rsidR="002A21AE" w:rsidRDefault="002A21AE">
      <w:pPr>
        <w:pStyle w:val="Heading4"/>
      </w:pPr>
      <w:r>
        <w:t>Types of Unit Statuses</w:t>
      </w:r>
    </w:p>
    <w:p w14:paraId="036CEF3B" w14:textId="77777777" w:rsidR="002A21AE" w:rsidRDefault="002A21AE">
      <w:pPr>
        <w:pStyle w:val="ListBullet"/>
      </w:pPr>
      <w:r>
        <w:t>Temporary: awaiting ABO/Rh confirmation (lime green on the flowchart)</w:t>
      </w:r>
    </w:p>
    <w:p w14:paraId="05225B71" w14:textId="77777777" w:rsidR="002A21AE" w:rsidRDefault="002A21AE">
      <w:pPr>
        <w:pStyle w:val="ListBullet"/>
      </w:pPr>
      <w:r>
        <w:t>Adjustable: may move in and out of the status as part of normal processing</w:t>
      </w:r>
    </w:p>
    <w:p w14:paraId="121AA996" w14:textId="77777777" w:rsidR="002A21AE" w:rsidRDefault="002A21AE">
      <w:pPr>
        <w:pStyle w:val="ListBullet"/>
      </w:pPr>
      <w:r>
        <w:t>Issued: pending an update to transfusion or return (bright green in the flowchart)</w:t>
      </w:r>
    </w:p>
    <w:p w14:paraId="23E8A76D" w14:textId="77777777" w:rsidR="002A21AE" w:rsidRDefault="002A21AE">
      <w:pPr>
        <w:pStyle w:val="ListBullet"/>
      </w:pPr>
      <w:r>
        <w:t>Final: the unit is no longer available for most processes in the division; the unit record remains active (pink and stop signs in the flowchart)</w:t>
      </w:r>
    </w:p>
    <w:p w14:paraId="2F6BC276" w14:textId="77777777" w:rsidR="002A21AE" w:rsidRDefault="002A21AE">
      <w:pPr>
        <w:pStyle w:val="Heading4"/>
      </w:pPr>
      <w:r>
        <w:t>Indicators Associated with Units</w:t>
      </w:r>
    </w:p>
    <w:p w14:paraId="540FF5BE" w14:textId="77777777" w:rsidR="002A21AE" w:rsidRDefault="002A21AE">
      <w:pPr>
        <w:pStyle w:val="ListBullet"/>
      </w:pPr>
      <w:r>
        <w:t>Quarantined: attaches to the unit record and status when the unit is quarantined. Removed by releasing the unit from quarantined.</w:t>
      </w:r>
    </w:p>
    <w:p w14:paraId="035361CE" w14:textId="77777777" w:rsidR="002A21AE" w:rsidRDefault="002A21AE">
      <w:pPr>
        <w:pStyle w:val="ListBullet"/>
      </w:pPr>
      <w:r>
        <w:t>Presumed: attaches to the unit record only when the unit is in an issued unit status for more than 48 hours. Remains on the unit record if no transfusion information is entered through Post-Transfusion Information and Document ABO Incompatible Transfusion.</w:t>
      </w:r>
    </w:p>
    <w:p w14:paraId="30DBBEE7" w14:textId="2976AC19" w:rsidR="002A21AE" w:rsidRDefault="002A21AE">
      <w:pPr>
        <w:pStyle w:val="Caption"/>
      </w:pPr>
      <w:bookmarkStart w:id="747" w:name="_Toc97523644"/>
      <w:r>
        <w:br w:type="page"/>
      </w:r>
      <w:bookmarkStart w:id="748" w:name="_Ref126467968"/>
      <w:bookmarkStart w:id="749" w:name="_Toc97527614"/>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7D1829">
        <w:rPr>
          <w:noProof/>
        </w:rPr>
        <w:t>120</w:t>
      </w:r>
      <w:r w:rsidR="004E20BD">
        <w:rPr>
          <w:noProof/>
        </w:rPr>
        <w:fldChar w:fldCharType="end"/>
      </w:r>
      <w:bookmarkEnd w:id="748"/>
      <w:r>
        <w:t xml:space="preserve">: </w:t>
      </w:r>
      <w:r>
        <w:rPr>
          <w:vanish/>
        </w:rPr>
        <w:t xml:space="preserve">TT_27.01C </w:t>
      </w:r>
      <w:r>
        <w:t>Unit Status Flowchart</w:t>
      </w:r>
      <w:bookmarkEnd w:id="747"/>
      <w:bookmarkEnd w:id="749"/>
    </w:p>
    <w:p w14:paraId="79377E0E" w14:textId="504B04AF" w:rsidR="002A21AE" w:rsidRDefault="00627964" w:rsidP="002C179C">
      <w:pPr>
        <w:pStyle w:val="BodyText"/>
      </w:pPr>
      <w:r w:rsidRPr="00A53F2E">
        <w:rPr>
          <w:rFonts w:ascii="Arial" w:hAnsi="Arial"/>
          <w:sz w:val="20"/>
        </w:rPr>
        <w:object w:dxaOrig="3475" w:dyaOrig="4320" w14:anchorId="55B6EB3A">
          <v:shape id="_x0000_i1031" type="#_x0000_t75" alt="Unit Status Flowchart" style="width:475.5pt;height:489.75pt;mso-position-vertical:absolute" o:ole="" fillcolor="window">
            <v:imagedata r:id="rId212" o:title="" croptop="6031f"/>
          </v:shape>
          <o:OLEObject Type="Embed" ProgID="Visio.Drawing.11" ShapeID="_x0000_i1031" DrawAspect="Content" ObjectID="_1816593593" r:id="rId213"/>
        </w:object>
      </w:r>
    </w:p>
    <w:p w14:paraId="60EBE3A2" w14:textId="77777777" w:rsidR="002A21AE" w:rsidRDefault="002A21AE">
      <w:pPr>
        <w:pStyle w:val="Heading3"/>
      </w:pPr>
      <w:r>
        <w:br w:type="page"/>
      </w:r>
      <w:bookmarkStart w:id="750" w:name="_Toc91323790"/>
      <w:r w:rsidR="00966400">
        <w:rPr>
          <w:rFonts w:ascii="Geneva" w:hAnsi="Geneva"/>
          <w:vanish/>
        </w:rPr>
        <w:lastRenderedPageBreak/>
        <w:t xml:space="preserve"> </w:t>
      </w:r>
      <w:r>
        <w:rPr>
          <w:rFonts w:ascii="Geneva" w:hAnsi="Geneva"/>
          <w:vanish/>
        </w:rPr>
        <w:t>PT_32.01</w:t>
      </w:r>
      <w:r>
        <w:rPr>
          <w:rFonts w:ascii="Geneva" w:hAnsi="Geneva"/>
          <w:vanish/>
          <w:sz w:val="16"/>
        </w:rPr>
        <w:t xml:space="preserve"> </w:t>
      </w:r>
      <w:bookmarkStart w:id="751" w:name="_Toc203765985"/>
      <w:r>
        <w:t>VBECS Maximum Surgical Blood Order Schedule</w:t>
      </w:r>
      <w:bookmarkEnd w:id="751"/>
      <w:r>
        <w:fldChar w:fldCharType="begin"/>
      </w:r>
      <w:r>
        <w:instrText xml:space="preserve"> XE </w:instrText>
      </w:r>
      <w:r w:rsidR="00FA7E65">
        <w:instrText>“</w:instrText>
      </w:r>
      <w:r>
        <w:instrText>Tables:VBECS Maximum Surgical Blood Order Schedule (MSBOS)</w:instrText>
      </w:r>
      <w:r w:rsidR="00FA7E65">
        <w:instrText>”</w:instrText>
      </w:r>
      <w:r>
        <w:instrText xml:space="preserve"> </w:instrText>
      </w:r>
      <w:r>
        <w:fldChar w:fldCharType="end"/>
      </w:r>
    </w:p>
    <w:p w14:paraId="5488A421" w14:textId="75642817" w:rsidR="002A21AE" w:rsidRDefault="002A21AE">
      <w:pPr>
        <w:pStyle w:val="Caption"/>
      </w:pPr>
      <w:bookmarkStart w:id="752" w:name="_Ref126732493"/>
      <w:bookmarkStart w:id="753" w:name="_Toc97523646"/>
      <w:bookmarkStart w:id="754" w:name="_Toc97527616"/>
      <w:bookmarkStart w:id="755" w:name="_Ref126484549"/>
      <w:bookmarkStart w:id="756" w:name="_Ref126504270"/>
      <w:r>
        <w:t xml:space="preserve">Table </w:t>
      </w:r>
      <w:r w:rsidR="004E20BD">
        <w:rPr>
          <w:noProof/>
        </w:rPr>
        <w:fldChar w:fldCharType="begin"/>
      </w:r>
      <w:r w:rsidR="004E20BD">
        <w:rPr>
          <w:noProof/>
        </w:rPr>
        <w:instrText xml:space="preserve"> SEQ Table \* ARABIC </w:instrText>
      </w:r>
      <w:r w:rsidR="004E20BD">
        <w:rPr>
          <w:noProof/>
        </w:rPr>
        <w:fldChar w:fldCharType="separate"/>
      </w:r>
      <w:r w:rsidR="007D1829">
        <w:rPr>
          <w:noProof/>
        </w:rPr>
        <w:t>23</w:t>
      </w:r>
      <w:r w:rsidR="004E20BD">
        <w:rPr>
          <w:noProof/>
        </w:rPr>
        <w:fldChar w:fldCharType="end"/>
      </w:r>
      <w:bookmarkEnd w:id="752"/>
      <w:r>
        <w:t xml:space="preserve">: </w:t>
      </w:r>
      <w:r>
        <w:rPr>
          <w:vanish/>
        </w:rPr>
        <w:t>PT_32.01</w:t>
      </w:r>
      <w:r>
        <w:rPr>
          <w:vanish/>
          <w:sz w:val="16"/>
        </w:rPr>
        <w:t xml:space="preserve"> </w:t>
      </w:r>
      <w:r>
        <w:t>VBECS Maximum Surgical Blood Order Schedule (MSBOS)</w:t>
      </w:r>
      <w:bookmarkEnd w:id="750"/>
      <w:bookmarkEnd w:id="753"/>
      <w:bookmarkEnd w:id="754"/>
      <w:bookmarkEnd w:id="755"/>
      <w:bookmarkEnd w:id="756"/>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0"/>
        <w:gridCol w:w="4680"/>
      </w:tblGrid>
      <w:tr w:rsidR="00CF62EC" w14:paraId="30C8FDB3" w14:textId="77777777">
        <w:trPr>
          <w:tblHeader/>
        </w:trPr>
        <w:tc>
          <w:tcPr>
            <w:tcW w:w="9360" w:type="dxa"/>
            <w:gridSpan w:val="2"/>
            <w:shd w:val="clear" w:color="auto" w:fill="B3B3B3"/>
            <w:vAlign w:val="bottom"/>
          </w:tcPr>
          <w:p w14:paraId="190D5D82" w14:textId="77777777" w:rsidR="00CF62EC" w:rsidRDefault="00CF62EC" w:rsidP="00CF62EC">
            <w:pPr>
              <w:pStyle w:val="TableText"/>
            </w:pPr>
            <w:r w:rsidRPr="00887834">
              <w:rPr>
                <w:b/>
              </w:rPr>
              <w:t>VBECS Maximum Surgical Blood Order Schedule (MSBOS)</w:t>
            </w:r>
          </w:p>
        </w:tc>
      </w:tr>
      <w:tr w:rsidR="00CF62EC" w14:paraId="6CD3C256" w14:textId="77777777">
        <w:tc>
          <w:tcPr>
            <w:tcW w:w="4680" w:type="dxa"/>
            <w:vAlign w:val="bottom"/>
          </w:tcPr>
          <w:p w14:paraId="29B97BB8" w14:textId="77777777" w:rsidR="00CF62EC" w:rsidRDefault="00CF62EC" w:rsidP="00CF62EC">
            <w:pPr>
              <w:pStyle w:val="TableText"/>
            </w:pPr>
            <w:r>
              <w:t>Abdominal-Perineal resection</w:t>
            </w:r>
          </w:p>
        </w:tc>
        <w:tc>
          <w:tcPr>
            <w:tcW w:w="4680" w:type="dxa"/>
            <w:vAlign w:val="bottom"/>
          </w:tcPr>
          <w:p w14:paraId="4BCC0474" w14:textId="77777777" w:rsidR="00CF62EC" w:rsidRDefault="00CF62EC" w:rsidP="00CF62EC">
            <w:pPr>
              <w:pStyle w:val="TableText"/>
            </w:pPr>
            <w:r>
              <w:t>Keratectomy</w:t>
            </w:r>
          </w:p>
        </w:tc>
      </w:tr>
      <w:tr w:rsidR="00CF62EC" w14:paraId="4FB8650D" w14:textId="77777777">
        <w:tc>
          <w:tcPr>
            <w:tcW w:w="4680" w:type="dxa"/>
            <w:vAlign w:val="bottom"/>
          </w:tcPr>
          <w:p w14:paraId="12D3422C" w14:textId="77777777" w:rsidR="00CF62EC" w:rsidRDefault="00CF62EC" w:rsidP="00CF62EC">
            <w:pPr>
              <w:pStyle w:val="TableText"/>
            </w:pPr>
            <w:r>
              <w:t>Adrenalectomy</w:t>
            </w:r>
          </w:p>
        </w:tc>
        <w:tc>
          <w:tcPr>
            <w:tcW w:w="4680" w:type="dxa"/>
            <w:vAlign w:val="bottom"/>
          </w:tcPr>
          <w:p w14:paraId="4D9E5F3C" w14:textId="77777777" w:rsidR="00CF62EC" w:rsidRDefault="00CF62EC" w:rsidP="00CF62EC">
            <w:pPr>
              <w:pStyle w:val="TableText"/>
            </w:pPr>
            <w:r>
              <w:t>Hernia repair</w:t>
            </w:r>
          </w:p>
        </w:tc>
      </w:tr>
      <w:tr w:rsidR="00CF62EC" w14:paraId="0E5EE4F9" w14:textId="77777777">
        <w:tc>
          <w:tcPr>
            <w:tcW w:w="4680" w:type="dxa"/>
            <w:vAlign w:val="bottom"/>
          </w:tcPr>
          <w:p w14:paraId="70097EE8" w14:textId="77777777" w:rsidR="00CF62EC" w:rsidRDefault="00CF62EC" w:rsidP="00CF62EC">
            <w:pPr>
              <w:pStyle w:val="TableText"/>
            </w:pPr>
            <w:r>
              <w:t>Amputation (A/K, B/K)</w:t>
            </w:r>
          </w:p>
        </w:tc>
        <w:tc>
          <w:tcPr>
            <w:tcW w:w="4680" w:type="dxa"/>
            <w:vAlign w:val="bottom"/>
          </w:tcPr>
          <w:p w14:paraId="37568CA8" w14:textId="77777777" w:rsidR="00CF62EC" w:rsidRDefault="00CF62EC" w:rsidP="00CF62EC">
            <w:pPr>
              <w:pStyle w:val="TableText"/>
            </w:pPr>
            <w:r>
              <w:t>Hip Replacement, total</w:t>
            </w:r>
          </w:p>
        </w:tc>
      </w:tr>
      <w:tr w:rsidR="00CF62EC" w14:paraId="0D6BA7A3" w14:textId="77777777">
        <w:tc>
          <w:tcPr>
            <w:tcW w:w="4680" w:type="dxa"/>
            <w:vAlign w:val="bottom"/>
          </w:tcPr>
          <w:p w14:paraId="6982D30F" w14:textId="77777777" w:rsidR="00CF62EC" w:rsidRDefault="00CF62EC" w:rsidP="00CF62EC">
            <w:pPr>
              <w:pStyle w:val="TableText"/>
            </w:pPr>
            <w:r>
              <w:t>Aneurysm, aortic</w:t>
            </w:r>
          </w:p>
        </w:tc>
        <w:tc>
          <w:tcPr>
            <w:tcW w:w="4680" w:type="dxa"/>
            <w:vAlign w:val="bottom"/>
          </w:tcPr>
          <w:p w14:paraId="5AE7E5E7" w14:textId="77777777" w:rsidR="00CF62EC" w:rsidRDefault="00CF62EC" w:rsidP="00CF62EC">
            <w:pPr>
              <w:pStyle w:val="TableText"/>
            </w:pPr>
            <w:r>
              <w:t>Hip Replacement, revision</w:t>
            </w:r>
          </w:p>
        </w:tc>
      </w:tr>
      <w:tr w:rsidR="00CF62EC" w14:paraId="338C6480" w14:textId="77777777">
        <w:tc>
          <w:tcPr>
            <w:tcW w:w="4680" w:type="dxa"/>
            <w:vAlign w:val="bottom"/>
          </w:tcPr>
          <w:p w14:paraId="760ACE16" w14:textId="77777777" w:rsidR="00CF62EC" w:rsidRDefault="00CF62EC" w:rsidP="00CF62EC">
            <w:pPr>
              <w:pStyle w:val="TableText"/>
            </w:pPr>
            <w:r>
              <w:t>Aneurysm, abdominal</w:t>
            </w:r>
          </w:p>
        </w:tc>
        <w:tc>
          <w:tcPr>
            <w:tcW w:w="4680" w:type="dxa"/>
            <w:vAlign w:val="bottom"/>
          </w:tcPr>
          <w:p w14:paraId="179112D6" w14:textId="77777777" w:rsidR="00CF62EC" w:rsidRDefault="00CF62EC" w:rsidP="00CF62EC">
            <w:pPr>
              <w:pStyle w:val="TableText"/>
            </w:pPr>
            <w:r>
              <w:t>Knee Replacement, total</w:t>
            </w:r>
          </w:p>
        </w:tc>
      </w:tr>
      <w:tr w:rsidR="00CF62EC" w14:paraId="099F8148" w14:textId="77777777">
        <w:tc>
          <w:tcPr>
            <w:tcW w:w="4680" w:type="dxa"/>
            <w:vAlign w:val="bottom"/>
          </w:tcPr>
          <w:p w14:paraId="2BF8444A" w14:textId="77777777" w:rsidR="00CF62EC" w:rsidRDefault="00CF62EC" w:rsidP="00CF62EC">
            <w:pPr>
              <w:pStyle w:val="TableText"/>
            </w:pPr>
            <w:r>
              <w:t>Aneurysm, thoracic</w:t>
            </w:r>
          </w:p>
        </w:tc>
        <w:tc>
          <w:tcPr>
            <w:tcW w:w="4680" w:type="dxa"/>
            <w:vAlign w:val="bottom"/>
          </w:tcPr>
          <w:p w14:paraId="6E6090CA" w14:textId="77777777" w:rsidR="00CF62EC" w:rsidRDefault="00CF62EC" w:rsidP="00CF62EC">
            <w:pPr>
              <w:pStyle w:val="TableText"/>
            </w:pPr>
            <w:r>
              <w:t>Laminectomy, cervical, thoracic, or lumbar</w:t>
            </w:r>
          </w:p>
        </w:tc>
      </w:tr>
      <w:tr w:rsidR="00CF62EC" w14:paraId="08017095" w14:textId="77777777">
        <w:tc>
          <w:tcPr>
            <w:tcW w:w="4680" w:type="dxa"/>
            <w:vAlign w:val="bottom"/>
          </w:tcPr>
          <w:p w14:paraId="472F7036" w14:textId="77777777" w:rsidR="00CF62EC" w:rsidRDefault="00CF62EC" w:rsidP="00CF62EC">
            <w:pPr>
              <w:pStyle w:val="TableText"/>
            </w:pPr>
            <w:r>
              <w:t>Aneurysm, cranial</w:t>
            </w:r>
          </w:p>
        </w:tc>
        <w:tc>
          <w:tcPr>
            <w:tcW w:w="4680" w:type="dxa"/>
            <w:vAlign w:val="bottom"/>
          </w:tcPr>
          <w:p w14:paraId="01F0A548" w14:textId="77777777" w:rsidR="00CF62EC" w:rsidRDefault="00CF62EC" w:rsidP="00CF62EC">
            <w:pPr>
              <w:pStyle w:val="TableText"/>
            </w:pPr>
            <w:r>
              <w:t>Laminectomy, disk repair</w:t>
            </w:r>
          </w:p>
        </w:tc>
      </w:tr>
      <w:tr w:rsidR="00CF62EC" w14:paraId="3D5B3652" w14:textId="77777777">
        <w:tc>
          <w:tcPr>
            <w:tcW w:w="4680" w:type="dxa"/>
            <w:vAlign w:val="bottom"/>
          </w:tcPr>
          <w:p w14:paraId="3A48CB2A" w14:textId="77777777" w:rsidR="00CF62EC" w:rsidRDefault="00CF62EC" w:rsidP="00CF62EC">
            <w:pPr>
              <w:pStyle w:val="TableText"/>
            </w:pPr>
            <w:r>
              <w:t>Aorto-Femoral Bypass</w:t>
            </w:r>
          </w:p>
        </w:tc>
        <w:tc>
          <w:tcPr>
            <w:tcW w:w="4680" w:type="dxa"/>
            <w:vAlign w:val="bottom"/>
          </w:tcPr>
          <w:p w14:paraId="15A6DC39" w14:textId="77777777" w:rsidR="00CF62EC" w:rsidRDefault="00CF62EC" w:rsidP="00CF62EC">
            <w:pPr>
              <w:pStyle w:val="TableText"/>
            </w:pPr>
            <w:r>
              <w:t>Laparotomy, exploratory</w:t>
            </w:r>
          </w:p>
        </w:tc>
      </w:tr>
      <w:tr w:rsidR="00CF62EC" w14:paraId="50F18771" w14:textId="77777777">
        <w:tc>
          <w:tcPr>
            <w:tcW w:w="4680" w:type="dxa"/>
            <w:vAlign w:val="bottom"/>
          </w:tcPr>
          <w:p w14:paraId="6F3FC9CB" w14:textId="77777777" w:rsidR="00CF62EC" w:rsidRDefault="00CF62EC" w:rsidP="00CF62EC">
            <w:pPr>
              <w:pStyle w:val="TableText"/>
            </w:pPr>
            <w:r>
              <w:t>Appendectomy</w:t>
            </w:r>
          </w:p>
        </w:tc>
        <w:tc>
          <w:tcPr>
            <w:tcW w:w="4680" w:type="dxa"/>
            <w:vAlign w:val="bottom"/>
          </w:tcPr>
          <w:p w14:paraId="7D2D610F" w14:textId="77777777" w:rsidR="00CF62EC" w:rsidRDefault="00CF62EC" w:rsidP="00CF62EC">
            <w:pPr>
              <w:pStyle w:val="TableText"/>
            </w:pPr>
            <w:r>
              <w:t>Laryngectomy</w:t>
            </w:r>
          </w:p>
        </w:tc>
      </w:tr>
      <w:tr w:rsidR="00CF62EC" w14:paraId="6F1FA9F3" w14:textId="77777777">
        <w:tc>
          <w:tcPr>
            <w:tcW w:w="4680" w:type="dxa"/>
            <w:vAlign w:val="bottom"/>
          </w:tcPr>
          <w:p w14:paraId="5CE5D1CA" w14:textId="77777777" w:rsidR="00CF62EC" w:rsidRDefault="00CF62EC" w:rsidP="00CF62EC">
            <w:pPr>
              <w:pStyle w:val="TableText"/>
            </w:pPr>
            <w:r>
              <w:t>Coronary Bypass Graft (CABG)</w:t>
            </w:r>
          </w:p>
        </w:tc>
        <w:tc>
          <w:tcPr>
            <w:tcW w:w="4680" w:type="dxa"/>
            <w:vAlign w:val="bottom"/>
          </w:tcPr>
          <w:p w14:paraId="77AE271E" w14:textId="77777777" w:rsidR="00CF62EC" w:rsidRDefault="00CF62EC" w:rsidP="00CF62EC">
            <w:pPr>
              <w:pStyle w:val="TableText"/>
            </w:pPr>
            <w:r>
              <w:t>Lobectomy, pulmonary</w:t>
            </w:r>
          </w:p>
        </w:tc>
      </w:tr>
      <w:tr w:rsidR="00CF62EC" w14:paraId="11CE8778" w14:textId="77777777">
        <w:tc>
          <w:tcPr>
            <w:tcW w:w="4680" w:type="dxa"/>
            <w:vAlign w:val="bottom"/>
          </w:tcPr>
          <w:p w14:paraId="2CC7B974" w14:textId="77777777" w:rsidR="00CF62EC" w:rsidRDefault="00CF62EC" w:rsidP="00CF62EC">
            <w:pPr>
              <w:pStyle w:val="TableText"/>
            </w:pPr>
            <w:r>
              <w:t>Coronary Bypass Graft (CABG), redo</w:t>
            </w:r>
          </w:p>
        </w:tc>
        <w:tc>
          <w:tcPr>
            <w:tcW w:w="4680" w:type="dxa"/>
            <w:vAlign w:val="bottom"/>
          </w:tcPr>
          <w:p w14:paraId="05225975" w14:textId="77777777" w:rsidR="00CF62EC" w:rsidRDefault="00CF62EC" w:rsidP="00CF62EC">
            <w:pPr>
              <w:pStyle w:val="TableText"/>
            </w:pPr>
            <w:r>
              <w:t>Mandibulectomy</w:t>
            </w:r>
          </w:p>
        </w:tc>
      </w:tr>
      <w:tr w:rsidR="00CF62EC" w14:paraId="307F5EC1" w14:textId="77777777">
        <w:tc>
          <w:tcPr>
            <w:tcW w:w="4680" w:type="dxa"/>
            <w:vAlign w:val="bottom"/>
          </w:tcPr>
          <w:p w14:paraId="3B2FAF48" w14:textId="77777777" w:rsidR="00CF62EC" w:rsidRDefault="00CF62EC" w:rsidP="00CF62EC">
            <w:pPr>
              <w:pStyle w:val="TableText"/>
            </w:pPr>
            <w:r>
              <w:t>Carotid Endarterectomy</w:t>
            </w:r>
          </w:p>
        </w:tc>
        <w:tc>
          <w:tcPr>
            <w:tcW w:w="4680" w:type="dxa"/>
            <w:vAlign w:val="bottom"/>
          </w:tcPr>
          <w:p w14:paraId="2F6428D6" w14:textId="77777777" w:rsidR="00CF62EC" w:rsidRDefault="00CF62EC" w:rsidP="00CF62EC">
            <w:pPr>
              <w:pStyle w:val="TableText"/>
            </w:pPr>
            <w:r>
              <w:t>Mastectomy, radical</w:t>
            </w:r>
          </w:p>
        </w:tc>
      </w:tr>
      <w:tr w:rsidR="00CF62EC" w14:paraId="05E6CD25" w14:textId="77777777">
        <w:tc>
          <w:tcPr>
            <w:tcW w:w="4680" w:type="dxa"/>
            <w:vAlign w:val="bottom"/>
          </w:tcPr>
          <w:p w14:paraId="2162D0C1" w14:textId="77777777" w:rsidR="00CF62EC" w:rsidRDefault="00CF62EC" w:rsidP="00CF62EC">
            <w:pPr>
              <w:pStyle w:val="TableText"/>
            </w:pPr>
            <w:r>
              <w:t>Cervical Discectomy</w:t>
            </w:r>
          </w:p>
        </w:tc>
        <w:tc>
          <w:tcPr>
            <w:tcW w:w="4680" w:type="dxa"/>
            <w:vAlign w:val="bottom"/>
          </w:tcPr>
          <w:p w14:paraId="66EF5041" w14:textId="77777777" w:rsidR="00CF62EC" w:rsidRDefault="00CF62EC" w:rsidP="00CF62EC">
            <w:pPr>
              <w:pStyle w:val="TableText"/>
            </w:pPr>
            <w:r>
              <w:t>Maxillectomy</w:t>
            </w:r>
          </w:p>
        </w:tc>
      </w:tr>
      <w:tr w:rsidR="00CF62EC" w14:paraId="160EB6DD" w14:textId="77777777">
        <w:tc>
          <w:tcPr>
            <w:tcW w:w="4680" w:type="dxa"/>
            <w:vAlign w:val="bottom"/>
          </w:tcPr>
          <w:p w14:paraId="0258BDC4" w14:textId="77777777" w:rsidR="00CF62EC" w:rsidRDefault="00CF62EC" w:rsidP="00CF62EC">
            <w:pPr>
              <w:pStyle w:val="TableText"/>
            </w:pPr>
            <w:r>
              <w:t>Cervical Fusion</w:t>
            </w:r>
          </w:p>
        </w:tc>
        <w:tc>
          <w:tcPr>
            <w:tcW w:w="4680" w:type="dxa"/>
            <w:vAlign w:val="bottom"/>
          </w:tcPr>
          <w:p w14:paraId="2174B9F5" w14:textId="77777777" w:rsidR="00CF62EC" w:rsidRDefault="00CF62EC" w:rsidP="00CF62EC">
            <w:pPr>
              <w:pStyle w:val="TableText"/>
            </w:pPr>
            <w:r>
              <w:t>Nephrectomy</w:t>
            </w:r>
          </w:p>
        </w:tc>
      </w:tr>
      <w:tr w:rsidR="00CF62EC" w14:paraId="2AE22CB3" w14:textId="77777777">
        <w:tc>
          <w:tcPr>
            <w:tcW w:w="4680" w:type="dxa"/>
            <w:vAlign w:val="bottom"/>
          </w:tcPr>
          <w:p w14:paraId="4D89F202" w14:textId="77777777" w:rsidR="00CF62EC" w:rsidRDefault="00CF62EC" w:rsidP="00CF62EC">
            <w:pPr>
              <w:pStyle w:val="TableText"/>
            </w:pPr>
            <w:r>
              <w:t>Cholecystectomy</w:t>
            </w:r>
          </w:p>
        </w:tc>
        <w:tc>
          <w:tcPr>
            <w:tcW w:w="4680" w:type="dxa"/>
            <w:vAlign w:val="bottom"/>
          </w:tcPr>
          <w:p w14:paraId="401619A2" w14:textId="77777777" w:rsidR="00CF62EC" w:rsidRDefault="00CF62EC" w:rsidP="00CF62EC">
            <w:pPr>
              <w:pStyle w:val="TableText"/>
            </w:pPr>
            <w:r>
              <w:t>Pancreatectomy</w:t>
            </w:r>
          </w:p>
        </w:tc>
      </w:tr>
      <w:tr w:rsidR="00CF62EC" w14:paraId="67A7F7B9" w14:textId="77777777">
        <w:tc>
          <w:tcPr>
            <w:tcW w:w="4680" w:type="dxa"/>
            <w:vAlign w:val="bottom"/>
          </w:tcPr>
          <w:p w14:paraId="41D9A87E" w14:textId="5E7D47A8" w:rsidR="00CF62EC" w:rsidRDefault="009521F7" w:rsidP="00CF62EC">
            <w:pPr>
              <w:pStyle w:val="TableText"/>
            </w:pPr>
            <w:r>
              <w:t>Colostomy</w:t>
            </w:r>
          </w:p>
        </w:tc>
        <w:tc>
          <w:tcPr>
            <w:tcW w:w="4680" w:type="dxa"/>
            <w:vAlign w:val="bottom"/>
          </w:tcPr>
          <w:p w14:paraId="5621BEF7" w14:textId="77777777" w:rsidR="00CF62EC" w:rsidRDefault="00CF62EC" w:rsidP="00CF62EC">
            <w:pPr>
              <w:pStyle w:val="TableText"/>
            </w:pPr>
            <w:r>
              <w:t>Parathyroidectomy</w:t>
            </w:r>
          </w:p>
        </w:tc>
      </w:tr>
      <w:tr w:rsidR="00CF62EC" w14:paraId="66C503FE" w14:textId="77777777">
        <w:tc>
          <w:tcPr>
            <w:tcW w:w="4680" w:type="dxa"/>
            <w:vAlign w:val="bottom"/>
          </w:tcPr>
          <w:p w14:paraId="31D766EC" w14:textId="77777777" w:rsidR="00CF62EC" w:rsidRDefault="00CF62EC" w:rsidP="00CF62EC">
            <w:pPr>
              <w:pStyle w:val="TableText"/>
            </w:pPr>
            <w:r>
              <w:t>Colectomy</w:t>
            </w:r>
          </w:p>
        </w:tc>
        <w:tc>
          <w:tcPr>
            <w:tcW w:w="4680" w:type="dxa"/>
            <w:vAlign w:val="bottom"/>
          </w:tcPr>
          <w:p w14:paraId="2F944919" w14:textId="77777777" w:rsidR="00CF62EC" w:rsidRDefault="00CF62EC" w:rsidP="00CF62EC">
            <w:pPr>
              <w:pStyle w:val="TableText"/>
            </w:pPr>
            <w:r>
              <w:t>Portocaval Shunt</w:t>
            </w:r>
          </w:p>
        </w:tc>
      </w:tr>
      <w:tr w:rsidR="00CF62EC" w14:paraId="1BC6CB0E" w14:textId="77777777">
        <w:tc>
          <w:tcPr>
            <w:tcW w:w="4680" w:type="dxa"/>
            <w:vAlign w:val="bottom"/>
          </w:tcPr>
          <w:p w14:paraId="2F372528" w14:textId="77777777" w:rsidR="00CF62EC" w:rsidRDefault="00CF62EC" w:rsidP="00CF62EC">
            <w:pPr>
              <w:pStyle w:val="TableText"/>
            </w:pPr>
            <w:r>
              <w:t>Colon Resection</w:t>
            </w:r>
          </w:p>
        </w:tc>
        <w:tc>
          <w:tcPr>
            <w:tcW w:w="4680" w:type="dxa"/>
            <w:vAlign w:val="bottom"/>
          </w:tcPr>
          <w:p w14:paraId="71992900" w14:textId="77777777" w:rsidR="00CF62EC" w:rsidRDefault="00CF62EC" w:rsidP="00CF62EC">
            <w:pPr>
              <w:pStyle w:val="TableText"/>
            </w:pPr>
            <w:r>
              <w:t>Prostatectomy</w:t>
            </w:r>
          </w:p>
        </w:tc>
      </w:tr>
      <w:tr w:rsidR="00CF62EC" w14:paraId="7B7FD2A1" w14:textId="77777777">
        <w:tc>
          <w:tcPr>
            <w:tcW w:w="4680" w:type="dxa"/>
            <w:vAlign w:val="bottom"/>
          </w:tcPr>
          <w:p w14:paraId="34689AD9" w14:textId="77777777" w:rsidR="00CF62EC" w:rsidRDefault="00CF62EC" w:rsidP="00CF62EC">
            <w:pPr>
              <w:pStyle w:val="TableText"/>
            </w:pPr>
            <w:r>
              <w:t>Craniotomy</w:t>
            </w:r>
          </w:p>
        </w:tc>
        <w:tc>
          <w:tcPr>
            <w:tcW w:w="4680" w:type="dxa"/>
            <w:vAlign w:val="bottom"/>
          </w:tcPr>
          <w:p w14:paraId="2C094A9A" w14:textId="77777777" w:rsidR="00CF62EC" w:rsidRDefault="00CF62EC" w:rsidP="00CF62EC">
            <w:pPr>
              <w:pStyle w:val="TableText"/>
            </w:pPr>
            <w:r>
              <w:t>Prostatectomy, total</w:t>
            </w:r>
          </w:p>
        </w:tc>
      </w:tr>
      <w:tr w:rsidR="00CF62EC" w14:paraId="46003A4E" w14:textId="77777777">
        <w:tc>
          <w:tcPr>
            <w:tcW w:w="4680" w:type="dxa"/>
            <w:vAlign w:val="bottom"/>
          </w:tcPr>
          <w:p w14:paraId="71C05EC6" w14:textId="77777777" w:rsidR="00CF62EC" w:rsidRDefault="00CF62EC" w:rsidP="00CF62EC">
            <w:pPr>
              <w:pStyle w:val="TableText"/>
            </w:pPr>
            <w:r>
              <w:t>Cystectomy</w:t>
            </w:r>
          </w:p>
        </w:tc>
        <w:tc>
          <w:tcPr>
            <w:tcW w:w="4680" w:type="dxa"/>
            <w:vAlign w:val="bottom"/>
          </w:tcPr>
          <w:p w14:paraId="7C00CE88" w14:textId="77777777" w:rsidR="00CF62EC" w:rsidRDefault="00CF62EC" w:rsidP="00CF62EC">
            <w:pPr>
              <w:pStyle w:val="TableText"/>
            </w:pPr>
            <w:r>
              <w:t>Radical Neck Dissection</w:t>
            </w:r>
          </w:p>
        </w:tc>
      </w:tr>
      <w:tr w:rsidR="00CF62EC" w14:paraId="6A35E2D6" w14:textId="77777777">
        <w:tc>
          <w:tcPr>
            <w:tcW w:w="4680" w:type="dxa"/>
            <w:vAlign w:val="bottom"/>
          </w:tcPr>
          <w:p w14:paraId="11C9A8C4" w14:textId="77777777" w:rsidR="00CF62EC" w:rsidRDefault="00CF62EC" w:rsidP="00CF62EC">
            <w:pPr>
              <w:pStyle w:val="TableText"/>
            </w:pPr>
            <w:r>
              <w:t>Cystolithotomy</w:t>
            </w:r>
          </w:p>
        </w:tc>
        <w:tc>
          <w:tcPr>
            <w:tcW w:w="4680" w:type="dxa"/>
            <w:vAlign w:val="bottom"/>
          </w:tcPr>
          <w:p w14:paraId="005C264C" w14:textId="77777777" w:rsidR="00CF62EC" w:rsidRDefault="00CF62EC" w:rsidP="00CF62EC">
            <w:pPr>
              <w:pStyle w:val="TableText"/>
            </w:pPr>
            <w:r>
              <w:t>Renal Transplant</w:t>
            </w:r>
          </w:p>
        </w:tc>
      </w:tr>
      <w:tr w:rsidR="00CF62EC" w14:paraId="7C8C661D" w14:textId="77777777">
        <w:tc>
          <w:tcPr>
            <w:tcW w:w="4680" w:type="dxa"/>
            <w:vAlign w:val="bottom"/>
          </w:tcPr>
          <w:p w14:paraId="304C128C" w14:textId="77777777" w:rsidR="00CF62EC" w:rsidRDefault="00CF62EC" w:rsidP="00CF62EC">
            <w:pPr>
              <w:pStyle w:val="TableText"/>
            </w:pPr>
            <w:r>
              <w:t>Cystoscopy</w:t>
            </w:r>
          </w:p>
        </w:tc>
        <w:tc>
          <w:tcPr>
            <w:tcW w:w="4680" w:type="dxa"/>
            <w:vAlign w:val="bottom"/>
          </w:tcPr>
          <w:p w14:paraId="71704ED0" w14:textId="77777777" w:rsidR="00CF62EC" w:rsidRDefault="00CF62EC" w:rsidP="00CF62EC">
            <w:pPr>
              <w:pStyle w:val="TableText"/>
            </w:pPr>
            <w:r>
              <w:t>Skin Flap</w:t>
            </w:r>
          </w:p>
        </w:tc>
      </w:tr>
      <w:tr w:rsidR="00CF62EC" w14:paraId="4A68FD42" w14:textId="77777777">
        <w:tc>
          <w:tcPr>
            <w:tcW w:w="4680" w:type="dxa"/>
            <w:vAlign w:val="bottom"/>
          </w:tcPr>
          <w:p w14:paraId="31365DBF" w14:textId="77777777" w:rsidR="00CF62EC" w:rsidRDefault="00CF62EC" w:rsidP="00CF62EC">
            <w:pPr>
              <w:pStyle w:val="TableText"/>
            </w:pPr>
            <w:r>
              <w:t>Embolectomy</w:t>
            </w:r>
          </w:p>
        </w:tc>
        <w:tc>
          <w:tcPr>
            <w:tcW w:w="4680" w:type="dxa"/>
            <w:vAlign w:val="bottom"/>
          </w:tcPr>
          <w:p w14:paraId="0DB741EE" w14:textId="77777777" w:rsidR="00CF62EC" w:rsidRDefault="00CF62EC" w:rsidP="00CF62EC">
            <w:pPr>
              <w:pStyle w:val="TableText"/>
            </w:pPr>
            <w:r>
              <w:t>Skin Graft</w:t>
            </w:r>
          </w:p>
        </w:tc>
      </w:tr>
      <w:tr w:rsidR="00CF62EC" w14:paraId="48535893" w14:textId="77777777">
        <w:tc>
          <w:tcPr>
            <w:tcW w:w="4680" w:type="dxa"/>
            <w:vAlign w:val="bottom"/>
          </w:tcPr>
          <w:p w14:paraId="38C8B6DA" w14:textId="16E8DDD0" w:rsidR="00CF62EC" w:rsidRDefault="00307930" w:rsidP="00CF62EC">
            <w:pPr>
              <w:pStyle w:val="TableText"/>
            </w:pPr>
            <w:r>
              <w:t>Esophageal</w:t>
            </w:r>
            <w:r w:rsidR="00CF62EC">
              <w:t xml:space="preserve"> Resection</w:t>
            </w:r>
          </w:p>
        </w:tc>
        <w:tc>
          <w:tcPr>
            <w:tcW w:w="4680" w:type="dxa"/>
            <w:vAlign w:val="bottom"/>
          </w:tcPr>
          <w:p w14:paraId="071B95ED" w14:textId="77777777" w:rsidR="00CF62EC" w:rsidRDefault="00CF62EC" w:rsidP="00CF62EC">
            <w:pPr>
              <w:pStyle w:val="TableText"/>
            </w:pPr>
            <w:r>
              <w:t>Splenectomy</w:t>
            </w:r>
          </w:p>
        </w:tc>
      </w:tr>
      <w:tr w:rsidR="00CF62EC" w14:paraId="4229CE79" w14:textId="77777777">
        <w:tc>
          <w:tcPr>
            <w:tcW w:w="4680" w:type="dxa"/>
            <w:vAlign w:val="bottom"/>
          </w:tcPr>
          <w:p w14:paraId="4079D113" w14:textId="04004B12" w:rsidR="00CF62EC" w:rsidRDefault="00CF62EC" w:rsidP="00CF62EC">
            <w:pPr>
              <w:pStyle w:val="TableText"/>
            </w:pPr>
            <w:r>
              <w:t>Esoph</w:t>
            </w:r>
            <w:r w:rsidR="002C6ED0">
              <w:t>a</w:t>
            </w:r>
            <w:r>
              <w:t>gectomy</w:t>
            </w:r>
          </w:p>
        </w:tc>
        <w:tc>
          <w:tcPr>
            <w:tcW w:w="4680" w:type="dxa"/>
            <w:vAlign w:val="bottom"/>
          </w:tcPr>
          <w:p w14:paraId="1C569F4B" w14:textId="77777777" w:rsidR="00CF62EC" w:rsidRDefault="00CF62EC" w:rsidP="00CF62EC">
            <w:pPr>
              <w:pStyle w:val="TableText"/>
            </w:pPr>
            <w:r>
              <w:t>Thyroidectomy</w:t>
            </w:r>
          </w:p>
        </w:tc>
      </w:tr>
      <w:tr w:rsidR="00CF62EC" w14:paraId="1C4D1E9B" w14:textId="77777777">
        <w:tc>
          <w:tcPr>
            <w:tcW w:w="4680" w:type="dxa"/>
            <w:vAlign w:val="bottom"/>
          </w:tcPr>
          <w:p w14:paraId="58E2C3B5" w14:textId="0732F1A5" w:rsidR="00CF62EC" w:rsidRDefault="00CF62EC" w:rsidP="00CF62EC">
            <w:pPr>
              <w:pStyle w:val="TableText"/>
            </w:pPr>
            <w:r>
              <w:t>Femoral-Pop</w:t>
            </w:r>
            <w:r w:rsidR="009521F7">
              <w:t>l</w:t>
            </w:r>
            <w:r>
              <w:t>iteal Bypass</w:t>
            </w:r>
          </w:p>
        </w:tc>
        <w:tc>
          <w:tcPr>
            <w:tcW w:w="4680" w:type="dxa"/>
            <w:vAlign w:val="bottom"/>
          </w:tcPr>
          <w:p w14:paraId="0E7AE919" w14:textId="77777777" w:rsidR="00CF62EC" w:rsidRDefault="00CF62EC" w:rsidP="00CF62EC">
            <w:pPr>
              <w:pStyle w:val="TableText"/>
            </w:pPr>
            <w:r>
              <w:t>Tracheostomy</w:t>
            </w:r>
          </w:p>
        </w:tc>
      </w:tr>
      <w:tr w:rsidR="00CF62EC" w14:paraId="72F8DC73" w14:textId="77777777">
        <w:tc>
          <w:tcPr>
            <w:tcW w:w="4680" w:type="dxa"/>
            <w:vAlign w:val="bottom"/>
          </w:tcPr>
          <w:p w14:paraId="559BCE77" w14:textId="77777777" w:rsidR="00CF62EC" w:rsidRDefault="00CF62EC" w:rsidP="00CF62EC">
            <w:pPr>
              <w:pStyle w:val="TableText"/>
            </w:pPr>
            <w:r>
              <w:t>Fracture, open reduction</w:t>
            </w:r>
          </w:p>
        </w:tc>
        <w:tc>
          <w:tcPr>
            <w:tcW w:w="4680" w:type="dxa"/>
            <w:vAlign w:val="bottom"/>
          </w:tcPr>
          <w:p w14:paraId="554C80DF" w14:textId="77777777" w:rsidR="00CF62EC" w:rsidRDefault="00CF62EC" w:rsidP="00CF62EC">
            <w:pPr>
              <w:pStyle w:val="TableText"/>
            </w:pPr>
            <w:r>
              <w:t>Transurethral Resection (TURP)</w:t>
            </w:r>
          </w:p>
        </w:tc>
      </w:tr>
      <w:tr w:rsidR="00CF62EC" w14:paraId="756AF399" w14:textId="77777777">
        <w:tc>
          <w:tcPr>
            <w:tcW w:w="4680" w:type="dxa"/>
            <w:vAlign w:val="bottom"/>
          </w:tcPr>
          <w:p w14:paraId="502E2821" w14:textId="77777777" w:rsidR="00CF62EC" w:rsidRDefault="00CF62EC" w:rsidP="00CF62EC">
            <w:pPr>
              <w:pStyle w:val="TableText"/>
            </w:pPr>
            <w:r>
              <w:t xml:space="preserve">Fusion, cervical or lumber </w:t>
            </w:r>
          </w:p>
        </w:tc>
        <w:tc>
          <w:tcPr>
            <w:tcW w:w="4680" w:type="dxa"/>
            <w:vAlign w:val="bottom"/>
          </w:tcPr>
          <w:p w14:paraId="15C659AD" w14:textId="77777777" w:rsidR="00CF62EC" w:rsidRDefault="00CF62EC" w:rsidP="00CF62EC">
            <w:pPr>
              <w:pStyle w:val="TableText"/>
            </w:pPr>
            <w:r>
              <w:t>Vagotomy</w:t>
            </w:r>
          </w:p>
        </w:tc>
      </w:tr>
      <w:tr w:rsidR="00CF62EC" w14:paraId="7C7D896D" w14:textId="77777777">
        <w:tc>
          <w:tcPr>
            <w:tcW w:w="4680" w:type="dxa"/>
            <w:vAlign w:val="bottom"/>
          </w:tcPr>
          <w:p w14:paraId="231025CD" w14:textId="77777777" w:rsidR="00CF62EC" w:rsidRDefault="00CF62EC" w:rsidP="00CF62EC">
            <w:pPr>
              <w:pStyle w:val="TableText"/>
            </w:pPr>
            <w:r>
              <w:t>Gastrectomy</w:t>
            </w:r>
          </w:p>
        </w:tc>
        <w:tc>
          <w:tcPr>
            <w:tcW w:w="4680" w:type="dxa"/>
            <w:vAlign w:val="bottom"/>
          </w:tcPr>
          <w:p w14:paraId="3D86EEA2" w14:textId="77777777" w:rsidR="00CF62EC" w:rsidRDefault="00CF62EC" w:rsidP="00CF62EC">
            <w:pPr>
              <w:pStyle w:val="TableText"/>
            </w:pPr>
            <w:r>
              <w:t>Valve replacement, aortic or mitral</w:t>
            </w:r>
          </w:p>
        </w:tc>
      </w:tr>
      <w:tr w:rsidR="00CF62EC" w14:paraId="1A7DE11E" w14:textId="77777777">
        <w:tc>
          <w:tcPr>
            <w:tcW w:w="4680" w:type="dxa"/>
            <w:vAlign w:val="bottom"/>
          </w:tcPr>
          <w:p w14:paraId="770E0CDC" w14:textId="77777777" w:rsidR="00CF62EC" w:rsidRDefault="00CF62EC" w:rsidP="00CF62EC">
            <w:pPr>
              <w:pStyle w:val="TableText"/>
            </w:pPr>
            <w:r>
              <w:t>Gastric Bypass</w:t>
            </w:r>
          </w:p>
        </w:tc>
        <w:tc>
          <w:tcPr>
            <w:tcW w:w="4680" w:type="dxa"/>
            <w:vAlign w:val="bottom"/>
          </w:tcPr>
          <w:p w14:paraId="71105445" w14:textId="77777777" w:rsidR="00CF62EC" w:rsidRDefault="00CF62EC" w:rsidP="00CF62EC">
            <w:pPr>
              <w:pStyle w:val="TableText"/>
            </w:pPr>
            <w:r>
              <w:t>Other*</w:t>
            </w:r>
          </w:p>
        </w:tc>
      </w:tr>
      <w:tr w:rsidR="00CF62EC" w14:paraId="135645A8" w14:textId="77777777">
        <w:tc>
          <w:tcPr>
            <w:tcW w:w="4680" w:type="dxa"/>
            <w:vAlign w:val="bottom"/>
          </w:tcPr>
          <w:p w14:paraId="6A31EDB9" w14:textId="77777777" w:rsidR="00CF62EC" w:rsidRDefault="00CF62EC" w:rsidP="00CF62EC">
            <w:pPr>
              <w:pStyle w:val="TableText"/>
            </w:pPr>
            <w:r>
              <w:t>Glossectomy</w:t>
            </w:r>
          </w:p>
        </w:tc>
        <w:tc>
          <w:tcPr>
            <w:tcW w:w="4680" w:type="dxa"/>
            <w:vAlign w:val="bottom"/>
          </w:tcPr>
          <w:p w14:paraId="1879CA65" w14:textId="77777777" w:rsidR="00CF62EC" w:rsidRDefault="00CF62EC" w:rsidP="00CF62EC">
            <w:pPr>
              <w:pStyle w:val="TableText"/>
            </w:pPr>
          </w:p>
        </w:tc>
      </w:tr>
      <w:tr w:rsidR="00CF62EC" w14:paraId="33D75104" w14:textId="77777777">
        <w:tc>
          <w:tcPr>
            <w:tcW w:w="4680" w:type="dxa"/>
            <w:vAlign w:val="bottom"/>
          </w:tcPr>
          <w:p w14:paraId="6FBB0403" w14:textId="77777777" w:rsidR="00CF62EC" w:rsidRDefault="00CF62EC" w:rsidP="00CF62EC">
            <w:pPr>
              <w:pStyle w:val="TableText"/>
            </w:pPr>
            <w:r>
              <w:t>Hematoma Evacuation, sub- or epidural</w:t>
            </w:r>
          </w:p>
        </w:tc>
        <w:tc>
          <w:tcPr>
            <w:tcW w:w="4680" w:type="dxa"/>
            <w:vAlign w:val="bottom"/>
          </w:tcPr>
          <w:p w14:paraId="7495D9F4" w14:textId="77777777" w:rsidR="00CF62EC" w:rsidRDefault="00CF62EC" w:rsidP="00CF62EC">
            <w:pPr>
              <w:pStyle w:val="TableText"/>
            </w:pPr>
          </w:p>
        </w:tc>
      </w:tr>
    </w:tbl>
    <w:p w14:paraId="664BC52B" w14:textId="77777777" w:rsidR="002A21AE" w:rsidRDefault="002A21AE" w:rsidP="00FA7E65">
      <w:pPr>
        <w:pStyle w:val="BodyText"/>
      </w:pPr>
      <w:r>
        <w:t>*Other surgeries entered in the Surgery Name field during order entry. (</w:t>
      </w:r>
      <w:r w:rsidR="00D5657D">
        <w:t>Local facilities may add</w:t>
      </w:r>
      <w:r w:rsidR="00EB26CD">
        <w:t xml:space="preserve"> surgeries</w:t>
      </w:r>
      <w:r w:rsidR="00D5657D">
        <w:t xml:space="preserve"> to this list</w:t>
      </w:r>
      <w:r>
        <w:t xml:space="preserve">.) Entries made during order entry will not have MSBOS component order recommendations. VBECS does not display “Other” in MSBOS. </w:t>
      </w:r>
    </w:p>
    <w:p w14:paraId="03D7DDBD" w14:textId="77777777" w:rsidR="008A701E" w:rsidRDefault="002A21AE" w:rsidP="008A701E">
      <w:pPr>
        <w:pStyle w:val="Heading3"/>
      </w:pPr>
      <w:r>
        <w:br w:type="page"/>
      </w:r>
      <w:bookmarkStart w:id="757" w:name="_Toc223489218"/>
      <w:r w:rsidR="00966400">
        <w:rPr>
          <w:rFonts w:ascii="Geneva" w:hAnsi="Geneva"/>
          <w:vanish/>
        </w:rPr>
        <w:lastRenderedPageBreak/>
        <w:t xml:space="preserve"> </w:t>
      </w:r>
      <w:r w:rsidR="008A701E">
        <w:rPr>
          <w:rFonts w:ascii="Geneva" w:hAnsi="Geneva"/>
          <w:vanish/>
        </w:rPr>
        <w:t>TT_109.01</w:t>
      </w:r>
      <w:r w:rsidR="008A701E">
        <w:rPr>
          <w:rFonts w:ascii="Geneva" w:hAnsi="Geneva"/>
          <w:vanish/>
          <w:sz w:val="16"/>
        </w:rPr>
        <w:t xml:space="preserve"> </w:t>
      </w:r>
      <w:bookmarkStart w:id="758" w:name="_Toc203765986"/>
      <w:r w:rsidR="008A701E">
        <w:t>BCE COTS Message Updates</w:t>
      </w:r>
      <w:bookmarkEnd w:id="757"/>
      <w:bookmarkEnd w:id="758"/>
      <w:r w:rsidR="008A701E">
        <w:fldChar w:fldCharType="begin"/>
      </w:r>
      <w:r w:rsidR="008A701E">
        <w:instrText xml:space="preserve"> XE “Tables:BCE COTS Message Updates” </w:instrText>
      </w:r>
      <w:r w:rsidR="008A701E">
        <w:fldChar w:fldCharType="end"/>
      </w:r>
    </w:p>
    <w:p w14:paraId="0B624A58" w14:textId="1862816E" w:rsidR="008A701E" w:rsidRDefault="008A701E" w:rsidP="008A701E">
      <w:pPr>
        <w:pStyle w:val="Caption"/>
      </w:pPr>
      <w:bookmarkStart w:id="759" w:name="_Ref223406927"/>
      <w:r>
        <w:t xml:space="preserve">Table </w:t>
      </w:r>
      <w:r w:rsidR="004E20BD">
        <w:rPr>
          <w:noProof/>
        </w:rPr>
        <w:fldChar w:fldCharType="begin"/>
      </w:r>
      <w:r w:rsidR="004E20BD">
        <w:rPr>
          <w:noProof/>
        </w:rPr>
        <w:instrText xml:space="preserve"> SEQ Table \* ARABIC </w:instrText>
      </w:r>
      <w:r w:rsidR="004E20BD">
        <w:rPr>
          <w:noProof/>
        </w:rPr>
        <w:fldChar w:fldCharType="separate"/>
      </w:r>
      <w:r w:rsidR="007D1829">
        <w:rPr>
          <w:noProof/>
        </w:rPr>
        <w:t>24</w:t>
      </w:r>
      <w:r w:rsidR="004E20BD">
        <w:rPr>
          <w:noProof/>
        </w:rPr>
        <w:fldChar w:fldCharType="end"/>
      </w:r>
      <w:bookmarkEnd w:id="759"/>
      <w:r>
        <w:t xml:space="preserve">: </w:t>
      </w:r>
      <w:r>
        <w:rPr>
          <w:vanish/>
        </w:rPr>
        <w:t>TT_109.01</w:t>
      </w:r>
      <w:r>
        <w:rPr>
          <w:vanish/>
          <w:sz w:val="16"/>
        </w:rPr>
        <w:t xml:space="preserve"> </w:t>
      </w:r>
      <w:r>
        <w:t>BCE COTS Message Updates</w:t>
      </w:r>
    </w:p>
    <w:p w14:paraId="54CACBAA" w14:textId="74EFFBEE" w:rsidR="008A701E" w:rsidRPr="00A31869" w:rsidRDefault="008A701E" w:rsidP="008A701E">
      <w:pPr>
        <w:pStyle w:val="TableTextBullet"/>
        <w:numPr>
          <w:ilvl w:val="0"/>
          <w:numId w:val="0"/>
        </w:numPr>
        <w:ind w:left="90"/>
        <w:rPr>
          <w:rFonts w:ascii="Times New Roman" w:hAnsi="Times New Roman"/>
          <w:b/>
          <w:sz w:val="22"/>
          <w:szCs w:val="22"/>
        </w:rPr>
      </w:pPr>
      <w:r w:rsidRPr="00A31869">
        <w:rPr>
          <w:rFonts w:ascii="Times New Roman" w:hAnsi="Times New Roman"/>
          <w:sz w:val="22"/>
          <w:szCs w:val="22"/>
        </w:rPr>
        <w:t>This table identifies the specific subsequent processing of an assigned unit for one patient unit association that may or may not result in a change to the unit status or other quality and how that may or may not trigger a status change that requires update to the BCE COTS product.</w:t>
      </w:r>
      <w:r w:rsidRPr="00A31869">
        <w:rPr>
          <w:rFonts w:ascii="Times New Roman" w:hAnsi="Times New Roman"/>
          <w:b/>
          <w:sz w:val="22"/>
          <w:szCs w:val="22"/>
        </w:rPr>
        <w:t xml:space="preserve"> </w:t>
      </w:r>
    </w:p>
    <w:p w14:paraId="02F40D5B" w14:textId="77777777" w:rsidR="008A701E" w:rsidRDefault="008A701E" w:rsidP="008A701E">
      <w:pPr>
        <w:pStyle w:val="TableTextBullet"/>
        <w:numPr>
          <w:ilvl w:val="0"/>
          <w:numId w:val="0"/>
        </w:numPr>
        <w:ind w:left="90"/>
        <w:rPr>
          <w:rFonts w:cs="Arial"/>
          <w:b/>
          <w:sz w:val="20"/>
        </w:rPr>
      </w:pPr>
    </w:p>
    <w:p w14:paraId="67B1124E" w14:textId="77777777" w:rsidR="008A701E" w:rsidRDefault="008A701E" w:rsidP="008A701E">
      <w:pPr>
        <w:pStyle w:val="TableTextBullet"/>
        <w:numPr>
          <w:ilvl w:val="0"/>
          <w:numId w:val="0"/>
        </w:numPr>
        <w:ind w:left="90"/>
        <w:rPr>
          <w:rFonts w:cs="Arial"/>
          <w:b/>
          <w:sz w:val="20"/>
        </w:rPr>
      </w:pPr>
      <w:r>
        <w:rPr>
          <w:rFonts w:cs="Arial"/>
          <w:b/>
          <w:sz w:val="20"/>
        </w:rPr>
        <w:t>U</w:t>
      </w:r>
      <w:r w:rsidRPr="00315EA0">
        <w:rPr>
          <w:rFonts w:cs="Arial"/>
          <w:b/>
          <w:sz w:val="20"/>
        </w:rPr>
        <w:t>nit status code</w:t>
      </w:r>
      <w:r>
        <w:rPr>
          <w:rFonts w:cs="Arial"/>
          <w:b/>
          <w:sz w:val="20"/>
        </w:rPr>
        <w:t xml:space="preserve"> legend</w:t>
      </w:r>
      <w:r w:rsidRPr="00315EA0">
        <w:rPr>
          <w:rFonts w:cs="Arial"/>
          <w:b/>
          <w:sz w:val="20"/>
        </w:rPr>
        <w:t>:</w:t>
      </w:r>
    </w:p>
    <w:tbl>
      <w:tblPr>
        <w:tblW w:w="0" w:type="auto"/>
        <w:tblInd w:w="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7"/>
        <w:gridCol w:w="2297"/>
        <w:gridCol w:w="2296"/>
        <w:gridCol w:w="2296"/>
      </w:tblGrid>
      <w:tr w:rsidR="008A701E" w:rsidRPr="00186BAB" w14:paraId="2719CCA0" w14:textId="77777777">
        <w:trPr>
          <w:trHeight w:val="255"/>
        </w:trPr>
        <w:tc>
          <w:tcPr>
            <w:tcW w:w="2297" w:type="dxa"/>
            <w:shd w:val="pct20" w:color="auto" w:fill="auto"/>
            <w:vAlign w:val="center"/>
          </w:tcPr>
          <w:p w14:paraId="0F1827A9" w14:textId="77777777" w:rsidR="008A701E" w:rsidRPr="00186BAB" w:rsidRDefault="008A701E" w:rsidP="008A701E">
            <w:pPr>
              <w:jc w:val="center"/>
              <w:rPr>
                <w:rFonts w:ascii="Arial" w:hAnsi="Arial" w:cs="Arial"/>
                <w:b/>
                <w:sz w:val="20"/>
                <w:szCs w:val="20"/>
              </w:rPr>
            </w:pPr>
            <w:r w:rsidRPr="00186BAB">
              <w:rPr>
                <w:rFonts w:ascii="Arial" w:hAnsi="Arial" w:cs="Arial"/>
                <w:b/>
                <w:sz w:val="20"/>
                <w:szCs w:val="20"/>
              </w:rPr>
              <w:t>A</w:t>
            </w:r>
          </w:p>
        </w:tc>
        <w:tc>
          <w:tcPr>
            <w:tcW w:w="2297" w:type="dxa"/>
            <w:vAlign w:val="center"/>
          </w:tcPr>
          <w:p w14:paraId="2CB64966" w14:textId="77777777" w:rsidR="008A701E" w:rsidRPr="00186BAB" w:rsidRDefault="008A701E" w:rsidP="008A701E">
            <w:pPr>
              <w:rPr>
                <w:rFonts w:ascii="Arial" w:hAnsi="Arial" w:cs="Arial"/>
                <w:sz w:val="20"/>
                <w:szCs w:val="20"/>
              </w:rPr>
            </w:pPr>
            <w:r w:rsidRPr="00186BAB">
              <w:rPr>
                <w:rFonts w:ascii="Arial" w:hAnsi="Arial" w:cs="Arial"/>
                <w:sz w:val="20"/>
                <w:szCs w:val="20"/>
              </w:rPr>
              <w:t>Available</w:t>
            </w:r>
          </w:p>
        </w:tc>
        <w:tc>
          <w:tcPr>
            <w:tcW w:w="2296" w:type="dxa"/>
            <w:shd w:val="pct20" w:color="auto" w:fill="auto"/>
            <w:vAlign w:val="center"/>
          </w:tcPr>
          <w:p w14:paraId="682AA113" w14:textId="77777777" w:rsidR="008A701E" w:rsidRPr="00186BAB" w:rsidRDefault="008A701E" w:rsidP="008A701E">
            <w:pPr>
              <w:jc w:val="center"/>
              <w:rPr>
                <w:rFonts w:ascii="Arial" w:hAnsi="Arial" w:cs="Arial"/>
                <w:b/>
                <w:sz w:val="20"/>
                <w:szCs w:val="20"/>
              </w:rPr>
            </w:pPr>
            <w:r w:rsidRPr="00186BAB">
              <w:rPr>
                <w:rFonts w:ascii="Arial" w:hAnsi="Arial" w:cs="Arial"/>
                <w:b/>
                <w:sz w:val="20"/>
                <w:szCs w:val="20"/>
              </w:rPr>
              <w:t>S</w:t>
            </w:r>
          </w:p>
        </w:tc>
        <w:tc>
          <w:tcPr>
            <w:tcW w:w="2296" w:type="dxa"/>
            <w:vAlign w:val="center"/>
          </w:tcPr>
          <w:p w14:paraId="467239A2" w14:textId="77777777" w:rsidR="008A701E" w:rsidRPr="00186BAB" w:rsidRDefault="008A701E" w:rsidP="008A701E">
            <w:pPr>
              <w:rPr>
                <w:rFonts w:ascii="Arial" w:hAnsi="Arial" w:cs="Arial"/>
                <w:sz w:val="20"/>
                <w:szCs w:val="20"/>
              </w:rPr>
            </w:pPr>
            <w:r w:rsidRPr="00186BAB">
              <w:rPr>
                <w:rFonts w:ascii="Arial" w:hAnsi="Arial" w:cs="Arial"/>
                <w:sz w:val="20"/>
                <w:szCs w:val="20"/>
              </w:rPr>
              <w:t>Assigned</w:t>
            </w:r>
          </w:p>
        </w:tc>
      </w:tr>
      <w:tr w:rsidR="008A701E" w:rsidRPr="00186BAB" w14:paraId="002D2631" w14:textId="77777777">
        <w:trPr>
          <w:trHeight w:val="255"/>
        </w:trPr>
        <w:tc>
          <w:tcPr>
            <w:tcW w:w="2297" w:type="dxa"/>
            <w:shd w:val="pct20" w:color="auto" w:fill="auto"/>
            <w:vAlign w:val="center"/>
          </w:tcPr>
          <w:p w14:paraId="23CBE8A0" w14:textId="77777777" w:rsidR="008A701E" w:rsidRPr="00186BAB" w:rsidRDefault="008A701E" w:rsidP="008A701E">
            <w:pPr>
              <w:jc w:val="center"/>
              <w:rPr>
                <w:rFonts w:ascii="Arial" w:hAnsi="Arial" w:cs="Arial"/>
                <w:b/>
                <w:sz w:val="20"/>
                <w:szCs w:val="20"/>
              </w:rPr>
            </w:pPr>
            <w:r w:rsidRPr="00186BAB">
              <w:rPr>
                <w:rFonts w:ascii="Arial" w:hAnsi="Arial" w:cs="Arial"/>
                <w:b/>
                <w:sz w:val="20"/>
                <w:szCs w:val="20"/>
              </w:rPr>
              <w:t>C</w:t>
            </w:r>
          </w:p>
        </w:tc>
        <w:tc>
          <w:tcPr>
            <w:tcW w:w="2297" w:type="dxa"/>
            <w:vAlign w:val="center"/>
          </w:tcPr>
          <w:p w14:paraId="60A7F513" w14:textId="77777777" w:rsidR="008A701E" w:rsidRPr="00186BAB" w:rsidRDefault="008A701E" w:rsidP="008A701E">
            <w:pPr>
              <w:rPr>
                <w:rFonts w:ascii="Arial" w:hAnsi="Arial" w:cs="Arial"/>
                <w:sz w:val="20"/>
                <w:szCs w:val="20"/>
              </w:rPr>
            </w:pPr>
            <w:r w:rsidRPr="00186BAB">
              <w:rPr>
                <w:rFonts w:ascii="Arial" w:hAnsi="Arial" w:cs="Arial"/>
                <w:sz w:val="20"/>
                <w:szCs w:val="20"/>
              </w:rPr>
              <w:t>Crossmatched</w:t>
            </w:r>
          </w:p>
        </w:tc>
        <w:tc>
          <w:tcPr>
            <w:tcW w:w="2296" w:type="dxa"/>
            <w:shd w:val="pct20" w:color="auto" w:fill="auto"/>
            <w:vAlign w:val="center"/>
          </w:tcPr>
          <w:p w14:paraId="2671C786" w14:textId="77777777" w:rsidR="008A701E" w:rsidRPr="00186BAB" w:rsidRDefault="008A701E" w:rsidP="008A701E">
            <w:pPr>
              <w:jc w:val="center"/>
              <w:rPr>
                <w:rFonts w:ascii="Arial" w:hAnsi="Arial" w:cs="Arial"/>
                <w:b/>
                <w:sz w:val="20"/>
                <w:szCs w:val="20"/>
              </w:rPr>
            </w:pPr>
            <w:r w:rsidRPr="00186BAB">
              <w:rPr>
                <w:rFonts w:ascii="Arial" w:hAnsi="Arial" w:cs="Arial"/>
                <w:b/>
                <w:sz w:val="20"/>
                <w:szCs w:val="20"/>
              </w:rPr>
              <w:t>T</w:t>
            </w:r>
          </w:p>
        </w:tc>
        <w:tc>
          <w:tcPr>
            <w:tcW w:w="2296" w:type="dxa"/>
            <w:vAlign w:val="center"/>
          </w:tcPr>
          <w:p w14:paraId="76002F8D" w14:textId="77777777" w:rsidR="008A701E" w:rsidRPr="00186BAB" w:rsidRDefault="008A701E" w:rsidP="008A701E">
            <w:pPr>
              <w:rPr>
                <w:rFonts w:ascii="Arial" w:hAnsi="Arial" w:cs="Arial"/>
                <w:sz w:val="20"/>
                <w:szCs w:val="20"/>
              </w:rPr>
            </w:pPr>
            <w:r w:rsidRPr="00186BAB">
              <w:rPr>
                <w:rFonts w:ascii="Arial" w:hAnsi="Arial" w:cs="Arial"/>
                <w:sz w:val="20"/>
                <w:szCs w:val="20"/>
              </w:rPr>
              <w:t>Transfused</w:t>
            </w:r>
          </w:p>
        </w:tc>
      </w:tr>
      <w:tr w:rsidR="008A701E" w:rsidRPr="00186BAB" w14:paraId="08562439" w14:textId="77777777">
        <w:trPr>
          <w:trHeight w:val="255"/>
        </w:trPr>
        <w:tc>
          <w:tcPr>
            <w:tcW w:w="2297" w:type="dxa"/>
            <w:shd w:val="pct20" w:color="auto" w:fill="auto"/>
            <w:vAlign w:val="center"/>
          </w:tcPr>
          <w:p w14:paraId="5F1EE3EA" w14:textId="77777777" w:rsidR="008A701E" w:rsidRPr="00186BAB" w:rsidRDefault="008A701E" w:rsidP="008A701E">
            <w:pPr>
              <w:jc w:val="center"/>
              <w:rPr>
                <w:rFonts w:ascii="Arial" w:hAnsi="Arial" w:cs="Arial"/>
                <w:b/>
                <w:sz w:val="20"/>
                <w:szCs w:val="20"/>
              </w:rPr>
            </w:pPr>
            <w:r w:rsidRPr="00186BAB">
              <w:rPr>
                <w:rFonts w:ascii="Arial" w:hAnsi="Arial" w:cs="Arial"/>
                <w:b/>
                <w:sz w:val="20"/>
                <w:szCs w:val="20"/>
              </w:rPr>
              <w:t>D</w:t>
            </w:r>
          </w:p>
        </w:tc>
        <w:tc>
          <w:tcPr>
            <w:tcW w:w="2297" w:type="dxa"/>
            <w:vAlign w:val="center"/>
          </w:tcPr>
          <w:p w14:paraId="3F1A781A" w14:textId="77777777" w:rsidR="008A701E" w:rsidRPr="00186BAB" w:rsidRDefault="008A701E" w:rsidP="008A701E">
            <w:pPr>
              <w:rPr>
                <w:rFonts w:ascii="Arial" w:hAnsi="Arial" w:cs="Arial"/>
                <w:sz w:val="20"/>
                <w:szCs w:val="20"/>
              </w:rPr>
            </w:pPr>
            <w:r w:rsidRPr="00186BAB">
              <w:rPr>
                <w:rFonts w:ascii="Arial" w:hAnsi="Arial" w:cs="Arial"/>
                <w:sz w:val="20"/>
                <w:szCs w:val="20"/>
              </w:rPr>
              <w:t>Discarded</w:t>
            </w:r>
          </w:p>
        </w:tc>
        <w:tc>
          <w:tcPr>
            <w:tcW w:w="2296" w:type="dxa"/>
            <w:shd w:val="pct20" w:color="auto" w:fill="auto"/>
            <w:vAlign w:val="center"/>
          </w:tcPr>
          <w:p w14:paraId="757E5B7A" w14:textId="77777777" w:rsidR="008A701E" w:rsidRPr="00186BAB" w:rsidRDefault="008A701E" w:rsidP="008A701E">
            <w:pPr>
              <w:jc w:val="center"/>
              <w:rPr>
                <w:rFonts w:ascii="Arial" w:hAnsi="Arial" w:cs="Arial"/>
                <w:b/>
                <w:sz w:val="20"/>
                <w:szCs w:val="20"/>
              </w:rPr>
            </w:pPr>
            <w:r w:rsidRPr="00186BAB">
              <w:rPr>
                <w:rFonts w:ascii="Arial" w:hAnsi="Arial" w:cs="Arial"/>
                <w:b/>
                <w:sz w:val="20"/>
                <w:szCs w:val="20"/>
              </w:rPr>
              <w:t>X</w:t>
            </w:r>
          </w:p>
        </w:tc>
        <w:tc>
          <w:tcPr>
            <w:tcW w:w="2296" w:type="dxa"/>
            <w:vAlign w:val="center"/>
          </w:tcPr>
          <w:p w14:paraId="0B8855F4" w14:textId="77777777" w:rsidR="008A701E" w:rsidRPr="00186BAB" w:rsidRDefault="008A701E" w:rsidP="008A701E">
            <w:pPr>
              <w:rPr>
                <w:rFonts w:ascii="Arial" w:hAnsi="Arial" w:cs="Arial"/>
                <w:sz w:val="20"/>
                <w:szCs w:val="20"/>
              </w:rPr>
            </w:pPr>
            <w:r w:rsidRPr="00186BAB">
              <w:rPr>
                <w:rFonts w:ascii="Arial" w:hAnsi="Arial" w:cs="Arial"/>
                <w:sz w:val="20"/>
                <w:szCs w:val="20"/>
              </w:rPr>
              <w:t>Transferred</w:t>
            </w:r>
          </w:p>
        </w:tc>
      </w:tr>
      <w:tr w:rsidR="008A701E" w:rsidRPr="00186BAB" w14:paraId="3A3DA0CB" w14:textId="77777777">
        <w:trPr>
          <w:trHeight w:val="255"/>
        </w:trPr>
        <w:tc>
          <w:tcPr>
            <w:tcW w:w="2297" w:type="dxa"/>
            <w:shd w:val="pct20" w:color="auto" w:fill="auto"/>
            <w:vAlign w:val="center"/>
          </w:tcPr>
          <w:p w14:paraId="6BB8431F" w14:textId="77777777" w:rsidR="008A701E" w:rsidRPr="00186BAB" w:rsidRDefault="008A701E" w:rsidP="008A701E">
            <w:pPr>
              <w:jc w:val="center"/>
              <w:rPr>
                <w:rFonts w:ascii="Arial" w:hAnsi="Arial" w:cs="Arial"/>
                <w:b/>
                <w:sz w:val="20"/>
                <w:szCs w:val="20"/>
              </w:rPr>
            </w:pPr>
            <w:r w:rsidRPr="00186BAB">
              <w:rPr>
                <w:rFonts w:ascii="Arial" w:hAnsi="Arial" w:cs="Arial"/>
                <w:b/>
                <w:sz w:val="20"/>
                <w:szCs w:val="20"/>
              </w:rPr>
              <w:t>I</w:t>
            </w:r>
          </w:p>
        </w:tc>
        <w:tc>
          <w:tcPr>
            <w:tcW w:w="2297" w:type="dxa"/>
            <w:vAlign w:val="center"/>
          </w:tcPr>
          <w:p w14:paraId="16F3E0BE" w14:textId="77777777" w:rsidR="008A701E" w:rsidRPr="00186BAB" w:rsidRDefault="008A701E" w:rsidP="008A701E">
            <w:pPr>
              <w:rPr>
                <w:rFonts w:ascii="Arial" w:hAnsi="Arial" w:cs="Arial"/>
                <w:sz w:val="20"/>
                <w:szCs w:val="20"/>
              </w:rPr>
            </w:pPr>
            <w:r w:rsidRPr="00186BAB">
              <w:rPr>
                <w:rFonts w:ascii="Arial" w:hAnsi="Arial" w:cs="Arial"/>
                <w:sz w:val="20"/>
                <w:szCs w:val="20"/>
              </w:rPr>
              <w:t>Issued</w:t>
            </w:r>
          </w:p>
        </w:tc>
        <w:tc>
          <w:tcPr>
            <w:tcW w:w="2296" w:type="dxa"/>
            <w:shd w:val="pct20" w:color="auto" w:fill="auto"/>
            <w:vAlign w:val="center"/>
          </w:tcPr>
          <w:p w14:paraId="2501A2D4" w14:textId="77777777" w:rsidR="008A701E" w:rsidRPr="00186BAB" w:rsidRDefault="008A701E" w:rsidP="008A701E">
            <w:pPr>
              <w:jc w:val="center"/>
              <w:rPr>
                <w:rFonts w:ascii="Arial" w:hAnsi="Arial" w:cs="Arial"/>
                <w:b/>
                <w:sz w:val="20"/>
                <w:szCs w:val="20"/>
              </w:rPr>
            </w:pPr>
            <w:r w:rsidRPr="00186BAB">
              <w:rPr>
                <w:rFonts w:ascii="Arial" w:hAnsi="Arial" w:cs="Arial"/>
                <w:b/>
                <w:sz w:val="20"/>
                <w:szCs w:val="20"/>
              </w:rPr>
              <w:t>DS</w:t>
            </w:r>
          </w:p>
        </w:tc>
        <w:tc>
          <w:tcPr>
            <w:tcW w:w="2296" w:type="dxa"/>
            <w:vAlign w:val="center"/>
          </w:tcPr>
          <w:p w14:paraId="4AD075A2" w14:textId="77777777" w:rsidR="008A701E" w:rsidRPr="00186BAB" w:rsidRDefault="008A701E" w:rsidP="008A701E">
            <w:pPr>
              <w:rPr>
                <w:rFonts w:ascii="Arial" w:hAnsi="Arial" w:cs="Arial"/>
                <w:sz w:val="20"/>
                <w:szCs w:val="20"/>
              </w:rPr>
            </w:pPr>
            <w:r w:rsidRPr="00186BAB">
              <w:rPr>
                <w:rFonts w:ascii="Arial" w:hAnsi="Arial" w:cs="Arial"/>
                <w:sz w:val="20"/>
                <w:szCs w:val="20"/>
              </w:rPr>
              <w:t>Dispense Unit (Issued)</w:t>
            </w:r>
          </w:p>
        </w:tc>
      </w:tr>
      <w:tr w:rsidR="008A701E" w:rsidRPr="00186BAB" w14:paraId="7DAB7EFD" w14:textId="77777777">
        <w:trPr>
          <w:trHeight w:val="255"/>
        </w:trPr>
        <w:tc>
          <w:tcPr>
            <w:tcW w:w="2297" w:type="dxa"/>
            <w:shd w:val="pct20" w:color="auto" w:fill="auto"/>
            <w:vAlign w:val="center"/>
          </w:tcPr>
          <w:p w14:paraId="694E5686" w14:textId="77777777" w:rsidR="008A701E" w:rsidRPr="00186BAB" w:rsidRDefault="008A701E" w:rsidP="008A701E">
            <w:pPr>
              <w:jc w:val="center"/>
              <w:rPr>
                <w:rFonts w:ascii="Arial" w:hAnsi="Arial" w:cs="Arial"/>
                <w:b/>
                <w:sz w:val="20"/>
                <w:szCs w:val="20"/>
              </w:rPr>
            </w:pPr>
            <w:r w:rsidRPr="00186BAB">
              <w:rPr>
                <w:rFonts w:ascii="Arial" w:hAnsi="Arial" w:cs="Arial"/>
                <w:b/>
                <w:sz w:val="20"/>
                <w:szCs w:val="20"/>
              </w:rPr>
              <w:t>L</w:t>
            </w:r>
          </w:p>
        </w:tc>
        <w:tc>
          <w:tcPr>
            <w:tcW w:w="2297" w:type="dxa"/>
            <w:vAlign w:val="center"/>
          </w:tcPr>
          <w:p w14:paraId="7D5A3728" w14:textId="77777777" w:rsidR="008A701E" w:rsidRPr="00186BAB" w:rsidRDefault="008A701E" w:rsidP="008A701E">
            <w:pPr>
              <w:rPr>
                <w:rFonts w:ascii="Arial" w:hAnsi="Arial" w:cs="Arial"/>
                <w:sz w:val="20"/>
                <w:szCs w:val="20"/>
              </w:rPr>
            </w:pPr>
            <w:r w:rsidRPr="00186BAB">
              <w:rPr>
                <w:rFonts w:ascii="Arial" w:hAnsi="Arial" w:cs="Arial"/>
                <w:sz w:val="20"/>
                <w:szCs w:val="20"/>
              </w:rPr>
              <w:t>Limited</w:t>
            </w:r>
          </w:p>
        </w:tc>
        <w:tc>
          <w:tcPr>
            <w:tcW w:w="2296" w:type="dxa"/>
            <w:shd w:val="pct20" w:color="auto" w:fill="auto"/>
            <w:vAlign w:val="center"/>
          </w:tcPr>
          <w:p w14:paraId="0902E9A1" w14:textId="77777777" w:rsidR="008A701E" w:rsidRPr="00186BAB" w:rsidRDefault="008A701E" w:rsidP="008A701E">
            <w:pPr>
              <w:jc w:val="center"/>
              <w:rPr>
                <w:rFonts w:ascii="Arial" w:hAnsi="Arial" w:cs="Arial"/>
                <w:b/>
                <w:sz w:val="20"/>
                <w:szCs w:val="20"/>
              </w:rPr>
            </w:pPr>
            <w:r w:rsidRPr="00186BAB">
              <w:rPr>
                <w:rFonts w:ascii="Arial" w:hAnsi="Arial" w:cs="Arial"/>
                <w:b/>
                <w:sz w:val="20"/>
                <w:szCs w:val="20"/>
              </w:rPr>
              <w:t>RE</w:t>
            </w:r>
          </w:p>
        </w:tc>
        <w:tc>
          <w:tcPr>
            <w:tcW w:w="2296" w:type="dxa"/>
            <w:vAlign w:val="center"/>
          </w:tcPr>
          <w:p w14:paraId="4FC96EC6" w14:textId="77777777" w:rsidR="008A701E" w:rsidRPr="00186BAB" w:rsidRDefault="008A701E" w:rsidP="008A701E">
            <w:pPr>
              <w:rPr>
                <w:rFonts w:ascii="Arial" w:hAnsi="Arial" w:cs="Arial"/>
                <w:sz w:val="20"/>
                <w:szCs w:val="20"/>
              </w:rPr>
            </w:pPr>
            <w:r w:rsidRPr="00186BAB">
              <w:rPr>
                <w:rFonts w:ascii="Arial" w:hAnsi="Arial" w:cs="Arial"/>
                <w:sz w:val="20"/>
                <w:szCs w:val="20"/>
              </w:rPr>
              <w:t>Release Unit</w:t>
            </w:r>
          </w:p>
        </w:tc>
      </w:tr>
      <w:tr w:rsidR="008A701E" w:rsidRPr="00186BAB" w14:paraId="7561C38F" w14:textId="77777777">
        <w:trPr>
          <w:trHeight w:val="255"/>
        </w:trPr>
        <w:tc>
          <w:tcPr>
            <w:tcW w:w="2297" w:type="dxa"/>
            <w:shd w:val="pct20" w:color="auto" w:fill="auto"/>
            <w:vAlign w:val="center"/>
          </w:tcPr>
          <w:p w14:paraId="3733A0AE" w14:textId="77777777" w:rsidR="008A701E" w:rsidRPr="00186BAB" w:rsidRDefault="008A701E" w:rsidP="008A701E">
            <w:pPr>
              <w:jc w:val="center"/>
              <w:rPr>
                <w:rFonts w:ascii="Arial" w:hAnsi="Arial" w:cs="Arial"/>
                <w:b/>
                <w:sz w:val="20"/>
                <w:szCs w:val="20"/>
              </w:rPr>
            </w:pPr>
            <w:r w:rsidRPr="00186BAB">
              <w:rPr>
                <w:rFonts w:ascii="Arial" w:hAnsi="Arial" w:cs="Arial"/>
                <w:b/>
                <w:sz w:val="20"/>
                <w:szCs w:val="20"/>
              </w:rPr>
              <w:t>M</w:t>
            </w:r>
          </w:p>
        </w:tc>
        <w:tc>
          <w:tcPr>
            <w:tcW w:w="2297" w:type="dxa"/>
            <w:vAlign w:val="center"/>
          </w:tcPr>
          <w:p w14:paraId="52A7F4EC" w14:textId="77777777" w:rsidR="008A701E" w:rsidRPr="00186BAB" w:rsidRDefault="008A701E" w:rsidP="008A701E">
            <w:pPr>
              <w:rPr>
                <w:rFonts w:ascii="Arial" w:hAnsi="Arial" w:cs="Arial"/>
                <w:sz w:val="20"/>
                <w:szCs w:val="20"/>
              </w:rPr>
            </w:pPr>
            <w:r w:rsidRPr="00186BAB">
              <w:rPr>
                <w:rFonts w:ascii="Arial" w:hAnsi="Arial" w:cs="Arial"/>
                <w:sz w:val="20"/>
                <w:szCs w:val="20"/>
              </w:rPr>
              <w:t>Modified</w:t>
            </w:r>
          </w:p>
        </w:tc>
        <w:tc>
          <w:tcPr>
            <w:tcW w:w="2296" w:type="dxa"/>
            <w:shd w:val="pct20" w:color="auto" w:fill="auto"/>
            <w:vAlign w:val="center"/>
          </w:tcPr>
          <w:p w14:paraId="106BE70A" w14:textId="77777777" w:rsidR="008A701E" w:rsidRPr="00186BAB" w:rsidRDefault="008A701E" w:rsidP="008A701E">
            <w:pPr>
              <w:jc w:val="center"/>
              <w:rPr>
                <w:rFonts w:ascii="Arial" w:hAnsi="Arial" w:cs="Arial"/>
                <w:b/>
                <w:sz w:val="20"/>
                <w:szCs w:val="20"/>
              </w:rPr>
            </w:pPr>
            <w:r w:rsidRPr="00186BAB">
              <w:rPr>
                <w:rFonts w:ascii="Arial" w:hAnsi="Arial" w:cs="Arial"/>
                <w:b/>
                <w:sz w:val="20"/>
                <w:szCs w:val="20"/>
              </w:rPr>
              <w:t>RS</w:t>
            </w:r>
          </w:p>
        </w:tc>
        <w:tc>
          <w:tcPr>
            <w:tcW w:w="2296" w:type="dxa"/>
            <w:vAlign w:val="center"/>
          </w:tcPr>
          <w:p w14:paraId="168B344A" w14:textId="77777777" w:rsidR="008A701E" w:rsidRPr="00186BAB" w:rsidRDefault="008A701E" w:rsidP="008A701E">
            <w:pPr>
              <w:rPr>
                <w:rFonts w:ascii="Arial" w:hAnsi="Arial" w:cs="Arial"/>
                <w:sz w:val="20"/>
                <w:szCs w:val="20"/>
              </w:rPr>
            </w:pPr>
            <w:r w:rsidRPr="00186BAB">
              <w:rPr>
                <w:rFonts w:ascii="Arial" w:hAnsi="Arial" w:cs="Arial"/>
                <w:sz w:val="20"/>
                <w:szCs w:val="20"/>
              </w:rPr>
              <w:t>Reserve Unit</w:t>
            </w:r>
          </w:p>
        </w:tc>
      </w:tr>
    </w:tbl>
    <w:p w14:paraId="42984C7F" w14:textId="77777777" w:rsidR="008A701E" w:rsidRPr="00186BAB" w:rsidRDefault="008A701E" w:rsidP="008A701E">
      <w:r w:rsidRPr="00C1371B">
        <w:t xml:space="preserve"> </w:t>
      </w:r>
    </w:p>
    <w:tbl>
      <w:tblPr>
        <w:tblW w:w="951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0"/>
        <w:gridCol w:w="540"/>
        <w:gridCol w:w="1867"/>
        <w:gridCol w:w="3060"/>
        <w:gridCol w:w="1530"/>
        <w:gridCol w:w="2071"/>
      </w:tblGrid>
      <w:tr w:rsidR="008A701E" w:rsidRPr="006A2781" w14:paraId="1C810CA7" w14:textId="77777777" w:rsidTr="00A732E0">
        <w:trPr>
          <w:cantSplit/>
          <w:tblHeader/>
        </w:trPr>
        <w:tc>
          <w:tcPr>
            <w:tcW w:w="9518" w:type="dxa"/>
            <w:gridSpan w:val="6"/>
            <w:shd w:val="clear" w:color="auto" w:fill="C0C0C0"/>
            <w:vAlign w:val="bottom"/>
          </w:tcPr>
          <w:p w14:paraId="67BB6E3D" w14:textId="77777777" w:rsidR="008A701E" w:rsidRPr="006A2781" w:rsidRDefault="008A701E" w:rsidP="008A701E">
            <w:pPr>
              <w:jc w:val="center"/>
              <w:rPr>
                <w:rFonts w:ascii="Arial" w:hAnsi="Arial" w:cs="Arial"/>
                <w:b/>
                <w:bCs/>
                <w:sz w:val="18"/>
                <w:szCs w:val="18"/>
              </w:rPr>
            </w:pPr>
            <w:r w:rsidRPr="006A2781">
              <w:rPr>
                <w:rFonts w:ascii="Arial" w:hAnsi="Arial" w:cs="Arial"/>
                <w:b/>
                <w:sz w:val="18"/>
                <w:szCs w:val="18"/>
              </w:rPr>
              <w:t>BCE COTS Message Updates</w:t>
            </w:r>
          </w:p>
        </w:tc>
      </w:tr>
      <w:tr w:rsidR="008A701E" w:rsidRPr="006A2781" w14:paraId="72F56D1B" w14:textId="77777777" w:rsidTr="00A732E0">
        <w:trPr>
          <w:cantSplit/>
          <w:trHeight w:val="1134"/>
          <w:tblHeader/>
        </w:trPr>
        <w:tc>
          <w:tcPr>
            <w:tcW w:w="450" w:type="dxa"/>
            <w:shd w:val="clear" w:color="auto" w:fill="C0C0C0"/>
            <w:textDirection w:val="btLr"/>
            <w:vAlign w:val="bottom"/>
          </w:tcPr>
          <w:p w14:paraId="1DCF2B20" w14:textId="77777777" w:rsidR="008A701E" w:rsidRPr="006A2781" w:rsidRDefault="008A701E" w:rsidP="008A701E">
            <w:pPr>
              <w:ind w:left="113" w:right="113"/>
              <w:jc w:val="center"/>
              <w:rPr>
                <w:rFonts w:ascii="Arial" w:hAnsi="Arial" w:cs="Arial"/>
                <w:b/>
                <w:bCs/>
                <w:sz w:val="18"/>
                <w:szCs w:val="18"/>
              </w:rPr>
            </w:pPr>
            <w:r>
              <w:rPr>
                <w:rFonts w:ascii="Arial" w:hAnsi="Arial" w:cs="Arial"/>
                <w:b/>
                <w:bCs/>
                <w:sz w:val="18"/>
                <w:szCs w:val="18"/>
              </w:rPr>
              <w:t>Row #</w:t>
            </w:r>
          </w:p>
        </w:tc>
        <w:tc>
          <w:tcPr>
            <w:tcW w:w="540" w:type="dxa"/>
            <w:shd w:val="clear" w:color="auto" w:fill="C0C0C0"/>
            <w:textDirection w:val="btLr"/>
            <w:vAlign w:val="bottom"/>
          </w:tcPr>
          <w:p w14:paraId="2FB636E7" w14:textId="77777777" w:rsidR="008A701E" w:rsidRPr="006A2781" w:rsidRDefault="008A701E" w:rsidP="008A701E">
            <w:pPr>
              <w:ind w:left="113" w:right="113"/>
              <w:jc w:val="center"/>
              <w:rPr>
                <w:rFonts w:ascii="Arial" w:hAnsi="Arial" w:cs="Arial"/>
                <w:b/>
                <w:bCs/>
                <w:sz w:val="18"/>
                <w:szCs w:val="18"/>
              </w:rPr>
            </w:pPr>
            <w:r>
              <w:rPr>
                <w:rFonts w:ascii="Arial" w:hAnsi="Arial" w:cs="Arial"/>
                <w:b/>
                <w:bCs/>
                <w:sz w:val="18"/>
                <w:szCs w:val="18"/>
              </w:rPr>
              <w:t>Initial Unit Status</w:t>
            </w:r>
          </w:p>
        </w:tc>
        <w:tc>
          <w:tcPr>
            <w:tcW w:w="1867" w:type="dxa"/>
            <w:shd w:val="clear" w:color="auto" w:fill="C0C0C0"/>
            <w:vAlign w:val="bottom"/>
          </w:tcPr>
          <w:p w14:paraId="7C65124F" w14:textId="77777777" w:rsidR="008A701E" w:rsidRPr="006A2781" w:rsidRDefault="008A701E" w:rsidP="008A701E">
            <w:pPr>
              <w:rPr>
                <w:rFonts w:ascii="Arial" w:hAnsi="Arial" w:cs="Arial"/>
                <w:b/>
                <w:bCs/>
                <w:sz w:val="18"/>
                <w:szCs w:val="18"/>
              </w:rPr>
            </w:pPr>
            <w:r w:rsidRPr="006A2781">
              <w:rPr>
                <w:rFonts w:ascii="Arial" w:hAnsi="Arial" w:cs="Arial"/>
                <w:b/>
                <w:bCs/>
                <w:sz w:val="18"/>
                <w:szCs w:val="18"/>
              </w:rPr>
              <w:t>Processin</w:t>
            </w:r>
            <w:r>
              <w:rPr>
                <w:rFonts w:ascii="Arial" w:hAnsi="Arial" w:cs="Arial"/>
                <w:b/>
                <w:bCs/>
                <w:sz w:val="18"/>
                <w:szCs w:val="18"/>
              </w:rPr>
              <w:t>g Option</w:t>
            </w:r>
          </w:p>
        </w:tc>
        <w:tc>
          <w:tcPr>
            <w:tcW w:w="3060" w:type="dxa"/>
            <w:shd w:val="clear" w:color="auto" w:fill="C0C0C0"/>
            <w:vAlign w:val="bottom"/>
          </w:tcPr>
          <w:p w14:paraId="4C7C4B19" w14:textId="77777777" w:rsidR="008A701E" w:rsidRPr="006A2781" w:rsidRDefault="008A701E" w:rsidP="008A701E">
            <w:pPr>
              <w:rPr>
                <w:rFonts w:ascii="Arial" w:hAnsi="Arial" w:cs="Arial"/>
                <w:b/>
                <w:bCs/>
                <w:sz w:val="18"/>
                <w:szCs w:val="18"/>
              </w:rPr>
            </w:pPr>
            <w:r>
              <w:rPr>
                <w:rFonts w:ascii="Arial" w:hAnsi="Arial" w:cs="Arial"/>
                <w:b/>
                <w:bCs/>
                <w:sz w:val="18"/>
                <w:szCs w:val="18"/>
              </w:rPr>
              <w:t>Additional Information About t</w:t>
            </w:r>
            <w:r w:rsidRPr="006A2781">
              <w:rPr>
                <w:rFonts w:ascii="Arial" w:hAnsi="Arial" w:cs="Arial"/>
                <w:b/>
                <w:bCs/>
                <w:sz w:val="18"/>
                <w:szCs w:val="18"/>
              </w:rPr>
              <w:t xml:space="preserve">he Processing </w:t>
            </w:r>
            <w:r>
              <w:rPr>
                <w:rFonts w:ascii="Arial" w:hAnsi="Arial" w:cs="Arial"/>
                <w:b/>
                <w:bCs/>
                <w:sz w:val="18"/>
                <w:szCs w:val="18"/>
              </w:rPr>
              <w:t>Option</w:t>
            </w:r>
          </w:p>
        </w:tc>
        <w:tc>
          <w:tcPr>
            <w:tcW w:w="1530" w:type="dxa"/>
            <w:shd w:val="clear" w:color="auto" w:fill="C0C0C0"/>
            <w:vAlign w:val="bottom"/>
          </w:tcPr>
          <w:p w14:paraId="5759D539" w14:textId="77777777" w:rsidR="008A701E" w:rsidRPr="006A2781" w:rsidRDefault="008A701E" w:rsidP="008A701E">
            <w:pPr>
              <w:jc w:val="center"/>
              <w:rPr>
                <w:rFonts w:ascii="Arial" w:hAnsi="Arial" w:cs="Arial"/>
                <w:b/>
                <w:bCs/>
                <w:sz w:val="18"/>
                <w:szCs w:val="18"/>
              </w:rPr>
            </w:pPr>
            <w:r>
              <w:rPr>
                <w:rFonts w:ascii="Arial" w:hAnsi="Arial" w:cs="Arial"/>
                <w:b/>
                <w:bCs/>
                <w:sz w:val="18"/>
                <w:szCs w:val="18"/>
              </w:rPr>
              <w:t>Unit Status Exiting</w:t>
            </w:r>
            <w:r>
              <w:rPr>
                <w:rFonts w:ascii="Arial" w:hAnsi="Arial" w:cs="Arial"/>
                <w:b/>
                <w:bCs/>
                <w:sz w:val="18"/>
                <w:szCs w:val="18"/>
              </w:rPr>
              <w:br/>
              <w:t>t</w:t>
            </w:r>
            <w:r w:rsidRPr="006A2781">
              <w:rPr>
                <w:rFonts w:ascii="Arial" w:hAnsi="Arial" w:cs="Arial"/>
                <w:b/>
                <w:bCs/>
                <w:sz w:val="18"/>
                <w:szCs w:val="18"/>
              </w:rPr>
              <w:t xml:space="preserve">he </w:t>
            </w:r>
            <w:r>
              <w:rPr>
                <w:rFonts w:ascii="Arial" w:hAnsi="Arial" w:cs="Arial"/>
                <w:b/>
                <w:bCs/>
                <w:sz w:val="18"/>
                <w:szCs w:val="18"/>
              </w:rPr>
              <w:t>Option</w:t>
            </w:r>
          </w:p>
        </w:tc>
        <w:tc>
          <w:tcPr>
            <w:tcW w:w="2070" w:type="dxa"/>
            <w:shd w:val="clear" w:color="auto" w:fill="C0C0C0"/>
            <w:noWrap/>
            <w:vAlign w:val="bottom"/>
          </w:tcPr>
          <w:p w14:paraId="2C55CF10" w14:textId="77777777" w:rsidR="008A701E" w:rsidRPr="006A2781" w:rsidRDefault="008A701E" w:rsidP="008A701E">
            <w:pPr>
              <w:rPr>
                <w:rFonts w:ascii="Arial" w:hAnsi="Arial" w:cs="Arial"/>
                <w:b/>
                <w:sz w:val="18"/>
                <w:szCs w:val="18"/>
              </w:rPr>
            </w:pPr>
            <w:r>
              <w:rPr>
                <w:rFonts w:ascii="Arial" w:hAnsi="Arial" w:cs="Arial"/>
                <w:b/>
                <w:bCs/>
                <w:sz w:val="18"/>
                <w:szCs w:val="18"/>
              </w:rPr>
              <w:t>Unit Status Reported to BCE COTS</w:t>
            </w:r>
          </w:p>
        </w:tc>
      </w:tr>
      <w:tr w:rsidR="008A701E" w:rsidRPr="006A2781" w14:paraId="666C21DE" w14:textId="77777777" w:rsidTr="00A732E0">
        <w:trPr>
          <w:cantSplit/>
          <w:trHeight w:val="255"/>
        </w:trPr>
        <w:tc>
          <w:tcPr>
            <w:tcW w:w="450" w:type="dxa"/>
            <w:vAlign w:val="bottom"/>
          </w:tcPr>
          <w:p w14:paraId="4C678BE9" w14:textId="77777777" w:rsidR="008A701E" w:rsidRPr="006A2781" w:rsidRDefault="008A701E" w:rsidP="008A701E">
            <w:pPr>
              <w:jc w:val="center"/>
              <w:rPr>
                <w:rFonts w:ascii="Arial" w:hAnsi="Arial" w:cs="Arial"/>
                <w:sz w:val="18"/>
                <w:szCs w:val="18"/>
              </w:rPr>
            </w:pPr>
            <w:r>
              <w:rPr>
                <w:rFonts w:ascii="Arial" w:hAnsi="Arial" w:cs="Arial"/>
                <w:sz w:val="18"/>
                <w:szCs w:val="18"/>
              </w:rPr>
              <w:t>1</w:t>
            </w:r>
          </w:p>
        </w:tc>
        <w:tc>
          <w:tcPr>
            <w:tcW w:w="540" w:type="dxa"/>
            <w:vAlign w:val="bottom"/>
          </w:tcPr>
          <w:p w14:paraId="3B6F4116"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A</w:t>
            </w:r>
          </w:p>
        </w:tc>
        <w:tc>
          <w:tcPr>
            <w:tcW w:w="1867" w:type="dxa"/>
            <w:shd w:val="clear" w:color="auto" w:fill="auto"/>
            <w:noWrap/>
            <w:vAlign w:val="bottom"/>
          </w:tcPr>
          <w:p w14:paraId="3620C1DC" w14:textId="77777777" w:rsidR="008A701E" w:rsidRPr="006A2781" w:rsidRDefault="008A701E" w:rsidP="008A701E">
            <w:pPr>
              <w:rPr>
                <w:rFonts w:ascii="Arial" w:hAnsi="Arial" w:cs="Arial"/>
                <w:sz w:val="18"/>
                <w:szCs w:val="18"/>
              </w:rPr>
            </w:pPr>
            <w:r>
              <w:rPr>
                <w:rFonts w:ascii="Arial" w:hAnsi="Arial" w:cs="Arial"/>
                <w:sz w:val="18"/>
                <w:szCs w:val="18"/>
              </w:rPr>
              <w:t>Select Unit for Patient</w:t>
            </w:r>
          </w:p>
        </w:tc>
        <w:tc>
          <w:tcPr>
            <w:tcW w:w="3060" w:type="dxa"/>
            <w:shd w:val="clear" w:color="auto" w:fill="auto"/>
            <w:noWrap/>
            <w:vAlign w:val="bottom"/>
          </w:tcPr>
          <w:p w14:paraId="21B9D8BC" w14:textId="77777777" w:rsidR="008A701E" w:rsidRPr="006A2781" w:rsidRDefault="008A701E" w:rsidP="008A701E">
            <w:pPr>
              <w:rPr>
                <w:rFonts w:ascii="Arial" w:hAnsi="Arial" w:cs="Arial"/>
                <w:sz w:val="18"/>
                <w:szCs w:val="18"/>
              </w:rPr>
            </w:pPr>
            <w:r w:rsidRPr="006A2781">
              <w:rPr>
                <w:rFonts w:ascii="Arial" w:hAnsi="Arial" w:cs="Arial"/>
                <w:sz w:val="18"/>
                <w:szCs w:val="18"/>
              </w:rPr>
              <w:t>Normal flow</w:t>
            </w:r>
          </w:p>
        </w:tc>
        <w:tc>
          <w:tcPr>
            <w:tcW w:w="1530" w:type="dxa"/>
            <w:shd w:val="clear" w:color="auto" w:fill="auto"/>
            <w:noWrap/>
            <w:vAlign w:val="bottom"/>
          </w:tcPr>
          <w:p w14:paraId="71BC6688"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S</w:t>
            </w:r>
          </w:p>
        </w:tc>
        <w:tc>
          <w:tcPr>
            <w:tcW w:w="2070" w:type="dxa"/>
            <w:shd w:val="clear" w:color="auto" w:fill="auto"/>
            <w:noWrap/>
            <w:vAlign w:val="bottom"/>
          </w:tcPr>
          <w:p w14:paraId="63B65F1F" w14:textId="77777777" w:rsidR="008A701E" w:rsidRPr="006A2781" w:rsidRDefault="008A701E" w:rsidP="008A701E">
            <w:pPr>
              <w:rPr>
                <w:rFonts w:ascii="Arial" w:hAnsi="Arial" w:cs="Arial"/>
                <w:sz w:val="18"/>
                <w:szCs w:val="18"/>
              </w:rPr>
            </w:pPr>
            <w:r w:rsidRPr="006A2781">
              <w:rPr>
                <w:rFonts w:ascii="Arial" w:hAnsi="Arial" w:cs="Arial"/>
                <w:sz w:val="18"/>
                <w:szCs w:val="18"/>
              </w:rPr>
              <w:t>RS</w:t>
            </w:r>
          </w:p>
        </w:tc>
      </w:tr>
      <w:tr w:rsidR="008A701E" w:rsidRPr="006A2781" w14:paraId="1E6E86C1" w14:textId="77777777" w:rsidTr="00A732E0">
        <w:trPr>
          <w:cantSplit/>
          <w:trHeight w:val="255"/>
        </w:trPr>
        <w:tc>
          <w:tcPr>
            <w:tcW w:w="450" w:type="dxa"/>
            <w:vAlign w:val="bottom"/>
          </w:tcPr>
          <w:p w14:paraId="5D5C3A48" w14:textId="77777777" w:rsidR="008A701E" w:rsidRPr="006A2781" w:rsidRDefault="008A701E" w:rsidP="008A701E">
            <w:pPr>
              <w:jc w:val="center"/>
              <w:rPr>
                <w:rFonts w:ascii="Arial" w:hAnsi="Arial" w:cs="Arial"/>
                <w:sz w:val="18"/>
                <w:szCs w:val="18"/>
              </w:rPr>
            </w:pPr>
            <w:r>
              <w:rPr>
                <w:rFonts w:ascii="Arial" w:hAnsi="Arial" w:cs="Arial"/>
                <w:sz w:val="18"/>
                <w:szCs w:val="18"/>
              </w:rPr>
              <w:t>2</w:t>
            </w:r>
          </w:p>
        </w:tc>
        <w:tc>
          <w:tcPr>
            <w:tcW w:w="540" w:type="dxa"/>
            <w:vAlign w:val="bottom"/>
          </w:tcPr>
          <w:p w14:paraId="3634C6EE"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A</w:t>
            </w:r>
          </w:p>
        </w:tc>
        <w:tc>
          <w:tcPr>
            <w:tcW w:w="1867" w:type="dxa"/>
            <w:shd w:val="clear" w:color="auto" w:fill="auto"/>
            <w:noWrap/>
          </w:tcPr>
          <w:p w14:paraId="21C06C15" w14:textId="77777777" w:rsidR="008A701E" w:rsidRDefault="008A701E" w:rsidP="008A701E">
            <w:r w:rsidRPr="00E47E59">
              <w:rPr>
                <w:rFonts w:ascii="Arial" w:hAnsi="Arial" w:cs="Arial"/>
                <w:sz w:val="18"/>
                <w:szCs w:val="18"/>
              </w:rPr>
              <w:t>Select Unit for Patient</w:t>
            </w:r>
          </w:p>
        </w:tc>
        <w:tc>
          <w:tcPr>
            <w:tcW w:w="3060" w:type="dxa"/>
            <w:shd w:val="clear" w:color="auto" w:fill="auto"/>
            <w:noWrap/>
            <w:vAlign w:val="bottom"/>
          </w:tcPr>
          <w:p w14:paraId="6DFF3060" w14:textId="77777777" w:rsidR="008A701E" w:rsidRPr="006A2781" w:rsidRDefault="008A701E" w:rsidP="008A701E">
            <w:pPr>
              <w:rPr>
                <w:rFonts w:ascii="Arial" w:hAnsi="Arial" w:cs="Arial"/>
                <w:sz w:val="18"/>
                <w:szCs w:val="18"/>
              </w:rPr>
            </w:pPr>
            <w:r w:rsidRPr="006A2781">
              <w:rPr>
                <w:rFonts w:ascii="Arial" w:hAnsi="Arial" w:cs="Arial"/>
                <w:sz w:val="18"/>
                <w:szCs w:val="18"/>
              </w:rPr>
              <w:t>Emergency issue flow</w:t>
            </w:r>
          </w:p>
        </w:tc>
        <w:tc>
          <w:tcPr>
            <w:tcW w:w="1530" w:type="dxa"/>
            <w:shd w:val="clear" w:color="auto" w:fill="auto"/>
            <w:noWrap/>
            <w:vAlign w:val="bottom"/>
          </w:tcPr>
          <w:p w14:paraId="71EFCF67"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S</w:t>
            </w:r>
          </w:p>
        </w:tc>
        <w:tc>
          <w:tcPr>
            <w:tcW w:w="2070" w:type="dxa"/>
            <w:shd w:val="clear" w:color="auto" w:fill="auto"/>
            <w:noWrap/>
            <w:vAlign w:val="bottom"/>
          </w:tcPr>
          <w:p w14:paraId="17F49E6D" w14:textId="77777777" w:rsidR="008A701E" w:rsidRPr="006A2781" w:rsidRDefault="008A701E" w:rsidP="008A701E">
            <w:pPr>
              <w:rPr>
                <w:rFonts w:ascii="Arial" w:hAnsi="Arial" w:cs="Arial"/>
                <w:sz w:val="18"/>
                <w:szCs w:val="18"/>
              </w:rPr>
            </w:pPr>
            <w:r w:rsidRPr="006A2781">
              <w:rPr>
                <w:rFonts w:ascii="Arial" w:hAnsi="Arial" w:cs="Arial"/>
                <w:sz w:val="18"/>
                <w:szCs w:val="18"/>
              </w:rPr>
              <w:t>RS</w:t>
            </w:r>
          </w:p>
        </w:tc>
      </w:tr>
      <w:tr w:rsidR="008A701E" w:rsidRPr="006A2781" w14:paraId="291F9AAB" w14:textId="77777777" w:rsidTr="00A732E0">
        <w:trPr>
          <w:cantSplit/>
          <w:trHeight w:val="255"/>
        </w:trPr>
        <w:tc>
          <w:tcPr>
            <w:tcW w:w="450" w:type="dxa"/>
            <w:vAlign w:val="bottom"/>
          </w:tcPr>
          <w:p w14:paraId="113454B6" w14:textId="77777777" w:rsidR="008A701E" w:rsidRDefault="008A701E" w:rsidP="008A701E">
            <w:pPr>
              <w:jc w:val="center"/>
              <w:rPr>
                <w:rFonts w:ascii="Arial" w:hAnsi="Arial" w:cs="Arial"/>
                <w:sz w:val="18"/>
                <w:szCs w:val="18"/>
              </w:rPr>
            </w:pPr>
            <w:r>
              <w:rPr>
                <w:rFonts w:ascii="Arial" w:hAnsi="Arial" w:cs="Arial"/>
                <w:sz w:val="18"/>
                <w:szCs w:val="18"/>
              </w:rPr>
              <w:t>3</w:t>
            </w:r>
          </w:p>
        </w:tc>
        <w:tc>
          <w:tcPr>
            <w:tcW w:w="540" w:type="dxa"/>
            <w:vAlign w:val="bottom"/>
          </w:tcPr>
          <w:p w14:paraId="1FA27F3E" w14:textId="77777777" w:rsidR="008A701E" w:rsidRPr="006A2781" w:rsidRDefault="008A701E" w:rsidP="008A701E">
            <w:pPr>
              <w:jc w:val="center"/>
              <w:rPr>
                <w:rFonts w:ascii="Arial" w:hAnsi="Arial" w:cs="Arial"/>
                <w:sz w:val="18"/>
                <w:szCs w:val="18"/>
              </w:rPr>
            </w:pPr>
            <w:r>
              <w:rPr>
                <w:rFonts w:ascii="Arial" w:hAnsi="Arial" w:cs="Arial"/>
                <w:sz w:val="18"/>
                <w:szCs w:val="18"/>
              </w:rPr>
              <w:t>A</w:t>
            </w:r>
          </w:p>
        </w:tc>
        <w:tc>
          <w:tcPr>
            <w:tcW w:w="1867" w:type="dxa"/>
            <w:shd w:val="clear" w:color="auto" w:fill="auto"/>
            <w:noWrap/>
          </w:tcPr>
          <w:p w14:paraId="37F83F0C" w14:textId="77777777" w:rsidR="008A701E" w:rsidRDefault="008A701E" w:rsidP="008A701E">
            <w:r w:rsidRPr="00E47E59">
              <w:rPr>
                <w:rFonts w:ascii="Arial" w:hAnsi="Arial" w:cs="Arial"/>
                <w:sz w:val="18"/>
                <w:szCs w:val="18"/>
              </w:rPr>
              <w:t>Select Unit for Patient</w:t>
            </w:r>
          </w:p>
        </w:tc>
        <w:tc>
          <w:tcPr>
            <w:tcW w:w="3060" w:type="dxa"/>
            <w:shd w:val="clear" w:color="auto" w:fill="auto"/>
            <w:noWrap/>
            <w:vAlign w:val="bottom"/>
          </w:tcPr>
          <w:p w14:paraId="49977AD0" w14:textId="77777777" w:rsidR="008A701E" w:rsidRPr="006A2781" w:rsidRDefault="008A701E" w:rsidP="008A701E">
            <w:pPr>
              <w:rPr>
                <w:rFonts w:ascii="Arial" w:hAnsi="Arial" w:cs="Arial"/>
                <w:sz w:val="18"/>
                <w:szCs w:val="18"/>
              </w:rPr>
            </w:pPr>
            <w:r w:rsidRPr="006A2781">
              <w:rPr>
                <w:rFonts w:ascii="Arial" w:hAnsi="Arial" w:cs="Arial"/>
                <w:sz w:val="18"/>
                <w:szCs w:val="18"/>
              </w:rPr>
              <w:t>Electronic Crossmatch processed</w:t>
            </w:r>
          </w:p>
        </w:tc>
        <w:tc>
          <w:tcPr>
            <w:tcW w:w="1530" w:type="dxa"/>
            <w:shd w:val="clear" w:color="auto" w:fill="auto"/>
            <w:noWrap/>
            <w:vAlign w:val="bottom"/>
          </w:tcPr>
          <w:p w14:paraId="534F5407"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C</w:t>
            </w:r>
          </w:p>
        </w:tc>
        <w:tc>
          <w:tcPr>
            <w:tcW w:w="2070" w:type="dxa"/>
            <w:shd w:val="clear" w:color="auto" w:fill="auto"/>
            <w:noWrap/>
            <w:vAlign w:val="bottom"/>
          </w:tcPr>
          <w:p w14:paraId="255781E9" w14:textId="77777777" w:rsidR="008A701E" w:rsidRPr="006A2781" w:rsidRDefault="008A701E" w:rsidP="008A701E">
            <w:pPr>
              <w:rPr>
                <w:rFonts w:ascii="Arial" w:hAnsi="Arial" w:cs="Arial"/>
                <w:sz w:val="18"/>
                <w:szCs w:val="18"/>
              </w:rPr>
            </w:pPr>
            <w:r w:rsidRPr="006A2781">
              <w:rPr>
                <w:rFonts w:ascii="Arial" w:hAnsi="Arial" w:cs="Arial"/>
                <w:sz w:val="18"/>
                <w:szCs w:val="18"/>
              </w:rPr>
              <w:t>RS</w:t>
            </w:r>
          </w:p>
        </w:tc>
      </w:tr>
      <w:tr w:rsidR="008A701E" w:rsidRPr="006A2781" w14:paraId="67CB3893" w14:textId="77777777" w:rsidTr="00A732E0">
        <w:trPr>
          <w:cantSplit/>
          <w:trHeight w:val="255"/>
        </w:trPr>
        <w:tc>
          <w:tcPr>
            <w:tcW w:w="450" w:type="dxa"/>
            <w:vAlign w:val="bottom"/>
          </w:tcPr>
          <w:p w14:paraId="3C7D4F7D" w14:textId="77777777" w:rsidR="008A701E" w:rsidRPr="006A2781" w:rsidRDefault="008A701E" w:rsidP="008A701E">
            <w:pPr>
              <w:jc w:val="center"/>
              <w:rPr>
                <w:rFonts w:ascii="Arial" w:hAnsi="Arial" w:cs="Arial"/>
                <w:sz w:val="18"/>
                <w:szCs w:val="18"/>
              </w:rPr>
            </w:pPr>
            <w:r>
              <w:rPr>
                <w:rFonts w:ascii="Arial" w:hAnsi="Arial" w:cs="Arial"/>
                <w:sz w:val="18"/>
                <w:szCs w:val="18"/>
              </w:rPr>
              <w:t>4</w:t>
            </w:r>
          </w:p>
        </w:tc>
        <w:tc>
          <w:tcPr>
            <w:tcW w:w="540" w:type="dxa"/>
            <w:vAlign w:val="bottom"/>
          </w:tcPr>
          <w:p w14:paraId="2E5F3F2F"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C</w:t>
            </w:r>
          </w:p>
        </w:tc>
        <w:tc>
          <w:tcPr>
            <w:tcW w:w="1867" w:type="dxa"/>
            <w:shd w:val="clear" w:color="auto" w:fill="auto"/>
            <w:noWrap/>
            <w:vAlign w:val="bottom"/>
          </w:tcPr>
          <w:p w14:paraId="1707C093" w14:textId="77777777" w:rsidR="008A701E" w:rsidRPr="006A2781" w:rsidRDefault="008A701E" w:rsidP="008A701E">
            <w:pPr>
              <w:rPr>
                <w:rFonts w:ascii="Arial" w:hAnsi="Arial" w:cs="Arial"/>
                <w:sz w:val="18"/>
                <w:szCs w:val="18"/>
              </w:rPr>
            </w:pPr>
            <w:r>
              <w:rPr>
                <w:rFonts w:ascii="Arial" w:hAnsi="Arial" w:cs="Arial"/>
                <w:sz w:val="18"/>
                <w:szCs w:val="18"/>
              </w:rPr>
              <w:t>Process Outgoing Shipment</w:t>
            </w:r>
          </w:p>
        </w:tc>
        <w:tc>
          <w:tcPr>
            <w:tcW w:w="3060" w:type="dxa"/>
            <w:shd w:val="clear" w:color="auto" w:fill="auto"/>
            <w:noWrap/>
            <w:vAlign w:val="bottom"/>
          </w:tcPr>
          <w:p w14:paraId="1F737A5B" w14:textId="77777777" w:rsidR="008A701E" w:rsidRPr="006A2781" w:rsidRDefault="008A701E" w:rsidP="008A701E">
            <w:pPr>
              <w:rPr>
                <w:rFonts w:ascii="Arial" w:hAnsi="Arial" w:cs="Arial"/>
                <w:sz w:val="18"/>
                <w:szCs w:val="18"/>
              </w:rPr>
            </w:pPr>
            <w:r w:rsidRPr="006A2781">
              <w:rPr>
                <w:rFonts w:ascii="Arial" w:hAnsi="Arial" w:cs="Arial"/>
                <w:sz w:val="18"/>
                <w:szCs w:val="18"/>
              </w:rPr>
              <w:t xml:space="preserve">Maintain Assignment </w:t>
            </w:r>
          </w:p>
        </w:tc>
        <w:tc>
          <w:tcPr>
            <w:tcW w:w="1530" w:type="dxa"/>
            <w:shd w:val="clear" w:color="auto" w:fill="auto"/>
            <w:noWrap/>
            <w:vAlign w:val="bottom"/>
          </w:tcPr>
          <w:p w14:paraId="2C29BC51"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X</w:t>
            </w:r>
          </w:p>
        </w:tc>
        <w:tc>
          <w:tcPr>
            <w:tcW w:w="2070" w:type="dxa"/>
            <w:shd w:val="clear" w:color="auto" w:fill="auto"/>
            <w:noWrap/>
            <w:vAlign w:val="bottom"/>
          </w:tcPr>
          <w:p w14:paraId="582A3F4C" w14:textId="77777777" w:rsidR="008A701E" w:rsidRPr="006A2781" w:rsidRDefault="008A701E" w:rsidP="008A701E">
            <w:pPr>
              <w:rPr>
                <w:rFonts w:ascii="Arial" w:hAnsi="Arial" w:cs="Arial"/>
                <w:sz w:val="18"/>
                <w:szCs w:val="18"/>
              </w:rPr>
            </w:pPr>
            <w:r w:rsidRPr="006A2781">
              <w:rPr>
                <w:rFonts w:ascii="Arial" w:hAnsi="Arial" w:cs="Arial"/>
                <w:sz w:val="18"/>
                <w:szCs w:val="18"/>
              </w:rPr>
              <w:t>RE upon confirmation</w:t>
            </w:r>
          </w:p>
        </w:tc>
      </w:tr>
      <w:tr w:rsidR="008A701E" w:rsidRPr="006A2781" w14:paraId="24C7BC65" w14:textId="77777777" w:rsidTr="00A732E0">
        <w:trPr>
          <w:cantSplit/>
          <w:trHeight w:val="255"/>
        </w:trPr>
        <w:tc>
          <w:tcPr>
            <w:tcW w:w="450" w:type="dxa"/>
            <w:vAlign w:val="bottom"/>
          </w:tcPr>
          <w:p w14:paraId="7A4643CE" w14:textId="77777777" w:rsidR="008A701E" w:rsidRPr="006A2781" w:rsidRDefault="008A701E" w:rsidP="008A701E">
            <w:pPr>
              <w:jc w:val="center"/>
              <w:rPr>
                <w:rFonts w:ascii="Arial" w:hAnsi="Arial" w:cs="Arial"/>
                <w:sz w:val="18"/>
                <w:szCs w:val="18"/>
              </w:rPr>
            </w:pPr>
            <w:r>
              <w:rPr>
                <w:rFonts w:ascii="Arial" w:hAnsi="Arial" w:cs="Arial"/>
                <w:sz w:val="18"/>
                <w:szCs w:val="18"/>
              </w:rPr>
              <w:t>5</w:t>
            </w:r>
          </w:p>
        </w:tc>
        <w:tc>
          <w:tcPr>
            <w:tcW w:w="540" w:type="dxa"/>
            <w:vAlign w:val="bottom"/>
          </w:tcPr>
          <w:p w14:paraId="74A41EF5"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C</w:t>
            </w:r>
          </w:p>
        </w:tc>
        <w:tc>
          <w:tcPr>
            <w:tcW w:w="1867" w:type="dxa"/>
            <w:shd w:val="clear" w:color="auto" w:fill="auto"/>
            <w:noWrap/>
            <w:vAlign w:val="bottom"/>
          </w:tcPr>
          <w:p w14:paraId="57449736" w14:textId="77777777" w:rsidR="008A701E" w:rsidRPr="006A2781" w:rsidRDefault="008A701E" w:rsidP="008A701E">
            <w:pPr>
              <w:rPr>
                <w:rFonts w:ascii="Arial" w:hAnsi="Arial" w:cs="Arial"/>
                <w:sz w:val="18"/>
                <w:szCs w:val="18"/>
              </w:rPr>
            </w:pPr>
            <w:r>
              <w:rPr>
                <w:rFonts w:ascii="Arial" w:hAnsi="Arial" w:cs="Arial"/>
                <w:sz w:val="18"/>
                <w:szCs w:val="18"/>
              </w:rPr>
              <w:t>Process Outgoing Shipment</w:t>
            </w:r>
          </w:p>
        </w:tc>
        <w:tc>
          <w:tcPr>
            <w:tcW w:w="3060" w:type="dxa"/>
            <w:shd w:val="clear" w:color="auto" w:fill="auto"/>
            <w:noWrap/>
            <w:vAlign w:val="bottom"/>
          </w:tcPr>
          <w:p w14:paraId="7D69D658" w14:textId="77777777" w:rsidR="008A701E" w:rsidRPr="006A2781" w:rsidRDefault="008A701E" w:rsidP="008A701E">
            <w:pPr>
              <w:rPr>
                <w:rFonts w:ascii="Arial" w:hAnsi="Arial" w:cs="Arial"/>
                <w:sz w:val="18"/>
                <w:szCs w:val="18"/>
              </w:rPr>
            </w:pPr>
            <w:r w:rsidRPr="006A2781">
              <w:rPr>
                <w:rFonts w:ascii="Arial" w:hAnsi="Arial" w:cs="Arial"/>
                <w:sz w:val="18"/>
                <w:szCs w:val="18"/>
              </w:rPr>
              <w:t>Release Assignment upon confirmation</w:t>
            </w:r>
          </w:p>
        </w:tc>
        <w:tc>
          <w:tcPr>
            <w:tcW w:w="1530" w:type="dxa"/>
            <w:shd w:val="clear" w:color="auto" w:fill="auto"/>
            <w:noWrap/>
            <w:vAlign w:val="bottom"/>
          </w:tcPr>
          <w:p w14:paraId="6050E51A"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A (then X when confirmed)</w:t>
            </w:r>
          </w:p>
        </w:tc>
        <w:tc>
          <w:tcPr>
            <w:tcW w:w="2070" w:type="dxa"/>
            <w:shd w:val="clear" w:color="auto" w:fill="auto"/>
            <w:noWrap/>
            <w:vAlign w:val="bottom"/>
          </w:tcPr>
          <w:p w14:paraId="1A720F75" w14:textId="77777777" w:rsidR="008A701E" w:rsidRPr="006A2781" w:rsidRDefault="008A701E" w:rsidP="008A701E">
            <w:pPr>
              <w:rPr>
                <w:rFonts w:ascii="Arial" w:hAnsi="Arial" w:cs="Arial"/>
                <w:sz w:val="18"/>
                <w:szCs w:val="18"/>
              </w:rPr>
            </w:pPr>
            <w:r w:rsidRPr="006A2781">
              <w:rPr>
                <w:rFonts w:ascii="Arial" w:hAnsi="Arial" w:cs="Arial"/>
                <w:sz w:val="18"/>
                <w:szCs w:val="18"/>
              </w:rPr>
              <w:t>RE sent when release processed</w:t>
            </w:r>
          </w:p>
        </w:tc>
      </w:tr>
      <w:tr w:rsidR="008A701E" w:rsidRPr="006A2781" w14:paraId="29C6E63C" w14:textId="77777777" w:rsidTr="00A732E0">
        <w:trPr>
          <w:cantSplit/>
          <w:trHeight w:val="255"/>
        </w:trPr>
        <w:tc>
          <w:tcPr>
            <w:tcW w:w="450" w:type="dxa"/>
            <w:vAlign w:val="bottom"/>
          </w:tcPr>
          <w:p w14:paraId="1D932DB5" w14:textId="77777777" w:rsidR="008A701E" w:rsidRPr="006A2781" w:rsidRDefault="008A701E" w:rsidP="008A701E">
            <w:pPr>
              <w:jc w:val="center"/>
              <w:rPr>
                <w:rFonts w:ascii="Arial" w:hAnsi="Arial" w:cs="Arial"/>
                <w:sz w:val="18"/>
                <w:szCs w:val="18"/>
              </w:rPr>
            </w:pPr>
            <w:r>
              <w:rPr>
                <w:rFonts w:ascii="Arial" w:hAnsi="Arial" w:cs="Arial"/>
                <w:sz w:val="18"/>
                <w:szCs w:val="18"/>
              </w:rPr>
              <w:t>6</w:t>
            </w:r>
          </w:p>
        </w:tc>
        <w:tc>
          <w:tcPr>
            <w:tcW w:w="540" w:type="dxa"/>
            <w:vAlign w:val="bottom"/>
          </w:tcPr>
          <w:p w14:paraId="324D4961"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S</w:t>
            </w:r>
          </w:p>
        </w:tc>
        <w:tc>
          <w:tcPr>
            <w:tcW w:w="1867" w:type="dxa"/>
            <w:shd w:val="clear" w:color="auto" w:fill="auto"/>
            <w:noWrap/>
            <w:vAlign w:val="bottom"/>
          </w:tcPr>
          <w:p w14:paraId="5A04D2CC" w14:textId="77777777" w:rsidR="008A701E" w:rsidRPr="006A2781" w:rsidRDefault="008A701E" w:rsidP="008A701E">
            <w:pPr>
              <w:rPr>
                <w:rFonts w:ascii="Arial" w:hAnsi="Arial" w:cs="Arial"/>
                <w:sz w:val="18"/>
                <w:szCs w:val="18"/>
              </w:rPr>
            </w:pPr>
            <w:r>
              <w:rPr>
                <w:rFonts w:ascii="Arial" w:hAnsi="Arial" w:cs="Arial"/>
                <w:sz w:val="18"/>
                <w:szCs w:val="18"/>
              </w:rPr>
              <w:t>Process Outgoing Shipment</w:t>
            </w:r>
          </w:p>
        </w:tc>
        <w:tc>
          <w:tcPr>
            <w:tcW w:w="3060" w:type="dxa"/>
            <w:shd w:val="clear" w:color="auto" w:fill="auto"/>
            <w:noWrap/>
            <w:vAlign w:val="bottom"/>
          </w:tcPr>
          <w:p w14:paraId="0617BDAB" w14:textId="77777777" w:rsidR="008A701E" w:rsidRPr="006A2781" w:rsidRDefault="008A701E" w:rsidP="008A701E">
            <w:pPr>
              <w:rPr>
                <w:rFonts w:ascii="Arial" w:hAnsi="Arial" w:cs="Arial"/>
                <w:sz w:val="18"/>
                <w:szCs w:val="18"/>
              </w:rPr>
            </w:pPr>
            <w:r w:rsidRPr="006A2781">
              <w:rPr>
                <w:rFonts w:ascii="Arial" w:hAnsi="Arial" w:cs="Arial"/>
                <w:sz w:val="18"/>
                <w:szCs w:val="18"/>
              </w:rPr>
              <w:t>Maintain Assignment</w:t>
            </w:r>
          </w:p>
        </w:tc>
        <w:tc>
          <w:tcPr>
            <w:tcW w:w="1530" w:type="dxa"/>
            <w:shd w:val="clear" w:color="auto" w:fill="auto"/>
            <w:noWrap/>
            <w:vAlign w:val="bottom"/>
          </w:tcPr>
          <w:p w14:paraId="57D40FA1"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X</w:t>
            </w:r>
          </w:p>
        </w:tc>
        <w:tc>
          <w:tcPr>
            <w:tcW w:w="2070" w:type="dxa"/>
            <w:shd w:val="clear" w:color="auto" w:fill="auto"/>
            <w:noWrap/>
            <w:vAlign w:val="bottom"/>
          </w:tcPr>
          <w:p w14:paraId="7D686A67" w14:textId="77777777" w:rsidR="008A701E" w:rsidRPr="006A2781" w:rsidRDefault="008A701E" w:rsidP="008A701E">
            <w:pPr>
              <w:rPr>
                <w:rFonts w:ascii="Arial" w:hAnsi="Arial" w:cs="Arial"/>
                <w:sz w:val="18"/>
                <w:szCs w:val="18"/>
              </w:rPr>
            </w:pPr>
            <w:r w:rsidRPr="006A2781">
              <w:rPr>
                <w:rFonts w:ascii="Arial" w:hAnsi="Arial" w:cs="Arial"/>
                <w:sz w:val="18"/>
                <w:szCs w:val="18"/>
              </w:rPr>
              <w:t>RE upon confirmation</w:t>
            </w:r>
          </w:p>
        </w:tc>
      </w:tr>
      <w:tr w:rsidR="008A701E" w:rsidRPr="006A2781" w14:paraId="5C18244A" w14:textId="77777777" w:rsidTr="00A732E0">
        <w:trPr>
          <w:cantSplit/>
          <w:trHeight w:val="255"/>
        </w:trPr>
        <w:tc>
          <w:tcPr>
            <w:tcW w:w="450" w:type="dxa"/>
            <w:vAlign w:val="bottom"/>
          </w:tcPr>
          <w:p w14:paraId="4E7B462A" w14:textId="77777777" w:rsidR="008A701E" w:rsidRPr="006A2781" w:rsidRDefault="008A701E" w:rsidP="008A701E">
            <w:pPr>
              <w:jc w:val="center"/>
              <w:rPr>
                <w:rFonts w:ascii="Arial" w:hAnsi="Arial" w:cs="Arial"/>
                <w:sz w:val="18"/>
                <w:szCs w:val="18"/>
              </w:rPr>
            </w:pPr>
            <w:r>
              <w:rPr>
                <w:rFonts w:ascii="Arial" w:hAnsi="Arial" w:cs="Arial"/>
                <w:sz w:val="18"/>
                <w:szCs w:val="18"/>
              </w:rPr>
              <w:t>7</w:t>
            </w:r>
          </w:p>
        </w:tc>
        <w:tc>
          <w:tcPr>
            <w:tcW w:w="540" w:type="dxa"/>
            <w:vAlign w:val="bottom"/>
          </w:tcPr>
          <w:p w14:paraId="6A3FA634"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S</w:t>
            </w:r>
          </w:p>
        </w:tc>
        <w:tc>
          <w:tcPr>
            <w:tcW w:w="1867" w:type="dxa"/>
            <w:shd w:val="clear" w:color="auto" w:fill="auto"/>
            <w:noWrap/>
            <w:vAlign w:val="bottom"/>
          </w:tcPr>
          <w:p w14:paraId="26D7F6C7" w14:textId="77777777" w:rsidR="008A701E" w:rsidRPr="006A2781" w:rsidRDefault="008A701E" w:rsidP="008A701E">
            <w:pPr>
              <w:rPr>
                <w:rFonts w:ascii="Arial" w:hAnsi="Arial" w:cs="Arial"/>
                <w:sz w:val="18"/>
                <w:szCs w:val="18"/>
              </w:rPr>
            </w:pPr>
            <w:r>
              <w:rPr>
                <w:rFonts w:ascii="Arial" w:hAnsi="Arial" w:cs="Arial"/>
                <w:sz w:val="18"/>
                <w:szCs w:val="18"/>
              </w:rPr>
              <w:t>Process Outgoing Shipment</w:t>
            </w:r>
          </w:p>
        </w:tc>
        <w:tc>
          <w:tcPr>
            <w:tcW w:w="3060" w:type="dxa"/>
            <w:shd w:val="clear" w:color="auto" w:fill="auto"/>
            <w:noWrap/>
            <w:vAlign w:val="bottom"/>
          </w:tcPr>
          <w:p w14:paraId="4622FA9F" w14:textId="77777777" w:rsidR="008A701E" w:rsidRPr="006A2781" w:rsidRDefault="008A701E" w:rsidP="008A701E">
            <w:pPr>
              <w:rPr>
                <w:rFonts w:ascii="Arial" w:hAnsi="Arial" w:cs="Arial"/>
                <w:sz w:val="18"/>
                <w:szCs w:val="18"/>
              </w:rPr>
            </w:pPr>
            <w:r w:rsidRPr="006A2781">
              <w:rPr>
                <w:rFonts w:ascii="Arial" w:hAnsi="Arial" w:cs="Arial"/>
                <w:sz w:val="18"/>
                <w:szCs w:val="18"/>
              </w:rPr>
              <w:t>Release Assignment upon confirmation</w:t>
            </w:r>
          </w:p>
        </w:tc>
        <w:tc>
          <w:tcPr>
            <w:tcW w:w="1530" w:type="dxa"/>
            <w:shd w:val="clear" w:color="auto" w:fill="auto"/>
            <w:noWrap/>
            <w:vAlign w:val="bottom"/>
          </w:tcPr>
          <w:p w14:paraId="46F586CB"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A (then X when confirmed)</w:t>
            </w:r>
          </w:p>
        </w:tc>
        <w:tc>
          <w:tcPr>
            <w:tcW w:w="2070" w:type="dxa"/>
            <w:shd w:val="clear" w:color="auto" w:fill="auto"/>
            <w:noWrap/>
            <w:vAlign w:val="bottom"/>
          </w:tcPr>
          <w:p w14:paraId="5440FC33" w14:textId="77777777" w:rsidR="008A701E" w:rsidRPr="006A2781" w:rsidRDefault="008A701E" w:rsidP="008A701E">
            <w:pPr>
              <w:rPr>
                <w:rFonts w:ascii="Arial" w:hAnsi="Arial" w:cs="Arial"/>
                <w:sz w:val="18"/>
                <w:szCs w:val="18"/>
              </w:rPr>
            </w:pPr>
            <w:r w:rsidRPr="006A2781">
              <w:rPr>
                <w:rFonts w:ascii="Arial" w:hAnsi="Arial" w:cs="Arial"/>
                <w:sz w:val="18"/>
                <w:szCs w:val="18"/>
              </w:rPr>
              <w:t>RE sent when release processed</w:t>
            </w:r>
          </w:p>
        </w:tc>
      </w:tr>
      <w:tr w:rsidR="008A701E" w:rsidRPr="006A2781" w14:paraId="6B6109C8" w14:textId="77777777" w:rsidTr="00A732E0">
        <w:trPr>
          <w:cantSplit/>
          <w:trHeight w:val="255"/>
        </w:trPr>
        <w:tc>
          <w:tcPr>
            <w:tcW w:w="450" w:type="dxa"/>
            <w:vAlign w:val="bottom"/>
          </w:tcPr>
          <w:p w14:paraId="25351D13" w14:textId="77777777" w:rsidR="008A701E" w:rsidRPr="006A2781" w:rsidRDefault="008A701E" w:rsidP="008A701E">
            <w:pPr>
              <w:jc w:val="center"/>
              <w:rPr>
                <w:rFonts w:ascii="Arial" w:hAnsi="Arial" w:cs="Arial"/>
                <w:sz w:val="18"/>
                <w:szCs w:val="18"/>
              </w:rPr>
            </w:pPr>
            <w:r>
              <w:rPr>
                <w:rFonts w:ascii="Arial" w:hAnsi="Arial" w:cs="Arial"/>
                <w:sz w:val="18"/>
                <w:szCs w:val="18"/>
              </w:rPr>
              <w:t>8</w:t>
            </w:r>
          </w:p>
        </w:tc>
        <w:tc>
          <w:tcPr>
            <w:tcW w:w="540" w:type="dxa"/>
            <w:vAlign w:val="bottom"/>
          </w:tcPr>
          <w:p w14:paraId="01A934DA"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D</w:t>
            </w:r>
          </w:p>
        </w:tc>
        <w:tc>
          <w:tcPr>
            <w:tcW w:w="1867" w:type="dxa"/>
            <w:shd w:val="clear" w:color="auto" w:fill="auto"/>
            <w:noWrap/>
            <w:vAlign w:val="bottom"/>
          </w:tcPr>
          <w:p w14:paraId="535D4598" w14:textId="77777777" w:rsidR="008A701E" w:rsidRPr="006A2781" w:rsidRDefault="008A701E" w:rsidP="008A701E">
            <w:pPr>
              <w:rPr>
                <w:rFonts w:ascii="Arial" w:hAnsi="Arial" w:cs="Arial"/>
                <w:sz w:val="18"/>
                <w:szCs w:val="18"/>
              </w:rPr>
            </w:pPr>
            <w:r>
              <w:rPr>
                <w:rFonts w:ascii="Arial" w:hAnsi="Arial" w:cs="Arial"/>
                <w:sz w:val="18"/>
                <w:szCs w:val="18"/>
              </w:rPr>
              <w:t>Remove Final Unit Status</w:t>
            </w:r>
          </w:p>
        </w:tc>
        <w:tc>
          <w:tcPr>
            <w:tcW w:w="3060" w:type="dxa"/>
            <w:shd w:val="clear" w:color="auto" w:fill="auto"/>
            <w:noWrap/>
            <w:vAlign w:val="bottom"/>
          </w:tcPr>
          <w:p w14:paraId="3C43AD1D" w14:textId="77777777" w:rsidR="008A701E" w:rsidRPr="006A2781" w:rsidRDefault="008A701E" w:rsidP="008A701E">
            <w:pPr>
              <w:rPr>
                <w:rFonts w:ascii="Arial" w:hAnsi="Arial" w:cs="Arial"/>
                <w:sz w:val="18"/>
                <w:szCs w:val="18"/>
              </w:rPr>
            </w:pPr>
            <w:r w:rsidRPr="006A2781">
              <w:rPr>
                <w:rFonts w:ascii="Arial" w:hAnsi="Arial" w:cs="Arial"/>
                <w:sz w:val="18"/>
                <w:szCs w:val="18"/>
              </w:rPr>
              <w:t>Unit was previously Crossmatched</w:t>
            </w:r>
          </w:p>
        </w:tc>
        <w:tc>
          <w:tcPr>
            <w:tcW w:w="1530" w:type="dxa"/>
            <w:shd w:val="clear" w:color="auto" w:fill="auto"/>
            <w:noWrap/>
            <w:vAlign w:val="bottom"/>
          </w:tcPr>
          <w:p w14:paraId="0B550F20"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C</w:t>
            </w:r>
          </w:p>
        </w:tc>
        <w:tc>
          <w:tcPr>
            <w:tcW w:w="2070" w:type="dxa"/>
            <w:shd w:val="clear" w:color="auto" w:fill="auto"/>
            <w:noWrap/>
            <w:vAlign w:val="bottom"/>
          </w:tcPr>
          <w:p w14:paraId="5931ED14" w14:textId="77777777" w:rsidR="008A701E" w:rsidRPr="006A2781" w:rsidRDefault="008A701E" w:rsidP="008A701E">
            <w:pPr>
              <w:rPr>
                <w:rFonts w:ascii="Arial" w:hAnsi="Arial" w:cs="Arial"/>
                <w:sz w:val="18"/>
                <w:szCs w:val="18"/>
              </w:rPr>
            </w:pPr>
            <w:r w:rsidRPr="006A2781">
              <w:rPr>
                <w:rFonts w:ascii="Arial" w:hAnsi="Arial" w:cs="Arial"/>
                <w:sz w:val="18"/>
                <w:szCs w:val="18"/>
              </w:rPr>
              <w:t>RS</w:t>
            </w:r>
          </w:p>
        </w:tc>
      </w:tr>
      <w:tr w:rsidR="008A701E" w:rsidRPr="006A2781" w14:paraId="32D8F88A" w14:textId="77777777" w:rsidTr="00A732E0">
        <w:trPr>
          <w:cantSplit/>
          <w:trHeight w:val="255"/>
        </w:trPr>
        <w:tc>
          <w:tcPr>
            <w:tcW w:w="450" w:type="dxa"/>
            <w:vAlign w:val="bottom"/>
          </w:tcPr>
          <w:p w14:paraId="04C11E9E" w14:textId="77777777" w:rsidR="008A701E" w:rsidRPr="006A2781" w:rsidRDefault="008A701E" w:rsidP="008A701E">
            <w:pPr>
              <w:jc w:val="center"/>
              <w:rPr>
                <w:rFonts w:ascii="Arial" w:hAnsi="Arial" w:cs="Arial"/>
                <w:sz w:val="18"/>
                <w:szCs w:val="18"/>
              </w:rPr>
            </w:pPr>
            <w:r>
              <w:rPr>
                <w:rFonts w:ascii="Arial" w:hAnsi="Arial" w:cs="Arial"/>
                <w:sz w:val="18"/>
                <w:szCs w:val="18"/>
              </w:rPr>
              <w:t>9</w:t>
            </w:r>
          </w:p>
        </w:tc>
        <w:tc>
          <w:tcPr>
            <w:tcW w:w="540" w:type="dxa"/>
            <w:vAlign w:val="bottom"/>
          </w:tcPr>
          <w:p w14:paraId="7FC048AB"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D</w:t>
            </w:r>
          </w:p>
        </w:tc>
        <w:tc>
          <w:tcPr>
            <w:tcW w:w="1867" w:type="dxa"/>
            <w:shd w:val="clear" w:color="auto" w:fill="auto"/>
            <w:noWrap/>
            <w:vAlign w:val="bottom"/>
          </w:tcPr>
          <w:p w14:paraId="0EB0CDF2" w14:textId="77777777" w:rsidR="008A701E" w:rsidRPr="006A2781" w:rsidRDefault="008A701E" w:rsidP="008A701E">
            <w:pPr>
              <w:rPr>
                <w:rFonts w:ascii="Arial" w:hAnsi="Arial" w:cs="Arial"/>
                <w:sz w:val="18"/>
                <w:szCs w:val="18"/>
              </w:rPr>
            </w:pPr>
            <w:r>
              <w:rPr>
                <w:rFonts w:ascii="Arial" w:hAnsi="Arial" w:cs="Arial"/>
                <w:sz w:val="18"/>
                <w:szCs w:val="18"/>
              </w:rPr>
              <w:t>Remove Final Unit Status</w:t>
            </w:r>
          </w:p>
        </w:tc>
        <w:tc>
          <w:tcPr>
            <w:tcW w:w="3060" w:type="dxa"/>
            <w:shd w:val="clear" w:color="auto" w:fill="auto"/>
            <w:noWrap/>
            <w:vAlign w:val="bottom"/>
          </w:tcPr>
          <w:p w14:paraId="2FD98047" w14:textId="77777777" w:rsidR="008A701E" w:rsidRPr="006A2781" w:rsidRDefault="008A701E" w:rsidP="008A701E">
            <w:pPr>
              <w:rPr>
                <w:rFonts w:ascii="Arial" w:hAnsi="Arial" w:cs="Arial"/>
                <w:sz w:val="18"/>
                <w:szCs w:val="18"/>
              </w:rPr>
            </w:pPr>
            <w:r w:rsidRPr="006A2781">
              <w:rPr>
                <w:rFonts w:ascii="Arial" w:hAnsi="Arial" w:cs="Arial"/>
                <w:sz w:val="18"/>
                <w:szCs w:val="18"/>
              </w:rPr>
              <w:t>Unit was previously Assigned</w:t>
            </w:r>
          </w:p>
        </w:tc>
        <w:tc>
          <w:tcPr>
            <w:tcW w:w="1530" w:type="dxa"/>
            <w:shd w:val="clear" w:color="auto" w:fill="auto"/>
            <w:noWrap/>
            <w:vAlign w:val="bottom"/>
          </w:tcPr>
          <w:p w14:paraId="461AE295"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S</w:t>
            </w:r>
          </w:p>
        </w:tc>
        <w:tc>
          <w:tcPr>
            <w:tcW w:w="2070" w:type="dxa"/>
            <w:shd w:val="clear" w:color="auto" w:fill="auto"/>
            <w:noWrap/>
            <w:vAlign w:val="bottom"/>
          </w:tcPr>
          <w:p w14:paraId="10735037" w14:textId="77777777" w:rsidR="008A701E" w:rsidRPr="006A2781" w:rsidRDefault="008A701E" w:rsidP="008A701E">
            <w:pPr>
              <w:rPr>
                <w:rFonts w:ascii="Arial" w:hAnsi="Arial" w:cs="Arial"/>
                <w:sz w:val="18"/>
                <w:szCs w:val="18"/>
              </w:rPr>
            </w:pPr>
            <w:r w:rsidRPr="006A2781">
              <w:rPr>
                <w:rFonts w:ascii="Arial" w:hAnsi="Arial" w:cs="Arial"/>
                <w:sz w:val="18"/>
                <w:szCs w:val="18"/>
              </w:rPr>
              <w:t>RS</w:t>
            </w:r>
          </w:p>
        </w:tc>
      </w:tr>
      <w:tr w:rsidR="008A701E" w:rsidRPr="006A2781" w14:paraId="10670528" w14:textId="77777777" w:rsidTr="00A732E0">
        <w:trPr>
          <w:cantSplit/>
          <w:trHeight w:val="255"/>
        </w:trPr>
        <w:tc>
          <w:tcPr>
            <w:tcW w:w="450" w:type="dxa"/>
            <w:vAlign w:val="bottom"/>
          </w:tcPr>
          <w:p w14:paraId="48C3A691" w14:textId="77777777" w:rsidR="008A701E" w:rsidRPr="006A2781" w:rsidRDefault="008A701E" w:rsidP="008A701E">
            <w:pPr>
              <w:jc w:val="center"/>
              <w:rPr>
                <w:rFonts w:ascii="Arial" w:hAnsi="Arial" w:cs="Arial"/>
                <w:sz w:val="18"/>
                <w:szCs w:val="18"/>
              </w:rPr>
            </w:pPr>
            <w:r>
              <w:rPr>
                <w:rFonts w:ascii="Arial" w:hAnsi="Arial" w:cs="Arial"/>
                <w:sz w:val="18"/>
                <w:szCs w:val="18"/>
              </w:rPr>
              <w:t>10</w:t>
            </w:r>
          </w:p>
        </w:tc>
        <w:tc>
          <w:tcPr>
            <w:tcW w:w="540" w:type="dxa"/>
            <w:vAlign w:val="bottom"/>
          </w:tcPr>
          <w:p w14:paraId="14D9D9C0"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S</w:t>
            </w:r>
          </w:p>
        </w:tc>
        <w:tc>
          <w:tcPr>
            <w:tcW w:w="1867" w:type="dxa"/>
            <w:shd w:val="clear" w:color="auto" w:fill="auto"/>
            <w:noWrap/>
            <w:vAlign w:val="bottom"/>
          </w:tcPr>
          <w:p w14:paraId="048362C3" w14:textId="77777777" w:rsidR="008A701E" w:rsidRPr="006A2781" w:rsidRDefault="008A701E" w:rsidP="008A701E">
            <w:pPr>
              <w:rPr>
                <w:rFonts w:ascii="Arial" w:hAnsi="Arial" w:cs="Arial"/>
                <w:sz w:val="18"/>
                <w:szCs w:val="18"/>
              </w:rPr>
            </w:pPr>
            <w:r>
              <w:rPr>
                <w:rFonts w:ascii="Arial" w:hAnsi="Arial" w:cs="Arial"/>
                <w:sz w:val="18"/>
                <w:szCs w:val="18"/>
              </w:rPr>
              <w:t>Remove Final Unit Status</w:t>
            </w:r>
          </w:p>
        </w:tc>
        <w:tc>
          <w:tcPr>
            <w:tcW w:w="3060" w:type="dxa"/>
            <w:shd w:val="clear" w:color="auto" w:fill="auto"/>
            <w:noWrap/>
            <w:vAlign w:val="bottom"/>
          </w:tcPr>
          <w:p w14:paraId="3F70754F" w14:textId="77777777" w:rsidR="008A701E" w:rsidRPr="006A2781" w:rsidRDefault="008A701E" w:rsidP="008A701E">
            <w:pPr>
              <w:rPr>
                <w:rFonts w:ascii="Arial" w:hAnsi="Arial" w:cs="Arial"/>
                <w:sz w:val="18"/>
                <w:szCs w:val="18"/>
              </w:rPr>
            </w:pPr>
            <w:r w:rsidRPr="006A2781">
              <w:rPr>
                <w:rFonts w:ascii="Arial" w:hAnsi="Arial" w:cs="Arial"/>
                <w:sz w:val="18"/>
                <w:szCs w:val="18"/>
              </w:rPr>
              <w:t>Remove Modification</w:t>
            </w:r>
          </w:p>
        </w:tc>
        <w:tc>
          <w:tcPr>
            <w:tcW w:w="1530" w:type="dxa"/>
            <w:shd w:val="clear" w:color="auto" w:fill="auto"/>
            <w:noWrap/>
            <w:vAlign w:val="bottom"/>
          </w:tcPr>
          <w:p w14:paraId="58512074" w14:textId="77777777" w:rsidR="008A701E" w:rsidRPr="006A2781" w:rsidRDefault="008A701E" w:rsidP="008A701E">
            <w:pPr>
              <w:jc w:val="center"/>
              <w:rPr>
                <w:rFonts w:ascii="Arial" w:hAnsi="Arial" w:cs="Arial"/>
                <w:sz w:val="18"/>
                <w:szCs w:val="18"/>
              </w:rPr>
            </w:pPr>
            <w:r>
              <w:rPr>
                <w:rFonts w:ascii="Arial" w:hAnsi="Arial" w:cs="Arial"/>
                <w:sz w:val="18"/>
                <w:szCs w:val="18"/>
              </w:rPr>
              <w:t>A</w:t>
            </w:r>
          </w:p>
        </w:tc>
        <w:tc>
          <w:tcPr>
            <w:tcW w:w="2070" w:type="dxa"/>
            <w:shd w:val="clear" w:color="auto" w:fill="auto"/>
            <w:noWrap/>
            <w:vAlign w:val="bottom"/>
          </w:tcPr>
          <w:p w14:paraId="3B56EA4B" w14:textId="77777777" w:rsidR="008A701E" w:rsidRPr="006A2781" w:rsidRDefault="008A701E" w:rsidP="008A701E">
            <w:pPr>
              <w:rPr>
                <w:rFonts w:ascii="Arial" w:hAnsi="Arial" w:cs="Arial"/>
                <w:sz w:val="18"/>
                <w:szCs w:val="18"/>
              </w:rPr>
            </w:pPr>
            <w:r>
              <w:rPr>
                <w:rFonts w:ascii="Arial" w:hAnsi="Arial" w:cs="Arial"/>
                <w:sz w:val="18"/>
                <w:szCs w:val="18"/>
              </w:rPr>
              <w:t>No message resent</w:t>
            </w:r>
          </w:p>
        </w:tc>
      </w:tr>
      <w:tr w:rsidR="008A701E" w:rsidRPr="006A2781" w14:paraId="041FC28F" w14:textId="77777777" w:rsidTr="00A732E0">
        <w:trPr>
          <w:cantSplit/>
          <w:trHeight w:val="255"/>
        </w:trPr>
        <w:tc>
          <w:tcPr>
            <w:tcW w:w="450" w:type="dxa"/>
            <w:vAlign w:val="bottom"/>
          </w:tcPr>
          <w:p w14:paraId="5B3D9510" w14:textId="77777777" w:rsidR="008A701E" w:rsidRPr="006A2781" w:rsidRDefault="008A701E" w:rsidP="008A701E">
            <w:pPr>
              <w:jc w:val="center"/>
              <w:rPr>
                <w:rFonts w:ascii="Arial" w:hAnsi="Arial" w:cs="Arial"/>
                <w:sz w:val="18"/>
                <w:szCs w:val="18"/>
              </w:rPr>
            </w:pPr>
            <w:r>
              <w:rPr>
                <w:rFonts w:ascii="Arial" w:hAnsi="Arial" w:cs="Arial"/>
                <w:sz w:val="18"/>
                <w:szCs w:val="18"/>
              </w:rPr>
              <w:t>11</w:t>
            </w:r>
          </w:p>
        </w:tc>
        <w:tc>
          <w:tcPr>
            <w:tcW w:w="540" w:type="dxa"/>
            <w:vAlign w:val="bottom"/>
          </w:tcPr>
          <w:p w14:paraId="648C763B"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X</w:t>
            </w:r>
          </w:p>
        </w:tc>
        <w:tc>
          <w:tcPr>
            <w:tcW w:w="1867" w:type="dxa"/>
            <w:shd w:val="clear" w:color="auto" w:fill="auto"/>
            <w:noWrap/>
            <w:vAlign w:val="bottom"/>
          </w:tcPr>
          <w:p w14:paraId="7BA09317" w14:textId="77777777" w:rsidR="008A701E" w:rsidRPr="006A2781" w:rsidRDefault="008A701E" w:rsidP="008A701E">
            <w:pPr>
              <w:rPr>
                <w:rFonts w:ascii="Arial" w:hAnsi="Arial" w:cs="Arial"/>
                <w:sz w:val="18"/>
                <w:szCs w:val="18"/>
              </w:rPr>
            </w:pPr>
            <w:r>
              <w:rPr>
                <w:rFonts w:ascii="Arial" w:hAnsi="Arial" w:cs="Arial"/>
                <w:sz w:val="18"/>
                <w:szCs w:val="18"/>
              </w:rPr>
              <w:t>Remove Final Unit Status</w:t>
            </w:r>
          </w:p>
        </w:tc>
        <w:tc>
          <w:tcPr>
            <w:tcW w:w="3060" w:type="dxa"/>
            <w:shd w:val="clear" w:color="auto" w:fill="auto"/>
            <w:noWrap/>
            <w:vAlign w:val="bottom"/>
          </w:tcPr>
          <w:p w14:paraId="5A37DB81" w14:textId="77777777" w:rsidR="008A701E" w:rsidRPr="006A2781" w:rsidRDefault="008A701E" w:rsidP="008A701E">
            <w:pPr>
              <w:rPr>
                <w:rFonts w:ascii="Arial" w:hAnsi="Arial" w:cs="Arial"/>
                <w:sz w:val="18"/>
                <w:szCs w:val="18"/>
              </w:rPr>
            </w:pPr>
            <w:r w:rsidRPr="006A2781">
              <w:rPr>
                <w:rFonts w:ascii="Arial" w:hAnsi="Arial" w:cs="Arial"/>
                <w:sz w:val="18"/>
                <w:szCs w:val="18"/>
              </w:rPr>
              <w:t>Unit was previously Crossmatched</w:t>
            </w:r>
          </w:p>
        </w:tc>
        <w:tc>
          <w:tcPr>
            <w:tcW w:w="1530" w:type="dxa"/>
            <w:shd w:val="clear" w:color="auto" w:fill="auto"/>
            <w:noWrap/>
            <w:vAlign w:val="bottom"/>
          </w:tcPr>
          <w:p w14:paraId="2BECD156"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C</w:t>
            </w:r>
          </w:p>
        </w:tc>
        <w:tc>
          <w:tcPr>
            <w:tcW w:w="2070" w:type="dxa"/>
            <w:shd w:val="clear" w:color="auto" w:fill="auto"/>
            <w:noWrap/>
            <w:vAlign w:val="bottom"/>
          </w:tcPr>
          <w:p w14:paraId="3727922E" w14:textId="77777777" w:rsidR="008A701E" w:rsidRPr="006A2781" w:rsidRDefault="008A701E" w:rsidP="008A701E">
            <w:pPr>
              <w:rPr>
                <w:rFonts w:ascii="Arial" w:hAnsi="Arial" w:cs="Arial"/>
                <w:sz w:val="18"/>
                <w:szCs w:val="18"/>
              </w:rPr>
            </w:pPr>
            <w:r w:rsidRPr="006A2781">
              <w:rPr>
                <w:rFonts w:ascii="Arial" w:hAnsi="Arial" w:cs="Arial"/>
                <w:sz w:val="18"/>
                <w:szCs w:val="18"/>
              </w:rPr>
              <w:t>RS</w:t>
            </w:r>
          </w:p>
        </w:tc>
      </w:tr>
      <w:tr w:rsidR="008A701E" w:rsidRPr="006A2781" w14:paraId="66091A20" w14:textId="77777777" w:rsidTr="00A732E0">
        <w:trPr>
          <w:cantSplit/>
          <w:trHeight w:val="255"/>
        </w:trPr>
        <w:tc>
          <w:tcPr>
            <w:tcW w:w="450" w:type="dxa"/>
            <w:vAlign w:val="bottom"/>
          </w:tcPr>
          <w:p w14:paraId="5177A53D" w14:textId="77777777" w:rsidR="008A701E" w:rsidRPr="006A2781" w:rsidRDefault="008A701E" w:rsidP="008A701E">
            <w:pPr>
              <w:jc w:val="center"/>
              <w:rPr>
                <w:rFonts w:ascii="Arial" w:hAnsi="Arial" w:cs="Arial"/>
                <w:sz w:val="18"/>
                <w:szCs w:val="18"/>
              </w:rPr>
            </w:pPr>
            <w:r>
              <w:rPr>
                <w:rFonts w:ascii="Arial" w:hAnsi="Arial" w:cs="Arial"/>
                <w:sz w:val="18"/>
                <w:szCs w:val="18"/>
              </w:rPr>
              <w:t>12</w:t>
            </w:r>
          </w:p>
        </w:tc>
        <w:tc>
          <w:tcPr>
            <w:tcW w:w="540" w:type="dxa"/>
            <w:vAlign w:val="bottom"/>
          </w:tcPr>
          <w:p w14:paraId="760B0553"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X</w:t>
            </w:r>
          </w:p>
        </w:tc>
        <w:tc>
          <w:tcPr>
            <w:tcW w:w="1867" w:type="dxa"/>
            <w:shd w:val="clear" w:color="auto" w:fill="auto"/>
            <w:noWrap/>
            <w:vAlign w:val="bottom"/>
          </w:tcPr>
          <w:p w14:paraId="1FD83E23" w14:textId="77777777" w:rsidR="008A701E" w:rsidRPr="006A2781" w:rsidRDefault="008A701E" w:rsidP="008A701E">
            <w:pPr>
              <w:rPr>
                <w:rFonts w:ascii="Arial" w:hAnsi="Arial" w:cs="Arial"/>
                <w:sz w:val="18"/>
                <w:szCs w:val="18"/>
              </w:rPr>
            </w:pPr>
            <w:r>
              <w:rPr>
                <w:rFonts w:ascii="Arial" w:hAnsi="Arial" w:cs="Arial"/>
                <w:sz w:val="18"/>
                <w:szCs w:val="18"/>
              </w:rPr>
              <w:t>Remove Final Unit Status</w:t>
            </w:r>
          </w:p>
        </w:tc>
        <w:tc>
          <w:tcPr>
            <w:tcW w:w="3060" w:type="dxa"/>
            <w:shd w:val="clear" w:color="auto" w:fill="auto"/>
            <w:noWrap/>
            <w:vAlign w:val="bottom"/>
          </w:tcPr>
          <w:p w14:paraId="45D4774B" w14:textId="77777777" w:rsidR="008A701E" w:rsidRPr="006A2781" w:rsidRDefault="008A701E" w:rsidP="008A701E">
            <w:pPr>
              <w:rPr>
                <w:rFonts w:ascii="Arial" w:hAnsi="Arial" w:cs="Arial"/>
                <w:sz w:val="18"/>
                <w:szCs w:val="18"/>
              </w:rPr>
            </w:pPr>
            <w:r w:rsidRPr="006A2781">
              <w:rPr>
                <w:rFonts w:ascii="Arial" w:hAnsi="Arial" w:cs="Arial"/>
                <w:sz w:val="18"/>
                <w:szCs w:val="18"/>
              </w:rPr>
              <w:t>Unit was previously Assigned</w:t>
            </w:r>
          </w:p>
        </w:tc>
        <w:tc>
          <w:tcPr>
            <w:tcW w:w="1530" w:type="dxa"/>
            <w:shd w:val="clear" w:color="auto" w:fill="auto"/>
            <w:noWrap/>
            <w:vAlign w:val="bottom"/>
          </w:tcPr>
          <w:p w14:paraId="02F14307"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S</w:t>
            </w:r>
          </w:p>
        </w:tc>
        <w:tc>
          <w:tcPr>
            <w:tcW w:w="2070" w:type="dxa"/>
            <w:shd w:val="clear" w:color="auto" w:fill="auto"/>
            <w:noWrap/>
            <w:vAlign w:val="bottom"/>
          </w:tcPr>
          <w:p w14:paraId="7CA521A8" w14:textId="77777777" w:rsidR="008A701E" w:rsidRPr="006A2781" w:rsidRDefault="008A701E" w:rsidP="008A701E">
            <w:pPr>
              <w:rPr>
                <w:rFonts w:ascii="Arial" w:hAnsi="Arial" w:cs="Arial"/>
                <w:sz w:val="18"/>
                <w:szCs w:val="18"/>
              </w:rPr>
            </w:pPr>
            <w:r w:rsidRPr="006A2781">
              <w:rPr>
                <w:rFonts w:ascii="Arial" w:hAnsi="Arial" w:cs="Arial"/>
                <w:sz w:val="18"/>
                <w:szCs w:val="18"/>
              </w:rPr>
              <w:t>RS</w:t>
            </w:r>
          </w:p>
        </w:tc>
      </w:tr>
      <w:tr w:rsidR="008A701E" w:rsidRPr="006A2781" w14:paraId="51861D6F" w14:textId="77777777" w:rsidTr="00A732E0">
        <w:trPr>
          <w:cantSplit/>
          <w:trHeight w:val="255"/>
        </w:trPr>
        <w:tc>
          <w:tcPr>
            <w:tcW w:w="450" w:type="dxa"/>
            <w:vAlign w:val="bottom"/>
          </w:tcPr>
          <w:p w14:paraId="063C245B" w14:textId="77777777" w:rsidR="008A701E" w:rsidRPr="006A2781" w:rsidRDefault="008A701E" w:rsidP="008A701E">
            <w:pPr>
              <w:jc w:val="center"/>
              <w:rPr>
                <w:rFonts w:ascii="Arial" w:hAnsi="Arial" w:cs="Arial"/>
                <w:sz w:val="18"/>
                <w:szCs w:val="18"/>
              </w:rPr>
            </w:pPr>
            <w:r>
              <w:rPr>
                <w:rFonts w:ascii="Arial" w:hAnsi="Arial" w:cs="Arial"/>
                <w:sz w:val="18"/>
                <w:szCs w:val="18"/>
              </w:rPr>
              <w:t>13</w:t>
            </w:r>
          </w:p>
        </w:tc>
        <w:tc>
          <w:tcPr>
            <w:tcW w:w="540" w:type="dxa"/>
            <w:vAlign w:val="bottom"/>
          </w:tcPr>
          <w:p w14:paraId="4C4B6BA8"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T</w:t>
            </w:r>
          </w:p>
        </w:tc>
        <w:tc>
          <w:tcPr>
            <w:tcW w:w="1867" w:type="dxa"/>
            <w:shd w:val="clear" w:color="auto" w:fill="auto"/>
            <w:noWrap/>
            <w:vAlign w:val="bottom"/>
          </w:tcPr>
          <w:p w14:paraId="046DF981" w14:textId="77777777" w:rsidR="008A701E" w:rsidRPr="006A2781" w:rsidRDefault="008A701E" w:rsidP="008A701E">
            <w:pPr>
              <w:rPr>
                <w:rFonts w:ascii="Arial" w:hAnsi="Arial" w:cs="Arial"/>
                <w:sz w:val="18"/>
                <w:szCs w:val="18"/>
              </w:rPr>
            </w:pPr>
            <w:r>
              <w:rPr>
                <w:rFonts w:ascii="Arial" w:hAnsi="Arial" w:cs="Arial"/>
                <w:sz w:val="18"/>
                <w:szCs w:val="18"/>
              </w:rPr>
              <w:t>Remove Final Unit Status</w:t>
            </w:r>
          </w:p>
        </w:tc>
        <w:tc>
          <w:tcPr>
            <w:tcW w:w="3060" w:type="dxa"/>
            <w:shd w:val="clear" w:color="auto" w:fill="auto"/>
            <w:noWrap/>
            <w:vAlign w:val="bottom"/>
          </w:tcPr>
          <w:p w14:paraId="0A098BCE" w14:textId="77777777" w:rsidR="008A701E" w:rsidRPr="006A2781" w:rsidRDefault="008A701E" w:rsidP="008A701E">
            <w:pPr>
              <w:rPr>
                <w:rFonts w:ascii="Arial" w:hAnsi="Arial" w:cs="Arial"/>
                <w:sz w:val="18"/>
                <w:szCs w:val="18"/>
              </w:rPr>
            </w:pPr>
            <w:r w:rsidRPr="006A2781">
              <w:rPr>
                <w:rFonts w:ascii="Arial" w:hAnsi="Arial" w:cs="Arial"/>
                <w:sz w:val="18"/>
                <w:szCs w:val="18"/>
              </w:rPr>
              <w:t>Normal flow</w:t>
            </w:r>
          </w:p>
        </w:tc>
        <w:tc>
          <w:tcPr>
            <w:tcW w:w="1530" w:type="dxa"/>
            <w:shd w:val="clear" w:color="auto" w:fill="auto"/>
            <w:noWrap/>
            <w:vAlign w:val="bottom"/>
          </w:tcPr>
          <w:p w14:paraId="2B450B52"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I</w:t>
            </w:r>
          </w:p>
        </w:tc>
        <w:tc>
          <w:tcPr>
            <w:tcW w:w="2070" w:type="dxa"/>
            <w:shd w:val="clear" w:color="auto" w:fill="auto"/>
            <w:noWrap/>
            <w:vAlign w:val="bottom"/>
          </w:tcPr>
          <w:p w14:paraId="12D00615" w14:textId="77777777" w:rsidR="008A701E" w:rsidRPr="006A2781" w:rsidRDefault="008A701E" w:rsidP="008A701E">
            <w:pPr>
              <w:rPr>
                <w:rFonts w:ascii="Arial" w:hAnsi="Arial" w:cs="Arial"/>
                <w:sz w:val="18"/>
                <w:szCs w:val="18"/>
              </w:rPr>
            </w:pPr>
            <w:r w:rsidRPr="006A2781">
              <w:rPr>
                <w:rFonts w:ascii="Arial" w:hAnsi="Arial" w:cs="Arial"/>
                <w:sz w:val="18"/>
                <w:szCs w:val="18"/>
              </w:rPr>
              <w:t>DS</w:t>
            </w:r>
          </w:p>
        </w:tc>
      </w:tr>
      <w:tr w:rsidR="008A701E" w:rsidRPr="006A2781" w14:paraId="2D78031D" w14:textId="77777777" w:rsidTr="00A732E0">
        <w:trPr>
          <w:cantSplit/>
          <w:trHeight w:val="255"/>
        </w:trPr>
        <w:tc>
          <w:tcPr>
            <w:tcW w:w="450" w:type="dxa"/>
            <w:vAlign w:val="bottom"/>
          </w:tcPr>
          <w:p w14:paraId="212401F2" w14:textId="77777777" w:rsidR="008A701E" w:rsidRPr="006A2781" w:rsidRDefault="008A701E" w:rsidP="008A701E">
            <w:pPr>
              <w:jc w:val="center"/>
              <w:rPr>
                <w:rFonts w:ascii="Arial" w:hAnsi="Arial" w:cs="Arial"/>
                <w:sz w:val="18"/>
                <w:szCs w:val="18"/>
              </w:rPr>
            </w:pPr>
            <w:r>
              <w:rPr>
                <w:rFonts w:ascii="Arial" w:hAnsi="Arial" w:cs="Arial"/>
                <w:sz w:val="18"/>
                <w:szCs w:val="18"/>
              </w:rPr>
              <w:t>14</w:t>
            </w:r>
          </w:p>
        </w:tc>
        <w:tc>
          <w:tcPr>
            <w:tcW w:w="540" w:type="dxa"/>
            <w:shd w:val="clear" w:color="auto" w:fill="auto"/>
            <w:vAlign w:val="bottom"/>
          </w:tcPr>
          <w:p w14:paraId="7D6B537D"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S</w:t>
            </w:r>
          </w:p>
        </w:tc>
        <w:tc>
          <w:tcPr>
            <w:tcW w:w="1867" w:type="dxa"/>
            <w:shd w:val="clear" w:color="auto" w:fill="auto"/>
            <w:vAlign w:val="bottom"/>
          </w:tcPr>
          <w:p w14:paraId="196ED38E" w14:textId="77777777" w:rsidR="008A701E" w:rsidRPr="006A2781" w:rsidRDefault="008A701E" w:rsidP="008A701E">
            <w:pPr>
              <w:rPr>
                <w:rFonts w:ascii="Arial" w:hAnsi="Arial" w:cs="Arial"/>
                <w:sz w:val="18"/>
                <w:szCs w:val="18"/>
              </w:rPr>
            </w:pPr>
            <w:r>
              <w:rPr>
                <w:rFonts w:ascii="Arial" w:hAnsi="Arial" w:cs="Arial"/>
                <w:sz w:val="18"/>
                <w:szCs w:val="18"/>
              </w:rPr>
              <w:t>Pool Units</w:t>
            </w:r>
          </w:p>
        </w:tc>
        <w:tc>
          <w:tcPr>
            <w:tcW w:w="3060" w:type="dxa"/>
            <w:shd w:val="clear" w:color="auto" w:fill="auto"/>
            <w:noWrap/>
            <w:vAlign w:val="bottom"/>
          </w:tcPr>
          <w:p w14:paraId="4BB6ACDA" w14:textId="77777777" w:rsidR="008A701E" w:rsidRPr="006A2781" w:rsidRDefault="008A701E" w:rsidP="008A701E">
            <w:pPr>
              <w:rPr>
                <w:rFonts w:ascii="Arial" w:hAnsi="Arial" w:cs="Arial"/>
                <w:sz w:val="18"/>
                <w:szCs w:val="18"/>
              </w:rPr>
            </w:pPr>
            <w:r w:rsidRPr="006A2781">
              <w:rPr>
                <w:rFonts w:ascii="Arial" w:hAnsi="Arial" w:cs="Arial"/>
                <w:sz w:val="18"/>
                <w:szCs w:val="18"/>
              </w:rPr>
              <w:t xml:space="preserve">Maintain Assignment </w:t>
            </w:r>
          </w:p>
        </w:tc>
        <w:tc>
          <w:tcPr>
            <w:tcW w:w="1530" w:type="dxa"/>
            <w:shd w:val="clear" w:color="auto" w:fill="auto"/>
            <w:noWrap/>
            <w:vAlign w:val="bottom"/>
          </w:tcPr>
          <w:p w14:paraId="3A11FEDD"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M</w:t>
            </w:r>
          </w:p>
        </w:tc>
        <w:tc>
          <w:tcPr>
            <w:tcW w:w="2070" w:type="dxa"/>
            <w:shd w:val="clear" w:color="auto" w:fill="auto"/>
            <w:noWrap/>
            <w:vAlign w:val="bottom"/>
          </w:tcPr>
          <w:p w14:paraId="5F6B2BB1" w14:textId="77777777" w:rsidR="008A701E" w:rsidRPr="006A2781" w:rsidRDefault="008A701E" w:rsidP="008A701E">
            <w:pPr>
              <w:rPr>
                <w:rFonts w:ascii="Arial" w:hAnsi="Arial" w:cs="Arial"/>
                <w:sz w:val="18"/>
                <w:szCs w:val="18"/>
              </w:rPr>
            </w:pPr>
            <w:r w:rsidRPr="006A2781">
              <w:rPr>
                <w:rFonts w:ascii="Arial" w:hAnsi="Arial" w:cs="Arial"/>
                <w:sz w:val="18"/>
                <w:szCs w:val="18"/>
              </w:rPr>
              <w:t>RE-original</w:t>
            </w:r>
          </w:p>
        </w:tc>
      </w:tr>
      <w:tr w:rsidR="008A701E" w:rsidRPr="006A2781" w14:paraId="0A04B306" w14:textId="77777777" w:rsidTr="00A732E0">
        <w:trPr>
          <w:cantSplit/>
          <w:trHeight w:val="255"/>
        </w:trPr>
        <w:tc>
          <w:tcPr>
            <w:tcW w:w="450" w:type="dxa"/>
            <w:vAlign w:val="bottom"/>
          </w:tcPr>
          <w:p w14:paraId="701C32E5" w14:textId="77777777" w:rsidR="008A701E" w:rsidRPr="006A2781" w:rsidRDefault="008A701E" w:rsidP="008A701E">
            <w:pPr>
              <w:jc w:val="center"/>
              <w:rPr>
                <w:rFonts w:ascii="Arial" w:hAnsi="Arial" w:cs="Arial"/>
                <w:sz w:val="18"/>
                <w:szCs w:val="18"/>
              </w:rPr>
            </w:pPr>
            <w:r>
              <w:rPr>
                <w:rFonts w:ascii="Arial" w:hAnsi="Arial" w:cs="Arial"/>
                <w:sz w:val="18"/>
                <w:szCs w:val="18"/>
              </w:rPr>
              <w:t>15</w:t>
            </w:r>
          </w:p>
        </w:tc>
        <w:tc>
          <w:tcPr>
            <w:tcW w:w="540" w:type="dxa"/>
            <w:shd w:val="clear" w:color="auto" w:fill="auto"/>
            <w:vAlign w:val="bottom"/>
          </w:tcPr>
          <w:p w14:paraId="04D96059"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S</w:t>
            </w:r>
          </w:p>
        </w:tc>
        <w:tc>
          <w:tcPr>
            <w:tcW w:w="1867" w:type="dxa"/>
            <w:shd w:val="clear" w:color="auto" w:fill="auto"/>
            <w:vAlign w:val="bottom"/>
          </w:tcPr>
          <w:p w14:paraId="2251F234" w14:textId="77777777" w:rsidR="008A701E" w:rsidRPr="006A2781" w:rsidRDefault="008A701E" w:rsidP="008A701E">
            <w:pPr>
              <w:rPr>
                <w:rFonts w:ascii="Arial" w:hAnsi="Arial" w:cs="Arial"/>
                <w:sz w:val="18"/>
                <w:szCs w:val="18"/>
              </w:rPr>
            </w:pPr>
            <w:r>
              <w:rPr>
                <w:rFonts w:ascii="Arial" w:hAnsi="Arial" w:cs="Arial"/>
                <w:sz w:val="18"/>
                <w:szCs w:val="18"/>
              </w:rPr>
              <w:t>Pool Units</w:t>
            </w:r>
          </w:p>
        </w:tc>
        <w:tc>
          <w:tcPr>
            <w:tcW w:w="3060" w:type="dxa"/>
            <w:shd w:val="clear" w:color="auto" w:fill="auto"/>
            <w:noWrap/>
            <w:vAlign w:val="bottom"/>
          </w:tcPr>
          <w:p w14:paraId="3CC56D63" w14:textId="77777777" w:rsidR="008A701E" w:rsidRPr="006A2781" w:rsidRDefault="008A701E" w:rsidP="008A701E">
            <w:pPr>
              <w:rPr>
                <w:rFonts w:ascii="Arial" w:hAnsi="Arial" w:cs="Arial"/>
                <w:sz w:val="18"/>
                <w:szCs w:val="18"/>
              </w:rPr>
            </w:pPr>
            <w:r w:rsidRPr="006A2781">
              <w:rPr>
                <w:rFonts w:ascii="Arial" w:hAnsi="Arial" w:cs="Arial"/>
                <w:sz w:val="18"/>
                <w:szCs w:val="18"/>
              </w:rPr>
              <w:t xml:space="preserve">Maintain Assignment </w:t>
            </w:r>
          </w:p>
        </w:tc>
        <w:tc>
          <w:tcPr>
            <w:tcW w:w="1530" w:type="dxa"/>
            <w:shd w:val="clear" w:color="auto" w:fill="auto"/>
            <w:noWrap/>
            <w:vAlign w:val="bottom"/>
          </w:tcPr>
          <w:p w14:paraId="7D024727"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S</w:t>
            </w:r>
          </w:p>
        </w:tc>
        <w:tc>
          <w:tcPr>
            <w:tcW w:w="2070" w:type="dxa"/>
            <w:shd w:val="clear" w:color="auto" w:fill="auto"/>
            <w:noWrap/>
            <w:vAlign w:val="bottom"/>
          </w:tcPr>
          <w:p w14:paraId="5B709B5A" w14:textId="77777777" w:rsidR="008A701E" w:rsidRPr="006A2781" w:rsidRDefault="008A701E" w:rsidP="008A701E">
            <w:pPr>
              <w:rPr>
                <w:rFonts w:ascii="Arial" w:hAnsi="Arial" w:cs="Arial"/>
                <w:sz w:val="18"/>
                <w:szCs w:val="18"/>
              </w:rPr>
            </w:pPr>
            <w:r w:rsidRPr="006A2781">
              <w:rPr>
                <w:rFonts w:ascii="Arial" w:hAnsi="Arial" w:cs="Arial"/>
                <w:sz w:val="18"/>
                <w:szCs w:val="18"/>
              </w:rPr>
              <w:t>RS-target</w:t>
            </w:r>
          </w:p>
        </w:tc>
      </w:tr>
      <w:tr w:rsidR="008A701E" w:rsidRPr="006A2781" w14:paraId="1E8D762D" w14:textId="77777777" w:rsidTr="00A732E0">
        <w:trPr>
          <w:cantSplit/>
          <w:trHeight w:val="128"/>
        </w:trPr>
        <w:tc>
          <w:tcPr>
            <w:tcW w:w="450" w:type="dxa"/>
            <w:vAlign w:val="bottom"/>
          </w:tcPr>
          <w:p w14:paraId="7154B329" w14:textId="77777777" w:rsidR="008A701E" w:rsidRPr="006A2781" w:rsidRDefault="008A701E" w:rsidP="008A701E">
            <w:pPr>
              <w:jc w:val="center"/>
              <w:rPr>
                <w:rFonts w:ascii="Arial" w:hAnsi="Arial" w:cs="Arial"/>
                <w:sz w:val="18"/>
                <w:szCs w:val="18"/>
              </w:rPr>
            </w:pPr>
            <w:r>
              <w:rPr>
                <w:rFonts w:ascii="Arial" w:hAnsi="Arial" w:cs="Arial"/>
                <w:sz w:val="18"/>
                <w:szCs w:val="18"/>
              </w:rPr>
              <w:t>16</w:t>
            </w:r>
          </w:p>
        </w:tc>
        <w:tc>
          <w:tcPr>
            <w:tcW w:w="540" w:type="dxa"/>
            <w:shd w:val="clear" w:color="auto" w:fill="auto"/>
            <w:vAlign w:val="bottom"/>
          </w:tcPr>
          <w:p w14:paraId="596A1EC2"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S</w:t>
            </w:r>
          </w:p>
        </w:tc>
        <w:tc>
          <w:tcPr>
            <w:tcW w:w="1867" w:type="dxa"/>
            <w:shd w:val="clear" w:color="auto" w:fill="auto"/>
            <w:noWrap/>
            <w:vAlign w:val="bottom"/>
          </w:tcPr>
          <w:p w14:paraId="572AE3D9" w14:textId="77777777" w:rsidR="008A701E" w:rsidRPr="006A2781" w:rsidRDefault="008A701E" w:rsidP="008A701E">
            <w:pPr>
              <w:rPr>
                <w:rFonts w:ascii="Arial" w:hAnsi="Arial" w:cs="Arial"/>
                <w:sz w:val="18"/>
                <w:szCs w:val="18"/>
              </w:rPr>
            </w:pPr>
            <w:r>
              <w:rPr>
                <w:rFonts w:ascii="Arial" w:hAnsi="Arial" w:cs="Arial"/>
                <w:sz w:val="18"/>
                <w:szCs w:val="18"/>
              </w:rPr>
              <w:t>Pool Units</w:t>
            </w:r>
          </w:p>
        </w:tc>
        <w:tc>
          <w:tcPr>
            <w:tcW w:w="3060" w:type="dxa"/>
            <w:shd w:val="clear" w:color="auto" w:fill="auto"/>
            <w:noWrap/>
            <w:vAlign w:val="bottom"/>
          </w:tcPr>
          <w:p w14:paraId="2373E0D6" w14:textId="77777777" w:rsidR="008A701E" w:rsidRPr="006A2781" w:rsidRDefault="008A701E" w:rsidP="008A701E">
            <w:pPr>
              <w:rPr>
                <w:rFonts w:ascii="Arial" w:hAnsi="Arial" w:cs="Arial"/>
                <w:sz w:val="18"/>
                <w:szCs w:val="18"/>
              </w:rPr>
            </w:pPr>
            <w:r w:rsidRPr="006A2781">
              <w:rPr>
                <w:rFonts w:ascii="Arial" w:hAnsi="Arial" w:cs="Arial"/>
                <w:sz w:val="18"/>
                <w:szCs w:val="18"/>
              </w:rPr>
              <w:t xml:space="preserve">Release Assignment </w:t>
            </w:r>
          </w:p>
        </w:tc>
        <w:tc>
          <w:tcPr>
            <w:tcW w:w="1530" w:type="dxa"/>
            <w:shd w:val="clear" w:color="auto" w:fill="auto"/>
            <w:noWrap/>
            <w:vAlign w:val="bottom"/>
          </w:tcPr>
          <w:p w14:paraId="2F8545E3"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M</w:t>
            </w:r>
          </w:p>
        </w:tc>
        <w:tc>
          <w:tcPr>
            <w:tcW w:w="2070" w:type="dxa"/>
            <w:shd w:val="clear" w:color="auto" w:fill="auto"/>
            <w:noWrap/>
            <w:vAlign w:val="bottom"/>
          </w:tcPr>
          <w:p w14:paraId="26D6EEA2" w14:textId="77777777" w:rsidR="008A701E" w:rsidRPr="006A2781" w:rsidRDefault="008A701E" w:rsidP="008A701E">
            <w:pPr>
              <w:rPr>
                <w:rFonts w:ascii="Arial" w:hAnsi="Arial" w:cs="Arial"/>
                <w:sz w:val="18"/>
                <w:szCs w:val="18"/>
              </w:rPr>
            </w:pPr>
            <w:r w:rsidRPr="006A2781">
              <w:rPr>
                <w:rFonts w:ascii="Arial" w:hAnsi="Arial" w:cs="Arial"/>
                <w:sz w:val="18"/>
                <w:szCs w:val="18"/>
              </w:rPr>
              <w:t>RE-original</w:t>
            </w:r>
          </w:p>
        </w:tc>
      </w:tr>
      <w:tr w:rsidR="008A701E" w:rsidRPr="006A2781" w14:paraId="6C416A30" w14:textId="77777777" w:rsidTr="00A732E0">
        <w:trPr>
          <w:cantSplit/>
          <w:trHeight w:val="127"/>
        </w:trPr>
        <w:tc>
          <w:tcPr>
            <w:tcW w:w="450" w:type="dxa"/>
            <w:vAlign w:val="bottom"/>
          </w:tcPr>
          <w:p w14:paraId="33FB4E1A" w14:textId="77777777" w:rsidR="008A701E" w:rsidRPr="006A2781" w:rsidRDefault="008A701E" w:rsidP="008A701E">
            <w:pPr>
              <w:jc w:val="center"/>
              <w:rPr>
                <w:rFonts w:ascii="Arial" w:hAnsi="Arial" w:cs="Arial"/>
                <w:sz w:val="18"/>
                <w:szCs w:val="18"/>
              </w:rPr>
            </w:pPr>
            <w:r>
              <w:rPr>
                <w:rFonts w:ascii="Arial" w:hAnsi="Arial" w:cs="Arial"/>
                <w:sz w:val="18"/>
                <w:szCs w:val="18"/>
              </w:rPr>
              <w:t>17</w:t>
            </w:r>
          </w:p>
        </w:tc>
        <w:tc>
          <w:tcPr>
            <w:tcW w:w="540" w:type="dxa"/>
            <w:shd w:val="clear" w:color="auto" w:fill="auto"/>
            <w:vAlign w:val="bottom"/>
          </w:tcPr>
          <w:p w14:paraId="4AF0064C"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S</w:t>
            </w:r>
          </w:p>
        </w:tc>
        <w:tc>
          <w:tcPr>
            <w:tcW w:w="1867" w:type="dxa"/>
            <w:shd w:val="clear" w:color="auto" w:fill="auto"/>
            <w:noWrap/>
            <w:vAlign w:val="bottom"/>
          </w:tcPr>
          <w:p w14:paraId="752E7D0E" w14:textId="77777777" w:rsidR="008A701E" w:rsidRPr="006A2781" w:rsidRDefault="008A701E" w:rsidP="008A701E">
            <w:pPr>
              <w:rPr>
                <w:rFonts w:ascii="Arial" w:hAnsi="Arial" w:cs="Arial"/>
                <w:sz w:val="18"/>
                <w:szCs w:val="18"/>
              </w:rPr>
            </w:pPr>
            <w:r>
              <w:rPr>
                <w:rFonts w:ascii="Arial" w:hAnsi="Arial" w:cs="Arial"/>
                <w:sz w:val="18"/>
                <w:szCs w:val="18"/>
              </w:rPr>
              <w:t>Pool Units</w:t>
            </w:r>
          </w:p>
        </w:tc>
        <w:tc>
          <w:tcPr>
            <w:tcW w:w="3060" w:type="dxa"/>
            <w:shd w:val="clear" w:color="auto" w:fill="auto"/>
            <w:noWrap/>
            <w:vAlign w:val="bottom"/>
          </w:tcPr>
          <w:p w14:paraId="13806E10" w14:textId="77777777" w:rsidR="008A701E" w:rsidRPr="006A2781" w:rsidRDefault="008A701E" w:rsidP="008A701E">
            <w:pPr>
              <w:rPr>
                <w:rFonts w:ascii="Arial" w:hAnsi="Arial" w:cs="Arial"/>
                <w:sz w:val="18"/>
                <w:szCs w:val="18"/>
              </w:rPr>
            </w:pPr>
            <w:r w:rsidRPr="006A2781">
              <w:rPr>
                <w:rFonts w:ascii="Arial" w:hAnsi="Arial" w:cs="Arial"/>
                <w:sz w:val="18"/>
                <w:szCs w:val="18"/>
              </w:rPr>
              <w:t xml:space="preserve">Release Assignment </w:t>
            </w:r>
          </w:p>
        </w:tc>
        <w:tc>
          <w:tcPr>
            <w:tcW w:w="1530" w:type="dxa"/>
            <w:shd w:val="clear" w:color="auto" w:fill="auto"/>
            <w:noWrap/>
            <w:vAlign w:val="bottom"/>
          </w:tcPr>
          <w:p w14:paraId="410B058C"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A</w:t>
            </w:r>
          </w:p>
        </w:tc>
        <w:tc>
          <w:tcPr>
            <w:tcW w:w="2070" w:type="dxa"/>
            <w:shd w:val="clear" w:color="auto" w:fill="auto"/>
            <w:noWrap/>
            <w:vAlign w:val="bottom"/>
          </w:tcPr>
          <w:p w14:paraId="5EE0AC5E" w14:textId="77777777" w:rsidR="008A701E" w:rsidRPr="006A2781" w:rsidRDefault="008A701E" w:rsidP="008A701E">
            <w:pPr>
              <w:rPr>
                <w:rFonts w:ascii="Arial" w:hAnsi="Arial" w:cs="Arial"/>
                <w:sz w:val="18"/>
                <w:szCs w:val="18"/>
              </w:rPr>
            </w:pPr>
            <w:r w:rsidRPr="006A2781">
              <w:rPr>
                <w:rFonts w:ascii="Arial" w:hAnsi="Arial" w:cs="Arial"/>
                <w:sz w:val="18"/>
                <w:szCs w:val="18"/>
              </w:rPr>
              <w:t>Target, no message sent</w:t>
            </w:r>
          </w:p>
        </w:tc>
      </w:tr>
      <w:tr w:rsidR="008A701E" w:rsidRPr="006A2781" w14:paraId="76756BD1" w14:textId="77777777" w:rsidTr="00A732E0">
        <w:trPr>
          <w:cantSplit/>
          <w:trHeight w:val="255"/>
        </w:trPr>
        <w:tc>
          <w:tcPr>
            <w:tcW w:w="450" w:type="dxa"/>
            <w:vAlign w:val="bottom"/>
          </w:tcPr>
          <w:p w14:paraId="24939DB0" w14:textId="77777777" w:rsidR="008A701E" w:rsidRPr="006A2781" w:rsidRDefault="008A701E" w:rsidP="008A701E">
            <w:pPr>
              <w:jc w:val="center"/>
              <w:rPr>
                <w:rFonts w:ascii="Arial" w:hAnsi="Arial" w:cs="Arial"/>
                <w:sz w:val="18"/>
                <w:szCs w:val="18"/>
              </w:rPr>
            </w:pPr>
            <w:r>
              <w:rPr>
                <w:rFonts w:ascii="Arial" w:hAnsi="Arial" w:cs="Arial"/>
                <w:sz w:val="18"/>
                <w:szCs w:val="18"/>
              </w:rPr>
              <w:t>18</w:t>
            </w:r>
          </w:p>
        </w:tc>
        <w:tc>
          <w:tcPr>
            <w:tcW w:w="540" w:type="dxa"/>
            <w:shd w:val="clear" w:color="auto" w:fill="auto"/>
            <w:vAlign w:val="bottom"/>
          </w:tcPr>
          <w:p w14:paraId="4E15324B"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C</w:t>
            </w:r>
            <w:r>
              <w:rPr>
                <w:rFonts w:ascii="Arial" w:hAnsi="Arial" w:cs="Arial"/>
                <w:sz w:val="18"/>
                <w:szCs w:val="18"/>
              </w:rPr>
              <w:t>**</w:t>
            </w:r>
          </w:p>
        </w:tc>
        <w:tc>
          <w:tcPr>
            <w:tcW w:w="1867" w:type="dxa"/>
            <w:shd w:val="clear" w:color="auto" w:fill="auto"/>
            <w:vAlign w:val="bottom"/>
          </w:tcPr>
          <w:p w14:paraId="1E373A6B" w14:textId="77777777" w:rsidR="008A701E" w:rsidRPr="006A2781" w:rsidRDefault="008A701E" w:rsidP="008A701E">
            <w:pPr>
              <w:rPr>
                <w:rFonts w:ascii="Arial" w:hAnsi="Arial" w:cs="Arial"/>
                <w:sz w:val="18"/>
                <w:szCs w:val="18"/>
              </w:rPr>
            </w:pPr>
            <w:r>
              <w:rPr>
                <w:rFonts w:ascii="Arial" w:hAnsi="Arial" w:cs="Arial"/>
                <w:sz w:val="18"/>
                <w:szCs w:val="18"/>
              </w:rPr>
              <w:t>Pool Units</w:t>
            </w:r>
          </w:p>
        </w:tc>
        <w:tc>
          <w:tcPr>
            <w:tcW w:w="3060" w:type="dxa"/>
            <w:shd w:val="clear" w:color="auto" w:fill="auto"/>
            <w:noWrap/>
            <w:vAlign w:val="bottom"/>
          </w:tcPr>
          <w:p w14:paraId="47C8E62D" w14:textId="77777777" w:rsidR="008A701E" w:rsidRPr="006A2781" w:rsidRDefault="008A701E" w:rsidP="008A701E">
            <w:pPr>
              <w:rPr>
                <w:rFonts w:ascii="Arial" w:hAnsi="Arial" w:cs="Arial"/>
                <w:sz w:val="18"/>
                <w:szCs w:val="18"/>
              </w:rPr>
            </w:pPr>
            <w:r w:rsidRPr="006A2781">
              <w:rPr>
                <w:rFonts w:ascii="Arial" w:hAnsi="Arial" w:cs="Arial"/>
                <w:sz w:val="18"/>
                <w:szCs w:val="18"/>
              </w:rPr>
              <w:t xml:space="preserve">Maintain Assignment </w:t>
            </w:r>
          </w:p>
        </w:tc>
        <w:tc>
          <w:tcPr>
            <w:tcW w:w="1530" w:type="dxa"/>
            <w:shd w:val="clear" w:color="auto" w:fill="auto"/>
            <w:noWrap/>
            <w:vAlign w:val="bottom"/>
          </w:tcPr>
          <w:p w14:paraId="013314E2"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M</w:t>
            </w:r>
          </w:p>
        </w:tc>
        <w:tc>
          <w:tcPr>
            <w:tcW w:w="2070" w:type="dxa"/>
            <w:shd w:val="clear" w:color="auto" w:fill="auto"/>
            <w:noWrap/>
            <w:vAlign w:val="bottom"/>
          </w:tcPr>
          <w:p w14:paraId="1FB4CEFC" w14:textId="77777777" w:rsidR="008A701E" w:rsidRPr="006A2781" w:rsidRDefault="008A701E" w:rsidP="008A701E">
            <w:pPr>
              <w:rPr>
                <w:rFonts w:ascii="Arial" w:hAnsi="Arial" w:cs="Arial"/>
                <w:sz w:val="18"/>
                <w:szCs w:val="18"/>
              </w:rPr>
            </w:pPr>
            <w:r w:rsidRPr="006A2781">
              <w:rPr>
                <w:rFonts w:ascii="Arial" w:hAnsi="Arial" w:cs="Arial"/>
                <w:sz w:val="18"/>
                <w:szCs w:val="18"/>
              </w:rPr>
              <w:t>RE-original(s), may be multiple messages.</w:t>
            </w:r>
          </w:p>
        </w:tc>
      </w:tr>
      <w:tr w:rsidR="008A701E" w:rsidRPr="006A2781" w14:paraId="674FFE40" w14:textId="77777777" w:rsidTr="00A732E0">
        <w:trPr>
          <w:cantSplit/>
          <w:trHeight w:val="255"/>
        </w:trPr>
        <w:tc>
          <w:tcPr>
            <w:tcW w:w="450" w:type="dxa"/>
            <w:vAlign w:val="bottom"/>
          </w:tcPr>
          <w:p w14:paraId="11B62734" w14:textId="77777777" w:rsidR="008A701E" w:rsidRPr="006A2781" w:rsidRDefault="008A701E" w:rsidP="008A701E">
            <w:pPr>
              <w:jc w:val="center"/>
              <w:rPr>
                <w:rFonts w:ascii="Arial" w:hAnsi="Arial" w:cs="Arial"/>
                <w:sz w:val="18"/>
                <w:szCs w:val="18"/>
              </w:rPr>
            </w:pPr>
            <w:r>
              <w:rPr>
                <w:rFonts w:ascii="Arial" w:hAnsi="Arial" w:cs="Arial"/>
                <w:sz w:val="18"/>
                <w:szCs w:val="18"/>
              </w:rPr>
              <w:lastRenderedPageBreak/>
              <w:t>19</w:t>
            </w:r>
          </w:p>
        </w:tc>
        <w:tc>
          <w:tcPr>
            <w:tcW w:w="540" w:type="dxa"/>
            <w:shd w:val="clear" w:color="auto" w:fill="auto"/>
            <w:vAlign w:val="bottom"/>
          </w:tcPr>
          <w:p w14:paraId="140AB1E9"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C</w:t>
            </w:r>
            <w:r>
              <w:rPr>
                <w:rFonts w:ascii="Arial" w:hAnsi="Arial" w:cs="Arial"/>
                <w:sz w:val="18"/>
                <w:szCs w:val="18"/>
              </w:rPr>
              <w:t>**</w:t>
            </w:r>
          </w:p>
        </w:tc>
        <w:tc>
          <w:tcPr>
            <w:tcW w:w="1867" w:type="dxa"/>
            <w:shd w:val="clear" w:color="auto" w:fill="auto"/>
            <w:vAlign w:val="bottom"/>
          </w:tcPr>
          <w:p w14:paraId="7957FE13" w14:textId="77777777" w:rsidR="008A701E" w:rsidRPr="006A2781" w:rsidRDefault="008A701E" w:rsidP="008A701E">
            <w:pPr>
              <w:rPr>
                <w:rFonts w:ascii="Arial" w:hAnsi="Arial" w:cs="Arial"/>
                <w:sz w:val="18"/>
                <w:szCs w:val="18"/>
              </w:rPr>
            </w:pPr>
            <w:r>
              <w:rPr>
                <w:rFonts w:ascii="Arial" w:hAnsi="Arial" w:cs="Arial"/>
                <w:sz w:val="18"/>
                <w:szCs w:val="18"/>
              </w:rPr>
              <w:t>Pool Units</w:t>
            </w:r>
          </w:p>
        </w:tc>
        <w:tc>
          <w:tcPr>
            <w:tcW w:w="3060" w:type="dxa"/>
            <w:shd w:val="clear" w:color="auto" w:fill="auto"/>
            <w:noWrap/>
            <w:vAlign w:val="bottom"/>
          </w:tcPr>
          <w:p w14:paraId="3FBB1537" w14:textId="77777777" w:rsidR="008A701E" w:rsidRPr="006A2781" w:rsidRDefault="008A701E" w:rsidP="008A701E">
            <w:pPr>
              <w:rPr>
                <w:rFonts w:ascii="Arial" w:hAnsi="Arial" w:cs="Arial"/>
                <w:sz w:val="18"/>
                <w:szCs w:val="18"/>
              </w:rPr>
            </w:pPr>
            <w:r w:rsidRPr="006A2781">
              <w:rPr>
                <w:rFonts w:ascii="Arial" w:hAnsi="Arial" w:cs="Arial"/>
                <w:sz w:val="18"/>
                <w:szCs w:val="18"/>
              </w:rPr>
              <w:t xml:space="preserve">Maintain Assignment </w:t>
            </w:r>
          </w:p>
        </w:tc>
        <w:tc>
          <w:tcPr>
            <w:tcW w:w="1530" w:type="dxa"/>
            <w:shd w:val="clear" w:color="auto" w:fill="auto"/>
            <w:noWrap/>
            <w:vAlign w:val="bottom"/>
          </w:tcPr>
          <w:p w14:paraId="0729B1A1"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C</w:t>
            </w:r>
          </w:p>
        </w:tc>
        <w:tc>
          <w:tcPr>
            <w:tcW w:w="2070" w:type="dxa"/>
            <w:shd w:val="clear" w:color="auto" w:fill="auto"/>
            <w:noWrap/>
            <w:vAlign w:val="bottom"/>
          </w:tcPr>
          <w:p w14:paraId="65902E60" w14:textId="77777777" w:rsidR="008A701E" w:rsidRPr="006A2781" w:rsidRDefault="008A701E" w:rsidP="008A701E">
            <w:pPr>
              <w:rPr>
                <w:rFonts w:ascii="Arial" w:hAnsi="Arial" w:cs="Arial"/>
                <w:sz w:val="18"/>
                <w:szCs w:val="18"/>
              </w:rPr>
            </w:pPr>
            <w:r w:rsidRPr="006A2781">
              <w:rPr>
                <w:rFonts w:ascii="Arial" w:hAnsi="Arial" w:cs="Arial"/>
                <w:sz w:val="18"/>
                <w:szCs w:val="18"/>
              </w:rPr>
              <w:t>RS-target</w:t>
            </w:r>
          </w:p>
        </w:tc>
      </w:tr>
      <w:tr w:rsidR="008A701E" w:rsidRPr="006A2781" w14:paraId="376D5DCA" w14:textId="77777777" w:rsidTr="00A732E0">
        <w:trPr>
          <w:cantSplit/>
          <w:trHeight w:val="128"/>
        </w:trPr>
        <w:tc>
          <w:tcPr>
            <w:tcW w:w="450" w:type="dxa"/>
            <w:vAlign w:val="bottom"/>
          </w:tcPr>
          <w:p w14:paraId="02D9D43D" w14:textId="77777777" w:rsidR="008A701E" w:rsidRPr="006A2781" w:rsidRDefault="008A701E" w:rsidP="008A701E">
            <w:pPr>
              <w:jc w:val="center"/>
              <w:rPr>
                <w:rFonts w:ascii="Arial" w:hAnsi="Arial" w:cs="Arial"/>
                <w:sz w:val="18"/>
                <w:szCs w:val="18"/>
              </w:rPr>
            </w:pPr>
            <w:r>
              <w:rPr>
                <w:rFonts w:ascii="Arial" w:hAnsi="Arial" w:cs="Arial"/>
                <w:sz w:val="18"/>
                <w:szCs w:val="18"/>
              </w:rPr>
              <w:t>20</w:t>
            </w:r>
          </w:p>
        </w:tc>
        <w:tc>
          <w:tcPr>
            <w:tcW w:w="540" w:type="dxa"/>
            <w:shd w:val="clear" w:color="auto" w:fill="auto"/>
            <w:vAlign w:val="bottom"/>
          </w:tcPr>
          <w:p w14:paraId="79AFECB7"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C</w:t>
            </w:r>
            <w:r>
              <w:rPr>
                <w:rFonts w:ascii="Arial" w:hAnsi="Arial" w:cs="Arial"/>
                <w:sz w:val="18"/>
                <w:szCs w:val="18"/>
              </w:rPr>
              <w:t>**</w:t>
            </w:r>
          </w:p>
        </w:tc>
        <w:tc>
          <w:tcPr>
            <w:tcW w:w="1867" w:type="dxa"/>
            <w:shd w:val="clear" w:color="auto" w:fill="auto"/>
            <w:noWrap/>
            <w:vAlign w:val="bottom"/>
          </w:tcPr>
          <w:p w14:paraId="6D193066" w14:textId="77777777" w:rsidR="008A701E" w:rsidRPr="006A2781" w:rsidRDefault="008A701E" w:rsidP="008A701E">
            <w:pPr>
              <w:rPr>
                <w:rFonts w:ascii="Arial" w:hAnsi="Arial" w:cs="Arial"/>
                <w:sz w:val="18"/>
                <w:szCs w:val="18"/>
              </w:rPr>
            </w:pPr>
            <w:r>
              <w:rPr>
                <w:rFonts w:ascii="Arial" w:hAnsi="Arial" w:cs="Arial"/>
                <w:sz w:val="18"/>
                <w:szCs w:val="18"/>
              </w:rPr>
              <w:t>Pool Units</w:t>
            </w:r>
          </w:p>
        </w:tc>
        <w:tc>
          <w:tcPr>
            <w:tcW w:w="3060" w:type="dxa"/>
            <w:shd w:val="clear" w:color="auto" w:fill="auto"/>
            <w:noWrap/>
            <w:vAlign w:val="bottom"/>
          </w:tcPr>
          <w:p w14:paraId="7A62BD00" w14:textId="77777777" w:rsidR="008A701E" w:rsidRPr="006A2781" w:rsidRDefault="008A701E" w:rsidP="008A701E">
            <w:pPr>
              <w:rPr>
                <w:rFonts w:ascii="Arial" w:hAnsi="Arial" w:cs="Arial"/>
                <w:sz w:val="18"/>
                <w:szCs w:val="18"/>
              </w:rPr>
            </w:pPr>
            <w:r w:rsidRPr="006A2781">
              <w:rPr>
                <w:rFonts w:ascii="Arial" w:hAnsi="Arial" w:cs="Arial"/>
                <w:sz w:val="18"/>
                <w:szCs w:val="18"/>
              </w:rPr>
              <w:t xml:space="preserve">Release Assignment </w:t>
            </w:r>
          </w:p>
        </w:tc>
        <w:tc>
          <w:tcPr>
            <w:tcW w:w="1530" w:type="dxa"/>
            <w:shd w:val="clear" w:color="auto" w:fill="auto"/>
            <w:noWrap/>
            <w:vAlign w:val="bottom"/>
          </w:tcPr>
          <w:p w14:paraId="38F9A442"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M</w:t>
            </w:r>
          </w:p>
        </w:tc>
        <w:tc>
          <w:tcPr>
            <w:tcW w:w="2070" w:type="dxa"/>
            <w:shd w:val="clear" w:color="auto" w:fill="auto"/>
            <w:noWrap/>
            <w:vAlign w:val="bottom"/>
          </w:tcPr>
          <w:p w14:paraId="5C1F4A2C" w14:textId="77777777" w:rsidR="008A701E" w:rsidRPr="006A2781" w:rsidRDefault="008A701E" w:rsidP="008A701E">
            <w:pPr>
              <w:rPr>
                <w:rFonts w:ascii="Arial" w:hAnsi="Arial" w:cs="Arial"/>
                <w:sz w:val="18"/>
                <w:szCs w:val="18"/>
              </w:rPr>
            </w:pPr>
            <w:r w:rsidRPr="006A2781">
              <w:rPr>
                <w:rFonts w:ascii="Arial" w:hAnsi="Arial" w:cs="Arial"/>
                <w:sz w:val="18"/>
                <w:szCs w:val="18"/>
              </w:rPr>
              <w:t>RE-original</w:t>
            </w:r>
          </w:p>
        </w:tc>
      </w:tr>
      <w:tr w:rsidR="008A701E" w:rsidRPr="006A2781" w14:paraId="63AF902B" w14:textId="77777777" w:rsidTr="00A732E0">
        <w:trPr>
          <w:cantSplit/>
          <w:trHeight w:val="127"/>
        </w:trPr>
        <w:tc>
          <w:tcPr>
            <w:tcW w:w="450" w:type="dxa"/>
            <w:vAlign w:val="bottom"/>
          </w:tcPr>
          <w:p w14:paraId="79B3E61F" w14:textId="77777777" w:rsidR="008A701E" w:rsidRPr="006A2781" w:rsidRDefault="008A701E" w:rsidP="008A701E">
            <w:pPr>
              <w:jc w:val="center"/>
              <w:rPr>
                <w:rFonts w:ascii="Arial" w:hAnsi="Arial" w:cs="Arial"/>
                <w:sz w:val="18"/>
                <w:szCs w:val="18"/>
              </w:rPr>
            </w:pPr>
            <w:r>
              <w:rPr>
                <w:rFonts w:ascii="Arial" w:hAnsi="Arial" w:cs="Arial"/>
                <w:sz w:val="18"/>
                <w:szCs w:val="18"/>
              </w:rPr>
              <w:t>21</w:t>
            </w:r>
          </w:p>
        </w:tc>
        <w:tc>
          <w:tcPr>
            <w:tcW w:w="540" w:type="dxa"/>
            <w:shd w:val="clear" w:color="auto" w:fill="auto"/>
            <w:vAlign w:val="bottom"/>
          </w:tcPr>
          <w:p w14:paraId="05902801"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C</w:t>
            </w:r>
            <w:r>
              <w:rPr>
                <w:rFonts w:ascii="Arial" w:hAnsi="Arial" w:cs="Arial"/>
                <w:sz w:val="18"/>
                <w:szCs w:val="18"/>
              </w:rPr>
              <w:t>**</w:t>
            </w:r>
          </w:p>
        </w:tc>
        <w:tc>
          <w:tcPr>
            <w:tcW w:w="1867" w:type="dxa"/>
            <w:shd w:val="clear" w:color="auto" w:fill="auto"/>
            <w:noWrap/>
            <w:vAlign w:val="bottom"/>
          </w:tcPr>
          <w:p w14:paraId="065B61D8" w14:textId="77777777" w:rsidR="008A701E" w:rsidRPr="006A2781" w:rsidRDefault="008A701E" w:rsidP="008A701E">
            <w:pPr>
              <w:rPr>
                <w:rFonts w:ascii="Arial" w:hAnsi="Arial" w:cs="Arial"/>
                <w:sz w:val="18"/>
                <w:szCs w:val="18"/>
              </w:rPr>
            </w:pPr>
            <w:r>
              <w:rPr>
                <w:rFonts w:ascii="Arial" w:hAnsi="Arial" w:cs="Arial"/>
                <w:sz w:val="18"/>
                <w:szCs w:val="18"/>
              </w:rPr>
              <w:t>Pool Units</w:t>
            </w:r>
          </w:p>
        </w:tc>
        <w:tc>
          <w:tcPr>
            <w:tcW w:w="3060" w:type="dxa"/>
            <w:shd w:val="clear" w:color="auto" w:fill="auto"/>
            <w:noWrap/>
            <w:vAlign w:val="bottom"/>
          </w:tcPr>
          <w:p w14:paraId="7AC546C6" w14:textId="77777777" w:rsidR="008A701E" w:rsidRPr="006A2781" w:rsidRDefault="008A701E" w:rsidP="008A701E">
            <w:pPr>
              <w:rPr>
                <w:rFonts w:ascii="Arial" w:hAnsi="Arial" w:cs="Arial"/>
                <w:sz w:val="18"/>
                <w:szCs w:val="18"/>
              </w:rPr>
            </w:pPr>
            <w:r w:rsidRPr="006A2781">
              <w:rPr>
                <w:rFonts w:ascii="Arial" w:hAnsi="Arial" w:cs="Arial"/>
                <w:sz w:val="18"/>
                <w:szCs w:val="18"/>
              </w:rPr>
              <w:t xml:space="preserve">Release Assignment </w:t>
            </w:r>
          </w:p>
        </w:tc>
        <w:tc>
          <w:tcPr>
            <w:tcW w:w="1530" w:type="dxa"/>
            <w:shd w:val="clear" w:color="auto" w:fill="auto"/>
            <w:noWrap/>
            <w:vAlign w:val="bottom"/>
          </w:tcPr>
          <w:p w14:paraId="7D3919AE"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A</w:t>
            </w:r>
          </w:p>
        </w:tc>
        <w:tc>
          <w:tcPr>
            <w:tcW w:w="2070" w:type="dxa"/>
            <w:shd w:val="clear" w:color="auto" w:fill="auto"/>
            <w:noWrap/>
            <w:vAlign w:val="bottom"/>
          </w:tcPr>
          <w:p w14:paraId="129B1CE1" w14:textId="77777777" w:rsidR="008A701E" w:rsidRPr="006A2781" w:rsidRDefault="008A701E" w:rsidP="008A701E">
            <w:pPr>
              <w:rPr>
                <w:rFonts w:ascii="Arial" w:hAnsi="Arial" w:cs="Arial"/>
                <w:sz w:val="18"/>
                <w:szCs w:val="18"/>
              </w:rPr>
            </w:pPr>
            <w:r w:rsidRPr="006A2781">
              <w:rPr>
                <w:rFonts w:ascii="Arial" w:hAnsi="Arial" w:cs="Arial"/>
                <w:sz w:val="18"/>
                <w:szCs w:val="18"/>
              </w:rPr>
              <w:t>Target, no message sent</w:t>
            </w:r>
          </w:p>
        </w:tc>
      </w:tr>
      <w:tr w:rsidR="008A701E" w:rsidRPr="006A2781" w14:paraId="0006790A" w14:textId="77777777" w:rsidTr="00A732E0">
        <w:trPr>
          <w:cantSplit/>
          <w:trHeight w:val="255"/>
        </w:trPr>
        <w:tc>
          <w:tcPr>
            <w:tcW w:w="450" w:type="dxa"/>
            <w:vAlign w:val="bottom"/>
          </w:tcPr>
          <w:p w14:paraId="613AB6CF" w14:textId="77777777" w:rsidR="008A701E" w:rsidRPr="006A2781" w:rsidRDefault="008A701E" w:rsidP="008A701E">
            <w:pPr>
              <w:jc w:val="center"/>
              <w:rPr>
                <w:rFonts w:ascii="Arial" w:hAnsi="Arial" w:cs="Arial"/>
                <w:sz w:val="18"/>
                <w:szCs w:val="18"/>
              </w:rPr>
            </w:pPr>
            <w:r>
              <w:rPr>
                <w:rFonts w:ascii="Arial" w:hAnsi="Arial" w:cs="Arial"/>
                <w:sz w:val="18"/>
                <w:szCs w:val="18"/>
              </w:rPr>
              <w:t>22</w:t>
            </w:r>
          </w:p>
        </w:tc>
        <w:tc>
          <w:tcPr>
            <w:tcW w:w="540" w:type="dxa"/>
            <w:shd w:val="clear" w:color="auto" w:fill="auto"/>
            <w:vAlign w:val="bottom"/>
          </w:tcPr>
          <w:p w14:paraId="24840056"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S</w:t>
            </w:r>
          </w:p>
        </w:tc>
        <w:tc>
          <w:tcPr>
            <w:tcW w:w="1867" w:type="dxa"/>
            <w:shd w:val="clear" w:color="auto" w:fill="auto"/>
            <w:noWrap/>
            <w:vAlign w:val="bottom"/>
          </w:tcPr>
          <w:p w14:paraId="770DB49C" w14:textId="77777777" w:rsidR="008A701E" w:rsidRPr="006A2781" w:rsidRDefault="008A701E" w:rsidP="008A701E">
            <w:pPr>
              <w:rPr>
                <w:rFonts w:ascii="Arial" w:hAnsi="Arial" w:cs="Arial"/>
                <w:sz w:val="18"/>
                <w:szCs w:val="18"/>
              </w:rPr>
            </w:pPr>
            <w:r>
              <w:rPr>
                <w:rFonts w:ascii="Arial" w:hAnsi="Arial" w:cs="Arial"/>
                <w:sz w:val="18"/>
                <w:szCs w:val="18"/>
              </w:rPr>
              <w:t>Split Units</w:t>
            </w:r>
          </w:p>
        </w:tc>
        <w:tc>
          <w:tcPr>
            <w:tcW w:w="3060" w:type="dxa"/>
            <w:shd w:val="clear" w:color="auto" w:fill="auto"/>
            <w:noWrap/>
            <w:vAlign w:val="bottom"/>
          </w:tcPr>
          <w:p w14:paraId="63D6CEEA" w14:textId="77777777" w:rsidR="008A701E" w:rsidRPr="006A2781" w:rsidRDefault="008A701E" w:rsidP="008A701E">
            <w:pPr>
              <w:rPr>
                <w:rFonts w:ascii="Arial" w:hAnsi="Arial" w:cs="Arial"/>
                <w:sz w:val="18"/>
                <w:szCs w:val="18"/>
              </w:rPr>
            </w:pPr>
            <w:r w:rsidRPr="006A2781">
              <w:rPr>
                <w:rFonts w:ascii="Arial" w:hAnsi="Arial" w:cs="Arial"/>
                <w:sz w:val="18"/>
                <w:szCs w:val="18"/>
              </w:rPr>
              <w:t>Maintain Assignment</w:t>
            </w:r>
          </w:p>
        </w:tc>
        <w:tc>
          <w:tcPr>
            <w:tcW w:w="1530" w:type="dxa"/>
            <w:shd w:val="clear" w:color="auto" w:fill="auto"/>
            <w:noWrap/>
            <w:vAlign w:val="bottom"/>
          </w:tcPr>
          <w:p w14:paraId="42CCC5CB"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M</w:t>
            </w:r>
          </w:p>
        </w:tc>
        <w:tc>
          <w:tcPr>
            <w:tcW w:w="2070" w:type="dxa"/>
            <w:shd w:val="clear" w:color="auto" w:fill="auto"/>
            <w:noWrap/>
            <w:vAlign w:val="bottom"/>
          </w:tcPr>
          <w:p w14:paraId="44CCCDF8" w14:textId="77777777" w:rsidR="008A701E" w:rsidRPr="006A2781" w:rsidRDefault="008A701E" w:rsidP="008A701E">
            <w:pPr>
              <w:rPr>
                <w:rFonts w:ascii="Arial" w:hAnsi="Arial" w:cs="Arial"/>
                <w:sz w:val="18"/>
                <w:szCs w:val="18"/>
              </w:rPr>
            </w:pPr>
            <w:r w:rsidRPr="006A2781">
              <w:rPr>
                <w:rFonts w:ascii="Arial" w:hAnsi="Arial" w:cs="Arial"/>
                <w:sz w:val="18"/>
                <w:szCs w:val="18"/>
              </w:rPr>
              <w:t>RE-original</w:t>
            </w:r>
          </w:p>
        </w:tc>
      </w:tr>
      <w:tr w:rsidR="008A701E" w:rsidRPr="006A2781" w14:paraId="31854CF6" w14:textId="77777777" w:rsidTr="00A732E0">
        <w:trPr>
          <w:cantSplit/>
          <w:trHeight w:val="255"/>
        </w:trPr>
        <w:tc>
          <w:tcPr>
            <w:tcW w:w="450" w:type="dxa"/>
            <w:vAlign w:val="bottom"/>
          </w:tcPr>
          <w:p w14:paraId="135E3539" w14:textId="77777777" w:rsidR="008A701E" w:rsidRPr="006A2781" w:rsidRDefault="008A701E" w:rsidP="008A701E">
            <w:pPr>
              <w:jc w:val="center"/>
              <w:rPr>
                <w:rFonts w:ascii="Arial" w:hAnsi="Arial" w:cs="Arial"/>
                <w:sz w:val="18"/>
                <w:szCs w:val="18"/>
              </w:rPr>
            </w:pPr>
            <w:r>
              <w:rPr>
                <w:rFonts w:ascii="Arial" w:hAnsi="Arial" w:cs="Arial"/>
                <w:sz w:val="18"/>
                <w:szCs w:val="18"/>
              </w:rPr>
              <w:t>23</w:t>
            </w:r>
          </w:p>
        </w:tc>
        <w:tc>
          <w:tcPr>
            <w:tcW w:w="540" w:type="dxa"/>
            <w:shd w:val="clear" w:color="auto" w:fill="auto"/>
            <w:vAlign w:val="bottom"/>
          </w:tcPr>
          <w:p w14:paraId="202C9537"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S</w:t>
            </w:r>
          </w:p>
        </w:tc>
        <w:tc>
          <w:tcPr>
            <w:tcW w:w="1867" w:type="dxa"/>
            <w:shd w:val="clear" w:color="auto" w:fill="auto"/>
            <w:noWrap/>
            <w:vAlign w:val="bottom"/>
          </w:tcPr>
          <w:p w14:paraId="69652761" w14:textId="77777777" w:rsidR="008A701E" w:rsidRPr="006A2781" w:rsidRDefault="008A701E" w:rsidP="008A701E">
            <w:pPr>
              <w:rPr>
                <w:rFonts w:ascii="Arial" w:hAnsi="Arial" w:cs="Arial"/>
                <w:sz w:val="18"/>
                <w:szCs w:val="18"/>
              </w:rPr>
            </w:pPr>
            <w:r>
              <w:rPr>
                <w:rFonts w:ascii="Arial" w:hAnsi="Arial" w:cs="Arial"/>
                <w:sz w:val="18"/>
                <w:szCs w:val="18"/>
              </w:rPr>
              <w:t>Split Units</w:t>
            </w:r>
          </w:p>
        </w:tc>
        <w:tc>
          <w:tcPr>
            <w:tcW w:w="3060" w:type="dxa"/>
            <w:shd w:val="clear" w:color="auto" w:fill="auto"/>
            <w:noWrap/>
            <w:vAlign w:val="bottom"/>
          </w:tcPr>
          <w:p w14:paraId="68A4980A" w14:textId="77777777" w:rsidR="008A701E" w:rsidRPr="006A2781" w:rsidRDefault="008A701E" w:rsidP="008A701E">
            <w:pPr>
              <w:rPr>
                <w:rFonts w:ascii="Arial" w:hAnsi="Arial" w:cs="Arial"/>
                <w:sz w:val="18"/>
                <w:szCs w:val="18"/>
              </w:rPr>
            </w:pPr>
            <w:r w:rsidRPr="006A2781">
              <w:rPr>
                <w:rFonts w:ascii="Arial" w:hAnsi="Arial" w:cs="Arial"/>
                <w:sz w:val="18"/>
                <w:szCs w:val="18"/>
              </w:rPr>
              <w:t>Maintain Assignment</w:t>
            </w:r>
          </w:p>
        </w:tc>
        <w:tc>
          <w:tcPr>
            <w:tcW w:w="1530" w:type="dxa"/>
            <w:shd w:val="clear" w:color="auto" w:fill="auto"/>
            <w:noWrap/>
            <w:vAlign w:val="bottom"/>
          </w:tcPr>
          <w:p w14:paraId="0D69B5BE"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S</w:t>
            </w:r>
          </w:p>
        </w:tc>
        <w:tc>
          <w:tcPr>
            <w:tcW w:w="2070" w:type="dxa"/>
            <w:shd w:val="clear" w:color="auto" w:fill="auto"/>
            <w:noWrap/>
            <w:vAlign w:val="bottom"/>
          </w:tcPr>
          <w:p w14:paraId="2B6DE209" w14:textId="77777777" w:rsidR="008A701E" w:rsidRPr="006A2781" w:rsidRDefault="008A701E" w:rsidP="008A701E">
            <w:pPr>
              <w:rPr>
                <w:rFonts w:ascii="Arial" w:hAnsi="Arial" w:cs="Arial"/>
                <w:sz w:val="18"/>
                <w:szCs w:val="18"/>
              </w:rPr>
            </w:pPr>
            <w:r w:rsidRPr="006A2781">
              <w:rPr>
                <w:rFonts w:ascii="Arial" w:hAnsi="Arial" w:cs="Arial"/>
                <w:sz w:val="18"/>
                <w:szCs w:val="18"/>
              </w:rPr>
              <w:t>RS-targets, one message for each target created.</w:t>
            </w:r>
          </w:p>
        </w:tc>
      </w:tr>
      <w:tr w:rsidR="008A701E" w:rsidRPr="006A2781" w14:paraId="008BCADC" w14:textId="77777777" w:rsidTr="00A732E0">
        <w:trPr>
          <w:cantSplit/>
          <w:trHeight w:val="188"/>
        </w:trPr>
        <w:tc>
          <w:tcPr>
            <w:tcW w:w="450" w:type="dxa"/>
            <w:vAlign w:val="bottom"/>
          </w:tcPr>
          <w:p w14:paraId="61E63D1A" w14:textId="77777777" w:rsidR="008A701E" w:rsidRPr="006A2781" w:rsidRDefault="008A701E" w:rsidP="008A701E">
            <w:pPr>
              <w:jc w:val="center"/>
              <w:rPr>
                <w:rFonts w:ascii="Arial" w:hAnsi="Arial" w:cs="Arial"/>
                <w:sz w:val="18"/>
                <w:szCs w:val="18"/>
              </w:rPr>
            </w:pPr>
            <w:r>
              <w:rPr>
                <w:rFonts w:ascii="Arial" w:hAnsi="Arial" w:cs="Arial"/>
                <w:sz w:val="18"/>
                <w:szCs w:val="18"/>
              </w:rPr>
              <w:t>24</w:t>
            </w:r>
          </w:p>
        </w:tc>
        <w:tc>
          <w:tcPr>
            <w:tcW w:w="540" w:type="dxa"/>
            <w:shd w:val="clear" w:color="auto" w:fill="auto"/>
            <w:vAlign w:val="bottom"/>
          </w:tcPr>
          <w:p w14:paraId="58C2F013"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S</w:t>
            </w:r>
          </w:p>
        </w:tc>
        <w:tc>
          <w:tcPr>
            <w:tcW w:w="1867" w:type="dxa"/>
            <w:shd w:val="clear" w:color="auto" w:fill="auto"/>
            <w:noWrap/>
            <w:vAlign w:val="bottom"/>
          </w:tcPr>
          <w:p w14:paraId="4980FCBE" w14:textId="77777777" w:rsidR="008A701E" w:rsidRPr="006A2781" w:rsidRDefault="008A701E" w:rsidP="008A701E">
            <w:pPr>
              <w:rPr>
                <w:rFonts w:ascii="Arial" w:hAnsi="Arial" w:cs="Arial"/>
                <w:sz w:val="18"/>
                <w:szCs w:val="18"/>
              </w:rPr>
            </w:pPr>
            <w:r>
              <w:rPr>
                <w:rFonts w:ascii="Arial" w:hAnsi="Arial" w:cs="Arial"/>
                <w:sz w:val="18"/>
                <w:szCs w:val="18"/>
              </w:rPr>
              <w:t>Split Units</w:t>
            </w:r>
          </w:p>
        </w:tc>
        <w:tc>
          <w:tcPr>
            <w:tcW w:w="3060" w:type="dxa"/>
            <w:shd w:val="clear" w:color="auto" w:fill="auto"/>
            <w:noWrap/>
            <w:vAlign w:val="bottom"/>
          </w:tcPr>
          <w:p w14:paraId="746CD7D1" w14:textId="77777777" w:rsidR="008A701E" w:rsidRPr="006A2781" w:rsidRDefault="008A701E" w:rsidP="008A701E">
            <w:pPr>
              <w:rPr>
                <w:rFonts w:ascii="Arial" w:hAnsi="Arial" w:cs="Arial"/>
                <w:sz w:val="18"/>
                <w:szCs w:val="18"/>
              </w:rPr>
            </w:pPr>
            <w:r w:rsidRPr="006A2781">
              <w:rPr>
                <w:rFonts w:ascii="Arial" w:hAnsi="Arial" w:cs="Arial"/>
                <w:sz w:val="18"/>
                <w:szCs w:val="18"/>
              </w:rPr>
              <w:t>Release Assignment</w:t>
            </w:r>
          </w:p>
        </w:tc>
        <w:tc>
          <w:tcPr>
            <w:tcW w:w="1530" w:type="dxa"/>
            <w:shd w:val="clear" w:color="auto" w:fill="auto"/>
            <w:noWrap/>
            <w:vAlign w:val="bottom"/>
          </w:tcPr>
          <w:p w14:paraId="0EA0621E"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M</w:t>
            </w:r>
          </w:p>
        </w:tc>
        <w:tc>
          <w:tcPr>
            <w:tcW w:w="2070" w:type="dxa"/>
            <w:shd w:val="clear" w:color="auto" w:fill="auto"/>
            <w:noWrap/>
            <w:vAlign w:val="bottom"/>
          </w:tcPr>
          <w:p w14:paraId="39E0CFAC" w14:textId="77777777" w:rsidR="008A701E" w:rsidRPr="006A2781" w:rsidRDefault="008A701E" w:rsidP="008A701E">
            <w:pPr>
              <w:rPr>
                <w:rFonts w:ascii="Arial" w:hAnsi="Arial" w:cs="Arial"/>
                <w:sz w:val="18"/>
                <w:szCs w:val="18"/>
              </w:rPr>
            </w:pPr>
            <w:r w:rsidRPr="006A2781">
              <w:rPr>
                <w:rFonts w:ascii="Arial" w:hAnsi="Arial" w:cs="Arial"/>
                <w:sz w:val="18"/>
                <w:szCs w:val="18"/>
              </w:rPr>
              <w:t>RE-original</w:t>
            </w:r>
          </w:p>
        </w:tc>
      </w:tr>
      <w:tr w:rsidR="008A701E" w:rsidRPr="006A2781" w14:paraId="57A65EFB" w14:textId="77777777" w:rsidTr="00A732E0">
        <w:trPr>
          <w:cantSplit/>
          <w:trHeight w:val="255"/>
        </w:trPr>
        <w:tc>
          <w:tcPr>
            <w:tcW w:w="450" w:type="dxa"/>
            <w:vAlign w:val="bottom"/>
          </w:tcPr>
          <w:p w14:paraId="0DF21771" w14:textId="77777777" w:rsidR="008A701E" w:rsidRPr="006A2781" w:rsidRDefault="008A701E" w:rsidP="008A701E">
            <w:pPr>
              <w:jc w:val="center"/>
              <w:rPr>
                <w:rFonts w:ascii="Arial" w:hAnsi="Arial" w:cs="Arial"/>
                <w:sz w:val="18"/>
                <w:szCs w:val="18"/>
              </w:rPr>
            </w:pPr>
            <w:r>
              <w:rPr>
                <w:rFonts w:ascii="Arial" w:hAnsi="Arial" w:cs="Arial"/>
                <w:sz w:val="18"/>
                <w:szCs w:val="18"/>
              </w:rPr>
              <w:t>25</w:t>
            </w:r>
          </w:p>
        </w:tc>
        <w:tc>
          <w:tcPr>
            <w:tcW w:w="540" w:type="dxa"/>
            <w:shd w:val="clear" w:color="auto" w:fill="auto"/>
            <w:vAlign w:val="bottom"/>
          </w:tcPr>
          <w:p w14:paraId="1B7A0267"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S</w:t>
            </w:r>
          </w:p>
        </w:tc>
        <w:tc>
          <w:tcPr>
            <w:tcW w:w="1867" w:type="dxa"/>
            <w:shd w:val="clear" w:color="auto" w:fill="auto"/>
            <w:noWrap/>
            <w:vAlign w:val="bottom"/>
          </w:tcPr>
          <w:p w14:paraId="32BAD8D0" w14:textId="77777777" w:rsidR="008A701E" w:rsidRPr="006A2781" w:rsidRDefault="008A701E" w:rsidP="008A701E">
            <w:pPr>
              <w:rPr>
                <w:rFonts w:ascii="Arial" w:hAnsi="Arial" w:cs="Arial"/>
                <w:sz w:val="18"/>
                <w:szCs w:val="18"/>
              </w:rPr>
            </w:pPr>
            <w:r>
              <w:rPr>
                <w:rFonts w:ascii="Arial" w:hAnsi="Arial" w:cs="Arial"/>
                <w:sz w:val="18"/>
                <w:szCs w:val="18"/>
              </w:rPr>
              <w:t>Split Units</w:t>
            </w:r>
          </w:p>
        </w:tc>
        <w:tc>
          <w:tcPr>
            <w:tcW w:w="3060" w:type="dxa"/>
            <w:shd w:val="clear" w:color="auto" w:fill="auto"/>
            <w:noWrap/>
            <w:vAlign w:val="bottom"/>
          </w:tcPr>
          <w:p w14:paraId="451C65E9" w14:textId="77777777" w:rsidR="008A701E" w:rsidRPr="006A2781" w:rsidRDefault="008A701E" w:rsidP="008A701E">
            <w:pPr>
              <w:rPr>
                <w:rFonts w:ascii="Arial" w:hAnsi="Arial" w:cs="Arial"/>
                <w:sz w:val="18"/>
                <w:szCs w:val="18"/>
              </w:rPr>
            </w:pPr>
            <w:r w:rsidRPr="006A2781">
              <w:rPr>
                <w:rFonts w:ascii="Arial" w:hAnsi="Arial" w:cs="Arial"/>
                <w:sz w:val="18"/>
                <w:szCs w:val="18"/>
              </w:rPr>
              <w:t>Release Assignment</w:t>
            </w:r>
          </w:p>
        </w:tc>
        <w:tc>
          <w:tcPr>
            <w:tcW w:w="1530" w:type="dxa"/>
            <w:shd w:val="clear" w:color="auto" w:fill="auto"/>
            <w:noWrap/>
            <w:vAlign w:val="bottom"/>
          </w:tcPr>
          <w:p w14:paraId="6D7E82A2"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A</w:t>
            </w:r>
          </w:p>
        </w:tc>
        <w:tc>
          <w:tcPr>
            <w:tcW w:w="2070" w:type="dxa"/>
            <w:shd w:val="clear" w:color="auto" w:fill="auto"/>
            <w:noWrap/>
            <w:vAlign w:val="bottom"/>
          </w:tcPr>
          <w:p w14:paraId="29666110" w14:textId="77777777" w:rsidR="008A701E" w:rsidRPr="006A2781" w:rsidRDefault="008A701E" w:rsidP="008A701E">
            <w:pPr>
              <w:rPr>
                <w:rFonts w:ascii="Arial" w:hAnsi="Arial" w:cs="Arial"/>
                <w:sz w:val="18"/>
                <w:szCs w:val="18"/>
              </w:rPr>
            </w:pPr>
            <w:r w:rsidRPr="006A2781">
              <w:rPr>
                <w:rFonts w:ascii="Arial" w:hAnsi="Arial" w:cs="Arial"/>
                <w:sz w:val="18"/>
                <w:szCs w:val="18"/>
              </w:rPr>
              <w:t>Target, no message sent</w:t>
            </w:r>
          </w:p>
        </w:tc>
      </w:tr>
      <w:tr w:rsidR="008A701E" w:rsidRPr="006A2781" w14:paraId="6156324C" w14:textId="77777777" w:rsidTr="00A732E0">
        <w:trPr>
          <w:cantSplit/>
          <w:trHeight w:val="255"/>
        </w:trPr>
        <w:tc>
          <w:tcPr>
            <w:tcW w:w="450" w:type="dxa"/>
            <w:vAlign w:val="bottom"/>
          </w:tcPr>
          <w:p w14:paraId="2496978E" w14:textId="77777777" w:rsidR="008A701E" w:rsidRPr="006A2781" w:rsidRDefault="008A701E" w:rsidP="008A701E">
            <w:pPr>
              <w:jc w:val="center"/>
              <w:rPr>
                <w:rFonts w:ascii="Arial" w:hAnsi="Arial" w:cs="Arial"/>
                <w:sz w:val="18"/>
                <w:szCs w:val="18"/>
              </w:rPr>
            </w:pPr>
            <w:r>
              <w:rPr>
                <w:rFonts w:ascii="Arial" w:hAnsi="Arial" w:cs="Arial"/>
                <w:sz w:val="18"/>
                <w:szCs w:val="18"/>
              </w:rPr>
              <w:t>26</w:t>
            </w:r>
          </w:p>
        </w:tc>
        <w:tc>
          <w:tcPr>
            <w:tcW w:w="540" w:type="dxa"/>
            <w:shd w:val="clear" w:color="auto" w:fill="auto"/>
            <w:vAlign w:val="bottom"/>
          </w:tcPr>
          <w:p w14:paraId="4040EA4B"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C</w:t>
            </w:r>
          </w:p>
        </w:tc>
        <w:tc>
          <w:tcPr>
            <w:tcW w:w="1867" w:type="dxa"/>
            <w:shd w:val="clear" w:color="auto" w:fill="auto"/>
            <w:noWrap/>
            <w:vAlign w:val="bottom"/>
          </w:tcPr>
          <w:p w14:paraId="15691292" w14:textId="77777777" w:rsidR="008A701E" w:rsidRPr="006A2781" w:rsidRDefault="008A701E" w:rsidP="008A701E">
            <w:pPr>
              <w:rPr>
                <w:rFonts w:ascii="Arial" w:hAnsi="Arial" w:cs="Arial"/>
                <w:sz w:val="18"/>
                <w:szCs w:val="18"/>
              </w:rPr>
            </w:pPr>
            <w:r>
              <w:rPr>
                <w:rFonts w:ascii="Arial" w:hAnsi="Arial" w:cs="Arial"/>
                <w:sz w:val="18"/>
                <w:szCs w:val="18"/>
              </w:rPr>
              <w:t>Split Units</w:t>
            </w:r>
          </w:p>
        </w:tc>
        <w:tc>
          <w:tcPr>
            <w:tcW w:w="3060" w:type="dxa"/>
            <w:shd w:val="clear" w:color="auto" w:fill="auto"/>
            <w:noWrap/>
            <w:vAlign w:val="bottom"/>
          </w:tcPr>
          <w:p w14:paraId="7AFA1DE9" w14:textId="77777777" w:rsidR="008A701E" w:rsidRPr="006A2781" w:rsidRDefault="008A701E" w:rsidP="008A701E">
            <w:pPr>
              <w:rPr>
                <w:rFonts w:ascii="Arial" w:hAnsi="Arial" w:cs="Arial"/>
                <w:sz w:val="18"/>
                <w:szCs w:val="18"/>
              </w:rPr>
            </w:pPr>
            <w:r w:rsidRPr="006A2781">
              <w:rPr>
                <w:rFonts w:ascii="Arial" w:hAnsi="Arial" w:cs="Arial"/>
                <w:sz w:val="18"/>
                <w:szCs w:val="18"/>
              </w:rPr>
              <w:t>Maintain Assignment</w:t>
            </w:r>
          </w:p>
        </w:tc>
        <w:tc>
          <w:tcPr>
            <w:tcW w:w="1530" w:type="dxa"/>
            <w:shd w:val="clear" w:color="auto" w:fill="auto"/>
            <w:noWrap/>
            <w:vAlign w:val="bottom"/>
          </w:tcPr>
          <w:p w14:paraId="685A80A8"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M</w:t>
            </w:r>
          </w:p>
        </w:tc>
        <w:tc>
          <w:tcPr>
            <w:tcW w:w="2070" w:type="dxa"/>
            <w:shd w:val="clear" w:color="auto" w:fill="auto"/>
            <w:noWrap/>
            <w:vAlign w:val="bottom"/>
          </w:tcPr>
          <w:p w14:paraId="7306A789" w14:textId="77777777" w:rsidR="008A701E" w:rsidRPr="006A2781" w:rsidRDefault="008A701E" w:rsidP="008A701E">
            <w:pPr>
              <w:rPr>
                <w:rFonts w:ascii="Arial" w:hAnsi="Arial" w:cs="Arial"/>
                <w:sz w:val="18"/>
                <w:szCs w:val="18"/>
              </w:rPr>
            </w:pPr>
            <w:r w:rsidRPr="006A2781">
              <w:rPr>
                <w:rFonts w:ascii="Arial" w:hAnsi="Arial" w:cs="Arial"/>
                <w:sz w:val="18"/>
                <w:szCs w:val="18"/>
              </w:rPr>
              <w:t>RE-original</w:t>
            </w:r>
          </w:p>
        </w:tc>
      </w:tr>
      <w:tr w:rsidR="008A701E" w:rsidRPr="006A2781" w14:paraId="234C1722" w14:textId="77777777" w:rsidTr="00A732E0">
        <w:trPr>
          <w:cantSplit/>
          <w:trHeight w:val="255"/>
        </w:trPr>
        <w:tc>
          <w:tcPr>
            <w:tcW w:w="450" w:type="dxa"/>
            <w:vAlign w:val="bottom"/>
          </w:tcPr>
          <w:p w14:paraId="42D46D71" w14:textId="77777777" w:rsidR="008A701E" w:rsidRPr="006A2781" w:rsidRDefault="008A701E" w:rsidP="008A701E">
            <w:pPr>
              <w:jc w:val="center"/>
              <w:rPr>
                <w:rFonts w:ascii="Arial" w:hAnsi="Arial" w:cs="Arial"/>
                <w:sz w:val="18"/>
                <w:szCs w:val="18"/>
              </w:rPr>
            </w:pPr>
            <w:r>
              <w:rPr>
                <w:rFonts w:ascii="Arial" w:hAnsi="Arial" w:cs="Arial"/>
                <w:sz w:val="18"/>
                <w:szCs w:val="18"/>
              </w:rPr>
              <w:t>27</w:t>
            </w:r>
          </w:p>
        </w:tc>
        <w:tc>
          <w:tcPr>
            <w:tcW w:w="540" w:type="dxa"/>
            <w:shd w:val="clear" w:color="auto" w:fill="auto"/>
            <w:vAlign w:val="bottom"/>
          </w:tcPr>
          <w:p w14:paraId="6A776E1A"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C</w:t>
            </w:r>
          </w:p>
        </w:tc>
        <w:tc>
          <w:tcPr>
            <w:tcW w:w="1867" w:type="dxa"/>
            <w:shd w:val="clear" w:color="auto" w:fill="auto"/>
            <w:noWrap/>
            <w:vAlign w:val="bottom"/>
          </w:tcPr>
          <w:p w14:paraId="02C7C46D" w14:textId="77777777" w:rsidR="008A701E" w:rsidRPr="006A2781" w:rsidRDefault="008A701E" w:rsidP="008A701E">
            <w:pPr>
              <w:rPr>
                <w:rFonts w:ascii="Arial" w:hAnsi="Arial" w:cs="Arial"/>
                <w:sz w:val="18"/>
                <w:szCs w:val="18"/>
              </w:rPr>
            </w:pPr>
            <w:r>
              <w:rPr>
                <w:rFonts w:ascii="Arial" w:hAnsi="Arial" w:cs="Arial"/>
                <w:sz w:val="18"/>
                <w:szCs w:val="18"/>
              </w:rPr>
              <w:t>Split Units</w:t>
            </w:r>
          </w:p>
        </w:tc>
        <w:tc>
          <w:tcPr>
            <w:tcW w:w="3060" w:type="dxa"/>
            <w:shd w:val="clear" w:color="auto" w:fill="auto"/>
            <w:noWrap/>
            <w:vAlign w:val="bottom"/>
          </w:tcPr>
          <w:p w14:paraId="44C72911" w14:textId="77777777" w:rsidR="008A701E" w:rsidRPr="006A2781" w:rsidRDefault="008A701E" w:rsidP="008A701E">
            <w:pPr>
              <w:rPr>
                <w:rFonts w:ascii="Arial" w:hAnsi="Arial" w:cs="Arial"/>
                <w:sz w:val="18"/>
                <w:szCs w:val="18"/>
              </w:rPr>
            </w:pPr>
            <w:r w:rsidRPr="006A2781">
              <w:rPr>
                <w:rFonts w:ascii="Arial" w:hAnsi="Arial" w:cs="Arial"/>
                <w:sz w:val="18"/>
                <w:szCs w:val="18"/>
              </w:rPr>
              <w:t>Maintain Assignment</w:t>
            </w:r>
          </w:p>
        </w:tc>
        <w:tc>
          <w:tcPr>
            <w:tcW w:w="1530" w:type="dxa"/>
            <w:shd w:val="clear" w:color="auto" w:fill="auto"/>
            <w:noWrap/>
            <w:vAlign w:val="bottom"/>
          </w:tcPr>
          <w:p w14:paraId="277F561C"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C</w:t>
            </w:r>
          </w:p>
        </w:tc>
        <w:tc>
          <w:tcPr>
            <w:tcW w:w="2070" w:type="dxa"/>
            <w:shd w:val="clear" w:color="auto" w:fill="auto"/>
            <w:noWrap/>
            <w:vAlign w:val="bottom"/>
          </w:tcPr>
          <w:p w14:paraId="5B172DFD" w14:textId="77777777" w:rsidR="008A701E" w:rsidRPr="006A2781" w:rsidRDefault="008A701E" w:rsidP="008A701E">
            <w:pPr>
              <w:rPr>
                <w:rFonts w:ascii="Arial" w:hAnsi="Arial" w:cs="Arial"/>
                <w:sz w:val="18"/>
                <w:szCs w:val="18"/>
              </w:rPr>
            </w:pPr>
            <w:r w:rsidRPr="006A2781">
              <w:rPr>
                <w:rFonts w:ascii="Arial" w:hAnsi="Arial" w:cs="Arial"/>
                <w:sz w:val="18"/>
                <w:szCs w:val="18"/>
              </w:rPr>
              <w:t>RS-target</w:t>
            </w:r>
          </w:p>
        </w:tc>
      </w:tr>
      <w:tr w:rsidR="008A701E" w:rsidRPr="006A2781" w14:paraId="5E761FEC" w14:textId="77777777" w:rsidTr="00A732E0">
        <w:trPr>
          <w:cantSplit/>
          <w:trHeight w:val="255"/>
        </w:trPr>
        <w:tc>
          <w:tcPr>
            <w:tcW w:w="450" w:type="dxa"/>
            <w:vAlign w:val="bottom"/>
          </w:tcPr>
          <w:p w14:paraId="39202D1F" w14:textId="77777777" w:rsidR="008A701E" w:rsidRPr="006A2781" w:rsidRDefault="008A701E" w:rsidP="008A701E">
            <w:pPr>
              <w:jc w:val="center"/>
              <w:rPr>
                <w:rFonts w:ascii="Arial" w:hAnsi="Arial" w:cs="Arial"/>
                <w:sz w:val="18"/>
                <w:szCs w:val="18"/>
              </w:rPr>
            </w:pPr>
            <w:r>
              <w:rPr>
                <w:rFonts w:ascii="Arial" w:hAnsi="Arial" w:cs="Arial"/>
                <w:sz w:val="18"/>
                <w:szCs w:val="18"/>
              </w:rPr>
              <w:t>28</w:t>
            </w:r>
          </w:p>
        </w:tc>
        <w:tc>
          <w:tcPr>
            <w:tcW w:w="540" w:type="dxa"/>
            <w:shd w:val="clear" w:color="auto" w:fill="auto"/>
            <w:vAlign w:val="bottom"/>
          </w:tcPr>
          <w:p w14:paraId="226FD9D4"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C</w:t>
            </w:r>
          </w:p>
        </w:tc>
        <w:tc>
          <w:tcPr>
            <w:tcW w:w="1867" w:type="dxa"/>
            <w:shd w:val="clear" w:color="auto" w:fill="auto"/>
            <w:noWrap/>
            <w:vAlign w:val="bottom"/>
          </w:tcPr>
          <w:p w14:paraId="38044C25" w14:textId="77777777" w:rsidR="008A701E" w:rsidRPr="006A2781" w:rsidRDefault="008A701E" w:rsidP="008A701E">
            <w:pPr>
              <w:rPr>
                <w:rFonts w:ascii="Arial" w:hAnsi="Arial" w:cs="Arial"/>
                <w:sz w:val="18"/>
                <w:szCs w:val="18"/>
              </w:rPr>
            </w:pPr>
            <w:r>
              <w:rPr>
                <w:rFonts w:ascii="Arial" w:hAnsi="Arial" w:cs="Arial"/>
                <w:sz w:val="18"/>
                <w:szCs w:val="18"/>
              </w:rPr>
              <w:t>Split Units</w:t>
            </w:r>
          </w:p>
        </w:tc>
        <w:tc>
          <w:tcPr>
            <w:tcW w:w="3060" w:type="dxa"/>
            <w:shd w:val="clear" w:color="auto" w:fill="auto"/>
            <w:noWrap/>
            <w:vAlign w:val="bottom"/>
          </w:tcPr>
          <w:p w14:paraId="17E9EEC7" w14:textId="77777777" w:rsidR="008A701E" w:rsidRPr="006A2781" w:rsidRDefault="008A701E" w:rsidP="008A701E">
            <w:pPr>
              <w:rPr>
                <w:rFonts w:ascii="Arial" w:hAnsi="Arial" w:cs="Arial"/>
                <w:sz w:val="18"/>
                <w:szCs w:val="18"/>
              </w:rPr>
            </w:pPr>
            <w:r w:rsidRPr="006A2781">
              <w:rPr>
                <w:rFonts w:ascii="Arial" w:hAnsi="Arial" w:cs="Arial"/>
                <w:sz w:val="18"/>
                <w:szCs w:val="18"/>
              </w:rPr>
              <w:t>Release Assignment</w:t>
            </w:r>
          </w:p>
        </w:tc>
        <w:tc>
          <w:tcPr>
            <w:tcW w:w="1530" w:type="dxa"/>
            <w:shd w:val="clear" w:color="auto" w:fill="auto"/>
            <w:noWrap/>
            <w:vAlign w:val="bottom"/>
          </w:tcPr>
          <w:p w14:paraId="0479F8C7"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M</w:t>
            </w:r>
          </w:p>
        </w:tc>
        <w:tc>
          <w:tcPr>
            <w:tcW w:w="2070" w:type="dxa"/>
            <w:shd w:val="clear" w:color="auto" w:fill="auto"/>
            <w:noWrap/>
            <w:vAlign w:val="bottom"/>
          </w:tcPr>
          <w:p w14:paraId="56498B69" w14:textId="77777777" w:rsidR="008A701E" w:rsidRPr="006A2781" w:rsidRDefault="008A701E" w:rsidP="008A701E">
            <w:pPr>
              <w:rPr>
                <w:rFonts w:ascii="Arial" w:hAnsi="Arial" w:cs="Arial"/>
                <w:sz w:val="18"/>
                <w:szCs w:val="18"/>
              </w:rPr>
            </w:pPr>
            <w:r w:rsidRPr="006A2781">
              <w:rPr>
                <w:rFonts w:ascii="Arial" w:hAnsi="Arial" w:cs="Arial"/>
                <w:sz w:val="18"/>
                <w:szCs w:val="18"/>
              </w:rPr>
              <w:t>RE-original</w:t>
            </w:r>
          </w:p>
        </w:tc>
      </w:tr>
      <w:tr w:rsidR="008A701E" w:rsidRPr="006A2781" w14:paraId="1637F427" w14:textId="77777777" w:rsidTr="00A732E0">
        <w:trPr>
          <w:cantSplit/>
          <w:trHeight w:val="255"/>
        </w:trPr>
        <w:tc>
          <w:tcPr>
            <w:tcW w:w="450" w:type="dxa"/>
            <w:vAlign w:val="bottom"/>
          </w:tcPr>
          <w:p w14:paraId="74B38656" w14:textId="77777777" w:rsidR="008A701E" w:rsidRPr="006A2781" w:rsidRDefault="008A701E" w:rsidP="008A701E">
            <w:pPr>
              <w:jc w:val="center"/>
              <w:rPr>
                <w:rFonts w:ascii="Arial" w:hAnsi="Arial" w:cs="Arial"/>
                <w:sz w:val="18"/>
                <w:szCs w:val="18"/>
              </w:rPr>
            </w:pPr>
            <w:r>
              <w:rPr>
                <w:rFonts w:ascii="Arial" w:hAnsi="Arial" w:cs="Arial"/>
                <w:sz w:val="18"/>
                <w:szCs w:val="18"/>
              </w:rPr>
              <w:t>29</w:t>
            </w:r>
          </w:p>
        </w:tc>
        <w:tc>
          <w:tcPr>
            <w:tcW w:w="540" w:type="dxa"/>
            <w:shd w:val="clear" w:color="auto" w:fill="auto"/>
            <w:vAlign w:val="bottom"/>
          </w:tcPr>
          <w:p w14:paraId="263576C6"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C</w:t>
            </w:r>
          </w:p>
        </w:tc>
        <w:tc>
          <w:tcPr>
            <w:tcW w:w="1867" w:type="dxa"/>
            <w:shd w:val="clear" w:color="auto" w:fill="auto"/>
            <w:noWrap/>
            <w:vAlign w:val="bottom"/>
          </w:tcPr>
          <w:p w14:paraId="6C1A4233" w14:textId="77777777" w:rsidR="008A701E" w:rsidRPr="006A2781" w:rsidRDefault="008A701E" w:rsidP="008A701E">
            <w:pPr>
              <w:rPr>
                <w:rFonts w:ascii="Arial" w:hAnsi="Arial" w:cs="Arial"/>
                <w:sz w:val="18"/>
                <w:szCs w:val="18"/>
              </w:rPr>
            </w:pPr>
            <w:r>
              <w:rPr>
                <w:rFonts w:ascii="Arial" w:hAnsi="Arial" w:cs="Arial"/>
                <w:sz w:val="18"/>
                <w:szCs w:val="18"/>
              </w:rPr>
              <w:t>Split Units</w:t>
            </w:r>
          </w:p>
        </w:tc>
        <w:tc>
          <w:tcPr>
            <w:tcW w:w="3060" w:type="dxa"/>
            <w:shd w:val="clear" w:color="auto" w:fill="auto"/>
            <w:noWrap/>
            <w:vAlign w:val="bottom"/>
          </w:tcPr>
          <w:p w14:paraId="466A882D" w14:textId="77777777" w:rsidR="008A701E" w:rsidRPr="006A2781" w:rsidRDefault="008A701E" w:rsidP="008A701E">
            <w:pPr>
              <w:rPr>
                <w:rFonts w:ascii="Arial" w:hAnsi="Arial" w:cs="Arial"/>
                <w:sz w:val="18"/>
                <w:szCs w:val="18"/>
              </w:rPr>
            </w:pPr>
            <w:r w:rsidRPr="006A2781">
              <w:rPr>
                <w:rFonts w:ascii="Arial" w:hAnsi="Arial" w:cs="Arial"/>
                <w:sz w:val="18"/>
                <w:szCs w:val="18"/>
              </w:rPr>
              <w:t>Release Assignment</w:t>
            </w:r>
          </w:p>
        </w:tc>
        <w:tc>
          <w:tcPr>
            <w:tcW w:w="1530" w:type="dxa"/>
            <w:shd w:val="clear" w:color="auto" w:fill="auto"/>
            <w:noWrap/>
            <w:vAlign w:val="bottom"/>
          </w:tcPr>
          <w:p w14:paraId="7FF704AE"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A</w:t>
            </w:r>
          </w:p>
        </w:tc>
        <w:tc>
          <w:tcPr>
            <w:tcW w:w="2070" w:type="dxa"/>
            <w:shd w:val="clear" w:color="auto" w:fill="auto"/>
            <w:noWrap/>
            <w:vAlign w:val="bottom"/>
          </w:tcPr>
          <w:p w14:paraId="427B7B5A" w14:textId="77777777" w:rsidR="008A701E" w:rsidRPr="006A2781" w:rsidRDefault="008A701E" w:rsidP="008A701E">
            <w:pPr>
              <w:rPr>
                <w:rFonts w:ascii="Arial" w:hAnsi="Arial" w:cs="Arial"/>
                <w:sz w:val="18"/>
                <w:szCs w:val="18"/>
              </w:rPr>
            </w:pPr>
            <w:r w:rsidRPr="006A2781">
              <w:rPr>
                <w:rFonts w:ascii="Arial" w:hAnsi="Arial" w:cs="Arial"/>
                <w:sz w:val="18"/>
                <w:szCs w:val="18"/>
              </w:rPr>
              <w:t>Target, no message sent</w:t>
            </w:r>
          </w:p>
        </w:tc>
      </w:tr>
      <w:tr w:rsidR="008A701E" w:rsidRPr="006A2781" w14:paraId="5CD29512" w14:textId="77777777" w:rsidTr="00A732E0">
        <w:trPr>
          <w:cantSplit/>
          <w:trHeight w:val="255"/>
        </w:trPr>
        <w:tc>
          <w:tcPr>
            <w:tcW w:w="450" w:type="dxa"/>
            <w:vAlign w:val="bottom"/>
          </w:tcPr>
          <w:p w14:paraId="7B9E4871" w14:textId="77777777" w:rsidR="008A701E" w:rsidRPr="006A2781" w:rsidRDefault="008A701E" w:rsidP="008A701E">
            <w:pPr>
              <w:jc w:val="center"/>
              <w:rPr>
                <w:rFonts w:ascii="Arial" w:hAnsi="Arial" w:cs="Arial"/>
                <w:sz w:val="18"/>
                <w:szCs w:val="18"/>
              </w:rPr>
            </w:pPr>
            <w:r>
              <w:rPr>
                <w:rFonts w:ascii="Arial" w:hAnsi="Arial" w:cs="Arial"/>
                <w:sz w:val="18"/>
                <w:szCs w:val="18"/>
              </w:rPr>
              <w:t>30</w:t>
            </w:r>
          </w:p>
        </w:tc>
        <w:tc>
          <w:tcPr>
            <w:tcW w:w="540" w:type="dxa"/>
            <w:shd w:val="clear" w:color="auto" w:fill="auto"/>
            <w:vAlign w:val="bottom"/>
          </w:tcPr>
          <w:p w14:paraId="024E13CF"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S</w:t>
            </w:r>
          </w:p>
        </w:tc>
        <w:tc>
          <w:tcPr>
            <w:tcW w:w="1867" w:type="dxa"/>
            <w:shd w:val="clear" w:color="auto" w:fill="auto"/>
            <w:noWrap/>
            <w:vAlign w:val="bottom"/>
          </w:tcPr>
          <w:p w14:paraId="085AB050" w14:textId="77777777" w:rsidR="008A701E" w:rsidRPr="006A2781" w:rsidRDefault="008A701E" w:rsidP="008A701E">
            <w:pPr>
              <w:rPr>
                <w:rFonts w:ascii="Arial" w:hAnsi="Arial" w:cs="Arial"/>
                <w:sz w:val="18"/>
                <w:szCs w:val="18"/>
              </w:rPr>
            </w:pPr>
            <w:r>
              <w:rPr>
                <w:rFonts w:ascii="Arial" w:hAnsi="Arial" w:cs="Arial"/>
                <w:sz w:val="18"/>
                <w:szCs w:val="18"/>
              </w:rPr>
              <w:t>Modify Units</w:t>
            </w:r>
          </w:p>
        </w:tc>
        <w:tc>
          <w:tcPr>
            <w:tcW w:w="3060" w:type="dxa"/>
            <w:shd w:val="clear" w:color="auto" w:fill="auto"/>
            <w:noWrap/>
            <w:vAlign w:val="bottom"/>
          </w:tcPr>
          <w:p w14:paraId="1A2AA4D0" w14:textId="77777777" w:rsidR="008A701E" w:rsidRPr="006A2781" w:rsidRDefault="008A701E" w:rsidP="008A701E">
            <w:pPr>
              <w:rPr>
                <w:rFonts w:ascii="Arial" w:hAnsi="Arial" w:cs="Arial"/>
                <w:sz w:val="18"/>
                <w:szCs w:val="18"/>
              </w:rPr>
            </w:pPr>
            <w:r w:rsidRPr="006A2781">
              <w:rPr>
                <w:rFonts w:ascii="Arial" w:hAnsi="Arial" w:cs="Arial"/>
                <w:sz w:val="18"/>
                <w:szCs w:val="18"/>
              </w:rPr>
              <w:t>Maintain Assignment</w:t>
            </w:r>
          </w:p>
        </w:tc>
        <w:tc>
          <w:tcPr>
            <w:tcW w:w="1530" w:type="dxa"/>
            <w:shd w:val="clear" w:color="auto" w:fill="auto"/>
            <w:noWrap/>
            <w:vAlign w:val="bottom"/>
          </w:tcPr>
          <w:p w14:paraId="71018F6D"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M</w:t>
            </w:r>
          </w:p>
        </w:tc>
        <w:tc>
          <w:tcPr>
            <w:tcW w:w="2070" w:type="dxa"/>
            <w:shd w:val="clear" w:color="auto" w:fill="auto"/>
            <w:noWrap/>
            <w:vAlign w:val="bottom"/>
          </w:tcPr>
          <w:p w14:paraId="63E82B50" w14:textId="5E2359B9" w:rsidR="008A701E" w:rsidRPr="006A2781" w:rsidRDefault="008A701E" w:rsidP="008A701E">
            <w:pPr>
              <w:rPr>
                <w:rFonts w:ascii="Arial" w:hAnsi="Arial" w:cs="Arial"/>
                <w:sz w:val="18"/>
                <w:szCs w:val="18"/>
              </w:rPr>
            </w:pPr>
            <w:r w:rsidRPr="006A2781">
              <w:rPr>
                <w:rFonts w:ascii="Arial" w:hAnsi="Arial" w:cs="Arial"/>
                <w:sz w:val="18"/>
                <w:szCs w:val="18"/>
              </w:rPr>
              <w:t>RE-</w:t>
            </w:r>
            <w:r w:rsidR="00AE3B37" w:rsidRPr="006A2781">
              <w:rPr>
                <w:rFonts w:ascii="Arial" w:hAnsi="Arial" w:cs="Arial"/>
                <w:sz w:val="18"/>
                <w:szCs w:val="18"/>
              </w:rPr>
              <w:t>original (</w:t>
            </w:r>
            <w:r w:rsidRPr="006A2781">
              <w:rPr>
                <w:rFonts w:ascii="Arial" w:hAnsi="Arial" w:cs="Arial"/>
                <w:sz w:val="18"/>
                <w:szCs w:val="18"/>
              </w:rPr>
              <w:t>when processing in batch, multiple messages are sent)</w:t>
            </w:r>
          </w:p>
        </w:tc>
      </w:tr>
      <w:tr w:rsidR="008A701E" w:rsidRPr="006A2781" w14:paraId="43D58C42" w14:textId="77777777" w:rsidTr="00A732E0">
        <w:trPr>
          <w:cantSplit/>
          <w:trHeight w:val="255"/>
        </w:trPr>
        <w:tc>
          <w:tcPr>
            <w:tcW w:w="450" w:type="dxa"/>
            <w:vAlign w:val="bottom"/>
          </w:tcPr>
          <w:p w14:paraId="15ADBACB" w14:textId="77777777" w:rsidR="008A701E" w:rsidRPr="006A2781" w:rsidRDefault="008A701E" w:rsidP="008A701E">
            <w:pPr>
              <w:jc w:val="center"/>
              <w:rPr>
                <w:rFonts w:ascii="Arial" w:hAnsi="Arial" w:cs="Arial"/>
                <w:sz w:val="18"/>
                <w:szCs w:val="18"/>
              </w:rPr>
            </w:pPr>
            <w:r>
              <w:rPr>
                <w:rFonts w:ascii="Arial" w:hAnsi="Arial" w:cs="Arial"/>
                <w:sz w:val="18"/>
                <w:szCs w:val="18"/>
              </w:rPr>
              <w:t>31</w:t>
            </w:r>
          </w:p>
        </w:tc>
        <w:tc>
          <w:tcPr>
            <w:tcW w:w="540" w:type="dxa"/>
            <w:shd w:val="clear" w:color="auto" w:fill="auto"/>
            <w:vAlign w:val="bottom"/>
          </w:tcPr>
          <w:p w14:paraId="44E3BCC3"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S</w:t>
            </w:r>
          </w:p>
        </w:tc>
        <w:tc>
          <w:tcPr>
            <w:tcW w:w="1867" w:type="dxa"/>
            <w:shd w:val="clear" w:color="auto" w:fill="auto"/>
            <w:noWrap/>
            <w:vAlign w:val="bottom"/>
          </w:tcPr>
          <w:p w14:paraId="6FCD5576" w14:textId="77777777" w:rsidR="008A701E" w:rsidRPr="006A2781" w:rsidRDefault="008A701E" w:rsidP="008A701E">
            <w:pPr>
              <w:rPr>
                <w:rFonts w:ascii="Arial" w:hAnsi="Arial" w:cs="Arial"/>
                <w:sz w:val="18"/>
                <w:szCs w:val="18"/>
              </w:rPr>
            </w:pPr>
            <w:r>
              <w:rPr>
                <w:rFonts w:ascii="Arial" w:hAnsi="Arial" w:cs="Arial"/>
                <w:sz w:val="18"/>
                <w:szCs w:val="18"/>
              </w:rPr>
              <w:t>Modify Units</w:t>
            </w:r>
          </w:p>
        </w:tc>
        <w:tc>
          <w:tcPr>
            <w:tcW w:w="3060" w:type="dxa"/>
            <w:shd w:val="clear" w:color="auto" w:fill="auto"/>
            <w:noWrap/>
            <w:vAlign w:val="bottom"/>
          </w:tcPr>
          <w:p w14:paraId="33547ACA" w14:textId="77777777" w:rsidR="008A701E" w:rsidRPr="006A2781" w:rsidRDefault="008A701E" w:rsidP="008A701E">
            <w:pPr>
              <w:rPr>
                <w:rFonts w:ascii="Arial" w:hAnsi="Arial" w:cs="Arial"/>
                <w:sz w:val="18"/>
                <w:szCs w:val="18"/>
              </w:rPr>
            </w:pPr>
            <w:r w:rsidRPr="006A2781">
              <w:rPr>
                <w:rFonts w:ascii="Arial" w:hAnsi="Arial" w:cs="Arial"/>
                <w:sz w:val="18"/>
                <w:szCs w:val="18"/>
              </w:rPr>
              <w:t>Maintain Assignment</w:t>
            </w:r>
          </w:p>
        </w:tc>
        <w:tc>
          <w:tcPr>
            <w:tcW w:w="1530" w:type="dxa"/>
            <w:shd w:val="clear" w:color="auto" w:fill="auto"/>
            <w:noWrap/>
            <w:vAlign w:val="bottom"/>
          </w:tcPr>
          <w:p w14:paraId="4AF77904"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S</w:t>
            </w:r>
          </w:p>
        </w:tc>
        <w:tc>
          <w:tcPr>
            <w:tcW w:w="2070" w:type="dxa"/>
            <w:shd w:val="clear" w:color="auto" w:fill="auto"/>
            <w:noWrap/>
            <w:vAlign w:val="bottom"/>
          </w:tcPr>
          <w:p w14:paraId="12EA5BEF" w14:textId="77777777" w:rsidR="008A701E" w:rsidRPr="006A2781" w:rsidRDefault="008A701E" w:rsidP="008A701E">
            <w:pPr>
              <w:rPr>
                <w:rFonts w:ascii="Arial" w:hAnsi="Arial" w:cs="Arial"/>
                <w:sz w:val="18"/>
                <w:szCs w:val="18"/>
              </w:rPr>
            </w:pPr>
            <w:r w:rsidRPr="006A2781">
              <w:rPr>
                <w:rFonts w:ascii="Arial" w:hAnsi="Arial" w:cs="Arial"/>
                <w:sz w:val="18"/>
                <w:szCs w:val="18"/>
              </w:rPr>
              <w:t>RS-target (when processing in batch, multiple messages are sent)</w:t>
            </w:r>
          </w:p>
        </w:tc>
      </w:tr>
      <w:tr w:rsidR="008A701E" w:rsidRPr="006A2781" w14:paraId="45495E52" w14:textId="77777777" w:rsidTr="00A732E0">
        <w:trPr>
          <w:cantSplit/>
          <w:trHeight w:val="255"/>
        </w:trPr>
        <w:tc>
          <w:tcPr>
            <w:tcW w:w="450" w:type="dxa"/>
            <w:vAlign w:val="bottom"/>
          </w:tcPr>
          <w:p w14:paraId="72728ECC" w14:textId="77777777" w:rsidR="008A701E" w:rsidRPr="006A2781" w:rsidRDefault="008A701E" w:rsidP="008A701E">
            <w:pPr>
              <w:jc w:val="center"/>
              <w:rPr>
                <w:rFonts w:ascii="Arial" w:hAnsi="Arial" w:cs="Arial"/>
                <w:sz w:val="18"/>
                <w:szCs w:val="18"/>
              </w:rPr>
            </w:pPr>
            <w:r>
              <w:rPr>
                <w:rFonts w:ascii="Arial" w:hAnsi="Arial" w:cs="Arial"/>
                <w:sz w:val="18"/>
                <w:szCs w:val="18"/>
              </w:rPr>
              <w:t>32</w:t>
            </w:r>
          </w:p>
        </w:tc>
        <w:tc>
          <w:tcPr>
            <w:tcW w:w="540" w:type="dxa"/>
            <w:shd w:val="clear" w:color="auto" w:fill="auto"/>
            <w:vAlign w:val="bottom"/>
          </w:tcPr>
          <w:p w14:paraId="2FDD2B9C"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S</w:t>
            </w:r>
          </w:p>
        </w:tc>
        <w:tc>
          <w:tcPr>
            <w:tcW w:w="1867" w:type="dxa"/>
            <w:shd w:val="clear" w:color="auto" w:fill="auto"/>
            <w:noWrap/>
            <w:vAlign w:val="bottom"/>
          </w:tcPr>
          <w:p w14:paraId="52DED11E" w14:textId="77777777" w:rsidR="008A701E" w:rsidRPr="006A2781" w:rsidRDefault="008A701E" w:rsidP="008A701E">
            <w:pPr>
              <w:rPr>
                <w:rFonts w:ascii="Arial" w:hAnsi="Arial" w:cs="Arial"/>
                <w:sz w:val="18"/>
                <w:szCs w:val="18"/>
              </w:rPr>
            </w:pPr>
            <w:r>
              <w:rPr>
                <w:rFonts w:ascii="Arial" w:hAnsi="Arial" w:cs="Arial"/>
                <w:sz w:val="18"/>
                <w:szCs w:val="18"/>
              </w:rPr>
              <w:t>Modify Units</w:t>
            </w:r>
          </w:p>
        </w:tc>
        <w:tc>
          <w:tcPr>
            <w:tcW w:w="3060" w:type="dxa"/>
            <w:shd w:val="clear" w:color="auto" w:fill="auto"/>
            <w:noWrap/>
            <w:vAlign w:val="bottom"/>
          </w:tcPr>
          <w:p w14:paraId="490956BF" w14:textId="77777777" w:rsidR="008A701E" w:rsidRPr="006A2781" w:rsidRDefault="008A701E" w:rsidP="008A701E">
            <w:pPr>
              <w:rPr>
                <w:rFonts w:ascii="Arial" w:hAnsi="Arial" w:cs="Arial"/>
                <w:sz w:val="18"/>
                <w:szCs w:val="18"/>
              </w:rPr>
            </w:pPr>
            <w:r w:rsidRPr="006A2781">
              <w:rPr>
                <w:rFonts w:ascii="Arial" w:hAnsi="Arial" w:cs="Arial"/>
                <w:sz w:val="18"/>
                <w:szCs w:val="18"/>
              </w:rPr>
              <w:t>Release Assignment</w:t>
            </w:r>
          </w:p>
        </w:tc>
        <w:tc>
          <w:tcPr>
            <w:tcW w:w="1530" w:type="dxa"/>
            <w:shd w:val="clear" w:color="auto" w:fill="auto"/>
            <w:noWrap/>
            <w:vAlign w:val="bottom"/>
          </w:tcPr>
          <w:p w14:paraId="0651B7FB"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M</w:t>
            </w:r>
          </w:p>
        </w:tc>
        <w:tc>
          <w:tcPr>
            <w:tcW w:w="2070" w:type="dxa"/>
            <w:shd w:val="clear" w:color="auto" w:fill="auto"/>
            <w:noWrap/>
            <w:vAlign w:val="bottom"/>
          </w:tcPr>
          <w:p w14:paraId="080BBC74" w14:textId="1E5C1D00" w:rsidR="008A701E" w:rsidRPr="006A2781" w:rsidRDefault="008A701E" w:rsidP="008A701E">
            <w:pPr>
              <w:rPr>
                <w:rFonts w:ascii="Arial" w:hAnsi="Arial" w:cs="Arial"/>
                <w:sz w:val="18"/>
                <w:szCs w:val="18"/>
              </w:rPr>
            </w:pPr>
            <w:r w:rsidRPr="006A2781">
              <w:rPr>
                <w:rFonts w:ascii="Arial" w:hAnsi="Arial" w:cs="Arial"/>
                <w:sz w:val="18"/>
                <w:szCs w:val="18"/>
              </w:rPr>
              <w:t>RE-</w:t>
            </w:r>
            <w:r w:rsidR="00AE3B37" w:rsidRPr="006A2781">
              <w:rPr>
                <w:rFonts w:ascii="Arial" w:hAnsi="Arial" w:cs="Arial"/>
                <w:sz w:val="18"/>
                <w:szCs w:val="18"/>
              </w:rPr>
              <w:t>original (</w:t>
            </w:r>
            <w:r w:rsidRPr="006A2781">
              <w:rPr>
                <w:rFonts w:ascii="Arial" w:hAnsi="Arial" w:cs="Arial"/>
                <w:sz w:val="18"/>
                <w:szCs w:val="18"/>
              </w:rPr>
              <w:t>when processing in batch, multiple messages are sent)</w:t>
            </w:r>
          </w:p>
        </w:tc>
      </w:tr>
      <w:tr w:rsidR="008A701E" w:rsidRPr="006A2781" w14:paraId="646338D3" w14:textId="77777777" w:rsidTr="00A732E0">
        <w:trPr>
          <w:cantSplit/>
          <w:trHeight w:val="255"/>
        </w:trPr>
        <w:tc>
          <w:tcPr>
            <w:tcW w:w="450" w:type="dxa"/>
            <w:vAlign w:val="bottom"/>
          </w:tcPr>
          <w:p w14:paraId="2AB441C3" w14:textId="77777777" w:rsidR="008A701E" w:rsidRPr="006A2781" w:rsidRDefault="008A701E" w:rsidP="008A701E">
            <w:pPr>
              <w:jc w:val="center"/>
              <w:rPr>
                <w:rFonts w:ascii="Arial" w:hAnsi="Arial" w:cs="Arial"/>
                <w:sz w:val="18"/>
                <w:szCs w:val="18"/>
              </w:rPr>
            </w:pPr>
            <w:r>
              <w:rPr>
                <w:rFonts w:ascii="Arial" w:hAnsi="Arial" w:cs="Arial"/>
                <w:sz w:val="18"/>
                <w:szCs w:val="18"/>
              </w:rPr>
              <w:t>33</w:t>
            </w:r>
          </w:p>
        </w:tc>
        <w:tc>
          <w:tcPr>
            <w:tcW w:w="540" w:type="dxa"/>
            <w:shd w:val="clear" w:color="auto" w:fill="auto"/>
            <w:vAlign w:val="bottom"/>
          </w:tcPr>
          <w:p w14:paraId="604BA4BD"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S</w:t>
            </w:r>
          </w:p>
        </w:tc>
        <w:tc>
          <w:tcPr>
            <w:tcW w:w="1867" w:type="dxa"/>
            <w:shd w:val="clear" w:color="auto" w:fill="auto"/>
            <w:noWrap/>
            <w:vAlign w:val="bottom"/>
          </w:tcPr>
          <w:p w14:paraId="50FBCAC3" w14:textId="77777777" w:rsidR="008A701E" w:rsidRPr="006A2781" w:rsidRDefault="008A701E" w:rsidP="008A701E">
            <w:pPr>
              <w:rPr>
                <w:rFonts w:ascii="Arial" w:hAnsi="Arial" w:cs="Arial"/>
                <w:sz w:val="18"/>
                <w:szCs w:val="18"/>
              </w:rPr>
            </w:pPr>
            <w:r>
              <w:rPr>
                <w:rFonts w:ascii="Arial" w:hAnsi="Arial" w:cs="Arial"/>
                <w:sz w:val="18"/>
                <w:szCs w:val="18"/>
              </w:rPr>
              <w:t>Modify Units</w:t>
            </w:r>
          </w:p>
        </w:tc>
        <w:tc>
          <w:tcPr>
            <w:tcW w:w="3060" w:type="dxa"/>
            <w:shd w:val="clear" w:color="auto" w:fill="auto"/>
            <w:noWrap/>
            <w:vAlign w:val="bottom"/>
          </w:tcPr>
          <w:p w14:paraId="669E8E74" w14:textId="77777777" w:rsidR="008A701E" w:rsidRPr="006A2781" w:rsidRDefault="008A701E" w:rsidP="008A701E">
            <w:pPr>
              <w:rPr>
                <w:rFonts w:ascii="Arial" w:hAnsi="Arial" w:cs="Arial"/>
                <w:sz w:val="18"/>
                <w:szCs w:val="18"/>
              </w:rPr>
            </w:pPr>
            <w:r w:rsidRPr="006A2781">
              <w:rPr>
                <w:rFonts w:ascii="Arial" w:hAnsi="Arial" w:cs="Arial"/>
                <w:sz w:val="18"/>
                <w:szCs w:val="18"/>
              </w:rPr>
              <w:t>Release Assignment</w:t>
            </w:r>
          </w:p>
        </w:tc>
        <w:tc>
          <w:tcPr>
            <w:tcW w:w="1530" w:type="dxa"/>
            <w:shd w:val="clear" w:color="auto" w:fill="auto"/>
            <w:noWrap/>
            <w:vAlign w:val="bottom"/>
          </w:tcPr>
          <w:p w14:paraId="6BCBDC64"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A</w:t>
            </w:r>
          </w:p>
        </w:tc>
        <w:tc>
          <w:tcPr>
            <w:tcW w:w="2070" w:type="dxa"/>
            <w:shd w:val="clear" w:color="auto" w:fill="auto"/>
            <w:noWrap/>
            <w:vAlign w:val="bottom"/>
          </w:tcPr>
          <w:p w14:paraId="06D2E9E2" w14:textId="77777777" w:rsidR="008A701E" w:rsidRPr="006A2781" w:rsidRDefault="008A701E" w:rsidP="008A701E">
            <w:pPr>
              <w:rPr>
                <w:rFonts w:ascii="Arial" w:hAnsi="Arial" w:cs="Arial"/>
                <w:sz w:val="18"/>
                <w:szCs w:val="18"/>
              </w:rPr>
            </w:pPr>
            <w:r w:rsidRPr="006A2781">
              <w:rPr>
                <w:rFonts w:ascii="Arial" w:hAnsi="Arial" w:cs="Arial"/>
                <w:sz w:val="18"/>
                <w:szCs w:val="18"/>
              </w:rPr>
              <w:t>Target, no message sent</w:t>
            </w:r>
          </w:p>
        </w:tc>
      </w:tr>
      <w:tr w:rsidR="008A701E" w:rsidRPr="006A2781" w14:paraId="045A37A6" w14:textId="77777777" w:rsidTr="00A732E0">
        <w:trPr>
          <w:cantSplit/>
          <w:trHeight w:val="255"/>
        </w:trPr>
        <w:tc>
          <w:tcPr>
            <w:tcW w:w="450" w:type="dxa"/>
            <w:vAlign w:val="bottom"/>
          </w:tcPr>
          <w:p w14:paraId="4D87D98F" w14:textId="77777777" w:rsidR="008A701E" w:rsidRPr="006A2781" w:rsidRDefault="008A701E" w:rsidP="008A701E">
            <w:pPr>
              <w:jc w:val="center"/>
              <w:rPr>
                <w:rFonts w:ascii="Arial" w:hAnsi="Arial" w:cs="Arial"/>
                <w:sz w:val="18"/>
                <w:szCs w:val="18"/>
              </w:rPr>
            </w:pPr>
            <w:r>
              <w:rPr>
                <w:rFonts w:ascii="Arial" w:hAnsi="Arial" w:cs="Arial"/>
                <w:sz w:val="18"/>
                <w:szCs w:val="18"/>
              </w:rPr>
              <w:t>34</w:t>
            </w:r>
          </w:p>
        </w:tc>
        <w:tc>
          <w:tcPr>
            <w:tcW w:w="540" w:type="dxa"/>
            <w:shd w:val="clear" w:color="auto" w:fill="auto"/>
            <w:vAlign w:val="bottom"/>
          </w:tcPr>
          <w:p w14:paraId="6FB213CB"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C</w:t>
            </w:r>
          </w:p>
        </w:tc>
        <w:tc>
          <w:tcPr>
            <w:tcW w:w="1867" w:type="dxa"/>
            <w:shd w:val="clear" w:color="auto" w:fill="auto"/>
            <w:noWrap/>
            <w:vAlign w:val="bottom"/>
          </w:tcPr>
          <w:p w14:paraId="1DAE5294" w14:textId="77777777" w:rsidR="008A701E" w:rsidRPr="006A2781" w:rsidRDefault="008A701E" w:rsidP="008A701E">
            <w:pPr>
              <w:rPr>
                <w:rFonts w:ascii="Arial" w:hAnsi="Arial" w:cs="Arial"/>
                <w:sz w:val="18"/>
                <w:szCs w:val="18"/>
              </w:rPr>
            </w:pPr>
            <w:r>
              <w:rPr>
                <w:rFonts w:ascii="Arial" w:hAnsi="Arial" w:cs="Arial"/>
                <w:sz w:val="18"/>
                <w:szCs w:val="18"/>
              </w:rPr>
              <w:t>Modify Units</w:t>
            </w:r>
          </w:p>
        </w:tc>
        <w:tc>
          <w:tcPr>
            <w:tcW w:w="3060" w:type="dxa"/>
            <w:shd w:val="clear" w:color="auto" w:fill="auto"/>
            <w:noWrap/>
            <w:vAlign w:val="bottom"/>
          </w:tcPr>
          <w:p w14:paraId="43A2A6BF" w14:textId="77777777" w:rsidR="008A701E" w:rsidRPr="006A2781" w:rsidRDefault="008A701E" w:rsidP="008A701E">
            <w:pPr>
              <w:rPr>
                <w:rFonts w:ascii="Arial" w:hAnsi="Arial" w:cs="Arial"/>
                <w:sz w:val="18"/>
                <w:szCs w:val="18"/>
              </w:rPr>
            </w:pPr>
            <w:r w:rsidRPr="006A2781">
              <w:rPr>
                <w:rFonts w:ascii="Arial" w:hAnsi="Arial" w:cs="Arial"/>
                <w:sz w:val="18"/>
                <w:szCs w:val="18"/>
              </w:rPr>
              <w:t>Maintain Assignment</w:t>
            </w:r>
          </w:p>
        </w:tc>
        <w:tc>
          <w:tcPr>
            <w:tcW w:w="1530" w:type="dxa"/>
            <w:shd w:val="clear" w:color="auto" w:fill="auto"/>
            <w:noWrap/>
            <w:vAlign w:val="bottom"/>
          </w:tcPr>
          <w:p w14:paraId="51E3C2F4"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M</w:t>
            </w:r>
          </w:p>
        </w:tc>
        <w:tc>
          <w:tcPr>
            <w:tcW w:w="2070" w:type="dxa"/>
            <w:shd w:val="clear" w:color="auto" w:fill="auto"/>
            <w:noWrap/>
            <w:vAlign w:val="bottom"/>
          </w:tcPr>
          <w:p w14:paraId="29BAF51E" w14:textId="3D4C72B1" w:rsidR="008A701E" w:rsidRPr="006A2781" w:rsidRDefault="008A701E" w:rsidP="008A701E">
            <w:pPr>
              <w:rPr>
                <w:rFonts w:ascii="Arial" w:hAnsi="Arial" w:cs="Arial"/>
                <w:sz w:val="18"/>
                <w:szCs w:val="18"/>
              </w:rPr>
            </w:pPr>
            <w:r w:rsidRPr="006A2781">
              <w:rPr>
                <w:rFonts w:ascii="Arial" w:hAnsi="Arial" w:cs="Arial"/>
                <w:sz w:val="18"/>
                <w:szCs w:val="18"/>
              </w:rPr>
              <w:t>RE-</w:t>
            </w:r>
            <w:r w:rsidR="00AE3B37" w:rsidRPr="006A2781">
              <w:rPr>
                <w:rFonts w:ascii="Arial" w:hAnsi="Arial" w:cs="Arial"/>
                <w:sz w:val="18"/>
                <w:szCs w:val="18"/>
              </w:rPr>
              <w:t>original (</w:t>
            </w:r>
            <w:r w:rsidRPr="006A2781">
              <w:rPr>
                <w:rFonts w:ascii="Arial" w:hAnsi="Arial" w:cs="Arial"/>
                <w:sz w:val="18"/>
                <w:szCs w:val="18"/>
              </w:rPr>
              <w:t>when processing in batch, multiple messages are sent)</w:t>
            </w:r>
          </w:p>
        </w:tc>
      </w:tr>
      <w:tr w:rsidR="008A701E" w:rsidRPr="006A2781" w14:paraId="51AE84E6" w14:textId="77777777" w:rsidTr="00A732E0">
        <w:trPr>
          <w:cantSplit/>
          <w:trHeight w:val="255"/>
        </w:trPr>
        <w:tc>
          <w:tcPr>
            <w:tcW w:w="450" w:type="dxa"/>
            <w:vAlign w:val="bottom"/>
          </w:tcPr>
          <w:p w14:paraId="1415942E" w14:textId="77777777" w:rsidR="008A701E" w:rsidRPr="006A2781" w:rsidRDefault="008A701E" w:rsidP="008A701E">
            <w:pPr>
              <w:jc w:val="center"/>
              <w:rPr>
                <w:rFonts w:ascii="Arial" w:hAnsi="Arial" w:cs="Arial"/>
                <w:sz w:val="18"/>
                <w:szCs w:val="18"/>
              </w:rPr>
            </w:pPr>
            <w:r>
              <w:rPr>
                <w:rFonts w:ascii="Arial" w:hAnsi="Arial" w:cs="Arial"/>
                <w:sz w:val="18"/>
                <w:szCs w:val="18"/>
              </w:rPr>
              <w:t>35</w:t>
            </w:r>
          </w:p>
        </w:tc>
        <w:tc>
          <w:tcPr>
            <w:tcW w:w="540" w:type="dxa"/>
            <w:shd w:val="clear" w:color="auto" w:fill="auto"/>
            <w:vAlign w:val="bottom"/>
          </w:tcPr>
          <w:p w14:paraId="1AE25705"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C</w:t>
            </w:r>
          </w:p>
        </w:tc>
        <w:tc>
          <w:tcPr>
            <w:tcW w:w="1867" w:type="dxa"/>
            <w:shd w:val="clear" w:color="auto" w:fill="auto"/>
            <w:noWrap/>
            <w:vAlign w:val="bottom"/>
          </w:tcPr>
          <w:p w14:paraId="78311808" w14:textId="77777777" w:rsidR="008A701E" w:rsidRPr="006A2781" w:rsidRDefault="008A701E" w:rsidP="008A701E">
            <w:pPr>
              <w:rPr>
                <w:rFonts w:ascii="Arial" w:hAnsi="Arial" w:cs="Arial"/>
                <w:sz w:val="18"/>
                <w:szCs w:val="18"/>
              </w:rPr>
            </w:pPr>
            <w:r>
              <w:rPr>
                <w:rFonts w:ascii="Arial" w:hAnsi="Arial" w:cs="Arial"/>
                <w:sz w:val="18"/>
                <w:szCs w:val="18"/>
              </w:rPr>
              <w:t>Modify Units</w:t>
            </w:r>
          </w:p>
        </w:tc>
        <w:tc>
          <w:tcPr>
            <w:tcW w:w="3060" w:type="dxa"/>
            <w:shd w:val="clear" w:color="auto" w:fill="auto"/>
            <w:noWrap/>
            <w:vAlign w:val="bottom"/>
          </w:tcPr>
          <w:p w14:paraId="0E73D41C" w14:textId="77777777" w:rsidR="008A701E" w:rsidRPr="006A2781" w:rsidRDefault="008A701E" w:rsidP="008A701E">
            <w:pPr>
              <w:rPr>
                <w:rFonts w:ascii="Arial" w:hAnsi="Arial" w:cs="Arial"/>
                <w:sz w:val="18"/>
                <w:szCs w:val="18"/>
              </w:rPr>
            </w:pPr>
            <w:r w:rsidRPr="006A2781">
              <w:rPr>
                <w:rFonts w:ascii="Arial" w:hAnsi="Arial" w:cs="Arial"/>
                <w:sz w:val="18"/>
                <w:szCs w:val="18"/>
              </w:rPr>
              <w:t>Maintain Assignment</w:t>
            </w:r>
          </w:p>
        </w:tc>
        <w:tc>
          <w:tcPr>
            <w:tcW w:w="1530" w:type="dxa"/>
            <w:shd w:val="clear" w:color="auto" w:fill="auto"/>
            <w:noWrap/>
            <w:vAlign w:val="bottom"/>
          </w:tcPr>
          <w:p w14:paraId="0C9CEA8D"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C</w:t>
            </w:r>
          </w:p>
        </w:tc>
        <w:tc>
          <w:tcPr>
            <w:tcW w:w="2070" w:type="dxa"/>
            <w:shd w:val="clear" w:color="auto" w:fill="auto"/>
            <w:noWrap/>
            <w:vAlign w:val="bottom"/>
          </w:tcPr>
          <w:p w14:paraId="7ADED56C" w14:textId="77777777" w:rsidR="008A701E" w:rsidRPr="006A2781" w:rsidRDefault="008A701E" w:rsidP="008A701E">
            <w:pPr>
              <w:rPr>
                <w:rFonts w:ascii="Arial" w:hAnsi="Arial" w:cs="Arial"/>
                <w:sz w:val="18"/>
                <w:szCs w:val="18"/>
              </w:rPr>
            </w:pPr>
            <w:r w:rsidRPr="006A2781">
              <w:rPr>
                <w:rFonts w:ascii="Arial" w:hAnsi="Arial" w:cs="Arial"/>
                <w:sz w:val="18"/>
                <w:szCs w:val="18"/>
              </w:rPr>
              <w:t>RS-target (when processing in batch, multiple messages are sent)</w:t>
            </w:r>
          </w:p>
        </w:tc>
      </w:tr>
      <w:tr w:rsidR="008A701E" w:rsidRPr="006A2781" w14:paraId="6AC7A0CA" w14:textId="77777777" w:rsidTr="00A732E0">
        <w:trPr>
          <w:cantSplit/>
          <w:trHeight w:val="255"/>
        </w:trPr>
        <w:tc>
          <w:tcPr>
            <w:tcW w:w="450" w:type="dxa"/>
            <w:vAlign w:val="bottom"/>
          </w:tcPr>
          <w:p w14:paraId="2F2D3E5A" w14:textId="77777777" w:rsidR="008A701E" w:rsidRPr="006A2781" w:rsidRDefault="008A701E" w:rsidP="008A701E">
            <w:pPr>
              <w:jc w:val="center"/>
              <w:rPr>
                <w:rFonts w:ascii="Arial" w:hAnsi="Arial" w:cs="Arial"/>
                <w:sz w:val="18"/>
                <w:szCs w:val="18"/>
              </w:rPr>
            </w:pPr>
            <w:r>
              <w:rPr>
                <w:rFonts w:ascii="Arial" w:hAnsi="Arial" w:cs="Arial"/>
                <w:sz w:val="18"/>
                <w:szCs w:val="18"/>
              </w:rPr>
              <w:t>36</w:t>
            </w:r>
          </w:p>
        </w:tc>
        <w:tc>
          <w:tcPr>
            <w:tcW w:w="540" w:type="dxa"/>
            <w:shd w:val="clear" w:color="auto" w:fill="auto"/>
            <w:vAlign w:val="bottom"/>
          </w:tcPr>
          <w:p w14:paraId="75BDD184"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C</w:t>
            </w:r>
          </w:p>
        </w:tc>
        <w:tc>
          <w:tcPr>
            <w:tcW w:w="1867" w:type="dxa"/>
            <w:shd w:val="clear" w:color="auto" w:fill="auto"/>
            <w:noWrap/>
            <w:vAlign w:val="bottom"/>
          </w:tcPr>
          <w:p w14:paraId="0E1BB875" w14:textId="77777777" w:rsidR="008A701E" w:rsidRPr="006A2781" w:rsidRDefault="008A701E" w:rsidP="008A701E">
            <w:pPr>
              <w:rPr>
                <w:rFonts w:ascii="Arial" w:hAnsi="Arial" w:cs="Arial"/>
                <w:sz w:val="18"/>
                <w:szCs w:val="18"/>
              </w:rPr>
            </w:pPr>
            <w:r>
              <w:rPr>
                <w:rFonts w:ascii="Arial" w:hAnsi="Arial" w:cs="Arial"/>
                <w:sz w:val="18"/>
                <w:szCs w:val="18"/>
              </w:rPr>
              <w:t>Modify Units</w:t>
            </w:r>
          </w:p>
        </w:tc>
        <w:tc>
          <w:tcPr>
            <w:tcW w:w="3060" w:type="dxa"/>
            <w:shd w:val="clear" w:color="auto" w:fill="auto"/>
            <w:noWrap/>
            <w:vAlign w:val="bottom"/>
          </w:tcPr>
          <w:p w14:paraId="58800B96" w14:textId="77777777" w:rsidR="008A701E" w:rsidRPr="006A2781" w:rsidRDefault="008A701E" w:rsidP="008A701E">
            <w:pPr>
              <w:rPr>
                <w:rFonts w:ascii="Arial" w:hAnsi="Arial" w:cs="Arial"/>
                <w:sz w:val="18"/>
                <w:szCs w:val="18"/>
              </w:rPr>
            </w:pPr>
            <w:r w:rsidRPr="006A2781">
              <w:rPr>
                <w:rFonts w:ascii="Arial" w:hAnsi="Arial" w:cs="Arial"/>
                <w:sz w:val="18"/>
                <w:szCs w:val="18"/>
              </w:rPr>
              <w:t>Release Assignment</w:t>
            </w:r>
          </w:p>
        </w:tc>
        <w:tc>
          <w:tcPr>
            <w:tcW w:w="1530" w:type="dxa"/>
            <w:shd w:val="clear" w:color="auto" w:fill="auto"/>
            <w:noWrap/>
            <w:vAlign w:val="bottom"/>
          </w:tcPr>
          <w:p w14:paraId="43496457"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M</w:t>
            </w:r>
          </w:p>
        </w:tc>
        <w:tc>
          <w:tcPr>
            <w:tcW w:w="2070" w:type="dxa"/>
            <w:shd w:val="clear" w:color="auto" w:fill="auto"/>
            <w:noWrap/>
            <w:vAlign w:val="bottom"/>
          </w:tcPr>
          <w:p w14:paraId="719B3831" w14:textId="094A4554" w:rsidR="008A701E" w:rsidRPr="006A2781" w:rsidRDefault="008A701E" w:rsidP="008A701E">
            <w:pPr>
              <w:rPr>
                <w:rFonts w:ascii="Arial" w:hAnsi="Arial" w:cs="Arial"/>
                <w:sz w:val="18"/>
                <w:szCs w:val="18"/>
              </w:rPr>
            </w:pPr>
            <w:r w:rsidRPr="006A2781">
              <w:rPr>
                <w:rFonts w:ascii="Arial" w:hAnsi="Arial" w:cs="Arial"/>
                <w:sz w:val="18"/>
                <w:szCs w:val="18"/>
              </w:rPr>
              <w:t>RE-</w:t>
            </w:r>
            <w:r w:rsidR="00AE3B37" w:rsidRPr="006A2781">
              <w:rPr>
                <w:rFonts w:ascii="Arial" w:hAnsi="Arial" w:cs="Arial"/>
                <w:sz w:val="18"/>
                <w:szCs w:val="18"/>
              </w:rPr>
              <w:t>original (</w:t>
            </w:r>
            <w:r w:rsidRPr="006A2781">
              <w:rPr>
                <w:rFonts w:ascii="Arial" w:hAnsi="Arial" w:cs="Arial"/>
                <w:sz w:val="18"/>
                <w:szCs w:val="18"/>
              </w:rPr>
              <w:t>when processing in batch, multiple messages are sent)</w:t>
            </w:r>
          </w:p>
        </w:tc>
      </w:tr>
      <w:tr w:rsidR="008A701E" w:rsidRPr="006A2781" w14:paraId="1CF91A4E" w14:textId="77777777" w:rsidTr="00A732E0">
        <w:trPr>
          <w:cantSplit/>
          <w:trHeight w:val="255"/>
        </w:trPr>
        <w:tc>
          <w:tcPr>
            <w:tcW w:w="450" w:type="dxa"/>
            <w:vAlign w:val="bottom"/>
          </w:tcPr>
          <w:p w14:paraId="0770624B" w14:textId="77777777" w:rsidR="008A701E" w:rsidRPr="006A2781" w:rsidRDefault="008A701E" w:rsidP="008A701E">
            <w:pPr>
              <w:jc w:val="center"/>
              <w:rPr>
                <w:rFonts w:ascii="Arial" w:hAnsi="Arial" w:cs="Arial"/>
                <w:sz w:val="18"/>
                <w:szCs w:val="18"/>
              </w:rPr>
            </w:pPr>
            <w:r>
              <w:rPr>
                <w:rFonts w:ascii="Arial" w:hAnsi="Arial" w:cs="Arial"/>
                <w:sz w:val="18"/>
                <w:szCs w:val="18"/>
              </w:rPr>
              <w:t>37</w:t>
            </w:r>
          </w:p>
        </w:tc>
        <w:tc>
          <w:tcPr>
            <w:tcW w:w="540" w:type="dxa"/>
            <w:shd w:val="clear" w:color="auto" w:fill="auto"/>
            <w:vAlign w:val="bottom"/>
          </w:tcPr>
          <w:p w14:paraId="7D7782ED"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C</w:t>
            </w:r>
          </w:p>
        </w:tc>
        <w:tc>
          <w:tcPr>
            <w:tcW w:w="1867" w:type="dxa"/>
            <w:shd w:val="clear" w:color="auto" w:fill="auto"/>
            <w:noWrap/>
            <w:vAlign w:val="bottom"/>
          </w:tcPr>
          <w:p w14:paraId="6CE6BA54" w14:textId="77777777" w:rsidR="008A701E" w:rsidRPr="006A2781" w:rsidRDefault="008A701E" w:rsidP="008A701E">
            <w:pPr>
              <w:rPr>
                <w:rFonts w:ascii="Arial" w:hAnsi="Arial" w:cs="Arial"/>
                <w:sz w:val="18"/>
                <w:szCs w:val="18"/>
              </w:rPr>
            </w:pPr>
            <w:r>
              <w:rPr>
                <w:rFonts w:ascii="Arial" w:hAnsi="Arial" w:cs="Arial"/>
                <w:sz w:val="18"/>
                <w:szCs w:val="18"/>
              </w:rPr>
              <w:t>Modify Units</w:t>
            </w:r>
          </w:p>
        </w:tc>
        <w:tc>
          <w:tcPr>
            <w:tcW w:w="3060" w:type="dxa"/>
            <w:shd w:val="clear" w:color="auto" w:fill="auto"/>
            <w:noWrap/>
            <w:vAlign w:val="bottom"/>
          </w:tcPr>
          <w:p w14:paraId="6A8708A5" w14:textId="77777777" w:rsidR="008A701E" w:rsidRPr="006A2781" w:rsidRDefault="008A701E" w:rsidP="008A701E">
            <w:pPr>
              <w:rPr>
                <w:rFonts w:ascii="Arial" w:hAnsi="Arial" w:cs="Arial"/>
                <w:sz w:val="18"/>
                <w:szCs w:val="18"/>
              </w:rPr>
            </w:pPr>
            <w:r w:rsidRPr="006A2781">
              <w:rPr>
                <w:rFonts w:ascii="Arial" w:hAnsi="Arial" w:cs="Arial"/>
                <w:sz w:val="18"/>
                <w:szCs w:val="18"/>
              </w:rPr>
              <w:t>Release Assignment</w:t>
            </w:r>
          </w:p>
        </w:tc>
        <w:tc>
          <w:tcPr>
            <w:tcW w:w="1530" w:type="dxa"/>
            <w:shd w:val="clear" w:color="auto" w:fill="auto"/>
            <w:noWrap/>
            <w:vAlign w:val="bottom"/>
          </w:tcPr>
          <w:p w14:paraId="5963A3F1"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A</w:t>
            </w:r>
          </w:p>
        </w:tc>
        <w:tc>
          <w:tcPr>
            <w:tcW w:w="2070" w:type="dxa"/>
            <w:shd w:val="clear" w:color="auto" w:fill="auto"/>
            <w:noWrap/>
            <w:vAlign w:val="bottom"/>
          </w:tcPr>
          <w:p w14:paraId="5E953402" w14:textId="77777777" w:rsidR="008A701E" w:rsidRPr="006A2781" w:rsidRDefault="008A701E" w:rsidP="008A701E">
            <w:pPr>
              <w:rPr>
                <w:rFonts w:ascii="Arial" w:hAnsi="Arial" w:cs="Arial"/>
                <w:sz w:val="18"/>
                <w:szCs w:val="18"/>
              </w:rPr>
            </w:pPr>
            <w:r w:rsidRPr="006A2781">
              <w:rPr>
                <w:rFonts w:ascii="Arial" w:hAnsi="Arial" w:cs="Arial"/>
                <w:sz w:val="18"/>
                <w:szCs w:val="18"/>
              </w:rPr>
              <w:t>Target, no message sent</w:t>
            </w:r>
          </w:p>
        </w:tc>
      </w:tr>
      <w:tr w:rsidR="008A701E" w:rsidRPr="006A2781" w14:paraId="28FCA43B" w14:textId="77777777" w:rsidTr="00A732E0">
        <w:trPr>
          <w:cantSplit/>
          <w:trHeight w:val="255"/>
        </w:trPr>
        <w:tc>
          <w:tcPr>
            <w:tcW w:w="450" w:type="dxa"/>
            <w:vAlign w:val="bottom"/>
          </w:tcPr>
          <w:p w14:paraId="1B72D331" w14:textId="77777777" w:rsidR="008A701E" w:rsidRPr="006A2781" w:rsidRDefault="008A701E" w:rsidP="008A701E">
            <w:pPr>
              <w:jc w:val="center"/>
              <w:rPr>
                <w:rFonts w:ascii="Arial" w:hAnsi="Arial" w:cs="Arial"/>
                <w:sz w:val="18"/>
                <w:szCs w:val="18"/>
              </w:rPr>
            </w:pPr>
            <w:r>
              <w:rPr>
                <w:rFonts w:ascii="Arial" w:hAnsi="Arial" w:cs="Arial"/>
                <w:sz w:val="18"/>
                <w:szCs w:val="18"/>
              </w:rPr>
              <w:t>38</w:t>
            </w:r>
          </w:p>
        </w:tc>
        <w:tc>
          <w:tcPr>
            <w:tcW w:w="540" w:type="dxa"/>
            <w:vAlign w:val="bottom"/>
          </w:tcPr>
          <w:p w14:paraId="1F1CC2C3"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C</w:t>
            </w:r>
          </w:p>
        </w:tc>
        <w:tc>
          <w:tcPr>
            <w:tcW w:w="1867" w:type="dxa"/>
            <w:shd w:val="clear" w:color="auto" w:fill="auto"/>
            <w:noWrap/>
            <w:vAlign w:val="bottom"/>
          </w:tcPr>
          <w:p w14:paraId="2D688304" w14:textId="77777777" w:rsidR="008A701E" w:rsidRPr="006A2781" w:rsidRDefault="008A701E" w:rsidP="008A701E">
            <w:pPr>
              <w:rPr>
                <w:rFonts w:ascii="Arial" w:hAnsi="Arial" w:cs="Arial"/>
                <w:sz w:val="18"/>
                <w:szCs w:val="18"/>
              </w:rPr>
            </w:pPr>
            <w:r>
              <w:rPr>
                <w:rFonts w:ascii="Arial" w:hAnsi="Arial" w:cs="Arial"/>
                <w:sz w:val="18"/>
                <w:szCs w:val="18"/>
              </w:rPr>
              <w:t>Discard or Quarantine Unit</w:t>
            </w:r>
          </w:p>
        </w:tc>
        <w:tc>
          <w:tcPr>
            <w:tcW w:w="3060" w:type="dxa"/>
            <w:shd w:val="clear" w:color="auto" w:fill="auto"/>
            <w:noWrap/>
            <w:vAlign w:val="bottom"/>
          </w:tcPr>
          <w:p w14:paraId="1D76F191" w14:textId="77777777" w:rsidR="008A701E" w:rsidRPr="006A2781" w:rsidRDefault="008A701E" w:rsidP="008A701E">
            <w:pPr>
              <w:rPr>
                <w:rFonts w:ascii="Arial" w:hAnsi="Arial" w:cs="Arial"/>
                <w:sz w:val="18"/>
                <w:szCs w:val="18"/>
              </w:rPr>
            </w:pPr>
            <w:r w:rsidRPr="006A2781">
              <w:rPr>
                <w:rFonts w:ascii="Arial" w:hAnsi="Arial" w:cs="Arial"/>
                <w:sz w:val="18"/>
                <w:szCs w:val="18"/>
              </w:rPr>
              <w:t>Discarded or Wasted</w:t>
            </w:r>
          </w:p>
        </w:tc>
        <w:tc>
          <w:tcPr>
            <w:tcW w:w="1530" w:type="dxa"/>
            <w:shd w:val="clear" w:color="auto" w:fill="auto"/>
            <w:noWrap/>
            <w:vAlign w:val="bottom"/>
          </w:tcPr>
          <w:p w14:paraId="771E1B98"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D</w:t>
            </w:r>
          </w:p>
        </w:tc>
        <w:tc>
          <w:tcPr>
            <w:tcW w:w="2070" w:type="dxa"/>
            <w:shd w:val="clear" w:color="auto" w:fill="auto"/>
            <w:noWrap/>
            <w:vAlign w:val="bottom"/>
          </w:tcPr>
          <w:p w14:paraId="591580D7" w14:textId="77777777" w:rsidR="008A701E" w:rsidRPr="006A2781" w:rsidRDefault="008A701E" w:rsidP="008A701E">
            <w:pPr>
              <w:rPr>
                <w:rFonts w:ascii="Arial" w:hAnsi="Arial" w:cs="Arial"/>
                <w:sz w:val="18"/>
                <w:szCs w:val="18"/>
              </w:rPr>
            </w:pPr>
            <w:r w:rsidRPr="006A2781">
              <w:rPr>
                <w:rFonts w:ascii="Arial" w:hAnsi="Arial" w:cs="Arial"/>
                <w:sz w:val="18"/>
                <w:szCs w:val="18"/>
              </w:rPr>
              <w:t>RE</w:t>
            </w:r>
          </w:p>
        </w:tc>
      </w:tr>
      <w:tr w:rsidR="008A701E" w:rsidRPr="006A2781" w14:paraId="74465CBB" w14:textId="77777777" w:rsidTr="00A732E0">
        <w:trPr>
          <w:cantSplit/>
          <w:trHeight w:val="255"/>
        </w:trPr>
        <w:tc>
          <w:tcPr>
            <w:tcW w:w="450" w:type="dxa"/>
            <w:vAlign w:val="bottom"/>
          </w:tcPr>
          <w:p w14:paraId="7F352307" w14:textId="77777777" w:rsidR="008A701E" w:rsidRPr="006A2781" w:rsidRDefault="008A701E" w:rsidP="008A701E">
            <w:pPr>
              <w:jc w:val="center"/>
              <w:rPr>
                <w:rFonts w:ascii="Arial" w:hAnsi="Arial" w:cs="Arial"/>
                <w:sz w:val="18"/>
                <w:szCs w:val="18"/>
              </w:rPr>
            </w:pPr>
            <w:r>
              <w:rPr>
                <w:rFonts w:ascii="Arial" w:hAnsi="Arial" w:cs="Arial"/>
                <w:sz w:val="18"/>
                <w:szCs w:val="18"/>
              </w:rPr>
              <w:t>39</w:t>
            </w:r>
          </w:p>
        </w:tc>
        <w:tc>
          <w:tcPr>
            <w:tcW w:w="540" w:type="dxa"/>
            <w:vAlign w:val="bottom"/>
          </w:tcPr>
          <w:p w14:paraId="348DBB34"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S</w:t>
            </w:r>
          </w:p>
        </w:tc>
        <w:tc>
          <w:tcPr>
            <w:tcW w:w="1867" w:type="dxa"/>
            <w:shd w:val="clear" w:color="auto" w:fill="auto"/>
            <w:noWrap/>
            <w:vAlign w:val="bottom"/>
          </w:tcPr>
          <w:p w14:paraId="3C5396E1" w14:textId="77777777" w:rsidR="008A701E" w:rsidRPr="006A2781" w:rsidRDefault="008A701E" w:rsidP="008A701E">
            <w:pPr>
              <w:rPr>
                <w:rFonts w:ascii="Arial" w:hAnsi="Arial" w:cs="Arial"/>
                <w:sz w:val="18"/>
                <w:szCs w:val="18"/>
              </w:rPr>
            </w:pPr>
            <w:r>
              <w:rPr>
                <w:rFonts w:ascii="Arial" w:hAnsi="Arial" w:cs="Arial"/>
                <w:sz w:val="18"/>
                <w:szCs w:val="18"/>
              </w:rPr>
              <w:t>Discard or Quarantine Unit</w:t>
            </w:r>
          </w:p>
        </w:tc>
        <w:tc>
          <w:tcPr>
            <w:tcW w:w="3060" w:type="dxa"/>
            <w:shd w:val="clear" w:color="auto" w:fill="auto"/>
            <w:noWrap/>
            <w:vAlign w:val="bottom"/>
          </w:tcPr>
          <w:p w14:paraId="6DCFF92C" w14:textId="77777777" w:rsidR="008A701E" w:rsidRPr="006A2781" w:rsidRDefault="008A701E" w:rsidP="008A701E">
            <w:pPr>
              <w:rPr>
                <w:rFonts w:ascii="Arial" w:hAnsi="Arial" w:cs="Arial"/>
                <w:sz w:val="18"/>
                <w:szCs w:val="18"/>
              </w:rPr>
            </w:pPr>
            <w:r w:rsidRPr="006A2781">
              <w:rPr>
                <w:rFonts w:ascii="Arial" w:hAnsi="Arial" w:cs="Arial"/>
                <w:sz w:val="18"/>
                <w:szCs w:val="18"/>
              </w:rPr>
              <w:t>Discarded or Wasted</w:t>
            </w:r>
          </w:p>
        </w:tc>
        <w:tc>
          <w:tcPr>
            <w:tcW w:w="1530" w:type="dxa"/>
            <w:shd w:val="clear" w:color="auto" w:fill="auto"/>
            <w:noWrap/>
            <w:vAlign w:val="bottom"/>
          </w:tcPr>
          <w:p w14:paraId="5E96F91B"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D</w:t>
            </w:r>
          </w:p>
        </w:tc>
        <w:tc>
          <w:tcPr>
            <w:tcW w:w="2070" w:type="dxa"/>
            <w:shd w:val="clear" w:color="auto" w:fill="auto"/>
            <w:noWrap/>
            <w:vAlign w:val="bottom"/>
          </w:tcPr>
          <w:p w14:paraId="60DF5ED8" w14:textId="77777777" w:rsidR="008A701E" w:rsidRPr="006A2781" w:rsidRDefault="008A701E" w:rsidP="008A701E">
            <w:pPr>
              <w:rPr>
                <w:rFonts w:ascii="Arial" w:hAnsi="Arial" w:cs="Arial"/>
                <w:sz w:val="18"/>
                <w:szCs w:val="18"/>
              </w:rPr>
            </w:pPr>
            <w:r w:rsidRPr="006A2781">
              <w:rPr>
                <w:rFonts w:ascii="Arial" w:hAnsi="Arial" w:cs="Arial"/>
                <w:sz w:val="18"/>
                <w:szCs w:val="18"/>
              </w:rPr>
              <w:t>RE</w:t>
            </w:r>
          </w:p>
        </w:tc>
      </w:tr>
      <w:tr w:rsidR="008A701E" w:rsidRPr="006A2781" w14:paraId="096D5E7C" w14:textId="77777777" w:rsidTr="00A732E0">
        <w:trPr>
          <w:cantSplit/>
          <w:trHeight w:val="255"/>
        </w:trPr>
        <w:tc>
          <w:tcPr>
            <w:tcW w:w="450" w:type="dxa"/>
            <w:vAlign w:val="bottom"/>
          </w:tcPr>
          <w:p w14:paraId="4A607116" w14:textId="77777777" w:rsidR="008A701E" w:rsidRPr="006A2781" w:rsidRDefault="008A701E" w:rsidP="008A701E">
            <w:pPr>
              <w:jc w:val="center"/>
              <w:rPr>
                <w:rFonts w:ascii="Arial" w:hAnsi="Arial" w:cs="Arial"/>
                <w:sz w:val="18"/>
                <w:szCs w:val="18"/>
              </w:rPr>
            </w:pPr>
            <w:r>
              <w:rPr>
                <w:rFonts w:ascii="Arial" w:hAnsi="Arial" w:cs="Arial"/>
                <w:sz w:val="18"/>
                <w:szCs w:val="18"/>
              </w:rPr>
              <w:t>40</w:t>
            </w:r>
          </w:p>
        </w:tc>
        <w:tc>
          <w:tcPr>
            <w:tcW w:w="540" w:type="dxa"/>
            <w:vAlign w:val="bottom"/>
          </w:tcPr>
          <w:p w14:paraId="70DF3C45"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S</w:t>
            </w:r>
          </w:p>
        </w:tc>
        <w:tc>
          <w:tcPr>
            <w:tcW w:w="1867" w:type="dxa"/>
            <w:shd w:val="clear" w:color="auto" w:fill="auto"/>
            <w:noWrap/>
            <w:vAlign w:val="bottom"/>
          </w:tcPr>
          <w:p w14:paraId="3F1816C2" w14:textId="77777777" w:rsidR="008A701E" w:rsidRPr="006A2781" w:rsidRDefault="008A701E" w:rsidP="008A701E">
            <w:pPr>
              <w:rPr>
                <w:rFonts w:ascii="Arial" w:hAnsi="Arial" w:cs="Arial"/>
                <w:sz w:val="18"/>
                <w:szCs w:val="18"/>
              </w:rPr>
            </w:pPr>
            <w:r>
              <w:rPr>
                <w:rFonts w:ascii="Arial" w:hAnsi="Arial" w:cs="Arial"/>
                <w:sz w:val="18"/>
                <w:szCs w:val="18"/>
              </w:rPr>
              <w:t>Discard or Quarantine Unit</w:t>
            </w:r>
          </w:p>
        </w:tc>
        <w:tc>
          <w:tcPr>
            <w:tcW w:w="3060" w:type="dxa"/>
            <w:shd w:val="clear" w:color="auto" w:fill="auto"/>
            <w:noWrap/>
            <w:vAlign w:val="bottom"/>
          </w:tcPr>
          <w:p w14:paraId="1A2DD557" w14:textId="77777777" w:rsidR="008A701E" w:rsidRPr="00C821F1" w:rsidRDefault="008A701E" w:rsidP="008A701E">
            <w:pPr>
              <w:rPr>
                <w:rFonts w:ascii="Arial" w:hAnsi="Arial" w:cs="Arial"/>
                <w:sz w:val="18"/>
                <w:szCs w:val="18"/>
              </w:rPr>
            </w:pPr>
            <w:r w:rsidRPr="00C821F1">
              <w:rPr>
                <w:rFonts w:ascii="Arial" w:hAnsi="Arial" w:cs="Arial"/>
                <w:sz w:val="18"/>
                <w:szCs w:val="18"/>
              </w:rPr>
              <w:t>Quarantine</w:t>
            </w:r>
          </w:p>
        </w:tc>
        <w:tc>
          <w:tcPr>
            <w:tcW w:w="1530" w:type="dxa"/>
            <w:shd w:val="clear" w:color="auto" w:fill="auto"/>
            <w:noWrap/>
            <w:vAlign w:val="bottom"/>
          </w:tcPr>
          <w:p w14:paraId="6B5E1B4E" w14:textId="77777777" w:rsidR="008A701E" w:rsidRPr="00C821F1" w:rsidRDefault="008A701E" w:rsidP="008A701E">
            <w:pPr>
              <w:jc w:val="center"/>
              <w:rPr>
                <w:rFonts w:ascii="Arial" w:hAnsi="Arial" w:cs="Arial"/>
                <w:sz w:val="18"/>
                <w:szCs w:val="18"/>
              </w:rPr>
            </w:pPr>
            <w:r w:rsidRPr="00C821F1">
              <w:rPr>
                <w:rFonts w:ascii="Arial" w:hAnsi="Arial" w:cs="Arial"/>
                <w:sz w:val="18"/>
                <w:szCs w:val="18"/>
              </w:rPr>
              <w:t>A</w:t>
            </w:r>
          </w:p>
        </w:tc>
        <w:tc>
          <w:tcPr>
            <w:tcW w:w="2070" w:type="dxa"/>
            <w:shd w:val="clear" w:color="auto" w:fill="auto"/>
            <w:noWrap/>
            <w:vAlign w:val="bottom"/>
          </w:tcPr>
          <w:p w14:paraId="144A8217" w14:textId="77777777" w:rsidR="008A701E" w:rsidRPr="00C821F1" w:rsidRDefault="008A701E" w:rsidP="008A701E">
            <w:pPr>
              <w:rPr>
                <w:rFonts w:ascii="Arial" w:hAnsi="Arial" w:cs="Arial"/>
                <w:sz w:val="18"/>
                <w:szCs w:val="18"/>
              </w:rPr>
            </w:pPr>
            <w:r w:rsidRPr="00C821F1">
              <w:rPr>
                <w:rFonts w:ascii="Arial" w:hAnsi="Arial" w:cs="Arial"/>
                <w:sz w:val="18"/>
                <w:szCs w:val="18"/>
              </w:rPr>
              <w:t>RE</w:t>
            </w:r>
          </w:p>
        </w:tc>
      </w:tr>
      <w:tr w:rsidR="008A701E" w:rsidRPr="006A2781" w14:paraId="20E19C44" w14:textId="77777777" w:rsidTr="00A732E0">
        <w:trPr>
          <w:cantSplit/>
          <w:trHeight w:val="255"/>
        </w:trPr>
        <w:tc>
          <w:tcPr>
            <w:tcW w:w="450" w:type="dxa"/>
            <w:vAlign w:val="bottom"/>
          </w:tcPr>
          <w:p w14:paraId="43CE8261" w14:textId="77777777" w:rsidR="008A701E" w:rsidRPr="006A2781" w:rsidRDefault="008A701E" w:rsidP="008A701E">
            <w:pPr>
              <w:jc w:val="center"/>
              <w:rPr>
                <w:rFonts w:ascii="Arial" w:hAnsi="Arial" w:cs="Arial"/>
                <w:sz w:val="18"/>
                <w:szCs w:val="18"/>
              </w:rPr>
            </w:pPr>
            <w:r>
              <w:rPr>
                <w:rFonts w:ascii="Arial" w:hAnsi="Arial" w:cs="Arial"/>
                <w:sz w:val="18"/>
                <w:szCs w:val="18"/>
              </w:rPr>
              <w:lastRenderedPageBreak/>
              <w:t>41</w:t>
            </w:r>
          </w:p>
        </w:tc>
        <w:tc>
          <w:tcPr>
            <w:tcW w:w="540" w:type="dxa"/>
            <w:vAlign w:val="bottom"/>
          </w:tcPr>
          <w:p w14:paraId="646C9A14"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C</w:t>
            </w:r>
          </w:p>
        </w:tc>
        <w:tc>
          <w:tcPr>
            <w:tcW w:w="1867" w:type="dxa"/>
            <w:shd w:val="clear" w:color="auto" w:fill="auto"/>
            <w:noWrap/>
            <w:vAlign w:val="bottom"/>
          </w:tcPr>
          <w:p w14:paraId="355FDF1D" w14:textId="77777777" w:rsidR="008A701E" w:rsidRPr="006A2781" w:rsidRDefault="008A701E" w:rsidP="008A701E">
            <w:pPr>
              <w:rPr>
                <w:rFonts w:ascii="Arial" w:hAnsi="Arial" w:cs="Arial"/>
                <w:sz w:val="18"/>
                <w:szCs w:val="18"/>
              </w:rPr>
            </w:pPr>
            <w:r>
              <w:rPr>
                <w:rFonts w:ascii="Arial" w:hAnsi="Arial" w:cs="Arial"/>
                <w:sz w:val="18"/>
                <w:szCs w:val="18"/>
              </w:rPr>
              <w:t>Discard or Quarantine Unit</w:t>
            </w:r>
          </w:p>
        </w:tc>
        <w:tc>
          <w:tcPr>
            <w:tcW w:w="3060" w:type="dxa"/>
            <w:shd w:val="clear" w:color="auto" w:fill="auto"/>
            <w:noWrap/>
            <w:vAlign w:val="bottom"/>
          </w:tcPr>
          <w:p w14:paraId="39FF19F3" w14:textId="77777777" w:rsidR="008A701E" w:rsidRPr="00C821F1" w:rsidRDefault="008A701E" w:rsidP="008A701E">
            <w:pPr>
              <w:rPr>
                <w:rFonts w:ascii="Arial" w:hAnsi="Arial" w:cs="Arial"/>
                <w:sz w:val="18"/>
                <w:szCs w:val="18"/>
              </w:rPr>
            </w:pPr>
            <w:r w:rsidRPr="00C821F1">
              <w:rPr>
                <w:rFonts w:ascii="Arial" w:hAnsi="Arial" w:cs="Arial"/>
                <w:sz w:val="18"/>
                <w:szCs w:val="18"/>
              </w:rPr>
              <w:t>Quarantine</w:t>
            </w:r>
          </w:p>
        </w:tc>
        <w:tc>
          <w:tcPr>
            <w:tcW w:w="1530" w:type="dxa"/>
            <w:shd w:val="clear" w:color="auto" w:fill="auto"/>
            <w:noWrap/>
            <w:vAlign w:val="bottom"/>
          </w:tcPr>
          <w:p w14:paraId="0A9364E2" w14:textId="77777777" w:rsidR="008A701E" w:rsidRPr="00C821F1" w:rsidRDefault="008A701E" w:rsidP="008A701E">
            <w:pPr>
              <w:jc w:val="center"/>
              <w:rPr>
                <w:rFonts w:ascii="Arial" w:hAnsi="Arial" w:cs="Arial"/>
                <w:sz w:val="18"/>
                <w:szCs w:val="18"/>
              </w:rPr>
            </w:pPr>
            <w:r w:rsidRPr="00C821F1">
              <w:rPr>
                <w:rFonts w:ascii="Arial" w:hAnsi="Arial" w:cs="Arial"/>
                <w:sz w:val="18"/>
                <w:szCs w:val="18"/>
              </w:rPr>
              <w:t>A</w:t>
            </w:r>
          </w:p>
        </w:tc>
        <w:tc>
          <w:tcPr>
            <w:tcW w:w="2070" w:type="dxa"/>
            <w:shd w:val="clear" w:color="auto" w:fill="auto"/>
            <w:noWrap/>
            <w:vAlign w:val="bottom"/>
          </w:tcPr>
          <w:p w14:paraId="5391F144" w14:textId="77777777" w:rsidR="008A701E" w:rsidRPr="00C821F1" w:rsidRDefault="008A701E" w:rsidP="008A701E">
            <w:pPr>
              <w:rPr>
                <w:rFonts w:ascii="Arial" w:hAnsi="Arial" w:cs="Arial"/>
                <w:sz w:val="18"/>
                <w:szCs w:val="18"/>
              </w:rPr>
            </w:pPr>
            <w:r w:rsidRPr="00C821F1">
              <w:rPr>
                <w:rFonts w:ascii="Arial" w:hAnsi="Arial" w:cs="Arial"/>
                <w:sz w:val="18"/>
                <w:szCs w:val="18"/>
              </w:rPr>
              <w:t>RE</w:t>
            </w:r>
          </w:p>
        </w:tc>
      </w:tr>
      <w:tr w:rsidR="008A701E" w:rsidRPr="006A2781" w14:paraId="081DE2C0" w14:textId="77777777" w:rsidTr="00A732E0">
        <w:trPr>
          <w:cantSplit/>
          <w:trHeight w:val="255"/>
        </w:trPr>
        <w:tc>
          <w:tcPr>
            <w:tcW w:w="450" w:type="dxa"/>
            <w:vAlign w:val="bottom"/>
          </w:tcPr>
          <w:p w14:paraId="0A349906" w14:textId="77777777" w:rsidR="008A701E" w:rsidRPr="006A2781" w:rsidRDefault="008A701E" w:rsidP="008A701E">
            <w:pPr>
              <w:jc w:val="center"/>
              <w:rPr>
                <w:rFonts w:ascii="Arial" w:hAnsi="Arial" w:cs="Arial"/>
                <w:sz w:val="18"/>
                <w:szCs w:val="18"/>
              </w:rPr>
            </w:pPr>
            <w:r>
              <w:rPr>
                <w:rFonts w:ascii="Arial" w:hAnsi="Arial" w:cs="Arial"/>
                <w:sz w:val="18"/>
                <w:szCs w:val="18"/>
              </w:rPr>
              <w:t>42</w:t>
            </w:r>
          </w:p>
        </w:tc>
        <w:tc>
          <w:tcPr>
            <w:tcW w:w="540" w:type="dxa"/>
            <w:vAlign w:val="bottom"/>
          </w:tcPr>
          <w:p w14:paraId="1EDF3720"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S</w:t>
            </w:r>
          </w:p>
        </w:tc>
        <w:tc>
          <w:tcPr>
            <w:tcW w:w="1867" w:type="dxa"/>
            <w:shd w:val="clear" w:color="auto" w:fill="auto"/>
            <w:noWrap/>
            <w:vAlign w:val="bottom"/>
          </w:tcPr>
          <w:p w14:paraId="74528616" w14:textId="77777777" w:rsidR="008A701E" w:rsidRPr="006A2781" w:rsidRDefault="008A701E" w:rsidP="008A701E">
            <w:pPr>
              <w:rPr>
                <w:rFonts w:ascii="Arial" w:hAnsi="Arial" w:cs="Arial"/>
                <w:sz w:val="18"/>
                <w:szCs w:val="18"/>
              </w:rPr>
            </w:pPr>
            <w:r>
              <w:rPr>
                <w:rFonts w:ascii="Arial" w:hAnsi="Arial" w:cs="Arial"/>
                <w:sz w:val="18"/>
                <w:szCs w:val="18"/>
              </w:rPr>
              <w:t xml:space="preserve">Record Testing </w:t>
            </w:r>
            <w:r w:rsidRPr="006A2781">
              <w:rPr>
                <w:rFonts w:ascii="Arial" w:hAnsi="Arial" w:cs="Arial"/>
                <w:sz w:val="18"/>
                <w:szCs w:val="18"/>
              </w:rPr>
              <w:t>when saving</w:t>
            </w:r>
            <w:r>
              <w:rPr>
                <w:rFonts w:ascii="Arial" w:hAnsi="Arial" w:cs="Arial"/>
                <w:sz w:val="18"/>
                <w:szCs w:val="18"/>
              </w:rPr>
              <w:t xml:space="preserve"> Crossmatch Results</w:t>
            </w:r>
          </w:p>
        </w:tc>
        <w:tc>
          <w:tcPr>
            <w:tcW w:w="3060" w:type="dxa"/>
            <w:shd w:val="clear" w:color="auto" w:fill="auto"/>
            <w:noWrap/>
            <w:vAlign w:val="bottom"/>
          </w:tcPr>
          <w:p w14:paraId="1CEEF46D" w14:textId="7FA9FD2E" w:rsidR="008A701E" w:rsidRPr="00C821F1" w:rsidRDefault="008A701E" w:rsidP="008A701E">
            <w:pPr>
              <w:rPr>
                <w:rFonts w:ascii="Arial" w:hAnsi="Arial" w:cs="Arial"/>
                <w:sz w:val="18"/>
                <w:szCs w:val="18"/>
              </w:rPr>
            </w:pPr>
            <w:r w:rsidRPr="00C821F1">
              <w:rPr>
                <w:rFonts w:ascii="Arial" w:hAnsi="Arial" w:cs="Arial"/>
                <w:sz w:val="18"/>
                <w:szCs w:val="18"/>
              </w:rPr>
              <w:t xml:space="preserve">Compatible </w:t>
            </w:r>
            <w:r w:rsidR="00AE3B37" w:rsidRPr="00C821F1">
              <w:rPr>
                <w:rFonts w:ascii="Arial" w:hAnsi="Arial" w:cs="Arial"/>
                <w:sz w:val="18"/>
                <w:szCs w:val="18"/>
              </w:rPr>
              <w:t>(C</w:t>
            </w:r>
            <w:r w:rsidRPr="00C821F1">
              <w:rPr>
                <w:rFonts w:ascii="Arial" w:hAnsi="Arial" w:cs="Arial"/>
                <w:sz w:val="18"/>
                <w:szCs w:val="18"/>
              </w:rPr>
              <w:t>)</w:t>
            </w:r>
          </w:p>
        </w:tc>
        <w:tc>
          <w:tcPr>
            <w:tcW w:w="1530" w:type="dxa"/>
            <w:shd w:val="clear" w:color="auto" w:fill="auto"/>
            <w:noWrap/>
            <w:vAlign w:val="bottom"/>
          </w:tcPr>
          <w:p w14:paraId="1623CBF2" w14:textId="77777777" w:rsidR="008A701E" w:rsidRPr="00C821F1" w:rsidRDefault="008A701E" w:rsidP="008A701E">
            <w:pPr>
              <w:jc w:val="center"/>
              <w:rPr>
                <w:rFonts w:ascii="Arial" w:hAnsi="Arial" w:cs="Arial"/>
                <w:sz w:val="18"/>
                <w:szCs w:val="18"/>
              </w:rPr>
            </w:pPr>
            <w:r w:rsidRPr="00C821F1">
              <w:rPr>
                <w:rFonts w:ascii="Arial" w:hAnsi="Arial" w:cs="Arial"/>
                <w:sz w:val="18"/>
                <w:szCs w:val="18"/>
              </w:rPr>
              <w:t>C</w:t>
            </w:r>
          </w:p>
        </w:tc>
        <w:tc>
          <w:tcPr>
            <w:tcW w:w="2070" w:type="dxa"/>
            <w:shd w:val="clear" w:color="auto" w:fill="auto"/>
            <w:noWrap/>
            <w:vAlign w:val="bottom"/>
          </w:tcPr>
          <w:p w14:paraId="7653CE4A" w14:textId="77777777" w:rsidR="008A701E" w:rsidRPr="00C821F1" w:rsidRDefault="008A701E" w:rsidP="008A701E">
            <w:pPr>
              <w:rPr>
                <w:rFonts w:ascii="Arial" w:hAnsi="Arial" w:cs="Arial"/>
                <w:sz w:val="18"/>
                <w:szCs w:val="18"/>
              </w:rPr>
            </w:pPr>
            <w:r w:rsidRPr="00C821F1">
              <w:rPr>
                <w:rFonts w:ascii="Arial" w:hAnsi="Arial" w:cs="Arial"/>
                <w:sz w:val="18"/>
                <w:szCs w:val="18"/>
              </w:rPr>
              <w:t>No message is sent</w:t>
            </w:r>
          </w:p>
        </w:tc>
      </w:tr>
      <w:tr w:rsidR="008A701E" w:rsidRPr="006A2781" w14:paraId="32BFA6A1" w14:textId="77777777" w:rsidTr="00A732E0">
        <w:trPr>
          <w:cantSplit/>
          <w:trHeight w:val="255"/>
        </w:trPr>
        <w:tc>
          <w:tcPr>
            <w:tcW w:w="450" w:type="dxa"/>
            <w:vAlign w:val="bottom"/>
          </w:tcPr>
          <w:p w14:paraId="7D908895" w14:textId="77777777" w:rsidR="008A701E" w:rsidRPr="006A2781" w:rsidRDefault="008A701E" w:rsidP="008A701E">
            <w:pPr>
              <w:jc w:val="center"/>
              <w:rPr>
                <w:rFonts w:ascii="Arial" w:hAnsi="Arial" w:cs="Arial"/>
                <w:sz w:val="18"/>
                <w:szCs w:val="18"/>
              </w:rPr>
            </w:pPr>
            <w:r>
              <w:rPr>
                <w:rFonts w:ascii="Arial" w:hAnsi="Arial" w:cs="Arial"/>
                <w:sz w:val="18"/>
                <w:szCs w:val="18"/>
              </w:rPr>
              <w:t>43</w:t>
            </w:r>
          </w:p>
        </w:tc>
        <w:tc>
          <w:tcPr>
            <w:tcW w:w="540" w:type="dxa"/>
            <w:vAlign w:val="bottom"/>
          </w:tcPr>
          <w:p w14:paraId="2CD4BC1C"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S</w:t>
            </w:r>
          </w:p>
        </w:tc>
        <w:tc>
          <w:tcPr>
            <w:tcW w:w="1867" w:type="dxa"/>
            <w:shd w:val="clear" w:color="auto" w:fill="auto"/>
            <w:noWrap/>
            <w:vAlign w:val="bottom"/>
          </w:tcPr>
          <w:p w14:paraId="78413AF0" w14:textId="77777777" w:rsidR="008A701E" w:rsidRPr="006A2781" w:rsidRDefault="008A701E" w:rsidP="008A701E">
            <w:pPr>
              <w:rPr>
                <w:rFonts w:ascii="Arial" w:hAnsi="Arial" w:cs="Arial"/>
                <w:sz w:val="18"/>
                <w:szCs w:val="18"/>
              </w:rPr>
            </w:pPr>
            <w:r>
              <w:rPr>
                <w:rFonts w:ascii="Arial" w:hAnsi="Arial" w:cs="Arial"/>
                <w:sz w:val="18"/>
                <w:szCs w:val="18"/>
              </w:rPr>
              <w:t xml:space="preserve">Record Testing </w:t>
            </w:r>
            <w:r w:rsidRPr="006A2781">
              <w:rPr>
                <w:rFonts w:ascii="Arial" w:hAnsi="Arial" w:cs="Arial"/>
                <w:sz w:val="18"/>
                <w:szCs w:val="18"/>
              </w:rPr>
              <w:t>when saving</w:t>
            </w:r>
            <w:r>
              <w:rPr>
                <w:rFonts w:ascii="Arial" w:hAnsi="Arial" w:cs="Arial"/>
                <w:sz w:val="18"/>
                <w:szCs w:val="18"/>
              </w:rPr>
              <w:t xml:space="preserve"> Crossmatch Results</w:t>
            </w:r>
          </w:p>
        </w:tc>
        <w:tc>
          <w:tcPr>
            <w:tcW w:w="3060" w:type="dxa"/>
            <w:shd w:val="clear" w:color="auto" w:fill="auto"/>
            <w:noWrap/>
            <w:vAlign w:val="bottom"/>
          </w:tcPr>
          <w:p w14:paraId="797EEEF0" w14:textId="77777777" w:rsidR="008A701E" w:rsidRPr="00C821F1" w:rsidRDefault="008A701E" w:rsidP="008A701E">
            <w:pPr>
              <w:rPr>
                <w:rFonts w:ascii="Arial" w:hAnsi="Arial" w:cs="Arial"/>
                <w:sz w:val="18"/>
                <w:szCs w:val="18"/>
              </w:rPr>
            </w:pPr>
            <w:r w:rsidRPr="00C821F1">
              <w:rPr>
                <w:rFonts w:ascii="Arial" w:hAnsi="Arial" w:cs="Arial"/>
                <w:sz w:val="18"/>
                <w:szCs w:val="18"/>
              </w:rPr>
              <w:t>Incompatible (I)</w:t>
            </w:r>
          </w:p>
        </w:tc>
        <w:tc>
          <w:tcPr>
            <w:tcW w:w="1530" w:type="dxa"/>
            <w:shd w:val="clear" w:color="auto" w:fill="auto"/>
            <w:noWrap/>
            <w:vAlign w:val="bottom"/>
          </w:tcPr>
          <w:p w14:paraId="15A160CE" w14:textId="77777777" w:rsidR="008A701E" w:rsidRPr="00C821F1" w:rsidRDefault="008A701E" w:rsidP="008A701E">
            <w:pPr>
              <w:jc w:val="center"/>
              <w:rPr>
                <w:rFonts w:ascii="Arial" w:hAnsi="Arial" w:cs="Arial"/>
                <w:sz w:val="18"/>
                <w:szCs w:val="18"/>
              </w:rPr>
            </w:pPr>
            <w:r w:rsidRPr="00C821F1">
              <w:rPr>
                <w:rFonts w:ascii="Arial" w:hAnsi="Arial" w:cs="Arial"/>
                <w:sz w:val="18"/>
                <w:szCs w:val="18"/>
              </w:rPr>
              <w:t>A</w:t>
            </w:r>
          </w:p>
        </w:tc>
        <w:tc>
          <w:tcPr>
            <w:tcW w:w="2070" w:type="dxa"/>
            <w:shd w:val="clear" w:color="auto" w:fill="auto"/>
            <w:noWrap/>
            <w:vAlign w:val="bottom"/>
          </w:tcPr>
          <w:p w14:paraId="6B0B7CCD" w14:textId="77777777" w:rsidR="008A701E" w:rsidRPr="00C821F1" w:rsidRDefault="008A701E" w:rsidP="008A701E">
            <w:pPr>
              <w:rPr>
                <w:rFonts w:ascii="Arial" w:hAnsi="Arial" w:cs="Arial"/>
                <w:sz w:val="18"/>
                <w:szCs w:val="18"/>
              </w:rPr>
            </w:pPr>
            <w:r w:rsidRPr="00C821F1">
              <w:rPr>
                <w:rFonts w:ascii="Arial" w:hAnsi="Arial" w:cs="Arial"/>
                <w:sz w:val="18"/>
                <w:szCs w:val="18"/>
              </w:rPr>
              <w:t>RE</w:t>
            </w:r>
          </w:p>
        </w:tc>
      </w:tr>
      <w:tr w:rsidR="008A701E" w:rsidRPr="006A2781" w14:paraId="2CBCE35A" w14:textId="77777777" w:rsidTr="00A732E0">
        <w:trPr>
          <w:cantSplit/>
          <w:trHeight w:val="255"/>
        </w:trPr>
        <w:tc>
          <w:tcPr>
            <w:tcW w:w="450" w:type="dxa"/>
            <w:vAlign w:val="bottom"/>
          </w:tcPr>
          <w:p w14:paraId="7D684687" w14:textId="77777777" w:rsidR="008A701E" w:rsidRPr="006A2781" w:rsidRDefault="008A701E" w:rsidP="008A701E">
            <w:pPr>
              <w:jc w:val="center"/>
              <w:rPr>
                <w:rFonts w:ascii="Arial" w:hAnsi="Arial" w:cs="Arial"/>
                <w:sz w:val="18"/>
                <w:szCs w:val="18"/>
              </w:rPr>
            </w:pPr>
            <w:r>
              <w:rPr>
                <w:rFonts w:ascii="Arial" w:hAnsi="Arial" w:cs="Arial"/>
                <w:sz w:val="18"/>
                <w:szCs w:val="18"/>
              </w:rPr>
              <w:t>44</w:t>
            </w:r>
          </w:p>
        </w:tc>
        <w:tc>
          <w:tcPr>
            <w:tcW w:w="540" w:type="dxa"/>
            <w:vAlign w:val="bottom"/>
          </w:tcPr>
          <w:p w14:paraId="2466934B"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S</w:t>
            </w:r>
          </w:p>
        </w:tc>
        <w:tc>
          <w:tcPr>
            <w:tcW w:w="1867" w:type="dxa"/>
            <w:shd w:val="clear" w:color="auto" w:fill="auto"/>
            <w:noWrap/>
            <w:vAlign w:val="bottom"/>
          </w:tcPr>
          <w:p w14:paraId="0E2D6D9B" w14:textId="77777777" w:rsidR="008A701E" w:rsidRPr="006A2781" w:rsidRDefault="008A701E" w:rsidP="008A701E">
            <w:pPr>
              <w:rPr>
                <w:rFonts w:ascii="Arial" w:hAnsi="Arial" w:cs="Arial"/>
                <w:sz w:val="18"/>
                <w:szCs w:val="18"/>
              </w:rPr>
            </w:pPr>
            <w:r>
              <w:rPr>
                <w:rFonts w:ascii="Arial" w:hAnsi="Arial" w:cs="Arial"/>
                <w:sz w:val="18"/>
                <w:szCs w:val="18"/>
              </w:rPr>
              <w:t xml:space="preserve">Record Testing </w:t>
            </w:r>
            <w:r w:rsidRPr="006A2781">
              <w:rPr>
                <w:rFonts w:ascii="Arial" w:hAnsi="Arial" w:cs="Arial"/>
                <w:sz w:val="18"/>
                <w:szCs w:val="18"/>
              </w:rPr>
              <w:t>when saving</w:t>
            </w:r>
            <w:r>
              <w:rPr>
                <w:rFonts w:ascii="Arial" w:hAnsi="Arial" w:cs="Arial"/>
                <w:sz w:val="18"/>
                <w:szCs w:val="18"/>
              </w:rPr>
              <w:t xml:space="preserve"> Crossmatch Results</w:t>
            </w:r>
          </w:p>
        </w:tc>
        <w:tc>
          <w:tcPr>
            <w:tcW w:w="3060" w:type="dxa"/>
            <w:shd w:val="clear" w:color="auto" w:fill="auto"/>
            <w:noWrap/>
            <w:vAlign w:val="bottom"/>
          </w:tcPr>
          <w:p w14:paraId="7FD2801D" w14:textId="77777777" w:rsidR="008A701E" w:rsidRPr="00C821F1" w:rsidRDefault="008A701E" w:rsidP="008A701E">
            <w:pPr>
              <w:rPr>
                <w:rFonts w:ascii="Arial" w:hAnsi="Arial" w:cs="Arial"/>
                <w:sz w:val="18"/>
                <w:szCs w:val="18"/>
              </w:rPr>
            </w:pPr>
            <w:r w:rsidRPr="00C821F1">
              <w:rPr>
                <w:rFonts w:ascii="Arial" w:hAnsi="Arial" w:cs="Arial"/>
                <w:bCs/>
                <w:sz w:val="18"/>
                <w:szCs w:val="18"/>
              </w:rPr>
              <w:t xml:space="preserve">Crossmatch Compatible: Don’t Transfuse </w:t>
            </w:r>
            <w:r w:rsidRPr="00C821F1">
              <w:rPr>
                <w:rFonts w:ascii="Arial" w:hAnsi="Arial" w:cs="Arial"/>
                <w:sz w:val="18"/>
                <w:szCs w:val="18"/>
              </w:rPr>
              <w:t xml:space="preserve">(D) </w:t>
            </w:r>
          </w:p>
        </w:tc>
        <w:tc>
          <w:tcPr>
            <w:tcW w:w="1530" w:type="dxa"/>
            <w:shd w:val="clear" w:color="auto" w:fill="auto"/>
            <w:noWrap/>
            <w:vAlign w:val="bottom"/>
          </w:tcPr>
          <w:p w14:paraId="4989CA33" w14:textId="77777777" w:rsidR="008A701E" w:rsidRPr="00C821F1" w:rsidRDefault="008A701E" w:rsidP="008A701E">
            <w:pPr>
              <w:jc w:val="center"/>
              <w:rPr>
                <w:rFonts w:ascii="Arial" w:hAnsi="Arial" w:cs="Arial"/>
                <w:sz w:val="18"/>
                <w:szCs w:val="18"/>
              </w:rPr>
            </w:pPr>
            <w:r w:rsidRPr="00C821F1">
              <w:rPr>
                <w:rFonts w:ascii="Arial" w:hAnsi="Arial" w:cs="Arial"/>
                <w:sz w:val="18"/>
                <w:szCs w:val="18"/>
              </w:rPr>
              <w:t>A</w:t>
            </w:r>
          </w:p>
        </w:tc>
        <w:tc>
          <w:tcPr>
            <w:tcW w:w="2070" w:type="dxa"/>
            <w:shd w:val="clear" w:color="auto" w:fill="auto"/>
            <w:noWrap/>
            <w:vAlign w:val="bottom"/>
          </w:tcPr>
          <w:p w14:paraId="461EF57F" w14:textId="77777777" w:rsidR="008A701E" w:rsidRPr="00C821F1" w:rsidRDefault="008A701E" w:rsidP="008A701E">
            <w:pPr>
              <w:rPr>
                <w:rFonts w:ascii="Arial" w:hAnsi="Arial" w:cs="Arial"/>
                <w:sz w:val="18"/>
                <w:szCs w:val="18"/>
              </w:rPr>
            </w:pPr>
            <w:r w:rsidRPr="00C821F1">
              <w:rPr>
                <w:rFonts w:ascii="Arial" w:hAnsi="Arial" w:cs="Arial"/>
                <w:sz w:val="18"/>
                <w:szCs w:val="18"/>
              </w:rPr>
              <w:t>RE</w:t>
            </w:r>
          </w:p>
        </w:tc>
      </w:tr>
      <w:tr w:rsidR="008A701E" w:rsidRPr="006A2781" w14:paraId="4DC85287" w14:textId="77777777" w:rsidTr="00A732E0">
        <w:trPr>
          <w:cantSplit/>
          <w:trHeight w:val="255"/>
        </w:trPr>
        <w:tc>
          <w:tcPr>
            <w:tcW w:w="450" w:type="dxa"/>
            <w:vAlign w:val="bottom"/>
          </w:tcPr>
          <w:p w14:paraId="656AC1D8" w14:textId="77777777" w:rsidR="008A701E" w:rsidRPr="006A2781" w:rsidRDefault="008A701E" w:rsidP="008A701E">
            <w:pPr>
              <w:jc w:val="center"/>
              <w:rPr>
                <w:rFonts w:ascii="Arial" w:hAnsi="Arial" w:cs="Arial"/>
                <w:sz w:val="18"/>
                <w:szCs w:val="18"/>
              </w:rPr>
            </w:pPr>
            <w:r>
              <w:rPr>
                <w:rFonts w:ascii="Arial" w:hAnsi="Arial" w:cs="Arial"/>
                <w:sz w:val="18"/>
                <w:szCs w:val="18"/>
              </w:rPr>
              <w:t>45</w:t>
            </w:r>
          </w:p>
        </w:tc>
        <w:tc>
          <w:tcPr>
            <w:tcW w:w="540" w:type="dxa"/>
            <w:vAlign w:val="bottom"/>
          </w:tcPr>
          <w:p w14:paraId="4B9B669E"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S</w:t>
            </w:r>
          </w:p>
        </w:tc>
        <w:tc>
          <w:tcPr>
            <w:tcW w:w="1867" w:type="dxa"/>
            <w:shd w:val="clear" w:color="auto" w:fill="auto"/>
            <w:noWrap/>
            <w:vAlign w:val="bottom"/>
          </w:tcPr>
          <w:p w14:paraId="23BC8B80" w14:textId="77777777" w:rsidR="008A701E" w:rsidRPr="006A2781" w:rsidRDefault="008A701E" w:rsidP="008A701E">
            <w:pPr>
              <w:rPr>
                <w:rFonts w:ascii="Arial" w:hAnsi="Arial" w:cs="Arial"/>
                <w:sz w:val="18"/>
                <w:szCs w:val="18"/>
              </w:rPr>
            </w:pPr>
            <w:r>
              <w:rPr>
                <w:rFonts w:ascii="Arial" w:hAnsi="Arial" w:cs="Arial"/>
                <w:sz w:val="18"/>
                <w:szCs w:val="18"/>
              </w:rPr>
              <w:t xml:space="preserve">Record Testing </w:t>
            </w:r>
            <w:r w:rsidRPr="006A2781">
              <w:rPr>
                <w:rFonts w:ascii="Arial" w:hAnsi="Arial" w:cs="Arial"/>
                <w:sz w:val="18"/>
                <w:szCs w:val="18"/>
              </w:rPr>
              <w:t>when saving</w:t>
            </w:r>
            <w:r>
              <w:rPr>
                <w:rFonts w:ascii="Arial" w:hAnsi="Arial" w:cs="Arial"/>
                <w:sz w:val="18"/>
                <w:szCs w:val="18"/>
              </w:rPr>
              <w:t xml:space="preserve"> Crossmatch Results</w:t>
            </w:r>
          </w:p>
        </w:tc>
        <w:tc>
          <w:tcPr>
            <w:tcW w:w="3060" w:type="dxa"/>
            <w:shd w:val="clear" w:color="auto" w:fill="auto"/>
            <w:noWrap/>
            <w:vAlign w:val="bottom"/>
          </w:tcPr>
          <w:p w14:paraId="134067A6" w14:textId="77777777" w:rsidR="008A701E" w:rsidRPr="00C821F1" w:rsidRDefault="008A701E" w:rsidP="008A701E">
            <w:pPr>
              <w:rPr>
                <w:rFonts w:ascii="Arial" w:hAnsi="Arial" w:cs="Arial"/>
                <w:sz w:val="18"/>
                <w:szCs w:val="18"/>
              </w:rPr>
            </w:pPr>
            <w:r w:rsidRPr="00C821F1">
              <w:rPr>
                <w:rFonts w:ascii="Arial" w:hAnsi="Arial" w:cs="Arial"/>
                <w:sz w:val="18"/>
                <w:szCs w:val="18"/>
              </w:rPr>
              <w:t>Compatible-Give with MD approval (G)</w:t>
            </w:r>
          </w:p>
        </w:tc>
        <w:tc>
          <w:tcPr>
            <w:tcW w:w="1530" w:type="dxa"/>
            <w:shd w:val="clear" w:color="auto" w:fill="auto"/>
            <w:noWrap/>
            <w:vAlign w:val="bottom"/>
          </w:tcPr>
          <w:p w14:paraId="28D4FCFC" w14:textId="77777777" w:rsidR="008A701E" w:rsidRPr="00C821F1" w:rsidRDefault="008A701E" w:rsidP="008A701E">
            <w:pPr>
              <w:jc w:val="center"/>
              <w:rPr>
                <w:rFonts w:ascii="Arial" w:hAnsi="Arial" w:cs="Arial"/>
                <w:sz w:val="18"/>
                <w:szCs w:val="18"/>
              </w:rPr>
            </w:pPr>
            <w:r w:rsidRPr="00C821F1">
              <w:rPr>
                <w:rFonts w:ascii="Arial" w:hAnsi="Arial" w:cs="Arial"/>
                <w:sz w:val="18"/>
                <w:szCs w:val="18"/>
              </w:rPr>
              <w:t>C</w:t>
            </w:r>
          </w:p>
        </w:tc>
        <w:tc>
          <w:tcPr>
            <w:tcW w:w="2070" w:type="dxa"/>
            <w:shd w:val="clear" w:color="auto" w:fill="auto"/>
            <w:noWrap/>
            <w:vAlign w:val="bottom"/>
          </w:tcPr>
          <w:p w14:paraId="0DFA136F" w14:textId="77777777" w:rsidR="008A701E" w:rsidRPr="00C821F1" w:rsidRDefault="008A701E" w:rsidP="008A701E">
            <w:pPr>
              <w:rPr>
                <w:rFonts w:ascii="Arial" w:hAnsi="Arial" w:cs="Arial"/>
                <w:sz w:val="18"/>
                <w:szCs w:val="18"/>
              </w:rPr>
            </w:pPr>
            <w:r w:rsidRPr="00C821F1">
              <w:rPr>
                <w:rFonts w:ascii="Arial" w:hAnsi="Arial" w:cs="Arial"/>
                <w:sz w:val="18"/>
                <w:szCs w:val="18"/>
              </w:rPr>
              <w:t>No message is sent</w:t>
            </w:r>
          </w:p>
        </w:tc>
      </w:tr>
      <w:tr w:rsidR="008A701E" w:rsidRPr="006A2781" w14:paraId="496250EC" w14:textId="77777777" w:rsidTr="00A732E0">
        <w:trPr>
          <w:cantSplit/>
          <w:trHeight w:val="255"/>
        </w:trPr>
        <w:tc>
          <w:tcPr>
            <w:tcW w:w="450" w:type="dxa"/>
            <w:vAlign w:val="bottom"/>
          </w:tcPr>
          <w:p w14:paraId="1912F0A5" w14:textId="77777777" w:rsidR="008A701E" w:rsidRPr="006A2781" w:rsidRDefault="008A701E" w:rsidP="008A701E">
            <w:pPr>
              <w:jc w:val="center"/>
              <w:rPr>
                <w:rFonts w:ascii="Arial" w:hAnsi="Arial" w:cs="Arial"/>
                <w:sz w:val="18"/>
                <w:szCs w:val="18"/>
              </w:rPr>
            </w:pPr>
            <w:r>
              <w:rPr>
                <w:rFonts w:ascii="Arial" w:hAnsi="Arial" w:cs="Arial"/>
                <w:sz w:val="18"/>
                <w:szCs w:val="18"/>
              </w:rPr>
              <w:t>46</w:t>
            </w:r>
          </w:p>
        </w:tc>
        <w:tc>
          <w:tcPr>
            <w:tcW w:w="540" w:type="dxa"/>
            <w:vAlign w:val="bottom"/>
          </w:tcPr>
          <w:p w14:paraId="06A69721"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S</w:t>
            </w:r>
          </w:p>
        </w:tc>
        <w:tc>
          <w:tcPr>
            <w:tcW w:w="1867" w:type="dxa"/>
            <w:shd w:val="clear" w:color="auto" w:fill="auto"/>
            <w:noWrap/>
            <w:vAlign w:val="bottom"/>
          </w:tcPr>
          <w:p w14:paraId="40006E68" w14:textId="77777777" w:rsidR="008A701E" w:rsidRPr="006A2781" w:rsidRDefault="008A701E" w:rsidP="008A701E">
            <w:pPr>
              <w:rPr>
                <w:rFonts w:ascii="Arial" w:hAnsi="Arial" w:cs="Arial"/>
                <w:sz w:val="18"/>
                <w:szCs w:val="18"/>
              </w:rPr>
            </w:pPr>
            <w:r>
              <w:rPr>
                <w:rFonts w:ascii="Arial" w:hAnsi="Arial" w:cs="Arial"/>
                <w:sz w:val="18"/>
                <w:szCs w:val="18"/>
              </w:rPr>
              <w:t>Record Phenotype Results</w:t>
            </w:r>
          </w:p>
        </w:tc>
        <w:tc>
          <w:tcPr>
            <w:tcW w:w="3060" w:type="dxa"/>
            <w:shd w:val="clear" w:color="auto" w:fill="auto"/>
            <w:noWrap/>
            <w:vAlign w:val="bottom"/>
          </w:tcPr>
          <w:p w14:paraId="6B986611" w14:textId="77777777" w:rsidR="008A701E" w:rsidRPr="006A2781" w:rsidRDefault="008A701E" w:rsidP="008A701E">
            <w:pPr>
              <w:rPr>
                <w:rFonts w:ascii="Arial" w:hAnsi="Arial" w:cs="Arial"/>
                <w:sz w:val="18"/>
                <w:szCs w:val="18"/>
              </w:rPr>
            </w:pPr>
            <w:r w:rsidRPr="006A2781">
              <w:rPr>
                <w:rFonts w:ascii="Arial" w:hAnsi="Arial" w:cs="Arial"/>
                <w:sz w:val="18"/>
                <w:szCs w:val="18"/>
              </w:rPr>
              <w:t>Unit is antigen positive for a patient's antigen negative requirement</w:t>
            </w:r>
          </w:p>
        </w:tc>
        <w:tc>
          <w:tcPr>
            <w:tcW w:w="1530" w:type="dxa"/>
            <w:shd w:val="clear" w:color="auto" w:fill="auto"/>
            <w:noWrap/>
            <w:vAlign w:val="bottom"/>
          </w:tcPr>
          <w:p w14:paraId="509095A8"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S</w:t>
            </w:r>
          </w:p>
        </w:tc>
        <w:tc>
          <w:tcPr>
            <w:tcW w:w="2070" w:type="dxa"/>
            <w:shd w:val="clear" w:color="auto" w:fill="auto"/>
            <w:noWrap/>
            <w:vAlign w:val="bottom"/>
          </w:tcPr>
          <w:p w14:paraId="55CA350F" w14:textId="77777777" w:rsidR="008A701E" w:rsidRPr="006A2781" w:rsidRDefault="008A701E" w:rsidP="008A701E">
            <w:pPr>
              <w:rPr>
                <w:rFonts w:ascii="Arial" w:hAnsi="Arial" w:cs="Arial"/>
                <w:sz w:val="18"/>
                <w:szCs w:val="18"/>
              </w:rPr>
            </w:pPr>
            <w:r w:rsidRPr="006A2781">
              <w:rPr>
                <w:rFonts w:ascii="Arial" w:hAnsi="Arial" w:cs="Arial"/>
                <w:sz w:val="18"/>
                <w:szCs w:val="18"/>
              </w:rPr>
              <w:t>No message is sent</w:t>
            </w:r>
          </w:p>
        </w:tc>
      </w:tr>
      <w:tr w:rsidR="008A701E" w:rsidRPr="006A2781" w14:paraId="1136FC17" w14:textId="77777777" w:rsidTr="00A732E0">
        <w:trPr>
          <w:cantSplit/>
          <w:trHeight w:val="255"/>
        </w:trPr>
        <w:tc>
          <w:tcPr>
            <w:tcW w:w="450" w:type="dxa"/>
            <w:vAlign w:val="bottom"/>
          </w:tcPr>
          <w:p w14:paraId="5BC74AB8" w14:textId="77777777" w:rsidR="008A701E" w:rsidRPr="006A2781" w:rsidRDefault="008A701E" w:rsidP="008A701E">
            <w:pPr>
              <w:jc w:val="center"/>
              <w:rPr>
                <w:rFonts w:ascii="Arial" w:hAnsi="Arial" w:cs="Arial"/>
                <w:sz w:val="18"/>
                <w:szCs w:val="18"/>
              </w:rPr>
            </w:pPr>
            <w:r>
              <w:rPr>
                <w:rFonts w:ascii="Arial" w:hAnsi="Arial" w:cs="Arial"/>
                <w:sz w:val="18"/>
                <w:szCs w:val="18"/>
              </w:rPr>
              <w:t>47</w:t>
            </w:r>
          </w:p>
        </w:tc>
        <w:tc>
          <w:tcPr>
            <w:tcW w:w="540" w:type="dxa"/>
            <w:vAlign w:val="bottom"/>
          </w:tcPr>
          <w:p w14:paraId="078A5EA5"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C</w:t>
            </w:r>
          </w:p>
        </w:tc>
        <w:tc>
          <w:tcPr>
            <w:tcW w:w="1867" w:type="dxa"/>
            <w:shd w:val="clear" w:color="auto" w:fill="auto"/>
            <w:noWrap/>
            <w:vAlign w:val="bottom"/>
          </w:tcPr>
          <w:p w14:paraId="625DA5B3" w14:textId="77777777" w:rsidR="008A701E" w:rsidRPr="006A2781" w:rsidRDefault="008A701E" w:rsidP="008A701E">
            <w:pPr>
              <w:rPr>
                <w:rFonts w:ascii="Arial" w:hAnsi="Arial" w:cs="Arial"/>
                <w:sz w:val="18"/>
                <w:szCs w:val="18"/>
              </w:rPr>
            </w:pPr>
            <w:r>
              <w:rPr>
                <w:rFonts w:ascii="Arial" w:hAnsi="Arial" w:cs="Arial"/>
                <w:sz w:val="18"/>
                <w:szCs w:val="18"/>
              </w:rPr>
              <w:t>Record Phenotype Results</w:t>
            </w:r>
          </w:p>
        </w:tc>
        <w:tc>
          <w:tcPr>
            <w:tcW w:w="3060" w:type="dxa"/>
            <w:shd w:val="clear" w:color="auto" w:fill="auto"/>
            <w:noWrap/>
            <w:vAlign w:val="bottom"/>
          </w:tcPr>
          <w:p w14:paraId="3DAAA1FD" w14:textId="77777777" w:rsidR="008A701E" w:rsidRPr="006A2781" w:rsidRDefault="008A701E" w:rsidP="008A701E">
            <w:pPr>
              <w:rPr>
                <w:rFonts w:ascii="Arial" w:hAnsi="Arial" w:cs="Arial"/>
                <w:sz w:val="18"/>
                <w:szCs w:val="18"/>
              </w:rPr>
            </w:pPr>
            <w:r w:rsidRPr="006A2781">
              <w:rPr>
                <w:rFonts w:ascii="Arial" w:hAnsi="Arial" w:cs="Arial"/>
                <w:sz w:val="18"/>
                <w:szCs w:val="18"/>
              </w:rPr>
              <w:t>Unit is antigen positive for a patient's antigen negative requirement</w:t>
            </w:r>
          </w:p>
        </w:tc>
        <w:tc>
          <w:tcPr>
            <w:tcW w:w="1530" w:type="dxa"/>
            <w:shd w:val="clear" w:color="auto" w:fill="auto"/>
            <w:noWrap/>
            <w:vAlign w:val="bottom"/>
          </w:tcPr>
          <w:p w14:paraId="56153835"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C</w:t>
            </w:r>
          </w:p>
        </w:tc>
        <w:tc>
          <w:tcPr>
            <w:tcW w:w="2070" w:type="dxa"/>
            <w:shd w:val="clear" w:color="auto" w:fill="auto"/>
            <w:noWrap/>
            <w:vAlign w:val="bottom"/>
          </w:tcPr>
          <w:p w14:paraId="071A262B" w14:textId="77777777" w:rsidR="008A701E" w:rsidRPr="006A2781" w:rsidRDefault="008A701E" w:rsidP="008A701E">
            <w:pPr>
              <w:rPr>
                <w:rFonts w:ascii="Arial" w:hAnsi="Arial" w:cs="Arial"/>
                <w:sz w:val="18"/>
                <w:szCs w:val="18"/>
              </w:rPr>
            </w:pPr>
            <w:r w:rsidRPr="006A2781">
              <w:rPr>
                <w:rFonts w:ascii="Arial" w:hAnsi="Arial" w:cs="Arial"/>
                <w:sz w:val="18"/>
                <w:szCs w:val="18"/>
              </w:rPr>
              <w:t>No message is sent</w:t>
            </w:r>
          </w:p>
        </w:tc>
      </w:tr>
      <w:tr w:rsidR="008A701E" w:rsidRPr="006A2781" w14:paraId="754FE43A" w14:textId="77777777" w:rsidTr="00A732E0">
        <w:trPr>
          <w:cantSplit/>
          <w:trHeight w:val="255"/>
        </w:trPr>
        <w:tc>
          <w:tcPr>
            <w:tcW w:w="450" w:type="dxa"/>
            <w:vAlign w:val="bottom"/>
          </w:tcPr>
          <w:p w14:paraId="0571C83D" w14:textId="77777777" w:rsidR="008A701E" w:rsidRPr="006A2781" w:rsidRDefault="008A701E" w:rsidP="008A701E">
            <w:pPr>
              <w:jc w:val="center"/>
              <w:rPr>
                <w:rFonts w:ascii="Arial" w:hAnsi="Arial" w:cs="Arial"/>
                <w:sz w:val="18"/>
                <w:szCs w:val="18"/>
              </w:rPr>
            </w:pPr>
            <w:r>
              <w:rPr>
                <w:rFonts w:ascii="Arial" w:hAnsi="Arial" w:cs="Arial"/>
                <w:sz w:val="18"/>
                <w:szCs w:val="18"/>
              </w:rPr>
              <w:t>48</w:t>
            </w:r>
          </w:p>
        </w:tc>
        <w:tc>
          <w:tcPr>
            <w:tcW w:w="540" w:type="dxa"/>
            <w:vAlign w:val="bottom"/>
          </w:tcPr>
          <w:p w14:paraId="791B8361"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S</w:t>
            </w:r>
          </w:p>
        </w:tc>
        <w:tc>
          <w:tcPr>
            <w:tcW w:w="1867" w:type="dxa"/>
            <w:shd w:val="clear" w:color="auto" w:fill="auto"/>
            <w:noWrap/>
            <w:vAlign w:val="bottom"/>
          </w:tcPr>
          <w:p w14:paraId="2F8C1B6C" w14:textId="77777777" w:rsidR="008A701E" w:rsidRPr="006A2781" w:rsidRDefault="008A701E" w:rsidP="008A701E">
            <w:pPr>
              <w:rPr>
                <w:rFonts w:ascii="Arial" w:hAnsi="Arial" w:cs="Arial"/>
                <w:sz w:val="18"/>
                <w:szCs w:val="18"/>
              </w:rPr>
            </w:pPr>
            <w:r>
              <w:rPr>
                <w:rFonts w:ascii="Arial" w:hAnsi="Arial" w:cs="Arial"/>
                <w:sz w:val="18"/>
                <w:szCs w:val="18"/>
              </w:rPr>
              <w:t>Record Phenotype Results</w:t>
            </w:r>
          </w:p>
        </w:tc>
        <w:tc>
          <w:tcPr>
            <w:tcW w:w="3060" w:type="dxa"/>
            <w:shd w:val="clear" w:color="auto" w:fill="auto"/>
            <w:noWrap/>
            <w:vAlign w:val="bottom"/>
          </w:tcPr>
          <w:p w14:paraId="2D04C964" w14:textId="77777777" w:rsidR="008A701E" w:rsidRPr="006A2781" w:rsidRDefault="008A701E" w:rsidP="008A701E">
            <w:pPr>
              <w:rPr>
                <w:rFonts w:ascii="Arial" w:hAnsi="Arial" w:cs="Arial"/>
                <w:sz w:val="18"/>
                <w:szCs w:val="18"/>
              </w:rPr>
            </w:pPr>
            <w:r w:rsidRPr="006A2781">
              <w:rPr>
                <w:rFonts w:ascii="Arial" w:hAnsi="Arial" w:cs="Arial"/>
                <w:sz w:val="18"/>
                <w:szCs w:val="18"/>
              </w:rPr>
              <w:t>Antigen typing result creates a discrepant antigen typing.</w:t>
            </w:r>
          </w:p>
        </w:tc>
        <w:tc>
          <w:tcPr>
            <w:tcW w:w="1530" w:type="dxa"/>
            <w:shd w:val="clear" w:color="auto" w:fill="auto"/>
            <w:noWrap/>
            <w:vAlign w:val="bottom"/>
          </w:tcPr>
          <w:p w14:paraId="2BAEBBEC"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A</w:t>
            </w:r>
          </w:p>
        </w:tc>
        <w:tc>
          <w:tcPr>
            <w:tcW w:w="2070" w:type="dxa"/>
            <w:shd w:val="clear" w:color="auto" w:fill="auto"/>
            <w:noWrap/>
            <w:vAlign w:val="bottom"/>
          </w:tcPr>
          <w:p w14:paraId="696C2838" w14:textId="77777777" w:rsidR="008A701E" w:rsidRPr="006A2781" w:rsidRDefault="008A701E" w:rsidP="008A701E">
            <w:pPr>
              <w:rPr>
                <w:rFonts w:ascii="Arial" w:hAnsi="Arial" w:cs="Arial"/>
                <w:sz w:val="18"/>
                <w:szCs w:val="18"/>
              </w:rPr>
            </w:pPr>
            <w:r w:rsidRPr="006A2781">
              <w:rPr>
                <w:rFonts w:ascii="Arial" w:hAnsi="Arial" w:cs="Arial"/>
                <w:sz w:val="18"/>
                <w:szCs w:val="18"/>
              </w:rPr>
              <w:t>RE</w:t>
            </w:r>
          </w:p>
        </w:tc>
      </w:tr>
      <w:tr w:rsidR="008A701E" w:rsidRPr="006A2781" w14:paraId="12181156" w14:textId="77777777" w:rsidTr="00A732E0">
        <w:trPr>
          <w:cantSplit/>
          <w:trHeight w:val="255"/>
        </w:trPr>
        <w:tc>
          <w:tcPr>
            <w:tcW w:w="450" w:type="dxa"/>
            <w:vAlign w:val="bottom"/>
          </w:tcPr>
          <w:p w14:paraId="14F376E4" w14:textId="77777777" w:rsidR="008A701E" w:rsidRPr="006A2781" w:rsidRDefault="008A701E" w:rsidP="008A701E">
            <w:pPr>
              <w:jc w:val="center"/>
              <w:rPr>
                <w:rFonts w:ascii="Arial" w:hAnsi="Arial" w:cs="Arial"/>
                <w:sz w:val="18"/>
                <w:szCs w:val="18"/>
              </w:rPr>
            </w:pPr>
            <w:r>
              <w:rPr>
                <w:rFonts w:ascii="Arial" w:hAnsi="Arial" w:cs="Arial"/>
                <w:sz w:val="18"/>
                <w:szCs w:val="18"/>
              </w:rPr>
              <w:t>49</w:t>
            </w:r>
          </w:p>
        </w:tc>
        <w:tc>
          <w:tcPr>
            <w:tcW w:w="540" w:type="dxa"/>
            <w:vAlign w:val="bottom"/>
          </w:tcPr>
          <w:p w14:paraId="5B24B901"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C</w:t>
            </w:r>
          </w:p>
        </w:tc>
        <w:tc>
          <w:tcPr>
            <w:tcW w:w="1867" w:type="dxa"/>
            <w:shd w:val="clear" w:color="auto" w:fill="auto"/>
            <w:noWrap/>
            <w:vAlign w:val="bottom"/>
          </w:tcPr>
          <w:p w14:paraId="2ADA53B3" w14:textId="77777777" w:rsidR="008A701E" w:rsidRPr="006A2781" w:rsidRDefault="008A701E" w:rsidP="008A701E">
            <w:pPr>
              <w:rPr>
                <w:rFonts w:ascii="Arial" w:hAnsi="Arial" w:cs="Arial"/>
                <w:sz w:val="18"/>
                <w:szCs w:val="18"/>
              </w:rPr>
            </w:pPr>
            <w:r>
              <w:rPr>
                <w:rFonts w:ascii="Arial" w:hAnsi="Arial" w:cs="Arial"/>
                <w:sz w:val="18"/>
                <w:szCs w:val="18"/>
              </w:rPr>
              <w:t>Record Phenotype Results</w:t>
            </w:r>
          </w:p>
        </w:tc>
        <w:tc>
          <w:tcPr>
            <w:tcW w:w="3060" w:type="dxa"/>
            <w:shd w:val="clear" w:color="auto" w:fill="auto"/>
            <w:noWrap/>
            <w:vAlign w:val="bottom"/>
          </w:tcPr>
          <w:p w14:paraId="14C9C8EE" w14:textId="77777777" w:rsidR="008A701E" w:rsidRPr="006A2781" w:rsidRDefault="008A701E" w:rsidP="008A701E">
            <w:pPr>
              <w:rPr>
                <w:rFonts w:ascii="Arial" w:hAnsi="Arial" w:cs="Arial"/>
                <w:sz w:val="18"/>
                <w:szCs w:val="18"/>
              </w:rPr>
            </w:pPr>
            <w:r w:rsidRPr="006A2781">
              <w:rPr>
                <w:rFonts w:ascii="Arial" w:hAnsi="Arial" w:cs="Arial"/>
                <w:sz w:val="18"/>
                <w:szCs w:val="18"/>
              </w:rPr>
              <w:t>Antigen typing result creates a discrepant antigen typing.</w:t>
            </w:r>
          </w:p>
        </w:tc>
        <w:tc>
          <w:tcPr>
            <w:tcW w:w="1530" w:type="dxa"/>
            <w:shd w:val="clear" w:color="auto" w:fill="auto"/>
            <w:noWrap/>
            <w:vAlign w:val="bottom"/>
          </w:tcPr>
          <w:p w14:paraId="1C2E1034"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A</w:t>
            </w:r>
          </w:p>
        </w:tc>
        <w:tc>
          <w:tcPr>
            <w:tcW w:w="2070" w:type="dxa"/>
            <w:shd w:val="clear" w:color="auto" w:fill="auto"/>
            <w:noWrap/>
            <w:vAlign w:val="bottom"/>
          </w:tcPr>
          <w:p w14:paraId="2E306825" w14:textId="77777777" w:rsidR="008A701E" w:rsidRPr="006A2781" w:rsidRDefault="008A701E" w:rsidP="008A701E">
            <w:pPr>
              <w:rPr>
                <w:rFonts w:ascii="Arial" w:hAnsi="Arial" w:cs="Arial"/>
                <w:sz w:val="18"/>
                <w:szCs w:val="18"/>
              </w:rPr>
            </w:pPr>
            <w:r w:rsidRPr="006A2781">
              <w:rPr>
                <w:rFonts w:ascii="Arial" w:hAnsi="Arial" w:cs="Arial"/>
                <w:sz w:val="18"/>
                <w:szCs w:val="18"/>
              </w:rPr>
              <w:t>RE</w:t>
            </w:r>
          </w:p>
        </w:tc>
      </w:tr>
      <w:tr w:rsidR="008A701E" w:rsidRPr="006A2781" w14:paraId="769AFBEC" w14:textId="77777777" w:rsidTr="00A732E0">
        <w:trPr>
          <w:cantSplit/>
          <w:trHeight w:val="255"/>
        </w:trPr>
        <w:tc>
          <w:tcPr>
            <w:tcW w:w="450" w:type="dxa"/>
            <w:vAlign w:val="bottom"/>
          </w:tcPr>
          <w:p w14:paraId="405DC511" w14:textId="77777777" w:rsidR="008A701E" w:rsidRPr="006A2781" w:rsidRDefault="008A701E" w:rsidP="008A701E">
            <w:pPr>
              <w:jc w:val="center"/>
              <w:rPr>
                <w:rFonts w:ascii="Arial" w:hAnsi="Arial" w:cs="Arial"/>
                <w:sz w:val="18"/>
                <w:szCs w:val="18"/>
              </w:rPr>
            </w:pPr>
            <w:r>
              <w:rPr>
                <w:rFonts w:ascii="Arial" w:hAnsi="Arial" w:cs="Arial"/>
                <w:sz w:val="18"/>
                <w:szCs w:val="18"/>
              </w:rPr>
              <w:t>50</w:t>
            </w:r>
          </w:p>
        </w:tc>
        <w:tc>
          <w:tcPr>
            <w:tcW w:w="540" w:type="dxa"/>
            <w:vAlign w:val="bottom"/>
          </w:tcPr>
          <w:p w14:paraId="685DF930"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S</w:t>
            </w:r>
          </w:p>
        </w:tc>
        <w:tc>
          <w:tcPr>
            <w:tcW w:w="1867" w:type="dxa"/>
            <w:shd w:val="clear" w:color="auto" w:fill="auto"/>
            <w:noWrap/>
            <w:vAlign w:val="bottom"/>
          </w:tcPr>
          <w:p w14:paraId="782D825F" w14:textId="77777777" w:rsidR="008A701E" w:rsidRPr="006A2781" w:rsidRDefault="008A701E" w:rsidP="008A701E">
            <w:pPr>
              <w:rPr>
                <w:rFonts w:ascii="Arial" w:hAnsi="Arial" w:cs="Arial"/>
                <w:sz w:val="18"/>
                <w:szCs w:val="18"/>
              </w:rPr>
            </w:pPr>
            <w:r w:rsidRPr="00A66F9A">
              <w:rPr>
                <w:rFonts w:ascii="Arial" w:hAnsi="Arial" w:cs="Arial"/>
                <w:sz w:val="18"/>
                <w:szCs w:val="18"/>
              </w:rPr>
              <w:t>Release Unit from Patient Assignment</w:t>
            </w:r>
          </w:p>
        </w:tc>
        <w:tc>
          <w:tcPr>
            <w:tcW w:w="3060" w:type="dxa"/>
            <w:shd w:val="clear" w:color="auto" w:fill="auto"/>
            <w:noWrap/>
            <w:vAlign w:val="bottom"/>
          </w:tcPr>
          <w:p w14:paraId="04EF71D9" w14:textId="77777777" w:rsidR="008A701E" w:rsidRPr="006A2781" w:rsidRDefault="008A701E" w:rsidP="008A701E">
            <w:pPr>
              <w:rPr>
                <w:rFonts w:ascii="Arial" w:hAnsi="Arial" w:cs="Arial"/>
                <w:sz w:val="18"/>
                <w:szCs w:val="18"/>
              </w:rPr>
            </w:pPr>
            <w:r w:rsidRPr="006A2781">
              <w:rPr>
                <w:rFonts w:ascii="Arial" w:hAnsi="Arial" w:cs="Arial"/>
                <w:sz w:val="18"/>
                <w:szCs w:val="18"/>
              </w:rPr>
              <w:t>Normal flow, or any overrides processed</w:t>
            </w:r>
          </w:p>
        </w:tc>
        <w:tc>
          <w:tcPr>
            <w:tcW w:w="1530" w:type="dxa"/>
            <w:shd w:val="clear" w:color="auto" w:fill="auto"/>
            <w:noWrap/>
            <w:vAlign w:val="bottom"/>
          </w:tcPr>
          <w:p w14:paraId="70EF44B5"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A</w:t>
            </w:r>
          </w:p>
        </w:tc>
        <w:tc>
          <w:tcPr>
            <w:tcW w:w="2070" w:type="dxa"/>
            <w:shd w:val="clear" w:color="auto" w:fill="auto"/>
            <w:noWrap/>
            <w:vAlign w:val="bottom"/>
          </w:tcPr>
          <w:p w14:paraId="262BBA68" w14:textId="77777777" w:rsidR="008A701E" w:rsidRPr="006A2781" w:rsidRDefault="008A701E" w:rsidP="008A701E">
            <w:pPr>
              <w:rPr>
                <w:rFonts w:ascii="Arial" w:hAnsi="Arial" w:cs="Arial"/>
                <w:sz w:val="18"/>
                <w:szCs w:val="18"/>
              </w:rPr>
            </w:pPr>
            <w:r w:rsidRPr="006A2781">
              <w:rPr>
                <w:rFonts w:ascii="Arial" w:hAnsi="Arial" w:cs="Arial"/>
                <w:sz w:val="18"/>
                <w:szCs w:val="18"/>
              </w:rPr>
              <w:t>RE</w:t>
            </w:r>
          </w:p>
        </w:tc>
      </w:tr>
      <w:tr w:rsidR="008A701E" w:rsidRPr="006A2781" w14:paraId="7F653082" w14:textId="77777777" w:rsidTr="00A732E0">
        <w:trPr>
          <w:cantSplit/>
          <w:trHeight w:val="255"/>
        </w:trPr>
        <w:tc>
          <w:tcPr>
            <w:tcW w:w="450" w:type="dxa"/>
            <w:vAlign w:val="bottom"/>
          </w:tcPr>
          <w:p w14:paraId="32BF8C43" w14:textId="77777777" w:rsidR="008A701E" w:rsidRPr="006A2781" w:rsidRDefault="008A701E" w:rsidP="008A701E">
            <w:pPr>
              <w:jc w:val="center"/>
              <w:rPr>
                <w:rFonts w:ascii="Arial" w:hAnsi="Arial" w:cs="Arial"/>
                <w:sz w:val="18"/>
                <w:szCs w:val="18"/>
              </w:rPr>
            </w:pPr>
            <w:r>
              <w:rPr>
                <w:rFonts w:ascii="Arial" w:hAnsi="Arial" w:cs="Arial"/>
                <w:sz w:val="18"/>
                <w:szCs w:val="18"/>
              </w:rPr>
              <w:t>51</w:t>
            </w:r>
          </w:p>
        </w:tc>
        <w:tc>
          <w:tcPr>
            <w:tcW w:w="540" w:type="dxa"/>
            <w:vAlign w:val="bottom"/>
          </w:tcPr>
          <w:p w14:paraId="7974C62C"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C</w:t>
            </w:r>
          </w:p>
        </w:tc>
        <w:tc>
          <w:tcPr>
            <w:tcW w:w="1867" w:type="dxa"/>
            <w:shd w:val="clear" w:color="auto" w:fill="auto"/>
            <w:noWrap/>
            <w:vAlign w:val="bottom"/>
          </w:tcPr>
          <w:p w14:paraId="0FE36C0A" w14:textId="77777777" w:rsidR="008A701E" w:rsidRPr="006A2781" w:rsidRDefault="008A701E" w:rsidP="008A701E">
            <w:pPr>
              <w:rPr>
                <w:rFonts w:ascii="Arial" w:hAnsi="Arial" w:cs="Arial"/>
                <w:sz w:val="18"/>
                <w:szCs w:val="18"/>
              </w:rPr>
            </w:pPr>
            <w:r w:rsidRPr="00A66F9A">
              <w:rPr>
                <w:rFonts w:ascii="Arial" w:hAnsi="Arial" w:cs="Arial"/>
                <w:sz w:val="18"/>
                <w:szCs w:val="18"/>
              </w:rPr>
              <w:t>Release Unit from Patient Assignment</w:t>
            </w:r>
          </w:p>
        </w:tc>
        <w:tc>
          <w:tcPr>
            <w:tcW w:w="3060" w:type="dxa"/>
            <w:shd w:val="clear" w:color="auto" w:fill="auto"/>
            <w:noWrap/>
            <w:vAlign w:val="bottom"/>
          </w:tcPr>
          <w:p w14:paraId="22B47E65" w14:textId="77777777" w:rsidR="008A701E" w:rsidRPr="006A2781" w:rsidRDefault="008A701E" w:rsidP="008A701E">
            <w:pPr>
              <w:rPr>
                <w:rFonts w:ascii="Arial" w:hAnsi="Arial" w:cs="Arial"/>
                <w:sz w:val="18"/>
                <w:szCs w:val="18"/>
              </w:rPr>
            </w:pPr>
            <w:r w:rsidRPr="006A2781">
              <w:rPr>
                <w:rFonts w:ascii="Arial" w:hAnsi="Arial" w:cs="Arial"/>
                <w:sz w:val="18"/>
                <w:szCs w:val="18"/>
              </w:rPr>
              <w:t>Normal flow, or any overrides processed</w:t>
            </w:r>
          </w:p>
        </w:tc>
        <w:tc>
          <w:tcPr>
            <w:tcW w:w="1530" w:type="dxa"/>
            <w:shd w:val="clear" w:color="auto" w:fill="auto"/>
            <w:noWrap/>
            <w:vAlign w:val="bottom"/>
          </w:tcPr>
          <w:p w14:paraId="0161BC77"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A</w:t>
            </w:r>
          </w:p>
        </w:tc>
        <w:tc>
          <w:tcPr>
            <w:tcW w:w="2070" w:type="dxa"/>
            <w:shd w:val="clear" w:color="auto" w:fill="auto"/>
            <w:noWrap/>
            <w:vAlign w:val="bottom"/>
          </w:tcPr>
          <w:p w14:paraId="1D87D78E" w14:textId="77777777" w:rsidR="008A701E" w:rsidRPr="006A2781" w:rsidRDefault="008A701E" w:rsidP="008A701E">
            <w:pPr>
              <w:rPr>
                <w:rFonts w:ascii="Arial" w:hAnsi="Arial" w:cs="Arial"/>
                <w:sz w:val="18"/>
                <w:szCs w:val="18"/>
              </w:rPr>
            </w:pPr>
            <w:r w:rsidRPr="006A2781">
              <w:rPr>
                <w:rFonts w:ascii="Arial" w:hAnsi="Arial" w:cs="Arial"/>
                <w:sz w:val="18"/>
                <w:szCs w:val="18"/>
              </w:rPr>
              <w:t>RE</w:t>
            </w:r>
          </w:p>
        </w:tc>
      </w:tr>
      <w:tr w:rsidR="008A701E" w:rsidRPr="006A2781" w14:paraId="5131FAA4" w14:textId="77777777" w:rsidTr="00A732E0">
        <w:trPr>
          <w:cantSplit/>
          <w:trHeight w:val="255"/>
        </w:trPr>
        <w:tc>
          <w:tcPr>
            <w:tcW w:w="450" w:type="dxa"/>
            <w:vAlign w:val="bottom"/>
          </w:tcPr>
          <w:p w14:paraId="6802F355" w14:textId="77777777" w:rsidR="008A701E" w:rsidRPr="006A2781" w:rsidRDefault="008A701E" w:rsidP="008A701E">
            <w:pPr>
              <w:jc w:val="center"/>
              <w:rPr>
                <w:rFonts w:ascii="Arial" w:hAnsi="Arial" w:cs="Arial"/>
                <w:sz w:val="18"/>
                <w:szCs w:val="18"/>
              </w:rPr>
            </w:pPr>
            <w:r>
              <w:rPr>
                <w:rFonts w:ascii="Arial" w:hAnsi="Arial" w:cs="Arial"/>
                <w:sz w:val="18"/>
                <w:szCs w:val="18"/>
              </w:rPr>
              <w:t>52</w:t>
            </w:r>
          </w:p>
        </w:tc>
        <w:tc>
          <w:tcPr>
            <w:tcW w:w="540" w:type="dxa"/>
            <w:vAlign w:val="bottom"/>
          </w:tcPr>
          <w:p w14:paraId="543DEF1A"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I</w:t>
            </w:r>
          </w:p>
        </w:tc>
        <w:tc>
          <w:tcPr>
            <w:tcW w:w="1867" w:type="dxa"/>
            <w:shd w:val="clear" w:color="auto" w:fill="auto"/>
            <w:noWrap/>
            <w:vAlign w:val="bottom"/>
          </w:tcPr>
          <w:p w14:paraId="670A8F83" w14:textId="77777777" w:rsidR="008A701E" w:rsidRPr="006A2781" w:rsidRDefault="008A701E" w:rsidP="008A701E">
            <w:pPr>
              <w:rPr>
                <w:rFonts w:ascii="Arial" w:hAnsi="Arial" w:cs="Arial"/>
                <w:sz w:val="18"/>
                <w:szCs w:val="18"/>
              </w:rPr>
            </w:pPr>
            <w:r>
              <w:rPr>
                <w:rFonts w:ascii="Arial" w:hAnsi="Arial" w:cs="Arial"/>
                <w:sz w:val="18"/>
                <w:szCs w:val="18"/>
              </w:rPr>
              <w:t>Return Issued Units to Blood Bank</w:t>
            </w:r>
          </w:p>
        </w:tc>
        <w:tc>
          <w:tcPr>
            <w:tcW w:w="3060" w:type="dxa"/>
            <w:shd w:val="clear" w:color="auto" w:fill="auto"/>
            <w:noWrap/>
            <w:vAlign w:val="bottom"/>
          </w:tcPr>
          <w:p w14:paraId="1B3070FB" w14:textId="77777777" w:rsidR="008A701E" w:rsidRPr="006A2781" w:rsidRDefault="008A701E" w:rsidP="008A701E">
            <w:pPr>
              <w:rPr>
                <w:rFonts w:ascii="Arial" w:hAnsi="Arial" w:cs="Arial"/>
                <w:sz w:val="18"/>
                <w:szCs w:val="18"/>
              </w:rPr>
            </w:pPr>
            <w:r w:rsidRPr="006A2781">
              <w:rPr>
                <w:rFonts w:ascii="Arial" w:hAnsi="Arial" w:cs="Arial"/>
                <w:sz w:val="18"/>
                <w:szCs w:val="18"/>
              </w:rPr>
              <w:t xml:space="preserve">Unit without a crossmatch </w:t>
            </w:r>
          </w:p>
        </w:tc>
        <w:tc>
          <w:tcPr>
            <w:tcW w:w="1530" w:type="dxa"/>
            <w:shd w:val="clear" w:color="auto" w:fill="auto"/>
            <w:noWrap/>
            <w:vAlign w:val="bottom"/>
          </w:tcPr>
          <w:p w14:paraId="2C6AFF3D"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S</w:t>
            </w:r>
          </w:p>
        </w:tc>
        <w:tc>
          <w:tcPr>
            <w:tcW w:w="2070" w:type="dxa"/>
            <w:shd w:val="clear" w:color="auto" w:fill="auto"/>
            <w:noWrap/>
            <w:vAlign w:val="bottom"/>
          </w:tcPr>
          <w:p w14:paraId="1FCE8787" w14:textId="77777777" w:rsidR="008A701E" w:rsidRPr="006A2781" w:rsidRDefault="008A701E" w:rsidP="008A701E">
            <w:pPr>
              <w:rPr>
                <w:rFonts w:ascii="Arial" w:hAnsi="Arial" w:cs="Arial"/>
                <w:sz w:val="18"/>
                <w:szCs w:val="18"/>
              </w:rPr>
            </w:pPr>
            <w:r w:rsidRPr="006A2781">
              <w:rPr>
                <w:rFonts w:ascii="Arial" w:hAnsi="Arial" w:cs="Arial"/>
                <w:sz w:val="18"/>
                <w:szCs w:val="18"/>
              </w:rPr>
              <w:t>RS</w:t>
            </w:r>
          </w:p>
        </w:tc>
      </w:tr>
      <w:tr w:rsidR="008A701E" w:rsidRPr="006A2781" w14:paraId="6474D229" w14:textId="77777777" w:rsidTr="00A732E0">
        <w:trPr>
          <w:cantSplit/>
          <w:trHeight w:val="255"/>
        </w:trPr>
        <w:tc>
          <w:tcPr>
            <w:tcW w:w="450" w:type="dxa"/>
            <w:vAlign w:val="bottom"/>
          </w:tcPr>
          <w:p w14:paraId="0569530D" w14:textId="77777777" w:rsidR="008A701E" w:rsidRPr="006A2781" w:rsidRDefault="008A701E" w:rsidP="008A701E">
            <w:pPr>
              <w:jc w:val="center"/>
              <w:rPr>
                <w:rFonts w:ascii="Arial" w:hAnsi="Arial" w:cs="Arial"/>
                <w:sz w:val="18"/>
                <w:szCs w:val="18"/>
              </w:rPr>
            </w:pPr>
            <w:r>
              <w:rPr>
                <w:rFonts w:ascii="Arial" w:hAnsi="Arial" w:cs="Arial"/>
                <w:sz w:val="18"/>
                <w:szCs w:val="18"/>
              </w:rPr>
              <w:t>53</w:t>
            </w:r>
          </w:p>
        </w:tc>
        <w:tc>
          <w:tcPr>
            <w:tcW w:w="540" w:type="dxa"/>
            <w:vAlign w:val="bottom"/>
          </w:tcPr>
          <w:p w14:paraId="34A3DBA9"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I</w:t>
            </w:r>
          </w:p>
        </w:tc>
        <w:tc>
          <w:tcPr>
            <w:tcW w:w="1867" w:type="dxa"/>
            <w:shd w:val="clear" w:color="auto" w:fill="auto"/>
            <w:noWrap/>
            <w:vAlign w:val="bottom"/>
          </w:tcPr>
          <w:p w14:paraId="0D2EB63E" w14:textId="77777777" w:rsidR="008A701E" w:rsidRPr="006A2781" w:rsidRDefault="008A701E" w:rsidP="008A701E">
            <w:pPr>
              <w:rPr>
                <w:rFonts w:ascii="Arial" w:hAnsi="Arial" w:cs="Arial"/>
                <w:sz w:val="18"/>
                <w:szCs w:val="18"/>
              </w:rPr>
            </w:pPr>
            <w:r>
              <w:rPr>
                <w:rFonts w:ascii="Arial" w:hAnsi="Arial" w:cs="Arial"/>
                <w:sz w:val="18"/>
                <w:szCs w:val="18"/>
              </w:rPr>
              <w:t>Return Issued Units to Blood Bank</w:t>
            </w:r>
          </w:p>
        </w:tc>
        <w:tc>
          <w:tcPr>
            <w:tcW w:w="3060" w:type="dxa"/>
            <w:shd w:val="clear" w:color="auto" w:fill="auto"/>
            <w:noWrap/>
            <w:vAlign w:val="bottom"/>
          </w:tcPr>
          <w:p w14:paraId="541225D0" w14:textId="77777777" w:rsidR="008A701E" w:rsidRPr="006A2781" w:rsidRDefault="008A701E" w:rsidP="008A701E">
            <w:pPr>
              <w:rPr>
                <w:rFonts w:ascii="Arial" w:hAnsi="Arial" w:cs="Arial"/>
                <w:sz w:val="18"/>
                <w:szCs w:val="18"/>
              </w:rPr>
            </w:pPr>
            <w:r w:rsidRPr="006A2781">
              <w:rPr>
                <w:rFonts w:ascii="Arial" w:hAnsi="Arial" w:cs="Arial"/>
                <w:sz w:val="18"/>
                <w:szCs w:val="18"/>
              </w:rPr>
              <w:t>Crossmatched unit</w:t>
            </w:r>
          </w:p>
        </w:tc>
        <w:tc>
          <w:tcPr>
            <w:tcW w:w="1530" w:type="dxa"/>
            <w:shd w:val="clear" w:color="auto" w:fill="auto"/>
            <w:noWrap/>
            <w:vAlign w:val="bottom"/>
          </w:tcPr>
          <w:p w14:paraId="57418CBB"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C</w:t>
            </w:r>
          </w:p>
        </w:tc>
        <w:tc>
          <w:tcPr>
            <w:tcW w:w="2070" w:type="dxa"/>
            <w:shd w:val="clear" w:color="auto" w:fill="auto"/>
            <w:noWrap/>
            <w:vAlign w:val="bottom"/>
          </w:tcPr>
          <w:p w14:paraId="08C0B88E" w14:textId="77777777" w:rsidR="008A701E" w:rsidRPr="006A2781" w:rsidRDefault="008A701E" w:rsidP="008A701E">
            <w:pPr>
              <w:rPr>
                <w:rFonts w:ascii="Arial" w:hAnsi="Arial" w:cs="Arial"/>
                <w:sz w:val="18"/>
                <w:szCs w:val="18"/>
              </w:rPr>
            </w:pPr>
            <w:r w:rsidRPr="006A2781">
              <w:rPr>
                <w:rFonts w:ascii="Arial" w:hAnsi="Arial" w:cs="Arial"/>
                <w:sz w:val="18"/>
                <w:szCs w:val="18"/>
              </w:rPr>
              <w:t>RS</w:t>
            </w:r>
          </w:p>
        </w:tc>
      </w:tr>
      <w:tr w:rsidR="008A701E" w:rsidRPr="006A2781" w14:paraId="3E8C2A03" w14:textId="77777777" w:rsidTr="00A732E0">
        <w:trPr>
          <w:cantSplit/>
          <w:trHeight w:val="255"/>
        </w:trPr>
        <w:tc>
          <w:tcPr>
            <w:tcW w:w="450" w:type="dxa"/>
            <w:vAlign w:val="bottom"/>
          </w:tcPr>
          <w:p w14:paraId="70AF6009" w14:textId="77777777" w:rsidR="008A701E" w:rsidRDefault="008A701E" w:rsidP="008A701E">
            <w:pPr>
              <w:jc w:val="center"/>
              <w:rPr>
                <w:rFonts w:ascii="Arial" w:hAnsi="Arial" w:cs="Arial"/>
                <w:sz w:val="18"/>
                <w:szCs w:val="18"/>
              </w:rPr>
            </w:pPr>
            <w:r>
              <w:rPr>
                <w:rFonts w:ascii="Arial" w:hAnsi="Arial" w:cs="Arial"/>
                <w:sz w:val="18"/>
                <w:szCs w:val="18"/>
              </w:rPr>
              <w:t>54</w:t>
            </w:r>
          </w:p>
        </w:tc>
        <w:tc>
          <w:tcPr>
            <w:tcW w:w="540" w:type="dxa"/>
            <w:vAlign w:val="bottom"/>
          </w:tcPr>
          <w:p w14:paraId="13041DC0" w14:textId="77777777" w:rsidR="008A701E" w:rsidRPr="006A2781" w:rsidRDefault="008A701E" w:rsidP="008A701E">
            <w:pPr>
              <w:jc w:val="center"/>
              <w:rPr>
                <w:rFonts w:ascii="Arial" w:hAnsi="Arial" w:cs="Arial"/>
                <w:sz w:val="18"/>
                <w:szCs w:val="18"/>
              </w:rPr>
            </w:pPr>
            <w:r>
              <w:rPr>
                <w:rFonts w:ascii="Arial" w:hAnsi="Arial" w:cs="Arial"/>
                <w:sz w:val="18"/>
                <w:szCs w:val="18"/>
              </w:rPr>
              <w:t>I</w:t>
            </w:r>
          </w:p>
        </w:tc>
        <w:tc>
          <w:tcPr>
            <w:tcW w:w="1867" w:type="dxa"/>
            <w:shd w:val="clear" w:color="auto" w:fill="auto"/>
            <w:noWrap/>
            <w:vAlign w:val="bottom"/>
          </w:tcPr>
          <w:p w14:paraId="1FF6188F" w14:textId="77777777" w:rsidR="008A701E" w:rsidRPr="006A2781" w:rsidRDefault="008A701E" w:rsidP="008A701E">
            <w:pPr>
              <w:rPr>
                <w:rFonts w:ascii="Arial" w:hAnsi="Arial" w:cs="Arial"/>
                <w:sz w:val="18"/>
                <w:szCs w:val="18"/>
              </w:rPr>
            </w:pPr>
            <w:r>
              <w:rPr>
                <w:rFonts w:ascii="Arial" w:hAnsi="Arial" w:cs="Arial"/>
                <w:sz w:val="18"/>
                <w:szCs w:val="18"/>
              </w:rPr>
              <w:t>Return Issued Units to Blood Bank</w:t>
            </w:r>
          </w:p>
        </w:tc>
        <w:tc>
          <w:tcPr>
            <w:tcW w:w="3060" w:type="dxa"/>
            <w:shd w:val="clear" w:color="auto" w:fill="auto"/>
            <w:noWrap/>
            <w:vAlign w:val="bottom"/>
          </w:tcPr>
          <w:p w14:paraId="3F18D634" w14:textId="77777777" w:rsidR="008A701E" w:rsidRPr="00B7134B" w:rsidRDefault="008A701E" w:rsidP="008A701E">
            <w:pPr>
              <w:rPr>
                <w:rFonts w:ascii="Arial" w:hAnsi="Arial" w:cs="Arial"/>
                <w:sz w:val="18"/>
                <w:szCs w:val="18"/>
              </w:rPr>
            </w:pPr>
            <w:r w:rsidRPr="00B7134B">
              <w:rPr>
                <w:rFonts w:ascii="Arial" w:hAnsi="Arial" w:cs="Arial"/>
                <w:sz w:val="18"/>
                <w:szCs w:val="18"/>
              </w:rPr>
              <w:t>Unit without a crossmatch, unit is unsatisfactory</w:t>
            </w:r>
          </w:p>
        </w:tc>
        <w:tc>
          <w:tcPr>
            <w:tcW w:w="1530" w:type="dxa"/>
            <w:shd w:val="clear" w:color="auto" w:fill="auto"/>
            <w:noWrap/>
            <w:vAlign w:val="bottom"/>
          </w:tcPr>
          <w:p w14:paraId="36DE61D5" w14:textId="77777777" w:rsidR="008A701E" w:rsidRPr="006A2781" w:rsidRDefault="008A701E" w:rsidP="008A701E">
            <w:pPr>
              <w:jc w:val="center"/>
              <w:rPr>
                <w:rFonts w:ascii="Arial" w:hAnsi="Arial" w:cs="Arial"/>
                <w:sz w:val="18"/>
                <w:szCs w:val="18"/>
              </w:rPr>
            </w:pPr>
            <w:r>
              <w:rPr>
                <w:rFonts w:ascii="Arial" w:hAnsi="Arial" w:cs="Arial"/>
                <w:sz w:val="18"/>
                <w:szCs w:val="18"/>
              </w:rPr>
              <w:t>A</w:t>
            </w:r>
          </w:p>
        </w:tc>
        <w:tc>
          <w:tcPr>
            <w:tcW w:w="2070" w:type="dxa"/>
            <w:shd w:val="clear" w:color="auto" w:fill="auto"/>
            <w:noWrap/>
            <w:vAlign w:val="bottom"/>
          </w:tcPr>
          <w:p w14:paraId="0C5BF329" w14:textId="77777777" w:rsidR="008A701E" w:rsidRPr="006A2781" w:rsidRDefault="008A701E" w:rsidP="008A701E">
            <w:pPr>
              <w:rPr>
                <w:rFonts w:ascii="Arial" w:hAnsi="Arial" w:cs="Arial"/>
                <w:sz w:val="18"/>
                <w:szCs w:val="18"/>
              </w:rPr>
            </w:pPr>
            <w:r w:rsidRPr="00B7134B">
              <w:rPr>
                <w:rFonts w:ascii="Arial" w:hAnsi="Arial" w:cs="Arial"/>
                <w:sz w:val="18"/>
                <w:szCs w:val="18"/>
              </w:rPr>
              <w:t>RE</w:t>
            </w:r>
          </w:p>
        </w:tc>
      </w:tr>
      <w:tr w:rsidR="008A701E" w:rsidRPr="006A2781" w14:paraId="424EFC48" w14:textId="77777777" w:rsidTr="00A732E0">
        <w:trPr>
          <w:cantSplit/>
          <w:trHeight w:val="255"/>
        </w:trPr>
        <w:tc>
          <w:tcPr>
            <w:tcW w:w="450" w:type="dxa"/>
            <w:vAlign w:val="bottom"/>
          </w:tcPr>
          <w:p w14:paraId="22347ED2" w14:textId="77777777" w:rsidR="008A701E" w:rsidRDefault="008A701E" w:rsidP="008A701E">
            <w:pPr>
              <w:jc w:val="center"/>
              <w:rPr>
                <w:rFonts w:ascii="Arial" w:hAnsi="Arial" w:cs="Arial"/>
                <w:sz w:val="18"/>
                <w:szCs w:val="18"/>
              </w:rPr>
            </w:pPr>
            <w:r>
              <w:rPr>
                <w:rFonts w:ascii="Arial" w:hAnsi="Arial" w:cs="Arial"/>
                <w:sz w:val="18"/>
                <w:szCs w:val="18"/>
              </w:rPr>
              <w:t>55</w:t>
            </w:r>
          </w:p>
        </w:tc>
        <w:tc>
          <w:tcPr>
            <w:tcW w:w="540" w:type="dxa"/>
            <w:vAlign w:val="bottom"/>
          </w:tcPr>
          <w:p w14:paraId="52F20DF0" w14:textId="77777777" w:rsidR="008A701E" w:rsidRPr="006A2781" w:rsidRDefault="008A701E" w:rsidP="008A701E">
            <w:pPr>
              <w:jc w:val="center"/>
              <w:rPr>
                <w:rFonts w:ascii="Arial" w:hAnsi="Arial" w:cs="Arial"/>
                <w:sz w:val="18"/>
                <w:szCs w:val="18"/>
              </w:rPr>
            </w:pPr>
            <w:r>
              <w:rPr>
                <w:rFonts w:ascii="Arial" w:hAnsi="Arial" w:cs="Arial"/>
                <w:sz w:val="18"/>
                <w:szCs w:val="18"/>
              </w:rPr>
              <w:t>I</w:t>
            </w:r>
          </w:p>
        </w:tc>
        <w:tc>
          <w:tcPr>
            <w:tcW w:w="1867" w:type="dxa"/>
            <w:shd w:val="clear" w:color="auto" w:fill="auto"/>
            <w:noWrap/>
            <w:vAlign w:val="bottom"/>
          </w:tcPr>
          <w:p w14:paraId="2B0D8D40" w14:textId="77777777" w:rsidR="008A701E" w:rsidRPr="006A2781" w:rsidRDefault="008A701E" w:rsidP="008A701E">
            <w:pPr>
              <w:rPr>
                <w:rFonts w:ascii="Arial" w:hAnsi="Arial" w:cs="Arial"/>
                <w:sz w:val="18"/>
                <w:szCs w:val="18"/>
              </w:rPr>
            </w:pPr>
            <w:r>
              <w:rPr>
                <w:rFonts w:ascii="Arial" w:hAnsi="Arial" w:cs="Arial"/>
                <w:sz w:val="18"/>
                <w:szCs w:val="18"/>
              </w:rPr>
              <w:t>Return Issued Units to Blood Bank</w:t>
            </w:r>
          </w:p>
        </w:tc>
        <w:tc>
          <w:tcPr>
            <w:tcW w:w="3060" w:type="dxa"/>
            <w:shd w:val="clear" w:color="auto" w:fill="auto"/>
            <w:noWrap/>
            <w:vAlign w:val="bottom"/>
          </w:tcPr>
          <w:p w14:paraId="41F09AA7" w14:textId="77777777" w:rsidR="008A701E" w:rsidRPr="00B7134B" w:rsidRDefault="008A701E" w:rsidP="008A701E">
            <w:pPr>
              <w:rPr>
                <w:rFonts w:ascii="Arial" w:hAnsi="Arial" w:cs="Arial"/>
                <w:sz w:val="18"/>
                <w:szCs w:val="18"/>
              </w:rPr>
            </w:pPr>
            <w:r w:rsidRPr="00B7134B">
              <w:rPr>
                <w:rFonts w:ascii="Arial" w:hAnsi="Arial" w:cs="Arial"/>
                <w:sz w:val="18"/>
                <w:szCs w:val="18"/>
              </w:rPr>
              <w:t>Unit crossmatched, unit is unsatisfactory</w:t>
            </w:r>
          </w:p>
        </w:tc>
        <w:tc>
          <w:tcPr>
            <w:tcW w:w="1530" w:type="dxa"/>
            <w:shd w:val="clear" w:color="auto" w:fill="auto"/>
            <w:noWrap/>
            <w:vAlign w:val="bottom"/>
          </w:tcPr>
          <w:p w14:paraId="4669E0AB" w14:textId="77777777" w:rsidR="008A701E" w:rsidRPr="006A2781" w:rsidRDefault="008A701E" w:rsidP="008A701E">
            <w:pPr>
              <w:jc w:val="center"/>
              <w:rPr>
                <w:rFonts w:ascii="Arial" w:hAnsi="Arial" w:cs="Arial"/>
                <w:sz w:val="18"/>
                <w:szCs w:val="18"/>
              </w:rPr>
            </w:pPr>
            <w:r w:rsidRPr="00B7134B">
              <w:rPr>
                <w:rFonts w:ascii="Arial" w:hAnsi="Arial" w:cs="Arial"/>
                <w:sz w:val="18"/>
                <w:szCs w:val="18"/>
              </w:rPr>
              <w:t>A</w:t>
            </w:r>
          </w:p>
        </w:tc>
        <w:tc>
          <w:tcPr>
            <w:tcW w:w="2070" w:type="dxa"/>
            <w:shd w:val="clear" w:color="auto" w:fill="auto"/>
            <w:noWrap/>
            <w:vAlign w:val="bottom"/>
          </w:tcPr>
          <w:p w14:paraId="66DCDE74" w14:textId="77777777" w:rsidR="008A701E" w:rsidRPr="006A2781" w:rsidRDefault="008A701E" w:rsidP="008A701E">
            <w:pPr>
              <w:rPr>
                <w:rFonts w:ascii="Arial" w:hAnsi="Arial" w:cs="Arial"/>
                <w:sz w:val="18"/>
                <w:szCs w:val="18"/>
              </w:rPr>
            </w:pPr>
            <w:r w:rsidRPr="00B7134B">
              <w:rPr>
                <w:rFonts w:ascii="Arial" w:hAnsi="Arial" w:cs="Arial"/>
                <w:sz w:val="18"/>
                <w:szCs w:val="18"/>
              </w:rPr>
              <w:t>RE</w:t>
            </w:r>
          </w:p>
        </w:tc>
      </w:tr>
      <w:tr w:rsidR="008A701E" w:rsidRPr="006A2781" w14:paraId="3D234401" w14:textId="77777777" w:rsidTr="00A732E0">
        <w:trPr>
          <w:cantSplit/>
          <w:trHeight w:val="255"/>
        </w:trPr>
        <w:tc>
          <w:tcPr>
            <w:tcW w:w="450" w:type="dxa"/>
            <w:vAlign w:val="bottom"/>
          </w:tcPr>
          <w:p w14:paraId="6B311E76" w14:textId="77777777" w:rsidR="008A701E" w:rsidRPr="006A2781" w:rsidRDefault="008A701E" w:rsidP="008A701E">
            <w:pPr>
              <w:jc w:val="center"/>
              <w:rPr>
                <w:rFonts w:ascii="Arial" w:hAnsi="Arial" w:cs="Arial"/>
                <w:sz w:val="18"/>
                <w:szCs w:val="18"/>
              </w:rPr>
            </w:pPr>
            <w:r>
              <w:rPr>
                <w:rFonts w:ascii="Arial" w:hAnsi="Arial" w:cs="Arial"/>
                <w:sz w:val="18"/>
                <w:szCs w:val="18"/>
              </w:rPr>
              <w:t>56</w:t>
            </w:r>
          </w:p>
        </w:tc>
        <w:tc>
          <w:tcPr>
            <w:tcW w:w="540" w:type="dxa"/>
            <w:vAlign w:val="bottom"/>
          </w:tcPr>
          <w:p w14:paraId="566A7992"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S</w:t>
            </w:r>
          </w:p>
        </w:tc>
        <w:tc>
          <w:tcPr>
            <w:tcW w:w="1867" w:type="dxa"/>
            <w:shd w:val="clear" w:color="auto" w:fill="auto"/>
            <w:noWrap/>
            <w:vAlign w:val="bottom"/>
          </w:tcPr>
          <w:p w14:paraId="4DC6B4AC" w14:textId="77777777" w:rsidR="008A701E" w:rsidRPr="006A2781" w:rsidRDefault="008A701E" w:rsidP="008A701E">
            <w:pPr>
              <w:rPr>
                <w:rFonts w:ascii="Arial" w:hAnsi="Arial" w:cs="Arial"/>
                <w:sz w:val="18"/>
                <w:szCs w:val="18"/>
              </w:rPr>
            </w:pPr>
            <w:r>
              <w:rPr>
                <w:rFonts w:ascii="Arial" w:hAnsi="Arial" w:cs="Arial"/>
                <w:sz w:val="18"/>
                <w:szCs w:val="18"/>
              </w:rPr>
              <w:t>Issue Blood Components</w:t>
            </w:r>
          </w:p>
        </w:tc>
        <w:tc>
          <w:tcPr>
            <w:tcW w:w="3060" w:type="dxa"/>
            <w:shd w:val="clear" w:color="auto" w:fill="auto"/>
            <w:noWrap/>
            <w:vAlign w:val="bottom"/>
          </w:tcPr>
          <w:p w14:paraId="5B0E1422" w14:textId="77777777" w:rsidR="008A701E" w:rsidRPr="006A2781" w:rsidRDefault="008A701E" w:rsidP="008A701E">
            <w:pPr>
              <w:rPr>
                <w:rFonts w:ascii="Arial" w:hAnsi="Arial" w:cs="Arial"/>
                <w:sz w:val="18"/>
                <w:szCs w:val="18"/>
              </w:rPr>
            </w:pPr>
            <w:r w:rsidRPr="006A2781">
              <w:rPr>
                <w:rFonts w:ascii="Arial" w:hAnsi="Arial" w:cs="Arial"/>
                <w:sz w:val="18"/>
                <w:szCs w:val="18"/>
              </w:rPr>
              <w:t>Normal flow with or without overrides</w:t>
            </w:r>
          </w:p>
        </w:tc>
        <w:tc>
          <w:tcPr>
            <w:tcW w:w="1530" w:type="dxa"/>
            <w:shd w:val="clear" w:color="auto" w:fill="auto"/>
            <w:noWrap/>
            <w:vAlign w:val="bottom"/>
          </w:tcPr>
          <w:p w14:paraId="46273A89"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I</w:t>
            </w:r>
          </w:p>
        </w:tc>
        <w:tc>
          <w:tcPr>
            <w:tcW w:w="2070" w:type="dxa"/>
            <w:shd w:val="clear" w:color="auto" w:fill="auto"/>
            <w:noWrap/>
            <w:vAlign w:val="bottom"/>
          </w:tcPr>
          <w:p w14:paraId="69FD7FF8" w14:textId="77777777" w:rsidR="008A701E" w:rsidRPr="006A2781" w:rsidRDefault="008A701E" w:rsidP="008A701E">
            <w:pPr>
              <w:rPr>
                <w:rFonts w:ascii="Arial" w:hAnsi="Arial" w:cs="Arial"/>
                <w:sz w:val="18"/>
                <w:szCs w:val="18"/>
              </w:rPr>
            </w:pPr>
            <w:r w:rsidRPr="006A2781">
              <w:rPr>
                <w:rFonts w:ascii="Arial" w:hAnsi="Arial" w:cs="Arial"/>
                <w:sz w:val="18"/>
                <w:szCs w:val="18"/>
              </w:rPr>
              <w:t>DS</w:t>
            </w:r>
          </w:p>
        </w:tc>
      </w:tr>
      <w:tr w:rsidR="008A701E" w:rsidRPr="006A2781" w14:paraId="391DF5EB" w14:textId="77777777" w:rsidTr="00A732E0">
        <w:trPr>
          <w:cantSplit/>
          <w:trHeight w:val="255"/>
        </w:trPr>
        <w:tc>
          <w:tcPr>
            <w:tcW w:w="450" w:type="dxa"/>
            <w:vAlign w:val="bottom"/>
          </w:tcPr>
          <w:p w14:paraId="0CF4BE52" w14:textId="77777777" w:rsidR="008A701E" w:rsidRPr="006A2781" w:rsidRDefault="008A701E" w:rsidP="008A701E">
            <w:pPr>
              <w:jc w:val="center"/>
              <w:rPr>
                <w:rFonts w:ascii="Arial" w:hAnsi="Arial" w:cs="Arial"/>
                <w:sz w:val="18"/>
                <w:szCs w:val="18"/>
              </w:rPr>
            </w:pPr>
            <w:r>
              <w:rPr>
                <w:rFonts w:ascii="Arial" w:hAnsi="Arial" w:cs="Arial"/>
                <w:sz w:val="18"/>
                <w:szCs w:val="18"/>
              </w:rPr>
              <w:t>57</w:t>
            </w:r>
          </w:p>
        </w:tc>
        <w:tc>
          <w:tcPr>
            <w:tcW w:w="540" w:type="dxa"/>
            <w:vAlign w:val="bottom"/>
          </w:tcPr>
          <w:p w14:paraId="24360F1B"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C</w:t>
            </w:r>
          </w:p>
        </w:tc>
        <w:tc>
          <w:tcPr>
            <w:tcW w:w="1867" w:type="dxa"/>
            <w:shd w:val="clear" w:color="auto" w:fill="auto"/>
            <w:noWrap/>
            <w:vAlign w:val="bottom"/>
          </w:tcPr>
          <w:p w14:paraId="48EE44F1" w14:textId="77777777" w:rsidR="008A701E" w:rsidRPr="006A2781" w:rsidRDefault="008A701E" w:rsidP="008A701E">
            <w:pPr>
              <w:rPr>
                <w:rFonts w:ascii="Arial" w:hAnsi="Arial" w:cs="Arial"/>
                <w:sz w:val="18"/>
                <w:szCs w:val="18"/>
              </w:rPr>
            </w:pPr>
            <w:r>
              <w:rPr>
                <w:rFonts w:ascii="Arial" w:hAnsi="Arial" w:cs="Arial"/>
                <w:sz w:val="18"/>
                <w:szCs w:val="18"/>
              </w:rPr>
              <w:t>Issue Blood Components</w:t>
            </w:r>
          </w:p>
        </w:tc>
        <w:tc>
          <w:tcPr>
            <w:tcW w:w="3060" w:type="dxa"/>
            <w:shd w:val="clear" w:color="auto" w:fill="auto"/>
            <w:noWrap/>
            <w:vAlign w:val="bottom"/>
          </w:tcPr>
          <w:p w14:paraId="77D7ABFC" w14:textId="77777777" w:rsidR="008A701E" w:rsidRPr="006A2781" w:rsidRDefault="008A701E" w:rsidP="008A701E">
            <w:pPr>
              <w:rPr>
                <w:rFonts w:ascii="Arial" w:hAnsi="Arial" w:cs="Arial"/>
                <w:sz w:val="18"/>
                <w:szCs w:val="18"/>
              </w:rPr>
            </w:pPr>
            <w:r w:rsidRPr="006A2781">
              <w:rPr>
                <w:rFonts w:ascii="Arial" w:hAnsi="Arial" w:cs="Arial"/>
                <w:sz w:val="18"/>
                <w:szCs w:val="18"/>
              </w:rPr>
              <w:t>Normal flow with or without overrides</w:t>
            </w:r>
          </w:p>
        </w:tc>
        <w:tc>
          <w:tcPr>
            <w:tcW w:w="1530" w:type="dxa"/>
            <w:shd w:val="clear" w:color="auto" w:fill="auto"/>
            <w:noWrap/>
            <w:vAlign w:val="bottom"/>
          </w:tcPr>
          <w:p w14:paraId="27EDEBF8"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I</w:t>
            </w:r>
          </w:p>
        </w:tc>
        <w:tc>
          <w:tcPr>
            <w:tcW w:w="2070" w:type="dxa"/>
            <w:shd w:val="clear" w:color="auto" w:fill="auto"/>
            <w:noWrap/>
            <w:vAlign w:val="bottom"/>
          </w:tcPr>
          <w:p w14:paraId="6D8241AA" w14:textId="77777777" w:rsidR="008A701E" w:rsidRPr="006A2781" w:rsidRDefault="008A701E" w:rsidP="008A701E">
            <w:pPr>
              <w:rPr>
                <w:rFonts w:ascii="Arial" w:hAnsi="Arial" w:cs="Arial"/>
                <w:sz w:val="18"/>
                <w:szCs w:val="18"/>
              </w:rPr>
            </w:pPr>
            <w:r w:rsidRPr="006A2781">
              <w:rPr>
                <w:rFonts w:ascii="Arial" w:hAnsi="Arial" w:cs="Arial"/>
                <w:sz w:val="18"/>
                <w:szCs w:val="18"/>
              </w:rPr>
              <w:t>DS</w:t>
            </w:r>
          </w:p>
        </w:tc>
      </w:tr>
      <w:tr w:rsidR="008A701E" w:rsidRPr="006A2781" w14:paraId="5BA696CE" w14:textId="77777777" w:rsidTr="00A732E0">
        <w:trPr>
          <w:cantSplit/>
          <w:trHeight w:val="255"/>
        </w:trPr>
        <w:tc>
          <w:tcPr>
            <w:tcW w:w="450" w:type="dxa"/>
            <w:vAlign w:val="bottom"/>
          </w:tcPr>
          <w:p w14:paraId="4D700639" w14:textId="77777777" w:rsidR="008A701E" w:rsidRPr="006A2781" w:rsidRDefault="008A701E" w:rsidP="008A701E">
            <w:pPr>
              <w:jc w:val="center"/>
              <w:rPr>
                <w:rFonts w:ascii="Arial" w:hAnsi="Arial" w:cs="Arial"/>
                <w:sz w:val="18"/>
                <w:szCs w:val="18"/>
              </w:rPr>
            </w:pPr>
            <w:r>
              <w:rPr>
                <w:rFonts w:ascii="Arial" w:hAnsi="Arial" w:cs="Arial"/>
                <w:sz w:val="18"/>
                <w:szCs w:val="18"/>
              </w:rPr>
              <w:t>58</w:t>
            </w:r>
          </w:p>
        </w:tc>
        <w:tc>
          <w:tcPr>
            <w:tcW w:w="540" w:type="dxa"/>
            <w:vAlign w:val="bottom"/>
          </w:tcPr>
          <w:p w14:paraId="5DAB87FB"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S</w:t>
            </w:r>
          </w:p>
        </w:tc>
        <w:tc>
          <w:tcPr>
            <w:tcW w:w="1867" w:type="dxa"/>
            <w:shd w:val="clear" w:color="auto" w:fill="auto"/>
            <w:noWrap/>
            <w:vAlign w:val="bottom"/>
          </w:tcPr>
          <w:p w14:paraId="188C88C5" w14:textId="77777777" w:rsidR="008A701E" w:rsidRPr="006A2781" w:rsidRDefault="008A701E" w:rsidP="008A701E">
            <w:pPr>
              <w:rPr>
                <w:rFonts w:ascii="Arial" w:hAnsi="Arial" w:cs="Arial"/>
                <w:sz w:val="18"/>
                <w:szCs w:val="18"/>
              </w:rPr>
            </w:pPr>
            <w:r>
              <w:rPr>
                <w:rFonts w:ascii="Arial" w:hAnsi="Arial" w:cs="Arial"/>
                <w:sz w:val="18"/>
                <w:szCs w:val="18"/>
              </w:rPr>
              <w:t>Issue Blood Components</w:t>
            </w:r>
          </w:p>
        </w:tc>
        <w:tc>
          <w:tcPr>
            <w:tcW w:w="3060" w:type="dxa"/>
            <w:shd w:val="clear" w:color="auto" w:fill="auto"/>
            <w:noWrap/>
            <w:vAlign w:val="bottom"/>
          </w:tcPr>
          <w:p w14:paraId="6267A636" w14:textId="77777777" w:rsidR="008A701E" w:rsidRPr="006A2781" w:rsidRDefault="008A701E" w:rsidP="008A701E">
            <w:pPr>
              <w:rPr>
                <w:rFonts w:ascii="Arial" w:hAnsi="Arial" w:cs="Arial"/>
                <w:sz w:val="18"/>
                <w:szCs w:val="18"/>
              </w:rPr>
            </w:pPr>
            <w:r w:rsidRPr="006A2781">
              <w:rPr>
                <w:rFonts w:ascii="Arial" w:hAnsi="Arial" w:cs="Arial"/>
                <w:sz w:val="18"/>
                <w:szCs w:val="18"/>
              </w:rPr>
              <w:t>Unit is marked as unsatisfactory for issue</w:t>
            </w:r>
          </w:p>
        </w:tc>
        <w:tc>
          <w:tcPr>
            <w:tcW w:w="1530" w:type="dxa"/>
            <w:shd w:val="clear" w:color="auto" w:fill="auto"/>
            <w:noWrap/>
            <w:vAlign w:val="bottom"/>
          </w:tcPr>
          <w:p w14:paraId="3D604BBF"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A</w:t>
            </w:r>
          </w:p>
        </w:tc>
        <w:tc>
          <w:tcPr>
            <w:tcW w:w="2070" w:type="dxa"/>
            <w:shd w:val="clear" w:color="auto" w:fill="auto"/>
            <w:noWrap/>
            <w:vAlign w:val="bottom"/>
          </w:tcPr>
          <w:p w14:paraId="3246A7F8" w14:textId="77777777" w:rsidR="008A701E" w:rsidRPr="006A2781" w:rsidRDefault="008A701E" w:rsidP="008A701E">
            <w:pPr>
              <w:rPr>
                <w:rFonts w:ascii="Arial" w:hAnsi="Arial" w:cs="Arial"/>
                <w:sz w:val="18"/>
                <w:szCs w:val="18"/>
              </w:rPr>
            </w:pPr>
            <w:r w:rsidRPr="006A2781">
              <w:rPr>
                <w:rFonts w:ascii="Arial" w:hAnsi="Arial" w:cs="Arial"/>
                <w:sz w:val="18"/>
                <w:szCs w:val="18"/>
              </w:rPr>
              <w:t>RE</w:t>
            </w:r>
          </w:p>
        </w:tc>
      </w:tr>
      <w:tr w:rsidR="008A701E" w:rsidRPr="006A2781" w14:paraId="2360C6C6" w14:textId="77777777" w:rsidTr="00A732E0">
        <w:trPr>
          <w:cantSplit/>
          <w:trHeight w:val="255"/>
        </w:trPr>
        <w:tc>
          <w:tcPr>
            <w:tcW w:w="450" w:type="dxa"/>
            <w:vAlign w:val="bottom"/>
          </w:tcPr>
          <w:p w14:paraId="20F44224" w14:textId="77777777" w:rsidR="008A701E" w:rsidRPr="006A2781" w:rsidRDefault="008A701E" w:rsidP="008A701E">
            <w:pPr>
              <w:jc w:val="center"/>
              <w:rPr>
                <w:rFonts w:ascii="Arial" w:hAnsi="Arial" w:cs="Arial"/>
                <w:sz w:val="18"/>
                <w:szCs w:val="18"/>
              </w:rPr>
            </w:pPr>
            <w:r>
              <w:rPr>
                <w:rFonts w:ascii="Arial" w:hAnsi="Arial" w:cs="Arial"/>
                <w:sz w:val="18"/>
                <w:szCs w:val="18"/>
              </w:rPr>
              <w:t>59</w:t>
            </w:r>
          </w:p>
        </w:tc>
        <w:tc>
          <w:tcPr>
            <w:tcW w:w="540" w:type="dxa"/>
            <w:vAlign w:val="bottom"/>
          </w:tcPr>
          <w:p w14:paraId="559A28BB"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C</w:t>
            </w:r>
          </w:p>
        </w:tc>
        <w:tc>
          <w:tcPr>
            <w:tcW w:w="1867" w:type="dxa"/>
            <w:shd w:val="clear" w:color="auto" w:fill="auto"/>
            <w:noWrap/>
            <w:vAlign w:val="bottom"/>
          </w:tcPr>
          <w:p w14:paraId="16197CFB" w14:textId="77777777" w:rsidR="008A701E" w:rsidRPr="006A2781" w:rsidRDefault="008A701E" w:rsidP="008A701E">
            <w:pPr>
              <w:rPr>
                <w:rFonts w:ascii="Arial" w:hAnsi="Arial" w:cs="Arial"/>
                <w:sz w:val="18"/>
                <w:szCs w:val="18"/>
              </w:rPr>
            </w:pPr>
            <w:r>
              <w:rPr>
                <w:rFonts w:ascii="Arial" w:hAnsi="Arial" w:cs="Arial"/>
                <w:sz w:val="18"/>
                <w:szCs w:val="18"/>
              </w:rPr>
              <w:t>Issue Blood Components</w:t>
            </w:r>
          </w:p>
        </w:tc>
        <w:tc>
          <w:tcPr>
            <w:tcW w:w="3060" w:type="dxa"/>
            <w:shd w:val="clear" w:color="auto" w:fill="auto"/>
            <w:noWrap/>
            <w:vAlign w:val="bottom"/>
          </w:tcPr>
          <w:p w14:paraId="6ADC6400" w14:textId="77777777" w:rsidR="008A701E" w:rsidRPr="006A2781" w:rsidRDefault="008A701E" w:rsidP="008A701E">
            <w:pPr>
              <w:rPr>
                <w:rFonts w:ascii="Arial" w:hAnsi="Arial" w:cs="Arial"/>
                <w:sz w:val="18"/>
                <w:szCs w:val="18"/>
              </w:rPr>
            </w:pPr>
            <w:r w:rsidRPr="006A2781">
              <w:rPr>
                <w:rFonts w:ascii="Arial" w:hAnsi="Arial" w:cs="Arial"/>
                <w:sz w:val="18"/>
                <w:szCs w:val="18"/>
              </w:rPr>
              <w:t>Unit is marked as unsatisfactory for issue</w:t>
            </w:r>
          </w:p>
        </w:tc>
        <w:tc>
          <w:tcPr>
            <w:tcW w:w="1530" w:type="dxa"/>
            <w:shd w:val="clear" w:color="auto" w:fill="auto"/>
            <w:noWrap/>
            <w:vAlign w:val="bottom"/>
          </w:tcPr>
          <w:p w14:paraId="23F54465"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A</w:t>
            </w:r>
          </w:p>
        </w:tc>
        <w:tc>
          <w:tcPr>
            <w:tcW w:w="2070" w:type="dxa"/>
            <w:shd w:val="clear" w:color="auto" w:fill="auto"/>
            <w:noWrap/>
            <w:vAlign w:val="bottom"/>
          </w:tcPr>
          <w:p w14:paraId="134D9BDA" w14:textId="77777777" w:rsidR="008A701E" w:rsidRPr="006A2781" w:rsidRDefault="008A701E" w:rsidP="008A701E">
            <w:pPr>
              <w:rPr>
                <w:rFonts w:ascii="Arial" w:hAnsi="Arial" w:cs="Arial"/>
                <w:sz w:val="18"/>
                <w:szCs w:val="18"/>
              </w:rPr>
            </w:pPr>
            <w:r w:rsidRPr="006A2781">
              <w:rPr>
                <w:rFonts w:ascii="Arial" w:hAnsi="Arial" w:cs="Arial"/>
                <w:sz w:val="18"/>
                <w:szCs w:val="18"/>
              </w:rPr>
              <w:t>RE</w:t>
            </w:r>
          </w:p>
        </w:tc>
      </w:tr>
      <w:tr w:rsidR="008A701E" w:rsidRPr="006A2781" w14:paraId="31F9C9C2" w14:textId="77777777" w:rsidTr="00A732E0">
        <w:trPr>
          <w:cantSplit/>
          <w:trHeight w:val="255"/>
        </w:trPr>
        <w:tc>
          <w:tcPr>
            <w:tcW w:w="450" w:type="dxa"/>
            <w:vAlign w:val="bottom"/>
          </w:tcPr>
          <w:p w14:paraId="52B665D5" w14:textId="77777777" w:rsidR="008A701E" w:rsidRPr="006A2781" w:rsidRDefault="008A701E" w:rsidP="008A701E">
            <w:pPr>
              <w:jc w:val="center"/>
              <w:rPr>
                <w:rFonts w:ascii="Arial" w:hAnsi="Arial" w:cs="Arial"/>
                <w:sz w:val="18"/>
                <w:szCs w:val="18"/>
              </w:rPr>
            </w:pPr>
            <w:r>
              <w:rPr>
                <w:rFonts w:ascii="Arial" w:hAnsi="Arial" w:cs="Arial"/>
                <w:sz w:val="18"/>
                <w:szCs w:val="18"/>
              </w:rPr>
              <w:t>60</w:t>
            </w:r>
          </w:p>
        </w:tc>
        <w:tc>
          <w:tcPr>
            <w:tcW w:w="540" w:type="dxa"/>
            <w:vAlign w:val="bottom"/>
          </w:tcPr>
          <w:p w14:paraId="3A6D764B"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C</w:t>
            </w:r>
          </w:p>
        </w:tc>
        <w:tc>
          <w:tcPr>
            <w:tcW w:w="1867" w:type="dxa"/>
            <w:shd w:val="clear" w:color="auto" w:fill="auto"/>
            <w:noWrap/>
            <w:vAlign w:val="bottom"/>
          </w:tcPr>
          <w:p w14:paraId="145FF3E4" w14:textId="77777777" w:rsidR="008A701E" w:rsidRPr="006A2781" w:rsidRDefault="008A701E" w:rsidP="008A701E">
            <w:pPr>
              <w:rPr>
                <w:rFonts w:ascii="Arial" w:hAnsi="Arial" w:cs="Arial"/>
                <w:sz w:val="18"/>
                <w:szCs w:val="18"/>
              </w:rPr>
            </w:pPr>
            <w:r>
              <w:rPr>
                <w:rFonts w:ascii="Arial" w:hAnsi="Arial" w:cs="Arial"/>
                <w:sz w:val="18"/>
                <w:szCs w:val="18"/>
              </w:rPr>
              <w:t>Invalidate Patient Test Results</w:t>
            </w:r>
          </w:p>
        </w:tc>
        <w:tc>
          <w:tcPr>
            <w:tcW w:w="3060" w:type="dxa"/>
            <w:shd w:val="clear" w:color="auto" w:fill="auto"/>
            <w:noWrap/>
            <w:vAlign w:val="bottom"/>
          </w:tcPr>
          <w:p w14:paraId="401C20BC" w14:textId="77777777" w:rsidR="008A701E" w:rsidRPr="006A2781" w:rsidRDefault="008A701E" w:rsidP="008A701E">
            <w:pPr>
              <w:rPr>
                <w:rFonts w:ascii="Arial" w:hAnsi="Arial" w:cs="Arial"/>
                <w:sz w:val="18"/>
                <w:szCs w:val="18"/>
              </w:rPr>
            </w:pPr>
            <w:r w:rsidRPr="006A2781">
              <w:rPr>
                <w:rFonts w:ascii="Arial" w:hAnsi="Arial" w:cs="Arial"/>
                <w:sz w:val="18"/>
                <w:szCs w:val="18"/>
              </w:rPr>
              <w:t>Invalidate Crossmatch results for the unit-patient association</w:t>
            </w:r>
          </w:p>
        </w:tc>
        <w:tc>
          <w:tcPr>
            <w:tcW w:w="1530" w:type="dxa"/>
            <w:shd w:val="clear" w:color="auto" w:fill="auto"/>
            <w:noWrap/>
            <w:vAlign w:val="bottom"/>
          </w:tcPr>
          <w:p w14:paraId="12209AE6"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S</w:t>
            </w:r>
          </w:p>
        </w:tc>
        <w:tc>
          <w:tcPr>
            <w:tcW w:w="2070" w:type="dxa"/>
            <w:shd w:val="clear" w:color="auto" w:fill="auto"/>
            <w:noWrap/>
            <w:vAlign w:val="bottom"/>
          </w:tcPr>
          <w:p w14:paraId="07E331CA" w14:textId="77777777" w:rsidR="008A701E" w:rsidRPr="006A2781" w:rsidRDefault="008A701E" w:rsidP="008A701E">
            <w:pPr>
              <w:rPr>
                <w:rFonts w:ascii="Arial" w:hAnsi="Arial" w:cs="Arial"/>
                <w:sz w:val="18"/>
                <w:szCs w:val="18"/>
              </w:rPr>
            </w:pPr>
            <w:r w:rsidRPr="006A2781">
              <w:rPr>
                <w:rFonts w:ascii="Arial" w:hAnsi="Arial" w:cs="Arial"/>
                <w:sz w:val="18"/>
                <w:szCs w:val="18"/>
              </w:rPr>
              <w:t>No message is sent as the unit has not been released from assignment from the patient.</w:t>
            </w:r>
          </w:p>
        </w:tc>
      </w:tr>
    </w:tbl>
    <w:p w14:paraId="56BDD3DE" w14:textId="77777777" w:rsidR="008A701E" w:rsidRPr="00F20C8C" w:rsidRDefault="008A701E" w:rsidP="00F20C8C">
      <w:r w:rsidRPr="00F20C8C">
        <w:t>**Pooling of products that also require crossmatch is not currently possible.</w:t>
      </w:r>
    </w:p>
    <w:p w14:paraId="58E9E049" w14:textId="77777777" w:rsidR="000A52B2" w:rsidRDefault="008A701E" w:rsidP="000A52B2">
      <w:pPr>
        <w:pStyle w:val="Heading3"/>
      </w:pPr>
      <w:r>
        <w:br w:type="page"/>
      </w:r>
      <w:r w:rsidR="00966400">
        <w:rPr>
          <w:rFonts w:ascii="Geneva" w:hAnsi="Geneva"/>
          <w:vanish/>
        </w:rPr>
        <w:lastRenderedPageBreak/>
        <w:t xml:space="preserve"> </w:t>
      </w:r>
      <w:r w:rsidR="0038450D">
        <w:rPr>
          <w:rFonts w:ascii="Geneva" w:hAnsi="Geneva"/>
          <w:vanish/>
        </w:rPr>
        <w:t>T</w:t>
      </w:r>
      <w:r w:rsidR="00BC4A37">
        <w:rPr>
          <w:rFonts w:ascii="Geneva" w:hAnsi="Geneva"/>
          <w:vanish/>
        </w:rPr>
        <w:t>T</w:t>
      </w:r>
      <w:r w:rsidR="0038450D">
        <w:rPr>
          <w:rFonts w:ascii="Geneva" w:hAnsi="Geneva"/>
          <w:vanish/>
        </w:rPr>
        <w:t>_</w:t>
      </w:r>
      <w:r w:rsidR="00BC4A37">
        <w:rPr>
          <w:rFonts w:ascii="Geneva" w:hAnsi="Geneva"/>
          <w:vanish/>
        </w:rPr>
        <w:t>15.01</w:t>
      </w:r>
      <w:r w:rsidR="0038450D">
        <w:rPr>
          <w:rFonts w:ascii="Geneva" w:hAnsi="Geneva"/>
          <w:vanish/>
          <w:sz w:val="16"/>
        </w:rPr>
        <w:t xml:space="preserve"> </w:t>
      </w:r>
      <w:bookmarkStart w:id="760" w:name="_Toc203765987"/>
      <w:r w:rsidR="00BC4A37">
        <w:t>Workload Process to Use Case Mapping Table</w:t>
      </w:r>
      <w:bookmarkEnd w:id="760"/>
    </w:p>
    <w:p w14:paraId="02764372" w14:textId="3BAACCB1" w:rsidR="0038450D" w:rsidRDefault="000A52B2" w:rsidP="00176B14">
      <w:pPr>
        <w:pStyle w:val="Caption"/>
      </w:pPr>
      <w:r>
        <w:t xml:space="preserve">Table </w:t>
      </w:r>
      <w:r w:rsidR="00901D8F">
        <w:fldChar w:fldCharType="begin"/>
      </w:r>
      <w:r w:rsidR="00901D8F">
        <w:instrText xml:space="preserve"> SEQ Table \* ARABIC </w:instrText>
      </w:r>
      <w:r w:rsidR="00901D8F">
        <w:fldChar w:fldCharType="separate"/>
      </w:r>
      <w:r w:rsidR="007D1829">
        <w:rPr>
          <w:noProof/>
        </w:rPr>
        <w:t>25</w:t>
      </w:r>
      <w:r w:rsidR="00901D8F">
        <w:rPr>
          <w:noProof/>
        </w:rPr>
        <w:fldChar w:fldCharType="end"/>
      </w:r>
      <w:r>
        <w:t>: Workload Process to Use Case Mapping</w:t>
      </w:r>
      <w:r w:rsidR="00176B14">
        <w:t xml:space="preserve"> Table</w:t>
      </w:r>
    </w:p>
    <w:tbl>
      <w:tblPr>
        <w:tblW w:w="102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33"/>
        <w:gridCol w:w="1592"/>
        <w:gridCol w:w="1080"/>
        <w:gridCol w:w="900"/>
        <w:gridCol w:w="4950"/>
      </w:tblGrid>
      <w:tr w:rsidR="000305DD" w:rsidRPr="00F24972" w14:paraId="1B3348D1" w14:textId="77777777" w:rsidTr="00FA340F">
        <w:trPr>
          <w:cantSplit/>
          <w:tblHeader/>
        </w:trPr>
        <w:tc>
          <w:tcPr>
            <w:tcW w:w="10255" w:type="dxa"/>
            <w:gridSpan w:val="5"/>
            <w:shd w:val="clear" w:color="auto" w:fill="C0C0C0"/>
            <w:vAlign w:val="bottom"/>
          </w:tcPr>
          <w:p w14:paraId="0E061A80" w14:textId="77777777" w:rsidR="000305DD" w:rsidRPr="00F24972" w:rsidRDefault="000305DD" w:rsidP="000305DD">
            <w:pPr>
              <w:pStyle w:val="TableText"/>
              <w:jc w:val="center"/>
              <w:rPr>
                <w:rFonts w:cs="Arial"/>
                <w:b/>
              </w:rPr>
            </w:pPr>
            <w:r w:rsidRPr="00F24972">
              <w:rPr>
                <w:rFonts w:cs="Arial"/>
                <w:b/>
              </w:rPr>
              <w:t>Workload Process to Use Case Mapping Table</w:t>
            </w:r>
          </w:p>
        </w:tc>
      </w:tr>
      <w:tr w:rsidR="000305DD" w:rsidRPr="00F24972" w14:paraId="6D0E94B4" w14:textId="77777777" w:rsidTr="00FA340F">
        <w:trPr>
          <w:cantSplit/>
          <w:trHeight w:val="1296"/>
          <w:tblHeader/>
        </w:trPr>
        <w:tc>
          <w:tcPr>
            <w:tcW w:w="1733" w:type="dxa"/>
            <w:tcBorders>
              <w:bottom w:val="single" w:sz="4" w:space="0" w:color="auto"/>
            </w:tcBorders>
            <w:shd w:val="clear" w:color="auto" w:fill="C0C0C0"/>
            <w:vAlign w:val="bottom"/>
          </w:tcPr>
          <w:p w14:paraId="197D39C4" w14:textId="77777777" w:rsidR="000305DD" w:rsidRPr="00F24972" w:rsidRDefault="000305DD" w:rsidP="000305DD">
            <w:pPr>
              <w:pStyle w:val="TableText"/>
              <w:rPr>
                <w:rFonts w:cs="Arial"/>
                <w:b/>
              </w:rPr>
            </w:pPr>
            <w:r w:rsidRPr="00F24972">
              <w:rPr>
                <w:rFonts w:cs="Arial"/>
                <w:b/>
              </w:rPr>
              <w:t xml:space="preserve">VBECS Process </w:t>
            </w:r>
          </w:p>
        </w:tc>
        <w:tc>
          <w:tcPr>
            <w:tcW w:w="1592" w:type="dxa"/>
            <w:tcBorders>
              <w:bottom w:val="single" w:sz="4" w:space="0" w:color="auto"/>
            </w:tcBorders>
            <w:shd w:val="clear" w:color="auto" w:fill="C0C0C0"/>
            <w:vAlign w:val="bottom"/>
          </w:tcPr>
          <w:p w14:paraId="741DE4C0" w14:textId="77777777" w:rsidR="000305DD" w:rsidRPr="00F24972" w:rsidRDefault="000305DD" w:rsidP="000305DD">
            <w:pPr>
              <w:pStyle w:val="TableText"/>
              <w:rPr>
                <w:rFonts w:cs="Arial"/>
                <w:b/>
              </w:rPr>
            </w:pPr>
            <w:r w:rsidRPr="00F24972">
              <w:rPr>
                <w:rFonts w:cs="Arial"/>
                <w:b/>
              </w:rPr>
              <w:t>Record Saved in This Use Case</w:t>
            </w:r>
          </w:p>
        </w:tc>
        <w:tc>
          <w:tcPr>
            <w:tcW w:w="1080" w:type="dxa"/>
            <w:tcBorders>
              <w:bottom w:val="single" w:sz="4" w:space="0" w:color="auto"/>
            </w:tcBorders>
            <w:shd w:val="clear" w:color="auto" w:fill="C0C0C0"/>
            <w:vAlign w:val="bottom"/>
          </w:tcPr>
          <w:p w14:paraId="39DD7DB4" w14:textId="77777777" w:rsidR="000305DD" w:rsidRPr="00F24972" w:rsidRDefault="000305DD" w:rsidP="000305DD">
            <w:pPr>
              <w:pStyle w:val="TableText"/>
              <w:rPr>
                <w:rFonts w:cs="Arial"/>
                <w:b/>
              </w:rPr>
            </w:pPr>
            <w:r w:rsidRPr="00F24972">
              <w:rPr>
                <w:rFonts w:cs="Arial"/>
                <w:b/>
              </w:rPr>
              <w:t>Positive or Negative Workload Accrued</w:t>
            </w:r>
          </w:p>
        </w:tc>
        <w:tc>
          <w:tcPr>
            <w:tcW w:w="900" w:type="dxa"/>
            <w:tcBorders>
              <w:bottom w:val="single" w:sz="4" w:space="0" w:color="auto"/>
            </w:tcBorders>
            <w:shd w:val="clear" w:color="auto" w:fill="C0C0C0"/>
            <w:textDirection w:val="btLr"/>
            <w:vAlign w:val="bottom"/>
          </w:tcPr>
          <w:p w14:paraId="012C4839" w14:textId="77777777" w:rsidR="000305DD" w:rsidRPr="00F24972" w:rsidRDefault="000305DD" w:rsidP="000305DD">
            <w:pPr>
              <w:pStyle w:val="TableText"/>
              <w:ind w:left="113" w:right="113"/>
              <w:rPr>
                <w:rFonts w:cs="Arial"/>
                <w:b/>
              </w:rPr>
            </w:pPr>
            <w:r w:rsidRPr="00F24972">
              <w:rPr>
                <w:rFonts w:cs="Arial"/>
                <w:b/>
              </w:rPr>
              <w:t>Transaction Type*</w:t>
            </w:r>
          </w:p>
        </w:tc>
        <w:tc>
          <w:tcPr>
            <w:tcW w:w="4950" w:type="dxa"/>
            <w:tcBorders>
              <w:bottom w:val="single" w:sz="4" w:space="0" w:color="auto"/>
            </w:tcBorders>
            <w:shd w:val="clear" w:color="auto" w:fill="C0C0C0"/>
            <w:vAlign w:val="bottom"/>
          </w:tcPr>
          <w:p w14:paraId="1ADB606A" w14:textId="77777777" w:rsidR="000305DD" w:rsidRPr="00F24972" w:rsidRDefault="000305DD" w:rsidP="000305DD">
            <w:pPr>
              <w:pStyle w:val="TableText"/>
              <w:rPr>
                <w:rFonts w:cs="Arial"/>
                <w:b/>
              </w:rPr>
            </w:pPr>
            <w:r w:rsidRPr="00F24972">
              <w:rPr>
                <w:rFonts w:cs="Arial"/>
                <w:b/>
              </w:rPr>
              <w:t xml:space="preserve">Explanation </w:t>
            </w:r>
          </w:p>
        </w:tc>
      </w:tr>
      <w:tr w:rsidR="000305DD" w:rsidRPr="00F24972" w14:paraId="44C7EAB6" w14:textId="77777777" w:rsidTr="00FA340F">
        <w:trPr>
          <w:cantSplit/>
        </w:trPr>
        <w:tc>
          <w:tcPr>
            <w:tcW w:w="1733" w:type="dxa"/>
            <w:vMerge w:val="restart"/>
          </w:tcPr>
          <w:p w14:paraId="636BACB2" w14:textId="77777777" w:rsidR="000305DD" w:rsidRPr="00F24972" w:rsidRDefault="000305DD" w:rsidP="000305DD">
            <w:pPr>
              <w:pStyle w:val="TableText"/>
              <w:rPr>
                <w:rFonts w:cs="Arial"/>
              </w:rPr>
            </w:pPr>
            <w:r w:rsidRPr="00F24972">
              <w:rPr>
                <w:rFonts w:cs="Arial"/>
              </w:rPr>
              <w:t>ABO Forward and reverse typing (patient)</w:t>
            </w:r>
          </w:p>
          <w:p w14:paraId="34CD0F18" w14:textId="77777777" w:rsidR="000305DD" w:rsidRPr="00F24972" w:rsidRDefault="000305DD" w:rsidP="000305DD">
            <w:pPr>
              <w:pStyle w:val="TableText"/>
              <w:rPr>
                <w:rFonts w:cs="Arial"/>
              </w:rPr>
            </w:pPr>
          </w:p>
        </w:tc>
        <w:tc>
          <w:tcPr>
            <w:tcW w:w="1592" w:type="dxa"/>
          </w:tcPr>
          <w:p w14:paraId="39C8CACF" w14:textId="77777777" w:rsidR="000305DD" w:rsidRPr="00F24972" w:rsidRDefault="000305DD" w:rsidP="000305DD">
            <w:pPr>
              <w:pStyle w:val="TableText"/>
              <w:rPr>
                <w:rFonts w:cs="Arial"/>
              </w:rPr>
            </w:pPr>
            <w:r>
              <w:rPr>
                <w:rFonts w:cs="Arial"/>
              </w:rPr>
              <w:t>Transfusion Reaction Workup</w:t>
            </w:r>
          </w:p>
        </w:tc>
        <w:tc>
          <w:tcPr>
            <w:tcW w:w="1080" w:type="dxa"/>
          </w:tcPr>
          <w:p w14:paraId="67193ECA" w14:textId="77777777" w:rsidR="000305DD" w:rsidRPr="00F24972" w:rsidRDefault="000305DD" w:rsidP="000305DD">
            <w:pPr>
              <w:pStyle w:val="TableText"/>
              <w:rPr>
                <w:rFonts w:cs="Arial"/>
              </w:rPr>
            </w:pPr>
            <w:r w:rsidRPr="00F24972">
              <w:rPr>
                <w:rFonts w:cs="Arial"/>
              </w:rPr>
              <w:t>Positive</w:t>
            </w:r>
          </w:p>
        </w:tc>
        <w:tc>
          <w:tcPr>
            <w:tcW w:w="900" w:type="dxa"/>
          </w:tcPr>
          <w:p w14:paraId="4E8AB22F" w14:textId="77777777" w:rsidR="000305DD" w:rsidRPr="00F24972" w:rsidRDefault="000305DD" w:rsidP="000305DD">
            <w:pPr>
              <w:pStyle w:val="TableText"/>
              <w:jc w:val="center"/>
              <w:rPr>
                <w:rFonts w:cs="Arial"/>
              </w:rPr>
            </w:pPr>
            <w:r w:rsidRPr="00F24972">
              <w:rPr>
                <w:rFonts w:cs="Arial"/>
              </w:rPr>
              <w:t>P</w:t>
            </w:r>
          </w:p>
        </w:tc>
        <w:tc>
          <w:tcPr>
            <w:tcW w:w="4950" w:type="dxa"/>
          </w:tcPr>
          <w:p w14:paraId="39E29702" w14:textId="77777777" w:rsidR="000305DD" w:rsidRPr="00F24972" w:rsidRDefault="000305DD" w:rsidP="000305DD">
            <w:pPr>
              <w:pStyle w:val="TableText"/>
              <w:rPr>
                <w:rFonts w:cs="Arial"/>
              </w:rPr>
            </w:pPr>
            <w:r w:rsidRPr="00F24972">
              <w:rPr>
                <w:rFonts w:cs="Arial"/>
              </w:rPr>
              <w:t>An ABO/Rh test for pre or post is enabled and a valid interpretation other than Not Tested is selected. A workload event is accrued separately for Pre and Post entries.</w:t>
            </w:r>
          </w:p>
        </w:tc>
      </w:tr>
      <w:tr w:rsidR="000305DD" w:rsidRPr="00F24972" w14:paraId="4AA9E7A0" w14:textId="77777777" w:rsidTr="00FA340F">
        <w:trPr>
          <w:cantSplit/>
        </w:trPr>
        <w:tc>
          <w:tcPr>
            <w:tcW w:w="1733" w:type="dxa"/>
            <w:vMerge/>
          </w:tcPr>
          <w:p w14:paraId="448430CB" w14:textId="77777777" w:rsidR="000305DD" w:rsidRPr="00F24972" w:rsidRDefault="000305DD" w:rsidP="000305DD">
            <w:pPr>
              <w:pStyle w:val="TableText"/>
              <w:rPr>
                <w:rFonts w:cs="Arial"/>
              </w:rPr>
            </w:pPr>
          </w:p>
        </w:tc>
        <w:tc>
          <w:tcPr>
            <w:tcW w:w="1592" w:type="dxa"/>
            <w:tcBorders>
              <w:top w:val="single" w:sz="4" w:space="0" w:color="auto"/>
              <w:left w:val="single" w:sz="4" w:space="0" w:color="auto"/>
              <w:bottom w:val="single" w:sz="4" w:space="0" w:color="auto"/>
            </w:tcBorders>
          </w:tcPr>
          <w:p w14:paraId="17E5FD97" w14:textId="00429A16" w:rsidR="000305DD" w:rsidRPr="00F24972" w:rsidRDefault="00B706FC" w:rsidP="000305DD">
            <w:pPr>
              <w:pStyle w:val="TableText"/>
              <w:rPr>
                <w:rFonts w:cs="Arial"/>
              </w:rPr>
            </w:pPr>
            <w:r>
              <w:rPr>
                <w:rFonts w:cs="Arial"/>
              </w:rPr>
              <w:t>Re</w:t>
            </w:r>
            <w:r w:rsidR="00290E85">
              <w:rPr>
                <w:rFonts w:cs="Arial"/>
              </w:rPr>
              <w:t xml:space="preserve">cord </w:t>
            </w:r>
            <w:r w:rsidR="00ED1CAF">
              <w:rPr>
                <w:rFonts w:cs="Arial"/>
              </w:rPr>
              <w:t xml:space="preserve">Testing: </w:t>
            </w:r>
            <w:r w:rsidR="00290E85">
              <w:rPr>
                <w:rFonts w:cs="Arial"/>
              </w:rPr>
              <w:t>Patient ABO</w:t>
            </w:r>
            <w:r w:rsidR="00CA7BEC">
              <w:rPr>
                <w:rFonts w:cs="Arial"/>
              </w:rPr>
              <w:t>-Rh</w:t>
            </w:r>
          </w:p>
        </w:tc>
        <w:tc>
          <w:tcPr>
            <w:tcW w:w="1080" w:type="dxa"/>
            <w:tcBorders>
              <w:top w:val="single" w:sz="4" w:space="0" w:color="auto"/>
              <w:bottom w:val="single" w:sz="4" w:space="0" w:color="auto"/>
              <w:right w:val="single" w:sz="4" w:space="0" w:color="auto"/>
            </w:tcBorders>
          </w:tcPr>
          <w:p w14:paraId="6D3E5588" w14:textId="77777777" w:rsidR="000305DD" w:rsidRPr="00F24972" w:rsidRDefault="000305DD" w:rsidP="000305DD">
            <w:pPr>
              <w:pStyle w:val="TableText"/>
              <w:rPr>
                <w:rFonts w:cs="Arial"/>
              </w:rPr>
            </w:pPr>
            <w:r w:rsidRPr="00F24972">
              <w:rPr>
                <w:rFonts w:cs="Arial"/>
              </w:rPr>
              <w:t>Positive</w:t>
            </w:r>
          </w:p>
        </w:tc>
        <w:tc>
          <w:tcPr>
            <w:tcW w:w="900" w:type="dxa"/>
            <w:tcBorders>
              <w:top w:val="single" w:sz="4" w:space="0" w:color="auto"/>
              <w:left w:val="single" w:sz="4" w:space="0" w:color="auto"/>
              <w:bottom w:val="single" w:sz="4" w:space="0" w:color="auto"/>
              <w:right w:val="single" w:sz="4" w:space="0" w:color="auto"/>
            </w:tcBorders>
          </w:tcPr>
          <w:p w14:paraId="0B642DC8" w14:textId="77777777" w:rsidR="000305DD" w:rsidRPr="00F24972" w:rsidRDefault="000305DD" w:rsidP="000305DD">
            <w:pPr>
              <w:pStyle w:val="TableText"/>
              <w:jc w:val="center"/>
              <w:rPr>
                <w:rFonts w:cs="Arial"/>
              </w:rPr>
            </w:pPr>
            <w:r w:rsidRPr="00F24972">
              <w:rPr>
                <w:rFonts w:cs="Arial"/>
              </w:rPr>
              <w:t>P</w:t>
            </w:r>
          </w:p>
        </w:tc>
        <w:tc>
          <w:tcPr>
            <w:tcW w:w="4950" w:type="dxa"/>
            <w:tcBorders>
              <w:top w:val="single" w:sz="4" w:space="0" w:color="auto"/>
              <w:left w:val="single" w:sz="4" w:space="0" w:color="auto"/>
              <w:bottom w:val="single" w:sz="4" w:space="0" w:color="auto"/>
              <w:right w:val="single" w:sz="4" w:space="0" w:color="auto"/>
            </w:tcBorders>
          </w:tcPr>
          <w:p w14:paraId="1D3D1060" w14:textId="77777777" w:rsidR="000305DD" w:rsidRPr="00F24972" w:rsidRDefault="0045199E" w:rsidP="000305DD">
            <w:pPr>
              <w:pStyle w:val="TableText"/>
              <w:rPr>
                <w:rFonts w:cs="Arial"/>
              </w:rPr>
            </w:pPr>
            <w:r w:rsidRPr="00F24972">
              <w:rPr>
                <w:rFonts w:cs="Arial"/>
              </w:rPr>
              <w:t>Accrue workload when an ABO/Rh test performed from the ordered test ABO/Rh only (</w:t>
            </w:r>
            <w:r>
              <w:rPr>
                <w:rFonts w:cs="Arial"/>
              </w:rPr>
              <w:t>Record Patient ABO-Rh</w:t>
            </w:r>
            <w:r w:rsidRPr="00F24972">
              <w:rPr>
                <w:rFonts w:cs="Arial"/>
              </w:rPr>
              <w:t xml:space="preserve"> is completed and saved</w:t>
            </w:r>
            <w:r>
              <w:rPr>
                <w:rFonts w:cs="Arial"/>
              </w:rPr>
              <w:t xml:space="preserve"> </w:t>
            </w:r>
            <w:r w:rsidRPr="00F24972">
              <w:rPr>
                <w:rFonts w:cs="Arial"/>
              </w:rPr>
              <w:t xml:space="preserve">by </w:t>
            </w:r>
            <w:r>
              <w:rPr>
                <w:rFonts w:cs="Arial"/>
              </w:rPr>
              <w:t>Record Testing).</w:t>
            </w:r>
          </w:p>
        </w:tc>
      </w:tr>
      <w:tr w:rsidR="000305DD" w:rsidRPr="00F24972" w14:paraId="194F0A12" w14:textId="77777777" w:rsidTr="00FA340F">
        <w:trPr>
          <w:cantSplit/>
        </w:trPr>
        <w:tc>
          <w:tcPr>
            <w:tcW w:w="1733" w:type="dxa"/>
            <w:vMerge/>
            <w:tcBorders>
              <w:bottom w:val="single" w:sz="4" w:space="0" w:color="auto"/>
            </w:tcBorders>
          </w:tcPr>
          <w:p w14:paraId="7327BA2A" w14:textId="77777777" w:rsidR="000305DD" w:rsidRPr="00F24972" w:rsidRDefault="000305DD" w:rsidP="000305DD">
            <w:pPr>
              <w:pStyle w:val="TableText"/>
              <w:rPr>
                <w:rFonts w:cs="Arial"/>
              </w:rPr>
            </w:pPr>
          </w:p>
        </w:tc>
        <w:tc>
          <w:tcPr>
            <w:tcW w:w="1592" w:type="dxa"/>
            <w:tcBorders>
              <w:top w:val="single" w:sz="4" w:space="0" w:color="auto"/>
              <w:left w:val="single" w:sz="4" w:space="0" w:color="auto"/>
              <w:bottom w:val="single" w:sz="4" w:space="0" w:color="auto"/>
            </w:tcBorders>
          </w:tcPr>
          <w:p w14:paraId="561DE3AE" w14:textId="77777777" w:rsidR="000305DD" w:rsidRPr="00F24972" w:rsidRDefault="000305DD" w:rsidP="000305DD">
            <w:pPr>
              <w:pStyle w:val="TableText"/>
              <w:rPr>
                <w:rFonts w:cs="Arial"/>
              </w:rPr>
            </w:pPr>
            <w:r>
              <w:rPr>
                <w:rFonts w:cs="Arial"/>
              </w:rPr>
              <w:t>Invalidate Patient Testing: Patient ABO/Rh</w:t>
            </w:r>
          </w:p>
        </w:tc>
        <w:tc>
          <w:tcPr>
            <w:tcW w:w="1080" w:type="dxa"/>
            <w:tcBorders>
              <w:top w:val="single" w:sz="4" w:space="0" w:color="auto"/>
              <w:bottom w:val="single" w:sz="4" w:space="0" w:color="auto"/>
              <w:right w:val="single" w:sz="4" w:space="0" w:color="auto"/>
            </w:tcBorders>
          </w:tcPr>
          <w:p w14:paraId="53B45EF4" w14:textId="77777777" w:rsidR="000305DD" w:rsidRPr="00F24972" w:rsidRDefault="000305DD" w:rsidP="000305DD">
            <w:pPr>
              <w:pStyle w:val="TableText"/>
              <w:rPr>
                <w:rFonts w:cs="Arial"/>
                <w:b/>
              </w:rPr>
            </w:pPr>
            <w:r w:rsidRPr="00F24972">
              <w:rPr>
                <w:rFonts w:cs="Arial"/>
                <w:b/>
              </w:rPr>
              <w:t>Negative</w:t>
            </w:r>
          </w:p>
        </w:tc>
        <w:tc>
          <w:tcPr>
            <w:tcW w:w="900" w:type="dxa"/>
            <w:tcBorders>
              <w:top w:val="single" w:sz="4" w:space="0" w:color="auto"/>
              <w:left w:val="single" w:sz="4" w:space="0" w:color="auto"/>
              <w:bottom w:val="single" w:sz="4" w:space="0" w:color="auto"/>
              <w:right w:val="single" w:sz="4" w:space="0" w:color="auto"/>
            </w:tcBorders>
          </w:tcPr>
          <w:p w14:paraId="49ABA130" w14:textId="77777777" w:rsidR="000305DD" w:rsidRPr="00F24972" w:rsidRDefault="000305DD" w:rsidP="000305DD">
            <w:pPr>
              <w:pStyle w:val="TableText"/>
              <w:jc w:val="center"/>
              <w:rPr>
                <w:rFonts w:cs="Arial"/>
              </w:rPr>
            </w:pPr>
            <w:r w:rsidRPr="00F24972">
              <w:rPr>
                <w:rFonts w:cs="Arial"/>
              </w:rPr>
              <w:t>P</w:t>
            </w:r>
          </w:p>
        </w:tc>
        <w:tc>
          <w:tcPr>
            <w:tcW w:w="4950" w:type="dxa"/>
            <w:tcBorders>
              <w:top w:val="single" w:sz="4" w:space="0" w:color="auto"/>
              <w:left w:val="single" w:sz="4" w:space="0" w:color="auto"/>
              <w:bottom w:val="single" w:sz="4" w:space="0" w:color="auto"/>
              <w:right w:val="single" w:sz="4" w:space="0" w:color="auto"/>
            </w:tcBorders>
          </w:tcPr>
          <w:p w14:paraId="58539384" w14:textId="77777777" w:rsidR="000305DD" w:rsidRPr="00F24972" w:rsidRDefault="000305DD" w:rsidP="000305DD">
            <w:pPr>
              <w:pStyle w:val="TableText"/>
              <w:rPr>
                <w:rFonts w:cs="Arial"/>
              </w:rPr>
            </w:pPr>
            <w:r w:rsidRPr="00F24972">
              <w:rPr>
                <w:rFonts w:cs="Arial"/>
              </w:rPr>
              <w:t>Accrue workload when a completed ABO/Rh test is invalidated.</w:t>
            </w:r>
          </w:p>
        </w:tc>
      </w:tr>
      <w:tr w:rsidR="000305DD" w:rsidRPr="00F24972" w14:paraId="047FBBE2" w14:textId="77777777" w:rsidTr="00FA340F">
        <w:trPr>
          <w:cantSplit/>
        </w:trPr>
        <w:tc>
          <w:tcPr>
            <w:tcW w:w="1733" w:type="dxa"/>
            <w:vMerge w:val="restart"/>
            <w:tcBorders>
              <w:top w:val="single" w:sz="4" w:space="0" w:color="auto"/>
              <w:left w:val="single" w:sz="4" w:space="0" w:color="auto"/>
              <w:right w:val="single" w:sz="4" w:space="0" w:color="auto"/>
            </w:tcBorders>
          </w:tcPr>
          <w:p w14:paraId="08420339" w14:textId="77777777" w:rsidR="000305DD" w:rsidRPr="00F24972" w:rsidRDefault="000305DD" w:rsidP="000305DD">
            <w:pPr>
              <w:pStyle w:val="TableText"/>
              <w:rPr>
                <w:rFonts w:cs="Arial"/>
              </w:rPr>
            </w:pPr>
            <w:r w:rsidRPr="00F24972">
              <w:rPr>
                <w:rFonts w:cs="Arial"/>
              </w:rPr>
              <w:t>ABO Forward and reverse typing (patient) Repeat Test</w:t>
            </w:r>
          </w:p>
          <w:p w14:paraId="67825B66" w14:textId="77777777" w:rsidR="000305DD" w:rsidRPr="00F24972" w:rsidRDefault="000305DD" w:rsidP="000305DD">
            <w:pPr>
              <w:pStyle w:val="TableText"/>
              <w:rPr>
                <w:rFonts w:cs="Arial"/>
              </w:rPr>
            </w:pPr>
          </w:p>
        </w:tc>
        <w:tc>
          <w:tcPr>
            <w:tcW w:w="1592" w:type="dxa"/>
            <w:tcBorders>
              <w:top w:val="single" w:sz="4" w:space="0" w:color="auto"/>
              <w:left w:val="single" w:sz="4" w:space="0" w:color="auto"/>
              <w:bottom w:val="single" w:sz="4" w:space="0" w:color="auto"/>
              <w:right w:val="single" w:sz="4" w:space="0" w:color="auto"/>
            </w:tcBorders>
          </w:tcPr>
          <w:p w14:paraId="0EF95304" w14:textId="6F8EFB32" w:rsidR="000305DD" w:rsidRPr="00F24972" w:rsidRDefault="001E7236" w:rsidP="000305DD">
            <w:pPr>
              <w:pStyle w:val="TableText"/>
              <w:rPr>
                <w:rFonts w:cs="Arial"/>
              </w:rPr>
            </w:pPr>
            <w:r>
              <w:rPr>
                <w:rFonts w:cs="Arial"/>
              </w:rPr>
              <w:t>Record</w:t>
            </w:r>
            <w:r w:rsidR="00ED1CAF">
              <w:rPr>
                <w:rFonts w:cs="Arial"/>
              </w:rPr>
              <w:t xml:space="preserve"> Testing:</w:t>
            </w:r>
            <w:r w:rsidR="000305DD">
              <w:rPr>
                <w:rFonts w:cs="Arial"/>
              </w:rPr>
              <w:t xml:space="preserve"> </w:t>
            </w:r>
            <w:r w:rsidR="00494165">
              <w:rPr>
                <w:rFonts w:cs="Arial"/>
              </w:rPr>
              <w:t>Patient ABO-Rh</w:t>
            </w:r>
          </w:p>
          <w:p w14:paraId="0DF276B4" w14:textId="77777777" w:rsidR="000305DD" w:rsidRPr="00F24972" w:rsidRDefault="000305DD" w:rsidP="000305DD">
            <w:pPr>
              <w:pStyle w:val="TableText"/>
              <w:rPr>
                <w:rFonts w:cs="Arial"/>
              </w:rPr>
            </w:pPr>
          </w:p>
        </w:tc>
        <w:tc>
          <w:tcPr>
            <w:tcW w:w="1080" w:type="dxa"/>
            <w:tcBorders>
              <w:top w:val="single" w:sz="4" w:space="0" w:color="auto"/>
              <w:left w:val="single" w:sz="4" w:space="0" w:color="auto"/>
              <w:bottom w:val="single" w:sz="4" w:space="0" w:color="auto"/>
              <w:right w:val="single" w:sz="4" w:space="0" w:color="auto"/>
            </w:tcBorders>
          </w:tcPr>
          <w:p w14:paraId="29C09E59" w14:textId="77777777" w:rsidR="000305DD" w:rsidRPr="00F24972" w:rsidRDefault="000305DD" w:rsidP="000305DD">
            <w:pPr>
              <w:pStyle w:val="TableText"/>
              <w:rPr>
                <w:rFonts w:cs="Arial"/>
              </w:rPr>
            </w:pPr>
            <w:r w:rsidRPr="00F24972">
              <w:rPr>
                <w:rFonts w:cs="Arial"/>
              </w:rPr>
              <w:t>Positive</w:t>
            </w:r>
          </w:p>
        </w:tc>
        <w:tc>
          <w:tcPr>
            <w:tcW w:w="900" w:type="dxa"/>
            <w:tcBorders>
              <w:top w:val="single" w:sz="4" w:space="0" w:color="auto"/>
              <w:left w:val="single" w:sz="4" w:space="0" w:color="auto"/>
              <w:bottom w:val="single" w:sz="4" w:space="0" w:color="auto"/>
              <w:right w:val="single" w:sz="4" w:space="0" w:color="auto"/>
            </w:tcBorders>
          </w:tcPr>
          <w:p w14:paraId="5D8796B2" w14:textId="77777777" w:rsidR="000305DD" w:rsidRPr="00F24972" w:rsidRDefault="000305DD" w:rsidP="000305DD">
            <w:pPr>
              <w:pStyle w:val="TableText"/>
              <w:jc w:val="center"/>
              <w:rPr>
                <w:rFonts w:cs="Arial"/>
              </w:rPr>
            </w:pPr>
            <w:r w:rsidRPr="00F24972">
              <w:rPr>
                <w:rFonts w:cs="Arial"/>
              </w:rPr>
              <w:t>M</w:t>
            </w:r>
          </w:p>
        </w:tc>
        <w:tc>
          <w:tcPr>
            <w:tcW w:w="4950" w:type="dxa"/>
            <w:tcBorders>
              <w:top w:val="single" w:sz="4" w:space="0" w:color="auto"/>
              <w:left w:val="single" w:sz="4" w:space="0" w:color="auto"/>
              <w:bottom w:val="single" w:sz="4" w:space="0" w:color="auto"/>
              <w:right w:val="single" w:sz="4" w:space="0" w:color="auto"/>
            </w:tcBorders>
          </w:tcPr>
          <w:p w14:paraId="35AD06C0" w14:textId="3E6A3D16" w:rsidR="000305DD" w:rsidRPr="00F24972" w:rsidRDefault="000305DD" w:rsidP="000305DD">
            <w:pPr>
              <w:pStyle w:val="TableText"/>
              <w:rPr>
                <w:rFonts w:cs="Arial"/>
              </w:rPr>
            </w:pPr>
            <w:r w:rsidRPr="00F24972">
              <w:rPr>
                <w:rFonts w:cs="Arial"/>
              </w:rPr>
              <w:t xml:space="preserve">Accrue workload when a reflex or repeat ABO/Rh test is performed, completed and saved via </w:t>
            </w:r>
            <w:r>
              <w:rPr>
                <w:rFonts w:cs="Arial"/>
              </w:rPr>
              <w:t xml:space="preserve">Record </w:t>
            </w:r>
            <w:r w:rsidR="00A25B6B">
              <w:rPr>
                <w:rFonts w:cs="Arial"/>
              </w:rPr>
              <w:t>Patient ABO-Rh</w:t>
            </w:r>
            <w:r w:rsidRPr="00F24972">
              <w:rPr>
                <w:rFonts w:cs="Arial"/>
              </w:rPr>
              <w:t>.</w:t>
            </w:r>
            <w:r w:rsidR="00ED1CAF">
              <w:rPr>
                <w:rFonts w:cs="Arial"/>
              </w:rPr>
              <w:t xml:space="preserve"> (Record Patient ABO-Rh is completed and saved by Record Testing).</w:t>
            </w:r>
          </w:p>
          <w:p w14:paraId="49E8D6A8" w14:textId="77777777" w:rsidR="000305DD" w:rsidRPr="00F24972" w:rsidRDefault="000305DD" w:rsidP="000305DD">
            <w:pPr>
              <w:pStyle w:val="TableText"/>
              <w:rPr>
                <w:rFonts w:cs="Arial"/>
              </w:rPr>
            </w:pPr>
            <w:r w:rsidRPr="00F24972">
              <w:rPr>
                <w:rFonts w:cs="Arial"/>
              </w:rPr>
              <w:t xml:space="preserve">Note: ABO/Rh ordered in </w:t>
            </w:r>
            <w:r>
              <w:rPr>
                <w:rFonts w:cs="Arial"/>
              </w:rPr>
              <w:t>Order Reflex Test</w:t>
            </w:r>
            <w:r w:rsidRPr="00F24972">
              <w:rPr>
                <w:rFonts w:cs="Arial"/>
              </w:rPr>
              <w:t xml:space="preserve"> from main menu or via use of </w:t>
            </w:r>
            <w:r>
              <w:rPr>
                <w:rFonts w:cs="Arial"/>
              </w:rPr>
              <w:t xml:space="preserve">Order Reflex Test </w:t>
            </w:r>
            <w:r w:rsidRPr="00F24972">
              <w:rPr>
                <w:rFonts w:cs="Arial"/>
              </w:rPr>
              <w:t xml:space="preserve">from </w:t>
            </w:r>
            <w:r>
              <w:rPr>
                <w:rFonts w:cs="Arial"/>
              </w:rPr>
              <w:t>Record Testing</w:t>
            </w:r>
          </w:p>
        </w:tc>
      </w:tr>
      <w:tr w:rsidR="000305DD" w:rsidRPr="00F24972" w14:paraId="36635F7D" w14:textId="77777777" w:rsidTr="00FA340F">
        <w:trPr>
          <w:cantSplit/>
        </w:trPr>
        <w:tc>
          <w:tcPr>
            <w:tcW w:w="1733" w:type="dxa"/>
            <w:vMerge/>
            <w:tcBorders>
              <w:left w:val="single" w:sz="4" w:space="0" w:color="auto"/>
              <w:bottom w:val="single" w:sz="4" w:space="0" w:color="auto"/>
              <w:right w:val="single" w:sz="4" w:space="0" w:color="auto"/>
            </w:tcBorders>
          </w:tcPr>
          <w:p w14:paraId="33578034" w14:textId="77777777" w:rsidR="000305DD" w:rsidRPr="00F24972" w:rsidRDefault="000305DD" w:rsidP="000305DD">
            <w:pPr>
              <w:pStyle w:val="TableText"/>
              <w:rPr>
                <w:rFonts w:cs="Arial"/>
              </w:rPr>
            </w:pPr>
          </w:p>
        </w:tc>
        <w:tc>
          <w:tcPr>
            <w:tcW w:w="1592" w:type="dxa"/>
            <w:tcBorders>
              <w:top w:val="single" w:sz="4" w:space="0" w:color="auto"/>
              <w:left w:val="single" w:sz="4" w:space="0" w:color="auto"/>
              <w:bottom w:val="single" w:sz="4" w:space="0" w:color="auto"/>
              <w:right w:val="single" w:sz="4" w:space="0" w:color="auto"/>
            </w:tcBorders>
          </w:tcPr>
          <w:p w14:paraId="3EDE2016" w14:textId="77777777" w:rsidR="000305DD" w:rsidRPr="00F24972" w:rsidRDefault="000305DD" w:rsidP="000305DD">
            <w:pPr>
              <w:pStyle w:val="TableText"/>
              <w:rPr>
                <w:rFonts w:cs="Arial"/>
              </w:rPr>
            </w:pPr>
            <w:r>
              <w:rPr>
                <w:rFonts w:cs="Arial"/>
              </w:rPr>
              <w:t>Invalidate Patient Testing: Patient ABO/Rh</w:t>
            </w:r>
          </w:p>
        </w:tc>
        <w:tc>
          <w:tcPr>
            <w:tcW w:w="1080" w:type="dxa"/>
            <w:tcBorders>
              <w:top w:val="single" w:sz="4" w:space="0" w:color="auto"/>
              <w:left w:val="single" w:sz="4" w:space="0" w:color="auto"/>
              <w:bottom w:val="single" w:sz="4" w:space="0" w:color="auto"/>
              <w:right w:val="single" w:sz="4" w:space="0" w:color="auto"/>
            </w:tcBorders>
          </w:tcPr>
          <w:p w14:paraId="6A81B39F" w14:textId="77777777" w:rsidR="000305DD" w:rsidRPr="00F24972" w:rsidRDefault="000305DD" w:rsidP="000305DD">
            <w:pPr>
              <w:rPr>
                <w:rFonts w:ascii="Arial" w:hAnsi="Arial" w:cs="Arial"/>
                <w:b/>
                <w:sz w:val="18"/>
                <w:szCs w:val="18"/>
              </w:rPr>
            </w:pPr>
            <w:r w:rsidRPr="00F24972">
              <w:rPr>
                <w:rFonts w:ascii="Arial" w:hAnsi="Arial" w:cs="Arial"/>
                <w:b/>
                <w:sz w:val="18"/>
                <w:szCs w:val="18"/>
              </w:rPr>
              <w:t>Negative</w:t>
            </w:r>
          </w:p>
        </w:tc>
        <w:tc>
          <w:tcPr>
            <w:tcW w:w="900" w:type="dxa"/>
            <w:tcBorders>
              <w:top w:val="single" w:sz="4" w:space="0" w:color="auto"/>
              <w:left w:val="single" w:sz="4" w:space="0" w:color="auto"/>
              <w:bottom w:val="single" w:sz="4" w:space="0" w:color="auto"/>
              <w:right w:val="single" w:sz="4" w:space="0" w:color="auto"/>
            </w:tcBorders>
          </w:tcPr>
          <w:p w14:paraId="0CD4CD7B" w14:textId="77777777" w:rsidR="000305DD" w:rsidRPr="00F24972" w:rsidRDefault="000305DD" w:rsidP="000305DD">
            <w:pPr>
              <w:pStyle w:val="TableText"/>
              <w:jc w:val="center"/>
              <w:rPr>
                <w:rFonts w:cs="Arial"/>
              </w:rPr>
            </w:pPr>
            <w:r w:rsidRPr="00F24972">
              <w:rPr>
                <w:rFonts w:cs="Arial"/>
              </w:rPr>
              <w:t>M</w:t>
            </w:r>
          </w:p>
        </w:tc>
        <w:tc>
          <w:tcPr>
            <w:tcW w:w="4950" w:type="dxa"/>
            <w:tcBorders>
              <w:top w:val="single" w:sz="4" w:space="0" w:color="auto"/>
              <w:left w:val="single" w:sz="4" w:space="0" w:color="auto"/>
              <w:bottom w:val="single" w:sz="4" w:space="0" w:color="auto"/>
              <w:right w:val="single" w:sz="4" w:space="0" w:color="auto"/>
            </w:tcBorders>
          </w:tcPr>
          <w:p w14:paraId="5ADB9EAE" w14:textId="77777777" w:rsidR="000305DD" w:rsidRPr="00F24972" w:rsidRDefault="000305DD" w:rsidP="000305DD">
            <w:pPr>
              <w:pStyle w:val="TableText"/>
              <w:rPr>
                <w:rFonts w:cs="Arial"/>
              </w:rPr>
            </w:pPr>
            <w:r w:rsidRPr="00F24972">
              <w:rPr>
                <w:rFonts w:cs="Arial"/>
              </w:rPr>
              <w:t>Accrue workload when a reflex or repeat ABO/Rh test is invalidated.</w:t>
            </w:r>
          </w:p>
        </w:tc>
      </w:tr>
      <w:tr w:rsidR="000305DD" w:rsidRPr="00F24972" w14:paraId="36C33F54" w14:textId="77777777" w:rsidTr="00FA340F">
        <w:trPr>
          <w:cantSplit/>
        </w:trPr>
        <w:tc>
          <w:tcPr>
            <w:tcW w:w="1733" w:type="dxa"/>
            <w:vMerge w:val="restart"/>
            <w:tcBorders>
              <w:top w:val="single" w:sz="4" w:space="0" w:color="auto"/>
              <w:left w:val="single" w:sz="4" w:space="0" w:color="auto"/>
              <w:right w:val="single" w:sz="4" w:space="0" w:color="auto"/>
            </w:tcBorders>
          </w:tcPr>
          <w:p w14:paraId="1D5315EE" w14:textId="77777777" w:rsidR="000305DD" w:rsidRPr="00F24972" w:rsidRDefault="000305DD" w:rsidP="000305DD">
            <w:pPr>
              <w:pStyle w:val="TableText"/>
              <w:rPr>
                <w:rFonts w:cs="Arial"/>
              </w:rPr>
            </w:pPr>
            <w:r w:rsidRPr="00F24972">
              <w:rPr>
                <w:rFonts w:cs="Arial"/>
              </w:rPr>
              <w:t>ABO forward typing (unit)</w:t>
            </w:r>
          </w:p>
        </w:tc>
        <w:tc>
          <w:tcPr>
            <w:tcW w:w="1592" w:type="dxa"/>
            <w:tcBorders>
              <w:top w:val="single" w:sz="4" w:space="0" w:color="auto"/>
              <w:left w:val="single" w:sz="4" w:space="0" w:color="auto"/>
              <w:bottom w:val="single" w:sz="4" w:space="0" w:color="auto"/>
              <w:right w:val="single" w:sz="4" w:space="0" w:color="auto"/>
            </w:tcBorders>
          </w:tcPr>
          <w:p w14:paraId="177D04EF" w14:textId="77777777" w:rsidR="000305DD" w:rsidRPr="00F24972" w:rsidRDefault="000305DD" w:rsidP="000305DD">
            <w:pPr>
              <w:pStyle w:val="TableText"/>
              <w:rPr>
                <w:rFonts w:cs="Arial"/>
              </w:rPr>
            </w:pPr>
            <w:r>
              <w:rPr>
                <w:rFonts w:cs="Arial"/>
              </w:rPr>
              <w:t>Unit ABO/RH confirmation test</w:t>
            </w:r>
          </w:p>
          <w:p w14:paraId="32330484" w14:textId="77777777" w:rsidR="000305DD" w:rsidRPr="00F24972" w:rsidRDefault="000305DD" w:rsidP="000305DD">
            <w:pPr>
              <w:pStyle w:val="TableText"/>
              <w:rPr>
                <w:rFonts w:cs="Arial"/>
              </w:rPr>
            </w:pPr>
          </w:p>
        </w:tc>
        <w:tc>
          <w:tcPr>
            <w:tcW w:w="1080" w:type="dxa"/>
            <w:tcBorders>
              <w:top w:val="single" w:sz="4" w:space="0" w:color="auto"/>
              <w:left w:val="single" w:sz="4" w:space="0" w:color="auto"/>
              <w:bottom w:val="single" w:sz="4" w:space="0" w:color="auto"/>
              <w:right w:val="single" w:sz="4" w:space="0" w:color="auto"/>
            </w:tcBorders>
          </w:tcPr>
          <w:p w14:paraId="6A40FE90" w14:textId="77777777" w:rsidR="000305DD" w:rsidRPr="00F24972" w:rsidRDefault="000305DD" w:rsidP="000305DD">
            <w:pPr>
              <w:pStyle w:val="TableText"/>
              <w:rPr>
                <w:rFonts w:cs="Arial"/>
              </w:rPr>
            </w:pPr>
            <w:r w:rsidRPr="00F24972">
              <w:rPr>
                <w:rFonts w:cs="Arial"/>
              </w:rPr>
              <w:t>Positive</w:t>
            </w:r>
          </w:p>
        </w:tc>
        <w:tc>
          <w:tcPr>
            <w:tcW w:w="900" w:type="dxa"/>
            <w:tcBorders>
              <w:top w:val="single" w:sz="4" w:space="0" w:color="auto"/>
              <w:left w:val="single" w:sz="4" w:space="0" w:color="auto"/>
              <w:bottom w:val="single" w:sz="4" w:space="0" w:color="auto"/>
              <w:right w:val="single" w:sz="4" w:space="0" w:color="auto"/>
            </w:tcBorders>
          </w:tcPr>
          <w:p w14:paraId="5A72C682" w14:textId="77777777" w:rsidR="000305DD" w:rsidRPr="00F24972" w:rsidRDefault="000305DD" w:rsidP="000305DD">
            <w:pPr>
              <w:pStyle w:val="TableText"/>
              <w:jc w:val="center"/>
              <w:rPr>
                <w:rFonts w:cs="Arial"/>
              </w:rPr>
            </w:pPr>
            <w:r w:rsidRPr="00F24972">
              <w:rPr>
                <w:rFonts w:cs="Arial"/>
              </w:rPr>
              <w:t>U</w:t>
            </w:r>
          </w:p>
        </w:tc>
        <w:tc>
          <w:tcPr>
            <w:tcW w:w="4950" w:type="dxa"/>
            <w:tcBorders>
              <w:top w:val="single" w:sz="4" w:space="0" w:color="auto"/>
              <w:left w:val="single" w:sz="4" w:space="0" w:color="auto"/>
              <w:bottom w:val="single" w:sz="4" w:space="0" w:color="auto"/>
              <w:right w:val="single" w:sz="4" w:space="0" w:color="auto"/>
            </w:tcBorders>
          </w:tcPr>
          <w:p w14:paraId="00364E29" w14:textId="77777777" w:rsidR="000305DD" w:rsidRPr="00F24972" w:rsidRDefault="000305DD" w:rsidP="000305DD">
            <w:pPr>
              <w:pStyle w:val="TableText"/>
              <w:rPr>
                <w:rFonts w:cs="Arial"/>
              </w:rPr>
            </w:pPr>
            <w:r w:rsidRPr="00F24972">
              <w:rPr>
                <w:rFonts w:cs="Arial"/>
              </w:rPr>
              <w:t xml:space="preserve">An ABO confirmation test is performed. When multiple units are selected in a batch, each unit in the batch accrues a workload event. </w:t>
            </w:r>
          </w:p>
          <w:p w14:paraId="3E6121B5" w14:textId="77777777" w:rsidR="000305DD" w:rsidRPr="00F24972" w:rsidRDefault="000305DD" w:rsidP="000305DD">
            <w:pPr>
              <w:pStyle w:val="TableText"/>
              <w:rPr>
                <w:rFonts w:cs="Arial"/>
              </w:rPr>
            </w:pPr>
          </w:p>
          <w:p w14:paraId="2F56FA0B" w14:textId="7FB50097" w:rsidR="000305DD" w:rsidRPr="00F24972" w:rsidRDefault="000305DD" w:rsidP="000305DD">
            <w:pPr>
              <w:pStyle w:val="TableText"/>
              <w:rPr>
                <w:rFonts w:cs="Arial"/>
              </w:rPr>
            </w:pPr>
            <w:r w:rsidRPr="00D01C9F">
              <w:rPr>
                <w:rFonts w:cs="Arial"/>
              </w:rPr>
              <w:t xml:space="preserve">Note: Workload </w:t>
            </w:r>
            <w:r w:rsidRPr="00D01C9F">
              <w:rPr>
                <w:rFonts w:cs="Arial"/>
                <w:sz w:val="20"/>
                <w:szCs w:val="20"/>
              </w:rPr>
              <w:t>generated when Anti-D testing is not included in the unit’s confirmation test.</w:t>
            </w:r>
            <w:r>
              <w:rPr>
                <w:rFonts w:cs="Arial"/>
                <w:color w:val="0000FF"/>
                <w:sz w:val="20"/>
                <w:szCs w:val="20"/>
              </w:rPr>
              <w:t xml:space="preserve"> </w:t>
            </w:r>
            <w:r w:rsidRPr="00F24972">
              <w:rPr>
                <w:rFonts w:cs="Arial"/>
              </w:rPr>
              <w:t>Workload is</w:t>
            </w:r>
            <w:r w:rsidRPr="00F24972">
              <w:rPr>
                <w:rFonts w:cs="Arial"/>
                <w:b/>
              </w:rPr>
              <w:t xml:space="preserve"> not</w:t>
            </w:r>
            <w:r w:rsidRPr="00F24972">
              <w:rPr>
                <w:rFonts w:cs="Arial"/>
              </w:rPr>
              <w:t xml:space="preserve"> accrued when an ABO discrepancy override is processed and VBECS releases all patient assignments. No special handling for workload collection for additional confirmation tests on a unit.</w:t>
            </w:r>
          </w:p>
        </w:tc>
      </w:tr>
      <w:tr w:rsidR="000305DD" w:rsidRPr="00F24972" w14:paraId="09252067" w14:textId="77777777" w:rsidTr="00FA340F">
        <w:trPr>
          <w:cantSplit/>
        </w:trPr>
        <w:tc>
          <w:tcPr>
            <w:tcW w:w="1733" w:type="dxa"/>
            <w:vMerge/>
            <w:tcBorders>
              <w:left w:val="single" w:sz="4" w:space="0" w:color="auto"/>
              <w:right w:val="single" w:sz="4" w:space="0" w:color="auto"/>
            </w:tcBorders>
          </w:tcPr>
          <w:p w14:paraId="7B61505B" w14:textId="77777777" w:rsidR="000305DD" w:rsidRPr="00F24972" w:rsidRDefault="000305DD" w:rsidP="000305DD">
            <w:pPr>
              <w:pStyle w:val="TableText"/>
              <w:rPr>
                <w:rFonts w:cs="Arial"/>
              </w:rPr>
            </w:pPr>
          </w:p>
        </w:tc>
        <w:tc>
          <w:tcPr>
            <w:tcW w:w="1592" w:type="dxa"/>
            <w:tcBorders>
              <w:left w:val="single" w:sz="4" w:space="0" w:color="auto"/>
            </w:tcBorders>
          </w:tcPr>
          <w:p w14:paraId="5F54A0E7" w14:textId="77777777" w:rsidR="000305DD" w:rsidRPr="00F24972" w:rsidRDefault="000305DD" w:rsidP="000305DD">
            <w:pPr>
              <w:pStyle w:val="TableText"/>
              <w:rPr>
                <w:rFonts w:cs="Arial"/>
              </w:rPr>
            </w:pPr>
            <w:r>
              <w:rPr>
                <w:rFonts w:cs="Arial"/>
              </w:rPr>
              <w:t>Invalidate Unit ABO/RH Confirmation test</w:t>
            </w:r>
          </w:p>
        </w:tc>
        <w:tc>
          <w:tcPr>
            <w:tcW w:w="1080" w:type="dxa"/>
          </w:tcPr>
          <w:p w14:paraId="4CADA2D9" w14:textId="77777777" w:rsidR="000305DD" w:rsidRPr="00F24972" w:rsidRDefault="000305DD" w:rsidP="000305DD">
            <w:pPr>
              <w:pStyle w:val="TableText"/>
              <w:rPr>
                <w:rFonts w:cs="Arial"/>
                <w:b/>
              </w:rPr>
            </w:pPr>
            <w:r w:rsidRPr="00F24972">
              <w:rPr>
                <w:rFonts w:cs="Arial"/>
                <w:b/>
              </w:rPr>
              <w:t>Negative</w:t>
            </w:r>
          </w:p>
        </w:tc>
        <w:tc>
          <w:tcPr>
            <w:tcW w:w="900" w:type="dxa"/>
          </w:tcPr>
          <w:p w14:paraId="3C4D2C02" w14:textId="77777777" w:rsidR="000305DD" w:rsidRPr="00F24972" w:rsidRDefault="000305DD" w:rsidP="000305DD">
            <w:pPr>
              <w:pStyle w:val="TableText"/>
              <w:jc w:val="center"/>
              <w:rPr>
                <w:rFonts w:cs="Arial"/>
              </w:rPr>
            </w:pPr>
            <w:r w:rsidRPr="00F24972">
              <w:rPr>
                <w:rFonts w:cs="Arial"/>
              </w:rPr>
              <w:t>U</w:t>
            </w:r>
          </w:p>
        </w:tc>
        <w:tc>
          <w:tcPr>
            <w:tcW w:w="4950" w:type="dxa"/>
          </w:tcPr>
          <w:p w14:paraId="779E2602" w14:textId="77777777" w:rsidR="000305DD" w:rsidRPr="00F24972" w:rsidRDefault="000305DD" w:rsidP="000305DD">
            <w:pPr>
              <w:pStyle w:val="TableText"/>
              <w:rPr>
                <w:rFonts w:cs="Arial"/>
              </w:rPr>
            </w:pPr>
            <w:r w:rsidRPr="00F24972">
              <w:rPr>
                <w:rFonts w:cs="Arial"/>
              </w:rPr>
              <w:t>Accrue workload when an ABO confirmation test is invalidated</w:t>
            </w:r>
          </w:p>
        </w:tc>
      </w:tr>
      <w:tr w:rsidR="000305DD" w:rsidRPr="00F24972" w14:paraId="35CD79C6" w14:textId="77777777" w:rsidTr="00FA340F">
        <w:trPr>
          <w:cantSplit/>
        </w:trPr>
        <w:tc>
          <w:tcPr>
            <w:tcW w:w="1733" w:type="dxa"/>
            <w:vMerge w:val="restart"/>
            <w:tcBorders>
              <w:top w:val="single" w:sz="4" w:space="0" w:color="auto"/>
              <w:left w:val="single" w:sz="4" w:space="0" w:color="auto"/>
              <w:right w:val="single" w:sz="4" w:space="0" w:color="auto"/>
            </w:tcBorders>
          </w:tcPr>
          <w:p w14:paraId="7058C4B0" w14:textId="77777777" w:rsidR="000305DD" w:rsidRPr="00F24972" w:rsidRDefault="000305DD" w:rsidP="000305DD">
            <w:pPr>
              <w:pStyle w:val="TableText"/>
              <w:rPr>
                <w:rFonts w:cs="Arial"/>
              </w:rPr>
            </w:pPr>
            <w:r w:rsidRPr="00F24972">
              <w:rPr>
                <w:rFonts w:cs="Arial"/>
              </w:rPr>
              <w:t>ABO/Rh forward typing (unit)</w:t>
            </w:r>
          </w:p>
        </w:tc>
        <w:tc>
          <w:tcPr>
            <w:tcW w:w="1592" w:type="dxa"/>
            <w:tcBorders>
              <w:top w:val="single" w:sz="4" w:space="0" w:color="auto"/>
              <w:left w:val="single" w:sz="4" w:space="0" w:color="auto"/>
              <w:bottom w:val="single" w:sz="4" w:space="0" w:color="auto"/>
              <w:right w:val="single" w:sz="4" w:space="0" w:color="auto"/>
            </w:tcBorders>
          </w:tcPr>
          <w:p w14:paraId="187E99C3" w14:textId="77777777" w:rsidR="000305DD" w:rsidRPr="00F24972" w:rsidRDefault="000305DD" w:rsidP="000305DD">
            <w:pPr>
              <w:pStyle w:val="TableText"/>
              <w:rPr>
                <w:rFonts w:cs="Arial"/>
              </w:rPr>
            </w:pPr>
            <w:r>
              <w:rPr>
                <w:rFonts w:cs="Arial"/>
              </w:rPr>
              <w:t>Unit ABO/RH confirmation test</w:t>
            </w:r>
          </w:p>
          <w:p w14:paraId="4BDD9133" w14:textId="77777777" w:rsidR="000305DD" w:rsidRPr="00F24972" w:rsidRDefault="000305DD" w:rsidP="000305DD">
            <w:pPr>
              <w:pStyle w:val="TableText"/>
              <w:rPr>
                <w:rFonts w:cs="Arial"/>
              </w:rPr>
            </w:pPr>
          </w:p>
        </w:tc>
        <w:tc>
          <w:tcPr>
            <w:tcW w:w="1080" w:type="dxa"/>
            <w:tcBorders>
              <w:top w:val="single" w:sz="4" w:space="0" w:color="auto"/>
              <w:left w:val="single" w:sz="4" w:space="0" w:color="auto"/>
              <w:bottom w:val="single" w:sz="4" w:space="0" w:color="auto"/>
              <w:right w:val="single" w:sz="4" w:space="0" w:color="auto"/>
            </w:tcBorders>
          </w:tcPr>
          <w:p w14:paraId="0E1836AF" w14:textId="77777777" w:rsidR="000305DD" w:rsidRPr="00F24972" w:rsidRDefault="000305DD" w:rsidP="000305DD">
            <w:pPr>
              <w:pStyle w:val="TableText"/>
              <w:rPr>
                <w:rFonts w:cs="Arial"/>
              </w:rPr>
            </w:pPr>
            <w:r w:rsidRPr="00F24972">
              <w:rPr>
                <w:rFonts w:cs="Arial"/>
              </w:rPr>
              <w:t>Positive</w:t>
            </w:r>
          </w:p>
        </w:tc>
        <w:tc>
          <w:tcPr>
            <w:tcW w:w="900" w:type="dxa"/>
            <w:tcBorders>
              <w:top w:val="single" w:sz="4" w:space="0" w:color="auto"/>
              <w:left w:val="single" w:sz="4" w:space="0" w:color="auto"/>
              <w:bottom w:val="single" w:sz="4" w:space="0" w:color="auto"/>
              <w:right w:val="single" w:sz="4" w:space="0" w:color="auto"/>
            </w:tcBorders>
          </w:tcPr>
          <w:p w14:paraId="51F6934B" w14:textId="77777777" w:rsidR="000305DD" w:rsidRPr="00F24972" w:rsidRDefault="000305DD" w:rsidP="000305DD">
            <w:pPr>
              <w:pStyle w:val="TableText"/>
              <w:jc w:val="center"/>
              <w:rPr>
                <w:rFonts w:cs="Arial"/>
              </w:rPr>
            </w:pPr>
            <w:r w:rsidRPr="00F24972">
              <w:rPr>
                <w:rFonts w:cs="Arial"/>
              </w:rPr>
              <w:t>U</w:t>
            </w:r>
          </w:p>
        </w:tc>
        <w:tc>
          <w:tcPr>
            <w:tcW w:w="4950" w:type="dxa"/>
            <w:tcBorders>
              <w:top w:val="single" w:sz="4" w:space="0" w:color="auto"/>
              <w:left w:val="single" w:sz="4" w:space="0" w:color="auto"/>
              <w:bottom w:val="single" w:sz="4" w:space="0" w:color="auto"/>
              <w:right w:val="single" w:sz="4" w:space="0" w:color="auto"/>
            </w:tcBorders>
          </w:tcPr>
          <w:p w14:paraId="7B7D752A" w14:textId="77777777" w:rsidR="000305DD" w:rsidRPr="00F24972" w:rsidRDefault="000305DD" w:rsidP="000305DD">
            <w:pPr>
              <w:pStyle w:val="TableText"/>
              <w:rPr>
                <w:rFonts w:cs="Arial"/>
              </w:rPr>
            </w:pPr>
            <w:r w:rsidRPr="00F24972">
              <w:rPr>
                <w:rFonts w:cs="Arial"/>
              </w:rPr>
              <w:t>An ABO/Rh confirmation test is performed. When multiple units are selected in a batch, each unit in the batch accrues a workload event.</w:t>
            </w:r>
          </w:p>
          <w:p w14:paraId="1704D30E" w14:textId="77777777" w:rsidR="000305DD" w:rsidRPr="00F24972" w:rsidRDefault="000305DD" w:rsidP="000305DD">
            <w:pPr>
              <w:pStyle w:val="TableText"/>
              <w:rPr>
                <w:rFonts w:cs="Arial"/>
              </w:rPr>
            </w:pPr>
          </w:p>
          <w:p w14:paraId="2F21913C" w14:textId="2DF2D3BE" w:rsidR="000305DD" w:rsidRPr="00F24972" w:rsidRDefault="000305DD" w:rsidP="000305DD">
            <w:pPr>
              <w:pStyle w:val="TableText"/>
              <w:rPr>
                <w:rFonts w:cs="Arial"/>
              </w:rPr>
            </w:pPr>
            <w:r w:rsidRPr="00D01C9F">
              <w:rPr>
                <w:rFonts w:cs="Arial"/>
              </w:rPr>
              <w:t xml:space="preserve">Note: Workload </w:t>
            </w:r>
            <w:r w:rsidRPr="00D01C9F">
              <w:rPr>
                <w:rFonts w:cs="Arial"/>
                <w:sz w:val="20"/>
                <w:szCs w:val="20"/>
              </w:rPr>
              <w:t xml:space="preserve">generated </w:t>
            </w:r>
            <w:r w:rsidRPr="00D01C9F">
              <w:rPr>
                <w:rFonts w:cs="Arial"/>
              </w:rPr>
              <w:t>when</w:t>
            </w:r>
            <w:r w:rsidRPr="00D01C9F">
              <w:rPr>
                <w:rFonts w:cs="Arial"/>
                <w:sz w:val="20"/>
                <w:szCs w:val="20"/>
              </w:rPr>
              <w:t xml:space="preserve"> Ant</w:t>
            </w:r>
            <w:r w:rsidR="003A628D">
              <w:rPr>
                <w:rFonts w:cs="Arial"/>
                <w:sz w:val="20"/>
                <w:szCs w:val="20"/>
              </w:rPr>
              <w:t>i</w:t>
            </w:r>
            <w:r w:rsidRPr="00D01C9F">
              <w:rPr>
                <w:rFonts w:cs="Arial"/>
                <w:sz w:val="20"/>
                <w:szCs w:val="20"/>
              </w:rPr>
              <w:t xml:space="preserve">-D is part of the unit’s confirmation test. </w:t>
            </w:r>
            <w:r w:rsidRPr="00D01C9F">
              <w:rPr>
                <w:rFonts w:cs="Arial"/>
              </w:rPr>
              <w:t>Workload is</w:t>
            </w:r>
            <w:r w:rsidRPr="00D01C9F">
              <w:rPr>
                <w:rFonts w:cs="Arial"/>
                <w:b/>
              </w:rPr>
              <w:t xml:space="preserve"> not</w:t>
            </w:r>
            <w:r w:rsidRPr="00D01C9F">
              <w:rPr>
                <w:rFonts w:cs="Arial"/>
              </w:rPr>
              <w:t xml:space="preserve"> accrued when an ABO or Rh discrepancy override is processed and VBECS releases all patient assignments. </w:t>
            </w:r>
            <w:r w:rsidRPr="00F24972">
              <w:rPr>
                <w:rFonts w:cs="Arial"/>
              </w:rPr>
              <w:t>Any unit successfully confirmed accrues workload. For modification Split: Workload is not inherited by split units. A split unit that requires confirmation accrues confirmation workload at the time of testing. No special handling for workload collection for additional confirmation tests on a unit.</w:t>
            </w:r>
          </w:p>
        </w:tc>
      </w:tr>
      <w:tr w:rsidR="000305DD" w:rsidRPr="00F24972" w14:paraId="6CDDFFA8" w14:textId="77777777" w:rsidTr="00FA340F">
        <w:trPr>
          <w:cantSplit/>
        </w:trPr>
        <w:tc>
          <w:tcPr>
            <w:tcW w:w="1733" w:type="dxa"/>
            <w:vMerge/>
            <w:tcBorders>
              <w:left w:val="single" w:sz="4" w:space="0" w:color="auto"/>
              <w:right w:val="single" w:sz="4" w:space="0" w:color="auto"/>
            </w:tcBorders>
          </w:tcPr>
          <w:p w14:paraId="26C565A4" w14:textId="77777777" w:rsidR="000305DD" w:rsidRPr="00F24972" w:rsidRDefault="000305DD" w:rsidP="000305DD">
            <w:pPr>
              <w:pStyle w:val="TableText"/>
              <w:rPr>
                <w:rFonts w:cs="Arial"/>
              </w:rPr>
            </w:pPr>
          </w:p>
        </w:tc>
        <w:tc>
          <w:tcPr>
            <w:tcW w:w="1592" w:type="dxa"/>
            <w:tcBorders>
              <w:left w:val="single" w:sz="4" w:space="0" w:color="auto"/>
            </w:tcBorders>
          </w:tcPr>
          <w:p w14:paraId="7DD90DB4" w14:textId="77777777" w:rsidR="000305DD" w:rsidRPr="00F24972" w:rsidRDefault="000305DD" w:rsidP="000305DD">
            <w:pPr>
              <w:pStyle w:val="TableText"/>
              <w:rPr>
                <w:rFonts w:cs="Arial"/>
              </w:rPr>
            </w:pPr>
            <w:r>
              <w:rPr>
                <w:rFonts w:cs="Arial"/>
              </w:rPr>
              <w:t>Invalidate Unit ABO/RH Confirmation test</w:t>
            </w:r>
          </w:p>
        </w:tc>
        <w:tc>
          <w:tcPr>
            <w:tcW w:w="1080" w:type="dxa"/>
          </w:tcPr>
          <w:p w14:paraId="0AEFBD63" w14:textId="77777777" w:rsidR="000305DD" w:rsidRPr="00F24972" w:rsidRDefault="000305DD" w:rsidP="000305DD">
            <w:pPr>
              <w:pStyle w:val="TableText"/>
              <w:rPr>
                <w:rFonts w:cs="Arial"/>
                <w:b/>
              </w:rPr>
            </w:pPr>
            <w:r w:rsidRPr="00F24972">
              <w:rPr>
                <w:rFonts w:cs="Arial"/>
                <w:b/>
              </w:rPr>
              <w:t>Negative</w:t>
            </w:r>
          </w:p>
        </w:tc>
        <w:tc>
          <w:tcPr>
            <w:tcW w:w="900" w:type="dxa"/>
          </w:tcPr>
          <w:p w14:paraId="2A413058" w14:textId="77777777" w:rsidR="000305DD" w:rsidRPr="00F24972" w:rsidRDefault="000305DD" w:rsidP="000305DD">
            <w:pPr>
              <w:pStyle w:val="TableText"/>
              <w:jc w:val="center"/>
              <w:rPr>
                <w:rFonts w:cs="Arial"/>
              </w:rPr>
            </w:pPr>
            <w:r w:rsidRPr="00F24972">
              <w:rPr>
                <w:rFonts w:cs="Arial"/>
              </w:rPr>
              <w:t>U</w:t>
            </w:r>
          </w:p>
        </w:tc>
        <w:tc>
          <w:tcPr>
            <w:tcW w:w="4950" w:type="dxa"/>
          </w:tcPr>
          <w:p w14:paraId="21E86E59" w14:textId="77777777" w:rsidR="000305DD" w:rsidRPr="00F24972" w:rsidRDefault="000305DD" w:rsidP="000305DD">
            <w:pPr>
              <w:pStyle w:val="TableText"/>
              <w:rPr>
                <w:rFonts w:cs="Arial"/>
              </w:rPr>
            </w:pPr>
            <w:r w:rsidRPr="00F24972">
              <w:rPr>
                <w:rFonts w:cs="Arial"/>
              </w:rPr>
              <w:t>Accrue workload when an ABO/Rh confirmation test is invalidated</w:t>
            </w:r>
          </w:p>
        </w:tc>
      </w:tr>
      <w:tr w:rsidR="000305DD" w:rsidRPr="00F24972" w14:paraId="11BD9306" w14:textId="77777777" w:rsidTr="00FA340F">
        <w:trPr>
          <w:cantSplit/>
        </w:trPr>
        <w:tc>
          <w:tcPr>
            <w:tcW w:w="1733" w:type="dxa"/>
            <w:tcBorders>
              <w:bottom w:val="single" w:sz="4" w:space="0" w:color="auto"/>
            </w:tcBorders>
          </w:tcPr>
          <w:p w14:paraId="1BA5BA22" w14:textId="77777777" w:rsidR="000305DD" w:rsidRPr="00F24972" w:rsidRDefault="000305DD" w:rsidP="000305DD">
            <w:pPr>
              <w:pStyle w:val="TableText"/>
              <w:rPr>
                <w:rFonts w:cs="Arial"/>
              </w:rPr>
            </w:pPr>
            <w:r w:rsidRPr="00F24972">
              <w:rPr>
                <w:rFonts w:cs="Arial"/>
              </w:rPr>
              <w:lastRenderedPageBreak/>
              <w:t>Accept Order</w:t>
            </w:r>
          </w:p>
        </w:tc>
        <w:tc>
          <w:tcPr>
            <w:tcW w:w="1592" w:type="dxa"/>
            <w:tcBorders>
              <w:bottom w:val="single" w:sz="4" w:space="0" w:color="auto"/>
            </w:tcBorders>
          </w:tcPr>
          <w:p w14:paraId="3FE2659F" w14:textId="77777777" w:rsidR="000305DD" w:rsidRPr="00F24972" w:rsidRDefault="000305DD" w:rsidP="000305DD">
            <w:pPr>
              <w:pStyle w:val="TableText"/>
              <w:rPr>
                <w:rFonts w:cs="Arial"/>
              </w:rPr>
            </w:pPr>
            <w:r>
              <w:rPr>
                <w:rFonts w:cs="Arial"/>
              </w:rPr>
              <w:t>Accept Order</w:t>
            </w:r>
          </w:p>
        </w:tc>
        <w:tc>
          <w:tcPr>
            <w:tcW w:w="1080" w:type="dxa"/>
            <w:tcBorders>
              <w:bottom w:val="single" w:sz="4" w:space="0" w:color="auto"/>
            </w:tcBorders>
          </w:tcPr>
          <w:p w14:paraId="6B61523C" w14:textId="77777777" w:rsidR="000305DD" w:rsidRPr="00F24972" w:rsidRDefault="000305DD" w:rsidP="000305DD">
            <w:pPr>
              <w:pStyle w:val="TableText"/>
              <w:rPr>
                <w:rFonts w:cs="Arial"/>
              </w:rPr>
            </w:pPr>
            <w:r w:rsidRPr="00F24972">
              <w:rPr>
                <w:rFonts w:cs="Arial"/>
              </w:rPr>
              <w:t>Positive</w:t>
            </w:r>
          </w:p>
        </w:tc>
        <w:tc>
          <w:tcPr>
            <w:tcW w:w="900" w:type="dxa"/>
            <w:tcBorders>
              <w:bottom w:val="single" w:sz="4" w:space="0" w:color="auto"/>
            </w:tcBorders>
          </w:tcPr>
          <w:p w14:paraId="0F9CC0F6" w14:textId="77777777" w:rsidR="000305DD" w:rsidRPr="00F24972" w:rsidRDefault="000305DD" w:rsidP="000305DD">
            <w:pPr>
              <w:pStyle w:val="TableText"/>
              <w:jc w:val="center"/>
              <w:rPr>
                <w:rFonts w:cs="Arial"/>
              </w:rPr>
            </w:pPr>
            <w:r w:rsidRPr="00F24972">
              <w:rPr>
                <w:rFonts w:cs="Arial"/>
              </w:rPr>
              <w:t>M</w:t>
            </w:r>
          </w:p>
        </w:tc>
        <w:tc>
          <w:tcPr>
            <w:tcW w:w="4950" w:type="dxa"/>
            <w:tcBorders>
              <w:bottom w:val="single" w:sz="4" w:space="0" w:color="auto"/>
            </w:tcBorders>
          </w:tcPr>
          <w:p w14:paraId="0BA345E8" w14:textId="77777777" w:rsidR="000305DD" w:rsidRPr="00F24972" w:rsidRDefault="000305DD" w:rsidP="000305DD">
            <w:pPr>
              <w:pStyle w:val="TableText"/>
              <w:rPr>
                <w:rFonts w:cs="Arial"/>
              </w:rPr>
            </w:pPr>
            <w:r w:rsidRPr="00F24972">
              <w:rPr>
                <w:rFonts w:cs="Arial"/>
              </w:rPr>
              <w:t>Accrue workload when an order is accepted. When a multiple orders are selected, each order accrues workload.</w:t>
            </w:r>
          </w:p>
        </w:tc>
      </w:tr>
      <w:tr w:rsidR="000305DD" w:rsidRPr="00F24972" w14:paraId="6957D859" w14:textId="77777777" w:rsidTr="00FA340F">
        <w:trPr>
          <w:cantSplit/>
        </w:trPr>
        <w:tc>
          <w:tcPr>
            <w:tcW w:w="1733" w:type="dxa"/>
            <w:vMerge w:val="restart"/>
            <w:tcBorders>
              <w:top w:val="single" w:sz="4" w:space="0" w:color="auto"/>
              <w:left w:val="single" w:sz="4" w:space="0" w:color="auto"/>
              <w:right w:val="single" w:sz="4" w:space="0" w:color="auto"/>
            </w:tcBorders>
          </w:tcPr>
          <w:p w14:paraId="30BE1A6F" w14:textId="77777777" w:rsidR="000305DD" w:rsidRPr="00F24972" w:rsidRDefault="000305DD" w:rsidP="000305DD">
            <w:pPr>
              <w:pStyle w:val="TableText"/>
              <w:rPr>
                <w:rFonts w:cs="Arial"/>
              </w:rPr>
            </w:pPr>
            <w:r w:rsidRPr="00F24972">
              <w:rPr>
                <w:rFonts w:cs="Arial"/>
              </w:rPr>
              <w:t>Antibody identification Work-Up</w:t>
            </w:r>
          </w:p>
        </w:tc>
        <w:tc>
          <w:tcPr>
            <w:tcW w:w="1592" w:type="dxa"/>
            <w:tcBorders>
              <w:top w:val="single" w:sz="4" w:space="0" w:color="auto"/>
              <w:left w:val="single" w:sz="4" w:space="0" w:color="auto"/>
              <w:bottom w:val="single" w:sz="4" w:space="0" w:color="auto"/>
              <w:right w:val="single" w:sz="4" w:space="0" w:color="auto"/>
            </w:tcBorders>
          </w:tcPr>
          <w:p w14:paraId="0808D238" w14:textId="4974FA07" w:rsidR="000305DD" w:rsidRPr="00F24972" w:rsidRDefault="000C7331" w:rsidP="000305DD">
            <w:pPr>
              <w:pStyle w:val="TableText"/>
              <w:rPr>
                <w:rFonts w:cs="Arial"/>
              </w:rPr>
            </w:pPr>
            <w:r>
              <w:rPr>
                <w:rFonts w:cs="Arial"/>
              </w:rPr>
              <w:t>Record</w:t>
            </w:r>
            <w:r w:rsidR="00ED1CAF">
              <w:rPr>
                <w:rFonts w:cs="Arial"/>
              </w:rPr>
              <w:t xml:space="preserve"> Testing:</w:t>
            </w:r>
            <w:r>
              <w:rPr>
                <w:rFonts w:cs="Arial"/>
              </w:rPr>
              <w:t xml:space="preserve"> </w:t>
            </w:r>
            <w:r w:rsidR="0031582E">
              <w:rPr>
                <w:rFonts w:cs="Arial"/>
              </w:rPr>
              <w:t xml:space="preserve">Patient </w:t>
            </w:r>
            <w:r w:rsidR="00ED1CAF">
              <w:rPr>
                <w:rFonts w:cs="Arial"/>
              </w:rPr>
              <w:t>ABID</w:t>
            </w:r>
          </w:p>
        </w:tc>
        <w:tc>
          <w:tcPr>
            <w:tcW w:w="1080" w:type="dxa"/>
            <w:tcBorders>
              <w:top w:val="single" w:sz="4" w:space="0" w:color="auto"/>
              <w:left w:val="single" w:sz="4" w:space="0" w:color="auto"/>
              <w:bottom w:val="single" w:sz="4" w:space="0" w:color="auto"/>
              <w:right w:val="single" w:sz="4" w:space="0" w:color="auto"/>
            </w:tcBorders>
          </w:tcPr>
          <w:p w14:paraId="5575632B" w14:textId="77777777" w:rsidR="000305DD" w:rsidRPr="00F24972" w:rsidRDefault="000305DD" w:rsidP="000305DD">
            <w:pPr>
              <w:pStyle w:val="TableText"/>
              <w:rPr>
                <w:rFonts w:cs="Arial"/>
              </w:rPr>
            </w:pPr>
            <w:r w:rsidRPr="00F24972">
              <w:rPr>
                <w:rFonts w:cs="Arial"/>
              </w:rPr>
              <w:t>Positive</w:t>
            </w:r>
          </w:p>
        </w:tc>
        <w:tc>
          <w:tcPr>
            <w:tcW w:w="900" w:type="dxa"/>
            <w:tcBorders>
              <w:top w:val="single" w:sz="4" w:space="0" w:color="auto"/>
              <w:left w:val="single" w:sz="4" w:space="0" w:color="auto"/>
              <w:bottom w:val="single" w:sz="4" w:space="0" w:color="auto"/>
              <w:right w:val="single" w:sz="4" w:space="0" w:color="auto"/>
            </w:tcBorders>
          </w:tcPr>
          <w:p w14:paraId="136A44A3" w14:textId="77777777" w:rsidR="000305DD" w:rsidRPr="00F24972" w:rsidRDefault="000305DD" w:rsidP="000305DD">
            <w:pPr>
              <w:pStyle w:val="TableText"/>
              <w:jc w:val="center"/>
              <w:rPr>
                <w:rFonts w:cs="Arial"/>
              </w:rPr>
            </w:pPr>
            <w:r w:rsidRPr="00F24972">
              <w:rPr>
                <w:rFonts w:cs="Arial"/>
              </w:rPr>
              <w:t>P</w:t>
            </w:r>
          </w:p>
        </w:tc>
        <w:tc>
          <w:tcPr>
            <w:tcW w:w="4950" w:type="dxa"/>
            <w:tcBorders>
              <w:top w:val="single" w:sz="4" w:space="0" w:color="auto"/>
              <w:left w:val="single" w:sz="4" w:space="0" w:color="auto"/>
              <w:bottom w:val="single" w:sz="4" w:space="0" w:color="auto"/>
              <w:right w:val="single" w:sz="4" w:space="0" w:color="auto"/>
            </w:tcBorders>
          </w:tcPr>
          <w:p w14:paraId="6ED7D6C9" w14:textId="17D398EB" w:rsidR="000305DD" w:rsidRPr="00F24972" w:rsidRDefault="000305DD" w:rsidP="000305DD">
            <w:pPr>
              <w:pStyle w:val="TableText"/>
              <w:rPr>
                <w:rFonts w:cs="Arial"/>
              </w:rPr>
            </w:pPr>
            <w:r w:rsidRPr="00F24972">
              <w:rPr>
                <w:rFonts w:cs="Arial"/>
              </w:rPr>
              <w:t>User enters additional workload associated with the individual reflex ordered ABID</w:t>
            </w:r>
            <w:r w:rsidR="00ED1CAF">
              <w:rPr>
                <w:rFonts w:cs="Arial"/>
              </w:rPr>
              <w:t xml:space="preserve"> (Record Patient </w:t>
            </w:r>
            <w:r w:rsidR="000F42DE">
              <w:rPr>
                <w:rFonts w:cs="Arial"/>
              </w:rPr>
              <w:t>Antibody Identification</w:t>
            </w:r>
            <w:r w:rsidR="00ED1CAF">
              <w:rPr>
                <w:rFonts w:cs="Arial"/>
              </w:rPr>
              <w:t xml:space="preserve"> is completed and saved by Record Testing)</w:t>
            </w:r>
            <w:r w:rsidRPr="00F24972">
              <w:rPr>
                <w:rFonts w:cs="Arial"/>
              </w:rPr>
              <w:t xml:space="preserve">. The selected VBECS multiplier will multiple against the VistA multiplier and display the (multiplication) product on the report in </w:t>
            </w:r>
            <w:r>
              <w:rPr>
                <w:rFonts w:cs="Arial"/>
              </w:rPr>
              <w:t>Division Workload Report</w:t>
            </w:r>
            <w:r w:rsidRPr="00F24972">
              <w:rPr>
                <w:rFonts w:cs="Arial"/>
              </w:rPr>
              <w:t>.</w:t>
            </w:r>
          </w:p>
        </w:tc>
      </w:tr>
      <w:tr w:rsidR="000305DD" w:rsidRPr="00F24972" w14:paraId="044AAEAA" w14:textId="77777777" w:rsidTr="00FA340F">
        <w:trPr>
          <w:cantSplit/>
        </w:trPr>
        <w:tc>
          <w:tcPr>
            <w:tcW w:w="1733" w:type="dxa"/>
            <w:vMerge/>
            <w:tcBorders>
              <w:left w:val="single" w:sz="4" w:space="0" w:color="auto"/>
              <w:bottom w:val="single" w:sz="4" w:space="0" w:color="auto"/>
              <w:right w:val="single" w:sz="4" w:space="0" w:color="auto"/>
            </w:tcBorders>
          </w:tcPr>
          <w:p w14:paraId="6A13CDEF" w14:textId="77777777" w:rsidR="000305DD" w:rsidRPr="00F24972" w:rsidRDefault="000305DD" w:rsidP="000305DD">
            <w:pPr>
              <w:pStyle w:val="TableText"/>
              <w:rPr>
                <w:rFonts w:cs="Arial"/>
              </w:rPr>
            </w:pPr>
          </w:p>
        </w:tc>
        <w:tc>
          <w:tcPr>
            <w:tcW w:w="1592" w:type="dxa"/>
            <w:tcBorders>
              <w:top w:val="single" w:sz="4" w:space="0" w:color="auto"/>
              <w:left w:val="single" w:sz="4" w:space="0" w:color="auto"/>
              <w:bottom w:val="single" w:sz="4" w:space="0" w:color="auto"/>
              <w:right w:val="single" w:sz="4" w:space="0" w:color="auto"/>
            </w:tcBorders>
          </w:tcPr>
          <w:p w14:paraId="14D0307B" w14:textId="77777777" w:rsidR="000305DD" w:rsidRPr="00F24972" w:rsidRDefault="000305DD" w:rsidP="000305DD">
            <w:pPr>
              <w:pStyle w:val="TableText"/>
              <w:rPr>
                <w:rFonts w:cs="Arial"/>
              </w:rPr>
            </w:pPr>
            <w:r>
              <w:rPr>
                <w:rFonts w:cs="Arial"/>
              </w:rPr>
              <w:t>Invalidate ABID Test</w:t>
            </w:r>
          </w:p>
        </w:tc>
        <w:tc>
          <w:tcPr>
            <w:tcW w:w="1080" w:type="dxa"/>
            <w:tcBorders>
              <w:top w:val="single" w:sz="4" w:space="0" w:color="auto"/>
              <w:left w:val="single" w:sz="4" w:space="0" w:color="auto"/>
              <w:bottom w:val="single" w:sz="4" w:space="0" w:color="auto"/>
              <w:right w:val="single" w:sz="4" w:space="0" w:color="auto"/>
            </w:tcBorders>
          </w:tcPr>
          <w:p w14:paraId="11E08C51" w14:textId="77777777" w:rsidR="000305DD" w:rsidRPr="00F24972" w:rsidRDefault="000305DD" w:rsidP="000305DD">
            <w:pPr>
              <w:pStyle w:val="TableText"/>
              <w:rPr>
                <w:rFonts w:cs="Arial"/>
                <w:b/>
              </w:rPr>
            </w:pPr>
            <w:r w:rsidRPr="00F24972">
              <w:rPr>
                <w:rFonts w:cs="Arial"/>
                <w:b/>
              </w:rPr>
              <w:t>Negative</w:t>
            </w:r>
          </w:p>
        </w:tc>
        <w:tc>
          <w:tcPr>
            <w:tcW w:w="900" w:type="dxa"/>
            <w:tcBorders>
              <w:top w:val="single" w:sz="4" w:space="0" w:color="auto"/>
              <w:left w:val="single" w:sz="4" w:space="0" w:color="auto"/>
              <w:bottom w:val="single" w:sz="4" w:space="0" w:color="auto"/>
              <w:right w:val="single" w:sz="4" w:space="0" w:color="auto"/>
            </w:tcBorders>
          </w:tcPr>
          <w:p w14:paraId="6E73CAA7" w14:textId="77777777" w:rsidR="000305DD" w:rsidRPr="00F24972" w:rsidRDefault="000305DD" w:rsidP="000305DD">
            <w:pPr>
              <w:pStyle w:val="TableText"/>
              <w:jc w:val="center"/>
              <w:rPr>
                <w:rFonts w:cs="Arial"/>
              </w:rPr>
            </w:pPr>
            <w:r w:rsidRPr="00F24972">
              <w:rPr>
                <w:rFonts w:cs="Arial"/>
              </w:rPr>
              <w:t>P</w:t>
            </w:r>
          </w:p>
        </w:tc>
        <w:tc>
          <w:tcPr>
            <w:tcW w:w="4950" w:type="dxa"/>
            <w:tcBorders>
              <w:top w:val="single" w:sz="4" w:space="0" w:color="auto"/>
              <w:left w:val="single" w:sz="4" w:space="0" w:color="auto"/>
              <w:bottom w:val="single" w:sz="4" w:space="0" w:color="auto"/>
              <w:right w:val="single" w:sz="4" w:space="0" w:color="auto"/>
            </w:tcBorders>
          </w:tcPr>
          <w:p w14:paraId="6B325097" w14:textId="77777777" w:rsidR="000305DD" w:rsidRPr="00F24972" w:rsidRDefault="000305DD" w:rsidP="000305DD">
            <w:pPr>
              <w:pStyle w:val="TableText"/>
              <w:rPr>
                <w:rFonts w:cs="Arial"/>
              </w:rPr>
            </w:pPr>
            <w:r w:rsidRPr="00F24972">
              <w:rPr>
                <w:rFonts w:cs="Arial"/>
              </w:rPr>
              <w:t xml:space="preserve">Accrue workload when the ABID is invalidated. </w:t>
            </w:r>
            <w:r w:rsidRPr="00F24972">
              <w:t xml:space="preserve">All workload processes associated in </w:t>
            </w:r>
            <w:r>
              <w:t>Enter Reflex Test Results</w:t>
            </w:r>
            <w:r w:rsidRPr="00F24972">
              <w:t>, including the selected VBECS multiplier, are invalidated</w:t>
            </w:r>
          </w:p>
        </w:tc>
      </w:tr>
      <w:tr w:rsidR="000305DD" w:rsidRPr="00F24972" w14:paraId="0BDD0A84" w14:textId="77777777" w:rsidTr="00FA340F">
        <w:trPr>
          <w:cantSplit/>
        </w:trPr>
        <w:tc>
          <w:tcPr>
            <w:tcW w:w="1733" w:type="dxa"/>
            <w:vMerge w:val="restart"/>
            <w:tcBorders>
              <w:top w:val="single" w:sz="4" w:space="0" w:color="auto"/>
              <w:left w:val="single" w:sz="4" w:space="0" w:color="auto"/>
              <w:right w:val="single" w:sz="4" w:space="0" w:color="auto"/>
            </w:tcBorders>
          </w:tcPr>
          <w:p w14:paraId="401B6256" w14:textId="77777777" w:rsidR="000305DD" w:rsidRPr="00F24972" w:rsidRDefault="000305DD" w:rsidP="000305DD">
            <w:pPr>
              <w:pStyle w:val="TableText"/>
              <w:rPr>
                <w:rFonts w:cs="Arial"/>
              </w:rPr>
            </w:pPr>
            <w:r w:rsidRPr="00F24972">
              <w:rPr>
                <w:rFonts w:cs="Arial"/>
              </w:rPr>
              <w:t>Antibody Screen (patient)</w:t>
            </w:r>
          </w:p>
        </w:tc>
        <w:tc>
          <w:tcPr>
            <w:tcW w:w="1592" w:type="dxa"/>
            <w:tcBorders>
              <w:top w:val="single" w:sz="4" w:space="0" w:color="auto"/>
              <w:left w:val="single" w:sz="4" w:space="0" w:color="auto"/>
              <w:bottom w:val="single" w:sz="4" w:space="0" w:color="auto"/>
              <w:right w:val="single" w:sz="4" w:space="0" w:color="auto"/>
            </w:tcBorders>
          </w:tcPr>
          <w:p w14:paraId="75984805" w14:textId="77777777" w:rsidR="000305DD" w:rsidRPr="00F24972" w:rsidRDefault="000305DD" w:rsidP="000305DD">
            <w:pPr>
              <w:pStyle w:val="TableText"/>
              <w:rPr>
                <w:rFonts w:cs="Arial"/>
              </w:rPr>
            </w:pPr>
            <w:r>
              <w:rPr>
                <w:rFonts w:cs="Arial"/>
              </w:rPr>
              <w:t>Transfusion reaction workup</w:t>
            </w:r>
          </w:p>
        </w:tc>
        <w:tc>
          <w:tcPr>
            <w:tcW w:w="1080" w:type="dxa"/>
            <w:tcBorders>
              <w:top w:val="single" w:sz="4" w:space="0" w:color="auto"/>
              <w:left w:val="single" w:sz="4" w:space="0" w:color="auto"/>
              <w:bottom w:val="single" w:sz="4" w:space="0" w:color="auto"/>
              <w:right w:val="single" w:sz="4" w:space="0" w:color="auto"/>
            </w:tcBorders>
          </w:tcPr>
          <w:p w14:paraId="6E0FCC4B" w14:textId="77777777" w:rsidR="000305DD" w:rsidRPr="00F24972" w:rsidRDefault="000305DD" w:rsidP="000305DD">
            <w:pPr>
              <w:pStyle w:val="TableText"/>
              <w:rPr>
                <w:rFonts w:cs="Arial"/>
              </w:rPr>
            </w:pPr>
            <w:r w:rsidRPr="00F24972">
              <w:rPr>
                <w:rFonts w:cs="Arial"/>
              </w:rPr>
              <w:t>Positive</w:t>
            </w:r>
          </w:p>
        </w:tc>
        <w:tc>
          <w:tcPr>
            <w:tcW w:w="900" w:type="dxa"/>
            <w:tcBorders>
              <w:top w:val="single" w:sz="4" w:space="0" w:color="auto"/>
              <w:left w:val="single" w:sz="4" w:space="0" w:color="auto"/>
              <w:bottom w:val="single" w:sz="4" w:space="0" w:color="auto"/>
              <w:right w:val="single" w:sz="4" w:space="0" w:color="auto"/>
            </w:tcBorders>
          </w:tcPr>
          <w:p w14:paraId="6F1D4969" w14:textId="77777777" w:rsidR="000305DD" w:rsidRPr="00F24972" w:rsidRDefault="000305DD" w:rsidP="000305DD">
            <w:pPr>
              <w:pStyle w:val="TableText"/>
              <w:jc w:val="center"/>
              <w:rPr>
                <w:rFonts w:cs="Arial"/>
              </w:rPr>
            </w:pPr>
            <w:r w:rsidRPr="00F24972">
              <w:rPr>
                <w:rFonts w:cs="Arial"/>
              </w:rPr>
              <w:t>P</w:t>
            </w:r>
          </w:p>
        </w:tc>
        <w:tc>
          <w:tcPr>
            <w:tcW w:w="4950" w:type="dxa"/>
            <w:tcBorders>
              <w:top w:val="single" w:sz="4" w:space="0" w:color="auto"/>
              <w:left w:val="single" w:sz="4" w:space="0" w:color="auto"/>
              <w:bottom w:val="single" w:sz="4" w:space="0" w:color="auto"/>
              <w:right w:val="single" w:sz="4" w:space="0" w:color="auto"/>
            </w:tcBorders>
          </w:tcPr>
          <w:p w14:paraId="51963E33" w14:textId="77777777" w:rsidR="000305DD" w:rsidRPr="00F24972" w:rsidRDefault="000305DD" w:rsidP="000305DD">
            <w:pPr>
              <w:pStyle w:val="TableText"/>
              <w:rPr>
                <w:rFonts w:cs="Arial"/>
              </w:rPr>
            </w:pPr>
            <w:r w:rsidRPr="00F24972">
              <w:rPr>
                <w:rFonts w:cs="Arial"/>
              </w:rPr>
              <w:t>An ABS test for pre or post is enabled and a valid interpretation other than Not Tested is selected. A workload event is accrued separately for Pre and Post entries.</w:t>
            </w:r>
          </w:p>
        </w:tc>
      </w:tr>
      <w:tr w:rsidR="000305DD" w:rsidRPr="00F24972" w14:paraId="4F6FEED0" w14:textId="77777777" w:rsidTr="00FA340F">
        <w:trPr>
          <w:cantSplit/>
        </w:trPr>
        <w:tc>
          <w:tcPr>
            <w:tcW w:w="1733" w:type="dxa"/>
            <w:vMerge/>
            <w:tcBorders>
              <w:left w:val="single" w:sz="4" w:space="0" w:color="auto"/>
              <w:right w:val="single" w:sz="4" w:space="0" w:color="auto"/>
            </w:tcBorders>
          </w:tcPr>
          <w:p w14:paraId="39E91137" w14:textId="77777777" w:rsidR="000305DD" w:rsidRPr="00F24972" w:rsidRDefault="000305DD" w:rsidP="000305DD">
            <w:pPr>
              <w:pStyle w:val="TableText"/>
              <w:rPr>
                <w:rFonts w:cs="Arial"/>
              </w:rPr>
            </w:pPr>
          </w:p>
        </w:tc>
        <w:tc>
          <w:tcPr>
            <w:tcW w:w="1592" w:type="dxa"/>
            <w:tcBorders>
              <w:top w:val="single" w:sz="4" w:space="0" w:color="auto"/>
              <w:left w:val="single" w:sz="4" w:space="0" w:color="auto"/>
              <w:bottom w:val="single" w:sz="4" w:space="0" w:color="auto"/>
              <w:right w:val="single" w:sz="4" w:space="0" w:color="auto"/>
            </w:tcBorders>
          </w:tcPr>
          <w:p w14:paraId="3D464BB7" w14:textId="7462746B" w:rsidR="000305DD" w:rsidRPr="00F24972" w:rsidRDefault="000C7331" w:rsidP="000305DD">
            <w:pPr>
              <w:pStyle w:val="TableText"/>
              <w:rPr>
                <w:rFonts w:cs="Arial"/>
              </w:rPr>
            </w:pPr>
            <w:r>
              <w:rPr>
                <w:rFonts w:cs="Arial"/>
              </w:rPr>
              <w:t>Record</w:t>
            </w:r>
            <w:r w:rsidR="00ED1CAF">
              <w:rPr>
                <w:rFonts w:cs="Arial"/>
              </w:rPr>
              <w:t xml:space="preserve"> Testing:</w:t>
            </w:r>
            <w:r>
              <w:rPr>
                <w:rFonts w:cs="Arial"/>
              </w:rPr>
              <w:t xml:space="preserve"> </w:t>
            </w:r>
            <w:r w:rsidR="00DC7F5E">
              <w:rPr>
                <w:rFonts w:cs="Arial"/>
              </w:rPr>
              <w:t xml:space="preserve">Patient </w:t>
            </w:r>
            <w:r w:rsidR="000F42DE">
              <w:rPr>
                <w:rFonts w:cs="Arial"/>
              </w:rPr>
              <w:t>ABS test</w:t>
            </w:r>
          </w:p>
          <w:p w14:paraId="4CD37210" w14:textId="77777777" w:rsidR="000305DD" w:rsidRPr="00F24972" w:rsidRDefault="000305DD" w:rsidP="000305DD">
            <w:pPr>
              <w:pStyle w:val="TableText"/>
              <w:rPr>
                <w:rFonts w:cs="Arial"/>
              </w:rPr>
            </w:pPr>
          </w:p>
        </w:tc>
        <w:tc>
          <w:tcPr>
            <w:tcW w:w="1080" w:type="dxa"/>
            <w:tcBorders>
              <w:top w:val="single" w:sz="4" w:space="0" w:color="auto"/>
              <w:left w:val="single" w:sz="4" w:space="0" w:color="auto"/>
              <w:bottom w:val="single" w:sz="4" w:space="0" w:color="auto"/>
              <w:right w:val="single" w:sz="4" w:space="0" w:color="auto"/>
            </w:tcBorders>
          </w:tcPr>
          <w:p w14:paraId="66CBADB2" w14:textId="77777777" w:rsidR="000305DD" w:rsidRPr="00F24972" w:rsidRDefault="000305DD" w:rsidP="000305DD">
            <w:pPr>
              <w:pStyle w:val="TableText"/>
              <w:rPr>
                <w:rFonts w:cs="Arial"/>
              </w:rPr>
            </w:pPr>
            <w:r w:rsidRPr="00F24972">
              <w:rPr>
                <w:rFonts w:cs="Arial"/>
              </w:rPr>
              <w:t>Positive</w:t>
            </w:r>
          </w:p>
        </w:tc>
        <w:tc>
          <w:tcPr>
            <w:tcW w:w="900" w:type="dxa"/>
            <w:tcBorders>
              <w:top w:val="single" w:sz="4" w:space="0" w:color="auto"/>
              <w:left w:val="single" w:sz="4" w:space="0" w:color="auto"/>
              <w:bottom w:val="single" w:sz="4" w:space="0" w:color="auto"/>
              <w:right w:val="single" w:sz="4" w:space="0" w:color="auto"/>
            </w:tcBorders>
          </w:tcPr>
          <w:p w14:paraId="2ED3765C" w14:textId="77777777" w:rsidR="000305DD" w:rsidRPr="00F24972" w:rsidRDefault="000305DD" w:rsidP="000305DD">
            <w:pPr>
              <w:pStyle w:val="TableText"/>
              <w:jc w:val="center"/>
              <w:rPr>
                <w:rFonts w:cs="Arial"/>
              </w:rPr>
            </w:pPr>
            <w:r w:rsidRPr="00F24972">
              <w:rPr>
                <w:rFonts w:cs="Arial"/>
              </w:rPr>
              <w:t>P</w:t>
            </w:r>
          </w:p>
        </w:tc>
        <w:tc>
          <w:tcPr>
            <w:tcW w:w="4950" w:type="dxa"/>
            <w:tcBorders>
              <w:top w:val="single" w:sz="4" w:space="0" w:color="auto"/>
              <w:left w:val="single" w:sz="4" w:space="0" w:color="auto"/>
              <w:bottom w:val="single" w:sz="4" w:space="0" w:color="auto"/>
              <w:right w:val="single" w:sz="4" w:space="0" w:color="auto"/>
            </w:tcBorders>
          </w:tcPr>
          <w:p w14:paraId="01706218" w14:textId="728C5850" w:rsidR="000305DD" w:rsidRPr="00F24972" w:rsidRDefault="000305DD" w:rsidP="000305DD">
            <w:pPr>
              <w:pStyle w:val="TableText"/>
              <w:rPr>
                <w:rFonts w:cs="Arial"/>
              </w:rPr>
            </w:pPr>
            <w:r w:rsidRPr="00F24972">
              <w:rPr>
                <w:rFonts w:cs="Arial"/>
              </w:rPr>
              <w:t>Accrue workload when an ordered ABS test performed from the CPRS ordered test ABS only (</w:t>
            </w:r>
            <w:r>
              <w:rPr>
                <w:rFonts w:cs="Arial"/>
              </w:rPr>
              <w:t>Record Patient Antibody Screen</w:t>
            </w:r>
            <w:r w:rsidRPr="00F24972">
              <w:rPr>
                <w:rFonts w:cs="Arial"/>
              </w:rPr>
              <w:t xml:space="preserve"> is completed and saved by </w:t>
            </w:r>
            <w:r>
              <w:rPr>
                <w:rFonts w:cs="Arial"/>
              </w:rPr>
              <w:t>Record Testing</w:t>
            </w:r>
            <w:r w:rsidR="003A628D">
              <w:rPr>
                <w:rFonts w:cs="Arial"/>
              </w:rPr>
              <w:t>)</w:t>
            </w:r>
            <w:r w:rsidRPr="00F24972">
              <w:rPr>
                <w:rFonts w:cs="Arial"/>
              </w:rPr>
              <w:t xml:space="preserve">. The workload accrues when the ABS is completed and saved via </w:t>
            </w:r>
            <w:r>
              <w:rPr>
                <w:rFonts w:cs="Arial"/>
              </w:rPr>
              <w:t>Record Testing</w:t>
            </w:r>
            <w:r w:rsidRPr="00F24972">
              <w:rPr>
                <w:rFonts w:cs="Arial"/>
              </w:rPr>
              <w:t xml:space="preserve"> no matter how many cells (rows) are required by the division configuration.</w:t>
            </w:r>
          </w:p>
        </w:tc>
      </w:tr>
      <w:tr w:rsidR="000305DD" w:rsidRPr="00F24972" w14:paraId="09362C80" w14:textId="77777777" w:rsidTr="00FA340F">
        <w:trPr>
          <w:cantSplit/>
        </w:trPr>
        <w:tc>
          <w:tcPr>
            <w:tcW w:w="1733" w:type="dxa"/>
            <w:vMerge/>
            <w:tcBorders>
              <w:left w:val="single" w:sz="4" w:space="0" w:color="auto"/>
              <w:bottom w:val="single" w:sz="4" w:space="0" w:color="auto"/>
              <w:right w:val="single" w:sz="4" w:space="0" w:color="auto"/>
            </w:tcBorders>
          </w:tcPr>
          <w:p w14:paraId="14296EF8" w14:textId="77777777" w:rsidR="000305DD" w:rsidRPr="00F24972" w:rsidRDefault="000305DD" w:rsidP="000305DD">
            <w:pPr>
              <w:pStyle w:val="TableText"/>
              <w:rPr>
                <w:rFonts w:cs="Arial"/>
              </w:rPr>
            </w:pPr>
          </w:p>
        </w:tc>
        <w:tc>
          <w:tcPr>
            <w:tcW w:w="1592" w:type="dxa"/>
            <w:tcBorders>
              <w:top w:val="single" w:sz="4" w:space="0" w:color="auto"/>
              <w:left w:val="single" w:sz="4" w:space="0" w:color="auto"/>
              <w:bottom w:val="single" w:sz="4" w:space="0" w:color="auto"/>
              <w:right w:val="single" w:sz="4" w:space="0" w:color="auto"/>
            </w:tcBorders>
          </w:tcPr>
          <w:p w14:paraId="1492D106" w14:textId="77777777" w:rsidR="000305DD" w:rsidRPr="00F24972" w:rsidRDefault="000305DD" w:rsidP="000305DD">
            <w:pPr>
              <w:pStyle w:val="TableText"/>
              <w:rPr>
                <w:rFonts w:cs="Arial"/>
              </w:rPr>
            </w:pPr>
            <w:r>
              <w:rPr>
                <w:rFonts w:cs="Arial"/>
              </w:rPr>
              <w:t>Invalidate Patient Testing ABS test</w:t>
            </w:r>
          </w:p>
        </w:tc>
        <w:tc>
          <w:tcPr>
            <w:tcW w:w="1080" w:type="dxa"/>
            <w:tcBorders>
              <w:top w:val="single" w:sz="4" w:space="0" w:color="auto"/>
              <w:left w:val="single" w:sz="4" w:space="0" w:color="auto"/>
              <w:bottom w:val="single" w:sz="4" w:space="0" w:color="auto"/>
              <w:right w:val="single" w:sz="4" w:space="0" w:color="auto"/>
            </w:tcBorders>
          </w:tcPr>
          <w:p w14:paraId="5F699E1B" w14:textId="77777777" w:rsidR="000305DD" w:rsidRPr="00F24972" w:rsidRDefault="000305DD" w:rsidP="000305DD">
            <w:pPr>
              <w:pStyle w:val="TableText"/>
              <w:rPr>
                <w:rFonts w:cs="Arial"/>
                <w:b/>
              </w:rPr>
            </w:pPr>
            <w:r w:rsidRPr="00F24972">
              <w:rPr>
                <w:rFonts w:cs="Arial"/>
                <w:b/>
              </w:rPr>
              <w:t>Negative</w:t>
            </w:r>
          </w:p>
        </w:tc>
        <w:tc>
          <w:tcPr>
            <w:tcW w:w="900" w:type="dxa"/>
            <w:tcBorders>
              <w:top w:val="single" w:sz="4" w:space="0" w:color="auto"/>
              <w:left w:val="single" w:sz="4" w:space="0" w:color="auto"/>
              <w:bottom w:val="single" w:sz="4" w:space="0" w:color="auto"/>
              <w:right w:val="single" w:sz="4" w:space="0" w:color="auto"/>
            </w:tcBorders>
          </w:tcPr>
          <w:p w14:paraId="71E36439" w14:textId="77777777" w:rsidR="000305DD" w:rsidRPr="00F24972" w:rsidRDefault="000305DD" w:rsidP="000305DD">
            <w:pPr>
              <w:pStyle w:val="TableText"/>
              <w:jc w:val="center"/>
              <w:rPr>
                <w:rFonts w:cs="Arial"/>
              </w:rPr>
            </w:pPr>
            <w:r w:rsidRPr="00F24972">
              <w:rPr>
                <w:rFonts w:cs="Arial"/>
              </w:rPr>
              <w:t>P</w:t>
            </w:r>
          </w:p>
        </w:tc>
        <w:tc>
          <w:tcPr>
            <w:tcW w:w="4950" w:type="dxa"/>
            <w:tcBorders>
              <w:top w:val="single" w:sz="4" w:space="0" w:color="auto"/>
              <w:left w:val="single" w:sz="4" w:space="0" w:color="auto"/>
              <w:bottom w:val="single" w:sz="4" w:space="0" w:color="auto"/>
              <w:right w:val="single" w:sz="4" w:space="0" w:color="auto"/>
            </w:tcBorders>
          </w:tcPr>
          <w:p w14:paraId="3B88C68F" w14:textId="77777777" w:rsidR="000305DD" w:rsidRPr="00F24972" w:rsidRDefault="000305DD" w:rsidP="000305DD">
            <w:pPr>
              <w:pStyle w:val="TableText"/>
              <w:rPr>
                <w:rFonts w:cs="Arial"/>
              </w:rPr>
            </w:pPr>
            <w:r w:rsidRPr="00F24972">
              <w:rPr>
                <w:rFonts w:cs="Arial"/>
              </w:rPr>
              <w:t>Accrue workload when a completed ABS test is invalidated.</w:t>
            </w:r>
          </w:p>
        </w:tc>
      </w:tr>
      <w:tr w:rsidR="000305DD" w:rsidRPr="00F24972" w14:paraId="1B25FC84" w14:textId="77777777" w:rsidTr="00FA340F">
        <w:trPr>
          <w:cantSplit/>
        </w:trPr>
        <w:tc>
          <w:tcPr>
            <w:tcW w:w="1733" w:type="dxa"/>
            <w:vMerge w:val="restart"/>
            <w:tcBorders>
              <w:top w:val="single" w:sz="4" w:space="0" w:color="auto"/>
              <w:left w:val="single" w:sz="4" w:space="0" w:color="auto"/>
              <w:right w:val="single" w:sz="4" w:space="0" w:color="auto"/>
            </w:tcBorders>
          </w:tcPr>
          <w:p w14:paraId="7E55E816" w14:textId="77777777" w:rsidR="000305DD" w:rsidRPr="00F24972" w:rsidRDefault="000305DD" w:rsidP="000305DD">
            <w:pPr>
              <w:pStyle w:val="TableText"/>
              <w:rPr>
                <w:rFonts w:cs="Arial"/>
              </w:rPr>
            </w:pPr>
            <w:r w:rsidRPr="00F24972">
              <w:rPr>
                <w:rFonts w:cs="Arial"/>
              </w:rPr>
              <w:t>Antibody Screen (patient) Repeat Test</w:t>
            </w:r>
          </w:p>
        </w:tc>
        <w:tc>
          <w:tcPr>
            <w:tcW w:w="1592" w:type="dxa"/>
            <w:tcBorders>
              <w:top w:val="single" w:sz="4" w:space="0" w:color="auto"/>
              <w:left w:val="single" w:sz="4" w:space="0" w:color="auto"/>
              <w:bottom w:val="single" w:sz="4" w:space="0" w:color="auto"/>
              <w:right w:val="single" w:sz="4" w:space="0" w:color="auto"/>
            </w:tcBorders>
          </w:tcPr>
          <w:p w14:paraId="40B5A009" w14:textId="00191A1F" w:rsidR="000305DD" w:rsidRPr="00F24972" w:rsidRDefault="000C7331" w:rsidP="000305DD">
            <w:pPr>
              <w:pStyle w:val="TableText"/>
              <w:rPr>
                <w:rFonts w:cs="Arial"/>
              </w:rPr>
            </w:pPr>
            <w:r>
              <w:rPr>
                <w:rFonts w:cs="Arial"/>
              </w:rPr>
              <w:t>Record</w:t>
            </w:r>
            <w:r w:rsidR="000F42DE">
              <w:rPr>
                <w:rFonts w:cs="Arial"/>
              </w:rPr>
              <w:t xml:space="preserve"> Testing:</w:t>
            </w:r>
            <w:r w:rsidR="000305DD">
              <w:rPr>
                <w:rFonts w:cs="Arial"/>
              </w:rPr>
              <w:t xml:space="preserve"> </w:t>
            </w:r>
            <w:r w:rsidR="00261851">
              <w:rPr>
                <w:rFonts w:cs="Arial"/>
              </w:rPr>
              <w:t xml:space="preserve">Patient </w:t>
            </w:r>
            <w:r w:rsidR="000F42DE">
              <w:rPr>
                <w:rFonts w:cs="Arial"/>
              </w:rPr>
              <w:t>ABS test</w:t>
            </w:r>
          </w:p>
          <w:p w14:paraId="12C93F7B" w14:textId="77777777" w:rsidR="000305DD" w:rsidRPr="00F24972" w:rsidRDefault="000305DD" w:rsidP="000305DD">
            <w:pPr>
              <w:pStyle w:val="TableText"/>
              <w:rPr>
                <w:rFonts w:cs="Arial"/>
              </w:rPr>
            </w:pPr>
          </w:p>
        </w:tc>
        <w:tc>
          <w:tcPr>
            <w:tcW w:w="1080" w:type="dxa"/>
            <w:tcBorders>
              <w:top w:val="single" w:sz="4" w:space="0" w:color="auto"/>
              <w:left w:val="single" w:sz="4" w:space="0" w:color="auto"/>
              <w:bottom w:val="single" w:sz="4" w:space="0" w:color="auto"/>
              <w:right w:val="single" w:sz="4" w:space="0" w:color="auto"/>
            </w:tcBorders>
          </w:tcPr>
          <w:p w14:paraId="4D950CBA" w14:textId="77777777" w:rsidR="000305DD" w:rsidRPr="00F24972" w:rsidRDefault="000305DD" w:rsidP="000305DD">
            <w:pPr>
              <w:pStyle w:val="TableText"/>
              <w:rPr>
                <w:rFonts w:cs="Arial"/>
              </w:rPr>
            </w:pPr>
            <w:r w:rsidRPr="00F24972">
              <w:rPr>
                <w:rFonts w:cs="Arial"/>
              </w:rPr>
              <w:t>Positive</w:t>
            </w:r>
          </w:p>
        </w:tc>
        <w:tc>
          <w:tcPr>
            <w:tcW w:w="900" w:type="dxa"/>
            <w:tcBorders>
              <w:top w:val="single" w:sz="4" w:space="0" w:color="auto"/>
              <w:left w:val="single" w:sz="4" w:space="0" w:color="auto"/>
              <w:bottom w:val="single" w:sz="4" w:space="0" w:color="auto"/>
              <w:right w:val="single" w:sz="4" w:space="0" w:color="auto"/>
            </w:tcBorders>
          </w:tcPr>
          <w:p w14:paraId="6A161A81" w14:textId="77777777" w:rsidR="000305DD" w:rsidRPr="00F24972" w:rsidRDefault="000305DD" w:rsidP="000305DD">
            <w:pPr>
              <w:pStyle w:val="TableText"/>
              <w:jc w:val="center"/>
              <w:rPr>
                <w:rFonts w:cs="Arial"/>
              </w:rPr>
            </w:pPr>
            <w:r w:rsidRPr="00F24972">
              <w:rPr>
                <w:rFonts w:cs="Arial"/>
              </w:rPr>
              <w:t>M</w:t>
            </w:r>
          </w:p>
        </w:tc>
        <w:tc>
          <w:tcPr>
            <w:tcW w:w="4950" w:type="dxa"/>
            <w:tcBorders>
              <w:top w:val="single" w:sz="4" w:space="0" w:color="auto"/>
              <w:left w:val="single" w:sz="4" w:space="0" w:color="auto"/>
              <w:bottom w:val="single" w:sz="4" w:space="0" w:color="auto"/>
              <w:right w:val="single" w:sz="4" w:space="0" w:color="auto"/>
            </w:tcBorders>
          </w:tcPr>
          <w:p w14:paraId="6D03A605" w14:textId="6DE41274" w:rsidR="000305DD" w:rsidRPr="00F24972" w:rsidRDefault="000305DD" w:rsidP="000305DD">
            <w:pPr>
              <w:pStyle w:val="TableText"/>
              <w:rPr>
                <w:rFonts w:cs="Arial"/>
              </w:rPr>
            </w:pPr>
            <w:r w:rsidRPr="00F24972">
              <w:rPr>
                <w:rFonts w:cs="Arial"/>
              </w:rPr>
              <w:t xml:space="preserve">Accrue workload when a reflex or repeat ABS test is performed, completed and saved via </w:t>
            </w:r>
            <w:r>
              <w:rPr>
                <w:rFonts w:cs="Arial"/>
              </w:rPr>
              <w:t xml:space="preserve">Record </w:t>
            </w:r>
            <w:r w:rsidR="000F42DE">
              <w:rPr>
                <w:rFonts w:cs="Arial"/>
              </w:rPr>
              <w:t>Testing</w:t>
            </w:r>
            <w:r w:rsidRPr="00F24972">
              <w:rPr>
                <w:rFonts w:cs="Arial"/>
              </w:rPr>
              <w:t xml:space="preserve">. </w:t>
            </w:r>
          </w:p>
          <w:p w14:paraId="400501E1" w14:textId="77777777" w:rsidR="000305DD" w:rsidRPr="00F24972" w:rsidRDefault="000305DD" w:rsidP="000305DD">
            <w:pPr>
              <w:pStyle w:val="TableText"/>
              <w:rPr>
                <w:rFonts w:cs="Arial"/>
              </w:rPr>
            </w:pPr>
            <w:r w:rsidRPr="00F24972">
              <w:rPr>
                <w:rFonts w:cs="Arial"/>
              </w:rPr>
              <w:t xml:space="preserve">Note: ABS ordered in </w:t>
            </w:r>
            <w:r>
              <w:rPr>
                <w:rFonts w:cs="Arial"/>
              </w:rPr>
              <w:t>Order Reflex Test</w:t>
            </w:r>
            <w:r w:rsidRPr="00F24972">
              <w:rPr>
                <w:rFonts w:cs="Arial"/>
              </w:rPr>
              <w:t xml:space="preserve"> from main menu or via use of </w:t>
            </w:r>
            <w:r>
              <w:rPr>
                <w:rFonts w:cs="Arial"/>
              </w:rPr>
              <w:t>Order Reflex Test</w:t>
            </w:r>
            <w:r w:rsidRPr="00F24972">
              <w:rPr>
                <w:rFonts w:cs="Arial"/>
              </w:rPr>
              <w:t xml:space="preserve"> from </w:t>
            </w:r>
            <w:r>
              <w:rPr>
                <w:rFonts w:cs="Arial"/>
              </w:rPr>
              <w:t>Record Testing</w:t>
            </w:r>
            <w:r w:rsidRPr="00F24972">
              <w:rPr>
                <w:rFonts w:cs="Arial"/>
              </w:rPr>
              <w:t>.</w:t>
            </w:r>
          </w:p>
        </w:tc>
      </w:tr>
      <w:tr w:rsidR="000305DD" w:rsidRPr="00F24972" w14:paraId="745A114C" w14:textId="77777777" w:rsidTr="00FA340F">
        <w:trPr>
          <w:cantSplit/>
        </w:trPr>
        <w:tc>
          <w:tcPr>
            <w:tcW w:w="1733" w:type="dxa"/>
            <w:vMerge/>
            <w:tcBorders>
              <w:left w:val="single" w:sz="4" w:space="0" w:color="auto"/>
              <w:bottom w:val="single" w:sz="4" w:space="0" w:color="auto"/>
              <w:right w:val="single" w:sz="4" w:space="0" w:color="auto"/>
            </w:tcBorders>
          </w:tcPr>
          <w:p w14:paraId="1B551D63" w14:textId="77777777" w:rsidR="000305DD" w:rsidRPr="00F24972" w:rsidRDefault="000305DD" w:rsidP="000305DD">
            <w:pPr>
              <w:pStyle w:val="TableText"/>
              <w:rPr>
                <w:rFonts w:cs="Arial"/>
              </w:rPr>
            </w:pPr>
          </w:p>
        </w:tc>
        <w:tc>
          <w:tcPr>
            <w:tcW w:w="1592" w:type="dxa"/>
            <w:tcBorders>
              <w:top w:val="single" w:sz="4" w:space="0" w:color="auto"/>
              <w:left w:val="single" w:sz="4" w:space="0" w:color="auto"/>
              <w:bottom w:val="single" w:sz="4" w:space="0" w:color="auto"/>
              <w:right w:val="single" w:sz="4" w:space="0" w:color="auto"/>
            </w:tcBorders>
          </w:tcPr>
          <w:p w14:paraId="2B5512BE" w14:textId="77777777" w:rsidR="000305DD" w:rsidRPr="00F24972" w:rsidRDefault="000305DD" w:rsidP="000305DD">
            <w:pPr>
              <w:pStyle w:val="TableText"/>
              <w:rPr>
                <w:rFonts w:cs="Arial"/>
              </w:rPr>
            </w:pPr>
            <w:r>
              <w:rPr>
                <w:rFonts w:cs="Arial"/>
              </w:rPr>
              <w:t>Invalidate Patient Testing ABS test</w:t>
            </w:r>
          </w:p>
        </w:tc>
        <w:tc>
          <w:tcPr>
            <w:tcW w:w="1080" w:type="dxa"/>
            <w:tcBorders>
              <w:top w:val="single" w:sz="4" w:space="0" w:color="auto"/>
              <w:left w:val="single" w:sz="4" w:space="0" w:color="auto"/>
              <w:bottom w:val="single" w:sz="4" w:space="0" w:color="auto"/>
              <w:right w:val="single" w:sz="4" w:space="0" w:color="auto"/>
            </w:tcBorders>
          </w:tcPr>
          <w:p w14:paraId="79BCCA34" w14:textId="77777777" w:rsidR="000305DD" w:rsidRPr="00F24972" w:rsidRDefault="000305DD" w:rsidP="000305DD">
            <w:pPr>
              <w:rPr>
                <w:rFonts w:ascii="Arial" w:hAnsi="Arial" w:cs="Arial"/>
                <w:b/>
                <w:sz w:val="18"/>
                <w:szCs w:val="18"/>
              </w:rPr>
            </w:pPr>
            <w:r w:rsidRPr="00F24972">
              <w:rPr>
                <w:rFonts w:ascii="Arial" w:hAnsi="Arial" w:cs="Arial"/>
                <w:b/>
                <w:sz w:val="18"/>
                <w:szCs w:val="18"/>
              </w:rPr>
              <w:t>Negative</w:t>
            </w:r>
          </w:p>
        </w:tc>
        <w:tc>
          <w:tcPr>
            <w:tcW w:w="900" w:type="dxa"/>
            <w:tcBorders>
              <w:top w:val="single" w:sz="4" w:space="0" w:color="auto"/>
              <w:left w:val="single" w:sz="4" w:space="0" w:color="auto"/>
              <w:bottom w:val="single" w:sz="4" w:space="0" w:color="auto"/>
              <w:right w:val="single" w:sz="4" w:space="0" w:color="auto"/>
            </w:tcBorders>
          </w:tcPr>
          <w:p w14:paraId="5AA61C28" w14:textId="77777777" w:rsidR="000305DD" w:rsidRPr="00F24972" w:rsidRDefault="000305DD" w:rsidP="000305DD">
            <w:pPr>
              <w:pStyle w:val="TableText"/>
              <w:jc w:val="center"/>
              <w:rPr>
                <w:rFonts w:cs="Arial"/>
              </w:rPr>
            </w:pPr>
            <w:r w:rsidRPr="00F24972">
              <w:rPr>
                <w:rFonts w:cs="Arial"/>
              </w:rPr>
              <w:t>M</w:t>
            </w:r>
          </w:p>
        </w:tc>
        <w:tc>
          <w:tcPr>
            <w:tcW w:w="4950" w:type="dxa"/>
            <w:tcBorders>
              <w:top w:val="single" w:sz="4" w:space="0" w:color="auto"/>
              <w:left w:val="single" w:sz="4" w:space="0" w:color="auto"/>
              <w:bottom w:val="single" w:sz="4" w:space="0" w:color="auto"/>
              <w:right w:val="single" w:sz="4" w:space="0" w:color="auto"/>
            </w:tcBorders>
          </w:tcPr>
          <w:p w14:paraId="319320B2" w14:textId="77777777" w:rsidR="000305DD" w:rsidRPr="00F24972" w:rsidRDefault="000305DD" w:rsidP="000305DD">
            <w:pPr>
              <w:pStyle w:val="TableText"/>
              <w:rPr>
                <w:rFonts w:cs="Arial"/>
              </w:rPr>
            </w:pPr>
            <w:r w:rsidRPr="00F24972">
              <w:rPr>
                <w:rFonts w:cs="Arial"/>
              </w:rPr>
              <w:t>Accrue workload when a reflex or repeat ABS test is invalidated.</w:t>
            </w:r>
          </w:p>
        </w:tc>
      </w:tr>
      <w:tr w:rsidR="000305DD" w:rsidRPr="00F24972" w14:paraId="6EC93EA7" w14:textId="77777777" w:rsidTr="00FA340F">
        <w:trPr>
          <w:cantSplit/>
        </w:trPr>
        <w:tc>
          <w:tcPr>
            <w:tcW w:w="1733" w:type="dxa"/>
            <w:tcBorders>
              <w:top w:val="single" w:sz="4" w:space="0" w:color="auto"/>
              <w:left w:val="single" w:sz="4" w:space="0" w:color="auto"/>
              <w:bottom w:val="single" w:sz="4" w:space="0" w:color="auto"/>
              <w:right w:val="single" w:sz="4" w:space="0" w:color="auto"/>
            </w:tcBorders>
          </w:tcPr>
          <w:p w14:paraId="3E567923" w14:textId="77777777" w:rsidR="000305DD" w:rsidRPr="00F24972" w:rsidRDefault="000305DD" w:rsidP="000305DD">
            <w:pPr>
              <w:pStyle w:val="TableText"/>
              <w:rPr>
                <w:rFonts w:cs="Arial"/>
              </w:rPr>
            </w:pPr>
            <w:r w:rsidRPr="00F24972">
              <w:rPr>
                <w:rFonts w:cs="Arial"/>
              </w:rPr>
              <w:t>Antigen phenotyping, Single Test phase (QC)</w:t>
            </w:r>
          </w:p>
        </w:tc>
        <w:tc>
          <w:tcPr>
            <w:tcW w:w="1592" w:type="dxa"/>
            <w:tcBorders>
              <w:top w:val="single" w:sz="4" w:space="0" w:color="auto"/>
              <w:left w:val="single" w:sz="4" w:space="0" w:color="auto"/>
              <w:bottom w:val="single" w:sz="4" w:space="0" w:color="auto"/>
              <w:right w:val="single" w:sz="4" w:space="0" w:color="auto"/>
            </w:tcBorders>
          </w:tcPr>
          <w:p w14:paraId="1671F62E" w14:textId="61A4ED17" w:rsidR="000305DD" w:rsidRPr="00F24972" w:rsidRDefault="000F42DE" w:rsidP="000305DD">
            <w:pPr>
              <w:pStyle w:val="TableText"/>
              <w:rPr>
                <w:rFonts w:cs="Arial"/>
              </w:rPr>
            </w:pPr>
            <w:r>
              <w:rPr>
                <w:rFonts w:cs="Arial"/>
              </w:rPr>
              <w:t xml:space="preserve">QC for unit or </w:t>
            </w:r>
            <w:r w:rsidR="00FC66A5">
              <w:rPr>
                <w:rFonts w:cs="Arial"/>
              </w:rPr>
              <w:t xml:space="preserve">Record </w:t>
            </w:r>
            <w:r>
              <w:rPr>
                <w:rFonts w:cs="Arial"/>
              </w:rPr>
              <w:t xml:space="preserve">Testing: </w:t>
            </w:r>
            <w:r w:rsidR="00FC66A5">
              <w:rPr>
                <w:rFonts w:cs="Arial"/>
              </w:rPr>
              <w:t xml:space="preserve">Patient </w:t>
            </w:r>
            <w:r>
              <w:rPr>
                <w:rFonts w:cs="Arial"/>
              </w:rPr>
              <w:t>antigen typing</w:t>
            </w:r>
          </w:p>
          <w:p w14:paraId="2CFDFA9C" w14:textId="77777777" w:rsidR="000305DD" w:rsidRPr="00F24972" w:rsidRDefault="000305DD" w:rsidP="000305DD">
            <w:pPr>
              <w:pStyle w:val="TableText"/>
              <w:rPr>
                <w:rFonts w:cs="Arial"/>
              </w:rPr>
            </w:pPr>
          </w:p>
        </w:tc>
        <w:tc>
          <w:tcPr>
            <w:tcW w:w="1080" w:type="dxa"/>
            <w:tcBorders>
              <w:top w:val="single" w:sz="4" w:space="0" w:color="auto"/>
              <w:left w:val="single" w:sz="4" w:space="0" w:color="auto"/>
              <w:bottom w:val="single" w:sz="4" w:space="0" w:color="auto"/>
              <w:right w:val="single" w:sz="4" w:space="0" w:color="auto"/>
            </w:tcBorders>
          </w:tcPr>
          <w:p w14:paraId="2683F97B" w14:textId="77777777" w:rsidR="000305DD" w:rsidRPr="00F24972" w:rsidRDefault="000305DD" w:rsidP="000305DD">
            <w:pPr>
              <w:pStyle w:val="TableText"/>
              <w:rPr>
                <w:rFonts w:cs="Arial"/>
              </w:rPr>
            </w:pPr>
            <w:r w:rsidRPr="00F24972">
              <w:rPr>
                <w:rFonts w:cs="Arial"/>
              </w:rPr>
              <w:t>Positive</w:t>
            </w:r>
          </w:p>
        </w:tc>
        <w:tc>
          <w:tcPr>
            <w:tcW w:w="900" w:type="dxa"/>
            <w:tcBorders>
              <w:top w:val="single" w:sz="4" w:space="0" w:color="auto"/>
              <w:left w:val="single" w:sz="4" w:space="0" w:color="auto"/>
              <w:bottom w:val="single" w:sz="4" w:space="0" w:color="auto"/>
              <w:right w:val="single" w:sz="4" w:space="0" w:color="auto"/>
            </w:tcBorders>
          </w:tcPr>
          <w:p w14:paraId="3006B01D" w14:textId="77777777" w:rsidR="000305DD" w:rsidRPr="00F24972" w:rsidRDefault="000305DD" w:rsidP="000305DD">
            <w:pPr>
              <w:pStyle w:val="TableText"/>
              <w:jc w:val="center"/>
              <w:rPr>
                <w:rFonts w:cs="Arial"/>
              </w:rPr>
            </w:pPr>
            <w:r w:rsidRPr="00F24972">
              <w:rPr>
                <w:rFonts w:cs="Arial"/>
              </w:rPr>
              <w:t>M</w:t>
            </w:r>
          </w:p>
        </w:tc>
        <w:tc>
          <w:tcPr>
            <w:tcW w:w="4950" w:type="dxa"/>
            <w:tcBorders>
              <w:top w:val="single" w:sz="4" w:space="0" w:color="auto"/>
              <w:left w:val="single" w:sz="4" w:space="0" w:color="auto"/>
              <w:bottom w:val="single" w:sz="4" w:space="0" w:color="auto"/>
              <w:right w:val="single" w:sz="4" w:space="0" w:color="auto"/>
            </w:tcBorders>
            <w:vAlign w:val="bottom"/>
          </w:tcPr>
          <w:p w14:paraId="0B9F0681" w14:textId="4D1B9A0C" w:rsidR="000305DD" w:rsidRPr="00F24972" w:rsidRDefault="000305DD" w:rsidP="000305DD">
            <w:pPr>
              <w:pStyle w:val="TableText"/>
              <w:rPr>
                <w:rFonts w:cs="Arial"/>
              </w:rPr>
            </w:pPr>
            <w:r w:rsidRPr="00F24972">
              <w:rPr>
                <w:rFonts w:cs="Arial"/>
              </w:rPr>
              <w:t xml:space="preserve">Accrue workload when Antiserum QC is included in </w:t>
            </w:r>
            <w:r>
              <w:rPr>
                <w:rFonts w:cs="Arial"/>
              </w:rPr>
              <w:t>Record Phenotype Results</w:t>
            </w:r>
            <w:r w:rsidRPr="00F24972">
              <w:rPr>
                <w:rFonts w:cs="Arial"/>
              </w:rPr>
              <w:t xml:space="preserve"> or </w:t>
            </w:r>
            <w:r>
              <w:rPr>
                <w:rFonts w:cs="Arial"/>
              </w:rPr>
              <w:t>Record Patient Antigen Types</w:t>
            </w:r>
            <w:r w:rsidRPr="00F24972">
              <w:rPr>
                <w:rFonts w:cs="Arial"/>
              </w:rPr>
              <w:t xml:space="preserve"> includes the testing of both the positive and negative control cells, per specificity by lot number, when only one phase of reactivity is chosen for the test grid, IS or AHG. One workload event is collected per completed tab for regular or repeat antigen tests.</w:t>
            </w:r>
            <w:r w:rsidR="000F42DE">
              <w:rPr>
                <w:rFonts w:cs="Arial"/>
              </w:rPr>
              <w:t xml:space="preserve"> (Record Patient Antibody Typing is completed and saved by Record Testing).</w:t>
            </w:r>
          </w:p>
        </w:tc>
      </w:tr>
      <w:tr w:rsidR="000305DD" w:rsidRPr="00F24972" w14:paraId="4A9D7718" w14:textId="77777777" w:rsidTr="00FA340F">
        <w:trPr>
          <w:cantSplit/>
        </w:trPr>
        <w:tc>
          <w:tcPr>
            <w:tcW w:w="1733" w:type="dxa"/>
            <w:tcBorders>
              <w:top w:val="single" w:sz="4" w:space="0" w:color="auto"/>
              <w:left w:val="single" w:sz="4" w:space="0" w:color="auto"/>
              <w:bottom w:val="single" w:sz="4" w:space="0" w:color="auto"/>
              <w:right w:val="single" w:sz="4" w:space="0" w:color="auto"/>
            </w:tcBorders>
          </w:tcPr>
          <w:p w14:paraId="39758AEC" w14:textId="77777777" w:rsidR="000305DD" w:rsidRPr="00F24972" w:rsidRDefault="000305DD" w:rsidP="000305DD">
            <w:pPr>
              <w:pStyle w:val="TableText"/>
              <w:rPr>
                <w:rFonts w:cs="Arial"/>
              </w:rPr>
            </w:pPr>
            <w:r w:rsidRPr="00F24972">
              <w:rPr>
                <w:rFonts w:cs="Arial"/>
              </w:rPr>
              <w:t>Antigen phenotyping, Multiple Test phases (QC)</w:t>
            </w:r>
          </w:p>
        </w:tc>
        <w:tc>
          <w:tcPr>
            <w:tcW w:w="1592" w:type="dxa"/>
            <w:tcBorders>
              <w:top w:val="single" w:sz="4" w:space="0" w:color="auto"/>
              <w:left w:val="single" w:sz="4" w:space="0" w:color="auto"/>
              <w:bottom w:val="single" w:sz="4" w:space="0" w:color="auto"/>
              <w:right w:val="single" w:sz="4" w:space="0" w:color="auto"/>
            </w:tcBorders>
            <w:shd w:val="clear" w:color="auto" w:fill="auto"/>
          </w:tcPr>
          <w:p w14:paraId="6D5F5C1E" w14:textId="67F4F8B5" w:rsidR="000305DD" w:rsidRPr="00F24972" w:rsidRDefault="000305DD" w:rsidP="000305DD">
            <w:pPr>
              <w:pStyle w:val="TableText"/>
              <w:rPr>
                <w:rFonts w:cs="Arial"/>
              </w:rPr>
            </w:pPr>
            <w:r>
              <w:rPr>
                <w:rFonts w:cs="Arial"/>
              </w:rPr>
              <w:t xml:space="preserve">QC for unit or </w:t>
            </w:r>
            <w:r w:rsidR="000F42DE">
              <w:rPr>
                <w:rFonts w:cs="Arial"/>
              </w:rPr>
              <w:t xml:space="preserve">Record Testing: Patient </w:t>
            </w:r>
            <w:r>
              <w:rPr>
                <w:rFonts w:cs="Arial"/>
              </w:rPr>
              <w:t>antigen typing</w:t>
            </w:r>
          </w:p>
          <w:p w14:paraId="7E5DE9AC" w14:textId="77777777" w:rsidR="000305DD" w:rsidRPr="00F24972" w:rsidRDefault="000305DD" w:rsidP="000305DD">
            <w:pPr>
              <w:pStyle w:val="TableText"/>
              <w:rPr>
                <w:rFonts w:cs="Arial"/>
              </w:rPr>
            </w:pP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73DA7892" w14:textId="77777777" w:rsidR="000305DD" w:rsidRPr="00F24972" w:rsidRDefault="000305DD" w:rsidP="000305DD">
            <w:pPr>
              <w:pStyle w:val="TableText"/>
              <w:rPr>
                <w:rFonts w:cs="Arial"/>
              </w:rPr>
            </w:pPr>
            <w:r w:rsidRPr="00F24972">
              <w:rPr>
                <w:rFonts w:cs="Arial"/>
              </w:rPr>
              <w:t>Positive</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1F507A71" w14:textId="77777777" w:rsidR="000305DD" w:rsidRPr="00F24972" w:rsidRDefault="000305DD" w:rsidP="000305DD">
            <w:pPr>
              <w:pStyle w:val="TableText"/>
              <w:jc w:val="center"/>
              <w:rPr>
                <w:rFonts w:cs="Arial"/>
              </w:rPr>
            </w:pPr>
            <w:r w:rsidRPr="00F24972">
              <w:rPr>
                <w:rFonts w:cs="Arial"/>
              </w:rPr>
              <w:t>M</w:t>
            </w:r>
          </w:p>
        </w:tc>
        <w:tc>
          <w:tcPr>
            <w:tcW w:w="4950" w:type="dxa"/>
            <w:tcBorders>
              <w:top w:val="single" w:sz="4" w:space="0" w:color="auto"/>
              <w:left w:val="single" w:sz="4" w:space="0" w:color="auto"/>
              <w:bottom w:val="single" w:sz="4" w:space="0" w:color="auto"/>
              <w:right w:val="single" w:sz="4" w:space="0" w:color="auto"/>
            </w:tcBorders>
            <w:shd w:val="clear" w:color="auto" w:fill="auto"/>
            <w:vAlign w:val="bottom"/>
          </w:tcPr>
          <w:p w14:paraId="6D760F33" w14:textId="77777777" w:rsidR="000305DD" w:rsidRPr="00F24972" w:rsidRDefault="000305DD" w:rsidP="000305DD">
            <w:pPr>
              <w:pStyle w:val="TableText"/>
              <w:rPr>
                <w:rFonts w:cs="Arial"/>
              </w:rPr>
            </w:pPr>
            <w:r w:rsidRPr="00F24972">
              <w:rPr>
                <w:rFonts w:cs="Arial"/>
              </w:rPr>
              <w:t xml:space="preserve">Accrue workload when Antiserum QC is included in </w:t>
            </w:r>
            <w:r>
              <w:rPr>
                <w:rFonts w:cs="Arial"/>
              </w:rPr>
              <w:t>Record Phenotype Results</w:t>
            </w:r>
            <w:r w:rsidRPr="00F24972">
              <w:rPr>
                <w:rFonts w:cs="Arial"/>
              </w:rPr>
              <w:t xml:space="preserve"> or </w:t>
            </w:r>
            <w:r>
              <w:rPr>
                <w:rFonts w:cs="Arial"/>
              </w:rPr>
              <w:t>Record Patient Antigen Types</w:t>
            </w:r>
            <w:r w:rsidRPr="00F24972">
              <w:rPr>
                <w:rFonts w:cs="Arial"/>
              </w:rPr>
              <w:t xml:space="preserve"> includes the testing of both the positive and negative control cells, per specificity by lot number, when only multiple phases of reactivity is chosen for the test grid, IS/RT, RT/37 or weak D. One workload event is collected per completed tab for regular or repeat antigen tests.</w:t>
            </w:r>
          </w:p>
          <w:p w14:paraId="653202AC" w14:textId="4A6E35AC" w:rsidR="000305DD" w:rsidRPr="00F24972" w:rsidRDefault="000305DD" w:rsidP="000305DD">
            <w:pPr>
              <w:pStyle w:val="TableText"/>
              <w:rPr>
                <w:rFonts w:cs="Arial"/>
              </w:rPr>
            </w:pPr>
            <w:r w:rsidRPr="00F24972">
              <w:rPr>
                <w:rFonts w:cs="Arial"/>
              </w:rPr>
              <w:t>When weak D is the selected test, QC may not be accrued for the rack selection.</w:t>
            </w:r>
            <w:r>
              <w:rPr>
                <w:rFonts w:cs="Arial"/>
              </w:rPr>
              <w:t xml:space="preserve"> </w:t>
            </w:r>
            <w:r w:rsidRPr="00F24972">
              <w:rPr>
                <w:rFonts w:cs="Arial"/>
              </w:rPr>
              <w:t>QC is accrued when positive and negative cells must be tested for the lot number.</w:t>
            </w:r>
            <w:r w:rsidR="000F42DE">
              <w:rPr>
                <w:rFonts w:cs="Arial"/>
              </w:rPr>
              <w:t xml:space="preserve"> (Record Patient Antibody Typing is completed and saved by Record Testing).</w:t>
            </w:r>
          </w:p>
        </w:tc>
      </w:tr>
      <w:tr w:rsidR="000305DD" w:rsidRPr="00F24972" w14:paraId="7ED39CA7" w14:textId="77777777" w:rsidTr="00FA340F">
        <w:trPr>
          <w:cantSplit/>
        </w:trPr>
        <w:tc>
          <w:tcPr>
            <w:tcW w:w="1733" w:type="dxa"/>
            <w:tcBorders>
              <w:top w:val="single" w:sz="4" w:space="0" w:color="auto"/>
              <w:left w:val="single" w:sz="4" w:space="0" w:color="auto"/>
              <w:bottom w:val="single" w:sz="4" w:space="0" w:color="auto"/>
              <w:right w:val="single" w:sz="4" w:space="0" w:color="auto"/>
            </w:tcBorders>
          </w:tcPr>
          <w:p w14:paraId="15EEC22A" w14:textId="77777777" w:rsidR="000305DD" w:rsidRPr="00F24972" w:rsidRDefault="000305DD" w:rsidP="000305DD">
            <w:pPr>
              <w:pStyle w:val="TableText"/>
              <w:rPr>
                <w:rFonts w:cs="Arial"/>
              </w:rPr>
            </w:pPr>
            <w:r w:rsidRPr="00F24972">
              <w:rPr>
                <w:rFonts w:cs="Arial"/>
              </w:rPr>
              <w:lastRenderedPageBreak/>
              <w:t>Cancel Order</w:t>
            </w:r>
          </w:p>
        </w:tc>
        <w:tc>
          <w:tcPr>
            <w:tcW w:w="1592" w:type="dxa"/>
            <w:tcBorders>
              <w:top w:val="single" w:sz="4" w:space="0" w:color="auto"/>
              <w:left w:val="single" w:sz="4" w:space="0" w:color="auto"/>
              <w:bottom w:val="single" w:sz="4" w:space="0" w:color="auto"/>
              <w:right w:val="single" w:sz="4" w:space="0" w:color="auto"/>
            </w:tcBorders>
            <w:shd w:val="clear" w:color="auto" w:fill="auto"/>
          </w:tcPr>
          <w:p w14:paraId="039B950F" w14:textId="77777777" w:rsidR="000305DD" w:rsidRPr="00F24972" w:rsidRDefault="000305DD" w:rsidP="000305DD">
            <w:pPr>
              <w:pStyle w:val="TableText"/>
              <w:rPr>
                <w:rFonts w:cs="Arial"/>
              </w:rPr>
            </w:pPr>
            <w:r>
              <w:rPr>
                <w:rFonts w:cs="Arial"/>
                <w:snapToGrid w:val="0"/>
              </w:rPr>
              <w:t>Accept Order, Reject Order</w:t>
            </w:r>
            <w:r w:rsidRPr="00F24972">
              <w:rPr>
                <w:rFonts w:cs="Arial"/>
                <w:snapToGrid w:val="0"/>
              </w:rPr>
              <w:t xml:space="preserve"> </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02B22516" w14:textId="77777777" w:rsidR="000305DD" w:rsidRPr="00F24972" w:rsidRDefault="000305DD" w:rsidP="000305DD">
            <w:pPr>
              <w:pStyle w:val="TableText"/>
              <w:rPr>
                <w:rFonts w:cs="Arial"/>
              </w:rPr>
            </w:pPr>
            <w:r w:rsidRPr="00F24972">
              <w:rPr>
                <w:rFonts w:cs="Arial"/>
              </w:rPr>
              <w:t>Positive</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07457F28" w14:textId="77777777" w:rsidR="000305DD" w:rsidRPr="00F24972" w:rsidRDefault="000305DD" w:rsidP="000305DD">
            <w:pPr>
              <w:pStyle w:val="TableText"/>
              <w:jc w:val="center"/>
              <w:rPr>
                <w:rFonts w:cs="Arial"/>
              </w:rPr>
            </w:pPr>
            <w:r w:rsidRPr="00F24972">
              <w:rPr>
                <w:rFonts w:cs="Arial"/>
              </w:rPr>
              <w:t>M</w:t>
            </w:r>
          </w:p>
        </w:tc>
        <w:tc>
          <w:tcPr>
            <w:tcW w:w="4950" w:type="dxa"/>
            <w:tcBorders>
              <w:top w:val="single" w:sz="4" w:space="0" w:color="auto"/>
              <w:left w:val="single" w:sz="4" w:space="0" w:color="auto"/>
              <w:bottom w:val="single" w:sz="4" w:space="0" w:color="auto"/>
              <w:right w:val="single" w:sz="4" w:space="0" w:color="auto"/>
            </w:tcBorders>
            <w:shd w:val="clear" w:color="auto" w:fill="auto"/>
          </w:tcPr>
          <w:p w14:paraId="102BE3EC" w14:textId="49DD1E4F" w:rsidR="000305DD" w:rsidRPr="00F24972" w:rsidRDefault="000305DD" w:rsidP="000305DD">
            <w:pPr>
              <w:pStyle w:val="TableText"/>
              <w:rPr>
                <w:rFonts w:cs="Arial"/>
              </w:rPr>
            </w:pPr>
            <w:r w:rsidRPr="00F24972">
              <w:rPr>
                <w:rFonts w:cs="Arial"/>
              </w:rPr>
              <w:t>Accrue workload when an order on the pending order list is cancel</w:t>
            </w:r>
            <w:r w:rsidR="002F7E19">
              <w:rPr>
                <w:rFonts w:cs="Arial"/>
              </w:rPr>
              <w:t>l</w:t>
            </w:r>
            <w:r w:rsidRPr="00F24972">
              <w:rPr>
                <w:rFonts w:cs="Arial"/>
              </w:rPr>
              <w:t>ed. When a multiple orders are cancel</w:t>
            </w:r>
            <w:r w:rsidR="002F7E19">
              <w:rPr>
                <w:rFonts w:cs="Arial"/>
              </w:rPr>
              <w:t>l</w:t>
            </w:r>
            <w:r w:rsidRPr="00F24972">
              <w:rPr>
                <w:rFonts w:cs="Arial"/>
              </w:rPr>
              <w:t>ed, each order accrues workload.</w:t>
            </w:r>
          </w:p>
        </w:tc>
      </w:tr>
      <w:tr w:rsidR="000305DD" w:rsidRPr="00F24972" w14:paraId="5750BBB7" w14:textId="77777777" w:rsidTr="00FA340F">
        <w:trPr>
          <w:cantSplit/>
        </w:trPr>
        <w:tc>
          <w:tcPr>
            <w:tcW w:w="1733" w:type="dxa"/>
            <w:tcBorders>
              <w:top w:val="single" w:sz="4" w:space="0" w:color="auto"/>
              <w:left w:val="single" w:sz="4" w:space="0" w:color="auto"/>
              <w:bottom w:val="single" w:sz="4" w:space="0" w:color="auto"/>
              <w:right w:val="single" w:sz="4" w:space="0" w:color="auto"/>
            </w:tcBorders>
          </w:tcPr>
          <w:p w14:paraId="172DB203" w14:textId="77777777" w:rsidR="000305DD" w:rsidRPr="00F24972" w:rsidRDefault="000305DD" w:rsidP="000305DD">
            <w:pPr>
              <w:pStyle w:val="TableText"/>
              <w:rPr>
                <w:rFonts w:cs="Arial"/>
              </w:rPr>
            </w:pPr>
            <w:r w:rsidRPr="00F24972">
              <w:rPr>
                <w:rFonts w:cs="Arial"/>
              </w:rPr>
              <w:t>Cancel Order</w:t>
            </w:r>
          </w:p>
        </w:tc>
        <w:tc>
          <w:tcPr>
            <w:tcW w:w="1592" w:type="dxa"/>
            <w:tcBorders>
              <w:top w:val="single" w:sz="4" w:space="0" w:color="auto"/>
              <w:left w:val="single" w:sz="4" w:space="0" w:color="auto"/>
              <w:bottom w:val="single" w:sz="4" w:space="0" w:color="auto"/>
              <w:right w:val="single" w:sz="4" w:space="0" w:color="auto"/>
            </w:tcBorders>
          </w:tcPr>
          <w:p w14:paraId="4F12D835" w14:textId="77777777" w:rsidR="000305DD" w:rsidRPr="00F24972" w:rsidRDefault="000305DD" w:rsidP="000305DD">
            <w:pPr>
              <w:pStyle w:val="TableText"/>
              <w:rPr>
                <w:rFonts w:cs="Arial"/>
              </w:rPr>
            </w:pPr>
            <w:r>
              <w:rPr>
                <w:rFonts w:cs="Arial"/>
                <w:snapToGrid w:val="0"/>
              </w:rPr>
              <w:t>Patient Testing List, Cancel order</w:t>
            </w:r>
            <w:r w:rsidRPr="00F24972">
              <w:rPr>
                <w:rFonts w:cs="Arial"/>
                <w:snapToGrid w:val="0"/>
              </w:rPr>
              <w:t xml:space="preserve"> </w:t>
            </w:r>
          </w:p>
        </w:tc>
        <w:tc>
          <w:tcPr>
            <w:tcW w:w="1080" w:type="dxa"/>
            <w:tcBorders>
              <w:top w:val="single" w:sz="4" w:space="0" w:color="auto"/>
              <w:left w:val="single" w:sz="4" w:space="0" w:color="auto"/>
              <w:bottom w:val="single" w:sz="4" w:space="0" w:color="auto"/>
              <w:right w:val="single" w:sz="4" w:space="0" w:color="auto"/>
            </w:tcBorders>
          </w:tcPr>
          <w:p w14:paraId="20FD4F29" w14:textId="77777777" w:rsidR="000305DD" w:rsidRPr="00F24972" w:rsidRDefault="000305DD" w:rsidP="000305DD">
            <w:pPr>
              <w:pStyle w:val="TableText"/>
              <w:rPr>
                <w:rFonts w:cs="Arial"/>
              </w:rPr>
            </w:pPr>
            <w:r w:rsidRPr="00F24972">
              <w:rPr>
                <w:rFonts w:cs="Arial"/>
              </w:rPr>
              <w:t>Positive</w:t>
            </w:r>
          </w:p>
        </w:tc>
        <w:tc>
          <w:tcPr>
            <w:tcW w:w="900" w:type="dxa"/>
            <w:tcBorders>
              <w:top w:val="single" w:sz="4" w:space="0" w:color="auto"/>
              <w:left w:val="single" w:sz="4" w:space="0" w:color="auto"/>
              <w:bottom w:val="single" w:sz="4" w:space="0" w:color="auto"/>
              <w:right w:val="single" w:sz="4" w:space="0" w:color="auto"/>
            </w:tcBorders>
          </w:tcPr>
          <w:p w14:paraId="30D28C92" w14:textId="77777777" w:rsidR="000305DD" w:rsidRPr="00F24972" w:rsidRDefault="000305DD" w:rsidP="000305DD">
            <w:pPr>
              <w:pStyle w:val="TableText"/>
              <w:jc w:val="center"/>
              <w:rPr>
                <w:rFonts w:cs="Arial"/>
              </w:rPr>
            </w:pPr>
            <w:r w:rsidRPr="00F24972">
              <w:rPr>
                <w:rFonts w:cs="Arial"/>
              </w:rPr>
              <w:t>M</w:t>
            </w:r>
          </w:p>
        </w:tc>
        <w:tc>
          <w:tcPr>
            <w:tcW w:w="4950" w:type="dxa"/>
            <w:tcBorders>
              <w:top w:val="single" w:sz="4" w:space="0" w:color="auto"/>
              <w:left w:val="single" w:sz="4" w:space="0" w:color="auto"/>
              <w:bottom w:val="single" w:sz="4" w:space="0" w:color="auto"/>
              <w:right w:val="single" w:sz="4" w:space="0" w:color="auto"/>
            </w:tcBorders>
          </w:tcPr>
          <w:p w14:paraId="18678B1E" w14:textId="3DF8F26D" w:rsidR="000305DD" w:rsidRPr="00F24972" w:rsidRDefault="000305DD" w:rsidP="000305DD">
            <w:pPr>
              <w:pStyle w:val="TableText"/>
              <w:rPr>
                <w:rFonts w:cs="Arial"/>
              </w:rPr>
            </w:pPr>
            <w:r w:rsidRPr="00F24972">
              <w:rPr>
                <w:rFonts w:cs="Arial"/>
              </w:rPr>
              <w:t>Accrue workload when an order on the pending task list is cancel</w:t>
            </w:r>
            <w:r w:rsidR="002F7E19">
              <w:rPr>
                <w:rFonts w:cs="Arial"/>
              </w:rPr>
              <w:t>l</w:t>
            </w:r>
            <w:r w:rsidRPr="00F24972">
              <w:rPr>
                <w:rFonts w:cs="Arial"/>
              </w:rPr>
              <w:t xml:space="preserve">ed. When </w:t>
            </w:r>
            <w:r w:rsidR="00AE3B37" w:rsidRPr="00F24972">
              <w:rPr>
                <w:rFonts w:cs="Arial"/>
              </w:rPr>
              <w:t>multiple orders</w:t>
            </w:r>
            <w:r w:rsidRPr="00F24972">
              <w:rPr>
                <w:rFonts w:cs="Arial"/>
              </w:rPr>
              <w:t xml:space="preserve"> are cancel</w:t>
            </w:r>
            <w:r w:rsidR="002F7E19">
              <w:rPr>
                <w:rFonts w:cs="Arial"/>
              </w:rPr>
              <w:t>l</w:t>
            </w:r>
            <w:r w:rsidRPr="00F24972">
              <w:rPr>
                <w:rFonts w:cs="Arial"/>
              </w:rPr>
              <w:t>ed, each order accrues workload.</w:t>
            </w:r>
          </w:p>
        </w:tc>
      </w:tr>
      <w:tr w:rsidR="000305DD" w:rsidRPr="00F24972" w14:paraId="59EA11C5" w14:textId="77777777" w:rsidTr="00FA340F">
        <w:trPr>
          <w:cantSplit/>
        </w:trPr>
        <w:tc>
          <w:tcPr>
            <w:tcW w:w="1733" w:type="dxa"/>
          </w:tcPr>
          <w:p w14:paraId="4F3E2FB3" w14:textId="77777777" w:rsidR="000305DD" w:rsidRPr="00F24972" w:rsidRDefault="000305DD" w:rsidP="000305DD">
            <w:pPr>
              <w:pStyle w:val="TableText"/>
              <w:rPr>
                <w:rFonts w:cs="Arial"/>
              </w:rPr>
            </w:pPr>
            <w:r w:rsidRPr="00F24972">
              <w:rPr>
                <w:rFonts w:cs="Arial"/>
              </w:rPr>
              <w:t>Crossmatch unit, electronic</w:t>
            </w:r>
          </w:p>
          <w:p w14:paraId="1FB8C62A" w14:textId="77777777" w:rsidR="000305DD" w:rsidRPr="00F24972" w:rsidRDefault="000305DD" w:rsidP="000305DD">
            <w:pPr>
              <w:pStyle w:val="TableText"/>
              <w:rPr>
                <w:rFonts w:cs="Arial"/>
              </w:rPr>
            </w:pPr>
          </w:p>
        </w:tc>
        <w:tc>
          <w:tcPr>
            <w:tcW w:w="1592" w:type="dxa"/>
          </w:tcPr>
          <w:p w14:paraId="0E96EE76" w14:textId="77777777" w:rsidR="000305DD" w:rsidRPr="00F24972" w:rsidRDefault="000305DD" w:rsidP="000305DD">
            <w:pPr>
              <w:pStyle w:val="TableText"/>
              <w:rPr>
                <w:rFonts w:cs="Arial"/>
              </w:rPr>
            </w:pPr>
            <w:r>
              <w:rPr>
                <w:rFonts w:cs="Arial"/>
              </w:rPr>
              <w:t>Select Unit</w:t>
            </w:r>
          </w:p>
          <w:p w14:paraId="4F46D6FE" w14:textId="77777777" w:rsidR="000305DD" w:rsidRPr="00F24972" w:rsidRDefault="000305DD" w:rsidP="000305DD">
            <w:pPr>
              <w:pStyle w:val="TableText"/>
              <w:rPr>
                <w:rFonts w:cs="Arial"/>
              </w:rPr>
            </w:pPr>
          </w:p>
        </w:tc>
        <w:tc>
          <w:tcPr>
            <w:tcW w:w="1080" w:type="dxa"/>
          </w:tcPr>
          <w:p w14:paraId="6BB2BBF7" w14:textId="77777777" w:rsidR="000305DD" w:rsidRPr="00F24972" w:rsidRDefault="000305DD" w:rsidP="000305DD">
            <w:pPr>
              <w:pStyle w:val="TableText"/>
              <w:rPr>
                <w:rFonts w:cs="Arial"/>
              </w:rPr>
            </w:pPr>
            <w:r w:rsidRPr="00F24972">
              <w:rPr>
                <w:rFonts w:cs="Arial"/>
              </w:rPr>
              <w:t>Positive</w:t>
            </w:r>
          </w:p>
        </w:tc>
        <w:tc>
          <w:tcPr>
            <w:tcW w:w="900" w:type="dxa"/>
          </w:tcPr>
          <w:p w14:paraId="42E1EFF0" w14:textId="77777777" w:rsidR="000305DD" w:rsidRPr="00F24972" w:rsidRDefault="000305DD" w:rsidP="000305DD">
            <w:pPr>
              <w:pStyle w:val="TableText"/>
              <w:jc w:val="center"/>
              <w:rPr>
                <w:rFonts w:cs="Arial"/>
              </w:rPr>
            </w:pPr>
            <w:r w:rsidRPr="00F24972">
              <w:rPr>
                <w:rFonts w:cs="Arial"/>
              </w:rPr>
              <w:t>P</w:t>
            </w:r>
          </w:p>
        </w:tc>
        <w:tc>
          <w:tcPr>
            <w:tcW w:w="4950" w:type="dxa"/>
          </w:tcPr>
          <w:p w14:paraId="70BE91BE" w14:textId="67516D37" w:rsidR="000305DD" w:rsidRPr="00F24972" w:rsidRDefault="000305DD" w:rsidP="000305DD">
            <w:pPr>
              <w:pStyle w:val="TableText"/>
              <w:rPr>
                <w:rFonts w:cs="Arial"/>
              </w:rPr>
            </w:pPr>
            <w:r w:rsidRPr="00F24972">
              <w:rPr>
                <w:rFonts w:cs="Arial"/>
              </w:rPr>
              <w:t xml:space="preserve">This process is invoked when an individual unit is selected for patient assignment and the unit is electronically crossmatched. When </w:t>
            </w:r>
            <w:r w:rsidR="00AE3B37" w:rsidRPr="00F24972">
              <w:rPr>
                <w:rFonts w:cs="Arial"/>
              </w:rPr>
              <w:t>multiple units</w:t>
            </w:r>
            <w:r w:rsidRPr="00F24972">
              <w:rPr>
                <w:rFonts w:cs="Arial"/>
              </w:rPr>
              <w:t xml:space="preserve"> are selected, each unit accrues workload.</w:t>
            </w:r>
          </w:p>
        </w:tc>
      </w:tr>
      <w:tr w:rsidR="000305DD" w:rsidRPr="00F24972" w14:paraId="168D7F8F" w14:textId="77777777" w:rsidTr="00FA340F">
        <w:trPr>
          <w:cantSplit/>
        </w:trPr>
        <w:tc>
          <w:tcPr>
            <w:tcW w:w="1733" w:type="dxa"/>
            <w:vMerge w:val="restart"/>
            <w:shd w:val="clear" w:color="auto" w:fill="auto"/>
          </w:tcPr>
          <w:p w14:paraId="03B89434" w14:textId="77777777" w:rsidR="000305DD" w:rsidRPr="00F24972" w:rsidRDefault="000305DD" w:rsidP="000305DD">
            <w:pPr>
              <w:pStyle w:val="TableText"/>
              <w:rPr>
                <w:rFonts w:cs="Arial"/>
              </w:rPr>
            </w:pPr>
            <w:r w:rsidRPr="00F24972">
              <w:rPr>
                <w:rFonts w:cs="Arial"/>
              </w:rPr>
              <w:t>Crossmatch unit, serologic immediate spin</w:t>
            </w:r>
          </w:p>
        </w:tc>
        <w:tc>
          <w:tcPr>
            <w:tcW w:w="1592" w:type="dxa"/>
            <w:tcBorders>
              <w:top w:val="single" w:sz="4" w:space="0" w:color="auto"/>
              <w:bottom w:val="single" w:sz="4" w:space="0" w:color="auto"/>
              <w:right w:val="single" w:sz="4" w:space="0" w:color="auto"/>
            </w:tcBorders>
          </w:tcPr>
          <w:p w14:paraId="5B1A3600" w14:textId="6A7AD8ED" w:rsidR="000305DD" w:rsidRPr="00F24972" w:rsidRDefault="000C7331" w:rsidP="000305DD">
            <w:pPr>
              <w:pStyle w:val="TableText"/>
              <w:rPr>
                <w:rFonts w:cs="Arial"/>
              </w:rPr>
            </w:pPr>
            <w:r>
              <w:rPr>
                <w:rFonts w:cs="Arial"/>
              </w:rPr>
              <w:t>Record</w:t>
            </w:r>
            <w:r w:rsidR="000F42DE">
              <w:rPr>
                <w:rFonts w:cs="Arial"/>
              </w:rPr>
              <w:t xml:space="preserve"> Testing:</w:t>
            </w:r>
            <w:r w:rsidR="000305DD">
              <w:rPr>
                <w:rFonts w:cs="Arial"/>
              </w:rPr>
              <w:t xml:space="preserve"> </w:t>
            </w:r>
            <w:r w:rsidR="00001251">
              <w:rPr>
                <w:rFonts w:cs="Arial"/>
              </w:rPr>
              <w:t xml:space="preserve">Patient </w:t>
            </w:r>
            <w:r w:rsidR="000F42DE">
              <w:rPr>
                <w:rFonts w:cs="Arial"/>
              </w:rPr>
              <w:t>serologic crossmatch</w:t>
            </w:r>
          </w:p>
        </w:tc>
        <w:tc>
          <w:tcPr>
            <w:tcW w:w="1080" w:type="dxa"/>
            <w:tcBorders>
              <w:top w:val="single" w:sz="4" w:space="0" w:color="auto"/>
              <w:left w:val="single" w:sz="4" w:space="0" w:color="auto"/>
              <w:bottom w:val="single" w:sz="4" w:space="0" w:color="auto"/>
              <w:right w:val="single" w:sz="4" w:space="0" w:color="auto"/>
            </w:tcBorders>
          </w:tcPr>
          <w:p w14:paraId="17969729" w14:textId="77777777" w:rsidR="000305DD" w:rsidRPr="00F24972" w:rsidRDefault="000305DD" w:rsidP="000305DD">
            <w:pPr>
              <w:pStyle w:val="TableText"/>
              <w:rPr>
                <w:rFonts w:cs="Arial"/>
              </w:rPr>
            </w:pPr>
            <w:r w:rsidRPr="00F24972">
              <w:rPr>
                <w:rFonts w:cs="Arial"/>
              </w:rPr>
              <w:t>Positive</w:t>
            </w:r>
          </w:p>
        </w:tc>
        <w:tc>
          <w:tcPr>
            <w:tcW w:w="900" w:type="dxa"/>
            <w:tcBorders>
              <w:top w:val="single" w:sz="4" w:space="0" w:color="auto"/>
              <w:left w:val="single" w:sz="4" w:space="0" w:color="auto"/>
              <w:bottom w:val="single" w:sz="4" w:space="0" w:color="auto"/>
              <w:right w:val="single" w:sz="4" w:space="0" w:color="auto"/>
            </w:tcBorders>
          </w:tcPr>
          <w:p w14:paraId="0731CEB9" w14:textId="77777777" w:rsidR="000305DD" w:rsidRPr="00F24972" w:rsidRDefault="000305DD" w:rsidP="000305DD">
            <w:pPr>
              <w:pStyle w:val="TableText"/>
              <w:jc w:val="center"/>
              <w:rPr>
                <w:rFonts w:cs="Arial"/>
              </w:rPr>
            </w:pPr>
            <w:r w:rsidRPr="00F24972">
              <w:rPr>
                <w:rFonts w:cs="Arial"/>
              </w:rPr>
              <w:t>P</w:t>
            </w:r>
          </w:p>
        </w:tc>
        <w:tc>
          <w:tcPr>
            <w:tcW w:w="4950" w:type="dxa"/>
            <w:tcBorders>
              <w:top w:val="single" w:sz="4" w:space="0" w:color="auto"/>
              <w:left w:val="single" w:sz="4" w:space="0" w:color="auto"/>
              <w:bottom w:val="single" w:sz="4" w:space="0" w:color="auto"/>
              <w:right w:val="single" w:sz="4" w:space="0" w:color="auto"/>
            </w:tcBorders>
          </w:tcPr>
          <w:p w14:paraId="1CD445FB" w14:textId="3044C1D9" w:rsidR="000305DD" w:rsidRPr="00F24972" w:rsidRDefault="000305DD" w:rsidP="000305DD">
            <w:pPr>
              <w:pStyle w:val="TableText"/>
              <w:rPr>
                <w:rFonts w:cs="Arial"/>
              </w:rPr>
            </w:pPr>
            <w:r w:rsidRPr="00F24972">
              <w:rPr>
                <w:rFonts w:cs="Arial"/>
              </w:rPr>
              <w:t>Accrue workload when an individual unit (row) crossmatch, selected to include only the IS phase,</w:t>
            </w:r>
            <w:r w:rsidR="000F42DE">
              <w:rPr>
                <w:rFonts w:cs="Arial"/>
              </w:rPr>
              <w:t xml:space="preserve"> Record Patient Serologic Crossmatch</w:t>
            </w:r>
            <w:r w:rsidRPr="00F24972">
              <w:rPr>
                <w:rFonts w:cs="Arial"/>
              </w:rPr>
              <w:t xml:space="preserve"> is completed and is saved by </w:t>
            </w:r>
            <w:r>
              <w:rPr>
                <w:rFonts w:cs="Arial"/>
              </w:rPr>
              <w:t>Record Testing</w:t>
            </w:r>
            <w:r w:rsidRPr="00F24972">
              <w:rPr>
                <w:rFonts w:cs="Arial"/>
              </w:rPr>
              <w:t xml:space="preserve">. When </w:t>
            </w:r>
            <w:r w:rsidR="00AE3B37" w:rsidRPr="00F24972">
              <w:rPr>
                <w:rFonts w:cs="Arial"/>
              </w:rPr>
              <w:t>multiple units</w:t>
            </w:r>
            <w:r w:rsidRPr="00F24972">
              <w:rPr>
                <w:rFonts w:cs="Arial"/>
              </w:rPr>
              <w:t xml:space="preserve"> are selected, each unit (row) accrues workload.</w:t>
            </w:r>
          </w:p>
        </w:tc>
      </w:tr>
      <w:tr w:rsidR="000305DD" w:rsidRPr="00F24972" w14:paraId="6B65C944" w14:textId="77777777" w:rsidTr="00FA340F">
        <w:trPr>
          <w:cantSplit/>
        </w:trPr>
        <w:tc>
          <w:tcPr>
            <w:tcW w:w="1733" w:type="dxa"/>
            <w:vMerge/>
            <w:tcBorders>
              <w:bottom w:val="single" w:sz="4" w:space="0" w:color="auto"/>
            </w:tcBorders>
            <w:shd w:val="clear" w:color="auto" w:fill="auto"/>
          </w:tcPr>
          <w:p w14:paraId="4D634E77" w14:textId="77777777" w:rsidR="000305DD" w:rsidRPr="00F24972" w:rsidRDefault="000305DD" w:rsidP="000305DD">
            <w:pPr>
              <w:pStyle w:val="TableText"/>
              <w:rPr>
                <w:rFonts w:cs="Arial"/>
              </w:rPr>
            </w:pPr>
          </w:p>
        </w:tc>
        <w:tc>
          <w:tcPr>
            <w:tcW w:w="1592" w:type="dxa"/>
            <w:tcBorders>
              <w:top w:val="single" w:sz="4" w:space="0" w:color="auto"/>
              <w:bottom w:val="single" w:sz="4" w:space="0" w:color="auto"/>
              <w:right w:val="single" w:sz="4" w:space="0" w:color="auto"/>
            </w:tcBorders>
          </w:tcPr>
          <w:p w14:paraId="75C609F0" w14:textId="77777777" w:rsidR="000305DD" w:rsidRPr="00F24972" w:rsidRDefault="000305DD" w:rsidP="000305DD">
            <w:pPr>
              <w:pStyle w:val="TableText"/>
              <w:rPr>
                <w:rFonts w:cs="Arial"/>
              </w:rPr>
            </w:pPr>
            <w:r>
              <w:rPr>
                <w:rFonts w:cs="Arial"/>
              </w:rPr>
              <w:t>Invalidate Patient Testing, serologic crossmatch</w:t>
            </w:r>
          </w:p>
        </w:tc>
        <w:tc>
          <w:tcPr>
            <w:tcW w:w="1080" w:type="dxa"/>
            <w:tcBorders>
              <w:top w:val="single" w:sz="4" w:space="0" w:color="auto"/>
              <w:left w:val="single" w:sz="4" w:space="0" w:color="auto"/>
              <w:bottom w:val="single" w:sz="4" w:space="0" w:color="auto"/>
              <w:right w:val="single" w:sz="4" w:space="0" w:color="auto"/>
            </w:tcBorders>
          </w:tcPr>
          <w:p w14:paraId="49782CCE" w14:textId="77777777" w:rsidR="000305DD" w:rsidRPr="00F24972" w:rsidRDefault="000305DD" w:rsidP="000305DD">
            <w:pPr>
              <w:pStyle w:val="TableText"/>
              <w:rPr>
                <w:rFonts w:cs="Arial"/>
                <w:b/>
              </w:rPr>
            </w:pPr>
            <w:r w:rsidRPr="00F24972">
              <w:rPr>
                <w:rFonts w:cs="Arial"/>
                <w:b/>
              </w:rPr>
              <w:t>Negative</w:t>
            </w:r>
          </w:p>
        </w:tc>
        <w:tc>
          <w:tcPr>
            <w:tcW w:w="900" w:type="dxa"/>
            <w:tcBorders>
              <w:top w:val="single" w:sz="4" w:space="0" w:color="auto"/>
              <w:left w:val="single" w:sz="4" w:space="0" w:color="auto"/>
              <w:bottom w:val="single" w:sz="4" w:space="0" w:color="auto"/>
              <w:right w:val="single" w:sz="4" w:space="0" w:color="auto"/>
            </w:tcBorders>
          </w:tcPr>
          <w:p w14:paraId="225BB4FA" w14:textId="77777777" w:rsidR="000305DD" w:rsidRPr="00F24972" w:rsidRDefault="000305DD" w:rsidP="000305DD">
            <w:pPr>
              <w:pStyle w:val="TableText"/>
              <w:jc w:val="center"/>
              <w:rPr>
                <w:rFonts w:cs="Arial"/>
              </w:rPr>
            </w:pPr>
            <w:r w:rsidRPr="00F24972">
              <w:rPr>
                <w:rFonts w:cs="Arial"/>
              </w:rPr>
              <w:t>P</w:t>
            </w:r>
          </w:p>
        </w:tc>
        <w:tc>
          <w:tcPr>
            <w:tcW w:w="4950" w:type="dxa"/>
            <w:tcBorders>
              <w:top w:val="single" w:sz="4" w:space="0" w:color="auto"/>
              <w:left w:val="single" w:sz="4" w:space="0" w:color="auto"/>
              <w:bottom w:val="single" w:sz="4" w:space="0" w:color="auto"/>
              <w:right w:val="single" w:sz="4" w:space="0" w:color="auto"/>
            </w:tcBorders>
          </w:tcPr>
          <w:p w14:paraId="333AA201" w14:textId="77777777" w:rsidR="000305DD" w:rsidRPr="00F24972" w:rsidRDefault="000305DD" w:rsidP="000305DD">
            <w:pPr>
              <w:pStyle w:val="TableText"/>
              <w:rPr>
                <w:rFonts w:cs="Arial"/>
              </w:rPr>
            </w:pPr>
            <w:r w:rsidRPr="00F24972">
              <w:rPr>
                <w:rFonts w:cs="Arial"/>
              </w:rPr>
              <w:t>Accrue workload when a completed crossmatch test is invalidated. The workload originally saved with the test, serologic immediate spin.</w:t>
            </w:r>
          </w:p>
        </w:tc>
      </w:tr>
      <w:tr w:rsidR="000305DD" w:rsidRPr="00F24972" w14:paraId="0F4600D2" w14:textId="77777777" w:rsidTr="00FA340F">
        <w:trPr>
          <w:cantSplit/>
        </w:trPr>
        <w:tc>
          <w:tcPr>
            <w:tcW w:w="1733" w:type="dxa"/>
            <w:vMerge w:val="restart"/>
          </w:tcPr>
          <w:p w14:paraId="3AE72BCA" w14:textId="77777777" w:rsidR="000305DD" w:rsidRPr="00F24972" w:rsidRDefault="000305DD" w:rsidP="000305DD">
            <w:pPr>
              <w:pStyle w:val="TableText"/>
              <w:rPr>
                <w:rFonts w:cs="Arial"/>
              </w:rPr>
            </w:pPr>
            <w:r w:rsidRPr="00F24972">
              <w:rPr>
                <w:rFonts w:cs="Arial"/>
              </w:rPr>
              <w:t>Crossmatch unit, serological Coombs</w:t>
            </w:r>
          </w:p>
          <w:p w14:paraId="5187C869" w14:textId="77777777" w:rsidR="000305DD" w:rsidRPr="00F24972" w:rsidRDefault="000305DD" w:rsidP="000305DD">
            <w:pPr>
              <w:pStyle w:val="TableText"/>
              <w:rPr>
                <w:rFonts w:cs="Arial"/>
              </w:rPr>
            </w:pPr>
          </w:p>
        </w:tc>
        <w:tc>
          <w:tcPr>
            <w:tcW w:w="1592" w:type="dxa"/>
          </w:tcPr>
          <w:p w14:paraId="612050CA" w14:textId="4287F8FB" w:rsidR="000305DD" w:rsidRPr="00F24972" w:rsidRDefault="000F42DE" w:rsidP="000305DD">
            <w:pPr>
              <w:pStyle w:val="TableText"/>
              <w:rPr>
                <w:rFonts w:cs="Arial"/>
              </w:rPr>
            </w:pPr>
            <w:r>
              <w:rPr>
                <w:rFonts w:cs="Arial"/>
              </w:rPr>
              <w:t>Transfusion Reaction Workup, serologic crossmatch</w:t>
            </w:r>
          </w:p>
        </w:tc>
        <w:tc>
          <w:tcPr>
            <w:tcW w:w="1080" w:type="dxa"/>
          </w:tcPr>
          <w:p w14:paraId="2FC83DC2" w14:textId="77777777" w:rsidR="000305DD" w:rsidRPr="00F24972" w:rsidRDefault="000305DD" w:rsidP="000305DD">
            <w:pPr>
              <w:pStyle w:val="TableText"/>
              <w:rPr>
                <w:rFonts w:cs="Arial"/>
              </w:rPr>
            </w:pPr>
            <w:r w:rsidRPr="00F24972">
              <w:rPr>
                <w:rFonts w:cs="Arial"/>
              </w:rPr>
              <w:t>Positive</w:t>
            </w:r>
          </w:p>
        </w:tc>
        <w:tc>
          <w:tcPr>
            <w:tcW w:w="900" w:type="dxa"/>
          </w:tcPr>
          <w:p w14:paraId="2FF6164A" w14:textId="77777777" w:rsidR="000305DD" w:rsidRPr="00F24972" w:rsidRDefault="000305DD" w:rsidP="000305DD">
            <w:pPr>
              <w:pStyle w:val="TableText"/>
              <w:jc w:val="center"/>
              <w:rPr>
                <w:rFonts w:cs="Arial"/>
              </w:rPr>
            </w:pPr>
            <w:r w:rsidRPr="00F24972">
              <w:rPr>
                <w:rFonts w:cs="Arial"/>
              </w:rPr>
              <w:t>P</w:t>
            </w:r>
          </w:p>
        </w:tc>
        <w:tc>
          <w:tcPr>
            <w:tcW w:w="4950" w:type="dxa"/>
          </w:tcPr>
          <w:p w14:paraId="0EC1F46B" w14:textId="77777777" w:rsidR="000305DD" w:rsidRPr="00F24972" w:rsidRDefault="000305DD" w:rsidP="000305DD">
            <w:pPr>
              <w:pStyle w:val="TableText"/>
              <w:rPr>
                <w:rFonts w:cs="Arial"/>
              </w:rPr>
            </w:pPr>
            <w:r w:rsidRPr="00F24972">
              <w:rPr>
                <w:rFonts w:cs="Arial"/>
              </w:rPr>
              <w:t>A crossmatch test for pre or post is enabled and a valid interpretation other than Not Tested is selected. A workload event is accrued separately for Pre and Post entries.</w:t>
            </w:r>
          </w:p>
          <w:p w14:paraId="41CA770D" w14:textId="12C7E12B" w:rsidR="000305DD" w:rsidRPr="00F24972" w:rsidRDefault="000305DD" w:rsidP="000305DD">
            <w:pPr>
              <w:pStyle w:val="TableText"/>
              <w:rPr>
                <w:rFonts w:cs="Arial"/>
              </w:rPr>
            </w:pPr>
            <w:r w:rsidRPr="00F24972">
              <w:rPr>
                <w:rFonts w:cs="Arial"/>
              </w:rPr>
              <w:t xml:space="preserve">When </w:t>
            </w:r>
            <w:r w:rsidR="00AE3B37" w:rsidRPr="00F24972">
              <w:rPr>
                <w:rFonts w:cs="Arial"/>
              </w:rPr>
              <w:t>multiple units</w:t>
            </w:r>
            <w:r w:rsidRPr="00F24972">
              <w:rPr>
                <w:rFonts w:cs="Arial"/>
              </w:rPr>
              <w:t xml:space="preserve"> are selected, each unit accrues workload.</w:t>
            </w:r>
          </w:p>
        </w:tc>
      </w:tr>
      <w:tr w:rsidR="000305DD" w:rsidRPr="00F24972" w14:paraId="78533767" w14:textId="77777777" w:rsidTr="00FA340F">
        <w:trPr>
          <w:cantSplit/>
        </w:trPr>
        <w:tc>
          <w:tcPr>
            <w:tcW w:w="1733" w:type="dxa"/>
            <w:vMerge/>
          </w:tcPr>
          <w:p w14:paraId="0B9A3CA1" w14:textId="77777777" w:rsidR="000305DD" w:rsidRPr="00F24972" w:rsidRDefault="000305DD" w:rsidP="000305DD">
            <w:pPr>
              <w:pStyle w:val="TableText"/>
              <w:rPr>
                <w:rFonts w:cs="Arial"/>
              </w:rPr>
            </w:pPr>
          </w:p>
        </w:tc>
        <w:tc>
          <w:tcPr>
            <w:tcW w:w="1592" w:type="dxa"/>
            <w:tcBorders>
              <w:top w:val="single" w:sz="4" w:space="0" w:color="auto"/>
              <w:bottom w:val="single" w:sz="4" w:space="0" w:color="auto"/>
              <w:right w:val="single" w:sz="4" w:space="0" w:color="auto"/>
            </w:tcBorders>
          </w:tcPr>
          <w:p w14:paraId="371492C7" w14:textId="75679FBB" w:rsidR="000305DD" w:rsidRPr="00F24972" w:rsidRDefault="000F42DE" w:rsidP="000305DD">
            <w:pPr>
              <w:pStyle w:val="TableText"/>
              <w:rPr>
                <w:rFonts w:cs="Arial"/>
              </w:rPr>
            </w:pPr>
            <w:r>
              <w:rPr>
                <w:rFonts w:cs="Arial"/>
              </w:rPr>
              <w:t xml:space="preserve">Record Testing: </w:t>
            </w:r>
            <w:r w:rsidR="000305DD">
              <w:rPr>
                <w:rFonts w:cs="Arial"/>
              </w:rPr>
              <w:t>Patient serologic crossmatch</w:t>
            </w:r>
          </w:p>
        </w:tc>
        <w:tc>
          <w:tcPr>
            <w:tcW w:w="1080" w:type="dxa"/>
            <w:tcBorders>
              <w:top w:val="single" w:sz="4" w:space="0" w:color="auto"/>
              <w:left w:val="single" w:sz="4" w:space="0" w:color="auto"/>
              <w:bottom w:val="single" w:sz="4" w:space="0" w:color="auto"/>
              <w:right w:val="single" w:sz="4" w:space="0" w:color="auto"/>
            </w:tcBorders>
          </w:tcPr>
          <w:p w14:paraId="2B4FAF2A" w14:textId="77777777" w:rsidR="000305DD" w:rsidRPr="00F24972" w:rsidRDefault="000305DD" w:rsidP="000305DD">
            <w:pPr>
              <w:pStyle w:val="TableText"/>
              <w:rPr>
                <w:rFonts w:cs="Arial"/>
              </w:rPr>
            </w:pPr>
            <w:r w:rsidRPr="00F24972">
              <w:rPr>
                <w:rFonts w:cs="Arial"/>
              </w:rPr>
              <w:t>Positive</w:t>
            </w:r>
          </w:p>
        </w:tc>
        <w:tc>
          <w:tcPr>
            <w:tcW w:w="900" w:type="dxa"/>
            <w:tcBorders>
              <w:top w:val="single" w:sz="4" w:space="0" w:color="auto"/>
              <w:left w:val="single" w:sz="4" w:space="0" w:color="auto"/>
              <w:bottom w:val="single" w:sz="4" w:space="0" w:color="auto"/>
              <w:right w:val="single" w:sz="4" w:space="0" w:color="auto"/>
            </w:tcBorders>
          </w:tcPr>
          <w:p w14:paraId="2AFFB40D" w14:textId="77777777" w:rsidR="000305DD" w:rsidRPr="00F24972" w:rsidRDefault="000305DD" w:rsidP="000305DD">
            <w:pPr>
              <w:pStyle w:val="TableText"/>
              <w:jc w:val="center"/>
              <w:rPr>
                <w:rFonts w:cs="Arial"/>
              </w:rPr>
            </w:pPr>
            <w:r w:rsidRPr="00F24972">
              <w:rPr>
                <w:rFonts w:cs="Arial"/>
              </w:rPr>
              <w:t>P</w:t>
            </w:r>
          </w:p>
        </w:tc>
        <w:tc>
          <w:tcPr>
            <w:tcW w:w="4950" w:type="dxa"/>
            <w:tcBorders>
              <w:top w:val="single" w:sz="4" w:space="0" w:color="auto"/>
              <w:left w:val="single" w:sz="4" w:space="0" w:color="auto"/>
              <w:bottom w:val="single" w:sz="4" w:space="0" w:color="auto"/>
              <w:right w:val="single" w:sz="4" w:space="0" w:color="auto"/>
            </w:tcBorders>
          </w:tcPr>
          <w:p w14:paraId="2EAB2FBD" w14:textId="173DED2E" w:rsidR="000305DD" w:rsidRPr="00F24972" w:rsidRDefault="000305DD" w:rsidP="000305DD">
            <w:pPr>
              <w:pStyle w:val="TableText"/>
              <w:rPr>
                <w:rFonts w:cs="Arial"/>
              </w:rPr>
            </w:pPr>
            <w:r w:rsidRPr="00F24972">
              <w:rPr>
                <w:rFonts w:cs="Arial"/>
              </w:rPr>
              <w:t>Accrue workload when an individual unit (row) crossmatch, selected to include all phases or only AHG phase,</w:t>
            </w:r>
            <w:r w:rsidR="000F42DE">
              <w:rPr>
                <w:rFonts w:cs="Arial"/>
              </w:rPr>
              <w:t xml:space="preserve"> Record Patient Serologic Crossmatch</w:t>
            </w:r>
            <w:r w:rsidRPr="00F24972">
              <w:rPr>
                <w:rFonts w:cs="Arial"/>
              </w:rPr>
              <w:t xml:space="preserve"> is completed and is saved by </w:t>
            </w:r>
            <w:r>
              <w:rPr>
                <w:rFonts w:cs="Arial"/>
              </w:rPr>
              <w:t>Record Testing</w:t>
            </w:r>
            <w:r w:rsidRPr="00F24972">
              <w:rPr>
                <w:rFonts w:cs="Arial"/>
              </w:rPr>
              <w:t xml:space="preserve">. When </w:t>
            </w:r>
            <w:r w:rsidR="00AE3B37" w:rsidRPr="00F24972">
              <w:rPr>
                <w:rFonts w:cs="Arial"/>
              </w:rPr>
              <w:t>multiple units</w:t>
            </w:r>
            <w:r w:rsidRPr="00F24972">
              <w:rPr>
                <w:rFonts w:cs="Arial"/>
              </w:rPr>
              <w:t xml:space="preserve"> are selected, each unit (row) accrues workload.</w:t>
            </w:r>
          </w:p>
        </w:tc>
      </w:tr>
      <w:tr w:rsidR="000305DD" w:rsidRPr="00F24972" w14:paraId="0F8C7507" w14:textId="77777777" w:rsidTr="00FA340F">
        <w:trPr>
          <w:cantSplit/>
        </w:trPr>
        <w:tc>
          <w:tcPr>
            <w:tcW w:w="1733" w:type="dxa"/>
            <w:vMerge/>
            <w:tcBorders>
              <w:bottom w:val="single" w:sz="4" w:space="0" w:color="auto"/>
            </w:tcBorders>
          </w:tcPr>
          <w:p w14:paraId="2B817124" w14:textId="77777777" w:rsidR="000305DD" w:rsidRPr="00F24972" w:rsidRDefault="000305DD" w:rsidP="000305DD">
            <w:pPr>
              <w:pStyle w:val="TableText"/>
              <w:rPr>
                <w:rFonts w:cs="Arial"/>
              </w:rPr>
            </w:pPr>
          </w:p>
        </w:tc>
        <w:tc>
          <w:tcPr>
            <w:tcW w:w="1592" w:type="dxa"/>
            <w:tcBorders>
              <w:top w:val="single" w:sz="4" w:space="0" w:color="auto"/>
              <w:bottom w:val="single" w:sz="4" w:space="0" w:color="auto"/>
              <w:right w:val="single" w:sz="4" w:space="0" w:color="auto"/>
            </w:tcBorders>
          </w:tcPr>
          <w:p w14:paraId="1FDE3C56" w14:textId="77777777" w:rsidR="000305DD" w:rsidRDefault="000305DD" w:rsidP="000305DD">
            <w:pPr>
              <w:pStyle w:val="TableText"/>
              <w:rPr>
                <w:rFonts w:cs="Arial"/>
              </w:rPr>
            </w:pPr>
            <w:r>
              <w:rPr>
                <w:rFonts w:cs="Arial"/>
              </w:rPr>
              <w:t>Invalidate</w:t>
            </w:r>
          </w:p>
          <w:p w14:paraId="2BBD62F2" w14:textId="77777777" w:rsidR="000305DD" w:rsidRPr="00F24972" w:rsidRDefault="000305DD" w:rsidP="000305DD">
            <w:pPr>
              <w:pStyle w:val="TableText"/>
              <w:rPr>
                <w:rFonts w:cs="Arial"/>
              </w:rPr>
            </w:pPr>
            <w:r>
              <w:rPr>
                <w:rFonts w:cs="Arial"/>
              </w:rPr>
              <w:t>Patient Testing, serologic crossmatch</w:t>
            </w:r>
          </w:p>
        </w:tc>
        <w:tc>
          <w:tcPr>
            <w:tcW w:w="1080" w:type="dxa"/>
            <w:tcBorders>
              <w:top w:val="single" w:sz="4" w:space="0" w:color="auto"/>
              <w:left w:val="single" w:sz="4" w:space="0" w:color="auto"/>
              <w:bottom w:val="single" w:sz="4" w:space="0" w:color="auto"/>
              <w:right w:val="single" w:sz="4" w:space="0" w:color="auto"/>
            </w:tcBorders>
          </w:tcPr>
          <w:p w14:paraId="1B899E21" w14:textId="77777777" w:rsidR="000305DD" w:rsidRPr="00F24972" w:rsidRDefault="000305DD" w:rsidP="000305DD">
            <w:pPr>
              <w:pStyle w:val="TableText"/>
              <w:rPr>
                <w:rFonts w:cs="Arial"/>
                <w:b/>
              </w:rPr>
            </w:pPr>
            <w:r w:rsidRPr="00F24972">
              <w:rPr>
                <w:rFonts w:cs="Arial"/>
                <w:b/>
              </w:rPr>
              <w:t>Negative</w:t>
            </w:r>
          </w:p>
        </w:tc>
        <w:tc>
          <w:tcPr>
            <w:tcW w:w="900" w:type="dxa"/>
            <w:tcBorders>
              <w:top w:val="single" w:sz="4" w:space="0" w:color="auto"/>
              <w:left w:val="single" w:sz="4" w:space="0" w:color="auto"/>
              <w:bottom w:val="single" w:sz="4" w:space="0" w:color="auto"/>
              <w:right w:val="single" w:sz="4" w:space="0" w:color="auto"/>
            </w:tcBorders>
          </w:tcPr>
          <w:p w14:paraId="09842505" w14:textId="77777777" w:rsidR="000305DD" w:rsidRPr="00F24972" w:rsidRDefault="000305DD" w:rsidP="000305DD">
            <w:pPr>
              <w:pStyle w:val="TableText"/>
              <w:jc w:val="center"/>
              <w:rPr>
                <w:rFonts w:cs="Arial"/>
              </w:rPr>
            </w:pPr>
            <w:r w:rsidRPr="00F24972">
              <w:rPr>
                <w:rFonts w:cs="Arial"/>
              </w:rPr>
              <w:t>P</w:t>
            </w:r>
          </w:p>
        </w:tc>
        <w:tc>
          <w:tcPr>
            <w:tcW w:w="4950" w:type="dxa"/>
            <w:tcBorders>
              <w:top w:val="single" w:sz="4" w:space="0" w:color="auto"/>
              <w:left w:val="single" w:sz="4" w:space="0" w:color="auto"/>
              <w:bottom w:val="single" w:sz="4" w:space="0" w:color="auto"/>
              <w:right w:val="single" w:sz="4" w:space="0" w:color="auto"/>
            </w:tcBorders>
          </w:tcPr>
          <w:p w14:paraId="2D8CD9CE" w14:textId="77777777" w:rsidR="000305DD" w:rsidRPr="00F24972" w:rsidRDefault="000305DD" w:rsidP="000305DD">
            <w:pPr>
              <w:pStyle w:val="TableText"/>
              <w:rPr>
                <w:rFonts w:cs="Arial"/>
              </w:rPr>
            </w:pPr>
            <w:r w:rsidRPr="00F24972">
              <w:rPr>
                <w:rFonts w:cs="Arial"/>
              </w:rPr>
              <w:t>Accrue workload when a completed crossmatch test is invalidated. The workload originally saved with the test, serological Coombs.</w:t>
            </w:r>
          </w:p>
        </w:tc>
      </w:tr>
      <w:tr w:rsidR="000305DD" w:rsidRPr="00F24972" w14:paraId="31BB82BE" w14:textId="77777777" w:rsidTr="00FA340F">
        <w:trPr>
          <w:cantSplit/>
        </w:trPr>
        <w:tc>
          <w:tcPr>
            <w:tcW w:w="1733" w:type="dxa"/>
            <w:vMerge w:val="restart"/>
          </w:tcPr>
          <w:p w14:paraId="1A724212" w14:textId="77777777" w:rsidR="000305DD" w:rsidRPr="00F24972" w:rsidRDefault="000305DD" w:rsidP="000305DD">
            <w:pPr>
              <w:pStyle w:val="TableText"/>
              <w:rPr>
                <w:rFonts w:cs="Arial"/>
              </w:rPr>
            </w:pPr>
            <w:r w:rsidRPr="00F24972">
              <w:rPr>
                <w:rFonts w:cs="Arial"/>
              </w:rPr>
              <w:t>Crossmatch, Repeat Test</w:t>
            </w:r>
          </w:p>
          <w:p w14:paraId="2C5D6CAE" w14:textId="77777777" w:rsidR="000305DD" w:rsidRPr="00F24972" w:rsidRDefault="000305DD" w:rsidP="000305DD">
            <w:pPr>
              <w:pStyle w:val="TableText"/>
              <w:rPr>
                <w:rFonts w:cs="Arial"/>
              </w:rPr>
            </w:pPr>
          </w:p>
        </w:tc>
        <w:tc>
          <w:tcPr>
            <w:tcW w:w="1592" w:type="dxa"/>
          </w:tcPr>
          <w:p w14:paraId="171F1546" w14:textId="3CFD1CB3" w:rsidR="000305DD" w:rsidRPr="00F24972" w:rsidRDefault="00D06D19" w:rsidP="000305DD">
            <w:pPr>
              <w:pStyle w:val="TableText"/>
              <w:rPr>
                <w:rFonts w:cs="Arial"/>
              </w:rPr>
            </w:pPr>
            <w:r>
              <w:rPr>
                <w:rFonts w:cs="Arial"/>
              </w:rPr>
              <w:t>Record</w:t>
            </w:r>
            <w:r w:rsidR="000F42DE">
              <w:rPr>
                <w:rFonts w:cs="Arial"/>
              </w:rPr>
              <w:t xml:space="preserve"> Testing:</w:t>
            </w:r>
            <w:r w:rsidR="000305DD">
              <w:rPr>
                <w:rFonts w:cs="Arial"/>
              </w:rPr>
              <w:t xml:space="preserve"> </w:t>
            </w:r>
            <w:r w:rsidR="00001251">
              <w:rPr>
                <w:rFonts w:cs="Arial"/>
              </w:rPr>
              <w:t xml:space="preserve">Patient </w:t>
            </w:r>
            <w:r w:rsidR="000F42DE">
              <w:rPr>
                <w:rFonts w:cs="Arial"/>
              </w:rPr>
              <w:t>serologic crossmatch</w:t>
            </w:r>
          </w:p>
        </w:tc>
        <w:tc>
          <w:tcPr>
            <w:tcW w:w="1080" w:type="dxa"/>
          </w:tcPr>
          <w:p w14:paraId="1E7FCB8A" w14:textId="77777777" w:rsidR="000305DD" w:rsidRPr="00F24972" w:rsidRDefault="000305DD" w:rsidP="000305DD">
            <w:pPr>
              <w:pStyle w:val="TableText"/>
              <w:rPr>
                <w:rFonts w:cs="Arial"/>
              </w:rPr>
            </w:pPr>
            <w:r w:rsidRPr="00F24972">
              <w:rPr>
                <w:rFonts w:cs="Arial"/>
              </w:rPr>
              <w:t>Positive</w:t>
            </w:r>
          </w:p>
        </w:tc>
        <w:tc>
          <w:tcPr>
            <w:tcW w:w="900" w:type="dxa"/>
          </w:tcPr>
          <w:p w14:paraId="27B02DF3" w14:textId="77777777" w:rsidR="000305DD" w:rsidRPr="00F24972" w:rsidRDefault="000305DD" w:rsidP="000305DD">
            <w:pPr>
              <w:pStyle w:val="TableText"/>
              <w:jc w:val="center"/>
              <w:rPr>
                <w:rFonts w:cs="Arial"/>
              </w:rPr>
            </w:pPr>
            <w:r w:rsidRPr="00F24972">
              <w:rPr>
                <w:rFonts w:cs="Arial"/>
              </w:rPr>
              <w:t>M</w:t>
            </w:r>
          </w:p>
        </w:tc>
        <w:tc>
          <w:tcPr>
            <w:tcW w:w="4950" w:type="dxa"/>
          </w:tcPr>
          <w:p w14:paraId="2CDF7B53" w14:textId="6919BB74" w:rsidR="000305DD" w:rsidRPr="00F24972" w:rsidRDefault="000305DD" w:rsidP="000305DD">
            <w:pPr>
              <w:pStyle w:val="TableText"/>
              <w:rPr>
                <w:rFonts w:cs="Arial"/>
              </w:rPr>
            </w:pPr>
            <w:r w:rsidRPr="00F24972">
              <w:rPr>
                <w:rFonts w:cs="Arial"/>
              </w:rPr>
              <w:t>Accrue workload when an individual unit (row) crossmatch, selected to include all phases or IS or only AHG phase,</w:t>
            </w:r>
            <w:r w:rsidR="000F42DE">
              <w:rPr>
                <w:rFonts w:cs="Arial"/>
              </w:rPr>
              <w:t xml:space="preserve"> Record Patient Serologic Crossmatch</w:t>
            </w:r>
            <w:r w:rsidRPr="00F24972">
              <w:rPr>
                <w:rFonts w:cs="Arial"/>
              </w:rPr>
              <w:t xml:space="preserve"> is completed and is saved by </w:t>
            </w:r>
            <w:r>
              <w:rPr>
                <w:rFonts w:cs="Arial"/>
              </w:rPr>
              <w:t>Record Testing</w:t>
            </w:r>
            <w:r w:rsidRPr="00F24972">
              <w:rPr>
                <w:rFonts w:cs="Arial"/>
              </w:rPr>
              <w:t xml:space="preserve">. When </w:t>
            </w:r>
            <w:r w:rsidR="00AE3B37" w:rsidRPr="00F24972">
              <w:rPr>
                <w:rFonts w:cs="Arial"/>
              </w:rPr>
              <w:t>multiple units</w:t>
            </w:r>
            <w:r w:rsidRPr="00F24972">
              <w:rPr>
                <w:rFonts w:cs="Arial"/>
              </w:rPr>
              <w:t xml:space="preserve"> are selected, each unit (row) accrues workload.</w:t>
            </w:r>
          </w:p>
          <w:p w14:paraId="148AF3E6" w14:textId="77777777" w:rsidR="000305DD" w:rsidRPr="00F24972" w:rsidRDefault="000305DD" w:rsidP="000305DD">
            <w:pPr>
              <w:pStyle w:val="TableText"/>
              <w:rPr>
                <w:rFonts w:cs="Arial"/>
              </w:rPr>
            </w:pPr>
            <w:r w:rsidRPr="00F24972">
              <w:rPr>
                <w:rFonts w:cs="Arial"/>
              </w:rPr>
              <w:t xml:space="preserve">Note: ordered via </w:t>
            </w:r>
            <w:r>
              <w:rPr>
                <w:rFonts w:cs="Arial"/>
              </w:rPr>
              <w:t>Order Reflex Test</w:t>
            </w:r>
            <w:r w:rsidRPr="00F24972">
              <w:rPr>
                <w:rFonts w:cs="Arial"/>
              </w:rPr>
              <w:t xml:space="preserve"> from main menu or the use of </w:t>
            </w:r>
            <w:r>
              <w:rPr>
                <w:rFonts w:cs="Arial"/>
              </w:rPr>
              <w:t>Order Reflex Test</w:t>
            </w:r>
            <w:r w:rsidRPr="00F24972">
              <w:rPr>
                <w:rFonts w:cs="Arial"/>
              </w:rPr>
              <w:t xml:space="preserve"> by </w:t>
            </w:r>
            <w:r>
              <w:rPr>
                <w:rFonts w:cs="Arial"/>
              </w:rPr>
              <w:t>Record Testing</w:t>
            </w:r>
            <w:r w:rsidRPr="00F24972">
              <w:rPr>
                <w:rFonts w:cs="Arial"/>
              </w:rPr>
              <w:t>.</w:t>
            </w:r>
          </w:p>
        </w:tc>
      </w:tr>
      <w:tr w:rsidR="000305DD" w:rsidRPr="00F24972" w14:paraId="6690CDDA" w14:textId="77777777" w:rsidTr="00FA340F">
        <w:trPr>
          <w:cantSplit/>
        </w:trPr>
        <w:tc>
          <w:tcPr>
            <w:tcW w:w="1733" w:type="dxa"/>
            <w:vMerge/>
            <w:tcBorders>
              <w:bottom w:val="single" w:sz="4" w:space="0" w:color="auto"/>
            </w:tcBorders>
          </w:tcPr>
          <w:p w14:paraId="019371BE" w14:textId="77777777" w:rsidR="000305DD" w:rsidRPr="00F24972" w:rsidRDefault="000305DD" w:rsidP="000305DD">
            <w:pPr>
              <w:pStyle w:val="TableText"/>
              <w:rPr>
                <w:rFonts w:cs="Arial"/>
              </w:rPr>
            </w:pPr>
          </w:p>
        </w:tc>
        <w:tc>
          <w:tcPr>
            <w:tcW w:w="1592" w:type="dxa"/>
            <w:tcBorders>
              <w:top w:val="single" w:sz="4" w:space="0" w:color="auto"/>
              <w:bottom w:val="single" w:sz="4" w:space="0" w:color="auto"/>
              <w:right w:val="single" w:sz="4" w:space="0" w:color="auto"/>
            </w:tcBorders>
          </w:tcPr>
          <w:p w14:paraId="107F3AC7" w14:textId="77777777" w:rsidR="000305DD" w:rsidRPr="00027B0B" w:rsidRDefault="000305DD" w:rsidP="000305DD">
            <w:pPr>
              <w:pStyle w:val="TableText"/>
              <w:rPr>
                <w:rFonts w:cs="Arial"/>
                <w:sz w:val="16"/>
                <w:szCs w:val="16"/>
              </w:rPr>
            </w:pPr>
            <w:r w:rsidRPr="00027B0B">
              <w:rPr>
                <w:rFonts w:cs="Arial"/>
                <w:sz w:val="16"/>
                <w:szCs w:val="16"/>
              </w:rPr>
              <w:t>Invalidate</w:t>
            </w:r>
          </w:p>
          <w:p w14:paraId="7BFE92F9" w14:textId="77777777" w:rsidR="000305DD" w:rsidRPr="00F24972" w:rsidRDefault="000305DD" w:rsidP="000305DD">
            <w:pPr>
              <w:rPr>
                <w:rFonts w:ascii="Arial" w:hAnsi="Arial" w:cs="Arial"/>
                <w:sz w:val="18"/>
                <w:szCs w:val="18"/>
              </w:rPr>
            </w:pPr>
            <w:r w:rsidRPr="00027B0B">
              <w:rPr>
                <w:rFonts w:ascii="Arial" w:hAnsi="Arial" w:cs="Arial"/>
                <w:sz w:val="16"/>
                <w:szCs w:val="16"/>
              </w:rPr>
              <w:t>Patient Testing, serologic crossmatch</w:t>
            </w:r>
          </w:p>
        </w:tc>
        <w:tc>
          <w:tcPr>
            <w:tcW w:w="1080" w:type="dxa"/>
            <w:tcBorders>
              <w:top w:val="single" w:sz="4" w:space="0" w:color="auto"/>
              <w:left w:val="single" w:sz="4" w:space="0" w:color="auto"/>
              <w:bottom w:val="single" w:sz="4" w:space="0" w:color="auto"/>
              <w:right w:val="single" w:sz="4" w:space="0" w:color="auto"/>
            </w:tcBorders>
          </w:tcPr>
          <w:p w14:paraId="70594604" w14:textId="77777777" w:rsidR="000305DD" w:rsidRPr="00F24972" w:rsidRDefault="000305DD" w:rsidP="000305DD">
            <w:pPr>
              <w:rPr>
                <w:rFonts w:ascii="Arial" w:hAnsi="Arial" w:cs="Arial"/>
                <w:b/>
                <w:sz w:val="18"/>
                <w:szCs w:val="18"/>
              </w:rPr>
            </w:pPr>
            <w:r w:rsidRPr="00F24972">
              <w:rPr>
                <w:rFonts w:ascii="Arial" w:hAnsi="Arial" w:cs="Arial"/>
                <w:b/>
                <w:sz w:val="18"/>
                <w:szCs w:val="18"/>
              </w:rPr>
              <w:t>Negative</w:t>
            </w:r>
          </w:p>
        </w:tc>
        <w:tc>
          <w:tcPr>
            <w:tcW w:w="900" w:type="dxa"/>
            <w:tcBorders>
              <w:top w:val="single" w:sz="4" w:space="0" w:color="auto"/>
              <w:left w:val="single" w:sz="4" w:space="0" w:color="auto"/>
              <w:bottom w:val="single" w:sz="4" w:space="0" w:color="auto"/>
              <w:right w:val="single" w:sz="4" w:space="0" w:color="auto"/>
            </w:tcBorders>
          </w:tcPr>
          <w:p w14:paraId="2BDFEABC" w14:textId="77777777" w:rsidR="000305DD" w:rsidRPr="00F24972" w:rsidRDefault="000305DD" w:rsidP="000305DD">
            <w:pPr>
              <w:pStyle w:val="TableText"/>
              <w:jc w:val="center"/>
              <w:rPr>
                <w:rFonts w:cs="Arial"/>
              </w:rPr>
            </w:pPr>
            <w:r w:rsidRPr="00F24972">
              <w:rPr>
                <w:rFonts w:cs="Arial"/>
              </w:rPr>
              <w:t>M</w:t>
            </w:r>
          </w:p>
        </w:tc>
        <w:tc>
          <w:tcPr>
            <w:tcW w:w="4950" w:type="dxa"/>
            <w:tcBorders>
              <w:top w:val="single" w:sz="4" w:space="0" w:color="auto"/>
              <w:left w:val="single" w:sz="4" w:space="0" w:color="auto"/>
              <w:bottom w:val="single" w:sz="4" w:space="0" w:color="auto"/>
              <w:right w:val="single" w:sz="4" w:space="0" w:color="auto"/>
            </w:tcBorders>
          </w:tcPr>
          <w:p w14:paraId="483CFBB3" w14:textId="77777777" w:rsidR="000305DD" w:rsidRPr="00F24972" w:rsidRDefault="000305DD" w:rsidP="000305DD">
            <w:pPr>
              <w:pStyle w:val="TableText"/>
              <w:rPr>
                <w:rFonts w:cs="Arial"/>
              </w:rPr>
            </w:pPr>
            <w:r w:rsidRPr="00F24972">
              <w:rPr>
                <w:rFonts w:cs="Arial"/>
              </w:rPr>
              <w:t>Accrue workload when an individual unit crossmatch is invalidated.</w:t>
            </w:r>
          </w:p>
        </w:tc>
      </w:tr>
      <w:tr w:rsidR="000305DD" w:rsidRPr="00F24972" w14:paraId="1CCA840B" w14:textId="77777777" w:rsidTr="00FA340F">
        <w:trPr>
          <w:cantSplit/>
        </w:trPr>
        <w:tc>
          <w:tcPr>
            <w:tcW w:w="1733" w:type="dxa"/>
            <w:tcBorders>
              <w:top w:val="single" w:sz="4" w:space="0" w:color="auto"/>
              <w:left w:val="single" w:sz="4" w:space="0" w:color="auto"/>
              <w:bottom w:val="single" w:sz="4" w:space="0" w:color="auto"/>
              <w:right w:val="single" w:sz="4" w:space="0" w:color="auto"/>
            </w:tcBorders>
            <w:vAlign w:val="bottom"/>
          </w:tcPr>
          <w:p w14:paraId="5C361D81" w14:textId="77777777" w:rsidR="000305DD" w:rsidRPr="00F24972" w:rsidRDefault="000305DD" w:rsidP="000305DD">
            <w:pPr>
              <w:pStyle w:val="TableText"/>
              <w:rPr>
                <w:rFonts w:cs="Arial"/>
              </w:rPr>
            </w:pPr>
            <w:r w:rsidRPr="00F24972">
              <w:rPr>
                <w:rFonts w:cs="Arial"/>
              </w:rPr>
              <w:t>Daily Rack Quality Control (QC)</w:t>
            </w:r>
          </w:p>
        </w:tc>
        <w:tc>
          <w:tcPr>
            <w:tcW w:w="1592" w:type="dxa"/>
            <w:tcBorders>
              <w:top w:val="single" w:sz="4" w:space="0" w:color="auto"/>
              <w:left w:val="single" w:sz="4" w:space="0" w:color="auto"/>
              <w:bottom w:val="single" w:sz="4" w:space="0" w:color="auto"/>
              <w:right w:val="single" w:sz="4" w:space="0" w:color="auto"/>
            </w:tcBorders>
            <w:shd w:val="clear" w:color="auto" w:fill="auto"/>
          </w:tcPr>
          <w:p w14:paraId="2316BAA0" w14:textId="77777777" w:rsidR="000305DD" w:rsidRPr="00F24972" w:rsidRDefault="000305DD" w:rsidP="000305DD">
            <w:pPr>
              <w:pStyle w:val="TableText"/>
              <w:rPr>
                <w:rFonts w:cs="Arial"/>
              </w:rPr>
            </w:pPr>
            <w:r>
              <w:rPr>
                <w:rFonts w:cs="Arial"/>
              </w:rPr>
              <w:t>Enter Daily Reagent Rack QC</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3A026105" w14:textId="77777777" w:rsidR="000305DD" w:rsidRPr="00F24972" w:rsidRDefault="000305DD" w:rsidP="000305DD">
            <w:pPr>
              <w:pStyle w:val="TableText"/>
              <w:rPr>
                <w:rFonts w:cs="Arial"/>
              </w:rPr>
            </w:pPr>
            <w:r w:rsidRPr="00F24972">
              <w:rPr>
                <w:rFonts w:cs="Arial"/>
              </w:rPr>
              <w:t>Positive</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0850CEF1" w14:textId="77777777" w:rsidR="000305DD" w:rsidRPr="00F24972" w:rsidRDefault="000305DD" w:rsidP="000305DD">
            <w:pPr>
              <w:pStyle w:val="TableText"/>
              <w:jc w:val="center"/>
              <w:rPr>
                <w:rFonts w:cs="Arial"/>
              </w:rPr>
            </w:pPr>
            <w:r w:rsidRPr="00F24972">
              <w:rPr>
                <w:rFonts w:cs="Arial"/>
              </w:rPr>
              <w:t>M</w:t>
            </w:r>
          </w:p>
        </w:tc>
        <w:tc>
          <w:tcPr>
            <w:tcW w:w="4950" w:type="dxa"/>
            <w:tcBorders>
              <w:top w:val="single" w:sz="4" w:space="0" w:color="auto"/>
              <w:left w:val="single" w:sz="4" w:space="0" w:color="auto"/>
              <w:bottom w:val="single" w:sz="4" w:space="0" w:color="auto"/>
              <w:right w:val="single" w:sz="4" w:space="0" w:color="auto"/>
            </w:tcBorders>
            <w:shd w:val="clear" w:color="auto" w:fill="auto"/>
            <w:vAlign w:val="bottom"/>
          </w:tcPr>
          <w:p w14:paraId="1F1FAA07" w14:textId="77777777" w:rsidR="000305DD" w:rsidRPr="00F24972" w:rsidRDefault="000305DD" w:rsidP="000305DD">
            <w:pPr>
              <w:pStyle w:val="TableText"/>
              <w:rPr>
                <w:rFonts w:cs="Arial"/>
              </w:rPr>
            </w:pPr>
            <w:r w:rsidRPr="00F24972">
              <w:rPr>
                <w:rFonts w:cs="Arial"/>
              </w:rPr>
              <w:t>Accrue workload when Daily QC rack completed for one individual rack includes all rows in configured QC. When multiple racks are tested, each completed and saved tab accrues a workload event.</w:t>
            </w:r>
          </w:p>
        </w:tc>
      </w:tr>
      <w:tr w:rsidR="000305DD" w:rsidRPr="00F24972" w14:paraId="09070EE8" w14:textId="77777777" w:rsidTr="00FA340F">
        <w:trPr>
          <w:cantSplit/>
        </w:trPr>
        <w:tc>
          <w:tcPr>
            <w:tcW w:w="1733" w:type="dxa"/>
            <w:tcBorders>
              <w:top w:val="single" w:sz="4" w:space="0" w:color="auto"/>
              <w:left w:val="single" w:sz="4" w:space="0" w:color="auto"/>
              <w:bottom w:val="single" w:sz="4" w:space="0" w:color="auto"/>
              <w:right w:val="single" w:sz="4" w:space="0" w:color="auto"/>
            </w:tcBorders>
          </w:tcPr>
          <w:p w14:paraId="20386800" w14:textId="77777777" w:rsidR="000305DD" w:rsidRPr="00F24972" w:rsidRDefault="000305DD" w:rsidP="000305DD">
            <w:pPr>
              <w:pStyle w:val="TableText"/>
              <w:rPr>
                <w:rFonts w:cs="Arial"/>
              </w:rPr>
            </w:pPr>
            <w:r w:rsidRPr="00F24972">
              <w:rPr>
                <w:rFonts w:cs="Arial"/>
              </w:rPr>
              <w:lastRenderedPageBreak/>
              <w:t>DAT (QC)</w:t>
            </w:r>
          </w:p>
        </w:tc>
        <w:tc>
          <w:tcPr>
            <w:tcW w:w="1592" w:type="dxa"/>
            <w:tcBorders>
              <w:top w:val="single" w:sz="4" w:space="0" w:color="auto"/>
              <w:left w:val="single" w:sz="4" w:space="0" w:color="auto"/>
              <w:bottom w:val="single" w:sz="4" w:space="0" w:color="auto"/>
              <w:right w:val="single" w:sz="4" w:space="0" w:color="auto"/>
            </w:tcBorders>
            <w:shd w:val="clear" w:color="auto" w:fill="auto"/>
          </w:tcPr>
          <w:p w14:paraId="2EFA7ED9" w14:textId="5542D3FF" w:rsidR="000305DD" w:rsidRPr="00F24972" w:rsidRDefault="000F42DE" w:rsidP="000305DD">
            <w:pPr>
              <w:pStyle w:val="TableText"/>
              <w:rPr>
                <w:rFonts w:cs="Arial"/>
              </w:rPr>
            </w:pPr>
            <w:r>
              <w:rPr>
                <w:rFonts w:cs="Arial"/>
              </w:rPr>
              <w:t xml:space="preserve">Enter Daily Reagent Rack QC or </w:t>
            </w:r>
            <w:r w:rsidR="00D06D19">
              <w:rPr>
                <w:rFonts w:cs="Arial"/>
              </w:rPr>
              <w:t xml:space="preserve">Record </w:t>
            </w:r>
            <w:r>
              <w:rPr>
                <w:rFonts w:cs="Arial"/>
              </w:rPr>
              <w:t xml:space="preserve">Testing: </w:t>
            </w:r>
            <w:r w:rsidR="00E22AD6">
              <w:rPr>
                <w:rFonts w:cs="Arial"/>
              </w:rPr>
              <w:t xml:space="preserve">Patient </w:t>
            </w:r>
            <w:r>
              <w:rPr>
                <w:rFonts w:cs="Arial"/>
              </w:rPr>
              <w:t>DAT</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5AE1232C" w14:textId="77777777" w:rsidR="000305DD" w:rsidRPr="00F24972" w:rsidRDefault="000305DD" w:rsidP="000305DD">
            <w:pPr>
              <w:pStyle w:val="TableText"/>
              <w:rPr>
                <w:rFonts w:cs="Arial"/>
              </w:rPr>
            </w:pPr>
            <w:r w:rsidRPr="00F24972">
              <w:rPr>
                <w:rFonts w:cs="Arial"/>
              </w:rPr>
              <w:t>Positive</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0A0F2EBF" w14:textId="77777777" w:rsidR="000305DD" w:rsidRPr="00F24972" w:rsidRDefault="000305DD" w:rsidP="000305DD">
            <w:pPr>
              <w:pStyle w:val="TableText"/>
              <w:jc w:val="center"/>
              <w:rPr>
                <w:rFonts w:cs="Arial"/>
              </w:rPr>
            </w:pPr>
            <w:r w:rsidRPr="00F24972">
              <w:rPr>
                <w:rFonts w:cs="Arial"/>
              </w:rPr>
              <w:t>M</w:t>
            </w:r>
          </w:p>
        </w:tc>
        <w:tc>
          <w:tcPr>
            <w:tcW w:w="4950" w:type="dxa"/>
            <w:tcBorders>
              <w:top w:val="single" w:sz="4" w:space="0" w:color="auto"/>
              <w:left w:val="single" w:sz="4" w:space="0" w:color="auto"/>
              <w:bottom w:val="single" w:sz="4" w:space="0" w:color="auto"/>
              <w:right w:val="single" w:sz="4" w:space="0" w:color="auto"/>
            </w:tcBorders>
            <w:shd w:val="clear" w:color="auto" w:fill="auto"/>
            <w:vAlign w:val="bottom"/>
          </w:tcPr>
          <w:p w14:paraId="03810E1D" w14:textId="2B045FE7" w:rsidR="000305DD" w:rsidRPr="00F24972" w:rsidRDefault="000305DD" w:rsidP="000305DD">
            <w:pPr>
              <w:pStyle w:val="TableText"/>
              <w:rPr>
                <w:rFonts w:cs="Arial"/>
              </w:rPr>
            </w:pPr>
            <w:r w:rsidRPr="00F24972">
              <w:rPr>
                <w:rFonts w:cs="Arial"/>
              </w:rPr>
              <w:t xml:space="preserve">Accrue workload when Reagent QC completed or in </w:t>
            </w:r>
            <w:r>
              <w:rPr>
                <w:rFonts w:cs="Arial"/>
              </w:rPr>
              <w:t>Record Patient Direct Antiglobulin Test</w:t>
            </w:r>
            <w:r w:rsidR="000F42DE">
              <w:rPr>
                <w:rFonts w:cs="Arial"/>
              </w:rPr>
              <w:t xml:space="preserve"> (Record Patient Direct Antiglobulin Test is completed and saved by Record Testing)</w:t>
            </w:r>
            <w:r w:rsidRPr="00F24972">
              <w:rPr>
                <w:rFonts w:cs="Arial"/>
              </w:rPr>
              <w:t xml:space="preserve"> includes the testing of both the positive and negative control cells, per specificity per lot number, when only one phase of reactivity is chosen for the test grid, IS or AHG. One workload event is collected per completed tab for regular or repeat antiglobulin tests (PS, IgG, Comp) tests.</w:t>
            </w:r>
          </w:p>
        </w:tc>
      </w:tr>
      <w:tr w:rsidR="000305DD" w:rsidRPr="00F24972" w14:paraId="6CB627C7" w14:textId="77777777" w:rsidTr="00FA340F">
        <w:trPr>
          <w:cantSplit/>
        </w:trPr>
        <w:tc>
          <w:tcPr>
            <w:tcW w:w="1733" w:type="dxa"/>
            <w:vMerge w:val="restart"/>
            <w:tcBorders>
              <w:top w:val="single" w:sz="4" w:space="0" w:color="auto"/>
              <w:left w:val="single" w:sz="4" w:space="0" w:color="auto"/>
              <w:right w:val="single" w:sz="4" w:space="0" w:color="auto"/>
            </w:tcBorders>
          </w:tcPr>
          <w:p w14:paraId="6ED39FBD" w14:textId="77777777" w:rsidR="000305DD" w:rsidRPr="00F24972" w:rsidRDefault="000305DD" w:rsidP="000305DD">
            <w:pPr>
              <w:pStyle w:val="TableText"/>
              <w:rPr>
                <w:rFonts w:cs="Arial"/>
              </w:rPr>
            </w:pPr>
            <w:r w:rsidRPr="00F24972">
              <w:rPr>
                <w:rFonts w:cs="Arial"/>
              </w:rPr>
              <w:t>Direct Antiglobulin Test (DAT)</w:t>
            </w:r>
          </w:p>
          <w:p w14:paraId="47A3FE1C" w14:textId="77777777" w:rsidR="000305DD" w:rsidRPr="00F24972" w:rsidRDefault="000305DD" w:rsidP="000305DD">
            <w:pPr>
              <w:pStyle w:val="TableText"/>
              <w:rPr>
                <w:rFonts w:cs="Arial"/>
              </w:rPr>
            </w:pPr>
          </w:p>
        </w:tc>
        <w:tc>
          <w:tcPr>
            <w:tcW w:w="1592" w:type="dxa"/>
            <w:tcBorders>
              <w:top w:val="single" w:sz="4" w:space="0" w:color="auto"/>
              <w:left w:val="single" w:sz="4" w:space="0" w:color="auto"/>
              <w:bottom w:val="single" w:sz="4" w:space="0" w:color="auto"/>
              <w:right w:val="single" w:sz="4" w:space="0" w:color="auto"/>
            </w:tcBorders>
            <w:shd w:val="clear" w:color="auto" w:fill="auto"/>
          </w:tcPr>
          <w:p w14:paraId="79585A1A" w14:textId="452DD649" w:rsidR="000305DD" w:rsidRPr="00F24972" w:rsidRDefault="000F42DE" w:rsidP="000305DD">
            <w:pPr>
              <w:pStyle w:val="TableText"/>
              <w:rPr>
                <w:rFonts w:cs="Arial"/>
              </w:rPr>
            </w:pPr>
            <w:r>
              <w:rPr>
                <w:rFonts w:cs="Arial"/>
              </w:rPr>
              <w:t>Transfusion Reaction Workup, DAT test</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4D8580CB" w14:textId="77777777" w:rsidR="000305DD" w:rsidRPr="00F24972" w:rsidRDefault="000305DD" w:rsidP="000305DD">
            <w:pPr>
              <w:pStyle w:val="TableText"/>
              <w:rPr>
                <w:rFonts w:cs="Arial"/>
              </w:rPr>
            </w:pPr>
            <w:r w:rsidRPr="00F24972">
              <w:rPr>
                <w:rFonts w:cs="Arial"/>
              </w:rPr>
              <w:t>Positive</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15AAD493" w14:textId="77777777" w:rsidR="000305DD" w:rsidRPr="00F24972" w:rsidRDefault="000305DD" w:rsidP="000305DD">
            <w:pPr>
              <w:pStyle w:val="TableText"/>
              <w:jc w:val="center"/>
              <w:rPr>
                <w:rFonts w:cs="Arial"/>
              </w:rPr>
            </w:pPr>
            <w:r w:rsidRPr="00F24972">
              <w:rPr>
                <w:rFonts w:cs="Arial"/>
              </w:rPr>
              <w:t>P</w:t>
            </w:r>
          </w:p>
        </w:tc>
        <w:tc>
          <w:tcPr>
            <w:tcW w:w="4950" w:type="dxa"/>
            <w:tcBorders>
              <w:top w:val="single" w:sz="4" w:space="0" w:color="auto"/>
              <w:left w:val="single" w:sz="4" w:space="0" w:color="auto"/>
              <w:bottom w:val="single" w:sz="4" w:space="0" w:color="auto"/>
              <w:right w:val="single" w:sz="4" w:space="0" w:color="auto"/>
            </w:tcBorders>
            <w:shd w:val="clear" w:color="auto" w:fill="auto"/>
          </w:tcPr>
          <w:p w14:paraId="55A9C34C" w14:textId="77777777" w:rsidR="000305DD" w:rsidRPr="00F24972" w:rsidRDefault="000305DD" w:rsidP="000305DD">
            <w:pPr>
              <w:pStyle w:val="TableText"/>
              <w:rPr>
                <w:rFonts w:cs="Arial"/>
              </w:rPr>
            </w:pPr>
            <w:r w:rsidRPr="00F24972">
              <w:rPr>
                <w:rFonts w:cs="Arial"/>
              </w:rPr>
              <w:t>A DAT test for pre or post is enabled and a valid interpretation other than Not Tested is selected. A workload event is accrued separately for Pre and Post entries.</w:t>
            </w:r>
          </w:p>
        </w:tc>
      </w:tr>
      <w:tr w:rsidR="000305DD" w:rsidRPr="00F24972" w14:paraId="08E11F54" w14:textId="77777777" w:rsidTr="00FA340F">
        <w:trPr>
          <w:cantSplit/>
        </w:trPr>
        <w:tc>
          <w:tcPr>
            <w:tcW w:w="1733" w:type="dxa"/>
            <w:vMerge/>
            <w:tcBorders>
              <w:left w:val="single" w:sz="4" w:space="0" w:color="auto"/>
              <w:right w:val="single" w:sz="4" w:space="0" w:color="auto"/>
            </w:tcBorders>
          </w:tcPr>
          <w:p w14:paraId="2320F016" w14:textId="77777777" w:rsidR="000305DD" w:rsidRPr="00F24972" w:rsidRDefault="000305DD" w:rsidP="000305DD">
            <w:pPr>
              <w:pStyle w:val="TableText"/>
              <w:rPr>
                <w:rFonts w:cs="Arial"/>
              </w:rPr>
            </w:pPr>
          </w:p>
        </w:tc>
        <w:tc>
          <w:tcPr>
            <w:tcW w:w="1592" w:type="dxa"/>
            <w:tcBorders>
              <w:top w:val="single" w:sz="4" w:space="0" w:color="auto"/>
              <w:left w:val="single" w:sz="4" w:space="0" w:color="auto"/>
              <w:bottom w:val="single" w:sz="4" w:space="0" w:color="auto"/>
              <w:right w:val="single" w:sz="4" w:space="0" w:color="auto"/>
            </w:tcBorders>
          </w:tcPr>
          <w:p w14:paraId="41A739F5" w14:textId="0E81729E" w:rsidR="000305DD" w:rsidRPr="00F24972" w:rsidRDefault="000F42DE" w:rsidP="000305DD">
            <w:pPr>
              <w:pStyle w:val="TableText"/>
              <w:rPr>
                <w:rFonts w:cs="Arial"/>
              </w:rPr>
            </w:pPr>
            <w:r>
              <w:rPr>
                <w:rFonts w:cs="Arial"/>
              </w:rPr>
              <w:t xml:space="preserve">Record Testing: </w:t>
            </w:r>
            <w:r w:rsidR="000305DD">
              <w:rPr>
                <w:rFonts w:cs="Arial"/>
              </w:rPr>
              <w:t>Patient DAT</w:t>
            </w:r>
          </w:p>
        </w:tc>
        <w:tc>
          <w:tcPr>
            <w:tcW w:w="1080" w:type="dxa"/>
            <w:tcBorders>
              <w:top w:val="single" w:sz="4" w:space="0" w:color="auto"/>
              <w:left w:val="single" w:sz="4" w:space="0" w:color="auto"/>
              <w:bottom w:val="single" w:sz="4" w:space="0" w:color="auto"/>
              <w:right w:val="single" w:sz="4" w:space="0" w:color="auto"/>
            </w:tcBorders>
          </w:tcPr>
          <w:p w14:paraId="47674E29" w14:textId="77777777" w:rsidR="000305DD" w:rsidRPr="00F24972" w:rsidRDefault="000305DD" w:rsidP="000305DD">
            <w:pPr>
              <w:pStyle w:val="TableText"/>
              <w:rPr>
                <w:rFonts w:cs="Arial"/>
              </w:rPr>
            </w:pPr>
            <w:r w:rsidRPr="00F24972">
              <w:rPr>
                <w:rFonts w:cs="Arial"/>
              </w:rPr>
              <w:t>Positive</w:t>
            </w:r>
          </w:p>
        </w:tc>
        <w:tc>
          <w:tcPr>
            <w:tcW w:w="900" w:type="dxa"/>
            <w:tcBorders>
              <w:top w:val="single" w:sz="4" w:space="0" w:color="auto"/>
              <w:left w:val="single" w:sz="4" w:space="0" w:color="auto"/>
              <w:bottom w:val="single" w:sz="4" w:space="0" w:color="auto"/>
              <w:right w:val="single" w:sz="4" w:space="0" w:color="auto"/>
            </w:tcBorders>
          </w:tcPr>
          <w:p w14:paraId="612E52C9" w14:textId="77777777" w:rsidR="000305DD" w:rsidRPr="00F24972" w:rsidRDefault="000305DD" w:rsidP="000305DD">
            <w:pPr>
              <w:pStyle w:val="TableText"/>
              <w:jc w:val="center"/>
              <w:rPr>
                <w:rFonts w:cs="Arial"/>
              </w:rPr>
            </w:pPr>
            <w:r w:rsidRPr="00F24972">
              <w:rPr>
                <w:rFonts w:cs="Arial"/>
              </w:rPr>
              <w:t>P</w:t>
            </w:r>
          </w:p>
        </w:tc>
        <w:tc>
          <w:tcPr>
            <w:tcW w:w="4950" w:type="dxa"/>
            <w:tcBorders>
              <w:top w:val="single" w:sz="4" w:space="0" w:color="auto"/>
              <w:left w:val="single" w:sz="4" w:space="0" w:color="auto"/>
              <w:bottom w:val="single" w:sz="4" w:space="0" w:color="auto"/>
              <w:right w:val="single" w:sz="4" w:space="0" w:color="auto"/>
            </w:tcBorders>
          </w:tcPr>
          <w:p w14:paraId="492AC555" w14:textId="2AAFC354" w:rsidR="000305DD" w:rsidRPr="00F24972" w:rsidRDefault="000305DD" w:rsidP="000305DD">
            <w:pPr>
              <w:pStyle w:val="TableText"/>
              <w:rPr>
                <w:rFonts w:cs="Arial"/>
              </w:rPr>
            </w:pPr>
            <w:r w:rsidRPr="00F24972">
              <w:rPr>
                <w:rFonts w:cs="Arial"/>
              </w:rPr>
              <w:t>Accrue workload when a DAT completed and saved (</w:t>
            </w:r>
            <w:r>
              <w:rPr>
                <w:rFonts w:cs="Arial"/>
              </w:rPr>
              <w:t>Record Patient Direct Antiglobulin Test</w:t>
            </w:r>
            <w:r w:rsidRPr="00F24972">
              <w:rPr>
                <w:rFonts w:cs="Arial"/>
              </w:rPr>
              <w:t xml:space="preserve"> is saved by </w:t>
            </w:r>
            <w:r>
              <w:rPr>
                <w:rFonts w:cs="Arial"/>
              </w:rPr>
              <w:t>Record Testing</w:t>
            </w:r>
            <w:r w:rsidR="000F42DE">
              <w:rPr>
                <w:rFonts w:cs="Arial"/>
              </w:rPr>
              <w:t>)</w:t>
            </w:r>
            <w:r w:rsidRPr="00F24972">
              <w:rPr>
                <w:rFonts w:cs="Arial"/>
              </w:rPr>
              <w:t xml:space="preserve"> as part of a TAS configuration or individual test ordered. This count is used for all antiglobulin tests (PS, IgG, Comp) when ordered from CPRS or Reflex testing.</w:t>
            </w:r>
          </w:p>
        </w:tc>
      </w:tr>
      <w:tr w:rsidR="000305DD" w:rsidRPr="00F24972" w14:paraId="639957EA" w14:textId="77777777" w:rsidTr="00FA340F">
        <w:trPr>
          <w:cantSplit/>
        </w:trPr>
        <w:tc>
          <w:tcPr>
            <w:tcW w:w="1733" w:type="dxa"/>
            <w:vMerge/>
            <w:tcBorders>
              <w:left w:val="single" w:sz="4" w:space="0" w:color="auto"/>
              <w:bottom w:val="single" w:sz="4" w:space="0" w:color="auto"/>
              <w:right w:val="single" w:sz="4" w:space="0" w:color="auto"/>
            </w:tcBorders>
          </w:tcPr>
          <w:p w14:paraId="3F7B9E00" w14:textId="77777777" w:rsidR="000305DD" w:rsidRPr="00F24972" w:rsidRDefault="000305DD" w:rsidP="000305DD">
            <w:pPr>
              <w:pStyle w:val="TableText"/>
              <w:rPr>
                <w:rFonts w:cs="Arial"/>
              </w:rPr>
            </w:pPr>
          </w:p>
        </w:tc>
        <w:tc>
          <w:tcPr>
            <w:tcW w:w="1592" w:type="dxa"/>
            <w:tcBorders>
              <w:top w:val="single" w:sz="4" w:space="0" w:color="auto"/>
              <w:left w:val="single" w:sz="4" w:space="0" w:color="auto"/>
              <w:bottom w:val="single" w:sz="4" w:space="0" w:color="auto"/>
              <w:right w:val="single" w:sz="4" w:space="0" w:color="auto"/>
            </w:tcBorders>
          </w:tcPr>
          <w:p w14:paraId="04694098" w14:textId="77777777" w:rsidR="000305DD" w:rsidRPr="00F24972" w:rsidRDefault="000305DD" w:rsidP="000305DD">
            <w:pPr>
              <w:pStyle w:val="TableText"/>
              <w:rPr>
                <w:rFonts w:cs="Arial"/>
              </w:rPr>
            </w:pPr>
            <w:r>
              <w:rPr>
                <w:rFonts w:cs="Arial"/>
              </w:rPr>
              <w:t>Invalidate Patient Testing, DAT</w:t>
            </w:r>
          </w:p>
        </w:tc>
        <w:tc>
          <w:tcPr>
            <w:tcW w:w="1080" w:type="dxa"/>
            <w:tcBorders>
              <w:top w:val="single" w:sz="4" w:space="0" w:color="auto"/>
              <w:left w:val="single" w:sz="4" w:space="0" w:color="auto"/>
              <w:bottom w:val="single" w:sz="4" w:space="0" w:color="auto"/>
              <w:right w:val="single" w:sz="4" w:space="0" w:color="auto"/>
            </w:tcBorders>
          </w:tcPr>
          <w:p w14:paraId="54DFAB7C" w14:textId="77777777" w:rsidR="000305DD" w:rsidRPr="00F24972" w:rsidRDefault="000305DD" w:rsidP="000305DD">
            <w:pPr>
              <w:pStyle w:val="TableText"/>
              <w:rPr>
                <w:rFonts w:cs="Arial"/>
                <w:b/>
              </w:rPr>
            </w:pPr>
            <w:r w:rsidRPr="00F24972">
              <w:rPr>
                <w:rFonts w:cs="Arial"/>
                <w:b/>
              </w:rPr>
              <w:t>Negative</w:t>
            </w:r>
          </w:p>
        </w:tc>
        <w:tc>
          <w:tcPr>
            <w:tcW w:w="900" w:type="dxa"/>
            <w:tcBorders>
              <w:top w:val="single" w:sz="4" w:space="0" w:color="auto"/>
              <w:left w:val="single" w:sz="4" w:space="0" w:color="auto"/>
              <w:bottom w:val="single" w:sz="4" w:space="0" w:color="auto"/>
              <w:right w:val="single" w:sz="4" w:space="0" w:color="auto"/>
            </w:tcBorders>
          </w:tcPr>
          <w:p w14:paraId="23C28A97" w14:textId="77777777" w:rsidR="000305DD" w:rsidRPr="00F24972" w:rsidRDefault="000305DD" w:rsidP="000305DD">
            <w:pPr>
              <w:pStyle w:val="TableText"/>
              <w:jc w:val="center"/>
              <w:rPr>
                <w:rFonts w:cs="Arial"/>
              </w:rPr>
            </w:pPr>
            <w:r w:rsidRPr="00F24972">
              <w:rPr>
                <w:rFonts w:cs="Arial"/>
              </w:rPr>
              <w:t>P</w:t>
            </w:r>
          </w:p>
        </w:tc>
        <w:tc>
          <w:tcPr>
            <w:tcW w:w="4950" w:type="dxa"/>
            <w:tcBorders>
              <w:top w:val="single" w:sz="4" w:space="0" w:color="auto"/>
              <w:left w:val="single" w:sz="4" w:space="0" w:color="auto"/>
              <w:bottom w:val="single" w:sz="4" w:space="0" w:color="auto"/>
              <w:right w:val="single" w:sz="4" w:space="0" w:color="auto"/>
            </w:tcBorders>
          </w:tcPr>
          <w:p w14:paraId="794B94D3" w14:textId="77777777" w:rsidR="000305DD" w:rsidRPr="00F24972" w:rsidRDefault="000305DD" w:rsidP="000305DD">
            <w:pPr>
              <w:pStyle w:val="TableText"/>
              <w:rPr>
                <w:rFonts w:cs="Arial"/>
              </w:rPr>
            </w:pPr>
            <w:r w:rsidRPr="00F24972">
              <w:rPr>
                <w:rFonts w:cs="Arial"/>
              </w:rPr>
              <w:t xml:space="preserve">Accrue workload when a completed DAT, PS, IgG, or Comp is invalidated. </w:t>
            </w:r>
          </w:p>
        </w:tc>
      </w:tr>
      <w:tr w:rsidR="000305DD" w:rsidRPr="00F24972" w14:paraId="0AF74FF5" w14:textId="77777777" w:rsidTr="00FA340F">
        <w:trPr>
          <w:cantSplit/>
        </w:trPr>
        <w:tc>
          <w:tcPr>
            <w:tcW w:w="1733" w:type="dxa"/>
            <w:vMerge w:val="restart"/>
            <w:tcBorders>
              <w:top w:val="single" w:sz="4" w:space="0" w:color="auto"/>
              <w:left w:val="single" w:sz="4" w:space="0" w:color="auto"/>
              <w:right w:val="single" w:sz="4" w:space="0" w:color="auto"/>
            </w:tcBorders>
          </w:tcPr>
          <w:p w14:paraId="0CCE9031" w14:textId="77777777" w:rsidR="000305DD" w:rsidRPr="00F24972" w:rsidRDefault="000305DD" w:rsidP="000305DD">
            <w:pPr>
              <w:pStyle w:val="TableText"/>
              <w:rPr>
                <w:rFonts w:cs="Arial"/>
              </w:rPr>
            </w:pPr>
            <w:r w:rsidRPr="00F24972">
              <w:rPr>
                <w:rFonts w:cs="Arial"/>
              </w:rPr>
              <w:t>Direct Antiglobulin Test (DAT) Repeat test</w:t>
            </w:r>
          </w:p>
        </w:tc>
        <w:tc>
          <w:tcPr>
            <w:tcW w:w="1592" w:type="dxa"/>
            <w:tcBorders>
              <w:top w:val="single" w:sz="4" w:space="0" w:color="auto"/>
              <w:left w:val="single" w:sz="4" w:space="0" w:color="auto"/>
              <w:bottom w:val="single" w:sz="4" w:space="0" w:color="auto"/>
              <w:right w:val="single" w:sz="4" w:space="0" w:color="auto"/>
            </w:tcBorders>
          </w:tcPr>
          <w:p w14:paraId="6B7E55A8" w14:textId="1716E0C2" w:rsidR="000305DD" w:rsidRPr="00F24972" w:rsidRDefault="00D06D19" w:rsidP="000305DD">
            <w:pPr>
              <w:pStyle w:val="TableText"/>
              <w:rPr>
                <w:rFonts w:cs="Arial"/>
              </w:rPr>
            </w:pPr>
            <w:r>
              <w:rPr>
                <w:rFonts w:cs="Arial"/>
              </w:rPr>
              <w:t>Record</w:t>
            </w:r>
            <w:r w:rsidR="000F42DE">
              <w:rPr>
                <w:rFonts w:cs="Arial"/>
              </w:rPr>
              <w:t xml:space="preserve"> Testing:</w:t>
            </w:r>
            <w:r w:rsidR="000305DD">
              <w:rPr>
                <w:rFonts w:cs="Arial"/>
              </w:rPr>
              <w:t xml:space="preserve"> </w:t>
            </w:r>
            <w:r w:rsidR="00E22AD6">
              <w:rPr>
                <w:rFonts w:cs="Arial"/>
              </w:rPr>
              <w:t xml:space="preserve">Patient </w:t>
            </w:r>
            <w:r w:rsidR="000F42DE">
              <w:rPr>
                <w:rFonts w:cs="Arial"/>
              </w:rPr>
              <w:t>DAT</w:t>
            </w:r>
          </w:p>
        </w:tc>
        <w:tc>
          <w:tcPr>
            <w:tcW w:w="1080" w:type="dxa"/>
            <w:tcBorders>
              <w:top w:val="single" w:sz="4" w:space="0" w:color="auto"/>
              <w:left w:val="single" w:sz="4" w:space="0" w:color="auto"/>
              <w:bottom w:val="single" w:sz="4" w:space="0" w:color="auto"/>
              <w:right w:val="single" w:sz="4" w:space="0" w:color="auto"/>
            </w:tcBorders>
          </w:tcPr>
          <w:p w14:paraId="68A8EE29" w14:textId="77777777" w:rsidR="000305DD" w:rsidRPr="00F24972" w:rsidRDefault="000305DD" w:rsidP="000305DD">
            <w:pPr>
              <w:pStyle w:val="TableText"/>
              <w:rPr>
                <w:rFonts w:cs="Arial"/>
              </w:rPr>
            </w:pPr>
            <w:r w:rsidRPr="00F24972">
              <w:rPr>
                <w:rFonts w:cs="Arial"/>
              </w:rPr>
              <w:t>Positive</w:t>
            </w:r>
          </w:p>
        </w:tc>
        <w:tc>
          <w:tcPr>
            <w:tcW w:w="900" w:type="dxa"/>
            <w:tcBorders>
              <w:top w:val="single" w:sz="4" w:space="0" w:color="auto"/>
              <w:left w:val="single" w:sz="4" w:space="0" w:color="auto"/>
              <w:bottom w:val="single" w:sz="4" w:space="0" w:color="auto"/>
              <w:right w:val="single" w:sz="4" w:space="0" w:color="auto"/>
            </w:tcBorders>
          </w:tcPr>
          <w:p w14:paraId="33C59CE5" w14:textId="77777777" w:rsidR="000305DD" w:rsidRPr="00F24972" w:rsidRDefault="000305DD" w:rsidP="000305DD">
            <w:pPr>
              <w:pStyle w:val="TableText"/>
              <w:jc w:val="center"/>
              <w:rPr>
                <w:rFonts w:cs="Arial"/>
              </w:rPr>
            </w:pPr>
            <w:r w:rsidRPr="00F24972">
              <w:rPr>
                <w:rFonts w:cs="Arial"/>
              </w:rPr>
              <w:t>M</w:t>
            </w:r>
          </w:p>
        </w:tc>
        <w:tc>
          <w:tcPr>
            <w:tcW w:w="4950" w:type="dxa"/>
            <w:tcBorders>
              <w:top w:val="single" w:sz="4" w:space="0" w:color="auto"/>
              <w:left w:val="single" w:sz="4" w:space="0" w:color="auto"/>
              <w:bottom w:val="single" w:sz="4" w:space="0" w:color="auto"/>
              <w:right w:val="single" w:sz="4" w:space="0" w:color="auto"/>
            </w:tcBorders>
          </w:tcPr>
          <w:p w14:paraId="3F20DCA7" w14:textId="25700CCF" w:rsidR="000305DD" w:rsidRPr="00F24972" w:rsidRDefault="000305DD" w:rsidP="000305DD">
            <w:pPr>
              <w:pStyle w:val="TableText"/>
              <w:rPr>
                <w:rFonts w:cs="Arial"/>
              </w:rPr>
            </w:pPr>
            <w:r w:rsidRPr="00F24972">
              <w:rPr>
                <w:rFonts w:cs="Arial"/>
              </w:rPr>
              <w:t xml:space="preserve">Accrue workload when a reflex or repeat DAT test is performed, </w:t>
            </w:r>
            <w:r w:rsidR="000F42DE">
              <w:rPr>
                <w:rFonts w:cs="Arial"/>
              </w:rPr>
              <w:t xml:space="preserve">Record Patient Direct Antiglobulin Test is </w:t>
            </w:r>
            <w:r w:rsidRPr="00F24972">
              <w:rPr>
                <w:rFonts w:cs="Arial"/>
              </w:rPr>
              <w:t xml:space="preserve">completed and saved via </w:t>
            </w:r>
            <w:r>
              <w:rPr>
                <w:rFonts w:cs="Arial"/>
              </w:rPr>
              <w:t>Record Testing</w:t>
            </w:r>
            <w:r w:rsidRPr="00F24972">
              <w:rPr>
                <w:rFonts w:cs="Arial"/>
              </w:rPr>
              <w:t>. This applies to</w:t>
            </w:r>
            <w:r>
              <w:rPr>
                <w:rFonts w:cs="Arial"/>
              </w:rPr>
              <w:t xml:space="preserve"> </w:t>
            </w:r>
            <w:r w:rsidRPr="00F24972">
              <w:rPr>
                <w:rFonts w:cs="Arial"/>
              </w:rPr>
              <w:t>all repeat antiglobulin tests (PS, IgG, Comp)</w:t>
            </w:r>
          </w:p>
          <w:p w14:paraId="6ABDB5E0" w14:textId="77777777" w:rsidR="000305DD" w:rsidRPr="00F24972" w:rsidRDefault="000305DD" w:rsidP="000305DD">
            <w:pPr>
              <w:pStyle w:val="TableText"/>
              <w:rPr>
                <w:rFonts w:cs="Arial"/>
              </w:rPr>
            </w:pPr>
            <w:r w:rsidRPr="00F24972">
              <w:rPr>
                <w:rFonts w:cs="Arial"/>
              </w:rPr>
              <w:t xml:space="preserve">Note: Any DAT ordered in </w:t>
            </w:r>
            <w:r>
              <w:rPr>
                <w:rFonts w:cs="Arial"/>
              </w:rPr>
              <w:t>Order Reflex Test</w:t>
            </w:r>
            <w:r w:rsidRPr="00F24972">
              <w:rPr>
                <w:rFonts w:cs="Arial"/>
              </w:rPr>
              <w:t xml:space="preserve"> from main menu or via use of </w:t>
            </w:r>
            <w:r>
              <w:rPr>
                <w:rFonts w:cs="Arial"/>
              </w:rPr>
              <w:t>Order Reflex Test</w:t>
            </w:r>
            <w:r w:rsidRPr="00F24972">
              <w:rPr>
                <w:rFonts w:cs="Arial"/>
              </w:rPr>
              <w:t xml:space="preserve"> from </w:t>
            </w:r>
            <w:r>
              <w:rPr>
                <w:rFonts w:cs="Arial"/>
              </w:rPr>
              <w:t>Record Testing</w:t>
            </w:r>
            <w:r w:rsidRPr="00F24972">
              <w:rPr>
                <w:rFonts w:cs="Arial"/>
              </w:rPr>
              <w:t>.</w:t>
            </w:r>
          </w:p>
        </w:tc>
      </w:tr>
      <w:tr w:rsidR="000305DD" w:rsidRPr="00F24972" w14:paraId="22667D2F" w14:textId="77777777" w:rsidTr="00FA340F">
        <w:trPr>
          <w:cantSplit/>
        </w:trPr>
        <w:tc>
          <w:tcPr>
            <w:tcW w:w="1733" w:type="dxa"/>
            <w:vMerge/>
            <w:tcBorders>
              <w:left w:val="single" w:sz="4" w:space="0" w:color="auto"/>
              <w:bottom w:val="single" w:sz="4" w:space="0" w:color="auto"/>
              <w:right w:val="single" w:sz="4" w:space="0" w:color="auto"/>
            </w:tcBorders>
          </w:tcPr>
          <w:p w14:paraId="4CC32DF7" w14:textId="77777777" w:rsidR="000305DD" w:rsidRPr="00F24972" w:rsidRDefault="000305DD" w:rsidP="000305DD">
            <w:pPr>
              <w:pStyle w:val="TableText"/>
              <w:rPr>
                <w:rFonts w:cs="Arial"/>
              </w:rPr>
            </w:pPr>
          </w:p>
        </w:tc>
        <w:tc>
          <w:tcPr>
            <w:tcW w:w="1592" w:type="dxa"/>
            <w:tcBorders>
              <w:top w:val="single" w:sz="4" w:space="0" w:color="auto"/>
              <w:left w:val="single" w:sz="4" w:space="0" w:color="auto"/>
              <w:bottom w:val="single" w:sz="4" w:space="0" w:color="auto"/>
              <w:right w:val="single" w:sz="4" w:space="0" w:color="auto"/>
            </w:tcBorders>
          </w:tcPr>
          <w:p w14:paraId="76C72CE7" w14:textId="77777777" w:rsidR="000305DD" w:rsidRPr="00F24972" w:rsidRDefault="000305DD" w:rsidP="000305DD">
            <w:pPr>
              <w:pStyle w:val="TableText"/>
              <w:rPr>
                <w:rFonts w:cs="Arial"/>
              </w:rPr>
            </w:pPr>
            <w:r>
              <w:rPr>
                <w:rFonts w:cs="Arial"/>
              </w:rPr>
              <w:t>Invalidate Patient Testing, DAT</w:t>
            </w:r>
          </w:p>
        </w:tc>
        <w:tc>
          <w:tcPr>
            <w:tcW w:w="1080" w:type="dxa"/>
            <w:tcBorders>
              <w:top w:val="single" w:sz="4" w:space="0" w:color="auto"/>
              <w:left w:val="single" w:sz="4" w:space="0" w:color="auto"/>
              <w:bottom w:val="single" w:sz="4" w:space="0" w:color="auto"/>
              <w:right w:val="single" w:sz="4" w:space="0" w:color="auto"/>
            </w:tcBorders>
          </w:tcPr>
          <w:p w14:paraId="52128165" w14:textId="77777777" w:rsidR="000305DD" w:rsidRPr="00F24972" w:rsidRDefault="000305DD" w:rsidP="000305DD">
            <w:pPr>
              <w:pStyle w:val="TableText"/>
              <w:rPr>
                <w:rFonts w:cs="Arial"/>
              </w:rPr>
            </w:pPr>
            <w:r w:rsidRPr="00F24972">
              <w:rPr>
                <w:rFonts w:cs="Arial"/>
                <w:b/>
              </w:rPr>
              <w:t>Negative</w:t>
            </w:r>
          </w:p>
        </w:tc>
        <w:tc>
          <w:tcPr>
            <w:tcW w:w="900" w:type="dxa"/>
            <w:tcBorders>
              <w:top w:val="single" w:sz="4" w:space="0" w:color="auto"/>
              <w:left w:val="single" w:sz="4" w:space="0" w:color="auto"/>
              <w:bottom w:val="single" w:sz="4" w:space="0" w:color="auto"/>
              <w:right w:val="single" w:sz="4" w:space="0" w:color="auto"/>
            </w:tcBorders>
          </w:tcPr>
          <w:p w14:paraId="2AFAD3B0" w14:textId="77777777" w:rsidR="000305DD" w:rsidRPr="00F24972" w:rsidRDefault="000305DD" w:rsidP="000305DD">
            <w:pPr>
              <w:pStyle w:val="TableText"/>
              <w:jc w:val="center"/>
              <w:rPr>
                <w:rFonts w:cs="Arial"/>
              </w:rPr>
            </w:pPr>
            <w:r w:rsidRPr="00F24972">
              <w:rPr>
                <w:rFonts w:cs="Arial"/>
              </w:rPr>
              <w:t>M</w:t>
            </w:r>
          </w:p>
        </w:tc>
        <w:tc>
          <w:tcPr>
            <w:tcW w:w="4950" w:type="dxa"/>
            <w:tcBorders>
              <w:top w:val="single" w:sz="4" w:space="0" w:color="auto"/>
              <w:left w:val="single" w:sz="4" w:space="0" w:color="auto"/>
              <w:bottom w:val="single" w:sz="4" w:space="0" w:color="auto"/>
              <w:right w:val="single" w:sz="4" w:space="0" w:color="auto"/>
            </w:tcBorders>
          </w:tcPr>
          <w:p w14:paraId="7397D22A" w14:textId="77777777" w:rsidR="000305DD" w:rsidRPr="00F24972" w:rsidRDefault="000305DD" w:rsidP="000305DD">
            <w:pPr>
              <w:pStyle w:val="TableText"/>
              <w:rPr>
                <w:rFonts w:cs="Arial"/>
              </w:rPr>
            </w:pPr>
            <w:r w:rsidRPr="00F24972">
              <w:rPr>
                <w:rFonts w:cs="Arial"/>
              </w:rPr>
              <w:t>Accrue workload when a completed Repeat DAT, PS, IgG, or Comp is invalidated.</w:t>
            </w:r>
          </w:p>
        </w:tc>
      </w:tr>
      <w:tr w:rsidR="000305DD" w:rsidRPr="00F24972" w14:paraId="70B7BF4D" w14:textId="77777777" w:rsidTr="00FA340F">
        <w:trPr>
          <w:cantSplit/>
        </w:trPr>
        <w:tc>
          <w:tcPr>
            <w:tcW w:w="1733" w:type="dxa"/>
            <w:vMerge w:val="restart"/>
            <w:tcBorders>
              <w:top w:val="single" w:sz="4" w:space="0" w:color="auto"/>
              <w:left w:val="single" w:sz="4" w:space="0" w:color="auto"/>
              <w:right w:val="single" w:sz="4" w:space="0" w:color="auto"/>
            </w:tcBorders>
          </w:tcPr>
          <w:p w14:paraId="50DD4B84" w14:textId="77777777" w:rsidR="000305DD" w:rsidRPr="00F24972" w:rsidRDefault="000305DD" w:rsidP="000305DD">
            <w:pPr>
              <w:pStyle w:val="TableText"/>
              <w:rPr>
                <w:rFonts w:cs="Arial"/>
              </w:rPr>
            </w:pPr>
            <w:r w:rsidRPr="00F24972">
              <w:rPr>
                <w:rFonts w:cs="Arial"/>
              </w:rPr>
              <w:t>Deglycerolize unit</w:t>
            </w:r>
          </w:p>
        </w:tc>
        <w:tc>
          <w:tcPr>
            <w:tcW w:w="1592" w:type="dxa"/>
            <w:tcBorders>
              <w:top w:val="single" w:sz="4" w:space="0" w:color="auto"/>
              <w:left w:val="single" w:sz="4" w:space="0" w:color="auto"/>
              <w:bottom w:val="single" w:sz="4" w:space="0" w:color="auto"/>
              <w:right w:val="single" w:sz="4" w:space="0" w:color="auto"/>
            </w:tcBorders>
          </w:tcPr>
          <w:p w14:paraId="54A6DFD1" w14:textId="77777777" w:rsidR="000305DD" w:rsidRPr="00F24972" w:rsidRDefault="000305DD" w:rsidP="000305DD">
            <w:pPr>
              <w:pStyle w:val="TableText"/>
              <w:rPr>
                <w:rFonts w:cs="Arial"/>
              </w:rPr>
            </w:pPr>
            <w:r>
              <w:rPr>
                <w:rFonts w:cs="Arial"/>
              </w:rPr>
              <w:t>Modify Unit, Deglycerolize</w:t>
            </w:r>
          </w:p>
        </w:tc>
        <w:tc>
          <w:tcPr>
            <w:tcW w:w="1080" w:type="dxa"/>
            <w:tcBorders>
              <w:top w:val="single" w:sz="4" w:space="0" w:color="auto"/>
              <w:left w:val="single" w:sz="4" w:space="0" w:color="auto"/>
              <w:bottom w:val="single" w:sz="4" w:space="0" w:color="auto"/>
              <w:right w:val="single" w:sz="4" w:space="0" w:color="auto"/>
            </w:tcBorders>
          </w:tcPr>
          <w:p w14:paraId="20E53F1A" w14:textId="77777777" w:rsidR="000305DD" w:rsidRPr="00F24972" w:rsidRDefault="000305DD" w:rsidP="000305DD">
            <w:pPr>
              <w:pStyle w:val="TableText"/>
              <w:rPr>
                <w:rFonts w:cs="Arial"/>
              </w:rPr>
            </w:pPr>
            <w:r w:rsidRPr="00F24972">
              <w:rPr>
                <w:rFonts w:cs="Arial"/>
              </w:rPr>
              <w:t>Positive</w:t>
            </w:r>
          </w:p>
        </w:tc>
        <w:tc>
          <w:tcPr>
            <w:tcW w:w="900" w:type="dxa"/>
            <w:tcBorders>
              <w:top w:val="single" w:sz="4" w:space="0" w:color="auto"/>
              <w:left w:val="single" w:sz="4" w:space="0" w:color="auto"/>
              <w:bottom w:val="single" w:sz="4" w:space="0" w:color="auto"/>
              <w:right w:val="single" w:sz="4" w:space="0" w:color="auto"/>
            </w:tcBorders>
          </w:tcPr>
          <w:p w14:paraId="15B28AAF" w14:textId="77777777" w:rsidR="000305DD" w:rsidRPr="00F24972" w:rsidRDefault="000305DD" w:rsidP="000305DD">
            <w:pPr>
              <w:pStyle w:val="TableText"/>
              <w:jc w:val="center"/>
              <w:rPr>
                <w:rFonts w:cs="Arial"/>
              </w:rPr>
            </w:pPr>
            <w:r w:rsidRPr="00F24972">
              <w:rPr>
                <w:rFonts w:cs="Arial"/>
              </w:rPr>
              <w:t>U</w:t>
            </w:r>
          </w:p>
        </w:tc>
        <w:tc>
          <w:tcPr>
            <w:tcW w:w="4950" w:type="dxa"/>
            <w:tcBorders>
              <w:top w:val="single" w:sz="4" w:space="0" w:color="auto"/>
              <w:left w:val="single" w:sz="4" w:space="0" w:color="auto"/>
              <w:bottom w:val="single" w:sz="4" w:space="0" w:color="auto"/>
              <w:right w:val="single" w:sz="4" w:space="0" w:color="auto"/>
            </w:tcBorders>
          </w:tcPr>
          <w:p w14:paraId="7D7F24ED" w14:textId="77777777" w:rsidR="000305DD" w:rsidRPr="00F24972" w:rsidRDefault="000305DD" w:rsidP="000305DD">
            <w:pPr>
              <w:pStyle w:val="TableText"/>
              <w:rPr>
                <w:rFonts w:cs="Arial"/>
              </w:rPr>
            </w:pPr>
            <w:r w:rsidRPr="00F24972">
              <w:rPr>
                <w:rFonts w:cs="Arial"/>
              </w:rPr>
              <w:t>Accrue workload when an individual blood unit is processed by the modification type: Deglycerolize.</w:t>
            </w:r>
          </w:p>
          <w:p w14:paraId="11B891A2" w14:textId="77777777" w:rsidR="000305DD" w:rsidRPr="00F24972" w:rsidRDefault="000305DD" w:rsidP="000305DD">
            <w:pPr>
              <w:pStyle w:val="TableText"/>
              <w:rPr>
                <w:rFonts w:cs="Arial"/>
              </w:rPr>
            </w:pPr>
            <w:r w:rsidRPr="00F24972">
              <w:rPr>
                <w:i/>
                <w:iCs/>
              </w:rPr>
              <w:t>Note: Workload is not accrued when a patient assignment is processed and VBECS releases all other patient assignments. Workload is not accrued when VBECS is required to quarantine the unit.</w:t>
            </w:r>
          </w:p>
        </w:tc>
      </w:tr>
      <w:tr w:rsidR="000305DD" w:rsidRPr="00F24972" w14:paraId="2B8F5F7C" w14:textId="77777777" w:rsidTr="00FA340F">
        <w:trPr>
          <w:cantSplit/>
        </w:trPr>
        <w:tc>
          <w:tcPr>
            <w:tcW w:w="1733" w:type="dxa"/>
            <w:vMerge/>
            <w:tcBorders>
              <w:left w:val="single" w:sz="4" w:space="0" w:color="auto"/>
              <w:right w:val="single" w:sz="4" w:space="0" w:color="auto"/>
            </w:tcBorders>
          </w:tcPr>
          <w:p w14:paraId="5432E9CD" w14:textId="77777777" w:rsidR="000305DD" w:rsidRPr="00F24972" w:rsidRDefault="000305DD" w:rsidP="000305DD">
            <w:pPr>
              <w:pStyle w:val="TableText"/>
              <w:rPr>
                <w:rFonts w:cs="Arial"/>
              </w:rPr>
            </w:pPr>
          </w:p>
        </w:tc>
        <w:tc>
          <w:tcPr>
            <w:tcW w:w="1592" w:type="dxa"/>
            <w:tcBorders>
              <w:left w:val="single" w:sz="4" w:space="0" w:color="auto"/>
            </w:tcBorders>
          </w:tcPr>
          <w:p w14:paraId="40404EFD" w14:textId="77777777" w:rsidR="000305DD" w:rsidRPr="00F24972" w:rsidRDefault="000305DD" w:rsidP="000305DD">
            <w:pPr>
              <w:pStyle w:val="TableText"/>
              <w:rPr>
                <w:rFonts w:cs="Arial"/>
              </w:rPr>
            </w:pPr>
            <w:r>
              <w:rPr>
                <w:rFonts w:cs="Arial"/>
              </w:rPr>
              <w:t>Invalidate Unit Status, Deglycerolize</w:t>
            </w:r>
          </w:p>
        </w:tc>
        <w:tc>
          <w:tcPr>
            <w:tcW w:w="1080" w:type="dxa"/>
          </w:tcPr>
          <w:p w14:paraId="7E2320DD" w14:textId="77777777" w:rsidR="000305DD" w:rsidRPr="00F24972" w:rsidRDefault="000305DD" w:rsidP="000305DD">
            <w:pPr>
              <w:pStyle w:val="TableText"/>
              <w:rPr>
                <w:rFonts w:cs="Arial"/>
                <w:b/>
              </w:rPr>
            </w:pPr>
            <w:r w:rsidRPr="00F24972">
              <w:rPr>
                <w:rFonts w:cs="Arial"/>
                <w:b/>
              </w:rPr>
              <w:t>Negative</w:t>
            </w:r>
          </w:p>
        </w:tc>
        <w:tc>
          <w:tcPr>
            <w:tcW w:w="900" w:type="dxa"/>
          </w:tcPr>
          <w:p w14:paraId="24B0C023" w14:textId="77777777" w:rsidR="000305DD" w:rsidRPr="00F24972" w:rsidRDefault="000305DD" w:rsidP="000305DD">
            <w:pPr>
              <w:pStyle w:val="TableText"/>
              <w:jc w:val="center"/>
              <w:rPr>
                <w:rFonts w:cs="Arial"/>
              </w:rPr>
            </w:pPr>
            <w:r w:rsidRPr="00F24972">
              <w:rPr>
                <w:rFonts w:cs="Arial"/>
              </w:rPr>
              <w:t>U</w:t>
            </w:r>
          </w:p>
        </w:tc>
        <w:tc>
          <w:tcPr>
            <w:tcW w:w="4950" w:type="dxa"/>
          </w:tcPr>
          <w:p w14:paraId="2BC7D050" w14:textId="77777777" w:rsidR="000305DD" w:rsidRPr="00F24972" w:rsidRDefault="000305DD" w:rsidP="000305DD">
            <w:pPr>
              <w:pStyle w:val="TableText"/>
              <w:rPr>
                <w:rFonts w:cs="Arial"/>
              </w:rPr>
            </w:pPr>
            <w:r w:rsidRPr="00F24972">
              <w:rPr>
                <w:rFonts w:cs="Arial"/>
              </w:rPr>
              <w:t>An individual blood unit’s status is invalided when the original modification process was Deglycerolize.</w:t>
            </w:r>
          </w:p>
        </w:tc>
      </w:tr>
      <w:tr w:rsidR="000305DD" w:rsidRPr="00F24972" w14:paraId="616C7583" w14:textId="77777777" w:rsidTr="00FA340F">
        <w:trPr>
          <w:cantSplit/>
        </w:trPr>
        <w:tc>
          <w:tcPr>
            <w:tcW w:w="1733" w:type="dxa"/>
            <w:vMerge w:val="restart"/>
          </w:tcPr>
          <w:p w14:paraId="364EEA65" w14:textId="77777777" w:rsidR="000305DD" w:rsidRPr="00F24972" w:rsidRDefault="000305DD" w:rsidP="000305DD">
            <w:pPr>
              <w:pStyle w:val="TableText"/>
              <w:rPr>
                <w:rFonts w:cs="Arial"/>
              </w:rPr>
            </w:pPr>
            <w:r w:rsidRPr="00F24972">
              <w:rPr>
                <w:rFonts w:cs="Arial"/>
              </w:rPr>
              <w:t>Discard unit</w:t>
            </w:r>
          </w:p>
        </w:tc>
        <w:tc>
          <w:tcPr>
            <w:tcW w:w="1592" w:type="dxa"/>
          </w:tcPr>
          <w:p w14:paraId="0C82F013" w14:textId="77777777" w:rsidR="000305DD" w:rsidRPr="00F24972" w:rsidRDefault="000305DD" w:rsidP="000305DD">
            <w:pPr>
              <w:pStyle w:val="TableText"/>
              <w:rPr>
                <w:rFonts w:cs="Arial"/>
              </w:rPr>
            </w:pPr>
            <w:r>
              <w:rPr>
                <w:rFonts w:cs="Arial"/>
              </w:rPr>
              <w:t>Discard Unit</w:t>
            </w:r>
          </w:p>
        </w:tc>
        <w:tc>
          <w:tcPr>
            <w:tcW w:w="1080" w:type="dxa"/>
          </w:tcPr>
          <w:p w14:paraId="1640B20A" w14:textId="77777777" w:rsidR="000305DD" w:rsidRPr="00F24972" w:rsidRDefault="000305DD" w:rsidP="000305DD">
            <w:pPr>
              <w:pStyle w:val="TableText"/>
              <w:rPr>
                <w:rFonts w:cs="Arial"/>
              </w:rPr>
            </w:pPr>
            <w:r w:rsidRPr="00F24972">
              <w:rPr>
                <w:rFonts w:cs="Arial"/>
              </w:rPr>
              <w:t>Positive</w:t>
            </w:r>
          </w:p>
        </w:tc>
        <w:tc>
          <w:tcPr>
            <w:tcW w:w="900" w:type="dxa"/>
          </w:tcPr>
          <w:p w14:paraId="4AFAF8C2" w14:textId="77777777" w:rsidR="000305DD" w:rsidRPr="00F24972" w:rsidRDefault="000305DD" w:rsidP="000305DD">
            <w:pPr>
              <w:pStyle w:val="TableText"/>
              <w:jc w:val="center"/>
              <w:rPr>
                <w:rFonts w:cs="Arial"/>
              </w:rPr>
            </w:pPr>
            <w:r w:rsidRPr="00F24972">
              <w:rPr>
                <w:rFonts w:cs="Arial"/>
              </w:rPr>
              <w:t>U</w:t>
            </w:r>
          </w:p>
        </w:tc>
        <w:tc>
          <w:tcPr>
            <w:tcW w:w="4950" w:type="dxa"/>
          </w:tcPr>
          <w:p w14:paraId="1925FD20" w14:textId="77777777" w:rsidR="000305DD" w:rsidRPr="00F24972" w:rsidRDefault="000305DD" w:rsidP="000305DD">
            <w:pPr>
              <w:pStyle w:val="TableText"/>
              <w:rPr>
                <w:rFonts w:cs="Arial"/>
              </w:rPr>
            </w:pPr>
            <w:r w:rsidRPr="00F24972">
              <w:rPr>
                <w:rFonts w:cs="Arial"/>
              </w:rPr>
              <w:t>Accrue workload when an individual blood unit’s status is invalided. When a batch of units is selected, each unit accrues workload.</w:t>
            </w:r>
          </w:p>
        </w:tc>
      </w:tr>
      <w:tr w:rsidR="000305DD" w:rsidRPr="00F24972" w14:paraId="2102AE6F" w14:textId="77777777" w:rsidTr="00FA340F">
        <w:trPr>
          <w:cantSplit/>
        </w:trPr>
        <w:tc>
          <w:tcPr>
            <w:tcW w:w="1733" w:type="dxa"/>
            <w:vMerge/>
            <w:tcBorders>
              <w:bottom w:val="single" w:sz="4" w:space="0" w:color="auto"/>
            </w:tcBorders>
          </w:tcPr>
          <w:p w14:paraId="18E507F8" w14:textId="77777777" w:rsidR="000305DD" w:rsidRPr="00F24972" w:rsidRDefault="000305DD" w:rsidP="000305DD">
            <w:pPr>
              <w:pStyle w:val="TableText"/>
              <w:rPr>
                <w:rFonts w:cs="Arial"/>
              </w:rPr>
            </w:pPr>
          </w:p>
        </w:tc>
        <w:tc>
          <w:tcPr>
            <w:tcW w:w="1592" w:type="dxa"/>
            <w:tcBorders>
              <w:top w:val="single" w:sz="4" w:space="0" w:color="auto"/>
              <w:bottom w:val="single" w:sz="4" w:space="0" w:color="auto"/>
              <w:right w:val="single" w:sz="4" w:space="0" w:color="auto"/>
            </w:tcBorders>
          </w:tcPr>
          <w:p w14:paraId="256F85B8" w14:textId="77777777" w:rsidR="000305DD" w:rsidRPr="00F24972" w:rsidRDefault="000305DD" w:rsidP="000305DD">
            <w:pPr>
              <w:pStyle w:val="TableText"/>
              <w:rPr>
                <w:rFonts w:cs="Arial"/>
              </w:rPr>
            </w:pPr>
            <w:r>
              <w:rPr>
                <w:rFonts w:cs="Arial"/>
              </w:rPr>
              <w:t>Invalidate Unit Status, Discard</w:t>
            </w:r>
          </w:p>
        </w:tc>
        <w:tc>
          <w:tcPr>
            <w:tcW w:w="1080" w:type="dxa"/>
            <w:tcBorders>
              <w:top w:val="single" w:sz="4" w:space="0" w:color="auto"/>
              <w:left w:val="single" w:sz="4" w:space="0" w:color="auto"/>
              <w:bottom w:val="single" w:sz="4" w:space="0" w:color="auto"/>
              <w:right w:val="single" w:sz="4" w:space="0" w:color="auto"/>
            </w:tcBorders>
          </w:tcPr>
          <w:p w14:paraId="4269A867" w14:textId="77777777" w:rsidR="000305DD" w:rsidRPr="00F24972" w:rsidRDefault="000305DD" w:rsidP="000305DD">
            <w:pPr>
              <w:pStyle w:val="TableText"/>
              <w:rPr>
                <w:rFonts w:cs="Arial"/>
                <w:b/>
              </w:rPr>
            </w:pPr>
            <w:r w:rsidRPr="00F24972">
              <w:rPr>
                <w:rFonts w:cs="Arial"/>
                <w:b/>
              </w:rPr>
              <w:t>Negative</w:t>
            </w:r>
          </w:p>
        </w:tc>
        <w:tc>
          <w:tcPr>
            <w:tcW w:w="900" w:type="dxa"/>
            <w:tcBorders>
              <w:top w:val="single" w:sz="4" w:space="0" w:color="auto"/>
              <w:left w:val="single" w:sz="4" w:space="0" w:color="auto"/>
              <w:bottom w:val="single" w:sz="4" w:space="0" w:color="auto"/>
              <w:right w:val="single" w:sz="4" w:space="0" w:color="auto"/>
            </w:tcBorders>
          </w:tcPr>
          <w:p w14:paraId="6A6E58F9" w14:textId="77777777" w:rsidR="000305DD" w:rsidRPr="00F24972" w:rsidRDefault="000305DD" w:rsidP="000305DD">
            <w:pPr>
              <w:pStyle w:val="TableText"/>
              <w:jc w:val="center"/>
              <w:rPr>
                <w:rFonts w:cs="Arial"/>
              </w:rPr>
            </w:pPr>
            <w:r w:rsidRPr="00F24972">
              <w:rPr>
                <w:rFonts w:cs="Arial"/>
              </w:rPr>
              <w:t>U</w:t>
            </w:r>
          </w:p>
        </w:tc>
        <w:tc>
          <w:tcPr>
            <w:tcW w:w="4950" w:type="dxa"/>
            <w:tcBorders>
              <w:top w:val="single" w:sz="4" w:space="0" w:color="auto"/>
              <w:left w:val="single" w:sz="4" w:space="0" w:color="auto"/>
              <w:bottom w:val="single" w:sz="4" w:space="0" w:color="auto"/>
              <w:right w:val="single" w:sz="4" w:space="0" w:color="auto"/>
            </w:tcBorders>
          </w:tcPr>
          <w:p w14:paraId="26583554" w14:textId="77777777" w:rsidR="000305DD" w:rsidRPr="000409B0" w:rsidRDefault="000305DD" w:rsidP="000305DD">
            <w:pPr>
              <w:pStyle w:val="TableText"/>
              <w:rPr>
                <w:rFonts w:cs="Arial"/>
              </w:rPr>
            </w:pPr>
            <w:r w:rsidRPr="00F24972">
              <w:rPr>
                <w:rFonts w:cs="Arial"/>
              </w:rPr>
              <w:t>Accrue workload when a unit is discarded for waste or credit. When a batch of units is selected, each unit accrues workload.</w:t>
            </w:r>
          </w:p>
        </w:tc>
      </w:tr>
      <w:tr w:rsidR="000305DD" w:rsidRPr="00F24972" w14:paraId="4242259C" w14:textId="77777777" w:rsidTr="00FA340F">
        <w:trPr>
          <w:cantSplit/>
        </w:trPr>
        <w:tc>
          <w:tcPr>
            <w:tcW w:w="1733" w:type="dxa"/>
            <w:vMerge w:val="restart"/>
            <w:tcBorders>
              <w:top w:val="single" w:sz="4" w:space="0" w:color="auto"/>
              <w:left w:val="single" w:sz="4" w:space="0" w:color="auto"/>
              <w:right w:val="single" w:sz="4" w:space="0" w:color="auto"/>
            </w:tcBorders>
          </w:tcPr>
          <w:p w14:paraId="7EEAA6C5" w14:textId="77777777" w:rsidR="000305DD" w:rsidRPr="00F24972" w:rsidRDefault="000305DD" w:rsidP="000305DD">
            <w:pPr>
              <w:pStyle w:val="TableText"/>
              <w:rPr>
                <w:rFonts w:cs="Arial"/>
              </w:rPr>
            </w:pPr>
            <w:r w:rsidRPr="00F24972">
              <w:rPr>
                <w:rFonts w:cs="Arial"/>
              </w:rPr>
              <w:t>Freeze unit</w:t>
            </w:r>
          </w:p>
        </w:tc>
        <w:tc>
          <w:tcPr>
            <w:tcW w:w="1592" w:type="dxa"/>
            <w:tcBorders>
              <w:top w:val="single" w:sz="4" w:space="0" w:color="auto"/>
              <w:left w:val="single" w:sz="4" w:space="0" w:color="auto"/>
              <w:bottom w:val="single" w:sz="4" w:space="0" w:color="auto"/>
              <w:right w:val="single" w:sz="4" w:space="0" w:color="auto"/>
            </w:tcBorders>
          </w:tcPr>
          <w:p w14:paraId="0B0CDA97" w14:textId="77777777" w:rsidR="000305DD" w:rsidRPr="00F24972" w:rsidRDefault="000305DD" w:rsidP="000305DD">
            <w:pPr>
              <w:pStyle w:val="TableText"/>
              <w:rPr>
                <w:rFonts w:cs="Arial"/>
              </w:rPr>
            </w:pPr>
            <w:r>
              <w:rPr>
                <w:rFonts w:cs="Arial"/>
              </w:rPr>
              <w:t>Modify Unit, Freeze</w:t>
            </w:r>
          </w:p>
        </w:tc>
        <w:tc>
          <w:tcPr>
            <w:tcW w:w="1080" w:type="dxa"/>
            <w:tcBorders>
              <w:top w:val="single" w:sz="4" w:space="0" w:color="auto"/>
              <w:left w:val="single" w:sz="4" w:space="0" w:color="auto"/>
              <w:bottom w:val="single" w:sz="4" w:space="0" w:color="auto"/>
              <w:right w:val="single" w:sz="4" w:space="0" w:color="auto"/>
            </w:tcBorders>
          </w:tcPr>
          <w:p w14:paraId="072A92A0" w14:textId="77777777" w:rsidR="000305DD" w:rsidRPr="00F24972" w:rsidRDefault="000305DD" w:rsidP="000305DD">
            <w:pPr>
              <w:pStyle w:val="TableText"/>
              <w:rPr>
                <w:rFonts w:cs="Arial"/>
              </w:rPr>
            </w:pPr>
            <w:r w:rsidRPr="00F24972">
              <w:rPr>
                <w:rFonts w:cs="Arial"/>
              </w:rPr>
              <w:t>Positive</w:t>
            </w:r>
          </w:p>
        </w:tc>
        <w:tc>
          <w:tcPr>
            <w:tcW w:w="900" w:type="dxa"/>
            <w:tcBorders>
              <w:top w:val="single" w:sz="4" w:space="0" w:color="auto"/>
              <w:left w:val="single" w:sz="4" w:space="0" w:color="auto"/>
              <w:bottom w:val="single" w:sz="4" w:space="0" w:color="auto"/>
              <w:right w:val="single" w:sz="4" w:space="0" w:color="auto"/>
            </w:tcBorders>
          </w:tcPr>
          <w:p w14:paraId="0747A758" w14:textId="77777777" w:rsidR="000305DD" w:rsidRPr="00F24972" w:rsidRDefault="000305DD" w:rsidP="000305DD">
            <w:pPr>
              <w:pStyle w:val="TableText"/>
              <w:jc w:val="center"/>
              <w:rPr>
                <w:rFonts w:cs="Arial"/>
              </w:rPr>
            </w:pPr>
            <w:r w:rsidRPr="00F24972">
              <w:rPr>
                <w:rFonts w:cs="Arial"/>
              </w:rPr>
              <w:t>U</w:t>
            </w:r>
          </w:p>
        </w:tc>
        <w:tc>
          <w:tcPr>
            <w:tcW w:w="4950" w:type="dxa"/>
            <w:tcBorders>
              <w:top w:val="single" w:sz="4" w:space="0" w:color="auto"/>
              <w:left w:val="single" w:sz="4" w:space="0" w:color="auto"/>
              <w:bottom w:val="single" w:sz="4" w:space="0" w:color="auto"/>
              <w:right w:val="single" w:sz="4" w:space="0" w:color="auto"/>
            </w:tcBorders>
          </w:tcPr>
          <w:p w14:paraId="62EB9CAE" w14:textId="77777777" w:rsidR="000305DD" w:rsidRPr="00F24972" w:rsidRDefault="000305DD" w:rsidP="000305DD">
            <w:pPr>
              <w:pStyle w:val="TableText"/>
              <w:rPr>
                <w:rFonts w:cs="Arial"/>
              </w:rPr>
            </w:pPr>
            <w:r w:rsidRPr="00F24972">
              <w:rPr>
                <w:rFonts w:cs="Arial"/>
              </w:rPr>
              <w:t>Accrue workload when an individual blood unit is processed by the modification type: Freeze.</w:t>
            </w:r>
          </w:p>
          <w:p w14:paraId="03E6A485" w14:textId="77777777" w:rsidR="000305DD" w:rsidRPr="00F24972" w:rsidRDefault="000305DD" w:rsidP="000305DD">
            <w:pPr>
              <w:pStyle w:val="TableText"/>
              <w:rPr>
                <w:rFonts w:cs="Arial"/>
              </w:rPr>
            </w:pPr>
            <w:r w:rsidRPr="00F24972">
              <w:rPr>
                <w:i/>
                <w:iCs/>
              </w:rPr>
              <w:t>Note: Workload is not accrued when a patient assignment is processed and VBECS releases all other patient assignments. Workload is not accrued when VBECS is required to quarantine the unit.</w:t>
            </w:r>
          </w:p>
        </w:tc>
      </w:tr>
      <w:tr w:rsidR="000305DD" w:rsidRPr="00F24972" w14:paraId="504067FC" w14:textId="77777777" w:rsidTr="00FA340F">
        <w:trPr>
          <w:cantSplit/>
        </w:trPr>
        <w:tc>
          <w:tcPr>
            <w:tcW w:w="1733" w:type="dxa"/>
            <w:vMerge/>
            <w:tcBorders>
              <w:left w:val="single" w:sz="4" w:space="0" w:color="auto"/>
              <w:bottom w:val="single" w:sz="4" w:space="0" w:color="auto"/>
              <w:right w:val="single" w:sz="4" w:space="0" w:color="auto"/>
            </w:tcBorders>
          </w:tcPr>
          <w:p w14:paraId="7EA99A59" w14:textId="77777777" w:rsidR="000305DD" w:rsidRPr="00F24972" w:rsidRDefault="000305DD" w:rsidP="000305DD">
            <w:pPr>
              <w:pStyle w:val="TableText"/>
              <w:rPr>
                <w:rFonts w:cs="Arial"/>
              </w:rPr>
            </w:pPr>
          </w:p>
        </w:tc>
        <w:tc>
          <w:tcPr>
            <w:tcW w:w="1592" w:type="dxa"/>
            <w:tcBorders>
              <w:top w:val="single" w:sz="4" w:space="0" w:color="auto"/>
              <w:left w:val="single" w:sz="4" w:space="0" w:color="auto"/>
              <w:bottom w:val="single" w:sz="4" w:space="0" w:color="auto"/>
              <w:right w:val="single" w:sz="4" w:space="0" w:color="auto"/>
            </w:tcBorders>
          </w:tcPr>
          <w:p w14:paraId="4B934FE0" w14:textId="77777777" w:rsidR="000305DD" w:rsidRPr="00F24972" w:rsidRDefault="000305DD" w:rsidP="000305DD">
            <w:pPr>
              <w:pStyle w:val="TableText"/>
              <w:rPr>
                <w:rFonts w:cs="Arial"/>
              </w:rPr>
            </w:pPr>
            <w:r>
              <w:rPr>
                <w:rFonts w:cs="Arial"/>
              </w:rPr>
              <w:t>Invalidate Unit Status, Freeze</w:t>
            </w:r>
          </w:p>
        </w:tc>
        <w:tc>
          <w:tcPr>
            <w:tcW w:w="1080" w:type="dxa"/>
            <w:tcBorders>
              <w:top w:val="single" w:sz="4" w:space="0" w:color="auto"/>
              <w:left w:val="single" w:sz="4" w:space="0" w:color="auto"/>
              <w:bottom w:val="single" w:sz="4" w:space="0" w:color="auto"/>
              <w:right w:val="single" w:sz="4" w:space="0" w:color="auto"/>
            </w:tcBorders>
          </w:tcPr>
          <w:p w14:paraId="6D6C34D7" w14:textId="77777777" w:rsidR="000305DD" w:rsidRPr="00F24972" w:rsidRDefault="000305DD" w:rsidP="000305DD">
            <w:pPr>
              <w:pStyle w:val="TableText"/>
              <w:rPr>
                <w:rFonts w:cs="Arial"/>
                <w:b/>
              </w:rPr>
            </w:pPr>
            <w:r w:rsidRPr="00F24972">
              <w:rPr>
                <w:rFonts w:cs="Arial"/>
                <w:b/>
              </w:rPr>
              <w:t>Negative</w:t>
            </w:r>
          </w:p>
        </w:tc>
        <w:tc>
          <w:tcPr>
            <w:tcW w:w="900" w:type="dxa"/>
            <w:tcBorders>
              <w:top w:val="single" w:sz="4" w:space="0" w:color="auto"/>
              <w:left w:val="single" w:sz="4" w:space="0" w:color="auto"/>
              <w:bottom w:val="single" w:sz="4" w:space="0" w:color="auto"/>
              <w:right w:val="single" w:sz="4" w:space="0" w:color="auto"/>
            </w:tcBorders>
          </w:tcPr>
          <w:p w14:paraId="6B340E98" w14:textId="77777777" w:rsidR="000305DD" w:rsidRPr="00F24972" w:rsidRDefault="000305DD" w:rsidP="000305DD">
            <w:pPr>
              <w:pStyle w:val="TableText"/>
              <w:jc w:val="center"/>
              <w:rPr>
                <w:rFonts w:cs="Arial"/>
              </w:rPr>
            </w:pPr>
            <w:r w:rsidRPr="00F24972">
              <w:rPr>
                <w:rFonts w:cs="Arial"/>
              </w:rPr>
              <w:t>U</w:t>
            </w:r>
          </w:p>
        </w:tc>
        <w:tc>
          <w:tcPr>
            <w:tcW w:w="4950" w:type="dxa"/>
            <w:tcBorders>
              <w:top w:val="single" w:sz="4" w:space="0" w:color="auto"/>
              <w:left w:val="single" w:sz="4" w:space="0" w:color="auto"/>
              <w:bottom w:val="single" w:sz="4" w:space="0" w:color="auto"/>
              <w:right w:val="single" w:sz="4" w:space="0" w:color="auto"/>
            </w:tcBorders>
          </w:tcPr>
          <w:p w14:paraId="4720CC0A" w14:textId="77777777" w:rsidR="000305DD" w:rsidRPr="00F24972" w:rsidRDefault="000305DD" w:rsidP="000305DD">
            <w:pPr>
              <w:pStyle w:val="TableText"/>
              <w:rPr>
                <w:rFonts w:cs="Arial"/>
              </w:rPr>
            </w:pPr>
            <w:r w:rsidRPr="00F24972">
              <w:rPr>
                <w:rFonts w:cs="Arial"/>
              </w:rPr>
              <w:t>An individual blood unit’s status is invalided when the original modification process was Freeze.</w:t>
            </w:r>
          </w:p>
        </w:tc>
      </w:tr>
      <w:tr w:rsidR="000305DD" w:rsidRPr="00F24972" w14:paraId="183AFB11" w14:textId="77777777" w:rsidTr="00FA340F">
        <w:trPr>
          <w:cantSplit/>
        </w:trPr>
        <w:tc>
          <w:tcPr>
            <w:tcW w:w="1733" w:type="dxa"/>
            <w:vMerge w:val="restart"/>
            <w:tcBorders>
              <w:top w:val="single" w:sz="4" w:space="0" w:color="auto"/>
              <w:left w:val="single" w:sz="4" w:space="0" w:color="auto"/>
              <w:right w:val="single" w:sz="4" w:space="0" w:color="auto"/>
            </w:tcBorders>
          </w:tcPr>
          <w:p w14:paraId="51E20BE8" w14:textId="77777777" w:rsidR="000305DD" w:rsidRPr="00F24972" w:rsidRDefault="000305DD" w:rsidP="000305DD">
            <w:pPr>
              <w:pStyle w:val="TableText"/>
              <w:rPr>
                <w:rFonts w:cs="Arial"/>
              </w:rPr>
            </w:pPr>
            <w:r w:rsidRPr="00F24972">
              <w:rPr>
                <w:rFonts w:cs="Arial"/>
              </w:rPr>
              <w:t>Irradiate unit</w:t>
            </w:r>
          </w:p>
        </w:tc>
        <w:tc>
          <w:tcPr>
            <w:tcW w:w="1592" w:type="dxa"/>
            <w:tcBorders>
              <w:top w:val="single" w:sz="4" w:space="0" w:color="auto"/>
              <w:left w:val="single" w:sz="4" w:space="0" w:color="auto"/>
              <w:bottom w:val="single" w:sz="4" w:space="0" w:color="auto"/>
              <w:right w:val="single" w:sz="4" w:space="0" w:color="auto"/>
            </w:tcBorders>
          </w:tcPr>
          <w:p w14:paraId="67EFA98E" w14:textId="77777777" w:rsidR="000305DD" w:rsidRPr="00F24972" w:rsidRDefault="000305DD" w:rsidP="000305DD">
            <w:pPr>
              <w:pStyle w:val="TableText"/>
              <w:rPr>
                <w:rFonts w:cs="Arial"/>
              </w:rPr>
            </w:pPr>
            <w:r>
              <w:rPr>
                <w:rFonts w:cs="Arial"/>
              </w:rPr>
              <w:t>Modify Unit, Irradiate</w:t>
            </w:r>
          </w:p>
        </w:tc>
        <w:tc>
          <w:tcPr>
            <w:tcW w:w="1080" w:type="dxa"/>
            <w:tcBorders>
              <w:top w:val="single" w:sz="4" w:space="0" w:color="auto"/>
              <w:left w:val="single" w:sz="4" w:space="0" w:color="auto"/>
              <w:bottom w:val="single" w:sz="4" w:space="0" w:color="auto"/>
              <w:right w:val="single" w:sz="4" w:space="0" w:color="auto"/>
            </w:tcBorders>
          </w:tcPr>
          <w:p w14:paraId="7048AA76" w14:textId="77777777" w:rsidR="000305DD" w:rsidRPr="00F24972" w:rsidRDefault="000305DD" w:rsidP="000305DD">
            <w:pPr>
              <w:pStyle w:val="TableText"/>
              <w:rPr>
                <w:rFonts w:cs="Arial"/>
              </w:rPr>
            </w:pPr>
            <w:r w:rsidRPr="00F24972">
              <w:rPr>
                <w:rFonts w:cs="Arial"/>
              </w:rPr>
              <w:t>Positive</w:t>
            </w:r>
          </w:p>
        </w:tc>
        <w:tc>
          <w:tcPr>
            <w:tcW w:w="900" w:type="dxa"/>
            <w:tcBorders>
              <w:top w:val="single" w:sz="4" w:space="0" w:color="auto"/>
              <w:left w:val="single" w:sz="4" w:space="0" w:color="auto"/>
              <w:bottom w:val="single" w:sz="4" w:space="0" w:color="auto"/>
              <w:right w:val="single" w:sz="4" w:space="0" w:color="auto"/>
            </w:tcBorders>
          </w:tcPr>
          <w:p w14:paraId="2EC07711" w14:textId="77777777" w:rsidR="000305DD" w:rsidRPr="00F24972" w:rsidRDefault="000305DD" w:rsidP="000305DD">
            <w:pPr>
              <w:pStyle w:val="TableText"/>
              <w:jc w:val="center"/>
              <w:rPr>
                <w:rFonts w:cs="Arial"/>
              </w:rPr>
            </w:pPr>
            <w:r w:rsidRPr="00F24972">
              <w:rPr>
                <w:rFonts w:cs="Arial"/>
              </w:rPr>
              <w:t>U</w:t>
            </w:r>
          </w:p>
        </w:tc>
        <w:tc>
          <w:tcPr>
            <w:tcW w:w="4950" w:type="dxa"/>
            <w:tcBorders>
              <w:top w:val="single" w:sz="4" w:space="0" w:color="auto"/>
              <w:left w:val="single" w:sz="4" w:space="0" w:color="auto"/>
              <w:bottom w:val="single" w:sz="4" w:space="0" w:color="auto"/>
              <w:right w:val="single" w:sz="4" w:space="0" w:color="auto"/>
            </w:tcBorders>
          </w:tcPr>
          <w:p w14:paraId="28A486F1" w14:textId="77777777" w:rsidR="000305DD" w:rsidRPr="00F24972" w:rsidRDefault="000305DD" w:rsidP="000305DD">
            <w:pPr>
              <w:pStyle w:val="TableText"/>
              <w:rPr>
                <w:rFonts w:cs="Arial"/>
              </w:rPr>
            </w:pPr>
            <w:r w:rsidRPr="00F24972">
              <w:rPr>
                <w:rFonts w:cs="Arial"/>
              </w:rPr>
              <w:t>Accrue workload when an individual blood unit is processed by the modification type: Irradiate. When a batch of units is irradiated, each unit accrues workload.</w:t>
            </w:r>
          </w:p>
          <w:p w14:paraId="4AD99521" w14:textId="77777777" w:rsidR="000305DD" w:rsidRPr="00F24972" w:rsidRDefault="000305DD" w:rsidP="000305DD">
            <w:pPr>
              <w:pStyle w:val="TableText"/>
              <w:rPr>
                <w:rFonts w:cs="Arial"/>
              </w:rPr>
            </w:pPr>
            <w:r w:rsidRPr="00F24972">
              <w:rPr>
                <w:i/>
                <w:iCs/>
              </w:rPr>
              <w:t>Note: Workload is not accrued when a patient assignment is processed and VBECS releases all other patient assignments. Workload is not accrued when VBECS is required to quarantine the unit.</w:t>
            </w:r>
          </w:p>
        </w:tc>
      </w:tr>
      <w:tr w:rsidR="000305DD" w:rsidRPr="00F24972" w14:paraId="3D8DE63E" w14:textId="77777777" w:rsidTr="00FA340F">
        <w:trPr>
          <w:cantSplit/>
        </w:trPr>
        <w:tc>
          <w:tcPr>
            <w:tcW w:w="1733" w:type="dxa"/>
            <w:vMerge/>
            <w:tcBorders>
              <w:left w:val="single" w:sz="4" w:space="0" w:color="auto"/>
              <w:right w:val="single" w:sz="4" w:space="0" w:color="auto"/>
            </w:tcBorders>
          </w:tcPr>
          <w:p w14:paraId="29BE7A1E" w14:textId="77777777" w:rsidR="000305DD" w:rsidRPr="00F24972" w:rsidRDefault="000305DD" w:rsidP="000305DD">
            <w:pPr>
              <w:pStyle w:val="TableText"/>
              <w:rPr>
                <w:rFonts w:cs="Arial"/>
              </w:rPr>
            </w:pPr>
          </w:p>
        </w:tc>
        <w:tc>
          <w:tcPr>
            <w:tcW w:w="1592" w:type="dxa"/>
            <w:tcBorders>
              <w:left w:val="single" w:sz="4" w:space="0" w:color="auto"/>
            </w:tcBorders>
          </w:tcPr>
          <w:p w14:paraId="0B5F9A8E" w14:textId="77777777" w:rsidR="000305DD" w:rsidRPr="00F24972" w:rsidRDefault="000305DD" w:rsidP="000305DD">
            <w:pPr>
              <w:pStyle w:val="TableText"/>
              <w:rPr>
                <w:rFonts w:cs="Arial"/>
              </w:rPr>
            </w:pPr>
            <w:r>
              <w:rPr>
                <w:rFonts w:cs="Arial"/>
              </w:rPr>
              <w:t>Invalidate Unit Status, Irradiate</w:t>
            </w:r>
          </w:p>
        </w:tc>
        <w:tc>
          <w:tcPr>
            <w:tcW w:w="1080" w:type="dxa"/>
          </w:tcPr>
          <w:p w14:paraId="6DB90244" w14:textId="77777777" w:rsidR="000305DD" w:rsidRPr="00F24972" w:rsidRDefault="000305DD" w:rsidP="000305DD">
            <w:pPr>
              <w:pStyle w:val="TableText"/>
              <w:rPr>
                <w:rFonts w:cs="Arial"/>
                <w:b/>
              </w:rPr>
            </w:pPr>
            <w:r w:rsidRPr="00F24972">
              <w:rPr>
                <w:rFonts w:cs="Arial"/>
                <w:b/>
              </w:rPr>
              <w:t>Negative</w:t>
            </w:r>
          </w:p>
        </w:tc>
        <w:tc>
          <w:tcPr>
            <w:tcW w:w="900" w:type="dxa"/>
          </w:tcPr>
          <w:p w14:paraId="6D98CBE2" w14:textId="77777777" w:rsidR="000305DD" w:rsidRPr="00F24972" w:rsidRDefault="000305DD" w:rsidP="000305DD">
            <w:pPr>
              <w:pStyle w:val="TableText"/>
              <w:jc w:val="center"/>
              <w:rPr>
                <w:rFonts w:cs="Arial"/>
              </w:rPr>
            </w:pPr>
            <w:r w:rsidRPr="00F24972">
              <w:rPr>
                <w:rFonts w:cs="Arial"/>
              </w:rPr>
              <w:t>U</w:t>
            </w:r>
          </w:p>
        </w:tc>
        <w:tc>
          <w:tcPr>
            <w:tcW w:w="4950" w:type="dxa"/>
          </w:tcPr>
          <w:p w14:paraId="19D28D92" w14:textId="77777777" w:rsidR="000305DD" w:rsidRPr="00F24972" w:rsidRDefault="000305DD" w:rsidP="000305DD">
            <w:pPr>
              <w:pStyle w:val="TableText"/>
              <w:rPr>
                <w:rFonts w:cs="Arial"/>
              </w:rPr>
            </w:pPr>
            <w:r w:rsidRPr="00F24972">
              <w:rPr>
                <w:rFonts w:cs="Arial"/>
              </w:rPr>
              <w:t>An individual blood unit’s status is invalided when the original modification process was Irradiate.</w:t>
            </w:r>
          </w:p>
        </w:tc>
      </w:tr>
      <w:tr w:rsidR="000305DD" w:rsidRPr="00F24972" w14:paraId="57CB4E43" w14:textId="77777777" w:rsidTr="00FA340F">
        <w:trPr>
          <w:cantSplit/>
        </w:trPr>
        <w:tc>
          <w:tcPr>
            <w:tcW w:w="1733" w:type="dxa"/>
            <w:vMerge w:val="restart"/>
          </w:tcPr>
          <w:p w14:paraId="07C6A7F4" w14:textId="77777777" w:rsidR="000305DD" w:rsidRPr="00F24972" w:rsidRDefault="000305DD" w:rsidP="000305DD">
            <w:pPr>
              <w:pStyle w:val="TableText"/>
              <w:rPr>
                <w:rFonts w:cs="Arial"/>
              </w:rPr>
            </w:pPr>
            <w:r w:rsidRPr="00F24972">
              <w:rPr>
                <w:rFonts w:cs="Arial"/>
              </w:rPr>
              <w:t>Leukoreduce unit</w:t>
            </w:r>
          </w:p>
        </w:tc>
        <w:tc>
          <w:tcPr>
            <w:tcW w:w="1592" w:type="dxa"/>
          </w:tcPr>
          <w:p w14:paraId="6B25DD6E" w14:textId="77777777" w:rsidR="000305DD" w:rsidRPr="00F24972" w:rsidRDefault="000305DD" w:rsidP="000305DD">
            <w:pPr>
              <w:pStyle w:val="TableText"/>
              <w:rPr>
                <w:rFonts w:cs="Arial"/>
              </w:rPr>
            </w:pPr>
            <w:r>
              <w:rPr>
                <w:rFonts w:cs="Arial"/>
              </w:rPr>
              <w:t>Modify Unit, Leukoreduce</w:t>
            </w:r>
          </w:p>
        </w:tc>
        <w:tc>
          <w:tcPr>
            <w:tcW w:w="1080" w:type="dxa"/>
          </w:tcPr>
          <w:p w14:paraId="26ACC218" w14:textId="77777777" w:rsidR="000305DD" w:rsidRPr="00F24972" w:rsidRDefault="000305DD" w:rsidP="000305DD">
            <w:pPr>
              <w:pStyle w:val="TableText"/>
              <w:rPr>
                <w:rFonts w:cs="Arial"/>
              </w:rPr>
            </w:pPr>
            <w:r w:rsidRPr="00F24972">
              <w:rPr>
                <w:rFonts w:cs="Arial"/>
              </w:rPr>
              <w:t>Positive</w:t>
            </w:r>
          </w:p>
        </w:tc>
        <w:tc>
          <w:tcPr>
            <w:tcW w:w="900" w:type="dxa"/>
          </w:tcPr>
          <w:p w14:paraId="4C9ED362" w14:textId="77777777" w:rsidR="000305DD" w:rsidRPr="00F24972" w:rsidRDefault="000305DD" w:rsidP="000305DD">
            <w:pPr>
              <w:pStyle w:val="TableText"/>
              <w:jc w:val="center"/>
              <w:rPr>
                <w:rFonts w:cs="Arial"/>
              </w:rPr>
            </w:pPr>
            <w:r w:rsidRPr="00F24972">
              <w:rPr>
                <w:rFonts w:cs="Arial"/>
              </w:rPr>
              <w:t>U</w:t>
            </w:r>
          </w:p>
        </w:tc>
        <w:tc>
          <w:tcPr>
            <w:tcW w:w="4950" w:type="dxa"/>
          </w:tcPr>
          <w:p w14:paraId="04202714" w14:textId="77777777" w:rsidR="000305DD" w:rsidRPr="00F24972" w:rsidRDefault="000305DD" w:rsidP="000305DD">
            <w:pPr>
              <w:pStyle w:val="TableText"/>
              <w:rPr>
                <w:rFonts w:cs="Arial"/>
              </w:rPr>
            </w:pPr>
            <w:r w:rsidRPr="00F24972">
              <w:rPr>
                <w:rFonts w:cs="Arial"/>
              </w:rPr>
              <w:t>Accrue workload when an individual blood unit is processed by the modification type: Leukoreduce.</w:t>
            </w:r>
          </w:p>
          <w:p w14:paraId="6087E0E3" w14:textId="77777777" w:rsidR="000305DD" w:rsidRPr="00F24972" w:rsidRDefault="000305DD" w:rsidP="000305DD">
            <w:pPr>
              <w:pStyle w:val="TableText"/>
              <w:rPr>
                <w:rFonts w:cs="Arial"/>
              </w:rPr>
            </w:pPr>
            <w:r w:rsidRPr="00F24972">
              <w:rPr>
                <w:i/>
                <w:iCs/>
              </w:rPr>
              <w:t>Note: Workload is not accrued when a patient assignment is processed and VBECS releases all other patient assignments. Workload is not accrued when VBECS is required to quarantine the unit.</w:t>
            </w:r>
          </w:p>
        </w:tc>
      </w:tr>
      <w:tr w:rsidR="000305DD" w:rsidRPr="00F24972" w14:paraId="50155EC3" w14:textId="77777777" w:rsidTr="00FA340F">
        <w:trPr>
          <w:cantSplit/>
        </w:trPr>
        <w:tc>
          <w:tcPr>
            <w:tcW w:w="1733" w:type="dxa"/>
            <w:vMerge/>
            <w:tcBorders>
              <w:bottom w:val="single" w:sz="4" w:space="0" w:color="auto"/>
            </w:tcBorders>
          </w:tcPr>
          <w:p w14:paraId="2D864C76" w14:textId="77777777" w:rsidR="000305DD" w:rsidRPr="00F24972" w:rsidRDefault="000305DD" w:rsidP="000305DD">
            <w:pPr>
              <w:pStyle w:val="TableText"/>
              <w:rPr>
                <w:rFonts w:cs="Arial"/>
              </w:rPr>
            </w:pPr>
          </w:p>
        </w:tc>
        <w:tc>
          <w:tcPr>
            <w:tcW w:w="1592" w:type="dxa"/>
            <w:tcBorders>
              <w:top w:val="single" w:sz="4" w:space="0" w:color="auto"/>
              <w:bottom w:val="single" w:sz="4" w:space="0" w:color="auto"/>
              <w:right w:val="single" w:sz="4" w:space="0" w:color="auto"/>
            </w:tcBorders>
          </w:tcPr>
          <w:p w14:paraId="143028D5" w14:textId="77777777" w:rsidR="000305DD" w:rsidRPr="00F24972" w:rsidRDefault="000305DD" w:rsidP="000305DD">
            <w:pPr>
              <w:pStyle w:val="TableText"/>
              <w:rPr>
                <w:rFonts w:cs="Arial"/>
              </w:rPr>
            </w:pPr>
            <w:r>
              <w:rPr>
                <w:rFonts w:cs="Arial"/>
              </w:rPr>
              <w:t>Invalidate Unit Status, Leukoreduce</w:t>
            </w:r>
          </w:p>
        </w:tc>
        <w:tc>
          <w:tcPr>
            <w:tcW w:w="1080" w:type="dxa"/>
            <w:tcBorders>
              <w:top w:val="single" w:sz="4" w:space="0" w:color="auto"/>
              <w:left w:val="single" w:sz="4" w:space="0" w:color="auto"/>
              <w:bottom w:val="single" w:sz="4" w:space="0" w:color="auto"/>
              <w:right w:val="single" w:sz="4" w:space="0" w:color="auto"/>
            </w:tcBorders>
          </w:tcPr>
          <w:p w14:paraId="169B1E51" w14:textId="77777777" w:rsidR="000305DD" w:rsidRPr="00F24972" w:rsidRDefault="000305DD" w:rsidP="000305DD">
            <w:pPr>
              <w:pStyle w:val="TableText"/>
              <w:rPr>
                <w:rFonts w:cs="Arial"/>
                <w:b/>
              </w:rPr>
            </w:pPr>
            <w:r w:rsidRPr="00F24972">
              <w:rPr>
                <w:rFonts w:cs="Arial"/>
                <w:b/>
              </w:rPr>
              <w:t>Negative</w:t>
            </w:r>
          </w:p>
        </w:tc>
        <w:tc>
          <w:tcPr>
            <w:tcW w:w="900" w:type="dxa"/>
            <w:tcBorders>
              <w:top w:val="single" w:sz="4" w:space="0" w:color="auto"/>
              <w:left w:val="single" w:sz="4" w:space="0" w:color="auto"/>
              <w:bottom w:val="single" w:sz="4" w:space="0" w:color="auto"/>
              <w:right w:val="single" w:sz="4" w:space="0" w:color="auto"/>
            </w:tcBorders>
          </w:tcPr>
          <w:p w14:paraId="57E6BFF9" w14:textId="77777777" w:rsidR="000305DD" w:rsidRPr="00F24972" w:rsidRDefault="000305DD" w:rsidP="000305DD">
            <w:pPr>
              <w:pStyle w:val="TableText"/>
              <w:jc w:val="center"/>
              <w:rPr>
                <w:rFonts w:cs="Arial"/>
              </w:rPr>
            </w:pPr>
            <w:r w:rsidRPr="00F24972">
              <w:rPr>
                <w:rFonts w:cs="Arial"/>
              </w:rPr>
              <w:t>U</w:t>
            </w:r>
          </w:p>
        </w:tc>
        <w:tc>
          <w:tcPr>
            <w:tcW w:w="4950" w:type="dxa"/>
            <w:tcBorders>
              <w:top w:val="single" w:sz="4" w:space="0" w:color="auto"/>
              <w:left w:val="single" w:sz="4" w:space="0" w:color="auto"/>
              <w:bottom w:val="single" w:sz="4" w:space="0" w:color="auto"/>
              <w:right w:val="single" w:sz="4" w:space="0" w:color="auto"/>
            </w:tcBorders>
          </w:tcPr>
          <w:p w14:paraId="4A5F964A" w14:textId="77777777" w:rsidR="000305DD" w:rsidRPr="00F24972" w:rsidRDefault="000305DD" w:rsidP="000305DD">
            <w:pPr>
              <w:pStyle w:val="TableText"/>
              <w:rPr>
                <w:rFonts w:cs="Arial"/>
              </w:rPr>
            </w:pPr>
            <w:r w:rsidRPr="00F24972">
              <w:rPr>
                <w:rFonts w:cs="Arial"/>
              </w:rPr>
              <w:t>An individual blood unit’s status is invalided when the original modification process was Leukoreduce.</w:t>
            </w:r>
          </w:p>
        </w:tc>
      </w:tr>
      <w:tr w:rsidR="000305DD" w:rsidRPr="00F24972" w14:paraId="50C37565" w14:textId="77777777" w:rsidTr="00FA340F">
        <w:trPr>
          <w:cantSplit/>
        </w:trPr>
        <w:tc>
          <w:tcPr>
            <w:tcW w:w="1733" w:type="dxa"/>
            <w:vMerge w:val="restart"/>
          </w:tcPr>
          <w:p w14:paraId="5EE13C6C" w14:textId="77777777" w:rsidR="000305DD" w:rsidRPr="00F24972" w:rsidRDefault="000305DD" w:rsidP="000305DD">
            <w:pPr>
              <w:pStyle w:val="TableText"/>
              <w:rPr>
                <w:rFonts w:cs="Arial"/>
              </w:rPr>
            </w:pPr>
            <w:r w:rsidRPr="00F24972">
              <w:rPr>
                <w:rFonts w:cs="Arial"/>
              </w:rPr>
              <w:t>Split unit</w:t>
            </w:r>
          </w:p>
        </w:tc>
        <w:tc>
          <w:tcPr>
            <w:tcW w:w="1592" w:type="dxa"/>
          </w:tcPr>
          <w:p w14:paraId="01D7F66C" w14:textId="77777777" w:rsidR="000305DD" w:rsidRPr="00F24972" w:rsidRDefault="000305DD" w:rsidP="000305DD">
            <w:pPr>
              <w:pStyle w:val="TableText"/>
              <w:rPr>
                <w:rFonts w:cs="Arial"/>
              </w:rPr>
            </w:pPr>
            <w:r>
              <w:rPr>
                <w:rFonts w:cs="Arial"/>
              </w:rPr>
              <w:t>Modify Unit, Split</w:t>
            </w:r>
          </w:p>
        </w:tc>
        <w:tc>
          <w:tcPr>
            <w:tcW w:w="1080" w:type="dxa"/>
          </w:tcPr>
          <w:p w14:paraId="55153206" w14:textId="77777777" w:rsidR="000305DD" w:rsidRPr="00F24972" w:rsidRDefault="000305DD" w:rsidP="000305DD">
            <w:pPr>
              <w:pStyle w:val="TableText"/>
              <w:rPr>
                <w:rFonts w:cs="Arial"/>
              </w:rPr>
            </w:pPr>
            <w:r w:rsidRPr="00F24972">
              <w:rPr>
                <w:rFonts w:cs="Arial"/>
              </w:rPr>
              <w:t>Positive</w:t>
            </w:r>
          </w:p>
        </w:tc>
        <w:tc>
          <w:tcPr>
            <w:tcW w:w="900" w:type="dxa"/>
          </w:tcPr>
          <w:p w14:paraId="292CF124" w14:textId="77777777" w:rsidR="000305DD" w:rsidRPr="00F24972" w:rsidRDefault="000305DD" w:rsidP="000305DD">
            <w:pPr>
              <w:pStyle w:val="TableText"/>
              <w:jc w:val="center"/>
              <w:rPr>
                <w:rFonts w:cs="Arial"/>
              </w:rPr>
            </w:pPr>
            <w:r w:rsidRPr="00F24972">
              <w:rPr>
                <w:rFonts w:cs="Arial"/>
              </w:rPr>
              <w:t>U</w:t>
            </w:r>
          </w:p>
        </w:tc>
        <w:tc>
          <w:tcPr>
            <w:tcW w:w="4950" w:type="dxa"/>
          </w:tcPr>
          <w:p w14:paraId="3C2BBE35" w14:textId="77777777" w:rsidR="000305DD" w:rsidRPr="00F24972" w:rsidRDefault="000305DD" w:rsidP="000305DD">
            <w:pPr>
              <w:pStyle w:val="TableText"/>
              <w:rPr>
                <w:rFonts w:cs="Arial"/>
              </w:rPr>
            </w:pPr>
            <w:r w:rsidRPr="00F24972">
              <w:rPr>
                <w:rFonts w:cs="Arial"/>
              </w:rPr>
              <w:t>Accrue workload when a unit modification of Split and a single workload event is recorded regardless of the number of units created by the modification.</w:t>
            </w:r>
            <w:r w:rsidRPr="00F24972">
              <w:rPr>
                <w:rFonts w:cs="Arial"/>
                <w:i/>
              </w:rPr>
              <w:t xml:space="preserve"> </w:t>
            </w:r>
          </w:p>
          <w:p w14:paraId="752CBFB5" w14:textId="77777777" w:rsidR="000305DD" w:rsidRPr="00F24972" w:rsidRDefault="000305DD" w:rsidP="000305DD">
            <w:pPr>
              <w:pStyle w:val="TableText"/>
              <w:rPr>
                <w:i/>
                <w:iCs/>
              </w:rPr>
            </w:pPr>
            <w:r w:rsidRPr="00F24972">
              <w:rPr>
                <w:i/>
                <w:iCs/>
              </w:rPr>
              <w:t>Note: Workload is not accrued when a patient assignment is processed and VBECS releases all other patient assignments. Workload is not accrued when VBECS is required to quarantine the unit.</w:t>
            </w:r>
            <w:r w:rsidRPr="00F24972">
              <w:rPr>
                <w:rFonts w:cs="Arial"/>
                <w:i/>
              </w:rPr>
              <w:t xml:space="preserve"> Workload accrued by splitting is invalidated in</w:t>
            </w:r>
            <w:r>
              <w:rPr>
                <w:rFonts w:cs="Arial"/>
                <w:i/>
              </w:rPr>
              <w:t xml:space="preserve"> Remove Final Unit Status</w:t>
            </w:r>
            <w:r w:rsidRPr="00F24972">
              <w:rPr>
                <w:rFonts w:cs="Arial"/>
                <w:i/>
              </w:rPr>
              <w:t xml:space="preserve"> with the inactivation of the modification</w:t>
            </w:r>
          </w:p>
        </w:tc>
      </w:tr>
      <w:tr w:rsidR="000305DD" w:rsidRPr="00F24972" w14:paraId="40542C6F" w14:textId="77777777" w:rsidTr="00FA340F">
        <w:trPr>
          <w:cantSplit/>
        </w:trPr>
        <w:tc>
          <w:tcPr>
            <w:tcW w:w="1733" w:type="dxa"/>
            <w:vMerge/>
            <w:tcBorders>
              <w:bottom w:val="single" w:sz="4" w:space="0" w:color="auto"/>
            </w:tcBorders>
          </w:tcPr>
          <w:p w14:paraId="757B7A3B" w14:textId="77777777" w:rsidR="000305DD" w:rsidRPr="00F24972" w:rsidRDefault="000305DD" w:rsidP="000305DD">
            <w:pPr>
              <w:pStyle w:val="TableText"/>
              <w:rPr>
                <w:rFonts w:cs="Arial"/>
              </w:rPr>
            </w:pPr>
          </w:p>
        </w:tc>
        <w:tc>
          <w:tcPr>
            <w:tcW w:w="1592" w:type="dxa"/>
            <w:tcBorders>
              <w:top w:val="single" w:sz="4" w:space="0" w:color="auto"/>
              <w:bottom w:val="single" w:sz="4" w:space="0" w:color="auto"/>
              <w:right w:val="single" w:sz="4" w:space="0" w:color="auto"/>
            </w:tcBorders>
          </w:tcPr>
          <w:p w14:paraId="1D0D21C5" w14:textId="77777777" w:rsidR="000305DD" w:rsidRPr="00F24972" w:rsidRDefault="000305DD" w:rsidP="000305DD">
            <w:pPr>
              <w:pStyle w:val="TableText"/>
              <w:rPr>
                <w:rFonts w:cs="Arial"/>
              </w:rPr>
            </w:pPr>
            <w:r>
              <w:rPr>
                <w:rFonts w:cs="Arial"/>
              </w:rPr>
              <w:t>Invalidate Unit Status, Split</w:t>
            </w:r>
          </w:p>
        </w:tc>
        <w:tc>
          <w:tcPr>
            <w:tcW w:w="1080" w:type="dxa"/>
            <w:tcBorders>
              <w:top w:val="single" w:sz="4" w:space="0" w:color="auto"/>
              <w:left w:val="single" w:sz="4" w:space="0" w:color="auto"/>
              <w:bottom w:val="single" w:sz="4" w:space="0" w:color="auto"/>
              <w:right w:val="single" w:sz="4" w:space="0" w:color="auto"/>
            </w:tcBorders>
          </w:tcPr>
          <w:p w14:paraId="1BD5519E" w14:textId="77777777" w:rsidR="000305DD" w:rsidRPr="00F24972" w:rsidRDefault="000305DD" w:rsidP="000305DD">
            <w:pPr>
              <w:pStyle w:val="TableText"/>
              <w:rPr>
                <w:rFonts w:cs="Arial"/>
                <w:b/>
              </w:rPr>
            </w:pPr>
            <w:r w:rsidRPr="00F24972">
              <w:rPr>
                <w:rFonts w:cs="Arial"/>
                <w:b/>
              </w:rPr>
              <w:t>Negative</w:t>
            </w:r>
          </w:p>
        </w:tc>
        <w:tc>
          <w:tcPr>
            <w:tcW w:w="900" w:type="dxa"/>
            <w:tcBorders>
              <w:top w:val="single" w:sz="4" w:space="0" w:color="auto"/>
              <w:left w:val="single" w:sz="4" w:space="0" w:color="auto"/>
              <w:bottom w:val="single" w:sz="4" w:space="0" w:color="auto"/>
              <w:right w:val="single" w:sz="4" w:space="0" w:color="auto"/>
            </w:tcBorders>
          </w:tcPr>
          <w:p w14:paraId="61A8E613" w14:textId="77777777" w:rsidR="000305DD" w:rsidRPr="00F24972" w:rsidRDefault="000305DD" w:rsidP="000305DD">
            <w:pPr>
              <w:pStyle w:val="TableText"/>
              <w:jc w:val="center"/>
              <w:rPr>
                <w:rFonts w:cs="Arial"/>
              </w:rPr>
            </w:pPr>
            <w:r w:rsidRPr="00F24972">
              <w:rPr>
                <w:rFonts w:cs="Arial"/>
              </w:rPr>
              <w:t>U</w:t>
            </w:r>
          </w:p>
        </w:tc>
        <w:tc>
          <w:tcPr>
            <w:tcW w:w="4950" w:type="dxa"/>
            <w:tcBorders>
              <w:top w:val="single" w:sz="4" w:space="0" w:color="auto"/>
              <w:left w:val="single" w:sz="4" w:space="0" w:color="auto"/>
              <w:bottom w:val="single" w:sz="4" w:space="0" w:color="auto"/>
              <w:right w:val="single" w:sz="4" w:space="0" w:color="auto"/>
            </w:tcBorders>
          </w:tcPr>
          <w:p w14:paraId="278F5247" w14:textId="77777777" w:rsidR="000305DD" w:rsidRPr="00F24972" w:rsidRDefault="000305DD" w:rsidP="000305DD">
            <w:pPr>
              <w:pStyle w:val="TableText"/>
              <w:rPr>
                <w:rFonts w:cs="Arial"/>
              </w:rPr>
            </w:pPr>
            <w:r w:rsidRPr="00F24972">
              <w:rPr>
                <w:rFonts w:cs="Arial"/>
              </w:rPr>
              <w:t>A Split Unit has its unit status invalidated. A single workload event is recorded regardless of the number of units originally created by the modification.</w:t>
            </w:r>
          </w:p>
        </w:tc>
      </w:tr>
      <w:tr w:rsidR="000305DD" w:rsidRPr="00F24972" w14:paraId="03FC875A" w14:textId="77777777" w:rsidTr="00FA340F">
        <w:trPr>
          <w:cantSplit/>
        </w:trPr>
        <w:tc>
          <w:tcPr>
            <w:tcW w:w="1733" w:type="dxa"/>
            <w:vMerge w:val="restart"/>
          </w:tcPr>
          <w:p w14:paraId="78397277" w14:textId="77777777" w:rsidR="000305DD" w:rsidRPr="00F24972" w:rsidRDefault="000305DD" w:rsidP="000305DD">
            <w:pPr>
              <w:pStyle w:val="TableText"/>
              <w:rPr>
                <w:rFonts w:cs="Arial"/>
              </w:rPr>
            </w:pPr>
            <w:r w:rsidRPr="00F24972">
              <w:rPr>
                <w:rFonts w:cs="Arial"/>
              </w:rPr>
              <w:t>Rejuvenate unit</w:t>
            </w:r>
          </w:p>
        </w:tc>
        <w:tc>
          <w:tcPr>
            <w:tcW w:w="1592" w:type="dxa"/>
          </w:tcPr>
          <w:p w14:paraId="4EE93EC2" w14:textId="77777777" w:rsidR="000305DD" w:rsidRPr="00F24972" w:rsidRDefault="000305DD" w:rsidP="000305DD">
            <w:pPr>
              <w:pStyle w:val="TableText"/>
              <w:rPr>
                <w:rFonts w:cs="Arial"/>
              </w:rPr>
            </w:pPr>
            <w:r>
              <w:rPr>
                <w:rFonts w:cs="Arial"/>
              </w:rPr>
              <w:t xml:space="preserve">Modify Unit, </w:t>
            </w:r>
            <w:r w:rsidRPr="00F24972">
              <w:rPr>
                <w:rFonts w:cs="Arial"/>
              </w:rPr>
              <w:t>Rejuvenate</w:t>
            </w:r>
          </w:p>
        </w:tc>
        <w:tc>
          <w:tcPr>
            <w:tcW w:w="1080" w:type="dxa"/>
          </w:tcPr>
          <w:p w14:paraId="6519784F" w14:textId="77777777" w:rsidR="000305DD" w:rsidRPr="00F24972" w:rsidRDefault="000305DD" w:rsidP="000305DD">
            <w:pPr>
              <w:pStyle w:val="TableText"/>
              <w:rPr>
                <w:rFonts w:cs="Arial"/>
              </w:rPr>
            </w:pPr>
            <w:r w:rsidRPr="00F24972">
              <w:rPr>
                <w:rFonts w:cs="Arial"/>
              </w:rPr>
              <w:t>Positive</w:t>
            </w:r>
          </w:p>
        </w:tc>
        <w:tc>
          <w:tcPr>
            <w:tcW w:w="900" w:type="dxa"/>
          </w:tcPr>
          <w:p w14:paraId="1D2954C1" w14:textId="77777777" w:rsidR="000305DD" w:rsidRPr="00F24972" w:rsidRDefault="000305DD" w:rsidP="000305DD">
            <w:pPr>
              <w:pStyle w:val="TableText"/>
              <w:jc w:val="center"/>
              <w:rPr>
                <w:rFonts w:cs="Arial"/>
              </w:rPr>
            </w:pPr>
            <w:r w:rsidRPr="00F24972">
              <w:rPr>
                <w:rFonts w:cs="Arial"/>
              </w:rPr>
              <w:t>U</w:t>
            </w:r>
          </w:p>
        </w:tc>
        <w:tc>
          <w:tcPr>
            <w:tcW w:w="4950" w:type="dxa"/>
          </w:tcPr>
          <w:p w14:paraId="55A532B9" w14:textId="77777777" w:rsidR="000305DD" w:rsidRPr="00F24972" w:rsidRDefault="000305DD" w:rsidP="000305DD">
            <w:pPr>
              <w:pStyle w:val="TableText"/>
              <w:rPr>
                <w:rFonts w:cs="Arial"/>
              </w:rPr>
            </w:pPr>
            <w:r w:rsidRPr="00F24972">
              <w:rPr>
                <w:rFonts w:cs="Arial"/>
              </w:rPr>
              <w:t xml:space="preserve">Accrue workload when an individual blood unit is processed by the modification type: Rejuvenate. </w:t>
            </w:r>
          </w:p>
          <w:p w14:paraId="3D97CF67" w14:textId="77777777" w:rsidR="000305DD" w:rsidRPr="00F24972" w:rsidRDefault="000305DD" w:rsidP="000305DD">
            <w:pPr>
              <w:pStyle w:val="TableText"/>
              <w:rPr>
                <w:rFonts w:cs="Arial"/>
              </w:rPr>
            </w:pPr>
            <w:r w:rsidRPr="00F24972">
              <w:rPr>
                <w:i/>
                <w:iCs/>
              </w:rPr>
              <w:t>Note: Workload is not accrued when a patient assignment is processed and VBECS releases all other patient assignments. Workload is not accrued when VBECS is required to quarantine the unit.</w:t>
            </w:r>
          </w:p>
        </w:tc>
      </w:tr>
      <w:tr w:rsidR="000305DD" w:rsidRPr="00F24972" w14:paraId="02B9E18E" w14:textId="77777777" w:rsidTr="00FA340F">
        <w:trPr>
          <w:cantSplit/>
        </w:trPr>
        <w:tc>
          <w:tcPr>
            <w:tcW w:w="1733" w:type="dxa"/>
            <w:vMerge/>
            <w:tcBorders>
              <w:bottom w:val="single" w:sz="4" w:space="0" w:color="auto"/>
            </w:tcBorders>
          </w:tcPr>
          <w:p w14:paraId="09E12E83" w14:textId="77777777" w:rsidR="000305DD" w:rsidRPr="00F24972" w:rsidRDefault="000305DD" w:rsidP="000305DD">
            <w:pPr>
              <w:pStyle w:val="TableText"/>
              <w:rPr>
                <w:rFonts w:cs="Arial"/>
              </w:rPr>
            </w:pPr>
          </w:p>
        </w:tc>
        <w:tc>
          <w:tcPr>
            <w:tcW w:w="1592" w:type="dxa"/>
            <w:tcBorders>
              <w:bottom w:val="single" w:sz="4" w:space="0" w:color="auto"/>
            </w:tcBorders>
          </w:tcPr>
          <w:p w14:paraId="1EC20E84" w14:textId="77777777" w:rsidR="000305DD" w:rsidRPr="00F24972" w:rsidRDefault="000305DD" w:rsidP="000305DD">
            <w:pPr>
              <w:pStyle w:val="TableText"/>
              <w:rPr>
                <w:rFonts w:cs="Arial"/>
              </w:rPr>
            </w:pPr>
            <w:r>
              <w:rPr>
                <w:rFonts w:cs="Arial"/>
              </w:rPr>
              <w:t xml:space="preserve">Invalidate Unit Status, </w:t>
            </w:r>
            <w:r w:rsidRPr="00F24972">
              <w:rPr>
                <w:rFonts w:cs="Arial"/>
              </w:rPr>
              <w:t>Rejuvenate</w:t>
            </w:r>
          </w:p>
        </w:tc>
        <w:tc>
          <w:tcPr>
            <w:tcW w:w="1080" w:type="dxa"/>
            <w:tcBorders>
              <w:bottom w:val="single" w:sz="4" w:space="0" w:color="auto"/>
            </w:tcBorders>
          </w:tcPr>
          <w:p w14:paraId="15B396E7" w14:textId="77777777" w:rsidR="000305DD" w:rsidRPr="00F24972" w:rsidRDefault="000305DD" w:rsidP="000305DD">
            <w:pPr>
              <w:pStyle w:val="TableText"/>
              <w:rPr>
                <w:rFonts w:cs="Arial"/>
                <w:b/>
              </w:rPr>
            </w:pPr>
            <w:r w:rsidRPr="00F24972">
              <w:rPr>
                <w:rFonts w:cs="Arial"/>
                <w:b/>
              </w:rPr>
              <w:t>Negative</w:t>
            </w:r>
          </w:p>
        </w:tc>
        <w:tc>
          <w:tcPr>
            <w:tcW w:w="900" w:type="dxa"/>
            <w:tcBorders>
              <w:bottom w:val="single" w:sz="4" w:space="0" w:color="auto"/>
            </w:tcBorders>
          </w:tcPr>
          <w:p w14:paraId="25B0D132" w14:textId="77777777" w:rsidR="000305DD" w:rsidRPr="00F24972" w:rsidRDefault="000305DD" w:rsidP="000305DD">
            <w:pPr>
              <w:pStyle w:val="TableText"/>
              <w:jc w:val="center"/>
              <w:rPr>
                <w:rFonts w:cs="Arial"/>
              </w:rPr>
            </w:pPr>
            <w:r w:rsidRPr="00F24972">
              <w:rPr>
                <w:rFonts w:cs="Arial"/>
              </w:rPr>
              <w:t>U</w:t>
            </w:r>
          </w:p>
        </w:tc>
        <w:tc>
          <w:tcPr>
            <w:tcW w:w="4950" w:type="dxa"/>
            <w:tcBorders>
              <w:bottom w:val="single" w:sz="4" w:space="0" w:color="auto"/>
            </w:tcBorders>
          </w:tcPr>
          <w:p w14:paraId="0B562443" w14:textId="77777777" w:rsidR="000305DD" w:rsidRPr="00F24972" w:rsidRDefault="000305DD" w:rsidP="000305DD">
            <w:pPr>
              <w:pStyle w:val="TableText"/>
              <w:rPr>
                <w:rFonts w:cs="Arial"/>
              </w:rPr>
            </w:pPr>
            <w:r w:rsidRPr="00F24972">
              <w:rPr>
                <w:rFonts w:cs="Arial"/>
              </w:rPr>
              <w:t xml:space="preserve">An individual blood unit’s status is invalided when the original modification process was Rejuvenate. </w:t>
            </w:r>
          </w:p>
        </w:tc>
      </w:tr>
      <w:tr w:rsidR="000305DD" w:rsidRPr="00F24972" w14:paraId="522C02AF" w14:textId="77777777" w:rsidTr="00FA340F">
        <w:trPr>
          <w:cantSplit/>
        </w:trPr>
        <w:tc>
          <w:tcPr>
            <w:tcW w:w="1733" w:type="dxa"/>
            <w:vMerge w:val="restart"/>
            <w:tcBorders>
              <w:top w:val="single" w:sz="4" w:space="0" w:color="auto"/>
              <w:left w:val="single" w:sz="4" w:space="0" w:color="auto"/>
              <w:right w:val="single" w:sz="4" w:space="0" w:color="auto"/>
            </w:tcBorders>
          </w:tcPr>
          <w:p w14:paraId="300EB571" w14:textId="77777777" w:rsidR="000305DD" w:rsidRPr="00F24972" w:rsidRDefault="000305DD" w:rsidP="000305DD">
            <w:pPr>
              <w:pStyle w:val="TableText"/>
              <w:rPr>
                <w:rFonts w:cs="Arial"/>
              </w:rPr>
            </w:pPr>
            <w:r w:rsidRPr="00F24972">
              <w:rPr>
                <w:rFonts w:cs="Arial"/>
              </w:rPr>
              <w:t xml:space="preserve">Thaw </w:t>
            </w:r>
          </w:p>
        </w:tc>
        <w:tc>
          <w:tcPr>
            <w:tcW w:w="1592" w:type="dxa"/>
            <w:tcBorders>
              <w:top w:val="single" w:sz="4" w:space="0" w:color="auto"/>
              <w:left w:val="single" w:sz="4" w:space="0" w:color="auto"/>
              <w:bottom w:val="single" w:sz="4" w:space="0" w:color="auto"/>
              <w:right w:val="single" w:sz="4" w:space="0" w:color="auto"/>
            </w:tcBorders>
            <w:shd w:val="clear" w:color="auto" w:fill="auto"/>
          </w:tcPr>
          <w:p w14:paraId="3F537403" w14:textId="77777777" w:rsidR="000305DD" w:rsidRPr="00F24972" w:rsidRDefault="000305DD" w:rsidP="000305DD">
            <w:pPr>
              <w:pStyle w:val="TableText"/>
              <w:rPr>
                <w:rFonts w:cs="Arial"/>
              </w:rPr>
            </w:pPr>
            <w:r>
              <w:rPr>
                <w:rFonts w:cs="Arial"/>
              </w:rPr>
              <w:t>Modify Unit, Thaw</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7F967E43" w14:textId="77777777" w:rsidR="000305DD" w:rsidRPr="00F24972" w:rsidRDefault="000305DD" w:rsidP="000305DD">
            <w:pPr>
              <w:pStyle w:val="TableText"/>
              <w:rPr>
                <w:rFonts w:cs="Arial"/>
              </w:rPr>
            </w:pPr>
            <w:r w:rsidRPr="00F24972">
              <w:rPr>
                <w:rFonts w:cs="Arial"/>
              </w:rPr>
              <w:t>Positive</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4B76D51D" w14:textId="77777777" w:rsidR="000305DD" w:rsidRPr="00F24972" w:rsidRDefault="000305DD" w:rsidP="000305DD">
            <w:pPr>
              <w:pStyle w:val="TableText"/>
              <w:jc w:val="center"/>
              <w:rPr>
                <w:rFonts w:cs="Arial"/>
              </w:rPr>
            </w:pPr>
            <w:r w:rsidRPr="00F24972">
              <w:rPr>
                <w:rFonts w:cs="Arial"/>
              </w:rPr>
              <w:t>U</w:t>
            </w:r>
          </w:p>
        </w:tc>
        <w:tc>
          <w:tcPr>
            <w:tcW w:w="4950" w:type="dxa"/>
            <w:tcBorders>
              <w:top w:val="single" w:sz="4" w:space="0" w:color="auto"/>
              <w:left w:val="single" w:sz="4" w:space="0" w:color="auto"/>
              <w:bottom w:val="single" w:sz="4" w:space="0" w:color="auto"/>
              <w:right w:val="single" w:sz="4" w:space="0" w:color="auto"/>
            </w:tcBorders>
            <w:shd w:val="clear" w:color="auto" w:fill="auto"/>
          </w:tcPr>
          <w:p w14:paraId="28DA8E48" w14:textId="77777777" w:rsidR="000305DD" w:rsidRPr="00F24972" w:rsidRDefault="000305DD" w:rsidP="000305DD">
            <w:pPr>
              <w:pStyle w:val="TableText"/>
              <w:rPr>
                <w:rFonts w:cs="Arial"/>
              </w:rPr>
            </w:pPr>
            <w:r w:rsidRPr="00F24972">
              <w:rPr>
                <w:rFonts w:cs="Arial"/>
              </w:rPr>
              <w:t>Accrue workload when an individual blood unit is processed by the modification type: Thaw. When a batch of units is thawed, each unit accrues workload. This applies to Thaw FFP and Thaw Cryo.</w:t>
            </w:r>
          </w:p>
          <w:p w14:paraId="63912457" w14:textId="77777777" w:rsidR="000305DD" w:rsidRPr="00F24972" w:rsidRDefault="000305DD" w:rsidP="000305DD">
            <w:pPr>
              <w:pStyle w:val="TableText"/>
              <w:rPr>
                <w:rFonts w:cs="Arial"/>
              </w:rPr>
            </w:pPr>
            <w:r w:rsidRPr="00F24972">
              <w:rPr>
                <w:i/>
                <w:iCs/>
              </w:rPr>
              <w:t>Note: Workload is not accrued when a patient assignment is processed and VBECS releases all other patient assignments. Workload is not accrued when VBECS is required to quarantine the unit.</w:t>
            </w:r>
          </w:p>
        </w:tc>
      </w:tr>
      <w:tr w:rsidR="000305DD" w:rsidRPr="00F24972" w14:paraId="72D9B9BF" w14:textId="77777777" w:rsidTr="00FA340F">
        <w:trPr>
          <w:cantSplit/>
        </w:trPr>
        <w:tc>
          <w:tcPr>
            <w:tcW w:w="1733" w:type="dxa"/>
            <w:vMerge/>
            <w:tcBorders>
              <w:left w:val="single" w:sz="4" w:space="0" w:color="auto"/>
              <w:bottom w:val="single" w:sz="4" w:space="0" w:color="auto"/>
              <w:right w:val="single" w:sz="4" w:space="0" w:color="auto"/>
            </w:tcBorders>
          </w:tcPr>
          <w:p w14:paraId="7D6FCEAF" w14:textId="77777777" w:rsidR="000305DD" w:rsidRPr="00F24972" w:rsidRDefault="000305DD" w:rsidP="000305DD">
            <w:pPr>
              <w:pStyle w:val="TableText"/>
              <w:rPr>
                <w:rFonts w:cs="Arial"/>
              </w:rPr>
            </w:pPr>
          </w:p>
        </w:tc>
        <w:tc>
          <w:tcPr>
            <w:tcW w:w="1592" w:type="dxa"/>
            <w:tcBorders>
              <w:top w:val="single" w:sz="4" w:space="0" w:color="auto"/>
              <w:left w:val="single" w:sz="4" w:space="0" w:color="auto"/>
              <w:bottom w:val="single" w:sz="4" w:space="0" w:color="auto"/>
              <w:right w:val="single" w:sz="4" w:space="0" w:color="auto"/>
            </w:tcBorders>
            <w:shd w:val="clear" w:color="auto" w:fill="auto"/>
          </w:tcPr>
          <w:p w14:paraId="45590AFB" w14:textId="77777777" w:rsidR="000305DD" w:rsidRPr="00F24972" w:rsidRDefault="000305DD" w:rsidP="000305DD">
            <w:pPr>
              <w:pStyle w:val="TableText"/>
              <w:rPr>
                <w:rFonts w:cs="Arial"/>
              </w:rPr>
            </w:pPr>
            <w:r>
              <w:rPr>
                <w:rFonts w:cs="Arial"/>
              </w:rPr>
              <w:t>Invalidate Unit Status, Thaw</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04071F52" w14:textId="77777777" w:rsidR="000305DD" w:rsidRPr="00F24972" w:rsidRDefault="000305DD" w:rsidP="000305DD">
            <w:pPr>
              <w:pStyle w:val="TableText"/>
              <w:rPr>
                <w:rFonts w:cs="Arial"/>
                <w:b/>
              </w:rPr>
            </w:pPr>
            <w:r w:rsidRPr="00F24972">
              <w:rPr>
                <w:rFonts w:cs="Arial"/>
                <w:b/>
              </w:rPr>
              <w:t>Negative</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204941FE" w14:textId="77777777" w:rsidR="000305DD" w:rsidRPr="00F24972" w:rsidRDefault="000305DD" w:rsidP="000305DD">
            <w:pPr>
              <w:pStyle w:val="TableText"/>
              <w:jc w:val="center"/>
              <w:rPr>
                <w:rFonts w:cs="Arial"/>
              </w:rPr>
            </w:pPr>
            <w:r w:rsidRPr="00F24972">
              <w:rPr>
                <w:rFonts w:cs="Arial"/>
              </w:rPr>
              <w:t>U</w:t>
            </w:r>
          </w:p>
        </w:tc>
        <w:tc>
          <w:tcPr>
            <w:tcW w:w="4950" w:type="dxa"/>
            <w:tcBorders>
              <w:top w:val="single" w:sz="4" w:space="0" w:color="auto"/>
              <w:left w:val="single" w:sz="4" w:space="0" w:color="auto"/>
              <w:bottom w:val="single" w:sz="4" w:space="0" w:color="auto"/>
              <w:right w:val="single" w:sz="4" w:space="0" w:color="auto"/>
            </w:tcBorders>
            <w:shd w:val="clear" w:color="auto" w:fill="auto"/>
          </w:tcPr>
          <w:p w14:paraId="35755F67" w14:textId="77777777" w:rsidR="000305DD" w:rsidRPr="00F24972" w:rsidRDefault="000305DD" w:rsidP="000305DD">
            <w:pPr>
              <w:pStyle w:val="TableText"/>
              <w:rPr>
                <w:rFonts w:cs="Arial"/>
              </w:rPr>
            </w:pPr>
            <w:r w:rsidRPr="00F24972">
              <w:rPr>
                <w:rFonts w:cs="Arial"/>
              </w:rPr>
              <w:t>An individual blood unit’s status is invalided when the original modification process was Thaw. This modification type is applicable to Thaw FFP and Thaw Cryo.</w:t>
            </w:r>
          </w:p>
        </w:tc>
      </w:tr>
      <w:tr w:rsidR="000305DD" w:rsidRPr="00F24972" w14:paraId="7963219B" w14:textId="77777777" w:rsidTr="00FA340F">
        <w:trPr>
          <w:cantSplit/>
        </w:trPr>
        <w:tc>
          <w:tcPr>
            <w:tcW w:w="1733" w:type="dxa"/>
            <w:vMerge w:val="restart"/>
            <w:tcBorders>
              <w:top w:val="single" w:sz="4" w:space="0" w:color="auto"/>
              <w:left w:val="single" w:sz="4" w:space="0" w:color="auto"/>
              <w:right w:val="single" w:sz="4" w:space="0" w:color="auto"/>
            </w:tcBorders>
          </w:tcPr>
          <w:p w14:paraId="25B7D198" w14:textId="77777777" w:rsidR="000305DD" w:rsidRPr="00F24972" w:rsidRDefault="000305DD" w:rsidP="000305DD">
            <w:pPr>
              <w:pStyle w:val="TableText"/>
              <w:rPr>
                <w:rFonts w:cs="Arial"/>
              </w:rPr>
            </w:pPr>
            <w:r w:rsidRPr="00F24972">
              <w:rPr>
                <w:rFonts w:cs="Arial"/>
              </w:rPr>
              <w:lastRenderedPageBreak/>
              <w:t>Wash unit</w:t>
            </w:r>
          </w:p>
        </w:tc>
        <w:tc>
          <w:tcPr>
            <w:tcW w:w="1592" w:type="dxa"/>
            <w:tcBorders>
              <w:top w:val="single" w:sz="4" w:space="0" w:color="auto"/>
              <w:left w:val="single" w:sz="4" w:space="0" w:color="auto"/>
              <w:bottom w:val="single" w:sz="4" w:space="0" w:color="auto"/>
              <w:right w:val="single" w:sz="4" w:space="0" w:color="auto"/>
            </w:tcBorders>
            <w:shd w:val="clear" w:color="auto" w:fill="auto"/>
          </w:tcPr>
          <w:p w14:paraId="17F07BC7" w14:textId="77777777" w:rsidR="000305DD" w:rsidRPr="00F24972" w:rsidRDefault="000305DD" w:rsidP="000305DD">
            <w:pPr>
              <w:pStyle w:val="TableText"/>
              <w:rPr>
                <w:rFonts w:cs="Arial"/>
              </w:rPr>
            </w:pPr>
            <w:r>
              <w:rPr>
                <w:rFonts w:cs="Arial"/>
              </w:rPr>
              <w:t>Modify Unit, Wash</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7FC946AC" w14:textId="77777777" w:rsidR="000305DD" w:rsidRPr="00F24972" w:rsidRDefault="000305DD" w:rsidP="000305DD">
            <w:pPr>
              <w:pStyle w:val="TableText"/>
              <w:rPr>
                <w:rFonts w:cs="Arial"/>
              </w:rPr>
            </w:pPr>
            <w:r w:rsidRPr="00F24972">
              <w:rPr>
                <w:rFonts w:cs="Arial"/>
              </w:rPr>
              <w:t>Positive</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67A93C54" w14:textId="77777777" w:rsidR="000305DD" w:rsidRPr="00F24972" w:rsidRDefault="000305DD" w:rsidP="000305DD">
            <w:pPr>
              <w:pStyle w:val="TableText"/>
              <w:jc w:val="center"/>
              <w:rPr>
                <w:rFonts w:cs="Arial"/>
              </w:rPr>
            </w:pPr>
            <w:r w:rsidRPr="00F24972">
              <w:rPr>
                <w:rFonts w:cs="Arial"/>
              </w:rPr>
              <w:t>U</w:t>
            </w:r>
          </w:p>
        </w:tc>
        <w:tc>
          <w:tcPr>
            <w:tcW w:w="4950" w:type="dxa"/>
            <w:tcBorders>
              <w:top w:val="single" w:sz="4" w:space="0" w:color="auto"/>
              <w:left w:val="single" w:sz="4" w:space="0" w:color="auto"/>
              <w:bottom w:val="single" w:sz="4" w:space="0" w:color="auto"/>
              <w:right w:val="single" w:sz="4" w:space="0" w:color="auto"/>
            </w:tcBorders>
            <w:shd w:val="clear" w:color="auto" w:fill="auto"/>
          </w:tcPr>
          <w:p w14:paraId="627C487E" w14:textId="77777777" w:rsidR="000305DD" w:rsidRPr="00F24972" w:rsidRDefault="000305DD" w:rsidP="000305DD">
            <w:pPr>
              <w:pStyle w:val="TableText"/>
              <w:rPr>
                <w:rFonts w:cs="Arial"/>
              </w:rPr>
            </w:pPr>
            <w:r w:rsidRPr="00F24972">
              <w:rPr>
                <w:rFonts w:cs="Arial"/>
              </w:rPr>
              <w:t>Accrue workload when an individual blood unit is processed by the modification type: Wash.</w:t>
            </w:r>
          </w:p>
          <w:p w14:paraId="54F5EBC7" w14:textId="77777777" w:rsidR="000305DD" w:rsidRPr="00F24972" w:rsidRDefault="000305DD" w:rsidP="000305DD">
            <w:pPr>
              <w:pStyle w:val="TableText"/>
              <w:rPr>
                <w:rFonts w:cs="Arial"/>
              </w:rPr>
            </w:pPr>
            <w:r w:rsidRPr="00F24972">
              <w:rPr>
                <w:i/>
                <w:iCs/>
              </w:rPr>
              <w:t>Note: Workload is not accrued when a patient assignment is processed and VBECS releases all other patient assignments. Workload is not accrued when VBECS is required to quarantine the unit.</w:t>
            </w:r>
          </w:p>
        </w:tc>
      </w:tr>
      <w:tr w:rsidR="000305DD" w:rsidRPr="00F24972" w14:paraId="1B5A55BD" w14:textId="77777777" w:rsidTr="00FA340F">
        <w:trPr>
          <w:cantSplit/>
        </w:trPr>
        <w:tc>
          <w:tcPr>
            <w:tcW w:w="1733" w:type="dxa"/>
            <w:vMerge/>
            <w:tcBorders>
              <w:left w:val="single" w:sz="4" w:space="0" w:color="auto"/>
              <w:bottom w:val="single" w:sz="4" w:space="0" w:color="auto"/>
              <w:right w:val="single" w:sz="4" w:space="0" w:color="auto"/>
            </w:tcBorders>
          </w:tcPr>
          <w:p w14:paraId="6B0D4239" w14:textId="77777777" w:rsidR="000305DD" w:rsidRPr="00F24972" w:rsidRDefault="000305DD" w:rsidP="000305DD">
            <w:pPr>
              <w:pStyle w:val="TableText"/>
              <w:rPr>
                <w:rFonts w:cs="Arial"/>
              </w:rPr>
            </w:pPr>
          </w:p>
        </w:tc>
        <w:tc>
          <w:tcPr>
            <w:tcW w:w="1592" w:type="dxa"/>
            <w:tcBorders>
              <w:top w:val="single" w:sz="4" w:space="0" w:color="auto"/>
              <w:left w:val="single" w:sz="4" w:space="0" w:color="auto"/>
              <w:bottom w:val="single" w:sz="4" w:space="0" w:color="auto"/>
              <w:right w:val="single" w:sz="4" w:space="0" w:color="auto"/>
            </w:tcBorders>
            <w:shd w:val="clear" w:color="auto" w:fill="auto"/>
          </w:tcPr>
          <w:p w14:paraId="76B27BEA" w14:textId="77777777" w:rsidR="000305DD" w:rsidRPr="00F24972" w:rsidRDefault="000305DD" w:rsidP="000305DD">
            <w:pPr>
              <w:pStyle w:val="TableText"/>
              <w:rPr>
                <w:rFonts w:cs="Arial"/>
              </w:rPr>
            </w:pPr>
            <w:r>
              <w:rPr>
                <w:rFonts w:cs="Arial"/>
              </w:rPr>
              <w:t>Invalidate Unit Status, Wash</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3848BFE9" w14:textId="77777777" w:rsidR="000305DD" w:rsidRPr="00F24972" w:rsidRDefault="000305DD" w:rsidP="000305DD">
            <w:pPr>
              <w:pStyle w:val="TableText"/>
              <w:rPr>
                <w:rFonts w:cs="Arial"/>
                <w:b/>
              </w:rPr>
            </w:pPr>
            <w:r w:rsidRPr="00F24972">
              <w:rPr>
                <w:rFonts w:cs="Arial"/>
                <w:b/>
              </w:rPr>
              <w:t>Negative</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59F729E1" w14:textId="77777777" w:rsidR="000305DD" w:rsidRPr="00F24972" w:rsidRDefault="000305DD" w:rsidP="000305DD">
            <w:pPr>
              <w:pStyle w:val="TableText"/>
              <w:jc w:val="center"/>
              <w:rPr>
                <w:rFonts w:cs="Arial"/>
              </w:rPr>
            </w:pPr>
            <w:r w:rsidRPr="00F24972">
              <w:rPr>
                <w:rFonts w:cs="Arial"/>
              </w:rPr>
              <w:t>U</w:t>
            </w:r>
          </w:p>
        </w:tc>
        <w:tc>
          <w:tcPr>
            <w:tcW w:w="4950" w:type="dxa"/>
            <w:tcBorders>
              <w:top w:val="single" w:sz="4" w:space="0" w:color="auto"/>
              <w:left w:val="single" w:sz="4" w:space="0" w:color="auto"/>
              <w:bottom w:val="single" w:sz="4" w:space="0" w:color="auto"/>
              <w:right w:val="single" w:sz="4" w:space="0" w:color="auto"/>
            </w:tcBorders>
            <w:shd w:val="clear" w:color="auto" w:fill="auto"/>
          </w:tcPr>
          <w:p w14:paraId="7A0E8D94" w14:textId="77777777" w:rsidR="000305DD" w:rsidRPr="00F24972" w:rsidRDefault="000305DD" w:rsidP="000305DD">
            <w:pPr>
              <w:pStyle w:val="TableText"/>
              <w:rPr>
                <w:rFonts w:cs="Arial"/>
              </w:rPr>
            </w:pPr>
            <w:r w:rsidRPr="00F24972">
              <w:rPr>
                <w:rFonts w:cs="Arial"/>
              </w:rPr>
              <w:t>An individual blood unit’s status is invalided when the original modification process was Wash.</w:t>
            </w:r>
          </w:p>
        </w:tc>
      </w:tr>
      <w:tr w:rsidR="000305DD" w:rsidRPr="00F24972" w14:paraId="19B03F3F" w14:textId="77777777" w:rsidTr="00FA340F">
        <w:trPr>
          <w:cantSplit/>
        </w:trPr>
        <w:tc>
          <w:tcPr>
            <w:tcW w:w="1733" w:type="dxa"/>
            <w:vMerge w:val="restart"/>
            <w:tcBorders>
              <w:left w:val="single" w:sz="4" w:space="0" w:color="auto"/>
              <w:right w:val="single" w:sz="4" w:space="0" w:color="auto"/>
            </w:tcBorders>
          </w:tcPr>
          <w:p w14:paraId="7397E795" w14:textId="77777777" w:rsidR="000305DD" w:rsidRPr="00F24972" w:rsidRDefault="000305DD" w:rsidP="000305DD">
            <w:pPr>
              <w:pStyle w:val="TableText"/>
              <w:rPr>
                <w:rFonts w:cs="Arial"/>
              </w:rPr>
            </w:pPr>
            <w:r w:rsidRPr="00F24972">
              <w:rPr>
                <w:rFonts w:cs="Arial"/>
              </w:rPr>
              <w:t>Volume Reduce</w:t>
            </w:r>
          </w:p>
        </w:tc>
        <w:tc>
          <w:tcPr>
            <w:tcW w:w="1592" w:type="dxa"/>
            <w:tcBorders>
              <w:top w:val="single" w:sz="4" w:space="0" w:color="auto"/>
              <w:left w:val="single" w:sz="4" w:space="0" w:color="auto"/>
              <w:bottom w:val="single" w:sz="4" w:space="0" w:color="auto"/>
              <w:right w:val="single" w:sz="4" w:space="0" w:color="auto"/>
            </w:tcBorders>
            <w:shd w:val="clear" w:color="auto" w:fill="auto"/>
          </w:tcPr>
          <w:p w14:paraId="259C3A9D" w14:textId="77777777" w:rsidR="000305DD" w:rsidRPr="00F24972" w:rsidRDefault="000305DD" w:rsidP="000305DD">
            <w:pPr>
              <w:pStyle w:val="TableText"/>
              <w:rPr>
                <w:rFonts w:cs="Arial"/>
              </w:rPr>
            </w:pPr>
            <w:r>
              <w:rPr>
                <w:rFonts w:cs="Arial"/>
              </w:rPr>
              <w:t>Modify Unit, Volume Reduce</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758159B2" w14:textId="77777777" w:rsidR="000305DD" w:rsidRPr="00F24972" w:rsidRDefault="000305DD" w:rsidP="000305DD">
            <w:pPr>
              <w:pStyle w:val="TableText"/>
              <w:rPr>
                <w:rFonts w:cs="Arial"/>
              </w:rPr>
            </w:pPr>
            <w:r w:rsidRPr="00F24972">
              <w:rPr>
                <w:rFonts w:cs="Arial"/>
              </w:rPr>
              <w:t>Positive</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7E5AF87F" w14:textId="77777777" w:rsidR="000305DD" w:rsidRPr="00F24972" w:rsidRDefault="000305DD" w:rsidP="000305DD">
            <w:pPr>
              <w:pStyle w:val="TableText"/>
              <w:jc w:val="center"/>
              <w:rPr>
                <w:rFonts w:cs="Arial"/>
              </w:rPr>
            </w:pPr>
            <w:r w:rsidRPr="00F24972">
              <w:rPr>
                <w:rFonts w:cs="Arial"/>
              </w:rPr>
              <w:t>U</w:t>
            </w:r>
          </w:p>
        </w:tc>
        <w:tc>
          <w:tcPr>
            <w:tcW w:w="4950" w:type="dxa"/>
            <w:tcBorders>
              <w:top w:val="single" w:sz="4" w:space="0" w:color="auto"/>
              <w:left w:val="single" w:sz="4" w:space="0" w:color="auto"/>
              <w:bottom w:val="single" w:sz="4" w:space="0" w:color="auto"/>
              <w:right w:val="single" w:sz="4" w:space="0" w:color="auto"/>
            </w:tcBorders>
            <w:shd w:val="clear" w:color="auto" w:fill="auto"/>
          </w:tcPr>
          <w:p w14:paraId="02FC23A4" w14:textId="77777777" w:rsidR="000305DD" w:rsidRPr="00F24972" w:rsidRDefault="000305DD" w:rsidP="000305DD">
            <w:pPr>
              <w:pStyle w:val="TableText"/>
              <w:rPr>
                <w:rFonts w:cs="Arial"/>
              </w:rPr>
            </w:pPr>
            <w:r w:rsidRPr="00F24972">
              <w:rPr>
                <w:rFonts w:cs="Arial"/>
              </w:rPr>
              <w:t>Accrue workload when an individual blood unit is processed by the modification type: Volume Reduce.</w:t>
            </w:r>
          </w:p>
          <w:p w14:paraId="1DEFF5AA" w14:textId="77777777" w:rsidR="000305DD" w:rsidRPr="00F24972" w:rsidRDefault="000305DD" w:rsidP="000305DD">
            <w:pPr>
              <w:pStyle w:val="TableText"/>
              <w:rPr>
                <w:rFonts w:cs="Arial"/>
              </w:rPr>
            </w:pPr>
            <w:r w:rsidRPr="00F24972">
              <w:rPr>
                <w:i/>
                <w:iCs/>
              </w:rPr>
              <w:t>Note: Workload is not accrued when a patient assignment is processed and VBECS releases all other patient assignments. Workload is not accrued when VBECS is required to quarantine the unit.</w:t>
            </w:r>
          </w:p>
        </w:tc>
      </w:tr>
      <w:tr w:rsidR="000305DD" w:rsidRPr="00F24972" w14:paraId="1ECCEB72" w14:textId="77777777" w:rsidTr="00FA340F">
        <w:trPr>
          <w:cantSplit/>
        </w:trPr>
        <w:tc>
          <w:tcPr>
            <w:tcW w:w="1733" w:type="dxa"/>
            <w:vMerge/>
            <w:tcBorders>
              <w:left w:val="single" w:sz="4" w:space="0" w:color="auto"/>
              <w:bottom w:val="single" w:sz="4" w:space="0" w:color="auto"/>
              <w:right w:val="single" w:sz="4" w:space="0" w:color="auto"/>
            </w:tcBorders>
          </w:tcPr>
          <w:p w14:paraId="19771F1E" w14:textId="77777777" w:rsidR="000305DD" w:rsidRPr="00F24972" w:rsidRDefault="000305DD" w:rsidP="000305DD">
            <w:pPr>
              <w:pStyle w:val="TableText"/>
              <w:rPr>
                <w:rFonts w:cs="Arial"/>
              </w:rPr>
            </w:pPr>
          </w:p>
        </w:tc>
        <w:tc>
          <w:tcPr>
            <w:tcW w:w="1592" w:type="dxa"/>
            <w:tcBorders>
              <w:top w:val="single" w:sz="4" w:space="0" w:color="auto"/>
              <w:left w:val="single" w:sz="4" w:space="0" w:color="auto"/>
              <w:bottom w:val="single" w:sz="4" w:space="0" w:color="auto"/>
              <w:right w:val="single" w:sz="4" w:space="0" w:color="auto"/>
            </w:tcBorders>
            <w:shd w:val="clear" w:color="auto" w:fill="auto"/>
          </w:tcPr>
          <w:p w14:paraId="09F18377" w14:textId="77777777" w:rsidR="000305DD" w:rsidRPr="00F24972" w:rsidRDefault="000305DD" w:rsidP="000305DD">
            <w:pPr>
              <w:pStyle w:val="TableText"/>
              <w:rPr>
                <w:rFonts w:cs="Arial"/>
              </w:rPr>
            </w:pPr>
            <w:r>
              <w:rPr>
                <w:rFonts w:cs="Arial"/>
              </w:rPr>
              <w:t>Invalidate Unit Status, Volume Reduce</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114D1D3D" w14:textId="77777777" w:rsidR="000305DD" w:rsidRPr="00F24972" w:rsidRDefault="000305DD" w:rsidP="000305DD">
            <w:pPr>
              <w:pStyle w:val="TableText"/>
              <w:rPr>
                <w:rFonts w:cs="Arial"/>
                <w:b/>
              </w:rPr>
            </w:pPr>
            <w:r w:rsidRPr="00F24972">
              <w:rPr>
                <w:rFonts w:cs="Arial"/>
                <w:b/>
              </w:rPr>
              <w:t>Negative</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566758B1" w14:textId="77777777" w:rsidR="000305DD" w:rsidRPr="00F24972" w:rsidRDefault="000305DD" w:rsidP="000305DD">
            <w:pPr>
              <w:pStyle w:val="TableText"/>
              <w:jc w:val="center"/>
              <w:rPr>
                <w:rFonts w:cs="Arial"/>
              </w:rPr>
            </w:pPr>
            <w:r w:rsidRPr="00F24972">
              <w:rPr>
                <w:rFonts w:cs="Arial"/>
              </w:rPr>
              <w:t>U</w:t>
            </w:r>
          </w:p>
        </w:tc>
        <w:tc>
          <w:tcPr>
            <w:tcW w:w="4950" w:type="dxa"/>
            <w:tcBorders>
              <w:top w:val="single" w:sz="4" w:space="0" w:color="auto"/>
              <w:left w:val="single" w:sz="4" w:space="0" w:color="auto"/>
              <w:bottom w:val="single" w:sz="4" w:space="0" w:color="auto"/>
              <w:right w:val="single" w:sz="4" w:space="0" w:color="auto"/>
            </w:tcBorders>
            <w:shd w:val="clear" w:color="auto" w:fill="auto"/>
          </w:tcPr>
          <w:p w14:paraId="55C26C98" w14:textId="77777777" w:rsidR="000305DD" w:rsidRPr="00F24972" w:rsidRDefault="000305DD" w:rsidP="000305DD">
            <w:pPr>
              <w:pStyle w:val="TableText"/>
              <w:rPr>
                <w:rFonts w:cs="Arial"/>
              </w:rPr>
            </w:pPr>
            <w:r w:rsidRPr="00F24972">
              <w:rPr>
                <w:rFonts w:cs="Arial"/>
              </w:rPr>
              <w:t>An individual blood unit’s status is invalided when the original modification process was Volume Reduce.</w:t>
            </w:r>
          </w:p>
        </w:tc>
      </w:tr>
      <w:tr w:rsidR="000305DD" w:rsidRPr="00F24972" w14:paraId="5337A1DF" w14:textId="77777777" w:rsidTr="00FA340F">
        <w:trPr>
          <w:cantSplit/>
        </w:trPr>
        <w:tc>
          <w:tcPr>
            <w:tcW w:w="1733" w:type="dxa"/>
            <w:tcBorders>
              <w:top w:val="single" w:sz="4" w:space="0" w:color="auto"/>
              <w:left w:val="single" w:sz="4" w:space="0" w:color="auto"/>
              <w:bottom w:val="single" w:sz="4" w:space="0" w:color="auto"/>
              <w:right w:val="single" w:sz="4" w:space="0" w:color="auto"/>
            </w:tcBorders>
          </w:tcPr>
          <w:p w14:paraId="3671414B" w14:textId="77777777" w:rsidR="000305DD" w:rsidRPr="00F24972" w:rsidRDefault="000305DD" w:rsidP="000305DD">
            <w:pPr>
              <w:pStyle w:val="TableText"/>
              <w:rPr>
                <w:rFonts w:cs="Arial"/>
              </w:rPr>
            </w:pPr>
            <w:r w:rsidRPr="00F24972">
              <w:rPr>
                <w:rFonts w:cs="Arial"/>
              </w:rPr>
              <w:t>Issue unit</w:t>
            </w:r>
          </w:p>
        </w:tc>
        <w:tc>
          <w:tcPr>
            <w:tcW w:w="1592" w:type="dxa"/>
            <w:tcBorders>
              <w:top w:val="single" w:sz="4" w:space="0" w:color="auto"/>
              <w:left w:val="single" w:sz="4" w:space="0" w:color="auto"/>
              <w:bottom w:val="single" w:sz="4" w:space="0" w:color="auto"/>
              <w:right w:val="single" w:sz="4" w:space="0" w:color="auto"/>
            </w:tcBorders>
          </w:tcPr>
          <w:p w14:paraId="31E29BA9" w14:textId="77777777" w:rsidR="000305DD" w:rsidRPr="00F24972" w:rsidRDefault="000305DD" w:rsidP="000305DD">
            <w:pPr>
              <w:pStyle w:val="TableText"/>
              <w:rPr>
                <w:rFonts w:cs="Arial"/>
              </w:rPr>
            </w:pPr>
            <w:r>
              <w:rPr>
                <w:rFonts w:cs="Arial"/>
              </w:rPr>
              <w:t>Issue Blood Unit</w:t>
            </w:r>
          </w:p>
          <w:p w14:paraId="5D7A6BD3" w14:textId="77777777" w:rsidR="000305DD" w:rsidRPr="00F24972" w:rsidRDefault="000305DD" w:rsidP="000305DD">
            <w:pPr>
              <w:pStyle w:val="TableText"/>
              <w:rPr>
                <w:rFonts w:cs="Arial"/>
              </w:rPr>
            </w:pPr>
          </w:p>
        </w:tc>
        <w:tc>
          <w:tcPr>
            <w:tcW w:w="1080" w:type="dxa"/>
            <w:tcBorders>
              <w:top w:val="single" w:sz="4" w:space="0" w:color="auto"/>
              <w:left w:val="single" w:sz="4" w:space="0" w:color="auto"/>
              <w:bottom w:val="single" w:sz="4" w:space="0" w:color="auto"/>
              <w:right w:val="single" w:sz="4" w:space="0" w:color="auto"/>
            </w:tcBorders>
          </w:tcPr>
          <w:p w14:paraId="3C8757CB" w14:textId="77777777" w:rsidR="000305DD" w:rsidRPr="00F24972" w:rsidRDefault="000305DD" w:rsidP="000305DD">
            <w:pPr>
              <w:pStyle w:val="TableText"/>
              <w:rPr>
                <w:rFonts w:cs="Arial"/>
              </w:rPr>
            </w:pPr>
            <w:r w:rsidRPr="00F24972">
              <w:rPr>
                <w:rFonts w:cs="Arial"/>
              </w:rPr>
              <w:t>Positive</w:t>
            </w:r>
          </w:p>
        </w:tc>
        <w:tc>
          <w:tcPr>
            <w:tcW w:w="900" w:type="dxa"/>
            <w:tcBorders>
              <w:top w:val="single" w:sz="4" w:space="0" w:color="auto"/>
              <w:left w:val="single" w:sz="4" w:space="0" w:color="auto"/>
              <w:bottom w:val="single" w:sz="4" w:space="0" w:color="auto"/>
              <w:right w:val="single" w:sz="4" w:space="0" w:color="auto"/>
            </w:tcBorders>
          </w:tcPr>
          <w:p w14:paraId="2F3FCDEE" w14:textId="77777777" w:rsidR="000305DD" w:rsidRPr="00F24972" w:rsidRDefault="000305DD" w:rsidP="000305DD">
            <w:pPr>
              <w:pStyle w:val="TableText"/>
              <w:jc w:val="center"/>
              <w:rPr>
                <w:rFonts w:cs="Arial"/>
              </w:rPr>
            </w:pPr>
            <w:r w:rsidRPr="00F24972">
              <w:rPr>
                <w:rFonts w:cs="Arial"/>
              </w:rPr>
              <w:t>P</w:t>
            </w:r>
          </w:p>
        </w:tc>
        <w:tc>
          <w:tcPr>
            <w:tcW w:w="4950" w:type="dxa"/>
            <w:tcBorders>
              <w:top w:val="single" w:sz="4" w:space="0" w:color="auto"/>
              <w:left w:val="single" w:sz="4" w:space="0" w:color="auto"/>
              <w:bottom w:val="single" w:sz="4" w:space="0" w:color="auto"/>
              <w:right w:val="single" w:sz="4" w:space="0" w:color="auto"/>
            </w:tcBorders>
          </w:tcPr>
          <w:p w14:paraId="3DCBEC5E" w14:textId="77777777" w:rsidR="000305DD" w:rsidRPr="00F24972" w:rsidRDefault="000305DD" w:rsidP="000305DD">
            <w:pPr>
              <w:pStyle w:val="TableText"/>
              <w:rPr>
                <w:rFonts w:cs="Arial"/>
              </w:rPr>
            </w:pPr>
            <w:r w:rsidRPr="00F24972">
              <w:rPr>
                <w:rFonts w:cs="Arial"/>
              </w:rPr>
              <w:t>Accrue workload when a unit (row) is issued or is returned from issue to a patient. When a batch of units is processed, each unit invokes one workload process.</w:t>
            </w:r>
          </w:p>
        </w:tc>
      </w:tr>
      <w:tr w:rsidR="000305DD" w:rsidRPr="00F24972" w14:paraId="16800F1B" w14:textId="77777777" w:rsidTr="00FA340F">
        <w:trPr>
          <w:cantSplit/>
        </w:trPr>
        <w:tc>
          <w:tcPr>
            <w:tcW w:w="1733" w:type="dxa"/>
          </w:tcPr>
          <w:p w14:paraId="1849CC0B" w14:textId="77777777" w:rsidR="000305DD" w:rsidRPr="00F24972" w:rsidRDefault="000305DD" w:rsidP="000305DD">
            <w:pPr>
              <w:pStyle w:val="TableText"/>
              <w:rPr>
                <w:rFonts w:cs="Arial"/>
                <w:color w:val="3366FF"/>
              </w:rPr>
            </w:pPr>
            <w:r w:rsidRPr="00F24972">
              <w:rPr>
                <w:rFonts w:cs="Arial"/>
              </w:rPr>
              <w:t>Justification</w:t>
            </w:r>
          </w:p>
        </w:tc>
        <w:tc>
          <w:tcPr>
            <w:tcW w:w="1592" w:type="dxa"/>
          </w:tcPr>
          <w:p w14:paraId="62258847" w14:textId="77777777" w:rsidR="000305DD" w:rsidRPr="00F24972" w:rsidRDefault="000305DD" w:rsidP="000305DD">
            <w:pPr>
              <w:pStyle w:val="TableText"/>
              <w:rPr>
                <w:rFonts w:cs="Arial"/>
                <w:snapToGrid w:val="0"/>
              </w:rPr>
            </w:pPr>
            <w:r>
              <w:rPr>
                <w:rFonts w:cs="Arial"/>
                <w:snapToGrid w:val="0"/>
              </w:rPr>
              <w:t>Justify ABO/Rh Change</w:t>
            </w:r>
          </w:p>
        </w:tc>
        <w:tc>
          <w:tcPr>
            <w:tcW w:w="1080" w:type="dxa"/>
          </w:tcPr>
          <w:p w14:paraId="54E9F42B" w14:textId="77777777" w:rsidR="000305DD" w:rsidRPr="00F24972" w:rsidRDefault="000305DD" w:rsidP="000305DD">
            <w:pPr>
              <w:pStyle w:val="TableText"/>
              <w:rPr>
                <w:rFonts w:cs="Arial"/>
              </w:rPr>
            </w:pPr>
            <w:r w:rsidRPr="00F24972">
              <w:rPr>
                <w:rFonts w:cs="Arial"/>
              </w:rPr>
              <w:t>Positive</w:t>
            </w:r>
          </w:p>
        </w:tc>
        <w:tc>
          <w:tcPr>
            <w:tcW w:w="900" w:type="dxa"/>
          </w:tcPr>
          <w:p w14:paraId="2E48F070" w14:textId="77777777" w:rsidR="000305DD" w:rsidRPr="00F24972" w:rsidRDefault="000305DD" w:rsidP="000305DD">
            <w:pPr>
              <w:pStyle w:val="TableText"/>
              <w:jc w:val="center"/>
              <w:rPr>
                <w:rFonts w:cs="Arial"/>
              </w:rPr>
            </w:pPr>
            <w:r w:rsidRPr="00F24972">
              <w:rPr>
                <w:rFonts w:cs="Arial"/>
              </w:rPr>
              <w:t>M</w:t>
            </w:r>
          </w:p>
        </w:tc>
        <w:tc>
          <w:tcPr>
            <w:tcW w:w="4950" w:type="dxa"/>
          </w:tcPr>
          <w:p w14:paraId="3F3CB1DC" w14:textId="77777777" w:rsidR="000305DD" w:rsidRPr="00F24972" w:rsidRDefault="000305DD" w:rsidP="000305DD">
            <w:pPr>
              <w:pStyle w:val="TableText"/>
              <w:rPr>
                <w:rFonts w:cs="Arial"/>
              </w:rPr>
            </w:pPr>
            <w:r w:rsidRPr="00F24972">
              <w:rPr>
                <w:rFonts w:cs="Arial"/>
              </w:rPr>
              <w:t>Workload is accrued when a patient’s ABO or Rh typing is justified.</w:t>
            </w:r>
            <w:r>
              <w:rPr>
                <w:rFonts w:cs="Arial"/>
              </w:rPr>
              <w:t xml:space="preserve"> </w:t>
            </w:r>
            <w:r w:rsidRPr="00F24972">
              <w:rPr>
                <w:rFonts w:cs="Arial"/>
              </w:rPr>
              <w:t>One workload event per patient justification.</w:t>
            </w:r>
          </w:p>
        </w:tc>
      </w:tr>
      <w:tr w:rsidR="000305DD" w:rsidRPr="00F24972" w14:paraId="5AB29901" w14:textId="77777777" w:rsidTr="00FA340F">
        <w:trPr>
          <w:cantSplit/>
        </w:trPr>
        <w:tc>
          <w:tcPr>
            <w:tcW w:w="1733" w:type="dxa"/>
          </w:tcPr>
          <w:p w14:paraId="49D02B8A" w14:textId="77777777" w:rsidR="000305DD" w:rsidRPr="00F24972" w:rsidRDefault="000305DD" w:rsidP="000305DD">
            <w:pPr>
              <w:pStyle w:val="TableText"/>
              <w:rPr>
                <w:rFonts w:cs="Arial"/>
              </w:rPr>
            </w:pPr>
            <w:r w:rsidRPr="00F24972">
              <w:rPr>
                <w:rFonts w:cs="Arial"/>
              </w:rPr>
              <w:t>Login Equipment</w:t>
            </w:r>
          </w:p>
        </w:tc>
        <w:tc>
          <w:tcPr>
            <w:tcW w:w="1592" w:type="dxa"/>
          </w:tcPr>
          <w:p w14:paraId="522337D4" w14:textId="77777777" w:rsidR="000305DD" w:rsidRPr="00F24972" w:rsidRDefault="000305DD" w:rsidP="000305DD">
            <w:pPr>
              <w:pStyle w:val="TableText"/>
              <w:rPr>
                <w:rFonts w:cs="Arial"/>
              </w:rPr>
            </w:pPr>
            <w:r>
              <w:rPr>
                <w:rFonts w:cs="Arial"/>
                <w:snapToGrid w:val="0"/>
              </w:rPr>
              <w:t>Equipment, Login</w:t>
            </w:r>
            <w:r w:rsidRPr="00F24972">
              <w:rPr>
                <w:rFonts w:cs="Arial"/>
                <w:snapToGrid w:val="0"/>
              </w:rPr>
              <w:t xml:space="preserve"> </w:t>
            </w:r>
          </w:p>
        </w:tc>
        <w:tc>
          <w:tcPr>
            <w:tcW w:w="1080" w:type="dxa"/>
          </w:tcPr>
          <w:p w14:paraId="2C21B308" w14:textId="77777777" w:rsidR="000305DD" w:rsidRPr="00F24972" w:rsidRDefault="000305DD" w:rsidP="000305DD">
            <w:pPr>
              <w:pStyle w:val="TableText"/>
              <w:rPr>
                <w:rFonts w:cs="Arial"/>
              </w:rPr>
            </w:pPr>
            <w:r w:rsidRPr="00F24972">
              <w:rPr>
                <w:rFonts w:cs="Arial"/>
              </w:rPr>
              <w:t>Positive</w:t>
            </w:r>
          </w:p>
        </w:tc>
        <w:tc>
          <w:tcPr>
            <w:tcW w:w="900" w:type="dxa"/>
          </w:tcPr>
          <w:p w14:paraId="23DE0CC7" w14:textId="77777777" w:rsidR="000305DD" w:rsidRPr="00F24972" w:rsidRDefault="000305DD" w:rsidP="000305DD">
            <w:pPr>
              <w:pStyle w:val="TableText"/>
              <w:jc w:val="center"/>
              <w:rPr>
                <w:rFonts w:cs="Arial"/>
              </w:rPr>
            </w:pPr>
            <w:r w:rsidRPr="00F24972">
              <w:rPr>
                <w:rFonts w:cs="Arial"/>
              </w:rPr>
              <w:t>M</w:t>
            </w:r>
          </w:p>
        </w:tc>
        <w:tc>
          <w:tcPr>
            <w:tcW w:w="4950" w:type="dxa"/>
          </w:tcPr>
          <w:p w14:paraId="189D0417" w14:textId="77777777" w:rsidR="000305DD" w:rsidRPr="00F24972" w:rsidRDefault="000305DD" w:rsidP="000305DD">
            <w:pPr>
              <w:pStyle w:val="TableText"/>
              <w:rPr>
                <w:rFonts w:cs="Arial"/>
              </w:rPr>
            </w:pPr>
            <w:r w:rsidRPr="00F24972">
              <w:rPr>
                <w:rFonts w:cs="Arial"/>
              </w:rPr>
              <w:t>Accrue workload when a lot number of any type of equipment is logged into the system.</w:t>
            </w:r>
            <w:r>
              <w:rPr>
                <w:rFonts w:cs="Arial"/>
              </w:rPr>
              <w:t xml:space="preserve"> </w:t>
            </w:r>
          </w:p>
        </w:tc>
      </w:tr>
      <w:tr w:rsidR="000305DD" w:rsidRPr="00F24972" w14:paraId="0205DC5A" w14:textId="77777777" w:rsidTr="00FA340F">
        <w:trPr>
          <w:cantSplit/>
        </w:trPr>
        <w:tc>
          <w:tcPr>
            <w:tcW w:w="1733" w:type="dxa"/>
          </w:tcPr>
          <w:p w14:paraId="10A4B37A" w14:textId="77777777" w:rsidR="000305DD" w:rsidRPr="00F24972" w:rsidRDefault="000305DD" w:rsidP="000305DD">
            <w:pPr>
              <w:pStyle w:val="TableText"/>
              <w:rPr>
                <w:rFonts w:cs="Arial"/>
              </w:rPr>
            </w:pPr>
            <w:r w:rsidRPr="00F24972">
              <w:rPr>
                <w:rFonts w:cs="Arial"/>
              </w:rPr>
              <w:t>Login Reagent</w:t>
            </w:r>
          </w:p>
        </w:tc>
        <w:tc>
          <w:tcPr>
            <w:tcW w:w="1592" w:type="dxa"/>
          </w:tcPr>
          <w:p w14:paraId="19860951" w14:textId="77777777" w:rsidR="000305DD" w:rsidRPr="00F24972" w:rsidRDefault="000305DD" w:rsidP="000305DD">
            <w:pPr>
              <w:pStyle w:val="TableText"/>
              <w:rPr>
                <w:rFonts w:cs="Arial"/>
              </w:rPr>
            </w:pPr>
            <w:r>
              <w:rPr>
                <w:rFonts w:cs="Arial"/>
                <w:snapToGrid w:val="0"/>
              </w:rPr>
              <w:t>Reagent, Login</w:t>
            </w:r>
            <w:r w:rsidRPr="00F24972">
              <w:rPr>
                <w:rFonts w:cs="Arial"/>
                <w:snapToGrid w:val="0"/>
              </w:rPr>
              <w:t xml:space="preserve"> </w:t>
            </w:r>
          </w:p>
        </w:tc>
        <w:tc>
          <w:tcPr>
            <w:tcW w:w="1080" w:type="dxa"/>
          </w:tcPr>
          <w:p w14:paraId="46203288" w14:textId="77777777" w:rsidR="000305DD" w:rsidRPr="00F24972" w:rsidRDefault="000305DD" w:rsidP="000305DD">
            <w:pPr>
              <w:pStyle w:val="TableText"/>
              <w:rPr>
                <w:rFonts w:cs="Arial"/>
              </w:rPr>
            </w:pPr>
            <w:r w:rsidRPr="00F24972">
              <w:rPr>
                <w:rFonts w:cs="Arial"/>
              </w:rPr>
              <w:t>Positive</w:t>
            </w:r>
          </w:p>
        </w:tc>
        <w:tc>
          <w:tcPr>
            <w:tcW w:w="900" w:type="dxa"/>
          </w:tcPr>
          <w:p w14:paraId="5C3F5788" w14:textId="77777777" w:rsidR="000305DD" w:rsidRPr="00F24972" w:rsidRDefault="000305DD" w:rsidP="000305DD">
            <w:pPr>
              <w:pStyle w:val="TableText"/>
              <w:jc w:val="center"/>
              <w:rPr>
                <w:rFonts w:cs="Arial"/>
              </w:rPr>
            </w:pPr>
            <w:r w:rsidRPr="00F24972">
              <w:rPr>
                <w:rFonts w:cs="Arial"/>
              </w:rPr>
              <w:t>M</w:t>
            </w:r>
          </w:p>
        </w:tc>
        <w:tc>
          <w:tcPr>
            <w:tcW w:w="4950" w:type="dxa"/>
          </w:tcPr>
          <w:p w14:paraId="050DEB3B" w14:textId="77777777" w:rsidR="000305DD" w:rsidRPr="00F24972" w:rsidRDefault="000305DD" w:rsidP="000305DD">
            <w:pPr>
              <w:pStyle w:val="TableText"/>
              <w:rPr>
                <w:rFonts w:cs="Arial"/>
              </w:rPr>
            </w:pPr>
            <w:r w:rsidRPr="00F24972">
              <w:rPr>
                <w:rFonts w:cs="Arial"/>
              </w:rPr>
              <w:t>Accrue workload when a lot number of any type of reagent is logged into the system.</w:t>
            </w:r>
            <w:r>
              <w:rPr>
                <w:rFonts w:cs="Arial"/>
              </w:rPr>
              <w:t xml:space="preserve"> </w:t>
            </w:r>
            <w:r w:rsidRPr="00F24972">
              <w:rPr>
                <w:rFonts w:cs="Arial"/>
              </w:rPr>
              <w:t>When multiple lot numbers are processed in a batch, each lot number’s workload is counted.</w:t>
            </w:r>
          </w:p>
        </w:tc>
      </w:tr>
      <w:tr w:rsidR="000305DD" w:rsidRPr="00F24972" w14:paraId="4D59824B" w14:textId="77777777" w:rsidTr="00FA340F">
        <w:trPr>
          <w:cantSplit/>
        </w:trPr>
        <w:tc>
          <w:tcPr>
            <w:tcW w:w="1733" w:type="dxa"/>
          </w:tcPr>
          <w:p w14:paraId="35E318BA" w14:textId="77777777" w:rsidR="000305DD" w:rsidRPr="00F24972" w:rsidRDefault="000305DD" w:rsidP="000305DD">
            <w:pPr>
              <w:pStyle w:val="TableText"/>
              <w:rPr>
                <w:rFonts w:cs="Arial"/>
              </w:rPr>
            </w:pPr>
            <w:r w:rsidRPr="00F24972">
              <w:rPr>
                <w:rFonts w:cs="Arial"/>
              </w:rPr>
              <w:t>Login Supply</w:t>
            </w:r>
          </w:p>
        </w:tc>
        <w:tc>
          <w:tcPr>
            <w:tcW w:w="1592" w:type="dxa"/>
          </w:tcPr>
          <w:p w14:paraId="64385B9B" w14:textId="77777777" w:rsidR="000305DD" w:rsidRPr="00F24972" w:rsidRDefault="000305DD" w:rsidP="000305DD">
            <w:pPr>
              <w:pStyle w:val="TableText"/>
              <w:rPr>
                <w:rFonts w:cs="Arial"/>
              </w:rPr>
            </w:pPr>
            <w:r>
              <w:rPr>
                <w:rFonts w:cs="Arial"/>
                <w:snapToGrid w:val="0"/>
              </w:rPr>
              <w:t>Supply, Login</w:t>
            </w:r>
          </w:p>
        </w:tc>
        <w:tc>
          <w:tcPr>
            <w:tcW w:w="1080" w:type="dxa"/>
          </w:tcPr>
          <w:p w14:paraId="611F3774" w14:textId="77777777" w:rsidR="000305DD" w:rsidRPr="00F24972" w:rsidRDefault="000305DD" w:rsidP="000305DD">
            <w:pPr>
              <w:pStyle w:val="TableText"/>
              <w:rPr>
                <w:rFonts w:cs="Arial"/>
              </w:rPr>
            </w:pPr>
            <w:r w:rsidRPr="00F24972">
              <w:rPr>
                <w:rFonts w:cs="Arial"/>
              </w:rPr>
              <w:t>Positive</w:t>
            </w:r>
          </w:p>
        </w:tc>
        <w:tc>
          <w:tcPr>
            <w:tcW w:w="900" w:type="dxa"/>
          </w:tcPr>
          <w:p w14:paraId="059F376F" w14:textId="77777777" w:rsidR="000305DD" w:rsidRPr="00F24972" w:rsidRDefault="000305DD" w:rsidP="000305DD">
            <w:pPr>
              <w:pStyle w:val="TableText"/>
              <w:jc w:val="center"/>
              <w:rPr>
                <w:rFonts w:cs="Arial"/>
              </w:rPr>
            </w:pPr>
            <w:r w:rsidRPr="00F24972">
              <w:rPr>
                <w:rFonts w:cs="Arial"/>
              </w:rPr>
              <w:t>M</w:t>
            </w:r>
          </w:p>
        </w:tc>
        <w:tc>
          <w:tcPr>
            <w:tcW w:w="4950" w:type="dxa"/>
          </w:tcPr>
          <w:p w14:paraId="481E4C14" w14:textId="77777777" w:rsidR="000305DD" w:rsidRPr="00F24972" w:rsidRDefault="000305DD" w:rsidP="000305DD">
            <w:pPr>
              <w:pStyle w:val="TableText"/>
              <w:rPr>
                <w:rFonts w:cs="Arial"/>
              </w:rPr>
            </w:pPr>
            <w:r w:rsidRPr="00F24972">
              <w:rPr>
                <w:rFonts w:cs="Arial"/>
              </w:rPr>
              <w:t>Accrue workload when a lot number of any type of supply is logged into the system.</w:t>
            </w:r>
            <w:r>
              <w:rPr>
                <w:rFonts w:cs="Arial"/>
              </w:rPr>
              <w:t xml:space="preserve"> </w:t>
            </w:r>
            <w:r w:rsidRPr="00F24972">
              <w:rPr>
                <w:rFonts w:cs="Arial"/>
              </w:rPr>
              <w:t>When multiple lot numbers are processed in a batch, each lot number’s workload is counted.</w:t>
            </w:r>
          </w:p>
        </w:tc>
      </w:tr>
      <w:tr w:rsidR="000305DD" w:rsidRPr="00F24972" w14:paraId="4F51D775" w14:textId="77777777" w:rsidTr="00FA340F">
        <w:trPr>
          <w:cantSplit/>
        </w:trPr>
        <w:tc>
          <w:tcPr>
            <w:tcW w:w="1733" w:type="dxa"/>
            <w:tcBorders>
              <w:top w:val="single" w:sz="4" w:space="0" w:color="auto"/>
              <w:left w:val="single" w:sz="4" w:space="0" w:color="auto"/>
              <w:bottom w:val="single" w:sz="4" w:space="0" w:color="auto"/>
              <w:right w:val="single" w:sz="4" w:space="0" w:color="auto"/>
            </w:tcBorders>
          </w:tcPr>
          <w:p w14:paraId="7DE847B7" w14:textId="77777777" w:rsidR="000305DD" w:rsidRPr="00F24972" w:rsidRDefault="000305DD" w:rsidP="000305DD">
            <w:pPr>
              <w:pStyle w:val="TableText"/>
              <w:rPr>
                <w:rFonts w:cs="Arial"/>
              </w:rPr>
            </w:pPr>
            <w:r w:rsidRPr="00F24972">
              <w:rPr>
                <w:rFonts w:cs="Arial"/>
              </w:rPr>
              <w:t>Maintain Specimen</w:t>
            </w:r>
          </w:p>
        </w:tc>
        <w:tc>
          <w:tcPr>
            <w:tcW w:w="1592" w:type="dxa"/>
            <w:tcBorders>
              <w:top w:val="single" w:sz="4" w:space="0" w:color="auto"/>
              <w:left w:val="single" w:sz="4" w:space="0" w:color="auto"/>
              <w:bottom w:val="single" w:sz="4" w:space="0" w:color="auto"/>
              <w:right w:val="single" w:sz="4" w:space="0" w:color="auto"/>
            </w:tcBorders>
            <w:shd w:val="clear" w:color="auto" w:fill="auto"/>
          </w:tcPr>
          <w:p w14:paraId="53143AD4" w14:textId="77777777" w:rsidR="000305DD" w:rsidRPr="00F24972" w:rsidRDefault="000305DD" w:rsidP="000305DD">
            <w:pPr>
              <w:pStyle w:val="TableText"/>
              <w:rPr>
                <w:rFonts w:cs="Arial"/>
              </w:rPr>
            </w:pPr>
            <w:r>
              <w:rPr>
                <w:rFonts w:cs="Arial"/>
              </w:rPr>
              <w:t>Maintain Specimen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4A21C0E4" w14:textId="77777777" w:rsidR="000305DD" w:rsidRPr="00F24972" w:rsidRDefault="000305DD" w:rsidP="000305DD">
            <w:pPr>
              <w:pStyle w:val="TableText"/>
              <w:rPr>
                <w:rFonts w:cs="Arial"/>
              </w:rPr>
            </w:pPr>
            <w:r w:rsidRPr="00F24972">
              <w:rPr>
                <w:rFonts w:cs="Arial"/>
              </w:rPr>
              <w:t>Positive</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0BF1B78F" w14:textId="77777777" w:rsidR="000305DD" w:rsidRPr="00F24972" w:rsidRDefault="000305DD" w:rsidP="000305DD">
            <w:pPr>
              <w:pStyle w:val="TableText"/>
              <w:jc w:val="center"/>
              <w:rPr>
                <w:rFonts w:cs="Arial"/>
              </w:rPr>
            </w:pPr>
            <w:r w:rsidRPr="00F24972">
              <w:rPr>
                <w:rFonts w:cs="Arial"/>
              </w:rPr>
              <w:t>M</w:t>
            </w:r>
          </w:p>
        </w:tc>
        <w:tc>
          <w:tcPr>
            <w:tcW w:w="4950" w:type="dxa"/>
            <w:tcBorders>
              <w:top w:val="single" w:sz="4" w:space="0" w:color="auto"/>
              <w:left w:val="single" w:sz="4" w:space="0" w:color="auto"/>
              <w:bottom w:val="single" w:sz="4" w:space="0" w:color="auto"/>
              <w:right w:val="single" w:sz="4" w:space="0" w:color="auto"/>
            </w:tcBorders>
            <w:shd w:val="clear" w:color="auto" w:fill="auto"/>
          </w:tcPr>
          <w:p w14:paraId="531B9C6D" w14:textId="77777777" w:rsidR="000305DD" w:rsidRPr="00F24972" w:rsidRDefault="000305DD" w:rsidP="000305DD">
            <w:pPr>
              <w:pStyle w:val="TableText"/>
              <w:rPr>
                <w:rFonts w:cs="Arial"/>
              </w:rPr>
            </w:pPr>
            <w:r w:rsidRPr="00F24972">
              <w:rPr>
                <w:rFonts w:cs="Arial"/>
              </w:rPr>
              <w:t>Accrue workload when a specimen is maintained during order acceptance when a specimen is requirement for the order.</w:t>
            </w:r>
          </w:p>
          <w:p w14:paraId="654CD344" w14:textId="77777777" w:rsidR="000305DD" w:rsidRPr="00F24972" w:rsidRDefault="000305DD" w:rsidP="000305DD">
            <w:pPr>
              <w:pStyle w:val="TableText"/>
              <w:rPr>
                <w:rFonts w:cs="Arial"/>
              </w:rPr>
            </w:pPr>
            <w:r w:rsidRPr="00F24972">
              <w:rPr>
                <w:rFonts w:cs="Arial"/>
              </w:rPr>
              <w:t xml:space="preserve">Note: This event is accrued when the specimen is maintained in </w:t>
            </w:r>
            <w:r>
              <w:rPr>
                <w:rFonts w:cs="Arial"/>
              </w:rPr>
              <w:t>Maintain Specimen</w:t>
            </w:r>
            <w:r w:rsidRPr="00F24972">
              <w:rPr>
                <w:rFonts w:cs="Arial"/>
              </w:rPr>
              <w:t xml:space="preserve">. This is collected in addition to the accept order workload accrued by </w:t>
            </w:r>
            <w:r>
              <w:rPr>
                <w:rFonts w:cs="Arial"/>
              </w:rPr>
              <w:t>Accept Order</w:t>
            </w:r>
            <w:r w:rsidRPr="00F24972">
              <w:rPr>
                <w:rFonts w:cs="Arial"/>
              </w:rPr>
              <w:t>. Marking a specimen unacceptable does not create a negative workload event.</w:t>
            </w:r>
          </w:p>
        </w:tc>
      </w:tr>
      <w:tr w:rsidR="000305DD" w:rsidRPr="00F24972" w14:paraId="76E96DE5" w14:textId="77777777" w:rsidTr="00FA340F">
        <w:trPr>
          <w:cantSplit/>
        </w:trPr>
        <w:tc>
          <w:tcPr>
            <w:tcW w:w="1733" w:type="dxa"/>
            <w:vMerge w:val="restart"/>
          </w:tcPr>
          <w:p w14:paraId="11C371BB" w14:textId="77777777" w:rsidR="000305DD" w:rsidRPr="00BF10B2" w:rsidRDefault="000305DD" w:rsidP="000305DD">
            <w:pPr>
              <w:pStyle w:val="TableText"/>
              <w:rPr>
                <w:rFonts w:cs="Arial"/>
              </w:rPr>
            </w:pPr>
            <w:r w:rsidRPr="00BF10B2">
              <w:rPr>
                <w:rFonts w:cs="Arial"/>
              </w:rPr>
              <w:t>Patient antigen phenotype (multiple phases)</w:t>
            </w:r>
          </w:p>
        </w:tc>
        <w:tc>
          <w:tcPr>
            <w:tcW w:w="1592" w:type="dxa"/>
          </w:tcPr>
          <w:p w14:paraId="11EEDEB0" w14:textId="63B91F48" w:rsidR="000305DD" w:rsidRPr="00F24972" w:rsidRDefault="00D06D19" w:rsidP="000305DD">
            <w:pPr>
              <w:pStyle w:val="TableText"/>
              <w:rPr>
                <w:rFonts w:cs="Arial"/>
              </w:rPr>
            </w:pPr>
            <w:r>
              <w:rPr>
                <w:rFonts w:cs="Arial"/>
              </w:rPr>
              <w:t>Record</w:t>
            </w:r>
            <w:r w:rsidR="000F42DE">
              <w:rPr>
                <w:rFonts w:cs="Arial"/>
              </w:rPr>
              <w:t xml:space="preserve"> Testing:</w:t>
            </w:r>
            <w:r>
              <w:rPr>
                <w:rFonts w:cs="Arial"/>
              </w:rPr>
              <w:t xml:space="preserve"> </w:t>
            </w:r>
            <w:r w:rsidR="0047461D">
              <w:rPr>
                <w:rFonts w:cs="Arial"/>
              </w:rPr>
              <w:t xml:space="preserve">Patient </w:t>
            </w:r>
            <w:r w:rsidR="000F42DE">
              <w:rPr>
                <w:rFonts w:cs="Arial"/>
              </w:rPr>
              <w:t>Antigen typing</w:t>
            </w:r>
          </w:p>
          <w:p w14:paraId="13E1D1EB" w14:textId="77777777" w:rsidR="000305DD" w:rsidRPr="00F24972" w:rsidRDefault="000305DD" w:rsidP="000305DD">
            <w:pPr>
              <w:pStyle w:val="TableText"/>
              <w:rPr>
                <w:rFonts w:cs="Arial"/>
              </w:rPr>
            </w:pPr>
          </w:p>
        </w:tc>
        <w:tc>
          <w:tcPr>
            <w:tcW w:w="1080" w:type="dxa"/>
          </w:tcPr>
          <w:p w14:paraId="593EDEE4" w14:textId="77777777" w:rsidR="000305DD" w:rsidRPr="00F24972" w:rsidRDefault="000305DD" w:rsidP="000305DD">
            <w:pPr>
              <w:pStyle w:val="TableText"/>
              <w:rPr>
                <w:rFonts w:cs="Arial"/>
              </w:rPr>
            </w:pPr>
            <w:r w:rsidRPr="00F24972">
              <w:rPr>
                <w:rFonts w:cs="Arial"/>
              </w:rPr>
              <w:t>Positive</w:t>
            </w:r>
          </w:p>
        </w:tc>
        <w:tc>
          <w:tcPr>
            <w:tcW w:w="900" w:type="dxa"/>
          </w:tcPr>
          <w:p w14:paraId="5BF9A559" w14:textId="77777777" w:rsidR="000305DD" w:rsidRPr="00F24972" w:rsidRDefault="000305DD" w:rsidP="000305DD">
            <w:pPr>
              <w:pStyle w:val="TableText"/>
              <w:jc w:val="center"/>
              <w:rPr>
                <w:rFonts w:cs="Arial"/>
              </w:rPr>
            </w:pPr>
            <w:r w:rsidRPr="00F24972">
              <w:rPr>
                <w:rFonts w:cs="Arial"/>
              </w:rPr>
              <w:t>P</w:t>
            </w:r>
          </w:p>
        </w:tc>
        <w:tc>
          <w:tcPr>
            <w:tcW w:w="4950" w:type="dxa"/>
          </w:tcPr>
          <w:p w14:paraId="13491CFA" w14:textId="71872A4A" w:rsidR="000305DD" w:rsidRPr="00F24972" w:rsidRDefault="000305DD" w:rsidP="000305DD">
            <w:pPr>
              <w:pStyle w:val="TableText"/>
              <w:rPr>
                <w:rFonts w:cs="Arial"/>
              </w:rPr>
            </w:pPr>
            <w:r w:rsidRPr="00F24972">
              <w:rPr>
                <w:rFonts w:cs="Arial"/>
              </w:rPr>
              <w:t xml:space="preserve">Accrue workload when a patient antigen phenotype test [specificity (tab)] with IS/RT or IS/37 phases is completed and saved (when completed and saved via </w:t>
            </w:r>
            <w:r>
              <w:rPr>
                <w:rFonts w:cs="Arial"/>
              </w:rPr>
              <w:t>Record Testing</w:t>
            </w:r>
            <w:r w:rsidRPr="00F24972">
              <w:rPr>
                <w:rFonts w:cs="Arial"/>
              </w:rPr>
              <w:t>). One workload event is collected per completed tab for repeat or regular antigen tests.</w:t>
            </w:r>
            <w:r w:rsidR="000F42DE">
              <w:rPr>
                <w:rFonts w:cs="Arial"/>
              </w:rPr>
              <w:t xml:space="preserve"> (Record Patient Antigen Typing is completed and saved by Record Testing).</w:t>
            </w:r>
          </w:p>
        </w:tc>
      </w:tr>
      <w:tr w:rsidR="000305DD" w:rsidRPr="00F24972" w14:paraId="09CFEF9A" w14:textId="77777777" w:rsidTr="00FA340F">
        <w:trPr>
          <w:cantSplit/>
        </w:trPr>
        <w:tc>
          <w:tcPr>
            <w:tcW w:w="1733" w:type="dxa"/>
            <w:vMerge/>
          </w:tcPr>
          <w:p w14:paraId="7429EA8A" w14:textId="77777777" w:rsidR="000305DD" w:rsidRPr="00F24972" w:rsidRDefault="000305DD" w:rsidP="000305DD">
            <w:pPr>
              <w:pStyle w:val="TableText"/>
              <w:rPr>
                <w:rFonts w:cs="Arial"/>
              </w:rPr>
            </w:pPr>
          </w:p>
        </w:tc>
        <w:tc>
          <w:tcPr>
            <w:tcW w:w="1592" w:type="dxa"/>
          </w:tcPr>
          <w:p w14:paraId="0717B62F" w14:textId="77777777" w:rsidR="000305DD" w:rsidRPr="00F24972" w:rsidRDefault="000305DD" w:rsidP="000305DD">
            <w:pPr>
              <w:pStyle w:val="TableText"/>
              <w:rPr>
                <w:rFonts w:cs="Arial"/>
              </w:rPr>
            </w:pPr>
            <w:r>
              <w:rPr>
                <w:rFonts w:cs="Arial"/>
              </w:rPr>
              <w:t>Invalidate, Patient Antigen typing</w:t>
            </w:r>
          </w:p>
          <w:p w14:paraId="33B4DAE7" w14:textId="77777777" w:rsidR="000305DD" w:rsidRPr="00F24972" w:rsidRDefault="000305DD" w:rsidP="000305DD">
            <w:pPr>
              <w:pStyle w:val="TableText"/>
              <w:rPr>
                <w:rFonts w:cs="Arial"/>
              </w:rPr>
            </w:pPr>
          </w:p>
          <w:p w14:paraId="3C3EA1BD" w14:textId="77777777" w:rsidR="000305DD" w:rsidRPr="00F24972" w:rsidRDefault="000305DD" w:rsidP="000305DD">
            <w:pPr>
              <w:pStyle w:val="TableText"/>
              <w:rPr>
                <w:rFonts w:cs="Arial"/>
              </w:rPr>
            </w:pPr>
          </w:p>
        </w:tc>
        <w:tc>
          <w:tcPr>
            <w:tcW w:w="1080" w:type="dxa"/>
          </w:tcPr>
          <w:p w14:paraId="49CFB6FC" w14:textId="77777777" w:rsidR="000305DD" w:rsidRPr="00F24972" w:rsidRDefault="000305DD" w:rsidP="000305DD">
            <w:pPr>
              <w:pStyle w:val="TableText"/>
              <w:rPr>
                <w:rFonts w:cs="Arial"/>
                <w:b/>
              </w:rPr>
            </w:pPr>
            <w:r w:rsidRPr="00F24972">
              <w:rPr>
                <w:rFonts w:cs="Arial"/>
                <w:b/>
              </w:rPr>
              <w:t>Negative</w:t>
            </w:r>
          </w:p>
        </w:tc>
        <w:tc>
          <w:tcPr>
            <w:tcW w:w="900" w:type="dxa"/>
          </w:tcPr>
          <w:p w14:paraId="40ABCDE5" w14:textId="77777777" w:rsidR="000305DD" w:rsidRPr="00F24972" w:rsidRDefault="000305DD" w:rsidP="000305DD">
            <w:pPr>
              <w:pStyle w:val="TableText"/>
              <w:jc w:val="center"/>
              <w:rPr>
                <w:rFonts w:cs="Arial"/>
              </w:rPr>
            </w:pPr>
            <w:r w:rsidRPr="00F24972">
              <w:rPr>
                <w:rFonts w:cs="Arial"/>
              </w:rPr>
              <w:t>P</w:t>
            </w:r>
          </w:p>
        </w:tc>
        <w:tc>
          <w:tcPr>
            <w:tcW w:w="4950" w:type="dxa"/>
          </w:tcPr>
          <w:p w14:paraId="1A0696B2" w14:textId="77777777" w:rsidR="000305DD" w:rsidRPr="00F24972" w:rsidRDefault="000305DD" w:rsidP="000305DD">
            <w:pPr>
              <w:pStyle w:val="TableText"/>
              <w:rPr>
                <w:rFonts w:cs="Arial"/>
              </w:rPr>
            </w:pPr>
            <w:r w:rsidRPr="00F24972">
              <w:rPr>
                <w:rFonts w:cs="Arial"/>
              </w:rPr>
              <w:t xml:space="preserve">Accrue workload when a patient antigen phenotype test as defined by the antiserum specificity tested with any phases is invalidated. </w:t>
            </w:r>
          </w:p>
        </w:tc>
      </w:tr>
      <w:tr w:rsidR="000305DD" w:rsidRPr="00F24972" w14:paraId="74CEE570" w14:textId="77777777" w:rsidTr="00FA340F">
        <w:trPr>
          <w:cantSplit/>
        </w:trPr>
        <w:tc>
          <w:tcPr>
            <w:tcW w:w="1733" w:type="dxa"/>
            <w:vMerge w:val="restart"/>
          </w:tcPr>
          <w:p w14:paraId="09279E9F" w14:textId="77777777" w:rsidR="000305DD" w:rsidRPr="00F24972" w:rsidRDefault="000305DD" w:rsidP="000305DD">
            <w:pPr>
              <w:pStyle w:val="TableText"/>
              <w:rPr>
                <w:rFonts w:cs="Arial"/>
              </w:rPr>
            </w:pPr>
            <w:r w:rsidRPr="00F24972">
              <w:rPr>
                <w:rFonts w:cs="Arial"/>
              </w:rPr>
              <w:lastRenderedPageBreak/>
              <w:t>Patient antigen phenotype (single phase)</w:t>
            </w:r>
          </w:p>
        </w:tc>
        <w:tc>
          <w:tcPr>
            <w:tcW w:w="1592" w:type="dxa"/>
          </w:tcPr>
          <w:p w14:paraId="4FFCEBAA" w14:textId="41ADAAC3" w:rsidR="000305DD" w:rsidRPr="00F24972" w:rsidRDefault="00ED1714" w:rsidP="000305DD">
            <w:pPr>
              <w:pStyle w:val="TableText"/>
              <w:rPr>
                <w:rFonts w:cs="Arial"/>
              </w:rPr>
            </w:pPr>
            <w:r>
              <w:rPr>
                <w:rFonts w:cs="Arial"/>
              </w:rPr>
              <w:t>Record</w:t>
            </w:r>
            <w:r w:rsidR="000F42DE">
              <w:rPr>
                <w:rFonts w:cs="Arial"/>
              </w:rPr>
              <w:t xml:space="preserve"> Testing:</w:t>
            </w:r>
            <w:r>
              <w:rPr>
                <w:rFonts w:cs="Arial"/>
              </w:rPr>
              <w:t xml:space="preserve"> </w:t>
            </w:r>
            <w:r w:rsidR="0047461D">
              <w:rPr>
                <w:rFonts w:cs="Arial"/>
              </w:rPr>
              <w:t xml:space="preserve">Patient </w:t>
            </w:r>
            <w:r w:rsidR="000F42DE">
              <w:rPr>
                <w:rFonts w:cs="Arial"/>
              </w:rPr>
              <w:t>Antigen typing</w:t>
            </w:r>
          </w:p>
          <w:p w14:paraId="34E9B18D" w14:textId="77777777" w:rsidR="000305DD" w:rsidRPr="00F24972" w:rsidRDefault="000305DD" w:rsidP="000305DD">
            <w:pPr>
              <w:pStyle w:val="TableText"/>
              <w:rPr>
                <w:rFonts w:cs="Arial"/>
              </w:rPr>
            </w:pPr>
          </w:p>
        </w:tc>
        <w:tc>
          <w:tcPr>
            <w:tcW w:w="1080" w:type="dxa"/>
          </w:tcPr>
          <w:p w14:paraId="044D2B12" w14:textId="77777777" w:rsidR="000305DD" w:rsidRPr="00F24972" w:rsidRDefault="000305DD" w:rsidP="000305DD">
            <w:pPr>
              <w:pStyle w:val="TableText"/>
              <w:rPr>
                <w:rFonts w:cs="Arial"/>
              </w:rPr>
            </w:pPr>
            <w:r w:rsidRPr="00F24972">
              <w:rPr>
                <w:rFonts w:cs="Arial"/>
              </w:rPr>
              <w:t>Positive</w:t>
            </w:r>
          </w:p>
        </w:tc>
        <w:tc>
          <w:tcPr>
            <w:tcW w:w="900" w:type="dxa"/>
          </w:tcPr>
          <w:p w14:paraId="1F79F189" w14:textId="77777777" w:rsidR="000305DD" w:rsidRPr="00F24972" w:rsidRDefault="000305DD" w:rsidP="000305DD">
            <w:pPr>
              <w:pStyle w:val="TableText"/>
              <w:jc w:val="center"/>
              <w:rPr>
                <w:rFonts w:cs="Arial"/>
              </w:rPr>
            </w:pPr>
            <w:r w:rsidRPr="00F24972">
              <w:rPr>
                <w:rFonts w:cs="Arial"/>
              </w:rPr>
              <w:t>P</w:t>
            </w:r>
          </w:p>
        </w:tc>
        <w:tc>
          <w:tcPr>
            <w:tcW w:w="4950" w:type="dxa"/>
          </w:tcPr>
          <w:p w14:paraId="2433DDC0" w14:textId="7FCEE039" w:rsidR="000305DD" w:rsidRPr="00F24972" w:rsidRDefault="000305DD" w:rsidP="000305DD">
            <w:pPr>
              <w:pStyle w:val="TableText"/>
              <w:rPr>
                <w:rFonts w:cs="Arial"/>
              </w:rPr>
            </w:pPr>
            <w:r w:rsidRPr="00F24972">
              <w:rPr>
                <w:rFonts w:cs="Arial"/>
              </w:rPr>
              <w:t xml:space="preserve">Accrue workload when a patient antigen phenotype test [specificity (tab)] with AHG or IS phase is completed and saved (when completed and saved via </w:t>
            </w:r>
            <w:r>
              <w:rPr>
                <w:rFonts w:cs="Arial"/>
              </w:rPr>
              <w:t>Record Testing</w:t>
            </w:r>
            <w:r w:rsidRPr="00F24972">
              <w:rPr>
                <w:rFonts w:cs="Arial"/>
              </w:rPr>
              <w:t>). One workload event is collected per completed tab for repeat or regular antigen tests.</w:t>
            </w:r>
            <w:r w:rsidR="000F42DE">
              <w:rPr>
                <w:rFonts w:cs="Arial"/>
              </w:rPr>
              <w:t xml:space="preserve"> (Record Patient Antigen Typing is completed and saved by Record Testing).</w:t>
            </w:r>
          </w:p>
        </w:tc>
      </w:tr>
      <w:tr w:rsidR="000305DD" w:rsidRPr="00F24972" w14:paraId="5D1CC7D0" w14:textId="77777777" w:rsidTr="00FA340F">
        <w:trPr>
          <w:cantSplit/>
        </w:trPr>
        <w:tc>
          <w:tcPr>
            <w:tcW w:w="1733" w:type="dxa"/>
            <w:vMerge/>
            <w:tcBorders>
              <w:bottom w:val="single" w:sz="4" w:space="0" w:color="auto"/>
            </w:tcBorders>
          </w:tcPr>
          <w:p w14:paraId="4044FFF6" w14:textId="77777777" w:rsidR="000305DD" w:rsidRPr="00F24972" w:rsidRDefault="000305DD" w:rsidP="000305DD">
            <w:pPr>
              <w:pStyle w:val="TableText"/>
              <w:rPr>
                <w:rFonts w:cs="Arial"/>
              </w:rPr>
            </w:pPr>
          </w:p>
        </w:tc>
        <w:tc>
          <w:tcPr>
            <w:tcW w:w="1592" w:type="dxa"/>
            <w:tcBorders>
              <w:top w:val="single" w:sz="4" w:space="0" w:color="auto"/>
              <w:bottom w:val="single" w:sz="4" w:space="0" w:color="auto"/>
              <w:right w:val="single" w:sz="4" w:space="0" w:color="auto"/>
            </w:tcBorders>
          </w:tcPr>
          <w:p w14:paraId="321C4707" w14:textId="77777777" w:rsidR="000305DD" w:rsidRPr="00F24972" w:rsidRDefault="000305DD" w:rsidP="000305DD">
            <w:pPr>
              <w:pStyle w:val="TableText"/>
              <w:rPr>
                <w:rFonts w:cs="Arial"/>
              </w:rPr>
            </w:pPr>
            <w:r>
              <w:rPr>
                <w:rFonts w:cs="Arial"/>
              </w:rPr>
              <w:t>Invalidate, Patient Antigen typing</w:t>
            </w:r>
          </w:p>
          <w:p w14:paraId="01DD960A" w14:textId="77777777" w:rsidR="000305DD" w:rsidRPr="00F24972" w:rsidRDefault="000305DD" w:rsidP="000305DD">
            <w:pPr>
              <w:pStyle w:val="TableText"/>
              <w:rPr>
                <w:rFonts w:cs="Arial"/>
              </w:rPr>
            </w:pPr>
          </w:p>
          <w:p w14:paraId="2CD19D7B" w14:textId="77777777" w:rsidR="000305DD" w:rsidRPr="00F24972" w:rsidRDefault="000305DD" w:rsidP="000305DD">
            <w:pPr>
              <w:pStyle w:val="TableText"/>
              <w:rPr>
                <w:rFonts w:cs="Arial"/>
              </w:rPr>
            </w:pPr>
          </w:p>
        </w:tc>
        <w:tc>
          <w:tcPr>
            <w:tcW w:w="1080" w:type="dxa"/>
            <w:tcBorders>
              <w:top w:val="single" w:sz="4" w:space="0" w:color="auto"/>
              <w:left w:val="single" w:sz="4" w:space="0" w:color="auto"/>
              <w:bottom w:val="single" w:sz="4" w:space="0" w:color="auto"/>
              <w:right w:val="single" w:sz="4" w:space="0" w:color="auto"/>
            </w:tcBorders>
          </w:tcPr>
          <w:p w14:paraId="009332BC" w14:textId="77777777" w:rsidR="000305DD" w:rsidRPr="00F24972" w:rsidRDefault="000305DD" w:rsidP="000305DD">
            <w:pPr>
              <w:pStyle w:val="TableText"/>
              <w:rPr>
                <w:rFonts w:cs="Arial"/>
                <w:b/>
              </w:rPr>
            </w:pPr>
            <w:r w:rsidRPr="00F24972">
              <w:rPr>
                <w:rFonts w:cs="Arial"/>
                <w:b/>
              </w:rPr>
              <w:t>Negative</w:t>
            </w:r>
          </w:p>
        </w:tc>
        <w:tc>
          <w:tcPr>
            <w:tcW w:w="900" w:type="dxa"/>
            <w:tcBorders>
              <w:top w:val="single" w:sz="4" w:space="0" w:color="auto"/>
              <w:left w:val="single" w:sz="4" w:space="0" w:color="auto"/>
              <w:bottom w:val="single" w:sz="4" w:space="0" w:color="auto"/>
              <w:right w:val="single" w:sz="4" w:space="0" w:color="auto"/>
            </w:tcBorders>
          </w:tcPr>
          <w:p w14:paraId="2A0DFF82" w14:textId="77777777" w:rsidR="000305DD" w:rsidRPr="00F24972" w:rsidRDefault="000305DD" w:rsidP="000305DD">
            <w:pPr>
              <w:pStyle w:val="TableText"/>
              <w:jc w:val="center"/>
              <w:rPr>
                <w:rFonts w:cs="Arial"/>
              </w:rPr>
            </w:pPr>
            <w:r w:rsidRPr="00F24972">
              <w:rPr>
                <w:rFonts w:cs="Arial"/>
              </w:rPr>
              <w:t>P</w:t>
            </w:r>
          </w:p>
        </w:tc>
        <w:tc>
          <w:tcPr>
            <w:tcW w:w="4950" w:type="dxa"/>
            <w:tcBorders>
              <w:top w:val="single" w:sz="4" w:space="0" w:color="auto"/>
              <w:left w:val="single" w:sz="4" w:space="0" w:color="auto"/>
              <w:bottom w:val="single" w:sz="4" w:space="0" w:color="auto"/>
              <w:right w:val="single" w:sz="4" w:space="0" w:color="auto"/>
            </w:tcBorders>
          </w:tcPr>
          <w:p w14:paraId="760FF451" w14:textId="165F277C" w:rsidR="000305DD" w:rsidRPr="00F24972" w:rsidRDefault="000305DD" w:rsidP="000305DD">
            <w:pPr>
              <w:pStyle w:val="TableText"/>
              <w:rPr>
                <w:rFonts w:cs="Arial"/>
              </w:rPr>
            </w:pPr>
            <w:r w:rsidRPr="00F24972">
              <w:rPr>
                <w:rFonts w:cs="Arial"/>
              </w:rPr>
              <w:t xml:space="preserve">Accrue workload when a patient antigen phenotype test as defined by the antiserum specificity tested with </w:t>
            </w:r>
            <w:r w:rsidR="00AE3B37" w:rsidRPr="00F24972">
              <w:rPr>
                <w:rFonts w:cs="Arial"/>
              </w:rPr>
              <w:t>a single phase</w:t>
            </w:r>
            <w:r w:rsidRPr="00F24972">
              <w:rPr>
                <w:rFonts w:cs="Arial"/>
              </w:rPr>
              <w:t xml:space="preserve"> is invalidated. </w:t>
            </w:r>
          </w:p>
        </w:tc>
      </w:tr>
      <w:tr w:rsidR="000305DD" w:rsidRPr="00F24972" w14:paraId="63BF3A8B" w14:textId="77777777" w:rsidTr="00FA340F">
        <w:trPr>
          <w:cantSplit/>
        </w:trPr>
        <w:tc>
          <w:tcPr>
            <w:tcW w:w="1733" w:type="dxa"/>
            <w:vMerge w:val="restart"/>
            <w:tcBorders>
              <w:top w:val="single" w:sz="4" w:space="0" w:color="auto"/>
              <w:left w:val="single" w:sz="4" w:space="0" w:color="auto"/>
              <w:right w:val="single" w:sz="4" w:space="0" w:color="auto"/>
            </w:tcBorders>
          </w:tcPr>
          <w:p w14:paraId="342A6CE0" w14:textId="77777777" w:rsidR="000305DD" w:rsidRPr="00F24972" w:rsidRDefault="000305DD" w:rsidP="000305DD">
            <w:pPr>
              <w:pStyle w:val="TableText"/>
              <w:rPr>
                <w:rFonts w:cs="Arial"/>
              </w:rPr>
            </w:pPr>
            <w:r w:rsidRPr="00F24972">
              <w:rPr>
                <w:rFonts w:cs="Arial"/>
              </w:rPr>
              <w:t>Pool unit</w:t>
            </w:r>
          </w:p>
          <w:p w14:paraId="5A9F9FF2" w14:textId="77777777" w:rsidR="000305DD" w:rsidRPr="00F24972" w:rsidRDefault="000305DD" w:rsidP="000305DD">
            <w:pPr>
              <w:pStyle w:val="TableText"/>
              <w:rPr>
                <w:rFonts w:cs="Arial"/>
              </w:rPr>
            </w:pPr>
          </w:p>
        </w:tc>
        <w:tc>
          <w:tcPr>
            <w:tcW w:w="1592" w:type="dxa"/>
            <w:tcBorders>
              <w:top w:val="single" w:sz="4" w:space="0" w:color="auto"/>
              <w:left w:val="single" w:sz="4" w:space="0" w:color="auto"/>
              <w:bottom w:val="single" w:sz="4" w:space="0" w:color="auto"/>
              <w:right w:val="single" w:sz="4" w:space="0" w:color="auto"/>
            </w:tcBorders>
          </w:tcPr>
          <w:p w14:paraId="38C7E733" w14:textId="77777777" w:rsidR="000305DD" w:rsidRPr="00F24972" w:rsidRDefault="000305DD" w:rsidP="000305DD">
            <w:pPr>
              <w:pStyle w:val="TableText"/>
              <w:rPr>
                <w:rFonts w:cs="Arial"/>
              </w:rPr>
            </w:pPr>
            <w:r>
              <w:rPr>
                <w:rFonts w:cs="Arial"/>
              </w:rPr>
              <w:t>Modify, Pool</w:t>
            </w:r>
          </w:p>
        </w:tc>
        <w:tc>
          <w:tcPr>
            <w:tcW w:w="1080" w:type="dxa"/>
            <w:tcBorders>
              <w:top w:val="single" w:sz="4" w:space="0" w:color="auto"/>
              <w:left w:val="single" w:sz="4" w:space="0" w:color="auto"/>
              <w:bottom w:val="single" w:sz="4" w:space="0" w:color="auto"/>
              <w:right w:val="single" w:sz="4" w:space="0" w:color="auto"/>
            </w:tcBorders>
          </w:tcPr>
          <w:p w14:paraId="67FD52A9" w14:textId="77777777" w:rsidR="000305DD" w:rsidRPr="00F24972" w:rsidRDefault="000305DD" w:rsidP="000305DD">
            <w:pPr>
              <w:pStyle w:val="TableText"/>
              <w:rPr>
                <w:rFonts w:cs="Arial"/>
              </w:rPr>
            </w:pPr>
            <w:r w:rsidRPr="00F24972">
              <w:rPr>
                <w:rFonts w:cs="Arial"/>
              </w:rPr>
              <w:t>Positive</w:t>
            </w:r>
          </w:p>
        </w:tc>
        <w:tc>
          <w:tcPr>
            <w:tcW w:w="900" w:type="dxa"/>
            <w:tcBorders>
              <w:top w:val="single" w:sz="4" w:space="0" w:color="auto"/>
              <w:left w:val="single" w:sz="4" w:space="0" w:color="auto"/>
              <w:bottom w:val="single" w:sz="4" w:space="0" w:color="auto"/>
              <w:right w:val="single" w:sz="4" w:space="0" w:color="auto"/>
            </w:tcBorders>
          </w:tcPr>
          <w:p w14:paraId="7C591401" w14:textId="77777777" w:rsidR="000305DD" w:rsidRPr="00F24972" w:rsidRDefault="000305DD" w:rsidP="000305DD">
            <w:pPr>
              <w:pStyle w:val="TableText"/>
              <w:jc w:val="center"/>
              <w:rPr>
                <w:rFonts w:cs="Arial"/>
              </w:rPr>
            </w:pPr>
            <w:r w:rsidRPr="00F24972">
              <w:rPr>
                <w:rFonts w:cs="Arial"/>
              </w:rPr>
              <w:t>U</w:t>
            </w:r>
          </w:p>
        </w:tc>
        <w:tc>
          <w:tcPr>
            <w:tcW w:w="4950" w:type="dxa"/>
            <w:tcBorders>
              <w:top w:val="single" w:sz="4" w:space="0" w:color="auto"/>
              <w:left w:val="single" w:sz="4" w:space="0" w:color="auto"/>
              <w:bottom w:val="single" w:sz="4" w:space="0" w:color="auto"/>
              <w:right w:val="single" w:sz="4" w:space="0" w:color="auto"/>
            </w:tcBorders>
          </w:tcPr>
          <w:p w14:paraId="006158D0" w14:textId="77777777" w:rsidR="000305DD" w:rsidRPr="00F24972" w:rsidRDefault="000305DD" w:rsidP="000305DD">
            <w:pPr>
              <w:pStyle w:val="TableText"/>
              <w:rPr>
                <w:rFonts w:cs="Arial"/>
              </w:rPr>
            </w:pPr>
            <w:r w:rsidRPr="00F24972">
              <w:rPr>
                <w:rFonts w:cs="Arial"/>
              </w:rPr>
              <w:t>Accrue workload when a pooled unit is created and a single workload event is recorded regardless of the number of units included in the pooled unit. This applies to modification type: Pool. Add/Remove unit from a pool does not accrue any workload.</w:t>
            </w:r>
            <w:r w:rsidRPr="00F24972">
              <w:rPr>
                <w:rFonts w:cs="Arial"/>
                <w:i/>
              </w:rPr>
              <w:t xml:space="preserve"> </w:t>
            </w:r>
          </w:p>
          <w:p w14:paraId="3198CD26" w14:textId="77777777" w:rsidR="000305DD" w:rsidRPr="00F24972" w:rsidRDefault="000305DD" w:rsidP="000305DD">
            <w:pPr>
              <w:pStyle w:val="TableText"/>
              <w:rPr>
                <w:rFonts w:cs="Arial"/>
                <w:i/>
              </w:rPr>
            </w:pPr>
            <w:r w:rsidRPr="00F24972">
              <w:rPr>
                <w:rFonts w:cs="Arial"/>
                <w:i/>
              </w:rPr>
              <w:t>Note: Workload is not accrued when a patient assignment is processed and VBECS releases all other patient assignments. Workload is not accrued when VBECS is required to quarantine the unit.</w:t>
            </w:r>
          </w:p>
          <w:p w14:paraId="4E02FD60" w14:textId="77777777" w:rsidR="000305DD" w:rsidRPr="00F24972" w:rsidRDefault="000305DD" w:rsidP="000305DD">
            <w:pPr>
              <w:pStyle w:val="TableText"/>
              <w:rPr>
                <w:rFonts w:cs="Arial"/>
                <w:i/>
              </w:rPr>
            </w:pPr>
            <w:r w:rsidRPr="00F24972">
              <w:rPr>
                <w:rFonts w:cs="Arial"/>
                <w:i/>
              </w:rPr>
              <w:t xml:space="preserve">Workload accrued by Pooling is invalidated in </w:t>
            </w:r>
            <w:r>
              <w:rPr>
                <w:rFonts w:cs="Arial"/>
                <w:i/>
              </w:rPr>
              <w:t>Edit Unit Processing Information</w:t>
            </w:r>
            <w:r w:rsidRPr="00F24972">
              <w:rPr>
                <w:rFonts w:cs="Arial"/>
                <w:i/>
              </w:rPr>
              <w:t xml:space="preserve"> with the inactivation of the pooled unit.</w:t>
            </w:r>
          </w:p>
        </w:tc>
      </w:tr>
      <w:tr w:rsidR="000305DD" w:rsidRPr="00F24972" w14:paraId="4CBE120E" w14:textId="77777777" w:rsidTr="00FA340F">
        <w:trPr>
          <w:cantSplit/>
        </w:trPr>
        <w:tc>
          <w:tcPr>
            <w:tcW w:w="1733" w:type="dxa"/>
            <w:vMerge/>
            <w:tcBorders>
              <w:left w:val="single" w:sz="4" w:space="0" w:color="auto"/>
              <w:right w:val="single" w:sz="4" w:space="0" w:color="auto"/>
            </w:tcBorders>
          </w:tcPr>
          <w:p w14:paraId="3A35CB33" w14:textId="77777777" w:rsidR="000305DD" w:rsidRPr="00F24972" w:rsidRDefault="000305DD" w:rsidP="000305DD">
            <w:pPr>
              <w:pStyle w:val="TableText"/>
              <w:rPr>
                <w:rFonts w:cs="Arial"/>
              </w:rPr>
            </w:pPr>
          </w:p>
        </w:tc>
        <w:tc>
          <w:tcPr>
            <w:tcW w:w="1592" w:type="dxa"/>
            <w:tcBorders>
              <w:top w:val="single" w:sz="4" w:space="0" w:color="auto"/>
              <w:left w:val="single" w:sz="4" w:space="0" w:color="auto"/>
              <w:bottom w:val="single" w:sz="4" w:space="0" w:color="auto"/>
              <w:right w:val="single" w:sz="4" w:space="0" w:color="auto"/>
            </w:tcBorders>
          </w:tcPr>
          <w:p w14:paraId="3CC1422A" w14:textId="77777777" w:rsidR="000305DD" w:rsidRPr="00F24972" w:rsidRDefault="000305DD" w:rsidP="000305DD">
            <w:pPr>
              <w:pStyle w:val="TableText"/>
              <w:rPr>
                <w:rFonts w:cs="Arial"/>
              </w:rPr>
            </w:pPr>
            <w:r>
              <w:rPr>
                <w:rFonts w:cs="Arial"/>
              </w:rPr>
              <w:t>Edit Unit, Inactive Unit (that was in a Pool)</w:t>
            </w:r>
          </w:p>
        </w:tc>
        <w:tc>
          <w:tcPr>
            <w:tcW w:w="1080" w:type="dxa"/>
            <w:tcBorders>
              <w:top w:val="single" w:sz="4" w:space="0" w:color="auto"/>
              <w:left w:val="single" w:sz="4" w:space="0" w:color="auto"/>
              <w:bottom w:val="single" w:sz="4" w:space="0" w:color="auto"/>
              <w:right w:val="single" w:sz="4" w:space="0" w:color="auto"/>
            </w:tcBorders>
          </w:tcPr>
          <w:p w14:paraId="5D14088B" w14:textId="77777777" w:rsidR="000305DD" w:rsidRPr="00F24972" w:rsidRDefault="000305DD" w:rsidP="000305DD">
            <w:pPr>
              <w:pStyle w:val="TableText"/>
              <w:rPr>
                <w:rFonts w:cs="Arial"/>
                <w:b/>
              </w:rPr>
            </w:pPr>
            <w:r w:rsidRPr="00F24972">
              <w:rPr>
                <w:rFonts w:cs="Arial"/>
                <w:b/>
              </w:rPr>
              <w:t>Negative</w:t>
            </w:r>
          </w:p>
        </w:tc>
        <w:tc>
          <w:tcPr>
            <w:tcW w:w="900" w:type="dxa"/>
            <w:tcBorders>
              <w:top w:val="single" w:sz="4" w:space="0" w:color="auto"/>
              <w:left w:val="single" w:sz="4" w:space="0" w:color="auto"/>
              <w:bottom w:val="single" w:sz="4" w:space="0" w:color="auto"/>
              <w:right w:val="single" w:sz="4" w:space="0" w:color="auto"/>
            </w:tcBorders>
          </w:tcPr>
          <w:p w14:paraId="64989AAE" w14:textId="77777777" w:rsidR="000305DD" w:rsidRPr="00F24972" w:rsidRDefault="000305DD" w:rsidP="000305DD">
            <w:pPr>
              <w:pStyle w:val="TableText"/>
              <w:jc w:val="center"/>
              <w:rPr>
                <w:rFonts w:cs="Arial"/>
              </w:rPr>
            </w:pPr>
            <w:r w:rsidRPr="00F24972">
              <w:rPr>
                <w:rFonts w:cs="Arial"/>
              </w:rPr>
              <w:t>U</w:t>
            </w:r>
          </w:p>
        </w:tc>
        <w:tc>
          <w:tcPr>
            <w:tcW w:w="4950" w:type="dxa"/>
            <w:tcBorders>
              <w:top w:val="single" w:sz="4" w:space="0" w:color="auto"/>
              <w:left w:val="single" w:sz="4" w:space="0" w:color="auto"/>
              <w:bottom w:val="single" w:sz="4" w:space="0" w:color="auto"/>
              <w:right w:val="single" w:sz="4" w:space="0" w:color="auto"/>
            </w:tcBorders>
          </w:tcPr>
          <w:p w14:paraId="4D72EB6A" w14:textId="77777777" w:rsidR="000305DD" w:rsidRPr="00F24972" w:rsidRDefault="000305DD" w:rsidP="000305DD">
            <w:pPr>
              <w:pStyle w:val="TableText"/>
              <w:rPr>
                <w:rFonts w:cs="Arial"/>
              </w:rPr>
            </w:pPr>
            <w:r w:rsidRPr="00F24972">
              <w:rPr>
                <w:rFonts w:cs="Arial"/>
              </w:rPr>
              <w:t>Accrue workload when a unit is inactivated (unit record inactivated) when the pooled unit was created in VBECS.</w:t>
            </w:r>
            <w:r>
              <w:rPr>
                <w:rFonts w:cs="Arial"/>
              </w:rPr>
              <w:t xml:space="preserve"> </w:t>
            </w:r>
          </w:p>
        </w:tc>
      </w:tr>
      <w:tr w:rsidR="000305DD" w:rsidRPr="00F24972" w14:paraId="23CED0BB" w14:textId="77777777" w:rsidTr="00FA340F">
        <w:trPr>
          <w:cantSplit/>
        </w:trPr>
        <w:tc>
          <w:tcPr>
            <w:tcW w:w="1733" w:type="dxa"/>
            <w:vMerge/>
            <w:tcBorders>
              <w:left w:val="single" w:sz="4" w:space="0" w:color="auto"/>
              <w:bottom w:val="single" w:sz="4" w:space="0" w:color="auto"/>
              <w:right w:val="single" w:sz="4" w:space="0" w:color="auto"/>
            </w:tcBorders>
          </w:tcPr>
          <w:p w14:paraId="32C7870B" w14:textId="77777777" w:rsidR="000305DD" w:rsidRPr="00F24972" w:rsidRDefault="000305DD" w:rsidP="000305DD">
            <w:pPr>
              <w:pStyle w:val="TableText"/>
              <w:rPr>
                <w:rFonts w:cs="Arial"/>
              </w:rPr>
            </w:pPr>
          </w:p>
        </w:tc>
        <w:tc>
          <w:tcPr>
            <w:tcW w:w="1592" w:type="dxa"/>
            <w:tcBorders>
              <w:top w:val="single" w:sz="4" w:space="0" w:color="auto"/>
              <w:left w:val="single" w:sz="4" w:space="0" w:color="auto"/>
              <w:bottom w:val="single" w:sz="4" w:space="0" w:color="auto"/>
              <w:right w:val="single" w:sz="4" w:space="0" w:color="auto"/>
            </w:tcBorders>
          </w:tcPr>
          <w:p w14:paraId="2B947050" w14:textId="7EF3A3F7" w:rsidR="000305DD" w:rsidRPr="00F24972" w:rsidRDefault="000305DD" w:rsidP="000305DD">
            <w:pPr>
              <w:pStyle w:val="TableText"/>
              <w:rPr>
                <w:rFonts w:cs="Arial"/>
              </w:rPr>
            </w:pPr>
            <w:r>
              <w:rPr>
                <w:rFonts w:cs="Arial"/>
              </w:rPr>
              <w:t xml:space="preserve">Invalidate unit </w:t>
            </w:r>
            <w:r w:rsidR="00AE3B37">
              <w:rPr>
                <w:rFonts w:cs="Arial"/>
              </w:rPr>
              <w:t>status, Pool</w:t>
            </w:r>
          </w:p>
        </w:tc>
        <w:tc>
          <w:tcPr>
            <w:tcW w:w="1080" w:type="dxa"/>
            <w:tcBorders>
              <w:top w:val="single" w:sz="4" w:space="0" w:color="auto"/>
              <w:left w:val="single" w:sz="4" w:space="0" w:color="auto"/>
              <w:bottom w:val="single" w:sz="4" w:space="0" w:color="auto"/>
              <w:right w:val="single" w:sz="4" w:space="0" w:color="auto"/>
            </w:tcBorders>
          </w:tcPr>
          <w:p w14:paraId="78A57331" w14:textId="77777777" w:rsidR="000305DD" w:rsidRPr="00F24972" w:rsidRDefault="000305DD" w:rsidP="000305DD">
            <w:pPr>
              <w:pStyle w:val="TableText"/>
              <w:rPr>
                <w:rFonts w:cs="Arial"/>
                <w:b/>
              </w:rPr>
            </w:pPr>
            <w:r w:rsidRPr="00F24972">
              <w:rPr>
                <w:rFonts w:cs="Arial"/>
                <w:b/>
              </w:rPr>
              <w:t>None</w:t>
            </w:r>
          </w:p>
        </w:tc>
        <w:tc>
          <w:tcPr>
            <w:tcW w:w="900" w:type="dxa"/>
            <w:tcBorders>
              <w:top w:val="single" w:sz="4" w:space="0" w:color="auto"/>
              <w:left w:val="single" w:sz="4" w:space="0" w:color="auto"/>
              <w:bottom w:val="single" w:sz="4" w:space="0" w:color="auto"/>
              <w:right w:val="single" w:sz="4" w:space="0" w:color="auto"/>
            </w:tcBorders>
          </w:tcPr>
          <w:p w14:paraId="7E411F99" w14:textId="77777777" w:rsidR="000305DD" w:rsidRPr="00F24972" w:rsidRDefault="000305DD" w:rsidP="000305DD">
            <w:pPr>
              <w:pStyle w:val="TableText"/>
              <w:jc w:val="center"/>
              <w:rPr>
                <w:rFonts w:cs="Arial"/>
              </w:rPr>
            </w:pPr>
            <w:r w:rsidRPr="00F24972">
              <w:rPr>
                <w:rFonts w:cs="Arial"/>
              </w:rPr>
              <w:t>N/A</w:t>
            </w:r>
          </w:p>
        </w:tc>
        <w:tc>
          <w:tcPr>
            <w:tcW w:w="4950" w:type="dxa"/>
            <w:tcBorders>
              <w:top w:val="single" w:sz="4" w:space="0" w:color="auto"/>
              <w:left w:val="single" w:sz="4" w:space="0" w:color="auto"/>
              <w:bottom w:val="single" w:sz="4" w:space="0" w:color="auto"/>
              <w:right w:val="single" w:sz="4" w:space="0" w:color="auto"/>
            </w:tcBorders>
          </w:tcPr>
          <w:p w14:paraId="23663A14" w14:textId="77777777" w:rsidR="000305DD" w:rsidRPr="00F24972" w:rsidRDefault="000305DD" w:rsidP="000305DD">
            <w:pPr>
              <w:pStyle w:val="TableText"/>
              <w:rPr>
                <w:rFonts w:cs="Arial"/>
              </w:rPr>
            </w:pPr>
            <w:r w:rsidRPr="00F24972">
              <w:rPr>
                <w:rFonts w:cs="Arial"/>
              </w:rPr>
              <w:t xml:space="preserve">No effect on workload accrual when a unit is removed from a modified status that was included in a pool. </w:t>
            </w:r>
          </w:p>
        </w:tc>
      </w:tr>
      <w:tr w:rsidR="000305DD" w:rsidRPr="00F24972" w14:paraId="368CB7AA" w14:textId="77777777" w:rsidTr="00FA340F">
        <w:trPr>
          <w:cantSplit/>
        </w:trPr>
        <w:tc>
          <w:tcPr>
            <w:tcW w:w="1733" w:type="dxa"/>
          </w:tcPr>
          <w:p w14:paraId="502A6A01" w14:textId="77777777" w:rsidR="000305DD" w:rsidRPr="00F24972" w:rsidRDefault="000305DD" w:rsidP="000305DD">
            <w:pPr>
              <w:pStyle w:val="TableText"/>
              <w:rPr>
                <w:rFonts w:cs="Arial"/>
              </w:rPr>
            </w:pPr>
            <w:r w:rsidRPr="00F24972">
              <w:rPr>
                <w:rFonts w:cs="Arial"/>
              </w:rPr>
              <w:t>Quarantine unit</w:t>
            </w:r>
          </w:p>
        </w:tc>
        <w:tc>
          <w:tcPr>
            <w:tcW w:w="1592" w:type="dxa"/>
          </w:tcPr>
          <w:p w14:paraId="06317A90" w14:textId="77777777" w:rsidR="000305DD" w:rsidRPr="00F24972" w:rsidRDefault="000305DD" w:rsidP="000305DD">
            <w:pPr>
              <w:pStyle w:val="TableText"/>
              <w:rPr>
                <w:rFonts w:cs="Arial"/>
              </w:rPr>
            </w:pPr>
            <w:r>
              <w:rPr>
                <w:rFonts w:cs="Arial"/>
              </w:rPr>
              <w:t>Discard/Quarantine, Quarantine unit</w:t>
            </w:r>
          </w:p>
        </w:tc>
        <w:tc>
          <w:tcPr>
            <w:tcW w:w="1080" w:type="dxa"/>
          </w:tcPr>
          <w:p w14:paraId="3337A3C1" w14:textId="77777777" w:rsidR="000305DD" w:rsidRPr="00F24972" w:rsidRDefault="000305DD" w:rsidP="000305DD">
            <w:pPr>
              <w:pStyle w:val="TableText"/>
              <w:rPr>
                <w:rFonts w:cs="Arial"/>
              </w:rPr>
            </w:pPr>
            <w:r w:rsidRPr="00F24972">
              <w:rPr>
                <w:rFonts w:cs="Arial"/>
              </w:rPr>
              <w:t>Positive</w:t>
            </w:r>
          </w:p>
        </w:tc>
        <w:tc>
          <w:tcPr>
            <w:tcW w:w="900" w:type="dxa"/>
          </w:tcPr>
          <w:p w14:paraId="7891FADA" w14:textId="77777777" w:rsidR="000305DD" w:rsidRPr="00F24972" w:rsidRDefault="000305DD" w:rsidP="000305DD">
            <w:pPr>
              <w:pStyle w:val="TableText"/>
              <w:jc w:val="center"/>
              <w:rPr>
                <w:rFonts w:cs="Arial"/>
              </w:rPr>
            </w:pPr>
            <w:r w:rsidRPr="00F24972">
              <w:rPr>
                <w:rFonts w:cs="Arial"/>
              </w:rPr>
              <w:t>U</w:t>
            </w:r>
          </w:p>
        </w:tc>
        <w:tc>
          <w:tcPr>
            <w:tcW w:w="4950" w:type="dxa"/>
          </w:tcPr>
          <w:p w14:paraId="135171F0" w14:textId="77777777" w:rsidR="000305DD" w:rsidRPr="00F24972" w:rsidRDefault="000305DD" w:rsidP="000305DD">
            <w:pPr>
              <w:pStyle w:val="TableText"/>
              <w:rPr>
                <w:rFonts w:cs="Arial"/>
              </w:rPr>
            </w:pPr>
            <w:r w:rsidRPr="00F24972">
              <w:rPr>
                <w:rFonts w:cs="Arial"/>
              </w:rPr>
              <w:t>Accrue workload when a unit is marked for quarantine. When a batch of units is selected, each unit accrues workload.</w:t>
            </w:r>
          </w:p>
        </w:tc>
      </w:tr>
      <w:tr w:rsidR="000305DD" w:rsidRPr="00F24972" w14:paraId="381D17D9" w14:textId="77777777" w:rsidTr="00FA340F">
        <w:trPr>
          <w:cantSplit/>
        </w:trPr>
        <w:tc>
          <w:tcPr>
            <w:tcW w:w="1733" w:type="dxa"/>
          </w:tcPr>
          <w:p w14:paraId="4F6EC66E" w14:textId="77777777" w:rsidR="000305DD" w:rsidRPr="00F24972" w:rsidRDefault="000305DD" w:rsidP="000305DD">
            <w:pPr>
              <w:pStyle w:val="TableText"/>
              <w:rPr>
                <w:rFonts w:cs="Arial"/>
              </w:rPr>
            </w:pPr>
            <w:r w:rsidRPr="00F24972">
              <w:rPr>
                <w:rFonts w:cs="Arial"/>
              </w:rPr>
              <w:t>Release directed unit</w:t>
            </w:r>
          </w:p>
        </w:tc>
        <w:tc>
          <w:tcPr>
            <w:tcW w:w="1592" w:type="dxa"/>
          </w:tcPr>
          <w:p w14:paraId="67BF4359" w14:textId="77777777" w:rsidR="000305DD" w:rsidRPr="00F24972" w:rsidRDefault="000305DD" w:rsidP="000305DD">
            <w:pPr>
              <w:pStyle w:val="TableText"/>
              <w:rPr>
                <w:rFonts w:cs="Arial"/>
              </w:rPr>
            </w:pPr>
            <w:r>
              <w:rPr>
                <w:rFonts w:cs="Arial"/>
              </w:rPr>
              <w:t>Free Directed Unit</w:t>
            </w:r>
          </w:p>
        </w:tc>
        <w:tc>
          <w:tcPr>
            <w:tcW w:w="1080" w:type="dxa"/>
          </w:tcPr>
          <w:p w14:paraId="2F87A1EC" w14:textId="77777777" w:rsidR="000305DD" w:rsidRPr="00F24972" w:rsidRDefault="000305DD" w:rsidP="000305DD">
            <w:pPr>
              <w:pStyle w:val="TableText"/>
              <w:rPr>
                <w:rFonts w:cs="Arial"/>
              </w:rPr>
            </w:pPr>
            <w:r w:rsidRPr="00F24972">
              <w:rPr>
                <w:rFonts w:cs="Arial"/>
              </w:rPr>
              <w:t>Positive</w:t>
            </w:r>
          </w:p>
        </w:tc>
        <w:tc>
          <w:tcPr>
            <w:tcW w:w="900" w:type="dxa"/>
          </w:tcPr>
          <w:p w14:paraId="015BA67E" w14:textId="77777777" w:rsidR="000305DD" w:rsidRPr="00F24972" w:rsidRDefault="000305DD" w:rsidP="000305DD">
            <w:pPr>
              <w:pStyle w:val="TableText"/>
              <w:jc w:val="center"/>
              <w:rPr>
                <w:rFonts w:cs="Arial"/>
              </w:rPr>
            </w:pPr>
            <w:r w:rsidRPr="00F24972">
              <w:rPr>
                <w:rFonts w:cs="Arial"/>
              </w:rPr>
              <w:t>U</w:t>
            </w:r>
          </w:p>
        </w:tc>
        <w:tc>
          <w:tcPr>
            <w:tcW w:w="4950" w:type="dxa"/>
          </w:tcPr>
          <w:p w14:paraId="340ED563" w14:textId="77777777" w:rsidR="000305DD" w:rsidRPr="00F24972" w:rsidRDefault="000305DD" w:rsidP="000305DD">
            <w:pPr>
              <w:pStyle w:val="TableText"/>
              <w:rPr>
                <w:rFonts w:cs="Arial"/>
              </w:rPr>
            </w:pPr>
            <w:r w:rsidRPr="00F24972">
              <w:rPr>
                <w:rFonts w:cs="Arial"/>
              </w:rPr>
              <w:t>Accrue workload when an individual blood unit with the restriction type of directed is released for use as an allogeneic unit.</w:t>
            </w:r>
          </w:p>
        </w:tc>
      </w:tr>
      <w:tr w:rsidR="000305DD" w:rsidRPr="00F24972" w14:paraId="3EF64D56" w14:textId="77777777" w:rsidTr="00FA340F">
        <w:trPr>
          <w:cantSplit/>
        </w:trPr>
        <w:tc>
          <w:tcPr>
            <w:tcW w:w="1733" w:type="dxa"/>
            <w:tcBorders>
              <w:top w:val="single" w:sz="4" w:space="0" w:color="auto"/>
              <w:left w:val="single" w:sz="4" w:space="0" w:color="auto"/>
              <w:bottom w:val="single" w:sz="4" w:space="0" w:color="auto"/>
              <w:right w:val="single" w:sz="4" w:space="0" w:color="auto"/>
            </w:tcBorders>
          </w:tcPr>
          <w:p w14:paraId="4F28BFDA" w14:textId="77777777" w:rsidR="000305DD" w:rsidRPr="00F24972" w:rsidRDefault="000305DD" w:rsidP="000305DD">
            <w:pPr>
              <w:pStyle w:val="TableText"/>
              <w:rPr>
                <w:rFonts w:cs="Arial"/>
              </w:rPr>
            </w:pPr>
            <w:r w:rsidRPr="00F24972">
              <w:rPr>
                <w:rFonts w:cs="Arial"/>
              </w:rPr>
              <w:t>Release unit from patient back to inventory</w:t>
            </w:r>
          </w:p>
        </w:tc>
        <w:tc>
          <w:tcPr>
            <w:tcW w:w="1592" w:type="dxa"/>
            <w:tcBorders>
              <w:top w:val="single" w:sz="4" w:space="0" w:color="auto"/>
              <w:left w:val="single" w:sz="4" w:space="0" w:color="auto"/>
              <w:bottom w:val="single" w:sz="4" w:space="0" w:color="auto"/>
              <w:right w:val="single" w:sz="4" w:space="0" w:color="auto"/>
            </w:tcBorders>
          </w:tcPr>
          <w:p w14:paraId="6954F272" w14:textId="77777777" w:rsidR="000305DD" w:rsidRPr="00F24972" w:rsidRDefault="000305DD" w:rsidP="000305DD">
            <w:pPr>
              <w:pStyle w:val="TableText"/>
              <w:rPr>
                <w:rFonts w:cs="Arial"/>
              </w:rPr>
            </w:pPr>
            <w:r>
              <w:rPr>
                <w:rFonts w:cs="Arial"/>
              </w:rPr>
              <w:t>Release Unit from Patient Assignment</w:t>
            </w:r>
          </w:p>
        </w:tc>
        <w:tc>
          <w:tcPr>
            <w:tcW w:w="1080" w:type="dxa"/>
            <w:tcBorders>
              <w:top w:val="single" w:sz="4" w:space="0" w:color="auto"/>
              <w:left w:val="single" w:sz="4" w:space="0" w:color="auto"/>
              <w:bottom w:val="single" w:sz="4" w:space="0" w:color="auto"/>
              <w:right w:val="single" w:sz="4" w:space="0" w:color="auto"/>
            </w:tcBorders>
          </w:tcPr>
          <w:p w14:paraId="7AE600F6" w14:textId="77777777" w:rsidR="000305DD" w:rsidRPr="00F24972" w:rsidRDefault="000305DD" w:rsidP="000305DD">
            <w:pPr>
              <w:pStyle w:val="TableText"/>
              <w:rPr>
                <w:rFonts w:cs="Arial"/>
              </w:rPr>
            </w:pPr>
            <w:r w:rsidRPr="00F24972">
              <w:rPr>
                <w:rFonts w:cs="Arial"/>
              </w:rPr>
              <w:t>Positive</w:t>
            </w:r>
          </w:p>
        </w:tc>
        <w:tc>
          <w:tcPr>
            <w:tcW w:w="900" w:type="dxa"/>
            <w:tcBorders>
              <w:top w:val="single" w:sz="4" w:space="0" w:color="auto"/>
              <w:left w:val="single" w:sz="4" w:space="0" w:color="auto"/>
              <w:bottom w:val="single" w:sz="4" w:space="0" w:color="auto"/>
              <w:right w:val="single" w:sz="4" w:space="0" w:color="auto"/>
            </w:tcBorders>
          </w:tcPr>
          <w:p w14:paraId="64BFDFBE" w14:textId="77777777" w:rsidR="000305DD" w:rsidRPr="00F24972" w:rsidRDefault="000305DD" w:rsidP="000305DD">
            <w:pPr>
              <w:pStyle w:val="TableText"/>
              <w:jc w:val="center"/>
              <w:rPr>
                <w:rFonts w:cs="Arial"/>
              </w:rPr>
            </w:pPr>
            <w:r>
              <w:rPr>
                <w:rFonts w:cs="Arial"/>
              </w:rPr>
              <w:t>U</w:t>
            </w:r>
          </w:p>
        </w:tc>
        <w:tc>
          <w:tcPr>
            <w:tcW w:w="4950" w:type="dxa"/>
            <w:tcBorders>
              <w:top w:val="single" w:sz="4" w:space="0" w:color="auto"/>
              <w:left w:val="single" w:sz="4" w:space="0" w:color="auto"/>
              <w:bottom w:val="single" w:sz="4" w:space="0" w:color="auto"/>
              <w:right w:val="single" w:sz="4" w:space="0" w:color="auto"/>
            </w:tcBorders>
          </w:tcPr>
          <w:p w14:paraId="2FF757F6" w14:textId="36680020" w:rsidR="000305DD" w:rsidRPr="00F24972" w:rsidRDefault="000305DD" w:rsidP="000305DD">
            <w:pPr>
              <w:pStyle w:val="TableText"/>
              <w:rPr>
                <w:rFonts w:cs="Arial"/>
              </w:rPr>
            </w:pPr>
            <w:r w:rsidRPr="00F24972">
              <w:rPr>
                <w:rFonts w:cs="Arial"/>
              </w:rPr>
              <w:t xml:space="preserve">Accrue workload when an individual unit is released from patient assignment. When </w:t>
            </w:r>
            <w:r w:rsidR="00AE3B37" w:rsidRPr="00F24972">
              <w:rPr>
                <w:rFonts w:cs="Arial"/>
              </w:rPr>
              <w:t>multiple units</w:t>
            </w:r>
            <w:r w:rsidRPr="00F24972">
              <w:rPr>
                <w:rFonts w:cs="Arial"/>
              </w:rPr>
              <w:t xml:space="preserve"> are selected, each unit accrues workload.</w:t>
            </w:r>
          </w:p>
        </w:tc>
      </w:tr>
      <w:tr w:rsidR="000305DD" w:rsidRPr="00F24972" w14:paraId="1436BF46" w14:textId="77777777" w:rsidTr="00FA340F">
        <w:trPr>
          <w:cantSplit/>
        </w:trPr>
        <w:tc>
          <w:tcPr>
            <w:tcW w:w="1733" w:type="dxa"/>
          </w:tcPr>
          <w:p w14:paraId="0A01B556" w14:textId="77777777" w:rsidR="000305DD" w:rsidRPr="00F24972" w:rsidRDefault="000305DD" w:rsidP="000305DD">
            <w:pPr>
              <w:pStyle w:val="TableText"/>
              <w:rPr>
                <w:rFonts w:cs="Arial"/>
              </w:rPr>
            </w:pPr>
            <w:r w:rsidRPr="00F24972">
              <w:rPr>
                <w:rFonts w:cs="Arial"/>
              </w:rPr>
              <w:t xml:space="preserve">Release unit from Quarantine </w:t>
            </w:r>
          </w:p>
        </w:tc>
        <w:tc>
          <w:tcPr>
            <w:tcW w:w="1592" w:type="dxa"/>
          </w:tcPr>
          <w:p w14:paraId="7E965697" w14:textId="77777777" w:rsidR="000305DD" w:rsidRPr="00F24972" w:rsidRDefault="000305DD" w:rsidP="000305DD">
            <w:pPr>
              <w:pStyle w:val="TableText"/>
              <w:rPr>
                <w:rFonts w:cs="Arial"/>
              </w:rPr>
            </w:pPr>
            <w:r>
              <w:rPr>
                <w:rFonts w:cs="Arial"/>
              </w:rPr>
              <w:t xml:space="preserve">Discard/Quarantine, Release Unit from Quarantine </w:t>
            </w:r>
          </w:p>
        </w:tc>
        <w:tc>
          <w:tcPr>
            <w:tcW w:w="1080" w:type="dxa"/>
          </w:tcPr>
          <w:p w14:paraId="6884E174" w14:textId="77777777" w:rsidR="000305DD" w:rsidRPr="00F24972" w:rsidRDefault="000305DD" w:rsidP="000305DD">
            <w:pPr>
              <w:pStyle w:val="TableText"/>
              <w:rPr>
                <w:rFonts w:cs="Arial"/>
              </w:rPr>
            </w:pPr>
            <w:r w:rsidRPr="00F24972">
              <w:rPr>
                <w:rFonts w:cs="Arial"/>
              </w:rPr>
              <w:t>Positive</w:t>
            </w:r>
          </w:p>
        </w:tc>
        <w:tc>
          <w:tcPr>
            <w:tcW w:w="900" w:type="dxa"/>
          </w:tcPr>
          <w:p w14:paraId="4CCA100F" w14:textId="77777777" w:rsidR="000305DD" w:rsidRPr="00F24972" w:rsidRDefault="000305DD" w:rsidP="000305DD">
            <w:pPr>
              <w:pStyle w:val="TableText"/>
              <w:jc w:val="center"/>
              <w:rPr>
                <w:rFonts w:cs="Arial"/>
              </w:rPr>
            </w:pPr>
            <w:r w:rsidRPr="00F24972">
              <w:rPr>
                <w:rFonts w:cs="Arial"/>
              </w:rPr>
              <w:t>U</w:t>
            </w:r>
          </w:p>
        </w:tc>
        <w:tc>
          <w:tcPr>
            <w:tcW w:w="4950" w:type="dxa"/>
          </w:tcPr>
          <w:p w14:paraId="7ED6DF05" w14:textId="77777777" w:rsidR="000305DD" w:rsidRPr="00F24972" w:rsidRDefault="000305DD" w:rsidP="000305DD">
            <w:pPr>
              <w:pStyle w:val="TableText"/>
              <w:rPr>
                <w:rFonts w:cs="Arial"/>
              </w:rPr>
            </w:pPr>
            <w:r w:rsidRPr="00F24972">
              <w:rPr>
                <w:rFonts w:cs="Arial"/>
              </w:rPr>
              <w:t>Accrue workload when a unit is released from quarantine. When a batch of units is selected, each unit accrues workload.</w:t>
            </w:r>
          </w:p>
        </w:tc>
      </w:tr>
      <w:tr w:rsidR="000305DD" w:rsidRPr="00F24972" w14:paraId="2F91DEEB" w14:textId="77777777" w:rsidTr="00FA340F">
        <w:trPr>
          <w:cantSplit/>
        </w:trPr>
        <w:tc>
          <w:tcPr>
            <w:tcW w:w="1733" w:type="dxa"/>
            <w:tcBorders>
              <w:top w:val="single" w:sz="4" w:space="0" w:color="auto"/>
              <w:left w:val="single" w:sz="4" w:space="0" w:color="auto"/>
              <w:bottom w:val="single" w:sz="4" w:space="0" w:color="auto"/>
              <w:right w:val="single" w:sz="4" w:space="0" w:color="auto"/>
            </w:tcBorders>
          </w:tcPr>
          <w:p w14:paraId="1354AF08" w14:textId="77777777" w:rsidR="000305DD" w:rsidRPr="00F24972" w:rsidRDefault="000305DD" w:rsidP="000305DD">
            <w:pPr>
              <w:pStyle w:val="TableText"/>
              <w:rPr>
                <w:rFonts w:cs="Arial"/>
              </w:rPr>
            </w:pPr>
            <w:r w:rsidRPr="00F24972">
              <w:rPr>
                <w:rFonts w:cs="Arial"/>
              </w:rPr>
              <w:t>Return Issued unit</w:t>
            </w:r>
          </w:p>
        </w:tc>
        <w:tc>
          <w:tcPr>
            <w:tcW w:w="1592" w:type="dxa"/>
            <w:tcBorders>
              <w:top w:val="single" w:sz="4" w:space="0" w:color="auto"/>
              <w:left w:val="single" w:sz="4" w:space="0" w:color="auto"/>
              <w:bottom w:val="single" w:sz="4" w:space="0" w:color="auto"/>
              <w:right w:val="single" w:sz="4" w:space="0" w:color="auto"/>
            </w:tcBorders>
          </w:tcPr>
          <w:p w14:paraId="32CB8E23" w14:textId="77777777" w:rsidR="000305DD" w:rsidRPr="00F24972" w:rsidRDefault="000305DD" w:rsidP="000305DD">
            <w:pPr>
              <w:pStyle w:val="TableText"/>
              <w:rPr>
                <w:rFonts w:cs="Arial"/>
              </w:rPr>
            </w:pPr>
            <w:r>
              <w:rPr>
                <w:rFonts w:cs="Arial"/>
              </w:rPr>
              <w:t>Return Issued unit to Inventory</w:t>
            </w:r>
          </w:p>
        </w:tc>
        <w:tc>
          <w:tcPr>
            <w:tcW w:w="1080" w:type="dxa"/>
            <w:tcBorders>
              <w:top w:val="single" w:sz="4" w:space="0" w:color="auto"/>
              <w:left w:val="single" w:sz="4" w:space="0" w:color="auto"/>
              <w:bottom w:val="single" w:sz="4" w:space="0" w:color="auto"/>
              <w:right w:val="single" w:sz="4" w:space="0" w:color="auto"/>
            </w:tcBorders>
          </w:tcPr>
          <w:p w14:paraId="4618B273" w14:textId="77777777" w:rsidR="000305DD" w:rsidRPr="00F24972" w:rsidRDefault="000305DD" w:rsidP="000305DD">
            <w:pPr>
              <w:pStyle w:val="TableText"/>
              <w:rPr>
                <w:rFonts w:cs="Arial"/>
              </w:rPr>
            </w:pPr>
            <w:r w:rsidRPr="00F24972">
              <w:rPr>
                <w:rFonts w:cs="Arial"/>
              </w:rPr>
              <w:t>Positive</w:t>
            </w:r>
          </w:p>
        </w:tc>
        <w:tc>
          <w:tcPr>
            <w:tcW w:w="900" w:type="dxa"/>
            <w:tcBorders>
              <w:top w:val="single" w:sz="4" w:space="0" w:color="auto"/>
              <w:left w:val="single" w:sz="4" w:space="0" w:color="auto"/>
              <w:bottom w:val="single" w:sz="4" w:space="0" w:color="auto"/>
              <w:right w:val="single" w:sz="4" w:space="0" w:color="auto"/>
            </w:tcBorders>
          </w:tcPr>
          <w:p w14:paraId="3C82C889" w14:textId="77777777" w:rsidR="000305DD" w:rsidRPr="00F24972" w:rsidRDefault="000305DD" w:rsidP="000305DD">
            <w:pPr>
              <w:pStyle w:val="TableText"/>
              <w:jc w:val="center"/>
              <w:rPr>
                <w:rFonts w:cs="Arial"/>
              </w:rPr>
            </w:pPr>
            <w:r>
              <w:rPr>
                <w:rFonts w:cs="Arial"/>
              </w:rPr>
              <w:t>U</w:t>
            </w:r>
          </w:p>
        </w:tc>
        <w:tc>
          <w:tcPr>
            <w:tcW w:w="4950" w:type="dxa"/>
            <w:tcBorders>
              <w:top w:val="single" w:sz="4" w:space="0" w:color="auto"/>
              <w:left w:val="single" w:sz="4" w:space="0" w:color="auto"/>
              <w:bottom w:val="single" w:sz="4" w:space="0" w:color="auto"/>
              <w:right w:val="single" w:sz="4" w:space="0" w:color="auto"/>
            </w:tcBorders>
          </w:tcPr>
          <w:p w14:paraId="0053F2AF" w14:textId="77777777" w:rsidR="000305DD" w:rsidRPr="00F24972" w:rsidRDefault="000305DD" w:rsidP="000305DD">
            <w:pPr>
              <w:pStyle w:val="TableText"/>
              <w:rPr>
                <w:rFonts w:cs="Arial"/>
              </w:rPr>
            </w:pPr>
            <w:r w:rsidRPr="00F24972">
              <w:rPr>
                <w:rFonts w:cs="Arial"/>
              </w:rPr>
              <w:t xml:space="preserve">Accrue workload when a unit is returned from issue status. </w:t>
            </w:r>
          </w:p>
        </w:tc>
      </w:tr>
      <w:tr w:rsidR="000305DD" w:rsidRPr="00F24972" w14:paraId="3A4DD01A" w14:textId="77777777" w:rsidTr="00FA340F">
        <w:trPr>
          <w:cantSplit/>
          <w:trHeight w:val="1970"/>
        </w:trPr>
        <w:tc>
          <w:tcPr>
            <w:tcW w:w="1733" w:type="dxa"/>
            <w:vMerge w:val="restart"/>
          </w:tcPr>
          <w:p w14:paraId="73E3EF6F" w14:textId="77777777" w:rsidR="000305DD" w:rsidRPr="00F24972" w:rsidRDefault="000305DD" w:rsidP="000305DD">
            <w:pPr>
              <w:pStyle w:val="TableText"/>
              <w:rPr>
                <w:rFonts w:cs="Arial"/>
              </w:rPr>
            </w:pPr>
            <w:r w:rsidRPr="00F24972">
              <w:rPr>
                <w:rFonts w:cs="Arial"/>
              </w:rPr>
              <w:t>Thaw/pool Cryo</w:t>
            </w:r>
          </w:p>
        </w:tc>
        <w:tc>
          <w:tcPr>
            <w:tcW w:w="1592" w:type="dxa"/>
          </w:tcPr>
          <w:p w14:paraId="0A655A08" w14:textId="77777777" w:rsidR="000305DD" w:rsidRPr="00F24972" w:rsidRDefault="000305DD" w:rsidP="000305DD">
            <w:pPr>
              <w:pStyle w:val="TableText"/>
              <w:rPr>
                <w:rFonts w:cs="Arial"/>
              </w:rPr>
            </w:pPr>
            <w:r>
              <w:rPr>
                <w:rFonts w:cs="Arial"/>
              </w:rPr>
              <w:t>Modify Unit, Thaw/Pool</w:t>
            </w:r>
          </w:p>
        </w:tc>
        <w:tc>
          <w:tcPr>
            <w:tcW w:w="1080" w:type="dxa"/>
          </w:tcPr>
          <w:p w14:paraId="6D3B9D2D" w14:textId="77777777" w:rsidR="000305DD" w:rsidRPr="00F24972" w:rsidRDefault="000305DD" w:rsidP="000305DD">
            <w:pPr>
              <w:pStyle w:val="TableText"/>
              <w:rPr>
                <w:rFonts w:cs="Arial"/>
              </w:rPr>
            </w:pPr>
            <w:r w:rsidRPr="00F24972">
              <w:rPr>
                <w:rFonts w:cs="Arial"/>
              </w:rPr>
              <w:t>Positive</w:t>
            </w:r>
          </w:p>
        </w:tc>
        <w:tc>
          <w:tcPr>
            <w:tcW w:w="900" w:type="dxa"/>
          </w:tcPr>
          <w:p w14:paraId="2309B100" w14:textId="77777777" w:rsidR="000305DD" w:rsidRPr="00F24972" w:rsidRDefault="000305DD" w:rsidP="000305DD">
            <w:pPr>
              <w:pStyle w:val="TableText"/>
              <w:jc w:val="center"/>
              <w:rPr>
                <w:rFonts w:cs="Arial"/>
              </w:rPr>
            </w:pPr>
            <w:r w:rsidRPr="00F24972">
              <w:rPr>
                <w:rFonts w:cs="Arial"/>
              </w:rPr>
              <w:t>U</w:t>
            </w:r>
          </w:p>
        </w:tc>
        <w:tc>
          <w:tcPr>
            <w:tcW w:w="4950" w:type="dxa"/>
          </w:tcPr>
          <w:p w14:paraId="45D804F9" w14:textId="77777777" w:rsidR="000305DD" w:rsidRPr="00F24972" w:rsidRDefault="000305DD" w:rsidP="000305DD">
            <w:pPr>
              <w:pStyle w:val="TableText"/>
              <w:rPr>
                <w:rFonts w:cs="Arial"/>
              </w:rPr>
            </w:pPr>
            <w:r w:rsidRPr="00F24972">
              <w:rPr>
                <w:rFonts w:cs="Arial"/>
              </w:rPr>
              <w:t>Accrue workload when an individual unit modification of Thaw/Pool Cryo. A single workload event is recorded regardless of the number of units included in the pooled unit.</w:t>
            </w:r>
          </w:p>
          <w:p w14:paraId="0B43923C" w14:textId="77777777" w:rsidR="000305DD" w:rsidRPr="00F24972" w:rsidRDefault="000305DD" w:rsidP="000305DD">
            <w:pPr>
              <w:pStyle w:val="TableText"/>
              <w:rPr>
                <w:rFonts w:cs="Arial"/>
                <w:i/>
              </w:rPr>
            </w:pPr>
            <w:r w:rsidRPr="00F24972">
              <w:rPr>
                <w:i/>
                <w:iCs/>
              </w:rPr>
              <w:t>Note: Workload is not accrued when a patient assignment is processed and VBECS releases all other patient assignments. Workload is not accrued when VBECS is required to quarantine the unit.</w:t>
            </w:r>
          </w:p>
        </w:tc>
      </w:tr>
      <w:tr w:rsidR="000305DD" w:rsidRPr="00F24972" w14:paraId="417CBCE4" w14:textId="77777777" w:rsidTr="00FA340F">
        <w:trPr>
          <w:cantSplit/>
        </w:trPr>
        <w:tc>
          <w:tcPr>
            <w:tcW w:w="1733" w:type="dxa"/>
            <w:vMerge/>
          </w:tcPr>
          <w:p w14:paraId="56355A26" w14:textId="77777777" w:rsidR="000305DD" w:rsidRPr="00F24972" w:rsidRDefault="000305DD" w:rsidP="000305DD">
            <w:pPr>
              <w:pStyle w:val="TableText"/>
              <w:rPr>
                <w:rFonts w:cs="Arial"/>
              </w:rPr>
            </w:pPr>
          </w:p>
        </w:tc>
        <w:tc>
          <w:tcPr>
            <w:tcW w:w="1592" w:type="dxa"/>
          </w:tcPr>
          <w:p w14:paraId="57D04270" w14:textId="0A8DF8E7" w:rsidR="000305DD" w:rsidRPr="00F24972" w:rsidRDefault="000305DD" w:rsidP="000305DD">
            <w:pPr>
              <w:pStyle w:val="TableText"/>
              <w:rPr>
                <w:rFonts w:cs="Arial"/>
              </w:rPr>
            </w:pPr>
            <w:r>
              <w:rPr>
                <w:rFonts w:cs="Arial"/>
              </w:rPr>
              <w:t xml:space="preserve">Edit, Unit, Inactivate Unit (that was in </w:t>
            </w:r>
            <w:r w:rsidR="00AE3B37">
              <w:rPr>
                <w:rFonts w:cs="Arial"/>
              </w:rPr>
              <w:t>a Thaw</w:t>
            </w:r>
            <w:r>
              <w:rPr>
                <w:rFonts w:cs="Arial"/>
              </w:rPr>
              <w:t>/Pool)</w:t>
            </w:r>
          </w:p>
        </w:tc>
        <w:tc>
          <w:tcPr>
            <w:tcW w:w="1080" w:type="dxa"/>
          </w:tcPr>
          <w:p w14:paraId="6B91AC56" w14:textId="77777777" w:rsidR="000305DD" w:rsidRPr="00F24972" w:rsidRDefault="000305DD" w:rsidP="000305DD">
            <w:pPr>
              <w:pStyle w:val="TableText"/>
              <w:rPr>
                <w:rFonts w:cs="Arial"/>
                <w:b/>
              </w:rPr>
            </w:pPr>
            <w:r w:rsidRPr="00F24972">
              <w:rPr>
                <w:rFonts w:cs="Arial"/>
                <w:b/>
              </w:rPr>
              <w:t>Negative</w:t>
            </w:r>
          </w:p>
        </w:tc>
        <w:tc>
          <w:tcPr>
            <w:tcW w:w="900" w:type="dxa"/>
          </w:tcPr>
          <w:p w14:paraId="4E8D3D6D" w14:textId="77777777" w:rsidR="000305DD" w:rsidRPr="00F24972" w:rsidRDefault="000305DD" w:rsidP="000305DD">
            <w:pPr>
              <w:pStyle w:val="TableText"/>
              <w:jc w:val="center"/>
              <w:rPr>
                <w:rFonts w:cs="Arial"/>
              </w:rPr>
            </w:pPr>
            <w:r w:rsidRPr="00F24972">
              <w:rPr>
                <w:rFonts w:cs="Arial"/>
              </w:rPr>
              <w:t>U</w:t>
            </w:r>
          </w:p>
        </w:tc>
        <w:tc>
          <w:tcPr>
            <w:tcW w:w="4950" w:type="dxa"/>
          </w:tcPr>
          <w:p w14:paraId="1B7A64E1" w14:textId="77777777" w:rsidR="000305DD" w:rsidRPr="00F24972" w:rsidRDefault="000305DD" w:rsidP="000305DD">
            <w:pPr>
              <w:pStyle w:val="TableText"/>
              <w:rPr>
                <w:rFonts w:cs="Arial"/>
              </w:rPr>
            </w:pPr>
            <w:r w:rsidRPr="00F24972">
              <w:rPr>
                <w:rFonts w:cs="Arial"/>
              </w:rPr>
              <w:t>Accrue workload when a unit is inactivated (unit record inactivated) when the pooled unit was created in VBECS.</w:t>
            </w:r>
            <w:r>
              <w:rPr>
                <w:rFonts w:cs="Arial"/>
              </w:rPr>
              <w:t xml:space="preserve"> </w:t>
            </w:r>
          </w:p>
        </w:tc>
      </w:tr>
      <w:tr w:rsidR="000305DD" w:rsidRPr="00F24972" w14:paraId="306E1FD4" w14:textId="77777777" w:rsidTr="00FA340F">
        <w:trPr>
          <w:cantSplit/>
        </w:trPr>
        <w:tc>
          <w:tcPr>
            <w:tcW w:w="1733" w:type="dxa"/>
            <w:vMerge/>
          </w:tcPr>
          <w:p w14:paraId="696756A9" w14:textId="77777777" w:rsidR="000305DD" w:rsidRPr="00F24972" w:rsidRDefault="000305DD" w:rsidP="000305DD">
            <w:pPr>
              <w:pStyle w:val="TableText"/>
              <w:rPr>
                <w:rFonts w:cs="Arial"/>
              </w:rPr>
            </w:pPr>
          </w:p>
        </w:tc>
        <w:tc>
          <w:tcPr>
            <w:tcW w:w="1592" w:type="dxa"/>
          </w:tcPr>
          <w:p w14:paraId="3C747773" w14:textId="77777777" w:rsidR="000305DD" w:rsidRPr="00F24972" w:rsidRDefault="000305DD" w:rsidP="000305DD">
            <w:pPr>
              <w:pStyle w:val="TableText"/>
              <w:rPr>
                <w:rFonts w:cs="Arial"/>
              </w:rPr>
            </w:pPr>
            <w:r>
              <w:rPr>
                <w:rFonts w:cs="Arial"/>
              </w:rPr>
              <w:t>Invalidate Unit status, Thaw/Pool</w:t>
            </w:r>
          </w:p>
        </w:tc>
        <w:tc>
          <w:tcPr>
            <w:tcW w:w="1080" w:type="dxa"/>
          </w:tcPr>
          <w:p w14:paraId="5B173963" w14:textId="77777777" w:rsidR="000305DD" w:rsidRPr="00F24972" w:rsidRDefault="000305DD" w:rsidP="000305DD">
            <w:pPr>
              <w:pStyle w:val="TableText"/>
              <w:rPr>
                <w:rFonts w:cs="Arial"/>
                <w:b/>
              </w:rPr>
            </w:pPr>
            <w:r w:rsidRPr="00F24972">
              <w:rPr>
                <w:rFonts w:cs="Arial"/>
                <w:b/>
              </w:rPr>
              <w:t>None</w:t>
            </w:r>
          </w:p>
        </w:tc>
        <w:tc>
          <w:tcPr>
            <w:tcW w:w="900" w:type="dxa"/>
          </w:tcPr>
          <w:p w14:paraId="2501772A" w14:textId="77777777" w:rsidR="000305DD" w:rsidRPr="00F24972" w:rsidRDefault="000305DD" w:rsidP="000305DD">
            <w:pPr>
              <w:pStyle w:val="TableText"/>
              <w:jc w:val="center"/>
              <w:rPr>
                <w:rFonts w:cs="Arial"/>
              </w:rPr>
            </w:pPr>
            <w:r w:rsidRPr="00F24972">
              <w:rPr>
                <w:rFonts w:cs="Arial"/>
              </w:rPr>
              <w:t>N/A</w:t>
            </w:r>
          </w:p>
        </w:tc>
        <w:tc>
          <w:tcPr>
            <w:tcW w:w="4950" w:type="dxa"/>
          </w:tcPr>
          <w:p w14:paraId="444544D3" w14:textId="77777777" w:rsidR="000305DD" w:rsidRPr="00F24972" w:rsidRDefault="000305DD" w:rsidP="000305DD">
            <w:pPr>
              <w:pStyle w:val="TableText"/>
              <w:rPr>
                <w:rFonts w:cs="Arial"/>
              </w:rPr>
            </w:pPr>
            <w:r w:rsidRPr="00F24972">
              <w:rPr>
                <w:rFonts w:cs="Arial"/>
              </w:rPr>
              <w:t xml:space="preserve">No effect on workload accrual when a unit is removed from a modified status that was included in a Thaw/pool Cryo pool. </w:t>
            </w:r>
          </w:p>
        </w:tc>
      </w:tr>
      <w:tr w:rsidR="000305DD" w:rsidRPr="00F24972" w14:paraId="2F7EE673" w14:textId="77777777" w:rsidTr="00FA340F">
        <w:trPr>
          <w:cantSplit/>
        </w:trPr>
        <w:tc>
          <w:tcPr>
            <w:tcW w:w="1733" w:type="dxa"/>
            <w:vMerge w:val="restart"/>
            <w:tcBorders>
              <w:top w:val="single" w:sz="4" w:space="0" w:color="auto"/>
              <w:left w:val="single" w:sz="4" w:space="0" w:color="auto"/>
              <w:right w:val="single" w:sz="4" w:space="0" w:color="auto"/>
            </w:tcBorders>
          </w:tcPr>
          <w:p w14:paraId="0BC7E54E" w14:textId="77777777" w:rsidR="000305DD" w:rsidRPr="00F24972" w:rsidRDefault="000305DD" w:rsidP="000305DD">
            <w:pPr>
              <w:pStyle w:val="TableText"/>
              <w:rPr>
                <w:rFonts w:cs="Arial"/>
              </w:rPr>
            </w:pPr>
            <w:r w:rsidRPr="00F24972">
              <w:rPr>
                <w:rFonts w:cs="Arial"/>
              </w:rPr>
              <w:t>Transfuse Unit</w:t>
            </w:r>
          </w:p>
        </w:tc>
        <w:tc>
          <w:tcPr>
            <w:tcW w:w="1592" w:type="dxa"/>
            <w:tcBorders>
              <w:top w:val="single" w:sz="4" w:space="0" w:color="auto"/>
              <w:left w:val="single" w:sz="4" w:space="0" w:color="auto"/>
              <w:bottom w:val="single" w:sz="4" w:space="0" w:color="auto"/>
              <w:right w:val="single" w:sz="4" w:space="0" w:color="auto"/>
            </w:tcBorders>
          </w:tcPr>
          <w:p w14:paraId="0EB49A49" w14:textId="77777777" w:rsidR="000305DD" w:rsidRPr="00F24972" w:rsidRDefault="000305DD" w:rsidP="000305DD">
            <w:pPr>
              <w:pStyle w:val="TableText"/>
              <w:rPr>
                <w:rFonts w:cs="Arial"/>
              </w:rPr>
            </w:pPr>
            <w:r>
              <w:rPr>
                <w:rFonts w:cs="Arial"/>
              </w:rPr>
              <w:t>Enter Post Transfusion Data</w:t>
            </w:r>
          </w:p>
        </w:tc>
        <w:tc>
          <w:tcPr>
            <w:tcW w:w="1080" w:type="dxa"/>
            <w:tcBorders>
              <w:top w:val="single" w:sz="4" w:space="0" w:color="auto"/>
              <w:left w:val="single" w:sz="4" w:space="0" w:color="auto"/>
              <w:bottom w:val="single" w:sz="4" w:space="0" w:color="auto"/>
              <w:right w:val="single" w:sz="4" w:space="0" w:color="auto"/>
            </w:tcBorders>
          </w:tcPr>
          <w:p w14:paraId="418F97CB" w14:textId="77777777" w:rsidR="000305DD" w:rsidRPr="00F24972" w:rsidRDefault="000305DD" w:rsidP="000305DD">
            <w:pPr>
              <w:pStyle w:val="TableText"/>
              <w:rPr>
                <w:rFonts w:cs="Arial"/>
              </w:rPr>
            </w:pPr>
            <w:r w:rsidRPr="00F24972">
              <w:rPr>
                <w:rFonts w:cs="Arial"/>
              </w:rPr>
              <w:t>Positive</w:t>
            </w:r>
          </w:p>
        </w:tc>
        <w:tc>
          <w:tcPr>
            <w:tcW w:w="900" w:type="dxa"/>
            <w:tcBorders>
              <w:top w:val="single" w:sz="4" w:space="0" w:color="auto"/>
              <w:left w:val="single" w:sz="4" w:space="0" w:color="auto"/>
              <w:bottom w:val="single" w:sz="4" w:space="0" w:color="auto"/>
              <w:right w:val="single" w:sz="4" w:space="0" w:color="auto"/>
            </w:tcBorders>
          </w:tcPr>
          <w:p w14:paraId="3CBF2635" w14:textId="77777777" w:rsidR="000305DD" w:rsidRPr="00F24972" w:rsidRDefault="000305DD" w:rsidP="000305DD">
            <w:pPr>
              <w:pStyle w:val="TableText"/>
              <w:jc w:val="center"/>
              <w:rPr>
                <w:rFonts w:cs="Arial"/>
              </w:rPr>
            </w:pPr>
            <w:r w:rsidRPr="00F24972">
              <w:rPr>
                <w:rFonts w:cs="Arial"/>
              </w:rPr>
              <w:t>U</w:t>
            </w:r>
          </w:p>
        </w:tc>
        <w:tc>
          <w:tcPr>
            <w:tcW w:w="4950" w:type="dxa"/>
            <w:tcBorders>
              <w:top w:val="single" w:sz="4" w:space="0" w:color="auto"/>
              <w:left w:val="single" w:sz="4" w:space="0" w:color="auto"/>
              <w:bottom w:val="single" w:sz="4" w:space="0" w:color="auto"/>
              <w:right w:val="single" w:sz="4" w:space="0" w:color="auto"/>
            </w:tcBorders>
          </w:tcPr>
          <w:p w14:paraId="0C298278" w14:textId="77777777" w:rsidR="000305DD" w:rsidRPr="00F24972" w:rsidRDefault="000305DD" w:rsidP="000305DD">
            <w:pPr>
              <w:pStyle w:val="TableText"/>
              <w:rPr>
                <w:rFonts w:cs="Arial"/>
                <w:i/>
              </w:rPr>
            </w:pPr>
            <w:r w:rsidRPr="00F24972">
              <w:rPr>
                <w:rFonts w:cs="Arial"/>
              </w:rPr>
              <w:t xml:space="preserve">Accrue workload when an individual blood unit’s status is updated to transfused by </w:t>
            </w:r>
            <w:r>
              <w:rPr>
                <w:rFonts w:cs="Arial"/>
              </w:rPr>
              <w:t>Enter Post-Transfusion Details</w:t>
            </w:r>
            <w:r w:rsidRPr="00F24972">
              <w:rPr>
                <w:rFonts w:cs="Arial"/>
              </w:rPr>
              <w:t xml:space="preserve"> basic flow or Alt Flow A. </w:t>
            </w:r>
          </w:p>
        </w:tc>
      </w:tr>
      <w:tr w:rsidR="000305DD" w:rsidRPr="00F24972" w14:paraId="75608F7C" w14:textId="77777777" w:rsidTr="00FA340F">
        <w:trPr>
          <w:cantSplit/>
        </w:trPr>
        <w:tc>
          <w:tcPr>
            <w:tcW w:w="1733" w:type="dxa"/>
            <w:vMerge/>
            <w:tcBorders>
              <w:left w:val="single" w:sz="4" w:space="0" w:color="auto"/>
              <w:right w:val="single" w:sz="4" w:space="0" w:color="auto"/>
            </w:tcBorders>
          </w:tcPr>
          <w:p w14:paraId="325B8DBD" w14:textId="77777777" w:rsidR="000305DD" w:rsidRPr="00F24972" w:rsidRDefault="000305DD" w:rsidP="000305DD">
            <w:pPr>
              <w:pStyle w:val="TableText"/>
              <w:rPr>
                <w:rFonts w:cs="Arial"/>
              </w:rPr>
            </w:pPr>
          </w:p>
        </w:tc>
        <w:tc>
          <w:tcPr>
            <w:tcW w:w="1592" w:type="dxa"/>
            <w:tcBorders>
              <w:left w:val="single" w:sz="4" w:space="0" w:color="auto"/>
            </w:tcBorders>
          </w:tcPr>
          <w:p w14:paraId="7D595BD4" w14:textId="77777777" w:rsidR="000305DD" w:rsidRPr="00F24972" w:rsidRDefault="000305DD" w:rsidP="000305DD">
            <w:pPr>
              <w:pStyle w:val="TableText"/>
              <w:rPr>
                <w:rFonts w:cs="Arial"/>
              </w:rPr>
            </w:pPr>
            <w:r>
              <w:rPr>
                <w:rFonts w:cs="Arial"/>
              </w:rPr>
              <w:t>Invalidate Unit Status, Transfused</w:t>
            </w:r>
          </w:p>
        </w:tc>
        <w:tc>
          <w:tcPr>
            <w:tcW w:w="1080" w:type="dxa"/>
          </w:tcPr>
          <w:p w14:paraId="6824E1DA" w14:textId="77777777" w:rsidR="000305DD" w:rsidRPr="00F24972" w:rsidRDefault="000305DD" w:rsidP="000305DD">
            <w:pPr>
              <w:pStyle w:val="TableText"/>
              <w:rPr>
                <w:rFonts w:cs="Arial"/>
                <w:b/>
              </w:rPr>
            </w:pPr>
            <w:r w:rsidRPr="00F24972">
              <w:rPr>
                <w:rFonts w:cs="Arial"/>
                <w:b/>
              </w:rPr>
              <w:t>Negative</w:t>
            </w:r>
          </w:p>
        </w:tc>
        <w:tc>
          <w:tcPr>
            <w:tcW w:w="900" w:type="dxa"/>
          </w:tcPr>
          <w:p w14:paraId="69F9628D" w14:textId="77777777" w:rsidR="000305DD" w:rsidRPr="00F24972" w:rsidRDefault="000305DD" w:rsidP="000305DD">
            <w:pPr>
              <w:pStyle w:val="TableText"/>
              <w:jc w:val="center"/>
              <w:rPr>
                <w:rFonts w:cs="Arial"/>
              </w:rPr>
            </w:pPr>
            <w:r w:rsidRPr="00F24972">
              <w:rPr>
                <w:rFonts w:cs="Arial"/>
              </w:rPr>
              <w:t>U</w:t>
            </w:r>
          </w:p>
        </w:tc>
        <w:tc>
          <w:tcPr>
            <w:tcW w:w="4950" w:type="dxa"/>
          </w:tcPr>
          <w:p w14:paraId="1F46ACD1" w14:textId="77777777" w:rsidR="000305DD" w:rsidRPr="00F24972" w:rsidRDefault="000305DD" w:rsidP="000305DD">
            <w:pPr>
              <w:pStyle w:val="TableText"/>
              <w:rPr>
                <w:rFonts w:cs="Arial"/>
              </w:rPr>
            </w:pPr>
            <w:r w:rsidRPr="00F24972">
              <w:rPr>
                <w:rFonts w:cs="Arial"/>
              </w:rPr>
              <w:t>An individual blood unit’s status is invalided when the unit was in a status of transfused.</w:t>
            </w:r>
          </w:p>
        </w:tc>
      </w:tr>
      <w:tr w:rsidR="000305DD" w:rsidRPr="00F24972" w14:paraId="48EA0690" w14:textId="77777777" w:rsidTr="00FA340F">
        <w:trPr>
          <w:cantSplit/>
        </w:trPr>
        <w:tc>
          <w:tcPr>
            <w:tcW w:w="1733" w:type="dxa"/>
            <w:vMerge w:val="restart"/>
          </w:tcPr>
          <w:p w14:paraId="146D85C8" w14:textId="77777777" w:rsidR="000305DD" w:rsidRPr="00F24972" w:rsidRDefault="000305DD" w:rsidP="000305DD">
            <w:pPr>
              <w:pStyle w:val="TableText"/>
              <w:rPr>
                <w:rFonts w:cs="Arial"/>
              </w:rPr>
            </w:pPr>
            <w:r w:rsidRPr="00F24972">
              <w:rPr>
                <w:rFonts w:cs="Arial"/>
              </w:rPr>
              <w:t>Transfusion Reaction Investigation</w:t>
            </w:r>
          </w:p>
        </w:tc>
        <w:tc>
          <w:tcPr>
            <w:tcW w:w="1592" w:type="dxa"/>
            <w:tcBorders>
              <w:bottom w:val="single" w:sz="4" w:space="0" w:color="auto"/>
            </w:tcBorders>
          </w:tcPr>
          <w:p w14:paraId="48B1F557" w14:textId="77777777" w:rsidR="000305DD" w:rsidRPr="00F24972" w:rsidRDefault="000305DD" w:rsidP="000305DD">
            <w:pPr>
              <w:pStyle w:val="TableText"/>
              <w:rPr>
                <w:rFonts w:cs="Arial"/>
              </w:rPr>
            </w:pPr>
            <w:r>
              <w:rPr>
                <w:rFonts w:cs="Arial"/>
              </w:rPr>
              <w:t>Patient Testing, TRW</w:t>
            </w:r>
          </w:p>
          <w:p w14:paraId="6E1DE079" w14:textId="77777777" w:rsidR="000305DD" w:rsidRPr="00F24972" w:rsidRDefault="000305DD" w:rsidP="000305DD">
            <w:pPr>
              <w:pStyle w:val="TableText"/>
              <w:rPr>
                <w:rFonts w:cs="Arial"/>
              </w:rPr>
            </w:pPr>
          </w:p>
          <w:p w14:paraId="0B3961F2" w14:textId="77777777" w:rsidR="000305DD" w:rsidRPr="00F24972" w:rsidRDefault="000305DD" w:rsidP="000305DD">
            <w:pPr>
              <w:pStyle w:val="TableText"/>
              <w:rPr>
                <w:rFonts w:cs="Arial"/>
              </w:rPr>
            </w:pPr>
          </w:p>
        </w:tc>
        <w:tc>
          <w:tcPr>
            <w:tcW w:w="1080" w:type="dxa"/>
            <w:tcBorders>
              <w:bottom w:val="single" w:sz="4" w:space="0" w:color="auto"/>
            </w:tcBorders>
          </w:tcPr>
          <w:p w14:paraId="336F2841" w14:textId="77777777" w:rsidR="000305DD" w:rsidRPr="00F24972" w:rsidRDefault="000305DD" w:rsidP="000305DD">
            <w:pPr>
              <w:pStyle w:val="TableText"/>
              <w:rPr>
                <w:rFonts w:cs="Arial"/>
              </w:rPr>
            </w:pPr>
            <w:r w:rsidRPr="00F24972">
              <w:rPr>
                <w:rFonts w:cs="Arial"/>
              </w:rPr>
              <w:t>Positive</w:t>
            </w:r>
          </w:p>
        </w:tc>
        <w:tc>
          <w:tcPr>
            <w:tcW w:w="900" w:type="dxa"/>
            <w:tcBorders>
              <w:bottom w:val="single" w:sz="4" w:space="0" w:color="auto"/>
            </w:tcBorders>
          </w:tcPr>
          <w:p w14:paraId="4A6806F3" w14:textId="77777777" w:rsidR="000305DD" w:rsidRPr="00F24972" w:rsidRDefault="000305DD" w:rsidP="000305DD">
            <w:pPr>
              <w:pStyle w:val="TableText"/>
              <w:jc w:val="center"/>
              <w:rPr>
                <w:rFonts w:cs="Arial"/>
              </w:rPr>
            </w:pPr>
            <w:r w:rsidRPr="00F24972">
              <w:rPr>
                <w:rFonts w:cs="Arial"/>
              </w:rPr>
              <w:t>P</w:t>
            </w:r>
          </w:p>
        </w:tc>
        <w:tc>
          <w:tcPr>
            <w:tcW w:w="4950" w:type="dxa"/>
            <w:tcBorders>
              <w:bottom w:val="single" w:sz="4" w:space="0" w:color="auto"/>
            </w:tcBorders>
          </w:tcPr>
          <w:p w14:paraId="13DF811B" w14:textId="77777777" w:rsidR="000305DD" w:rsidRPr="00F24972" w:rsidRDefault="000305DD" w:rsidP="000305DD">
            <w:pPr>
              <w:pStyle w:val="TableText"/>
              <w:rPr>
                <w:rFonts w:cs="Arial"/>
                <w:i/>
              </w:rPr>
            </w:pPr>
            <w:r w:rsidRPr="00F24972">
              <w:rPr>
                <w:rFonts w:cs="Arial"/>
              </w:rPr>
              <w:t xml:space="preserve">Accrue workload when a transfusion reaction investigation is saved by </w:t>
            </w:r>
            <w:r>
              <w:rPr>
                <w:rFonts w:cs="Arial"/>
              </w:rPr>
              <w:t>Record Transfusion Reaction Workup</w:t>
            </w:r>
            <w:r w:rsidRPr="00F24972">
              <w:rPr>
                <w:rFonts w:cs="Arial"/>
              </w:rPr>
              <w:t xml:space="preserve">. </w:t>
            </w:r>
            <w:r w:rsidRPr="00F24972">
              <w:rPr>
                <w:rFonts w:cs="Arial"/>
                <w:i/>
              </w:rPr>
              <w:t xml:space="preserve">This does </w:t>
            </w:r>
            <w:r w:rsidRPr="00F24972">
              <w:rPr>
                <w:rFonts w:cs="Arial"/>
              </w:rPr>
              <w:t>not</w:t>
            </w:r>
            <w:r w:rsidRPr="00F24972">
              <w:rPr>
                <w:rFonts w:cs="Arial"/>
                <w:i/>
              </w:rPr>
              <w:t xml:space="preserve"> include workload accrued by the optional TRW serologic testing.</w:t>
            </w:r>
          </w:p>
          <w:p w14:paraId="0068A0B6" w14:textId="77777777" w:rsidR="000305DD" w:rsidRPr="00F24972" w:rsidRDefault="000305DD" w:rsidP="000305DD">
            <w:pPr>
              <w:pStyle w:val="TableText"/>
              <w:rPr>
                <w:rFonts w:cs="Arial"/>
              </w:rPr>
            </w:pPr>
            <w:r w:rsidRPr="00F24972">
              <w:rPr>
                <w:rFonts w:cs="Arial"/>
              </w:rPr>
              <w:t xml:space="preserve">Note: The </w:t>
            </w:r>
            <w:r>
              <w:rPr>
                <w:rFonts w:cs="Arial"/>
              </w:rPr>
              <w:t>Division Workload Report</w:t>
            </w:r>
            <w:r w:rsidRPr="00F24972">
              <w:rPr>
                <w:rFonts w:cs="Arial"/>
              </w:rPr>
              <w:t xml:space="preserve"> workload report reports the sum of Workload Events recorded in </w:t>
            </w:r>
            <w:r>
              <w:rPr>
                <w:rFonts w:cs="Arial"/>
              </w:rPr>
              <w:t>Record Transfusion Reaction Workup</w:t>
            </w:r>
            <w:r w:rsidRPr="00F24972">
              <w:rPr>
                <w:rFonts w:cs="Arial"/>
              </w:rPr>
              <w:t xml:space="preserve"> for an individual TRW.</w:t>
            </w:r>
          </w:p>
        </w:tc>
      </w:tr>
      <w:tr w:rsidR="000305DD" w:rsidRPr="00F24972" w14:paraId="0A2ECA72" w14:textId="77777777" w:rsidTr="00FA340F">
        <w:trPr>
          <w:cantSplit/>
        </w:trPr>
        <w:tc>
          <w:tcPr>
            <w:tcW w:w="1733" w:type="dxa"/>
            <w:vMerge/>
            <w:tcBorders>
              <w:bottom w:val="single" w:sz="4" w:space="0" w:color="auto"/>
            </w:tcBorders>
          </w:tcPr>
          <w:p w14:paraId="550A8EBD" w14:textId="77777777" w:rsidR="000305DD" w:rsidRPr="00F24972" w:rsidRDefault="000305DD" w:rsidP="000305DD">
            <w:pPr>
              <w:pStyle w:val="TableText"/>
              <w:rPr>
                <w:rFonts w:cs="Arial"/>
              </w:rPr>
            </w:pPr>
          </w:p>
        </w:tc>
        <w:tc>
          <w:tcPr>
            <w:tcW w:w="1592" w:type="dxa"/>
            <w:tcBorders>
              <w:top w:val="single" w:sz="4" w:space="0" w:color="auto"/>
              <w:bottom w:val="single" w:sz="4" w:space="0" w:color="auto"/>
              <w:right w:val="single" w:sz="4" w:space="0" w:color="auto"/>
            </w:tcBorders>
          </w:tcPr>
          <w:p w14:paraId="1112DB61" w14:textId="77777777" w:rsidR="000305DD" w:rsidRPr="00F24972" w:rsidRDefault="000305DD" w:rsidP="000305DD">
            <w:pPr>
              <w:pStyle w:val="TableText"/>
              <w:rPr>
                <w:rFonts w:cs="Arial"/>
              </w:rPr>
            </w:pPr>
            <w:r>
              <w:rPr>
                <w:rFonts w:cs="Arial"/>
              </w:rPr>
              <w:t>Invalidate Patient Testing, TRW</w:t>
            </w:r>
          </w:p>
        </w:tc>
        <w:tc>
          <w:tcPr>
            <w:tcW w:w="1080" w:type="dxa"/>
            <w:tcBorders>
              <w:top w:val="single" w:sz="4" w:space="0" w:color="auto"/>
              <w:left w:val="single" w:sz="4" w:space="0" w:color="auto"/>
              <w:bottom w:val="single" w:sz="4" w:space="0" w:color="auto"/>
              <w:right w:val="single" w:sz="4" w:space="0" w:color="auto"/>
            </w:tcBorders>
          </w:tcPr>
          <w:p w14:paraId="1B76CF3D" w14:textId="77777777" w:rsidR="000305DD" w:rsidRPr="00F24972" w:rsidRDefault="000305DD" w:rsidP="000305DD">
            <w:pPr>
              <w:pStyle w:val="TableText"/>
              <w:rPr>
                <w:rFonts w:cs="Arial"/>
                <w:b/>
              </w:rPr>
            </w:pPr>
            <w:r w:rsidRPr="00F24972">
              <w:rPr>
                <w:rFonts w:cs="Arial"/>
                <w:b/>
              </w:rPr>
              <w:t>Negative</w:t>
            </w:r>
          </w:p>
        </w:tc>
        <w:tc>
          <w:tcPr>
            <w:tcW w:w="900" w:type="dxa"/>
            <w:tcBorders>
              <w:top w:val="single" w:sz="4" w:space="0" w:color="auto"/>
              <w:left w:val="single" w:sz="4" w:space="0" w:color="auto"/>
              <w:bottom w:val="single" w:sz="4" w:space="0" w:color="auto"/>
              <w:right w:val="single" w:sz="4" w:space="0" w:color="auto"/>
            </w:tcBorders>
          </w:tcPr>
          <w:p w14:paraId="37F91713" w14:textId="77777777" w:rsidR="000305DD" w:rsidRPr="00F24972" w:rsidRDefault="000305DD" w:rsidP="000305DD">
            <w:pPr>
              <w:pStyle w:val="TableText"/>
              <w:jc w:val="center"/>
              <w:rPr>
                <w:rFonts w:cs="Arial"/>
              </w:rPr>
            </w:pPr>
            <w:r w:rsidRPr="00F24972">
              <w:rPr>
                <w:rFonts w:cs="Arial"/>
              </w:rPr>
              <w:t>P</w:t>
            </w:r>
          </w:p>
        </w:tc>
        <w:tc>
          <w:tcPr>
            <w:tcW w:w="4950" w:type="dxa"/>
            <w:tcBorders>
              <w:top w:val="single" w:sz="4" w:space="0" w:color="auto"/>
              <w:left w:val="single" w:sz="4" w:space="0" w:color="auto"/>
              <w:bottom w:val="single" w:sz="4" w:space="0" w:color="auto"/>
              <w:right w:val="single" w:sz="4" w:space="0" w:color="auto"/>
            </w:tcBorders>
          </w:tcPr>
          <w:p w14:paraId="69F70B6B" w14:textId="77777777" w:rsidR="000305DD" w:rsidRPr="00F24972" w:rsidRDefault="000305DD" w:rsidP="000305DD">
            <w:pPr>
              <w:pStyle w:val="TableText"/>
              <w:rPr>
                <w:rFonts w:cs="Arial"/>
              </w:rPr>
            </w:pPr>
            <w:r w:rsidRPr="00F24972">
              <w:rPr>
                <w:rFonts w:cs="Arial"/>
              </w:rPr>
              <w:t xml:space="preserve">Accrue workload when a transfusion reaction investigation previously saved by </w:t>
            </w:r>
            <w:r>
              <w:rPr>
                <w:rFonts w:cs="Arial"/>
              </w:rPr>
              <w:t>Record Transfusion Reaction Workup</w:t>
            </w:r>
            <w:r w:rsidRPr="00F24972">
              <w:rPr>
                <w:rFonts w:cs="Arial"/>
              </w:rPr>
              <w:t xml:space="preserve"> is invalidated. The workload for the transfusion reaction, as well as all of the workload accrued by the optional TRW serologic testing (pre- and post-ABO/Rh, pre- and post-ABS, pre- and post-DAT) are invalidated, as included in selected TRW (</w:t>
            </w:r>
            <w:r>
              <w:rPr>
                <w:rFonts w:cs="Arial"/>
              </w:rPr>
              <w:t>Record Transfusion Reaction Workup</w:t>
            </w:r>
            <w:r w:rsidRPr="00F24972">
              <w:rPr>
                <w:rFonts w:cs="Arial"/>
              </w:rPr>
              <w:t>).</w:t>
            </w:r>
          </w:p>
          <w:p w14:paraId="457DE7B4" w14:textId="77777777" w:rsidR="000305DD" w:rsidRPr="00F24972" w:rsidRDefault="000305DD" w:rsidP="000305DD">
            <w:pPr>
              <w:pStyle w:val="TableText"/>
              <w:rPr>
                <w:rFonts w:cs="Arial"/>
              </w:rPr>
            </w:pPr>
            <w:r w:rsidRPr="00F24972">
              <w:rPr>
                <w:rFonts w:cs="Arial"/>
                <w:i/>
              </w:rPr>
              <w:t>Note: Any pre- or post-crossmatch tests performed as part of the TRW must be invalidated individually.</w:t>
            </w:r>
          </w:p>
        </w:tc>
      </w:tr>
      <w:tr w:rsidR="000305DD" w:rsidRPr="00F24972" w14:paraId="109B8094" w14:textId="77777777" w:rsidTr="00FA340F">
        <w:trPr>
          <w:cantSplit/>
        </w:trPr>
        <w:tc>
          <w:tcPr>
            <w:tcW w:w="1733" w:type="dxa"/>
            <w:vMerge w:val="restart"/>
          </w:tcPr>
          <w:p w14:paraId="40193A07" w14:textId="77777777" w:rsidR="000305DD" w:rsidRPr="00F24972" w:rsidRDefault="000305DD" w:rsidP="000305DD">
            <w:pPr>
              <w:pStyle w:val="TableText"/>
              <w:rPr>
                <w:rFonts w:cs="Arial"/>
              </w:rPr>
            </w:pPr>
            <w:r w:rsidRPr="00F24972">
              <w:rPr>
                <w:rFonts w:cs="Arial"/>
              </w:rPr>
              <w:t>Unit Antigen phenotyping, Multiple Test phases</w:t>
            </w:r>
          </w:p>
        </w:tc>
        <w:tc>
          <w:tcPr>
            <w:tcW w:w="1592" w:type="dxa"/>
          </w:tcPr>
          <w:p w14:paraId="22D3E461" w14:textId="77777777" w:rsidR="000305DD" w:rsidRPr="00F24972" w:rsidRDefault="000305DD" w:rsidP="000305DD">
            <w:pPr>
              <w:pStyle w:val="TableText"/>
              <w:rPr>
                <w:rFonts w:cs="Arial"/>
              </w:rPr>
            </w:pPr>
            <w:r>
              <w:rPr>
                <w:rFonts w:cs="Arial"/>
              </w:rPr>
              <w:t>Unit Antigen typing</w:t>
            </w:r>
          </w:p>
          <w:p w14:paraId="35ED1BCE" w14:textId="77777777" w:rsidR="000305DD" w:rsidRPr="00F24972" w:rsidRDefault="000305DD" w:rsidP="000305DD">
            <w:pPr>
              <w:pStyle w:val="TableText"/>
              <w:rPr>
                <w:rFonts w:cs="Arial"/>
              </w:rPr>
            </w:pPr>
          </w:p>
        </w:tc>
        <w:tc>
          <w:tcPr>
            <w:tcW w:w="1080" w:type="dxa"/>
          </w:tcPr>
          <w:p w14:paraId="64507B03" w14:textId="77777777" w:rsidR="000305DD" w:rsidRPr="00F24972" w:rsidRDefault="000305DD" w:rsidP="000305DD">
            <w:pPr>
              <w:pStyle w:val="TableText"/>
              <w:rPr>
                <w:rFonts w:cs="Arial"/>
              </w:rPr>
            </w:pPr>
            <w:r w:rsidRPr="00F24972">
              <w:rPr>
                <w:rFonts w:cs="Arial"/>
              </w:rPr>
              <w:t>Positive</w:t>
            </w:r>
          </w:p>
        </w:tc>
        <w:tc>
          <w:tcPr>
            <w:tcW w:w="900" w:type="dxa"/>
          </w:tcPr>
          <w:p w14:paraId="7E8BFF5F" w14:textId="77777777" w:rsidR="000305DD" w:rsidRPr="00F24972" w:rsidRDefault="000305DD" w:rsidP="000305DD">
            <w:pPr>
              <w:pStyle w:val="TableText"/>
              <w:jc w:val="center"/>
              <w:rPr>
                <w:rFonts w:cs="Arial"/>
              </w:rPr>
            </w:pPr>
            <w:r w:rsidRPr="00F24972">
              <w:rPr>
                <w:rFonts w:cs="Arial"/>
              </w:rPr>
              <w:t>U</w:t>
            </w:r>
          </w:p>
        </w:tc>
        <w:tc>
          <w:tcPr>
            <w:tcW w:w="4950" w:type="dxa"/>
          </w:tcPr>
          <w:p w14:paraId="5BD0E52F" w14:textId="77777777" w:rsidR="000305DD" w:rsidRPr="00F24972" w:rsidRDefault="000305DD" w:rsidP="000305DD">
            <w:pPr>
              <w:pStyle w:val="TableText"/>
              <w:rPr>
                <w:rFonts w:cs="Arial"/>
              </w:rPr>
            </w:pPr>
            <w:r w:rsidRPr="00F24972">
              <w:rPr>
                <w:rFonts w:cs="Arial"/>
              </w:rPr>
              <w:t>Accrue workload when a unit antigen phenotype test [specificity (tab)] with IS/RT or IS/37 phases is selected and completed for an individual blood unit (row).</w:t>
            </w:r>
          </w:p>
          <w:p w14:paraId="77F517B5" w14:textId="77777777" w:rsidR="000305DD" w:rsidRPr="00F24972" w:rsidRDefault="000305DD" w:rsidP="000305DD">
            <w:pPr>
              <w:pStyle w:val="TableText"/>
              <w:rPr>
                <w:rFonts w:cs="Arial"/>
              </w:rPr>
            </w:pPr>
            <w:r w:rsidRPr="00F24972">
              <w:rPr>
                <w:rFonts w:cs="Arial"/>
              </w:rPr>
              <w:t>No special handling for workload collection for additional repeat antigen typing tests on a unit.</w:t>
            </w:r>
          </w:p>
        </w:tc>
      </w:tr>
      <w:tr w:rsidR="000305DD" w:rsidRPr="00F24972" w14:paraId="4A595575" w14:textId="77777777" w:rsidTr="00FA340F">
        <w:trPr>
          <w:cantSplit/>
        </w:trPr>
        <w:tc>
          <w:tcPr>
            <w:tcW w:w="1733" w:type="dxa"/>
            <w:vMerge/>
          </w:tcPr>
          <w:p w14:paraId="38A07120" w14:textId="77777777" w:rsidR="000305DD" w:rsidRPr="00F24972" w:rsidRDefault="000305DD" w:rsidP="000305DD">
            <w:pPr>
              <w:pStyle w:val="TableText"/>
              <w:rPr>
                <w:rFonts w:cs="Arial"/>
              </w:rPr>
            </w:pPr>
          </w:p>
        </w:tc>
        <w:tc>
          <w:tcPr>
            <w:tcW w:w="1592" w:type="dxa"/>
          </w:tcPr>
          <w:p w14:paraId="7E20BDC6" w14:textId="77777777" w:rsidR="000305DD" w:rsidRPr="00F24972" w:rsidRDefault="000305DD" w:rsidP="000305DD">
            <w:pPr>
              <w:pStyle w:val="TableText"/>
              <w:rPr>
                <w:rFonts w:cs="Arial"/>
              </w:rPr>
            </w:pPr>
            <w:r>
              <w:rPr>
                <w:rFonts w:cs="Arial"/>
              </w:rPr>
              <w:t>Edit Unit, Invalidate Unit Antigen Typing</w:t>
            </w:r>
          </w:p>
        </w:tc>
        <w:tc>
          <w:tcPr>
            <w:tcW w:w="1080" w:type="dxa"/>
          </w:tcPr>
          <w:p w14:paraId="491D5D60" w14:textId="77777777" w:rsidR="000305DD" w:rsidRPr="00F24972" w:rsidRDefault="000305DD" w:rsidP="000305DD">
            <w:pPr>
              <w:pStyle w:val="TableText"/>
              <w:rPr>
                <w:rFonts w:cs="Arial"/>
                <w:b/>
              </w:rPr>
            </w:pPr>
            <w:r w:rsidRPr="00F24972">
              <w:rPr>
                <w:rFonts w:cs="Arial"/>
                <w:b/>
              </w:rPr>
              <w:t>Negative</w:t>
            </w:r>
          </w:p>
        </w:tc>
        <w:tc>
          <w:tcPr>
            <w:tcW w:w="900" w:type="dxa"/>
          </w:tcPr>
          <w:p w14:paraId="0693FCE0" w14:textId="77777777" w:rsidR="000305DD" w:rsidRPr="00F24972" w:rsidRDefault="000305DD" w:rsidP="000305DD">
            <w:pPr>
              <w:pStyle w:val="TableText"/>
              <w:jc w:val="center"/>
              <w:rPr>
                <w:rFonts w:cs="Arial"/>
              </w:rPr>
            </w:pPr>
            <w:r w:rsidRPr="00F24972">
              <w:rPr>
                <w:rFonts w:cs="Arial"/>
              </w:rPr>
              <w:t>U</w:t>
            </w:r>
          </w:p>
        </w:tc>
        <w:tc>
          <w:tcPr>
            <w:tcW w:w="4950" w:type="dxa"/>
          </w:tcPr>
          <w:p w14:paraId="7658DE69" w14:textId="77777777" w:rsidR="000305DD" w:rsidRPr="00F24972" w:rsidRDefault="000305DD" w:rsidP="000305DD">
            <w:pPr>
              <w:pStyle w:val="TableText"/>
              <w:rPr>
                <w:rFonts w:cs="Arial"/>
              </w:rPr>
            </w:pPr>
            <w:r w:rsidRPr="00F24972">
              <w:rPr>
                <w:rFonts w:cs="Arial"/>
              </w:rPr>
              <w:t>Accrue workload when a unit antigen phenotype test (specificity) with Multiple Test phases is invalidated for an individual blood unit.</w:t>
            </w:r>
          </w:p>
        </w:tc>
      </w:tr>
      <w:tr w:rsidR="000305DD" w:rsidRPr="00F24972" w14:paraId="7FD2FE17" w14:textId="77777777" w:rsidTr="00FA340F">
        <w:trPr>
          <w:cantSplit/>
        </w:trPr>
        <w:tc>
          <w:tcPr>
            <w:tcW w:w="1733" w:type="dxa"/>
            <w:vMerge w:val="restart"/>
            <w:tcBorders>
              <w:top w:val="single" w:sz="4" w:space="0" w:color="auto"/>
              <w:left w:val="single" w:sz="4" w:space="0" w:color="auto"/>
              <w:right w:val="single" w:sz="4" w:space="0" w:color="auto"/>
            </w:tcBorders>
          </w:tcPr>
          <w:p w14:paraId="60305852" w14:textId="77777777" w:rsidR="000305DD" w:rsidRPr="00F24972" w:rsidRDefault="000305DD" w:rsidP="000305DD">
            <w:pPr>
              <w:pStyle w:val="TableText"/>
              <w:rPr>
                <w:rFonts w:cs="Arial"/>
              </w:rPr>
            </w:pPr>
            <w:r w:rsidRPr="00F24972">
              <w:rPr>
                <w:rFonts w:cs="Arial"/>
              </w:rPr>
              <w:t>Unit Antigen phenotyping, Single Test phase</w:t>
            </w:r>
          </w:p>
        </w:tc>
        <w:tc>
          <w:tcPr>
            <w:tcW w:w="1592" w:type="dxa"/>
            <w:tcBorders>
              <w:top w:val="single" w:sz="4" w:space="0" w:color="auto"/>
              <w:left w:val="single" w:sz="4" w:space="0" w:color="auto"/>
              <w:bottom w:val="single" w:sz="4" w:space="0" w:color="auto"/>
              <w:right w:val="single" w:sz="4" w:space="0" w:color="auto"/>
            </w:tcBorders>
          </w:tcPr>
          <w:p w14:paraId="39B9346E" w14:textId="77777777" w:rsidR="000305DD" w:rsidRPr="00F24972" w:rsidRDefault="000305DD" w:rsidP="000305DD">
            <w:pPr>
              <w:pStyle w:val="TableText"/>
              <w:rPr>
                <w:rFonts w:cs="Arial"/>
              </w:rPr>
            </w:pPr>
            <w:r>
              <w:rPr>
                <w:rFonts w:cs="Arial"/>
              </w:rPr>
              <w:t>Unit Antigen typing</w:t>
            </w:r>
          </w:p>
          <w:p w14:paraId="111D365B" w14:textId="77777777" w:rsidR="000305DD" w:rsidRPr="00F24972" w:rsidRDefault="000305DD" w:rsidP="000305DD">
            <w:pPr>
              <w:pStyle w:val="TableText"/>
              <w:rPr>
                <w:rFonts w:cs="Arial"/>
              </w:rPr>
            </w:pPr>
          </w:p>
        </w:tc>
        <w:tc>
          <w:tcPr>
            <w:tcW w:w="1080" w:type="dxa"/>
            <w:tcBorders>
              <w:top w:val="single" w:sz="4" w:space="0" w:color="auto"/>
              <w:left w:val="single" w:sz="4" w:space="0" w:color="auto"/>
              <w:bottom w:val="single" w:sz="4" w:space="0" w:color="auto"/>
              <w:right w:val="single" w:sz="4" w:space="0" w:color="auto"/>
            </w:tcBorders>
          </w:tcPr>
          <w:p w14:paraId="28BB0518" w14:textId="77777777" w:rsidR="000305DD" w:rsidRPr="00F24972" w:rsidRDefault="000305DD" w:rsidP="000305DD">
            <w:pPr>
              <w:pStyle w:val="TableText"/>
              <w:rPr>
                <w:rFonts w:cs="Arial"/>
              </w:rPr>
            </w:pPr>
            <w:r w:rsidRPr="00F24972">
              <w:rPr>
                <w:rFonts w:cs="Arial"/>
              </w:rPr>
              <w:t>Positive</w:t>
            </w:r>
          </w:p>
        </w:tc>
        <w:tc>
          <w:tcPr>
            <w:tcW w:w="900" w:type="dxa"/>
            <w:tcBorders>
              <w:top w:val="single" w:sz="4" w:space="0" w:color="auto"/>
              <w:left w:val="single" w:sz="4" w:space="0" w:color="auto"/>
              <w:bottom w:val="single" w:sz="4" w:space="0" w:color="auto"/>
              <w:right w:val="single" w:sz="4" w:space="0" w:color="auto"/>
            </w:tcBorders>
          </w:tcPr>
          <w:p w14:paraId="29BF40DD" w14:textId="77777777" w:rsidR="000305DD" w:rsidRPr="00F24972" w:rsidRDefault="000305DD" w:rsidP="000305DD">
            <w:pPr>
              <w:pStyle w:val="TableText"/>
              <w:jc w:val="center"/>
              <w:rPr>
                <w:rFonts w:cs="Arial"/>
              </w:rPr>
            </w:pPr>
            <w:r w:rsidRPr="00F24972">
              <w:rPr>
                <w:rFonts w:cs="Arial"/>
              </w:rPr>
              <w:t>U</w:t>
            </w:r>
          </w:p>
        </w:tc>
        <w:tc>
          <w:tcPr>
            <w:tcW w:w="4950" w:type="dxa"/>
            <w:tcBorders>
              <w:top w:val="single" w:sz="4" w:space="0" w:color="auto"/>
              <w:left w:val="single" w:sz="4" w:space="0" w:color="auto"/>
              <w:bottom w:val="single" w:sz="4" w:space="0" w:color="auto"/>
              <w:right w:val="single" w:sz="4" w:space="0" w:color="auto"/>
            </w:tcBorders>
          </w:tcPr>
          <w:p w14:paraId="29281B47" w14:textId="77777777" w:rsidR="000305DD" w:rsidRPr="00F24972" w:rsidRDefault="000305DD" w:rsidP="000305DD">
            <w:pPr>
              <w:pStyle w:val="TableText"/>
              <w:rPr>
                <w:rFonts w:cs="Arial"/>
              </w:rPr>
            </w:pPr>
            <w:r w:rsidRPr="00F24972">
              <w:rPr>
                <w:rFonts w:cs="Arial"/>
              </w:rPr>
              <w:t xml:space="preserve">A unit (row) antigen phenotype test [specificity (tab)] with AHG or IS phase is selected and completed for an individual blood unit (row). </w:t>
            </w:r>
          </w:p>
          <w:p w14:paraId="02AB4717" w14:textId="77777777" w:rsidR="000305DD" w:rsidRPr="00F24972" w:rsidRDefault="000305DD" w:rsidP="000305DD">
            <w:pPr>
              <w:pStyle w:val="TableText"/>
              <w:rPr>
                <w:rFonts w:cs="Arial"/>
              </w:rPr>
            </w:pPr>
            <w:r w:rsidRPr="00F24972">
              <w:rPr>
                <w:rFonts w:cs="Arial"/>
              </w:rPr>
              <w:t>No special handling for workload collection for additional repeat antigen typing tests on a unit.</w:t>
            </w:r>
          </w:p>
        </w:tc>
      </w:tr>
      <w:tr w:rsidR="000305DD" w:rsidRPr="00F24972" w14:paraId="71FDBEAA" w14:textId="77777777" w:rsidTr="00FA340F">
        <w:trPr>
          <w:cantSplit/>
        </w:trPr>
        <w:tc>
          <w:tcPr>
            <w:tcW w:w="1733" w:type="dxa"/>
            <w:vMerge/>
            <w:tcBorders>
              <w:left w:val="single" w:sz="4" w:space="0" w:color="auto"/>
              <w:right w:val="single" w:sz="4" w:space="0" w:color="auto"/>
            </w:tcBorders>
          </w:tcPr>
          <w:p w14:paraId="5C6AB629" w14:textId="77777777" w:rsidR="000305DD" w:rsidRPr="00F24972" w:rsidRDefault="000305DD" w:rsidP="000305DD">
            <w:pPr>
              <w:pStyle w:val="TableText"/>
              <w:rPr>
                <w:rFonts w:cs="Arial"/>
              </w:rPr>
            </w:pPr>
          </w:p>
        </w:tc>
        <w:tc>
          <w:tcPr>
            <w:tcW w:w="1592" w:type="dxa"/>
            <w:tcBorders>
              <w:left w:val="single" w:sz="4" w:space="0" w:color="auto"/>
            </w:tcBorders>
          </w:tcPr>
          <w:p w14:paraId="04DB32C4" w14:textId="77777777" w:rsidR="000305DD" w:rsidRPr="00F24972" w:rsidRDefault="000305DD" w:rsidP="000305DD">
            <w:pPr>
              <w:pStyle w:val="TableText"/>
              <w:rPr>
                <w:rFonts w:cs="Arial"/>
              </w:rPr>
            </w:pPr>
            <w:r>
              <w:rPr>
                <w:rFonts w:cs="Arial"/>
              </w:rPr>
              <w:t>Edit Unit, Invalidate Unit Antigen Typing</w:t>
            </w:r>
          </w:p>
        </w:tc>
        <w:tc>
          <w:tcPr>
            <w:tcW w:w="1080" w:type="dxa"/>
          </w:tcPr>
          <w:p w14:paraId="683743F2" w14:textId="77777777" w:rsidR="000305DD" w:rsidRPr="00F24972" w:rsidRDefault="000305DD" w:rsidP="000305DD">
            <w:pPr>
              <w:pStyle w:val="TableText"/>
              <w:rPr>
                <w:rFonts w:cs="Arial"/>
                <w:b/>
              </w:rPr>
            </w:pPr>
            <w:r w:rsidRPr="00F24972">
              <w:rPr>
                <w:rFonts w:cs="Arial"/>
                <w:b/>
              </w:rPr>
              <w:t>Negative</w:t>
            </w:r>
          </w:p>
        </w:tc>
        <w:tc>
          <w:tcPr>
            <w:tcW w:w="900" w:type="dxa"/>
          </w:tcPr>
          <w:p w14:paraId="2B368457" w14:textId="77777777" w:rsidR="000305DD" w:rsidRPr="00F24972" w:rsidRDefault="000305DD" w:rsidP="000305DD">
            <w:pPr>
              <w:pStyle w:val="TableText"/>
              <w:jc w:val="center"/>
              <w:rPr>
                <w:rFonts w:cs="Arial"/>
              </w:rPr>
            </w:pPr>
            <w:r w:rsidRPr="00F24972">
              <w:rPr>
                <w:rFonts w:cs="Arial"/>
              </w:rPr>
              <w:t>U</w:t>
            </w:r>
          </w:p>
        </w:tc>
        <w:tc>
          <w:tcPr>
            <w:tcW w:w="4950" w:type="dxa"/>
          </w:tcPr>
          <w:p w14:paraId="657FC6E2" w14:textId="77777777" w:rsidR="000305DD" w:rsidRPr="00F24972" w:rsidRDefault="000305DD" w:rsidP="000305DD">
            <w:pPr>
              <w:pStyle w:val="TableText"/>
              <w:rPr>
                <w:rFonts w:cs="Arial"/>
              </w:rPr>
            </w:pPr>
            <w:r w:rsidRPr="00F24972">
              <w:rPr>
                <w:rFonts w:cs="Arial"/>
              </w:rPr>
              <w:t>Accrue workload when a unit antigen phenotype test (specificity) with Single Test phase is invalidated for an individual blood unit.</w:t>
            </w:r>
          </w:p>
        </w:tc>
      </w:tr>
      <w:tr w:rsidR="000305DD" w:rsidRPr="00F24972" w14:paraId="4DA911E0" w14:textId="77777777" w:rsidTr="00FA340F">
        <w:trPr>
          <w:cantSplit/>
        </w:trPr>
        <w:tc>
          <w:tcPr>
            <w:tcW w:w="1733" w:type="dxa"/>
            <w:vMerge w:val="restart"/>
            <w:tcBorders>
              <w:top w:val="single" w:sz="4" w:space="0" w:color="auto"/>
              <w:left w:val="single" w:sz="4" w:space="0" w:color="auto"/>
              <w:right w:val="single" w:sz="4" w:space="0" w:color="auto"/>
            </w:tcBorders>
          </w:tcPr>
          <w:p w14:paraId="2E88758C" w14:textId="77777777" w:rsidR="000305DD" w:rsidRPr="00F24972" w:rsidRDefault="000305DD" w:rsidP="000305DD">
            <w:pPr>
              <w:pStyle w:val="TableText"/>
              <w:rPr>
                <w:rFonts w:cs="Arial"/>
              </w:rPr>
            </w:pPr>
            <w:r w:rsidRPr="00F24972">
              <w:rPr>
                <w:rFonts w:cs="Arial"/>
              </w:rPr>
              <w:t>Unit login</w:t>
            </w:r>
          </w:p>
          <w:p w14:paraId="44124404" w14:textId="77777777" w:rsidR="000305DD" w:rsidRPr="00F24972" w:rsidRDefault="000305DD" w:rsidP="000305DD">
            <w:pPr>
              <w:pStyle w:val="TableText"/>
              <w:rPr>
                <w:rFonts w:cs="Arial"/>
              </w:rPr>
            </w:pPr>
          </w:p>
        </w:tc>
        <w:tc>
          <w:tcPr>
            <w:tcW w:w="1592" w:type="dxa"/>
            <w:tcBorders>
              <w:top w:val="single" w:sz="4" w:space="0" w:color="auto"/>
              <w:left w:val="single" w:sz="4" w:space="0" w:color="auto"/>
              <w:bottom w:val="single" w:sz="4" w:space="0" w:color="auto"/>
              <w:right w:val="single" w:sz="4" w:space="0" w:color="auto"/>
            </w:tcBorders>
          </w:tcPr>
          <w:p w14:paraId="0BC82439" w14:textId="77777777" w:rsidR="000305DD" w:rsidRPr="00F24972" w:rsidRDefault="000305DD" w:rsidP="000305DD">
            <w:pPr>
              <w:pStyle w:val="TableText"/>
              <w:rPr>
                <w:rFonts w:cs="Arial"/>
              </w:rPr>
            </w:pPr>
            <w:r>
              <w:rPr>
                <w:rFonts w:cs="Arial"/>
              </w:rPr>
              <w:t>Incoming Shipment</w:t>
            </w:r>
          </w:p>
        </w:tc>
        <w:tc>
          <w:tcPr>
            <w:tcW w:w="1080" w:type="dxa"/>
            <w:tcBorders>
              <w:top w:val="single" w:sz="4" w:space="0" w:color="auto"/>
              <w:left w:val="single" w:sz="4" w:space="0" w:color="auto"/>
              <w:bottom w:val="single" w:sz="4" w:space="0" w:color="auto"/>
              <w:right w:val="single" w:sz="4" w:space="0" w:color="auto"/>
            </w:tcBorders>
          </w:tcPr>
          <w:p w14:paraId="18225F39" w14:textId="77777777" w:rsidR="000305DD" w:rsidRPr="00F24972" w:rsidRDefault="000305DD" w:rsidP="000305DD">
            <w:pPr>
              <w:pStyle w:val="TableText"/>
              <w:rPr>
                <w:rFonts w:cs="Arial"/>
              </w:rPr>
            </w:pPr>
            <w:r w:rsidRPr="00F24972">
              <w:rPr>
                <w:rFonts w:cs="Arial"/>
              </w:rPr>
              <w:t>Positive</w:t>
            </w:r>
          </w:p>
        </w:tc>
        <w:tc>
          <w:tcPr>
            <w:tcW w:w="900" w:type="dxa"/>
            <w:tcBorders>
              <w:top w:val="single" w:sz="4" w:space="0" w:color="auto"/>
              <w:left w:val="single" w:sz="4" w:space="0" w:color="auto"/>
              <w:bottom w:val="single" w:sz="4" w:space="0" w:color="auto"/>
              <w:right w:val="single" w:sz="4" w:space="0" w:color="auto"/>
            </w:tcBorders>
          </w:tcPr>
          <w:p w14:paraId="79ABD03D" w14:textId="77777777" w:rsidR="000305DD" w:rsidRPr="00F24972" w:rsidRDefault="000305DD" w:rsidP="000305DD">
            <w:pPr>
              <w:pStyle w:val="TableText"/>
              <w:jc w:val="center"/>
              <w:rPr>
                <w:rFonts w:cs="Arial"/>
              </w:rPr>
            </w:pPr>
            <w:r w:rsidRPr="00F24972">
              <w:rPr>
                <w:rFonts w:cs="Arial"/>
              </w:rPr>
              <w:t>U</w:t>
            </w:r>
          </w:p>
        </w:tc>
        <w:tc>
          <w:tcPr>
            <w:tcW w:w="4950" w:type="dxa"/>
            <w:tcBorders>
              <w:top w:val="single" w:sz="4" w:space="0" w:color="auto"/>
              <w:left w:val="single" w:sz="4" w:space="0" w:color="auto"/>
              <w:bottom w:val="single" w:sz="4" w:space="0" w:color="auto"/>
              <w:right w:val="single" w:sz="4" w:space="0" w:color="auto"/>
            </w:tcBorders>
          </w:tcPr>
          <w:p w14:paraId="4F60BFC0" w14:textId="4594A9FF" w:rsidR="000305DD" w:rsidRPr="00F24972" w:rsidRDefault="000305DD" w:rsidP="000305DD">
            <w:pPr>
              <w:pStyle w:val="TableText"/>
              <w:rPr>
                <w:rFonts w:cs="Arial"/>
              </w:rPr>
            </w:pPr>
            <w:r w:rsidRPr="00F24972">
              <w:rPr>
                <w:rFonts w:cs="Arial"/>
              </w:rPr>
              <w:t xml:space="preserve">An individual unit record is activated as saved to an incoming shipment invoice. When </w:t>
            </w:r>
            <w:r w:rsidR="00AE3B37" w:rsidRPr="00F24972">
              <w:rPr>
                <w:rFonts w:cs="Arial"/>
              </w:rPr>
              <w:t>multiple units</w:t>
            </w:r>
            <w:r w:rsidRPr="00F24972">
              <w:rPr>
                <w:rFonts w:cs="Arial"/>
              </w:rPr>
              <w:t xml:space="preserve"> are entered, each unit added to the database accrues workload.</w:t>
            </w:r>
          </w:p>
        </w:tc>
      </w:tr>
      <w:tr w:rsidR="000305DD" w:rsidRPr="00F24972" w14:paraId="546B1880" w14:textId="77777777" w:rsidTr="00FA340F">
        <w:trPr>
          <w:cantSplit/>
        </w:trPr>
        <w:tc>
          <w:tcPr>
            <w:tcW w:w="1733" w:type="dxa"/>
            <w:vMerge/>
            <w:tcBorders>
              <w:left w:val="single" w:sz="4" w:space="0" w:color="auto"/>
              <w:right w:val="single" w:sz="4" w:space="0" w:color="auto"/>
            </w:tcBorders>
          </w:tcPr>
          <w:p w14:paraId="6A1F9225" w14:textId="77777777" w:rsidR="000305DD" w:rsidRPr="00F24972" w:rsidRDefault="000305DD" w:rsidP="000305DD">
            <w:pPr>
              <w:pStyle w:val="TableText"/>
              <w:rPr>
                <w:rFonts w:cs="Arial"/>
              </w:rPr>
            </w:pPr>
          </w:p>
        </w:tc>
        <w:tc>
          <w:tcPr>
            <w:tcW w:w="1592" w:type="dxa"/>
            <w:tcBorders>
              <w:left w:val="single" w:sz="4" w:space="0" w:color="auto"/>
            </w:tcBorders>
          </w:tcPr>
          <w:p w14:paraId="58367220" w14:textId="77777777" w:rsidR="000305DD" w:rsidRPr="00F24972" w:rsidRDefault="000305DD" w:rsidP="000305DD">
            <w:pPr>
              <w:pStyle w:val="TableText"/>
              <w:rPr>
                <w:rFonts w:cs="Arial"/>
              </w:rPr>
            </w:pPr>
            <w:r>
              <w:rPr>
                <w:rFonts w:cs="Arial"/>
              </w:rPr>
              <w:t>Edit Unit, Invalidate Unit Antigen Typing</w:t>
            </w:r>
          </w:p>
        </w:tc>
        <w:tc>
          <w:tcPr>
            <w:tcW w:w="1080" w:type="dxa"/>
          </w:tcPr>
          <w:p w14:paraId="3BC529EA" w14:textId="77777777" w:rsidR="000305DD" w:rsidRPr="00F24972" w:rsidRDefault="000305DD" w:rsidP="000305DD">
            <w:pPr>
              <w:pStyle w:val="TableText"/>
              <w:rPr>
                <w:rFonts w:cs="Arial"/>
                <w:b/>
              </w:rPr>
            </w:pPr>
            <w:r w:rsidRPr="00F24972">
              <w:rPr>
                <w:rFonts w:cs="Arial"/>
                <w:b/>
              </w:rPr>
              <w:t>Negative</w:t>
            </w:r>
          </w:p>
        </w:tc>
        <w:tc>
          <w:tcPr>
            <w:tcW w:w="900" w:type="dxa"/>
          </w:tcPr>
          <w:p w14:paraId="15E5CC41" w14:textId="77777777" w:rsidR="000305DD" w:rsidRPr="00F24972" w:rsidRDefault="000305DD" w:rsidP="000305DD">
            <w:pPr>
              <w:pStyle w:val="TableText"/>
              <w:jc w:val="center"/>
              <w:rPr>
                <w:rFonts w:cs="Arial"/>
              </w:rPr>
            </w:pPr>
            <w:r w:rsidRPr="00F24972">
              <w:rPr>
                <w:rFonts w:cs="Arial"/>
              </w:rPr>
              <w:t>U</w:t>
            </w:r>
          </w:p>
        </w:tc>
        <w:tc>
          <w:tcPr>
            <w:tcW w:w="4950" w:type="dxa"/>
          </w:tcPr>
          <w:p w14:paraId="2BD98FB7" w14:textId="77777777" w:rsidR="000305DD" w:rsidRPr="00F24972" w:rsidRDefault="000305DD" w:rsidP="000305DD">
            <w:pPr>
              <w:pStyle w:val="TableText"/>
              <w:rPr>
                <w:rFonts w:cs="Arial"/>
              </w:rPr>
            </w:pPr>
            <w:r w:rsidRPr="00F24972">
              <w:rPr>
                <w:rFonts w:cs="Arial"/>
              </w:rPr>
              <w:t>Accrue workload when a unit is inactivated (unit record inactivated) when logged in thru incoming shipment or is a pooled unit created in VBECS.</w:t>
            </w:r>
            <w:r>
              <w:rPr>
                <w:rFonts w:cs="Arial"/>
              </w:rPr>
              <w:t xml:space="preserve"> </w:t>
            </w:r>
            <w:r w:rsidRPr="00F24972">
              <w:rPr>
                <w:rFonts w:cs="Arial"/>
              </w:rPr>
              <w:t xml:space="preserve">When the unit was created by split modification no workload is invalidated in this option. </w:t>
            </w:r>
          </w:p>
        </w:tc>
      </w:tr>
      <w:tr w:rsidR="000305DD" w:rsidRPr="00F24972" w14:paraId="4232F338" w14:textId="77777777" w:rsidTr="00FA340F">
        <w:trPr>
          <w:cantSplit/>
        </w:trPr>
        <w:tc>
          <w:tcPr>
            <w:tcW w:w="1733" w:type="dxa"/>
            <w:vMerge w:val="restart"/>
            <w:tcBorders>
              <w:top w:val="single" w:sz="4" w:space="0" w:color="auto"/>
              <w:left w:val="single" w:sz="4" w:space="0" w:color="auto"/>
              <w:right w:val="single" w:sz="4" w:space="0" w:color="auto"/>
            </w:tcBorders>
          </w:tcPr>
          <w:p w14:paraId="2B97C91B" w14:textId="77777777" w:rsidR="000305DD" w:rsidRPr="00F24972" w:rsidRDefault="000305DD" w:rsidP="000305DD">
            <w:pPr>
              <w:pStyle w:val="TableText"/>
              <w:rPr>
                <w:rFonts w:cs="Arial"/>
              </w:rPr>
            </w:pPr>
            <w:r w:rsidRPr="00F24972">
              <w:rPr>
                <w:rFonts w:cs="Arial"/>
              </w:rPr>
              <w:t>Unit logout</w:t>
            </w:r>
          </w:p>
        </w:tc>
        <w:tc>
          <w:tcPr>
            <w:tcW w:w="1592" w:type="dxa"/>
            <w:tcBorders>
              <w:top w:val="single" w:sz="4" w:space="0" w:color="auto"/>
              <w:left w:val="single" w:sz="4" w:space="0" w:color="auto"/>
              <w:bottom w:val="single" w:sz="4" w:space="0" w:color="auto"/>
              <w:right w:val="single" w:sz="4" w:space="0" w:color="auto"/>
            </w:tcBorders>
          </w:tcPr>
          <w:p w14:paraId="790AEC25" w14:textId="77777777" w:rsidR="000305DD" w:rsidRPr="00F24972" w:rsidRDefault="000305DD" w:rsidP="000305DD">
            <w:pPr>
              <w:pStyle w:val="TableText"/>
              <w:rPr>
                <w:rFonts w:cs="Arial"/>
              </w:rPr>
            </w:pPr>
            <w:r>
              <w:rPr>
                <w:rFonts w:cs="Arial"/>
              </w:rPr>
              <w:t>Outgoing Shipment</w:t>
            </w:r>
          </w:p>
        </w:tc>
        <w:tc>
          <w:tcPr>
            <w:tcW w:w="1080" w:type="dxa"/>
            <w:tcBorders>
              <w:top w:val="single" w:sz="4" w:space="0" w:color="auto"/>
              <w:left w:val="single" w:sz="4" w:space="0" w:color="auto"/>
              <w:bottom w:val="single" w:sz="4" w:space="0" w:color="auto"/>
              <w:right w:val="single" w:sz="4" w:space="0" w:color="auto"/>
            </w:tcBorders>
          </w:tcPr>
          <w:p w14:paraId="33123164" w14:textId="77777777" w:rsidR="000305DD" w:rsidRPr="00F24972" w:rsidRDefault="000305DD" w:rsidP="000305DD">
            <w:pPr>
              <w:pStyle w:val="TableText"/>
              <w:rPr>
                <w:rFonts w:cs="Arial"/>
              </w:rPr>
            </w:pPr>
            <w:r w:rsidRPr="00F24972">
              <w:rPr>
                <w:rFonts w:cs="Arial"/>
              </w:rPr>
              <w:t>Positive</w:t>
            </w:r>
          </w:p>
        </w:tc>
        <w:tc>
          <w:tcPr>
            <w:tcW w:w="900" w:type="dxa"/>
            <w:tcBorders>
              <w:top w:val="single" w:sz="4" w:space="0" w:color="auto"/>
              <w:left w:val="single" w:sz="4" w:space="0" w:color="auto"/>
              <w:bottom w:val="single" w:sz="4" w:space="0" w:color="auto"/>
              <w:right w:val="single" w:sz="4" w:space="0" w:color="auto"/>
            </w:tcBorders>
          </w:tcPr>
          <w:p w14:paraId="5BFD9D2C" w14:textId="77777777" w:rsidR="000305DD" w:rsidRPr="00F24972" w:rsidRDefault="000305DD" w:rsidP="000305DD">
            <w:pPr>
              <w:pStyle w:val="TableText"/>
              <w:jc w:val="center"/>
              <w:rPr>
                <w:rFonts w:cs="Arial"/>
              </w:rPr>
            </w:pPr>
            <w:r w:rsidRPr="00F24972">
              <w:rPr>
                <w:rFonts w:cs="Arial"/>
              </w:rPr>
              <w:t>U</w:t>
            </w:r>
          </w:p>
        </w:tc>
        <w:tc>
          <w:tcPr>
            <w:tcW w:w="4950" w:type="dxa"/>
            <w:tcBorders>
              <w:top w:val="single" w:sz="4" w:space="0" w:color="auto"/>
              <w:left w:val="single" w:sz="4" w:space="0" w:color="auto"/>
              <w:bottom w:val="single" w:sz="4" w:space="0" w:color="auto"/>
              <w:right w:val="single" w:sz="4" w:space="0" w:color="auto"/>
            </w:tcBorders>
          </w:tcPr>
          <w:p w14:paraId="2B8384A4" w14:textId="5966C50E" w:rsidR="000305DD" w:rsidRPr="00F24972" w:rsidRDefault="000305DD" w:rsidP="000305DD">
            <w:pPr>
              <w:pStyle w:val="TableText"/>
              <w:rPr>
                <w:rFonts w:cs="Arial"/>
              </w:rPr>
            </w:pPr>
            <w:r w:rsidRPr="00F24972">
              <w:rPr>
                <w:rFonts w:cs="Arial"/>
              </w:rPr>
              <w:t xml:space="preserve">An individual unit’s status is updated to </w:t>
            </w:r>
            <w:r w:rsidRPr="00F24972">
              <w:rPr>
                <w:rFonts w:cs="Arial"/>
                <w:i/>
              </w:rPr>
              <w:t>transferred</w:t>
            </w:r>
            <w:r w:rsidRPr="00F24972">
              <w:rPr>
                <w:rFonts w:cs="Arial"/>
              </w:rPr>
              <w:t xml:space="preserve"> on a confirmed outgoing shipment invoice.</w:t>
            </w:r>
            <w:r>
              <w:rPr>
                <w:rFonts w:cs="Arial"/>
              </w:rPr>
              <w:t xml:space="preserve"> </w:t>
            </w:r>
            <w:r w:rsidRPr="00F24972">
              <w:rPr>
                <w:rFonts w:cs="Arial"/>
              </w:rPr>
              <w:t xml:space="preserve">When </w:t>
            </w:r>
            <w:r w:rsidR="00AE3B37" w:rsidRPr="00F24972">
              <w:rPr>
                <w:rFonts w:cs="Arial"/>
              </w:rPr>
              <w:t>multiple units</w:t>
            </w:r>
            <w:r w:rsidRPr="00F24972">
              <w:rPr>
                <w:rFonts w:cs="Arial"/>
              </w:rPr>
              <w:t xml:space="preserve"> are selected, each unit accrues workload.</w:t>
            </w:r>
          </w:p>
          <w:p w14:paraId="6F845161" w14:textId="77777777" w:rsidR="000305DD" w:rsidRPr="00F24972" w:rsidRDefault="000305DD" w:rsidP="000305DD">
            <w:pPr>
              <w:pStyle w:val="TableText"/>
              <w:rPr>
                <w:rFonts w:cs="Arial"/>
              </w:rPr>
            </w:pPr>
            <w:r w:rsidRPr="00F24972">
              <w:rPr>
                <w:rFonts w:cs="Arial"/>
              </w:rPr>
              <w:t>Accrue workload upon the confirmation of the invoice, not the addition of a unit to a temporary outgoing shipment invoice as an invoice may be confirmed only once.</w:t>
            </w:r>
          </w:p>
        </w:tc>
      </w:tr>
      <w:tr w:rsidR="000305DD" w:rsidRPr="00F24972" w14:paraId="61880C87" w14:textId="77777777" w:rsidTr="00FA340F">
        <w:trPr>
          <w:cantSplit/>
        </w:trPr>
        <w:tc>
          <w:tcPr>
            <w:tcW w:w="1733" w:type="dxa"/>
            <w:vMerge/>
            <w:tcBorders>
              <w:left w:val="single" w:sz="4" w:space="0" w:color="auto"/>
              <w:bottom w:val="single" w:sz="4" w:space="0" w:color="auto"/>
              <w:right w:val="single" w:sz="4" w:space="0" w:color="auto"/>
            </w:tcBorders>
          </w:tcPr>
          <w:p w14:paraId="37A98449" w14:textId="77777777" w:rsidR="000305DD" w:rsidRPr="00F24972" w:rsidRDefault="000305DD" w:rsidP="000305DD">
            <w:pPr>
              <w:pStyle w:val="TableText"/>
              <w:rPr>
                <w:rFonts w:cs="Arial"/>
              </w:rPr>
            </w:pPr>
          </w:p>
        </w:tc>
        <w:tc>
          <w:tcPr>
            <w:tcW w:w="1592" w:type="dxa"/>
            <w:tcBorders>
              <w:top w:val="single" w:sz="4" w:space="0" w:color="auto"/>
              <w:left w:val="single" w:sz="4" w:space="0" w:color="auto"/>
              <w:bottom w:val="single" w:sz="4" w:space="0" w:color="auto"/>
              <w:right w:val="single" w:sz="4" w:space="0" w:color="auto"/>
            </w:tcBorders>
          </w:tcPr>
          <w:p w14:paraId="7D44AF4B" w14:textId="77777777" w:rsidR="000305DD" w:rsidRPr="00F24972" w:rsidRDefault="000305DD" w:rsidP="000305DD">
            <w:pPr>
              <w:pStyle w:val="TableText"/>
              <w:rPr>
                <w:rFonts w:cs="Arial"/>
              </w:rPr>
            </w:pPr>
            <w:r>
              <w:rPr>
                <w:rFonts w:cs="Arial"/>
              </w:rPr>
              <w:t>Invalidate Unit Status, Transferred</w:t>
            </w:r>
          </w:p>
        </w:tc>
        <w:tc>
          <w:tcPr>
            <w:tcW w:w="1080" w:type="dxa"/>
            <w:tcBorders>
              <w:top w:val="single" w:sz="4" w:space="0" w:color="auto"/>
              <w:left w:val="single" w:sz="4" w:space="0" w:color="auto"/>
              <w:bottom w:val="single" w:sz="4" w:space="0" w:color="auto"/>
              <w:right w:val="single" w:sz="4" w:space="0" w:color="auto"/>
            </w:tcBorders>
          </w:tcPr>
          <w:p w14:paraId="4F05DB16" w14:textId="77777777" w:rsidR="000305DD" w:rsidRPr="00F24972" w:rsidRDefault="000305DD" w:rsidP="000305DD">
            <w:pPr>
              <w:pStyle w:val="TableText"/>
              <w:rPr>
                <w:rFonts w:cs="Arial"/>
                <w:b/>
              </w:rPr>
            </w:pPr>
            <w:r w:rsidRPr="00F24972">
              <w:rPr>
                <w:rFonts w:cs="Arial"/>
                <w:b/>
              </w:rPr>
              <w:t>Negative</w:t>
            </w:r>
          </w:p>
        </w:tc>
        <w:tc>
          <w:tcPr>
            <w:tcW w:w="900" w:type="dxa"/>
            <w:tcBorders>
              <w:top w:val="single" w:sz="4" w:space="0" w:color="auto"/>
              <w:left w:val="single" w:sz="4" w:space="0" w:color="auto"/>
              <w:bottom w:val="single" w:sz="4" w:space="0" w:color="auto"/>
              <w:right w:val="single" w:sz="4" w:space="0" w:color="auto"/>
            </w:tcBorders>
          </w:tcPr>
          <w:p w14:paraId="2EB2CB29" w14:textId="77777777" w:rsidR="000305DD" w:rsidRPr="00F24972" w:rsidRDefault="000305DD" w:rsidP="000305DD">
            <w:pPr>
              <w:pStyle w:val="TableText"/>
              <w:jc w:val="center"/>
              <w:rPr>
                <w:rFonts w:cs="Arial"/>
              </w:rPr>
            </w:pPr>
            <w:r w:rsidRPr="00F24972">
              <w:rPr>
                <w:rFonts w:cs="Arial"/>
              </w:rPr>
              <w:t>U</w:t>
            </w:r>
          </w:p>
        </w:tc>
        <w:tc>
          <w:tcPr>
            <w:tcW w:w="4950" w:type="dxa"/>
            <w:tcBorders>
              <w:top w:val="single" w:sz="4" w:space="0" w:color="auto"/>
              <w:left w:val="single" w:sz="4" w:space="0" w:color="auto"/>
              <w:bottom w:val="single" w:sz="4" w:space="0" w:color="auto"/>
              <w:right w:val="single" w:sz="4" w:space="0" w:color="auto"/>
            </w:tcBorders>
          </w:tcPr>
          <w:p w14:paraId="1C28BA84" w14:textId="77777777" w:rsidR="000305DD" w:rsidRPr="00F24972" w:rsidRDefault="000305DD" w:rsidP="000305DD">
            <w:pPr>
              <w:pStyle w:val="TableText"/>
              <w:rPr>
                <w:rFonts w:cs="Arial"/>
              </w:rPr>
            </w:pPr>
            <w:r w:rsidRPr="00F24972">
              <w:rPr>
                <w:rFonts w:cs="Arial"/>
              </w:rPr>
              <w:t>An individual unit status is invalidated when the unit had a previous unit status of transferred.</w:t>
            </w:r>
          </w:p>
        </w:tc>
      </w:tr>
      <w:tr w:rsidR="000305DD" w:rsidRPr="00F24972" w14:paraId="1A32B623" w14:textId="77777777" w:rsidTr="00FA340F">
        <w:trPr>
          <w:cantSplit/>
        </w:trPr>
        <w:tc>
          <w:tcPr>
            <w:tcW w:w="1733" w:type="dxa"/>
            <w:tcBorders>
              <w:bottom w:val="single" w:sz="4" w:space="0" w:color="auto"/>
            </w:tcBorders>
          </w:tcPr>
          <w:p w14:paraId="3B55882F" w14:textId="77777777" w:rsidR="000305DD" w:rsidRPr="00F24972" w:rsidRDefault="000305DD" w:rsidP="000305DD">
            <w:pPr>
              <w:pStyle w:val="TableText"/>
              <w:rPr>
                <w:rFonts w:cs="Arial"/>
              </w:rPr>
            </w:pPr>
            <w:r w:rsidRPr="00F24972">
              <w:rPr>
                <w:rFonts w:cs="Arial"/>
              </w:rPr>
              <w:t>Update Equipment Record</w:t>
            </w:r>
          </w:p>
        </w:tc>
        <w:tc>
          <w:tcPr>
            <w:tcW w:w="1592" w:type="dxa"/>
            <w:tcBorders>
              <w:bottom w:val="single" w:sz="4" w:space="0" w:color="auto"/>
            </w:tcBorders>
          </w:tcPr>
          <w:p w14:paraId="5B56578D" w14:textId="77777777" w:rsidR="000305DD" w:rsidRPr="00F24972" w:rsidRDefault="000305DD" w:rsidP="000305DD">
            <w:pPr>
              <w:pStyle w:val="TableText"/>
              <w:rPr>
                <w:rFonts w:cs="Arial"/>
              </w:rPr>
            </w:pPr>
            <w:r>
              <w:rPr>
                <w:rFonts w:cs="Arial"/>
                <w:snapToGrid w:val="0"/>
              </w:rPr>
              <w:t>Equipment, Update</w:t>
            </w:r>
          </w:p>
        </w:tc>
        <w:tc>
          <w:tcPr>
            <w:tcW w:w="1080" w:type="dxa"/>
            <w:tcBorders>
              <w:bottom w:val="single" w:sz="4" w:space="0" w:color="auto"/>
            </w:tcBorders>
          </w:tcPr>
          <w:p w14:paraId="1A69AC51" w14:textId="77777777" w:rsidR="000305DD" w:rsidRPr="00F24972" w:rsidRDefault="000305DD" w:rsidP="000305DD">
            <w:pPr>
              <w:pStyle w:val="TableText"/>
              <w:rPr>
                <w:rFonts w:cs="Arial"/>
              </w:rPr>
            </w:pPr>
            <w:r w:rsidRPr="00F24972">
              <w:rPr>
                <w:rFonts w:cs="Arial"/>
              </w:rPr>
              <w:t>Positive</w:t>
            </w:r>
          </w:p>
        </w:tc>
        <w:tc>
          <w:tcPr>
            <w:tcW w:w="900" w:type="dxa"/>
            <w:tcBorders>
              <w:bottom w:val="single" w:sz="4" w:space="0" w:color="auto"/>
            </w:tcBorders>
          </w:tcPr>
          <w:p w14:paraId="63046F13" w14:textId="77777777" w:rsidR="000305DD" w:rsidRPr="00F24972" w:rsidRDefault="000305DD" w:rsidP="000305DD">
            <w:pPr>
              <w:pStyle w:val="TableText"/>
              <w:jc w:val="center"/>
              <w:rPr>
                <w:rFonts w:cs="Arial"/>
              </w:rPr>
            </w:pPr>
            <w:r w:rsidRPr="00F24972">
              <w:rPr>
                <w:rFonts w:cs="Arial"/>
              </w:rPr>
              <w:t>M</w:t>
            </w:r>
          </w:p>
        </w:tc>
        <w:tc>
          <w:tcPr>
            <w:tcW w:w="4950" w:type="dxa"/>
            <w:tcBorders>
              <w:bottom w:val="single" w:sz="4" w:space="0" w:color="auto"/>
            </w:tcBorders>
          </w:tcPr>
          <w:p w14:paraId="3C2608F7" w14:textId="77777777" w:rsidR="000305DD" w:rsidRPr="00F24972" w:rsidRDefault="000305DD" w:rsidP="000305DD">
            <w:pPr>
              <w:pStyle w:val="TableText"/>
              <w:rPr>
                <w:rFonts w:cs="Arial"/>
              </w:rPr>
            </w:pPr>
            <w:r w:rsidRPr="00F24972">
              <w:rPr>
                <w:rFonts w:cs="Arial"/>
              </w:rPr>
              <w:t>Accrue workload when a lot number of any type of equipment is updated in the system.</w:t>
            </w:r>
            <w:r>
              <w:rPr>
                <w:rFonts w:cs="Arial"/>
              </w:rPr>
              <w:t xml:space="preserve"> </w:t>
            </w:r>
          </w:p>
        </w:tc>
      </w:tr>
      <w:tr w:rsidR="000305DD" w:rsidRPr="00F24972" w14:paraId="6D7653AF" w14:textId="77777777" w:rsidTr="00FA340F">
        <w:trPr>
          <w:cantSplit/>
        </w:trPr>
        <w:tc>
          <w:tcPr>
            <w:tcW w:w="1733" w:type="dxa"/>
            <w:tcBorders>
              <w:bottom w:val="single" w:sz="4" w:space="0" w:color="auto"/>
            </w:tcBorders>
          </w:tcPr>
          <w:p w14:paraId="26821E5B" w14:textId="77777777" w:rsidR="000305DD" w:rsidRPr="00F24972" w:rsidRDefault="000305DD" w:rsidP="000305DD">
            <w:pPr>
              <w:pStyle w:val="TableText"/>
              <w:rPr>
                <w:rFonts w:cs="Arial"/>
              </w:rPr>
            </w:pPr>
            <w:r w:rsidRPr="00F24972">
              <w:rPr>
                <w:rFonts w:cs="Arial"/>
              </w:rPr>
              <w:t>Update Reagent Inventory</w:t>
            </w:r>
          </w:p>
        </w:tc>
        <w:tc>
          <w:tcPr>
            <w:tcW w:w="1592" w:type="dxa"/>
            <w:tcBorders>
              <w:bottom w:val="single" w:sz="4" w:space="0" w:color="auto"/>
            </w:tcBorders>
          </w:tcPr>
          <w:p w14:paraId="68D34107" w14:textId="77777777" w:rsidR="000305DD" w:rsidRPr="00F24972" w:rsidRDefault="000305DD" w:rsidP="000305DD">
            <w:pPr>
              <w:pStyle w:val="TableText"/>
              <w:rPr>
                <w:rFonts w:cs="Arial"/>
              </w:rPr>
            </w:pPr>
            <w:r>
              <w:rPr>
                <w:rFonts w:cs="Arial"/>
                <w:snapToGrid w:val="0"/>
              </w:rPr>
              <w:t>Reagents, Update</w:t>
            </w:r>
          </w:p>
        </w:tc>
        <w:tc>
          <w:tcPr>
            <w:tcW w:w="1080" w:type="dxa"/>
            <w:tcBorders>
              <w:bottom w:val="single" w:sz="4" w:space="0" w:color="auto"/>
            </w:tcBorders>
          </w:tcPr>
          <w:p w14:paraId="0B729DAF" w14:textId="77777777" w:rsidR="000305DD" w:rsidRPr="00F24972" w:rsidRDefault="000305DD" w:rsidP="000305DD">
            <w:pPr>
              <w:pStyle w:val="TableText"/>
              <w:rPr>
                <w:rFonts w:cs="Arial"/>
              </w:rPr>
            </w:pPr>
            <w:r w:rsidRPr="00F24972">
              <w:rPr>
                <w:rFonts w:cs="Arial"/>
              </w:rPr>
              <w:t>Positive</w:t>
            </w:r>
          </w:p>
        </w:tc>
        <w:tc>
          <w:tcPr>
            <w:tcW w:w="900" w:type="dxa"/>
            <w:tcBorders>
              <w:bottom w:val="single" w:sz="4" w:space="0" w:color="auto"/>
            </w:tcBorders>
          </w:tcPr>
          <w:p w14:paraId="47180AE1" w14:textId="77777777" w:rsidR="000305DD" w:rsidRPr="00F24972" w:rsidRDefault="000305DD" w:rsidP="000305DD">
            <w:pPr>
              <w:pStyle w:val="TableText"/>
              <w:jc w:val="center"/>
              <w:rPr>
                <w:rFonts w:cs="Arial"/>
              </w:rPr>
            </w:pPr>
            <w:r w:rsidRPr="00F24972">
              <w:rPr>
                <w:rFonts w:cs="Arial"/>
              </w:rPr>
              <w:t>M</w:t>
            </w:r>
          </w:p>
        </w:tc>
        <w:tc>
          <w:tcPr>
            <w:tcW w:w="4950" w:type="dxa"/>
            <w:tcBorders>
              <w:bottom w:val="single" w:sz="4" w:space="0" w:color="auto"/>
            </w:tcBorders>
          </w:tcPr>
          <w:p w14:paraId="00663E72" w14:textId="77777777" w:rsidR="000305DD" w:rsidRPr="00F24972" w:rsidRDefault="000305DD" w:rsidP="000305DD">
            <w:pPr>
              <w:pStyle w:val="TableText"/>
              <w:rPr>
                <w:rFonts w:cs="Arial"/>
              </w:rPr>
            </w:pPr>
            <w:r w:rsidRPr="00F24972">
              <w:rPr>
                <w:rFonts w:cs="Arial"/>
              </w:rPr>
              <w:t>Accrue workload when a lot number of any type of reagent is updated in the system.</w:t>
            </w:r>
            <w:r>
              <w:rPr>
                <w:rFonts w:cs="Arial"/>
              </w:rPr>
              <w:t xml:space="preserve"> </w:t>
            </w:r>
            <w:r w:rsidRPr="00F24972">
              <w:rPr>
                <w:rFonts w:cs="Arial"/>
              </w:rPr>
              <w:t>When multiple lot numbers are processed in a batch, each lot number’s workload is counted.</w:t>
            </w:r>
          </w:p>
        </w:tc>
      </w:tr>
      <w:tr w:rsidR="000305DD" w:rsidRPr="00F24972" w14:paraId="6D81359D" w14:textId="77777777" w:rsidTr="00FA340F">
        <w:trPr>
          <w:cantSplit/>
        </w:trPr>
        <w:tc>
          <w:tcPr>
            <w:tcW w:w="1733" w:type="dxa"/>
          </w:tcPr>
          <w:p w14:paraId="6F754A39" w14:textId="77777777" w:rsidR="000305DD" w:rsidRPr="000037E8" w:rsidRDefault="000305DD" w:rsidP="000305DD">
            <w:pPr>
              <w:pStyle w:val="TableText"/>
              <w:rPr>
                <w:rFonts w:cs="Arial"/>
                <w:szCs w:val="18"/>
              </w:rPr>
            </w:pPr>
            <w:r w:rsidRPr="000037E8">
              <w:rPr>
                <w:rFonts w:cs="Arial"/>
                <w:szCs w:val="18"/>
              </w:rPr>
              <w:t>Update Supply Inventory</w:t>
            </w:r>
          </w:p>
        </w:tc>
        <w:tc>
          <w:tcPr>
            <w:tcW w:w="1592" w:type="dxa"/>
          </w:tcPr>
          <w:p w14:paraId="01AD5948" w14:textId="77777777" w:rsidR="000305DD" w:rsidRPr="000037E8" w:rsidRDefault="000305DD" w:rsidP="000305DD">
            <w:pPr>
              <w:pStyle w:val="TableText"/>
              <w:rPr>
                <w:rFonts w:cs="Arial"/>
                <w:snapToGrid w:val="0"/>
                <w:szCs w:val="18"/>
              </w:rPr>
            </w:pPr>
            <w:r w:rsidRPr="000037E8">
              <w:rPr>
                <w:rFonts w:cs="Arial"/>
                <w:snapToGrid w:val="0"/>
                <w:szCs w:val="18"/>
              </w:rPr>
              <w:t>Supplies, Update</w:t>
            </w:r>
          </w:p>
        </w:tc>
        <w:tc>
          <w:tcPr>
            <w:tcW w:w="1080" w:type="dxa"/>
          </w:tcPr>
          <w:p w14:paraId="7246DA46" w14:textId="77777777" w:rsidR="000305DD" w:rsidRPr="000037E8" w:rsidRDefault="000305DD" w:rsidP="000305DD">
            <w:pPr>
              <w:pStyle w:val="TableText"/>
              <w:rPr>
                <w:rFonts w:cs="Arial"/>
                <w:szCs w:val="18"/>
              </w:rPr>
            </w:pPr>
            <w:r w:rsidRPr="000037E8">
              <w:rPr>
                <w:rFonts w:cs="Arial"/>
                <w:szCs w:val="18"/>
              </w:rPr>
              <w:t>Positive</w:t>
            </w:r>
          </w:p>
        </w:tc>
        <w:tc>
          <w:tcPr>
            <w:tcW w:w="900" w:type="dxa"/>
          </w:tcPr>
          <w:p w14:paraId="23309556" w14:textId="77777777" w:rsidR="000305DD" w:rsidRPr="000037E8" w:rsidRDefault="000305DD" w:rsidP="000305DD">
            <w:pPr>
              <w:pStyle w:val="TableText"/>
              <w:jc w:val="center"/>
              <w:rPr>
                <w:rFonts w:cs="Arial"/>
                <w:szCs w:val="18"/>
              </w:rPr>
            </w:pPr>
            <w:r w:rsidRPr="000037E8">
              <w:rPr>
                <w:rFonts w:cs="Arial"/>
                <w:szCs w:val="18"/>
              </w:rPr>
              <w:t>M</w:t>
            </w:r>
          </w:p>
        </w:tc>
        <w:tc>
          <w:tcPr>
            <w:tcW w:w="4950" w:type="dxa"/>
          </w:tcPr>
          <w:p w14:paraId="19DDCFFF" w14:textId="77777777" w:rsidR="000305DD" w:rsidRPr="000037E8" w:rsidRDefault="000305DD" w:rsidP="000305DD">
            <w:pPr>
              <w:pStyle w:val="TableText"/>
              <w:rPr>
                <w:rFonts w:cs="Arial"/>
                <w:szCs w:val="18"/>
              </w:rPr>
            </w:pPr>
            <w:r w:rsidRPr="000037E8">
              <w:rPr>
                <w:rFonts w:cs="Arial"/>
                <w:szCs w:val="18"/>
              </w:rPr>
              <w:t>Accrue workload when a lot number of any type of supply is updated in the system. When multiple lot numbers are processed in a batch, each lot number’s workload is counted.</w:t>
            </w:r>
          </w:p>
        </w:tc>
      </w:tr>
      <w:tr w:rsidR="000037E8" w:rsidRPr="00F24972" w14:paraId="3F49B9F4" w14:textId="77777777" w:rsidTr="00FA340F">
        <w:trPr>
          <w:cantSplit/>
        </w:trPr>
        <w:tc>
          <w:tcPr>
            <w:tcW w:w="1733" w:type="dxa"/>
            <w:vMerge w:val="restart"/>
          </w:tcPr>
          <w:p w14:paraId="10F2A8EC" w14:textId="77777777" w:rsidR="000037E8" w:rsidRPr="000037E8" w:rsidRDefault="000037E8" w:rsidP="00A42CB6">
            <w:pPr>
              <w:pStyle w:val="TableText"/>
              <w:rPr>
                <w:rFonts w:cs="Arial"/>
                <w:szCs w:val="18"/>
              </w:rPr>
            </w:pPr>
            <w:r w:rsidRPr="000037E8">
              <w:rPr>
                <w:rFonts w:cs="Arial"/>
                <w:szCs w:val="18"/>
              </w:rPr>
              <w:t>Patient ABO Automated</w:t>
            </w:r>
          </w:p>
        </w:tc>
        <w:tc>
          <w:tcPr>
            <w:tcW w:w="1592" w:type="dxa"/>
          </w:tcPr>
          <w:p w14:paraId="484713F7" w14:textId="77777777" w:rsidR="000037E8" w:rsidRPr="000037E8" w:rsidRDefault="001676C5" w:rsidP="00A42CB6">
            <w:pPr>
              <w:pStyle w:val="TableText"/>
              <w:rPr>
                <w:rFonts w:cs="Arial"/>
                <w:snapToGrid w:val="0"/>
                <w:szCs w:val="18"/>
              </w:rPr>
            </w:pPr>
            <w:r>
              <w:rPr>
                <w:rFonts w:cs="Arial"/>
                <w:snapToGrid w:val="0"/>
                <w:szCs w:val="18"/>
              </w:rPr>
              <w:t>Automated Interface</w:t>
            </w:r>
          </w:p>
        </w:tc>
        <w:tc>
          <w:tcPr>
            <w:tcW w:w="1080" w:type="dxa"/>
          </w:tcPr>
          <w:p w14:paraId="69D5C757" w14:textId="77777777" w:rsidR="000037E8" w:rsidRPr="000037E8" w:rsidRDefault="000037E8" w:rsidP="00A42CB6">
            <w:pPr>
              <w:pStyle w:val="TableText"/>
              <w:rPr>
                <w:rFonts w:cs="Arial"/>
                <w:szCs w:val="18"/>
              </w:rPr>
            </w:pPr>
            <w:r w:rsidRPr="000037E8">
              <w:rPr>
                <w:rFonts w:cs="Arial"/>
                <w:szCs w:val="18"/>
              </w:rPr>
              <w:t>Positive</w:t>
            </w:r>
          </w:p>
        </w:tc>
        <w:tc>
          <w:tcPr>
            <w:tcW w:w="900" w:type="dxa"/>
          </w:tcPr>
          <w:p w14:paraId="494D41ED" w14:textId="77777777" w:rsidR="000037E8" w:rsidRPr="000037E8" w:rsidRDefault="000037E8" w:rsidP="00A42CB6">
            <w:pPr>
              <w:pStyle w:val="TableText"/>
              <w:jc w:val="center"/>
              <w:rPr>
                <w:rFonts w:cs="Arial"/>
                <w:szCs w:val="18"/>
              </w:rPr>
            </w:pPr>
            <w:r w:rsidRPr="000037E8">
              <w:rPr>
                <w:rFonts w:cs="Arial"/>
                <w:szCs w:val="18"/>
              </w:rPr>
              <w:t>P</w:t>
            </w:r>
          </w:p>
        </w:tc>
        <w:tc>
          <w:tcPr>
            <w:tcW w:w="4950" w:type="dxa"/>
          </w:tcPr>
          <w:p w14:paraId="33E6FB76" w14:textId="77777777" w:rsidR="000037E8" w:rsidRPr="000037E8" w:rsidRDefault="000037E8" w:rsidP="00A42CB6">
            <w:pPr>
              <w:pStyle w:val="TableText"/>
              <w:rPr>
                <w:rFonts w:cs="Arial"/>
                <w:szCs w:val="18"/>
              </w:rPr>
            </w:pPr>
            <w:r w:rsidRPr="000037E8">
              <w:rPr>
                <w:rFonts w:cs="Arial"/>
                <w:szCs w:val="18"/>
              </w:rPr>
              <w:t>Accrue workload when an ABO/Rh test, primary or reflex, is reviewed, and saved.</w:t>
            </w:r>
          </w:p>
        </w:tc>
      </w:tr>
      <w:tr w:rsidR="000037E8" w:rsidRPr="00F24972" w14:paraId="35504135" w14:textId="77777777" w:rsidTr="00FA340F">
        <w:trPr>
          <w:cantSplit/>
        </w:trPr>
        <w:tc>
          <w:tcPr>
            <w:tcW w:w="1733" w:type="dxa"/>
            <w:vMerge/>
          </w:tcPr>
          <w:p w14:paraId="0A6FA88D" w14:textId="77777777" w:rsidR="000037E8" w:rsidRPr="000037E8" w:rsidRDefault="000037E8" w:rsidP="00A42CB6">
            <w:pPr>
              <w:pStyle w:val="TableText"/>
              <w:rPr>
                <w:rFonts w:cs="Arial"/>
                <w:szCs w:val="18"/>
              </w:rPr>
            </w:pPr>
          </w:p>
        </w:tc>
        <w:tc>
          <w:tcPr>
            <w:tcW w:w="1592" w:type="dxa"/>
          </w:tcPr>
          <w:p w14:paraId="78A1D3B4" w14:textId="77777777" w:rsidR="000037E8" w:rsidRPr="000037E8" w:rsidRDefault="001676C5" w:rsidP="00A42CB6">
            <w:pPr>
              <w:pStyle w:val="TableText"/>
              <w:rPr>
                <w:rFonts w:cs="Arial"/>
                <w:snapToGrid w:val="0"/>
                <w:szCs w:val="18"/>
              </w:rPr>
            </w:pPr>
            <w:r>
              <w:rPr>
                <w:rFonts w:cs="Arial"/>
                <w:snapToGrid w:val="0"/>
                <w:szCs w:val="18"/>
              </w:rPr>
              <w:t>Invalidate patient testing, ABO/Rh</w:t>
            </w:r>
          </w:p>
        </w:tc>
        <w:tc>
          <w:tcPr>
            <w:tcW w:w="1080" w:type="dxa"/>
          </w:tcPr>
          <w:p w14:paraId="7343A037" w14:textId="77777777" w:rsidR="000037E8" w:rsidRPr="000037E8" w:rsidRDefault="000037E8" w:rsidP="00A42CB6">
            <w:pPr>
              <w:pStyle w:val="TableText"/>
              <w:rPr>
                <w:rFonts w:cs="Arial"/>
                <w:szCs w:val="18"/>
              </w:rPr>
            </w:pPr>
            <w:r w:rsidRPr="000037E8">
              <w:rPr>
                <w:rFonts w:cs="Arial"/>
                <w:b/>
                <w:szCs w:val="18"/>
              </w:rPr>
              <w:t>Negative</w:t>
            </w:r>
          </w:p>
        </w:tc>
        <w:tc>
          <w:tcPr>
            <w:tcW w:w="900" w:type="dxa"/>
          </w:tcPr>
          <w:p w14:paraId="046659B1" w14:textId="77777777" w:rsidR="000037E8" w:rsidRPr="000037E8" w:rsidRDefault="000037E8" w:rsidP="00A42CB6">
            <w:pPr>
              <w:pStyle w:val="TableText"/>
              <w:jc w:val="center"/>
              <w:rPr>
                <w:rFonts w:cs="Arial"/>
                <w:szCs w:val="18"/>
              </w:rPr>
            </w:pPr>
            <w:r w:rsidRPr="000037E8">
              <w:rPr>
                <w:rFonts w:cs="Arial"/>
                <w:szCs w:val="18"/>
              </w:rPr>
              <w:t>P</w:t>
            </w:r>
          </w:p>
        </w:tc>
        <w:tc>
          <w:tcPr>
            <w:tcW w:w="4950" w:type="dxa"/>
          </w:tcPr>
          <w:p w14:paraId="658B8A94" w14:textId="77777777" w:rsidR="000037E8" w:rsidRPr="000037E8" w:rsidRDefault="000037E8" w:rsidP="00A42CB6">
            <w:pPr>
              <w:pStyle w:val="TableText"/>
              <w:rPr>
                <w:rFonts w:cs="Arial"/>
                <w:szCs w:val="18"/>
              </w:rPr>
            </w:pPr>
            <w:r w:rsidRPr="000037E8">
              <w:rPr>
                <w:rFonts w:cs="Arial"/>
                <w:szCs w:val="18"/>
              </w:rPr>
              <w:t>Accrue workload when a reviewed ABO/Rh test is invalidated.</w:t>
            </w:r>
          </w:p>
        </w:tc>
      </w:tr>
      <w:tr w:rsidR="001676C5" w:rsidRPr="00F24972" w14:paraId="732432E5" w14:textId="77777777" w:rsidTr="00FA340F">
        <w:trPr>
          <w:cantSplit/>
        </w:trPr>
        <w:tc>
          <w:tcPr>
            <w:tcW w:w="1733" w:type="dxa"/>
            <w:vMerge w:val="restart"/>
          </w:tcPr>
          <w:p w14:paraId="62E2683E" w14:textId="77777777" w:rsidR="001676C5" w:rsidRPr="000037E8" w:rsidRDefault="001676C5" w:rsidP="00A42CB6">
            <w:pPr>
              <w:pStyle w:val="TableText"/>
              <w:rPr>
                <w:rFonts w:cs="Arial"/>
                <w:szCs w:val="18"/>
              </w:rPr>
            </w:pPr>
            <w:r w:rsidRPr="000037E8">
              <w:rPr>
                <w:rFonts w:cs="Arial"/>
                <w:szCs w:val="18"/>
              </w:rPr>
              <w:t>Antibody Screen/Indirect Coombs Automated</w:t>
            </w:r>
          </w:p>
        </w:tc>
        <w:tc>
          <w:tcPr>
            <w:tcW w:w="1592" w:type="dxa"/>
          </w:tcPr>
          <w:p w14:paraId="22C5F222" w14:textId="77777777" w:rsidR="001676C5" w:rsidRPr="000037E8" w:rsidRDefault="001676C5" w:rsidP="0038583A">
            <w:pPr>
              <w:pStyle w:val="TableText"/>
              <w:rPr>
                <w:rFonts w:cs="Arial"/>
                <w:snapToGrid w:val="0"/>
                <w:szCs w:val="18"/>
              </w:rPr>
            </w:pPr>
            <w:r>
              <w:rPr>
                <w:rFonts w:cs="Arial"/>
                <w:snapToGrid w:val="0"/>
                <w:szCs w:val="18"/>
              </w:rPr>
              <w:t>Automated Interface</w:t>
            </w:r>
          </w:p>
        </w:tc>
        <w:tc>
          <w:tcPr>
            <w:tcW w:w="1080" w:type="dxa"/>
          </w:tcPr>
          <w:p w14:paraId="1EE6D380" w14:textId="77777777" w:rsidR="001676C5" w:rsidRPr="000037E8" w:rsidRDefault="001676C5" w:rsidP="00A42CB6">
            <w:pPr>
              <w:pStyle w:val="TableText"/>
              <w:rPr>
                <w:rFonts w:cs="Arial"/>
                <w:b/>
                <w:szCs w:val="18"/>
              </w:rPr>
            </w:pPr>
            <w:r w:rsidRPr="000037E8">
              <w:rPr>
                <w:rFonts w:cs="Arial"/>
                <w:szCs w:val="18"/>
              </w:rPr>
              <w:t>Positive</w:t>
            </w:r>
          </w:p>
        </w:tc>
        <w:tc>
          <w:tcPr>
            <w:tcW w:w="900" w:type="dxa"/>
          </w:tcPr>
          <w:p w14:paraId="184CA47A" w14:textId="77777777" w:rsidR="001676C5" w:rsidRPr="000037E8" w:rsidRDefault="001676C5" w:rsidP="00A42CB6">
            <w:pPr>
              <w:pStyle w:val="TableText"/>
              <w:jc w:val="center"/>
              <w:rPr>
                <w:rFonts w:cs="Arial"/>
                <w:szCs w:val="18"/>
              </w:rPr>
            </w:pPr>
            <w:r w:rsidRPr="000037E8">
              <w:rPr>
                <w:rFonts w:cs="Arial"/>
                <w:szCs w:val="18"/>
              </w:rPr>
              <w:t>P</w:t>
            </w:r>
          </w:p>
        </w:tc>
        <w:tc>
          <w:tcPr>
            <w:tcW w:w="4950" w:type="dxa"/>
          </w:tcPr>
          <w:p w14:paraId="4F4EA107" w14:textId="77777777" w:rsidR="001676C5" w:rsidRPr="000037E8" w:rsidRDefault="001676C5" w:rsidP="00A42CB6">
            <w:pPr>
              <w:pStyle w:val="TableText"/>
              <w:rPr>
                <w:rFonts w:cs="Arial"/>
                <w:szCs w:val="18"/>
              </w:rPr>
            </w:pPr>
            <w:r w:rsidRPr="000037E8">
              <w:rPr>
                <w:rFonts w:cs="Arial"/>
                <w:szCs w:val="18"/>
              </w:rPr>
              <w:t>Accrue workload when an ordered ABS test, primary or reflex, is reviewed, and saved.</w:t>
            </w:r>
          </w:p>
          <w:p w14:paraId="1684790A" w14:textId="77777777" w:rsidR="001676C5" w:rsidRPr="000037E8" w:rsidRDefault="001676C5" w:rsidP="00A42CB6">
            <w:pPr>
              <w:pStyle w:val="TableText"/>
              <w:rPr>
                <w:rFonts w:cs="Arial"/>
                <w:szCs w:val="18"/>
              </w:rPr>
            </w:pPr>
            <w:r w:rsidRPr="000037E8">
              <w:rPr>
                <w:rFonts w:cs="Arial"/>
                <w:szCs w:val="18"/>
              </w:rPr>
              <w:t>Apply to primary or reflex tests.</w:t>
            </w:r>
          </w:p>
        </w:tc>
      </w:tr>
      <w:tr w:rsidR="001676C5" w:rsidRPr="00F24972" w14:paraId="16F84BE5" w14:textId="77777777" w:rsidTr="00FA340F">
        <w:trPr>
          <w:cantSplit/>
        </w:trPr>
        <w:tc>
          <w:tcPr>
            <w:tcW w:w="1733" w:type="dxa"/>
            <w:vMerge/>
          </w:tcPr>
          <w:p w14:paraId="4EC17938" w14:textId="77777777" w:rsidR="001676C5" w:rsidRPr="000037E8" w:rsidRDefault="001676C5" w:rsidP="00A42CB6">
            <w:pPr>
              <w:pStyle w:val="TableText"/>
              <w:rPr>
                <w:rFonts w:cs="Arial"/>
                <w:szCs w:val="18"/>
              </w:rPr>
            </w:pPr>
          </w:p>
        </w:tc>
        <w:tc>
          <w:tcPr>
            <w:tcW w:w="1592" w:type="dxa"/>
          </w:tcPr>
          <w:p w14:paraId="6F544743" w14:textId="77777777" w:rsidR="001676C5" w:rsidRPr="000037E8" w:rsidRDefault="001676C5" w:rsidP="0038583A">
            <w:pPr>
              <w:pStyle w:val="TableText"/>
              <w:rPr>
                <w:rFonts w:cs="Arial"/>
                <w:snapToGrid w:val="0"/>
                <w:szCs w:val="18"/>
              </w:rPr>
            </w:pPr>
            <w:r>
              <w:rPr>
                <w:rFonts w:cs="Arial"/>
                <w:snapToGrid w:val="0"/>
                <w:szCs w:val="18"/>
              </w:rPr>
              <w:t>Invalidate patient testing, Antibody Screen</w:t>
            </w:r>
          </w:p>
        </w:tc>
        <w:tc>
          <w:tcPr>
            <w:tcW w:w="1080" w:type="dxa"/>
          </w:tcPr>
          <w:p w14:paraId="0F3EC117" w14:textId="77777777" w:rsidR="001676C5" w:rsidRPr="000037E8" w:rsidRDefault="001676C5" w:rsidP="00A42CB6">
            <w:pPr>
              <w:pStyle w:val="TableText"/>
              <w:rPr>
                <w:rFonts w:cs="Arial"/>
                <w:szCs w:val="18"/>
              </w:rPr>
            </w:pPr>
            <w:r w:rsidRPr="000037E8">
              <w:rPr>
                <w:rFonts w:cs="Arial"/>
                <w:b/>
                <w:szCs w:val="18"/>
              </w:rPr>
              <w:t>Negative</w:t>
            </w:r>
          </w:p>
        </w:tc>
        <w:tc>
          <w:tcPr>
            <w:tcW w:w="900" w:type="dxa"/>
          </w:tcPr>
          <w:p w14:paraId="75824A9F" w14:textId="77777777" w:rsidR="001676C5" w:rsidRPr="000037E8" w:rsidRDefault="001676C5" w:rsidP="00A42CB6">
            <w:pPr>
              <w:pStyle w:val="TableText"/>
              <w:jc w:val="center"/>
              <w:rPr>
                <w:rFonts w:cs="Arial"/>
                <w:szCs w:val="18"/>
              </w:rPr>
            </w:pPr>
            <w:r w:rsidRPr="000037E8">
              <w:rPr>
                <w:rFonts w:cs="Arial"/>
                <w:szCs w:val="18"/>
              </w:rPr>
              <w:t>P</w:t>
            </w:r>
          </w:p>
        </w:tc>
        <w:tc>
          <w:tcPr>
            <w:tcW w:w="4950" w:type="dxa"/>
          </w:tcPr>
          <w:p w14:paraId="2275A99A" w14:textId="77777777" w:rsidR="001676C5" w:rsidRPr="000037E8" w:rsidRDefault="001676C5" w:rsidP="00A42CB6">
            <w:pPr>
              <w:pStyle w:val="TableText"/>
              <w:rPr>
                <w:rFonts w:cs="Arial"/>
                <w:szCs w:val="18"/>
              </w:rPr>
            </w:pPr>
            <w:r w:rsidRPr="000037E8">
              <w:rPr>
                <w:rFonts w:cs="Arial"/>
                <w:szCs w:val="18"/>
              </w:rPr>
              <w:t>Accrue workload when a completed ABS test is invalidated.</w:t>
            </w:r>
          </w:p>
        </w:tc>
      </w:tr>
      <w:tr w:rsidR="001676C5" w:rsidRPr="00F24972" w14:paraId="204E5FD1" w14:textId="77777777" w:rsidTr="00FA340F">
        <w:trPr>
          <w:cantSplit/>
        </w:trPr>
        <w:tc>
          <w:tcPr>
            <w:tcW w:w="1733" w:type="dxa"/>
            <w:vMerge w:val="restart"/>
          </w:tcPr>
          <w:p w14:paraId="4E844697" w14:textId="77777777" w:rsidR="001676C5" w:rsidRPr="000037E8" w:rsidRDefault="001676C5" w:rsidP="00A42CB6">
            <w:pPr>
              <w:pStyle w:val="TableText"/>
              <w:rPr>
                <w:rFonts w:cs="Arial"/>
                <w:szCs w:val="18"/>
              </w:rPr>
            </w:pPr>
            <w:r w:rsidRPr="000037E8">
              <w:rPr>
                <w:rFonts w:cs="Arial"/>
                <w:szCs w:val="18"/>
              </w:rPr>
              <w:t>Serologic Crossmatch, Major, Automated </w:t>
            </w:r>
          </w:p>
        </w:tc>
        <w:tc>
          <w:tcPr>
            <w:tcW w:w="1592" w:type="dxa"/>
          </w:tcPr>
          <w:p w14:paraId="4394E3C0" w14:textId="77777777" w:rsidR="001676C5" w:rsidRPr="000037E8" w:rsidRDefault="001676C5" w:rsidP="0038583A">
            <w:pPr>
              <w:pStyle w:val="TableText"/>
              <w:rPr>
                <w:rFonts w:cs="Arial"/>
                <w:snapToGrid w:val="0"/>
                <w:szCs w:val="18"/>
              </w:rPr>
            </w:pPr>
            <w:r>
              <w:rPr>
                <w:rFonts w:cs="Arial"/>
                <w:snapToGrid w:val="0"/>
                <w:szCs w:val="18"/>
              </w:rPr>
              <w:t>Automated Interface</w:t>
            </w:r>
          </w:p>
        </w:tc>
        <w:tc>
          <w:tcPr>
            <w:tcW w:w="1080" w:type="dxa"/>
          </w:tcPr>
          <w:p w14:paraId="41F20EDF" w14:textId="77777777" w:rsidR="001676C5" w:rsidRPr="000037E8" w:rsidRDefault="001676C5" w:rsidP="00A42CB6">
            <w:pPr>
              <w:pStyle w:val="TableText"/>
              <w:rPr>
                <w:rFonts w:cs="Arial"/>
                <w:b/>
                <w:szCs w:val="18"/>
              </w:rPr>
            </w:pPr>
            <w:r w:rsidRPr="000037E8">
              <w:rPr>
                <w:rFonts w:cs="Arial"/>
                <w:szCs w:val="18"/>
              </w:rPr>
              <w:t>Positive</w:t>
            </w:r>
          </w:p>
        </w:tc>
        <w:tc>
          <w:tcPr>
            <w:tcW w:w="900" w:type="dxa"/>
          </w:tcPr>
          <w:p w14:paraId="7E315DD8" w14:textId="77777777" w:rsidR="001676C5" w:rsidRPr="000037E8" w:rsidRDefault="001676C5" w:rsidP="00A42CB6">
            <w:pPr>
              <w:pStyle w:val="TableText"/>
              <w:jc w:val="center"/>
              <w:rPr>
                <w:rFonts w:cs="Arial"/>
                <w:szCs w:val="18"/>
              </w:rPr>
            </w:pPr>
            <w:r w:rsidRPr="000037E8">
              <w:rPr>
                <w:rFonts w:cs="Arial"/>
                <w:szCs w:val="18"/>
              </w:rPr>
              <w:t>P</w:t>
            </w:r>
          </w:p>
        </w:tc>
        <w:tc>
          <w:tcPr>
            <w:tcW w:w="4950" w:type="dxa"/>
          </w:tcPr>
          <w:p w14:paraId="46EA29B2" w14:textId="17BD08D4" w:rsidR="001676C5" w:rsidRPr="000037E8" w:rsidRDefault="001676C5" w:rsidP="00A42CB6">
            <w:pPr>
              <w:pStyle w:val="TableText"/>
              <w:rPr>
                <w:rFonts w:cs="Arial"/>
                <w:szCs w:val="18"/>
              </w:rPr>
            </w:pPr>
            <w:r w:rsidRPr="000037E8">
              <w:rPr>
                <w:rFonts w:cs="Arial"/>
                <w:szCs w:val="18"/>
              </w:rPr>
              <w:t xml:space="preserve">Accrue workload when an individual unit (row) crossmatch, selected to include all phases or only AHG phase, primary or reflex, is reviewed, and saved. When </w:t>
            </w:r>
            <w:r w:rsidR="00AE3B37" w:rsidRPr="000037E8">
              <w:rPr>
                <w:rFonts w:cs="Arial"/>
                <w:szCs w:val="18"/>
              </w:rPr>
              <w:t>multiple units</w:t>
            </w:r>
            <w:r w:rsidRPr="000037E8">
              <w:rPr>
                <w:rFonts w:cs="Arial"/>
                <w:szCs w:val="18"/>
              </w:rPr>
              <w:t xml:space="preserve"> are selected, each unit (row) accrues workload.</w:t>
            </w:r>
          </w:p>
        </w:tc>
      </w:tr>
      <w:tr w:rsidR="001676C5" w:rsidRPr="00F24972" w14:paraId="33808FF4" w14:textId="77777777" w:rsidTr="00FA340F">
        <w:trPr>
          <w:cantSplit/>
        </w:trPr>
        <w:tc>
          <w:tcPr>
            <w:tcW w:w="1733" w:type="dxa"/>
            <w:vMerge/>
          </w:tcPr>
          <w:p w14:paraId="79BE99B5" w14:textId="77777777" w:rsidR="001676C5" w:rsidRPr="000037E8" w:rsidRDefault="001676C5" w:rsidP="00A42CB6">
            <w:pPr>
              <w:pStyle w:val="TableText"/>
              <w:rPr>
                <w:rFonts w:cs="Arial"/>
                <w:szCs w:val="18"/>
              </w:rPr>
            </w:pPr>
          </w:p>
        </w:tc>
        <w:tc>
          <w:tcPr>
            <w:tcW w:w="1592" w:type="dxa"/>
          </w:tcPr>
          <w:p w14:paraId="201BAB38" w14:textId="77777777" w:rsidR="001676C5" w:rsidRPr="000037E8" w:rsidRDefault="001676C5" w:rsidP="0038583A">
            <w:pPr>
              <w:pStyle w:val="TableText"/>
              <w:rPr>
                <w:rFonts w:cs="Arial"/>
                <w:snapToGrid w:val="0"/>
                <w:szCs w:val="18"/>
              </w:rPr>
            </w:pPr>
            <w:r>
              <w:rPr>
                <w:rFonts w:cs="Arial"/>
                <w:snapToGrid w:val="0"/>
                <w:szCs w:val="18"/>
              </w:rPr>
              <w:t>Invalidate patient testing, crossmatch</w:t>
            </w:r>
          </w:p>
        </w:tc>
        <w:tc>
          <w:tcPr>
            <w:tcW w:w="1080" w:type="dxa"/>
          </w:tcPr>
          <w:p w14:paraId="60843D90" w14:textId="77777777" w:rsidR="001676C5" w:rsidRPr="000037E8" w:rsidRDefault="001676C5" w:rsidP="00A42CB6">
            <w:pPr>
              <w:pStyle w:val="TableText"/>
              <w:rPr>
                <w:rFonts w:cs="Arial"/>
                <w:szCs w:val="18"/>
              </w:rPr>
            </w:pPr>
            <w:r w:rsidRPr="000037E8">
              <w:rPr>
                <w:rFonts w:cs="Arial"/>
                <w:b/>
                <w:szCs w:val="18"/>
              </w:rPr>
              <w:t>Negative</w:t>
            </w:r>
          </w:p>
        </w:tc>
        <w:tc>
          <w:tcPr>
            <w:tcW w:w="900" w:type="dxa"/>
          </w:tcPr>
          <w:p w14:paraId="4C3A9C52" w14:textId="77777777" w:rsidR="001676C5" w:rsidRPr="000037E8" w:rsidRDefault="001676C5" w:rsidP="00A42CB6">
            <w:pPr>
              <w:pStyle w:val="TableText"/>
              <w:jc w:val="center"/>
              <w:rPr>
                <w:rFonts w:cs="Arial"/>
                <w:szCs w:val="18"/>
              </w:rPr>
            </w:pPr>
            <w:r w:rsidRPr="000037E8">
              <w:rPr>
                <w:rFonts w:cs="Arial"/>
                <w:szCs w:val="18"/>
              </w:rPr>
              <w:t>P</w:t>
            </w:r>
          </w:p>
        </w:tc>
        <w:tc>
          <w:tcPr>
            <w:tcW w:w="4950" w:type="dxa"/>
          </w:tcPr>
          <w:p w14:paraId="7F8BDBEA" w14:textId="77777777" w:rsidR="001676C5" w:rsidRPr="000037E8" w:rsidRDefault="001676C5" w:rsidP="00A42CB6">
            <w:pPr>
              <w:pStyle w:val="TableText"/>
              <w:rPr>
                <w:rFonts w:cs="Arial"/>
                <w:szCs w:val="18"/>
              </w:rPr>
            </w:pPr>
            <w:r w:rsidRPr="000037E8">
              <w:rPr>
                <w:rFonts w:cs="Arial"/>
                <w:szCs w:val="18"/>
              </w:rPr>
              <w:t>Accrue workload when a reviewed crossmatch test is invalidated. The workload originally saved with the test, serological Coombs.</w:t>
            </w:r>
          </w:p>
        </w:tc>
      </w:tr>
      <w:tr w:rsidR="001676C5" w:rsidRPr="00F24972" w14:paraId="35D231D1" w14:textId="77777777" w:rsidTr="00FA340F">
        <w:trPr>
          <w:cantSplit/>
        </w:trPr>
        <w:tc>
          <w:tcPr>
            <w:tcW w:w="1733" w:type="dxa"/>
            <w:vMerge w:val="restart"/>
          </w:tcPr>
          <w:p w14:paraId="661F4580" w14:textId="77777777" w:rsidR="001676C5" w:rsidRPr="000037E8" w:rsidRDefault="001676C5" w:rsidP="00A42CB6">
            <w:pPr>
              <w:pStyle w:val="TableText"/>
              <w:rPr>
                <w:rFonts w:cs="Arial"/>
                <w:szCs w:val="18"/>
              </w:rPr>
            </w:pPr>
            <w:r w:rsidRPr="000037E8">
              <w:rPr>
                <w:rFonts w:cs="Arial"/>
                <w:szCs w:val="18"/>
              </w:rPr>
              <w:t>Direct Antiglobulin Test Automated</w:t>
            </w:r>
          </w:p>
        </w:tc>
        <w:tc>
          <w:tcPr>
            <w:tcW w:w="1592" w:type="dxa"/>
          </w:tcPr>
          <w:p w14:paraId="58BA32BD" w14:textId="77777777" w:rsidR="001676C5" w:rsidRPr="000037E8" w:rsidRDefault="001676C5" w:rsidP="0038583A">
            <w:pPr>
              <w:pStyle w:val="TableText"/>
              <w:rPr>
                <w:rFonts w:cs="Arial"/>
                <w:snapToGrid w:val="0"/>
                <w:szCs w:val="18"/>
              </w:rPr>
            </w:pPr>
            <w:r>
              <w:rPr>
                <w:rFonts w:cs="Arial"/>
                <w:snapToGrid w:val="0"/>
                <w:szCs w:val="18"/>
              </w:rPr>
              <w:t>Automated Interface</w:t>
            </w:r>
          </w:p>
        </w:tc>
        <w:tc>
          <w:tcPr>
            <w:tcW w:w="1080" w:type="dxa"/>
          </w:tcPr>
          <w:p w14:paraId="7A39646F" w14:textId="77777777" w:rsidR="001676C5" w:rsidRPr="000037E8" w:rsidRDefault="001676C5" w:rsidP="00A42CB6">
            <w:pPr>
              <w:pStyle w:val="TableText"/>
              <w:rPr>
                <w:rFonts w:cs="Arial"/>
                <w:b/>
                <w:szCs w:val="18"/>
              </w:rPr>
            </w:pPr>
            <w:r w:rsidRPr="000037E8">
              <w:rPr>
                <w:rFonts w:cs="Arial"/>
                <w:szCs w:val="18"/>
              </w:rPr>
              <w:t>Positive</w:t>
            </w:r>
          </w:p>
        </w:tc>
        <w:tc>
          <w:tcPr>
            <w:tcW w:w="900" w:type="dxa"/>
          </w:tcPr>
          <w:p w14:paraId="06CEE61F" w14:textId="77777777" w:rsidR="001676C5" w:rsidRPr="000037E8" w:rsidRDefault="001676C5" w:rsidP="00A42CB6">
            <w:pPr>
              <w:pStyle w:val="TableText"/>
              <w:jc w:val="center"/>
              <w:rPr>
                <w:rFonts w:cs="Arial"/>
                <w:szCs w:val="18"/>
              </w:rPr>
            </w:pPr>
            <w:r w:rsidRPr="000037E8">
              <w:rPr>
                <w:rFonts w:cs="Arial"/>
                <w:szCs w:val="18"/>
              </w:rPr>
              <w:t>P</w:t>
            </w:r>
          </w:p>
        </w:tc>
        <w:tc>
          <w:tcPr>
            <w:tcW w:w="4950" w:type="dxa"/>
          </w:tcPr>
          <w:p w14:paraId="4A5EE709" w14:textId="77777777" w:rsidR="001676C5" w:rsidRPr="000037E8" w:rsidRDefault="001676C5" w:rsidP="00A42CB6">
            <w:pPr>
              <w:pStyle w:val="TableText"/>
              <w:rPr>
                <w:rFonts w:cs="Arial"/>
                <w:szCs w:val="18"/>
              </w:rPr>
            </w:pPr>
            <w:r w:rsidRPr="000037E8">
              <w:rPr>
                <w:rFonts w:cs="Arial"/>
                <w:szCs w:val="18"/>
              </w:rPr>
              <w:t>Accrue workload when a DAT, primary or reflex, is reviewed, and saved.</w:t>
            </w:r>
          </w:p>
        </w:tc>
      </w:tr>
      <w:tr w:rsidR="001676C5" w:rsidRPr="00F24972" w14:paraId="0CAC219B" w14:textId="77777777" w:rsidTr="00FA340F">
        <w:trPr>
          <w:cantSplit/>
        </w:trPr>
        <w:tc>
          <w:tcPr>
            <w:tcW w:w="1733" w:type="dxa"/>
            <w:vMerge/>
            <w:tcBorders>
              <w:bottom w:val="single" w:sz="4" w:space="0" w:color="auto"/>
            </w:tcBorders>
          </w:tcPr>
          <w:p w14:paraId="5BCDE7D4" w14:textId="77777777" w:rsidR="001676C5" w:rsidRPr="000037E8" w:rsidRDefault="001676C5" w:rsidP="00A42CB6">
            <w:pPr>
              <w:pStyle w:val="TableText"/>
              <w:rPr>
                <w:rFonts w:cs="Arial"/>
                <w:szCs w:val="18"/>
              </w:rPr>
            </w:pPr>
          </w:p>
        </w:tc>
        <w:tc>
          <w:tcPr>
            <w:tcW w:w="1592" w:type="dxa"/>
          </w:tcPr>
          <w:p w14:paraId="0543A61B" w14:textId="77777777" w:rsidR="001676C5" w:rsidRPr="000037E8" w:rsidRDefault="001676C5" w:rsidP="0038583A">
            <w:pPr>
              <w:pStyle w:val="TableText"/>
              <w:rPr>
                <w:rFonts w:cs="Arial"/>
                <w:snapToGrid w:val="0"/>
                <w:szCs w:val="18"/>
              </w:rPr>
            </w:pPr>
            <w:r>
              <w:rPr>
                <w:rFonts w:cs="Arial"/>
                <w:snapToGrid w:val="0"/>
                <w:szCs w:val="18"/>
              </w:rPr>
              <w:t>Invalidate patient testing, Direct Antiglobulin test</w:t>
            </w:r>
          </w:p>
        </w:tc>
        <w:tc>
          <w:tcPr>
            <w:tcW w:w="1080" w:type="dxa"/>
          </w:tcPr>
          <w:p w14:paraId="0F48177A" w14:textId="77777777" w:rsidR="001676C5" w:rsidRPr="000037E8" w:rsidRDefault="001676C5" w:rsidP="00A42CB6">
            <w:pPr>
              <w:pStyle w:val="TableText"/>
              <w:rPr>
                <w:rFonts w:cs="Arial"/>
                <w:szCs w:val="18"/>
              </w:rPr>
            </w:pPr>
            <w:r w:rsidRPr="000037E8">
              <w:rPr>
                <w:rFonts w:cs="Arial"/>
                <w:b/>
                <w:szCs w:val="18"/>
              </w:rPr>
              <w:t>Negative</w:t>
            </w:r>
          </w:p>
        </w:tc>
        <w:tc>
          <w:tcPr>
            <w:tcW w:w="900" w:type="dxa"/>
          </w:tcPr>
          <w:p w14:paraId="5BB9699A" w14:textId="77777777" w:rsidR="001676C5" w:rsidRPr="000037E8" w:rsidRDefault="001676C5" w:rsidP="00A42CB6">
            <w:pPr>
              <w:pStyle w:val="TableText"/>
              <w:jc w:val="center"/>
              <w:rPr>
                <w:rFonts w:cs="Arial"/>
                <w:szCs w:val="18"/>
              </w:rPr>
            </w:pPr>
            <w:r w:rsidRPr="000037E8">
              <w:rPr>
                <w:rFonts w:cs="Arial"/>
                <w:szCs w:val="18"/>
              </w:rPr>
              <w:t>P</w:t>
            </w:r>
          </w:p>
        </w:tc>
        <w:tc>
          <w:tcPr>
            <w:tcW w:w="4950" w:type="dxa"/>
          </w:tcPr>
          <w:p w14:paraId="73152151" w14:textId="77777777" w:rsidR="001676C5" w:rsidRPr="000037E8" w:rsidRDefault="001676C5" w:rsidP="00A42CB6">
            <w:pPr>
              <w:pStyle w:val="TableText"/>
              <w:rPr>
                <w:rFonts w:cs="Arial"/>
                <w:szCs w:val="18"/>
              </w:rPr>
            </w:pPr>
            <w:r w:rsidRPr="000037E8">
              <w:rPr>
                <w:rFonts w:cs="Arial"/>
                <w:szCs w:val="18"/>
              </w:rPr>
              <w:t xml:space="preserve">Accrue workload when a reviewed DAT is invalidated. </w:t>
            </w:r>
          </w:p>
        </w:tc>
      </w:tr>
      <w:tr w:rsidR="001676C5" w:rsidRPr="00F24972" w14:paraId="311E33DE" w14:textId="77777777" w:rsidTr="00FA340F">
        <w:trPr>
          <w:cantSplit/>
        </w:trPr>
        <w:tc>
          <w:tcPr>
            <w:tcW w:w="1733" w:type="dxa"/>
            <w:vMerge w:val="restart"/>
          </w:tcPr>
          <w:p w14:paraId="4291F07B" w14:textId="77777777" w:rsidR="001676C5" w:rsidRPr="000037E8" w:rsidRDefault="001676C5" w:rsidP="00A42CB6">
            <w:pPr>
              <w:pStyle w:val="TableText"/>
              <w:rPr>
                <w:rFonts w:cs="Arial"/>
                <w:szCs w:val="18"/>
              </w:rPr>
            </w:pPr>
            <w:r w:rsidRPr="000037E8">
              <w:rPr>
                <w:rFonts w:cs="Arial"/>
                <w:szCs w:val="18"/>
              </w:rPr>
              <w:t>Patient Antigen Typing Automated</w:t>
            </w:r>
          </w:p>
        </w:tc>
        <w:tc>
          <w:tcPr>
            <w:tcW w:w="1592" w:type="dxa"/>
          </w:tcPr>
          <w:p w14:paraId="73C368DC" w14:textId="77777777" w:rsidR="001676C5" w:rsidRPr="000037E8" w:rsidRDefault="001676C5" w:rsidP="0038583A">
            <w:pPr>
              <w:pStyle w:val="TableText"/>
              <w:rPr>
                <w:rFonts w:cs="Arial"/>
                <w:snapToGrid w:val="0"/>
                <w:szCs w:val="18"/>
              </w:rPr>
            </w:pPr>
            <w:r>
              <w:rPr>
                <w:rFonts w:cs="Arial"/>
                <w:snapToGrid w:val="0"/>
                <w:szCs w:val="18"/>
              </w:rPr>
              <w:t>Automated Interface</w:t>
            </w:r>
          </w:p>
        </w:tc>
        <w:tc>
          <w:tcPr>
            <w:tcW w:w="1080" w:type="dxa"/>
          </w:tcPr>
          <w:p w14:paraId="2A9AB962" w14:textId="77777777" w:rsidR="001676C5" w:rsidRPr="000037E8" w:rsidRDefault="001676C5" w:rsidP="00A42CB6">
            <w:pPr>
              <w:pStyle w:val="TableText"/>
              <w:rPr>
                <w:rFonts w:cs="Arial"/>
                <w:b/>
                <w:szCs w:val="18"/>
              </w:rPr>
            </w:pPr>
            <w:r w:rsidRPr="000037E8">
              <w:rPr>
                <w:rFonts w:cs="Arial"/>
                <w:szCs w:val="18"/>
              </w:rPr>
              <w:t>Positive</w:t>
            </w:r>
          </w:p>
        </w:tc>
        <w:tc>
          <w:tcPr>
            <w:tcW w:w="900" w:type="dxa"/>
          </w:tcPr>
          <w:p w14:paraId="0CC6A904" w14:textId="77777777" w:rsidR="001676C5" w:rsidRPr="000037E8" w:rsidRDefault="001676C5" w:rsidP="00A42CB6">
            <w:pPr>
              <w:pStyle w:val="TableText"/>
              <w:jc w:val="center"/>
              <w:rPr>
                <w:rFonts w:cs="Arial"/>
                <w:szCs w:val="18"/>
              </w:rPr>
            </w:pPr>
            <w:r w:rsidRPr="000037E8">
              <w:rPr>
                <w:rFonts w:cs="Arial"/>
                <w:szCs w:val="18"/>
              </w:rPr>
              <w:t>P</w:t>
            </w:r>
          </w:p>
        </w:tc>
        <w:tc>
          <w:tcPr>
            <w:tcW w:w="4950" w:type="dxa"/>
          </w:tcPr>
          <w:p w14:paraId="3C4EABB6" w14:textId="77777777" w:rsidR="001676C5" w:rsidRPr="000037E8" w:rsidRDefault="001676C5" w:rsidP="00A42CB6">
            <w:pPr>
              <w:pStyle w:val="TableText"/>
              <w:rPr>
                <w:rFonts w:cs="Arial"/>
                <w:szCs w:val="18"/>
              </w:rPr>
            </w:pPr>
            <w:r w:rsidRPr="000037E8">
              <w:rPr>
                <w:rFonts w:cs="Arial"/>
                <w:szCs w:val="18"/>
              </w:rPr>
              <w:t xml:space="preserve">Accrue workload when a patient antigen phenotype test (tab) is reviewed and saved. </w:t>
            </w:r>
          </w:p>
        </w:tc>
      </w:tr>
      <w:tr w:rsidR="001676C5" w:rsidRPr="00F24972" w14:paraId="57847783" w14:textId="77777777" w:rsidTr="00FA340F">
        <w:trPr>
          <w:cantSplit/>
        </w:trPr>
        <w:tc>
          <w:tcPr>
            <w:tcW w:w="1733" w:type="dxa"/>
            <w:vMerge/>
          </w:tcPr>
          <w:p w14:paraId="6EB8A1D0" w14:textId="77777777" w:rsidR="001676C5" w:rsidRPr="000037E8" w:rsidRDefault="001676C5" w:rsidP="00A42CB6">
            <w:pPr>
              <w:pStyle w:val="TableText"/>
              <w:rPr>
                <w:rFonts w:cs="Arial"/>
                <w:szCs w:val="18"/>
              </w:rPr>
            </w:pPr>
          </w:p>
        </w:tc>
        <w:tc>
          <w:tcPr>
            <w:tcW w:w="1592" w:type="dxa"/>
          </w:tcPr>
          <w:p w14:paraId="3C24A46B" w14:textId="77777777" w:rsidR="001676C5" w:rsidRPr="000037E8" w:rsidRDefault="001676C5" w:rsidP="0038583A">
            <w:pPr>
              <w:pStyle w:val="TableText"/>
              <w:rPr>
                <w:rFonts w:cs="Arial"/>
                <w:snapToGrid w:val="0"/>
                <w:szCs w:val="18"/>
              </w:rPr>
            </w:pPr>
            <w:r>
              <w:rPr>
                <w:rFonts w:cs="Arial"/>
                <w:snapToGrid w:val="0"/>
                <w:szCs w:val="18"/>
              </w:rPr>
              <w:t>Invalidate patient testing, patient antigen typing</w:t>
            </w:r>
          </w:p>
        </w:tc>
        <w:tc>
          <w:tcPr>
            <w:tcW w:w="1080" w:type="dxa"/>
          </w:tcPr>
          <w:p w14:paraId="64C48073" w14:textId="77777777" w:rsidR="001676C5" w:rsidRPr="000037E8" w:rsidRDefault="001676C5" w:rsidP="00A42CB6">
            <w:pPr>
              <w:pStyle w:val="TableText"/>
              <w:rPr>
                <w:rFonts w:cs="Arial"/>
                <w:b/>
                <w:szCs w:val="18"/>
              </w:rPr>
            </w:pPr>
            <w:r w:rsidRPr="000037E8">
              <w:rPr>
                <w:rFonts w:cs="Arial"/>
                <w:b/>
                <w:szCs w:val="18"/>
              </w:rPr>
              <w:t>Negative</w:t>
            </w:r>
          </w:p>
        </w:tc>
        <w:tc>
          <w:tcPr>
            <w:tcW w:w="900" w:type="dxa"/>
          </w:tcPr>
          <w:p w14:paraId="6180A4FA" w14:textId="77777777" w:rsidR="001676C5" w:rsidRPr="000037E8" w:rsidRDefault="001676C5" w:rsidP="00A42CB6">
            <w:pPr>
              <w:pStyle w:val="TableText"/>
              <w:jc w:val="center"/>
              <w:rPr>
                <w:rFonts w:cs="Arial"/>
                <w:szCs w:val="18"/>
              </w:rPr>
            </w:pPr>
            <w:r w:rsidRPr="000037E8">
              <w:rPr>
                <w:rFonts w:cs="Arial"/>
                <w:szCs w:val="18"/>
              </w:rPr>
              <w:t>P</w:t>
            </w:r>
          </w:p>
        </w:tc>
        <w:tc>
          <w:tcPr>
            <w:tcW w:w="4950" w:type="dxa"/>
          </w:tcPr>
          <w:p w14:paraId="1F45E590" w14:textId="77777777" w:rsidR="001676C5" w:rsidRPr="000037E8" w:rsidRDefault="001676C5" w:rsidP="00A42CB6">
            <w:pPr>
              <w:pStyle w:val="TableText"/>
              <w:rPr>
                <w:rFonts w:cs="Arial"/>
                <w:szCs w:val="18"/>
              </w:rPr>
            </w:pPr>
            <w:r w:rsidRPr="000037E8">
              <w:rPr>
                <w:rFonts w:cs="Arial"/>
                <w:szCs w:val="18"/>
              </w:rPr>
              <w:t>Accrue workload when a reviewed patient antigen test (phenotype) is invalidated.</w:t>
            </w:r>
          </w:p>
        </w:tc>
      </w:tr>
      <w:tr w:rsidR="001676C5" w:rsidRPr="00F24972" w14:paraId="1453E8E7" w14:textId="77777777" w:rsidTr="00FA340F">
        <w:trPr>
          <w:cantSplit/>
        </w:trPr>
        <w:tc>
          <w:tcPr>
            <w:tcW w:w="1733" w:type="dxa"/>
            <w:vMerge w:val="restart"/>
          </w:tcPr>
          <w:p w14:paraId="0FE9D142" w14:textId="77777777" w:rsidR="001676C5" w:rsidRPr="000037E8" w:rsidRDefault="001676C5" w:rsidP="00A42CB6">
            <w:pPr>
              <w:pStyle w:val="TableText"/>
              <w:rPr>
                <w:rFonts w:cs="Arial"/>
                <w:szCs w:val="18"/>
              </w:rPr>
            </w:pPr>
            <w:r w:rsidRPr="000037E8">
              <w:rPr>
                <w:rFonts w:cs="Arial"/>
                <w:szCs w:val="18"/>
              </w:rPr>
              <w:lastRenderedPageBreak/>
              <w:t>Blood Unit ABO Confirmation Test Automated</w:t>
            </w:r>
          </w:p>
        </w:tc>
        <w:tc>
          <w:tcPr>
            <w:tcW w:w="1592" w:type="dxa"/>
          </w:tcPr>
          <w:p w14:paraId="180D7D56" w14:textId="77777777" w:rsidR="001676C5" w:rsidRPr="000037E8" w:rsidRDefault="001676C5" w:rsidP="0038583A">
            <w:pPr>
              <w:pStyle w:val="TableText"/>
              <w:rPr>
                <w:rFonts w:cs="Arial"/>
                <w:snapToGrid w:val="0"/>
                <w:szCs w:val="18"/>
              </w:rPr>
            </w:pPr>
            <w:r>
              <w:rPr>
                <w:rFonts w:cs="Arial"/>
                <w:snapToGrid w:val="0"/>
                <w:szCs w:val="18"/>
              </w:rPr>
              <w:t>Automated Interface</w:t>
            </w:r>
          </w:p>
        </w:tc>
        <w:tc>
          <w:tcPr>
            <w:tcW w:w="1080" w:type="dxa"/>
          </w:tcPr>
          <w:p w14:paraId="588E1419" w14:textId="77777777" w:rsidR="001676C5" w:rsidRPr="000037E8" w:rsidRDefault="001676C5" w:rsidP="00A42CB6">
            <w:pPr>
              <w:pStyle w:val="TableText"/>
              <w:rPr>
                <w:rFonts w:cs="Arial"/>
                <w:szCs w:val="18"/>
              </w:rPr>
            </w:pPr>
            <w:r w:rsidRPr="000037E8">
              <w:rPr>
                <w:rFonts w:cs="Arial"/>
                <w:szCs w:val="18"/>
              </w:rPr>
              <w:t>Positive</w:t>
            </w:r>
          </w:p>
        </w:tc>
        <w:tc>
          <w:tcPr>
            <w:tcW w:w="900" w:type="dxa"/>
          </w:tcPr>
          <w:p w14:paraId="5DA5E456" w14:textId="77777777" w:rsidR="001676C5" w:rsidRPr="000037E8" w:rsidRDefault="001676C5" w:rsidP="00A42CB6">
            <w:pPr>
              <w:pStyle w:val="TableText"/>
              <w:jc w:val="center"/>
              <w:rPr>
                <w:rFonts w:cs="Arial"/>
                <w:szCs w:val="18"/>
              </w:rPr>
            </w:pPr>
            <w:r w:rsidRPr="000037E8">
              <w:rPr>
                <w:rFonts w:cs="Arial"/>
                <w:szCs w:val="18"/>
              </w:rPr>
              <w:t>U</w:t>
            </w:r>
          </w:p>
        </w:tc>
        <w:tc>
          <w:tcPr>
            <w:tcW w:w="4950" w:type="dxa"/>
          </w:tcPr>
          <w:p w14:paraId="4035AE9A" w14:textId="77777777" w:rsidR="001676C5" w:rsidRPr="000037E8" w:rsidRDefault="001676C5" w:rsidP="00A42CB6">
            <w:pPr>
              <w:pStyle w:val="TableText"/>
              <w:rPr>
                <w:rFonts w:cs="Arial"/>
                <w:szCs w:val="18"/>
              </w:rPr>
            </w:pPr>
            <w:r w:rsidRPr="000037E8">
              <w:rPr>
                <w:rFonts w:cs="Arial"/>
                <w:szCs w:val="18"/>
              </w:rPr>
              <w:t xml:space="preserve">An ABO confirmation test, primary or repeat, is reviewed, and saved. When multiple units are selected in a batch, each unit in the batch accrues a workload event. </w:t>
            </w:r>
          </w:p>
          <w:p w14:paraId="66783158" w14:textId="77777777" w:rsidR="001676C5" w:rsidRPr="000037E8" w:rsidRDefault="001676C5" w:rsidP="00A42CB6">
            <w:pPr>
              <w:pStyle w:val="TableText"/>
              <w:rPr>
                <w:rFonts w:cs="Arial"/>
                <w:szCs w:val="18"/>
              </w:rPr>
            </w:pPr>
          </w:p>
          <w:p w14:paraId="2C09F049" w14:textId="77777777" w:rsidR="001676C5" w:rsidRPr="000037E8" w:rsidRDefault="001676C5" w:rsidP="00A42CB6">
            <w:pPr>
              <w:pStyle w:val="TableTextBullet"/>
              <w:rPr>
                <w:rFonts w:cs="Arial"/>
                <w:szCs w:val="18"/>
              </w:rPr>
            </w:pPr>
            <w:r w:rsidRPr="000037E8">
              <w:rPr>
                <w:rFonts w:cs="Arial"/>
                <w:szCs w:val="18"/>
              </w:rPr>
              <w:t>Note: Workload generated when Anti-D testing is not included in the unit’s confirmation test.</w:t>
            </w:r>
            <w:r w:rsidRPr="000037E8">
              <w:rPr>
                <w:rFonts w:cs="Arial"/>
                <w:color w:val="0000FF"/>
                <w:szCs w:val="18"/>
              </w:rPr>
              <w:t xml:space="preserve"> </w:t>
            </w:r>
            <w:r w:rsidRPr="000037E8">
              <w:rPr>
                <w:rFonts w:cs="Arial"/>
                <w:szCs w:val="18"/>
              </w:rPr>
              <w:t xml:space="preserve">Workload is </w:t>
            </w:r>
            <w:r w:rsidRPr="000037E8">
              <w:rPr>
                <w:rFonts w:cs="Arial"/>
                <w:b/>
                <w:szCs w:val="18"/>
              </w:rPr>
              <w:t xml:space="preserve">not </w:t>
            </w:r>
            <w:r w:rsidRPr="000037E8">
              <w:rPr>
                <w:rFonts w:cs="Arial"/>
                <w:szCs w:val="18"/>
              </w:rPr>
              <w:t>accrued when VBECS quarantines the unit due to a discrepancy. No special handling for workload collection for additional confirmation tests on a unit.</w:t>
            </w:r>
          </w:p>
        </w:tc>
      </w:tr>
      <w:tr w:rsidR="001676C5" w:rsidRPr="00F24972" w14:paraId="3F5A62BE" w14:textId="77777777" w:rsidTr="00FA340F">
        <w:trPr>
          <w:cantSplit/>
        </w:trPr>
        <w:tc>
          <w:tcPr>
            <w:tcW w:w="1733" w:type="dxa"/>
            <w:vMerge/>
          </w:tcPr>
          <w:p w14:paraId="721AAB39" w14:textId="77777777" w:rsidR="001676C5" w:rsidRPr="000037E8" w:rsidRDefault="001676C5" w:rsidP="00A42CB6">
            <w:pPr>
              <w:pStyle w:val="TableText"/>
              <w:rPr>
                <w:rFonts w:cs="Arial"/>
                <w:szCs w:val="18"/>
              </w:rPr>
            </w:pPr>
          </w:p>
        </w:tc>
        <w:tc>
          <w:tcPr>
            <w:tcW w:w="1592" w:type="dxa"/>
          </w:tcPr>
          <w:p w14:paraId="0427AA96" w14:textId="77777777" w:rsidR="001676C5" w:rsidRPr="000037E8" w:rsidRDefault="001676C5" w:rsidP="001676C5">
            <w:pPr>
              <w:pStyle w:val="TableText"/>
              <w:rPr>
                <w:rFonts w:cs="Arial"/>
                <w:snapToGrid w:val="0"/>
                <w:szCs w:val="18"/>
              </w:rPr>
            </w:pPr>
            <w:r>
              <w:rPr>
                <w:rFonts w:cs="Arial"/>
                <w:snapToGrid w:val="0"/>
                <w:szCs w:val="18"/>
              </w:rPr>
              <w:t>Invalidate unit testing, ABO Test</w:t>
            </w:r>
          </w:p>
        </w:tc>
        <w:tc>
          <w:tcPr>
            <w:tcW w:w="1080" w:type="dxa"/>
          </w:tcPr>
          <w:p w14:paraId="00C80028" w14:textId="77777777" w:rsidR="001676C5" w:rsidRPr="000037E8" w:rsidRDefault="001676C5" w:rsidP="00A42CB6">
            <w:pPr>
              <w:pStyle w:val="TableText"/>
              <w:rPr>
                <w:rFonts w:cs="Arial"/>
                <w:szCs w:val="18"/>
              </w:rPr>
            </w:pPr>
            <w:r w:rsidRPr="000037E8">
              <w:rPr>
                <w:rFonts w:cs="Arial"/>
                <w:b/>
                <w:szCs w:val="18"/>
              </w:rPr>
              <w:t>Negative</w:t>
            </w:r>
          </w:p>
        </w:tc>
        <w:tc>
          <w:tcPr>
            <w:tcW w:w="900" w:type="dxa"/>
          </w:tcPr>
          <w:p w14:paraId="13BAB2D6" w14:textId="77777777" w:rsidR="001676C5" w:rsidRPr="000037E8" w:rsidRDefault="001676C5" w:rsidP="00A42CB6">
            <w:pPr>
              <w:pStyle w:val="TableText"/>
              <w:jc w:val="center"/>
              <w:rPr>
                <w:rFonts w:cs="Arial"/>
                <w:szCs w:val="18"/>
              </w:rPr>
            </w:pPr>
            <w:r w:rsidRPr="000037E8">
              <w:rPr>
                <w:rFonts w:cs="Arial"/>
                <w:szCs w:val="18"/>
              </w:rPr>
              <w:t>U</w:t>
            </w:r>
          </w:p>
        </w:tc>
        <w:tc>
          <w:tcPr>
            <w:tcW w:w="4950" w:type="dxa"/>
          </w:tcPr>
          <w:p w14:paraId="7C6B66F9" w14:textId="77777777" w:rsidR="001676C5" w:rsidRPr="000037E8" w:rsidRDefault="001676C5" w:rsidP="00A42CB6">
            <w:pPr>
              <w:pStyle w:val="TableText"/>
              <w:rPr>
                <w:rFonts w:cs="Arial"/>
                <w:szCs w:val="18"/>
              </w:rPr>
            </w:pPr>
            <w:r w:rsidRPr="000037E8">
              <w:rPr>
                <w:rFonts w:cs="Arial"/>
                <w:szCs w:val="18"/>
              </w:rPr>
              <w:t>Accrue workload when an ABO confirmation test is invalidated</w:t>
            </w:r>
          </w:p>
        </w:tc>
      </w:tr>
      <w:tr w:rsidR="001676C5" w:rsidRPr="00F24972" w14:paraId="64F23FDF" w14:textId="77777777" w:rsidTr="00FA340F">
        <w:trPr>
          <w:cantSplit/>
        </w:trPr>
        <w:tc>
          <w:tcPr>
            <w:tcW w:w="1733" w:type="dxa"/>
            <w:vMerge w:val="restart"/>
          </w:tcPr>
          <w:p w14:paraId="098AF40F" w14:textId="77777777" w:rsidR="001676C5" w:rsidRPr="000037E8" w:rsidRDefault="001676C5" w:rsidP="00A42CB6">
            <w:pPr>
              <w:pStyle w:val="TableText"/>
              <w:rPr>
                <w:rFonts w:cs="Arial"/>
                <w:szCs w:val="18"/>
              </w:rPr>
            </w:pPr>
            <w:r w:rsidRPr="000037E8">
              <w:rPr>
                <w:rFonts w:cs="Arial"/>
                <w:szCs w:val="18"/>
              </w:rPr>
              <w:t>Blood Unit ABO/Rh Confirmation Test Automated</w:t>
            </w:r>
          </w:p>
        </w:tc>
        <w:tc>
          <w:tcPr>
            <w:tcW w:w="1592" w:type="dxa"/>
          </w:tcPr>
          <w:p w14:paraId="32C19F8B" w14:textId="77777777" w:rsidR="001676C5" w:rsidRPr="000037E8" w:rsidRDefault="001676C5" w:rsidP="0038583A">
            <w:pPr>
              <w:pStyle w:val="TableText"/>
              <w:rPr>
                <w:rFonts w:cs="Arial"/>
                <w:snapToGrid w:val="0"/>
                <w:szCs w:val="18"/>
              </w:rPr>
            </w:pPr>
            <w:r>
              <w:rPr>
                <w:rFonts w:cs="Arial"/>
                <w:snapToGrid w:val="0"/>
                <w:szCs w:val="18"/>
              </w:rPr>
              <w:t>Automated Interface</w:t>
            </w:r>
          </w:p>
        </w:tc>
        <w:tc>
          <w:tcPr>
            <w:tcW w:w="1080" w:type="dxa"/>
          </w:tcPr>
          <w:p w14:paraId="491264E6" w14:textId="77777777" w:rsidR="001676C5" w:rsidRPr="000037E8" w:rsidRDefault="001676C5" w:rsidP="00A42CB6">
            <w:pPr>
              <w:pStyle w:val="TableText"/>
              <w:rPr>
                <w:rFonts w:cs="Arial"/>
                <w:b/>
                <w:szCs w:val="18"/>
              </w:rPr>
            </w:pPr>
            <w:r w:rsidRPr="000037E8">
              <w:rPr>
                <w:rFonts w:cs="Arial"/>
                <w:szCs w:val="18"/>
              </w:rPr>
              <w:t>Positive</w:t>
            </w:r>
          </w:p>
        </w:tc>
        <w:tc>
          <w:tcPr>
            <w:tcW w:w="900" w:type="dxa"/>
          </w:tcPr>
          <w:p w14:paraId="61B59761" w14:textId="77777777" w:rsidR="001676C5" w:rsidRPr="000037E8" w:rsidRDefault="001676C5" w:rsidP="00A42CB6">
            <w:pPr>
              <w:pStyle w:val="TableText"/>
              <w:jc w:val="center"/>
              <w:rPr>
                <w:rFonts w:cs="Arial"/>
                <w:szCs w:val="18"/>
              </w:rPr>
            </w:pPr>
            <w:r w:rsidRPr="000037E8">
              <w:rPr>
                <w:rFonts w:cs="Arial"/>
                <w:szCs w:val="18"/>
              </w:rPr>
              <w:t>U</w:t>
            </w:r>
          </w:p>
        </w:tc>
        <w:tc>
          <w:tcPr>
            <w:tcW w:w="4950" w:type="dxa"/>
          </w:tcPr>
          <w:p w14:paraId="0E7D5D8D" w14:textId="77777777" w:rsidR="001676C5" w:rsidRPr="000037E8" w:rsidRDefault="001676C5" w:rsidP="00A42CB6">
            <w:pPr>
              <w:pStyle w:val="TableText"/>
              <w:rPr>
                <w:rFonts w:cs="Arial"/>
                <w:szCs w:val="18"/>
              </w:rPr>
            </w:pPr>
            <w:r w:rsidRPr="000037E8">
              <w:rPr>
                <w:rFonts w:cs="Arial"/>
                <w:szCs w:val="18"/>
              </w:rPr>
              <w:t>An ABO/Rh confirmation test, primary or repeat, is reviewed, and saved. When multiple units are selected in a batch, each unit in the batch accrues a workload event.</w:t>
            </w:r>
          </w:p>
          <w:p w14:paraId="7A7AA09E" w14:textId="77777777" w:rsidR="001676C5" w:rsidRPr="000037E8" w:rsidRDefault="001676C5" w:rsidP="00A42CB6">
            <w:pPr>
              <w:pStyle w:val="TableText"/>
              <w:rPr>
                <w:rFonts w:cs="Arial"/>
                <w:szCs w:val="18"/>
              </w:rPr>
            </w:pPr>
          </w:p>
          <w:p w14:paraId="4D70C8A8" w14:textId="77777777" w:rsidR="001676C5" w:rsidRPr="000037E8" w:rsidRDefault="001676C5" w:rsidP="00A42CB6">
            <w:pPr>
              <w:pStyle w:val="TableText"/>
              <w:rPr>
                <w:rFonts w:cs="Arial"/>
                <w:szCs w:val="18"/>
              </w:rPr>
            </w:pPr>
            <w:r w:rsidRPr="000037E8">
              <w:rPr>
                <w:rFonts w:cs="Arial"/>
                <w:szCs w:val="18"/>
              </w:rPr>
              <w:t>Any unit successfully confirmed accrues workload.</w:t>
            </w:r>
          </w:p>
          <w:p w14:paraId="7ACEA739" w14:textId="77777777" w:rsidR="001676C5" w:rsidRPr="000037E8" w:rsidRDefault="001676C5" w:rsidP="00A42CB6">
            <w:pPr>
              <w:pStyle w:val="TableTextBullet"/>
              <w:rPr>
                <w:rFonts w:cs="Arial"/>
                <w:szCs w:val="18"/>
              </w:rPr>
            </w:pPr>
            <w:r w:rsidRPr="000037E8">
              <w:rPr>
                <w:rFonts w:cs="Arial"/>
                <w:szCs w:val="18"/>
              </w:rPr>
              <w:t xml:space="preserve">Note: Workload is </w:t>
            </w:r>
            <w:r w:rsidRPr="000037E8">
              <w:rPr>
                <w:rFonts w:cs="Arial"/>
                <w:b/>
                <w:szCs w:val="18"/>
              </w:rPr>
              <w:t xml:space="preserve">not </w:t>
            </w:r>
            <w:r w:rsidRPr="000037E8">
              <w:rPr>
                <w:rFonts w:cs="Arial"/>
                <w:szCs w:val="18"/>
              </w:rPr>
              <w:t xml:space="preserve">accrued when VBECS quarantines the unit due to a discrepancy. </w:t>
            </w:r>
          </w:p>
        </w:tc>
      </w:tr>
      <w:tr w:rsidR="001676C5" w:rsidRPr="00F24972" w14:paraId="6162DA6E" w14:textId="77777777" w:rsidTr="00FA340F">
        <w:trPr>
          <w:cantSplit/>
        </w:trPr>
        <w:tc>
          <w:tcPr>
            <w:tcW w:w="1733" w:type="dxa"/>
            <w:vMerge/>
          </w:tcPr>
          <w:p w14:paraId="3C894C1E" w14:textId="77777777" w:rsidR="001676C5" w:rsidRPr="000037E8" w:rsidRDefault="001676C5" w:rsidP="00A42CB6">
            <w:pPr>
              <w:pStyle w:val="TableText"/>
              <w:rPr>
                <w:rFonts w:cs="Arial"/>
                <w:szCs w:val="18"/>
              </w:rPr>
            </w:pPr>
          </w:p>
        </w:tc>
        <w:tc>
          <w:tcPr>
            <w:tcW w:w="1592" w:type="dxa"/>
          </w:tcPr>
          <w:p w14:paraId="7A39E945" w14:textId="77777777" w:rsidR="001676C5" w:rsidRPr="000037E8" w:rsidRDefault="001676C5" w:rsidP="0038583A">
            <w:pPr>
              <w:pStyle w:val="TableText"/>
              <w:rPr>
                <w:rFonts w:cs="Arial"/>
                <w:snapToGrid w:val="0"/>
                <w:szCs w:val="18"/>
              </w:rPr>
            </w:pPr>
            <w:r>
              <w:rPr>
                <w:rFonts w:cs="Arial"/>
                <w:snapToGrid w:val="0"/>
                <w:szCs w:val="18"/>
              </w:rPr>
              <w:t>Invalidate unit testing, ABO/Rh</w:t>
            </w:r>
          </w:p>
        </w:tc>
        <w:tc>
          <w:tcPr>
            <w:tcW w:w="1080" w:type="dxa"/>
          </w:tcPr>
          <w:p w14:paraId="1AB6FC1F" w14:textId="77777777" w:rsidR="001676C5" w:rsidRPr="000037E8" w:rsidRDefault="001676C5" w:rsidP="00A42CB6">
            <w:pPr>
              <w:pStyle w:val="TableText"/>
              <w:rPr>
                <w:rFonts w:cs="Arial"/>
                <w:szCs w:val="18"/>
              </w:rPr>
            </w:pPr>
            <w:r w:rsidRPr="000037E8">
              <w:rPr>
                <w:rFonts w:cs="Arial"/>
                <w:b/>
                <w:szCs w:val="18"/>
              </w:rPr>
              <w:t>Negative</w:t>
            </w:r>
          </w:p>
        </w:tc>
        <w:tc>
          <w:tcPr>
            <w:tcW w:w="900" w:type="dxa"/>
          </w:tcPr>
          <w:p w14:paraId="78F2F512" w14:textId="77777777" w:rsidR="001676C5" w:rsidRPr="000037E8" w:rsidRDefault="001676C5" w:rsidP="00A42CB6">
            <w:pPr>
              <w:pStyle w:val="TableText"/>
              <w:jc w:val="center"/>
              <w:rPr>
                <w:rFonts w:cs="Arial"/>
                <w:szCs w:val="18"/>
              </w:rPr>
            </w:pPr>
            <w:r w:rsidRPr="000037E8">
              <w:rPr>
                <w:rFonts w:cs="Arial"/>
                <w:szCs w:val="18"/>
              </w:rPr>
              <w:t>U</w:t>
            </w:r>
          </w:p>
        </w:tc>
        <w:tc>
          <w:tcPr>
            <w:tcW w:w="4950" w:type="dxa"/>
          </w:tcPr>
          <w:p w14:paraId="1BB09C24" w14:textId="77777777" w:rsidR="001676C5" w:rsidRPr="000037E8" w:rsidRDefault="001676C5" w:rsidP="00A42CB6">
            <w:pPr>
              <w:pStyle w:val="TableText"/>
              <w:rPr>
                <w:rFonts w:cs="Arial"/>
                <w:szCs w:val="18"/>
              </w:rPr>
            </w:pPr>
            <w:r w:rsidRPr="000037E8">
              <w:rPr>
                <w:rFonts w:cs="Arial"/>
                <w:szCs w:val="18"/>
              </w:rPr>
              <w:t>Accrue workload when an ABO/Rh confirmation test is invalidated</w:t>
            </w:r>
          </w:p>
        </w:tc>
      </w:tr>
      <w:tr w:rsidR="001676C5" w:rsidRPr="00F24972" w14:paraId="54544EB2" w14:textId="77777777" w:rsidTr="00FA340F">
        <w:trPr>
          <w:cantSplit/>
        </w:trPr>
        <w:tc>
          <w:tcPr>
            <w:tcW w:w="1733" w:type="dxa"/>
            <w:vMerge w:val="restart"/>
          </w:tcPr>
          <w:p w14:paraId="2862A77F" w14:textId="77777777" w:rsidR="001676C5" w:rsidRPr="000037E8" w:rsidRDefault="001676C5" w:rsidP="00A42CB6">
            <w:pPr>
              <w:pStyle w:val="TableText"/>
              <w:rPr>
                <w:rFonts w:cs="Arial"/>
                <w:szCs w:val="18"/>
              </w:rPr>
            </w:pPr>
            <w:r w:rsidRPr="000037E8">
              <w:rPr>
                <w:rFonts w:cs="Arial"/>
                <w:szCs w:val="18"/>
              </w:rPr>
              <w:t>Blood Unit Antigen Typing Automated</w:t>
            </w:r>
          </w:p>
        </w:tc>
        <w:tc>
          <w:tcPr>
            <w:tcW w:w="1592" w:type="dxa"/>
          </w:tcPr>
          <w:p w14:paraId="6BC07E70" w14:textId="77777777" w:rsidR="001676C5" w:rsidRPr="000037E8" w:rsidRDefault="001676C5" w:rsidP="0038583A">
            <w:pPr>
              <w:pStyle w:val="TableText"/>
              <w:rPr>
                <w:rFonts w:cs="Arial"/>
                <w:snapToGrid w:val="0"/>
                <w:szCs w:val="18"/>
              </w:rPr>
            </w:pPr>
            <w:r>
              <w:rPr>
                <w:rFonts w:cs="Arial"/>
                <w:snapToGrid w:val="0"/>
                <w:szCs w:val="18"/>
              </w:rPr>
              <w:t>Automated Interface</w:t>
            </w:r>
          </w:p>
        </w:tc>
        <w:tc>
          <w:tcPr>
            <w:tcW w:w="1080" w:type="dxa"/>
          </w:tcPr>
          <w:p w14:paraId="52BF7D95" w14:textId="77777777" w:rsidR="001676C5" w:rsidRPr="000037E8" w:rsidRDefault="001676C5" w:rsidP="00A42CB6">
            <w:pPr>
              <w:pStyle w:val="TableText"/>
              <w:rPr>
                <w:rFonts w:cs="Arial"/>
                <w:b/>
                <w:szCs w:val="18"/>
              </w:rPr>
            </w:pPr>
            <w:r w:rsidRPr="000037E8">
              <w:rPr>
                <w:rFonts w:cs="Arial"/>
                <w:szCs w:val="18"/>
              </w:rPr>
              <w:t>Positive</w:t>
            </w:r>
          </w:p>
        </w:tc>
        <w:tc>
          <w:tcPr>
            <w:tcW w:w="900" w:type="dxa"/>
          </w:tcPr>
          <w:p w14:paraId="17419061" w14:textId="77777777" w:rsidR="001676C5" w:rsidRPr="000037E8" w:rsidRDefault="001676C5" w:rsidP="00A42CB6">
            <w:pPr>
              <w:pStyle w:val="TableText"/>
              <w:jc w:val="center"/>
              <w:rPr>
                <w:rFonts w:cs="Arial"/>
                <w:szCs w:val="18"/>
              </w:rPr>
            </w:pPr>
            <w:r w:rsidRPr="000037E8">
              <w:rPr>
                <w:rFonts w:cs="Arial"/>
                <w:szCs w:val="18"/>
              </w:rPr>
              <w:t>U</w:t>
            </w:r>
          </w:p>
        </w:tc>
        <w:tc>
          <w:tcPr>
            <w:tcW w:w="4950" w:type="dxa"/>
          </w:tcPr>
          <w:p w14:paraId="494C8525" w14:textId="77777777" w:rsidR="001676C5" w:rsidRPr="000037E8" w:rsidRDefault="001676C5" w:rsidP="00A42CB6">
            <w:pPr>
              <w:pStyle w:val="TableText"/>
              <w:rPr>
                <w:rFonts w:cs="Arial"/>
                <w:szCs w:val="18"/>
              </w:rPr>
            </w:pPr>
            <w:r w:rsidRPr="000037E8">
              <w:rPr>
                <w:rFonts w:cs="Arial"/>
                <w:szCs w:val="18"/>
              </w:rPr>
              <w:t xml:space="preserve">A unit (row) antigen phenotype test, primary or repeat, is reviewed, and saved for an individual blood unit (row). </w:t>
            </w:r>
          </w:p>
          <w:p w14:paraId="179CC738" w14:textId="77777777" w:rsidR="001676C5" w:rsidRPr="000037E8" w:rsidRDefault="001676C5" w:rsidP="00A42CB6">
            <w:pPr>
              <w:pStyle w:val="TableText"/>
              <w:rPr>
                <w:rFonts w:cs="Arial"/>
                <w:szCs w:val="18"/>
              </w:rPr>
            </w:pPr>
          </w:p>
          <w:p w14:paraId="74935C99" w14:textId="77777777" w:rsidR="001676C5" w:rsidRPr="000037E8" w:rsidRDefault="001676C5" w:rsidP="00A42CB6">
            <w:pPr>
              <w:pStyle w:val="TableText"/>
              <w:rPr>
                <w:rFonts w:cs="Arial"/>
                <w:szCs w:val="18"/>
              </w:rPr>
            </w:pPr>
            <w:r w:rsidRPr="000037E8">
              <w:rPr>
                <w:rFonts w:cs="Arial"/>
                <w:szCs w:val="18"/>
              </w:rPr>
              <w:t>No special handling for workload collection for additional repeat antigen typing tests on a unit.</w:t>
            </w:r>
          </w:p>
        </w:tc>
      </w:tr>
      <w:tr w:rsidR="001676C5" w:rsidRPr="00F24972" w14:paraId="511DB2D0" w14:textId="77777777" w:rsidTr="00FA340F">
        <w:trPr>
          <w:cantSplit/>
        </w:trPr>
        <w:tc>
          <w:tcPr>
            <w:tcW w:w="1733" w:type="dxa"/>
            <w:vMerge/>
          </w:tcPr>
          <w:p w14:paraId="415BD8E8" w14:textId="77777777" w:rsidR="001676C5" w:rsidRPr="000037E8" w:rsidRDefault="001676C5" w:rsidP="00A42CB6">
            <w:pPr>
              <w:pStyle w:val="TableText"/>
              <w:rPr>
                <w:rFonts w:cs="Arial"/>
                <w:szCs w:val="18"/>
              </w:rPr>
            </w:pPr>
          </w:p>
        </w:tc>
        <w:tc>
          <w:tcPr>
            <w:tcW w:w="1592" w:type="dxa"/>
          </w:tcPr>
          <w:p w14:paraId="7B9D18BD" w14:textId="77777777" w:rsidR="001676C5" w:rsidRPr="000037E8" w:rsidRDefault="001676C5" w:rsidP="0038583A">
            <w:pPr>
              <w:pStyle w:val="TableText"/>
              <w:rPr>
                <w:rFonts w:cs="Arial"/>
                <w:snapToGrid w:val="0"/>
                <w:szCs w:val="18"/>
              </w:rPr>
            </w:pPr>
            <w:r>
              <w:rPr>
                <w:rFonts w:cs="Arial"/>
                <w:snapToGrid w:val="0"/>
                <w:szCs w:val="18"/>
              </w:rPr>
              <w:t>Invalidate unit testing, Antigen Typing</w:t>
            </w:r>
          </w:p>
        </w:tc>
        <w:tc>
          <w:tcPr>
            <w:tcW w:w="1080" w:type="dxa"/>
          </w:tcPr>
          <w:p w14:paraId="54CB1068" w14:textId="77777777" w:rsidR="001676C5" w:rsidRPr="000037E8" w:rsidRDefault="001676C5" w:rsidP="00A42CB6">
            <w:pPr>
              <w:pStyle w:val="TableText"/>
              <w:rPr>
                <w:rFonts w:cs="Arial"/>
                <w:szCs w:val="18"/>
              </w:rPr>
            </w:pPr>
            <w:r w:rsidRPr="000037E8">
              <w:rPr>
                <w:rFonts w:cs="Arial"/>
                <w:b/>
                <w:szCs w:val="18"/>
              </w:rPr>
              <w:t>Negative</w:t>
            </w:r>
          </w:p>
        </w:tc>
        <w:tc>
          <w:tcPr>
            <w:tcW w:w="900" w:type="dxa"/>
          </w:tcPr>
          <w:p w14:paraId="0D414877" w14:textId="77777777" w:rsidR="001676C5" w:rsidRPr="000037E8" w:rsidRDefault="001676C5" w:rsidP="00A42CB6">
            <w:pPr>
              <w:pStyle w:val="TableText"/>
              <w:jc w:val="center"/>
              <w:rPr>
                <w:rFonts w:cs="Arial"/>
                <w:szCs w:val="18"/>
              </w:rPr>
            </w:pPr>
            <w:r w:rsidRPr="000037E8">
              <w:rPr>
                <w:rFonts w:cs="Arial"/>
                <w:szCs w:val="18"/>
              </w:rPr>
              <w:t>U</w:t>
            </w:r>
          </w:p>
        </w:tc>
        <w:tc>
          <w:tcPr>
            <w:tcW w:w="4950" w:type="dxa"/>
          </w:tcPr>
          <w:p w14:paraId="1C85B92D" w14:textId="77777777" w:rsidR="001676C5" w:rsidRPr="000037E8" w:rsidRDefault="001676C5" w:rsidP="00A42CB6">
            <w:pPr>
              <w:pStyle w:val="TableText"/>
              <w:rPr>
                <w:rFonts w:cs="Arial"/>
                <w:szCs w:val="18"/>
              </w:rPr>
            </w:pPr>
            <w:r w:rsidRPr="000037E8">
              <w:rPr>
                <w:rFonts w:cs="Arial"/>
                <w:szCs w:val="18"/>
              </w:rPr>
              <w:t>Accrue workload when a unit antigen test is invalidated for an individual blood unit.</w:t>
            </w:r>
          </w:p>
        </w:tc>
      </w:tr>
    </w:tbl>
    <w:p w14:paraId="7B61A9A1" w14:textId="77777777" w:rsidR="0038450D" w:rsidRPr="00BC4A37" w:rsidRDefault="0038450D" w:rsidP="000037E8">
      <w:pPr>
        <w:jc w:val="center"/>
      </w:pPr>
    </w:p>
    <w:p w14:paraId="6CB57E0C" w14:textId="77777777" w:rsidR="001C498F" w:rsidRDefault="0045199E" w:rsidP="0045199E">
      <w:pPr>
        <w:rPr>
          <w:sz w:val="22"/>
          <w:szCs w:val="22"/>
        </w:rPr>
      </w:pPr>
      <w:r w:rsidRPr="004C5759">
        <w:rPr>
          <w:sz w:val="22"/>
          <w:szCs w:val="22"/>
        </w:rPr>
        <w:t xml:space="preserve">*Transaction type: Patient (P), Unit (U), Misc (M), </w:t>
      </w:r>
      <w:r w:rsidR="005A7651" w:rsidRPr="004C5759">
        <w:rPr>
          <w:sz w:val="22"/>
          <w:szCs w:val="22"/>
        </w:rPr>
        <w:t>(N/A) N</w:t>
      </w:r>
      <w:r w:rsidRPr="004C5759">
        <w:rPr>
          <w:sz w:val="22"/>
          <w:szCs w:val="22"/>
        </w:rPr>
        <w:t>o donor workload types in VBECS at this time.</w:t>
      </w:r>
    </w:p>
    <w:p w14:paraId="26133F9C" w14:textId="77777777" w:rsidR="00A9528E" w:rsidRDefault="00A9528E">
      <w:r>
        <w:br w:type="page"/>
      </w:r>
    </w:p>
    <w:p w14:paraId="09B1763E" w14:textId="64E82711" w:rsidR="002A21AE" w:rsidRDefault="002A21AE" w:rsidP="008A42DA">
      <w:pPr>
        <w:pStyle w:val="Heading2"/>
      </w:pPr>
      <w:bookmarkStart w:id="761" w:name="_Toc203765988"/>
      <w:r>
        <w:lastRenderedPageBreak/>
        <w:t xml:space="preserve">Appendix </w:t>
      </w:r>
      <w:r w:rsidR="004E20BD">
        <w:rPr>
          <w:noProof/>
        </w:rPr>
        <w:fldChar w:fldCharType="begin"/>
      </w:r>
      <w:r w:rsidR="004E20BD">
        <w:rPr>
          <w:noProof/>
        </w:rPr>
        <w:instrText xml:space="preserve"> SEQ Appendix \* ALPHABETIC </w:instrText>
      </w:r>
      <w:r w:rsidR="004E20BD">
        <w:rPr>
          <w:noProof/>
        </w:rPr>
        <w:fldChar w:fldCharType="separate"/>
      </w:r>
      <w:r w:rsidR="007D1829">
        <w:rPr>
          <w:noProof/>
        </w:rPr>
        <w:t>C</w:t>
      </w:r>
      <w:r w:rsidR="004E20BD">
        <w:rPr>
          <w:noProof/>
        </w:rPr>
        <w:fldChar w:fldCharType="end"/>
      </w:r>
      <w:r>
        <w:t>: VBECS Work Flow</w:t>
      </w:r>
      <w:bookmarkEnd w:id="761"/>
      <w:r>
        <w:fldChar w:fldCharType="begin"/>
      </w:r>
      <w:r>
        <w:instrText xml:space="preserve"> XE </w:instrText>
      </w:r>
      <w:r w:rsidR="00FA7E65">
        <w:instrText>“</w:instrText>
      </w:r>
      <w:r>
        <w:instrText>VBECS Work Flow</w:instrText>
      </w:r>
      <w:r w:rsidR="00FA7E65">
        <w:instrText>”</w:instrText>
      </w:r>
      <w:r>
        <w:instrText xml:space="preserve"> </w:instrText>
      </w:r>
      <w:r>
        <w:fldChar w:fldCharType="end"/>
      </w:r>
      <w:r>
        <w:fldChar w:fldCharType="begin"/>
      </w:r>
      <w:r>
        <w:instrText xml:space="preserve"> XE </w:instrText>
      </w:r>
      <w:r w:rsidR="00FA7E65">
        <w:instrText>“</w:instrText>
      </w:r>
      <w:r>
        <w:instrText>Figures:VBECS Work Flow</w:instrText>
      </w:r>
      <w:r w:rsidR="00FA7E65">
        <w:instrText>”</w:instrText>
      </w:r>
      <w:r>
        <w:instrText xml:space="preserve"> </w:instrText>
      </w:r>
      <w:r>
        <w:fldChar w:fldCharType="end"/>
      </w:r>
    </w:p>
    <w:p w14:paraId="7811E0F1" w14:textId="782CE3B6" w:rsidR="00CF42BF" w:rsidRDefault="00C81AB4" w:rsidP="00C81AB4">
      <w:pPr>
        <w:pStyle w:val="BodyText"/>
        <w:rPr>
          <w:snapToGrid w:val="0"/>
        </w:rPr>
      </w:pPr>
      <w:r>
        <w:t>Each of the six user roles is associated with a</w:t>
      </w:r>
      <w:r>
        <w:rPr>
          <w:snapToGrid w:val="0"/>
        </w:rPr>
        <w:t xml:space="preserve"> security level (see </w:t>
      </w:r>
      <w:r w:rsidR="00EE455E">
        <w:t xml:space="preserve">Table </w:t>
      </w:r>
      <w:r w:rsidR="00EE455E">
        <w:rPr>
          <w:noProof/>
        </w:rPr>
        <w:t>1</w:t>
      </w:r>
      <w:r>
        <w:rPr>
          <w:snapToGrid w:val="0"/>
        </w:rPr>
        <w:t xml:space="preserve">). </w:t>
      </w:r>
      <w:r w:rsidR="00B439DD">
        <w:rPr>
          <w:snapToGrid w:val="0"/>
        </w:rPr>
        <w:t xml:space="preserve">Privileges </w:t>
      </w:r>
      <w:r w:rsidR="007370E3">
        <w:rPr>
          <w:snapToGrid w:val="0"/>
        </w:rPr>
        <w:t>accumulate</w:t>
      </w:r>
      <w:r w:rsidR="00B439DD">
        <w:rPr>
          <w:snapToGrid w:val="0"/>
        </w:rPr>
        <w:t xml:space="preserve"> as the security level increases. For example, a Lead Technologist’s privileges include those of a Blood Bank Technologist and Enhanced Technologist. </w:t>
      </w:r>
    </w:p>
    <w:p w14:paraId="60EF7522" w14:textId="1F62E0A5" w:rsidR="00543C20" w:rsidRPr="00543C20" w:rsidRDefault="00CF42BF" w:rsidP="00CF42BF">
      <w:pPr>
        <w:pStyle w:val="Caption"/>
      </w:pPr>
      <w:r>
        <w:rPr>
          <w:snapToGrid w:val="0"/>
        </w:rPr>
        <w:br w:type="page"/>
      </w:r>
      <w:r w:rsidR="00543C20">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7D1829">
        <w:rPr>
          <w:noProof/>
        </w:rPr>
        <w:t>121</w:t>
      </w:r>
      <w:r w:rsidR="004E20BD">
        <w:rPr>
          <w:noProof/>
        </w:rPr>
        <w:fldChar w:fldCharType="end"/>
      </w:r>
      <w:r w:rsidR="00543C20">
        <w:t>: VBECS Work Flow (left)</w:t>
      </w:r>
    </w:p>
    <w:p w14:paraId="5D6D95A8" w14:textId="5E45608A" w:rsidR="002A21AE" w:rsidRDefault="00A03888" w:rsidP="000969E3">
      <w:pPr>
        <w:pStyle w:val="BodyText"/>
        <w:sectPr w:rsidR="002A21AE" w:rsidSect="00EE771C">
          <w:footerReference w:type="default" r:id="rId214"/>
          <w:pgSz w:w="12240" w:h="15840" w:code="1"/>
          <w:pgMar w:top="1440" w:right="1440" w:bottom="1440" w:left="1440" w:header="720" w:footer="720" w:gutter="0"/>
          <w:cols w:space="720"/>
          <w:docGrid w:linePitch="360"/>
        </w:sectPr>
      </w:pPr>
      <w:r>
        <w:object w:dxaOrig="12135" w:dyaOrig="15255" w14:anchorId="656AEEDA">
          <v:shape id="_x0000_i1032" type="#_x0000_t75" alt="VBECS Work Flow (left)" style="width:468pt;height:590.25pt" o:ole="">
            <v:imagedata r:id="rId215" o:title=""/>
          </v:shape>
          <o:OLEObject Type="Embed" ProgID="Visio.Drawing.11" ShapeID="_x0000_i1032" DrawAspect="Content" ObjectID="_1816593594" r:id="rId216"/>
        </w:object>
      </w:r>
    </w:p>
    <w:p w14:paraId="501334FB" w14:textId="181ECCF6" w:rsidR="00543C20" w:rsidRPr="00543C20" w:rsidRDefault="00543C20" w:rsidP="00543C20">
      <w:pPr>
        <w:pStyle w:val="Caption"/>
      </w:pPr>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7D1829">
        <w:rPr>
          <w:noProof/>
        </w:rPr>
        <w:t>122</w:t>
      </w:r>
      <w:r w:rsidR="004E20BD">
        <w:rPr>
          <w:noProof/>
        </w:rPr>
        <w:fldChar w:fldCharType="end"/>
      </w:r>
      <w:r>
        <w:t>: VBECS Work Flow (right)</w:t>
      </w:r>
    </w:p>
    <w:p w14:paraId="0BE4710E" w14:textId="3BCD1357" w:rsidR="003955C7" w:rsidRDefault="00627964" w:rsidP="000969E3">
      <w:pPr>
        <w:pStyle w:val="BodyText"/>
      </w:pPr>
      <w:r>
        <w:object w:dxaOrig="11845" w:dyaOrig="15265" w14:anchorId="525A18C8">
          <v:shape id="_x0000_i1033" type="#_x0000_t75" alt="VBECS Work Flow (right)" style="width:453.75pt;height:591pt;mso-position-vertical:absolute" o:ole="">
            <v:imagedata r:id="rId217" o:title=""/>
          </v:shape>
          <o:OLEObject Type="Embed" ProgID="Visio.Drawing.11" ShapeID="_x0000_i1033" DrawAspect="Content" ObjectID="_1816593595" r:id="rId218"/>
        </w:object>
      </w:r>
    </w:p>
    <w:p w14:paraId="6FAB0E70" w14:textId="650B186A" w:rsidR="00064E16" w:rsidRDefault="002A21AE" w:rsidP="00F97B06">
      <w:pPr>
        <w:pStyle w:val="Heading2"/>
      </w:pPr>
      <w:bookmarkStart w:id="762" w:name="_Ref402936446"/>
      <w:bookmarkStart w:id="763" w:name="_Ref496875886"/>
      <w:bookmarkStart w:id="764" w:name="_Ref4588935"/>
      <w:bookmarkStart w:id="765" w:name="_Toc203765989"/>
      <w:bookmarkStart w:id="766" w:name="_Hlk123796111"/>
      <w:r>
        <w:lastRenderedPageBreak/>
        <w:t>Appendix</w:t>
      </w:r>
      <w:r w:rsidR="00D56A09">
        <w:t xml:space="preserve"> D</w:t>
      </w:r>
      <w:r>
        <w:t>: Limitations</w:t>
      </w:r>
      <w:r w:rsidR="00304382">
        <w:t xml:space="preserve"> and Restrictions</w:t>
      </w:r>
      <w:bookmarkEnd w:id="762"/>
      <w:bookmarkEnd w:id="763"/>
      <w:bookmarkEnd w:id="764"/>
      <w:bookmarkEnd w:id="765"/>
      <w:r w:rsidR="00103E20">
        <w:fldChar w:fldCharType="begin"/>
      </w:r>
      <w:r w:rsidR="00103E20">
        <w:instrText xml:space="preserve"> XE "Limitations</w:instrText>
      </w:r>
      <w:r w:rsidR="00304382">
        <w:instrText xml:space="preserve"> and Restrictions</w:instrText>
      </w:r>
      <w:r w:rsidR="00103E20">
        <w:instrText xml:space="preserve">" </w:instrText>
      </w:r>
      <w:r w:rsidR="00103E20">
        <w:fldChar w:fldCharType="end"/>
      </w:r>
    </w:p>
    <w:p w14:paraId="1055CE55" w14:textId="77777777" w:rsidR="00805EFD" w:rsidRDefault="005215D6" w:rsidP="00805EFD">
      <w:pPr>
        <w:pStyle w:val="BodyText"/>
      </w:pPr>
      <w:r>
        <w:t>L</w:t>
      </w:r>
      <w:r w:rsidR="0028137A">
        <w:t xml:space="preserve">imitations and restrictions are listed by the options in which they occur. </w:t>
      </w:r>
    </w:p>
    <w:p w14:paraId="46D95F3B" w14:textId="708A5F9D" w:rsidR="00D914A9" w:rsidRDefault="00D914A9" w:rsidP="00D914A9">
      <w:pPr>
        <w:pStyle w:val="Caption"/>
      </w:pPr>
      <w:r>
        <w:t xml:space="preserve">Table </w:t>
      </w:r>
      <w:r w:rsidR="004E20BD">
        <w:rPr>
          <w:noProof/>
        </w:rPr>
        <w:fldChar w:fldCharType="begin"/>
      </w:r>
      <w:r w:rsidR="004E20BD">
        <w:rPr>
          <w:noProof/>
        </w:rPr>
        <w:instrText xml:space="preserve"> SEQ Table \* ARABIC </w:instrText>
      </w:r>
      <w:r w:rsidR="004E20BD">
        <w:rPr>
          <w:noProof/>
        </w:rPr>
        <w:fldChar w:fldCharType="separate"/>
      </w:r>
      <w:r w:rsidR="007D1829">
        <w:rPr>
          <w:noProof/>
        </w:rPr>
        <w:t>26</w:t>
      </w:r>
      <w:r w:rsidR="004E20BD">
        <w:rPr>
          <w:noProof/>
        </w:rPr>
        <w:fldChar w:fldCharType="end"/>
      </w:r>
      <w:r>
        <w:t>: Limitations</w:t>
      </w:r>
      <w:r w:rsidR="00304382">
        <w:t xml:space="preserve"> and Restrictions</w:t>
      </w:r>
      <w:r w:rsidR="00812371">
        <w:fldChar w:fldCharType="begin"/>
      </w:r>
      <w:r w:rsidR="00812371">
        <w:instrText xml:space="preserve"> XE "Tables:Limitations and Restrictions" </w:instrText>
      </w:r>
      <w:r w:rsidR="00812371">
        <w:fldChar w:fldCharType="end"/>
      </w: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45199A" w:rsidRPr="00D65A81" w14:paraId="27944D06" w14:textId="77777777" w:rsidTr="00543B0D">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1C2737CC" w14:textId="77777777" w:rsidR="0045199A" w:rsidRPr="00EC673F" w:rsidRDefault="0045199A" w:rsidP="00543B0D">
            <w:pPr>
              <w:pStyle w:val="TableText"/>
              <w:rPr>
                <w:rFonts w:cs="Arial"/>
                <w:b/>
              </w:rPr>
            </w:pPr>
            <w:r w:rsidRPr="00EC673F">
              <w:rPr>
                <w:rFonts w:cs="Arial"/>
                <w:b/>
              </w:rPr>
              <w:t xml:space="preserve">Functions Not Supported </w:t>
            </w:r>
            <w:r w:rsidRPr="00EC673F">
              <w:rPr>
                <w:rFonts w:cs="Arial"/>
                <w:b/>
                <w:vanish/>
              </w:rPr>
              <w:t>DR 5105</w:t>
            </w:r>
          </w:p>
        </w:tc>
      </w:tr>
      <w:tr w:rsidR="0045199A" w:rsidRPr="00725902" w14:paraId="7C7CAA7E" w14:textId="77777777" w:rsidTr="00543B0D">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7F5BB6B1" w14:textId="77777777" w:rsidR="0045199A" w:rsidRPr="00EC673F" w:rsidRDefault="0045199A" w:rsidP="00543B0D">
            <w:pPr>
              <w:pStyle w:val="TableText"/>
              <w:rPr>
                <w:rFonts w:cs="Arial"/>
              </w:rPr>
            </w:pPr>
            <w:r w:rsidRPr="00EC673F">
              <w:rPr>
                <w:rFonts w:cs="Arial"/>
              </w:rPr>
              <w:t>Blood donor collection activities (donor module)</w:t>
            </w:r>
          </w:p>
        </w:tc>
      </w:tr>
      <w:tr w:rsidR="0045199A" w:rsidRPr="00725902" w14:paraId="5067EA5B" w14:textId="77777777" w:rsidTr="00543B0D">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55A5B043" w14:textId="77777777" w:rsidR="0045199A" w:rsidRPr="00EC673F" w:rsidRDefault="0045199A" w:rsidP="00543B0D">
            <w:pPr>
              <w:pStyle w:val="TableText"/>
              <w:rPr>
                <w:rFonts w:cs="Arial"/>
              </w:rPr>
            </w:pPr>
            <w:r w:rsidRPr="00EC673F">
              <w:rPr>
                <w:rFonts w:cs="Arial"/>
              </w:rPr>
              <w:t>Direct data entry of antibody identification</w:t>
            </w:r>
          </w:p>
        </w:tc>
      </w:tr>
      <w:tr w:rsidR="0045199A" w:rsidRPr="00725902" w14:paraId="54BC8AA0" w14:textId="77777777" w:rsidTr="00543B0D">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3D96941A" w14:textId="77777777" w:rsidR="0045199A" w:rsidRPr="00EC673F" w:rsidRDefault="0045199A" w:rsidP="00543B0D">
            <w:pPr>
              <w:pStyle w:val="TableText"/>
              <w:rPr>
                <w:rFonts w:cs="Arial"/>
              </w:rPr>
            </w:pPr>
            <w:r w:rsidRPr="00EC673F">
              <w:rPr>
                <w:rFonts w:cs="Arial"/>
              </w:rPr>
              <w:t xml:space="preserve">Direct data entry of transfusion reaction workups </w:t>
            </w:r>
          </w:p>
        </w:tc>
      </w:tr>
      <w:tr w:rsidR="0045199A" w:rsidRPr="00725902" w14:paraId="22300F7A" w14:textId="77777777" w:rsidTr="00543B0D">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601F0C84" w14:textId="77777777" w:rsidR="0045199A" w:rsidRPr="00EC673F" w:rsidRDefault="0045199A" w:rsidP="00543B0D">
            <w:pPr>
              <w:pStyle w:val="TableText"/>
              <w:rPr>
                <w:rFonts w:cs="Arial"/>
              </w:rPr>
            </w:pPr>
            <w:r w:rsidRPr="00EC673F">
              <w:rPr>
                <w:rFonts w:cs="Arial"/>
              </w:rPr>
              <w:t>Patient testing, transfusions, and blood components recorded in Legacy VistA are not available in VBECS</w:t>
            </w:r>
          </w:p>
        </w:tc>
      </w:tr>
      <w:tr w:rsidR="0045199A" w:rsidRPr="00725902" w14:paraId="16404E76" w14:textId="77777777" w:rsidTr="00543B0D">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28CE87E6" w14:textId="77777777" w:rsidR="0045199A" w:rsidRPr="00EC673F" w:rsidRDefault="0045199A" w:rsidP="00543B0D">
            <w:pPr>
              <w:pStyle w:val="TableText"/>
              <w:rPr>
                <w:rFonts w:cs="Arial"/>
              </w:rPr>
            </w:pPr>
            <w:r w:rsidRPr="00EC673F">
              <w:rPr>
                <w:rFonts w:cs="Arial"/>
              </w:rPr>
              <w:t>Pediatric blood product preparation</w:t>
            </w:r>
          </w:p>
        </w:tc>
      </w:tr>
      <w:tr w:rsidR="0045199A" w14:paraId="1BC5B984" w14:textId="77777777" w:rsidTr="00543B0D">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3C0EB86B" w14:textId="77777777" w:rsidR="0045199A" w:rsidRPr="00EC673F" w:rsidRDefault="0045199A" w:rsidP="00543B0D">
            <w:pPr>
              <w:pStyle w:val="TableText"/>
              <w:rPr>
                <w:rFonts w:cs="Arial"/>
              </w:rPr>
            </w:pPr>
            <w:r w:rsidRPr="00EC673F">
              <w:rPr>
                <w:rFonts w:cs="Arial"/>
              </w:rPr>
              <w:t>Printing of blood product labels</w:t>
            </w:r>
          </w:p>
        </w:tc>
      </w:tr>
      <w:tr w:rsidR="0045199A" w:rsidRPr="009B07A5" w14:paraId="164FE586" w14:textId="77777777" w:rsidTr="00543B0D">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0B6AABDD" w14:textId="77777777" w:rsidR="0045199A" w:rsidRPr="00EC673F" w:rsidRDefault="0045199A" w:rsidP="00543B0D">
            <w:pPr>
              <w:pStyle w:val="TableText"/>
              <w:rPr>
                <w:rFonts w:cs="Arial"/>
                <w:sz w:val="22"/>
                <w:szCs w:val="22"/>
              </w:rPr>
            </w:pPr>
            <w:r w:rsidRPr="00EC673F">
              <w:rPr>
                <w:rFonts w:cs="Arial"/>
              </w:rPr>
              <w:t>User defined customized queries or reports</w:t>
            </w:r>
          </w:p>
        </w:tc>
      </w:tr>
      <w:tr w:rsidR="0045199A" w:rsidRPr="00F358AF" w14:paraId="32938162" w14:textId="77777777" w:rsidTr="006F799E">
        <w:trPr>
          <w:cantSplit/>
          <w:trHeight w:val="216"/>
        </w:trPr>
        <w:tc>
          <w:tcPr>
            <w:tcW w:w="9360" w:type="dxa"/>
            <w:tcBorders>
              <w:top w:val="single" w:sz="6" w:space="0" w:color="000000"/>
              <w:left w:val="single" w:sz="6" w:space="0" w:color="000000"/>
              <w:bottom w:val="single" w:sz="6" w:space="0" w:color="000000"/>
              <w:right w:val="single" w:sz="6" w:space="0" w:color="000000"/>
            </w:tcBorders>
            <w:vAlign w:val="bottom"/>
          </w:tcPr>
          <w:p w14:paraId="12250DEA" w14:textId="77777777" w:rsidR="0045199A" w:rsidRPr="00EC673F" w:rsidRDefault="0045199A" w:rsidP="00543B0D">
            <w:pPr>
              <w:pStyle w:val="TableText"/>
              <w:rPr>
                <w:rFonts w:cs="Arial"/>
              </w:rPr>
            </w:pPr>
            <w:r w:rsidRPr="00EC673F">
              <w:rPr>
                <w:rFonts w:cs="Arial"/>
              </w:rPr>
              <w:t>User editing blood product, antigen, antibody, or transfusion reaction tables</w:t>
            </w:r>
          </w:p>
        </w:tc>
      </w:tr>
      <w:tr w:rsidR="0045199A" w:rsidRPr="00725902" w14:paraId="6118218C" w14:textId="77777777" w:rsidTr="00543B0D">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5FD748FE" w14:textId="77777777" w:rsidR="0045199A" w:rsidRPr="00EC673F" w:rsidRDefault="0045199A" w:rsidP="00543B0D">
            <w:pPr>
              <w:pStyle w:val="TableText"/>
              <w:rPr>
                <w:rFonts w:cs="Arial"/>
              </w:rPr>
            </w:pPr>
            <w:r w:rsidRPr="00EC673F">
              <w:rPr>
                <w:rFonts w:cs="Arial"/>
              </w:rPr>
              <w:t>Validation record storage</w:t>
            </w:r>
          </w:p>
        </w:tc>
      </w:tr>
    </w:tbl>
    <w:p w14:paraId="75CBD990" w14:textId="77777777" w:rsidR="0045199A" w:rsidRPr="0045199A" w:rsidRDefault="0045199A" w:rsidP="0045199A">
      <w:pPr>
        <w:pStyle w:val="BodyText"/>
        <w:spacing w:after="0"/>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D01896" w14:paraId="7B1BC802"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2866641F" w14:textId="77777777" w:rsidR="003F0440" w:rsidRPr="00D01896" w:rsidRDefault="003F0440" w:rsidP="002D126B">
            <w:pPr>
              <w:pStyle w:val="TableText"/>
              <w:rPr>
                <w:b/>
              </w:rPr>
            </w:pPr>
            <w:r>
              <w:rPr>
                <w:b/>
              </w:rPr>
              <w:t>Throughout VBECS</w:t>
            </w:r>
          </w:p>
        </w:tc>
      </w:tr>
      <w:tr w:rsidR="003F0440" w:rsidRPr="00725902" w14:paraId="4B38469F"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73D4F141" w14:textId="77777777" w:rsidR="003F0440" w:rsidRDefault="003F0440" w:rsidP="002D126B">
            <w:pPr>
              <w:pStyle w:val="TableText"/>
            </w:pPr>
            <w:r>
              <w:t xml:space="preserve">After entering a canned or free-text comment in the testing comment field of the testing grid, the user must press </w:t>
            </w:r>
            <w:r w:rsidRPr="00E755C0">
              <w:rPr>
                <w:b/>
              </w:rPr>
              <w:t>Enter</w:t>
            </w:r>
            <w:r>
              <w:t xml:space="preserve"> to store the comment.</w:t>
            </w:r>
          </w:p>
        </w:tc>
      </w:tr>
      <w:tr w:rsidR="00096EDC" w:rsidRPr="00696FA6" w14:paraId="3BCE4DF7" w14:textId="77777777">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48FA0CEA" w14:textId="77777777" w:rsidR="00096EDC" w:rsidRPr="00696FA6" w:rsidRDefault="00096EDC" w:rsidP="002D126B">
            <w:pPr>
              <w:pStyle w:val="TableText"/>
            </w:pPr>
            <w:r>
              <w:t>Although t</w:t>
            </w:r>
            <w:r w:rsidRPr="002B06B2">
              <w:t>he copy-and-paste function is enabled</w:t>
            </w:r>
            <w:r>
              <w:t>, do</w:t>
            </w:r>
            <w:r w:rsidRPr="002B06B2">
              <w:t xml:space="preserve"> not use it to enter patient identification information. </w:t>
            </w:r>
            <w:r>
              <w:t>It is highly</w:t>
            </w:r>
            <w:r w:rsidRPr="002B06B2">
              <w:t xml:space="preserve"> recommend</w:t>
            </w:r>
            <w:r>
              <w:t>ed</w:t>
            </w:r>
            <w:r w:rsidRPr="002B06B2">
              <w:t xml:space="preserve"> that the user scan this information when possible</w:t>
            </w:r>
            <w:r>
              <w:t>;</w:t>
            </w:r>
            <w:r w:rsidRPr="002B06B2">
              <w:t xml:space="preserve"> otherwise</w:t>
            </w:r>
            <w:r>
              <w:t xml:space="preserve">, enter it </w:t>
            </w:r>
            <w:r w:rsidRPr="002B06B2">
              <w:rPr>
                <w:vanish/>
              </w:rPr>
              <w:t>(DR 2,519)</w:t>
            </w:r>
            <w:r w:rsidRPr="002B06B2">
              <w:t>.</w:t>
            </w:r>
          </w:p>
        </w:tc>
      </w:tr>
      <w:tr w:rsidR="00F5220A" w:rsidRPr="00696FA6" w14:paraId="20C0B76A" w14:textId="77777777" w:rsidTr="00A952DB">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202E069F" w14:textId="479584AC" w:rsidR="00F5220A" w:rsidRPr="00696FA6" w:rsidRDefault="00F5220A" w:rsidP="00A952DB">
            <w:pPr>
              <w:pStyle w:val="TableText"/>
            </w:pPr>
          </w:p>
        </w:tc>
      </w:tr>
      <w:tr w:rsidR="003F0440" w:rsidRPr="00696FA6" w14:paraId="1A20ADDE" w14:textId="77777777">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7491D837" w14:textId="4E570005" w:rsidR="003F0440" w:rsidRPr="00696FA6" w:rsidRDefault="00F5220A" w:rsidP="002D126B">
            <w:pPr>
              <w:pStyle w:val="TableText"/>
            </w:pPr>
            <w:r w:rsidRPr="00F5220A">
              <w:t xml:space="preserve">The </w:t>
            </w:r>
            <w:r w:rsidR="00D92F28">
              <w:t xml:space="preserve">report </w:t>
            </w:r>
            <w:r w:rsidRPr="00F5220A">
              <w:t xml:space="preserve">data </w:t>
            </w:r>
            <w:r w:rsidR="00D92F28">
              <w:t xml:space="preserve">that is </w:t>
            </w:r>
            <w:r w:rsidRPr="00F5220A">
              <w:t>output from VBECS is not controlled by the medical device and must be strictly regulated by local facility personnel. Many of the reports contain patient sensitive information and must be treated as such. Use of the exported reports, including alteration of data, is the responsibility of the user.</w:t>
            </w:r>
          </w:p>
        </w:tc>
      </w:tr>
      <w:tr w:rsidR="00F5220A" w:rsidRPr="00696FA6" w14:paraId="22E82E32" w14:textId="77777777">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12CB78DB" w14:textId="17057D2F" w:rsidR="00F5220A" w:rsidRPr="00F5220A" w:rsidRDefault="00F5220A" w:rsidP="002D126B">
            <w:pPr>
              <w:pStyle w:val="TableText"/>
            </w:pPr>
            <w:r w:rsidRPr="00F5220A">
              <w:t>Patient names in VistA that exceed the database standard for File #2 (30 characters) or do not have a last name do not convert to VBECS.</w:t>
            </w:r>
          </w:p>
        </w:tc>
      </w:tr>
      <w:tr w:rsidR="003F0440" w:rsidRPr="00696FA6" w14:paraId="078D60EB" w14:textId="77777777">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72BAE919" w14:textId="77777777" w:rsidR="003F0440" w:rsidRPr="00696FA6" w:rsidRDefault="003F0440" w:rsidP="002D126B">
            <w:pPr>
              <w:pStyle w:val="TableText"/>
            </w:pPr>
            <w:r w:rsidRPr="00696FA6">
              <w:t xml:space="preserve">Information may not be transferred from one window to another without refreshing the screen. When a window is partially displayed or freezes; or when you move from one window to another, enter information, return to the original window, and the entered information is not available, minimize then maximize the window to refresh it. </w:t>
            </w:r>
            <w:r w:rsidRPr="00A10483">
              <w:rPr>
                <w:vanish/>
                <w:szCs w:val="18"/>
              </w:rPr>
              <w:t>UserDoc Task 1086</w:t>
            </w:r>
          </w:p>
        </w:tc>
      </w:tr>
      <w:tr w:rsidR="00F5220A" w:rsidRPr="00696FA6" w14:paraId="664CCA73" w14:textId="77777777" w:rsidTr="00007BBA">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tcPr>
          <w:p w14:paraId="182BE069" w14:textId="63683A47" w:rsidR="00F5220A" w:rsidRPr="00696FA6" w:rsidRDefault="00F5220A" w:rsidP="00F5220A">
            <w:pPr>
              <w:pStyle w:val="TableText"/>
            </w:pPr>
            <w:r w:rsidRPr="00734A95">
              <w:t>A maximized window cannot be resized or moved.</w:t>
            </w:r>
          </w:p>
        </w:tc>
      </w:tr>
      <w:tr w:rsidR="00F5220A" w:rsidRPr="00696FA6" w14:paraId="332A0C49" w14:textId="77777777" w:rsidTr="00103074">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tcPr>
          <w:p w14:paraId="367EA26D" w14:textId="4F23E026" w:rsidR="00F5220A" w:rsidRPr="00F5220A" w:rsidRDefault="00F5220A" w:rsidP="00F5220A">
            <w:pPr>
              <w:pStyle w:val="TableText"/>
            </w:pPr>
            <w:r w:rsidRPr="00E630A6">
              <w:t>Keyboard navigation of VBECS does not accommodate the presentation of error providers or tool tips. A mouse is required to reveal this information as needed.</w:t>
            </w:r>
            <w:r>
              <w:rPr>
                <w:vanish/>
              </w:rPr>
              <w:t xml:space="preserve"> DR 3590</w:t>
            </w:r>
          </w:p>
        </w:tc>
      </w:tr>
      <w:tr w:rsidR="003F0440" w:rsidRPr="00696FA6" w14:paraId="03FE51DB" w14:textId="77777777">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55CBBC29" w14:textId="77777777" w:rsidR="003F0440" w:rsidRPr="00696FA6" w:rsidRDefault="003F0440" w:rsidP="002D126B">
            <w:pPr>
              <w:pStyle w:val="TableText"/>
            </w:pPr>
            <w:r w:rsidRPr="00696FA6">
              <w:t>Initial blood orders must be placed in CPRS. Tests and products may be added to existing orders in VBECS.</w:t>
            </w:r>
          </w:p>
        </w:tc>
      </w:tr>
      <w:tr w:rsidR="00F5220A" w:rsidRPr="00696FA6" w14:paraId="276F651D" w14:textId="77777777" w:rsidTr="00A952DB">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0E63D858" w14:textId="77777777" w:rsidR="00F5220A" w:rsidRPr="00F5220A" w:rsidRDefault="00F5220A" w:rsidP="00A952DB">
            <w:pPr>
              <w:pStyle w:val="TableText"/>
            </w:pPr>
            <w:r w:rsidRPr="00F5220A">
              <w:t>Set the local machine’s desktop resolution to 1024 by 768 pixels or higher for optimal display. Failure to maintain these settings may result in partial display of safety-critical information.</w:t>
            </w:r>
            <w:r>
              <w:rPr>
                <w:vanish/>
              </w:rPr>
              <w:t xml:space="preserve"> DR 3738</w:t>
            </w:r>
          </w:p>
        </w:tc>
      </w:tr>
      <w:tr w:rsidR="00A51F68" w:rsidRPr="00696FA6" w14:paraId="7E30E23C" w14:textId="77777777">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36CD5489" w14:textId="77777777" w:rsidR="00A51F68" w:rsidRPr="00AF0F0D" w:rsidRDefault="00A51F68" w:rsidP="002D126B">
            <w:pPr>
              <w:pStyle w:val="TableText"/>
            </w:pPr>
            <w:r w:rsidRPr="00AF0F0D">
              <w:t>The date and time displayed in VBECS depend on the date and time set on the server. Sites are not notified when an administrator changes the date or time on the server. Users must contact their System Administrator when the date or time is incorrect.</w:t>
            </w:r>
          </w:p>
        </w:tc>
      </w:tr>
      <w:tr w:rsidR="003F0440" w:rsidRPr="00696FA6" w14:paraId="7CC0635A" w14:textId="77777777">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3464092A" w14:textId="77777777" w:rsidR="003F0440" w:rsidRPr="00696FA6" w:rsidRDefault="003F0440" w:rsidP="002D126B">
            <w:pPr>
              <w:pStyle w:val="TableText"/>
            </w:pPr>
            <w:r w:rsidRPr="00696FA6">
              <w:t>VBECS depends on a connection to VistA and CPRS to retrieve patient information and orders, respectively.</w:t>
            </w:r>
          </w:p>
        </w:tc>
      </w:tr>
      <w:tr w:rsidR="003F0440" w:rsidRPr="00696FA6" w14:paraId="38221558" w14:textId="77777777">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7BB05E64" w14:textId="77777777" w:rsidR="003F0440" w:rsidRPr="00696FA6" w:rsidRDefault="003F0440" w:rsidP="002D126B">
            <w:pPr>
              <w:pStyle w:val="TableText"/>
            </w:pPr>
            <w:r w:rsidRPr="00696FA6">
              <w:t xml:space="preserve">When a message window requires a user response and VBECS displays it behind the active window, the user must minimize the active window or click and drag dialog boxes to expose the message window. </w:t>
            </w:r>
          </w:p>
        </w:tc>
      </w:tr>
      <w:tr w:rsidR="003F0440" w:rsidRPr="00696FA6" w14:paraId="373224C5" w14:textId="77777777">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0E99A3EB" w14:textId="77777777" w:rsidR="003F0440" w:rsidRPr="00696FA6" w:rsidRDefault="003F0440" w:rsidP="002D126B">
            <w:pPr>
              <w:pStyle w:val="TableText"/>
            </w:pPr>
            <w:r w:rsidRPr="00696FA6">
              <w:t>When the default screen resolution is changed, division or VistALink information may not be entirely visible.</w:t>
            </w:r>
          </w:p>
        </w:tc>
      </w:tr>
      <w:tr w:rsidR="003F0440" w:rsidRPr="00C05FB7" w14:paraId="79CF76FC" w14:textId="77777777">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19B96E76" w14:textId="77777777" w:rsidR="003F0440" w:rsidRPr="00C05FB7" w:rsidRDefault="003F0440" w:rsidP="002D126B">
            <w:pPr>
              <w:pStyle w:val="TableText"/>
              <w:rPr>
                <w:b/>
              </w:rPr>
            </w:pPr>
            <w:r>
              <w:lastRenderedPageBreak/>
              <w:t xml:space="preserve">When the user does not enter a full or partial unit ID and clicks the </w:t>
            </w:r>
            <w:r w:rsidR="00A6373D">
              <w:rPr>
                <w:b/>
              </w:rPr>
              <w:t>find</w:t>
            </w:r>
            <w:r>
              <w:t xml:space="preserve"> button in the Unit Search Screen, response time will vary based on the size of the database.</w:t>
            </w:r>
          </w:p>
        </w:tc>
      </w:tr>
    </w:tbl>
    <w:p w14:paraId="2714A4C0" w14:textId="77777777" w:rsidR="00EE4091" w:rsidRDefault="00EE4091" w:rsidP="00BF4964">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C05FB7" w14:paraId="7B655659"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69B5B81E" w14:textId="77777777" w:rsidR="003F0440" w:rsidRPr="00C05FB7" w:rsidRDefault="003F0440" w:rsidP="002D126B">
            <w:pPr>
              <w:pStyle w:val="TableText"/>
              <w:rPr>
                <w:b/>
              </w:rPr>
            </w:pPr>
            <w:r w:rsidRPr="00C05FB7">
              <w:rPr>
                <w:b/>
              </w:rPr>
              <w:t>ABO/Rh Confirmation</w:t>
            </w:r>
          </w:p>
        </w:tc>
      </w:tr>
      <w:tr w:rsidR="001C6E63" w:rsidRPr="00725902" w14:paraId="3959FF62" w14:textId="77777777">
        <w:trPr>
          <w:cantSplit/>
          <w:hidden/>
        </w:trPr>
        <w:tc>
          <w:tcPr>
            <w:tcW w:w="9360" w:type="dxa"/>
            <w:tcBorders>
              <w:top w:val="single" w:sz="6" w:space="0" w:color="000000"/>
              <w:left w:val="single" w:sz="6" w:space="0" w:color="000000"/>
              <w:bottom w:val="single" w:sz="6" w:space="0" w:color="000000"/>
              <w:right w:val="single" w:sz="6" w:space="0" w:color="000000"/>
            </w:tcBorders>
            <w:vAlign w:val="bottom"/>
          </w:tcPr>
          <w:p w14:paraId="79AE9368" w14:textId="33339115" w:rsidR="001C6E63" w:rsidRDefault="00B712FD" w:rsidP="002D126B">
            <w:pPr>
              <w:pStyle w:val="TableText"/>
              <w:rPr>
                <w:rFonts w:cs="Arial"/>
                <w:vanish/>
              </w:rPr>
            </w:pPr>
            <w:r w:rsidRPr="00164B44">
              <w:rPr>
                <w:vanish/>
              </w:rPr>
              <w:t>BR_</w:t>
            </w:r>
            <w:r w:rsidR="00F63A03">
              <w:rPr>
                <w:vanish/>
              </w:rPr>
              <w:t>2.43</w:t>
            </w:r>
            <w:r w:rsidRPr="00164B44">
              <w:rPr>
                <w:vanish/>
              </w:rPr>
              <w:t xml:space="preserve"> </w:t>
            </w:r>
            <w:r w:rsidR="001C6E63">
              <w:rPr>
                <w:rFonts w:cs="Arial"/>
              </w:rPr>
              <w:t>This option is disabled for transfusion-only facilities.</w:t>
            </w:r>
          </w:p>
        </w:tc>
      </w:tr>
      <w:tr w:rsidR="003F0440" w:rsidRPr="00725902" w14:paraId="4216571B" w14:textId="77777777">
        <w:trPr>
          <w:cantSplit/>
          <w:hidden/>
        </w:trPr>
        <w:tc>
          <w:tcPr>
            <w:tcW w:w="9360" w:type="dxa"/>
            <w:tcBorders>
              <w:top w:val="single" w:sz="6" w:space="0" w:color="000000"/>
              <w:left w:val="single" w:sz="6" w:space="0" w:color="000000"/>
              <w:bottom w:val="single" w:sz="6" w:space="0" w:color="000000"/>
              <w:right w:val="single" w:sz="6" w:space="0" w:color="000000"/>
            </w:tcBorders>
            <w:vAlign w:val="bottom"/>
          </w:tcPr>
          <w:p w14:paraId="4CA71D28" w14:textId="77777777" w:rsidR="003F0440" w:rsidRPr="00725902" w:rsidRDefault="003F0440" w:rsidP="002D126B">
            <w:pPr>
              <w:pStyle w:val="TableText"/>
            </w:pPr>
            <w:r>
              <w:rPr>
                <w:rFonts w:cs="Arial"/>
                <w:vanish/>
              </w:rPr>
              <w:t xml:space="preserve">BR_2.04 </w:t>
            </w:r>
            <w:r w:rsidR="007D535F">
              <w:t>When building a worklist by invoice number, only invoiced units not previously tested and confirmed appear on the worklist. The user may deselect or add additional units.</w:t>
            </w:r>
          </w:p>
        </w:tc>
      </w:tr>
      <w:tr w:rsidR="003F0440" w:rsidRPr="00725902" w14:paraId="3C7C7872" w14:textId="77777777">
        <w:trPr>
          <w:cantSplit/>
          <w:hidden/>
        </w:trPr>
        <w:tc>
          <w:tcPr>
            <w:tcW w:w="9360" w:type="dxa"/>
            <w:tcBorders>
              <w:top w:val="single" w:sz="6" w:space="0" w:color="000000"/>
              <w:left w:val="single" w:sz="6" w:space="0" w:color="000000"/>
              <w:bottom w:val="single" w:sz="6" w:space="0" w:color="000000"/>
              <w:right w:val="single" w:sz="6" w:space="0" w:color="000000"/>
            </w:tcBorders>
            <w:vAlign w:val="bottom"/>
          </w:tcPr>
          <w:p w14:paraId="6E187CE6" w14:textId="77777777" w:rsidR="003F0440" w:rsidRPr="00725902" w:rsidRDefault="003F0440" w:rsidP="002D126B">
            <w:pPr>
              <w:pStyle w:val="TableText"/>
            </w:pPr>
            <w:r>
              <w:rPr>
                <w:rFonts w:cs="Arial"/>
                <w:vanish/>
              </w:rPr>
              <w:t xml:space="preserve">BR_27.09 </w:t>
            </w:r>
            <w:r>
              <w:t xml:space="preserve">For batch processing, </w:t>
            </w:r>
            <w:r w:rsidR="000E5D74">
              <w:t xml:space="preserve">the user can select </w:t>
            </w:r>
            <w:r>
              <w:t xml:space="preserve">incoming shipment invoices from </w:t>
            </w:r>
            <w:r w:rsidR="000E5D74">
              <w:t xml:space="preserve">his division, processed within </w:t>
            </w:r>
            <w:r>
              <w:t>the previous five days</w:t>
            </w:r>
            <w:r w:rsidRPr="008631E9">
              <w:t>.</w:t>
            </w:r>
          </w:p>
        </w:tc>
      </w:tr>
      <w:tr w:rsidR="003F0440" w:rsidRPr="00725902" w14:paraId="4D13C4B4"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0E256EAE" w14:textId="77777777" w:rsidR="003F0440" w:rsidRPr="00725902" w:rsidRDefault="003F0440" w:rsidP="002D126B">
            <w:pPr>
              <w:pStyle w:val="TableText"/>
            </w:pPr>
            <w:r>
              <w:t xml:space="preserve">VBECS does not display product </w:t>
            </w:r>
            <w:r w:rsidRPr="008631E9">
              <w:t>code</w:t>
            </w:r>
            <w:r>
              <w:t xml:space="preserve">s associated with unit IDs in ABO/Rh Confirmation. Therefore, do not create ABO/Rh confirmation worklists containing units with the same unit ID. </w:t>
            </w:r>
          </w:p>
        </w:tc>
      </w:tr>
      <w:tr w:rsidR="001C6E63" w:rsidRPr="00725902" w14:paraId="3B5FE55D"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0A6E0FC6" w14:textId="159269A6" w:rsidR="001C6E63" w:rsidRDefault="001C6E63" w:rsidP="002D126B">
            <w:pPr>
              <w:pStyle w:val="TableText"/>
            </w:pPr>
            <w:r>
              <w:t>POOLED GRANULOCYTES</w:t>
            </w:r>
            <w:r w:rsidR="00082DBB" w:rsidRPr="00C60EBB">
              <w:rPr>
                <w:vanish/>
              </w:rPr>
              <w:t xml:space="preserve">(ICCBBA Component Class E036) </w:t>
            </w:r>
            <w:r>
              <w:t xml:space="preserve"> </w:t>
            </w:r>
            <w:r w:rsidR="003D1470">
              <w:t xml:space="preserve">labeled </w:t>
            </w:r>
            <w:r w:rsidR="003D1470" w:rsidRPr="00D12C95">
              <w:t>with an Rh type of “Pooled” is considered an Rh Positive unit which does not require confirmation testing.</w:t>
            </w:r>
          </w:p>
        </w:tc>
      </w:tr>
      <w:tr w:rsidR="001C6E63" w:rsidRPr="00725902" w14:paraId="31962EDE"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68EEF0BB" w14:textId="2CEBB5C9" w:rsidR="001C6E63" w:rsidRDefault="003D1470" w:rsidP="002D126B">
            <w:pPr>
              <w:pStyle w:val="TableText"/>
            </w:pPr>
            <w:r>
              <w:t xml:space="preserve">POOLED GRANULOCYTES </w:t>
            </w:r>
            <w:r w:rsidR="00082DBB" w:rsidRPr="00C60EBB">
              <w:rPr>
                <w:vanish/>
              </w:rPr>
              <w:t xml:space="preserve">(ICCBBA Component Class E036) </w:t>
            </w:r>
            <w:r>
              <w:t xml:space="preserve">labeled </w:t>
            </w:r>
            <w:r w:rsidRPr="00D12C95">
              <w:t>with an</w:t>
            </w:r>
            <w:r>
              <w:t xml:space="preserve"> </w:t>
            </w:r>
            <w:r w:rsidRPr="00E44A83">
              <w:t>ABO group of “Pooled” cannot be confirmed. A blood component unit received as “POOLED ABO” will have to be transfused using the Supervisory option, Document ABO Incompatible Transfusion.</w:t>
            </w:r>
          </w:p>
        </w:tc>
      </w:tr>
      <w:tr w:rsidR="003E0483" w:rsidRPr="00725902" w14:paraId="2017991C"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5E453538" w14:textId="0B763E45" w:rsidR="003E0483" w:rsidRDefault="003E0483" w:rsidP="002D126B">
            <w:pPr>
              <w:pStyle w:val="TableText"/>
            </w:pPr>
            <w:r>
              <w:t xml:space="preserve">Patient assignment is not released </w:t>
            </w:r>
            <w:r w:rsidRPr="00B26970">
              <w:rPr>
                <w:rFonts w:cs="Arial"/>
                <w:szCs w:val="18"/>
              </w:rPr>
              <w:t>automatically when a unit is quarantined due to discrepant ABO/Rh retype testing.</w:t>
            </w:r>
            <w:r>
              <w:rPr>
                <w:rFonts w:cs="Arial"/>
                <w:szCs w:val="18"/>
              </w:rPr>
              <w:t xml:space="preserve"> </w:t>
            </w:r>
            <w:r w:rsidRPr="00B26970">
              <w:rPr>
                <w:rFonts w:cs="Arial"/>
                <w:szCs w:val="18"/>
              </w:rPr>
              <w:t xml:space="preserve">The unit is quarantined and cannot be selected for a different patient or issued for </w:t>
            </w:r>
            <w:r>
              <w:rPr>
                <w:rFonts w:cs="Arial"/>
                <w:szCs w:val="18"/>
              </w:rPr>
              <w:t>the current</w:t>
            </w:r>
            <w:r w:rsidRPr="00B26970">
              <w:rPr>
                <w:rFonts w:cs="Arial"/>
                <w:szCs w:val="18"/>
              </w:rPr>
              <w:t xml:space="preserve"> patient.</w:t>
            </w:r>
            <w:r>
              <w:rPr>
                <w:rFonts w:cs="Arial"/>
                <w:szCs w:val="18"/>
              </w:rPr>
              <w:t xml:space="preserve"> Quarantined units are clearly marked in VBECS and cannot be issued.</w:t>
            </w:r>
            <w:r w:rsidR="00EF7C8A">
              <w:rPr>
                <w:rFonts w:cs="Arial"/>
                <w:szCs w:val="18"/>
              </w:rPr>
              <w:t xml:space="preserve"> </w:t>
            </w:r>
            <w:r w:rsidR="00EF7C8A" w:rsidRPr="00EF7C8A">
              <w:rPr>
                <w:rFonts w:cs="Arial"/>
                <w:vanish/>
                <w:szCs w:val="18"/>
              </w:rPr>
              <w:t>Task 213499</w:t>
            </w:r>
          </w:p>
        </w:tc>
      </w:tr>
    </w:tbl>
    <w:p w14:paraId="6990DAEE" w14:textId="77777777" w:rsidR="00BF4964" w:rsidRDefault="00BF4964" w:rsidP="00BF4964">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7023AD" w14:paraId="2B563E9E"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752BC5F5" w14:textId="77777777" w:rsidR="003F0440" w:rsidRPr="007023AD" w:rsidRDefault="003F0440" w:rsidP="002D126B">
            <w:pPr>
              <w:pStyle w:val="TableText"/>
              <w:rPr>
                <w:b/>
              </w:rPr>
            </w:pPr>
            <w:r w:rsidRPr="007023AD">
              <w:rPr>
                <w:b/>
              </w:rPr>
              <w:t xml:space="preserve">Accept Orders: Accept an Order </w:t>
            </w:r>
          </w:p>
        </w:tc>
      </w:tr>
      <w:tr w:rsidR="00C4014D" w:rsidRPr="00725902" w14:paraId="553B4D5A"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26ACFB8E" w14:textId="77777777" w:rsidR="00C4014D" w:rsidRDefault="007B38A2" w:rsidP="002D126B">
            <w:pPr>
              <w:pStyle w:val="TableText"/>
            </w:pPr>
            <w:r>
              <w:t>An order for TAS must be accepted before the component order if the user wants to include the component request to the Inappropriate Transfusion Request Report. Accepting the TAS after the component order is marked inappropriate and accepted clears the user’s indication that this is an inappropriate request</w:t>
            </w:r>
            <w:r w:rsidR="00C425B6">
              <w:t xml:space="preserve">. </w:t>
            </w:r>
            <w:r w:rsidR="00C425B6" w:rsidRPr="00C425B6">
              <w:rPr>
                <w:vanish/>
              </w:rPr>
              <w:t>DR 4854</w:t>
            </w:r>
          </w:p>
        </w:tc>
      </w:tr>
      <w:tr w:rsidR="003F0440" w:rsidRPr="00725902" w14:paraId="04D335F1"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5F135C92" w14:textId="1874E47F" w:rsidR="003F0440" w:rsidRDefault="003F0440" w:rsidP="002D126B">
            <w:pPr>
              <w:pStyle w:val="TableText"/>
            </w:pPr>
            <w:r>
              <w:t xml:space="preserve">When no CPRS order exists, the user </w:t>
            </w:r>
            <w:r w:rsidR="00082DBB">
              <w:t>processes</w:t>
            </w:r>
            <w:r>
              <w:t xml:space="preserve"> the specimen offline.</w:t>
            </w:r>
            <w:r w:rsidR="0050322E">
              <w:t xml:space="preserve"> The emergency order check box is not enabled unless there is a CPRS order and a patient specimen accessioned in VistA. If necessary, process the emergency issue of units</w:t>
            </w:r>
            <w:r w:rsidR="00850DE6">
              <w:t xml:space="preserve"> manually, per local policy, until the specimen is received and accessioned. </w:t>
            </w:r>
            <w:r w:rsidR="00850DE6" w:rsidRPr="00850DE6">
              <w:rPr>
                <w:vanish/>
              </w:rPr>
              <w:t>Defect 2</w:t>
            </w:r>
            <w:r w:rsidR="005D686E">
              <w:rPr>
                <w:vanish/>
              </w:rPr>
              <w:t>13679</w:t>
            </w:r>
          </w:p>
        </w:tc>
      </w:tr>
      <w:tr w:rsidR="009E2EF4" w:rsidRPr="00725902" w14:paraId="7F7A548E" w14:textId="77777777">
        <w:trPr>
          <w:cantSplit/>
          <w:hidden/>
        </w:trPr>
        <w:tc>
          <w:tcPr>
            <w:tcW w:w="9360" w:type="dxa"/>
            <w:tcBorders>
              <w:top w:val="single" w:sz="6" w:space="0" w:color="000000"/>
              <w:left w:val="single" w:sz="6" w:space="0" w:color="000000"/>
              <w:bottom w:val="single" w:sz="6" w:space="0" w:color="000000"/>
              <w:right w:val="single" w:sz="6" w:space="0" w:color="000000"/>
            </w:tcBorders>
            <w:vAlign w:val="bottom"/>
          </w:tcPr>
          <w:p w14:paraId="35C91D6B" w14:textId="77777777" w:rsidR="009E2EF4" w:rsidRDefault="009E2EF4" w:rsidP="009E2EF4">
            <w:pPr>
              <w:pStyle w:val="TableText"/>
            </w:pPr>
            <w:r w:rsidRPr="009E2EF4">
              <w:rPr>
                <w:vanish/>
              </w:rPr>
              <w:t>DR 2,811</w:t>
            </w:r>
            <w:r>
              <w:t>The user must accept the Type &amp; Screen (TAS) before he accepts other diagnostic tests or component orders.</w:t>
            </w:r>
          </w:p>
        </w:tc>
      </w:tr>
      <w:tr w:rsidR="009E2EF4" w:rsidRPr="00725902" w14:paraId="1E44ACA2"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130ABEC1" w14:textId="77777777" w:rsidR="009E2EF4" w:rsidRDefault="009E2EF4" w:rsidP="009E2EF4">
            <w:pPr>
              <w:pStyle w:val="TableText"/>
            </w:pPr>
            <w:r>
              <w:t>T</w:t>
            </w:r>
            <w:r w:rsidRPr="00AB4ABB">
              <w:t>he</w:t>
            </w:r>
            <w:r>
              <w:t xml:space="preserve"> user cannot click </w:t>
            </w:r>
            <w:r w:rsidR="00057948">
              <w:rPr>
                <w:noProof/>
              </w:rPr>
              <w:drawing>
                <wp:inline distT="0" distB="0" distL="0" distR="0" wp14:anchorId="65758699" wp14:editId="1E25FBAF">
                  <wp:extent cx="156845" cy="156845"/>
                  <wp:effectExtent l="0" t="0" r="0" b="0"/>
                  <wp:docPr id="272" name="Picture 272" descr="Restricted or Assigned Units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 name="Picture 272" descr="Restricted or Assigned Units icon"/>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t xml:space="preserve"> (Restricted or Assigned Units) to access information on autologous or directed units that may be restricted to a patient.</w:t>
            </w:r>
          </w:p>
        </w:tc>
      </w:tr>
      <w:tr w:rsidR="001C50C2" w:rsidRPr="00725902" w14:paraId="447EED28"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4B9F975F" w14:textId="576E9575" w:rsidR="001C50C2" w:rsidRDefault="0055788D" w:rsidP="009C1EBC">
            <w:pPr>
              <w:pStyle w:val="TableText"/>
            </w:pPr>
            <w:r>
              <w:t>Orders placed for patient</w:t>
            </w:r>
            <w:r w:rsidR="001C50C2" w:rsidRPr="00DD022C">
              <w:t>s with names that exceed the database standard for File #2 (30 characters) or do not have a last name in VistA are rejected and do not appear in VBECS. The VBECS System Administrator is notified of each rejection via an email to the address entered in VBECS Administrator “</w:t>
            </w:r>
            <w:r w:rsidR="009C1EBC">
              <w:t>Email Alerts</w:t>
            </w:r>
            <w:r w:rsidR="001C50C2" w:rsidRPr="00DD022C">
              <w:t>” field.</w:t>
            </w:r>
          </w:p>
        </w:tc>
      </w:tr>
    </w:tbl>
    <w:p w14:paraId="45B2B701" w14:textId="77777777" w:rsidR="00BA0F42" w:rsidRDefault="00BA0F42" w:rsidP="00BF4964">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AF5480" w14:paraId="0EECDA91"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74237282" w14:textId="77777777" w:rsidR="003F0440" w:rsidRPr="00AF5480" w:rsidRDefault="003F0440" w:rsidP="002D126B">
            <w:pPr>
              <w:pStyle w:val="TableText"/>
              <w:rPr>
                <w:b/>
              </w:rPr>
            </w:pPr>
            <w:r w:rsidRPr="00AF5480">
              <w:rPr>
                <w:b/>
              </w:rPr>
              <w:t>Accept Orders: Cancel a Pending Order</w:t>
            </w:r>
          </w:p>
        </w:tc>
      </w:tr>
      <w:tr w:rsidR="003F0440" w:rsidRPr="00725902" w14:paraId="506CABD6"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2F89B189" w14:textId="77777777" w:rsidR="003F0440" w:rsidRDefault="003F0440" w:rsidP="002D126B">
            <w:pPr>
              <w:pStyle w:val="TableText"/>
            </w:pPr>
            <w:r>
              <w:t>Cancellation of one order does not affect other orders placed with it.</w:t>
            </w:r>
          </w:p>
        </w:tc>
      </w:tr>
    </w:tbl>
    <w:p w14:paraId="74090D20" w14:textId="4F940187" w:rsidR="00850DE6" w:rsidRDefault="00850DE6" w:rsidP="00BF4964">
      <w:pPr>
        <w:pStyle w:val="TableText"/>
      </w:pPr>
    </w:p>
    <w:p w14:paraId="7C0B64FE" w14:textId="77777777" w:rsidR="00850DE6" w:rsidRDefault="00850DE6">
      <w:pPr>
        <w:rPr>
          <w:rFonts w:ascii="Arial" w:hAnsi="Arial"/>
          <w:sz w:val="18"/>
        </w:rPr>
      </w:pPr>
      <w:r>
        <w:br w:type="page"/>
      </w:r>
    </w:p>
    <w:p w14:paraId="76A5BEC2" w14:textId="77777777" w:rsidR="00BF4964" w:rsidRDefault="00BF4964" w:rsidP="00BF4964">
      <w:pPr>
        <w:pStyle w:val="TableText"/>
      </w:pPr>
    </w:p>
    <w:tbl>
      <w:tblPr>
        <w:tblW w:w="936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pct25" w:color="auto" w:fill="auto"/>
        <w:tblLayout w:type="fixed"/>
        <w:tblCellMar>
          <w:top w:w="60" w:type="dxa"/>
          <w:left w:w="60" w:type="dxa"/>
          <w:bottom w:w="60" w:type="dxa"/>
          <w:right w:w="60" w:type="dxa"/>
        </w:tblCellMar>
        <w:tblLook w:val="0000" w:firstRow="0" w:lastRow="0" w:firstColumn="0" w:lastColumn="0" w:noHBand="0" w:noVBand="0"/>
      </w:tblPr>
      <w:tblGrid>
        <w:gridCol w:w="9360"/>
      </w:tblGrid>
      <w:tr w:rsidR="00A1725C" w:rsidRPr="007023AD" w14:paraId="1142ED26" w14:textId="77777777" w:rsidTr="00BF30E4">
        <w:trPr>
          <w:cantSplit/>
        </w:trPr>
        <w:tc>
          <w:tcPr>
            <w:tcW w:w="9360" w:type="dxa"/>
            <w:tcBorders>
              <w:bottom w:val="single" w:sz="6" w:space="0" w:color="000000"/>
            </w:tcBorders>
            <w:shd w:val="clear" w:color="auto" w:fill="BFBFBF" w:themeFill="background1" w:themeFillShade="BF"/>
            <w:vAlign w:val="bottom"/>
          </w:tcPr>
          <w:p w14:paraId="1A498368" w14:textId="77777777" w:rsidR="00A1725C" w:rsidRPr="00A1725C" w:rsidRDefault="00A1725C" w:rsidP="00E01F4B">
            <w:pPr>
              <w:pStyle w:val="TableText"/>
              <w:rPr>
                <w:b/>
              </w:rPr>
            </w:pPr>
            <w:r w:rsidRPr="00A1725C">
              <w:rPr>
                <w:b/>
              </w:rPr>
              <w:t xml:space="preserve">Accept Orders: Pending Order List </w:t>
            </w:r>
          </w:p>
        </w:tc>
      </w:tr>
      <w:tr w:rsidR="00A1725C" w:rsidRPr="00725902" w14:paraId="75747FE3" w14:textId="77777777">
        <w:trPr>
          <w:cantSplit/>
        </w:trPr>
        <w:tc>
          <w:tcPr>
            <w:tcW w:w="9360" w:type="dxa"/>
            <w:shd w:val="clear" w:color="auto" w:fill="auto"/>
            <w:vAlign w:val="bottom"/>
          </w:tcPr>
          <w:p w14:paraId="4F907F67" w14:textId="5EF88B45" w:rsidR="00A1725C" w:rsidRPr="00DD022C" w:rsidRDefault="00A1725C" w:rsidP="00E01F4B">
            <w:pPr>
              <w:pStyle w:val="TableText"/>
            </w:pPr>
            <w:r w:rsidRPr="00DD022C">
              <w:t>Orders placed for patients with names that exceed the database standard for File #2 (30 characters) or do not have a first or last name in VistA are rejected and do not appear in VBECS. The VBECS System Administrator is notified of each rejection via an email to the address entered in VBECS Administrator “</w:t>
            </w:r>
            <w:r w:rsidR="009C1EBC">
              <w:t>Email Alerts</w:t>
            </w:r>
            <w:r w:rsidRPr="00DD022C">
              <w:t>” field.</w:t>
            </w:r>
          </w:p>
        </w:tc>
      </w:tr>
      <w:tr w:rsidR="000F05B1" w:rsidRPr="00725902" w14:paraId="2BDD9808" w14:textId="77777777" w:rsidTr="000F05B1">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7B5FF8ED" w14:textId="050AB86C" w:rsidR="000F05B1" w:rsidRPr="00DD022C" w:rsidRDefault="000F05B1" w:rsidP="00615FC3">
            <w:pPr>
              <w:pStyle w:val="TableText"/>
            </w:pPr>
            <w:r>
              <w:t>TAS must be accepted prior to any diagnostic test associated with the same specimen UID to allow the specimen to be used for the TAS.</w:t>
            </w:r>
          </w:p>
        </w:tc>
      </w:tr>
    </w:tbl>
    <w:p w14:paraId="115B0FC5" w14:textId="77777777" w:rsidR="00A1725C" w:rsidRDefault="00A1725C" w:rsidP="00BF4964">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456D10" w:rsidRPr="00EC673F" w14:paraId="4886FE04" w14:textId="77777777" w:rsidTr="00E31E25">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6D78A60C" w14:textId="77777777" w:rsidR="00456D10" w:rsidRPr="00EC673F" w:rsidRDefault="00456D10" w:rsidP="00E31E25">
            <w:pPr>
              <w:pStyle w:val="TableText"/>
              <w:rPr>
                <w:rFonts w:cs="Arial"/>
                <w:b/>
              </w:rPr>
            </w:pPr>
            <w:r>
              <w:rPr>
                <w:rFonts w:cs="Arial"/>
                <w:b/>
              </w:rPr>
              <w:t>Accessing the System</w:t>
            </w:r>
          </w:p>
        </w:tc>
      </w:tr>
      <w:tr w:rsidR="00456D10" w:rsidRPr="00EC673F" w14:paraId="092EDF57" w14:textId="77777777" w:rsidTr="00E31E25">
        <w:trPr>
          <w:cantSplit/>
          <w:hidden/>
        </w:trPr>
        <w:tc>
          <w:tcPr>
            <w:tcW w:w="9360" w:type="dxa"/>
            <w:tcBorders>
              <w:top w:val="single" w:sz="6" w:space="0" w:color="000000"/>
              <w:left w:val="single" w:sz="6" w:space="0" w:color="000000"/>
              <w:bottom w:val="single" w:sz="6" w:space="0" w:color="000000"/>
              <w:right w:val="single" w:sz="6" w:space="0" w:color="000000"/>
            </w:tcBorders>
            <w:vAlign w:val="bottom"/>
          </w:tcPr>
          <w:p w14:paraId="7DCBA967" w14:textId="49457D85" w:rsidR="00456D10" w:rsidRPr="00EC673F" w:rsidRDefault="00030AF7" w:rsidP="00E31E25">
            <w:pPr>
              <w:pStyle w:val="TableText"/>
              <w:rPr>
                <w:rFonts w:cs="Arial"/>
              </w:rPr>
            </w:pPr>
            <w:r>
              <w:rPr>
                <w:vanish/>
              </w:rPr>
              <w:t xml:space="preserve">BR_18.05 </w:t>
            </w:r>
            <w:r w:rsidR="00456D10">
              <w:rPr>
                <w:rFonts w:cs="Arial"/>
              </w:rPr>
              <w:t xml:space="preserve">VBECS </w:t>
            </w:r>
            <w:r w:rsidR="00456D10">
              <w:t>automatically logs a</w:t>
            </w:r>
            <w:r w:rsidR="00456D10" w:rsidRPr="00BF7321">
              <w:t xml:space="preserve"> </w:t>
            </w:r>
            <w:r w:rsidR="00456D10">
              <w:t>user with access to only one division into that division.</w:t>
            </w:r>
          </w:p>
        </w:tc>
      </w:tr>
      <w:tr w:rsidR="00456D10" w:rsidRPr="00EC673F" w14:paraId="758EC6D1" w14:textId="77777777" w:rsidTr="00E31E25">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663AB716" w14:textId="77777777" w:rsidR="00456D10" w:rsidRPr="00EC673F" w:rsidRDefault="00456D10" w:rsidP="00E31E25">
            <w:pPr>
              <w:pStyle w:val="TableText"/>
              <w:rPr>
                <w:rFonts w:cs="Arial"/>
              </w:rPr>
            </w:pPr>
            <w:r>
              <w:rPr>
                <w:rFonts w:cs="Arial"/>
              </w:rPr>
              <w:t xml:space="preserve">Connectivity </w:t>
            </w:r>
            <w:r w:rsidRPr="009E1728">
              <w:t>by IAM services access approval (PIV Card) is not possible when IAM services are not available.</w:t>
            </w:r>
          </w:p>
        </w:tc>
      </w:tr>
      <w:tr w:rsidR="00DB1ADD" w:rsidRPr="00EC673F" w14:paraId="7CECCBC0" w14:textId="77777777" w:rsidTr="00E31E25">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016E3B7D" w14:textId="2E598DAF" w:rsidR="00DB1ADD" w:rsidRDefault="00DB1ADD" w:rsidP="00E31E25">
            <w:pPr>
              <w:pStyle w:val="TableText"/>
              <w:rPr>
                <w:rFonts w:cs="Arial"/>
              </w:rPr>
            </w:pPr>
            <w:r w:rsidRPr="00DB1ADD">
              <w:rPr>
                <w:rFonts w:cs="Arial"/>
              </w:rPr>
              <w:t xml:space="preserve">Connectivity by IAM services access approval (PIV Card) is not required when a </w:t>
            </w:r>
            <w:r w:rsidR="00E20E5D">
              <w:rPr>
                <w:rFonts w:cs="Arial"/>
              </w:rPr>
              <w:t>user</w:t>
            </w:r>
            <w:r w:rsidRPr="00DB1ADD">
              <w:rPr>
                <w:rFonts w:cs="Arial"/>
              </w:rPr>
              <w:t xml:space="preserve"> has a PIV exemption or when IAM services are not available.</w:t>
            </w:r>
          </w:p>
        </w:tc>
      </w:tr>
      <w:tr w:rsidR="00B43925" w:rsidRPr="00EC673F" w14:paraId="496A91C2" w14:textId="77777777" w:rsidTr="00E31E25">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763AD0D6" w14:textId="44E86D5B" w:rsidR="00B43925" w:rsidRPr="00DB1ADD" w:rsidRDefault="00B43925" w:rsidP="00E31E25">
            <w:pPr>
              <w:pStyle w:val="TableText"/>
              <w:rPr>
                <w:rFonts w:cs="Arial"/>
              </w:rPr>
            </w:pPr>
            <w:r w:rsidRPr="000A67CF">
              <w:rPr>
                <w:rFonts w:cs="Arial"/>
              </w:rPr>
              <w:t>An Access and Verify code is required to connect to VistA when the IAM services are not available.</w:t>
            </w:r>
          </w:p>
        </w:tc>
      </w:tr>
      <w:tr w:rsidR="00456D10" w:rsidRPr="00EC673F" w14:paraId="732BE5E2" w14:textId="77777777" w:rsidTr="00E31E25">
        <w:trPr>
          <w:cantSplit/>
          <w:hidden/>
        </w:trPr>
        <w:tc>
          <w:tcPr>
            <w:tcW w:w="9360" w:type="dxa"/>
            <w:tcBorders>
              <w:top w:val="single" w:sz="6" w:space="0" w:color="000000"/>
              <w:left w:val="single" w:sz="6" w:space="0" w:color="000000"/>
              <w:bottom w:val="single" w:sz="6" w:space="0" w:color="000000"/>
              <w:right w:val="single" w:sz="6" w:space="0" w:color="000000"/>
            </w:tcBorders>
            <w:vAlign w:val="bottom"/>
          </w:tcPr>
          <w:p w14:paraId="3DD6C40C" w14:textId="4AA0EF95" w:rsidR="00456D10" w:rsidRPr="00EC673F" w:rsidRDefault="00030AF7" w:rsidP="00E31E25">
            <w:pPr>
              <w:pStyle w:val="TableText"/>
              <w:rPr>
                <w:rFonts w:cs="Arial"/>
              </w:rPr>
            </w:pPr>
            <w:r w:rsidRPr="009E1728">
              <w:rPr>
                <w:vanish/>
              </w:rPr>
              <w:t xml:space="preserve">BR_102.12 </w:t>
            </w:r>
            <w:r w:rsidR="00456D10">
              <w:rPr>
                <w:rFonts w:cs="Arial"/>
              </w:rPr>
              <w:t>Connectivity is not possible when VistA is not available.</w:t>
            </w:r>
          </w:p>
        </w:tc>
      </w:tr>
      <w:tr w:rsidR="00456D10" w:rsidRPr="00EC673F" w14:paraId="21500D03" w14:textId="77777777" w:rsidTr="00E31E25">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761F1405" w14:textId="5E4121B5" w:rsidR="00456D10" w:rsidRPr="00EC673F" w:rsidRDefault="00E20E5D" w:rsidP="00E31E25">
            <w:pPr>
              <w:pStyle w:val="TableText"/>
              <w:rPr>
                <w:rFonts w:cs="Arial"/>
              </w:rPr>
            </w:pPr>
            <w:r w:rsidRPr="00E20E5D">
              <w:rPr>
                <w:rFonts w:cs="Arial"/>
              </w:rPr>
              <w:t xml:space="preserve">The user’s Active Directory account is a member of the proper VBECS security groups and configured with the AES256 bit encryption flag. Refer to the Active Directory section of the </w:t>
            </w:r>
            <w:r w:rsidRPr="00E20E5D">
              <w:rPr>
                <w:rFonts w:cs="Arial"/>
                <w:i/>
                <w:iCs/>
              </w:rPr>
              <w:t>VBECS Technical Manual Security Guide</w:t>
            </w:r>
            <w:r w:rsidRPr="00E20E5D">
              <w:rPr>
                <w:rFonts w:cs="Arial"/>
              </w:rPr>
              <w:t>.</w:t>
            </w:r>
          </w:p>
        </w:tc>
      </w:tr>
      <w:tr w:rsidR="00E20E5D" w:rsidRPr="00EC673F" w14:paraId="7E434B4C" w14:textId="77777777" w:rsidTr="00E31E25">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36CD5504" w14:textId="78D7AED1" w:rsidR="00E20E5D" w:rsidRDefault="00E20E5D" w:rsidP="00E31E25">
            <w:pPr>
              <w:pStyle w:val="TableText"/>
              <w:rPr>
                <w:rFonts w:cs="Arial"/>
              </w:rPr>
            </w:pPr>
            <w:r w:rsidRPr="00E20E5D">
              <w:rPr>
                <w:rFonts w:cs="Arial"/>
              </w:rPr>
              <w:t xml:space="preserve">For Remote Desktop constraints, consult the </w:t>
            </w:r>
            <w:r w:rsidRPr="00E20E5D">
              <w:rPr>
                <w:rFonts w:cs="Arial"/>
                <w:i/>
                <w:iCs/>
              </w:rPr>
              <w:t>VBECS Technical Manual Security Guide</w:t>
            </w:r>
            <w:r w:rsidRPr="00E20E5D">
              <w:rPr>
                <w:rFonts w:cs="Arial"/>
              </w:rPr>
              <w:t>.</w:t>
            </w:r>
          </w:p>
        </w:tc>
      </w:tr>
    </w:tbl>
    <w:p w14:paraId="060C39ED" w14:textId="77777777" w:rsidR="00456D10" w:rsidRDefault="00456D10" w:rsidP="00BF4964">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C05FB7" w14:paraId="6E598DC6"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1E16DE44" w14:textId="082B0B22" w:rsidR="003F0440" w:rsidRPr="00C05FB7" w:rsidRDefault="003F0440" w:rsidP="002D126B">
            <w:pPr>
              <w:pStyle w:val="TableText"/>
              <w:rPr>
                <w:b/>
              </w:rPr>
            </w:pPr>
            <w:r w:rsidRPr="00C05FB7">
              <w:rPr>
                <w:b/>
              </w:rPr>
              <w:t>Add</w:t>
            </w:r>
            <w:r w:rsidR="00BC196C">
              <w:rPr>
                <w:b/>
              </w:rPr>
              <w:t xml:space="preserve"> and/or </w:t>
            </w:r>
            <w:r w:rsidRPr="00C05FB7">
              <w:rPr>
                <w:b/>
              </w:rPr>
              <w:t>Remove Units from a Pool</w:t>
            </w:r>
          </w:p>
        </w:tc>
      </w:tr>
      <w:tr w:rsidR="003F0440" w:rsidRPr="00725902" w14:paraId="40ABDBE5"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7CA0D22C" w14:textId="77777777" w:rsidR="003F0440" w:rsidRPr="00725902" w:rsidRDefault="003F0440" w:rsidP="002D126B">
            <w:pPr>
              <w:pStyle w:val="TableText"/>
            </w:pPr>
            <w:r>
              <w:t>See Modify Units.</w:t>
            </w:r>
          </w:p>
        </w:tc>
      </w:tr>
    </w:tbl>
    <w:p w14:paraId="1C1FA80D" w14:textId="77777777" w:rsidR="003F44A2" w:rsidRDefault="003F44A2" w:rsidP="003F44A2">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AD7C44" w14:paraId="690A3F65"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057EB59F" w14:textId="77777777" w:rsidR="003F0440" w:rsidRPr="00AD7C44" w:rsidRDefault="003F0440" w:rsidP="002D126B">
            <w:pPr>
              <w:pStyle w:val="TableText"/>
              <w:rPr>
                <w:b/>
              </w:rPr>
            </w:pPr>
            <w:r>
              <w:rPr>
                <w:b/>
              </w:rPr>
              <w:t>Audit Trail</w:t>
            </w:r>
          </w:p>
        </w:tc>
      </w:tr>
      <w:tr w:rsidR="003F0440" w:rsidRPr="00725902" w14:paraId="284A7EAC"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492EED18" w14:textId="77777777" w:rsidR="003F0440" w:rsidRPr="00725902" w:rsidRDefault="00B97396" w:rsidP="005753B8">
            <w:pPr>
              <w:pStyle w:val="TableText"/>
            </w:pPr>
            <w:r>
              <w:t>VBECS does not accommodate online review (verification, signature) of reports.</w:t>
            </w:r>
          </w:p>
        </w:tc>
      </w:tr>
    </w:tbl>
    <w:p w14:paraId="4CEA54DD" w14:textId="77777777" w:rsidR="003F44A2" w:rsidRDefault="003F44A2" w:rsidP="003F44A2">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DC5F89" w:rsidRPr="00AD7C44" w14:paraId="6040CA84" w14:textId="77777777" w:rsidTr="00E40CDE">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54C68DF5" w14:textId="77777777" w:rsidR="00DC5F89" w:rsidRPr="00AD7C44" w:rsidRDefault="00DC5F89" w:rsidP="00E40CDE">
            <w:pPr>
              <w:pStyle w:val="TableText"/>
              <w:rPr>
                <w:b/>
              </w:rPr>
            </w:pPr>
            <w:r>
              <w:rPr>
                <w:b/>
              </w:rPr>
              <w:t>Automated Testing Interface</w:t>
            </w:r>
          </w:p>
        </w:tc>
      </w:tr>
      <w:tr w:rsidR="003D2BAD" w:rsidRPr="00725902" w14:paraId="6E59387B" w14:textId="77777777" w:rsidTr="00E40CDE">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30A613FA" w14:textId="36C6CC66" w:rsidR="003D2BAD" w:rsidRPr="00DC5F89" w:rsidRDefault="003D2BAD" w:rsidP="00E40CDE">
            <w:pPr>
              <w:pStyle w:val="TableText"/>
            </w:pPr>
            <w:r w:rsidRPr="003D2BAD">
              <w:t xml:space="preserve">VBECS has only been tested with one automated instrument </w:t>
            </w:r>
            <w:r w:rsidRPr="00BC196C">
              <w:rPr>
                <w:rFonts w:cs="Arial"/>
                <w:szCs w:val="18"/>
              </w:rPr>
              <w:t>connected</w:t>
            </w:r>
            <w:r w:rsidR="00BC196C" w:rsidRPr="00BC196C">
              <w:rPr>
                <w:rFonts w:cs="Arial"/>
                <w:szCs w:val="18"/>
              </w:rPr>
              <w:t xml:space="preserve">. </w:t>
            </w:r>
            <w:r w:rsidR="00BC196C" w:rsidRPr="00BC196C">
              <w:rPr>
                <w:rFonts w:cs="Arial"/>
                <w:vanish/>
                <w:szCs w:val="18"/>
              </w:rPr>
              <w:t>Defect 357490</w:t>
            </w:r>
          </w:p>
        </w:tc>
      </w:tr>
      <w:tr w:rsidR="00DC5F89" w:rsidRPr="00725902" w14:paraId="6916926F" w14:textId="77777777" w:rsidTr="00E40CDE">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6FD8BEA4" w14:textId="77777777" w:rsidR="00DC5F89" w:rsidRPr="00725902" w:rsidRDefault="00DC5F89" w:rsidP="00E40CDE">
            <w:pPr>
              <w:pStyle w:val="TableText"/>
            </w:pPr>
            <w:r w:rsidRPr="00DC5F89">
              <w:t>Not available for transmission to Transfusion only facilities from a blood center due to constraints of VA’s security software.</w:t>
            </w:r>
          </w:p>
        </w:tc>
      </w:tr>
      <w:tr w:rsidR="00DC5F89" w:rsidRPr="00725902" w14:paraId="7562497D" w14:textId="77777777" w:rsidTr="00E40CDE">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21FCAC14" w14:textId="77777777" w:rsidR="00DC5F89" w:rsidRPr="00DC5F89" w:rsidRDefault="00E43DE4" w:rsidP="00E40CDE">
            <w:pPr>
              <w:pStyle w:val="TableText"/>
            </w:pPr>
            <w:r>
              <w:t xml:space="preserve">The </w:t>
            </w:r>
            <w:r w:rsidRPr="00E43DE4">
              <w:t>results of Antibody Panels (ABID) will not be accepted by the VBECS Automated Interface.</w:t>
            </w:r>
          </w:p>
        </w:tc>
      </w:tr>
      <w:tr w:rsidR="00DC5F89" w:rsidRPr="00725902" w14:paraId="5A613118" w14:textId="77777777" w:rsidTr="00E40CDE">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56AA3286" w14:textId="77777777" w:rsidR="00DC5F89" w:rsidRPr="00DC5F89" w:rsidRDefault="00E43DE4" w:rsidP="00E40CDE">
            <w:pPr>
              <w:pStyle w:val="TableText"/>
            </w:pPr>
            <w:r>
              <w:t xml:space="preserve">The </w:t>
            </w:r>
            <w:r w:rsidRPr="00E43DE4">
              <w:t>results of QC information from automated instruments will not be accepted by the VBECS Automated Interface.</w:t>
            </w:r>
          </w:p>
        </w:tc>
      </w:tr>
      <w:tr w:rsidR="00DC5F89" w:rsidRPr="00725902" w14:paraId="299DAA70" w14:textId="77777777" w:rsidTr="00E40CDE">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5DA54D91" w14:textId="2111AB64" w:rsidR="00DC5F89" w:rsidRPr="00DC5F89" w:rsidRDefault="00E43DE4" w:rsidP="00E40CDE">
            <w:pPr>
              <w:pStyle w:val="TableText"/>
            </w:pPr>
            <w:r>
              <w:t xml:space="preserve">Time </w:t>
            </w:r>
            <w:r w:rsidRPr="00E43DE4">
              <w:t xml:space="preserve">zone will not be included in HL7 message date time from the broadcasting application (Instrument Manager). The time zone is </w:t>
            </w:r>
            <w:r w:rsidRPr="00BC196C">
              <w:rPr>
                <w:rFonts w:cs="Arial"/>
                <w:szCs w:val="18"/>
              </w:rPr>
              <w:t>determined from the division code contained in the message header (MSH) segment of the message.</w:t>
            </w:r>
            <w:r w:rsidR="00BC196C" w:rsidRPr="00BC196C">
              <w:rPr>
                <w:rFonts w:cs="Arial"/>
                <w:vanish/>
                <w:spacing w:val="-5"/>
                <w:szCs w:val="18"/>
              </w:rPr>
              <w:t xml:space="preserve"> Defects 290088, 290166</w:t>
            </w:r>
          </w:p>
        </w:tc>
      </w:tr>
      <w:tr w:rsidR="00692F4A" w:rsidRPr="00725902" w14:paraId="02A8C464" w14:textId="77777777" w:rsidTr="00E40CDE">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3C5E2471" w14:textId="0E1A9A98" w:rsidR="00692F4A" w:rsidRDefault="00692F4A" w:rsidP="00E40CDE">
            <w:pPr>
              <w:pStyle w:val="TableText"/>
            </w:pPr>
            <w:r>
              <w:t>For VBECS to process automated test results, a specimen record needs to exist. VBECS cannot accept Automated Instrument test results for specimens that are more than 5 years old. To work around this limitation for maintainable specimens, first change the expiration date and then send the test results.</w:t>
            </w:r>
          </w:p>
        </w:tc>
      </w:tr>
    </w:tbl>
    <w:p w14:paraId="20A060B5" w14:textId="77777777" w:rsidR="00DC5F89" w:rsidRDefault="00DC5F89" w:rsidP="003F44A2">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E43DE4" w:rsidRPr="00AD7C44" w14:paraId="09AD0D73" w14:textId="77777777" w:rsidTr="00E40CDE">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43AAC74F" w14:textId="77777777" w:rsidR="00E43DE4" w:rsidRPr="00AD7C44" w:rsidRDefault="00E43DE4" w:rsidP="00E40CDE">
            <w:pPr>
              <w:pStyle w:val="TableText"/>
              <w:rPr>
                <w:b/>
              </w:rPr>
            </w:pPr>
            <w:r>
              <w:rPr>
                <w:b/>
              </w:rPr>
              <w:t>Automated Testing Review for Blood Units</w:t>
            </w:r>
          </w:p>
        </w:tc>
      </w:tr>
      <w:tr w:rsidR="00E43DE4" w:rsidRPr="00725902" w14:paraId="760DCA17" w14:textId="77777777" w:rsidTr="00E40CDE">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4EE9AFE5" w14:textId="77777777" w:rsidR="00E43DE4" w:rsidRPr="00725902" w:rsidRDefault="00E43DE4" w:rsidP="00E40CDE">
            <w:pPr>
              <w:pStyle w:val="TableText"/>
            </w:pPr>
            <w:r>
              <w:t xml:space="preserve">VBECS </w:t>
            </w:r>
            <w:r w:rsidRPr="00E43DE4">
              <w:t xml:space="preserve">does not accept inconclusive ABO/Rh test results.  </w:t>
            </w:r>
          </w:p>
        </w:tc>
      </w:tr>
      <w:tr w:rsidR="00E43DE4" w:rsidRPr="00DC5F89" w14:paraId="762B41A0" w14:textId="77777777" w:rsidTr="00E40CDE">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0A0ED5C3" w14:textId="77777777" w:rsidR="00E43DE4" w:rsidRPr="00DC5F89" w:rsidRDefault="00E43DE4" w:rsidP="00E40CDE">
            <w:pPr>
              <w:pStyle w:val="TableText"/>
            </w:pPr>
            <w:r>
              <w:t xml:space="preserve">Pooled </w:t>
            </w:r>
            <w:r w:rsidRPr="00E43DE4">
              <w:t>Product Types labeled with an Rh type of “Pooled” is considered an Rh Positive unit which does not require confirmation testing.</w:t>
            </w:r>
          </w:p>
        </w:tc>
      </w:tr>
      <w:tr w:rsidR="00E43DE4" w:rsidRPr="00DC5F89" w14:paraId="276F87AE" w14:textId="77777777" w:rsidTr="00E40CDE">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74818245" w14:textId="77777777" w:rsidR="00E43DE4" w:rsidRPr="00DC5F89" w:rsidRDefault="00E43DE4" w:rsidP="00E40CDE">
            <w:pPr>
              <w:pStyle w:val="TableText"/>
            </w:pPr>
            <w:r>
              <w:lastRenderedPageBreak/>
              <w:t xml:space="preserve">Pooled </w:t>
            </w:r>
            <w:r w:rsidRPr="00E43DE4">
              <w:t>Product Types</w:t>
            </w:r>
            <w:r w:rsidRPr="00E43DE4" w:rsidDel="00922FC4">
              <w:t xml:space="preserve"> </w:t>
            </w:r>
            <w:r w:rsidRPr="00E43DE4">
              <w:t>that require confirmation, labeled with an ABO group of “Pooled” cannot be confirmed. A blood component unit received as “POOLED ABO” will have to be transfused using the Supervisory option, Document ABO Incompatible Transfusion.</w:t>
            </w:r>
          </w:p>
        </w:tc>
      </w:tr>
      <w:tr w:rsidR="003A6D3F" w:rsidRPr="00DC5F89" w14:paraId="42F67AEA" w14:textId="77777777" w:rsidTr="00E40CDE">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7CB4E65D" w14:textId="77777777" w:rsidR="003A6D3F" w:rsidRPr="00BC196C" w:rsidRDefault="003A6D3F" w:rsidP="00E40CDE">
            <w:pPr>
              <w:pStyle w:val="TableText"/>
              <w:rPr>
                <w:rFonts w:cs="Arial"/>
                <w:szCs w:val="18"/>
              </w:rPr>
            </w:pPr>
            <w:r w:rsidRPr="00BC196C">
              <w:rPr>
                <w:rFonts w:cs="Arial"/>
                <w:szCs w:val="18"/>
              </w:rPr>
              <w:t xml:space="preserve">Users can select and assign multiple units with the same DIN and different product codes for crossmatch. Users can only process one DIN (e.g., W123400345345) on the Automated Instrument at a time. It is incumbent on the user to verify that the crossmatch result from the Automated Instrument matches the product code (e.g., E0134V00) associated with the patient in VBECS. To decrease the risk of a mislabeled unit at issue, local practice may want to have only one on the units selected in VBECS at a time when crossmatch testing is being performed on the automated instrument. </w:t>
            </w:r>
            <w:r w:rsidRPr="00BC196C">
              <w:rPr>
                <w:rFonts w:cs="Arial"/>
                <w:vanish/>
                <w:szCs w:val="18"/>
              </w:rPr>
              <w:t>Defect 357490</w:t>
            </w:r>
          </w:p>
        </w:tc>
      </w:tr>
      <w:tr w:rsidR="00DA27C7" w:rsidRPr="00DC5F89" w14:paraId="2BE30BBE" w14:textId="77777777" w:rsidTr="00E40CDE">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04D64A0A" w14:textId="1096D485" w:rsidR="00DA27C7" w:rsidRPr="00BC196C" w:rsidRDefault="00C46DE2" w:rsidP="00E40CDE">
            <w:pPr>
              <w:pStyle w:val="TableText"/>
              <w:rPr>
                <w:rFonts w:cs="Arial"/>
                <w:szCs w:val="18"/>
              </w:rPr>
            </w:pPr>
            <w:r w:rsidRPr="00BC196C">
              <w:rPr>
                <w:rFonts w:cs="Arial"/>
                <w:szCs w:val="18"/>
              </w:rPr>
              <w:t>When a user chooses to reject a transmitted test, a comment is required. The comment is stored but is not available for review on a report at this time. It is recommended that the test is reviewed in the instrument and not sent to VBECS as a result for rejection</w:t>
            </w:r>
            <w:r w:rsidR="00DA27C7" w:rsidRPr="00BC196C">
              <w:rPr>
                <w:rFonts w:cs="Arial"/>
                <w:szCs w:val="18"/>
              </w:rPr>
              <w:t>.</w:t>
            </w:r>
            <w:r w:rsidR="00BC196C" w:rsidRPr="00BC196C">
              <w:rPr>
                <w:rFonts w:cs="Arial"/>
                <w:vanish/>
                <w:spacing w:val="-5"/>
                <w:szCs w:val="18"/>
              </w:rPr>
              <w:t xml:space="preserve"> Defect 382981</w:t>
            </w:r>
          </w:p>
        </w:tc>
      </w:tr>
    </w:tbl>
    <w:p w14:paraId="40465502" w14:textId="77777777" w:rsidR="00DC5F89" w:rsidRDefault="00DC5F89" w:rsidP="003F44A2">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E43DE4" w:rsidRPr="00AD7C44" w14:paraId="33EB5BCD" w14:textId="77777777" w:rsidTr="00E40CDE">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65381786" w14:textId="77777777" w:rsidR="00E43DE4" w:rsidRPr="00AD7C44" w:rsidRDefault="00E43DE4" w:rsidP="00E40CDE">
            <w:pPr>
              <w:pStyle w:val="TableText"/>
              <w:rPr>
                <w:b/>
              </w:rPr>
            </w:pPr>
            <w:r>
              <w:rPr>
                <w:b/>
              </w:rPr>
              <w:t>Automated Testing Review for Patients</w:t>
            </w:r>
          </w:p>
        </w:tc>
      </w:tr>
      <w:tr w:rsidR="00E43DE4" w:rsidRPr="00725902" w14:paraId="5D30649F" w14:textId="77777777" w:rsidTr="00E40CDE">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672DA56E" w14:textId="77777777" w:rsidR="00E43DE4" w:rsidRPr="00725902" w:rsidRDefault="00243084" w:rsidP="00E40CDE">
            <w:pPr>
              <w:pStyle w:val="TableText"/>
            </w:pPr>
            <w:r>
              <w:t xml:space="preserve">VBECS </w:t>
            </w:r>
            <w:r w:rsidRPr="00243084">
              <w:t>does not accept inconclusive ABO/Rh test results.</w:t>
            </w:r>
          </w:p>
        </w:tc>
      </w:tr>
      <w:tr w:rsidR="00E43DE4" w:rsidRPr="00DC5F89" w14:paraId="6A6D1D50" w14:textId="77777777" w:rsidTr="00E40CDE">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249104AD" w14:textId="77777777" w:rsidR="00E43DE4" w:rsidRPr="00DC5F89" w:rsidRDefault="00243084" w:rsidP="00E40CDE">
            <w:pPr>
              <w:pStyle w:val="TableText"/>
            </w:pPr>
            <w:r>
              <w:t xml:space="preserve">VBECS </w:t>
            </w:r>
            <w:r w:rsidRPr="00243084">
              <w:t>does not accept inconclusive interpretations for antibody screen tests.</w:t>
            </w:r>
          </w:p>
        </w:tc>
      </w:tr>
      <w:tr w:rsidR="00E43DE4" w:rsidRPr="00DC5F89" w14:paraId="67696BEB" w14:textId="77777777" w:rsidTr="00E40CDE">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770A764D" w14:textId="77777777" w:rsidR="00E43DE4" w:rsidRPr="00DC5F89" w:rsidRDefault="00243084" w:rsidP="00E40CDE">
            <w:pPr>
              <w:pStyle w:val="TableText"/>
            </w:pPr>
            <w:r>
              <w:t xml:space="preserve">Immediate </w:t>
            </w:r>
            <w:r w:rsidRPr="00243084">
              <w:t>spin crossmatch is not allowed via automated test entry.</w:t>
            </w:r>
          </w:p>
        </w:tc>
      </w:tr>
      <w:tr w:rsidR="00243084" w:rsidRPr="00DC5F89" w14:paraId="7DD71F9B" w14:textId="77777777" w:rsidTr="00E40CDE">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525E11A1" w14:textId="77777777" w:rsidR="00243084" w:rsidRPr="00DC5F89" w:rsidRDefault="00243084" w:rsidP="00E40CDE">
            <w:pPr>
              <w:pStyle w:val="TableText"/>
            </w:pPr>
            <w:r>
              <w:t xml:space="preserve">Patient </w:t>
            </w:r>
            <w:r w:rsidRPr="00243084">
              <w:t>Antigen typing applies only to patient specimens that contain red blood cells.</w:t>
            </w:r>
          </w:p>
        </w:tc>
      </w:tr>
      <w:tr w:rsidR="00243084" w:rsidRPr="00DC5F89" w14:paraId="1922D72B" w14:textId="77777777" w:rsidTr="00E40CDE">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40E48082" w14:textId="77777777" w:rsidR="00243084" w:rsidRPr="00243084" w:rsidRDefault="00243084" w:rsidP="00E40CDE">
            <w:pPr>
              <w:pStyle w:val="TableText"/>
              <w:rPr>
                <w:rFonts w:ascii="Times New Roman" w:hAnsi="Times New Roman"/>
                <w:spacing w:val="-5"/>
                <w:sz w:val="22"/>
                <w:szCs w:val="22"/>
              </w:rPr>
            </w:pPr>
            <w:r>
              <w:t xml:space="preserve">The </w:t>
            </w:r>
            <w:r w:rsidRPr="00243084">
              <w:t>system does not check the specificity of a patient’s antibody against an existing patient antigen typing.</w:t>
            </w:r>
          </w:p>
        </w:tc>
      </w:tr>
      <w:tr w:rsidR="00243084" w:rsidRPr="00DC5F89" w14:paraId="25DDF929" w14:textId="77777777" w:rsidTr="00E40CDE">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68A53B39" w14:textId="77777777" w:rsidR="00243084" w:rsidRPr="00DC5F89" w:rsidRDefault="00243084" w:rsidP="00E40CDE">
            <w:pPr>
              <w:pStyle w:val="TableText"/>
            </w:pPr>
            <w:r>
              <w:t xml:space="preserve">The </w:t>
            </w:r>
            <w:r w:rsidRPr="00243084">
              <w:t>patient antigen typing result is not reported to the CPRS record.</w:t>
            </w:r>
          </w:p>
        </w:tc>
      </w:tr>
      <w:tr w:rsidR="00DA27C7" w:rsidRPr="00DC5F89" w14:paraId="25B5A6E9" w14:textId="77777777" w:rsidTr="00E40CDE">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4FAC729C" w14:textId="77777777" w:rsidR="00DA27C7" w:rsidRDefault="00DA27C7" w:rsidP="00E155EF">
            <w:pPr>
              <w:pStyle w:val="TableText"/>
            </w:pPr>
            <w:r w:rsidRPr="00DA27C7">
              <w:t>Order Rejection comment entry is required but is not visible on a report.</w:t>
            </w:r>
          </w:p>
        </w:tc>
      </w:tr>
    </w:tbl>
    <w:p w14:paraId="44D10320" w14:textId="77777777" w:rsidR="00DC5F89" w:rsidRDefault="00DC5F89" w:rsidP="003F44A2">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D96C4E" w14:paraId="20C2D0A6"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2171AB3C" w14:textId="77777777" w:rsidR="003F0440" w:rsidRPr="00D96C4E" w:rsidRDefault="003F0440" w:rsidP="002D126B">
            <w:pPr>
              <w:pStyle w:val="TableText"/>
              <w:rPr>
                <w:b/>
              </w:rPr>
            </w:pPr>
            <w:r w:rsidRPr="00D96C4E">
              <w:rPr>
                <w:b/>
              </w:rPr>
              <w:t>Blood Products</w:t>
            </w:r>
          </w:p>
        </w:tc>
      </w:tr>
      <w:tr w:rsidR="003F0440" w:rsidRPr="00725902" w14:paraId="4C27D34A"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6CCB3E74" w14:textId="77777777" w:rsidR="003F0440" w:rsidRDefault="003F0440" w:rsidP="002D126B">
            <w:pPr>
              <w:pStyle w:val="TableText"/>
            </w:pPr>
            <w:r>
              <w:t xml:space="preserve">Blood product records distributed through VBECS are national standards. </w:t>
            </w:r>
          </w:p>
        </w:tc>
      </w:tr>
      <w:tr w:rsidR="003F0440" w:rsidRPr="00725902" w14:paraId="1E16766F"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2EE18E22" w14:textId="77777777" w:rsidR="003F0440" w:rsidRDefault="003F0440" w:rsidP="002D126B">
            <w:pPr>
              <w:pStyle w:val="TableText"/>
            </w:pPr>
            <w:r>
              <w:t>The division must have activated the valid target blood products for modification.</w:t>
            </w:r>
          </w:p>
        </w:tc>
      </w:tr>
    </w:tbl>
    <w:p w14:paraId="5ECA501F" w14:textId="77777777" w:rsidR="003F44A2" w:rsidRDefault="003F44A2" w:rsidP="003F44A2">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0D1C4A" w14:paraId="05C0EC81"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1270A043" w14:textId="77777777" w:rsidR="003F0440" w:rsidRPr="000D1C4A" w:rsidRDefault="003F0440" w:rsidP="002D126B">
            <w:pPr>
              <w:pStyle w:val="TableText"/>
              <w:rPr>
                <w:b/>
              </w:rPr>
            </w:pPr>
            <w:r w:rsidRPr="000D1C4A">
              <w:rPr>
                <w:b/>
              </w:rPr>
              <w:t>Canned Comments</w:t>
            </w:r>
          </w:p>
        </w:tc>
      </w:tr>
      <w:tr w:rsidR="003F0440" w:rsidRPr="00725902" w14:paraId="3FDE158B"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553DD340" w14:textId="76D997CE" w:rsidR="003F0440" w:rsidRDefault="003F0440" w:rsidP="002D126B">
            <w:pPr>
              <w:pStyle w:val="TableText"/>
            </w:pPr>
            <w:r>
              <w:t>The user may not edit comments provided with VBECS, but may create additional comments.</w:t>
            </w:r>
            <w:r w:rsidR="00483C5D">
              <w:t xml:space="preserve"> Although comments</w:t>
            </w:r>
            <w:r w:rsidR="003E0483">
              <w:t xml:space="preserve"> can also be removed, there should remain at least one comment </w:t>
            </w:r>
            <w:r w:rsidR="00BC196C">
              <w:t xml:space="preserve">per category </w:t>
            </w:r>
            <w:r w:rsidR="003E0483">
              <w:t xml:space="preserve">available for selection (e.g., “Other”). </w:t>
            </w:r>
            <w:r w:rsidR="00BC196C">
              <w:rPr>
                <w:vanish/>
              </w:rPr>
              <w:t>Defect</w:t>
            </w:r>
            <w:r w:rsidR="003E0483" w:rsidRPr="003E0483">
              <w:rPr>
                <w:vanish/>
              </w:rPr>
              <w:t xml:space="preserve"> 209175</w:t>
            </w:r>
          </w:p>
        </w:tc>
      </w:tr>
      <w:tr w:rsidR="003F0440" w:rsidRPr="00725902" w14:paraId="39CD61A7"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45ED406D" w14:textId="77777777" w:rsidR="003F0440" w:rsidRDefault="003F0440" w:rsidP="002D126B">
            <w:pPr>
              <w:pStyle w:val="TableText"/>
            </w:pPr>
            <w:r>
              <w:t>Site personnel must enter comments in accordance with local policy and procedures.</w:t>
            </w:r>
          </w:p>
        </w:tc>
      </w:tr>
      <w:tr w:rsidR="00787B90" w:rsidRPr="00725902" w14:paraId="431FFCD9"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7B609423" w14:textId="4E0FA089" w:rsidR="00787B90" w:rsidRDefault="00787B90" w:rsidP="002D126B">
            <w:pPr>
              <w:pStyle w:val="TableText"/>
            </w:pPr>
            <w:r>
              <w:t>Canned comments cannot</w:t>
            </w:r>
            <w:r w:rsidR="000F3485">
              <w:t xml:space="preserve"> include an apostrophe </w:t>
            </w:r>
            <w:r w:rsidR="004E5171">
              <w:t>(‘).</w:t>
            </w:r>
          </w:p>
        </w:tc>
      </w:tr>
    </w:tbl>
    <w:p w14:paraId="17280528" w14:textId="77777777" w:rsidR="003F44A2" w:rsidRDefault="003F44A2" w:rsidP="003F44A2">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EB10C4" w14:paraId="30B6437B"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755A9FED" w14:textId="77777777" w:rsidR="003F0440" w:rsidRPr="00EB10C4" w:rsidRDefault="003F0440" w:rsidP="002D126B">
            <w:pPr>
              <w:pStyle w:val="TableText"/>
              <w:rPr>
                <w:b/>
              </w:rPr>
            </w:pPr>
            <w:r w:rsidRPr="00EB10C4">
              <w:rPr>
                <w:b/>
              </w:rPr>
              <w:t>Component Classes</w:t>
            </w:r>
          </w:p>
        </w:tc>
      </w:tr>
      <w:tr w:rsidR="003F0440" w:rsidRPr="00725902" w14:paraId="630248E8"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5B478D3D" w14:textId="77777777" w:rsidR="003F0440" w:rsidRDefault="003F0440" w:rsidP="002D126B">
            <w:pPr>
              <w:pStyle w:val="TableText"/>
            </w:pPr>
            <w:r>
              <w:t xml:space="preserve">The user may not change the specimen requirement for a component class when there are incomplete orders for that component class. </w:t>
            </w:r>
          </w:p>
        </w:tc>
      </w:tr>
      <w:tr w:rsidR="003F0440" w:rsidRPr="00725902" w14:paraId="31E997BE"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69B3CDC3" w14:textId="77777777" w:rsidR="003F0440" w:rsidRDefault="003F0440" w:rsidP="002D126B">
            <w:pPr>
              <w:pStyle w:val="TableText"/>
            </w:pPr>
            <w:r>
              <w:t>There is no retrospective data entry or user selection for th</w:t>
            </w:r>
            <w:r w:rsidR="00932460">
              <w:t>is</w:t>
            </w:r>
            <w:r>
              <w:t xml:space="preserve"> </w:t>
            </w:r>
            <w:r w:rsidR="00932460">
              <w:t>option</w:t>
            </w:r>
            <w:r>
              <w:t>.</w:t>
            </w:r>
          </w:p>
        </w:tc>
      </w:tr>
    </w:tbl>
    <w:p w14:paraId="696F2F0F" w14:textId="77777777" w:rsidR="005333AF" w:rsidRDefault="005333AF" w:rsidP="003F44A2">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D01ED7" w14:paraId="3F339C23"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7319C8A7" w14:textId="77777777" w:rsidR="003F0440" w:rsidRPr="00D01ED7" w:rsidRDefault="003F0440" w:rsidP="002D126B">
            <w:pPr>
              <w:pStyle w:val="TableText"/>
              <w:rPr>
                <w:b/>
              </w:rPr>
            </w:pPr>
            <w:r w:rsidRPr="00D01ED7">
              <w:rPr>
                <w:b/>
              </w:rPr>
              <w:t>Configure Daily QC</w:t>
            </w:r>
          </w:p>
        </w:tc>
      </w:tr>
      <w:tr w:rsidR="003F0440" w:rsidRPr="00725902" w14:paraId="4023F42B"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39F9D317" w14:textId="77777777" w:rsidR="003F0440" w:rsidRDefault="003F0440" w:rsidP="002D126B">
            <w:pPr>
              <w:pStyle w:val="TableText"/>
            </w:pPr>
            <w:r>
              <w:t xml:space="preserve">This option pertains only to routine reagents. </w:t>
            </w:r>
          </w:p>
        </w:tc>
      </w:tr>
      <w:tr w:rsidR="003F0440" w:rsidRPr="00725902" w14:paraId="427BC9B6"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3E5AF528" w14:textId="77777777" w:rsidR="003F0440" w:rsidRDefault="003F0440" w:rsidP="002D126B">
            <w:pPr>
              <w:pStyle w:val="TableText"/>
            </w:pPr>
            <w:r>
              <w:t xml:space="preserve">When there are partially or currently QC’d racks in the system, the user may not change the QC template. </w:t>
            </w:r>
          </w:p>
        </w:tc>
      </w:tr>
    </w:tbl>
    <w:p w14:paraId="21F61E37" w14:textId="77777777" w:rsidR="00FD6164" w:rsidRDefault="00FD6164" w:rsidP="00093E5D">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DA6312" w:rsidRPr="00D01ED7" w14:paraId="506A3814" w14:textId="77777777" w:rsidTr="00F002ED">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79F1E850" w14:textId="77777777" w:rsidR="00DA6312" w:rsidRPr="00D01ED7" w:rsidRDefault="00DA6312" w:rsidP="00DA6312">
            <w:pPr>
              <w:pStyle w:val="TableText"/>
              <w:rPr>
                <w:b/>
              </w:rPr>
            </w:pPr>
            <w:r w:rsidRPr="00D01ED7">
              <w:rPr>
                <w:b/>
              </w:rPr>
              <w:lastRenderedPageBreak/>
              <w:t xml:space="preserve">Configure </w:t>
            </w:r>
            <w:r>
              <w:rPr>
                <w:b/>
              </w:rPr>
              <w:t>Division</w:t>
            </w:r>
          </w:p>
        </w:tc>
      </w:tr>
      <w:tr w:rsidR="00DA6312" w14:paraId="1FBE3661" w14:textId="77777777" w:rsidTr="00F002ED">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15F62A37" w14:textId="44FA4C4D" w:rsidR="00DA6312" w:rsidRPr="00DA6312" w:rsidRDefault="00DA6312" w:rsidP="00F002ED">
            <w:pPr>
              <w:pStyle w:val="TableText"/>
              <w:rPr>
                <w:vanish/>
              </w:rPr>
            </w:pPr>
            <w:r w:rsidRPr="00DA6312">
              <w:t xml:space="preserve">Changes made to the division setting are not applied to a user until they re-connect to VBECS after the change is made. It is highly recommended that all users </w:t>
            </w:r>
            <w:r w:rsidR="00262E92">
              <w:t>sign out</w:t>
            </w:r>
            <w:r w:rsidRPr="00DA6312">
              <w:t xml:space="preserve"> of VBECS prior to any configuration setting change.</w:t>
            </w:r>
            <w:r>
              <w:rPr>
                <w:vanish/>
              </w:rPr>
              <w:t xml:space="preserve"> DR 4136</w:t>
            </w:r>
          </w:p>
        </w:tc>
      </w:tr>
      <w:tr w:rsidR="00676CAC" w14:paraId="506E8221" w14:textId="77777777" w:rsidTr="00F002ED">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4BB095C5" w14:textId="790E2438" w:rsidR="00676CAC" w:rsidRPr="00DA6312" w:rsidRDefault="00676CAC" w:rsidP="00F002ED">
            <w:pPr>
              <w:pStyle w:val="TableText"/>
            </w:pPr>
            <w:r w:rsidRPr="00676CAC">
              <w:t>It is recommended that users configure a division before configuring testing (click the Configure Testing tab).</w:t>
            </w:r>
          </w:p>
        </w:tc>
      </w:tr>
    </w:tbl>
    <w:p w14:paraId="2EC00D72" w14:textId="77777777" w:rsidR="00C46DE2" w:rsidRDefault="00C46DE2" w:rsidP="00C46DE2">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C46DE2" w:rsidRPr="00D01ED7" w14:paraId="137E0935" w14:textId="77777777" w:rsidTr="00615FC3">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18D08B55" w14:textId="7DEB007E" w:rsidR="00C46DE2" w:rsidRPr="00D01ED7" w:rsidRDefault="00C46DE2" w:rsidP="00615FC3">
            <w:pPr>
              <w:pStyle w:val="TableText"/>
              <w:rPr>
                <w:b/>
              </w:rPr>
            </w:pPr>
            <w:r>
              <w:rPr>
                <w:b/>
              </w:rPr>
              <w:t>CPRS Blood Bank Report</w:t>
            </w:r>
          </w:p>
        </w:tc>
      </w:tr>
      <w:tr w:rsidR="00C46DE2" w14:paraId="16355E9B" w14:textId="77777777" w:rsidTr="00615FC3">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6533FB1C" w14:textId="632A202D" w:rsidR="00C46DE2" w:rsidRPr="00DA6312" w:rsidRDefault="00C46DE2" w:rsidP="00615FC3">
            <w:pPr>
              <w:pStyle w:val="TableText"/>
              <w:rPr>
                <w:vanish/>
              </w:rPr>
            </w:pPr>
            <w:r>
              <w:t>The report is not multidivisional, meaning it does not combine a patien</w:t>
            </w:r>
            <w:r w:rsidR="00676CAC">
              <w:t>t's</w:t>
            </w:r>
            <w:r>
              <w:t xml:space="preserve"> transfusion information from all VA hospitals.</w:t>
            </w:r>
          </w:p>
        </w:tc>
      </w:tr>
    </w:tbl>
    <w:p w14:paraId="5F38FC21" w14:textId="77777777" w:rsidR="00DA6312" w:rsidRDefault="00DA6312" w:rsidP="00093E5D">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DD7CAF" w:rsidRPr="00E95A54" w14:paraId="7326DCCA"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282D767A" w14:textId="77777777" w:rsidR="00DD7CAF" w:rsidRPr="00E95A54" w:rsidRDefault="00DD7CAF" w:rsidP="005E39DA">
            <w:pPr>
              <w:pStyle w:val="TableText"/>
              <w:rPr>
                <w:b/>
              </w:rPr>
            </w:pPr>
            <w:r>
              <w:rPr>
                <w:b/>
              </w:rPr>
              <w:t>Discard or Quarantine</w:t>
            </w:r>
          </w:p>
        </w:tc>
      </w:tr>
      <w:tr w:rsidR="00DD7CAF" w:rsidRPr="00C06411" w14:paraId="2455B5D3"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34F1339C" w14:textId="77777777" w:rsidR="00DD7CAF" w:rsidRPr="00C06411" w:rsidRDefault="00DD7CAF" w:rsidP="00DD7CAF">
            <w:pPr>
              <w:pStyle w:val="TableText"/>
            </w:pPr>
            <w:r>
              <w:t xml:space="preserve">When a user retroactively updates a unit status through this option, the Unit History Report displays the updated information, but does not display the date the change was made. </w:t>
            </w:r>
          </w:p>
        </w:tc>
      </w:tr>
      <w:tr w:rsidR="00EF7C8A" w:rsidRPr="00C06411" w14:paraId="5183B7CB"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640C9381" w14:textId="3D4B2D13" w:rsidR="00EF7C8A" w:rsidRDefault="00EF7C8A" w:rsidP="00DD7CAF">
            <w:pPr>
              <w:pStyle w:val="TableText"/>
            </w:pPr>
            <w:r>
              <w:t xml:space="preserve">The option does not accommodate the entry of a second user for retrospective data entry. </w:t>
            </w:r>
            <w:r w:rsidR="0063094B">
              <w:rPr>
                <w:vanish/>
              </w:rPr>
              <w:t>Defect</w:t>
            </w:r>
            <w:r w:rsidRPr="00EF7C8A">
              <w:rPr>
                <w:vanish/>
              </w:rPr>
              <w:t xml:space="preserve"> 209008</w:t>
            </w:r>
          </w:p>
        </w:tc>
      </w:tr>
      <w:tr w:rsidR="00A753B8" w:rsidRPr="00C06411" w14:paraId="75B5EBE8"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1208C68E" w14:textId="78FF6F47" w:rsidR="00A753B8" w:rsidRDefault="00A753B8" w:rsidP="00DD7CAF">
            <w:pPr>
              <w:pStyle w:val="TableText"/>
            </w:pPr>
            <w:r>
              <w:t>Cost entry is capped at 999.</w:t>
            </w:r>
            <w:r w:rsidR="00886F16">
              <w:t>00</w:t>
            </w:r>
            <w:r>
              <w:t xml:space="preserve">. </w:t>
            </w:r>
            <w:r w:rsidRPr="00A753B8">
              <w:rPr>
                <w:vanish/>
              </w:rPr>
              <w:t>Defect 942523</w:t>
            </w:r>
          </w:p>
        </w:tc>
      </w:tr>
    </w:tbl>
    <w:p w14:paraId="072D2471" w14:textId="77777777" w:rsidR="00D139EE" w:rsidRDefault="00D139EE" w:rsidP="00093E5D">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E95A54" w14:paraId="2B807B87"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69DBACC9" w14:textId="77777777" w:rsidR="003F0440" w:rsidRPr="00E95A54" w:rsidRDefault="003F0440" w:rsidP="002D126B">
            <w:pPr>
              <w:pStyle w:val="TableText"/>
              <w:rPr>
                <w:b/>
              </w:rPr>
            </w:pPr>
            <w:r w:rsidRPr="00E95A54">
              <w:rPr>
                <w:b/>
              </w:rPr>
              <w:t>Display Order Alerts</w:t>
            </w:r>
          </w:p>
        </w:tc>
      </w:tr>
      <w:tr w:rsidR="003F0440" w:rsidRPr="00C06411" w14:paraId="269589E1"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7B0FC215" w14:textId="77777777" w:rsidR="003F0440" w:rsidRPr="00C06411" w:rsidRDefault="003F0440" w:rsidP="002D126B">
            <w:pPr>
              <w:pStyle w:val="TableText"/>
            </w:pPr>
            <w:r>
              <w:t>VBECS issues no notifications for order cancellations.</w:t>
            </w:r>
          </w:p>
        </w:tc>
      </w:tr>
      <w:tr w:rsidR="00F83DEE" w:rsidRPr="00C06411" w14:paraId="36441E2F"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2E66BBEC" w14:textId="293FD390" w:rsidR="00F83DEE" w:rsidRDefault="00F83DEE" w:rsidP="002D126B">
            <w:pPr>
              <w:pStyle w:val="TableText"/>
            </w:pPr>
            <w:r>
              <w:t>The Order alert notification icon and functionality is disabled when VBECS is set to Read-Only.</w:t>
            </w:r>
          </w:p>
        </w:tc>
      </w:tr>
    </w:tbl>
    <w:p w14:paraId="51D74618" w14:textId="77777777" w:rsidR="00FC3666" w:rsidRDefault="00FC3666" w:rsidP="00FC3666">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6347F2" w14:paraId="4ABBCB21"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4AA8D9E4" w14:textId="77777777" w:rsidR="003F0440" w:rsidRPr="006347F2" w:rsidRDefault="003F0440" w:rsidP="002D126B">
            <w:pPr>
              <w:pStyle w:val="TableText"/>
              <w:rPr>
                <w:b/>
              </w:rPr>
            </w:pPr>
            <w:r w:rsidRPr="006347F2">
              <w:rPr>
                <w:b/>
              </w:rPr>
              <w:t xml:space="preserve">Display Patient </w:t>
            </w:r>
            <w:r>
              <w:rPr>
                <w:b/>
              </w:rPr>
              <w:t>Merge</w:t>
            </w:r>
            <w:r w:rsidRPr="006347F2">
              <w:rPr>
                <w:b/>
              </w:rPr>
              <w:t xml:space="preserve"> Alerts</w:t>
            </w:r>
          </w:p>
        </w:tc>
      </w:tr>
      <w:tr w:rsidR="004F17EB" w:rsidRPr="00C06411" w14:paraId="5F3E7458"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216C9FE2" w14:textId="77777777" w:rsidR="004F17EB" w:rsidRPr="004F17EB" w:rsidRDefault="004F17EB" w:rsidP="004F17EB">
            <w:pPr>
              <w:pStyle w:val="TableText"/>
            </w:pPr>
            <w:r>
              <w:t xml:space="preserve">VBECS does not notify users of additional VistA patient updates or merges while the icon is displayed. </w:t>
            </w:r>
            <w:r>
              <w:rPr>
                <w:rFonts w:cs="Arial"/>
                <w:vanish/>
              </w:rPr>
              <w:t xml:space="preserve">DR 2,525 </w:t>
            </w:r>
            <w:r>
              <w:t xml:space="preserve">When a user views an update and there is an unprocessed VistA patient merge, the Patient Alert icon remains on the screen until the Traditional Supervisor updates the patient records and clears the icon. </w:t>
            </w:r>
          </w:p>
        </w:tc>
      </w:tr>
    </w:tbl>
    <w:p w14:paraId="7A024C9A" w14:textId="77777777" w:rsidR="00BA0F42" w:rsidRDefault="00BA0F42" w:rsidP="00FC3666">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B31E5A" w:rsidRPr="006347F2" w14:paraId="00D9588B"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45419AB8" w14:textId="77777777" w:rsidR="00B31E5A" w:rsidRPr="006347F2" w:rsidRDefault="00B31E5A" w:rsidP="00FE4D07">
            <w:pPr>
              <w:pStyle w:val="TableText"/>
              <w:rPr>
                <w:b/>
              </w:rPr>
            </w:pPr>
            <w:r w:rsidRPr="006347F2">
              <w:rPr>
                <w:b/>
              </w:rPr>
              <w:t xml:space="preserve">Display Patient </w:t>
            </w:r>
            <w:r>
              <w:rPr>
                <w:b/>
              </w:rPr>
              <w:t>Update</w:t>
            </w:r>
            <w:r w:rsidRPr="006347F2">
              <w:rPr>
                <w:b/>
              </w:rPr>
              <w:t xml:space="preserve"> Alerts</w:t>
            </w:r>
          </w:p>
        </w:tc>
      </w:tr>
      <w:tr w:rsidR="00B31E5A" w:rsidRPr="00C06411" w14:paraId="386A2C3E"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2D267BDA" w14:textId="77777777" w:rsidR="00B31E5A" w:rsidRDefault="004F17EB" w:rsidP="004F17EB">
            <w:pPr>
              <w:pStyle w:val="TableText"/>
            </w:pPr>
            <w:r>
              <w:t xml:space="preserve">VBECS does not notify users of additional VistA patient updates or merges while the icon is displayed. </w:t>
            </w:r>
            <w:r>
              <w:rPr>
                <w:rFonts w:cs="Arial"/>
                <w:vanish/>
              </w:rPr>
              <w:t xml:space="preserve">DR 2,525 </w:t>
            </w:r>
            <w:r>
              <w:t xml:space="preserve">When a user views an update and there is an unprocessed VistA patient merge, the Patient Alert icon remains on the screen until the Traditional Supervisor updates the patient records and clears the icon. </w:t>
            </w:r>
          </w:p>
        </w:tc>
      </w:tr>
      <w:tr w:rsidR="00562E66" w:rsidRPr="00C06411" w14:paraId="3E77446C"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5C3027E4" w14:textId="77777777" w:rsidR="00562E66" w:rsidRDefault="00562E66" w:rsidP="00520CAE">
            <w:pPr>
              <w:pStyle w:val="TableText"/>
            </w:pPr>
            <w:r>
              <w:t>Patient updates involving</w:t>
            </w:r>
            <w:r w:rsidRPr="00DD022C">
              <w:t xml:space="preserve"> patient’s with names that exceed the database standard for File #2 (30 characters) or do not have a first or last name in VistA are rejected and do not appear in VBECS. The VBECS System Administrator is notified of each rejection via an email to the address entered in VBECS Administrator “</w:t>
            </w:r>
            <w:r w:rsidR="00520CAE">
              <w:t>Email Alerts</w:t>
            </w:r>
            <w:r w:rsidRPr="00DD022C">
              <w:t>” field.</w:t>
            </w:r>
          </w:p>
        </w:tc>
      </w:tr>
      <w:tr w:rsidR="002369C9" w:rsidRPr="00C06411" w14:paraId="195FCCDA"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0088C0F9" w14:textId="77777777" w:rsidR="002369C9" w:rsidRDefault="002369C9" w:rsidP="00562E66">
            <w:pPr>
              <w:pStyle w:val="TableText"/>
            </w:pPr>
            <w:r>
              <w:t xml:space="preserve">Patient update </w:t>
            </w:r>
            <w:r w:rsidRPr="003A360F">
              <w:t xml:space="preserve">alerts only display when </w:t>
            </w:r>
            <w:r>
              <w:t xml:space="preserve">active </w:t>
            </w:r>
            <w:r w:rsidRPr="003A360F">
              <w:t xml:space="preserve">component </w:t>
            </w:r>
            <w:r>
              <w:t xml:space="preserve">or diagnostic test </w:t>
            </w:r>
            <w:r w:rsidRPr="003A360F">
              <w:t xml:space="preserve">orders are </w:t>
            </w:r>
            <w:r>
              <w:t xml:space="preserve">pending or </w:t>
            </w:r>
            <w:r w:rsidRPr="003A360F">
              <w:t>active</w:t>
            </w:r>
            <w:r w:rsidRPr="002369C9">
              <w:footnoteReference w:id="8"/>
            </w:r>
            <w:r w:rsidRPr="003A360F">
              <w:t xml:space="preserve"> at the time the update occurs.</w:t>
            </w:r>
            <w:r w:rsidRPr="002369C9">
              <w:rPr>
                <w:vanish/>
              </w:rPr>
              <w:t xml:space="preserve"> DR 4323 BR_68.02</w:t>
            </w:r>
          </w:p>
        </w:tc>
      </w:tr>
    </w:tbl>
    <w:p w14:paraId="0B428A1C" w14:textId="49324725" w:rsidR="00B31E5A" w:rsidRDefault="00B31E5A" w:rsidP="00FC3666">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C25C1E" w:rsidRPr="004146C8" w14:paraId="70A498E2" w14:textId="77777777" w:rsidTr="00D12DC6">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5C7E342D" w14:textId="5AA8E5D5" w:rsidR="00C25C1E" w:rsidRPr="004146C8" w:rsidRDefault="00C25C1E" w:rsidP="00D12DC6">
            <w:pPr>
              <w:pStyle w:val="TableText"/>
              <w:rPr>
                <w:b/>
              </w:rPr>
            </w:pPr>
            <w:r w:rsidRPr="004146C8">
              <w:rPr>
                <w:b/>
                <w:snapToGrid w:val="0"/>
              </w:rPr>
              <w:t>D</w:t>
            </w:r>
            <w:r>
              <w:rPr>
                <w:b/>
                <w:snapToGrid w:val="0"/>
              </w:rPr>
              <w:t xml:space="preserve">ivision Workload </w:t>
            </w:r>
            <w:r w:rsidR="00E25C40">
              <w:rPr>
                <w:b/>
                <w:snapToGrid w:val="0"/>
              </w:rPr>
              <w:t>Report</w:t>
            </w:r>
          </w:p>
        </w:tc>
      </w:tr>
      <w:tr w:rsidR="00C25C1E" w:rsidRPr="00725902" w14:paraId="49D1EAC3" w14:textId="77777777" w:rsidTr="00D12DC6">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7589FD93" w14:textId="77E86E37" w:rsidR="00C25C1E" w:rsidRPr="00725902" w:rsidRDefault="00E25C40" w:rsidP="00D12DC6">
            <w:pPr>
              <w:pStyle w:val="TableText"/>
            </w:pPr>
            <w:r>
              <w:t>A report printed with an end date of today or greater does not print “Preliminary” in the header. Check the subsequent pages of the report and write “PRELIMINARY” on the front page of the report prior to filing. The information included in the report is accurate to the time printed. There is a possibility of a gap of information should the user not overlap the print requests. Generally, this report is printed for the day prior or a time period that does not include the current day</w:t>
            </w:r>
            <w:r w:rsidR="00C25C1E">
              <w:t>.</w:t>
            </w:r>
            <w:r>
              <w:t xml:space="preserve"> </w:t>
            </w:r>
            <w:r w:rsidRPr="00E25C40">
              <w:rPr>
                <w:vanish/>
              </w:rPr>
              <w:t>Defect 213101</w:t>
            </w:r>
          </w:p>
        </w:tc>
      </w:tr>
    </w:tbl>
    <w:p w14:paraId="28E03740" w14:textId="3CB45FCD" w:rsidR="00C25C1E" w:rsidRDefault="00C25C1E" w:rsidP="00FC3666">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4146C8" w14:paraId="624E4B8B"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12B91B05" w14:textId="77777777" w:rsidR="003F0440" w:rsidRPr="004146C8" w:rsidRDefault="003F0440" w:rsidP="002D126B">
            <w:pPr>
              <w:pStyle w:val="TableText"/>
              <w:rPr>
                <w:b/>
              </w:rPr>
            </w:pPr>
            <w:r w:rsidRPr="004146C8">
              <w:rPr>
                <w:b/>
                <w:snapToGrid w:val="0"/>
              </w:rPr>
              <w:lastRenderedPageBreak/>
              <w:t>Document ABO Incompatible Transfusions</w:t>
            </w:r>
          </w:p>
        </w:tc>
      </w:tr>
      <w:tr w:rsidR="003F0440" w:rsidRPr="00725902" w14:paraId="6C250E38"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70B508F2" w14:textId="77777777" w:rsidR="003F0440" w:rsidRPr="00725902" w:rsidRDefault="003F0440" w:rsidP="002D126B">
            <w:pPr>
              <w:pStyle w:val="TableText"/>
            </w:pPr>
            <w:r>
              <w:t>VBECS does not enforce compatibility checks between the patient and the unit.</w:t>
            </w:r>
          </w:p>
        </w:tc>
      </w:tr>
      <w:tr w:rsidR="00CF6A19" w:rsidRPr="00725902" w14:paraId="51394C21"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649F602B" w14:textId="77777777" w:rsidR="00CF6A19" w:rsidRDefault="00CF6A19" w:rsidP="002D126B">
            <w:pPr>
              <w:pStyle w:val="TableText"/>
            </w:pPr>
            <w:r>
              <w:t>VBECS does not update CPRS component order status when the Document ABO Incompatible Transfusion option is used.</w:t>
            </w:r>
          </w:p>
        </w:tc>
      </w:tr>
    </w:tbl>
    <w:p w14:paraId="1E2A6728" w14:textId="77777777" w:rsidR="00FD0D9D" w:rsidRDefault="00FD0D9D" w:rsidP="00FC3666">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D4567F" w:rsidRPr="004146C8" w14:paraId="0E79DD50" w14:textId="77777777" w:rsidTr="000D08F0">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5BC422DA" w14:textId="77777777" w:rsidR="00D4567F" w:rsidRPr="004146C8" w:rsidRDefault="00D05F0F" w:rsidP="000D08F0">
            <w:pPr>
              <w:pStyle w:val="TableText"/>
              <w:rPr>
                <w:b/>
              </w:rPr>
            </w:pPr>
            <w:r>
              <w:rPr>
                <w:b/>
                <w:snapToGrid w:val="0"/>
              </w:rPr>
              <w:t>Edit Financial Data</w:t>
            </w:r>
          </w:p>
        </w:tc>
      </w:tr>
      <w:tr w:rsidR="00D4567F" w:rsidRPr="00725902" w14:paraId="5991CC74" w14:textId="77777777" w:rsidTr="000D08F0">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742C10EA" w14:textId="77777777" w:rsidR="00D4567F" w:rsidRPr="00725902" w:rsidRDefault="00D05F0F" w:rsidP="000D08F0">
            <w:pPr>
              <w:pStyle w:val="TableText"/>
            </w:pPr>
            <w:r>
              <w:t>When a Technologist enters a unit ID and product code for a unit that is not in final status, VBECS does not enable the Special Test Cost field. An Enhanced Technologist or higher access can change the Special Test Cost field in the Edit Financial Data option.</w:t>
            </w:r>
            <w:r w:rsidR="005333AF">
              <w:t xml:space="preserve"> </w:t>
            </w:r>
            <w:r w:rsidR="005333AF" w:rsidRPr="005333AF">
              <w:rPr>
                <w:vanish/>
              </w:rPr>
              <w:t>DR 5012</w:t>
            </w:r>
          </w:p>
        </w:tc>
      </w:tr>
      <w:tr w:rsidR="00A753B8" w:rsidRPr="00725902" w14:paraId="2E147A89" w14:textId="77777777" w:rsidTr="000D08F0">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5EBDAFF7" w14:textId="7D1FA590" w:rsidR="00A753B8" w:rsidRDefault="00B44625" w:rsidP="000D08F0">
            <w:pPr>
              <w:pStyle w:val="TableText"/>
            </w:pPr>
            <w:r>
              <w:t>Base C</w:t>
            </w:r>
            <w:r w:rsidR="00A753B8">
              <w:t xml:space="preserve">ost entry is capped at </w:t>
            </w:r>
            <w:r>
              <w:t>99,</w:t>
            </w:r>
            <w:r w:rsidR="00A753B8">
              <w:t>999.</w:t>
            </w:r>
            <w:r w:rsidR="00676CAC">
              <w:t>00</w:t>
            </w:r>
            <w:r w:rsidR="00A753B8">
              <w:t>.</w:t>
            </w:r>
          </w:p>
        </w:tc>
      </w:tr>
      <w:tr w:rsidR="00B44625" w:rsidRPr="00725902" w14:paraId="55101A52" w14:textId="77777777" w:rsidTr="000D08F0">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747F5C98" w14:textId="44343B2F" w:rsidR="00B44625" w:rsidRDefault="00B44625" w:rsidP="000D08F0">
            <w:pPr>
              <w:pStyle w:val="TableText"/>
            </w:pPr>
            <w:r>
              <w:t>Special Testing Cost is capped at 9,999.99</w:t>
            </w:r>
          </w:p>
        </w:tc>
      </w:tr>
      <w:tr w:rsidR="00B44625" w:rsidRPr="00725902" w14:paraId="48D1A8C8" w14:textId="77777777" w:rsidTr="000D08F0">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40F3174C" w14:textId="2D4E7293" w:rsidR="00B44625" w:rsidRDefault="00B44625" w:rsidP="000D08F0">
            <w:pPr>
              <w:pStyle w:val="TableText"/>
            </w:pPr>
            <w:r>
              <w:t>Return Credit is capped at 99,999.00.</w:t>
            </w:r>
          </w:p>
        </w:tc>
      </w:tr>
    </w:tbl>
    <w:p w14:paraId="495D6A43" w14:textId="77777777" w:rsidR="00D4567F" w:rsidRDefault="00D4567F" w:rsidP="00FC3666">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725902" w14:paraId="0074DD46"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1FC26A4D" w14:textId="77777777" w:rsidR="003F0440" w:rsidRPr="004146C8" w:rsidRDefault="003F0440" w:rsidP="002D126B">
            <w:pPr>
              <w:pStyle w:val="TableText"/>
              <w:rPr>
                <w:b/>
              </w:rPr>
            </w:pPr>
            <w:r w:rsidRPr="004146C8">
              <w:rPr>
                <w:b/>
              </w:rPr>
              <w:t>Edit Unit Information</w:t>
            </w:r>
          </w:p>
        </w:tc>
      </w:tr>
      <w:tr w:rsidR="003F0440" w:rsidRPr="00725902" w14:paraId="6A1C65A6"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1E597CFB" w14:textId="77777777" w:rsidR="003F0440" w:rsidRPr="00725902" w:rsidRDefault="003F0440" w:rsidP="002D126B">
            <w:pPr>
              <w:pStyle w:val="TableText"/>
            </w:pPr>
            <w:r>
              <w:t>VBECS does not limit the discarded plasma volume.</w:t>
            </w:r>
          </w:p>
        </w:tc>
      </w:tr>
      <w:tr w:rsidR="003F0440" w:rsidRPr="00725902" w14:paraId="3853F18E"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5E748D0C" w14:textId="77777777" w:rsidR="003F0440" w:rsidRPr="00725902" w:rsidRDefault="00D20331" w:rsidP="00D20331">
            <w:pPr>
              <w:pStyle w:val="TableText"/>
            </w:pPr>
            <w:r>
              <w:rPr>
                <w:rFonts w:eastAsia="Arial Unicode MS"/>
              </w:rPr>
              <w:t>If errors are found in the unit’s product code</w:t>
            </w:r>
            <w:r>
              <w:t xml:space="preserve">, division or blood type at login, </w:t>
            </w:r>
            <w:r>
              <w:rPr>
                <w:rFonts w:eastAsia="Arial Unicode MS"/>
              </w:rPr>
              <w:t>supplier, or donation type, the user must inactivate the unit and reenter it correctly</w:t>
            </w:r>
            <w:r>
              <w:t>.</w:t>
            </w:r>
          </w:p>
        </w:tc>
      </w:tr>
      <w:tr w:rsidR="003F0440" w:rsidRPr="00725902" w14:paraId="0AE7CA22"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0766B985" w14:textId="77777777" w:rsidR="003F0440" w:rsidRPr="00725902" w:rsidRDefault="003F0440" w:rsidP="002D126B">
            <w:pPr>
              <w:pStyle w:val="TableText"/>
            </w:pPr>
            <w:r>
              <w:t xml:space="preserve">When a unit does not have a patient association, editable fields are available to an </w:t>
            </w:r>
            <w:r w:rsidR="00D03BCF" w:rsidRPr="00EC7489">
              <w:rPr>
                <w:rFonts w:ascii="Wingdings 3" w:hAnsi="Wingdings 3" w:cs="Wingdings"/>
              </w:rPr>
              <w:t></w:t>
            </w:r>
            <w:r w:rsidR="00D03BCF" w:rsidRPr="00EC7489">
              <w:rPr>
                <w:rFonts w:ascii="Wingdings 3" w:hAnsi="Wingdings 3" w:cs="Wingdings"/>
              </w:rPr>
              <w:t></w:t>
            </w:r>
            <w:r w:rsidR="00D03BCF" w:rsidRPr="00AA7C58">
              <w:t xml:space="preserve"> </w:t>
            </w:r>
            <w:r>
              <w:t>Enhanced Technologist.</w:t>
            </w:r>
          </w:p>
        </w:tc>
      </w:tr>
      <w:tr w:rsidR="00DD3B4E" w:rsidRPr="00725902" w14:paraId="7B6929BC"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79423145" w14:textId="30912413" w:rsidR="00DD3B4E" w:rsidRDefault="00DD3B4E" w:rsidP="002D126B">
            <w:pPr>
              <w:pStyle w:val="TableText"/>
            </w:pPr>
            <w:r>
              <w:t xml:space="preserve">Only units in a Limited or Available </w:t>
            </w:r>
            <w:r w:rsidR="00AE3B37">
              <w:t>status</w:t>
            </w:r>
            <w:r>
              <w:t xml:space="preserve"> may be edited.</w:t>
            </w:r>
          </w:p>
        </w:tc>
      </w:tr>
      <w:tr w:rsidR="00DD3B4E" w:rsidRPr="00725902" w14:paraId="35B82A25"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0C73134D" w14:textId="77777777" w:rsidR="00DD3B4E" w:rsidRDefault="00DD3B4E" w:rsidP="002D126B">
            <w:pPr>
              <w:pStyle w:val="TableText"/>
            </w:pPr>
            <w:r>
              <w:t>Inactivation of the unit record is required when the user needs to change the unit’s information recorded at login: unit identification number, blood type, product code, unit expiration date, unit donation type, VA division or supplier.</w:t>
            </w:r>
          </w:p>
        </w:tc>
      </w:tr>
      <w:tr w:rsidR="00066D49" w:rsidRPr="00725902" w14:paraId="3F8FB362"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61CAE3BD" w14:textId="53F25F47" w:rsidR="00066D49" w:rsidRDefault="00066D49" w:rsidP="002D126B">
            <w:pPr>
              <w:pStyle w:val="TableText"/>
            </w:pPr>
            <w:r w:rsidRPr="00066D49">
              <w:t>VBECS supports the scanning of ISBT 128 special testing information barcodes by detecting the appropriate hidden identifiers. Once the hidden identifier is removed, the special testing code is a varying length of digits, depending on the type of special testing barcode scanned.</w:t>
            </w:r>
          </w:p>
        </w:tc>
      </w:tr>
    </w:tbl>
    <w:p w14:paraId="7535979E" w14:textId="77777777" w:rsidR="00C1162B" w:rsidRDefault="00C1162B" w:rsidP="00E039E6">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3657B4" w14:paraId="28B09955"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240681DC" w14:textId="77777777" w:rsidR="003F0440" w:rsidRPr="003657B4" w:rsidRDefault="003F0440" w:rsidP="002D126B">
            <w:pPr>
              <w:pStyle w:val="TableText"/>
              <w:rPr>
                <w:b/>
              </w:rPr>
            </w:pPr>
            <w:r w:rsidRPr="003657B4">
              <w:rPr>
                <w:b/>
              </w:rPr>
              <w:t>Enter Daily QC Results</w:t>
            </w:r>
          </w:p>
        </w:tc>
      </w:tr>
      <w:tr w:rsidR="003F0440" w:rsidRPr="00725902" w14:paraId="39666E40"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19F72580" w14:textId="77777777" w:rsidR="003F0440" w:rsidRPr="00725902" w:rsidRDefault="003F0440" w:rsidP="002D126B">
            <w:pPr>
              <w:pStyle w:val="TableText"/>
            </w:pPr>
            <w:r>
              <w:t xml:space="preserve">Additional user-defined reagent types not available in Configure Daily QC or Enter Daily QC Results are not part of a reagent rack’s daily QC testing. </w:t>
            </w:r>
          </w:p>
        </w:tc>
      </w:tr>
    </w:tbl>
    <w:p w14:paraId="29A0636B" w14:textId="77777777" w:rsidR="00A04F10" w:rsidRDefault="00A04F10" w:rsidP="00E039E6">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725902" w14:paraId="3290344B"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0912D55E" w14:textId="77777777" w:rsidR="003F0440" w:rsidRPr="00D65A81" w:rsidRDefault="003F0440" w:rsidP="002D126B">
            <w:pPr>
              <w:pStyle w:val="TableText"/>
              <w:rPr>
                <w:b/>
              </w:rPr>
            </w:pPr>
            <w:r w:rsidRPr="00D65A81">
              <w:rPr>
                <w:b/>
              </w:rPr>
              <w:t>Equipment</w:t>
            </w:r>
          </w:p>
        </w:tc>
      </w:tr>
      <w:tr w:rsidR="003F0440" w:rsidRPr="00725902" w14:paraId="77598064"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6132DD1D" w14:textId="77777777" w:rsidR="003F0440" w:rsidRPr="00725902" w:rsidRDefault="003F0440" w:rsidP="002D126B">
            <w:pPr>
              <w:pStyle w:val="TableText"/>
            </w:pPr>
            <w:r>
              <w:t>VBECS does not check for duplicate entries of equipment names and identifiers.</w:t>
            </w:r>
          </w:p>
        </w:tc>
      </w:tr>
      <w:tr w:rsidR="003F0440" w:rsidRPr="00725902" w14:paraId="643A01FF"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3F9F7AE2" w14:textId="77777777" w:rsidR="003F0440" w:rsidRPr="00725902" w:rsidRDefault="003F0440" w:rsidP="002D126B">
            <w:pPr>
              <w:pStyle w:val="TableText"/>
            </w:pPr>
            <w:r>
              <w:t>There is no retrospective data entry or user selection for th</w:t>
            </w:r>
            <w:r w:rsidR="00932460">
              <w:t>is option</w:t>
            </w:r>
            <w:r>
              <w:t>.</w:t>
            </w:r>
          </w:p>
        </w:tc>
      </w:tr>
    </w:tbl>
    <w:p w14:paraId="206B81EF" w14:textId="77777777" w:rsidR="00E039E6" w:rsidRDefault="00E039E6" w:rsidP="00E039E6">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CD7E27" w14:paraId="431D7FD0"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57646FAF" w14:textId="77777777" w:rsidR="003F0440" w:rsidRPr="00CD7E27" w:rsidRDefault="003F0440" w:rsidP="002D126B">
            <w:pPr>
              <w:pStyle w:val="TableText"/>
              <w:rPr>
                <w:b/>
              </w:rPr>
            </w:pPr>
            <w:r w:rsidRPr="00CD7E27">
              <w:rPr>
                <w:b/>
              </w:rPr>
              <w:t>Exception Report</w:t>
            </w:r>
          </w:p>
        </w:tc>
      </w:tr>
      <w:tr w:rsidR="003F0440" w:rsidRPr="00725902" w14:paraId="3EDA7109"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5DBD3656" w14:textId="77777777" w:rsidR="003F0440" w:rsidRPr="00725902" w:rsidRDefault="00B97396" w:rsidP="002D126B">
            <w:pPr>
              <w:pStyle w:val="TableText"/>
            </w:pPr>
            <w:r>
              <w:t>VBECS does not accommodate online review (verification, signature) of reports.</w:t>
            </w:r>
          </w:p>
        </w:tc>
      </w:tr>
      <w:tr w:rsidR="006E2623" w:rsidRPr="00725902" w14:paraId="78C6C353"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5D2F4068" w14:textId="77777777" w:rsidR="006E2623" w:rsidRDefault="006E2623" w:rsidP="002D126B">
            <w:pPr>
              <w:pStyle w:val="TableText"/>
            </w:pPr>
            <w:r>
              <w:t>Only the first twenty patient antigens will print on the report when an exception is generated for a unit issued with unsatisfied antigen negative requirements.</w:t>
            </w:r>
            <w:r w:rsidRPr="006E2623">
              <w:rPr>
                <w:vanish/>
              </w:rPr>
              <w:t xml:space="preserve"> DR 4820</w:t>
            </w:r>
          </w:p>
        </w:tc>
      </w:tr>
      <w:tr w:rsidR="00A570C0" w:rsidRPr="00725902" w14:paraId="010AF29B"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15A89FE6" w14:textId="6B7A0EAC" w:rsidR="00A570C0" w:rsidRDefault="00A3133F" w:rsidP="002D126B">
            <w:pPr>
              <w:pStyle w:val="TableText"/>
            </w:pPr>
            <w:r>
              <w:t>In some areas of the report, the user ID is displayed instead of the user name.</w:t>
            </w:r>
            <w:r w:rsidR="00703803">
              <w:t xml:space="preserve"> </w:t>
            </w:r>
            <w:r w:rsidR="00703803" w:rsidRPr="00703803">
              <w:rPr>
                <w:vanish/>
              </w:rPr>
              <w:t>Defect 209133</w:t>
            </w:r>
          </w:p>
        </w:tc>
      </w:tr>
      <w:tr w:rsidR="00E04548" w:rsidRPr="00725902" w14:paraId="5FC89D8B"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17DEF779" w14:textId="7475847D" w:rsidR="00E04548" w:rsidRDefault="00F04B98" w:rsidP="002D126B">
            <w:pPr>
              <w:pStyle w:val="TableText"/>
            </w:pPr>
            <w:r w:rsidRPr="00F04B98">
              <w:t>The Exception Date displayed is not consistently recorded to data records. It will either be the time the user entered the exception comment or the time the user saved the data record</w:t>
            </w:r>
            <w:r w:rsidR="00E04548">
              <w:t>.</w:t>
            </w:r>
            <w:r w:rsidR="00676CAC" w:rsidRPr="00BA05F4">
              <w:rPr>
                <w:vanish/>
              </w:rPr>
              <w:t xml:space="preserve"> Defect 208987</w:t>
            </w:r>
          </w:p>
        </w:tc>
      </w:tr>
    </w:tbl>
    <w:p w14:paraId="7C40366B" w14:textId="77777777" w:rsidR="00142675" w:rsidRDefault="00142675" w:rsidP="00E039E6">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484"/>
        <w:gridCol w:w="5336"/>
        <w:gridCol w:w="3056"/>
        <w:gridCol w:w="484"/>
      </w:tblGrid>
      <w:tr w:rsidR="003F0440" w:rsidRPr="00725902" w14:paraId="14193451" w14:textId="77777777">
        <w:trPr>
          <w:cantSplit/>
          <w:tblHeader/>
        </w:trPr>
        <w:tc>
          <w:tcPr>
            <w:tcW w:w="9360" w:type="dxa"/>
            <w:gridSpan w:val="4"/>
            <w:tcBorders>
              <w:top w:val="single" w:sz="6" w:space="0" w:color="000000"/>
              <w:left w:val="single" w:sz="6" w:space="0" w:color="000000"/>
              <w:bottom w:val="single" w:sz="6" w:space="0" w:color="000000"/>
              <w:right w:val="single" w:sz="6" w:space="0" w:color="000000"/>
            </w:tcBorders>
            <w:shd w:val="clear" w:color="auto" w:fill="B3B3B3"/>
            <w:vAlign w:val="bottom"/>
          </w:tcPr>
          <w:p w14:paraId="02B926FC" w14:textId="77777777" w:rsidR="003F0440" w:rsidRPr="00D65A81" w:rsidRDefault="003F0440" w:rsidP="002D126B">
            <w:pPr>
              <w:pStyle w:val="TableText"/>
              <w:rPr>
                <w:b/>
              </w:rPr>
            </w:pPr>
            <w:r w:rsidRPr="00D65A81">
              <w:rPr>
                <w:b/>
              </w:rPr>
              <w:lastRenderedPageBreak/>
              <w:t>Finalize/Print TRW</w:t>
            </w:r>
          </w:p>
        </w:tc>
      </w:tr>
      <w:tr w:rsidR="003F0440" w:rsidRPr="00725902" w14:paraId="53C505F8" w14:textId="77777777">
        <w:trPr>
          <w:cantSplit/>
        </w:trPr>
        <w:tc>
          <w:tcPr>
            <w:tcW w:w="9360" w:type="dxa"/>
            <w:gridSpan w:val="4"/>
            <w:tcBorders>
              <w:top w:val="single" w:sz="6" w:space="0" w:color="000000"/>
              <w:left w:val="single" w:sz="6" w:space="0" w:color="000000"/>
              <w:bottom w:val="single" w:sz="6" w:space="0" w:color="000000"/>
              <w:right w:val="single" w:sz="6" w:space="0" w:color="000000"/>
            </w:tcBorders>
            <w:vAlign w:val="bottom"/>
          </w:tcPr>
          <w:p w14:paraId="25F8C5B2" w14:textId="1656D706" w:rsidR="003F0440" w:rsidRPr="00725902" w:rsidRDefault="00142675" w:rsidP="002D126B">
            <w:pPr>
              <w:pStyle w:val="TableText"/>
            </w:pPr>
            <w:r>
              <w:t>The user cannot</w:t>
            </w:r>
            <w:r w:rsidRPr="00D23EF9">
              <w:t xml:space="preserve"> invalidate </w:t>
            </w:r>
            <w:r>
              <w:t xml:space="preserve">or change </w:t>
            </w:r>
            <w:r w:rsidRPr="00D23EF9">
              <w:t>a finalized TRW.</w:t>
            </w:r>
            <w:r w:rsidR="00C230C9">
              <w:t xml:space="preserve"> Contact the Service</w:t>
            </w:r>
            <w:r>
              <w:t xml:space="preserve"> Desk if a TRW needs to be updated after finalization.</w:t>
            </w:r>
            <w:r w:rsidR="00676CAC" w:rsidRPr="00FF7FFA">
              <w:rPr>
                <w:vanish/>
              </w:rPr>
              <w:t xml:space="preserve"> Defect 212150</w:t>
            </w:r>
          </w:p>
        </w:tc>
      </w:tr>
      <w:tr w:rsidR="003F0440" w:rsidRPr="00725902" w14:paraId="5FD073BE" w14:textId="77777777">
        <w:trPr>
          <w:cantSplit/>
        </w:trPr>
        <w:tc>
          <w:tcPr>
            <w:tcW w:w="9360" w:type="dxa"/>
            <w:gridSpan w:val="4"/>
            <w:tcBorders>
              <w:top w:val="single" w:sz="6" w:space="0" w:color="000000"/>
              <w:left w:val="single" w:sz="6" w:space="0" w:color="000000"/>
              <w:bottom w:val="single" w:sz="6" w:space="0" w:color="000000"/>
              <w:right w:val="single" w:sz="6" w:space="0" w:color="000000"/>
            </w:tcBorders>
            <w:shd w:val="clear" w:color="auto" w:fill="auto"/>
            <w:vAlign w:val="bottom"/>
          </w:tcPr>
          <w:p w14:paraId="4882DFCC" w14:textId="77777777" w:rsidR="003F0440" w:rsidRDefault="003F0440" w:rsidP="002D126B">
            <w:pPr>
              <w:pStyle w:val="TableText"/>
            </w:pPr>
            <w:r>
              <w:t>Transfusion reaction reports are not available to clinicians through CPRS: they must be printed and filed with patient charts.</w:t>
            </w:r>
          </w:p>
        </w:tc>
      </w:tr>
      <w:tr w:rsidR="00C26EE9" w:rsidRPr="00725902" w14:paraId="0A4C89AC" w14:textId="77777777">
        <w:trPr>
          <w:cantSplit/>
        </w:trPr>
        <w:tc>
          <w:tcPr>
            <w:tcW w:w="9360" w:type="dxa"/>
            <w:gridSpan w:val="4"/>
            <w:tcBorders>
              <w:top w:val="single" w:sz="6" w:space="0" w:color="000000"/>
              <w:left w:val="single" w:sz="6" w:space="0" w:color="000000"/>
              <w:bottom w:val="nil"/>
              <w:right w:val="single" w:sz="6" w:space="0" w:color="000000"/>
            </w:tcBorders>
            <w:shd w:val="clear" w:color="auto" w:fill="auto"/>
            <w:vAlign w:val="bottom"/>
          </w:tcPr>
          <w:p w14:paraId="5AF529AC" w14:textId="77777777" w:rsidR="00C26EE9" w:rsidRDefault="00C26EE9" w:rsidP="002D126B">
            <w:pPr>
              <w:pStyle w:val="TableText"/>
            </w:pPr>
            <w:r>
              <w:t>VBECS displays these default values for transfusion reactions converted from VistA to VBECS. They do not reflect actual interpretations or results:</w:t>
            </w:r>
            <w:r>
              <w:rPr>
                <w:vanish/>
              </w:rPr>
              <w:t xml:space="preserve"> (DR 2,</w:t>
            </w:r>
            <w:r w:rsidRPr="00FF5006">
              <w:rPr>
                <w:vanish/>
              </w:rPr>
              <w:t>724)</w:t>
            </w:r>
          </w:p>
        </w:tc>
      </w:tr>
      <w:tr w:rsidR="00C26EE9" w:rsidRPr="00725902" w14:paraId="30B73F29" w14:textId="77777777">
        <w:trPr>
          <w:cantSplit/>
        </w:trPr>
        <w:tc>
          <w:tcPr>
            <w:tcW w:w="484" w:type="dxa"/>
            <w:vMerge w:val="restart"/>
            <w:tcBorders>
              <w:top w:val="nil"/>
              <w:left w:val="single" w:sz="6" w:space="0" w:color="000000"/>
              <w:bottom w:val="single" w:sz="6" w:space="0" w:color="000000"/>
              <w:right w:val="single" w:sz="6" w:space="0" w:color="000000"/>
            </w:tcBorders>
            <w:shd w:val="clear" w:color="auto" w:fill="auto"/>
          </w:tcPr>
          <w:p w14:paraId="354A4B53" w14:textId="77777777" w:rsidR="00C26EE9" w:rsidRPr="00FF5006" w:rsidRDefault="00C26EE9" w:rsidP="003F40DD">
            <w:pPr>
              <w:pStyle w:val="TableText"/>
              <w:rPr>
                <w:b/>
              </w:rPr>
            </w:pPr>
          </w:p>
        </w:tc>
        <w:tc>
          <w:tcPr>
            <w:tcW w:w="5336" w:type="dxa"/>
            <w:tcBorders>
              <w:top w:val="single" w:sz="6" w:space="0" w:color="000000"/>
              <w:left w:val="single" w:sz="6" w:space="0" w:color="000000"/>
              <w:bottom w:val="single" w:sz="6" w:space="0" w:color="000000"/>
              <w:right w:val="single" w:sz="6" w:space="0" w:color="000000"/>
            </w:tcBorders>
            <w:shd w:val="clear" w:color="auto" w:fill="B3B3B3"/>
          </w:tcPr>
          <w:p w14:paraId="7E387FB2" w14:textId="77777777" w:rsidR="00C26EE9" w:rsidRPr="00FF5006" w:rsidRDefault="00C26EE9" w:rsidP="003F40DD">
            <w:pPr>
              <w:pStyle w:val="TableText"/>
              <w:rPr>
                <w:b/>
              </w:rPr>
            </w:pPr>
            <w:r w:rsidRPr="00FF5006">
              <w:rPr>
                <w:b/>
              </w:rPr>
              <w:t>Converted Transfusion Reaction</w:t>
            </w:r>
          </w:p>
        </w:tc>
        <w:tc>
          <w:tcPr>
            <w:tcW w:w="3056" w:type="dxa"/>
            <w:tcBorders>
              <w:top w:val="single" w:sz="6" w:space="0" w:color="000000"/>
              <w:left w:val="single" w:sz="6" w:space="0" w:color="000000"/>
              <w:bottom w:val="single" w:sz="6" w:space="0" w:color="000000"/>
              <w:right w:val="single" w:sz="6" w:space="0" w:color="000000"/>
            </w:tcBorders>
            <w:shd w:val="clear" w:color="auto" w:fill="B3B3B3"/>
          </w:tcPr>
          <w:p w14:paraId="5887D9FB" w14:textId="77777777" w:rsidR="00C26EE9" w:rsidRPr="00FF5006" w:rsidRDefault="00C26EE9" w:rsidP="003F40DD">
            <w:pPr>
              <w:pStyle w:val="TableText"/>
              <w:rPr>
                <w:b/>
              </w:rPr>
            </w:pPr>
            <w:r w:rsidRPr="00FF5006">
              <w:rPr>
                <w:b/>
              </w:rPr>
              <w:t>Default</w:t>
            </w:r>
          </w:p>
        </w:tc>
        <w:tc>
          <w:tcPr>
            <w:tcW w:w="484" w:type="dxa"/>
            <w:vMerge w:val="restart"/>
            <w:tcBorders>
              <w:top w:val="nil"/>
              <w:left w:val="single" w:sz="6" w:space="0" w:color="000000"/>
              <w:bottom w:val="single" w:sz="6" w:space="0" w:color="000000"/>
              <w:right w:val="single" w:sz="6" w:space="0" w:color="000000"/>
            </w:tcBorders>
            <w:shd w:val="clear" w:color="auto" w:fill="auto"/>
          </w:tcPr>
          <w:p w14:paraId="6EC25802" w14:textId="77777777" w:rsidR="00C26EE9" w:rsidRPr="00FF5006" w:rsidRDefault="00C26EE9" w:rsidP="003F40DD">
            <w:pPr>
              <w:pStyle w:val="TableText"/>
              <w:rPr>
                <w:b/>
              </w:rPr>
            </w:pPr>
          </w:p>
        </w:tc>
      </w:tr>
      <w:tr w:rsidR="00C26EE9" w:rsidRPr="00725902" w14:paraId="1DA0E880" w14:textId="77777777">
        <w:trPr>
          <w:cantSplit/>
        </w:trPr>
        <w:tc>
          <w:tcPr>
            <w:tcW w:w="484" w:type="dxa"/>
            <w:vMerge/>
            <w:tcBorders>
              <w:top w:val="nil"/>
              <w:left w:val="single" w:sz="6" w:space="0" w:color="000000"/>
              <w:bottom w:val="single" w:sz="6" w:space="0" w:color="000000"/>
              <w:right w:val="single" w:sz="6" w:space="0" w:color="000000"/>
            </w:tcBorders>
            <w:shd w:val="clear" w:color="auto" w:fill="auto"/>
          </w:tcPr>
          <w:p w14:paraId="00FEDA3F" w14:textId="77777777" w:rsidR="00C26EE9" w:rsidRDefault="00C26EE9" w:rsidP="003F40DD">
            <w:pPr>
              <w:pStyle w:val="TableText"/>
            </w:pPr>
          </w:p>
        </w:tc>
        <w:tc>
          <w:tcPr>
            <w:tcW w:w="5336" w:type="dxa"/>
            <w:tcBorders>
              <w:top w:val="single" w:sz="6" w:space="0" w:color="000000"/>
              <w:left w:val="single" w:sz="6" w:space="0" w:color="000000"/>
              <w:bottom w:val="single" w:sz="6" w:space="0" w:color="000000"/>
              <w:right w:val="single" w:sz="6" w:space="0" w:color="000000"/>
            </w:tcBorders>
            <w:shd w:val="clear" w:color="auto" w:fill="auto"/>
          </w:tcPr>
          <w:p w14:paraId="4C0747E7" w14:textId="77777777" w:rsidR="00C26EE9" w:rsidRDefault="00C26EE9" w:rsidP="003F40DD">
            <w:pPr>
              <w:pStyle w:val="TableText"/>
            </w:pPr>
            <w:r>
              <w:t xml:space="preserve">Pre-Transfusion Specimen Checks, Hemolysis Checks OK? </w:t>
            </w:r>
          </w:p>
        </w:tc>
        <w:tc>
          <w:tcPr>
            <w:tcW w:w="3056" w:type="dxa"/>
            <w:tcBorders>
              <w:top w:val="single" w:sz="6" w:space="0" w:color="000000"/>
              <w:left w:val="single" w:sz="6" w:space="0" w:color="000000"/>
              <w:bottom w:val="single" w:sz="6" w:space="0" w:color="000000"/>
              <w:right w:val="single" w:sz="6" w:space="0" w:color="000000"/>
            </w:tcBorders>
            <w:shd w:val="clear" w:color="auto" w:fill="auto"/>
          </w:tcPr>
          <w:p w14:paraId="4E5E386B" w14:textId="77777777" w:rsidR="00C26EE9" w:rsidRDefault="00C26EE9" w:rsidP="003F40DD">
            <w:pPr>
              <w:pStyle w:val="TableText"/>
            </w:pPr>
            <w:r>
              <w:t>Yes</w:t>
            </w:r>
          </w:p>
        </w:tc>
        <w:tc>
          <w:tcPr>
            <w:tcW w:w="484" w:type="dxa"/>
            <w:vMerge/>
            <w:tcBorders>
              <w:top w:val="nil"/>
              <w:left w:val="single" w:sz="6" w:space="0" w:color="000000"/>
              <w:bottom w:val="single" w:sz="6" w:space="0" w:color="000000"/>
              <w:right w:val="single" w:sz="6" w:space="0" w:color="000000"/>
            </w:tcBorders>
            <w:shd w:val="clear" w:color="auto" w:fill="auto"/>
          </w:tcPr>
          <w:p w14:paraId="0FA73B76" w14:textId="77777777" w:rsidR="00C26EE9" w:rsidRDefault="00C26EE9" w:rsidP="003F40DD">
            <w:pPr>
              <w:pStyle w:val="TableText"/>
            </w:pPr>
          </w:p>
        </w:tc>
      </w:tr>
      <w:tr w:rsidR="00C26EE9" w:rsidRPr="00725902" w14:paraId="6A392590" w14:textId="77777777">
        <w:trPr>
          <w:cantSplit/>
        </w:trPr>
        <w:tc>
          <w:tcPr>
            <w:tcW w:w="484" w:type="dxa"/>
            <w:vMerge/>
            <w:tcBorders>
              <w:top w:val="nil"/>
              <w:left w:val="single" w:sz="6" w:space="0" w:color="000000"/>
              <w:bottom w:val="single" w:sz="6" w:space="0" w:color="000000"/>
              <w:right w:val="single" w:sz="6" w:space="0" w:color="000000"/>
            </w:tcBorders>
            <w:shd w:val="clear" w:color="auto" w:fill="auto"/>
          </w:tcPr>
          <w:p w14:paraId="410426AE" w14:textId="77777777" w:rsidR="00C26EE9" w:rsidRDefault="00C26EE9" w:rsidP="003F40DD">
            <w:pPr>
              <w:pStyle w:val="TableText"/>
            </w:pPr>
          </w:p>
        </w:tc>
        <w:tc>
          <w:tcPr>
            <w:tcW w:w="5336" w:type="dxa"/>
            <w:tcBorders>
              <w:top w:val="single" w:sz="6" w:space="0" w:color="000000"/>
              <w:left w:val="single" w:sz="6" w:space="0" w:color="000000"/>
              <w:bottom w:val="single" w:sz="6" w:space="0" w:color="000000"/>
              <w:right w:val="single" w:sz="6" w:space="0" w:color="000000"/>
            </w:tcBorders>
            <w:shd w:val="clear" w:color="auto" w:fill="auto"/>
          </w:tcPr>
          <w:p w14:paraId="574CB32E" w14:textId="77777777" w:rsidR="00C26EE9" w:rsidRDefault="00C26EE9" w:rsidP="003F40DD">
            <w:pPr>
              <w:pStyle w:val="TableText"/>
            </w:pPr>
            <w:r>
              <w:t xml:space="preserve">Post-Transfusion Specimen Checks, Hemolysis Checks OK? </w:t>
            </w:r>
          </w:p>
        </w:tc>
        <w:tc>
          <w:tcPr>
            <w:tcW w:w="3056" w:type="dxa"/>
            <w:tcBorders>
              <w:top w:val="single" w:sz="6" w:space="0" w:color="000000"/>
              <w:left w:val="single" w:sz="6" w:space="0" w:color="000000"/>
              <w:bottom w:val="single" w:sz="6" w:space="0" w:color="000000"/>
              <w:right w:val="single" w:sz="6" w:space="0" w:color="000000"/>
            </w:tcBorders>
            <w:shd w:val="clear" w:color="auto" w:fill="auto"/>
          </w:tcPr>
          <w:p w14:paraId="3482E0FA" w14:textId="77777777" w:rsidR="00C26EE9" w:rsidRDefault="00C26EE9" w:rsidP="003F40DD">
            <w:pPr>
              <w:pStyle w:val="TableText"/>
            </w:pPr>
            <w:r>
              <w:t>Yes</w:t>
            </w:r>
          </w:p>
        </w:tc>
        <w:tc>
          <w:tcPr>
            <w:tcW w:w="484" w:type="dxa"/>
            <w:vMerge/>
            <w:tcBorders>
              <w:top w:val="nil"/>
              <w:left w:val="single" w:sz="6" w:space="0" w:color="000000"/>
              <w:bottom w:val="single" w:sz="6" w:space="0" w:color="000000"/>
              <w:right w:val="single" w:sz="6" w:space="0" w:color="000000"/>
            </w:tcBorders>
            <w:shd w:val="clear" w:color="auto" w:fill="auto"/>
          </w:tcPr>
          <w:p w14:paraId="1BFD9490" w14:textId="77777777" w:rsidR="00C26EE9" w:rsidRDefault="00C26EE9" w:rsidP="003F40DD">
            <w:pPr>
              <w:pStyle w:val="TableText"/>
            </w:pPr>
          </w:p>
        </w:tc>
      </w:tr>
      <w:tr w:rsidR="00C26EE9" w:rsidRPr="00725902" w14:paraId="2F8A1ED4" w14:textId="77777777">
        <w:trPr>
          <w:cantSplit/>
        </w:trPr>
        <w:tc>
          <w:tcPr>
            <w:tcW w:w="484" w:type="dxa"/>
            <w:vMerge/>
            <w:tcBorders>
              <w:top w:val="nil"/>
              <w:left w:val="single" w:sz="6" w:space="0" w:color="000000"/>
              <w:bottom w:val="single" w:sz="6" w:space="0" w:color="000000"/>
              <w:right w:val="single" w:sz="6" w:space="0" w:color="000000"/>
            </w:tcBorders>
            <w:shd w:val="clear" w:color="auto" w:fill="auto"/>
          </w:tcPr>
          <w:p w14:paraId="2D62E991" w14:textId="77777777" w:rsidR="00C26EE9" w:rsidRDefault="00C26EE9" w:rsidP="003F40DD">
            <w:pPr>
              <w:pStyle w:val="TableText"/>
            </w:pPr>
          </w:p>
        </w:tc>
        <w:tc>
          <w:tcPr>
            <w:tcW w:w="5336" w:type="dxa"/>
            <w:tcBorders>
              <w:top w:val="single" w:sz="6" w:space="0" w:color="000000"/>
              <w:left w:val="single" w:sz="6" w:space="0" w:color="000000"/>
              <w:bottom w:val="single" w:sz="6" w:space="0" w:color="000000"/>
              <w:right w:val="single" w:sz="6" w:space="0" w:color="000000"/>
            </w:tcBorders>
            <w:shd w:val="clear" w:color="auto" w:fill="auto"/>
          </w:tcPr>
          <w:p w14:paraId="46A73ADD" w14:textId="77777777" w:rsidR="00C26EE9" w:rsidRDefault="00D35B68" w:rsidP="003F40DD">
            <w:pPr>
              <w:pStyle w:val="TableText"/>
            </w:pPr>
            <w:r>
              <w:t>Symptom</w:t>
            </w:r>
            <w:r w:rsidR="00C26EE9">
              <w:t>s</w:t>
            </w:r>
          </w:p>
        </w:tc>
        <w:tc>
          <w:tcPr>
            <w:tcW w:w="3056" w:type="dxa"/>
            <w:tcBorders>
              <w:top w:val="single" w:sz="6" w:space="0" w:color="000000"/>
              <w:left w:val="single" w:sz="6" w:space="0" w:color="000000"/>
              <w:bottom w:val="single" w:sz="6" w:space="0" w:color="000000"/>
              <w:right w:val="single" w:sz="6" w:space="0" w:color="000000"/>
            </w:tcBorders>
            <w:shd w:val="clear" w:color="auto" w:fill="auto"/>
          </w:tcPr>
          <w:p w14:paraId="188A0C4D" w14:textId="77777777" w:rsidR="00C26EE9" w:rsidRDefault="00C26EE9" w:rsidP="003F40DD">
            <w:pPr>
              <w:pStyle w:val="TableText"/>
            </w:pPr>
            <w:r>
              <w:t>No symptoms identified.</w:t>
            </w:r>
          </w:p>
        </w:tc>
        <w:tc>
          <w:tcPr>
            <w:tcW w:w="484" w:type="dxa"/>
            <w:vMerge/>
            <w:tcBorders>
              <w:top w:val="nil"/>
              <w:left w:val="single" w:sz="6" w:space="0" w:color="000000"/>
              <w:bottom w:val="single" w:sz="6" w:space="0" w:color="000000"/>
              <w:right w:val="single" w:sz="6" w:space="0" w:color="000000"/>
            </w:tcBorders>
            <w:shd w:val="clear" w:color="auto" w:fill="auto"/>
          </w:tcPr>
          <w:p w14:paraId="03069B8D" w14:textId="77777777" w:rsidR="00C26EE9" w:rsidRDefault="00C26EE9" w:rsidP="003F40DD">
            <w:pPr>
              <w:pStyle w:val="TableText"/>
            </w:pPr>
          </w:p>
        </w:tc>
      </w:tr>
      <w:tr w:rsidR="00C26EE9" w:rsidRPr="00725902" w14:paraId="1BADA70D" w14:textId="77777777">
        <w:trPr>
          <w:cantSplit/>
        </w:trPr>
        <w:tc>
          <w:tcPr>
            <w:tcW w:w="484" w:type="dxa"/>
            <w:vMerge/>
            <w:tcBorders>
              <w:top w:val="nil"/>
              <w:left w:val="single" w:sz="6" w:space="0" w:color="000000"/>
              <w:bottom w:val="single" w:sz="6" w:space="0" w:color="000000"/>
              <w:right w:val="single" w:sz="6" w:space="0" w:color="000000"/>
            </w:tcBorders>
            <w:shd w:val="clear" w:color="auto" w:fill="auto"/>
          </w:tcPr>
          <w:p w14:paraId="60CD841B" w14:textId="77777777" w:rsidR="00C26EE9" w:rsidRDefault="00C26EE9" w:rsidP="003F40DD">
            <w:pPr>
              <w:pStyle w:val="TableText"/>
            </w:pPr>
          </w:p>
        </w:tc>
        <w:tc>
          <w:tcPr>
            <w:tcW w:w="5336" w:type="dxa"/>
            <w:tcBorders>
              <w:top w:val="single" w:sz="6" w:space="0" w:color="000000"/>
              <w:left w:val="single" w:sz="6" w:space="0" w:color="000000"/>
              <w:bottom w:val="single" w:sz="6" w:space="0" w:color="000000"/>
              <w:right w:val="single" w:sz="6" w:space="0" w:color="000000"/>
            </w:tcBorders>
            <w:shd w:val="clear" w:color="auto" w:fill="auto"/>
          </w:tcPr>
          <w:p w14:paraId="4751EF87" w14:textId="77777777" w:rsidR="00C26EE9" w:rsidRDefault="00C26EE9" w:rsidP="003F40DD">
            <w:pPr>
              <w:pStyle w:val="TableText"/>
            </w:pPr>
            <w:r>
              <w:t>Implicated units</w:t>
            </w:r>
          </w:p>
        </w:tc>
        <w:tc>
          <w:tcPr>
            <w:tcW w:w="3056" w:type="dxa"/>
            <w:tcBorders>
              <w:top w:val="single" w:sz="6" w:space="0" w:color="000000"/>
              <w:left w:val="single" w:sz="6" w:space="0" w:color="000000"/>
              <w:bottom w:val="single" w:sz="6" w:space="0" w:color="000000"/>
              <w:right w:val="single" w:sz="6" w:space="0" w:color="000000"/>
            </w:tcBorders>
            <w:shd w:val="clear" w:color="auto" w:fill="auto"/>
          </w:tcPr>
          <w:p w14:paraId="2D5EE137" w14:textId="77777777" w:rsidR="00C26EE9" w:rsidRDefault="00C26EE9" w:rsidP="003F40DD">
            <w:pPr>
              <w:pStyle w:val="TableText"/>
            </w:pPr>
            <w:r>
              <w:t>No units implicated in reaction.</w:t>
            </w:r>
          </w:p>
        </w:tc>
        <w:tc>
          <w:tcPr>
            <w:tcW w:w="484" w:type="dxa"/>
            <w:vMerge/>
            <w:tcBorders>
              <w:top w:val="nil"/>
              <w:left w:val="single" w:sz="6" w:space="0" w:color="000000"/>
              <w:bottom w:val="single" w:sz="6" w:space="0" w:color="000000"/>
              <w:right w:val="single" w:sz="6" w:space="0" w:color="000000"/>
            </w:tcBorders>
            <w:shd w:val="clear" w:color="auto" w:fill="auto"/>
          </w:tcPr>
          <w:p w14:paraId="2BF2C649" w14:textId="77777777" w:rsidR="00C26EE9" w:rsidRDefault="00C26EE9" w:rsidP="003F40DD">
            <w:pPr>
              <w:pStyle w:val="TableText"/>
            </w:pPr>
          </w:p>
        </w:tc>
      </w:tr>
      <w:tr w:rsidR="00C26EE9" w:rsidRPr="00725902" w14:paraId="4361A692" w14:textId="77777777">
        <w:trPr>
          <w:cantSplit/>
        </w:trPr>
        <w:tc>
          <w:tcPr>
            <w:tcW w:w="484" w:type="dxa"/>
            <w:vMerge/>
            <w:tcBorders>
              <w:top w:val="nil"/>
              <w:left w:val="single" w:sz="6" w:space="0" w:color="000000"/>
              <w:bottom w:val="single" w:sz="6" w:space="0" w:color="000000"/>
              <w:right w:val="single" w:sz="6" w:space="0" w:color="000000"/>
            </w:tcBorders>
            <w:shd w:val="clear" w:color="auto" w:fill="auto"/>
          </w:tcPr>
          <w:p w14:paraId="6FEE70F7" w14:textId="77777777" w:rsidR="00C26EE9" w:rsidRDefault="00C26EE9" w:rsidP="003F40DD">
            <w:pPr>
              <w:pStyle w:val="TableText"/>
            </w:pPr>
          </w:p>
        </w:tc>
        <w:tc>
          <w:tcPr>
            <w:tcW w:w="5336" w:type="dxa"/>
            <w:tcBorders>
              <w:top w:val="single" w:sz="6" w:space="0" w:color="000000"/>
              <w:left w:val="single" w:sz="6" w:space="0" w:color="000000"/>
              <w:bottom w:val="single" w:sz="6" w:space="0" w:color="000000"/>
              <w:right w:val="single" w:sz="6" w:space="0" w:color="000000"/>
            </w:tcBorders>
            <w:shd w:val="clear" w:color="auto" w:fill="auto"/>
          </w:tcPr>
          <w:p w14:paraId="2970AC5E" w14:textId="77777777" w:rsidR="00C26EE9" w:rsidRDefault="00C26EE9" w:rsidP="003F40DD">
            <w:pPr>
              <w:pStyle w:val="TableText"/>
            </w:pPr>
            <w:r>
              <w:t>Serologic tests</w:t>
            </w:r>
          </w:p>
        </w:tc>
        <w:tc>
          <w:tcPr>
            <w:tcW w:w="3056" w:type="dxa"/>
            <w:tcBorders>
              <w:top w:val="single" w:sz="6" w:space="0" w:color="000000"/>
              <w:left w:val="single" w:sz="6" w:space="0" w:color="000000"/>
              <w:bottom w:val="single" w:sz="6" w:space="0" w:color="000000"/>
              <w:right w:val="single" w:sz="6" w:space="0" w:color="000000"/>
            </w:tcBorders>
            <w:shd w:val="clear" w:color="auto" w:fill="auto"/>
          </w:tcPr>
          <w:p w14:paraId="629156B5" w14:textId="77777777" w:rsidR="00C26EE9" w:rsidRDefault="00C26EE9" w:rsidP="003F40DD">
            <w:pPr>
              <w:pStyle w:val="TableText"/>
            </w:pPr>
            <w:r>
              <w:t>No serologic tests performed.</w:t>
            </w:r>
          </w:p>
        </w:tc>
        <w:tc>
          <w:tcPr>
            <w:tcW w:w="484" w:type="dxa"/>
            <w:vMerge/>
            <w:tcBorders>
              <w:top w:val="nil"/>
              <w:left w:val="single" w:sz="6" w:space="0" w:color="000000"/>
              <w:bottom w:val="single" w:sz="6" w:space="0" w:color="000000"/>
              <w:right w:val="single" w:sz="6" w:space="0" w:color="000000"/>
            </w:tcBorders>
            <w:shd w:val="clear" w:color="auto" w:fill="auto"/>
          </w:tcPr>
          <w:p w14:paraId="7CB83F4F" w14:textId="77777777" w:rsidR="00C26EE9" w:rsidRDefault="00C26EE9" w:rsidP="003F40DD">
            <w:pPr>
              <w:pStyle w:val="TableText"/>
            </w:pPr>
          </w:p>
        </w:tc>
      </w:tr>
    </w:tbl>
    <w:p w14:paraId="14400609" w14:textId="77777777" w:rsidR="00BF2429" w:rsidRDefault="00BF2429" w:rsidP="00BF2429">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725902" w14:paraId="2914EAB1"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77343652" w14:textId="77777777" w:rsidR="003F0440" w:rsidRPr="00D65A81" w:rsidRDefault="003F0440" w:rsidP="002D126B">
            <w:pPr>
              <w:pStyle w:val="TableText"/>
              <w:rPr>
                <w:b/>
              </w:rPr>
            </w:pPr>
            <w:r w:rsidRPr="00D65A81">
              <w:rPr>
                <w:b/>
              </w:rPr>
              <w:t>Free Directed Unit For Crossover</w:t>
            </w:r>
          </w:p>
        </w:tc>
      </w:tr>
      <w:tr w:rsidR="003F0440" w:rsidRPr="00725902" w14:paraId="14F0FD3E"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227C485E" w14:textId="77777777" w:rsidR="003F0440" w:rsidRPr="00725902" w:rsidRDefault="003F0440" w:rsidP="002D126B">
            <w:pPr>
              <w:pStyle w:val="TableText"/>
            </w:pPr>
            <w:r>
              <w:t xml:space="preserve">The unit must not be in a final status to release the restriction. </w:t>
            </w:r>
          </w:p>
        </w:tc>
      </w:tr>
      <w:tr w:rsidR="003F0440" w:rsidRPr="00725902" w14:paraId="5467808D"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7C2FE4BF" w14:textId="77777777" w:rsidR="003F0440" w:rsidRPr="00725902" w:rsidRDefault="003F0440" w:rsidP="002D126B">
            <w:pPr>
              <w:pStyle w:val="TableText"/>
            </w:pPr>
            <w:r>
              <w:t>This option does not allow the removal of patient restrictions for most of the ISBT donation types that are eligible for crossover.</w:t>
            </w:r>
          </w:p>
        </w:tc>
      </w:tr>
      <w:tr w:rsidR="003F0440" w:rsidRPr="00725902" w14:paraId="31A35885"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21BB8328" w14:textId="77777777" w:rsidR="003F0440" w:rsidRPr="00725902" w:rsidRDefault="003F0440" w:rsidP="002D126B">
            <w:pPr>
              <w:pStyle w:val="TableText"/>
            </w:pPr>
            <w:r>
              <w:t>This option cannot process multiple directed units simultaneously.</w:t>
            </w:r>
          </w:p>
        </w:tc>
      </w:tr>
    </w:tbl>
    <w:p w14:paraId="6287A8A0" w14:textId="77777777" w:rsidR="00BF2429" w:rsidRDefault="00BF2429" w:rsidP="00BF2429">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725902" w14:paraId="4EC2129C"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095CF8D1" w14:textId="77777777" w:rsidR="003F0440" w:rsidRPr="007540C1" w:rsidRDefault="003F0440" w:rsidP="002D126B">
            <w:pPr>
              <w:pStyle w:val="TableText"/>
              <w:rPr>
                <w:b/>
              </w:rPr>
            </w:pPr>
            <w:r w:rsidRPr="007540C1">
              <w:rPr>
                <w:b/>
              </w:rPr>
              <w:t>Incoming Shipment</w:t>
            </w:r>
          </w:p>
        </w:tc>
      </w:tr>
      <w:tr w:rsidR="00D153E8" w:rsidRPr="00725902" w14:paraId="2BA892D9" w14:textId="77777777" w:rsidTr="00615FC3">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44988EBC" w14:textId="77777777" w:rsidR="00D153E8" w:rsidRPr="00725902" w:rsidRDefault="00D153E8" w:rsidP="00615FC3">
            <w:pPr>
              <w:pStyle w:val="TableText"/>
            </w:pPr>
            <w:r w:rsidRPr="009212B0">
              <w:t>VBECS does not check whether blood products with the same unit ID and different product codes are the same blood type.</w:t>
            </w:r>
          </w:p>
        </w:tc>
      </w:tr>
      <w:tr w:rsidR="003F0440" w:rsidRPr="00725902" w14:paraId="67301D7D"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0650DCB7" w14:textId="77777777" w:rsidR="003F0440" w:rsidRPr="00725902" w:rsidRDefault="003F0440" w:rsidP="002D126B">
            <w:pPr>
              <w:pStyle w:val="TableText"/>
            </w:pPr>
            <w:r>
              <w:t>VBECS d</w:t>
            </w:r>
            <w:r w:rsidRPr="00F862E5">
              <w:t xml:space="preserve">oes not </w:t>
            </w:r>
            <w:r>
              <w:t>compare</w:t>
            </w:r>
            <w:r w:rsidRPr="00F862E5">
              <w:t xml:space="preserve"> </w:t>
            </w:r>
            <w:r>
              <w:t xml:space="preserve">the ABO/Rh </w:t>
            </w:r>
            <w:r w:rsidRPr="00F862E5">
              <w:t xml:space="preserve">of </w:t>
            </w:r>
            <w:r>
              <w:t>an</w:t>
            </w:r>
            <w:r w:rsidRPr="00F862E5">
              <w:t xml:space="preserve"> </w:t>
            </w:r>
            <w:r>
              <w:t>a</w:t>
            </w:r>
            <w:r w:rsidRPr="00F862E5">
              <w:t xml:space="preserve">utologous unit </w:t>
            </w:r>
            <w:r>
              <w:t xml:space="preserve">or display a message when the ABO/Rh </w:t>
            </w:r>
            <w:r w:rsidRPr="00F862E5">
              <w:t xml:space="preserve">is incompatible with the </w:t>
            </w:r>
            <w:r>
              <w:t>r</w:t>
            </w:r>
            <w:r w:rsidRPr="00F862E5">
              <w:t xml:space="preserve">estricted </w:t>
            </w:r>
            <w:r>
              <w:t>f</w:t>
            </w:r>
            <w:r w:rsidRPr="00F862E5">
              <w:t>or patient</w:t>
            </w:r>
            <w:r>
              <w:t>.</w:t>
            </w:r>
          </w:p>
        </w:tc>
      </w:tr>
      <w:tr w:rsidR="00A06C7F" w:rsidRPr="00725902" w14:paraId="54899BA7"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3BE8296A" w14:textId="63D6F4A8" w:rsidR="00A06C7F" w:rsidRPr="009212B0" w:rsidRDefault="00A06C7F" w:rsidP="005364D9">
            <w:pPr>
              <w:pStyle w:val="TableText"/>
            </w:pPr>
            <w:r w:rsidRPr="009A667D">
              <w:t>When a product type, code, or</w:t>
            </w:r>
            <w:r w:rsidRPr="009A667D">
              <w:rPr>
                <w:i/>
              </w:rPr>
              <w:t xml:space="preserve"> </w:t>
            </w:r>
            <w:r w:rsidRPr="009A667D">
              <w:t>local code is not in</w:t>
            </w:r>
            <w:r>
              <w:t xml:space="preserve"> VBECS or a blood supplier creates a product code, contact the </w:t>
            </w:r>
            <w:r w:rsidR="005364D9">
              <w:t>Service</w:t>
            </w:r>
            <w:r>
              <w:t xml:space="preserve"> Desk. See Customer Support for contact information.</w:t>
            </w:r>
          </w:p>
        </w:tc>
      </w:tr>
      <w:tr w:rsidR="00E85B7C" w:rsidRPr="00725902" w14:paraId="33828110" w14:textId="77777777">
        <w:trPr>
          <w:cantSplit/>
          <w:hidden/>
        </w:trPr>
        <w:tc>
          <w:tcPr>
            <w:tcW w:w="9360" w:type="dxa"/>
            <w:tcBorders>
              <w:top w:val="single" w:sz="6" w:space="0" w:color="000000"/>
              <w:left w:val="single" w:sz="6" w:space="0" w:color="000000"/>
              <w:bottom w:val="single" w:sz="6" w:space="0" w:color="000000"/>
              <w:right w:val="single" w:sz="6" w:space="0" w:color="000000"/>
            </w:tcBorders>
            <w:vAlign w:val="bottom"/>
          </w:tcPr>
          <w:p w14:paraId="3E252ED5" w14:textId="6D172A5F" w:rsidR="00E85B7C" w:rsidRPr="009A667D" w:rsidRDefault="003D07AE" w:rsidP="005364D9">
            <w:pPr>
              <w:pStyle w:val="TableText"/>
            </w:pPr>
            <w:r w:rsidRPr="00E63663">
              <w:rPr>
                <w:vanish/>
              </w:rPr>
              <w:t xml:space="preserve">BR_1.72 </w:t>
            </w:r>
            <w:r w:rsidR="00E85B7C">
              <w:t>The user may not save the unit record until the donation type and its requirements are satisfied.</w:t>
            </w:r>
          </w:p>
        </w:tc>
      </w:tr>
      <w:tr w:rsidR="00E85B7C" w:rsidRPr="00725902" w14:paraId="3C7BE751"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309E1AEE" w14:textId="77777777" w:rsidR="00E85B7C" w:rsidRDefault="00E85B7C" w:rsidP="005364D9">
            <w:pPr>
              <w:pStyle w:val="TableText"/>
            </w:pPr>
            <w:r>
              <w:t>No longer supports the entry of blood products labeled in Codabar label type to new or existing invoices.</w:t>
            </w:r>
          </w:p>
        </w:tc>
      </w:tr>
      <w:tr w:rsidR="00E57D56" w:rsidRPr="00725902" w14:paraId="75700E32"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7865D382" w14:textId="0E4B075C" w:rsidR="00E57D56" w:rsidRPr="009212B0" w:rsidRDefault="003D07AE" w:rsidP="00E57D56">
            <w:pPr>
              <w:pStyle w:val="TableText"/>
            </w:pPr>
            <w:r w:rsidRPr="003D07AE">
              <w:t>The default unit expiration [Maximum Storage Time (MST)] is set to the longest possible storage time based on product type, core condition, attributes, and available references as a guide, but a user with the Traditional Supervisor role or higher can override the default MST  (see Blood Products section for more info). The MST is set at a higher level than an individual collection product code. VBECS does not know the specific collection details.  It is the responsibility of each user to accurately enter and process any one blood unit based on its expiration date/time as labeled by the collection facility</w:t>
            </w:r>
            <w:r w:rsidR="00E57D56" w:rsidRPr="008C1BD3">
              <w:t>.</w:t>
            </w:r>
            <w:r w:rsidR="00E57D56" w:rsidRPr="00E57D56">
              <w:t xml:space="preserve"> </w:t>
            </w:r>
            <w:r w:rsidR="00E57D56" w:rsidRPr="00E57D56">
              <w:rPr>
                <w:vanish/>
              </w:rPr>
              <w:t>Task 1280</w:t>
            </w:r>
          </w:p>
        </w:tc>
      </w:tr>
      <w:tr w:rsidR="003F0440" w:rsidRPr="00725902" w14:paraId="45082B23"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04B59455" w14:textId="77777777" w:rsidR="003F0440" w:rsidRPr="00725902" w:rsidRDefault="003F0440" w:rsidP="002D126B">
            <w:pPr>
              <w:pStyle w:val="TableText"/>
            </w:pPr>
            <w:r w:rsidRPr="009212B0">
              <w:t>When blood products intended for quarantine are scanned, VBECS does not automatically quarantine them: the user must do so.</w:t>
            </w:r>
          </w:p>
        </w:tc>
      </w:tr>
      <w:tr w:rsidR="003F0440" w:rsidRPr="00725902" w14:paraId="5AB02FAE"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6D93D06F" w14:textId="77777777" w:rsidR="003F0440" w:rsidRPr="00725902" w:rsidRDefault="001C6E63" w:rsidP="002D126B">
            <w:pPr>
              <w:pStyle w:val="TableText"/>
            </w:pPr>
            <w:r>
              <w:t>VBECS does not recognize</w:t>
            </w:r>
            <w:r w:rsidR="003F0440" w:rsidRPr="009212B0">
              <w:t xml:space="preserve"> scan</w:t>
            </w:r>
            <w:r>
              <w:t>ned</w:t>
            </w:r>
            <w:r w:rsidR="003F0440" w:rsidRPr="009212B0">
              <w:t xml:space="preserve"> labels for </w:t>
            </w:r>
            <w:r w:rsidR="003F0440">
              <w:t>para-Bombay or B</w:t>
            </w:r>
            <w:r w:rsidR="003F0440" w:rsidRPr="009212B0">
              <w:t>ombay ISBT units.</w:t>
            </w:r>
          </w:p>
        </w:tc>
      </w:tr>
      <w:tr w:rsidR="00D153E8" w:rsidRPr="00725902" w14:paraId="04CCF261" w14:textId="77777777" w:rsidTr="00615FC3">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256DEA94" w14:textId="0D4CF2EA" w:rsidR="00D153E8" w:rsidRPr="00725902" w:rsidRDefault="00D153E8" w:rsidP="00615FC3">
            <w:pPr>
              <w:pStyle w:val="TableText"/>
            </w:pPr>
            <w:r>
              <w:t>VBECS does not allow duplicate IDs for the same product code.</w:t>
            </w:r>
          </w:p>
        </w:tc>
      </w:tr>
      <w:tr w:rsidR="003F0440" w:rsidRPr="00725902" w14:paraId="078A6478"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1DCAC8E9" w14:textId="77777777" w:rsidR="003F0440" w:rsidRPr="00725902" w:rsidRDefault="003F0440" w:rsidP="002D126B">
            <w:pPr>
              <w:pStyle w:val="TableText"/>
            </w:pPr>
            <w:r>
              <w:t>When a user scans a p</w:t>
            </w:r>
            <w:r w:rsidRPr="00452BA4">
              <w:t xml:space="preserve">roduct </w:t>
            </w:r>
            <w:r>
              <w:t>c</w:t>
            </w:r>
            <w:r w:rsidRPr="00452BA4">
              <w:t xml:space="preserve">ode </w:t>
            </w:r>
            <w:r>
              <w:t>or</w:t>
            </w:r>
            <w:r w:rsidRPr="00452BA4">
              <w:t xml:space="preserve"> </w:t>
            </w:r>
            <w:r>
              <w:t>e</w:t>
            </w:r>
            <w:r w:rsidRPr="00452BA4">
              <w:t xml:space="preserve">xpiration </w:t>
            </w:r>
            <w:r>
              <w:t>d</w:t>
            </w:r>
            <w:r w:rsidRPr="00452BA4">
              <w:t>ate barcode in the Unit ID field</w:t>
            </w:r>
            <w:r>
              <w:t>, VBECS does not display the entered information or an</w:t>
            </w:r>
            <w:r w:rsidRPr="00452BA4">
              <w:t xml:space="preserve"> error icon. </w:t>
            </w:r>
          </w:p>
        </w:tc>
      </w:tr>
      <w:tr w:rsidR="00D153E8" w:rsidRPr="00725902" w14:paraId="1B57B6E6" w14:textId="77777777" w:rsidTr="00615FC3">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6DF2EC14" w14:textId="77777777" w:rsidR="00D153E8" w:rsidRDefault="00D153E8" w:rsidP="00615FC3">
            <w:pPr>
              <w:pStyle w:val="TableText"/>
            </w:pPr>
            <w:r w:rsidRPr="004E2550">
              <w:lastRenderedPageBreak/>
              <w:t>VBECS supports the scanning of ISBT 128 special testing information barcodes by detecting the appropriate hidden identifiers.</w:t>
            </w:r>
            <w:r>
              <w:t xml:space="preserve"> </w:t>
            </w:r>
            <w:r w:rsidRPr="009B0984">
              <w:t>Once the hidden identifier is removed, the special testing code is a varying length of digits, depending on the type of special testing barcode scanned.</w:t>
            </w:r>
          </w:p>
        </w:tc>
      </w:tr>
      <w:tr w:rsidR="003F0440" w:rsidRPr="00725902" w14:paraId="38B103EF"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633D108E" w14:textId="5FF43602" w:rsidR="003F0440" w:rsidRPr="00725902" w:rsidRDefault="003F0440" w:rsidP="002D126B">
            <w:pPr>
              <w:pStyle w:val="TableText"/>
            </w:pPr>
            <w:r w:rsidRPr="00DC22C9">
              <w:t xml:space="preserve">When </w:t>
            </w:r>
            <w:r>
              <w:t>a user scans an ISBT product ID with “0” as the donation type (sixth character), VBECS indicates that the donation type is not specified. When the user selects a donation type from</w:t>
            </w:r>
            <w:r w:rsidRPr="00DC22C9">
              <w:t xml:space="preserve"> the </w:t>
            </w:r>
            <w:r w:rsidR="005131BC">
              <w:t>drop-down</w:t>
            </w:r>
            <w:r w:rsidRPr="00DC22C9">
              <w:t xml:space="preserve"> </w:t>
            </w:r>
            <w:r>
              <w:t xml:space="preserve">menu, VBECS replaces “0” with a recognizable </w:t>
            </w:r>
            <w:r w:rsidRPr="00DC22C9">
              <w:t>character in the product code text box and store</w:t>
            </w:r>
            <w:r>
              <w:t>s it as such</w:t>
            </w:r>
            <w:r w:rsidRPr="00DC22C9">
              <w:t xml:space="preserve">. </w:t>
            </w:r>
            <w:r>
              <w:t xml:space="preserve">When the user rescans the product ID, he must </w:t>
            </w:r>
            <w:r w:rsidRPr="00DC22C9">
              <w:t xml:space="preserve">manually </w:t>
            </w:r>
            <w:r>
              <w:t>replace</w:t>
            </w:r>
            <w:r w:rsidRPr="00DC22C9">
              <w:t xml:space="preserve"> </w:t>
            </w:r>
            <w:r>
              <w:t>“0” or search using the unit ID alone, or the unit ID and the first five characters of the product ID</w:t>
            </w:r>
            <w:r w:rsidRPr="00DC22C9">
              <w:t>.</w:t>
            </w:r>
            <w:r w:rsidR="00D153E8">
              <w:t xml:space="preserve"> When scanning a blood product derivative, this does not apply.</w:t>
            </w:r>
          </w:p>
        </w:tc>
      </w:tr>
      <w:tr w:rsidR="003F0440" w:rsidRPr="00725902" w14:paraId="2242BF74"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79F0B453" w14:textId="77777777" w:rsidR="003F0440" w:rsidRPr="00DC22C9" w:rsidRDefault="003F0440" w:rsidP="002D126B">
            <w:pPr>
              <w:pStyle w:val="TableText"/>
            </w:pPr>
            <w:r>
              <w:t>Blood product code entries in the blood product table include those from ICCBBA for ISBT 128. Product codes created after the release of VBECS cannot be entered until the updated tables are incorporated through patches to VBECS. Refuse acceptance of the unit, if possible.</w:t>
            </w:r>
            <w:r w:rsidR="003D71A3">
              <w:t xml:space="preserve"> </w:t>
            </w:r>
            <w:r>
              <w:t>U</w:t>
            </w:r>
            <w:r w:rsidRPr="009212B0">
              <w:t>ser</w:t>
            </w:r>
            <w:r>
              <w:t>s</w:t>
            </w:r>
            <w:r w:rsidRPr="009212B0">
              <w:t xml:space="preserve"> may not </w:t>
            </w:r>
            <w:r>
              <w:t>edit the blood product table.</w:t>
            </w:r>
          </w:p>
        </w:tc>
      </w:tr>
      <w:tr w:rsidR="003F0440" w:rsidRPr="00725902" w14:paraId="1B3C0FD5" w14:textId="77777777">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75B77CCF" w14:textId="77777777" w:rsidR="003F0440" w:rsidRPr="002F6D2F" w:rsidRDefault="003F0440" w:rsidP="002D126B">
            <w:pPr>
              <w:pStyle w:val="TableText"/>
            </w:pPr>
            <w:r>
              <w:t>ISBT 128 tables include blood product codes labeled as not for manufacturing or transfusion. VBECS does not restrict such products from being entered, issued, or transferred (l</w:t>
            </w:r>
            <w:r w:rsidR="00AA54D2">
              <w:t>ocal policy controls their use) and</w:t>
            </w:r>
            <w:r>
              <w:t xml:space="preserve"> does not accommodate blood modification for these products.</w:t>
            </w:r>
          </w:p>
        </w:tc>
      </w:tr>
      <w:tr w:rsidR="00155BBE" w:rsidRPr="00725902" w14:paraId="0B25EA73" w14:textId="77777777">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0F214A23" w14:textId="0023B64C" w:rsidR="00155BBE" w:rsidRDefault="00155BBE" w:rsidP="002D126B">
            <w:pPr>
              <w:pStyle w:val="TableText"/>
            </w:pPr>
            <w:r>
              <w:t xml:space="preserve">No entry of an ICCBBA </w:t>
            </w:r>
            <w:r w:rsidRPr="00630C68">
              <w:t xml:space="preserve">Product Description Code </w:t>
            </w:r>
            <w:r>
              <w:t>starting with A, B, C, or D aka</w:t>
            </w:r>
            <w:r w:rsidRPr="00630C68">
              <w:t xml:space="preserve"> National or Local Codes A0000-D9999</w:t>
            </w:r>
            <w:r>
              <w:t>.</w:t>
            </w:r>
            <w:r w:rsidRPr="00630C68">
              <w:rPr>
                <w:i/>
              </w:rPr>
              <w:t xml:space="preserve"> If use of such a code is necessary for patient care, contact Service Desk and file a request fo</w:t>
            </w:r>
            <w:r>
              <w:rPr>
                <w:i/>
              </w:rPr>
              <w:t>r the code to be added to VBECS.</w:t>
            </w:r>
          </w:p>
        </w:tc>
      </w:tr>
    </w:tbl>
    <w:p w14:paraId="489FE710" w14:textId="5C80175F" w:rsidR="000E59E4" w:rsidRDefault="000E59E4" w:rsidP="00BF2429">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725902" w14:paraId="1F9CB4C8"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39702DE0" w14:textId="34283C74" w:rsidR="003F0440" w:rsidRPr="00534C65" w:rsidRDefault="000E59E4" w:rsidP="002D126B">
            <w:pPr>
              <w:pStyle w:val="TableText"/>
              <w:rPr>
                <w:b/>
              </w:rPr>
            </w:pPr>
            <w:r>
              <w:br w:type="page"/>
            </w:r>
            <w:r w:rsidR="003F0440">
              <w:rPr>
                <w:b/>
              </w:rPr>
              <w:t>Invalidate Test Results</w:t>
            </w:r>
          </w:p>
        </w:tc>
      </w:tr>
      <w:tr w:rsidR="003F0440" w:rsidRPr="00725902" w14:paraId="20270195" w14:textId="77777777">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59D01E4B" w14:textId="77777777" w:rsidR="003F0440" w:rsidRPr="00A610E7" w:rsidRDefault="003F0440" w:rsidP="002D126B">
            <w:pPr>
              <w:pStyle w:val="TableText"/>
            </w:pPr>
            <w:r>
              <w:t>A user may not inactivate a component task in this option.</w:t>
            </w:r>
          </w:p>
        </w:tc>
      </w:tr>
      <w:tr w:rsidR="003F0440" w:rsidRPr="00725902" w14:paraId="77355296" w14:textId="77777777">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13747EE8" w14:textId="77777777" w:rsidR="003F0440" w:rsidRPr="00A610E7" w:rsidRDefault="003F0440" w:rsidP="002D126B">
            <w:pPr>
              <w:pStyle w:val="TableText"/>
            </w:pPr>
            <w:r>
              <w:t>This option does not release units from patient assignment. The user must release “assigned” units before invalidating the test results.</w:t>
            </w:r>
          </w:p>
        </w:tc>
      </w:tr>
      <w:tr w:rsidR="003F0440" w:rsidRPr="00725902" w14:paraId="5B6F41CC" w14:textId="77777777">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53AE2932" w14:textId="77777777" w:rsidR="003F0440" w:rsidRPr="00A610E7" w:rsidRDefault="003F0440" w:rsidP="002D126B">
            <w:pPr>
              <w:pStyle w:val="TableText"/>
            </w:pPr>
            <w:r>
              <w:t>T</w:t>
            </w:r>
            <w:r w:rsidRPr="001B2013">
              <w:t xml:space="preserve">o </w:t>
            </w:r>
            <w:r>
              <w:t>maintain</w:t>
            </w:r>
            <w:r w:rsidRPr="001B2013">
              <w:t xml:space="preserve"> a clear record</w:t>
            </w:r>
            <w:r>
              <w:t xml:space="preserve"> and system checks, the user must invalidate both original and repeat ABO/Rh tests</w:t>
            </w:r>
            <w:r w:rsidRPr="001B2013">
              <w:t xml:space="preserve">. </w:t>
            </w:r>
          </w:p>
        </w:tc>
      </w:tr>
      <w:tr w:rsidR="00C4014D" w:rsidRPr="00725902" w14:paraId="5A8EA8A9" w14:textId="77777777">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563C18C2" w14:textId="6A8B5E80" w:rsidR="00C4014D" w:rsidRDefault="007B38A2" w:rsidP="002D126B">
            <w:pPr>
              <w:pStyle w:val="TableText"/>
            </w:pPr>
            <w:r>
              <w:t>Do not invalidate part of the configured test. Doing this will put the specimen into a state where it cannot be processed</w:t>
            </w:r>
            <w:r w:rsidR="00676CAC">
              <w:t>. In</w:t>
            </w:r>
            <w:r>
              <w:t>validate all tests configured as part of the TAS regardless of which sub test (ABO/Rh, ABS or DAT) is the problem</w:t>
            </w:r>
            <w:r w:rsidR="00C4014D">
              <w:t xml:space="preserve">. </w:t>
            </w:r>
            <w:r w:rsidR="00676CAC" w:rsidRPr="00C17389">
              <w:rPr>
                <w:vanish/>
              </w:rPr>
              <w:t>DR 4685</w:t>
            </w:r>
            <w:r w:rsidR="00676CAC">
              <w:rPr>
                <w:vanish/>
              </w:rPr>
              <w:t xml:space="preserve"> DR 4854</w:t>
            </w:r>
          </w:p>
        </w:tc>
      </w:tr>
    </w:tbl>
    <w:p w14:paraId="2DE94199" w14:textId="77777777" w:rsidR="00BF2429" w:rsidRDefault="00BF2429" w:rsidP="00BF2429">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725902" w14:paraId="0562E4F2"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68865B21" w14:textId="77777777" w:rsidR="003F0440" w:rsidRPr="00534C65" w:rsidRDefault="003F0440" w:rsidP="002D126B">
            <w:pPr>
              <w:pStyle w:val="TableText"/>
              <w:rPr>
                <w:b/>
              </w:rPr>
            </w:pPr>
            <w:r w:rsidRPr="00534C65">
              <w:rPr>
                <w:b/>
              </w:rPr>
              <w:t>Issue Blood Components</w:t>
            </w:r>
          </w:p>
        </w:tc>
      </w:tr>
      <w:tr w:rsidR="003F0440" w:rsidRPr="00725902" w14:paraId="1B4EB892"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3DF5D73B" w14:textId="77777777" w:rsidR="003F0440" w:rsidRPr="00725902" w:rsidRDefault="003F0440" w:rsidP="002D126B">
            <w:pPr>
              <w:pStyle w:val="TableText"/>
            </w:pPr>
            <w:r>
              <w:t xml:space="preserve">VBECS does not check </w:t>
            </w:r>
            <w:r w:rsidRPr="00F26B72">
              <w:t xml:space="preserve">for </w:t>
            </w:r>
            <w:r>
              <w:t>restricted</w:t>
            </w:r>
            <w:r w:rsidRPr="00F26B72">
              <w:t xml:space="preserve"> units </w:t>
            </w:r>
            <w:r>
              <w:t>(not</w:t>
            </w:r>
            <w:r w:rsidRPr="00F26B72">
              <w:t xml:space="preserve"> assigned to the patient</w:t>
            </w:r>
            <w:r>
              <w:t>)</w:t>
            </w:r>
            <w:r w:rsidRPr="00F26B72">
              <w:t xml:space="preserve"> received </w:t>
            </w:r>
            <w:r>
              <w:t>between selection and issue.</w:t>
            </w:r>
          </w:p>
        </w:tc>
      </w:tr>
      <w:tr w:rsidR="003F0440" w:rsidRPr="00725902" w14:paraId="6F65D496"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360B6D1D" w14:textId="3F8E5B89" w:rsidR="003F0440" w:rsidRPr="00725902" w:rsidRDefault="003F0440" w:rsidP="002D126B">
            <w:pPr>
              <w:pStyle w:val="TableText"/>
            </w:pPr>
            <w:r>
              <w:t xml:space="preserve">All issue-to locations must be valid entries in the </w:t>
            </w:r>
            <w:r w:rsidRPr="00CA0045">
              <w:rPr>
                <w:bCs/>
              </w:rPr>
              <w:t>VistA</w:t>
            </w:r>
            <w:r>
              <w:t xml:space="preserve"> </w:t>
            </w:r>
            <w:r w:rsidR="00E56542">
              <w:t>HOSPITAL LOCATION (#44).</w:t>
            </w:r>
            <w:r>
              <w:t xml:space="preserve"> </w:t>
            </w:r>
          </w:p>
        </w:tc>
      </w:tr>
      <w:tr w:rsidR="00666930" w:rsidRPr="00725902" w14:paraId="0C5BFBE1"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309983A4" w14:textId="77777777" w:rsidR="00666930" w:rsidRDefault="00666930" w:rsidP="002D126B">
            <w:pPr>
              <w:pStyle w:val="TableText"/>
            </w:pPr>
            <w:r>
              <w:t xml:space="preserve">If VistA link is not available, the user may proceed with the issue process but the current issue-to hospital location is not recorded. All of the associated report records display “VistALink Down” in the Issue To location field. </w:t>
            </w:r>
            <w:r w:rsidRPr="00666930">
              <w:rPr>
                <w:vanish/>
              </w:rPr>
              <w:t>DR 5073</w:t>
            </w:r>
          </w:p>
        </w:tc>
      </w:tr>
      <w:tr w:rsidR="003F0440" w:rsidRPr="00725902" w14:paraId="40D0DC5A" w14:textId="77777777">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3FDA9D49" w14:textId="27D4A561" w:rsidR="003F0440" w:rsidRPr="002F6D2F" w:rsidRDefault="003F0440" w:rsidP="002D126B">
            <w:pPr>
              <w:pStyle w:val="TableText"/>
            </w:pPr>
            <w:r>
              <w:t xml:space="preserve">ISBT 128 tables include blood product codes labeled as not for manufacturing or transfusion. VBECS does not restrict such products from being entered, issued, or transferred (local policy controls their use) </w:t>
            </w:r>
            <w:r w:rsidR="00676CAC">
              <w:t>and</w:t>
            </w:r>
            <w:r>
              <w:t xml:space="preserve"> does not accommodate blood modification for these products.</w:t>
            </w:r>
          </w:p>
        </w:tc>
      </w:tr>
      <w:tr w:rsidR="007E1B6B" w:rsidRPr="00725902" w14:paraId="147B0EFE" w14:textId="77777777">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27A23294" w14:textId="13C3C2F5" w:rsidR="007E1B6B" w:rsidRDefault="007E1B6B" w:rsidP="002D126B">
            <w:pPr>
              <w:pStyle w:val="TableText"/>
            </w:pPr>
            <w:r>
              <w:t>W</w:t>
            </w:r>
            <w:r w:rsidRPr="007E1B6B">
              <w:t xml:space="preserve">hen a site has configured </w:t>
            </w:r>
            <w:r w:rsidR="00E57947" w:rsidRPr="007E1B6B">
              <w:t>subservient</w:t>
            </w:r>
            <w:r w:rsidRPr="007E1B6B">
              <w:t xml:space="preserve"> VistA ins</w:t>
            </w:r>
            <w:r>
              <w:t xml:space="preserve">titutions to the VBECS division, users </w:t>
            </w:r>
            <w:r w:rsidRPr="007E1B6B">
              <w:t xml:space="preserve">can only issue </w:t>
            </w:r>
            <w:r>
              <w:t xml:space="preserve">units </w:t>
            </w:r>
            <w:r w:rsidRPr="007E1B6B">
              <w:t xml:space="preserve">to locations in the primary VistA. Sites may add locations to VistA to account for the relocations to the </w:t>
            </w:r>
            <w:r w:rsidR="00E57947" w:rsidRPr="007E1B6B">
              <w:t>subservient</w:t>
            </w:r>
            <w:r w:rsidRPr="007E1B6B">
              <w:t xml:space="preserve"> VistA institutions</w:t>
            </w:r>
            <w:r w:rsidR="00432F57">
              <w:t>.</w:t>
            </w:r>
            <w:r w:rsidR="00676CAC" w:rsidRPr="007E1B6B">
              <w:rPr>
                <w:vanish/>
              </w:rPr>
              <w:t xml:space="preserve"> DR 2,880</w:t>
            </w:r>
          </w:p>
        </w:tc>
      </w:tr>
      <w:tr w:rsidR="00432F57" w:rsidRPr="00725902" w14:paraId="64BFD516" w14:textId="77777777">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4FFAD4BA" w14:textId="77777777" w:rsidR="00432F57" w:rsidRDefault="00432F57" w:rsidP="002D126B">
            <w:pPr>
              <w:pStyle w:val="TableText"/>
            </w:pPr>
            <w:r>
              <w:t xml:space="preserve">BCE information </w:t>
            </w:r>
            <w:r w:rsidRPr="00C01E45">
              <w:t>applies ONLY when a BCE COTS product is available for communication and is configured.</w:t>
            </w:r>
          </w:p>
        </w:tc>
      </w:tr>
      <w:tr w:rsidR="00432F57" w:rsidRPr="00725902" w14:paraId="7C787EC3" w14:textId="77777777">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2E5E8DF3" w14:textId="77777777" w:rsidR="00432F57" w:rsidRDefault="00432F57" w:rsidP="002D126B">
            <w:pPr>
              <w:pStyle w:val="TableText"/>
            </w:pPr>
            <w:r>
              <w:t xml:space="preserve">Changing a </w:t>
            </w:r>
            <w:r w:rsidRPr="00633316">
              <w:t>patient's</w:t>
            </w:r>
            <w:r>
              <w:t xml:space="preserve"> transfusion requirements</w:t>
            </w:r>
            <w:r w:rsidRPr="00633316">
              <w:t xml:space="preserve"> </w:t>
            </w:r>
            <w:r>
              <w:t xml:space="preserve">(component requirements, </w:t>
            </w:r>
            <w:r w:rsidRPr="00633316">
              <w:t>antigen negative requirement or antibody identified</w:t>
            </w:r>
            <w:r>
              <w:t>)</w:t>
            </w:r>
            <w:r w:rsidRPr="00633316">
              <w:t xml:space="preserve"> after a unit is crossmatched does not provide an alert at Issue Unit regarding the type of crossmatch </w:t>
            </w:r>
            <w:r>
              <w:t xml:space="preserve">(electronic or serologic) </w:t>
            </w:r>
            <w:r w:rsidRPr="00633316">
              <w:t xml:space="preserve">performed on </w:t>
            </w:r>
            <w:r>
              <w:t xml:space="preserve">a </w:t>
            </w:r>
            <w:r w:rsidRPr="00633316">
              <w:t>unit</w:t>
            </w:r>
            <w:r>
              <w:t xml:space="preserve"> available for issue</w:t>
            </w:r>
            <w:r w:rsidRPr="00633316">
              <w:t>.</w:t>
            </w:r>
          </w:p>
        </w:tc>
      </w:tr>
      <w:tr w:rsidR="005E6088" w:rsidRPr="00725902" w14:paraId="57862320" w14:textId="77777777">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01168201" w14:textId="3838E147" w:rsidR="005E6088" w:rsidRDefault="005E6088" w:rsidP="002D126B">
            <w:pPr>
              <w:pStyle w:val="TableText"/>
            </w:pPr>
            <w:r>
              <w:t xml:space="preserve">VBECS asks for a comment when issuing a unit that is assigned to two different patients. Enter a comment to issue the unit or release one of the patient assignments before issuing. The comment will appear on the Unit History Report in the Issue section. </w:t>
            </w:r>
            <w:r w:rsidRPr="00101C38">
              <w:rPr>
                <w:vanish/>
              </w:rPr>
              <w:t xml:space="preserve">Defect </w:t>
            </w:r>
            <w:r w:rsidR="00101C38" w:rsidRPr="00101C38">
              <w:rPr>
                <w:vanish/>
              </w:rPr>
              <w:t>208730</w:t>
            </w:r>
          </w:p>
        </w:tc>
      </w:tr>
      <w:tr w:rsidR="005D2A5F" w:rsidRPr="00725902" w14:paraId="134B30D9" w14:textId="77777777">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48C6F253" w14:textId="6D9E4C48" w:rsidR="005D2A5F" w:rsidRDefault="005D2A5F" w:rsidP="002D126B">
            <w:pPr>
              <w:pStyle w:val="TableText"/>
            </w:pPr>
            <w:r w:rsidRPr="005D2A5F">
              <w:lastRenderedPageBreak/>
              <w:t xml:space="preserve">Users should issue units in a timely manner to avoid the units being released from patient assignment by another user prior to the issue unit process completion. </w:t>
            </w:r>
            <w:r w:rsidRPr="005D2A5F">
              <w:rPr>
                <w:vanish/>
              </w:rPr>
              <w:t>Defect 127720</w:t>
            </w:r>
          </w:p>
        </w:tc>
      </w:tr>
      <w:tr w:rsidR="00F83DEE" w:rsidRPr="00725902" w14:paraId="55B98577" w14:textId="77777777">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48E35ED2" w14:textId="61CF4213" w:rsidR="00F83DEE" w:rsidRPr="005D2A5F" w:rsidRDefault="00F83DEE" w:rsidP="002D126B">
            <w:pPr>
              <w:pStyle w:val="TableText"/>
            </w:pPr>
            <w:r>
              <w:t>When no VistA order is available, the user must process the request manually until VistA provides them to VBECS. The user must print blank Caution Tags and Blood Transfusion Record Forms (BTRF) to accommodate this rare occurrence. When VistA does not provide a pseudonym or associated pseudo-ID for the patient that allows placement of a VistA order, VBECS cannot create a patient order for emergency issue of blood.</w:t>
            </w:r>
          </w:p>
        </w:tc>
      </w:tr>
    </w:tbl>
    <w:p w14:paraId="35A3F6BA" w14:textId="77777777" w:rsidR="00BF2429" w:rsidRDefault="00BF2429" w:rsidP="00BF2429">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725902" w14:paraId="369001A6"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6E3D0905" w14:textId="77777777" w:rsidR="003F0440" w:rsidRPr="00534C65" w:rsidRDefault="003F0440" w:rsidP="002D126B">
            <w:pPr>
              <w:pStyle w:val="TableText"/>
              <w:rPr>
                <w:b/>
              </w:rPr>
            </w:pPr>
            <w:r w:rsidRPr="00534C65">
              <w:rPr>
                <w:b/>
              </w:rPr>
              <w:t>Justify ABO/Rh Change</w:t>
            </w:r>
          </w:p>
        </w:tc>
      </w:tr>
      <w:tr w:rsidR="003F0440" w:rsidRPr="00725902" w14:paraId="75FD5175"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4D9C0875" w14:textId="77777777" w:rsidR="003F0440" w:rsidRPr="00725902" w:rsidRDefault="003F0440" w:rsidP="002D126B">
            <w:pPr>
              <w:pStyle w:val="TableText"/>
            </w:pPr>
            <w:r>
              <w:t>VBECS does not allow the selection or issue of certain blood components that may appear ABO/Rh compatible when discrepant ABO/Rh results are not justified.</w:t>
            </w:r>
          </w:p>
        </w:tc>
      </w:tr>
    </w:tbl>
    <w:p w14:paraId="122AF75C" w14:textId="77777777" w:rsidR="00123D20" w:rsidRDefault="00123D20" w:rsidP="00220D0D">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534C65" w14:paraId="77FDBE7C"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26111274" w14:textId="77777777" w:rsidR="003F0440" w:rsidRPr="00534C65" w:rsidRDefault="00123D20" w:rsidP="002D126B">
            <w:pPr>
              <w:pStyle w:val="TableText"/>
              <w:rPr>
                <w:b/>
              </w:rPr>
            </w:pPr>
            <w:r>
              <w:br w:type="page"/>
            </w:r>
            <w:r w:rsidR="0045199A">
              <w:br w:type="page"/>
            </w:r>
            <w:r w:rsidR="003F0440" w:rsidRPr="00534C65">
              <w:rPr>
                <w:b/>
              </w:rPr>
              <w:t>Local Facilities</w:t>
            </w:r>
          </w:p>
        </w:tc>
      </w:tr>
      <w:tr w:rsidR="003F0440" w:rsidRPr="00725902" w14:paraId="779F79E7"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5C818CC9" w14:textId="77777777" w:rsidR="003F0440" w:rsidRDefault="003F0440" w:rsidP="002D126B">
            <w:pPr>
              <w:pStyle w:val="TableText"/>
            </w:pPr>
            <w:r>
              <w:t>A user may:</w:t>
            </w:r>
          </w:p>
          <w:p w14:paraId="7102F107" w14:textId="5C6B28BF" w:rsidR="003F0440" w:rsidRPr="00DA2271" w:rsidRDefault="003F0440" w:rsidP="00DA2271">
            <w:pPr>
              <w:pStyle w:val="TableTextBullet"/>
              <w:tabs>
                <w:tab w:val="clear" w:pos="288"/>
              </w:tabs>
            </w:pPr>
            <w:r w:rsidRPr="00DA2271">
              <w:t xml:space="preserve">Activate and edit </w:t>
            </w:r>
            <w:r w:rsidR="000966CE">
              <w:t>local</w:t>
            </w:r>
            <w:r w:rsidRPr="00DA2271">
              <w:t xml:space="preserve"> facility records distributed with VBECS.</w:t>
            </w:r>
          </w:p>
          <w:p w14:paraId="18E59CF8" w14:textId="488E90BE" w:rsidR="003F0440" w:rsidRPr="00DA2271" w:rsidRDefault="003F0440" w:rsidP="00DA2271">
            <w:pPr>
              <w:pStyle w:val="TableTextBullet"/>
              <w:tabs>
                <w:tab w:val="clear" w:pos="288"/>
              </w:tabs>
            </w:pPr>
            <w:r w:rsidRPr="00DA2271">
              <w:t xml:space="preserve">Add and edit active </w:t>
            </w:r>
            <w:r w:rsidR="000966CE">
              <w:t>local</w:t>
            </w:r>
            <w:r w:rsidRPr="00DA2271">
              <w:t xml:space="preserve"> facilities.</w:t>
            </w:r>
          </w:p>
          <w:p w14:paraId="3BC3A0A6" w14:textId="7218FD0F" w:rsidR="00A65139" w:rsidRPr="00DA2271" w:rsidRDefault="003F0440" w:rsidP="00DA2271">
            <w:pPr>
              <w:pStyle w:val="TableTextBullet"/>
              <w:tabs>
                <w:tab w:val="clear" w:pos="288"/>
              </w:tabs>
            </w:pPr>
            <w:r w:rsidRPr="00DA2271">
              <w:t xml:space="preserve">Activate and/or deactivate local facilities. </w:t>
            </w:r>
          </w:p>
          <w:p w14:paraId="5AF6CFE1" w14:textId="77777777" w:rsidR="00A65139" w:rsidRPr="00B157B4" w:rsidRDefault="00A65139" w:rsidP="00DA2271">
            <w:pPr>
              <w:pStyle w:val="TableTextBullet"/>
              <w:tabs>
                <w:tab w:val="clear" w:pos="288"/>
              </w:tabs>
            </w:pPr>
            <w:r w:rsidRPr="00DA2271">
              <w:t>Edit a division</w:t>
            </w:r>
            <w:r>
              <w:t xml:space="preserve"> name, which may result in a mismatch between VistA and VBECS division names. </w:t>
            </w:r>
            <w:r w:rsidRPr="00A65139">
              <w:rPr>
                <w:vanish/>
              </w:rPr>
              <w:t>(DR 2,113)</w:t>
            </w:r>
          </w:p>
          <w:p w14:paraId="0E890A9F" w14:textId="77777777" w:rsidR="00B157B4" w:rsidRDefault="00B157B4" w:rsidP="00AE19A0">
            <w:pPr>
              <w:pStyle w:val="TableTextBullet"/>
              <w:tabs>
                <w:tab w:val="clear" w:pos="288"/>
              </w:tabs>
            </w:pPr>
            <w:r w:rsidRPr="005705B4">
              <w:t>The Local Facility Address maximum length is 45 characters</w:t>
            </w:r>
            <w:r w:rsidR="00AE19A0">
              <w:t xml:space="preserve"> including spaces</w:t>
            </w:r>
            <w:r w:rsidRPr="005705B4">
              <w:t xml:space="preserve"> to allow the address to display on VBECS repo</w:t>
            </w:r>
            <w:r>
              <w:t xml:space="preserve">rts. The third line of the facility address is not displayed on VBECS reports. </w:t>
            </w:r>
            <w:r w:rsidRPr="00B157B4">
              <w:rPr>
                <w:vanish/>
              </w:rPr>
              <w:t>DR 4980</w:t>
            </w:r>
          </w:p>
          <w:p w14:paraId="4991C0D5" w14:textId="37D9CF3B" w:rsidR="004E5171" w:rsidRPr="00725902" w:rsidRDefault="004E5171" w:rsidP="00AE19A0">
            <w:pPr>
              <w:pStyle w:val="TableTextBullet"/>
              <w:tabs>
                <w:tab w:val="clear" w:pos="288"/>
              </w:tabs>
            </w:pPr>
            <w:r>
              <w:t>FDA registration number is limited to 7 or 10 characters. Copy and paste can be used for entry of 10 characters.</w:t>
            </w:r>
            <w:r>
              <w:rPr>
                <w:vanish/>
              </w:rPr>
              <w:t xml:space="preserve"> (Bug 64944)</w:t>
            </w:r>
          </w:p>
        </w:tc>
      </w:tr>
    </w:tbl>
    <w:p w14:paraId="3C147A8B" w14:textId="0E7C612F" w:rsidR="000E59E4" w:rsidRDefault="000E59E4" w:rsidP="00220D0D">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725902" w14:paraId="6B7CABAB"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3ABFCF33" w14:textId="77777777" w:rsidR="003F0440" w:rsidRPr="007951E4" w:rsidRDefault="003F0440" w:rsidP="002D126B">
            <w:pPr>
              <w:pStyle w:val="TableText"/>
              <w:rPr>
                <w:b/>
              </w:rPr>
            </w:pPr>
            <w:r w:rsidRPr="007951E4">
              <w:rPr>
                <w:b/>
              </w:rPr>
              <w:t>Maintain Specimen</w:t>
            </w:r>
          </w:p>
        </w:tc>
      </w:tr>
      <w:tr w:rsidR="003F0440" w:rsidRPr="00725902" w14:paraId="37E8C624"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28D2BEA7" w14:textId="77777777" w:rsidR="003F0440" w:rsidRPr="00725902" w:rsidRDefault="003F0440" w:rsidP="002D126B">
            <w:pPr>
              <w:pStyle w:val="TableText"/>
            </w:pPr>
            <w:r>
              <w:t xml:space="preserve">When a search by UID causes VBECS to time out, repeat the search by UID and patient name or by patient name only. </w:t>
            </w:r>
            <w:r w:rsidRPr="009303DE">
              <w:rPr>
                <w:vanish/>
              </w:rPr>
              <w:t>(UserDoc Tasks 1089 and 1090)</w:t>
            </w:r>
          </w:p>
        </w:tc>
      </w:tr>
      <w:tr w:rsidR="003F0440" w:rsidRPr="00725902" w14:paraId="1C0AD22E"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780612C4" w14:textId="77777777" w:rsidR="003F0440" w:rsidRPr="00725902" w:rsidRDefault="003F0440" w:rsidP="002D126B">
            <w:pPr>
              <w:pStyle w:val="TableText"/>
            </w:pPr>
            <w:r>
              <w:t>Specimen recollection requests must be made offline.</w:t>
            </w:r>
          </w:p>
        </w:tc>
      </w:tr>
      <w:tr w:rsidR="003F0440" w:rsidRPr="00725902" w14:paraId="0C0E3D4C"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662DF49E" w14:textId="77777777" w:rsidR="003F0440" w:rsidRPr="00725902" w:rsidRDefault="003F0440" w:rsidP="002D126B">
            <w:pPr>
              <w:pStyle w:val="TableText"/>
            </w:pPr>
            <w:r>
              <w:t>Designating a specimen as “unacceptable” after accepting a CPRS order closes that order and requires a new CPRS order and sample.</w:t>
            </w:r>
          </w:p>
        </w:tc>
      </w:tr>
    </w:tbl>
    <w:p w14:paraId="195255AB" w14:textId="77777777" w:rsidR="00220D0D" w:rsidRDefault="00220D0D" w:rsidP="00220D0D">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725902" w14:paraId="5B8C6C3C"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78D9EE00" w14:textId="77777777" w:rsidR="003F0440" w:rsidRPr="007951E4" w:rsidRDefault="003F0440" w:rsidP="002D126B">
            <w:pPr>
              <w:pStyle w:val="TableText"/>
              <w:rPr>
                <w:b/>
              </w:rPr>
            </w:pPr>
            <w:r w:rsidRPr="007951E4">
              <w:rPr>
                <w:b/>
              </w:rPr>
              <w:t>Modify Units</w:t>
            </w:r>
          </w:p>
        </w:tc>
      </w:tr>
      <w:tr w:rsidR="003F0440" w:rsidRPr="00725902" w14:paraId="549E7BFC"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35212BEA" w14:textId="77777777" w:rsidR="003F0440" w:rsidRPr="00725902" w:rsidRDefault="003F0440" w:rsidP="002D126B">
            <w:pPr>
              <w:pStyle w:val="TableText"/>
            </w:pPr>
            <w:r>
              <w:t>VBECS allows modification of units only in limited, assigned, crossmatched, and available statuses.</w:t>
            </w:r>
          </w:p>
        </w:tc>
      </w:tr>
      <w:tr w:rsidR="00E57D56" w:rsidRPr="00725902" w14:paraId="3718777B"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5F07536D" w14:textId="77777777" w:rsidR="00E57D56" w:rsidRDefault="00E57D56" w:rsidP="00E57D56">
            <w:pPr>
              <w:pStyle w:val="TableText"/>
            </w:pPr>
            <w:r>
              <w:t xml:space="preserve">VBECS presents the conservative expiration date for target units. VBECS does not know the specific collection details.  It is the </w:t>
            </w:r>
            <w:r w:rsidR="004E2AB6">
              <w:t>responsibility</w:t>
            </w:r>
            <w:r>
              <w:t xml:space="preserve"> of each user to accurately enter and process any one blood unit based on its expiration date/time as labeled by the collection facility.</w:t>
            </w:r>
            <w:r w:rsidRPr="00E57D56">
              <w:t xml:space="preserve"> </w:t>
            </w:r>
            <w:r w:rsidRPr="00E57D56">
              <w:rPr>
                <w:vanish/>
              </w:rPr>
              <w:t>Task 1324</w:t>
            </w:r>
          </w:p>
        </w:tc>
      </w:tr>
      <w:tr w:rsidR="006A0516" w:rsidRPr="00725902" w14:paraId="349D8498"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40AC7F54" w14:textId="73BA53C8" w:rsidR="006A0516" w:rsidRDefault="003D1470" w:rsidP="003D1470">
            <w:pPr>
              <w:pStyle w:val="TableText"/>
            </w:pPr>
            <w:r>
              <w:t xml:space="preserve">Pooling of units that have the attribute </w:t>
            </w:r>
            <w:r w:rsidR="00676CAC">
              <w:t>form</w:t>
            </w:r>
            <w:r>
              <w:t xml:space="preserve"> V0013 (irradiated) and attribute V0021005 (psoralen treatment) does not produce a target.</w:t>
            </w:r>
          </w:p>
        </w:tc>
      </w:tr>
    </w:tbl>
    <w:p w14:paraId="19F49536" w14:textId="77777777" w:rsidR="00D139EE" w:rsidRDefault="00D139EE" w:rsidP="00220D0D">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725902" w14:paraId="26A77C6F"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570CF1DC" w14:textId="77777777" w:rsidR="003F0440" w:rsidRPr="007951E4" w:rsidRDefault="003F0440" w:rsidP="002D126B">
            <w:pPr>
              <w:pStyle w:val="TableText"/>
              <w:rPr>
                <w:b/>
              </w:rPr>
            </w:pPr>
            <w:r w:rsidRPr="007951E4">
              <w:rPr>
                <w:b/>
              </w:rPr>
              <w:t>Modify Units: Pool Units</w:t>
            </w:r>
          </w:p>
        </w:tc>
      </w:tr>
      <w:tr w:rsidR="003F0440" w:rsidRPr="00725902" w14:paraId="579CB7AE"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025D7D4D" w14:textId="77777777" w:rsidR="003F0440" w:rsidRPr="00725902" w:rsidRDefault="003F0440" w:rsidP="002D126B">
            <w:pPr>
              <w:pStyle w:val="TableText"/>
            </w:pPr>
            <w:r>
              <w:t>VBECS allows modification of units only in limited, assigned, crossmatched, and available statuses.</w:t>
            </w:r>
          </w:p>
        </w:tc>
      </w:tr>
      <w:tr w:rsidR="003F0440" w:rsidRPr="00725902" w14:paraId="48C65E06"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323F7DB5" w14:textId="77777777" w:rsidR="003F0440" w:rsidRDefault="006F51AC" w:rsidP="002D126B">
            <w:pPr>
              <w:pStyle w:val="TableText"/>
            </w:pPr>
            <w:r w:rsidRPr="00D47D4A">
              <w:t>When a</w:t>
            </w:r>
            <w:r>
              <w:t xml:space="preserve"> user adds a</w:t>
            </w:r>
            <w:r w:rsidRPr="00D47D4A">
              <w:t xml:space="preserve"> biohazardous unit to a pool, </w:t>
            </w:r>
            <w:r>
              <w:t xml:space="preserve">VBECS does not designate the </w:t>
            </w:r>
            <w:r w:rsidRPr="00D47D4A">
              <w:t xml:space="preserve">pool </w:t>
            </w:r>
            <w:r>
              <w:t>as</w:t>
            </w:r>
            <w:r w:rsidRPr="00D47D4A">
              <w:t xml:space="preserve"> biohazardous</w:t>
            </w:r>
            <w:r>
              <w:t xml:space="preserve"> on the Blood Transfusion Record Form (BTRF) or Caution Tag</w:t>
            </w:r>
            <w:r w:rsidRPr="00D47D4A">
              <w:t>.</w:t>
            </w:r>
          </w:p>
        </w:tc>
      </w:tr>
    </w:tbl>
    <w:p w14:paraId="7D11DAC7" w14:textId="77777777" w:rsidR="00220D0D" w:rsidRDefault="00220D0D" w:rsidP="00220D0D">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725902" w14:paraId="592CCC33"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3102F2E3" w14:textId="77777777" w:rsidR="003F0440" w:rsidRPr="00A76671" w:rsidRDefault="003F0440" w:rsidP="002D126B">
            <w:pPr>
              <w:pStyle w:val="TableText"/>
              <w:rPr>
                <w:b/>
              </w:rPr>
            </w:pPr>
            <w:r w:rsidRPr="00A76671">
              <w:rPr>
                <w:b/>
              </w:rPr>
              <w:t>Modify Units: Split a Unit</w:t>
            </w:r>
          </w:p>
        </w:tc>
      </w:tr>
      <w:tr w:rsidR="003F0440" w:rsidRPr="00725902" w14:paraId="485EEA6E" w14:textId="77777777">
        <w:trPr>
          <w:cantSplit/>
          <w:hidden/>
        </w:trPr>
        <w:tc>
          <w:tcPr>
            <w:tcW w:w="9360" w:type="dxa"/>
            <w:tcBorders>
              <w:top w:val="single" w:sz="6" w:space="0" w:color="000000"/>
              <w:left w:val="single" w:sz="6" w:space="0" w:color="000000"/>
              <w:bottom w:val="single" w:sz="6" w:space="0" w:color="000000"/>
              <w:right w:val="single" w:sz="6" w:space="0" w:color="000000"/>
            </w:tcBorders>
            <w:vAlign w:val="bottom"/>
          </w:tcPr>
          <w:p w14:paraId="26A2A349" w14:textId="7FB8D338" w:rsidR="003F0440" w:rsidRPr="00725902" w:rsidRDefault="00676CAC" w:rsidP="00A64FBF">
            <w:pPr>
              <w:pStyle w:val="TableText"/>
            </w:pPr>
            <w:r w:rsidRPr="00516343">
              <w:rPr>
                <w:vanish/>
              </w:rPr>
              <w:t xml:space="preserve">BR_25.21 </w:t>
            </w:r>
            <w:r w:rsidR="00A64FBF">
              <w:t>A unit previously split in VBECS cannot be split again. Only an ISBT unit that was split outside of VBECS can be split again.</w:t>
            </w:r>
          </w:p>
        </w:tc>
      </w:tr>
      <w:tr w:rsidR="00A64FBF" w:rsidRPr="00725902" w14:paraId="4BE6F791" w14:textId="77777777">
        <w:trPr>
          <w:cantSplit/>
          <w:hidden/>
        </w:trPr>
        <w:tc>
          <w:tcPr>
            <w:tcW w:w="9360" w:type="dxa"/>
            <w:tcBorders>
              <w:top w:val="single" w:sz="6" w:space="0" w:color="000000"/>
              <w:left w:val="single" w:sz="6" w:space="0" w:color="000000"/>
              <w:bottom w:val="single" w:sz="6" w:space="0" w:color="000000"/>
              <w:right w:val="single" w:sz="6" w:space="0" w:color="000000"/>
            </w:tcBorders>
            <w:vAlign w:val="bottom"/>
          </w:tcPr>
          <w:p w14:paraId="7C545FAA" w14:textId="708BFA9C" w:rsidR="00A64FBF" w:rsidRPr="00A64FBF" w:rsidRDefault="00676CAC" w:rsidP="00A64FBF">
            <w:pPr>
              <w:pStyle w:val="TableText"/>
            </w:pPr>
            <w:r w:rsidRPr="00516343">
              <w:rPr>
                <w:vanish/>
              </w:rPr>
              <w:t xml:space="preserve">BR_25.21 </w:t>
            </w:r>
            <w:r w:rsidR="00A64FBF">
              <w:t xml:space="preserve">A unit pooled in VBECS may </w:t>
            </w:r>
            <w:r w:rsidR="00E605B1">
              <w:t>not be split</w:t>
            </w:r>
            <w:r w:rsidR="00A64FBF">
              <w:t>.</w:t>
            </w:r>
          </w:p>
        </w:tc>
      </w:tr>
      <w:tr w:rsidR="00A64FBF" w:rsidRPr="00725902" w14:paraId="7CB1DFC3" w14:textId="77777777">
        <w:trPr>
          <w:cantSplit/>
          <w:hidden/>
        </w:trPr>
        <w:tc>
          <w:tcPr>
            <w:tcW w:w="9360" w:type="dxa"/>
            <w:tcBorders>
              <w:top w:val="single" w:sz="6" w:space="0" w:color="000000"/>
              <w:left w:val="single" w:sz="6" w:space="0" w:color="000000"/>
              <w:bottom w:val="single" w:sz="6" w:space="0" w:color="000000"/>
              <w:right w:val="single" w:sz="6" w:space="0" w:color="000000"/>
            </w:tcBorders>
            <w:vAlign w:val="bottom"/>
          </w:tcPr>
          <w:p w14:paraId="76B4446C" w14:textId="451A28D5" w:rsidR="00A64FBF" w:rsidRPr="00A64FBF" w:rsidRDefault="00676CAC" w:rsidP="00A64FBF">
            <w:pPr>
              <w:pStyle w:val="TableText"/>
            </w:pPr>
            <w:r w:rsidRPr="00516343">
              <w:rPr>
                <w:vanish/>
              </w:rPr>
              <w:lastRenderedPageBreak/>
              <w:t xml:space="preserve">BR_25.21 </w:t>
            </w:r>
            <w:r w:rsidR="00A64FBF">
              <w:t>A unit that has a division code present upon receipt in incoming shipment may be split in VBECS.</w:t>
            </w:r>
          </w:p>
        </w:tc>
      </w:tr>
    </w:tbl>
    <w:p w14:paraId="2F9A8681" w14:textId="77777777" w:rsidR="00DD7CAF" w:rsidRDefault="00DD7CAF" w:rsidP="00220D0D">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4372A3" w14:paraId="2C2CF438"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5626DE5A" w14:textId="77777777" w:rsidR="003F0440" w:rsidRPr="004372A3" w:rsidRDefault="003F0440" w:rsidP="002D126B">
            <w:pPr>
              <w:pStyle w:val="TableText"/>
              <w:rPr>
                <w:b/>
              </w:rPr>
            </w:pPr>
            <w:r w:rsidRPr="004372A3">
              <w:rPr>
                <w:b/>
              </w:rPr>
              <w:t>Order Alerts</w:t>
            </w:r>
          </w:p>
        </w:tc>
      </w:tr>
      <w:tr w:rsidR="00BB0EAB" w:rsidRPr="00725902" w14:paraId="02470F95"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53A1D3CC" w14:textId="77777777" w:rsidR="00BB0EAB" w:rsidRDefault="00BB0EAB" w:rsidP="002D126B">
            <w:pPr>
              <w:pStyle w:val="TableText"/>
            </w:pPr>
            <w:r>
              <w:t>This is an alert only and contains limited information from the CPRS order.</w:t>
            </w:r>
            <w:r w:rsidR="00D53DC3">
              <w:t xml:space="preserve"> </w:t>
            </w:r>
            <w:r w:rsidR="00D53DC3" w:rsidRPr="00D53DC3">
              <w:rPr>
                <w:vanish/>
              </w:rPr>
              <w:t>Defect 368207</w:t>
            </w:r>
          </w:p>
        </w:tc>
      </w:tr>
      <w:tr w:rsidR="003F0440" w:rsidRPr="00725902" w14:paraId="188C3798"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7B2D6BC4" w14:textId="77777777" w:rsidR="003F0440" w:rsidRPr="00725902" w:rsidRDefault="003F0440" w:rsidP="002D126B">
            <w:pPr>
              <w:pStyle w:val="TableText"/>
            </w:pPr>
            <w:r>
              <w:t>This option does not create a mechanism to accept or reject orders or specimens or define reports for viewing orders.</w:t>
            </w:r>
          </w:p>
        </w:tc>
      </w:tr>
      <w:tr w:rsidR="003F0440" w:rsidRPr="00725902" w14:paraId="0E0A08A7"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563D704C" w14:textId="77777777" w:rsidR="003F0440" w:rsidRPr="00725902" w:rsidRDefault="003F0440" w:rsidP="002D126B">
            <w:pPr>
              <w:pStyle w:val="TableText"/>
            </w:pPr>
            <w:r>
              <w:t>The user may select the option to display printer alerts only when the designated printer is configured and available.</w:t>
            </w:r>
          </w:p>
        </w:tc>
      </w:tr>
      <w:tr w:rsidR="003F0440" w:rsidRPr="00725902" w14:paraId="75930979"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31FA9781" w14:textId="77777777" w:rsidR="003F0440" w:rsidRPr="00725902" w:rsidRDefault="003F0440" w:rsidP="002D126B">
            <w:pPr>
              <w:pStyle w:val="TableText"/>
            </w:pPr>
            <w:r>
              <w:t>The printer</w:t>
            </w:r>
            <w:r w:rsidRPr="006C2ED3">
              <w:t xml:space="preserve"> </w:t>
            </w:r>
            <w:r>
              <w:t>must be configured by the System Administrator.</w:t>
            </w:r>
          </w:p>
        </w:tc>
      </w:tr>
      <w:tr w:rsidR="004E5171" w:rsidRPr="00725902" w14:paraId="2109A790"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75F05C16" w14:textId="47E501D2" w:rsidR="004E5171" w:rsidRDefault="004E5171" w:rsidP="002D126B">
            <w:pPr>
              <w:pStyle w:val="TableText"/>
            </w:pPr>
            <w:r>
              <w:t>The Order alert functionality is disabled when VBECS is set to Read-Only.</w:t>
            </w:r>
          </w:p>
        </w:tc>
      </w:tr>
    </w:tbl>
    <w:p w14:paraId="24DF7074" w14:textId="77777777" w:rsidR="00BA0F42" w:rsidRDefault="00BA0F42" w:rsidP="006272C5">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6E2623" w:rsidRPr="004372A3" w14:paraId="671AFB60" w14:textId="77777777" w:rsidTr="00266A3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2AE9D19B" w14:textId="77777777" w:rsidR="006E2623" w:rsidRPr="004372A3" w:rsidRDefault="006E2623" w:rsidP="00266A37">
            <w:pPr>
              <w:pStyle w:val="TableText"/>
              <w:rPr>
                <w:b/>
              </w:rPr>
            </w:pPr>
            <w:r>
              <w:rPr>
                <w:b/>
              </w:rPr>
              <w:t>Order History Report</w:t>
            </w:r>
          </w:p>
        </w:tc>
      </w:tr>
      <w:tr w:rsidR="006E2623" w14:paraId="280DA821" w14:textId="77777777" w:rsidTr="00266A3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112A8A70" w14:textId="7B09015D" w:rsidR="006E2623" w:rsidRDefault="006E2623" w:rsidP="00266A37">
            <w:pPr>
              <w:pStyle w:val="TableText"/>
            </w:pPr>
            <w:r>
              <w:t>VBECS does not display the identity of the CPRS user who discontinues a signed order in CPRS. The CPRS order details option contains all pertinent order information.</w:t>
            </w:r>
            <w:r w:rsidRPr="006E2623">
              <w:rPr>
                <w:vanish/>
              </w:rPr>
              <w:t xml:space="preserve"> DR 3766</w:t>
            </w:r>
          </w:p>
        </w:tc>
      </w:tr>
      <w:tr w:rsidR="008E02D0" w14:paraId="30325FCB" w14:textId="77777777" w:rsidTr="00266A3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3B5B149B" w14:textId="26675236" w:rsidR="008E02D0" w:rsidRDefault="008E02D0" w:rsidP="00266A37">
            <w:pPr>
              <w:pStyle w:val="TableText"/>
            </w:pPr>
            <w:r>
              <w:t>Cancel</w:t>
            </w:r>
            <w:r w:rsidR="002F7E19">
              <w:t>l</w:t>
            </w:r>
            <w:r>
              <w:t>ed orders are included on the Order Summary Report without a column/data to help identify them as cancel</w:t>
            </w:r>
            <w:r w:rsidR="002F7E19">
              <w:t>l</w:t>
            </w:r>
            <w:r>
              <w:t>ed. The Single Order History Report includes the cancel</w:t>
            </w:r>
            <w:r w:rsidR="002F7E19">
              <w:t>l</w:t>
            </w:r>
            <w:r>
              <w:t>ed order information. When the order is also cancel</w:t>
            </w:r>
            <w:r w:rsidR="002F7E19">
              <w:t>l</w:t>
            </w:r>
            <w:r>
              <w:t>ed in VistA, which would be the norm, there is a lab report that can be referenced</w:t>
            </w:r>
            <w:r w:rsidR="00F04B98">
              <w:t xml:space="preserve"> (See </w:t>
            </w:r>
            <w:r w:rsidR="00F04B98" w:rsidRPr="00077082">
              <w:rPr>
                <w:i/>
                <w:iCs/>
              </w:rPr>
              <w:t>FAQ Order Status Clarification</w:t>
            </w:r>
            <w:r w:rsidR="00F04B98">
              <w:t>)</w:t>
            </w:r>
            <w:r>
              <w:t xml:space="preserve">. </w:t>
            </w:r>
            <w:r w:rsidRPr="008E02D0">
              <w:rPr>
                <w:vanish/>
              </w:rPr>
              <w:t>Defect 208877</w:t>
            </w:r>
          </w:p>
        </w:tc>
      </w:tr>
      <w:tr w:rsidR="00D03D1B" w14:paraId="158B77AF" w14:textId="77777777" w:rsidTr="00266A3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41131EA5" w14:textId="0F61859C" w:rsidR="00D03D1B" w:rsidRDefault="00D03D1B" w:rsidP="00D03D1B">
            <w:pPr>
              <w:pStyle w:val="TableText"/>
            </w:pPr>
            <w:r>
              <w:t xml:space="preserve">The Order History Report only displays the first twenty (20) characters of an ordering location. Ordering locations in VistA can be shortened or changed when the uniqueness of a location cannot be determined with the first twenty (20) characters. </w:t>
            </w:r>
            <w:r w:rsidRPr="003209A5">
              <w:rPr>
                <w:vanish/>
              </w:rPr>
              <w:t>Defect 209846</w:t>
            </w:r>
          </w:p>
        </w:tc>
      </w:tr>
    </w:tbl>
    <w:p w14:paraId="2EF7D1BB" w14:textId="77777777" w:rsidR="006E2623" w:rsidRDefault="006E2623" w:rsidP="006272C5">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725902" w14:paraId="4D45CD63"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7435C14E" w14:textId="77777777" w:rsidR="003F0440" w:rsidRPr="00A76671" w:rsidRDefault="003F0440" w:rsidP="002D126B">
            <w:pPr>
              <w:pStyle w:val="TableText"/>
              <w:rPr>
                <w:b/>
              </w:rPr>
            </w:pPr>
            <w:r w:rsidRPr="00A76671">
              <w:rPr>
                <w:b/>
              </w:rPr>
              <w:t>Order Reflex Tests</w:t>
            </w:r>
          </w:p>
        </w:tc>
      </w:tr>
      <w:tr w:rsidR="003F0440" w:rsidRPr="00725902" w14:paraId="39CDDC51" w14:textId="77777777">
        <w:trPr>
          <w:cantSplit/>
          <w:hidden/>
        </w:trPr>
        <w:tc>
          <w:tcPr>
            <w:tcW w:w="9360" w:type="dxa"/>
            <w:tcBorders>
              <w:top w:val="single" w:sz="6" w:space="0" w:color="000000"/>
              <w:left w:val="single" w:sz="6" w:space="0" w:color="000000"/>
              <w:bottom w:val="single" w:sz="6" w:space="0" w:color="000000"/>
              <w:right w:val="single" w:sz="6" w:space="0" w:color="000000"/>
            </w:tcBorders>
            <w:vAlign w:val="bottom"/>
          </w:tcPr>
          <w:p w14:paraId="09E53924" w14:textId="648C2DC7" w:rsidR="003F0440" w:rsidRPr="00725902" w:rsidRDefault="003F0440" w:rsidP="002D126B">
            <w:pPr>
              <w:pStyle w:val="TableText"/>
            </w:pPr>
            <w:r w:rsidRPr="009C34E7">
              <w:rPr>
                <w:rFonts w:cs="Arial"/>
                <w:vanish/>
              </w:rPr>
              <w:t>BR_45.10</w:t>
            </w:r>
            <w:r>
              <w:rPr>
                <w:rFonts w:cs="Arial"/>
                <w:vanish/>
              </w:rPr>
              <w:t xml:space="preserve"> </w:t>
            </w:r>
            <w:r>
              <w:t>A crossmatch (XM) and a repeat XM cannot be ordered unless they are associated with a specimen with a future expiration date and a phlebotomist is associated with that specimen.</w:t>
            </w:r>
            <w:r>
              <w:rPr>
                <w:rFonts w:cs="Arial"/>
                <w:vanish/>
              </w:rPr>
              <w:t xml:space="preserve"> </w:t>
            </w:r>
          </w:p>
        </w:tc>
      </w:tr>
      <w:tr w:rsidR="003F0440" w:rsidRPr="00725902" w14:paraId="284E43D4" w14:textId="77777777">
        <w:trPr>
          <w:cantSplit/>
          <w:hidden/>
        </w:trPr>
        <w:tc>
          <w:tcPr>
            <w:tcW w:w="9360" w:type="dxa"/>
            <w:tcBorders>
              <w:top w:val="single" w:sz="6" w:space="0" w:color="000000"/>
              <w:left w:val="single" w:sz="6" w:space="0" w:color="000000"/>
              <w:bottom w:val="single" w:sz="6" w:space="0" w:color="000000"/>
              <w:right w:val="single" w:sz="6" w:space="0" w:color="000000"/>
            </w:tcBorders>
            <w:vAlign w:val="bottom"/>
          </w:tcPr>
          <w:p w14:paraId="2989D8C8" w14:textId="70C51FCE" w:rsidR="003F0440" w:rsidRPr="00725902" w:rsidRDefault="00676CAC" w:rsidP="002D126B">
            <w:pPr>
              <w:pStyle w:val="TableText"/>
            </w:pPr>
            <w:r>
              <w:rPr>
                <w:rFonts w:cs="Arial"/>
                <w:vanish/>
              </w:rPr>
              <w:t xml:space="preserve">BR_98.02 </w:t>
            </w:r>
            <w:r w:rsidR="003F0440">
              <w:t>When a user selects weak D for the antigen typing test and the selected patient is Rh positive, VBECS warns that weak D testing cannot be performed</w:t>
            </w:r>
            <w:r w:rsidR="009913C5">
              <w:t xml:space="preserve"> (See </w:t>
            </w:r>
            <w:r w:rsidR="009913C5" w:rsidRPr="00077082">
              <w:rPr>
                <w:i/>
                <w:iCs/>
              </w:rPr>
              <w:t>FAQ Weak D Policy</w:t>
            </w:r>
            <w:r w:rsidR="008470B0">
              <w:t>)</w:t>
            </w:r>
            <w:r w:rsidR="003F0440">
              <w:t>. There is no override and VBECS does not add the test.</w:t>
            </w:r>
          </w:p>
        </w:tc>
      </w:tr>
    </w:tbl>
    <w:p w14:paraId="5D8CE751" w14:textId="77777777" w:rsidR="006272C5" w:rsidRDefault="006272C5" w:rsidP="006272C5">
      <w:pPr>
        <w:pStyle w:val="TableText"/>
      </w:pPr>
    </w:p>
    <w:tbl>
      <w:tblPr>
        <w:tblW w:w="936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B3B3B3"/>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5E4113" w14:paraId="7F0D0608" w14:textId="77777777" w:rsidTr="00CE4C78">
        <w:trPr>
          <w:cantSplit/>
          <w:tblHeader/>
        </w:trPr>
        <w:tc>
          <w:tcPr>
            <w:tcW w:w="9360" w:type="dxa"/>
            <w:shd w:val="clear" w:color="auto" w:fill="BFBFBF" w:themeFill="background1" w:themeFillShade="BF"/>
            <w:vAlign w:val="bottom"/>
          </w:tcPr>
          <w:p w14:paraId="0192FD53" w14:textId="77777777" w:rsidR="003F0440" w:rsidRPr="005E4113" w:rsidRDefault="003F0440" w:rsidP="002D126B">
            <w:pPr>
              <w:pStyle w:val="TableText"/>
              <w:rPr>
                <w:b/>
              </w:rPr>
            </w:pPr>
            <w:r>
              <w:rPr>
                <w:b/>
              </w:rPr>
              <w:t>Outgoing Shipment</w:t>
            </w:r>
          </w:p>
        </w:tc>
      </w:tr>
      <w:tr w:rsidR="003F0440" w:rsidRPr="00725902" w14:paraId="6250F971" w14:textId="77777777" w:rsidTr="00CE4C78">
        <w:tblPrEx>
          <w:tblBorders>
            <w:insideH w:val="none" w:sz="0" w:space="0" w:color="auto"/>
            <w:insideV w:val="none" w:sz="0" w:space="0" w:color="auto"/>
          </w:tblBorders>
          <w:shd w:val="clear" w:color="auto" w:fill="auto"/>
        </w:tblPrEx>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31AD598B" w14:textId="77777777" w:rsidR="003F0440" w:rsidRPr="00725902" w:rsidRDefault="003F0440" w:rsidP="002D126B">
            <w:pPr>
              <w:pStyle w:val="TableText"/>
            </w:pPr>
            <w:r>
              <w:t>A user may edit only unconfirmed invoices.</w:t>
            </w:r>
          </w:p>
        </w:tc>
      </w:tr>
      <w:tr w:rsidR="003F0440" w:rsidRPr="00725902" w14:paraId="25C20FD5" w14:textId="77777777" w:rsidTr="00CE4C78">
        <w:tblPrEx>
          <w:tblBorders>
            <w:insideH w:val="none" w:sz="0" w:space="0" w:color="auto"/>
            <w:insideV w:val="none" w:sz="0" w:space="0" w:color="auto"/>
          </w:tblBorders>
          <w:shd w:val="clear" w:color="auto" w:fill="auto"/>
        </w:tblPrEx>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577E5CFC" w14:textId="29D5D367" w:rsidR="003F0440" w:rsidRDefault="003F0440" w:rsidP="002D126B">
            <w:pPr>
              <w:pStyle w:val="TableText"/>
            </w:pPr>
            <w:r>
              <w:t xml:space="preserve">The </w:t>
            </w:r>
            <w:r w:rsidR="00313B75">
              <w:t>unit</w:t>
            </w:r>
            <w:r>
              <w:t xml:space="preserve"> test</w:t>
            </w:r>
            <w:r w:rsidR="00313B75">
              <w:t>ing data</w:t>
            </w:r>
            <w:r>
              <w:t xml:space="preserve"> </w:t>
            </w:r>
            <w:r w:rsidRPr="007F1742">
              <w:t xml:space="preserve">displayed on </w:t>
            </w:r>
            <w:r>
              <w:t>an</w:t>
            </w:r>
            <w:r w:rsidRPr="007F1742">
              <w:t xml:space="preserve"> invoice is limited to 8</w:t>
            </w:r>
            <w:r>
              <w:t>,000 characters per unit.</w:t>
            </w:r>
          </w:p>
        </w:tc>
      </w:tr>
    </w:tbl>
    <w:p w14:paraId="2688B3F9" w14:textId="16FCD4D7" w:rsidR="00590248" w:rsidRDefault="00590248" w:rsidP="00726BF3">
      <w:pPr>
        <w:pStyle w:val="TableText"/>
      </w:pPr>
    </w:p>
    <w:tbl>
      <w:tblPr>
        <w:tblW w:w="936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B3B3B3"/>
        <w:tblLayout w:type="fixed"/>
        <w:tblCellMar>
          <w:top w:w="60" w:type="dxa"/>
          <w:left w:w="60" w:type="dxa"/>
          <w:bottom w:w="60" w:type="dxa"/>
          <w:right w:w="60" w:type="dxa"/>
        </w:tblCellMar>
        <w:tblLook w:val="0000" w:firstRow="0" w:lastRow="0" w:firstColumn="0" w:lastColumn="0" w:noHBand="0" w:noVBand="0"/>
      </w:tblPr>
      <w:tblGrid>
        <w:gridCol w:w="9360"/>
      </w:tblGrid>
      <w:tr w:rsidR="00B7221D" w:rsidRPr="005E4113" w14:paraId="52A47E59" w14:textId="77777777" w:rsidTr="001D3AF6">
        <w:trPr>
          <w:cantSplit/>
          <w:tblHeader/>
        </w:trPr>
        <w:tc>
          <w:tcPr>
            <w:tcW w:w="9360" w:type="dxa"/>
            <w:shd w:val="clear" w:color="auto" w:fill="BFBFBF" w:themeFill="background1" w:themeFillShade="BF"/>
            <w:vAlign w:val="bottom"/>
          </w:tcPr>
          <w:p w14:paraId="6D1B7D58" w14:textId="2F748AD0" w:rsidR="00B7221D" w:rsidRPr="005E4113" w:rsidRDefault="00B7221D" w:rsidP="001D3AF6">
            <w:pPr>
              <w:pStyle w:val="TableText"/>
              <w:rPr>
                <w:b/>
              </w:rPr>
            </w:pPr>
            <w:r>
              <w:rPr>
                <w:b/>
              </w:rPr>
              <w:t>Patient Information Toolbar</w:t>
            </w:r>
          </w:p>
        </w:tc>
      </w:tr>
      <w:tr w:rsidR="00B7221D" w:rsidRPr="00725902" w14:paraId="2B85176F" w14:textId="77777777" w:rsidTr="001D3AF6">
        <w:tblPrEx>
          <w:tblBorders>
            <w:insideH w:val="none" w:sz="0" w:space="0" w:color="auto"/>
            <w:insideV w:val="none" w:sz="0" w:space="0" w:color="auto"/>
          </w:tblBorders>
          <w:shd w:val="clear" w:color="auto" w:fill="auto"/>
        </w:tblPrEx>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0B8FED09" w14:textId="54A71168" w:rsidR="00B7221D" w:rsidRPr="00725902" w:rsidRDefault="00B7221D" w:rsidP="001D3AF6">
            <w:pPr>
              <w:pStyle w:val="TableText"/>
            </w:pPr>
            <w:r>
              <w:t xml:space="preserve">Recent Orders is showing Order Status values like “Not Started” and “Filled”, which are actually Task Statuses. </w:t>
            </w:r>
            <w:r w:rsidRPr="00B7221D">
              <w:rPr>
                <w:vanish/>
              </w:rPr>
              <w:t>Defect 214974</w:t>
            </w:r>
          </w:p>
        </w:tc>
      </w:tr>
      <w:tr w:rsidR="00D03D1B" w:rsidRPr="00725902" w14:paraId="4CD3A13A" w14:textId="77777777" w:rsidTr="001D3AF6">
        <w:tblPrEx>
          <w:tblBorders>
            <w:insideH w:val="none" w:sz="0" w:space="0" w:color="auto"/>
            <w:insideV w:val="none" w:sz="0" w:space="0" w:color="auto"/>
          </w:tblBorders>
          <w:shd w:val="clear" w:color="auto" w:fill="auto"/>
        </w:tblPrEx>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5BB1BE05" w14:textId="7B95DEAB" w:rsidR="00D03D1B" w:rsidRDefault="007A6A08" w:rsidP="007A6A08">
            <w:pPr>
              <w:pStyle w:val="TableText"/>
            </w:pPr>
            <w:r>
              <w:t xml:space="preserve">Completed TRWs do not display on the Recent Orders screen. Completed TRWs can be found by searching in the Reports, Finalize/Print TRW option. </w:t>
            </w:r>
            <w:r w:rsidRPr="003209A5">
              <w:rPr>
                <w:vanish/>
              </w:rPr>
              <w:t>Defect 2</w:t>
            </w:r>
            <w:r w:rsidR="008C5F1E">
              <w:rPr>
                <w:vanish/>
              </w:rPr>
              <w:t>10171</w:t>
            </w:r>
          </w:p>
        </w:tc>
      </w:tr>
    </w:tbl>
    <w:p w14:paraId="7C7E0B9A" w14:textId="0A900870" w:rsidR="00B7221D" w:rsidRDefault="00B7221D" w:rsidP="00726BF3">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484"/>
        <w:gridCol w:w="5336"/>
        <w:gridCol w:w="3056"/>
        <w:gridCol w:w="484"/>
      </w:tblGrid>
      <w:tr w:rsidR="003F0440" w:rsidRPr="001E53C1" w14:paraId="2787D39D" w14:textId="77777777">
        <w:trPr>
          <w:cantSplit/>
          <w:tblHeader/>
        </w:trPr>
        <w:tc>
          <w:tcPr>
            <w:tcW w:w="9360" w:type="dxa"/>
            <w:gridSpan w:val="4"/>
            <w:tcBorders>
              <w:top w:val="single" w:sz="6" w:space="0" w:color="000000"/>
              <w:left w:val="single" w:sz="6" w:space="0" w:color="000000"/>
              <w:bottom w:val="single" w:sz="6" w:space="0" w:color="000000"/>
              <w:right w:val="single" w:sz="6" w:space="0" w:color="000000"/>
            </w:tcBorders>
            <w:shd w:val="clear" w:color="auto" w:fill="B3B3B3"/>
            <w:vAlign w:val="bottom"/>
          </w:tcPr>
          <w:p w14:paraId="656D2741" w14:textId="77777777" w:rsidR="003F0440" w:rsidRPr="001E53C1" w:rsidRDefault="003F0440" w:rsidP="002D126B">
            <w:pPr>
              <w:pStyle w:val="TableText"/>
              <w:rPr>
                <w:b/>
              </w:rPr>
            </w:pPr>
            <w:r w:rsidRPr="001E53C1">
              <w:rPr>
                <w:b/>
              </w:rPr>
              <w:t>Patient History Report</w:t>
            </w:r>
          </w:p>
        </w:tc>
      </w:tr>
      <w:tr w:rsidR="003F0440" w:rsidRPr="00725902" w14:paraId="178496EB" w14:textId="77777777">
        <w:trPr>
          <w:cantSplit/>
        </w:trPr>
        <w:tc>
          <w:tcPr>
            <w:tcW w:w="9360" w:type="dxa"/>
            <w:gridSpan w:val="4"/>
            <w:tcBorders>
              <w:top w:val="single" w:sz="6" w:space="0" w:color="000000"/>
              <w:left w:val="single" w:sz="6" w:space="0" w:color="000000"/>
              <w:bottom w:val="single" w:sz="6" w:space="0" w:color="000000"/>
              <w:right w:val="single" w:sz="6" w:space="0" w:color="000000"/>
            </w:tcBorders>
            <w:vAlign w:val="bottom"/>
          </w:tcPr>
          <w:p w14:paraId="20CDF033" w14:textId="1298AE10" w:rsidR="003F0440" w:rsidRDefault="003F0440" w:rsidP="002D126B">
            <w:pPr>
              <w:pStyle w:val="TableText"/>
            </w:pPr>
            <w:r>
              <w:t>When units are restricted for a patient during Incoming Shipment, VBECS does not display them on the Patient History Report.</w:t>
            </w:r>
            <w:r w:rsidR="005E6088">
              <w:t xml:space="preserve"> </w:t>
            </w:r>
            <w:r w:rsidR="005E6088" w:rsidRPr="005E6088">
              <w:rPr>
                <w:vanish/>
              </w:rPr>
              <w:t>Defect 212160</w:t>
            </w:r>
          </w:p>
        </w:tc>
      </w:tr>
      <w:tr w:rsidR="00E07645" w:rsidRPr="00725902" w14:paraId="5BC762E6" w14:textId="77777777">
        <w:trPr>
          <w:cantSplit/>
        </w:trPr>
        <w:tc>
          <w:tcPr>
            <w:tcW w:w="9360" w:type="dxa"/>
            <w:gridSpan w:val="4"/>
            <w:tcBorders>
              <w:top w:val="single" w:sz="6" w:space="0" w:color="000000"/>
              <w:left w:val="single" w:sz="6" w:space="0" w:color="000000"/>
              <w:bottom w:val="nil"/>
              <w:right w:val="single" w:sz="6" w:space="0" w:color="000000"/>
            </w:tcBorders>
            <w:shd w:val="clear" w:color="auto" w:fill="auto"/>
            <w:vAlign w:val="bottom"/>
          </w:tcPr>
          <w:p w14:paraId="549E664C" w14:textId="77777777" w:rsidR="00E07645" w:rsidRDefault="00E07645" w:rsidP="003F40DD">
            <w:pPr>
              <w:pStyle w:val="TableText"/>
            </w:pPr>
            <w:r>
              <w:t>VBECS displays these default values for transfusion reactions converted from VistA to VBECS. They do not reflect actual interpretations or results:</w:t>
            </w:r>
            <w:r>
              <w:rPr>
                <w:vanish/>
              </w:rPr>
              <w:t xml:space="preserve"> (DR 2,</w:t>
            </w:r>
            <w:r w:rsidRPr="00FF5006">
              <w:rPr>
                <w:vanish/>
              </w:rPr>
              <w:t>724)</w:t>
            </w:r>
          </w:p>
        </w:tc>
      </w:tr>
      <w:tr w:rsidR="00E07645" w:rsidRPr="00725902" w14:paraId="30771030" w14:textId="77777777">
        <w:trPr>
          <w:cantSplit/>
        </w:trPr>
        <w:tc>
          <w:tcPr>
            <w:tcW w:w="484" w:type="dxa"/>
            <w:vMerge w:val="restart"/>
            <w:tcBorders>
              <w:top w:val="nil"/>
              <w:left w:val="single" w:sz="6" w:space="0" w:color="000000"/>
              <w:bottom w:val="single" w:sz="6" w:space="0" w:color="000000"/>
              <w:right w:val="single" w:sz="6" w:space="0" w:color="000000"/>
            </w:tcBorders>
            <w:shd w:val="clear" w:color="auto" w:fill="auto"/>
          </w:tcPr>
          <w:p w14:paraId="0B2A03F9" w14:textId="77777777" w:rsidR="00E07645" w:rsidRPr="00FF5006" w:rsidRDefault="00E07645" w:rsidP="003F40DD">
            <w:pPr>
              <w:pStyle w:val="TableText"/>
              <w:rPr>
                <w:b/>
              </w:rPr>
            </w:pPr>
          </w:p>
        </w:tc>
        <w:tc>
          <w:tcPr>
            <w:tcW w:w="5336" w:type="dxa"/>
            <w:tcBorders>
              <w:top w:val="single" w:sz="6" w:space="0" w:color="000000"/>
              <w:left w:val="single" w:sz="6" w:space="0" w:color="000000"/>
              <w:bottom w:val="single" w:sz="6" w:space="0" w:color="000000"/>
              <w:right w:val="single" w:sz="6" w:space="0" w:color="000000"/>
            </w:tcBorders>
            <w:shd w:val="clear" w:color="auto" w:fill="B3B3B3"/>
          </w:tcPr>
          <w:p w14:paraId="65E728F1" w14:textId="77777777" w:rsidR="00E07645" w:rsidRPr="00FF5006" w:rsidRDefault="00E07645" w:rsidP="003F40DD">
            <w:pPr>
              <w:pStyle w:val="TableText"/>
              <w:rPr>
                <w:b/>
              </w:rPr>
            </w:pPr>
            <w:r w:rsidRPr="00FF5006">
              <w:rPr>
                <w:b/>
              </w:rPr>
              <w:t>Converted Transfusion Reaction</w:t>
            </w:r>
          </w:p>
        </w:tc>
        <w:tc>
          <w:tcPr>
            <w:tcW w:w="3056" w:type="dxa"/>
            <w:tcBorders>
              <w:top w:val="single" w:sz="6" w:space="0" w:color="000000"/>
              <w:left w:val="single" w:sz="6" w:space="0" w:color="000000"/>
              <w:bottom w:val="single" w:sz="6" w:space="0" w:color="000000"/>
              <w:right w:val="single" w:sz="6" w:space="0" w:color="000000"/>
            </w:tcBorders>
            <w:shd w:val="clear" w:color="auto" w:fill="B3B3B3"/>
          </w:tcPr>
          <w:p w14:paraId="701A9C4F" w14:textId="77777777" w:rsidR="00E07645" w:rsidRPr="00FF5006" w:rsidRDefault="00E07645" w:rsidP="003F40DD">
            <w:pPr>
              <w:pStyle w:val="TableText"/>
              <w:rPr>
                <w:b/>
              </w:rPr>
            </w:pPr>
            <w:r w:rsidRPr="00FF5006">
              <w:rPr>
                <w:b/>
              </w:rPr>
              <w:t>Default</w:t>
            </w:r>
          </w:p>
        </w:tc>
        <w:tc>
          <w:tcPr>
            <w:tcW w:w="484" w:type="dxa"/>
            <w:vMerge w:val="restart"/>
            <w:tcBorders>
              <w:top w:val="nil"/>
              <w:left w:val="single" w:sz="6" w:space="0" w:color="000000"/>
              <w:bottom w:val="single" w:sz="6" w:space="0" w:color="000000"/>
              <w:right w:val="single" w:sz="6" w:space="0" w:color="000000"/>
            </w:tcBorders>
            <w:shd w:val="clear" w:color="auto" w:fill="auto"/>
          </w:tcPr>
          <w:p w14:paraId="47EB7F14" w14:textId="77777777" w:rsidR="00E07645" w:rsidRPr="00FF5006" w:rsidRDefault="00E07645" w:rsidP="003F40DD">
            <w:pPr>
              <w:pStyle w:val="TableText"/>
              <w:rPr>
                <w:b/>
              </w:rPr>
            </w:pPr>
          </w:p>
        </w:tc>
      </w:tr>
      <w:tr w:rsidR="00E07645" w:rsidRPr="00725902" w14:paraId="1D0F38EE" w14:textId="77777777">
        <w:trPr>
          <w:cantSplit/>
        </w:trPr>
        <w:tc>
          <w:tcPr>
            <w:tcW w:w="484" w:type="dxa"/>
            <w:vMerge/>
            <w:tcBorders>
              <w:top w:val="nil"/>
              <w:left w:val="single" w:sz="6" w:space="0" w:color="000000"/>
              <w:bottom w:val="single" w:sz="6" w:space="0" w:color="000000"/>
              <w:right w:val="single" w:sz="6" w:space="0" w:color="000000"/>
            </w:tcBorders>
            <w:shd w:val="clear" w:color="auto" w:fill="auto"/>
          </w:tcPr>
          <w:p w14:paraId="62B4C6D2" w14:textId="77777777" w:rsidR="00E07645" w:rsidRDefault="00E07645" w:rsidP="003F40DD">
            <w:pPr>
              <w:pStyle w:val="TableText"/>
            </w:pPr>
          </w:p>
        </w:tc>
        <w:tc>
          <w:tcPr>
            <w:tcW w:w="5336" w:type="dxa"/>
            <w:tcBorders>
              <w:top w:val="single" w:sz="6" w:space="0" w:color="000000"/>
              <w:left w:val="single" w:sz="6" w:space="0" w:color="000000"/>
              <w:bottom w:val="single" w:sz="6" w:space="0" w:color="000000"/>
              <w:right w:val="single" w:sz="6" w:space="0" w:color="000000"/>
            </w:tcBorders>
            <w:shd w:val="clear" w:color="auto" w:fill="auto"/>
          </w:tcPr>
          <w:p w14:paraId="4C3C47C5" w14:textId="77777777" w:rsidR="00E07645" w:rsidRDefault="00E07645" w:rsidP="003F40DD">
            <w:pPr>
              <w:pStyle w:val="TableText"/>
            </w:pPr>
            <w:r>
              <w:t xml:space="preserve">Pre-Transfusion Specimen Checks, Hemolysis Checks OK? </w:t>
            </w:r>
          </w:p>
        </w:tc>
        <w:tc>
          <w:tcPr>
            <w:tcW w:w="3056" w:type="dxa"/>
            <w:tcBorders>
              <w:top w:val="single" w:sz="6" w:space="0" w:color="000000"/>
              <w:left w:val="single" w:sz="6" w:space="0" w:color="000000"/>
              <w:bottom w:val="single" w:sz="6" w:space="0" w:color="000000"/>
              <w:right w:val="single" w:sz="6" w:space="0" w:color="000000"/>
            </w:tcBorders>
            <w:shd w:val="clear" w:color="auto" w:fill="auto"/>
          </w:tcPr>
          <w:p w14:paraId="3F9A3678" w14:textId="77777777" w:rsidR="00E07645" w:rsidRDefault="00E07645" w:rsidP="003F40DD">
            <w:pPr>
              <w:pStyle w:val="TableText"/>
            </w:pPr>
            <w:r>
              <w:t>Yes</w:t>
            </w:r>
          </w:p>
        </w:tc>
        <w:tc>
          <w:tcPr>
            <w:tcW w:w="484" w:type="dxa"/>
            <w:vMerge/>
            <w:tcBorders>
              <w:top w:val="nil"/>
              <w:left w:val="single" w:sz="6" w:space="0" w:color="000000"/>
              <w:bottom w:val="single" w:sz="6" w:space="0" w:color="000000"/>
              <w:right w:val="single" w:sz="6" w:space="0" w:color="000000"/>
            </w:tcBorders>
            <w:shd w:val="clear" w:color="auto" w:fill="auto"/>
          </w:tcPr>
          <w:p w14:paraId="1A2874A2" w14:textId="77777777" w:rsidR="00E07645" w:rsidRDefault="00E07645" w:rsidP="003F40DD">
            <w:pPr>
              <w:pStyle w:val="TableText"/>
            </w:pPr>
          </w:p>
        </w:tc>
      </w:tr>
      <w:tr w:rsidR="00E07645" w:rsidRPr="00725902" w14:paraId="35878EF2" w14:textId="77777777">
        <w:trPr>
          <w:cantSplit/>
        </w:trPr>
        <w:tc>
          <w:tcPr>
            <w:tcW w:w="484" w:type="dxa"/>
            <w:vMerge/>
            <w:tcBorders>
              <w:top w:val="nil"/>
              <w:left w:val="single" w:sz="6" w:space="0" w:color="000000"/>
              <w:bottom w:val="single" w:sz="6" w:space="0" w:color="000000"/>
              <w:right w:val="single" w:sz="6" w:space="0" w:color="000000"/>
            </w:tcBorders>
            <w:shd w:val="clear" w:color="auto" w:fill="auto"/>
          </w:tcPr>
          <w:p w14:paraId="6C07C046" w14:textId="77777777" w:rsidR="00E07645" w:rsidRDefault="00E07645" w:rsidP="003F40DD">
            <w:pPr>
              <w:pStyle w:val="TableText"/>
            </w:pPr>
          </w:p>
        </w:tc>
        <w:tc>
          <w:tcPr>
            <w:tcW w:w="5336" w:type="dxa"/>
            <w:tcBorders>
              <w:top w:val="single" w:sz="6" w:space="0" w:color="000000"/>
              <w:left w:val="single" w:sz="6" w:space="0" w:color="000000"/>
              <w:bottom w:val="single" w:sz="6" w:space="0" w:color="000000"/>
              <w:right w:val="single" w:sz="6" w:space="0" w:color="000000"/>
            </w:tcBorders>
            <w:shd w:val="clear" w:color="auto" w:fill="auto"/>
          </w:tcPr>
          <w:p w14:paraId="00683804" w14:textId="77777777" w:rsidR="00E07645" w:rsidRDefault="00E07645" w:rsidP="003F40DD">
            <w:pPr>
              <w:pStyle w:val="TableText"/>
            </w:pPr>
            <w:r>
              <w:t xml:space="preserve">Post-Transfusion Specimen Checks, Hemolysis Checks OK? </w:t>
            </w:r>
          </w:p>
        </w:tc>
        <w:tc>
          <w:tcPr>
            <w:tcW w:w="3056" w:type="dxa"/>
            <w:tcBorders>
              <w:top w:val="single" w:sz="6" w:space="0" w:color="000000"/>
              <w:left w:val="single" w:sz="6" w:space="0" w:color="000000"/>
              <w:bottom w:val="single" w:sz="6" w:space="0" w:color="000000"/>
              <w:right w:val="single" w:sz="6" w:space="0" w:color="000000"/>
            </w:tcBorders>
            <w:shd w:val="clear" w:color="auto" w:fill="auto"/>
          </w:tcPr>
          <w:p w14:paraId="3939AB39" w14:textId="77777777" w:rsidR="00E07645" w:rsidRDefault="00E07645" w:rsidP="003F40DD">
            <w:pPr>
              <w:pStyle w:val="TableText"/>
            </w:pPr>
            <w:r>
              <w:t>Yes</w:t>
            </w:r>
          </w:p>
        </w:tc>
        <w:tc>
          <w:tcPr>
            <w:tcW w:w="484" w:type="dxa"/>
            <w:vMerge/>
            <w:tcBorders>
              <w:top w:val="nil"/>
              <w:left w:val="single" w:sz="6" w:space="0" w:color="000000"/>
              <w:bottom w:val="single" w:sz="6" w:space="0" w:color="000000"/>
              <w:right w:val="single" w:sz="6" w:space="0" w:color="000000"/>
            </w:tcBorders>
            <w:shd w:val="clear" w:color="auto" w:fill="auto"/>
          </w:tcPr>
          <w:p w14:paraId="746A8545" w14:textId="77777777" w:rsidR="00E07645" w:rsidRDefault="00E07645" w:rsidP="003F40DD">
            <w:pPr>
              <w:pStyle w:val="TableText"/>
            </w:pPr>
          </w:p>
        </w:tc>
      </w:tr>
      <w:tr w:rsidR="00E07645" w:rsidRPr="00725902" w14:paraId="5F07E9E0" w14:textId="77777777">
        <w:trPr>
          <w:cantSplit/>
        </w:trPr>
        <w:tc>
          <w:tcPr>
            <w:tcW w:w="484" w:type="dxa"/>
            <w:vMerge/>
            <w:tcBorders>
              <w:top w:val="nil"/>
              <w:left w:val="single" w:sz="6" w:space="0" w:color="000000"/>
              <w:bottom w:val="single" w:sz="6" w:space="0" w:color="000000"/>
              <w:right w:val="single" w:sz="6" w:space="0" w:color="000000"/>
            </w:tcBorders>
            <w:shd w:val="clear" w:color="auto" w:fill="auto"/>
          </w:tcPr>
          <w:p w14:paraId="2C839C87" w14:textId="77777777" w:rsidR="00E07645" w:rsidRDefault="00E07645" w:rsidP="003F40DD">
            <w:pPr>
              <w:pStyle w:val="TableText"/>
            </w:pPr>
          </w:p>
        </w:tc>
        <w:tc>
          <w:tcPr>
            <w:tcW w:w="5336" w:type="dxa"/>
            <w:tcBorders>
              <w:top w:val="single" w:sz="6" w:space="0" w:color="000000"/>
              <w:left w:val="single" w:sz="6" w:space="0" w:color="000000"/>
              <w:bottom w:val="single" w:sz="6" w:space="0" w:color="000000"/>
              <w:right w:val="single" w:sz="6" w:space="0" w:color="000000"/>
            </w:tcBorders>
            <w:shd w:val="clear" w:color="auto" w:fill="auto"/>
          </w:tcPr>
          <w:p w14:paraId="5018ACE0" w14:textId="77777777" w:rsidR="00E07645" w:rsidRDefault="00E07645" w:rsidP="003F40DD">
            <w:pPr>
              <w:pStyle w:val="TableText"/>
            </w:pPr>
            <w:r>
              <w:t>Symptoms</w:t>
            </w:r>
          </w:p>
        </w:tc>
        <w:tc>
          <w:tcPr>
            <w:tcW w:w="3056" w:type="dxa"/>
            <w:tcBorders>
              <w:top w:val="single" w:sz="6" w:space="0" w:color="000000"/>
              <w:left w:val="single" w:sz="6" w:space="0" w:color="000000"/>
              <w:bottom w:val="single" w:sz="6" w:space="0" w:color="000000"/>
              <w:right w:val="single" w:sz="6" w:space="0" w:color="000000"/>
            </w:tcBorders>
            <w:shd w:val="clear" w:color="auto" w:fill="auto"/>
          </w:tcPr>
          <w:p w14:paraId="5DACF24D" w14:textId="77777777" w:rsidR="00E07645" w:rsidRDefault="00E07645" w:rsidP="003F40DD">
            <w:pPr>
              <w:pStyle w:val="TableText"/>
            </w:pPr>
            <w:r>
              <w:t>No symptoms identified.</w:t>
            </w:r>
          </w:p>
        </w:tc>
        <w:tc>
          <w:tcPr>
            <w:tcW w:w="484" w:type="dxa"/>
            <w:vMerge/>
            <w:tcBorders>
              <w:top w:val="nil"/>
              <w:left w:val="single" w:sz="6" w:space="0" w:color="000000"/>
              <w:bottom w:val="single" w:sz="6" w:space="0" w:color="000000"/>
              <w:right w:val="single" w:sz="6" w:space="0" w:color="000000"/>
            </w:tcBorders>
            <w:shd w:val="clear" w:color="auto" w:fill="auto"/>
          </w:tcPr>
          <w:p w14:paraId="4ED86783" w14:textId="77777777" w:rsidR="00E07645" w:rsidRDefault="00E07645" w:rsidP="003F40DD">
            <w:pPr>
              <w:pStyle w:val="TableText"/>
            </w:pPr>
          </w:p>
        </w:tc>
      </w:tr>
      <w:tr w:rsidR="00E07645" w:rsidRPr="00725902" w14:paraId="3409168A" w14:textId="77777777">
        <w:trPr>
          <w:cantSplit/>
        </w:trPr>
        <w:tc>
          <w:tcPr>
            <w:tcW w:w="484" w:type="dxa"/>
            <w:vMerge/>
            <w:tcBorders>
              <w:top w:val="nil"/>
              <w:left w:val="single" w:sz="6" w:space="0" w:color="000000"/>
              <w:bottom w:val="single" w:sz="6" w:space="0" w:color="000000"/>
              <w:right w:val="single" w:sz="6" w:space="0" w:color="000000"/>
            </w:tcBorders>
            <w:shd w:val="clear" w:color="auto" w:fill="auto"/>
          </w:tcPr>
          <w:p w14:paraId="4DA415AF" w14:textId="77777777" w:rsidR="00E07645" w:rsidRDefault="00E07645" w:rsidP="003F40DD">
            <w:pPr>
              <w:pStyle w:val="TableText"/>
            </w:pPr>
          </w:p>
        </w:tc>
        <w:tc>
          <w:tcPr>
            <w:tcW w:w="5336" w:type="dxa"/>
            <w:tcBorders>
              <w:top w:val="single" w:sz="6" w:space="0" w:color="000000"/>
              <w:left w:val="single" w:sz="6" w:space="0" w:color="000000"/>
              <w:bottom w:val="single" w:sz="6" w:space="0" w:color="000000"/>
              <w:right w:val="single" w:sz="6" w:space="0" w:color="000000"/>
            </w:tcBorders>
            <w:shd w:val="clear" w:color="auto" w:fill="auto"/>
          </w:tcPr>
          <w:p w14:paraId="2AE0B637" w14:textId="77777777" w:rsidR="00E07645" w:rsidRDefault="00E07645" w:rsidP="003F40DD">
            <w:pPr>
              <w:pStyle w:val="TableText"/>
            </w:pPr>
            <w:r>
              <w:t>Implicated units</w:t>
            </w:r>
          </w:p>
        </w:tc>
        <w:tc>
          <w:tcPr>
            <w:tcW w:w="3056" w:type="dxa"/>
            <w:tcBorders>
              <w:top w:val="single" w:sz="6" w:space="0" w:color="000000"/>
              <w:left w:val="single" w:sz="6" w:space="0" w:color="000000"/>
              <w:bottom w:val="single" w:sz="6" w:space="0" w:color="000000"/>
              <w:right w:val="single" w:sz="6" w:space="0" w:color="000000"/>
            </w:tcBorders>
            <w:shd w:val="clear" w:color="auto" w:fill="auto"/>
          </w:tcPr>
          <w:p w14:paraId="09BB1514" w14:textId="77777777" w:rsidR="00E07645" w:rsidRDefault="00E07645" w:rsidP="003F40DD">
            <w:pPr>
              <w:pStyle w:val="TableText"/>
            </w:pPr>
            <w:r>
              <w:t>No units implicated in reaction.</w:t>
            </w:r>
          </w:p>
        </w:tc>
        <w:tc>
          <w:tcPr>
            <w:tcW w:w="484" w:type="dxa"/>
            <w:vMerge/>
            <w:tcBorders>
              <w:top w:val="nil"/>
              <w:left w:val="single" w:sz="6" w:space="0" w:color="000000"/>
              <w:bottom w:val="single" w:sz="6" w:space="0" w:color="000000"/>
              <w:right w:val="single" w:sz="6" w:space="0" w:color="000000"/>
            </w:tcBorders>
            <w:shd w:val="clear" w:color="auto" w:fill="auto"/>
          </w:tcPr>
          <w:p w14:paraId="69246379" w14:textId="77777777" w:rsidR="00E07645" w:rsidRDefault="00E07645" w:rsidP="003F40DD">
            <w:pPr>
              <w:pStyle w:val="TableText"/>
            </w:pPr>
          </w:p>
        </w:tc>
      </w:tr>
      <w:tr w:rsidR="00E07645" w:rsidRPr="00725902" w14:paraId="5525363C" w14:textId="77777777">
        <w:trPr>
          <w:cantSplit/>
        </w:trPr>
        <w:tc>
          <w:tcPr>
            <w:tcW w:w="484" w:type="dxa"/>
            <w:vMerge/>
            <w:tcBorders>
              <w:top w:val="nil"/>
              <w:left w:val="single" w:sz="6" w:space="0" w:color="000000"/>
              <w:bottom w:val="single" w:sz="6" w:space="0" w:color="000000"/>
              <w:right w:val="single" w:sz="6" w:space="0" w:color="000000"/>
            </w:tcBorders>
            <w:shd w:val="clear" w:color="auto" w:fill="auto"/>
          </w:tcPr>
          <w:p w14:paraId="5BB27017" w14:textId="77777777" w:rsidR="00E07645" w:rsidRDefault="00E07645" w:rsidP="003F40DD">
            <w:pPr>
              <w:pStyle w:val="TableText"/>
            </w:pPr>
          </w:p>
        </w:tc>
        <w:tc>
          <w:tcPr>
            <w:tcW w:w="5336" w:type="dxa"/>
            <w:tcBorders>
              <w:top w:val="single" w:sz="6" w:space="0" w:color="000000"/>
              <w:left w:val="single" w:sz="6" w:space="0" w:color="000000"/>
              <w:bottom w:val="single" w:sz="6" w:space="0" w:color="000000"/>
              <w:right w:val="single" w:sz="6" w:space="0" w:color="000000"/>
            </w:tcBorders>
            <w:shd w:val="clear" w:color="auto" w:fill="auto"/>
          </w:tcPr>
          <w:p w14:paraId="678318E4" w14:textId="77777777" w:rsidR="00E07645" w:rsidRDefault="00E07645" w:rsidP="003F40DD">
            <w:pPr>
              <w:pStyle w:val="TableText"/>
            </w:pPr>
            <w:r>
              <w:t>Serologic tests</w:t>
            </w:r>
          </w:p>
        </w:tc>
        <w:tc>
          <w:tcPr>
            <w:tcW w:w="3056" w:type="dxa"/>
            <w:tcBorders>
              <w:top w:val="single" w:sz="6" w:space="0" w:color="000000"/>
              <w:left w:val="single" w:sz="6" w:space="0" w:color="000000"/>
              <w:bottom w:val="single" w:sz="6" w:space="0" w:color="000000"/>
              <w:right w:val="single" w:sz="6" w:space="0" w:color="000000"/>
            </w:tcBorders>
            <w:shd w:val="clear" w:color="auto" w:fill="auto"/>
          </w:tcPr>
          <w:p w14:paraId="2B5ECA4E" w14:textId="77777777" w:rsidR="00E07645" w:rsidRDefault="00E07645" w:rsidP="003F40DD">
            <w:pPr>
              <w:pStyle w:val="TableText"/>
            </w:pPr>
            <w:r>
              <w:t>No serologic tests performed.</w:t>
            </w:r>
          </w:p>
        </w:tc>
        <w:tc>
          <w:tcPr>
            <w:tcW w:w="484" w:type="dxa"/>
            <w:vMerge/>
            <w:tcBorders>
              <w:top w:val="nil"/>
              <w:left w:val="single" w:sz="6" w:space="0" w:color="000000"/>
              <w:bottom w:val="single" w:sz="6" w:space="0" w:color="000000"/>
              <w:right w:val="single" w:sz="6" w:space="0" w:color="000000"/>
            </w:tcBorders>
            <w:shd w:val="clear" w:color="auto" w:fill="auto"/>
          </w:tcPr>
          <w:p w14:paraId="6E83E641" w14:textId="77777777" w:rsidR="00E07645" w:rsidRDefault="00E07645" w:rsidP="003F40DD">
            <w:pPr>
              <w:pStyle w:val="TableText"/>
            </w:pPr>
          </w:p>
        </w:tc>
      </w:tr>
    </w:tbl>
    <w:p w14:paraId="3146E81A" w14:textId="77777777" w:rsidR="009D715F" w:rsidRDefault="009D715F" w:rsidP="009D715F">
      <w:pPr>
        <w:pStyle w:val="TableText"/>
      </w:pPr>
    </w:p>
    <w:tbl>
      <w:tblPr>
        <w:tblW w:w="936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B3B3B3"/>
        <w:tblLayout w:type="fixed"/>
        <w:tblCellMar>
          <w:top w:w="60" w:type="dxa"/>
          <w:left w:w="60" w:type="dxa"/>
          <w:bottom w:w="60" w:type="dxa"/>
          <w:right w:w="60" w:type="dxa"/>
        </w:tblCellMar>
        <w:tblLook w:val="0000" w:firstRow="0" w:lastRow="0" w:firstColumn="0" w:lastColumn="0" w:noHBand="0" w:noVBand="0"/>
      </w:tblPr>
      <w:tblGrid>
        <w:gridCol w:w="9360"/>
      </w:tblGrid>
      <w:tr w:rsidR="009D715F" w:rsidRPr="005E4113" w14:paraId="0A597CC9" w14:textId="77777777" w:rsidTr="00615FC3">
        <w:trPr>
          <w:cantSplit/>
          <w:tblHeader/>
        </w:trPr>
        <w:tc>
          <w:tcPr>
            <w:tcW w:w="9360" w:type="dxa"/>
            <w:shd w:val="clear" w:color="auto" w:fill="BFBFBF" w:themeFill="background1" w:themeFillShade="BF"/>
            <w:vAlign w:val="bottom"/>
          </w:tcPr>
          <w:p w14:paraId="0842EBB7" w14:textId="77777777" w:rsidR="009D715F" w:rsidRPr="005E4113" w:rsidRDefault="009D715F" w:rsidP="00615FC3">
            <w:pPr>
              <w:pStyle w:val="TableText"/>
              <w:rPr>
                <w:b/>
              </w:rPr>
            </w:pPr>
            <w:r>
              <w:br w:type="page"/>
            </w:r>
            <w:r w:rsidRPr="005E4113">
              <w:rPr>
                <w:b/>
              </w:rPr>
              <w:t>Patient Merge</w:t>
            </w:r>
          </w:p>
        </w:tc>
      </w:tr>
      <w:tr w:rsidR="009D715F" w:rsidRPr="00725902" w14:paraId="0CA51D69" w14:textId="77777777" w:rsidTr="00615FC3">
        <w:tblPrEx>
          <w:tblBorders>
            <w:insideH w:val="none" w:sz="0" w:space="0" w:color="auto"/>
            <w:insideV w:val="none" w:sz="0" w:space="0" w:color="auto"/>
          </w:tblBorders>
          <w:shd w:val="clear" w:color="auto" w:fill="auto"/>
        </w:tblPrEx>
        <w:trPr>
          <w:cantSplit/>
          <w:hidden/>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2614F26E" w14:textId="77777777" w:rsidR="009D715F" w:rsidRPr="00D139EE" w:rsidRDefault="009D715F" w:rsidP="00615FC3">
            <w:pPr>
              <w:pStyle w:val="TableText"/>
            </w:pPr>
            <w:r w:rsidRPr="00D62E7A">
              <w:rPr>
                <w:vanish/>
              </w:rPr>
              <w:t>DR 2,527</w:t>
            </w:r>
            <w:r>
              <w:rPr>
                <w:vanish/>
              </w:rPr>
              <w:t xml:space="preserve"> </w:t>
            </w:r>
            <w:r>
              <w:t>The Traditional Supervisor or above must update patient records manually.</w:t>
            </w:r>
          </w:p>
        </w:tc>
      </w:tr>
      <w:tr w:rsidR="009D715F" w:rsidRPr="00725902" w14:paraId="26612205" w14:textId="77777777" w:rsidTr="00615FC3">
        <w:tblPrEx>
          <w:tblBorders>
            <w:insideH w:val="none" w:sz="0" w:space="0" w:color="auto"/>
            <w:insideV w:val="none" w:sz="0" w:space="0" w:color="auto"/>
          </w:tblBorders>
          <w:shd w:val="clear" w:color="auto" w:fill="auto"/>
        </w:tblPrEx>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35660882" w14:textId="47705894" w:rsidR="009D715F" w:rsidRPr="00D139EE" w:rsidRDefault="009D715F" w:rsidP="00615FC3">
            <w:pPr>
              <w:pStyle w:val="TableText"/>
            </w:pPr>
            <w:r>
              <w:t xml:space="preserve">VBECS does not notify users of additional VistA patient updates or merges while the icon is displayed. When a user views an update and there is an unprocessed patient merge, the Patient Alert icon remains on the screen until the Traditional Supervisor completes the update and clears the icon. </w:t>
            </w:r>
            <w:r w:rsidR="00676CAC" w:rsidRPr="00FF7FFA">
              <w:rPr>
                <w:vanish/>
              </w:rPr>
              <w:t>Defect 209990</w:t>
            </w:r>
          </w:p>
        </w:tc>
      </w:tr>
      <w:tr w:rsidR="009D715F" w:rsidRPr="00725902" w14:paraId="25A6B9B2" w14:textId="77777777" w:rsidTr="00615FC3">
        <w:tblPrEx>
          <w:tblBorders>
            <w:insideH w:val="none" w:sz="0" w:space="0" w:color="auto"/>
            <w:insideV w:val="none" w:sz="0" w:space="0" w:color="auto"/>
          </w:tblBorders>
          <w:shd w:val="clear" w:color="auto" w:fill="auto"/>
        </w:tblPrEx>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7762D588" w14:textId="3C030E4B" w:rsidR="009D715F" w:rsidRDefault="009D715F" w:rsidP="00615FC3">
            <w:pPr>
              <w:pStyle w:val="TableText"/>
            </w:pPr>
            <w:r>
              <w:t>Patient merges involving</w:t>
            </w:r>
            <w:r w:rsidRPr="00DD022C">
              <w:t xml:space="preserve"> patients with names that exceed the database standard for File #2 (30 characters) or do not have a first or last name in VistA are rejected and do not appear in VBECS. The VBECS System Administrator is notified of each rejection via an email to the address entered in VBECS Administrator “</w:t>
            </w:r>
            <w:r>
              <w:t>Email Alerts</w:t>
            </w:r>
            <w:r w:rsidRPr="00DD022C">
              <w:t>” field.</w:t>
            </w:r>
          </w:p>
        </w:tc>
      </w:tr>
    </w:tbl>
    <w:p w14:paraId="0F9E87EC" w14:textId="77777777" w:rsidR="00E07645" w:rsidRDefault="00E07645" w:rsidP="00726BF3">
      <w:pPr>
        <w:pStyle w:val="TableText"/>
      </w:pPr>
    </w:p>
    <w:tbl>
      <w:tblPr>
        <w:tblW w:w="936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B3B3B3"/>
        <w:tblLayout w:type="fixed"/>
        <w:tblCellMar>
          <w:top w:w="60" w:type="dxa"/>
          <w:left w:w="60" w:type="dxa"/>
          <w:bottom w:w="60" w:type="dxa"/>
          <w:right w:w="60" w:type="dxa"/>
        </w:tblCellMar>
        <w:tblLook w:val="0000" w:firstRow="0" w:lastRow="0" w:firstColumn="0" w:lastColumn="0" w:noHBand="0" w:noVBand="0"/>
      </w:tblPr>
      <w:tblGrid>
        <w:gridCol w:w="9360"/>
      </w:tblGrid>
      <w:tr w:rsidR="0071699C" w:rsidRPr="005E4113" w14:paraId="24D22E2E" w14:textId="77777777" w:rsidTr="00CE4C78">
        <w:trPr>
          <w:cantSplit/>
          <w:tblHeader/>
        </w:trPr>
        <w:tc>
          <w:tcPr>
            <w:tcW w:w="9360" w:type="dxa"/>
            <w:shd w:val="clear" w:color="auto" w:fill="BFBFBF" w:themeFill="background1" w:themeFillShade="BF"/>
            <w:vAlign w:val="bottom"/>
          </w:tcPr>
          <w:p w14:paraId="4FD12055" w14:textId="77777777" w:rsidR="0071699C" w:rsidRPr="005E4113" w:rsidRDefault="0071699C" w:rsidP="00E971D0">
            <w:pPr>
              <w:pStyle w:val="TableText"/>
              <w:rPr>
                <w:b/>
              </w:rPr>
            </w:pPr>
            <w:r>
              <w:rPr>
                <w:b/>
              </w:rPr>
              <w:t>Patient Search Screen</w:t>
            </w:r>
          </w:p>
        </w:tc>
      </w:tr>
      <w:tr w:rsidR="0071699C" w:rsidRPr="00725902" w14:paraId="413433CF" w14:textId="77777777" w:rsidTr="00CE4C78">
        <w:tblPrEx>
          <w:tblBorders>
            <w:insideH w:val="none" w:sz="0" w:space="0" w:color="auto"/>
            <w:insideV w:val="none" w:sz="0" w:space="0" w:color="auto"/>
          </w:tblBorders>
          <w:shd w:val="clear" w:color="auto" w:fill="auto"/>
        </w:tblPrEx>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2E425143" w14:textId="77777777" w:rsidR="0071699C" w:rsidRPr="0071699C" w:rsidRDefault="0071699C" w:rsidP="0071699C">
            <w:pPr>
              <w:pStyle w:val="PlainText"/>
              <w:rPr>
                <w:rFonts w:ascii="Arial" w:eastAsia="Times New Roman" w:hAnsi="Arial"/>
                <w:sz w:val="18"/>
                <w:szCs w:val="24"/>
              </w:rPr>
            </w:pPr>
            <w:r w:rsidRPr="0071699C">
              <w:rPr>
                <w:rFonts w:ascii="Arial" w:eastAsia="Times New Roman" w:hAnsi="Arial"/>
                <w:sz w:val="18"/>
                <w:szCs w:val="24"/>
              </w:rPr>
              <w:t xml:space="preserve">VBECS updates information from VistA File #2, not VistA File #20. Name changes made in VistA File #20 will not appear in VBECS. Align File #2 with those changes to update VBECS. </w:t>
            </w:r>
            <w:r w:rsidRPr="0071699C">
              <w:rPr>
                <w:rFonts w:ascii="Arial" w:eastAsia="Times New Roman" w:hAnsi="Arial"/>
                <w:vanish/>
                <w:sz w:val="18"/>
                <w:szCs w:val="24"/>
              </w:rPr>
              <w:t>Task 585891</w:t>
            </w:r>
          </w:p>
        </w:tc>
      </w:tr>
      <w:tr w:rsidR="00696708" w:rsidRPr="00725902" w14:paraId="57EA97AB" w14:textId="77777777" w:rsidTr="00CE4C78">
        <w:tblPrEx>
          <w:tblBorders>
            <w:insideH w:val="none" w:sz="0" w:space="0" w:color="auto"/>
            <w:insideV w:val="none" w:sz="0" w:space="0" w:color="auto"/>
          </w:tblBorders>
          <w:shd w:val="clear" w:color="auto" w:fill="auto"/>
        </w:tblPrEx>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18D253EE" w14:textId="4C9FA4FF" w:rsidR="00696708" w:rsidRPr="00696708" w:rsidRDefault="00696708" w:rsidP="00696708">
            <w:pPr>
              <w:pStyle w:val="ListBullet"/>
              <w:numPr>
                <w:ilvl w:val="0"/>
                <w:numId w:val="0"/>
              </w:numPr>
            </w:pPr>
            <w:r w:rsidRPr="00696708">
              <w:rPr>
                <w:rFonts w:ascii="Arial" w:hAnsi="Arial"/>
                <w:spacing w:val="0"/>
                <w:sz w:val="18"/>
                <w:szCs w:val="24"/>
              </w:rPr>
              <w:t xml:space="preserve">Searching for non-alphanumeric characters (e.g., hyphens, etc.) </w:t>
            </w:r>
            <w:r w:rsidR="00511276">
              <w:rPr>
                <w:rFonts w:ascii="Arial" w:hAnsi="Arial"/>
                <w:spacing w:val="0"/>
                <w:sz w:val="18"/>
                <w:szCs w:val="24"/>
              </w:rPr>
              <w:t>is not supported</w:t>
            </w:r>
            <w:r w:rsidRPr="00696708">
              <w:rPr>
                <w:rFonts w:ascii="Arial" w:hAnsi="Arial"/>
                <w:spacing w:val="0"/>
                <w:sz w:val="18"/>
                <w:szCs w:val="24"/>
              </w:rPr>
              <w:t>.</w:t>
            </w:r>
            <w:r w:rsidR="00CE1233">
              <w:rPr>
                <w:rFonts w:ascii="Arial" w:hAnsi="Arial"/>
                <w:spacing w:val="0"/>
                <w:sz w:val="18"/>
                <w:szCs w:val="24"/>
              </w:rPr>
              <w:t xml:space="preserve"> </w:t>
            </w:r>
            <w:r w:rsidR="00CE1233" w:rsidRPr="009312D9">
              <w:rPr>
                <w:rFonts w:ascii="Arial" w:hAnsi="Arial"/>
                <w:vanish/>
                <w:spacing w:val="0"/>
                <w:sz w:val="18"/>
                <w:szCs w:val="24"/>
              </w:rPr>
              <w:t>Defect 209859</w:t>
            </w:r>
          </w:p>
        </w:tc>
      </w:tr>
      <w:tr w:rsidR="00F83DEE" w:rsidRPr="00725902" w14:paraId="2C73D3B7" w14:textId="77777777" w:rsidTr="00CE4C78">
        <w:tblPrEx>
          <w:tblBorders>
            <w:insideH w:val="none" w:sz="0" w:space="0" w:color="auto"/>
            <w:insideV w:val="none" w:sz="0" w:space="0" w:color="auto"/>
          </w:tblBorders>
          <w:shd w:val="clear" w:color="auto" w:fill="auto"/>
        </w:tblPrEx>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2F06A1A4" w14:textId="32D2AB78" w:rsidR="00F83DEE" w:rsidRPr="00A73BE2" w:rsidRDefault="00F83DEE" w:rsidP="00696708">
            <w:pPr>
              <w:pStyle w:val="ListBullet"/>
              <w:numPr>
                <w:ilvl w:val="0"/>
                <w:numId w:val="0"/>
              </w:numPr>
              <w:rPr>
                <w:rFonts w:ascii="Arial" w:hAnsi="Arial"/>
                <w:vanish/>
                <w:spacing w:val="0"/>
                <w:sz w:val="18"/>
                <w:szCs w:val="24"/>
              </w:rPr>
            </w:pPr>
            <w:r>
              <w:rPr>
                <w:rFonts w:ascii="Arial" w:hAnsi="Arial"/>
                <w:spacing w:val="0"/>
                <w:sz w:val="18"/>
                <w:szCs w:val="24"/>
              </w:rPr>
              <w:t>Data retrieval from VBECS is only available with project approval.</w:t>
            </w:r>
            <w:r>
              <w:rPr>
                <w:rFonts w:ascii="Arial" w:hAnsi="Arial"/>
                <w:vanish/>
                <w:spacing w:val="0"/>
                <w:sz w:val="18"/>
                <w:szCs w:val="24"/>
              </w:rPr>
              <w:t xml:space="preserve"> Task 190402</w:t>
            </w:r>
          </w:p>
        </w:tc>
      </w:tr>
    </w:tbl>
    <w:p w14:paraId="0285A9D3" w14:textId="77777777" w:rsidR="00726BF3" w:rsidRDefault="00726BF3" w:rsidP="00726BF3">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5808B9" w14:paraId="4ED7759C"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5CD0BC5F" w14:textId="77777777" w:rsidR="003F0440" w:rsidRPr="005808B9" w:rsidRDefault="003F0440" w:rsidP="002D126B">
            <w:pPr>
              <w:pStyle w:val="TableText"/>
              <w:rPr>
                <w:b/>
              </w:rPr>
            </w:pPr>
            <w:r w:rsidRPr="005808B9">
              <w:rPr>
                <w:b/>
              </w:rPr>
              <w:t>Patient Testing: Cancel an Active Order</w:t>
            </w:r>
          </w:p>
        </w:tc>
      </w:tr>
      <w:tr w:rsidR="003F0440" w:rsidRPr="001C59D2" w14:paraId="1BD5FDBD" w14:textId="77777777">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3AC7BE22" w14:textId="77777777" w:rsidR="003F0440" w:rsidRPr="005808B9" w:rsidRDefault="003F0440" w:rsidP="002D126B">
            <w:pPr>
              <w:pStyle w:val="TableText"/>
            </w:pPr>
            <w:r>
              <w:t>Cancellation of one order does not affect other orders placed with it.</w:t>
            </w:r>
          </w:p>
        </w:tc>
      </w:tr>
      <w:tr w:rsidR="003F0440" w:rsidRPr="001C59D2" w14:paraId="2AFA3442" w14:textId="77777777">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7B73F7E6" w14:textId="77777777" w:rsidR="003F0440" w:rsidRPr="001C59D2" w:rsidRDefault="003F0440" w:rsidP="002D126B">
            <w:pPr>
              <w:pStyle w:val="TableText"/>
              <w:rPr>
                <w:b/>
              </w:rPr>
            </w:pPr>
            <w:r>
              <w:t>Before a user may cancel a partially completed task, he must invalidate the results for that task, thereby changing its status to “not started.”</w:t>
            </w:r>
          </w:p>
        </w:tc>
      </w:tr>
      <w:tr w:rsidR="005E3019" w:rsidRPr="001C59D2" w14:paraId="292D6CBA" w14:textId="77777777">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4B5F7C39" w14:textId="557C906E" w:rsidR="005E3019" w:rsidRDefault="005E3019" w:rsidP="00F83DEE">
            <w:pPr>
              <w:pStyle w:val="TableText"/>
            </w:pPr>
            <w:r w:rsidRPr="00E5135A">
              <w:t>If VistALink is not running when an order is cancelled, CPRS will not be updated about the order status.</w:t>
            </w:r>
          </w:p>
        </w:tc>
      </w:tr>
    </w:tbl>
    <w:p w14:paraId="5BB38BA3" w14:textId="77777777" w:rsidR="003E754E" w:rsidRDefault="003E754E" w:rsidP="00726BF3">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033B76" w14:paraId="42DA7756"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1200C6E2" w14:textId="77777777" w:rsidR="003F0440" w:rsidRPr="00033B76" w:rsidRDefault="003E754E" w:rsidP="002D126B">
            <w:pPr>
              <w:pStyle w:val="TableText"/>
              <w:rPr>
                <w:b/>
              </w:rPr>
            </w:pPr>
            <w:r>
              <w:br w:type="page"/>
            </w:r>
            <w:r w:rsidR="003F0440" w:rsidRPr="00033B76">
              <w:rPr>
                <w:b/>
              </w:rPr>
              <w:t>Patient Testing: Enter Antibody Identification Results</w:t>
            </w:r>
          </w:p>
        </w:tc>
      </w:tr>
      <w:tr w:rsidR="003F0440" w:rsidRPr="001C59D2" w14:paraId="54BD7C1A" w14:textId="77777777">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5220F0AA" w14:textId="77777777" w:rsidR="003F0440" w:rsidRDefault="003F0440" w:rsidP="002D126B">
            <w:pPr>
              <w:pStyle w:val="TableText"/>
            </w:pPr>
            <w:r>
              <w:t>When an antigen negative requirement is not configured for an antibody, the user may enter the requirement for a patient through Special Instructions &amp; Transfusion Requirements: Enter a Transfusion Requirement.</w:t>
            </w:r>
          </w:p>
        </w:tc>
      </w:tr>
    </w:tbl>
    <w:p w14:paraId="044EE331" w14:textId="77777777" w:rsidR="00726BF3" w:rsidRDefault="00726BF3" w:rsidP="00726BF3">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986D0E" w14:paraId="65FC014F"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616E77EF" w14:textId="77777777" w:rsidR="003F0440" w:rsidRPr="00986D0E" w:rsidRDefault="003F0440" w:rsidP="002D126B">
            <w:pPr>
              <w:pStyle w:val="TableText"/>
              <w:rPr>
                <w:b/>
              </w:rPr>
            </w:pPr>
            <w:r w:rsidRPr="00986D0E">
              <w:rPr>
                <w:b/>
              </w:rPr>
              <w:t>Patient Testing: General Instructions</w:t>
            </w:r>
          </w:p>
        </w:tc>
      </w:tr>
      <w:tr w:rsidR="003F0440" w:rsidRPr="001C59D2" w14:paraId="007F0302" w14:textId="77777777">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0FCB2CB6" w14:textId="77777777" w:rsidR="003F0440" w:rsidRDefault="003F0440" w:rsidP="002D126B">
            <w:pPr>
              <w:pStyle w:val="TableText"/>
            </w:pPr>
            <w:r>
              <w:t>This test record is not editable after the user completes a test and saves it to the database. When a correction needs to be filed, a corrected report must be generated, as described in Invalidating Patient Test Results.</w:t>
            </w:r>
          </w:p>
        </w:tc>
      </w:tr>
      <w:tr w:rsidR="00B90645" w:rsidRPr="001C59D2" w14:paraId="4478A3A6" w14:textId="77777777">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23A322BE" w14:textId="2559D75F" w:rsidR="00B90645" w:rsidRDefault="00B90645" w:rsidP="00B90645">
            <w:pPr>
              <w:pStyle w:val="TableText"/>
            </w:pPr>
            <w:r>
              <w:t>User selection of partially completed testing grids with different phases of</w:t>
            </w:r>
            <w:r w:rsidR="00676CAC">
              <w:t xml:space="preserve"> testing</w:t>
            </w:r>
            <w:r>
              <w:t xml:space="preserve"> </w:t>
            </w:r>
            <w:r w:rsidR="009D715F">
              <w:t>(All Phases or AHG Only) as previously selected creates a testing discrepancy in VBECS</w:t>
            </w:r>
            <w:r>
              <w:t>.</w:t>
            </w:r>
          </w:p>
        </w:tc>
      </w:tr>
      <w:tr w:rsidR="006941AE" w:rsidRPr="001C59D2" w14:paraId="7FFACB06" w14:textId="77777777">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632AE75D" w14:textId="0937FE58" w:rsidR="006941AE" w:rsidRDefault="006941AE" w:rsidP="00B90645">
            <w:pPr>
              <w:pStyle w:val="TableText"/>
            </w:pPr>
            <w:r>
              <w:t>Limited batch testing to partially completed orders with the same testing grid selection, either All Phases or AHG Only.</w:t>
            </w:r>
            <w:r w:rsidR="002B25A3" w:rsidRPr="00B90645">
              <w:rPr>
                <w:vanish/>
              </w:rPr>
              <w:t xml:space="preserve"> DR 4218</w:t>
            </w:r>
          </w:p>
        </w:tc>
      </w:tr>
      <w:tr w:rsidR="006941AE" w:rsidRPr="001C59D2" w14:paraId="18A42BE2" w14:textId="77777777">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534BA921" w14:textId="6BF2D5B8" w:rsidR="006941AE" w:rsidRDefault="006941AE" w:rsidP="00B90645">
            <w:pPr>
              <w:pStyle w:val="TableText"/>
            </w:pPr>
            <w:r>
              <w:t>VBECS cannot compare test results for a patient when two users are entering test results for the same patient at the same time.</w:t>
            </w:r>
            <w:r w:rsidR="002B25A3" w:rsidRPr="000D669E">
              <w:rPr>
                <w:vanish/>
              </w:rPr>
              <w:t xml:space="preserve"> DR 4817</w:t>
            </w:r>
          </w:p>
        </w:tc>
      </w:tr>
      <w:tr w:rsidR="00A753B8" w:rsidRPr="001C59D2" w14:paraId="107CFCC9" w14:textId="77777777">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1653309F" w14:textId="1E037795" w:rsidR="00A753B8" w:rsidRDefault="00A753B8" w:rsidP="00B90645">
            <w:pPr>
              <w:pStyle w:val="TableText"/>
            </w:pPr>
            <w:r>
              <w:lastRenderedPageBreak/>
              <w:t>Cost entry is capped at 999.</w:t>
            </w:r>
            <w:r w:rsidR="00E62957">
              <w:t>00</w:t>
            </w:r>
            <w:r>
              <w:t xml:space="preserve">. </w:t>
            </w:r>
            <w:r w:rsidRPr="00A753B8">
              <w:rPr>
                <w:vanish/>
              </w:rPr>
              <w:t>Defect 942523</w:t>
            </w:r>
          </w:p>
        </w:tc>
      </w:tr>
    </w:tbl>
    <w:p w14:paraId="6D344F38" w14:textId="77777777" w:rsidR="00726BF3" w:rsidRDefault="00726BF3" w:rsidP="00726BF3">
      <w:pPr>
        <w:pStyle w:val="TableText"/>
      </w:pPr>
    </w:p>
    <w:tbl>
      <w:tblPr>
        <w:tblW w:w="936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B3B3B3"/>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5E4113" w14:paraId="6C97226E" w14:textId="77777777" w:rsidTr="00CE4C78">
        <w:trPr>
          <w:cantSplit/>
          <w:tblHeader/>
        </w:trPr>
        <w:tc>
          <w:tcPr>
            <w:tcW w:w="9360" w:type="dxa"/>
            <w:shd w:val="clear" w:color="auto" w:fill="BFBFBF" w:themeFill="background1" w:themeFillShade="BF"/>
            <w:vAlign w:val="bottom"/>
          </w:tcPr>
          <w:p w14:paraId="0AD01A8C" w14:textId="77777777" w:rsidR="003F0440" w:rsidRPr="005E4113" w:rsidRDefault="003F0440" w:rsidP="002D126B">
            <w:pPr>
              <w:pStyle w:val="TableText"/>
              <w:rPr>
                <w:b/>
              </w:rPr>
            </w:pPr>
            <w:r w:rsidRPr="005E4113">
              <w:rPr>
                <w:b/>
              </w:rPr>
              <w:t>Patient Testing: Pending Task List</w:t>
            </w:r>
          </w:p>
        </w:tc>
      </w:tr>
      <w:tr w:rsidR="003F0440" w:rsidRPr="00725902" w14:paraId="093A037D" w14:textId="77777777" w:rsidTr="00CE4C78">
        <w:tblPrEx>
          <w:tblBorders>
            <w:insideH w:val="none" w:sz="0" w:space="0" w:color="auto"/>
            <w:insideV w:val="none" w:sz="0" w:space="0" w:color="auto"/>
          </w:tblBorders>
          <w:shd w:val="clear" w:color="auto" w:fill="auto"/>
        </w:tblPrEx>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7D10D14A" w14:textId="77777777" w:rsidR="003F0440" w:rsidRPr="00725902" w:rsidRDefault="003F0440" w:rsidP="002D126B">
            <w:pPr>
              <w:pStyle w:val="TableText"/>
            </w:pPr>
            <w:r>
              <w:t>This option is for diagnostic, blood component, and reflex test orders placed in or directed to the user’s division.</w:t>
            </w:r>
          </w:p>
        </w:tc>
      </w:tr>
      <w:tr w:rsidR="003F0440" w:rsidRPr="00725902" w14:paraId="719F90E4" w14:textId="77777777" w:rsidTr="00CE4C78">
        <w:tblPrEx>
          <w:tblBorders>
            <w:insideH w:val="none" w:sz="0" w:space="0" w:color="auto"/>
            <w:insideV w:val="none" w:sz="0" w:space="0" w:color="auto"/>
          </w:tblBorders>
          <w:shd w:val="clear" w:color="auto" w:fill="auto"/>
        </w:tblPrEx>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11A492C7" w14:textId="77777777" w:rsidR="003F0440" w:rsidRPr="00725902" w:rsidRDefault="003F0440" w:rsidP="002D126B">
            <w:pPr>
              <w:pStyle w:val="TableText"/>
            </w:pPr>
            <w:r>
              <w:t>The PTL does not include daily quality control, equipment maintenance schedules, or pending ABO/Rh confirmation and auxiliary tests on red blood cell units.</w:t>
            </w:r>
          </w:p>
        </w:tc>
      </w:tr>
      <w:tr w:rsidR="00B16403" w:rsidRPr="00725902" w14:paraId="6C5C13FB" w14:textId="77777777" w:rsidTr="00CE4C78">
        <w:tblPrEx>
          <w:tblBorders>
            <w:insideH w:val="none" w:sz="0" w:space="0" w:color="auto"/>
            <w:insideV w:val="none" w:sz="0" w:space="0" w:color="auto"/>
          </w:tblBorders>
          <w:shd w:val="clear" w:color="auto" w:fill="auto"/>
        </w:tblPrEx>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1186684D" w14:textId="77777777" w:rsidR="00B16403" w:rsidRDefault="00B16403" w:rsidP="002D126B">
            <w:pPr>
              <w:pStyle w:val="TableText"/>
            </w:pPr>
            <w:r w:rsidRPr="00696FA6">
              <w:t xml:space="preserve">Users may perform testing for no more than four patients in one </w:t>
            </w:r>
            <w:r>
              <w:t>VBECS</w:t>
            </w:r>
            <w:r w:rsidRPr="00696FA6">
              <w:t xml:space="preserve"> session.</w:t>
            </w:r>
          </w:p>
        </w:tc>
      </w:tr>
    </w:tbl>
    <w:p w14:paraId="2377855D" w14:textId="77777777" w:rsidR="00726BF3" w:rsidRDefault="00726BF3" w:rsidP="00726BF3">
      <w:pPr>
        <w:pStyle w:val="TableText"/>
      </w:pPr>
    </w:p>
    <w:tbl>
      <w:tblPr>
        <w:tblW w:w="936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B3B3B3"/>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5D61D3" w14:paraId="39D8F62F" w14:textId="77777777" w:rsidTr="00CE4C78">
        <w:trPr>
          <w:cantSplit/>
          <w:tblHeader/>
        </w:trPr>
        <w:tc>
          <w:tcPr>
            <w:tcW w:w="9360" w:type="dxa"/>
            <w:shd w:val="clear" w:color="auto" w:fill="BFBFBF" w:themeFill="background1" w:themeFillShade="BF"/>
            <w:vAlign w:val="bottom"/>
          </w:tcPr>
          <w:p w14:paraId="3B43F9F5" w14:textId="77777777" w:rsidR="003F0440" w:rsidRPr="005D61D3" w:rsidRDefault="003F0440" w:rsidP="002D126B">
            <w:pPr>
              <w:pStyle w:val="TableText"/>
              <w:rPr>
                <w:b/>
              </w:rPr>
            </w:pPr>
            <w:r w:rsidRPr="005D61D3">
              <w:rPr>
                <w:b/>
              </w:rPr>
              <w:t>Patient Testing: Record a Crossmatch</w:t>
            </w:r>
          </w:p>
        </w:tc>
      </w:tr>
      <w:tr w:rsidR="003F0440" w:rsidRPr="00725902" w14:paraId="07362853" w14:textId="77777777" w:rsidTr="00CE4C78">
        <w:tblPrEx>
          <w:tblBorders>
            <w:insideH w:val="none" w:sz="0" w:space="0" w:color="auto"/>
            <w:insideV w:val="none" w:sz="0" w:space="0" w:color="auto"/>
          </w:tblBorders>
          <w:shd w:val="clear" w:color="auto" w:fill="auto"/>
        </w:tblPrEx>
        <w:trPr>
          <w:cantSplit/>
          <w:hidden/>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53693C2B" w14:textId="77777777" w:rsidR="003F0440" w:rsidRPr="00725902" w:rsidRDefault="003F0440" w:rsidP="002D126B">
            <w:pPr>
              <w:pStyle w:val="TableText"/>
            </w:pPr>
            <w:r>
              <w:rPr>
                <w:rFonts w:cs="Arial"/>
                <w:vanish/>
              </w:rPr>
              <w:t xml:space="preserve">BR_40.01 </w:t>
            </w:r>
            <w:r>
              <w:t>The specimen associated with testing must have an expiration date and time that are later than the testing date and time entered in Patient Testing: Record Patient Test Results. When this is not the case, VBECS warns that the patient specimen expired. There is no override.</w:t>
            </w:r>
          </w:p>
        </w:tc>
      </w:tr>
      <w:tr w:rsidR="003F0440" w:rsidRPr="00725902" w14:paraId="298C27EC" w14:textId="77777777" w:rsidTr="00CE4C78">
        <w:tblPrEx>
          <w:tblBorders>
            <w:insideH w:val="none" w:sz="0" w:space="0" w:color="auto"/>
            <w:insideV w:val="none" w:sz="0" w:space="0" w:color="auto"/>
          </w:tblBorders>
          <w:shd w:val="clear" w:color="auto" w:fill="auto"/>
        </w:tblPrEx>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43B59E71" w14:textId="77777777" w:rsidR="003F0440" w:rsidRPr="00725902" w:rsidRDefault="003F0440" w:rsidP="002D126B">
            <w:pPr>
              <w:pStyle w:val="TableText"/>
            </w:pPr>
            <w:r>
              <w:t>This option does not include electronic crossmatch (eXM).</w:t>
            </w:r>
          </w:p>
        </w:tc>
      </w:tr>
    </w:tbl>
    <w:p w14:paraId="00E45E88" w14:textId="77777777" w:rsidR="000604AA" w:rsidRDefault="000604AA" w:rsidP="00726BF3">
      <w:pPr>
        <w:pStyle w:val="TableText"/>
      </w:pPr>
    </w:p>
    <w:tbl>
      <w:tblPr>
        <w:tblW w:w="936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B3B3B3"/>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092276" w14:paraId="38B620FD" w14:textId="77777777" w:rsidTr="00CE4C78">
        <w:trPr>
          <w:cantSplit/>
          <w:tblHeader/>
        </w:trPr>
        <w:tc>
          <w:tcPr>
            <w:tcW w:w="9360" w:type="dxa"/>
            <w:shd w:val="clear" w:color="auto" w:fill="BFBFBF" w:themeFill="background1" w:themeFillShade="BF"/>
            <w:vAlign w:val="bottom"/>
          </w:tcPr>
          <w:p w14:paraId="4DBF2332" w14:textId="6A652A3E" w:rsidR="003F0440" w:rsidRPr="00092276" w:rsidRDefault="000604AA" w:rsidP="002D126B">
            <w:pPr>
              <w:pStyle w:val="TableText"/>
              <w:rPr>
                <w:b/>
              </w:rPr>
            </w:pPr>
            <w:r>
              <w:br w:type="page"/>
            </w:r>
            <w:r w:rsidR="003F0440" w:rsidRPr="00092276">
              <w:rPr>
                <w:b/>
              </w:rPr>
              <w:t>Patient Testing: Record a Direct Antiglobulin Test</w:t>
            </w:r>
          </w:p>
        </w:tc>
      </w:tr>
      <w:tr w:rsidR="003F0440" w:rsidRPr="00725902" w14:paraId="5E9C576B" w14:textId="77777777" w:rsidTr="00CE4C78">
        <w:tblPrEx>
          <w:tblBorders>
            <w:insideH w:val="none" w:sz="0" w:space="0" w:color="auto"/>
            <w:insideV w:val="none" w:sz="0" w:space="0" w:color="auto"/>
          </w:tblBorders>
          <w:shd w:val="clear" w:color="auto" w:fill="auto"/>
        </w:tblPrEx>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3E1C4BFF" w14:textId="77777777" w:rsidR="003F0440" w:rsidRPr="00725902" w:rsidRDefault="003F0440" w:rsidP="002D126B">
            <w:pPr>
              <w:pStyle w:val="TableText"/>
            </w:pPr>
            <w:r>
              <w:t>VBECS does not check whether the lot and vial numbers selected for the positive control cells are different from those of the negative control cells.</w:t>
            </w:r>
          </w:p>
        </w:tc>
      </w:tr>
    </w:tbl>
    <w:p w14:paraId="4751CB5C" w14:textId="77777777" w:rsidR="00C46DE2" w:rsidRDefault="00C46DE2" w:rsidP="00C46DE2">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C46DE2" w:rsidRPr="001E53C1" w14:paraId="3DCE6FD5" w14:textId="77777777" w:rsidTr="00615FC3">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27F359F2" w14:textId="77777777" w:rsidR="00C46DE2" w:rsidRPr="001E53C1" w:rsidRDefault="00C46DE2" w:rsidP="00615FC3">
            <w:pPr>
              <w:pStyle w:val="TableText"/>
              <w:rPr>
                <w:b/>
              </w:rPr>
            </w:pPr>
            <w:r>
              <w:rPr>
                <w:b/>
              </w:rPr>
              <w:t>Patient Testing: Record a Patient ABO/Rh</w:t>
            </w:r>
          </w:p>
        </w:tc>
      </w:tr>
      <w:tr w:rsidR="00C46DE2" w14:paraId="5DEA01AC" w14:textId="77777777" w:rsidTr="00615FC3">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33A50CD4" w14:textId="66472201" w:rsidR="00C46DE2" w:rsidRDefault="00C46DE2" w:rsidP="00615FC3">
            <w:pPr>
              <w:pStyle w:val="PlainText"/>
            </w:pPr>
            <w:r w:rsidRPr="00D53DC3">
              <w:rPr>
                <w:rFonts w:ascii="Arial" w:eastAsia="Times New Roman" w:hAnsi="Arial"/>
                <w:sz w:val="18"/>
                <w:szCs w:val="24"/>
              </w:rPr>
              <w:t xml:space="preserve">VBECS does not allow entry of ABO or Rh subgroups as a </w:t>
            </w:r>
            <w:r w:rsidR="002B25A3" w:rsidRPr="002B25A3">
              <w:rPr>
                <w:rFonts w:ascii="Arial" w:eastAsia="Times New Roman" w:hAnsi="Arial"/>
                <w:sz w:val="18"/>
                <w:szCs w:val="24"/>
              </w:rPr>
              <w:t xml:space="preserve">'group' and/or 'type' </w:t>
            </w:r>
            <w:r w:rsidRPr="00D53DC3">
              <w:rPr>
                <w:rFonts w:ascii="Arial" w:eastAsia="Times New Roman" w:hAnsi="Arial"/>
                <w:sz w:val="18"/>
                <w:szCs w:val="24"/>
              </w:rPr>
              <w:t>when the previous blood group/type is "NR", indicating no recor</w:t>
            </w:r>
            <w:r>
              <w:rPr>
                <w:rFonts w:ascii="Arial" w:eastAsia="Times New Roman" w:hAnsi="Arial"/>
                <w:sz w:val="18"/>
                <w:szCs w:val="24"/>
              </w:rPr>
              <w:t>d of previous testing. S</w:t>
            </w:r>
            <w:r w:rsidRPr="00D53DC3">
              <w:rPr>
                <w:rFonts w:ascii="Arial" w:eastAsia="Times New Roman" w:hAnsi="Arial"/>
                <w:sz w:val="18"/>
                <w:szCs w:val="24"/>
              </w:rPr>
              <w:t xml:space="preserve">ee </w:t>
            </w:r>
            <w:r w:rsidRPr="00077082">
              <w:rPr>
                <w:rFonts w:ascii="Arial" w:eastAsia="Times New Roman" w:hAnsi="Arial"/>
                <w:i/>
                <w:iCs/>
                <w:sz w:val="18"/>
                <w:szCs w:val="24"/>
              </w:rPr>
              <w:t>FAQ ABO Subgroup Interpretation</w:t>
            </w:r>
            <w:r w:rsidRPr="00D53DC3">
              <w:rPr>
                <w:rFonts w:ascii="Arial" w:eastAsia="Times New Roman" w:hAnsi="Arial"/>
                <w:sz w:val="18"/>
                <w:szCs w:val="24"/>
              </w:rPr>
              <w:t xml:space="preserve"> and conta</w:t>
            </w:r>
            <w:r>
              <w:rPr>
                <w:rFonts w:ascii="Arial" w:eastAsia="Times New Roman" w:hAnsi="Arial"/>
                <w:sz w:val="18"/>
                <w:szCs w:val="24"/>
              </w:rPr>
              <w:t xml:space="preserve">ct the </w:t>
            </w:r>
            <w:r w:rsidRPr="00D53DC3">
              <w:rPr>
                <w:rFonts w:ascii="Arial" w:eastAsia="Times New Roman" w:hAnsi="Arial"/>
                <w:sz w:val="18"/>
                <w:szCs w:val="24"/>
              </w:rPr>
              <w:t>Service Desk for assistance, prior to adding patient transfusion records in VBECS, when possible.</w:t>
            </w:r>
            <w:r>
              <w:rPr>
                <w:rFonts w:ascii="Arial" w:eastAsia="Times New Roman" w:hAnsi="Arial"/>
                <w:sz w:val="18"/>
                <w:szCs w:val="24"/>
              </w:rPr>
              <w:t xml:space="preserve"> </w:t>
            </w:r>
            <w:r w:rsidRPr="00D53DC3">
              <w:rPr>
                <w:rFonts w:ascii="Arial" w:eastAsia="Times New Roman" w:hAnsi="Arial"/>
                <w:vanish/>
                <w:sz w:val="18"/>
                <w:szCs w:val="24"/>
              </w:rPr>
              <w:t>Defect 368207</w:t>
            </w:r>
          </w:p>
        </w:tc>
      </w:tr>
      <w:tr w:rsidR="00C46DE2" w14:paraId="742AD5DF" w14:textId="77777777" w:rsidTr="00615FC3">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754F0975" w14:textId="77777777" w:rsidR="00C46DE2" w:rsidRPr="00FE415F" w:rsidRDefault="00C46DE2" w:rsidP="00615FC3">
            <w:pPr>
              <w:pStyle w:val="TableText"/>
              <w:rPr>
                <w:b/>
              </w:rPr>
            </w:pPr>
            <w:r w:rsidRPr="00FE415F">
              <w:t xml:space="preserve">When the patient has no previous ABO/Rh test record (NR), the ABO/Rh test associated with the Type and Screen test (TAS) must be completed and saved prior to entering and saving a repeat ABO/Rh test on this specimen. </w:t>
            </w:r>
            <w:r w:rsidRPr="00FE415F">
              <w:rPr>
                <w:vanish/>
              </w:rPr>
              <w:t>Defect 231531</w:t>
            </w:r>
            <w:r>
              <w:rPr>
                <w:vanish/>
              </w:rPr>
              <w:t>, Task 474043</w:t>
            </w:r>
          </w:p>
        </w:tc>
      </w:tr>
      <w:tr w:rsidR="00C46DE2" w14:paraId="1C54C726" w14:textId="77777777" w:rsidTr="00615FC3">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2A5BBC55" w14:textId="77777777" w:rsidR="00C46DE2" w:rsidRPr="00FE415F" w:rsidRDefault="00C46DE2" w:rsidP="00615FC3">
            <w:pPr>
              <w:pStyle w:val="TableText"/>
            </w:pPr>
            <w:r w:rsidRPr="00D25068">
              <w:t>A user is permitted to select two partially completed tests with different test phases (e.g., AHG only and All Phases) along with a not started test. The testing phase for the not started test will present as AHG only even though results for all phases are required by VBECS. Entering only AHG test results for the specimen that was not started and saving will result in a partially completed test that cannot be completed or invalidated.</w:t>
            </w:r>
            <w:r>
              <w:t xml:space="preserve"> Contact the Service Desk when you encounter this problem. Specimens that cannot be completed or invalidated require the attention of Tier 3 support. Select partially completed orders that have been previously saved with the same grid test pattern. Optionally, a not started test may be selected with these but must be tested with the same grid pattern to avoid the problem. </w:t>
            </w:r>
            <w:r w:rsidRPr="00027A1C">
              <w:rPr>
                <w:vanish/>
              </w:rPr>
              <w:t>Defect 210048</w:t>
            </w:r>
          </w:p>
        </w:tc>
      </w:tr>
      <w:tr w:rsidR="00C46DE2" w14:paraId="79EC2F93" w14:textId="77777777" w:rsidTr="00615FC3">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7B68AE1B" w14:textId="77777777" w:rsidR="00C46DE2" w:rsidRPr="00FE415F" w:rsidRDefault="00C46DE2" w:rsidP="00615FC3">
            <w:pPr>
              <w:pStyle w:val="TableText"/>
            </w:pPr>
            <w:r>
              <w:t xml:space="preserve">When canceling out of a Discrepant ABO/Rh Typing override, the interpretations are cleared, but the testing results are not cleared. Correct the testing entries or click the red ‘X’ to clear the testing results. </w:t>
            </w:r>
            <w:r w:rsidRPr="00027A1C">
              <w:rPr>
                <w:vanish/>
              </w:rPr>
              <w:t>Defect 2</w:t>
            </w:r>
            <w:r>
              <w:rPr>
                <w:vanish/>
              </w:rPr>
              <w:t>08974</w:t>
            </w:r>
          </w:p>
        </w:tc>
      </w:tr>
    </w:tbl>
    <w:p w14:paraId="2ED27F49" w14:textId="77777777" w:rsidR="00726BF3" w:rsidRDefault="00726BF3" w:rsidP="00726BF3">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2171BE" w14:paraId="2BE38C87"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38623DA4" w14:textId="77777777" w:rsidR="003F0440" w:rsidRPr="002171BE" w:rsidRDefault="003F0440" w:rsidP="002D126B">
            <w:pPr>
              <w:pStyle w:val="TableText"/>
              <w:rPr>
                <w:b/>
              </w:rPr>
            </w:pPr>
            <w:r w:rsidRPr="002171BE">
              <w:rPr>
                <w:b/>
              </w:rPr>
              <w:t>Patient Tes</w:t>
            </w:r>
            <w:r w:rsidR="006941AE">
              <w:rPr>
                <w:b/>
              </w:rPr>
              <w:t xml:space="preserve">ting: Record a Patient Antibody </w:t>
            </w:r>
            <w:r w:rsidRPr="002171BE">
              <w:rPr>
                <w:b/>
              </w:rPr>
              <w:t>Screen</w:t>
            </w:r>
          </w:p>
        </w:tc>
      </w:tr>
      <w:tr w:rsidR="003F0440" w:rsidRPr="00725902" w14:paraId="46190C51"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5392E99D" w14:textId="77777777" w:rsidR="003F0440" w:rsidRDefault="003F0440" w:rsidP="002D126B">
            <w:pPr>
              <w:pStyle w:val="TableText"/>
            </w:pPr>
            <w:r>
              <w:t xml:space="preserve">This </w:t>
            </w:r>
            <w:r>
              <w:rPr>
                <w:szCs w:val="20"/>
              </w:rPr>
              <w:t>option is for patient testing only</w:t>
            </w:r>
            <w:r w:rsidR="001E7158">
              <w:rPr>
                <w:szCs w:val="20"/>
              </w:rPr>
              <w:t>.</w:t>
            </w:r>
          </w:p>
        </w:tc>
      </w:tr>
    </w:tbl>
    <w:p w14:paraId="49FA68ED" w14:textId="77777777" w:rsidR="0045199A" w:rsidRDefault="0045199A" w:rsidP="00726BF3">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C03DD5" w14:paraId="34844A6A"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26981C59" w14:textId="77777777" w:rsidR="003F0440" w:rsidRPr="00B16403" w:rsidRDefault="003F0440" w:rsidP="002D126B">
            <w:pPr>
              <w:pStyle w:val="TableText"/>
              <w:rPr>
                <w:b/>
              </w:rPr>
            </w:pPr>
            <w:r w:rsidRPr="00B16403">
              <w:rPr>
                <w:b/>
              </w:rPr>
              <w:t>Patient Testing: Record a Patient Antigen Typing</w:t>
            </w:r>
          </w:p>
        </w:tc>
      </w:tr>
      <w:tr w:rsidR="003F0440" w:rsidRPr="00725902" w14:paraId="53715F55"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5227944E" w14:textId="4670E9DA" w:rsidR="003F0440" w:rsidRPr="0045199A" w:rsidRDefault="003F0440" w:rsidP="002D126B">
            <w:pPr>
              <w:pStyle w:val="TableText"/>
            </w:pPr>
            <w:r w:rsidRPr="0045199A">
              <w:t xml:space="preserve">Antigen typing applies only to red blood cell antigens. </w:t>
            </w:r>
            <w:r w:rsidR="002B25A3" w:rsidRPr="002B25A3">
              <w:t>(This option does not address platelet, HLA, or IgA antigens.)</w:t>
            </w:r>
          </w:p>
        </w:tc>
      </w:tr>
      <w:tr w:rsidR="003F0440" w:rsidRPr="00725902" w14:paraId="5849E3EF"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3F632867" w14:textId="77777777" w:rsidR="003F0440" w:rsidRPr="0045199A" w:rsidRDefault="003F0440" w:rsidP="002D126B">
            <w:pPr>
              <w:pStyle w:val="TableText"/>
            </w:pPr>
            <w:r w:rsidRPr="0045199A">
              <w:t>VBECS does not check:</w:t>
            </w:r>
          </w:p>
          <w:p w14:paraId="5A11E02B" w14:textId="77777777" w:rsidR="003F0440" w:rsidRPr="0045199A" w:rsidRDefault="00B84DA4" w:rsidP="002D126B">
            <w:pPr>
              <w:pStyle w:val="TableTextBullet"/>
            </w:pPr>
            <w:r w:rsidRPr="0045199A">
              <w:t>The patient antigen typing with the specificity of any patient’s antibodies entered</w:t>
            </w:r>
            <w:r w:rsidR="005C1078" w:rsidRPr="0045199A">
              <w:t>.</w:t>
            </w:r>
          </w:p>
          <w:p w14:paraId="7AD1A8E9" w14:textId="77777777" w:rsidR="003F0440" w:rsidRPr="0045199A" w:rsidRDefault="003F0440" w:rsidP="002D126B">
            <w:pPr>
              <w:pStyle w:val="TableTextBullet"/>
            </w:pPr>
            <w:r w:rsidRPr="0045199A">
              <w:t>Whether the lot and vial numbers selected for the positive control cells differ from those of the negative control cells</w:t>
            </w:r>
            <w:r w:rsidR="005C1078" w:rsidRPr="0045199A">
              <w:t>.</w:t>
            </w:r>
          </w:p>
        </w:tc>
      </w:tr>
      <w:tr w:rsidR="003F0440" w:rsidRPr="00725902" w14:paraId="74591E02"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25BA3A3E" w14:textId="77777777" w:rsidR="003F0440" w:rsidRPr="0045199A" w:rsidRDefault="003F0440" w:rsidP="002D126B">
            <w:pPr>
              <w:pStyle w:val="TableText"/>
            </w:pPr>
            <w:r w:rsidRPr="0045199A">
              <w:lastRenderedPageBreak/>
              <w:t>The patient antigen typing result is not available to CPRS.</w:t>
            </w:r>
          </w:p>
        </w:tc>
      </w:tr>
    </w:tbl>
    <w:p w14:paraId="19E1297E" w14:textId="77777777" w:rsidR="00ED3C7A" w:rsidRDefault="00ED3C7A" w:rsidP="00726BF3">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1C59D2" w14:paraId="492C0163"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6E017680" w14:textId="77777777" w:rsidR="003F0440" w:rsidRPr="001C59D2" w:rsidRDefault="003F0440" w:rsidP="002D126B">
            <w:pPr>
              <w:pStyle w:val="TableText"/>
              <w:rPr>
                <w:b/>
              </w:rPr>
            </w:pPr>
            <w:r w:rsidRPr="001C59D2">
              <w:rPr>
                <w:b/>
              </w:rPr>
              <w:t>Patient Testing: Record a Transfusion Reaction Workup</w:t>
            </w:r>
          </w:p>
        </w:tc>
      </w:tr>
      <w:tr w:rsidR="003F0440" w:rsidRPr="00725902" w14:paraId="418EF4B6"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383E1A97" w14:textId="77777777" w:rsidR="003F0440" w:rsidRPr="00725902" w:rsidRDefault="00814F27" w:rsidP="00814F27">
            <w:pPr>
              <w:pStyle w:val="TableText"/>
            </w:pPr>
            <w:r>
              <w:t xml:space="preserve">Adverse reactions to transfusion detected at a later time (disease transmission) are not recorded through this option. Refer </w:t>
            </w:r>
            <w:r w:rsidR="00357A19">
              <w:t>to Transfusion</w:t>
            </w:r>
            <w:r>
              <w:t xml:space="preserve"> Complications Report.</w:t>
            </w:r>
          </w:p>
        </w:tc>
      </w:tr>
      <w:tr w:rsidR="00F8403B" w:rsidRPr="00725902" w14:paraId="7E0810EE"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244ECC80" w14:textId="77777777" w:rsidR="00F8403B" w:rsidRDefault="00F8403B" w:rsidP="00814F27">
            <w:pPr>
              <w:pStyle w:val="TableText"/>
            </w:pPr>
            <w:r>
              <w:t>Each tab is completed and saved and is not editable. To change information on a previously completed tab, the TRW must be invalidated and corrected in its entirety.</w:t>
            </w:r>
          </w:p>
        </w:tc>
      </w:tr>
      <w:tr w:rsidR="005C2727" w:rsidRPr="00725902" w14:paraId="69934FAA"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4EF35F14" w14:textId="1FC54CE1" w:rsidR="005C2727" w:rsidRDefault="005C2727" w:rsidP="005C2727">
            <w:pPr>
              <w:pStyle w:val="TableText"/>
            </w:pPr>
            <w:r>
              <w:t xml:space="preserve">If comments are entered when a TRW is finalized as type "Other,” they won’t show on the CPRS Blood Bank Report. </w:t>
            </w:r>
            <w:r w:rsidRPr="00783514">
              <w:rPr>
                <w:vanish/>
              </w:rPr>
              <w:t>Defect 210332</w:t>
            </w:r>
          </w:p>
        </w:tc>
      </w:tr>
      <w:tr w:rsidR="00AE7805" w:rsidRPr="00725902" w14:paraId="41321189"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1EDA8BCE" w14:textId="7053FE2A" w:rsidR="00AE7805" w:rsidRDefault="00AE7805" w:rsidP="005C2727">
            <w:pPr>
              <w:pStyle w:val="TableText"/>
            </w:pPr>
            <w:r>
              <w:t xml:space="preserve">There is no scroll bar on the TRW Serologic Tests tab. This limits the number of visible implicated units to around ten (10) depending on the display resolution. When more than around ten (10) units are implicated in the transfusion reaction, order additional TRW test(s) as required. </w:t>
            </w:r>
            <w:r w:rsidRPr="00AE7805">
              <w:rPr>
                <w:vanish/>
              </w:rPr>
              <w:t>Defect 577597</w:t>
            </w:r>
          </w:p>
        </w:tc>
      </w:tr>
    </w:tbl>
    <w:p w14:paraId="167E70C7" w14:textId="77777777" w:rsidR="00726BF3" w:rsidRDefault="00726BF3" w:rsidP="00726BF3">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966663" w14:paraId="5A3CA4A7"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0BB92E94" w14:textId="77777777" w:rsidR="003F0440" w:rsidRPr="00966663" w:rsidRDefault="003F0440" w:rsidP="002D126B">
            <w:pPr>
              <w:pStyle w:val="TableText"/>
              <w:rPr>
                <w:b/>
              </w:rPr>
            </w:pPr>
            <w:r w:rsidRPr="00966663">
              <w:rPr>
                <w:b/>
              </w:rPr>
              <w:t>Patient Testing Worklist and Testing Worklist Reports</w:t>
            </w:r>
          </w:p>
        </w:tc>
      </w:tr>
      <w:tr w:rsidR="003F0440" w:rsidRPr="00725902" w14:paraId="138E1CFC"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6385800B" w14:textId="77777777" w:rsidR="003F0440" w:rsidRDefault="003F0440" w:rsidP="002D126B">
            <w:pPr>
              <w:pStyle w:val="TableText"/>
            </w:pPr>
            <w:r>
              <w:t>Reports do not include Transfusion Reaction Workup (TRW) test results.</w:t>
            </w:r>
          </w:p>
        </w:tc>
      </w:tr>
      <w:tr w:rsidR="003F0440" w:rsidRPr="00725902" w14:paraId="25DC515E"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4DFAB41B" w14:textId="77777777" w:rsidR="003F0440" w:rsidRDefault="00B97396" w:rsidP="002D126B">
            <w:pPr>
              <w:pStyle w:val="TableText"/>
            </w:pPr>
            <w:r>
              <w:t>VBECS does not accommodate online review (verification, signature) of reports.</w:t>
            </w:r>
          </w:p>
        </w:tc>
      </w:tr>
      <w:tr w:rsidR="000751A2" w:rsidRPr="00725902" w14:paraId="3AED081F"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7150918F" w14:textId="4A8BCF23" w:rsidR="000751A2" w:rsidRDefault="000751A2" w:rsidP="002D126B">
            <w:pPr>
              <w:pStyle w:val="TableText"/>
            </w:pPr>
            <w:r>
              <w:t>The Rack QC Testing Worklist Report section of the Testing Worklist Report does not contain a Processed By column. Maintain the original testing records for the QC that was performed offline with the testing tech information.  Do not change the testing tech name when entering results in VBECS so that the logged in tech that enters the results is included on the Testing Worklist report</w:t>
            </w:r>
            <w:r w:rsidR="00E47EDD">
              <w:t xml:space="preserve">. </w:t>
            </w:r>
            <w:r w:rsidR="00E47EDD" w:rsidRPr="00E47EDD">
              <w:rPr>
                <w:vanish/>
              </w:rPr>
              <w:t>Defect 214073</w:t>
            </w:r>
          </w:p>
        </w:tc>
      </w:tr>
    </w:tbl>
    <w:p w14:paraId="102A49A9" w14:textId="77777777" w:rsidR="00590248" w:rsidRDefault="00590248" w:rsidP="00726BF3">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6D40D4" w:rsidRPr="001C59D2" w14:paraId="7C8AA0B9"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415888F3" w14:textId="77777777" w:rsidR="006D40D4" w:rsidRPr="001C59D2" w:rsidRDefault="006D40D4" w:rsidP="009532BE">
            <w:pPr>
              <w:pStyle w:val="TableText"/>
              <w:rPr>
                <w:b/>
              </w:rPr>
            </w:pPr>
            <w:r>
              <w:rPr>
                <w:b/>
              </w:rPr>
              <w:t>Post-Transfusion Information</w:t>
            </w:r>
          </w:p>
        </w:tc>
      </w:tr>
      <w:tr w:rsidR="006D40D4" w:rsidRPr="00725902" w14:paraId="065AF734"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6D44E03A" w14:textId="77777777" w:rsidR="006D40D4" w:rsidRPr="00725902" w:rsidRDefault="006D40D4" w:rsidP="006D40D4">
            <w:pPr>
              <w:pStyle w:val="TableText"/>
            </w:pPr>
            <w:r>
              <w:t xml:space="preserve">VBECS cannot update a unit record to presumed transfused when a </w:t>
            </w:r>
            <w:r w:rsidRPr="004D0C24">
              <w:t xml:space="preserve">user has </w:t>
            </w:r>
            <w:r>
              <w:t xml:space="preserve">that </w:t>
            </w:r>
            <w:r w:rsidRPr="004D0C24">
              <w:t>unit record open (locked) in Enter Post Transfusion Information</w:t>
            </w:r>
            <w:r>
              <w:t xml:space="preserve">. VBECS will attempt to update the unit the next </w:t>
            </w:r>
            <w:r w:rsidRPr="004D0C24">
              <w:t xml:space="preserve">time the </w:t>
            </w:r>
            <w:r>
              <w:t xml:space="preserve">presumed transfused background routing </w:t>
            </w:r>
            <w:r w:rsidRPr="004D0C24">
              <w:t>runs if the unit remains in an issued status.</w:t>
            </w:r>
            <w:r>
              <w:t xml:space="preserve"> </w:t>
            </w:r>
            <w:r>
              <w:rPr>
                <w:vanish/>
              </w:rPr>
              <w:t>DR 3089</w:t>
            </w:r>
            <w:r w:rsidRPr="004D0C24" w:rsidDel="004D0C24">
              <w:t xml:space="preserve"> </w:t>
            </w:r>
          </w:p>
        </w:tc>
      </w:tr>
      <w:tr w:rsidR="00F20C8C" w:rsidRPr="00725902" w14:paraId="689AB8C1"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6ACA292E" w14:textId="3603DE42" w:rsidR="00F20C8C" w:rsidRDefault="00BC04D1" w:rsidP="006D40D4">
            <w:pPr>
              <w:pStyle w:val="TableText"/>
            </w:pPr>
            <w:r w:rsidRPr="00BC04D1">
              <w:t>If post-transfusion information is not transmitted to VBECS by the BCE COTS interface, the user will need to enter that information to update the record from presumed transfused to transfused</w:t>
            </w:r>
            <w:r w:rsidR="00F20C8C">
              <w:t>.</w:t>
            </w:r>
          </w:p>
        </w:tc>
      </w:tr>
      <w:tr w:rsidR="000E2D6A" w:rsidRPr="00725902" w14:paraId="510DDE61"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12AEA573" w14:textId="77777777" w:rsidR="000E2D6A" w:rsidRDefault="006822AA" w:rsidP="006822AA">
            <w:pPr>
              <w:pStyle w:val="TableText"/>
            </w:pPr>
            <w:r>
              <w:t>The transfusion comments and volume transfused entered in the Transfusion Verification application as an update to a completed transfusion are not sent to VBECS.</w:t>
            </w:r>
            <w:r w:rsidRPr="006822AA">
              <w:rPr>
                <w:vanish/>
              </w:rPr>
              <w:t xml:space="preserve"> DR 4173 </w:t>
            </w:r>
          </w:p>
        </w:tc>
      </w:tr>
      <w:tr w:rsidR="00D26DD7" w:rsidRPr="00725902" w14:paraId="08E845A5"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1C191285" w14:textId="103F6B41" w:rsidR="00D26DD7" w:rsidRDefault="00D26DD7" w:rsidP="00D26DD7">
            <w:pPr>
              <w:pStyle w:val="TableText"/>
            </w:pPr>
            <w:r>
              <w:t xml:space="preserve">Transfusion reaction symptoms are not </w:t>
            </w:r>
            <w:r w:rsidR="00BC04D1">
              <w:t>provided</w:t>
            </w:r>
            <w:r>
              <w:t xml:space="preserve"> to VBECS by the Transfusion Verification application unless a transfusion reaction has also been indicated for that event.</w:t>
            </w:r>
            <w:r w:rsidRPr="00D26DD7">
              <w:rPr>
                <w:vanish/>
              </w:rPr>
              <w:t xml:space="preserve"> DR 4217</w:t>
            </w:r>
          </w:p>
        </w:tc>
      </w:tr>
      <w:tr w:rsidR="00692F4A" w:rsidRPr="00725902" w14:paraId="16C9306F"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4B33A18B" w14:textId="03A3299D" w:rsidR="00692F4A" w:rsidRDefault="008507C1" w:rsidP="00D26DD7">
            <w:pPr>
              <w:pStyle w:val="TableText"/>
            </w:pPr>
            <w:r>
              <w:t>The system will not perform unit expiration time-limit checks when remote storage was indicated during issue.</w:t>
            </w:r>
          </w:p>
        </w:tc>
      </w:tr>
    </w:tbl>
    <w:p w14:paraId="1AB36EFE" w14:textId="760F28F8" w:rsidR="00726BF3" w:rsidRDefault="00726BF3" w:rsidP="00726BF3">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E605B1" w:rsidRPr="001C59D2" w14:paraId="1A6D2188" w14:textId="77777777" w:rsidTr="008E15BE">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65737C1C" w14:textId="77777777" w:rsidR="00E605B1" w:rsidRPr="001C59D2" w:rsidRDefault="00E605B1" w:rsidP="008E15BE">
            <w:pPr>
              <w:pStyle w:val="TableText"/>
              <w:rPr>
                <w:b/>
              </w:rPr>
            </w:pPr>
            <w:r>
              <w:br w:type="page"/>
            </w:r>
            <w:r w:rsidRPr="001C59D2">
              <w:rPr>
                <w:b/>
              </w:rPr>
              <w:t>Print Unit Caution Tag &amp; Transfusion Record Form</w:t>
            </w:r>
          </w:p>
        </w:tc>
      </w:tr>
      <w:tr w:rsidR="00E605B1" w:rsidRPr="00725902" w14:paraId="4E622658" w14:textId="77777777" w:rsidTr="008E15BE">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67AC0C56" w14:textId="77777777" w:rsidR="00E605B1" w:rsidRPr="00725902" w:rsidRDefault="00E605B1" w:rsidP="008E15BE">
            <w:pPr>
              <w:pStyle w:val="TableText"/>
            </w:pPr>
            <w:r>
              <w:t>VBECS cannot reprint a Caution Tag on an expired unit or expired patient order.</w:t>
            </w:r>
          </w:p>
        </w:tc>
      </w:tr>
      <w:tr w:rsidR="00E605B1" w14:paraId="2BB8F603" w14:textId="77777777" w:rsidTr="008E15BE">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2665D569" w14:textId="77777777" w:rsidR="00E605B1" w:rsidRDefault="00E605B1" w:rsidP="008E15BE">
            <w:pPr>
              <w:pStyle w:val="TableText"/>
            </w:pPr>
            <w:r>
              <w:t xml:space="preserve">VBECS does not print a unit’s </w:t>
            </w:r>
            <w:r w:rsidRPr="00D47D4A">
              <w:t>biohazardous</w:t>
            </w:r>
            <w:r>
              <w:t xml:space="preserve"> status on the BTRF or Caution Tag</w:t>
            </w:r>
            <w:r w:rsidRPr="00D47D4A">
              <w:t>.</w:t>
            </w:r>
          </w:p>
        </w:tc>
      </w:tr>
      <w:tr w:rsidR="00F73E1B" w14:paraId="68A6F69A" w14:textId="77777777" w:rsidTr="008E15BE">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73C506E8" w14:textId="36A344F9" w:rsidR="00F73E1B" w:rsidRDefault="00F73E1B" w:rsidP="008E15BE">
            <w:pPr>
              <w:pStyle w:val="TableText"/>
            </w:pPr>
            <w:r>
              <w:t xml:space="preserve">If a unit has been crossmatched by two different technologists, the Compatibility Interpretation section of the BTRF displays the technologist that performed the earlier XM testing. Handwrite the missing current technologist initials on the printed BTRF. </w:t>
            </w:r>
            <w:r w:rsidRPr="00F73E1B">
              <w:rPr>
                <w:vanish/>
              </w:rPr>
              <w:t>Defect 210195</w:t>
            </w:r>
          </w:p>
        </w:tc>
      </w:tr>
    </w:tbl>
    <w:p w14:paraId="3EA39932" w14:textId="3CB7F969" w:rsidR="00E605B1" w:rsidRDefault="00E605B1" w:rsidP="00726BF3">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326430" w14:paraId="08EB522C"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70B5C8F5" w14:textId="77777777" w:rsidR="003F0440" w:rsidRPr="00326430" w:rsidRDefault="003F0440" w:rsidP="002D126B">
            <w:pPr>
              <w:pStyle w:val="TableText"/>
              <w:rPr>
                <w:b/>
              </w:rPr>
            </w:pPr>
            <w:r w:rsidRPr="00326430">
              <w:rPr>
                <w:b/>
              </w:rPr>
              <w:t>Pro</w:t>
            </w:r>
            <w:r>
              <w:rPr>
                <w:b/>
              </w:rPr>
              <w:t>longed Transfusion Time Report</w:t>
            </w:r>
          </w:p>
        </w:tc>
      </w:tr>
      <w:tr w:rsidR="003F0440" w:rsidRPr="00725902" w14:paraId="399E5562"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46BC1C81" w14:textId="77777777" w:rsidR="003F0440" w:rsidRDefault="003F0440" w:rsidP="002D126B">
            <w:pPr>
              <w:pStyle w:val="TableText"/>
            </w:pPr>
            <w:r>
              <w:t>This report does not include p</w:t>
            </w:r>
            <w:r w:rsidR="00042B1F">
              <w:rPr>
                <w:rStyle w:val="ListBulletChar"/>
              </w:rPr>
              <w:t>r</w:t>
            </w:r>
            <w:r>
              <w:t>esumed transfused units or units issued to a remote storage location.</w:t>
            </w:r>
          </w:p>
        </w:tc>
      </w:tr>
      <w:tr w:rsidR="006A4AFF" w:rsidRPr="00725902" w14:paraId="05C9352E"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642F4DD1" w14:textId="1D2A9EA4" w:rsidR="006A4AFF" w:rsidRPr="006A4AFF" w:rsidRDefault="006A4AFF" w:rsidP="006A4AFF">
            <w:pPr>
              <w:pStyle w:val="TableText"/>
              <w:rPr>
                <w:sz w:val="20"/>
                <w:szCs w:val="20"/>
              </w:rPr>
            </w:pPr>
            <w:r>
              <w:lastRenderedPageBreak/>
              <w:t xml:space="preserve">Units issued to a remote storage location will display on the report when the transfusion start time is greater than 30 minutes after issue time. </w:t>
            </w:r>
            <w:r w:rsidRPr="00244DDA">
              <w:rPr>
                <w:vanish/>
              </w:rPr>
              <w:t>Defect 209735</w:t>
            </w:r>
          </w:p>
        </w:tc>
      </w:tr>
      <w:tr w:rsidR="006A4AFF" w:rsidRPr="00725902" w14:paraId="67A8AFD5"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795FB4D1" w14:textId="64A28025" w:rsidR="006A4AFF" w:rsidRDefault="006A4AFF" w:rsidP="002D126B">
            <w:pPr>
              <w:pStyle w:val="TableText"/>
            </w:pPr>
            <w:r>
              <w:t xml:space="preserve">Units issued to a remote storage location should not display to have a prolonged issue time as this setting indicates that the unit is issued to a monitored location maintained at the proper temperature for the product type. </w:t>
            </w:r>
            <w:r w:rsidRPr="006A4AFF">
              <w:rPr>
                <w:vanish/>
              </w:rPr>
              <w:t>Defect 209735</w:t>
            </w:r>
          </w:p>
        </w:tc>
      </w:tr>
      <w:tr w:rsidR="007C518F" w:rsidRPr="00725902" w14:paraId="11807A3F"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593997C6" w14:textId="69F6FC26" w:rsidR="007C518F" w:rsidRDefault="007C518F" w:rsidP="002D126B">
            <w:pPr>
              <w:pStyle w:val="TableText"/>
            </w:pPr>
            <w:r>
              <w:t xml:space="preserve">The Delayed (minutes) column on the report is not subtracting 30 minutes when the Transfusion Start time is </w:t>
            </w:r>
            <w:r w:rsidR="008233F6">
              <w:t>greater than</w:t>
            </w:r>
            <w:r>
              <w:t xml:space="preserve"> 30 minutes from the time of issue. Handwrite the correct Delayed (minutes) on the printed report. </w:t>
            </w:r>
            <w:r w:rsidRPr="007C518F">
              <w:rPr>
                <w:vanish/>
              </w:rPr>
              <w:t>Defect 209431</w:t>
            </w:r>
          </w:p>
        </w:tc>
      </w:tr>
    </w:tbl>
    <w:p w14:paraId="0A3E6640" w14:textId="77777777" w:rsidR="00BE53DD" w:rsidRDefault="00BE53DD" w:rsidP="00152357">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042B1F" w:rsidRPr="00326430" w14:paraId="755362B7" w14:textId="77777777" w:rsidTr="00D9331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16E549F8" w14:textId="77777777" w:rsidR="00042B1F" w:rsidRPr="00326430" w:rsidRDefault="00042B1F" w:rsidP="00D93317">
            <w:pPr>
              <w:pStyle w:val="TableText"/>
              <w:rPr>
                <w:b/>
              </w:rPr>
            </w:pPr>
            <w:r>
              <w:rPr>
                <w:b/>
              </w:rPr>
              <w:t>Reagents</w:t>
            </w:r>
          </w:p>
        </w:tc>
      </w:tr>
      <w:tr w:rsidR="00042B1F" w14:paraId="458D8F4A" w14:textId="77777777" w:rsidTr="00D9331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1AFF0C74" w14:textId="77777777" w:rsidR="00042B1F" w:rsidRPr="00042B1F" w:rsidRDefault="00042B1F" w:rsidP="00042B1F">
            <w:pPr>
              <w:pStyle w:val="ListBullet"/>
              <w:numPr>
                <w:ilvl w:val="0"/>
                <w:numId w:val="0"/>
              </w:numPr>
              <w:rPr>
                <w:rFonts w:ascii="Arial" w:hAnsi="Arial" w:cs="Arial"/>
                <w:sz w:val="18"/>
                <w:szCs w:val="18"/>
              </w:rPr>
            </w:pPr>
            <w:r w:rsidRPr="00042B1F">
              <w:rPr>
                <w:rFonts w:ascii="Arial" w:hAnsi="Arial" w:cs="Arial"/>
                <w:sz w:val="18"/>
                <w:szCs w:val="18"/>
              </w:rPr>
              <w:t>VBECS does not display a reagent report by invoice number.</w:t>
            </w:r>
          </w:p>
        </w:tc>
      </w:tr>
      <w:tr w:rsidR="00042B1F" w14:paraId="4E9234A1" w14:textId="77777777" w:rsidTr="00D9331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62BED8DB" w14:textId="77777777" w:rsidR="00042B1F" w:rsidRPr="00042B1F" w:rsidRDefault="00042B1F" w:rsidP="00042B1F">
            <w:pPr>
              <w:pStyle w:val="ListBullet"/>
              <w:numPr>
                <w:ilvl w:val="0"/>
                <w:numId w:val="0"/>
              </w:numPr>
              <w:rPr>
                <w:rFonts w:ascii="Arial" w:hAnsi="Arial" w:cs="Arial"/>
                <w:sz w:val="18"/>
                <w:szCs w:val="18"/>
              </w:rPr>
            </w:pPr>
            <w:r w:rsidRPr="00042B1F">
              <w:rPr>
                <w:rFonts w:ascii="Arial" w:hAnsi="Arial" w:cs="Arial"/>
                <w:sz w:val="18"/>
                <w:szCs w:val="18"/>
              </w:rPr>
              <w:t>The unsatisfactory portion of a shipment must be recorded individually.</w:t>
            </w:r>
          </w:p>
        </w:tc>
      </w:tr>
      <w:tr w:rsidR="00042B1F" w14:paraId="6511C8CF" w14:textId="77777777" w:rsidTr="00D9331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59F9F3FB" w14:textId="77777777" w:rsidR="00042B1F" w:rsidRPr="00042B1F" w:rsidRDefault="00042B1F" w:rsidP="00042B1F">
            <w:pPr>
              <w:pStyle w:val="ListBullet"/>
              <w:numPr>
                <w:ilvl w:val="0"/>
                <w:numId w:val="0"/>
              </w:numPr>
              <w:rPr>
                <w:rFonts w:ascii="Arial" w:hAnsi="Arial" w:cs="Arial"/>
                <w:sz w:val="18"/>
                <w:szCs w:val="18"/>
              </w:rPr>
            </w:pPr>
            <w:r w:rsidRPr="00042B1F">
              <w:rPr>
                <w:rFonts w:ascii="Arial" w:hAnsi="Arial" w:cs="Arial"/>
                <w:sz w:val="18"/>
                <w:szCs w:val="18"/>
              </w:rPr>
              <w:t>There is no retrospective data entry or user selection for these options.</w:t>
            </w:r>
          </w:p>
        </w:tc>
      </w:tr>
      <w:tr w:rsidR="00042B1F" w14:paraId="3622BDD7" w14:textId="77777777" w:rsidTr="00D9331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7651AB3A" w14:textId="77777777" w:rsidR="00042B1F" w:rsidRPr="00042B1F" w:rsidRDefault="00042B1F" w:rsidP="00042B1F">
            <w:pPr>
              <w:pStyle w:val="ListBullet"/>
              <w:numPr>
                <w:ilvl w:val="0"/>
                <w:numId w:val="0"/>
              </w:numPr>
            </w:pPr>
            <w:r w:rsidRPr="00042B1F">
              <w:rPr>
                <w:rFonts w:ascii="Arial" w:hAnsi="Arial" w:cs="Arial"/>
                <w:sz w:val="18"/>
                <w:szCs w:val="18"/>
              </w:rPr>
              <w:t>Each site must set a standard for recording quantity: it may use the number of cases or the number of units within the cases.</w:t>
            </w:r>
          </w:p>
        </w:tc>
      </w:tr>
      <w:tr w:rsidR="00042B1F" w14:paraId="5580E09A" w14:textId="77777777" w:rsidTr="00D9331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6DD9BEFD" w14:textId="77777777" w:rsidR="00042B1F" w:rsidRPr="00042B1F" w:rsidRDefault="00042B1F" w:rsidP="00042B1F">
            <w:pPr>
              <w:pStyle w:val="ListBullet"/>
              <w:numPr>
                <w:ilvl w:val="0"/>
                <w:numId w:val="0"/>
              </w:numPr>
            </w:pPr>
            <w:r w:rsidRPr="00042B1F">
              <w:rPr>
                <w:rFonts w:ascii="Arial" w:hAnsi="Arial" w:cs="Arial"/>
                <w:sz w:val="18"/>
                <w:szCs w:val="18"/>
              </w:rPr>
              <w:t>When a user enters a lot number in the Lot # field and clicks the magnifying glass, VBECS displays only the first instance of a duplicate lot number.</w:t>
            </w:r>
            <w:r>
              <w:t xml:space="preserve"> </w:t>
            </w:r>
            <w:r w:rsidRPr="00F759ED">
              <w:rPr>
                <w:vanish/>
              </w:rPr>
              <w:t>(UserDoc Task 1083)</w:t>
            </w:r>
          </w:p>
        </w:tc>
      </w:tr>
      <w:tr w:rsidR="006A6CFF" w14:paraId="255B0D2E" w14:textId="77777777" w:rsidTr="00D9331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069BE2DE" w14:textId="6795D18E" w:rsidR="006A6CFF" w:rsidRPr="00042B1F" w:rsidRDefault="006A6CFF" w:rsidP="00042B1F">
            <w:pPr>
              <w:pStyle w:val="ListBullet"/>
              <w:numPr>
                <w:ilvl w:val="0"/>
                <w:numId w:val="0"/>
              </w:numPr>
              <w:rPr>
                <w:rFonts w:ascii="Arial" w:hAnsi="Arial" w:cs="Arial"/>
                <w:sz w:val="18"/>
                <w:szCs w:val="18"/>
              </w:rPr>
            </w:pPr>
            <w:r w:rsidRPr="006A6CFF">
              <w:rPr>
                <w:rFonts w:ascii="Arial" w:hAnsi="Arial" w:cs="Arial"/>
                <w:sz w:val="18"/>
                <w:szCs w:val="18"/>
              </w:rPr>
              <w:t xml:space="preserve">When reagents with the same Manufacturer Reagent Name and Lot Number are entered from multiple invoices, only one of the reagents is visible for update. </w:t>
            </w:r>
            <w:r w:rsidRPr="006A6CFF">
              <w:rPr>
                <w:rFonts w:ascii="Arial" w:hAnsi="Arial" w:cs="Arial"/>
                <w:vanish/>
                <w:sz w:val="18"/>
                <w:szCs w:val="18"/>
              </w:rPr>
              <w:t>Defect 209141</w:t>
            </w:r>
          </w:p>
        </w:tc>
      </w:tr>
      <w:tr w:rsidR="006A6CFF" w14:paraId="4DD0E8D8" w14:textId="77777777" w:rsidTr="00D9331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1E701B38" w14:textId="720E55FE" w:rsidR="006A6CFF" w:rsidRPr="00042B1F" w:rsidRDefault="00A949F2" w:rsidP="00042B1F">
            <w:pPr>
              <w:pStyle w:val="ListBullet"/>
              <w:numPr>
                <w:ilvl w:val="0"/>
                <w:numId w:val="0"/>
              </w:numPr>
              <w:rPr>
                <w:rFonts w:ascii="Arial" w:hAnsi="Arial" w:cs="Arial"/>
                <w:sz w:val="18"/>
                <w:szCs w:val="18"/>
              </w:rPr>
            </w:pPr>
            <w:r w:rsidRPr="00A949F2">
              <w:rPr>
                <w:rFonts w:ascii="Arial" w:hAnsi="Arial" w:cs="Arial"/>
                <w:sz w:val="18"/>
                <w:szCs w:val="18"/>
              </w:rPr>
              <w:t>Reagents that have had their Number of Vials Available set to zero (0) are no longer visible on the Update Reagent Inventory screen or the Reagent Inventory Report. Print a copy of the Reagent Inventory Report prior to setting the Number of Vials Available to zero (0</w:t>
            </w:r>
            <w:r>
              <w:rPr>
                <w:rFonts w:ascii="Arial" w:hAnsi="Arial" w:cs="Arial"/>
                <w:sz w:val="18"/>
                <w:szCs w:val="18"/>
              </w:rPr>
              <w:t xml:space="preserve">). </w:t>
            </w:r>
            <w:r w:rsidRPr="00A949F2">
              <w:rPr>
                <w:rFonts w:ascii="Arial" w:hAnsi="Arial" w:cs="Arial"/>
                <w:vanish/>
                <w:sz w:val="18"/>
                <w:szCs w:val="18"/>
              </w:rPr>
              <w:t>Defects 208863, 208890, 210063</w:t>
            </w:r>
          </w:p>
        </w:tc>
      </w:tr>
    </w:tbl>
    <w:p w14:paraId="567ABA31" w14:textId="77777777" w:rsidR="00042B1F" w:rsidRDefault="00042B1F" w:rsidP="00152357">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4C386A" w14:paraId="3C157238"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3D45DBFE" w14:textId="77777777" w:rsidR="003F0440" w:rsidRPr="004C386A" w:rsidRDefault="003F0440" w:rsidP="002D126B">
            <w:pPr>
              <w:pStyle w:val="TableText"/>
              <w:rPr>
                <w:b/>
              </w:rPr>
            </w:pPr>
            <w:r w:rsidRPr="004C386A">
              <w:rPr>
                <w:b/>
              </w:rPr>
              <w:t>Release Units From Patient Assignment</w:t>
            </w:r>
          </w:p>
        </w:tc>
      </w:tr>
      <w:tr w:rsidR="003F0440" w:rsidRPr="00725902" w14:paraId="296FFFB4"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1DCBAB1B" w14:textId="77777777" w:rsidR="003F0440" w:rsidRDefault="003F0440" w:rsidP="002D126B">
            <w:pPr>
              <w:pStyle w:val="TableText"/>
            </w:pPr>
            <w:r>
              <w:t>This option does not apply to the release of patient restrictions (autologous and directed).</w:t>
            </w:r>
          </w:p>
        </w:tc>
      </w:tr>
      <w:tr w:rsidR="003F0440" w:rsidRPr="00725902" w14:paraId="59E9746D"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48B16E83" w14:textId="77777777" w:rsidR="003F0440" w:rsidRDefault="003F0440" w:rsidP="002D126B">
            <w:pPr>
              <w:pStyle w:val="TableText"/>
            </w:pPr>
            <w:r>
              <w:t>When a patient, specimen</w:t>
            </w:r>
            <w:r w:rsidR="00112C24">
              <w:t>,</w:t>
            </w:r>
            <w:r>
              <w:t xml:space="preserve"> or blood unit expires, VBECS does not automatically release an assigned blood unit: a user must release the unit.</w:t>
            </w:r>
          </w:p>
        </w:tc>
      </w:tr>
    </w:tbl>
    <w:p w14:paraId="6C245575" w14:textId="77777777" w:rsidR="00152357" w:rsidRDefault="00152357" w:rsidP="00152357">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1C59D2" w14:paraId="21F0EAF0"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48EF5DDE" w14:textId="77777777" w:rsidR="003F0440" w:rsidRPr="001C59D2" w:rsidRDefault="003F0440" w:rsidP="002D126B">
            <w:pPr>
              <w:pStyle w:val="TableText"/>
              <w:rPr>
                <w:b/>
              </w:rPr>
            </w:pPr>
            <w:r w:rsidRPr="001C59D2">
              <w:rPr>
                <w:b/>
              </w:rPr>
              <w:t>Remove Final Status</w:t>
            </w:r>
          </w:p>
        </w:tc>
      </w:tr>
      <w:tr w:rsidR="003F0440" w:rsidRPr="00725902" w14:paraId="4ECB9DFD"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3271B222" w14:textId="77777777" w:rsidR="003F0440" w:rsidRPr="00725902" w:rsidRDefault="003F0440" w:rsidP="002D126B">
            <w:pPr>
              <w:pStyle w:val="TableText"/>
            </w:pPr>
            <w:r>
              <w:t>This option applies only to the release of units in final statuses.</w:t>
            </w:r>
          </w:p>
        </w:tc>
      </w:tr>
    </w:tbl>
    <w:p w14:paraId="7478D25E" w14:textId="77777777" w:rsidR="0074084F" w:rsidRDefault="0074084F" w:rsidP="00152357">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20DAE" w:rsidRPr="002B0F17" w14:paraId="1506254C"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277029F3" w14:textId="77777777" w:rsidR="00320DAE" w:rsidRPr="002B0F17" w:rsidRDefault="00320DAE" w:rsidP="004F5220">
            <w:pPr>
              <w:pStyle w:val="TableText"/>
              <w:rPr>
                <w:b/>
              </w:rPr>
            </w:pPr>
            <w:r>
              <w:rPr>
                <w:b/>
              </w:rPr>
              <w:t>Select Units</w:t>
            </w:r>
          </w:p>
        </w:tc>
      </w:tr>
      <w:tr w:rsidR="001803E2" w:rsidRPr="002B0F17" w14:paraId="2F60E302" w14:textId="77777777">
        <w:trPr>
          <w:cantSplit/>
          <w:hidden/>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27D19C2B" w14:textId="24217996" w:rsidR="001803E2" w:rsidRDefault="00BC04D1" w:rsidP="00320DAE">
            <w:pPr>
              <w:pStyle w:val="TableText"/>
            </w:pPr>
            <w:r>
              <w:rPr>
                <w:vanish/>
              </w:rPr>
              <w:t xml:space="preserve">Task 1,126 </w:t>
            </w:r>
            <w:r w:rsidR="001803E2">
              <w:t>When a u</w:t>
            </w:r>
            <w:r w:rsidR="001803E2" w:rsidRPr="00320DAE">
              <w:t>ser check</w:t>
            </w:r>
            <w:r w:rsidR="001803E2">
              <w:t>s</w:t>
            </w:r>
            <w:r w:rsidR="001803E2" w:rsidRPr="00320DAE">
              <w:t xml:space="preserve"> the </w:t>
            </w:r>
            <w:r w:rsidR="001803E2">
              <w:t>“</w:t>
            </w:r>
            <w:r w:rsidR="001803E2" w:rsidRPr="00320DAE">
              <w:t xml:space="preserve">D </w:t>
            </w:r>
            <w:r w:rsidR="001803E2">
              <w:t>P</w:t>
            </w:r>
            <w:r w:rsidR="001803E2" w:rsidRPr="00320DAE">
              <w:t>os</w:t>
            </w:r>
            <w:r w:rsidR="001803E2">
              <w:t>”</w:t>
            </w:r>
            <w:r w:rsidR="001803E2" w:rsidRPr="00320DAE">
              <w:t xml:space="preserve"> or </w:t>
            </w:r>
            <w:r w:rsidR="001803E2">
              <w:t>“</w:t>
            </w:r>
            <w:r w:rsidR="001803E2" w:rsidRPr="00320DAE">
              <w:t xml:space="preserve">D </w:t>
            </w:r>
            <w:r w:rsidR="001803E2">
              <w:t>N</w:t>
            </w:r>
            <w:r w:rsidR="001803E2" w:rsidRPr="00320DAE">
              <w:t>eg</w:t>
            </w:r>
            <w:r w:rsidR="001803E2">
              <w:t>”</w:t>
            </w:r>
            <w:r w:rsidR="001803E2" w:rsidRPr="00320DAE">
              <w:t xml:space="preserve"> check box to modify a search for blood</w:t>
            </w:r>
            <w:r w:rsidR="001803E2">
              <w:t>, VBECS returns no units, regardless of the availability of units</w:t>
            </w:r>
            <w:r w:rsidR="001803E2" w:rsidRPr="00320DAE">
              <w:t xml:space="preserve">. </w:t>
            </w:r>
          </w:p>
        </w:tc>
      </w:tr>
      <w:tr w:rsidR="00291E60" w:rsidRPr="002B0F17" w14:paraId="759C0A5E" w14:textId="77777777">
        <w:trPr>
          <w:cantSplit/>
          <w:hidden/>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32F17ED9" w14:textId="75E71980" w:rsidR="00291E60" w:rsidRPr="001803E2" w:rsidRDefault="00BC04D1" w:rsidP="001803E2">
            <w:pPr>
              <w:pStyle w:val="TableText"/>
            </w:pPr>
            <w:r w:rsidRPr="0065187A">
              <w:rPr>
                <w:vanish/>
              </w:rPr>
              <w:t>DR 2,578 DR 2,808</w:t>
            </w:r>
            <w:r w:rsidRPr="004E4368">
              <w:t xml:space="preserve">VBECS </w:t>
            </w:r>
            <w:r w:rsidR="001803E2" w:rsidRPr="004E4368">
              <w:t>displays a</w:t>
            </w:r>
            <w:r w:rsidR="001803E2">
              <w:t xml:space="preserve"> component</w:t>
            </w:r>
            <w:r w:rsidR="001803E2" w:rsidRPr="004E4368">
              <w:t xml:space="preserve"> order </w:t>
            </w:r>
            <w:r w:rsidR="001803E2">
              <w:t xml:space="preserve">as “Filled” </w:t>
            </w:r>
            <w:r w:rsidR="001803E2" w:rsidRPr="004E4368">
              <w:t xml:space="preserve">when the number of units </w:t>
            </w:r>
            <w:r w:rsidR="001803E2">
              <w:t>transfused</w:t>
            </w:r>
            <w:r w:rsidR="001803E2" w:rsidRPr="004E4368">
              <w:t xml:space="preserve"> and the number of units ordered are the same</w:t>
            </w:r>
            <w:r w:rsidR="001803E2">
              <w:t xml:space="preserve"> and continues to display the component order until the order expires. CPRS displays a component order as “Completed”. Therefore, CPRS displays the order as “Completed” before VBECS displays the order as “Filled.” The associated LAB order will then also be marked as “Completed”.</w:t>
            </w:r>
          </w:p>
        </w:tc>
      </w:tr>
      <w:tr w:rsidR="00320DAE" w:rsidRPr="002B0F17" w14:paraId="7A49245F" w14:textId="77777777">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7E46B98C" w14:textId="6EEE784D" w:rsidR="00320DAE" w:rsidRPr="00320DAE" w:rsidRDefault="001803E2" w:rsidP="00320DAE">
            <w:pPr>
              <w:pStyle w:val="TableText"/>
            </w:pPr>
            <w:r>
              <w:t>A Specimen UID must be accepted in</w:t>
            </w:r>
            <w:r w:rsidR="0063094B">
              <w:t xml:space="preserve"> </w:t>
            </w:r>
            <w:r>
              <w:t>VBECS to associate it with a component order. Any VBECS maintained TAS specimen UID may be associated with a component order by entering the number in the UID field.</w:t>
            </w:r>
            <w:r w:rsidRPr="001803E2">
              <w:t xml:space="preserve"> </w:t>
            </w:r>
            <w:r w:rsidRPr="001803E2">
              <w:rPr>
                <w:vanish/>
              </w:rPr>
              <w:t>Task 635428</w:t>
            </w:r>
          </w:p>
        </w:tc>
      </w:tr>
      <w:tr w:rsidR="007C518F" w:rsidRPr="002B0F17" w14:paraId="0F7931D9" w14:textId="77777777">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333EE8E4" w14:textId="6BC32E44" w:rsidR="007C518F" w:rsidRDefault="007C518F" w:rsidP="00320DAE">
            <w:pPr>
              <w:pStyle w:val="TableText"/>
            </w:pPr>
            <w:r>
              <w:t xml:space="preserve">When associating a specimen with a patient in the “Select Unit for a Patient” window, the “Expires” field within the “Associate with Specimen” panel displays the time in AM/PM format. VBECS normally displays date/time fields in “military” time format.  The workaround is to look in Maintain Specimen and check the expiration time military time format. </w:t>
            </w:r>
            <w:r w:rsidRPr="007C518F">
              <w:rPr>
                <w:vanish/>
              </w:rPr>
              <w:t>Defect 209052</w:t>
            </w:r>
          </w:p>
        </w:tc>
      </w:tr>
      <w:tr w:rsidR="007C518F" w:rsidRPr="002B0F17" w14:paraId="7FAA2A59" w14:textId="77777777">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5DC8E947" w14:textId="2B17D392" w:rsidR="007C518F" w:rsidRDefault="009D0CAA" w:rsidP="00320DAE">
            <w:pPr>
              <w:pStyle w:val="TableText"/>
            </w:pPr>
            <w:r>
              <w:lastRenderedPageBreak/>
              <w:t>When an Rh positive unit is selected for an Rh negative patient with an antigen negative requirement for D, the user receives a message about unit not satisfying patient negative requirements for D instead of a message about unit being positive for D. The proper message is displayed upon unit issue</w:t>
            </w:r>
            <w:r w:rsidR="007C518F">
              <w:t xml:space="preserve">. </w:t>
            </w:r>
            <w:r w:rsidR="007C518F" w:rsidRPr="007C518F">
              <w:rPr>
                <w:vanish/>
              </w:rPr>
              <w:t>Defects 209338, 213537</w:t>
            </w:r>
          </w:p>
        </w:tc>
      </w:tr>
    </w:tbl>
    <w:p w14:paraId="63053BBB" w14:textId="77777777" w:rsidR="000604AA" w:rsidRDefault="000604AA" w:rsidP="00152357">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2B0F17" w14:paraId="59FA784A"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3020160B" w14:textId="76C4B2D1" w:rsidR="003F0440" w:rsidRPr="002B0F17" w:rsidRDefault="000604AA" w:rsidP="002D126B">
            <w:pPr>
              <w:pStyle w:val="TableText"/>
              <w:rPr>
                <w:b/>
              </w:rPr>
            </w:pPr>
            <w:r>
              <w:br w:type="page"/>
            </w:r>
            <w:r w:rsidR="003F0440" w:rsidRPr="002B0F17">
              <w:rPr>
                <w:b/>
              </w:rPr>
              <w:t>Special Instructions &amp; Transfusion Requirements: Enter a Transfusion Requirement</w:t>
            </w:r>
          </w:p>
        </w:tc>
      </w:tr>
      <w:tr w:rsidR="003F0440" w:rsidRPr="00725902" w14:paraId="1AB7BBFE"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78E595FB" w14:textId="77777777" w:rsidR="003F0440" w:rsidRDefault="003F0440" w:rsidP="002D126B">
            <w:pPr>
              <w:pStyle w:val="TableText"/>
            </w:pPr>
            <w:r>
              <w:t>Inactivation is defined and restricted by security level.</w:t>
            </w:r>
          </w:p>
        </w:tc>
      </w:tr>
      <w:tr w:rsidR="003F0440" w:rsidRPr="00725902" w14:paraId="29BAC2FA"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15B3B1DA" w14:textId="311ACC3C" w:rsidR="003F0440" w:rsidRPr="00725902" w:rsidRDefault="00947C97" w:rsidP="002D126B">
            <w:pPr>
              <w:pStyle w:val="TableText"/>
            </w:pPr>
            <w:r w:rsidRPr="00947C97">
              <w:rPr>
                <w:bCs/>
              </w:rPr>
              <w:t>VistA Special Instructions (SIs) from database conversion do not become TRs: they remain SIs. SIs are information only and are not enforced unless entered in the Component Requirements tab in Special Instructions &amp; Transfusion Requirements</w:t>
            </w:r>
            <w:r w:rsidR="003F0440">
              <w:t>.</w:t>
            </w:r>
          </w:p>
        </w:tc>
      </w:tr>
    </w:tbl>
    <w:p w14:paraId="7CD6AEEF" w14:textId="3D8642D3" w:rsidR="000E59E4" w:rsidRDefault="000E59E4" w:rsidP="00152357">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FE21D7" w14:paraId="0D6A6506"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5301F6EB" w14:textId="547FBBC5" w:rsidR="003F0440" w:rsidRPr="00FE21D7" w:rsidRDefault="000E59E4" w:rsidP="002D126B">
            <w:pPr>
              <w:pStyle w:val="TableText"/>
              <w:rPr>
                <w:b/>
              </w:rPr>
            </w:pPr>
            <w:r>
              <w:br w:type="page"/>
            </w:r>
            <w:r w:rsidR="003F0440" w:rsidRPr="00FE21D7">
              <w:rPr>
                <w:b/>
              </w:rPr>
              <w:t>Special Instructions &amp; Transfusion Requirements: Enter and Remove Special Instructions</w:t>
            </w:r>
          </w:p>
        </w:tc>
      </w:tr>
      <w:tr w:rsidR="003F0440" w:rsidRPr="00725902" w14:paraId="64627B24"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45B24DE1" w14:textId="77777777" w:rsidR="003F0440" w:rsidRDefault="00DD6B21" w:rsidP="00DD6B21">
            <w:pPr>
              <w:pStyle w:val="TableText"/>
            </w:pPr>
            <w:r>
              <w:t>VBECS does not enforce Transfusion Requirements (TRs) or antigen negative requirements entered through this option.</w:t>
            </w:r>
          </w:p>
        </w:tc>
      </w:tr>
      <w:tr w:rsidR="00DD6B21" w:rsidRPr="00725902" w14:paraId="73456999"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311AFC14" w14:textId="77777777" w:rsidR="00DD6B21" w:rsidRDefault="00DD6B21" w:rsidP="00DD6B21">
            <w:pPr>
              <w:pStyle w:val="TableText"/>
            </w:pPr>
            <w:r>
              <w:t>SIs moved to VBECS during the database conversion may contain information that must be entered as TRs in VBECS. Inactivate the old SI and create a TR and new updated SI: the database conversion software cannot automatically translate the SI from database conversion into a rule-based TR.</w:t>
            </w:r>
          </w:p>
        </w:tc>
      </w:tr>
      <w:tr w:rsidR="003F0440" w:rsidRPr="00725902" w14:paraId="619BAFA9"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48F106B8" w14:textId="3DCA46ED" w:rsidR="003F0440" w:rsidRDefault="003F0440" w:rsidP="002D126B">
            <w:pPr>
              <w:pStyle w:val="TableText"/>
            </w:pPr>
            <w:r>
              <w:t>VBECS will truncate SI text from the VistA database conversion.</w:t>
            </w:r>
          </w:p>
        </w:tc>
      </w:tr>
    </w:tbl>
    <w:p w14:paraId="2CAED909" w14:textId="77777777" w:rsidR="0045199A" w:rsidRDefault="0045199A" w:rsidP="00152357">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355A27" w14:paraId="1CC4B1CC"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4AC904A9" w14:textId="77777777" w:rsidR="003F0440" w:rsidRPr="00355A27" w:rsidRDefault="003F0440" w:rsidP="002D126B">
            <w:pPr>
              <w:pStyle w:val="TableText"/>
              <w:rPr>
                <w:b/>
              </w:rPr>
            </w:pPr>
            <w:r w:rsidRPr="00355A27">
              <w:rPr>
                <w:b/>
              </w:rPr>
              <w:t>Supplies</w:t>
            </w:r>
          </w:p>
        </w:tc>
      </w:tr>
      <w:tr w:rsidR="003F0440" w:rsidRPr="00725902" w14:paraId="41CDDAD2"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40E58FE3" w14:textId="77777777" w:rsidR="003F0440" w:rsidRPr="00725902" w:rsidRDefault="003F0440" w:rsidP="002D126B">
            <w:pPr>
              <w:pStyle w:val="TableText"/>
            </w:pPr>
            <w:r>
              <w:t xml:space="preserve">The division’s modification processes may allow or require the user to select previously entered supplies for association with a blood unit’s modification. An inventory of containers (transfer bags) and sterile connection device (SCD) wafers is </w:t>
            </w:r>
            <w:r>
              <w:rPr>
                <w:i/>
              </w:rPr>
              <w:t>required</w:t>
            </w:r>
            <w:r>
              <w:t xml:space="preserve"> for various modification processes. </w:t>
            </w:r>
          </w:p>
        </w:tc>
      </w:tr>
      <w:tr w:rsidR="003F0440" w:rsidRPr="00725902" w14:paraId="5815013B"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11507E96" w14:textId="77777777" w:rsidR="003F0440" w:rsidRPr="00725902" w:rsidRDefault="003F0440" w:rsidP="002D126B">
            <w:pPr>
              <w:pStyle w:val="TableText"/>
            </w:pPr>
            <w:r>
              <w:t>There is no retrospective data entry or user selection for th</w:t>
            </w:r>
            <w:r w:rsidR="00932460">
              <w:t>is option</w:t>
            </w:r>
            <w:r>
              <w:t>.</w:t>
            </w:r>
          </w:p>
        </w:tc>
      </w:tr>
      <w:tr w:rsidR="003F0440" w:rsidRPr="00725902" w14:paraId="131D693E"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38DD0BE0" w14:textId="77777777" w:rsidR="003F0440" w:rsidRPr="00725902" w:rsidRDefault="003F0440" w:rsidP="002D126B">
            <w:pPr>
              <w:pStyle w:val="TableText"/>
            </w:pPr>
            <w:r>
              <w:t>The unsatisfactory portion of a shipment must be recorded individually.</w:t>
            </w:r>
          </w:p>
        </w:tc>
      </w:tr>
      <w:tr w:rsidR="003F0440" w:rsidRPr="00725902" w14:paraId="47CD2C7B"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6A5B3355" w14:textId="77777777" w:rsidR="003F0440" w:rsidRPr="00725902" w:rsidRDefault="003F0440" w:rsidP="002D126B">
            <w:pPr>
              <w:pStyle w:val="TableText"/>
            </w:pPr>
            <w:r>
              <w:t>Each site must set a standard for recording quantity: it may use the number of cases or the number of units within the cases.</w:t>
            </w:r>
          </w:p>
        </w:tc>
      </w:tr>
    </w:tbl>
    <w:p w14:paraId="2530340A" w14:textId="77777777" w:rsidR="00DA5F37" w:rsidRDefault="00DA5F37" w:rsidP="00DA5F37">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D01896" w14:paraId="24C84824"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454936CE" w14:textId="77777777" w:rsidR="003F0440" w:rsidRPr="00D01896" w:rsidRDefault="003F0440" w:rsidP="002D126B">
            <w:pPr>
              <w:pStyle w:val="TableText"/>
              <w:rPr>
                <w:b/>
              </w:rPr>
            </w:pPr>
            <w:r w:rsidRPr="00D01896">
              <w:rPr>
                <w:b/>
              </w:rPr>
              <w:t>Transfusion Complications</w:t>
            </w:r>
            <w:r>
              <w:rPr>
                <w:b/>
              </w:rPr>
              <w:t xml:space="preserve"> Report</w:t>
            </w:r>
          </w:p>
        </w:tc>
      </w:tr>
      <w:tr w:rsidR="003F0440" w:rsidRPr="00725902" w14:paraId="19D514EB"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3284559C" w14:textId="77777777" w:rsidR="003F0440" w:rsidRPr="00725902" w:rsidRDefault="003F0440" w:rsidP="002D126B">
            <w:pPr>
              <w:pStyle w:val="TableText"/>
            </w:pPr>
            <w:r>
              <w:t>The report does not include units in an issued status.</w:t>
            </w:r>
          </w:p>
        </w:tc>
      </w:tr>
      <w:tr w:rsidR="00CD5BA1" w:rsidRPr="00725902" w14:paraId="206DF399"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7A4411DB" w14:textId="3C824D5C" w:rsidR="00CD5BA1" w:rsidRDefault="00CD5BA1" w:rsidP="002D126B">
            <w:pPr>
              <w:pStyle w:val="TableText"/>
            </w:pPr>
            <w:r>
              <w:t xml:space="preserve">The report cannot be scheduled. </w:t>
            </w:r>
            <w:r w:rsidRPr="00CD5BA1">
              <w:rPr>
                <w:vanish/>
              </w:rPr>
              <w:t>Defect 210264</w:t>
            </w:r>
          </w:p>
        </w:tc>
      </w:tr>
    </w:tbl>
    <w:p w14:paraId="1E904DA5" w14:textId="77777777" w:rsidR="00C1162B" w:rsidRDefault="00C1162B" w:rsidP="00DA5F37">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501AF4" w14:paraId="03928B52"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20FF775A" w14:textId="77777777" w:rsidR="003F0440" w:rsidRPr="00501AF4" w:rsidRDefault="003F0440" w:rsidP="002D126B">
            <w:pPr>
              <w:pStyle w:val="TableText"/>
              <w:rPr>
                <w:b/>
              </w:rPr>
            </w:pPr>
            <w:r>
              <w:rPr>
                <w:b/>
              </w:rPr>
              <w:t>Transfusion Effectiveness Report</w:t>
            </w:r>
          </w:p>
        </w:tc>
      </w:tr>
      <w:tr w:rsidR="003F0440" w:rsidRPr="00725902" w14:paraId="5ABDA184"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27F7712D" w14:textId="77777777" w:rsidR="003F0440" w:rsidRPr="00725902" w:rsidRDefault="003F0440" w:rsidP="002D126B">
            <w:pPr>
              <w:pStyle w:val="TableText"/>
            </w:pPr>
            <w:r>
              <w:t>The report does not include VBECS diagnostic tests.</w:t>
            </w:r>
          </w:p>
        </w:tc>
      </w:tr>
    </w:tbl>
    <w:p w14:paraId="37EA1A72" w14:textId="0248054A" w:rsidR="00DA5F37" w:rsidRDefault="00DA5F37" w:rsidP="00DA5F37">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7C518F" w:rsidRPr="00501AF4" w14:paraId="33068A92" w14:textId="77777777" w:rsidTr="00D12DC6">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469A9302" w14:textId="17B8C52B" w:rsidR="007C518F" w:rsidRPr="00501AF4" w:rsidRDefault="007C518F" w:rsidP="00D12DC6">
            <w:pPr>
              <w:pStyle w:val="TableText"/>
              <w:rPr>
                <w:b/>
              </w:rPr>
            </w:pPr>
            <w:r>
              <w:rPr>
                <w:b/>
              </w:rPr>
              <w:t>Transfusion Reaction Count Report</w:t>
            </w:r>
          </w:p>
        </w:tc>
      </w:tr>
      <w:tr w:rsidR="007C518F" w:rsidRPr="00725902" w14:paraId="75AC3518" w14:textId="77777777" w:rsidTr="00D12DC6">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1CFECA86" w14:textId="0AC8BDF1" w:rsidR="007C518F" w:rsidRPr="00725902" w:rsidRDefault="00C25C1E" w:rsidP="00D12DC6">
            <w:pPr>
              <w:pStyle w:val="TableText"/>
            </w:pPr>
            <w:r>
              <w:t xml:space="preserve">Transfusion Reactions are only included on the report if the data were entered/updated during the selected date range. This means that retrospective entry of transfusion reactions may not display in the correct date range. The recorded date of the reaction is not considered in the selection criteria. Rerun the report for a date range that includes the date the data was entered or updated. For example, if a transfusion reaction that occurred on February 28 is retrospectively entered on March 1, it will only display on a report that includes March 1 in its date range. </w:t>
            </w:r>
            <w:r w:rsidRPr="00C25C1E">
              <w:rPr>
                <w:vanish/>
              </w:rPr>
              <w:t>Defect 209152</w:t>
            </w:r>
          </w:p>
        </w:tc>
      </w:tr>
    </w:tbl>
    <w:p w14:paraId="3EBC9FA1" w14:textId="77777777" w:rsidR="007C518F" w:rsidRDefault="007C518F" w:rsidP="00DA5F37">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501AF4" w14:paraId="09E39B9B"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2B056AEC" w14:textId="77777777" w:rsidR="003F0440" w:rsidRPr="00501AF4" w:rsidRDefault="003F0440" w:rsidP="002D126B">
            <w:pPr>
              <w:pStyle w:val="TableText"/>
              <w:rPr>
                <w:b/>
              </w:rPr>
            </w:pPr>
            <w:r>
              <w:rPr>
                <w:b/>
              </w:rPr>
              <w:t>Transfusion Requirements Report</w:t>
            </w:r>
          </w:p>
        </w:tc>
      </w:tr>
      <w:tr w:rsidR="003F0440" w:rsidRPr="00725902" w14:paraId="3F4A5407" w14:textId="77777777">
        <w:trPr>
          <w:cantSplit/>
          <w:hidden/>
        </w:trPr>
        <w:tc>
          <w:tcPr>
            <w:tcW w:w="9360" w:type="dxa"/>
            <w:tcBorders>
              <w:top w:val="single" w:sz="6" w:space="0" w:color="000000"/>
              <w:left w:val="single" w:sz="6" w:space="0" w:color="000000"/>
              <w:bottom w:val="single" w:sz="6" w:space="0" w:color="000000"/>
              <w:right w:val="single" w:sz="6" w:space="0" w:color="000000"/>
            </w:tcBorders>
            <w:vAlign w:val="bottom"/>
          </w:tcPr>
          <w:p w14:paraId="7BD541CD" w14:textId="4C04C0E9" w:rsidR="003F0440" w:rsidRPr="00725902" w:rsidRDefault="00BC04D1" w:rsidP="00934D16">
            <w:pPr>
              <w:pStyle w:val="TableText"/>
            </w:pPr>
            <w:r>
              <w:rPr>
                <w:rFonts w:cs="Arial"/>
                <w:vanish/>
              </w:rPr>
              <w:t xml:space="preserve">BR_89.01 </w:t>
            </w:r>
            <w:r w:rsidR="00934D16" w:rsidRPr="00B93109">
              <w:t xml:space="preserve">Deceased patient records do not appear on the report when </w:t>
            </w:r>
            <w:r w:rsidR="00934D16">
              <w:t xml:space="preserve">they are </w:t>
            </w:r>
            <w:r w:rsidR="00934D16" w:rsidRPr="00B93109">
              <w:t>generated after the patient has been marked</w:t>
            </w:r>
            <w:r w:rsidR="00934D16">
              <w:t xml:space="preserve"> as deceased</w:t>
            </w:r>
            <w:r w:rsidR="00934D16" w:rsidRPr="00B93109">
              <w:t xml:space="preserve"> in the VBECS database via a VistA Death Notification Update.</w:t>
            </w:r>
            <w:r w:rsidRPr="00684625">
              <w:rPr>
                <w:vanish/>
              </w:rPr>
              <w:t xml:space="preserve"> DR 5086</w:t>
            </w:r>
          </w:p>
        </w:tc>
      </w:tr>
      <w:tr w:rsidR="00C25C1E" w:rsidRPr="00725902" w14:paraId="6AF82E14"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71913702" w14:textId="4064FD74" w:rsidR="00C25C1E" w:rsidRPr="00B93109" w:rsidRDefault="00C25C1E" w:rsidP="00934D16">
            <w:pPr>
              <w:pStyle w:val="TableText"/>
            </w:pPr>
            <w:r w:rsidRPr="00684625">
              <w:lastRenderedPageBreak/>
              <w:t>The cumulative report is not displaying all patients on file. A patient with ABO/Rh testing and no other requirement appears on the partial Transfusion Requirements report, but not on the cumulative report</w:t>
            </w:r>
            <w:r>
              <w:t xml:space="preserve">. </w:t>
            </w:r>
            <w:r w:rsidRPr="00C25C1E">
              <w:rPr>
                <w:vanish/>
              </w:rPr>
              <w:t>Defect 208903</w:t>
            </w:r>
          </w:p>
        </w:tc>
      </w:tr>
      <w:tr w:rsidR="00C25C1E" w:rsidRPr="00725902" w14:paraId="411A30F2"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5392C847" w14:textId="148DC2D2" w:rsidR="00C25C1E" w:rsidRPr="00B93109" w:rsidRDefault="00C25C1E" w:rsidP="00934D16">
            <w:pPr>
              <w:pStyle w:val="TableText"/>
            </w:pPr>
            <w:r>
              <w:t xml:space="preserve">A report printed with an end date of today or greater does not print “Partial” in the header. </w:t>
            </w:r>
            <w:r w:rsidRPr="00C25C1E">
              <w:rPr>
                <w:vanish/>
              </w:rPr>
              <w:t>Defect 208901</w:t>
            </w:r>
          </w:p>
        </w:tc>
      </w:tr>
    </w:tbl>
    <w:p w14:paraId="21866271" w14:textId="364E86CF" w:rsidR="000E59E4" w:rsidRDefault="000E59E4" w:rsidP="00DA5F37">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725902" w14:paraId="04DE956A"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3B7B50FC" w14:textId="77777777" w:rsidR="003F0440" w:rsidRPr="00725902" w:rsidRDefault="003F0440" w:rsidP="002D126B">
            <w:pPr>
              <w:pStyle w:val="TableText"/>
            </w:pPr>
            <w:r w:rsidRPr="00501AF4">
              <w:rPr>
                <w:b/>
              </w:rPr>
              <w:t>Unit Antigen Typing</w:t>
            </w:r>
          </w:p>
        </w:tc>
      </w:tr>
      <w:tr w:rsidR="003F0440" w:rsidRPr="00725902" w14:paraId="02856999"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6A16AA05" w14:textId="77777777" w:rsidR="003F0440" w:rsidRPr="00725902" w:rsidRDefault="003F0440" w:rsidP="002D126B">
            <w:pPr>
              <w:pStyle w:val="TableText"/>
            </w:pPr>
            <w:r>
              <w:t>Antigen typing applies only</w:t>
            </w:r>
            <w:r w:rsidR="006A2B09">
              <w:t xml:space="preserve"> to red blood cell antigens</w:t>
            </w:r>
            <w:r>
              <w:t>. This opt</w:t>
            </w:r>
            <w:r w:rsidR="006A2B09">
              <w:t>ion does not address platelet, histocompatibility locus antigens (</w:t>
            </w:r>
            <w:r>
              <w:t>HLAs</w:t>
            </w:r>
            <w:r w:rsidR="006A2B09">
              <w:t>)</w:t>
            </w:r>
            <w:r>
              <w:t xml:space="preserve">, or </w:t>
            </w:r>
            <w:r w:rsidR="006A2B09">
              <w:t>Immunoglobulin (</w:t>
            </w:r>
            <w:r>
              <w:t>IgA</w:t>
            </w:r>
            <w:r w:rsidR="006A2B09">
              <w:t>)</w:t>
            </w:r>
            <w:r>
              <w:t xml:space="preserve"> antigenicity.</w:t>
            </w:r>
          </w:p>
        </w:tc>
      </w:tr>
      <w:tr w:rsidR="006A2B09" w:rsidRPr="00725902" w14:paraId="0EB57B73"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5330B5A6" w14:textId="77777777" w:rsidR="006A2B09" w:rsidRDefault="006A2B09" w:rsidP="002D126B">
            <w:pPr>
              <w:pStyle w:val="TableText"/>
            </w:pPr>
            <w:r>
              <w:t>Only blood units of the “WHOLE BLOOD” and “RED BLOOD CELLS” ICCBBA component classes can be selected for inclusion in the antigen type worklist.</w:t>
            </w:r>
          </w:p>
        </w:tc>
      </w:tr>
      <w:tr w:rsidR="006A2B09" w:rsidRPr="00725902" w14:paraId="3463ADC9"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634DA299" w14:textId="0FFAA118" w:rsidR="006A2B09" w:rsidRDefault="006A2B09" w:rsidP="002D126B">
            <w:pPr>
              <w:pStyle w:val="TableText"/>
            </w:pPr>
            <w:r>
              <w:t xml:space="preserve">Antigen typing is not required on products with = &gt; 2 mL </w:t>
            </w:r>
            <w:r w:rsidR="00AE3B37">
              <w:t>of RBC</w:t>
            </w:r>
            <w:r>
              <w:t xml:space="preserve"> contamination that are not Red Blood Cells or Whole Blood.</w:t>
            </w:r>
          </w:p>
        </w:tc>
      </w:tr>
      <w:tr w:rsidR="003F0440" w:rsidRPr="00725902" w14:paraId="253146A2"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6F0EC891" w14:textId="77777777" w:rsidR="003F0440" w:rsidRPr="00725902" w:rsidRDefault="003F0440" w:rsidP="002D126B">
            <w:pPr>
              <w:pStyle w:val="TableText"/>
            </w:pPr>
            <w:r>
              <w:t>VBECS does not check whether the lot and vial numbers selected for the positive control cells differ from those of the negative control cells.</w:t>
            </w:r>
          </w:p>
        </w:tc>
      </w:tr>
      <w:tr w:rsidR="003F0440" w:rsidRPr="00725902" w14:paraId="44CE1B7F"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6E6F7450" w14:textId="77777777" w:rsidR="003F0440" w:rsidRPr="00725902" w:rsidRDefault="003F0440" w:rsidP="002D126B">
            <w:pPr>
              <w:pStyle w:val="TableText"/>
            </w:pPr>
            <w:r>
              <w:t>D antigen typing must not be combined in batch testing of Rh positive units.</w:t>
            </w:r>
          </w:p>
        </w:tc>
      </w:tr>
      <w:tr w:rsidR="00A753B8" w:rsidRPr="00725902" w14:paraId="04912C55"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510D415B" w14:textId="03DFEEE4" w:rsidR="00A753B8" w:rsidRDefault="00A753B8" w:rsidP="002D126B">
            <w:pPr>
              <w:pStyle w:val="TableText"/>
            </w:pPr>
            <w:r>
              <w:t xml:space="preserve">The sort order of the selected units may not be inherited by the testing grid. Organize physical test materials according to the order of units presented on the testing grid. </w:t>
            </w:r>
            <w:r w:rsidRPr="00A753B8">
              <w:rPr>
                <w:vanish/>
              </w:rPr>
              <w:t>Defect 209578</w:t>
            </w:r>
          </w:p>
        </w:tc>
      </w:tr>
    </w:tbl>
    <w:p w14:paraId="3201A97C" w14:textId="5A84F23E" w:rsidR="00A753B8" w:rsidRDefault="00A753B8" w:rsidP="00C84564">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725902" w14:paraId="31D5B619"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04CFC56E" w14:textId="179D7D5F" w:rsidR="003F0440" w:rsidRPr="00402919" w:rsidRDefault="00A753B8" w:rsidP="002D126B">
            <w:pPr>
              <w:pStyle w:val="TableText"/>
              <w:rPr>
                <w:b/>
              </w:rPr>
            </w:pPr>
            <w:r>
              <w:br w:type="page"/>
            </w:r>
            <w:r w:rsidR="003F0440">
              <w:rPr>
                <w:b/>
              </w:rPr>
              <w:t>Unit History Report</w:t>
            </w:r>
          </w:p>
        </w:tc>
      </w:tr>
      <w:tr w:rsidR="003F0440" w14:paraId="17563FE7"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6EB7AC34" w14:textId="77777777" w:rsidR="003F0440" w:rsidRDefault="003F0440" w:rsidP="002D126B">
            <w:pPr>
              <w:pStyle w:val="TableText"/>
            </w:pPr>
            <w:r>
              <w:t>The report is not multidivisional.</w:t>
            </w:r>
          </w:p>
        </w:tc>
      </w:tr>
      <w:tr w:rsidR="00DD7CAF" w:rsidRPr="00C06411" w14:paraId="03924117"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62DE41E1" w14:textId="77777777" w:rsidR="00DD7CAF" w:rsidRPr="00C06411" w:rsidRDefault="00DD7CAF" w:rsidP="005E39DA">
            <w:pPr>
              <w:pStyle w:val="TableText"/>
            </w:pPr>
            <w:r>
              <w:t xml:space="preserve">When a user retroactively updates a unit status through Discard or Quarantine, the Unit History Report displays the updated information, but does not display the date the change was made. </w:t>
            </w:r>
          </w:p>
        </w:tc>
      </w:tr>
      <w:tr w:rsidR="00CD5BA1" w:rsidRPr="00C06411" w14:paraId="5CD8363A"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3F95472C" w14:textId="34659750" w:rsidR="00CD5BA1" w:rsidRDefault="00CD5BA1" w:rsidP="005E39DA">
            <w:pPr>
              <w:pStyle w:val="TableText"/>
            </w:pPr>
            <w:r>
              <w:t>The r</w:t>
            </w:r>
            <w:r w:rsidRPr="001F1DB9">
              <w:t xml:space="preserve">eport </w:t>
            </w:r>
            <w:r>
              <w:t xml:space="preserve">will not indicate if a unit was returned to shipper, or shipped to another facility. This information can be found in the Cost Accounting Report. </w:t>
            </w:r>
            <w:r w:rsidRPr="00CD5BA1">
              <w:rPr>
                <w:vanish/>
              </w:rPr>
              <w:t>Defect 212158</w:t>
            </w:r>
          </w:p>
        </w:tc>
      </w:tr>
      <w:tr w:rsidR="00CD5BA1" w:rsidRPr="00C06411" w14:paraId="390BFB01"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18881EA2" w14:textId="253E6417" w:rsidR="00CD5BA1" w:rsidRDefault="00CD5BA1" w:rsidP="005E39DA">
            <w:pPr>
              <w:pStyle w:val="TableText"/>
            </w:pPr>
            <w:r>
              <w:t xml:space="preserve">The report does not display the Antigen Testing Phase Change Exception. See the Exception Report for this information. </w:t>
            </w:r>
            <w:r w:rsidRPr="00CD5BA1">
              <w:rPr>
                <w:vanish/>
              </w:rPr>
              <w:t>Defect 209575</w:t>
            </w:r>
          </w:p>
        </w:tc>
      </w:tr>
      <w:tr w:rsidR="00E04548" w:rsidRPr="00C06411" w14:paraId="160A4FC1"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24D838DE" w14:textId="3B3009CD" w:rsidR="00E04548" w:rsidRDefault="00E04548" w:rsidP="005E39DA">
            <w:pPr>
              <w:pStyle w:val="TableText"/>
            </w:pPr>
            <w:r>
              <w:t xml:space="preserve">When a user retroactively updates a unit status through the Discard or Quarantine option, the Unit History Report displays the updated information, but does not display the date the change was made. </w:t>
            </w:r>
            <w:r w:rsidRPr="00E04548">
              <w:rPr>
                <w:vanish/>
              </w:rPr>
              <w:t>Defect 212537</w:t>
            </w:r>
          </w:p>
        </w:tc>
      </w:tr>
    </w:tbl>
    <w:p w14:paraId="1CD7B57F" w14:textId="77777777" w:rsidR="00DD7CAF" w:rsidRDefault="00DD7CAF" w:rsidP="00C84564">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DA7DE2" w14:paraId="1F092694"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1A5A8E13" w14:textId="77777777" w:rsidR="003F0440" w:rsidRPr="00DA7DE2" w:rsidRDefault="003F0440" w:rsidP="002D126B">
            <w:pPr>
              <w:pStyle w:val="TableText"/>
              <w:rPr>
                <w:b/>
              </w:rPr>
            </w:pPr>
            <w:r w:rsidRPr="00DA7DE2">
              <w:rPr>
                <w:b/>
              </w:rPr>
              <w:t>Update User Roles</w:t>
            </w:r>
          </w:p>
        </w:tc>
      </w:tr>
      <w:tr w:rsidR="003F0440" w:rsidRPr="00725902" w14:paraId="1D2851EA" w14:textId="77777777">
        <w:trPr>
          <w:cantSplit/>
          <w:hidden/>
        </w:trPr>
        <w:tc>
          <w:tcPr>
            <w:tcW w:w="9360" w:type="dxa"/>
            <w:tcBorders>
              <w:top w:val="single" w:sz="6" w:space="0" w:color="000000"/>
              <w:left w:val="single" w:sz="6" w:space="0" w:color="000000"/>
              <w:bottom w:val="single" w:sz="6" w:space="0" w:color="000000"/>
              <w:right w:val="single" w:sz="6" w:space="0" w:color="000000"/>
            </w:tcBorders>
            <w:vAlign w:val="bottom"/>
          </w:tcPr>
          <w:p w14:paraId="3D19ADAB" w14:textId="77777777" w:rsidR="003F0440" w:rsidRDefault="003F0440" w:rsidP="002D126B">
            <w:pPr>
              <w:pStyle w:val="TableText"/>
            </w:pPr>
            <w:r>
              <w:rPr>
                <w:vanish/>
              </w:rPr>
              <w:t xml:space="preserve">BR_19.01, BR_19.03 </w:t>
            </w:r>
            <w:r>
              <w:t>One role at a time may be assigned to a user at a division. The role may be reset.</w:t>
            </w:r>
          </w:p>
        </w:tc>
      </w:tr>
      <w:tr w:rsidR="003F0440" w:rsidRPr="00725902" w14:paraId="2B6D838E"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2EDB3ADA" w14:textId="77777777" w:rsidR="003F0440" w:rsidRDefault="00DD0BFD" w:rsidP="00DD0BFD">
            <w:pPr>
              <w:pStyle w:val="TableText"/>
            </w:pPr>
            <w:r>
              <w:t xml:space="preserve">VBECS does not allow users </w:t>
            </w:r>
            <w:r w:rsidR="00AB565A">
              <w:rPr>
                <w:vanish/>
              </w:rPr>
              <w:t xml:space="preserve">BR_19.06 </w:t>
            </w:r>
            <w:r>
              <w:t>to edit or delete the sole Administrator/Supervisor.</w:t>
            </w:r>
          </w:p>
        </w:tc>
      </w:tr>
    </w:tbl>
    <w:p w14:paraId="235CA791" w14:textId="77777777" w:rsidR="00C84564" w:rsidRDefault="00C84564" w:rsidP="00C84564">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7F506D" w14:paraId="5C39C20E"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34953C5E" w14:textId="77777777" w:rsidR="003F0440" w:rsidRPr="007F506D" w:rsidRDefault="003F0440" w:rsidP="002D126B">
            <w:pPr>
              <w:pStyle w:val="TableText"/>
              <w:rPr>
                <w:b/>
              </w:rPr>
            </w:pPr>
            <w:r w:rsidRPr="007F506D">
              <w:rPr>
                <w:b/>
              </w:rPr>
              <w:t>Updated Patients and Deceased Patients</w:t>
            </w:r>
          </w:p>
        </w:tc>
      </w:tr>
      <w:tr w:rsidR="00D139EE" w:rsidRPr="00725902" w14:paraId="75FD70A9"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2ED6801C" w14:textId="77777777" w:rsidR="00D139EE" w:rsidRDefault="00D139EE" w:rsidP="00D139EE">
            <w:pPr>
              <w:pStyle w:val="TableText"/>
            </w:pPr>
            <w:r>
              <w:t>Demographic and death event updates do not display information for patients without pending or active orders in VBECS. Updates will occur without user input.</w:t>
            </w:r>
          </w:p>
        </w:tc>
      </w:tr>
      <w:tr w:rsidR="00D139EE" w:rsidRPr="00725902" w14:paraId="751DB836"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16D7EFF8" w14:textId="77777777" w:rsidR="00D139EE" w:rsidRDefault="00D139EE" w:rsidP="00D139EE">
            <w:pPr>
              <w:pStyle w:val="TableText"/>
            </w:pPr>
            <w:r>
              <w:t xml:space="preserve">VBECS does not notify users of additional VistA patient updates or merges while the icon is displayed. When a user views an update and there is an unprocessed patient merge, the Patient Alert icon remains on the screen until the Traditional Supervisor completes the update and clears the icon. </w:t>
            </w:r>
          </w:p>
        </w:tc>
      </w:tr>
      <w:tr w:rsidR="00D139EE" w:rsidRPr="00725902" w14:paraId="3C7C2A5B"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1030D586" w14:textId="77777777" w:rsidR="00D139EE" w:rsidRDefault="00D139EE" w:rsidP="00D139EE">
            <w:pPr>
              <w:pStyle w:val="TableText"/>
            </w:pPr>
            <w:r>
              <w:t>When VBECS notifies a user of an update to a patient’s prefix or suffix, VBECS does not display the updated information: the user must access VistA to view the updated information.</w:t>
            </w:r>
            <w:r w:rsidRPr="00C805FB">
              <w:rPr>
                <w:vanish/>
              </w:rPr>
              <w:t xml:space="preserve"> </w:t>
            </w:r>
            <w:r>
              <w:rPr>
                <w:vanish/>
              </w:rPr>
              <w:t>DR 2,714</w:t>
            </w:r>
          </w:p>
        </w:tc>
      </w:tr>
      <w:tr w:rsidR="00195D83" w:rsidRPr="00725902" w14:paraId="5EF20387"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0271B323" w14:textId="77777777" w:rsidR="00195D83" w:rsidRDefault="00195D83" w:rsidP="00D139EE">
            <w:pPr>
              <w:pStyle w:val="TableText"/>
            </w:pPr>
            <w:r>
              <w:t xml:space="preserve">Suffix data may be outdated but will be refreshed upon a new order for a patient. </w:t>
            </w:r>
            <w:r w:rsidRPr="006941AE">
              <w:rPr>
                <w:vanish/>
              </w:rPr>
              <w:t>Task 447307</w:t>
            </w:r>
          </w:p>
        </w:tc>
      </w:tr>
    </w:tbl>
    <w:p w14:paraId="057E4CA2" w14:textId="77777777" w:rsidR="00C84564" w:rsidRDefault="00C84564" w:rsidP="00C84564">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5E7BB7" w:rsidRPr="00FA7720" w14:paraId="358E15D6" w14:textId="77777777" w:rsidTr="00D25275">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594E8D42" w14:textId="77777777" w:rsidR="005E7BB7" w:rsidRPr="00FA7720" w:rsidRDefault="005E7BB7" w:rsidP="00D25275">
            <w:pPr>
              <w:pStyle w:val="TableText"/>
              <w:rPr>
                <w:b/>
              </w:rPr>
            </w:pPr>
            <w:r>
              <w:rPr>
                <w:b/>
              </w:rPr>
              <w:lastRenderedPageBreak/>
              <w:t>View Special Instructions and Transfusion Requirements</w:t>
            </w:r>
          </w:p>
        </w:tc>
      </w:tr>
      <w:tr w:rsidR="005E7BB7" w:rsidRPr="00725902" w14:paraId="4251E2B5" w14:textId="77777777" w:rsidTr="00D25275">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26E88C0F" w14:textId="77777777" w:rsidR="005E7BB7" w:rsidRPr="00725902" w:rsidRDefault="005E7BB7" w:rsidP="00D25275">
            <w:pPr>
              <w:pStyle w:val="TableText"/>
            </w:pPr>
            <w:r>
              <w:t xml:space="preserve">Changing </w:t>
            </w:r>
            <w:r w:rsidRPr="00633316">
              <w:t xml:space="preserve">a patient's antigen negative requirement or antibody identified after a unit is crossmatched does not provide an alert at Issue Unit regarding the type of crossmatch </w:t>
            </w:r>
            <w:r>
              <w:t xml:space="preserve">(electronic or serologic) </w:t>
            </w:r>
            <w:r w:rsidRPr="00633316">
              <w:t xml:space="preserve">performed on </w:t>
            </w:r>
            <w:r>
              <w:t xml:space="preserve">a </w:t>
            </w:r>
            <w:r w:rsidRPr="00633316">
              <w:t>unit</w:t>
            </w:r>
            <w:r>
              <w:t xml:space="preserve"> available for issue</w:t>
            </w:r>
            <w:r w:rsidRPr="00633316">
              <w:t>.</w:t>
            </w:r>
          </w:p>
        </w:tc>
      </w:tr>
      <w:tr w:rsidR="00972057" w:rsidRPr="00725902" w14:paraId="26429746" w14:textId="77777777" w:rsidTr="0097205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6A87A9C3" w14:textId="77777777" w:rsidR="00972057" w:rsidRPr="00972057" w:rsidRDefault="00972057" w:rsidP="00972057">
            <w:pPr>
              <w:pStyle w:val="TableText"/>
              <w:rPr>
                <w:rFonts w:cs="Arial"/>
                <w:szCs w:val="18"/>
              </w:rPr>
            </w:pPr>
            <w:r w:rsidRPr="00972057">
              <w:rPr>
                <w:rFonts w:cs="Arial"/>
                <w:szCs w:val="18"/>
              </w:rPr>
              <w:t xml:space="preserve">This icon </w:t>
            </w:r>
            <w:r w:rsidRPr="00972057">
              <w:rPr>
                <w:rFonts w:cs="Arial"/>
                <w:noProof/>
                <w:szCs w:val="18"/>
              </w:rPr>
              <w:drawing>
                <wp:inline distT="0" distB="0" distL="0" distR="0" wp14:anchorId="2095B440" wp14:editId="536FF15E">
                  <wp:extent cx="156845" cy="156845"/>
                  <wp:effectExtent l="0" t="0" r="0" b="0"/>
                  <wp:docPr id="3" name="Picture 3" descr="View Special Instructions and Transfusion Requirements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View Special Instructions and Transfusion Requirements icon"/>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Pr="00972057">
              <w:rPr>
                <w:rFonts w:cs="Arial"/>
                <w:szCs w:val="18"/>
              </w:rPr>
              <w:t> will be disabled when the icon is displayed:</w:t>
            </w:r>
          </w:p>
          <w:p w14:paraId="71887E6B" w14:textId="77777777" w:rsidR="00972057" w:rsidRPr="00C46DE2" w:rsidRDefault="00972057" w:rsidP="006F799E">
            <w:pPr>
              <w:pStyle w:val="TableTextBullet"/>
            </w:pPr>
            <w:r w:rsidRPr="00972057">
              <w:rPr>
                <w:rFonts w:cs="Arial"/>
                <w:szCs w:val="18"/>
              </w:rPr>
              <w:t xml:space="preserve">within the </w:t>
            </w:r>
            <w:r w:rsidRPr="00C46DE2">
              <w:t>patient search window because special instructions and transfusion requirements are already displayed automatically within this option.</w:t>
            </w:r>
          </w:p>
          <w:p w14:paraId="76012DAF" w14:textId="6164330A" w:rsidR="00972057" w:rsidRPr="00766C20" w:rsidRDefault="00972057" w:rsidP="00766C20">
            <w:pPr>
              <w:pStyle w:val="TableTextBullet"/>
            </w:pPr>
            <w:r w:rsidRPr="00C46DE2">
              <w:t>within this option</w:t>
            </w:r>
            <w:r w:rsidR="00766C20">
              <w:t>, the selected patient does not have S</w:t>
            </w:r>
            <w:r w:rsidR="006B7B0F">
              <w:t>I</w:t>
            </w:r>
            <w:r w:rsidR="00766C20">
              <w:t xml:space="preserve">s or TRs to display. </w:t>
            </w:r>
            <w:r w:rsidR="00766C20" w:rsidRPr="00766C20">
              <w:rPr>
                <w:vanish/>
              </w:rPr>
              <w:t>Task 6069</w:t>
            </w:r>
            <w:r w:rsidR="00766C20">
              <w:rPr>
                <w:vanish/>
              </w:rPr>
              <w:t>14</w:t>
            </w:r>
          </w:p>
        </w:tc>
      </w:tr>
    </w:tbl>
    <w:p w14:paraId="1B7923C3" w14:textId="77777777" w:rsidR="005E7BB7" w:rsidRDefault="005E7BB7" w:rsidP="00C84564">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FA7720" w14:paraId="529991B7"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115DB29B" w14:textId="77777777" w:rsidR="003F0440" w:rsidRPr="00FA7720" w:rsidRDefault="003F0440" w:rsidP="002D126B">
            <w:pPr>
              <w:pStyle w:val="TableText"/>
              <w:rPr>
                <w:b/>
              </w:rPr>
            </w:pPr>
            <w:r w:rsidRPr="00FA7720">
              <w:rPr>
                <w:b/>
              </w:rPr>
              <w:t>Workload Codes</w:t>
            </w:r>
          </w:p>
        </w:tc>
      </w:tr>
      <w:tr w:rsidR="003F0440" w:rsidRPr="00725902" w14:paraId="5D2B9D8C"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6877F62A" w14:textId="77777777" w:rsidR="003F0440" w:rsidRPr="00725902" w:rsidRDefault="003F0440" w:rsidP="002D126B">
            <w:pPr>
              <w:pStyle w:val="TableText"/>
            </w:pPr>
            <w:r>
              <w:t>Transfusion-only sites must not map workload codes to processes such as ABO/Rh testing not performed on site.</w:t>
            </w:r>
          </w:p>
        </w:tc>
      </w:tr>
      <w:tr w:rsidR="003F2431" w:rsidRPr="00725902" w14:paraId="7886F3E7"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6D47DA19" w14:textId="4CA328BB" w:rsidR="003F2431" w:rsidRPr="003F2431" w:rsidRDefault="003F2431" w:rsidP="002D126B">
            <w:pPr>
              <w:pStyle w:val="TableText"/>
              <w:rPr>
                <w:b/>
              </w:rPr>
            </w:pPr>
            <w:r w:rsidRPr="003F2431">
              <w:t>Retrieved LMIP/NLT codes from VistA may have multiple CPT codes. Inactivating any of the associated CPT codes in VBECS will inactivate the LMIP/NLT code. Editing of the LMIP/NLT code associations must be done in VistA.</w:t>
            </w:r>
            <w:r w:rsidR="00BC04D1">
              <w:rPr>
                <w:vanish/>
              </w:rPr>
              <w:t xml:space="preserve"> DR 3090</w:t>
            </w:r>
            <w:r w:rsidR="00BC04D1">
              <w:t xml:space="preserve"> </w:t>
            </w:r>
            <w:r w:rsidR="00BC04D1" w:rsidRPr="00377878">
              <w:rPr>
                <w:vanish/>
              </w:rPr>
              <w:t>Defect 209370</w:t>
            </w:r>
          </w:p>
        </w:tc>
      </w:tr>
      <w:tr w:rsidR="00E25C40" w:rsidRPr="00725902" w14:paraId="14B33A36"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0A37AB4C" w14:textId="72DE27FF" w:rsidR="00E25C40" w:rsidRPr="003F2431" w:rsidRDefault="00E25C40" w:rsidP="002D126B">
            <w:pPr>
              <w:pStyle w:val="TableText"/>
            </w:pPr>
            <w:r>
              <w:t xml:space="preserve">Invalidating split units will result in extra workload equal to the number of splits created applied to the total number of units logged in. This occurs when split units are incorrectly processed in VBECS. </w:t>
            </w:r>
            <w:r w:rsidRPr="00E25C40">
              <w:rPr>
                <w:vanish/>
              </w:rPr>
              <w:t>Defect 209156</w:t>
            </w:r>
          </w:p>
        </w:tc>
      </w:tr>
    </w:tbl>
    <w:p w14:paraId="0890333C" w14:textId="77777777" w:rsidR="005C2727" w:rsidRDefault="005C2727">
      <w:pPr>
        <w:rPr>
          <w:sz w:val="22"/>
          <w:szCs w:val="22"/>
        </w:rPr>
      </w:pPr>
      <w:r>
        <w:br w:type="page"/>
      </w:r>
    </w:p>
    <w:p w14:paraId="387AA4DA" w14:textId="33F81B50" w:rsidR="00D9569F" w:rsidRDefault="00D9569F" w:rsidP="00AF2D0E">
      <w:pPr>
        <w:pStyle w:val="Heading2"/>
      </w:pPr>
      <w:bookmarkStart w:id="767" w:name="_Toc203765990"/>
      <w:bookmarkEnd w:id="766"/>
      <w:r>
        <w:lastRenderedPageBreak/>
        <w:t xml:space="preserve">Appendix </w:t>
      </w:r>
      <w:r w:rsidR="001B0B0C">
        <w:rPr>
          <w:noProof/>
        </w:rPr>
        <w:t>E</w:t>
      </w:r>
      <w:r>
        <w:t>: Known Defects and Anomalies</w:t>
      </w:r>
      <w:bookmarkEnd w:id="767"/>
      <w:r w:rsidR="00681D23">
        <w:fldChar w:fldCharType="begin"/>
      </w:r>
      <w:r w:rsidR="00681D23">
        <w:instrText xml:space="preserve"> XE "</w:instrText>
      </w:r>
      <w:r w:rsidR="00681D23" w:rsidRPr="00FB2A0A">
        <w:instrText>Known Defects and Anomalies</w:instrText>
      </w:r>
      <w:r w:rsidR="00681D23">
        <w:instrText xml:space="preserve">" </w:instrText>
      </w:r>
      <w:r w:rsidR="00681D23">
        <w:fldChar w:fldCharType="end"/>
      </w:r>
    </w:p>
    <w:p w14:paraId="185A3449" w14:textId="05B74F8C" w:rsidR="00770D97" w:rsidRDefault="002D77E5" w:rsidP="002D77E5">
      <w:pPr>
        <w:pStyle w:val="BodyText"/>
      </w:pPr>
      <w:r>
        <w:t xml:space="preserve">Users may retrieve </w:t>
      </w:r>
      <w:r w:rsidR="00770D97">
        <w:t xml:space="preserve">a </w:t>
      </w:r>
      <w:r>
        <w:t xml:space="preserve">copy of the </w:t>
      </w:r>
      <w:r w:rsidRPr="002D77E5">
        <w:rPr>
          <w:i/>
          <w:iCs/>
        </w:rPr>
        <w:t>VBECS 2.</w:t>
      </w:r>
      <w:r w:rsidR="005E5828">
        <w:rPr>
          <w:i/>
          <w:iCs/>
        </w:rPr>
        <w:t>4.0</w:t>
      </w:r>
      <w:r w:rsidRPr="002D77E5">
        <w:rPr>
          <w:i/>
          <w:iCs/>
        </w:rPr>
        <w:t xml:space="preserve"> Known Defects and Anomalies</w:t>
      </w:r>
      <w:r>
        <w:t xml:space="preserve"> document from</w:t>
      </w:r>
      <w:r w:rsidR="00770D97">
        <w:t xml:space="preserve">: </w:t>
      </w:r>
    </w:p>
    <w:p w14:paraId="04A380F5" w14:textId="4A67FEBD" w:rsidR="00770D97" w:rsidRPr="007F445A" w:rsidRDefault="002D77E5" w:rsidP="003E663B">
      <w:pPr>
        <w:pStyle w:val="TableTextBullet"/>
        <w:rPr>
          <w:rFonts w:ascii="Times New Roman" w:hAnsi="Times New Roman"/>
          <w:sz w:val="22"/>
          <w:szCs w:val="22"/>
        </w:rPr>
      </w:pPr>
      <w:hyperlink r:id="rId219" w:history="1">
        <w:r w:rsidRPr="007F445A">
          <w:rPr>
            <w:rStyle w:val="Hyperlink"/>
            <w:rFonts w:ascii="Times New Roman" w:hAnsi="Times New Roman"/>
            <w:sz w:val="22"/>
            <w:szCs w:val="22"/>
          </w:rPr>
          <w:t>VistA Documentation Library (VDL) Web site</w:t>
        </w:r>
      </w:hyperlink>
      <w:r w:rsidR="00770D97" w:rsidRPr="007F445A">
        <w:rPr>
          <w:rFonts w:ascii="Times New Roman" w:hAnsi="Times New Roman"/>
          <w:sz w:val="22"/>
          <w:szCs w:val="22"/>
        </w:rPr>
        <w:t xml:space="preserve"> (content may have redactions)</w:t>
      </w:r>
    </w:p>
    <w:p w14:paraId="55859C79" w14:textId="38E4DCED" w:rsidR="002D77E5" w:rsidRPr="001E0C47" w:rsidRDefault="001E0C47" w:rsidP="003E663B">
      <w:pPr>
        <w:pStyle w:val="TableTextBullet"/>
        <w:rPr>
          <w:rFonts w:ascii="Times New Roman" w:hAnsi="Times New Roman"/>
          <w:sz w:val="22"/>
          <w:szCs w:val="22"/>
          <w:highlight w:val="yellow"/>
        </w:rPr>
      </w:pPr>
      <w:r w:rsidRPr="001E0C47">
        <w:rPr>
          <w:rFonts w:ascii="Times New Roman" w:hAnsi="Times New Roman"/>
          <w:sz w:val="22"/>
          <w:szCs w:val="22"/>
          <w:highlight w:val="yellow"/>
        </w:rPr>
        <w:t>REDACTED</w:t>
      </w:r>
    </w:p>
    <w:p w14:paraId="0A88DB2B" w14:textId="2070C290" w:rsidR="002A21AE" w:rsidRDefault="000C342D">
      <w:pPr>
        <w:pStyle w:val="Heading2"/>
      </w:pPr>
      <w:r>
        <w:br w:type="page"/>
      </w:r>
      <w:bookmarkStart w:id="768" w:name="_Toc203765991"/>
      <w:r w:rsidR="002A21AE">
        <w:lastRenderedPageBreak/>
        <w:t xml:space="preserve">Appendix </w:t>
      </w:r>
      <w:r w:rsidR="001B0B0C">
        <w:rPr>
          <w:noProof/>
        </w:rPr>
        <w:t>F</w:t>
      </w:r>
      <w:r w:rsidR="002A21AE">
        <w:t>: System Validation</w:t>
      </w:r>
      <w:bookmarkEnd w:id="768"/>
      <w:r w:rsidR="002A21AE">
        <w:fldChar w:fldCharType="begin"/>
      </w:r>
      <w:r w:rsidR="002A21AE">
        <w:instrText xml:space="preserve"> XE </w:instrText>
      </w:r>
      <w:r w:rsidR="00FA7E65">
        <w:instrText>“</w:instrText>
      </w:r>
      <w:r w:rsidR="002A21AE">
        <w:instrText>System Validation</w:instrText>
      </w:r>
      <w:r w:rsidR="00FA7E65">
        <w:instrText>”</w:instrText>
      </w:r>
      <w:r w:rsidR="002A21AE">
        <w:instrText xml:space="preserve"> </w:instrText>
      </w:r>
      <w:r w:rsidR="002A21AE">
        <w:fldChar w:fldCharType="end"/>
      </w:r>
    </w:p>
    <w:p w14:paraId="3F4CBE4A" w14:textId="77777777" w:rsidR="002E3C00" w:rsidRDefault="002E3C00" w:rsidP="002E3C00">
      <w:pPr>
        <w:pStyle w:val="Heading3"/>
      </w:pPr>
      <w:bookmarkStart w:id="769" w:name="_Toc114462089"/>
      <w:bookmarkStart w:id="770" w:name="_Toc203765992"/>
      <w:r>
        <w:t>Introduction</w:t>
      </w:r>
      <w:bookmarkEnd w:id="769"/>
      <w:bookmarkEnd w:id="770"/>
      <w:r w:rsidR="00E21F36">
        <w:fldChar w:fldCharType="begin"/>
      </w:r>
      <w:r w:rsidR="00E21F36">
        <w:instrText xml:space="preserve"> XE " System Validation:</w:instrText>
      </w:r>
      <w:r w:rsidR="00E21F36" w:rsidRPr="0081226B">
        <w:instrText>Introduction</w:instrText>
      </w:r>
      <w:r w:rsidR="00E21F36">
        <w:instrText xml:space="preserve">" </w:instrText>
      </w:r>
      <w:r w:rsidR="00E21F36">
        <w:fldChar w:fldCharType="end"/>
      </w:r>
    </w:p>
    <w:p w14:paraId="7E2CE329" w14:textId="6979FE93" w:rsidR="00AB21DA" w:rsidRDefault="00AB21DA" w:rsidP="00AB21DA">
      <w:pPr>
        <w:pStyle w:val="BodyText"/>
      </w:pPr>
      <w:r>
        <w:t>Each facility is responsible for validating</w:t>
      </w:r>
      <w:r w:rsidRPr="00437093">
        <w:t xml:space="preserve"> </w:t>
      </w:r>
      <w:r>
        <w:t xml:space="preserve">the VBECS </w:t>
      </w:r>
      <w:r w:rsidRPr="00437093">
        <w:t xml:space="preserve">installation, operation, and </w:t>
      </w:r>
      <w:r>
        <w:t>performance</w:t>
      </w:r>
      <w:r w:rsidRPr="00437093">
        <w:t xml:space="preserve"> </w:t>
      </w:r>
      <w:r>
        <w:t>before</w:t>
      </w:r>
      <w:r w:rsidRPr="00437093">
        <w:t xml:space="preserve"> using </w:t>
      </w:r>
      <w:r>
        <w:t xml:space="preserve">VBECS </w:t>
      </w:r>
      <w:r w:rsidRPr="00437093">
        <w:t>in a live (production) environment.</w:t>
      </w:r>
      <w:r>
        <w:t xml:space="preserve"> This includes evaluating</w:t>
      </w:r>
      <w:r w:rsidRPr="00437093">
        <w:t xml:space="preserve"> local intend</w:t>
      </w:r>
      <w:r>
        <w:t>ed uses of the software and</w:t>
      </w:r>
      <w:r w:rsidR="00503461">
        <w:t xml:space="preserve"> changing settings </w:t>
      </w:r>
      <w:r w:rsidRPr="00437093">
        <w:t xml:space="preserve">to conform to </w:t>
      </w:r>
      <w:r>
        <w:t>the</w:t>
      </w:r>
      <w:r w:rsidRPr="00437093">
        <w:t xml:space="preserve"> facility’s procedures, processes, and policies</w:t>
      </w:r>
      <w:r w:rsidR="006950B8">
        <w:t>.</w:t>
      </w:r>
      <w:r w:rsidRPr="00437093">
        <w:t xml:space="preserve"> Use internal operating procedures and policies to validate that the software </w:t>
      </w:r>
      <w:r>
        <w:t>performs</w:t>
      </w:r>
      <w:r w:rsidRPr="00437093">
        <w:t xml:space="preserve"> in accordan</w:t>
      </w:r>
      <w:r>
        <w:t>c</w:t>
      </w:r>
      <w:r w:rsidRPr="00437093">
        <w:t>e with your site’s parameters.</w:t>
      </w:r>
      <w:r w:rsidR="00066BE2">
        <w:t xml:space="preserve"> </w:t>
      </w:r>
      <w:r w:rsidR="00EF39BA">
        <w:t>Determine the level of validation required for c</w:t>
      </w:r>
      <w:r w:rsidR="00066BE2">
        <w:t>hanges to h</w:t>
      </w:r>
      <w:r w:rsidR="00EF39BA">
        <w:t>ardware and software</w:t>
      </w:r>
      <w:r w:rsidR="00066BE2">
        <w:t>.</w:t>
      </w:r>
      <w:r w:rsidR="00AF3C57">
        <w:t xml:space="preserve"> (See </w:t>
      </w:r>
      <w:r w:rsidR="00AF3C57" w:rsidRPr="00077082">
        <w:rPr>
          <w:i/>
          <w:iCs/>
        </w:rPr>
        <w:t xml:space="preserve">FAQ </w:t>
      </w:r>
      <w:r w:rsidR="00BC2656" w:rsidRPr="00077082">
        <w:rPr>
          <w:i/>
          <w:iCs/>
        </w:rPr>
        <w:t>Ancillary VistA Validation</w:t>
      </w:r>
      <w:r w:rsidR="00AF3C57">
        <w:t>).</w:t>
      </w:r>
    </w:p>
    <w:p w14:paraId="1B13AAA3" w14:textId="77777777" w:rsidR="0096773B" w:rsidRDefault="0096773B" w:rsidP="0096773B">
      <w:pPr>
        <w:pStyle w:val="Caution"/>
        <w:rPr>
          <w:szCs w:val="15"/>
        </w:rPr>
      </w:pPr>
      <w:r w:rsidRPr="009830A4">
        <w:t xml:space="preserve">This section describes only basic system validation. Sample test scripts are available from the </w:t>
      </w:r>
      <w:r w:rsidRPr="004002F6">
        <w:t>National Training &amp; Education Office</w:t>
      </w:r>
      <w:r w:rsidRPr="009830A4">
        <w:t xml:space="preserve"> </w:t>
      </w:r>
      <w:r>
        <w:t>(</w:t>
      </w:r>
      <w:r w:rsidRPr="009830A4">
        <w:t>NT&amp;EO</w:t>
      </w:r>
      <w:r>
        <w:t>)</w:t>
      </w:r>
      <w:r w:rsidRPr="009830A4">
        <w:t>.</w:t>
      </w:r>
    </w:p>
    <w:p w14:paraId="5C85E3BD" w14:textId="77777777" w:rsidR="009D2266" w:rsidRDefault="009D2266" w:rsidP="009D2266">
      <w:pPr>
        <w:pStyle w:val="Heading3"/>
      </w:pPr>
      <w:bookmarkStart w:id="771" w:name="_Toc203765993"/>
      <w:r>
        <w:t>Validation Plan</w:t>
      </w:r>
      <w:bookmarkEnd w:id="771"/>
      <w:r w:rsidR="00AB21DA">
        <w:fldChar w:fldCharType="begin"/>
      </w:r>
      <w:r w:rsidR="00AB21DA">
        <w:instrText xml:space="preserve"> XE " System Validation:Validation Plan" </w:instrText>
      </w:r>
      <w:r w:rsidR="00AB21DA">
        <w:fldChar w:fldCharType="end"/>
      </w:r>
    </w:p>
    <w:p w14:paraId="177EB02A" w14:textId="77777777" w:rsidR="001F3C29" w:rsidRDefault="009D2266" w:rsidP="001F3C29">
      <w:pPr>
        <w:pStyle w:val="BodyText"/>
      </w:pPr>
      <w:r w:rsidRPr="00437093">
        <w:t xml:space="preserve">Write a </w:t>
      </w:r>
      <w:r>
        <w:t>validation</w:t>
      </w:r>
      <w:r w:rsidRPr="00437093">
        <w:t xml:space="preserve"> plan</w:t>
      </w:r>
      <w:r>
        <w:t xml:space="preserve"> with clearly stated goals and strategies</w:t>
      </w:r>
      <w:r w:rsidRPr="00437093">
        <w:t xml:space="preserve"> to demonstrate that </w:t>
      </w:r>
      <w:r>
        <w:t xml:space="preserve">the system hardware, application, </w:t>
      </w:r>
      <w:r w:rsidRPr="00437093">
        <w:t>new feature</w:t>
      </w:r>
      <w:r>
        <w:t>s,</w:t>
      </w:r>
      <w:r w:rsidRPr="00437093">
        <w:t xml:space="preserve"> </w:t>
      </w:r>
      <w:r>
        <w:t>and</w:t>
      </w:r>
      <w:r w:rsidRPr="00437093">
        <w:t xml:space="preserve"> software patch</w:t>
      </w:r>
      <w:r>
        <w:t>es</w:t>
      </w:r>
      <w:r w:rsidRPr="00437093">
        <w:t xml:space="preserve"> function as expected in your facility’s environment.</w:t>
      </w:r>
      <w:r>
        <w:t xml:space="preserve"> Include descriptions of documents, hardware and software Verification &amp; Validation (V&amp;V) tools, techniques, methods, and operating and test environments to be used. </w:t>
      </w:r>
      <w:r w:rsidR="001F3C29" w:rsidRPr="00437093">
        <w:t xml:space="preserve">Determine </w:t>
      </w:r>
      <w:r w:rsidR="001F3C29">
        <w:t xml:space="preserve">and document </w:t>
      </w:r>
      <w:r w:rsidR="001F3C29" w:rsidRPr="00437093">
        <w:t>when an option is not applicable to your facilit</w:t>
      </w:r>
      <w:r w:rsidR="001F3C29">
        <w:t>y and does not require testing.</w:t>
      </w:r>
    </w:p>
    <w:p w14:paraId="72390150" w14:textId="77777777" w:rsidR="009D2266" w:rsidRDefault="009D2266" w:rsidP="001F3C29">
      <w:pPr>
        <w:pStyle w:val="BodyText"/>
      </w:pPr>
      <w:r>
        <w:t xml:space="preserve">You may separate this plan into three major sections: </w:t>
      </w:r>
    </w:p>
    <w:p w14:paraId="0FF453E6" w14:textId="77777777" w:rsidR="009D2266" w:rsidRPr="009D2266" w:rsidRDefault="009D2266" w:rsidP="009D2266">
      <w:pPr>
        <w:pStyle w:val="Heading4"/>
        <w:rPr>
          <w:vertAlign w:val="superscript"/>
        </w:rPr>
      </w:pPr>
      <w:r>
        <w:t xml:space="preserve">Installation Qualification </w:t>
      </w:r>
      <w:r w:rsidR="00AB21DA">
        <w:fldChar w:fldCharType="begin"/>
      </w:r>
      <w:r w:rsidR="00AB21DA">
        <w:instrText xml:space="preserve"> XE " System Validation:Installation Qualification" </w:instrText>
      </w:r>
      <w:r w:rsidR="00AB21DA">
        <w:fldChar w:fldCharType="end"/>
      </w:r>
    </w:p>
    <w:p w14:paraId="2B435F85" w14:textId="77777777" w:rsidR="009D2266" w:rsidRPr="009D2266" w:rsidRDefault="00AB21DA" w:rsidP="009D2266">
      <w:pPr>
        <w:pStyle w:val="BodyText"/>
        <w:rPr>
          <w:vertAlign w:val="superscript"/>
        </w:rPr>
      </w:pPr>
      <w:r>
        <w:t xml:space="preserve">The Installation Qualification (IQ) section includes </w:t>
      </w:r>
      <w:r w:rsidR="009D2266" w:rsidRPr="00437093">
        <w:t>system identification, definition of physical properties, interfaces and peripheral devices</w:t>
      </w:r>
      <w:r w:rsidR="009D2266">
        <w:t>,</w:t>
      </w:r>
      <w:r w:rsidR="009D2266" w:rsidRPr="00437093">
        <w:t xml:space="preserve"> and general functionality.</w:t>
      </w:r>
      <w:r w:rsidR="009D2266">
        <w:t xml:space="preserve"> Determine what types of testing must be done</w:t>
      </w:r>
      <w:r w:rsidR="003A7C77">
        <w:t>. C</w:t>
      </w:r>
      <w:r w:rsidR="009D2266">
        <w:t>reate test cases</w:t>
      </w:r>
      <w:r w:rsidR="009D2266" w:rsidRPr="00437093">
        <w:t xml:space="preserve"> in accordance with your </w:t>
      </w:r>
      <w:r w:rsidR="009D2266">
        <w:t>internal procedures</w:t>
      </w:r>
      <w:r w:rsidR="00F1479E">
        <w:t xml:space="preserve"> and intended use</w:t>
      </w:r>
      <w:r w:rsidR="009D2266">
        <w:t xml:space="preserve">. </w:t>
      </w:r>
    </w:p>
    <w:p w14:paraId="52B4374C" w14:textId="77777777" w:rsidR="009D2266" w:rsidRPr="009D2266" w:rsidRDefault="009D2266" w:rsidP="009D2266">
      <w:pPr>
        <w:pStyle w:val="BodyText"/>
        <w:rPr>
          <w:vertAlign w:val="superscript"/>
        </w:rPr>
      </w:pPr>
      <w:r>
        <w:t xml:space="preserve">Apply </w:t>
      </w:r>
      <w:r w:rsidRPr="00437093">
        <w:t xml:space="preserve">review, analysis, and testing techniques to determine whether </w:t>
      </w:r>
      <w:r>
        <w:t>VBECS hardware and peripheral components co</w:t>
      </w:r>
      <w:r w:rsidRPr="00437093">
        <w:t>mply with requirements</w:t>
      </w:r>
      <w:r>
        <w:t>, including</w:t>
      </w:r>
      <w:r w:rsidRPr="00437093">
        <w:t xml:space="preserve"> functionality and attributes such as consistency, safety, and security.</w:t>
      </w:r>
      <w:r>
        <w:t xml:space="preserve"> </w:t>
      </w:r>
    </w:p>
    <w:p w14:paraId="66BA5179" w14:textId="77777777" w:rsidR="009D2266" w:rsidRDefault="009D2266" w:rsidP="009D2266">
      <w:pPr>
        <w:pStyle w:val="Heading4"/>
      </w:pPr>
      <w:r>
        <w:t>Operational Qualificati</w:t>
      </w:r>
      <w:r w:rsidR="00AB21DA">
        <w:t>on</w:t>
      </w:r>
      <w:r w:rsidR="00AB21DA">
        <w:fldChar w:fldCharType="begin"/>
      </w:r>
      <w:r w:rsidR="00AB21DA">
        <w:instrText xml:space="preserve"> XE " System Validation:Operational Qualification" </w:instrText>
      </w:r>
      <w:r w:rsidR="00AB21DA">
        <w:fldChar w:fldCharType="end"/>
      </w:r>
    </w:p>
    <w:p w14:paraId="14D47A42" w14:textId="77777777" w:rsidR="008F2FBA" w:rsidRDefault="00AB21DA" w:rsidP="009D2266">
      <w:pPr>
        <w:pStyle w:val="BodyText"/>
      </w:pPr>
      <w:r>
        <w:t>The Operational Qualification (OQ) section includes</w:t>
      </w:r>
      <w:r w:rsidR="009D2266">
        <w:t xml:space="preserve"> testing the software</w:t>
      </w:r>
      <w:r w:rsidR="009C7E9A">
        <w:t xml:space="preserve"> (</w:t>
      </w:r>
      <w:r w:rsidR="009C4EA7" w:rsidRPr="00437093">
        <w:t xml:space="preserve">the </w:t>
      </w:r>
      <w:r w:rsidR="009C4EA7">
        <w:t>primary validation</w:t>
      </w:r>
      <w:r w:rsidR="009C4EA7" w:rsidRPr="00437093">
        <w:t xml:space="preserve"> activity</w:t>
      </w:r>
      <w:r w:rsidR="009C7E9A">
        <w:t>)</w:t>
      </w:r>
      <w:r w:rsidR="009D2266">
        <w:t>. Use your OQ to</w:t>
      </w:r>
      <w:r w:rsidR="009D2266" w:rsidRPr="00437093">
        <w:t xml:space="preserve"> challenge </w:t>
      </w:r>
      <w:r w:rsidR="0025598B">
        <w:t xml:space="preserve">VBECS </w:t>
      </w:r>
      <w:r w:rsidR="009D2266" w:rsidRPr="00437093">
        <w:t xml:space="preserve">and </w:t>
      </w:r>
      <w:r w:rsidR="0025598B">
        <w:t>the connection to VistA</w:t>
      </w:r>
      <w:r w:rsidR="005857F1">
        <w:t>.</w:t>
      </w:r>
      <w:r w:rsidR="009D2266" w:rsidRPr="00437093">
        <w:t xml:space="preserve"> </w:t>
      </w:r>
      <w:r w:rsidR="009D2266">
        <w:t>Base t</w:t>
      </w:r>
      <w:r w:rsidR="009D2266" w:rsidRPr="00437093">
        <w:t xml:space="preserve">he number and types of tests on the criticality of the </w:t>
      </w:r>
      <w:r w:rsidR="009D2266">
        <w:t>software function. The focus of this validation is to test the limits of what the system allows you to do, not how the system will be used.</w:t>
      </w:r>
      <w:r w:rsidR="009D2266" w:rsidRPr="009D2266">
        <w:t xml:space="preserve"> </w:t>
      </w:r>
      <w:r w:rsidR="008F2FBA">
        <w:t xml:space="preserve">Each facility will have a different level of validation based on local </w:t>
      </w:r>
      <w:r w:rsidR="00066BE2">
        <w:t>practices</w:t>
      </w:r>
      <w:r w:rsidR="008F2FBA">
        <w:t>.</w:t>
      </w:r>
    </w:p>
    <w:p w14:paraId="3662EDA6" w14:textId="77777777" w:rsidR="008F2FBA" w:rsidRDefault="009D2266" w:rsidP="009D2266">
      <w:pPr>
        <w:pStyle w:val="BodyText"/>
      </w:pPr>
      <w:r>
        <w:t>Analyze risks to ensure that</w:t>
      </w:r>
      <w:r w:rsidRPr="00437093">
        <w:t xml:space="preserve"> the scope and degree of validation</w:t>
      </w:r>
      <w:r>
        <w:t xml:space="preserve"> are</w:t>
      </w:r>
      <w:r w:rsidRPr="00437093">
        <w:t xml:space="preserve"> </w:t>
      </w:r>
      <w:r w:rsidR="00F1479E">
        <w:t>appropriate</w:t>
      </w:r>
      <w:r w:rsidRPr="00437093">
        <w:t xml:space="preserve">. </w:t>
      </w:r>
      <w:r>
        <w:t>(A</w:t>
      </w:r>
      <w:r w:rsidRPr="00437093">
        <w:t xml:space="preserve"> system </w:t>
      </w:r>
      <w:r>
        <w:t>error that may</w:t>
      </w:r>
      <w:r w:rsidRPr="00437093">
        <w:t xml:space="preserve"> result in direct and severe patient harm require</w:t>
      </w:r>
      <w:r>
        <w:t>s</w:t>
      </w:r>
      <w:r w:rsidRPr="00437093">
        <w:t xml:space="preserve"> more </w:t>
      </w:r>
      <w:r>
        <w:t>detailed and rigorous</w:t>
      </w:r>
      <w:r w:rsidRPr="00437093">
        <w:t xml:space="preserve"> </w:t>
      </w:r>
      <w:r>
        <w:t>testing than one</w:t>
      </w:r>
      <w:r w:rsidRPr="00437093">
        <w:t xml:space="preserve"> that </w:t>
      </w:r>
      <w:r>
        <w:t>may have</w:t>
      </w:r>
      <w:r w:rsidRPr="00437093">
        <w:t xml:space="preserve"> minor consequences.</w:t>
      </w:r>
      <w:r>
        <w:t xml:space="preserve">) </w:t>
      </w:r>
    </w:p>
    <w:p w14:paraId="0C43D193" w14:textId="77777777" w:rsidR="009D2266" w:rsidRDefault="009D2266" w:rsidP="009D2266">
      <w:pPr>
        <w:pStyle w:val="BodyText"/>
      </w:pPr>
      <w:r>
        <w:t>Create a t</w:t>
      </w:r>
      <w:r w:rsidRPr="00437093">
        <w:t xml:space="preserve">esting environment as </w:t>
      </w:r>
      <w:r>
        <w:t>much like</w:t>
      </w:r>
      <w:r w:rsidRPr="00437093">
        <w:t xml:space="preserve"> the production environment as possible.</w:t>
      </w:r>
      <w:r>
        <w:t xml:space="preserve"> Design t</w:t>
      </w:r>
      <w:r w:rsidRPr="00437093">
        <w:t>est case</w:t>
      </w:r>
      <w:r>
        <w:t>s to:</w:t>
      </w:r>
    </w:p>
    <w:p w14:paraId="20CBA6D5" w14:textId="77777777" w:rsidR="009D2266" w:rsidRPr="003409A2" w:rsidRDefault="009D2266" w:rsidP="009D2266">
      <w:pPr>
        <w:pStyle w:val="ListBullet"/>
      </w:pPr>
      <w:r w:rsidRPr="003409A2">
        <w:t>Address critical software functions.</w:t>
      </w:r>
    </w:p>
    <w:p w14:paraId="3FCBF639" w14:textId="77777777" w:rsidR="009D2266" w:rsidRPr="007108E9" w:rsidRDefault="009D2266" w:rsidP="009D2266">
      <w:pPr>
        <w:pStyle w:val="ListBullet"/>
      </w:pPr>
      <w:r w:rsidRPr="007108E9">
        <w:t>Detect failures and flaws.</w:t>
      </w:r>
    </w:p>
    <w:p w14:paraId="0EB1AF11" w14:textId="77777777" w:rsidR="009D2266" w:rsidRPr="00437093" w:rsidRDefault="009D2266" w:rsidP="009D2266">
      <w:pPr>
        <w:pStyle w:val="ListBullet"/>
      </w:pPr>
      <w:r w:rsidRPr="007108E9">
        <w:t xml:space="preserve">Verify and challenge system </w:t>
      </w:r>
      <w:r w:rsidR="00803E72">
        <w:t>functions and limitations</w:t>
      </w:r>
      <w:r w:rsidRPr="007108E9">
        <w:t>,</w:t>
      </w:r>
      <w:r w:rsidR="00A41AB9">
        <w:t xml:space="preserve"> and user documentation.</w:t>
      </w:r>
    </w:p>
    <w:p w14:paraId="5195E828" w14:textId="77777777" w:rsidR="009D2266" w:rsidRPr="009D2266" w:rsidRDefault="009D2266" w:rsidP="009D2266">
      <w:pPr>
        <w:pStyle w:val="BodyText"/>
      </w:pPr>
      <w:r w:rsidRPr="009D2266">
        <w:t xml:space="preserve">Verify data from VistA displayed in VBECS and data from VBECS displayed in VistA. </w:t>
      </w:r>
      <w:r w:rsidR="00BE2EB7">
        <w:t>(</w:t>
      </w:r>
      <w:r w:rsidRPr="009D2266">
        <w:t>Results will vary based on your VBECS settings.</w:t>
      </w:r>
      <w:r w:rsidR="00BE2EB7">
        <w:t>)</w:t>
      </w:r>
      <w:r w:rsidRPr="009D2266">
        <w:t xml:space="preserve"> Evaluate the output of the testing and determine whether the test passed or failed.</w:t>
      </w:r>
    </w:p>
    <w:p w14:paraId="7EF81D38" w14:textId="77777777" w:rsidR="009D2266" w:rsidRPr="009D2266" w:rsidRDefault="009D2266" w:rsidP="009D2266">
      <w:pPr>
        <w:pStyle w:val="BodyText"/>
      </w:pPr>
      <w:r w:rsidRPr="009D2266">
        <w:lastRenderedPageBreak/>
        <w:t>Maintain evidence of software testing, as part of the validation record, in accordance with standards established by accrediting agencies associated with the blood bank and laboratory. Include, at minimum, your inputs, outputs, and evidence that tests performed were satisfactory or unsatisfactory. (You may record input manually, make copies of unit labels or patient information, capture screen shots</w:t>
      </w:r>
      <w:r w:rsidR="00BE2EB7">
        <w:rPr>
          <w:rStyle w:val="FootnoteReference"/>
        </w:rPr>
        <w:footnoteReference w:id="9"/>
      </w:r>
      <w:r w:rsidRPr="009D2266">
        <w:t xml:space="preserve"> from VistA and VBECS, print various reports, etc.)</w:t>
      </w:r>
    </w:p>
    <w:p w14:paraId="0F85F39E" w14:textId="77777777" w:rsidR="009D2266" w:rsidRDefault="00AB21DA" w:rsidP="009D2266">
      <w:pPr>
        <w:pStyle w:val="Heading4"/>
      </w:pPr>
      <w:r>
        <w:t>Performance Qualification</w:t>
      </w:r>
      <w:r>
        <w:fldChar w:fldCharType="begin"/>
      </w:r>
      <w:r>
        <w:instrText xml:space="preserve"> XE " System Validation:Performance Qualification" </w:instrText>
      </w:r>
      <w:r>
        <w:fldChar w:fldCharType="end"/>
      </w:r>
    </w:p>
    <w:p w14:paraId="20DFBB0F" w14:textId="77777777" w:rsidR="009D2266" w:rsidRDefault="00AB21DA" w:rsidP="009D2266">
      <w:pPr>
        <w:pStyle w:val="BodyText"/>
      </w:pPr>
      <w:r>
        <w:t>The Performance Qualification (PQ) section focuses</w:t>
      </w:r>
      <w:r w:rsidR="009D2266">
        <w:t xml:space="preserve"> on the integration of the application and processes into your facility. This begins with the revision of Standard Operation Procedures (SOPs) and policies to include the proper use of the new system. Once the SOPs are in place and validated, train the users. Ensure that training materials and records are complete before allowing users to operate the system. Document the validation, including:</w:t>
      </w:r>
    </w:p>
    <w:p w14:paraId="4217ECF1" w14:textId="77777777" w:rsidR="009D2266" w:rsidRPr="001124B5" w:rsidRDefault="009D2266" w:rsidP="009D2266">
      <w:pPr>
        <w:pStyle w:val="ListBullet"/>
      </w:pPr>
      <w:r>
        <w:t>P</w:t>
      </w:r>
      <w:r w:rsidRPr="001124B5">
        <w:t>ersonnel participating in validation activities</w:t>
      </w:r>
    </w:p>
    <w:p w14:paraId="2AE99FC3" w14:textId="77777777" w:rsidR="009D2266" w:rsidRDefault="009D2266" w:rsidP="009D2266">
      <w:pPr>
        <w:pStyle w:val="ListBullet"/>
      </w:pPr>
      <w:r>
        <w:t>H</w:t>
      </w:r>
      <w:r w:rsidRPr="001124B5">
        <w:t xml:space="preserve">ardware and software change </w:t>
      </w:r>
      <w:r>
        <w:t>controls</w:t>
      </w:r>
    </w:p>
    <w:p w14:paraId="5FA2B6E2" w14:textId="77777777" w:rsidR="009D2266" w:rsidRDefault="009D2266" w:rsidP="009D2266">
      <w:pPr>
        <w:pStyle w:val="ListBullet"/>
      </w:pPr>
      <w:r>
        <w:t>Testing results</w:t>
      </w:r>
    </w:p>
    <w:p w14:paraId="004EDB0A" w14:textId="77777777" w:rsidR="009D2266" w:rsidRPr="001124B5" w:rsidRDefault="009D2266" w:rsidP="009D2266">
      <w:pPr>
        <w:pStyle w:val="ListBullet"/>
      </w:pPr>
      <w:r w:rsidRPr="001124B5">
        <w:t>SOP reviews, training plans, installation and implementation</w:t>
      </w:r>
    </w:p>
    <w:p w14:paraId="6C35C76D" w14:textId="77777777" w:rsidR="009D2266" w:rsidRPr="001124B5" w:rsidRDefault="009D2266" w:rsidP="009D2266">
      <w:pPr>
        <w:pStyle w:val="ListBullet"/>
      </w:pPr>
      <w:r>
        <w:t>Evaluation and acceptance</w:t>
      </w:r>
    </w:p>
    <w:p w14:paraId="663094A9" w14:textId="77777777" w:rsidR="009D2266" w:rsidRDefault="009D2266" w:rsidP="009D2266">
      <w:pPr>
        <w:pStyle w:val="ListBullet"/>
      </w:pPr>
      <w:r>
        <w:t>R</w:t>
      </w:r>
      <w:r w:rsidRPr="001124B5">
        <w:t>eview a</w:t>
      </w:r>
      <w:r>
        <w:t>nd approval authority and dates</w:t>
      </w:r>
    </w:p>
    <w:p w14:paraId="43C6117D" w14:textId="77777777" w:rsidR="005556BB" w:rsidRDefault="00BE2EB7" w:rsidP="005556BB">
      <w:pPr>
        <w:pStyle w:val="Heading3"/>
      </w:pPr>
      <w:r>
        <w:br w:type="page"/>
      </w:r>
      <w:bookmarkStart w:id="772" w:name="_Toc203765994"/>
      <w:r w:rsidR="005556BB">
        <w:lastRenderedPageBreak/>
        <w:t>Record System Settings</w:t>
      </w:r>
      <w:bookmarkEnd w:id="772"/>
      <w:r w:rsidR="005556BB">
        <w:fldChar w:fldCharType="begin"/>
      </w:r>
      <w:r w:rsidR="005556BB">
        <w:instrText xml:space="preserve"> XE " System Validation:Record System Settings" </w:instrText>
      </w:r>
      <w:r w:rsidR="005556BB">
        <w:fldChar w:fldCharType="end"/>
      </w:r>
    </w:p>
    <w:p w14:paraId="2099D043" w14:textId="77777777" w:rsidR="00AB21DA" w:rsidRDefault="00AB21DA" w:rsidP="00AB21DA">
      <w:pPr>
        <w:pStyle w:val="BodyText"/>
        <w:rPr>
          <w:szCs w:val="15"/>
        </w:rPr>
      </w:pPr>
      <w:r>
        <w:rPr>
          <w:szCs w:val="15"/>
        </w:rPr>
        <w:t>These sections describe how to capture system settings in preparation for validation.</w:t>
      </w:r>
    </w:p>
    <w:p w14:paraId="47D76ABD" w14:textId="77777777" w:rsidR="002E3C00" w:rsidRDefault="002E3C00" w:rsidP="002E3C00">
      <w:pPr>
        <w:pStyle w:val="Heading3"/>
      </w:pPr>
      <w:bookmarkStart w:id="773" w:name="_Toc114462094"/>
      <w:bookmarkStart w:id="774" w:name="_Toc203765995"/>
      <w:r>
        <w:t>Configure Division</w:t>
      </w:r>
      <w:bookmarkEnd w:id="773"/>
      <w:bookmarkEnd w:id="774"/>
      <w:r w:rsidR="00992E88">
        <w:fldChar w:fldCharType="begin"/>
      </w:r>
      <w:r w:rsidR="00992E88">
        <w:instrText xml:space="preserve"> XE "</w:instrText>
      </w:r>
      <w:r w:rsidR="00992E88" w:rsidRPr="00992E88">
        <w:instrText xml:space="preserve"> </w:instrText>
      </w:r>
      <w:r w:rsidR="00992E88" w:rsidRPr="00FC6AF9">
        <w:instrText>System Validation:</w:instrText>
      </w:r>
      <w:r w:rsidR="00992E88" w:rsidRPr="00B0596E">
        <w:instrText>Configure Division</w:instrText>
      </w:r>
      <w:r w:rsidR="00992E88">
        <w:instrText xml:space="preserve">" </w:instrText>
      </w:r>
      <w:r w:rsidR="00992E88">
        <w:fldChar w:fldCharType="end"/>
      </w:r>
    </w:p>
    <w:p w14:paraId="2E26AAAE" w14:textId="42FAABC4" w:rsidR="002E3C00" w:rsidRDefault="002E3C00" w:rsidP="002E3C00">
      <w:pPr>
        <w:pStyle w:val="BodyText"/>
      </w:pPr>
      <w:r>
        <w:t xml:space="preserve">A user defines site parameters that affect how VBECS behaves at a specific division. VBECS may be configured to function differently at each division within a </w:t>
      </w:r>
      <w:r w:rsidR="00373BCF">
        <w:t>multidivisional</w:t>
      </w:r>
      <w:r>
        <w:t xml:space="preserve"> database. Site parameters may be redefined.</w:t>
      </w:r>
      <w:r w:rsidR="00250936">
        <w:t xml:space="preserve"> For more information, see </w:t>
      </w:r>
      <w:r w:rsidR="00EE455E">
        <w:t xml:space="preserve">Appendix </w:t>
      </w:r>
      <w:r w:rsidR="00EE455E">
        <w:rPr>
          <w:noProof/>
        </w:rPr>
        <w:t>G</w:t>
      </w:r>
      <w:r w:rsidR="00EE455E">
        <w:t>: Work Process Flowcharts</w:t>
      </w:r>
      <w:r w:rsidR="00250936">
        <w:t>.</w:t>
      </w:r>
    </w:p>
    <w:p w14:paraId="1C6E9CC5" w14:textId="77777777" w:rsidR="002E3C00" w:rsidRDefault="002E3C00" w:rsidP="002E3C00">
      <w:pPr>
        <w:pStyle w:val="Heading4"/>
        <w:rPr>
          <w:b w:val="0"/>
        </w:rPr>
      </w:pPr>
      <w:r>
        <w:t>User Roles with Access to This Option</w:t>
      </w:r>
      <w:r>
        <w:rPr>
          <w:b w:val="0"/>
        </w:rPr>
        <w:t xml:space="preserve"> </w:t>
      </w:r>
    </w:p>
    <w:p w14:paraId="5A80F6F3" w14:textId="77777777" w:rsidR="002E3C00" w:rsidRDefault="002E3C00" w:rsidP="002E3C00">
      <w:pPr>
        <w:pStyle w:val="Roles"/>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Administrator/Supervisor</w:t>
      </w:r>
    </w:p>
    <w:p w14:paraId="208EA9C3" w14:textId="77777777" w:rsidR="002E3C00" w:rsidRDefault="00B74754" w:rsidP="002E3C00">
      <w:pPr>
        <w:pStyle w:val="Heading4"/>
      </w:pPr>
      <w:r>
        <w:t>Preparation for Testing</w:t>
      </w:r>
    </w:p>
    <w:p w14:paraId="1C135D62" w14:textId="77777777" w:rsidR="004635C9" w:rsidRDefault="002E3C00" w:rsidP="00925CAD">
      <w:pPr>
        <w:pStyle w:val="ListNumber"/>
        <w:numPr>
          <w:ilvl w:val="0"/>
          <w:numId w:val="16"/>
        </w:numPr>
        <w:tabs>
          <w:tab w:val="clear" w:pos="720"/>
          <w:tab w:val="num" w:pos="360"/>
        </w:tabs>
        <w:ind w:left="360"/>
      </w:pPr>
      <w:r>
        <w:t xml:space="preserve">Select </w:t>
      </w:r>
      <w:r w:rsidRPr="00600497">
        <w:rPr>
          <w:b/>
        </w:rPr>
        <w:t>Configure Division</w:t>
      </w:r>
      <w:r>
        <w:t xml:space="preserve">. </w:t>
      </w:r>
    </w:p>
    <w:p w14:paraId="2DF22D47" w14:textId="77777777" w:rsidR="002E3C00" w:rsidRDefault="002E3C00" w:rsidP="00925CAD">
      <w:pPr>
        <w:pStyle w:val="ListNumber"/>
        <w:numPr>
          <w:ilvl w:val="0"/>
          <w:numId w:val="16"/>
        </w:numPr>
        <w:tabs>
          <w:tab w:val="clear" w:pos="720"/>
          <w:tab w:val="num" w:pos="360"/>
        </w:tabs>
        <w:ind w:left="360"/>
      </w:pPr>
      <w:r>
        <w:t>Record:</w:t>
      </w:r>
    </w:p>
    <w:p w14:paraId="3EBFCADE" w14:textId="77777777" w:rsidR="00F8408D" w:rsidRPr="00010A5B" w:rsidRDefault="00F8408D" w:rsidP="009329C1">
      <w:pPr>
        <w:pStyle w:val="ListBullet"/>
        <w:tabs>
          <w:tab w:val="right" w:leader="underscore" w:pos="9360"/>
        </w:tabs>
      </w:pPr>
      <w:r w:rsidRPr="00010A5B">
        <w:t>ICCBBA registration number:</w:t>
      </w:r>
      <w:r w:rsidR="002C2290">
        <w:tab/>
      </w:r>
    </w:p>
    <w:p w14:paraId="5ED68AD3" w14:textId="77777777" w:rsidR="00010A5B" w:rsidRPr="00010A5B" w:rsidRDefault="002E3C00" w:rsidP="009329C1">
      <w:pPr>
        <w:pStyle w:val="ListBullet"/>
        <w:tabs>
          <w:tab w:val="right" w:leader="underscore" w:pos="9360"/>
        </w:tabs>
      </w:pPr>
      <w:r w:rsidRPr="00010A5B">
        <w:t>Blood Bank Medical Director</w:t>
      </w:r>
      <w:r w:rsidR="004C67FE" w:rsidRPr="00010A5B">
        <w:t>’s name</w:t>
      </w:r>
      <w:r w:rsidRPr="00010A5B">
        <w:t xml:space="preserve"> as you</w:t>
      </w:r>
      <w:r w:rsidR="00F8408D" w:rsidRPr="00010A5B">
        <w:t xml:space="preserve"> want it to appear on reports:</w:t>
      </w:r>
      <w:r w:rsidR="009329C1">
        <w:tab/>
      </w:r>
    </w:p>
    <w:p w14:paraId="6798BB3C" w14:textId="77777777" w:rsidR="002E3C00" w:rsidRDefault="002E3C00" w:rsidP="009329C1">
      <w:pPr>
        <w:pStyle w:val="ListBullet"/>
        <w:tabs>
          <w:tab w:val="right" w:leader="underscore" w:pos="9360"/>
        </w:tabs>
      </w:pPr>
      <w:r>
        <w:t>Latest expiration date (default: three days) for specimens, in accordance with l</w:t>
      </w:r>
      <w:r w:rsidR="00F8408D">
        <w:t xml:space="preserve">ocal policies and procedures: </w:t>
      </w:r>
      <w:r w:rsidR="00F8408D">
        <w:tab/>
      </w:r>
    </w:p>
    <w:p w14:paraId="6953CCED" w14:textId="77777777" w:rsidR="00F8408D" w:rsidRDefault="002E3C00" w:rsidP="00925CAD">
      <w:pPr>
        <w:pStyle w:val="ListNumber"/>
        <w:numPr>
          <w:ilvl w:val="0"/>
          <w:numId w:val="16"/>
        </w:numPr>
        <w:tabs>
          <w:tab w:val="clear" w:pos="720"/>
          <w:tab w:val="num" w:pos="360"/>
          <w:tab w:val="right" w:leader="underscore" w:pos="9360"/>
        </w:tabs>
        <w:ind w:left="360"/>
      </w:pPr>
      <w:r>
        <w:t>Is your division full service (FS) or transfusion only (TO)?</w:t>
      </w:r>
      <w:r>
        <w:tab/>
      </w:r>
    </w:p>
    <w:p w14:paraId="4EE9A206" w14:textId="77777777" w:rsidR="00F8408D" w:rsidRDefault="002E3C00" w:rsidP="00925CAD">
      <w:pPr>
        <w:pStyle w:val="ListNumber"/>
        <w:numPr>
          <w:ilvl w:val="0"/>
          <w:numId w:val="16"/>
        </w:numPr>
        <w:tabs>
          <w:tab w:val="clear" w:pos="720"/>
          <w:tab w:val="num" w:pos="360"/>
          <w:tab w:val="right" w:leader="underscore" w:pos="9360"/>
        </w:tabs>
        <w:ind w:left="360"/>
      </w:pPr>
      <w:r>
        <w:t xml:space="preserve">If your site does not perform </w:t>
      </w:r>
      <w:r w:rsidRPr="00FB7F8D">
        <w:t>on-site testing</w:t>
      </w:r>
      <w:r>
        <w:t>, continue at Order Alerts.</w:t>
      </w:r>
    </w:p>
    <w:p w14:paraId="73F998AB" w14:textId="77777777" w:rsidR="002E3C00" w:rsidRDefault="002E3C00" w:rsidP="00925CAD">
      <w:pPr>
        <w:pStyle w:val="ListNumber"/>
        <w:numPr>
          <w:ilvl w:val="0"/>
          <w:numId w:val="16"/>
        </w:numPr>
        <w:tabs>
          <w:tab w:val="clear" w:pos="720"/>
          <w:tab w:val="num" w:pos="360"/>
          <w:tab w:val="right" w:leader="underscore" w:pos="9360"/>
        </w:tabs>
        <w:ind w:left="360"/>
      </w:pPr>
      <w:r>
        <w:t>If your division is full service, do you want to enable electronic crossmatch?</w:t>
      </w:r>
      <w:r>
        <w:tab/>
      </w:r>
    </w:p>
    <w:p w14:paraId="4962C5D1" w14:textId="77777777" w:rsidR="002E3C00" w:rsidRPr="00FB7F8D" w:rsidRDefault="002E3C00" w:rsidP="00925CAD">
      <w:pPr>
        <w:pStyle w:val="ListNumber"/>
        <w:numPr>
          <w:ilvl w:val="0"/>
          <w:numId w:val="16"/>
        </w:numPr>
        <w:tabs>
          <w:tab w:val="clear" w:pos="720"/>
          <w:tab w:val="num" w:pos="360"/>
          <w:tab w:val="right" w:leader="underscore" w:pos="9360"/>
        </w:tabs>
        <w:ind w:left="360"/>
      </w:pPr>
      <w:r w:rsidRPr="00FB7F8D">
        <w:t>Print</w:t>
      </w:r>
      <w:r w:rsidR="00EB160D">
        <w:t>, sign, date,</w:t>
      </w:r>
      <w:r w:rsidRPr="00FB7F8D">
        <w:t xml:space="preserve"> and save an </w:t>
      </w:r>
      <w:r>
        <w:t>A</w:t>
      </w:r>
      <w:r w:rsidRPr="00FB7F8D">
        <w:t xml:space="preserve">udit </w:t>
      </w:r>
      <w:r>
        <w:t>Trail R</w:t>
      </w:r>
      <w:r w:rsidRPr="00FB7F8D">
        <w:t>e</w:t>
      </w:r>
      <w:r w:rsidR="00600497">
        <w:t>port for your validation record.</w:t>
      </w:r>
    </w:p>
    <w:p w14:paraId="6D4BB9C4" w14:textId="77777777" w:rsidR="002E3C00" w:rsidRDefault="002E3C00" w:rsidP="002E3C00">
      <w:pPr>
        <w:pStyle w:val="Heading3"/>
      </w:pPr>
      <w:bookmarkStart w:id="775" w:name="_Toc85895784"/>
      <w:bookmarkStart w:id="776" w:name="_Toc113264241"/>
      <w:bookmarkStart w:id="777" w:name="_Toc114462095"/>
      <w:bookmarkStart w:id="778" w:name="_Toc203765996"/>
      <w:r w:rsidRPr="00FB7F8D">
        <w:t>Configure Testi</w:t>
      </w:r>
      <w:r>
        <w:t>ng: Full Service</w:t>
      </w:r>
      <w:bookmarkEnd w:id="775"/>
      <w:bookmarkEnd w:id="776"/>
      <w:bookmarkEnd w:id="777"/>
      <w:bookmarkEnd w:id="778"/>
      <w:r w:rsidR="00992E88">
        <w:fldChar w:fldCharType="begin"/>
      </w:r>
      <w:r w:rsidR="00992E88">
        <w:instrText xml:space="preserve"> XE "</w:instrText>
      </w:r>
      <w:r w:rsidR="00992E88" w:rsidRPr="00992E88">
        <w:instrText xml:space="preserve"> </w:instrText>
      </w:r>
      <w:r w:rsidR="00992E88" w:rsidRPr="00FC6AF9">
        <w:instrText>System Validation:</w:instrText>
      </w:r>
      <w:r w:rsidR="00992E88" w:rsidRPr="00B0596E">
        <w:instrText>Configure Testing\: Full Service</w:instrText>
      </w:r>
      <w:r w:rsidR="00992E88">
        <w:instrText xml:space="preserve">" </w:instrText>
      </w:r>
      <w:r w:rsidR="00992E88">
        <w:fldChar w:fldCharType="end"/>
      </w:r>
    </w:p>
    <w:p w14:paraId="0D22820D" w14:textId="777CD8D4" w:rsidR="002E3C00" w:rsidRPr="007970BE" w:rsidRDefault="002E3C00" w:rsidP="002E3C00">
      <w:pPr>
        <w:pStyle w:val="BodyText"/>
      </w:pPr>
      <w:r>
        <w:t>The user sets testing preferences in accordance with a division’s medical policies.</w:t>
      </w:r>
      <w:r w:rsidR="000150E9">
        <w:t xml:space="preserve"> For more information, see </w:t>
      </w:r>
      <w:r w:rsidR="00EE455E">
        <w:t xml:space="preserve">Appendix </w:t>
      </w:r>
      <w:r w:rsidR="00EE455E">
        <w:rPr>
          <w:noProof/>
        </w:rPr>
        <w:t>G</w:t>
      </w:r>
      <w:r w:rsidR="00EE455E">
        <w:t>: Work Process Flowcharts</w:t>
      </w:r>
      <w:r w:rsidR="000150E9">
        <w:t>.</w:t>
      </w:r>
    </w:p>
    <w:p w14:paraId="7FE3EB49" w14:textId="77777777" w:rsidR="002E3C00" w:rsidRDefault="002E3C00" w:rsidP="002E3C00">
      <w:pPr>
        <w:pStyle w:val="Heading4"/>
        <w:rPr>
          <w:b w:val="0"/>
        </w:rPr>
      </w:pPr>
      <w:r>
        <w:t>User Roles with Access to This Option</w:t>
      </w:r>
      <w:r>
        <w:rPr>
          <w:b w:val="0"/>
        </w:rPr>
        <w:t xml:space="preserve"> </w:t>
      </w:r>
    </w:p>
    <w:p w14:paraId="65C6430F" w14:textId="77777777" w:rsidR="002E3C00" w:rsidRDefault="002E3C00" w:rsidP="002E3C00">
      <w:pPr>
        <w:pStyle w:val="Roles"/>
        <w:rPr>
          <w:snapToGrid w:val="0"/>
        </w:rPr>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Administrator/Supervisor</w:t>
      </w:r>
      <w:r>
        <w:rPr>
          <w:snapToGrid w:val="0"/>
        </w:rPr>
        <w:t xml:space="preserve"> </w:t>
      </w:r>
    </w:p>
    <w:p w14:paraId="020773E4" w14:textId="77777777" w:rsidR="002E3C00" w:rsidRDefault="00B74754" w:rsidP="002E3C00">
      <w:pPr>
        <w:pStyle w:val="Heading4"/>
      </w:pPr>
      <w:r>
        <w:t>Preparation for Testing</w:t>
      </w:r>
    </w:p>
    <w:p w14:paraId="72F59258" w14:textId="77777777" w:rsidR="002E3C00" w:rsidRPr="00600497" w:rsidRDefault="002E3C00" w:rsidP="00925CAD">
      <w:pPr>
        <w:pStyle w:val="ListNumber"/>
        <w:numPr>
          <w:ilvl w:val="0"/>
          <w:numId w:val="17"/>
        </w:numPr>
        <w:tabs>
          <w:tab w:val="clear" w:pos="720"/>
          <w:tab w:val="num" w:pos="360"/>
        </w:tabs>
        <w:ind w:left="360"/>
      </w:pPr>
      <w:r>
        <w:t>S</w:t>
      </w:r>
      <w:r w:rsidRPr="00600497">
        <w:t>et testing preferences.</w:t>
      </w:r>
    </w:p>
    <w:p w14:paraId="51FC33BB" w14:textId="77777777" w:rsidR="002E3C00" w:rsidRPr="00600497" w:rsidRDefault="002E3C00" w:rsidP="00925CAD">
      <w:pPr>
        <w:pStyle w:val="ListNumber"/>
        <w:numPr>
          <w:ilvl w:val="0"/>
          <w:numId w:val="17"/>
        </w:numPr>
        <w:tabs>
          <w:tab w:val="clear" w:pos="720"/>
          <w:tab w:val="num" w:pos="360"/>
        </w:tabs>
        <w:ind w:left="360"/>
      </w:pPr>
      <w:r w:rsidRPr="00600497">
        <w:t>Capture and save a screen shot of each piece of information.</w:t>
      </w:r>
    </w:p>
    <w:p w14:paraId="53595DC8" w14:textId="77777777" w:rsidR="00232E43" w:rsidRPr="00FB7F8D" w:rsidRDefault="00232E43" w:rsidP="00925CAD">
      <w:pPr>
        <w:pStyle w:val="ListNumber"/>
        <w:numPr>
          <w:ilvl w:val="0"/>
          <w:numId w:val="17"/>
        </w:numPr>
        <w:tabs>
          <w:tab w:val="clear" w:pos="720"/>
          <w:tab w:val="num" w:pos="360"/>
        </w:tabs>
        <w:ind w:left="360"/>
      </w:pPr>
      <w:bookmarkStart w:id="779" w:name="_Toc85895786"/>
      <w:bookmarkStart w:id="780" w:name="_Toc113264243"/>
      <w:bookmarkStart w:id="781" w:name="_Toc114462096"/>
      <w:bookmarkStart w:id="782" w:name="_Toc85895785"/>
      <w:bookmarkStart w:id="783" w:name="_Toc113264242"/>
      <w:r w:rsidRPr="00600497">
        <w:t xml:space="preserve">Print, </w:t>
      </w:r>
      <w:r>
        <w:t>sign, date,</w:t>
      </w:r>
      <w:r w:rsidRPr="00FB7F8D">
        <w:t xml:space="preserve"> and save an </w:t>
      </w:r>
      <w:r>
        <w:t>A</w:t>
      </w:r>
      <w:r w:rsidRPr="00FB7F8D">
        <w:t xml:space="preserve">udit </w:t>
      </w:r>
      <w:r>
        <w:t>Trail R</w:t>
      </w:r>
      <w:r w:rsidRPr="00FB7F8D">
        <w:t>eport for your validation record.</w:t>
      </w:r>
    </w:p>
    <w:p w14:paraId="266F9B1F" w14:textId="77777777" w:rsidR="002E3C00" w:rsidRDefault="007F0132" w:rsidP="002E3C00">
      <w:pPr>
        <w:pStyle w:val="Heading3"/>
      </w:pPr>
      <w:r>
        <w:br w:type="page"/>
      </w:r>
      <w:bookmarkStart w:id="784" w:name="_Toc203765997"/>
      <w:r w:rsidR="002E3C00">
        <w:lastRenderedPageBreak/>
        <w:t>Product Modifications</w:t>
      </w:r>
      <w:bookmarkEnd w:id="779"/>
      <w:bookmarkEnd w:id="780"/>
      <w:r w:rsidR="002E3C00">
        <w:t>: Full Service</w:t>
      </w:r>
      <w:bookmarkEnd w:id="781"/>
      <w:bookmarkEnd w:id="784"/>
      <w:r w:rsidR="00992E88">
        <w:fldChar w:fldCharType="begin"/>
      </w:r>
      <w:r w:rsidR="00992E88">
        <w:instrText xml:space="preserve"> XE "</w:instrText>
      </w:r>
      <w:r w:rsidR="00992E88" w:rsidRPr="00992E88">
        <w:instrText xml:space="preserve"> </w:instrText>
      </w:r>
      <w:r w:rsidR="00992E88" w:rsidRPr="00FC6AF9">
        <w:instrText>System Validation:</w:instrText>
      </w:r>
      <w:r w:rsidR="00992E88" w:rsidRPr="00B0596E">
        <w:instrText>Product Modifications\: Full Service</w:instrText>
      </w:r>
      <w:r w:rsidR="00992E88">
        <w:instrText xml:space="preserve">" </w:instrText>
      </w:r>
      <w:r w:rsidR="00992E88">
        <w:fldChar w:fldCharType="end"/>
      </w:r>
    </w:p>
    <w:p w14:paraId="229EC975" w14:textId="269E4221" w:rsidR="002E3C00" w:rsidRPr="007970BE" w:rsidRDefault="002E3C00" w:rsidP="002E3C00">
      <w:pPr>
        <w:pStyle w:val="BodyText"/>
      </w:pPr>
      <w:r>
        <w:t>The user enables the types of modifications made at a division.</w:t>
      </w:r>
      <w:r w:rsidR="008D2779">
        <w:t xml:space="preserve"> For more information, see </w:t>
      </w:r>
      <w:r w:rsidR="00EE455E">
        <w:t xml:space="preserve">Appendix </w:t>
      </w:r>
      <w:r w:rsidR="00EE455E">
        <w:rPr>
          <w:noProof/>
        </w:rPr>
        <w:t>G</w:t>
      </w:r>
      <w:r w:rsidR="00EE455E">
        <w:t>: Work Process Flowcharts</w:t>
      </w:r>
      <w:r w:rsidR="008D2779">
        <w:t>.</w:t>
      </w:r>
    </w:p>
    <w:p w14:paraId="40A35523" w14:textId="77777777" w:rsidR="002E3C00" w:rsidRDefault="002E3C00" w:rsidP="002E3C00">
      <w:pPr>
        <w:pStyle w:val="Heading4"/>
        <w:rPr>
          <w:b w:val="0"/>
        </w:rPr>
      </w:pPr>
      <w:r>
        <w:t>User Roles with Access to This Option</w:t>
      </w:r>
      <w:r>
        <w:rPr>
          <w:b w:val="0"/>
        </w:rPr>
        <w:t xml:space="preserve"> </w:t>
      </w:r>
    </w:p>
    <w:p w14:paraId="5505EC11" w14:textId="77777777" w:rsidR="002E3C00" w:rsidRPr="00B22CCD" w:rsidRDefault="002E3C00" w:rsidP="002E3C00">
      <w:pPr>
        <w:pStyle w:val="Roles"/>
        <w:rPr>
          <w:snapToGrid w:val="0"/>
        </w:rPr>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Administrator/Supervisor</w:t>
      </w:r>
      <w:r>
        <w:rPr>
          <w:snapToGrid w:val="0"/>
        </w:rPr>
        <w:t xml:space="preserve"> </w:t>
      </w:r>
    </w:p>
    <w:p w14:paraId="5F3E2589" w14:textId="77777777" w:rsidR="002E3C00" w:rsidRDefault="00B74754" w:rsidP="002E3C00">
      <w:pPr>
        <w:pStyle w:val="Heading4"/>
      </w:pPr>
      <w:r>
        <w:t>Preparation for Testing</w:t>
      </w:r>
    </w:p>
    <w:p w14:paraId="6E32DF0B" w14:textId="77777777" w:rsidR="002E3C00" w:rsidRDefault="002E3C00" w:rsidP="002E3C00">
      <w:pPr>
        <w:pStyle w:val="BodyText"/>
      </w:pPr>
      <w:r>
        <w:t>Modification processes are disabled by default. You must activate modification types performed at your facility. You may select none, some, or all. Enter a processing cost for each modification type, as applicable. You may update these settings later.</w:t>
      </w:r>
    </w:p>
    <w:p w14:paraId="30A3A6E0" w14:textId="7CA477C1" w:rsidR="002E3C00" w:rsidRDefault="002E3C00" w:rsidP="00AD60CF">
      <w:pPr>
        <w:pStyle w:val="Caption"/>
        <w:ind w:left="288" w:hanging="288"/>
      </w:pPr>
      <w:r>
        <w:t xml:space="preserve">Table </w:t>
      </w:r>
      <w:r w:rsidR="004E20BD">
        <w:rPr>
          <w:noProof/>
        </w:rPr>
        <w:fldChar w:fldCharType="begin"/>
      </w:r>
      <w:r w:rsidR="004E20BD">
        <w:rPr>
          <w:noProof/>
        </w:rPr>
        <w:instrText xml:space="preserve"> SEQ Table \* ARABIC </w:instrText>
      </w:r>
      <w:r w:rsidR="004E20BD">
        <w:rPr>
          <w:noProof/>
        </w:rPr>
        <w:fldChar w:fldCharType="separate"/>
      </w:r>
      <w:r w:rsidR="007D1829">
        <w:rPr>
          <w:noProof/>
        </w:rPr>
        <w:t>27</w:t>
      </w:r>
      <w:r w:rsidR="004E20BD">
        <w:rPr>
          <w:noProof/>
        </w:rPr>
        <w:fldChar w:fldCharType="end"/>
      </w:r>
      <w:r>
        <w:t>: Modification Types and Costs</w:t>
      </w:r>
      <w:r w:rsidR="00AD60CF">
        <w:fldChar w:fldCharType="begin"/>
      </w:r>
      <w:r w:rsidR="00AD60CF">
        <w:instrText xml:space="preserve"> XE "Tables:</w:instrText>
      </w:r>
      <w:r w:rsidR="00AD60CF" w:rsidRPr="0046419F">
        <w:instrText>Modification Types and Costs</w:instrText>
      </w:r>
      <w:r w:rsidR="00AD60CF">
        <w:instrText xml:space="preserve">" </w:instrText>
      </w:r>
      <w:r w:rsidR="00AD60CF">
        <w:fldChar w:fldCharType="end"/>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60"/>
        <w:gridCol w:w="1440"/>
        <w:gridCol w:w="1440"/>
        <w:gridCol w:w="1440"/>
      </w:tblGrid>
      <w:tr w:rsidR="002E3C00" w:rsidRPr="00020DA9" w14:paraId="696AE1E5" w14:textId="77777777">
        <w:trPr>
          <w:cantSplit/>
          <w:tblHeader/>
        </w:trPr>
        <w:tc>
          <w:tcPr>
            <w:tcW w:w="2160" w:type="dxa"/>
            <w:vMerge w:val="restart"/>
            <w:shd w:val="clear" w:color="auto" w:fill="B3B3B3"/>
            <w:vAlign w:val="bottom"/>
          </w:tcPr>
          <w:p w14:paraId="1145BF36" w14:textId="77777777" w:rsidR="002E3C00" w:rsidRPr="00020DA9" w:rsidRDefault="002E3C00" w:rsidP="002E3C00">
            <w:pPr>
              <w:pStyle w:val="TableText"/>
              <w:rPr>
                <w:b/>
              </w:rPr>
            </w:pPr>
            <w:r w:rsidRPr="00020DA9">
              <w:rPr>
                <w:b/>
              </w:rPr>
              <w:t>Modification Type</w:t>
            </w:r>
          </w:p>
        </w:tc>
        <w:tc>
          <w:tcPr>
            <w:tcW w:w="1440" w:type="dxa"/>
            <w:gridSpan w:val="2"/>
            <w:shd w:val="clear" w:color="auto" w:fill="B3B3B3"/>
            <w:vAlign w:val="bottom"/>
          </w:tcPr>
          <w:p w14:paraId="3BC53A4F" w14:textId="77777777" w:rsidR="002E3C00" w:rsidRPr="00020DA9" w:rsidRDefault="002E3C00" w:rsidP="003B2CDC">
            <w:pPr>
              <w:pStyle w:val="TableText"/>
              <w:jc w:val="center"/>
              <w:rPr>
                <w:b/>
              </w:rPr>
            </w:pPr>
            <w:r>
              <w:rPr>
                <w:b/>
              </w:rPr>
              <w:t>Modification Processes</w:t>
            </w:r>
          </w:p>
        </w:tc>
        <w:tc>
          <w:tcPr>
            <w:tcW w:w="1440" w:type="dxa"/>
            <w:vMerge w:val="restart"/>
            <w:shd w:val="clear" w:color="auto" w:fill="B3B3B3"/>
            <w:vAlign w:val="bottom"/>
          </w:tcPr>
          <w:p w14:paraId="185AAB50" w14:textId="77777777" w:rsidR="002E3C00" w:rsidRPr="00020DA9" w:rsidRDefault="002E3C00" w:rsidP="002E3C00">
            <w:pPr>
              <w:pStyle w:val="TableText"/>
              <w:rPr>
                <w:b/>
              </w:rPr>
            </w:pPr>
            <w:r>
              <w:rPr>
                <w:b/>
              </w:rPr>
              <w:t xml:space="preserve">Processing </w:t>
            </w:r>
            <w:r w:rsidRPr="00020DA9">
              <w:rPr>
                <w:b/>
              </w:rPr>
              <w:t>Cost</w:t>
            </w:r>
          </w:p>
        </w:tc>
      </w:tr>
      <w:tr w:rsidR="002E3C00" w:rsidRPr="00020DA9" w14:paraId="495177D7" w14:textId="77777777">
        <w:trPr>
          <w:cantSplit/>
          <w:tblHeader/>
        </w:trPr>
        <w:tc>
          <w:tcPr>
            <w:tcW w:w="2160" w:type="dxa"/>
            <w:vMerge/>
            <w:shd w:val="clear" w:color="auto" w:fill="B3B3B3"/>
          </w:tcPr>
          <w:p w14:paraId="4468F31F" w14:textId="77777777" w:rsidR="002E3C00" w:rsidRPr="00020DA9" w:rsidRDefault="002E3C00" w:rsidP="002E3C00">
            <w:pPr>
              <w:pStyle w:val="TableText"/>
              <w:rPr>
                <w:b/>
              </w:rPr>
            </w:pPr>
          </w:p>
        </w:tc>
        <w:tc>
          <w:tcPr>
            <w:tcW w:w="1440" w:type="dxa"/>
            <w:shd w:val="clear" w:color="auto" w:fill="B3B3B3"/>
          </w:tcPr>
          <w:p w14:paraId="0943B971" w14:textId="77777777" w:rsidR="002E3C00" w:rsidRPr="00020DA9" w:rsidRDefault="002E3C00" w:rsidP="002E3C00">
            <w:pPr>
              <w:pStyle w:val="TableText"/>
              <w:rPr>
                <w:b/>
              </w:rPr>
            </w:pPr>
            <w:r w:rsidRPr="00020DA9">
              <w:rPr>
                <w:b/>
              </w:rPr>
              <w:t>Enabled</w:t>
            </w:r>
          </w:p>
        </w:tc>
        <w:tc>
          <w:tcPr>
            <w:tcW w:w="1440" w:type="dxa"/>
            <w:shd w:val="clear" w:color="auto" w:fill="B3B3B3"/>
          </w:tcPr>
          <w:p w14:paraId="062DDAFA" w14:textId="77777777" w:rsidR="002E3C00" w:rsidRPr="00020DA9" w:rsidRDefault="002E3C00" w:rsidP="002E3C00">
            <w:pPr>
              <w:pStyle w:val="TableText"/>
              <w:rPr>
                <w:b/>
              </w:rPr>
            </w:pPr>
            <w:r w:rsidRPr="00020DA9">
              <w:rPr>
                <w:b/>
              </w:rPr>
              <w:t>Disabled</w:t>
            </w:r>
          </w:p>
        </w:tc>
        <w:tc>
          <w:tcPr>
            <w:tcW w:w="1440" w:type="dxa"/>
            <w:vMerge/>
            <w:shd w:val="clear" w:color="auto" w:fill="B3B3B3"/>
          </w:tcPr>
          <w:p w14:paraId="283661C5" w14:textId="77777777" w:rsidR="002E3C00" w:rsidRPr="00020DA9" w:rsidRDefault="002E3C00" w:rsidP="002E3C00">
            <w:pPr>
              <w:pStyle w:val="TableText"/>
              <w:rPr>
                <w:b/>
              </w:rPr>
            </w:pPr>
          </w:p>
        </w:tc>
      </w:tr>
      <w:tr w:rsidR="002E3C00" w14:paraId="608696F1" w14:textId="77777777">
        <w:trPr>
          <w:cantSplit/>
        </w:trPr>
        <w:tc>
          <w:tcPr>
            <w:tcW w:w="2160" w:type="dxa"/>
          </w:tcPr>
          <w:p w14:paraId="556F5290" w14:textId="77777777" w:rsidR="002E3C00" w:rsidRDefault="002E3C00" w:rsidP="002E3C00">
            <w:pPr>
              <w:pStyle w:val="TableText"/>
            </w:pPr>
            <w:r>
              <w:t>Thaw</w:t>
            </w:r>
          </w:p>
        </w:tc>
        <w:tc>
          <w:tcPr>
            <w:tcW w:w="1440" w:type="dxa"/>
          </w:tcPr>
          <w:p w14:paraId="2ABF47E3" w14:textId="77777777" w:rsidR="002E3C00" w:rsidRDefault="002E3C00" w:rsidP="002E3C00">
            <w:pPr>
              <w:pStyle w:val="TableText"/>
            </w:pPr>
          </w:p>
        </w:tc>
        <w:tc>
          <w:tcPr>
            <w:tcW w:w="1440" w:type="dxa"/>
          </w:tcPr>
          <w:p w14:paraId="0735A6AF" w14:textId="77777777" w:rsidR="002E3C00" w:rsidRDefault="002E3C00" w:rsidP="002E3C00">
            <w:pPr>
              <w:pStyle w:val="TableText"/>
            </w:pPr>
          </w:p>
        </w:tc>
        <w:tc>
          <w:tcPr>
            <w:tcW w:w="1440" w:type="dxa"/>
          </w:tcPr>
          <w:p w14:paraId="30484B89" w14:textId="77777777" w:rsidR="002E3C00" w:rsidRDefault="002E3C00" w:rsidP="002E3C00">
            <w:pPr>
              <w:pStyle w:val="TableText"/>
            </w:pPr>
          </w:p>
        </w:tc>
      </w:tr>
      <w:tr w:rsidR="002E3C00" w14:paraId="62717EA5" w14:textId="77777777">
        <w:trPr>
          <w:cantSplit/>
        </w:trPr>
        <w:tc>
          <w:tcPr>
            <w:tcW w:w="2160" w:type="dxa"/>
          </w:tcPr>
          <w:p w14:paraId="26598307" w14:textId="77777777" w:rsidR="002E3C00" w:rsidRDefault="002E3C00" w:rsidP="002E3C00">
            <w:pPr>
              <w:pStyle w:val="TableText"/>
            </w:pPr>
            <w:r>
              <w:t xml:space="preserve">Pool </w:t>
            </w:r>
          </w:p>
        </w:tc>
        <w:tc>
          <w:tcPr>
            <w:tcW w:w="1440" w:type="dxa"/>
          </w:tcPr>
          <w:p w14:paraId="53047776" w14:textId="77777777" w:rsidR="002E3C00" w:rsidRDefault="002E3C00" w:rsidP="002E3C00">
            <w:pPr>
              <w:pStyle w:val="TableText"/>
            </w:pPr>
          </w:p>
        </w:tc>
        <w:tc>
          <w:tcPr>
            <w:tcW w:w="1440" w:type="dxa"/>
          </w:tcPr>
          <w:p w14:paraId="6D67D47D" w14:textId="77777777" w:rsidR="002E3C00" w:rsidRDefault="002E3C00" w:rsidP="002E3C00">
            <w:pPr>
              <w:pStyle w:val="TableText"/>
            </w:pPr>
          </w:p>
        </w:tc>
        <w:tc>
          <w:tcPr>
            <w:tcW w:w="1440" w:type="dxa"/>
          </w:tcPr>
          <w:p w14:paraId="434FAB75" w14:textId="77777777" w:rsidR="002E3C00" w:rsidRDefault="002E3C00" w:rsidP="002E3C00">
            <w:pPr>
              <w:pStyle w:val="TableText"/>
            </w:pPr>
          </w:p>
        </w:tc>
      </w:tr>
      <w:tr w:rsidR="002E3C00" w14:paraId="6EDBEAD7" w14:textId="77777777">
        <w:trPr>
          <w:cantSplit/>
        </w:trPr>
        <w:tc>
          <w:tcPr>
            <w:tcW w:w="2160" w:type="dxa"/>
          </w:tcPr>
          <w:p w14:paraId="3714634C" w14:textId="77777777" w:rsidR="002E3C00" w:rsidRDefault="002E3C00" w:rsidP="002E3C00">
            <w:pPr>
              <w:pStyle w:val="TableText"/>
            </w:pPr>
            <w:r>
              <w:t>Thaw/Pool Cryo</w:t>
            </w:r>
          </w:p>
        </w:tc>
        <w:tc>
          <w:tcPr>
            <w:tcW w:w="1440" w:type="dxa"/>
          </w:tcPr>
          <w:p w14:paraId="24322EE8" w14:textId="77777777" w:rsidR="002E3C00" w:rsidRDefault="002E3C00" w:rsidP="002E3C00">
            <w:pPr>
              <w:pStyle w:val="TableText"/>
            </w:pPr>
          </w:p>
        </w:tc>
        <w:tc>
          <w:tcPr>
            <w:tcW w:w="1440" w:type="dxa"/>
          </w:tcPr>
          <w:p w14:paraId="343E3B05" w14:textId="77777777" w:rsidR="002E3C00" w:rsidRDefault="002E3C00" w:rsidP="002E3C00">
            <w:pPr>
              <w:pStyle w:val="TableText"/>
            </w:pPr>
          </w:p>
        </w:tc>
        <w:tc>
          <w:tcPr>
            <w:tcW w:w="1440" w:type="dxa"/>
          </w:tcPr>
          <w:p w14:paraId="526B0642" w14:textId="77777777" w:rsidR="002E3C00" w:rsidRDefault="002E3C00" w:rsidP="002E3C00">
            <w:pPr>
              <w:pStyle w:val="TableText"/>
            </w:pPr>
          </w:p>
        </w:tc>
      </w:tr>
      <w:tr w:rsidR="002E3C00" w14:paraId="2F4BABEA" w14:textId="77777777">
        <w:trPr>
          <w:cantSplit/>
        </w:trPr>
        <w:tc>
          <w:tcPr>
            <w:tcW w:w="2160" w:type="dxa"/>
          </w:tcPr>
          <w:p w14:paraId="05CD2448" w14:textId="77777777" w:rsidR="002E3C00" w:rsidRDefault="002E3C00" w:rsidP="002E3C00">
            <w:pPr>
              <w:pStyle w:val="TableText"/>
            </w:pPr>
            <w:r>
              <w:t>Split/Divide</w:t>
            </w:r>
          </w:p>
        </w:tc>
        <w:tc>
          <w:tcPr>
            <w:tcW w:w="1440" w:type="dxa"/>
          </w:tcPr>
          <w:p w14:paraId="29F5A078" w14:textId="77777777" w:rsidR="002E3C00" w:rsidRDefault="002E3C00" w:rsidP="002E3C00">
            <w:pPr>
              <w:pStyle w:val="TableText"/>
            </w:pPr>
          </w:p>
        </w:tc>
        <w:tc>
          <w:tcPr>
            <w:tcW w:w="1440" w:type="dxa"/>
          </w:tcPr>
          <w:p w14:paraId="4F19EBEB" w14:textId="77777777" w:rsidR="002E3C00" w:rsidRDefault="002E3C00" w:rsidP="002E3C00">
            <w:pPr>
              <w:pStyle w:val="TableText"/>
            </w:pPr>
          </w:p>
        </w:tc>
        <w:tc>
          <w:tcPr>
            <w:tcW w:w="1440" w:type="dxa"/>
          </w:tcPr>
          <w:p w14:paraId="307C656C" w14:textId="77777777" w:rsidR="002E3C00" w:rsidRDefault="002E3C00" w:rsidP="002E3C00">
            <w:pPr>
              <w:pStyle w:val="TableText"/>
            </w:pPr>
          </w:p>
        </w:tc>
      </w:tr>
      <w:tr w:rsidR="002E3C00" w14:paraId="1B87C748" w14:textId="77777777">
        <w:trPr>
          <w:cantSplit/>
        </w:trPr>
        <w:tc>
          <w:tcPr>
            <w:tcW w:w="2160" w:type="dxa"/>
          </w:tcPr>
          <w:p w14:paraId="050EF505" w14:textId="77777777" w:rsidR="002E3C00" w:rsidRDefault="002E3C00" w:rsidP="002E3C00">
            <w:pPr>
              <w:pStyle w:val="TableText"/>
            </w:pPr>
            <w:r>
              <w:t>Irradiate</w:t>
            </w:r>
          </w:p>
        </w:tc>
        <w:tc>
          <w:tcPr>
            <w:tcW w:w="1440" w:type="dxa"/>
          </w:tcPr>
          <w:p w14:paraId="29DA7F75" w14:textId="77777777" w:rsidR="002E3C00" w:rsidRDefault="002E3C00" w:rsidP="002E3C00">
            <w:pPr>
              <w:pStyle w:val="TableText"/>
            </w:pPr>
          </w:p>
        </w:tc>
        <w:tc>
          <w:tcPr>
            <w:tcW w:w="1440" w:type="dxa"/>
          </w:tcPr>
          <w:p w14:paraId="3E587FA6" w14:textId="77777777" w:rsidR="002E3C00" w:rsidRDefault="002E3C00" w:rsidP="002E3C00">
            <w:pPr>
              <w:pStyle w:val="TableText"/>
            </w:pPr>
          </w:p>
        </w:tc>
        <w:tc>
          <w:tcPr>
            <w:tcW w:w="1440" w:type="dxa"/>
          </w:tcPr>
          <w:p w14:paraId="6425DC78" w14:textId="77777777" w:rsidR="002E3C00" w:rsidRDefault="002E3C00" w:rsidP="002E3C00">
            <w:pPr>
              <w:pStyle w:val="TableText"/>
            </w:pPr>
          </w:p>
        </w:tc>
      </w:tr>
      <w:tr w:rsidR="002E3C00" w14:paraId="43B1EF78" w14:textId="77777777">
        <w:trPr>
          <w:cantSplit/>
        </w:trPr>
        <w:tc>
          <w:tcPr>
            <w:tcW w:w="2160" w:type="dxa"/>
          </w:tcPr>
          <w:p w14:paraId="42F4C6E9" w14:textId="77777777" w:rsidR="002E3C00" w:rsidRDefault="002E3C00" w:rsidP="002E3C00">
            <w:pPr>
              <w:pStyle w:val="TableText"/>
            </w:pPr>
            <w:r>
              <w:t xml:space="preserve">Leukoreduce </w:t>
            </w:r>
          </w:p>
        </w:tc>
        <w:tc>
          <w:tcPr>
            <w:tcW w:w="1440" w:type="dxa"/>
          </w:tcPr>
          <w:p w14:paraId="437FA37F" w14:textId="77777777" w:rsidR="002E3C00" w:rsidRDefault="002E3C00" w:rsidP="002E3C00">
            <w:pPr>
              <w:pStyle w:val="TableText"/>
            </w:pPr>
          </w:p>
        </w:tc>
        <w:tc>
          <w:tcPr>
            <w:tcW w:w="1440" w:type="dxa"/>
          </w:tcPr>
          <w:p w14:paraId="12B02A96" w14:textId="77777777" w:rsidR="002E3C00" w:rsidRDefault="002E3C00" w:rsidP="002E3C00">
            <w:pPr>
              <w:pStyle w:val="TableText"/>
            </w:pPr>
          </w:p>
        </w:tc>
        <w:tc>
          <w:tcPr>
            <w:tcW w:w="1440" w:type="dxa"/>
          </w:tcPr>
          <w:p w14:paraId="0B5E821B" w14:textId="77777777" w:rsidR="002E3C00" w:rsidRDefault="002E3C00" w:rsidP="002E3C00">
            <w:pPr>
              <w:pStyle w:val="TableText"/>
            </w:pPr>
          </w:p>
        </w:tc>
      </w:tr>
      <w:tr w:rsidR="002E3C00" w14:paraId="287B1CD8" w14:textId="77777777">
        <w:trPr>
          <w:cantSplit/>
        </w:trPr>
        <w:tc>
          <w:tcPr>
            <w:tcW w:w="2160" w:type="dxa"/>
          </w:tcPr>
          <w:p w14:paraId="1C3CA823" w14:textId="77777777" w:rsidR="002E3C00" w:rsidRDefault="002E3C00" w:rsidP="002E3C00">
            <w:pPr>
              <w:pStyle w:val="TableText"/>
            </w:pPr>
            <w:r>
              <w:t xml:space="preserve">Volume </w:t>
            </w:r>
            <w:r w:rsidR="007F68C7">
              <w:t>R</w:t>
            </w:r>
            <w:r>
              <w:t>educe</w:t>
            </w:r>
          </w:p>
        </w:tc>
        <w:tc>
          <w:tcPr>
            <w:tcW w:w="1440" w:type="dxa"/>
          </w:tcPr>
          <w:p w14:paraId="5E0AFC83" w14:textId="77777777" w:rsidR="002E3C00" w:rsidRDefault="002E3C00" w:rsidP="002E3C00">
            <w:pPr>
              <w:pStyle w:val="TableText"/>
            </w:pPr>
          </w:p>
        </w:tc>
        <w:tc>
          <w:tcPr>
            <w:tcW w:w="1440" w:type="dxa"/>
          </w:tcPr>
          <w:p w14:paraId="66861776" w14:textId="77777777" w:rsidR="002E3C00" w:rsidRDefault="002E3C00" w:rsidP="002E3C00">
            <w:pPr>
              <w:pStyle w:val="TableText"/>
            </w:pPr>
          </w:p>
        </w:tc>
        <w:tc>
          <w:tcPr>
            <w:tcW w:w="1440" w:type="dxa"/>
          </w:tcPr>
          <w:p w14:paraId="413EFCF5" w14:textId="77777777" w:rsidR="002E3C00" w:rsidRDefault="002E3C00" w:rsidP="002E3C00">
            <w:pPr>
              <w:pStyle w:val="TableText"/>
            </w:pPr>
          </w:p>
        </w:tc>
      </w:tr>
      <w:tr w:rsidR="002E3C00" w14:paraId="335448F9" w14:textId="77777777">
        <w:trPr>
          <w:cantSplit/>
        </w:trPr>
        <w:tc>
          <w:tcPr>
            <w:tcW w:w="2160" w:type="dxa"/>
          </w:tcPr>
          <w:p w14:paraId="160E5C25" w14:textId="77777777" w:rsidR="002E3C00" w:rsidRDefault="002E3C00" w:rsidP="002E3C00">
            <w:pPr>
              <w:pStyle w:val="TableText"/>
            </w:pPr>
            <w:r>
              <w:t>Wash</w:t>
            </w:r>
          </w:p>
        </w:tc>
        <w:tc>
          <w:tcPr>
            <w:tcW w:w="1440" w:type="dxa"/>
          </w:tcPr>
          <w:p w14:paraId="3FF1AA78" w14:textId="77777777" w:rsidR="002E3C00" w:rsidRDefault="002E3C00" w:rsidP="002E3C00">
            <w:pPr>
              <w:pStyle w:val="TableText"/>
            </w:pPr>
          </w:p>
        </w:tc>
        <w:tc>
          <w:tcPr>
            <w:tcW w:w="1440" w:type="dxa"/>
          </w:tcPr>
          <w:p w14:paraId="35258BD2" w14:textId="77777777" w:rsidR="002E3C00" w:rsidRDefault="002E3C00" w:rsidP="002E3C00">
            <w:pPr>
              <w:pStyle w:val="TableText"/>
            </w:pPr>
          </w:p>
        </w:tc>
        <w:tc>
          <w:tcPr>
            <w:tcW w:w="1440" w:type="dxa"/>
          </w:tcPr>
          <w:p w14:paraId="7C71C30A" w14:textId="77777777" w:rsidR="002E3C00" w:rsidRDefault="002E3C00" w:rsidP="002E3C00">
            <w:pPr>
              <w:pStyle w:val="TableText"/>
            </w:pPr>
          </w:p>
        </w:tc>
      </w:tr>
      <w:tr w:rsidR="002E3C00" w14:paraId="6904D62B" w14:textId="77777777">
        <w:trPr>
          <w:cantSplit/>
        </w:trPr>
        <w:tc>
          <w:tcPr>
            <w:tcW w:w="2160" w:type="dxa"/>
          </w:tcPr>
          <w:p w14:paraId="4380597D" w14:textId="77777777" w:rsidR="002E3C00" w:rsidRDefault="002E3C00" w:rsidP="002E3C00">
            <w:pPr>
              <w:pStyle w:val="TableText"/>
            </w:pPr>
            <w:r>
              <w:t>Rejuvenate</w:t>
            </w:r>
          </w:p>
        </w:tc>
        <w:tc>
          <w:tcPr>
            <w:tcW w:w="1440" w:type="dxa"/>
          </w:tcPr>
          <w:p w14:paraId="2DF5F2DE" w14:textId="77777777" w:rsidR="002E3C00" w:rsidRDefault="002E3C00" w:rsidP="002E3C00">
            <w:pPr>
              <w:pStyle w:val="TableText"/>
            </w:pPr>
          </w:p>
        </w:tc>
        <w:tc>
          <w:tcPr>
            <w:tcW w:w="1440" w:type="dxa"/>
          </w:tcPr>
          <w:p w14:paraId="4F72FC0C" w14:textId="77777777" w:rsidR="002E3C00" w:rsidRDefault="002E3C00" w:rsidP="002E3C00">
            <w:pPr>
              <w:pStyle w:val="TableText"/>
            </w:pPr>
          </w:p>
        </w:tc>
        <w:tc>
          <w:tcPr>
            <w:tcW w:w="1440" w:type="dxa"/>
          </w:tcPr>
          <w:p w14:paraId="093C4A8E" w14:textId="77777777" w:rsidR="002E3C00" w:rsidRDefault="002E3C00" w:rsidP="002E3C00">
            <w:pPr>
              <w:pStyle w:val="TableText"/>
            </w:pPr>
          </w:p>
        </w:tc>
      </w:tr>
      <w:tr w:rsidR="002E3C00" w14:paraId="639D9B42" w14:textId="77777777">
        <w:trPr>
          <w:cantSplit/>
        </w:trPr>
        <w:tc>
          <w:tcPr>
            <w:tcW w:w="2160" w:type="dxa"/>
          </w:tcPr>
          <w:p w14:paraId="79990C61" w14:textId="77777777" w:rsidR="002E3C00" w:rsidRDefault="002E3C00" w:rsidP="002E3C00">
            <w:pPr>
              <w:pStyle w:val="TableText"/>
            </w:pPr>
            <w:r>
              <w:t>Freeze</w:t>
            </w:r>
          </w:p>
        </w:tc>
        <w:tc>
          <w:tcPr>
            <w:tcW w:w="1440" w:type="dxa"/>
          </w:tcPr>
          <w:p w14:paraId="7F7CE07E" w14:textId="77777777" w:rsidR="002E3C00" w:rsidRDefault="002E3C00" w:rsidP="002E3C00">
            <w:pPr>
              <w:pStyle w:val="TableText"/>
            </w:pPr>
          </w:p>
        </w:tc>
        <w:tc>
          <w:tcPr>
            <w:tcW w:w="1440" w:type="dxa"/>
          </w:tcPr>
          <w:p w14:paraId="74BD3A55" w14:textId="77777777" w:rsidR="002E3C00" w:rsidRDefault="002E3C00" w:rsidP="002E3C00">
            <w:pPr>
              <w:pStyle w:val="TableText"/>
            </w:pPr>
          </w:p>
        </w:tc>
        <w:tc>
          <w:tcPr>
            <w:tcW w:w="1440" w:type="dxa"/>
          </w:tcPr>
          <w:p w14:paraId="1A73B2C3" w14:textId="77777777" w:rsidR="002E3C00" w:rsidRDefault="002E3C00" w:rsidP="002E3C00">
            <w:pPr>
              <w:pStyle w:val="TableText"/>
            </w:pPr>
          </w:p>
        </w:tc>
      </w:tr>
      <w:tr w:rsidR="002E3C00" w14:paraId="370ED9E5" w14:textId="77777777">
        <w:trPr>
          <w:cantSplit/>
        </w:trPr>
        <w:tc>
          <w:tcPr>
            <w:tcW w:w="2160" w:type="dxa"/>
          </w:tcPr>
          <w:p w14:paraId="305A2A90" w14:textId="77777777" w:rsidR="002E3C00" w:rsidRDefault="002E3C00" w:rsidP="002E3C00">
            <w:pPr>
              <w:pStyle w:val="TableText"/>
            </w:pPr>
            <w:r>
              <w:t>Deglycerolize</w:t>
            </w:r>
          </w:p>
        </w:tc>
        <w:tc>
          <w:tcPr>
            <w:tcW w:w="1440" w:type="dxa"/>
          </w:tcPr>
          <w:p w14:paraId="0E1FAC42" w14:textId="77777777" w:rsidR="002E3C00" w:rsidRDefault="002E3C00" w:rsidP="002E3C00">
            <w:pPr>
              <w:pStyle w:val="TableText"/>
            </w:pPr>
          </w:p>
        </w:tc>
        <w:tc>
          <w:tcPr>
            <w:tcW w:w="1440" w:type="dxa"/>
          </w:tcPr>
          <w:p w14:paraId="70202090" w14:textId="77777777" w:rsidR="002E3C00" w:rsidRDefault="002E3C00" w:rsidP="002E3C00">
            <w:pPr>
              <w:pStyle w:val="TableText"/>
            </w:pPr>
          </w:p>
        </w:tc>
        <w:tc>
          <w:tcPr>
            <w:tcW w:w="1440" w:type="dxa"/>
          </w:tcPr>
          <w:p w14:paraId="1B8E242F" w14:textId="77777777" w:rsidR="002E3C00" w:rsidRDefault="002E3C00" w:rsidP="002E3C00">
            <w:pPr>
              <w:pStyle w:val="TableText"/>
            </w:pPr>
          </w:p>
        </w:tc>
      </w:tr>
    </w:tbl>
    <w:p w14:paraId="4FC9F038" w14:textId="77777777" w:rsidR="002E3C00" w:rsidRDefault="002E3C00" w:rsidP="002E3C00">
      <w:pPr>
        <w:rPr>
          <w:sz w:val="15"/>
          <w:szCs w:val="15"/>
        </w:rPr>
      </w:pPr>
    </w:p>
    <w:p w14:paraId="11117FDE" w14:textId="77777777" w:rsidR="002E3C00" w:rsidRPr="00600497" w:rsidRDefault="002E3C00" w:rsidP="00925CAD">
      <w:pPr>
        <w:pStyle w:val="ListNumber"/>
        <w:numPr>
          <w:ilvl w:val="0"/>
          <w:numId w:val="18"/>
        </w:numPr>
        <w:tabs>
          <w:tab w:val="clear" w:pos="720"/>
          <w:tab w:val="num" w:pos="360"/>
        </w:tabs>
        <w:ind w:left="360"/>
      </w:pPr>
      <w:r w:rsidRPr="00600497">
        <w:t xml:space="preserve">Capture and save a screen shot of each piece of information. </w:t>
      </w:r>
    </w:p>
    <w:p w14:paraId="67633439" w14:textId="77777777" w:rsidR="00232E43" w:rsidRPr="00FB7F8D" w:rsidRDefault="00232E43" w:rsidP="00925CAD">
      <w:pPr>
        <w:pStyle w:val="ListNumber"/>
        <w:numPr>
          <w:ilvl w:val="0"/>
          <w:numId w:val="18"/>
        </w:numPr>
        <w:tabs>
          <w:tab w:val="clear" w:pos="720"/>
          <w:tab w:val="num" w:pos="360"/>
        </w:tabs>
        <w:ind w:left="360"/>
      </w:pPr>
      <w:bookmarkStart w:id="785" w:name="_Toc114462097"/>
      <w:r w:rsidRPr="00600497">
        <w:t>Pri</w:t>
      </w:r>
      <w:r w:rsidRPr="00FB7F8D">
        <w:t>nt</w:t>
      </w:r>
      <w:r>
        <w:t>, sign, date,</w:t>
      </w:r>
      <w:r w:rsidRPr="00FB7F8D">
        <w:t xml:space="preserve"> and save an </w:t>
      </w:r>
      <w:r>
        <w:t>A</w:t>
      </w:r>
      <w:r w:rsidRPr="00FB7F8D">
        <w:t xml:space="preserve">udit </w:t>
      </w:r>
      <w:r>
        <w:t>Trail R</w:t>
      </w:r>
      <w:r w:rsidRPr="00FB7F8D">
        <w:t>eport for your validation record.</w:t>
      </w:r>
    </w:p>
    <w:p w14:paraId="63D760F9" w14:textId="77777777" w:rsidR="002E3C00" w:rsidRDefault="007F0132" w:rsidP="002E3C00">
      <w:pPr>
        <w:pStyle w:val="Heading3"/>
      </w:pPr>
      <w:r>
        <w:br w:type="page"/>
      </w:r>
      <w:bookmarkStart w:id="786" w:name="_Toc203765998"/>
      <w:r w:rsidR="002E3C00">
        <w:lastRenderedPageBreak/>
        <w:t>Order Alerts</w:t>
      </w:r>
      <w:bookmarkEnd w:id="785"/>
      <w:bookmarkEnd w:id="786"/>
      <w:r w:rsidR="00992E88">
        <w:fldChar w:fldCharType="begin"/>
      </w:r>
      <w:r w:rsidR="00992E88">
        <w:instrText xml:space="preserve"> XE "</w:instrText>
      </w:r>
      <w:r w:rsidR="00992E88" w:rsidRPr="00992E88">
        <w:instrText xml:space="preserve"> </w:instrText>
      </w:r>
      <w:r w:rsidR="00992E88" w:rsidRPr="00FC6AF9">
        <w:instrText>System Validation:</w:instrText>
      </w:r>
      <w:r w:rsidR="00992E88" w:rsidRPr="00B0596E">
        <w:instrText>Order Alerts</w:instrText>
      </w:r>
      <w:r w:rsidR="00992E88">
        <w:instrText xml:space="preserve">" </w:instrText>
      </w:r>
      <w:r w:rsidR="00992E88">
        <w:fldChar w:fldCharType="end"/>
      </w:r>
    </w:p>
    <w:p w14:paraId="58B00A5F" w14:textId="228942CE" w:rsidR="00283731" w:rsidRDefault="00283731" w:rsidP="00283731">
      <w:pPr>
        <w:pStyle w:val="BodyText"/>
      </w:pPr>
      <w:r>
        <w:t>The user configures diagnostic test or component order alerts that appear at login, and turns them on or off. The alerts notify users when new orders are entered, updated, or cancel</w:t>
      </w:r>
      <w:r w:rsidR="002F7E19">
        <w:t>l</w:t>
      </w:r>
      <w:r>
        <w:t xml:space="preserve">ed in </w:t>
      </w:r>
      <w:r w:rsidRPr="00CA0045">
        <w:rPr>
          <w:bCs/>
        </w:rPr>
        <w:t>VistA</w:t>
      </w:r>
      <w:r>
        <w:rPr>
          <w:bCs/>
        </w:rPr>
        <w:t>.</w:t>
      </w:r>
      <w:r w:rsidR="00250936">
        <w:rPr>
          <w:bCs/>
        </w:rPr>
        <w:t xml:space="preserve"> For more information, see </w:t>
      </w:r>
      <w:r w:rsidR="00EE455E">
        <w:t xml:space="preserve">Appendix </w:t>
      </w:r>
      <w:r w:rsidR="00EE455E">
        <w:rPr>
          <w:noProof/>
        </w:rPr>
        <w:t>G</w:t>
      </w:r>
      <w:r w:rsidR="00EE455E">
        <w:t>: Work Process Flowcharts</w:t>
      </w:r>
      <w:r w:rsidR="00250936">
        <w:rPr>
          <w:bCs/>
        </w:rPr>
        <w:t>.</w:t>
      </w:r>
    </w:p>
    <w:p w14:paraId="748AB726" w14:textId="77777777" w:rsidR="002E3C00" w:rsidRDefault="002E3C00" w:rsidP="002E3C00">
      <w:pPr>
        <w:pStyle w:val="Heading4"/>
        <w:rPr>
          <w:b w:val="0"/>
        </w:rPr>
      </w:pPr>
      <w:r>
        <w:t>User Roles with Access to This Option</w:t>
      </w:r>
      <w:r>
        <w:rPr>
          <w:b w:val="0"/>
        </w:rPr>
        <w:t xml:space="preserve"> </w:t>
      </w:r>
    </w:p>
    <w:p w14:paraId="08A12871" w14:textId="77777777" w:rsidR="002E3C00" w:rsidRPr="008F337A" w:rsidRDefault="002E3C00" w:rsidP="002E3C00">
      <w:pPr>
        <w:pStyle w:val="Roles"/>
        <w:rPr>
          <w:snapToGrid w:val="0"/>
        </w:rPr>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Administrator/Supervisor</w:t>
      </w:r>
      <w:r>
        <w:rPr>
          <w:snapToGrid w:val="0"/>
        </w:rPr>
        <w:t xml:space="preserve"> </w:t>
      </w:r>
    </w:p>
    <w:p w14:paraId="29991F70" w14:textId="77777777" w:rsidR="002E3C00" w:rsidRDefault="00B74754" w:rsidP="002E3C00">
      <w:pPr>
        <w:pStyle w:val="Heading4"/>
      </w:pPr>
      <w:r>
        <w:t>Preparation for Testing</w:t>
      </w:r>
    </w:p>
    <w:p w14:paraId="7257E1DA" w14:textId="77777777" w:rsidR="002E3C00" w:rsidRPr="00600497" w:rsidRDefault="002E3C00" w:rsidP="00925CAD">
      <w:pPr>
        <w:pStyle w:val="ListNumber"/>
        <w:numPr>
          <w:ilvl w:val="0"/>
          <w:numId w:val="19"/>
        </w:numPr>
        <w:tabs>
          <w:tab w:val="clear" w:pos="720"/>
          <w:tab w:val="num" w:pos="360"/>
        </w:tabs>
        <w:ind w:left="360"/>
      </w:pPr>
      <w:r w:rsidRPr="00600497">
        <w:t xml:space="preserve">Capture and save a screen shot of each piece of information. </w:t>
      </w:r>
    </w:p>
    <w:p w14:paraId="3080640E" w14:textId="77777777" w:rsidR="00232E43" w:rsidRPr="00FB7F8D" w:rsidRDefault="00232E43" w:rsidP="00925CAD">
      <w:pPr>
        <w:pStyle w:val="ListNumber"/>
        <w:numPr>
          <w:ilvl w:val="0"/>
          <w:numId w:val="19"/>
        </w:numPr>
        <w:tabs>
          <w:tab w:val="clear" w:pos="720"/>
          <w:tab w:val="num" w:pos="360"/>
        </w:tabs>
        <w:ind w:left="360"/>
      </w:pPr>
      <w:r w:rsidRPr="00600497">
        <w:t>P</w:t>
      </w:r>
      <w:r w:rsidRPr="00FB7F8D">
        <w:t>rint</w:t>
      </w:r>
      <w:r>
        <w:t>, sign, date,</w:t>
      </w:r>
      <w:r w:rsidRPr="00FB7F8D">
        <w:t xml:space="preserve"> and save an </w:t>
      </w:r>
      <w:r>
        <w:t>A</w:t>
      </w:r>
      <w:r w:rsidRPr="00FB7F8D">
        <w:t xml:space="preserve">udit </w:t>
      </w:r>
      <w:r>
        <w:t>Trail R</w:t>
      </w:r>
      <w:r w:rsidRPr="00FB7F8D">
        <w:t>eport for your validation record.</w:t>
      </w:r>
    </w:p>
    <w:p w14:paraId="488B2A4D" w14:textId="77777777" w:rsidR="002E3C00" w:rsidRDefault="007F0132" w:rsidP="002E3C00">
      <w:pPr>
        <w:pStyle w:val="Heading3"/>
      </w:pPr>
      <w:bookmarkStart w:id="787" w:name="_Toc114462098"/>
      <w:r>
        <w:br w:type="page"/>
      </w:r>
      <w:bookmarkStart w:id="788" w:name="_Toc203765999"/>
      <w:r w:rsidR="002E3C00">
        <w:lastRenderedPageBreak/>
        <w:t>Configure Daily QC: Full Service</w:t>
      </w:r>
      <w:bookmarkEnd w:id="782"/>
      <w:bookmarkEnd w:id="783"/>
      <w:bookmarkEnd w:id="787"/>
      <w:bookmarkEnd w:id="788"/>
      <w:r w:rsidR="00992E88">
        <w:fldChar w:fldCharType="begin"/>
      </w:r>
      <w:r w:rsidR="00992E88">
        <w:instrText xml:space="preserve"> XE "</w:instrText>
      </w:r>
      <w:r w:rsidR="00992E88" w:rsidRPr="00992E88">
        <w:instrText xml:space="preserve"> </w:instrText>
      </w:r>
      <w:r w:rsidR="00992E88" w:rsidRPr="00FC6AF9">
        <w:instrText>System Validation:</w:instrText>
      </w:r>
      <w:r w:rsidR="00992E88" w:rsidRPr="00B0596E">
        <w:instrText>Configure Daily QC\: Full Service</w:instrText>
      </w:r>
      <w:r w:rsidR="00992E88">
        <w:instrText xml:space="preserve">" </w:instrText>
      </w:r>
      <w:r w:rsidR="00992E88">
        <w:fldChar w:fldCharType="end"/>
      </w:r>
    </w:p>
    <w:p w14:paraId="1DE2B52D" w14:textId="3C94A2A2" w:rsidR="002E3C00" w:rsidRDefault="002E3C00" w:rsidP="002E3C00">
      <w:pPr>
        <w:pStyle w:val="BodyText"/>
      </w:pPr>
      <w:r>
        <w:t>The user sets up the routine reagent racks and QC template for the division before performing daily reagent QC.</w:t>
      </w:r>
      <w:r w:rsidR="00E435F1">
        <w:t xml:space="preserve"> </w:t>
      </w:r>
      <w:r w:rsidR="00250936">
        <w:t xml:space="preserve">For more information, see </w:t>
      </w:r>
      <w:r w:rsidR="00EE455E">
        <w:t xml:space="preserve">Appendix </w:t>
      </w:r>
      <w:r w:rsidR="00EE455E">
        <w:rPr>
          <w:noProof/>
        </w:rPr>
        <w:t>G</w:t>
      </w:r>
      <w:r w:rsidR="00EE455E">
        <w:t>: Work Process Flowcharts</w:t>
      </w:r>
      <w:r w:rsidR="00250936">
        <w:t>.</w:t>
      </w:r>
    </w:p>
    <w:p w14:paraId="1D4D33BA" w14:textId="77777777" w:rsidR="002E3C00" w:rsidRDefault="002E3C00" w:rsidP="002E3C00">
      <w:pPr>
        <w:pStyle w:val="Heading4"/>
        <w:rPr>
          <w:b w:val="0"/>
        </w:rPr>
      </w:pPr>
      <w:r>
        <w:t>User Roles with Access to This Option</w:t>
      </w:r>
      <w:r>
        <w:rPr>
          <w:b w:val="0"/>
        </w:rPr>
        <w:t xml:space="preserve"> </w:t>
      </w:r>
    </w:p>
    <w:p w14:paraId="35C618C6" w14:textId="77777777" w:rsidR="002E3C00" w:rsidRPr="00B22CCD" w:rsidRDefault="002E3C00" w:rsidP="002E3C00">
      <w:pPr>
        <w:pStyle w:val="Roles"/>
        <w:rPr>
          <w:snapToGrid w:val="0"/>
        </w:rPr>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Enhanced Supervisor</w:t>
      </w:r>
      <w:r>
        <w:rPr>
          <w:snapToGrid w:val="0"/>
        </w:rPr>
        <w:t xml:space="preserve"> </w:t>
      </w:r>
    </w:p>
    <w:p w14:paraId="0BB1323C" w14:textId="77777777" w:rsidR="002E3C00" w:rsidRDefault="00B74754" w:rsidP="002E3C00">
      <w:pPr>
        <w:pStyle w:val="Heading4"/>
      </w:pPr>
      <w:r>
        <w:t>Preparation for Testing</w:t>
      </w:r>
    </w:p>
    <w:p w14:paraId="27E0D428" w14:textId="77777777" w:rsidR="00717BAF" w:rsidRDefault="002E3C00" w:rsidP="00925CAD">
      <w:pPr>
        <w:pStyle w:val="ListNumber"/>
        <w:numPr>
          <w:ilvl w:val="0"/>
          <w:numId w:val="29"/>
        </w:numPr>
        <w:tabs>
          <w:tab w:val="clear" w:pos="720"/>
          <w:tab w:val="num" w:pos="360"/>
          <w:tab w:val="right" w:leader="underscore" w:pos="9360"/>
        </w:tabs>
        <w:ind w:left="360"/>
      </w:pPr>
      <w:r>
        <w:t>If you perform daily reagent rack quality control using a commercial kit, select the commercial kit template. If not, select the non-commercial k</w:t>
      </w:r>
      <w:r w:rsidR="00717BAF">
        <w:t>it template. Template selected:</w:t>
      </w:r>
      <w:r w:rsidR="00717BAF">
        <w:tab/>
      </w:r>
    </w:p>
    <w:p w14:paraId="7737CA62" w14:textId="77777777" w:rsidR="00717BAF" w:rsidRDefault="002E3C00" w:rsidP="00925CAD">
      <w:pPr>
        <w:pStyle w:val="ListNumber"/>
        <w:numPr>
          <w:ilvl w:val="0"/>
          <w:numId w:val="29"/>
        </w:numPr>
        <w:tabs>
          <w:tab w:val="clear" w:pos="720"/>
          <w:tab w:val="num" w:pos="360"/>
          <w:tab w:val="right" w:leader="underscore" w:pos="9360"/>
        </w:tabs>
        <w:ind w:left="360"/>
      </w:pPr>
      <w:r>
        <w:t>Daily alert time at which users will be prompted to perform QC:</w:t>
      </w:r>
      <w:r w:rsidR="001D1E93">
        <w:tab/>
      </w:r>
    </w:p>
    <w:p w14:paraId="325C1939" w14:textId="77777777" w:rsidR="00717BAF" w:rsidRDefault="002E3C00" w:rsidP="00925CAD">
      <w:pPr>
        <w:pStyle w:val="ListNumber"/>
        <w:numPr>
          <w:ilvl w:val="0"/>
          <w:numId w:val="29"/>
        </w:numPr>
        <w:tabs>
          <w:tab w:val="clear" w:pos="720"/>
          <w:tab w:val="num" w:pos="360"/>
          <w:tab w:val="right" w:leader="underscore" w:pos="9360"/>
        </w:tabs>
        <w:ind w:left="360"/>
      </w:pPr>
      <w:r>
        <w:t>Do you want to use letters or n</w:t>
      </w:r>
      <w:r w:rsidR="00717BAF">
        <w:t>umbers as rack names?</w:t>
      </w:r>
      <w:r w:rsidR="001D1E93">
        <w:tab/>
      </w:r>
    </w:p>
    <w:p w14:paraId="124070DC" w14:textId="77777777" w:rsidR="00717BAF" w:rsidRDefault="002E3C00" w:rsidP="00925CAD">
      <w:pPr>
        <w:pStyle w:val="ListNumber"/>
        <w:numPr>
          <w:ilvl w:val="0"/>
          <w:numId w:val="29"/>
        </w:numPr>
        <w:tabs>
          <w:tab w:val="clear" w:pos="720"/>
          <w:tab w:val="num" w:pos="360"/>
          <w:tab w:val="right" w:leader="underscore" w:pos="9360"/>
        </w:tabs>
        <w:ind w:left="360"/>
      </w:pPr>
      <w:r>
        <w:t xml:space="preserve">Maximum number </w:t>
      </w:r>
      <w:r w:rsidR="00717BAF">
        <w:t>of reagent racks for daily use:</w:t>
      </w:r>
      <w:r w:rsidR="001D1E93">
        <w:tab/>
      </w:r>
    </w:p>
    <w:p w14:paraId="4D365088" w14:textId="77777777" w:rsidR="00717BAF" w:rsidRDefault="00717BAF" w:rsidP="00925CAD">
      <w:pPr>
        <w:pStyle w:val="ListNumber"/>
        <w:numPr>
          <w:ilvl w:val="0"/>
          <w:numId w:val="29"/>
        </w:numPr>
        <w:tabs>
          <w:tab w:val="clear" w:pos="720"/>
          <w:tab w:val="num" w:pos="360"/>
          <w:tab w:val="right" w:leader="underscore" w:pos="9360"/>
        </w:tabs>
        <w:ind w:left="360"/>
      </w:pPr>
      <w:r>
        <w:t>Primary enhancement medium:</w:t>
      </w:r>
      <w:r w:rsidR="001D1E93">
        <w:tab/>
      </w:r>
    </w:p>
    <w:p w14:paraId="37BC5C7B" w14:textId="77777777" w:rsidR="00717BAF" w:rsidRDefault="00717BAF" w:rsidP="00925CAD">
      <w:pPr>
        <w:pStyle w:val="ListNumber"/>
        <w:numPr>
          <w:ilvl w:val="0"/>
          <w:numId w:val="29"/>
        </w:numPr>
        <w:tabs>
          <w:tab w:val="clear" w:pos="720"/>
          <w:tab w:val="num" w:pos="360"/>
          <w:tab w:val="right" w:leader="underscore" w:pos="9360"/>
        </w:tabs>
        <w:ind w:left="360"/>
      </w:pPr>
      <w:r>
        <w:t>Secondary enhancement medium:</w:t>
      </w:r>
      <w:r w:rsidR="001D1E93">
        <w:tab/>
      </w:r>
    </w:p>
    <w:p w14:paraId="5034A3D0" w14:textId="77777777" w:rsidR="00717BAF" w:rsidRDefault="002E3C00" w:rsidP="001D1E93">
      <w:pPr>
        <w:pStyle w:val="BodyText"/>
      </w:pPr>
      <w:r>
        <w:t>The template contains the minimum number of tests required to test the reagents. Select additional tests that are part of your daily reagent rack QC, in accordance with local policies and procedures.</w:t>
      </w:r>
      <w:bookmarkStart w:id="789" w:name="_Toc85895787"/>
      <w:bookmarkStart w:id="790" w:name="_Toc113264244"/>
    </w:p>
    <w:p w14:paraId="0E7D4732" w14:textId="77777777" w:rsidR="00717BAF" w:rsidRDefault="002E3C00" w:rsidP="00925CAD">
      <w:pPr>
        <w:pStyle w:val="ListNumber"/>
        <w:numPr>
          <w:ilvl w:val="0"/>
          <w:numId w:val="29"/>
        </w:numPr>
        <w:tabs>
          <w:tab w:val="clear" w:pos="720"/>
          <w:tab w:val="num" w:pos="360"/>
          <w:tab w:val="right" w:leader="underscore" w:pos="9360"/>
        </w:tabs>
        <w:ind w:left="360"/>
      </w:pPr>
      <w:r>
        <w:t>Capture and save</w:t>
      </w:r>
      <w:r w:rsidRPr="00FB7F8D">
        <w:t xml:space="preserve"> a screen shot of </w:t>
      </w:r>
      <w:r>
        <w:t>each piece of</w:t>
      </w:r>
      <w:r w:rsidRPr="00FB7F8D">
        <w:t xml:space="preserve"> information. </w:t>
      </w:r>
    </w:p>
    <w:p w14:paraId="7720FA77" w14:textId="77777777" w:rsidR="00232E43" w:rsidRPr="00FB7F8D" w:rsidRDefault="00232E43" w:rsidP="00925CAD">
      <w:pPr>
        <w:pStyle w:val="ListNumber"/>
        <w:numPr>
          <w:ilvl w:val="0"/>
          <w:numId w:val="29"/>
        </w:numPr>
        <w:tabs>
          <w:tab w:val="clear" w:pos="720"/>
          <w:tab w:val="num" w:pos="360"/>
          <w:tab w:val="right" w:leader="underscore" w:pos="9360"/>
        </w:tabs>
        <w:ind w:left="360"/>
      </w:pPr>
      <w:r w:rsidRPr="00FB7F8D">
        <w:t>Print</w:t>
      </w:r>
      <w:r>
        <w:t>, sign, date,</w:t>
      </w:r>
      <w:r w:rsidRPr="00FB7F8D">
        <w:t xml:space="preserve"> and save an </w:t>
      </w:r>
      <w:r>
        <w:t>A</w:t>
      </w:r>
      <w:r w:rsidRPr="00FB7F8D">
        <w:t xml:space="preserve">udit </w:t>
      </w:r>
      <w:r>
        <w:t>Trail R</w:t>
      </w:r>
      <w:r w:rsidRPr="00FB7F8D">
        <w:t>eport for your validation record.</w:t>
      </w:r>
    </w:p>
    <w:p w14:paraId="47359500" w14:textId="77777777" w:rsidR="002E3C00" w:rsidRDefault="007F0132" w:rsidP="002E3C00">
      <w:pPr>
        <w:pStyle w:val="Heading3"/>
      </w:pPr>
      <w:bookmarkStart w:id="791" w:name="_Toc114462099"/>
      <w:r>
        <w:br w:type="page"/>
      </w:r>
      <w:bookmarkStart w:id="792" w:name="_Toc203766000"/>
      <w:r w:rsidR="002E3C00">
        <w:lastRenderedPageBreak/>
        <w:t xml:space="preserve">Maintain </w:t>
      </w:r>
      <w:r w:rsidR="002E3C00" w:rsidRPr="00BD1428">
        <w:t>Minimum Levels</w:t>
      </w:r>
      <w:bookmarkEnd w:id="789"/>
      <w:bookmarkEnd w:id="790"/>
      <w:r w:rsidR="002E3C00">
        <w:t>: Full Service</w:t>
      </w:r>
      <w:bookmarkEnd w:id="791"/>
      <w:bookmarkEnd w:id="792"/>
      <w:r w:rsidR="00992E88">
        <w:fldChar w:fldCharType="begin"/>
      </w:r>
      <w:r w:rsidR="00992E88">
        <w:instrText xml:space="preserve"> XE "</w:instrText>
      </w:r>
      <w:r w:rsidR="00992E88" w:rsidRPr="00992E88">
        <w:instrText xml:space="preserve"> </w:instrText>
      </w:r>
      <w:r w:rsidR="00992E88" w:rsidRPr="00FC6AF9">
        <w:instrText>System Validation:</w:instrText>
      </w:r>
      <w:r w:rsidR="00992E88" w:rsidRPr="00B0596E">
        <w:instrText>Maintain Minimum Levels\: Full Service</w:instrText>
      </w:r>
      <w:r w:rsidR="00992E88">
        <w:instrText xml:space="preserve">" </w:instrText>
      </w:r>
      <w:r w:rsidR="00992E88">
        <w:fldChar w:fldCharType="end"/>
      </w:r>
    </w:p>
    <w:p w14:paraId="6DA1FEE2" w14:textId="4616A518" w:rsidR="002E3C00" w:rsidRPr="00CF3293" w:rsidRDefault="002E3C00" w:rsidP="002E3C00">
      <w:pPr>
        <w:pStyle w:val="BodyText"/>
        <w:rPr>
          <w:rFonts w:cs="Arial"/>
          <w:snapToGrid w:val="0"/>
          <w:color w:val="000000"/>
          <w:szCs w:val="18"/>
        </w:rPr>
      </w:pPr>
      <w:r>
        <w:t>The user sets minimum stock levels for reagent types used in the division.</w:t>
      </w:r>
      <w:r w:rsidR="00250936">
        <w:t xml:space="preserve"> For more information, see </w:t>
      </w:r>
      <w:r w:rsidR="00EE455E">
        <w:t xml:space="preserve">Appendix </w:t>
      </w:r>
      <w:r w:rsidR="00EE455E">
        <w:rPr>
          <w:noProof/>
        </w:rPr>
        <w:t>G</w:t>
      </w:r>
      <w:r w:rsidR="00EE455E">
        <w:t>: Work Process Flowcharts</w:t>
      </w:r>
      <w:r w:rsidR="00250936">
        <w:t>.</w:t>
      </w:r>
    </w:p>
    <w:p w14:paraId="7ABC14CA" w14:textId="77777777" w:rsidR="002E3C00" w:rsidRDefault="002E3C00" w:rsidP="002E3C00">
      <w:pPr>
        <w:pStyle w:val="Heading4"/>
        <w:rPr>
          <w:b w:val="0"/>
        </w:rPr>
      </w:pPr>
      <w:r>
        <w:t>User Roles with Access to This Option</w:t>
      </w:r>
      <w:r>
        <w:rPr>
          <w:b w:val="0"/>
        </w:rPr>
        <w:t xml:space="preserve"> </w:t>
      </w:r>
    </w:p>
    <w:p w14:paraId="1C7690C8" w14:textId="77777777" w:rsidR="002E3C00" w:rsidRDefault="002E3C00" w:rsidP="002E3C00">
      <w:pPr>
        <w:pStyle w:val="Roles"/>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Traditional Supervisor</w:t>
      </w:r>
    </w:p>
    <w:p w14:paraId="0B9D04D4" w14:textId="77777777" w:rsidR="002E3C00" w:rsidRDefault="00B74754" w:rsidP="002E3C00">
      <w:pPr>
        <w:pStyle w:val="Heading4"/>
      </w:pPr>
      <w:r>
        <w:t>Preparation for Testing</w:t>
      </w:r>
    </w:p>
    <w:p w14:paraId="21CEE706" w14:textId="77777777" w:rsidR="002E3C00" w:rsidRDefault="002E3C00" w:rsidP="002E3C00">
      <w:pPr>
        <w:pStyle w:val="BodyText"/>
      </w:pPr>
      <w:r>
        <w:t>You may enter the minimum number of vials for each reagent type that your blood bank stocks to alert staff when it reaches a critical level.</w:t>
      </w:r>
    </w:p>
    <w:p w14:paraId="198198E4" w14:textId="77777777" w:rsidR="002E3C00" w:rsidRPr="00600497" w:rsidRDefault="002E3C00" w:rsidP="00925CAD">
      <w:pPr>
        <w:pStyle w:val="ListNumber"/>
        <w:numPr>
          <w:ilvl w:val="0"/>
          <w:numId w:val="20"/>
        </w:numPr>
      </w:pPr>
      <w:bookmarkStart w:id="793" w:name="_Toc113264245"/>
      <w:r w:rsidRPr="00600497">
        <w:t xml:space="preserve">Capture and save a screen shot of each piece of information. </w:t>
      </w:r>
    </w:p>
    <w:p w14:paraId="1BD30FCA" w14:textId="77777777" w:rsidR="00232E43" w:rsidRPr="00FB7F8D" w:rsidRDefault="00232E43" w:rsidP="00925CAD">
      <w:pPr>
        <w:pStyle w:val="ListNumber"/>
        <w:numPr>
          <w:ilvl w:val="0"/>
          <w:numId w:val="20"/>
        </w:numPr>
      </w:pPr>
      <w:r w:rsidRPr="00600497">
        <w:t>Pr</w:t>
      </w:r>
      <w:r w:rsidRPr="00FB7F8D">
        <w:t>int</w:t>
      </w:r>
      <w:r>
        <w:t>, sign, date,</w:t>
      </w:r>
      <w:r w:rsidRPr="00FB7F8D">
        <w:t xml:space="preserve"> and save an </w:t>
      </w:r>
      <w:r>
        <w:t>A</w:t>
      </w:r>
      <w:r w:rsidRPr="00FB7F8D">
        <w:t xml:space="preserve">udit </w:t>
      </w:r>
      <w:r>
        <w:t>Trail R</w:t>
      </w:r>
      <w:r w:rsidRPr="00FB7F8D">
        <w:t>eport for your validation record.</w:t>
      </w:r>
    </w:p>
    <w:p w14:paraId="0B116B43" w14:textId="77777777" w:rsidR="002E3C00" w:rsidRDefault="009E1D3B" w:rsidP="002E3C00">
      <w:pPr>
        <w:pStyle w:val="Heading3"/>
      </w:pPr>
      <w:bookmarkStart w:id="794" w:name="_Toc114462100"/>
      <w:r>
        <w:br w:type="page"/>
      </w:r>
      <w:bookmarkStart w:id="795" w:name="_Toc203766001"/>
      <w:r w:rsidR="002E3C00" w:rsidRPr="00515B51">
        <w:lastRenderedPageBreak/>
        <w:t>Log In Reagent</w:t>
      </w:r>
      <w:bookmarkEnd w:id="793"/>
      <w:r w:rsidR="002E3C00">
        <w:t>s: Full Service</w:t>
      </w:r>
      <w:bookmarkEnd w:id="794"/>
      <w:bookmarkEnd w:id="795"/>
      <w:r w:rsidR="00992E88">
        <w:fldChar w:fldCharType="begin"/>
      </w:r>
      <w:r w:rsidR="00992E88">
        <w:instrText xml:space="preserve"> XE "</w:instrText>
      </w:r>
      <w:r w:rsidR="00992E88" w:rsidRPr="00992E88">
        <w:instrText xml:space="preserve"> </w:instrText>
      </w:r>
      <w:r w:rsidR="00992E88" w:rsidRPr="00FC6AF9">
        <w:instrText>System Validation:</w:instrText>
      </w:r>
      <w:r w:rsidR="00992E88" w:rsidRPr="00B0596E">
        <w:instrText>Log In Reagents\: Full Service</w:instrText>
      </w:r>
      <w:r w:rsidR="00992E88">
        <w:instrText xml:space="preserve">" </w:instrText>
      </w:r>
      <w:r w:rsidR="00992E88">
        <w:fldChar w:fldCharType="end"/>
      </w:r>
    </w:p>
    <w:p w14:paraId="364CA9A1" w14:textId="5895B150" w:rsidR="002E3C00" w:rsidRPr="00FA7E65" w:rsidRDefault="002E3C00" w:rsidP="002E3C00">
      <w:pPr>
        <w:pStyle w:val="BodyText"/>
      </w:pPr>
      <w:r w:rsidRPr="00FA7E65">
        <w:t>A user records the receipt of specific reagents by type. The reagent record includes the date the shipment was received, reagent name, lot number, expiration date, manufacturer, and number of vials received in a shipment.</w:t>
      </w:r>
      <w:r w:rsidR="00250936">
        <w:t xml:space="preserve"> For more information, see </w:t>
      </w:r>
      <w:r w:rsidR="00EE455E">
        <w:t xml:space="preserve">Appendix </w:t>
      </w:r>
      <w:r w:rsidR="00EE455E">
        <w:rPr>
          <w:noProof/>
        </w:rPr>
        <w:t>G</w:t>
      </w:r>
      <w:r w:rsidR="00EE455E">
        <w:t>: Work Process Flowcharts</w:t>
      </w:r>
      <w:r w:rsidR="00250936">
        <w:t>.</w:t>
      </w:r>
    </w:p>
    <w:p w14:paraId="3614597C" w14:textId="77777777" w:rsidR="002E3C00" w:rsidRDefault="002E3C00" w:rsidP="002E3C00">
      <w:pPr>
        <w:pStyle w:val="Heading4"/>
      </w:pPr>
      <w:r>
        <w:t>User Roles with Access to This Option</w:t>
      </w:r>
    </w:p>
    <w:p w14:paraId="45B9B546" w14:textId="77777777" w:rsidR="002E3C00" w:rsidRPr="00FC5C6B" w:rsidRDefault="002E3C00" w:rsidP="002E3C00">
      <w:pPr>
        <w:pStyle w:val="Roles"/>
      </w:pPr>
      <w:r>
        <w:t>All users</w:t>
      </w:r>
    </w:p>
    <w:p w14:paraId="006C265C" w14:textId="77777777" w:rsidR="002E3C00" w:rsidRDefault="00B74754" w:rsidP="002E3C00">
      <w:pPr>
        <w:pStyle w:val="Heading4"/>
      </w:pPr>
      <w:r>
        <w:t>Preparation for Testing</w:t>
      </w:r>
    </w:p>
    <w:p w14:paraId="5008486D" w14:textId="77777777" w:rsidR="002E3C00" w:rsidRPr="00600497" w:rsidRDefault="00387ADD" w:rsidP="00925CAD">
      <w:pPr>
        <w:pStyle w:val="ListNumber"/>
        <w:numPr>
          <w:ilvl w:val="0"/>
          <w:numId w:val="21"/>
        </w:numPr>
        <w:tabs>
          <w:tab w:val="clear" w:pos="720"/>
          <w:tab w:val="num" w:pos="360"/>
        </w:tabs>
        <w:ind w:left="360"/>
      </w:pPr>
      <w:r>
        <w:t>Enter reagent types</w:t>
      </w:r>
      <w:r w:rsidRPr="00600497">
        <w:t xml:space="preserve"> and quantities used</w:t>
      </w:r>
      <w:r w:rsidR="002E3C00" w:rsidRPr="00600497">
        <w:t>.</w:t>
      </w:r>
      <w:r w:rsidRPr="00600497">
        <w:t xml:space="preserve"> (</w:t>
      </w:r>
      <w:r w:rsidR="002E3C00" w:rsidRPr="00600497">
        <w:t xml:space="preserve">For QC validation, </w:t>
      </w:r>
      <w:r w:rsidRPr="00600497">
        <w:t>enter</w:t>
      </w:r>
      <w:r w:rsidR="002E3C00" w:rsidRPr="00600497">
        <w:t xml:space="preserve"> a lot number that was received and found unsatisfactory, and a lot number that expires at 23:59 on the day that you test the reagent rack QC.</w:t>
      </w:r>
      <w:r w:rsidRPr="00600497">
        <w:t>)</w:t>
      </w:r>
    </w:p>
    <w:p w14:paraId="68CF4F7E" w14:textId="77777777" w:rsidR="002E3C00" w:rsidRPr="00600497" w:rsidRDefault="00675FB9" w:rsidP="00925CAD">
      <w:pPr>
        <w:pStyle w:val="ListNumber"/>
        <w:numPr>
          <w:ilvl w:val="0"/>
          <w:numId w:val="21"/>
        </w:numPr>
        <w:tabs>
          <w:tab w:val="clear" w:pos="720"/>
          <w:tab w:val="num" w:pos="360"/>
        </w:tabs>
        <w:ind w:left="360"/>
      </w:pPr>
      <w:r>
        <w:t>C</w:t>
      </w:r>
      <w:r w:rsidR="002E3C00" w:rsidRPr="00600497">
        <w:t xml:space="preserve">apture and save a screen shot of all entries. </w:t>
      </w:r>
    </w:p>
    <w:p w14:paraId="74298E87" w14:textId="77777777" w:rsidR="00232E43" w:rsidRPr="00FB7F8D" w:rsidRDefault="002E3C00" w:rsidP="00925CAD">
      <w:pPr>
        <w:pStyle w:val="ListNumber"/>
        <w:numPr>
          <w:ilvl w:val="0"/>
          <w:numId w:val="21"/>
        </w:numPr>
        <w:tabs>
          <w:tab w:val="clear" w:pos="720"/>
          <w:tab w:val="num" w:pos="360"/>
        </w:tabs>
        <w:ind w:left="360"/>
      </w:pPr>
      <w:r w:rsidRPr="00600497">
        <w:t>Print</w:t>
      </w:r>
      <w:r w:rsidR="009A1A60" w:rsidRPr="00600497">
        <w:t>, sign, date,</w:t>
      </w:r>
      <w:r w:rsidRPr="00600497">
        <w:t xml:space="preserve"> and</w:t>
      </w:r>
      <w:r>
        <w:t xml:space="preserve"> save the </w:t>
      </w:r>
      <w:r w:rsidR="009A1A60">
        <w:t>View/Print Inventory (R</w:t>
      </w:r>
      <w:r>
        <w:t>eagent</w:t>
      </w:r>
      <w:r w:rsidR="009A1A60">
        <w:t>) R</w:t>
      </w:r>
      <w:r>
        <w:t>eport for your validation record.</w:t>
      </w:r>
    </w:p>
    <w:p w14:paraId="794DD79C" w14:textId="77777777" w:rsidR="002E3C00" w:rsidRDefault="007F0132" w:rsidP="002E3C00">
      <w:pPr>
        <w:pStyle w:val="Heading3"/>
      </w:pPr>
      <w:bookmarkStart w:id="796" w:name="_Toc85895788"/>
      <w:bookmarkStart w:id="797" w:name="_Toc113264246"/>
      <w:bookmarkStart w:id="798" w:name="_Toc114462101"/>
      <w:r>
        <w:br w:type="page"/>
      </w:r>
      <w:bookmarkStart w:id="799" w:name="_Toc203766002"/>
      <w:r w:rsidR="002E3C00">
        <w:lastRenderedPageBreak/>
        <w:t>Blood Products</w:t>
      </w:r>
      <w:bookmarkEnd w:id="796"/>
      <w:bookmarkEnd w:id="797"/>
      <w:bookmarkEnd w:id="798"/>
      <w:bookmarkEnd w:id="799"/>
      <w:r w:rsidR="00992E88">
        <w:fldChar w:fldCharType="begin"/>
      </w:r>
      <w:r w:rsidR="00992E88">
        <w:instrText xml:space="preserve"> XE "</w:instrText>
      </w:r>
      <w:r w:rsidR="00992E88" w:rsidRPr="00992E88">
        <w:instrText xml:space="preserve"> </w:instrText>
      </w:r>
      <w:r w:rsidR="00992E88" w:rsidRPr="00FC6AF9">
        <w:instrText>System Validation:</w:instrText>
      </w:r>
      <w:r w:rsidR="00992E88" w:rsidRPr="00B0596E">
        <w:instrText>Blood Products</w:instrText>
      </w:r>
      <w:r w:rsidR="00992E88">
        <w:instrText xml:space="preserve">" </w:instrText>
      </w:r>
      <w:r w:rsidR="00992E88">
        <w:fldChar w:fldCharType="end"/>
      </w:r>
    </w:p>
    <w:p w14:paraId="3A558491" w14:textId="0F403E26" w:rsidR="002E3C00" w:rsidRPr="0094769F" w:rsidRDefault="002E3C00" w:rsidP="002E3C00">
      <w:pPr>
        <w:pStyle w:val="BodyText"/>
      </w:pPr>
      <w:r>
        <w:t>The user activates, deactivates, and edits a limited number of variables for an existing blood product</w:t>
      </w:r>
      <w:r w:rsidR="00AE3B37">
        <w:t xml:space="preserve"> site parameter. VBECS provides</w:t>
      </w:r>
      <w:r>
        <w:t xml:space="preserve"> an ISBT 128 Blood Product reference table to facilitate these and other actions.</w:t>
      </w:r>
      <w:r w:rsidR="00E435F1">
        <w:t xml:space="preserve"> </w:t>
      </w:r>
      <w:r w:rsidR="00250936">
        <w:t xml:space="preserve">For more information, see </w:t>
      </w:r>
      <w:r w:rsidR="00EE455E">
        <w:t xml:space="preserve">Appendix </w:t>
      </w:r>
      <w:r w:rsidR="00EE455E">
        <w:rPr>
          <w:noProof/>
        </w:rPr>
        <w:t>G</w:t>
      </w:r>
      <w:r w:rsidR="00EE455E">
        <w:t>: Work Process Flowcharts</w:t>
      </w:r>
      <w:r w:rsidR="00250936">
        <w:t>.</w:t>
      </w:r>
    </w:p>
    <w:p w14:paraId="7DCB831E" w14:textId="77777777" w:rsidR="002E3C00" w:rsidRDefault="002E3C00" w:rsidP="002E3C00">
      <w:pPr>
        <w:pStyle w:val="Heading4"/>
      </w:pPr>
      <w:r>
        <w:t>User Roles with Access to This Option</w:t>
      </w:r>
    </w:p>
    <w:p w14:paraId="03720AF1" w14:textId="77777777" w:rsidR="002E3C00" w:rsidRPr="00FC5C6B" w:rsidRDefault="002E3C00" w:rsidP="002E3C00">
      <w:pPr>
        <w:pStyle w:val="Roles"/>
      </w:pPr>
      <w:r>
        <w:t>All users</w:t>
      </w:r>
    </w:p>
    <w:p w14:paraId="491A6889" w14:textId="77777777" w:rsidR="002E3C00" w:rsidRDefault="00B74754" w:rsidP="002E3C00">
      <w:pPr>
        <w:pStyle w:val="Heading4"/>
      </w:pPr>
      <w:r>
        <w:t>Preparation for Testing</w:t>
      </w:r>
    </w:p>
    <w:p w14:paraId="15293753" w14:textId="77777777" w:rsidR="002E3C00" w:rsidRDefault="002E3C00" w:rsidP="002E3C00">
      <w:pPr>
        <w:pStyle w:val="BodyText"/>
      </w:pPr>
      <w:r>
        <w:t>Activate blood products here or during incoming shipment. It may be helpful to set up your most common products</w:t>
      </w:r>
      <w:r w:rsidR="00CC08BC">
        <w:t xml:space="preserve"> before </w:t>
      </w:r>
      <w:r>
        <w:t>e</w:t>
      </w:r>
      <w:r w:rsidR="002C235F">
        <w:t>ntering blood inventory in</w:t>
      </w:r>
      <w:r>
        <w:t xml:space="preserve"> the system.</w:t>
      </w:r>
    </w:p>
    <w:p w14:paraId="693C1FAD" w14:textId="77777777" w:rsidR="002E3C00" w:rsidRDefault="002C235F" w:rsidP="002E3C00">
      <w:pPr>
        <w:pStyle w:val="BodyText"/>
      </w:pPr>
      <w:r>
        <w:t xml:space="preserve">Healthcare Common Procedure Coding System (HCPCS) </w:t>
      </w:r>
      <w:r w:rsidR="002E3C00">
        <w:t>codes are provided by your hospital’s VistA file</w:t>
      </w:r>
      <w:r w:rsidR="00CC08BC">
        <w:t>. S</w:t>
      </w:r>
      <w:r w:rsidR="002E3C00">
        <w:t>elect the code that is associated with the blood product.</w:t>
      </w:r>
    </w:p>
    <w:p w14:paraId="4298165A" w14:textId="77777777" w:rsidR="00061FCF" w:rsidRPr="00600497" w:rsidRDefault="00061FCF" w:rsidP="00925CAD">
      <w:pPr>
        <w:pStyle w:val="ListNumber"/>
        <w:numPr>
          <w:ilvl w:val="0"/>
          <w:numId w:val="22"/>
        </w:numPr>
      </w:pPr>
      <w:r w:rsidRPr="00600497">
        <w:t>Use the sample worksheet to record information.</w:t>
      </w:r>
    </w:p>
    <w:p w14:paraId="5F9E40C0" w14:textId="77777777" w:rsidR="002E3C00" w:rsidRPr="00600497" w:rsidRDefault="002E3C00" w:rsidP="00925CAD">
      <w:pPr>
        <w:pStyle w:val="ListNumber"/>
        <w:numPr>
          <w:ilvl w:val="0"/>
          <w:numId w:val="22"/>
        </w:numPr>
      </w:pPr>
      <w:r w:rsidRPr="00600497">
        <w:t xml:space="preserve">Capture and save a screen shot of each piece of information before continuing. </w:t>
      </w:r>
    </w:p>
    <w:p w14:paraId="5526FF95" w14:textId="77777777" w:rsidR="00232E43" w:rsidRPr="00FB7F8D" w:rsidRDefault="00232E43" w:rsidP="00925CAD">
      <w:pPr>
        <w:pStyle w:val="ListNumber"/>
        <w:numPr>
          <w:ilvl w:val="0"/>
          <w:numId w:val="22"/>
        </w:numPr>
      </w:pPr>
      <w:r w:rsidRPr="00600497">
        <w:t>Pr</w:t>
      </w:r>
      <w:r w:rsidRPr="00FB7F8D">
        <w:t>int</w:t>
      </w:r>
      <w:r>
        <w:t>, sign, date,</w:t>
      </w:r>
      <w:r w:rsidRPr="00FB7F8D">
        <w:t xml:space="preserve"> and save an </w:t>
      </w:r>
      <w:r>
        <w:t>A</w:t>
      </w:r>
      <w:r w:rsidRPr="00FB7F8D">
        <w:t xml:space="preserve">udit </w:t>
      </w:r>
      <w:r>
        <w:t>Trail R</w:t>
      </w:r>
      <w:r w:rsidRPr="00FB7F8D">
        <w:t>eport for your validation record.</w:t>
      </w:r>
    </w:p>
    <w:p w14:paraId="5427DE4E" w14:textId="05E15920" w:rsidR="002E3C00" w:rsidRDefault="002E3C00" w:rsidP="002E3C00">
      <w:pPr>
        <w:pStyle w:val="Caption"/>
      </w:pPr>
      <w:r>
        <w:t xml:space="preserve">Table </w:t>
      </w:r>
      <w:r w:rsidR="004E20BD">
        <w:rPr>
          <w:noProof/>
        </w:rPr>
        <w:fldChar w:fldCharType="begin"/>
      </w:r>
      <w:r w:rsidR="004E20BD">
        <w:rPr>
          <w:noProof/>
        </w:rPr>
        <w:instrText xml:space="preserve"> SEQ Table \* ARABIC </w:instrText>
      </w:r>
      <w:r w:rsidR="004E20BD">
        <w:rPr>
          <w:noProof/>
        </w:rPr>
        <w:fldChar w:fldCharType="separate"/>
      </w:r>
      <w:r w:rsidR="007D1829">
        <w:rPr>
          <w:noProof/>
        </w:rPr>
        <w:t>28</w:t>
      </w:r>
      <w:r w:rsidR="004E20BD">
        <w:rPr>
          <w:noProof/>
        </w:rPr>
        <w:fldChar w:fldCharType="end"/>
      </w:r>
      <w:r>
        <w:t>: Sample Blood Products Worksheet</w:t>
      </w:r>
      <w:r w:rsidR="00AD60CF">
        <w:fldChar w:fldCharType="begin"/>
      </w:r>
      <w:r w:rsidR="00F272D5">
        <w:instrText xml:space="preserve"> XE "Tables:</w:instrText>
      </w:r>
      <w:r w:rsidR="00AD60CF" w:rsidRPr="0046419F">
        <w:instrText>Sample Blood Products Worksheet</w:instrText>
      </w:r>
      <w:r w:rsidR="00AD60CF">
        <w:instrText xml:space="preserve">" </w:instrText>
      </w:r>
      <w:r w:rsidR="00AD60CF">
        <w:fldChar w:fldCharType="end"/>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24"/>
        <w:gridCol w:w="1222"/>
        <w:gridCol w:w="7"/>
        <w:gridCol w:w="1223"/>
        <w:gridCol w:w="6"/>
        <w:gridCol w:w="2008"/>
        <w:gridCol w:w="1224"/>
        <w:gridCol w:w="1223"/>
        <w:gridCol w:w="1223"/>
      </w:tblGrid>
      <w:tr w:rsidR="00AF76D5" w:rsidRPr="00B562A7" w14:paraId="50BF70D9" w14:textId="77777777">
        <w:trPr>
          <w:tblHeader/>
        </w:trPr>
        <w:tc>
          <w:tcPr>
            <w:tcW w:w="2446" w:type="dxa"/>
            <w:gridSpan w:val="2"/>
            <w:tcBorders>
              <w:top w:val="single" w:sz="4" w:space="0" w:color="auto"/>
              <w:left w:val="single" w:sz="4" w:space="0" w:color="auto"/>
              <w:bottom w:val="single" w:sz="4" w:space="0" w:color="auto"/>
              <w:right w:val="single" w:sz="4" w:space="0" w:color="auto"/>
            </w:tcBorders>
            <w:shd w:val="clear" w:color="auto" w:fill="B3B3B3"/>
            <w:vAlign w:val="bottom"/>
          </w:tcPr>
          <w:p w14:paraId="188834C0" w14:textId="77777777" w:rsidR="00AF76D5" w:rsidRPr="00B562A7" w:rsidRDefault="00AF76D5" w:rsidP="009E1D3B">
            <w:pPr>
              <w:pStyle w:val="TableText"/>
              <w:jc w:val="center"/>
              <w:rPr>
                <w:b/>
              </w:rPr>
            </w:pPr>
            <w:r>
              <w:rPr>
                <w:b/>
              </w:rPr>
              <w:t>Blood Product</w:t>
            </w:r>
          </w:p>
        </w:tc>
        <w:tc>
          <w:tcPr>
            <w:tcW w:w="1236" w:type="dxa"/>
            <w:gridSpan w:val="3"/>
            <w:tcBorders>
              <w:top w:val="single" w:sz="4" w:space="0" w:color="auto"/>
              <w:left w:val="single" w:sz="4" w:space="0" w:color="auto"/>
              <w:bottom w:val="single" w:sz="4" w:space="0" w:color="auto"/>
              <w:right w:val="single" w:sz="4" w:space="0" w:color="auto"/>
            </w:tcBorders>
            <w:shd w:val="clear" w:color="auto" w:fill="B3B3B3"/>
            <w:vAlign w:val="bottom"/>
          </w:tcPr>
          <w:p w14:paraId="3C5C5822" w14:textId="77777777" w:rsidR="00AF76D5" w:rsidRPr="00B562A7" w:rsidRDefault="00AF76D5" w:rsidP="009C7C13">
            <w:pPr>
              <w:pStyle w:val="TableText"/>
              <w:rPr>
                <w:b/>
              </w:rPr>
            </w:pPr>
            <w:r>
              <w:rPr>
                <w:b/>
              </w:rPr>
              <w:t>HCPCS</w:t>
            </w:r>
          </w:p>
        </w:tc>
        <w:tc>
          <w:tcPr>
            <w:tcW w:w="5678" w:type="dxa"/>
            <w:gridSpan w:val="4"/>
            <w:tcBorders>
              <w:top w:val="single" w:sz="4" w:space="0" w:color="auto"/>
              <w:left w:val="single" w:sz="4" w:space="0" w:color="auto"/>
              <w:bottom w:val="single" w:sz="4" w:space="0" w:color="auto"/>
              <w:right w:val="single" w:sz="4" w:space="0" w:color="auto"/>
            </w:tcBorders>
            <w:shd w:val="clear" w:color="auto" w:fill="B3B3B3"/>
            <w:vAlign w:val="bottom"/>
          </w:tcPr>
          <w:p w14:paraId="3DADD489" w14:textId="77777777" w:rsidR="00AF76D5" w:rsidRPr="00B562A7" w:rsidRDefault="00AF76D5" w:rsidP="009E1D3B">
            <w:pPr>
              <w:pStyle w:val="TableText"/>
              <w:jc w:val="center"/>
              <w:rPr>
                <w:b/>
              </w:rPr>
            </w:pPr>
            <w:r>
              <w:rPr>
                <w:b/>
              </w:rPr>
              <w:t>Product Shippers</w:t>
            </w:r>
          </w:p>
        </w:tc>
      </w:tr>
      <w:tr w:rsidR="00AF76D5" w:rsidRPr="00B562A7" w14:paraId="26541F76" w14:textId="77777777">
        <w:trPr>
          <w:tblHeader/>
        </w:trPr>
        <w:tc>
          <w:tcPr>
            <w:tcW w:w="1224" w:type="dxa"/>
            <w:shd w:val="clear" w:color="auto" w:fill="B3B3B3"/>
            <w:vAlign w:val="bottom"/>
          </w:tcPr>
          <w:p w14:paraId="5B590FF2" w14:textId="77777777" w:rsidR="002E3C00" w:rsidRPr="00B562A7" w:rsidRDefault="002E3C00" w:rsidP="002E3C00">
            <w:pPr>
              <w:pStyle w:val="TableText"/>
              <w:rPr>
                <w:b/>
              </w:rPr>
            </w:pPr>
            <w:r w:rsidRPr="00B562A7">
              <w:rPr>
                <w:b/>
              </w:rPr>
              <w:t xml:space="preserve">Product </w:t>
            </w:r>
            <w:r w:rsidRPr="00B562A7">
              <w:rPr>
                <w:b/>
              </w:rPr>
              <w:br/>
              <w:t>Code</w:t>
            </w:r>
          </w:p>
        </w:tc>
        <w:tc>
          <w:tcPr>
            <w:tcW w:w="1229" w:type="dxa"/>
            <w:gridSpan w:val="2"/>
            <w:shd w:val="clear" w:color="auto" w:fill="B3B3B3"/>
            <w:vAlign w:val="bottom"/>
          </w:tcPr>
          <w:p w14:paraId="02C58BF6" w14:textId="77777777" w:rsidR="002E3C00" w:rsidRPr="00B562A7" w:rsidRDefault="002E3C00" w:rsidP="002E3C00">
            <w:pPr>
              <w:pStyle w:val="TableText"/>
              <w:rPr>
                <w:b/>
              </w:rPr>
            </w:pPr>
            <w:r w:rsidRPr="00B562A7">
              <w:rPr>
                <w:b/>
              </w:rPr>
              <w:t>Short Product Name</w:t>
            </w:r>
          </w:p>
        </w:tc>
        <w:tc>
          <w:tcPr>
            <w:tcW w:w="1223" w:type="dxa"/>
            <w:shd w:val="clear" w:color="auto" w:fill="B3B3B3"/>
            <w:vAlign w:val="bottom"/>
          </w:tcPr>
          <w:p w14:paraId="6F97160F" w14:textId="77777777" w:rsidR="002E3C00" w:rsidRPr="00B562A7" w:rsidRDefault="00AF76D5" w:rsidP="002E3C00">
            <w:pPr>
              <w:pStyle w:val="TableText"/>
              <w:rPr>
                <w:b/>
              </w:rPr>
            </w:pPr>
            <w:r>
              <w:rPr>
                <w:b/>
              </w:rPr>
              <w:t>HCPCS C</w:t>
            </w:r>
            <w:r w:rsidR="002E3C00" w:rsidRPr="00B562A7">
              <w:rPr>
                <w:b/>
              </w:rPr>
              <w:t>ode</w:t>
            </w:r>
          </w:p>
        </w:tc>
        <w:tc>
          <w:tcPr>
            <w:tcW w:w="2014" w:type="dxa"/>
            <w:gridSpan w:val="2"/>
            <w:shd w:val="clear" w:color="auto" w:fill="B3B3B3"/>
            <w:vAlign w:val="bottom"/>
          </w:tcPr>
          <w:p w14:paraId="12363869" w14:textId="77777777" w:rsidR="002E3C00" w:rsidRPr="00B562A7" w:rsidRDefault="002E3C00" w:rsidP="002E3C00">
            <w:pPr>
              <w:pStyle w:val="TableText"/>
              <w:rPr>
                <w:b/>
              </w:rPr>
            </w:pPr>
            <w:r w:rsidRPr="00B562A7">
              <w:rPr>
                <w:b/>
              </w:rPr>
              <w:t>Shipper</w:t>
            </w:r>
            <w:r>
              <w:rPr>
                <w:b/>
              </w:rPr>
              <w:t xml:space="preserve"> Name</w:t>
            </w:r>
          </w:p>
        </w:tc>
        <w:tc>
          <w:tcPr>
            <w:tcW w:w="1224" w:type="dxa"/>
            <w:shd w:val="clear" w:color="auto" w:fill="B3B3B3"/>
            <w:vAlign w:val="bottom"/>
          </w:tcPr>
          <w:p w14:paraId="451EE165" w14:textId="77777777" w:rsidR="002E3C00" w:rsidRPr="00B562A7" w:rsidRDefault="002E3C00" w:rsidP="002E3C00">
            <w:pPr>
              <w:pStyle w:val="TableText"/>
              <w:rPr>
                <w:b/>
              </w:rPr>
            </w:pPr>
            <w:r w:rsidRPr="00B562A7">
              <w:rPr>
                <w:b/>
              </w:rPr>
              <w:t xml:space="preserve">FDA </w:t>
            </w:r>
            <w:r w:rsidR="00D54264">
              <w:rPr>
                <w:b/>
              </w:rPr>
              <w:t>Reg. #</w:t>
            </w:r>
          </w:p>
        </w:tc>
        <w:tc>
          <w:tcPr>
            <w:tcW w:w="1223" w:type="dxa"/>
            <w:shd w:val="clear" w:color="auto" w:fill="B3B3B3"/>
            <w:vAlign w:val="bottom"/>
          </w:tcPr>
          <w:p w14:paraId="4CB9C3F2" w14:textId="77777777" w:rsidR="002E3C00" w:rsidRPr="00B562A7" w:rsidRDefault="002E3C00" w:rsidP="002E3C00">
            <w:pPr>
              <w:pStyle w:val="TableText"/>
              <w:rPr>
                <w:b/>
              </w:rPr>
            </w:pPr>
            <w:r w:rsidRPr="00B562A7">
              <w:rPr>
                <w:b/>
              </w:rPr>
              <w:t xml:space="preserve">Cost </w:t>
            </w:r>
            <w:r>
              <w:rPr>
                <w:b/>
              </w:rPr>
              <w:t>($)</w:t>
            </w:r>
          </w:p>
        </w:tc>
        <w:tc>
          <w:tcPr>
            <w:tcW w:w="1223" w:type="dxa"/>
            <w:shd w:val="clear" w:color="auto" w:fill="B3B3B3"/>
            <w:vAlign w:val="bottom"/>
          </w:tcPr>
          <w:p w14:paraId="0D9EF61B" w14:textId="77777777" w:rsidR="002E3C00" w:rsidRPr="00B562A7" w:rsidRDefault="002E3C00" w:rsidP="002E3C00">
            <w:pPr>
              <w:pStyle w:val="TableText"/>
              <w:rPr>
                <w:b/>
              </w:rPr>
            </w:pPr>
            <w:r w:rsidRPr="00B562A7">
              <w:rPr>
                <w:b/>
              </w:rPr>
              <w:t xml:space="preserve">Return </w:t>
            </w:r>
            <w:r>
              <w:rPr>
                <w:b/>
              </w:rPr>
              <w:t>Credit %</w:t>
            </w:r>
          </w:p>
        </w:tc>
      </w:tr>
      <w:tr w:rsidR="00AF76D5" w14:paraId="498DCF79" w14:textId="77777777">
        <w:tc>
          <w:tcPr>
            <w:tcW w:w="1224" w:type="dxa"/>
          </w:tcPr>
          <w:p w14:paraId="0447A772" w14:textId="749CB281" w:rsidR="002E3C00" w:rsidRDefault="0093638C" w:rsidP="002E3C00">
            <w:pPr>
              <w:pStyle w:val="TableText"/>
            </w:pPr>
            <w:r>
              <w:t>E0142</w:t>
            </w:r>
          </w:p>
        </w:tc>
        <w:tc>
          <w:tcPr>
            <w:tcW w:w="1229" w:type="dxa"/>
            <w:gridSpan w:val="2"/>
          </w:tcPr>
          <w:p w14:paraId="4BEF6F05" w14:textId="77777777" w:rsidR="002E3C00" w:rsidRDefault="002E3C00" w:rsidP="002E3C00">
            <w:pPr>
              <w:pStyle w:val="TableText"/>
            </w:pPr>
            <w:r>
              <w:t>RBC</w:t>
            </w:r>
            <w:r w:rsidR="0017175D">
              <w:t xml:space="preserve"> ACD-A</w:t>
            </w:r>
          </w:p>
        </w:tc>
        <w:tc>
          <w:tcPr>
            <w:tcW w:w="1223" w:type="dxa"/>
          </w:tcPr>
          <w:p w14:paraId="3B82EBE8" w14:textId="77777777" w:rsidR="002E3C00" w:rsidRDefault="00D54264" w:rsidP="002E3C00">
            <w:pPr>
              <w:pStyle w:val="TableText"/>
            </w:pPr>
            <w:r>
              <w:t>P2028</w:t>
            </w:r>
          </w:p>
        </w:tc>
        <w:tc>
          <w:tcPr>
            <w:tcW w:w="2014" w:type="dxa"/>
            <w:gridSpan w:val="2"/>
          </w:tcPr>
          <w:p w14:paraId="28A0FC00" w14:textId="77777777" w:rsidR="002E3C00" w:rsidRDefault="00D54264" w:rsidP="002E3C00">
            <w:pPr>
              <w:pStyle w:val="TableText"/>
            </w:pPr>
            <w:r>
              <w:t>Abington Memorial Hospital</w:t>
            </w:r>
          </w:p>
        </w:tc>
        <w:tc>
          <w:tcPr>
            <w:tcW w:w="1224" w:type="dxa"/>
          </w:tcPr>
          <w:p w14:paraId="42F041E0" w14:textId="77777777" w:rsidR="002E3C00" w:rsidRDefault="00D54264" w:rsidP="002E3C00">
            <w:pPr>
              <w:pStyle w:val="TableText"/>
            </w:pPr>
            <w:r>
              <w:t>2577690</w:t>
            </w:r>
          </w:p>
        </w:tc>
        <w:tc>
          <w:tcPr>
            <w:tcW w:w="1223" w:type="dxa"/>
          </w:tcPr>
          <w:p w14:paraId="161BF8DB" w14:textId="77777777" w:rsidR="002E3C00" w:rsidRDefault="002E3C00" w:rsidP="002E3C00">
            <w:pPr>
              <w:pStyle w:val="TableText"/>
            </w:pPr>
            <w:r>
              <w:t>$150.00</w:t>
            </w:r>
          </w:p>
        </w:tc>
        <w:tc>
          <w:tcPr>
            <w:tcW w:w="1223" w:type="dxa"/>
          </w:tcPr>
          <w:p w14:paraId="4A26B22A" w14:textId="77777777" w:rsidR="002E3C00" w:rsidRDefault="002E3C00" w:rsidP="002E3C00">
            <w:pPr>
              <w:pStyle w:val="TableText"/>
            </w:pPr>
            <w:r>
              <w:t>0</w:t>
            </w:r>
          </w:p>
        </w:tc>
      </w:tr>
    </w:tbl>
    <w:p w14:paraId="605D231B" w14:textId="0491B6AD" w:rsidR="00B24B8C" w:rsidRDefault="00B24B8C" w:rsidP="00B24B8C">
      <w:pPr>
        <w:pStyle w:val="Caption"/>
      </w:pPr>
      <w:bookmarkStart w:id="800" w:name="_Toc85895789"/>
      <w:bookmarkStart w:id="801" w:name="_Toc113264247"/>
      <w:bookmarkStart w:id="802" w:name="_Toc114462102"/>
      <w:r>
        <w:t xml:space="preserve">Table </w:t>
      </w:r>
      <w:r w:rsidR="004E20BD">
        <w:rPr>
          <w:noProof/>
        </w:rPr>
        <w:fldChar w:fldCharType="begin"/>
      </w:r>
      <w:r w:rsidR="004E20BD">
        <w:rPr>
          <w:noProof/>
        </w:rPr>
        <w:instrText xml:space="preserve"> SEQ Table \* ARABIC </w:instrText>
      </w:r>
      <w:r w:rsidR="004E20BD">
        <w:rPr>
          <w:noProof/>
        </w:rPr>
        <w:fldChar w:fldCharType="separate"/>
      </w:r>
      <w:r w:rsidR="007D1829">
        <w:rPr>
          <w:noProof/>
        </w:rPr>
        <w:t>29</w:t>
      </w:r>
      <w:r w:rsidR="004E20BD">
        <w:rPr>
          <w:noProof/>
        </w:rPr>
        <w:fldChar w:fldCharType="end"/>
      </w:r>
      <w:r>
        <w:t>: Blood Products Worksheet</w:t>
      </w:r>
      <w:r>
        <w:fldChar w:fldCharType="begin"/>
      </w:r>
      <w:r>
        <w:instrText xml:space="preserve"> XE "Tables:</w:instrText>
      </w:r>
      <w:r w:rsidRPr="0046419F">
        <w:instrText>Blood Products Worksheet</w:instrText>
      </w:r>
      <w:r>
        <w:instrText xml:space="preserve">" </w:instrText>
      </w:r>
      <w:r>
        <w:fldChar w:fldCharType="end"/>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24"/>
        <w:gridCol w:w="1222"/>
        <w:gridCol w:w="7"/>
        <w:gridCol w:w="1223"/>
        <w:gridCol w:w="6"/>
        <w:gridCol w:w="2008"/>
        <w:gridCol w:w="1224"/>
        <w:gridCol w:w="1223"/>
        <w:gridCol w:w="1223"/>
      </w:tblGrid>
      <w:tr w:rsidR="00B24B8C" w:rsidRPr="00B562A7" w14:paraId="1FBB39A1" w14:textId="77777777">
        <w:trPr>
          <w:tblHeader/>
        </w:trPr>
        <w:tc>
          <w:tcPr>
            <w:tcW w:w="2446" w:type="dxa"/>
            <w:gridSpan w:val="2"/>
            <w:tcBorders>
              <w:top w:val="single" w:sz="4" w:space="0" w:color="auto"/>
              <w:left w:val="single" w:sz="4" w:space="0" w:color="auto"/>
              <w:bottom w:val="single" w:sz="4" w:space="0" w:color="auto"/>
              <w:right w:val="single" w:sz="4" w:space="0" w:color="auto"/>
            </w:tcBorders>
            <w:shd w:val="clear" w:color="auto" w:fill="B3B3B3"/>
          </w:tcPr>
          <w:p w14:paraId="7018ADF4" w14:textId="77777777" w:rsidR="00B24B8C" w:rsidRPr="00B562A7" w:rsidRDefault="00B24B8C" w:rsidP="009E1D3B">
            <w:pPr>
              <w:pStyle w:val="TableText"/>
              <w:jc w:val="center"/>
              <w:rPr>
                <w:b/>
              </w:rPr>
            </w:pPr>
            <w:r>
              <w:rPr>
                <w:b/>
              </w:rPr>
              <w:t>Blood Product</w:t>
            </w:r>
          </w:p>
        </w:tc>
        <w:tc>
          <w:tcPr>
            <w:tcW w:w="1236" w:type="dxa"/>
            <w:gridSpan w:val="3"/>
            <w:tcBorders>
              <w:top w:val="single" w:sz="4" w:space="0" w:color="auto"/>
              <w:left w:val="single" w:sz="4" w:space="0" w:color="auto"/>
              <w:bottom w:val="single" w:sz="4" w:space="0" w:color="auto"/>
              <w:right w:val="single" w:sz="4" w:space="0" w:color="auto"/>
            </w:tcBorders>
            <w:shd w:val="clear" w:color="auto" w:fill="B3B3B3"/>
          </w:tcPr>
          <w:p w14:paraId="7DD66019" w14:textId="77777777" w:rsidR="00B24B8C" w:rsidRPr="00B562A7" w:rsidRDefault="00B24B8C" w:rsidP="009C7C13">
            <w:pPr>
              <w:pStyle w:val="TableText"/>
              <w:rPr>
                <w:b/>
              </w:rPr>
            </w:pPr>
            <w:r>
              <w:rPr>
                <w:b/>
              </w:rPr>
              <w:t>HCPCS</w:t>
            </w:r>
          </w:p>
        </w:tc>
        <w:tc>
          <w:tcPr>
            <w:tcW w:w="5678" w:type="dxa"/>
            <w:gridSpan w:val="4"/>
            <w:tcBorders>
              <w:top w:val="single" w:sz="4" w:space="0" w:color="auto"/>
              <w:left w:val="single" w:sz="4" w:space="0" w:color="auto"/>
              <w:bottom w:val="single" w:sz="4" w:space="0" w:color="auto"/>
              <w:right w:val="single" w:sz="4" w:space="0" w:color="auto"/>
            </w:tcBorders>
            <w:shd w:val="clear" w:color="auto" w:fill="B3B3B3"/>
          </w:tcPr>
          <w:p w14:paraId="2431A608" w14:textId="77777777" w:rsidR="00B24B8C" w:rsidRPr="00B562A7" w:rsidRDefault="00B24B8C" w:rsidP="009E1D3B">
            <w:pPr>
              <w:pStyle w:val="TableText"/>
              <w:jc w:val="center"/>
              <w:rPr>
                <w:b/>
              </w:rPr>
            </w:pPr>
            <w:r>
              <w:rPr>
                <w:b/>
              </w:rPr>
              <w:t>Product Shippers</w:t>
            </w:r>
          </w:p>
        </w:tc>
      </w:tr>
      <w:tr w:rsidR="00B24B8C" w:rsidRPr="00B562A7" w14:paraId="5CD87ECF" w14:textId="77777777">
        <w:trPr>
          <w:tblHeader/>
        </w:trPr>
        <w:tc>
          <w:tcPr>
            <w:tcW w:w="1224" w:type="dxa"/>
            <w:shd w:val="clear" w:color="auto" w:fill="B3B3B3"/>
            <w:vAlign w:val="bottom"/>
          </w:tcPr>
          <w:p w14:paraId="6C9E9C38" w14:textId="77777777" w:rsidR="00B24B8C" w:rsidRPr="00B562A7" w:rsidRDefault="00B24B8C" w:rsidP="001D706D">
            <w:pPr>
              <w:pStyle w:val="TableText"/>
              <w:rPr>
                <w:b/>
              </w:rPr>
            </w:pPr>
            <w:r w:rsidRPr="00B562A7">
              <w:rPr>
                <w:b/>
              </w:rPr>
              <w:t xml:space="preserve">Product </w:t>
            </w:r>
            <w:r w:rsidRPr="00B562A7">
              <w:rPr>
                <w:b/>
              </w:rPr>
              <w:br/>
              <w:t>Code</w:t>
            </w:r>
          </w:p>
        </w:tc>
        <w:tc>
          <w:tcPr>
            <w:tcW w:w="1229" w:type="dxa"/>
            <w:gridSpan w:val="2"/>
            <w:shd w:val="clear" w:color="auto" w:fill="B3B3B3"/>
            <w:vAlign w:val="bottom"/>
          </w:tcPr>
          <w:p w14:paraId="1BDBFC2B" w14:textId="77777777" w:rsidR="00B24B8C" w:rsidRPr="00B562A7" w:rsidRDefault="00B24B8C" w:rsidP="001D706D">
            <w:pPr>
              <w:pStyle w:val="TableText"/>
              <w:rPr>
                <w:b/>
              </w:rPr>
            </w:pPr>
            <w:r w:rsidRPr="00B562A7">
              <w:rPr>
                <w:b/>
              </w:rPr>
              <w:t>Short Product Name</w:t>
            </w:r>
          </w:p>
        </w:tc>
        <w:tc>
          <w:tcPr>
            <w:tcW w:w="1223" w:type="dxa"/>
            <w:shd w:val="clear" w:color="auto" w:fill="B3B3B3"/>
            <w:vAlign w:val="bottom"/>
          </w:tcPr>
          <w:p w14:paraId="6165BFC8" w14:textId="77777777" w:rsidR="00B24B8C" w:rsidRPr="00B562A7" w:rsidRDefault="00B24B8C" w:rsidP="001D706D">
            <w:pPr>
              <w:pStyle w:val="TableText"/>
              <w:rPr>
                <w:b/>
              </w:rPr>
            </w:pPr>
            <w:r>
              <w:rPr>
                <w:b/>
              </w:rPr>
              <w:t>HCPCS C</w:t>
            </w:r>
            <w:r w:rsidRPr="00B562A7">
              <w:rPr>
                <w:b/>
              </w:rPr>
              <w:t>ode</w:t>
            </w:r>
          </w:p>
        </w:tc>
        <w:tc>
          <w:tcPr>
            <w:tcW w:w="2014" w:type="dxa"/>
            <w:gridSpan w:val="2"/>
            <w:shd w:val="clear" w:color="auto" w:fill="B3B3B3"/>
            <w:vAlign w:val="bottom"/>
          </w:tcPr>
          <w:p w14:paraId="177B4469" w14:textId="77777777" w:rsidR="00B24B8C" w:rsidRPr="00B562A7" w:rsidRDefault="00B24B8C" w:rsidP="001D706D">
            <w:pPr>
              <w:pStyle w:val="TableText"/>
              <w:rPr>
                <w:b/>
              </w:rPr>
            </w:pPr>
            <w:r w:rsidRPr="00B562A7">
              <w:rPr>
                <w:b/>
              </w:rPr>
              <w:t>Shipper</w:t>
            </w:r>
            <w:r>
              <w:rPr>
                <w:b/>
              </w:rPr>
              <w:t xml:space="preserve"> Name</w:t>
            </w:r>
          </w:p>
        </w:tc>
        <w:tc>
          <w:tcPr>
            <w:tcW w:w="1224" w:type="dxa"/>
            <w:shd w:val="clear" w:color="auto" w:fill="B3B3B3"/>
            <w:vAlign w:val="bottom"/>
          </w:tcPr>
          <w:p w14:paraId="6EFC2112" w14:textId="77777777" w:rsidR="00B24B8C" w:rsidRPr="00B562A7" w:rsidRDefault="00B24B8C" w:rsidP="001D706D">
            <w:pPr>
              <w:pStyle w:val="TableText"/>
              <w:rPr>
                <w:b/>
              </w:rPr>
            </w:pPr>
            <w:r w:rsidRPr="00B562A7">
              <w:rPr>
                <w:b/>
              </w:rPr>
              <w:t xml:space="preserve">FDA </w:t>
            </w:r>
            <w:r>
              <w:rPr>
                <w:b/>
              </w:rPr>
              <w:t>Reg. #</w:t>
            </w:r>
          </w:p>
        </w:tc>
        <w:tc>
          <w:tcPr>
            <w:tcW w:w="1223" w:type="dxa"/>
            <w:shd w:val="clear" w:color="auto" w:fill="B3B3B3"/>
            <w:vAlign w:val="bottom"/>
          </w:tcPr>
          <w:p w14:paraId="598DA0D4" w14:textId="77777777" w:rsidR="00B24B8C" w:rsidRPr="00B562A7" w:rsidRDefault="00B24B8C" w:rsidP="001D706D">
            <w:pPr>
              <w:pStyle w:val="TableText"/>
              <w:rPr>
                <w:b/>
              </w:rPr>
            </w:pPr>
            <w:r w:rsidRPr="00B562A7">
              <w:rPr>
                <w:b/>
              </w:rPr>
              <w:t xml:space="preserve">Cost </w:t>
            </w:r>
            <w:r>
              <w:rPr>
                <w:b/>
              </w:rPr>
              <w:t>($)</w:t>
            </w:r>
          </w:p>
        </w:tc>
        <w:tc>
          <w:tcPr>
            <w:tcW w:w="1223" w:type="dxa"/>
            <w:shd w:val="clear" w:color="auto" w:fill="B3B3B3"/>
            <w:vAlign w:val="bottom"/>
          </w:tcPr>
          <w:p w14:paraId="295FD76F" w14:textId="77777777" w:rsidR="00B24B8C" w:rsidRPr="00B562A7" w:rsidRDefault="00B24B8C" w:rsidP="001D706D">
            <w:pPr>
              <w:pStyle w:val="TableText"/>
              <w:rPr>
                <w:b/>
              </w:rPr>
            </w:pPr>
            <w:r w:rsidRPr="00B562A7">
              <w:rPr>
                <w:b/>
              </w:rPr>
              <w:t xml:space="preserve">Return </w:t>
            </w:r>
            <w:r>
              <w:rPr>
                <w:b/>
              </w:rPr>
              <w:t>Credit %</w:t>
            </w:r>
          </w:p>
        </w:tc>
      </w:tr>
      <w:tr w:rsidR="00B24B8C" w14:paraId="4777899E" w14:textId="77777777">
        <w:tc>
          <w:tcPr>
            <w:tcW w:w="1224" w:type="dxa"/>
          </w:tcPr>
          <w:p w14:paraId="7885C1F5" w14:textId="77777777" w:rsidR="00B24B8C" w:rsidRDefault="00B24B8C" w:rsidP="001D706D">
            <w:pPr>
              <w:pStyle w:val="TableText"/>
            </w:pPr>
          </w:p>
        </w:tc>
        <w:tc>
          <w:tcPr>
            <w:tcW w:w="1229" w:type="dxa"/>
            <w:gridSpan w:val="2"/>
          </w:tcPr>
          <w:p w14:paraId="3E6ED063" w14:textId="77777777" w:rsidR="00B24B8C" w:rsidRDefault="00B24B8C" w:rsidP="001D706D">
            <w:pPr>
              <w:pStyle w:val="TableText"/>
            </w:pPr>
          </w:p>
        </w:tc>
        <w:tc>
          <w:tcPr>
            <w:tcW w:w="1223" w:type="dxa"/>
          </w:tcPr>
          <w:p w14:paraId="3C3D2D86" w14:textId="77777777" w:rsidR="00B24B8C" w:rsidRDefault="00B24B8C" w:rsidP="001D706D">
            <w:pPr>
              <w:pStyle w:val="TableText"/>
            </w:pPr>
          </w:p>
        </w:tc>
        <w:tc>
          <w:tcPr>
            <w:tcW w:w="2014" w:type="dxa"/>
            <w:gridSpan w:val="2"/>
          </w:tcPr>
          <w:p w14:paraId="12083311" w14:textId="77777777" w:rsidR="00B24B8C" w:rsidRDefault="00B24B8C" w:rsidP="001D706D">
            <w:pPr>
              <w:pStyle w:val="TableText"/>
            </w:pPr>
          </w:p>
        </w:tc>
        <w:tc>
          <w:tcPr>
            <w:tcW w:w="1224" w:type="dxa"/>
          </w:tcPr>
          <w:p w14:paraId="5F9BCE4B" w14:textId="77777777" w:rsidR="00B24B8C" w:rsidRDefault="00B24B8C" w:rsidP="001D706D">
            <w:pPr>
              <w:pStyle w:val="TableText"/>
            </w:pPr>
          </w:p>
        </w:tc>
        <w:tc>
          <w:tcPr>
            <w:tcW w:w="1223" w:type="dxa"/>
          </w:tcPr>
          <w:p w14:paraId="7745F925" w14:textId="77777777" w:rsidR="00B24B8C" w:rsidRDefault="00B24B8C" w:rsidP="001D706D">
            <w:pPr>
              <w:pStyle w:val="TableText"/>
            </w:pPr>
          </w:p>
        </w:tc>
        <w:tc>
          <w:tcPr>
            <w:tcW w:w="1223" w:type="dxa"/>
          </w:tcPr>
          <w:p w14:paraId="527401D7" w14:textId="77777777" w:rsidR="00B24B8C" w:rsidRDefault="00B24B8C" w:rsidP="001D706D">
            <w:pPr>
              <w:pStyle w:val="TableText"/>
            </w:pPr>
          </w:p>
        </w:tc>
      </w:tr>
      <w:tr w:rsidR="00B24B8C" w14:paraId="67154AA5" w14:textId="77777777">
        <w:tc>
          <w:tcPr>
            <w:tcW w:w="1224" w:type="dxa"/>
          </w:tcPr>
          <w:p w14:paraId="4FE75D8C" w14:textId="77777777" w:rsidR="00B24B8C" w:rsidRDefault="00B24B8C" w:rsidP="001D706D">
            <w:pPr>
              <w:pStyle w:val="TableText"/>
            </w:pPr>
          </w:p>
        </w:tc>
        <w:tc>
          <w:tcPr>
            <w:tcW w:w="1229" w:type="dxa"/>
            <w:gridSpan w:val="2"/>
          </w:tcPr>
          <w:p w14:paraId="79FC93F4" w14:textId="77777777" w:rsidR="00B24B8C" w:rsidRDefault="00B24B8C" w:rsidP="001D706D">
            <w:pPr>
              <w:pStyle w:val="TableText"/>
            </w:pPr>
          </w:p>
        </w:tc>
        <w:tc>
          <w:tcPr>
            <w:tcW w:w="1223" w:type="dxa"/>
          </w:tcPr>
          <w:p w14:paraId="69C4FE82" w14:textId="77777777" w:rsidR="00B24B8C" w:rsidRDefault="00B24B8C" w:rsidP="001D706D">
            <w:pPr>
              <w:pStyle w:val="TableText"/>
            </w:pPr>
          </w:p>
        </w:tc>
        <w:tc>
          <w:tcPr>
            <w:tcW w:w="2014" w:type="dxa"/>
            <w:gridSpan w:val="2"/>
          </w:tcPr>
          <w:p w14:paraId="4564BFA1" w14:textId="77777777" w:rsidR="00B24B8C" w:rsidRDefault="00B24B8C" w:rsidP="001D706D">
            <w:pPr>
              <w:pStyle w:val="TableText"/>
            </w:pPr>
          </w:p>
        </w:tc>
        <w:tc>
          <w:tcPr>
            <w:tcW w:w="1224" w:type="dxa"/>
          </w:tcPr>
          <w:p w14:paraId="45186DBD" w14:textId="77777777" w:rsidR="00B24B8C" w:rsidRDefault="00B24B8C" w:rsidP="001D706D">
            <w:pPr>
              <w:pStyle w:val="TableText"/>
            </w:pPr>
          </w:p>
        </w:tc>
        <w:tc>
          <w:tcPr>
            <w:tcW w:w="1223" w:type="dxa"/>
          </w:tcPr>
          <w:p w14:paraId="5536B4DD" w14:textId="77777777" w:rsidR="00B24B8C" w:rsidRDefault="00B24B8C" w:rsidP="001D706D">
            <w:pPr>
              <w:pStyle w:val="TableText"/>
            </w:pPr>
          </w:p>
        </w:tc>
        <w:tc>
          <w:tcPr>
            <w:tcW w:w="1223" w:type="dxa"/>
          </w:tcPr>
          <w:p w14:paraId="2EC56DE2" w14:textId="77777777" w:rsidR="00B24B8C" w:rsidRDefault="00B24B8C" w:rsidP="001D706D">
            <w:pPr>
              <w:pStyle w:val="TableText"/>
            </w:pPr>
          </w:p>
        </w:tc>
      </w:tr>
      <w:tr w:rsidR="00B24B8C" w14:paraId="1657ED2E" w14:textId="77777777">
        <w:tc>
          <w:tcPr>
            <w:tcW w:w="1224" w:type="dxa"/>
          </w:tcPr>
          <w:p w14:paraId="36DD8A16" w14:textId="77777777" w:rsidR="00B24B8C" w:rsidRDefault="00B24B8C" w:rsidP="001D706D">
            <w:pPr>
              <w:pStyle w:val="TableText"/>
            </w:pPr>
          </w:p>
        </w:tc>
        <w:tc>
          <w:tcPr>
            <w:tcW w:w="1229" w:type="dxa"/>
            <w:gridSpan w:val="2"/>
          </w:tcPr>
          <w:p w14:paraId="6C074847" w14:textId="77777777" w:rsidR="00B24B8C" w:rsidRDefault="00B24B8C" w:rsidP="001D706D">
            <w:pPr>
              <w:pStyle w:val="TableText"/>
            </w:pPr>
          </w:p>
        </w:tc>
        <w:tc>
          <w:tcPr>
            <w:tcW w:w="1223" w:type="dxa"/>
          </w:tcPr>
          <w:p w14:paraId="6E6CC746" w14:textId="77777777" w:rsidR="00B24B8C" w:rsidRDefault="00B24B8C" w:rsidP="001D706D">
            <w:pPr>
              <w:pStyle w:val="TableText"/>
            </w:pPr>
          </w:p>
        </w:tc>
        <w:tc>
          <w:tcPr>
            <w:tcW w:w="2014" w:type="dxa"/>
            <w:gridSpan w:val="2"/>
          </w:tcPr>
          <w:p w14:paraId="5E25AF74" w14:textId="77777777" w:rsidR="00B24B8C" w:rsidRDefault="00B24B8C" w:rsidP="001D706D">
            <w:pPr>
              <w:pStyle w:val="TableText"/>
            </w:pPr>
          </w:p>
        </w:tc>
        <w:tc>
          <w:tcPr>
            <w:tcW w:w="1224" w:type="dxa"/>
          </w:tcPr>
          <w:p w14:paraId="66C8EC0D" w14:textId="77777777" w:rsidR="00B24B8C" w:rsidRDefault="00B24B8C" w:rsidP="001D706D">
            <w:pPr>
              <w:pStyle w:val="TableText"/>
            </w:pPr>
          </w:p>
        </w:tc>
        <w:tc>
          <w:tcPr>
            <w:tcW w:w="1223" w:type="dxa"/>
          </w:tcPr>
          <w:p w14:paraId="451492AD" w14:textId="77777777" w:rsidR="00B24B8C" w:rsidRDefault="00B24B8C" w:rsidP="001D706D">
            <w:pPr>
              <w:pStyle w:val="TableText"/>
            </w:pPr>
          </w:p>
        </w:tc>
        <w:tc>
          <w:tcPr>
            <w:tcW w:w="1223" w:type="dxa"/>
          </w:tcPr>
          <w:p w14:paraId="414BDC87" w14:textId="77777777" w:rsidR="00B24B8C" w:rsidRDefault="00B24B8C" w:rsidP="001D706D">
            <w:pPr>
              <w:pStyle w:val="TableText"/>
            </w:pPr>
          </w:p>
        </w:tc>
      </w:tr>
      <w:tr w:rsidR="00B24B8C" w14:paraId="6143EDCD" w14:textId="77777777">
        <w:tc>
          <w:tcPr>
            <w:tcW w:w="1224" w:type="dxa"/>
          </w:tcPr>
          <w:p w14:paraId="4632B1C9" w14:textId="77777777" w:rsidR="00B24B8C" w:rsidRDefault="00B24B8C" w:rsidP="001D706D">
            <w:pPr>
              <w:pStyle w:val="TableText"/>
            </w:pPr>
          </w:p>
        </w:tc>
        <w:tc>
          <w:tcPr>
            <w:tcW w:w="1229" w:type="dxa"/>
            <w:gridSpan w:val="2"/>
          </w:tcPr>
          <w:p w14:paraId="21DB4F14" w14:textId="77777777" w:rsidR="00B24B8C" w:rsidRDefault="00B24B8C" w:rsidP="001D706D">
            <w:pPr>
              <w:pStyle w:val="TableText"/>
            </w:pPr>
          </w:p>
        </w:tc>
        <w:tc>
          <w:tcPr>
            <w:tcW w:w="1223" w:type="dxa"/>
          </w:tcPr>
          <w:p w14:paraId="75756AAF" w14:textId="77777777" w:rsidR="00B24B8C" w:rsidRDefault="00B24B8C" w:rsidP="001D706D">
            <w:pPr>
              <w:pStyle w:val="TableText"/>
            </w:pPr>
          </w:p>
        </w:tc>
        <w:tc>
          <w:tcPr>
            <w:tcW w:w="2014" w:type="dxa"/>
            <w:gridSpan w:val="2"/>
          </w:tcPr>
          <w:p w14:paraId="348AB329" w14:textId="77777777" w:rsidR="00B24B8C" w:rsidRDefault="00B24B8C" w:rsidP="001D706D">
            <w:pPr>
              <w:pStyle w:val="TableText"/>
            </w:pPr>
          </w:p>
        </w:tc>
        <w:tc>
          <w:tcPr>
            <w:tcW w:w="1224" w:type="dxa"/>
          </w:tcPr>
          <w:p w14:paraId="480801D6" w14:textId="77777777" w:rsidR="00B24B8C" w:rsidRDefault="00B24B8C" w:rsidP="001D706D">
            <w:pPr>
              <w:pStyle w:val="TableText"/>
            </w:pPr>
          </w:p>
        </w:tc>
        <w:tc>
          <w:tcPr>
            <w:tcW w:w="1223" w:type="dxa"/>
          </w:tcPr>
          <w:p w14:paraId="763B55B1" w14:textId="77777777" w:rsidR="00B24B8C" w:rsidRDefault="00B24B8C" w:rsidP="001D706D">
            <w:pPr>
              <w:pStyle w:val="TableText"/>
            </w:pPr>
          </w:p>
        </w:tc>
        <w:tc>
          <w:tcPr>
            <w:tcW w:w="1223" w:type="dxa"/>
          </w:tcPr>
          <w:p w14:paraId="5D53572B" w14:textId="77777777" w:rsidR="00B24B8C" w:rsidRDefault="00B24B8C" w:rsidP="001D706D">
            <w:pPr>
              <w:pStyle w:val="TableText"/>
            </w:pPr>
          </w:p>
        </w:tc>
      </w:tr>
      <w:tr w:rsidR="00B24B8C" w14:paraId="20C83CD3" w14:textId="77777777">
        <w:tc>
          <w:tcPr>
            <w:tcW w:w="1224" w:type="dxa"/>
          </w:tcPr>
          <w:p w14:paraId="0606C1DE" w14:textId="77777777" w:rsidR="00B24B8C" w:rsidRDefault="00B24B8C" w:rsidP="001D706D">
            <w:pPr>
              <w:pStyle w:val="TableText"/>
            </w:pPr>
          </w:p>
        </w:tc>
        <w:tc>
          <w:tcPr>
            <w:tcW w:w="1229" w:type="dxa"/>
            <w:gridSpan w:val="2"/>
          </w:tcPr>
          <w:p w14:paraId="4C4826CF" w14:textId="77777777" w:rsidR="00B24B8C" w:rsidRDefault="00B24B8C" w:rsidP="001D706D">
            <w:pPr>
              <w:pStyle w:val="TableText"/>
            </w:pPr>
          </w:p>
        </w:tc>
        <w:tc>
          <w:tcPr>
            <w:tcW w:w="1223" w:type="dxa"/>
          </w:tcPr>
          <w:p w14:paraId="07059FC8" w14:textId="77777777" w:rsidR="00B24B8C" w:rsidRDefault="00B24B8C" w:rsidP="001D706D">
            <w:pPr>
              <w:pStyle w:val="TableText"/>
            </w:pPr>
          </w:p>
        </w:tc>
        <w:tc>
          <w:tcPr>
            <w:tcW w:w="2014" w:type="dxa"/>
            <w:gridSpan w:val="2"/>
          </w:tcPr>
          <w:p w14:paraId="7DCF6131" w14:textId="77777777" w:rsidR="00B24B8C" w:rsidRDefault="00B24B8C" w:rsidP="001D706D">
            <w:pPr>
              <w:pStyle w:val="TableText"/>
            </w:pPr>
          </w:p>
        </w:tc>
        <w:tc>
          <w:tcPr>
            <w:tcW w:w="1224" w:type="dxa"/>
          </w:tcPr>
          <w:p w14:paraId="17D09515" w14:textId="77777777" w:rsidR="00B24B8C" w:rsidRDefault="00B24B8C" w:rsidP="001D706D">
            <w:pPr>
              <w:pStyle w:val="TableText"/>
            </w:pPr>
          </w:p>
        </w:tc>
        <w:tc>
          <w:tcPr>
            <w:tcW w:w="1223" w:type="dxa"/>
          </w:tcPr>
          <w:p w14:paraId="37F3F8E8" w14:textId="77777777" w:rsidR="00B24B8C" w:rsidRDefault="00B24B8C" w:rsidP="001D706D">
            <w:pPr>
              <w:pStyle w:val="TableText"/>
            </w:pPr>
          </w:p>
        </w:tc>
        <w:tc>
          <w:tcPr>
            <w:tcW w:w="1223" w:type="dxa"/>
          </w:tcPr>
          <w:p w14:paraId="25A0B18D" w14:textId="77777777" w:rsidR="00B24B8C" w:rsidRDefault="00B24B8C" w:rsidP="001D706D">
            <w:pPr>
              <w:pStyle w:val="TableText"/>
            </w:pPr>
          </w:p>
        </w:tc>
      </w:tr>
      <w:tr w:rsidR="00B24B8C" w14:paraId="3FEEF0D0" w14:textId="77777777">
        <w:tc>
          <w:tcPr>
            <w:tcW w:w="1224" w:type="dxa"/>
          </w:tcPr>
          <w:p w14:paraId="3CD232E2" w14:textId="77777777" w:rsidR="00B24B8C" w:rsidRDefault="00B24B8C" w:rsidP="001D706D">
            <w:pPr>
              <w:pStyle w:val="TableText"/>
            </w:pPr>
          </w:p>
        </w:tc>
        <w:tc>
          <w:tcPr>
            <w:tcW w:w="1229" w:type="dxa"/>
            <w:gridSpan w:val="2"/>
          </w:tcPr>
          <w:p w14:paraId="66F6E5D6" w14:textId="77777777" w:rsidR="00B24B8C" w:rsidRDefault="00B24B8C" w:rsidP="001D706D">
            <w:pPr>
              <w:pStyle w:val="TableText"/>
            </w:pPr>
          </w:p>
        </w:tc>
        <w:tc>
          <w:tcPr>
            <w:tcW w:w="1223" w:type="dxa"/>
          </w:tcPr>
          <w:p w14:paraId="28DC2580" w14:textId="77777777" w:rsidR="00B24B8C" w:rsidRDefault="00B24B8C" w:rsidP="001D706D">
            <w:pPr>
              <w:pStyle w:val="TableText"/>
            </w:pPr>
          </w:p>
        </w:tc>
        <w:tc>
          <w:tcPr>
            <w:tcW w:w="2014" w:type="dxa"/>
            <w:gridSpan w:val="2"/>
          </w:tcPr>
          <w:p w14:paraId="2097626A" w14:textId="77777777" w:rsidR="00B24B8C" w:rsidRDefault="00B24B8C" w:rsidP="001D706D">
            <w:pPr>
              <w:pStyle w:val="TableText"/>
            </w:pPr>
          </w:p>
        </w:tc>
        <w:tc>
          <w:tcPr>
            <w:tcW w:w="1224" w:type="dxa"/>
          </w:tcPr>
          <w:p w14:paraId="6AA737D9" w14:textId="77777777" w:rsidR="00B24B8C" w:rsidRDefault="00B24B8C" w:rsidP="001D706D">
            <w:pPr>
              <w:pStyle w:val="TableText"/>
            </w:pPr>
          </w:p>
        </w:tc>
        <w:tc>
          <w:tcPr>
            <w:tcW w:w="1223" w:type="dxa"/>
          </w:tcPr>
          <w:p w14:paraId="2C167AA4" w14:textId="77777777" w:rsidR="00B24B8C" w:rsidRDefault="00B24B8C" w:rsidP="001D706D">
            <w:pPr>
              <w:pStyle w:val="TableText"/>
            </w:pPr>
          </w:p>
        </w:tc>
        <w:tc>
          <w:tcPr>
            <w:tcW w:w="1223" w:type="dxa"/>
          </w:tcPr>
          <w:p w14:paraId="756BB440" w14:textId="77777777" w:rsidR="00B24B8C" w:rsidRDefault="00B24B8C" w:rsidP="001D706D">
            <w:pPr>
              <w:pStyle w:val="TableText"/>
            </w:pPr>
          </w:p>
        </w:tc>
      </w:tr>
      <w:tr w:rsidR="00B24B8C" w14:paraId="065CFE03" w14:textId="77777777">
        <w:tc>
          <w:tcPr>
            <w:tcW w:w="1224" w:type="dxa"/>
          </w:tcPr>
          <w:p w14:paraId="4C993540" w14:textId="77777777" w:rsidR="00B24B8C" w:rsidRDefault="00B24B8C" w:rsidP="001D706D">
            <w:pPr>
              <w:pStyle w:val="TableText"/>
            </w:pPr>
          </w:p>
        </w:tc>
        <w:tc>
          <w:tcPr>
            <w:tcW w:w="1229" w:type="dxa"/>
            <w:gridSpan w:val="2"/>
          </w:tcPr>
          <w:p w14:paraId="2C9CC25A" w14:textId="77777777" w:rsidR="00B24B8C" w:rsidRDefault="00B24B8C" w:rsidP="001D706D">
            <w:pPr>
              <w:pStyle w:val="TableText"/>
            </w:pPr>
          </w:p>
        </w:tc>
        <w:tc>
          <w:tcPr>
            <w:tcW w:w="1223" w:type="dxa"/>
          </w:tcPr>
          <w:p w14:paraId="14D8B1F7" w14:textId="77777777" w:rsidR="00B24B8C" w:rsidRDefault="00B24B8C" w:rsidP="001D706D">
            <w:pPr>
              <w:pStyle w:val="TableText"/>
            </w:pPr>
          </w:p>
        </w:tc>
        <w:tc>
          <w:tcPr>
            <w:tcW w:w="2014" w:type="dxa"/>
            <w:gridSpan w:val="2"/>
          </w:tcPr>
          <w:p w14:paraId="58301E35" w14:textId="77777777" w:rsidR="00B24B8C" w:rsidRDefault="00B24B8C" w:rsidP="001D706D">
            <w:pPr>
              <w:pStyle w:val="TableText"/>
            </w:pPr>
          </w:p>
        </w:tc>
        <w:tc>
          <w:tcPr>
            <w:tcW w:w="1224" w:type="dxa"/>
          </w:tcPr>
          <w:p w14:paraId="4903AA0D" w14:textId="77777777" w:rsidR="00B24B8C" w:rsidRDefault="00B24B8C" w:rsidP="001D706D">
            <w:pPr>
              <w:pStyle w:val="TableText"/>
            </w:pPr>
          </w:p>
        </w:tc>
        <w:tc>
          <w:tcPr>
            <w:tcW w:w="1223" w:type="dxa"/>
          </w:tcPr>
          <w:p w14:paraId="2C9F838C" w14:textId="77777777" w:rsidR="00B24B8C" w:rsidRDefault="00B24B8C" w:rsidP="001D706D">
            <w:pPr>
              <w:pStyle w:val="TableText"/>
            </w:pPr>
          </w:p>
        </w:tc>
        <w:tc>
          <w:tcPr>
            <w:tcW w:w="1223" w:type="dxa"/>
          </w:tcPr>
          <w:p w14:paraId="7E866EFE" w14:textId="77777777" w:rsidR="00B24B8C" w:rsidRDefault="00B24B8C" w:rsidP="001D706D">
            <w:pPr>
              <w:pStyle w:val="TableText"/>
            </w:pPr>
          </w:p>
        </w:tc>
      </w:tr>
    </w:tbl>
    <w:p w14:paraId="0C9DB6C3" w14:textId="77777777" w:rsidR="002E3C00" w:rsidRDefault="007F0132" w:rsidP="002E3C00">
      <w:pPr>
        <w:pStyle w:val="Heading3"/>
      </w:pPr>
      <w:r>
        <w:br w:type="page"/>
      </w:r>
      <w:bookmarkStart w:id="803" w:name="_Toc203766003"/>
      <w:r w:rsidR="002E3C00">
        <w:lastRenderedPageBreak/>
        <w:t>Local Facilities</w:t>
      </w:r>
      <w:bookmarkEnd w:id="800"/>
      <w:bookmarkEnd w:id="801"/>
      <w:bookmarkEnd w:id="802"/>
      <w:bookmarkEnd w:id="803"/>
      <w:r w:rsidR="00992E88">
        <w:fldChar w:fldCharType="begin"/>
      </w:r>
      <w:r w:rsidR="00992E88">
        <w:instrText xml:space="preserve"> XE "</w:instrText>
      </w:r>
      <w:r w:rsidR="00992E88" w:rsidRPr="00992E88">
        <w:instrText xml:space="preserve"> </w:instrText>
      </w:r>
      <w:r w:rsidR="00992E88" w:rsidRPr="00FC6AF9">
        <w:instrText>System Validation:</w:instrText>
      </w:r>
      <w:r w:rsidR="00992E88" w:rsidRPr="00B0596E">
        <w:instrText>Local Facilities</w:instrText>
      </w:r>
      <w:r w:rsidR="00992E88">
        <w:instrText xml:space="preserve">" </w:instrText>
      </w:r>
      <w:r w:rsidR="00992E88">
        <w:fldChar w:fldCharType="end"/>
      </w:r>
    </w:p>
    <w:p w14:paraId="197918DB" w14:textId="23852B5B" w:rsidR="002E3C00" w:rsidRDefault="002E3C00" w:rsidP="002E3C00">
      <w:pPr>
        <w:pStyle w:val="BodyText"/>
      </w:pPr>
      <w:r>
        <w:t xml:space="preserve">The user customizes </w:t>
      </w:r>
      <w:r w:rsidR="00DE62C8">
        <w:t>local</w:t>
      </w:r>
      <w:r>
        <w:t xml:space="preserve"> facility information.</w:t>
      </w:r>
      <w:r w:rsidR="008D2779">
        <w:t xml:space="preserve"> For more information, see </w:t>
      </w:r>
      <w:r w:rsidR="00EE455E">
        <w:t xml:space="preserve">Appendix </w:t>
      </w:r>
      <w:r w:rsidR="00EE455E">
        <w:rPr>
          <w:noProof/>
        </w:rPr>
        <w:t>G</w:t>
      </w:r>
      <w:r w:rsidR="00EE455E">
        <w:t>: Work Process Flowcharts</w:t>
      </w:r>
      <w:r w:rsidR="008D2779">
        <w:t>.</w:t>
      </w:r>
    </w:p>
    <w:p w14:paraId="55BB3E02" w14:textId="77777777" w:rsidR="002E3C00" w:rsidRDefault="002E3C00" w:rsidP="002E3C00">
      <w:pPr>
        <w:pStyle w:val="Heading4"/>
      </w:pPr>
      <w:r>
        <w:t>User Roles with Access to This Option</w:t>
      </w:r>
    </w:p>
    <w:p w14:paraId="0B46B244" w14:textId="77777777" w:rsidR="002E3C00" w:rsidRDefault="002E3C00" w:rsidP="002E3C00">
      <w:pPr>
        <w:pStyle w:val="Roles"/>
      </w:pPr>
      <w:r>
        <w:t>All users (activate a facility)</w:t>
      </w:r>
    </w:p>
    <w:p w14:paraId="32317E85" w14:textId="77777777" w:rsidR="002E3C00" w:rsidRPr="00FC5C6B" w:rsidRDefault="002E3C00" w:rsidP="002E3C00">
      <w:pPr>
        <w:pStyle w:val="Roles"/>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Enhanced Supervisor (add a facility)</w:t>
      </w:r>
    </w:p>
    <w:p w14:paraId="2FCF876A" w14:textId="77777777" w:rsidR="002E3C00" w:rsidRDefault="00B74754" w:rsidP="002E3C00">
      <w:pPr>
        <w:pStyle w:val="Heading4"/>
      </w:pPr>
      <w:r>
        <w:t>Preparation for Testing</w:t>
      </w:r>
    </w:p>
    <w:p w14:paraId="478AB1D8" w14:textId="77777777" w:rsidR="00061FCF" w:rsidRPr="00600497" w:rsidRDefault="00061FCF" w:rsidP="00925CAD">
      <w:pPr>
        <w:pStyle w:val="ListNumber"/>
        <w:numPr>
          <w:ilvl w:val="0"/>
          <w:numId w:val="23"/>
        </w:numPr>
        <w:tabs>
          <w:tab w:val="clear" w:pos="720"/>
          <w:tab w:val="num" w:pos="360"/>
        </w:tabs>
        <w:ind w:left="360"/>
      </w:pPr>
      <w:r w:rsidRPr="00600497">
        <w:t>Use the sample worksheet to record information.</w:t>
      </w:r>
    </w:p>
    <w:p w14:paraId="2ED5781F" w14:textId="77777777" w:rsidR="002E3C00" w:rsidRPr="00600497" w:rsidRDefault="002E3C00" w:rsidP="00925CAD">
      <w:pPr>
        <w:pStyle w:val="ListNumber"/>
        <w:numPr>
          <w:ilvl w:val="0"/>
          <w:numId w:val="23"/>
        </w:numPr>
        <w:tabs>
          <w:tab w:val="clear" w:pos="720"/>
          <w:tab w:val="num" w:pos="360"/>
        </w:tabs>
        <w:ind w:left="360"/>
      </w:pPr>
      <w:r w:rsidRPr="00600497">
        <w:t xml:space="preserve">Capture and save a screen shot of each piece of information. </w:t>
      </w:r>
    </w:p>
    <w:p w14:paraId="4E6E1022" w14:textId="77777777" w:rsidR="00232E43" w:rsidRPr="00FB7F8D" w:rsidRDefault="00232E43" w:rsidP="00925CAD">
      <w:pPr>
        <w:pStyle w:val="ListNumber"/>
        <w:numPr>
          <w:ilvl w:val="0"/>
          <w:numId w:val="23"/>
        </w:numPr>
        <w:tabs>
          <w:tab w:val="clear" w:pos="720"/>
          <w:tab w:val="num" w:pos="360"/>
        </w:tabs>
        <w:ind w:left="360"/>
      </w:pPr>
      <w:r w:rsidRPr="00600497">
        <w:t>Print, sign, date, and save an Audit Trail Report for your v</w:t>
      </w:r>
      <w:r w:rsidRPr="00FB7F8D">
        <w:t>alidation record.</w:t>
      </w:r>
    </w:p>
    <w:p w14:paraId="6F6DBE24" w14:textId="01E6948C" w:rsidR="002E3C00" w:rsidRDefault="002E3C00" w:rsidP="002E3C00">
      <w:pPr>
        <w:pStyle w:val="Caption"/>
      </w:pPr>
      <w:r>
        <w:t xml:space="preserve">Table </w:t>
      </w:r>
      <w:r w:rsidR="004E20BD">
        <w:rPr>
          <w:noProof/>
        </w:rPr>
        <w:fldChar w:fldCharType="begin"/>
      </w:r>
      <w:r w:rsidR="004E20BD">
        <w:rPr>
          <w:noProof/>
        </w:rPr>
        <w:instrText xml:space="preserve"> SEQ Table \* ARABIC </w:instrText>
      </w:r>
      <w:r w:rsidR="004E20BD">
        <w:rPr>
          <w:noProof/>
        </w:rPr>
        <w:fldChar w:fldCharType="separate"/>
      </w:r>
      <w:r w:rsidR="007D1829">
        <w:rPr>
          <w:noProof/>
        </w:rPr>
        <w:t>30</w:t>
      </w:r>
      <w:r w:rsidR="004E20BD">
        <w:rPr>
          <w:noProof/>
        </w:rPr>
        <w:fldChar w:fldCharType="end"/>
      </w:r>
      <w:r>
        <w:t>: Sample Local Facilities Worksheet</w:t>
      </w:r>
      <w:r w:rsidR="00AD60CF">
        <w:fldChar w:fldCharType="begin"/>
      </w:r>
      <w:r w:rsidR="00292A7B">
        <w:instrText xml:space="preserve"> XE "Tables:</w:instrText>
      </w:r>
      <w:r w:rsidR="00AD60CF" w:rsidRPr="0046419F">
        <w:instrText>Sample Local Facilities Worksheet</w:instrText>
      </w:r>
      <w:r w:rsidR="00AD60CF">
        <w:instrText xml:space="preserve">" </w:instrText>
      </w:r>
      <w:r w:rsidR="00AD60CF">
        <w:fldChar w:fldCharType="end"/>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40"/>
        <w:gridCol w:w="2160"/>
        <w:gridCol w:w="1440"/>
        <w:gridCol w:w="1440"/>
        <w:gridCol w:w="1440"/>
        <w:gridCol w:w="1440"/>
      </w:tblGrid>
      <w:tr w:rsidR="00400E39" w:rsidRPr="00B562A7" w14:paraId="10F6FA58" w14:textId="77777777">
        <w:trPr>
          <w:tblHeader/>
        </w:trPr>
        <w:tc>
          <w:tcPr>
            <w:tcW w:w="1440" w:type="dxa"/>
            <w:vMerge w:val="restart"/>
            <w:shd w:val="clear" w:color="auto" w:fill="B3B3B3"/>
            <w:vAlign w:val="bottom"/>
          </w:tcPr>
          <w:p w14:paraId="60246A74" w14:textId="77777777" w:rsidR="00400E39" w:rsidRPr="00B562A7" w:rsidRDefault="00400E39" w:rsidP="002E3C00">
            <w:pPr>
              <w:pStyle w:val="TableText"/>
              <w:rPr>
                <w:b/>
              </w:rPr>
            </w:pPr>
            <w:r>
              <w:rPr>
                <w:b/>
              </w:rPr>
              <w:t>FDA Reg. No.</w:t>
            </w:r>
          </w:p>
        </w:tc>
        <w:tc>
          <w:tcPr>
            <w:tcW w:w="2160" w:type="dxa"/>
            <w:vMerge w:val="restart"/>
            <w:shd w:val="clear" w:color="auto" w:fill="B3B3B3"/>
            <w:vAlign w:val="bottom"/>
          </w:tcPr>
          <w:p w14:paraId="7014DC40" w14:textId="77777777" w:rsidR="00400E39" w:rsidRPr="00B562A7" w:rsidRDefault="00400E39" w:rsidP="002E3C00">
            <w:pPr>
              <w:pStyle w:val="TableText"/>
              <w:rPr>
                <w:b/>
              </w:rPr>
            </w:pPr>
            <w:r>
              <w:rPr>
                <w:b/>
              </w:rPr>
              <w:t>Facility Name</w:t>
            </w:r>
          </w:p>
        </w:tc>
        <w:tc>
          <w:tcPr>
            <w:tcW w:w="1440" w:type="dxa"/>
            <w:vMerge w:val="restart"/>
            <w:shd w:val="clear" w:color="auto" w:fill="B3B3B3"/>
            <w:vAlign w:val="bottom"/>
          </w:tcPr>
          <w:p w14:paraId="6B52639B" w14:textId="77777777" w:rsidR="00400E39" w:rsidRPr="00B562A7" w:rsidRDefault="00400E39" w:rsidP="002E3C00">
            <w:pPr>
              <w:pStyle w:val="TableText"/>
              <w:rPr>
                <w:b/>
              </w:rPr>
            </w:pPr>
            <w:r>
              <w:rPr>
                <w:b/>
              </w:rPr>
              <w:t>ICCBBA Reg. No.</w:t>
            </w:r>
          </w:p>
        </w:tc>
        <w:tc>
          <w:tcPr>
            <w:tcW w:w="2880" w:type="dxa"/>
            <w:gridSpan w:val="2"/>
            <w:shd w:val="clear" w:color="auto" w:fill="B3B3B3"/>
            <w:vAlign w:val="bottom"/>
          </w:tcPr>
          <w:p w14:paraId="52C421ED" w14:textId="77777777" w:rsidR="00400E39" w:rsidRPr="00B562A7" w:rsidRDefault="00400E39" w:rsidP="001E4018">
            <w:pPr>
              <w:pStyle w:val="TableText"/>
              <w:jc w:val="center"/>
              <w:rPr>
                <w:b/>
              </w:rPr>
            </w:pPr>
            <w:r>
              <w:rPr>
                <w:b/>
              </w:rPr>
              <w:t>Facility Type</w:t>
            </w:r>
          </w:p>
        </w:tc>
        <w:tc>
          <w:tcPr>
            <w:tcW w:w="1440" w:type="dxa"/>
            <w:vMerge w:val="restart"/>
            <w:shd w:val="clear" w:color="auto" w:fill="B3B3B3"/>
            <w:vAlign w:val="bottom"/>
          </w:tcPr>
          <w:p w14:paraId="49565B3C" w14:textId="77777777" w:rsidR="00400E39" w:rsidRPr="00B562A7" w:rsidRDefault="00400E39" w:rsidP="002E3C00">
            <w:pPr>
              <w:pStyle w:val="TableText"/>
              <w:rPr>
                <w:b/>
              </w:rPr>
            </w:pPr>
            <w:r>
              <w:rPr>
                <w:b/>
              </w:rPr>
              <w:t>Active Facility?</w:t>
            </w:r>
          </w:p>
        </w:tc>
      </w:tr>
      <w:tr w:rsidR="00400E39" w:rsidRPr="00B562A7" w14:paraId="7C445CC1" w14:textId="77777777">
        <w:trPr>
          <w:tblHeader/>
        </w:trPr>
        <w:tc>
          <w:tcPr>
            <w:tcW w:w="1440" w:type="dxa"/>
            <w:vMerge/>
            <w:shd w:val="clear" w:color="auto" w:fill="B3B3B3"/>
          </w:tcPr>
          <w:p w14:paraId="6DEECADF" w14:textId="77777777" w:rsidR="00400E39" w:rsidRPr="00B562A7" w:rsidRDefault="00400E39" w:rsidP="002E3C00">
            <w:pPr>
              <w:pStyle w:val="TableText"/>
              <w:rPr>
                <w:b/>
              </w:rPr>
            </w:pPr>
          </w:p>
        </w:tc>
        <w:tc>
          <w:tcPr>
            <w:tcW w:w="2160" w:type="dxa"/>
            <w:vMerge/>
            <w:shd w:val="clear" w:color="auto" w:fill="B3B3B3"/>
          </w:tcPr>
          <w:p w14:paraId="7CE9C318" w14:textId="77777777" w:rsidR="00400E39" w:rsidRPr="00B562A7" w:rsidRDefault="00400E39" w:rsidP="002E3C00">
            <w:pPr>
              <w:pStyle w:val="TableText"/>
              <w:rPr>
                <w:b/>
              </w:rPr>
            </w:pPr>
          </w:p>
        </w:tc>
        <w:tc>
          <w:tcPr>
            <w:tcW w:w="1440" w:type="dxa"/>
            <w:vMerge/>
            <w:shd w:val="clear" w:color="auto" w:fill="B3B3B3"/>
          </w:tcPr>
          <w:p w14:paraId="2EEE7A1D" w14:textId="77777777" w:rsidR="00400E39" w:rsidRPr="00B562A7" w:rsidRDefault="00400E39" w:rsidP="002E3C00">
            <w:pPr>
              <w:pStyle w:val="TableText"/>
              <w:rPr>
                <w:b/>
              </w:rPr>
            </w:pPr>
          </w:p>
        </w:tc>
        <w:tc>
          <w:tcPr>
            <w:tcW w:w="1440" w:type="dxa"/>
            <w:shd w:val="clear" w:color="auto" w:fill="B3B3B3"/>
            <w:vAlign w:val="bottom"/>
          </w:tcPr>
          <w:p w14:paraId="0DCF70E5" w14:textId="77777777" w:rsidR="00400E39" w:rsidRPr="00B562A7" w:rsidRDefault="00400E39" w:rsidP="002E3C00">
            <w:pPr>
              <w:pStyle w:val="TableText"/>
              <w:rPr>
                <w:b/>
              </w:rPr>
            </w:pPr>
            <w:r>
              <w:rPr>
                <w:b/>
              </w:rPr>
              <w:t>Collection Facility?</w:t>
            </w:r>
          </w:p>
        </w:tc>
        <w:tc>
          <w:tcPr>
            <w:tcW w:w="1440" w:type="dxa"/>
            <w:shd w:val="clear" w:color="auto" w:fill="B3B3B3"/>
            <w:vAlign w:val="bottom"/>
          </w:tcPr>
          <w:p w14:paraId="6A2ACA2B" w14:textId="77777777" w:rsidR="00400E39" w:rsidRPr="00B562A7" w:rsidRDefault="00400E39" w:rsidP="002E3C00">
            <w:pPr>
              <w:pStyle w:val="TableText"/>
              <w:rPr>
                <w:b/>
              </w:rPr>
            </w:pPr>
            <w:r>
              <w:rPr>
                <w:b/>
              </w:rPr>
              <w:t>Testing Facility?</w:t>
            </w:r>
          </w:p>
        </w:tc>
        <w:tc>
          <w:tcPr>
            <w:tcW w:w="1440" w:type="dxa"/>
            <w:vMerge/>
            <w:shd w:val="clear" w:color="auto" w:fill="B3B3B3"/>
          </w:tcPr>
          <w:p w14:paraId="069AD0AE" w14:textId="77777777" w:rsidR="00400E39" w:rsidRPr="00B562A7" w:rsidRDefault="00400E39" w:rsidP="002E3C00">
            <w:pPr>
              <w:pStyle w:val="TableText"/>
              <w:rPr>
                <w:b/>
              </w:rPr>
            </w:pPr>
          </w:p>
        </w:tc>
      </w:tr>
      <w:tr w:rsidR="00400E39" w14:paraId="32A79386" w14:textId="77777777">
        <w:tc>
          <w:tcPr>
            <w:tcW w:w="1440" w:type="dxa"/>
          </w:tcPr>
          <w:p w14:paraId="65A74522" w14:textId="77777777" w:rsidR="00400E39" w:rsidRDefault="009E20D1" w:rsidP="002E3C00">
            <w:pPr>
              <w:pStyle w:val="TableText"/>
            </w:pPr>
            <w:r>
              <w:t>2577690</w:t>
            </w:r>
          </w:p>
        </w:tc>
        <w:tc>
          <w:tcPr>
            <w:tcW w:w="2160" w:type="dxa"/>
          </w:tcPr>
          <w:p w14:paraId="5D140E47" w14:textId="77777777" w:rsidR="00400E39" w:rsidRDefault="009E20D1" w:rsidP="002E3C00">
            <w:pPr>
              <w:pStyle w:val="TableText"/>
            </w:pPr>
            <w:r>
              <w:t>Abington Memorial Hospital</w:t>
            </w:r>
          </w:p>
        </w:tc>
        <w:tc>
          <w:tcPr>
            <w:tcW w:w="1440" w:type="dxa"/>
          </w:tcPr>
          <w:p w14:paraId="6574AD55" w14:textId="77777777" w:rsidR="00400E39" w:rsidRDefault="009E20D1" w:rsidP="002E3C00">
            <w:pPr>
              <w:pStyle w:val="TableText"/>
            </w:pPr>
            <w:r>
              <w:t>W0002</w:t>
            </w:r>
          </w:p>
        </w:tc>
        <w:tc>
          <w:tcPr>
            <w:tcW w:w="1440" w:type="dxa"/>
          </w:tcPr>
          <w:p w14:paraId="482A732A" w14:textId="77777777" w:rsidR="00400E39" w:rsidRDefault="009E20D1" w:rsidP="002E3C00">
            <w:pPr>
              <w:pStyle w:val="TableText"/>
            </w:pPr>
            <w:r>
              <w:sym w:font="Wingdings" w:char="F0FC"/>
            </w:r>
          </w:p>
        </w:tc>
        <w:tc>
          <w:tcPr>
            <w:tcW w:w="1440" w:type="dxa"/>
          </w:tcPr>
          <w:p w14:paraId="1F90F192" w14:textId="77777777" w:rsidR="00400E39" w:rsidRDefault="00400E39" w:rsidP="002E3C00">
            <w:pPr>
              <w:pStyle w:val="TableText"/>
            </w:pPr>
          </w:p>
        </w:tc>
        <w:tc>
          <w:tcPr>
            <w:tcW w:w="1440" w:type="dxa"/>
          </w:tcPr>
          <w:p w14:paraId="16902351" w14:textId="77777777" w:rsidR="00400E39" w:rsidRDefault="009E20D1" w:rsidP="002E3C00">
            <w:pPr>
              <w:pStyle w:val="TableText"/>
            </w:pPr>
            <w:r>
              <w:sym w:font="Wingdings" w:char="F0FC"/>
            </w:r>
          </w:p>
        </w:tc>
      </w:tr>
    </w:tbl>
    <w:p w14:paraId="61D33EE3" w14:textId="2592411A" w:rsidR="00B24B8C" w:rsidRDefault="00B24B8C" w:rsidP="00B24B8C">
      <w:pPr>
        <w:pStyle w:val="Caption"/>
      </w:pPr>
      <w:bookmarkStart w:id="804" w:name="_Toc85895790"/>
      <w:bookmarkStart w:id="805" w:name="_Toc113264248"/>
      <w:bookmarkStart w:id="806" w:name="_Toc114462103"/>
      <w:r>
        <w:t xml:space="preserve">Table </w:t>
      </w:r>
      <w:r w:rsidR="004E20BD">
        <w:rPr>
          <w:noProof/>
        </w:rPr>
        <w:fldChar w:fldCharType="begin"/>
      </w:r>
      <w:r w:rsidR="004E20BD">
        <w:rPr>
          <w:noProof/>
        </w:rPr>
        <w:instrText xml:space="preserve"> SEQ Table \* ARABIC </w:instrText>
      </w:r>
      <w:r w:rsidR="004E20BD">
        <w:rPr>
          <w:noProof/>
        </w:rPr>
        <w:fldChar w:fldCharType="separate"/>
      </w:r>
      <w:r w:rsidR="007D1829">
        <w:rPr>
          <w:noProof/>
        </w:rPr>
        <w:t>31</w:t>
      </w:r>
      <w:r w:rsidR="004E20BD">
        <w:rPr>
          <w:noProof/>
        </w:rPr>
        <w:fldChar w:fldCharType="end"/>
      </w:r>
      <w:r>
        <w:t>: Local Facilities Worksheet</w:t>
      </w:r>
      <w:r>
        <w:fldChar w:fldCharType="begin"/>
      </w:r>
      <w:r>
        <w:instrText xml:space="preserve"> XE "Tables:</w:instrText>
      </w:r>
      <w:r w:rsidRPr="0046419F">
        <w:instrText>Local Facilities Worksheet</w:instrText>
      </w:r>
      <w:r>
        <w:instrText xml:space="preserve">" </w:instrText>
      </w:r>
      <w:r>
        <w:fldChar w:fldCharType="end"/>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40"/>
        <w:gridCol w:w="2160"/>
        <w:gridCol w:w="1440"/>
        <w:gridCol w:w="1440"/>
        <w:gridCol w:w="1440"/>
        <w:gridCol w:w="1440"/>
      </w:tblGrid>
      <w:tr w:rsidR="00B24B8C" w:rsidRPr="00B562A7" w14:paraId="5B602E98" w14:textId="77777777">
        <w:trPr>
          <w:tblHeader/>
        </w:trPr>
        <w:tc>
          <w:tcPr>
            <w:tcW w:w="1440" w:type="dxa"/>
            <w:vMerge w:val="restart"/>
            <w:shd w:val="clear" w:color="auto" w:fill="B3B3B3"/>
            <w:vAlign w:val="bottom"/>
          </w:tcPr>
          <w:p w14:paraId="0020880D" w14:textId="77777777" w:rsidR="00B24B8C" w:rsidRPr="00B562A7" w:rsidRDefault="00B24B8C" w:rsidP="001D706D">
            <w:pPr>
              <w:pStyle w:val="TableText"/>
              <w:rPr>
                <w:b/>
              </w:rPr>
            </w:pPr>
            <w:r>
              <w:rPr>
                <w:b/>
              </w:rPr>
              <w:t>FDA Reg. No.</w:t>
            </w:r>
          </w:p>
        </w:tc>
        <w:tc>
          <w:tcPr>
            <w:tcW w:w="2160" w:type="dxa"/>
            <w:vMerge w:val="restart"/>
            <w:shd w:val="clear" w:color="auto" w:fill="B3B3B3"/>
            <w:vAlign w:val="bottom"/>
          </w:tcPr>
          <w:p w14:paraId="7B0FF851" w14:textId="77777777" w:rsidR="00B24B8C" w:rsidRPr="00B562A7" w:rsidRDefault="00B24B8C" w:rsidP="001D706D">
            <w:pPr>
              <w:pStyle w:val="TableText"/>
              <w:rPr>
                <w:b/>
              </w:rPr>
            </w:pPr>
            <w:r>
              <w:rPr>
                <w:b/>
              </w:rPr>
              <w:t>Facility Name</w:t>
            </w:r>
          </w:p>
        </w:tc>
        <w:tc>
          <w:tcPr>
            <w:tcW w:w="1440" w:type="dxa"/>
            <w:vMerge w:val="restart"/>
            <w:shd w:val="clear" w:color="auto" w:fill="B3B3B3"/>
            <w:vAlign w:val="bottom"/>
          </w:tcPr>
          <w:p w14:paraId="2EB631F7" w14:textId="77777777" w:rsidR="00B24B8C" w:rsidRPr="00B562A7" w:rsidRDefault="00B24B8C" w:rsidP="001D706D">
            <w:pPr>
              <w:pStyle w:val="TableText"/>
              <w:rPr>
                <w:b/>
              </w:rPr>
            </w:pPr>
            <w:r>
              <w:rPr>
                <w:b/>
              </w:rPr>
              <w:t>ICCBBA Reg. No.</w:t>
            </w:r>
          </w:p>
        </w:tc>
        <w:tc>
          <w:tcPr>
            <w:tcW w:w="1440" w:type="dxa"/>
            <w:gridSpan w:val="2"/>
            <w:shd w:val="clear" w:color="auto" w:fill="B3B3B3"/>
            <w:vAlign w:val="bottom"/>
          </w:tcPr>
          <w:p w14:paraId="1EA7A03B" w14:textId="77777777" w:rsidR="00B24B8C" w:rsidRPr="00B562A7" w:rsidRDefault="00B24B8C" w:rsidP="001E4018">
            <w:pPr>
              <w:pStyle w:val="TableText"/>
              <w:jc w:val="center"/>
              <w:rPr>
                <w:b/>
              </w:rPr>
            </w:pPr>
            <w:r>
              <w:rPr>
                <w:b/>
              </w:rPr>
              <w:t>Facility Type</w:t>
            </w:r>
          </w:p>
        </w:tc>
        <w:tc>
          <w:tcPr>
            <w:tcW w:w="1440" w:type="dxa"/>
            <w:vMerge w:val="restart"/>
            <w:shd w:val="clear" w:color="auto" w:fill="B3B3B3"/>
            <w:vAlign w:val="bottom"/>
          </w:tcPr>
          <w:p w14:paraId="1FBAC68F" w14:textId="77777777" w:rsidR="00B24B8C" w:rsidRPr="00B562A7" w:rsidRDefault="00B24B8C" w:rsidP="001D706D">
            <w:pPr>
              <w:pStyle w:val="TableText"/>
              <w:rPr>
                <w:b/>
              </w:rPr>
            </w:pPr>
            <w:r>
              <w:rPr>
                <w:b/>
              </w:rPr>
              <w:t>Active Facility?</w:t>
            </w:r>
          </w:p>
        </w:tc>
      </w:tr>
      <w:tr w:rsidR="00B24B8C" w:rsidRPr="00B562A7" w14:paraId="228D1FD3" w14:textId="77777777">
        <w:trPr>
          <w:tblHeader/>
        </w:trPr>
        <w:tc>
          <w:tcPr>
            <w:tcW w:w="1440" w:type="dxa"/>
            <w:vMerge/>
            <w:shd w:val="clear" w:color="auto" w:fill="B3B3B3"/>
          </w:tcPr>
          <w:p w14:paraId="13E86479" w14:textId="77777777" w:rsidR="00B24B8C" w:rsidRPr="00B562A7" w:rsidRDefault="00B24B8C" w:rsidP="001D706D">
            <w:pPr>
              <w:pStyle w:val="TableText"/>
              <w:rPr>
                <w:b/>
              </w:rPr>
            </w:pPr>
          </w:p>
        </w:tc>
        <w:tc>
          <w:tcPr>
            <w:tcW w:w="2160" w:type="dxa"/>
            <w:vMerge/>
            <w:shd w:val="clear" w:color="auto" w:fill="B3B3B3"/>
          </w:tcPr>
          <w:p w14:paraId="556334F9" w14:textId="77777777" w:rsidR="00B24B8C" w:rsidRPr="00B562A7" w:rsidRDefault="00B24B8C" w:rsidP="001D706D">
            <w:pPr>
              <w:pStyle w:val="TableText"/>
              <w:rPr>
                <w:b/>
              </w:rPr>
            </w:pPr>
          </w:p>
        </w:tc>
        <w:tc>
          <w:tcPr>
            <w:tcW w:w="1440" w:type="dxa"/>
            <w:vMerge/>
            <w:shd w:val="clear" w:color="auto" w:fill="B3B3B3"/>
          </w:tcPr>
          <w:p w14:paraId="59F40514" w14:textId="77777777" w:rsidR="00B24B8C" w:rsidRPr="00B562A7" w:rsidRDefault="00B24B8C" w:rsidP="001D706D">
            <w:pPr>
              <w:pStyle w:val="TableText"/>
              <w:rPr>
                <w:b/>
              </w:rPr>
            </w:pPr>
          </w:p>
        </w:tc>
        <w:tc>
          <w:tcPr>
            <w:tcW w:w="1440" w:type="dxa"/>
            <w:shd w:val="clear" w:color="auto" w:fill="B3B3B3"/>
          </w:tcPr>
          <w:p w14:paraId="0173BB31" w14:textId="77777777" w:rsidR="00B24B8C" w:rsidRPr="00B562A7" w:rsidRDefault="00B24B8C" w:rsidP="001D706D">
            <w:pPr>
              <w:pStyle w:val="TableText"/>
              <w:rPr>
                <w:b/>
              </w:rPr>
            </w:pPr>
            <w:r>
              <w:rPr>
                <w:b/>
              </w:rPr>
              <w:t>Collection Facility?</w:t>
            </w:r>
          </w:p>
        </w:tc>
        <w:tc>
          <w:tcPr>
            <w:tcW w:w="1440" w:type="dxa"/>
            <w:shd w:val="clear" w:color="auto" w:fill="B3B3B3"/>
          </w:tcPr>
          <w:p w14:paraId="4FE101FE" w14:textId="77777777" w:rsidR="00B24B8C" w:rsidRPr="00B562A7" w:rsidRDefault="00B24B8C" w:rsidP="001D706D">
            <w:pPr>
              <w:pStyle w:val="TableText"/>
              <w:rPr>
                <w:b/>
              </w:rPr>
            </w:pPr>
            <w:r>
              <w:rPr>
                <w:b/>
              </w:rPr>
              <w:t>Testing Facility?</w:t>
            </w:r>
          </w:p>
        </w:tc>
        <w:tc>
          <w:tcPr>
            <w:tcW w:w="1440" w:type="dxa"/>
            <w:vMerge/>
            <w:shd w:val="clear" w:color="auto" w:fill="B3B3B3"/>
          </w:tcPr>
          <w:p w14:paraId="06165A26" w14:textId="77777777" w:rsidR="00B24B8C" w:rsidRPr="00B562A7" w:rsidRDefault="00B24B8C" w:rsidP="001D706D">
            <w:pPr>
              <w:pStyle w:val="TableText"/>
              <w:rPr>
                <w:b/>
              </w:rPr>
            </w:pPr>
          </w:p>
        </w:tc>
      </w:tr>
      <w:tr w:rsidR="00B24B8C" w14:paraId="111E4BFC" w14:textId="77777777">
        <w:tc>
          <w:tcPr>
            <w:tcW w:w="1440" w:type="dxa"/>
          </w:tcPr>
          <w:p w14:paraId="1B0AA816" w14:textId="77777777" w:rsidR="00B24B8C" w:rsidRDefault="00B24B8C" w:rsidP="001D706D">
            <w:pPr>
              <w:pStyle w:val="TableText"/>
            </w:pPr>
          </w:p>
        </w:tc>
        <w:tc>
          <w:tcPr>
            <w:tcW w:w="2160" w:type="dxa"/>
          </w:tcPr>
          <w:p w14:paraId="02DF23F2" w14:textId="77777777" w:rsidR="00B24B8C" w:rsidRDefault="00B24B8C" w:rsidP="001D706D">
            <w:pPr>
              <w:pStyle w:val="TableText"/>
            </w:pPr>
          </w:p>
        </w:tc>
        <w:tc>
          <w:tcPr>
            <w:tcW w:w="1440" w:type="dxa"/>
          </w:tcPr>
          <w:p w14:paraId="4572A71F" w14:textId="77777777" w:rsidR="00B24B8C" w:rsidRDefault="00B24B8C" w:rsidP="001D706D">
            <w:pPr>
              <w:pStyle w:val="TableText"/>
            </w:pPr>
          </w:p>
        </w:tc>
        <w:tc>
          <w:tcPr>
            <w:tcW w:w="1440" w:type="dxa"/>
          </w:tcPr>
          <w:p w14:paraId="5A82308C" w14:textId="77777777" w:rsidR="00B24B8C" w:rsidRDefault="00B24B8C" w:rsidP="001D706D">
            <w:pPr>
              <w:pStyle w:val="TableText"/>
            </w:pPr>
          </w:p>
        </w:tc>
        <w:tc>
          <w:tcPr>
            <w:tcW w:w="1440" w:type="dxa"/>
          </w:tcPr>
          <w:p w14:paraId="4F8D44FF" w14:textId="77777777" w:rsidR="00B24B8C" w:rsidRDefault="00B24B8C" w:rsidP="001D706D">
            <w:pPr>
              <w:pStyle w:val="TableText"/>
            </w:pPr>
          </w:p>
        </w:tc>
        <w:tc>
          <w:tcPr>
            <w:tcW w:w="1440" w:type="dxa"/>
          </w:tcPr>
          <w:p w14:paraId="799CD82E" w14:textId="77777777" w:rsidR="00B24B8C" w:rsidRDefault="00B24B8C" w:rsidP="001D706D">
            <w:pPr>
              <w:pStyle w:val="TableText"/>
            </w:pPr>
          </w:p>
        </w:tc>
      </w:tr>
      <w:tr w:rsidR="00B24B8C" w14:paraId="22E7CDCA" w14:textId="77777777">
        <w:tc>
          <w:tcPr>
            <w:tcW w:w="1440" w:type="dxa"/>
          </w:tcPr>
          <w:p w14:paraId="5255ABFB" w14:textId="77777777" w:rsidR="00B24B8C" w:rsidRDefault="00B24B8C" w:rsidP="001D706D">
            <w:pPr>
              <w:pStyle w:val="TableText"/>
            </w:pPr>
          </w:p>
        </w:tc>
        <w:tc>
          <w:tcPr>
            <w:tcW w:w="2160" w:type="dxa"/>
          </w:tcPr>
          <w:p w14:paraId="3BB3A72F" w14:textId="77777777" w:rsidR="00B24B8C" w:rsidRDefault="00B24B8C" w:rsidP="001D706D">
            <w:pPr>
              <w:pStyle w:val="TableText"/>
            </w:pPr>
          </w:p>
        </w:tc>
        <w:tc>
          <w:tcPr>
            <w:tcW w:w="1440" w:type="dxa"/>
          </w:tcPr>
          <w:p w14:paraId="7621783C" w14:textId="77777777" w:rsidR="00B24B8C" w:rsidRDefault="00B24B8C" w:rsidP="001D706D">
            <w:pPr>
              <w:pStyle w:val="TableText"/>
            </w:pPr>
          </w:p>
        </w:tc>
        <w:tc>
          <w:tcPr>
            <w:tcW w:w="1440" w:type="dxa"/>
          </w:tcPr>
          <w:p w14:paraId="7D0E7E8B" w14:textId="77777777" w:rsidR="00B24B8C" w:rsidRDefault="00B24B8C" w:rsidP="001D706D">
            <w:pPr>
              <w:pStyle w:val="TableText"/>
            </w:pPr>
          </w:p>
        </w:tc>
        <w:tc>
          <w:tcPr>
            <w:tcW w:w="1440" w:type="dxa"/>
          </w:tcPr>
          <w:p w14:paraId="3019984D" w14:textId="77777777" w:rsidR="00B24B8C" w:rsidRDefault="00B24B8C" w:rsidP="001D706D">
            <w:pPr>
              <w:pStyle w:val="TableText"/>
            </w:pPr>
          </w:p>
        </w:tc>
        <w:tc>
          <w:tcPr>
            <w:tcW w:w="1440" w:type="dxa"/>
          </w:tcPr>
          <w:p w14:paraId="60F49AE9" w14:textId="77777777" w:rsidR="00B24B8C" w:rsidRDefault="00B24B8C" w:rsidP="001D706D">
            <w:pPr>
              <w:pStyle w:val="TableText"/>
            </w:pPr>
          </w:p>
        </w:tc>
      </w:tr>
      <w:tr w:rsidR="00B24B8C" w14:paraId="024D7CAB" w14:textId="77777777">
        <w:tc>
          <w:tcPr>
            <w:tcW w:w="1440" w:type="dxa"/>
          </w:tcPr>
          <w:p w14:paraId="31CE7C80" w14:textId="77777777" w:rsidR="00B24B8C" w:rsidRDefault="00B24B8C" w:rsidP="001D706D">
            <w:pPr>
              <w:pStyle w:val="TableText"/>
            </w:pPr>
          </w:p>
        </w:tc>
        <w:tc>
          <w:tcPr>
            <w:tcW w:w="2160" w:type="dxa"/>
          </w:tcPr>
          <w:p w14:paraId="598B043A" w14:textId="77777777" w:rsidR="00B24B8C" w:rsidRDefault="00B24B8C" w:rsidP="001D706D">
            <w:pPr>
              <w:pStyle w:val="TableText"/>
            </w:pPr>
          </w:p>
        </w:tc>
        <w:tc>
          <w:tcPr>
            <w:tcW w:w="1440" w:type="dxa"/>
          </w:tcPr>
          <w:p w14:paraId="452E1B15" w14:textId="77777777" w:rsidR="00B24B8C" w:rsidRDefault="00B24B8C" w:rsidP="001D706D">
            <w:pPr>
              <w:pStyle w:val="TableText"/>
            </w:pPr>
          </w:p>
        </w:tc>
        <w:tc>
          <w:tcPr>
            <w:tcW w:w="1440" w:type="dxa"/>
          </w:tcPr>
          <w:p w14:paraId="14D1D1B1" w14:textId="77777777" w:rsidR="00B24B8C" w:rsidRDefault="00B24B8C" w:rsidP="001D706D">
            <w:pPr>
              <w:pStyle w:val="TableText"/>
            </w:pPr>
          </w:p>
        </w:tc>
        <w:tc>
          <w:tcPr>
            <w:tcW w:w="1440" w:type="dxa"/>
          </w:tcPr>
          <w:p w14:paraId="50663DB4" w14:textId="77777777" w:rsidR="00B24B8C" w:rsidRDefault="00B24B8C" w:rsidP="001D706D">
            <w:pPr>
              <w:pStyle w:val="TableText"/>
            </w:pPr>
          </w:p>
        </w:tc>
        <w:tc>
          <w:tcPr>
            <w:tcW w:w="1440" w:type="dxa"/>
          </w:tcPr>
          <w:p w14:paraId="7D5A0A63" w14:textId="77777777" w:rsidR="00B24B8C" w:rsidRDefault="00B24B8C" w:rsidP="001D706D">
            <w:pPr>
              <w:pStyle w:val="TableText"/>
            </w:pPr>
          </w:p>
        </w:tc>
      </w:tr>
      <w:tr w:rsidR="00B24B8C" w14:paraId="7724B31F" w14:textId="77777777">
        <w:tc>
          <w:tcPr>
            <w:tcW w:w="1440" w:type="dxa"/>
          </w:tcPr>
          <w:p w14:paraId="71B4539B" w14:textId="77777777" w:rsidR="00B24B8C" w:rsidRDefault="00B24B8C" w:rsidP="001D706D">
            <w:pPr>
              <w:pStyle w:val="TableText"/>
            </w:pPr>
          </w:p>
        </w:tc>
        <w:tc>
          <w:tcPr>
            <w:tcW w:w="2160" w:type="dxa"/>
          </w:tcPr>
          <w:p w14:paraId="2DF856F3" w14:textId="77777777" w:rsidR="00B24B8C" w:rsidRDefault="00B24B8C" w:rsidP="001D706D">
            <w:pPr>
              <w:pStyle w:val="TableText"/>
            </w:pPr>
          </w:p>
        </w:tc>
        <w:tc>
          <w:tcPr>
            <w:tcW w:w="1440" w:type="dxa"/>
          </w:tcPr>
          <w:p w14:paraId="2B2C7993" w14:textId="77777777" w:rsidR="00B24B8C" w:rsidRDefault="00B24B8C" w:rsidP="001D706D">
            <w:pPr>
              <w:pStyle w:val="TableText"/>
            </w:pPr>
          </w:p>
        </w:tc>
        <w:tc>
          <w:tcPr>
            <w:tcW w:w="1440" w:type="dxa"/>
          </w:tcPr>
          <w:p w14:paraId="6440D950" w14:textId="77777777" w:rsidR="00B24B8C" w:rsidRDefault="00B24B8C" w:rsidP="001D706D">
            <w:pPr>
              <w:pStyle w:val="TableText"/>
            </w:pPr>
          </w:p>
        </w:tc>
        <w:tc>
          <w:tcPr>
            <w:tcW w:w="1440" w:type="dxa"/>
          </w:tcPr>
          <w:p w14:paraId="26DDB4E5" w14:textId="77777777" w:rsidR="00B24B8C" w:rsidRDefault="00B24B8C" w:rsidP="001D706D">
            <w:pPr>
              <w:pStyle w:val="TableText"/>
            </w:pPr>
          </w:p>
        </w:tc>
        <w:tc>
          <w:tcPr>
            <w:tcW w:w="1440" w:type="dxa"/>
          </w:tcPr>
          <w:p w14:paraId="22717F13" w14:textId="77777777" w:rsidR="00B24B8C" w:rsidRDefault="00B24B8C" w:rsidP="001D706D">
            <w:pPr>
              <w:pStyle w:val="TableText"/>
            </w:pPr>
          </w:p>
        </w:tc>
      </w:tr>
      <w:tr w:rsidR="00B24B8C" w14:paraId="54A14584" w14:textId="77777777">
        <w:tc>
          <w:tcPr>
            <w:tcW w:w="1440" w:type="dxa"/>
          </w:tcPr>
          <w:p w14:paraId="55F8A771" w14:textId="77777777" w:rsidR="00B24B8C" w:rsidRDefault="00B24B8C" w:rsidP="001D706D">
            <w:pPr>
              <w:pStyle w:val="TableText"/>
            </w:pPr>
          </w:p>
        </w:tc>
        <w:tc>
          <w:tcPr>
            <w:tcW w:w="2160" w:type="dxa"/>
          </w:tcPr>
          <w:p w14:paraId="3F3C8B91" w14:textId="77777777" w:rsidR="00B24B8C" w:rsidRDefault="00B24B8C" w:rsidP="001D706D">
            <w:pPr>
              <w:pStyle w:val="TableText"/>
            </w:pPr>
          </w:p>
        </w:tc>
        <w:tc>
          <w:tcPr>
            <w:tcW w:w="1440" w:type="dxa"/>
          </w:tcPr>
          <w:p w14:paraId="10C31AA3" w14:textId="77777777" w:rsidR="00B24B8C" w:rsidRDefault="00B24B8C" w:rsidP="001D706D">
            <w:pPr>
              <w:pStyle w:val="TableText"/>
            </w:pPr>
          </w:p>
        </w:tc>
        <w:tc>
          <w:tcPr>
            <w:tcW w:w="1440" w:type="dxa"/>
          </w:tcPr>
          <w:p w14:paraId="27E19457" w14:textId="77777777" w:rsidR="00B24B8C" w:rsidRDefault="00B24B8C" w:rsidP="001D706D">
            <w:pPr>
              <w:pStyle w:val="TableText"/>
            </w:pPr>
          </w:p>
        </w:tc>
        <w:tc>
          <w:tcPr>
            <w:tcW w:w="1440" w:type="dxa"/>
          </w:tcPr>
          <w:p w14:paraId="14049F21" w14:textId="77777777" w:rsidR="00B24B8C" w:rsidRDefault="00B24B8C" w:rsidP="001D706D">
            <w:pPr>
              <w:pStyle w:val="TableText"/>
            </w:pPr>
          </w:p>
        </w:tc>
        <w:tc>
          <w:tcPr>
            <w:tcW w:w="1440" w:type="dxa"/>
          </w:tcPr>
          <w:p w14:paraId="10598072" w14:textId="77777777" w:rsidR="00B24B8C" w:rsidRDefault="00B24B8C" w:rsidP="001D706D">
            <w:pPr>
              <w:pStyle w:val="TableText"/>
            </w:pPr>
          </w:p>
        </w:tc>
      </w:tr>
      <w:tr w:rsidR="00B24B8C" w14:paraId="54E81E91" w14:textId="77777777">
        <w:tc>
          <w:tcPr>
            <w:tcW w:w="1440" w:type="dxa"/>
          </w:tcPr>
          <w:p w14:paraId="49F4CA52" w14:textId="77777777" w:rsidR="00B24B8C" w:rsidRDefault="00B24B8C" w:rsidP="001D706D">
            <w:pPr>
              <w:pStyle w:val="TableText"/>
            </w:pPr>
          </w:p>
        </w:tc>
        <w:tc>
          <w:tcPr>
            <w:tcW w:w="2160" w:type="dxa"/>
          </w:tcPr>
          <w:p w14:paraId="4F027ECF" w14:textId="77777777" w:rsidR="00B24B8C" w:rsidRDefault="00B24B8C" w:rsidP="001D706D">
            <w:pPr>
              <w:pStyle w:val="TableText"/>
            </w:pPr>
          </w:p>
        </w:tc>
        <w:tc>
          <w:tcPr>
            <w:tcW w:w="1440" w:type="dxa"/>
          </w:tcPr>
          <w:p w14:paraId="2DC7AEEE" w14:textId="77777777" w:rsidR="00B24B8C" w:rsidRDefault="00B24B8C" w:rsidP="001D706D">
            <w:pPr>
              <w:pStyle w:val="TableText"/>
            </w:pPr>
          </w:p>
        </w:tc>
        <w:tc>
          <w:tcPr>
            <w:tcW w:w="1440" w:type="dxa"/>
          </w:tcPr>
          <w:p w14:paraId="608EB13B" w14:textId="77777777" w:rsidR="00B24B8C" w:rsidRDefault="00B24B8C" w:rsidP="001D706D">
            <w:pPr>
              <w:pStyle w:val="TableText"/>
            </w:pPr>
          </w:p>
        </w:tc>
        <w:tc>
          <w:tcPr>
            <w:tcW w:w="1440" w:type="dxa"/>
          </w:tcPr>
          <w:p w14:paraId="5D321D4B" w14:textId="77777777" w:rsidR="00B24B8C" w:rsidRDefault="00B24B8C" w:rsidP="001D706D">
            <w:pPr>
              <w:pStyle w:val="TableText"/>
            </w:pPr>
          </w:p>
        </w:tc>
        <w:tc>
          <w:tcPr>
            <w:tcW w:w="1440" w:type="dxa"/>
          </w:tcPr>
          <w:p w14:paraId="669A9F8F" w14:textId="77777777" w:rsidR="00B24B8C" w:rsidRDefault="00B24B8C" w:rsidP="001D706D">
            <w:pPr>
              <w:pStyle w:val="TableText"/>
            </w:pPr>
          </w:p>
        </w:tc>
      </w:tr>
      <w:tr w:rsidR="00B24B8C" w14:paraId="1377B9AE" w14:textId="77777777">
        <w:tc>
          <w:tcPr>
            <w:tcW w:w="1440" w:type="dxa"/>
          </w:tcPr>
          <w:p w14:paraId="67E996E9" w14:textId="77777777" w:rsidR="00B24B8C" w:rsidRDefault="00B24B8C" w:rsidP="001D706D">
            <w:pPr>
              <w:pStyle w:val="TableText"/>
            </w:pPr>
          </w:p>
        </w:tc>
        <w:tc>
          <w:tcPr>
            <w:tcW w:w="2160" w:type="dxa"/>
          </w:tcPr>
          <w:p w14:paraId="074F5A9D" w14:textId="77777777" w:rsidR="00B24B8C" w:rsidRDefault="00B24B8C" w:rsidP="001D706D">
            <w:pPr>
              <w:pStyle w:val="TableText"/>
            </w:pPr>
          </w:p>
        </w:tc>
        <w:tc>
          <w:tcPr>
            <w:tcW w:w="1440" w:type="dxa"/>
          </w:tcPr>
          <w:p w14:paraId="0A53F714" w14:textId="77777777" w:rsidR="00B24B8C" w:rsidRDefault="00B24B8C" w:rsidP="001D706D">
            <w:pPr>
              <w:pStyle w:val="TableText"/>
            </w:pPr>
          </w:p>
        </w:tc>
        <w:tc>
          <w:tcPr>
            <w:tcW w:w="1440" w:type="dxa"/>
          </w:tcPr>
          <w:p w14:paraId="523A7D07" w14:textId="77777777" w:rsidR="00B24B8C" w:rsidRDefault="00B24B8C" w:rsidP="001D706D">
            <w:pPr>
              <w:pStyle w:val="TableText"/>
            </w:pPr>
          </w:p>
        </w:tc>
        <w:tc>
          <w:tcPr>
            <w:tcW w:w="1440" w:type="dxa"/>
          </w:tcPr>
          <w:p w14:paraId="28DB4951" w14:textId="77777777" w:rsidR="00B24B8C" w:rsidRDefault="00B24B8C" w:rsidP="001D706D">
            <w:pPr>
              <w:pStyle w:val="TableText"/>
            </w:pPr>
          </w:p>
        </w:tc>
        <w:tc>
          <w:tcPr>
            <w:tcW w:w="1440" w:type="dxa"/>
          </w:tcPr>
          <w:p w14:paraId="7F985EBF" w14:textId="77777777" w:rsidR="00B24B8C" w:rsidRDefault="00B24B8C" w:rsidP="001D706D">
            <w:pPr>
              <w:pStyle w:val="TableText"/>
            </w:pPr>
          </w:p>
        </w:tc>
      </w:tr>
    </w:tbl>
    <w:p w14:paraId="6CAC66D1" w14:textId="77777777" w:rsidR="002E3C00" w:rsidRDefault="0050722E" w:rsidP="005129E1">
      <w:pPr>
        <w:pStyle w:val="Heading3"/>
      </w:pPr>
      <w:r>
        <w:br w:type="page"/>
      </w:r>
      <w:bookmarkStart w:id="807" w:name="_Toc203766004"/>
      <w:r w:rsidR="002E3C00">
        <w:lastRenderedPageBreak/>
        <w:t>Component Classes</w:t>
      </w:r>
      <w:bookmarkEnd w:id="804"/>
      <w:bookmarkEnd w:id="805"/>
      <w:bookmarkEnd w:id="806"/>
      <w:bookmarkEnd w:id="807"/>
      <w:r w:rsidR="00992E88">
        <w:fldChar w:fldCharType="begin"/>
      </w:r>
      <w:r w:rsidR="00992E88">
        <w:instrText xml:space="preserve"> XE "</w:instrText>
      </w:r>
      <w:r w:rsidR="00992E88" w:rsidRPr="00992E88">
        <w:instrText xml:space="preserve"> </w:instrText>
      </w:r>
      <w:r w:rsidR="00992E88" w:rsidRPr="00FC6AF9">
        <w:instrText>System Validation:</w:instrText>
      </w:r>
      <w:r w:rsidR="00992E88" w:rsidRPr="00B0596E">
        <w:instrText>Component Classes</w:instrText>
      </w:r>
      <w:r w:rsidR="00992E88">
        <w:instrText xml:space="preserve">" </w:instrText>
      </w:r>
      <w:r w:rsidR="00992E88">
        <w:fldChar w:fldCharType="end"/>
      </w:r>
    </w:p>
    <w:p w14:paraId="2CF13F76" w14:textId="75183D1F" w:rsidR="002E3C00" w:rsidRDefault="002E3C00" w:rsidP="002E3C00">
      <w:pPr>
        <w:pStyle w:val="BodyText"/>
      </w:pPr>
      <w:r>
        <w:t>The user configures the component class parameters for the selected division.</w:t>
      </w:r>
      <w:r w:rsidR="008D2779">
        <w:t xml:space="preserve"> For more information, see </w:t>
      </w:r>
      <w:r w:rsidR="00EE455E">
        <w:t xml:space="preserve">Appendix </w:t>
      </w:r>
      <w:r w:rsidR="00EE455E">
        <w:rPr>
          <w:noProof/>
        </w:rPr>
        <w:t>G</w:t>
      </w:r>
      <w:r w:rsidR="00EE455E">
        <w:t>: Work Process Flowcharts</w:t>
      </w:r>
      <w:r w:rsidR="008D2779">
        <w:t>.</w:t>
      </w:r>
    </w:p>
    <w:p w14:paraId="3E1C5C1F" w14:textId="77777777" w:rsidR="002E3C00" w:rsidRDefault="002E3C00" w:rsidP="002E3C00">
      <w:pPr>
        <w:pStyle w:val="Heading4"/>
        <w:rPr>
          <w:b w:val="0"/>
        </w:rPr>
      </w:pPr>
      <w:r>
        <w:t>User Roles with Access to This Option</w:t>
      </w:r>
      <w:r>
        <w:rPr>
          <w:b w:val="0"/>
        </w:rPr>
        <w:t xml:space="preserve"> </w:t>
      </w:r>
    </w:p>
    <w:p w14:paraId="6106EB53" w14:textId="77777777" w:rsidR="002E3C00" w:rsidRPr="00404CAF" w:rsidRDefault="002E3C00" w:rsidP="002E3C00">
      <w:pPr>
        <w:pStyle w:val="Roles"/>
        <w:rPr>
          <w:i/>
        </w:rPr>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Enhanced Supervisor</w:t>
      </w:r>
    </w:p>
    <w:p w14:paraId="617EB5BA" w14:textId="77777777" w:rsidR="002E3C00" w:rsidRDefault="00B74754" w:rsidP="002E3C00">
      <w:pPr>
        <w:pStyle w:val="Heading4"/>
      </w:pPr>
      <w:r>
        <w:t>Preparation for Testing</w:t>
      </w:r>
    </w:p>
    <w:p w14:paraId="550E93F5" w14:textId="77777777" w:rsidR="00061FCF" w:rsidRPr="00600497" w:rsidRDefault="00061FCF" w:rsidP="00925CAD">
      <w:pPr>
        <w:pStyle w:val="ListNumber"/>
        <w:numPr>
          <w:ilvl w:val="0"/>
          <w:numId w:val="24"/>
        </w:numPr>
        <w:tabs>
          <w:tab w:val="clear" w:pos="720"/>
          <w:tab w:val="num" w:pos="360"/>
        </w:tabs>
        <w:ind w:left="360"/>
      </w:pPr>
      <w:r w:rsidRPr="00600497">
        <w:t>Use the sample worksheet to record information.</w:t>
      </w:r>
    </w:p>
    <w:p w14:paraId="2B4F13B8" w14:textId="77777777" w:rsidR="002E3C00" w:rsidRPr="00600497" w:rsidRDefault="002E3C00" w:rsidP="00925CAD">
      <w:pPr>
        <w:pStyle w:val="ListNumber"/>
        <w:numPr>
          <w:ilvl w:val="0"/>
          <w:numId w:val="24"/>
        </w:numPr>
        <w:tabs>
          <w:tab w:val="clear" w:pos="720"/>
          <w:tab w:val="num" w:pos="360"/>
        </w:tabs>
        <w:ind w:left="360"/>
      </w:pPr>
      <w:r w:rsidRPr="00600497">
        <w:t xml:space="preserve">Capture and save a screen shot of each piece of information. </w:t>
      </w:r>
    </w:p>
    <w:p w14:paraId="13B43B09" w14:textId="77777777" w:rsidR="00232E43" w:rsidRPr="00FB7F8D" w:rsidRDefault="00232E43" w:rsidP="00925CAD">
      <w:pPr>
        <w:pStyle w:val="ListNumber"/>
        <w:numPr>
          <w:ilvl w:val="0"/>
          <w:numId w:val="24"/>
        </w:numPr>
        <w:tabs>
          <w:tab w:val="clear" w:pos="720"/>
          <w:tab w:val="num" w:pos="360"/>
        </w:tabs>
        <w:ind w:left="360"/>
      </w:pPr>
      <w:r w:rsidRPr="00600497">
        <w:t>Pri</w:t>
      </w:r>
      <w:r w:rsidRPr="00FB7F8D">
        <w:t>nt</w:t>
      </w:r>
      <w:r>
        <w:t>, sign, date,</w:t>
      </w:r>
      <w:r w:rsidRPr="00FB7F8D">
        <w:t xml:space="preserve"> and save an </w:t>
      </w:r>
      <w:r>
        <w:t>A</w:t>
      </w:r>
      <w:r w:rsidRPr="00FB7F8D">
        <w:t xml:space="preserve">udit </w:t>
      </w:r>
      <w:r>
        <w:t>Trail R</w:t>
      </w:r>
      <w:r w:rsidRPr="00FB7F8D">
        <w:t>eport for your validation record.</w:t>
      </w:r>
    </w:p>
    <w:p w14:paraId="04497CCC" w14:textId="7A2D7DC1" w:rsidR="002E3C00" w:rsidRDefault="002E3C00" w:rsidP="002E3C00">
      <w:pPr>
        <w:pStyle w:val="Caption"/>
        <w:rPr>
          <w:sz w:val="15"/>
          <w:szCs w:val="15"/>
        </w:rPr>
      </w:pPr>
      <w:r>
        <w:t xml:space="preserve">Table </w:t>
      </w:r>
      <w:r w:rsidR="004E20BD">
        <w:rPr>
          <w:noProof/>
        </w:rPr>
        <w:fldChar w:fldCharType="begin"/>
      </w:r>
      <w:r w:rsidR="004E20BD">
        <w:rPr>
          <w:noProof/>
        </w:rPr>
        <w:instrText xml:space="preserve"> SEQ Table \* ARABIC </w:instrText>
      </w:r>
      <w:r w:rsidR="004E20BD">
        <w:rPr>
          <w:noProof/>
        </w:rPr>
        <w:fldChar w:fldCharType="separate"/>
      </w:r>
      <w:r w:rsidR="007D1829">
        <w:rPr>
          <w:noProof/>
        </w:rPr>
        <w:t>32</w:t>
      </w:r>
      <w:r w:rsidR="004E20BD">
        <w:rPr>
          <w:noProof/>
        </w:rPr>
        <w:fldChar w:fldCharType="end"/>
      </w:r>
      <w:r>
        <w:t>: Component Class Requirements</w:t>
      </w:r>
      <w:r w:rsidR="00061FCF">
        <w:t xml:space="preserve"> Worksheet</w:t>
      </w:r>
      <w:r w:rsidR="00AD60CF">
        <w:fldChar w:fldCharType="begin"/>
      </w:r>
      <w:r w:rsidR="00292A7B">
        <w:instrText xml:space="preserve"> XE "Tables:</w:instrText>
      </w:r>
      <w:r w:rsidR="00AD60CF" w:rsidRPr="0046419F">
        <w:instrText>Component Class Requirements Worksheet</w:instrText>
      </w:r>
      <w:r w:rsidR="00AD60CF">
        <w:instrText xml:space="preserve">" </w:instrText>
      </w:r>
      <w:r w:rsidR="00AD60CF">
        <w:fldChar w:fldCharType="end"/>
      </w:r>
    </w:p>
    <w:tbl>
      <w:tblPr>
        <w:tblW w:w="9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19"/>
        <w:gridCol w:w="1689"/>
        <w:gridCol w:w="1440"/>
        <w:gridCol w:w="1620"/>
        <w:gridCol w:w="1136"/>
        <w:gridCol w:w="1672"/>
      </w:tblGrid>
      <w:tr w:rsidR="000A4CE0" w:rsidRPr="007121BA" w14:paraId="60C923E3" w14:textId="77777777">
        <w:trPr>
          <w:tblHeader/>
        </w:trPr>
        <w:tc>
          <w:tcPr>
            <w:tcW w:w="2019" w:type="dxa"/>
            <w:shd w:val="clear" w:color="auto" w:fill="B3B3B3"/>
            <w:vAlign w:val="bottom"/>
          </w:tcPr>
          <w:p w14:paraId="12455E40" w14:textId="77777777" w:rsidR="000A4CE0" w:rsidRPr="007121BA" w:rsidRDefault="000A4CE0" w:rsidP="002E3C00">
            <w:pPr>
              <w:pStyle w:val="TableText"/>
              <w:rPr>
                <w:b/>
              </w:rPr>
            </w:pPr>
            <w:r w:rsidRPr="007121BA">
              <w:rPr>
                <w:b/>
              </w:rPr>
              <w:t>Component Class</w:t>
            </w:r>
          </w:p>
        </w:tc>
        <w:tc>
          <w:tcPr>
            <w:tcW w:w="1689" w:type="dxa"/>
            <w:shd w:val="clear" w:color="auto" w:fill="B3B3B3"/>
            <w:vAlign w:val="bottom"/>
          </w:tcPr>
          <w:p w14:paraId="0A3D8350" w14:textId="77777777" w:rsidR="000A4CE0" w:rsidRPr="007121BA" w:rsidRDefault="000A4CE0" w:rsidP="002E3C00">
            <w:pPr>
              <w:pStyle w:val="TableText"/>
              <w:rPr>
                <w:b/>
              </w:rPr>
            </w:pPr>
            <w:r>
              <w:rPr>
                <w:b/>
              </w:rPr>
              <w:t>R</w:t>
            </w:r>
            <w:r w:rsidR="000C4296">
              <w:rPr>
                <w:b/>
              </w:rPr>
              <w:t xml:space="preserve">equire Current Specimen </w:t>
            </w:r>
            <w:r>
              <w:rPr>
                <w:b/>
              </w:rPr>
              <w:t>ABO/Rh Results?</w:t>
            </w:r>
          </w:p>
        </w:tc>
        <w:tc>
          <w:tcPr>
            <w:tcW w:w="1440" w:type="dxa"/>
            <w:shd w:val="clear" w:color="auto" w:fill="B3B3B3"/>
            <w:vAlign w:val="bottom"/>
          </w:tcPr>
          <w:p w14:paraId="74E3412B" w14:textId="77777777" w:rsidR="000A4CE0" w:rsidRPr="007121BA" w:rsidRDefault="000A4CE0" w:rsidP="002E3C00">
            <w:pPr>
              <w:pStyle w:val="TableText"/>
              <w:rPr>
                <w:b/>
              </w:rPr>
            </w:pPr>
            <w:r w:rsidRPr="007121BA">
              <w:rPr>
                <w:b/>
              </w:rPr>
              <w:t xml:space="preserve">Maximum </w:t>
            </w:r>
            <w:r>
              <w:rPr>
                <w:b/>
              </w:rPr>
              <w:t>T</w:t>
            </w:r>
            <w:r w:rsidRPr="007121BA">
              <w:rPr>
                <w:b/>
              </w:rPr>
              <w:t xml:space="preserve">ransfusion </w:t>
            </w:r>
            <w:r>
              <w:rPr>
                <w:b/>
              </w:rPr>
              <w:t>Time</w:t>
            </w:r>
            <w:r>
              <w:rPr>
                <w:rStyle w:val="FootnoteReference"/>
                <w:b/>
              </w:rPr>
              <w:footnoteReference w:id="10"/>
            </w:r>
          </w:p>
        </w:tc>
        <w:tc>
          <w:tcPr>
            <w:tcW w:w="1620" w:type="dxa"/>
            <w:shd w:val="clear" w:color="auto" w:fill="B3B3B3"/>
            <w:vAlign w:val="bottom"/>
          </w:tcPr>
          <w:p w14:paraId="4D47F5CC" w14:textId="77777777" w:rsidR="000A4CE0" w:rsidRPr="007121BA" w:rsidRDefault="000A4CE0" w:rsidP="002E3C00">
            <w:pPr>
              <w:pStyle w:val="TableText"/>
              <w:rPr>
                <w:b/>
              </w:rPr>
            </w:pPr>
            <w:r>
              <w:rPr>
                <w:b/>
              </w:rPr>
              <w:t>Laboratory Test Name</w:t>
            </w:r>
          </w:p>
        </w:tc>
        <w:tc>
          <w:tcPr>
            <w:tcW w:w="1136" w:type="dxa"/>
            <w:shd w:val="clear" w:color="auto" w:fill="B3B3B3"/>
            <w:vAlign w:val="bottom"/>
          </w:tcPr>
          <w:p w14:paraId="5CAD7198" w14:textId="77777777" w:rsidR="000A4CE0" w:rsidRPr="007121BA" w:rsidRDefault="000A4CE0" w:rsidP="002E3C00">
            <w:pPr>
              <w:pStyle w:val="TableText"/>
              <w:rPr>
                <w:b/>
              </w:rPr>
            </w:pPr>
            <w:r>
              <w:rPr>
                <w:b/>
              </w:rPr>
              <w:t>Specimen Type</w:t>
            </w:r>
          </w:p>
        </w:tc>
        <w:tc>
          <w:tcPr>
            <w:tcW w:w="1672" w:type="dxa"/>
            <w:shd w:val="clear" w:color="auto" w:fill="B3B3B3"/>
            <w:vAlign w:val="bottom"/>
          </w:tcPr>
          <w:p w14:paraId="04EBAFEF" w14:textId="77777777" w:rsidR="000A4CE0" w:rsidRPr="007121BA" w:rsidRDefault="000A4CE0" w:rsidP="002E3C00">
            <w:pPr>
              <w:pStyle w:val="TableText"/>
              <w:rPr>
                <w:b/>
              </w:rPr>
            </w:pPr>
            <w:r>
              <w:rPr>
                <w:b/>
              </w:rPr>
              <w:t>Threshold Result</w:t>
            </w:r>
          </w:p>
        </w:tc>
      </w:tr>
      <w:tr w:rsidR="000A4CE0" w:rsidRPr="009B35EA" w14:paraId="166954CE" w14:textId="77777777">
        <w:tc>
          <w:tcPr>
            <w:tcW w:w="2019" w:type="dxa"/>
          </w:tcPr>
          <w:p w14:paraId="1F72A0EC" w14:textId="77777777" w:rsidR="000A4CE0" w:rsidRPr="009B35EA" w:rsidRDefault="000A4CE0" w:rsidP="002E3C00">
            <w:pPr>
              <w:pStyle w:val="TableText"/>
            </w:pPr>
            <w:r>
              <w:t>RED BLOOD CELLS</w:t>
            </w:r>
          </w:p>
        </w:tc>
        <w:tc>
          <w:tcPr>
            <w:tcW w:w="1689" w:type="dxa"/>
          </w:tcPr>
          <w:p w14:paraId="0B942EF7" w14:textId="77777777" w:rsidR="000A4CE0" w:rsidRPr="009B35EA" w:rsidRDefault="000A4CE0" w:rsidP="002E3C00">
            <w:pPr>
              <w:pStyle w:val="TableText"/>
            </w:pPr>
            <w:r>
              <w:sym w:font="Wingdings" w:char="F0FC"/>
            </w:r>
            <w:r>
              <w:t xml:space="preserve"> (uneditable)</w:t>
            </w:r>
          </w:p>
        </w:tc>
        <w:tc>
          <w:tcPr>
            <w:tcW w:w="1440" w:type="dxa"/>
          </w:tcPr>
          <w:p w14:paraId="4EDA7A2B" w14:textId="77777777" w:rsidR="000A4CE0" w:rsidRPr="009B35EA" w:rsidRDefault="000A4CE0" w:rsidP="002E3C00">
            <w:pPr>
              <w:pStyle w:val="TableText"/>
            </w:pPr>
          </w:p>
        </w:tc>
        <w:tc>
          <w:tcPr>
            <w:tcW w:w="1620" w:type="dxa"/>
          </w:tcPr>
          <w:p w14:paraId="2E8DA58E" w14:textId="77777777" w:rsidR="000A4CE0" w:rsidRPr="009B35EA" w:rsidRDefault="000A4CE0" w:rsidP="002E3C00">
            <w:pPr>
              <w:pStyle w:val="TableText"/>
            </w:pPr>
          </w:p>
        </w:tc>
        <w:tc>
          <w:tcPr>
            <w:tcW w:w="1136" w:type="dxa"/>
          </w:tcPr>
          <w:p w14:paraId="0B14FB93" w14:textId="77777777" w:rsidR="000A4CE0" w:rsidRPr="009B35EA" w:rsidRDefault="000A4CE0" w:rsidP="002E3C00">
            <w:pPr>
              <w:pStyle w:val="TableText"/>
            </w:pPr>
          </w:p>
        </w:tc>
        <w:tc>
          <w:tcPr>
            <w:tcW w:w="1672" w:type="dxa"/>
          </w:tcPr>
          <w:p w14:paraId="3F03F8B7" w14:textId="77777777" w:rsidR="000A4CE0" w:rsidRPr="009B35EA" w:rsidRDefault="000A4CE0" w:rsidP="002E3C00">
            <w:pPr>
              <w:pStyle w:val="TableText"/>
            </w:pPr>
          </w:p>
        </w:tc>
      </w:tr>
      <w:tr w:rsidR="000A4CE0" w:rsidRPr="009B35EA" w14:paraId="4635BF1A" w14:textId="77777777">
        <w:tc>
          <w:tcPr>
            <w:tcW w:w="2019" w:type="dxa"/>
          </w:tcPr>
          <w:p w14:paraId="61E731E2" w14:textId="77777777" w:rsidR="000A4CE0" w:rsidRPr="009B35EA" w:rsidRDefault="000A4CE0" w:rsidP="002E3C00">
            <w:pPr>
              <w:pStyle w:val="TableText"/>
            </w:pPr>
            <w:r>
              <w:t>FRESH FROZEN PLASMA</w:t>
            </w:r>
          </w:p>
        </w:tc>
        <w:tc>
          <w:tcPr>
            <w:tcW w:w="1689" w:type="dxa"/>
          </w:tcPr>
          <w:p w14:paraId="7D719D24" w14:textId="77777777" w:rsidR="000A4CE0" w:rsidRPr="009B35EA" w:rsidRDefault="000A4CE0" w:rsidP="002E3C00">
            <w:pPr>
              <w:pStyle w:val="TableText"/>
            </w:pPr>
          </w:p>
        </w:tc>
        <w:tc>
          <w:tcPr>
            <w:tcW w:w="1440" w:type="dxa"/>
          </w:tcPr>
          <w:p w14:paraId="0AA65974" w14:textId="77777777" w:rsidR="000A4CE0" w:rsidRPr="009B35EA" w:rsidRDefault="000A4CE0" w:rsidP="002E3C00">
            <w:pPr>
              <w:pStyle w:val="TableText"/>
            </w:pPr>
          </w:p>
        </w:tc>
        <w:tc>
          <w:tcPr>
            <w:tcW w:w="1620" w:type="dxa"/>
          </w:tcPr>
          <w:p w14:paraId="2AC275DB" w14:textId="77777777" w:rsidR="000A4CE0" w:rsidRPr="009B35EA" w:rsidRDefault="000A4CE0" w:rsidP="002E3C00">
            <w:pPr>
              <w:pStyle w:val="TableText"/>
            </w:pPr>
          </w:p>
        </w:tc>
        <w:tc>
          <w:tcPr>
            <w:tcW w:w="1136" w:type="dxa"/>
          </w:tcPr>
          <w:p w14:paraId="01302DAD" w14:textId="77777777" w:rsidR="000A4CE0" w:rsidRPr="009B35EA" w:rsidRDefault="000A4CE0" w:rsidP="002E3C00">
            <w:pPr>
              <w:pStyle w:val="TableText"/>
            </w:pPr>
          </w:p>
        </w:tc>
        <w:tc>
          <w:tcPr>
            <w:tcW w:w="1672" w:type="dxa"/>
          </w:tcPr>
          <w:p w14:paraId="3054F487" w14:textId="77777777" w:rsidR="000A4CE0" w:rsidRPr="009B35EA" w:rsidRDefault="000A4CE0" w:rsidP="002E3C00">
            <w:pPr>
              <w:pStyle w:val="TableText"/>
            </w:pPr>
          </w:p>
        </w:tc>
      </w:tr>
      <w:tr w:rsidR="000A4CE0" w:rsidRPr="009B35EA" w14:paraId="1A9F7FBA" w14:textId="77777777">
        <w:tc>
          <w:tcPr>
            <w:tcW w:w="2019" w:type="dxa"/>
          </w:tcPr>
          <w:p w14:paraId="16F1288B" w14:textId="77777777" w:rsidR="000A4CE0" w:rsidRDefault="000A4CE0" w:rsidP="002E3C00">
            <w:pPr>
              <w:pStyle w:val="TableText"/>
            </w:pPr>
            <w:r>
              <w:t>PLATELETS</w:t>
            </w:r>
          </w:p>
        </w:tc>
        <w:tc>
          <w:tcPr>
            <w:tcW w:w="1689" w:type="dxa"/>
          </w:tcPr>
          <w:p w14:paraId="3CAD216E" w14:textId="77777777" w:rsidR="000A4CE0" w:rsidRDefault="000A4CE0" w:rsidP="002E3C00">
            <w:pPr>
              <w:pStyle w:val="TableText"/>
            </w:pPr>
          </w:p>
        </w:tc>
        <w:tc>
          <w:tcPr>
            <w:tcW w:w="1440" w:type="dxa"/>
          </w:tcPr>
          <w:p w14:paraId="58E856FF" w14:textId="77777777" w:rsidR="000A4CE0" w:rsidRPr="009B35EA" w:rsidRDefault="000A4CE0" w:rsidP="002E3C00">
            <w:pPr>
              <w:pStyle w:val="TableText"/>
            </w:pPr>
          </w:p>
        </w:tc>
        <w:tc>
          <w:tcPr>
            <w:tcW w:w="1620" w:type="dxa"/>
          </w:tcPr>
          <w:p w14:paraId="645E4CE6" w14:textId="77777777" w:rsidR="000A4CE0" w:rsidRPr="009B35EA" w:rsidRDefault="000A4CE0" w:rsidP="002E3C00">
            <w:pPr>
              <w:pStyle w:val="TableText"/>
            </w:pPr>
          </w:p>
        </w:tc>
        <w:tc>
          <w:tcPr>
            <w:tcW w:w="1136" w:type="dxa"/>
          </w:tcPr>
          <w:p w14:paraId="10B912B6" w14:textId="77777777" w:rsidR="000A4CE0" w:rsidRPr="009B35EA" w:rsidRDefault="000A4CE0" w:rsidP="002E3C00">
            <w:pPr>
              <w:pStyle w:val="TableText"/>
            </w:pPr>
          </w:p>
        </w:tc>
        <w:tc>
          <w:tcPr>
            <w:tcW w:w="1672" w:type="dxa"/>
          </w:tcPr>
          <w:p w14:paraId="270F8CF6" w14:textId="77777777" w:rsidR="000A4CE0" w:rsidRPr="009B35EA" w:rsidRDefault="000A4CE0" w:rsidP="002E3C00">
            <w:pPr>
              <w:pStyle w:val="TableText"/>
            </w:pPr>
          </w:p>
        </w:tc>
      </w:tr>
      <w:tr w:rsidR="000A4CE0" w:rsidRPr="009B35EA" w14:paraId="1B3C8D36" w14:textId="77777777">
        <w:tc>
          <w:tcPr>
            <w:tcW w:w="2019" w:type="dxa"/>
          </w:tcPr>
          <w:p w14:paraId="73F3CB8C" w14:textId="77777777" w:rsidR="000A4CE0" w:rsidRPr="009B35EA" w:rsidRDefault="000A4CE0" w:rsidP="002E3C00">
            <w:pPr>
              <w:pStyle w:val="TableText"/>
            </w:pPr>
            <w:r>
              <w:t>CRYOPRECIPITATE</w:t>
            </w:r>
          </w:p>
        </w:tc>
        <w:tc>
          <w:tcPr>
            <w:tcW w:w="1689" w:type="dxa"/>
          </w:tcPr>
          <w:p w14:paraId="6AD4B6EA" w14:textId="77777777" w:rsidR="000A4CE0" w:rsidRPr="009B35EA" w:rsidRDefault="000A4CE0" w:rsidP="002E3C00">
            <w:pPr>
              <w:pStyle w:val="TableText"/>
            </w:pPr>
          </w:p>
        </w:tc>
        <w:tc>
          <w:tcPr>
            <w:tcW w:w="1440" w:type="dxa"/>
          </w:tcPr>
          <w:p w14:paraId="7D7A0EFD" w14:textId="77777777" w:rsidR="000A4CE0" w:rsidRPr="009B35EA" w:rsidRDefault="000A4CE0" w:rsidP="002E3C00">
            <w:pPr>
              <w:pStyle w:val="TableText"/>
            </w:pPr>
          </w:p>
        </w:tc>
        <w:tc>
          <w:tcPr>
            <w:tcW w:w="1620" w:type="dxa"/>
          </w:tcPr>
          <w:p w14:paraId="4E9DF3F9" w14:textId="77777777" w:rsidR="000A4CE0" w:rsidRPr="009B35EA" w:rsidRDefault="000A4CE0" w:rsidP="002E3C00">
            <w:pPr>
              <w:pStyle w:val="TableText"/>
            </w:pPr>
          </w:p>
        </w:tc>
        <w:tc>
          <w:tcPr>
            <w:tcW w:w="1136" w:type="dxa"/>
          </w:tcPr>
          <w:p w14:paraId="1CA57F3C" w14:textId="77777777" w:rsidR="000A4CE0" w:rsidRPr="009B35EA" w:rsidRDefault="000A4CE0" w:rsidP="002E3C00">
            <w:pPr>
              <w:pStyle w:val="TableText"/>
            </w:pPr>
          </w:p>
        </w:tc>
        <w:tc>
          <w:tcPr>
            <w:tcW w:w="1672" w:type="dxa"/>
          </w:tcPr>
          <w:p w14:paraId="140EEA3B" w14:textId="77777777" w:rsidR="000A4CE0" w:rsidRPr="009B35EA" w:rsidRDefault="000A4CE0" w:rsidP="002E3C00">
            <w:pPr>
              <w:pStyle w:val="TableText"/>
            </w:pPr>
          </w:p>
        </w:tc>
      </w:tr>
      <w:tr w:rsidR="000A4CE0" w:rsidRPr="009B35EA" w14:paraId="3DC32E95" w14:textId="77777777">
        <w:tc>
          <w:tcPr>
            <w:tcW w:w="2019" w:type="dxa"/>
          </w:tcPr>
          <w:p w14:paraId="7D0217CC" w14:textId="77777777" w:rsidR="000A4CE0" w:rsidRPr="009B35EA" w:rsidRDefault="000A4CE0" w:rsidP="002E3C00">
            <w:pPr>
              <w:pStyle w:val="TableText"/>
            </w:pPr>
            <w:r>
              <w:t>WHOLE BLOOD</w:t>
            </w:r>
          </w:p>
        </w:tc>
        <w:tc>
          <w:tcPr>
            <w:tcW w:w="1689" w:type="dxa"/>
          </w:tcPr>
          <w:p w14:paraId="5457DC61" w14:textId="77777777" w:rsidR="000A4CE0" w:rsidRPr="009B35EA" w:rsidRDefault="000A4CE0" w:rsidP="002E3C00">
            <w:pPr>
              <w:pStyle w:val="TableText"/>
            </w:pPr>
            <w:r>
              <w:sym w:font="Wingdings" w:char="F0FC"/>
            </w:r>
            <w:r>
              <w:t xml:space="preserve"> (uneditable)</w:t>
            </w:r>
          </w:p>
        </w:tc>
        <w:tc>
          <w:tcPr>
            <w:tcW w:w="1440" w:type="dxa"/>
          </w:tcPr>
          <w:p w14:paraId="49AE4509" w14:textId="77777777" w:rsidR="000A4CE0" w:rsidRPr="009B35EA" w:rsidRDefault="000A4CE0" w:rsidP="002E3C00">
            <w:pPr>
              <w:pStyle w:val="TableText"/>
            </w:pPr>
          </w:p>
        </w:tc>
        <w:tc>
          <w:tcPr>
            <w:tcW w:w="1620" w:type="dxa"/>
          </w:tcPr>
          <w:p w14:paraId="3D9B5545" w14:textId="77777777" w:rsidR="000A4CE0" w:rsidRPr="009B35EA" w:rsidRDefault="000A4CE0" w:rsidP="002E3C00">
            <w:pPr>
              <w:pStyle w:val="TableText"/>
            </w:pPr>
          </w:p>
        </w:tc>
        <w:tc>
          <w:tcPr>
            <w:tcW w:w="1136" w:type="dxa"/>
          </w:tcPr>
          <w:p w14:paraId="0B22FA3B" w14:textId="77777777" w:rsidR="000A4CE0" w:rsidRPr="009B35EA" w:rsidRDefault="000A4CE0" w:rsidP="002E3C00">
            <w:pPr>
              <w:pStyle w:val="TableText"/>
            </w:pPr>
          </w:p>
        </w:tc>
        <w:tc>
          <w:tcPr>
            <w:tcW w:w="1672" w:type="dxa"/>
          </w:tcPr>
          <w:p w14:paraId="57E66BD2" w14:textId="77777777" w:rsidR="000A4CE0" w:rsidRPr="009B35EA" w:rsidRDefault="000A4CE0" w:rsidP="002E3C00">
            <w:pPr>
              <w:pStyle w:val="TableText"/>
            </w:pPr>
          </w:p>
        </w:tc>
      </w:tr>
      <w:tr w:rsidR="000A4CE0" w:rsidRPr="009B35EA" w14:paraId="0887783C" w14:textId="77777777">
        <w:tc>
          <w:tcPr>
            <w:tcW w:w="2019" w:type="dxa"/>
          </w:tcPr>
          <w:p w14:paraId="03DED510" w14:textId="77777777" w:rsidR="000A4CE0" w:rsidRPr="009B35EA" w:rsidRDefault="000A4CE0" w:rsidP="002E3C00">
            <w:pPr>
              <w:pStyle w:val="TableText"/>
            </w:pPr>
            <w:r>
              <w:t>OTHER</w:t>
            </w:r>
          </w:p>
        </w:tc>
        <w:tc>
          <w:tcPr>
            <w:tcW w:w="1689" w:type="dxa"/>
          </w:tcPr>
          <w:p w14:paraId="16A06C81" w14:textId="77777777" w:rsidR="000A4CE0" w:rsidRPr="009B35EA" w:rsidRDefault="000A4CE0" w:rsidP="002E3C00">
            <w:pPr>
              <w:pStyle w:val="TableText"/>
            </w:pPr>
          </w:p>
        </w:tc>
        <w:tc>
          <w:tcPr>
            <w:tcW w:w="1440" w:type="dxa"/>
          </w:tcPr>
          <w:p w14:paraId="236F525A" w14:textId="77777777" w:rsidR="000A4CE0" w:rsidRPr="009B35EA" w:rsidRDefault="000A4CE0" w:rsidP="002E3C00">
            <w:pPr>
              <w:pStyle w:val="TableText"/>
            </w:pPr>
          </w:p>
        </w:tc>
        <w:tc>
          <w:tcPr>
            <w:tcW w:w="1620" w:type="dxa"/>
          </w:tcPr>
          <w:p w14:paraId="00B71719" w14:textId="77777777" w:rsidR="000A4CE0" w:rsidRPr="009B35EA" w:rsidRDefault="000A4CE0" w:rsidP="002E3C00">
            <w:pPr>
              <w:pStyle w:val="TableText"/>
            </w:pPr>
          </w:p>
        </w:tc>
        <w:tc>
          <w:tcPr>
            <w:tcW w:w="1136" w:type="dxa"/>
          </w:tcPr>
          <w:p w14:paraId="0AFDC9BD" w14:textId="77777777" w:rsidR="000A4CE0" w:rsidRPr="009B35EA" w:rsidRDefault="000A4CE0" w:rsidP="002E3C00">
            <w:pPr>
              <w:pStyle w:val="TableText"/>
            </w:pPr>
          </w:p>
        </w:tc>
        <w:tc>
          <w:tcPr>
            <w:tcW w:w="1672" w:type="dxa"/>
          </w:tcPr>
          <w:p w14:paraId="45311F38" w14:textId="77777777" w:rsidR="000A4CE0" w:rsidRPr="009B35EA" w:rsidRDefault="000A4CE0" w:rsidP="002E3C00">
            <w:pPr>
              <w:pStyle w:val="TableText"/>
            </w:pPr>
          </w:p>
        </w:tc>
      </w:tr>
    </w:tbl>
    <w:p w14:paraId="65C9CFE8" w14:textId="77777777" w:rsidR="002E3C00" w:rsidRDefault="003E754E" w:rsidP="002E3C00">
      <w:pPr>
        <w:pStyle w:val="Heading3"/>
      </w:pPr>
      <w:bookmarkStart w:id="808" w:name="_Toc85895792"/>
      <w:bookmarkStart w:id="809" w:name="_Toc113264250"/>
      <w:bookmarkStart w:id="810" w:name="_Toc114462104"/>
      <w:bookmarkStart w:id="811" w:name="_Toc85895791"/>
      <w:bookmarkStart w:id="812" w:name="_Toc113264249"/>
      <w:r>
        <w:br w:type="page"/>
      </w:r>
      <w:bookmarkStart w:id="813" w:name="_Toc203766005"/>
      <w:r w:rsidR="002E3C00" w:rsidRPr="008F671D">
        <w:lastRenderedPageBreak/>
        <w:t>Transfusion Complication</w:t>
      </w:r>
      <w:bookmarkEnd w:id="808"/>
      <w:bookmarkEnd w:id="809"/>
      <w:r w:rsidR="002E3C00" w:rsidRPr="008F671D">
        <w:t>s</w:t>
      </w:r>
      <w:bookmarkEnd w:id="810"/>
      <w:bookmarkEnd w:id="813"/>
      <w:r w:rsidR="00992E88">
        <w:fldChar w:fldCharType="begin"/>
      </w:r>
      <w:r w:rsidR="00992E88">
        <w:instrText xml:space="preserve"> XE "</w:instrText>
      </w:r>
      <w:r w:rsidR="00992E88" w:rsidRPr="00992E88">
        <w:instrText xml:space="preserve"> </w:instrText>
      </w:r>
      <w:r w:rsidR="00992E88" w:rsidRPr="00FC6AF9">
        <w:instrText>System Validation:</w:instrText>
      </w:r>
      <w:r w:rsidR="00992E88" w:rsidRPr="00B0596E">
        <w:instrText>Transfusion Complications</w:instrText>
      </w:r>
      <w:r w:rsidR="00992E88">
        <w:instrText xml:space="preserve">" </w:instrText>
      </w:r>
      <w:r w:rsidR="00992E88">
        <w:fldChar w:fldCharType="end"/>
      </w:r>
    </w:p>
    <w:p w14:paraId="0A39D459" w14:textId="06EA4444" w:rsidR="002E3C00" w:rsidRPr="00CA68EE" w:rsidRDefault="002E3C00" w:rsidP="00E10142">
      <w:pPr>
        <w:pStyle w:val="BodyText"/>
      </w:pPr>
      <w:r>
        <w:t>The user defines Laboratory tests and threshold values used to generate a report listing patients transfused within a specified period who may have developed a transfusion-associated disease.</w:t>
      </w:r>
      <w:r w:rsidR="008D2779">
        <w:t xml:space="preserve"> For more information, see </w:t>
      </w:r>
      <w:r w:rsidR="00EE455E">
        <w:t xml:space="preserve">Appendix </w:t>
      </w:r>
      <w:r w:rsidR="00EE455E">
        <w:rPr>
          <w:noProof/>
        </w:rPr>
        <w:t>G</w:t>
      </w:r>
      <w:r w:rsidR="00EE455E">
        <w:t>: Work Process Flowcharts</w:t>
      </w:r>
      <w:r w:rsidR="008D2779">
        <w:t>.</w:t>
      </w:r>
    </w:p>
    <w:p w14:paraId="6793FE5F" w14:textId="77777777" w:rsidR="002E3C00" w:rsidRDefault="002E3C00" w:rsidP="002E3C00">
      <w:pPr>
        <w:pStyle w:val="Heading4"/>
        <w:rPr>
          <w:b w:val="0"/>
        </w:rPr>
      </w:pPr>
      <w:r>
        <w:t>User Roles with Access to This Option</w:t>
      </w:r>
      <w:r>
        <w:rPr>
          <w:b w:val="0"/>
        </w:rPr>
        <w:t xml:space="preserve"> </w:t>
      </w:r>
    </w:p>
    <w:p w14:paraId="33926A83" w14:textId="77777777" w:rsidR="002E3C00" w:rsidRPr="00404CAF" w:rsidRDefault="002E3C00" w:rsidP="002E3C00">
      <w:pPr>
        <w:pStyle w:val="Roles"/>
        <w:rPr>
          <w:i/>
        </w:rPr>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Enhanced Supervisor</w:t>
      </w:r>
    </w:p>
    <w:p w14:paraId="130D01ED" w14:textId="77777777" w:rsidR="002E3C00" w:rsidRDefault="00B74754" w:rsidP="002E3C00">
      <w:pPr>
        <w:pStyle w:val="Heading4"/>
      </w:pPr>
      <w:r>
        <w:t>Preparation for Testing</w:t>
      </w:r>
    </w:p>
    <w:p w14:paraId="750FAEDF" w14:textId="77777777" w:rsidR="00061FCF" w:rsidRPr="00600497" w:rsidRDefault="00061FCF" w:rsidP="00925CAD">
      <w:pPr>
        <w:pStyle w:val="ListNumber"/>
        <w:numPr>
          <w:ilvl w:val="0"/>
          <w:numId w:val="25"/>
        </w:numPr>
        <w:tabs>
          <w:tab w:val="clear" w:pos="720"/>
          <w:tab w:val="num" w:pos="360"/>
        </w:tabs>
        <w:ind w:left="360"/>
      </w:pPr>
      <w:r>
        <w:t>Use t</w:t>
      </w:r>
      <w:r w:rsidRPr="00600497">
        <w:t>he sample worksheet to record information.</w:t>
      </w:r>
    </w:p>
    <w:p w14:paraId="75B48FAE" w14:textId="77777777" w:rsidR="002E3C00" w:rsidRPr="00600497" w:rsidRDefault="002E3C00" w:rsidP="00925CAD">
      <w:pPr>
        <w:pStyle w:val="ListNumber"/>
        <w:numPr>
          <w:ilvl w:val="0"/>
          <w:numId w:val="25"/>
        </w:numPr>
        <w:tabs>
          <w:tab w:val="clear" w:pos="720"/>
          <w:tab w:val="num" w:pos="360"/>
        </w:tabs>
        <w:ind w:left="360"/>
      </w:pPr>
      <w:r w:rsidRPr="00600497">
        <w:t>Capture and save a screen shot of all entries.</w:t>
      </w:r>
    </w:p>
    <w:p w14:paraId="2AF8EAFE" w14:textId="77777777" w:rsidR="00232E43" w:rsidRPr="00FB7F8D" w:rsidRDefault="00232E43" w:rsidP="00925CAD">
      <w:pPr>
        <w:pStyle w:val="ListNumber"/>
        <w:numPr>
          <w:ilvl w:val="0"/>
          <w:numId w:val="25"/>
        </w:numPr>
        <w:tabs>
          <w:tab w:val="clear" w:pos="720"/>
          <w:tab w:val="num" w:pos="360"/>
        </w:tabs>
        <w:ind w:left="360"/>
      </w:pPr>
      <w:r w:rsidRPr="00600497">
        <w:t xml:space="preserve">Print, </w:t>
      </w:r>
      <w:r>
        <w:t>sign, date,</w:t>
      </w:r>
      <w:r w:rsidRPr="00FB7F8D">
        <w:t xml:space="preserve"> and save an </w:t>
      </w:r>
      <w:r>
        <w:t>A</w:t>
      </w:r>
      <w:r w:rsidRPr="00FB7F8D">
        <w:t xml:space="preserve">udit </w:t>
      </w:r>
      <w:r>
        <w:t>Trail R</w:t>
      </w:r>
      <w:r w:rsidRPr="00FB7F8D">
        <w:t>eport for your validation record.</w:t>
      </w:r>
    </w:p>
    <w:p w14:paraId="2A5BD197" w14:textId="175094FB" w:rsidR="00061FCF" w:rsidRDefault="00061FCF" w:rsidP="00061FCF">
      <w:pPr>
        <w:pStyle w:val="Caption"/>
        <w:rPr>
          <w:sz w:val="15"/>
          <w:szCs w:val="15"/>
        </w:rPr>
      </w:pPr>
      <w:bookmarkStart w:id="814" w:name="_Toc114462105"/>
      <w:r>
        <w:t xml:space="preserve">Table </w:t>
      </w:r>
      <w:r w:rsidR="004E20BD">
        <w:rPr>
          <w:noProof/>
        </w:rPr>
        <w:fldChar w:fldCharType="begin"/>
      </w:r>
      <w:r w:rsidR="004E20BD">
        <w:rPr>
          <w:noProof/>
        </w:rPr>
        <w:instrText xml:space="preserve"> SEQ Table \* ARABIC </w:instrText>
      </w:r>
      <w:r w:rsidR="004E20BD">
        <w:rPr>
          <w:noProof/>
        </w:rPr>
        <w:fldChar w:fldCharType="separate"/>
      </w:r>
      <w:r w:rsidR="007D1829">
        <w:rPr>
          <w:noProof/>
        </w:rPr>
        <w:t>33</w:t>
      </w:r>
      <w:r w:rsidR="004E20BD">
        <w:rPr>
          <w:noProof/>
        </w:rPr>
        <w:fldChar w:fldCharType="end"/>
      </w:r>
      <w:r>
        <w:t>: Transfusion Complications Worksheet</w:t>
      </w:r>
      <w:r w:rsidR="00AD60CF">
        <w:fldChar w:fldCharType="begin"/>
      </w:r>
      <w:r w:rsidR="00292A7B">
        <w:instrText xml:space="preserve"> XE "Tables:</w:instrText>
      </w:r>
      <w:r w:rsidR="00AD60CF" w:rsidRPr="0046419F">
        <w:instrText>Transfusion Complications Worksheet</w:instrText>
      </w:r>
      <w:r w:rsidR="00AD60CF">
        <w:instrText xml:space="preserve">" </w:instrText>
      </w:r>
      <w:r w:rsidR="00AD60CF">
        <w:fldChar w:fldCharType="end"/>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20"/>
        <w:gridCol w:w="3120"/>
        <w:gridCol w:w="3120"/>
      </w:tblGrid>
      <w:tr w:rsidR="001A5A46" w:rsidRPr="007121BA" w14:paraId="5115ECC0" w14:textId="77777777">
        <w:trPr>
          <w:tblHeader/>
        </w:trPr>
        <w:tc>
          <w:tcPr>
            <w:tcW w:w="2088" w:type="dxa"/>
            <w:shd w:val="clear" w:color="auto" w:fill="B3B3B3"/>
            <w:vAlign w:val="bottom"/>
          </w:tcPr>
          <w:p w14:paraId="1F8453FE" w14:textId="77777777" w:rsidR="001A5A46" w:rsidRPr="007121BA" w:rsidRDefault="001A5A46" w:rsidP="005129E1">
            <w:pPr>
              <w:pStyle w:val="TableText"/>
              <w:rPr>
                <w:b/>
              </w:rPr>
            </w:pPr>
            <w:r>
              <w:rPr>
                <w:b/>
              </w:rPr>
              <w:t>Laboratory Test Name</w:t>
            </w:r>
          </w:p>
        </w:tc>
        <w:tc>
          <w:tcPr>
            <w:tcW w:w="2088" w:type="dxa"/>
            <w:shd w:val="clear" w:color="auto" w:fill="B3B3B3"/>
            <w:vAlign w:val="bottom"/>
          </w:tcPr>
          <w:p w14:paraId="3296EB5A" w14:textId="77777777" w:rsidR="001A5A46" w:rsidRPr="007121BA" w:rsidRDefault="001A5A46" w:rsidP="005129E1">
            <w:pPr>
              <w:pStyle w:val="TableText"/>
              <w:rPr>
                <w:b/>
              </w:rPr>
            </w:pPr>
            <w:r>
              <w:rPr>
                <w:b/>
              </w:rPr>
              <w:t>Specimen Type</w:t>
            </w:r>
          </w:p>
        </w:tc>
        <w:tc>
          <w:tcPr>
            <w:tcW w:w="2088" w:type="dxa"/>
            <w:shd w:val="clear" w:color="auto" w:fill="B3B3B3"/>
            <w:vAlign w:val="bottom"/>
          </w:tcPr>
          <w:p w14:paraId="62CF9863" w14:textId="77777777" w:rsidR="001A5A46" w:rsidRPr="007121BA" w:rsidRDefault="001A5A46" w:rsidP="005129E1">
            <w:pPr>
              <w:pStyle w:val="TableText"/>
              <w:rPr>
                <w:b/>
              </w:rPr>
            </w:pPr>
            <w:r>
              <w:rPr>
                <w:b/>
              </w:rPr>
              <w:t>Threshold Result</w:t>
            </w:r>
          </w:p>
        </w:tc>
      </w:tr>
      <w:tr w:rsidR="001A5A46" w:rsidRPr="009B35EA" w14:paraId="09B1F63C" w14:textId="77777777">
        <w:tc>
          <w:tcPr>
            <w:tcW w:w="2088" w:type="dxa"/>
          </w:tcPr>
          <w:p w14:paraId="512852F9" w14:textId="77777777" w:rsidR="001A5A46" w:rsidRPr="009B35EA" w:rsidRDefault="001A5A46" w:rsidP="005129E1">
            <w:pPr>
              <w:pStyle w:val="TableText"/>
            </w:pPr>
          </w:p>
        </w:tc>
        <w:tc>
          <w:tcPr>
            <w:tcW w:w="2088" w:type="dxa"/>
          </w:tcPr>
          <w:p w14:paraId="1303F067" w14:textId="77777777" w:rsidR="001A5A46" w:rsidRPr="009B35EA" w:rsidRDefault="001A5A46" w:rsidP="005129E1">
            <w:pPr>
              <w:pStyle w:val="TableText"/>
            </w:pPr>
          </w:p>
        </w:tc>
        <w:tc>
          <w:tcPr>
            <w:tcW w:w="2088" w:type="dxa"/>
          </w:tcPr>
          <w:p w14:paraId="192A6002" w14:textId="77777777" w:rsidR="001A5A46" w:rsidRPr="009B35EA" w:rsidRDefault="001A5A46" w:rsidP="005129E1">
            <w:pPr>
              <w:pStyle w:val="TableText"/>
            </w:pPr>
          </w:p>
        </w:tc>
      </w:tr>
      <w:tr w:rsidR="001A5A46" w:rsidRPr="009B35EA" w14:paraId="38F89BA3" w14:textId="77777777">
        <w:tc>
          <w:tcPr>
            <w:tcW w:w="2088" w:type="dxa"/>
          </w:tcPr>
          <w:p w14:paraId="0B40168B" w14:textId="77777777" w:rsidR="001A5A46" w:rsidRPr="009B35EA" w:rsidRDefault="001A5A46" w:rsidP="005129E1">
            <w:pPr>
              <w:pStyle w:val="TableText"/>
            </w:pPr>
          </w:p>
        </w:tc>
        <w:tc>
          <w:tcPr>
            <w:tcW w:w="2088" w:type="dxa"/>
          </w:tcPr>
          <w:p w14:paraId="34AD958F" w14:textId="77777777" w:rsidR="001A5A46" w:rsidRPr="009B35EA" w:rsidRDefault="001A5A46" w:rsidP="005129E1">
            <w:pPr>
              <w:pStyle w:val="TableText"/>
            </w:pPr>
          </w:p>
        </w:tc>
        <w:tc>
          <w:tcPr>
            <w:tcW w:w="2088" w:type="dxa"/>
          </w:tcPr>
          <w:p w14:paraId="024F583C" w14:textId="77777777" w:rsidR="001A5A46" w:rsidRPr="009B35EA" w:rsidRDefault="001A5A46" w:rsidP="005129E1">
            <w:pPr>
              <w:pStyle w:val="TableText"/>
            </w:pPr>
          </w:p>
        </w:tc>
      </w:tr>
      <w:tr w:rsidR="001A5A46" w:rsidRPr="009B35EA" w14:paraId="13498A20" w14:textId="77777777">
        <w:tc>
          <w:tcPr>
            <w:tcW w:w="2088" w:type="dxa"/>
          </w:tcPr>
          <w:p w14:paraId="34778BA4" w14:textId="77777777" w:rsidR="001A5A46" w:rsidRPr="009B35EA" w:rsidRDefault="001A5A46" w:rsidP="005129E1">
            <w:pPr>
              <w:pStyle w:val="TableText"/>
            </w:pPr>
          </w:p>
        </w:tc>
        <w:tc>
          <w:tcPr>
            <w:tcW w:w="2088" w:type="dxa"/>
          </w:tcPr>
          <w:p w14:paraId="6934F1BC" w14:textId="77777777" w:rsidR="001A5A46" w:rsidRPr="009B35EA" w:rsidRDefault="001A5A46" w:rsidP="005129E1">
            <w:pPr>
              <w:pStyle w:val="TableText"/>
            </w:pPr>
          </w:p>
        </w:tc>
        <w:tc>
          <w:tcPr>
            <w:tcW w:w="2088" w:type="dxa"/>
          </w:tcPr>
          <w:p w14:paraId="2F2AAD5D" w14:textId="77777777" w:rsidR="001A5A46" w:rsidRPr="009B35EA" w:rsidRDefault="001A5A46" w:rsidP="005129E1">
            <w:pPr>
              <w:pStyle w:val="TableText"/>
            </w:pPr>
          </w:p>
        </w:tc>
      </w:tr>
      <w:tr w:rsidR="001A5A46" w:rsidRPr="009B35EA" w14:paraId="2C6D59BD" w14:textId="77777777">
        <w:tc>
          <w:tcPr>
            <w:tcW w:w="2088" w:type="dxa"/>
          </w:tcPr>
          <w:p w14:paraId="0744B017" w14:textId="77777777" w:rsidR="001A5A46" w:rsidRPr="009B35EA" w:rsidRDefault="001A5A46" w:rsidP="005129E1">
            <w:pPr>
              <w:pStyle w:val="TableText"/>
            </w:pPr>
          </w:p>
        </w:tc>
        <w:tc>
          <w:tcPr>
            <w:tcW w:w="2088" w:type="dxa"/>
          </w:tcPr>
          <w:p w14:paraId="71241A40" w14:textId="77777777" w:rsidR="001A5A46" w:rsidRPr="009B35EA" w:rsidRDefault="001A5A46" w:rsidP="005129E1">
            <w:pPr>
              <w:pStyle w:val="TableText"/>
            </w:pPr>
          </w:p>
        </w:tc>
        <w:tc>
          <w:tcPr>
            <w:tcW w:w="2088" w:type="dxa"/>
          </w:tcPr>
          <w:p w14:paraId="110FF66C" w14:textId="77777777" w:rsidR="001A5A46" w:rsidRPr="009B35EA" w:rsidRDefault="001A5A46" w:rsidP="005129E1">
            <w:pPr>
              <w:pStyle w:val="TableText"/>
            </w:pPr>
          </w:p>
        </w:tc>
      </w:tr>
      <w:tr w:rsidR="001A5A46" w:rsidRPr="009B35EA" w14:paraId="022B3A67" w14:textId="77777777">
        <w:tc>
          <w:tcPr>
            <w:tcW w:w="2088" w:type="dxa"/>
          </w:tcPr>
          <w:p w14:paraId="7A186C97" w14:textId="77777777" w:rsidR="001A5A46" w:rsidRPr="009B35EA" w:rsidRDefault="001A5A46" w:rsidP="005129E1">
            <w:pPr>
              <w:pStyle w:val="TableText"/>
            </w:pPr>
          </w:p>
        </w:tc>
        <w:tc>
          <w:tcPr>
            <w:tcW w:w="2088" w:type="dxa"/>
          </w:tcPr>
          <w:p w14:paraId="160AE142" w14:textId="77777777" w:rsidR="001A5A46" w:rsidRPr="009B35EA" w:rsidRDefault="001A5A46" w:rsidP="005129E1">
            <w:pPr>
              <w:pStyle w:val="TableText"/>
            </w:pPr>
          </w:p>
        </w:tc>
        <w:tc>
          <w:tcPr>
            <w:tcW w:w="2088" w:type="dxa"/>
          </w:tcPr>
          <w:p w14:paraId="3A7052F4" w14:textId="77777777" w:rsidR="001A5A46" w:rsidRPr="009B35EA" w:rsidRDefault="001A5A46" w:rsidP="005129E1">
            <w:pPr>
              <w:pStyle w:val="TableText"/>
            </w:pPr>
          </w:p>
        </w:tc>
      </w:tr>
      <w:tr w:rsidR="001A5A46" w:rsidRPr="009B35EA" w14:paraId="2BAC9291" w14:textId="77777777">
        <w:tc>
          <w:tcPr>
            <w:tcW w:w="2088" w:type="dxa"/>
          </w:tcPr>
          <w:p w14:paraId="4F6C3A23" w14:textId="77777777" w:rsidR="001A5A46" w:rsidRPr="009B35EA" w:rsidRDefault="001A5A46" w:rsidP="005129E1">
            <w:pPr>
              <w:pStyle w:val="TableText"/>
            </w:pPr>
          </w:p>
        </w:tc>
        <w:tc>
          <w:tcPr>
            <w:tcW w:w="2088" w:type="dxa"/>
          </w:tcPr>
          <w:p w14:paraId="05FF3DD1" w14:textId="77777777" w:rsidR="001A5A46" w:rsidRPr="009B35EA" w:rsidRDefault="001A5A46" w:rsidP="005129E1">
            <w:pPr>
              <w:pStyle w:val="TableText"/>
            </w:pPr>
          </w:p>
        </w:tc>
        <w:tc>
          <w:tcPr>
            <w:tcW w:w="2088" w:type="dxa"/>
          </w:tcPr>
          <w:p w14:paraId="2BF33107" w14:textId="77777777" w:rsidR="001A5A46" w:rsidRPr="009B35EA" w:rsidRDefault="001A5A46" w:rsidP="005129E1">
            <w:pPr>
              <w:pStyle w:val="TableText"/>
            </w:pPr>
          </w:p>
        </w:tc>
      </w:tr>
    </w:tbl>
    <w:p w14:paraId="348192B6" w14:textId="77777777" w:rsidR="002E3C00" w:rsidRDefault="007F0132" w:rsidP="005129E1">
      <w:pPr>
        <w:pStyle w:val="Heading3"/>
      </w:pPr>
      <w:r>
        <w:br w:type="page"/>
      </w:r>
      <w:bookmarkStart w:id="815" w:name="_Toc203766006"/>
      <w:r w:rsidR="002E3C00" w:rsidRPr="008F671D">
        <w:lastRenderedPageBreak/>
        <w:t xml:space="preserve">Transfusion </w:t>
      </w:r>
      <w:bookmarkEnd w:id="811"/>
      <w:r w:rsidR="002E3C00" w:rsidRPr="008F671D">
        <w:t>Effectiveness</w:t>
      </w:r>
      <w:bookmarkEnd w:id="812"/>
      <w:bookmarkEnd w:id="814"/>
      <w:bookmarkEnd w:id="815"/>
      <w:r w:rsidR="00992E88">
        <w:fldChar w:fldCharType="begin"/>
      </w:r>
      <w:r w:rsidR="00992E88">
        <w:instrText xml:space="preserve"> XE "</w:instrText>
      </w:r>
      <w:r w:rsidR="00992E88" w:rsidRPr="00992E88">
        <w:instrText xml:space="preserve"> </w:instrText>
      </w:r>
      <w:r w:rsidR="00992E88" w:rsidRPr="00FC6AF9">
        <w:instrText>System Validation:</w:instrText>
      </w:r>
      <w:r w:rsidR="00992E88" w:rsidRPr="00B0596E">
        <w:instrText>Transfusion Effectiveness</w:instrText>
      </w:r>
      <w:r w:rsidR="00992E88">
        <w:instrText xml:space="preserve">" </w:instrText>
      </w:r>
      <w:r w:rsidR="00992E88">
        <w:fldChar w:fldCharType="end"/>
      </w:r>
    </w:p>
    <w:p w14:paraId="69E613B3" w14:textId="355299BB" w:rsidR="002E3C00" w:rsidRPr="00BA1922" w:rsidRDefault="002E3C00" w:rsidP="002E3C00">
      <w:pPr>
        <w:pStyle w:val="BodyText"/>
      </w:pPr>
      <w:r>
        <w:t xml:space="preserve">The user defines Laboratory tests to monitor the effectiveness of transfusions. </w:t>
      </w:r>
      <w:r w:rsidR="008D2779">
        <w:t xml:space="preserve">For more information, see </w:t>
      </w:r>
      <w:r w:rsidR="00EE455E">
        <w:t xml:space="preserve">Appendix </w:t>
      </w:r>
      <w:r w:rsidR="00EE455E">
        <w:rPr>
          <w:noProof/>
        </w:rPr>
        <w:t>G</w:t>
      </w:r>
      <w:r w:rsidR="00EE455E">
        <w:t>: Work Process Flowcharts</w:t>
      </w:r>
      <w:r w:rsidR="008D2779">
        <w:t>.</w:t>
      </w:r>
    </w:p>
    <w:p w14:paraId="3A8EB416" w14:textId="77777777" w:rsidR="002E3C00" w:rsidRDefault="002E3C00" w:rsidP="002E3C00">
      <w:pPr>
        <w:pStyle w:val="Heading4"/>
        <w:rPr>
          <w:b w:val="0"/>
        </w:rPr>
      </w:pPr>
      <w:r>
        <w:t>User Roles with Access to This Option</w:t>
      </w:r>
      <w:r>
        <w:rPr>
          <w:b w:val="0"/>
        </w:rPr>
        <w:t xml:space="preserve"> </w:t>
      </w:r>
    </w:p>
    <w:p w14:paraId="0F9F85B7" w14:textId="77777777" w:rsidR="002E3C00" w:rsidRDefault="002E3C00" w:rsidP="002E3C00">
      <w:pPr>
        <w:pStyle w:val="Roles"/>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Enhanced Supervisor</w:t>
      </w:r>
      <w:r w:rsidRPr="00FD030D">
        <w:t xml:space="preserve"> </w:t>
      </w:r>
    </w:p>
    <w:p w14:paraId="75D96929" w14:textId="77777777" w:rsidR="002E3C00" w:rsidRDefault="00B74754" w:rsidP="002E3C00">
      <w:pPr>
        <w:pStyle w:val="Heading4"/>
      </w:pPr>
      <w:r>
        <w:t>Preparation for Testing</w:t>
      </w:r>
    </w:p>
    <w:p w14:paraId="30A44620" w14:textId="77777777" w:rsidR="005243DA" w:rsidRPr="00600497" w:rsidRDefault="005243DA" w:rsidP="00925CAD">
      <w:pPr>
        <w:pStyle w:val="ListNumber"/>
        <w:numPr>
          <w:ilvl w:val="0"/>
          <w:numId w:val="26"/>
        </w:numPr>
        <w:tabs>
          <w:tab w:val="clear" w:pos="720"/>
          <w:tab w:val="num" w:pos="360"/>
        </w:tabs>
        <w:ind w:left="360"/>
      </w:pPr>
      <w:bookmarkStart w:id="816" w:name="_Toc85895793"/>
      <w:bookmarkStart w:id="817" w:name="_Toc113264251"/>
      <w:r>
        <w:t>Use the sa</w:t>
      </w:r>
      <w:r w:rsidRPr="00600497">
        <w:t>mple worksheet to record information.</w:t>
      </w:r>
    </w:p>
    <w:p w14:paraId="292319C2" w14:textId="77777777" w:rsidR="002E3C00" w:rsidRPr="00600497" w:rsidRDefault="002E3C00" w:rsidP="00925CAD">
      <w:pPr>
        <w:pStyle w:val="ListNumber"/>
        <w:numPr>
          <w:ilvl w:val="0"/>
          <w:numId w:val="26"/>
        </w:numPr>
        <w:tabs>
          <w:tab w:val="clear" w:pos="720"/>
          <w:tab w:val="num" w:pos="360"/>
        </w:tabs>
        <w:ind w:left="360"/>
      </w:pPr>
      <w:r w:rsidRPr="00600497">
        <w:t>Capture and save a screen shot of all entries.</w:t>
      </w:r>
    </w:p>
    <w:p w14:paraId="42A0030A" w14:textId="77777777" w:rsidR="00232E43" w:rsidRPr="00FB7F8D" w:rsidRDefault="00232E43" w:rsidP="00925CAD">
      <w:pPr>
        <w:pStyle w:val="ListNumber"/>
        <w:numPr>
          <w:ilvl w:val="0"/>
          <w:numId w:val="26"/>
        </w:numPr>
        <w:tabs>
          <w:tab w:val="clear" w:pos="720"/>
          <w:tab w:val="num" w:pos="360"/>
        </w:tabs>
        <w:ind w:left="360"/>
      </w:pPr>
      <w:r w:rsidRPr="00600497">
        <w:t>Print, si</w:t>
      </w:r>
      <w:r>
        <w:t>gn, date,</w:t>
      </w:r>
      <w:r w:rsidRPr="00FB7F8D">
        <w:t xml:space="preserve"> and save an </w:t>
      </w:r>
      <w:r>
        <w:t>A</w:t>
      </w:r>
      <w:r w:rsidRPr="00FB7F8D">
        <w:t xml:space="preserve">udit </w:t>
      </w:r>
      <w:r>
        <w:t>Trail R</w:t>
      </w:r>
      <w:r w:rsidRPr="00FB7F8D">
        <w:t>eport for your validation record.</w:t>
      </w:r>
    </w:p>
    <w:p w14:paraId="0FA16F20" w14:textId="25DA196D" w:rsidR="00061FCF" w:rsidRDefault="00061FCF" w:rsidP="00061FCF">
      <w:pPr>
        <w:pStyle w:val="Caption"/>
      </w:pPr>
      <w:bookmarkStart w:id="818" w:name="_Toc114462106"/>
      <w:r>
        <w:t xml:space="preserve">Table </w:t>
      </w:r>
      <w:r w:rsidR="004E20BD">
        <w:rPr>
          <w:noProof/>
        </w:rPr>
        <w:fldChar w:fldCharType="begin"/>
      </w:r>
      <w:r w:rsidR="004E20BD">
        <w:rPr>
          <w:noProof/>
        </w:rPr>
        <w:instrText xml:space="preserve"> SEQ Table \* ARABIC </w:instrText>
      </w:r>
      <w:r w:rsidR="004E20BD">
        <w:rPr>
          <w:noProof/>
        </w:rPr>
        <w:fldChar w:fldCharType="separate"/>
      </w:r>
      <w:r w:rsidR="007D1829">
        <w:rPr>
          <w:noProof/>
        </w:rPr>
        <w:t>34</w:t>
      </w:r>
      <w:r w:rsidR="004E20BD">
        <w:rPr>
          <w:noProof/>
        </w:rPr>
        <w:fldChar w:fldCharType="end"/>
      </w:r>
      <w:r>
        <w:t>: Transfusion Effectiveness Worksheet</w:t>
      </w:r>
      <w:r w:rsidR="00AD60CF">
        <w:fldChar w:fldCharType="begin"/>
      </w:r>
      <w:r w:rsidR="00292A7B">
        <w:instrText xml:space="preserve"> XE "Tables:</w:instrText>
      </w:r>
      <w:r w:rsidR="00AD60CF" w:rsidRPr="0046419F">
        <w:instrText>Transfusion Effectiveness Worksheet</w:instrText>
      </w:r>
      <w:r w:rsidR="00AD60CF">
        <w:instrText xml:space="preserve">" </w:instrText>
      </w:r>
      <w:r w:rsidR="00AD60CF">
        <w:fldChar w:fldCharType="end"/>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20"/>
        <w:gridCol w:w="3120"/>
        <w:gridCol w:w="3120"/>
      </w:tblGrid>
      <w:tr w:rsidR="003D7F63" w:rsidRPr="007121BA" w14:paraId="03B2ABD8" w14:textId="77777777">
        <w:trPr>
          <w:tblHeader/>
        </w:trPr>
        <w:tc>
          <w:tcPr>
            <w:tcW w:w="2088" w:type="dxa"/>
            <w:shd w:val="clear" w:color="auto" w:fill="B3B3B3"/>
            <w:vAlign w:val="bottom"/>
          </w:tcPr>
          <w:p w14:paraId="3F30E5F5" w14:textId="77777777" w:rsidR="003D7F63" w:rsidRPr="007121BA" w:rsidRDefault="003D7F63" w:rsidP="005129E1">
            <w:pPr>
              <w:pStyle w:val="TableText"/>
              <w:rPr>
                <w:b/>
              </w:rPr>
            </w:pPr>
            <w:r>
              <w:rPr>
                <w:b/>
              </w:rPr>
              <w:t>Laboratory Test Name</w:t>
            </w:r>
          </w:p>
        </w:tc>
        <w:tc>
          <w:tcPr>
            <w:tcW w:w="2088" w:type="dxa"/>
            <w:shd w:val="clear" w:color="auto" w:fill="B3B3B3"/>
            <w:vAlign w:val="bottom"/>
          </w:tcPr>
          <w:p w14:paraId="51F2BED8" w14:textId="77777777" w:rsidR="003D7F63" w:rsidRPr="007121BA" w:rsidRDefault="003D7F63" w:rsidP="005129E1">
            <w:pPr>
              <w:pStyle w:val="TableText"/>
              <w:rPr>
                <w:b/>
              </w:rPr>
            </w:pPr>
            <w:r>
              <w:rPr>
                <w:b/>
              </w:rPr>
              <w:t>Specimen Type</w:t>
            </w:r>
          </w:p>
        </w:tc>
        <w:tc>
          <w:tcPr>
            <w:tcW w:w="2088" w:type="dxa"/>
            <w:shd w:val="clear" w:color="auto" w:fill="B3B3B3"/>
            <w:vAlign w:val="bottom"/>
          </w:tcPr>
          <w:p w14:paraId="68905250" w14:textId="77777777" w:rsidR="003D7F63" w:rsidRPr="007121BA" w:rsidRDefault="003D7F63" w:rsidP="005129E1">
            <w:pPr>
              <w:pStyle w:val="TableText"/>
              <w:rPr>
                <w:b/>
              </w:rPr>
            </w:pPr>
            <w:r>
              <w:rPr>
                <w:b/>
              </w:rPr>
              <w:t>Threshold Result</w:t>
            </w:r>
          </w:p>
        </w:tc>
      </w:tr>
      <w:tr w:rsidR="003D7F63" w:rsidRPr="009B35EA" w14:paraId="04045009" w14:textId="77777777">
        <w:tc>
          <w:tcPr>
            <w:tcW w:w="2088" w:type="dxa"/>
          </w:tcPr>
          <w:p w14:paraId="78773CB5" w14:textId="77777777" w:rsidR="003D7F63" w:rsidRPr="009B35EA" w:rsidRDefault="003D7F63" w:rsidP="005129E1">
            <w:pPr>
              <w:pStyle w:val="TableText"/>
            </w:pPr>
          </w:p>
        </w:tc>
        <w:tc>
          <w:tcPr>
            <w:tcW w:w="2088" w:type="dxa"/>
          </w:tcPr>
          <w:p w14:paraId="1160D149" w14:textId="77777777" w:rsidR="003D7F63" w:rsidRPr="009B35EA" w:rsidRDefault="003D7F63" w:rsidP="005129E1">
            <w:pPr>
              <w:pStyle w:val="TableText"/>
            </w:pPr>
          </w:p>
        </w:tc>
        <w:tc>
          <w:tcPr>
            <w:tcW w:w="2088" w:type="dxa"/>
          </w:tcPr>
          <w:p w14:paraId="4A4995CA" w14:textId="77777777" w:rsidR="003D7F63" w:rsidRPr="009B35EA" w:rsidRDefault="003D7F63" w:rsidP="005129E1">
            <w:pPr>
              <w:pStyle w:val="TableText"/>
            </w:pPr>
          </w:p>
        </w:tc>
      </w:tr>
      <w:tr w:rsidR="003D7F63" w:rsidRPr="009B35EA" w14:paraId="0FD52F18" w14:textId="77777777">
        <w:tc>
          <w:tcPr>
            <w:tcW w:w="2088" w:type="dxa"/>
          </w:tcPr>
          <w:p w14:paraId="347F2118" w14:textId="77777777" w:rsidR="003D7F63" w:rsidRPr="009B35EA" w:rsidRDefault="003D7F63" w:rsidP="005129E1">
            <w:pPr>
              <w:pStyle w:val="TableText"/>
            </w:pPr>
          </w:p>
        </w:tc>
        <w:tc>
          <w:tcPr>
            <w:tcW w:w="2088" w:type="dxa"/>
          </w:tcPr>
          <w:p w14:paraId="0C255590" w14:textId="77777777" w:rsidR="003D7F63" w:rsidRPr="009B35EA" w:rsidRDefault="003D7F63" w:rsidP="005129E1">
            <w:pPr>
              <w:pStyle w:val="TableText"/>
            </w:pPr>
          </w:p>
        </w:tc>
        <w:tc>
          <w:tcPr>
            <w:tcW w:w="2088" w:type="dxa"/>
          </w:tcPr>
          <w:p w14:paraId="0F501F80" w14:textId="77777777" w:rsidR="003D7F63" w:rsidRPr="009B35EA" w:rsidRDefault="003D7F63" w:rsidP="005129E1">
            <w:pPr>
              <w:pStyle w:val="TableText"/>
            </w:pPr>
          </w:p>
        </w:tc>
      </w:tr>
      <w:tr w:rsidR="003D7F63" w:rsidRPr="009B35EA" w14:paraId="5A49B314" w14:textId="77777777">
        <w:tc>
          <w:tcPr>
            <w:tcW w:w="2088" w:type="dxa"/>
          </w:tcPr>
          <w:p w14:paraId="007C6B0A" w14:textId="77777777" w:rsidR="003D7F63" w:rsidRPr="009B35EA" w:rsidRDefault="003D7F63" w:rsidP="005129E1">
            <w:pPr>
              <w:pStyle w:val="TableText"/>
            </w:pPr>
          </w:p>
        </w:tc>
        <w:tc>
          <w:tcPr>
            <w:tcW w:w="2088" w:type="dxa"/>
          </w:tcPr>
          <w:p w14:paraId="4022FE67" w14:textId="77777777" w:rsidR="003D7F63" w:rsidRPr="009B35EA" w:rsidRDefault="003D7F63" w:rsidP="005129E1">
            <w:pPr>
              <w:pStyle w:val="TableText"/>
            </w:pPr>
          </w:p>
        </w:tc>
        <w:tc>
          <w:tcPr>
            <w:tcW w:w="2088" w:type="dxa"/>
          </w:tcPr>
          <w:p w14:paraId="19868FDC" w14:textId="77777777" w:rsidR="003D7F63" w:rsidRPr="009B35EA" w:rsidRDefault="003D7F63" w:rsidP="005129E1">
            <w:pPr>
              <w:pStyle w:val="TableText"/>
            </w:pPr>
          </w:p>
        </w:tc>
      </w:tr>
      <w:tr w:rsidR="003D7F63" w:rsidRPr="009B35EA" w14:paraId="2A51DBD1" w14:textId="77777777">
        <w:tc>
          <w:tcPr>
            <w:tcW w:w="2088" w:type="dxa"/>
          </w:tcPr>
          <w:p w14:paraId="5867DD08" w14:textId="77777777" w:rsidR="003D7F63" w:rsidRPr="009B35EA" w:rsidRDefault="003D7F63" w:rsidP="005129E1">
            <w:pPr>
              <w:pStyle w:val="TableText"/>
            </w:pPr>
          </w:p>
        </w:tc>
        <w:tc>
          <w:tcPr>
            <w:tcW w:w="2088" w:type="dxa"/>
          </w:tcPr>
          <w:p w14:paraId="239762C9" w14:textId="77777777" w:rsidR="003D7F63" w:rsidRPr="009B35EA" w:rsidRDefault="003D7F63" w:rsidP="005129E1">
            <w:pPr>
              <w:pStyle w:val="TableText"/>
            </w:pPr>
          </w:p>
        </w:tc>
        <w:tc>
          <w:tcPr>
            <w:tcW w:w="2088" w:type="dxa"/>
          </w:tcPr>
          <w:p w14:paraId="01B57B8F" w14:textId="77777777" w:rsidR="003D7F63" w:rsidRPr="009B35EA" w:rsidRDefault="003D7F63" w:rsidP="005129E1">
            <w:pPr>
              <w:pStyle w:val="TableText"/>
            </w:pPr>
          </w:p>
        </w:tc>
      </w:tr>
      <w:tr w:rsidR="003D7F63" w:rsidRPr="009B35EA" w14:paraId="420C2F35" w14:textId="77777777">
        <w:tc>
          <w:tcPr>
            <w:tcW w:w="2088" w:type="dxa"/>
          </w:tcPr>
          <w:p w14:paraId="216AA39E" w14:textId="77777777" w:rsidR="003D7F63" w:rsidRPr="009B35EA" w:rsidRDefault="003D7F63" w:rsidP="005129E1">
            <w:pPr>
              <w:pStyle w:val="TableText"/>
            </w:pPr>
          </w:p>
        </w:tc>
        <w:tc>
          <w:tcPr>
            <w:tcW w:w="2088" w:type="dxa"/>
          </w:tcPr>
          <w:p w14:paraId="1313A1D8" w14:textId="77777777" w:rsidR="003D7F63" w:rsidRPr="009B35EA" w:rsidRDefault="003D7F63" w:rsidP="005129E1">
            <w:pPr>
              <w:pStyle w:val="TableText"/>
            </w:pPr>
          </w:p>
        </w:tc>
        <w:tc>
          <w:tcPr>
            <w:tcW w:w="2088" w:type="dxa"/>
          </w:tcPr>
          <w:p w14:paraId="73348CD8" w14:textId="77777777" w:rsidR="003D7F63" w:rsidRPr="009B35EA" w:rsidRDefault="003D7F63" w:rsidP="005129E1">
            <w:pPr>
              <w:pStyle w:val="TableText"/>
            </w:pPr>
          </w:p>
        </w:tc>
      </w:tr>
      <w:tr w:rsidR="003D7F63" w:rsidRPr="009B35EA" w14:paraId="53E35225" w14:textId="77777777">
        <w:tc>
          <w:tcPr>
            <w:tcW w:w="2088" w:type="dxa"/>
          </w:tcPr>
          <w:p w14:paraId="687BDE17" w14:textId="77777777" w:rsidR="003D7F63" w:rsidRPr="009B35EA" w:rsidRDefault="003D7F63" w:rsidP="005129E1">
            <w:pPr>
              <w:pStyle w:val="TableText"/>
            </w:pPr>
          </w:p>
        </w:tc>
        <w:tc>
          <w:tcPr>
            <w:tcW w:w="2088" w:type="dxa"/>
          </w:tcPr>
          <w:p w14:paraId="73041063" w14:textId="77777777" w:rsidR="003D7F63" w:rsidRPr="009B35EA" w:rsidRDefault="003D7F63" w:rsidP="005129E1">
            <w:pPr>
              <w:pStyle w:val="TableText"/>
            </w:pPr>
          </w:p>
        </w:tc>
        <w:tc>
          <w:tcPr>
            <w:tcW w:w="2088" w:type="dxa"/>
          </w:tcPr>
          <w:p w14:paraId="7DF5A5B7" w14:textId="77777777" w:rsidR="003D7F63" w:rsidRPr="009B35EA" w:rsidRDefault="003D7F63" w:rsidP="005129E1">
            <w:pPr>
              <w:pStyle w:val="TableText"/>
            </w:pPr>
          </w:p>
        </w:tc>
      </w:tr>
    </w:tbl>
    <w:p w14:paraId="09BB7AFD" w14:textId="77777777" w:rsidR="002E3C00" w:rsidRDefault="003E754E" w:rsidP="005129E1">
      <w:pPr>
        <w:pStyle w:val="Heading3"/>
        <w:rPr>
          <w:snapToGrid w:val="0"/>
        </w:rPr>
      </w:pPr>
      <w:r>
        <w:rPr>
          <w:snapToGrid w:val="0"/>
        </w:rPr>
        <w:br w:type="page"/>
      </w:r>
      <w:bookmarkStart w:id="819" w:name="_Toc203766007"/>
      <w:r w:rsidR="002E3C00">
        <w:rPr>
          <w:snapToGrid w:val="0"/>
        </w:rPr>
        <w:lastRenderedPageBreak/>
        <w:t>Workload Codes</w:t>
      </w:r>
      <w:bookmarkEnd w:id="816"/>
      <w:bookmarkEnd w:id="817"/>
      <w:bookmarkEnd w:id="818"/>
      <w:bookmarkEnd w:id="819"/>
      <w:r w:rsidR="00992E88">
        <w:rPr>
          <w:snapToGrid w:val="0"/>
        </w:rPr>
        <w:fldChar w:fldCharType="begin"/>
      </w:r>
      <w:r w:rsidR="00992E88">
        <w:instrText xml:space="preserve"> XE "</w:instrText>
      </w:r>
      <w:r w:rsidR="00992E88" w:rsidRPr="00992E88">
        <w:instrText xml:space="preserve"> </w:instrText>
      </w:r>
      <w:r w:rsidR="00992E88" w:rsidRPr="00FC6AF9">
        <w:instrText>System Validation:</w:instrText>
      </w:r>
      <w:r w:rsidR="00992E88" w:rsidRPr="00B0596E">
        <w:rPr>
          <w:snapToGrid w:val="0"/>
        </w:rPr>
        <w:instrText>Workload Codes</w:instrText>
      </w:r>
      <w:r w:rsidR="00992E88">
        <w:instrText xml:space="preserve">" </w:instrText>
      </w:r>
      <w:r w:rsidR="00992E88">
        <w:rPr>
          <w:snapToGrid w:val="0"/>
        </w:rPr>
        <w:fldChar w:fldCharType="end"/>
      </w:r>
    </w:p>
    <w:p w14:paraId="7869F2AE" w14:textId="1DBA8653" w:rsidR="002E3C00" w:rsidRDefault="002E3C00" w:rsidP="002E3C00">
      <w:pPr>
        <w:pStyle w:val="BodyText"/>
      </w:pPr>
      <w:r>
        <w:t xml:space="preserve">The user assigns workload Laboratory Management Index Program/National Laboratory Test (LMIP/NLT) tests to processes performed through VBECS. VBECS test names are associated with </w:t>
      </w:r>
      <w:r w:rsidRPr="00CA0045">
        <w:rPr>
          <w:bCs/>
        </w:rPr>
        <w:t>VistA</w:t>
      </w:r>
      <w:r>
        <w:t xml:space="preserve"> workload codes, </w:t>
      </w:r>
      <w:r w:rsidR="003E1A15">
        <w:t>used</w:t>
      </w:r>
      <w:r>
        <w:t xml:space="preserve"> when compiling and storing data to provide workload-related reports to </w:t>
      </w:r>
      <w:r w:rsidRPr="00CA0045">
        <w:rPr>
          <w:bCs/>
        </w:rPr>
        <w:t>VistA</w:t>
      </w:r>
      <w:r>
        <w:t>.</w:t>
      </w:r>
      <w:r w:rsidR="008D2779">
        <w:t xml:space="preserve"> For more information, see </w:t>
      </w:r>
      <w:r w:rsidR="00EE455E">
        <w:t xml:space="preserve">Appendix </w:t>
      </w:r>
      <w:r w:rsidR="00EE455E">
        <w:rPr>
          <w:noProof/>
        </w:rPr>
        <w:t>G</w:t>
      </w:r>
      <w:r w:rsidR="00EE455E">
        <w:t>: Work Process Flowcharts</w:t>
      </w:r>
      <w:r w:rsidR="008D2779">
        <w:t>.</w:t>
      </w:r>
    </w:p>
    <w:p w14:paraId="138FF4F3" w14:textId="77777777" w:rsidR="002E3C00" w:rsidRDefault="002E3C00" w:rsidP="002E3C00">
      <w:pPr>
        <w:pStyle w:val="Heading4"/>
        <w:rPr>
          <w:b w:val="0"/>
        </w:rPr>
      </w:pPr>
      <w:r>
        <w:t>User Roles with Access to This Option</w:t>
      </w:r>
      <w:r>
        <w:rPr>
          <w:b w:val="0"/>
        </w:rPr>
        <w:t xml:space="preserve"> </w:t>
      </w:r>
    </w:p>
    <w:p w14:paraId="14B4CBF2" w14:textId="77777777" w:rsidR="002E3C00" w:rsidRDefault="002E3C00" w:rsidP="002E3C00">
      <w:pPr>
        <w:pStyle w:val="Roles"/>
        <w:rPr>
          <w:snapToGrid w:val="0"/>
        </w:rPr>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Administrator/Supervisor</w:t>
      </w:r>
    </w:p>
    <w:p w14:paraId="7700C932" w14:textId="77777777" w:rsidR="002E3C00" w:rsidRDefault="00B74754" w:rsidP="002E3C00">
      <w:pPr>
        <w:pStyle w:val="Heading4"/>
      </w:pPr>
      <w:r>
        <w:t>Preparation for Testing</w:t>
      </w:r>
    </w:p>
    <w:p w14:paraId="74336B89" w14:textId="77777777" w:rsidR="00232E43" w:rsidRPr="00FB7F8D" w:rsidRDefault="00232E43" w:rsidP="008A1C39">
      <w:pPr>
        <w:pStyle w:val="BodyText"/>
      </w:pPr>
      <w:r w:rsidRPr="00FB7F8D">
        <w:t>Print</w:t>
      </w:r>
      <w:r>
        <w:t>, sign, date,</w:t>
      </w:r>
      <w:r w:rsidRPr="00FB7F8D">
        <w:t xml:space="preserve"> and save an </w:t>
      </w:r>
      <w:r>
        <w:t>A</w:t>
      </w:r>
      <w:r w:rsidRPr="00FB7F8D">
        <w:t xml:space="preserve">udit </w:t>
      </w:r>
      <w:r>
        <w:t>Trail R</w:t>
      </w:r>
      <w:r w:rsidRPr="00FB7F8D">
        <w:t>eport for your validation record.</w:t>
      </w:r>
    </w:p>
    <w:p w14:paraId="73B16805" w14:textId="77777777" w:rsidR="002E3C00" w:rsidRDefault="002E3C00" w:rsidP="002E3C00">
      <w:pPr>
        <w:pStyle w:val="Heading3"/>
      </w:pPr>
      <w:bookmarkStart w:id="820" w:name="_Toc85895794"/>
      <w:bookmarkStart w:id="821" w:name="_Toc113264252"/>
      <w:bookmarkStart w:id="822" w:name="_Toc114462107"/>
      <w:bookmarkStart w:id="823" w:name="_Toc203766008"/>
      <w:r>
        <w:rPr>
          <w:snapToGrid w:val="0"/>
        </w:rPr>
        <w:t xml:space="preserve">Canned </w:t>
      </w:r>
      <w:r>
        <w:t>Comments</w:t>
      </w:r>
      <w:bookmarkEnd w:id="820"/>
      <w:bookmarkEnd w:id="821"/>
      <w:bookmarkEnd w:id="822"/>
      <w:bookmarkEnd w:id="823"/>
      <w:r w:rsidR="00992E88">
        <w:fldChar w:fldCharType="begin"/>
      </w:r>
      <w:r w:rsidR="00992E88">
        <w:instrText xml:space="preserve"> XE "</w:instrText>
      </w:r>
      <w:r w:rsidR="00992E88" w:rsidRPr="00992E88">
        <w:instrText xml:space="preserve"> </w:instrText>
      </w:r>
      <w:r w:rsidR="00992E88" w:rsidRPr="00FC6AF9">
        <w:instrText>System Validation:</w:instrText>
      </w:r>
      <w:r w:rsidR="00992E88" w:rsidRPr="00B0596E">
        <w:rPr>
          <w:snapToGrid w:val="0"/>
        </w:rPr>
        <w:instrText xml:space="preserve">Canned </w:instrText>
      </w:r>
      <w:r w:rsidR="00992E88" w:rsidRPr="00B0596E">
        <w:instrText>Comments</w:instrText>
      </w:r>
      <w:r w:rsidR="00992E88">
        <w:instrText xml:space="preserve">" </w:instrText>
      </w:r>
      <w:r w:rsidR="00992E88">
        <w:fldChar w:fldCharType="end"/>
      </w:r>
    </w:p>
    <w:p w14:paraId="77F06E64" w14:textId="35D7DADF" w:rsidR="007B6183" w:rsidRPr="007B6183" w:rsidRDefault="007B6183" w:rsidP="007B6183">
      <w:pPr>
        <w:pStyle w:val="BodyText"/>
      </w:pPr>
      <w:r>
        <w:t>The user defines canned comments</w:t>
      </w:r>
      <w:r w:rsidR="008A1C39">
        <w:t>,</w:t>
      </w:r>
      <w:r>
        <w:t xml:space="preserve"> </w:t>
      </w:r>
      <w:r w:rsidR="008A1C39">
        <w:t xml:space="preserve">by category, </w:t>
      </w:r>
      <w:r>
        <w:t>for a division.</w:t>
      </w:r>
      <w:r w:rsidR="00250936">
        <w:t xml:space="preserve"> For more information, see </w:t>
      </w:r>
      <w:r w:rsidR="00EE455E">
        <w:t xml:space="preserve">Appendix </w:t>
      </w:r>
      <w:r w:rsidR="00EE455E">
        <w:rPr>
          <w:noProof/>
        </w:rPr>
        <w:t>G</w:t>
      </w:r>
      <w:r w:rsidR="00EE455E">
        <w:t>: Work Process Flowcharts</w:t>
      </w:r>
      <w:r w:rsidR="00250936">
        <w:t>.</w:t>
      </w:r>
    </w:p>
    <w:p w14:paraId="5DC7E5CB" w14:textId="77777777" w:rsidR="002E3C00" w:rsidRDefault="002E3C00" w:rsidP="002E3C00">
      <w:pPr>
        <w:pStyle w:val="Heading4"/>
        <w:rPr>
          <w:b w:val="0"/>
        </w:rPr>
      </w:pPr>
      <w:r>
        <w:t>User Roles with Access to This Option</w:t>
      </w:r>
      <w:r>
        <w:rPr>
          <w:b w:val="0"/>
        </w:rPr>
        <w:t xml:space="preserve"> </w:t>
      </w:r>
    </w:p>
    <w:p w14:paraId="58C77323" w14:textId="77777777" w:rsidR="002E3C00" w:rsidRDefault="002E3C00" w:rsidP="002E3C00">
      <w:pPr>
        <w:pStyle w:val="Roles"/>
        <w:rPr>
          <w:snapToGrid w:val="0"/>
        </w:rPr>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Enhanced Supervisor</w:t>
      </w:r>
      <w:r>
        <w:rPr>
          <w:snapToGrid w:val="0"/>
        </w:rPr>
        <w:t xml:space="preserve"> </w:t>
      </w:r>
    </w:p>
    <w:p w14:paraId="7698F01C" w14:textId="77777777" w:rsidR="002E3C00" w:rsidRDefault="00B74754" w:rsidP="002E3C00">
      <w:pPr>
        <w:pStyle w:val="Heading4"/>
      </w:pPr>
      <w:r>
        <w:t>Preparation for Testing</w:t>
      </w:r>
    </w:p>
    <w:p w14:paraId="64405FAD" w14:textId="77777777" w:rsidR="00232E43" w:rsidRPr="00FB7F8D" w:rsidRDefault="00232E43" w:rsidP="008A1C39">
      <w:pPr>
        <w:pStyle w:val="BodyText"/>
      </w:pPr>
      <w:r w:rsidRPr="00FB7F8D">
        <w:t>Print</w:t>
      </w:r>
      <w:r>
        <w:t>, sign, date,</w:t>
      </w:r>
      <w:r w:rsidRPr="00FB7F8D">
        <w:t xml:space="preserve"> and save an </w:t>
      </w:r>
      <w:r>
        <w:t>A</w:t>
      </w:r>
      <w:r w:rsidRPr="00FB7F8D">
        <w:t xml:space="preserve">udit </w:t>
      </w:r>
      <w:r>
        <w:t>Trail R</w:t>
      </w:r>
      <w:r w:rsidRPr="00FB7F8D">
        <w:t>eport for your validation record.</w:t>
      </w:r>
    </w:p>
    <w:p w14:paraId="14A35348" w14:textId="77777777" w:rsidR="002E3C00" w:rsidRDefault="002E3C00" w:rsidP="002E3C00">
      <w:pPr>
        <w:pStyle w:val="Heading3"/>
      </w:pPr>
      <w:bookmarkStart w:id="824" w:name="_Toc85895795"/>
      <w:bookmarkStart w:id="825" w:name="_Toc113264253"/>
      <w:bookmarkStart w:id="826" w:name="_Toc114462108"/>
      <w:bookmarkStart w:id="827" w:name="_Toc203766009"/>
      <w:r>
        <w:t>MSBOS</w:t>
      </w:r>
      <w:bookmarkEnd w:id="824"/>
      <w:bookmarkEnd w:id="825"/>
      <w:bookmarkEnd w:id="826"/>
      <w:bookmarkEnd w:id="827"/>
      <w:r w:rsidR="00992E88">
        <w:fldChar w:fldCharType="begin"/>
      </w:r>
      <w:r w:rsidR="00992E88">
        <w:instrText xml:space="preserve"> XE "</w:instrText>
      </w:r>
      <w:r w:rsidR="00992E88" w:rsidRPr="00992E88">
        <w:instrText xml:space="preserve"> </w:instrText>
      </w:r>
      <w:r w:rsidR="00992E88" w:rsidRPr="00FC6AF9">
        <w:instrText>System Validation:</w:instrText>
      </w:r>
      <w:r w:rsidR="00992E88" w:rsidRPr="00B0596E">
        <w:instrText>MSBOS</w:instrText>
      </w:r>
      <w:r w:rsidR="00992E88">
        <w:instrText xml:space="preserve">" </w:instrText>
      </w:r>
      <w:r w:rsidR="00992E88">
        <w:fldChar w:fldCharType="end"/>
      </w:r>
    </w:p>
    <w:p w14:paraId="58BEA60E" w14:textId="53F9ECEE" w:rsidR="002E3C00" w:rsidRPr="006D697F" w:rsidRDefault="002E3C00" w:rsidP="00DD75E5">
      <w:pPr>
        <w:pStyle w:val="BodyText"/>
      </w:pPr>
      <w:r>
        <w:t>The user defines parameters for comparing blood component orders placed by a clinician with the Maximum Surgical Blood Ordering Schedule (MSBOS).</w:t>
      </w:r>
      <w:r w:rsidR="00250936">
        <w:t xml:space="preserve"> For more information, see </w:t>
      </w:r>
      <w:r w:rsidR="00EE455E">
        <w:t xml:space="preserve">Appendix </w:t>
      </w:r>
      <w:r w:rsidR="00EE455E">
        <w:rPr>
          <w:noProof/>
        </w:rPr>
        <w:t>G</w:t>
      </w:r>
      <w:r w:rsidR="00EE455E">
        <w:t>: Work Process Flowcharts</w:t>
      </w:r>
      <w:r w:rsidR="00250936">
        <w:t>.</w:t>
      </w:r>
    </w:p>
    <w:p w14:paraId="24F54A11" w14:textId="77777777" w:rsidR="002E3C00" w:rsidRDefault="002E3C00" w:rsidP="002E3C00">
      <w:pPr>
        <w:pStyle w:val="Heading4"/>
        <w:rPr>
          <w:b w:val="0"/>
        </w:rPr>
      </w:pPr>
      <w:r>
        <w:t>User Roles with Access to This Option</w:t>
      </w:r>
      <w:r>
        <w:rPr>
          <w:b w:val="0"/>
        </w:rPr>
        <w:t xml:space="preserve"> </w:t>
      </w:r>
    </w:p>
    <w:p w14:paraId="712745FD" w14:textId="77777777" w:rsidR="002E3C00" w:rsidRDefault="002E3C00" w:rsidP="002E3C00">
      <w:pPr>
        <w:pStyle w:val="Roles"/>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Enhanced Supervisor </w:t>
      </w:r>
    </w:p>
    <w:p w14:paraId="0AB4F69F" w14:textId="77777777" w:rsidR="002E3C00" w:rsidRDefault="00B74754" w:rsidP="002E3C00">
      <w:pPr>
        <w:pStyle w:val="Heading4"/>
      </w:pPr>
      <w:r>
        <w:t>Preparation for Testing</w:t>
      </w:r>
    </w:p>
    <w:p w14:paraId="5B65E10A" w14:textId="77777777" w:rsidR="00232E43" w:rsidRPr="00FB7F8D" w:rsidRDefault="00232E43" w:rsidP="008A1C39">
      <w:pPr>
        <w:pStyle w:val="BodyText"/>
      </w:pPr>
      <w:r w:rsidRPr="00FB7F8D">
        <w:t>Print</w:t>
      </w:r>
      <w:r>
        <w:t>, sign, date,</w:t>
      </w:r>
      <w:r w:rsidRPr="00FB7F8D">
        <w:t xml:space="preserve"> and save an </w:t>
      </w:r>
      <w:r>
        <w:t>A</w:t>
      </w:r>
      <w:r w:rsidRPr="00FB7F8D">
        <w:t xml:space="preserve">udit </w:t>
      </w:r>
      <w:r>
        <w:t>Trail R</w:t>
      </w:r>
      <w:r w:rsidRPr="00FB7F8D">
        <w:t>eport for your validation record.</w:t>
      </w:r>
    </w:p>
    <w:p w14:paraId="6E772E12" w14:textId="77777777" w:rsidR="002E3C00" w:rsidRDefault="002E3C00" w:rsidP="002E3C00">
      <w:pPr>
        <w:pStyle w:val="Heading3"/>
        <w:rPr>
          <w:snapToGrid w:val="0"/>
        </w:rPr>
      </w:pPr>
      <w:bookmarkStart w:id="828" w:name="_Toc85895796"/>
      <w:bookmarkStart w:id="829" w:name="_Toc113264254"/>
      <w:bookmarkStart w:id="830" w:name="_Toc114462109"/>
      <w:bookmarkStart w:id="831" w:name="_Toc203766010"/>
      <w:r>
        <w:rPr>
          <w:snapToGrid w:val="0"/>
        </w:rPr>
        <w:t>Edit Invoice Text</w:t>
      </w:r>
      <w:bookmarkEnd w:id="828"/>
      <w:bookmarkEnd w:id="829"/>
      <w:bookmarkEnd w:id="830"/>
      <w:bookmarkEnd w:id="831"/>
      <w:r w:rsidR="00992E88">
        <w:rPr>
          <w:snapToGrid w:val="0"/>
        </w:rPr>
        <w:fldChar w:fldCharType="begin"/>
      </w:r>
      <w:r w:rsidR="00992E88">
        <w:instrText xml:space="preserve"> XE "</w:instrText>
      </w:r>
      <w:r w:rsidR="00992E88" w:rsidRPr="00992E88">
        <w:instrText xml:space="preserve"> </w:instrText>
      </w:r>
      <w:r w:rsidR="00992E88" w:rsidRPr="00FC6AF9">
        <w:instrText>System Validation:</w:instrText>
      </w:r>
      <w:r w:rsidR="00992E88" w:rsidRPr="00B0596E">
        <w:rPr>
          <w:snapToGrid w:val="0"/>
        </w:rPr>
        <w:instrText>Edit Invoice Text</w:instrText>
      </w:r>
      <w:r w:rsidR="00992E88">
        <w:instrText xml:space="preserve">" </w:instrText>
      </w:r>
      <w:r w:rsidR="00992E88">
        <w:rPr>
          <w:snapToGrid w:val="0"/>
        </w:rPr>
        <w:fldChar w:fldCharType="end"/>
      </w:r>
    </w:p>
    <w:p w14:paraId="6D2F68E4" w14:textId="77777777" w:rsidR="002E3C00" w:rsidRPr="00E0423B" w:rsidRDefault="002E3C00" w:rsidP="002E3C00">
      <w:pPr>
        <w:pStyle w:val="BodyText"/>
      </w:pPr>
      <w:r>
        <w:t xml:space="preserve">The user may edit the explanatory text above the signature on the last page of a shipping invoice. </w:t>
      </w:r>
    </w:p>
    <w:p w14:paraId="4ED7D283" w14:textId="77777777" w:rsidR="002E3C00" w:rsidRDefault="002E3C00" w:rsidP="002E3C00">
      <w:pPr>
        <w:pStyle w:val="Heading4"/>
        <w:rPr>
          <w:b w:val="0"/>
        </w:rPr>
      </w:pPr>
      <w:r>
        <w:t>User Roles with Access to This Option</w:t>
      </w:r>
      <w:r>
        <w:rPr>
          <w:b w:val="0"/>
        </w:rPr>
        <w:t xml:space="preserve"> </w:t>
      </w:r>
    </w:p>
    <w:p w14:paraId="48B3C3C8" w14:textId="77777777" w:rsidR="002E3C00" w:rsidRDefault="002E3C00" w:rsidP="002E3C00">
      <w:pPr>
        <w:pStyle w:val="Roles"/>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Enhanced Supervisor</w:t>
      </w:r>
    </w:p>
    <w:p w14:paraId="336AA17B" w14:textId="77777777" w:rsidR="002E3C00" w:rsidRDefault="00B74754" w:rsidP="002E3C00">
      <w:pPr>
        <w:pStyle w:val="Heading4"/>
      </w:pPr>
      <w:r>
        <w:t>Preparation for Testing</w:t>
      </w:r>
    </w:p>
    <w:p w14:paraId="1CC1ACA6" w14:textId="77777777" w:rsidR="00232E43" w:rsidRPr="00FB7F8D" w:rsidRDefault="00232E43" w:rsidP="008A1C39">
      <w:pPr>
        <w:pStyle w:val="BodyText"/>
      </w:pPr>
      <w:r w:rsidRPr="00FB7F8D">
        <w:t>Print</w:t>
      </w:r>
      <w:r>
        <w:t>, sign, date,</w:t>
      </w:r>
      <w:r w:rsidRPr="00FB7F8D">
        <w:t xml:space="preserve"> and save an </w:t>
      </w:r>
      <w:r>
        <w:t>A</w:t>
      </w:r>
      <w:r w:rsidRPr="00FB7F8D">
        <w:t xml:space="preserve">udit </w:t>
      </w:r>
      <w:r>
        <w:t>Trail R</w:t>
      </w:r>
      <w:r w:rsidRPr="00FB7F8D">
        <w:t>eport for your validation record.</w:t>
      </w:r>
    </w:p>
    <w:p w14:paraId="4D09224A" w14:textId="77777777" w:rsidR="002E3C00" w:rsidRDefault="001D3D7A" w:rsidP="002E3C00">
      <w:pPr>
        <w:pStyle w:val="Heading3"/>
        <w:rPr>
          <w:snapToGrid w:val="0"/>
        </w:rPr>
      </w:pPr>
      <w:bookmarkStart w:id="832" w:name="_Toc85895797"/>
      <w:bookmarkStart w:id="833" w:name="_Toc113264255"/>
      <w:bookmarkStart w:id="834" w:name="_Toc114462110"/>
      <w:r>
        <w:rPr>
          <w:snapToGrid w:val="0"/>
        </w:rPr>
        <w:br w:type="page"/>
      </w:r>
      <w:bookmarkStart w:id="835" w:name="_Toc203766011"/>
      <w:r w:rsidR="002E3C00">
        <w:rPr>
          <w:snapToGrid w:val="0"/>
        </w:rPr>
        <w:lastRenderedPageBreak/>
        <w:t>Antibodies</w:t>
      </w:r>
      <w:bookmarkEnd w:id="832"/>
      <w:bookmarkEnd w:id="833"/>
      <w:bookmarkEnd w:id="834"/>
      <w:bookmarkEnd w:id="835"/>
      <w:r w:rsidR="00E21F36">
        <w:rPr>
          <w:snapToGrid w:val="0"/>
        </w:rPr>
        <w:fldChar w:fldCharType="begin"/>
      </w:r>
      <w:r w:rsidR="00E21F36">
        <w:instrText xml:space="preserve"> XE " System Validation:</w:instrText>
      </w:r>
      <w:r w:rsidR="00E21F36" w:rsidRPr="0081226B">
        <w:rPr>
          <w:snapToGrid w:val="0"/>
        </w:rPr>
        <w:instrText>Antibodies</w:instrText>
      </w:r>
      <w:r w:rsidR="00E21F36">
        <w:instrText xml:space="preserve">" </w:instrText>
      </w:r>
      <w:r w:rsidR="00E21F36">
        <w:rPr>
          <w:snapToGrid w:val="0"/>
        </w:rPr>
        <w:fldChar w:fldCharType="end"/>
      </w:r>
    </w:p>
    <w:p w14:paraId="72753D62" w14:textId="0E3F45FB" w:rsidR="002E3C00" w:rsidRDefault="002E3C00" w:rsidP="002E3C00">
      <w:pPr>
        <w:pStyle w:val="BodyText"/>
      </w:pPr>
      <w:r>
        <w:t xml:space="preserve">The user </w:t>
      </w:r>
      <w:r w:rsidR="00E15B34">
        <w:t xml:space="preserve">may </w:t>
      </w:r>
      <w:r>
        <w:t>edit certain fields in the supplied antibody table</w:t>
      </w:r>
      <w:r w:rsidR="00191728">
        <w:t xml:space="preserve"> (</w:t>
      </w:r>
      <w:r w:rsidR="00EE455E">
        <w:t xml:space="preserve">Table </w:t>
      </w:r>
      <w:r w:rsidR="00EE455E">
        <w:rPr>
          <w:noProof/>
        </w:rPr>
        <w:t>14</w:t>
      </w:r>
      <w:r w:rsidR="00191728">
        <w:t>).</w:t>
      </w:r>
      <w:r w:rsidR="0063037F">
        <w:t xml:space="preserve"> Use</w:t>
      </w:r>
      <w:r w:rsidR="00191728">
        <w:t xml:space="preserve"> </w:t>
      </w:r>
      <w:r w:rsidR="00EE455E">
        <w:t xml:space="preserve">Table </w:t>
      </w:r>
      <w:r w:rsidR="00EE455E">
        <w:rPr>
          <w:noProof/>
        </w:rPr>
        <w:t>35</w:t>
      </w:r>
      <w:r w:rsidR="0063037F">
        <w:t xml:space="preserve"> (</w:t>
      </w:r>
      <w:r w:rsidR="00191728">
        <w:t xml:space="preserve">extracted from </w:t>
      </w:r>
      <w:r w:rsidR="00EE455E">
        <w:t xml:space="preserve">Table </w:t>
      </w:r>
      <w:r w:rsidR="00EE455E">
        <w:rPr>
          <w:noProof/>
        </w:rPr>
        <w:t>14</w:t>
      </w:r>
      <w:r w:rsidR="0063037F">
        <w:t>) to document local decisions on antigen-negative settings.</w:t>
      </w:r>
      <w:r w:rsidR="003C6D47">
        <w:t xml:space="preserve"> </w:t>
      </w:r>
      <w:r w:rsidR="008D2779">
        <w:t xml:space="preserve">For more information, see </w:t>
      </w:r>
      <w:r w:rsidR="00EE455E">
        <w:t xml:space="preserve">Appendix </w:t>
      </w:r>
      <w:r w:rsidR="00EE455E">
        <w:rPr>
          <w:noProof/>
        </w:rPr>
        <w:t>G</w:t>
      </w:r>
      <w:r w:rsidR="00EE455E">
        <w:t>: Work Process Flowcharts</w:t>
      </w:r>
      <w:r w:rsidR="008D2779">
        <w:t>.</w:t>
      </w:r>
      <w:r w:rsidR="00432FCC" w:rsidRPr="00E15B34">
        <w:rPr>
          <w:vanish/>
        </w:rPr>
        <w:t>(DR 2,617)</w:t>
      </w:r>
    </w:p>
    <w:p w14:paraId="16C0C3E7" w14:textId="2FF6BA2C" w:rsidR="00E15B34" w:rsidRDefault="00E15B34" w:rsidP="00E15B34">
      <w:pPr>
        <w:pStyle w:val="Caption"/>
      </w:pPr>
      <w:bookmarkStart w:id="836" w:name="_Ref169421522"/>
      <w:r>
        <w:t xml:space="preserve">Table </w:t>
      </w:r>
      <w:r w:rsidR="004E20BD">
        <w:rPr>
          <w:noProof/>
        </w:rPr>
        <w:fldChar w:fldCharType="begin"/>
      </w:r>
      <w:r w:rsidR="004E20BD">
        <w:rPr>
          <w:noProof/>
        </w:rPr>
        <w:instrText xml:space="preserve"> SEQ Table \* ARABIC </w:instrText>
      </w:r>
      <w:r w:rsidR="004E20BD">
        <w:rPr>
          <w:noProof/>
        </w:rPr>
        <w:fldChar w:fldCharType="separate"/>
      </w:r>
      <w:r w:rsidR="007D1829">
        <w:rPr>
          <w:noProof/>
        </w:rPr>
        <w:t>35</w:t>
      </w:r>
      <w:r w:rsidR="004E20BD">
        <w:rPr>
          <w:noProof/>
        </w:rPr>
        <w:fldChar w:fldCharType="end"/>
      </w:r>
      <w:bookmarkEnd w:id="836"/>
      <w:r>
        <w:t>: User-Defined Antigen Negative Requirements</w:t>
      </w:r>
      <w:r w:rsidR="00812371">
        <w:fldChar w:fldCharType="begin"/>
      </w:r>
      <w:r w:rsidR="00812371">
        <w:instrText xml:space="preserve"> XE "Tables:User-Defined Antigen Negative Requirements" </w:instrText>
      </w:r>
      <w:r w:rsidR="00812371">
        <w:fldChar w:fldCharType="end"/>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330"/>
        <w:gridCol w:w="1331"/>
        <w:gridCol w:w="1053"/>
        <w:gridCol w:w="1331"/>
        <w:gridCol w:w="4315"/>
      </w:tblGrid>
      <w:tr w:rsidR="004E75A5" w:rsidRPr="004E75A5" w14:paraId="2C39DC9A" w14:textId="77777777">
        <w:trPr>
          <w:tblHeader/>
        </w:trPr>
        <w:tc>
          <w:tcPr>
            <w:tcW w:w="2661" w:type="dxa"/>
            <w:gridSpan w:val="2"/>
            <w:tcBorders>
              <w:bottom w:val="single" w:sz="4" w:space="0" w:color="auto"/>
            </w:tcBorders>
            <w:shd w:val="clear" w:color="auto" w:fill="B3B3B3"/>
            <w:vAlign w:val="bottom"/>
          </w:tcPr>
          <w:p w14:paraId="7C282C96" w14:textId="77777777" w:rsidR="004E75A5" w:rsidRPr="004E75A5" w:rsidRDefault="004E75A5" w:rsidP="004E75A5">
            <w:pPr>
              <w:pStyle w:val="TableText"/>
              <w:jc w:val="center"/>
              <w:rPr>
                <w:b/>
              </w:rPr>
            </w:pPr>
            <w:r w:rsidRPr="004E75A5">
              <w:rPr>
                <w:b/>
              </w:rPr>
              <w:t>Antibody Name</w:t>
            </w:r>
          </w:p>
        </w:tc>
        <w:tc>
          <w:tcPr>
            <w:tcW w:w="1053" w:type="dxa"/>
            <w:vMerge w:val="restart"/>
            <w:shd w:val="clear" w:color="auto" w:fill="B3B3B3"/>
            <w:vAlign w:val="bottom"/>
          </w:tcPr>
          <w:p w14:paraId="2C43751F" w14:textId="77777777" w:rsidR="004E75A5" w:rsidRPr="004E75A5" w:rsidRDefault="004E75A5" w:rsidP="00432FCC">
            <w:pPr>
              <w:pStyle w:val="TableText"/>
              <w:rPr>
                <w:b/>
                <w:bCs/>
              </w:rPr>
            </w:pPr>
            <w:r w:rsidRPr="004E75A5">
              <w:rPr>
                <w:b/>
                <w:bCs/>
              </w:rPr>
              <w:t>Clinically Significant?</w:t>
            </w:r>
          </w:p>
        </w:tc>
        <w:tc>
          <w:tcPr>
            <w:tcW w:w="1331" w:type="dxa"/>
            <w:vMerge w:val="restart"/>
            <w:shd w:val="clear" w:color="auto" w:fill="B3B3B3"/>
            <w:vAlign w:val="bottom"/>
          </w:tcPr>
          <w:p w14:paraId="32F0FF34" w14:textId="77777777" w:rsidR="004E75A5" w:rsidRPr="004E75A5" w:rsidRDefault="004E75A5" w:rsidP="00432FCC">
            <w:pPr>
              <w:pStyle w:val="TableText"/>
              <w:rPr>
                <w:b/>
              </w:rPr>
            </w:pPr>
            <w:r w:rsidRPr="004E75A5">
              <w:rPr>
                <w:b/>
              </w:rPr>
              <w:t>VBECS Antigen Negative Setting Default</w:t>
            </w:r>
          </w:p>
        </w:tc>
        <w:tc>
          <w:tcPr>
            <w:tcW w:w="4315" w:type="dxa"/>
            <w:vMerge w:val="restart"/>
            <w:shd w:val="clear" w:color="auto" w:fill="B3B3B3"/>
            <w:vAlign w:val="bottom"/>
          </w:tcPr>
          <w:p w14:paraId="627B38AB" w14:textId="77777777" w:rsidR="004E75A5" w:rsidRPr="004E75A5" w:rsidRDefault="004E75A5" w:rsidP="00432FCC">
            <w:pPr>
              <w:pStyle w:val="TableText"/>
              <w:rPr>
                <w:rFonts w:eastAsia="Symbol"/>
                <w:b/>
              </w:rPr>
            </w:pPr>
            <w:r w:rsidRPr="004E75A5">
              <w:rPr>
                <w:rFonts w:eastAsia="Symbol"/>
                <w:b/>
              </w:rPr>
              <w:t>Local comments and decisions on antigen-negative settings.</w:t>
            </w:r>
          </w:p>
        </w:tc>
      </w:tr>
      <w:tr w:rsidR="004E75A5" w:rsidRPr="004E75A5" w14:paraId="5A60FF33" w14:textId="77777777">
        <w:trPr>
          <w:tblHeader/>
        </w:trPr>
        <w:tc>
          <w:tcPr>
            <w:tcW w:w="1330" w:type="dxa"/>
            <w:shd w:val="clear" w:color="auto" w:fill="B3B3B3"/>
            <w:vAlign w:val="bottom"/>
          </w:tcPr>
          <w:p w14:paraId="42D0C9AD" w14:textId="77777777" w:rsidR="004E75A5" w:rsidRPr="004E75A5" w:rsidRDefault="004E75A5" w:rsidP="00432FCC">
            <w:pPr>
              <w:pStyle w:val="TableText"/>
              <w:rPr>
                <w:b/>
              </w:rPr>
            </w:pPr>
            <w:r w:rsidRPr="004E75A5">
              <w:rPr>
                <w:b/>
              </w:rPr>
              <w:t>VBECS</w:t>
            </w:r>
          </w:p>
        </w:tc>
        <w:tc>
          <w:tcPr>
            <w:tcW w:w="1331" w:type="dxa"/>
            <w:shd w:val="clear" w:color="auto" w:fill="B3B3B3"/>
            <w:vAlign w:val="bottom"/>
          </w:tcPr>
          <w:p w14:paraId="5ED5C17F" w14:textId="77777777" w:rsidR="004E75A5" w:rsidRPr="004E75A5" w:rsidRDefault="004E75A5" w:rsidP="00432FCC">
            <w:pPr>
              <w:pStyle w:val="TableText"/>
              <w:rPr>
                <w:b/>
              </w:rPr>
            </w:pPr>
            <w:r w:rsidRPr="004E75A5">
              <w:rPr>
                <w:b/>
              </w:rPr>
              <w:t>VistA</w:t>
            </w:r>
          </w:p>
        </w:tc>
        <w:tc>
          <w:tcPr>
            <w:tcW w:w="1053" w:type="dxa"/>
            <w:vMerge/>
            <w:shd w:val="clear" w:color="auto" w:fill="auto"/>
            <w:vAlign w:val="bottom"/>
          </w:tcPr>
          <w:p w14:paraId="496D0233" w14:textId="77777777" w:rsidR="004E75A5" w:rsidRPr="004E75A5" w:rsidRDefault="004E75A5" w:rsidP="00432FCC">
            <w:pPr>
              <w:pStyle w:val="TableText"/>
              <w:rPr>
                <w:b/>
                <w:bCs/>
              </w:rPr>
            </w:pPr>
          </w:p>
        </w:tc>
        <w:tc>
          <w:tcPr>
            <w:tcW w:w="1331" w:type="dxa"/>
            <w:vMerge/>
            <w:shd w:val="clear" w:color="auto" w:fill="auto"/>
            <w:vAlign w:val="bottom"/>
          </w:tcPr>
          <w:p w14:paraId="75FA28EE" w14:textId="77777777" w:rsidR="004E75A5" w:rsidRPr="004E75A5" w:rsidRDefault="004E75A5" w:rsidP="00432FCC">
            <w:pPr>
              <w:pStyle w:val="TableText"/>
              <w:rPr>
                <w:b/>
              </w:rPr>
            </w:pPr>
          </w:p>
        </w:tc>
        <w:tc>
          <w:tcPr>
            <w:tcW w:w="4315" w:type="dxa"/>
            <w:vMerge/>
            <w:shd w:val="clear" w:color="auto" w:fill="auto"/>
            <w:vAlign w:val="bottom"/>
          </w:tcPr>
          <w:p w14:paraId="19011A77" w14:textId="77777777" w:rsidR="004E75A5" w:rsidRPr="004E75A5" w:rsidRDefault="004E75A5" w:rsidP="00432FCC">
            <w:pPr>
              <w:pStyle w:val="TableText"/>
              <w:rPr>
                <w:rFonts w:eastAsia="Symbol"/>
                <w:b/>
              </w:rPr>
            </w:pPr>
          </w:p>
        </w:tc>
      </w:tr>
      <w:tr w:rsidR="00432FCC" w14:paraId="1FE49D31" w14:textId="77777777">
        <w:tc>
          <w:tcPr>
            <w:tcW w:w="1330" w:type="dxa"/>
            <w:shd w:val="clear" w:color="auto" w:fill="auto"/>
            <w:vAlign w:val="center"/>
          </w:tcPr>
          <w:p w14:paraId="562B3BAA" w14:textId="77777777" w:rsidR="00432FCC" w:rsidRDefault="00432FCC" w:rsidP="00432FCC">
            <w:pPr>
              <w:pStyle w:val="TableText"/>
              <w:rPr>
                <w:rFonts w:eastAsia="Symbol"/>
              </w:rPr>
            </w:pPr>
            <w:r>
              <w:t>Anti-Kp(a)</w:t>
            </w:r>
          </w:p>
        </w:tc>
        <w:tc>
          <w:tcPr>
            <w:tcW w:w="1331" w:type="dxa"/>
            <w:shd w:val="clear" w:color="auto" w:fill="auto"/>
            <w:vAlign w:val="center"/>
          </w:tcPr>
          <w:p w14:paraId="539CD76D" w14:textId="77777777" w:rsidR="00432FCC" w:rsidRDefault="00432FCC" w:rsidP="00432FCC">
            <w:pPr>
              <w:pStyle w:val="TableText"/>
              <w:rPr>
                <w:rFonts w:eastAsia="Symbol"/>
              </w:rPr>
            </w:pPr>
            <w:r>
              <w:t>Anti-Kp(a)</w:t>
            </w:r>
          </w:p>
        </w:tc>
        <w:tc>
          <w:tcPr>
            <w:tcW w:w="1053" w:type="dxa"/>
            <w:shd w:val="clear" w:color="auto" w:fill="auto"/>
            <w:vAlign w:val="center"/>
          </w:tcPr>
          <w:p w14:paraId="4301554D" w14:textId="77777777" w:rsidR="00432FCC" w:rsidRDefault="00432FCC" w:rsidP="00432FCC">
            <w:pPr>
              <w:pStyle w:val="TableText"/>
              <w:rPr>
                <w:b/>
                <w:bCs/>
              </w:rPr>
            </w:pPr>
            <w:r>
              <w:rPr>
                <w:bCs/>
              </w:rPr>
              <w:t>Yes</w:t>
            </w:r>
          </w:p>
        </w:tc>
        <w:tc>
          <w:tcPr>
            <w:tcW w:w="1331" w:type="dxa"/>
            <w:shd w:val="clear" w:color="auto" w:fill="auto"/>
            <w:vAlign w:val="center"/>
          </w:tcPr>
          <w:p w14:paraId="2532499C" w14:textId="77777777" w:rsidR="00432FCC" w:rsidRDefault="00432FCC" w:rsidP="00432FCC">
            <w:pPr>
              <w:pStyle w:val="TableText"/>
              <w:rPr>
                <w:rFonts w:eastAsia="Symbol"/>
              </w:rPr>
            </w:pPr>
            <w:r>
              <w:t>No</w:t>
            </w:r>
          </w:p>
        </w:tc>
        <w:tc>
          <w:tcPr>
            <w:tcW w:w="4315" w:type="dxa"/>
            <w:shd w:val="clear" w:color="auto" w:fill="auto"/>
            <w:vAlign w:val="center"/>
          </w:tcPr>
          <w:p w14:paraId="153EA8F6" w14:textId="77777777" w:rsidR="00432FCC" w:rsidRDefault="00432FCC" w:rsidP="00432FCC">
            <w:pPr>
              <w:pStyle w:val="TableText"/>
              <w:rPr>
                <w:rFonts w:eastAsia="Symbol"/>
              </w:rPr>
            </w:pPr>
          </w:p>
        </w:tc>
      </w:tr>
      <w:tr w:rsidR="00432FCC" w14:paraId="7040FE4C" w14:textId="77777777">
        <w:tc>
          <w:tcPr>
            <w:tcW w:w="1330" w:type="dxa"/>
            <w:shd w:val="clear" w:color="auto" w:fill="auto"/>
            <w:vAlign w:val="center"/>
          </w:tcPr>
          <w:p w14:paraId="206F20A4" w14:textId="77777777" w:rsidR="00432FCC" w:rsidRDefault="00432FCC" w:rsidP="00432FCC">
            <w:pPr>
              <w:pStyle w:val="TableText"/>
              <w:rPr>
                <w:rFonts w:eastAsia="Symbol"/>
              </w:rPr>
            </w:pPr>
            <w:r>
              <w:t>Anti-Kp(b)</w:t>
            </w:r>
          </w:p>
        </w:tc>
        <w:tc>
          <w:tcPr>
            <w:tcW w:w="1331" w:type="dxa"/>
            <w:shd w:val="clear" w:color="auto" w:fill="auto"/>
            <w:vAlign w:val="center"/>
          </w:tcPr>
          <w:p w14:paraId="62440420" w14:textId="77777777" w:rsidR="00432FCC" w:rsidRDefault="00432FCC" w:rsidP="00432FCC">
            <w:pPr>
              <w:pStyle w:val="TableText"/>
              <w:rPr>
                <w:rFonts w:eastAsia="Symbol"/>
              </w:rPr>
            </w:pPr>
            <w:r>
              <w:t>Anti-Kp(b)</w:t>
            </w:r>
          </w:p>
        </w:tc>
        <w:tc>
          <w:tcPr>
            <w:tcW w:w="1053" w:type="dxa"/>
            <w:shd w:val="clear" w:color="auto" w:fill="auto"/>
            <w:vAlign w:val="center"/>
          </w:tcPr>
          <w:p w14:paraId="665F2394" w14:textId="77777777" w:rsidR="00432FCC" w:rsidRDefault="00432FCC" w:rsidP="00432FCC">
            <w:pPr>
              <w:pStyle w:val="TableText"/>
              <w:rPr>
                <w:b/>
                <w:bCs/>
              </w:rPr>
            </w:pPr>
            <w:r>
              <w:rPr>
                <w:bCs/>
              </w:rPr>
              <w:t>Yes</w:t>
            </w:r>
          </w:p>
        </w:tc>
        <w:tc>
          <w:tcPr>
            <w:tcW w:w="1331" w:type="dxa"/>
            <w:shd w:val="clear" w:color="auto" w:fill="auto"/>
            <w:vAlign w:val="center"/>
          </w:tcPr>
          <w:p w14:paraId="6AE4CA71" w14:textId="77777777" w:rsidR="00432FCC" w:rsidRDefault="00432FCC" w:rsidP="00432FCC">
            <w:pPr>
              <w:pStyle w:val="TableText"/>
              <w:rPr>
                <w:rFonts w:eastAsia="Symbol"/>
              </w:rPr>
            </w:pPr>
            <w:r>
              <w:t>No</w:t>
            </w:r>
          </w:p>
        </w:tc>
        <w:tc>
          <w:tcPr>
            <w:tcW w:w="4315" w:type="dxa"/>
            <w:shd w:val="clear" w:color="auto" w:fill="auto"/>
            <w:vAlign w:val="center"/>
          </w:tcPr>
          <w:p w14:paraId="66373D8C" w14:textId="77777777" w:rsidR="00432FCC" w:rsidRDefault="00432FCC" w:rsidP="00432FCC">
            <w:pPr>
              <w:pStyle w:val="TableText"/>
              <w:rPr>
                <w:rFonts w:eastAsia="Symbol"/>
              </w:rPr>
            </w:pPr>
          </w:p>
        </w:tc>
      </w:tr>
      <w:tr w:rsidR="00432FCC" w14:paraId="4833EEB3" w14:textId="77777777">
        <w:tc>
          <w:tcPr>
            <w:tcW w:w="1330" w:type="dxa"/>
            <w:shd w:val="clear" w:color="auto" w:fill="auto"/>
            <w:vAlign w:val="center"/>
          </w:tcPr>
          <w:p w14:paraId="08688CAB" w14:textId="77777777" w:rsidR="00432FCC" w:rsidRDefault="00432FCC" w:rsidP="00432FCC">
            <w:pPr>
              <w:pStyle w:val="TableText"/>
              <w:rPr>
                <w:rFonts w:eastAsia="Symbol"/>
              </w:rPr>
            </w:pPr>
            <w:r>
              <w:t>Anti-M</w:t>
            </w:r>
          </w:p>
        </w:tc>
        <w:tc>
          <w:tcPr>
            <w:tcW w:w="1331" w:type="dxa"/>
            <w:shd w:val="clear" w:color="auto" w:fill="auto"/>
            <w:vAlign w:val="center"/>
          </w:tcPr>
          <w:p w14:paraId="2DE934B2" w14:textId="77777777" w:rsidR="00432FCC" w:rsidRDefault="00432FCC" w:rsidP="00432FCC">
            <w:pPr>
              <w:pStyle w:val="TableText"/>
            </w:pPr>
            <w:r>
              <w:t>Anti-M</w:t>
            </w:r>
          </w:p>
        </w:tc>
        <w:tc>
          <w:tcPr>
            <w:tcW w:w="1053" w:type="dxa"/>
            <w:shd w:val="clear" w:color="auto" w:fill="auto"/>
            <w:vAlign w:val="center"/>
          </w:tcPr>
          <w:p w14:paraId="66974975" w14:textId="77777777" w:rsidR="00432FCC" w:rsidRDefault="00432FCC" w:rsidP="00432FCC">
            <w:pPr>
              <w:pStyle w:val="TableText"/>
            </w:pPr>
            <w:r>
              <w:t>No</w:t>
            </w:r>
          </w:p>
        </w:tc>
        <w:tc>
          <w:tcPr>
            <w:tcW w:w="1331" w:type="dxa"/>
            <w:shd w:val="clear" w:color="auto" w:fill="auto"/>
            <w:vAlign w:val="center"/>
          </w:tcPr>
          <w:p w14:paraId="54EA0191" w14:textId="77777777" w:rsidR="00432FCC" w:rsidRDefault="00432FCC" w:rsidP="00432FCC">
            <w:pPr>
              <w:pStyle w:val="TableText"/>
              <w:rPr>
                <w:rFonts w:eastAsia="Symbol"/>
              </w:rPr>
            </w:pPr>
            <w:r>
              <w:t>No</w:t>
            </w:r>
          </w:p>
        </w:tc>
        <w:tc>
          <w:tcPr>
            <w:tcW w:w="4315" w:type="dxa"/>
            <w:shd w:val="clear" w:color="auto" w:fill="auto"/>
            <w:vAlign w:val="center"/>
          </w:tcPr>
          <w:p w14:paraId="304AFF61" w14:textId="77777777" w:rsidR="00432FCC" w:rsidRDefault="00432FCC" w:rsidP="00432FCC">
            <w:pPr>
              <w:pStyle w:val="TableText"/>
              <w:rPr>
                <w:rFonts w:eastAsia="Symbol"/>
              </w:rPr>
            </w:pPr>
          </w:p>
        </w:tc>
      </w:tr>
      <w:tr w:rsidR="00432FCC" w14:paraId="14F1B003" w14:textId="77777777">
        <w:tc>
          <w:tcPr>
            <w:tcW w:w="1330" w:type="dxa"/>
            <w:shd w:val="clear" w:color="auto" w:fill="auto"/>
            <w:vAlign w:val="center"/>
          </w:tcPr>
          <w:p w14:paraId="0B59274A" w14:textId="77777777" w:rsidR="00432FCC" w:rsidRDefault="00432FCC" w:rsidP="00432FCC">
            <w:pPr>
              <w:pStyle w:val="TableText"/>
              <w:rPr>
                <w:rFonts w:eastAsia="Symbol"/>
              </w:rPr>
            </w:pPr>
            <w:r>
              <w:t>Anti-N</w:t>
            </w:r>
          </w:p>
        </w:tc>
        <w:tc>
          <w:tcPr>
            <w:tcW w:w="1331" w:type="dxa"/>
            <w:shd w:val="clear" w:color="auto" w:fill="auto"/>
            <w:vAlign w:val="center"/>
          </w:tcPr>
          <w:p w14:paraId="764508B0" w14:textId="77777777" w:rsidR="00432FCC" w:rsidRDefault="00432FCC" w:rsidP="00432FCC">
            <w:pPr>
              <w:pStyle w:val="TableText"/>
            </w:pPr>
            <w:r>
              <w:t>Anti-N</w:t>
            </w:r>
          </w:p>
        </w:tc>
        <w:tc>
          <w:tcPr>
            <w:tcW w:w="1053" w:type="dxa"/>
            <w:shd w:val="clear" w:color="auto" w:fill="auto"/>
            <w:vAlign w:val="center"/>
          </w:tcPr>
          <w:p w14:paraId="516B3ABA" w14:textId="77777777" w:rsidR="00432FCC" w:rsidRDefault="00432FCC" w:rsidP="00432FCC">
            <w:pPr>
              <w:pStyle w:val="TableText"/>
            </w:pPr>
            <w:r>
              <w:t>No</w:t>
            </w:r>
          </w:p>
        </w:tc>
        <w:tc>
          <w:tcPr>
            <w:tcW w:w="1331" w:type="dxa"/>
            <w:shd w:val="clear" w:color="auto" w:fill="auto"/>
            <w:vAlign w:val="center"/>
          </w:tcPr>
          <w:p w14:paraId="19B8D5E7" w14:textId="77777777" w:rsidR="00432FCC" w:rsidRDefault="00432FCC" w:rsidP="00432FCC">
            <w:pPr>
              <w:pStyle w:val="TableText"/>
              <w:rPr>
                <w:rFonts w:eastAsia="Symbol"/>
              </w:rPr>
            </w:pPr>
            <w:r>
              <w:t>No</w:t>
            </w:r>
          </w:p>
        </w:tc>
        <w:tc>
          <w:tcPr>
            <w:tcW w:w="4315" w:type="dxa"/>
            <w:shd w:val="clear" w:color="auto" w:fill="auto"/>
            <w:vAlign w:val="center"/>
          </w:tcPr>
          <w:p w14:paraId="62F2BAB5" w14:textId="77777777" w:rsidR="00432FCC" w:rsidRDefault="00432FCC" w:rsidP="00432FCC">
            <w:pPr>
              <w:pStyle w:val="TableText"/>
              <w:rPr>
                <w:rFonts w:eastAsia="Symbol"/>
              </w:rPr>
            </w:pPr>
          </w:p>
        </w:tc>
      </w:tr>
      <w:tr w:rsidR="00432FCC" w14:paraId="4831F528" w14:textId="77777777">
        <w:tc>
          <w:tcPr>
            <w:tcW w:w="1330" w:type="dxa"/>
            <w:shd w:val="clear" w:color="auto" w:fill="auto"/>
            <w:vAlign w:val="center"/>
          </w:tcPr>
          <w:p w14:paraId="16FA190B" w14:textId="77777777" w:rsidR="00432FCC" w:rsidRDefault="00432FCC" w:rsidP="00432FCC">
            <w:pPr>
              <w:pStyle w:val="TableText"/>
              <w:rPr>
                <w:rFonts w:eastAsia="Symbol"/>
              </w:rPr>
            </w:pPr>
            <w:r>
              <w:t>Anti-U</w:t>
            </w:r>
          </w:p>
        </w:tc>
        <w:tc>
          <w:tcPr>
            <w:tcW w:w="1331" w:type="dxa"/>
            <w:shd w:val="clear" w:color="auto" w:fill="auto"/>
            <w:vAlign w:val="center"/>
          </w:tcPr>
          <w:p w14:paraId="139F6615" w14:textId="77777777" w:rsidR="00432FCC" w:rsidRDefault="00432FCC" w:rsidP="00432FCC">
            <w:pPr>
              <w:pStyle w:val="TableText"/>
              <w:rPr>
                <w:b/>
                <w:bCs/>
              </w:rPr>
            </w:pPr>
            <w:r>
              <w:t>Anti-U</w:t>
            </w:r>
          </w:p>
        </w:tc>
        <w:tc>
          <w:tcPr>
            <w:tcW w:w="1053" w:type="dxa"/>
            <w:shd w:val="clear" w:color="auto" w:fill="auto"/>
            <w:vAlign w:val="center"/>
          </w:tcPr>
          <w:p w14:paraId="651BF81D" w14:textId="77777777" w:rsidR="00432FCC" w:rsidRDefault="00432FCC" w:rsidP="00432FCC">
            <w:pPr>
              <w:pStyle w:val="TableText"/>
              <w:rPr>
                <w:b/>
                <w:bCs/>
              </w:rPr>
            </w:pPr>
            <w:r>
              <w:rPr>
                <w:bCs/>
              </w:rPr>
              <w:t>Yes</w:t>
            </w:r>
          </w:p>
        </w:tc>
        <w:tc>
          <w:tcPr>
            <w:tcW w:w="1331" w:type="dxa"/>
            <w:shd w:val="clear" w:color="auto" w:fill="auto"/>
            <w:vAlign w:val="center"/>
          </w:tcPr>
          <w:p w14:paraId="7D0A4B1F" w14:textId="77777777" w:rsidR="00432FCC" w:rsidRDefault="00432FCC" w:rsidP="00432FCC">
            <w:pPr>
              <w:pStyle w:val="TableText"/>
              <w:rPr>
                <w:rFonts w:eastAsia="Symbol"/>
              </w:rPr>
            </w:pPr>
            <w:r>
              <w:t>No</w:t>
            </w:r>
          </w:p>
        </w:tc>
        <w:tc>
          <w:tcPr>
            <w:tcW w:w="4315" w:type="dxa"/>
            <w:shd w:val="clear" w:color="auto" w:fill="auto"/>
            <w:vAlign w:val="center"/>
          </w:tcPr>
          <w:p w14:paraId="0EF0D542" w14:textId="77777777" w:rsidR="00432FCC" w:rsidRDefault="00432FCC" w:rsidP="00432FCC">
            <w:pPr>
              <w:pStyle w:val="TableText"/>
              <w:rPr>
                <w:rFonts w:eastAsia="Symbol"/>
              </w:rPr>
            </w:pPr>
          </w:p>
        </w:tc>
      </w:tr>
      <w:tr w:rsidR="00432FCC" w14:paraId="2F4864A6" w14:textId="77777777">
        <w:tc>
          <w:tcPr>
            <w:tcW w:w="1330" w:type="dxa"/>
            <w:shd w:val="clear" w:color="auto" w:fill="auto"/>
            <w:vAlign w:val="center"/>
          </w:tcPr>
          <w:p w14:paraId="3F96D181" w14:textId="77777777" w:rsidR="00432FCC" w:rsidRDefault="00432FCC" w:rsidP="00432FCC">
            <w:pPr>
              <w:pStyle w:val="TableText"/>
              <w:rPr>
                <w:rFonts w:eastAsia="Symbol"/>
              </w:rPr>
            </w:pPr>
            <w:r>
              <w:t>Anti-P1</w:t>
            </w:r>
          </w:p>
        </w:tc>
        <w:tc>
          <w:tcPr>
            <w:tcW w:w="1331" w:type="dxa"/>
            <w:shd w:val="clear" w:color="auto" w:fill="auto"/>
            <w:vAlign w:val="center"/>
          </w:tcPr>
          <w:p w14:paraId="17F010C4" w14:textId="77777777" w:rsidR="00432FCC" w:rsidRDefault="00432FCC" w:rsidP="00432FCC">
            <w:pPr>
              <w:pStyle w:val="TableText"/>
            </w:pPr>
            <w:r>
              <w:t>Anti-P1</w:t>
            </w:r>
          </w:p>
        </w:tc>
        <w:tc>
          <w:tcPr>
            <w:tcW w:w="1053" w:type="dxa"/>
            <w:shd w:val="clear" w:color="auto" w:fill="auto"/>
            <w:vAlign w:val="center"/>
          </w:tcPr>
          <w:p w14:paraId="6FBFECF1" w14:textId="77777777" w:rsidR="00432FCC" w:rsidRDefault="00432FCC" w:rsidP="00432FCC">
            <w:pPr>
              <w:pStyle w:val="TableText"/>
            </w:pPr>
            <w:r>
              <w:t>No</w:t>
            </w:r>
          </w:p>
        </w:tc>
        <w:tc>
          <w:tcPr>
            <w:tcW w:w="1331" w:type="dxa"/>
            <w:shd w:val="clear" w:color="auto" w:fill="auto"/>
            <w:vAlign w:val="center"/>
          </w:tcPr>
          <w:p w14:paraId="30F1CD2B" w14:textId="77777777" w:rsidR="00432FCC" w:rsidRDefault="00432FCC" w:rsidP="00432FCC">
            <w:pPr>
              <w:pStyle w:val="TableText"/>
              <w:rPr>
                <w:rFonts w:eastAsia="Symbol"/>
              </w:rPr>
            </w:pPr>
            <w:r>
              <w:t>No</w:t>
            </w:r>
          </w:p>
        </w:tc>
        <w:tc>
          <w:tcPr>
            <w:tcW w:w="4315" w:type="dxa"/>
            <w:shd w:val="clear" w:color="auto" w:fill="auto"/>
            <w:vAlign w:val="center"/>
          </w:tcPr>
          <w:p w14:paraId="4758A896" w14:textId="77777777" w:rsidR="00432FCC" w:rsidRDefault="00432FCC" w:rsidP="00432FCC">
            <w:pPr>
              <w:pStyle w:val="TableText"/>
              <w:rPr>
                <w:rFonts w:eastAsia="Symbol"/>
              </w:rPr>
            </w:pPr>
          </w:p>
        </w:tc>
      </w:tr>
      <w:tr w:rsidR="00432FCC" w14:paraId="27116DB1" w14:textId="77777777">
        <w:tc>
          <w:tcPr>
            <w:tcW w:w="1330" w:type="dxa"/>
            <w:shd w:val="clear" w:color="auto" w:fill="auto"/>
            <w:vAlign w:val="center"/>
          </w:tcPr>
          <w:p w14:paraId="074A0C33" w14:textId="77777777" w:rsidR="00432FCC" w:rsidRDefault="00432FCC" w:rsidP="00432FCC">
            <w:pPr>
              <w:pStyle w:val="TableText"/>
              <w:rPr>
                <w:rFonts w:eastAsia="Symbol"/>
              </w:rPr>
            </w:pPr>
            <w:r>
              <w:t>Anti-Le(a)</w:t>
            </w:r>
          </w:p>
        </w:tc>
        <w:tc>
          <w:tcPr>
            <w:tcW w:w="1331" w:type="dxa"/>
            <w:shd w:val="clear" w:color="auto" w:fill="auto"/>
            <w:vAlign w:val="center"/>
          </w:tcPr>
          <w:p w14:paraId="3EC2B67A" w14:textId="77777777" w:rsidR="00432FCC" w:rsidRDefault="00432FCC" w:rsidP="00432FCC">
            <w:pPr>
              <w:pStyle w:val="TableText"/>
              <w:rPr>
                <w:rFonts w:eastAsia="Symbol"/>
              </w:rPr>
            </w:pPr>
            <w:r>
              <w:t>Anti-Le(a)</w:t>
            </w:r>
          </w:p>
        </w:tc>
        <w:tc>
          <w:tcPr>
            <w:tcW w:w="1053" w:type="dxa"/>
            <w:shd w:val="clear" w:color="auto" w:fill="auto"/>
            <w:vAlign w:val="center"/>
          </w:tcPr>
          <w:p w14:paraId="4EDF37C4" w14:textId="77777777" w:rsidR="00432FCC" w:rsidRDefault="00432FCC" w:rsidP="00432FCC">
            <w:pPr>
              <w:pStyle w:val="TableText"/>
            </w:pPr>
            <w:r>
              <w:t>No</w:t>
            </w:r>
          </w:p>
        </w:tc>
        <w:tc>
          <w:tcPr>
            <w:tcW w:w="1331" w:type="dxa"/>
            <w:shd w:val="clear" w:color="auto" w:fill="auto"/>
            <w:vAlign w:val="center"/>
          </w:tcPr>
          <w:p w14:paraId="646B450D" w14:textId="77777777" w:rsidR="00432FCC" w:rsidRDefault="00432FCC" w:rsidP="00432FCC">
            <w:pPr>
              <w:pStyle w:val="TableText"/>
              <w:rPr>
                <w:rFonts w:eastAsia="Symbol"/>
              </w:rPr>
            </w:pPr>
            <w:r>
              <w:t>No</w:t>
            </w:r>
          </w:p>
        </w:tc>
        <w:tc>
          <w:tcPr>
            <w:tcW w:w="4315" w:type="dxa"/>
            <w:shd w:val="clear" w:color="auto" w:fill="auto"/>
            <w:vAlign w:val="center"/>
          </w:tcPr>
          <w:p w14:paraId="0244DE51" w14:textId="77777777" w:rsidR="00432FCC" w:rsidRDefault="00432FCC" w:rsidP="00432FCC">
            <w:pPr>
              <w:pStyle w:val="TableText"/>
              <w:rPr>
                <w:rFonts w:eastAsia="Symbol"/>
              </w:rPr>
            </w:pPr>
          </w:p>
        </w:tc>
      </w:tr>
      <w:tr w:rsidR="00432FCC" w14:paraId="0377B19B" w14:textId="77777777">
        <w:tc>
          <w:tcPr>
            <w:tcW w:w="1330" w:type="dxa"/>
            <w:shd w:val="clear" w:color="auto" w:fill="auto"/>
            <w:vAlign w:val="center"/>
          </w:tcPr>
          <w:p w14:paraId="62A9F5D8" w14:textId="77777777" w:rsidR="00432FCC" w:rsidRDefault="00432FCC" w:rsidP="00432FCC">
            <w:pPr>
              <w:pStyle w:val="TableText"/>
              <w:rPr>
                <w:rFonts w:eastAsia="Symbol"/>
              </w:rPr>
            </w:pPr>
            <w:r>
              <w:t>Anti-Le(b)</w:t>
            </w:r>
          </w:p>
        </w:tc>
        <w:tc>
          <w:tcPr>
            <w:tcW w:w="1331" w:type="dxa"/>
            <w:shd w:val="clear" w:color="auto" w:fill="auto"/>
            <w:vAlign w:val="center"/>
          </w:tcPr>
          <w:p w14:paraId="2D494872" w14:textId="77777777" w:rsidR="00432FCC" w:rsidRDefault="00432FCC" w:rsidP="00432FCC">
            <w:pPr>
              <w:pStyle w:val="TableText"/>
              <w:rPr>
                <w:rFonts w:eastAsia="Symbol"/>
              </w:rPr>
            </w:pPr>
            <w:r>
              <w:t>Anti-Le(b)</w:t>
            </w:r>
          </w:p>
        </w:tc>
        <w:tc>
          <w:tcPr>
            <w:tcW w:w="1053" w:type="dxa"/>
            <w:shd w:val="clear" w:color="auto" w:fill="auto"/>
            <w:vAlign w:val="center"/>
          </w:tcPr>
          <w:p w14:paraId="6F6D033F" w14:textId="77777777" w:rsidR="00432FCC" w:rsidRDefault="00432FCC" w:rsidP="00432FCC">
            <w:pPr>
              <w:pStyle w:val="TableText"/>
            </w:pPr>
            <w:r>
              <w:t>No</w:t>
            </w:r>
          </w:p>
        </w:tc>
        <w:tc>
          <w:tcPr>
            <w:tcW w:w="1331" w:type="dxa"/>
            <w:shd w:val="clear" w:color="auto" w:fill="auto"/>
            <w:vAlign w:val="center"/>
          </w:tcPr>
          <w:p w14:paraId="44226CD1" w14:textId="77777777" w:rsidR="00432FCC" w:rsidRDefault="00432FCC" w:rsidP="00432FCC">
            <w:pPr>
              <w:pStyle w:val="TableText"/>
              <w:rPr>
                <w:rFonts w:eastAsia="Symbol"/>
              </w:rPr>
            </w:pPr>
            <w:r>
              <w:t>No</w:t>
            </w:r>
          </w:p>
        </w:tc>
        <w:tc>
          <w:tcPr>
            <w:tcW w:w="4315" w:type="dxa"/>
            <w:shd w:val="clear" w:color="auto" w:fill="auto"/>
            <w:vAlign w:val="center"/>
          </w:tcPr>
          <w:p w14:paraId="77B55B2C" w14:textId="77777777" w:rsidR="00432FCC" w:rsidRDefault="00432FCC" w:rsidP="00432FCC">
            <w:pPr>
              <w:pStyle w:val="TableText"/>
              <w:rPr>
                <w:rFonts w:eastAsia="Symbol"/>
              </w:rPr>
            </w:pPr>
          </w:p>
        </w:tc>
      </w:tr>
      <w:tr w:rsidR="00432FCC" w14:paraId="29A0A11C" w14:textId="77777777">
        <w:tc>
          <w:tcPr>
            <w:tcW w:w="1330" w:type="dxa"/>
            <w:shd w:val="clear" w:color="auto" w:fill="auto"/>
            <w:vAlign w:val="center"/>
          </w:tcPr>
          <w:p w14:paraId="21E53C49" w14:textId="77777777" w:rsidR="00432FCC" w:rsidRDefault="00432FCC" w:rsidP="00432FCC">
            <w:pPr>
              <w:pStyle w:val="TableText"/>
              <w:rPr>
                <w:rFonts w:eastAsia="Symbol"/>
              </w:rPr>
            </w:pPr>
            <w:r>
              <w:t>Anti-Js(a)</w:t>
            </w:r>
          </w:p>
        </w:tc>
        <w:tc>
          <w:tcPr>
            <w:tcW w:w="1331" w:type="dxa"/>
            <w:shd w:val="clear" w:color="auto" w:fill="auto"/>
            <w:vAlign w:val="center"/>
          </w:tcPr>
          <w:p w14:paraId="7246801A" w14:textId="77777777" w:rsidR="00432FCC" w:rsidRDefault="00432FCC" w:rsidP="00432FCC">
            <w:pPr>
              <w:pStyle w:val="TableText"/>
              <w:rPr>
                <w:rFonts w:eastAsia="Symbol"/>
              </w:rPr>
            </w:pPr>
            <w:r>
              <w:t>Anti-Js(a)</w:t>
            </w:r>
          </w:p>
        </w:tc>
        <w:tc>
          <w:tcPr>
            <w:tcW w:w="1053" w:type="dxa"/>
            <w:shd w:val="clear" w:color="auto" w:fill="auto"/>
            <w:vAlign w:val="center"/>
          </w:tcPr>
          <w:p w14:paraId="15AD5F82" w14:textId="77777777" w:rsidR="00432FCC" w:rsidRDefault="00432FCC" w:rsidP="00432FCC">
            <w:pPr>
              <w:pStyle w:val="TableText"/>
              <w:rPr>
                <w:b/>
                <w:bCs/>
              </w:rPr>
            </w:pPr>
            <w:r>
              <w:rPr>
                <w:bCs/>
              </w:rPr>
              <w:t>Yes</w:t>
            </w:r>
          </w:p>
        </w:tc>
        <w:tc>
          <w:tcPr>
            <w:tcW w:w="1331" w:type="dxa"/>
            <w:shd w:val="clear" w:color="auto" w:fill="auto"/>
            <w:vAlign w:val="center"/>
          </w:tcPr>
          <w:p w14:paraId="3735ADA8" w14:textId="77777777" w:rsidR="00432FCC" w:rsidRDefault="00432FCC" w:rsidP="00432FCC">
            <w:pPr>
              <w:pStyle w:val="TableText"/>
              <w:rPr>
                <w:rFonts w:eastAsia="Symbol"/>
              </w:rPr>
            </w:pPr>
            <w:r>
              <w:t>No</w:t>
            </w:r>
          </w:p>
        </w:tc>
        <w:tc>
          <w:tcPr>
            <w:tcW w:w="4315" w:type="dxa"/>
            <w:shd w:val="clear" w:color="auto" w:fill="auto"/>
            <w:vAlign w:val="center"/>
          </w:tcPr>
          <w:p w14:paraId="2153DF0C" w14:textId="77777777" w:rsidR="00432FCC" w:rsidRDefault="00432FCC" w:rsidP="00432FCC">
            <w:pPr>
              <w:pStyle w:val="TableText"/>
              <w:rPr>
                <w:rFonts w:eastAsia="Symbol"/>
              </w:rPr>
            </w:pPr>
          </w:p>
        </w:tc>
      </w:tr>
      <w:tr w:rsidR="00432FCC" w14:paraId="64BAEDB1" w14:textId="77777777">
        <w:tc>
          <w:tcPr>
            <w:tcW w:w="1330" w:type="dxa"/>
            <w:shd w:val="clear" w:color="auto" w:fill="auto"/>
            <w:vAlign w:val="center"/>
          </w:tcPr>
          <w:p w14:paraId="1251692B" w14:textId="77777777" w:rsidR="00432FCC" w:rsidRDefault="00432FCC" w:rsidP="00432FCC">
            <w:pPr>
              <w:pStyle w:val="TableText"/>
              <w:rPr>
                <w:rFonts w:eastAsia="Symbol"/>
              </w:rPr>
            </w:pPr>
            <w:r>
              <w:t>Anti-Js(b)</w:t>
            </w:r>
          </w:p>
        </w:tc>
        <w:tc>
          <w:tcPr>
            <w:tcW w:w="1331" w:type="dxa"/>
            <w:shd w:val="clear" w:color="auto" w:fill="auto"/>
            <w:vAlign w:val="center"/>
          </w:tcPr>
          <w:p w14:paraId="583C60B9" w14:textId="77777777" w:rsidR="00432FCC" w:rsidRDefault="00432FCC" w:rsidP="00432FCC">
            <w:pPr>
              <w:pStyle w:val="TableText"/>
              <w:rPr>
                <w:rFonts w:eastAsia="Symbol"/>
              </w:rPr>
            </w:pPr>
            <w:r>
              <w:t>Anti-Js(b)</w:t>
            </w:r>
          </w:p>
        </w:tc>
        <w:tc>
          <w:tcPr>
            <w:tcW w:w="1053" w:type="dxa"/>
            <w:shd w:val="clear" w:color="auto" w:fill="auto"/>
            <w:vAlign w:val="center"/>
          </w:tcPr>
          <w:p w14:paraId="1F578BB3" w14:textId="77777777" w:rsidR="00432FCC" w:rsidRDefault="00432FCC" w:rsidP="00432FCC">
            <w:pPr>
              <w:pStyle w:val="TableText"/>
              <w:rPr>
                <w:b/>
                <w:bCs/>
              </w:rPr>
            </w:pPr>
            <w:r>
              <w:rPr>
                <w:bCs/>
              </w:rPr>
              <w:t>Yes</w:t>
            </w:r>
          </w:p>
        </w:tc>
        <w:tc>
          <w:tcPr>
            <w:tcW w:w="1331" w:type="dxa"/>
            <w:shd w:val="clear" w:color="auto" w:fill="auto"/>
            <w:vAlign w:val="center"/>
          </w:tcPr>
          <w:p w14:paraId="7C971A7B" w14:textId="77777777" w:rsidR="00432FCC" w:rsidRDefault="00432FCC" w:rsidP="00432FCC">
            <w:pPr>
              <w:pStyle w:val="TableText"/>
              <w:rPr>
                <w:rFonts w:eastAsia="Symbol"/>
              </w:rPr>
            </w:pPr>
            <w:r>
              <w:t>No</w:t>
            </w:r>
          </w:p>
        </w:tc>
        <w:tc>
          <w:tcPr>
            <w:tcW w:w="4315" w:type="dxa"/>
            <w:shd w:val="clear" w:color="auto" w:fill="auto"/>
            <w:vAlign w:val="center"/>
          </w:tcPr>
          <w:p w14:paraId="4BDFD353" w14:textId="77777777" w:rsidR="00432FCC" w:rsidRDefault="00432FCC" w:rsidP="00432FCC">
            <w:pPr>
              <w:pStyle w:val="TableText"/>
              <w:rPr>
                <w:rFonts w:eastAsia="Symbol"/>
              </w:rPr>
            </w:pPr>
          </w:p>
        </w:tc>
      </w:tr>
      <w:tr w:rsidR="00432FCC" w14:paraId="5D943A75" w14:textId="77777777">
        <w:tc>
          <w:tcPr>
            <w:tcW w:w="1330" w:type="dxa"/>
            <w:shd w:val="clear" w:color="auto" w:fill="auto"/>
            <w:vAlign w:val="center"/>
          </w:tcPr>
          <w:p w14:paraId="723D97A2" w14:textId="77777777" w:rsidR="00432FCC" w:rsidRDefault="00432FCC" w:rsidP="00432FCC">
            <w:pPr>
              <w:pStyle w:val="TableText"/>
              <w:rPr>
                <w:rFonts w:eastAsia="Symbol"/>
              </w:rPr>
            </w:pPr>
            <w:r>
              <w:t>Anti-Lu(a)</w:t>
            </w:r>
          </w:p>
        </w:tc>
        <w:tc>
          <w:tcPr>
            <w:tcW w:w="1331" w:type="dxa"/>
            <w:shd w:val="clear" w:color="auto" w:fill="auto"/>
            <w:vAlign w:val="center"/>
          </w:tcPr>
          <w:p w14:paraId="3FEF171D" w14:textId="77777777" w:rsidR="00432FCC" w:rsidRDefault="00432FCC" w:rsidP="00432FCC">
            <w:pPr>
              <w:pStyle w:val="TableText"/>
            </w:pPr>
            <w:r>
              <w:t>Anti-Lu(a)</w:t>
            </w:r>
          </w:p>
        </w:tc>
        <w:tc>
          <w:tcPr>
            <w:tcW w:w="1053" w:type="dxa"/>
            <w:shd w:val="clear" w:color="auto" w:fill="auto"/>
            <w:vAlign w:val="center"/>
          </w:tcPr>
          <w:p w14:paraId="525697B7" w14:textId="77777777" w:rsidR="00432FCC" w:rsidRDefault="00432FCC" w:rsidP="00432FCC">
            <w:pPr>
              <w:pStyle w:val="TableText"/>
            </w:pPr>
            <w:r>
              <w:t>No</w:t>
            </w:r>
          </w:p>
        </w:tc>
        <w:tc>
          <w:tcPr>
            <w:tcW w:w="1331" w:type="dxa"/>
            <w:shd w:val="clear" w:color="auto" w:fill="auto"/>
            <w:vAlign w:val="center"/>
          </w:tcPr>
          <w:p w14:paraId="5F071BB3" w14:textId="77777777" w:rsidR="00432FCC" w:rsidRDefault="00432FCC" w:rsidP="00432FCC">
            <w:pPr>
              <w:pStyle w:val="TableText"/>
              <w:rPr>
                <w:rFonts w:eastAsia="Symbol"/>
              </w:rPr>
            </w:pPr>
            <w:r>
              <w:t>No</w:t>
            </w:r>
          </w:p>
        </w:tc>
        <w:tc>
          <w:tcPr>
            <w:tcW w:w="4315" w:type="dxa"/>
            <w:shd w:val="clear" w:color="auto" w:fill="auto"/>
            <w:vAlign w:val="center"/>
          </w:tcPr>
          <w:p w14:paraId="2EBE8229" w14:textId="77777777" w:rsidR="00432FCC" w:rsidRDefault="00432FCC" w:rsidP="00432FCC">
            <w:pPr>
              <w:pStyle w:val="TableText"/>
              <w:rPr>
                <w:rFonts w:eastAsia="Symbol"/>
              </w:rPr>
            </w:pPr>
          </w:p>
        </w:tc>
      </w:tr>
      <w:tr w:rsidR="00432FCC" w14:paraId="15EE9629" w14:textId="77777777">
        <w:tc>
          <w:tcPr>
            <w:tcW w:w="1330" w:type="dxa"/>
            <w:shd w:val="clear" w:color="auto" w:fill="auto"/>
            <w:vAlign w:val="center"/>
          </w:tcPr>
          <w:p w14:paraId="1A9372FF" w14:textId="77777777" w:rsidR="00432FCC" w:rsidRDefault="00432FCC" w:rsidP="00432FCC">
            <w:pPr>
              <w:pStyle w:val="TableText"/>
              <w:rPr>
                <w:rFonts w:eastAsia="Symbol"/>
              </w:rPr>
            </w:pPr>
            <w:r>
              <w:t>Anti-Lu(b)</w:t>
            </w:r>
          </w:p>
        </w:tc>
        <w:tc>
          <w:tcPr>
            <w:tcW w:w="1331" w:type="dxa"/>
            <w:shd w:val="clear" w:color="auto" w:fill="auto"/>
            <w:vAlign w:val="center"/>
          </w:tcPr>
          <w:p w14:paraId="25AF67F8" w14:textId="77777777" w:rsidR="00432FCC" w:rsidRDefault="00432FCC" w:rsidP="00432FCC">
            <w:pPr>
              <w:pStyle w:val="TableText"/>
            </w:pPr>
            <w:r>
              <w:t>Anti-Lu(b)</w:t>
            </w:r>
          </w:p>
        </w:tc>
        <w:tc>
          <w:tcPr>
            <w:tcW w:w="1053" w:type="dxa"/>
            <w:shd w:val="clear" w:color="auto" w:fill="auto"/>
            <w:vAlign w:val="center"/>
          </w:tcPr>
          <w:p w14:paraId="55346BEF" w14:textId="77777777" w:rsidR="00432FCC" w:rsidRDefault="00432FCC" w:rsidP="00432FCC">
            <w:pPr>
              <w:pStyle w:val="TableText"/>
            </w:pPr>
            <w:r>
              <w:t>No</w:t>
            </w:r>
          </w:p>
        </w:tc>
        <w:tc>
          <w:tcPr>
            <w:tcW w:w="1331" w:type="dxa"/>
            <w:shd w:val="clear" w:color="auto" w:fill="auto"/>
            <w:vAlign w:val="center"/>
          </w:tcPr>
          <w:p w14:paraId="571D9DAB" w14:textId="77777777" w:rsidR="00432FCC" w:rsidRDefault="00432FCC" w:rsidP="00432FCC">
            <w:pPr>
              <w:pStyle w:val="TableText"/>
              <w:rPr>
                <w:rFonts w:eastAsia="Symbol"/>
              </w:rPr>
            </w:pPr>
            <w:r>
              <w:t>No</w:t>
            </w:r>
          </w:p>
        </w:tc>
        <w:tc>
          <w:tcPr>
            <w:tcW w:w="4315" w:type="dxa"/>
            <w:shd w:val="clear" w:color="auto" w:fill="auto"/>
            <w:vAlign w:val="center"/>
          </w:tcPr>
          <w:p w14:paraId="26368DE7" w14:textId="77777777" w:rsidR="00432FCC" w:rsidRDefault="00432FCC" w:rsidP="00432FCC">
            <w:pPr>
              <w:pStyle w:val="TableText"/>
              <w:rPr>
                <w:rFonts w:eastAsia="Symbol"/>
              </w:rPr>
            </w:pPr>
          </w:p>
        </w:tc>
      </w:tr>
      <w:tr w:rsidR="00432FCC" w14:paraId="0561D482" w14:textId="77777777">
        <w:tc>
          <w:tcPr>
            <w:tcW w:w="1330" w:type="dxa"/>
            <w:shd w:val="clear" w:color="auto" w:fill="auto"/>
            <w:vAlign w:val="center"/>
          </w:tcPr>
          <w:p w14:paraId="7D03620E" w14:textId="77777777" w:rsidR="00432FCC" w:rsidRDefault="00432FCC" w:rsidP="00432FCC">
            <w:pPr>
              <w:pStyle w:val="TableText"/>
              <w:rPr>
                <w:rFonts w:eastAsia="Symbol"/>
              </w:rPr>
            </w:pPr>
            <w:r>
              <w:t>Anti-Lu3</w:t>
            </w:r>
          </w:p>
        </w:tc>
        <w:tc>
          <w:tcPr>
            <w:tcW w:w="1331" w:type="dxa"/>
            <w:shd w:val="clear" w:color="auto" w:fill="auto"/>
            <w:vAlign w:val="center"/>
          </w:tcPr>
          <w:p w14:paraId="05D5B803" w14:textId="77777777" w:rsidR="00432FCC" w:rsidRPr="006E05B3" w:rsidRDefault="00432FCC" w:rsidP="00432FCC">
            <w:pPr>
              <w:pStyle w:val="TableText"/>
              <w:rPr>
                <w:b/>
                <w:lang w:val="fr-FR"/>
              </w:rPr>
            </w:pPr>
            <w:r w:rsidRPr="006E05B3">
              <w:rPr>
                <w:lang w:val="fr-FR"/>
              </w:rPr>
              <w:t>Anti-Lu(a)Lu(b)</w:t>
            </w:r>
          </w:p>
        </w:tc>
        <w:tc>
          <w:tcPr>
            <w:tcW w:w="1053" w:type="dxa"/>
            <w:shd w:val="clear" w:color="auto" w:fill="auto"/>
            <w:vAlign w:val="center"/>
          </w:tcPr>
          <w:p w14:paraId="7301078E" w14:textId="77777777" w:rsidR="00432FCC" w:rsidRDefault="00432FCC" w:rsidP="00432FCC">
            <w:pPr>
              <w:pStyle w:val="TableText"/>
              <w:rPr>
                <w:b/>
              </w:rPr>
            </w:pPr>
            <w:r>
              <w:t>No</w:t>
            </w:r>
          </w:p>
        </w:tc>
        <w:tc>
          <w:tcPr>
            <w:tcW w:w="1331" w:type="dxa"/>
            <w:shd w:val="clear" w:color="auto" w:fill="auto"/>
            <w:vAlign w:val="center"/>
          </w:tcPr>
          <w:p w14:paraId="098BC2D5" w14:textId="77777777" w:rsidR="00432FCC" w:rsidRDefault="00432FCC" w:rsidP="00432FCC">
            <w:pPr>
              <w:pStyle w:val="TableText"/>
              <w:rPr>
                <w:rFonts w:eastAsia="Symbol"/>
              </w:rPr>
            </w:pPr>
            <w:r>
              <w:t>No</w:t>
            </w:r>
          </w:p>
        </w:tc>
        <w:tc>
          <w:tcPr>
            <w:tcW w:w="4315" w:type="dxa"/>
            <w:shd w:val="clear" w:color="auto" w:fill="auto"/>
            <w:vAlign w:val="center"/>
          </w:tcPr>
          <w:p w14:paraId="51BE1CC0" w14:textId="77777777" w:rsidR="00432FCC" w:rsidRDefault="00432FCC" w:rsidP="00432FCC">
            <w:pPr>
              <w:pStyle w:val="TableText"/>
              <w:rPr>
                <w:rFonts w:eastAsia="Symbol"/>
              </w:rPr>
            </w:pPr>
          </w:p>
        </w:tc>
      </w:tr>
      <w:tr w:rsidR="00432FCC" w14:paraId="77E2EC5E" w14:textId="77777777">
        <w:tc>
          <w:tcPr>
            <w:tcW w:w="1330" w:type="dxa"/>
            <w:shd w:val="clear" w:color="auto" w:fill="auto"/>
            <w:vAlign w:val="center"/>
          </w:tcPr>
          <w:p w14:paraId="15224224" w14:textId="77777777" w:rsidR="00432FCC" w:rsidRDefault="00432FCC" w:rsidP="00432FCC">
            <w:pPr>
              <w:pStyle w:val="TableText"/>
              <w:rPr>
                <w:rFonts w:eastAsia="Symbol"/>
              </w:rPr>
            </w:pPr>
            <w:r>
              <w:t>Anti-C(w)</w:t>
            </w:r>
          </w:p>
        </w:tc>
        <w:tc>
          <w:tcPr>
            <w:tcW w:w="1331" w:type="dxa"/>
            <w:shd w:val="clear" w:color="auto" w:fill="auto"/>
            <w:vAlign w:val="center"/>
          </w:tcPr>
          <w:p w14:paraId="5E501A6B" w14:textId="77777777" w:rsidR="00432FCC" w:rsidRDefault="00432FCC" w:rsidP="00432FCC">
            <w:pPr>
              <w:pStyle w:val="TableText"/>
            </w:pPr>
            <w:r>
              <w:t>Anti-Cw</w:t>
            </w:r>
          </w:p>
        </w:tc>
        <w:tc>
          <w:tcPr>
            <w:tcW w:w="1053" w:type="dxa"/>
            <w:shd w:val="clear" w:color="auto" w:fill="auto"/>
            <w:vAlign w:val="center"/>
          </w:tcPr>
          <w:p w14:paraId="421275AE" w14:textId="77777777" w:rsidR="00432FCC" w:rsidRDefault="00432FCC" w:rsidP="00432FCC">
            <w:pPr>
              <w:pStyle w:val="TableText"/>
            </w:pPr>
            <w:r>
              <w:rPr>
                <w:bCs/>
              </w:rPr>
              <w:t>Yes</w:t>
            </w:r>
          </w:p>
        </w:tc>
        <w:tc>
          <w:tcPr>
            <w:tcW w:w="1331" w:type="dxa"/>
            <w:shd w:val="clear" w:color="auto" w:fill="auto"/>
            <w:vAlign w:val="center"/>
          </w:tcPr>
          <w:p w14:paraId="593962E2" w14:textId="77777777" w:rsidR="00432FCC" w:rsidRDefault="00432FCC" w:rsidP="00432FCC">
            <w:pPr>
              <w:pStyle w:val="TableText"/>
              <w:rPr>
                <w:rFonts w:eastAsia="Symbol"/>
              </w:rPr>
            </w:pPr>
            <w:r>
              <w:t>No</w:t>
            </w:r>
          </w:p>
        </w:tc>
        <w:tc>
          <w:tcPr>
            <w:tcW w:w="4315" w:type="dxa"/>
            <w:shd w:val="clear" w:color="auto" w:fill="auto"/>
            <w:vAlign w:val="center"/>
          </w:tcPr>
          <w:p w14:paraId="09936DAB" w14:textId="77777777" w:rsidR="00432FCC" w:rsidRDefault="00432FCC" w:rsidP="00432FCC">
            <w:pPr>
              <w:pStyle w:val="TableText"/>
              <w:rPr>
                <w:rFonts w:eastAsia="Symbol"/>
              </w:rPr>
            </w:pPr>
          </w:p>
        </w:tc>
      </w:tr>
      <w:tr w:rsidR="00432FCC" w14:paraId="2E180A18" w14:textId="77777777">
        <w:tc>
          <w:tcPr>
            <w:tcW w:w="1330" w:type="dxa"/>
            <w:shd w:val="clear" w:color="auto" w:fill="auto"/>
            <w:vAlign w:val="center"/>
          </w:tcPr>
          <w:p w14:paraId="5792DBA4" w14:textId="77777777" w:rsidR="00432FCC" w:rsidRDefault="00432FCC" w:rsidP="00432FCC">
            <w:pPr>
              <w:pStyle w:val="TableText"/>
              <w:rPr>
                <w:rFonts w:eastAsia="Symbol"/>
              </w:rPr>
            </w:pPr>
            <w:r>
              <w:t>Anti-C(x)</w:t>
            </w:r>
          </w:p>
        </w:tc>
        <w:tc>
          <w:tcPr>
            <w:tcW w:w="1331" w:type="dxa"/>
            <w:shd w:val="clear" w:color="auto" w:fill="auto"/>
            <w:vAlign w:val="center"/>
          </w:tcPr>
          <w:p w14:paraId="38010868" w14:textId="77777777" w:rsidR="00432FCC" w:rsidRDefault="00432FCC" w:rsidP="00432FCC">
            <w:pPr>
              <w:pStyle w:val="TableText"/>
              <w:rPr>
                <w:rFonts w:eastAsia="Symbol"/>
              </w:rPr>
            </w:pPr>
            <w:r>
              <w:t>Anti-Cx</w:t>
            </w:r>
          </w:p>
        </w:tc>
        <w:tc>
          <w:tcPr>
            <w:tcW w:w="1053" w:type="dxa"/>
            <w:shd w:val="clear" w:color="auto" w:fill="auto"/>
            <w:vAlign w:val="center"/>
          </w:tcPr>
          <w:p w14:paraId="1AAC51DA" w14:textId="77777777" w:rsidR="00432FCC" w:rsidRDefault="00432FCC" w:rsidP="00432FCC">
            <w:pPr>
              <w:pStyle w:val="TableText"/>
            </w:pPr>
            <w:r>
              <w:rPr>
                <w:bCs/>
              </w:rPr>
              <w:t>Yes</w:t>
            </w:r>
          </w:p>
        </w:tc>
        <w:tc>
          <w:tcPr>
            <w:tcW w:w="1331" w:type="dxa"/>
            <w:shd w:val="clear" w:color="auto" w:fill="auto"/>
            <w:vAlign w:val="center"/>
          </w:tcPr>
          <w:p w14:paraId="5FCCEA64" w14:textId="77777777" w:rsidR="00432FCC" w:rsidRDefault="00432FCC" w:rsidP="00432FCC">
            <w:pPr>
              <w:pStyle w:val="TableText"/>
              <w:rPr>
                <w:rFonts w:eastAsia="Symbol"/>
              </w:rPr>
            </w:pPr>
            <w:r>
              <w:t>No</w:t>
            </w:r>
          </w:p>
        </w:tc>
        <w:tc>
          <w:tcPr>
            <w:tcW w:w="4315" w:type="dxa"/>
            <w:shd w:val="clear" w:color="auto" w:fill="auto"/>
            <w:vAlign w:val="center"/>
          </w:tcPr>
          <w:p w14:paraId="5348E222" w14:textId="77777777" w:rsidR="00432FCC" w:rsidRDefault="00432FCC" w:rsidP="00432FCC">
            <w:pPr>
              <w:pStyle w:val="TableText"/>
              <w:rPr>
                <w:rFonts w:eastAsia="Symbol"/>
              </w:rPr>
            </w:pPr>
          </w:p>
        </w:tc>
      </w:tr>
      <w:tr w:rsidR="00432FCC" w14:paraId="24906BEA" w14:textId="77777777">
        <w:tc>
          <w:tcPr>
            <w:tcW w:w="1330" w:type="dxa"/>
            <w:shd w:val="clear" w:color="auto" w:fill="auto"/>
            <w:vAlign w:val="center"/>
          </w:tcPr>
          <w:p w14:paraId="6B480917" w14:textId="77777777" w:rsidR="00432FCC" w:rsidRDefault="00432FCC" w:rsidP="00432FCC">
            <w:pPr>
              <w:pStyle w:val="TableText"/>
              <w:rPr>
                <w:rFonts w:eastAsia="Symbol"/>
              </w:rPr>
            </w:pPr>
            <w:r>
              <w:t>Anti-E(w)</w:t>
            </w:r>
          </w:p>
        </w:tc>
        <w:tc>
          <w:tcPr>
            <w:tcW w:w="1331" w:type="dxa"/>
            <w:shd w:val="clear" w:color="auto" w:fill="auto"/>
            <w:vAlign w:val="center"/>
          </w:tcPr>
          <w:p w14:paraId="4591B768" w14:textId="77777777" w:rsidR="00432FCC" w:rsidRDefault="00432FCC" w:rsidP="00432FCC">
            <w:pPr>
              <w:pStyle w:val="TableText"/>
              <w:rPr>
                <w:rFonts w:eastAsia="Symbol"/>
              </w:rPr>
            </w:pPr>
            <w:r>
              <w:t>Anti-E(w)</w:t>
            </w:r>
          </w:p>
        </w:tc>
        <w:tc>
          <w:tcPr>
            <w:tcW w:w="1053" w:type="dxa"/>
            <w:shd w:val="clear" w:color="auto" w:fill="auto"/>
            <w:vAlign w:val="center"/>
          </w:tcPr>
          <w:p w14:paraId="0235FAF5" w14:textId="77777777" w:rsidR="00432FCC" w:rsidRDefault="00432FCC" w:rsidP="00432FCC">
            <w:pPr>
              <w:pStyle w:val="TableText"/>
            </w:pPr>
            <w:r>
              <w:rPr>
                <w:bCs/>
              </w:rPr>
              <w:t>Yes</w:t>
            </w:r>
          </w:p>
        </w:tc>
        <w:tc>
          <w:tcPr>
            <w:tcW w:w="1331" w:type="dxa"/>
            <w:shd w:val="clear" w:color="auto" w:fill="auto"/>
            <w:vAlign w:val="center"/>
          </w:tcPr>
          <w:p w14:paraId="6BE94B3D" w14:textId="77777777" w:rsidR="00432FCC" w:rsidRDefault="00432FCC" w:rsidP="00432FCC">
            <w:pPr>
              <w:pStyle w:val="TableText"/>
              <w:rPr>
                <w:rFonts w:eastAsia="Symbol"/>
              </w:rPr>
            </w:pPr>
            <w:r>
              <w:t>No</w:t>
            </w:r>
          </w:p>
        </w:tc>
        <w:tc>
          <w:tcPr>
            <w:tcW w:w="4315" w:type="dxa"/>
            <w:shd w:val="clear" w:color="auto" w:fill="auto"/>
            <w:vAlign w:val="center"/>
          </w:tcPr>
          <w:p w14:paraId="6FF852E1" w14:textId="77777777" w:rsidR="00432FCC" w:rsidRDefault="00432FCC" w:rsidP="00432FCC">
            <w:pPr>
              <w:pStyle w:val="TableText"/>
              <w:rPr>
                <w:rFonts w:eastAsia="Symbol"/>
              </w:rPr>
            </w:pPr>
          </w:p>
        </w:tc>
      </w:tr>
      <w:tr w:rsidR="00432FCC" w14:paraId="244FDE05" w14:textId="77777777">
        <w:tc>
          <w:tcPr>
            <w:tcW w:w="1330" w:type="dxa"/>
            <w:shd w:val="clear" w:color="auto" w:fill="auto"/>
            <w:vAlign w:val="center"/>
          </w:tcPr>
          <w:p w14:paraId="5388B252" w14:textId="77777777" w:rsidR="00432FCC" w:rsidRDefault="00432FCC" w:rsidP="00432FCC">
            <w:pPr>
              <w:pStyle w:val="TableText"/>
              <w:rPr>
                <w:rFonts w:eastAsia="Symbol"/>
              </w:rPr>
            </w:pPr>
            <w:r>
              <w:t>Anti-V</w:t>
            </w:r>
          </w:p>
        </w:tc>
        <w:tc>
          <w:tcPr>
            <w:tcW w:w="1331" w:type="dxa"/>
            <w:shd w:val="clear" w:color="auto" w:fill="auto"/>
            <w:vAlign w:val="center"/>
          </w:tcPr>
          <w:p w14:paraId="3E2DC41D" w14:textId="77777777" w:rsidR="00432FCC" w:rsidRDefault="00432FCC" w:rsidP="00432FCC">
            <w:pPr>
              <w:pStyle w:val="TableText"/>
            </w:pPr>
            <w:r>
              <w:t>Anti-V</w:t>
            </w:r>
          </w:p>
        </w:tc>
        <w:tc>
          <w:tcPr>
            <w:tcW w:w="1053" w:type="dxa"/>
            <w:shd w:val="clear" w:color="auto" w:fill="auto"/>
            <w:vAlign w:val="center"/>
          </w:tcPr>
          <w:p w14:paraId="7CC95B95" w14:textId="77777777" w:rsidR="00432FCC" w:rsidRDefault="00432FCC" w:rsidP="00432FCC">
            <w:pPr>
              <w:pStyle w:val="TableText"/>
            </w:pPr>
            <w:r>
              <w:rPr>
                <w:bCs/>
              </w:rPr>
              <w:t>Yes</w:t>
            </w:r>
          </w:p>
        </w:tc>
        <w:tc>
          <w:tcPr>
            <w:tcW w:w="1331" w:type="dxa"/>
            <w:shd w:val="clear" w:color="auto" w:fill="auto"/>
            <w:vAlign w:val="center"/>
          </w:tcPr>
          <w:p w14:paraId="53CB552B" w14:textId="77777777" w:rsidR="00432FCC" w:rsidRDefault="00432FCC" w:rsidP="00432FCC">
            <w:pPr>
              <w:pStyle w:val="TableText"/>
              <w:rPr>
                <w:rFonts w:eastAsia="Symbol"/>
              </w:rPr>
            </w:pPr>
            <w:r>
              <w:t>No</w:t>
            </w:r>
          </w:p>
        </w:tc>
        <w:tc>
          <w:tcPr>
            <w:tcW w:w="4315" w:type="dxa"/>
            <w:shd w:val="clear" w:color="auto" w:fill="auto"/>
            <w:vAlign w:val="center"/>
          </w:tcPr>
          <w:p w14:paraId="3A8F3E25" w14:textId="77777777" w:rsidR="00432FCC" w:rsidRDefault="00432FCC" w:rsidP="00432FCC">
            <w:pPr>
              <w:pStyle w:val="TableText"/>
              <w:rPr>
                <w:rFonts w:eastAsia="Symbol"/>
              </w:rPr>
            </w:pPr>
          </w:p>
        </w:tc>
      </w:tr>
      <w:tr w:rsidR="00432FCC" w14:paraId="29DAB553" w14:textId="77777777">
        <w:tc>
          <w:tcPr>
            <w:tcW w:w="1330" w:type="dxa"/>
            <w:shd w:val="clear" w:color="auto" w:fill="auto"/>
            <w:vAlign w:val="center"/>
          </w:tcPr>
          <w:p w14:paraId="270531B8" w14:textId="77777777" w:rsidR="00432FCC" w:rsidRDefault="00432FCC" w:rsidP="00432FCC">
            <w:pPr>
              <w:pStyle w:val="TableText"/>
              <w:rPr>
                <w:rFonts w:eastAsia="Symbol"/>
              </w:rPr>
            </w:pPr>
            <w:r>
              <w:t>Anti-Xg(a)</w:t>
            </w:r>
          </w:p>
        </w:tc>
        <w:tc>
          <w:tcPr>
            <w:tcW w:w="1331" w:type="dxa"/>
            <w:shd w:val="clear" w:color="auto" w:fill="auto"/>
            <w:vAlign w:val="center"/>
          </w:tcPr>
          <w:p w14:paraId="0D5139C3" w14:textId="77777777" w:rsidR="00432FCC" w:rsidRDefault="00432FCC" w:rsidP="00432FCC">
            <w:pPr>
              <w:pStyle w:val="TableText"/>
            </w:pPr>
            <w:r>
              <w:t>Anti-Xg(a)</w:t>
            </w:r>
          </w:p>
        </w:tc>
        <w:tc>
          <w:tcPr>
            <w:tcW w:w="1053" w:type="dxa"/>
            <w:shd w:val="clear" w:color="auto" w:fill="auto"/>
            <w:vAlign w:val="center"/>
          </w:tcPr>
          <w:p w14:paraId="0021A01F" w14:textId="77777777" w:rsidR="00432FCC" w:rsidRDefault="00432FCC" w:rsidP="00432FCC">
            <w:pPr>
              <w:pStyle w:val="TableText"/>
            </w:pPr>
            <w:r>
              <w:t>No</w:t>
            </w:r>
          </w:p>
        </w:tc>
        <w:tc>
          <w:tcPr>
            <w:tcW w:w="1331" w:type="dxa"/>
            <w:shd w:val="clear" w:color="auto" w:fill="auto"/>
            <w:vAlign w:val="center"/>
          </w:tcPr>
          <w:p w14:paraId="2508742B" w14:textId="77777777" w:rsidR="00432FCC" w:rsidRDefault="00432FCC" w:rsidP="00432FCC">
            <w:pPr>
              <w:pStyle w:val="TableText"/>
              <w:rPr>
                <w:rFonts w:eastAsia="Symbol"/>
              </w:rPr>
            </w:pPr>
            <w:r>
              <w:t>No</w:t>
            </w:r>
          </w:p>
        </w:tc>
        <w:tc>
          <w:tcPr>
            <w:tcW w:w="4315" w:type="dxa"/>
            <w:shd w:val="clear" w:color="auto" w:fill="auto"/>
            <w:vAlign w:val="center"/>
          </w:tcPr>
          <w:p w14:paraId="505D6439" w14:textId="77777777" w:rsidR="00432FCC" w:rsidRDefault="00432FCC" w:rsidP="00432FCC">
            <w:pPr>
              <w:pStyle w:val="TableText"/>
              <w:rPr>
                <w:rFonts w:eastAsia="Symbol"/>
              </w:rPr>
            </w:pPr>
          </w:p>
        </w:tc>
      </w:tr>
      <w:tr w:rsidR="00432FCC" w14:paraId="3C608747" w14:textId="77777777">
        <w:tc>
          <w:tcPr>
            <w:tcW w:w="1330" w:type="dxa"/>
            <w:shd w:val="clear" w:color="auto" w:fill="auto"/>
            <w:vAlign w:val="center"/>
          </w:tcPr>
          <w:p w14:paraId="466B0A18" w14:textId="77777777" w:rsidR="00432FCC" w:rsidRDefault="00432FCC" w:rsidP="00432FCC">
            <w:pPr>
              <w:pStyle w:val="TableText"/>
              <w:rPr>
                <w:rFonts w:eastAsia="Symbol"/>
              </w:rPr>
            </w:pPr>
            <w:r>
              <w:t>Anti-M(g)</w:t>
            </w:r>
          </w:p>
        </w:tc>
        <w:tc>
          <w:tcPr>
            <w:tcW w:w="1331" w:type="dxa"/>
            <w:shd w:val="clear" w:color="auto" w:fill="auto"/>
            <w:vAlign w:val="center"/>
          </w:tcPr>
          <w:p w14:paraId="136F0580" w14:textId="77777777" w:rsidR="00432FCC" w:rsidRDefault="00432FCC" w:rsidP="00432FCC">
            <w:pPr>
              <w:pStyle w:val="TableText"/>
            </w:pPr>
            <w:r>
              <w:t>Anti-M(g)</w:t>
            </w:r>
          </w:p>
        </w:tc>
        <w:tc>
          <w:tcPr>
            <w:tcW w:w="1053" w:type="dxa"/>
            <w:shd w:val="clear" w:color="auto" w:fill="auto"/>
            <w:vAlign w:val="center"/>
          </w:tcPr>
          <w:p w14:paraId="2532BD9E" w14:textId="77777777" w:rsidR="00432FCC" w:rsidRDefault="00432FCC" w:rsidP="00432FCC">
            <w:pPr>
              <w:pStyle w:val="TableText"/>
            </w:pPr>
            <w:r>
              <w:t>No</w:t>
            </w:r>
          </w:p>
        </w:tc>
        <w:tc>
          <w:tcPr>
            <w:tcW w:w="1331" w:type="dxa"/>
            <w:shd w:val="clear" w:color="auto" w:fill="auto"/>
            <w:vAlign w:val="center"/>
          </w:tcPr>
          <w:p w14:paraId="26A12021" w14:textId="77777777" w:rsidR="00432FCC" w:rsidRDefault="00432FCC" w:rsidP="00432FCC">
            <w:pPr>
              <w:pStyle w:val="TableText"/>
              <w:rPr>
                <w:rFonts w:eastAsia="Symbol"/>
              </w:rPr>
            </w:pPr>
            <w:r>
              <w:t>No</w:t>
            </w:r>
          </w:p>
        </w:tc>
        <w:tc>
          <w:tcPr>
            <w:tcW w:w="4315" w:type="dxa"/>
            <w:shd w:val="clear" w:color="auto" w:fill="auto"/>
            <w:vAlign w:val="center"/>
          </w:tcPr>
          <w:p w14:paraId="0E5A61A4" w14:textId="77777777" w:rsidR="00432FCC" w:rsidRDefault="00432FCC" w:rsidP="00432FCC">
            <w:pPr>
              <w:pStyle w:val="TableText"/>
              <w:rPr>
                <w:rFonts w:eastAsia="Symbol"/>
              </w:rPr>
            </w:pPr>
          </w:p>
        </w:tc>
      </w:tr>
      <w:tr w:rsidR="00432FCC" w14:paraId="6C5353FE" w14:textId="77777777">
        <w:tc>
          <w:tcPr>
            <w:tcW w:w="1330" w:type="dxa"/>
            <w:shd w:val="clear" w:color="auto" w:fill="auto"/>
            <w:vAlign w:val="center"/>
          </w:tcPr>
          <w:p w14:paraId="5E327932" w14:textId="77777777" w:rsidR="00432FCC" w:rsidRDefault="00432FCC" w:rsidP="00432FCC">
            <w:pPr>
              <w:pStyle w:val="TableText"/>
              <w:rPr>
                <w:rFonts w:eastAsia="Symbol"/>
              </w:rPr>
            </w:pPr>
            <w:r>
              <w:t>Anti-Mi(a)</w:t>
            </w:r>
          </w:p>
        </w:tc>
        <w:tc>
          <w:tcPr>
            <w:tcW w:w="1331" w:type="dxa"/>
            <w:shd w:val="clear" w:color="auto" w:fill="auto"/>
            <w:vAlign w:val="center"/>
          </w:tcPr>
          <w:p w14:paraId="51605B2A" w14:textId="77777777" w:rsidR="00432FCC" w:rsidRDefault="00432FCC" w:rsidP="00432FCC">
            <w:pPr>
              <w:pStyle w:val="TableText"/>
            </w:pPr>
            <w:r>
              <w:t>Anti-Mi(a)</w:t>
            </w:r>
          </w:p>
        </w:tc>
        <w:tc>
          <w:tcPr>
            <w:tcW w:w="1053" w:type="dxa"/>
            <w:shd w:val="clear" w:color="auto" w:fill="auto"/>
            <w:vAlign w:val="center"/>
          </w:tcPr>
          <w:p w14:paraId="78963897" w14:textId="77777777" w:rsidR="00432FCC" w:rsidRDefault="00432FCC" w:rsidP="00432FCC">
            <w:pPr>
              <w:pStyle w:val="TableText"/>
            </w:pPr>
            <w:r>
              <w:t>No</w:t>
            </w:r>
          </w:p>
        </w:tc>
        <w:tc>
          <w:tcPr>
            <w:tcW w:w="1331" w:type="dxa"/>
            <w:shd w:val="clear" w:color="auto" w:fill="auto"/>
            <w:vAlign w:val="center"/>
          </w:tcPr>
          <w:p w14:paraId="3605ECFF" w14:textId="77777777" w:rsidR="00432FCC" w:rsidRDefault="00432FCC" w:rsidP="00432FCC">
            <w:pPr>
              <w:pStyle w:val="TableText"/>
              <w:rPr>
                <w:rFonts w:eastAsia="Symbol"/>
              </w:rPr>
            </w:pPr>
            <w:r>
              <w:t>No</w:t>
            </w:r>
          </w:p>
        </w:tc>
        <w:tc>
          <w:tcPr>
            <w:tcW w:w="4315" w:type="dxa"/>
            <w:shd w:val="clear" w:color="auto" w:fill="auto"/>
            <w:vAlign w:val="center"/>
          </w:tcPr>
          <w:p w14:paraId="1C61BB18" w14:textId="77777777" w:rsidR="00432FCC" w:rsidRDefault="00432FCC" w:rsidP="00432FCC">
            <w:pPr>
              <w:pStyle w:val="TableText"/>
              <w:rPr>
                <w:rFonts w:eastAsia="Symbol"/>
              </w:rPr>
            </w:pPr>
          </w:p>
        </w:tc>
      </w:tr>
      <w:tr w:rsidR="00432FCC" w14:paraId="237BBAA0" w14:textId="77777777">
        <w:tc>
          <w:tcPr>
            <w:tcW w:w="1330" w:type="dxa"/>
            <w:shd w:val="clear" w:color="auto" w:fill="auto"/>
            <w:vAlign w:val="center"/>
          </w:tcPr>
          <w:p w14:paraId="53CA3407" w14:textId="77777777" w:rsidR="00432FCC" w:rsidRDefault="00432FCC" w:rsidP="00432FCC">
            <w:pPr>
              <w:pStyle w:val="TableText"/>
              <w:rPr>
                <w:rFonts w:eastAsia="Symbol"/>
              </w:rPr>
            </w:pPr>
            <w:r>
              <w:t>Anti-P</w:t>
            </w:r>
          </w:p>
        </w:tc>
        <w:tc>
          <w:tcPr>
            <w:tcW w:w="1331" w:type="dxa"/>
            <w:shd w:val="clear" w:color="auto" w:fill="auto"/>
            <w:vAlign w:val="center"/>
          </w:tcPr>
          <w:p w14:paraId="0F3ADB05" w14:textId="77777777" w:rsidR="00432FCC" w:rsidRDefault="00432FCC" w:rsidP="00432FCC">
            <w:pPr>
              <w:pStyle w:val="TableText"/>
            </w:pPr>
            <w:r>
              <w:t>Anti-P</w:t>
            </w:r>
          </w:p>
        </w:tc>
        <w:tc>
          <w:tcPr>
            <w:tcW w:w="1053" w:type="dxa"/>
            <w:shd w:val="clear" w:color="auto" w:fill="auto"/>
            <w:vAlign w:val="center"/>
          </w:tcPr>
          <w:p w14:paraId="5FF10690" w14:textId="77777777" w:rsidR="00432FCC" w:rsidRDefault="00432FCC" w:rsidP="00432FCC">
            <w:pPr>
              <w:pStyle w:val="TableText"/>
            </w:pPr>
            <w:r>
              <w:t>No</w:t>
            </w:r>
          </w:p>
        </w:tc>
        <w:tc>
          <w:tcPr>
            <w:tcW w:w="1331" w:type="dxa"/>
            <w:shd w:val="clear" w:color="auto" w:fill="auto"/>
            <w:vAlign w:val="center"/>
          </w:tcPr>
          <w:p w14:paraId="3C95A18C" w14:textId="77777777" w:rsidR="00432FCC" w:rsidRDefault="00432FCC" w:rsidP="00432FCC">
            <w:pPr>
              <w:pStyle w:val="TableText"/>
              <w:rPr>
                <w:rFonts w:eastAsia="Symbol"/>
              </w:rPr>
            </w:pPr>
            <w:r>
              <w:t>No</w:t>
            </w:r>
          </w:p>
        </w:tc>
        <w:tc>
          <w:tcPr>
            <w:tcW w:w="4315" w:type="dxa"/>
            <w:shd w:val="clear" w:color="auto" w:fill="auto"/>
            <w:vAlign w:val="center"/>
          </w:tcPr>
          <w:p w14:paraId="53634C87" w14:textId="77777777" w:rsidR="00432FCC" w:rsidRDefault="00432FCC" w:rsidP="00432FCC">
            <w:pPr>
              <w:pStyle w:val="TableText"/>
              <w:rPr>
                <w:rFonts w:eastAsia="Symbol"/>
              </w:rPr>
            </w:pPr>
          </w:p>
        </w:tc>
      </w:tr>
      <w:tr w:rsidR="00432FCC" w14:paraId="20928266" w14:textId="77777777">
        <w:tc>
          <w:tcPr>
            <w:tcW w:w="1330" w:type="dxa"/>
            <w:shd w:val="clear" w:color="auto" w:fill="auto"/>
            <w:vAlign w:val="center"/>
          </w:tcPr>
          <w:p w14:paraId="5CB34EF6" w14:textId="77777777" w:rsidR="00432FCC" w:rsidRDefault="00432FCC" w:rsidP="00432FCC">
            <w:pPr>
              <w:pStyle w:val="TableText"/>
              <w:rPr>
                <w:rFonts w:eastAsia="Symbol"/>
              </w:rPr>
            </w:pPr>
            <w:r>
              <w:t>Anti-A1</w:t>
            </w:r>
          </w:p>
        </w:tc>
        <w:tc>
          <w:tcPr>
            <w:tcW w:w="1331" w:type="dxa"/>
            <w:shd w:val="clear" w:color="auto" w:fill="auto"/>
            <w:vAlign w:val="center"/>
          </w:tcPr>
          <w:p w14:paraId="65E90E1A" w14:textId="77777777" w:rsidR="00432FCC" w:rsidRDefault="00432FCC" w:rsidP="00432FCC">
            <w:pPr>
              <w:pStyle w:val="TableText"/>
            </w:pPr>
            <w:r>
              <w:t>Anti-A-1</w:t>
            </w:r>
          </w:p>
        </w:tc>
        <w:tc>
          <w:tcPr>
            <w:tcW w:w="1053" w:type="dxa"/>
            <w:shd w:val="clear" w:color="auto" w:fill="auto"/>
            <w:vAlign w:val="center"/>
          </w:tcPr>
          <w:p w14:paraId="38CEFA60" w14:textId="77777777" w:rsidR="00432FCC" w:rsidRDefault="00432FCC" w:rsidP="00432FCC">
            <w:pPr>
              <w:pStyle w:val="TableText"/>
            </w:pPr>
            <w:r>
              <w:t>No</w:t>
            </w:r>
          </w:p>
        </w:tc>
        <w:tc>
          <w:tcPr>
            <w:tcW w:w="1331" w:type="dxa"/>
            <w:shd w:val="clear" w:color="auto" w:fill="auto"/>
            <w:vAlign w:val="center"/>
          </w:tcPr>
          <w:p w14:paraId="7768032C" w14:textId="77777777" w:rsidR="00432FCC" w:rsidRDefault="00432FCC" w:rsidP="00432FCC">
            <w:pPr>
              <w:pStyle w:val="TableText"/>
              <w:rPr>
                <w:rFonts w:eastAsia="Symbol"/>
              </w:rPr>
            </w:pPr>
            <w:r>
              <w:t>No</w:t>
            </w:r>
          </w:p>
        </w:tc>
        <w:tc>
          <w:tcPr>
            <w:tcW w:w="4315" w:type="dxa"/>
            <w:shd w:val="clear" w:color="auto" w:fill="auto"/>
            <w:vAlign w:val="center"/>
          </w:tcPr>
          <w:p w14:paraId="6C4EA811" w14:textId="77777777" w:rsidR="00432FCC" w:rsidRDefault="00432FCC" w:rsidP="00432FCC">
            <w:pPr>
              <w:pStyle w:val="TableText"/>
              <w:rPr>
                <w:rFonts w:eastAsia="Symbol"/>
              </w:rPr>
            </w:pPr>
          </w:p>
        </w:tc>
      </w:tr>
      <w:tr w:rsidR="00432FCC" w14:paraId="3A09738E" w14:textId="77777777">
        <w:tc>
          <w:tcPr>
            <w:tcW w:w="1330" w:type="dxa"/>
            <w:shd w:val="clear" w:color="auto" w:fill="auto"/>
            <w:vAlign w:val="center"/>
          </w:tcPr>
          <w:p w14:paraId="2FA13E06" w14:textId="77777777" w:rsidR="00432FCC" w:rsidRDefault="00432FCC" w:rsidP="00432FCC">
            <w:pPr>
              <w:pStyle w:val="TableText"/>
              <w:rPr>
                <w:rFonts w:eastAsia="Symbol"/>
              </w:rPr>
            </w:pPr>
            <w:r>
              <w:t>Anti-H</w:t>
            </w:r>
          </w:p>
        </w:tc>
        <w:tc>
          <w:tcPr>
            <w:tcW w:w="1331" w:type="dxa"/>
            <w:shd w:val="clear" w:color="auto" w:fill="auto"/>
            <w:vAlign w:val="center"/>
          </w:tcPr>
          <w:p w14:paraId="57D54425" w14:textId="77777777" w:rsidR="00432FCC" w:rsidRDefault="00432FCC" w:rsidP="00432FCC">
            <w:pPr>
              <w:pStyle w:val="TableText"/>
              <w:rPr>
                <w:rFonts w:eastAsia="Symbol"/>
              </w:rPr>
            </w:pPr>
            <w:r>
              <w:t>Anti-H</w:t>
            </w:r>
          </w:p>
        </w:tc>
        <w:tc>
          <w:tcPr>
            <w:tcW w:w="1053" w:type="dxa"/>
            <w:shd w:val="clear" w:color="auto" w:fill="auto"/>
            <w:vAlign w:val="center"/>
          </w:tcPr>
          <w:p w14:paraId="2BA422B9" w14:textId="77777777" w:rsidR="00432FCC" w:rsidRDefault="00432FCC" w:rsidP="00432FCC">
            <w:pPr>
              <w:pStyle w:val="TableText"/>
            </w:pPr>
            <w:r>
              <w:t>No</w:t>
            </w:r>
          </w:p>
        </w:tc>
        <w:tc>
          <w:tcPr>
            <w:tcW w:w="1331" w:type="dxa"/>
            <w:shd w:val="clear" w:color="auto" w:fill="auto"/>
            <w:vAlign w:val="center"/>
          </w:tcPr>
          <w:p w14:paraId="52D4E088" w14:textId="77777777" w:rsidR="00432FCC" w:rsidRDefault="00432FCC" w:rsidP="00432FCC">
            <w:pPr>
              <w:pStyle w:val="TableText"/>
              <w:rPr>
                <w:rFonts w:eastAsia="Symbol"/>
              </w:rPr>
            </w:pPr>
            <w:r>
              <w:t>No</w:t>
            </w:r>
          </w:p>
        </w:tc>
        <w:tc>
          <w:tcPr>
            <w:tcW w:w="4315" w:type="dxa"/>
            <w:shd w:val="clear" w:color="auto" w:fill="auto"/>
            <w:vAlign w:val="center"/>
          </w:tcPr>
          <w:p w14:paraId="4BB6ACA1" w14:textId="77777777" w:rsidR="00432FCC" w:rsidRDefault="00432FCC" w:rsidP="00432FCC">
            <w:pPr>
              <w:pStyle w:val="TableText"/>
              <w:rPr>
                <w:rFonts w:eastAsia="Symbol"/>
              </w:rPr>
            </w:pPr>
          </w:p>
        </w:tc>
      </w:tr>
      <w:tr w:rsidR="00432FCC" w14:paraId="268810BC" w14:textId="77777777">
        <w:tc>
          <w:tcPr>
            <w:tcW w:w="1330" w:type="dxa"/>
            <w:shd w:val="clear" w:color="auto" w:fill="auto"/>
            <w:vAlign w:val="center"/>
          </w:tcPr>
          <w:p w14:paraId="17A2EAFA" w14:textId="77777777" w:rsidR="00432FCC" w:rsidRDefault="00432FCC" w:rsidP="00432FCC">
            <w:pPr>
              <w:pStyle w:val="TableText"/>
              <w:rPr>
                <w:rFonts w:eastAsia="Symbol"/>
              </w:rPr>
            </w:pPr>
            <w:r>
              <w:t>Anti-Le(ab)</w:t>
            </w:r>
          </w:p>
        </w:tc>
        <w:tc>
          <w:tcPr>
            <w:tcW w:w="1331" w:type="dxa"/>
            <w:shd w:val="clear" w:color="auto" w:fill="auto"/>
            <w:vAlign w:val="center"/>
          </w:tcPr>
          <w:p w14:paraId="601D2ADF" w14:textId="77777777" w:rsidR="00432FCC" w:rsidRDefault="00432FCC" w:rsidP="00432FCC">
            <w:pPr>
              <w:pStyle w:val="TableText"/>
            </w:pPr>
            <w:r>
              <w:t>Anti-Le(x)</w:t>
            </w:r>
          </w:p>
        </w:tc>
        <w:tc>
          <w:tcPr>
            <w:tcW w:w="1053" w:type="dxa"/>
            <w:shd w:val="clear" w:color="auto" w:fill="auto"/>
            <w:vAlign w:val="center"/>
          </w:tcPr>
          <w:p w14:paraId="5A0293BD" w14:textId="77777777" w:rsidR="00432FCC" w:rsidRDefault="00432FCC" w:rsidP="00432FCC">
            <w:pPr>
              <w:pStyle w:val="TableText"/>
            </w:pPr>
            <w:r>
              <w:t>No</w:t>
            </w:r>
          </w:p>
        </w:tc>
        <w:tc>
          <w:tcPr>
            <w:tcW w:w="1331" w:type="dxa"/>
            <w:shd w:val="clear" w:color="auto" w:fill="auto"/>
            <w:vAlign w:val="center"/>
          </w:tcPr>
          <w:p w14:paraId="2FEA94A0" w14:textId="77777777" w:rsidR="00432FCC" w:rsidRDefault="00432FCC" w:rsidP="00432FCC">
            <w:pPr>
              <w:pStyle w:val="TableText"/>
              <w:rPr>
                <w:rFonts w:eastAsia="Symbol"/>
              </w:rPr>
            </w:pPr>
            <w:r>
              <w:t>No</w:t>
            </w:r>
          </w:p>
        </w:tc>
        <w:tc>
          <w:tcPr>
            <w:tcW w:w="4315" w:type="dxa"/>
            <w:shd w:val="clear" w:color="auto" w:fill="auto"/>
            <w:vAlign w:val="center"/>
          </w:tcPr>
          <w:p w14:paraId="5554853B" w14:textId="77777777" w:rsidR="00432FCC" w:rsidRDefault="00432FCC" w:rsidP="00432FCC">
            <w:pPr>
              <w:pStyle w:val="TableText"/>
              <w:rPr>
                <w:rFonts w:eastAsia="Symbol"/>
              </w:rPr>
            </w:pPr>
          </w:p>
        </w:tc>
      </w:tr>
      <w:tr w:rsidR="00432FCC" w14:paraId="31F6FEE5" w14:textId="77777777">
        <w:tc>
          <w:tcPr>
            <w:tcW w:w="1330" w:type="dxa"/>
            <w:shd w:val="clear" w:color="auto" w:fill="auto"/>
            <w:vAlign w:val="center"/>
          </w:tcPr>
          <w:p w14:paraId="4CF6D024" w14:textId="77777777" w:rsidR="00432FCC" w:rsidRDefault="00432FCC" w:rsidP="00432FCC">
            <w:pPr>
              <w:pStyle w:val="TableText"/>
              <w:rPr>
                <w:rFonts w:eastAsia="Symbol"/>
              </w:rPr>
            </w:pPr>
            <w:r>
              <w:t>Anti-Di(a)</w:t>
            </w:r>
          </w:p>
        </w:tc>
        <w:tc>
          <w:tcPr>
            <w:tcW w:w="1331" w:type="dxa"/>
            <w:shd w:val="clear" w:color="auto" w:fill="auto"/>
            <w:vAlign w:val="center"/>
          </w:tcPr>
          <w:p w14:paraId="339BD8BC" w14:textId="77777777" w:rsidR="00432FCC" w:rsidRDefault="00432FCC" w:rsidP="00432FCC">
            <w:pPr>
              <w:pStyle w:val="TableText"/>
              <w:rPr>
                <w:rFonts w:eastAsia="Symbol"/>
              </w:rPr>
            </w:pPr>
            <w:r>
              <w:t>Anti-Di(a)</w:t>
            </w:r>
          </w:p>
        </w:tc>
        <w:tc>
          <w:tcPr>
            <w:tcW w:w="1053" w:type="dxa"/>
            <w:shd w:val="clear" w:color="auto" w:fill="auto"/>
            <w:vAlign w:val="center"/>
          </w:tcPr>
          <w:p w14:paraId="7CD66E19" w14:textId="77777777" w:rsidR="00432FCC" w:rsidRDefault="00432FCC" w:rsidP="00432FCC">
            <w:pPr>
              <w:pStyle w:val="TableText"/>
            </w:pPr>
            <w:r>
              <w:t>No</w:t>
            </w:r>
          </w:p>
        </w:tc>
        <w:tc>
          <w:tcPr>
            <w:tcW w:w="1331" w:type="dxa"/>
            <w:shd w:val="clear" w:color="auto" w:fill="auto"/>
            <w:vAlign w:val="center"/>
          </w:tcPr>
          <w:p w14:paraId="494AB210" w14:textId="77777777" w:rsidR="00432FCC" w:rsidRDefault="00432FCC" w:rsidP="00432FCC">
            <w:pPr>
              <w:pStyle w:val="TableText"/>
              <w:rPr>
                <w:rFonts w:eastAsia="Symbol"/>
              </w:rPr>
            </w:pPr>
            <w:r>
              <w:t>No</w:t>
            </w:r>
          </w:p>
        </w:tc>
        <w:tc>
          <w:tcPr>
            <w:tcW w:w="4315" w:type="dxa"/>
            <w:shd w:val="clear" w:color="auto" w:fill="auto"/>
            <w:vAlign w:val="center"/>
          </w:tcPr>
          <w:p w14:paraId="519DE8C0" w14:textId="77777777" w:rsidR="00432FCC" w:rsidRDefault="00432FCC" w:rsidP="00432FCC">
            <w:pPr>
              <w:pStyle w:val="TableText"/>
              <w:rPr>
                <w:rFonts w:eastAsia="Symbol"/>
              </w:rPr>
            </w:pPr>
          </w:p>
        </w:tc>
      </w:tr>
      <w:tr w:rsidR="00432FCC" w14:paraId="54C2C607" w14:textId="77777777">
        <w:tc>
          <w:tcPr>
            <w:tcW w:w="1330" w:type="dxa"/>
            <w:shd w:val="clear" w:color="auto" w:fill="auto"/>
            <w:vAlign w:val="center"/>
          </w:tcPr>
          <w:p w14:paraId="6B9D554E" w14:textId="77777777" w:rsidR="00432FCC" w:rsidRDefault="00432FCC" w:rsidP="00432FCC">
            <w:pPr>
              <w:pStyle w:val="TableText"/>
              <w:rPr>
                <w:rFonts w:eastAsia="Symbol"/>
              </w:rPr>
            </w:pPr>
            <w:r>
              <w:t>Anti-Di(b)</w:t>
            </w:r>
          </w:p>
        </w:tc>
        <w:tc>
          <w:tcPr>
            <w:tcW w:w="1331" w:type="dxa"/>
            <w:shd w:val="clear" w:color="auto" w:fill="auto"/>
            <w:vAlign w:val="center"/>
          </w:tcPr>
          <w:p w14:paraId="0DDE816F" w14:textId="77777777" w:rsidR="00432FCC" w:rsidRDefault="00432FCC" w:rsidP="00432FCC">
            <w:pPr>
              <w:pStyle w:val="TableText"/>
              <w:rPr>
                <w:rFonts w:eastAsia="Symbol"/>
              </w:rPr>
            </w:pPr>
            <w:r>
              <w:t>Anti-Di(b)</w:t>
            </w:r>
          </w:p>
        </w:tc>
        <w:tc>
          <w:tcPr>
            <w:tcW w:w="1053" w:type="dxa"/>
            <w:shd w:val="clear" w:color="auto" w:fill="auto"/>
            <w:vAlign w:val="center"/>
          </w:tcPr>
          <w:p w14:paraId="2C18289C" w14:textId="77777777" w:rsidR="00432FCC" w:rsidRDefault="00432FCC" w:rsidP="00432FCC">
            <w:pPr>
              <w:pStyle w:val="TableText"/>
            </w:pPr>
            <w:r>
              <w:t>No</w:t>
            </w:r>
          </w:p>
        </w:tc>
        <w:tc>
          <w:tcPr>
            <w:tcW w:w="1331" w:type="dxa"/>
            <w:shd w:val="clear" w:color="auto" w:fill="auto"/>
            <w:vAlign w:val="center"/>
          </w:tcPr>
          <w:p w14:paraId="35DAC5BC" w14:textId="77777777" w:rsidR="00432FCC" w:rsidRDefault="00432FCC" w:rsidP="00432FCC">
            <w:pPr>
              <w:pStyle w:val="TableText"/>
              <w:rPr>
                <w:rFonts w:eastAsia="Symbol"/>
              </w:rPr>
            </w:pPr>
            <w:r>
              <w:t>No</w:t>
            </w:r>
          </w:p>
        </w:tc>
        <w:tc>
          <w:tcPr>
            <w:tcW w:w="4315" w:type="dxa"/>
            <w:shd w:val="clear" w:color="auto" w:fill="auto"/>
            <w:vAlign w:val="center"/>
          </w:tcPr>
          <w:p w14:paraId="24E087B4" w14:textId="77777777" w:rsidR="00432FCC" w:rsidRDefault="00432FCC" w:rsidP="00432FCC">
            <w:pPr>
              <w:pStyle w:val="TableText"/>
              <w:rPr>
                <w:rFonts w:eastAsia="Symbol"/>
              </w:rPr>
            </w:pPr>
          </w:p>
        </w:tc>
      </w:tr>
      <w:tr w:rsidR="00432FCC" w14:paraId="74E34594" w14:textId="77777777">
        <w:tc>
          <w:tcPr>
            <w:tcW w:w="1330" w:type="dxa"/>
            <w:shd w:val="clear" w:color="auto" w:fill="auto"/>
            <w:vAlign w:val="center"/>
          </w:tcPr>
          <w:p w14:paraId="4F33D8E1" w14:textId="77777777" w:rsidR="00432FCC" w:rsidRDefault="00432FCC" w:rsidP="00432FCC">
            <w:pPr>
              <w:pStyle w:val="TableText"/>
              <w:rPr>
                <w:rFonts w:eastAsia="Symbol"/>
              </w:rPr>
            </w:pPr>
            <w:r>
              <w:t>Anti-Do(a)</w:t>
            </w:r>
          </w:p>
        </w:tc>
        <w:tc>
          <w:tcPr>
            <w:tcW w:w="1331" w:type="dxa"/>
            <w:shd w:val="clear" w:color="auto" w:fill="auto"/>
            <w:vAlign w:val="center"/>
          </w:tcPr>
          <w:p w14:paraId="1313FD84" w14:textId="77777777" w:rsidR="00432FCC" w:rsidRDefault="00432FCC" w:rsidP="00432FCC">
            <w:pPr>
              <w:pStyle w:val="TableText"/>
              <w:rPr>
                <w:rFonts w:eastAsia="Symbol"/>
              </w:rPr>
            </w:pPr>
            <w:r>
              <w:t>Anti-Do(a)</w:t>
            </w:r>
          </w:p>
        </w:tc>
        <w:tc>
          <w:tcPr>
            <w:tcW w:w="1053" w:type="dxa"/>
            <w:shd w:val="clear" w:color="auto" w:fill="auto"/>
            <w:vAlign w:val="center"/>
          </w:tcPr>
          <w:p w14:paraId="00F17943" w14:textId="77777777" w:rsidR="00432FCC" w:rsidRDefault="00432FCC" w:rsidP="00432FCC">
            <w:pPr>
              <w:pStyle w:val="TableText"/>
            </w:pPr>
            <w:r>
              <w:t>No</w:t>
            </w:r>
          </w:p>
        </w:tc>
        <w:tc>
          <w:tcPr>
            <w:tcW w:w="1331" w:type="dxa"/>
            <w:shd w:val="clear" w:color="auto" w:fill="auto"/>
            <w:vAlign w:val="center"/>
          </w:tcPr>
          <w:p w14:paraId="4AC5BDAE" w14:textId="77777777" w:rsidR="00432FCC" w:rsidRDefault="00432FCC" w:rsidP="00432FCC">
            <w:pPr>
              <w:pStyle w:val="TableText"/>
              <w:rPr>
                <w:rFonts w:eastAsia="Symbol"/>
              </w:rPr>
            </w:pPr>
            <w:r>
              <w:t>No</w:t>
            </w:r>
          </w:p>
        </w:tc>
        <w:tc>
          <w:tcPr>
            <w:tcW w:w="4315" w:type="dxa"/>
            <w:shd w:val="clear" w:color="auto" w:fill="auto"/>
            <w:vAlign w:val="center"/>
          </w:tcPr>
          <w:p w14:paraId="1F0A9AD9" w14:textId="77777777" w:rsidR="00432FCC" w:rsidRDefault="00432FCC" w:rsidP="00432FCC">
            <w:pPr>
              <w:pStyle w:val="TableText"/>
            </w:pPr>
          </w:p>
        </w:tc>
      </w:tr>
      <w:tr w:rsidR="00432FCC" w14:paraId="263040EC" w14:textId="77777777">
        <w:tc>
          <w:tcPr>
            <w:tcW w:w="1330" w:type="dxa"/>
            <w:shd w:val="clear" w:color="auto" w:fill="auto"/>
            <w:vAlign w:val="center"/>
          </w:tcPr>
          <w:p w14:paraId="4DF13B4C" w14:textId="77777777" w:rsidR="00432FCC" w:rsidRDefault="00432FCC" w:rsidP="00432FCC">
            <w:pPr>
              <w:pStyle w:val="TableText"/>
              <w:rPr>
                <w:rFonts w:eastAsia="Symbol"/>
              </w:rPr>
            </w:pPr>
            <w:r>
              <w:t>Anti-Do(b)</w:t>
            </w:r>
          </w:p>
        </w:tc>
        <w:tc>
          <w:tcPr>
            <w:tcW w:w="1331" w:type="dxa"/>
            <w:shd w:val="clear" w:color="auto" w:fill="auto"/>
            <w:vAlign w:val="center"/>
          </w:tcPr>
          <w:p w14:paraId="3A7CA841" w14:textId="77777777" w:rsidR="00432FCC" w:rsidRDefault="00432FCC" w:rsidP="00432FCC">
            <w:pPr>
              <w:pStyle w:val="TableText"/>
              <w:rPr>
                <w:rFonts w:eastAsia="Symbol"/>
              </w:rPr>
            </w:pPr>
            <w:r>
              <w:t>None</w:t>
            </w:r>
          </w:p>
        </w:tc>
        <w:tc>
          <w:tcPr>
            <w:tcW w:w="1053" w:type="dxa"/>
            <w:shd w:val="clear" w:color="auto" w:fill="auto"/>
            <w:vAlign w:val="center"/>
          </w:tcPr>
          <w:p w14:paraId="5B4F90B1" w14:textId="77777777" w:rsidR="00432FCC" w:rsidRDefault="00432FCC" w:rsidP="00432FCC">
            <w:pPr>
              <w:pStyle w:val="TableText"/>
            </w:pPr>
            <w:r>
              <w:t>No</w:t>
            </w:r>
          </w:p>
        </w:tc>
        <w:tc>
          <w:tcPr>
            <w:tcW w:w="1331" w:type="dxa"/>
            <w:shd w:val="clear" w:color="auto" w:fill="auto"/>
            <w:vAlign w:val="center"/>
          </w:tcPr>
          <w:p w14:paraId="166EB04B" w14:textId="77777777" w:rsidR="00432FCC" w:rsidRDefault="00432FCC" w:rsidP="00432FCC">
            <w:pPr>
              <w:pStyle w:val="TableText"/>
              <w:rPr>
                <w:rFonts w:eastAsia="Symbol"/>
              </w:rPr>
            </w:pPr>
            <w:r>
              <w:t>No</w:t>
            </w:r>
          </w:p>
        </w:tc>
        <w:tc>
          <w:tcPr>
            <w:tcW w:w="4315" w:type="dxa"/>
            <w:shd w:val="clear" w:color="auto" w:fill="auto"/>
            <w:vAlign w:val="center"/>
          </w:tcPr>
          <w:p w14:paraId="2F6DE67E" w14:textId="77777777" w:rsidR="00432FCC" w:rsidRDefault="00432FCC" w:rsidP="00432FCC">
            <w:pPr>
              <w:pStyle w:val="TableText"/>
            </w:pPr>
          </w:p>
        </w:tc>
      </w:tr>
      <w:tr w:rsidR="00432FCC" w14:paraId="3783B6D0" w14:textId="77777777">
        <w:tc>
          <w:tcPr>
            <w:tcW w:w="1330" w:type="dxa"/>
            <w:shd w:val="clear" w:color="auto" w:fill="auto"/>
            <w:vAlign w:val="center"/>
          </w:tcPr>
          <w:p w14:paraId="24376CB6" w14:textId="77777777" w:rsidR="00432FCC" w:rsidRDefault="00432FCC" w:rsidP="00432FCC">
            <w:pPr>
              <w:pStyle w:val="TableText"/>
              <w:rPr>
                <w:rFonts w:eastAsia="Symbol"/>
              </w:rPr>
            </w:pPr>
            <w:r>
              <w:t>Anti-Co(a)</w:t>
            </w:r>
          </w:p>
        </w:tc>
        <w:tc>
          <w:tcPr>
            <w:tcW w:w="1331" w:type="dxa"/>
            <w:shd w:val="clear" w:color="auto" w:fill="auto"/>
            <w:vAlign w:val="center"/>
          </w:tcPr>
          <w:p w14:paraId="7D5246D3" w14:textId="77777777" w:rsidR="00432FCC" w:rsidRDefault="00432FCC" w:rsidP="00432FCC">
            <w:pPr>
              <w:pStyle w:val="TableText"/>
              <w:rPr>
                <w:rFonts w:eastAsia="Symbol"/>
              </w:rPr>
            </w:pPr>
            <w:r>
              <w:t>None</w:t>
            </w:r>
          </w:p>
        </w:tc>
        <w:tc>
          <w:tcPr>
            <w:tcW w:w="1053" w:type="dxa"/>
            <w:shd w:val="clear" w:color="auto" w:fill="auto"/>
            <w:vAlign w:val="center"/>
          </w:tcPr>
          <w:p w14:paraId="5873FC25" w14:textId="77777777" w:rsidR="00432FCC" w:rsidRDefault="00432FCC" w:rsidP="00432FCC">
            <w:pPr>
              <w:pStyle w:val="TableText"/>
            </w:pPr>
            <w:r>
              <w:t>No</w:t>
            </w:r>
          </w:p>
        </w:tc>
        <w:tc>
          <w:tcPr>
            <w:tcW w:w="1331" w:type="dxa"/>
            <w:shd w:val="clear" w:color="auto" w:fill="auto"/>
            <w:vAlign w:val="center"/>
          </w:tcPr>
          <w:p w14:paraId="749CFC11" w14:textId="77777777" w:rsidR="00432FCC" w:rsidRDefault="00432FCC" w:rsidP="00432FCC">
            <w:pPr>
              <w:pStyle w:val="TableText"/>
              <w:rPr>
                <w:rFonts w:eastAsia="Symbol"/>
              </w:rPr>
            </w:pPr>
            <w:r>
              <w:t>No</w:t>
            </w:r>
          </w:p>
        </w:tc>
        <w:tc>
          <w:tcPr>
            <w:tcW w:w="4315" w:type="dxa"/>
            <w:shd w:val="clear" w:color="auto" w:fill="auto"/>
            <w:vAlign w:val="center"/>
          </w:tcPr>
          <w:p w14:paraId="457F1635" w14:textId="77777777" w:rsidR="00432FCC" w:rsidRDefault="00432FCC" w:rsidP="00432FCC">
            <w:pPr>
              <w:pStyle w:val="TableText"/>
            </w:pPr>
          </w:p>
        </w:tc>
      </w:tr>
      <w:tr w:rsidR="00432FCC" w14:paraId="74C605E6" w14:textId="77777777">
        <w:tc>
          <w:tcPr>
            <w:tcW w:w="1330" w:type="dxa"/>
            <w:shd w:val="clear" w:color="auto" w:fill="auto"/>
            <w:vAlign w:val="center"/>
          </w:tcPr>
          <w:p w14:paraId="53090EF2" w14:textId="77777777" w:rsidR="00432FCC" w:rsidRDefault="00432FCC" w:rsidP="00432FCC">
            <w:pPr>
              <w:pStyle w:val="TableText"/>
              <w:rPr>
                <w:rFonts w:eastAsia="Symbol"/>
              </w:rPr>
            </w:pPr>
            <w:r>
              <w:t>Anti-Co(b)</w:t>
            </w:r>
          </w:p>
        </w:tc>
        <w:tc>
          <w:tcPr>
            <w:tcW w:w="1331" w:type="dxa"/>
            <w:shd w:val="clear" w:color="auto" w:fill="auto"/>
            <w:vAlign w:val="center"/>
          </w:tcPr>
          <w:p w14:paraId="1D8F3B66" w14:textId="77777777" w:rsidR="00432FCC" w:rsidRDefault="00432FCC" w:rsidP="00432FCC">
            <w:pPr>
              <w:pStyle w:val="TableText"/>
              <w:rPr>
                <w:rFonts w:eastAsia="Symbol"/>
              </w:rPr>
            </w:pPr>
            <w:r>
              <w:t>None</w:t>
            </w:r>
          </w:p>
        </w:tc>
        <w:tc>
          <w:tcPr>
            <w:tcW w:w="1053" w:type="dxa"/>
            <w:shd w:val="clear" w:color="auto" w:fill="auto"/>
            <w:vAlign w:val="center"/>
          </w:tcPr>
          <w:p w14:paraId="1AE67799" w14:textId="77777777" w:rsidR="00432FCC" w:rsidRDefault="00432FCC" w:rsidP="00432FCC">
            <w:pPr>
              <w:pStyle w:val="TableText"/>
            </w:pPr>
            <w:r>
              <w:t>No</w:t>
            </w:r>
          </w:p>
        </w:tc>
        <w:tc>
          <w:tcPr>
            <w:tcW w:w="1331" w:type="dxa"/>
            <w:shd w:val="clear" w:color="auto" w:fill="auto"/>
            <w:vAlign w:val="center"/>
          </w:tcPr>
          <w:p w14:paraId="1686DD42" w14:textId="77777777" w:rsidR="00432FCC" w:rsidRDefault="00432FCC" w:rsidP="00432FCC">
            <w:pPr>
              <w:pStyle w:val="TableText"/>
              <w:rPr>
                <w:rFonts w:eastAsia="Symbol"/>
              </w:rPr>
            </w:pPr>
            <w:r>
              <w:t>No</w:t>
            </w:r>
          </w:p>
        </w:tc>
        <w:tc>
          <w:tcPr>
            <w:tcW w:w="4315" w:type="dxa"/>
            <w:shd w:val="clear" w:color="auto" w:fill="auto"/>
            <w:vAlign w:val="center"/>
          </w:tcPr>
          <w:p w14:paraId="4EE2FB0D" w14:textId="77777777" w:rsidR="00432FCC" w:rsidRDefault="00432FCC" w:rsidP="00432FCC">
            <w:pPr>
              <w:pStyle w:val="TableText"/>
            </w:pPr>
          </w:p>
        </w:tc>
      </w:tr>
      <w:tr w:rsidR="00432FCC" w14:paraId="3DD97EE7" w14:textId="77777777">
        <w:tc>
          <w:tcPr>
            <w:tcW w:w="1330" w:type="dxa"/>
            <w:shd w:val="clear" w:color="auto" w:fill="auto"/>
            <w:vAlign w:val="center"/>
          </w:tcPr>
          <w:p w14:paraId="6BDD4323" w14:textId="77777777" w:rsidR="00432FCC" w:rsidRDefault="00432FCC" w:rsidP="00432FCC">
            <w:pPr>
              <w:pStyle w:val="TableText"/>
              <w:rPr>
                <w:rFonts w:eastAsia="Symbol"/>
              </w:rPr>
            </w:pPr>
            <w:r>
              <w:t>Anti-LW(a)</w:t>
            </w:r>
          </w:p>
        </w:tc>
        <w:tc>
          <w:tcPr>
            <w:tcW w:w="1331" w:type="dxa"/>
            <w:shd w:val="clear" w:color="auto" w:fill="auto"/>
            <w:vAlign w:val="center"/>
          </w:tcPr>
          <w:p w14:paraId="226575DA" w14:textId="77777777" w:rsidR="00432FCC" w:rsidRDefault="00432FCC" w:rsidP="00432FCC">
            <w:pPr>
              <w:pStyle w:val="TableText"/>
            </w:pPr>
            <w:r>
              <w:t>None</w:t>
            </w:r>
          </w:p>
        </w:tc>
        <w:tc>
          <w:tcPr>
            <w:tcW w:w="1053" w:type="dxa"/>
            <w:shd w:val="clear" w:color="auto" w:fill="auto"/>
            <w:vAlign w:val="center"/>
          </w:tcPr>
          <w:p w14:paraId="2966E179" w14:textId="77777777" w:rsidR="00432FCC" w:rsidRDefault="00432FCC" w:rsidP="00432FCC">
            <w:pPr>
              <w:pStyle w:val="TableText"/>
            </w:pPr>
            <w:r>
              <w:t>No</w:t>
            </w:r>
          </w:p>
        </w:tc>
        <w:tc>
          <w:tcPr>
            <w:tcW w:w="1331" w:type="dxa"/>
            <w:shd w:val="clear" w:color="auto" w:fill="auto"/>
            <w:vAlign w:val="center"/>
          </w:tcPr>
          <w:p w14:paraId="6AE4980D" w14:textId="77777777" w:rsidR="00432FCC" w:rsidRDefault="00432FCC" w:rsidP="00432FCC">
            <w:pPr>
              <w:pStyle w:val="TableText"/>
              <w:rPr>
                <w:rFonts w:eastAsia="Symbol"/>
              </w:rPr>
            </w:pPr>
            <w:r>
              <w:t>No</w:t>
            </w:r>
          </w:p>
        </w:tc>
        <w:tc>
          <w:tcPr>
            <w:tcW w:w="4315" w:type="dxa"/>
            <w:shd w:val="clear" w:color="auto" w:fill="auto"/>
            <w:vAlign w:val="center"/>
          </w:tcPr>
          <w:p w14:paraId="5EAA144C" w14:textId="77777777" w:rsidR="00432FCC" w:rsidRDefault="00432FCC" w:rsidP="00432FCC">
            <w:pPr>
              <w:pStyle w:val="TableText"/>
            </w:pPr>
          </w:p>
        </w:tc>
      </w:tr>
      <w:tr w:rsidR="00432FCC" w14:paraId="7B3B9739" w14:textId="77777777">
        <w:tc>
          <w:tcPr>
            <w:tcW w:w="1330" w:type="dxa"/>
            <w:shd w:val="clear" w:color="auto" w:fill="auto"/>
            <w:vAlign w:val="center"/>
          </w:tcPr>
          <w:p w14:paraId="5BE62ED8" w14:textId="77777777" w:rsidR="00432FCC" w:rsidRDefault="00432FCC" w:rsidP="00432FCC">
            <w:pPr>
              <w:pStyle w:val="TableText"/>
              <w:rPr>
                <w:rFonts w:eastAsia="Symbol"/>
              </w:rPr>
            </w:pPr>
            <w:r>
              <w:t>Anti-LW(b)</w:t>
            </w:r>
          </w:p>
        </w:tc>
        <w:tc>
          <w:tcPr>
            <w:tcW w:w="1331" w:type="dxa"/>
            <w:shd w:val="clear" w:color="auto" w:fill="auto"/>
            <w:vAlign w:val="center"/>
          </w:tcPr>
          <w:p w14:paraId="28A006E3" w14:textId="77777777" w:rsidR="00432FCC" w:rsidRDefault="00432FCC" w:rsidP="00432FCC">
            <w:pPr>
              <w:pStyle w:val="TableText"/>
            </w:pPr>
            <w:r>
              <w:t>None</w:t>
            </w:r>
          </w:p>
        </w:tc>
        <w:tc>
          <w:tcPr>
            <w:tcW w:w="1053" w:type="dxa"/>
            <w:shd w:val="clear" w:color="auto" w:fill="auto"/>
            <w:vAlign w:val="center"/>
          </w:tcPr>
          <w:p w14:paraId="1E34F3F4" w14:textId="77777777" w:rsidR="00432FCC" w:rsidRDefault="00432FCC" w:rsidP="00432FCC">
            <w:pPr>
              <w:pStyle w:val="TableText"/>
            </w:pPr>
            <w:r>
              <w:t>No</w:t>
            </w:r>
          </w:p>
        </w:tc>
        <w:tc>
          <w:tcPr>
            <w:tcW w:w="1331" w:type="dxa"/>
            <w:shd w:val="clear" w:color="auto" w:fill="auto"/>
            <w:vAlign w:val="center"/>
          </w:tcPr>
          <w:p w14:paraId="707FA809" w14:textId="77777777" w:rsidR="00432FCC" w:rsidRDefault="00432FCC" w:rsidP="00432FCC">
            <w:pPr>
              <w:pStyle w:val="TableText"/>
              <w:rPr>
                <w:rFonts w:eastAsia="Symbol"/>
              </w:rPr>
            </w:pPr>
            <w:r>
              <w:t>No</w:t>
            </w:r>
          </w:p>
        </w:tc>
        <w:tc>
          <w:tcPr>
            <w:tcW w:w="4315" w:type="dxa"/>
            <w:shd w:val="clear" w:color="auto" w:fill="auto"/>
            <w:vAlign w:val="center"/>
          </w:tcPr>
          <w:p w14:paraId="6C5E5DA6" w14:textId="77777777" w:rsidR="00432FCC" w:rsidRDefault="00432FCC" w:rsidP="00432FCC">
            <w:pPr>
              <w:pStyle w:val="TableText"/>
            </w:pPr>
          </w:p>
        </w:tc>
      </w:tr>
      <w:tr w:rsidR="00432FCC" w14:paraId="562D0A79" w14:textId="77777777">
        <w:tc>
          <w:tcPr>
            <w:tcW w:w="1330" w:type="dxa"/>
            <w:shd w:val="clear" w:color="auto" w:fill="auto"/>
            <w:vAlign w:val="center"/>
          </w:tcPr>
          <w:p w14:paraId="38255188" w14:textId="77777777" w:rsidR="00432FCC" w:rsidRDefault="00432FCC" w:rsidP="00432FCC">
            <w:pPr>
              <w:pStyle w:val="TableText"/>
              <w:rPr>
                <w:rFonts w:eastAsia="Symbol"/>
              </w:rPr>
            </w:pPr>
            <w:r>
              <w:t>Anti-Sc1</w:t>
            </w:r>
          </w:p>
        </w:tc>
        <w:tc>
          <w:tcPr>
            <w:tcW w:w="1331" w:type="dxa"/>
            <w:shd w:val="clear" w:color="auto" w:fill="auto"/>
            <w:vAlign w:val="center"/>
          </w:tcPr>
          <w:p w14:paraId="0AB59092" w14:textId="77777777" w:rsidR="00432FCC" w:rsidRDefault="00432FCC" w:rsidP="00432FCC">
            <w:pPr>
              <w:pStyle w:val="TableText"/>
              <w:rPr>
                <w:rFonts w:eastAsia="Symbol"/>
              </w:rPr>
            </w:pPr>
            <w:r>
              <w:t>None</w:t>
            </w:r>
          </w:p>
        </w:tc>
        <w:tc>
          <w:tcPr>
            <w:tcW w:w="1053" w:type="dxa"/>
            <w:shd w:val="clear" w:color="auto" w:fill="auto"/>
            <w:vAlign w:val="center"/>
          </w:tcPr>
          <w:p w14:paraId="7277F36C" w14:textId="77777777" w:rsidR="00432FCC" w:rsidRDefault="00432FCC" w:rsidP="00432FCC">
            <w:pPr>
              <w:pStyle w:val="TableText"/>
            </w:pPr>
            <w:r>
              <w:t>No</w:t>
            </w:r>
          </w:p>
        </w:tc>
        <w:tc>
          <w:tcPr>
            <w:tcW w:w="1331" w:type="dxa"/>
            <w:shd w:val="clear" w:color="auto" w:fill="auto"/>
            <w:vAlign w:val="center"/>
          </w:tcPr>
          <w:p w14:paraId="7EC273E3" w14:textId="77777777" w:rsidR="00432FCC" w:rsidRDefault="00432FCC" w:rsidP="00432FCC">
            <w:pPr>
              <w:pStyle w:val="TableText"/>
              <w:rPr>
                <w:rFonts w:eastAsia="Symbol"/>
              </w:rPr>
            </w:pPr>
            <w:r>
              <w:t>No</w:t>
            </w:r>
          </w:p>
        </w:tc>
        <w:tc>
          <w:tcPr>
            <w:tcW w:w="4315" w:type="dxa"/>
            <w:shd w:val="clear" w:color="auto" w:fill="auto"/>
            <w:vAlign w:val="center"/>
          </w:tcPr>
          <w:p w14:paraId="04E4BCD6" w14:textId="77777777" w:rsidR="00432FCC" w:rsidRDefault="00432FCC" w:rsidP="00432FCC">
            <w:pPr>
              <w:pStyle w:val="TableText"/>
              <w:rPr>
                <w:rFonts w:eastAsia="Symbol"/>
              </w:rPr>
            </w:pPr>
          </w:p>
        </w:tc>
      </w:tr>
      <w:tr w:rsidR="00432FCC" w14:paraId="5D907C98" w14:textId="77777777">
        <w:tc>
          <w:tcPr>
            <w:tcW w:w="1330" w:type="dxa"/>
            <w:shd w:val="clear" w:color="auto" w:fill="auto"/>
            <w:vAlign w:val="center"/>
          </w:tcPr>
          <w:p w14:paraId="18F7AEA8" w14:textId="77777777" w:rsidR="00432FCC" w:rsidRDefault="00432FCC" w:rsidP="00432FCC">
            <w:pPr>
              <w:pStyle w:val="TableText"/>
              <w:rPr>
                <w:rFonts w:eastAsia="Symbol"/>
              </w:rPr>
            </w:pPr>
            <w:r>
              <w:t>Anti-Sc2</w:t>
            </w:r>
          </w:p>
        </w:tc>
        <w:tc>
          <w:tcPr>
            <w:tcW w:w="1331" w:type="dxa"/>
            <w:shd w:val="clear" w:color="auto" w:fill="auto"/>
            <w:vAlign w:val="center"/>
          </w:tcPr>
          <w:p w14:paraId="70F42FAE" w14:textId="77777777" w:rsidR="00432FCC" w:rsidRDefault="00432FCC" w:rsidP="00432FCC">
            <w:pPr>
              <w:pStyle w:val="TableText"/>
              <w:rPr>
                <w:rFonts w:eastAsia="Symbol"/>
              </w:rPr>
            </w:pPr>
            <w:r>
              <w:t>None</w:t>
            </w:r>
          </w:p>
        </w:tc>
        <w:tc>
          <w:tcPr>
            <w:tcW w:w="1053" w:type="dxa"/>
            <w:shd w:val="clear" w:color="auto" w:fill="auto"/>
            <w:vAlign w:val="center"/>
          </w:tcPr>
          <w:p w14:paraId="62D61F71" w14:textId="77777777" w:rsidR="00432FCC" w:rsidRDefault="00432FCC" w:rsidP="00432FCC">
            <w:pPr>
              <w:pStyle w:val="TableText"/>
            </w:pPr>
            <w:r>
              <w:t>No</w:t>
            </w:r>
          </w:p>
        </w:tc>
        <w:tc>
          <w:tcPr>
            <w:tcW w:w="1331" w:type="dxa"/>
            <w:shd w:val="clear" w:color="auto" w:fill="auto"/>
            <w:vAlign w:val="center"/>
          </w:tcPr>
          <w:p w14:paraId="4B812E5B" w14:textId="77777777" w:rsidR="00432FCC" w:rsidRDefault="00432FCC" w:rsidP="00432FCC">
            <w:pPr>
              <w:pStyle w:val="TableText"/>
              <w:rPr>
                <w:rFonts w:eastAsia="Symbol"/>
              </w:rPr>
            </w:pPr>
            <w:r>
              <w:t>No</w:t>
            </w:r>
          </w:p>
        </w:tc>
        <w:tc>
          <w:tcPr>
            <w:tcW w:w="4315" w:type="dxa"/>
            <w:shd w:val="clear" w:color="auto" w:fill="auto"/>
            <w:vAlign w:val="center"/>
          </w:tcPr>
          <w:p w14:paraId="35DC4003" w14:textId="77777777" w:rsidR="00432FCC" w:rsidRDefault="00432FCC" w:rsidP="00432FCC">
            <w:pPr>
              <w:pStyle w:val="TableText"/>
              <w:rPr>
                <w:rFonts w:eastAsia="Symbol"/>
              </w:rPr>
            </w:pPr>
          </w:p>
        </w:tc>
      </w:tr>
      <w:tr w:rsidR="00432FCC" w14:paraId="516C89D1" w14:textId="77777777">
        <w:tc>
          <w:tcPr>
            <w:tcW w:w="1330" w:type="dxa"/>
            <w:shd w:val="clear" w:color="auto" w:fill="auto"/>
            <w:vAlign w:val="center"/>
          </w:tcPr>
          <w:p w14:paraId="0B08B454" w14:textId="77777777" w:rsidR="00432FCC" w:rsidRDefault="00432FCC" w:rsidP="00432FCC">
            <w:pPr>
              <w:pStyle w:val="TableText"/>
              <w:rPr>
                <w:rFonts w:eastAsia="Symbol"/>
              </w:rPr>
            </w:pPr>
            <w:r>
              <w:t>Anti-Sd(a)</w:t>
            </w:r>
          </w:p>
        </w:tc>
        <w:tc>
          <w:tcPr>
            <w:tcW w:w="1331" w:type="dxa"/>
            <w:shd w:val="clear" w:color="auto" w:fill="auto"/>
            <w:vAlign w:val="center"/>
          </w:tcPr>
          <w:p w14:paraId="67FABD93" w14:textId="77777777" w:rsidR="00432FCC" w:rsidRDefault="00432FCC" w:rsidP="00432FCC">
            <w:pPr>
              <w:pStyle w:val="TableText"/>
              <w:rPr>
                <w:rFonts w:eastAsia="Symbol"/>
              </w:rPr>
            </w:pPr>
            <w:r>
              <w:t>None</w:t>
            </w:r>
          </w:p>
        </w:tc>
        <w:tc>
          <w:tcPr>
            <w:tcW w:w="1053" w:type="dxa"/>
            <w:shd w:val="clear" w:color="auto" w:fill="auto"/>
            <w:vAlign w:val="center"/>
          </w:tcPr>
          <w:p w14:paraId="1947A00C" w14:textId="77777777" w:rsidR="00432FCC" w:rsidRDefault="00432FCC" w:rsidP="00432FCC">
            <w:pPr>
              <w:pStyle w:val="TableText"/>
            </w:pPr>
            <w:r>
              <w:t>No</w:t>
            </w:r>
          </w:p>
        </w:tc>
        <w:tc>
          <w:tcPr>
            <w:tcW w:w="1331" w:type="dxa"/>
            <w:shd w:val="clear" w:color="auto" w:fill="auto"/>
            <w:vAlign w:val="center"/>
          </w:tcPr>
          <w:p w14:paraId="6BD3B88F" w14:textId="77777777" w:rsidR="00432FCC" w:rsidRDefault="00432FCC" w:rsidP="00432FCC">
            <w:pPr>
              <w:pStyle w:val="TableText"/>
              <w:rPr>
                <w:rFonts w:eastAsia="Symbol"/>
              </w:rPr>
            </w:pPr>
            <w:r>
              <w:t>No</w:t>
            </w:r>
          </w:p>
        </w:tc>
        <w:tc>
          <w:tcPr>
            <w:tcW w:w="4315" w:type="dxa"/>
            <w:shd w:val="clear" w:color="auto" w:fill="auto"/>
            <w:vAlign w:val="center"/>
          </w:tcPr>
          <w:p w14:paraId="345C3BBD" w14:textId="77777777" w:rsidR="00432FCC" w:rsidRDefault="00432FCC" w:rsidP="00432FCC">
            <w:pPr>
              <w:pStyle w:val="TableText"/>
              <w:rPr>
                <w:rFonts w:eastAsia="Symbol"/>
              </w:rPr>
            </w:pPr>
          </w:p>
        </w:tc>
      </w:tr>
      <w:tr w:rsidR="00432FCC" w14:paraId="3025134C" w14:textId="77777777">
        <w:tc>
          <w:tcPr>
            <w:tcW w:w="1330" w:type="dxa"/>
            <w:shd w:val="clear" w:color="auto" w:fill="auto"/>
            <w:vAlign w:val="center"/>
          </w:tcPr>
          <w:p w14:paraId="4BEFEDB1" w14:textId="77777777" w:rsidR="00432FCC" w:rsidRDefault="00432FCC" w:rsidP="00432FCC">
            <w:pPr>
              <w:pStyle w:val="TableText"/>
              <w:rPr>
                <w:rFonts w:eastAsia="Symbol"/>
              </w:rPr>
            </w:pPr>
            <w:r>
              <w:t>Anti-Au(a)</w:t>
            </w:r>
          </w:p>
        </w:tc>
        <w:tc>
          <w:tcPr>
            <w:tcW w:w="1331" w:type="dxa"/>
            <w:shd w:val="clear" w:color="auto" w:fill="auto"/>
            <w:vAlign w:val="center"/>
          </w:tcPr>
          <w:p w14:paraId="4E7E862D" w14:textId="77777777" w:rsidR="00432FCC" w:rsidRDefault="00432FCC" w:rsidP="00432FCC">
            <w:pPr>
              <w:pStyle w:val="TableText"/>
              <w:rPr>
                <w:rFonts w:eastAsia="Symbol"/>
              </w:rPr>
            </w:pPr>
            <w:r>
              <w:t>Anti-Au(a)</w:t>
            </w:r>
          </w:p>
        </w:tc>
        <w:tc>
          <w:tcPr>
            <w:tcW w:w="1053" w:type="dxa"/>
            <w:shd w:val="clear" w:color="auto" w:fill="auto"/>
            <w:vAlign w:val="center"/>
          </w:tcPr>
          <w:p w14:paraId="66EE553F" w14:textId="77777777" w:rsidR="00432FCC" w:rsidRDefault="00432FCC" w:rsidP="00432FCC">
            <w:pPr>
              <w:pStyle w:val="TableText"/>
            </w:pPr>
            <w:r>
              <w:t>No</w:t>
            </w:r>
          </w:p>
        </w:tc>
        <w:tc>
          <w:tcPr>
            <w:tcW w:w="1331" w:type="dxa"/>
            <w:shd w:val="clear" w:color="auto" w:fill="auto"/>
            <w:vAlign w:val="center"/>
          </w:tcPr>
          <w:p w14:paraId="6049371D" w14:textId="77777777" w:rsidR="00432FCC" w:rsidRDefault="00432FCC" w:rsidP="00432FCC">
            <w:pPr>
              <w:pStyle w:val="TableText"/>
              <w:rPr>
                <w:rFonts w:eastAsia="Symbol"/>
              </w:rPr>
            </w:pPr>
            <w:r>
              <w:t>No</w:t>
            </w:r>
          </w:p>
        </w:tc>
        <w:tc>
          <w:tcPr>
            <w:tcW w:w="4315" w:type="dxa"/>
            <w:shd w:val="clear" w:color="auto" w:fill="auto"/>
            <w:vAlign w:val="center"/>
          </w:tcPr>
          <w:p w14:paraId="73D43C95" w14:textId="77777777" w:rsidR="00432FCC" w:rsidRDefault="00432FCC" w:rsidP="00432FCC">
            <w:pPr>
              <w:pStyle w:val="TableText"/>
            </w:pPr>
          </w:p>
        </w:tc>
      </w:tr>
      <w:tr w:rsidR="00432FCC" w14:paraId="322CE894" w14:textId="77777777">
        <w:tc>
          <w:tcPr>
            <w:tcW w:w="1330" w:type="dxa"/>
            <w:shd w:val="clear" w:color="auto" w:fill="auto"/>
            <w:vAlign w:val="center"/>
          </w:tcPr>
          <w:p w14:paraId="19620522" w14:textId="77777777" w:rsidR="00432FCC" w:rsidRDefault="00432FCC" w:rsidP="00432FCC">
            <w:pPr>
              <w:pStyle w:val="TableText"/>
            </w:pPr>
            <w:r>
              <w:t>Anti-Au(b)</w:t>
            </w:r>
          </w:p>
        </w:tc>
        <w:tc>
          <w:tcPr>
            <w:tcW w:w="1331" w:type="dxa"/>
            <w:shd w:val="clear" w:color="auto" w:fill="auto"/>
            <w:vAlign w:val="center"/>
          </w:tcPr>
          <w:p w14:paraId="606B9781" w14:textId="77777777" w:rsidR="00432FCC" w:rsidRDefault="00432FCC" w:rsidP="00432FCC">
            <w:pPr>
              <w:pStyle w:val="TableText"/>
              <w:rPr>
                <w:rFonts w:eastAsia="Symbol"/>
              </w:rPr>
            </w:pPr>
            <w:r>
              <w:t>None</w:t>
            </w:r>
          </w:p>
        </w:tc>
        <w:tc>
          <w:tcPr>
            <w:tcW w:w="1053" w:type="dxa"/>
            <w:shd w:val="clear" w:color="auto" w:fill="auto"/>
            <w:vAlign w:val="center"/>
          </w:tcPr>
          <w:p w14:paraId="1AA02BDF" w14:textId="77777777" w:rsidR="00432FCC" w:rsidRDefault="00432FCC" w:rsidP="00432FCC">
            <w:pPr>
              <w:pStyle w:val="TableText"/>
            </w:pPr>
            <w:r>
              <w:t>No</w:t>
            </w:r>
          </w:p>
        </w:tc>
        <w:tc>
          <w:tcPr>
            <w:tcW w:w="1331" w:type="dxa"/>
            <w:shd w:val="clear" w:color="auto" w:fill="auto"/>
            <w:vAlign w:val="center"/>
          </w:tcPr>
          <w:p w14:paraId="0DBFD518" w14:textId="77777777" w:rsidR="00432FCC" w:rsidRDefault="00432FCC" w:rsidP="00432FCC">
            <w:pPr>
              <w:pStyle w:val="TableText"/>
            </w:pPr>
            <w:r>
              <w:t>No</w:t>
            </w:r>
          </w:p>
        </w:tc>
        <w:tc>
          <w:tcPr>
            <w:tcW w:w="4315" w:type="dxa"/>
            <w:shd w:val="clear" w:color="auto" w:fill="auto"/>
            <w:vAlign w:val="center"/>
          </w:tcPr>
          <w:p w14:paraId="135EAD59" w14:textId="77777777" w:rsidR="00432FCC" w:rsidRDefault="00432FCC" w:rsidP="00432FCC">
            <w:pPr>
              <w:pStyle w:val="TableText"/>
            </w:pPr>
          </w:p>
        </w:tc>
      </w:tr>
      <w:tr w:rsidR="00432FCC" w14:paraId="5FDECAC2" w14:textId="77777777">
        <w:tc>
          <w:tcPr>
            <w:tcW w:w="1330" w:type="dxa"/>
            <w:shd w:val="clear" w:color="auto" w:fill="auto"/>
            <w:vAlign w:val="center"/>
          </w:tcPr>
          <w:p w14:paraId="7FE346E9" w14:textId="77777777" w:rsidR="00432FCC" w:rsidRDefault="00432FCC" w:rsidP="00432FCC">
            <w:pPr>
              <w:pStyle w:val="TableText"/>
              <w:rPr>
                <w:rFonts w:eastAsia="Symbol"/>
              </w:rPr>
            </w:pPr>
            <w:r>
              <w:t>Anti-Ch</w:t>
            </w:r>
          </w:p>
        </w:tc>
        <w:tc>
          <w:tcPr>
            <w:tcW w:w="1331" w:type="dxa"/>
            <w:shd w:val="clear" w:color="auto" w:fill="auto"/>
            <w:vAlign w:val="center"/>
          </w:tcPr>
          <w:p w14:paraId="4D244DFB" w14:textId="77777777" w:rsidR="00432FCC" w:rsidRDefault="00432FCC" w:rsidP="00432FCC">
            <w:pPr>
              <w:pStyle w:val="TableText"/>
              <w:rPr>
                <w:rFonts w:eastAsia="Symbol"/>
              </w:rPr>
            </w:pPr>
            <w:r>
              <w:t>None</w:t>
            </w:r>
          </w:p>
        </w:tc>
        <w:tc>
          <w:tcPr>
            <w:tcW w:w="1053" w:type="dxa"/>
            <w:shd w:val="clear" w:color="auto" w:fill="auto"/>
            <w:vAlign w:val="center"/>
          </w:tcPr>
          <w:p w14:paraId="04D08169" w14:textId="77777777" w:rsidR="00432FCC" w:rsidRDefault="00432FCC" w:rsidP="00432FCC">
            <w:pPr>
              <w:pStyle w:val="TableText"/>
            </w:pPr>
            <w:r>
              <w:t>No</w:t>
            </w:r>
          </w:p>
        </w:tc>
        <w:tc>
          <w:tcPr>
            <w:tcW w:w="1331" w:type="dxa"/>
            <w:shd w:val="clear" w:color="auto" w:fill="auto"/>
            <w:vAlign w:val="center"/>
          </w:tcPr>
          <w:p w14:paraId="4E0149D9" w14:textId="77777777" w:rsidR="00432FCC" w:rsidRDefault="00432FCC" w:rsidP="00432FCC">
            <w:pPr>
              <w:pStyle w:val="TableText"/>
              <w:rPr>
                <w:rFonts w:eastAsia="Symbol"/>
              </w:rPr>
            </w:pPr>
            <w:r>
              <w:t>No</w:t>
            </w:r>
          </w:p>
        </w:tc>
        <w:tc>
          <w:tcPr>
            <w:tcW w:w="4315" w:type="dxa"/>
            <w:shd w:val="clear" w:color="auto" w:fill="auto"/>
            <w:vAlign w:val="center"/>
          </w:tcPr>
          <w:p w14:paraId="227AE639" w14:textId="77777777" w:rsidR="00432FCC" w:rsidRDefault="00432FCC" w:rsidP="00432FCC">
            <w:pPr>
              <w:pStyle w:val="TableText"/>
            </w:pPr>
          </w:p>
        </w:tc>
      </w:tr>
      <w:tr w:rsidR="00432FCC" w14:paraId="1394641F" w14:textId="77777777">
        <w:tc>
          <w:tcPr>
            <w:tcW w:w="1330" w:type="dxa"/>
            <w:shd w:val="clear" w:color="auto" w:fill="auto"/>
            <w:vAlign w:val="center"/>
          </w:tcPr>
          <w:p w14:paraId="01155B35" w14:textId="77777777" w:rsidR="00432FCC" w:rsidRDefault="00432FCC" w:rsidP="00432FCC">
            <w:pPr>
              <w:pStyle w:val="TableText"/>
              <w:rPr>
                <w:rFonts w:eastAsia="Symbol"/>
              </w:rPr>
            </w:pPr>
            <w:r>
              <w:t>Anti-Rg</w:t>
            </w:r>
          </w:p>
        </w:tc>
        <w:tc>
          <w:tcPr>
            <w:tcW w:w="1331" w:type="dxa"/>
            <w:shd w:val="clear" w:color="auto" w:fill="auto"/>
            <w:vAlign w:val="center"/>
          </w:tcPr>
          <w:p w14:paraId="2B58B4DB" w14:textId="77777777" w:rsidR="00432FCC" w:rsidRDefault="00432FCC" w:rsidP="00432FCC">
            <w:pPr>
              <w:pStyle w:val="TableText"/>
              <w:rPr>
                <w:rFonts w:eastAsia="Symbol"/>
              </w:rPr>
            </w:pPr>
            <w:r>
              <w:t>None</w:t>
            </w:r>
          </w:p>
        </w:tc>
        <w:tc>
          <w:tcPr>
            <w:tcW w:w="1053" w:type="dxa"/>
            <w:shd w:val="clear" w:color="auto" w:fill="auto"/>
            <w:vAlign w:val="center"/>
          </w:tcPr>
          <w:p w14:paraId="051EFCAC" w14:textId="77777777" w:rsidR="00432FCC" w:rsidRDefault="00432FCC" w:rsidP="00432FCC">
            <w:pPr>
              <w:pStyle w:val="TableText"/>
            </w:pPr>
            <w:r>
              <w:t>No</w:t>
            </w:r>
          </w:p>
        </w:tc>
        <w:tc>
          <w:tcPr>
            <w:tcW w:w="1331" w:type="dxa"/>
            <w:shd w:val="clear" w:color="auto" w:fill="auto"/>
            <w:vAlign w:val="center"/>
          </w:tcPr>
          <w:p w14:paraId="10CFF990" w14:textId="77777777" w:rsidR="00432FCC" w:rsidRDefault="00432FCC" w:rsidP="00432FCC">
            <w:pPr>
              <w:pStyle w:val="TableText"/>
              <w:rPr>
                <w:rFonts w:eastAsia="Symbol"/>
              </w:rPr>
            </w:pPr>
            <w:r>
              <w:t>No</w:t>
            </w:r>
          </w:p>
        </w:tc>
        <w:tc>
          <w:tcPr>
            <w:tcW w:w="4315" w:type="dxa"/>
            <w:shd w:val="clear" w:color="auto" w:fill="auto"/>
            <w:vAlign w:val="center"/>
          </w:tcPr>
          <w:p w14:paraId="15A5C572" w14:textId="77777777" w:rsidR="00432FCC" w:rsidRDefault="00432FCC" w:rsidP="00432FCC">
            <w:pPr>
              <w:pStyle w:val="TableText"/>
            </w:pPr>
          </w:p>
        </w:tc>
      </w:tr>
      <w:tr w:rsidR="00432FCC" w14:paraId="60B75C7E" w14:textId="77777777">
        <w:tc>
          <w:tcPr>
            <w:tcW w:w="1330" w:type="dxa"/>
            <w:shd w:val="clear" w:color="auto" w:fill="auto"/>
            <w:vAlign w:val="center"/>
          </w:tcPr>
          <w:p w14:paraId="3ED1AFD9" w14:textId="77777777" w:rsidR="00432FCC" w:rsidRDefault="00432FCC" w:rsidP="00432FCC">
            <w:pPr>
              <w:pStyle w:val="TableText"/>
              <w:rPr>
                <w:rFonts w:eastAsia="Symbol"/>
              </w:rPr>
            </w:pPr>
            <w:r>
              <w:t>Anti-Cs(a)</w:t>
            </w:r>
          </w:p>
        </w:tc>
        <w:tc>
          <w:tcPr>
            <w:tcW w:w="1331" w:type="dxa"/>
            <w:shd w:val="clear" w:color="auto" w:fill="auto"/>
            <w:vAlign w:val="center"/>
          </w:tcPr>
          <w:p w14:paraId="0D53EAF8" w14:textId="77777777" w:rsidR="00432FCC" w:rsidRDefault="00432FCC" w:rsidP="00432FCC">
            <w:pPr>
              <w:pStyle w:val="TableText"/>
              <w:rPr>
                <w:rFonts w:eastAsia="Symbol"/>
              </w:rPr>
            </w:pPr>
            <w:r>
              <w:t>None</w:t>
            </w:r>
          </w:p>
        </w:tc>
        <w:tc>
          <w:tcPr>
            <w:tcW w:w="1053" w:type="dxa"/>
            <w:shd w:val="clear" w:color="auto" w:fill="auto"/>
            <w:vAlign w:val="center"/>
          </w:tcPr>
          <w:p w14:paraId="6769E0B1" w14:textId="77777777" w:rsidR="00432FCC" w:rsidRDefault="00432FCC" w:rsidP="00432FCC">
            <w:pPr>
              <w:pStyle w:val="TableText"/>
            </w:pPr>
            <w:r>
              <w:t>No</w:t>
            </w:r>
          </w:p>
        </w:tc>
        <w:tc>
          <w:tcPr>
            <w:tcW w:w="1331" w:type="dxa"/>
            <w:shd w:val="clear" w:color="auto" w:fill="auto"/>
            <w:vAlign w:val="center"/>
          </w:tcPr>
          <w:p w14:paraId="63DDD3C5" w14:textId="77777777" w:rsidR="00432FCC" w:rsidRDefault="00432FCC" w:rsidP="00432FCC">
            <w:pPr>
              <w:pStyle w:val="TableText"/>
              <w:rPr>
                <w:rFonts w:eastAsia="Symbol"/>
              </w:rPr>
            </w:pPr>
            <w:r>
              <w:t>No</w:t>
            </w:r>
          </w:p>
        </w:tc>
        <w:tc>
          <w:tcPr>
            <w:tcW w:w="4315" w:type="dxa"/>
            <w:shd w:val="clear" w:color="auto" w:fill="auto"/>
            <w:vAlign w:val="center"/>
          </w:tcPr>
          <w:p w14:paraId="501214DE" w14:textId="77777777" w:rsidR="00432FCC" w:rsidRDefault="00432FCC" w:rsidP="00432FCC">
            <w:pPr>
              <w:pStyle w:val="TableText"/>
            </w:pPr>
          </w:p>
        </w:tc>
      </w:tr>
      <w:tr w:rsidR="00432FCC" w14:paraId="71827A4C" w14:textId="77777777">
        <w:tc>
          <w:tcPr>
            <w:tcW w:w="1330" w:type="dxa"/>
            <w:shd w:val="clear" w:color="auto" w:fill="auto"/>
            <w:vAlign w:val="center"/>
          </w:tcPr>
          <w:p w14:paraId="7564316D" w14:textId="77777777" w:rsidR="00432FCC" w:rsidRDefault="00432FCC" w:rsidP="00432FCC">
            <w:pPr>
              <w:pStyle w:val="TableText"/>
              <w:rPr>
                <w:rFonts w:eastAsia="Symbol"/>
              </w:rPr>
            </w:pPr>
            <w:r>
              <w:t>Anti-Yk(a)</w:t>
            </w:r>
          </w:p>
        </w:tc>
        <w:tc>
          <w:tcPr>
            <w:tcW w:w="1331" w:type="dxa"/>
            <w:shd w:val="clear" w:color="auto" w:fill="auto"/>
            <w:vAlign w:val="center"/>
          </w:tcPr>
          <w:p w14:paraId="1FC912C5" w14:textId="77777777" w:rsidR="00432FCC" w:rsidRDefault="00432FCC" w:rsidP="00432FCC">
            <w:pPr>
              <w:pStyle w:val="TableText"/>
              <w:rPr>
                <w:rFonts w:eastAsia="Symbol"/>
              </w:rPr>
            </w:pPr>
            <w:r>
              <w:t>None</w:t>
            </w:r>
          </w:p>
        </w:tc>
        <w:tc>
          <w:tcPr>
            <w:tcW w:w="1053" w:type="dxa"/>
            <w:shd w:val="clear" w:color="auto" w:fill="auto"/>
            <w:vAlign w:val="center"/>
          </w:tcPr>
          <w:p w14:paraId="7FE1BFE4" w14:textId="77777777" w:rsidR="00432FCC" w:rsidRDefault="00432FCC" w:rsidP="00432FCC">
            <w:pPr>
              <w:pStyle w:val="TableText"/>
            </w:pPr>
            <w:r>
              <w:t>No</w:t>
            </w:r>
          </w:p>
        </w:tc>
        <w:tc>
          <w:tcPr>
            <w:tcW w:w="1331" w:type="dxa"/>
            <w:shd w:val="clear" w:color="auto" w:fill="auto"/>
            <w:vAlign w:val="center"/>
          </w:tcPr>
          <w:p w14:paraId="128B941A" w14:textId="77777777" w:rsidR="00432FCC" w:rsidRDefault="00432FCC" w:rsidP="00432FCC">
            <w:pPr>
              <w:pStyle w:val="TableText"/>
              <w:rPr>
                <w:rFonts w:eastAsia="Symbol"/>
              </w:rPr>
            </w:pPr>
            <w:r>
              <w:t>No</w:t>
            </w:r>
          </w:p>
        </w:tc>
        <w:tc>
          <w:tcPr>
            <w:tcW w:w="4315" w:type="dxa"/>
            <w:shd w:val="clear" w:color="auto" w:fill="auto"/>
            <w:vAlign w:val="center"/>
          </w:tcPr>
          <w:p w14:paraId="0FBD701B" w14:textId="77777777" w:rsidR="00432FCC" w:rsidRDefault="00432FCC" w:rsidP="00432FCC">
            <w:pPr>
              <w:pStyle w:val="TableText"/>
            </w:pPr>
          </w:p>
        </w:tc>
      </w:tr>
      <w:tr w:rsidR="00432FCC" w14:paraId="6C764451" w14:textId="77777777">
        <w:tc>
          <w:tcPr>
            <w:tcW w:w="1330" w:type="dxa"/>
            <w:shd w:val="clear" w:color="auto" w:fill="auto"/>
            <w:vAlign w:val="center"/>
          </w:tcPr>
          <w:p w14:paraId="359AA22E" w14:textId="77777777" w:rsidR="00432FCC" w:rsidRDefault="00432FCC" w:rsidP="00432FCC">
            <w:pPr>
              <w:pStyle w:val="TableText"/>
              <w:rPr>
                <w:rFonts w:eastAsia="Symbol"/>
              </w:rPr>
            </w:pPr>
            <w:r>
              <w:t>Anti-Kn(a)</w:t>
            </w:r>
          </w:p>
        </w:tc>
        <w:tc>
          <w:tcPr>
            <w:tcW w:w="1331" w:type="dxa"/>
            <w:shd w:val="clear" w:color="auto" w:fill="auto"/>
            <w:vAlign w:val="center"/>
          </w:tcPr>
          <w:p w14:paraId="084CA032" w14:textId="77777777" w:rsidR="00432FCC" w:rsidRDefault="00432FCC" w:rsidP="00432FCC">
            <w:pPr>
              <w:pStyle w:val="TableText"/>
              <w:rPr>
                <w:rFonts w:eastAsia="Symbol"/>
              </w:rPr>
            </w:pPr>
            <w:r>
              <w:t>None</w:t>
            </w:r>
          </w:p>
        </w:tc>
        <w:tc>
          <w:tcPr>
            <w:tcW w:w="1053" w:type="dxa"/>
            <w:shd w:val="clear" w:color="auto" w:fill="auto"/>
            <w:vAlign w:val="center"/>
          </w:tcPr>
          <w:p w14:paraId="7EAA5DB3" w14:textId="77777777" w:rsidR="00432FCC" w:rsidRDefault="00432FCC" w:rsidP="00432FCC">
            <w:pPr>
              <w:pStyle w:val="TableText"/>
            </w:pPr>
            <w:r>
              <w:t>No</w:t>
            </w:r>
          </w:p>
        </w:tc>
        <w:tc>
          <w:tcPr>
            <w:tcW w:w="1331" w:type="dxa"/>
            <w:shd w:val="clear" w:color="auto" w:fill="auto"/>
            <w:vAlign w:val="center"/>
          </w:tcPr>
          <w:p w14:paraId="68D99D6D" w14:textId="77777777" w:rsidR="00432FCC" w:rsidRDefault="00432FCC" w:rsidP="00432FCC">
            <w:pPr>
              <w:pStyle w:val="TableText"/>
              <w:rPr>
                <w:rFonts w:eastAsia="Symbol"/>
              </w:rPr>
            </w:pPr>
            <w:r>
              <w:t>No</w:t>
            </w:r>
          </w:p>
        </w:tc>
        <w:tc>
          <w:tcPr>
            <w:tcW w:w="4315" w:type="dxa"/>
            <w:shd w:val="clear" w:color="auto" w:fill="auto"/>
            <w:vAlign w:val="center"/>
          </w:tcPr>
          <w:p w14:paraId="7F79531C" w14:textId="77777777" w:rsidR="00432FCC" w:rsidRDefault="00432FCC" w:rsidP="00432FCC">
            <w:pPr>
              <w:pStyle w:val="TableText"/>
            </w:pPr>
          </w:p>
        </w:tc>
      </w:tr>
      <w:tr w:rsidR="00432FCC" w14:paraId="58863466" w14:textId="77777777">
        <w:tc>
          <w:tcPr>
            <w:tcW w:w="1330" w:type="dxa"/>
            <w:shd w:val="clear" w:color="auto" w:fill="auto"/>
            <w:vAlign w:val="center"/>
          </w:tcPr>
          <w:p w14:paraId="1027CE0A" w14:textId="77777777" w:rsidR="00432FCC" w:rsidRDefault="00432FCC" w:rsidP="00432FCC">
            <w:pPr>
              <w:pStyle w:val="TableText"/>
              <w:rPr>
                <w:rFonts w:eastAsia="Symbol"/>
              </w:rPr>
            </w:pPr>
            <w:r>
              <w:t>Anti-McC(a)</w:t>
            </w:r>
          </w:p>
        </w:tc>
        <w:tc>
          <w:tcPr>
            <w:tcW w:w="1331" w:type="dxa"/>
            <w:shd w:val="clear" w:color="auto" w:fill="auto"/>
            <w:vAlign w:val="center"/>
          </w:tcPr>
          <w:p w14:paraId="62181DC9" w14:textId="77777777" w:rsidR="00432FCC" w:rsidRDefault="00432FCC" w:rsidP="00432FCC">
            <w:pPr>
              <w:pStyle w:val="TableText"/>
            </w:pPr>
            <w:r>
              <w:t>None</w:t>
            </w:r>
          </w:p>
        </w:tc>
        <w:tc>
          <w:tcPr>
            <w:tcW w:w="1053" w:type="dxa"/>
            <w:shd w:val="clear" w:color="auto" w:fill="auto"/>
            <w:vAlign w:val="center"/>
          </w:tcPr>
          <w:p w14:paraId="523BA526" w14:textId="77777777" w:rsidR="00432FCC" w:rsidRDefault="00432FCC" w:rsidP="00432FCC">
            <w:pPr>
              <w:pStyle w:val="TableText"/>
            </w:pPr>
            <w:r>
              <w:t>No</w:t>
            </w:r>
          </w:p>
        </w:tc>
        <w:tc>
          <w:tcPr>
            <w:tcW w:w="1331" w:type="dxa"/>
            <w:shd w:val="clear" w:color="auto" w:fill="auto"/>
            <w:vAlign w:val="center"/>
          </w:tcPr>
          <w:p w14:paraId="553B89AE" w14:textId="77777777" w:rsidR="00432FCC" w:rsidRDefault="00432FCC" w:rsidP="00432FCC">
            <w:pPr>
              <w:pStyle w:val="TableText"/>
              <w:rPr>
                <w:rFonts w:eastAsia="Symbol"/>
              </w:rPr>
            </w:pPr>
            <w:r>
              <w:t>No</w:t>
            </w:r>
          </w:p>
        </w:tc>
        <w:tc>
          <w:tcPr>
            <w:tcW w:w="4315" w:type="dxa"/>
            <w:shd w:val="clear" w:color="auto" w:fill="auto"/>
            <w:vAlign w:val="center"/>
          </w:tcPr>
          <w:p w14:paraId="681DC11C" w14:textId="77777777" w:rsidR="00432FCC" w:rsidRDefault="00432FCC" w:rsidP="00432FCC">
            <w:pPr>
              <w:pStyle w:val="TableText"/>
            </w:pPr>
          </w:p>
        </w:tc>
      </w:tr>
      <w:tr w:rsidR="00432FCC" w14:paraId="19209105" w14:textId="77777777">
        <w:tc>
          <w:tcPr>
            <w:tcW w:w="1330" w:type="dxa"/>
            <w:shd w:val="clear" w:color="auto" w:fill="auto"/>
            <w:vAlign w:val="center"/>
          </w:tcPr>
          <w:p w14:paraId="2F95161B" w14:textId="77777777" w:rsidR="00432FCC" w:rsidRDefault="00432FCC" w:rsidP="00432FCC">
            <w:pPr>
              <w:pStyle w:val="TableText"/>
              <w:rPr>
                <w:rFonts w:eastAsia="Symbol"/>
              </w:rPr>
            </w:pPr>
            <w:r>
              <w:t>Anti-JMH</w:t>
            </w:r>
          </w:p>
        </w:tc>
        <w:tc>
          <w:tcPr>
            <w:tcW w:w="1331" w:type="dxa"/>
            <w:shd w:val="clear" w:color="auto" w:fill="auto"/>
            <w:vAlign w:val="center"/>
          </w:tcPr>
          <w:p w14:paraId="057DD69D" w14:textId="77777777" w:rsidR="00432FCC" w:rsidRDefault="00432FCC" w:rsidP="00432FCC">
            <w:pPr>
              <w:pStyle w:val="TableText"/>
            </w:pPr>
            <w:r>
              <w:t>None</w:t>
            </w:r>
          </w:p>
        </w:tc>
        <w:tc>
          <w:tcPr>
            <w:tcW w:w="1053" w:type="dxa"/>
            <w:shd w:val="clear" w:color="auto" w:fill="auto"/>
            <w:vAlign w:val="center"/>
          </w:tcPr>
          <w:p w14:paraId="479EFF7B" w14:textId="77777777" w:rsidR="00432FCC" w:rsidRDefault="00432FCC" w:rsidP="00432FCC">
            <w:pPr>
              <w:pStyle w:val="TableText"/>
            </w:pPr>
            <w:r>
              <w:t>No</w:t>
            </w:r>
          </w:p>
        </w:tc>
        <w:tc>
          <w:tcPr>
            <w:tcW w:w="1331" w:type="dxa"/>
            <w:shd w:val="clear" w:color="auto" w:fill="auto"/>
            <w:vAlign w:val="center"/>
          </w:tcPr>
          <w:p w14:paraId="39BBDF3C" w14:textId="77777777" w:rsidR="00432FCC" w:rsidRDefault="00432FCC" w:rsidP="00432FCC">
            <w:pPr>
              <w:pStyle w:val="TableText"/>
              <w:rPr>
                <w:rFonts w:eastAsia="Symbol"/>
              </w:rPr>
            </w:pPr>
            <w:r>
              <w:t>No</w:t>
            </w:r>
          </w:p>
        </w:tc>
        <w:tc>
          <w:tcPr>
            <w:tcW w:w="4315" w:type="dxa"/>
            <w:shd w:val="clear" w:color="auto" w:fill="auto"/>
            <w:vAlign w:val="center"/>
          </w:tcPr>
          <w:p w14:paraId="776FDA8F" w14:textId="77777777" w:rsidR="00432FCC" w:rsidRDefault="00432FCC" w:rsidP="00432FCC">
            <w:pPr>
              <w:pStyle w:val="TableText"/>
            </w:pPr>
          </w:p>
        </w:tc>
      </w:tr>
      <w:tr w:rsidR="00432FCC" w14:paraId="1471BF81" w14:textId="77777777">
        <w:tc>
          <w:tcPr>
            <w:tcW w:w="1330" w:type="dxa"/>
            <w:shd w:val="clear" w:color="auto" w:fill="auto"/>
            <w:vAlign w:val="center"/>
          </w:tcPr>
          <w:p w14:paraId="1168240B" w14:textId="77777777" w:rsidR="00432FCC" w:rsidRDefault="00432FCC" w:rsidP="00432FCC">
            <w:pPr>
              <w:pStyle w:val="TableText"/>
              <w:rPr>
                <w:rFonts w:eastAsia="Symbol"/>
              </w:rPr>
            </w:pPr>
            <w:r>
              <w:t>Anti-Yt(a)</w:t>
            </w:r>
          </w:p>
        </w:tc>
        <w:tc>
          <w:tcPr>
            <w:tcW w:w="1331" w:type="dxa"/>
            <w:shd w:val="clear" w:color="auto" w:fill="auto"/>
            <w:vAlign w:val="center"/>
          </w:tcPr>
          <w:p w14:paraId="633B6873" w14:textId="77777777" w:rsidR="00432FCC" w:rsidRDefault="00432FCC" w:rsidP="00432FCC">
            <w:pPr>
              <w:pStyle w:val="TableText"/>
              <w:rPr>
                <w:rFonts w:eastAsia="Symbol"/>
              </w:rPr>
            </w:pPr>
            <w:r>
              <w:t>None</w:t>
            </w:r>
          </w:p>
        </w:tc>
        <w:tc>
          <w:tcPr>
            <w:tcW w:w="1053" w:type="dxa"/>
            <w:shd w:val="clear" w:color="auto" w:fill="auto"/>
            <w:vAlign w:val="center"/>
          </w:tcPr>
          <w:p w14:paraId="7922F54A" w14:textId="77777777" w:rsidR="00432FCC" w:rsidRDefault="00432FCC" w:rsidP="00432FCC">
            <w:pPr>
              <w:pStyle w:val="TableText"/>
            </w:pPr>
            <w:r>
              <w:t>No</w:t>
            </w:r>
          </w:p>
        </w:tc>
        <w:tc>
          <w:tcPr>
            <w:tcW w:w="1331" w:type="dxa"/>
            <w:shd w:val="clear" w:color="auto" w:fill="auto"/>
            <w:vAlign w:val="center"/>
          </w:tcPr>
          <w:p w14:paraId="4D291F34" w14:textId="77777777" w:rsidR="00432FCC" w:rsidRDefault="00432FCC" w:rsidP="00432FCC">
            <w:pPr>
              <w:pStyle w:val="TableText"/>
              <w:rPr>
                <w:rFonts w:eastAsia="Symbol"/>
              </w:rPr>
            </w:pPr>
            <w:r>
              <w:t>No</w:t>
            </w:r>
          </w:p>
        </w:tc>
        <w:tc>
          <w:tcPr>
            <w:tcW w:w="4315" w:type="dxa"/>
            <w:shd w:val="clear" w:color="auto" w:fill="auto"/>
            <w:vAlign w:val="center"/>
          </w:tcPr>
          <w:p w14:paraId="3D9EE987" w14:textId="77777777" w:rsidR="00432FCC" w:rsidRDefault="00432FCC" w:rsidP="00432FCC">
            <w:pPr>
              <w:pStyle w:val="TableText"/>
              <w:rPr>
                <w:rFonts w:eastAsia="Symbol"/>
              </w:rPr>
            </w:pPr>
          </w:p>
        </w:tc>
      </w:tr>
      <w:tr w:rsidR="00432FCC" w14:paraId="4B741AE6" w14:textId="77777777">
        <w:tc>
          <w:tcPr>
            <w:tcW w:w="1330" w:type="dxa"/>
            <w:shd w:val="clear" w:color="auto" w:fill="auto"/>
            <w:vAlign w:val="center"/>
          </w:tcPr>
          <w:p w14:paraId="6ACC7B12" w14:textId="77777777" w:rsidR="00432FCC" w:rsidRDefault="00432FCC" w:rsidP="00432FCC">
            <w:pPr>
              <w:pStyle w:val="TableText"/>
              <w:rPr>
                <w:rFonts w:eastAsia="Symbol"/>
              </w:rPr>
            </w:pPr>
            <w:r>
              <w:t>Anti-Yt(b)</w:t>
            </w:r>
          </w:p>
        </w:tc>
        <w:tc>
          <w:tcPr>
            <w:tcW w:w="1331" w:type="dxa"/>
            <w:shd w:val="clear" w:color="auto" w:fill="auto"/>
            <w:vAlign w:val="center"/>
          </w:tcPr>
          <w:p w14:paraId="419A5F1E" w14:textId="77777777" w:rsidR="00432FCC" w:rsidRDefault="00432FCC" w:rsidP="00432FCC">
            <w:pPr>
              <w:pStyle w:val="TableText"/>
              <w:rPr>
                <w:rFonts w:eastAsia="Symbol"/>
              </w:rPr>
            </w:pPr>
            <w:r>
              <w:t>None</w:t>
            </w:r>
          </w:p>
        </w:tc>
        <w:tc>
          <w:tcPr>
            <w:tcW w:w="1053" w:type="dxa"/>
            <w:shd w:val="clear" w:color="auto" w:fill="auto"/>
            <w:vAlign w:val="center"/>
          </w:tcPr>
          <w:p w14:paraId="5A3FEC38" w14:textId="77777777" w:rsidR="00432FCC" w:rsidRDefault="00432FCC" w:rsidP="00432FCC">
            <w:pPr>
              <w:pStyle w:val="TableText"/>
            </w:pPr>
            <w:r>
              <w:t>No</w:t>
            </w:r>
          </w:p>
        </w:tc>
        <w:tc>
          <w:tcPr>
            <w:tcW w:w="1331" w:type="dxa"/>
            <w:shd w:val="clear" w:color="auto" w:fill="auto"/>
            <w:vAlign w:val="center"/>
          </w:tcPr>
          <w:p w14:paraId="615616E1" w14:textId="77777777" w:rsidR="00432FCC" w:rsidRDefault="00432FCC" w:rsidP="00432FCC">
            <w:pPr>
              <w:pStyle w:val="TableText"/>
              <w:rPr>
                <w:rFonts w:eastAsia="Symbol"/>
              </w:rPr>
            </w:pPr>
            <w:r>
              <w:t>No</w:t>
            </w:r>
          </w:p>
        </w:tc>
        <w:tc>
          <w:tcPr>
            <w:tcW w:w="4315" w:type="dxa"/>
            <w:shd w:val="clear" w:color="auto" w:fill="auto"/>
            <w:vAlign w:val="center"/>
          </w:tcPr>
          <w:p w14:paraId="3EB89D37" w14:textId="77777777" w:rsidR="00432FCC" w:rsidRDefault="00432FCC" w:rsidP="00432FCC">
            <w:pPr>
              <w:pStyle w:val="TableText"/>
              <w:rPr>
                <w:rFonts w:eastAsia="Symbol"/>
              </w:rPr>
            </w:pPr>
          </w:p>
        </w:tc>
      </w:tr>
    </w:tbl>
    <w:p w14:paraId="4038D42E" w14:textId="77777777" w:rsidR="002E3C00" w:rsidRDefault="002E3C00" w:rsidP="002E3C00">
      <w:pPr>
        <w:pStyle w:val="Heading4"/>
        <w:rPr>
          <w:b w:val="0"/>
        </w:rPr>
      </w:pPr>
      <w:r>
        <w:lastRenderedPageBreak/>
        <w:t>User Roles with Access to This Option</w:t>
      </w:r>
      <w:r>
        <w:rPr>
          <w:b w:val="0"/>
        </w:rPr>
        <w:t xml:space="preserve"> </w:t>
      </w:r>
    </w:p>
    <w:p w14:paraId="5F30AE65" w14:textId="77777777" w:rsidR="002E3C00" w:rsidRDefault="002E3C00" w:rsidP="002E3C00">
      <w:pPr>
        <w:pStyle w:val="Roles"/>
        <w:rPr>
          <w:snapToGrid w:val="0"/>
        </w:rPr>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Enhanced Supervisor</w:t>
      </w:r>
    </w:p>
    <w:p w14:paraId="699F2FAE" w14:textId="77777777" w:rsidR="002E3C00" w:rsidRDefault="00B74754" w:rsidP="002E3C00">
      <w:pPr>
        <w:pStyle w:val="Heading4"/>
      </w:pPr>
      <w:r>
        <w:t>Preparation for Testing</w:t>
      </w:r>
    </w:p>
    <w:p w14:paraId="1AF521FF" w14:textId="77777777" w:rsidR="002E3C00" w:rsidRPr="00600497" w:rsidRDefault="002E3C00" w:rsidP="00925CAD">
      <w:pPr>
        <w:pStyle w:val="ListNumber"/>
        <w:numPr>
          <w:ilvl w:val="0"/>
          <w:numId w:val="27"/>
        </w:numPr>
        <w:tabs>
          <w:tab w:val="clear" w:pos="720"/>
          <w:tab w:val="num" w:pos="360"/>
        </w:tabs>
        <w:ind w:left="360"/>
      </w:pPr>
      <w:r w:rsidRPr="00600497">
        <w:t>Change the antigen negative requirement setting on those currently not invoked. Change the percent compatible for your donor population.</w:t>
      </w:r>
    </w:p>
    <w:p w14:paraId="4925E9CF" w14:textId="77777777" w:rsidR="00232E43" w:rsidRPr="00FB7F8D" w:rsidRDefault="00232E43" w:rsidP="00925CAD">
      <w:pPr>
        <w:pStyle w:val="ListNumber"/>
        <w:numPr>
          <w:ilvl w:val="0"/>
          <w:numId w:val="27"/>
        </w:numPr>
        <w:tabs>
          <w:tab w:val="clear" w:pos="720"/>
          <w:tab w:val="num" w:pos="360"/>
        </w:tabs>
        <w:ind w:left="360"/>
      </w:pPr>
      <w:r w:rsidRPr="00600497">
        <w:t>P</w:t>
      </w:r>
      <w:r w:rsidRPr="00FB7F8D">
        <w:t>rint</w:t>
      </w:r>
      <w:r>
        <w:t>, sign, date,</w:t>
      </w:r>
      <w:r w:rsidRPr="00FB7F8D">
        <w:t xml:space="preserve"> and save an </w:t>
      </w:r>
      <w:r>
        <w:t>A</w:t>
      </w:r>
      <w:r w:rsidRPr="00FB7F8D">
        <w:t xml:space="preserve">udit </w:t>
      </w:r>
      <w:r>
        <w:t>Trail R</w:t>
      </w:r>
      <w:r w:rsidRPr="00FB7F8D">
        <w:t>eport for your validation record.</w:t>
      </w:r>
    </w:p>
    <w:p w14:paraId="4E87908D" w14:textId="77777777" w:rsidR="002E3C00" w:rsidRDefault="002E3C00" w:rsidP="002E3C00">
      <w:pPr>
        <w:pStyle w:val="Heading3"/>
      </w:pPr>
      <w:bookmarkStart w:id="837" w:name="_Toc85895798"/>
      <w:bookmarkStart w:id="838" w:name="_Toc113264256"/>
      <w:bookmarkStart w:id="839" w:name="_Toc114462111"/>
      <w:bookmarkStart w:id="840" w:name="_Toc203766012"/>
      <w:r>
        <w:t>Update User Roles</w:t>
      </w:r>
      <w:bookmarkEnd w:id="837"/>
      <w:bookmarkEnd w:id="838"/>
      <w:bookmarkEnd w:id="839"/>
      <w:bookmarkEnd w:id="840"/>
      <w:r w:rsidR="00992E88">
        <w:fldChar w:fldCharType="begin"/>
      </w:r>
      <w:r w:rsidR="00992E88">
        <w:instrText xml:space="preserve"> XE "</w:instrText>
      </w:r>
      <w:r w:rsidR="00992E88" w:rsidRPr="00992E88">
        <w:instrText xml:space="preserve"> </w:instrText>
      </w:r>
      <w:r w:rsidR="00992E88" w:rsidRPr="00FC6AF9">
        <w:instrText>System Validation:</w:instrText>
      </w:r>
      <w:r w:rsidR="00992E88" w:rsidRPr="00B0596E">
        <w:instrText>Update User Roles</w:instrText>
      </w:r>
      <w:r w:rsidR="00992E88">
        <w:instrText xml:space="preserve">" </w:instrText>
      </w:r>
      <w:r w:rsidR="00992E88">
        <w:fldChar w:fldCharType="end"/>
      </w:r>
    </w:p>
    <w:p w14:paraId="41C14FB5" w14:textId="79280600" w:rsidR="002E3C00" w:rsidRDefault="002E3C00" w:rsidP="002E3C00">
      <w:pPr>
        <w:pStyle w:val="BodyText"/>
      </w:pPr>
      <w:r>
        <w:t>The user reviews and changes the user roles and associated security levels that determine which options and functions are available to a user in the division.</w:t>
      </w:r>
      <w:r w:rsidR="0056674A">
        <w:t xml:space="preserve"> For additional information, see </w:t>
      </w:r>
      <w:r w:rsidR="00EE455E">
        <w:t xml:space="preserve">Appendix </w:t>
      </w:r>
      <w:r w:rsidR="00EE455E">
        <w:rPr>
          <w:noProof/>
        </w:rPr>
        <w:t>G</w:t>
      </w:r>
      <w:r w:rsidR="00EE455E">
        <w:t>: Work Process Flowcharts</w:t>
      </w:r>
      <w:r w:rsidR="0056674A">
        <w:t>.</w:t>
      </w:r>
    </w:p>
    <w:p w14:paraId="301BAE78" w14:textId="77777777" w:rsidR="002E3C00" w:rsidRDefault="002E3C00" w:rsidP="002E3C00">
      <w:pPr>
        <w:pStyle w:val="Heading4"/>
        <w:rPr>
          <w:b w:val="0"/>
        </w:rPr>
      </w:pPr>
      <w:r>
        <w:t>User Roles with Access to This Option</w:t>
      </w:r>
      <w:r>
        <w:rPr>
          <w:b w:val="0"/>
        </w:rPr>
        <w:t xml:space="preserve"> </w:t>
      </w:r>
    </w:p>
    <w:p w14:paraId="3100F1A9" w14:textId="77777777" w:rsidR="002E3C00" w:rsidRDefault="002E3C00" w:rsidP="002E3C00">
      <w:pPr>
        <w:pStyle w:val="Roles"/>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Administrator/Supervisor (change user roles)</w:t>
      </w:r>
    </w:p>
    <w:p w14:paraId="0C439F7D" w14:textId="77777777" w:rsidR="002E3C00" w:rsidRDefault="002E3C00" w:rsidP="002E3C00">
      <w:pPr>
        <w:pStyle w:val="Roles"/>
        <w:rPr>
          <w:snapToGrid w:val="0"/>
        </w:rPr>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w:t>
      </w:r>
      <w:r>
        <w:rPr>
          <w:snapToGrid w:val="0"/>
        </w:rPr>
        <w:t>Lead Technologist (view user roles)</w:t>
      </w:r>
    </w:p>
    <w:p w14:paraId="194A2FA4" w14:textId="77777777" w:rsidR="002E3C00" w:rsidRDefault="00B74754" w:rsidP="002E3C00">
      <w:pPr>
        <w:pStyle w:val="Heading4"/>
      </w:pPr>
      <w:r>
        <w:t>Preparation for Testing</w:t>
      </w:r>
    </w:p>
    <w:p w14:paraId="4E126704" w14:textId="77777777" w:rsidR="002E3C00" w:rsidRPr="00600497" w:rsidRDefault="002E3C00" w:rsidP="00925CAD">
      <w:pPr>
        <w:pStyle w:val="ListNumber"/>
        <w:numPr>
          <w:ilvl w:val="0"/>
          <w:numId w:val="28"/>
        </w:numPr>
        <w:tabs>
          <w:tab w:val="clear" w:pos="720"/>
          <w:tab w:val="num" w:pos="360"/>
        </w:tabs>
        <w:ind w:left="360"/>
      </w:pPr>
      <w:r>
        <w:t xml:space="preserve">It is </w:t>
      </w:r>
      <w:r w:rsidRPr="00600497">
        <w:t xml:space="preserve">recommended to assign one Lead Technologist on each shift to respond to system overrides. </w:t>
      </w:r>
    </w:p>
    <w:p w14:paraId="3306E663" w14:textId="77777777" w:rsidR="00DD41F5" w:rsidRPr="00FB7F8D" w:rsidRDefault="00DD41F5" w:rsidP="00925CAD">
      <w:pPr>
        <w:pStyle w:val="ListNumber"/>
        <w:numPr>
          <w:ilvl w:val="0"/>
          <w:numId w:val="28"/>
        </w:numPr>
        <w:tabs>
          <w:tab w:val="clear" w:pos="720"/>
          <w:tab w:val="num" w:pos="360"/>
        </w:tabs>
        <w:ind w:left="360"/>
      </w:pPr>
      <w:r w:rsidRPr="00600497">
        <w:t>Prin</w:t>
      </w:r>
      <w:r w:rsidRPr="00FB7F8D">
        <w:t>t</w:t>
      </w:r>
      <w:r>
        <w:t>, sign, date,</w:t>
      </w:r>
      <w:r w:rsidRPr="00FB7F8D">
        <w:t xml:space="preserve"> and save an </w:t>
      </w:r>
      <w:r>
        <w:t>A</w:t>
      </w:r>
      <w:r w:rsidRPr="00FB7F8D">
        <w:t xml:space="preserve">udit </w:t>
      </w:r>
      <w:r>
        <w:t>Trail R</w:t>
      </w:r>
      <w:r w:rsidRPr="00FB7F8D">
        <w:t>eport for your validation record.</w:t>
      </w:r>
    </w:p>
    <w:p w14:paraId="2AC126F4" w14:textId="77777777" w:rsidR="002E3C00" w:rsidRDefault="002E3C00" w:rsidP="00A57833">
      <w:pPr>
        <w:pStyle w:val="Heading3"/>
        <w:rPr>
          <w:snapToGrid w:val="0"/>
        </w:rPr>
      </w:pPr>
      <w:bookmarkStart w:id="841" w:name="_Toc114462112"/>
      <w:bookmarkStart w:id="842" w:name="_Toc203766013"/>
      <w:r>
        <w:rPr>
          <w:snapToGrid w:val="0"/>
        </w:rPr>
        <w:t>Testing</w:t>
      </w:r>
      <w:bookmarkEnd w:id="841"/>
      <w:bookmarkEnd w:id="842"/>
      <w:r w:rsidR="00992E88">
        <w:rPr>
          <w:snapToGrid w:val="0"/>
        </w:rPr>
        <w:fldChar w:fldCharType="begin"/>
      </w:r>
      <w:r w:rsidR="00992E88">
        <w:instrText xml:space="preserve"> XE "</w:instrText>
      </w:r>
      <w:r w:rsidR="00992E88" w:rsidRPr="00992E88">
        <w:instrText xml:space="preserve"> </w:instrText>
      </w:r>
      <w:r w:rsidR="00992E88" w:rsidRPr="00FC6AF9">
        <w:instrText>System Validation:</w:instrText>
      </w:r>
      <w:r w:rsidR="00992E88" w:rsidRPr="00B0596E">
        <w:rPr>
          <w:snapToGrid w:val="0"/>
        </w:rPr>
        <w:instrText>Testing</w:instrText>
      </w:r>
      <w:r w:rsidR="00992E88">
        <w:instrText xml:space="preserve">" </w:instrText>
      </w:r>
      <w:r w:rsidR="00992E88">
        <w:rPr>
          <w:snapToGrid w:val="0"/>
        </w:rPr>
        <w:fldChar w:fldCharType="end"/>
      </w:r>
    </w:p>
    <w:p w14:paraId="4F0020F4" w14:textId="77777777" w:rsidR="002E3C00" w:rsidRDefault="002E3C00" w:rsidP="002E3C00">
      <w:pPr>
        <w:pStyle w:val="BodyText"/>
        <w:rPr>
          <w:szCs w:val="15"/>
        </w:rPr>
      </w:pPr>
      <w:r>
        <w:rPr>
          <w:szCs w:val="15"/>
        </w:rPr>
        <w:t>Sample test scripts will be provided during the implementation of VBECS. Each site</w:t>
      </w:r>
      <w:r w:rsidRPr="00695B8D">
        <w:rPr>
          <w:szCs w:val="15"/>
        </w:rPr>
        <w:t xml:space="preserve"> </w:t>
      </w:r>
      <w:r>
        <w:rPr>
          <w:szCs w:val="15"/>
        </w:rPr>
        <w:t>must</w:t>
      </w:r>
      <w:r w:rsidRPr="00695B8D">
        <w:rPr>
          <w:szCs w:val="15"/>
        </w:rPr>
        <w:t xml:space="preserve"> evaluate </w:t>
      </w:r>
      <w:r>
        <w:rPr>
          <w:szCs w:val="15"/>
        </w:rPr>
        <w:t>the intended uses of the software</w:t>
      </w:r>
      <w:r w:rsidRPr="00695B8D">
        <w:rPr>
          <w:szCs w:val="15"/>
        </w:rPr>
        <w:t xml:space="preserve"> and make appropriate changes (additions</w:t>
      </w:r>
      <w:r>
        <w:rPr>
          <w:szCs w:val="15"/>
        </w:rPr>
        <w:t xml:space="preserve"> or deletions) to the</w:t>
      </w:r>
      <w:r w:rsidRPr="00695B8D">
        <w:rPr>
          <w:szCs w:val="15"/>
        </w:rPr>
        <w:t xml:space="preserve"> facility’s procedures</w:t>
      </w:r>
      <w:r>
        <w:rPr>
          <w:szCs w:val="15"/>
        </w:rPr>
        <w:t xml:space="preserve">, </w:t>
      </w:r>
      <w:r w:rsidRPr="00695B8D">
        <w:rPr>
          <w:szCs w:val="15"/>
        </w:rPr>
        <w:t>processes</w:t>
      </w:r>
      <w:r>
        <w:rPr>
          <w:szCs w:val="15"/>
        </w:rPr>
        <w:t>, policies, and test scripts</w:t>
      </w:r>
      <w:r w:rsidRPr="00695B8D">
        <w:rPr>
          <w:szCs w:val="15"/>
        </w:rPr>
        <w:t>.</w:t>
      </w:r>
      <w:r>
        <w:rPr>
          <w:szCs w:val="15"/>
        </w:rPr>
        <w:t xml:space="preserve"> </w:t>
      </w:r>
    </w:p>
    <w:p w14:paraId="52FD00F7" w14:textId="77777777" w:rsidR="002E3C00" w:rsidRDefault="002E3C00" w:rsidP="002E3C00">
      <w:pPr>
        <w:pStyle w:val="Caution"/>
        <w:rPr>
          <w:szCs w:val="15"/>
        </w:rPr>
      </w:pPr>
      <w:r w:rsidRPr="00695B8D">
        <w:rPr>
          <w:szCs w:val="15"/>
        </w:rPr>
        <w:t>You are required to validate your process</w:t>
      </w:r>
      <w:r>
        <w:rPr>
          <w:szCs w:val="15"/>
        </w:rPr>
        <w:t xml:space="preserve"> and how you use the software. You must also validate</w:t>
      </w:r>
      <w:r w:rsidRPr="00695B8D">
        <w:rPr>
          <w:szCs w:val="15"/>
        </w:rPr>
        <w:t xml:space="preserve"> the software </w:t>
      </w:r>
      <w:r>
        <w:rPr>
          <w:szCs w:val="15"/>
        </w:rPr>
        <w:t>itself</w:t>
      </w:r>
      <w:r w:rsidRPr="00695B8D">
        <w:rPr>
          <w:szCs w:val="15"/>
        </w:rPr>
        <w:t>.</w:t>
      </w:r>
      <w:r>
        <w:rPr>
          <w:szCs w:val="15"/>
        </w:rPr>
        <w:t xml:space="preserve"> </w:t>
      </w:r>
      <w:r>
        <w:t>Training users is an integral part of the validation process.</w:t>
      </w:r>
    </w:p>
    <w:p w14:paraId="4F1AD2C7" w14:textId="77777777" w:rsidR="002E3C00" w:rsidRDefault="00200B6D" w:rsidP="00A57833">
      <w:pPr>
        <w:pStyle w:val="Heading3"/>
      </w:pPr>
      <w:bookmarkStart w:id="843" w:name="_Toc85895801"/>
      <w:bookmarkStart w:id="844" w:name="_Toc113264257"/>
      <w:bookmarkStart w:id="845" w:name="_Toc114462113"/>
      <w:r>
        <w:br w:type="page"/>
      </w:r>
      <w:bookmarkStart w:id="846" w:name="_Toc203766014"/>
      <w:r w:rsidR="002E3C00">
        <w:lastRenderedPageBreak/>
        <w:t xml:space="preserve">VBECS </w:t>
      </w:r>
      <w:r w:rsidR="00297B5F">
        <w:t xml:space="preserve">Forms and </w:t>
      </w:r>
      <w:r w:rsidR="002E3C00">
        <w:t>Reports</w:t>
      </w:r>
      <w:bookmarkEnd w:id="843"/>
      <w:bookmarkEnd w:id="844"/>
      <w:bookmarkEnd w:id="845"/>
      <w:bookmarkEnd w:id="846"/>
      <w:r w:rsidR="00992E88">
        <w:fldChar w:fldCharType="begin"/>
      </w:r>
      <w:r w:rsidR="00992E88">
        <w:instrText xml:space="preserve"> XE "</w:instrText>
      </w:r>
      <w:r w:rsidR="00992E88" w:rsidRPr="00992E88">
        <w:instrText xml:space="preserve"> </w:instrText>
      </w:r>
      <w:r w:rsidR="00992E88" w:rsidRPr="00FC6AF9">
        <w:instrText>System Validation:</w:instrText>
      </w:r>
      <w:r w:rsidR="00992E88" w:rsidRPr="00B0596E">
        <w:instrText>VBECS Forms and Reports</w:instrText>
      </w:r>
      <w:r w:rsidR="00992E88">
        <w:instrText xml:space="preserve">" </w:instrText>
      </w:r>
      <w:r w:rsidR="00992E88">
        <w:fldChar w:fldCharType="end"/>
      </w:r>
    </w:p>
    <w:p w14:paraId="53150E55" w14:textId="48BAC9C9" w:rsidR="00297B5F" w:rsidRDefault="002E3C00" w:rsidP="002E3C00">
      <w:pPr>
        <w:pStyle w:val="BodyText"/>
        <w:sectPr w:rsidR="00297B5F" w:rsidSect="00EE771C">
          <w:headerReference w:type="even" r:id="rId220"/>
          <w:pgSz w:w="12240" w:h="15840" w:code="1"/>
          <w:pgMar w:top="1440" w:right="1440" w:bottom="1440" w:left="1440" w:header="720" w:footer="720" w:gutter="0"/>
          <w:cols w:space="720"/>
          <w:docGrid w:linePitch="360"/>
        </w:sectPr>
      </w:pPr>
      <w:r>
        <w:t xml:space="preserve">Print </w:t>
      </w:r>
      <w:r w:rsidR="00AE3F2C">
        <w:t xml:space="preserve">and review these </w:t>
      </w:r>
      <w:r>
        <w:t xml:space="preserve">reports </w:t>
      </w:r>
      <w:r w:rsidR="00AE3F2C">
        <w:t>and forms at the end of</w:t>
      </w:r>
      <w:r>
        <w:t xml:space="preserve"> validation testing. </w:t>
      </w:r>
      <w:bookmarkStart w:id="847" w:name="Check1"/>
      <w:r w:rsidR="001D57AF">
        <w:t xml:space="preserve"> (See </w:t>
      </w:r>
      <w:r w:rsidR="001D57AF" w:rsidRPr="00077082">
        <w:rPr>
          <w:i/>
          <w:iCs/>
        </w:rPr>
        <w:t>FAQ Documenting</w:t>
      </w:r>
      <w:r w:rsidR="00A04AD4" w:rsidRPr="00077082">
        <w:rPr>
          <w:i/>
          <w:iCs/>
        </w:rPr>
        <w:t xml:space="preserve"> Unhandled Exceptions</w:t>
      </w:r>
      <w:r w:rsidR="00A04AD4">
        <w:t>)</w:t>
      </w:r>
    </w:p>
    <w:p w14:paraId="69D3BE40" w14:textId="77777777" w:rsidR="002E3C00" w:rsidRDefault="002E3C00" w:rsidP="002E3C00">
      <w:pPr>
        <w:pStyle w:val="BodyText"/>
        <w:rPr>
          <w:snapToGrid w:val="0"/>
        </w:rPr>
      </w:pPr>
      <w:r>
        <w:rPr>
          <w:snapToGrid w:val="0"/>
        </w:rPr>
        <w:fldChar w:fldCharType="begin">
          <w:ffData>
            <w:name w:val="Check1"/>
            <w:enabled/>
            <w:calcOnExit w:val="0"/>
            <w:checkBox>
              <w:sizeAuto/>
              <w:default w:val="0"/>
            </w:checkBox>
          </w:ffData>
        </w:fldChar>
      </w:r>
      <w:r>
        <w:rPr>
          <w:snapToGrid w:val="0"/>
        </w:rPr>
        <w:instrText xml:space="preserve"> FORMCHECKBOX </w:instrText>
      </w:r>
      <w:r>
        <w:rPr>
          <w:snapToGrid w:val="0"/>
        </w:rPr>
      </w:r>
      <w:r>
        <w:rPr>
          <w:snapToGrid w:val="0"/>
        </w:rPr>
        <w:fldChar w:fldCharType="separate"/>
      </w:r>
      <w:r>
        <w:rPr>
          <w:snapToGrid w:val="0"/>
        </w:rPr>
        <w:fldChar w:fldCharType="end"/>
      </w:r>
      <w:bookmarkEnd w:id="847"/>
      <w:r>
        <w:rPr>
          <w:snapToGrid w:val="0"/>
        </w:rPr>
        <w:t xml:space="preserve"> Administrative Data </w:t>
      </w:r>
    </w:p>
    <w:p w14:paraId="7B368240" w14:textId="77777777" w:rsidR="002E3C00" w:rsidRDefault="002E3C00" w:rsidP="002E3C00">
      <w:pPr>
        <w:pStyle w:val="BodyText"/>
        <w:rPr>
          <w:snapToGrid w:val="0"/>
        </w:rPr>
      </w:pPr>
      <w:r>
        <w:rPr>
          <w:snapToGrid w:val="0"/>
        </w:rPr>
        <w:fldChar w:fldCharType="begin">
          <w:ffData>
            <w:name w:val="Check1"/>
            <w:enabled/>
            <w:calcOnExit w:val="0"/>
            <w:checkBox>
              <w:sizeAuto/>
              <w:default w:val="0"/>
            </w:checkBox>
          </w:ffData>
        </w:fldChar>
      </w:r>
      <w:r>
        <w:rPr>
          <w:snapToGrid w:val="0"/>
        </w:rPr>
        <w:instrText xml:space="preserve"> FORMCHECKBOX </w:instrText>
      </w:r>
      <w:r>
        <w:rPr>
          <w:snapToGrid w:val="0"/>
        </w:rPr>
      </w:r>
      <w:r>
        <w:rPr>
          <w:snapToGrid w:val="0"/>
        </w:rPr>
        <w:fldChar w:fldCharType="separate"/>
      </w:r>
      <w:r>
        <w:rPr>
          <w:snapToGrid w:val="0"/>
        </w:rPr>
        <w:fldChar w:fldCharType="end"/>
      </w:r>
      <w:r>
        <w:rPr>
          <w:snapToGrid w:val="0"/>
        </w:rPr>
        <w:t xml:space="preserve"> Audit Trail </w:t>
      </w:r>
    </w:p>
    <w:p w14:paraId="752FCBC1" w14:textId="77777777" w:rsidR="002E3C00" w:rsidRDefault="002E3C00" w:rsidP="002E3C00">
      <w:pPr>
        <w:pStyle w:val="BodyText"/>
        <w:rPr>
          <w:snapToGrid w:val="0"/>
        </w:rPr>
      </w:pPr>
      <w:r>
        <w:rPr>
          <w:snapToGrid w:val="0"/>
        </w:rPr>
        <w:fldChar w:fldCharType="begin">
          <w:ffData>
            <w:name w:val="Check1"/>
            <w:enabled/>
            <w:calcOnExit w:val="0"/>
            <w:checkBox>
              <w:sizeAuto/>
              <w:default w:val="0"/>
            </w:checkBox>
          </w:ffData>
        </w:fldChar>
      </w:r>
      <w:r>
        <w:rPr>
          <w:snapToGrid w:val="0"/>
        </w:rPr>
        <w:instrText xml:space="preserve"> FORMCHECKBOX </w:instrText>
      </w:r>
      <w:r>
        <w:rPr>
          <w:snapToGrid w:val="0"/>
        </w:rPr>
      </w:r>
      <w:r>
        <w:rPr>
          <w:snapToGrid w:val="0"/>
        </w:rPr>
        <w:fldChar w:fldCharType="separate"/>
      </w:r>
      <w:r>
        <w:rPr>
          <w:snapToGrid w:val="0"/>
        </w:rPr>
        <w:fldChar w:fldCharType="end"/>
      </w:r>
      <w:r>
        <w:rPr>
          <w:snapToGrid w:val="0"/>
        </w:rPr>
        <w:t xml:space="preserve"> Blood Availability </w:t>
      </w:r>
    </w:p>
    <w:p w14:paraId="45A8AAB7" w14:textId="77777777" w:rsidR="002E3C00" w:rsidRDefault="002E3C00" w:rsidP="002E3C00">
      <w:pPr>
        <w:pStyle w:val="BodyText"/>
        <w:rPr>
          <w:snapToGrid w:val="0"/>
        </w:rPr>
      </w:pPr>
      <w:r>
        <w:rPr>
          <w:snapToGrid w:val="0"/>
        </w:rPr>
        <w:fldChar w:fldCharType="begin">
          <w:ffData>
            <w:name w:val="Check1"/>
            <w:enabled/>
            <w:calcOnExit w:val="0"/>
            <w:checkBox>
              <w:sizeAuto/>
              <w:default w:val="0"/>
            </w:checkBox>
          </w:ffData>
        </w:fldChar>
      </w:r>
      <w:r>
        <w:rPr>
          <w:snapToGrid w:val="0"/>
        </w:rPr>
        <w:instrText xml:space="preserve"> FORMCHECKBOX </w:instrText>
      </w:r>
      <w:r>
        <w:rPr>
          <w:snapToGrid w:val="0"/>
        </w:rPr>
      </w:r>
      <w:r>
        <w:rPr>
          <w:snapToGrid w:val="0"/>
        </w:rPr>
        <w:fldChar w:fldCharType="separate"/>
      </w:r>
      <w:r>
        <w:rPr>
          <w:snapToGrid w:val="0"/>
        </w:rPr>
        <w:fldChar w:fldCharType="end"/>
      </w:r>
      <w:r>
        <w:rPr>
          <w:snapToGrid w:val="0"/>
        </w:rPr>
        <w:t xml:space="preserve"> Cost Accounting </w:t>
      </w:r>
    </w:p>
    <w:p w14:paraId="72AA1534" w14:textId="77777777" w:rsidR="002E3C00" w:rsidRDefault="002E3C00" w:rsidP="002E3C00">
      <w:pPr>
        <w:pStyle w:val="BodyText"/>
        <w:rPr>
          <w:snapToGrid w:val="0"/>
        </w:rPr>
      </w:pPr>
      <w:r>
        <w:rPr>
          <w:snapToGrid w:val="0"/>
        </w:rPr>
        <w:fldChar w:fldCharType="begin">
          <w:ffData>
            <w:name w:val="Check1"/>
            <w:enabled/>
            <w:calcOnExit w:val="0"/>
            <w:checkBox>
              <w:sizeAuto/>
              <w:default w:val="0"/>
            </w:checkBox>
          </w:ffData>
        </w:fldChar>
      </w:r>
      <w:r>
        <w:rPr>
          <w:snapToGrid w:val="0"/>
        </w:rPr>
        <w:instrText xml:space="preserve"> FORMCHECKBOX </w:instrText>
      </w:r>
      <w:r>
        <w:rPr>
          <w:snapToGrid w:val="0"/>
        </w:rPr>
      </w:r>
      <w:r>
        <w:rPr>
          <w:snapToGrid w:val="0"/>
        </w:rPr>
        <w:fldChar w:fldCharType="separate"/>
      </w:r>
      <w:r>
        <w:rPr>
          <w:snapToGrid w:val="0"/>
        </w:rPr>
        <w:fldChar w:fldCharType="end"/>
      </w:r>
      <w:r>
        <w:rPr>
          <w:snapToGrid w:val="0"/>
        </w:rPr>
        <w:t xml:space="preserve"> </w:t>
      </w:r>
      <w:r>
        <w:t xml:space="preserve">C:T Ratio </w:t>
      </w:r>
    </w:p>
    <w:p w14:paraId="01FC6D39" w14:textId="77777777" w:rsidR="002E3C00" w:rsidRDefault="002E3C00" w:rsidP="002E3C00">
      <w:pPr>
        <w:pStyle w:val="BodyText"/>
        <w:rPr>
          <w:snapToGrid w:val="0"/>
        </w:rPr>
      </w:pPr>
      <w:r>
        <w:rPr>
          <w:snapToGrid w:val="0"/>
        </w:rPr>
        <w:fldChar w:fldCharType="begin">
          <w:ffData>
            <w:name w:val="Check1"/>
            <w:enabled/>
            <w:calcOnExit w:val="0"/>
            <w:checkBox>
              <w:sizeAuto/>
              <w:default w:val="0"/>
            </w:checkBox>
          </w:ffData>
        </w:fldChar>
      </w:r>
      <w:r>
        <w:rPr>
          <w:snapToGrid w:val="0"/>
        </w:rPr>
        <w:instrText xml:space="preserve"> FORMCHECKBOX </w:instrText>
      </w:r>
      <w:r>
        <w:rPr>
          <w:snapToGrid w:val="0"/>
        </w:rPr>
      </w:r>
      <w:r>
        <w:rPr>
          <w:snapToGrid w:val="0"/>
        </w:rPr>
        <w:fldChar w:fldCharType="separate"/>
      </w:r>
      <w:r>
        <w:rPr>
          <w:snapToGrid w:val="0"/>
        </w:rPr>
        <w:fldChar w:fldCharType="end"/>
      </w:r>
      <w:r>
        <w:rPr>
          <w:snapToGrid w:val="0"/>
        </w:rPr>
        <w:t xml:space="preserve"> Division Transfusion </w:t>
      </w:r>
    </w:p>
    <w:p w14:paraId="4BF6C49A" w14:textId="77777777" w:rsidR="002E3C00" w:rsidRDefault="002E3C00" w:rsidP="002E3C00">
      <w:pPr>
        <w:pStyle w:val="BodyText"/>
        <w:rPr>
          <w:snapToGrid w:val="0"/>
        </w:rPr>
      </w:pPr>
      <w:r>
        <w:rPr>
          <w:snapToGrid w:val="0"/>
        </w:rPr>
        <w:fldChar w:fldCharType="begin">
          <w:ffData>
            <w:name w:val="Check1"/>
            <w:enabled/>
            <w:calcOnExit w:val="0"/>
            <w:checkBox>
              <w:sizeAuto/>
              <w:default w:val="0"/>
            </w:checkBox>
          </w:ffData>
        </w:fldChar>
      </w:r>
      <w:r>
        <w:rPr>
          <w:snapToGrid w:val="0"/>
        </w:rPr>
        <w:instrText xml:space="preserve"> FORMCHECKBOX </w:instrText>
      </w:r>
      <w:r>
        <w:rPr>
          <w:snapToGrid w:val="0"/>
        </w:rPr>
      </w:r>
      <w:r>
        <w:rPr>
          <w:snapToGrid w:val="0"/>
        </w:rPr>
        <w:fldChar w:fldCharType="separate"/>
      </w:r>
      <w:r>
        <w:rPr>
          <w:snapToGrid w:val="0"/>
        </w:rPr>
        <w:fldChar w:fldCharType="end"/>
      </w:r>
      <w:r>
        <w:rPr>
          <w:snapToGrid w:val="0"/>
        </w:rPr>
        <w:t xml:space="preserve"> Division Workload </w:t>
      </w:r>
    </w:p>
    <w:p w14:paraId="54E117D2" w14:textId="77777777" w:rsidR="002E3C00" w:rsidRDefault="002E3C00" w:rsidP="002E3C00">
      <w:pPr>
        <w:pStyle w:val="BodyText"/>
        <w:rPr>
          <w:snapToGrid w:val="0"/>
        </w:rPr>
      </w:pPr>
      <w:r>
        <w:rPr>
          <w:snapToGrid w:val="0"/>
        </w:rPr>
        <w:fldChar w:fldCharType="begin">
          <w:ffData>
            <w:name w:val="Check1"/>
            <w:enabled/>
            <w:calcOnExit w:val="0"/>
            <w:checkBox>
              <w:sizeAuto/>
              <w:default w:val="0"/>
            </w:checkBox>
          </w:ffData>
        </w:fldChar>
      </w:r>
      <w:r>
        <w:rPr>
          <w:snapToGrid w:val="0"/>
        </w:rPr>
        <w:instrText xml:space="preserve"> FORMCHECKBOX </w:instrText>
      </w:r>
      <w:r>
        <w:rPr>
          <w:snapToGrid w:val="0"/>
        </w:rPr>
      </w:r>
      <w:r>
        <w:rPr>
          <w:snapToGrid w:val="0"/>
        </w:rPr>
        <w:fldChar w:fldCharType="separate"/>
      </w:r>
      <w:r>
        <w:rPr>
          <w:snapToGrid w:val="0"/>
        </w:rPr>
        <w:fldChar w:fldCharType="end"/>
      </w:r>
      <w:r>
        <w:rPr>
          <w:snapToGrid w:val="0"/>
        </w:rPr>
        <w:t xml:space="preserve"> Exception </w:t>
      </w:r>
    </w:p>
    <w:p w14:paraId="5A5BB5E5" w14:textId="77777777" w:rsidR="002E3C00" w:rsidRDefault="002E3C00" w:rsidP="002E3C00">
      <w:pPr>
        <w:pStyle w:val="BodyText"/>
        <w:rPr>
          <w:snapToGrid w:val="0"/>
        </w:rPr>
      </w:pPr>
      <w:r>
        <w:rPr>
          <w:snapToGrid w:val="0"/>
        </w:rPr>
        <w:fldChar w:fldCharType="begin">
          <w:ffData>
            <w:name w:val="Check1"/>
            <w:enabled/>
            <w:calcOnExit w:val="0"/>
            <w:checkBox>
              <w:sizeAuto/>
              <w:default w:val="0"/>
            </w:checkBox>
          </w:ffData>
        </w:fldChar>
      </w:r>
      <w:r>
        <w:rPr>
          <w:snapToGrid w:val="0"/>
        </w:rPr>
        <w:instrText xml:space="preserve"> FORMCHECKBOX </w:instrText>
      </w:r>
      <w:r>
        <w:rPr>
          <w:snapToGrid w:val="0"/>
        </w:rPr>
      </w:r>
      <w:r>
        <w:rPr>
          <w:snapToGrid w:val="0"/>
        </w:rPr>
        <w:fldChar w:fldCharType="separate"/>
      </w:r>
      <w:r>
        <w:rPr>
          <w:snapToGrid w:val="0"/>
        </w:rPr>
        <w:fldChar w:fldCharType="end"/>
      </w:r>
      <w:r>
        <w:rPr>
          <w:snapToGrid w:val="0"/>
        </w:rPr>
        <w:t xml:space="preserve"> Finalize/Print TRW</w:t>
      </w:r>
    </w:p>
    <w:p w14:paraId="0B5DED88" w14:textId="77777777" w:rsidR="002E3C00" w:rsidRDefault="002E3C00" w:rsidP="002E3C00">
      <w:pPr>
        <w:pStyle w:val="BodyText"/>
        <w:rPr>
          <w:snapToGrid w:val="0"/>
        </w:rPr>
      </w:pPr>
      <w:r>
        <w:rPr>
          <w:snapToGrid w:val="0"/>
        </w:rPr>
        <w:fldChar w:fldCharType="begin">
          <w:ffData>
            <w:name w:val="Check1"/>
            <w:enabled/>
            <w:calcOnExit w:val="0"/>
            <w:checkBox>
              <w:sizeAuto/>
              <w:default w:val="0"/>
            </w:checkBox>
          </w:ffData>
        </w:fldChar>
      </w:r>
      <w:r>
        <w:rPr>
          <w:snapToGrid w:val="0"/>
        </w:rPr>
        <w:instrText xml:space="preserve"> FORMCHECKBOX </w:instrText>
      </w:r>
      <w:r>
        <w:rPr>
          <w:snapToGrid w:val="0"/>
        </w:rPr>
      </w:r>
      <w:r>
        <w:rPr>
          <w:snapToGrid w:val="0"/>
        </w:rPr>
        <w:fldChar w:fldCharType="separate"/>
      </w:r>
      <w:r>
        <w:rPr>
          <w:snapToGrid w:val="0"/>
        </w:rPr>
        <w:fldChar w:fldCharType="end"/>
      </w:r>
      <w:r>
        <w:rPr>
          <w:snapToGrid w:val="0"/>
        </w:rPr>
        <w:t xml:space="preserve"> Inappropriate Transfusion Request </w:t>
      </w:r>
    </w:p>
    <w:p w14:paraId="2D6E3DFE" w14:textId="77777777" w:rsidR="002E3C00" w:rsidRDefault="002E3C00" w:rsidP="002E3C00">
      <w:pPr>
        <w:pStyle w:val="BodyText"/>
        <w:rPr>
          <w:snapToGrid w:val="0"/>
        </w:rPr>
      </w:pPr>
      <w:r>
        <w:rPr>
          <w:snapToGrid w:val="0"/>
        </w:rPr>
        <w:fldChar w:fldCharType="begin">
          <w:ffData>
            <w:name w:val="Check1"/>
            <w:enabled/>
            <w:calcOnExit w:val="0"/>
            <w:checkBox>
              <w:sizeAuto/>
              <w:default w:val="0"/>
            </w:checkBox>
          </w:ffData>
        </w:fldChar>
      </w:r>
      <w:r>
        <w:rPr>
          <w:snapToGrid w:val="0"/>
        </w:rPr>
        <w:instrText xml:space="preserve"> FORMCHECKBOX </w:instrText>
      </w:r>
      <w:r>
        <w:rPr>
          <w:snapToGrid w:val="0"/>
        </w:rPr>
      </w:r>
      <w:r>
        <w:rPr>
          <w:snapToGrid w:val="0"/>
        </w:rPr>
        <w:fldChar w:fldCharType="separate"/>
      </w:r>
      <w:r>
        <w:rPr>
          <w:snapToGrid w:val="0"/>
        </w:rPr>
        <w:fldChar w:fldCharType="end"/>
      </w:r>
      <w:r>
        <w:rPr>
          <w:snapToGrid w:val="0"/>
        </w:rPr>
        <w:t xml:space="preserve"> Issued/Returned </w:t>
      </w:r>
    </w:p>
    <w:p w14:paraId="794D0CF7" w14:textId="77777777" w:rsidR="002E3C00" w:rsidRDefault="002E3C00" w:rsidP="002E3C00">
      <w:pPr>
        <w:pStyle w:val="BodyText"/>
        <w:rPr>
          <w:snapToGrid w:val="0"/>
        </w:rPr>
      </w:pPr>
      <w:r>
        <w:rPr>
          <w:snapToGrid w:val="0"/>
        </w:rPr>
        <w:fldChar w:fldCharType="begin">
          <w:ffData>
            <w:name w:val="Check1"/>
            <w:enabled/>
            <w:calcOnExit w:val="0"/>
            <w:checkBox>
              <w:sizeAuto/>
              <w:default w:val="0"/>
            </w:checkBox>
          </w:ffData>
        </w:fldChar>
      </w:r>
      <w:r>
        <w:rPr>
          <w:snapToGrid w:val="0"/>
        </w:rPr>
        <w:instrText xml:space="preserve"> FORMCHECKBOX </w:instrText>
      </w:r>
      <w:r>
        <w:rPr>
          <w:snapToGrid w:val="0"/>
        </w:rPr>
      </w:r>
      <w:r>
        <w:rPr>
          <w:snapToGrid w:val="0"/>
        </w:rPr>
        <w:fldChar w:fldCharType="separate"/>
      </w:r>
      <w:r>
        <w:rPr>
          <w:snapToGrid w:val="0"/>
        </w:rPr>
        <w:fldChar w:fldCharType="end"/>
      </w:r>
      <w:r>
        <w:rPr>
          <w:snapToGrid w:val="0"/>
        </w:rPr>
        <w:t xml:space="preserve"> Maintain Equipment (Print)</w:t>
      </w:r>
    </w:p>
    <w:p w14:paraId="1BF75BD0" w14:textId="77777777" w:rsidR="002E3C00" w:rsidRDefault="002E3C00" w:rsidP="002E3C00">
      <w:pPr>
        <w:pStyle w:val="BodyText"/>
        <w:rPr>
          <w:snapToGrid w:val="0"/>
        </w:rPr>
      </w:pPr>
      <w:r>
        <w:rPr>
          <w:snapToGrid w:val="0"/>
        </w:rPr>
        <w:fldChar w:fldCharType="begin">
          <w:ffData>
            <w:name w:val="Check1"/>
            <w:enabled/>
            <w:calcOnExit w:val="0"/>
            <w:checkBox>
              <w:sizeAuto/>
              <w:default w:val="0"/>
            </w:checkBox>
          </w:ffData>
        </w:fldChar>
      </w:r>
      <w:r>
        <w:rPr>
          <w:snapToGrid w:val="0"/>
        </w:rPr>
        <w:instrText xml:space="preserve"> FORMCHECKBOX </w:instrText>
      </w:r>
      <w:r>
        <w:rPr>
          <w:snapToGrid w:val="0"/>
        </w:rPr>
      </w:r>
      <w:r>
        <w:rPr>
          <w:snapToGrid w:val="0"/>
        </w:rPr>
        <w:fldChar w:fldCharType="separate"/>
      </w:r>
      <w:r>
        <w:rPr>
          <w:snapToGrid w:val="0"/>
        </w:rPr>
        <w:fldChar w:fldCharType="end"/>
      </w:r>
      <w:r>
        <w:rPr>
          <w:snapToGrid w:val="0"/>
        </w:rPr>
        <w:t xml:space="preserve"> Order History </w:t>
      </w:r>
    </w:p>
    <w:p w14:paraId="7B8A0C9B" w14:textId="77777777" w:rsidR="00200B6D" w:rsidRDefault="00200B6D" w:rsidP="00200B6D">
      <w:pPr>
        <w:pStyle w:val="BodyText"/>
        <w:rPr>
          <w:snapToGrid w:val="0"/>
        </w:rPr>
      </w:pPr>
      <w:r>
        <w:rPr>
          <w:snapToGrid w:val="0"/>
        </w:rPr>
        <w:br w:type="column"/>
      </w:r>
      <w:r>
        <w:rPr>
          <w:snapToGrid w:val="0"/>
        </w:rPr>
        <w:fldChar w:fldCharType="begin">
          <w:ffData>
            <w:name w:val="Check1"/>
            <w:enabled/>
            <w:calcOnExit w:val="0"/>
            <w:checkBox>
              <w:sizeAuto/>
              <w:default w:val="0"/>
            </w:checkBox>
          </w:ffData>
        </w:fldChar>
      </w:r>
      <w:r>
        <w:rPr>
          <w:snapToGrid w:val="0"/>
        </w:rPr>
        <w:instrText xml:space="preserve"> FORMCHECKBOX </w:instrText>
      </w:r>
      <w:r>
        <w:rPr>
          <w:snapToGrid w:val="0"/>
        </w:rPr>
      </w:r>
      <w:r>
        <w:rPr>
          <w:snapToGrid w:val="0"/>
        </w:rPr>
        <w:fldChar w:fldCharType="separate"/>
      </w:r>
      <w:r>
        <w:rPr>
          <w:snapToGrid w:val="0"/>
        </w:rPr>
        <w:fldChar w:fldCharType="end"/>
      </w:r>
      <w:r>
        <w:rPr>
          <w:snapToGrid w:val="0"/>
        </w:rPr>
        <w:t xml:space="preserve"> Patient History </w:t>
      </w:r>
    </w:p>
    <w:p w14:paraId="7A129289" w14:textId="77777777" w:rsidR="002E3C00" w:rsidRDefault="002E3C00" w:rsidP="002E3C00">
      <w:pPr>
        <w:pStyle w:val="BodyText"/>
        <w:rPr>
          <w:snapToGrid w:val="0"/>
          <w:color w:val="000000"/>
        </w:rPr>
      </w:pPr>
      <w:r>
        <w:rPr>
          <w:snapToGrid w:val="0"/>
        </w:rPr>
        <w:fldChar w:fldCharType="begin">
          <w:ffData>
            <w:name w:val="Check1"/>
            <w:enabled/>
            <w:calcOnExit w:val="0"/>
            <w:checkBox>
              <w:sizeAuto/>
              <w:default w:val="0"/>
            </w:checkBox>
          </w:ffData>
        </w:fldChar>
      </w:r>
      <w:r>
        <w:rPr>
          <w:snapToGrid w:val="0"/>
        </w:rPr>
        <w:instrText xml:space="preserve"> FORMCHECKBOX </w:instrText>
      </w:r>
      <w:r>
        <w:rPr>
          <w:snapToGrid w:val="0"/>
        </w:rPr>
      </w:r>
      <w:r>
        <w:rPr>
          <w:snapToGrid w:val="0"/>
        </w:rPr>
        <w:fldChar w:fldCharType="separate"/>
      </w:r>
      <w:r>
        <w:rPr>
          <w:snapToGrid w:val="0"/>
        </w:rPr>
        <w:fldChar w:fldCharType="end"/>
      </w:r>
      <w:r>
        <w:rPr>
          <w:snapToGrid w:val="0"/>
        </w:rPr>
        <w:t xml:space="preserve"> Print Unit Caution Tag &amp; Transfusion Record Form </w:t>
      </w:r>
    </w:p>
    <w:p w14:paraId="358C9844" w14:textId="77777777" w:rsidR="002E3C00" w:rsidRDefault="002E3C00" w:rsidP="002E3C00">
      <w:pPr>
        <w:pStyle w:val="BodyText"/>
        <w:rPr>
          <w:snapToGrid w:val="0"/>
        </w:rPr>
      </w:pPr>
      <w:r>
        <w:rPr>
          <w:snapToGrid w:val="0"/>
        </w:rPr>
        <w:fldChar w:fldCharType="begin">
          <w:ffData>
            <w:name w:val="Check1"/>
            <w:enabled/>
            <w:calcOnExit w:val="0"/>
            <w:checkBox>
              <w:sizeAuto/>
              <w:default w:val="0"/>
            </w:checkBox>
          </w:ffData>
        </w:fldChar>
      </w:r>
      <w:r>
        <w:rPr>
          <w:snapToGrid w:val="0"/>
        </w:rPr>
        <w:instrText xml:space="preserve"> FORMCHECKBOX </w:instrText>
      </w:r>
      <w:r>
        <w:rPr>
          <w:snapToGrid w:val="0"/>
        </w:rPr>
      </w:r>
      <w:r>
        <w:rPr>
          <w:snapToGrid w:val="0"/>
        </w:rPr>
        <w:fldChar w:fldCharType="separate"/>
      </w:r>
      <w:r>
        <w:rPr>
          <w:snapToGrid w:val="0"/>
        </w:rPr>
        <w:fldChar w:fldCharType="end"/>
      </w:r>
      <w:r>
        <w:rPr>
          <w:snapToGrid w:val="0"/>
        </w:rPr>
        <w:t xml:space="preserve"> </w:t>
      </w:r>
      <w:r>
        <w:t xml:space="preserve">Prolonged Transfusion Time </w:t>
      </w:r>
    </w:p>
    <w:p w14:paraId="6DBA4457" w14:textId="77777777" w:rsidR="002E3C00" w:rsidRDefault="002E3C00" w:rsidP="002E3C00">
      <w:pPr>
        <w:pStyle w:val="BodyText"/>
        <w:rPr>
          <w:snapToGrid w:val="0"/>
        </w:rPr>
      </w:pPr>
      <w:r>
        <w:rPr>
          <w:snapToGrid w:val="0"/>
        </w:rPr>
        <w:fldChar w:fldCharType="begin">
          <w:ffData>
            <w:name w:val="Check1"/>
            <w:enabled/>
            <w:calcOnExit w:val="0"/>
            <w:checkBox>
              <w:sizeAuto/>
              <w:default w:val="0"/>
            </w:checkBox>
          </w:ffData>
        </w:fldChar>
      </w:r>
      <w:r>
        <w:rPr>
          <w:snapToGrid w:val="0"/>
        </w:rPr>
        <w:instrText xml:space="preserve"> FORMCHECKBOX </w:instrText>
      </w:r>
      <w:r>
        <w:rPr>
          <w:snapToGrid w:val="0"/>
        </w:rPr>
      </w:r>
      <w:r>
        <w:rPr>
          <w:snapToGrid w:val="0"/>
        </w:rPr>
        <w:fldChar w:fldCharType="separate"/>
      </w:r>
      <w:r>
        <w:rPr>
          <w:snapToGrid w:val="0"/>
        </w:rPr>
        <w:fldChar w:fldCharType="end"/>
      </w:r>
      <w:r>
        <w:rPr>
          <w:snapToGrid w:val="0"/>
        </w:rPr>
        <w:t xml:space="preserve"> Testing Worklist </w:t>
      </w:r>
    </w:p>
    <w:p w14:paraId="1DDC9D11" w14:textId="77777777" w:rsidR="002E3C00" w:rsidRDefault="002E3C00" w:rsidP="002E3C00">
      <w:pPr>
        <w:pStyle w:val="BodyText"/>
        <w:rPr>
          <w:snapToGrid w:val="0"/>
        </w:rPr>
      </w:pPr>
      <w:r>
        <w:rPr>
          <w:snapToGrid w:val="0"/>
        </w:rPr>
        <w:fldChar w:fldCharType="begin">
          <w:ffData>
            <w:name w:val="Check1"/>
            <w:enabled/>
            <w:calcOnExit w:val="0"/>
            <w:checkBox>
              <w:sizeAuto/>
              <w:default w:val="0"/>
            </w:checkBox>
          </w:ffData>
        </w:fldChar>
      </w:r>
      <w:r>
        <w:rPr>
          <w:snapToGrid w:val="0"/>
        </w:rPr>
        <w:instrText xml:space="preserve"> FORMCHECKBOX </w:instrText>
      </w:r>
      <w:r>
        <w:rPr>
          <w:snapToGrid w:val="0"/>
        </w:rPr>
      </w:r>
      <w:r>
        <w:rPr>
          <w:snapToGrid w:val="0"/>
        </w:rPr>
        <w:fldChar w:fldCharType="separate"/>
      </w:r>
      <w:r>
        <w:rPr>
          <w:snapToGrid w:val="0"/>
        </w:rPr>
        <w:fldChar w:fldCharType="end"/>
      </w:r>
      <w:r>
        <w:rPr>
          <w:snapToGrid w:val="0"/>
        </w:rPr>
        <w:t xml:space="preserve"> Transfusion Complications </w:t>
      </w:r>
    </w:p>
    <w:p w14:paraId="3382588A" w14:textId="77777777" w:rsidR="002E3C00" w:rsidRDefault="002E3C00" w:rsidP="002E3C00">
      <w:pPr>
        <w:pStyle w:val="BodyText"/>
        <w:rPr>
          <w:snapToGrid w:val="0"/>
        </w:rPr>
      </w:pPr>
      <w:r>
        <w:rPr>
          <w:snapToGrid w:val="0"/>
        </w:rPr>
        <w:fldChar w:fldCharType="begin">
          <w:ffData>
            <w:name w:val="Check1"/>
            <w:enabled/>
            <w:calcOnExit w:val="0"/>
            <w:checkBox>
              <w:sizeAuto/>
              <w:default w:val="0"/>
            </w:checkBox>
          </w:ffData>
        </w:fldChar>
      </w:r>
      <w:r>
        <w:rPr>
          <w:snapToGrid w:val="0"/>
        </w:rPr>
        <w:instrText xml:space="preserve"> FORMCHECKBOX </w:instrText>
      </w:r>
      <w:r>
        <w:rPr>
          <w:snapToGrid w:val="0"/>
        </w:rPr>
      </w:r>
      <w:r>
        <w:rPr>
          <w:snapToGrid w:val="0"/>
        </w:rPr>
        <w:fldChar w:fldCharType="separate"/>
      </w:r>
      <w:r>
        <w:rPr>
          <w:snapToGrid w:val="0"/>
        </w:rPr>
        <w:fldChar w:fldCharType="end"/>
      </w:r>
      <w:r>
        <w:rPr>
          <w:snapToGrid w:val="0"/>
        </w:rPr>
        <w:t xml:space="preserve"> Transfusion Effectiveness </w:t>
      </w:r>
    </w:p>
    <w:p w14:paraId="2A8B64ED" w14:textId="77777777" w:rsidR="002E3C00" w:rsidRDefault="002E3C00" w:rsidP="002E3C00">
      <w:pPr>
        <w:pStyle w:val="BodyText"/>
        <w:rPr>
          <w:snapToGrid w:val="0"/>
        </w:rPr>
      </w:pPr>
      <w:r>
        <w:rPr>
          <w:snapToGrid w:val="0"/>
        </w:rPr>
        <w:fldChar w:fldCharType="begin">
          <w:ffData>
            <w:name w:val="Check1"/>
            <w:enabled/>
            <w:calcOnExit w:val="0"/>
            <w:checkBox>
              <w:sizeAuto/>
              <w:default w:val="0"/>
            </w:checkBox>
          </w:ffData>
        </w:fldChar>
      </w:r>
      <w:r>
        <w:rPr>
          <w:snapToGrid w:val="0"/>
        </w:rPr>
        <w:instrText xml:space="preserve"> FORMCHECKBOX </w:instrText>
      </w:r>
      <w:r>
        <w:rPr>
          <w:snapToGrid w:val="0"/>
        </w:rPr>
      </w:r>
      <w:r>
        <w:rPr>
          <w:snapToGrid w:val="0"/>
        </w:rPr>
        <w:fldChar w:fldCharType="separate"/>
      </w:r>
      <w:r>
        <w:rPr>
          <w:snapToGrid w:val="0"/>
        </w:rPr>
        <w:fldChar w:fldCharType="end"/>
      </w:r>
      <w:r>
        <w:rPr>
          <w:snapToGrid w:val="0"/>
        </w:rPr>
        <w:t xml:space="preserve"> </w:t>
      </w:r>
      <w:r>
        <w:t xml:space="preserve">Transfusion Reaction Count </w:t>
      </w:r>
    </w:p>
    <w:p w14:paraId="40AB93D1" w14:textId="77777777" w:rsidR="002E3C00" w:rsidRDefault="002E3C00" w:rsidP="002E3C00">
      <w:pPr>
        <w:pStyle w:val="BodyText"/>
        <w:rPr>
          <w:snapToGrid w:val="0"/>
        </w:rPr>
      </w:pPr>
      <w:r>
        <w:rPr>
          <w:snapToGrid w:val="0"/>
        </w:rPr>
        <w:fldChar w:fldCharType="begin">
          <w:ffData>
            <w:name w:val="Check1"/>
            <w:enabled/>
            <w:calcOnExit w:val="0"/>
            <w:checkBox>
              <w:sizeAuto/>
              <w:default w:val="0"/>
            </w:checkBox>
          </w:ffData>
        </w:fldChar>
      </w:r>
      <w:r>
        <w:rPr>
          <w:snapToGrid w:val="0"/>
        </w:rPr>
        <w:instrText xml:space="preserve"> FORMCHECKBOX </w:instrText>
      </w:r>
      <w:r>
        <w:rPr>
          <w:snapToGrid w:val="0"/>
        </w:rPr>
      </w:r>
      <w:r>
        <w:rPr>
          <w:snapToGrid w:val="0"/>
        </w:rPr>
        <w:fldChar w:fldCharType="separate"/>
      </w:r>
      <w:r>
        <w:rPr>
          <w:snapToGrid w:val="0"/>
        </w:rPr>
        <w:fldChar w:fldCharType="end"/>
      </w:r>
      <w:r>
        <w:rPr>
          <w:snapToGrid w:val="0"/>
        </w:rPr>
        <w:t xml:space="preserve"> Transfusion Requirements </w:t>
      </w:r>
    </w:p>
    <w:p w14:paraId="115289DA" w14:textId="77777777" w:rsidR="002E3C00" w:rsidRDefault="002E3C00" w:rsidP="002E3C00">
      <w:pPr>
        <w:pStyle w:val="BodyText"/>
        <w:rPr>
          <w:snapToGrid w:val="0"/>
        </w:rPr>
      </w:pPr>
      <w:r>
        <w:rPr>
          <w:snapToGrid w:val="0"/>
        </w:rPr>
        <w:fldChar w:fldCharType="begin">
          <w:ffData>
            <w:name w:val="Check1"/>
            <w:enabled/>
            <w:calcOnExit w:val="0"/>
            <w:checkBox>
              <w:sizeAuto/>
              <w:default w:val="0"/>
            </w:checkBox>
          </w:ffData>
        </w:fldChar>
      </w:r>
      <w:r>
        <w:rPr>
          <w:snapToGrid w:val="0"/>
        </w:rPr>
        <w:instrText xml:space="preserve"> FORMCHECKBOX </w:instrText>
      </w:r>
      <w:r>
        <w:rPr>
          <w:snapToGrid w:val="0"/>
        </w:rPr>
      </w:r>
      <w:r>
        <w:rPr>
          <w:snapToGrid w:val="0"/>
        </w:rPr>
        <w:fldChar w:fldCharType="separate"/>
      </w:r>
      <w:r>
        <w:rPr>
          <w:snapToGrid w:val="0"/>
        </w:rPr>
        <w:fldChar w:fldCharType="end"/>
      </w:r>
      <w:r>
        <w:rPr>
          <w:snapToGrid w:val="0"/>
        </w:rPr>
        <w:t xml:space="preserve"> Unit History </w:t>
      </w:r>
    </w:p>
    <w:p w14:paraId="267F2A44" w14:textId="77777777" w:rsidR="002E3C00" w:rsidRDefault="002E3C00" w:rsidP="002E3C00">
      <w:pPr>
        <w:pStyle w:val="BodyText"/>
        <w:rPr>
          <w:snapToGrid w:val="0"/>
        </w:rPr>
      </w:pPr>
      <w:r>
        <w:rPr>
          <w:snapToGrid w:val="0"/>
        </w:rPr>
        <w:fldChar w:fldCharType="begin">
          <w:ffData>
            <w:name w:val="Check1"/>
            <w:enabled/>
            <w:calcOnExit w:val="0"/>
            <w:checkBox>
              <w:sizeAuto/>
              <w:default w:val="0"/>
            </w:checkBox>
          </w:ffData>
        </w:fldChar>
      </w:r>
      <w:r>
        <w:rPr>
          <w:snapToGrid w:val="0"/>
        </w:rPr>
        <w:instrText xml:space="preserve"> FORMCHECKBOX </w:instrText>
      </w:r>
      <w:r>
        <w:rPr>
          <w:snapToGrid w:val="0"/>
        </w:rPr>
      </w:r>
      <w:r>
        <w:rPr>
          <w:snapToGrid w:val="0"/>
        </w:rPr>
        <w:fldChar w:fldCharType="separate"/>
      </w:r>
      <w:r>
        <w:rPr>
          <w:snapToGrid w:val="0"/>
        </w:rPr>
        <w:fldChar w:fldCharType="end"/>
      </w:r>
      <w:r>
        <w:rPr>
          <w:snapToGrid w:val="0"/>
        </w:rPr>
        <w:t xml:space="preserve"> View/Print Equipment Inventory</w:t>
      </w:r>
    </w:p>
    <w:p w14:paraId="778543C6" w14:textId="77777777" w:rsidR="002E3C00" w:rsidRDefault="002E3C00" w:rsidP="002E3C00">
      <w:pPr>
        <w:pStyle w:val="BodyText"/>
        <w:rPr>
          <w:snapToGrid w:val="0"/>
        </w:rPr>
      </w:pPr>
      <w:r>
        <w:rPr>
          <w:snapToGrid w:val="0"/>
        </w:rPr>
        <w:fldChar w:fldCharType="begin">
          <w:ffData>
            <w:name w:val="Check1"/>
            <w:enabled/>
            <w:calcOnExit w:val="0"/>
            <w:checkBox>
              <w:sizeAuto/>
              <w:default w:val="0"/>
            </w:checkBox>
          </w:ffData>
        </w:fldChar>
      </w:r>
      <w:r>
        <w:rPr>
          <w:snapToGrid w:val="0"/>
        </w:rPr>
        <w:instrText xml:space="preserve"> FORMCHECKBOX </w:instrText>
      </w:r>
      <w:r>
        <w:rPr>
          <w:snapToGrid w:val="0"/>
        </w:rPr>
      </w:r>
      <w:r>
        <w:rPr>
          <w:snapToGrid w:val="0"/>
        </w:rPr>
        <w:fldChar w:fldCharType="separate"/>
      </w:r>
      <w:r>
        <w:rPr>
          <w:snapToGrid w:val="0"/>
        </w:rPr>
        <w:fldChar w:fldCharType="end"/>
      </w:r>
      <w:r>
        <w:rPr>
          <w:snapToGrid w:val="0"/>
        </w:rPr>
        <w:t xml:space="preserve"> View/Print Inventory (Reagent)</w:t>
      </w:r>
    </w:p>
    <w:p w14:paraId="4E85F14C" w14:textId="77777777" w:rsidR="002E3C00" w:rsidRDefault="002E3C00" w:rsidP="002E3C00">
      <w:pPr>
        <w:pStyle w:val="BodyText"/>
        <w:rPr>
          <w:snapToGrid w:val="0"/>
        </w:rPr>
      </w:pPr>
      <w:r>
        <w:rPr>
          <w:snapToGrid w:val="0"/>
        </w:rPr>
        <w:fldChar w:fldCharType="begin">
          <w:ffData>
            <w:name w:val="Check1"/>
            <w:enabled/>
            <w:calcOnExit w:val="0"/>
            <w:checkBox>
              <w:sizeAuto/>
              <w:default w:val="0"/>
            </w:checkBox>
          </w:ffData>
        </w:fldChar>
      </w:r>
      <w:r>
        <w:rPr>
          <w:snapToGrid w:val="0"/>
        </w:rPr>
        <w:instrText xml:space="preserve"> FORMCHECKBOX </w:instrText>
      </w:r>
      <w:r>
        <w:rPr>
          <w:snapToGrid w:val="0"/>
        </w:rPr>
      </w:r>
      <w:r>
        <w:rPr>
          <w:snapToGrid w:val="0"/>
        </w:rPr>
        <w:fldChar w:fldCharType="separate"/>
      </w:r>
      <w:r>
        <w:rPr>
          <w:snapToGrid w:val="0"/>
        </w:rPr>
        <w:fldChar w:fldCharType="end"/>
      </w:r>
      <w:r>
        <w:rPr>
          <w:snapToGrid w:val="0"/>
        </w:rPr>
        <w:t xml:space="preserve"> View/Print Supply Inventory</w:t>
      </w:r>
    </w:p>
    <w:p w14:paraId="0386DFE2" w14:textId="77777777" w:rsidR="00297B5F" w:rsidRDefault="00297B5F">
      <w:pPr>
        <w:pStyle w:val="Heading2"/>
        <w:sectPr w:rsidR="00297B5F" w:rsidSect="00EE771C">
          <w:type w:val="continuous"/>
          <w:pgSz w:w="12240" w:h="15840" w:code="1"/>
          <w:pgMar w:top="1440" w:right="1440" w:bottom="1440" w:left="1440" w:header="720" w:footer="720" w:gutter="0"/>
          <w:cols w:num="2" w:space="720"/>
          <w:docGrid w:linePitch="360"/>
        </w:sectPr>
      </w:pPr>
    </w:p>
    <w:p w14:paraId="1B97B4E6" w14:textId="7AB18B3F" w:rsidR="002A21AE" w:rsidRDefault="002A21AE">
      <w:pPr>
        <w:pStyle w:val="Heading2"/>
      </w:pPr>
      <w:bookmarkStart w:id="848" w:name="_Ref508960075"/>
      <w:bookmarkStart w:id="849" w:name="_Ref508960255"/>
      <w:bookmarkStart w:id="850" w:name="_Ref508960299"/>
      <w:bookmarkStart w:id="851" w:name="_Ref508960349"/>
      <w:bookmarkStart w:id="852" w:name="_Ref508960702"/>
      <w:bookmarkStart w:id="853" w:name="_Ref508960811"/>
      <w:bookmarkStart w:id="854" w:name="_Toc203766015"/>
      <w:r>
        <w:lastRenderedPageBreak/>
        <w:t xml:space="preserve">Appendix </w:t>
      </w:r>
      <w:r w:rsidR="001B0B0C">
        <w:rPr>
          <w:noProof/>
        </w:rPr>
        <w:t>G</w:t>
      </w:r>
      <w:r>
        <w:t xml:space="preserve">: </w:t>
      </w:r>
      <w:r w:rsidR="00681DED">
        <w:t>Work Process Flowcharts</w:t>
      </w:r>
      <w:bookmarkEnd w:id="848"/>
      <w:bookmarkEnd w:id="849"/>
      <w:bookmarkEnd w:id="850"/>
      <w:bookmarkEnd w:id="851"/>
      <w:bookmarkEnd w:id="852"/>
      <w:bookmarkEnd w:id="853"/>
      <w:bookmarkEnd w:id="854"/>
      <w:r>
        <w:fldChar w:fldCharType="begin"/>
      </w:r>
      <w:r>
        <w:instrText xml:space="preserve"> XE </w:instrText>
      </w:r>
      <w:r w:rsidR="00FA7E65">
        <w:instrText>“</w:instrText>
      </w:r>
      <w:r w:rsidR="00681DED">
        <w:instrText>Work Process Flowcharts</w:instrText>
      </w:r>
      <w:r w:rsidR="00FA7E65">
        <w:instrText>”</w:instrText>
      </w:r>
      <w:r>
        <w:instrText xml:space="preserve"> </w:instrText>
      </w:r>
      <w:r>
        <w:fldChar w:fldCharType="end"/>
      </w:r>
    </w:p>
    <w:p w14:paraId="2603A1D7" w14:textId="08928DBD" w:rsidR="006D442F" w:rsidRDefault="006D442F" w:rsidP="006D442F">
      <w:pPr>
        <w:pStyle w:val="Caption"/>
      </w:pPr>
      <w:bookmarkStart w:id="855" w:name="_Ref508367870"/>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7D1829">
        <w:rPr>
          <w:noProof/>
        </w:rPr>
        <w:t>123</w:t>
      </w:r>
      <w:r w:rsidR="004E20BD">
        <w:rPr>
          <w:noProof/>
        </w:rPr>
        <w:fldChar w:fldCharType="end"/>
      </w:r>
      <w:bookmarkEnd w:id="855"/>
      <w:r>
        <w:t>: Configure Division Settings: Full-Service Divisions</w:t>
      </w:r>
    </w:p>
    <w:p w14:paraId="7464771D" w14:textId="37303656" w:rsidR="007F032F" w:rsidRDefault="00627964" w:rsidP="00B31CBF">
      <w:pPr>
        <w:pStyle w:val="BodyText"/>
      </w:pPr>
      <w:r>
        <w:object w:dxaOrig="9595" w:dyaOrig="14410" w14:anchorId="5EB7BA31">
          <v:shape id="_x0000_i1034" type="#_x0000_t75" alt="Work Process Flowcharta" style="width:338.25pt;height:7in" o:ole="">
            <v:imagedata r:id="rId221" o:title=""/>
          </v:shape>
          <o:OLEObject Type="Embed" ProgID="Visio.Drawing.11" ShapeID="_x0000_i1034" DrawAspect="Content" ObjectID="_1816593596" r:id="rId222"/>
        </w:object>
      </w:r>
    </w:p>
    <w:p w14:paraId="4D3A94B6" w14:textId="7D4D6444" w:rsidR="006D442F" w:rsidRDefault="007F032F" w:rsidP="006D442F">
      <w:pPr>
        <w:pStyle w:val="Caption"/>
      </w:pPr>
      <w:r>
        <w:br w:type="page"/>
      </w:r>
      <w:bookmarkStart w:id="856" w:name="_Ref508368046"/>
      <w:r w:rsidR="006D442F">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7D1829">
        <w:rPr>
          <w:noProof/>
        </w:rPr>
        <w:t>124</w:t>
      </w:r>
      <w:r w:rsidR="004E20BD">
        <w:rPr>
          <w:noProof/>
        </w:rPr>
        <w:fldChar w:fldCharType="end"/>
      </w:r>
      <w:bookmarkEnd w:id="856"/>
      <w:r w:rsidR="006D442F">
        <w:t>: Configure Division Settings: Transfusion-Only Divisions</w:t>
      </w:r>
    </w:p>
    <w:p w14:paraId="5B67E9A6" w14:textId="2D3B0554" w:rsidR="00E5778C" w:rsidRDefault="00627964" w:rsidP="00B31CBF">
      <w:pPr>
        <w:pStyle w:val="BodyText"/>
      </w:pPr>
      <w:r>
        <w:object w:dxaOrig="7435" w:dyaOrig="14410" w14:anchorId="496ED972">
          <v:shape id="_x0000_i1035" type="#_x0000_t75" alt="Configure Division Settings: Transfusion-Only Division" style="width:295.5pt;height:8in;mso-position-vertical:absolute" o:ole="">
            <v:imagedata r:id="rId223" o:title=""/>
          </v:shape>
          <o:OLEObject Type="Embed" ProgID="Visio.Drawing.11" ShapeID="_x0000_i1035" DrawAspect="Content" ObjectID="_1816593597" r:id="rId224"/>
        </w:object>
      </w:r>
    </w:p>
    <w:p w14:paraId="3C7B75D9" w14:textId="4313AD6E" w:rsidR="006D442F" w:rsidRDefault="000753FE" w:rsidP="006D442F">
      <w:pPr>
        <w:pStyle w:val="Caption"/>
      </w:pPr>
      <w:r>
        <w:br w:type="page"/>
      </w:r>
      <w:bookmarkStart w:id="857" w:name="_Ref508369253"/>
      <w:r w:rsidR="006D442F">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7D1829">
        <w:rPr>
          <w:noProof/>
        </w:rPr>
        <w:t>125</w:t>
      </w:r>
      <w:r w:rsidR="004E20BD">
        <w:rPr>
          <w:noProof/>
        </w:rPr>
        <w:fldChar w:fldCharType="end"/>
      </w:r>
      <w:bookmarkEnd w:id="857"/>
      <w:r w:rsidR="006D442F">
        <w:t>: Maintain Reagents and Daily QC: Full Service Divisions</w:t>
      </w:r>
    </w:p>
    <w:p w14:paraId="6764D8ED" w14:textId="5D2A927F" w:rsidR="00F47ED0" w:rsidRPr="00F47ED0" w:rsidRDefault="00627964" w:rsidP="00B31CBF">
      <w:pPr>
        <w:pStyle w:val="BodyText"/>
      </w:pPr>
      <w:r>
        <w:object w:dxaOrig="10119" w:dyaOrig="10037" w14:anchorId="3C98B69E">
          <v:shape id="_x0000_i1036" type="#_x0000_t75" alt="Maintain Reagents and Daily QC: Full Service Divisions" style="width:468pt;height:460.5pt" o:ole="">
            <v:imagedata r:id="rId225" o:title=""/>
          </v:shape>
          <o:OLEObject Type="Embed" ProgID="Visio.Drawing.11" ShapeID="_x0000_i1036" DrawAspect="Content" ObjectID="_1816593598" r:id="rId226"/>
        </w:object>
      </w:r>
    </w:p>
    <w:p w14:paraId="22E2E6CC" w14:textId="77777777" w:rsidR="00292ED0" w:rsidRDefault="00292ED0" w:rsidP="00292ED0">
      <w:pPr>
        <w:pStyle w:val="Heading3"/>
        <w:sectPr w:rsidR="00292ED0" w:rsidSect="00EE771C">
          <w:pgSz w:w="12240" w:h="15840" w:code="1"/>
          <w:pgMar w:top="1440" w:right="1440" w:bottom="1440" w:left="1440" w:header="720" w:footer="720" w:gutter="0"/>
          <w:cols w:space="720"/>
          <w:docGrid w:linePitch="360"/>
        </w:sectPr>
      </w:pPr>
    </w:p>
    <w:p w14:paraId="75BCECC2" w14:textId="74506180" w:rsidR="006D442F" w:rsidRDefault="006D442F" w:rsidP="006D442F">
      <w:pPr>
        <w:pStyle w:val="Caption"/>
      </w:pPr>
      <w:bookmarkStart w:id="858" w:name="_Ref508369430"/>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7D1829">
        <w:rPr>
          <w:noProof/>
        </w:rPr>
        <w:t>126</w:t>
      </w:r>
      <w:r w:rsidR="004E20BD">
        <w:rPr>
          <w:noProof/>
        </w:rPr>
        <w:fldChar w:fldCharType="end"/>
      </w:r>
      <w:bookmarkEnd w:id="858"/>
      <w:r>
        <w:t>: Process Incoming Shipment: Full-Service Divisions</w:t>
      </w:r>
    </w:p>
    <w:p w14:paraId="6BD3C7B5" w14:textId="041696EC" w:rsidR="00292ED0" w:rsidRDefault="00EA6850" w:rsidP="00B31CBF">
      <w:pPr>
        <w:pStyle w:val="BodyText"/>
      </w:pPr>
      <w:r>
        <w:t xml:space="preserve"> </w:t>
      </w:r>
      <w:r w:rsidR="00627964">
        <w:object w:dxaOrig="14258" w:dyaOrig="10675" w14:anchorId="49A29AD2">
          <v:shape id="_x0000_i1037" type="#_x0000_t75" alt="Process Incoming Shipment: Full-Service Divisions" style="width:489.75pt;height:5in;mso-position-vertical:absolute" o:ole="">
            <v:imagedata r:id="rId227" o:title=""/>
          </v:shape>
          <o:OLEObject Type="Embed" ProgID="Visio.Drawing.11" ShapeID="_x0000_i1037" DrawAspect="Content" ObjectID="_1816593599" r:id="rId228"/>
        </w:object>
      </w:r>
      <w:r w:rsidR="00292ED0">
        <w:t xml:space="preserve"> </w:t>
      </w:r>
    </w:p>
    <w:p w14:paraId="36A16710" w14:textId="73C999B4" w:rsidR="006D442F" w:rsidRDefault="00292ED0" w:rsidP="006D442F">
      <w:pPr>
        <w:pStyle w:val="Caption"/>
      </w:pPr>
      <w:r>
        <w:br w:type="page"/>
      </w:r>
      <w:bookmarkStart w:id="859" w:name="_Ref508370163"/>
      <w:r w:rsidR="006D442F">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7D1829">
        <w:rPr>
          <w:noProof/>
        </w:rPr>
        <w:t>127</w:t>
      </w:r>
      <w:r w:rsidR="004E20BD">
        <w:rPr>
          <w:noProof/>
        </w:rPr>
        <w:fldChar w:fldCharType="end"/>
      </w:r>
      <w:bookmarkEnd w:id="859"/>
      <w:r w:rsidR="006D442F">
        <w:t>: Process Incoming Shipment: Transfusion-Only Divisions</w:t>
      </w:r>
    </w:p>
    <w:p w14:paraId="68FB9179" w14:textId="385AE2DF" w:rsidR="00292ED0" w:rsidRDefault="00627964" w:rsidP="00B31CBF">
      <w:pPr>
        <w:pStyle w:val="BodyText"/>
        <w:sectPr w:rsidR="00292ED0" w:rsidSect="00EE771C">
          <w:footerReference w:type="default" r:id="rId229"/>
          <w:pgSz w:w="15840" w:h="12240" w:orient="landscape" w:code="1"/>
          <w:pgMar w:top="1440" w:right="1440" w:bottom="1440" w:left="1440" w:header="720" w:footer="720" w:gutter="0"/>
          <w:cols w:space="720"/>
          <w:docGrid w:linePitch="360"/>
        </w:sectPr>
      </w:pPr>
      <w:r>
        <w:object w:dxaOrig="12835" w:dyaOrig="9370" w14:anchorId="7E1A58CE">
          <v:shape id="_x0000_i1038" type="#_x0000_t75" alt="Process Incoming Shipment: Transfusion-Only Divisions" style="width:496.5pt;height:5in;mso-position-vertical:absolute" o:ole="">
            <v:imagedata r:id="rId230" o:title=""/>
          </v:shape>
          <o:OLEObject Type="Embed" ProgID="Visio.Drawing.11" ShapeID="_x0000_i1038" DrawAspect="Content" ObjectID="_1816593600" r:id="rId231"/>
        </w:object>
      </w:r>
    </w:p>
    <w:p w14:paraId="1608C5CC" w14:textId="6AA44565" w:rsidR="006D442F" w:rsidRDefault="006D442F" w:rsidP="006D442F">
      <w:pPr>
        <w:pStyle w:val="Caption"/>
      </w:pPr>
      <w:bookmarkStart w:id="860" w:name="_Ref508368325"/>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7D1829">
        <w:rPr>
          <w:noProof/>
        </w:rPr>
        <w:t>128</w:t>
      </w:r>
      <w:r w:rsidR="004E20BD">
        <w:rPr>
          <w:noProof/>
        </w:rPr>
        <w:fldChar w:fldCharType="end"/>
      </w:r>
      <w:bookmarkEnd w:id="860"/>
      <w:r>
        <w:t>: Modify Units</w:t>
      </w:r>
    </w:p>
    <w:p w14:paraId="6998D9BB" w14:textId="2FA8F07D" w:rsidR="00011FD2" w:rsidRDefault="00627964" w:rsidP="00011FD2">
      <w:pPr>
        <w:pStyle w:val="BodyText"/>
      </w:pPr>
      <w:r>
        <w:object w:dxaOrig="11058" w:dyaOrig="13019" w14:anchorId="53CDD3F7">
          <v:shape id="_x0000_i1039" type="#_x0000_t75" alt="Modify Units Flowchart" style="width:489.75pt;height:8in" o:ole="">
            <v:imagedata r:id="rId232" o:title=""/>
          </v:shape>
          <o:OLEObject Type="Embed" ProgID="Visio.Drawing.11" ShapeID="_x0000_i1039" DrawAspect="Content" ObjectID="_1816593601" r:id="rId233"/>
        </w:object>
      </w:r>
    </w:p>
    <w:p w14:paraId="27E5C4BC" w14:textId="1C19D84C" w:rsidR="006D442F" w:rsidRDefault="00B31CBF" w:rsidP="006D442F">
      <w:pPr>
        <w:pStyle w:val="Caption"/>
      </w:pPr>
      <w:r>
        <w:br w:type="page"/>
      </w:r>
      <w:bookmarkStart w:id="861" w:name="_Ref508370524"/>
      <w:r w:rsidR="006D442F">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7D1829">
        <w:rPr>
          <w:noProof/>
        </w:rPr>
        <w:t>129</w:t>
      </w:r>
      <w:r w:rsidR="004E20BD">
        <w:rPr>
          <w:noProof/>
        </w:rPr>
        <w:fldChar w:fldCharType="end"/>
      </w:r>
      <w:bookmarkEnd w:id="861"/>
      <w:r w:rsidR="006D442F">
        <w:t>: Issue, Return or Transfuse Units: Full Service Divisions</w:t>
      </w:r>
    </w:p>
    <w:p w14:paraId="34B9260E" w14:textId="201C99DC" w:rsidR="00B31CBF" w:rsidRDefault="00847FF1" w:rsidP="00B31CBF">
      <w:pPr>
        <w:pStyle w:val="BodyText"/>
      </w:pPr>
      <w:r>
        <w:object w:dxaOrig="11018" w:dyaOrig="12880" w14:anchorId="1A4991C2">
          <v:shape id="_x0000_i1040" type="#_x0000_t75" alt="Issue, Return or Transfuse: Full Service Divisions flowchart" style="width:468pt;height:547.5pt;mso-position-vertical:absolute" o:ole="">
            <v:imagedata r:id="rId234" o:title=""/>
          </v:shape>
          <o:OLEObject Type="Embed" ProgID="Visio.Drawing.11" ShapeID="_x0000_i1040" DrawAspect="Content" ObjectID="_1816593602" r:id="rId235"/>
        </w:object>
      </w:r>
    </w:p>
    <w:p w14:paraId="3DF5C50C" w14:textId="6B8D1A84" w:rsidR="006D442F" w:rsidRDefault="00B31CBF" w:rsidP="006D442F">
      <w:pPr>
        <w:pStyle w:val="Caption"/>
      </w:pPr>
      <w:r>
        <w:br w:type="page"/>
      </w:r>
      <w:bookmarkStart w:id="862" w:name="_Ref508370542"/>
      <w:r w:rsidR="006D442F">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7D1829">
        <w:rPr>
          <w:noProof/>
        </w:rPr>
        <w:t>130</w:t>
      </w:r>
      <w:r w:rsidR="004E20BD">
        <w:rPr>
          <w:noProof/>
        </w:rPr>
        <w:fldChar w:fldCharType="end"/>
      </w:r>
      <w:bookmarkEnd w:id="862"/>
      <w:r w:rsidR="006D442F">
        <w:t>: Issue, or Transfuse: Transfusion-Only Divisions</w:t>
      </w:r>
    </w:p>
    <w:p w14:paraId="18952EA9" w14:textId="5759F595" w:rsidR="00B31CBF" w:rsidRDefault="00EC2164" w:rsidP="00B31CBF">
      <w:pPr>
        <w:pStyle w:val="BodyText"/>
        <w:sectPr w:rsidR="00B31CBF" w:rsidSect="00EE771C">
          <w:footerReference w:type="default" r:id="rId236"/>
          <w:pgSz w:w="12240" w:h="15840" w:code="1"/>
          <w:pgMar w:top="1440" w:right="1440" w:bottom="1440" w:left="1440" w:header="720" w:footer="720" w:gutter="0"/>
          <w:cols w:space="720"/>
          <w:docGrid w:linePitch="360"/>
        </w:sectPr>
      </w:pPr>
      <w:r>
        <w:object w:dxaOrig="8917" w:dyaOrig="11170" w14:anchorId="13698FF4">
          <v:shape id="_x0000_i1041" type="#_x0000_t75" alt="Issue or Transfuse: Transfusion-Only Divisions flowchart" style="width:461.25pt;height:8in;mso-position-vertical:absolute" o:ole="">
            <v:imagedata r:id="rId237" o:title=""/>
          </v:shape>
          <o:OLEObject Type="Embed" ProgID="Visio.Drawing.11" ShapeID="_x0000_i1041" DrawAspect="Content" ObjectID="_1816593603" r:id="rId238"/>
        </w:object>
      </w:r>
    </w:p>
    <w:p w14:paraId="2E2BBFF2" w14:textId="7E3B7DDE" w:rsidR="006D442F" w:rsidRDefault="006D442F" w:rsidP="006D442F">
      <w:pPr>
        <w:pStyle w:val="Caption"/>
      </w:pPr>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7D1829">
        <w:rPr>
          <w:noProof/>
        </w:rPr>
        <w:t>131</w:t>
      </w:r>
      <w:r w:rsidR="004E20BD">
        <w:rPr>
          <w:noProof/>
        </w:rPr>
        <w:fldChar w:fldCharType="end"/>
      </w:r>
      <w:r>
        <w:t>: Process a Patient Order</w:t>
      </w:r>
    </w:p>
    <w:p w14:paraId="5F6F6361" w14:textId="6BA6645A" w:rsidR="00B31CBF" w:rsidRDefault="00F44E08" w:rsidP="00B31CBF">
      <w:pPr>
        <w:pStyle w:val="BodyText"/>
      </w:pPr>
      <w:r>
        <w:object w:dxaOrig="13914" w:dyaOrig="9592" w14:anchorId="53C43A43">
          <v:shape id="_x0000_i1042" type="#_x0000_t75" alt="Process a Patient Order flow diagram" style="width:525pt;height:5in" o:ole="">
            <v:imagedata r:id="rId239" o:title=""/>
          </v:shape>
          <o:OLEObject Type="Embed" ProgID="Visio.Drawing.11" ShapeID="_x0000_i1042" DrawAspect="Content" ObjectID="_1816593604" r:id="rId240"/>
        </w:object>
      </w:r>
    </w:p>
    <w:p w14:paraId="4F44707B" w14:textId="7A7BE493" w:rsidR="006D442F" w:rsidRDefault="00B31CBF" w:rsidP="006D442F">
      <w:pPr>
        <w:pStyle w:val="Caption"/>
      </w:pPr>
      <w:r>
        <w:br w:type="page"/>
      </w:r>
      <w:r w:rsidR="006D442F">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7D1829">
        <w:rPr>
          <w:noProof/>
        </w:rPr>
        <w:t>132</w:t>
      </w:r>
      <w:r w:rsidR="004E20BD">
        <w:rPr>
          <w:noProof/>
        </w:rPr>
        <w:fldChar w:fldCharType="end"/>
      </w:r>
      <w:r w:rsidR="006D442F">
        <w:t>: Patient Testing</w:t>
      </w:r>
    </w:p>
    <w:p w14:paraId="0F9BFC46" w14:textId="6549D5F8" w:rsidR="00B31CBF" w:rsidRDefault="00B31CBF" w:rsidP="00B31CBF">
      <w:pPr>
        <w:pStyle w:val="BodyText"/>
      </w:pPr>
      <w:r>
        <w:t xml:space="preserve"> </w:t>
      </w:r>
      <w:r w:rsidR="00F44E08">
        <w:object w:dxaOrig="14245" w:dyaOrig="9235" w14:anchorId="29FC0624">
          <v:shape id="_x0000_i1043" type="#_x0000_t75" alt="Patient Testing flow diagram" style="width:554.25pt;height:5in" o:ole="">
            <v:imagedata r:id="rId241" o:title=""/>
          </v:shape>
          <o:OLEObject Type="Embed" ProgID="Visio.Drawing.11" ShapeID="_x0000_i1043" DrawAspect="Content" ObjectID="_1816593605" r:id="rId242"/>
        </w:object>
      </w:r>
    </w:p>
    <w:p w14:paraId="6E29B7E2" w14:textId="77777777" w:rsidR="000F62D6" w:rsidRDefault="000F62D6" w:rsidP="00B31CBF">
      <w:pPr>
        <w:pStyle w:val="Heading3"/>
        <w:sectPr w:rsidR="000F62D6" w:rsidSect="00EE771C">
          <w:footerReference w:type="default" r:id="rId243"/>
          <w:pgSz w:w="15840" w:h="12240" w:orient="landscape" w:code="1"/>
          <w:pgMar w:top="1440" w:right="1440" w:bottom="1440" w:left="1440" w:header="720" w:footer="720" w:gutter="0"/>
          <w:cols w:space="720"/>
          <w:docGrid w:linePitch="360"/>
        </w:sectPr>
      </w:pPr>
    </w:p>
    <w:p w14:paraId="51804A9E" w14:textId="24EFAFDB" w:rsidR="003D7CE8" w:rsidRPr="00E309DC" w:rsidRDefault="003D7CE8" w:rsidP="00CB2427">
      <w:pPr>
        <w:pStyle w:val="Heading2"/>
        <w:rPr>
          <w:b w:val="0"/>
          <w:bCs w:val="0"/>
          <w:i w:val="0"/>
          <w:sz w:val="18"/>
          <w:szCs w:val="18"/>
        </w:rPr>
      </w:pPr>
      <w:bookmarkStart w:id="863" w:name="_Ref300911707"/>
      <w:bookmarkStart w:id="864" w:name="_Toc203766016"/>
      <w:bookmarkStart w:id="865" w:name="_Hlk4563241"/>
      <w:bookmarkStart w:id="866" w:name="_Ref170005444"/>
      <w:r>
        <w:lastRenderedPageBreak/>
        <w:t xml:space="preserve">Appendix </w:t>
      </w:r>
      <w:r w:rsidR="001B0B0C">
        <w:rPr>
          <w:noProof/>
        </w:rPr>
        <w:t>H</w:t>
      </w:r>
      <w:r>
        <w:t>: Frequently Asked Questions</w:t>
      </w:r>
      <w:bookmarkEnd w:id="863"/>
      <w:bookmarkEnd w:id="864"/>
      <w:r>
        <w:fldChar w:fldCharType="begin"/>
      </w:r>
      <w:r>
        <w:instrText xml:space="preserve"> XE "Frequently Asked Questions" </w:instrText>
      </w:r>
      <w:r>
        <w:fldChar w:fldCharType="end"/>
      </w:r>
      <w:r>
        <w:t xml:space="preserve"> </w:t>
      </w:r>
      <w:r w:rsidRPr="003D7CE8">
        <w:rPr>
          <w:b w:val="0"/>
          <w:bCs w:val="0"/>
          <w:i w:val="0"/>
          <w:vanish/>
          <w:sz w:val="18"/>
          <w:szCs w:val="18"/>
        </w:rPr>
        <w:t>Appendix added for DR 3971</w:t>
      </w:r>
    </w:p>
    <w:p w14:paraId="0E128A29" w14:textId="77777777" w:rsidR="00770D97" w:rsidRDefault="003D7CE8" w:rsidP="00E309DC">
      <w:pPr>
        <w:pStyle w:val="BodyText"/>
      </w:pPr>
      <w:r w:rsidRPr="005129F7">
        <w:t>Frequently Asked Ques</w:t>
      </w:r>
      <w:r w:rsidR="006340B9">
        <w:t xml:space="preserve">tions (FAQs) are </w:t>
      </w:r>
      <w:r w:rsidRPr="005129F7">
        <w:t xml:space="preserve">released as </w:t>
      </w:r>
      <w:r w:rsidR="004E2AB6" w:rsidRPr="005129F7">
        <w:t>standalone</w:t>
      </w:r>
      <w:r w:rsidRPr="005129F7">
        <w:t xml:space="preserve"> documents. </w:t>
      </w:r>
    </w:p>
    <w:p w14:paraId="70EF4F1C" w14:textId="77777777" w:rsidR="00770D97" w:rsidRDefault="003D7CE8" w:rsidP="00E309DC">
      <w:pPr>
        <w:pStyle w:val="BodyText"/>
      </w:pPr>
      <w:r w:rsidRPr="005129F7">
        <w:t>Topi</w:t>
      </w:r>
      <w:r w:rsidR="006340B9">
        <w:t xml:space="preserve">cs are </w:t>
      </w:r>
      <w:r w:rsidR="001C317F" w:rsidRPr="005129F7">
        <w:t xml:space="preserve">explained in a </w:t>
      </w:r>
      <w:r w:rsidRPr="005129F7">
        <w:t>question and answer</w:t>
      </w:r>
      <w:r w:rsidR="001C317F" w:rsidRPr="005129F7">
        <w:t xml:space="preserve"> format</w:t>
      </w:r>
      <w:r w:rsidRPr="005129F7">
        <w:t>.</w:t>
      </w:r>
      <w:r w:rsidR="00EB3B6D">
        <w:t xml:space="preserve"> </w:t>
      </w:r>
    </w:p>
    <w:p w14:paraId="41BB706E" w14:textId="4F7E45A1" w:rsidR="003D7CE8" w:rsidRDefault="00EB3B6D" w:rsidP="00E309DC">
      <w:pPr>
        <w:pStyle w:val="BodyText"/>
      </w:pPr>
      <w:r>
        <w:t xml:space="preserve">FAQs are available at the </w:t>
      </w:r>
      <w:r w:rsidR="001E0C47" w:rsidRPr="001E0C47">
        <w:rPr>
          <w:highlight w:val="yellow"/>
        </w:rPr>
        <w:t>REDACTED</w:t>
      </w:r>
      <w:r w:rsidR="009E642E">
        <w:t xml:space="preserve"> and are version specific</w:t>
      </w:r>
      <w:r w:rsidR="00770D97">
        <w:t>.</w:t>
      </w:r>
    </w:p>
    <w:bookmarkEnd w:id="865"/>
    <w:p w14:paraId="01BE9862" w14:textId="4705A5E6" w:rsidR="00D64A23" w:rsidRDefault="00566EC6" w:rsidP="00AD591C">
      <w:pPr>
        <w:pStyle w:val="Heading2"/>
      </w:pPr>
      <w:r>
        <w:br w:type="page"/>
      </w:r>
      <w:bookmarkStart w:id="867" w:name="_Toc203766017"/>
      <w:r w:rsidR="0059697E" w:rsidRPr="00566EC6">
        <w:lastRenderedPageBreak/>
        <w:t xml:space="preserve">Appendix </w:t>
      </w:r>
      <w:r w:rsidR="001B0B0C">
        <w:rPr>
          <w:noProof/>
        </w:rPr>
        <w:t>I</w:t>
      </w:r>
      <w:r w:rsidR="0059697E" w:rsidRPr="00566EC6">
        <w:t xml:space="preserve">: </w:t>
      </w:r>
      <w:r w:rsidR="00CD6052" w:rsidRPr="00566EC6">
        <w:t>Common Error Corrections</w:t>
      </w:r>
      <w:bookmarkEnd w:id="867"/>
      <w:r w:rsidR="00D64A23" w:rsidRPr="00566EC6">
        <w:fldChar w:fldCharType="begin"/>
      </w:r>
      <w:r w:rsidR="00D64A23" w:rsidRPr="00566EC6">
        <w:instrText xml:space="preserve"> XE "</w:instrText>
      </w:r>
      <w:r w:rsidR="00CD6052" w:rsidRPr="00566EC6">
        <w:instrText>Common Error Corrections</w:instrText>
      </w:r>
      <w:r w:rsidR="00D64A23" w:rsidRPr="00566EC6">
        <w:instrText xml:space="preserve">" </w:instrText>
      </w:r>
      <w:r w:rsidR="00D64A23" w:rsidRPr="00566EC6">
        <w:fldChar w:fldCharType="end"/>
      </w:r>
    </w:p>
    <w:p w14:paraId="07E89D1B" w14:textId="77777777" w:rsidR="00F8157F" w:rsidRPr="00233049" w:rsidRDefault="00233049" w:rsidP="00D64A23">
      <w:pPr>
        <w:rPr>
          <w:rFonts w:ascii="Arial" w:hAnsi="Arial" w:cs="Arial"/>
          <w:bCs/>
          <w:vanish/>
          <w:sz w:val="18"/>
          <w:szCs w:val="18"/>
        </w:rPr>
      </w:pPr>
      <w:r w:rsidRPr="00233049">
        <w:rPr>
          <w:rFonts w:ascii="Arial" w:hAnsi="Arial" w:cs="Arial"/>
          <w:bCs/>
          <w:vanish/>
          <w:sz w:val="18"/>
          <w:szCs w:val="18"/>
        </w:rPr>
        <w:t>Appendix added for DR 3,673</w:t>
      </w:r>
      <w:r w:rsidR="004C5B40">
        <w:rPr>
          <w:rFonts w:ascii="Arial" w:hAnsi="Arial" w:cs="Arial"/>
          <w:bCs/>
          <w:vanish/>
          <w:sz w:val="18"/>
          <w:szCs w:val="18"/>
        </w:rPr>
        <w:t xml:space="preserve"> and DR 3638</w:t>
      </w:r>
    </w:p>
    <w:p w14:paraId="01DFBC74" w14:textId="77777777" w:rsidR="00D64A23" w:rsidRPr="00C2774B" w:rsidRDefault="00D64A23" w:rsidP="00C2774B">
      <w:pPr>
        <w:pStyle w:val="Heading3"/>
      </w:pPr>
      <w:bookmarkStart w:id="868" w:name="_Toc203766018"/>
      <w:r w:rsidRPr="00C2774B">
        <w:t xml:space="preserve">Correct </w:t>
      </w:r>
      <w:r w:rsidR="00F8157F" w:rsidRPr="00C2774B">
        <w:t>Patient Test Results</w:t>
      </w:r>
      <w:bookmarkEnd w:id="868"/>
    </w:p>
    <w:p w14:paraId="7F4D559D" w14:textId="77777777" w:rsidR="00F915DD" w:rsidRPr="00092A53" w:rsidRDefault="00F915DD" w:rsidP="00F915DD">
      <w:pPr>
        <w:rPr>
          <w:b/>
          <w:sz w:val="22"/>
          <w:szCs w:val="22"/>
        </w:rPr>
      </w:pPr>
      <w:r w:rsidRPr="00092A53">
        <w:rPr>
          <w:b/>
          <w:sz w:val="22"/>
          <w:szCs w:val="22"/>
        </w:rPr>
        <w:t>Define the problem:</w:t>
      </w:r>
    </w:p>
    <w:p w14:paraId="54DA74C8" w14:textId="77777777" w:rsidR="00F915DD" w:rsidRPr="00092A53" w:rsidRDefault="00F915DD" w:rsidP="00F915DD">
      <w:pPr>
        <w:ind w:firstLine="720"/>
        <w:rPr>
          <w:sz w:val="22"/>
          <w:szCs w:val="22"/>
        </w:rPr>
      </w:pPr>
      <w:r w:rsidRPr="00092A53">
        <w:rPr>
          <w:sz w:val="22"/>
          <w:szCs w:val="22"/>
        </w:rPr>
        <w:t>Specifically what data needs correction?</w:t>
      </w:r>
    </w:p>
    <w:p w14:paraId="5BBEF332" w14:textId="77777777" w:rsidR="00F915DD" w:rsidRPr="00092A53" w:rsidRDefault="00F915DD" w:rsidP="00F915DD">
      <w:pPr>
        <w:ind w:firstLine="720"/>
        <w:rPr>
          <w:sz w:val="22"/>
          <w:szCs w:val="22"/>
        </w:rPr>
      </w:pPr>
      <w:r w:rsidRPr="00092A53">
        <w:rPr>
          <w:sz w:val="22"/>
          <w:szCs w:val="22"/>
        </w:rPr>
        <w:t>Is it a patient test?</w:t>
      </w:r>
    </w:p>
    <w:p w14:paraId="4784BD80" w14:textId="77777777" w:rsidR="00F915DD" w:rsidRPr="00092A53" w:rsidRDefault="00F915DD" w:rsidP="00F915DD">
      <w:pPr>
        <w:ind w:firstLine="720"/>
        <w:rPr>
          <w:sz w:val="22"/>
          <w:szCs w:val="22"/>
        </w:rPr>
      </w:pPr>
      <w:r w:rsidRPr="00092A53">
        <w:rPr>
          <w:sz w:val="22"/>
          <w:szCs w:val="22"/>
        </w:rPr>
        <w:t>Are any units assigned to the specimen UID associated with this patient order?</w:t>
      </w:r>
    </w:p>
    <w:p w14:paraId="4A66A666" w14:textId="77777777" w:rsidR="00F915DD" w:rsidRPr="00092A53" w:rsidRDefault="00F915DD" w:rsidP="00D64A23">
      <w:pPr>
        <w:rPr>
          <w:sz w:val="22"/>
          <w:szCs w:val="22"/>
        </w:rPr>
      </w:pPr>
    </w:p>
    <w:p w14:paraId="5F0A7B28" w14:textId="77777777" w:rsidR="006730CD" w:rsidRPr="00092A53" w:rsidRDefault="00D64A23" w:rsidP="00D64A23">
      <w:pPr>
        <w:rPr>
          <w:sz w:val="22"/>
          <w:szCs w:val="22"/>
        </w:rPr>
      </w:pPr>
      <w:r w:rsidRPr="00092A53">
        <w:rPr>
          <w:sz w:val="22"/>
          <w:szCs w:val="22"/>
        </w:rPr>
        <w:t xml:space="preserve">The </w:t>
      </w:r>
      <w:r w:rsidR="006730CD" w:rsidRPr="00092A53">
        <w:rPr>
          <w:sz w:val="22"/>
          <w:szCs w:val="22"/>
        </w:rPr>
        <w:t xml:space="preserve">path to transfusion is linear and </w:t>
      </w:r>
      <w:r w:rsidRPr="00092A53">
        <w:rPr>
          <w:sz w:val="22"/>
          <w:szCs w:val="22"/>
        </w:rPr>
        <w:t>follow</w:t>
      </w:r>
      <w:r w:rsidR="006730CD" w:rsidRPr="00092A53">
        <w:rPr>
          <w:sz w:val="22"/>
          <w:szCs w:val="22"/>
        </w:rPr>
        <w:t>s</w:t>
      </w:r>
      <w:r w:rsidRPr="00092A53">
        <w:rPr>
          <w:sz w:val="22"/>
          <w:szCs w:val="22"/>
        </w:rPr>
        <w:t xml:space="preserve"> the path from assignment to issue to transfusion. VBECS requires the unit-patient </w:t>
      </w:r>
      <w:r w:rsidR="006730CD" w:rsidRPr="00092A53">
        <w:rPr>
          <w:sz w:val="22"/>
          <w:szCs w:val="22"/>
        </w:rPr>
        <w:t xml:space="preserve">connection to be </w:t>
      </w:r>
      <w:r w:rsidR="00423CC1" w:rsidRPr="00092A53">
        <w:rPr>
          <w:sz w:val="22"/>
          <w:szCs w:val="22"/>
        </w:rPr>
        <w:t>severed</w:t>
      </w:r>
      <w:r w:rsidR="006730CD" w:rsidRPr="00092A53">
        <w:rPr>
          <w:sz w:val="22"/>
          <w:szCs w:val="22"/>
        </w:rPr>
        <w:t xml:space="preserve"> in order to </w:t>
      </w:r>
      <w:r w:rsidR="00423CC1" w:rsidRPr="00092A53">
        <w:rPr>
          <w:sz w:val="22"/>
          <w:szCs w:val="22"/>
        </w:rPr>
        <w:t>change</w:t>
      </w:r>
      <w:r w:rsidRPr="00092A53">
        <w:rPr>
          <w:sz w:val="22"/>
          <w:szCs w:val="22"/>
        </w:rPr>
        <w:t xml:space="preserve"> patient testing used to evaluate compatibility.</w:t>
      </w:r>
    </w:p>
    <w:p w14:paraId="3023A126" w14:textId="77777777" w:rsidR="00D64A23" w:rsidRPr="00092A53" w:rsidRDefault="00D64A23" w:rsidP="00D64A23">
      <w:pPr>
        <w:rPr>
          <w:sz w:val="22"/>
          <w:szCs w:val="22"/>
        </w:rPr>
      </w:pPr>
      <w:r w:rsidRPr="00092A53">
        <w:rPr>
          <w:b/>
          <w:sz w:val="22"/>
          <w:szCs w:val="22"/>
        </w:rPr>
        <w:t>All the units must be released from assignment, no matter when the error occurred and needs correction.</w:t>
      </w:r>
      <w:r w:rsidR="006B6B74" w:rsidRPr="00092A53">
        <w:rPr>
          <w:sz w:val="22"/>
          <w:szCs w:val="22"/>
        </w:rPr>
        <w:t xml:space="preserve">  </w:t>
      </w:r>
      <w:r w:rsidRPr="00092A53">
        <w:rPr>
          <w:sz w:val="22"/>
          <w:szCs w:val="22"/>
        </w:rPr>
        <w:t xml:space="preserve">VBECS requires undoing all of the unit associations </w:t>
      </w:r>
      <w:r w:rsidR="006730CD" w:rsidRPr="00092A53">
        <w:rPr>
          <w:sz w:val="22"/>
          <w:szCs w:val="22"/>
        </w:rPr>
        <w:t xml:space="preserve">so the computer can re-evaluate the corrected </w:t>
      </w:r>
      <w:r w:rsidRPr="00092A53">
        <w:rPr>
          <w:sz w:val="22"/>
          <w:szCs w:val="22"/>
        </w:rPr>
        <w:t>information entered</w:t>
      </w:r>
      <w:r w:rsidR="006730CD" w:rsidRPr="00092A53">
        <w:rPr>
          <w:sz w:val="22"/>
          <w:szCs w:val="22"/>
        </w:rPr>
        <w:t xml:space="preserve"> and </w:t>
      </w:r>
      <w:r w:rsidRPr="00092A53">
        <w:rPr>
          <w:sz w:val="22"/>
          <w:szCs w:val="22"/>
        </w:rPr>
        <w:t xml:space="preserve">present any warnings </w:t>
      </w:r>
      <w:r w:rsidR="006730CD" w:rsidRPr="00092A53">
        <w:rPr>
          <w:sz w:val="22"/>
          <w:szCs w:val="22"/>
        </w:rPr>
        <w:t>or</w:t>
      </w:r>
      <w:r w:rsidRPr="00092A53">
        <w:rPr>
          <w:sz w:val="22"/>
          <w:szCs w:val="22"/>
        </w:rPr>
        <w:t xml:space="preserve"> overrides based on th</w:t>
      </w:r>
      <w:r w:rsidR="006730CD" w:rsidRPr="00092A53">
        <w:rPr>
          <w:sz w:val="22"/>
          <w:szCs w:val="22"/>
        </w:rPr>
        <w:t>at</w:t>
      </w:r>
      <w:r w:rsidRPr="00092A53">
        <w:rPr>
          <w:sz w:val="22"/>
          <w:szCs w:val="22"/>
        </w:rPr>
        <w:t xml:space="preserve"> new information.</w:t>
      </w:r>
    </w:p>
    <w:p w14:paraId="61E9ECB2" w14:textId="77777777" w:rsidR="00D64A23" w:rsidRPr="00092A53" w:rsidRDefault="00D64A23" w:rsidP="00D64A23">
      <w:pPr>
        <w:rPr>
          <w:sz w:val="22"/>
          <w:szCs w:val="22"/>
        </w:rPr>
      </w:pPr>
    </w:p>
    <w:p w14:paraId="662A43DA" w14:textId="77777777" w:rsidR="00D64A23" w:rsidRPr="00092A53" w:rsidRDefault="00D64A23" w:rsidP="00D64A23">
      <w:pPr>
        <w:rPr>
          <w:sz w:val="22"/>
          <w:szCs w:val="22"/>
        </w:rPr>
      </w:pPr>
      <w:r w:rsidRPr="00092A53">
        <w:rPr>
          <w:sz w:val="22"/>
          <w:szCs w:val="22"/>
        </w:rPr>
        <w:t>Information to gather before you start trying to correct any test results:</w:t>
      </w:r>
    </w:p>
    <w:p w14:paraId="7E79DE34" w14:textId="77777777" w:rsidR="00D64A23" w:rsidRPr="00092A53" w:rsidRDefault="00D64A23" w:rsidP="00925CAD">
      <w:pPr>
        <w:numPr>
          <w:ilvl w:val="0"/>
          <w:numId w:val="33"/>
        </w:numPr>
        <w:spacing w:line="276" w:lineRule="auto"/>
        <w:rPr>
          <w:sz w:val="22"/>
          <w:szCs w:val="22"/>
        </w:rPr>
      </w:pPr>
      <w:r w:rsidRPr="00092A53">
        <w:rPr>
          <w:sz w:val="22"/>
          <w:szCs w:val="22"/>
        </w:rPr>
        <w:t xml:space="preserve">Actual dates/times of processing for retrospective data entry </w:t>
      </w:r>
    </w:p>
    <w:p w14:paraId="244E7331" w14:textId="77777777" w:rsidR="00D64A23" w:rsidRPr="00092A53" w:rsidRDefault="00D64A23" w:rsidP="00925CAD">
      <w:pPr>
        <w:numPr>
          <w:ilvl w:val="1"/>
          <w:numId w:val="33"/>
        </w:numPr>
        <w:spacing w:line="276" w:lineRule="auto"/>
        <w:ind w:left="1080"/>
        <w:rPr>
          <w:sz w:val="22"/>
          <w:szCs w:val="22"/>
        </w:rPr>
      </w:pPr>
      <w:r w:rsidRPr="00092A53">
        <w:rPr>
          <w:sz w:val="22"/>
          <w:szCs w:val="22"/>
        </w:rPr>
        <w:t>Testing Worklist Report: Test result entry information details from the testing grids, reaction results, tech who did the work, any comments they entered</w:t>
      </w:r>
    </w:p>
    <w:p w14:paraId="70A5F3D7" w14:textId="77777777" w:rsidR="00D64A23" w:rsidRPr="00092A53" w:rsidRDefault="00D64A23" w:rsidP="00925CAD">
      <w:pPr>
        <w:numPr>
          <w:ilvl w:val="1"/>
          <w:numId w:val="33"/>
        </w:numPr>
        <w:spacing w:line="276" w:lineRule="auto"/>
        <w:ind w:left="1080"/>
        <w:rPr>
          <w:sz w:val="22"/>
          <w:szCs w:val="22"/>
        </w:rPr>
      </w:pPr>
      <w:r w:rsidRPr="00092A53">
        <w:rPr>
          <w:sz w:val="22"/>
          <w:szCs w:val="22"/>
        </w:rPr>
        <w:t>Unit History Report: Unit modification, Issue and Transfusion details</w:t>
      </w:r>
    </w:p>
    <w:p w14:paraId="29888587" w14:textId="77777777" w:rsidR="00D64A23" w:rsidRPr="00092A53" w:rsidRDefault="00D64A23" w:rsidP="00925CAD">
      <w:pPr>
        <w:numPr>
          <w:ilvl w:val="1"/>
          <w:numId w:val="33"/>
        </w:numPr>
        <w:spacing w:line="276" w:lineRule="auto"/>
        <w:ind w:left="1080"/>
        <w:rPr>
          <w:sz w:val="22"/>
          <w:szCs w:val="22"/>
        </w:rPr>
      </w:pPr>
      <w:r w:rsidRPr="00092A53">
        <w:rPr>
          <w:sz w:val="22"/>
          <w:szCs w:val="22"/>
        </w:rPr>
        <w:t>Patient History Report: Other patient information</w:t>
      </w:r>
    </w:p>
    <w:p w14:paraId="757760C9" w14:textId="77777777" w:rsidR="00D64A23" w:rsidRPr="00092A53" w:rsidRDefault="00D64A23" w:rsidP="00925CAD">
      <w:pPr>
        <w:numPr>
          <w:ilvl w:val="1"/>
          <w:numId w:val="33"/>
        </w:numPr>
        <w:spacing w:line="276" w:lineRule="auto"/>
        <w:ind w:left="1080"/>
        <w:rPr>
          <w:sz w:val="22"/>
          <w:szCs w:val="22"/>
        </w:rPr>
      </w:pPr>
      <w:r w:rsidRPr="00092A53">
        <w:rPr>
          <w:sz w:val="22"/>
          <w:szCs w:val="22"/>
        </w:rPr>
        <w:t>Order History report: See the search option only for the CPRS Order Number if you have to retrieve an expired order. You do not need to actually open the report.</w:t>
      </w:r>
    </w:p>
    <w:p w14:paraId="7FC8E990" w14:textId="77777777" w:rsidR="00D64A23" w:rsidRPr="00092A53" w:rsidRDefault="00D64A23" w:rsidP="00925CAD">
      <w:pPr>
        <w:numPr>
          <w:ilvl w:val="1"/>
          <w:numId w:val="33"/>
        </w:numPr>
        <w:spacing w:line="276" w:lineRule="auto"/>
        <w:ind w:left="1080"/>
        <w:rPr>
          <w:sz w:val="22"/>
          <w:szCs w:val="22"/>
        </w:rPr>
      </w:pPr>
      <w:r w:rsidRPr="00092A53">
        <w:rPr>
          <w:sz w:val="22"/>
          <w:szCs w:val="22"/>
        </w:rPr>
        <w:t>Any offline results that may need to be entered.</w:t>
      </w:r>
    </w:p>
    <w:p w14:paraId="59B544E7" w14:textId="087742B4" w:rsidR="00D64A23" w:rsidRPr="00092A53" w:rsidRDefault="000A750D" w:rsidP="00925CAD">
      <w:pPr>
        <w:numPr>
          <w:ilvl w:val="1"/>
          <w:numId w:val="33"/>
        </w:numPr>
        <w:spacing w:line="276" w:lineRule="auto"/>
        <w:ind w:left="1080"/>
        <w:rPr>
          <w:sz w:val="22"/>
          <w:szCs w:val="22"/>
        </w:rPr>
      </w:pPr>
      <w:r>
        <w:rPr>
          <w:sz w:val="22"/>
          <w:szCs w:val="22"/>
        </w:rPr>
        <w:t>Tracking system</w:t>
      </w:r>
      <w:r w:rsidR="00D64A23" w:rsidRPr="00092A53">
        <w:rPr>
          <w:sz w:val="22"/>
          <w:szCs w:val="22"/>
        </w:rPr>
        <w:t xml:space="preserve"> numbers from the Known </w:t>
      </w:r>
      <w:r w:rsidR="000612EF">
        <w:rPr>
          <w:sz w:val="22"/>
          <w:szCs w:val="22"/>
        </w:rPr>
        <w:t xml:space="preserve">Defects and </w:t>
      </w:r>
      <w:r w:rsidR="00D64A23" w:rsidRPr="00092A53">
        <w:rPr>
          <w:sz w:val="22"/>
          <w:szCs w:val="22"/>
        </w:rPr>
        <w:t xml:space="preserve">Anomalies document related to this problem. Have the user enter this number in the comment details field for all overrides processed.  </w:t>
      </w:r>
    </w:p>
    <w:p w14:paraId="1A213B0C" w14:textId="77777777" w:rsidR="00D64A23" w:rsidRPr="00092A53" w:rsidRDefault="00D64A23" w:rsidP="00925CAD">
      <w:pPr>
        <w:numPr>
          <w:ilvl w:val="1"/>
          <w:numId w:val="33"/>
        </w:numPr>
        <w:spacing w:line="276" w:lineRule="auto"/>
        <w:ind w:left="1080"/>
        <w:rPr>
          <w:sz w:val="22"/>
          <w:szCs w:val="22"/>
        </w:rPr>
      </w:pPr>
      <w:r w:rsidRPr="00092A53">
        <w:rPr>
          <w:sz w:val="22"/>
          <w:szCs w:val="22"/>
        </w:rPr>
        <w:t>Any local incident number that they may need to enter as a comment.</w:t>
      </w:r>
    </w:p>
    <w:p w14:paraId="07E2E8C5" w14:textId="77777777" w:rsidR="00C93673" w:rsidRPr="00C2774B" w:rsidRDefault="00737AD4" w:rsidP="00C2774B">
      <w:pPr>
        <w:pStyle w:val="Heading3"/>
      </w:pPr>
      <w:bookmarkStart w:id="869" w:name="_Toc203766019"/>
      <w:r w:rsidRPr="00C2774B">
        <w:t>Invalidate</w:t>
      </w:r>
      <w:r w:rsidR="00C93673" w:rsidRPr="00C2774B">
        <w:t xml:space="preserve"> Test Results</w:t>
      </w:r>
      <w:bookmarkEnd w:id="869"/>
    </w:p>
    <w:p w14:paraId="270883E4" w14:textId="77777777" w:rsidR="00C93673" w:rsidRPr="00092A53" w:rsidRDefault="00C93673" w:rsidP="00C93673">
      <w:pPr>
        <w:rPr>
          <w:b/>
          <w:sz w:val="22"/>
          <w:szCs w:val="22"/>
        </w:rPr>
      </w:pPr>
      <w:r w:rsidRPr="00092A53">
        <w:rPr>
          <w:b/>
          <w:sz w:val="22"/>
          <w:szCs w:val="22"/>
        </w:rPr>
        <w:t>Important nuances about invalidating tests:</w:t>
      </w:r>
    </w:p>
    <w:p w14:paraId="0CB88FC2" w14:textId="77777777" w:rsidR="00C93673" w:rsidRPr="00092A53" w:rsidRDefault="00C93673" w:rsidP="00925CAD">
      <w:pPr>
        <w:numPr>
          <w:ilvl w:val="0"/>
          <w:numId w:val="34"/>
        </w:numPr>
        <w:spacing w:line="276" w:lineRule="auto"/>
        <w:ind w:left="1080"/>
        <w:rPr>
          <w:sz w:val="22"/>
          <w:szCs w:val="22"/>
        </w:rPr>
      </w:pPr>
      <w:r w:rsidRPr="00092A53">
        <w:rPr>
          <w:sz w:val="22"/>
          <w:szCs w:val="22"/>
        </w:rPr>
        <w:t xml:space="preserve">When a </w:t>
      </w:r>
      <w:r w:rsidR="00CF7148" w:rsidRPr="00092A53">
        <w:rPr>
          <w:sz w:val="22"/>
          <w:szCs w:val="22"/>
        </w:rPr>
        <w:t>Type and Screen (</w:t>
      </w:r>
      <w:r w:rsidRPr="00092A53">
        <w:rPr>
          <w:sz w:val="22"/>
          <w:szCs w:val="22"/>
        </w:rPr>
        <w:t>TAS</w:t>
      </w:r>
      <w:r w:rsidR="00CF7148" w:rsidRPr="00092A53">
        <w:rPr>
          <w:sz w:val="22"/>
          <w:szCs w:val="22"/>
        </w:rPr>
        <w:t>)</w:t>
      </w:r>
      <w:r w:rsidRPr="00092A53">
        <w:rPr>
          <w:sz w:val="22"/>
          <w:szCs w:val="22"/>
        </w:rPr>
        <w:t xml:space="preserve"> test needs to be invalidated, all the tests in the TAS test configuration must be invalidated to be able to select a test on the </w:t>
      </w:r>
      <w:r w:rsidR="00CF7148" w:rsidRPr="00092A53">
        <w:rPr>
          <w:sz w:val="22"/>
          <w:szCs w:val="22"/>
        </w:rPr>
        <w:t>Pending Task List (</w:t>
      </w:r>
      <w:r w:rsidRPr="00092A53">
        <w:rPr>
          <w:sz w:val="22"/>
          <w:szCs w:val="22"/>
        </w:rPr>
        <w:t>PTL</w:t>
      </w:r>
      <w:r w:rsidR="00CF7148" w:rsidRPr="00092A53">
        <w:rPr>
          <w:sz w:val="22"/>
          <w:szCs w:val="22"/>
        </w:rPr>
        <w:t>)</w:t>
      </w:r>
      <w:r w:rsidRPr="00092A53">
        <w:rPr>
          <w:sz w:val="22"/>
          <w:szCs w:val="22"/>
        </w:rPr>
        <w:t xml:space="preserve"> (It is a loop of a partially completed test).</w:t>
      </w:r>
    </w:p>
    <w:p w14:paraId="1F6FB55C" w14:textId="77777777" w:rsidR="00C93673" w:rsidRPr="00092A53" w:rsidRDefault="00C93673" w:rsidP="00925CAD">
      <w:pPr>
        <w:numPr>
          <w:ilvl w:val="0"/>
          <w:numId w:val="34"/>
        </w:numPr>
        <w:spacing w:line="276" w:lineRule="auto"/>
        <w:ind w:left="1080"/>
        <w:rPr>
          <w:sz w:val="22"/>
          <w:szCs w:val="22"/>
        </w:rPr>
      </w:pPr>
      <w:r w:rsidRPr="00092A53">
        <w:rPr>
          <w:sz w:val="22"/>
          <w:szCs w:val="22"/>
        </w:rPr>
        <w:t xml:space="preserve">When an </w:t>
      </w:r>
      <w:r w:rsidR="004E2AB6" w:rsidRPr="00092A53">
        <w:rPr>
          <w:sz w:val="22"/>
          <w:szCs w:val="22"/>
        </w:rPr>
        <w:t>Antibody</w:t>
      </w:r>
      <w:r w:rsidR="00CF7148" w:rsidRPr="00092A53">
        <w:rPr>
          <w:sz w:val="22"/>
          <w:szCs w:val="22"/>
        </w:rPr>
        <w:t xml:space="preserve"> Identification (</w:t>
      </w:r>
      <w:r w:rsidRPr="00092A53">
        <w:rPr>
          <w:sz w:val="22"/>
          <w:szCs w:val="22"/>
        </w:rPr>
        <w:t>ABID</w:t>
      </w:r>
      <w:r w:rsidR="00CF7148" w:rsidRPr="00092A53">
        <w:rPr>
          <w:sz w:val="22"/>
          <w:szCs w:val="22"/>
        </w:rPr>
        <w:t>)</w:t>
      </w:r>
      <w:r w:rsidRPr="00092A53">
        <w:rPr>
          <w:sz w:val="22"/>
          <w:szCs w:val="22"/>
        </w:rPr>
        <w:t xml:space="preserve"> test is invalid</w:t>
      </w:r>
      <w:r w:rsidR="001866C8" w:rsidRPr="00092A53">
        <w:rPr>
          <w:sz w:val="22"/>
          <w:szCs w:val="22"/>
        </w:rPr>
        <w:t>at</w:t>
      </w:r>
      <w:r w:rsidRPr="00092A53">
        <w:rPr>
          <w:sz w:val="22"/>
          <w:szCs w:val="22"/>
        </w:rPr>
        <w:t>ed:</w:t>
      </w:r>
    </w:p>
    <w:p w14:paraId="1B8D4086" w14:textId="77777777" w:rsidR="00C93673" w:rsidRPr="00092A53" w:rsidRDefault="00C93673" w:rsidP="00925CAD">
      <w:pPr>
        <w:numPr>
          <w:ilvl w:val="1"/>
          <w:numId w:val="34"/>
        </w:numPr>
        <w:spacing w:line="276" w:lineRule="auto"/>
        <w:ind w:left="1530"/>
        <w:rPr>
          <w:sz w:val="22"/>
          <w:szCs w:val="22"/>
        </w:rPr>
      </w:pPr>
      <w:r w:rsidRPr="00092A53">
        <w:rPr>
          <w:sz w:val="22"/>
          <w:szCs w:val="22"/>
        </w:rPr>
        <w:t>The antibody specificities will be removed from the Special Instructions/Transfusion requirements Antibodies Identified at the same time.  This also clears any antigen negative requirements that are created by the antibody identified.</w:t>
      </w:r>
    </w:p>
    <w:p w14:paraId="14F10DB4" w14:textId="77777777" w:rsidR="00C93673" w:rsidRPr="00092A53" w:rsidRDefault="00C93673" w:rsidP="00925CAD">
      <w:pPr>
        <w:numPr>
          <w:ilvl w:val="1"/>
          <w:numId w:val="34"/>
        </w:numPr>
        <w:spacing w:line="276" w:lineRule="auto"/>
        <w:ind w:left="1530"/>
        <w:rPr>
          <w:sz w:val="22"/>
          <w:szCs w:val="22"/>
        </w:rPr>
      </w:pPr>
      <w:r w:rsidRPr="00092A53">
        <w:rPr>
          <w:sz w:val="22"/>
          <w:szCs w:val="22"/>
        </w:rPr>
        <w:t xml:space="preserve"> If separate antigen negative requirements for each of these were entered in SI/TR, they will require update separately. </w:t>
      </w:r>
    </w:p>
    <w:p w14:paraId="7EA76EA1" w14:textId="75DAC76D" w:rsidR="00C93673" w:rsidRPr="00092A53" w:rsidRDefault="00C93673" w:rsidP="00925CAD">
      <w:pPr>
        <w:numPr>
          <w:ilvl w:val="1"/>
          <w:numId w:val="34"/>
        </w:numPr>
        <w:spacing w:line="276" w:lineRule="auto"/>
        <w:ind w:left="1530"/>
        <w:rPr>
          <w:b/>
          <w:sz w:val="22"/>
          <w:szCs w:val="22"/>
        </w:rPr>
      </w:pPr>
      <w:r w:rsidRPr="00092A53">
        <w:rPr>
          <w:b/>
          <w:sz w:val="22"/>
          <w:szCs w:val="22"/>
        </w:rPr>
        <w:t xml:space="preserve">If you need to enter corrected results for the ABID, be sure you check the box to </w:t>
      </w:r>
      <w:r w:rsidR="00227337">
        <w:rPr>
          <w:b/>
          <w:sz w:val="22"/>
          <w:szCs w:val="22"/>
        </w:rPr>
        <w:t>“A</w:t>
      </w:r>
      <w:r w:rsidRPr="00092A53">
        <w:rPr>
          <w:b/>
          <w:sz w:val="22"/>
          <w:szCs w:val="22"/>
        </w:rPr>
        <w:t>dd</w:t>
      </w:r>
      <w:r w:rsidR="00227337">
        <w:rPr>
          <w:b/>
          <w:sz w:val="22"/>
          <w:szCs w:val="22"/>
        </w:rPr>
        <w:t xml:space="preserve"> test to the Pending Task List to allow for replacement results”</w:t>
      </w:r>
      <w:r w:rsidRPr="00092A53">
        <w:rPr>
          <w:b/>
          <w:sz w:val="22"/>
          <w:szCs w:val="22"/>
        </w:rPr>
        <w:t>.  If not, you will have to reorder the reflex test.</w:t>
      </w:r>
    </w:p>
    <w:p w14:paraId="784C1830" w14:textId="77777777" w:rsidR="00C93673" w:rsidRPr="00092A53" w:rsidRDefault="00C93673" w:rsidP="00D64A23">
      <w:pPr>
        <w:rPr>
          <w:sz w:val="22"/>
          <w:szCs w:val="22"/>
        </w:rPr>
      </w:pPr>
    </w:p>
    <w:p w14:paraId="1A48D377" w14:textId="18A10911" w:rsidR="00D64A23" w:rsidRPr="00092A53" w:rsidRDefault="00D64A23" w:rsidP="00D64A23">
      <w:pPr>
        <w:rPr>
          <w:sz w:val="22"/>
          <w:szCs w:val="22"/>
        </w:rPr>
      </w:pPr>
      <w:r w:rsidRPr="00092A53">
        <w:rPr>
          <w:sz w:val="22"/>
          <w:szCs w:val="22"/>
        </w:rPr>
        <w:t xml:space="preserve">A </w:t>
      </w:r>
      <w:r w:rsidR="00CF7148" w:rsidRPr="00092A53">
        <w:rPr>
          <w:sz w:val="22"/>
          <w:szCs w:val="22"/>
        </w:rPr>
        <w:t>f</w:t>
      </w:r>
      <w:r w:rsidRPr="00092A53">
        <w:rPr>
          <w:sz w:val="22"/>
          <w:szCs w:val="22"/>
        </w:rPr>
        <w:t xml:space="preserve">inalized Transfusion Reaction </w:t>
      </w:r>
      <w:r w:rsidR="00CF7148" w:rsidRPr="00092A53">
        <w:rPr>
          <w:sz w:val="22"/>
          <w:szCs w:val="22"/>
        </w:rPr>
        <w:t>W</w:t>
      </w:r>
      <w:r w:rsidRPr="00092A53">
        <w:rPr>
          <w:sz w:val="22"/>
          <w:szCs w:val="22"/>
        </w:rPr>
        <w:t>orkup</w:t>
      </w:r>
      <w:r w:rsidR="00CF7148" w:rsidRPr="00092A53">
        <w:rPr>
          <w:sz w:val="22"/>
          <w:szCs w:val="22"/>
        </w:rPr>
        <w:t xml:space="preserve"> (TRW)</w:t>
      </w:r>
      <w:r w:rsidRPr="00092A53">
        <w:rPr>
          <w:sz w:val="22"/>
          <w:szCs w:val="22"/>
        </w:rPr>
        <w:t xml:space="preserve"> cannot be invalidated. </w:t>
      </w:r>
      <w:r w:rsidR="00CF7148" w:rsidRPr="00092A53">
        <w:rPr>
          <w:sz w:val="22"/>
          <w:szCs w:val="22"/>
        </w:rPr>
        <w:t xml:space="preserve">Invalidation requires a </w:t>
      </w:r>
      <w:r w:rsidR="00435359">
        <w:rPr>
          <w:sz w:val="22"/>
          <w:szCs w:val="22"/>
        </w:rPr>
        <w:t>Service</w:t>
      </w:r>
      <w:r w:rsidR="003E31A0">
        <w:rPr>
          <w:sz w:val="22"/>
          <w:szCs w:val="22"/>
        </w:rPr>
        <w:t xml:space="preserve"> Desk</w:t>
      </w:r>
      <w:r w:rsidR="00CF7148" w:rsidRPr="00092A53">
        <w:rPr>
          <w:sz w:val="22"/>
          <w:szCs w:val="22"/>
        </w:rPr>
        <w:t xml:space="preserve"> ticket to have the development team intervene and make that correction.</w:t>
      </w:r>
      <w:r w:rsidRPr="00092A53">
        <w:rPr>
          <w:sz w:val="22"/>
          <w:szCs w:val="22"/>
        </w:rPr>
        <w:t xml:space="preserve"> A TRW that has not been </w:t>
      </w:r>
      <w:r w:rsidR="00CF7148" w:rsidRPr="00092A53">
        <w:rPr>
          <w:sz w:val="22"/>
          <w:szCs w:val="22"/>
        </w:rPr>
        <w:t>f</w:t>
      </w:r>
      <w:r w:rsidRPr="00092A53">
        <w:rPr>
          <w:sz w:val="22"/>
          <w:szCs w:val="22"/>
        </w:rPr>
        <w:t>inalized can be invalidated and re</w:t>
      </w:r>
      <w:r w:rsidR="00CF7148" w:rsidRPr="00092A53">
        <w:rPr>
          <w:sz w:val="22"/>
          <w:szCs w:val="22"/>
        </w:rPr>
        <w:t>-</w:t>
      </w:r>
      <w:r w:rsidRPr="00092A53">
        <w:rPr>
          <w:sz w:val="22"/>
          <w:szCs w:val="22"/>
        </w:rPr>
        <w:t xml:space="preserve">entered as any other VBECS test. </w:t>
      </w:r>
    </w:p>
    <w:p w14:paraId="76E5309A" w14:textId="77777777" w:rsidR="00D64A23" w:rsidRPr="00092A53" w:rsidRDefault="00D64A23" w:rsidP="00D64A23">
      <w:pPr>
        <w:rPr>
          <w:b/>
          <w:sz w:val="22"/>
          <w:szCs w:val="22"/>
        </w:rPr>
      </w:pPr>
      <w:r w:rsidRPr="00092A53">
        <w:rPr>
          <w:b/>
          <w:sz w:val="22"/>
          <w:szCs w:val="22"/>
        </w:rPr>
        <w:t>Where to start...</w:t>
      </w:r>
    </w:p>
    <w:p w14:paraId="518682E0" w14:textId="77777777" w:rsidR="00D64A23" w:rsidRPr="00092A53" w:rsidRDefault="00D64A23" w:rsidP="00925CAD">
      <w:pPr>
        <w:numPr>
          <w:ilvl w:val="0"/>
          <w:numId w:val="36"/>
        </w:numPr>
        <w:spacing w:line="276" w:lineRule="auto"/>
        <w:rPr>
          <w:b/>
          <w:sz w:val="22"/>
          <w:szCs w:val="22"/>
        </w:rPr>
      </w:pPr>
      <w:r w:rsidRPr="00092A53">
        <w:rPr>
          <w:b/>
          <w:sz w:val="22"/>
          <w:szCs w:val="22"/>
        </w:rPr>
        <w:t xml:space="preserve">Are the units transfused?  </w:t>
      </w:r>
    </w:p>
    <w:p w14:paraId="305799D4" w14:textId="77777777" w:rsidR="00D64A23" w:rsidRPr="00092A53" w:rsidRDefault="00D64A23" w:rsidP="00D64A23">
      <w:pPr>
        <w:ind w:firstLine="720"/>
        <w:rPr>
          <w:sz w:val="22"/>
          <w:szCs w:val="22"/>
        </w:rPr>
      </w:pPr>
      <w:r w:rsidRPr="00092A53">
        <w:rPr>
          <w:sz w:val="22"/>
          <w:szCs w:val="22"/>
        </w:rPr>
        <w:t>Go to Supervisor, Remove Final Status to get the unit back to an issued status.</w:t>
      </w:r>
    </w:p>
    <w:p w14:paraId="2BB51450" w14:textId="77777777" w:rsidR="00D64A23" w:rsidRPr="00092A53" w:rsidRDefault="00D64A23" w:rsidP="00925CAD">
      <w:pPr>
        <w:numPr>
          <w:ilvl w:val="0"/>
          <w:numId w:val="36"/>
        </w:numPr>
        <w:spacing w:line="276" w:lineRule="auto"/>
        <w:rPr>
          <w:b/>
          <w:sz w:val="22"/>
          <w:szCs w:val="22"/>
        </w:rPr>
      </w:pPr>
      <w:r w:rsidRPr="00092A53">
        <w:rPr>
          <w:b/>
          <w:sz w:val="22"/>
          <w:szCs w:val="22"/>
        </w:rPr>
        <w:t xml:space="preserve">Are the units issued? </w:t>
      </w:r>
    </w:p>
    <w:p w14:paraId="5CD900AD" w14:textId="77777777" w:rsidR="00D64A23" w:rsidRPr="00092A53" w:rsidRDefault="00D64A23" w:rsidP="00D64A23">
      <w:pPr>
        <w:ind w:firstLine="720"/>
        <w:rPr>
          <w:sz w:val="22"/>
          <w:szCs w:val="22"/>
        </w:rPr>
      </w:pPr>
      <w:r w:rsidRPr="00092A53">
        <w:rPr>
          <w:sz w:val="22"/>
          <w:szCs w:val="22"/>
        </w:rPr>
        <w:t xml:space="preserve">Go to Return Unit from Issue by either the patient or blood unit menu. </w:t>
      </w:r>
    </w:p>
    <w:p w14:paraId="0BFBCEDB" w14:textId="77777777" w:rsidR="00D64A23" w:rsidRPr="00092A53" w:rsidRDefault="00D64A23" w:rsidP="00D64A23">
      <w:pPr>
        <w:ind w:left="720"/>
        <w:rPr>
          <w:sz w:val="22"/>
          <w:szCs w:val="22"/>
        </w:rPr>
      </w:pPr>
      <w:r w:rsidRPr="00092A53">
        <w:rPr>
          <w:sz w:val="22"/>
          <w:szCs w:val="22"/>
        </w:rPr>
        <w:t>Return the unit from issue at the current date and time.</w:t>
      </w:r>
    </w:p>
    <w:p w14:paraId="563B7183" w14:textId="77777777" w:rsidR="00D64A23" w:rsidRPr="00092A53" w:rsidRDefault="00D64A23" w:rsidP="00925CAD">
      <w:pPr>
        <w:numPr>
          <w:ilvl w:val="0"/>
          <w:numId w:val="36"/>
        </w:numPr>
        <w:spacing w:line="276" w:lineRule="auto"/>
        <w:rPr>
          <w:b/>
          <w:sz w:val="22"/>
          <w:szCs w:val="22"/>
        </w:rPr>
      </w:pPr>
      <w:r w:rsidRPr="00092A53">
        <w:rPr>
          <w:b/>
          <w:sz w:val="22"/>
          <w:szCs w:val="22"/>
        </w:rPr>
        <w:t xml:space="preserve">Are the units selected for a patient? </w:t>
      </w:r>
    </w:p>
    <w:p w14:paraId="417E9325" w14:textId="77777777" w:rsidR="00D64A23" w:rsidRPr="00092A53" w:rsidRDefault="00D64A23" w:rsidP="00D64A23">
      <w:pPr>
        <w:ind w:firstLine="720"/>
        <w:rPr>
          <w:sz w:val="22"/>
          <w:szCs w:val="22"/>
        </w:rPr>
      </w:pPr>
      <w:r w:rsidRPr="00092A53">
        <w:rPr>
          <w:sz w:val="22"/>
          <w:szCs w:val="22"/>
        </w:rPr>
        <w:t>Go to Release Units from Assignment by either the patient or blood unit menu.</w:t>
      </w:r>
    </w:p>
    <w:p w14:paraId="2FDFC324" w14:textId="77777777" w:rsidR="00D64A23" w:rsidRPr="00092A53" w:rsidRDefault="00D64A23" w:rsidP="00D64A23">
      <w:pPr>
        <w:rPr>
          <w:sz w:val="22"/>
          <w:szCs w:val="22"/>
        </w:rPr>
      </w:pPr>
    </w:p>
    <w:p w14:paraId="364E079B" w14:textId="77777777" w:rsidR="00D64A23" w:rsidRPr="00092A53" w:rsidRDefault="00D64A23" w:rsidP="00D64A23">
      <w:pPr>
        <w:rPr>
          <w:sz w:val="22"/>
          <w:szCs w:val="22"/>
        </w:rPr>
      </w:pPr>
      <w:r w:rsidRPr="00092A53">
        <w:rPr>
          <w:sz w:val="22"/>
          <w:szCs w:val="22"/>
        </w:rPr>
        <w:t>When the units are no longer assigned to the patient, go into Invalidate Patient Testing by the Patient Menu and invalidate the patient test.</w:t>
      </w:r>
    </w:p>
    <w:p w14:paraId="6A86A2BE" w14:textId="77777777" w:rsidR="00D64A23" w:rsidRPr="004A517D" w:rsidRDefault="00D64A23" w:rsidP="00D64A23">
      <w:pPr>
        <w:rPr>
          <w:rFonts w:ascii="Arial" w:hAnsi="Arial" w:cs="Arial"/>
          <w:sz w:val="20"/>
          <w:szCs w:val="20"/>
        </w:rPr>
      </w:pPr>
    </w:p>
    <w:p w14:paraId="4A1E4045" w14:textId="422D199D" w:rsidR="00D64A23" w:rsidRPr="004A517D" w:rsidRDefault="00057948" w:rsidP="00D64A23">
      <w:pPr>
        <w:rPr>
          <w:rFonts w:ascii="Arial" w:hAnsi="Arial" w:cs="Arial"/>
          <w:b/>
          <w:color w:val="FF0000"/>
          <w:sz w:val="20"/>
          <w:szCs w:val="20"/>
        </w:rPr>
      </w:pPr>
      <w:r>
        <w:rPr>
          <w:rFonts w:ascii="Arial" w:hAnsi="Arial" w:cs="Arial"/>
          <w:noProof/>
          <w:sz w:val="20"/>
          <w:szCs w:val="20"/>
        </w:rPr>
        <mc:AlternateContent>
          <mc:Choice Requires="wps">
            <w:drawing>
              <wp:anchor distT="0" distB="0" distL="114300" distR="114300" simplePos="0" relativeHeight="251658242" behindDoc="0" locked="0" layoutInCell="1" allowOverlap="1" wp14:anchorId="448458D6" wp14:editId="6BC02E37">
                <wp:simplePos x="0" y="0"/>
                <wp:positionH relativeFrom="column">
                  <wp:posOffset>-133350</wp:posOffset>
                </wp:positionH>
                <wp:positionV relativeFrom="paragraph">
                  <wp:posOffset>-66675</wp:posOffset>
                </wp:positionV>
                <wp:extent cx="6086475" cy="457200"/>
                <wp:effectExtent l="9525" t="9525" r="9525" b="9525"/>
                <wp:wrapNone/>
                <wp:docPr id="16" name="Rectangle 12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86475" cy="457200"/>
                        </a:xfrm>
                        <a:prstGeom prst="rect">
                          <a:avLst/>
                        </a:prstGeom>
                        <a:noFill/>
                        <a:ln w="19050">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192C59" id="Rectangle 1214" o:spid="_x0000_s1026" alt="&quot;&quot;" style="position:absolute;margin-left:-10.5pt;margin-top:-5.25pt;width:479.25pt;height:36pt;z-index:25202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" filled="f" strokecolor="red" strokeweight="1.5pt"/>
            </w:pict>
          </mc:Fallback>
        </mc:AlternateContent>
      </w:r>
      <w:r w:rsidR="00D64A23" w:rsidRPr="004A517D">
        <w:rPr>
          <w:rFonts w:ascii="Arial" w:hAnsi="Arial" w:cs="Arial"/>
          <w:b/>
          <w:color w:val="FF0000"/>
          <w:sz w:val="20"/>
          <w:szCs w:val="20"/>
        </w:rPr>
        <w:t xml:space="preserve">STOP and make sure the user checks the box </w:t>
      </w:r>
      <w:r w:rsidR="00561E05">
        <w:rPr>
          <w:rFonts w:ascii="Arial" w:hAnsi="Arial" w:cs="Arial"/>
          <w:b/>
          <w:color w:val="FF0000"/>
          <w:sz w:val="20"/>
          <w:szCs w:val="20"/>
        </w:rPr>
        <w:t xml:space="preserve">“Add test to the Pending Task List to allow for replacement results” </w:t>
      </w:r>
      <w:r w:rsidR="00D64A23" w:rsidRPr="004A517D">
        <w:rPr>
          <w:rFonts w:ascii="Arial" w:hAnsi="Arial" w:cs="Arial"/>
          <w:b/>
          <w:color w:val="FF0000"/>
          <w:sz w:val="20"/>
          <w:szCs w:val="20"/>
        </w:rPr>
        <w:t>if they want the test to appear on the PTL for correction.</w:t>
      </w:r>
    </w:p>
    <w:p w14:paraId="05946A77" w14:textId="77777777" w:rsidR="00D64A23" w:rsidRPr="004A517D" w:rsidRDefault="00D64A23" w:rsidP="00D64A23">
      <w:pPr>
        <w:rPr>
          <w:rFonts w:ascii="Arial" w:hAnsi="Arial" w:cs="Arial"/>
          <w:b/>
          <w:color w:val="FF0000"/>
          <w:sz w:val="20"/>
          <w:szCs w:val="20"/>
        </w:rPr>
      </w:pPr>
    </w:p>
    <w:p w14:paraId="29C51114" w14:textId="77777777" w:rsidR="00D64A23" w:rsidRPr="00C2774B" w:rsidRDefault="00D64A23" w:rsidP="00C2774B">
      <w:pPr>
        <w:pStyle w:val="Heading3"/>
      </w:pPr>
      <w:bookmarkStart w:id="870" w:name="_Toc203766020"/>
      <w:r w:rsidRPr="00C2774B">
        <w:t>UN-Pooling a Pooled Unit (in the computer only)</w:t>
      </w:r>
      <w:bookmarkEnd w:id="870"/>
    </w:p>
    <w:p w14:paraId="082CE870" w14:textId="77777777" w:rsidR="00D64A23" w:rsidRPr="00092A53" w:rsidRDefault="00D64A23" w:rsidP="00D64A23">
      <w:pPr>
        <w:rPr>
          <w:sz w:val="22"/>
          <w:szCs w:val="22"/>
        </w:rPr>
      </w:pPr>
      <w:r w:rsidRPr="00092A53">
        <w:rPr>
          <w:sz w:val="22"/>
          <w:szCs w:val="22"/>
        </w:rPr>
        <w:t>This may happen when a pool is created in the computer and the physical pool was not created after all.</w:t>
      </w:r>
    </w:p>
    <w:p w14:paraId="3DDDBEB2" w14:textId="77777777" w:rsidR="00D64A23" w:rsidRPr="00092A53" w:rsidRDefault="00D64A23" w:rsidP="00D64A23">
      <w:pPr>
        <w:rPr>
          <w:sz w:val="22"/>
          <w:szCs w:val="22"/>
        </w:rPr>
      </w:pPr>
      <w:r w:rsidRPr="00092A53">
        <w:rPr>
          <w:sz w:val="22"/>
          <w:szCs w:val="22"/>
        </w:rPr>
        <w:t xml:space="preserve">If there is a patient assignment, issue or transfusion, that must be removed first as described above in the </w:t>
      </w:r>
      <w:r w:rsidRPr="00092A53">
        <w:rPr>
          <w:b/>
          <w:sz w:val="22"/>
          <w:szCs w:val="22"/>
        </w:rPr>
        <w:t xml:space="preserve">Where to start </w:t>
      </w:r>
      <w:r w:rsidRPr="00092A53">
        <w:rPr>
          <w:sz w:val="22"/>
          <w:szCs w:val="22"/>
        </w:rPr>
        <w:t>section.</w:t>
      </w:r>
    </w:p>
    <w:p w14:paraId="7EE97A5E" w14:textId="77777777" w:rsidR="00D64A23" w:rsidRPr="00092A53" w:rsidRDefault="00D64A23" w:rsidP="00925CAD">
      <w:pPr>
        <w:numPr>
          <w:ilvl w:val="0"/>
          <w:numId w:val="35"/>
        </w:numPr>
        <w:spacing w:line="276" w:lineRule="auto"/>
        <w:rPr>
          <w:sz w:val="22"/>
          <w:szCs w:val="22"/>
        </w:rPr>
      </w:pPr>
      <w:r w:rsidRPr="00092A53">
        <w:rPr>
          <w:sz w:val="22"/>
          <w:szCs w:val="22"/>
        </w:rPr>
        <w:t>Go to Blood Unit, Edit Unit Information and INACTIVATE the Pooled Unit.</w:t>
      </w:r>
    </w:p>
    <w:p w14:paraId="5E0861D5" w14:textId="77777777" w:rsidR="00D64A23" w:rsidRPr="00092A53" w:rsidRDefault="00D64A23" w:rsidP="00925CAD">
      <w:pPr>
        <w:numPr>
          <w:ilvl w:val="0"/>
          <w:numId w:val="35"/>
        </w:numPr>
        <w:spacing w:line="276" w:lineRule="auto"/>
        <w:rPr>
          <w:sz w:val="22"/>
          <w:szCs w:val="22"/>
        </w:rPr>
      </w:pPr>
      <w:r w:rsidRPr="00092A53">
        <w:rPr>
          <w:sz w:val="22"/>
          <w:szCs w:val="22"/>
        </w:rPr>
        <w:t>Go to Supervisor, Remove Final Status, select each original unit removing the MODIFIED status and making each available.</w:t>
      </w:r>
    </w:p>
    <w:p w14:paraId="029E019F" w14:textId="77777777" w:rsidR="00D64A23" w:rsidRPr="00092A53" w:rsidRDefault="001866C8" w:rsidP="00925CAD">
      <w:pPr>
        <w:numPr>
          <w:ilvl w:val="0"/>
          <w:numId w:val="35"/>
        </w:numPr>
        <w:spacing w:line="276" w:lineRule="auto"/>
        <w:rPr>
          <w:sz w:val="22"/>
          <w:szCs w:val="22"/>
        </w:rPr>
      </w:pPr>
      <w:r w:rsidRPr="00092A53">
        <w:rPr>
          <w:sz w:val="22"/>
          <w:szCs w:val="22"/>
        </w:rPr>
        <w:t xml:space="preserve">Repeat Step </w:t>
      </w:r>
      <w:r w:rsidR="00D64A23" w:rsidRPr="00092A53">
        <w:rPr>
          <w:sz w:val="22"/>
          <w:szCs w:val="22"/>
        </w:rPr>
        <w:t>2 for each original unit included in the pool.</w:t>
      </w:r>
    </w:p>
    <w:p w14:paraId="02B0F10E" w14:textId="77777777" w:rsidR="006B6B74" w:rsidRPr="00C2774B" w:rsidRDefault="00E91569" w:rsidP="00C2774B">
      <w:pPr>
        <w:pStyle w:val="Heading3"/>
        <w:rPr>
          <w:szCs w:val="20"/>
        </w:rPr>
      </w:pPr>
      <w:bookmarkStart w:id="871" w:name="_Toc203766021"/>
      <w:r>
        <w:t>UN-Modifying a U</w:t>
      </w:r>
      <w:r w:rsidR="00092A53" w:rsidRPr="00C2774B">
        <w:t>nit</w:t>
      </w:r>
      <w:bookmarkEnd w:id="871"/>
      <w:r w:rsidR="00D64A23" w:rsidRPr="00C2774B">
        <w:rPr>
          <w:szCs w:val="20"/>
        </w:rPr>
        <w:t xml:space="preserve"> </w:t>
      </w:r>
    </w:p>
    <w:p w14:paraId="591C53B8" w14:textId="77777777" w:rsidR="00D64A23" w:rsidRPr="00092A53" w:rsidRDefault="00D64A23" w:rsidP="00D64A23">
      <w:pPr>
        <w:rPr>
          <w:sz w:val="22"/>
          <w:szCs w:val="22"/>
        </w:rPr>
      </w:pPr>
      <w:r w:rsidRPr="00092A53">
        <w:rPr>
          <w:sz w:val="22"/>
          <w:szCs w:val="22"/>
        </w:rPr>
        <w:t>Go to Supervisor, Remove Final Status.</w:t>
      </w:r>
    </w:p>
    <w:p w14:paraId="2EC49C12" w14:textId="77777777" w:rsidR="00392A54" w:rsidRDefault="00D64A23" w:rsidP="00D64A23">
      <w:pPr>
        <w:rPr>
          <w:sz w:val="22"/>
          <w:szCs w:val="22"/>
        </w:rPr>
      </w:pPr>
      <w:r w:rsidRPr="00092A53">
        <w:rPr>
          <w:sz w:val="22"/>
          <w:szCs w:val="22"/>
        </w:rPr>
        <w:t xml:space="preserve">If there is a patient assignment, issue or transfusion, that must be removed first as described above in the </w:t>
      </w:r>
      <w:r w:rsidRPr="00092A53">
        <w:rPr>
          <w:b/>
          <w:sz w:val="22"/>
          <w:szCs w:val="22"/>
        </w:rPr>
        <w:t>Where to start</w:t>
      </w:r>
      <w:r w:rsidRPr="00092A53">
        <w:rPr>
          <w:sz w:val="22"/>
          <w:szCs w:val="22"/>
        </w:rPr>
        <w:t xml:space="preserve"> section.</w:t>
      </w:r>
    </w:p>
    <w:p w14:paraId="3522F3DD" w14:textId="0C359B7C" w:rsidR="00657069" w:rsidRDefault="00D64A23" w:rsidP="00E43C60">
      <w:pPr>
        <w:pStyle w:val="Heading2"/>
      </w:pPr>
      <w:r>
        <w:br w:type="page"/>
      </w:r>
      <w:bookmarkStart w:id="872" w:name="_Ref256684287"/>
      <w:bookmarkStart w:id="873" w:name="_Toc203766022"/>
      <w:r w:rsidR="0062532A">
        <w:lastRenderedPageBreak/>
        <w:t xml:space="preserve">Appendix </w:t>
      </w:r>
      <w:bookmarkEnd w:id="866"/>
      <w:r w:rsidR="001B0B0C">
        <w:rPr>
          <w:noProof/>
        </w:rPr>
        <w:t>J</w:t>
      </w:r>
      <w:r w:rsidR="0062532A">
        <w:t xml:space="preserve">: </w:t>
      </w:r>
      <w:r w:rsidR="00657069">
        <w:t>Recommended Report Usage</w:t>
      </w:r>
      <w:bookmarkEnd w:id="872"/>
      <w:bookmarkEnd w:id="873"/>
      <w:r w:rsidR="00681D23">
        <w:fldChar w:fldCharType="begin"/>
      </w:r>
      <w:r w:rsidR="00681D23">
        <w:instrText xml:space="preserve"> XE "</w:instrText>
      </w:r>
      <w:r w:rsidR="00681D23" w:rsidRPr="00AE2CB0">
        <w:instrText>Recommended Report Usage</w:instrText>
      </w:r>
      <w:r w:rsidR="00681D23">
        <w:instrText xml:space="preserve">" </w:instrText>
      </w:r>
      <w:r w:rsidR="00681D23">
        <w:fldChar w:fldCharType="end"/>
      </w:r>
      <w:r w:rsidR="00657069">
        <w:t xml:space="preserve"> </w:t>
      </w:r>
    </w:p>
    <w:p w14:paraId="18F22667" w14:textId="194E71B5" w:rsidR="00E24CBD" w:rsidRDefault="00EE455E" w:rsidP="00E24CBD">
      <w:pPr>
        <w:pStyle w:val="BodyText"/>
      </w:pPr>
      <w:r>
        <w:t xml:space="preserve">Table </w:t>
      </w:r>
      <w:r>
        <w:rPr>
          <w:noProof/>
        </w:rPr>
        <w:t>36</w:t>
      </w:r>
      <w:r w:rsidR="00E24CBD">
        <w:t xml:space="preserve"> lists reports, how often to run them, and how to use them. These are recommendations for meeting </w:t>
      </w:r>
      <w:r w:rsidR="00FE73F7">
        <w:t>regulatory requirements</w:t>
      </w:r>
      <w:r w:rsidR="00E24CBD">
        <w:t>.</w:t>
      </w:r>
      <w:r w:rsidR="006C1675">
        <w:t xml:space="preserve"> Reports</w:t>
      </w:r>
      <w:r w:rsidR="00462332">
        <w:t>, including the non-individual Blood Availability Report,</w:t>
      </w:r>
      <w:r w:rsidR="006C1675">
        <w:t xml:space="preserve"> are available through the Reports </w:t>
      </w:r>
      <w:r w:rsidR="00954B52">
        <w:t>menu item</w:t>
      </w:r>
      <w:r w:rsidR="006C1675">
        <w:t>. The</w:t>
      </w:r>
      <w:r w:rsidR="00462332">
        <w:t xml:space="preserve"> patient-specific</w:t>
      </w:r>
      <w:r w:rsidR="006C1675">
        <w:t xml:space="preserve"> Blood Availability Report is available through the Patients </w:t>
      </w:r>
      <w:r w:rsidR="00954B52">
        <w:t>menu item</w:t>
      </w:r>
      <w:r w:rsidR="006C1675">
        <w:t>.</w:t>
      </w:r>
    </w:p>
    <w:p w14:paraId="1CB801FB" w14:textId="6320BA3C" w:rsidR="00E24CBD" w:rsidRDefault="00E24CBD" w:rsidP="00E24CBD">
      <w:pPr>
        <w:pStyle w:val="Caption"/>
      </w:pPr>
      <w:bookmarkStart w:id="874" w:name="_Ref126732565"/>
      <w:bookmarkStart w:id="875" w:name="_Ref126504669"/>
      <w:r>
        <w:t xml:space="preserve">Table </w:t>
      </w:r>
      <w:r w:rsidR="004E20BD">
        <w:rPr>
          <w:noProof/>
        </w:rPr>
        <w:fldChar w:fldCharType="begin"/>
      </w:r>
      <w:r w:rsidR="004E20BD">
        <w:rPr>
          <w:noProof/>
        </w:rPr>
        <w:instrText xml:space="preserve"> SEQ Table \* ARABIC </w:instrText>
      </w:r>
      <w:r w:rsidR="004E20BD">
        <w:rPr>
          <w:noProof/>
        </w:rPr>
        <w:fldChar w:fldCharType="separate"/>
      </w:r>
      <w:r w:rsidR="007D1829">
        <w:rPr>
          <w:noProof/>
        </w:rPr>
        <w:t>36</w:t>
      </w:r>
      <w:r w:rsidR="004E20BD">
        <w:rPr>
          <w:noProof/>
        </w:rPr>
        <w:fldChar w:fldCharType="end"/>
      </w:r>
      <w:bookmarkEnd w:id="874"/>
      <w:r>
        <w:t>: Recommended Report Usage</w:t>
      </w:r>
      <w:bookmarkEnd w:id="875"/>
      <w:r w:rsidR="00812371">
        <w:fldChar w:fldCharType="begin"/>
      </w:r>
      <w:r w:rsidR="00812371">
        <w:instrText xml:space="preserve"> XE "Tables:Recommended Report Usage" </w:instrText>
      </w:r>
      <w:r w:rsidR="00812371">
        <w:fldChar w:fldCharType="end"/>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80"/>
        <w:gridCol w:w="2039"/>
        <w:gridCol w:w="2580"/>
        <w:gridCol w:w="3461"/>
      </w:tblGrid>
      <w:tr w:rsidR="00462332" w:rsidRPr="00E24CBD" w14:paraId="6447BBAD" w14:textId="77777777">
        <w:trPr>
          <w:cantSplit/>
          <w:tblHeader/>
        </w:trPr>
        <w:tc>
          <w:tcPr>
            <w:tcW w:w="1728" w:type="dxa"/>
            <w:shd w:val="clear" w:color="auto" w:fill="B3B3B3"/>
            <w:vAlign w:val="bottom"/>
          </w:tcPr>
          <w:p w14:paraId="5A30B560" w14:textId="77777777" w:rsidR="00462332" w:rsidRPr="00E24CBD" w:rsidRDefault="00462332" w:rsidP="00E24CBD">
            <w:pPr>
              <w:pStyle w:val="TableText"/>
              <w:rPr>
                <w:b/>
                <w:snapToGrid w:val="0"/>
              </w:rPr>
            </w:pPr>
            <w:r>
              <w:rPr>
                <w:b/>
                <w:snapToGrid w:val="0"/>
              </w:rPr>
              <w:t>Run This Report:</w:t>
            </w:r>
          </w:p>
        </w:tc>
        <w:tc>
          <w:tcPr>
            <w:tcW w:w="2810" w:type="dxa"/>
            <w:shd w:val="clear" w:color="auto" w:fill="B3B3B3"/>
            <w:vAlign w:val="bottom"/>
          </w:tcPr>
          <w:p w14:paraId="19AB10C0" w14:textId="77777777" w:rsidR="00462332" w:rsidRPr="00E24CBD" w:rsidRDefault="00462332" w:rsidP="00E24CBD">
            <w:pPr>
              <w:pStyle w:val="TableText"/>
              <w:rPr>
                <w:b/>
                <w:snapToGrid w:val="0"/>
              </w:rPr>
            </w:pPr>
            <w:r>
              <w:rPr>
                <w:b/>
                <w:snapToGrid w:val="0"/>
              </w:rPr>
              <w:t>Report</w:t>
            </w:r>
            <w:r w:rsidR="00695BEA">
              <w:rPr>
                <w:b/>
                <w:snapToGrid w:val="0"/>
              </w:rPr>
              <w:t xml:space="preserve"> Option</w:t>
            </w:r>
          </w:p>
        </w:tc>
        <w:tc>
          <w:tcPr>
            <w:tcW w:w="3582" w:type="dxa"/>
            <w:shd w:val="clear" w:color="auto" w:fill="B3B3B3"/>
            <w:vAlign w:val="bottom"/>
          </w:tcPr>
          <w:p w14:paraId="52AE464D" w14:textId="77777777" w:rsidR="00462332" w:rsidRPr="00E24CBD" w:rsidRDefault="00695BEA" w:rsidP="00E24CBD">
            <w:pPr>
              <w:pStyle w:val="TableText"/>
              <w:rPr>
                <w:b/>
                <w:snapToGrid w:val="0"/>
              </w:rPr>
            </w:pPr>
            <w:r>
              <w:rPr>
                <w:b/>
                <w:snapToGrid w:val="0"/>
              </w:rPr>
              <w:t>Purpose</w:t>
            </w:r>
          </w:p>
        </w:tc>
        <w:tc>
          <w:tcPr>
            <w:tcW w:w="4840" w:type="dxa"/>
            <w:shd w:val="clear" w:color="auto" w:fill="B3B3B3"/>
            <w:vAlign w:val="bottom"/>
          </w:tcPr>
          <w:p w14:paraId="02CBECCA" w14:textId="77777777" w:rsidR="00462332" w:rsidRPr="00E24CBD" w:rsidRDefault="00695BEA" w:rsidP="00E24CBD">
            <w:pPr>
              <w:pStyle w:val="TableText"/>
              <w:rPr>
                <w:b/>
                <w:snapToGrid w:val="0"/>
              </w:rPr>
            </w:pPr>
            <w:r>
              <w:rPr>
                <w:b/>
                <w:snapToGrid w:val="0"/>
              </w:rPr>
              <w:t>To Meet Regulatory Requirements:</w:t>
            </w:r>
          </w:p>
        </w:tc>
      </w:tr>
      <w:tr w:rsidR="00462332" w14:paraId="56FBAB27" w14:textId="77777777">
        <w:trPr>
          <w:cantSplit/>
        </w:trPr>
        <w:tc>
          <w:tcPr>
            <w:tcW w:w="1728" w:type="dxa"/>
            <w:vMerge w:val="restart"/>
          </w:tcPr>
          <w:p w14:paraId="2EF7C1D4" w14:textId="77777777" w:rsidR="00462332" w:rsidRDefault="00462332" w:rsidP="00E24CBD">
            <w:pPr>
              <w:pStyle w:val="TableText"/>
              <w:rPr>
                <w:snapToGrid w:val="0"/>
              </w:rPr>
            </w:pPr>
            <w:r>
              <w:rPr>
                <w:snapToGrid w:val="0"/>
              </w:rPr>
              <w:t>Daily</w:t>
            </w:r>
          </w:p>
        </w:tc>
        <w:tc>
          <w:tcPr>
            <w:tcW w:w="2810" w:type="dxa"/>
          </w:tcPr>
          <w:p w14:paraId="71D3B4A9" w14:textId="77777777" w:rsidR="00462332" w:rsidRDefault="00462332" w:rsidP="00E24CBD">
            <w:pPr>
              <w:pStyle w:val="TableText"/>
              <w:rPr>
                <w:snapToGrid w:val="0"/>
              </w:rPr>
            </w:pPr>
            <w:r>
              <w:rPr>
                <w:snapToGrid w:val="0"/>
              </w:rPr>
              <w:t>Audit Trail</w:t>
            </w:r>
          </w:p>
        </w:tc>
        <w:tc>
          <w:tcPr>
            <w:tcW w:w="3582" w:type="dxa"/>
          </w:tcPr>
          <w:p w14:paraId="61C69EA5" w14:textId="77777777" w:rsidR="00462332" w:rsidRDefault="00462332" w:rsidP="00E24CBD">
            <w:pPr>
              <w:pStyle w:val="TableText"/>
              <w:rPr>
                <w:snapToGrid w:val="0"/>
              </w:rPr>
            </w:pPr>
            <w:r>
              <w:t xml:space="preserve">Quality </w:t>
            </w:r>
            <w:r w:rsidR="000A04E1">
              <w:t>a</w:t>
            </w:r>
            <w:r>
              <w:t>ssurance (QA) report details data changes in system.</w:t>
            </w:r>
          </w:p>
        </w:tc>
        <w:tc>
          <w:tcPr>
            <w:tcW w:w="4840" w:type="dxa"/>
          </w:tcPr>
          <w:p w14:paraId="1BC10579" w14:textId="77777777" w:rsidR="00462332" w:rsidRDefault="00462332" w:rsidP="00E24CBD">
            <w:pPr>
              <w:pStyle w:val="TableText"/>
              <w:rPr>
                <w:snapToGrid w:val="0"/>
              </w:rPr>
            </w:pPr>
            <w:r>
              <w:rPr>
                <w:snapToGrid w:val="0"/>
              </w:rPr>
              <w:t>Print, review, sign</w:t>
            </w:r>
            <w:r w:rsidR="000A04E1">
              <w:rPr>
                <w:snapToGrid w:val="0"/>
              </w:rPr>
              <w:t>,</w:t>
            </w:r>
            <w:r>
              <w:rPr>
                <w:snapToGrid w:val="0"/>
              </w:rPr>
              <w:t xml:space="preserve"> </w:t>
            </w:r>
            <w:r w:rsidR="00695BEA">
              <w:rPr>
                <w:snapToGrid w:val="0"/>
              </w:rPr>
              <w:t xml:space="preserve">date, </w:t>
            </w:r>
            <w:r>
              <w:rPr>
                <w:snapToGrid w:val="0"/>
              </w:rPr>
              <w:t>and save hard</w:t>
            </w:r>
            <w:r w:rsidR="00695BEA">
              <w:rPr>
                <w:snapToGrid w:val="0"/>
              </w:rPr>
              <w:t xml:space="preserve"> </w:t>
            </w:r>
            <w:r>
              <w:rPr>
                <w:snapToGrid w:val="0"/>
              </w:rPr>
              <w:t>copy.</w:t>
            </w:r>
          </w:p>
        </w:tc>
      </w:tr>
      <w:tr w:rsidR="00462332" w14:paraId="522B04DF" w14:textId="77777777">
        <w:trPr>
          <w:cantSplit/>
        </w:trPr>
        <w:tc>
          <w:tcPr>
            <w:tcW w:w="1728" w:type="dxa"/>
            <w:vMerge/>
          </w:tcPr>
          <w:p w14:paraId="0FE1D9DA" w14:textId="77777777" w:rsidR="00462332" w:rsidRDefault="00462332" w:rsidP="00E24CBD">
            <w:pPr>
              <w:pStyle w:val="TableText"/>
              <w:rPr>
                <w:snapToGrid w:val="0"/>
              </w:rPr>
            </w:pPr>
          </w:p>
        </w:tc>
        <w:tc>
          <w:tcPr>
            <w:tcW w:w="2810" w:type="dxa"/>
          </w:tcPr>
          <w:p w14:paraId="666F3C23" w14:textId="77777777" w:rsidR="00462332" w:rsidRDefault="00462332" w:rsidP="00E24CBD">
            <w:pPr>
              <w:pStyle w:val="TableText"/>
              <w:rPr>
                <w:snapToGrid w:val="0"/>
              </w:rPr>
            </w:pPr>
            <w:r>
              <w:rPr>
                <w:snapToGrid w:val="0"/>
              </w:rPr>
              <w:t>Blood Availability</w:t>
            </w:r>
          </w:p>
        </w:tc>
        <w:tc>
          <w:tcPr>
            <w:tcW w:w="3582" w:type="dxa"/>
          </w:tcPr>
          <w:p w14:paraId="5462F08B" w14:textId="77777777" w:rsidR="00462332" w:rsidRDefault="00462332" w:rsidP="00E24CBD">
            <w:pPr>
              <w:pStyle w:val="TableText"/>
              <w:rPr>
                <w:snapToGrid w:val="0"/>
              </w:rPr>
            </w:pPr>
            <w:r>
              <w:t>Inventory report</w:t>
            </w:r>
          </w:p>
        </w:tc>
        <w:tc>
          <w:tcPr>
            <w:tcW w:w="4840" w:type="dxa"/>
          </w:tcPr>
          <w:p w14:paraId="72B2D890" w14:textId="77777777" w:rsidR="00462332" w:rsidRDefault="00462332" w:rsidP="00E24CBD">
            <w:pPr>
              <w:pStyle w:val="TableText"/>
              <w:rPr>
                <w:snapToGrid w:val="0"/>
              </w:rPr>
            </w:pPr>
            <w:r>
              <w:rPr>
                <w:snapToGrid w:val="0"/>
              </w:rPr>
              <w:t xml:space="preserve">This report may not be needed by </w:t>
            </w:r>
            <w:r w:rsidR="00695BEA">
              <w:rPr>
                <w:snapToGrid w:val="0"/>
              </w:rPr>
              <w:t>transfusion-</w:t>
            </w:r>
            <w:r>
              <w:rPr>
                <w:snapToGrid w:val="0"/>
              </w:rPr>
              <w:t xml:space="preserve">only or </w:t>
            </w:r>
            <w:r w:rsidR="00695BEA">
              <w:rPr>
                <w:snapToGrid w:val="0"/>
              </w:rPr>
              <w:t>other sites</w:t>
            </w:r>
            <w:r>
              <w:rPr>
                <w:snapToGrid w:val="0"/>
              </w:rPr>
              <w:t>.</w:t>
            </w:r>
          </w:p>
        </w:tc>
      </w:tr>
      <w:tr w:rsidR="00462332" w14:paraId="4001AA1F" w14:textId="77777777">
        <w:trPr>
          <w:cantSplit/>
        </w:trPr>
        <w:tc>
          <w:tcPr>
            <w:tcW w:w="1728" w:type="dxa"/>
            <w:vMerge/>
          </w:tcPr>
          <w:p w14:paraId="5766C2E4" w14:textId="77777777" w:rsidR="00462332" w:rsidRDefault="00462332" w:rsidP="00E24CBD">
            <w:pPr>
              <w:pStyle w:val="TableText"/>
              <w:rPr>
                <w:snapToGrid w:val="0"/>
              </w:rPr>
            </w:pPr>
          </w:p>
        </w:tc>
        <w:tc>
          <w:tcPr>
            <w:tcW w:w="2810" w:type="dxa"/>
          </w:tcPr>
          <w:p w14:paraId="1C4F838A" w14:textId="77777777" w:rsidR="00462332" w:rsidRDefault="00462332" w:rsidP="00E24CBD">
            <w:pPr>
              <w:pStyle w:val="TableText"/>
              <w:rPr>
                <w:snapToGrid w:val="0"/>
              </w:rPr>
            </w:pPr>
            <w:r>
              <w:rPr>
                <w:snapToGrid w:val="0"/>
              </w:rPr>
              <w:t>Exception Report</w:t>
            </w:r>
          </w:p>
        </w:tc>
        <w:tc>
          <w:tcPr>
            <w:tcW w:w="3582" w:type="dxa"/>
          </w:tcPr>
          <w:p w14:paraId="31760F63" w14:textId="77777777" w:rsidR="00462332" w:rsidRDefault="00462332" w:rsidP="00E24CBD">
            <w:pPr>
              <w:pStyle w:val="TableText"/>
              <w:rPr>
                <w:snapToGrid w:val="0"/>
              </w:rPr>
            </w:pPr>
            <w:r>
              <w:t>QA report details overrides of system rules processed by users.</w:t>
            </w:r>
          </w:p>
        </w:tc>
        <w:tc>
          <w:tcPr>
            <w:tcW w:w="4840" w:type="dxa"/>
          </w:tcPr>
          <w:p w14:paraId="19392308" w14:textId="77777777" w:rsidR="00462332" w:rsidRDefault="002A03C9" w:rsidP="00E24CBD">
            <w:pPr>
              <w:pStyle w:val="TableText"/>
              <w:rPr>
                <w:snapToGrid w:val="0"/>
              </w:rPr>
            </w:pPr>
            <w:r>
              <w:rPr>
                <w:snapToGrid w:val="0"/>
              </w:rPr>
              <w:t>Print, review, sign, date, and save hard copy.</w:t>
            </w:r>
          </w:p>
        </w:tc>
      </w:tr>
      <w:tr w:rsidR="00462332" w14:paraId="3CF30ED4" w14:textId="77777777">
        <w:trPr>
          <w:cantSplit/>
        </w:trPr>
        <w:tc>
          <w:tcPr>
            <w:tcW w:w="1728" w:type="dxa"/>
            <w:vMerge/>
          </w:tcPr>
          <w:p w14:paraId="1AE8344A" w14:textId="77777777" w:rsidR="00462332" w:rsidRDefault="00462332" w:rsidP="00E24CBD">
            <w:pPr>
              <w:pStyle w:val="TableText"/>
              <w:rPr>
                <w:snapToGrid w:val="0"/>
              </w:rPr>
            </w:pPr>
          </w:p>
        </w:tc>
        <w:tc>
          <w:tcPr>
            <w:tcW w:w="2810" w:type="dxa"/>
          </w:tcPr>
          <w:p w14:paraId="592ACA3B" w14:textId="77777777" w:rsidR="00462332" w:rsidRDefault="00462332" w:rsidP="00E24CBD">
            <w:pPr>
              <w:pStyle w:val="TableText"/>
              <w:rPr>
                <w:snapToGrid w:val="0"/>
              </w:rPr>
            </w:pPr>
            <w:r>
              <w:rPr>
                <w:snapToGrid w:val="0"/>
              </w:rPr>
              <w:t>Testing Worklist Report</w:t>
            </w:r>
          </w:p>
        </w:tc>
        <w:tc>
          <w:tcPr>
            <w:tcW w:w="3582" w:type="dxa"/>
          </w:tcPr>
          <w:p w14:paraId="599D20FC" w14:textId="77777777" w:rsidR="00462332" w:rsidRDefault="00462332" w:rsidP="00E24CBD">
            <w:pPr>
              <w:pStyle w:val="TableText"/>
              <w:rPr>
                <w:snapToGrid w:val="0"/>
              </w:rPr>
            </w:pPr>
            <w:r>
              <w:t>QA report displays all testing within a division.</w:t>
            </w:r>
          </w:p>
        </w:tc>
        <w:tc>
          <w:tcPr>
            <w:tcW w:w="4840" w:type="dxa"/>
          </w:tcPr>
          <w:p w14:paraId="7C073E6E" w14:textId="77777777" w:rsidR="00462332" w:rsidRDefault="00462332" w:rsidP="00E24CBD">
            <w:pPr>
              <w:pStyle w:val="TableText"/>
              <w:rPr>
                <w:snapToGrid w:val="0"/>
              </w:rPr>
            </w:pPr>
            <w:r>
              <w:rPr>
                <w:snapToGrid w:val="0"/>
              </w:rPr>
              <w:t>Print Patient Testing, Unit testing, Rack QC and miscellaneous reagent QC.</w:t>
            </w:r>
            <w:r w:rsidR="002A03C9">
              <w:rPr>
                <w:snapToGrid w:val="0"/>
              </w:rPr>
              <w:t xml:space="preserve"> Print, review, sign, date, and save hard copy.</w:t>
            </w:r>
          </w:p>
        </w:tc>
      </w:tr>
      <w:tr w:rsidR="00462332" w14:paraId="2DF9F914" w14:textId="77777777">
        <w:trPr>
          <w:cantSplit/>
        </w:trPr>
        <w:tc>
          <w:tcPr>
            <w:tcW w:w="1728" w:type="dxa"/>
          </w:tcPr>
          <w:p w14:paraId="538CA113" w14:textId="77777777" w:rsidR="00462332" w:rsidRDefault="00462332" w:rsidP="00FE73F7">
            <w:pPr>
              <w:pStyle w:val="TableText"/>
              <w:rPr>
                <w:snapToGrid w:val="0"/>
              </w:rPr>
            </w:pPr>
            <w:r>
              <w:rPr>
                <w:snapToGrid w:val="0"/>
              </w:rPr>
              <w:t>Daily or Weekly</w:t>
            </w:r>
          </w:p>
        </w:tc>
        <w:tc>
          <w:tcPr>
            <w:tcW w:w="2810" w:type="dxa"/>
          </w:tcPr>
          <w:p w14:paraId="550C295F" w14:textId="77777777" w:rsidR="00462332" w:rsidRDefault="00462332" w:rsidP="00FE73F7">
            <w:pPr>
              <w:pStyle w:val="TableText"/>
              <w:rPr>
                <w:snapToGrid w:val="0"/>
              </w:rPr>
            </w:pPr>
            <w:r>
              <w:rPr>
                <w:snapToGrid w:val="0"/>
              </w:rPr>
              <w:t>Issued/Returned Report</w:t>
            </w:r>
          </w:p>
        </w:tc>
        <w:tc>
          <w:tcPr>
            <w:tcW w:w="3582" w:type="dxa"/>
          </w:tcPr>
          <w:p w14:paraId="4E9C08B0" w14:textId="77777777" w:rsidR="00462332" w:rsidRDefault="00462332" w:rsidP="00FE73F7">
            <w:pPr>
              <w:pStyle w:val="TableText"/>
              <w:rPr>
                <w:snapToGrid w:val="0"/>
              </w:rPr>
            </w:pPr>
            <w:r>
              <w:t>QA report displays all relocation transactions.</w:t>
            </w:r>
          </w:p>
        </w:tc>
        <w:tc>
          <w:tcPr>
            <w:tcW w:w="4840" w:type="dxa"/>
          </w:tcPr>
          <w:p w14:paraId="53062659" w14:textId="77777777" w:rsidR="00462332" w:rsidRDefault="00462332" w:rsidP="00FE73F7">
            <w:pPr>
              <w:pStyle w:val="TableText"/>
              <w:rPr>
                <w:snapToGrid w:val="0"/>
              </w:rPr>
            </w:pPr>
            <w:r>
              <w:rPr>
                <w:snapToGrid w:val="0"/>
              </w:rPr>
              <w:t>Review for anomalies and take corrective action.</w:t>
            </w:r>
          </w:p>
        </w:tc>
      </w:tr>
      <w:tr w:rsidR="00462332" w14:paraId="06313914" w14:textId="77777777">
        <w:trPr>
          <w:cantSplit/>
        </w:trPr>
        <w:tc>
          <w:tcPr>
            <w:tcW w:w="1728" w:type="dxa"/>
            <w:tcBorders>
              <w:bottom w:val="single" w:sz="4" w:space="0" w:color="auto"/>
            </w:tcBorders>
          </w:tcPr>
          <w:p w14:paraId="69D53873" w14:textId="77777777" w:rsidR="00462332" w:rsidRDefault="00462332" w:rsidP="00E24CBD">
            <w:pPr>
              <w:pStyle w:val="TableText"/>
              <w:rPr>
                <w:snapToGrid w:val="0"/>
              </w:rPr>
            </w:pPr>
            <w:r>
              <w:rPr>
                <w:snapToGrid w:val="0"/>
              </w:rPr>
              <w:t>Daily, Weekly</w:t>
            </w:r>
            <w:r w:rsidR="008C3117">
              <w:rPr>
                <w:snapToGrid w:val="0"/>
              </w:rPr>
              <w:t xml:space="preserve">, </w:t>
            </w:r>
            <w:r>
              <w:rPr>
                <w:snapToGrid w:val="0"/>
              </w:rPr>
              <w:t>and Monthly</w:t>
            </w:r>
          </w:p>
        </w:tc>
        <w:tc>
          <w:tcPr>
            <w:tcW w:w="2810" w:type="dxa"/>
            <w:tcBorders>
              <w:bottom w:val="single" w:sz="4" w:space="0" w:color="auto"/>
            </w:tcBorders>
          </w:tcPr>
          <w:p w14:paraId="33E378DB" w14:textId="77777777" w:rsidR="00462332" w:rsidRDefault="00462332" w:rsidP="00E24CBD">
            <w:pPr>
              <w:pStyle w:val="TableText"/>
              <w:rPr>
                <w:snapToGrid w:val="0"/>
              </w:rPr>
            </w:pPr>
            <w:r>
              <w:rPr>
                <w:snapToGrid w:val="0"/>
              </w:rPr>
              <w:t>Transfusion Requirements Report</w:t>
            </w:r>
          </w:p>
        </w:tc>
        <w:tc>
          <w:tcPr>
            <w:tcW w:w="3582" w:type="dxa"/>
            <w:tcBorders>
              <w:bottom w:val="single" w:sz="4" w:space="0" w:color="auto"/>
            </w:tcBorders>
          </w:tcPr>
          <w:p w14:paraId="38A044AC" w14:textId="77777777" w:rsidR="00462332" w:rsidRDefault="00462332" w:rsidP="00E24CBD">
            <w:pPr>
              <w:pStyle w:val="TableText"/>
              <w:rPr>
                <w:snapToGrid w:val="0"/>
              </w:rPr>
            </w:pPr>
            <w:r>
              <w:t>A compendium of p</w:t>
            </w:r>
            <w:r w:rsidR="000A04E1">
              <w:t>atient blood types, SI</w:t>
            </w:r>
            <w:r>
              <w:t>s</w:t>
            </w:r>
            <w:r w:rsidR="000A04E1">
              <w:t>, and TRs</w:t>
            </w:r>
            <w:r>
              <w:t xml:space="preserve"> are printed for use during downtime.</w:t>
            </w:r>
          </w:p>
        </w:tc>
        <w:tc>
          <w:tcPr>
            <w:tcW w:w="4840" w:type="dxa"/>
            <w:tcBorders>
              <w:bottom w:val="single" w:sz="4" w:space="0" w:color="auto"/>
            </w:tcBorders>
          </w:tcPr>
          <w:p w14:paraId="77774F86" w14:textId="77777777" w:rsidR="008B7391" w:rsidRDefault="008B7391" w:rsidP="008B7391">
            <w:pPr>
              <w:pStyle w:val="TableTextBullet"/>
              <w:rPr>
                <w:snapToGrid w:val="0"/>
              </w:rPr>
            </w:pPr>
            <w:r>
              <w:rPr>
                <w:snapToGrid w:val="0"/>
              </w:rPr>
              <w:t>Days 1–6: print report daily.</w:t>
            </w:r>
          </w:p>
          <w:p w14:paraId="3732CE1A" w14:textId="77777777" w:rsidR="008B7391" w:rsidRDefault="008B7391" w:rsidP="008B7391">
            <w:pPr>
              <w:pStyle w:val="TableTextBullet"/>
              <w:rPr>
                <w:snapToGrid w:val="0"/>
              </w:rPr>
            </w:pPr>
            <w:r>
              <w:rPr>
                <w:snapToGrid w:val="0"/>
              </w:rPr>
              <w:t>Day 7: print report for previous week; discard daily reports.</w:t>
            </w:r>
          </w:p>
          <w:p w14:paraId="33199031" w14:textId="77777777" w:rsidR="008B7391" w:rsidRDefault="008B7391" w:rsidP="008B7391">
            <w:pPr>
              <w:pStyle w:val="TableTextBullet"/>
              <w:rPr>
                <w:snapToGrid w:val="0"/>
              </w:rPr>
            </w:pPr>
            <w:r>
              <w:rPr>
                <w:snapToGrid w:val="0"/>
              </w:rPr>
              <w:t>Start of month: print report for previous month; discard weekly reports.</w:t>
            </w:r>
          </w:p>
          <w:p w14:paraId="76BD6BFC" w14:textId="77777777" w:rsidR="008B7391" w:rsidRDefault="008B7391" w:rsidP="008B7391">
            <w:pPr>
              <w:pStyle w:val="TableTextBullet"/>
              <w:rPr>
                <w:snapToGrid w:val="0"/>
              </w:rPr>
            </w:pPr>
            <w:r>
              <w:rPr>
                <w:snapToGrid w:val="0"/>
              </w:rPr>
              <w:t>Start of year: print report for previous year; discard monthly reports.</w:t>
            </w:r>
          </w:p>
          <w:p w14:paraId="5BE487A0" w14:textId="77777777" w:rsidR="008B7391" w:rsidRDefault="008B7391" w:rsidP="00E24CBD">
            <w:pPr>
              <w:pStyle w:val="TableText"/>
              <w:rPr>
                <w:snapToGrid w:val="0"/>
              </w:rPr>
            </w:pPr>
          </w:p>
          <w:p w14:paraId="6933E04F" w14:textId="77777777" w:rsidR="00462332" w:rsidRDefault="00D64989" w:rsidP="00E24CBD">
            <w:pPr>
              <w:pStyle w:val="TableText"/>
              <w:rPr>
                <w:snapToGrid w:val="0"/>
              </w:rPr>
            </w:pPr>
            <w:r>
              <w:rPr>
                <w:snapToGrid w:val="0"/>
              </w:rPr>
              <w:t>Generate c</w:t>
            </w:r>
            <w:r w:rsidR="00462332">
              <w:rPr>
                <w:snapToGrid w:val="0"/>
              </w:rPr>
              <w:t xml:space="preserve">umulative reports </w:t>
            </w:r>
            <w:r>
              <w:rPr>
                <w:snapToGrid w:val="0"/>
              </w:rPr>
              <w:t xml:space="preserve">starting with the date of first data entry through the current date to include </w:t>
            </w:r>
            <w:r w:rsidR="00462332">
              <w:rPr>
                <w:snapToGrid w:val="0"/>
              </w:rPr>
              <w:t>all patient records.</w:t>
            </w:r>
            <w:r w:rsidR="00D10CA6">
              <w:rPr>
                <w:snapToGrid w:val="0"/>
              </w:rPr>
              <w:t xml:space="preserve"> Store reports so that they are easily accessible.</w:t>
            </w:r>
          </w:p>
        </w:tc>
      </w:tr>
      <w:tr w:rsidR="00F3040D" w14:paraId="68D7E104" w14:textId="77777777">
        <w:trPr>
          <w:cantSplit/>
        </w:trPr>
        <w:tc>
          <w:tcPr>
            <w:tcW w:w="1728" w:type="dxa"/>
            <w:vMerge w:val="restart"/>
          </w:tcPr>
          <w:p w14:paraId="296769D7" w14:textId="77777777" w:rsidR="00F3040D" w:rsidRDefault="00F3040D" w:rsidP="00FE73F7">
            <w:pPr>
              <w:pStyle w:val="TableText"/>
              <w:rPr>
                <w:snapToGrid w:val="0"/>
              </w:rPr>
            </w:pPr>
            <w:r>
              <w:rPr>
                <w:snapToGrid w:val="0"/>
              </w:rPr>
              <w:t>Weekly</w:t>
            </w:r>
          </w:p>
        </w:tc>
        <w:tc>
          <w:tcPr>
            <w:tcW w:w="2810" w:type="dxa"/>
          </w:tcPr>
          <w:p w14:paraId="7F543212" w14:textId="77777777" w:rsidR="00F3040D" w:rsidRDefault="00F3040D" w:rsidP="00E24CBD">
            <w:pPr>
              <w:pStyle w:val="TableText"/>
              <w:rPr>
                <w:snapToGrid w:val="0"/>
              </w:rPr>
            </w:pPr>
            <w:r>
              <w:rPr>
                <w:snapToGrid w:val="0"/>
              </w:rPr>
              <w:t>Prolonged Transfusion Time Report</w:t>
            </w:r>
          </w:p>
        </w:tc>
        <w:tc>
          <w:tcPr>
            <w:tcW w:w="3582" w:type="dxa"/>
          </w:tcPr>
          <w:p w14:paraId="5C11DBFE" w14:textId="77777777" w:rsidR="00F3040D" w:rsidRDefault="00F3040D" w:rsidP="00E24CBD">
            <w:pPr>
              <w:pStyle w:val="TableText"/>
              <w:rPr>
                <w:snapToGrid w:val="0"/>
              </w:rPr>
            </w:pPr>
            <w:r>
              <w:t>Details units that were not infused within the required time frame.</w:t>
            </w:r>
          </w:p>
        </w:tc>
        <w:tc>
          <w:tcPr>
            <w:tcW w:w="4840" w:type="dxa"/>
            <w:vMerge w:val="restart"/>
          </w:tcPr>
          <w:p w14:paraId="34317811" w14:textId="77777777" w:rsidR="00F3040D" w:rsidRDefault="00F3040D" w:rsidP="00E24CBD">
            <w:pPr>
              <w:pStyle w:val="TableText"/>
              <w:rPr>
                <w:snapToGrid w:val="0"/>
              </w:rPr>
            </w:pPr>
            <w:r>
              <w:rPr>
                <w:snapToGrid w:val="0"/>
              </w:rPr>
              <w:t>Generate these reports for blood utilization committee and other quality management activities.</w:t>
            </w:r>
          </w:p>
        </w:tc>
      </w:tr>
      <w:tr w:rsidR="00F3040D" w14:paraId="43FE00EB" w14:textId="77777777">
        <w:trPr>
          <w:cantSplit/>
        </w:trPr>
        <w:tc>
          <w:tcPr>
            <w:tcW w:w="1728" w:type="dxa"/>
            <w:vMerge/>
          </w:tcPr>
          <w:p w14:paraId="3CE0432D" w14:textId="77777777" w:rsidR="00F3040D" w:rsidRDefault="00F3040D" w:rsidP="00FE73F7">
            <w:pPr>
              <w:pStyle w:val="TableText"/>
              <w:rPr>
                <w:snapToGrid w:val="0"/>
              </w:rPr>
            </w:pPr>
          </w:p>
        </w:tc>
        <w:tc>
          <w:tcPr>
            <w:tcW w:w="2810" w:type="dxa"/>
          </w:tcPr>
          <w:p w14:paraId="027DDE55" w14:textId="77777777" w:rsidR="00F3040D" w:rsidRDefault="00F3040D" w:rsidP="00FE73F7">
            <w:pPr>
              <w:pStyle w:val="TableText"/>
              <w:rPr>
                <w:snapToGrid w:val="0"/>
              </w:rPr>
            </w:pPr>
            <w:r>
              <w:rPr>
                <w:snapToGrid w:val="0"/>
              </w:rPr>
              <w:t>Transfusion Effectiveness Report</w:t>
            </w:r>
          </w:p>
        </w:tc>
        <w:tc>
          <w:tcPr>
            <w:tcW w:w="3582" w:type="dxa"/>
          </w:tcPr>
          <w:p w14:paraId="31C71335" w14:textId="77777777" w:rsidR="00F3040D" w:rsidRDefault="00F3040D" w:rsidP="00FE73F7">
            <w:pPr>
              <w:pStyle w:val="TableText"/>
              <w:rPr>
                <w:snapToGrid w:val="0"/>
              </w:rPr>
            </w:pPr>
            <w:r>
              <w:t>Compares transfusions with user-configured lab data indicators to monitor appropriate blood usage.</w:t>
            </w:r>
          </w:p>
        </w:tc>
        <w:tc>
          <w:tcPr>
            <w:tcW w:w="4840" w:type="dxa"/>
            <w:vMerge/>
          </w:tcPr>
          <w:p w14:paraId="3D38B82A" w14:textId="77777777" w:rsidR="00F3040D" w:rsidRDefault="00F3040D" w:rsidP="00FE73F7">
            <w:pPr>
              <w:pStyle w:val="TableText"/>
              <w:rPr>
                <w:snapToGrid w:val="0"/>
              </w:rPr>
            </w:pPr>
          </w:p>
        </w:tc>
      </w:tr>
      <w:tr w:rsidR="00F3040D" w14:paraId="252D11B1" w14:textId="77777777">
        <w:trPr>
          <w:cantSplit/>
        </w:trPr>
        <w:tc>
          <w:tcPr>
            <w:tcW w:w="1728" w:type="dxa"/>
            <w:vMerge w:val="restart"/>
          </w:tcPr>
          <w:p w14:paraId="0276132A" w14:textId="77777777" w:rsidR="00F3040D" w:rsidRDefault="00F3040D" w:rsidP="00FE73F7">
            <w:pPr>
              <w:pStyle w:val="TableText"/>
              <w:rPr>
                <w:snapToGrid w:val="0"/>
              </w:rPr>
            </w:pPr>
            <w:r>
              <w:rPr>
                <w:snapToGrid w:val="0"/>
              </w:rPr>
              <w:t>Weekly or Monthly</w:t>
            </w:r>
          </w:p>
        </w:tc>
        <w:tc>
          <w:tcPr>
            <w:tcW w:w="2810" w:type="dxa"/>
          </w:tcPr>
          <w:p w14:paraId="06C9D2EE" w14:textId="77777777" w:rsidR="00F3040D" w:rsidRDefault="00F3040D" w:rsidP="00FE73F7">
            <w:pPr>
              <w:pStyle w:val="TableText"/>
              <w:rPr>
                <w:snapToGrid w:val="0"/>
              </w:rPr>
            </w:pPr>
            <w:r>
              <w:rPr>
                <w:snapToGrid w:val="0"/>
              </w:rPr>
              <w:t>C:T Ratio Report</w:t>
            </w:r>
          </w:p>
        </w:tc>
        <w:tc>
          <w:tcPr>
            <w:tcW w:w="3582" w:type="dxa"/>
          </w:tcPr>
          <w:p w14:paraId="07ADAF70" w14:textId="77777777" w:rsidR="00F3040D" w:rsidRDefault="00F3040D" w:rsidP="00FE73F7">
            <w:pPr>
              <w:pStyle w:val="TableText"/>
              <w:rPr>
                <w:snapToGrid w:val="0"/>
              </w:rPr>
            </w:pPr>
            <w:r>
              <w:t>Details crossmatch-to-transfusion ratio by physician or treating specialty.</w:t>
            </w:r>
          </w:p>
        </w:tc>
        <w:tc>
          <w:tcPr>
            <w:tcW w:w="4840" w:type="dxa"/>
            <w:vMerge/>
          </w:tcPr>
          <w:p w14:paraId="2D2FFDEC" w14:textId="77777777" w:rsidR="00F3040D" w:rsidRDefault="00F3040D" w:rsidP="00FE73F7">
            <w:pPr>
              <w:pStyle w:val="TableText"/>
              <w:rPr>
                <w:snapToGrid w:val="0"/>
              </w:rPr>
            </w:pPr>
          </w:p>
        </w:tc>
      </w:tr>
      <w:tr w:rsidR="00F3040D" w14:paraId="777582CC" w14:textId="77777777">
        <w:trPr>
          <w:cantSplit/>
        </w:trPr>
        <w:tc>
          <w:tcPr>
            <w:tcW w:w="1728" w:type="dxa"/>
            <w:vMerge/>
          </w:tcPr>
          <w:p w14:paraId="4D0C86C5" w14:textId="77777777" w:rsidR="00F3040D" w:rsidRDefault="00F3040D" w:rsidP="00E24CBD">
            <w:pPr>
              <w:pStyle w:val="TableText"/>
              <w:rPr>
                <w:snapToGrid w:val="0"/>
              </w:rPr>
            </w:pPr>
          </w:p>
        </w:tc>
        <w:tc>
          <w:tcPr>
            <w:tcW w:w="2810" w:type="dxa"/>
          </w:tcPr>
          <w:p w14:paraId="749B1ABD" w14:textId="77777777" w:rsidR="00F3040D" w:rsidRDefault="00F3040D" w:rsidP="00E24CBD">
            <w:pPr>
              <w:pStyle w:val="TableText"/>
              <w:rPr>
                <w:snapToGrid w:val="0"/>
              </w:rPr>
            </w:pPr>
            <w:r>
              <w:rPr>
                <w:snapToGrid w:val="0"/>
              </w:rPr>
              <w:t>Transfusion Complications Report</w:t>
            </w:r>
          </w:p>
        </w:tc>
        <w:tc>
          <w:tcPr>
            <w:tcW w:w="3582" w:type="dxa"/>
          </w:tcPr>
          <w:p w14:paraId="7D5DC96E" w14:textId="6417106A" w:rsidR="00F3040D" w:rsidRDefault="00F3040D" w:rsidP="00E24CBD">
            <w:pPr>
              <w:pStyle w:val="TableText"/>
              <w:rPr>
                <w:snapToGrid w:val="0"/>
              </w:rPr>
            </w:pPr>
            <w:r>
              <w:t xml:space="preserve">Compares transfusions with user configured lab data indicators to monitor </w:t>
            </w:r>
            <w:r w:rsidR="00AE3B37">
              <w:t>adverse effects</w:t>
            </w:r>
            <w:r>
              <w:t xml:space="preserve"> from transfusion.</w:t>
            </w:r>
          </w:p>
        </w:tc>
        <w:tc>
          <w:tcPr>
            <w:tcW w:w="4840" w:type="dxa"/>
            <w:vMerge/>
          </w:tcPr>
          <w:p w14:paraId="12057C12" w14:textId="77777777" w:rsidR="00F3040D" w:rsidRDefault="00F3040D" w:rsidP="00E24CBD">
            <w:pPr>
              <w:pStyle w:val="TableText"/>
              <w:rPr>
                <w:snapToGrid w:val="0"/>
              </w:rPr>
            </w:pPr>
          </w:p>
        </w:tc>
      </w:tr>
      <w:tr w:rsidR="00F3040D" w14:paraId="05E5E7FF" w14:textId="77777777">
        <w:trPr>
          <w:cantSplit/>
        </w:trPr>
        <w:tc>
          <w:tcPr>
            <w:tcW w:w="1728" w:type="dxa"/>
            <w:vMerge/>
            <w:tcBorders>
              <w:bottom w:val="single" w:sz="4" w:space="0" w:color="auto"/>
            </w:tcBorders>
          </w:tcPr>
          <w:p w14:paraId="7227B827" w14:textId="77777777" w:rsidR="00F3040D" w:rsidRDefault="00F3040D" w:rsidP="00E24CBD">
            <w:pPr>
              <w:pStyle w:val="TableText"/>
              <w:rPr>
                <w:snapToGrid w:val="0"/>
              </w:rPr>
            </w:pPr>
          </w:p>
        </w:tc>
        <w:tc>
          <w:tcPr>
            <w:tcW w:w="2810" w:type="dxa"/>
            <w:tcBorders>
              <w:bottom w:val="single" w:sz="4" w:space="0" w:color="auto"/>
            </w:tcBorders>
          </w:tcPr>
          <w:p w14:paraId="78D0ADAB" w14:textId="77777777" w:rsidR="00F3040D" w:rsidRDefault="00F3040D" w:rsidP="00E24CBD">
            <w:pPr>
              <w:pStyle w:val="TableText"/>
              <w:rPr>
                <w:snapToGrid w:val="0"/>
              </w:rPr>
            </w:pPr>
            <w:r>
              <w:rPr>
                <w:snapToGrid w:val="0"/>
              </w:rPr>
              <w:t>Inappropriate Transfusion Request Report</w:t>
            </w:r>
          </w:p>
        </w:tc>
        <w:tc>
          <w:tcPr>
            <w:tcW w:w="3582" w:type="dxa"/>
            <w:tcBorders>
              <w:bottom w:val="single" w:sz="4" w:space="0" w:color="auto"/>
            </w:tcBorders>
          </w:tcPr>
          <w:p w14:paraId="78A382E9" w14:textId="77777777" w:rsidR="00F3040D" w:rsidRDefault="00F3040D" w:rsidP="00E24CBD">
            <w:pPr>
              <w:pStyle w:val="TableText"/>
            </w:pPr>
            <w:r>
              <w:t>Details requests for blood products that did not meet the facility’s transfusion criteria.</w:t>
            </w:r>
          </w:p>
        </w:tc>
        <w:tc>
          <w:tcPr>
            <w:tcW w:w="4840" w:type="dxa"/>
            <w:vMerge/>
            <w:tcBorders>
              <w:bottom w:val="single" w:sz="4" w:space="0" w:color="auto"/>
            </w:tcBorders>
          </w:tcPr>
          <w:p w14:paraId="33E22659" w14:textId="77777777" w:rsidR="00F3040D" w:rsidRDefault="00F3040D" w:rsidP="00E24CBD">
            <w:pPr>
              <w:pStyle w:val="TableText"/>
              <w:rPr>
                <w:snapToGrid w:val="0"/>
              </w:rPr>
            </w:pPr>
          </w:p>
        </w:tc>
      </w:tr>
      <w:tr w:rsidR="00FF05B8" w14:paraId="719B376E" w14:textId="77777777">
        <w:trPr>
          <w:cantSplit/>
        </w:trPr>
        <w:tc>
          <w:tcPr>
            <w:tcW w:w="1728" w:type="dxa"/>
            <w:vMerge w:val="restart"/>
          </w:tcPr>
          <w:p w14:paraId="6001D5EF" w14:textId="77777777" w:rsidR="00FF05B8" w:rsidRDefault="00FF05B8" w:rsidP="00E24CBD">
            <w:pPr>
              <w:pStyle w:val="TableText"/>
              <w:rPr>
                <w:snapToGrid w:val="0"/>
              </w:rPr>
            </w:pPr>
            <w:r>
              <w:rPr>
                <w:snapToGrid w:val="0"/>
              </w:rPr>
              <w:lastRenderedPageBreak/>
              <w:t>Monthly</w:t>
            </w:r>
          </w:p>
        </w:tc>
        <w:tc>
          <w:tcPr>
            <w:tcW w:w="2810" w:type="dxa"/>
          </w:tcPr>
          <w:p w14:paraId="417929C9" w14:textId="77777777" w:rsidR="00FF05B8" w:rsidRDefault="00FF05B8" w:rsidP="00E24CBD">
            <w:pPr>
              <w:pStyle w:val="TableText"/>
              <w:rPr>
                <w:snapToGrid w:val="0"/>
              </w:rPr>
            </w:pPr>
            <w:r>
              <w:rPr>
                <w:snapToGrid w:val="0"/>
              </w:rPr>
              <w:t>Administrative Data Report</w:t>
            </w:r>
          </w:p>
        </w:tc>
        <w:tc>
          <w:tcPr>
            <w:tcW w:w="3582" w:type="dxa"/>
          </w:tcPr>
          <w:p w14:paraId="6044D670" w14:textId="77777777" w:rsidR="00FF05B8" w:rsidRDefault="00FF05B8" w:rsidP="00E24CBD">
            <w:pPr>
              <w:pStyle w:val="TableText"/>
            </w:pPr>
            <w:r>
              <w:t xml:space="preserve">Management report details products received, transfused, and returned. </w:t>
            </w:r>
          </w:p>
        </w:tc>
        <w:tc>
          <w:tcPr>
            <w:tcW w:w="4840" w:type="dxa"/>
            <w:vMerge w:val="restart"/>
          </w:tcPr>
          <w:p w14:paraId="4BE37F66" w14:textId="77777777" w:rsidR="00FF05B8" w:rsidRDefault="00FF05B8" w:rsidP="00E24CBD">
            <w:pPr>
              <w:pStyle w:val="TableText"/>
              <w:rPr>
                <w:snapToGrid w:val="0"/>
              </w:rPr>
            </w:pPr>
            <w:r>
              <w:rPr>
                <w:snapToGrid w:val="0"/>
              </w:rPr>
              <w:t>Generate these reports for administrative purposes.</w:t>
            </w:r>
          </w:p>
        </w:tc>
      </w:tr>
      <w:tr w:rsidR="00FF05B8" w14:paraId="2649B545" w14:textId="77777777">
        <w:trPr>
          <w:cantSplit/>
        </w:trPr>
        <w:tc>
          <w:tcPr>
            <w:tcW w:w="1728" w:type="dxa"/>
            <w:vMerge/>
          </w:tcPr>
          <w:p w14:paraId="6AAA6CD2" w14:textId="77777777" w:rsidR="00FF05B8" w:rsidRDefault="00FF05B8" w:rsidP="00E24CBD">
            <w:pPr>
              <w:pStyle w:val="TableText"/>
              <w:rPr>
                <w:snapToGrid w:val="0"/>
              </w:rPr>
            </w:pPr>
          </w:p>
        </w:tc>
        <w:tc>
          <w:tcPr>
            <w:tcW w:w="2810" w:type="dxa"/>
          </w:tcPr>
          <w:p w14:paraId="271DA9DA" w14:textId="77777777" w:rsidR="00FF05B8" w:rsidRDefault="00FF05B8" w:rsidP="00E24CBD">
            <w:pPr>
              <w:pStyle w:val="TableText"/>
              <w:rPr>
                <w:snapToGrid w:val="0"/>
              </w:rPr>
            </w:pPr>
            <w:r>
              <w:rPr>
                <w:snapToGrid w:val="0"/>
              </w:rPr>
              <w:t>Cost Accounting Report</w:t>
            </w:r>
          </w:p>
        </w:tc>
        <w:tc>
          <w:tcPr>
            <w:tcW w:w="3582" w:type="dxa"/>
          </w:tcPr>
          <w:p w14:paraId="3809E9CF" w14:textId="77777777" w:rsidR="00FF05B8" w:rsidRDefault="00FF05B8" w:rsidP="00E24CBD">
            <w:pPr>
              <w:pStyle w:val="TableText"/>
            </w:pPr>
            <w:r>
              <w:t>Management report of expenditure by invoice number.</w:t>
            </w:r>
          </w:p>
        </w:tc>
        <w:tc>
          <w:tcPr>
            <w:tcW w:w="4840" w:type="dxa"/>
            <w:vMerge/>
          </w:tcPr>
          <w:p w14:paraId="6F5B8D54" w14:textId="77777777" w:rsidR="00FF05B8" w:rsidRDefault="00FF05B8" w:rsidP="00E24CBD">
            <w:pPr>
              <w:pStyle w:val="TableText"/>
              <w:rPr>
                <w:snapToGrid w:val="0"/>
              </w:rPr>
            </w:pPr>
          </w:p>
        </w:tc>
      </w:tr>
      <w:tr w:rsidR="00FF05B8" w14:paraId="0018A2E6" w14:textId="77777777">
        <w:trPr>
          <w:cantSplit/>
        </w:trPr>
        <w:tc>
          <w:tcPr>
            <w:tcW w:w="1728" w:type="dxa"/>
            <w:vMerge/>
          </w:tcPr>
          <w:p w14:paraId="74BBE551" w14:textId="77777777" w:rsidR="00FF05B8" w:rsidRDefault="00FF05B8" w:rsidP="00E24CBD">
            <w:pPr>
              <w:pStyle w:val="TableText"/>
              <w:rPr>
                <w:snapToGrid w:val="0"/>
              </w:rPr>
            </w:pPr>
          </w:p>
        </w:tc>
        <w:tc>
          <w:tcPr>
            <w:tcW w:w="2810" w:type="dxa"/>
          </w:tcPr>
          <w:p w14:paraId="675938AE" w14:textId="77777777" w:rsidR="00FF05B8" w:rsidRDefault="00FF05B8" w:rsidP="00E24CBD">
            <w:pPr>
              <w:pStyle w:val="TableText"/>
              <w:rPr>
                <w:snapToGrid w:val="0"/>
              </w:rPr>
            </w:pPr>
            <w:r>
              <w:rPr>
                <w:snapToGrid w:val="0"/>
              </w:rPr>
              <w:t>Division Transfusion Report</w:t>
            </w:r>
          </w:p>
        </w:tc>
        <w:tc>
          <w:tcPr>
            <w:tcW w:w="3582" w:type="dxa"/>
          </w:tcPr>
          <w:p w14:paraId="64E0468C" w14:textId="77777777" w:rsidR="00FF05B8" w:rsidRDefault="00FF05B8" w:rsidP="00E24CBD">
            <w:pPr>
              <w:pStyle w:val="TableText"/>
            </w:pPr>
            <w:r>
              <w:t>Details of units transfused during a selected period.</w:t>
            </w:r>
          </w:p>
        </w:tc>
        <w:tc>
          <w:tcPr>
            <w:tcW w:w="4840" w:type="dxa"/>
            <w:vMerge/>
          </w:tcPr>
          <w:p w14:paraId="0AFF52D0" w14:textId="77777777" w:rsidR="00FF05B8" w:rsidRDefault="00FF05B8" w:rsidP="00E24CBD">
            <w:pPr>
              <w:pStyle w:val="TableText"/>
              <w:rPr>
                <w:snapToGrid w:val="0"/>
              </w:rPr>
            </w:pPr>
          </w:p>
        </w:tc>
      </w:tr>
      <w:tr w:rsidR="00FF05B8" w14:paraId="346DA509" w14:textId="77777777">
        <w:trPr>
          <w:cantSplit/>
        </w:trPr>
        <w:tc>
          <w:tcPr>
            <w:tcW w:w="1728" w:type="dxa"/>
            <w:vMerge/>
          </w:tcPr>
          <w:p w14:paraId="4C2E00E9" w14:textId="77777777" w:rsidR="00FF05B8" w:rsidRDefault="00FF05B8" w:rsidP="00E24CBD">
            <w:pPr>
              <w:pStyle w:val="TableText"/>
              <w:rPr>
                <w:snapToGrid w:val="0"/>
              </w:rPr>
            </w:pPr>
          </w:p>
        </w:tc>
        <w:tc>
          <w:tcPr>
            <w:tcW w:w="2810" w:type="dxa"/>
          </w:tcPr>
          <w:p w14:paraId="1BE5BCB2" w14:textId="77777777" w:rsidR="00FF05B8" w:rsidRDefault="00FF05B8" w:rsidP="00E24CBD">
            <w:pPr>
              <w:pStyle w:val="TableText"/>
              <w:rPr>
                <w:snapToGrid w:val="0"/>
              </w:rPr>
            </w:pPr>
            <w:r>
              <w:rPr>
                <w:snapToGrid w:val="0"/>
              </w:rPr>
              <w:t>Division Workload Report</w:t>
            </w:r>
          </w:p>
        </w:tc>
        <w:tc>
          <w:tcPr>
            <w:tcW w:w="3582" w:type="dxa"/>
          </w:tcPr>
          <w:p w14:paraId="5784B5CE" w14:textId="77777777" w:rsidR="00FF05B8" w:rsidRDefault="00FF05B8" w:rsidP="00E24CBD">
            <w:pPr>
              <w:pStyle w:val="TableText"/>
            </w:pPr>
            <w:r>
              <w:t>Totals workload types for one or all divisions.</w:t>
            </w:r>
          </w:p>
        </w:tc>
        <w:tc>
          <w:tcPr>
            <w:tcW w:w="4840" w:type="dxa"/>
            <w:vMerge/>
          </w:tcPr>
          <w:p w14:paraId="193F8212" w14:textId="77777777" w:rsidR="00FF05B8" w:rsidRDefault="00FF05B8" w:rsidP="00E24CBD">
            <w:pPr>
              <w:pStyle w:val="TableText"/>
              <w:rPr>
                <w:snapToGrid w:val="0"/>
              </w:rPr>
            </w:pPr>
          </w:p>
        </w:tc>
      </w:tr>
      <w:tr w:rsidR="00462332" w14:paraId="21D78B97" w14:textId="77777777">
        <w:trPr>
          <w:cantSplit/>
        </w:trPr>
        <w:tc>
          <w:tcPr>
            <w:tcW w:w="1728" w:type="dxa"/>
            <w:vMerge/>
            <w:tcBorders>
              <w:bottom w:val="single" w:sz="4" w:space="0" w:color="auto"/>
            </w:tcBorders>
          </w:tcPr>
          <w:p w14:paraId="6D612275" w14:textId="77777777" w:rsidR="00462332" w:rsidRDefault="00462332" w:rsidP="00E24CBD">
            <w:pPr>
              <w:pStyle w:val="TableText"/>
              <w:rPr>
                <w:snapToGrid w:val="0"/>
              </w:rPr>
            </w:pPr>
          </w:p>
        </w:tc>
        <w:tc>
          <w:tcPr>
            <w:tcW w:w="2810" w:type="dxa"/>
            <w:tcBorders>
              <w:bottom w:val="single" w:sz="4" w:space="0" w:color="auto"/>
            </w:tcBorders>
          </w:tcPr>
          <w:p w14:paraId="4273DAB0" w14:textId="77777777" w:rsidR="00462332" w:rsidRDefault="00462332" w:rsidP="00E24CBD">
            <w:pPr>
              <w:pStyle w:val="TableText"/>
              <w:rPr>
                <w:snapToGrid w:val="0"/>
              </w:rPr>
            </w:pPr>
            <w:r>
              <w:rPr>
                <w:snapToGrid w:val="0"/>
              </w:rPr>
              <w:t>Transfusion Reaction Count Report</w:t>
            </w:r>
          </w:p>
        </w:tc>
        <w:tc>
          <w:tcPr>
            <w:tcW w:w="3582" w:type="dxa"/>
            <w:tcBorders>
              <w:bottom w:val="single" w:sz="4" w:space="0" w:color="auto"/>
            </w:tcBorders>
          </w:tcPr>
          <w:p w14:paraId="71997943" w14:textId="77777777" w:rsidR="00462332" w:rsidRDefault="004A69AE" w:rsidP="00E24CBD">
            <w:pPr>
              <w:pStyle w:val="TableText"/>
            </w:pPr>
            <w:r>
              <w:t>Details transfusion reactions that are ordered, pending, completed, or finalized for one or all divisions.</w:t>
            </w:r>
          </w:p>
        </w:tc>
        <w:tc>
          <w:tcPr>
            <w:tcW w:w="4840" w:type="dxa"/>
            <w:tcBorders>
              <w:bottom w:val="single" w:sz="4" w:space="0" w:color="auto"/>
            </w:tcBorders>
          </w:tcPr>
          <w:p w14:paraId="27CDEBB0" w14:textId="77777777" w:rsidR="00462332" w:rsidRDefault="00A7582C" w:rsidP="00E24CBD">
            <w:pPr>
              <w:pStyle w:val="TableText"/>
              <w:rPr>
                <w:snapToGrid w:val="0"/>
              </w:rPr>
            </w:pPr>
            <w:r>
              <w:rPr>
                <w:snapToGrid w:val="0"/>
              </w:rPr>
              <w:t>Generate this report for blood utilization committee and other quality management activities.</w:t>
            </w:r>
          </w:p>
        </w:tc>
      </w:tr>
      <w:tr w:rsidR="00462332" w14:paraId="1E1A89B4" w14:textId="77777777">
        <w:trPr>
          <w:cantSplit/>
        </w:trPr>
        <w:tc>
          <w:tcPr>
            <w:tcW w:w="1728" w:type="dxa"/>
          </w:tcPr>
          <w:p w14:paraId="6512F2B9" w14:textId="77777777" w:rsidR="00462332" w:rsidRDefault="00462332" w:rsidP="00E24CBD">
            <w:pPr>
              <w:pStyle w:val="TableText"/>
              <w:rPr>
                <w:snapToGrid w:val="0"/>
              </w:rPr>
            </w:pPr>
            <w:r>
              <w:rPr>
                <w:snapToGrid w:val="0"/>
              </w:rPr>
              <w:t>As needed</w:t>
            </w:r>
          </w:p>
        </w:tc>
        <w:tc>
          <w:tcPr>
            <w:tcW w:w="2810" w:type="dxa"/>
          </w:tcPr>
          <w:p w14:paraId="22F69F5E" w14:textId="77777777" w:rsidR="00462332" w:rsidRDefault="00462332" w:rsidP="00E24CBD">
            <w:pPr>
              <w:pStyle w:val="TableText"/>
              <w:rPr>
                <w:snapToGrid w:val="0"/>
              </w:rPr>
            </w:pPr>
            <w:r>
              <w:rPr>
                <w:snapToGrid w:val="0"/>
              </w:rPr>
              <w:t>Finalize/Print TRW</w:t>
            </w:r>
          </w:p>
        </w:tc>
        <w:tc>
          <w:tcPr>
            <w:tcW w:w="3582" w:type="dxa"/>
          </w:tcPr>
          <w:p w14:paraId="6A4C8BCC" w14:textId="77777777" w:rsidR="00462332" w:rsidRDefault="00462332" w:rsidP="00E24CBD">
            <w:pPr>
              <w:pStyle w:val="TableText"/>
            </w:pPr>
            <w:r>
              <w:t>Pati</w:t>
            </w:r>
            <w:r w:rsidR="001D65B4">
              <w:t>ent Transfusion Reaction Report</w:t>
            </w:r>
            <w:r w:rsidR="00695BEA">
              <w:t xml:space="preserve"> details a transfusion reaction episode.</w:t>
            </w:r>
          </w:p>
        </w:tc>
        <w:tc>
          <w:tcPr>
            <w:tcW w:w="4840" w:type="dxa"/>
          </w:tcPr>
          <w:p w14:paraId="159C0939" w14:textId="77777777" w:rsidR="00462332" w:rsidRDefault="00F3040D" w:rsidP="00E24CBD">
            <w:pPr>
              <w:pStyle w:val="TableText"/>
              <w:rPr>
                <w:snapToGrid w:val="0"/>
              </w:rPr>
            </w:pPr>
            <w:r>
              <w:rPr>
                <w:snapToGrid w:val="0"/>
              </w:rPr>
              <w:t>Print, review, sign, date, and save hard copy.</w:t>
            </w:r>
          </w:p>
        </w:tc>
      </w:tr>
    </w:tbl>
    <w:p w14:paraId="7B21887E" w14:textId="6A742D2D" w:rsidR="002A21AE" w:rsidRDefault="002A21AE">
      <w:pPr>
        <w:pStyle w:val="Heading2"/>
      </w:pPr>
      <w:r>
        <w:br w:type="page"/>
      </w:r>
      <w:bookmarkStart w:id="876" w:name="_Toc203766023"/>
      <w:r>
        <w:lastRenderedPageBreak/>
        <w:t xml:space="preserve">Appendix </w:t>
      </w:r>
      <w:r w:rsidR="001B0B0C">
        <w:rPr>
          <w:noProof/>
        </w:rPr>
        <w:t>K</w:t>
      </w:r>
      <w:r>
        <w:t>: Barcode Scanner Configuration</w:t>
      </w:r>
      <w:r w:rsidR="003C3D1E">
        <w:t xml:space="preserve"> and Troubleshooting</w:t>
      </w:r>
      <w:bookmarkEnd w:id="876"/>
      <w:r>
        <w:fldChar w:fldCharType="begin"/>
      </w:r>
      <w:r>
        <w:instrText xml:space="preserve"> XE </w:instrText>
      </w:r>
      <w:r w:rsidR="00FA7E65">
        <w:instrText>“</w:instrText>
      </w:r>
      <w:r>
        <w:instrText>Barcode Scanner Configuration</w:instrText>
      </w:r>
      <w:r w:rsidR="003C3D1E">
        <w:instrText xml:space="preserve"> and Troubleshooting</w:instrText>
      </w:r>
      <w:r w:rsidR="00FA7E65">
        <w:instrText>”</w:instrText>
      </w:r>
      <w:r>
        <w:instrText xml:space="preserve"> </w:instrText>
      </w:r>
      <w:r>
        <w:fldChar w:fldCharType="end"/>
      </w:r>
      <w:r>
        <w:fldChar w:fldCharType="begin"/>
      </w:r>
      <w:r>
        <w:instrText xml:space="preserve"> XE </w:instrText>
      </w:r>
      <w:r w:rsidR="00FA7E65">
        <w:instrText>“</w:instrText>
      </w:r>
      <w:r>
        <w:instrText>Figures:Barcode Scanner Configuration</w:instrText>
      </w:r>
      <w:r w:rsidR="00FA7E65">
        <w:instrText>”</w:instrText>
      </w:r>
      <w:r>
        <w:instrText xml:space="preserve"> </w:instrText>
      </w:r>
      <w:r>
        <w:fldChar w:fldCharType="end"/>
      </w:r>
    </w:p>
    <w:p w14:paraId="507E3C43" w14:textId="77777777" w:rsidR="003C3D1E" w:rsidRDefault="006F3CD3" w:rsidP="00FA7E65">
      <w:pPr>
        <w:pStyle w:val="BodyText"/>
      </w:pPr>
      <w:r>
        <w:t xml:space="preserve">Make sure the cord is plugged into the </w:t>
      </w:r>
      <w:r w:rsidR="003C3D1E">
        <w:t xml:space="preserve">scanner </w:t>
      </w:r>
      <w:r>
        <w:t>and the computer</w:t>
      </w:r>
      <w:r w:rsidR="00A723D5">
        <w:t xml:space="preserve">. </w:t>
      </w:r>
      <w:r w:rsidR="00733A22">
        <w:t xml:space="preserve">Point the scanner at a piece of white paper and squeeze the trigger to verify that the laser works. </w:t>
      </w:r>
    </w:p>
    <w:p w14:paraId="15DAC529" w14:textId="77777777" w:rsidR="00A723D5" w:rsidRDefault="00A723D5" w:rsidP="00A723D5">
      <w:pPr>
        <w:pStyle w:val="Caution"/>
      </w:pPr>
      <w:r>
        <w:t>For correct barcode scanning results, the Caps Lock key must not be engaged.</w:t>
      </w:r>
      <w:r w:rsidRPr="00340676">
        <w:rPr>
          <w:vanish/>
        </w:rPr>
        <w:t>(DR 2,733)</w:t>
      </w:r>
      <w:r>
        <w:t xml:space="preserve"> </w:t>
      </w:r>
    </w:p>
    <w:p w14:paraId="04CA822D" w14:textId="77777777" w:rsidR="00A723D5" w:rsidRDefault="00A723D5" w:rsidP="00FA7E65">
      <w:pPr>
        <w:pStyle w:val="BodyText"/>
      </w:pPr>
    </w:p>
    <w:p w14:paraId="67F0A860" w14:textId="77777777" w:rsidR="001C2F8E" w:rsidRDefault="00057948" w:rsidP="002A4F71">
      <w:pPr>
        <w:pStyle w:val="Caution"/>
      </w:pPr>
      <w:r>
        <w:rPr>
          <w:noProof/>
        </w:rPr>
        <w:drawing>
          <wp:inline distT="0" distB="0" distL="0" distR="0" wp14:anchorId="4ED5B5B0" wp14:editId="339A0B64">
            <wp:extent cx="267970" cy="221615"/>
            <wp:effectExtent l="0" t="0" r="0" b="6985"/>
            <wp:docPr id="284" name="Picture 284" descr="Caution box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 name="Picture 284" descr="Caution box icon"/>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67970" cy="221615"/>
                    </a:xfrm>
                    <a:prstGeom prst="rect">
                      <a:avLst/>
                    </a:prstGeom>
                    <a:noFill/>
                    <a:ln>
                      <a:noFill/>
                    </a:ln>
                  </pic:spPr>
                </pic:pic>
              </a:graphicData>
            </a:graphic>
          </wp:inline>
        </w:drawing>
      </w:r>
      <w:r w:rsidR="001C2F8E">
        <w:t xml:space="preserve"> </w:t>
      </w:r>
      <w:r w:rsidR="00416C59">
        <w:t>Never</w:t>
      </w:r>
      <w:r w:rsidR="001C2F8E">
        <w:t xml:space="preserve"> look directly at the laser.</w:t>
      </w:r>
      <w:r w:rsidR="00416C59" w:rsidRPr="00416C59">
        <w:t xml:space="preserve"> </w:t>
      </w:r>
      <w:r w:rsidR="00416C59">
        <w:t>Never direct the laser</w:t>
      </w:r>
      <w:r w:rsidR="00416C59" w:rsidRPr="001D19BF">
        <w:t xml:space="preserve"> </w:t>
      </w:r>
      <w:r w:rsidR="002126A9">
        <w:t xml:space="preserve">beam </w:t>
      </w:r>
      <w:r w:rsidR="00416C59" w:rsidRPr="001D19BF">
        <w:t xml:space="preserve">toward </w:t>
      </w:r>
      <w:r w:rsidR="00416C59">
        <w:t>yourself</w:t>
      </w:r>
      <w:r w:rsidR="00416C59" w:rsidRPr="001D19BF">
        <w:t xml:space="preserve"> or </w:t>
      </w:r>
      <w:r w:rsidR="002126A9">
        <w:t xml:space="preserve">another person. Avoid mirror-like surfaces such as </w:t>
      </w:r>
      <w:r w:rsidR="002126A9" w:rsidRPr="001D19BF">
        <w:t>glass, metal</w:t>
      </w:r>
      <w:r w:rsidR="002126A9">
        <w:t>,</w:t>
      </w:r>
      <w:r w:rsidR="002126A9" w:rsidRPr="001D19BF">
        <w:t xml:space="preserve"> </w:t>
      </w:r>
      <w:r w:rsidR="002E50AD">
        <w:t xml:space="preserve">watches, jewelry, </w:t>
      </w:r>
      <w:r w:rsidR="002126A9" w:rsidRPr="001D19BF">
        <w:t>and other highly reflective materials</w:t>
      </w:r>
      <w:r w:rsidR="002126A9">
        <w:t xml:space="preserve"> when directing the laser beam.</w:t>
      </w:r>
    </w:p>
    <w:p w14:paraId="16785547" w14:textId="5AB481E0" w:rsidR="002A21AE" w:rsidRDefault="002A21AE" w:rsidP="00FA7E65">
      <w:pPr>
        <w:pStyle w:val="BodyText"/>
      </w:pPr>
      <w:r>
        <w:t xml:space="preserve">To configure a barcode scanner, scan the barcode </w:t>
      </w:r>
      <w:r w:rsidR="007C0D69">
        <w:t xml:space="preserve">in </w:t>
      </w:r>
      <w:r w:rsidR="00EE455E">
        <w:t xml:space="preserve">Figure </w:t>
      </w:r>
      <w:r w:rsidR="00EE455E">
        <w:rPr>
          <w:noProof/>
        </w:rPr>
        <w:t>131</w:t>
      </w:r>
      <w:r>
        <w:t>.</w:t>
      </w:r>
      <w:r w:rsidR="002E50AD">
        <w:t xml:space="preserve"> Repeat this process if scanned data are incorrectly displayed on the terminal. Consult the product reference guide or call the </w:t>
      </w:r>
      <w:r w:rsidR="00E551C3">
        <w:t xml:space="preserve">Service </w:t>
      </w:r>
      <w:r w:rsidR="002E50AD">
        <w:t>Desk for further assistance.</w:t>
      </w:r>
    </w:p>
    <w:p w14:paraId="216C3593" w14:textId="77777777" w:rsidR="001E3F01" w:rsidRDefault="00584AF9" w:rsidP="00FA7E65">
      <w:pPr>
        <w:pStyle w:val="BodyText"/>
      </w:pPr>
      <w:r>
        <w:t>If your site uses barcode symbology for specimens not covered in these instructions, use the configuration barcodes in the manual included with the scanner.</w:t>
      </w:r>
    </w:p>
    <w:p w14:paraId="4F500565" w14:textId="4DD8DA7E" w:rsidR="002A4F71" w:rsidRDefault="002A4F71" w:rsidP="002A4F71">
      <w:pPr>
        <w:pStyle w:val="Caption"/>
      </w:pPr>
      <w:bookmarkStart w:id="877" w:name="_Ref126728954"/>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7D1829">
        <w:rPr>
          <w:noProof/>
        </w:rPr>
        <w:t>133</w:t>
      </w:r>
      <w:r w:rsidR="004E20BD">
        <w:rPr>
          <w:noProof/>
        </w:rPr>
        <w:fldChar w:fldCharType="end"/>
      </w:r>
      <w:bookmarkEnd w:id="877"/>
      <w:r>
        <w:t>: Barcode Scanner Configuration</w:t>
      </w:r>
    </w:p>
    <w:p w14:paraId="4BEBC7FC" w14:textId="70FB3AAB" w:rsidR="001E0C47" w:rsidRPr="00DD2CF2" w:rsidRDefault="001E0C47" w:rsidP="00DD2CF2">
      <w:pPr>
        <w:pStyle w:val="BodyText"/>
        <w:sectPr w:rsidR="001E0C47" w:rsidRPr="00DD2CF2" w:rsidSect="00EF717F">
          <w:footerReference w:type="default" r:id="rId244"/>
          <w:pgSz w:w="12240" w:h="15840" w:code="1"/>
          <w:pgMar w:top="1440" w:right="1440" w:bottom="1440" w:left="1440" w:header="720" w:footer="720" w:gutter="0"/>
          <w:cols w:space="720"/>
          <w:docGrid w:linePitch="360"/>
        </w:sectPr>
      </w:pPr>
      <w:bookmarkStart w:id="878" w:name="_Toc97523648"/>
      <w:bookmarkStart w:id="879" w:name="_Toc97527618"/>
      <w:r w:rsidRPr="001E0C47">
        <w:rPr>
          <w:noProof/>
          <w:highlight w:val="yellow"/>
        </w:rPr>
        <w:t>REDACTED</w:t>
      </w:r>
    </w:p>
    <w:bookmarkEnd w:id="878"/>
    <w:bookmarkEnd w:id="879"/>
    <w:p w14:paraId="28D3B8BF" w14:textId="77777777" w:rsidR="006B60EF" w:rsidRDefault="00DF1B1E" w:rsidP="0086066C">
      <w:pPr>
        <w:pStyle w:val="Heading2"/>
      </w:pPr>
      <w:r>
        <w:br w:type="page"/>
      </w:r>
      <w:bookmarkStart w:id="880" w:name="_Toc203766024"/>
      <w:r w:rsidR="00100549">
        <w:lastRenderedPageBreak/>
        <w:t>Appe</w:t>
      </w:r>
      <w:r w:rsidR="000A1A0F">
        <w:t>ndix L</w:t>
      </w:r>
      <w:r w:rsidR="00FC6E10">
        <w:t>: System Responses to Active</w:t>
      </w:r>
      <w:r w:rsidR="0010333F">
        <w:t xml:space="preserve"> Transfusion Requirements</w:t>
      </w:r>
      <w:r w:rsidR="00FC6E10">
        <w:t xml:space="preserve"> in Select Unit and Issue Blood Component</w:t>
      </w:r>
      <w:bookmarkEnd w:id="880"/>
      <w:r w:rsidR="00115A2A" w:rsidRPr="00115A2A">
        <w:rPr>
          <w:rFonts w:ascii="Arial Bold" w:hAnsi="Arial Bold"/>
          <w:vanish/>
        </w:rPr>
        <w:t xml:space="preserve"> DR 4501</w:t>
      </w:r>
      <w:r w:rsidR="00FC6E10">
        <w:fldChar w:fldCharType="begin"/>
      </w:r>
      <w:r w:rsidR="00FC6E10">
        <w:instrText xml:space="preserve"> XE “System Responses to Active Transfusion Requirements in Select Unit and Issue Blood Component” </w:instrText>
      </w:r>
      <w:r w:rsidR="00FC6E10">
        <w:fldChar w:fldCharType="end"/>
      </w:r>
    </w:p>
    <w:p w14:paraId="5D635040" w14:textId="77777777" w:rsidR="009125FD" w:rsidRDefault="009125FD" w:rsidP="009125FD"/>
    <w:p w14:paraId="460A916C" w14:textId="5AB3E590" w:rsidR="00052726" w:rsidRPr="00052726" w:rsidRDefault="00052726" w:rsidP="00052726">
      <w:pPr>
        <w:rPr>
          <w:sz w:val="22"/>
          <w:szCs w:val="22"/>
        </w:rPr>
      </w:pPr>
      <w:r w:rsidRPr="00052726">
        <w:rPr>
          <w:sz w:val="22"/>
          <w:szCs w:val="22"/>
        </w:rPr>
        <w:t>The followi</w:t>
      </w:r>
      <w:r w:rsidR="00BE2EF9">
        <w:rPr>
          <w:sz w:val="22"/>
          <w:szCs w:val="22"/>
        </w:rPr>
        <w:t>ng series of tables</w:t>
      </w:r>
      <w:r w:rsidR="000612EF">
        <w:rPr>
          <w:sz w:val="22"/>
          <w:szCs w:val="22"/>
        </w:rPr>
        <w:t xml:space="preserve"> </w:t>
      </w:r>
      <w:r w:rsidRPr="00052726">
        <w:rPr>
          <w:sz w:val="22"/>
          <w:szCs w:val="22"/>
        </w:rPr>
        <w:t>detail VBECS response to an active transfusion requirement, component class of the unit selected and the user’s VBECS role at unit selection and blood component issue.</w:t>
      </w:r>
    </w:p>
    <w:p w14:paraId="1E79C4D6" w14:textId="77777777" w:rsidR="00052726" w:rsidRPr="00052726" w:rsidRDefault="00052726" w:rsidP="00052726">
      <w:pPr>
        <w:rPr>
          <w:sz w:val="22"/>
          <w:szCs w:val="22"/>
        </w:rPr>
      </w:pPr>
    </w:p>
    <w:p w14:paraId="40810F19" w14:textId="4BE0DED5" w:rsidR="00052726" w:rsidRPr="00052726" w:rsidRDefault="00EE455E" w:rsidP="00052726">
      <w:pPr>
        <w:rPr>
          <w:sz w:val="22"/>
          <w:szCs w:val="22"/>
        </w:rPr>
      </w:pPr>
      <w:r w:rsidRPr="00EE455E">
        <w:rPr>
          <w:sz w:val="22"/>
          <w:szCs w:val="22"/>
        </w:rPr>
        <w:t xml:space="preserve">Figure </w:t>
      </w:r>
      <w:r w:rsidRPr="00EE455E">
        <w:rPr>
          <w:noProof/>
          <w:sz w:val="22"/>
          <w:szCs w:val="22"/>
        </w:rPr>
        <w:t>132</w:t>
      </w:r>
      <w:r w:rsidRPr="00EE455E">
        <w:rPr>
          <w:sz w:val="22"/>
          <w:szCs w:val="22"/>
        </w:rPr>
        <w:t>: Irradiate Cellular Products Only and Select Blood Unit</w:t>
      </w:r>
    </w:p>
    <w:p w14:paraId="322D0541" w14:textId="4B1707BE" w:rsidR="00052726" w:rsidRPr="00052726" w:rsidRDefault="00EE455E" w:rsidP="00052726">
      <w:pPr>
        <w:rPr>
          <w:sz w:val="22"/>
          <w:szCs w:val="22"/>
        </w:rPr>
      </w:pPr>
      <w:r w:rsidRPr="00EE455E">
        <w:rPr>
          <w:sz w:val="22"/>
          <w:szCs w:val="22"/>
        </w:rPr>
        <w:t xml:space="preserve">Figure </w:t>
      </w:r>
      <w:r w:rsidRPr="00EE455E">
        <w:rPr>
          <w:noProof/>
          <w:sz w:val="22"/>
          <w:szCs w:val="22"/>
        </w:rPr>
        <w:t>133</w:t>
      </w:r>
      <w:r w:rsidRPr="00EE455E">
        <w:rPr>
          <w:sz w:val="22"/>
          <w:szCs w:val="22"/>
        </w:rPr>
        <w:t>: Irradiate Cellular Products Only and Issue Blood Component</w:t>
      </w:r>
    </w:p>
    <w:p w14:paraId="042F59EC" w14:textId="451100D0" w:rsidR="00052726" w:rsidRPr="00052726" w:rsidRDefault="00EE455E" w:rsidP="00052726">
      <w:pPr>
        <w:rPr>
          <w:sz w:val="22"/>
          <w:szCs w:val="22"/>
        </w:rPr>
      </w:pPr>
      <w:r w:rsidRPr="00EE455E">
        <w:rPr>
          <w:sz w:val="22"/>
          <w:szCs w:val="22"/>
        </w:rPr>
        <w:t xml:space="preserve">Figure </w:t>
      </w:r>
      <w:r w:rsidRPr="00EE455E">
        <w:rPr>
          <w:noProof/>
          <w:sz w:val="22"/>
          <w:szCs w:val="22"/>
        </w:rPr>
        <w:t>134</w:t>
      </w:r>
      <w:r w:rsidRPr="00EE455E">
        <w:rPr>
          <w:sz w:val="22"/>
          <w:szCs w:val="22"/>
        </w:rPr>
        <w:t>: Leuko-reduce Cellular Products and Select Blood Unit</w:t>
      </w:r>
    </w:p>
    <w:p w14:paraId="279954E7" w14:textId="576FCD0D" w:rsidR="00052726" w:rsidRPr="00052726" w:rsidRDefault="00EE455E" w:rsidP="00052726">
      <w:pPr>
        <w:rPr>
          <w:sz w:val="22"/>
          <w:szCs w:val="22"/>
        </w:rPr>
      </w:pPr>
      <w:r w:rsidRPr="00EE455E">
        <w:rPr>
          <w:sz w:val="22"/>
          <w:szCs w:val="22"/>
        </w:rPr>
        <w:t xml:space="preserve">Figure </w:t>
      </w:r>
      <w:r w:rsidRPr="00EE455E">
        <w:rPr>
          <w:noProof/>
          <w:sz w:val="22"/>
          <w:szCs w:val="22"/>
        </w:rPr>
        <w:t>135</w:t>
      </w:r>
      <w:r w:rsidRPr="00EE455E">
        <w:rPr>
          <w:sz w:val="22"/>
          <w:szCs w:val="22"/>
        </w:rPr>
        <w:t>: Leuko-reduce Cellular Products and Issue Blood Component</w:t>
      </w:r>
    </w:p>
    <w:p w14:paraId="405AF52A" w14:textId="67D578C1" w:rsidR="00052726" w:rsidRPr="00052726" w:rsidRDefault="00EE455E" w:rsidP="00052726">
      <w:pPr>
        <w:rPr>
          <w:sz w:val="22"/>
          <w:szCs w:val="22"/>
        </w:rPr>
      </w:pPr>
      <w:r w:rsidRPr="00EE455E">
        <w:rPr>
          <w:sz w:val="22"/>
          <w:szCs w:val="22"/>
        </w:rPr>
        <w:t xml:space="preserve">Figure </w:t>
      </w:r>
      <w:r w:rsidRPr="00EE455E">
        <w:rPr>
          <w:noProof/>
          <w:sz w:val="22"/>
          <w:szCs w:val="22"/>
        </w:rPr>
        <w:t>136</w:t>
      </w:r>
      <w:r w:rsidRPr="00EE455E">
        <w:rPr>
          <w:sz w:val="22"/>
          <w:szCs w:val="22"/>
        </w:rPr>
        <w:t>: Washed Red Blood Cell (RBC) Products and Select Blood Unit</w:t>
      </w:r>
    </w:p>
    <w:p w14:paraId="7C7C1E87" w14:textId="4702DE03" w:rsidR="00052726" w:rsidRPr="00052726" w:rsidRDefault="00EE455E" w:rsidP="00052726">
      <w:pPr>
        <w:rPr>
          <w:sz w:val="22"/>
          <w:szCs w:val="22"/>
        </w:rPr>
      </w:pPr>
      <w:r w:rsidRPr="00EE455E">
        <w:rPr>
          <w:sz w:val="22"/>
          <w:szCs w:val="22"/>
        </w:rPr>
        <w:t xml:space="preserve">Figure </w:t>
      </w:r>
      <w:r w:rsidRPr="00EE455E">
        <w:rPr>
          <w:noProof/>
          <w:sz w:val="22"/>
          <w:szCs w:val="22"/>
        </w:rPr>
        <w:t>137</w:t>
      </w:r>
      <w:r w:rsidRPr="00EE455E">
        <w:rPr>
          <w:sz w:val="22"/>
          <w:szCs w:val="22"/>
        </w:rPr>
        <w:t>: Washed Red Blood Cell (RBC) Products and Issue Blood Component</w:t>
      </w:r>
    </w:p>
    <w:p w14:paraId="40AC0BD1" w14:textId="1822242A" w:rsidR="00052726" w:rsidRPr="00052726" w:rsidRDefault="00EE455E" w:rsidP="00052726">
      <w:pPr>
        <w:rPr>
          <w:sz w:val="22"/>
          <w:szCs w:val="22"/>
        </w:rPr>
      </w:pPr>
      <w:r w:rsidRPr="00EE455E">
        <w:rPr>
          <w:sz w:val="22"/>
          <w:szCs w:val="22"/>
        </w:rPr>
        <w:t xml:space="preserve">Figure </w:t>
      </w:r>
      <w:r w:rsidRPr="00EE455E">
        <w:rPr>
          <w:noProof/>
          <w:sz w:val="22"/>
          <w:szCs w:val="22"/>
        </w:rPr>
        <w:t>138</w:t>
      </w:r>
      <w:r w:rsidRPr="00EE455E">
        <w:rPr>
          <w:sz w:val="22"/>
          <w:szCs w:val="22"/>
        </w:rPr>
        <w:t>: Washed PLATELET (PLT) Products and Select Blood Unit</w:t>
      </w:r>
    </w:p>
    <w:p w14:paraId="234E249F" w14:textId="14C600A8" w:rsidR="00052726" w:rsidRPr="00052726" w:rsidRDefault="00EE455E" w:rsidP="00052726">
      <w:pPr>
        <w:rPr>
          <w:sz w:val="22"/>
          <w:szCs w:val="22"/>
        </w:rPr>
      </w:pPr>
      <w:r w:rsidRPr="00EE455E">
        <w:rPr>
          <w:sz w:val="22"/>
          <w:szCs w:val="22"/>
        </w:rPr>
        <w:t xml:space="preserve">Figure </w:t>
      </w:r>
      <w:r w:rsidRPr="00EE455E">
        <w:rPr>
          <w:noProof/>
          <w:sz w:val="22"/>
          <w:szCs w:val="22"/>
        </w:rPr>
        <w:t>139</w:t>
      </w:r>
      <w:r w:rsidRPr="00EE455E">
        <w:rPr>
          <w:sz w:val="22"/>
          <w:szCs w:val="22"/>
        </w:rPr>
        <w:t>: Washed PLATELET (PLT) Products and Issue Blood Component</w:t>
      </w:r>
    </w:p>
    <w:p w14:paraId="07DFBD7C" w14:textId="6DACF332" w:rsidR="00052726" w:rsidRPr="00052726" w:rsidRDefault="00EE455E" w:rsidP="00052726">
      <w:pPr>
        <w:rPr>
          <w:sz w:val="22"/>
          <w:szCs w:val="22"/>
        </w:rPr>
      </w:pPr>
      <w:r w:rsidRPr="00EE455E">
        <w:rPr>
          <w:sz w:val="22"/>
          <w:szCs w:val="22"/>
        </w:rPr>
        <w:t xml:space="preserve">Figure </w:t>
      </w:r>
      <w:r w:rsidRPr="00EE455E">
        <w:rPr>
          <w:noProof/>
          <w:sz w:val="22"/>
          <w:szCs w:val="22"/>
        </w:rPr>
        <w:t>140</w:t>
      </w:r>
      <w:r w:rsidRPr="00EE455E">
        <w:rPr>
          <w:sz w:val="22"/>
          <w:szCs w:val="22"/>
        </w:rPr>
        <w:t>: Sickle Cell Negative RBC Products and Select Blood Unit</w:t>
      </w:r>
    </w:p>
    <w:p w14:paraId="2D74E9BB" w14:textId="39FC601B" w:rsidR="00052726" w:rsidRPr="00052726" w:rsidRDefault="00EE455E" w:rsidP="00052726">
      <w:pPr>
        <w:rPr>
          <w:sz w:val="22"/>
          <w:szCs w:val="22"/>
        </w:rPr>
      </w:pPr>
      <w:r w:rsidRPr="00EE455E">
        <w:rPr>
          <w:sz w:val="22"/>
          <w:szCs w:val="22"/>
        </w:rPr>
        <w:t xml:space="preserve">Figure </w:t>
      </w:r>
      <w:r w:rsidRPr="00EE455E">
        <w:rPr>
          <w:noProof/>
          <w:sz w:val="22"/>
          <w:szCs w:val="22"/>
        </w:rPr>
        <w:t>141</w:t>
      </w:r>
      <w:r w:rsidRPr="00EE455E">
        <w:rPr>
          <w:sz w:val="22"/>
          <w:szCs w:val="22"/>
        </w:rPr>
        <w:t>: Sickle Cell Negative RBC Products and Issue Blood Component</w:t>
      </w:r>
    </w:p>
    <w:p w14:paraId="793780CC" w14:textId="02E0A709" w:rsidR="00052726" w:rsidRPr="00052726" w:rsidRDefault="00EE455E" w:rsidP="00052726">
      <w:pPr>
        <w:rPr>
          <w:sz w:val="22"/>
          <w:szCs w:val="22"/>
        </w:rPr>
      </w:pPr>
      <w:r w:rsidRPr="00EE455E">
        <w:rPr>
          <w:sz w:val="22"/>
          <w:szCs w:val="22"/>
        </w:rPr>
        <w:t xml:space="preserve">Figure </w:t>
      </w:r>
      <w:r w:rsidRPr="00EE455E">
        <w:rPr>
          <w:noProof/>
          <w:sz w:val="22"/>
          <w:szCs w:val="22"/>
        </w:rPr>
        <w:t>142</w:t>
      </w:r>
      <w:r w:rsidRPr="00EE455E">
        <w:rPr>
          <w:sz w:val="22"/>
          <w:szCs w:val="22"/>
        </w:rPr>
        <w:t>: CMV Negative Cellular Products* and Select Blood Unit</w:t>
      </w:r>
    </w:p>
    <w:p w14:paraId="61551874" w14:textId="32E53CE8" w:rsidR="00052726" w:rsidRPr="00052726" w:rsidRDefault="00EE455E" w:rsidP="00052726">
      <w:pPr>
        <w:rPr>
          <w:sz w:val="22"/>
          <w:szCs w:val="22"/>
        </w:rPr>
      </w:pPr>
      <w:r w:rsidRPr="00EE455E">
        <w:rPr>
          <w:sz w:val="22"/>
          <w:szCs w:val="22"/>
        </w:rPr>
        <w:t xml:space="preserve">Figure </w:t>
      </w:r>
      <w:r w:rsidRPr="00EE455E">
        <w:rPr>
          <w:noProof/>
          <w:sz w:val="22"/>
          <w:szCs w:val="22"/>
        </w:rPr>
        <w:t>143</w:t>
      </w:r>
      <w:r w:rsidRPr="00EE455E">
        <w:rPr>
          <w:sz w:val="22"/>
          <w:szCs w:val="22"/>
        </w:rPr>
        <w:t>: CMV Negative Cellular Products* and Issue Blood Component</w:t>
      </w:r>
      <w:r w:rsidR="00052726" w:rsidRPr="00052726">
        <w:rPr>
          <w:sz w:val="22"/>
          <w:szCs w:val="22"/>
        </w:rPr>
        <w:t xml:space="preserve">  </w:t>
      </w:r>
    </w:p>
    <w:p w14:paraId="18980E35" w14:textId="77777777" w:rsidR="00052726" w:rsidRPr="00D13051" w:rsidRDefault="00052726" w:rsidP="00052726"/>
    <w:p w14:paraId="1C65C898" w14:textId="037F57CC" w:rsidR="00C15299" w:rsidRDefault="00C15299" w:rsidP="00C15299">
      <w:pPr>
        <w:pStyle w:val="Caption"/>
      </w:pPr>
      <w:bookmarkStart w:id="881" w:name="_Ref407612048"/>
      <w:bookmarkStart w:id="882" w:name="_Ref343502397"/>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7D1829">
        <w:rPr>
          <w:noProof/>
        </w:rPr>
        <w:t>134</w:t>
      </w:r>
      <w:r w:rsidR="004E20BD">
        <w:rPr>
          <w:noProof/>
        </w:rPr>
        <w:fldChar w:fldCharType="end"/>
      </w:r>
      <w:bookmarkEnd w:id="881"/>
      <w:r>
        <w:t>: Irradiate Cellular Products Only and Select Blood Unit</w:t>
      </w:r>
      <w:bookmarkEnd w:id="882"/>
    </w:p>
    <w:tbl>
      <w:tblPr>
        <w:tblW w:w="10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2" w:type="dxa"/>
          <w:right w:w="72" w:type="dxa"/>
        </w:tblCellMar>
        <w:tblLook w:val="04A0" w:firstRow="1" w:lastRow="0" w:firstColumn="1" w:lastColumn="0" w:noHBand="0" w:noVBand="1"/>
      </w:tblPr>
      <w:tblGrid>
        <w:gridCol w:w="1843"/>
        <w:gridCol w:w="2189"/>
        <w:gridCol w:w="1530"/>
        <w:gridCol w:w="1350"/>
        <w:gridCol w:w="3330"/>
      </w:tblGrid>
      <w:tr w:rsidR="009125FD" w:rsidRPr="005C5D59" w14:paraId="65F7BE78" w14:textId="77777777" w:rsidTr="009125FD">
        <w:trPr>
          <w:cantSplit/>
          <w:trHeight w:val="305"/>
          <w:tblHeader/>
        </w:trPr>
        <w:tc>
          <w:tcPr>
            <w:tcW w:w="10242" w:type="dxa"/>
            <w:gridSpan w:val="5"/>
            <w:tcBorders>
              <w:top w:val="single" w:sz="4" w:space="0" w:color="000000"/>
              <w:left w:val="single" w:sz="4" w:space="0" w:color="000000"/>
              <w:right w:val="single" w:sz="4" w:space="0" w:color="000000"/>
            </w:tcBorders>
            <w:shd w:val="pct25" w:color="auto" w:fill="auto"/>
            <w:vAlign w:val="bottom"/>
            <w:hideMark/>
          </w:tcPr>
          <w:p w14:paraId="07CD31AF" w14:textId="77777777" w:rsidR="009125FD" w:rsidRPr="005C5D59" w:rsidRDefault="009125FD" w:rsidP="009125FD">
            <w:pPr>
              <w:rPr>
                <w:rFonts w:ascii="Arial" w:hAnsi="Arial" w:cs="Arial"/>
                <w:b/>
                <w:sz w:val="18"/>
                <w:szCs w:val="18"/>
              </w:rPr>
            </w:pPr>
            <w:r w:rsidRPr="005C5D59">
              <w:rPr>
                <w:rFonts w:ascii="Arial" w:hAnsi="Arial" w:cs="Arial"/>
                <w:b/>
                <w:sz w:val="18"/>
                <w:szCs w:val="18"/>
              </w:rPr>
              <w:t>Select Unit: IRRADIATED</w:t>
            </w:r>
          </w:p>
        </w:tc>
      </w:tr>
      <w:tr w:rsidR="009125FD" w:rsidRPr="005C5D59" w14:paraId="4AB80CA1" w14:textId="77777777" w:rsidTr="009125FD">
        <w:trPr>
          <w:cantSplit/>
          <w:trHeight w:val="432"/>
          <w:tblHeader/>
        </w:trPr>
        <w:tc>
          <w:tcPr>
            <w:tcW w:w="1843" w:type="dxa"/>
            <w:tcBorders>
              <w:left w:val="single" w:sz="4" w:space="0" w:color="000000"/>
              <w:bottom w:val="single" w:sz="4" w:space="0" w:color="000000"/>
              <w:right w:val="single" w:sz="4" w:space="0" w:color="000000"/>
            </w:tcBorders>
            <w:shd w:val="pct25" w:color="auto" w:fill="auto"/>
            <w:vAlign w:val="bottom"/>
            <w:hideMark/>
          </w:tcPr>
          <w:p w14:paraId="6C52EEC3" w14:textId="77777777" w:rsidR="009125FD" w:rsidRPr="005C5D59" w:rsidRDefault="009125FD" w:rsidP="009125FD">
            <w:pPr>
              <w:rPr>
                <w:rFonts w:ascii="Arial" w:hAnsi="Arial" w:cs="Arial"/>
                <w:b/>
                <w:sz w:val="18"/>
                <w:szCs w:val="18"/>
              </w:rPr>
            </w:pPr>
            <w:r w:rsidRPr="005C5D59">
              <w:rPr>
                <w:rFonts w:ascii="Arial" w:hAnsi="Arial" w:cs="Arial"/>
                <w:b/>
                <w:sz w:val="18"/>
                <w:szCs w:val="18"/>
              </w:rPr>
              <w:t>Patient Active Transfusion Requirement</w:t>
            </w:r>
          </w:p>
        </w:tc>
        <w:tc>
          <w:tcPr>
            <w:tcW w:w="2189" w:type="dxa"/>
            <w:tcBorders>
              <w:left w:val="single" w:sz="4" w:space="0" w:color="000000"/>
              <w:bottom w:val="single" w:sz="4" w:space="0" w:color="000000"/>
              <w:right w:val="single" w:sz="4" w:space="0" w:color="000000"/>
            </w:tcBorders>
            <w:shd w:val="pct25" w:color="auto" w:fill="auto"/>
            <w:vAlign w:val="bottom"/>
            <w:hideMark/>
          </w:tcPr>
          <w:p w14:paraId="449EA1A1" w14:textId="77777777" w:rsidR="009125FD" w:rsidRPr="005C5D59" w:rsidRDefault="009125FD" w:rsidP="009125FD">
            <w:pPr>
              <w:rPr>
                <w:rFonts w:ascii="Arial" w:hAnsi="Arial" w:cs="Arial"/>
                <w:b/>
                <w:color w:val="000000"/>
                <w:sz w:val="18"/>
                <w:szCs w:val="18"/>
                <w:highlight w:val="yellow"/>
              </w:rPr>
            </w:pPr>
            <w:r w:rsidRPr="005C5D59">
              <w:rPr>
                <w:rFonts w:ascii="Arial" w:hAnsi="Arial" w:cs="Arial"/>
                <w:b/>
                <w:sz w:val="18"/>
                <w:szCs w:val="18"/>
              </w:rPr>
              <w:t>Ordered Component Class*</w:t>
            </w:r>
          </w:p>
        </w:tc>
        <w:tc>
          <w:tcPr>
            <w:tcW w:w="153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14AB81D2" w14:textId="77777777" w:rsidR="009125FD" w:rsidRPr="005C5D59" w:rsidRDefault="009125FD" w:rsidP="009125FD">
            <w:pPr>
              <w:jc w:val="center"/>
              <w:rPr>
                <w:rFonts w:ascii="Arial" w:hAnsi="Arial" w:cs="Arial"/>
                <w:b/>
                <w:sz w:val="18"/>
                <w:szCs w:val="18"/>
              </w:rPr>
            </w:pPr>
            <w:r>
              <w:rPr>
                <w:rFonts w:ascii="Arial" w:hAnsi="Arial" w:cs="Arial"/>
                <w:b/>
                <w:sz w:val="18"/>
                <w:szCs w:val="18"/>
              </w:rPr>
              <w:t>Selected U</w:t>
            </w:r>
            <w:r w:rsidRPr="005C5D59">
              <w:rPr>
                <w:rFonts w:ascii="Arial" w:hAnsi="Arial" w:cs="Arial"/>
                <w:b/>
                <w:sz w:val="18"/>
                <w:szCs w:val="18"/>
              </w:rPr>
              <w:t>nit is</w:t>
            </w:r>
          </w:p>
        </w:tc>
        <w:tc>
          <w:tcPr>
            <w:tcW w:w="135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12A01116" w14:textId="77777777" w:rsidR="009125FD" w:rsidRPr="005C5D59" w:rsidRDefault="009125FD" w:rsidP="009125FD">
            <w:pPr>
              <w:jc w:val="center"/>
              <w:rPr>
                <w:rFonts w:ascii="Arial" w:hAnsi="Arial" w:cs="Arial"/>
                <w:b/>
                <w:sz w:val="18"/>
                <w:szCs w:val="18"/>
              </w:rPr>
            </w:pPr>
            <w:r w:rsidRPr="005C5D59">
              <w:rPr>
                <w:rFonts w:ascii="Arial" w:hAnsi="Arial" w:cs="Arial"/>
                <w:b/>
                <w:sz w:val="18"/>
                <w:szCs w:val="18"/>
              </w:rPr>
              <w:t>User Role</w:t>
            </w:r>
          </w:p>
        </w:tc>
        <w:tc>
          <w:tcPr>
            <w:tcW w:w="333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21BC2A86" w14:textId="77777777" w:rsidR="009125FD" w:rsidRPr="005C5D59" w:rsidRDefault="009125FD" w:rsidP="009125FD">
            <w:pPr>
              <w:jc w:val="center"/>
              <w:rPr>
                <w:rFonts w:ascii="Arial" w:hAnsi="Arial" w:cs="Arial"/>
                <w:b/>
                <w:sz w:val="18"/>
                <w:szCs w:val="18"/>
              </w:rPr>
            </w:pPr>
            <w:r>
              <w:rPr>
                <w:rFonts w:ascii="Arial" w:hAnsi="Arial" w:cs="Arial"/>
                <w:b/>
                <w:sz w:val="18"/>
                <w:szCs w:val="18"/>
              </w:rPr>
              <w:t xml:space="preserve">VBECS </w:t>
            </w:r>
            <w:r w:rsidRPr="005C5D59">
              <w:rPr>
                <w:rFonts w:ascii="Arial" w:hAnsi="Arial" w:cs="Arial"/>
                <w:b/>
                <w:sz w:val="18"/>
                <w:szCs w:val="18"/>
              </w:rPr>
              <w:t>Response</w:t>
            </w:r>
          </w:p>
        </w:tc>
      </w:tr>
      <w:tr w:rsidR="009125FD" w:rsidRPr="005C5D59" w14:paraId="2C8135D3" w14:textId="77777777" w:rsidTr="009125FD">
        <w:trPr>
          <w:cantSplit/>
          <w:trHeight w:val="284"/>
        </w:trPr>
        <w:tc>
          <w:tcPr>
            <w:tcW w:w="1843" w:type="dxa"/>
            <w:vMerge w:val="restart"/>
            <w:tcBorders>
              <w:top w:val="single" w:sz="4" w:space="0" w:color="000000"/>
              <w:left w:val="single" w:sz="4" w:space="0" w:color="000000"/>
              <w:right w:val="single" w:sz="4" w:space="0" w:color="000000"/>
            </w:tcBorders>
            <w:vAlign w:val="center"/>
            <w:hideMark/>
          </w:tcPr>
          <w:p w14:paraId="11C94DF0" w14:textId="77777777" w:rsidR="009125FD" w:rsidRPr="004F6C19" w:rsidRDefault="009125FD" w:rsidP="009125FD">
            <w:pPr>
              <w:jc w:val="center"/>
              <w:rPr>
                <w:rFonts w:ascii="Arial" w:hAnsi="Arial" w:cs="Arial"/>
                <w:b/>
                <w:sz w:val="28"/>
                <w:szCs w:val="28"/>
              </w:rPr>
            </w:pPr>
            <w:r w:rsidRPr="004F6C19">
              <w:rPr>
                <w:rFonts w:ascii="Arial" w:hAnsi="Arial" w:cs="Arial"/>
                <w:b/>
                <w:sz w:val="28"/>
                <w:szCs w:val="28"/>
              </w:rPr>
              <w:t>Irradiate</w:t>
            </w:r>
          </w:p>
          <w:p w14:paraId="72BFB4AB" w14:textId="77777777" w:rsidR="009125FD" w:rsidRPr="004F6C19" w:rsidRDefault="009125FD" w:rsidP="009125FD">
            <w:pPr>
              <w:jc w:val="center"/>
              <w:rPr>
                <w:rFonts w:ascii="Arial" w:hAnsi="Arial" w:cs="Arial"/>
                <w:b/>
                <w:sz w:val="28"/>
                <w:szCs w:val="28"/>
              </w:rPr>
            </w:pPr>
            <w:r w:rsidRPr="004F6C19">
              <w:rPr>
                <w:rFonts w:ascii="Arial" w:hAnsi="Arial" w:cs="Arial"/>
                <w:b/>
                <w:sz w:val="28"/>
                <w:szCs w:val="28"/>
              </w:rPr>
              <w:t xml:space="preserve">Cellular </w:t>
            </w:r>
            <w:r w:rsidRPr="004F6C19">
              <w:rPr>
                <w:rFonts w:ascii="Arial" w:hAnsi="Arial" w:cs="Arial"/>
                <w:b/>
                <w:sz w:val="28"/>
                <w:szCs w:val="28"/>
              </w:rPr>
              <w:br/>
              <w:t>Products</w:t>
            </w:r>
          </w:p>
          <w:p w14:paraId="3F830513" w14:textId="77777777" w:rsidR="009125FD" w:rsidRPr="005C5D59" w:rsidRDefault="009125FD" w:rsidP="009125FD">
            <w:pPr>
              <w:jc w:val="center"/>
              <w:rPr>
                <w:rFonts w:ascii="Arial" w:hAnsi="Arial" w:cs="Arial"/>
                <w:sz w:val="18"/>
                <w:szCs w:val="18"/>
              </w:rPr>
            </w:pPr>
            <w:r w:rsidRPr="004F6C19">
              <w:rPr>
                <w:rFonts w:ascii="Arial" w:hAnsi="Arial" w:cs="Arial"/>
                <w:b/>
                <w:sz w:val="28"/>
                <w:szCs w:val="28"/>
              </w:rPr>
              <w:t>Only</w:t>
            </w:r>
          </w:p>
        </w:tc>
        <w:tc>
          <w:tcPr>
            <w:tcW w:w="2189" w:type="dxa"/>
            <w:tcBorders>
              <w:top w:val="single" w:sz="4" w:space="0" w:color="000000"/>
              <w:left w:val="single" w:sz="4" w:space="0" w:color="000000"/>
              <w:right w:val="single" w:sz="4" w:space="0" w:color="000000"/>
            </w:tcBorders>
            <w:shd w:val="pct10" w:color="auto" w:fill="auto"/>
            <w:vAlign w:val="center"/>
            <w:hideMark/>
          </w:tcPr>
          <w:p w14:paraId="2066749C" w14:textId="77777777" w:rsidR="009125FD" w:rsidRDefault="009125FD" w:rsidP="009125FD">
            <w:pPr>
              <w:spacing w:before="120"/>
              <w:jc w:val="center"/>
              <w:rPr>
                <w:rFonts w:ascii="Arial" w:hAnsi="Arial" w:cs="Arial"/>
                <w:sz w:val="18"/>
                <w:szCs w:val="18"/>
              </w:rPr>
            </w:pPr>
            <w:r w:rsidRPr="005C5D59">
              <w:rPr>
                <w:rFonts w:ascii="Arial" w:hAnsi="Arial" w:cs="Arial"/>
                <w:sz w:val="18"/>
                <w:szCs w:val="18"/>
              </w:rPr>
              <w:t xml:space="preserve">RED BLOOD CELLS  </w:t>
            </w:r>
          </w:p>
          <w:p w14:paraId="15943BD2" w14:textId="77777777" w:rsidR="009125FD" w:rsidRDefault="009125FD" w:rsidP="009125FD">
            <w:pPr>
              <w:spacing w:before="120"/>
              <w:jc w:val="center"/>
              <w:rPr>
                <w:rFonts w:ascii="Arial" w:hAnsi="Arial" w:cs="Arial"/>
                <w:sz w:val="18"/>
                <w:szCs w:val="18"/>
              </w:rPr>
            </w:pPr>
            <w:r w:rsidRPr="005C5D59">
              <w:rPr>
                <w:rFonts w:ascii="Arial" w:hAnsi="Arial" w:cs="Arial"/>
                <w:sz w:val="18"/>
                <w:szCs w:val="18"/>
              </w:rPr>
              <w:t xml:space="preserve"> WHOLE BLOOD </w:t>
            </w:r>
          </w:p>
          <w:p w14:paraId="72C7B523" w14:textId="77777777" w:rsidR="009125FD" w:rsidRDefault="009125FD" w:rsidP="009125FD">
            <w:pPr>
              <w:spacing w:before="120"/>
              <w:jc w:val="center"/>
              <w:rPr>
                <w:rFonts w:ascii="Arial" w:hAnsi="Arial" w:cs="Arial"/>
                <w:sz w:val="18"/>
                <w:szCs w:val="18"/>
              </w:rPr>
            </w:pPr>
            <w:r w:rsidRPr="005C5D59">
              <w:rPr>
                <w:rFonts w:ascii="Arial" w:hAnsi="Arial" w:cs="Arial"/>
                <w:sz w:val="18"/>
                <w:szCs w:val="18"/>
              </w:rPr>
              <w:t>PLATELETS</w:t>
            </w:r>
          </w:p>
          <w:p w14:paraId="727CF559" w14:textId="77777777" w:rsidR="009125FD" w:rsidRPr="005C5D59" w:rsidRDefault="009125FD" w:rsidP="009125FD">
            <w:pPr>
              <w:spacing w:before="120"/>
              <w:jc w:val="center"/>
              <w:rPr>
                <w:rFonts w:ascii="Arial" w:hAnsi="Arial" w:cs="Arial"/>
                <w:sz w:val="18"/>
                <w:szCs w:val="18"/>
              </w:rPr>
            </w:pPr>
            <w:r w:rsidRPr="005C5D59">
              <w:rPr>
                <w:rFonts w:ascii="Arial" w:hAnsi="Arial" w:cs="Arial"/>
                <w:color w:val="000000"/>
                <w:sz w:val="18"/>
                <w:szCs w:val="18"/>
              </w:rPr>
              <w:t>OTHER</w:t>
            </w:r>
          </w:p>
        </w:tc>
        <w:tc>
          <w:tcPr>
            <w:tcW w:w="1530" w:type="dxa"/>
            <w:tcBorders>
              <w:top w:val="single" w:sz="4" w:space="0" w:color="000000"/>
              <w:left w:val="single" w:sz="4" w:space="0" w:color="000000"/>
              <w:right w:val="single" w:sz="4" w:space="0" w:color="000000"/>
            </w:tcBorders>
            <w:shd w:val="pct10" w:color="auto" w:fill="auto"/>
            <w:vAlign w:val="center"/>
            <w:hideMark/>
          </w:tcPr>
          <w:p w14:paraId="3EDD5E6E" w14:textId="77777777" w:rsidR="009125FD" w:rsidRPr="008E2609" w:rsidRDefault="009125FD" w:rsidP="009125FD">
            <w:pPr>
              <w:jc w:val="center"/>
              <w:rPr>
                <w:rFonts w:ascii="Arial" w:hAnsi="Arial" w:cs="Arial"/>
                <w:sz w:val="18"/>
                <w:szCs w:val="18"/>
              </w:rPr>
            </w:pPr>
            <w:r w:rsidRPr="008E2609">
              <w:rPr>
                <w:rFonts w:ascii="Arial" w:hAnsi="Arial" w:cs="Arial"/>
                <w:sz w:val="18"/>
                <w:szCs w:val="18"/>
              </w:rPr>
              <w:t>Irradiated</w:t>
            </w:r>
          </w:p>
        </w:tc>
        <w:tc>
          <w:tcPr>
            <w:tcW w:w="1350" w:type="dxa"/>
            <w:tcBorders>
              <w:top w:val="single" w:sz="4" w:space="0" w:color="000000"/>
              <w:left w:val="single" w:sz="4" w:space="0" w:color="000000"/>
              <w:right w:val="single" w:sz="4" w:space="0" w:color="000000"/>
            </w:tcBorders>
            <w:shd w:val="pct10" w:color="auto" w:fill="auto"/>
            <w:vAlign w:val="center"/>
            <w:hideMark/>
          </w:tcPr>
          <w:p w14:paraId="4D7C689E" w14:textId="77777777" w:rsidR="009125FD" w:rsidRPr="005C5D59" w:rsidRDefault="009125FD" w:rsidP="009125FD">
            <w:pPr>
              <w:jc w:val="center"/>
              <w:rPr>
                <w:rFonts w:ascii="Arial" w:hAnsi="Arial" w:cs="Arial"/>
                <w:b/>
                <w:sz w:val="18"/>
                <w:szCs w:val="18"/>
              </w:rPr>
            </w:pPr>
            <w:r w:rsidRPr="00825E94">
              <w:rPr>
                <w:rFonts w:ascii="Arial" w:hAnsi="Arial" w:cs="Arial"/>
                <w:b/>
                <w:sz w:val="18"/>
                <w:szCs w:val="18"/>
              </w:rPr>
              <w:t>ALL VBECS Users</w:t>
            </w:r>
          </w:p>
        </w:tc>
        <w:tc>
          <w:tcPr>
            <w:tcW w:w="3330" w:type="dxa"/>
            <w:tcBorders>
              <w:top w:val="single" w:sz="4" w:space="0" w:color="000000"/>
              <w:left w:val="single" w:sz="4" w:space="0" w:color="000000"/>
              <w:right w:val="single" w:sz="4" w:space="0" w:color="000000"/>
            </w:tcBorders>
            <w:shd w:val="pct10" w:color="auto" w:fill="auto"/>
            <w:vAlign w:val="center"/>
          </w:tcPr>
          <w:p w14:paraId="38C65A41" w14:textId="77777777" w:rsidR="009125FD" w:rsidRPr="005C5D59" w:rsidRDefault="009125FD" w:rsidP="009125FD">
            <w:pPr>
              <w:jc w:val="center"/>
              <w:rPr>
                <w:rFonts w:ascii="Arial" w:hAnsi="Arial" w:cs="Arial"/>
                <w:sz w:val="18"/>
                <w:szCs w:val="18"/>
              </w:rPr>
            </w:pPr>
            <w:r w:rsidRPr="005C5D59">
              <w:rPr>
                <w:rFonts w:ascii="Arial" w:hAnsi="Arial" w:cs="Arial"/>
                <w:sz w:val="18"/>
                <w:szCs w:val="18"/>
              </w:rPr>
              <w:t>No warning message will display.</w:t>
            </w:r>
          </w:p>
        </w:tc>
      </w:tr>
      <w:tr w:rsidR="009125FD" w:rsidRPr="005C5D59" w14:paraId="146B966B" w14:textId="77777777" w:rsidTr="009125FD">
        <w:trPr>
          <w:cantSplit/>
          <w:trHeight w:val="576"/>
        </w:trPr>
        <w:tc>
          <w:tcPr>
            <w:tcW w:w="1843" w:type="dxa"/>
            <w:vMerge/>
            <w:tcBorders>
              <w:left w:val="single" w:sz="4" w:space="0" w:color="000000"/>
              <w:right w:val="single" w:sz="4" w:space="0" w:color="000000"/>
            </w:tcBorders>
            <w:vAlign w:val="bottom"/>
          </w:tcPr>
          <w:p w14:paraId="73FA9AB1" w14:textId="77777777" w:rsidR="009125FD" w:rsidRPr="005C5D59" w:rsidRDefault="009125FD" w:rsidP="009125FD">
            <w:pPr>
              <w:rPr>
                <w:rFonts w:ascii="Arial" w:hAnsi="Arial" w:cs="Arial"/>
                <w:b/>
                <w:sz w:val="18"/>
                <w:szCs w:val="18"/>
              </w:rPr>
            </w:pPr>
          </w:p>
        </w:tc>
        <w:tc>
          <w:tcPr>
            <w:tcW w:w="2189" w:type="dxa"/>
            <w:tcBorders>
              <w:top w:val="single" w:sz="4" w:space="0" w:color="000000"/>
              <w:left w:val="single" w:sz="4" w:space="0" w:color="000000"/>
              <w:bottom w:val="single" w:sz="4" w:space="0" w:color="000000"/>
              <w:right w:val="single" w:sz="4" w:space="0" w:color="000000"/>
            </w:tcBorders>
            <w:vAlign w:val="center"/>
          </w:tcPr>
          <w:p w14:paraId="700D7D98" w14:textId="77777777" w:rsidR="009125FD" w:rsidRDefault="009125FD" w:rsidP="009125FD">
            <w:pPr>
              <w:spacing w:before="120"/>
              <w:jc w:val="center"/>
              <w:rPr>
                <w:rFonts w:ascii="Arial" w:hAnsi="Arial" w:cs="Arial"/>
                <w:sz w:val="18"/>
                <w:szCs w:val="18"/>
              </w:rPr>
            </w:pPr>
            <w:r w:rsidRPr="005C5D59">
              <w:rPr>
                <w:rFonts w:ascii="Arial" w:hAnsi="Arial" w:cs="Arial"/>
                <w:sz w:val="18"/>
                <w:szCs w:val="18"/>
              </w:rPr>
              <w:t xml:space="preserve">RED BLOOD CELLS  </w:t>
            </w:r>
          </w:p>
          <w:p w14:paraId="509835D1" w14:textId="77777777" w:rsidR="009125FD" w:rsidRDefault="009125FD" w:rsidP="009125FD">
            <w:pPr>
              <w:spacing w:before="120"/>
              <w:jc w:val="center"/>
              <w:rPr>
                <w:rFonts w:ascii="Arial" w:hAnsi="Arial" w:cs="Arial"/>
                <w:sz w:val="18"/>
                <w:szCs w:val="18"/>
              </w:rPr>
            </w:pPr>
            <w:r w:rsidRPr="005C5D59">
              <w:rPr>
                <w:rFonts w:ascii="Arial" w:hAnsi="Arial" w:cs="Arial"/>
                <w:sz w:val="18"/>
                <w:szCs w:val="18"/>
              </w:rPr>
              <w:t xml:space="preserve"> WHOLE BLOOD </w:t>
            </w:r>
          </w:p>
          <w:p w14:paraId="7A5567AB" w14:textId="77777777" w:rsidR="009125FD" w:rsidRDefault="009125FD" w:rsidP="009125FD">
            <w:pPr>
              <w:spacing w:before="120"/>
              <w:jc w:val="center"/>
              <w:rPr>
                <w:rFonts w:ascii="Arial" w:hAnsi="Arial" w:cs="Arial"/>
                <w:sz w:val="18"/>
                <w:szCs w:val="18"/>
              </w:rPr>
            </w:pPr>
            <w:r w:rsidRPr="005C5D59">
              <w:rPr>
                <w:rFonts w:ascii="Arial" w:hAnsi="Arial" w:cs="Arial"/>
                <w:sz w:val="18"/>
                <w:szCs w:val="18"/>
              </w:rPr>
              <w:t>PLATELETS</w:t>
            </w:r>
          </w:p>
          <w:p w14:paraId="3976F5AB" w14:textId="77777777" w:rsidR="009125FD" w:rsidRPr="005C5D59" w:rsidRDefault="009125FD" w:rsidP="009125FD">
            <w:pPr>
              <w:spacing w:before="120"/>
              <w:jc w:val="center"/>
              <w:rPr>
                <w:rFonts w:ascii="Arial" w:hAnsi="Arial" w:cs="Arial"/>
                <w:sz w:val="18"/>
                <w:szCs w:val="18"/>
              </w:rPr>
            </w:pPr>
            <w:r w:rsidRPr="005C5D59">
              <w:rPr>
                <w:rFonts w:ascii="Arial" w:hAnsi="Arial" w:cs="Arial"/>
                <w:color w:val="000000"/>
                <w:sz w:val="18"/>
                <w:szCs w:val="18"/>
              </w:rPr>
              <w:t>OTHER</w:t>
            </w:r>
          </w:p>
        </w:tc>
        <w:tc>
          <w:tcPr>
            <w:tcW w:w="1530" w:type="dxa"/>
            <w:tcBorders>
              <w:top w:val="single" w:sz="4" w:space="0" w:color="000000"/>
              <w:left w:val="single" w:sz="4" w:space="0" w:color="000000"/>
              <w:bottom w:val="single" w:sz="4" w:space="0" w:color="000000"/>
              <w:right w:val="single" w:sz="4" w:space="0" w:color="000000"/>
            </w:tcBorders>
            <w:vAlign w:val="center"/>
          </w:tcPr>
          <w:p w14:paraId="23BB865A" w14:textId="77777777" w:rsidR="009125FD" w:rsidRPr="005C5D59" w:rsidRDefault="009125FD" w:rsidP="009125FD">
            <w:pPr>
              <w:jc w:val="center"/>
              <w:rPr>
                <w:rFonts w:ascii="Arial" w:hAnsi="Arial" w:cs="Arial"/>
                <w:color w:val="FF0000"/>
                <w:sz w:val="18"/>
                <w:szCs w:val="18"/>
              </w:rPr>
            </w:pPr>
            <w:r w:rsidRPr="005C5D59">
              <w:rPr>
                <w:rFonts w:ascii="Arial" w:hAnsi="Arial" w:cs="Arial"/>
                <w:b/>
                <w:color w:val="FF0000"/>
                <w:sz w:val="18"/>
                <w:szCs w:val="18"/>
              </w:rPr>
              <w:t>Not Irradiated</w:t>
            </w:r>
          </w:p>
        </w:tc>
        <w:tc>
          <w:tcPr>
            <w:tcW w:w="1350" w:type="dxa"/>
            <w:tcBorders>
              <w:top w:val="single" w:sz="4" w:space="0" w:color="000000"/>
              <w:left w:val="single" w:sz="4" w:space="0" w:color="000000"/>
              <w:bottom w:val="single" w:sz="4" w:space="0" w:color="000000"/>
              <w:right w:val="single" w:sz="4" w:space="0" w:color="000000"/>
            </w:tcBorders>
            <w:vAlign w:val="center"/>
          </w:tcPr>
          <w:p w14:paraId="6C1DED61" w14:textId="77777777" w:rsidR="009125FD" w:rsidRPr="005C5D59" w:rsidRDefault="009125FD" w:rsidP="009125FD">
            <w:pPr>
              <w:jc w:val="center"/>
              <w:rPr>
                <w:rFonts w:ascii="Arial" w:hAnsi="Arial" w:cs="Arial"/>
                <w:sz w:val="18"/>
                <w:szCs w:val="18"/>
              </w:rPr>
            </w:pPr>
            <w:r w:rsidRPr="00825E94">
              <w:rPr>
                <w:rFonts w:ascii="Arial" w:hAnsi="Arial" w:cs="Arial"/>
                <w:b/>
                <w:sz w:val="18"/>
                <w:szCs w:val="18"/>
              </w:rPr>
              <w:t>ALL VBECS Users</w:t>
            </w:r>
          </w:p>
        </w:tc>
        <w:tc>
          <w:tcPr>
            <w:tcW w:w="3330" w:type="dxa"/>
            <w:tcBorders>
              <w:top w:val="single" w:sz="4" w:space="0" w:color="000000"/>
              <w:left w:val="single" w:sz="4" w:space="0" w:color="000000"/>
              <w:right w:val="single" w:sz="4" w:space="0" w:color="000000"/>
            </w:tcBorders>
          </w:tcPr>
          <w:p w14:paraId="53289567" w14:textId="77777777" w:rsidR="009125FD" w:rsidRPr="007F3B3C" w:rsidRDefault="009125FD" w:rsidP="009125FD">
            <w:pPr>
              <w:pStyle w:val="TableText"/>
              <w:spacing w:before="120"/>
              <w:rPr>
                <w:rStyle w:val="StyleTableText9ptCharChar"/>
                <w:rFonts w:cs="Arial"/>
                <w:i/>
              </w:rPr>
            </w:pPr>
            <w:r w:rsidRPr="005C5D59">
              <w:rPr>
                <w:rStyle w:val="StyleTableText9ptCharChar"/>
                <w:rFonts w:cs="Arial"/>
              </w:rPr>
              <w:t>The Transfusio</w:t>
            </w:r>
            <w:r>
              <w:rPr>
                <w:rStyle w:val="StyleTableText9ptCharChar"/>
                <w:rFonts w:cs="Arial"/>
              </w:rPr>
              <w:t xml:space="preserve">n Requirement is not satisfied; </w:t>
            </w:r>
            <w:r w:rsidRPr="005C5D59">
              <w:rPr>
                <w:rStyle w:val="StyleTableText9ptCharChar"/>
                <w:rFonts w:cs="Arial"/>
              </w:rPr>
              <w:t xml:space="preserve">the system emits an audible alert and displays a warning message: </w:t>
            </w:r>
            <w:r w:rsidRPr="007F3B3C">
              <w:rPr>
                <w:rStyle w:val="StyleTableText9ptCharChar"/>
                <w:rFonts w:cs="Arial"/>
                <w:i/>
              </w:rPr>
              <w:t>This unit does not currently satisfy all of the patient’s Transfusion Requirements. Further processing is needed. Continue to select this unit?</w:t>
            </w:r>
          </w:p>
          <w:p w14:paraId="56F8714D" w14:textId="77777777" w:rsidR="009125FD" w:rsidRPr="005C5D59" w:rsidRDefault="009125FD" w:rsidP="009125FD">
            <w:pPr>
              <w:pStyle w:val="TableText"/>
              <w:rPr>
                <w:rStyle w:val="StyleTableText9ptCharChar"/>
                <w:rFonts w:cs="Arial"/>
              </w:rPr>
            </w:pPr>
            <w:r w:rsidRPr="005C5D59">
              <w:rPr>
                <w:rStyle w:val="StyleTableText9ptCharChar"/>
                <w:rFonts w:cs="Arial"/>
              </w:rPr>
              <w:t>If</w:t>
            </w:r>
            <w:r>
              <w:rPr>
                <w:rStyle w:val="StyleTableText9ptCharChar"/>
                <w:rFonts w:cs="Arial"/>
              </w:rPr>
              <w:t xml:space="preserve"> the user clicks </w:t>
            </w:r>
            <w:r w:rsidRPr="005C5D59">
              <w:rPr>
                <w:rStyle w:val="StyleTableText9ptCharChar"/>
                <w:rFonts w:cs="Arial"/>
              </w:rPr>
              <w:t>“No,” the screen is cleared.</w:t>
            </w:r>
          </w:p>
          <w:p w14:paraId="141F6B7F" w14:textId="77777777" w:rsidR="009125FD" w:rsidRPr="005C5D59" w:rsidRDefault="009125FD" w:rsidP="009125FD">
            <w:pPr>
              <w:pStyle w:val="TableText"/>
              <w:rPr>
                <w:rFonts w:cs="Arial"/>
                <w:noProof/>
              </w:rPr>
            </w:pPr>
            <w:r w:rsidRPr="005C5D59">
              <w:rPr>
                <w:rStyle w:val="StyleTableText9ptCharChar"/>
                <w:rFonts w:cs="Arial"/>
              </w:rPr>
              <w:t xml:space="preserve">If </w:t>
            </w:r>
            <w:r>
              <w:rPr>
                <w:rStyle w:val="StyleTableText9ptCharChar"/>
                <w:rFonts w:cs="Arial"/>
              </w:rPr>
              <w:t>the user clicks “Yes,” selection can continue to select the unit.</w:t>
            </w:r>
          </w:p>
        </w:tc>
      </w:tr>
    </w:tbl>
    <w:p w14:paraId="7E7651F2" w14:textId="77777777" w:rsidR="009125FD" w:rsidRDefault="009125FD" w:rsidP="009125FD"/>
    <w:p w14:paraId="1C32B145" w14:textId="6B235764" w:rsidR="00C15299" w:rsidRDefault="009125FD" w:rsidP="00C15299">
      <w:pPr>
        <w:pStyle w:val="Caption"/>
      </w:pPr>
      <w:r>
        <w:br w:type="page"/>
      </w:r>
      <w:bookmarkStart w:id="883" w:name="_Ref407612064"/>
      <w:bookmarkStart w:id="884" w:name="_Ref343502433"/>
      <w:r w:rsidR="00C15299">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7D1829">
        <w:rPr>
          <w:noProof/>
        </w:rPr>
        <w:t>135</w:t>
      </w:r>
      <w:r w:rsidR="004E20BD">
        <w:rPr>
          <w:noProof/>
        </w:rPr>
        <w:fldChar w:fldCharType="end"/>
      </w:r>
      <w:bookmarkEnd w:id="883"/>
      <w:r w:rsidR="00C15299">
        <w:t>: Irradiate Cellular Products Only and Issue Blood Component</w:t>
      </w:r>
      <w:bookmarkEnd w:id="884"/>
    </w:p>
    <w:tbl>
      <w:tblPr>
        <w:tblW w:w="10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2" w:type="dxa"/>
          <w:right w:w="72" w:type="dxa"/>
        </w:tblCellMar>
        <w:tblLook w:val="04A0" w:firstRow="1" w:lastRow="0" w:firstColumn="1" w:lastColumn="0" w:noHBand="0" w:noVBand="1"/>
      </w:tblPr>
      <w:tblGrid>
        <w:gridCol w:w="1692"/>
        <w:gridCol w:w="1620"/>
        <w:gridCol w:w="1260"/>
        <w:gridCol w:w="1620"/>
        <w:gridCol w:w="4050"/>
      </w:tblGrid>
      <w:tr w:rsidR="009125FD" w:rsidRPr="005C5D59" w14:paraId="7E567714" w14:textId="77777777" w:rsidTr="009125FD">
        <w:trPr>
          <w:cantSplit/>
          <w:trHeight w:val="432"/>
          <w:tblHeader/>
        </w:trPr>
        <w:tc>
          <w:tcPr>
            <w:tcW w:w="10242" w:type="dxa"/>
            <w:gridSpan w:val="5"/>
            <w:tcBorders>
              <w:left w:val="single" w:sz="4" w:space="0" w:color="000000"/>
              <w:bottom w:val="single" w:sz="4" w:space="0" w:color="000000"/>
              <w:right w:val="single" w:sz="4" w:space="0" w:color="000000"/>
            </w:tcBorders>
            <w:shd w:val="pct25" w:color="auto" w:fill="auto"/>
            <w:vAlign w:val="bottom"/>
          </w:tcPr>
          <w:p w14:paraId="5FC75D63" w14:textId="77777777" w:rsidR="009125FD" w:rsidRPr="005C5D59" w:rsidRDefault="009125FD" w:rsidP="009125FD">
            <w:pPr>
              <w:rPr>
                <w:rFonts w:ascii="Arial" w:hAnsi="Arial" w:cs="Arial"/>
                <w:b/>
                <w:sz w:val="18"/>
                <w:szCs w:val="18"/>
              </w:rPr>
            </w:pPr>
            <w:r w:rsidRPr="005C5D59">
              <w:rPr>
                <w:rFonts w:ascii="Arial" w:hAnsi="Arial" w:cs="Arial"/>
                <w:b/>
                <w:sz w:val="18"/>
                <w:szCs w:val="18"/>
              </w:rPr>
              <w:t>Issue Blood Component: IRRADIATED</w:t>
            </w:r>
          </w:p>
        </w:tc>
      </w:tr>
      <w:tr w:rsidR="009125FD" w:rsidRPr="005C5D59" w14:paraId="2735C82E" w14:textId="77777777" w:rsidTr="009125FD">
        <w:trPr>
          <w:cantSplit/>
          <w:trHeight w:val="432"/>
          <w:tblHeader/>
        </w:trPr>
        <w:tc>
          <w:tcPr>
            <w:tcW w:w="1692" w:type="dxa"/>
            <w:tcBorders>
              <w:left w:val="single" w:sz="4" w:space="0" w:color="000000"/>
              <w:bottom w:val="single" w:sz="4" w:space="0" w:color="000000"/>
              <w:right w:val="single" w:sz="4" w:space="0" w:color="000000"/>
            </w:tcBorders>
            <w:shd w:val="pct25" w:color="auto" w:fill="auto"/>
            <w:vAlign w:val="bottom"/>
            <w:hideMark/>
          </w:tcPr>
          <w:p w14:paraId="56232B7B" w14:textId="77777777" w:rsidR="009125FD" w:rsidRPr="005C5D59" w:rsidRDefault="009125FD" w:rsidP="009125FD">
            <w:pPr>
              <w:rPr>
                <w:rFonts w:ascii="Arial" w:hAnsi="Arial" w:cs="Arial"/>
                <w:b/>
                <w:sz w:val="18"/>
                <w:szCs w:val="18"/>
              </w:rPr>
            </w:pPr>
            <w:r w:rsidRPr="005C5D59">
              <w:rPr>
                <w:rFonts w:ascii="Arial" w:hAnsi="Arial" w:cs="Arial"/>
                <w:b/>
                <w:sz w:val="18"/>
                <w:szCs w:val="18"/>
              </w:rPr>
              <w:t>Patient Active Transfusion Requirement</w:t>
            </w:r>
          </w:p>
        </w:tc>
        <w:tc>
          <w:tcPr>
            <w:tcW w:w="1620" w:type="dxa"/>
            <w:tcBorders>
              <w:left w:val="single" w:sz="4" w:space="0" w:color="000000"/>
              <w:bottom w:val="single" w:sz="4" w:space="0" w:color="000000"/>
              <w:right w:val="single" w:sz="4" w:space="0" w:color="000000"/>
            </w:tcBorders>
            <w:shd w:val="pct25" w:color="auto" w:fill="auto"/>
            <w:vAlign w:val="bottom"/>
            <w:hideMark/>
          </w:tcPr>
          <w:p w14:paraId="1E47F935" w14:textId="77777777" w:rsidR="009125FD" w:rsidRPr="005C5D59" w:rsidRDefault="009125FD" w:rsidP="009125FD">
            <w:pPr>
              <w:rPr>
                <w:rFonts w:ascii="Arial" w:hAnsi="Arial" w:cs="Arial"/>
                <w:b/>
                <w:color w:val="000000"/>
                <w:sz w:val="18"/>
                <w:szCs w:val="18"/>
                <w:highlight w:val="yellow"/>
              </w:rPr>
            </w:pPr>
            <w:r w:rsidRPr="005C5D59">
              <w:rPr>
                <w:rFonts w:ascii="Arial" w:hAnsi="Arial" w:cs="Arial"/>
                <w:b/>
                <w:sz w:val="18"/>
                <w:szCs w:val="18"/>
              </w:rPr>
              <w:t>Ordered Component Class*</w:t>
            </w:r>
          </w:p>
        </w:tc>
        <w:tc>
          <w:tcPr>
            <w:tcW w:w="126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4A3032D5" w14:textId="77777777" w:rsidR="009125FD" w:rsidRPr="005C5D59" w:rsidRDefault="009125FD" w:rsidP="009125FD">
            <w:pPr>
              <w:rPr>
                <w:rFonts w:ascii="Arial" w:hAnsi="Arial" w:cs="Arial"/>
                <w:b/>
                <w:sz w:val="18"/>
                <w:szCs w:val="18"/>
              </w:rPr>
            </w:pPr>
            <w:r>
              <w:rPr>
                <w:rFonts w:ascii="Arial" w:hAnsi="Arial" w:cs="Arial"/>
                <w:b/>
                <w:sz w:val="18"/>
                <w:szCs w:val="18"/>
              </w:rPr>
              <w:t>Selected U</w:t>
            </w:r>
            <w:r w:rsidRPr="005C5D59">
              <w:rPr>
                <w:rFonts w:ascii="Arial" w:hAnsi="Arial" w:cs="Arial"/>
                <w:b/>
                <w:sz w:val="18"/>
                <w:szCs w:val="18"/>
              </w:rPr>
              <w:t>nit is</w:t>
            </w:r>
          </w:p>
        </w:tc>
        <w:tc>
          <w:tcPr>
            <w:tcW w:w="162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361AE148" w14:textId="77777777" w:rsidR="009125FD" w:rsidRPr="005C5D59" w:rsidRDefault="009125FD" w:rsidP="009125FD">
            <w:pPr>
              <w:jc w:val="center"/>
              <w:rPr>
                <w:rFonts w:ascii="Arial" w:hAnsi="Arial" w:cs="Arial"/>
                <w:b/>
                <w:sz w:val="18"/>
                <w:szCs w:val="18"/>
              </w:rPr>
            </w:pPr>
            <w:r w:rsidRPr="005C5D59">
              <w:rPr>
                <w:rFonts w:ascii="Arial" w:hAnsi="Arial" w:cs="Arial"/>
                <w:b/>
                <w:sz w:val="18"/>
                <w:szCs w:val="18"/>
              </w:rPr>
              <w:t>User Role</w:t>
            </w:r>
          </w:p>
        </w:tc>
        <w:tc>
          <w:tcPr>
            <w:tcW w:w="405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40416112" w14:textId="77777777" w:rsidR="009125FD" w:rsidRPr="005C5D59" w:rsidRDefault="009125FD" w:rsidP="009125FD">
            <w:pPr>
              <w:jc w:val="center"/>
              <w:rPr>
                <w:rFonts w:ascii="Arial" w:hAnsi="Arial" w:cs="Arial"/>
                <w:b/>
                <w:sz w:val="18"/>
                <w:szCs w:val="18"/>
              </w:rPr>
            </w:pPr>
            <w:r>
              <w:rPr>
                <w:rFonts w:ascii="Arial" w:hAnsi="Arial" w:cs="Arial"/>
                <w:b/>
                <w:sz w:val="18"/>
                <w:szCs w:val="18"/>
              </w:rPr>
              <w:t xml:space="preserve">VBECS </w:t>
            </w:r>
            <w:r w:rsidRPr="005C5D59">
              <w:rPr>
                <w:rFonts w:ascii="Arial" w:hAnsi="Arial" w:cs="Arial"/>
                <w:b/>
                <w:sz w:val="18"/>
                <w:szCs w:val="18"/>
              </w:rPr>
              <w:t>Response</w:t>
            </w:r>
          </w:p>
        </w:tc>
      </w:tr>
      <w:tr w:rsidR="009125FD" w:rsidRPr="005C5D59" w14:paraId="27970CA7" w14:textId="77777777" w:rsidTr="009125FD">
        <w:trPr>
          <w:cantSplit/>
          <w:trHeight w:val="284"/>
        </w:trPr>
        <w:tc>
          <w:tcPr>
            <w:tcW w:w="1692" w:type="dxa"/>
            <w:vMerge w:val="restart"/>
            <w:tcBorders>
              <w:top w:val="single" w:sz="4" w:space="0" w:color="000000"/>
              <w:left w:val="single" w:sz="4" w:space="0" w:color="000000"/>
              <w:right w:val="single" w:sz="4" w:space="0" w:color="000000"/>
            </w:tcBorders>
            <w:vAlign w:val="center"/>
            <w:hideMark/>
          </w:tcPr>
          <w:p w14:paraId="554D61FA" w14:textId="77777777" w:rsidR="009125FD" w:rsidRPr="004F6C19" w:rsidRDefault="009125FD" w:rsidP="009125FD">
            <w:pPr>
              <w:jc w:val="center"/>
              <w:rPr>
                <w:rFonts w:ascii="Arial" w:hAnsi="Arial" w:cs="Arial"/>
                <w:b/>
                <w:sz w:val="28"/>
                <w:szCs w:val="28"/>
              </w:rPr>
            </w:pPr>
            <w:r w:rsidRPr="004F6C19">
              <w:rPr>
                <w:rFonts w:ascii="Arial" w:hAnsi="Arial" w:cs="Arial"/>
                <w:b/>
                <w:sz w:val="28"/>
                <w:szCs w:val="28"/>
              </w:rPr>
              <w:t>Irradiate</w:t>
            </w:r>
          </w:p>
          <w:p w14:paraId="14B4A8C9" w14:textId="77777777" w:rsidR="009125FD" w:rsidRPr="004F6C19" w:rsidRDefault="009125FD" w:rsidP="009125FD">
            <w:pPr>
              <w:jc w:val="center"/>
              <w:rPr>
                <w:rFonts w:ascii="Arial" w:hAnsi="Arial" w:cs="Arial"/>
                <w:b/>
                <w:sz w:val="28"/>
                <w:szCs w:val="28"/>
              </w:rPr>
            </w:pPr>
            <w:r w:rsidRPr="004F6C19">
              <w:rPr>
                <w:rFonts w:ascii="Arial" w:hAnsi="Arial" w:cs="Arial"/>
                <w:b/>
                <w:sz w:val="28"/>
                <w:szCs w:val="28"/>
              </w:rPr>
              <w:t xml:space="preserve">Cellular </w:t>
            </w:r>
            <w:r w:rsidRPr="004F6C19">
              <w:rPr>
                <w:rFonts w:ascii="Arial" w:hAnsi="Arial" w:cs="Arial"/>
                <w:b/>
                <w:sz w:val="28"/>
                <w:szCs w:val="28"/>
              </w:rPr>
              <w:br/>
              <w:t>Products</w:t>
            </w:r>
          </w:p>
          <w:p w14:paraId="71BBEF3F" w14:textId="77777777" w:rsidR="009125FD" w:rsidRPr="005C5D59" w:rsidRDefault="009125FD" w:rsidP="009125FD">
            <w:pPr>
              <w:jc w:val="center"/>
              <w:rPr>
                <w:rFonts w:ascii="Arial" w:hAnsi="Arial" w:cs="Arial"/>
                <w:sz w:val="18"/>
                <w:szCs w:val="18"/>
              </w:rPr>
            </w:pPr>
            <w:r w:rsidRPr="004F6C19">
              <w:rPr>
                <w:rFonts w:ascii="Arial" w:hAnsi="Arial" w:cs="Arial"/>
                <w:b/>
                <w:sz w:val="28"/>
                <w:szCs w:val="28"/>
              </w:rPr>
              <w:t>Only</w:t>
            </w:r>
          </w:p>
        </w:tc>
        <w:tc>
          <w:tcPr>
            <w:tcW w:w="1620" w:type="dxa"/>
            <w:tcBorders>
              <w:top w:val="single" w:sz="4" w:space="0" w:color="000000"/>
              <w:left w:val="single" w:sz="4" w:space="0" w:color="000000"/>
              <w:right w:val="single" w:sz="4" w:space="0" w:color="000000"/>
            </w:tcBorders>
            <w:shd w:val="pct10" w:color="auto" w:fill="auto"/>
            <w:vAlign w:val="center"/>
            <w:hideMark/>
          </w:tcPr>
          <w:p w14:paraId="51D647FC" w14:textId="77777777" w:rsidR="009125FD" w:rsidRDefault="009125FD" w:rsidP="009125FD">
            <w:pPr>
              <w:spacing w:before="120"/>
              <w:jc w:val="center"/>
              <w:rPr>
                <w:rFonts w:ascii="Arial" w:hAnsi="Arial" w:cs="Arial"/>
                <w:sz w:val="18"/>
                <w:szCs w:val="18"/>
              </w:rPr>
            </w:pPr>
            <w:r w:rsidRPr="005C5D59">
              <w:rPr>
                <w:rFonts w:ascii="Arial" w:hAnsi="Arial" w:cs="Arial"/>
                <w:sz w:val="18"/>
                <w:szCs w:val="18"/>
              </w:rPr>
              <w:t xml:space="preserve">RED BLOOD CELLS </w:t>
            </w:r>
          </w:p>
          <w:p w14:paraId="24947161" w14:textId="77777777" w:rsidR="009125FD" w:rsidRDefault="009125FD" w:rsidP="009125FD">
            <w:pPr>
              <w:spacing w:before="120"/>
              <w:jc w:val="center"/>
              <w:rPr>
                <w:rFonts w:ascii="Arial" w:hAnsi="Arial" w:cs="Arial"/>
                <w:sz w:val="18"/>
                <w:szCs w:val="18"/>
              </w:rPr>
            </w:pPr>
            <w:r w:rsidRPr="005C5D59">
              <w:rPr>
                <w:rFonts w:ascii="Arial" w:hAnsi="Arial" w:cs="Arial"/>
                <w:sz w:val="18"/>
                <w:szCs w:val="18"/>
              </w:rPr>
              <w:t xml:space="preserve">WHOLE BLOOD </w:t>
            </w:r>
          </w:p>
          <w:p w14:paraId="6DCE601D" w14:textId="77777777" w:rsidR="009125FD" w:rsidRPr="005C5D59" w:rsidRDefault="009125FD" w:rsidP="009125FD">
            <w:pPr>
              <w:spacing w:before="120"/>
              <w:jc w:val="center"/>
              <w:rPr>
                <w:rFonts w:ascii="Arial" w:hAnsi="Arial" w:cs="Arial"/>
                <w:sz w:val="18"/>
                <w:szCs w:val="18"/>
              </w:rPr>
            </w:pPr>
            <w:r w:rsidRPr="005C5D59">
              <w:rPr>
                <w:rFonts w:ascii="Arial" w:hAnsi="Arial" w:cs="Arial"/>
                <w:sz w:val="18"/>
                <w:szCs w:val="18"/>
              </w:rPr>
              <w:t>PLATELETS</w:t>
            </w:r>
          </w:p>
          <w:p w14:paraId="214A3C7C" w14:textId="77777777" w:rsidR="009125FD" w:rsidRPr="005C5D59" w:rsidRDefault="009125FD" w:rsidP="009125FD">
            <w:pPr>
              <w:spacing w:before="120"/>
              <w:jc w:val="center"/>
              <w:rPr>
                <w:rFonts w:ascii="Arial" w:hAnsi="Arial" w:cs="Arial"/>
                <w:sz w:val="18"/>
                <w:szCs w:val="18"/>
              </w:rPr>
            </w:pPr>
            <w:r w:rsidRPr="005C5D59">
              <w:rPr>
                <w:rFonts w:ascii="Arial" w:hAnsi="Arial" w:cs="Arial"/>
                <w:color w:val="000000"/>
                <w:sz w:val="18"/>
                <w:szCs w:val="18"/>
              </w:rPr>
              <w:t>OTHER</w:t>
            </w:r>
          </w:p>
        </w:tc>
        <w:tc>
          <w:tcPr>
            <w:tcW w:w="1260" w:type="dxa"/>
            <w:tcBorders>
              <w:top w:val="single" w:sz="4" w:space="0" w:color="000000"/>
              <w:left w:val="single" w:sz="4" w:space="0" w:color="000000"/>
              <w:right w:val="single" w:sz="4" w:space="0" w:color="000000"/>
            </w:tcBorders>
            <w:shd w:val="pct10" w:color="auto" w:fill="auto"/>
            <w:vAlign w:val="center"/>
            <w:hideMark/>
          </w:tcPr>
          <w:p w14:paraId="37FF35F1" w14:textId="77777777" w:rsidR="009125FD" w:rsidRPr="008E2609" w:rsidRDefault="009125FD" w:rsidP="009125FD">
            <w:pPr>
              <w:jc w:val="center"/>
              <w:rPr>
                <w:rFonts w:ascii="Arial" w:hAnsi="Arial" w:cs="Arial"/>
                <w:sz w:val="18"/>
                <w:szCs w:val="18"/>
              </w:rPr>
            </w:pPr>
            <w:r w:rsidRPr="008E2609">
              <w:rPr>
                <w:rFonts w:ascii="Arial" w:hAnsi="Arial" w:cs="Arial"/>
                <w:sz w:val="18"/>
                <w:szCs w:val="18"/>
              </w:rPr>
              <w:t>Irradiated</w:t>
            </w:r>
          </w:p>
        </w:tc>
        <w:tc>
          <w:tcPr>
            <w:tcW w:w="1620" w:type="dxa"/>
            <w:tcBorders>
              <w:top w:val="single" w:sz="4" w:space="0" w:color="000000"/>
              <w:left w:val="single" w:sz="4" w:space="0" w:color="000000"/>
              <w:right w:val="single" w:sz="4" w:space="0" w:color="000000"/>
            </w:tcBorders>
            <w:shd w:val="pct10" w:color="auto" w:fill="auto"/>
            <w:vAlign w:val="center"/>
            <w:hideMark/>
          </w:tcPr>
          <w:p w14:paraId="54C530AC" w14:textId="77777777" w:rsidR="009125FD" w:rsidRPr="008E2609" w:rsidRDefault="009125FD" w:rsidP="009125FD">
            <w:pPr>
              <w:jc w:val="center"/>
              <w:rPr>
                <w:rFonts w:ascii="Arial" w:hAnsi="Arial" w:cs="Arial"/>
                <w:sz w:val="18"/>
                <w:szCs w:val="18"/>
              </w:rPr>
            </w:pPr>
            <w:r w:rsidRPr="008E2609">
              <w:rPr>
                <w:rFonts w:ascii="Arial" w:hAnsi="Arial" w:cs="Arial"/>
                <w:sz w:val="18"/>
                <w:szCs w:val="18"/>
              </w:rPr>
              <w:t>ALL VBECS Users</w:t>
            </w:r>
          </w:p>
        </w:tc>
        <w:tc>
          <w:tcPr>
            <w:tcW w:w="4050" w:type="dxa"/>
            <w:tcBorders>
              <w:top w:val="single" w:sz="4" w:space="0" w:color="000000"/>
              <w:left w:val="single" w:sz="4" w:space="0" w:color="000000"/>
              <w:right w:val="single" w:sz="4" w:space="0" w:color="000000"/>
            </w:tcBorders>
            <w:shd w:val="pct10" w:color="auto" w:fill="auto"/>
            <w:vAlign w:val="center"/>
          </w:tcPr>
          <w:p w14:paraId="2BE91352" w14:textId="77777777" w:rsidR="009125FD" w:rsidRPr="005C5D59" w:rsidRDefault="009125FD" w:rsidP="009125FD">
            <w:pPr>
              <w:jc w:val="center"/>
              <w:rPr>
                <w:rFonts w:ascii="Arial" w:hAnsi="Arial" w:cs="Arial"/>
                <w:sz w:val="18"/>
                <w:szCs w:val="18"/>
              </w:rPr>
            </w:pPr>
            <w:r w:rsidRPr="005C5D59">
              <w:rPr>
                <w:rFonts w:ascii="Arial" w:hAnsi="Arial" w:cs="Arial"/>
                <w:sz w:val="18"/>
                <w:szCs w:val="18"/>
              </w:rPr>
              <w:t>No warning message will display.</w:t>
            </w:r>
          </w:p>
        </w:tc>
      </w:tr>
      <w:tr w:rsidR="009125FD" w:rsidRPr="005C5D59" w14:paraId="1A7E6804" w14:textId="77777777" w:rsidTr="009125FD">
        <w:trPr>
          <w:cantSplit/>
          <w:trHeight w:val="1758"/>
        </w:trPr>
        <w:tc>
          <w:tcPr>
            <w:tcW w:w="1692" w:type="dxa"/>
            <w:vMerge/>
            <w:tcBorders>
              <w:left w:val="single" w:sz="4" w:space="0" w:color="000000"/>
              <w:right w:val="single" w:sz="4" w:space="0" w:color="000000"/>
            </w:tcBorders>
            <w:vAlign w:val="bottom"/>
          </w:tcPr>
          <w:p w14:paraId="68CD30AB" w14:textId="77777777" w:rsidR="009125FD" w:rsidRPr="005C5D59" w:rsidRDefault="009125FD" w:rsidP="009125FD">
            <w:pPr>
              <w:rPr>
                <w:rFonts w:ascii="Arial" w:hAnsi="Arial" w:cs="Arial"/>
                <w:b/>
                <w:sz w:val="18"/>
                <w:szCs w:val="18"/>
              </w:rPr>
            </w:pPr>
          </w:p>
        </w:tc>
        <w:tc>
          <w:tcPr>
            <w:tcW w:w="1620" w:type="dxa"/>
            <w:tcBorders>
              <w:top w:val="single" w:sz="4" w:space="0" w:color="000000"/>
              <w:left w:val="single" w:sz="4" w:space="0" w:color="000000"/>
              <w:right w:val="single" w:sz="4" w:space="0" w:color="000000"/>
            </w:tcBorders>
            <w:vAlign w:val="center"/>
          </w:tcPr>
          <w:p w14:paraId="22D0ED56" w14:textId="77777777" w:rsidR="009125FD" w:rsidRPr="005C5D59" w:rsidRDefault="009125FD" w:rsidP="009125FD">
            <w:pPr>
              <w:spacing w:before="120"/>
              <w:jc w:val="center"/>
              <w:rPr>
                <w:rFonts w:ascii="Arial" w:hAnsi="Arial" w:cs="Arial"/>
                <w:sz w:val="18"/>
                <w:szCs w:val="18"/>
              </w:rPr>
            </w:pPr>
            <w:r w:rsidRPr="005C5D59">
              <w:rPr>
                <w:rFonts w:ascii="Arial" w:hAnsi="Arial" w:cs="Arial"/>
                <w:sz w:val="18"/>
                <w:szCs w:val="18"/>
              </w:rPr>
              <w:t xml:space="preserve">RED BLOOD CELLS </w:t>
            </w:r>
          </w:p>
          <w:p w14:paraId="442DAE38" w14:textId="77777777" w:rsidR="009125FD" w:rsidRPr="005C5D59" w:rsidRDefault="009125FD" w:rsidP="009125FD">
            <w:pPr>
              <w:spacing w:before="120"/>
              <w:jc w:val="center"/>
              <w:rPr>
                <w:rFonts w:ascii="Arial" w:hAnsi="Arial" w:cs="Arial"/>
                <w:sz w:val="18"/>
                <w:szCs w:val="18"/>
              </w:rPr>
            </w:pPr>
            <w:r w:rsidRPr="005C5D59">
              <w:rPr>
                <w:rFonts w:ascii="Arial" w:hAnsi="Arial" w:cs="Arial"/>
                <w:sz w:val="18"/>
                <w:szCs w:val="18"/>
              </w:rPr>
              <w:t>WHOLE BLOOD</w:t>
            </w:r>
          </w:p>
          <w:p w14:paraId="27817A1B" w14:textId="77777777" w:rsidR="009125FD" w:rsidRPr="005C5D59" w:rsidRDefault="009125FD" w:rsidP="009125FD">
            <w:pPr>
              <w:spacing w:before="120"/>
              <w:jc w:val="center"/>
              <w:rPr>
                <w:rFonts w:ascii="Arial" w:hAnsi="Arial" w:cs="Arial"/>
                <w:sz w:val="18"/>
                <w:szCs w:val="18"/>
              </w:rPr>
            </w:pPr>
            <w:r w:rsidRPr="005C5D59">
              <w:rPr>
                <w:rFonts w:ascii="Arial" w:hAnsi="Arial" w:cs="Arial"/>
                <w:sz w:val="18"/>
                <w:szCs w:val="18"/>
              </w:rPr>
              <w:t>PLATELETS</w:t>
            </w:r>
          </w:p>
          <w:p w14:paraId="2D361688" w14:textId="77777777" w:rsidR="009125FD" w:rsidRPr="005C5D59" w:rsidRDefault="009125FD" w:rsidP="009125FD">
            <w:pPr>
              <w:spacing w:before="120"/>
              <w:jc w:val="center"/>
              <w:rPr>
                <w:rFonts w:ascii="Arial" w:hAnsi="Arial" w:cs="Arial"/>
                <w:sz w:val="18"/>
                <w:szCs w:val="18"/>
              </w:rPr>
            </w:pPr>
            <w:r w:rsidRPr="005C5D59">
              <w:rPr>
                <w:rFonts w:ascii="Arial" w:hAnsi="Arial" w:cs="Arial"/>
                <w:color w:val="000000"/>
                <w:sz w:val="18"/>
                <w:szCs w:val="18"/>
              </w:rPr>
              <w:t>OTHER</w:t>
            </w:r>
          </w:p>
        </w:tc>
        <w:tc>
          <w:tcPr>
            <w:tcW w:w="1260" w:type="dxa"/>
            <w:tcBorders>
              <w:top w:val="single" w:sz="4" w:space="0" w:color="000000"/>
              <w:left w:val="single" w:sz="4" w:space="0" w:color="000000"/>
              <w:right w:val="single" w:sz="4" w:space="0" w:color="000000"/>
            </w:tcBorders>
            <w:vAlign w:val="center"/>
          </w:tcPr>
          <w:p w14:paraId="0F0B2624" w14:textId="77777777" w:rsidR="009125FD" w:rsidRPr="005C5D59" w:rsidRDefault="009125FD" w:rsidP="009125FD">
            <w:pPr>
              <w:jc w:val="center"/>
              <w:rPr>
                <w:rFonts w:ascii="Arial" w:hAnsi="Arial" w:cs="Arial"/>
                <w:color w:val="FF0000"/>
                <w:sz w:val="18"/>
                <w:szCs w:val="18"/>
              </w:rPr>
            </w:pPr>
            <w:r w:rsidRPr="005C5D59">
              <w:rPr>
                <w:rFonts w:ascii="Arial" w:hAnsi="Arial" w:cs="Arial"/>
                <w:b/>
                <w:color w:val="FF0000"/>
                <w:sz w:val="18"/>
                <w:szCs w:val="18"/>
              </w:rPr>
              <w:t>Not Irradiated</w:t>
            </w:r>
          </w:p>
        </w:tc>
        <w:tc>
          <w:tcPr>
            <w:tcW w:w="1620" w:type="dxa"/>
            <w:tcBorders>
              <w:top w:val="single" w:sz="4" w:space="0" w:color="000000"/>
              <w:left w:val="single" w:sz="4" w:space="0" w:color="000000"/>
              <w:right w:val="single" w:sz="4" w:space="0" w:color="000000"/>
            </w:tcBorders>
            <w:vAlign w:val="center"/>
          </w:tcPr>
          <w:p w14:paraId="39C2F88A" w14:textId="77777777" w:rsidR="009125FD" w:rsidRPr="0081278B" w:rsidRDefault="009125FD" w:rsidP="009125FD">
            <w:pPr>
              <w:ind w:left="18"/>
              <w:rPr>
                <w:rFonts w:ascii="Arial" w:hAnsi="Arial" w:cs="Arial"/>
                <w:sz w:val="18"/>
                <w:szCs w:val="18"/>
              </w:rPr>
            </w:pPr>
            <w:r w:rsidRPr="0081278B">
              <w:rPr>
                <w:rFonts w:ascii="Arial" w:hAnsi="Arial" w:cs="Arial"/>
                <w:noProof/>
                <w:sz w:val="18"/>
                <w:szCs w:val="18"/>
              </w:rPr>
              <w:t>Technologist</w:t>
            </w:r>
          </w:p>
          <w:p w14:paraId="07C58839" w14:textId="77777777" w:rsidR="009125FD" w:rsidRPr="00836EE2" w:rsidRDefault="009125FD" w:rsidP="009125FD">
            <w:pPr>
              <w:ind w:left="18"/>
              <w:jc w:val="center"/>
              <w:rPr>
                <w:rFonts w:ascii="Arial" w:hAnsi="Arial" w:cs="Arial"/>
                <w:sz w:val="18"/>
                <w:szCs w:val="18"/>
              </w:rPr>
            </w:pPr>
          </w:p>
          <w:p w14:paraId="4007AE20" w14:textId="77777777" w:rsidR="009125FD" w:rsidRPr="0081278B" w:rsidRDefault="009125FD" w:rsidP="009125FD">
            <w:pPr>
              <w:ind w:left="18"/>
              <w:rPr>
                <w:rFonts w:ascii="Arial" w:hAnsi="Arial" w:cs="Arial"/>
                <w:noProof/>
                <w:sz w:val="18"/>
                <w:szCs w:val="18"/>
              </w:rPr>
            </w:pPr>
            <w:r w:rsidRPr="0081278B">
              <w:rPr>
                <w:rFonts w:ascii="Arial" w:hAnsi="Arial" w:cs="Arial"/>
                <w:noProof/>
                <w:sz w:val="18"/>
                <w:szCs w:val="18"/>
              </w:rPr>
              <w:t>Enhanced Technologist</w:t>
            </w:r>
          </w:p>
        </w:tc>
        <w:tc>
          <w:tcPr>
            <w:tcW w:w="4050" w:type="dxa"/>
            <w:tcBorders>
              <w:top w:val="single" w:sz="4" w:space="0" w:color="000000"/>
              <w:left w:val="single" w:sz="4" w:space="0" w:color="000000"/>
              <w:right w:val="single" w:sz="4" w:space="0" w:color="000000"/>
            </w:tcBorders>
            <w:vAlign w:val="bottom"/>
          </w:tcPr>
          <w:p w14:paraId="01AFDD0B" w14:textId="77777777" w:rsidR="009125FD" w:rsidRDefault="009125FD" w:rsidP="009125FD">
            <w:pPr>
              <w:rPr>
                <w:rFonts w:ascii="Arial" w:hAnsi="Arial" w:cs="Arial"/>
                <w:sz w:val="18"/>
                <w:szCs w:val="18"/>
              </w:rPr>
            </w:pPr>
            <w:r w:rsidRPr="005C5D59">
              <w:rPr>
                <w:rFonts w:ascii="Arial" w:hAnsi="Arial" w:cs="Arial"/>
                <w:sz w:val="18"/>
                <w:szCs w:val="18"/>
              </w:rPr>
              <w:t xml:space="preserve">The system displays the warning message: </w:t>
            </w:r>
            <w:r w:rsidRPr="00836EE2">
              <w:rPr>
                <w:rFonts w:ascii="Arial" w:hAnsi="Arial" w:cs="Arial"/>
                <w:i/>
                <w:sz w:val="18"/>
                <w:szCs w:val="18"/>
              </w:rPr>
              <w:t>Patient’s Transfusion Requirement is not satisfied.</w:t>
            </w:r>
            <w:r w:rsidRPr="005C5D59">
              <w:rPr>
                <w:rFonts w:ascii="Arial" w:hAnsi="Arial" w:cs="Arial"/>
                <w:sz w:val="18"/>
                <w:szCs w:val="18"/>
              </w:rPr>
              <w:t xml:space="preserve"> </w:t>
            </w:r>
            <w:r w:rsidRPr="007F3B3C">
              <w:rPr>
                <w:rFonts w:ascii="Arial" w:hAnsi="Arial" w:cs="Arial"/>
                <w:i/>
                <w:sz w:val="18"/>
                <w:szCs w:val="18"/>
              </w:rPr>
              <w:t>You do not have the proper security to issue this unit. Further processing is needed and must be documented in VBECS.</w:t>
            </w:r>
            <w:r w:rsidRPr="005C5D59">
              <w:rPr>
                <w:rFonts w:ascii="Arial" w:hAnsi="Arial" w:cs="Arial"/>
                <w:sz w:val="18"/>
                <w:szCs w:val="18"/>
              </w:rPr>
              <w:t xml:space="preserve"> </w:t>
            </w:r>
          </w:p>
          <w:p w14:paraId="52BF9330" w14:textId="77777777" w:rsidR="009125FD" w:rsidRPr="005C5D59" w:rsidRDefault="009125FD" w:rsidP="009125FD">
            <w:pPr>
              <w:rPr>
                <w:rFonts w:ascii="Arial" w:hAnsi="Arial" w:cs="Arial"/>
                <w:sz w:val="18"/>
                <w:szCs w:val="18"/>
              </w:rPr>
            </w:pPr>
            <w:r>
              <w:rPr>
                <w:rFonts w:ascii="Arial" w:hAnsi="Arial" w:cs="Arial"/>
                <w:sz w:val="18"/>
                <w:szCs w:val="18"/>
              </w:rPr>
              <w:t>The tech may not issue this unit in the computer.</w:t>
            </w:r>
          </w:p>
        </w:tc>
      </w:tr>
      <w:tr w:rsidR="009125FD" w:rsidRPr="005C5D59" w14:paraId="54F4FE60" w14:textId="77777777" w:rsidTr="009125FD">
        <w:trPr>
          <w:cantSplit/>
          <w:trHeight w:val="2343"/>
        </w:trPr>
        <w:tc>
          <w:tcPr>
            <w:tcW w:w="1692" w:type="dxa"/>
            <w:vMerge/>
            <w:tcBorders>
              <w:left w:val="single" w:sz="4" w:space="0" w:color="000000"/>
              <w:right w:val="single" w:sz="4" w:space="0" w:color="000000"/>
            </w:tcBorders>
            <w:vAlign w:val="bottom"/>
          </w:tcPr>
          <w:p w14:paraId="7E69282F" w14:textId="77777777" w:rsidR="009125FD" w:rsidRPr="005C5D59" w:rsidRDefault="009125FD" w:rsidP="009125FD">
            <w:pPr>
              <w:rPr>
                <w:rFonts w:ascii="Arial" w:hAnsi="Arial" w:cs="Arial"/>
                <w:b/>
                <w:sz w:val="18"/>
                <w:szCs w:val="18"/>
              </w:rPr>
            </w:pPr>
          </w:p>
        </w:tc>
        <w:tc>
          <w:tcPr>
            <w:tcW w:w="1620" w:type="dxa"/>
            <w:tcBorders>
              <w:top w:val="single" w:sz="4" w:space="0" w:color="000000"/>
              <w:left w:val="single" w:sz="4" w:space="0" w:color="000000"/>
              <w:right w:val="single" w:sz="4" w:space="0" w:color="000000"/>
            </w:tcBorders>
            <w:vAlign w:val="center"/>
          </w:tcPr>
          <w:p w14:paraId="23377EE6" w14:textId="77777777" w:rsidR="009125FD" w:rsidRPr="005C5D59" w:rsidRDefault="009125FD" w:rsidP="009125FD">
            <w:pPr>
              <w:spacing w:before="120"/>
              <w:jc w:val="center"/>
              <w:rPr>
                <w:rFonts w:ascii="Arial" w:hAnsi="Arial" w:cs="Arial"/>
                <w:sz w:val="18"/>
                <w:szCs w:val="18"/>
              </w:rPr>
            </w:pPr>
            <w:r w:rsidRPr="005C5D59">
              <w:rPr>
                <w:rFonts w:ascii="Arial" w:hAnsi="Arial" w:cs="Arial"/>
                <w:sz w:val="18"/>
                <w:szCs w:val="18"/>
              </w:rPr>
              <w:t xml:space="preserve">RED BLOOD CELLS </w:t>
            </w:r>
          </w:p>
          <w:p w14:paraId="230BFFB8" w14:textId="77777777" w:rsidR="009125FD" w:rsidRPr="005C5D59" w:rsidRDefault="009125FD" w:rsidP="009125FD">
            <w:pPr>
              <w:spacing w:before="120"/>
              <w:jc w:val="center"/>
              <w:rPr>
                <w:rFonts w:ascii="Arial" w:hAnsi="Arial" w:cs="Arial"/>
                <w:sz w:val="18"/>
                <w:szCs w:val="18"/>
              </w:rPr>
            </w:pPr>
            <w:r w:rsidRPr="005C5D59">
              <w:rPr>
                <w:rFonts w:ascii="Arial" w:hAnsi="Arial" w:cs="Arial"/>
                <w:sz w:val="18"/>
                <w:szCs w:val="18"/>
              </w:rPr>
              <w:t>WHOLE BLOOD</w:t>
            </w:r>
          </w:p>
          <w:p w14:paraId="1E5DF83C" w14:textId="77777777" w:rsidR="009125FD" w:rsidRPr="005C5D59" w:rsidRDefault="009125FD" w:rsidP="009125FD">
            <w:pPr>
              <w:spacing w:before="120"/>
              <w:jc w:val="center"/>
              <w:rPr>
                <w:rFonts w:ascii="Arial" w:hAnsi="Arial" w:cs="Arial"/>
                <w:sz w:val="18"/>
                <w:szCs w:val="18"/>
              </w:rPr>
            </w:pPr>
            <w:r w:rsidRPr="005C5D59">
              <w:rPr>
                <w:rFonts w:ascii="Arial" w:hAnsi="Arial" w:cs="Arial"/>
                <w:sz w:val="18"/>
                <w:szCs w:val="18"/>
              </w:rPr>
              <w:t>PLATELETS</w:t>
            </w:r>
          </w:p>
          <w:p w14:paraId="1608C6BA" w14:textId="77777777" w:rsidR="009125FD" w:rsidRPr="005C5D59" w:rsidRDefault="009125FD" w:rsidP="009125FD">
            <w:pPr>
              <w:spacing w:before="120"/>
              <w:jc w:val="center"/>
              <w:rPr>
                <w:rFonts w:ascii="Arial" w:hAnsi="Arial" w:cs="Arial"/>
                <w:sz w:val="18"/>
                <w:szCs w:val="18"/>
              </w:rPr>
            </w:pPr>
            <w:r w:rsidRPr="005C5D59">
              <w:rPr>
                <w:rFonts w:ascii="Arial" w:hAnsi="Arial" w:cs="Arial"/>
                <w:color w:val="000000"/>
                <w:sz w:val="18"/>
                <w:szCs w:val="18"/>
              </w:rPr>
              <w:t>OTHER</w:t>
            </w:r>
          </w:p>
        </w:tc>
        <w:tc>
          <w:tcPr>
            <w:tcW w:w="1260" w:type="dxa"/>
            <w:tcBorders>
              <w:top w:val="single" w:sz="4" w:space="0" w:color="000000"/>
              <w:left w:val="single" w:sz="4" w:space="0" w:color="000000"/>
              <w:right w:val="single" w:sz="4" w:space="0" w:color="000000"/>
            </w:tcBorders>
            <w:vAlign w:val="center"/>
          </w:tcPr>
          <w:p w14:paraId="69BC987F" w14:textId="77777777" w:rsidR="009125FD" w:rsidRPr="005C5D59" w:rsidRDefault="009125FD" w:rsidP="009125FD">
            <w:pPr>
              <w:jc w:val="center"/>
              <w:rPr>
                <w:rFonts w:ascii="Arial" w:hAnsi="Arial" w:cs="Arial"/>
                <w:color w:val="FF0000"/>
                <w:sz w:val="18"/>
                <w:szCs w:val="18"/>
              </w:rPr>
            </w:pPr>
            <w:r w:rsidRPr="005C5D59">
              <w:rPr>
                <w:rFonts w:ascii="Arial" w:hAnsi="Arial" w:cs="Arial"/>
                <w:b/>
                <w:color w:val="FF0000"/>
                <w:sz w:val="18"/>
                <w:szCs w:val="18"/>
              </w:rPr>
              <w:t>Not Irradiated</w:t>
            </w:r>
          </w:p>
        </w:tc>
        <w:tc>
          <w:tcPr>
            <w:tcW w:w="1620" w:type="dxa"/>
            <w:tcBorders>
              <w:top w:val="single" w:sz="4" w:space="0" w:color="000000"/>
              <w:left w:val="single" w:sz="4" w:space="0" w:color="000000"/>
              <w:right w:val="single" w:sz="4" w:space="0" w:color="000000"/>
            </w:tcBorders>
            <w:vAlign w:val="center"/>
          </w:tcPr>
          <w:p w14:paraId="0333328E" w14:textId="77777777" w:rsidR="009125FD" w:rsidRPr="0081278B" w:rsidRDefault="009125FD" w:rsidP="009125FD">
            <w:pPr>
              <w:spacing w:before="120"/>
              <w:ind w:left="18"/>
              <w:rPr>
                <w:rFonts w:ascii="Arial" w:hAnsi="Arial" w:cs="Arial"/>
                <w:sz w:val="18"/>
                <w:szCs w:val="18"/>
              </w:rPr>
            </w:pPr>
            <w:r w:rsidRPr="0081278B">
              <w:rPr>
                <w:rFonts w:ascii="Arial" w:hAnsi="Arial" w:cs="Arial"/>
                <w:sz w:val="18"/>
                <w:szCs w:val="18"/>
              </w:rPr>
              <w:t>Lead Technologist</w:t>
            </w:r>
          </w:p>
          <w:p w14:paraId="5E273312" w14:textId="77777777" w:rsidR="009125FD" w:rsidRPr="0081278B" w:rsidRDefault="009125FD" w:rsidP="009125FD">
            <w:pPr>
              <w:spacing w:before="120"/>
              <w:ind w:left="18"/>
              <w:rPr>
                <w:rFonts w:ascii="Arial" w:hAnsi="Arial" w:cs="Arial"/>
                <w:sz w:val="18"/>
                <w:szCs w:val="18"/>
              </w:rPr>
            </w:pPr>
            <w:r w:rsidRPr="0081278B">
              <w:rPr>
                <w:rFonts w:ascii="Arial" w:hAnsi="Arial" w:cs="Arial"/>
                <w:sz w:val="18"/>
                <w:szCs w:val="18"/>
              </w:rPr>
              <w:t>Traditional Supervisor</w:t>
            </w:r>
          </w:p>
          <w:p w14:paraId="20DF304E" w14:textId="77777777" w:rsidR="009125FD" w:rsidRPr="0081278B" w:rsidRDefault="009125FD" w:rsidP="009125FD">
            <w:pPr>
              <w:spacing w:before="120"/>
              <w:ind w:left="18"/>
              <w:rPr>
                <w:rFonts w:ascii="Arial" w:hAnsi="Arial" w:cs="Arial"/>
                <w:sz w:val="18"/>
                <w:szCs w:val="18"/>
              </w:rPr>
            </w:pPr>
            <w:r w:rsidRPr="0081278B">
              <w:rPr>
                <w:rFonts w:ascii="Arial" w:hAnsi="Arial" w:cs="Arial"/>
                <w:sz w:val="18"/>
                <w:szCs w:val="18"/>
              </w:rPr>
              <w:t>Enhanced Supervisor</w:t>
            </w:r>
          </w:p>
          <w:p w14:paraId="2D4CE6FF" w14:textId="77777777" w:rsidR="009125FD" w:rsidRPr="0081278B" w:rsidRDefault="009125FD" w:rsidP="009125FD">
            <w:pPr>
              <w:spacing w:before="120"/>
              <w:ind w:left="18"/>
              <w:rPr>
                <w:rFonts w:ascii="Arial" w:hAnsi="Arial" w:cs="Arial"/>
                <w:sz w:val="18"/>
                <w:szCs w:val="18"/>
              </w:rPr>
            </w:pPr>
            <w:r w:rsidRPr="0081278B">
              <w:rPr>
                <w:rFonts w:ascii="Arial" w:hAnsi="Arial" w:cs="Arial"/>
                <w:sz w:val="18"/>
                <w:szCs w:val="18"/>
              </w:rPr>
              <w:t>Administrator/Supervisor</w:t>
            </w:r>
          </w:p>
          <w:p w14:paraId="7A468320" w14:textId="77777777" w:rsidR="009125FD" w:rsidRPr="008B278A" w:rsidRDefault="009125FD" w:rsidP="009125FD">
            <w:pPr>
              <w:ind w:left="18"/>
              <w:rPr>
                <w:rFonts w:ascii="Arial" w:hAnsi="Arial" w:cs="Arial"/>
                <w:sz w:val="18"/>
                <w:szCs w:val="18"/>
              </w:rPr>
            </w:pPr>
          </w:p>
        </w:tc>
        <w:tc>
          <w:tcPr>
            <w:tcW w:w="4050" w:type="dxa"/>
            <w:tcBorders>
              <w:top w:val="single" w:sz="4" w:space="0" w:color="000000"/>
              <w:left w:val="single" w:sz="4" w:space="0" w:color="000000"/>
              <w:right w:val="single" w:sz="4" w:space="0" w:color="000000"/>
            </w:tcBorders>
            <w:vAlign w:val="bottom"/>
          </w:tcPr>
          <w:p w14:paraId="7E214F31" w14:textId="77777777" w:rsidR="009125FD" w:rsidRPr="005C5D59" w:rsidRDefault="009125FD" w:rsidP="009125FD">
            <w:pPr>
              <w:rPr>
                <w:rFonts w:ascii="Arial" w:hAnsi="Arial" w:cs="Arial"/>
                <w:sz w:val="18"/>
                <w:szCs w:val="18"/>
              </w:rPr>
            </w:pPr>
            <w:r w:rsidRPr="005C5D59">
              <w:rPr>
                <w:rFonts w:ascii="Arial" w:hAnsi="Arial" w:cs="Arial"/>
                <w:sz w:val="18"/>
                <w:szCs w:val="18"/>
              </w:rPr>
              <w:t xml:space="preserve">The system displays the warning message: </w:t>
            </w:r>
            <w:r w:rsidRPr="00836EE2">
              <w:rPr>
                <w:rFonts w:ascii="Arial" w:hAnsi="Arial" w:cs="Arial"/>
                <w:i/>
                <w:sz w:val="18"/>
                <w:szCs w:val="18"/>
              </w:rPr>
              <w:t>Patient’s Irradiate Cellular Products Only Transfusion Requirement is not satisfied</w:t>
            </w:r>
            <w:r w:rsidRPr="005C5D59">
              <w:rPr>
                <w:rFonts w:ascii="Arial" w:hAnsi="Arial" w:cs="Arial"/>
                <w:sz w:val="18"/>
                <w:szCs w:val="18"/>
              </w:rPr>
              <w:t xml:space="preserve"> and prompts the user whether to proceed. </w:t>
            </w:r>
          </w:p>
          <w:p w14:paraId="5EE812A5" w14:textId="77777777" w:rsidR="009125FD" w:rsidRPr="005C5D59" w:rsidRDefault="009125FD" w:rsidP="009125FD">
            <w:pPr>
              <w:rPr>
                <w:rFonts w:ascii="Arial" w:hAnsi="Arial" w:cs="Arial"/>
                <w:sz w:val="18"/>
                <w:szCs w:val="18"/>
              </w:rPr>
            </w:pPr>
            <w:r w:rsidRPr="005C5D59">
              <w:rPr>
                <w:rFonts w:ascii="Arial" w:hAnsi="Arial" w:cs="Arial"/>
                <w:sz w:val="18"/>
                <w:szCs w:val="18"/>
              </w:rPr>
              <w:t>If the user responds “No”</w:t>
            </w:r>
            <w:r>
              <w:rPr>
                <w:rFonts w:ascii="Arial" w:hAnsi="Arial" w:cs="Arial"/>
                <w:sz w:val="18"/>
                <w:szCs w:val="18"/>
              </w:rPr>
              <w:t>,</w:t>
            </w:r>
            <w:r w:rsidRPr="005C5D59">
              <w:rPr>
                <w:rFonts w:ascii="Arial" w:hAnsi="Arial" w:cs="Arial"/>
                <w:sz w:val="18"/>
                <w:szCs w:val="18"/>
              </w:rPr>
              <w:t xml:space="preserve"> the system wi</w:t>
            </w:r>
            <w:r>
              <w:rPr>
                <w:rFonts w:ascii="Arial" w:hAnsi="Arial" w:cs="Arial"/>
                <w:sz w:val="18"/>
                <w:szCs w:val="18"/>
              </w:rPr>
              <w:t>ll clear the selected unit.</w:t>
            </w:r>
          </w:p>
          <w:p w14:paraId="082029EC" w14:textId="33F7E9F4" w:rsidR="009125FD" w:rsidRPr="005C5D59" w:rsidRDefault="009125FD" w:rsidP="009125FD">
            <w:pPr>
              <w:rPr>
                <w:rFonts w:ascii="Arial" w:hAnsi="Arial" w:cs="Arial"/>
                <w:sz w:val="18"/>
                <w:szCs w:val="18"/>
              </w:rPr>
            </w:pPr>
            <w:r w:rsidRPr="005C5D59">
              <w:rPr>
                <w:rFonts w:ascii="Arial" w:hAnsi="Arial" w:cs="Arial"/>
                <w:sz w:val="18"/>
                <w:szCs w:val="18"/>
              </w:rPr>
              <w:t>If the user responds “Yes”</w:t>
            </w:r>
            <w:r>
              <w:rPr>
                <w:rFonts w:ascii="Arial" w:hAnsi="Arial" w:cs="Arial"/>
                <w:sz w:val="18"/>
                <w:szCs w:val="18"/>
              </w:rPr>
              <w:t>,</w:t>
            </w:r>
            <w:r w:rsidRPr="005C5D59">
              <w:rPr>
                <w:rFonts w:ascii="Arial" w:hAnsi="Arial" w:cs="Arial"/>
                <w:sz w:val="18"/>
                <w:szCs w:val="18"/>
              </w:rPr>
              <w:t xml:space="preserve"> the system will require a comment (free text or canned, “unit issue” context) and capture the transacti</w:t>
            </w:r>
            <w:r>
              <w:rPr>
                <w:rFonts w:ascii="Arial" w:hAnsi="Arial" w:cs="Arial"/>
                <w:sz w:val="18"/>
                <w:szCs w:val="18"/>
              </w:rPr>
              <w:t xml:space="preserve">on details for </w:t>
            </w:r>
            <w:r w:rsidR="00AE3B37">
              <w:rPr>
                <w:rFonts w:ascii="Arial" w:hAnsi="Arial" w:cs="Arial"/>
                <w:sz w:val="18"/>
                <w:szCs w:val="18"/>
              </w:rPr>
              <w:t>inclusion in</w:t>
            </w:r>
            <w:r>
              <w:rPr>
                <w:rFonts w:ascii="Arial" w:hAnsi="Arial" w:cs="Arial"/>
                <w:sz w:val="18"/>
                <w:szCs w:val="18"/>
              </w:rPr>
              <w:t xml:space="preserve"> an Exception R</w:t>
            </w:r>
            <w:r w:rsidRPr="005C5D59">
              <w:rPr>
                <w:rFonts w:ascii="Arial" w:hAnsi="Arial" w:cs="Arial"/>
                <w:sz w:val="18"/>
                <w:szCs w:val="18"/>
              </w:rPr>
              <w:t>eport</w:t>
            </w:r>
            <w:r>
              <w:rPr>
                <w:rFonts w:ascii="Arial" w:hAnsi="Arial" w:cs="Arial"/>
                <w:sz w:val="18"/>
                <w:szCs w:val="18"/>
              </w:rPr>
              <w:t xml:space="preserve"> entry</w:t>
            </w:r>
            <w:r w:rsidRPr="005C5D59">
              <w:rPr>
                <w:rFonts w:ascii="Arial" w:hAnsi="Arial" w:cs="Arial"/>
                <w:sz w:val="18"/>
                <w:szCs w:val="18"/>
              </w:rPr>
              <w:t xml:space="preserve">: </w:t>
            </w:r>
            <w:r w:rsidRPr="005C5D59">
              <w:rPr>
                <w:rFonts w:ascii="Arial" w:hAnsi="Arial" w:cs="Arial"/>
                <w:i/>
                <w:sz w:val="18"/>
                <w:szCs w:val="18"/>
              </w:rPr>
              <w:t>Unit issued with unsatisfied Transfusion Requirement</w:t>
            </w:r>
            <w:r>
              <w:rPr>
                <w:rFonts w:ascii="Arial" w:hAnsi="Arial" w:cs="Arial"/>
                <w:sz w:val="18"/>
                <w:szCs w:val="18"/>
              </w:rPr>
              <w:t>.</w:t>
            </w:r>
          </w:p>
        </w:tc>
      </w:tr>
    </w:tbl>
    <w:p w14:paraId="55CF9931" w14:textId="77777777" w:rsidR="009125FD" w:rsidRPr="000B5AC8" w:rsidRDefault="009125FD" w:rsidP="009125FD"/>
    <w:p w14:paraId="1834D15B" w14:textId="7B6FADBA" w:rsidR="00C15299" w:rsidRDefault="009125FD" w:rsidP="00C15299">
      <w:pPr>
        <w:pStyle w:val="Caption"/>
      </w:pPr>
      <w:r>
        <w:br w:type="page"/>
      </w:r>
      <w:bookmarkStart w:id="885" w:name="_Ref407612076"/>
      <w:bookmarkStart w:id="886" w:name="_Ref343502457"/>
      <w:r w:rsidR="00C15299">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7D1829">
        <w:rPr>
          <w:noProof/>
        </w:rPr>
        <w:t>136</w:t>
      </w:r>
      <w:r w:rsidR="004E20BD">
        <w:rPr>
          <w:noProof/>
        </w:rPr>
        <w:fldChar w:fldCharType="end"/>
      </w:r>
      <w:bookmarkEnd w:id="885"/>
      <w:r w:rsidR="00C15299">
        <w:t>: Leuko-reduce Cellular Products and Select Blood Unit</w:t>
      </w:r>
      <w:bookmarkEnd w:id="886"/>
    </w:p>
    <w:tbl>
      <w:tblPr>
        <w:tblW w:w="10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2" w:type="dxa"/>
          <w:right w:w="72" w:type="dxa"/>
        </w:tblCellMar>
        <w:tblLook w:val="04A0" w:firstRow="1" w:lastRow="0" w:firstColumn="1" w:lastColumn="0" w:noHBand="0" w:noVBand="1"/>
      </w:tblPr>
      <w:tblGrid>
        <w:gridCol w:w="1692"/>
        <w:gridCol w:w="1620"/>
        <w:gridCol w:w="1260"/>
        <w:gridCol w:w="1620"/>
        <w:gridCol w:w="4050"/>
      </w:tblGrid>
      <w:tr w:rsidR="009125FD" w:rsidRPr="005C5D59" w14:paraId="4F9CBE01" w14:textId="77777777" w:rsidTr="009125FD">
        <w:trPr>
          <w:cantSplit/>
          <w:trHeight w:val="305"/>
          <w:tblHeader/>
        </w:trPr>
        <w:tc>
          <w:tcPr>
            <w:tcW w:w="10242" w:type="dxa"/>
            <w:gridSpan w:val="5"/>
            <w:tcBorders>
              <w:top w:val="single" w:sz="4" w:space="0" w:color="000000"/>
              <w:left w:val="single" w:sz="4" w:space="0" w:color="000000"/>
              <w:right w:val="single" w:sz="4" w:space="0" w:color="000000"/>
            </w:tcBorders>
            <w:shd w:val="pct25" w:color="auto" w:fill="auto"/>
            <w:vAlign w:val="bottom"/>
            <w:hideMark/>
          </w:tcPr>
          <w:p w14:paraId="3D5060C2" w14:textId="77777777" w:rsidR="009125FD" w:rsidRPr="005C5D59" w:rsidRDefault="009125FD" w:rsidP="009125FD">
            <w:pPr>
              <w:rPr>
                <w:rFonts w:ascii="Arial" w:hAnsi="Arial" w:cs="Arial"/>
                <w:b/>
                <w:sz w:val="18"/>
                <w:szCs w:val="18"/>
              </w:rPr>
            </w:pPr>
            <w:r w:rsidRPr="005C5D59">
              <w:rPr>
                <w:rFonts w:ascii="Arial" w:hAnsi="Arial" w:cs="Arial"/>
                <w:b/>
                <w:sz w:val="18"/>
                <w:szCs w:val="18"/>
              </w:rPr>
              <w:t xml:space="preserve">Select Unit: </w:t>
            </w:r>
            <w:r w:rsidRPr="00996892">
              <w:rPr>
                <w:rFonts w:ascii="Arial" w:hAnsi="Arial" w:cs="Arial"/>
                <w:b/>
                <w:sz w:val="18"/>
                <w:szCs w:val="18"/>
              </w:rPr>
              <w:t>Leuko-reduce</w:t>
            </w:r>
            <w:r>
              <w:rPr>
                <w:rFonts w:ascii="Arial" w:hAnsi="Arial" w:cs="Arial"/>
                <w:b/>
                <w:sz w:val="18"/>
                <w:szCs w:val="18"/>
              </w:rPr>
              <w:t xml:space="preserve"> Cellular Products</w:t>
            </w:r>
          </w:p>
        </w:tc>
      </w:tr>
      <w:tr w:rsidR="009125FD" w:rsidRPr="005C5D59" w14:paraId="35BE6EA8" w14:textId="77777777" w:rsidTr="009125FD">
        <w:trPr>
          <w:cantSplit/>
          <w:trHeight w:val="432"/>
          <w:tblHeader/>
        </w:trPr>
        <w:tc>
          <w:tcPr>
            <w:tcW w:w="1692" w:type="dxa"/>
            <w:tcBorders>
              <w:left w:val="single" w:sz="4" w:space="0" w:color="000000"/>
              <w:bottom w:val="single" w:sz="4" w:space="0" w:color="000000"/>
              <w:right w:val="single" w:sz="4" w:space="0" w:color="000000"/>
            </w:tcBorders>
            <w:shd w:val="pct25" w:color="auto" w:fill="auto"/>
            <w:vAlign w:val="bottom"/>
            <w:hideMark/>
          </w:tcPr>
          <w:p w14:paraId="4B3209CC" w14:textId="77777777" w:rsidR="009125FD" w:rsidRPr="005C5D59" w:rsidRDefault="009125FD" w:rsidP="009125FD">
            <w:pPr>
              <w:rPr>
                <w:rFonts w:ascii="Arial" w:hAnsi="Arial" w:cs="Arial"/>
                <w:b/>
                <w:sz w:val="18"/>
                <w:szCs w:val="18"/>
              </w:rPr>
            </w:pPr>
            <w:r w:rsidRPr="005C5D59">
              <w:rPr>
                <w:rFonts w:ascii="Arial" w:hAnsi="Arial" w:cs="Arial"/>
                <w:b/>
                <w:sz w:val="18"/>
                <w:szCs w:val="18"/>
              </w:rPr>
              <w:t>Patient Active Transfusion Requirement</w:t>
            </w:r>
          </w:p>
        </w:tc>
        <w:tc>
          <w:tcPr>
            <w:tcW w:w="1620" w:type="dxa"/>
            <w:tcBorders>
              <w:left w:val="single" w:sz="4" w:space="0" w:color="000000"/>
              <w:bottom w:val="single" w:sz="4" w:space="0" w:color="000000"/>
              <w:right w:val="single" w:sz="4" w:space="0" w:color="000000"/>
            </w:tcBorders>
            <w:shd w:val="pct25" w:color="auto" w:fill="auto"/>
            <w:vAlign w:val="bottom"/>
            <w:hideMark/>
          </w:tcPr>
          <w:p w14:paraId="59AEC45B" w14:textId="77777777" w:rsidR="009125FD" w:rsidRPr="005C5D59" w:rsidRDefault="009125FD" w:rsidP="009125FD">
            <w:pPr>
              <w:rPr>
                <w:rFonts w:ascii="Arial" w:hAnsi="Arial" w:cs="Arial"/>
                <w:b/>
                <w:color w:val="000000"/>
                <w:sz w:val="18"/>
                <w:szCs w:val="18"/>
                <w:highlight w:val="yellow"/>
              </w:rPr>
            </w:pPr>
            <w:r w:rsidRPr="005C5D59">
              <w:rPr>
                <w:rFonts w:ascii="Arial" w:hAnsi="Arial" w:cs="Arial"/>
                <w:b/>
                <w:sz w:val="18"/>
                <w:szCs w:val="18"/>
              </w:rPr>
              <w:t>Ordered Component Class*</w:t>
            </w:r>
          </w:p>
        </w:tc>
        <w:tc>
          <w:tcPr>
            <w:tcW w:w="126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20AFAA75" w14:textId="77777777" w:rsidR="009125FD" w:rsidRPr="005C5D59" w:rsidRDefault="009125FD" w:rsidP="009125FD">
            <w:pPr>
              <w:jc w:val="center"/>
              <w:rPr>
                <w:rFonts w:ascii="Arial" w:hAnsi="Arial" w:cs="Arial"/>
                <w:b/>
                <w:sz w:val="18"/>
                <w:szCs w:val="18"/>
              </w:rPr>
            </w:pPr>
            <w:r>
              <w:rPr>
                <w:rFonts w:ascii="Arial" w:hAnsi="Arial" w:cs="Arial"/>
                <w:b/>
                <w:sz w:val="18"/>
                <w:szCs w:val="18"/>
              </w:rPr>
              <w:t>Selected U</w:t>
            </w:r>
            <w:r w:rsidRPr="005C5D59">
              <w:rPr>
                <w:rFonts w:ascii="Arial" w:hAnsi="Arial" w:cs="Arial"/>
                <w:b/>
                <w:sz w:val="18"/>
                <w:szCs w:val="18"/>
              </w:rPr>
              <w:t>nit is</w:t>
            </w:r>
          </w:p>
        </w:tc>
        <w:tc>
          <w:tcPr>
            <w:tcW w:w="162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0E2B045A" w14:textId="77777777" w:rsidR="009125FD" w:rsidRPr="005C5D59" w:rsidRDefault="009125FD" w:rsidP="009125FD">
            <w:pPr>
              <w:jc w:val="center"/>
              <w:rPr>
                <w:rFonts w:ascii="Arial" w:hAnsi="Arial" w:cs="Arial"/>
                <w:b/>
                <w:sz w:val="18"/>
                <w:szCs w:val="18"/>
              </w:rPr>
            </w:pPr>
            <w:r w:rsidRPr="005C5D59">
              <w:rPr>
                <w:rFonts w:ascii="Arial" w:hAnsi="Arial" w:cs="Arial"/>
                <w:b/>
                <w:sz w:val="18"/>
                <w:szCs w:val="18"/>
              </w:rPr>
              <w:t>User Role</w:t>
            </w:r>
          </w:p>
        </w:tc>
        <w:tc>
          <w:tcPr>
            <w:tcW w:w="405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2352ACDD" w14:textId="77777777" w:rsidR="009125FD" w:rsidRPr="005C5D59" w:rsidRDefault="009125FD" w:rsidP="009125FD">
            <w:pPr>
              <w:jc w:val="center"/>
              <w:rPr>
                <w:rFonts w:ascii="Arial" w:hAnsi="Arial" w:cs="Arial"/>
                <w:b/>
                <w:sz w:val="18"/>
                <w:szCs w:val="18"/>
              </w:rPr>
            </w:pPr>
            <w:r>
              <w:rPr>
                <w:rFonts w:ascii="Arial" w:hAnsi="Arial" w:cs="Arial"/>
                <w:b/>
                <w:sz w:val="18"/>
                <w:szCs w:val="18"/>
              </w:rPr>
              <w:t xml:space="preserve">VBECS </w:t>
            </w:r>
            <w:r w:rsidRPr="005C5D59">
              <w:rPr>
                <w:rFonts w:ascii="Arial" w:hAnsi="Arial" w:cs="Arial"/>
                <w:b/>
                <w:sz w:val="18"/>
                <w:szCs w:val="18"/>
              </w:rPr>
              <w:t>Response</w:t>
            </w:r>
          </w:p>
        </w:tc>
      </w:tr>
      <w:tr w:rsidR="009125FD" w:rsidRPr="005C5D59" w14:paraId="435C6CE1" w14:textId="77777777" w:rsidTr="009125FD">
        <w:trPr>
          <w:cantSplit/>
          <w:trHeight w:val="284"/>
        </w:trPr>
        <w:tc>
          <w:tcPr>
            <w:tcW w:w="1692" w:type="dxa"/>
            <w:vMerge w:val="restart"/>
            <w:tcBorders>
              <w:top w:val="single" w:sz="4" w:space="0" w:color="000000"/>
              <w:left w:val="single" w:sz="4" w:space="0" w:color="000000"/>
              <w:right w:val="single" w:sz="4" w:space="0" w:color="000000"/>
            </w:tcBorders>
            <w:vAlign w:val="center"/>
            <w:hideMark/>
          </w:tcPr>
          <w:p w14:paraId="65A7EABC" w14:textId="77777777" w:rsidR="009125FD" w:rsidRPr="00A92752" w:rsidRDefault="009125FD" w:rsidP="009125FD">
            <w:pPr>
              <w:jc w:val="center"/>
              <w:rPr>
                <w:rFonts w:ascii="Arial" w:hAnsi="Arial" w:cs="Arial"/>
                <w:b/>
                <w:sz w:val="28"/>
                <w:szCs w:val="28"/>
              </w:rPr>
            </w:pPr>
            <w:r w:rsidRPr="00A92752">
              <w:rPr>
                <w:rFonts w:ascii="Arial" w:hAnsi="Arial" w:cs="Arial"/>
                <w:b/>
                <w:sz w:val="28"/>
                <w:szCs w:val="28"/>
              </w:rPr>
              <w:t>Leuko-reduce Cellular Products</w:t>
            </w:r>
          </w:p>
        </w:tc>
        <w:tc>
          <w:tcPr>
            <w:tcW w:w="1620" w:type="dxa"/>
            <w:tcBorders>
              <w:top w:val="single" w:sz="4" w:space="0" w:color="000000"/>
              <w:left w:val="single" w:sz="4" w:space="0" w:color="000000"/>
              <w:right w:val="single" w:sz="4" w:space="0" w:color="000000"/>
            </w:tcBorders>
            <w:shd w:val="pct10" w:color="auto" w:fill="auto"/>
            <w:vAlign w:val="center"/>
            <w:hideMark/>
          </w:tcPr>
          <w:p w14:paraId="75E527FA" w14:textId="77777777" w:rsidR="009125FD" w:rsidRPr="00052726" w:rsidRDefault="009125FD" w:rsidP="009125FD">
            <w:pPr>
              <w:jc w:val="center"/>
              <w:rPr>
                <w:rFonts w:ascii="Arial" w:hAnsi="Arial" w:cs="Arial"/>
                <w:sz w:val="18"/>
                <w:szCs w:val="18"/>
              </w:rPr>
            </w:pPr>
            <w:r w:rsidRPr="00052726">
              <w:rPr>
                <w:rFonts w:ascii="Arial" w:hAnsi="Arial" w:cs="Arial"/>
                <w:sz w:val="18"/>
                <w:szCs w:val="18"/>
              </w:rPr>
              <w:t xml:space="preserve">RED BLOOD CELLS   </w:t>
            </w:r>
          </w:p>
          <w:p w14:paraId="733BA16C" w14:textId="77777777" w:rsidR="009125FD" w:rsidRPr="00052726" w:rsidRDefault="009125FD" w:rsidP="009125FD">
            <w:pPr>
              <w:spacing w:before="120"/>
              <w:jc w:val="center"/>
              <w:rPr>
                <w:rFonts w:ascii="Arial" w:hAnsi="Arial" w:cs="Arial"/>
                <w:sz w:val="18"/>
                <w:szCs w:val="18"/>
              </w:rPr>
            </w:pPr>
            <w:r w:rsidRPr="00052726">
              <w:rPr>
                <w:rFonts w:ascii="Arial" w:hAnsi="Arial" w:cs="Arial"/>
                <w:sz w:val="18"/>
                <w:szCs w:val="18"/>
              </w:rPr>
              <w:t>WHOLE BLOOD</w:t>
            </w:r>
          </w:p>
          <w:p w14:paraId="51AC92F6" w14:textId="77777777" w:rsidR="009125FD" w:rsidRPr="00052726" w:rsidRDefault="009125FD" w:rsidP="009125FD">
            <w:pPr>
              <w:spacing w:before="120"/>
              <w:jc w:val="center"/>
              <w:rPr>
                <w:rFonts w:ascii="Arial" w:hAnsi="Arial" w:cs="Arial"/>
                <w:sz w:val="18"/>
                <w:szCs w:val="18"/>
              </w:rPr>
            </w:pPr>
            <w:r w:rsidRPr="00052726">
              <w:rPr>
                <w:rFonts w:ascii="Arial" w:hAnsi="Arial" w:cs="Arial"/>
                <w:sz w:val="18"/>
                <w:szCs w:val="18"/>
              </w:rPr>
              <w:t xml:space="preserve"> PLATELETS</w:t>
            </w:r>
          </w:p>
        </w:tc>
        <w:tc>
          <w:tcPr>
            <w:tcW w:w="1260" w:type="dxa"/>
            <w:tcBorders>
              <w:top w:val="single" w:sz="4" w:space="0" w:color="000000"/>
              <w:left w:val="single" w:sz="4" w:space="0" w:color="000000"/>
              <w:right w:val="single" w:sz="4" w:space="0" w:color="000000"/>
            </w:tcBorders>
            <w:shd w:val="pct10" w:color="auto" w:fill="auto"/>
            <w:vAlign w:val="center"/>
            <w:hideMark/>
          </w:tcPr>
          <w:p w14:paraId="648EC267" w14:textId="77777777" w:rsidR="009125FD" w:rsidRPr="00052726" w:rsidRDefault="009125FD" w:rsidP="009125FD">
            <w:pPr>
              <w:jc w:val="center"/>
              <w:rPr>
                <w:rFonts w:ascii="Arial" w:hAnsi="Arial" w:cs="Arial"/>
                <w:b/>
                <w:sz w:val="18"/>
                <w:szCs w:val="18"/>
              </w:rPr>
            </w:pPr>
            <w:r w:rsidRPr="00052726">
              <w:rPr>
                <w:rFonts w:ascii="Arial" w:hAnsi="Arial" w:cs="Arial"/>
                <w:sz w:val="18"/>
                <w:szCs w:val="18"/>
              </w:rPr>
              <w:t>Leuko-reduced</w:t>
            </w:r>
          </w:p>
        </w:tc>
        <w:tc>
          <w:tcPr>
            <w:tcW w:w="1620" w:type="dxa"/>
            <w:tcBorders>
              <w:top w:val="single" w:sz="4" w:space="0" w:color="000000"/>
              <w:left w:val="single" w:sz="4" w:space="0" w:color="000000"/>
              <w:right w:val="single" w:sz="4" w:space="0" w:color="000000"/>
            </w:tcBorders>
            <w:shd w:val="pct10" w:color="auto" w:fill="auto"/>
            <w:vAlign w:val="center"/>
            <w:hideMark/>
          </w:tcPr>
          <w:p w14:paraId="53C4DDDB" w14:textId="77777777" w:rsidR="009125FD" w:rsidRPr="00052726" w:rsidRDefault="009125FD" w:rsidP="009125FD">
            <w:pPr>
              <w:jc w:val="center"/>
              <w:rPr>
                <w:rFonts w:ascii="Arial" w:hAnsi="Arial" w:cs="Arial"/>
                <w:sz w:val="18"/>
                <w:szCs w:val="18"/>
              </w:rPr>
            </w:pPr>
            <w:r w:rsidRPr="00052726">
              <w:rPr>
                <w:rFonts w:ascii="Arial" w:hAnsi="Arial" w:cs="Arial"/>
                <w:sz w:val="18"/>
                <w:szCs w:val="18"/>
              </w:rPr>
              <w:t>ALL VBECS Users</w:t>
            </w:r>
          </w:p>
        </w:tc>
        <w:tc>
          <w:tcPr>
            <w:tcW w:w="4050" w:type="dxa"/>
            <w:tcBorders>
              <w:top w:val="single" w:sz="4" w:space="0" w:color="000000"/>
              <w:left w:val="single" w:sz="4" w:space="0" w:color="000000"/>
              <w:right w:val="single" w:sz="4" w:space="0" w:color="000000"/>
            </w:tcBorders>
            <w:shd w:val="pct10" w:color="auto" w:fill="auto"/>
            <w:vAlign w:val="center"/>
          </w:tcPr>
          <w:p w14:paraId="427FFEBD" w14:textId="77777777" w:rsidR="009125FD" w:rsidRPr="00052726" w:rsidRDefault="009125FD" w:rsidP="009125FD">
            <w:pPr>
              <w:jc w:val="center"/>
              <w:rPr>
                <w:rFonts w:ascii="Arial" w:hAnsi="Arial" w:cs="Arial"/>
                <w:sz w:val="18"/>
                <w:szCs w:val="18"/>
              </w:rPr>
            </w:pPr>
            <w:r w:rsidRPr="00052726">
              <w:rPr>
                <w:rFonts w:ascii="Arial" w:hAnsi="Arial" w:cs="Arial"/>
                <w:sz w:val="18"/>
                <w:szCs w:val="18"/>
              </w:rPr>
              <w:t>No warning message will display.</w:t>
            </w:r>
          </w:p>
        </w:tc>
      </w:tr>
      <w:tr w:rsidR="009125FD" w:rsidRPr="005C5D59" w14:paraId="01AB8FF7" w14:textId="77777777" w:rsidTr="009125FD">
        <w:trPr>
          <w:cantSplit/>
          <w:trHeight w:val="1983"/>
        </w:trPr>
        <w:tc>
          <w:tcPr>
            <w:tcW w:w="1692" w:type="dxa"/>
            <w:vMerge/>
            <w:tcBorders>
              <w:left w:val="single" w:sz="4" w:space="0" w:color="000000"/>
              <w:right w:val="single" w:sz="4" w:space="0" w:color="000000"/>
            </w:tcBorders>
            <w:vAlign w:val="bottom"/>
          </w:tcPr>
          <w:p w14:paraId="4BC9D3DF" w14:textId="77777777" w:rsidR="009125FD" w:rsidRPr="005C5D59" w:rsidRDefault="009125FD" w:rsidP="009125FD">
            <w:pPr>
              <w:rPr>
                <w:rFonts w:ascii="Arial" w:hAnsi="Arial" w:cs="Arial"/>
                <w:b/>
                <w:sz w:val="18"/>
                <w:szCs w:val="18"/>
              </w:rPr>
            </w:pPr>
          </w:p>
        </w:tc>
        <w:tc>
          <w:tcPr>
            <w:tcW w:w="1620" w:type="dxa"/>
            <w:tcBorders>
              <w:top w:val="single" w:sz="4" w:space="0" w:color="000000"/>
              <w:left w:val="single" w:sz="4" w:space="0" w:color="000000"/>
              <w:right w:val="single" w:sz="4" w:space="0" w:color="000000"/>
            </w:tcBorders>
            <w:vAlign w:val="center"/>
          </w:tcPr>
          <w:p w14:paraId="18D1ED94" w14:textId="77777777" w:rsidR="009125FD" w:rsidRPr="00052726" w:rsidRDefault="009125FD" w:rsidP="009125FD">
            <w:pPr>
              <w:jc w:val="center"/>
              <w:rPr>
                <w:rFonts w:ascii="Arial" w:hAnsi="Arial" w:cs="Arial"/>
                <w:sz w:val="18"/>
                <w:szCs w:val="18"/>
              </w:rPr>
            </w:pPr>
            <w:r w:rsidRPr="00052726">
              <w:rPr>
                <w:rFonts w:ascii="Arial" w:hAnsi="Arial" w:cs="Arial"/>
                <w:sz w:val="18"/>
                <w:szCs w:val="18"/>
              </w:rPr>
              <w:t>RED BLOOD CELLS</w:t>
            </w:r>
          </w:p>
          <w:p w14:paraId="4893F8E4" w14:textId="77777777" w:rsidR="009125FD" w:rsidRPr="00052726" w:rsidRDefault="009125FD" w:rsidP="009125FD">
            <w:pPr>
              <w:spacing w:before="120"/>
              <w:jc w:val="center"/>
              <w:rPr>
                <w:rFonts w:ascii="Arial" w:hAnsi="Arial" w:cs="Arial"/>
                <w:sz w:val="18"/>
                <w:szCs w:val="18"/>
              </w:rPr>
            </w:pPr>
            <w:r w:rsidRPr="00052726">
              <w:rPr>
                <w:rFonts w:ascii="Arial" w:hAnsi="Arial" w:cs="Arial"/>
                <w:sz w:val="18"/>
                <w:szCs w:val="18"/>
              </w:rPr>
              <w:t>WHOLE BLOOD</w:t>
            </w:r>
          </w:p>
          <w:p w14:paraId="6FC03085" w14:textId="77777777" w:rsidR="009125FD" w:rsidRPr="00052726" w:rsidRDefault="009125FD" w:rsidP="009125FD">
            <w:pPr>
              <w:spacing w:before="120"/>
              <w:jc w:val="center"/>
              <w:rPr>
                <w:rFonts w:ascii="Arial" w:hAnsi="Arial" w:cs="Arial"/>
                <w:sz w:val="18"/>
                <w:szCs w:val="18"/>
              </w:rPr>
            </w:pPr>
            <w:r w:rsidRPr="00052726">
              <w:rPr>
                <w:rFonts w:ascii="Arial" w:hAnsi="Arial" w:cs="Arial"/>
                <w:sz w:val="18"/>
                <w:szCs w:val="18"/>
              </w:rPr>
              <w:t>PLATELETS</w:t>
            </w:r>
          </w:p>
        </w:tc>
        <w:tc>
          <w:tcPr>
            <w:tcW w:w="1260" w:type="dxa"/>
            <w:tcBorders>
              <w:top w:val="single" w:sz="4" w:space="0" w:color="000000"/>
              <w:left w:val="single" w:sz="4" w:space="0" w:color="000000"/>
              <w:right w:val="single" w:sz="4" w:space="0" w:color="000000"/>
            </w:tcBorders>
            <w:vAlign w:val="center"/>
          </w:tcPr>
          <w:p w14:paraId="3B125B86" w14:textId="77777777" w:rsidR="009125FD" w:rsidRPr="00052726" w:rsidRDefault="009125FD" w:rsidP="009125FD">
            <w:pPr>
              <w:jc w:val="center"/>
              <w:rPr>
                <w:rFonts w:ascii="Arial" w:hAnsi="Arial" w:cs="Arial"/>
                <w:b/>
                <w:color w:val="FF0000"/>
                <w:sz w:val="18"/>
                <w:szCs w:val="18"/>
              </w:rPr>
            </w:pPr>
            <w:r w:rsidRPr="00052726">
              <w:rPr>
                <w:rFonts w:ascii="Arial" w:hAnsi="Arial" w:cs="Arial"/>
                <w:b/>
                <w:color w:val="FF0000"/>
                <w:sz w:val="18"/>
                <w:szCs w:val="18"/>
              </w:rPr>
              <w:t>Not  Leuko-reduced</w:t>
            </w:r>
          </w:p>
          <w:p w14:paraId="4A4DEB3C" w14:textId="77777777" w:rsidR="009125FD" w:rsidRPr="00052726" w:rsidRDefault="009125FD" w:rsidP="009125FD">
            <w:pPr>
              <w:rPr>
                <w:rFonts w:ascii="Arial" w:hAnsi="Arial" w:cs="Arial"/>
                <w:b/>
                <w:color w:val="FF0000"/>
                <w:sz w:val="18"/>
                <w:szCs w:val="18"/>
              </w:rPr>
            </w:pPr>
          </w:p>
        </w:tc>
        <w:tc>
          <w:tcPr>
            <w:tcW w:w="1620" w:type="dxa"/>
            <w:tcBorders>
              <w:top w:val="single" w:sz="4" w:space="0" w:color="000000"/>
              <w:left w:val="single" w:sz="4" w:space="0" w:color="000000"/>
              <w:right w:val="single" w:sz="4" w:space="0" w:color="000000"/>
            </w:tcBorders>
            <w:vAlign w:val="center"/>
          </w:tcPr>
          <w:p w14:paraId="2A46488C" w14:textId="77777777" w:rsidR="009125FD" w:rsidRPr="00052726" w:rsidRDefault="009125FD" w:rsidP="009125FD">
            <w:pPr>
              <w:jc w:val="center"/>
              <w:rPr>
                <w:rFonts w:ascii="Arial" w:hAnsi="Arial" w:cs="Arial"/>
                <w:sz w:val="18"/>
                <w:szCs w:val="18"/>
              </w:rPr>
            </w:pPr>
            <w:r w:rsidRPr="00052726">
              <w:rPr>
                <w:rFonts w:ascii="Arial" w:hAnsi="Arial" w:cs="Arial"/>
                <w:sz w:val="18"/>
                <w:szCs w:val="18"/>
              </w:rPr>
              <w:t>ALL VBECS Users</w:t>
            </w:r>
          </w:p>
        </w:tc>
        <w:tc>
          <w:tcPr>
            <w:tcW w:w="4050" w:type="dxa"/>
            <w:tcBorders>
              <w:top w:val="single" w:sz="4" w:space="0" w:color="000000"/>
              <w:left w:val="single" w:sz="4" w:space="0" w:color="000000"/>
              <w:right w:val="single" w:sz="4" w:space="0" w:color="000000"/>
            </w:tcBorders>
            <w:vAlign w:val="bottom"/>
          </w:tcPr>
          <w:p w14:paraId="6559DDFA" w14:textId="77777777" w:rsidR="009125FD" w:rsidRPr="00052726" w:rsidRDefault="009125FD" w:rsidP="009125FD">
            <w:pPr>
              <w:pStyle w:val="TableText"/>
              <w:spacing w:before="120"/>
              <w:rPr>
                <w:rStyle w:val="StyleTableText9ptCharChar"/>
                <w:rFonts w:cs="Arial"/>
                <w:i/>
                <w:szCs w:val="18"/>
              </w:rPr>
            </w:pPr>
            <w:r w:rsidRPr="00052726">
              <w:rPr>
                <w:rStyle w:val="StyleTableText9ptCharChar"/>
                <w:rFonts w:cs="Arial"/>
                <w:szCs w:val="18"/>
              </w:rPr>
              <w:t xml:space="preserve">The Transfusion Requirement is not satisfied; the system emits an audible alert and displays a warning message: </w:t>
            </w:r>
            <w:r w:rsidRPr="00052726">
              <w:rPr>
                <w:rStyle w:val="StyleTableText9ptCharChar"/>
                <w:rFonts w:cs="Arial"/>
                <w:i/>
                <w:szCs w:val="18"/>
              </w:rPr>
              <w:t>This unit does not currently satisfy all of the patient’s Transfusion Requirements. Further processing is needed. Continue to select this unit?</w:t>
            </w:r>
          </w:p>
          <w:p w14:paraId="43A5A5B9" w14:textId="77777777" w:rsidR="009125FD" w:rsidRPr="00052726" w:rsidRDefault="009125FD" w:rsidP="009125FD">
            <w:pPr>
              <w:pStyle w:val="TableText"/>
              <w:rPr>
                <w:rStyle w:val="StyleTableText9ptCharChar"/>
                <w:rFonts w:cs="Arial"/>
                <w:szCs w:val="18"/>
              </w:rPr>
            </w:pPr>
            <w:r w:rsidRPr="00052726">
              <w:rPr>
                <w:rStyle w:val="StyleTableText9ptCharChar"/>
                <w:rFonts w:cs="Arial"/>
                <w:szCs w:val="18"/>
              </w:rPr>
              <w:t>If the user clicks “No,” the screen is cleared.</w:t>
            </w:r>
          </w:p>
          <w:p w14:paraId="44D3853F" w14:textId="77777777" w:rsidR="009125FD" w:rsidRPr="00052726" w:rsidRDefault="009125FD" w:rsidP="009125FD">
            <w:pPr>
              <w:pStyle w:val="TableText"/>
              <w:rPr>
                <w:rFonts w:cs="Arial"/>
                <w:noProof/>
                <w:szCs w:val="18"/>
              </w:rPr>
            </w:pPr>
            <w:r w:rsidRPr="00052726">
              <w:rPr>
                <w:rStyle w:val="StyleTableText9ptCharChar"/>
                <w:rFonts w:cs="Arial"/>
                <w:szCs w:val="18"/>
              </w:rPr>
              <w:t>If the user clicks “Yes,” selection can continue to select the unit.</w:t>
            </w:r>
          </w:p>
        </w:tc>
      </w:tr>
    </w:tbl>
    <w:p w14:paraId="2DBEB48C" w14:textId="77777777" w:rsidR="009125FD" w:rsidRDefault="009125FD" w:rsidP="009125FD">
      <w:pPr>
        <w:spacing w:after="200" w:line="276" w:lineRule="auto"/>
        <w:rPr>
          <w:b/>
          <w:bCs/>
          <w:sz w:val="18"/>
          <w:szCs w:val="18"/>
        </w:rPr>
      </w:pPr>
    </w:p>
    <w:p w14:paraId="08213316" w14:textId="74BBD943" w:rsidR="00C15299" w:rsidRDefault="00C15299" w:rsidP="00C15299">
      <w:pPr>
        <w:pStyle w:val="Caption"/>
      </w:pPr>
      <w:bookmarkStart w:id="887" w:name="_Ref407612094"/>
      <w:bookmarkStart w:id="888" w:name="_Ref343502482"/>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7D1829">
        <w:rPr>
          <w:noProof/>
        </w:rPr>
        <w:t>137</w:t>
      </w:r>
      <w:r w:rsidR="004E20BD">
        <w:rPr>
          <w:noProof/>
        </w:rPr>
        <w:fldChar w:fldCharType="end"/>
      </w:r>
      <w:bookmarkEnd w:id="887"/>
      <w:r>
        <w:t>: Leuko-reduce Cellular Products and Issue Blood Component</w:t>
      </w:r>
      <w:bookmarkEnd w:id="888"/>
    </w:p>
    <w:tbl>
      <w:tblPr>
        <w:tblW w:w="10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2" w:type="dxa"/>
          <w:right w:w="72" w:type="dxa"/>
        </w:tblCellMar>
        <w:tblLook w:val="04A0" w:firstRow="1" w:lastRow="0" w:firstColumn="1" w:lastColumn="0" w:noHBand="0" w:noVBand="1"/>
      </w:tblPr>
      <w:tblGrid>
        <w:gridCol w:w="1692"/>
        <w:gridCol w:w="1620"/>
        <w:gridCol w:w="1260"/>
        <w:gridCol w:w="1620"/>
        <w:gridCol w:w="4050"/>
      </w:tblGrid>
      <w:tr w:rsidR="009125FD" w:rsidRPr="005C5D59" w14:paraId="4024AAEA" w14:textId="77777777" w:rsidTr="009125FD">
        <w:trPr>
          <w:cantSplit/>
          <w:trHeight w:val="432"/>
          <w:tblHeader/>
        </w:trPr>
        <w:tc>
          <w:tcPr>
            <w:tcW w:w="10242" w:type="dxa"/>
            <w:gridSpan w:val="5"/>
            <w:tcBorders>
              <w:left w:val="single" w:sz="4" w:space="0" w:color="000000"/>
              <w:bottom w:val="single" w:sz="4" w:space="0" w:color="000000"/>
              <w:right w:val="single" w:sz="4" w:space="0" w:color="000000"/>
            </w:tcBorders>
            <w:shd w:val="pct25" w:color="auto" w:fill="auto"/>
            <w:vAlign w:val="bottom"/>
          </w:tcPr>
          <w:p w14:paraId="7CB17D66" w14:textId="77777777" w:rsidR="009125FD" w:rsidRPr="005C5D59" w:rsidRDefault="009125FD" w:rsidP="009125FD">
            <w:pPr>
              <w:rPr>
                <w:rFonts w:ascii="Arial" w:hAnsi="Arial" w:cs="Arial"/>
                <w:b/>
                <w:sz w:val="18"/>
                <w:szCs w:val="18"/>
              </w:rPr>
            </w:pPr>
            <w:r w:rsidRPr="005C5D59">
              <w:rPr>
                <w:rFonts w:ascii="Arial" w:hAnsi="Arial" w:cs="Arial"/>
                <w:b/>
                <w:sz w:val="18"/>
                <w:szCs w:val="18"/>
              </w:rPr>
              <w:t xml:space="preserve">Issue Blood Component: </w:t>
            </w:r>
            <w:r w:rsidRPr="00871BF2">
              <w:rPr>
                <w:rFonts w:ascii="Arial" w:hAnsi="Arial" w:cs="Arial"/>
                <w:b/>
                <w:sz w:val="20"/>
                <w:szCs w:val="20"/>
              </w:rPr>
              <w:t>Leuko-reduce Cellular Products</w:t>
            </w:r>
          </w:p>
        </w:tc>
      </w:tr>
      <w:tr w:rsidR="009125FD" w:rsidRPr="005C5D59" w14:paraId="1F028434" w14:textId="77777777" w:rsidTr="009125FD">
        <w:trPr>
          <w:cantSplit/>
          <w:trHeight w:val="432"/>
          <w:tblHeader/>
        </w:trPr>
        <w:tc>
          <w:tcPr>
            <w:tcW w:w="1692" w:type="dxa"/>
            <w:tcBorders>
              <w:left w:val="single" w:sz="4" w:space="0" w:color="000000"/>
              <w:bottom w:val="single" w:sz="4" w:space="0" w:color="000000"/>
              <w:right w:val="single" w:sz="4" w:space="0" w:color="000000"/>
            </w:tcBorders>
            <w:shd w:val="pct25" w:color="auto" w:fill="auto"/>
            <w:vAlign w:val="bottom"/>
            <w:hideMark/>
          </w:tcPr>
          <w:p w14:paraId="59BDAC65" w14:textId="77777777" w:rsidR="009125FD" w:rsidRPr="005C5D59" w:rsidRDefault="009125FD" w:rsidP="009125FD">
            <w:pPr>
              <w:rPr>
                <w:rFonts w:ascii="Arial" w:hAnsi="Arial" w:cs="Arial"/>
                <w:b/>
                <w:sz w:val="18"/>
                <w:szCs w:val="18"/>
              </w:rPr>
            </w:pPr>
            <w:r w:rsidRPr="005C5D59">
              <w:rPr>
                <w:rFonts w:ascii="Arial" w:hAnsi="Arial" w:cs="Arial"/>
                <w:b/>
                <w:sz w:val="18"/>
                <w:szCs w:val="18"/>
              </w:rPr>
              <w:t>Patient Active Transfusion Requirement</w:t>
            </w:r>
          </w:p>
        </w:tc>
        <w:tc>
          <w:tcPr>
            <w:tcW w:w="1620" w:type="dxa"/>
            <w:tcBorders>
              <w:left w:val="single" w:sz="4" w:space="0" w:color="000000"/>
              <w:bottom w:val="single" w:sz="4" w:space="0" w:color="000000"/>
              <w:right w:val="single" w:sz="4" w:space="0" w:color="000000"/>
            </w:tcBorders>
            <w:shd w:val="pct25" w:color="auto" w:fill="auto"/>
            <w:vAlign w:val="bottom"/>
            <w:hideMark/>
          </w:tcPr>
          <w:p w14:paraId="5C8B9347" w14:textId="77777777" w:rsidR="009125FD" w:rsidRPr="005C5D59" w:rsidRDefault="009125FD" w:rsidP="009125FD">
            <w:pPr>
              <w:rPr>
                <w:rFonts w:ascii="Arial" w:hAnsi="Arial" w:cs="Arial"/>
                <w:b/>
                <w:color w:val="000000"/>
                <w:sz w:val="18"/>
                <w:szCs w:val="18"/>
                <w:highlight w:val="yellow"/>
              </w:rPr>
            </w:pPr>
            <w:r w:rsidRPr="005C5D59">
              <w:rPr>
                <w:rFonts w:ascii="Arial" w:hAnsi="Arial" w:cs="Arial"/>
                <w:b/>
                <w:sz w:val="18"/>
                <w:szCs w:val="18"/>
              </w:rPr>
              <w:t>Ordered Component Class*</w:t>
            </w:r>
          </w:p>
        </w:tc>
        <w:tc>
          <w:tcPr>
            <w:tcW w:w="126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719DFCE8" w14:textId="77777777" w:rsidR="009125FD" w:rsidRPr="005C5D59" w:rsidRDefault="009125FD" w:rsidP="009125FD">
            <w:pPr>
              <w:rPr>
                <w:rFonts w:ascii="Arial" w:hAnsi="Arial" w:cs="Arial"/>
                <w:b/>
                <w:sz w:val="18"/>
                <w:szCs w:val="18"/>
              </w:rPr>
            </w:pPr>
            <w:r>
              <w:rPr>
                <w:rFonts w:ascii="Arial" w:hAnsi="Arial" w:cs="Arial"/>
                <w:b/>
                <w:sz w:val="18"/>
                <w:szCs w:val="18"/>
              </w:rPr>
              <w:t>Selected U</w:t>
            </w:r>
            <w:r w:rsidRPr="005C5D59">
              <w:rPr>
                <w:rFonts w:ascii="Arial" w:hAnsi="Arial" w:cs="Arial"/>
                <w:b/>
                <w:sz w:val="18"/>
                <w:szCs w:val="18"/>
              </w:rPr>
              <w:t>nit is</w:t>
            </w:r>
          </w:p>
        </w:tc>
        <w:tc>
          <w:tcPr>
            <w:tcW w:w="162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54FC429F" w14:textId="77777777" w:rsidR="009125FD" w:rsidRPr="005C5D59" w:rsidRDefault="009125FD" w:rsidP="009125FD">
            <w:pPr>
              <w:rPr>
                <w:rFonts w:ascii="Arial" w:hAnsi="Arial" w:cs="Arial"/>
                <w:b/>
                <w:sz w:val="18"/>
                <w:szCs w:val="18"/>
              </w:rPr>
            </w:pPr>
            <w:r w:rsidRPr="005C5D59">
              <w:rPr>
                <w:rFonts w:ascii="Arial" w:hAnsi="Arial" w:cs="Arial"/>
                <w:b/>
                <w:sz w:val="18"/>
                <w:szCs w:val="18"/>
              </w:rPr>
              <w:t>Selected User Role</w:t>
            </w:r>
          </w:p>
        </w:tc>
        <w:tc>
          <w:tcPr>
            <w:tcW w:w="405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6C94AECB" w14:textId="77777777" w:rsidR="009125FD" w:rsidRPr="005C5D59" w:rsidRDefault="009125FD" w:rsidP="009125FD">
            <w:pPr>
              <w:rPr>
                <w:rFonts w:ascii="Arial" w:hAnsi="Arial" w:cs="Arial"/>
                <w:b/>
                <w:sz w:val="18"/>
                <w:szCs w:val="18"/>
              </w:rPr>
            </w:pPr>
            <w:r w:rsidRPr="005C5D59">
              <w:rPr>
                <w:rFonts w:ascii="Arial" w:hAnsi="Arial" w:cs="Arial"/>
                <w:b/>
                <w:sz w:val="18"/>
                <w:szCs w:val="18"/>
              </w:rPr>
              <w:t>Expected System Response</w:t>
            </w:r>
          </w:p>
        </w:tc>
      </w:tr>
      <w:tr w:rsidR="009125FD" w:rsidRPr="005C5D59" w14:paraId="7E1E632F" w14:textId="77777777" w:rsidTr="009125FD">
        <w:trPr>
          <w:cantSplit/>
          <w:trHeight w:val="1302"/>
        </w:trPr>
        <w:tc>
          <w:tcPr>
            <w:tcW w:w="1692" w:type="dxa"/>
            <w:vMerge w:val="restart"/>
            <w:tcBorders>
              <w:top w:val="single" w:sz="4" w:space="0" w:color="000000"/>
              <w:left w:val="single" w:sz="4" w:space="0" w:color="000000"/>
              <w:right w:val="single" w:sz="4" w:space="0" w:color="000000"/>
            </w:tcBorders>
            <w:vAlign w:val="center"/>
            <w:hideMark/>
          </w:tcPr>
          <w:p w14:paraId="3E968C71" w14:textId="77777777" w:rsidR="009125FD" w:rsidRPr="00A92752" w:rsidRDefault="009125FD" w:rsidP="009125FD">
            <w:pPr>
              <w:jc w:val="center"/>
              <w:rPr>
                <w:rFonts w:ascii="Arial" w:hAnsi="Arial" w:cs="Arial"/>
                <w:sz w:val="28"/>
                <w:szCs w:val="28"/>
              </w:rPr>
            </w:pPr>
            <w:r w:rsidRPr="00A92752">
              <w:rPr>
                <w:rFonts w:ascii="Arial" w:hAnsi="Arial" w:cs="Arial"/>
                <w:b/>
                <w:sz w:val="28"/>
                <w:szCs w:val="28"/>
              </w:rPr>
              <w:t>Leuko-reduce Cellular Products</w:t>
            </w:r>
          </w:p>
        </w:tc>
        <w:tc>
          <w:tcPr>
            <w:tcW w:w="1620" w:type="dxa"/>
            <w:tcBorders>
              <w:top w:val="single" w:sz="4" w:space="0" w:color="000000"/>
              <w:left w:val="single" w:sz="4" w:space="0" w:color="000000"/>
              <w:right w:val="single" w:sz="4" w:space="0" w:color="000000"/>
            </w:tcBorders>
            <w:shd w:val="pct10" w:color="auto" w:fill="auto"/>
            <w:vAlign w:val="center"/>
            <w:hideMark/>
          </w:tcPr>
          <w:p w14:paraId="3096A4D1" w14:textId="77777777" w:rsidR="009125FD" w:rsidRPr="005C5D59" w:rsidRDefault="009125FD" w:rsidP="009125FD">
            <w:pPr>
              <w:spacing w:after="120"/>
              <w:jc w:val="center"/>
              <w:rPr>
                <w:rFonts w:ascii="Arial" w:hAnsi="Arial" w:cs="Arial"/>
                <w:sz w:val="18"/>
                <w:szCs w:val="18"/>
              </w:rPr>
            </w:pPr>
            <w:r w:rsidRPr="005C5D59">
              <w:rPr>
                <w:rFonts w:ascii="Arial" w:hAnsi="Arial" w:cs="Arial"/>
                <w:sz w:val="18"/>
                <w:szCs w:val="18"/>
              </w:rPr>
              <w:t xml:space="preserve">RED BLOOD CELLS </w:t>
            </w:r>
          </w:p>
          <w:p w14:paraId="1E3DB0A2" w14:textId="77777777" w:rsidR="009125FD" w:rsidRPr="005C5D59" w:rsidRDefault="009125FD" w:rsidP="009125FD">
            <w:pPr>
              <w:spacing w:after="120"/>
              <w:jc w:val="center"/>
              <w:rPr>
                <w:rFonts w:ascii="Arial" w:hAnsi="Arial" w:cs="Arial"/>
                <w:sz w:val="18"/>
                <w:szCs w:val="18"/>
              </w:rPr>
            </w:pPr>
            <w:r w:rsidRPr="005C5D59">
              <w:rPr>
                <w:rFonts w:ascii="Arial" w:hAnsi="Arial" w:cs="Arial"/>
                <w:sz w:val="18"/>
                <w:szCs w:val="18"/>
              </w:rPr>
              <w:t xml:space="preserve">WHOLE BLOOD </w:t>
            </w:r>
          </w:p>
          <w:p w14:paraId="0E9043DB" w14:textId="40DDAD5B" w:rsidR="009125FD" w:rsidRPr="005C5D59" w:rsidRDefault="009125FD" w:rsidP="000612EF">
            <w:pPr>
              <w:spacing w:after="120"/>
              <w:jc w:val="center"/>
              <w:rPr>
                <w:rFonts w:ascii="Arial" w:hAnsi="Arial" w:cs="Arial"/>
                <w:sz w:val="18"/>
                <w:szCs w:val="18"/>
              </w:rPr>
            </w:pPr>
            <w:r w:rsidRPr="005C5D59">
              <w:rPr>
                <w:rFonts w:ascii="Arial" w:hAnsi="Arial" w:cs="Arial"/>
                <w:sz w:val="18"/>
                <w:szCs w:val="18"/>
              </w:rPr>
              <w:t>PLATELETS</w:t>
            </w:r>
          </w:p>
        </w:tc>
        <w:tc>
          <w:tcPr>
            <w:tcW w:w="1260" w:type="dxa"/>
            <w:tcBorders>
              <w:top w:val="single" w:sz="4" w:space="0" w:color="000000"/>
              <w:left w:val="single" w:sz="4" w:space="0" w:color="000000"/>
              <w:right w:val="single" w:sz="4" w:space="0" w:color="000000"/>
            </w:tcBorders>
            <w:shd w:val="pct10" w:color="auto" w:fill="auto"/>
            <w:vAlign w:val="center"/>
            <w:hideMark/>
          </w:tcPr>
          <w:p w14:paraId="4F87D178" w14:textId="77777777" w:rsidR="009125FD" w:rsidRPr="008E2609" w:rsidRDefault="009125FD" w:rsidP="009125FD">
            <w:pPr>
              <w:jc w:val="center"/>
              <w:rPr>
                <w:rFonts w:ascii="Arial" w:hAnsi="Arial" w:cs="Arial"/>
                <w:sz w:val="18"/>
                <w:szCs w:val="18"/>
              </w:rPr>
            </w:pPr>
            <w:r w:rsidRPr="008E2609">
              <w:rPr>
                <w:rFonts w:ascii="Arial" w:hAnsi="Arial" w:cs="Arial"/>
                <w:sz w:val="18"/>
                <w:szCs w:val="18"/>
              </w:rPr>
              <w:t>Leuko-reduced</w:t>
            </w:r>
          </w:p>
        </w:tc>
        <w:tc>
          <w:tcPr>
            <w:tcW w:w="1620" w:type="dxa"/>
            <w:tcBorders>
              <w:top w:val="single" w:sz="4" w:space="0" w:color="000000"/>
              <w:left w:val="single" w:sz="4" w:space="0" w:color="000000"/>
              <w:right w:val="single" w:sz="4" w:space="0" w:color="000000"/>
            </w:tcBorders>
            <w:shd w:val="pct10" w:color="auto" w:fill="auto"/>
            <w:vAlign w:val="center"/>
            <w:hideMark/>
          </w:tcPr>
          <w:p w14:paraId="287BC92E" w14:textId="77777777" w:rsidR="009125FD" w:rsidRPr="008E2609" w:rsidRDefault="009125FD" w:rsidP="009125FD">
            <w:pPr>
              <w:jc w:val="center"/>
              <w:rPr>
                <w:rFonts w:ascii="Arial" w:hAnsi="Arial" w:cs="Arial"/>
                <w:sz w:val="18"/>
                <w:szCs w:val="18"/>
              </w:rPr>
            </w:pPr>
            <w:r w:rsidRPr="008E2609">
              <w:rPr>
                <w:rFonts w:ascii="Arial" w:hAnsi="Arial" w:cs="Arial"/>
                <w:sz w:val="18"/>
                <w:szCs w:val="18"/>
              </w:rPr>
              <w:t>ALL VBECS Users</w:t>
            </w:r>
          </w:p>
        </w:tc>
        <w:tc>
          <w:tcPr>
            <w:tcW w:w="4050" w:type="dxa"/>
            <w:tcBorders>
              <w:top w:val="single" w:sz="4" w:space="0" w:color="000000"/>
              <w:left w:val="single" w:sz="4" w:space="0" w:color="000000"/>
              <w:right w:val="single" w:sz="4" w:space="0" w:color="000000"/>
            </w:tcBorders>
            <w:shd w:val="pct10" w:color="auto" w:fill="auto"/>
            <w:vAlign w:val="center"/>
          </w:tcPr>
          <w:p w14:paraId="2FE1A25C" w14:textId="77777777" w:rsidR="009125FD" w:rsidRPr="005C5D59" w:rsidRDefault="009125FD" w:rsidP="009125FD">
            <w:pPr>
              <w:jc w:val="center"/>
              <w:rPr>
                <w:rFonts w:ascii="Arial" w:hAnsi="Arial" w:cs="Arial"/>
                <w:sz w:val="18"/>
                <w:szCs w:val="18"/>
              </w:rPr>
            </w:pPr>
            <w:r w:rsidRPr="005C5D59">
              <w:rPr>
                <w:rFonts w:ascii="Arial" w:hAnsi="Arial" w:cs="Arial"/>
                <w:sz w:val="18"/>
                <w:szCs w:val="18"/>
              </w:rPr>
              <w:t>No warning message will display.</w:t>
            </w:r>
          </w:p>
        </w:tc>
      </w:tr>
      <w:tr w:rsidR="009125FD" w:rsidRPr="005C5D59" w14:paraId="061FFBA8" w14:textId="77777777" w:rsidTr="009125FD">
        <w:trPr>
          <w:cantSplit/>
          <w:trHeight w:val="1379"/>
        </w:trPr>
        <w:tc>
          <w:tcPr>
            <w:tcW w:w="1692" w:type="dxa"/>
            <w:vMerge/>
            <w:tcBorders>
              <w:left w:val="single" w:sz="4" w:space="0" w:color="000000"/>
              <w:right w:val="single" w:sz="4" w:space="0" w:color="000000"/>
            </w:tcBorders>
            <w:vAlign w:val="bottom"/>
          </w:tcPr>
          <w:p w14:paraId="6ECFF204" w14:textId="77777777" w:rsidR="009125FD" w:rsidRPr="005C5D59" w:rsidRDefault="009125FD" w:rsidP="009125FD">
            <w:pPr>
              <w:rPr>
                <w:rFonts w:ascii="Arial" w:hAnsi="Arial" w:cs="Arial"/>
                <w:b/>
                <w:sz w:val="18"/>
                <w:szCs w:val="18"/>
              </w:rPr>
            </w:pPr>
          </w:p>
        </w:tc>
        <w:tc>
          <w:tcPr>
            <w:tcW w:w="1620" w:type="dxa"/>
            <w:tcBorders>
              <w:top w:val="single" w:sz="4" w:space="0" w:color="000000"/>
              <w:left w:val="single" w:sz="4" w:space="0" w:color="000000"/>
              <w:right w:val="single" w:sz="4" w:space="0" w:color="000000"/>
            </w:tcBorders>
            <w:vAlign w:val="center"/>
          </w:tcPr>
          <w:p w14:paraId="3A846BAE" w14:textId="77777777" w:rsidR="009125FD" w:rsidRPr="005C5D59" w:rsidRDefault="009125FD" w:rsidP="009125FD">
            <w:pPr>
              <w:spacing w:after="120"/>
              <w:jc w:val="center"/>
              <w:rPr>
                <w:rFonts w:ascii="Arial" w:hAnsi="Arial" w:cs="Arial"/>
                <w:sz w:val="18"/>
                <w:szCs w:val="18"/>
              </w:rPr>
            </w:pPr>
            <w:r w:rsidRPr="005C5D59">
              <w:rPr>
                <w:rFonts w:ascii="Arial" w:hAnsi="Arial" w:cs="Arial"/>
                <w:sz w:val="18"/>
                <w:szCs w:val="18"/>
              </w:rPr>
              <w:t xml:space="preserve">RED BLOOD CELLS </w:t>
            </w:r>
          </w:p>
          <w:p w14:paraId="0523BF2B" w14:textId="77777777" w:rsidR="009125FD" w:rsidRPr="005C5D59" w:rsidRDefault="009125FD" w:rsidP="009125FD">
            <w:pPr>
              <w:spacing w:after="120"/>
              <w:jc w:val="center"/>
              <w:rPr>
                <w:rFonts w:ascii="Arial" w:hAnsi="Arial" w:cs="Arial"/>
                <w:sz w:val="18"/>
                <w:szCs w:val="18"/>
              </w:rPr>
            </w:pPr>
            <w:r w:rsidRPr="005C5D59">
              <w:rPr>
                <w:rFonts w:ascii="Arial" w:hAnsi="Arial" w:cs="Arial"/>
                <w:sz w:val="18"/>
                <w:szCs w:val="18"/>
              </w:rPr>
              <w:t>WHOLE BLOOD</w:t>
            </w:r>
          </w:p>
          <w:p w14:paraId="476976A3" w14:textId="77777777" w:rsidR="009125FD" w:rsidRPr="005C5D59" w:rsidRDefault="009125FD" w:rsidP="009125FD">
            <w:pPr>
              <w:spacing w:after="120"/>
              <w:jc w:val="center"/>
              <w:rPr>
                <w:rFonts w:ascii="Arial" w:hAnsi="Arial" w:cs="Arial"/>
                <w:sz w:val="18"/>
                <w:szCs w:val="18"/>
              </w:rPr>
            </w:pPr>
            <w:r w:rsidRPr="005C5D59">
              <w:rPr>
                <w:rFonts w:ascii="Arial" w:hAnsi="Arial" w:cs="Arial"/>
                <w:sz w:val="18"/>
                <w:szCs w:val="18"/>
              </w:rPr>
              <w:t>PLATELETS</w:t>
            </w:r>
          </w:p>
        </w:tc>
        <w:tc>
          <w:tcPr>
            <w:tcW w:w="1260" w:type="dxa"/>
            <w:tcBorders>
              <w:top w:val="single" w:sz="4" w:space="0" w:color="000000"/>
              <w:left w:val="single" w:sz="4" w:space="0" w:color="000000"/>
              <w:right w:val="single" w:sz="4" w:space="0" w:color="000000"/>
            </w:tcBorders>
            <w:vAlign w:val="center"/>
          </w:tcPr>
          <w:p w14:paraId="33F936E3" w14:textId="77777777" w:rsidR="009125FD" w:rsidRPr="005C5D59" w:rsidRDefault="009125FD" w:rsidP="009125FD">
            <w:pPr>
              <w:jc w:val="center"/>
              <w:rPr>
                <w:rFonts w:ascii="Arial" w:hAnsi="Arial" w:cs="Arial"/>
                <w:color w:val="FF0000"/>
                <w:sz w:val="18"/>
                <w:szCs w:val="18"/>
              </w:rPr>
            </w:pPr>
            <w:r w:rsidRPr="00871BF2">
              <w:rPr>
                <w:rFonts w:ascii="Arial" w:hAnsi="Arial" w:cs="Arial"/>
                <w:b/>
                <w:color w:val="FF0000"/>
                <w:sz w:val="18"/>
                <w:szCs w:val="18"/>
              </w:rPr>
              <w:t>Not  Leuko-reduced</w:t>
            </w:r>
          </w:p>
        </w:tc>
        <w:tc>
          <w:tcPr>
            <w:tcW w:w="1620" w:type="dxa"/>
            <w:tcBorders>
              <w:top w:val="single" w:sz="4" w:space="0" w:color="000000"/>
              <w:left w:val="single" w:sz="4" w:space="0" w:color="000000"/>
              <w:right w:val="single" w:sz="4" w:space="0" w:color="000000"/>
            </w:tcBorders>
            <w:vAlign w:val="center"/>
          </w:tcPr>
          <w:p w14:paraId="7ABB7CFA" w14:textId="77777777" w:rsidR="009125FD" w:rsidRPr="00A92752" w:rsidRDefault="009125FD" w:rsidP="009125FD">
            <w:pPr>
              <w:ind w:left="18"/>
              <w:rPr>
                <w:rFonts w:ascii="Arial" w:hAnsi="Arial" w:cs="Arial"/>
                <w:sz w:val="18"/>
                <w:szCs w:val="18"/>
              </w:rPr>
            </w:pPr>
            <w:r w:rsidRPr="00A92752">
              <w:rPr>
                <w:rFonts w:ascii="Arial" w:hAnsi="Arial" w:cs="Arial"/>
                <w:noProof/>
                <w:sz w:val="18"/>
                <w:szCs w:val="18"/>
              </w:rPr>
              <w:t>Technologist</w:t>
            </w:r>
          </w:p>
          <w:p w14:paraId="05B66CD9" w14:textId="77777777" w:rsidR="009125FD" w:rsidRPr="00836EE2" w:rsidRDefault="009125FD" w:rsidP="009125FD">
            <w:pPr>
              <w:ind w:left="18"/>
              <w:rPr>
                <w:rFonts w:ascii="Arial" w:hAnsi="Arial" w:cs="Arial"/>
                <w:sz w:val="18"/>
                <w:szCs w:val="18"/>
              </w:rPr>
            </w:pPr>
          </w:p>
          <w:p w14:paraId="427A7535" w14:textId="77777777" w:rsidR="009125FD" w:rsidRPr="00A92752" w:rsidRDefault="009125FD" w:rsidP="009125FD">
            <w:pPr>
              <w:ind w:left="18"/>
              <w:rPr>
                <w:rFonts w:ascii="Arial" w:hAnsi="Arial" w:cs="Arial"/>
                <w:noProof/>
                <w:sz w:val="18"/>
                <w:szCs w:val="18"/>
              </w:rPr>
            </w:pPr>
            <w:r w:rsidRPr="00A92752">
              <w:rPr>
                <w:rFonts w:ascii="Arial" w:hAnsi="Arial" w:cs="Arial"/>
                <w:noProof/>
                <w:sz w:val="18"/>
                <w:szCs w:val="18"/>
              </w:rPr>
              <w:t>Enhanced Technologist</w:t>
            </w:r>
          </w:p>
        </w:tc>
        <w:tc>
          <w:tcPr>
            <w:tcW w:w="4050" w:type="dxa"/>
            <w:tcBorders>
              <w:top w:val="single" w:sz="4" w:space="0" w:color="000000"/>
              <w:left w:val="single" w:sz="4" w:space="0" w:color="000000"/>
              <w:right w:val="single" w:sz="4" w:space="0" w:color="000000"/>
            </w:tcBorders>
            <w:vAlign w:val="bottom"/>
          </w:tcPr>
          <w:p w14:paraId="6EEF4AD1" w14:textId="77777777" w:rsidR="009125FD" w:rsidRDefault="009125FD" w:rsidP="009125FD">
            <w:pPr>
              <w:rPr>
                <w:rFonts w:ascii="Arial" w:hAnsi="Arial" w:cs="Arial"/>
                <w:sz w:val="18"/>
                <w:szCs w:val="18"/>
              </w:rPr>
            </w:pPr>
            <w:r w:rsidRPr="005C5D59">
              <w:rPr>
                <w:rFonts w:ascii="Arial" w:hAnsi="Arial" w:cs="Arial"/>
                <w:sz w:val="18"/>
                <w:szCs w:val="18"/>
              </w:rPr>
              <w:t xml:space="preserve">The system displays the warning message: </w:t>
            </w:r>
            <w:r w:rsidRPr="00836EE2">
              <w:rPr>
                <w:rFonts w:ascii="Arial" w:hAnsi="Arial" w:cs="Arial"/>
                <w:i/>
                <w:sz w:val="18"/>
                <w:szCs w:val="18"/>
              </w:rPr>
              <w:t>Patient’s Transfusion Requirement is not satisfied.</w:t>
            </w:r>
            <w:r w:rsidRPr="005C5D59">
              <w:rPr>
                <w:rFonts w:ascii="Arial" w:hAnsi="Arial" w:cs="Arial"/>
                <w:sz w:val="18"/>
                <w:szCs w:val="18"/>
              </w:rPr>
              <w:t xml:space="preserve"> </w:t>
            </w:r>
            <w:r w:rsidRPr="007F3B3C">
              <w:rPr>
                <w:rFonts w:ascii="Arial" w:hAnsi="Arial" w:cs="Arial"/>
                <w:i/>
                <w:sz w:val="18"/>
                <w:szCs w:val="18"/>
              </w:rPr>
              <w:t>You do not have the proper security to issue this unit. Further processing is needed and must be documented in VBECS.</w:t>
            </w:r>
            <w:r w:rsidRPr="005C5D59">
              <w:rPr>
                <w:rFonts w:ascii="Arial" w:hAnsi="Arial" w:cs="Arial"/>
                <w:sz w:val="18"/>
                <w:szCs w:val="18"/>
              </w:rPr>
              <w:t xml:space="preserve"> </w:t>
            </w:r>
          </w:p>
          <w:p w14:paraId="6D162896" w14:textId="77777777" w:rsidR="009125FD" w:rsidRPr="005C5D59" w:rsidRDefault="009125FD" w:rsidP="009125FD">
            <w:pPr>
              <w:rPr>
                <w:rFonts w:ascii="Arial" w:hAnsi="Arial" w:cs="Arial"/>
                <w:sz w:val="18"/>
                <w:szCs w:val="18"/>
              </w:rPr>
            </w:pPr>
            <w:r>
              <w:rPr>
                <w:rFonts w:ascii="Arial" w:hAnsi="Arial" w:cs="Arial"/>
                <w:sz w:val="18"/>
                <w:szCs w:val="18"/>
              </w:rPr>
              <w:t>The tech may not issue this unit in the computer.</w:t>
            </w:r>
          </w:p>
        </w:tc>
      </w:tr>
      <w:tr w:rsidR="009125FD" w:rsidRPr="005C5D59" w14:paraId="76E0ECE6" w14:textId="77777777" w:rsidTr="009125FD">
        <w:trPr>
          <w:cantSplit/>
          <w:trHeight w:val="2343"/>
        </w:trPr>
        <w:tc>
          <w:tcPr>
            <w:tcW w:w="1692" w:type="dxa"/>
            <w:vMerge/>
            <w:tcBorders>
              <w:left w:val="single" w:sz="4" w:space="0" w:color="000000"/>
              <w:right w:val="single" w:sz="4" w:space="0" w:color="000000"/>
            </w:tcBorders>
            <w:vAlign w:val="bottom"/>
          </w:tcPr>
          <w:p w14:paraId="14060492" w14:textId="77777777" w:rsidR="009125FD" w:rsidRPr="005C5D59" w:rsidRDefault="009125FD" w:rsidP="009125FD">
            <w:pPr>
              <w:rPr>
                <w:rFonts w:ascii="Arial" w:hAnsi="Arial" w:cs="Arial"/>
                <w:b/>
                <w:sz w:val="18"/>
                <w:szCs w:val="18"/>
              </w:rPr>
            </w:pPr>
          </w:p>
        </w:tc>
        <w:tc>
          <w:tcPr>
            <w:tcW w:w="1620" w:type="dxa"/>
            <w:tcBorders>
              <w:top w:val="single" w:sz="4" w:space="0" w:color="000000"/>
              <w:left w:val="single" w:sz="4" w:space="0" w:color="000000"/>
              <w:right w:val="single" w:sz="4" w:space="0" w:color="000000"/>
            </w:tcBorders>
            <w:vAlign w:val="center"/>
          </w:tcPr>
          <w:p w14:paraId="45EA12C8" w14:textId="77777777" w:rsidR="009125FD" w:rsidRPr="005C5D59" w:rsidRDefault="009125FD" w:rsidP="009125FD">
            <w:pPr>
              <w:spacing w:after="120"/>
              <w:jc w:val="center"/>
              <w:rPr>
                <w:rFonts w:ascii="Arial" w:hAnsi="Arial" w:cs="Arial"/>
                <w:sz w:val="18"/>
                <w:szCs w:val="18"/>
              </w:rPr>
            </w:pPr>
            <w:r w:rsidRPr="005C5D59">
              <w:rPr>
                <w:rFonts w:ascii="Arial" w:hAnsi="Arial" w:cs="Arial"/>
                <w:sz w:val="18"/>
                <w:szCs w:val="18"/>
              </w:rPr>
              <w:t xml:space="preserve">RED BLOOD CELLS </w:t>
            </w:r>
          </w:p>
          <w:p w14:paraId="3FDF4FE8" w14:textId="77777777" w:rsidR="009125FD" w:rsidRPr="005C5D59" w:rsidRDefault="009125FD" w:rsidP="009125FD">
            <w:pPr>
              <w:spacing w:after="120"/>
              <w:jc w:val="center"/>
              <w:rPr>
                <w:rFonts w:ascii="Arial" w:hAnsi="Arial" w:cs="Arial"/>
                <w:sz w:val="18"/>
                <w:szCs w:val="18"/>
              </w:rPr>
            </w:pPr>
            <w:r w:rsidRPr="005C5D59">
              <w:rPr>
                <w:rFonts w:ascii="Arial" w:hAnsi="Arial" w:cs="Arial"/>
                <w:sz w:val="18"/>
                <w:szCs w:val="18"/>
              </w:rPr>
              <w:t>WHOLE BLOOD</w:t>
            </w:r>
          </w:p>
          <w:p w14:paraId="75095B88" w14:textId="77777777" w:rsidR="009125FD" w:rsidRPr="005C5D59" w:rsidRDefault="009125FD" w:rsidP="009125FD">
            <w:pPr>
              <w:spacing w:after="120"/>
              <w:jc w:val="center"/>
              <w:rPr>
                <w:rFonts w:ascii="Arial" w:hAnsi="Arial" w:cs="Arial"/>
                <w:sz w:val="18"/>
                <w:szCs w:val="18"/>
              </w:rPr>
            </w:pPr>
            <w:r w:rsidRPr="005C5D59">
              <w:rPr>
                <w:rFonts w:ascii="Arial" w:hAnsi="Arial" w:cs="Arial"/>
                <w:sz w:val="18"/>
                <w:szCs w:val="18"/>
              </w:rPr>
              <w:t>PLATELETS</w:t>
            </w:r>
          </w:p>
        </w:tc>
        <w:tc>
          <w:tcPr>
            <w:tcW w:w="1260" w:type="dxa"/>
            <w:tcBorders>
              <w:top w:val="single" w:sz="4" w:space="0" w:color="000000"/>
              <w:left w:val="single" w:sz="4" w:space="0" w:color="000000"/>
              <w:right w:val="single" w:sz="4" w:space="0" w:color="000000"/>
            </w:tcBorders>
            <w:vAlign w:val="center"/>
          </w:tcPr>
          <w:p w14:paraId="030971F6" w14:textId="77777777" w:rsidR="009125FD" w:rsidRPr="005C5D59" w:rsidRDefault="009125FD" w:rsidP="009125FD">
            <w:pPr>
              <w:jc w:val="center"/>
              <w:rPr>
                <w:rFonts w:ascii="Arial" w:hAnsi="Arial" w:cs="Arial"/>
                <w:color w:val="FF0000"/>
                <w:sz w:val="18"/>
                <w:szCs w:val="18"/>
              </w:rPr>
            </w:pPr>
            <w:r w:rsidRPr="00871BF2">
              <w:rPr>
                <w:rFonts w:ascii="Arial" w:hAnsi="Arial" w:cs="Arial"/>
                <w:b/>
                <w:color w:val="FF0000"/>
                <w:sz w:val="18"/>
                <w:szCs w:val="18"/>
              </w:rPr>
              <w:t>Not  Leuko-reduced</w:t>
            </w:r>
          </w:p>
        </w:tc>
        <w:tc>
          <w:tcPr>
            <w:tcW w:w="1620" w:type="dxa"/>
            <w:tcBorders>
              <w:top w:val="single" w:sz="4" w:space="0" w:color="000000"/>
              <w:left w:val="single" w:sz="4" w:space="0" w:color="000000"/>
              <w:right w:val="single" w:sz="4" w:space="0" w:color="000000"/>
            </w:tcBorders>
            <w:vAlign w:val="center"/>
          </w:tcPr>
          <w:p w14:paraId="1C65A018" w14:textId="77777777" w:rsidR="009125FD" w:rsidRPr="00A92752" w:rsidRDefault="009125FD" w:rsidP="009125FD">
            <w:pPr>
              <w:spacing w:before="120"/>
              <w:ind w:left="18"/>
              <w:rPr>
                <w:rFonts w:ascii="Arial" w:hAnsi="Arial" w:cs="Arial"/>
                <w:sz w:val="18"/>
                <w:szCs w:val="18"/>
              </w:rPr>
            </w:pPr>
            <w:r w:rsidRPr="00A92752">
              <w:rPr>
                <w:rFonts w:ascii="Arial" w:hAnsi="Arial" w:cs="Arial"/>
                <w:sz w:val="18"/>
                <w:szCs w:val="18"/>
              </w:rPr>
              <w:t>Lead Technologist</w:t>
            </w:r>
          </w:p>
          <w:p w14:paraId="01BB7544" w14:textId="77777777" w:rsidR="009125FD" w:rsidRPr="00A92752" w:rsidRDefault="009125FD" w:rsidP="009125FD">
            <w:pPr>
              <w:spacing w:before="120"/>
              <w:ind w:left="18"/>
              <w:rPr>
                <w:rFonts w:ascii="Arial" w:hAnsi="Arial" w:cs="Arial"/>
                <w:sz w:val="18"/>
                <w:szCs w:val="18"/>
              </w:rPr>
            </w:pPr>
            <w:r w:rsidRPr="00A92752">
              <w:rPr>
                <w:rFonts w:ascii="Arial" w:hAnsi="Arial" w:cs="Arial"/>
                <w:sz w:val="18"/>
                <w:szCs w:val="18"/>
              </w:rPr>
              <w:t>Traditional Supervisor</w:t>
            </w:r>
          </w:p>
          <w:p w14:paraId="0F8E7332" w14:textId="77777777" w:rsidR="009125FD" w:rsidRPr="00A92752" w:rsidRDefault="009125FD" w:rsidP="009125FD">
            <w:pPr>
              <w:spacing w:before="120"/>
              <w:ind w:left="18"/>
              <w:rPr>
                <w:rFonts w:ascii="Arial" w:hAnsi="Arial" w:cs="Arial"/>
                <w:sz w:val="18"/>
                <w:szCs w:val="18"/>
              </w:rPr>
            </w:pPr>
            <w:r w:rsidRPr="00A92752">
              <w:rPr>
                <w:rFonts w:ascii="Arial" w:hAnsi="Arial" w:cs="Arial"/>
                <w:sz w:val="18"/>
                <w:szCs w:val="18"/>
              </w:rPr>
              <w:t>Enhanced Supervisor</w:t>
            </w:r>
          </w:p>
          <w:p w14:paraId="66E5EF33" w14:textId="77777777" w:rsidR="009125FD" w:rsidRPr="00A92752" w:rsidRDefault="009125FD" w:rsidP="009125FD">
            <w:pPr>
              <w:spacing w:before="120"/>
              <w:ind w:left="18"/>
              <w:rPr>
                <w:rFonts w:ascii="Arial" w:hAnsi="Arial" w:cs="Arial"/>
                <w:sz w:val="18"/>
                <w:szCs w:val="18"/>
              </w:rPr>
            </w:pPr>
            <w:r w:rsidRPr="00A92752">
              <w:rPr>
                <w:rFonts w:ascii="Arial" w:hAnsi="Arial" w:cs="Arial"/>
                <w:sz w:val="18"/>
                <w:szCs w:val="18"/>
              </w:rPr>
              <w:t>Administrator/Supervisor</w:t>
            </w:r>
          </w:p>
          <w:p w14:paraId="1E16648D" w14:textId="77777777" w:rsidR="009125FD" w:rsidRPr="008B278A" w:rsidRDefault="009125FD" w:rsidP="009125FD">
            <w:pPr>
              <w:ind w:left="18"/>
              <w:rPr>
                <w:rFonts w:ascii="Arial" w:hAnsi="Arial" w:cs="Arial"/>
                <w:sz w:val="18"/>
                <w:szCs w:val="18"/>
              </w:rPr>
            </w:pPr>
          </w:p>
        </w:tc>
        <w:tc>
          <w:tcPr>
            <w:tcW w:w="4050" w:type="dxa"/>
            <w:tcBorders>
              <w:top w:val="single" w:sz="4" w:space="0" w:color="000000"/>
              <w:left w:val="single" w:sz="4" w:space="0" w:color="000000"/>
              <w:right w:val="single" w:sz="4" w:space="0" w:color="000000"/>
            </w:tcBorders>
            <w:vAlign w:val="bottom"/>
          </w:tcPr>
          <w:p w14:paraId="5C1C33B6" w14:textId="77777777" w:rsidR="009125FD" w:rsidRPr="005C5D59" w:rsidRDefault="009125FD" w:rsidP="009125FD">
            <w:pPr>
              <w:rPr>
                <w:rFonts w:ascii="Arial" w:hAnsi="Arial" w:cs="Arial"/>
                <w:sz w:val="18"/>
                <w:szCs w:val="18"/>
              </w:rPr>
            </w:pPr>
            <w:r w:rsidRPr="005C5D59">
              <w:rPr>
                <w:rFonts w:ascii="Arial" w:hAnsi="Arial" w:cs="Arial"/>
                <w:sz w:val="18"/>
                <w:szCs w:val="18"/>
              </w:rPr>
              <w:t xml:space="preserve">The system displays the warning message: </w:t>
            </w:r>
            <w:r w:rsidRPr="002A405A">
              <w:rPr>
                <w:rFonts w:ascii="Arial" w:hAnsi="Arial" w:cs="Arial"/>
                <w:i/>
                <w:sz w:val="18"/>
                <w:szCs w:val="18"/>
              </w:rPr>
              <w:t xml:space="preserve">Patient’s Leuko-reduce Cellular Products </w:t>
            </w:r>
            <w:r w:rsidRPr="00836EE2">
              <w:rPr>
                <w:rFonts w:ascii="Arial" w:hAnsi="Arial" w:cs="Arial"/>
                <w:i/>
                <w:sz w:val="18"/>
                <w:szCs w:val="18"/>
              </w:rPr>
              <w:t>Transfusion Requirement is not satisfied</w:t>
            </w:r>
            <w:r w:rsidRPr="005C5D59">
              <w:rPr>
                <w:rFonts w:ascii="Arial" w:hAnsi="Arial" w:cs="Arial"/>
                <w:sz w:val="18"/>
                <w:szCs w:val="18"/>
              </w:rPr>
              <w:t xml:space="preserve"> and prompts the user whether to proceed. </w:t>
            </w:r>
          </w:p>
          <w:p w14:paraId="40F8B9B0" w14:textId="77777777" w:rsidR="009125FD" w:rsidRPr="005C5D59" w:rsidRDefault="009125FD" w:rsidP="009125FD">
            <w:pPr>
              <w:rPr>
                <w:rFonts w:ascii="Arial" w:hAnsi="Arial" w:cs="Arial"/>
                <w:sz w:val="18"/>
                <w:szCs w:val="18"/>
              </w:rPr>
            </w:pPr>
            <w:r w:rsidRPr="005C5D59">
              <w:rPr>
                <w:rFonts w:ascii="Arial" w:hAnsi="Arial" w:cs="Arial"/>
                <w:sz w:val="18"/>
                <w:szCs w:val="18"/>
              </w:rPr>
              <w:t>If the user responds “No”</w:t>
            </w:r>
            <w:r>
              <w:rPr>
                <w:rFonts w:ascii="Arial" w:hAnsi="Arial" w:cs="Arial"/>
                <w:sz w:val="18"/>
                <w:szCs w:val="18"/>
              </w:rPr>
              <w:t>,</w:t>
            </w:r>
            <w:r w:rsidRPr="005C5D59">
              <w:rPr>
                <w:rFonts w:ascii="Arial" w:hAnsi="Arial" w:cs="Arial"/>
                <w:sz w:val="18"/>
                <w:szCs w:val="18"/>
              </w:rPr>
              <w:t xml:space="preserve"> the system wi</w:t>
            </w:r>
            <w:r>
              <w:rPr>
                <w:rFonts w:ascii="Arial" w:hAnsi="Arial" w:cs="Arial"/>
                <w:sz w:val="18"/>
                <w:szCs w:val="18"/>
              </w:rPr>
              <w:t>ll clear the selected unit.</w:t>
            </w:r>
          </w:p>
          <w:p w14:paraId="20F87659" w14:textId="61C13907" w:rsidR="009125FD" w:rsidRPr="005C5D59" w:rsidRDefault="009125FD" w:rsidP="009125FD">
            <w:pPr>
              <w:rPr>
                <w:rFonts w:ascii="Arial" w:hAnsi="Arial" w:cs="Arial"/>
                <w:sz w:val="18"/>
                <w:szCs w:val="18"/>
              </w:rPr>
            </w:pPr>
            <w:r>
              <w:rPr>
                <w:rFonts w:ascii="Arial" w:hAnsi="Arial" w:cs="Arial"/>
                <w:sz w:val="18"/>
                <w:szCs w:val="18"/>
              </w:rPr>
              <w:t>If the user responds “Yes”,</w:t>
            </w:r>
            <w:r w:rsidRPr="005C5D59">
              <w:rPr>
                <w:rFonts w:ascii="Arial" w:hAnsi="Arial" w:cs="Arial"/>
                <w:sz w:val="18"/>
                <w:szCs w:val="18"/>
              </w:rPr>
              <w:t xml:space="preserve"> the system will require a comment (free text or canned, “unit issue” context) and capture the transacti</w:t>
            </w:r>
            <w:r>
              <w:rPr>
                <w:rFonts w:ascii="Arial" w:hAnsi="Arial" w:cs="Arial"/>
                <w:sz w:val="18"/>
                <w:szCs w:val="18"/>
              </w:rPr>
              <w:t>on details for inclusion in an Exception R</w:t>
            </w:r>
            <w:r w:rsidRPr="005C5D59">
              <w:rPr>
                <w:rFonts w:ascii="Arial" w:hAnsi="Arial" w:cs="Arial"/>
                <w:sz w:val="18"/>
                <w:szCs w:val="18"/>
              </w:rPr>
              <w:t>eport</w:t>
            </w:r>
            <w:r>
              <w:rPr>
                <w:rFonts w:ascii="Arial" w:hAnsi="Arial" w:cs="Arial"/>
                <w:sz w:val="18"/>
                <w:szCs w:val="18"/>
              </w:rPr>
              <w:t xml:space="preserve"> entry</w:t>
            </w:r>
            <w:r w:rsidRPr="005C5D59">
              <w:rPr>
                <w:rFonts w:ascii="Arial" w:hAnsi="Arial" w:cs="Arial"/>
                <w:sz w:val="18"/>
                <w:szCs w:val="18"/>
              </w:rPr>
              <w:t xml:space="preserve">: </w:t>
            </w:r>
            <w:r w:rsidRPr="005C5D59">
              <w:rPr>
                <w:rFonts w:ascii="Arial" w:hAnsi="Arial" w:cs="Arial"/>
                <w:i/>
                <w:sz w:val="18"/>
                <w:szCs w:val="18"/>
              </w:rPr>
              <w:t xml:space="preserve">Unit issued with unsatisfied Transfusion </w:t>
            </w:r>
            <w:r w:rsidR="00AE3B37" w:rsidRPr="005C5D59">
              <w:rPr>
                <w:rFonts w:ascii="Arial" w:hAnsi="Arial" w:cs="Arial"/>
                <w:i/>
                <w:sz w:val="18"/>
                <w:szCs w:val="18"/>
              </w:rPr>
              <w:t>Requirement</w:t>
            </w:r>
            <w:r w:rsidR="00AE3B37" w:rsidRPr="005C5D59">
              <w:rPr>
                <w:rFonts w:ascii="Arial" w:hAnsi="Arial" w:cs="Arial"/>
                <w:sz w:val="18"/>
                <w:szCs w:val="18"/>
              </w:rPr>
              <w:t>.</w:t>
            </w:r>
          </w:p>
        </w:tc>
      </w:tr>
    </w:tbl>
    <w:p w14:paraId="2DED3914" w14:textId="77777777" w:rsidR="009125FD" w:rsidRDefault="009125FD" w:rsidP="009125FD"/>
    <w:p w14:paraId="00B3821F" w14:textId="03FD81A3" w:rsidR="00C15299" w:rsidRDefault="00C15299" w:rsidP="00C15299">
      <w:pPr>
        <w:pStyle w:val="Caption"/>
      </w:pPr>
      <w:bookmarkStart w:id="889" w:name="_Ref407610736"/>
      <w:bookmarkStart w:id="890" w:name="_Ref343502500"/>
      <w:r>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7D1829">
        <w:rPr>
          <w:noProof/>
        </w:rPr>
        <w:t>138</w:t>
      </w:r>
      <w:r w:rsidR="004E20BD">
        <w:rPr>
          <w:noProof/>
        </w:rPr>
        <w:fldChar w:fldCharType="end"/>
      </w:r>
      <w:bookmarkEnd w:id="889"/>
      <w:r>
        <w:t>: Washed Red Blood Cell (RBC) Products and Select Blood Unit</w:t>
      </w:r>
      <w:bookmarkEnd w:id="890"/>
    </w:p>
    <w:tbl>
      <w:tblPr>
        <w:tblW w:w="10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2" w:type="dxa"/>
          <w:right w:w="72" w:type="dxa"/>
        </w:tblCellMar>
        <w:tblLook w:val="04A0" w:firstRow="1" w:lastRow="0" w:firstColumn="1" w:lastColumn="0" w:noHBand="0" w:noVBand="1"/>
      </w:tblPr>
      <w:tblGrid>
        <w:gridCol w:w="1692"/>
        <w:gridCol w:w="1620"/>
        <w:gridCol w:w="1260"/>
        <w:gridCol w:w="1620"/>
        <w:gridCol w:w="4050"/>
      </w:tblGrid>
      <w:tr w:rsidR="009125FD" w:rsidRPr="005C5D59" w14:paraId="13DBE092" w14:textId="77777777" w:rsidTr="009125FD">
        <w:trPr>
          <w:cantSplit/>
          <w:trHeight w:val="305"/>
          <w:tblHeader/>
        </w:trPr>
        <w:tc>
          <w:tcPr>
            <w:tcW w:w="10242" w:type="dxa"/>
            <w:gridSpan w:val="5"/>
            <w:tcBorders>
              <w:top w:val="single" w:sz="4" w:space="0" w:color="000000"/>
              <w:left w:val="single" w:sz="4" w:space="0" w:color="000000"/>
              <w:right w:val="single" w:sz="4" w:space="0" w:color="000000"/>
            </w:tcBorders>
            <w:shd w:val="pct25" w:color="auto" w:fill="auto"/>
            <w:vAlign w:val="bottom"/>
            <w:hideMark/>
          </w:tcPr>
          <w:p w14:paraId="0193882D" w14:textId="77777777" w:rsidR="009125FD" w:rsidRPr="005C5D59" w:rsidRDefault="009125FD" w:rsidP="009125FD">
            <w:pPr>
              <w:rPr>
                <w:rFonts w:ascii="Arial" w:hAnsi="Arial" w:cs="Arial"/>
                <w:b/>
                <w:sz w:val="18"/>
                <w:szCs w:val="18"/>
              </w:rPr>
            </w:pPr>
            <w:r w:rsidRPr="005C5D59">
              <w:rPr>
                <w:rFonts w:ascii="Arial" w:hAnsi="Arial" w:cs="Arial"/>
                <w:b/>
                <w:sz w:val="18"/>
                <w:szCs w:val="18"/>
              </w:rPr>
              <w:t xml:space="preserve">Select Unit: </w:t>
            </w:r>
            <w:r w:rsidRPr="00B62010">
              <w:rPr>
                <w:rFonts w:ascii="Arial" w:hAnsi="Arial" w:cs="Arial"/>
                <w:b/>
                <w:sz w:val="18"/>
                <w:szCs w:val="18"/>
              </w:rPr>
              <w:t xml:space="preserve"> Washed R</w:t>
            </w:r>
            <w:r>
              <w:rPr>
                <w:rFonts w:ascii="Arial" w:hAnsi="Arial" w:cs="Arial"/>
                <w:b/>
                <w:sz w:val="18"/>
                <w:szCs w:val="18"/>
              </w:rPr>
              <w:t xml:space="preserve">ed </w:t>
            </w:r>
            <w:r w:rsidRPr="00B62010">
              <w:rPr>
                <w:rFonts w:ascii="Arial" w:hAnsi="Arial" w:cs="Arial"/>
                <w:b/>
                <w:sz w:val="18"/>
                <w:szCs w:val="18"/>
              </w:rPr>
              <w:t>B</w:t>
            </w:r>
            <w:r>
              <w:rPr>
                <w:rFonts w:ascii="Arial" w:hAnsi="Arial" w:cs="Arial"/>
                <w:b/>
                <w:sz w:val="18"/>
                <w:szCs w:val="18"/>
              </w:rPr>
              <w:t xml:space="preserve">lood </w:t>
            </w:r>
            <w:r w:rsidRPr="00B62010">
              <w:rPr>
                <w:rFonts w:ascii="Arial" w:hAnsi="Arial" w:cs="Arial"/>
                <w:b/>
                <w:sz w:val="18"/>
                <w:szCs w:val="18"/>
              </w:rPr>
              <w:t>C</w:t>
            </w:r>
            <w:r>
              <w:rPr>
                <w:rFonts w:ascii="Arial" w:hAnsi="Arial" w:cs="Arial"/>
                <w:b/>
                <w:sz w:val="18"/>
                <w:szCs w:val="18"/>
              </w:rPr>
              <w:t>ell (RBC)</w:t>
            </w:r>
            <w:r w:rsidRPr="00B62010">
              <w:rPr>
                <w:rFonts w:ascii="Arial" w:hAnsi="Arial" w:cs="Arial"/>
                <w:b/>
                <w:sz w:val="18"/>
                <w:szCs w:val="18"/>
              </w:rPr>
              <w:t xml:space="preserve"> products</w:t>
            </w:r>
          </w:p>
        </w:tc>
      </w:tr>
      <w:tr w:rsidR="009125FD" w:rsidRPr="005C5D59" w14:paraId="09464BB7" w14:textId="77777777" w:rsidTr="009125FD">
        <w:trPr>
          <w:cantSplit/>
          <w:trHeight w:val="432"/>
          <w:tblHeader/>
        </w:trPr>
        <w:tc>
          <w:tcPr>
            <w:tcW w:w="1692" w:type="dxa"/>
            <w:tcBorders>
              <w:left w:val="single" w:sz="4" w:space="0" w:color="000000"/>
              <w:bottom w:val="single" w:sz="4" w:space="0" w:color="000000"/>
              <w:right w:val="single" w:sz="4" w:space="0" w:color="000000"/>
            </w:tcBorders>
            <w:shd w:val="pct25" w:color="auto" w:fill="auto"/>
            <w:vAlign w:val="bottom"/>
            <w:hideMark/>
          </w:tcPr>
          <w:p w14:paraId="7543052E" w14:textId="77777777" w:rsidR="009125FD" w:rsidRPr="005C5D59" w:rsidRDefault="009125FD" w:rsidP="009125FD">
            <w:pPr>
              <w:rPr>
                <w:rFonts w:ascii="Arial" w:hAnsi="Arial" w:cs="Arial"/>
                <w:b/>
                <w:sz w:val="18"/>
                <w:szCs w:val="18"/>
              </w:rPr>
            </w:pPr>
            <w:r w:rsidRPr="005C5D59">
              <w:rPr>
                <w:rFonts w:ascii="Arial" w:hAnsi="Arial" w:cs="Arial"/>
                <w:b/>
                <w:sz w:val="18"/>
                <w:szCs w:val="18"/>
              </w:rPr>
              <w:t>Patient Active Transfusion Requirement</w:t>
            </w:r>
          </w:p>
        </w:tc>
        <w:tc>
          <w:tcPr>
            <w:tcW w:w="1620" w:type="dxa"/>
            <w:tcBorders>
              <w:left w:val="single" w:sz="4" w:space="0" w:color="000000"/>
              <w:bottom w:val="single" w:sz="4" w:space="0" w:color="000000"/>
              <w:right w:val="single" w:sz="4" w:space="0" w:color="000000"/>
            </w:tcBorders>
            <w:shd w:val="pct25" w:color="auto" w:fill="auto"/>
            <w:vAlign w:val="bottom"/>
            <w:hideMark/>
          </w:tcPr>
          <w:p w14:paraId="272AB9D9" w14:textId="77777777" w:rsidR="009125FD" w:rsidRPr="005C5D59" w:rsidRDefault="009125FD" w:rsidP="009125FD">
            <w:pPr>
              <w:rPr>
                <w:rFonts w:ascii="Arial" w:hAnsi="Arial" w:cs="Arial"/>
                <w:b/>
                <w:color w:val="000000"/>
                <w:sz w:val="18"/>
                <w:szCs w:val="18"/>
                <w:highlight w:val="yellow"/>
              </w:rPr>
            </w:pPr>
            <w:r w:rsidRPr="005C5D59">
              <w:rPr>
                <w:rFonts w:ascii="Arial" w:hAnsi="Arial" w:cs="Arial"/>
                <w:b/>
                <w:sz w:val="18"/>
                <w:szCs w:val="18"/>
              </w:rPr>
              <w:t>Ordered Component Class*</w:t>
            </w:r>
          </w:p>
        </w:tc>
        <w:tc>
          <w:tcPr>
            <w:tcW w:w="126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2D288CEE" w14:textId="77777777" w:rsidR="009125FD" w:rsidRPr="005C5D59" w:rsidRDefault="009125FD" w:rsidP="009125FD">
            <w:pPr>
              <w:jc w:val="center"/>
              <w:rPr>
                <w:rFonts w:ascii="Arial" w:hAnsi="Arial" w:cs="Arial"/>
                <w:b/>
                <w:sz w:val="18"/>
                <w:szCs w:val="18"/>
              </w:rPr>
            </w:pPr>
            <w:r>
              <w:rPr>
                <w:rFonts w:ascii="Arial" w:hAnsi="Arial" w:cs="Arial"/>
                <w:b/>
                <w:sz w:val="18"/>
                <w:szCs w:val="18"/>
              </w:rPr>
              <w:t>Selected U</w:t>
            </w:r>
            <w:r w:rsidRPr="005C5D59">
              <w:rPr>
                <w:rFonts w:ascii="Arial" w:hAnsi="Arial" w:cs="Arial"/>
                <w:b/>
                <w:sz w:val="18"/>
                <w:szCs w:val="18"/>
              </w:rPr>
              <w:t>nit is</w:t>
            </w:r>
          </w:p>
        </w:tc>
        <w:tc>
          <w:tcPr>
            <w:tcW w:w="162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07B34ACD" w14:textId="77777777" w:rsidR="009125FD" w:rsidRPr="005C5D59" w:rsidRDefault="009125FD" w:rsidP="009125FD">
            <w:pPr>
              <w:jc w:val="center"/>
              <w:rPr>
                <w:rFonts w:ascii="Arial" w:hAnsi="Arial" w:cs="Arial"/>
                <w:b/>
                <w:sz w:val="18"/>
                <w:szCs w:val="18"/>
              </w:rPr>
            </w:pPr>
            <w:r w:rsidRPr="005C5D59">
              <w:rPr>
                <w:rFonts w:ascii="Arial" w:hAnsi="Arial" w:cs="Arial"/>
                <w:b/>
                <w:sz w:val="18"/>
                <w:szCs w:val="18"/>
              </w:rPr>
              <w:t>User Role</w:t>
            </w:r>
          </w:p>
        </w:tc>
        <w:tc>
          <w:tcPr>
            <w:tcW w:w="405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044940C4" w14:textId="77777777" w:rsidR="009125FD" w:rsidRPr="005C5D59" w:rsidRDefault="009125FD" w:rsidP="009125FD">
            <w:pPr>
              <w:jc w:val="center"/>
              <w:rPr>
                <w:rFonts w:ascii="Arial" w:hAnsi="Arial" w:cs="Arial"/>
                <w:b/>
                <w:sz w:val="18"/>
                <w:szCs w:val="18"/>
              </w:rPr>
            </w:pPr>
            <w:r>
              <w:rPr>
                <w:rFonts w:ascii="Arial" w:hAnsi="Arial" w:cs="Arial"/>
                <w:b/>
                <w:sz w:val="18"/>
                <w:szCs w:val="18"/>
              </w:rPr>
              <w:t xml:space="preserve">VBECS </w:t>
            </w:r>
            <w:r w:rsidRPr="005C5D59">
              <w:rPr>
                <w:rFonts w:ascii="Arial" w:hAnsi="Arial" w:cs="Arial"/>
                <w:b/>
                <w:sz w:val="18"/>
                <w:szCs w:val="18"/>
              </w:rPr>
              <w:t>Response</w:t>
            </w:r>
          </w:p>
        </w:tc>
      </w:tr>
      <w:tr w:rsidR="009125FD" w:rsidRPr="005C5D59" w14:paraId="4086D5D5" w14:textId="77777777" w:rsidTr="009125FD">
        <w:trPr>
          <w:cantSplit/>
          <w:trHeight w:val="284"/>
        </w:trPr>
        <w:tc>
          <w:tcPr>
            <w:tcW w:w="1692" w:type="dxa"/>
            <w:vMerge w:val="restart"/>
            <w:tcBorders>
              <w:top w:val="single" w:sz="4" w:space="0" w:color="000000"/>
              <w:left w:val="single" w:sz="4" w:space="0" w:color="000000"/>
              <w:right w:val="single" w:sz="4" w:space="0" w:color="000000"/>
            </w:tcBorders>
            <w:vAlign w:val="center"/>
            <w:hideMark/>
          </w:tcPr>
          <w:p w14:paraId="68D35AE8" w14:textId="77777777" w:rsidR="009125FD" w:rsidRPr="00A92752" w:rsidRDefault="009125FD" w:rsidP="009125FD">
            <w:pPr>
              <w:jc w:val="center"/>
              <w:rPr>
                <w:rFonts w:ascii="Arial" w:hAnsi="Arial" w:cs="Arial"/>
                <w:b/>
                <w:sz w:val="28"/>
                <w:szCs w:val="28"/>
              </w:rPr>
            </w:pPr>
            <w:r w:rsidRPr="00A92752">
              <w:rPr>
                <w:rFonts w:ascii="Arial" w:hAnsi="Arial" w:cs="Arial"/>
                <w:b/>
                <w:sz w:val="28"/>
                <w:szCs w:val="28"/>
              </w:rPr>
              <w:t>Washed RBC products</w:t>
            </w:r>
          </w:p>
        </w:tc>
        <w:tc>
          <w:tcPr>
            <w:tcW w:w="1620" w:type="dxa"/>
            <w:tcBorders>
              <w:top w:val="single" w:sz="4" w:space="0" w:color="000000"/>
              <w:left w:val="single" w:sz="4" w:space="0" w:color="000000"/>
              <w:right w:val="single" w:sz="4" w:space="0" w:color="000000"/>
            </w:tcBorders>
            <w:shd w:val="pct10" w:color="auto" w:fill="auto"/>
            <w:vAlign w:val="center"/>
            <w:hideMark/>
          </w:tcPr>
          <w:p w14:paraId="0F5375AA" w14:textId="77777777" w:rsidR="009125FD" w:rsidRDefault="009125FD" w:rsidP="009125FD">
            <w:pPr>
              <w:jc w:val="center"/>
              <w:rPr>
                <w:rFonts w:ascii="Arial" w:hAnsi="Arial" w:cs="Arial"/>
                <w:sz w:val="18"/>
                <w:szCs w:val="18"/>
              </w:rPr>
            </w:pPr>
            <w:r w:rsidRPr="005C5D59">
              <w:rPr>
                <w:rFonts w:ascii="Arial" w:hAnsi="Arial" w:cs="Arial"/>
                <w:sz w:val="18"/>
                <w:szCs w:val="18"/>
              </w:rPr>
              <w:t xml:space="preserve">RED BLOOD CELLS   </w:t>
            </w:r>
          </w:p>
          <w:p w14:paraId="0FD5A625" w14:textId="77777777" w:rsidR="009125FD" w:rsidRPr="005C5D59" w:rsidRDefault="009125FD" w:rsidP="009125FD">
            <w:pPr>
              <w:spacing w:before="120"/>
              <w:jc w:val="center"/>
              <w:rPr>
                <w:rFonts w:ascii="Arial" w:hAnsi="Arial" w:cs="Arial"/>
                <w:sz w:val="18"/>
                <w:szCs w:val="18"/>
              </w:rPr>
            </w:pPr>
            <w:r w:rsidRPr="005C5D59">
              <w:rPr>
                <w:rFonts w:ascii="Arial" w:hAnsi="Arial" w:cs="Arial"/>
                <w:sz w:val="18"/>
                <w:szCs w:val="18"/>
              </w:rPr>
              <w:t xml:space="preserve">WHOLE BLOOD </w:t>
            </w:r>
          </w:p>
        </w:tc>
        <w:tc>
          <w:tcPr>
            <w:tcW w:w="1260" w:type="dxa"/>
            <w:tcBorders>
              <w:top w:val="single" w:sz="4" w:space="0" w:color="000000"/>
              <w:left w:val="single" w:sz="4" w:space="0" w:color="000000"/>
              <w:right w:val="single" w:sz="4" w:space="0" w:color="000000"/>
            </w:tcBorders>
            <w:shd w:val="pct10" w:color="auto" w:fill="auto"/>
            <w:vAlign w:val="center"/>
            <w:hideMark/>
          </w:tcPr>
          <w:p w14:paraId="12539370" w14:textId="77777777" w:rsidR="009125FD" w:rsidRPr="008E2609" w:rsidRDefault="009125FD" w:rsidP="009125FD">
            <w:pPr>
              <w:jc w:val="center"/>
              <w:rPr>
                <w:rFonts w:ascii="Arial" w:hAnsi="Arial" w:cs="Arial"/>
                <w:sz w:val="18"/>
                <w:szCs w:val="18"/>
              </w:rPr>
            </w:pPr>
            <w:r w:rsidRPr="008E2609">
              <w:rPr>
                <w:rFonts w:ascii="Arial" w:hAnsi="Arial" w:cs="Arial"/>
                <w:sz w:val="18"/>
                <w:szCs w:val="18"/>
              </w:rPr>
              <w:t>Washed</w:t>
            </w:r>
          </w:p>
        </w:tc>
        <w:tc>
          <w:tcPr>
            <w:tcW w:w="1620" w:type="dxa"/>
            <w:tcBorders>
              <w:top w:val="single" w:sz="4" w:space="0" w:color="000000"/>
              <w:left w:val="single" w:sz="4" w:space="0" w:color="000000"/>
              <w:right w:val="single" w:sz="4" w:space="0" w:color="000000"/>
            </w:tcBorders>
            <w:shd w:val="pct10" w:color="auto" w:fill="auto"/>
            <w:vAlign w:val="center"/>
            <w:hideMark/>
          </w:tcPr>
          <w:p w14:paraId="2B4BF9CB" w14:textId="77777777" w:rsidR="009125FD" w:rsidRPr="008E2609" w:rsidRDefault="009125FD" w:rsidP="009125FD">
            <w:pPr>
              <w:jc w:val="center"/>
              <w:rPr>
                <w:rFonts w:ascii="Arial" w:hAnsi="Arial" w:cs="Arial"/>
                <w:sz w:val="18"/>
                <w:szCs w:val="18"/>
              </w:rPr>
            </w:pPr>
            <w:r w:rsidRPr="008E2609">
              <w:rPr>
                <w:rFonts w:ascii="Arial" w:hAnsi="Arial" w:cs="Arial"/>
                <w:sz w:val="18"/>
                <w:szCs w:val="18"/>
              </w:rPr>
              <w:t>ALL VBECS Users</w:t>
            </w:r>
          </w:p>
        </w:tc>
        <w:tc>
          <w:tcPr>
            <w:tcW w:w="4050" w:type="dxa"/>
            <w:tcBorders>
              <w:top w:val="single" w:sz="4" w:space="0" w:color="000000"/>
              <w:left w:val="single" w:sz="4" w:space="0" w:color="000000"/>
              <w:right w:val="single" w:sz="4" w:space="0" w:color="000000"/>
            </w:tcBorders>
            <w:shd w:val="pct10" w:color="auto" w:fill="auto"/>
            <w:vAlign w:val="center"/>
          </w:tcPr>
          <w:p w14:paraId="1CBAACE0" w14:textId="77777777" w:rsidR="009125FD" w:rsidRPr="005C5D59" w:rsidRDefault="009125FD" w:rsidP="009125FD">
            <w:pPr>
              <w:jc w:val="center"/>
              <w:rPr>
                <w:rFonts w:ascii="Arial" w:hAnsi="Arial" w:cs="Arial"/>
                <w:sz w:val="18"/>
                <w:szCs w:val="18"/>
              </w:rPr>
            </w:pPr>
            <w:r w:rsidRPr="005C5D59">
              <w:rPr>
                <w:rFonts w:ascii="Arial" w:hAnsi="Arial" w:cs="Arial"/>
                <w:sz w:val="18"/>
                <w:szCs w:val="18"/>
              </w:rPr>
              <w:t>No warning message will display.</w:t>
            </w:r>
          </w:p>
        </w:tc>
      </w:tr>
      <w:tr w:rsidR="009125FD" w:rsidRPr="005C5D59" w14:paraId="7490ABF8" w14:textId="77777777" w:rsidTr="009125FD">
        <w:trPr>
          <w:cantSplit/>
          <w:trHeight w:val="1008"/>
        </w:trPr>
        <w:tc>
          <w:tcPr>
            <w:tcW w:w="1692" w:type="dxa"/>
            <w:vMerge/>
            <w:tcBorders>
              <w:left w:val="single" w:sz="4" w:space="0" w:color="000000"/>
              <w:right w:val="single" w:sz="4" w:space="0" w:color="000000"/>
            </w:tcBorders>
            <w:vAlign w:val="bottom"/>
          </w:tcPr>
          <w:p w14:paraId="0FC618A9" w14:textId="77777777" w:rsidR="009125FD" w:rsidRPr="005C5D59" w:rsidRDefault="009125FD" w:rsidP="009125FD">
            <w:pPr>
              <w:rPr>
                <w:rFonts w:ascii="Arial" w:hAnsi="Arial" w:cs="Arial"/>
                <w:b/>
                <w:sz w:val="18"/>
                <w:szCs w:val="18"/>
              </w:rPr>
            </w:pPr>
          </w:p>
        </w:tc>
        <w:tc>
          <w:tcPr>
            <w:tcW w:w="1620" w:type="dxa"/>
            <w:tcBorders>
              <w:top w:val="single" w:sz="4" w:space="0" w:color="000000"/>
              <w:left w:val="single" w:sz="4" w:space="0" w:color="000000"/>
              <w:right w:val="single" w:sz="4" w:space="0" w:color="000000"/>
            </w:tcBorders>
            <w:vAlign w:val="center"/>
          </w:tcPr>
          <w:p w14:paraId="3DACBB6D" w14:textId="77777777" w:rsidR="009125FD" w:rsidRDefault="009125FD" w:rsidP="009125FD">
            <w:pPr>
              <w:jc w:val="center"/>
              <w:rPr>
                <w:rFonts w:ascii="Arial" w:hAnsi="Arial" w:cs="Arial"/>
                <w:sz w:val="18"/>
                <w:szCs w:val="18"/>
              </w:rPr>
            </w:pPr>
            <w:r w:rsidRPr="005C5D59">
              <w:rPr>
                <w:rFonts w:ascii="Arial" w:hAnsi="Arial" w:cs="Arial"/>
                <w:sz w:val="18"/>
                <w:szCs w:val="18"/>
              </w:rPr>
              <w:t xml:space="preserve">RED BLOOD CELLS </w:t>
            </w:r>
          </w:p>
          <w:p w14:paraId="269F08A2" w14:textId="77777777" w:rsidR="009125FD" w:rsidRDefault="009125FD" w:rsidP="009125FD">
            <w:pPr>
              <w:jc w:val="center"/>
              <w:rPr>
                <w:rFonts w:ascii="Arial" w:hAnsi="Arial" w:cs="Arial"/>
                <w:sz w:val="18"/>
                <w:szCs w:val="18"/>
              </w:rPr>
            </w:pPr>
          </w:p>
          <w:p w14:paraId="3E1B05FE" w14:textId="77777777" w:rsidR="009125FD" w:rsidRPr="005C5D59" w:rsidRDefault="009125FD" w:rsidP="009125FD">
            <w:pPr>
              <w:jc w:val="center"/>
              <w:rPr>
                <w:rFonts w:ascii="Arial" w:hAnsi="Arial" w:cs="Arial"/>
                <w:sz w:val="18"/>
                <w:szCs w:val="18"/>
              </w:rPr>
            </w:pPr>
            <w:r w:rsidRPr="005C5D59">
              <w:rPr>
                <w:rFonts w:ascii="Arial" w:hAnsi="Arial" w:cs="Arial"/>
                <w:sz w:val="18"/>
                <w:szCs w:val="18"/>
              </w:rPr>
              <w:t>WHOLE BLOOD</w:t>
            </w:r>
          </w:p>
        </w:tc>
        <w:tc>
          <w:tcPr>
            <w:tcW w:w="1260" w:type="dxa"/>
            <w:tcBorders>
              <w:top w:val="single" w:sz="4" w:space="0" w:color="000000"/>
              <w:left w:val="single" w:sz="4" w:space="0" w:color="000000"/>
              <w:bottom w:val="single" w:sz="4" w:space="0" w:color="000000"/>
              <w:right w:val="single" w:sz="4" w:space="0" w:color="000000"/>
            </w:tcBorders>
            <w:vAlign w:val="center"/>
          </w:tcPr>
          <w:p w14:paraId="2DC1C4A1" w14:textId="77777777" w:rsidR="009125FD" w:rsidRPr="00825E94" w:rsidRDefault="009125FD" w:rsidP="009125FD">
            <w:pPr>
              <w:jc w:val="center"/>
              <w:rPr>
                <w:rFonts w:ascii="Arial" w:hAnsi="Arial" w:cs="Arial"/>
                <w:b/>
                <w:color w:val="FF0000"/>
                <w:sz w:val="18"/>
                <w:szCs w:val="18"/>
              </w:rPr>
            </w:pPr>
            <w:r w:rsidRPr="00825E94">
              <w:rPr>
                <w:rFonts w:ascii="Arial" w:hAnsi="Arial" w:cs="Arial"/>
                <w:b/>
                <w:color w:val="FF0000"/>
                <w:sz w:val="18"/>
                <w:szCs w:val="18"/>
              </w:rPr>
              <w:t>Not Washed</w:t>
            </w:r>
          </w:p>
        </w:tc>
        <w:tc>
          <w:tcPr>
            <w:tcW w:w="1620" w:type="dxa"/>
            <w:tcBorders>
              <w:top w:val="single" w:sz="4" w:space="0" w:color="000000"/>
              <w:left w:val="single" w:sz="4" w:space="0" w:color="000000"/>
              <w:bottom w:val="single" w:sz="4" w:space="0" w:color="000000"/>
              <w:right w:val="single" w:sz="4" w:space="0" w:color="000000"/>
            </w:tcBorders>
            <w:vAlign w:val="center"/>
          </w:tcPr>
          <w:p w14:paraId="7DA128C7" w14:textId="77777777" w:rsidR="009125FD" w:rsidRPr="008E2609" w:rsidRDefault="009125FD" w:rsidP="009125FD">
            <w:pPr>
              <w:jc w:val="center"/>
              <w:rPr>
                <w:rFonts w:ascii="Arial" w:hAnsi="Arial" w:cs="Arial"/>
                <w:sz w:val="18"/>
                <w:szCs w:val="18"/>
              </w:rPr>
            </w:pPr>
            <w:r w:rsidRPr="008E2609">
              <w:rPr>
                <w:rFonts w:ascii="Arial" w:hAnsi="Arial" w:cs="Arial"/>
                <w:sz w:val="18"/>
                <w:szCs w:val="18"/>
              </w:rPr>
              <w:t>ALL VBECS Users</w:t>
            </w:r>
          </w:p>
        </w:tc>
        <w:tc>
          <w:tcPr>
            <w:tcW w:w="4050" w:type="dxa"/>
            <w:tcBorders>
              <w:top w:val="single" w:sz="4" w:space="0" w:color="000000"/>
              <w:left w:val="single" w:sz="4" w:space="0" w:color="000000"/>
              <w:right w:val="single" w:sz="4" w:space="0" w:color="000000"/>
            </w:tcBorders>
          </w:tcPr>
          <w:p w14:paraId="2AA667C2" w14:textId="77777777" w:rsidR="009125FD" w:rsidRPr="007F3B3C" w:rsidRDefault="009125FD" w:rsidP="009125FD">
            <w:pPr>
              <w:pStyle w:val="TableText"/>
              <w:spacing w:before="120"/>
              <w:rPr>
                <w:rStyle w:val="StyleTableText9ptCharChar"/>
                <w:rFonts w:cs="Arial"/>
                <w:i/>
              </w:rPr>
            </w:pPr>
            <w:r w:rsidRPr="005C5D59">
              <w:rPr>
                <w:rStyle w:val="StyleTableText9ptCharChar"/>
                <w:rFonts w:cs="Arial"/>
              </w:rPr>
              <w:t>The Transfusi</w:t>
            </w:r>
            <w:r>
              <w:rPr>
                <w:rStyle w:val="StyleTableText9ptCharChar"/>
                <w:rFonts w:cs="Arial"/>
              </w:rPr>
              <w:t>on Requirement is not satisfied;</w:t>
            </w:r>
            <w:r w:rsidRPr="005C5D59">
              <w:rPr>
                <w:rStyle w:val="StyleTableText9ptCharChar"/>
                <w:rFonts w:cs="Arial"/>
              </w:rPr>
              <w:t xml:space="preserve"> the system emits an audible alert and displays a warning message: </w:t>
            </w:r>
            <w:r w:rsidRPr="007F3B3C">
              <w:rPr>
                <w:rStyle w:val="StyleTableText9ptCharChar"/>
                <w:rFonts w:cs="Arial"/>
                <w:i/>
              </w:rPr>
              <w:t>This unit does not currently satisfy all of the patient’s Transfusion Requirements. Further processing is needed. Continue to select this unit?</w:t>
            </w:r>
          </w:p>
          <w:p w14:paraId="4CE754EB" w14:textId="77777777" w:rsidR="009125FD" w:rsidRPr="005C5D59" w:rsidRDefault="009125FD" w:rsidP="009125FD">
            <w:pPr>
              <w:pStyle w:val="TableText"/>
              <w:rPr>
                <w:rStyle w:val="StyleTableText9ptCharChar"/>
                <w:rFonts w:cs="Arial"/>
              </w:rPr>
            </w:pPr>
            <w:r w:rsidRPr="005C5D59">
              <w:rPr>
                <w:rStyle w:val="StyleTableText9ptCharChar"/>
                <w:rFonts w:cs="Arial"/>
              </w:rPr>
              <w:t>If</w:t>
            </w:r>
            <w:r>
              <w:rPr>
                <w:rStyle w:val="StyleTableText9ptCharChar"/>
                <w:rFonts w:cs="Arial"/>
              </w:rPr>
              <w:t xml:space="preserve"> the user clicks </w:t>
            </w:r>
            <w:r w:rsidRPr="005C5D59">
              <w:rPr>
                <w:rStyle w:val="StyleTableText9ptCharChar"/>
                <w:rFonts w:cs="Arial"/>
              </w:rPr>
              <w:t>“No,” the screen is cleared.</w:t>
            </w:r>
          </w:p>
          <w:p w14:paraId="61B1943C" w14:textId="77777777" w:rsidR="009125FD" w:rsidRPr="005C5D59" w:rsidRDefault="009125FD" w:rsidP="009125FD">
            <w:pPr>
              <w:pStyle w:val="TableText"/>
              <w:rPr>
                <w:rFonts w:cs="Arial"/>
                <w:noProof/>
              </w:rPr>
            </w:pPr>
            <w:r w:rsidRPr="005C5D59">
              <w:rPr>
                <w:rStyle w:val="StyleTableText9ptCharChar"/>
                <w:rFonts w:cs="Arial"/>
              </w:rPr>
              <w:t xml:space="preserve">If </w:t>
            </w:r>
            <w:r>
              <w:rPr>
                <w:rStyle w:val="StyleTableText9ptCharChar"/>
                <w:rFonts w:cs="Arial"/>
              </w:rPr>
              <w:t>the user clicks “Yes,” selection can continue to select the unit.</w:t>
            </w:r>
          </w:p>
        </w:tc>
      </w:tr>
    </w:tbl>
    <w:p w14:paraId="6D2231B1" w14:textId="77777777" w:rsidR="009125FD" w:rsidRDefault="009125FD" w:rsidP="009125FD"/>
    <w:p w14:paraId="53D94305" w14:textId="2312772C" w:rsidR="00C15299" w:rsidRDefault="00C15299" w:rsidP="00C15299">
      <w:pPr>
        <w:pStyle w:val="Caption"/>
      </w:pPr>
      <w:bookmarkStart w:id="891" w:name="_Ref407610749"/>
      <w:bookmarkStart w:id="892" w:name="_Ref343502523"/>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7D1829">
        <w:rPr>
          <w:noProof/>
        </w:rPr>
        <w:t>139</w:t>
      </w:r>
      <w:r w:rsidR="004E20BD">
        <w:rPr>
          <w:noProof/>
        </w:rPr>
        <w:fldChar w:fldCharType="end"/>
      </w:r>
      <w:bookmarkEnd w:id="891"/>
      <w:r>
        <w:t>: Washed Red Blood Cell (RBC) Products and Issue Blood Component</w:t>
      </w:r>
      <w:bookmarkEnd w:id="892"/>
    </w:p>
    <w:tbl>
      <w:tblPr>
        <w:tblW w:w="10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2" w:type="dxa"/>
          <w:right w:w="72" w:type="dxa"/>
        </w:tblCellMar>
        <w:tblLook w:val="04A0" w:firstRow="1" w:lastRow="0" w:firstColumn="1" w:lastColumn="0" w:noHBand="0" w:noVBand="1"/>
      </w:tblPr>
      <w:tblGrid>
        <w:gridCol w:w="1692"/>
        <w:gridCol w:w="1620"/>
        <w:gridCol w:w="1260"/>
        <w:gridCol w:w="1620"/>
        <w:gridCol w:w="4050"/>
      </w:tblGrid>
      <w:tr w:rsidR="009125FD" w:rsidRPr="005C5D59" w14:paraId="2BDC3A16" w14:textId="77777777" w:rsidTr="009125FD">
        <w:trPr>
          <w:cantSplit/>
          <w:trHeight w:val="432"/>
          <w:tblHeader/>
        </w:trPr>
        <w:tc>
          <w:tcPr>
            <w:tcW w:w="10242" w:type="dxa"/>
            <w:gridSpan w:val="5"/>
            <w:tcBorders>
              <w:left w:val="single" w:sz="4" w:space="0" w:color="000000"/>
              <w:bottom w:val="single" w:sz="4" w:space="0" w:color="000000"/>
              <w:right w:val="single" w:sz="4" w:space="0" w:color="000000"/>
            </w:tcBorders>
            <w:shd w:val="pct25" w:color="auto" w:fill="auto"/>
            <w:vAlign w:val="bottom"/>
          </w:tcPr>
          <w:p w14:paraId="50ECEA10" w14:textId="77777777" w:rsidR="009125FD" w:rsidRPr="005C5D59" w:rsidRDefault="009125FD" w:rsidP="009125FD">
            <w:pPr>
              <w:rPr>
                <w:rFonts w:ascii="Arial" w:hAnsi="Arial" w:cs="Arial"/>
                <w:b/>
                <w:sz w:val="18"/>
                <w:szCs w:val="18"/>
              </w:rPr>
            </w:pPr>
            <w:r w:rsidRPr="005C5D59">
              <w:rPr>
                <w:rFonts w:ascii="Arial" w:hAnsi="Arial" w:cs="Arial"/>
                <w:b/>
                <w:sz w:val="18"/>
                <w:szCs w:val="18"/>
              </w:rPr>
              <w:t xml:space="preserve">Issue Blood Component: </w:t>
            </w:r>
            <w:r w:rsidRPr="00B62010">
              <w:rPr>
                <w:rFonts w:ascii="Arial" w:hAnsi="Arial" w:cs="Arial"/>
                <w:b/>
                <w:sz w:val="18"/>
                <w:szCs w:val="18"/>
              </w:rPr>
              <w:t>Washed RBC products</w:t>
            </w:r>
          </w:p>
        </w:tc>
      </w:tr>
      <w:tr w:rsidR="009125FD" w:rsidRPr="005C5D59" w14:paraId="0A4051F5" w14:textId="77777777" w:rsidTr="009125FD">
        <w:trPr>
          <w:cantSplit/>
          <w:trHeight w:val="432"/>
          <w:tblHeader/>
        </w:trPr>
        <w:tc>
          <w:tcPr>
            <w:tcW w:w="1692" w:type="dxa"/>
            <w:tcBorders>
              <w:left w:val="single" w:sz="4" w:space="0" w:color="000000"/>
              <w:bottom w:val="single" w:sz="4" w:space="0" w:color="000000"/>
              <w:right w:val="single" w:sz="4" w:space="0" w:color="000000"/>
            </w:tcBorders>
            <w:shd w:val="pct25" w:color="auto" w:fill="auto"/>
            <w:vAlign w:val="bottom"/>
            <w:hideMark/>
          </w:tcPr>
          <w:p w14:paraId="3AAD2267" w14:textId="77777777" w:rsidR="009125FD" w:rsidRPr="005C5D59" w:rsidRDefault="009125FD" w:rsidP="009125FD">
            <w:pPr>
              <w:rPr>
                <w:rFonts w:ascii="Arial" w:hAnsi="Arial" w:cs="Arial"/>
                <w:b/>
                <w:sz w:val="18"/>
                <w:szCs w:val="18"/>
              </w:rPr>
            </w:pPr>
            <w:r w:rsidRPr="005C5D59">
              <w:rPr>
                <w:rFonts w:ascii="Arial" w:hAnsi="Arial" w:cs="Arial"/>
                <w:b/>
                <w:sz w:val="18"/>
                <w:szCs w:val="18"/>
              </w:rPr>
              <w:t>Patient Active Transfusion Requirement</w:t>
            </w:r>
          </w:p>
        </w:tc>
        <w:tc>
          <w:tcPr>
            <w:tcW w:w="1620" w:type="dxa"/>
            <w:tcBorders>
              <w:left w:val="single" w:sz="4" w:space="0" w:color="000000"/>
              <w:bottom w:val="single" w:sz="4" w:space="0" w:color="000000"/>
              <w:right w:val="single" w:sz="4" w:space="0" w:color="000000"/>
            </w:tcBorders>
            <w:shd w:val="pct25" w:color="auto" w:fill="auto"/>
            <w:vAlign w:val="bottom"/>
            <w:hideMark/>
          </w:tcPr>
          <w:p w14:paraId="1F0D9D0A" w14:textId="77777777" w:rsidR="009125FD" w:rsidRPr="005C5D59" w:rsidRDefault="009125FD" w:rsidP="009125FD">
            <w:pPr>
              <w:rPr>
                <w:rFonts w:ascii="Arial" w:hAnsi="Arial" w:cs="Arial"/>
                <w:b/>
                <w:color w:val="000000"/>
                <w:sz w:val="18"/>
                <w:szCs w:val="18"/>
                <w:highlight w:val="yellow"/>
              </w:rPr>
            </w:pPr>
            <w:r w:rsidRPr="005C5D59">
              <w:rPr>
                <w:rFonts w:ascii="Arial" w:hAnsi="Arial" w:cs="Arial"/>
                <w:b/>
                <w:sz w:val="18"/>
                <w:szCs w:val="18"/>
              </w:rPr>
              <w:t>Ordered Component Class*</w:t>
            </w:r>
          </w:p>
        </w:tc>
        <w:tc>
          <w:tcPr>
            <w:tcW w:w="126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684E5761" w14:textId="77777777" w:rsidR="009125FD" w:rsidRPr="005C5D59" w:rsidRDefault="009125FD" w:rsidP="009125FD">
            <w:pPr>
              <w:rPr>
                <w:rFonts w:ascii="Arial" w:hAnsi="Arial" w:cs="Arial"/>
                <w:b/>
                <w:sz w:val="18"/>
                <w:szCs w:val="18"/>
              </w:rPr>
            </w:pPr>
            <w:r>
              <w:rPr>
                <w:rFonts w:ascii="Arial" w:hAnsi="Arial" w:cs="Arial"/>
                <w:b/>
                <w:sz w:val="18"/>
                <w:szCs w:val="18"/>
              </w:rPr>
              <w:t>Selected U</w:t>
            </w:r>
            <w:r w:rsidRPr="005C5D59">
              <w:rPr>
                <w:rFonts w:ascii="Arial" w:hAnsi="Arial" w:cs="Arial"/>
                <w:b/>
                <w:sz w:val="18"/>
                <w:szCs w:val="18"/>
              </w:rPr>
              <w:t>nit is</w:t>
            </w:r>
          </w:p>
        </w:tc>
        <w:tc>
          <w:tcPr>
            <w:tcW w:w="162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207B20C5" w14:textId="77777777" w:rsidR="009125FD" w:rsidRPr="005C5D59" w:rsidRDefault="009125FD" w:rsidP="009125FD">
            <w:pPr>
              <w:rPr>
                <w:rFonts w:ascii="Arial" w:hAnsi="Arial" w:cs="Arial"/>
                <w:b/>
                <w:sz w:val="18"/>
                <w:szCs w:val="18"/>
              </w:rPr>
            </w:pPr>
            <w:r w:rsidRPr="005C5D59">
              <w:rPr>
                <w:rFonts w:ascii="Arial" w:hAnsi="Arial" w:cs="Arial"/>
                <w:b/>
                <w:sz w:val="18"/>
                <w:szCs w:val="18"/>
              </w:rPr>
              <w:t>Selected User Role</w:t>
            </w:r>
          </w:p>
        </w:tc>
        <w:tc>
          <w:tcPr>
            <w:tcW w:w="405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2EA4FB10" w14:textId="77777777" w:rsidR="009125FD" w:rsidRPr="005C5D59" w:rsidRDefault="009125FD" w:rsidP="009125FD">
            <w:pPr>
              <w:rPr>
                <w:rFonts w:ascii="Arial" w:hAnsi="Arial" w:cs="Arial"/>
                <w:b/>
                <w:sz w:val="18"/>
                <w:szCs w:val="18"/>
              </w:rPr>
            </w:pPr>
            <w:r w:rsidRPr="005C5D59">
              <w:rPr>
                <w:rFonts w:ascii="Arial" w:hAnsi="Arial" w:cs="Arial"/>
                <w:b/>
                <w:sz w:val="18"/>
                <w:szCs w:val="18"/>
              </w:rPr>
              <w:t>Expected System Response</w:t>
            </w:r>
          </w:p>
        </w:tc>
      </w:tr>
      <w:tr w:rsidR="009125FD" w:rsidRPr="005C5D59" w14:paraId="596B14B5" w14:textId="77777777" w:rsidTr="009125FD">
        <w:trPr>
          <w:cantSplit/>
          <w:trHeight w:val="284"/>
        </w:trPr>
        <w:tc>
          <w:tcPr>
            <w:tcW w:w="1692" w:type="dxa"/>
            <w:vMerge w:val="restart"/>
            <w:tcBorders>
              <w:top w:val="single" w:sz="4" w:space="0" w:color="000000"/>
              <w:left w:val="single" w:sz="4" w:space="0" w:color="000000"/>
              <w:right w:val="single" w:sz="4" w:space="0" w:color="000000"/>
            </w:tcBorders>
            <w:vAlign w:val="center"/>
            <w:hideMark/>
          </w:tcPr>
          <w:p w14:paraId="6094DFDF" w14:textId="77777777" w:rsidR="009125FD" w:rsidRPr="00D93607" w:rsidRDefault="009125FD" w:rsidP="009125FD">
            <w:pPr>
              <w:jc w:val="center"/>
              <w:rPr>
                <w:rFonts w:ascii="Arial" w:hAnsi="Arial" w:cs="Arial"/>
                <w:sz w:val="32"/>
                <w:szCs w:val="32"/>
              </w:rPr>
            </w:pPr>
            <w:r w:rsidRPr="00D93607">
              <w:rPr>
                <w:rFonts w:ascii="Arial" w:hAnsi="Arial" w:cs="Arial"/>
                <w:sz w:val="32"/>
                <w:szCs w:val="32"/>
              </w:rPr>
              <w:t>Washed RBC products</w:t>
            </w:r>
          </w:p>
        </w:tc>
        <w:tc>
          <w:tcPr>
            <w:tcW w:w="1620" w:type="dxa"/>
            <w:tcBorders>
              <w:top w:val="single" w:sz="4" w:space="0" w:color="000000"/>
              <w:left w:val="single" w:sz="4" w:space="0" w:color="000000"/>
              <w:right w:val="single" w:sz="4" w:space="0" w:color="000000"/>
            </w:tcBorders>
            <w:shd w:val="pct10" w:color="auto" w:fill="auto"/>
            <w:vAlign w:val="center"/>
            <w:hideMark/>
          </w:tcPr>
          <w:p w14:paraId="4A5D4CDF" w14:textId="77777777" w:rsidR="009125FD" w:rsidRDefault="009125FD" w:rsidP="009125FD">
            <w:pPr>
              <w:jc w:val="center"/>
              <w:rPr>
                <w:rFonts w:ascii="Arial" w:hAnsi="Arial" w:cs="Arial"/>
                <w:sz w:val="18"/>
                <w:szCs w:val="18"/>
              </w:rPr>
            </w:pPr>
            <w:r w:rsidRPr="005C5D59">
              <w:rPr>
                <w:rFonts w:ascii="Arial" w:hAnsi="Arial" w:cs="Arial"/>
                <w:sz w:val="18"/>
                <w:szCs w:val="18"/>
              </w:rPr>
              <w:t xml:space="preserve">RED BLOOD CELLS </w:t>
            </w:r>
          </w:p>
          <w:p w14:paraId="785ADF33" w14:textId="77777777" w:rsidR="009125FD" w:rsidRPr="005C5D59" w:rsidRDefault="009125FD" w:rsidP="009125FD">
            <w:pPr>
              <w:spacing w:before="120"/>
              <w:jc w:val="center"/>
              <w:rPr>
                <w:rFonts w:ascii="Arial" w:hAnsi="Arial" w:cs="Arial"/>
                <w:sz w:val="18"/>
                <w:szCs w:val="18"/>
              </w:rPr>
            </w:pPr>
            <w:r w:rsidRPr="005C5D59">
              <w:rPr>
                <w:rFonts w:ascii="Arial" w:hAnsi="Arial" w:cs="Arial"/>
                <w:sz w:val="18"/>
                <w:szCs w:val="18"/>
              </w:rPr>
              <w:t xml:space="preserve">WHOLE BLOOD </w:t>
            </w:r>
          </w:p>
        </w:tc>
        <w:tc>
          <w:tcPr>
            <w:tcW w:w="1260" w:type="dxa"/>
            <w:tcBorders>
              <w:top w:val="single" w:sz="4" w:space="0" w:color="000000"/>
              <w:left w:val="single" w:sz="4" w:space="0" w:color="000000"/>
              <w:right w:val="single" w:sz="4" w:space="0" w:color="000000"/>
            </w:tcBorders>
            <w:shd w:val="pct10" w:color="auto" w:fill="auto"/>
            <w:vAlign w:val="center"/>
            <w:hideMark/>
          </w:tcPr>
          <w:p w14:paraId="51319FB6" w14:textId="77777777" w:rsidR="009125FD" w:rsidRPr="008E2609" w:rsidRDefault="009125FD" w:rsidP="009125FD">
            <w:pPr>
              <w:jc w:val="center"/>
              <w:rPr>
                <w:rFonts w:ascii="Arial" w:hAnsi="Arial" w:cs="Arial"/>
                <w:sz w:val="18"/>
                <w:szCs w:val="18"/>
              </w:rPr>
            </w:pPr>
            <w:r w:rsidRPr="008E2609">
              <w:rPr>
                <w:rFonts w:ascii="Arial" w:hAnsi="Arial" w:cs="Arial"/>
                <w:sz w:val="18"/>
                <w:szCs w:val="18"/>
              </w:rPr>
              <w:t>Washed</w:t>
            </w:r>
          </w:p>
        </w:tc>
        <w:tc>
          <w:tcPr>
            <w:tcW w:w="1620" w:type="dxa"/>
            <w:tcBorders>
              <w:top w:val="single" w:sz="4" w:space="0" w:color="000000"/>
              <w:left w:val="single" w:sz="4" w:space="0" w:color="000000"/>
              <w:right w:val="single" w:sz="4" w:space="0" w:color="000000"/>
            </w:tcBorders>
            <w:shd w:val="pct10" w:color="auto" w:fill="auto"/>
            <w:vAlign w:val="center"/>
            <w:hideMark/>
          </w:tcPr>
          <w:p w14:paraId="77C8F071" w14:textId="77777777" w:rsidR="009125FD" w:rsidRPr="008E2609" w:rsidRDefault="009125FD" w:rsidP="009125FD">
            <w:pPr>
              <w:jc w:val="center"/>
              <w:rPr>
                <w:rFonts w:ascii="Arial" w:hAnsi="Arial" w:cs="Arial"/>
                <w:sz w:val="18"/>
                <w:szCs w:val="18"/>
              </w:rPr>
            </w:pPr>
            <w:r w:rsidRPr="008E2609">
              <w:rPr>
                <w:rFonts w:ascii="Arial" w:hAnsi="Arial" w:cs="Arial"/>
                <w:sz w:val="18"/>
                <w:szCs w:val="18"/>
              </w:rPr>
              <w:t>ALL VBECS Users</w:t>
            </w:r>
          </w:p>
        </w:tc>
        <w:tc>
          <w:tcPr>
            <w:tcW w:w="4050" w:type="dxa"/>
            <w:tcBorders>
              <w:top w:val="single" w:sz="4" w:space="0" w:color="000000"/>
              <w:left w:val="single" w:sz="4" w:space="0" w:color="000000"/>
              <w:right w:val="single" w:sz="4" w:space="0" w:color="000000"/>
            </w:tcBorders>
            <w:shd w:val="pct10" w:color="auto" w:fill="auto"/>
            <w:vAlign w:val="center"/>
          </w:tcPr>
          <w:p w14:paraId="72BD0B65" w14:textId="77777777" w:rsidR="009125FD" w:rsidRPr="005C5D59" w:rsidRDefault="009125FD" w:rsidP="009125FD">
            <w:pPr>
              <w:jc w:val="center"/>
              <w:rPr>
                <w:rFonts w:ascii="Arial" w:hAnsi="Arial" w:cs="Arial"/>
                <w:sz w:val="18"/>
                <w:szCs w:val="18"/>
              </w:rPr>
            </w:pPr>
            <w:r w:rsidRPr="005C5D59">
              <w:rPr>
                <w:rFonts w:ascii="Arial" w:hAnsi="Arial" w:cs="Arial"/>
                <w:sz w:val="18"/>
                <w:szCs w:val="18"/>
              </w:rPr>
              <w:t>No warning message will display.</w:t>
            </w:r>
          </w:p>
        </w:tc>
      </w:tr>
      <w:tr w:rsidR="009125FD" w:rsidRPr="005C5D59" w14:paraId="7C2FA535" w14:textId="77777777" w:rsidTr="009125FD">
        <w:trPr>
          <w:cantSplit/>
          <w:trHeight w:val="1295"/>
        </w:trPr>
        <w:tc>
          <w:tcPr>
            <w:tcW w:w="1692" w:type="dxa"/>
            <w:vMerge/>
            <w:tcBorders>
              <w:left w:val="single" w:sz="4" w:space="0" w:color="000000"/>
              <w:right w:val="single" w:sz="4" w:space="0" w:color="000000"/>
            </w:tcBorders>
            <w:vAlign w:val="bottom"/>
          </w:tcPr>
          <w:p w14:paraId="7C0636B2" w14:textId="77777777" w:rsidR="009125FD" w:rsidRPr="005C5D59" w:rsidRDefault="009125FD" w:rsidP="009125FD">
            <w:pPr>
              <w:rPr>
                <w:rFonts w:ascii="Arial" w:hAnsi="Arial" w:cs="Arial"/>
                <w:b/>
                <w:sz w:val="18"/>
                <w:szCs w:val="18"/>
              </w:rPr>
            </w:pPr>
          </w:p>
        </w:tc>
        <w:tc>
          <w:tcPr>
            <w:tcW w:w="1620" w:type="dxa"/>
            <w:tcBorders>
              <w:top w:val="single" w:sz="4" w:space="0" w:color="000000"/>
              <w:left w:val="single" w:sz="4" w:space="0" w:color="000000"/>
              <w:right w:val="single" w:sz="4" w:space="0" w:color="000000"/>
            </w:tcBorders>
            <w:vAlign w:val="center"/>
          </w:tcPr>
          <w:p w14:paraId="156D4DCB" w14:textId="77777777" w:rsidR="009125FD" w:rsidRDefault="009125FD" w:rsidP="009125FD">
            <w:pPr>
              <w:jc w:val="center"/>
              <w:rPr>
                <w:rFonts w:ascii="Arial" w:hAnsi="Arial" w:cs="Arial"/>
                <w:sz w:val="18"/>
                <w:szCs w:val="18"/>
              </w:rPr>
            </w:pPr>
            <w:r w:rsidRPr="005C5D59">
              <w:rPr>
                <w:rFonts w:ascii="Arial" w:hAnsi="Arial" w:cs="Arial"/>
                <w:sz w:val="18"/>
                <w:szCs w:val="18"/>
              </w:rPr>
              <w:t xml:space="preserve">RED BLOOD CELLS </w:t>
            </w:r>
          </w:p>
          <w:p w14:paraId="1D4E136E" w14:textId="77777777" w:rsidR="009125FD" w:rsidRPr="005C5D59" w:rsidRDefault="009125FD" w:rsidP="009125FD">
            <w:pPr>
              <w:jc w:val="center"/>
              <w:rPr>
                <w:rFonts w:ascii="Arial" w:hAnsi="Arial" w:cs="Arial"/>
                <w:sz w:val="18"/>
                <w:szCs w:val="18"/>
              </w:rPr>
            </w:pPr>
          </w:p>
          <w:p w14:paraId="574C1CA8" w14:textId="77777777" w:rsidR="009125FD" w:rsidRPr="005C5D59" w:rsidRDefault="009125FD" w:rsidP="009125FD">
            <w:pPr>
              <w:jc w:val="center"/>
              <w:rPr>
                <w:rFonts w:ascii="Arial" w:hAnsi="Arial" w:cs="Arial"/>
                <w:sz w:val="18"/>
                <w:szCs w:val="18"/>
              </w:rPr>
            </w:pPr>
            <w:r w:rsidRPr="005C5D59">
              <w:rPr>
                <w:rFonts w:ascii="Arial" w:hAnsi="Arial" w:cs="Arial"/>
                <w:sz w:val="18"/>
                <w:szCs w:val="18"/>
              </w:rPr>
              <w:t>WHOLE BLOOD</w:t>
            </w:r>
          </w:p>
        </w:tc>
        <w:tc>
          <w:tcPr>
            <w:tcW w:w="1260" w:type="dxa"/>
            <w:tcBorders>
              <w:top w:val="single" w:sz="4" w:space="0" w:color="000000"/>
              <w:left w:val="single" w:sz="4" w:space="0" w:color="000000"/>
              <w:right w:val="single" w:sz="4" w:space="0" w:color="000000"/>
            </w:tcBorders>
            <w:vAlign w:val="center"/>
          </w:tcPr>
          <w:p w14:paraId="1DF42DA1" w14:textId="77777777" w:rsidR="009125FD" w:rsidRPr="00825E94" w:rsidRDefault="009125FD" w:rsidP="009125FD">
            <w:pPr>
              <w:jc w:val="center"/>
              <w:rPr>
                <w:rFonts w:ascii="Arial" w:hAnsi="Arial" w:cs="Arial"/>
                <w:b/>
                <w:color w:val="FF0000"/>
                <w:sz w:val="18"/>
                <w:szCs w:val="18"/>
              </w:rPr>
            </w:pPr>
            <w:r w:rsidRPr="00825E94">
              <w:rPr>
                <w:rFonts w:ascii="Arial" w:hAnsi="Arial" w:cs="Arial"/>
                <w:b/>
                <w:color w:val="FF0000"/>
                <w:sz w:val="18"/>
                <w:szCs w:val="18"/>
              </w:rPr>
              <w:t>Not Washed</w:t>
            </w:r>
          </w:p>
        </w:tc>
        <w:tc>
          <w:tcPr>
            <w:tcW w:w="1620" w:type="dxa"/>
            <w:tcBorders>
              <w:top w:val="single" w:sz="4" w:space="0" w:color="000000"/>
              <w:left w:val="single" w:sz="4" w:space="0" w:color="000000"/>
              <w:right w:val="single" w:sz="4" w:space="0" w:color="000000"/>
            </w:tcBorders>
            <w:vAlign w:val="center"/>
          </w:tcPr>
          <w:p w14:paraId="3B872FBD" w14:textId="77777777" w:rsidR="009125FD" w:rsidRPr="00D93607" w:rsidRDefault="009125FD" w:rsidP="009125FD">
            <w:pPr>
              <w:ind w:left="18"/>
              <w:rPr>
                <w:rFonts w:ascii="Arial" w:hAnsi="Arial" w:cs="Arial"/>
                <w:sz w:val="18"/>
                <w:szCs w:val="18"/>
              </w:rPr>
            </w:pPr>
            <w:r w:rsidRPr="00D93607">
              <w:rPr>
                <w:rFonts w:ascii="Arial" w:hAnsi="Arial" w:cs="Arial"/>
                <w:noProof/>
                <w:sz w:val="18"/>
                <w:szCs w:val="18"/>
              </w:rPr>
              <w:t>Technologist</w:t>
            </w:r>
          </w:p>
          <w:p w14:paraId="4C3F2C9E" w14:textId="77777777" w:rsidR="009125FD" w:rsidRPr="00836EE2" w:rsidRDefault="009125FD" w:rsidP="009125FD">
            <w:pPr>
              <w:ind w:left="18"/>
              <w:rPr>
                <w:rFonts w:ascii="Arial" w:hAnsi="Arial" w:cs="Arial"/>
                <w:sz w:val="18"/>
                <w:szCs w:val="18"/>
              </w:rPr>
            </w:pPr>
          </w:p>
          <w:p w14:paraId="2E9F83C3" w14:textId="77777777" w:rsidR="009125FD" w:rsidRPr="00D93607" w:rsidRDefault="009125FD" w:rsidP="009125FD">
            <w:pPr>
              <w:ind w:left="18"/>
              <w:rPr>
                <w:rFonts w:ascii="Arial" w:hAnsi="Arial" w:cs="Arial"/>
                <w:noProof/>
                <w:sz w:val="18"/>
                <w:szCs w:val="18"/>
              </w:rPr>
            </w:pPr>
            <w:r w:rsidRPr="00D93607">
              <w:rPr>
                <w:rFonts w:ascii="Arial" w:hAnsi="Arial" w:cs="Arial"/>
                <w:noProof/>
                <w:sz w:val="18"/>
                <w:szCs w:val="18"/>
              </w:rPr>
              <w:t>Enhanced Technologist</w:t>
            </w:r>
          </w:p>
        </w:tc>
        <w:tc>
          <w:tcPr>
            <w:tcW w:w="4050" w:type="dxa"/>
            <w:tcBorders>
              <w:top w:val="single" w:sz="4" w:space="0" w:color="000000"/>
              <w:left w:val="single" w:sz="4" w:space="0" w:color="000000"/>
              <w:right w:val="single" w:sz="4" w:space="0" w:color="000000"/>
            </w:tcBorders>
            <w:vAlign w:val="bottom"/>
          </w:tcPr>
          <w:p w14:paraId="388EABED" w14:textId="77777777" w:rsidR="009125FD" w:rsidRDefault="009125FD" w:rsidP="009125FD">
            <w:pPr>
              <w:rPr>
                <w:rFonts w:ascii="Arial" w:hAnsi="Arial" w:cs="Arial"/>
                <w:sz w:val="18"/>
                <w:szCs w:val="18"/>
              </w:rPr>
            </w:pPr>
            <w:r w:rsidRPr="005C5D59">
              <w:rPr>
                <w:rFonts w:ascii="Arial" w:hAnsi="Arial" w:cs="Arial"/>
                <w:sz w:val="18"/>
                <w:szCs w:val="18"/>
              </w:rPr>
              <w:t xml:space="preserve">The system displays the warning message: </w:t>
            </w:r>
            <w:r w:rsidRPr="00836EE2">
              <w:rPr>
                <w:rFonts w:ascii="Arial" w:hAnsi="Arial" w:cs="Arial"/>
                <w:i/>
                <w:sz w:val="18"/>
                <w:szCs w:val="18"/>
              </w:rPr>
              <w:t>Patient’s Transfusion Requirement is not satisfied.</w:t>
            </w:r>
            <w:r w:rsidRPr="005C5D59">
              <w:rPr>
                <w:rFonts w:ascii="Arial" w:hAnsi="Arial" w:cs="Arial"/>
                <w:sz w:val="18"/>
                <w:szCs w:val="18"/>
              </w:rPr>
              <w:t xml:space="preserve"> </w:t>
            </w:r>
            <w:r w:rsidRPr="007F3B3C">
              <w:rPr>
                <w:rFonts w:ascii="Arial" w:hAnsi="Arial" w:cs="Arial"/>
                <w:i/>
                <w:sz w:val="18"/>
                <w:szCs w:val="18"/>
              </w:rPr>
              <w:t>You do not have the proper security to issue this unit. Further processing is needed and must be documented in VBECS.</w:t>
            </w:r>
            <w:r w:rsidRPr="005C5D59">
              <w:rPr>
                <w:rFonts w:ascii="Arial" w:hAnsi="Arial" w:cs="Arial"/>
                <w:sz w:val="18"/>
                <w:szCs w:val="18"/>
              </w:rPr>
              <w:t xml:space="preserve"> </w:t>
            </w:r>
          </w:p>
          <w:p w14:paraId="54668601" w14:textId="77777777" w:rsidR="009125FD" w:rsidRPr="005C5D59" w:rsidRDefault="009125FD" w:rsidP="009125FD">
            <w:pPr>
              <w:rPr>
                <w:rFonts w:ascii="Arial" w:hAnsi="Arial" w:cs="Arial"/>
                <w:sz w:val="18"/>
                <w:szCs w:val="18"/>
              </w:rPr>
            </w:pPr>
            <w:r>
              <w:rPr>
                <w:rFonts w:ascii="Arial" w:hAnsi="Arial" w:cs="Arial"/>
                <w:sz w:val="18"/>
                <w:szCs w:val="18"/>
              </w:rPr>
              <w:t>The tech may not issue this unit in the computer.</w:t>
            </w:r>
          </w:p>
        </w:tc>
      </w:tr>
      <w:tr w:rsidR="009125FD" w:rsidRPr="005C5D59" w14:paraId="68909F89" w14:textId="77777777" w:rsidTr="009125FD">
        <w:trPr>
          <w:cantSplit/>
          <w:trHeight w:val="2343"/>
        </w:trPr>
        <w:tc>
          <w:tcPr>
            <w:tcW w:w="1692" w:type="dxa"/>
            <w:vMerge/>
            <w:tcBorders>
              <w:left w:val="single" w:sz="4" w:space="0" w:color="000000"/>
              <w:right w:val="single" w:sz="4" w:space="0" w:color="000000"/>
            </w:tcBorders>
            <w:vAlign w:val="bottom"/>
          </w:tcPr>
          <w:p w14:paraId="4AE1E215" w14:textId="77777777" w:rsidR="009125FD" w:rsidRPr="005C5D59" w:rsidRDefault="009125FD" w:rsidP="009125FD">
            <w:pPr>
              <w:rPr>
                <w:rFonts w:ascii="Arial" w:hAnsi="Arial" w:cs="Arial"/>
                <w:b/>
                <w:sz w:val="18"/>
                <w:szCs w:val="18"/>
              </w:rPr>
            </w:pPr>
          </w:p>
        </w:tc>
        <w:tc>
          <w:tcPr>
            <w:tcW w:w="1620" w:type="dxa"/>
            <w:tcBorders>
              <w:top w:val="single" w:sz="4" w:space="0" w:color="000000"/>
              <w:left w:val="single" w:sz="4" w:space="0" w:color="000000"/>
              <w:right w:val="single" w:sz="4" w:space="0" w:color="000000"/>
            </w:tcBorders>
            <w:vAlign w:val="center"/>
          </w:tcPr>
          <w:p w14:paraId="56AB14F9" w14:textId="77777777" w:rsidR="009125FD" w:rsidRDefault="009125FD" w:rsidP="009125FD">
            <w:pPr>
              <w:jc w:val="center"/>
              <w:rPr>
                <w:rFonts w:ascii="Arial" w:hAnsi="Arial" w:cs="Arial"/>
                <w:sz w:val="18"/>
                <w:szCs w:val="18"/>
              </w:rPr>
            </w:pPr>
            <w:r w:rsidRPr="005C5D59">
              <w:rPr>
                <w:rFonts w:ascii="Arial" w:hAnsi="Arial" w:cs="Arial"/>
                <w:sz w:val="18"/>
                <w:szCs w:val="18"/>
              </w:rPr>
              <w:t xml:space="preserve">RED BLOOD CELLS </w:t>
            </w:r>
          </w:p>
          <w:p w14:paraId="7C506A06" w14:textId="77777777" w:rsidR="009125FD" w:rsidRPr="005C5D59" w:rsidRDefault="009125FD" w:rsidP="009125FD">
            <w:pPr>
              <w:jc w:val="center"/>
              <w:rPr>
                <w:rFonts w:ascii="Arial" w:hAnsi="Arial" w:cs="Arial"/>
                <w:sz w:val="18"/>
                <w:szCs w:val="18"/>
              </w:rPr>
            </w:pPr>
          </w:p>
          <w:p w14:paraId="340052A7" w14:textId="77777777" w:rsidR="009125FD" w:rsidRPr="005C5D59" w:rsidRDefault="009125FD" w:rsidP="009125FD">
            <w:pPr>
              <w:jc w:val="center"/>
              <w:rPr>
                <w:rFonts w:ascii="Arial" w:hAnsi="Arial" w:cs="Arial"/>
                <w:sz w:val="18"/>
                <w:szCs w:val="18"/>
              </w:rPr>
            </w:pPr>
            <w:r w:rsidRPr="005C5D59">
              <w:rPr>
                <w:rFonts w:ascii="Arial" w:hAnsi="Arial" w:cs="Arial"/>
                <w:sz w:val="18"/>
                <w:szCs w:val="18"/>
              </w:rPr>
              <w:t>WHOLE BLOOD</w:t>
            </w:r>
          </w:p>
        </w:tc>
        <w:tc>
          <w:tcPr>
            <w:tcW w:w="1260" w:type="dxa"/>
            <w:tcBorders>
              <w:top w:val="single" w:sz="4" w:space="0" w:color="000000"/>
              <w:left w:val="single" w:sz="4" w:space="0" w:color="000000"/>
              <w:right w:val="single" w:sz="4" w:space="0" w:color="000000"/>
            </w:tcBorders>
            <w:vAlign w:val="center"/>
          </w:tcPr>
          <w:p w14:paraId="0B6FAEDB" w14:textId="77777777" w:rsidR="009125FD" w:rsidRPr="00825E94" w:rsidRDefault="009125FD" w:rsidP="009125FD">
            <w:pPr>
              <w:jc w:val="center"/>
              <w:rPr>
                <w:rFonts w:ascii="Arial" w:hAnsi="Arial" w:cs="Arial"/>
                <w:b/>
                <w:color w:val="FF0000"/>
                <w:sz w:val="18"/>
                <w:szCs w:val="18"/>
              </w:rPr>
            </w:pPr>
            <w:r w:rsidRPr="00825E94">
              <w:rPr>
                <w:rFonts w:ascii="Arial" w:hAnsi="Arial" w:cs="Arial"/>
                <w:b/>
                <w:color w:val="FF0000"/>
                <w:sz w:val="18"/>
                <w:szCs w:val="18"/>
              </w:rPr>
              <w:t>Not Washed</w:t>
            </w:r>
          </w:p>
        </w:tc>
        <w:tc>
          <w:tcPr>
            <w:tcW w:w="1620" w:type="dxa"/>
            <w:tcBorders>
              <w:top w:val="single" w:sz="4" w:space="0" w:color="000000"/>
              <w:left w:val="single" w:sz="4" w:space="0" w:color="000000"/>
              <w:right w:val="single" w:sz="4" w:space="0" w:color="000000"/>
            </w:tcBorders>
            <w:vAlign w:val="center"/>
          </w:tcPr>
          <w:p w14:paraId="5693C765" w14:textId="77777777" w:rsidR="009125FD" w:rsidRPr="00D93607" w:rsidRDefault="009125FD" w:rsidP="009125FD">
            <w:pPr>
              <w:spacing w:before="120"/>
              <w:ind w:left="18"/>
              <w:rPr>
                <w:rFonts w:ascii="Arial" w:hAnsi="Arial" w:cs="Arial"/>
                <w:sz w:val="18"/>
                <w:szCs w:val="18"/>
              </w:rPr>
            </w:pPr>
            <w:r w:rsidRPr="00D93607">
              <w:rPr>
                <w:rFonts w:ascii="Arial" w:hAnsi="Arial" w:cs="Arial"/>
                <w:sz w:val="18"/>
                <w:szCs w:val="18"/>
              </w:rPr>
              <w:t>Lead Technologist</w:t>
            </w:r>
          </w:p>
          <w:p w14:paraId="7E556499" w14:textId="77777777" w:rsidR="009125FD" w:rsidRPr="00D93607" w:rsidRDefault="009125FD" w:rsidP="009125FD">
            <w:pPr>
              <w:spacing w:before="120"/>
              <w:ind w:left="18"/>
              <w:rPr>
                <w:rFonts w:ascii="Arial" w:hAnsi="Arial" w:cs="Arial"/>
                <w:sz w:val="18"/>
                <w:szCs w:val="18"/>
              </w:rPr>
            </w:pPr>
            <w:r w:rsidRPr="00D93607">
              <w:rPr>
                <w:rFonts w:ascii="Arial" w:hAnsi="Arial" w:cs="Arial"/>
                <w:sz w:val="18"/>
                <w:szCs w:val="18"/>
              </w:rPr>
              <w:t>Traditional Supervisor</w:t>
            </w:r>
          </w:p>
          <w:p w14:paraId="2D014BE7" w14:textId="77777777" w:rsidR="009125FD" w:rsidRPr="00D93607" w:rsidRDefault="009125FD" w:rsidP="009125FD">
            <w:pPr>
              <w:spacing w:before="120"/>
              <w:ind w:left="18"/>
              <w:rPr>
                <w:rFonts w:ascii="Arial" w:hAnsi="Arial" w:cs="Arial"/>
                <w:sz w:val="18"/>
                <w:szCs w:val="18"/>
              </w:rPr>
            </w:pPr>
            <w:r w:rsidRPr="00D93607">
              <w:rPr>
                <w:rFonts w:ascii="Arial" w:hAnsi="Arial" w:cs="Arial"/>
                <w:sz w:val="18"/>
                <w:szCs w:val="18"/>
              </w:rPr>
              <w:t>Enhanced Supervisor</w:t>
            </w:r>
          </w:p>
          <w:p w14:paraId="25C99C62" w14:textId="77777777" w:rsidR="009125FD" w:rsidRPr="00D93607" w:rsidRDefault="009125FD" w:rsidP="009125FD">
            <w:pPr>
              <w:spacing w:before="120"/>
              <w:ind w:left="18"/>
              <w:rPr>
                <w:rFonts w:ascii="Arial" w:hAnsi="Arial" w:cs="Arial"/>
                <w:sz w:val="18"/>
                <w:szCs w:val="18"/>
              </w:rPr>
            </w:pPr>
            <w:r w:rsidRPr="00D93607">
              <w:rPr>
                <w:rFonts w:ascii="Arial" w:hAnsi="Arial" w:cs="Arial"/>
                <w:sz w:val="18"/>
                <w:szCs w:val="18"/>
              </w:rPr>
              <w:t>Administrator/Supervisor</w:t>
            </w:r>
          </w:p>
          <w:p w14:paraId="42812FAC" w14:textId="77777777" w:rsidR="009125FD" w:rsidRPr="008B278A" w:rsidRDefault="009125FD" w:rsidP="009125FD">
            <w:pPr>
              <w:ind w:left="18"/>
              <w:rPr>
                <w:rFonts w:ascii="Arial" w:hAnsi="Arial" w:cs="Arial"/>
                <w:sz w:val="18"/>
                <w:szCs w:val="18"/>
              </w:rPr>
            </w:pPr>
          </w:p>
        </w:tc>
        <w:tc>
          <w:tcPr>
            <w:tcW w:w="4050" w:type="dxa"/>
            <w:tcBorders>
              <w:top w:val="single" w:sz="4" w:space="0" w:color="000000"/>
              <w:left w:val="single" w:sz="4" w:space="0" w:color="000000"/>
              <w:right w:val="single" w:sz="4" w:space="0" w:color="000000"/>
            </w:tcBorders>
            <w:vAlign w:val="bottom"/>
          </w:tcPr>
          <w:p w14:paraId="710EABAE" w14:textId="77777777" w:rsidR="009125FD" w:rsidRPr="005C5D59" w:rsidRDefault="009125FD" w:rsidP="009125FD">
            <w:pPr>
              <w:rPr>
                <w:rFonts w:ascii="Arial" w:hAnsi="Arial" w:cs="Arial"/>
                <w:sz w:val="18"/>
                <w:szCs w:val="18"/>
              </w:rPr>
            </w:pPr>
            <w:r w:rsidRPr="005C5D59">
              <w:rPr>
                <w:rFonts w:ascii="Arial" w:hAnsi="Arial" w:cs="Arial"/>
                <w:sz w:val="18"/>
                <w:szCs w:val="18"/>
              </w:rPr>
              <w:t xml:space="preserve">The system displays the warning message: </w:t>
            </w:r>
            <w:r w:rsidRPr="00836EE2">
              <w:rPr>
                <w:rFonts w:ascii="Arial" w:hAnsi="Arial" w:cs="Arial"/>
                <w:i/>
                <w:sz w:val="18"/>
                <w:szCs w:val="18"/>
              </w:rPr>
              <w:t xml:space="preserve">Patient’s </w:t>
            </w:r>
            <w:r>
              <w:rPr>
                <w:rFonts w:ascii="Arial" w:hAnsi="Arial" w:cs="Arial"/>
                <w:i/>
                <w:sz w:val="18"/>
                <w:szCs w:val="18"/>
              </w:rPr>
              <w:t>Washed RBC Products</w:t>
            </w:r>
            <w:r w:rsidRPr="00836EE2">
              <w:rPr>
                <w:rFonts w:ascii="Arial" w:hAnsi="Arial" w:cs="Arial"/>
                <w:i/>
                <w:sz w:val="18"/>
                <w:szCs w:val="18"/>
              </w:rPr>
              <w:t xml:space="preserve"> Transfusion Requirement is not satisfied</w:t>
            </w:r>
            <w:r w:rsidRPr="005C5D59">
              <w:rPr>
                <w:rFonts w:ascii="Arial" w:hAnsi="Arial" w:cs="Arial"/>
                <w:sz w:val="18"/>
                <w:szCs w:val="18"/>
              </w:rPr>
              <w:t xml:space="preserve"> and prompts the user whether to proceed. </w:t>
            </w:r>
          </w:p>
          <w:p w14:paraId="5ADD1604" w14:textId="77777777" w:rsidR="009125FD" w:rsidRPr="005C5D59" w:rsidRDefault="009125FD" w:rsidP="009125FD">
            <w:pPr>
              <w:rPr>
                <w:rFonts w:ascii="Arial" w:hAnsi="Arial" w:cs="Arial"/>
                <w:sz w:val="18"/>
                <w:szCs w:val="18"/>
              </w:rPr>
            </w:pPr>
            <w:r w:rsidRPr="005C5D59">
              <w:rPr>
                <w:rFonts w:ascii="Arial" w:hAnsi="Arial" w:cs="Arial"/>
                <w:sz w:val="18"/>
                <w:szCs w:val="18"/>
              </w:rPr>
              <w:t>If the user responds “No”</w:t>
            </w:r>
            <w:r>
              <w:rPr>
                <w:rFonts w:ascii="Arial" w:hAnsi="Arial" w:cs="Arial"/>
                <w:sz w:val="18"/>
                <w:szCs w:val="18"/>
              </w:rPr>
              <w:t>,</w:t>
            </w:r>
            <w:r w:rsidRPr="005C5D59">
              <w:rPr>
                <w:rFonts w:ascii="Arial" w:hAnsi="Arial" w:cs="Arial"/>
                <w:sz w:val="18"/>
                <w:szCs w:val="18"/>
              </w:rPr>
              <w:t xml:space="preserve"> the system wi</w:t>
            </w:r>
            <w:r>
              <w:rPr>
                <w:rFonts w:ascii="Arial" w:hAnsi="Arial" w:cs="Arial"/>
                <w:sz w:val="18"/>
                <w:szCs w:val="18"/>
              </w:rPr>
              <w:t>ll clear the selected unit.</w:t>
            </w:r>
          </w:p>
          <w:p w14:paraId="6EA26F31" w14:textId="1B24609C" w:rsidR="009125FD" w:rsidRPr="005C5D59" w:rsidRDefault="009125FD" w:rsidP="009125FD">
            <w:pPr>
              <w:rPr>
                <w:rFonts w:ascii="Arial" w:hAnsi="Arial" w:cs="Arial"/>
                <w:sz w:val="18"/>
                <w:szCs w:val="18"/>
              </w:rPr>
            </w:pPr>
            <w:r w:rsidRPr="005C5D59">
              <w:rPr>
                <w:rFonts w:ascii="Arial" w:hAnsi="Arial" w:cs="Arial"/>
                <w:sz w:val="18"/>
                <w:szCs w:val="18"/>
              </w:rPr>
              <w:t>If the user responds “Yes”</w:t>
            </w:r>
            <w:r>
              <w:rPr>
                <w:rFonts w:ascii="Arial" w:hAnsi="Arial" w:cs="Arial"/>
                <w:sz w:val="18"/>
                <w:szCs w:val="18"/>
              </w:rPr>
              <w:t>,</w:t>
            </w:r>
            <w:r w:rsidRPr="005C5D59">
              <w:rPr>
                <w:rFonts w:ascii="Arial" w:hAnsi="Arial" w:cs="Arial"/>
                <w:sz w:val="18"/>
                <w:szCs w:val="18"/>
              </w:rPr>
              <w:t xml:space="preserve"> the system will require a comment (free text or canned, “unit issue” context) and capture the transacti</w:t>
            </w:r>
            <w:r>
              <w:rPr>
                <w:rFonts w:ascii="Arial" w:hAnsi="Arial" w:cs="Arial"/>
                <w:sz w:val="18"/>
                <w:szCs w:val="18"/>
              </w:rPr>
              <w:t>on details for inclusion in an Exception R</w:t>
            </w:r>
            <w:r w:rsidRPr="005C5D59">
              <w:rPr>
                <w:rFonts w:ascii="Arial" w:hAnsi="Arial" w:cs="Arial"/>
                <w:sz w:val="18"/>
                <w:szCs w:val="18"/>
              </w:rPr>
              <w:t>eport</w:t>
            </w:r>
            <w:r>
              <w:rPr>
                <w:rFonts w:ascii="Arial" w:hAnsi="Arial" w:cs="Arial"/>
                <w:sz w:val="18"/>
                <w:szCs w:val="18"/>
              </w:rPr>
              <w:t xml:space="preserve"> entry</w:t>
            </w:r>
            <w:r w:rsidRPr="005C5D59">
              <w:rPr>
                <w:rFonts w:ascii="Arial" w:hAnsi="Arial" w:cs="Arial"/>
                <w:sz w:val="18"/>
                <w:szCs w:val="18"/>
              </w:rPr>
              <w:t xml:space="preserve">: </w:t>
            </w:r>
            <w:r w:rsidRPr="005C5D59">
              <w:rPr>
                <w:rFonts w:ascii="Arial" w:hAnsi="Arial" w:cs="Arial"/>
                <w:i/>
                <w:sz w:val="18"/>
                <w:szCs w:val="18"/>
              </w:rPr>
              <w:t xml:space="preserve">Unit issued with unsatisfied Transfusion </w:t>
            </w:r>
            <w:r w:rsidR="00AE3B37" w:rsidRPr="005C5D59">
              <w:rPr>
                <w:rFonts w:ascii="Arial" w:hAnsi="Arial" w:cs="Arial"/>
                <w:i/>
                <w:sz w:val="18"/>
                <w:szCs w:val="18"/>
              </w:rPr>
              <w:t>Requirement</w:t>
            </w:r>
            <w:r w:rsidR="00AE3B37" w:rsidRPr="005C5D59">
              <w:rPr>
                <w:rFonts w:ascii="Arial" w:hAnsi="Arial" w:cs="Arial"/>
                <w:sz w:val="18"/>
                <w:szCs w:val="18"/>
              </w:rPr>
              <w:t>.</w:t>
            </w:r>
          </w:p>
        </w:tc>
      </w:tr>
    </w:tbl>
    <w:p w14:paraId="0F454AFA" w14:textId="77777777" w:rsidR="009125FD" w:rsidRPr="00825E94" w:rsidRDefault="009125FD" w:rsidP="009125FD"/>
    <w:p w14:paraId="705A0420" w14:textId="3F099D72" w:rsidR="00C15299" w:rsidRDefault="009125FD" w:rsidP="00C15299">
      <w:pPr>
        <w:pStyle w:val="Caption"/>
      </w:pPr>
      <w:r>
        <w:br w:type="page"/>
      </w:r>
      <w:bookmarkStart w:id="893" w:name="_Ref407610759"/>
      <w:bookmarkStart w:id="894" w:name="_Ref343502547"/>
      <w:r w:rsidR="00C15299">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7D1829">
        <w:rPr>
          <w:noProof/>
        </w:rPr>
        <w:t>140</w:t>
      </w:r>
      <w:r w:rsidR="004E20BD">
        <w:rPr>
          <w:noProof/>
        </w:rPr>
        <w:fldChar w:fldCharType="end"/>
      </w:r>
      <w:bookmarkEnd w:id="893"/>
      <w:r w:rsidR="00C15299">
        <w:t>: Washed PLATELET (PLT) Products and Select Blood Unit</w:t>
      </w:r>
      <w:bookmarkEnd w:id="894"/>
    </w:p>
    <w:tbl>
      <w:tblPr>
        <w:tblW w:w="10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2" w:type="dxa"/>
          <w:right w:w="72" w:type="dxa"/>
        </w:tblCellMar>
        <w:tblLook w:val="04A0" w:firstRow="1" w:lastRow="0" w:firstColumn="1" w:lastColumn="0" w:noHBand="0" w:noVBand="1"/>
      </w:tblPr>
      <w:tblGrid>
        <w:gridCol w:w="1692"/>
        <w:gridCol w:w="1620"/>
        <w:gridCol w:w="1260"/>
        <w:gridCol w:w="1620"/>
        <w:gridCol w:w="4050"/>
      </w:tblGrid>
      <w:tr w:rsidR="009125FD" w:rsidRPr="005C5D59" w14:paraId="3C553A8A" w14:textId="77777777" w:rsidTr="009125FD">
        <w:trPr>
          <w:cantSplit/>
          <w:trHeight w:val="305"/>
          <w:tblHeader/>
        </w:trPr>
        <w:tc>
          <w:tcPr>
            <w:tcW w:w="10242" w:type="dxa"/>
            <w:gridSpan w:val="5"/>
            <w:tcBorders>
              <w:top w:val="single" w:sz="4" w:space="0" w:color="000000"/>
              <w:left w:val="single" w:sz="4" w:space="0" w:color="000000"/>
              <w:right w:val="single" w:sz="4" w:space="0" w:color="000000"/>
            </w:tcBorders>
            <w:shd w:val="pct25" w:color="auto" w:fill="auto"/>
            <w:vAlign w:val="bottom"/>
            <w:hideMark/>
          </w:tcPr>
          <w:p w14:paraId="485D3F61" w14:textId="77777777" w:rsidR="009125FD" w:rsidRPr="005C5D59" w:rsidRDefault="009125FD" w:rsidP="009125FD">
            <w:pPr>
              <w:rPr>
                <w:rFonts w:ascii="Arial" w:hAnsi="Arial" w:cs="Arial"/>
                <w:b/>
                <w:sz w:val="18"/>
                <w:szCs w:val="18"/>
              </w:rPr>
            </w:pPr>
            <w:r w:rsidRPr="005C5D59">
              <w:rPr>
                <w:rFonts w:ascii="Arial" w:hAnsi="Arial" w:cs="Arial"/>
                <w:b/>
                <w:sz w:val="18"/>
                <w:szCs w:val="18"/>
              </w:rPr>
              <w:t xml:space="preserve">Select Unit: </w:t>
            </w:r>
            <w:r>
              <w:rPr>
                <w:rFonts w:ascii="Arial" w:hAnsi="Arial" w:cs="Arial"/>
                <w:b/>
                <w:sz w:val="18"/>
                <w:szCs w:val="18"/>
              </w:rPr>
              <w:t xml:space="preserve">  </w:t>
            </w:r>
            <w:r w:rsidRPr="00B62010">
              <w:rPr>
                <w:rFonts w:ascii="Arial" w:hAnsi="Arial" w:cs="Arial"/>
                <w:b/>
                <w:sz w:val="20"/>
                <w:szCs w:val="20"/>
              </w:rPr>
              <w:t>Washed PLT products</w:t>
            </w:r>
          </w:p>
        </w:tc>
      </w:tr>
      <w:tr w:rsidR="009125FD" w:rsidRPr="005C5D59" w14:paraId="290AB0E0" w14:textId="77777777" w:rsidTr="009125FD">
        <w:trPr>
          <w:cantSplit/>
          <w:trHeight w:val="432"/>
          <w:tblHeader/>
        </w:trPr>
        <w:tc>
          <w:tcPr>
            <w:tcW w:w="1692" w:type="dxa"/>
            <w:tcBorders>
              <w:left w:val="single" w:sz="4" w:space="0" w:color="000000"/>
              <w:bottom w:val="single" w:sz="4" w:space="0" w:color="000000"/>
              <w:right w:val="single" w:sz="4" w:space="0" w:color="000000"/>
            </w:tcBorders>
            <w:shd w:val="pct25" w:color="auto" w:fill="auto"/>
            <w:vAlign w:val="bottom"/>
            <w:hideMark/>
          </w:tcPr>
          <w:p w14:paraId="2CB392DB" w14:textId="77777777" w:rsidR="009125FD" w:rsidRPr="005C5D59" w:rsidRDefault="009125FD" w:rsidP="009125FD">
            <w:pPr>
              <w:rPr>
                <w:rFonts w:ascii="Arial" w:hAnsi="Arial" w:cs="Arial"/>
                <w:b/>
                <w:sz w:val="18"/>
                <w:szCs w:val="18"/>
              </w:rPr>
            </w:pPr>
            <w:r w:rsidRPr="005C5D59">
              <w:rPr>
                <w:rFonts w:ascii="Arial" w:hAnsi="Arial" w:cs="Arial"/>
                <w:b/>
                <w:sz w:val="18"/>
                <w:szCs w:val="18"/>
              </w:rPr>
              <w:t>Patient Active Transfusion Requirement</w:t>
            </w:r>
          </w:p>
        </w:tc>
        <w:tc>
          <w:tcPr>
            <w:tcW w:w="1620" w:type="dxa"/>
            <w:tcBorders>
              <w:left w:val="single" w:sz="4" w:space="0" w:color="000000"/>
              <w:bottom w:val="single" w:sz="4" w:space="0" w:color="000000"/>
              <w:right w:val="single" w:sz="4" w:space="0" w:color="000000"/>
            </w:tcBorders>
            <w:shd w:val="pct25" w:color="auto" w:fill="auto"/>
            <w:vAlign w:val="bottom"/>
            <w:hideMark/>
          </w:tcPr>
          <w:p w14:paraId="0015A36B" w14:textId="77777777" w:rsidR="009125FD" w:rsidRPr="005C5D59" w:rsidRDefault="009125FD" w:rsidP="009125FD">
            <w:pPr>
              <w:rPr>
                <w:rFonts w:ascii="Arial" w:hAnsi="Arial" w:cs="Arial"/>
                <w:b/>
                <w:color w:val="000000"/>
                <w:sz w:val="18"/>
                <w:szCs w:val="18"/>
                <w:highlight w:val="yellow"/>
              </w:rPr>
            </w:pPr>
            <w:r w:rsidRPr="005C5D59">
              <w:rPr>
                <w:rFonts w:ascii="Arial" w:hAnsi="Arial" w:cs="Arial"/>
                <w:b/>
                <w:sz w:val="18"/>
                <w:szCs w:val="18"/>
              </w:rPr>
              <w:t>Ordered Component Class*</w:t>
            </w:r>
          </w:p>
        </w:tc>
        <w:tc>
          <w:tcPr>
            <w:tcW w:w="126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592AFAC3" w14:textId="77777777" w:rsidR="009125FD" w:rsidRPr="005C5D59" w:rsidRDefault="009125FD" w:rsidP="009125FD">
            <w:pPr>
              <w:jc w:val="center"/>
              <w:rPr>
                <w:rFonts w:ascii="Arial" w:hAnsi="Arial" w:cs="Arial"/>
                <w:b/>
                <w:sz w:val="18"/>
                <w:szCs w:val="18"/>
              </w:rPr>
            </w:pPr>
            <w:r>
              <w:rPr>
                <w:rFonts w:ascii="Arial" w:hAnsi="Arial" w:cs="Arial"/>
                <w:b/>
                <w:sz w:val="18"/>
                <w:szCs w:val="18"/>
              </w:rPr>
              <w:t>Selected U</w:t>
            </w:r>
            <w:r w:rsidRPr="005C5D59">
              <w:rPr>
                <w:rFonts w:ascii="Arial" w:hAnsi="Arial" w:cs="Arial"/>
                <w:b/>
                <w:sz w:val="18"/>
                <w:szCs w:val="18"/>
              </w:rPr>
              <w:t>nit is</w:t>
            </w:r>
          </w:p>
        </w:tc>
        <w:tc>
          <w:tcPr>
            <w:tcW w:w="162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60E30233" w14:textId="77777777" w:rsidR="009125FD" w:rsidRPr="005C5D59" w:rsidRDefault="009125FD" w:rsidP="009125FD">
            <w:pPr>
              <w:jc w:val="center"/>
              <w:rPr>
                <w:rFonts w:ascii="Arial" w:hAnsi="Arial" w:cs="Arial"/>
                <w:b/>
                <w:sz w:val="18"/>
                <w:szCs w:val="18"/>
              </w:rPr>
            </w:pPr>
            <w:r w:rsidRPr="005C5D59">
              <w:rPr>
                <w:rFonts w:ascii="Arial" w:hAnsi="Arial" w:cs="Arial"/>
                <w:b/>
                <w:sz w:val="18"/>
                <w:szCs w:val="18"/>
              </w:rPr>
              <w:t>User Role</w:t>
            </w:r>
          </w:p>
        </w:tc>
        <w:tc>
          <w:tcPr>
            <w:tcW w:w="405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7FD85390" w14:textId="77777777" w:rsidR="009125FD" w:rsidRPr="005C5D59" w:rsidRDefault="009125FD" w:rsidP="009125FD">
            <w:pPr>
              <w:jc w:val="center"/>
              <w:rPr>
                <w:rFonts w:ascii="Arial" w:hAnsi="Arial" w:cs="Arial"/>
                <w:b/>
                <w:sz w:val="18"/>
                <w:szCs w:val="18"/>
              </w:rPr>
            </w:pPr>
            <w:r>
              <w:rPr>
                <w:rFonts w:ascii="Arial" w:hAnsi="Arial" w:cs="Arial"/>
                <w:b/>
                <w:sz w:val="18"/>
                <w:szCs w:val="18"/>
              </w:rPr>
              <w:t xml:space="preserve">VBECS </w:t>
            </w:r>
            <w:r w:rsidRPr="005C5D59">
              <w:rPr>
                <w:rFonts w:ascii="Arial" w:hAnsi="Arial" w:cs="Arial"/>
                <w:b/>
                <w:sz w:val="18"/>
                <w:szCs w:val="18"/>
              </w:rPr>
              <w:t>Response</w:t>
            </w:r>
          </w:p>
        </w:tc>
      </w:tr>
      <w:tr w:rsidR="009125FD" w:rsidRPr="005C5D59" w14:paraId="61CFBE6B" w14:textId="77777777" w:rsidTr="009125FD">
        <w:trPr>
          <w:cantSplit/>
          <w:trHeight w:val="284"/>
        </w:trPr>
        <w:tc>
          <w:tcPr>
            <w:tcW w:w="1692" w:type="dxa"/>
            <w:vMerge w:val="restart"/>
            <w:tcBorders>
              <w:top w:val="single" w:sz="4" w:space="0" w:color="000000"/>
              <w:left w:val="single" w:sz="4" w:space="0" w:color="000000"/>
              <w:right w:val="single" w:sz="4" w:space="0" w:color="000000"/>
            </w:tcBorders>
            <w:vAlign w:val="center"/>
            <w:hideMark/>
          </w:tcPr>
          <w:p w14:paraId="1A305B11" w14:textId="77777777" w:rsidR="009125FD" w:rsidRPr="00D93607" w:rsidRDefault="009125FD" w:rsidP="009125FD">
            <w:pPr>
              <w:jc w:val="center"/>
              <w:rPr>
                <w:rFonts w:ascii="Arial" w:hAnsi="Arial" w:cs="Arial"/>
                <w:b/>
                <w:sz w:val="28"/>
                <w:szCs w:val="28"/>
              </w:rPr>
            </w:pPr>
            <w:r w:rsidRPr="00D93607">
              <w:rPr>
                <w:rFonts w:ascii="Arial" w:hAnsi="Arial" w:cs="Arial"/>
                <w:b/>
                <w:sz w:val="28"/>
                <w:szCs w:val="28"/>
              </w:rPr>
              <w:t>Washed PLT products</w:t>
            </w:r>
          </w:p>
        </w:tc>
        <w:tc>
          <w:tcPr>
            <w:tcW w:w="1620" w:type="dxa"/>
            <w:tcBorders>
              <w:top w:val="single" w:sz="4" w:space="0" w:color="000000"/>
              <w:left w:val="single" w:sz="4" w:space="0" w:color="000000"/>
              <w:right w:val="single" w:sz="4" w:space="0" w:color="000000"/>
            </w:tcBorders>
            <w:shd w:val="pct10" w:color="auto" w:fill="auto"/>
            <w:vAlign w:val="center"/>
            <w:hideMark/>
          </w:tcPr>
          <w:p w14:paraId="13A038DD" w14:textId="4A142249" w:rsidR="009125FD" w:rsidRPr="005C5D59" w:rsidRDefault="009125FD" w:rsidP="000612EF">
            <w:pPr>
              <w:jc w:val="center"/>
              <w:rPr>
                <w:rFonts w:ascii="Arial" w:hAnsi="Arial" w:cs="Arial"/>
                <w:sz w:val="18"/>
                <w:szCs w:val="18"/>
              </w:rPr>
            </w:pPr>
            <w:r w:rsidRPr="005C5D59">
              <w:rPr>
                <w:rFonts w:ascii="Arial" w:hAnsi="Arial" w:cs="Arial"/>
                <w:sz w:val="18"/>
                <w:szCs w:val="18"/>
              </w:rPr>
              <w:t>PLATELETS</w:t>
            </w:r>
          </w:p>
        </w:tc>
        <w:tc>
          <w:tcPr>
            <w:tcW w:w="1260" w:type="dxa"/>
            <w:tcBorders>
              <w:top w:val="single" w:sz="4" w:space="0" w:color="000000"/>
              <w:left w:val="single" w:sz="4" w:space="0" w:color="000000"/>
              <w:right w:val="single" w:sz="4" w:space="0" w:color="000000"/>
            </w:tcBorders>
            <w:shd w:val="pct10" w:color="auto" w:fill="auto"/>
            <w:vAlign w:val="center"/>
            <w:hideMark/>
          </w:tcPr>
          <w:p w14:paraId="04B2451D" w14:textId="77777777" w:rsidR="009125FD" w:rsidRPr="008E2609" w:rsidRDefault="009125FD" w:rsidP="009125FD">
            <w:pPr>
              <w:jc w:val="center"/>
              <w:rPr>
                <w:rFonts w:ascii="Arial" w:hAnsi="Arial" w:cs="Arial"/>
                <w:sz w:val="18"/>
                <w:szCs w:val="18"/>
              </w:rPr>
            </w:pPr>
            <w:r w:rsidRPr="008E2609">
              <w:rPr>
                <w:rFonts w:ascii="Arial" w:hAnsi="Arial" w:cs="Arial"/>
                <w:sz w:val="18"/>
                <w:szCs w:val="18"/>
              </w:rPr>
              <w:t>Washed</w:t>
            </w:r>
          </w:p>
        </w:tc>
        <w:tc>
          <w:tcPr>
            <w:tcW w:w="1620" w:type="dxa"/>
            <w:tcBorders>
              <w:top w:val="single" w:sz="4" w:space="0" w:color="000000"/>
              <w:left w:val="single" w:sz="4" w:space="0" w:color="000000"/>
              <w:right w:val="single" w:sz="4" w:space="0" w:color="000000"/>
            </w:tcBorders>
            <w:shd w:val="pct10" w:color="auto" w:fill="auto"/>
            <w:vAlign w:val="center"/>
            <w:hideMark/>
          </w:tcPr>
          <w:p w14:paraId="4612204F" w14:textId="77777777" w:rsidR="009125FD" w:rsidRPr="008E2609" w:rsidRDefault="009125FD" w:rsidP="009125FD">
            <w:pPr>
              <w:jc w:val="center"/>
              <w:rPr>
                <w:rFonts w:ascii="Arial" w:hAnsi="Arial" w:cs="Arial"/>
                <w:sz w:val="18"/>
                <w:szCs w:val="18"/>
              </w:rPr>
            </w:pPr>
            <w:r w:rsidRPr="008E2609">
              <w:rPr>
                <w:rFonts w:ascii="Arial" w:hAnsi="Arial" w:cs="Arial"/>
                <w:sz w:val="18"/>
                <w:szCs w:val="18"/>
              </w:rPr>
              <w:t>ALL VBECS Users</w:t>
            </w:r>
          </w:p>
        </w:tc>
        <w:tc>
          <w:tcPr>
            <w:tcW w:w="4050" w:type="dxa"/>
            <w:tcBorders>
              <w:top w:val="single" w:sz="4" w:space="0" w:color="000000"/>
              <w:left w:val="single" w:sz="4" w:space="0" w:color="000000"/>
              <w:right w:val="single" w:sz="4" w:space="0" w:color="000000"/>
            </w:tcBorders>
            <w:shd w:val="pct10" w:color="auto" w:fill="auto"/>
            <w:vAlign w:val="center"/>
          </w:tcPr>
          <w:p w14:paraId="406E4812" w14:textId="77777777" w:rsidR="009125FD" w:rsidRPr="005C5D59" w:rsidRDefault="009125FD" w:rsidP="009125FD">
            <w:pPr>
              <w:jc w:val="center"/>
              <w:rPr>
                <w:rFonts w:ascii="Arial" w:hAnsi="Arial" w:cs="Arial"/>
                <w:sz w:val="18"/>
                <w:szCs w:val="18"/>
              </w:rPr>
            </w:pPr>
            <w:r w:rsidRPr="005C5D59">
              <w:rPr>
                <w:rFonts w:ascii="Arial" w:hAnsi="Arial" w:cs="Arial"/>
                <w:sz w:val="18"/>
                <w:szCs w:val="18"/>
              </w:rPr>
              <w:t>No warning message will display.</w:t>
            </w:r>
          </w:p>
        </w:tc>
      </w:tr>
      <w:tr w:rsidR="009125FD" w:rsidRPr="005C5D59" w14:paraId="07E9E9E3" w14:textId="77777777" w:rsidTr="009125FD">
        <w:trPr>
          <w:cantSplit/>
          <w:trHeight w:val="432"/>
        </w:trPr>
        <w:tc>
          <w:tcPr>
            <w:tcW w:w="1692" w:type="dxa"/>
            <w:vMerge/>
            <w:tcBorders>
              <w:left w:val="single" w:sz="4" w:space="0" w:color="000000"/>
              <w:right w:val="single" w:sz="4" w:space="0" w:color="000000"/>
            </w:tcBorders>
            <w:vAlign w:val="bottom"/>
          </w:tcPr>
          <w:p w14:paraId="79C8ED94" w14:textId="77777777" w:rsidR="009125FD" w:rsidRPr="005C5D59" w:rsidRDefault="009125FD" w:rsidP="009125FD">
            <w:pPr>
              <w:rPr>
                <w:rFonts w:ascii="Arial" w:hAnsi="Arial" w:cs="Arial"/>
                <w:b/>
                <w:sz w:val="18"/>
                <w:szCs w:val="18"/>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01D89E50" w14:textId="150AC5DD" w:rsidR="009125FD" w:rsidRPr="005C5D59" w:rsidRDefault="009125FD" w:rsidP="000612EF">
            <w:pPr>
              <w:jc w:val="center"/>
              <w:rPr>
                <w:rFonts w:ascii="Arial" w:hAnsi="Arial" w:cs="Arial"/>
                <w:sz w:val="18"/>
                <w:szCs w:val="18"/>
              </w:rPr>
            </w:pPr>
            <w:r w:rsidRPr="005C5D59">
              <w:rPr>
                <w:rFonts w:ascii="Arial" w:hAnsi="Arial" w:cs="Arial"/>
                <w:sz w:val="18"/>
                <w:szCs w:val="18"/>
              </w:rPr>
              <w:t>PLATELETS</w:t>
            </w:r>
          </w:p>
        </w:tc>
        <w:tc>
          <w:tcPr>
            <w:tcW w:w="1260" w:type="dxa"/>
            <w:tcBorders>
              <w:top w:val="single" w:sz="4" w:space="0" w:color="000000"/>
              <w:left w:val="single" w:sz="4" w:space="0" w:color="000000"/>
              <w:bottom w:val="single" w:sz="4" w:space="0" w:color="000000"/>
              <w:right w:val="single" w:sz="4" w:space="0" w:color="000000"/>
            </w:tcBorders>
            <w:vAlign w:val="center"/>
          </w:tcPr>
          <w:p w14:paraId="6E3E1A5B" w14:textId="77777777" w:rsidR="009125FD" w:rsidRPr="00825E94" w:rsidRDefault="009125FD" w:rsidP="009125FD">
            <w:pPr>
              <w:jc w:val="center"/>
              <w:rPr>
                <w:rFonts w:ascii="Arial" w:hAnsi="Arial" w:cs="Arial"/>
                <w:b/>
                <w:color w:val="FF0000"/>
                <w:sz w:val="18"/>
                <w:szCs w:val="18"/>
              </w:rPr>
            </w:pPr>
            <w:r w:rsidRPr="00825E94">
              <w:rPr>
                <w:rFonts w:ascii="Arial" w:hAnsi="Arial" w:cs="Arial"/>
                <w:b/>
                <w:color w:val="FF0000"/>
                <w:sz w:val="18"/>
                <w:szCs w:val="18"/>
              </w:rPr>
              <w:t>Not Washed</w:t>
            </w:r>
          </w:p>
        </w:tc>
        <w:tc>
          <w:tcPr>
            <w:tcW w:w="1620" w:type="dxa"/>
            <w:tcBorders>
              <w:top w:val="single" w:sz="4" w:space="0" w:color="000000"/>
              <w:left w:val="single" w:sz="4" w:space="0" w:color="000000"/>
              <w:right w:val="single" w:sz="4" w:space="0" w:color="000000"/>
            </w:tcBorders>
            <w:vAlign w:val="center"/>
          </w:tcPr>
          <w:p w14:paraId="5F861736" w14:textId="77777777" w:rsidR="009125FD" w:rsidRPr="008E2609" w:rsidRDefault="009125FD" w:rsidP="009125FD">
            <w:pPr>
              <w:jc w:val="center"/>
              <w:rPr>
                <w:rFonts w:ascii="Arial" w:hAnsi="Arial" w:cs="Arial"/>
                <w:sz w:val="18"/>
                <w:szCs w:val="18"/>
              </w:rPr>
            </w:pPr>
            <w:r w:rsidRPr="008E2609">
              <w:rPr>
                <w:rFonts w:ascii="Arial" w:hAnsi="Arial" w:cs="Arial"/>
                <w:sz w:val="18"/>
                <w:szCs w:val="18"/>
              </w:rPr>
              <w:t>ALL VBECS Users</w:t>
            </w:r>
          </w:p>
          <w:p w14:paraId="363550A7" w14:textId="77777777" w:rsidR="009125FD" w:rsidRPr="005C5D59" w:rsidRDefault="009125FD" w:rsidP="009125FD">
            <w:pPr>
              <w:jc w:val="center"/>
              <w:rPr>
                <w:rFonts w:ascii="Arial" w:hAnsi="Arial" w:cs="Arial"/>
                <w:sz w:val="18"/>
                <w:szCs w:val="18"/>
              </w:rPr>
            </w:pPr>
          </w:p>
        </w:tc>
        <w:tc>
          <w:tcPr>
            <w:tcW w:w="4050" w:type="dxa"/>
            <w:tcBorders>
              <w:top w:val="single" w:sz="4" w:space="0" w:color="000000"/>
              <w:left w:val="single" w:sz="4" w:space="0" w:color="000000"/>
              <w:right w:val="single" w:sz="4" w:space="0" w:color="000000"/>
            </w:tcBorders>
          </w:tcPr>
          <w:p w14:paraId="3663EEEF" w14:textId="77777777" w:rsidR="009125FD" w:rsidRPr="007F3B3C" w:rsidRDefault="009125FD" w:rsidP="009125FD">
            <w:pPr>
              <w:pStyle w:val="TableText"/>
              <w:spacing w:before="120"/>
              <w:rPr>
                <w:rStyle w:val="StyleTableText9ptCharChar"/>
                <w:rFonts w:cs="Arial"/>
                <w:i/>
              </w:rPr>
            </w:pPr>
            <w:r w:rsidRPr="005C5D59">
              <w:rPr>
                <w:rStyle w:val="StyleTableText9ptCharChar"/>
                <w:rFonts w:cs="Arial"/>
              </w:rPr>
              <w:t>The Transfusio</w:t>
            </w:r>
            <w:r>
              <w:rPr>
                <w:rStyle w:val="StyleTableText9ptCharChar"/>
                <w:rFonts w:cs="Arial"/>
              </w:rPr>
              <w:t xml:space="preserve">n Requirement is not satisfied; </w:t>
            </w:r>
            <w:r w:rsidRPr="005C5D59">
              <w:rPr>
                <w:rStyle w:val="StyleTableText9ptCharChar"/>
                <w:rFonts w:cs="Arial"/>
              </w:rPr>
              <w:t xml:space="preserve">the system emits an audible alert and displays a warning message: </w:t>
            </w:r>
            <w:r w:rsidRPr="007F3B3C">
              <w:rPr>
                <w:rStyle w:val="StyleTableText9ptCharChar"/>
                <w:rFonts w:cs="Arial"/>
                <w:i/>
              </w:rPr>
              <w:t>This unit does not currently satisfy all of the patient’s Transfusion Requirements. Further processing is needed. Continue to select this unit?</w:t>
            </w:r>
          </w:p>
          <w:p w14:paraId="32D21F9E" w14:textId="77777777" w:rsidR="009125FD" w:rsidRPr="005C5D59" w:rsidRDefault="009125FD" w:rsidP="009125FD">
            <w:pPr>
              <w:pStyle w:val="TableText"/>
              <w:rPr>
                <w:rStyle w:val="StyleTableText9ptCharChar"/>
                <w:rFonts w:cs="Arial"/>
              </w:rPr>
            </w:pPr>
            <w:r w:rsidRPr="005C5D59">
              <w:rPr>
                <w:rStyle w:val="StyleTableText9ptCharChar"/>
                <w:rFonts w:cs="Arial"/>
              </w:rPr>
              <w:t>If</w:t>
            </w:r>
            <w:r>
              <w:rPr>
                <w:rStyle w:val="StyleTableText9ptCharChar"/>
                <w:rFonts w:cs="Arial"/>
              </w:rPr>
              <w:t xml:space="preserve"> the user clicks </w:t>
            </w:r>
            <w:r w:rsidRPr="005C5D59">
              <w:rPr>
                <w:rStyle w:val="StyleTableText9ptCharChar"/>
                <w:rFonts w:cs="Arial"/>
              </w:rPr>
              <w:t>“No,” the screen is cleared.</w:t>
            </w:r>
          </w:p>
          <w:p w14:paraId="4213AD3E" w14:textId="77777777" w:rsidR="009125FD" w:rsidRPr="005C5D59" w:rsidRDefault="009125FD" w:rsidP="009125FD">
            <w:pPr>
              <w:pStyle w:val="TableText"/>
              <w:rPr>
                <w:rFonts w:cs="Arial"/>
                <w:noProof/>
              </w:rPr>
            </w:pPr>
            <w:r w:rsidRPr="005C5D59">
              <w:rPr>
                <w:rStyle w:val="StyleTableText9ptCharChar"/>
                <w:rFonts w:cs="Arial"/>
              </w:rPr>
              <w:t xml:space="preserve">If </w:t>
            </w:r>
            <w:r>
              <w:rPr>
                <w:rStyle w:val="StyleTableText9ptCharChar"/>
                <w:rFonts w:cs="Arial"/>
              </w:rPr>
              <w:t>the user clicks “Yes,” selection can continue to select the unit.</w:t>
            </w:r>
          </w:p>
        </w:tc>
      </w:tr>
    </w:tbl>
    <w:p w14:paraId="33BE4C15" w14:textId="77777777" w:rsidR="009125FD" w:rsidRDefault="009125FD" w:rsidP="009125FD"/>
    <w:p w14:paraId="26799853" w14:textId="0DEC04EB" w:rsidR="00C15299" w:rsidRDefault="00C15299" w:rsidP="00C15299">
      <w:pPr>
        <w:pStyle w:val="Caption"/>
      </w:pPr>
      <w:bookmarkStart w:id="895" w:name="_Ref407610771"/>
      <w:bookmarkStart w:id="896" w:name="_Ref343502567"/>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7D1829">
        <w:rPr>
          <w:noProof/>
        </w:rPr>
        <w:t>141</w:t>
      </w:r>
      <w:r w:rsidR="004E20BD">
        <w:rPr>
          <w:noProof/>
        </w:rPr>
        <w:fldChar w:fldCharType="end"/>
      </w:r>
      <w:bookmarkEnd w:id="895"/>
      <w:r>
        <w:t>: Washed PLATELET (PLT) Products and Issue Blood Component</w:t>
      </w:r>
      <w:bookmarkEnd w:id="896"/>
    </w:p>
    <w:tbl>
      <w:tblPr>
        <w:tblW w:w="10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2" w:type="dxa"/>
          <w:right w:w="72" w:type="dxa"/>
        </w:tblCellMar>
        <w:tblLook w:val="04A0" w:firstRow="1" w:lastRow="0" w:firstColumn="1" w:lastColumn="0" w:noHBand="0" w:noVBand="1"/>
      </w:tblPr>
      <w:tblGrid>
        <w:gridCol w:w="1843"/>
        <w:gridCol w:w="1469"/>
        <w:gridCol w:w="1260"/>
        <w:gridCol w:w="1620"/>
        <w:gridCol w:w="4050"/>
      </w:tblGrid>
      <w:tr w:rsidR="009125FD" w:rsidRPr="005C5D59" w14:paraId="1211D6B0" w14:textId="77777777" w:rsidTr="009125FD">
        <w:trPr>
          <w:cantSplit/>
          <w:trHeight w:val="432"/>
          <w:tblHeader/>
        </w:trPr>
        <w:tc>
          <w:tcPr>
            <w:tcW w:w="10242" w:type="dxa"/>
            <w:gridSpan w:val="5"/>
            <w:tcBorders>
              <w:left w:val="single" w:sz="4" w:space="0" w:color="000000"/>
              <w:bottom w:val="single" w:sz="4" w:space="0" w:color="000000"/>
              <w:right w:val="single" w:sz="4" w:space="0" w:color="000000"/>
            </w:tcBorders>
            <w:shd w:val="pct25" w:color="auto" w:fill="auto"/>
            <w:vAlign w:val="bottom"/>
          </w:tcPr>
          <w:p w14:paraId="21D561B3" w14:textId="77777777" w:rsidR="009125FD" w:rsidRPr="005C5D59" w:rsidRDefault="009125FD" w:rsidP="009125FD">
            <w:pPr>
              <w:rPr>
                <w:rFonts w:ascii="Arial" w:hAnsi="Arial" w:cs="Arial"/>
                <w:b/>
                <w:sz w:val="18"/>
                <w:szCs w:val="18"/>
              </w:rPr>
            </w:pPr>
            <w:r w:rsidRPr="005C5D59">
              <w:rPr>
                <w:rFonts w:ascii="Arial" w:hAnsi="Arial" w:cs="Arial"/>
                <w:b/>
                <w:sz w:val="18"/>
                <w:szCs w:val="18"/>
              </w:rPr>
              <w:t xml:space="preserve">Issue Blood Component: </w:t>
            </w:r>
            <w:r w:rsidRPr="00B62010">
              <w:rPr>
                <w:rFonts w:ascii="Arial" w:hAnsi="Arial" w:cs="Arial"/>
                <w:b/>
                <w:sz w:val="20"/>
                <w:szCs w:val="20"/>
              </w:rPr>
              <w:t>Washed PLT products</w:t>
            </w:r>
          </w:p>
        </w:tc>
      </w:tr>
      <w:tr w:rsidR="009125FD" w:rsidRPr="005C5D59" w14:paraId="512D1789" w14:textId="77777777" w:rsidTr="009125FD">
        <w:trPr>
          <w:cantSplit/>
          <w:trHeight w:val="432"/>
          <w:tblHeader/>
        </w:trPr>
        <w:tc>
          <w:tcPr>
            <w:tcW w:w="1843" w:type="dxa"/>
            <w:tcBorders>
              <w:left w:val="single" w:sz="4" w:space="0" w:color="000000"/>
              <w:bottom w:val="single" w:sz="4" w:space="0" w:color="000000"/>
              <w:right w:val="single" w:sz="4" w:space="0" w:color="000000"/>
            </w:tcBorders>
            <w:shd w:val="pct25" w:color="auto" w:fill="auto"/>
            <w:vAlign w:val="bottom"/>
            <w:hideMark/>
          </w:tcPr>
          <w:p w14:paraId="5165DC6D" w14:textId="77777777" w:rsidR="009125FD" w:rsidRPr="005C5D59" w:rsidRDefault="009125FD" w:rsidP="009125FD">
            <w:pPr>
              <w:rPr>
                <w:rFonts w:ascii="Arial" w:hAnsi="Arial" w:cs="Arial"/>
                <w:b/>
                <w:sz w:val="18"/>
                <w:szCs w:val="18"/>
              </w:rPr>
            </w:pPr>
            <w:r w:rsidRPr="005C5D59">
              <w:rPr>
                <w:rFonts w:ascii="Arial" w:hAnsi="Arial" w:cs="Arial"/>
                <w:b/>
                <w:sz w:val="18"/>
                <w:szCs w:val="18"/>
              </w:rPr>
              <w:t>Patient Active Transfusion Requirement</w:t>
            </w:r>
          </w:p>
        </w:tc>
        <w:tc>
          <w:tcPr>
            <w:tcW w:w="1469" w:type="dxa"/>
            <w:tcBorders>
              <w:left w:val="single" w:sz="4" w:space="0" w:color="000000"/>
              <w:bottom w:val="single" w:sz="4" w:space="0" w:color="000000"/>
              <w:right w:val="single" w:sz="4" w:space="0" w:color="000000"/>
            </w:tcBorders>
            <w:shd w:val="pct25" w:color="auto" w:fill="auto"/>
            <w:vAlign w:val="bottom"/>
            <w:hideMark/>
          </w:tcPr>
          <w:p w14:paraId="4BC62E2B" w14:textId="77777777" w:rsidR="009125FD" w:rsidRPr="005C5D59" w:rsidRDefault="009125FD" w:rsidP="009125FD">
            <w:pPr>
              <w:rPr>
                <w:rFonts w:ascii="Arial" w:hAnsi="Arial" w:cs="Arial"/>
                <w:b/>
                <w:color w:val="000000"/>
                <w:sz w:val="18"/>
                <w:szCs w:val="18"/>
                <w:highlight w:val="yellow"/>
              </w:rPr>
            </w:pPr>
            <w:r w:rsidRPr="005C5D59">
              <w:rPr>
                <w:rFonts w:ascii="Arial" w:hAnsi="Arial" w:cs="Arial"/>
                <w:b/>
                <w:sz w:val="18"/>
                <w:szCs w:val="18"/>
              </w:rPr>
              <w:t>Ordered Component Class*</w:t>
            </w:r>
          </w:p>
        </w:tc>
        <w:tc>
          <w:tcPr>
            <w:tcW w:w="1260" w:type="dxa"/>
            <w:tcBorders>
              <w:top w:val="single" w:sz="4" w:space="0" w:color="000000"/>
              <w:left w:val="single" w:sz="4" w:space="0" w:color="000000"/>
              <w:bottom w:val="single" w:sz="4" w:space="0" w:color="000000"/>
              <w:right w:val="single" w:sz="4" w:space="0" w:color="000000"/>
            </w:tcBorders>
            <w:shd w:val="pct25" w:color="auto" w:fill="auto"/>
            <w:vAlign w:val="center"/>
          </w:tcPr>
          <w:p w14:paraId="0CE60908" w14:textId="77777777" w:rsidR="009125FD" w:rsidRPr="005C5D59" w:rsidRDefault="009125FD" w:rsidP="009125FD">
            <w:pPr>
              <w:jc w:val="center"/>
              <w:rPr>
                <w:rFonts w:ascii="Arial" w:hAnsi="Arial" w:cs="Arial"/>
                <w:b/>
                <w:sz w:val="18"/>
                <w:szCs w:val="18"/>
              </w:rPr>
            </w:pPr>
            <w:r w:rsidRPr="005C5D59">
              <w:rPr>
                <w:rFonts w:ascii="Arial" w:hAnsi="Arial" w:cs="Arial"/>
                <w:b/>
                <w:sz w:val="18"/>
                <w:szCs w:val="18"/>
              </w:rPr>
              <w:t>Selected</w:t>
            </w:r>
            <w:r>
              <w:rPr>
                <w:rFonts w:ascii="Arial" w:hAnsi="Arial" w:cs="Arial"/>
                <w:b/>
                <w:sz w:val="18"/>
                <w:szCs w:val="18"/>
              </w:rPr>
              <w:t xml:space="preserve"> Platelet U</w:t>
            </w:r>
            <w:r w:rsidRPr="005C5D59">
              <w:rPr>
                <w:rFonts w:ascii="Arial" w:hAnsi="Arial" w:cs="Arial"/>
                <w:b/>
                <w:sz w:val="18"/>
                <w:szCs w:val="18"/>
              </w:rPr>
              <w:t>nit is</w:t>
            </w:r>
          </w:p>
        </w:tc>
        <w:tc>
          <w:tcPr>
            <w:tcW w:w="162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6FF53079" w14:textId="77777777" w:rsidR="009125FD" w:rsidRPr="005C5D59" w:rsidRDefault="009125FD" w:rsidP="009125FD">
            <w:pPr>
              <w:rPr>
                <w:rFonts w:ascii="Arial" w:hAnsi="Arial" w:cs="Arial"/>
                <w:b/>
                <w:sz w:val="18"/>
                <w:szCs w:val="18"/>
              </w:rPr>
            </w:pPr>
            <w:r w:rsidRPr="005C5D59">
              <w:rPr>
                <w:rFonts w:ascii="Arial" w:hAnsi="Arial" w:cs="Arial"/>
                <w:b/>
                <w:sz w:val="18"/>
                <w:szCs w:val="18"/>
              </w:rPr>
              <w:t>Selected User Role</w:t>
            </w:r>
          </w:p>
        </w:tc>
        <w:tc>
          <w:tcPr>
            <w:tcW w:w="405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2C51977B" w14:textId="77777777" w:rsidR="009125FD" w:rsidRPr="005C5D59" w:rsidRDefault="009125FD" w:rsidP="009125FD">
            <w:pPr>
              <w:rPr>
                <w:rFonts w:ascii="Arial" w:hAnsi="Arial" w:cs="Arial"/>
                <w:b/>
                <w:sz w:val="18"/>
                <w:szCs w:val="18"/>
              </w:rPr>
            </w:pPr>
            <w:r w:rsidRPr="005C5D59">
              <w:rPr>
                <w:rFonts w:ascii="Arial" w:hAnsi="Arial" w:cs="Arial"/>
                <w:b/>
                <w:sz w:val="18"/>
                <w:szCs w:val="18"/>
              </w:rPr>
              <w:t>Expected System Response</w:t>
            </w:r>
          </w:p>
        </w:tc>
      </w:tr>
      <w:tr w:rsidR="009125FD" w:rsidRPr="005C5D59" w14:paraId="15BE479F" w14:textId="77777777" w:rsidTr="009125FD">
        <w:trPr>
          <w:cantSplit/>
          <w:trHeight w:val="284"/>
        </w:trPr>
        <w:tc>
          <w:tcPr>
            <w:tcW w:w="1843" w:type="dxa"/>
            <w:vMerge w:val="restart"/>
            <w:tcBorders>
              <w:top w:val="single" w:sz="4" w:space="0" w:color="000000"/>
              <w:left w:val="single" w:sz="4" w:space="0" w:color="000000"/>
              <w:right w:val="single" w:sz="4" w:space="0" w:color="000000"/>
            </w:tcBorders>
            <w:vAlign w:val="center"/>
            <w:hideMark/>
          </w:tcPr>
          <w:p w14:paraId="49ECB20B" w14:textId="77777777" w:rsidR="009125FD" w:rsidRPr="00D93607" w:rsidRDefault="009125FD" w:rsidP="009125FD">
            <w:pPr>
              <w:jc w:val="center"/>
              <w:rPr>
                <w:rFonts w:ascii="Arial" w:hAnsi="Arial" w:cs="Arial"/>
                <w:b/>
                <w:sz w:val="28"/>
                <w:szCs w:val="28"/>
              </w:rPr>
            </w:pPr>
            <w:r w:rsidRPr="00D93607">
              <w:rPr>
                <w:rFonts w:ascii="Arial" w:hAnsi="Arial" w:cs="Arial"/>
                <w:b/>
                <w:sz w:val="28"/>
                <w:szCs w:val="28"/>
              </w:rPr>
              <w:t>Washed PLT products</w:t>
            </w:r>
          </w:p>
        </w:tc>
        <w:tc>
          <w:tcPr>
            <w:tcW w:w="1469" w:type="dxa"/>
            <w:tcBorders>
              <w:top w:val="single" w:sz="4" w:space="0" w:color="000000"/>
              <w:left w:val="single" w:sz="4" w:space="0" w:color="000000"/>
              <w:right w:val="single" w:sz="4" w:space="0" w:color="000000"/>
            </w:tcBorders>
            <w:shd w:val="pct10" w:color="auto" w:fill="auto"/>
            <w:vAlign w:val="center"/>
            <w:hideMark/>
          </w:tcPr>
          <w:p w14:paraId="18773095" w14:textId="77777777" w:rsidR="009125FD" w:rsidRPr="005C5D59" w:rsidRDefault="009125FD" w:rsidP="009125FD">
            <w:pPr>
              <w:jc w:val="center"/>
              <w:rPr>
                <w:rFonts w:ascii="Arial" w:hAnsi="Arial" w:cs="Arial"/>
                <w:sz w:val="18"/>
                <w:szCs w:val="18"/>
              </w:rPr>
            </w:pPr>
            <w:r>
              <w:rPr>
                <w:rFonts w:ascii="Arial" w:hAnsi="Arial" w:cs="Arial"/>
                <w:sz w:val="18"/>
                <w:szCs w:val="18"/>
              </w:rPr>
              <w:t>PLATELETS</w:t>
            </w:r>
          </w:p>
        </w:tc>
        <w:tc>
          <w:tcPr>
            <w:tcW w:w="1260" w:type="dxa"/>
            <w:tcBorders>
              <w:top w:val="single" w:sz="4" w:space="0" w:color="000000"/>
              <w:left w:val="single" w:sz="4" w:space="0" w:color="000000"/>
              <w:right w:val="single" w:sz="4" w:space="0" w:color="000000"/>
            </w:tcBorders>
            <w:shd w:val="pct10" w:color="auto" w:fill="auto"/>
            <w:vAlign w:val="center"/>
            <w:hideMark/>
          </w:tcPr>
          <w:p w14:paraId="2F8F7CC7" w14:textId="77777777" w:rsidR="009125FD" w:rsidRPr="008E2609" w:rsidRDefault="009125FD" w:rsidP="009125FD">
            <w:pPr>
              <w:jc w:val="center"/>
              <w:rPr>
                <w:rFonts w:ascii="Arial" w:hAnsi="Arial" w:cs="Arial"/>
                <w:sz w:val="18"/>
                <w:szCs w:val="18"/>
              </w:rPr>
            </w:pPr>
            <w:r w:rsidRPr="008E2609">
              <w:rPr>
                <w:rFonts w:ascii="Arial" w:hAnsi="Arial" w:cs="Arial"/>
                <w:sz w:val="18"/>
                <w:szCs w:val="18"/>
              </w:rPr>
              <w:t>Washed</w:t>
            </w:r>
          </w:p>
        </w:tc>
        <w:tc>
          <w:tcPr>
            <w:tcW w:w="1620" w:type="dxa"/>
            <w:tcBorders>
              <w:top w:val="single" w:sz="4" w:space="0" w:color="000000"/>
              <w:left w:val="single" w:sz="4" w:space="0" w:color="000000"/>
              <w:right w:val="single" w:sz="4" w:space="0" w:color="000000"/>
            </w:tcBorders>
            <w:shd w:val="pct10" w:color="auto" w:fill="auto"/>
            <w:vAlign w:val="center"/>
            <w:hideMark/>
          </w:tcPr>
          <w:p w14:paraId="2EB29E0F" w14:textId="77777777" w:rsidR="009125FD" w:rsidRPr="008E2609" w:rsidRDefault="009125FD" w:rsidP="009125FD">
            <w:pPr>
              <w:jc w:val="center"/>
              <w:rPr>
                <w:rFonts w:ascii="Arial" w:hAnsi="Arial" w:cs="Arial"/>
                <w:sz w:val="18"/>
                <w:szCs w:val="18"/>
              </w:rPr>
            </w:pPr>
            <w:r w:rsidRPr="008E2609">
              <w:rPr>
                <w:rFonts w:ascii="Arial" w:hAnsi="Arial" w:cs="Arial"/>
                <w:sz w:val="18"/>
                <w:szCs w:val="18"/>
              </w:rPr>
              <w:t>ALL VBECS Users</w:t>
            </w:r>
          </w:p>
        </w:tc>
        <w:tc>
          <w:tcPr>
            <w:tcW w:w="4050" w:type="dxa"/>
            <w:tcBorders>
              <w:top w:val="single" w:sz="4" w:space="0" w:color="000000"/>
              <w:left w:val="single" w:sz="4" w:space="0" w:color="000000"/>
              <w:right w:val="single" w:sz="4" w:space="0" w:color="000000"/>
            </w:tcBorders>
            <w:shd w:val="pct10" w:color="auto" w:fill="auto"/>
            <w:vAlign w:val="center"/>
          </w:tcPr>
          <w:p w14:paraId="15666F08" w14:textId="77777777" w:rsidR="009125FD" w:rsidRPr="005C5D59" w:rsidRDefault="009125FD" w:rsidP="009125FD">
            <w:pPr>
              <w:jc w:val="center"/>
              <w:rPr>
                <w:rFonts w:ascii="Arial" w:hAnsi="Arial" w:cs="Arial"/>
                <w:sz w:val="18"/>
                <w:szCs w:val="18"/>
              </w:rPr>
            </w:pPr>
            <w:r w:rsidRPr="005C5D59">
              <w:rPr>
                <w:rFonts w:ascii="Arial" w:hAnsi="Arial" w:cs="Arial"/>
                <w:sz w:val="18"/>
                <w:szCs w:val="18"/>
              </w:rPr>
              <w:t>No warning message will display.</w:t>
            </w:r>
          </w:p>
        </w:tc>
      </w:tr>
      <w:tr w:rsidR="009125FD" w:rsidRPr="005C5D59" w14:paraId="3EB6D1BE" w14:textId="77777777" w:rsidTr="009125FD">
        <w:trPr>
          <w:cantSplit/>
          <w:trHeight w:val="432"/>
        </w:trPr>
        <w:tc>
          <w:tcPr>
            <w:tcW w:w="1843" w:type="dxa"/>
            <w:vMerge/>
            <w:tcBorders>
              <w:left w:val="single" w:sz="4" w:space="0" w:color="000000"/>
              <w:right w:val="single" w:sz="4" w:space="0" w:color="000000"/>
            </w:tcBorders>
            <w:vAlign w:val="bottom"/>
          </w:tcPr>
          <w:p w14:paraId="3FCE5DB4" w14:textId="77777777" w:rsidR="009125FD" w:rsidRPr="005C5D59" w:rsidRDefault="009125FD" w:rsidP="009125FD">
            <w:pPr>
              <w:rPr>
                <w:rFonts w:ascii="Arial" w:hAnsi="Arial" w:cs="Arial"/>
                <w:b/>
                <w:sz w:val="18"/>
                <w:szCs w:val="18"/>
              </w:rPr>
            </w:pPr>
          </w:p>
        </w:tc>
        <w:tc>
          <w:tcPr>
            <w:tcW w:w="1469" w:type="dxa"/>
            <w:tcBorders>
              <w:top w:val="single" w:sz="4" w:space="0" w:color="000000"/>
              <w:left w:val="single" w:sz="4" w:space="0" w:color="000000"/>
              <w:bottom w:val="single" w:sz="4" w:space="0" w:color="000000"/>
              <w:right w:val="single" w:sz="4" w:space="0" w:color="000000"/>
            </w:tcBorders>
            <w:vAlign w:val="center"/>
          </w:tcPr>
          <w:p w14:paraId="6AED8C0B" w14:textId="77777777" w:rsidR="009125FD" w:rsidRPr="005C5D59" w:rsidRDefault="009125FD" w:rsidP="009125FD">
            <w:pPr>
              <w:jc w:val="center"/>
              <w:rPr>
                <w:rFonts w:ascii="Arial" w:hAnsi="Arial" w:cs="Arial"/>
                <w:sz w:val="18"/>
                <w:szCs w:val="18"/>
              </w:rPr>
            </w:pPr>
            <w:r w:rsidRPr="005C5D59">
              <w:rPr>
                <w:rFonts w:ascii="Arial" w:hAnsi="Arial" w:cs="Arial"/>
                <w:sz w:val="18"/>
                <w:szCs w:val="18"/>
              </w:rPr>
              <w:t>PLATELETS</w:t>
            </w:r>
          </w:p>
        </w:tc>
        <w:tc>
          <w:tcPr>
            <w:tcW w:w="1260" w:type="dxa"/>
            <w:tcBorders>
              <w:top w:val="single" w:sz="4" w:space="0" w:color="000000"/>
              <w:left w:val="single" w:sz="4" w:space="0" w:color="000000"/>
              <w:right w:val="single" w:sz="4" w:space="0" w:color="000000"/>
            </w:tcBorders>
            <w:vAlign w:val="center"/>
          </w:tcPr>
          <w:p w14:paraId="3622710A" w14:textId="77777777" w:rsidR="009125FD" w:rsidRPr="00825E94" w:rsidRDefault="009125FD" w:rsidP="009125FD">
            <w:pPr>
              <w:jc w:val="center"/>
              <w:rPr>
                <w:rFonts w:ascii="Arial" w:hAnsi="Arial" w:cs="Arial"/>
                <w:b/>
                <w:color w:val="FF0000"/>
                <w:sz w:val="18"/>
                <w:szCs w:val="18"/>
              </w:rPr>
            </w:pPr>
            <w:r w:rsidRPr="00825E94">
              <w:rPr>
                <w:rFonts w:ascii="Arial" w:hAnsi="Arial" w:cs="Arial"/>
                <w:b/>
                <w:color w:val="FF0000"/>
                <w:sz w:val="18"/>
                <w:szCs w:val="18"/>
              </w:rPr>
              <w:t>Not Washed</w:t>
            </w:r>
          </w:p>
        </w:tc>
        <w:tc>
          <w:tcPr>
            <w:tcW w:w="1620" w:type="dxa"/>
            <w:tcBorders>
              <w:top w:val="single" w:sz="4" w:space="0" w:color="000000"/>
              <w:left w:val="single" w:sz="4" w:space="0" w:color="000000"/>
              <w:right w:val="single" w:sz="4" w:space="0" w:color="000000"/>
            </w:tcBorders>
            <w:vAlign w:val="center"/>
          </w:tcPr>
          <w:p w14:paraId="62576DF7" w14:textId="77777777" w:rsidR="009125FD" w:rsidRPr="00FB56F0" w:rsidRDefault="009125FD" w:rsidP="009125FD">
            <w:pPr>
              <w:ind w:left="18"/>
              <w:rPr>
                <w:rFonts w:ascii="Arial" w:hAnsi="Arial" w:cs="Arial"/>
                <w:sz w:val="18"/>
                <w:szCs w:val="18"/>
              </w:rPr>
            </w:pPr>
            <w:r w:rsidRPr="00FB56F0">
              <w:rPr>
                <w:rFonts w:ascii="Arial" w:hAnsi="Arial" w:cs="Arial"/>
                <w:noProof/>
                <w:sz w:val="18"/>
                <w:szCs w:val="18"/>
              </w:rPr>
              <w:t>Technologist</w:t>
            </w:r>
          </w:p>
          <w:p w14:paraId="4F2274B2" w14:textId="77777777" w:rsidR="009125FD" w:rsidRPr="00836EE2" w:rsidRDefault="009125FD" w:rsidP="009125FD">
            <w:pPr>
              <w:ind w:left="18"/>
              <w:rPr>
                <w:rFonts w:ascii="Arial" w:hAnsi="Arial" w:cs="Arial"/>
                <w:sz w:val="18"/>
                <w:szCs w:val="18"/>
              </w:rPr>
            </w:pPr>
          </w:p>
          <w:p w14:paraId="77E3B3F1" w14:textId="77777777" w:rsidR="009125FD" w:rsidRPr="00FB56F0" w:rsidRDefault="009125FD" w:rsidP="009125FD">
            <w:pPr>
              <w:ind w:left="18"/>
              <w:rPr>
                <w:rFonts w:ascii="Arial" w:hAnsi="Arial" w:cs="Arial"/>
                <w:noProof/>
                <w:sz w:val="18"/>
                <w:szCs w:val="18"/>
              </w:rPr>
            </w:pPr>
            <w:r w:rsidRPr="00FB56F0">
              <w:rPr>
                <w:rFonts w:ascii="Arial" w:hAnsi="Arial" w:cs="Arial"/>
                <w:noProof/>
                <w:sz w:val="18"/>
                <w:szCs w:val="18"/>
              </w:rPr>
              <w:t>Enhanced Technologist</w:t>
            </w:r>
          </w:p>
        </w:tc>
        <w:tc>
          <w:tcPr>
            <w:tcW w:w="4050" w:type="dxa"/>
            <w:tcBorders>
              <w:top w:val="single" w:sz="4" w:space="0" w:color="000000"/>
              <w:left w:val="single" w:sz="4" w:space="0" w:color="000000"/>
              <w:right w:val="single" w:sz="4" w:space="0" w:color="000000"/>
            </w:tcBorders>
            <w:vAlign w:val="bottom"/>
          </w:tcPr>
          <w:p w14:paraId="757B183D" w14:textId="77777777" w:rsidR="009125FD" w:rsidRDefault="009125FD" w:rsidP="009125FD">
            <w:pPr>
              <w:rPr>
                <w:rFonts w:ascii="Arial" w:hAnsi="Arial" w:cs="Arial"/>
                <w:sz w:val="18"/>
                <w:szCs w:val="18"/>
              </w:rPr>
            </w:pPr>
            <w:r w:rsidRPr="005C5D59">
              <w:rPr>
                <w:rFonts w:ascii="Arial" w:hAnsi="Arial" w:cs="Arial"/>
                <w:sz w:val="18"/>
                <w:szCs w:val="18"/>
              </w:rPr>
              <w:t xml:space="preserve">The system displays the warning message: </w:t>
            </w:r>
            <w:r w:rsidRPr="00836EE2">
              <w:rPr>
                <w:rFonts w:ascii="Arial" w:hAnsi="Arial" w:cs="Arial"/>
                <w:i/>
                <w:sz w:val="18"/>
                <w:szCs w:val="18"/>
              </w:rPr>
              <w:t>Patient’s Transfusion Requirement is not satisfied.</w:t>
            </w:r>
            <w:r w:rsidRPr="005C5D59">
              <w:rPr>
                <w:rFonts w:ascii="Arial" w:hAnsi="Arial" w:cs="Arial"/>
                <w:sz w:val="18"/>
                <w:szCs w:val="18"/>
              </w:rPr>
              <w:t xml:space="preserve"> </w:t>
            </w:r>
            <w:r w:rsidRPr="007F3B3C">
              <w:rPr>
                <w:rFonts w:ascii="Arial" w:hAnsi="Arial" w:cs="Arial"/>
                <w:i/>
                <w:sz w:val="18"/>
                <w:szCs w:val="18"/>
              </w:rPr>
              <w:t>You do not have the proper security to issue this unit. Further processing is needed and must be documented in VBECS.</w:t>
            </w:r>
            <w:r w:rsidRPr="005C5D59">
              <w:rPr>
                <w:rFonts w:ascii="Arial" w:hAnsi="Arial" w:cs="Arial"/>
                <w:sz w:val="18"/>
                <w:szCs w:val="18"/>
              </w:rPr>
              <w:t xml:space="preserve"> </w:t>
            </w:r>
          </w:p>
          <w:p w14:paraId="0E5DC763" w14:textId="77777777" w:rsidR="009125FD" w:rsidRPr="005C5D59" w:rsidRDefault="009125FD" w:rsidP="009125FD">
            <w:pPr>
              <w:rPr>
                <w:rFonts w:ascii="Arial" w:hAnsi="Arial" w:cs="Arial"/>
                <w:sz w:val="18"/>
                <w:szCs w:val="18"/>
              </w:rPr>
            </w:pPr>
            <w:r>
              <w:rPr>
                <w:rFonts w:ascii="Arial" w:hAnsi="Arial" w:cs="Arial"/>
                <w:sz w:val="18"/>
                <w:szCs w:val="18"/>
              </w:rPr>
              <w:t>The tech may not issue this unit in the computer.</w:t>
            </w:r>
          </w:p>
        </w:tc>
      </w:tr>
      <w:tr w:rsidR="009125FD" w:rsidRPr="005C5D59" w14:paraId="46F89C75" w14:textId="77777777" w:rsidTr="009125FD">
        <w:trPr>
          <w:cantSplit/>
          <w:trHeight w:val="432"/>
        </w:trPr>
        <w:tc>
          <w:tcPr>
            <w:tcW w:w="1843" w:type="dxa"/>
            <w:vMerge/>
            <w:tcBorders>
              <w:left w:val="single" w:sz="4" w:space="0" w:color="000000"/>
              <w:right w:val="single" w:sz="4" w:space="0" w:color="000000"/>
            </w:tcBorders>
            <w:vAlign w:val="bottom"/>
          </w:tcPr>
          <w:p w14:paraId="06994962" w14:textId="77777777" w:rsidR="009125FD" w:rsidRPr="005C5D59" w:rsidRDefault="009125FD" w:rsidP="009125FD">
            <w:pPr>
              <w:rPr>
                <w:rFonts w:ascii="Arial" w:hAnsi="Arial" w:cs="Arial"/>
                <w:b/>
                <w:sz w:val="18"/>
                <w:szCs w:val="18"/>
              </w:rPr>
            </w:pPr>
          </w:p>
        </w:tc>
        <w:tc>
          <w:tcPr>
            <w:tcW w:w="1469" w:type="dxa"/>
            <w:tcBorders>
              <w:top w:val="single" w:sz="4" w:space="0" w:color="000000"/>
              <w:left w:val="single" w:sz="4" w:space="0" w:color="000000"/>
              <w:bottom w:val="single" w:sz="4" w:space="0" w:color="000000"/>
              <w:right w:val="single" w:sz="4" w:space="0" w:color="000000"/>
            </w:tcBorders>
            <w:vAlign w:val="center"/>
          </w:tcPr>
          <w:p w14:paraId="41A0E288" w14:textId="77777777" w:rsidR="009125FD" w:rsidRPr="005C5D59" w:rsidRDefault="009125FD" w:rsidP="009125FD">
            <w:pPr>
              <w:jc w:val="center"/>
              <w:rPr>
                <w:rFonts w:ascii="Arial" w:hAnsi="Arial" w:cs="Arial"/>
                <w:sz w:val="18"/>
                <w:szCs w:val="18"/>
              </w:rPr>
            </w:pPr>
            <w:r w:rsidRPr="005C5D59">
              <w:rPr>
                <w:rFonts w:ascii="Arial" w:hAnsi="Arial" w:cs="Arial"/>
                <w:sz w:val="18"/>
                <w:szCs w:val="18"/>
              </w:rPr>
              <w:t>PLATELETS</w:t>
            </w:r>
          </w:p>
        </w:tc>
        <w:tc>
          <w:tcPr>
            <w:tcW w:w="1260" w:type="dxa"/>
            <w:tcBorders>
              <w:top w:val="single" w:sz="4" w:space="0" w:color="000000"/>
              <w:left w:val="single" w:sz="4" w:space="0" w:color="000000"/>
              <w:right w:val="single" w:sz="4" w:space="0" w:color="000000"/>
            </w:tcBorders>
            <w:vAlign w:val="center"/>
          </w:tcPr>
          <w:p w14:paraId="541F6282" w14:textId="77777777" w:rsidR="009125FD" w:rsidRPr="00825E94" w:rsidRDefault="009125FD" w:rsidP="009125FD">
            <w:pPr>
              <w:jc w:val="center"/>
              <w:rPr>
                <w:rFonts w:ascii="Arial" w:hAnsi="Arial" w:cs="Arial"/>
                <w:b/>
                <w:color w:val="FF0000"/>
                <w:sz w:val="18"/>
                <w:szCs w:val="18"/>
              </w:rPr>
            </w:pPr>
            <w:r w:rsidRPr="00825E94">
              <w:rPr>
                <w:rFonts w:ascii="Arial" w:hAnsi="Arial" w:cs="Arial"/>
                <w:b/>
                <w:color w:val="FF0000"/>
                <w:sz w:val="18"/>
                <w:szCs w:val="18"/>
              </w:rPr>
              <w:t>Not Washed</w:t>
            </w:r>
          </w:p>
        </w:tc>
        <w:tc>
          <w:tcPr>
            <w:tcW w:w="1620" w:type="dxa"/>
            <w:tcBorders>
              <w:top w:val="single" w:sz="4" w:space="0" w:color="000000"/>
              <w:left w:val="single" w:sz="4" w:space="0" w:color="000000"/>
              <w:right w:val="single" w:sz="4" w:space="0" w:color="000000"/>
            </w:tcBorders>
            <w:vAlign w:val="center"/>
          </w:tcPr>
          <w:p w14:paraId="5312ECAB" w14:textId="77777777" w:rsidR="009125FD" w:rsidRPr="00FB56F0" w:rsidRDefault="009125FD" w:rsidP="009125FD">
            <w:pPr>
              <w:spacing w:before="120"/>
              <w:ind w:left="18"/>
              <w:rPr>
                <w:rFonts w:ascii="Arial" w:hAnsi="Arial" w:cs="Arial"/>
                <w:sz w:val="18"/>
                <w:szCs w:val="18"/>
              </w:rPr>
            </w:pPr>
            <w:r w:rsidRPr="00FB56F0">
              <w:rPr>
                <w:rFonts w:ascii="Arial" w:hAnsi="Arial" w:cs="Arial"/>
                <w:sz w:val="18"/>
                <w:szCs w:val="18"/>
              </w:rPr>
              <w:t>Lead Technologist</w:t>
            </w:r>
          </w:p>
          <w:p w14:paraId="180E34FD" w14:textId="77777777" w:rsidR="009125FD" w:rsidRPr="00FB56F0" w:rsidRDefault="009125FD" w:rsidP="009125FD">
            <w:pPr>
              <w:spacing w:before="120"/>
              <w:ind w:left="18"/>
              <w:rPr>
                <w:rFonts w:ascii="Arial" w:hAnsi="Arial" w:cs="Arial"/>
                <w:sz w:val="18"/>
                <w:szCs w:val="18"/>
              </w:rPr>
            </w:pPr>
            <w:r w:rsidRPr="00FB56F0">
              <w:rPr>
                <w:rFonts w:ascii="Arial" w:hAnsi="Arial" w:cs="Arial"/>
                <w:sz w:val="18"/>
                <w:szCs w:val="18"/>
              </w:rPr>
              <w:t>Traditional Supervisor</w:t>
            </w:r>
          </w:p>
          <w:p w14:paraId="741391B8" w14:textId="77777777" w:rsidR="009125FD" w:rsidRPr="00FB56F0" w:rsidRDefault="009125FD" w:rsidP="009125FD">
            <w:pPr>
              <w:spacing w:before="120"/>
              <w:ind w:left="18"/>
              <w:rPr>
                <w:rFonts w:ascii="Arial" w:hAnsi="Arial" w:cs="Arial"/>
                <w:sz w:val="18"/>
                <w:szCs w:val="18"/>
              </w:rPr>
            </w:pPr>
            <w:r w:rsidRPr="00FB56F0">
              <w:rPr>
                <w:rFonts w:ascii="Arial" w:hAnsi="Arial" w:cs="Arial"/>
                <w:sz w:val="18"/>
                <w:szCs w:val="18"/>
              </w:rPr>
              <w:t>Enhanced Supervisor</w:t>
            </w:r>
          </w:p>
          <w:p w14:paraId="2DCA2872" w14:textId="77777777" w:rsidR="009125FD" w:rsidRPr="00FB56F0" w:rsidRDefault="009125FD" w:rsidP="009125FD">
            <w:pPr>
              <w:spacing w:before="120"/>
              <w:ind w:left="18"/>
              <w:rPr>
                <w:rFonts w:ascii="Arial" w:hAnsi="Arial" w:cs="Arial"/>
                <w:sz w:val="18"/>
                <w:szCs w:val="18"/>
              </w:rPr>
            </w:pPr>
            <w:r w:rsidRPr="00FB56F0">
              <w:rPr>
                <w:rFonts w:ascii="Arial" w:hAnsi="Arial" w:cs="Arial"/>
                <w:sz w:val="18"/>
                <w:szCs w:val="18"/>
              </w:rPr>
              <w:t>Administrator/Supervisor</w:t>
            </w:r>
          </w:p>
          <w:p w14:paraId="3F7E66C5" w14:textId="77777777" w:rsidR="009125FD" w:rsidRPr="008B278A" w:rsidRDefault="009125FD" w:rsidP="009125FD">
            <w:pPr>
              <w:ind w:left="18"/>
              <w:rPr>
                <w:rFonts w:ascii="Arial" w:hAnsi="Arial" w:cs="Arial"/>
                <w:sz w:val="18"/>
                <w:szCs w:val="18"/>
              </w:rPr>
            </w:pPr>
          </w:p>
        </w:tc>
        <w:tc>
          <w:tcPr>
            <w:tcW w:w="4050" w:type="dxa"/>
            <w:tcBorders>
              <w:top w:val="single" w:sz="4" w:space="0" w:color="000000"/>
              <w:left w:val="single" w:sz="4" w:space="0" w:color="000000"/>
              <w:right w:val="single" w:sz="4" w:space="0" w:color="000000"/>
            </w:tcBorders>
            <w:vAlign w:val="bottom"/>
          </w:tcPr>
          <w:p w14:paraId="6F3966BC" w14:textId="77777777" w:rsidR="009125FD" w:rsidRPr="005C5D59" w:rsidRDefault="009125FD" w:rsidP="009125FD">
            <w:pPr>
              <w:rPr>
                <w:rFonts w:ascii="Arial" w:hAnsi="Arial" w:cs="Arial"/>
                <w:sz w:val="18"/>
                <w:szCs w:val="18"/>
              </w:rPr>
            </w:pPr>
            <w:r w:rsidRPr="005C5D59">
              <w:rPr>
                <w:rFonts w:ascii="Arial" w:hAnsi="Arial" w:cs="Arial"/>
                <w:sz w:val="18"/>
                <w:szCs w:val="18"/>
              </w:rPr>
              <w:t xml:space="preserve">The system displays the warning message: </w:t>
            </w:r>
            <w:r w:rsidRPr="00836EE2">
              <w:rPr>
                <w:rFonts w:ascii="Arial" w:hAnsi="Arial" w:cs="Arial"/>
                <w:i/>
                <w:sz w:val="18"/>
                <w:szCs w:val="18"/>
              </w:rPr>
              <w:t xml:space="preserve">Patient’s </w:t>
            </w:r>
            <w:r>
              <w:rPr>
                <w:rFonts w:ascii="Arial" w:hAnsi="Arial" w:cs="Arial"/>
                <w:i/>
                <w:sz w:val="18"/>
                <w:szCs w:val="18"/>
              </w:rPr>
              <w:t>Washed PLT products</w:t>
            </w:r>
            <w:r w:rsidRPr="00836EE2">
              <w:rPr>
                <w:rFonts w:ascii="Arial" w:hAnsi="Arial" w:cs="Arial"/>
                <w:i/>
                <w:sz w:val="18"/>
                <w:szCs w:val="18"/>
              </w:rPr>
              <w:t xml:space="preserve"> Transfusion Requirement is not satisfied</w:t>
            </w:r>
            <w:r w:rsidRPr="005C5D59">
              <w:rPr>
                <w:rFonts w:ascii="Arial" w:hAnsi="Arial" w:cs="Arial"/>
                <w:sz w:val="18"/>
                <w:szCs w:val="18"/>
              </w:rPr>
              <w:t xml:space="preserve"> and prompts the user whether to proceed. </w:t>
            </w:r>
          </w:p>
          <w:p w14:paraId="08272BF8" w14:textId="77777777" w:rsidR="009125FD" w:rsidRPr="005C5D59" w:rsidRDefault="009125FD" w:rsidP="009125FD">
            <w:pPr>
              <w:rPr>
                <w:rFonts w:ascii="Arial" w:hAnsi="Arial" w:cs="Arial"/>
                <w:sz w:val="18"/>
                <w:szCs w:val="18"/>
              </w:rPr>
            </w:pPr>
            <w:r w:rsidRPr="005C5D59">
              <w:rPr>
                <w:rFonts w:ascii="Arial" w:hAnsi="Arial" w:cs="Arial"/>
                <w:sz w:val="18"/>
                <w:szCs w:val="18"/>
              </w:rPr>
              <w:t>If the user responds “No”</w:t>
            </w:r>
            <w:r>
              <w:rPr>
                <w:rFonts w:ascii="Arial" w:hAnsi="Arial" w:cs="Arial"/>
                <w:sz w:val="18"/>
                <w:szCs w:val="18"/>
              </w:rPr>
              <w:t>,</w:t>
            </w:r>
            <w:r w:rsidRPr="005C5D59">
              <w:rPr>
                <w:rFonts w:ascii="Arial" w:hAnsi="Arial" w:cs="Arial"/>
                <w:sz w:val="18"/>
                <w:szCs w:val="18"/>
              </w:rPr>
              <w:t xml:space="preserve"> the system wi</w:t>
            </w:r>
            <w:r>
              <w:rPr>
                <w:rFonts w:ascii="Arial" w:hAnsi="Arial" w:cs="Arial"/>
                <w:sz w:val="18"/>
                <w:szCs w:val="18"/>
              </w:rPr>
              <w:t>ll clear the selected unit.</w:t>
            </w:r>
          </w:p>
          <w:p w14:paraId="61CE6B56" w14:textId="613D96F1" w:rsidR="009125FD" w:rsidRPr="005C5D59" w:rsidRDefault="009125FD" w:rsidP="009125FD">
            <w:pPr>
              <w:rPr>
                <w:rFonts w:ascii="Arial" w:hAnsi="Arial" w:cs="Arial"/>
                <w:sz w:val="18"/>
                <w:szCs w:val="18"/>
              </w:rPr>
            </w:pPr>
            <w:r w:rsidRPr="005C5D59">
              <w:rPr>
                <w:rFonts w:ascii="Arial" w:hAnsi="Arial" w:cs="Arial"/>
                <w:sz w:val="18"/>
                <w:szCs w:val="18"/>
              </w:rPr>
              <w:t>If the user responds “Yes”</w:t>
            </w:r>
            <w:r>
              <w:rPr>
                <w:rFonts w:ascii="Arial" w:hAnsi="Arial" w:cs="Arial"/>
                <w:sz w:val="18"/>
                <w:szCs w:val="18"/>
              </w:rPr>
              <w:t>,</w:t>
            </w:r>
            <w:r w:rsidRPr="005C5D59">
              <w:rPr>
                <w:rFonts w:ascii="Arial" w:hAnsi="Arial" w:cs="Arial"/>
                <w:sz w:val="18"/>
                <w:szCs w:val="18"/>
              </w:rPr>
              <w:t xml:space="preserve"> the system will require a comment (free text or canned, “unit issue” context) and capture the transacti</w:t>
            </w:r>
            <w:r>
              <w:rPr>
                <w:rFonts w:ascii="Arial" w:hAnsi="Arial" w:cs="Arial"/>
                <w:sz w:val="18"/>
                <w:szCs w:val="18"/>
              </w:rPr>
              <w:t>on details for inclusion in an Exception R</w:t>
            </w:r>
            <w:r w:rsidRPr="005C5D59">
              <w:rPr>
                <w:rFonts w:ascii="Arial" w:hAnsi="Arial" w:cs="Arial"/>
                <w:sz w:val="18"/>
                <w:szCs w:val="18"/>
              </w:rPr>
              <w:t>eport</w:t>
            </w:r>
            <w:r>
              <w:rPr>
                <w:rFonts w:ascii="Arial" w:hAnsi="Arial" w:cs="Arial"/>
                <w:sz w:val="18"/>
                <w:szCs w:val="18"/>
              </w:rPr>
              <w:t xml:space="preserve"> entry</w:t>
            </w:r>
            <w:r w:rsidRPr="005C5D59">
              <w:rPr>
                <w:rFonts w:ascii="Arial" w:hAnsi="Arial" w:cs="Arial"/>
                <w:sz w:val="18"/>
                <w:szCs w:val="18"/>
              </w:rPr>
              <w:t xml:space="preserve">: </w:t>
            </w:r>
            <w:r w:rsidRPr="005C5D59">
              <w:rPr>
                <w:rFonts w:ascii="Arial" w:hAnsi="Arial" w:cs="Arial"/>
                <w:i/>
                <w:sz w:val="18"/>
                <w:szCs w:val="18"/>
              </w:rPr>
              <w:t xml:space="preserve">Unit issued with unsatisfied Transfusion </w:t>
            </w:r>
            <w:r w:rsidR="00AE3B37" w:rsidRPr="005C5D59">
              <w:rPr>
                <w:rFonts w:ascii="Arial" w:hAnsi="Arial" w:cs="Arial"/>
                <w:i/>
                <w:sz w:val="18"/>
                <w:szCs w:val="18"/>
              </w:rPr>
              <w:t>Requirement</w:t>
            </w:r>
            <w:r w:rsidR="00AE3B37" w:rsidRPr="005C5D59">
              <w:rPr>
                <w:rFonts w:ascii="Arial" w:hAnsi="Arial" w:cs="Arial"/>
                <w:sz w:val="18"/>
                <w:szCs w:val="18"/>
              </w:rPr>
              <w:t>.</w:t>
            </w:r>
          </w:p>
        </w:tc>
      </w:tr>
    </w:tbl>
    <w:p w14:paraId="4A9702A7" w14:textId="77777777" w:rsidR="009125FD" w:rsidRDefault="009125FD" w:rsidP="009125FD"/>
    <w:p w14:paraId="1E4DABD1" w14:textId="301F8BBC" w:rsidR="00C15299" w:rsidRDefault="009125FD" w:rsidP="00C15299">
      <w:pPr>
        <w:pStyle w:val="Caption"/>
      </w:pPr>
      <w:r>
        <w:br w:type="page"/>
      </w:r>
      <w:bookmarkStart w:id="897" w:name="_Ref407610782"/>
      <w:bookmarkStart w:id="898" w:name="_Ref343502582"/>
      <w:r w:rsidR="00C15299">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7D1829">
        <w:rPr>
          <w:noProof/>
        </w:rPr>
        <w:t>142</w:t>
      </w:r>
      <w:r w:rsidR="004E20BD">
        <w:rPr>
          <w:noProof/>
        </w:rPr>
        <w:fldChar w:fldCharType="end"/>
      </w:r>
      <w:bookmarkEnd w:id="897"/>
      <w:r w:rsidR="00C15299">
        <w:t>: Sickle Cell Negative RBC Products and Select Blood Unit</w:t>
      </w:r>
      <w:bookmarkEnd w:id="898"/>
    </w:p>
    <w:tbl>
      <w:tblPr>
        <w:tblW w:w="10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2" w:type="dxa"/>
          <w:right w:w="72" w:type="dxa"/>
        </w:tblCellMar>
        <w:tblLook w:val="04A0" w:firstRow="1" w:lastRow="0" w:firstColumn="1" w:lastColumn="0" w:noHBand="0" w:noVBand="1"/>
      </w:tblPr>
      <w:tblGrid>
        <w:gridCol w:w="1843"/>
        <w:gridCol w:w="1469"/>
        <w:gridCol w:w="1260"/>
        <w:gridCol w:w="1620"/>
        <w:gridCol w:w="4050"/>
      </w:tblGrid>
      <w:tr w:rsidR="009125FD" w:rsidRPr="005C5D59" w14:paraId="3E5C63B0" w14:textId="77777777" w:rsidTr="009125FD">
        <w:trPr>
          <w:cantSplit/>
          <w:trHeight w:val="305"/>
          <w:tblHeader/>
        </w:trPr>
        <w:tc>
          <w:tcPr>
            <w:tcW w:w="10242" w:type="dxa"/>
            <w:gridSpan w:val="5"/>
            <w:tcBorders>
              <w:top w:val="single" w:sz="4" w:space="0" w:color="000000"/>
              <w:left w:val="single" w:sz="4" w:space="0" w:color="000000"/>
              <w:right w:val="single" w:sz="4" w:space="0" w:color="000000"/>
            </w:tcBorders>
            <w:shd w:val="pct25" w:color="auto" w:fill="auto"/>
            <w:vAlign w:val="bottom"/>
            <w:hideMark/>
          </w:tcPr>
          <w:p w14:paraId="24C54107" w14:textId="77777777" w:rsidR="009125FD" w:rsidRPr="005C5D59" w:rsidRDefault="009125FD" w:rsidP="009125FD">
            <w:pPr>
              <w:rPr>
                <w:rFonts w:ascii="Arial" w:hAnsi="Arial" w:cs="Arial"/>
                <w:b/>
                <w:sz w:val="18"/>
                <w:szCs w:val="18"/>
              </w:rPr>
            </w:pPr>
            <w:r w:rsidRPr="005C5D59">
              <w:rPr>
                <w:rFonts w:ascii="Arial" w:hAnsi="Arial" w:cs="Arial"/>
                <w:b/>
                <w:sz w:val="18"/>
                <w:szCs w:val="18"/>
              </w:rPr>
              <w:t xml:space="preserve">Select Unit: </w:t>
            </w:r>
            <w:r>
              <w:rPr>
                <w:rFonts w:ascii="Arial" w:hAnsi="Arial" w:cs="Arial"/>
                <w:b/>
                <w:sz w:val="18"/>
                <w:szCs w:val="18"/>
              </w:rPr>
              <w:t xml:space="preserve"> </w:t>
            </w:r>
            <w:r w:rsidRPr="00B62010">
              <w:rPr>
                <w:rFonts w:ascii="Arial" w:hAnsi="Arial" w:cs="Arial"/>
                <w:b/>
                <w:sz w:val="18"/>
                <w:szCs w:val="18"/>
              </w:rPr>
              <w:t>Sickle Cell Negative RBC products</w:t>
            </w:r>
          </w:p>
        </w:tc>
      </w:tr>
      <w:tr w:rsidR="009125FD" w:rsidRPr="005C5D59" w14:paraId="6ED49BE2" w14:textId="77777777" w:rsidTr="009125FD">
        <w:trPr>
          <w:cantSplit/>
          <w:trHeight w:val="432"/>
          <w:tblHeader/>
        </w:trPr>
        <w:tc>
          <w:tcPr>
            <w:tcW w:w="1843" w:type="dxa"/>
            <w:tcBorders>
              <w:left w:val="single" w:sz="4" w:space="0" w:color="000000"/>
              <w:bottom w:val="single" w:sz="4" w:space="0" w:color="000000"/>
              <w:right w:val="single" w:sz="4" w:space="0" w:color="000000"/>
            </w:tcBorders>
            <w:shd w:val="pct25" w:color="auto" w:fill="auto"/>
            <w:vAlign w:val="bottom"/>
            <w:hideMark/>
          </w:tcPr>
          <w:p w14:paraId="79692EFA" w14:textId="77777777" w:rsidR="009125FD" w:rsidRPr="005C5D59" w:rsidRDefault="009125FD" w:rsidP="009125FD">
            <w:pPr>
              <w:rPr>
                <w:rFonts w:ascii="Arial" w:hAnsi="Arial" w:cs="Arial"/>
                <w:b/>
                <w:sz w:val="18"/>
                <w:szCs w:val="18"/>
              </w:rPr>
            </w:pPr>
            <w:r w:rsidRPr="005C5D59">
              <w:rPr>
                <w:rFonts w:ascii="Arial" w:hAnsi="Arial" w:cs="Arial"/>
                <w:b/>
                <w:sz w:val="18"/>
                <w:szCs w:val="18"/>
              </w:rPr>
              <w:t>Patient Active Transfusion Requirement</w:t>
            </w:r>
          </w:p>
        </w:tc>
        <w:tc>
          <w:tcPr>
            <w:tcW w:w="1469" w:type="dxa"/>
            <w:tcBorders>
              <w:left w:val="single" w:sz="4" w:space="0" w:color="000000"/>
              <w:bottom w:val="single" w:sz="4" w:space="0" w:color="000000"/>
              <w:right w:val="single" w:sz="4" w:space="0" w:color="000000"/>
            </w:tcBorders>
            <w:shd w:val="pct25" w:color="auto" w:fill="auto"/>
            <w:vAlign w:val="bottom"/>
            <w:hideMark/>
          </w:tcPr>
          <w:p w14:paraId="533C1711" w14:textId="77777777" w:rsidR="009125FD" w:rsidRPr="005C5D59" w:rsidRDefault="009125FD" w:rsidP="009125FD">
            <w:pPr>
              <w:rPr>
                <w:rFonts w:ascii="Arial" w:hAnsi="Arial" w:cs="Arial"/>
                <w:b/>
                <w:color w:val="000000"/>
                <w:sz w:val="18"/>
                <w:szCs w:val="18"/>
                <w:highlight w:val="yellow"/>
              </w:rPr>
            </w:pPr>
            <w:r w:rsidRPr="005C5D59">
              <w:rPr>
                <w:rFonts w:ascii="Arial" w:hAnsi="Arial" w:cs="Arial"/>
                <w:b/>
                <w:sz w:val="18"/>
                <w:szCs w:val="18"/>
              </w:rPr>
              <w:t>Ordered Component Class*</w:t>
            </w:r>
          </w:p>
        </w:tc>
        <w:tc>
          <w:tcPr>
            <w:tcW w:w="126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434DD6E5" w14:textId="77777777" w:rsidR="009125FD" w:rsidRPr="005C5D59" w:rsidRDefault="009125FD" w:rsidP="009125FD">
            <w:pPr>
              <w:jc w:val="center"/>
              <w:rPr>
                <w:rFonts w:ascii="Arial" w:hAnsi="Arial" w:cs="Arial"/>
                <w:b/>
                <w:sz w:val="18"/>
                <w:szCs w:val="18"/>
              </w:rPr>
            </w:pPr>
            <w:r>
              <w:rPr>
                <w:rFonts w:ascii="Arial" w:hAnsi="Arial" w:cs="Arial"/>
                <w:b/>
                <w:sz w:val="18"/>
                <w:szCs w:val="18"/>
              </w:rPr>
              <w:t>Selected U</w:t>
            </w:r>
            <w:r w:rsidRPr="005C5D59">
              <w:rPr>
                <w:rFonts w:ascii="Arial" w:hAnsi="Arial" w:cs="Arial"/>
                <w:b/>
                <w:sz w:val="18"/>
                <w:szCs w:val="18"/>
              </w:rPr>
              <w:t>nit is</w:t>
            </w:r>
          </w:p>
        </w:tc>
        <w:tc>
          <w:tcPr>
            <w:tcW w:w="162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1C39E25D" w14:textId="77777777" w:rsidR="009125FD" w:rsidRPr="005C5D59" w:rsidRDefault="009125FD" w:rsidP="009125FD">
            <w:pPr>
              <w:jc w:val="center"/>
              <w:rPr>
                <w:rFonts w:ascii="Arial" w:hAnsi="Arial" w:cs="Arial"/>
                <w:b/>
                <w:sz w:val="18"/>
                <w:szCs w:val="18"/>
              </w:rPr>
            </w:pPr>
            <w:r w:rsidRPr="005C5D59">
              <w:rPr>
                <w:rFonts w:ascii="Arial" w:hAnsi="Arial" w:cs="Arial"/>
                <w:b/>
                <w:sz w:val="18"/>
                <w:szCs w:val="18"/>
              </w:rPr>
              <w:t>User Role</w:t>
            </w:r>
          </w:p>
        </w:tc>
        <w:tc>
          <w:tcPr>
            <w:tcW w:w="405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73ADD516" w14:textId="77777777" w:rsidR="009125FD" w:rsidRPr="005C5D59" w:rsidRDefault="009125FD" w:rsidP="009125FD">
            <w:pPr>
              <w:jc w:val="center"/>
              <w:rPr>
                <w:rFonts w:ascii="Arial" w:hAnsi="Arial" w:cs="Arial"/>
                <w:b/>
                <w:sz w:val="18"/>
                <w:szCs w:val="18"/>
              </w:rPr>
            </w:pPr>
            <w:r>
              <w:rPr>
                <w:rFonts w:ascii="Arial" w:hAnsi="Arial" w:cs="Arial"/>
                <w:b/>
                <w:sz w:val="18"/>
                <w:szCs w:val="18"/>
              </w:rPr>
              <w:t xml:space="preserve">VBECS </w:t>
            </w:r>
            <w:r w:rsidRPr="005C5D59">
              <w:rPr>
                <w:rFonts w:ascii="Arial" w:hAnsi="Arial" w:cs="Arial"/>
                <w:b/>
                <w:sz w:val="18"/>
                <w:szCs w:val="18"/>
              </w:rPr>
              <w:t>Response</w:t>
            </w:r>
          </w:p>
        </w:tc>
      </w:tr>
      <w:tr w:rsidR="009125FD" w:rsidRPr="005C5D59" w14:paraId="41B6E18C" w14:textId="77777777" w:rsidTr="009125FD">
        <w:trPr>
          <w:cantSplit/>
          <w:trHeight w:val="284"/>
        </w:trPr>
        <w:tc>
          <w:tcPr>
            <w:tcW w:w="1843" w:type="dxa"/>
            <w:vMerge w:val="restart"/>
            <w:tcBorders>
              <w:top w:val="single" w:sz="4" w:space="0" w:color="000000"/>
              <w:left w:val="single" w:sz="4" w:space="0" w:color="000000"/>
              <w:right w:val="single" w:sz="4" w:space="0" w:color="000000"/>
            </w:tcBorders>
            <w:vAlign w:val="center"/>
            <w:hideMark/>
          </w:tcPr>
          <w:p w14:paraId="6D6D26B5" w14:textId="77777777" w:rsidR="009125FD" w:rsidRPr="00D93607" w:rsidRDefault="009125FD" w:rsidP="009125FD">
            <w:pPr>
              <w:jc w:val="center"/>
              <w:rPr>
                <w:rFonts w:ascii="Arial" w:hAnsi="Arial" w:cs="Arial"/>
                <w:b/>
                <w:sz w:val="28"/>
                <w:szCs w:val="28"/>
              </w:rPr>
            </w:pPr>
            <w:r w:rsidRPr="00D93607">
              <w:rPr>
                <w:rFonts w:ascii="Arial" w:hAnsi="Arial" w:cs="Arial"/>
                <w:b/>
                <w:sz w:val="28"/>
                <w:szCs w:val="28"/>
              </w:rPr>
              <w:t>Sickle Cell Negative RBC products</w:t>
            </w:r>
          </w:p>
        </w:tc>
        <w:tc>
          <w:tcPr>
            <w:tcW w:w="1469" w:type="dxa"/>
            <w:tcBorders>
              <w:top w:val="single" w:sz="4" w:space="0" w:color="000000"/>
              <w:left w:val="single" w:sz="4" w:space="0" w:color="000000"/>
              <w:right w:val="single" w:sz="4" w:space="0" w:color="000000"/>
            </w:tcBorders>
            <w:shd w:val="pct10" w:color="auto" w:fill="auto"/>
            <w:vAlign w:val="center"/>
            <w:hideMark/>
          </w:tcPr>
          <w:p w14:paraId="0F72E677" w14:textId="77777777" w:rsidR="009125FD" w:rsidRDefault="009125FD" w:rsidP="009125FD">
            <w:pPr>
              <w:spacing w:after="120"/>
              <w:jc w:val="center"/>
              <w:rPr>
                <w:rFonts w:ascii="Arial" w:hAnsi="Arial" w:cs="Arial"/>
                <w:sz w:val="18"/>
                <w:szCs w:val="18"/>
              </w:rPr>
            </w:pPr>
            <w:r w:rsidRPr="005C5D59">
              <w:rPr>
                <w:rFonts w:ascii="Arial" w:hAnsi="Arial" w:cs="Arial"/>
                <w:sz w:val="18"/>
                <w:szCs w:val="18"/>
              </w:rPr>
              <w:t>RED BLO</w:t>
            </w:r>
            <w:r>
              <w:rPr>
                <w:rFonts w:ascii="Arial" w:hAnsi="Arial" w:cs="Arial"/>
                <w:sz w:val="18"/>
                <w:szCs w:val="18"/>
              </w:rPr>
              <w:t>OD CELLS</w:t>
            </w:r>
          </w:p>
          <w:p w14:paraId="46002EAF" w14:textId="77777777" w:rsidR="009125FD" w:rsidRPr="005C5D59" w:rsidRDefault="009125FD" w:rsidP="009125FD">
            <w:pPr>
              <w:spacing w:after="120"/>
              <w:jc w:val="center"/>
              <w:rPr>
                <w:rFonts w:ascii="Arial" w:hAnsi="Arial" w:cs="Arial"/>
                <w:sz w:val="18"/>
                <w:szCs w:val="18"/>
              </w:rPr>
            </w:pPr>
            <w:r>
              <w:rPr>
                <w:rFonts w:ascii="Arial" w:hAnsi="Arial" w:cs="Arial"/>
                <w:sz w:val="18"/>
                <w:szCs w:val="18"/>
              </w:rPr>
              <w:t>WHOLE BLOOD</w:t>
            </w:r>
          </w:p>
        </w:tc>
        <w:tc>
          <w:tcPr>
            <w:tcW w:w="1260" w:type="dxa"/>
            <w:tcBorders>
              <w:top w:val="single" w:sz="4" w:space="0" w:color="000000"/>
              <w:left w:val="single" w:sz="4" w:space="0" w:color="000000"/>
              <w:right w:val="single" w:sz="4" w:space="0" w:color="000000"/>
            </w:tcBorders>
            <w:shd w:val="pct10" w:color="auto" w:fill="auto"/>
            <w:vAlign w:val="center"/>
            <w:hideMark/>
          </w:tcPr>
          <w:p w14:paraId="100BC60B" w14:textId="77777777" w:rsidR="009125FD" w:rsidRPr="008E2609" w:rsidRDefault="009125FD" w:rsidP="009125FD">
            <w:pPr>
              <w:jc w:val="center"/>
              <w:rPr>
                <w:rFonts w:ascii="Arial" w:hAnsi="Arial" w:cs="Arial"/>
                <w:sz w:val="18"/>
                <w:szCs w:val="18"/>
              </w:rPr>
            </w:pPr>
            <w:r w:rsidRPr="008E2609">
              <w:rPr>
                <w:rFonts w:ascii="Arial" w:hAnsi="Arial" w:cs="Arial"/>
                <w:sz w:val="18"/>
                <w:szCs w:val="18"/>
              </w:rPr>
              <w:t>Sickle Cell Negative</w:t>
            </w:r>
          </w:p>
        </w:tc>
        <w:tc>
          <w:tcPr>
            <w:tcW w:w="1620" w:type="dxa"/>
            <w:tcBorders>
              <w:top w:val="single" w:sz="4" w:space="0" w:color="000000"/>
              <w:left w:val="single" w:sz="4" w:space="0" w:color="000000"/>
              <w:right w:val="single" w:sz="4" w:space="0" w:color="000000"/>
            </w:tcBorders>
            <w:shd w:val="pct10" w:color="auto" w:fill="auto"/>
            <w:vAlign w:val="center"/>
            <w:hideMark/>
          </w:tcPr>
          <w:p w14:paraId="2EB95F00" w14:textId="77777777" w:rsidR="009125FD" w:rsidRPr="008E2609" w:rsidRDefault="009125FD" w:rsidP="009125FD">
            <w:pPr>
              <w:jc w:val="center"/>
              <w:rPr>
                <w:rFonts w:ascii="Arial" w:hAnsi="Arial" w:cs="Arial"/>
                <w:sz w:val="18"/>
                <w:szCs w:val="18"/>
              </w:rPr>
            </w:pPr>
            <w:r w:rsidRPr="008E2609">
              <w:rPr>
                <w:rFonts w:ascii="Arial" w:hAnsi="Arial" w:cs="Arial"/>
                <w:sz w:val="18"/>
                <w:szCs w:val="18"/>
              </w:rPr>
              <w:t>ALL VBECS Users</w:t>
            </w:r>
          </w:p>
        </w:tc>
        <w:tc>
          <w:tcPr>
            <w:tcW w:w="4050" w:type="dxa"/>
            <w:tcBorders>
              <w:top w:val="single" w:sz="4" w:space="0" w:color="000000"/>
              <w:left w:val="single" w:sz="4" w:space="0" w:color="000000"/>
              <w:right w:val="single" w:sz="4" w:space="0" w:color="000000"/>
            </w:tcBorders>
            <w:shd w:val="pct10" w:color="auto" w:fill="auto"/>
            <w:vAlign w:val="center"/>
          </w:tcPr>
          <w:p w14:paraId="187E5606" w14:textId="77777777" w:rsidR="009125FD" w:rsidRPr="005C5D59" w:rsidRDefault="009125FD" w:rsidP="009125FD">
            <w:pPr>
              <w:jc w:val="center"/>
              <w:rPr>
                <w:rFonts w:ascii="Arial" w:hAnsi="Arial" w:cs="Arial"/>
                <w:sz w:val="18"/>
                <w:szCs w:val="18"/>
              </w:rPr>
            </w:pPr>
            <w:r w:rsidRPr="005C5D59">
              <w:rPr>
                <w:rFonts w:ascii="Arial" w:hAnsi="Arial" w:cs="Arial"/>
                <w:sz w:val="18"/>
                <w:szCs w:val="18"/>
              </w:rPr>
              <w:t>No warning message will display.</w:t>
            </w:r>
          </w:p>
        </w:tc>
      </w:tr>
      <w:tr w:rsidR="009125FD" w:rsidRPr="005C5D59" w14:paraId="40B44BD5" w14:textId="77777777" w:rsidTr="009125FD">
        <w:trPr>
          <w:cantSplit/>
          <w:trHeight w:val="1152"/>
        </w:trPr>
        <w:tc>
          <w:tcPr>
            <w:tcW w:w="1843" w:type="dxa"/>
            <w:vMerge/>
            <w:tcBorders>
              <w:left w:val="single" w:sz="4" w:space="0" w:color="000000"/>
              <w:right w:val="single" w:sz="4" w:space="0" w:color="000000"/>
            </w:tcBorders>
            <w:vAlign w:val="bottom"/>
          </w:tcPr>
          <w:p w14:paraId="1FF788A2" w14:textId="77777777" w:rsidR="009125FD" w:rsidRPr="005C5D59" w:rsidRDefault="009125FD" w:rsidP="009125FD">
            <w:pPr>
              <w:rPr>
                <w:rFonts w:ascii="Arial" w:hAnsi="Arial" w:cs="Arial"/>
                <w:b/>
                <w:sz w:val="18"/>
                <w:szCs w:val="18"/>
              </w:rPr>
            </w:pPr>
          </w:p>
        </w:tc>
        <w:tc>
          <w:tcPr>
            <w:tcW w:w="1469" w:type="dxa"/>
            <w:tcBorders>
              <w:top w:val="single" w:sz="4" w:space="0" w:color="000000"/>
              <w:left w:val="single" w:sz="4" w:space="0" w:color="000000"/>
              <w:bottom w:val="single" w:sz="4" w:space="0" w:color="000000"/>
              <w:right w:val="single" w:sz="4" w:space="0" w:color="000000"/>
            </w:tcBorders>
            <w:vAlign w:val="center"/>
          </w:tcPr>
          <w:p w14:paraId="76418158" w14:textId="77777777" w:rsidR="009125FD" w:rsidRDefault="009125FD" w:rsidP="009125FD">
            <w:pPr>
              <w:jc w:val="center"/>
              <w:rPr>
                <w:rFonts w:ascii="Arial" w:hAnsi="Arial" w:cs="Arial"/>
                <w:sz w:val="18"/>
                <w:szCs w:val="18"/>
              </w:rPr>
            </w:pPr>
            <w:r w:rsidRPr="005C5D59">
              <w:rPr>
                <w:rFonts w:ascii="Arial" w:hAnsi="Arial" w:cs="Arial"/>
                <w:sz w:val="18"/>
                <w:szCs w:val="18"/>
              </w:rPr>
              <w:t xml:space="preserve">RED BLOOD CELLS </w:t>
            </w:r>
          </w:p>
          <w:p w14:paraId="4A0C0CA5" w14:textId="77777777" w:rsidR="009125FD" w:rsidRDefault="009125FD" w:rsidP="009125FD">
            <w:pPr>
              <w:jc w:val="center"/>
              <w:rPr>
                <w:rFonts w:ascii="Arial" w:hAnsi="Arial" w:cs="Arial"/>
                <w:sz w:val="18"/>
                <w:szCs w:val="18"/>
              </w:rPr>
            </w:pPr>
          </w:p>
          <w:p w14:paraId="4B4E0390" w14:textId="77777777" w:rsidR="009125FD" w:rsidRPr="005C5D59" w:rsidRDefault="009125FD" w:rsidP="009125FD">
            <w:pPr>
              <w:jc w:val="center"/>
              <w:rPr>
                <w:rFonts w:ascii="Arial" w:hAnsi="Arial" w:cs="Arial"/>
                <w:sz w:val="18"/>
                <w:szCs w:val="18"/>
              </w:rPr>
            </w:pPr>
            <w:r w:rsidRPr="005C5D59">
              <w:rPr>
                <w:rFonts w:ascii="Arial" w:hAnsi="Arial" w:cs="Arial"/>
                <w:sz w:val="18"/>
                <w:szCs w:val="18"/>
              </w:rPr>
              <w:t>WHOLE BLOOD</w:t>
            </w:r>
          </w:p>
        </w:tc>
        <w:tc>
          <w:tcPr>
            <w:tcW w:w="1260" w:type="dxa"/>
            <w:tcBorders>
              <w:top w:val="single" w:sz="4" w:space="0" w:color="000000"/>
              <w:left w:val="single" w:sz="4" w:space="0" w:color="000000"/>
              <w:bottom w:val="single" w:sz="4" w:space="0" w:color="000000"/>
              <w:right w:val="single" w:sz="4" w:space="0" w:color="000000"/>
            </w:tcBorders>
            <w:vAlign w:val="center"/>
          </w:tcPr>
          <w:p w14:paraId="0AEB7B31" w14:textId="77777777" w:rsidR="009125FD" w:rsidRPr="00871BF2" w:rsidRDefault="009125FD" w:rsidP="009125FD">
            <w:pPr>
              <w:jc w:val="center"/>
              <w:rPr>
                <w:rFonts w:ascii="Arial" w:hAnsi="Arial" w:cs="Arial"/>
                <w:b/>
                <w:color w:val="FF0000"/>
                <w:sz w:val="18"/>
                <w:szCs w:val="18"/>
              </w:rPr>
            </w:pPr>
            <w:r>
              <w:rPr>
                <w:rFonts w:ascii="Arial" w:hAnsi="Arial" w:cs="Arial"/>
                <w:b/>
                <w:color w:val="FF0000"/>
                <w:sz w:val="18"/>
                <w:szCs w:val="18"/>
              </w:rPr>
              <w:t>Not Sickle Cell Negative</w:t>
            </w:r>
          </w:p>
        </w:tc>
        <w:tc>
          <w:tcPr>
            <w:tcW w:w="1620" w:type="dxa"/>
            <w:tcBorders>
              <w:top w:val="single" w:sz="4" w:space="0" w:color="000000"/>
              <w:left w:val="single" w:sz="4" w:space="0" w:color="000000"/>
              <w:bottom w:val="single" w:sz="4" w:space="0" w:color="000000"/>
              <w:right w:val="single" w:sz="4" w:space="0" w:color="000000"/>
            </w:tcBorders>
            <w:vAlign w:val="center"/>
          </w:tcPr>
          <w:p w14:paraId="06E1AC0B" w14:textId="77777777" w:rsidR="009125FD" w:rsidRPr="00FB56F0" w:rsidRDefault="009125FD" w:rsidP="009125FD">
            <w:pPr>
              <w:ind w:left="18"/>
              <w:rPr>
                <w:rFonts w:ascii="Arial" w:hAnsi="Arial" w:cs="Arial"/>
                <w:sz w:val="18"/>
                <w:szCs w:val="18"/>
              </w:rPr>
            </w:pPr>
            <w:r w:rsidRPr="00FB56F0">
              <w:rPr>
                <w:rFonts w:ascii="Arial" w:hAnsi="Arial" w:cs="Arial"/>
                <w:noProof/>
                <w:sz w:val="18"/>
                <w:szCs w:val="18"/>
              </w:rPr>
              <w:t>Technologist</w:t>
            </w:r>
          </w:p>
          <w:p w14:paraId="1A91E00A" w14:textId="77777777" w:rsidR="009125FD" w:rsidRPr="00836EE2" w:rsidRDefault="009125FD" w:rsidP="009125FD">
            <w:pPr>
              <w:ind w:left="18"/>
              <w:rPr>
                <w:rFonts w:ascii="Arial" w:hAnsi="Arial" w:cs="Arial"/>
                <w:sz w:val="18"/>
                <w:szCs w:val="18"/>
              </w:rPr>
            </w:pPr>
          </w:p>
          <w:p w14:paraId="694CA264" w14:textId="77777777" w:rsidR="009125FD" w:rsidRPr="00FB56F0" w:rsidRDefault="009125FD" w:rsidP="009125FD">
            <w:pPr>
              <w:ind w:left="18"/>
              <w:rPr>
                <w:rFonts w:ascii="Arial" w:hAnsi="Arial" w:cs="Arial"/>
                <w:noProof/>
                <w:sz w:val="18"/>
                <w:szCs w:val="18"/>
              </w:rPr>
            </w:pPr>
            <w:r w:rsidRPr="00FB56F0">
              <w:rPr>
                <w:rFonts w:ascii="Arial" w:hAnsi="Arial" w:cs="Arial"/>
                <w:noProof/>
                <w:sz w:val="18"/>
                <w:szCs w:val="18"/>
              </w:rPr>
              <w:t>Enhanced Technologist</w:t>
            </w:r>
          </w:p>
        </w:tc>
        <w:tc>
          <w:tcPr>
            <w:tcW w:w="4050" w:type="dxa"/>
            <w:tcBorders>
              <w:top w:val="single" w:sz="4" w:space="0" w:color="000000"/>
              <w:left w:val="single" w:sz="4" w:space="0" w:color="000000"/>
              <w:right w:val="single" w:sz="4" w:space="0" w:color="000000"/>
            </w:tcBorders>
          </w:tcPr>
          <w:p w14:paraId="3BFED076" w14:textId="77777777" w:rsidR="009125FD" w:rsidRPr="007F3B3C" w:rsidRDefault="009125FD" w:rsidP="009125FD">
            <w:pPr>
              <w:pStyle w:val="TableText"/>
              <w:spacing w:before="120"/>
              <w:rPr>
                <w:rStyle w:val="StyleTableText9ptCharChar"/>
                <w:rFonts w:cs="Arial"/>
                <w:i/>
              </w:rPr>
            </w:pPr>
            <w:r w:rsidRPr="005C5D59">
              <w:rPr>
                <w:rStyle w:val="StyleTableText9ptCharChar"/>
                <w:rFonts w:cs="Arial"/>
              </w:rPr>
              <w:t>The Transfusi</w:t>
            </w:r>
            <w:r>
              <w:rPr>
                <w:rStyle w:val="StyleTableText9ptCharChar"/>
                <w:rFonts w:cs="Arial"/>
              </w:rPr>
              <w:t>on Requirement is not satisfied;</w:t>
            </w:r>
            <w:r w:rsidRPr="005C5D59">
              <w:rPr>
                <w:rStyle w:val="StyleTableText9ptCharChar"/>
                <w:rFonts w:cs="Arial"/>
              </w:rPr>
              <w:t xml:space="preserve"> the system emits an audible alert and displays a warning message: </w:t>
            </w:r>
            <w:r w:rsidRPr="007F3B3C">
              <w:rPr>
                <w:rStyle w:val="StyleTableText9ptCharChar"/>
                <w:rFonts w:cs="Arial"/>
                <w:i/>
              </w:rPr>
              <w:t>This unit does not currently satisfy all of the patient’s Transfusion Requirements. Further processing is needed. Continue to select this unit?</w:t>
            </w:r>
          </w:p>
          <w:p w14:paraId="39901B8E" w14:textId="77777777" w:rsidR="009125FD" w:rsidRPr="005C5D59" w:rsidRDefault="009125FD" w:rsidP="009125FD">
            <w:pPr>
              <w:pStyle w:val="TableText"/>
              <w:rPr>
                <w:rStyle w:val="StyleTableText9ptCharChar"/>
                <w:rFonts w:cs="Arial"/>
              </w:rPr>
            </w:pPr>
            <w:r w:rsidRPr="005C5D59">
              <w:rPr>
                <w:rStyle w:val="StyleTableText9ptCharChar"/>
                <w:rFonts w:cs="Arial"/>
              </w:rPr>
              <w:t>If</w:t>
            </w:r>
            <w:r>
              <w:rPr>
                <w:rStyle w:val="StyleTableText9ptCharChar"/>
                <w:rFonts w:cs="Arial"/>
              </w:rPr>
              <w:t xml:space="preserve"> the user clicks </w:t>
            </w:r>
            <w:r w:rsidRPr="005C5D59">
              <w:rPr>
                <w:rStyle w:val="StyleTableText9ptCharChar"/>
                <w:rFonts w:cs="Arial"/>
              </w:rPr>
              <w:t>“No,” the screen is cleared.</w:t>
            </w:r>
          </w:p>
          <w:p w14:paraId="687DE482" w14:textId="77777777" w:rsidR="009125FD" w:rsidRPr="005C5D59" w:rsidRDefault="009125FD" w:rsidP="009125FD">
            <w:pPr>
              <w:pStyle w:val="TableText"/>
              <w:rPr>
                <w:rFonts w:cs="Arial"/>
                <w:noProof/>
              </w:rPr>
            </w:pPr>
            <w:r w:rsidRPr="005C5D59">
              <w:rPr>
                <w:rStyle w:val="StyleTableText9ptCharChar"/>
                <w:rFonts w:cs="Arial"/>
              </w:rPr>
              <w:t xml:space="preserve">If </w:t>
            </w:r>
            <w:r>
              <w:rPr>
                <w:rStyle w:val="StyleTableText9ptCharChar"/>
                <w:rFonts w:cs="Arial"/>
              </w:rPr>
              <w:t>the user clicks “Yes,” selection can continue to select the unit.</w:t>
            </w:r>
          </w:p>
        </w:tc>
      </w:tr>
      <w:tr w:rsidR="009125FD" w:rsidRPr="005C5D59" w14:paraId="3D68306A" w14:textId="77777777" w:rsidTr="009125FD">
        <w:trPr>
          <w:cantSplit/>
          <w:trHeight w:val="1152"/>
        </w:trPr>
        <w:tc>
          <w:tcPr>
            <w:tcW w:w="1843" w:type="dxa"/>
            <w:vMerge/>
            <w:tcBorders>
              <w:left w:val="single" w:sz="4" w:space="0" w:color="000000"/>
              <w:right w:val="single" w:sz="4" w:space="0" w:color="000000"/>
            </w:tcBorders>
            <w:vAlign w:val="bottom"/>
          </w:tcPr>
          <w:p w14:paraId="5FCE06D7" w14:textId="77777777" w:rsidR="009125FD" w:rsidRPr="005C5D59" w:rsidRDefault="009125FD" w:rsidP="009125FD">
            <w:pPr>
              <w:rPr>
                <w:rFonts w:ascii="Arial" w:hAnsi="Arial" w:cs="Arial"/>
                <w:b/>
                <w:sz w:val="18"/>
                <w:szCs w:val="18"/>
              </w:rPr>
            </w:pPr>
          </w:p>
        </w:tc>
        <w:tc>
          <w:tcPr>
            <w:tcW w:w="1469" w:type="dxa"/>
            <w:tcBorders>
              <w:top w:val="single" w:sz="4" w:space="0" w:color="000000"/>
              <w:left w:val="single" w:sz="4" w:space="0" w:color="000000"/>
              <w:bottom w:val="single" w:sz="4" w:space="0" w:color="000000"/>
              <w:right w:val="single" w:sz="4" w:space="0" w:color="000000"/>
            </w:tcBorders>
            <w:vAlign w:val="center"/>
          </w:tcPr>
          <w:p w14:paraId="7DE9457C" w14:textId="77777777" w:rsidR="009125FD" w:rsidRDefault="009125FD" w:rsidP="009125FD">
            <w:pPr>
              <w:jc w:val="center"/>
              <w:rPr>
                <w:rFonts w:ascii="Arial" w:hAnsi="Arial" w:cs="Arial"/>
                <w:sz w:val="18"/>
                <w:szCs w:val="18"/>
              </w:rPr>
            </w:pPr>
            <w:r w:rsidRPr="005C5D59">
              <w:rPr>
                <w:rFonts w:ascii="Arial" w:hAnsi="Arial" w:cs="Arial"/>
                <w:sz w:val="18"/>
                <w:szCs w:val="18"/>
              </w:rPr>
              <w:t xml:space="preserve">RED BLOOD CELLS </w:t>
            </w:r>
          </w:p>
          <w:p w14:paraId="791BAF03" w14:textId="77777777" w:rsidR="009125FD" w:rsidRDefault="009125FD" w:rsidP="009125FD">
            <w:pPr>
              <w:jc w:val="center"/>
              <w:rPr>
                <w:rFonts w:ascii="Arial" w:hAnsi="Arial" w:cs="Arial"/>
                <w:sz w:val="18"/>
                <w:szCs w:val="18"/>
              </w:rPr>
            </w:pPr>
          </w:p>
          <w:p w14:paraId="361607CB" w14:textId="77777777" w:rsidR="009125FD" w:rsidRPr="005C5D59" w:rsidRDefault="009125FD" w:rsidP="009125FD">
            <w:pPr>
              <w:jc w:val="center"/>
              <w:rPr>
                <w:rFonts w:ascii="Arial" w:hAnsi="Arial" w:cs="Arial"/>
                <w:sz w:val="18"/>
                <w:szCs w:val="18"/>
              </w:rPr>
            </w:pPr>
            <w:r w:rsidRPr="005C5D59">
              <w:rPr>
                <w:rFonts w:ascii="Arial" w:hAnsi="Arial" w:cs="Arial"/>
                <w:sz w:val="18"/>
                <w:szCs w:val="18"/>
              </w:rPr>
              <w:t>WHOLE BLOOD</w:t>
            </w:r>
          </w:p>
        </w:tc>
        <w:tc>
          <w:tcPr>
            <w:tcW w:w="1260" w:type="dxa"/>
            <w:tcBorders>
              <w:top w:val="single" w:sz="4" w:space="0" w:color="000000"/>
              <w:left w:val="single" w:sz="4" w:space="0" w:color="000000"/>
              <w:bottom w:val="single" w:sz="4" w:space="0" w:color="000000"/>
              <w:right w:val="single" w:sz="4" w:space="0" w:color="000000"/>
            </w:tcBorders>
            <w:vAlign w:val="center"/>
          </w:tcPr>
          <w:p w14:paraId="0635BA69" w14:textId="77777777" w:rsidR="009125FD" w:rsidRPr="005C5D59" w:rsidRDefault="009125FD" w:rsidP="009125FD">
            <w:pPr>
              <w:jc w:val="center"/>
              <w:rPr>
                <w:rFonts w:ascii="Arial" w:hAnsi="Arial" w:cs="Arial"/>
                <w:color w:val="FF0000"/>
                <w:sz w:val="18"/>
                <w:szCs w:val="18"/>
              </w:rPr>
            </w:pPr>
            <w:r>
              <w:rPr>
                <w:rFonts w:ascii="Arial" w:hAnsi="Arial" w:cs="Arial"/>
                <w:b/>
                <w:color w:val="FF0000"/>
                <w:sz w:val="18"/>
                <w:szCs w:val="18"/>
              </w:rPr>
              <w:t>Not Sickle Cell Negative</w:t>
            </w:r>
          </w:p>
        </w:tc>
        <w:tc>
          <w:tcPr>
            <w:tcW w:w="1620" w:type="dxa"/>
            <w:tcBorders>
              <w:top w:val="single" w:sz="4" w:space="0" w:color="000000"/>
              <w:left w:val="single" w:sz="4" w:space="0" w:color="000000"/>
              <w:bottom w:val="single" w:sz="4" w:space="0" w:color="000000"/>
              <w:right w:val="single" w:sz="4" w:space="0" w:color="000000"/>
            </w:tcBorders>
            <w:vAlign w:val="center"/>
          </w:tcPr>
          <w:p w14:paraId="563D0272" w14:textId="77777777" w:rsidR="009125FD" w:rsidRPr="00FB56F0" w:rsidRDefault="009125FD" w:rsidP="009125FD">
            <w:pPr>
              <w:spacing w:before="120"/>
              <w:ind w:left="18"/>
              <w:rPr>
                <w:rFonts w:ascii="Arial" w:hAnsi="Arial" w:cs="Arial"/>
                <w:sz w:val="18"/>
                <w:szCs w:val="18"/>
              </w:rPr>
            </w:pPr>
            <w:r w:rsidRPr="00FB56F0">
              <w:rPr>
                <w:rFonts w:ascii="Arial" w:hAnsi="Arial" w:cs="Arial"/>
                <w:sz w:val="18"/>
                <w:szCs w:val="18"/>
              </w:rPr>
              <w:t>Lead Technologist</w:t>
            </w:r>
          </w:p>
          <w:p w14:paraId="7D93A102" w14:textId="77777777" w:rsidR="009125FD" w:rsidRPr="00FB56F0" w:rsidRDefault="009125FD" w:rsidP="009125FD">
            <w:pPr>
              <w:spacing w:before="120"/>
              <w:ind w:left="18"/>
              <w:rPr>
                <w:rFonts w:ascii="Arial" w:hAnsi="Arial" w:cs="Arial"/>
                <w:sz w:val="18"/>
                <w:szCs w:val="18"/>
              </w:rPr>
            </w:pPr>
            <w:r w:rsidRPr="00FB56F0">
              <w:rPr>
                <w:rFonts w:ascii="Arial" w:hAnsi="Arial" w:cs="Arial"/>
                <w:sz w:val="18"/>
                <w:szCs w:val="18"/>
              </w:rPr>
              <w:t>Traditional Supervisor</w:t>
            </w:r>
          </w:p>
          <w:p w14:paraId="2394C283" w14:textId="77777777" w:rsidR="009125FD" w:rsidRPr="00FB56F0" w:rsidRDefault="009125FD" w:rsidP="009125FD">
            <w:pPr>
              <w:spacing w:before="120"/>
              <w:ind w:left="18"/>
              <w:rPr>
                <w:rFonts w:ascii="Arial" w:hAnsi="Arial" w:cs="Arial"/>
                <w:sz w:val="18"/>
                <w:szCs w:val="18"/>
              </w:rPr>
            </w:pPr>
            <w:r w:rsidRPr="00FB56F0">
              <w:rPr>
                <w:rFonts w:ascii="Arial" w:hAnsi="Arial" w:cs="Arial"/>
                <w:sz w:val="18"/>
                <w:szCs w:val="18"/>
              </w:rPr>
              <w:t>Enhanced Supervisor</w:t>
            </w:r>
          </w:p>
          <w:p w14:paraId="1CF6EDF0" w14:textId="77777777" w:rsidR="009125FD" w:rsidRPr="00FB56F0" w:rsidRDefault="009125FD" w:rsidP="009125FD">
            <w:pPr>
              <w:spacing w:before="120"/>
              <w:ind w:left="18"/>
              <w:rPr>
                <w:rFonts w:ascii="Arial" w:hAnsi="Arial" w:cs="Arial"/>
                <w:sz w:val="18"/>
                <w:szCs w:val="18"/>
              </w:rPr>
            </w:pPr>
            <w:r w:rsidRPr="00FB56F0">
              <w:rPr>
                <w:rFonts w:ascii="Arial" w:hAnsi="Arial" w:cs="Arial"/>
                <w:sz w:val="18"/>
                <w:szCs w:val="18"/>
              </w:rPr>
              <w:t>Administrator/Supervisor</w:t>
            </w:r>
          </w:p>
          <w:p w14:paraId="4812DB91" w14:textId="77777777" w:rsidR="009125FD" w:rsidRPr="008B278A" w:rsidRDefault="009125FD" w:rsidP="009125FD">
            <w:pPr>
              <w:ind w:left="18"/>
              <w:rPr>
                <w:rFonts w:ascii="Arial" w:hAnsi="Arial" w:cs="Arial"/>
                <w:sz w:val="18"/>
                <w:szCs w:val="18"/>
              </w:rPr>
            </w:pPr>
          </w:p>
        </w:tc>
        <w:tc>
          <w:tcPr>
            <w:tcW w:w="4050" w:type="dxa"/>
            <w:tcBorders>
              <w:left w:val="single" w:sz="4" w:space="0" w:color="000000"/>
              <w:right w:val="single" w:sz="4" w:space="0" w:color="000000"/>
            </w:tcBorders>
            <w:vAlign w:val="bottom"/>
          </w:tcPr>
          <w:p w14:paraId="167E192D" w14:textId="77777777" w:rsidR="009125FD" w:rsidRPr="00496950" w:rsidRDefault="009125FD" w:rsidP="009125FD">
            <w:pPr>
              <w:pStyle w:val="TableText"/>
              <w:rPr>
                <w:rStyle w:val="StyleTableText9ptCharChar"/>
                <w:i/>
              </w:rPr>
            </w:pPr>
            <w:r w:rsidRPr="003D487C">
              <w:t>The following warning(s) is informational:</w:t>
            </w:r>
            <w:r>
              <w:t xml:space="preserve"> </w:t>
            </w:r>
            <w:r w:rsidRPr="00496950">
              <w:rPr>
                <w:i/>
              </w:rPr>
              <w:t xml:space="preserve">This unit does not currently satisfy the patient’s </w:t>
            </w:r>
            <w:r w:rsidRPr="00496950">
              <w:rPr>
                <w:i/>
                <w:noProof/>
              </w:rPr>
              <w:t xml:space="preserve">Sickle Cell Negative </w:t>
            </w:r>
            <w:r w:rsidRPr="00496950">
              <w:rPr>
                <w:i/>
              </w:rPr>
              <w:t xml:space="preserve">Transfusion Requirements. </w:t>
            </w:r>
            <w:r w:rsidRPr="00496950">
              <w:rPr>
                <w:rStyle w:val="StyleTableText9ptCharChar"/>
                <w:i/>
              </w:rPr>
              <w:t>Further processing is needed. Continue to select this unit?</w:t>
            </w:r>
          </w:p>
          <w:p w14:paraId="7E98A278" w14:textId="77777777" w:rsidR="009125FD" w:rsidRPr="00496950" w:rsidRDefault="009125FD" w:rsidP="009125FD">
            <w:pPr>
              <w:pStyle w:val="TableText"/>
              <w:rPr>
                <w:rStyle w:val="StyleTableText9ptCharChar"/>
                <w:i/>
              </w:rPr>
            </w:pPr>
            <w:r w:rsidRPr="00496950">
              <w:rPr>
                <w:rStyle w:val="StyleTableText9ptCharChar"/>
                <w:i/>
              </w:rPr>
              <w:t>Do you wish to proceed with the selection of unit &lt;insert unit ID number&gt;:?</w:t>
            </w:r>
          </w:p>
          <w:p w14:paraId="409DCE9A" w14:textId="77777777" w:rsidR="009125FD" w:rsidRPr="003D487C" w:rsidRDefault="009125FD" w:rsidP="009125FD">
            <w:pPr>
              <w:pStyle w:val="TableText"/>
              <w:rPr>
                <w:noProof/>
              </w:rPr>
            </w:pPr>
            <w:r w:rsidRPr="003D487C">
              <w:rPr>
                <w:noProof/>
              </w:rPr>
              <w:t xml:space="preserve">If “No,” is selected, the screen is cleared and a new blood unit must be selected. </w:t>
            </w:r>
          </w:p>
          <w:p w14:paraId="010BD147" w14:textId="77777777" w:rsidR="009125FD" w:rsidRPr="0081278B" w:rsidRDefault="009125FD" w:rsidP="009125FD">
            <w:pPr>
              <w:pStyle w:val="TableText"/>
              <w:rPr>
                <w:i/>
                <w:noProof/>
              </w:rPr>
            </w:pPr>
            <w:r w:rsidRPr="003D487C">
              <w:rPr>
                <w:noProof/>
              </w:rPr>
              <w:t>If “Yes,” is selected, a comment is required and the details of the transaction are captured for later in</w:t>
            </w:r>
            <w:r>
              <w:rPr>
                <w:noProof/>
              </w:rPr>
              <w:t xml:space="preserve">clusion in an exception report entry: </w:t>
            </w:r>
            <w:r w:rsidRPr="0081278B">
              <w:rPr>
                <w:i/>
                <w:noProof/>
              </w:rPr>
              <w:t>Transfusion Requirement incompatible unit selected</w:t>
            </w:r>
            <w:r w:rsidR="005C48D9">
              <w:rPr>
                <w:i/>
                <w:noProof/>
              </w:rPr>
              <w:t>.</w:t>
            </w:r>
          </w:p>
        </w:tc>
      </w:tr>
    </w:tbl>
    <w:p w14:paraId="61161F02" w14:textId="77777777" w:rsidR="009125FD" w:rsidRDefault="009125FD" w:rsidP="009125FD"/>
    <w:p w14:paraId="28B0867D" w14:textId="4DE63D60" w:rsidR="00C15299" w:rsidRDefault="009125FD" w:rsidP="00C15299">
      <w:pPr>
        <w:pStyle w:val="Caption"/>
      </w:pPr>
      <w:r>
        <w:br w:type="page"/>
      </w:r>
      <w:bookmarkStart w:id="899" w:name="_Ref343502619"/>
      <w:r w:rsidR="00C15299">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7D1829">
        <w:rPr>
          <w:noProof/>
        </w:rPr>
        <w:t>143</w:t>
      </w:r>
      <w:r w:rsidR="004E20BD">
        <w:rPr>
          <w:noProof/>
        </w:rPr>
        <w:fldChar w:fldCharType="end"/>
      </w:r>
      <w:r w:rsidR="00C15299">
        <w:t>: Sickle Cell Negative RBC Products and Issue Blood Component</w:t>
      </w:r>
      <w:bookmarkEnd w:id="899"/>
    </w:p>
    <w:tbl>
      <w:tblPr>
        <w:tblW w:w="10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2" w:type="dxa"/>
          <w:right w:w="72" w:type="dxa"/>
        </w:tblCellMar>
        <w:tblLook w:val="04A0" w:firstRow="1" w:lastRow="0" w:firstColumn="1" w:lastColumn="0" w:noHBand="0" w:noVBand="1"/>
      </w:tblPr>
      <w:tblGrid>
        <w:gridCol w:w="1843"/>
        <w:gridCol w:w="1469"/>
        <w:gridCol w:w="1260"/>
        <w:gridCol w:w="1620"/>
        <w:gridCol w:w="4050"/>
      </w:tblGrid>
      <w:tr w:rsidR="009125FD" w:rsidRPr="005C5D59" w14:paraId="64A22684" w14:textId="77777777" w:rsidTr="009125FD">
        <w:trPr>
          <w:cantSplit/>
          <w:trHeight w:val="432"/>
          <w:tblHeader/>
        </w:trPr>
        <w:tc>
          <w:tcPr>
            <w:tcW w:w="10242" w:type="dxa"/>
            <w:gridSpan w:val="5"/>
            <w:tcBorders>
              <w:left w:val="single" w:sz="4" w:space="0" w:color="000000"/>
              <w:bottom w:val="single" w:sz="4" w:space="0" w:color="000000"/>
              <w:right w:val="single" w:sz="4" w:space="0" w:color="000000"/>
            </w:tcBorders>
            <w:shd w:val="pct25" w:color="auto" w:fill="auto"/>
            <w:vAlign w:val="bottom"/>
          </w:tcPr>
          <w:p w14:paraId="17243F6E" w14:textId="77777777" w:rsidR="009125FD" w:rsidRPr="005C5D59" w:rsidRDefault="009125FD" w:rsidP="009125FD">
            <w:pPr>
              <w:rPr>
                <w:rFonts w:ascii="Arial" w:hAnsi="Arial" w:cs="Arial"/>
                <w:b/>
                <w:sz w:val="18"/>
                <w:szCs w:val="18"/>
              </w:rPr>
            </w:pPr>
            <w:r w:rsidRPr="005C5D59">
              <w:rPr>
                <w:rFonts w:ascii="Arial" w:hAnsi="Arial" w:cs="Arial"/>
                <w:b/>
                <w:sz w:val="18"/>
                <w:szCs w:val="18"/>
              </w:rPr>
              <w:t xml:space="preserve">Issue Blood Component: </w:t>
            </w:r>
            <w:r>
              <w:rPr>
                <w:rFonts w:ascii="Arial" w:hAnsi="Arial" w:cs="Arial"/>
                <w:b/>
                <w:sz w:val="20"/>
                <w:szCs w:val="20"/>
              </w:rPr>
              <w:t>Sickle Cell Negative RBC</w:t>
            </w:r>
            <w:r w:rsidRPr="00871BF2">
              <w:rPr>
                <w:rFonts w:ascii="Arial" w:hAnsi="Arial" w:cs="Arial"/>
                <w:b/>
                <w:sz w:val="20"/>
                <w:szCs w:val="20"/>
              </w:rPr>
              <w:t xml:space="preserve"> Products</w:t>
            </w:r>
          </w:p>
        </w:tc>
      </w:tr>
      <w:tr w:rsidR="009125FD" w:rsidRPr="005C5D59" w14:paraId="5C8AFEBA" w14:textId="77777777" w:rsidTr="009125FD">
        <w:trPr>
          <w:cantSplit/>
          <w:trHeight w:val="432"/>
          <w:tblHeader/>
        </w:trPr>
        <w:tc>
          <w:tcPr>
            <w:tcW w:w="1843" w:type="dxa"/>
            <w:tcBorders>
              <w:left w:val="single" w:sz="4" w:space="0" w:color="000000"/>
              <w:bottom w:val="single" w:sz="4" w:space="0" w:color="000000"/>
              <w:right w:val="single" w:sz="4" w:space="0" w:color="000000"/>
            </w:tcBorders>
            <w:shd w:val="pct25" w:color="auto" w:fill="auto"/>
            <w:vAlign w:val="bottom"/>
            <w:hideMark/>
          </w:tcPr>
          <w:p w14:paraId="3BAC81B3" w14:textId="77777777" w:rsidR="009125FD" w:rsidRPr="005C5D59" w:rsidRDefault="009125FD" w:rsidP="009125FD">
            <w:pPr>
              <w:rPr>
                <w:rFonts w:ascii="Arial" w:hAnsi="Arial" w:cs="Arial"/>
                <w:b/>
                <w:sz w:val="18"/>
                <w:szCs w:val="18"/>
              </w:rPr>
            </w:pPr>
            <w:r w:rsidRPr="005C5D59">
              <w:rPr>
                <w:rFonts w:ascii="Arial" w:hAnsi="Arial" w:cs="Arial"/>
                <w:b/>
                <w:sz w:val="18"/>
                <w:szCs w:val="18"/>
              </w:rPr>
              <w:t>Patient Active Transfusion Requirement</w:t>
            </w:r>
          </w:p>
        </w:tc>
        <w:tc>
          <w:tcPr>
            <w:tcW w:w="1469" w:type="dxa"/>
            <w:tcBorders>
              <w:left w:val="single" w:sz="4" w:space="0" w:color="000000"/>
              <w:bottom w:val="single" w:sz="4" w:space="0" w:color="000000"/>
              <w:right w:val="single" w:sz="4" w:space="0" w:color="000000"/>
            </w:tcBorders>
            <w:shd w:val="pct25" w:color="auto" w:fill="auto"/>
            <w:vAlign w:val="bottom"/>
            <w:hideMark/>
          </w:tcPr>
          <w:p w14:paraId="63F89182" w14:textId="77777777" w:rsidR="009125FD" w:rsidRPr="005C5D59" w:rsidRDefault="009125FD" w:rsidP="009125FD">
            <w:pPr>
              <w:rPr>
                <w:rFonts w:ascii="Arial" w:hAnsi="Arial" w:cs="Arial"/>
                <w:b/>
                <w:color w:val="000000"/>
                <w:sz w:val="18"/>
                <w:szCs w:val="18"/>
                <w:highlight w:val="yellow"/>
              </w:rPr>
            </w:pPr>
            <w:r w:rsidRPr="005C5D59">
              <w:rPr>
                <w:rFonts w:ascii="Arial" w:hAnsi="Arial" w:cs="Arial"/>
                <w:b/>
                <w:sz w:val="18"/>
                <w:szCs w:val="18"/>
              </w:rPr>
              <w:t>Ordered Component Class*</w:t>
            </w:r>
          </w:p>
        </w:tc>
        <w:tc>
          <w:tcPr>
            <w:tcW w:w="126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51F30E21" w14:textId="77777777" w:rsidR="009125FD" w:rsidRPr="005C5D59" w:rsidRDefault="009125FD" w:rsidP="009125FD">
            <w:pPr>
              <w:rPr>
                <w:rFonts w:ascii="Arial" w:hAnsi="Arial" w:cs="Arial"/>
                <w:b/>
                <w:sz w:val="18"/>
                <w:szCs w:val="18"/>
              </w:rPr>
            </w:pPr>
            <w:r>
              <w:rPr>
                <w:rFonts w:ascii="Arial" w:hAnsi="Arial" w:cs="Arial"/>
                <w:b/>
                <w:sz w:val="18"/>
                <w:szCs w:val="18"/>
              </w:rPr>
              <w:t>Selected U</w:t>
            </w:r>
            <w:r w:rsidRPr="005C5D59">
              <w:rPr>
                <w:rFonts w:ascii="Arial" w:hAnsi="Arial" w:cs="Arial"/>
                <w:b/>
                <w:sz w:val="18"/>
                <w:szCs w:val="18"/>
              </w:rPr>
              <w:t>nit is</w:t>
            </w:r>
          </w:p>
        </w:tc>
        <w:tc>
          <w:tcPr>
            <w:tcW w:w="162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7471E306" w14:textId="77777777" w:rsidR="009125FD" w:rsidRPr="005C5D59" w:rsidRDefault="009125FD" w:rsidP="009125FD">
            <w:pPr>
              <w:rPr>
                <w:rFonts w:ascii="Arial" w:hAnsi="Arial" w:cs="Arial"/>
                <w:b/>
                <w:sz w:val="18"/>
                <w:szCs w:val="18"/>
              </w:rPr>
            </w:pPr>
            <w:r w:rsidRPr="005C5D59">
              <w:rPr>
                <w:rFonts w:ascii="Arial" w:hAnsi="Arial" w:cs="Arial"/>
                <w:b/>
                <w:sz w:val="18"/>
                <w:szCs w:val="18"/>
              </w:rPr>
              <w:t>Selected User Role</w:t>
            </w:r>
          </w:p>
        </w:tc>
        <w:tc>
          <w:tcPr>
            <w:tcW w:w="405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501F519E" w14:textId="77777777" w:rsidR="009125FD" w:rsidRPr="005C5D59" w:rsidRDefault="009125FD" w:rsidP="009125FD">
            <w:pPr>
              <w:rPr>
                <w:rFonts w:ascii="Arial" w:hAnsi="Arial" w:cs="Arial"/>
                <w:b/>
                <w:sz w:val="18"/>
                <w:szCs w:val="18"/>
              </w:rPr>
            </w:pPr>
            <w:r w:rsidRPr="005C5D59">
              <w:rPr>
                <w:rFonts w:ascii="Arial" w:hAnsi="Arial" w:cs="Arial"/>
                <w:b/>
                <w:sz w:val="18"/>
                <w:szCs w:val="18"/>
              </w:rPr>
              <w:t>Expected System Response</w:t>
            </w:r>
          </w:p>
        </w:tc>
      </w:tr>
      <w:tr w:rsidR="009125FD" w:rsidRPr="005C5D59" w14:paraId="42C79AA5" w14:textId="77777777" w:rsidTr="009125FD">
        <w:trPr>
          <w:cantSplit/>
          <w:trHeight w:val="284"/>
        </w:trPr>
        <w:tc>
          <w:tcPr>
            <w:tcW w:w="1843" w:type="dxa"/>
            <w:vMerge w:val="restart"/>
            <w:tcBorders>
              <w:top w:val="single" w:sz="4" w:space="0" w:color="000000"/>
              <w:left w:val="single" w:sz="4" w:space="0" w:color="000000"/>
              <w:right w:val="single" w:sz="4" w:space="0" w:color="000000"/>
            </w:tcBorders>
            <w:vAlign w:val="center"/>
            <w:hideMark/>
          </w:tcPr>
          <w:p w14:paraId="5B5B07BA" w14:textId="77777777" w:rsidR="009125FD" w:rsidRPr="00D93607" w:rsidRDefault="009125FD" w:rsidP="009125FD">
            <w:pPr>
              <w:jc w:val="center"/>
              <w:rPr>
                <w:rFonts w:ascii="Arial" w:hAnsi="Arial" w:cs="Arial"/>
                <w:sz w:val="28"/>
                <w:szCs w:val="28"/>
              </w:rPr>
            </w:pPr>
            <w:r w:rsidRPr="00D93607">
              <w:rPr>
                <w:rFonts w:ascii="Arial" w:hAnsi="Arial" w:cs="Arial"/>
                <w:b/>
                <w:sz w:val="28"/>
                <w:szCs w:val="28"/>
              </w:rPr>
              <w:t>Sickle Cell Negative RBC products</w:t>
            </w:r>
          </w:p>
        </w:tc>
        <w:tc>
          <w:tcPr>
            <w:tcW w:w="1469" w:type="dxa"/>
            <w:tcBorders>
              <w:top w:val="single" w:sz="4" w:space="0" w:color="000000"/>
              <w:left w:val="single" w:sz="4" w:space="0" w:color="000000"/>
              <w:right w:val="single" w:sz="4" w:space="0" w:color="000000"/>
            </w:tcBorders>
            <w:shd w:val="pct10" w:color="auto" w:fill="auto"/>
            <w:vAlign w:val="center"/>
            <w:hideMark/>
          </w:tcPr>
          <w:p w14:paraId="4E444276" w14:textId="77777777" w:rsidR="009125FD" w:rsidRDefault="009125FD" w:rsidP="009125FD">
            <w:pPr>
              <w:spacing w:before="120" w:after="120"/>
              <w:jc w:val="center"/>
              <w:rPr>
                <w:rFonts w:ascii="Arial" w:hAnsi="Arial" w:cs="Arial"/>
                <w:sz w:val="18"/>
                <w:szCs w:val="18"/>
              </w:rPr>
            </w:pPr>
            <w:r>
              <w:rPr>
                <w:rFonts w:ascii="Arial" w:hAnsi="Arial" w:cs="Arial"/>
                <w:sz w:val="18"/>
                <w:szCs w:val="18"/>
              </w:rPr>
              <w:t>RED BLOOD CELLS</w:t>
            </w:r>
          </w:p>
          <w:p w14:paraId="2BB6852E" w14:textId="77777777" w:rsidR="009125FD" w:rsidRPr="005C5D59" w:rsidRDefault="009125FD" w:rsidP="009125FD">
            <w:pPr>
              <w:spacing w:after="120"/>
              <w:jc w:val="center"/>
              <w:rPr>
                <w:rFonts w:ascii="Arial" w:hAnsi="Arial" w:cs="Arial"/>
                <w:sz w:val="18"/>
                <w:szCs w:val="18"/>
              </w:rPr>
            </w:pPr>
            <w:r>
              <w:rPr>
                <w:rFonts w:ascii="Arial" w:hAnsi="Arial" w:cs="Arial"/>
                <w:sz w:val="18"/>
                <w:szCs w:val="18"/>
              </w:rPr>
              <w:t xml:space="preserve"> WHOLE BLOOD</w:t>
            </w:r>
          </w:p>
        </w:tc>
        <w:tc>
          <w:tcPr>
            <w:tcW w:w="1260" w:type="dxa"/>
            <w:tcBorders>
              <w:top w:val="single" w:sz="4" w:space="0" w:color="000000"/>
              <w:left w:val="single" w:sz="4" w:space="0" w:color="000000"/>
              <w:right w:val="single" w:sz="4" w:space="0" w:color="000000"/>
            </w:tcBorders>
            <w:shd w:val="pct10" w:color="auto" w:fill="auto"/>
            <w:vAlign w:val="center"/>
            <w:hideMark/>
          </w:tcPr>
          <w:p w14:paraId="14200729" w14:textId="77777777" w:rsidR="009125FD" w:rsidRPr="008E2609" w:rsidRDefault="009125FD" w:rsidP="009125FD">
            <w:pPr>
              <w:jc w:val="center"/>
              <w:rPr>
                <w:rFonts w:ascii="Arial" w:hAnsi="Arial" w:cs="Arial"/>
                <w:sz w:val="18"/>
                <w:szCs w:val="18"/>
              </w:rPr>
            </w:pPr>
            <w:r w:rsidRPr="008E2609">
              <w:rPr>
                <w:rFonts w:ascii="Arial" w:hAnsi="Arial" w:cs="Arial"/>
                <w:sz w:val="18"/>
                <w:szCs w:val="18"/>
              </w:rPr>
              <w:t>Sickle Cell negative</w:t>
            </w:r>
          </w:p>
        </w:tc>
        <w:tc>
          <w:tcPr>
            <w:tcW w:w="1620" w:type="dxa"/>
            <w:tcBorders>
              <w:top w:val="single" w:sz="4" w:space="0" w:color="000000"/>
              <w:left w:val="single" w:sz="4" w:space="0" w:color="000000"/>
              <w:right w:val="single" w:sz="4" w:space="0" w:color="000000"/>
            </w:tcBorders>
            <w:shd w:val="pct10" w:color="auto" w:fill="auto"/>
            <w:vAlign w:val="center"/>
            <w:hideMark/>
          </w:tcPr>
          <w:p w14:paraId="2BBF7461" w14:textId="77777777" w:rsidR="009125FD" w:rsidRPr="008E2609" w:rsidRDefault="009125FD" w:rsidP="009125FD">
            <w:pPr>
              <w:jc w:val="center"/>
              <w:rPr>
                <w:rFonts w:ascii="Arial" w:hAnsi="Arial" w:cs="Arial"/>
                <w:sz w:val="18"/>
                <w:szCs w:val="18"/>
              </w:rPr>
            </w:pPr>
            <w:r w:rsidRPr="008E2609">
              <w:rPr>
                <w:rFonts w:ascii="Arial" w:hAnsi="Arial" w:cs="Arial"/>
                <w:sz w:val="18"/>
                <w:szCs w:val="18"/>
              </w:rPr>
              <w:t>ALL VBECS Users</w:t>
            </w:r>
          </w:p>
        </w:tc>
        <w:tc>
          <w:tcPr>
            <w:tcW w:w="4050" w:type="dxa"/>
            <w:tcBorders>
              <w:top w:val="single" w:sz="4" w:space="0" w:color="000000"/>
              <w:left w:val="single" w:sz="4" w:space="0" w:color="000000"/>
              <w:right w:val="single" w:sz="4" w:space="0" w:color="000000"/>
            </w:tcBorders>
            <w:shd w:val="pct10" w:color="auto" w:fill="auto"/>
            <w:vAlign w:val="center"/>
          </w:tcPr>
          <w:p w14:paraId="6AE087D3" w14:textId="77777777" w:rsidR="009125FD" w:rsidRPr="005C5D59" w:rsidRDefault="009125FD" w:rsidP="009125FD">
            <w:pPr>
              <w:jc w:val="center"/>
              <w:rPr>
                <w:rFonts w:ascii="Arial" w:hAnsi="Arial" w:cs="Arial"/>
                <w:sz w:val="18"/>
                <w:szCs w:val="18"/>
              </w:rPr>
            </w:pPr>
            <w:r w:rsidRPr="005C5D59">
              <w:rPr>
                <w:rFonts w:ascii="Arial" w:hAnsi="Arial" w:cs="Arial"/>
                <w:sz w:val="18"/>
                <w:szCs w:val="18"/>
              </w:rPr>
              <w:t>No warning message will display.</w:t>
            </w:r>
          </w:p>
        </w:tc>
      </w:tr>
      <w:tr w:rsidR="009125FD" w:rsidRPr="005C5D59" w14:paraId="637EC0A7" w14:textId="77777777" w:rsidTr="009125FD">
        <w:trPr>
          <w:cantSplit/>
          <w:trHeight w:val="864"/>
        </w:trPr>
        <w:tc>
          <w:tcPr>
            <w:tcW w:w="1843" w:type="dxa"/>
            <w:vMerge/>
            <w:tcBorders>
              <w:left w:val="single" w:sz="4" w:space="0" w:color="000000"/>
              <w:right w:val="single" w:sz="4" w:space="0" w:color="000000"/>
            </w:tcBorders>
            <w:vAlign w:val="bottom"/>
          </w:tcPr>
          <w:p w14:paraId="7E84827B" w14:textId="77777777" w:rsidR="009125FD" w:rsidRPr="005C5D59" w:rsidRDefault="009125FD" w:rsidP="009125FD">
            <w:pPr>
              <w:rPr>
                <w:rFonts w:ascii="Arial" w:hAnsi="Arial" w:cs="Arial"/>
                <w:b/>
                <w:sz w:val="18"/>
                <w:szCs w:val="18"/>
              </w:rPr>
            </w:pPr>
          </w:p>
        </w:tc>
        <w:tc>
          <w:tcPr>
            <w:tcW w:w="1469" w:type="dxa"/>
            <w:tcBorders>
              <w:top w:val="single" w:sz="4" w:space="0" w:color="000000"/>
              <w:left w:val="single" w:sz="4" w:space="0" w:color="000000"/>
              <w:bottom w:val="single" w:sz="4" w:space="0" w:color="000000"/>
              <w:right w:val="single" w:sz="4" w:space="0" w:color="000000"/>
            </w:tcBorders>
            <w:vAlign w:val="center"/>
          </w:tcPr>
          <w:p w14:paraId="3C8EA105" w14:textId="77777777" w:rsidR="009125FD" w:rsidRDefault="009125FD" w:rsidP="009125FD">
            <w:pPr>
              <w:jc w:val="center"/>
              <w:rPr>
                <w:rFonts w:ascii="Arial" w:hAnsi="Arial" w:cs="Arial"/>
                <w:sz w:val="18"/>
                <w:szCs w:val="18"/>
              </w:rPr>
            </w:pPr>
            <w:r w:rsidRPr="005C5D59">
              <w:rPr>
                <w:rFonts w:ascii="Arial" w:hAnsi="Arial" w:cs="Arial"/>
                <w:sz w:val="18"/>
                <w:szCs w:val="18"/>
              </w:rPr>
              <w:t xml:space="preserve">RED BLOOD CELLS </w:t>
            </w:r>
          </w:p>
          <w:p w14:paraId="46C40BDE" w14:textId="77777777" w:rsidR="009125FD" w:rsidRDefault="009125FD" w:rsidP="009125FD">
            <w:pPr>
              <w:jc w:val="center"/>
              <w:rPr>
                <w:rFonts w:ascii="Arial" w:hAnsi="Arial" w:cs="Arial"/>
                <w:sz w:val="18"/>
                <w:szCs w:val="18"/>
              </w:rPr>
            </w:pPr>
          </w:p>
          <w:p w14:paraId="6A080F53" w14:textId="77777777" w:rsidR="009125FD" w:rsidRPr="005C5D59" w:rsidRDefault="009125FD" w:rsidP="009125FD">
            <w:pPr>
              <w:jc w:val="center"/>
              <w:rPr>
                <w:rFonts w:ascii="Arial" w:hAnsi="Arial" w:cs="Arial"/>
                <w:sz w:val="18"/>
                <w:szCs w:val="18"/>
              </w:rPr>
            </w:pPr>
            <w:r w:rsidRPr="005C5D59">
              <w:rPr>
                <w:rFonts w:ascii="Arial" w:hAnsi="Arial" w:cs="Arial"/>
                <w:sz w:val="18"/>
                <w:szCs w:val="18"/>
              </w:rPr>
              <w:t>WHOLE BLOOD</w:t>
            </w:r>
          </w:p>
        </w:tc>
        <w:tc>
          <w:tcPr>
            <w:tcW w:w="1260" w:type="dxa"/>
            <w:tcBorders>
              <w:top w:val="single" w:sz="4" w:space="0" w:color="000000"/>
              <w:left w:val="single" w:sz="4" w:space="0" w:color="000000"/>
              <w:right w:val="single" w:sz="4" w:space="0" w:color="000000"/>
            </w:tcBorders>
            <w:vAlign w:val="center"/>
          </w:tcPr>
          <w:p w14:paraId="5240CE86" w14:textId="77777777" w:rsidR="009125FD" w:rsidRPr="005356E6" w:rsidRDefault="009125FD" w:rsidP="009125FD">
            <w:pPr>
              <w:jc w:val="center"/>
              <w:rPr>
                <w:rFonts w:ascii="Arial" w:hAnsi="Arial" w:cs="Arial"/>
                <w:b/>
                <w:color w:val="FF0000"/>
                <w:sz w:val="18"/>
                <w:szCs w:val="18"/>
              </w:rPr>
            </w:pPr>
            <w:r w:rsidRPr="005356E6">
              <w:rPr>
                <w:rFonts w:ascii="Arial" w:hAnsi="Arial" w:cs="Arial"/>
                <w:b/>
                <w:color w:val="FF0000"/>
                <w:sz w:val="18"/>
                <w:szCs w:val="18"/>
              </w:rPr>
              <w:t>NOT</w:t>
            </w:r>
          </w:p>
          <w:p w14:paraId="1B3FCFB0" w14:textId="77777777" w:rsidR="009125FD" w:rsidRPr="005356E6" w:rsidRDefault="009125FD" w:rsidP="009125FD">
            <w:pPr>
              <w:jc w:val="center"/>
              <w:rPr>
                <w:rFonts w:ascii="Arial" w:hAnsi="Arial" w:cs="Arial"/>
                <w:b/>
                <w:color w:val="FF0000"/>
                <w:sz w:val="18"/>
                <w:szCs w:val="18"/>
              </w:rPr>
            </w:pPr>
            <w:r w:rsidRPr="005356E6">
              <w:rPr>
                <w:rFonts w:ascii="Arial" w:hAnsi="Arial" w:cs="Arial"/>
                <w:b/>
                <w:color w:val="FF0000"/>
                <w:sz w:val="18"/>
                <w:szCs w:val="18"/>
              </w:rPr>
              <w:t>Sickle Cell Negative</w:t>
            </w:r>
          </w:p>
        </w:tc>
        <w:tc>
          <w:tcPr>
            <w:tcW w:w="1620" w:type="dxa"/>
            <w:tcBorders>
              <w:top w:val="single" w:sz="4" w:space="0" w:color="000000"/>
              <w:left w:val="single" w:sz="4" w:space="0" w:color="000000"/>
              <w:right w:val="single" w:sz="4" w:space="0" w:color="000000"/>
            </w:tcBorders>
            <w:vAlign w:val="center"/>
          </w:tcPr>
          <w:p w14:paraId="7A0F40B7" w14:textId="77777777" w:rsidR="009125FD" w:rsidRPr="00FB56F0" w:rsidRDefault="009125FD" w:rsidP="009125FD">
            <w:pPr>
              <w:ind w:left="36"/>
              <w:rPr>
                <w:rFonts w:ascii="Arial" w:hAnsi="Arial" w:cs="Arial"/>
                <w:sz w:val="18"/>
                <w:szCs w:val="18"/>
              </w:rPr>
            </w:pPr>
            <w:r w:rsidRPr="00FB56F0">
              <w:rPr>
                <w:rFonts w:ascii="Arial" w:hAnsi="Arial" w:cs="Arial"/>
                <w:noProof/>
                <w:sz w:val="18"/>
                <w:szCs w:val="18"/>
              </w:rPr>
              <w:t>Technologist</w:t>
            </w:r>
          </w:p>
          <w:p w14:paraId="3632AC02" w14:textId="77777777" w:rsidR="009125FD" w:rsidRPr="00836EE2" w:rsidRDefault="009125FD" w:rsidP="009125FD">
            <w:pPr>
              <w:ind w:left="36"/>
              <w:rPr>
                <w:rFonts w:ascii="Arial" w:hAnsi="Arial" w:cs="Arial"/>
                <w:sz w:val="18"/>
                <w:szCs w:val="18"/>
              </w:rPr>
            </w:pPr>
          </w:p>
          <w:p w14:paraId="50FDA88F" w14:textId="77777777" w:rsidR="009125FD" w:rsidRPr="00FB56F0" w:rsidRDefault="009125FD" w:rsidP="009125FD">
            <w:pPr>
              <w:ind w:left="36"/>
              <w:rPr>
                <w:rFonts w:ascii="Arial" w:hAnsi="Arial" w:cs="Arial"/>
                <w:noProof/>
                <w:sz w:val="18"/>
                <w:szCs w:val="18"/>
              </w:rPr>
            </w:pPr>
            <w:r w:rsidRPr="00FB56F0">
              <w:rPr>
                <w:rFonts w:ascii="Arial" w:hAnsi="Arial" w:cs="Arial"/>
                <w:noProof/>
                <w:sz w:val="18"/>
                <w:szCs w:val="18"/>
              </w:rPr>
              <w:t>Enhanced Technologist</w:t>
            </w:r>
          </w:p>
        </w:tc>
        <w:tc>
          <w:tcPr>
            <w:tcW w:w="4050" w:type="dxa"/>
            <w:tcBorders>
              <w:top w:val="single" w:sz="4" w:space="0" w:color="000000"/>
              <w:left w:val="single" w:sz="4" w:space="0" w:color="000000"/>
              <w:right w:val="single" w:sz="4" w:space="0" w:color="000000"/>
            </w:tcBorders>
            <w:vAlign w:val="bottom"/>
          </w:tcPr>
          <w:p w14:paraId="2E385C01" w14:textId="77777777" w:rsidR="009125FD" w:rsidRDefault="009125FD" w:rsidP="009125FD">
            <w:pPr>
              <w:rPr>
                <w:rFonts w:ascii="Arial" w:hAnsi="Arial" w:cs="Arial"/>
                <w:sz w:val="18"/>
                <w:szCs w:val="18"/>
              </w:rPr>
            </w:pPr>
            <w:r w:rsidRPr="005C5D59">
              <w:rPr>
                <w:rFonts w:ascii="Arial" w:hAnsi="Arial" w:cs="Arial"/>
                <w:sz w:val="18"/>
                <w:szCs w:val="18"/>
              </w:rPr>
              <w:t xml:space="preserve">The system displays the warning message: </w:t>
            </w:r>
            <w:r w:rsidRPr="00836EE2">
              <w:rPr>
                <w:rFonts w:ascii="Arial" w:hAnsi="Arial" w:cs="Arial"/>
                <w:i/>
                <w:sz w:val="18"/>
                <w:szCs w:val="18"/>
              </w:rPr>
              <w:t>Patient’s Transfusion Requirement is not satisfied.</w:t>
            </w:r>
            <w:r w:rsidRPr="005C5D59">
              <w:rPr>
                <w:rFonts w:ascii="Arial" w:hAnsi="Arial" w:cs="Arial"/>
                <w:sz w:val="18"/>
                <w:szCs w:val="18"/>
              </w:rPr>
              <w:t xml:space="preserve"> </w:t>
            </w:r>
            <w:r w:rsidRPr="007F3B3C">
              <w:rPr>
                <w:rFonts w:ascii="Arial" w:hAnsi="Arial" w:cs="Arial"/>
                <w:i/>
                <w:sz w:val="18"/>
                <w:szCs w:val="18"/>
              </w:rPr>
              <w:t>You do not have the proper security to issue this unit. Further processing is needed and must be documented in VBECS.</w:t>
            </w:r>
            <w:r w:rsidRPr="005C5D59">
              <w:rPr>
                <w:rFonts w:ascii="Arial" w:hAnsi="Arial" w:cs="Arial"/>
                <w:sz w:val="18"/>
                <w:szCs w:val="18"/>
              </w:rPr>
              <w:t xml:space="preserve"> </w:t>
            </w:r>
          </w:p>
          <w:p w14:paraId="432E54FA" w14:textId="77777777" w:rsidR="009125FD" w:rsidRPr="005C5D59" w:rsidRDefault="009125FD" w:rsidP="009125FD">
            <w:pPr>
              <w:rPr>
                <w:rFonts w:ascii="Arial" w:hAnsi="Arial" w:cs="Arial"/>
                <w:sz w:val="18"/>
                <w:szCs w:val="18"/>
              </w:rPr>
            </w:pPr>
            <w:r>
              <w:rPr>
                <w:rFonts w:ascii="Arial" w:hAnsi="Arial" w:cs="Arial"/>
                <w:sz w:val="18"/>
                <w:szCs w:val="18"/>
              </w:rPr>
              <w:t>The tech may not issue this unit in the computer.</w:t>
            </w:r>
          </w:p>
        </w:tc>
      </w:tr>
      <w:tr w:rsidR="009125FD" w:rsidRPr="005C5D59" w14:paraId="4BB0137C" w14:textId="77777777" w:rsidTr="009125FD">
        <w:trPr>
          <w:cantSplit/>
          <w:trHeight w:val="1296"/>
        </w:trPr>
        <w:tc>
          <w:tcPr>
            <w:tcW w:w="1843" w:type="dxa"/>
            <w:vMerge/>
            <w:tcBorders>
              <w:left w:val="single" w:sz="4" w:space="0" w:color="000000"/>
              <w:right w:val="single" w:sz="4" w:space="0" w:color="000000"/>
            </w:tcBorders>
            <w:vAlign w:val="bottom"/>
          </w:tcPr>
          <w:p w14:paraId="10B1AB99" w14:textId="77777777" w:rsidR="009125FD" w:rsidRPr="005C5D59" w:rsidRDefault="009125FD" w:rsidP="009125FD">
            <w:pPr>
              <w:rPr>
                <w:rFonts w:ascii="Arial" w:hAnsi="Arial" w:cs="Arial"/>
                <w:b/>
                <w:sz w:val="18"/>
                <w:szCs w:val="18"/>
              </w:rPr>
            </w:pPr>
          </w:p>
        </w:tc>
        <w:tc>
          <w:tcPr>
            <w:tcW w:w="1469" w:type="dxa"/>
            <w:tcBorders>
              <w:top w:val="single" w:sz="4" w:space="0" w:color="000000"/>
              <w:left w:val="single" w:sz="4" w:space="0" w:color="000000"/>
              <w:bottom w:val="single" w:sz="4" w:space="0" w:color="000000"/>
              <w:right w:val="single" w:sz="4" w:space="0" w:color="000000"/>
            </w:tcBorders>
            <w:vAlign w:val="center"/>
          </w:tcPr>
          <w:p w14:paraId="0B10D9C3" w14:textId="77777777" w:rsidR="009125FD" w:rsidRDefault="009125FD" w:rsidP="009125FD">
            <w:pPr>
              <w:jc w:val="center"/>
              <w:rPr>
                <w:rFonts w:ascii="Arial" w:hAnsi="Arial" w:cs="Arial"/>
                <w:sz w:val="18"/>
                <w:szCs w:val="18"/>
              </w:rPr>
            </w:pPr>
            <w:r w:rsidRPr="005C5D59">
              <w:rPr>
                <w:rFonts w:ascii="Arial" w:hAnsi="Arial" w:cs="Arial"/>
                <w:sz w:val="18"/>
                <w:szCs w:val="18"/>
              </w:rPr>
              <w:t xml:space="preserve">RED BLOOD CELLS </w:t>
            </w:r>
          </w:p>
          <w:p w14:paraId="207EC4C4" w14:textId="77777777" w:rsidR="009125FD" w:rsidRDefault="009125FD" w:rsidP="009125FD">
            <w:pPr>
              <w:jc w:val="center"/>
              <w:rPr>
                <w:rFonts w:ascii="Arial" w:hAnsi="Arial" w:cs="Arial"/>
                <w:sz w:val="18"/>
                <w:szCs w:val="18"/>
              </w:rPr>
            </w:pPr>
          </w:p>
          <w:p w14:paraId="3A4F4C26" w14:textId="77777777" w:rsidR="009125FD" w:rsidRPr="005C5D59" w:rsidRDefault="009125FD" w:rsidP="009125FD">
            <w:pPr>
              <w:jc w:val="center"/>
              <w:rPr>
                <w:rFonts w:ascii="Arial" w:hAnsi="Arial" w:cs="Arial"/>
                <w:sz w:val="18"/>
                <w:szCs w:val="18"/>
              </w:rPr>
            </w:pPr>
            <w:r w:rsidRPr="005C5D59">
              <w:rPr>
                <w:rFonts w:ascii="Arial" w:hAnsi="Arial" w:cs="Arial"/>
                <w:sz w:val="18"/>
                <w:szCs w:val="18"/>
              </w:rPr>
              <w:t>WHOLE BLOOD</w:t>
            </w:r>
          </w:p>
        </w:tc>
        <w:tc>
          <w:tcPr>
            <w:tcW w:w="1260" w:type="dxa"/>
            <w:tcBorders>
              <w:top w:val="single" w:sz="4" w:space="0" w:color="000000"/>
              <w:left w:val="single" w:sz="4" w:space="0" w:color="000000"/>
              <w:right w:val="single" w:sz="4" w:space="0" w:color="000000"/>
            </w:tcBorders>
            <w:vAlign w:val="center"/>
          </w:tcPr>
          <w:p w14:paraId="0F292972" w14:textId="77777777" w:rsidR="009125FD" w:rsidRPr="005356E6" w:rsidRDefault="009125FD" w:rsidP="009125FD">
            <w:pPr>
              <w:jc w:val="center"/>
              <w:rPr>
                <w:rFonts w:ascii="Arial" w:hAnsi="Arial" w:cs="Arial"/>
                <w:b/>
                <w:color w:val="FF0000"/>
                <w:sz w:val="18"/>
                <w:szCs w:val="18"/>
              </w:rPr>
            </w:pPr>
            <w:r w:rsidRPr="005356E6">
              <w:rPr>
                <w:rFonts w:ascii="Arial" w:hAnsi="Arial" w:cs="Arial"/>
                <w:b/>
                <w:color w:val="FF0000"/>
                <w:sz w:val="18"/>
                <w:szCs w:val="18"/>
              </w:rPr>
              <w:t xml:space="preserve">NOT </w:t>
            </w:r>
          </w:p>
          <w:p w14:paraId="3927B383" w14:textId="77777777" w:rsidR="009125FD" w:rsidRPr="005356E6" w:rsidRDefault="009125FD" w:rsidP="009125FD">
            <w:pPr>
              <w:jc w:val="center"/>
              <w:rPr>
                <w:rFonts w:ascii="Arial" w:hAnsi="Arial" w:cs="Arial"/>
                <w:b/>
                <w:color w:val="FF0000"/>
                <w:sz w:val="18"/>
                <w:szCs w:val="18"/>
              </w:rPr>
            </w:pPr>
            <w:r w:rsidRPr="005356E6">
              <w:rPr>
                <w:rFonts w:ascii="Arial" w:hAnsi="Arial" w:cs="Arial"/>
                <w:b/>
                <w:color w:val="FF0000"/>
                <w:sz w:val="18"/>
                <w:szCs w:val="18"/>
              </w:rPr>
              <w:t>Sickle Cell Negative</w:t>
            </w:r>
          </w:p>
        </w:tc>
        <w:tc>
          <w:tcPr>
            <w:tcW w:w="1620" w:type="dxa"/>
            <w:tcBorders>
              <w:top w:val="single" w:sz="4" w:space="0" w:color="000000"/>
              <w:left w:val="single" w:sz="4" w:space="0" w:color="000000"/>
              <w:right w:val="single" w:sz="4" w:space="0" w:color="000000"/>
            </w:tcBorders>
            <w:vAlign w:val="center"/>
          </w:tcPr>
          <w:p w14:paraId="431E6BCD" w14:textId="77777777" w:rsidR="009125FD" w:rsidRPr="00FB56F0" w:rsidRDefault="009125FD" w:rsidP="009125FD">
            <w:pPr>
              <w:spacing w:before="120"/>
              <w:ind w:left="36"/>
              <w:rPr>
                <w:rFonts w:ascii="Arial" w:hAnsi="Arial" w:cs="Arial"/>
                <w:sz w:val="18"/>
                <w:szCs w:val="18"/>
              </w:rPr>
            </w:pPr>
            <w:r w:rsidRPr="00FB56F0">
              <w:rPr>
                <w:rFonts w:ascii="Arial" w:hAnsi="Arial" w:cs="Arial"/>
                <w:sz w:val="18"/>
                <w:szCs w:val="18"/>
              </w:rPr>
              <w:t>Lead Technologist</w:t>
            </w:r>
          </w:p>
          <w:p w14:paraId="011A6EB1" w14:textId="77777777" w:rsidR="009125FD" w:rsidRPr="00FB56F0" w:rsidRDefault="009125FD" w:rsidP="009125FD">
            <w:pPr>
              <w:spacing w:before="120"/>
              <w:ind w:left="36"/>
              <w:rPr>
                <w:rFonts w:ascii="Arial" w:hAnsi="Arial" w:cs="Arial"/>
                <w:sz w:val="18"/>
                <w:szCs w:val="18"/>
              </w:rPr>
            </w:pPr>
            <w:r w:rsidRPr="00FB56F0">
              <w:rPr>
                <w:rFonts w:ascii="Arial" w:hAnsi="Arial" w:cs="Arial"/>
                <w:sz w:val="18"/>
                <w:szCs w:val="18"/>
              </w:rPr>
              <w:t>Traditional Supervisor</w:t>
            </w:r>
          </w:p>
          <w:p w14:paraId="6E154042" w14:textId="77777777" w:rsidR="009125FD" w:rsidRPr="00FB56F0" w:rsidRDefault="009125FD" w:rsidP="009125FD">
            <w:pPr>
              <w:spacing w:before="120"/>
              <w:ind w:left="36"/>
              <w:rPr>
                <w:rFonts w:ascii="Arial" w:hAnsi="Arial" w:cs="Arial"/>
                <w:sz w:val="18"/>
                <w:szCs w:val="18"/>
              </w:rPr>
            </w:pPr>
            <w:r w:rsidRPr="00FB56F0">
              <w:rPr>
                <w:rFonts w:ascii="Arial" w:hAnsi="Arial" w:cs="Arial"/>
                <w:sz w:val="18"/>
                <w:szCs w:val="18"/>
              </w:rPr>
              <w:t>Enhanced Supervisor</w:t>
            </w:r>
          </w:p>
          <w:p w14:paraId="404F1A84" w14:textId="77777777" w:rsidR="009125FD" w:rsidRPr="00FB56F0" w:rsidRDefault="009125FD" w:rsidP="009125FD">
            <w:pPr>
              <w:spacing w:before="120"/>
              <w:ind w:left="36"/>
              <w:rPr>
                <w:rFonts w:ascii="Arial" w:hAnsi="Arial" w:cs="Arial"/>
                <w:sz w:val="18"/>
                <w:szCs w:val="18"/>
              </w:rPr>
            </w:pPr>
            <w:r w:rsidRPr="00FB56F0">
              <w:rPr>
                <w:rFonts w:ascii="Arial" w:hAnsi="Arial" w:cs="Arial"/>
                <w:sz w:val="18"/>
                <w:szCs w:val="18"/>
              </w:rPr>
              <w:t>Administrator/Supervisor</w:t>
            </w:r>
          </w:p>
          <w:p w14:paraId="35B9069B" w14:textId="77777777" w:rsidR="009125FD" w:rsidRPr="008B278A" w:rsidRDefault="009125FD" w:rsidP="009125FD">
            <w:pPr>
              <w:ind w:left="198" w:hanging="162"/>
              <w:rPr>
                <w:rFonts w:ascii="Arial" w:hAnsi="Arial" w:cs="Arial"/>
                <w:sz w:val="18"/>
                <w:szCs w:val="18"/>
              </w:rPr>
            </w:pPr>
          </w:p>
        </w:tc>
        <w:tc>
          <w:tcPr>
            <w:tcW w:w="4050" w:type="dxa"/>
            <w:tcBorders>
              <w:top w:val="single" w:sz="4" w:space="0" w:color="000000"/>
              <w:left w:val="single" w:sz="4" w:space="0" w:color="000000"/>
              <w:right w:val="single" w:sz="4" w:space="0" w:color="000000"/>
            </w:tcBorders>
            <w:vAlign w:val="bottom"/>
          </w:tcPr>
          <w:p w14:paraId="163F3B2F" w14:textId="77777777" w:rsidR="009125FD" w:rsidRPr="005C5D59" w:rsidRDefault="009125FD" w:rsidP="009125FD">
            <w:pPr>
              <w:rPr>
                <w:rFonts w:ascii="Arial" w:hAnsi="Arial" w:cs="Arial"/>
                <w:sz w:val="18"/>
                <w:szCs w:val="18"/>
              </w:rPr>
            </w:pPr>
            <w:r w:rsidRPr="005C5D59">
              <w:rPr>
                <w:rFonts w:ascii="Arial" w:hAnsi="Arial" w:cs="Arial"/>
                <w:sz w:val="18"/>
                <w:szCs w:val="18"/>
              </w:rPr>
              <w:t xml:space="preserve">The system displays the warning message: </w:t>
            </w:r>
            <w:r w:rsidRPr="00836EE2">
              <w:rPr>
                <w:rFonts w:ascii="Arial" w:hAnsi="Arial" w:cs="Arial"/>
                <w:i/>
                <w:sz w:val="18"/>
                <w:szCs w:val="18"/>
              </w:rPr>
              <w:t xml:space="preserve">Patient’s </w:t>
            </w:r>
            <w:r>
              <w:rPr>
                <w:rFonts w:ascii="Arial" w:hAnsi="Arial" w:cs="Arial"/>
                <w:i/>
                <w:sz w:val="18"/>
                <w:szCs w:val="18"/>
              </w:rPr>
              <w:t>Sickle Cell Negative RBC products</w:t>
            </w:r>
            <w:r w:rsidRPr="00836EE2">
              <w:rPr>
                <w:rFonts w:ascii="Arial" w:hAnsi="Arial" w:cs="Arial"/>
                <w:i/>
                <w:sz w:val="18"/>
                <w:szCs w:val="18"/>
              </w:rPr>
              <w:t xml:space="preserve"> Transfusion Requirement is not satisfied</w:t>
            </w:r>
            <w:r w:rsidRPr="005C5D59">
              <w:rPr>
                <w:rFonts w:ascii="Arial" w:hAnsi="Arial" w:cs="Arial"/>
                <w:sz w:val="18"/>
                <w:szCs w:val="18"/>
              </w:rPr>
              <w:t xml:space="preserve"> and prompts the user whether to proceed. </w:t>
            </w:r>
          </w:p>
          <w:p w14:paraId="12CE2982" w14:textId="77777777" w:rsidR="009125FD" w:rsidRPr="005C5D59" w:rsidRDefault="009125FD" w:rsidP="009125FD">
            <w:pPr>
              <w:rPr>
                <w:rFonts w:ascii="Arial" w:hAnsi="Arial" w:cs="Arial"/>
                <w:sz w:val="18"/>
                <w:szCs w:val="18"/>
              </w:rPr>
            </w:pPr>
            <w:r w:rsidRPr="005C5D59">
              <w:rPr>
                <w:rFonts w:ascii="Arial" w:hAnsi="Arial" w:cs="Arial"/>
                <w:sz w:val="18"/>
                <w:szCs w:val="18"/>
              </w:rPr>
              <w:t>If the user responds “No”</w:t>
            </w:r>
            <w:r>
              <w:rPr>
                <w:rFonts w:ascii="Arial" w:hAnsi="Arial" w:cs="Arial"/>
                <w:sz w:val="18"/>
                <w:szCs w:val="18"/>
              </w:rPr>
              <w:t>,</w:t>
            </w:r>
            <w:r w:rsidRPr="005C5D59">
              <w:rPr>
                <w:rFonts w:ascii="Arial" w:hAnsi="Arial" w:cs="Arial"/>
                <w:sz w:val="18"/>
                <w:szCs w:val="18"/>
              </w:rPr>
              <w:t xml:space="preserve"> the system wi</w:t>
            </w:r>
            <w:r>
              <w:rPr>
                <w:rFonts w:ascii="Arial" w:hAnsi="Arial" w:cs="Arial"/>
                <w:sz w:val="18"/>
                <w:szCs w:val="18"/>
              </w:rPr>
              <w:t>ll clear the selected unit.</w:t>
            </w:r>
          </w:p>
          <w:p w14:paraId="0A1B12E2" w14:textId="7F1AFB9F" w:rsidR="009125FD" w:rsidRPr="005C5D59" w:rsidRDefault="009125FD" w:rsidP="009125FD">
            <w:pPr>
              <w:rPr>
                <w:rFonts w:ascii="Arial" w:hAnsi="Arial" w:cs="Arial"/>
                <w:sz w:val="18"/>
                <w:szCs w:val="18"/>
              </w:rPr>
            </w:pPr>
            <w:r w:rsidRPr="005C5D59">
              <w:rPr>
                <w:rFonts w:ascii="Arial" w:hAnsi="Arial" w:cs="Arial"/>
                <w:sz w:val="18"/>
                <w:szCs w:val="18"/>
              </w:rPr>
              <w:t>If the user responds “Yes”</w:t>
            </w:r>
            <w:r>
              <w:rPr>
                <w:rFonts w:ascii="Arial" w:hAnsi="Arial" w:cs="Arial"/>
                <w:sz w:val="18"/>
                <w:szCs w:val="18"/>
              </w:rPr>
              <w:t>,</w:t>
            </w:r>
            <w:r w:rsidRPr="005C5D59">
              <w:rPr>
                <w:rFonts w:ascii="Arial" w:hAnsi="Arial" w:cs="Arial"/>
                <w:sz w:val="18"/>
                <w:szCs w:val="18"/>
              </w:rPr>
              <w:t xml:space="preserve"> the system will require a comment (free text or canned, “unit issue” context) and capture the transacti</w:t>
            </w:r>
            <w:r>
              <w:rPr>
                <w:rFonts w:ascii="Arial" w:hAnsi="Arial" w:cs="Arial"/>
                <w:sz w:val="18"/>
                <w:szCs w:val="18"/>
              </w:rPr>
              <w:t>on details for inclusion in an Exception R</w:t>
            </w:r>
            <w:r w:rsidRPr="005C5D59">
              <w:rPr>
                <w:rFonts w:ascii="Arial" w:hAnsi="Arial" w:cs="Arial"/>
                <w:sz w:val="18"/>
                <w:szCs w:val="18"/>
              </w:rPr>
              <w:t>eport</w:t>
            </w:r>
            <w:r>
              <w:rPr>
                <w:rFonts w:ascii="Arial" w:hAnsi="Arial" w:cs="Arial"/>
                <w:sz w:val="18"/>
                <w:szCs w:val="18"/>
              </w:rPr>
              <w:t xml:space="preserve"> entry</w:t>
            </w:r>
            <w:r w:rsidRPr="005C5D59">
              <w:rPr>
                <w:rFonts w:ascii="Arial" w:hAnsi="Arial" w:cs="Arial"/>
                <w:sz w:val="18"/>
                <w:szCs w:val="18"/>
              </w:rPr>
              <w:t xml:space="preserve">: </w:t>
            </w:r>
            <w:r w:rsidRPr="005C5D59">
              <w:rPr>
                <w:rFonts w:ascii="Arial" w:hAnsi="Arial" w:cs="Arial"/>
                <w:i/>
                <w:sz w:val="18"/>
                <w:szCs w:val="18"/>
              </w:rPr>
              <w:t xml:space="preserve">Unit issued with unsatisfied Transfusion </w:t>
            </w:r>
            <w:r w:rsidR="00AE3B37" w:rsidRPr="005C5D59">
              <w:rPr>
                <w:rFonts w:ascii="Arial" w:hAnsi="Arial" w:cs="Arial"/>
                <w:i/>
                <w:sz w:val="18"/>
                <w:szCs w:val="18"/>
              </w:rPr>
              <w:t>Requirement</w:t>
            </w:r>
            <w:r w:rsidR="00AE3B37" w:rsidRPr="005C5D59">
              <w:rPr>
                <w:rFonts w:ascii="Arial" w:hAnsi="Arial" w:cs="Arial"/>
                <w:sz w:val="18"/>
                <w:szCs w:val="18"/>
              </w:rPr>
              <w:t>.</w:t>
            </w:r>
          </w:p>
        </w:tc>
      </w:tr>
    </w:tbl>
    <w:p w14:paraId="3CE85C68" w14:textId="77777777" w:rsidR="009125FD" w:rsidRDefault="009125FD" w:rsidP="009125FD"/>
    <w:p w14:paraId="392DCBE3" w14:textId="5FDF4E51" w:rsidR="00C15299" w:rsidRDefault="00DA0A28" w:rsidP="00C15299">
      <w:pPr>
        <w:pStyle w:val="Caption"/>
      </w:pPr>
      <w:r>
        <w:br w:type="page"/>
      </w:r>
      <w:bookmarkStart w:id="900" w:name="_Ref343502634"/>
      <w:r w:rsidR="00C15299">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7D1829">
        <w:rPr>
          <w:noProof/>
        </w:rPr>
        <w:t>144</w:t>
      </w:r>
      <w:r w:rsidR="004E20BD">
        <w:rPr>
          <w:noProof/>
        </w:rPr>
        <w:fldChar w:fldCharType="end"/>
      </w:r>
      <w:r w:rsidR="00C15299">
        <w:t>: CMV Negative Cellular Products* and Select Blood Unit</w:t>
      </w:r>
      <w:bookmarkEnd w:id="900"/>
    </w:p>
    <w:tbl>
      <w:tblPr>
        <w:tblW w:w="10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2" w:type="dxa"/>
          <w:right w:w="72" w:type="dxa"/>
        </w:tblCellMar>
        <w:tblLook w:val="04A0" w:firstRow="1" w:lastRow="0" w:firstColumn="1" w:lastColumn="0" w:noHBand="0" w:noVBand="1"/>
      </w:tblPr>
      <w:tblGrid>
        <w:gridCol w:w="1843"/>
        <w:gridCol w:w="1469"/>
        <w:gridCol w:w="1260"/>
        <w:gridCol w:w="1620"/>
        <w:gridCol w:w="4050"/>
      </w:tblGrid>
      <w:tr w:rsidR="009125FD" w:rsidRPr="005C5D59" w14:paraId="16D882AD" w14:textId="77777777" w:rsidTr="009125FD">
        <w:trPr>
          <w:cantSplit/>
          <w:trHeight w:val="305"/>
          <w:tblHeader/>
        </w:trPr>
        <w:tc>
          <w:tcPr>
            <w:tcW w:w="10242" w:type="dxa"/>
            <w:gridSpan w:val="5"/>
            <w:tcBorders>
              <w:top w:val="single" w:sz="4" w:space="0" w:color="000000"/>
              <w:left w:val="single" w:sz="4" w:space="0" w:color="000000"/>
              <w:right w:val="single" w:sz="4" w:space="0" w:color="000000"/>
            </w:tcBorders>
            <w:shd w:val="pct25" w:color="auto" w:fill="auto"/>
            <w:vAlign w:val="bottom"/>
            <w:hideMark/>
          </w:tcPr>
          <w:p w14:paraId="2CF38F98" w14:textId="77777777" w:rsidR="009125FD" w:rsidRPr="005C5D59" w:rsidRDefault="009125FD" w:rsidP="009125FD">
            <w:pPr>
              <w:rPr>
                <w:rFonts w:ascii="Arial" w:hAnsi="Arial" w:cs="Arial"/>
                <w:b/>
                <w:sz w:val="18"/>
                <w:szCs w:val="18"/>
              </w:rPr>
            </w:pPr>
            <w:r w:rsidRPr="005C5D59">
              <w:rPr>
                <w:rFonts w:ascii="Arial" w:hAnsi="Arial" w:cs="Arial"/>
                <w:b/>
                <w:sz w:val="18"/>
                <w:szCs w:val="18"/>
              </w:rPr>
              <w:t xml:space="preserve">Select Unit: </w:t>
            </w:r>
            <w:r>
              <w:rPr>
                <w:rFonts w:ascii="Arial" w:hAnsi="Arial" w:cs="Arial"/>
                <w:b/>
                <w:sz w:val="18"/>
                <w:szCs w:val="18"/>
              </w:rPr>
              <w:t xml:space="preserve"> CMV </w:t>
            </w:r>
            <w:r w:rsidRPr="00C22EDE">
              <w:rPr>
                <w:rFonts w:ascii="Arial" w:hAnsi="Arial" w:cs="Arial"/>
                <w:b/>
                <w:sz w:val="18"/>
                <w:szCs w:val="18"/>
              </w:rPr>
              <w:t>Negative Cellular Products</w:t>
            </w:r>
          </w:p>
        </w:tc>
      </w:tr>
      <w:tr w:rsidR="009125FD" w:rsidRPr="005C5D59" w14:paraId="344289E1" w14:textId="77777777" w:rsidTr="009125FD">
        <w:trPr>
          <w:cantSplit/>
          <w:trHeight w:val="432"/>
          <w:tblHeader/>
        </w:trPr>
        <w:tc>
          <w:tcPr>
            <w:tcW w:w="1843" w:type="dxa"/>
            <w:tcBorders>
              <w:left w:val="single" w:sz="4" w:space="0" w:color="000000"/>
              <w:bottom w:val="single" w:sz="4" w:space="0" w:color="000000"/>
              <w:right w:val="single" w:sz="4" w:space="0" w:color="000000"/>
            </w:tcBorders>
            <w:shd w:val="pct25" w:color="auto" w:fill="auto"/>
            <w:vAlign w:val="bottom"/>
            <w:hideMark/>
          </w:tcPr>
          <w:p w14:paraId="0B19F321" w14:textId="77777777" w:rsidR="009125FD" w:rsidRPr="005C5D59" w:rsidRDefault="009125FD" w:rsidP="009125FD">
            <w:pPr>
              <w:rPr>
                <w:rFonts w:ascii="Arial" w:hAnsi="Arial" w:cs="Arial"/>
                <w:b/>
                <w:sz w:val="18"/>
                <w:szCs w:val="18"/>
              </w:rPr>
            </w:pPr>
            <w:r w:rsidRPr="005C5D59">
              <w:rPr>
                <w:rFonts w:ascii="Arial" w:hAnsi="Arial" w:cs="Arial"/>
                <w:b/>
                <w:sz w:val="18"/>
                <w:szCs w:val="18"/>
              </w:rPr>
              <w:t>Patient Active Transfusion Requirement</w:t>
            </w:r>
          </w:p>
        </w:tc>
        <w:tc>
          <w:tcPr>
            <w:tcW w:w="1469" w:type="dxa"/>
            <w:tcBorders>
              <w:left w:val="single" w:sz="4" w:space="0" w:color="000000"/>
              <w:bottom w:val="single" w:sz="4" w:space="0" w:color="000000"/>
              <w:right w:val="single" w:sz="4" w:space="0" w:color="000000"/>
            </w:tcBorders>
            <w:shd w:val="pct25" w:color="auto" w:fill="auto"/>
            <w:vAlign w:val="bottom"/>
            <w:hideMark/>
          </w:tcPr>
          <w:p w14:paraId="7D90E904" w14:textId="77777777" w:rsidR="009125FD" w:rsidRPr="005C5D59" w:rsidRDefault="009125FD" w:rsidP="009125FD">
            <w:pPr>
              <w:rPr>
                <w:rFonts w:ascii="Arial" w:hAnsi="Arial" w:cs="Arial"/>
                <w:b/>
                <w:color w:val="000000"/>
                <w:sz w:val="18"/>
                <w:szCs w:val="18"/>
                <w:highlight w:val="yellow"/>
              </w:rPr>
            </w:pPr>
            <w:r w:rsidRPr="005C5D59">
              <w:rPr>
                <w:rFonts w:ascii="Arial" w:hAnsi="Arial" w:cs="Arial"/>
                <w:b/>
                <w:sz w:val="18"/>
                <w:szCs w:val="18"/>
              </w:rPr>
              <w:t>Ordered Component Class*</w:t>
            </w:r>
          </w:p>
        </w:tc>
        <w:tc>
          <w:tcPr>
            <w:tcW w:w="126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3B4828DA" w14:textId="77777777" w:rsidR="009125FD" w:rsidRPr="005C5D59" w:rsidRDefault="009125FD" w:rsidP="009125FD">
            <w:pPr>
              <w:jc w:val="center"/>
              <w:rPr>
                <w:rFonts w:ascii="Arial" w:hAnsi="Arial" w:cs="Arial"/>
                <w:b/>
                <w:sz w:val="18"/>
                <w:szCs w:val="18"/>
              </w:rPr>
            </w:pPr>
            <w:r>
              <w:rPr>
                <w:rFonts w:ascii="Arial" w:hAnsi="Arial" w:cs="Arial"/>
                <w:b/>
                <w:sz w:val="18"/>
                <w:szCs w:val="18"/>
              </w:rPr>
              <w:t>Selected U</w:t>
            </w:r>
            <w:r w:rsidRPr="005C5D59">
              <w:rPr>
                <w:rFonts w:ascii="Arial" w:hAnsi="Arial" w:cs="Arial"/>
                <w:b/>
                <w:sz w:val="18"/>
                <w:szCs w:val="18"/>
              </w:rPr>
              <w:t>nit is</w:t>
            </w:r>
          </w:p>
        </w:tc>
        <w:tc>
          <w:tcPr>
            <w:tcW w:w="162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5A540A56" w14:textId="77777777" w:rsidR="009125FD" w:rsidRPr="005C5D59" w:rsidRDefault="009125FD" w:rsidP="009125FD">
            <w:pPr>
              <w:jc w:val="center"/>
              <w:rPr>
                <w:rFonts w:ascii="Arial" w:hAnsi="Arial" w:cs="Arial"/>
                <w:b/>
                <w:sz w:val="18"/>
                <w:szCs w:val="18"/>
              </w:rPr>
            </w:pPr>
            <w:r w:rsidRPr="005C5D59">
              <w:rPr>
                <w:rFonts w:ascii="Arial" w:hAnsi="Arial" w:cs="Arial"/>
                <w:b/>
                <w:sz w:val="18"/>
                <w:szCs w:val="18"/>
              </w:rPr>
              <w:t>User Role</w:t>
            </w:r>
          </w:p>
        </w:tc>
        <w:tc>
          <w:tcPr>
            <w:tcW w:w="405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651D6898" w14:textId="77777777" w:rsidR="009125FD" w:rsidRPr="005C5D59" w:rsidRDefault="009125FD" w:rsidP="009125FD">
            <w:pPr>
              <w:jc w:val="center"/>
              <w:rPr>
                <w:rFonts w:ascii="Arial" w:hAnsi="Arial" w:cs="Arial"/>
                <w:b/>
                <w:sz w:val="18"/>
                <w:szCs w:val="18"/>
              </w:rPr>
            </w:pPr>
            <w:r>
              <w:rPr>
                <w:rFonts w:ascii="Arial" w:hAnsi="Arial" w:cs="Arial"/>
                <w:b/>
                <w:sz w:val="18"/>
                <w:szCs w:val="18"/>
              </w:rPr>
              <w:t xml:space="preserve">VBECS </w:t>
            </w:r>
            <w:r w:rsidRPr="005C5D59">
              <w:rPr>
                <w:rFonts w:ascii="Arial" w:hAnsi="Arial" w:cs="Arial"/>
                <w:b/>
                <w:sz w:val="18"/>
                <w:szCs w:val="18"/>
              </w:rPr>
              <w:t>Response</w:t>
            </w:r>
          </w:p>
        </w:tc>
      </w:tr>
      <w:tr w:rsidR="009125FD" w:rsidRPr="005C5D59" w14:paraId="1F427197" w14:textId="77777777" w:rsidTr="009125FD">
        <w:trPr>
          <w:cantSplit/>
          <w:trHeight w:val="284"/>
        </w:trPr>
        <w:tc>
          <w:tcPr>
            <w:tcW w:w="1843" w:type="dxa"/>
            <w:vMerge w:val="restart"/>
            <w:tcBorders>
              <w:top w:val="single" w:sz="4" w:space="0" w:color="000000"/>
              <w:left w:val="single" w:sz="4" w:space="0" w:color="000000"/>
              <w:right w:val="single" w:sz="4" w:space="0" w:color="000000"/>
            </w:tcBorders>
            <w:vAlign w:val="center"/>
            <w:hideMark/>
          </w:tcPr>
          <w:p w14:paraId="77B03D79" w14:textId="77777777" w:rsidR="009125FD" w:rsidRPr="00B62010" w:rsidRDefault="009125FD" w:rsidP="009125FD">
            <w:pPr>
              <w:jc w:val="center"/>
              <w:rPr>
                <w:rFonts w:ascii="Arial" w:hAnsi="Arial" w:cs="Arial"/>
                <w:b/>
                <w:sz w:val="20"/>
                <w:szCs w:val="20"/>
              </w:rPr>
            </w:pPr>
            <w:r w:rsidRPr="00A92752">
              <w:rPr>
                <w:rFonts w:ascii="Arial" w:hAnsi="Arial" w:cs="Arial"/>
                <w:b/>
                <w:sz w:val="28"/>
                <w:szCs w:val="28"/>
              </w:rPr>
              <w:t>CMV negative cellular products</w:t>
            </w:r>
            <w:r w:rsidRPr="00B62010">
              <w:rPr>
                <w:rFonts w:ascii="Arial" w:hAnsi="Arial" w:cs="Arial"/>
                <w:b/>
                <w:sz w:val="20"/>
                <w:szCs w:val="20"/>
              </w:rPr>
              <w:t xml:space="preserve">*  </w:t>
            </w:r>
          </w:p>
        </w:tc>
        <w:tc>
          <w:tcPr>
            <w:tcW w:w="1469" w:type="dxa"/>
            <w:tcBorders>
              <w:top w:val="single" w:sz="4" w:space="0" w:color="000000"/>
              <w:left w:val="single" w:sz="4" w:space="0" w:color="000000"/>
              <w:right w:val="single" w:sz="4" w:space="0" w:color="000000"/>
            </w:tcBorders>
            <w:shd w:val="pct10" w:color="auto" w:fill="auto"/>
            <w:vAlign w:val="center"/>
            <w:hideMark/>
          </w:tcPr>
          <w:p w14:paraId="3F3348C3" w14:textId="77777777" w:rsidR="009125FD" w:rsidRDefault="009125FD" w:rsidP="009125FD">
            <w:pPr>
              <w:spacing w:after="120"/>
              <w:jc w:val="center"/>
              <w:rPr>
                <w:rFonts w:ascii="Arial" w:hAnsi="Arial" w:cs="Arial"/>
                <w:sz w:val="18"/>
                <w:szCs w:val="18"/>
              </w:rPr>
            </w:pPr>
            <w:r w:rsidRPr="005C5D59">
              <w:rPr>
                <w:rFonts w:ascii="Arial" w:hAnsi="Arial" w:cs="Arial"/>
                <w:sz w:val="18"/>
                <w:szCs w:val="18"/>
              </w:rPr>
              <w:t xml:space="preserve">RED BLOOD CELLS </w:t>
            </w:r>
          </w:p>
          <w:p w14:paraId="2D7B39C8" w14:textId="77777777" w:rsidR="009125FD" w:rsidRDefault="009125FD" w:rsidP="009125FD">
            <w:pPr>
              <w:spacing w:after="120"/>
              <w:jc w:val="center"/>
              <w:rPr>
                <w:rFonts w:ascii="Arial" w:hAnsi="Arial" w:cs="Arial"/>
                <w:sz w:val="18"/>
                <w:szCs w:val="18"/>
              </w:rPr>
            </w:pPr>
            <w:r w:rsidRPr="005C5D59">
              <w:rPr>
                <w:rFonts w:ascii="Arial" w:hAnsi="Arial" w:cs="Arial"/>
                <w:sz w:val="18"/>
                <w:szCs w:val="18"/>
              </w:rPr>
              <w:t xml:space="preserve">  WHOLE BLOOD</w:t>
            </w:r>
          </w:p>
          <w:p w14:paraId="6B64786F" w14:textId="77777777" w:rsidR="009125FD" w:rsidRDefault="009125FD" w:rsidP="009125FD">
            <w:pPr>
              <w:spacing w:after="120"/>
              <w:jc w:val="center"/>
              <w:rPr>
                <w:rFonts w:ascii="Arial" w:hAnsi="Arial" w:cs="Arial"/>
                <w:sz w:val="18"/>
                <w:szCs w:val="18"/>
              </w:rPr>
            </w:pPr>
            <w:r w:rsidRPr="005C5D59">
              <w:rPr>
                <w:rFonts w:ascii="Arial" w:hAnsi="Arial" w:cs="Arial"/>
                <w:sz w:val="18"/>
                <w:szCs w:val="18"/>
              </w:rPr>
              <w:t xml:space="preserve"> PLATELETS</w:t>
            </w:r>
          </w:p>
          <w:p w14:paraId="086D1ECF" w14:textId="77777777" w:rsidR="009125FD" w:rsidRPr="005C5D59" w:rsidRDefault="009125FD" w:rsidP="009125FD">
            <w:pPr>
              <w:spacing w:after="120"/>
              <w:jc w:val="center"/>
              <w:rPr>
                <w:rFonts w:ascii="Arial" w:hAnsi="Arial" w:cs="Arial"/>
                <w:sz w:val="18"/>
                <w:szCs w:val="18"/>
              </w:rPr>
            </w:pPr>
            <w:r w:rsidRPr="005C5D59">
              <w:rPr>
                <w:rFonts w:ascii="Arial" w:hAnsi="Arial" w:cs="Arial"/>
                <w:color w:val="000000"/>
                <w:sz w:val="18"/>
                <w:szCs w:val="18"/>
              </w:rPr>
              <w:t>OTHER</w:t>
            </w:r>
          </w:p>
        </w:tc>
        <w:tc>
          <w:tcPr>
            <w:tcW w:w="1260" w:type="dxa"/>
            <w:tcBorders>
              <w:top w:val="single" w:sz="4" w:space="0" w:color="000000"/>
              <w:left w:val="single" w:sz="4" w:space="0" w:color="000000"/>
              <w:right w:val="single" w:sz="4" w:space="0" w:color="000000"/>
            </w:tcBorders>
            <w:shd w:val="pct10" w:color="auto" w:fill="auto"/>
            <w:vAlign w:val="center"/>
            <w:hideMark/>
          </w:tcPr>
          <w:p w14:paraId="5D438EA4" w14:textId="77777777" w:rsidR="009125FD" w:rsidRPr="00F80646" w:rsidRDefault="009125FD" w:rsidP="009125FD">
            <w:pPr>
              <w:jc w:val="center"/>
              <w:rPr>
                <w:rFonts w:ascii="Arial" w:hAnsi="Arial" w:cs="Arial"/>
                <w:b/>
                <w:sz w:val="18"/>
                <w:szCs w:val="18"/>
              </w:rPr>
            </w:pPr>
            <w:r w:rsidRPr="008E2609">
              <w:rPr>
                <w:rFonts w:ascii="Arial" w:hAnsi="Arial" w:cs="Arial"/>
                <w:sz w:val="18"/>
                <w:szCs w:val="18"/>
              </w:rPr>
              <w:t>CMV Negative</w:t>
            </w:r>
            <w:r>
              <w:rPr>
                <w:rFonts w:ascii="Arial" w:hAnsi="Arial" w:cs="Arial"/>
                <w:b/>
                <w:sz w:val="18"/>
                <w:szCs w:val="18"/>
              </w:rPr>
              <w:t>*</w:t>
            </w:r>
          </w:p>
        </w:tc>
        <w:tc>
          <w:tcPr>
            <w:tcW w:w="1620" w:type="dxa"/>
            <w:tcBorders>
              <w:top w:val="single" w:sz="4" w:space="0" w:color="000000"/>
              <w:left w:val="single" w:sz="4" w:space="0" w:color="000000"/>
              <w:right w:val="single" w:sz="4" w:space="0" w:color="000000"/>
            </w:tcBorders>
            <w:shd w:val="pct10" w:color="auto" w:fill="auto"/>
            <w:vAlign w:val="center"/>
            <w:hideMark/>
          </w:tcPr>
          <w:p w14:paraId="03C40033" w14:textId="77777777" w:rsidR="009125FD" w:rsidRPr="008E2609" w:rsidRDefault="009125FD" w:rsidP="009125FD">
            <w:pPr>
              <w:jc w:val="center"/>
              <w:rPr>
                <w:rFonts w:ascii="Arial" w:hAnsi="Arial" w:cs="Arial"/>
                <w:sz w:val="18"/>
                <w:szCs w:val="18"/>
              </w:rPr>
            </w:pPr>
            <w:r w:rsidRPr="008E2609">
              <w:rPr>
                <w:rFonts w:ascii="Arial" w:hAnsi="Arial" w:cs="Arial"/>
                <w:sz w:val="18"/>
                <w:szCs w:val="18"/>
              </w:rPr>
              <w:t>ALL VBECS Users</w:t>
            </w:r>
          </w:p>
        </w:tc>
        <w:tc>
          <w:tcPr>
            <w:tcW w:w="4050" w:type="dxa"/>
            <w:tcBorders>
              <w:top w:val="single" w:sz="4" w:space="0" w:color="000000"/>
              <w:left w:val="single" w:sz="4" w:space="0" w:color="000000"/>
              <w:right w:val="single" w:sz="4" w:space="0" w:color="000000"/>
            </w:tcBorders>
            <w:shd w:val="pct10" w:color="auto" w:fill="auto"/>
            <w:vAlign w:val="center"/>
          </w:tcPr>
          <w:p w14:paraId="1148571B" w14:textId="77777777" w:rsidR="009125FD" w:rsidRPr="005C5D59" w:rsidRDefault="009125FD" w:rsidP="009125FD">
            <w:pPr>
              <w:jc w:val="center"/>
              <w:rPr>
                <w:rFonts w:ascii="Arial" w:hAnsi="Arial" w:cs="Arial"/>
                <w:sz w:val="18"/>
                <w:szCs w:val="18"/>
              </w:rPr>
            </w:pPr>
            <w:r w:rsidRPr="005C5D59">
              <w:rPr>
                <w:rFonts w:ascii="Arial" w:hAnsi="Arial" w:cs="Arial"/>
                <w:sz w:val="18"/>
                <w:szCs w:val="18"/>
              </w:rPr>
              <w:t>No warning message will display.</w:t>
            </w:r>
          </w:p>
        </w:tc>
      </w:tr>
      <w:tr w:rsidR="009125FD" w:rsidRPr="005C5D59" w14:paraId="776A7F15" w14:textId="77777777" w:rsidTr="009125FD">
        <w:trPr>
          <w:cantSplit/>
          <w:trHeight w:val="576"/>
        </w:trPr>
        <w:tc>
          <w:tcPr>
            <w:tcW w:w="1843" w:type="dxa"/>
            <w:vMerge/>
            <w:tcBorders>
              <w:left w:val="single" w:sz="4" w:space="0" w:color="000000"/>
              <w:right w:val="single" w:sz="4" w:space="0" w:color="000000"/>
            </w:tcBorders>
            <w:vAlign w:val="bottom"/>
          </w:tcPr>
          <w:p w14:paraId="530C6BF8" w14:textId="77777777" w:rsidR="009125FD" w:rsidRPr="005C5D59" w:rsidRDefault="009125FD" w:rsidP="009125FD">
            <w:pPr>
              <w:rPr>
                <w:rFonts w:ascii="Arial" w:hAnsi="Arial" w:cs="Arial"/>
                <w:b/>
                <w:sz w:val="18"/>
                <w:szCs w:val="18"/>
              </w:rPr>
            </w:pPr>
          </w:p>
        </w:tc>
        <w:tc>
          <w:tcPr>
            <w:tcW w:w="1469" w:type="dxa"/>
            <w:tcBorders>
              <w:top w:val="single" w:sz="4" w:space="0" w:color="000000"/>
              <w:left w:val="single" w:sz="4" w:space="0" w:color="000000"/>
              <w:bottom w:val="single" w:sz="4" w:space="0" w:color="000000"/>
              <w:right w:val="single" w:sz="4" w:space="0" w:color="000000"/>
            </w:tcBorders>
            <w:vAlign w:val="center"/>
          </w:tcPr>
          <w:p w14:paraId="1E96F930" w14:textId="77777777" w:rsidR="009125FD" w:rsidRDefault="009125FD" w:rsidP="009125FD">
            <w:pPr>
              <w:rPr>
                <w:rFonts w:ascii="Arial" w:hAnsi="Arial" w:cs="Arial"/>
                <w:sz w:val="18"/>
                <w:szCs w:val="18"/>
              </w:rPr>
            </w:pPr>
            <w:r w:rsidRPr="005C5D59">
              <w:rPr>
                <w:rFonts w:ascii="Arial" w:hAnsi="Arial" w:cs="Arial"/>
                <w:sz w:val="18"/>
                <w:szCs w:val="18"/>
              </w:rPr>
              <w:t>RED BLOOD CELLS</w:t>
            </w:r>
          </w:p>
          <w:p w14:paraId="20E27617" w14:textId="77777777" w:rsidR="009125FD" w:rsidRDefault="009125FD" w:rsidP="009125FD">
            <w:pPr>
              <w:rPr>
                <w:rFonts w:ascii="Arial" w:hAnsi="Arial" w:cs="Arial"/>
                <w:sz w:val="18"/>
                <w:szCs w:val="18"/>
              </w:rPr>
            </w:pPr>
          </w:p>
          <w:p w14:paraId="2AD9070E" w14:textId="77777777" w:rsidR="009125FD" w:rsidRDefault="009125FD" w:rsidP="009125FD">
            <w:pPr>
              <w:rPr>
                <w:rFonts w:ascii="Arial" w:hAnsi="Arial" w:cs="Arial"/>
                <w:sz w:val="18"/>
                <w:szCs w:val="18"/>
              </w:rPr>
            </w:pPr>
            <w:r w:rsidRPr="005C5D59">
              <w:rPr>
                <w:rFonts w:ascii="Arial" w:hAnsi="Arial" w:cs="Arial"/>
                <w:sz w:val="18"/>
                <w:szCs w:val="18"/>
              </w:rPr>
              <w:t>WHOLE BLOOD</w:t>
            </w:r>
          </w:p>
          <w:p w14:paraId="62F06E7D" w14:textId="77777777" w:rsidR="009125FD" w:rsidRDefault="009125FD" w:rsidP="009125FD">
            <w:pPr>
              <w:rPr>
                <w:rFonts w:ascii="Arial" w:hAnsi="Arial" w:cs="Arial"/>
                <w:sz w:val="18"/>
                <w:szCs w:val="18"/>
              </w:rPr>
            </w:pPr>
          </w:p>
          <w:p w14:paraId="3CCB9969" w14:textId="77777777" w:rsidR="009125FD" w:rsidRDefault="009125FD" w:rsidP="009125FD">
            <w:pPr>
              <w:rPr>
                <w:rFonts w:ascii="Arial" w:hAnsi="Arial" w:cs="Arial"/>
                <w:sz w:val="18"/>
                <w:szCs w:val="18"/>
              </w:rPr>
            </w:pPr>
            <w:r w:rsidRPr="005C5D59">
              <w:rPr>
                <w:rFonts w:ascii="Arial" w:hAnsi="Arial" w:cs="Arial"/>
                <w:sz w:val="18"/>
                <w:szCs w:val="18"/>
              </w:rPr>
              <w:t>PLATELETS</w:t>
            </w:r>
          </w:p>
          <w:p w14:paraId="69C92F7A" w14:textId="77777777" w:rsidR="009125FD" w:rsidRDefault="009125FD" w:rsidP="009125FD">
            <w:pPr>
              <w:rPr>
                <w:rFonts w:ascii="Arial" w:hAnsi="Arial" w:cs="Arial"/>
                <w:color w:val="000000"/>
                <w:sz w:val="18"/>
                <w:szCs w:val="18"/>
              </w:rPr>
            </w:pPr>
            <w:r w:rsidRPr="005C5D59">
              <w:rPr>
                <w:rFonts w:ascii="Arial" w:hAnsi="Arial" w:cs="Arial"/>
                <w:color w:val="000000"/>
                <w:sz w:val="18"/>
                <w:szCs w:val="18"/>
              </w:rPr>
              <w:t xml:space="preserve"> </w:t>
            </w:r>
          </w:p>
          <w:p w14:paraId="662F4F75" w14:textId="77777777" w:rsidR="009125FD" w:rsidRPr="005C5D59" w:rsidRDefault="009125FD" w:rsidP="009125FD">
            <w:pPr>
              <w:rPr>
                <w:rFonts w:ascii="Arial" w:hAnsi="Arial" w:cs="Arial"/>
                <w:sz w:val="18"/>
                <w:szCs w:val="18"/>
              </w:rPr>
            </w:pPr>
            <w:r w:rsidRPr="005C5D59">
              <w:rPr>
                <w:rFonts w:ascii="Arial" w:hAnsi="Arial" w:cs="Arial"/>
                <w:color w:val="000000"/>
                <w:sz w:val="18"/>
                <w:szCs w:val="18"/>
              </w:rPr>
              <w:t>OTHER</w:t>
            </w:r>
            <w:r>
              <w:rPr>
                <w:rFonts w:ascii="Arial" w:hAnsi="Arial" w:cs="Arial"/>
                <w:color w:val="000000"/>
                <w:sz w:val="18"/>
                <w:szCs w:val="18"/>
              </w:rPr>
              <w:t>*</w:t>
            </w:r>
          </w:p>
        </w:tc>
        <w:tc>
          <w:tcPr>
            <w:tcW w:w="1260" w:type="dxa"/>
            <w:tcBorders>
              <w:top w:val="single" w:sz="4" w:space="0" w:color="000000"/>
              <w:left w:val="single" w:sz="4" w:space="0" w:color="000000"/>
              <w:bottom w:val="single" w:sz="4" w:space="0" w:color="000000"/>
              <w:right w:val="single" w:sz="4" w:space="0" w:color="000000"/>
            </w:tcBorders>
            <w:vAlign w:val="center"/>
          </w:tcPr>
          <w:p w14:paraId="40082A2C" w14:textId="77777777" w:rsidR="009125FD" w:rsidRDefault="009125FD" w:rsidP="009125FD">
            <w:pPr>
              <w:jc w:val="center"/>
              <w:rPr>
                <w:rFonts w:ascii="Arial" w:hAnsi="Arial" w:cs="Arial"/>
                <w:b/>
                <w:color w:val="FF0000"/>
                <w:sz w:val="18"/>
                <w:szCs w:val="18"/>
              </w:rPr>
            </w:pPr>
            <w:r>
              <w:rPr>
                <w:rFonts w:ascii="Arial" w:hAnsi="Arial" w:cs="Arial"/>
                <w:b/>
                <w:color w:val="FF0000"/>
                <w:sz w:val="18"/>
                <w:szCs w:val="18"/>
              </w:rPr>
              <w:t xml:space="preserve">Not </w:t>
            </w:r>
          </w:p>
          <w:p w14:paraId="1446BEB1" w14:textId="77777777" w:rsidR="009125FD" w:rsidRPr="00871BF2" w:rsidRDefault="009125FD" w:rsidP="009125FD">
            <w:pPr>
              <w:jc w:val="center"/>
              <w:rPr>
                <w:rFonts w:ascii="Arial" w:hAnsi="Arial" w:cs="Arial"/>
                <w:b/>
                <w:color w:val="FF0000"/>
                <w:sz w:val="18"/>
                <w:szCs w:val="18"/>
              </w:rPr>
            </w:pPr>
            <w:r>
              <w:rPr>
                <w:rFonts w:ascii="Arial" w:hAnsi="Arial" w:cs="Arial"/>
                <w:b/>
                <w:color w:val="FF0000"/>
                <w:sz w:val="18"/>
                <w:szCs w:val="18"/>
              </w:rPr>
              <w:t>CMV negative</w:t>
            </w:r>
          </w:p>
        </w:tc>
        <w:tc>
          <w:tcPr>
            <w:tcW w:w="1620" w:type="dxa"/>
            <w:tcBorders>
              <w:top w:val="single" w:sz="4" w:space="0" w:color="000000"/>
              <w:left w:val="single" w:sz="4" w:space="0" w:color="000000"/>
              <w:bottom w:val="single" w:sz="4" w:space="0" w:color="000000"/>
              <w:right w:val="single" w:sz="4" w:space="0" w:color="000000"/>
            </w:tcBorders>
            <w:vAlign w:val="center"/>
          </w:tcPr>
          <w:p w14:paraId="790E4492" w14:textId="77777777" w:rsidR="009125FD" w:rsidRPr="00FB56F0" w:rsidRDefault="009125FD" w:rsidP="009125FD">
            <w:pPr>
              <w:rPr>
                <w:rFonts w:ascii="Arial" w:hAnsi="Arial" w:cs="Arial"/>
                <w:sz w:val="18"/>
                <w:szCs w:val="18"/>
              </w:rPr>
            </w:pPr>
            <w:r w:rsidRPr="00FB56F0">
              <w:rPr>
                <w:rFonts w:ascii="Arial" w:hAnsi="Arial" w:cs="Arial"/>
                <w:noProof/>
                <w:sz w:val="18"/>
                <w:szCs w:val="18"/>
              </w:rPr>
              <w:t>Technologist</w:t>
            </w:r>
          </w:p>
          <w:p w14:paraId="33697EB0" w14:textId="77777777" w:rsidR="009125FD" w:rsidRPr="00836EE2" w:rsidRDefault="009125FD" w:rsidP="009125FD">
            <w:pPr>
              <w:ind w:left="36"/>
              <w:rPr>
                <w:rFonts w:ascii="Arial" w:hAnsi="Arial" w:cs="Arial"/>
                <w:sz w:val="18"/>
                <w:szCs w:val="18"/>
              </w:rPr>
            </w:pPr>
          </w:p>
          <w:p w14:paraId="712E0445" w14:textId="77777777" w:rsidR="009125FD" w:rsidRPr="005C5D59" w:rsidRDefault="009125FD" w:rsidP="009125FD">
            <w:pPr>
              <w:rPr>
                <w:rFonts w:ascii="Arial" w:hAnsi="Arial" w:cs="Arial"/>
                <w:sz w:val="18"/>
                <w:szCs w:val="18"/>
              </w:rPr>
            </w:pPr>
            <w:r w:rsidRPr="00FB56F0">
              <w:rPr>
                <w:rFonts w:ascii="Arial" w:hAnsi="Arial" w:cs="Arial"/>
                <w:noProof/>
                <w:sz w:val="18"/>
                <w:szCs w:val="18"/>
              </w:rPr>
              <w:t>Enhanced Technologist</w:t>
            </w:r>
          </w:p>
        </w:tc>
        <w:tc>
          <w:tcPr>
            <w:tcW w:w="4050" w:type="dxa"/>
            <w:tcBorders>
              <w:top w:val="single" w:sz="4" w:space="0" w:color="000000"/>
              <w:left w:val="single" w:sz="4" w:space="0" w:color="000000"/>
              <w:right w:val="single" w:sz="4" w:space="0" w:color="000000"/>
            </w:tcBorders>
          </w:tcPr>
          <w:p w14:paraId="0D66BF35" w14:textId="77777777" w:rsidR="009125FD" w:rsidRPr="007F3B3C" w:rsidRDefault="009125FD" w:rsidP="009125FD">
            <w:pPr>
              <w:pStyle w:val="TableText"/>
              <w:spacing w:before="120"/>
              <w:rPr>
                <w:rStyle w:val="StyleTableText9ptCharChar"/>
                <w:rFonts w:cs="Arial"/>
                <w:i/>
              </w:rPr>
            </w:pPr>
            <w:r w:rsidRPr="005C5D59">
              <w:rPr>
                <w:rStyle w:val="StyleTableText9ptCharChar"/>
                <w:rFonts w:cs="Arial"/>
              </w:rPr>
              <w:t>The Transfusi</w:t>
            </w:r>
            <w:r>
              <w:rPr>
                <w:rStyle w:val="StyleTableText9ptCharChar"/>
                <w:rFonts w:cs="Arial"/>
              </w:rPr>
              <w:t>on Requirement is not satisfied;</w:t>
            </w:r>
            <w:r w:rsidRPr="005C5D59">
              <w:rPr>
                <w:rStyle w:val="StyleTableText9ptCharChar"/>
                <w:rFonts w:cs="Arial"/>
              </w:rPr>
              <w:t xml:space="preserve"> the system emits an audible alert and displays a warning message: </w:t>
            </w:r>
            <w:r w:rsidRPr="007F3B3C">
              <w:rPr>
                <w:rStyle w:val="StyleTableText9ptCharChar"/>
                <w:rFonts w:cs="Arial"/>
                <w:i/>
              </w:rPr>
              <w:t>This unit does not currently satisfy all of the patient’s Transfusion Requirements. Further processing is needed. Continue to select this unit?</w:t>
            </w:r>
          </w:p>
          <w:p w14:paraId="39C21CB6" w14:textId="77777777" w:rsidR="009125FD" w:rsidRPr="005C5D59" w:rsidRDefault="009125FD" w:rsidP="009125FD">
            <w:pPr>
              <w:pStyle w:val="TableText"/>
              <w:rPr>
                <w:rStyle w:val="StyleTableText9ptCharChar"/>
                <w:rFonts w:cs="Arial"/>
              </w:rPr>
            </w:pPr>
            <w:r w:rsidRPr="005C5D59">
              <w:rPr>
                <w:rStyle w:val="StyleTableText9ptCharChar"/>
                <w:rFonts w:cs="Arial"/>
              </w:rPr>
              <w:t>If</w:t>
            </w:r>
            <w:r>
              <w:rPr>
                <w:rStyle w:val="StyleTableText9ptCharChar"/>
                <w:rFonts w:cs="Arial"/>
              </w:rPr>
              <w:t xml:space="preserve"> the user clicks </w:t>
            </w:r>
            <w:r w:rsidRPr="005C5D59">
              <w:rPr>
                <w:rStyle w:val="StyleTableText9ptCharChar"/>
                <w:rFonts w:cs="Arial"/>
              </w:rPr>
              <w:t>“No,” the screen is cleared.</w:t>
            </w:r>
          </w:p>
          <w:p w14:paraId="66D43E64" w14:textId="77777777" w:rsidR="009125FD" w:rsidRPr="005C5D59" w:rsidRDefault="009125FD" w:rsidP="009125FD">
            <w:pPr>
              <w:pStyle w:val="TableText"/>
              <w:rPr>
                <w:rFonts w:cs="Arial"/>
                <w:noProof/>
              </w:rPr>
            </w:pPr>
            <w:r w:rsidRPr="005C5D59">
              <w:rPr>
                <w:rStyle w:val="StyleTableText9ptCharChar"/>
                <w:rFonts w:cs="Arial"/>
              </w:rPr>
              <w:t xml:space="preserve">If </w:t>
            </w:r>
            <w:r>
              <w:rPr>
                <w:rStyle w:val="StyleTableText9ptCharChar"/>
                <w:rFonts w:cs="Arial"/>
              </w:rPr>
              <w:t>the user clicks “Yes,” selection can continue to select the unit.</w:t>
            </w:r>
          </w:p>
        </w:tc>
      </w:tr>
      <w:tr w:rsidR="009125FD" w:rsidRPr="005C5D59" w14:paraId="141FFD8D" w14:textId="77777777" w:rsidTr="009125FD">
        <w:trPr>
          <w:cantSplit/>
          <w:trHeight w:val="576"/>
        </w:trPr>
        <w:tc>
          <w:tcPr>
            <w:tcW w:w="1843" w:type="dxa"/>
            <w:vMerge/>
            <w:tcBorders>
              <w:left w:val="single" w:sz="4" w:space="0" w:color="000000"/>
              <w:right w:val="single" w:sz="4" w:space="0" w:color="000000"/>
            </w:tcBorders>
            <w:vAlign w:val="bottom"/>
          </w:tcPr>
          <w:p w14:paraId="4B9A3307" w14:textId="77777777" w:rsidR="009125FD" w:rsidRPr="005C5D59" w:rsidRDefault="009125FD" w:rsidP="009125FD">
            <w:pPr>
              <w:rPr>
                <w:rFonts w:ascii="Arial" w:hAnsi="Arial" w:cs="Arial"/>
                <w:b/>
                <w:sz w:val="18"/>
                <w:szCs w:val="18"/>
              </w:rPr>
            </w:pPr>
          </w:p>
        </w:tc>
        <w:tc>
          <w:tcPr>
            <w:tcW w:w="1469" w:type="dxa"/>
            <w:tcBorders>
              <w:top w:val="single" w:sz="4" w:space="0" w:color="000000"/>
              <w:left w:val="single" w:sz="4" w:space="0" w:color="000000"/>
              <w:bottom w:val="single" w:sz="4" w:space="0" w:color="000000"/>
              <w:right w:val="single" w:sz="4" w:space="0" w:color="000000"/>
            </w:tcBorders>
            <w:vAlign w:val="center"/>
          </w:tcPr>
          <w:p w14:paraId="75A46AAE" w14:textId="77777777" w:rsidR="009125FD" w:rsidRDefault="009125FD" w:rsidP="009125FD">
            <w:pPr>
              <w:rPr>
                <w:rFonts w:ascii="Arial" w:hAnsi="Arial" w:cs="Arial"/>
                <w:sz w:val="18"/>
                <w:szCs w:val="18"/>
              </w:rPr>
            </w:pPr>
            <w:r w:rsidRPr="005C5D59">
              <w:rPr>
                <w:rFonts w:ascii="Arial" w:hAnsi="Arial" w:cs="Arial"/>
                <w:sz w:val="18"/>
                <w:szCs w:val="18"/>
              </w:rPr>
              <w:t>RED BLOOD CELLS</w:t>
            </w:r>
          </w:p>
          <w:p w14:paraId="3F9D9EEE" w14:textId="77777777" w:rsidR="009125FD" w:rsidRDefault="009125FD" w:rsidP="009125FD">
            <w:pPr>
              <w:rPr>
                <w:rFonts w:ascii="Arial" w:hAnsi="Arial" w:cs="Arial"/>
                <w:sz w:val="18"/>
                <w:szCs w:val="18"/>
              </w:rPr>
            </w:pPr>
          </w:p>
          <w:p w14:paraId="1CE6E4E8" w14:textId="77777777" w:rsidR="009125FD" w:rsidRDefault="009125FD" w:rsidP="009125FD">
            <w:pPr>
              <w:rPr>
                <w:rFonts w:ascii="Arial" w:hAnsi="Arial" w:cs="Arial"/>
                <w:sz w:val="18"/>
                <w:szCs w:val="18"/>
              </w:rPr>
            </w:pPr>
            <w:r w:rsidRPr="005C5D59">
              <w:rPr>
                <w:rFonts w:ascii="Arial" w:hAnsi="Arial" w:cs="Arial"/>
                <w:sz w:val="18"/>
                <w:szCs w:val="18"/>
              </w:rPr>
              <w:t>WHOLE BLOOD</w:t>
            </w:r>
          </w:p>
          <w:p w14:paraId="60E866F4" w14:textId="77777777" w:rsidR="009125FD" w:rsidRDefault="009125FD" w:rsidP="009125FD">
            <w:pPr>
              <w:rPr>
                <w:rFonts w:ascii="Arial" w:hAnsi="Arial" w:cs="Arial"/>
                <w:sz w:val="18"/>
                <w:szCs w:val="18"/>
              </w:rPr>
            </w:pPr>
          </w:p>
          <w:p w14:paraId="4EC29434" w14:textId="77777777" w:rsidR="009125FD" w:rsidRDefault="009125FD" w:rsidP="009125FD">
            <w:pPr>
              <w:rPr>
                <w:rFonts w:ascii="Arial" w:hAnsi="Arial" w:cs="Arial"/>
                <w:sz w:val="18"/>
                <w:szCs w:val="18"/>
              </w:rPr>
            </w:pPr>
            <w:r w:rsidRPr="005C5D59">
              <w:rPr>
                <w:rFonts w:ascii="Arial" w:hAnsi="Arial" w:cs="Arial"/>
                <w:sz w:val="18"/>
                <w:szCs w:val="18"/>
              </w:rPr>
              <w:t>PLATELETS</w:t>
            </w:r>
          </w:p>
          <w:p w14:paraId="19BC6882" w14:textId="77777777" w:rsidR="009125FD" w:rsidRDefault="009125FD" w:rsidP="009125FD">
            <w:pPr>
              <w:rPr>
                <w:rFonts w:ascii="Arial" w:hAnsi="Arial" w:cs="Arial"/>
                <w:color w:val="000000"/>
                <w:sz w:val="18"/>
                <w:szCs w:val="18"/>
              </w:rPr>
            </w:pPr>
            <w:r w:rsidRPr="005C5D59">
              <w:rPr>
                <w:rFonts w:ascii="Arial" w:hAnsi="Arial" w:cs="Arial"/>
                <w:color w:val="000000"/>
                <w:sz w:val="18"/>
                <w:szCs w:val="18"/>
              </w:rPr>
              <w:t xml:space="preserve"> </w:t>
            </w:r>
          </w:p>
          <w:p w14:paraId="6C01FFFE" w14:textId="77777777" w:rsidR="009125FD" w:rsidRPr="005C5D59" w:rsidRDefault="009125FD" w:rsidP="009125FD">
            <w:pPr>
              <w:rPr>
                <w:rFonts w:ascii="Arial" w:hAnsi="Arial" w:cs="Arial"/>
                <w:color w:val="000000"/>
                <w:sz w:val="18"/>
                <w:szCs w:val="18"/>
              </w:rPr>
            </w:pPr>
            <w:r w:rsidRPr="005C5D59">
              <w:rPr>
                <w:rFonts w:ascii="Arial" w:hAnsi="Arial" w:cs="Arial"/>
                <w:color w:val="000000"/>
                <w:sz w:val="18"/>
                <w:szCs w:val="18"/>
              </w:rPr>
              <w:t>OTHER</w:t>
            </w:r>
            <w:r>
              <w:rPr>
                <w:rFonts w:ascii="Arial" w:hAnsi="Arial" w:cs="Arial"/>
                <w:color w:val="000000"/>
                <w:sz w:val="18"/>
                <w:szCs w:val="18"/>
              </w:rPr>
              <w:t>*</w:t>
            </w:r>
          </w:p>
        </w:tc>
        <w:tc>
          <w:tcPr>
            <w:tcW w:w="1260" w:type="dxa"/>
            <w:tcBorders>
              <w:top w:val="single" w:sz="4" w:space="0" w:color="000000"/>
              <w:left w:val="single" w:sz="4" w:space="0" w:color="000000"/>
              <w:bottom w:val="single" w:sz="4" w:space="0" w:color="000000"/>
              <w:right w:val="single" w:sz="4" w:space="0" w:color="000000"/>
            </w:tcBorders>
            <w:vAlign w:val="center"/>
          </w:tcPr>
          <w:p w14:paraId="23C69907" w14:textId="77777777" w:rsidR="009125FD" w:rsidRDefault="009125FD" w:rsidP="009125FD">
            <w:pPr>
              <w:jc w:val="center"/>
              <w:rPr>
                <w:rFonts w:ascii="Arial" w:hAnsi="Arial" w:cs="Arial"/>
                <w:b/>
                <w:color w:val="FF0000"/>
                <w:sz w:val="18"/>
                <w:szCs w:val="18"/>
              </w:rPr>
            </w:pPr>
            <w:r>
              <w:rPr>
                <w:rFonts w:ascii="Arial" w:hAnsi="Arial" w:cs="Arial"/>
                <w:b/>
                <w:color w:val="FF0000"/>
                <w:sz w:val="18"/>
                <w:szCs w:val="18"/>
              </w:rPr>
              <w:t xml:space="preserve">Not </w:t>
            </w:r>
          </w:p>
          <w:p w14:paraId="14E96ECC" w14:textId="77777777" w:rsidR="009125FD" w:rsidRDefault="009125FD" w:rsidP="009125FD">
            <w:pPr>
              <w:jc w:val="center"/>
              <w:rPr>
                <w:rFonts w:ascii="Arial" w:hAnsi="Arial" w:cs="Arial"/>
                <w:b/>
                <w:color w:val="FF0000"/>
                <w:sz w:val="18"/>
                <w:szCs w:val="18"/>
              </w:rPr>
            </w:pPr>
            <w:r>
              <w:rPr>
                <w:rFonts w:ascii="Arial" w:hAnsi="Arial" w:cs="Arial"/>
                <w:b/>
                <w:color w:val="FF0000"/>
                <w:sz w:val="18"/>
                <w:szCs w:val="18"/>
              </w:rPr>
              <w:t>CMV negative</w:t>
            </w:r>
          </w:p>
        </w:tc>
        <w:tc>
          <w:tcPr>
            <w:tcW w:w="1620" w:type="dxa"/>
            <w:tcBorders>
              <w:top w:val="single" w:sz="4" w:space="0" w:color="000000"/>
              <w:left w:val="single" w:sz="4" w:space="0" w:color="000000"/>
              <w:bottom w:val="single" w:sz="4" w:space="0" w:color="000000"/>
              <w:right w:val="single" w:sz="4" w:space="0" w:color="000000"/>
            </w:tcBorders>
            <w:vAlign w:val="center"/>
          </w:tcPr>
          <w:p w14:paraId="5A4C4600" w14:textId="77777777" w:rsidR="009125FD" w:rsidRPr="00FB56F0" w:rsidRDefault="009125FD" w:rsidP="009125FD">
            <w:pPr>
              <w:spacing w:before="120"/>
              <w:ind w:left="36"/>
              <w:rPr>
                <w:rFonts w:ascii="Arial" w:hAnsi="Arial" w:cs="Arial"/>
                <w:sz w:val="18"/>
                <w:szCs w:val="18"/>
              </w:rPr>
            </w:pPr>
            <w:r w:rsidRPr="00FB56F0">
              <w:rPr>
                <w:rFonts w:ascii="Arial" w:hAnsi="Arial" w:cs="Arial"/>
                <w:sz w:val="18"/>
                <w:szCs w:val="18"/>
              </w:rPr>
              <w:t>Lead Technologist</w:t>
            </w:r>
          </w:p>
          <w:p w14:paraId="3B264930" w14:textId="77777777" w:rsidR="009125FD" w:rsidRPr="00FB56F0" w:rsidRDefault="009125FD" w:rsidP="009125FD">
            <w:pPr>
              <w:spacing w:before="120"/>
              <w:ind w:left="36"/>
              <w:rPr>
                <w:rFonts w:ascii="Arial" w:hAnsi="Arial" w:cs="Arial"/>
                <w:sz w:val="18"/>
                <w:szCs w:val="18"/>
              </w:rPr>
            </w:pPr>
            <w:r w:rsidRPr="00FB56F0">
              <w:rPr>
                <w:rFonts w:ascii="Arial" w:hAnsi="Arial" w:cs="Arial"/>
                <w:sz w:val="18"/>
                <w:szCs w:val="18"/>
              </w:rPr>
              <w:t>Traditional Supervisor</w:t>
            </w:r>
          </w:p>
          <w:p w14:paraId="46D29273" w14:textId="77777777" w:rsidR="009125FD" w:rsidRPr="00FB56F0" w:rsidRDefault="009125FD" w:rsidP="009125FD">
            <w:pPr>
              <w:spacing w:before="120"/>
              <w:ind w:left="36"/>
              <w:rPr>
                <w:rFonts w:ascii="Arial" w:hAnsi="Arial" w:cs="Arial"/>
                <w:sz w:val="18"/>
                <w:szCs w:val="18"/>
              </w:rPr>
            </w:pPr>
            <w:r w:rsidRPr="00FB56F0">
              <w:rPr>
                <w:rFonts w:ascii="Arial" w:hAnsi="Arial" w:cs="Arial"/>
                <w:sz w:val="18"/>
                <w:szCs w:val="18"/>
              </w:rPr>
              <w:t>Enhanced Supervisor</w:t>
            </w:r>
          </w:p>
          <w:p w14:paraId="174921B8" w14:textId="77777777" w:rsidR="009125FD" w:rsidRPr="00FB56F0" w:rsidRDefault="009125FD" w:rsidP="009125FD">
            <w:pPr>
              <w:spacing w:before="120"/>
              <w:ind w:left="36"/>
              <w:rPr>
                <w:rFonts w:ascii="Arial" w:hAnsi="Arial" w:cs="Arial"/>
                <w:sz w:val="18"/>
                <w:szCs w:val="18"/>
              </w:rPr>
            </w:pPr>
            <w:r w:rsidRPr="00FB56F0">
              <w:rPr>
                <w:rFonts w:ascii="Arial" w:hAnsi="Arial" w:cs="Arial"/>
                <w:sz w:val="18"/>
                <w:szCs w:val="18"/>
              </w:rPr>
              <w:t>Administrator/Supervisor</w:t>
            </w:r>
          </w:p>
          <w:p w14:paraId="6B9F3E72" w14:textId="77777777" w:rsidR="009125FD" w:rsidRPr="008B278A" w:rsidRDefault="009125FD" w:rsidP="009125FD">
            <w:pPr>
              <w:ind w:left="198" w:hanging="162"/>
              <w:rPr>
                <w:rFonts w:ascii="Arial" w:hAnsi="Arial" w:cs="Arial"/>
                <w:sz w:val="18"/>
                <w:szCs w:val="18"/>
              </w:rPr>
            </w:pPr>
          </w:p>
        </w:tc>
        <w:tc>
          <w:tcPr>
            <w:tcW w:w="4050" w:type="dxa"/>
            <w:tcBorders>
              <w:left w:val="single" w:sz="4" w:space="0" w:color="000000"/>
              <w:bottom w:val="single" w:sz="4" w:space="0" w:color="000000"/>
              <w:right w:val="single" w:sz="4" w:space="0" w:color="000000"/>
            </w:tcBorders>
            <w:vAlign w:val="bottom"/>
          </w:tcPr>
          <w:p w14:paraId="572B9ADE" w14:textId="77777777" w:rsidR="009125FD" w:rsidRPr="005C5D59" w:rsidRDefault="009125FD" w:rsidP="009125FD">
            <w:pPr>
              <w:rPr>
                <w:rFonts w:ascii="Arial" w:hAnsi="Arial" w:cs="Arial"/>
                <w:sz w:val="18"/>
                <w:szCs w:val="18"/>
              </w:rPr>
            </w:pPr>
            <w:r w:rsidRPr="005C5D59">
              <w:rPr>
                <w:rFonts w:ascii="Arial" w:hAnsi="Arial" w:cs="Arial"/>
                <w:sz w:val="18"/>
                <w:szCs w:val="18"/>
              </w:rPr>
              <w:t xml:space="preserve">The system displays the warning message: </w:t>
            </w:r>
            <w:r w:rsidRPr="00836EE2">
              <w:rPr>
                <w:rFonts w:ascii="Arial" w:hAnsi="Arial" w:cs="Arial"/>
                <w:i/>
                <w:sz w:val="18"/>
                <w:szCs w:val="18"/>
              </w:rPr>
              <w:t xml:space="preserve">Patient’s </w:t>
            </w:r>
            <w:r>
              <w:rPr>
                <w:rFonts w:ascii="Arial" w:hAnsi="Arial" w:cs="Arial"/>
                <w:i/>
                <w:sz w:val="18"/>
                <w:szCs w:val="18"/>
              </w:rPr>
              <w:t>CMV Negative cellular products</w:t>
            </w:r>
            <w:r w:rsidRPr="00836EE2">
              <w:rPr>
                <w:rFonts w:ascii="Arial" w:hAnsi="Arial" w:cs="Arial"/>
                <w:i/>
                <w:sz w:val="18"/>
                <w:szCs w:val="18"/>
              </w:rPr>
              <w:t xml:space="preserve"> Transfusion Requirement is not satisfied</w:t>
            </w:r>
            <w:r w:rsidRPr="005C5D59">
              <w:rPr>
                <w:rFonts w:ascii="Arial" w:hAnsi="Arial" w:cs="Arial"/>
                <w:sz w:val="18"/>
                <w:szCs w:val="18"/>
              </w:rPr>
              <w:t xml:space="preserve"> and prompts the user whether to proceed. </w:t>
            </w:r>
          </w:p>
          <w:p w14:paraId="3EE10F70" w14:textId="77777777" w:rsidR="009125FD" w:rsidRPr="005C5D59" w:rsidRDefault="009125FD" w:rsidP="009125FD">
            <w:pPr>
              <w:rPr>
                <w:rFonts w:ascii="Arial" w:hAnsi="Arial" w:cs="Arial"/>
                <w:sz w:val="18"/>
                <w:szCs w:val="18"/>
              </w:rPr>
            </w:pPr>
            <w:r w:rsidRPr="005C5D59">
              <w:rPr>
                <w:rFonts w:ascii="Arial" w:hAnsi="Arial" w:cs="Arial"/>
                <w:sz w:val="18"/>
                <w:szCs w:val="18"/>
              </w:rPr>
              <w:t>If the user responds “No”</w:t>
            </w:r>
            <w:r>
              <w:rPr>
                <w:rFonts w:ascii="Arial" w:hAnsi="Arial" w:cs="Arial"/>
                <w:sz w:val="18"/>
                <w:szCs w:val="18"/>
              </w:rPr>
              <w:t>,</w:t>
            </w:r>
            <w:r w:rsidRPr="005C5D59">
              <w:rPr>
                <w:rFonts w:ascii="Arial" w:hAnsi="Arial" w:cs="Arial"/>
                <w:sz w:val="18"/>
                <w:szCs w:val="18"/>
              </w:rPr>
              <w:t xml:space="preserve"> the system wi</w:t>
            </w:r>
            <w:r>
              <w:rPr>
                <w:rFonts w:ascii="Arial" w:hAnsi="Arial" w:cs="Arial"/>
                <w:sz w:val="18"/>
                <w:szCs w:val="18"/>
              </w:rPr>
              <w:t>ll clear the selected unit.</w:t>
            </w:r>
          </w:p>
          <w:p w14:paraId="5B1A1EE4" w14:textId="3974F950" w:rsidR="009125FD" w:rsidRPr="005C5D59" w:rsidRDefault="009125FD" w:rsidP="009125FD">
            <w:pPr>
              <w:rPr>
                <w:rFonts w:ascii="Arial" w:hAnsi="Arial" w:cs="Arial"/>
                <w:sz w:val="18"/>
                <w:szCs w:val="18"/>
              </w:rPr>
            </w:pPr>
            <w:r w:rsidRPr="005C5D59">
              <w:rPr>
                <w:rFonts w:ascii="Arial" w:hAnsi="Arial" w:cs="Arial"/>
                <w:sz w:val="18"/>
                <w:szCs w:val="18"/>
              </w:rPr>
              <w:t>If the user responds “Yes”</w:t>
            </w:r>
            <w:r>
              <w:rPr>
                <w:rFonts w:ascii="Arial" w:hAnsi="Arial" w:cs="Arial"/>
                <w:sz w:val="18"/>
                <w:szCs w:val="18"/>
              </w:rPr>
              <w:t>,</w:t>
            </w:r>
            <w:r w:rsidRPr="005C5D59">
              <w:rPr>
                <w:rFonts w:ascii="Arial" w:hAnsi="Arial" w:cs="Arial"/>
                <w:sz w:val="18"/>
                <w:szCs w:val="18"/>
              </w:rPr>
              <w:t xml:space="preserve"> the system will require a comment (free text or canned, “unit issue” context) and capture the transacti</w:t>
            </w:r>
            <w:r>
              <w:rPr>
                <w:rFonts w:ascii="Arial" w:hAnsi="Arial" w:cs="Arial"/>
                <w:sz w:val="18"/>
                <w:szCs w:val="18"/>
              </w:rPr>
              <w:t xml:space="preserve">on details for </w:t>
            </w:r>
            <w:r w:rsidR="00AE3B37">
              <w:rPr>
                <w:rFonts w:ascii="Arial" w:hAnsi="Arial" w:cs="Arial"/>
                <w:sz w:val="18"/>
                <w:szCs w:val="18"/>
              </w:rPr>
              <w:t>inclusion in</w:t>
            </w:r>
            <w:r>
              <w:rPr>
                <w:rFonts w:ascii="Arial" w:hAnsi="Arial" w:cs="Arial"/>
                <w:sz w:val="18"/>
                <w:szCs w:val="18"/>
              </w:rPr>
              <w:t xml:space="preserve"> an Exception R</w:t>
            </w:r>
            <w:r w:rsidRPr="005C5D59">
              <w:rPr>
                <w:rFonts w:ascii="Arial" w:hAnsi="Arial" w:cs="Arial"/>
                <w:sz w:val="18"/>
                <w:szCs w:val="18"/>
              </w:rPr>
              <w:t>eport</w:t>
            </w:r>
            <w:r>
              <w:rPr>
                <w:rFonts w:ascii="Arial" w:hAnsi="Arial" w:cs="Arial"/>
                <w:sz w:val="18"/>
                <w:szCs w:val="18"/>
              </w:rPr>
              <w:t xml:space="preserve"> entry</w:t>
            </w:r>
            <w:r w:rsidRPr="005C5D59">
              <w:rPr>
                <w:rFonts w:ascii="Arial" w:hAnsi="Arial" w:cs="Arial"/>
                <w:sz w:val="18"/>
                <w:szCs w:val="18"/>
              </w:rPr>
              <w:t xml:space="preserve">: </w:t>
            </w:r>
            <w:r w:rsidRPr="005C5D59">
              <w:rPr>
                <w:rFonts w:ascii="Arial" w:hAnsi="Arial" w:cs="Arial"/>
                <w:i/>
                <w:sz w:val="18"/>
                <w:szCs w:val="18"/>
              </w:rPr>
              <w:t>Unit issued with unsatisfied Transfusion Requirement</w:t>
            </w:r>
            <w:r w:rsidR="005C48D9">
              <w:rPr>
                <w:rFonts w:ascii="Arial" w:hAnsi="Arial" w:cs="Arial"/>
                <w:i/>
                <w:sz w:val="18"/>
                <w:szCs w:val="18"/>
              </w:rPr>
              <w:t>.</w:t>
            </w:r>
          </w:p>
        </w:tc>
      </w:tr>
    </w:tbl>
    <w:p w14:paraId="2A4ED334" w14:textId="77777777" w:rsidR="009125FD" w:rsidRPr="005C48D9" w:rsidRDefault="009125FD" w:rsidP="009125FD">
      <w:pPr>
        <w:ind w:left="36"/>
        <w:rPr>
          <w:sz w:val="22"/>
          <w:szCs w:val="22"/>
        </w:rPr>
      </w:pPr>
      <w:r w:rsidRPr="005C48D9">
        <w:rPr>
          <w:sz w:val="22"/>
          <w:szCs w:val="22"/>
        </w:rPr>
        <w:t>*VistA test results are not evaluated by VBECS.</w:t>
      </w:r>
      <w:r w:rsidRPr="005C48D9">
        <w:rPr>
          <w:color w:val="000000"/>
          <w:sz w:val="22"/>
          <w:szCs w:val="22"/>
        </w:rPr>
        <w:t xml:space="preserve"> CMV Negative status is recorded during receipt at Incoming Shipment or added to the unit record in Edit Unit Information.</w:t>
      </w:r>
      <w:r w:rsidRPr="005C48D9">
        <w:rPr>
          <w:sz w:val="22"/>
          <w:szCs w:val="22"/>
        </w:rPr>
        <w:t xml:space="preserve"> All product types in OTHER are evaluated for the requirement including those that are non-cellular.</w:t>
      </w:r>
    </w:p>
    <w:p w14:paraId="2D094896" w14:textId="77777777" w:rsidR="009125FD" w:rsidRDefault="009125FD" w:rsidP="009125FD"/>
    <w:p w14:paraId="58325C09" w14:textId="29A42FA2" w:rsidR="00C15299" w:rsidRDefault="00DA0A28" w:rsidP="00BE14D5">
      <w:pPr>
        <w:pStyle w:val="Caption"/>
      </w:pPr>
      <w:r>
        <w:br w:type="page"/>
      </w:r>
      <w:bookmarkStart w:id="901" w:name="_Ref343502649"/>
      <w:r w:rsidR="00BE14D5">
        <w:lastRenderedPageBreak/>
        <w:t xml:space="preserve">Figure </w:t>
      </w:r>
      <w:r w:rsidR="004E20BD">
        <w:rPr>
          <w:noProof/>
        </w:rPr>
        <w:fldChar w:fldCharType="begin"/>
      </w:r>
      <w:r w:rsidR="004E20BD">
        <w:rPr>
          <w:noProof/>
        </w:rPr>
        <w:instrText xml:space="preserve"> SEQ Figure \* ARABIC </w:instrText>
      </w:r>
      <w:r w:rsidR="004E20BD">
        <w:rPr>
          <w:noProof/>
        </w:rPr>
        <w:fldChar w:fldCharType="separate"/>
      </w:r>
      <w:r w:rsidR="007D1829">
        <w:rPr>
          <w:noProof/>
        </w:rPr>
        <w:t>145</w:t>
      </w:r>
      <w:r w:rsidR="004E20BD">
        <w:rPr>
          <w:noProof/>
        </w:rPr>
        <w:fldChar w:fldCharType="end"/>
      </w:r>
      <w:r w:rsidR="00BE14D5">
        <w:t>: CMV Negative Cellular Products* and Issue Blood Component</w:t>
      </w:r>
      <w:bookmarkEnd w:id="901"/>
    </w:p>
    <w:tbl>
      <w:tblPr>
        <w:tblW w:w="10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2" w:type="dxa"/>
          <w:right w:w="72" w:type="dxa"/>
        </w:tblCellMar>
        <w:tblLook w:val="04A0" w:firstRow="1" w:lastRow="0" w:firstColumn="1" w:lastColumn="0" w:noHBand="0" w:noVBand="1"/>
      </w:tblPr>
      <w:tblGrid>
        <w:gridCol w:w="1843"/>
        <w:gridCol w:w="1469"/>
        <w:gridCol w:w="1260"/>
        <w:gridCol w:w="1620"/>
        <w:gridCol w:w="4050"/>
      </w:tblGrid>
      <w:tr w:rsidR="009125FD" w:rsidRPr="005C5D59" w14:paraId="1F21A5BD" w14:textId="77777777" w:rsidTr="009125FD">
        <w:trPr>
          <w:cantSplit/>
          <w:trHeight w:val="432"/>
          <w:tblHeader/>
        </w:trPr>
        <w:tc>
          <w:tcPr>
            <w:tcW w:w="10242" w:type="dxa"/>
            <w:gridSpan w:val="5"/>
            <w:tcBorders>
              <w:left w:val="single" w:sz="4" w:space="0" w:color="000000"/>
              <w:bottom w:val="single" w:sz="4" w:space="0" w:color="000000"/>
              <w:right w:val="single" w:sz="4" w:space="0" w:color="000000"/>
            </w:tcBorders>
            <w:shd w:val="pct25" w:color="auto" w:fill="auto"/>
            <w:vAlign w:val="bottom"/>
          </w:tcPr>
          <w:p w14:paraId="1F01B24B" w14:textId="77777777" w:rsidR="009125FD" w:rsidRPr="005C5D59" w:rsidRDefault="009125FD" w:rsidP="009125FD">
            <w:pPr>
              <w:rPr>
                <w:rFonts w:ascii="Arial" w:hAnsi="Arial" w:cs="Arial"/>
                <w:b/>
                <w:sz w:val="18"/>
                <w:szCs w:val="18"/>
              </w:rPr>
            </w:pPr>
            <w:r w:rsidRPr="005C5D59">
              <w:rPr>
                <w:rFonts w:ascii="Arial" w:hAnsi="Arial" w:cs="Arial"/>
                <w:b/>
                <w:sz w:val="18"/>
                <w:szCs w:val="18"/>
              </w:rPr>
              <w:t xml:space="preserve">Issue Blood Component: </w:t>
            </w:r>
            <w:r>
              <w:rPr>
                <w:rFonts w:ascii="Arial" w:hAnsi="Arial" w:cs="Arial"/>
                <w:b/>
                <w:sz w:val="18"/>
                <w:szCs w:val="18"/>
              </w:rPr>
              <w:t>CMV Negative Cellular Products</w:t>
            </w:r>
          </w:p>
        </w:tc>
      </w:tr>
      <w:tr w:rsidR="009125FD" w:rsidRPr="005C5D59" w14:paraId="6D1F34E8" w14:textId="77777777" w:rsidTr="009125FD">
        <w:trPr>
          <w:cantSplit/>
          <w:trHeight w:val="432"/>
          <w:tblHeader/>
        </w:trPr>
        <w:tc>
          <w:tcPr>
            <w:tcW w:w="1843" w:type="dxa"/>
            <w:tcBorders>
              <w:left w:val="single" w:sz="4" w:space="0" w:color="000000"/>
              <w:bottom w:val="single" w:sz="4" w:space="0" w:color="000000"/>
              <w:right w:val="single" w:sz="4" w:space="0" w:color="000000"/>
            </w:tcBorders>
            <w:shd w:val="pct25" w:color="auto" w:fill="auto"/>
            <w:vAlign w:val="bottom"/>
            <w:hideMark/>
          </w:tcPr>
          <w:p w14:paraId="68E009DE" w14:textId="77777777" w:rsidR="009125FD" w:rsidRPr="005C5D59" w:rsidRDefault="009125FD" w:rsidP="009125FD">
            <w:pPr>
              <w:rPr>
                <w:rFonts w:ascii="Arial" w:hAnsi="Arial" w:cs="Arial"/>
                <w:b/>
                <w:sz w:val="18"/>
                <w:szCs w:val="18"/>
              </w:rPr>
            </w:pPr>
            <w:r w:rsidRPr="005C5D59">
              <w:rPr>
                <w:rFonts w:ascii="Arial" w:hAnsi="Arial" w:cs="Arial"/>
                <w:b/>
                <w:sz w:val="18"/>
                <w:szCs w:val="18"/>
              </w:rPr>
              <w:t>Patient Active Transfusion Requirement</w:t>
            </w:r>
          </w:p>
        </w:tc>
        <w:tc>
          <w:tcPr>
            <w:tcW w:w="1469" w:type="dxa"/>
            <w:tcBorders>
              <w:left w:val="single" w:sz="4" w:space="0" w:color="000000"/>
              <w:bottom w:val="single" w:sz="4" w:space="0" w:color="000000"/>
              <w:right w:val="single" w:sz="4" w:space="0" w:color="000000"/>
            </w:tcBorders>
            <w:shd w:val="pct25" w:color="auto" w:fill="auto"/>
            <w:vAlign w:val="bottom"/>
            <w:hideMark/>
          </w:tcPr>
          <w:p w14:paraId="75E76B0D" w14:textId="77777777" w:rsidR="009125FD" w:rsidRPr="005C5D59" w:rsidRDefault="009125FD" w:rsidP="009125FD">
            <w:pPr>
              <w:rPr>
                <w:rFonts w:ascii="Arial" w:hAnsi="Arial" w:cs="Arial"/>
                <w:b/>
                <w:color w:val="000000"/>
                <w:sz w:val="18"/>
                <w:szCs w:val="18"/>
                <w:highlight w:val="yellow"/>
              </w:rPr>
            </w:pPr>
            <w:r w:rsidRPr="005C5D59">
              <w:rPr>
                <w:rFonts w:ascii="Arial" w:hAnsi="Arial" w:cs="Arial"/>
                <w:b/>
                <w:sz w:val="18"/>
                <w:szCs w:val="18"/>
              </w:rPr>
              <w:t>Ordered Component Class*</w:t>
            </w:r>
          </w:p>
        </w:tc>
        <w:tc>
          <w:tcPr>
            <w:tcW w:w="126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4A02D705" w14:textId="77777777" w:rsidR="009125FD" w:rsidRPr="005C5D59" w:rsidRDefault="009125FD" w:rsidP="009125FD">
            <w:pPr>
              <w:rPr>
                <w:rFonts w:ascii="Arial" w:hAnsi="Arial" w:cs="Arial"/>
                <w:b/>
                <w:sz w:val="18"/>
                <w:szCs w:val="18"/>
              </w:rPr>
            </w:pPr>
            <w:r>
              <w:rPr>
                <w:rFonts w:ascii="Arial" w:hAnsi="Arial" w:cs="Arial"/>
                <w:b/>
                <w:sz w:val="18"/>
                <w:szCs w:val="18"/>
              </w:rPr>
              <w:t>Selected U</w:t>
            </w:r>
            <w:r w:rsidRPr="005C5D59">
              <w:rPr>
                <w:rFonts w:ascii="Arial" w:hAnsi="Arial" w:cs="Arial"/>
                <w:b/>
                <w:sz w:val="18"/>
                <w:szCs w:val="18"/>
              </w:rPr>
              <w:t>nit is</w:t>
            </w:r>
          </w:p>
        </w:tc>
        <w:tc>
          <w:tcPr>
            <w:tcW w:w="162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69FFBA0C" w14:textId="77777777" w:rsidR="009125FD" w:rsidRPr="005C5D59" w:rsidRDefault="009125FD" w:rsidP="009125FD">
            <w:pPr>
              <w:rPr>
                <w:rFonts w:ascii="Arial" w:hAnsi="Arial" w:cs="Arial"/>
                <w:b/>
                <w:sz w:val="18"/>
                <w:szCs w:val="18"/>
              </w:rPr>
            </w:pPr>
            <w:r w:rsidRPr="005C5D59">
              <w:rPr>
                <w:rFonts w:ascii="Arial" w:hAnsi="Arial" w:cs="Arial"/>
                <w:b/>
                <w:sz w:val="18"/>
                <w:szCs w:val="18"/>
              </w:rPr>
              <w:t>Selected User Role</w:t>
            </w:r>
          </w:p>
        </w:tc>
        <w:tc>
          <w:tcPr>
            <w:tcW w:w="405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12915965" w14:textId="77777777" w:rsidR="009125FD" w:rsidRPr="005C5D59" w:rsidRDefault="009125FD" w:rsidP="009125FD">
            <w:pPr>
              <w:rPr>
                <w:rFonts w:ascii="Arial" w:hAnsi="Arial" w:cs="Arial"/>
                <w:b/>
                <w:sz w:val="18"/>
                <w:szCs w:val="18"/>
              </w:rPr>
            </w:pPr>
            <w:r w:rsidRPr="005C5D59">
              <w:rPr>
                <w:rFonts w:ascii="Arial" w:hAnsi="Arial" w:cs="Arial"/>
                <w:b/>
                <w:sz w:val="18"/>
                <w:szCs w:val="18"/>
              </w:rPr>
              <w:t>Expected System Response</w:t>
            </w:r>
          </w:p>
        </w:tc>
      </w:tr>
      <w:tr w:rsidR="009125FD" w:rsidRPr="005C5D59" w14:paraId="7BAEC679" w14:textId="77777777" w:rsidTr="009125FD">
        <w:trPr>
          <w:cantSplit/>
          <w:trHeight w:val="284"/>
        </w:trPr>
        <w:tc>
          <w:tcPr>
            <w:tcW w:w="1843" w:type="dxa"/>
            <w:vMerge w:val="restart"/>
            <w:tcBorders>
              <w:top w:val="single" w:sz="4" w:space="0" w:color="000000"/>
              <w:left w:val="single" w:sz="4" w:space="0" w:color="000000"/>
              <w:right w:val="single" w:sz="4" w:space="0" w:color="000000"/>
            </w:tcBorders>
            <w:vAlign w:val="center"/>
            <w:hideMark/>
          </w:tcPr>
          <w:p w14:paraId="613D917B" w14:textId="77777777" w:rsidR="009125FD" w:rsidRPr="00A92752" w:rsidRDefault="009125FD" w:rsidP="009125FD">
            <w:pPr>
              <w:jc w:val="center"/>
              <w:rPr>
                <w:rFonts w:ascii="Arial" w:hAnsi="Arial" w:cs="Arial"/>
                <w:sz w:val="28"/>
                <w:szCs w:val="28"/>
              </w:rPr>
            </w:pPr>
            <w:r w:rsidRPr="00A92752">
              <w:rPr>
                <w:rFonts w:ascii="Arial" w:hAnsi="Arial" w:cs="Arial"/>
                <w:b/>
                <w:sz w:val="28"/>
                <w:szCs w:val="28"/>
              </w:rPr>
              <w:t xml:space="preserve">CMV negative cellular products*  </w:t>
            </w:r>
          </w:p>
        </w:tc>
        <w:tc>
          <w:tcPr>
            <w:tcW w:w="1469" w:type="dxa"/>
            <w:tcBorders>
              <w:top w:val="single" w:sz="4" w:space="0" w:color="000000"/>
              <w:left w:val="single" w:sz="4" w:space="0" w:color="000000"/>
              <w:right w:val="single" w:sz="4" w:space="0" w:color="000000"/>
            </w:tcBorders>
            <w:shd w:val="pct10" w:color="auto" w:fill="auto"/>
            <w:vAlign w:val="center"/>
            <w:hideMark/>
          </w:tcPr>
          <w:p w14:paraId="1202F66D" w14:textId="77777777" w:rsidR="009125FD" w:rsidRDefault="009125FD" w:rsidP="009125FD">
            <w:pPr>
              <w:spacing w:after="120"/>
              <w:jc w:val="center"/>
              <w:rPr>
                <w:rFonts w:ascii="Arial" w:hAnsi="Arial" w:cs="Arial"/>
                <w:sz w:val="18"/>
                <w:szCs w:val="18"/>
              </w:rPr>
            </w:pPr>
            <w:r w:rsidRPr="005C5D59">
              <w:rPr>
                <w:rFonts w:ascii="Arial" w:hAnsi="Arial" w:cs="Arial"/>
                <w:sz w:val="18"/>
                <w:szCs w:val="18"/>
              </w:rPr>
              <w:t>RED BLOOD CELLS</w:t>
            </w:r>
          </w:p>
          <w:p w14:paraId="16B465CD" w14:textId="77777777" w:rsidR="009125FD" w:rsidRDefault="009125FD" w:rsidP="009125FD">
            <w:pPr>
              <w:spacing w:after="120"/>
              <w:jc w:val="center"/>
              <w:rPr>
                <w:rFonts w:ascii="Arial" w:hAnsi="Arial" w:cs="Arial"/>
                <w:sz w:val="18"/>
                <w:szCs w:val="18"/>
              </w:rPr>
            </w:pPr>
            <w:r w:rsidRPr="005C5D59">
              <w:rPr>
                <w:rFonts w:ascii="Arial" w:hAnsi="Arial" w:cs="Arial"/>
                <w:sz w:val="18"/>
                <w:szCs w:val="18"/>
              </w:rPr>
              <w:t xml:space="preserve"> WHOLE BLOOD </w:t>
            </w:r>
          </w:p>
          <w:p w14:paraId="21B237C6" w14:textId="77777777" w:rsidR="009125FD" w:rsidRPr="005C5D59" w:rsidRDefault="009125FD" w:rsidP="009125FD">
            <w:pPr>
              <w:spacing w:after="120"/>
              <w:jc w:val="center"/>
              <w:rPr>
                <w:rFonts w:ascii="Arial" w:hAnsi="Arial" w:cs="Arial"/>
                <w:sz w:val="18"/>
                <w:szCs w:val="18"/>
              </w:rPr>
            </w:pPr>
            <w:r w:rsidRPr="005C5D59">
              <w:rPr>
                <w:rFonts w:ascii="Arial" w:hAnsi="Arial" w:cs="Arial"/>
                <w:sz w:val="18"/>
                <w:szCs w:val="18"/>
              </w:rPr>
              <w:t>PLATELETS</w:t>
            </w:r>
          </w:p>
          <w:p w14:paraId="4D1279A6" w14:textId="77777777" w:rsidR="009125FD" w:rsidRPr="005C5D59" w:rsidRDefault="009125FD" w:rsidP="009125FD">
            <w:pPr>
              <w:spacing w:after="120"/>
              <w:jc w:val="center"/>
              <w:rPr>
                <w:rFonts w:ascii="Arial" w:hAnsi="Arial" w:cs="Arial"/>
                <w:sz w:val="18"/>
                <w:szCs w:val="18"/>
              </w:rPr>
            </w:pPr>
            <w:r w:rsidRPr="005C5D59">
              <w:rPr>
                <w:rFonts w:ascii="Arial" w:hAnsi="Arial" w:cs="Arial"/>
                <w:color w:val="000000"/>
                <w:sz w:val="18"/>
                <w:szCs w:val="18"/>
              </w:rPr>
              <w:t>OTHER</w:t>
            </w:r>
          </w:p>
        </w:tc>
        <w:tc>
          <w:tcPr>
            <w:tcW w:w="1260" w:type="dxa"/>
            <w:tcBorders>
              <w:top w:val="single" w:sz="4" w:space="0" w:color="000000"/>
              <w:left w:val="single" w:sz="4" w:space="0" w:color="000000"/>
              <w:right w:val="single" w:sz="4" w:space="0" w:color="000000"/>
            </w:tcBorders>
            <w:shd w:val="pct10" w:color="auto" w:fill="auto"/>
            <w:vAlign w:val="center"/>
            <w:hideMark/>
          </w:tcPr>
          <w:p w14:paraId="58D1C386" w14:textId="77777777" w:rsidR="009125FD" w:rsidRPr="008E2609" w:rsidRDefault="009125FD" w:rsidP="009125FD">
            <w:pPr>
              <w:jc w:val="center"/>
              <w:rPr>
                <w:rFonts w:ascii="Arial" w:hAnsi="Arial" w:cs="Arial"/>
                <w:sz w:val="18"/>
                <w:szCs w:val="18"/>
              </w:rPr>
            </w:pPr>
            <w:r w:rsidRPr="008E2609">
              <w:rPr>
                <w:rFonts w:ascii="Arial" w:hAnsi="Arial" w:cs="Arial"/>
                <w:sz w:val="18"/>
                <w:szCs w:val="18"/>
              </w:rPr>
              <w:t>CMV Negative*</w:t>
            </w:r>
          </w:p>
        </w:tc>
        <w:tc>
          <w:tcPr>
            <w:tcW w:w="1620" w:type="dxa"/>
            <w:tcBorders>
              <w:top w:val="single" w:sz="4" w:space="0" w:color="000000"/>
              <w:left w:val="single" w:sz="4" w:space="0" w:color="000000"/>
              <w:right w:val="single" w:sz="4" w:space="0" w:color="000000"/>
            </w:tcBorders>
            <w:shd w:val="pct10" w:color="auto" w:fill="auto"/>
            <w:vAlign w:val="center"/>
            <w:hideMark/>
          </w:tcPr>
          <w:p w14:paraId="0246CCF1" w14:textId="77777777" w:rsidR="009125FD" w:rsidRPr="008E2609" w:rsidRDefault="009125FD" w:rsidP="009125FD">
            <w:pPr>
              <w:jc w:val="center"/>
              <w:rPr>
                <w:rFonts w:ascii="Arial" w:hAnsi="Arial" w:cs="Arial"/>
                <w:sz w:val="18"/>
                <w:szCs w:val="18"/>
              </w:rPr>
            </w:pPr>
            <w:r w:rsidRPr="008E2609">
              <w:rPr>
                <w:rFonts w:ascii="Arial" w:hAnsi="Arial" w:cs="Arial"/>
                <w:sz w:val="18"/>
                <w:szCs w:val="18"/>
              </w:rPr>
              <w:t>ALL VBECS Users</w:t>
            </w:r>
          </w:p>
        </w:tc>
        <w:tc>
          <w:tcPr>
            <w:tcW w:w="4050" w:type="dxa"/>
            <w:tcBorders>
              <w:top w:val="single" w:sz="4" w:space="0" w:color="000000"/>
              <w:left w:val="single" w:sz="4" w:space="0" w:color="000000"/>
              <w:right w:val="single" w:sz="4" w:space="0" w:color="000000"/>
            </w:tcBorders>
            <w:shd w:val="pct10" w:color="auto" w:fill="auto"/>
            <w:vAlign w:val="center"/>
          </w:tcPr>
          <w:p w14:paraId="7130E42F" w14:textId="77777777" w:rsidR="009125FD" w:rsidRPr="005C5D59" w:rsidRDefault="009125FD" w:rsidP="009125FD">
            <w:pPr>
              <w:jc w:val="center"/>
              <w:rPr>
                <w:rFonts w:ascii="Arial" w:hAnsi="Arial" w:cs="Arial"/>
                <w:sz w:val="18"/>
                <w:szCs w:val="18"/>
              </w:rPr>
            </w:pPr>
            <w:r w:rsidRPr="005C5D59">
              <w:rPr>
                <w:rFonts w:ascii="Arial" w:hAnsi="Arial" w:cs="Arial"/>
                <w:sz w:val="18"/>
                <w:szCs w:val="18"/>
              </w:rPr>
              <w:t>No warning message will display.</w:t>
            </w:r>
          </w:p>
        </w:tc>
      </w:tr>
      <w:tr w:rsidR="009125FD" w:rsidRPr="005C5D59" w14:paraId="669657E0" w14:textId="77777777" w:rsidTr="009125FD">
        <w:trPr>
          <w:cantSplit/>
          <w:trHeight w:val="1863"/>
        </w:trPr>
        <w:tc>
          <w:tcPr>
            <w:tcW w:w="1843" w:type="dxa"/>
            <w:vMerge/>
            <w:tcBorders>
              <w:left w:val="single" w:sz="4" w:space="0" w:color="000000"/>
              <w:right w:val="single" w:sz="4" w:space="0" w:color="000000"/>
            </w:tcBorders>
            <w:vAlign w:val="bottom"/>
          </w:tcPr>
          <w:p w14:paraId="7B011A59" w14:textId="77777777" w:rsidR="009125FD" w:rsidRPr="005C5D59" w:rsidRDefault="009125FD" w:rsidP="009125FD">
            <w:pPr>
              <w:rPr>
                <w:rFonts w:ascii="Arial" w:hAnsi="Arial" w:cs="Arial"/>
                <w:b/>
                <w:sz w:val="18"/>
                <w:szCs w:val="18"/>
              </w:rPr>
            </w:pPr>
          </w:p>
        </w:tc>
        <w:tc>
          <w:tcPr>
            <w:tcW w:w="1469" w:type="dxa"/>
            <w:tcBorders>
              <w:top w:val="single" w:sz="4" w:space="0" w:color="000000"/>
              <w:left w:val="single" w:sz="4" w:space="0" w:color="000000"/>
              <w:right w:val="single" w:sz="4" w:space="0" w:color="000000"/>
            </w:tcBorders>
            <w:vAlign w:val="center"/>
          </w:tcPr>
          <w:p w14:paraId="745CB50D" w14:textId="77777777" w:rsidR="009125FD" w:rsidRDefault="009125FD" w:rsidP="009125FD">
            <w:pPr>
              <w:jc w:val="center"/>
              <w:rPr>
                <w:rFonts w:ascii="Arial" w:hAnsi="Arial" w:cs="Arial"/>
                <w:sz w:val="18"/>
                <w:szCs w:val="18"/>
              </w:rPr>
            </w:pPr>
            <w:r w:rsidRPr="005C5D59">
              <w:rPr>
                <w:rFonts w:ascii="Arial" w:hAnsi="Arial" w:cs="Arial"/>
                <w:sz w:val="18"/>
                <w:szCs w:val="18"/>
              </w:rPr>
              <w:t>RED BLOOD CELLS</w:t>
            </w:r>
          </w:p>
          <w:p w14:paraId="239AA325" w14:textId="77777777" w:rsidR="009125FD" w:rsidRPr="005C5D59" w:rsidRDefault="009125FD" w:rsidP="009125FD">
            <w:pPr>
              <w:jc w:val="center"/>
              <w:rPr>
                <w:rFonts w:ascii="Arial" w:hAnsi="Arial" w:cs="Arial"/>
                <w:sz w:val="18"/>
                <w:szCs w:val="18"/>
              </w:rPr>
            </w:pPr>
            <w:r w:rsidRPr="005C5D59">
              <w:rPr>
                <w:rFonts w:ascii="Arial" w:hAnsi="Arial" w:cs="Arial"/>
                <w:sz w:val="18"/>
                <w:szCs w:val="18"/>
              </w:rPr>
              <w:t xml:space="preserve"> </w:t>
            </w:r>
          </w:p>
          <w:p w14:paraId="7E7179CF" w14:textId="77777777" w:rsidR="009125FD" w:rsidRPr="005C5D59" w:rsidRDefault="009125FD" w:rsidP="009125FD">
            <w:pPr>
              <w:jc w:val="center"/>
              <w:rPr>
                <w:rFonts w:ascii="Arial" w:hAnsi="Arial" w:cs="Arial"/>
                <w:sz w:val="18"/>
                <w:szCs w:val="18"/>
              </w:rPr>
            </w:pPr>
            <w:r w:rsidRPr="005C5D59">
              <w:rPr>
                <w:rFonts w:ascii="Arial" w:hAnsi="Arial" w:cs="Arial"/>
                <w:sz w:val="18"/>
                <w:szCs w:val="18"/>
              </w:rPr>
              <w:t>WHOLE BLOOD</w:t>
            </w:r>
          </w:p>
          <w:p w14:paraId="625B0351" w14:textId="77777777" w:rsidR="009125FD" w:rsidRDefault="009125FD" w:rsidP="009125FD">
            <w:pPr>
              <w:jc w:val="center"/>
              <w:rPr>
                <w:rFonts w:ascii="Arial" w:hAnsi="Arial" w:cs="Arial"/>
                <w:sz w:val="18"/>
                <w:szCs w:val="18"/>
              </w:rPr>
            </w:pPr>
          </w:p>
          <w:p w14:paraId="589B23D9" w14:textId="77777777" w:rsidR="009125FD" w:rsidRPr="005C5D59" w:rsidRDefault="009125FD" w:rsidP="009125FD">
            <w:pPr>
              <w:jc w:val="center"/>
              <w:rPr>
                <w:rFonts w:ascii="Arial" w:hAnsi="Arial" w:cs="Arial"/>
                <w:sz w:val="18"/>
                <w:szCs w:val="18"/>
              </w:rPr>
            </w:pPr>
            <w:r w:rsidRPr="005C5D59">
              <w:rPr>
                <w:rFonts w:ascii="Arial" w:hAnsi="Arial" w:cs="Arial"/>
                <w:sz w:val="18"/>
                <w:szCs w:val="18"/>
              </w:rPr>
              <w:t>PLATELETS</w:t>
            </w:r>
          </w:p>
          <w:p w14:paraId="52BB2B79" w14:textId="77777777" w:rsidR="009125FD" w:rsidRDefault="009125FD" w:rsidP="009125FD">
            <w:pPr>
              <w:jc w:val="center"/>
              <w:rPr>
                <w:rFonts w:ascii="Arial" w:hAnsi="Arial" w:cs="Arial"/>
                <w:color w:val="000000"/>
                <w:sz w:val="18"/>
                <w:szCs w:val="18"/>
              </w:rPr>
            </w:pPr>
          </w:p>
          <w:p w14:paraId="717FB385" w14:textId="77777777" w:rsidR="009125FD" w:rsidRPr="005C5D59" w:rsidRDefault="009125FD" w:rsidP="009125FD">
            <w:pPr>
              <w:jc w:val="center"/>
              <w:rPr>
                <w:rFonts w:ascii="Arial" w:hAnsi="Arial" w:cs="Arial"/>
                <w:sz w:val="18"/>
                <w:szCs w:val="18"/>
              </w:rPr>
            </w:pPr>
            <w:r w:rsidRPr="005C5D59">
              <w:rPr>
                <w:rFonts w:ascii="Arial" w:hAnsi="Arial" w:cs="Arial"/>
                <w:color w:val="000000"/>
                <w:sz w:val="18"/>
                <w:szCs w:val="18"/>
              </w:rPr>
              <w:t>OTHER</w:t>
            </w:r>
            <w:r>
              <w:rPr>
                <w:rFonts w:ascii="Arial" w:hAnsi="Arial" w:cs="Arial"/>
                <w:color w:val="000000"/>
                <w:sz w:val="18"/>
                <w:szCs w:val="18"/>
              </w:rPr>
              <w:t>*</w:t>
            </w:r>
          </w:p>
        </w:tc>
        <w:tc>
          <w:tcPr>
            <w:tcW w:w="1260" w:type="dxa"/>
            <w:tcBorders>
              <w:top w:val="single" w:sz="4" w:space="0" w:color="000000"/>
              <w:left w:val="single" w:sz="4" w:space="0" w:color="000000"/>
              <w:right w:val="single" w:sz="4" w:space="0" w:color="000000"/>
            </w:tcBorders>
            <w:vAlign w:val="center"/>
          </w:tcPr>
          <w:p w14:paraId="4B16EB1A" w14:textId="77777777" w:rsidR="009125FD" w:rsidRDefault="009125FD" w:rsidP="009125FD">
            <w:pPr>
              <w:jc w:val="center"/>
              <w:rPr>
                <w:rFonts w:ascii="Arial" w:hAnsi="Arial" w:cs="Arial"/>
                <w:b/>
                <w:color w:val="FF0000"/>
                <w:sz w:val="18"/>
                <w:szCs w:val="18"/>
              </w:rPr>
            </w:pPr>
            <w:r>
              <w:rPr>
                <w:rFonts w:ascii="Arial" w:hAnsi="Arial" w:cs="Arial"/>
                <w:b/>
                <w:color w:val="FF0000"/>
                <w:sz w:val="18"/>
                <w:szCs w:val="18"/>
              </w:rPr>
              <w:t xml:space="preserve">Not </w:t>
            </w:r>
          </w:p>
          <w:p w14:paraId="494632F7" w14:textId="77777777" w:rsidR="009125FD" w:rsidRPr="005C5D59" w:rsidRDefault="009125FD" w:rsidP="009125FD">
            <w:pPr>
              <w:jc w:val="center"/>
              <w:rPr>
                <w:rFonts w:ascii="Arial" w:hAnsi="Arial" w:cs="Arial"/>
                <w:color w:val="FF0000"/>
                <w:sz w:val="18"/>
                <w:szCs w:val="18"/>
              </w:rPr>
            </w:pPr>
            <w:r>
              <w:rPr>
                <w:rFonts w:ascii="Arial" w:hAnsi="Arial" w:cs="Arial"/>
                <w:b/>
                <w:color w:val="FF0000"/>
                <w:sz w:val="18"/>
                <w:szCs w:val="18"/>
              </w:rPr>
              <w:t>CMV negative</w:t>
            </w:r>
          </w:p>
        </w:tc>
        <w:tc>
          <w:tcPr>
            <w:tcW w:w="1620" w:type="dxa"/>
            <w:tcBorders>
              <w:top w:val="single" w:sz="4" w:space="0" w:color="000000"/>
              <w:left w:val="single" w:sz="4" w:space="0" w:color="000000"/>
              <w:right w:val="single" w:sz="4" w:space="0" w:color="000000"/>
            </w:tcBorders>
            <w:vAlign w:val="center"/>
          </w:tcPr>
          <w:p w14:paraId="251E0480" w14:textId="77777777" w:rsidR="009125FD" w:rsidRPr="000E5D20" w:rsidRDefault="009125FD" w:rsidP="009125FD">
            <w:pPr>
              <w:ind w:left="18"/>
              <w:rPr>
                <w:rFonts w:ascii="Arial" w:hAnsi="Arial" w:cs="Arial"/>
                <w:sz w:val="18"/>
                <w:szCs w:val="18"/>
              </w:rPr>
            </w:pPr>
            <w:r w:rsidRPr="000E5D20">
              <w:rPr>
                <w:rFonts w:ascii="Arial" w:hAnsi="Arial" w:cs="Arial"/>
                <w:noProof/>
                <w:sz w:val="18"/>
                <w:szCs w:val="18"/>
              </w:rPr>
              <w:t>Technologist</w:t>
            </w:r>
          </w:p>
          <w:p w14:paraId="0B9F6304" w14:textId="77777777" w:rsidR="009125FD" w:rsidRPr="00836EE2" w:rsidRDefault="009125FD" w:rsidP="009125FD">
            <w:pPr>
              <w:ind w:left="18"/>
              <w:rPr>
                <w:rFonts w:ascii="Arial" w:hAnsi="Arial" w:cs="Arial"/>
                <w:sz w:val="18"/>
                <w:szCs w:val="18"/>
              </w:rPr>
            </w:pPr>
          </w:p>
          <w:p w14:paraId="7CA652FC" w14:textId="77777777" w:rsidR="009125FD" w:rsidRPr="000E5D20" w:rsidRDefault="009125FD" w:rsidP="009125FD">
            <w:pPr>
              <w:ind w:left="18"/>
              <w:rPr>
                <w:rFonts w:ascii="Arial" w:hAnsi="Arial" w:cs="Arial"/>
                <w:noProof/>
                <w:sz w:val="18"/>
                <w:szCs w:val="18"/>
              </w:rPr>
            </w:pPr>
            <w:r w:rsidRPr="000E5D20">
              <w:rPr>
                <w:rFonts w:ascii="Arial" w:hAnsi="Arial" w:cs="Arial"/>
                <w:noProof/>
                <w:sz w:val="18"/>
                <w:szCs w:val="18"/>
              </w:rPr>
              <w:t>Enhanced Technologist</w:t>
            </w:r>
          </w:p>
        </w:tc>
        <w:tc>
          <w:tcPr>
            <w:tcW w:w="4050" w:type="dxa"/>
            <w:tcBorders>
              <w:top w:val="single" w:sz="4" w:space="0" w:color="000000"/>
              <w:left w:val="single" w:sz="4" w:space="0" w:color="000000"/>
              <w:right w:val="single" w:sz="4" w:space="0" w:color="000000"/>
            </w:tcBorders>
            <w:vAlign w:val="bottom"/>
          </w:tcPr>
          <w:p w14:paraId="13CA9924" w14:textId="77777777" w:rsidR="009125FD" w:rsidRDefault="009125FD" w:rsidP="009125FD">
            <w:pPr>
              <w:rPr>
                <w:rFonts w:ascii="Arial" w:hAnsi="Arial" w:cs="Arial"/>
                <w:sz w:val="18"/>
                <w:szCs w:val="18"/>
              </w:rPr>
            </w:pPr>
            <w:r w:rsidRPr="005C5D59">
              <w:rPr>
                <w:rFonts w:ascii="Arial" w:hAnsi="Arial" w:cs="Arial"/>
                <w:sz w:val="18"/>
                <w:szCs w:val="18"/>
              </w:rPr>
              <w:t xml:space="preserve">The system displays the warning message: </w:t>
            </w:r>
            <w:r w:rsidRPr="00836EE2">
              <w:rPr>
                <w:rFonts w:ascii="Arial" w:hAnsi="Arial" w:cs="Arial"/>
                <w:i/>
                <w:sz w:val="18"/>
                <w:szCs w:val="18"/>
              </w:rPr>
              <w:t>Patient’s Transfusion Requirement is not satisfied.</w:t>
            </w:r>
            <w:r w:rsidRPr="005C5D59">
              <w:rPr>
                <w:rFonts w:ascii="Arial" w:hAnsi="Arial" w:cs="Arial"/>
                <w:sz w:val="18"/>
                <w:szCs w:val="18"/>
              </w:rPr>
              <w:t xml:space="preserve"> </w:t>
            </w:r>
            <w:r w:rsidRPr="007F3B3C">
              <w:rPr>
                <w:rFonts w:ascii="Arial" w:hAnsi="Arial" w:cs="Arial"/>
                <w:i/>
                <w:sz w:val="18"/>
                <w:szCs w:val="18"/>
              </w:rPr>
              <w:t>You do not have the proper security to issue this unit. Further processing is needed and must be documented in VBECS.</w:t>
            </w:r>
            <w:r w:rsidRPr="005C5D59">
              <w:rPr>
                <w:rFonts w:ascii="Arial" w:hAnsi="Arial" w:cs="Arial"/>
                <w:sz w:val="18"/>
                <w:szCs w:val="18"/>
              </w:rPr>
              <w:t xml:space="preserve"> </w:t>
            </w:r>
          </w:p>
          <w:p w14:paraId="5E61BCD6" w14:textId="77777777" w:rsidR="009125FD" w:rsidRPr="005C5D59" w:rsidRDefault="009125FD" w:rsidP="009125FD">
            <w:pPr>
              <w:rPr>
                <w:rFonts w:ascii="Arial" w:hAnsi="Arial" w:cs="Arial"/>
                <w:sz w:val="18"/>
                <w:szCs w:val="18"/>
              </w:rPr>
            </w:pPr>
            <w:r>
              <w:rPr>
                <w:rFonts w:ascii="Arial" w:hAnsi="Arial" w:cs="Arial"/>
                <w:sz w:val="18"/>
                <w:szCs w:val="18"/>
              </w:rPr>
              <w:t>The tech may not issue this unit in the computer.</w:t>
            </w:r>
          </w:p>
        </w:tc>
      </w:tr>
      <w:tr w:rsidR="009125FD" w:rsidRPr="005C5D59" w14:paraId="4715D7AE" w14:textId="77777777" w:rsidTr="009125FD">
        <w:trPr>
          <w:cantSplit/>
          <w:trHeight w:val="2898"/>
        </w:trPr>
        <w:tc>
          <w:tcPr>
            <w:tcW w:w="1843" w:type="dxa"/>
            <w:vMerge/>
            <w:tcBorders>
              <w:left w:val="single" w:sz="4" w:space="0" w:color="000000"/>
              <w:right w:val="single" w:sz="4" w:space="0" w:color="000000"/>
            </w:tcBorders>
            <w:vAlign w:val="bottom"/>
          </w:tcPr>
          <w:p w14:paraId="30B60910" w14:textId="77777777" w:rsidR="009125FD" w:rsidRPr="005C5D59" w:rsidRDefault="009125FD" w:rsidP="009125FD">
            <w:pPr>
              <w:rPr>
                <w:rFonts w:ascii="Arial" w:hAnsi="Arial" w:cs="Arial"/>
                <w:b/>
                <w:sz w:val="18"/>
                <w:szCs w:val="18"/>
              </w:rPr>
            </w:pPr>
          </w:p>
        </w:tc>
        <w:tc>
          <w:tcPr>
            <w:tcW w:w="1469" w:type="dxa"/>
            <w:tcBorders>
              <w:top w:val="single" w:sz="4" w:space="0" w:color="000000"/>
              <w:left w:val="single" w:sz="4" w:space="0" w:color="000000"/>
              <w:right w:val="single" w:sz="4" w:space="0" w:color="000000"/>
            </w:tcBorders>
            <w:vAlign w:val="center"/>
          </w:tcPr>
          <w:p w14:paraId="528678BD" w14:textId="77777777" w:rsidR="009125FD" w:rsidRPr="005C5D59" w:rsidRDefault="009125FD" w:rsidP="009125FD">
            <w:pPr>
              <w:jc w:val="center"/>
              <w:rPr>
                <w:rFonts w:ascii="Arial" w:hAnsi="Arial" w:cs="Arial"/>
                <w:sz w:val="18"/>
                <w:szCs w:val="18"/>
              </w:rPr>
            </w:pPr>
            <w:r w:rsidRPr="005C5D59">
              <w:rPr>
                <w:rFonts w:ascii="Arial" w:hAnsi="Arial" w:cs="Arial"/>
                <w:sz w:val="18"/>
                <w:szCs w:val="18"/>
              </w:rPr>
              <w:t xml:space="preserve">RED BLOOD CELLS </w:t>
            </w:r>
          </w:p>
          <w:p w14:paraId="0BD2C0E8" w14:textId="77777777" w:rsidR="009125FD" w:rsidRDefault="009125FD" w:rsidP="009125FD">
            <w:pPr>
              <w:jc w:val="center"/>
              <w:rPr>
                <w:rFonts w:ascii="Arial" w:hAnsi="Arial" w:cs="Arial"/>
                <w:sz w:val="18"/>
                <w:szCs w:val="18"/>
              </w:rPr>
            </w:pPr>
          </w:p>
          <w:p w14:paraId="2F3F3A61" w14:textId="77777777" w:rsidR="009125FD" w:rsidRPr="005C5D59" w:rsidRDefault="009125FD" w:rsidP="009125FD">
            <w:pPr>
              <w:jc w:val="center"/>
              <w:rPr>
                <w:rFonts w:ascii="Arial" w:hAnsi="Arial" w:cs="Arial"/>
                <w:sz w:val="18"/>
                <w:szCs w:val="18"/>
              </w:rPr>
            </w:pPr>
            <w:r w:rsidRPr="005C5D59">
              <w:rPr>
                <w:rFonts w:ascii="Arial" w:hAnsi="Arial" w:cs="Arial"/>
                <w:sz w:val="18"/>
                <w:szCs w:val="18"/>
              </w:rPr>
              <w:t>WHOLE BLOOD</w:t>
            </w:r>
          </w:p>
          <w:p w14:paraId="27AF7AA0" w14:textId="77777777" w:rsidR="009125FD" w:rsidRDefault="009125FD" w:rsidP="009125FD">
            <w:pPr>
              <w:jc w:val="center"/>
              <w:rPr>
                <w:rFonts w:ascii="Arial" w:hAnsi="Arial" w:cs="Arial"/>
                <w:sz w:val="18"/>
                <w:szCs w:val="18"/>
              </w:rPr>
            </w:pPr>
          </w:p>
          <w:p w14:paraId="1200085F" w14:textId="77777777" w:rsidR="009125FD" w:rsidRPr="005C5D59" w:rsidRDefault="009125FD" w:rsidP="009125FD">
            <w:pPr>
              <w:jc w:val="center"/>
              <w:rPr>
                <w:rFonts w:ascii="Arial" w:hAnsi="Arial" w:cs="Arial"/>
                <w:sz w:val="18"/>
                <w:szCs w:val="18"/>
              </w:rPr>
            </w:pPr>
            <w:r w:rsidRPr="005C5D59">
              <w:rPr>
                <w:rFonts w:ascii="Arial" w:hAnsi="Arial" w:cs="Arial"/>
                <w:sz w:val="18"/>
                <w:szCs w:val="18"/>
              </w:rPr>
              <w:t>PLATELETS</w:t>
            </w:r>
          </w:p>
          <w:p w14:paraId="264DD97D" w14:textId="77777777" w:rsidR="009125FD" w:rsidRDefault="009125FD" w:rsidP="009125FD">
            <w:pPr>
              <w:jc w:val="center"/>
              <w:rPr>
                <w:rFonts w:ascii="Arial" w:hAnsi="Arial" w:cs="Arial"/>
                <w:color w:val="000000"/>
                <w:sz w:val="18"/>
                <w:szCs w:val="18"/>
              </w:rPr>
            </w:pPr>
          </w:p>
          <w:p w14:paraId="139D5400" w14:textId="77777777" w:rsidR="009125FD" w:rsidRPr="005C5D59" w:rsidRDefault="009125FD" w:rsidP="009125FD">
            <w:pPr>
              <w:jc w:val="center"/>
              <w:rPr>
                <w:rFonts w:ascii="Arial" w:hAnsi="Arial" w:cs="Arial"/>
                <w:sz w:val="18"/>
                <w:szCs w:val="18"/>
              </w:rPr>
            </w:pPr>
            <w:r w:rsidRPr="005C5D59">
              <w:rPr>
                <w:rFonts w:ascii="Arial" w:hAnsi="Arial" w:cs="Arial"/>
                <w:color w:val="000000"/>
                <w:sz w:val="18"/>
                <w:szCs w:val="18"/>
              </w:rPr>
              <w:t>OTHER</w:t>
            </w:r>
            <w:r>
              <w:rPr>
                <w:rFonts w:ascii="Arial" w:hAnsi="Arial" w:cs="Arial"/>
                <w:color w:val="000000"/>
                <w:sz w:val="18"/>
                <w:szCs w:val="18"/>
              </w:rPr>
              <w:t>*</w:t>
            </w:r>
          </w:p>
        </w:tc>
        <w:tc>
          <w:tcPr>
            <w:tcW w:w="1260" w:type="dxa"/>
            <w:tcBorders>
              <w:top w:val="single" w:sz="4" w:space="0" w:color="000000"/>
              <w:left w:val="single" w:sz="4" w:space="0" w:color="000000"/>
              <w:right w:val="single" w:sz="4" w:space="0" w:color="000000"/>
            </w:tcBorders>
            <w:vAlign w:val="center"/>
          </w:tcPr>
          <w:p w14:paraId="15AC3156" w14:textId="77777777" w:rsidR="009125FD" w:rsidRDefault="009125FD" w:rsidP="009125FD">
            <w:pPr>
              <w:jc w:val="center"/>
              <w:rPr>
                <w:rFonts w:ascii="Arial" w:hAnsi="Arial" w:cs="Arial"/>
                <w:b/>
                <w:color w:val="FF0000"/>
                <w:sz w:val="18"/>
                <w:szCs w:val="18"/>
              </w:rPr>
            </w:pPr>
            <w:r>
              <w:rPr>
                <w:rFonts w:ascii="Arial" w:hAnsi="Arial" w:cs="Arial"/>
                <w:b/>
                <w:color w:val="FF0000"/>
                <w:sz w:val="18"/>
                <w:szCs w:val="18"/>
              </w:rPr>
              <w:t xml:space="preserve">Not </w:t>
            </w:r>
          </w:p>
          <w:p w14:paraId="09ED5F9A" w14:textId="77777777" w:rsidR="009125FD" w:rsidRPr="005C5D59" w:rsidRDefault="009125FD" w:rsidP="009125FD">
            <w:pPr>
              <w:jc w:val="center"/>
              <w:rPr>
                <w:rFonts w:ascii="Arial" w:hAnsi="Arial" w:cs="Arial"/>
                <w:color w:val="FF0000"/>
                <w:sz w:val="18"/>
                <w:szCs w:val="18"/>
              </w:rPr>
            </w:pPr>
            <w:r>
              <w:rPr>
                <w:rFonts w:ascii="Arial" w:hAnsi="Arial" w:cs="Arial"/>
                <w:b/>
                <w:color w:val="FF0000"/>
                <w:sz w:val="18"/>
                <w:szCs w:val="18"/>
              </w:rPr>
              <w:t>CMV negative</w:t>
            </w:r>
          </w:p>
        </w:tc>
        <w:tc>
          <w:tcPr>
            <w:tcW w:w="1620" w:type="dxa"/>
            <w:tcBorders>
              <w:top w:val="single" w:sz="4" w:space="0" w:color="000000"/>
              <w:left w:val="single" w:sz="4" w:space="0" w:color="000000"/>
              <w:right w:val="single" w:sz="4" w:space="0" w:color="000000"/>
            </w:tcBorders>
            <w:vAlign w:val="center"/>
          </w:tcPr>
          <w:p w14:paraId="727942A0" w14:textId="77777777" w:rsidR="009125FD" w:rsidRPr="000E5D20" w:rsidRDefault="009125FD" w:rsidP="009125FD">
            <w:pPr>
              <w:spacing w:before="120"/>
              <w:ind w:left="18"/>
              <w:rPr>
                <w:rFonts w:ascii="Arial" w:hAnsi="Arial" w:cs="Arial"/>
                <w:sz w:val="18"/>
                <w:szCs w:val="18"/>
              </w:rPr>
            </w:pPr>
            <w:r w:rsidRPr="000E5D20">
              <w:rPr>
                <w:rFonts w:ascii="Arial" w:hAnsi="Arial" w:cs="Arial"/>
                <w:sz w:val="18"/>
                <w:szCs w:val="18"/>
              </w:rPr>
              <w:t>Lead Technologist</w:t>
            </w:r>
          </w:p>
          <w:p w14:paraId="30FDF05B" w14:textId="77777777" w:rsidR="009125FD" w:rsidRPr="000E5D20" w:rsidRDefault="009125FD" w:rsidP="009125FD">
            <w:pPr>
              <w:spacing w:before="120"/>
              <w:ind w:left="18"/>
              <w:rPr>
                <w:rFonts w:ascii="Arial" w:hAnsi="Arial" w:cs="Arial"/>
                <w:sz w:val="18"/>
                <w:szCs w:val="18"/>
              </w:rPr>
            </w:pPr>
            <w:r w:rsidRPr="000E5D20">
              <w:rPr>
                <w:rFonts w:ascii="Arial" w:hAnsi="Arial" w:cs="Arial"/>
                <w:sz w:val="18"/>
                <w:szCs w:val="18"/>
              </w:rPr>
              <w:t>Traditional Supervisor</w:t>
            </w:r>
          </w:p>
          <w:p w14:paraId="18FAB332" w14:textId="77777777" w:rsidR="009125FD" w:rsidRPr="000E5D20" w:rsidRDefault="009125FD" w:rsidP="009125FD">
            <w:pPr>
              <w:spacing w:before="120"/>
              <w:ind w:left="18"/>
              <w:rPr>
                <w:rFonts w:ascii="Arial" w:hAnsi="Arial" w:cs="Arial"/>
                <w:sz w:val="18"/>
                <w:szCs w:val="18"/>
              </w:rPr>
            </w:pPr>
            <w:r w:rsidRPr="000E5D20">
              <w:rPr>
                <w:rFonts w:ascii="Arial" w:hAnsi="Arial" w:cs="Arial"/>
                <w:sz w:val="18"/>
                <w:szCs w:val="18"/>
              </w:rPr>
              <w:t>Enhanced Supervisor</w:t>
            </w:r>
          </w:p>
          <w:p w14:paraId="64B93A5C" w14:textId="77777777" w:rsidR="009125FD" w:rsidRPr="000E5D20" w:rsidRDefault="009125FD" w:rsidP="009125FD">
            <w:pPr>
              <w:spacing w:before="120"/>
              <w:ind w:left="18"/>
              <w:rPr>
                <w:rFonts w:ascii="Arial" w:hAnsi="Arial" w:cs="Arial"/>
                <w:sz w:val="18"/>
                <w:szCs w:val="18"/>
              </w:rPr>
            </w:pPr>
            <w:r w:rsidRPr="000E5D20">
              <w:rPr>
                <w:rFonts w:ascii="Arial" w:hAnsi="Arial" w:cs="Arial"/>
                <w:sz w:val="18"/>
                <w:szCs w:val="18"/>
              </w:rPr>
              <w:t>Administrator/Supervisor</w:t>
            </w:r>
          </w:p>
          <w:p w14:paraId="3100DA47" w14:textId="77777777" w:rsidR="009125FD" w:rsidRPr="008B278A" w:rsidRDefault="009125FD" w:rsidP="009125FD">
            <w:pPr>
              <w:ind w:left="18"/>
              <w:rPr>
                <w:rFonts w:ascii="Arial" w:hAnsi="Arial" w:cs="Arial"/>
                <w:sz w:val="18"/>
                <w:szCs w:val="18"/>
              </w:rPr>
            </w:pPr>
          </w:p>
        </w:tc>
        <w:tc>
          <w:tcPr>
            <w:tcW w:w="4050" w:type="dxa"/>
            <w:tcBorders>
              <w:top w:val="single" w:sz="4" w:space="0" w:color="000000"/>
              <w:left w:val="single" w:sz="4" w:space="0" w:color="000000"/>
              <w:right w:val="single" w:sz="4" w:space="0" w:color="000000"/>
            </w:tcBorders>
            <w:vAlign w:val="bottom"/>
          </w:tcPr>
          <w:p w14:paraId="08C29D21" w14:textId="77777777" w:rsidR="009125FD" w:rsidRPr="005C5D59" w:rsidRDefault="009125FD" w:rsidP="009125FD">
            <w:pPr>
              <w:rPr>
                <w:rFonts w:ascii="Arial" w:hAnsi="Arial" w:cs="Arial"/>
                <w:sz w:val="18"/>
                <w:szCs w:val="18"/>
              </w:rPr>
            </w:pPr>
            <w:r w:rsidRPr="005C5D59">
              <w:rPr>
                <w:rFonts w:ascii="Arial" w:hAnsi="Arial" w:cs="Arial"/>
                <w:sz w:val="18"/>
                <w:szCs w:val="18"/>
              </w:rPr>
              <w:t xml:space="preserve">The system displays the warning message: </w:t>
            </w:r>
            <w:r w:rsidRPr="00836EE2">
              <w:rPr>
                <w:rFonts w:ascii="Arial" w:hAnsi="Arial" w:cs="Arial"/>
                <w:i/>
                <w:sz w:val="18"/>
                <w:szCs w:val="18"/>
              </w:rPr>
              <w:t>Patient’</w:t>
            </w:r>
            <w:r w:rsidRPr="0033381C">
              <w:rPr>
                <w:rFonts w:ascii="Arial" w:hAnsi="Arial" w:cs="Arial"/>
                <w:i/>
                <w:sz w:val="18"/>
                <w:szCs w:val="18"/>
              </w:rPr>
              <w:t xml:space="preserve">s </w:t>
            </w:r>
            <w:r w:rsidRPr="0033381C">
              <w:rPr>
                <w:rFonts w:ascii="Arial" w:hAnsi="Arial" w:cs="Arial"/>
                <w:sz w:val="18"/>
                <w:szCs w:val="18"/>
              </w:rPr>
              <w:t>CMV Negative Cellular Products</w:t>
            </w:r>
            <w:r w:rsidRPr="0033381C">
              <w:rPr>
                <w:rFonts w:ascii="Arial" w:hAnsi="Arial" w:cs="Arial"/>
                <w:i/>
                <w:sz w:val="18"/>
                <w:szCs w:val="18"/>
              </w:rPr>
              <w:t xml:space="preserve"> Transfusion </w:t>
            </w:r>
            <w:r w:rsidRPr="00836EE2">
              <w:rPr>
                <w:rFonts w:ascii="Arial" w:hAnsi="Arial" w:cs="Arial"/>
                <w:i/>
                <w:sz w:val="18"/>
                <w:szCs w:val="18"/>
              </w:rPr>
              <w:t>Requirement is not satisfied</w:t>
            </w:r>
            <w:r w:rsidRPr="005C5D59">
              <w:rPr>
                <w:rFonts w:ascii="Arial" w:hAnsi="Arial" w:cs="Arial"/>
                <w:sz w:val="18"/>
                <w:szCs w:val="18"/>
              </w:rPr>
              <w:t xml:space="preserve"> and prompts the user whether to proceed. </w:t>
            </w:r>
          </w:p>
          <w:p w14:paraId="2D12AB78" w14:textId="77777777" w:rsidR="009125FD" w:rsidRPr="005C5D59" w:rsidRDefault="009125FD" w:rsidP="009125FD">
            <w:pPr>
              <w:rPr>
                <w:rFonts w:ascii="Arial" w:hAnsi="Arial" w:cs="Arial"/>
                <w:sz w:val="18"/>
                <w:szCs w:val="18"/>
              </w:rPr>
            </w:pPr>
            <w:r w:rsidRPr="005C5D59">
              <w:rPr>
                <w:rFonts w:ascii="Arial" w:hAnsi="Arial" w:cs="Arial"/>
                <w:sz w:val="18"/>
                <w:szCs w:val="18"/>
              </w:rPr>
              <w:t>If the user responds “No”</w:t>
            </w:r>
            <w:r>
              <w:rPr>
                <w:rFonts w:ascii="Arial" w:hAnsi="Arial" w:cs="Arial"/>
                <w:sz w:val="18"/>
                <w:szCs w:val="18"/>
              </w:rPr>
              <w:t>,</w:t>
            </w:r>
            <w:r w:rsidRPr="005C5D59">
              <w:rPr>
                <w:rFonts w:ascii="Arial" w:hAnsi="Arial" w:cs="Arial"/>
                <w:sz w:val="18"/>
                <w:szCs w:val="18"/>
              </w:rPr>
              <w:t xml:space="preserve"> the system wi</w:t>
            </w:r>
            <w:r>
              <w:rPr>
                <w:rFonts w:ascii="Arial" w:hAnsi="Arial" w:cs="Arial"/>
                <w:sz w:val="18"/>
                <w:szCs w:val="18"/>
              </w:rPr>
              <w:t>ll clear the selected unit.</w:t>
            </w:r>
          </w:p>
          <w:p w14:paraId="4048E213" w14:textId="1385DD22" w:rsidR="009125FD" w:rsidRPr="005C5D59" w:rsidRDefault="009125FD" w:rsidP="009125FD">
            <w:pPr>
              <w:rPr>
                <w:rFonts w:ascii="Arial" w:hAnsi="Arial" w:cs="Arial"/>
                <w:sz w:val="18"/>
                <w:szCs w:val="18"/>
              </w:rPr>
            </w:pPr>
            <w:r w:rsidRPr="005C5D59">
              <w:rPr>
                <w:rFonts w:ascii="Arial" w:hAnsi="Arial" w:cs="Arial"/>
                <w:sz w:val="18"/>
                <w:szCs w:val="18"/>
              </w:rPr>
              <w:t>If the user responds “Yes”</w:t>
            </w:r>
            <w:r>
              <w:rPr>
                <w:rFonts w:ascii="Arial" w:hAnsi="Arial" w:cs="Arial"/>
                <w:sz w:val="18"/>
                <w:szCs w:val="18"/>
              </w:rPr>
              <w:t>,</w:t>
            </w:r>
            <w:r w:rsidRPr="005C5D59">
              <w:rPr>
                <w:rFonts w:ascii="Arial" w:hAnsi="Arial" w:cs="Arial"/>
                <w:sz w:val="18"/>
                <w:szCs w:val="18"/>
              </w:rPr>
              <w:t xml:space="preserve"> the system will require a comment (free text or canned, “unit issue” context) and capture the transacti</w:t>
            </w:r>
            <w:r>
              <w:rPr>
                <w:rFonts w:ascii="Arial" w:hAnsi="Arial" w:cs="Arial"/>
                <w:sz w:val="18"/>
                <w:szCs w:val="18"/>
              </w:rPr>
              <w:t>on details for inclusion in an Exception R</w:t>
            </w:r>
            <w:r w:rsidRPr="005C5D59">
              <w:rPr>
                <w:rFonts w:ascii="Arial" w:hAnsi="Arial" w:cs="Arial"/>
                <w:sz w:val="18"/>
                <w:szCs w:val="18"/>
              </w:rPr>
              <w:t>eport</w:t>
            </w:r>
            <w:r>
              <w:rPr>
                <w:rFonts w:ascii="Arial" w:hAnsi="Arial" w:cs="Arial"/>
                <w:sz w:val="18"/>
                <w:szCs w:val="18"/>
              </w:rPr>
              <w:t xml:space="preserve"> entry</w:t>
            </w:r>
            <w:r w:rsidRPr="005C5D59">
              <w:rPr>
                <w:rFonts w:ascii="Arial" w:hAnsi="Arial" w:cs="Arial"/>
                <w:sz w:val="18"/>
                <w:szCs w:val="18"/>
              </w:rPr>
              <w:t xml:space="preserve">: </w:t>
            </w:r>
            <w:r w:rsidRPr="005C5D59">
              <w:rPr>
                <w:rFonts w:ascii="Arial" w:hAnsi="Arial" w:cs="Arial"/>
                <w:i/>
                <w:sz w:val="18"/>
                <w:szCs w:val="18"/>
              </w:rPr>
              <w:t xml:space="preserve">Unit issued with unsatisfied Transfusion </w:t>
            </w:r>
            <w:r w:rsidR="00AE3B37" w:rsidRPr="005C5D59">
              <w:rPr>
                <w:rFonts w:ascii="Arial" w:hAnsi="Arial" w:cs="Arial"/>
                <w:i/>
                <w:sz w:val="18"/>
                <w:szCs w:val="18"/>
              </w:rPr>
              <w:t>Requirement</w:t>
            </w:r>
            <w:r w:rsidR="00AE3B37" w:rsidRPr="005C5D59">
              <w:rPr>
                <w:rFonts w:ascii="Arial" w:hAnsi="Arial" w:cs="Arial"/>
                <w:sz w:val="18"/>
                <w:szCs w:val="18"/>
              </w:rPr>
              <w:t>.</w:t>
            </w:r>
          </w:p>
        </w:tc>
      </w:tr>
    </w:tbl>
    <w:p w14:paraId="2C0013D1" w14:textId="77777777" w:rsidR="009125FD" w:rsidRPr="005C48D9" w:rsidRDefault="009125FD" w:rsidP="009125FD">
      <w:pPr>
        <w:ind w:left="36"/>
        <w:rPr>
          <w:sz w:val="22"/>
          <w:szCs w:val="22"/>
        </w:rPr>
      </w:pPr>
      <w:r w:rsidRPr="005C48D9">
        <w:rPr>
          <w:sz w:val="22"/>
          <w:szCs w:val="22"/>
        </w:rPr>
        <w:t>*VistA test results are not evaluated by VBECS.</w:t>
      </w:r>
      <w:r w:rsidRPr="005C48D9">
        <w:rPr>
          <w:color w:val="000000"/>
          <w:sz w:val="22"/>
          <w:szCs w:val="22"/>
        </w:rPr>
        <w:t xml:space="preserve"> CMV Negative status is recorded during receipt at Incoming Shipment or added to the unit record in Edit Unit Information.</w:t>
      </w:r>
      <w:r w:rsidRPr="005C48D9">
        <w:rPr>
          <w:sz w:val="22"/>
          <w:szCs w:val="22"/>
        </w:rPr>
        <w:t xml:space="preserve"> All product types in OTHER are evaluated for the requirement including those that are non-cellular.</w:t>
      </w:r>
    </w:p>
    <w:p w14:paraId="4BAE68EA" w14:textId="77777777" w:rsidR="00D32A05" w:rsidRPr="001C29FC" w:rsidRDefault="00D32A05" w:rsidP="00D32A05">
      <w:pPr>
        <w:pStyle w:val="Heading2"/>
      </w:pPr>
      <w:r>
        <w:br w:type="page"/>
      </w:r>
      <w:bookmarkStart w:id="902" w:name="_Ref139877903"/>
      <w:bookmarkStart w:id="903" w:name="_Toc355768163"/>
      <w:bookmarkStart w:id="904" w:name="_Toc358977308"/>
      <w:bookmarkStart w:id="905" w:name="_Toc203766025"/>
      <w:bookmarkStart w:id="906" w:name="_Toc54684874"/>
      <w:bookmarkStart w:id="907" w:name="_Toc137529672"/>
      <w:r w:rsidRPr="001C29FC">
        <w:lastRenderedPageBreak/>
        <w:t xml:space="preserve">Appendix </w:t>
      </w:r>
      <w:r w:rsidR="000A1A0F">
        <w:t>M</w:t>
      </w:r>
      <w:r w:rsidRPr="001C29FC">
        <w:t>: Workload Process Mapping to Application Option Table</w:t>
      </w:r>
      <w:bookmarkEnd w:id="902"/>
      <w:bookmarkEnd w:id="903"/>
      <w:bookmarkEnd w:id="904"/>
      <w:bookmarkEnd w:id="905"/>
      <w:r w:rsidR="00601D23">
        <w:t xml:space="preserve"> </w:t>
      </w:r>
      <w:r w:rsidR="00601D23" w:rsidRPr="00601D23">
        <w:rPr>
          <w:rFonts w:ascii="Arial Bold" w:hAnsi="Arial Bold"/>
          <w:vanish/>
        </w:rPr>
        <w:t>DR 4679</w:t>
      </w:r>
      <w:r w:rsidRPr="001C29FC">
        <w:fldChar w:fldCharType="begin"/>
      </w:r>
      <w:r w:rsidRPr="001C29FC">
        <w:instrText xml:space="preserve"> XE "Workload Process Mapping to Application Option Table" </w:instrText>
      </w:r>
      <w:r w:rsidRPr="001C29FC">
        <w:fldChar w:fldCharType="end"/>
      </w:r>
    </w:p>
    <w:bookmarkEnd w:id="906"/>
    <w:bookmarkEnd w:id="907"/>
    <w:p w14:paraId="7CFBBBAF" w14:textId="59DDFF06" w:rsidR="00D32A05" w:rsidRPr="001C29FC" w:rsidRDefault="00EE455E" w:rsidP="00D32A05">
      <w:pPr>
        <w:pStyle w:val="BodyText"/>
      </w:pPr>
      <w:r w:rsidRPr="001C29FC">
        <w:t xml:space="preserve">Table </w:t>
      </w:r>
      <w:r>
        <w:rPr>
          <w:noProof/>
        </w:rPr>
        <w:t>37</w:t>
      </w:r>
      <w:r w:rsidR="00D544AC">
        <w:t xml:space="preserve"> </w:t>
      </w:r>
      <w:r w:rsidR="00D32A05" w:rsidRPr="001C29FC">
        <w:t>associates record saves with workload processes. The data fields identified for transmission at the completion of a Workload Event are based on current VistA workload-related files and fields. VBECS will transmit information to a new flat file. There are no donor workload types in VBECS.</w:t>
      </w:r>
    </w:p>
    <w:p w14:paraId="605C313E" w14:textId="6028BFDF" w:rsidR="00D32A05" w:rsidRPr="001C29FC" w:rsidRDefault="00D32A05" w:rsidP="00D32A05">
      <w:pPr>
        <w:pStyle w:val="Caption"/>
      </w:pPr>
      <w:bookmarkStart w:id="908" w:name="_Ref257016527"/>
      <w:bookmarkStart w:id="909" w:name="_Ref256080480"/>
      <w:r w:rsidRPr="001C29FC">
        <w:t xml:space="preserve">Table </w:t>
      </w:r>
      <w:r w:rsidR="004E20BD">
        <w:rPr>
          <w:noProof/>
        </w:rPr>
        <w:fldChar w:fldCharType="begin"/>
      </w:r>
      <w:r w:rsidR="004E20BD">
        <w:rPr>
          <w:noProof/>
        </w:rPr>
        <w:instrText xml:space="preserve"> SEQ Table \* ARABIC </w:instrText>
      </w:r>
      <w:r w:rsidR="004E20BD">
        <w:rPr>
          <w:noProof/>
        </w:rPr>
        <w:fldChar w:fldCharType="separate"/>
      </w:r>
      <w:r w:rsidR="007D1829">
        <w:rPr>
          <w:noProof/>
        </w:rPr>
        <w:t>37</w:t>
      </w:r>
      <w:r w:rsidR="004E20BD">
        <w:rPr>
          <w:noProof/>
        </w:rPr>
        <w:fldChar w:fldCharType="end"/>
      </w:r>
      <w:bookmarkEnd w:id="908"/>
      <w:r w:rsidRPr="001C29FC">
        <w:t>: Workload Process Mapping to Application Option</w:t>
      </w:r>
      <w:r w:rsidR="00812371">
        <w:fldChar w:fldCharType="begin"/>
      </w:r>
      <w:r w:rsidR="00812371">
        <w:instrText xml:space="preserve"> XE "Tables:Workload Process Mapping to Application Option" </w:instrText>
      </w:r>
      <w:r w:rsidR="00812371">
        <w:fldChar w:fldCharType="end"/>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3"/>
        <w:gridCol w:w="1442"/>
        <w:gridCol w:w="1633"/>
        <w:gridCol w:w="4482"/>
      </w:tblGrid>
      <w:tr w:rsidR="00D32A05" w:rsidRPr="001C29FC" w14:paraId="740561A9" w14:textId="77777777" w:rsidTr="000A750D">
        <w:trPr>
          <w:cantSplit/>
          <w:tblHeader/>
        </w:trPr>
        <w:tc>
          <w:tcPr>
            <w:tcW w:w="1803" w:type="dxa"/>
            <w:tcBorders>
              <w:bottom w:val="single" w:sz="4" w:space="0" w:color="auto"/>
            </w:tcBorders>
            <w:shd w:val="clear" w:color="auto" w:fill="C0C0C0"/>
            <w:vAlign w:val="bottom"/>
          </w:tcPr>
          <w:bookmarkEnd w:id="909"/>
          <w:p w14:paraId="4BD9FD5A" w14:textId="77777777" w:rsidR="00D32A05" w:rsidRPr="001C29FC" w:rsidRDefault="00D32A05" w:rsidP="00D32A05">
            <w:pPr>
              <w:pStyle w:val="TableText"/>
              <w:rPr>
                <w:b/>
              </w:rPr>
            </w:pPr>
            <w:r w:rsidRPr="001C29FC">
              <w:rPr>
                <w:b/>
              </w:rPr>
              <w:t>Record Save Option</w:t>
            </w:r>
          </w:p>
        </w:tc>
        <w:tc>
          <w:tcPr>
            <w:tcW w:w="1442" w:type="dxa"/>
            <w:tcBorders>
              <w:bottom w:val="single" w:sz="4" w:space="0" w:color="auto"/>
            </w:tcBorders>
            <w:shd w:val="clear" w:color="auto" w:fill="C0C0C0"/>
            <w:vAlign w:val="bottom"/>
          </w:tcPr>
          <w:p w14:paraId="04D939C5" w14:textId="77777777" w:rsidR="00D32A05" w:rsidRPr="001C29FC" w:rsidRDefault="00D32A05" w:rsidP="00D32A05">
            <w:pPr>
              <w:pStyle w:val="TableText"/>
              <w:rPr>
                <w:b/>
              </w:rPr>
            </w:pPr>
            <w:r w:rsidRPr="001C29FC">
              <w:rPr>
                <w:b/>
              </w:rPr>
              <w:t>VBECS Process</w:t>
            </w:r>
          </w:p>
        </w:tc>
        <w:tc>
          <w:tcPr>
            <w:tcW w:w="1633" w:type="dxa"/>
            <w:tcBorders>
              <w:bottom w:val="single" w:sz="4" w:space="0" w:color="auto"/>
            </w:tcBorders>
            <w:shd w:val="clear" w:color="auto" w:fill="C0C0C0"/>
            <w:vAlign w:val="bottom"/>
          </w:tcPr>
          <w:p w14:paraId="1C89E667" w14:textId="77777777" w:rsidR="00D32A05" w:rsidRPr="001C29FC" w:rsidRDefault="00D32A05" w:rsidP="00D32A05">
            <w:pPr>
              <w:pStyle w:val="TableText"/>
              <w:rPr>
                <w:b/>
              </w:rPr>
            </w:pPr>
            <w:r w:rsidRPr="001C29FC">
              <w:rPr>
                <w:b/>
              </w:rPr>
              <w:t>Transaction Type [P (Patient), U (Unit), M (Miscellaneous)]</w:t>
            </w:r>
          </w:p>
        </w:tc>
        <w:tc>
          <w:tcPr>
            <w:tcW w:w="4482" w:type="dxa"/>
            <w:tcBorders>
              <w:bottom w:val="single" w:sz="4" w:space="0" w:color="auto"/>
            </w:tcBorders>
            <w:shd w:val="clear" w:color="auto" w:fill="C0C0C0"/>
            <w:vAlign w:val="bottom"/>
          </w:tcPr>
          <w:p w14:paraId="7158BADB" w14:textId="77777777" w:rsidR="00D32A05" w:rsidRPr="001C29FC" w:rsidRDefault="00D32A05" w:rsidP="00D32A05">
            <w:pPr>
              <w:pStyle w:val="TableText"/>
              <w:rPr>
                <w:b/>
              </w:rPr>
            </w:pPr>
            <w:r w:rsidRPr="001C29FC">
              <w:rPr>
                <w:b/>
              </w:rPr>
              <w:t xml:space="preserve">Explanation </w:t>
            </w:r>
          </w:p>
        </w:tc>
      </w:tr>
      <w:tr w:rsidR="00D32A05" w:rsidRPr="001C29FC" w14:paraId="2BE45ABA" w14:textId="77777777" w:rsidTr="00D32A05">
        <w:trPr>
          <w:cantSplit/>
        </w:trPr>
        <w:tc>
          <w:tcPr>
            <w:tcW w:w="1803" w:type="dxa"/>
            <w:shd w:val="clear" w:color="auto" w:fill="auto"/>
            <w:vAlign w:val="bottom"/>
          </w:tcPr>
          <w:p w14:paraId="0D808536" w14:textId="77777777" w:rsidR="00D32A05" w:rsidRPr="001C29FC" w:rsidRDefault="00D32A05" w:rsidP="00D32A05">
            <w:pPr>
              <w:pStyle w:val="TableText"/>
            </w:pPr>
            <w:r w:rsidRPr="001C29FC">
              <w:t>Record a Transfusion Reaction Workup</w:t>
            </w:r>
          </w:p>
        </w:tc>
        <w:tc>
          <w:tcPr>
            <w:tcW w:w="1442" w:type="dxa"/>
            <w:vMerge w:val="restart"/>
            <w:shd w:val="clear" w:color="auto" w:fill="auto"/>
          </w:tcPr>
          <w:p w14:paraId="168322FD" w14:textId="77777777" w:rsidR="00D32A05" w:rsidRPr="001C29FC" w:rsidRDefault="00D32A05" w:rsidP="00D32A05">
            <w:pPr>
              <w:pStyle w:val="TableText"/>
              <w:rPr>
                <w:color w:val="000000"/>
                <w:szCs w:val="18"/>
              </w:rPr>
            </w:pPr>
            <w:r w:rsidRPr="001C29FC">
              <w:rPr>
                <w:color w:val="000000"/>
                <w:szCs w:val="18"/>
              </w:rPr>
              <w:t>ABO Forward and reverse typing (patient)</w:t>
            </w:r>
          </w:p>
        </w:tc>
        <w:tc>
          <w:tcPr>
            <w:tcW w:w="1633" w:type="dxa"/>
            <w:shd w:val="clear" w:color="auto" w:fill="auto"/>
          </w:tcPr>
          <w:p w14:paraId="3FE20A7E" w14:textId="77777777" w:rsidR="00D32A05" w:rsidRPr="001C29FC" w:rsidRDefault="00D32A05" w:rsidP="00D32A05">
            <w:pPr>
              <w:pStyle w:val="TableText"/>
              <w:rPr>
                <w:color w:val="000000"/>
                <w:szCs w:val="18"/>
              </w:rPr>
            </w:pPr>
            <w:r w:rsidRPr="001C29FC">
              <w:rPr>
                <w:color w:val="000000"/>
                <w:szCs w:val="18"/>
              </w:rPr>
              <w:t>P</w:t>
            </w:r>
          </w:p>
        </w:tc>
        <w:tc>
          <w:tcPr>
            <w:tcW w:w="4482" w:type="dxa"/>
            <w:shd w:val="clear" w:color="auto" w:fill="auto"/>
          </w:tcPr>
          <w:p w14:paraId="5DB961A8" w14:textId="77777777" w:rsidR="00D32A05" w:rsidRPr="001C29FC" w:rsidRDefault="00D32A05" w:rsidP="00D32A05">
            <w:pPr>
              <w:pStyle w:val="TableText"/>
              <w:rPr>
                <w:color w:val="000000"/>
                <w:szCs w:val="18"/>
              </w:rPr>
            </w:pPr>
            <w:r w:rsidRPr="001C29FC">
              <w:rPr>
                <w:color w:val="000000"/>
                <w:szCs w:val="18"/>
              </w:rPr>
              <w:t>An ABO/Rh test for “pre” or “post” is enabled and a valid interpretation other than Not Tested is selected. A workload event is accrued separately for “Pre” and “Post” entries.</w:t>
            </w:r>
          </w:p>
        </w:tc>
      </w:tr>
      <w:tr w:rsidR="00D32A05" w:rsidRPr="001C29FC" w14:paraId="007B18B4" w14:textId="77777777" w:rsidTr="00D32A05">
        <w:trPr>
          <w:cantSplit/>
        </w:trPr>
        <w:tc>
          <w:tcPr>
            <w:tcW w:w="1803" w:type="dxa"/>
            <w:shd w:val="clear" w:color="auto" w:fill="auto"/>
            <w:vAlign w:val="bottom"/>
          </w:tcPr>
          <w:p w14:paraId="72794C3D" w14:textId="77777777" w:rsidR="00D32A05" w:rsidRPr="001C29FC" w:rsidRDefault="00D32A05" w:rsidP="00D32A05">
            <w:pPr>
              <w:pStyle w:val="TableText"/>
            </w:pPr>
            <w:r w:rsidRPr="001C29FC">
              <w:t>Record Patient ABO/Rh</w:t>
            </w:r>
          </w:p>
        </w:tc>
        <w:tc>
          <w:tcPr>
            <w:tcW w:w="1442" w:type="dxa"/>
            <w:vMerge/>
            <w:shd w:val="clear" w:color="auto" w:fill="auto"/>
          </w:tcPr>
          <w:p w14:paraId="326EA29E" w14:textId="77777777" w:rsidR="00D32A05" w:rsidRPr="001C29FC" w:rsidRDefault="00D32A05" w:rsidP="00D32A05">
            <w:pPr>
              <w:pStyle w:val="TableText"/>
              <w:rPr>
                <w:color w:val="000000"/>
                <w:szCs w:val="18"/>
              </w:rPr>
            </w:pPr>
          </w:p>
        </w:tc>
        <w:tc>
          <w:tcPr>
            <w:tcW w:w="1633" w:type="dxa"/>
            <w:shd w:val="clear" w:color="auto" w:fill="auto"/>
          </w:tcPr>
          <w:p w14:paraId="596154F3" w14:textId="77777777" w:rsidR="00D32A05" w:rsidRPr="001C29FC" w:rsidRDefault="00D32A05" w:rsidP="00D32A05">
            <w:pPr>
              <w:pStyle w:val="TableText"/>
              <w:rPr>
                <w:color w:val="000000"/>
                <w:szCs w:val="18"/>
              </w:rPr>
            </w:pPr>
            <w:r w:rsidRPr="001C29FC">
              <w:rPr>
                <w:color w:val="000000"/>
                <w:szCs w:val="18"/>
              </w:rPr>
              <w:t>P</w:t>
            </w:r>
          </w:p>
        </w:tc>
        <w:tc>
          <w:tcPr>
            <w:tcW w:w="4482" w:type="dxa"/>
            <w:shd w:val="clear" w:color="auto" w:fill="auto"/>
          </w:tcPr>
          <w:p w14:paraId="0604C80C" w14:textId="77777777" w:rsidR="00D32A05" w:rsidRPr="001C29FC" w:rsidRDefault="00D32A05" w:rsidP="00D32A05">
            <w:pPr>
              <w:pStyle w:val="TableText"/>
              <w:rPr>
                <w:szCs w:val="18"/>
              </w:rPr>
            </w:pPr>
            <w:r w:rsidRPr="001C29FC">
              <w:rPr>
                <w:szCs w:val="18"/>
              </w:rPr>
              <w:t>Accrue workload when a</w:t>
            </w:r>
            <w:r w:rsidRPr="001C29FC">
              <w:rPr>
                <w:color w:val="000000"/>
                <w:szCs w:val="18"/>
              </w:rPr>
              <w:t xml:space="preserve"> CPRS-ordered ABO/Rh test is performed.</w:t>
            </w:r>
          </w:p>
        </w:tc>
      </w:tr>
      <w:tr w:rsidR="00D32A05" w:rsidRPr="001C29FC" w14:paraId="289CB147" w14:textId="77777777" w:rsidTr="00D32A05">
        <w:trPr>
          <w:cantSplit/>
        </w:trPr>
        <w:tc>
          <w:tcPr>
            <w:tcW w:w="1803" w:type="dxa"/>
            <w:shd w:val="clear" w:color="auto" w:fill="auto"/>
            <w:vAlign w:val="bottom"/>
          </w:tcPr>
          <w:p w14:paraId="0D6F688B" w14:textId="77777777" w:rsidR="00D32A05" w:rsidRPr="001C29FC" w:rsidRDefault="00D32A05" w:rsidP="00D32A05">
            <w:pPr>
              <w:pStyle w:val="TableText"/>
            </w:pPr>
            <w:r w:rsidRPr="001C29FC">
              <w:t>Invalidate Patient Test Results*</w:t>
            </w:r>
          </w:p>
        </w:tc>
        <w:tc>
          <w:tcPr>
            <w:tcW w:w="1442" w:type="dxa"/>
            <w:vMerge/>
            <w:shd w:val="clear" w:color="auto" w:fill="auto"/>
          </w:tcPr>
          <w:p w14:paraId="060A43FD" w14:textId="77777777" w:rsidR="00D32A05" w:rsidRPr="001C29FC" w:rsidRDefault="00D32A05" w:rsidP="00D32A05">
            <w:pPr>
              <w:pStyle w:val="TableText"/>
              <w:rPr>
                <w:color w:val="000000"/>
                <w:szCs w:val="18"/>
              </w:rPr>
            </w:pPr>
          </w:p>
        </w:tc>
        <w:tc>
          <w:tcPr>
            <w:tcW w:w="1633" w:type="dxa"/>
            <w:shd w:val="clear" w:color="auto" w:fill="auto"/>
          </w:tcPr>
          <w:p w14:paraId="52DEF552" w14:textId="77777777" w:rsidR="00D32A05" w:rsidRPr="001C29FC" w:rsidRDefault="00D32A05" w:rsidP="00D32A05">
            <w:pPr>
              <w:pStyle w:val="TableText"/>
              <w:rPr>
                <w:color w:val="000000"/>
                <w:szCs w:val="18"/>
              </w:rPr>
            </w:pPr>
            <w:r w:rsidRPr="001C29FC">
              <w:rPr>
                <w:color w:val="000000"/>
                <w:szCs w:val="18"/>
              </w:rPr>
              <w:t>P</w:t>
            </w:r>
          </w:p>
        </w:tc>
        <w:tc>
          <w:tcPr>
            <w:tcW w:w="4482" w:type="dxa"/>
            <w:shd w:val="clear" w:color="auto" w:fill="auto"/>
          </w:tcPr>
          <w:p w14:paraId="4E763A05" w14:textId="77777777" w:rsidR="00D32A05" w:rsidRPr="001C29FC" w:rsidRDefault="00D32A05" w:rsidP="00D32A05">
            <w:pPr>
              <w:pStyle w:val="TableText"/>
              <w:rPr>
                <w:szCs w:val="18"/>
              </w:rPr>
            </w:pPr>
            <w:r w:rsidRPr="001C29FC">
              <w:rPr>
                <w:szCs w:val="18"/>
              </w:rPr>
              <w:t>Accrue workload when a completed ABO/Rh test is invalidated.</w:t>
            </w:r>
          </w:p>
        </w:tc>
      </w:tr>
      <w:tr w:rsidR="00D32A05" w:rsidRPr="001C29FC" w14:paraId="0E9BD986" w14:textId="77777777" w:rsidTr="00D32A05">
        <w:trPr>
          <w:cantSplit/>
          <w:tblHeader/>
        </w:trPr>
        <w:tc>
          <w:tcPr>
            <w:tcW w:w="1803" w:type="dxa"/>
            <w:shd w:val="clear" w:color="auto" w:fill="auto"/>
            <w:vAlign w:val="bottom"/>
          </w:tcPr>
          <w:p w14:paraId="1E49B402" w14:textId="77777777" w:rsidR="00D32A05" w:rsidRPr="001C29FC" w:rsidRDefault="00D32A05" w:rsidP="00D32A05">
            <w:pPr>
              <w:pStyle w:val="TableText"/>
            </w:pPr>
            <w:r w:rsidRPr="001C29FC">
              <w:t>Record Patient ABO/Rh</w:t>
            </w:r>
          </w:p>
        </w:tc>
        <w:tc>
          <w:tcPr>
            <w:tcW w:w="1442" w:type="dxa"/>
            <w:vMerge w:val="restart"/>
            <w:shd w:val="clear" w:color="auto" w:fill="auto"/>
          </w:tcPr>
          <w:p w14:paraId="0C8B6195" w14:textId="77777777" w:rsidR="00D32A05" w:rsidRPr="001C29FC" w:rsidRDefault="00D32A05" w:rsidP="00D32A05">
            <w:pPr>
              <w:pStyle w:val="TableText"/>
              <w:rPr>
                <w:color w:val="000000"/>
                <w:szCs w:val="18"/>
              </w:rPr>
            </w:pPr>
            <w:r w:rsidRPr="001C29FC">
              <w:rPr>
                <w:color w:val="000000"/>
                <w:szCs w:val="18"/>
              </w:rPr>
              <w:t>ABO Forward and reverse typing (patient) Repeat Test</w:t>
            </w:r>
          </w:p>
        </w:tc>
        <w:tc>
          <w:tcPr>
            <w:tcW w:w="1633" w:type="dxa"/>
            <w:shd w:val="clear" w:color="auto" w:fill="auto"/>
          </w:tcPr>
          <w:p w14:paraId="5A2B5516" w14:textId="77777777" w:rsidR="00D32A05" w:rsidRPr="001C29FC" w:rsidRDefault="00D32A05" w:rsidP="00D32A05">
            <w:pPr>
              <w:pStyle w:val="TableText"/>
              <w:rPr>
                <w:color w:val="000000"/>
                <w:szCs w:val="18"/>
              </w:rPr>
            </w:pPr>
            <w:r w:rsidRPr="001C29FC">
              <w:rPr>
                <w:color w:val="000000"/>
                <w:szCs w:val="18"/>
              </w:rPr>
              <w:t>M</w:t>
            </w:r>
          </w:p>
        </w:tc>
        <w:tc>
          <w:tcPr>
            <w:tcW w:w="4482" w:type="dxa"/>
            <w:shd w:val="clear" w:color="auto" w:fill="auto"/>
          </w:tcPr>
          <w:p w14:paraId="4B6C2387" w14:textId="77777777" w:rsidR="00D32A05" w:rsidRPr="001C29FC" w:rsidRDefault="00D32A05" w:rsidP="00D32A05">
            <w:pPr>
              <w:pStyle w:val="TableText"/>
              <w:rPr>
                <w:szCs w:val="18"/>
              </w:rPr>
            </w:pPr>
            <w:r w:rsidRPr="001C29FC">
              <w:rPr>
                <w:szCs w:val="18"/>
              </w:rPr>
              <w:t>Accrue workload when a</w:t>
            </w:r>
            <w:r w:rsidRPr="001C29FC">
              <w:rPr>
                <w:color w:val="000000"/>
                <w:szCs w:val="18"/>
              </w:rPr>
              <w:t xml:space="preserve"> reflex or repeat ABO/Rh test is performed, completed, and saved.</w:t>
            </w:r>
          </w:p>
        </w:tc>
      </w:tr>
      <w:tr w:rsidR="00D32A05" w:rsidRPr="001C29FC" w14:paraId="3BA13E34" w14:textId="77777777" w:rsidTr="00D32A05">
        <w:trPr>
          <w:cantSplit/>
          <w:tblHeader/>
        </w:trPr>
        <w:tc>
          <w:tcPr>
            <w:tcW w:w="1803" w:type="dxa"/>
            <w:shd w:val="clear" w:color="auto" w:fill="auto"/>
            <w:vAlign w:val="bottom"/>
          </w:tcPr>
          <w:p w14:paraId="0BF4973D" w14:textId="77777777" w:rsidR="00D32A05" w:rsidRPr="001C29FC" w:rsidRDefault="00D32A05" w:rsidP="00D32A05">
            <w:pPr>
              <w:pStyle w:val="TableText"/>
            </w:pPr>
            <w:r w:rsidRPr="001C29FC">
              <w:t>Invalidate Patient Test Results*</w:t>
            </w:r>
          </w:p>
        </w:tc>
        <w:tc>
          <w:tcPr>
            <w:tcW w:w="1442" w:type="dxa"/>
            <w:vMerge/>
            <w:shd w:val="clear" w:color="auto" w:fill="auto"/>
          </w:tcPr>
          <w:p w14:paraId="415AC36C" w14:textId="77777777" w:rsidR="00D32A05" w:rsidRPr="001C29FC" w:rsidRDefault="00D32A05" w:rsidP="00D32A05">
            <w:pPr>
              <w:pStyle w:val="TableText"/>
              <w:rPr>
                <w:color w:val="000000"/>
                <w:szCs w:val="18"/>
              </w:rPr>
            </w:pPr>
          </w:p>
        </w:tc>
        <w:tc>
          <w:tcPr>
            <w:tcW w:w="1633" w:type="dxa"/>
            <w:shd w:val="clear" w:color="auto" w:fill="auto"/>
          </w:tcPr>
          <w:p w14:paraId="5207CBEB" w14:textId="77777777" w:rsidR="00D32A05" w:rsidRPr="001C29FC" w:rsidRDefault="00D32A05" w:rsidP="00D32A05">
            <w:pPr>
              <w:pStyle w:val="TableText"/>
              <w:rPr>
                <w:color w:val="000000"/>
                <w:szCs w:val="18"/>
              </w:rPr>
            </w:pPr>
            <w:r w:rsidRPr="001C29FC">
              <w:rPr>
                <w:color w:val="000000"/>
                <w:szCs w:val="18"/>
              </w:rPr>
              <w:t>M</w:t>
            </w:r>
          </w:p>
        </w:tc>
        <w:tc>
          <w:tcPr>
            <w:tcW w:w="4482" w:type="dxa"/>
            <w:shd w:val="clear" w:color="auto" w:fill="auto"/>
          </w:tcPr>
          <w:p w14:paraId="1026CD5E" w14:textId="77777777" w:rsidR="00D32A05" w:rsidRPr="001C29FC" w:rsidRDefault="00D32A05" w:rsidP="00D32A05">
            <w:pPr>
              <w:pStyle w:val="TableText"/>
              <w:rPr>
                <w:szCs w:val="18"/>
              </w:rPr>
            </w:pPr>
            <w:r w:rsidRPr="001C29FC">
              <w:rPr>
                <w:szCs w:val="18"/>
              </w:rPr>
              <w:t>Accrue workload when a reflex or repeat ABO/Rh test is invalidated.</w:t>
            </w:r>
          </w:p>
        </w:tc>
      </w:tr>
      <w:tr w:rsidR="00D32A05" w:rsidRPr="001C29FC" w14:paraId="37C2B7A7" w14:textId="77777777" w:rsidTr="00D32A05">
        <w:trPr>
          <w:cantSplit/>
          <w:tblHeader/>
        </w:trPr>
        <w:tc>
          <w:tcPr>
            <w:tcW w:w="1803" w:type="dxa"/>
            <w:shd w:val="clear" w:color="auto" w:fill="auto"/>
            <w:vAlign w:val="bottom"/>
          </w:tcPr>
          <w:p w14:paraId="33DC2D6E" w14:textId="77777777" w:rsidR="00D32A05" w:rsidRPr="001C29FC" w:rsidRDefault="00D32A05" w:rsidP="00D32A05">
            <w:pPr>
              <w:pStyle w:val="TableText"/>
            </w:pPr>
            <w:r w:rsidRPr="001C29FC">
              <w:t>ABO/Rh Confirmation</w:t>
            </w:r>
          </w:p>
        </w:tc>
        <w:tc>
          <w:tcPr>
            <w:tcW w:w="1442" w:type="dxa"/>
            <w:vMerge w:val="restart"/>
            <w:shd w:val="clear" w:color="auto" w:fill="auto"/>
          </w:tcPr>
          <w:p w14:paraId="20C794F4" w14:textId="77777777" w:rsidR="00D32A05" w:rsidRPr="001C29FC" w:rsidRDefault="00D32A05" w:rsidP="00D32A05">
            <w:pPr>
              <w:pStyle w:val="TableText"/>
              <w:rPr>
                <w:color w:val="000000"/>
                <w:szCs w:val="18"/>
              </w:rPr>
            </w:pPr>
            <w:r w:rsidRPr="001C29FC">
              <w:rPr>
                <w:color w:val="000000"/>
                <w:szCs w:val="18"/>
              </w:rPr>
              <w:t>ABO forward typing (unit)</w:t>
            </w:r>
          </w:p>
        </w:tc>
        <w:tc>
          <w:tcPr>
            <w:tcW w:w="1633" w:type="dxa"/>
            <w:shd w:val="clear" w:color="auto" w:fill="auto"/>
          </w:tcPr>
          <w:p w14:paraId="23AA0CC4"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4DB8708D" w14:textId="77777777" w:rsidR="00D32A05" w:rsidRPr="001C29FC" w:rsidRDefault="00D32A05" w:rsidP="00D32A05">
            <w:pPr>
              <w:pStyle w:val="TableText"/>
              <w:rPr>
                <w:color w:val="000000"/>
                <w:szCs w:val="18"/>
              </w:rPr>
            </w:pPr>
            <w:r w:rsidRPr="001C29FC">
              <w:rPr>
                <w:color w:val="000000"/>
                <w:szCs w:val="18"/>
              </w:rPr>
              <w:t>An ABO confirmation test is performed. When multiple units are selected in a batch, each unit in the batch accrues a workload event. Note: Workload generated during Anti-D testing is not included in the unit’s confirmation test. Workload is not accrued when an ABO or Rh discrepancy override is processed and VBECS releases all patient assignments. Workload is not accrued when VBECS quarantines the unit due to a discrepancy. There is no special handling for workload collection for additional confirmation tests on a unit.</w:t>
            </w:r>
          </w:p>
        </w:tc>
      </w:tr>
      <w:tr w:rsidR="00D32A05" w:rsidRPr="001C29FC" w14:paraId="4A2FFB2C" w14:textId="77777777" w:rsidTr="00D32A05">
        <w:trPr>
          <w:cantSplit/>
          <w:tblHeader/>
        </w:trPr>
        <w:tc>
          <w:tcPr>
            <w:tcW w:w="1803" w:type="dxa"/>
            <w:shd w:val="clear" w:color="auto" w:fill="auto"/>
            <w:vAlign w:val="bottom"/>
          </w:tcPr>
          <w:p w14:paraId="440C40C2" w14:textId="77777777" w:rsidR="00D32A05" w:rsidRPr="001C29FC" w:rsidRDefault="00D32A05" w:rsidP="00D32A05">
            <w:pPr>
              <w:pStyle w:val="TableText"/>
            </w:pPr>
            <w:r w:rsidRPr="001C29FC">
              <w:t>Edit Unit Information*</w:t>
            </w:r>
          </w:p>
        </w:tc>
        <w:tc>
          <w:tcPr>
            <w:tcW w:w="1442" w:type="dxa"/>
            <w:vMerge/>
            <w:shd w:val="clear" w:color="auto" w:fill="auto"/>
          </w:tcPr>
          <w:p w14:paraId="251D2A12" w14:textId="77777777" w:rsidR="00D32A05" w:rsidRPr="001C29FC" w:rsidRDefault="00D32A05" w:rsidP="00D32A05">
            <w:pPr>
              <w:pStyle w:val="TableText"/>
              <w:rPr>
                <w:color w:val="000000"/>
                <w:szCs w:val="18"/>
              </w:rPr>
            </w:pPr>
          </w:p>
        </w:tc>
        <w:tc>
          <w:tcPr>
            <w:tcW w:w="1633" w:type="dxa"/>
            <w:shd w:val="clear" w:color="auto" w:fill="auto"/>
          </w:tcPr>
          <w:p w14:paraId="6AE3B4FA"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3CA2BCC1" w14:textId="77777777" w:rsidR="00D32A05" w:rsidRPr="001C29FC" w:rsidRDefault="00D32A05" w:rsidP="00D32A05">
            <w:pPr>
              <w:pStyle w:val="TableText"/>
              <w:rPr>
                <w:szCs w:val="18"/>
              </w:rPr>
            </w:pPr>
            <w:r w:rsidRPr="001C29FC">
              <w:rPr>
                <w:szCs w:val="18"/>
              </w:rPr>
              <w:t>Accrue workload when an</w:t>
            </w:r>
            <w:r w:rsidRPr="001C29FC">
              <w:rPr>
                <w:color w:val="000000"/>
                <w:szCs w:val="18"/>
              </w:rPr>
              <w:t xml:space="preserve"> ABO confirmation test is invalidated.</w:t>
            </w:r>
          </w:p>
        </w:tc>
      </w:tr>
      <w:tr w:rsidR="00D32A05" w:rsidRPr="001C29FC" w14:paraId="07745057" w14:textId="77777777" w:rsidTr="00D32A05">
        <w:trPr>
          <w:cantSplit/>
          <w:tblHeader/>
        </w:trPr>
        <w:tc>
          <w:tcPr>
            <w:tcW w:w="1803" w:type="dxa"/>
            <w:shd w:val="clear" w:color="auto" w:fill="auto"/>
            <w:vAlign w:val="bottom"/>
          </w:tcPr>
          <w:p w14:paraId="2DC3B6A1" w14:textId="77777777" w:rsidR="00D32A05" w:rsidRPr="001C29FC" w:rsidRDefault="00D32A05" w:rsidP="00D32A05">
            <w:pPr>
              <w:pStyle w:val="TableText"/>
            </w:pPr>
            <w:r w:rsidRPr="001C29FC">
              <w:t>ABO/Rh Confirmation</w:t>
            </w:r>
          </w:p>
        </w:tc>
        <w:tc>
          <w:tcPr>
            <w:tcW w:w="1442" w:type="dxa"/>
            <w:vMerge w:val="restart"/>
            <w:shd w:val="clear" w:color="auto" w:fill="auto"/>
          </w:tcPr>
          <w:p w14:paraId="48420AB1" w14:textId="77777777" w:rsidR="00D32A05" w:rsidRPr="001C29FC" w:rsidRDefault="00D32A05" w:rsidP="00D32A05">
            <w:pPr>
              <w:pStyle w:val="TableText"/>
              <w:rPr>
                <w:color w:val="000000"/>
                <w:szCs w:val="18"/>
              </w:rPr>
            </w:pPr>
            <w:r w:rsidRPr="001C29FC">
              <w:rPr>
                <w:color w:val="000000"/>
                <w:szCs w:val="18"/>
              </w:rPr>
              <w:t>ABO/Rh forward typing (unit)</w:t>
            </w:r>
          </w:p>
        </w:tc>
        <w:tc>
          <w:tcPr>
            <w:tcW w:w="1633" w:type="dxa"/>
            <w:shd w:val="clear" w:color="auto" w:fill="auto"/>
          </w:tcPr>
          <w:p w14:paraId="28A0F7BA"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424C62BA" w14:textId="77777777" w:rsidR="00D32A05" w:rsidRPr="001C29FC" w:rsidRDefault="00D32A05" w:rsidP="00D32A05">
            <w:pPr>
              <w:pStyle w:val="TableText"/>
              <w:rPr>
                <w:color w:val="000000"/>
                <w:szCs w:val="18"/>
              </w:rPr>
            </w:pPr>
            <w:r w:rsidRPr="001C29FC">
              <w:rPr>
                <w:color w:val="000000"/>
                <w:szCs w:val="18"/>
              </w:rPr>
              <w:t>An ABO/Rh confirmation test is performed. When multiple units are selected in a batch, each unit in the batch accrues a workload event. Note: Workload generated during Anti-D is part of the unit’s confirmation test. Workload is not accrued when an ABO or Rh discrepancy override is processed and VBECS releases all patient assignments. Workload is not accrued when VBECS quarantines the unit due to a discrepancy. Any unit successfully confirmed accrues workload. For split modifications: workload is not inherited by split units. A split unit that requires confirmation accrues confirmation workload at the time of testing. There is no special handling for workload collection for additional confirmation tests on a unit.</w:t>
            </w:r>
          </w:p>
        </w:tc>
      </w:tr>
      <w:tr w:rsidR="00D32A05" w:rsidRPr="001C29FC" w14:paraId="734B920C" w14:textId="77777777" w:rsidTr="00D32A05">
        <w:trPr>
          <w:cantSplit/>
          <w:tblHeader/>
        </w:trPr>
        <w:tc>
          <w:tcPr>
            <w:tcW w:w="1803" w:type="dxa"/>
            <w:shd w:val="clear" w:color="auto" w:fill="auto"/>
            <w:vAlign w:val="bottom"/>
          </w:tcPr>
          <w:p w14:paraId="143ADA1F" w14:textId="77777777" w:rsidR="00D32A05" w:rsidRPr="001C29FC" w:rsidRDefault="00D32A05" w:rsidP="00D32A05">
            <w:pPr>
              <w:pStyle w:val="TableText"/>
            </w:pPr>
            <w:r w:rsidRPr="001C29FC">
              <w:t>Edit Unit Information*</w:t>
            </w:r>
          </w:p>
        </w:tc>
        <w:tc>
          <w:tcPr>
            <w:tcW w:w="1442" w:type="dxa"/>
            <w:vMerge/>
            <w:shd w:val="clear" w:color="auto" w:fill="auto"/>
          </w:tcPr>
          <w:p w14:paraId="30CE99CD" w14:textId="77777777" w:rsidR="00D32A05" w:rsidRPr="001C29FC" w:rsidRDefault="00D32A05" w:rsidP="00D32A05">
            <w:pPr>
              <w:pStyle w:val="TableText"/>
              <w:rPr>
                <w:color w:val="000000"/>
                <w:szCs w:val="18"/>
              </w:rPr>
            </w:pPr>
          </w:p>
        </w:tc>
        <w:tc>
          <w:tcPr>
            <w:tcW w:w="1633" w:type="dxa"/>
            <w:shd w:val="clear" w:color="auto" w:fill="auto"/>
          </w:tcPr>
          <w:p w14:paraId="00EF0C57"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6DB9284A" w14:textId="77777777" w:rsidR="00D32A05" w:rsidRPr="001C29FC" w:rsidRDefault="00D32A05" w:rsidP="00D32A05">
            <w:pPr>
              <w:pStyle w:val="TableText"/>
              <w:rPr>
                <w:szCs w:val="18"/>
              </w:rPr>
            </w:pPr>
            <w:r w:rsidRPr="001C29FC">
              <w:rPr>
                <w:szCs w:val="18"/>
              </w:rPr>
              <w:t>Accrue workload when an</w:t>
            </w:r>
            <w:r w:rsidRPr="001C29FC">
              <w:rPr>
                <w:color w:val="000000"/>
                <w:szCs w:val="18"/>
              </w:rPr>
              <w:t xml:space="preserve"> ABO/Rh confirmation test is invalidated.</w:t>
            </w:r>
          </w:p>
        </w:tc>
      </w:tr>
      <w:tr w:rsidR="00D32A05" w:rsidRPr="001C29FC" w14:paraId="2B53A10D" w14:textId="77777777" w:rsidTr="00D32A05">
        <w:trPr>
          <w:cantSplit/>
          <w:tblHeader/>
        </w:trPr>
        <w:tc>
          <w:tcPr>
            <w:tcW w:w="1803" w:type="dxa"/>
            <w:shd w:val="clear" w:color="auto" w:fill="auto"/>
          </w:tcPr>
          <w:p w14:paraId="352EC2C8" w14:textId="77777777" w:rsidR="00D32A05" w:rsidRPr="001C29FC" w:rsidRDefault="00D32A05" w:rsidP="00D32A05">
            <w:pPr>
              <w:pStyle w:val="TableText"/>
              <w:rPr>
                <w:szCs w:val="18"/>
              </w:rPr>
            </w:pPr>
            <w:r w:rsidRPr="001C29FC">
              <w:rPr>
                <w:szCs w:val="18"/>
              </w:rPr>
              <w:lastRenderedPageBreak/>
              <w:t>Accept Order</w:t>
            </w:r>
          </w:p>
        </w:tc>
        <w:tc>
          <w:tcPr>
            <w:tcW w:w="1442" w:type="dxa"/>
            <w:shd w:val="clear" w:color="auto" w:fill="auto"/>
          </w:tcPr>
          <w:p w14:paraId="5DF34633" w14:textId="77777777" w:rsidR="00D32A05" w:rsidRPr="001C29FC" w:rsidRDefault="00D32A05" w:rsidP="00D32A05">
            <w:pPr>
              <w:pStyle w:val="TableText"/>
              <w:rPr>
                <w:szCs w:val="18"/>
              </w:rPr>
            </w:pPr>
            <w:r w:rsidRPr="001C29FC">
              <w:rPr>
                <w:szCs w:val="18"/>
              </w:rPr>
              <w:t>Accept Order</w:t>
            </w:r>
          </w:p>
        </w:tc>
        <w:tc>
          <w:tcPr>
            <w:tcW w:w="1633" w:type="dxa"/>
            <w:shd w:val="clear" w:color="auto" w:fill="auto"/>
          </w:tcPr>
          <w:p w14:paraId="58D900AC" w14:textId="77777777" w:rsidR="00D32A05" w:rsidRPr="001C29FC" w:rsidRDefault="00D32A05" w:rsidP="00D32A05">
            <w:pPr>
              <w:pStyle w:val="TableText"/>
              <w:rPr>
                <w:szCs w:val="18"/>
              </w:rPr>
            </w:pPr>
            <w:r w:rsidRPr="001C29FC">
              <w:rPr>
                <w:szCs w:val="18"/>
              </w:rPr>
              <w:t>M</w:t>
            </w:r>
          </w:p>
        </w:tc>
        <w:tc>
          <w:tcPr>
            <w:tcW w:w="4482" w:type="dxa"/>
            <w:shd w:val="clear" w:color="auto" w:fill="auto"/>
          </w:tcPr>
          <w:p w14:paraId="17FBA0C7" w14:textId="4A5077DE" w:rsidR="00D32A05" w:rsidRPr="001C29FC" w:rsidRDefault="00D32A05" w:rsidP="00D32A05">
            <w:pPr>
              <w:pStyle w:val="TableText"/>
              <w:rPr>
                <w:szCs w:val="18"/>
              </w:rPr>
            </w:pPr>
            <w:r w:rsidRPr="001C29FC">
              <w:rPr>
                <w:szCs w:val="18"/>
              </w:rPr>
              <w:t xml:space="preserve">Accrue workload when an order is accepted. When </w:t>
            </w:r>
            <w:r w:rsidR="00AE3B37" w:rsidRPr="001C29FC">
              <w:rPr>
                <w:szCs w:val="18"/>
              </w:rPr>
              <w:t>multiple orders</w:t>
            </w:r>
            <w:r w:rsidRPr="001C29FC">
              <w:rPr>
                <w:szCs w:val="18"/>
              </w:rPr>
              <w:t xml:space="preserve"> are selected, each order accrues workload.</w:t>
            </w:r>
          </w:p>
        </w:tc>
      </w:tr>
      <w:tr w:rsidR="00D32A05" w:rsidRPr="001C29FC" w14:paraId="47478126" w14:textId="77777777" w:rsidTr="00D32A05">
        <w:trPr>
          <w:cantSplit/>
          <w:tblHeader/>
        </w:trPr>
        <w:tc>
          <w:tcPr>
            <w:tcW w:w="1803" w:type="dxa"/>
            <w:shd w:val="clear" w:color="auto" w:fill="auto"/>
            <w:vAlign w:val="bottom"/>
          </w:tcPr>
          <w:p w14:paraId="42563063" w14:textId="77777777" w:rsidR="00D32A05" w:rsidRPr="001C29FC" w:rsidRDefault="00D32A05" w:rsidP="00D32A05">
            <w:pPr>
              <w:pStyle w:val="TableText"/>
            </w:pPr>
            <w:r w:rsidRPr="001C29FC">
              <w:t>Enter Antibody Identification Results</w:t>
            </w:r>
          </w:p>
        </w:tc>
        <w:tc>
          <w:tcPr>
            <w:tcW w:w="1442" w:type="dxa"/>
            <w:vMerge w:val="restart"/>
            <w:shd w:val="clear" w:color="auto" w:fill="auto"/>
          </w:tcPr>
          <w:p w14:paraId="7F8B166F" w14:textId="77777777" w:rsidR="00D32A05" w:rsidRPr="001C29FC" w:rsidRDefault="00D32A05" w:rsidP="00D32A05">
            <w:pPr>
              <w:pStyle w:val="TableText"/>
              <w:rPr>
                <w:color w:val="000000"/>
                <w:szCs w:val="18"/>
              </w:rPr>
            </w:pPr>
            <w:r w:rsidRPr="001C29FC">
              <w:rPr>
                <w:color w:val="000000"/>
                <w:szCs w:val="18"/>
              </w:rPr>
              <w:t>Antibody identification Work-Up</w:t>
            </w:r>
          </w:p>
        </w:tc>
        <w:tc>
          <w:tcPr>
            <w:tcW w:w="1633" w:type="dxa"/>
            <w:shd w:val="clear" w:color="auto" w:fill="auto"/>
          </w:tcPr>
          <w:p w14:paraId="15E8A3AD" w14:textId="77777777" w:rsidR="00D32A05" w:rsidRPr="001C29FC" w:rsidRDefault="00D32A05" w:rsidP="00D32A05">
            <w:pPr>
              <w:pStyle w:val="TableText"/>
              <w:rPr>
                <w:color w:val="000000"/>
                <w:szCs w:val="18"/>
              </w:rPr>
            </w:pPr>
            <w:r w:rsidRPr="001C29FC">
              <w:rPr>
                <w:color w:val="000000"/>
                <w:szCs w:val="18"/>
              </w:rPr>
              <w:t>P</w:t>
            </w:r>
          </w:p>
        </w:tc>
        <w:tc>
          <w:tcPr>
            <w:tcW w:w="4482" w:type="dxa"/>
            <w:shd w:val="clear" w:color="auto" w:fill="auto"/>
          </w:tcPr>
          <w:p w14:paraId="18DBE75C" w14:textId="77777777" w:rsidR="00D32A05" w:rsidRPr="001C29FC" w:rsidRDefault="00D32A05" w:rsidP="00D32A05">
            <w:pPr>
              <w:pStyle w:val="TableText"/>
              <w:rPr>
                <w:color w:val="000000"/>
                <w:szCs w:val="18"/>
              </w:rPr>
            </w:pPr>
            <w:r w:rsidRPr="001C29FC">
              <w:rPr>
                <w:color w:val="000000"/>
                <w:szCs w:val="18"/>
              </w:rPr>
              <w:t>User enters additional workload associated with the individual reflex-ordered ABID. The selected VBECS multiplier will multiply against the VistA multiplier and display the (multiplication) product on the Division Workload Report.</w:t>
            </w:r>
          </w:p>
        </w:tc>
      </w:tr>
      <w:tr w:rsidR="00D32A05" w:rsidRPr="001C29FC" w14:paraId="1DB62068" w14:textId="77777777" w:rsidTr="00D32A05">
        <w:trPr>
          <w:cantSplit/>
          <w:tblHeader/>
        </w:trPr>
        <w:tc>
          <w:tcPr>
            <w:tcW w:w="1803" w:type="dxa"/>
            <w:shd w:val="clear" w:color="auto" w:fill="auto"/>
            <w:vAlign w:val="bottom"/>
          </w:tcPr>
          <w:p w14:paraId="1D3268A5" w14:textId="77777777" w:rsidR="00D32A05" w:rsidRPr="001C29FC" w:rsidRDefault="00D32A05" w:rsidP="00D32A05">
            <w:pPr>
              <w:pStyle w:val="TableText"/>
            </w:pPr>
            <w:r w:rsidRPr="001C29FC">
              <w:t>Invalidate Patient Test Results*</w:t>
            </w:r>
          </w:p>
        </w:tc>
        <w:tc>
          <w:tcPr>
            <w:tcW w:w="1442" w:type="dxa"/>
            <w:vMerge/>
            <w:shd w:val="clear" w:color="auto" w:fill="auto"/>
          </w:tcPr>
          <w:p w14:paraId="31E5539D" w14:textId="77777777" w:rsidR="00D32A05" w:rsidRPr="001C29FC" w:rsidRDefault="00D32A05" w:rsidP="00D32A05">
            <w:pPr>
              <w:pStyle w:val="TableText"/>
              <w:rPr>
                <w:color w:val="000000"/>
                <w:szCs w:val="18"/>
              </w:rPr>
            </w:pPr>
          </w:p>
        </w:tc>
        <w:tc>
          <w:tcPr>
            <w:tcW w:w="1633" w:type="dxa"/>
            <w:shd w:val="clear" w:color="auto" w:fill="auto"/>
          </w:tcPr>
          <w:p w14:paraId="45C5876D" w14:textId="77777777" w:rsidR="00D32A05" w:rsidRPr="001C29FC" w:rsidRDefault="00D32A05" w:rsidP="00D32A05">
            <w:pPr>
              <w:pStyle w:val="TableText"/>
              <w:rPr>
                <w:color w:val="000000"/>
                <w:szCs w:val="18"/>
              </w:rPr>
            </w:pPr>
            <w:r w:rsidRPr="001C29FC">
              <w:rPr>
                <w:color w:val="000000"/>
                <w:szCs w:val="18"/>
              </w:rPr>
              <w:t>P</w:t>
            </w:r>
          </w:p>
        </w:tc>
        <w:tc>
          <w:tcPr>
            <w:tcW w:w="4482" w:type="dxa"/>
            <w:shd w:val="clear" w:color="auto" w:fill="auto"/>
          </w:tcPr>
          <w:p w14:paraId="45E92ED3" w14:textId="77777777" w:rsidR="00D32A05" w:rsidRPr="001C29FC" w:rsidRDefault="00D32A05" w:rsidP="00D32A05">
            <w:pPr>
              <w:pStyle w:val="TableText"/>
              <w:rPr>
                <w:color w:val="000000"/>
                <w:szCs w:val="18"/>
              </w:rPr>
            </w:pPr>
            <w:r w:rsidRPr="001C29FC">
              <w:rPr>
                <w:color w:val="000000"/>
                <w:szCs w:val="18"/>
              </w:rPr>
              <w:t xml:space="preserve">Accrue workload when the ABID is invalidated. </w:t>
            </w:r>
          </w:p>
        </w:tc>
      </w:tr>
      <w:tr w:rsidR="00D32A05" w:rsidRPr="001C29FC" w14:paraId="03FACF23" w14:textId="77777777" w:rsidTr="00D32A05">
        <w:trPr>
          <w:cantSplit/>
          <w:tblHeader/>
        </w:trPr>
        <w:tc>
          <w:tcPr>
            <w:tcW w:w="1803" w:type="dxa"/>
            <w:shd w:val="clear" w:color="auto" w:fill="auto"/>
            <w:vAlign w:val="bottom"/>
          </w:tcPr>
          <w:p w14:paraId="6F0601C2" w14:textId="77777777" w:rsidR="00D32A05" w:rsidRPr="001C29FC" w:rsidRDefault="00D32A05" w:rsidP="00D32A05">
            <w:pPr>
              <w:pStyle w:val="TableText"/>
            </w:pPr>
            <w:r w:rsidRPr="001C29FC">
              <w:t>Record a Transfusion Reaction Workup</w:t>
            </w:r>
          </w:p>
        </w:tc>
        <w:tc>
          <w:tcPr>
            <w:tcW w:w="1442" w:type="dxa"/>
            <w:vMerge w:val="restart"/>
            <w:shd w:val="clear" w:color="auto" w:fill="auto"/>
          </w:tcPr>
          <w:p w14:paraId="547E505C" w14:textId="77777777" w:rsidR="00D32A05" w:rsidRPr="001C29FC" w:rsidRDefault="00D32A05" w:rsidP="00D32A05">
            <w:pPr>
              <w:pStyle w:val="TableText"/>
              <w:rPr>
                <w:color w:val="000000"/>
                <w:szCs w:val="18"/>
              </w:rPr>
            </w:pPr>
            <w:r w:rsidRPr="001C29FC">
              <w:rPr>
                <w:color w:val="000000"/>
                <w:szCs w:val="18"/>
              </w:rPr>
              <w:t>Antibody Screen (patient)</w:t>
            </w:r>
          </w:p>
        </w:tc>
        <w:tc>
          <w:tcPr>
            <w:tcW w:w="1633" w:type="dxa"/>
            <w:shd w:val="clear" w:color="auto" w:fill="auto"/>
          </w:tcPr>
          <w:p w14:paraId="0CDDAE05" w14:textId="77777777" w:rsidR="00D32A05" w:rsidRPr="001C29FC" w:rsidRDefault="00D32A05" w:rsidP="00D32A05">
            <w:pPr>
              <w:pStyle w:val="TableText"/>
              <w:rPr>
                <w:color w:val="000000"/>
                <w:szCs w:val="18"/>
              </w:rPr>
            </w:pPr>
            <w:r w:rsidRPr="001C29FC">
              <w:rPr>
                <w:color w:val="000000"/>
                <w:szCs w:val="18"/>
              </w:rPr>
              <w:t>P</w:t>
            </w:r>
          </w:p>
        </w:tc>
        <w:tc>
          <w:tcPr>
            <w:tcW w:w="4482" w:type="dxa"/>
            <w:shd w:val="clear" w:color="auto" w:fill="auto"/>
          </w:tcPr>
          <w:p w14:paraId="2F69AC11" w14:textId="77777777" w:rsidR="00D32A05" w:rsidRPr="001C29FC" w:rsidRDefault="00D32A05" w:rsidP="00D32A05">
            <w:pPr>
              <w:pStyle w:val="TableText"/>
              <w:rPr>
                <w:color w:val="000000"/>
                <w:szCs w:val="18"/>
              </w:rPr>
            </w:pPr>
            <w:r w:rsidRPr="001C29FC">
              <w:rPr>
                <w:color w:val="000000"/>
                <w:szCs w:val="18"/>
              </w:rPr>
              <w:t>An ABS test for “pre” or “post” is enabled and a valid interpretation other than Not Tested is selected. A workload event is accrued separately for “Pre” and “Post” entries.</w:t>
            </w:r>
          </w:p>
        </w:tc>
      </w:tr>
      <w:tr w:rsidR="00D32A05" w:rsidRPr="001C29FC" w14:paraId="28A84649" w14:textId="77777777" w:rsidTr="00D32A05">
        <w:trPr>
          <w:cantSplit/>
          <w:tblHeader/>
        </w:trPr>
        <w:tc>
          <w:tcPr>
            <w:tcW w:w="1803" w:type="dxa"/>
            <w:shd w:val="clear" w:color="auto" w:fill="auto"/>
            <w:vAlign w:val="bottom"/>
          </w:tcPr>
          <w:p w14:paraId="47E925B7" w14:textId="77777777" w:rsidR="00D32A05" w:rsidRPr="001C29FC" w:rsidRDefault="00D32A05" w:rsidP="00D32A05">
            <w:pPr>
              <w:pStyle w:val="TableText"/>
            </w:pPr>
            <w:r w:rsidRPr="001C29FC">
              <w:t>Record Patient Antibody Screen</w:t>
            </w:r>
          </w:p>
        </w:tc>
        <w:tc>
          <w:tcPr>
            <w:tcW w:w="1442" w:type="dxa"/>
            <w:vMerge/>
            <w:shd w:val="clear" w:color="auto" w:fill="auto"/>
          </w:tcPr>
          <w:p w14:paraId="5658B991" w14:textId="77777777" w:rsidR="00D32A05" w:rsidRPr="001C29FC" w:rsidRDefault="00D32A05" w:rsidP="00D32A05">
            <w:pPr>
              <w:pStyle w:val="TableText"/>
              <w:rPr>
                <w:color w:val="000000"/>
                <w:szCs w:val="18"/>
              </w:rPr>
            </w:pPr>
          </w:p>
        </w:tc>
        <w:tc>
          <w:tcPr>
            <w:tcW w:w="1633" w:type="dxa"/>
            <w:shd w:val="clear" w:color="auto" w:fill="auto"/>
          </w:tcPr>
          <w:p w14:paraId="24D3D295" w14:textId="77777777" w:rsidR="00D32A05" w:rsidRPr="001C29FC" w:rsidRDefault="00D32A05" w:rsidP="00D32A05">
            <w:pPr>
              <w:pStyle w:val="TableText"/>
              <w:rPr>
                <w:color w:val="000000"/>
                <w:szCs w:val="18"/>
              </w:rPr>
            </w:pPr>
            <w:r w:rsidRPr="001C29FC">
              <w:rPr>
                <w:color w:val="000000"/>
                <w:szCs w:val="18"/>
              </w:rPr>
              <w:t>P</w:t>
            </w:r>
          </w:p>
        </w:tc>
        <w:tc>
          <w:tcPr>
            <w:tcW w:w="4482" w:type="dxa"/>
            <w:shd w:val="clear" w:color="auto" w:fill="auto"/>
          </w:tcPr>
          <w:p w14:paraId="6D426EF9" w14:textId="77777777" w:rsidR="00D32A05" w:rsidRPr="001C29FC" w:rsidRDefault="00D32A05" w:rsidP="00D32A05">
            <w:pPr>
              <w:pStyle w:val="TableText"/>
              <w:rPr>
                <w:szCs w:val="18"/>
              </w:rPr>
            </w:pPr>
            <w:r w:rsidRPr="001C29FC">
              <w:rPr>
                <w:szCs w:val="18"/>
              </w:rPr>
              <w:t>Accrue workload when an</w:t>
            </w:r>
            <w:r w:rsidRPr="001C29FC">
              <w:rPr>
                <w:color w:val="000000"/>
                <w:szCs w:val="18"/>
              </w:rPr>
              <w:t xml:space="preserve"> ordered ABS test is performed.</w:t>
            </w:r>
          </w:p>
        </w:tc>
      </w:tr>
      <w:tr w:rsidR="00D32A05" w:rsidRPr="001C29FC" w14:paraId="2829DBAB" w14:textId="77777777" w:rsidTr="00D32A05">
        <w:trPr>
          <w:cantSplit/>
          <w:tblHeader/>
        </w:trPr>
        <w:tc>
          <w:tcPr>
            <w:tcW w:w="1803" w:type="dxa"/>
            <w:shd w:val="clear" w:color="auto" w:fill="auto"/>
            <w:vAlign w:val="bottom"/>
          </w:tcPr>
          <w:p w14:paraId="5A9D33DD" w14:textId="77777777" w:rsidR="00D32A05" w:rsidRPr="001C29FC" w:rsidRDefault="00D32A05" w:rsidP="00D32A05">
            <w:pPr>
              <w:pStyle w:val="TableText"/>
            </w:pPr>
            <w:r w:rsidRPr="001C29FC">
              <w:t>Invalidate Patient Test Results*</w:t>
            </w:r>
          </w:p>
        </w:tc>
        <w:tc>
          <w:tcPr>
            <w:tcW w:w="1442" w:type="dxa"/>
            <w:vMerge/>
            <w:shd w:val="clear" w:color="auto" w:fill="auto"/>
          </w:tcPr>
          <w:p w14:paraId="5BDB7ADA" w14:textId="77777777" w:rsidR="00D32A05" w:rsidRPr="001C29FC" w:rsidRDefault="00D32A05" w:rsidP="00D32A05">
            <w:pPr>
              <w:pStyle w:val="TableText"/>
              <w:rPr>
                <w:color w:val="000000"/>
                <w:szCs w:val="18"/>
              </w:rPr>
            </w:pPr>
          </w:p>
        </w:tc>
        <w:tc>
          <w:tcPr>
            <w:tcW w:w="1633" w:type="dxa"/>
            <w:shd w:val="clear" w:color="auto" w:fill="auto"/>
          </w:tcPr>
          <w:p w14:paraId="0E04E7AC" w14:textId="77777777" w:rsidR="00D32A05" w:rsidRPr="001C29FC" w:rsidRDefault="00D32A05" w:rsidP="00D32A05">
            <w:pPr>
              <w:pStyle w:val="TableText"/>
              <w:rPr>
                <w:color w:val="000000"/>
                <w:szCs w:val="18"/>
              </w:rPr>
            </w:pPr>
            <w:r w:rsidRPr="001C29FC">
              <w:rPr>
                <w:color w:val="000000"/>
                <w:szCs w:val="18"/>
              </w:rPr>
              <w:t>P</w:t>
            </w:r>
          </w:p>
        </w:tc>
        <w:tc>
          <w:tcPr>
            <w:tcW w:w="4482" w:type="dxa"/>
            <w:shd w:val="clear" w:color="auto" w:fill="auto"/>
          </w:tcPr>
          <w:p w14:paraId="6D38693B" w14:textId="77777777" w:rsidR="00D32A05" w:rsidRPr="001C29FC" w:rsidRDefault="00D32A05" w:rsidP="00D32A05">
            <w:pPr>
              <w:pStyle w:val="TableText"/>
              <w:rPr>
                <w:szCs w:val="18"/>
              </w:rPr>
            </w:pPr>
            <w:r w:rsidRPr="001C29FC">
              <w:rPr>
                <w:szCs w:val="18"/>
              </w:rPr>
              <w:t>Accrue workload when a completed ABS test is invalidated.</w:t>
            </w:r>
          </w:p>
        </w:tc>
      </w:tr>
      <w:tr w:rsidR="00D32A05" w:rsidRPr="001C29FC" w14:paraId="126A7B73" w14:textId="77777777" w:rsidTr="00D32A05">
        <w:trPr>
          <w:cantSplit/>
          <w:tblHeader/>
        </w:trPr>
        <w:tc>
          <w:tcPr>
            <w:tcW w:w="1803" w:type="dxa"/>
            <w:shd w:val="clear" w:color="auto" w:fill="auto"/>
            <w:vAlign w:val="bottom"/>
          </w:tcPr>
          <w:p w14:paraId="68DD03DD" w14:textId="77777777" w:rsidR="00D32A05" w:rsidRPr="001C29FC" w:rsidRDefault="00D32A05" w:rsidP="00D32A05">
            <w:pPr>
              <w:pStyle w:val="TableText"/>
            </w:pPr>
            <w:r w:rsidRPr="001C29FC">
              <w:t>Record Patient Antibody Screen</w:t>
            </w:r>
          </w:p>
        </w:tc>
        <w:tc>
          <w:tcPr>
            <w:tcW w:w="1442" w:type="dxa"/>
            <w:vMerge w:val="restart"/>
            <w:shd w:val="clear" w:color="auto" w:fill="auto"/>
          </w:tcPr>
          <w:p w14:paraId="01EA1FD6" w14:textId="77777777" w:rsidR="00D32A05" w:rsidRPr="001C29FC" w:rsidRDefault="00D32A05" w:rsidP="00D32A05">
            <w:pPr>
              <w:pStyle w:val="TableText"/>
              <w:rPr>
                <w:color w:val="000000"/>
                <w:szCs w:val="18"/>
              </w:rPr>
            </w:pPr>
            <w:r w:rsidRPr="001C29FC">
              <w:rPr>
                <w:color w:val="000000"/>
                <w:szCs w:val="18"/>
              </w:rPr>
              <w:t>Antibody Screen (patient) Repeat Test</w:t>
            </w:r>
          </w:p>
        </w:tc>
        <w:tc>
          <w:tcPr>
            <w:tcW w:w="1633" w:type="dxa"/>
            <w:shd w:val="clear" w:color="auto" w:fill="auto"/>
          </w:tcPr>
          <w:p w14:paraId="0DD41376" w14:textId="77777777" w:rsidR="00D32A05" w:rsidRPr="001C29FC" w:rsidRDefault="00D32A05" w:rsidP="00D32A05">
            <w:pPr>
              <w:pStyle w:val="TableText"/>
              <w:rPr>
                <w:color w:val="000000"/>
                <w:szCs w:val="18"/>
              </w:rPr>
            </w:pPr>
            <w:r w:rsidRPr="001C29FC">
              <w:rPr>
                <w:color w:val="000000"/>
                <w:szCs w:val="18"/>
              </w:rPr>
              <w:t>M</w:t>
            </w:r>
          </w:p>
        </w:tc>
        <w:tc>
          <w:tcPr>
            <w:tcW w:w="4482" w:type="dxa"/>
            <w:shd w:val="clear" w:color="auto" w:fill="auto"/>
          </w:tcPr>
          <w:p w14:paraId="1BFB4A9F" w14:textId="77777777" w:rsidR="00D32A05" w:rsidRPr="001C29FC" w:rsidRDefault="00D32A05" w:rsidP="00D32A05">
            <w:pPr>
              <w:pStyle w:val="TableText"/>
              <w:rPr>
                <w:szCs w:val="18"/>
              </w:rPr>
            </w:pPr>
            <w:r w:rsidRPr="001C29FC">
              <w:rPr>
                <w:szCs w:val="18"/>
              </w:rPr>
              <w:t>Accrue workload when a</w:t>
            </w:r>
            <w:r w:rsidRPr="001C29FC">
              <w:rPr>
                <w:color w:val="000000"/>
                <w:szCs w:val="18"/>
              </w:rPr>
              <w:t xml:space="preserve"> reflex or repeat ABS test is performed, completed, and saved.</w:t>
            </w:r>
          </w:p>
        </w:tc>
      </w:tr>
      <w:tr w:rsidR="00D32A05" w:rsidRPr="001C29FC" w14:paraId="4CAFB0BE" w14:textId="77777777" w:rsidTr="00D32A05">
        <w:trPr>
          <w:cantSplit/>
          <w:tblHeader/>
        </w:trPr>
        <w:tc>
          <w:tcPr>
            <w:tcW w:w="1803" w:type="dxa"/>
            <w:shd w:val="clear" w:color="auto" w:fill="auto"/>
            <w:vAlign w:val="bottom"/>
          </w:tcPr>
          <w:p w14:paraId="1A0E9B69" w14:textId="77777777" w:rsidR="00D32A05" w:rsidRPr="001C29FC" w:rsidRDefault="00D32A05" w:rsidP="00D32A05">
            <w:pPr>
              <w:pStyle w:val="TableText"/>
            </w:pPr>
            <w:r w:rsidRPr="001C29FC">
              <w:t>Invalidate Patient Test Results*</w:t>
            </w:r>
          </w:p>
        </w:tc>
        <w:tc>
          <w:tcPr>
            <w:tcW w:w="1442" w:type="dxa"/>
            <w:vMerge/>
            <w:shd w:val="clear" w:color="auto" w:fill="auto"/>
          </w:tcPr>
          <w:p w14:paraId="3D6CBA33" w14:textId="77777777" w:rsidR="00D32A05" w:rsidRPr="001C29FC" w:rsidRDefault="00D32A05" w:rsidP="00D32A05">
            <w:pPr>
              <w:pStyle w:val="TableText"/>
              <w:rPr>
                <w:color w:val="000000"/>
                <w:szCs w:val="18"/>
              </w:rPr>
            </w:pPr>
          </w:p>
        </w:tc>
        <w:tc>
          <w:tcPr>
            <w:tcW w:w="1633" w:type="dxa"/>
            <w:shd w:val="clear" w:color="auto" w:fill="auto"/>
          </w:tcPr>
          <w:p w14:paraId="0F301311" w14:textId="77777777" w:rsidR="00D32A05" w:rsidRPr="001C29FC" w:rsidRDefault="00D32A05" w:rsidP="00D32A05">
            <w:pPr>
              <w:pStyle w:val="TableText"/>
              <w:rPr>
                <w:color w:val="000000"/>
                <w:szCs w:val="18"/>
              </w:rPr>
            </w:pPr>
            <w:r w:rsidRPr="001C29FC">
              <w:rPr>
                <w:color w:val="000000"/>
                <w:szCs w:val="18"/>
              </w:rPr>
              <w:t>M</w:t>
            </w:r>
          </w:p>
        </w:tc>
        <w:tc>
          <w:tcPr>
            <w:tcW w:w="4482" w:type="dxa"/>
            <w:shd w:val="clear" w:color="auto" w:fill="auto"/>
          </w:tcPr>
          <w:p w14:paraId="4258332A" w14:textId="77777777" w:rsidR="00D32A05" w:rsidRPr="001C29FC" w:rsidRDefault="00D32A05" w:rsidP="00D32A05">
            <w:pPr>
              <w:pStyle w:val="TableText"/>
              <w:rPr>
                <w:szCs w:val="18"/>
              </w:rPr>
            </w:pPr>
            <w:r w:rsidRPr="001C29FC">
              <w:rPr>
                <w:szCs w:val="18"/>
              </w:rPr>
              <w:t>Accrue workload when a reflex or repeat ABS test is invalidated.</w:t>
            </w:r>
          </w:p>
        </w:tc>
      </w:tr>
      <w:tr w:rsidR="00D32A05" w:rsidRPr="001C29FC" w14:paraId="3922D859" w14:textId="77777777" w:rsidTr="00D32A05">
        <w:trPr>
          <w:cantSplit/>
          <w:tblHeader/>
        </w:trPr>
        <w:tc>
          <w:tcPr>
            <w:tcW w:w="1803" w:type="dxa"/>
            <w:shd w:val="clear" w:color="auto" w:fill="auto"/>
            <w:vAlign w:val="bottom"/>
          </w:tcPr>
          <w:p w14:paraId="0B1C44BD" w14:textId="77777777" w:rsidR="00D32A05" w:rsidRPr="001C29FC" w:rsidRDefault="00D32A05" w:rsidP="00D32A05">
            <w:pPr>
              <w:pStyle w:val="TableText"/>
            </w:pPr>
            <w:r w:rsidRPr="001C29FC">
              <w:t>Unit Antigen Typing / Patient Antigen Typing</w:t>
            </w:r>
          </w:p>
        </w:tc>
        <w:tc>
          <w:tcPr>
            <w:tcW w:w="1442" w:type="dxa"/>
            <w:shd w:val="clear" w:color="auto" w:fill="auto"/>
          </w:tcPr>
          <w:p w14:paraId="5685C6B9" w14:textId="77777777" w:rsidR="00D32A05" w:rsidRPr="001C29FC" w:rsidRDefault="00D32A05" w:rsidP="00D32A05">
            <w:pPr>
              <w:pStyle w:val="TableText"/>
              <w:rPr>
                <w:color w:val="000000"/>
                <w:szCs w:val="18"/>
              </w:rPr>
            </w:pPr>
            <w:r w:rsidRPr="001C29FC">
              <w:rPr>
                <w:color w:val="000000"/>
                <w:szCs w:val="18"/>
              </w:rPr>
              <w:t>Antigen phenotyping, Single Test phase (QC)</w:t>
            </w:r>
          </w:p>
        </w:tc>
        <w:tc>
          <w:tcPr>
            <w:tcW w:w="1633" w:type="dxa"/>
            <w:shd w:val="clear" w:color="auto" w:fill="auto"/>
          </w:tcPr>
          <w:p w14:paraId="65258CA8" w14:textId="77777777" w:rsidR="00D32A05" w:rsidRPr="001C29FC" w:rsidRDefault="00D32A05" w:rsidP="00D32A05">
            <w:pPr>
              <w:pStyle w:val="TableText"/>
              <w:rPr>
                <w:color w:val="000000"/>
                <w:szCs w:val="18"/>
              </w:rPr>
            </w:pPr>
            <w:r w:rsidRPr="001C29FC">
              <w:rPr>
                <w:color w:val="000000"/>
                <w:szCs w:val="18"/>
              </w:rPr>
              <w:t>M</w:t>
            </w:r>
          </w:p>
        </w:tc>
        <w:tc>
          <w:tcPr>
            <w:tcW w:w="4482" w:type="dxa"/>
            <w:shd w:val="clear" w:color="auto" w:fill="auto"/>
            <w:vAlign w:val="bottom"/>
          </w:tcPr>
          <w:p w14:paraId="6C9206FC" w14:textId="77777777" w:rsidR="00D32A05" w:rsidRPr="001C29FC" w:rsidRDefault="00D32A05" w:rsidP="00D32A05">
            <w:pPr>
              <w:pStyle w:val="TableText"/>
              <w:rPr>
                <w:szCs w:val="18"/>
              </w:rPr>
            </w:pPr>
            <w:r w:rsidRPr="001C29FC">
              <w:rPr>
                <w:szCs w:val="18"/>
              </w:rPr>
              <w:t xml:space="preserve">Accrue workload when </w:t>
            </w:r>
            <w:r w:rsidRPr="001C29FC">
              <w:rPr>
                <w:color w:val="000000"/>
                <w:szCs w:val="18"/>
              </w:rPr>
              <w:t>Antiserum QC in Unit or Patient Antigen Typing includes the testing of both the positive and negative control cells, per specificity by lot number, when only one phase of reactivity is chosen for the test grid (IS or AHG). One workload event is collected per completed tab for regular or repeat antigen tests.</w:t>
            </w:r>
          </w:p>
        </w:tc>
      </w:tr>
      <w:tr w:rsidR="00D32A05" w:rsidRPr="001C29FC" w14:paraId="1D542A79" w14:textId="77777777" w:rsidTr="00D32A05">
        <w:trPr>
          <w:cantSplit/>
          <w:tblHeader/>
        </w:trPr>
        <w:tc>
          <w:tcPr>
            <w:tcW w:w="1803" w:type="dxa"/>
            <w:shd w:val="clear" w:color="auto" w:fill="auto"/>
            <w:vAlign w:val="bottom"/>
          </w:tcPr>
          <w:p w14:paraId="08D2B044" w14:textId="77777777" w:rsidR="00D32A05" w:rsidRPr="001C29FC" w:rsidRDefault="00D32A05" w:rsidP="00D32A05">
            <w:pPr>
              <w:pStyle w:val="TableText"/>
            </w:pPr>
            <w:r w:rsidRPr="001C29FC">
              <w:t>Unit Antigen Typing / Patient Antigen Typing</w:t>
            </w:r>
          </w:p>
        </w:tc>
        <w:tc>
          <w:tcPr>
            <w:tcW w:w="1442" w:type="dxa"/>
            <w:shd w:val="clear" w:color="auto" w:fill="auto"/>
          </w:tcPr>
          <w:p w14:paraId="15C0E3B1" w14:textId="77777777" w:rsidR="00D32A05" w:rsidRPr="001C29FC" w:rsidRDefault="00D32A05" w:rsidP="00D32A05">
            <w:pPr>
              <w:pStyle w:val="TableText"/>
              <w:rPr>
                <w:color w:val="000000"/>
                <w:szCs w:val="18"/>
              </w:rPr>
            </w:pPr>
            <w:r w:rsidRPr="001C29FC">
              <w:rPr>
                <w:color w:val="000000"/>
                <w:szCs w:val="18"/>
              </w:rPr>
              <w:t>Antigen phenotyping, Multiple Test phases (QC)</w:t>
            </w:r>
          </w:p>
        </w:tc>
        <w:tc>
          <w:tcPr>
            <w:tcW w:w="1633" w:type="dxa"/>
            <w:shd w:val="clear" w:color="auto" w:fill="auto"/>
          </w:tcPr>
          <w:p w14:paraId="23EBBF9D" w14:textId="77777777" w:rsidR="00D32A05" w:rsidRPr="001C29FC" w:rsidRDefault="00D32A05" w:rsidP="00D32A05">
            <w:pPr>
              <w:pStyle w:val="TableText"/>
              <w:rPr>
                <w:color w:val="000000"/>
                <w:szCs w:val="18"/>
              </w:rPr>
            </w:pPr>
            <w:r w:rsidRPr="001C29FC">
              <w:rPr>
                <w:color w:val="000000"/>
                <w:szCs w:val="18"/>
              </w:rPr>
              <w:t>M</w:t>
            </w:r>
          </w:p>
        </w:tc>
        <w:tc>
          <w:tcPr>
            <w:tcW w:w="4482" w:type="dxa"/>
            <w:shd w:val="clear" w:color="auto" w:fill="auto"/>
            <w:vAlign w:val="bottom"/>
          </w:tcPr>
          <w:p w14:paraId="2622BA5C" w14:textId="77777777" w:rsidR="00D32A05" w:rsidRPr="001C29FC" w:rsidRDefault="00D32A05" w:rsidP="00D32A05">
            <w:pPr>
              <w:pStyle w:val="TableText"/>
              <w:rPr>
                <w:szCs w:val="18"/>
              </w:rPr>
            </w:pPr>
            <w:r w:rsidRPr="001C29FC">
              <w:rPr>
                <w:szCs w:val="18"/>
              </w:rPr>
              <w:t xml:space="preserve">Accrue workload when </w:t>
            </w:r>
            <w:r w:rsidRPr="001C29FC">
              <w:rPr>
                <w:color w:val="000000"/>
                <w:szCs w:val="18"/>
              </w:rPr>
              <w:t>Antiserum QC in Unit or Patient Antigen Typing includes the testing of both the positive and negative control cells, per specificity by lot number, when only multiple phases of reactivity are chosen for the test grid, IS/RT, RT/37, or weak D. One workload event is collected per completed tab for regular or repeat antigen tests.</w:t>
            </w:r>
            <w:r w:rsidRPr="001C29FC">
              <w:rPr>
                <w:color w:val="000000"/>
                <w:szCs w:val="18"/>
              </w:rPr>
              <w:br/>
              <w:t>When weak D is the selected test, QC may not be accrued for the rack selection. QC is accrued when positive and negative cells must be tested for the lot number.</w:t>
            </w:r>
          </w:p>
        </w:tc>
      </w:tr>
      <w:tr w:rsidR="00D32A05" w:rsidRPr="001C29FC" w14:paraId="5872D581" w14:textId="77777777" w:rsidTr="00D32A05">
        <w:trPr>
          <w:cantSplit/>
          <w:tblHeader/>
        </w:trPr>
        <w:tc>
          <w:tcPr>
            <w:tcW w:w="1803" w:type="dxa"/>
            <w:shd w:val="clear" w:color="auto" w:fill="auto"/>
          </w:tcPr>
          <w:p w14:paraId="40EE2FA3" w14:textId="77777777" w:rsidR="00D32A05" w:rsidRPr="001C29FC" w:rsidRDefault="00D32A05" w:rsidP="00D32A05">
            <w:pPr>
              <w:pStyle w:val="TableText"/>
              <w:rPr>
                <w:szCs w:val="18"/>
              </w:rPr>
            </w:pPr>
            <w:r w:rsidRPr="001C29FC">
              <w:rPr>
                <w:szCs w:val="18"/>
              </w:rPr>
              <w:t>Cancel Pending Order</w:t>
            </w:r>
          </w:p>
        </w:tc>
        <w:tc>
          <w:tcPr>
            <w:tcW w:w="1442" w:type="dxa"/>
            <w:shd w:val="clear" w:color="auto" w:fill="auto"/>
          </w:tcPr>
          <w:p w14:paraId="0CA6453A" w14:textId="77777777" w:rsidR="00D32A05" w:rsidRPr="001C29FC" w:rsidRDefault="00D32A05" w:rsidP="00D32A05">
            <w:pPr>
              <w:pStyle w:val="TableText"/>
              <w:rPr>
                <w:szCs w:val="18"/>
              </w:rPr>
            </w:pPr>
            <w:r w:rsidRPr="001C29FC">
              <w:rPr>
                <w:szCs w:val="18"/>
              </w:rPr>
              <w:t>Cancel Order</w:t>
            </w:r>
          </w:p>
        </w:tc>
        <w:tc>
          <w:tcPr>
            <w:tcW w:w="1633" w:type="dxa"/>
            <w:shd w:val="clear" w:color="auto" w:fill="auto"/>
          </w:tcPr>
          <w:p w14:paraId="61BA80B5" w14:textId="77777777" w:rsidR="00D32A05" w:rsidRPr="001C29FC" w:rsidRDefault="00D32A05" w:rsidP="00D32A05">
            <w:pPr>
              <w:pStyle w:val="TableText"/>
              <w:rPr>
                <w:szCs w:val="18"/>
              </w:rPr>
            </w:pPr>
            <w:r w:rsidRPr="001C29FC">
              <w:rPr>
                <w:szCs w:val="18"/>
              </w:rPr>
              <w:t>M</w:t>
            </w:r>
          </w:p>
        </w:tc>
        <w:tc>
          <w:tcPr>
            <w:tcW w:w="4482" w:type="dxa"/>
            <w:shd w:val="clear" w:color="auto" w:fill="auto"/>
          </w:tcPr>
          <w:p w14:paraId="4AE89A43" w14:textId="6839BF4A" w:rsidR="00D32A05" w:rsidRPr="001C29FC" w:rsidRDefault="00D32A05" w:rsidP="00D32A05">
            <w:pPr>
              <w:pStyle w:val="TableText"/>
              <w:rPr>
                <w:szCs w:val="18"/>
              </w:rPr>
            </w:pPr>
            <w:r w:rsidRPr="001C29FC">
              <w:rPr>
                <w:szCs w:val="18"/>
              </w:rPr>
              <w:t>Accrue workload when an order on the pending order list is cancel</w:t>
            </w:r>
            <w:r w:rsidR="002F7E19">
              <w:rPr>
                <w:szCs w:val="18"/>
              </w:rPr>
              <w:t>l</w:t>
            </w:r>
            <w:r w:rsidRPr="001C29FC">
              <w:rPr>
                <w:szCs w:val="18"/>
              </w:rPr>
              <w:t>ed. When multiple orders are cance</w:t>
            </w:r>
            <w:r w:rsidR="002F7E19">
              <w:rPr>
                <w:szCs w:val="18"/>
              </w:rPr>
              <w:t>l</w:t>
            </w:r>
            <w:r w:rsidRPr="001C29FC">
              <w:rPr>
                <w:szCs w:val="18"/>
              </w:rPr>
              <w:t>led, each order accrues workload.</w:t>
            </w:r>
          </w:p>
        </w:tc>
      </w:tr>
      <w:tr w:rsidR="00D32A05" w:rsidRPr="001C29FC" w14:paraId="4AA1AB6F" w14:textId="77777777" w:rsidTr="00D32A05">
        <w:trPr>
          <w:cantSplit/>
          <w:tblHeader/>
        </w:trPr>
        <w:tc>
          <w:tcPr>
            <w:tcW w:w="1803" w:type="dxa"/>
            <w:shd w:val="clear" w:color="auto" w:fill="auto"/>
            <w:vAlign w:val="bottom"/>
          </w:tcPr>
          <w:p w14:paraId="4875958C" w14:textId="77777777" w:rsidR="00D32A05" w:rsidRPr="001C29FC" w:rsidRDefault="00D32A05" w:rsidP="00D32A05">
            <w:pPr>
              <w:pStyle w:val="TableText"/>
            </w:pPr>
            <w:r w:rsidRPr="001C29FC">
              <w:t>Cancel Active Order</w:t>
            </w:r>
          </w:p>
        </w:tc>
        <w:tc>
          <w:tcPr>
            <w:tcW w:w="1442" w:type="dxa"/>
            <w:shd w:val="clear" w:color="auto" w:fill="auto"/>
          </w:tcPr>
          <w:p w14:paraId="61F6F3F9" w14:textId="77777777" w:rsidR="00D32A05" w:rsidRPr="001C29FC" w:rsidRDefault="00D32A05" w:rsidP="00D32A05">
            <w:pPr>
              <w:pStyle w:val="TableText"/>
              <w:rPr>
                <w:szCs w:val="18"/>
              </w:rPr>
            </w:pPr>
            <w:r w:rsidRPr="001C29FC">
              <w:rPr>
                <w:szCs w:val="18"/>
              </w:rPr>
              <w:t>Cancel Order</w:t>
            </w:r>
          </w:p>
        </w:tc>
        <w:tc>
          <w:tcPr>
            <w:tcW w:w="1633" w:type="dxa"/>
            <w:shd w:val="clear" w:color="auto" w:fill="auto"/>
          </w:tcPr>
          <w:p w14:paraId="59FA88AC" w14:textId="77777777" w:rsidR="00D32A05" w:rsidRPr="001C29FC" w:rsidRDefault="00D32A05" w:rsidP="00D32A05">
            <w:pPr>
              <w:pStyle w:val="TableText"/>
              <w:rPr>
                <w:szCs w:val="18"/>
              </w:rPr>
            </w:pPr>
            <w:r w:rsidRPr="001C29FC">
              <w:rPr>
                <w:szCs w:val="18"/>
              </w:rPr>
              <w:t>M</w:t>
            </w:r>
          </w:p>
        </w:tc>
        <w:tc>
          <w:tcPr>
            <w:tcW w:w="4482" w:type="dxa"/>
            <w:shd w:val="clear" w:color="auto" w:fill="auto"/>
          </w:tcPr>
          <w:p w14:paraId="7B5A19EE" w14:textId="7E88F02E" w:rsidR="00D32A05" w:rsidRPr="001C29FC" w:rsidRDefault="00D32A05" w:rsidP="00D32A05">
            <w:pPr>
              <w:pStyle w:val="TableText"/>
              <w:rPr>
                <w:szCs w:val="18"/>
              </w:rPr>
            </w:pPr>
            <w:r w:rsidRPr="001C29FC">
              <w:rPr>
                <w:szCs w:val="18"/>
              </w:rPr>
              <w:t>Accrue workload when an order on the pending task list is cancel</w:t>
            </w:r>
            <w:r w:rsidR="002F7E19">
              <w:rPr>
                <w:szCs w:val="18"/>
              </w:rPr>
              <w:t>l</w:t>
            </w:r>
            <w:r w:rsidRPr="001C29FC">
              <w:rPr>
                <w:szCs w:val="18"/>
              </w:rPr>
              <w:t>ed. When multiple orders are cance</w:t>
            </w:r>
            <w:r w:rsidR="002F7E19">
              <w:rPr>
                <w:szCs w:val="18"/>
              </w:rPr>
              <w:t>l</w:t>
            </w:r>
            <w:r w:rsidRPr="001C29FC">
              <w:rPr>
                <w:szCs w:val="18"/>
              </w:rPr>
              <w:t>led, each order accrues workload.</w:t>
            </w:r>
          </w:p>
        </w:tc>
      </w:tr>
      <w:tr w:rsidR="00D32A05" w:rsidRPr="001C29FC" w14:paraId="582D8404" w14:textId="77777777" w:rsidTr="00D32A05">
        <w:trPr>
          <w:cantSplit/>
          <w:tblHeader/>
        </w:trPr>
        <w:tc>
          <w:tcPr>
            <w:tcW w:w="1803" w:type="dxa"/>
            <w:shd w:val="clear" w:color="auto" w:fill="auto"/>
            <w:vAlign w:val="bottom"/>
          </w:tcPr>
          <w:p w14:paraId="373A916C" w14:textId="77777777" w:rsidR="00D32A05" w:rsidRPr="001C29FC" w:rsidRDefault="00D32A05" w:rsidP="00D32A05">
            <w:pPr>
              <w:pStyle w:val="TableText"/>
              <w:rPr>
                <w:szCs w:val="18"/>
              </w:rPr>
            </w:pPr>
            <w:r w:rsidRPr="001C29FC">
              <w:rPr>
                <w:snapToGrid w:val="0"/>
                <w:szCs w:val="18"/>
              </w:rPr>
              <w:t>Select Units for Crossmatch</w:t>
            </w:r>
          </w:p>
        </w:tc>
        <w:tc>
          <w:tcPr>
            <w:tcW w:w="1442" w:type="dxa"/>
            <w:shd w:val="clear" w:color="auto" w:fill="auto"/>
          </w:tcPr>
          <w:p w14:paraId="5CE9BCBE" w14:textId="77777777" w:rsidR="00D32A05" w:rsidRPr="001C29FC" w:rsidRDefault="00D32A05" w:rsidP="00D32A05">
            <w:pPr>
              <w:pStyle w:val="TableText"/>
              <w:rPr>
                <w:szCs w:val="18"/>
              </w:rPr>
            </w:pPr>
            <w:r w:rsidRPr="001C29FC">
              <w:rPr>
                <w:szCs w:val="18"/>
              </w:rPr>
              <w:t>Crossmatch unit, electronic</w:t>
            </w:r>
          </w:p>
        </w:tc>
        <w:tc>
          <w:tcPr>
            <w:tcW w:w="1633" w:type="dxa"/>
            <w:shd w:val="clear" w:color="auto" w:fill="auto"/>
          </w:tcPr>
          <w:p w14:paraId="0DFA9D11" w14:textId="77777777" w:rsidR="00D32A05" w:rsidRPr="001C29FC" w:rsidRDefault="00D32A05" w:rsidP="00D32A05">
            <w:pPr>
              <w:pStyle w:val="TableText"/>
              <w:rPr>
                <w:color w:val="000000"/>
                <w:szCs w:val="18"/>
              </w:rPr>
            </w:pPr>
            <w:r w:rsidRPr="001C29FC">
              <w:rPr>
                <w:color w:val="000000"/>
                <w:szCs w:val="18"/>
              </w:rPr>
              <w:t>P</w:t>
            </w:r>
          </w:p>
        </w:tc>
        <w:tc>
          <w:tcPr>
            <w:tcW w:w="4482" w:type="dxa"/>
            <w:shd w:val="clear" w:color="auto" w:fill="auto"/>
          </w:tcPr>
          <w:p w14:paraId="6268590F" w14:textId="77777777" w:rsidR="00D32A05" w:rsidRPr="001C29FC" w:rsidRDefault="00D32A05" w:rsidP="00D32A05">
            <w:pPr>
              <w:pStyle w:val="TableText"/>
              <w:rPr>
                <w:color w:val="000000"/>
                <w:szCs w:val="18"/>
              </w:rPr>
            </w:pPr>
            <w:r w:rsidRPr="001C29FC">
              <w:rPr>
                <w:color w:val="000000"/>
                <w:szCs w:val="18"/>
              </w:rPr>
              <w:t>This process is invoked when an individual unit is selected for patient assignment and the unit is electronically crossmatched. When multiple units are selected, each unit accrues workload.</w:t>
            </w:r>
          </w:p>
        </w:tc>
      </w:tr>
      <w:tr w:rsidR="00D32A05" w:rsidRPr="001C29FC" w14:paraId="208D3262" w14:textId="77777777" w:rsidTr="00D32A05">
        <w:trPr>
          <w:cantSplit/>
          <w:tblHeader/>
        </w:trPr>
        <w:tc>
          <w:tcPr>
            <w:tcW w:w="1803" w:type="dxa"/>
            <w:shd w:val="clear" w:color="auto" w:fill="auto"/>
            <w:vAlign w:val="bottom"/>
          </w:tcPr>
          <w:p w14:paraId="652E790C" w14:textId="77777777" w:rsidR="00D32A05" w:rsidRPr="001C29FC" w:rsidRDefault="00D32A05" w:rsidP="00D32A05">
            <w:pPr>
              <w:pStyle w:val="TableText"/>
            </w:pPr>
            <w:r w:rsidRPr="001C29FC">
              <w:lastRenderedPageBreak/>
              <w:t>Enter Crossmatch Results</w:t>
            </w:r>
          </w:p>
        </w:tc>
        <w:tc>
          <w:tcPr>
            <w:tcW w:w="1442" w:type="dxa"/>
            <w:vMerge w:val="restart"/>
            <w:shd w:val="clear" w:color="auto" w:fill="auto"/>
          </w:tcPr>
          <w:p w14:paraId="42E6BB45" w14:textId="77777777" w:rsidR="00D32A05" w:rsidRPr="001C29FC" w:rsidRDefault="00D32A05" w:rsidP="00D32A05">
            <w:pPr>
              <w:pStyle w:val="TableText"/>
              <w:rPr>
                <w:color w:val="000000"/>
                <w:szCs w:val="18"/>
              </w:rPr>
            </w:pPr>
            <w:r w:rsidRPr="001C29FC">
              <w:rPr>
                <w:color w:val="000000"/>
                <w:szCs w:val="18"/>
              </w:rPr>
              <w:t>Crossmatch unit, serologic immediate spin</w:t>
            </w:r>
          </w:p>
        </w:tc>
        <w:tc>
          <w:tcPr>
            <w:tcW w:w="1633" w:type="dxa"/>
            <w:shd w:val="clear" w:color="auto" w:fill="auto"/>
          </w:tcPr>
          <w:p w14:paraId="28AB0DD9" w14:textId="77777777" w:rsidR="00D32A05" w:rsidRPr="001C29FC" w:rsidRDefault="00D32A05" w:rsidP="00D32A05">
            <w:pPr>
              <w:pStyle w:val="TableText"/>
              <w:rPr>
                <w:color w:val="000000"/>
                <w:szCs w:val="18"/>
              </w:rPr>
            </w:pPr>
            <w:r w:rsidRPr="001C29FC">
              <w:rPr>
                <w:color w:val="000000"/>
                <w:szCs w:val="18"/>
              </w:rPr>
              <w:t>P</w:t>
            </w:r>
          </w:p>
        </w:tc>
        <w:tc>
          <w:tcPr>
            <w:tcW w:w="4482" w:type="dxa"/>
            <w:shd w:val="clear" w:color="auto" w:fill="auto"/>
          </w:tcPr>
          <w:p w14:paraId="453F181F" w14:textId="77777777" w:rsidR="00D32A05" w:rsidRPr="001C29FC" w:rsidRDefault="00D32A05" w:rsidP="00D32A05">
            <w:pPr>
              <w:pStyle w:val="TableText"/>
              <w:rPr>
                <w:szCs w:val="18"/>
              </w:rPr>
            </w:pPr>
            <w:r w:rsidRPr="001C29FC">
              <w:rPr>
                <w:szCs w:val="18"/>
              </w:rPr>
              <w:t>Accrue workload when an</w:t>
            </w:r>
            <w:r w:rsidRPr="001C29FC">
              <w:rPr>
                <w:color w:val="000000"/>
                <w:szCs w:val="18"/>
              </w:rPr>
              <w:t xml:space="preserve"> individual unit crossmatch is selected to include only the IS phase, is completed, and is saved. When multiple units are selected, each unit accrues workload.</w:t>
            </w:r>
          </w:p>
        </w:tc>
      </w:tr>
      <w:tr w:rsidR="00D32A05" w:rsidRPr="001C29FC" w14:paraId="711098F7" w14:textId="77777777" w:rsidTr="00D32A05">
        <w:trPr>
          <w:cantSplit/>
          <w:tblHeader/>
        </w:trPr>
        <w:tc>
          <w:tcPr>
            <w:tcW w:w="1803" w:type="dxa"/>
            <w:shd w:val="clear" w:color="auto" w:fill="auto"/>
            <w:vAlign w:val="bottom"/>
          </w:tcPr>
          <w:p w14:paraId="63D29A43" w14:textId="77777777" w:rsidR="00D32A05" w:rsidRPr="001C29FC" w:rsidRDefault="00D32A05" w:rsidP="00D32A05">
            <w:pPr>
              <w:pStyle w:val="TableText"/>
            </w:pPr>
            <w:r w:rsidRPr="001C29FC">
              <w:t>Invalidate Patient Test Results*</w:t>
            </w:r>
          </w:p>
        </w:tc>
        <w:tc>
          <w:tcPr>
            <w:tcW w:w="1442" w:type="dxa"/>
            <w:vMerge/>
            <w:shd w:val="clear" w:color="auto" w:fill="auto"/>
          </w:tcPr>
          <w:p w14:paraId="2174F32E" w14:textId="77777777" w:rsidR="00D32A05" w:rsidRPr="001C29FC" w:rsidRDefault="00D32A05" w:rsidP="00D32A05">
            <w:pPr>
              <w:pStyle w:val="TableText"/>
              <w:rPr>
                <w:color w:val="000000"/>
                <w:szCs w:val="18"/>
              </w:rPr>
            </w:pPr>
          </w:p>
        </w:tc>
        <w:tc>
          <w:tcPr>
            <w:tcW w:w="1633" w:type="dxa"/>
            <w:shd w:val="clear" w:color="auto" w:fill="auto"/>
          </w:tcPr>
          <w:p w14:paraId="1EA1E256" w14:textId="77777777" w:rsidR="00D32A05" w:rsidRPr="001C29FC" w:rsidRDefault="00D32A05" w:rsidP="00D32A05">
            <w:pPr>
              <w:pStyle w:val="TableText"/>
              <w:rPr>
                <w:szCs w:val="18"/>
              </w:rPr>
            </w:pPr>
            <w:r w:rsidRPr="001C29FC">
              <w:rPr>
                <w:szCs w:val="18"/>
              </w:rPr>
              <w:t>P</w:t>
            </w:r>
          </w:p>
        </w:tc>
        <w:tc>
          <w:tcPr>
            <w:tcW w:w="4482" w:type="dxa"/>
            <w:shd w:val="clear" w:color="auto" w:fill="auto"/>
          </w:tcPr>
          <w:p w14:paraId="4374C0AE" w14:textId="77777777" w:rsidR="00D32A05" w:rsidRPr="001C29FC" w:rsidRDefault="00D32A05" w:rsidP="00D32A05">
            <w:pPr>
              <w:pStyle w:val="TableText"/>
              <w:rPr>
                <w:szCs w:val="18"/>
              </w:rPr>
            </w:pPr>
            <w:r w:rsidRPr="001C29FC">
              <w:rPr>
                <w:szCs w:val="18"/>
              </w:rPr>
              <w:t>Accrue workload when a completed crossmatch test is invalidated. This applies to the workload originally saved with the serologic immediate spin test.</w:t>
            </w:r>
          </w:p>
        </w:tc>
      </w:tr>
      <w:tr w:rsidR="00D32A05" w:rsidRPr="001C29FC" w14:paraId="70424B84" w14:textId="77777777" w:rsidTr="00D32A05">
        <w:trPr>
          <w:cantSplit/>
          <w:tblHeader/>
        </w:trPr>
        <w:tc>
          <w:tcPr>
            <w:tcW w:w="1803" w:type="dxa"/>
            <w:shd w:val="clear" w:color="auto" w:fill="auto"/>
            <w:vAlign w:val="bottom"/>
          </w:tcPr>
          <w:p w14:paraId="24C9400E" w14:textId="77777777" w:rsidR="00D32A05" w:rsidRPr="001C29FC" w:rsidRDefault="00D32A05" w:rsidP="00D32A05">
            <w:pPr>
              <w:pStyle w:val="TableText"/>
            </w:pPr>
            <w:r w:rsidRPr="001C29FC">
              <w:t>Record a Transfusion Reaction Workup</w:t>
            </w:r>
          </w:p>
        </w:tc>
        <w:tc>
          <w:tcPr>
            <w:tcW w:w="1442" w:type="dxa"/>
            <w:vMerge w:val="restart"/>
            <w:shd w:val="clear" w:color="auto" w:fill="auto"/>
          </w:tcPr>
          <w:p w14:paraId="57AB2A88" w14:textId="77777777" w:rsidR="00D32A05" w:rsidRPr="001C29FC" w:rsidRDefault="00D32A05" w:rsidP="00D32A05">
            <w:pPr>
              <w:pStyle w:val="TableText"/>
              <w:rPr>
                <w:color w:val="000000"/>
                <w:szCs w:val="18"/>
              </w:rPr>
            </w:pPr>
            <w:r w:rsidRPr="001C29FC">
              <w:rPr>
                <w:color w:val="000000"/>
                <w:szCs w:val="18"/>
              </w:rPr>
              <w:t>Crossmatch unit, serological Coombs</w:t>
            </w:r>
          </w:p>
        </w:tc>
        <w:tc>
          <w:tcPr>
            <w:tcW w:w="1633" w:type="dxa"/>
            <w:shd w:val="clear" w:color="auto" w:fill="auto"/>
          </w:tcPr>
          <w:p w14:paraId="5C8B8E41" w14:textId="77777777" w:rsidR="00D32A05" w:rsidRPr="001C29FC" w:rsidRDefault="00D32A05" w:rsidP="00D32A05">
            <w:pPr>
              <w:pStyle w:val="TableText"/>
              <w:rPr>
                <w:color w:val="000000"/>
                <w:szCs w:val="18"/>
              </w:rPr>
            </w:pPr>
            <w:r w:rsidRPr="001C29FC">
              <w:rPr>
                <w:color w:val="000000"/>
                <w:szCs w:val="18"/>
              </w:rPr>
              <w:t>P</w:t>
            </w:r>
          </w:p>
        </w:tc>
        <w:tc>
          <w:tcPr>
            <w:tcW w:w="4482" w:type="dxa"/>
            <w:shd w:val="clear" w:color="auto" w:fill="auto"/>
          </w:tcPr>
          <w:p w14:paraId="70DD2E33" w14:textId="77777777" w:rsidR="00D32A05" w:rsidRPr="001C29FC" w:rsidRDefault="00D32A05" w:rsidP="00D32A05">
            <w:pPr>
              <w:pStyle w:val="TableText"/>
              <w:rPr>
                <w:color w:val="000000"/>
                <w:szCs w:val="18"/>
              </w:rPr>
            </w:pPr>
            <w:r w:rsidRPr="001C29FC">
              <w:rPr>
                <w:color w:val="000000"/>
                <w:szCs w:val="18"/>
              </w:rPr>
              <w:t>A crossmatch test for “pre” or “post” is enabled and a valid interpretation other than Not Tested is selected. A workload event is accrued separately for “Pre” and “Post” entries.</w:t>
            </w:r>
            <w:r w:rsidRPr="001C29FC">
              <w:rPr>
                <w:color w:val="000000"/>
                <w:szCs w:val="18"/>
              </w:rPr>
              <w:br/>
              <w:t>When multiple units are selected, each unit accrues workload.</w:t>
            </w:r>
          </w:p>
        </w:tc>
      </w:tr>
      <w:tr w:rsidR="00D32A05" w:rsidRPr="001C29FC" w14:paraId="45BA8A52" w14:textId="77777777" w:rsidTr="00D32A05">
        <w:trPr>
          <w:cantSplit/>
          <w:tblHeader/>
        </w:trPr>
        <w:tc>
          <w:tcPr>
            <w:tcW w:w="1803" w:type="dxa"/>
            <w:shd w:val="clear" w:color="auto" w:fill="auto"/>
            <w:vAlign w:val="bottom"/>
          </w:tcPr>
          <w:p w14:paraId="3A5803DC" w14:textId="77777777" w:rsidR="00D32A05" w:rsidRPr="001C29FC" w:rsidRDefault="00D32A05" w:rsidP="00D32A05">
            <w:pPr>
              <w:pStyle w:val="TableText"/>
            </w:pPr>
            <w:r w:rsidRPr="001C29FC">
              <w:t>Enter Crossmatch Results</w:t>
            </w:r>
          </w:p>
        </w:tc>
        <w:tc>
          <w:tcPr>
            <w:tcW w:w="1442" w:type="dxa"/>
            <w:vMerge/>
            <w:shd w:val="clear" w:color="auto" w:fill="auto"/>
          </w:tcPr>
          <w:p w14:paraId="5D98E0F8" w14:textId="77777777" w:rsidR="00D32A05" w:rsidRPr="001C29FC" w:rsidRDefault="00D32A05" w:rsidP="00D32A05">
            <w:pPr>
              <w:pStyle w:val="TableText"/>
              <w:rPr>
                <w:color w:val="000000"/>
                <w:szCs w:val="18"/>
              </w:rPr>
            </w:pPr>
          </w:p>
        </w:tc>
        <w:tc>
          <w:tcPr>
            <w:tcW w:w="1633" w:type="dxa"/>
            <w:shd w:val="clear" w:color="auto" w:fill="auto"/>
          </w:tcPr>
          <w:p w14:paraId="4CFB5FF6" w14:textId="77777777" w:rsidR="00D32A05" w:rsidRPr="001C29FC" w:rsidRDefault="00D32A05" w:rsidP="00D32A05">
            <w:pPr>
              <w:pStyle w:val="TableText"/>
              <w:rPr>
                <w:color w:val="000000"/>
                <w:szCs w:val="18"/>
              </w:rPr>
            </w:pPr>
            <w:r w:rsidRPr="001C29FC">
              <w:rPr>
                <w:color w:val="000000"/>
                <w:szCs w:val="18"/>
              </w:rPr>
              <w:t>P</w:t>
            </w:r>
          </w:p>
        </w:tc>
        <w:tc>
          <w:tcPr>
            <w:tcW w:w="4482" w:type="dxa"/>
            <w:shd w:val="clear" w:color="auto" w:fill="auto"/>
          </w:tcPr>
          <w:p w14:paraId="629D4059" w14:textId="77777777" w:rsidR="00D32A05" w:rsidRPr="001C29FC" w:rsidRDefault="00D32A05" w:rsidP="00D32A05">
            <w:pPr>
              <w:pStyle w:val="TableText"/>
              <w:rPr>
                <w:szCs w:val="18"/>
              </w:rPr>
            </w:pPr>
            <w:r w:rsidRPr="001C29FC">
              <w:rPr>
                <w:szCs w:val="18"/>
              </w:rPr>
              <w:t>Accrue workload when an</w:t>
            </w:r>
            <w:r w:rsidRPr="001C29FC">
              <w:rPr>
                <w:color w:val="000000"/>
                <w:szCs w:val="18"/>
              </w:rPr>
              <w:t xml:space="preserve"> individual unit crossmatch is selected to include all phases or only the AHG phase, is completed, and is saved. When multiple units are selected, each unit accrues workload.</w:t>
            </w:r>
          </w:p>
        </w:tc>
      </w:tr>
      <w:tr w:rsidR="00D32A05" w:rsidRPr="001C29FC" w14:paraId="72A75416" w14:textId="77777777" w:rsidTr="00D32A05">
        <w:trPr>
          <w:cantSplit/>
          <w:tblHeader/>
        </w:trPr>
        <w:tc>
          <w:tcPr>
            <w:tcW w:w="1803" w:type="dxa"/>
            <w:shd w:val="clear" w:color="auto" w:fill="auto"/>
            <w:vAlign w:val="bottom"/>
          </w:tcPr>
          <w:p w14:paraId="20594C86" w14:textId="77777777" w:rsidR="00D32A05" w:rsidRPr="001C29FC" w:rsidRDefault="00D32A05" w:rsidP="00D32A05">
            <w:pPr>
              <w:pStyle w:val="TableText"/>
            </w:pPr>
            <w:r w:rsidRPr="001C29FC">
              <w:t>Invalidate Patient Test Results*</w:t>
            </w:r>
          </w:p>
        </w:tc>
        <w:tc>
          <w:tcPr>
            <w:tcW w:w="1442" w:type="dxa"/>
            <w:vMerge/>
            <w:shd w:val="clear" w:color="auto" w:fill="auto"/>
          </w:tcPr>
          <w:p w14:paraId="1CD97744" w14:textId="77777777" w:rsidR="00D32A05" w:rsidRPr="001C29FC" w:rsidRDefault="00D32A05" w:rsidP="00D32A05">
            <w:pPr>
              <w:pStyle w:val="TableText"/>
              <w:rPr>
                <w:color w:val="000000"/>
                <w:szCs w:val="18"/>
              </w:rPr>
            </w:pPr>
          </w:p>
        </w:tc>
        <w:tc>
          <w:tcPr>
            <w:tcW w:w="1633" w:type="dxa"/>
            <w:shd w:val="clear" w:color="auto" w:fill="auto"/>
          </w:tcPr>
          <w:p w14:paraId="5DC12339" w14:textId="77777777" w:rsidR="00D32A05" w:rsidRPr="001C29FC" w:rsidRDefault="00D32A05" w:rsidP="00D32A05">
            <w:pPr>
              <w:pStyle w:val="TableText"/>
              <w:rPr>
                <w:szCs w:val="18"/>
              </w:rPr>
            </w:pPr>
            <w:r w:rsidRPr="001C29FC">
              <w:rPr>
                <w:szCs w:val="18"/>
              </w:rPr>
              <w:t>P</w:t>
            </w:r>
          </w:p>
        </w:tc>
        <w:tc>
          <w:tcPr>
            <w:tcW w:w="4482" w:type="dxa"/>
            <w:shd w:val="clear" w:color="auto" w:fill="auto"/>
          </w:tcPr>
          <w:p w14:paraId="55713266" w14:textId="77777777" w:rsidR="00D32A05" w:rsidRPr="001C29FC" w:rsidRDefault="00D32A05" w:rsidP="00D32A05">
            <w:pPr>
              <w:pStyle w:val="TableText"/>
              <w:rPr>
                <w:szCs w:val="18"/>
              </w:rPr>
            </w:pPr>
            <w:r w:rsidRPr="001C29FC">
              <w:rPr>
                <w:szCs w:val="18"/>
              </w:rPr>
              <w:t>Accrue workload when a completed crossmatch test is invalidated. This applies to the workload originally saved with the test, serological Coombs.</w:t>
            </w:r>
          </w:p>
        </w:tc>
      </w:tr>
      <w:tr w:rsidR="00D32A05" w:rsidRPr="001C29FC" w14:paraId="744E086E" w14:textId="77777777" w:rsidTr="00D32A05">
        <w:trPr>
          <w:cantSplit/>
          <w:tblHeader/>
        </w:trPr>
        <w:tc>
          <w:tcPr>
            <w:tcW w:w="1803" w:type="dxa"/>
            <w:shd w:val="clear" w:color="auto" w:fill="auto"/>
            <w:vAlign w:val="bottom"/>
          </w:tcPr>
          <w:p w14:paraId="1851B273" w14:textId="77777777" w:rsidR="00D32A05" w:rsidRPr="001C29FC" w:rsidRDefault="00D32A05" w:rsidP="00D32A05">
            <w:pPr>
              <w:pStyle w:val="TableText"/>
            </w:pPr>
            <w:r w:rsidRPr="001C29FC">
              <w:t>Enter Crossmatch Results</w:t>
            </w:r>
          </w:p>
        </w:tc>
        <w:tc>
          <w:tcPr>
            <w:tcW w:w="1442" w:type="dxa"/>
            <w:vMerge w:val="restart"/>
            <w:shd w:val="clear" w:color="auto" w:fill="auto"/>
          </w:tcPr>
          <w:p w14:paraId="1137B355" w14:textId="77777777" w:rsidR="00D32A05" w:rsidRPr="001C29FC" w:rsidRDefault="00D32A05" w:rsidP="00D32A05">
            <w:pPr>
              <w:pStyle w:val="TableText"/>
              <w:rPr>
                <w:color w:val="000000"/>
                <w:szCs w:val="18"/>
              </w:rPr>
            </w:pPr>
            <w:r w:rsidRPr="001C29FC">
              <w:rPr>
                <w:color w:val="000000"/>
                <w:szCs w:val="18"/>
              </w:rPr>
              <w:t>Crossmatch, Repeat Test</w:t>
            </w:r>
          </w:p>
        </w:tc>
        <w:tc>
          <w:tcPr>
            <w:tcW w:w="1633" w:type="dxa"/>
            <w:shd w:val="clear" w:color="auto" w:fill="auto"/>
          </w:tcPr>
          <w:p w14:paraId="20E77748" w14:textId="77777777" w:rsidR="00D32A05" w:rsidRPr="001C29FC" w:rsidRDefault="00D32A05" w:rsidP="00D32A05">
            <w:pPr>
              <w:pStyle w:val="TableText"/>
              <w:rPr>
                <w:color w:val="000000"/>
                <w:szCs w:val="18"/>
              </w:rPr>
            </w:pPr>
            <w:r w:rsidRPr="001C29FC">
              <w:rPr>
                <w:color w:val="000000"/>
                <w:szCs w:val="18"/>
              </w:rPr>
              <w:t>M</w:t>
            </w:r>
          </w:p>
        </w:tc>
        <w:tc>
          <w:tcPr>
            <w:tcW w:w="4482" w:type="dxa"/>
            <w:shd w:val="clear" w:color="auto" w:fill="auto"/>
          </w:tcPr>
          <w:p w14:paraId="6AD7CFDC" w14:textId="77777777" w:rsidR="00D32A05" w:rsidRPr="001C29FC" w:rsidRDefault="00D32A05" w:rsidP="00D32A05">
            <w:pPr>
              <w:pStyle w:val="TableText"/>
              <w:rPr>
                <w:szCs w:val="18"/>
              </w:rPr>
            </w:pPr>
            <w:r w:rsidRPr="001C29FC">
              <w:rPr>
                <w:szCs w:val="18"/>
              </w:rPr>
              <w:t>Accrue workload when an</w:t>
            </w:r>
            <w:r w:rsidRPr="001C29FC">
              <w:rPr>
                <w:color w:val="000000"/>
                <w:szCs w:val="18"/>
              </w:rPr>
              <w:t xml:space="preserve"> individual unit crossmatch is selected to include all phases or IS or only the AHG phase, is completed, and is saved. When multiple units are selected, each unit accrues workload.</w:t>
            </w:r>
          </w:p>
        </w:tc>
      </w:tr>
      <w:tr w:rsidR="00D32A05" w:rsidRPr="001C29FC" w14:paraId="61C51A0A" w14:textId="77777777" w:rsidTr="00D32A05">
        <w:trPr>
          <w:cantSplit/>
          <w:tblHeader/>
        </w:trPr>
        <w:tc>
          <w:tcPr>
            <w:tcW w:w="1803" w:type="dxa"/>
            <w:shd w:val="clear" w:color="auto" w:fill="auto"/>
            <w:vAlign w:val="bottom"/>
          </w:tcPr>
          <w:p w14:paraId="70A6582C" w14:textId="77777777" w:rsidR="00D32A05" w:rsidRPr="001C29FC" w:rsidRDefault="00D32A05" w:rsidP="00D32A05">
            <w:pPr>
              <w:pStyle w:val="TableText"/>
            </w:pPr>
            <w:r w:rsidRPr="001C29FC">
              <w:t>Invalidate Patient Test Results*</w:t>
            </w:r>
          </w:p>
        </w:tc>
        <w:tc>
          <w:tcPr>
            <w:tcW w:w="1442" w:type="dxa"/>
            <w:vMerge/>
            <w:shd w:val="clear" w:color="auto" w:fill="auto"/>
          </w:tcPr>
          <w:p w14:paraId="389185B3" w14:textId="77777777" w:rsidR="00D32A05" w:rsidRPr="001C29FC" w:rsidRDefault="00D32A05" w:rsidP="00D32A05">
            <w:pPr>
              <w:pStyle w:val="TableText"/>
              <w:rPr>
                <w:color w:val="000000"/>
                <w:szCs w:val="18"/>
              </w:rPr>
            </w:pPr>
          </w:p>
        </w:tc>
        <w:tc>
          <w:tcPr>
            <w:tcW w:w="1633" w:type="dxa"/>
            <w:shd w:val="clear" w:color="auto" w:fill="auto"/>
          </w:tcPr>
          <w:p w14:paraId="41C2E54A" w14:textId="77777777" w:rsidR="00D32A05" w:rsidRPr="001C29FC" w:rsidRDefault="00D32A05" w:rsidP="00D32A05">
            <w:pPr>
              <w:pStyle w:val="TableText"/>
              <w:rPr>
                <w:color w:val="000000"/>
                <w:szCs w:val="18"/>
              </w:rPr>
            </w:pPr>
            <w:r w:rsidRPr="001C29FC">
              <w:rPr>
                <w:color w:val="000000"/>
                <w:szCs w:val="18"/>
              </w:rPr>
              <w:t>M</w:t>
            </w:r>
          </w:p>
        </w:tc>
        <w:tc>
          <w:tcPr>
            <w:tcW w:w="4482" w:type="dxa"/>
            <w:shd w:val="clear" w:color="auto" w:fill="auto"/>
          </w:tcPr>
          <w:p w14:paraId="6CE329BD" w14:textId="77777777" w:rsidR="00D32A05" w:rsidRPr="001C29FC" w:rsidRDefault="00D32A05" w:rsidP="00D32A05">
            <w:pPr>
              <w:pStyle w:val="TableText"/>
              <w:rPr>
                <w:szCs w:val="18"/>
              </w:rPr>
            </w:pPr>
            <w:r w:rsidRPr="001C29FC">
              <w:rPr>
                <w:szCs w:val="18"/>
              </w:rPr>
              <w:t>Accrue workload when an individual unit crossmatch is invalidated.</w:t>
            </w:r>
          </w:p>
        </w:tc>
      </w:tr>
      <w:tr w:rsidR="00D32A05" w:rsidRPr="001C29FC" w14:paraId="42D1CB35" w14:textId="77777777" w:rsidTr="00D32A05">
        <w:trPr>
          <w:cantSplit/>
          <w:tblHeader/>
        </w:trPr>
        <w:tc>
          <w:tcPr>
            <w:tcW w:w="1803" w:type="dxa"/>
            <w:shd w:val="clear" w:color="auto" w:fill="auto"/>
            <w:vAlign w:val="bottom"/>
          </w:tcPr>
          <w:p w14:paraId="6184DE80" w14:textId="77777777" w:rsidR="00D32A05" w:rsidRPr="001C29FC" w:rsidRDefault="00D32A05" w:rsidP="00D32A05">
            <w:pPr>
              <w:pStyle w:val="TableText"/>
              <w:rPr>
                <w:szCs w:val="18"/>
              </w:rPr>
            </w:pPr>
            <w:r w:rsidRPr="001C29FC">
              <w:rPr>
                <w:snapToGrid w:val="0"/>
                <w:szCs w:val="18"/>
              </w:rPr>
              <w:t>Enter Daily QC Results</w:t>
            </w:r>
          </w:p>
        </w:tc>
        <w:tc>
          <w:tcPr>
            <w:tcW w:w="1442" w:type="dxa"/>
            <w:shd w:val="clear" w:color="auto" w:fill="auto"/>
          </w:tcPr>
          <w:p w14:paraId="4158D1C8" w14:textId="77777777" w:rsidR="00D32A05" w:rsidRPr="001C29FC" w:rsidRDefault="00D32A05" w:rsidP="00D32A05">
            <w:pPr>
              <w:pStyle w:val="TableText"/>
              <w:rPr>
                <w:color w:val="000000"/>
                <w:szCs w:val="18"/>
              </w:rPr>
            </w:pPr>
            <w:r w:rsidRPr="001C29FC">
              <w:rPr>
                <w:color w:val="000000"/>
                <w:szCs w:val="18"/>
              </w:rPr>
              <w:t>Daily Rack Quality Control (QC)</w:t>
            </w:r>
          </w:p>
        </w:tc>
        <w:tc>
          <w:tcPr>
            <w:tcW w:w="1633" w:type="dxa"/>
            <w:shd w:val="clear" w:color="auto" w:fill="auto"/>
          </w:tcPr>
          <w:p w14:paraId="0774B41C" w14:textId="77777777" w:rsidR="00D32A05" w:rsidRPr="001C29FC" w:rsidRDefault="00D32A05" w:rsidP="00D32A05">
            <w:pPr>
              <w:pStyle w:val="TableText"/>
              <w:rPr>
                <w:color w:val="000000"/>
                <w:szCs w:val="18"/>
              </w:rPr>
            </w:pPr>
            <w:r w:rsidRPr="001C29FC">
              <w:rPr>
                <w:color w:val="000000"/>
                <w:szCs w:val="18"/>
              </w:rPr>
              <w:t>M</w:t>
            </w:r>
          </w:p>
        </w:tc>
        <w:tc>
          <w:tcPr>
            <w:tcW w:w="4482" w:type="dxa"/>
            <w:shd w:val="clear" w:color="auto" w:fill="auto"/>
            <w:vAlign w:val="bottom"/>
          </w:tcPr>
          <w:p w14:paraId="232E5078" w14:textId="77777777" w:rsidR="00D32A05" w:rsidRPr="001C29FC" w:rsidRDefault="00D32A05" w:rsidP="00D32A05">
            <w:pPr>
              <w:pStyle w:val="TableText"/>
              <w:rPr>
                <w:szCs w:val="18"/>
              </w:rPr>
            </w:pPr>
            <w:r w:rsidRPr="001C29FC">
              <w:rPr>
                <w:szCs w:val="18"/>
              </w:rPr>
              <w:t xml:space="preserve">Accrue workload when </w:t>
            </w:r>
            <w:r w:rsidRPr="001C29FC">
              <w:rPr>
                <w:color w:val="000000"/>
                <w:szCs w:val="18"/>
              </w:rPr>
              <w:t>Daily QC rack completed for one individual rack includes all rows in configured QC. When multiple racks are tested, each completed and saved tab accrues a workload event.</w:t>
            </w:r>
          </w:p>
        </w:tc>
      </w:tr>
      <w:tr w:rsidR="00D32A05" w:rsidRPr="001C29FC" w14:paraId="02CD6797" w14:textId="77777777" w:rsidTr="00D32A05">
        <w:trPr>
          <w:cantSplit/>
          <w:tblHeader/>
        </w:trPr>
        <w:tc>
          <w:tcPr>
            <w:tcW w:w="1803" w:type="dxa"/>
            <w:shd w:val="clear" w:color="auto" w:fill="auto"/>
            <w:vAlign w:val="bottom"/>
          </w:tcPr>
          <w:p w14:paraId="056D9244" w14:textId="77777777" w:rsidR="00D32A05" w:rsidRPr="001C29FC" w:rsidRDefault="00D32A05" w:rsidP="00D32A05">
            <w:pPr>
              <w:pStyle w:val="TableText"/>
            </w:pPr>
            <w:r w:rsidRPr="001C29FC">
              <w:t>Record Patient Direct Antiglobulin Test</w:t>
            </w:r>
          </w:p>
        </w:tc>
        <w:tc>
          <w:tcPr>
            <w:tcW w:w="1442" w:type="dxa"/>
            <w:shd w:val="clear" w:color="auto" w:fill="auto"/>
          </w:tcPr>
          <w:p w14:paraId="5790DE4B" w14:textId="77777777" w:rsidR="00D32A05" w:rsidRPr="001C29FC" w:rsidRDefault="00D32A05" w:rsidP="00D32A05">
            <w:pPr>
              <w:pStyle w:val="TableText"/>
              <w:rPr>
                <w:color w:val="000000"/>
                <w:szCs w:val="18"/>
              </w:rPr>
            </w:pPr>
            <w:r w:rsidRPr="001C29FC">
              <w:rPr>
                <w:color w:val="000000"/>
                <w:szCs w:val="18"/>
              </w:rPr>
              <w:t>DAT (QC)</w:t>
            </w:r>
          </w:p>
        </w:tc>
        <w:tc>
          <w:tcPr>
            <w:tcW w:w="1633" w:type="dxa"/>
            <w:shd w:val="clear" w:color="auto" w:fill="auto"/>
          </w:tcPr>
          <w:p w14:paraId="6BACC7CC" w14:textId="77777777" w:rsidR="00D32A05" w:rsidRPr="001C29FC" w:rsidRDefault="00D32A05" w:rsidP="00D32A05">
            <w:pPr>
              <w:pStyle w:val="TableText"/>
              <w:rPr>
                <w:color w:val="000000"/>
                <w:szCs w:val="18"/>
              </w:rPr>
            </w:pPr>
            <w:r w:rsidRPr="001C29FC">
              <w:rPr>
                <w:color w:val="000000"/>
                <w:szCs w:val="18"/>
              </w:rPr>
              <w:t>M</w:t>
            </w:r>
          </w:p>
        </w:tc>
        <w:tc>
          <w:tcPr>
            <w:tcW w:w="4482" w:type="dxa"/>
            <w:shd w:val="clear" w:color="auto" w:fill="auto"/>
            <w:vAlign w:val="bottom"/>
          </w:tcPr>
          <w:p w14:paraId="5E79D42B" w14:textId="77777777" w:rsidR="00D32A05" w:rsidRPr="001C29FC" w:rsidRDefault="00D32A05" w:rsidP="00D32A05">
            <w:pPr>
              <w:pStyle w:val="TableText"/>
              <w:rPr>
                <w:szCs w:val="18"/>
              </w:rPr>
            </w:pPr>
            <w:r w:rsidRPr="001C29FC">
              <w:rPr>
                <w:szCs w:val="18"/>
              </w:rPr>
              <w:t xml:space="preserve">Accrue workload when </w:t>
            </w:r>
            <w:r w:rsidRPr="001C29FC">
              <w:rPr>
                <w:color w:val="000000"/>
                <w:szCs w:val="18"/>
              </w:rPr>
              <w:t>Reagent QC completed in Patient DAT testing includes the testing of both the positive and negative control cells, per specificity per lot number, when only one phase of reactivity is chosen for the test grid (IS or AHG). One workload event is collected per completed tab for regular or repeat antiglobulin tests (PS, IgG, Comp).</w:t>
            </w:r>
          </w:p>
        </w:tc>
      </w:tr>
      <w:tr w:rsidR="00D32A05" w:rsidRPr="001C29FC" w14:paraId="030E518F" w14:textId="77777777" w:rsidTr="00D32A05">
        <w:trPr>
          <w:cantSplit/>
          <w:tblHeader/>
        </w:trPr>
        <w:tc>
          <w:tcPr>
            <w:tcW w:w="1803" w:type="dxa"/>
            <w:shd w:val="clear" w:color="auto" w:fill="auto"/>
            <w:vAlign w:val="bottom"/>
          </w:tcPr>
          <w:p w14:paraId="1D0BC9E6" w14:textId="77777777" w:rsidR="00D32A05" w:rsidRPr="001C29FC" w:rsidRDefault="00D32A05" w:rsidP="00D32A05">
            <w:pPr>
              <w:pStyle w:val="TableText"/>
            </w:pPr>
            <w:r w:rsidRPr="001C29FC">
              <w:t>Record a Transfusion Reaction Workup</w:t>
            </w:r>
          </w:p>
        </w:tc>
        <w:tc>
          <w:tcPr>
            <w:tcW w:w="1442" w:type="dxa"/>
            <w:vMerge w:val="restart"/>
            <w:shd w:val="clear" w:color="auto" w:fill="auto"/>
          </w:tcPr>
          <w:p w14:paraId="684D3F51" w14:textId="77777777" w:rsidR="00D32A05" w:rsidRPr="001C29FC" w:rsidRDefault="00D32A05" w:rsidP="00D32A05">
            <w:pPr>
              <w:pStyle w:val="TableText"/>
              <w:rPr>
                <w:color w:val="000000"/>
                <w:szCs w:val="18"/>
              </w:rPr>
            </w:pPr>
            <w:r w:rsidRPr="001C29FC">
              <w:rPr>
                <w:color w:val="000000"/>
                <w:szCs w:val="18"/>
              </w:rPr>
              <w:t>Direct Antiglobulin Test (DAT)</w:t>
            </w:r>
          </w:p>
        </w:tc>
        <w:tc>
          <w:tcPr>
            <w:tcW w:w="1633" w:type="dxa"/>
            <w:shd w:val="clear" w:color="auto" w:fill="auto"/>
          </w:tcPr>
          <w:p w14:paraId="7682F132" w14:textId="77777777" w:rsidR="00D32A05" w:rsidRPr="001C29FC" w:rsidRDefault="00D32A05" w:rsidP="00D32A05">
            <w:pPr>
              <w:pStyle w:val="TableText"/>
              <w:rPr>
                <w:color w:val="000000"/>
                <w:szCs w:val="18"/>
              </w:rPr>
            </w:pPr>
            <w:r w:rsidRPr="001C29FC">
              <w:rPr>
                <w:color w:val="000000"/>
                <w:szCs w:val="18"/>
              </w:rPr>
              <w:t>P</w:t>
            </w:r>
          </w:p>
        </w:tc>
        <w:tc>
          <w:tcPr>
            <w:tcW w:w="4482" w:type="dxa"/>
            <w:shd w:val="clear" w:color="auto" w:fill="auto"/>
          </w:tcPr>
          <w:p w14:paraId="186C0526" w14:textId="77777777" w:rsidR="00D32A05" w:rsidRPr="001C29FC" w:rsidRDefault="00D32A05" w:rsidP="00D32A05">
            <w:pPr>
              <w:pStyle w:val="TableText"/>
              <w:rPr>
                <w:color w:val="000000"/>
                <w:szCs w:val="18"/>
              </w:rPr>
            </w:pPr>
            <w:r w:rsidRPr="001C29FC">
              <w:rPr>
                <w:color w:val="000000"/>
                <w:szCs w:val="18"/>
              </w:rPr>
              <w:t>A DAT test for “pre” or “post” is enabled and a valid interpretation other than Not Tested is selected. A workload event is accrued separately for “Pre” and “Post “entries.</w:t>
            </w:r>
          </w:p>
        </w:tc>
      </w:tr>
      <w:tr w:rsidR="00D32A05" w:rsidRPr="001C29FC" w14:paraId="7E2C13E8" w14:textId="77777777" w:rsidTr="00D32A05">
        <w:trPr>
          <w:cantSplit/>
          <w:tblHeader/>
        </w:trPr>
        <w:tc>
          <w:tcPr>
            <w:tcW w:w="1803" w:type="dxa"/>
            <w:shd w:val="clear" w:color="auto" w:fill="auto"/>
            <w:vAlign w:val="bottom"/>
          </w:tcPr>
          <w:p w14:paraId="575B8AC1" w14:textId="77777777" w:rsidR="00D32A05" w:rsidRPr="001C29FC" w:rsidRDefault="00D32A05" w:rsidP="00D32A05">
            <w:pPr>
              <w:pStyle w:val="TableText"/>
            </w:pPr>
            <w:r w:rsidRPr="001C29FC">
              <w:t>Record Patient Direct Antiglobulin Test</w:t>
            </w:r>
          </w:p>
        </w:tc>
        <w:tc>
          <w:tcPr>
            <w:tcW w:w="1442" w:type="dxa"/>
            <w:vMerge/>
            <w:shd w:val="clear" w:color="auto" w:fill="auto"/>
          </w:tcPr>
          <w:p w14:paraId="6DE6E39B" w14:textId="77777777" w:rsidR="00D32A05" w:rsidRPr="001C29FC" w:rsidRDefault="00D32A05" w:rsidP="00D32A05">
            <w:pPr>
              <w:pStyle w:val="TableText"/>
              <w:rPr>
                <w:color w:val="000000"/>
                <w:szCs w:val="18"/>
              </w:rPr>
            </w:pPr>
          </w:p>
        </w:tc>
        <w:tc>
          <w:tcPr>
            <w:tcW w:w="1633" w:type="dxa"/>
            <w:shd w:val="clear" w:color="auto" w:fill="auto"/>
          </w:tcPr>
          <w:p w14:paraId="4DB6ABD1" w14:textId="77777777" w:rsidR="00D32A05" w:rsidRPr="001C29FC" w:rsidRDefault="00D32A05" w:rsidP="00D32A05">
            <w:pPr>
              <w:pStyle w:val="TableText"/>
              <w:rPr>
                <w:color w:val="000000"/>
                <w:szCs w:val="18"/>
              </w:rPr>
            </w:pPr>
            <w:r w:rsidRPr="001C29FC">
              <w:rPr>
                <w:color w:val="000000"/>
                <w:szCs w:val="18"/>
              </w:rPr>
              <w:t>P</w:t>
            </w:r>
          </w:p>
        </w:tc>
        <w:tc>
          <w:tcPr>
            <w:tcW w:w="4482" w:type="dxa"/>
            <w:shd w:val="clear" w:color="auto" w:fill="auto"/>
          </w:tcPr>
          <w:p w14:paraId="73EA4A2A" w14:textId="77777777" w:rsidR="00D32A05" w:rsidRPr="001C29FC" w:rsidRDefault="00D32A05" w:rsidP="00D32A05">
            <w:pPr>
              <w:pStyle w:val="TableText"/>
              <w:rPr>
                <w:szCs w:val="18"/>
              </w:rPr>
            </w:pPr>
            <w:r w:rsidRPr="001C29FC">
              <w:rPr>
                <w:szCs w:val="18"/>
              </w:rPr>
              <w:t>Accrue workload when a</w:t>
            </w:r>
            <w:r w:rsidRPr="001C29FC">
              <w:rPr>
                <w:color w:val="000000"/>
                <w:szCs w:val="18"/>
              </w:rPr>
              <w:t xml:space="preserve"> DAT is completed and saved. This count is used for all antiglobulin tests (PS, IgG, Comp) when ordered from CPRS or Reflex testing.</w:t>
            </w:r>
          </w:p>
        </w:tc>
      </w:tr>
      <w:tr w:rsidR="00D32A05" w:rsidRPr="001C29FC" w14:paraId="0875FCFC" w14:textId="77777777" w:rsidTr="00D32A05">
        <w:trPr>
          <w:cantSplit/>
          <w:tblHeader/>
        </w:trPr>
        <w:tc>
          <w:tcPr>
            <w:tcW w:w="1803" w:type="dxa"/>
            <w:shd w:val="clear" w:color="auto" w:fill="auto"/>
            <w:vAlign w:val="bottom"/>
          </w:tcPr>
          <w:p w14:paraId="7C04A5C9" w14:textId="77777777" w:rsidR="00D32A05" w:rsidRPr="001C29FC" w:rsidRDefault="00D32A05" w:rsidP="00D32A05">
            <w:pPr>
              <w:pStyle w:val="TableText"/>
            </w:pPr>
            <w:r w:rsidRPr="001C29FC">
              <w:t>Invalidate Patient Test Results*</w:t>
            </w:r>
          </w:p>
        </w:tc>
        <w:tc>
          <w:tcPr>
            <w:tcW w:w="1442" w:type="dxa"/>
            <w:vMerge/>
            <w:shd w:val="clear" w:color="auto" w:fill="auto"/>
          </w:tcPr>
          <w:p w14:paraId="59590F9F" w14:textId="77777777" w:rsidR="00D32A05" w:rsidRPr="001C29FC" w:rsidRDefault="00D32A05" w:rsidP="00D32A05">
            <w:pPr>
              <w:pStyle w:val="TableText"/>
              <w:rPr>
                <w:color w:val="000000"/>
                <w:szCs w:val="18"/>
              </w:rPr>
            </w:pPr>
          </w:p>
        </w:tc>
        <w:tc>
          <w:tcPr>
            <w:tcW w:w="1633" w:type="dxa"/>
            <w:shd w:val="clear" w:color="auto" w:fill="auto"/>
          </w:tcPr>
          <w:p w14:paraId="48B92D7D" w14:textId="77777777" w:rsidR="00D32A05" w:rsidRPr="001C29FC" w:rsidRDefault="00D32A05" w:rsidP="00D32A05">
            <w:pPr>
              <w:pStyle w:val="TableText"/>
              <w:rPr>
                <w:color w:val="000000"/>
                <w:szCs w:val="18"/>
              </w:rPr>
            </w:pPr>
            <w:r w:rsidRPr="001C29FC">
              <w:rPr>
                <w:color w:val="000000"/>
                <w:szCs w:val="18"/>
              </w:rPr>
              <w:t>P</w:t>
            </w:r>
          </w:p>
        </w:tc>
        <w:tc>
          <w:tcPr>
            <w:tcW w:w="4482" w:type="dxa"/>
            <w:shd w:val="clear" w:color="auto" w:fill="auto"/>
          </w:tcPr>
          <w:p w14:paraId="0312EF61" w14:textId="77777777" w:rsidR="00D32A05" w:rsidRPr="001C29FC" w:rsidRDefault="00D32A05" w:rsidP="00D32A05">
            <w:pPr>
              <w:pStyle w:val="TableText"/>
              <w:rPr>
                <w:szCs w:val="18"/>
              </w:rPr>
            </w:pPr>
            <w:r w:rsidRPr="001C29FC">
              <w:rPr>
                <w:szCs w:val="18"/>
              </w:rPr>
              <w:t xml:space="preserve">Accrue workload when a completed DAT, PS, IgG, or Comp is invalidated. </w:t>
            </w:r>
          </w:p>
        </w:tc>
      </w:tr>
      <w:tr w:rsidR="00D32A05" w:rsidRPr="001C29FC" w14:paraId="09999057" w14:textId="77777777" w:rsidTr="00D32A05">
        <w:trPr>
          <w:cantSplit/>
          <w:tblHeader/>
        </w:trPr>
        <w:tc>
          <w:tcPr>
            <w:tcW w:w="1803" w:type="dxa"/>
            <w:shd w:val="clear" w:color="auto" w:fill="auto"/>
            <w:vAlign w:val="bottom"/>
          </w:tcPr>
          <w:p w14:paraId="3177117D" w14:textId="77777777" w:rsidR="00D32A05" w:rsidRPr="001C29FC" w:rsidRDefault="00D32A05" w:rsidP="00D32A05">
            <w:pPr>
              <w:pStyle w:val="TableText"/>
            </w:pPr>
            <w:r w:rsidRPr="001C29FC">
              <w:t>Record Patient Direct Antiglobulin Test</w:t>
            </w:r>
          </w:p>
        </w:tc>
        <w:tc>
          <w:tcPr>
            <w:tcW w:w="1442" w:type="dxa"/>
            <w:vMerge w:val="restart"/>
            <w:shd w:val="clear" w:color="auto" w:fill="auto"/>
          </w:tcPr>
          <w:p w14:paraId="3FE6ACE3" w14:textId="77777777" w:rsidR="00D32A05" w:rsidRPr="001C29FC" w:rsidRDefault="00D32A05" w:rsidP="00D32A05">
            <w:pPr>
              <w:pStyle w:val="TableText"/>
              <w:rPr>
                <w:color w:val="000000"/>
                <w:szCs w:val="18"/>
              </w:rPr>
            </w:pPr>
            <w:r w:rsidRPr="001C29FC">
              <w:rPr>
                <w:color w:val="000000"/>
                <w:szCs w:val="18"/>
              </w:rPr>
              <w:t xml:space="preserve">Direct Antiglobulin </w:t>
            </w:r>
            <w:r w:rsidRPr="001C29FC">
              <w:rPr>
                <w:color w:val="000000"/>
                <w:szCs w:val="18"/>
              </w:rPr>
              <w:lastRenderedPageBreak/>
              <w:t>Test (DAT) Repeat test</w:t>
            </w:r>
          </w:p>
        </w:tc>
        <w:tc>
          <w:tcPr>
            <w:tcW w:w="1633" w:type="dxa"/>
            <w:shd w:val="clear" w:color="auto" w:fill="auto"/>
          </w:tcPr>
          <w:p w14:paraId="0F834BCF" w14:textId="77777777" w:rsidR="00D32A05" w:rsidRPr="001C29FC" w:rsidRDefault="00D32A05" w:rsidP="00D32A05">
            <w:pPr>
              <w:pStyle w:val="TableText"/>
              <w:rPr>
                <w:color w:val="000000"/>
                <w:szCs w:val="18"/>
              </w:rPr>
            </w:pPr>
            <w:r w:rsidRPr="001C29FC">
              <w:rPr>
                <w:color w:val="000000"/>
                <w:szCs w:val="18"/>
              </w:rPr>
              <w:lastRenderedPageBreak/>
              <w:t>M</w:t>
            </w:r>
          </w:p>
        </w:tc>
        <w:tc>
          <w:tcPr>
            <w:tcW w:w="4482" w:type="dxa"/>
            <w:shd w:val="clear" w:color="auto" w:fill="auto"/>
          </w:tcPr>
          <w:p w14:paraId="3AFFFCFF" w14:textId="77777777" w:rsidR="00D32A05" w:rsidRPr="001C29FC" w:rsidRDefault="00D32A05" w:rsidP="00D32A05">
            <w:pPr>
              <w:pStyle w:val="TableText"/>
              <w:rPr>
                <w:szCs w:val="18"/>
              </w:rPr>
            </w:pPr>
            <w:r w:rsidRPr="001C29FC">
              <w:rPr>
                <w:szCs w:val="18"/>
              </w:rPr>
              <w:t>Accrue workload when a</w:t>
            </w:r>
            <w:r w:rsidRPr="001C29FC">
              <w:rPr>
                <w:color w:val="000000"/>
                <w:szCs w:val="18"/>
              </w:rPr>
              <w:t xml:space="preserve"> reflex or repeat DAT test is performed, completed, and saved. This applies to all repeat antiglobulin tests (PS, IgG, Comp).</w:t>
            </w:r>
          </w:p>
        </w:tc>
      </w:tr>
      <w:tr w:rsidR="00D32A05" w:rsidRPr="001C29FC" w14:paraId="13B1131C" w14:textId="77777777" w:rsidTr="00D32A05">
        <w:trPr>
          <w:cantSplit/>
          <w:tblHeader/>
        </w:trPr>
        <w:tc>
          <w:tcPr>
            <w:tcW w:w="1803" w:type="dxa"/>
            <w:shd w:val="clear" w:color="auto" w:fill="auto"/>
            <w:vAlign w:val="bottom"/>
          </w:tcPr>
          <w:p w14:paraId="63431AF1" w14:textId="77777777" w:rsidR="00D32A05" w:rsidRPr="001C29FC" w:rsidRDefault="00D32A05" w:rsidP="00D32A05">
            <w:pPr>
              <w:pStyle w:val="TableText"/>
            </w:pPr>
            <w:r w:rsidRPr="001C29FC">
              <w:lastRenderedPageBreak/>
              <w:t>Invalidate Patient Test Results*</w:t>
            </w:r>
          </w:p>
        </w:tc>
        <w:tc>
          <w:tcPr>
            <w:tcW w:w="1442" w:type="dxa"/>
            <w:vMerge/>
            <w:shd w:val="clear" w:color="auto" w:fill="auto"/>
          </w:tcPr>
          <w:p w14:paraId="206D7861" w14:textId="77777777" w:rsidR="00D32A05" w:rsidRPr="001C29FC" w:rsidRDefault="00D32A05" w:rsidP="00D32A05">
            <w:pPr>
              <w:pStyle w:val="TableText"/>
              <w:rPr>
                <w:color w:val="000000"/>
                <w:szCs w:val="18"/>
              </w:rPr>
            </w:pPr>
          </w:p>
        </w:tc>
        <w:tc>
          <w:tcPr>
            <w:tcW w:w="1633" w:type="dxa"/>
            <w:shd w:val="clear" w:color="auto" w:fill="auto"/>
          </w:tcPr>
          <w:p w14:paraId="22AFD923" w14:textId="77777777" w:rsidR="00D32A05" w:rsidRPr="001C29FC" w:rsidRDefault="00D32A05" w:rsidP="00D32A05">
            <w:pPr>
              <w:pStyle w:val="TableText"/>
              <w:rPr>
                <w:color w:val="000000"/>
                <w:szCs w:val="18"/>
              </w:rPr>
            </w:pPr>
            <w:r w:rsidRPr="001C29FC">
              <w:rPr>
                <w:color w:val="000000"/>
                <w:szCs w:val="18"/>
              </w:rPr>
              <w:t>M</w:t>
            </w:r>
          </w:p>
        </w:tc>
        <w:tc>
          <w:tcPr>
            <w:tcW w:w="4482" w:type="dxa"/>
            <w:shd w:val="clear" w:color="auto" w:fill="auto"/>
          </w:tcPr>
          <w:p w14:paraId="4F29DA85" w14:textId="77777777" w:rsidR="00D32A05" w:rsidRPr="001C29FC" w:rsidRDefault="00D32A05" w:rsidP="00D32A05">
            <w:pPr>
              <w:pStyle w:val="TableText"/>
              <w:rPr>
                <w:szCs w:val="18"/>
              </w:rPr>
            </w:pPr>
            <w:r w:rsidRPr="001C29FC">
              <w:rPr>
                <w:szCs w:val="18"/>
              </w:rPr>
              <w:t>Accrue workload when a completed Repeat DAT, PS, IgG, or Comp is invalidated.</w:t>
            </w:r>
          </w:p>
        </w:tc>
      </w:tr>
      <w:tr w:rsidR="00D32A05" w:rsidRPr="001C29FC" w14:paraId="6C1DF3E1" w14:textId="77777777" w:rsidTr="00D32A05">
        <w:trPr>
          <w:cantSplit/>
          <w:tblHeader/>
        </w:trPr>
        <w:tc>
          <w:tcPr>
            <w:tcW w:w="1803" w:type="dxa"/>
            <w:shd w:val="clear" w:color="auto" w:fill="auto"/>
            <w:vAlign w:val="bottom"/>
          </w:tcPr>
          <w:p w14:paraId="0B36D724" w14:textId="77777777" w:rsidR="00D32A05" w:rsidRPr="001C29FC" w:rsidRDefault="00D32A05" w:rsidP="00D32A05">
            <w:pPr>
              <w:pStyle w:val="TableText"/>
            </w:pPr>
            <w:r w:rsidRPr="001C29FC">
              <w:t>Modify Units</w:t>
            </w:r>
          </w:p>
        </w:tc>
        <w:tc>
          <w:tcPr>
            <w:tcW w:w="1442" w:type="dxa"/>
            <w:vMerge w:val="restart"/>
            <w:shd w:val="clear" w:color="auto" w:fill="auto"/>
          </w:tcPr>
          <w:p w14:paraId="51E83BDF" w14:textId="77777777" w:rsidR="00D32A05" w:rsidRPr="001C29FC" w:rsidRDefault="00D32A05" w:rsidP="00D32A05">
            <w:pPr>
              <w:pStyle w:val="TableText"/>
              <w:rPr>
                <w:color w:val="000000"/>
                <w:szCs w:val="18"/>
              </w:rPr>
            </w:pPr>
            <w:r w:rsidRPr="001C29FC">
              <w:rPr>
                <w:color w:val="000000"/>
                <w:szCs w:val="18"/>
              </w:rPr>
              <w:t>Deglycerolize unit</w:t>
            </w:r>
          </w:p>
        </w:tc>
        <w:tc>
          <w:tcPr>
            <w:tcW w:w="1633" w:type="dxa"/>
            <w:shd w:val="clear" w:color="auto" w:fill="auto"/>
          </w:tcPr>
          <w:p w14:paraId="554DB1E7"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20AEC73B" w14:textId="77777777" w:rsidR="00D32A05" w:rsidRPr="001C29FC" w:rsidRDefault="00D32A05" w:rsidP="00D32A05">
            <w:pPr>
              <w:pStyle w:val="TableText"/>
              <w:rPr>
                <w:szCs w:val="18"/>
              </w:rPr>
            </w:pPr>
            <w:r w:rsidRPr="001C29FC">
              <w:rPr>
                <w:szCs w:val="18"/>
              </w:rPr>
              <w:t>Accrue workload when an</w:t>
            </w:r>
            <w:r w:rsidRPr="001C29FC">
              <w:rPr>
                <w:color w:val="000000"/>
                <w:szCs w:val="18"/>
              </w:rPr>
              <w:t xml:space="preserve"> individual blood unit is processed by the Deglycerolize modification type. Note: Workload is not accrued when a patient assignment is processed and VBECS releases all other patient assignments. Workload is not accrued when VBECS is required to quarantine the unit.</w:t>
            </w:r>
          </w:p>
        </w:tc>
      </w:tr>
      <w:tr w:rsidR="00D32A05" w:rsidRPr="001C29FC" w14:paraId="11D144B2" w14:textId="77777777" w:rsidTr="00D32A05">
        <w:trPr>
          <w:cantSplit/>
          <w:tblHeader/>
        </w:trPr>
        <w:tc>
          <w:tcPr>
            <w:tcW w:w="1803" w:type="dxa"/>
            <w:shd w:val="clear" w:color="auto" w:fill="auto"/>
            <w:vAlign w:val="bottom"/>
          </w:tcPr>
          <w:p w14:paraId="5421E996" w14:textId="77777777" w:rsidR="00D32A05" w:rsidRPr="001C29FC" w:rsidRDefault="00D32A05" w:rsidP="00D32A05">
            <w:pPr>
              <w:pStyle w:val="TableText"/>
            </w:pPr>
            <w:r w:rsidRPr="001C29FC">
              <w:t>Remove Final Status*</w:t>
            </w:r>
          </w:p>
        </w:tc>
        <w:tc>
          <w:tcPr>
            <w:tcW w:w="1442" w:type="dxa"/>
            <w:vMerge/>
            <w:shd w:val="clear" w:color="auto" w:fill="auto"/>
          </w:tcPr>
          <w:p w14:paraId="340AFA3B" w14:textId="77777777" w:rsidR="00D32A05" w:rsidRPr="001C29FC" w:rsidRDefault="00D32A05" w:rsidP="00D32A05">
            <w:pPr>
              <w:pStyle w:val="TableText"/>
              <w:rPr>
                <w:color w:val="000000"/>
                <w:szCs w:val="18"/>
              </w:rPr>
            </w:pPr>
          </w:p>
        </w:tc>
        <w:tc>
          <w:tcPr>
            <w:tcW w:w="1633" w:type="dxa"/>
            <w:shd w:val="clear" w:color="auto" w:fill="auto"/>
          </w:tcPr>
          <w:p w14:paraId="242E8200"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273E084D" w14:textId="77777777" w:rsidR="00D32A05" w:rsidRPr="001C29FC" w:rsidRDefault="00D32A05" w:rsidP="00D32A05">
            <w:pPr>
              <w:pStyle w:val="TableText"/>
              <w:rPr>
                <w:color w:val="000000"/>
                <w:szCs w:val="18"/>
              </w:rPr>
            </w:pPr>
            <w:r w:rsidRPr="001C29FC">
              <w:rPr>
                <w:color w:val="000000"/>
                <w:szCs w:val="18"/>
              </w:rPr>
              <w:t>An individual blood unit’s status is invalidated when the original modification process was “Deglycerolize.”</w:t>
            </w:r>
          </w:p>
        </w:tc>
      </w:tr>
      <w:tr w:rsidR="00D32A05" w:rsidRPr="001C29FC" w14:paraId="09391075" w14:textId="77777777" w:rsidTr="00D32A05">
        <w:trPr>
          <w:cantSplit/>
          <w:tblHeader/>
        </w:trPr>
        <w:tc>
          <w:tcPr>
            <w:tcW w:w="1803" w:type="dxa"/>
            <w:shd w:val="clear" w:color="auto" w:fill="auto"/>
          </w:tcPr>
          <w:p w14:paraId="24452886" w14:textId="77777777" w:rsidR="00D32A05" w:rsidRPr="001C29FC" w:rsidRDefault="00D32A05" w:rsidP="00D32A05">
            <w:pPr>
              <w:pStyle w:val="TableText"/>
              <w:rPr>
                <w:color w:val="000000"/>
                <w:szCs w:val="18"/>
              </w:rPr>
            </w:pPr>
            <w:r w:rsidRPr="001C29FC">
              <w:rPr>
                <w:color w:val="000000"/>
                <w:szCs w:val="18"/>
              </w:rPr>
              <w:t>Discard or Quarantine Unit</w:t>
            </w:r>
          </w:p>
        </w:tc>
        <w:tc>
          <w:tcPr>
            <w:tcW w:w="1442" w:type="dxa"/>
            <w:vMerge w:val="restart"/>
            <w:shd w:val="clear" w:color="auto" w:fill="auto"/>
          </w:tcPr>
          <w:p w14:paraId="0C305794" w14:textId="77777777" w:rsidR="00D32A05" w:rsidRPr="001C29FC" w:rsidRDefault="00D32A05" w:rsidP="00D32A05">
            <w:pPr>
              <w:pStyle w:val="TableText"/>
              <w:rPr>
                <w:color w:val="000000"/>
                <w:szCs w:val="18"/>
              </w:rPr>
            </w:pPr>
            <w:r w:rsidRPr="001C29FC">
              <w:rPr>
                <w:color w:val="000000"/>
                <w:szCs w:val="18"/>
              </w:rPr>
              <w:t>Discard unit</w:t>
            </w:r>
          </w:p>
        </w:tc>
        <w:tc>
          <w:tcPr>
            <w:tcW w:w="1633" w:type="dxa"/>
            <w:shd w:val="clear" w:color="auto" w:fill="auto"/>
          </w:tcPr>
          <w:p w14:paraId="359C7367"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4E03F775" w14:textId="77777777" w:rsidR="00D32A05" w:rsidRPr="001C29FC" w:rsidRDefault="00770D73" w:rsidP="00D32A05">
            <w:pPr>
              <w:pStyle w:val="TableText"/>
              <w:rPr>
                <w:szCs w:val="18"/>
              </w:rPr>
            </w:pPr>
            <w:r w:rsidRPr="001C29FC">
              <w:rPr>
                <w:szCs w:val="18"/>
              </w:rPr>
              <w:t>Accrue workload when a</w:t>
            </w:r>
            <w:r w:rsidRPr="001C29FC">
              <w:rPr>
                <w:color w:val="000000"/>
                <w:szCs w:val="18"/>
              </w:rPr>
              <w:t xml:space="preserve"> unit is discarded for waste or credit. When a batch of units is selected, each unit accrues workload.</w:t>
            </w:r>
          </w:p>
        </w:tc>
      </w:tr>
      <w:tr w:rsidR="00D32A05" w:rsidRPr="001C29FC" w14:paraId="6C2A3574" w14:textId="77777777" w:rsidTr="00D32A05">
        <w:trPr>
          <w:cantSplit/>
          <w:tblHeader/>
        </w:trPr>
        <w:tc>
          <w:tcPr>
            <w:tcW w:w="1803" w:type="dxa"/>
            <w:shd w:val="clear" w:color="auto" w:fill="auto"/>
            <w:vAlign w:val="bottom"/>
          </w:tcPr>
          <w:p w14:paraId="6D3920E2" w14:textId="77777777" w:rsidR="00D32A05" w:rsidRPr="001C29FC" w:rsidRDefault="00D32A05" w:rsidP="00D32A05">
            <w:pPr>
              <w:pStyle w:val="TableText"/>
            </w:pPr>
            <w:r w:rsidRPr="001C29FC">
              <w:t>Remove Final Status*</w:t>
            </w:r>
          </w:p>
        </w:tc>
        <w:tc>
          <w:tcPr>
            <w:tcW w:w="1442" w:type="dxa"/>
            <w:vMerge/>
            <w:shd w:val="clear" w:color="auto" w:fill="auto"/>
          </w:tcPr>
          <w:p w14:paraId="43AF69C6" w14:textId="77777777" w:rsidR="00D32A05" w:rsidRPr="001C29FC" w:rsidRDefault="00D32A05" w:rsidP="00D32A05">
            <w:pPr>
              <w:pStyle w:val="TableText"/>
              <w:rPr>
                <w:color w:val="000000"/>
                <w:szCs w:val="18"/>
              </w:rPr>
            </w:pPr>
          </w:p>
        </w:tc>
        <w:tc>
          <w:tcPr>
            <w:tcW w:w="1633" w:type="dxa"/>
            <w:shd w:val="clear" w:color="auto" w:fill="auto"/>
          </w:tcPr>
          <w:p w14:paraId="3B79AB85"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45B5D7F2" w14:textId="77777777" w:rsidR="00D32A05" w:rsidRPr="001C29FC" w:rsidRDefault="00D32A05" w:rsidP="00D32A05">
            <w:pPr>
              <w:pStyle w:val="TableText"/>
              <w:rPr>
                <w:szCs w:val="18"/>
              </w:rPr>
            </w:pPr>
            <w:r w:rsidRPr="001C29FC">
              <w:rPr>
                <w:szCs w:val="18"/>
              </w:rPr>
              <w:t>Accrue workload when a</w:t>
            </w:r>
            <w:r w:rsidR="00770D73">
              <w:rPr>
                <w:color w:val="000000"/>
                <w:szCs w:val="18"/>
              </w:rPr>
              <w:t>n individual blood unit’s status is invalidated. When a batch of units is selected, each unit accrues workload.</w:t>
            </w:r>
          </w:p>
        </w:tc>
      </w:tr>
      <w:tr w:rsidR="00D32A05" w:rsidRPr="001C29FC" w14:paraId="2B535C34" w14:textId="77777777" w:rsidTr="00D32A05">
        <w:trPr>
          <w:cantSplit/>
          <w:tblHeader/>
        </w:trPr>
        <w:tc>
          <w:tcPr>
            <w:tcW w:w="1803" w:type="dxa"/>
            <w:shd w:val="clear" w:color="auto" w:fill="auto"/>
            <w:vAlign w:val="bottom"/>
          </w:tcPr>
          <w:p w14:paraId="2A519B7A" w14:textId="77777777" w:rsidR="00D32A05" w:rsidRPr="001C29FC" w:rsidRDefault="00D32A05" w:rsidP="00D32A05">
            <w:pPr>
              <w:pStyle w:val="TableText"/>
            </w:pPr>
            <w:r w:rsidRPr="001C29FC">
              <w:t>Modify Units</w:t>
            </w:r>
          </w:p>
        </w:tc>
        <w:tc>
          <w:tcPr>
            <w:tcW w:w="1442" w:type="dxa"/>
            <w:vMerge w:val="restart"/>
            <w:shd w:val="clear" w:color="auto" w:fill="auto"/>
          </w:tcPr>
          <w:p w14:paraId="17C6665F" w14:textId="77777777" w:rsidR="00D32A05" w:rsidRPr="001C29FC" w:rsidRDefault="00D32A05" w:rsidP="00D32A05">
            <w:pPr>
              <w:pStyle w:val="TableText"/>
              <w:rPr>
                <w:color w:val="000000"/>
                <w:szCs w:val="18"/>
              </w:rPr>
            </w:pPr>
            <w:r w:rsidRPr="001C29FC">
              <w:rPr>
                <w:color w:val="000000"/>
                <w:szCs w:val="18"/>
              </w:rPr>
              <w:t>Freeze unit</w:t>
            </w:r>
          </w:p>
        </w:tc>
        <w:tc>
          <w:tcPr>
            <w:tcW w:w="1633" w:type="dxa"/>
            <w:shd w:val="clear" w:color="auto" w:fill="auto"/>
          </w:tcPr>
          <w:p w14:paraId="31521631"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352A1AD0" w14:textId="77777777" w:rsidR="00D32A05" w:rsidRPr="001C29FC" w:rsidRDefault="00D32A05" w:rsidP="00D32A05">
            <w:pPr>
              <w:pStyle w:val="TableText"/>
              <w:rPr>
                <w:szCs w:val="18"/>
              </w:rPr>
            </w:pPr>
            <w:r w:rsidRPr="001C29FC">
              <w:rPr>
                <w:szCs w:val="18"/>
              </w:rPr>
              <w:t>Accrue workload when an</w:t>
            </w:r>
            <w:r w:rsidRPr="001C29FC">
              <w:rPr>
                <w:color w:val="000000"/>
                <w:szCs w:val="18"/>
              </w:rPr>
              <w:t xml:space="preserve"> individual blood unit is processed by the Freeze modification type. Note: Workload is not accrued when a patient assignment is processed and VBECS releases all other patient assignments. Workload is not accrued when VBECS is required to quarantine the unit.</w:t>
            </w:r>
          </w:p>
        </w:tc>
      </w:tr>
      <w:tr w:rsidR="00D32A05" w:rsidRPr="001C29FC" w14:paraId="6B524452" w14:textId="77777777" w:rsidTr="00D32A05">
        <w:trPr>
          <w:cantSplit/>
          <w:tblHeader/>
        </w:trPr>
        <w:tc>
          <w:tcPr>
            <w:tcW w:w="1803" w:type="dxa"/>
            <w:shd w:val="clear" w:color="auto" w:fill="auto"/>
            <w:vAlign w:val="bottom"/>
          </w:tcPr>
          <w:p w14:paraId="38050B09" w14:textId="77777777" w:rsidR="00D32A05" w:rsidRPr="001C29FC" w:rsidRDefault="00D32A05" w:rsidP="00D32A05">
            <w:pPr>
              <w:pStyle w:val="TableText"/>
            </w:pPr>
            <w:r w:rsidRPr="001C29FC">
              <w:t>Remove Final Status*</w:t>
            </w:r>
          </w:p>
        </w:tc>
        <w:tc>
          <w:tcPr>
            <w:tcW w:w="1442" w:type="dxa"/>
            <w:vMerge/>
            <w:shd w:val="clear" w:color="auto" w:fill="auto"/>
          </w:tcPr>
          <w:p w14:paraId="3485316F" w14:textId="77777777" w:rsidR="00D32A05" w:rsidRPr="001C29FC" w:rsidRDefault="00D32A05" w:rsidP="00D32A05">
            <w:pPr>
              <w:pStyle w:val="TableText"/>
              <w:rPr>
                <w:color w:val="000000"/>
                <w:szCs w:val="18"/>
              </w:rPr>
            </w:pPr>
          </w:p>
        </w:tc>
        <w:tc>
          <w:tcPr>
            <w:tcW w:w="1633" w:type="dxa"/>
            <w:shd w:val="clear" w:color="auto" w:fill="auto"/>
          </w:tcPr>
          <w:p w14:paraId="74C64F01"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76D1D7D7" w14:textId="77777777" w:rsidR="00D32A05" w:rsidRPr="001C29FC" w:rsidRDefault="00D32A05" w:rsidP="00D32A05">
            <w:pPr>
              <w:pStyle w:val="TableText"/>
              <w:rPr>
                <w:color w:val="000000"/>
                <w:szCs w:val="18"/>
              </w:rPr>
            </w:pPr>
            <w:r w:rsidRPr="001C29FC">
              <w:rPr>
                <w:color w:val="000000"/>
                <w:szCs w:val="18"/>
              </w:rPr>
              <w:t>An individual blood unit’s status is invalidated when the original modification process was “Freeze.”</w:t>
            </w:r>
          </w:p>
        </w:tc>
      </w:tr>
      <w:tr w:rsidR="00D32A05" w:rsidRPr="001C29FC" w14:paraId="5681BB3D" w14:textId="77777777" w:rsidTr="00D32A05">
        <w:trPr>
          <w:cantSplit/>
          <w:tblHeader/>
        </w:trPr>
        <w:tc>
          <w:tcPr>
            <w:tcW w:w="1803" w:type="dxa"/>
            <w:shd w:val="clear" w:color="auto" w:fill="auto"/>
            <w:vAlign w:val="bottom"/>
          </w:tcPr>
          <w:p w14:paraId="4E13E950" w14:textId="77777777" w:rsidR="00D32A05" w:rsidRPr="001C29FC" w:rsidRDefault="00D32A05" w:rsidP="00D32A05">
            <w:pPr>
              <w:pStyle w:val="TableText"/>
            </w:pPr>
            <w:r w:rsidRPr="001C29FC">
              <w:t>Modify Units</w:t>
            </w:r>
          </w:p>
        </w:tc>
        <w:tc>
          <w:tcPr>
            <w:tcW w:w="1442" w:type="dxa"/>
            <w:vMerge w:val="restart"/>
            <w:shd w:val="clear" w:color="auto" w:fill="auto"/>
          </w:tcPr>
          <w:p w14:paraId="6CEA6EB6" w14:textId="77777777" w:rsidR="00D32A05" w:rsidRPr="001C29FC" w:rsidRDefault="00D32A05" w:rsidP="00D32A05">
            <w:pPr>
              <w:pStyle w:val="TableText"/>
              <w:rPr>
                <w:color w:val="000000"/>
                <w:szCs w:val="18"/>
              </w:rPr>
            </w:pPr>
            <w:r w:rsidRPr="001C29FC">
              <w:rPr>
                <w:color w:val="000000"/>
                <w:szCs w:val="18"/>
              </w:rPr>
              <w:t>Irradiate unit</w:t>
            </w:r>
          </w:p>
        </w:tc>
        <w:tc>
          <w:tcPr>
            <w:tcW w:w="1633" w:type="dxa"/>
            <w:shd w:val="clear" w:color="auto" w:fill="auto"/>
          </w:tcPr>
          <w:p w14:paraId="78A63559"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1B5993A4" w14:textId="77777777" w:rsidR="00D32A05" w:rsidRPr="001C29FC" w:rsidRDefault="00D32A05" w:rsidP="00D32A05">
            <w:pPr>
              <w:pStyle w:val="TableText"/>
              <w:rPr>
                <w:szCs w:val="18"/>
              </w:rPr>
            </w:pPr>
            <w:r w:rsidRPr="001C29FC">
              <w:rPr>
                <w:szCs w:val="18"/>
              </w:rPr>
              <w:t>Accrue workload when an</w:t>
            </w:r>
            <w:r w:rsidRPr="001C29FC">
              <w:rPr>
                <w:color w:val="000000"/>
                <w:szCs w:val="18"/>
              </w:rPr>
              <w:t xml:space="preserve"> individual blood unit is processed by the Irradiate modification type. When a batch of units is irradiated, each unit accrues workload. Note: Workload is not accrued when a patient assignment is processed and VBECS releases all other patient assignments. Workload is not accrued when VBECS is required to quarantine the unit.</w:t>
            </w:r>
          </w:p>
        </w:tc>
      </w:tr>
      <w:tr w:rsidR="00D32A05" w:rsidRPr="001C29FC" w14:paraId="510E5F80" w14:textId="77777777" w:rsidTr="00D32A05">
        <w:trPr>
          <w:cantSplit/>
          <w:tblHeader/>
        </w:trPr>
        <w:tc>
          <w:tcPr>
            <w:tcW w:w="1803" w:type="dxa"/>
            <w:shd w:val="clear" w:color="auto" w:fill="auto"/>
            <w:vAlign w:val="bottom"/>
          </w:tcPr>
          <w:p w14:paraId="49F909FF" w14:textId="77777777" w:rsidR="00D32A05" w:rsidRPr="001C29FC" w:rsidRDefault="00D32A05" w:rsidP="00D32A05">
            <w:pPr>
              <w:pStyle w:val="TableText"/>
            </w:pPr>
            <w:r w:rsidRPr="001C29FC">
              <w:t>Remove Final Status*</w:t>
            </w:r>
          </w:p>
        </w:tc>
        <w:tc>
          <w:tcPr>
            <w:tcW w:w="1442" w:type="dxa"/>
            <w:vMerge/>
            <w:shd w:val="clear" w:color="auto" w:fill="auto"/>
          </w:tcPr>
          <w:p w14:paraId="7201589F" w14:textId="77777777" w:rsidR="00D32A05" w:rsidRPr="001C29FC" w:rsidRDefault="00D32A05" w:rsidP="00D32A05">
            <w:pPr>
              <w:pStyle w:val="TableText"/>
              <w:rPr>
                <w:color w:val="000000"/>
                <w:szCs w:val="18"/>
              </w:rPr>
            </w:pPr>
          </w:p>
        </w:tc>
        <w:tc>
          <w:tcPr>
            <w:tcW w:w="1633" w:type="dxa"/>
            <w:shd w:val="clear" w:color="auto" w:fill="auto"/>
          </w:tcPr>
          <w:p w14:paraId="38B1B590"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148F1B13" w14:textId="77777777" w:rsidR="00D32A05" w:rsidRPr="001C29FC" w:rsidRDefault="00D32A05" w:rsidP="00D32A05">
            <w:pPr>
              <w:pStyle w:val="TableText"/>
              <w:rPr>
                <w:color w:val="000000"/>
                <w:szCs w:val="18"/>
              </w:rPr>
            </w:pPr>
            <w:r w:rsidRPr="001C29FC">
              <w:rPr>
                <w:color w:val="000000"/>
                <w:szCs w:val="18"/>
              </w:rPr>
              <w:t>An individual blood unit’s status is invalidated when the original modification process was “Irradiate.”</w:t>
            </w:r>
          </w:p>
        </w:tc>
      </w:tr>
      <w:tr w:rsidR="00D32A05" w:rsidRPr="001C29FC" w14:paraId="3DA829A9" w14:textId="77777777" w:rsidTr="00D32A05">
        <w:trPr>
          <w:cantSplit/>
          <w:tblHeader/>
        </w:trPr>
        <w:tc>
          <w:tcPr>
            <w:tcW w:w="1803" w:type="dxa"/>
            <w:shd w:val="clear" w:color="auto" w:fill="auto"/>
            <w:vAlign w:val="bottom"/>
          </w:tcPr>
          <w:p w14:paraId="2F7282CC" w14:textId="77777777" w:rsidR="00D32A05" w:rsidRPr="001C29FC" w:rsidRDefault="00D32A05" w:rsidP="00D32A05">
            <w:pPr>
              <w:pStyle w:val="TableText"/>
            </w:pPr>
            <w:r w:rsidRPr="001C29FC">
              <w:t>Modify Units</w:t>
            </w:r>
          </w:p>
        </w:tc>
        <w:tc>
          <w:tcPr>
            <w:tcW w:w="1442" w:type="dxa"/>
            <w:vMerge w:val="restart"/>
            <w:shd w:val="clear" w:color="auto" w:fill="auto"/>
          </w:tcPr>
          <w:p w14:paraId="5710A905" w14:textId="77777777" w:rsidR="00D32A05" w:rsidRPr="001C29FC" w:rsidRDefault="00D32A05" w:rsidP="00D32A05">
            <w:pPr>
              <w:pStyle w:val="TableText"/>
              <w:rPr>
                <w:color w:val="000000"/>
                <w:szCs w:val="18"/>
              </w:rPr>
            </w:pPr>
            <w:r w:rsidRPr="001C29FC">
              <w:rPr>
                <w:color w:val="000000"/>
                <w:szCs w:val="18"/>
              </w:rPr>
              <w:t>Leukoreduce unit</w:t>
            </w:r>
          </w:p>
        </w:tc>
        <w:tc>
          <w:tcPr>
            <w:tcW w:w="1633" w:type="dxa"/>
            <w:shd w:val="clear" w:color="auto" w:fill="auto"/>
          </w:tcPr>
          <w:p w14:paraId="353107A6"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34FF352F" w14:textId="77777777" w:rsidR="00D32A05" w:rsidRPr="001C29FC" w:rsidRDefault="00D32A05" w:rsidP="00D32A05">
            <w:pPr>
              <w:pStyle w:val="TableText"/>
              <w:rPr>
                <w:szCs w:val="18"/>
              </w:rPr>
            </w:pPr>
            <w:r w:rsidRPr="001C29FC">
              <w:rPr>
                <w:szCs w:val="18"/>
              </w:rPr>
              <w:t>Accrue workload when an</w:t>
            </w:r>
            <w:r w:rsidRPr="001C29FC">
              <w:rPr>
                <w:color w:val="000000"/>
                <w:szCs w:val="18"/>
              </w:rPr>
              <w:t xml:space="preserve"> individual blood unit is processed by the Leukoreduce modification type.</w:t>
            </w:r>
            <w:r w:rsidRPr="001C29FC">
              <w:rPr>
                <w:color w:val="000000"/>
                <w:szCs w:val="18"/>
              </w:rPr>
              <w:br/>
              <w:t>Note: Workload is not accrued when a patient assignment is processed and VBECS releases all other patient assignments. Workload is not accrued when VBECS is required to quarantine the unit.</w:t>
            </w:r>
          </w:p>
        </w:tc>
      </w:tr>
      <w:tr w:rsidR="00D32A05" w:rsidRPr="001C29FC" w14:paraId="2F2A61DA" w14:textId="77777777" w:rsidTr="00D32A05">
        <w:trPr>
          <w:cantSplit/>
          <w:tblHeader/>
        </w:trPr>
        <w:tc>
          <w:tcPr>
            <w:tcW w:w="1803" w:type="dxa"/>
            <w:shd w:val="clear" w:color="auto" w:fill="auto"/>
            <w:vAlign w:val="bottom"/>
          </w:tcPr>
          <w:p w14:paraId="77530D36" w14:textId="77777777" w:rsidR="00D32A05" w:rsidRPr="001C29FC" w:rsidRDefault="00D32A05" w:rsidP="00D32A05">
            <w:pPr>
              <w:pStyle w:val="TableText"/>
            </w:pPr>
            <w:r w:rsidRPr="001C29FC">
              <w:t>Remove Final Status*</w:t>
            </w:r>
          </w:p>
        </w:tc>
        <w:tc>
          <w:tcPr>
            <w:tcW w:w="1442" w:type="dxa"/>
            <w:vMerge/>
            <w:shd w:val="clear" w:color="auto" w:fill="auto"/>
          </w:tcPr>
          <w:p w14:paraId="482EC222" w14:textId="77777777" w:rsidR="00D32A05" w:rsidRPr="001C29FC" w:rsidRDefault="00D32A05" w:rsidP="00D32A05">
            <w:pPr>
              <w:pStyle w:val="TableText"/>
              <w:rPr>
                <w:color w:val="000000"/>
                <w:szCs w:val="18"/>
              </w:rPr>
            </w:pPr>
          </w:p>
        </w:tc>
        <w:tc>
          <w:tcPr>
            <w:tcW w:w="1633" w:type="dxa"/>
            <w:shd w:val="clear" w:color="auto" w:fill="auto"/>
          </w:tcPr>
          <w:p w14:paraId="44DA7362"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0B895910" w14:textId="77777777" w:rsidR="00D32A05" w:rsidRPr="001C29FC" w:rsidRDefault="00D32A05" w:rsidP="00D32A05">
            <w:pPr>
              <w:pStyle w:val="TableText"/>
              <w:rPr>
                <w:color w:val="000000"/>
                <w:szCs w:val="18"/>
              </w:rPr>
            </w:pPr>
            <w:r w:rsidRPr="001C29FC">
              <w:rPr>
                <w:color w:val="000000"/>
                <w:szCs w:val="18"/>
              </w:rPr>
              <w:t>An individual blood unit’s status is invalidated when the original modification process was “Leukoreduce.”</w:t>
            </w:r>
          </w:p>
        </w:tc>
      </w:tr>
      <w:tr w:rsidR="00D32A05" w:rsidRPr="001C29FC" w14:paraId="7EA4C4C8" w14:textId="77777777" w:rsidTr="00D32A05">
        <w:trPr>
          <w:cantSplit/>
          <w:tblHeader/>
        </w:trPr>
        <w:tc>
          <w:tcPr>
            <w:tcW w:w="1803" w:type="dxa"/>
            <w:shd w:val="clear" w:color="auto" w:fill="auto"/>
            <w:vAlign w:val="bottom"/>
          </w:tcPr>
          <w:p w14:paraId="07F8B407" w14:textId="77777777" w:rsidR="00D32A05" w:rsidRPr="001C29FC" w:rsidRDefault="00D32A05" w:rsidP="00D32A05">
            <w:pPr>
              <w:pStyle w:val="TableText"/>
            </w:pPr>
            <w:r w:rsidRPr="001C29FC">
              <w:t>Split a Unit</w:t>
            </w:r>
          </w:p>
        </w:tc>
        <w:tc>
          <w:tcPr>
            <w:tcW w:w="1442" w:type="dxa"/>
            <w:vMerge w:val="restart"/>
            <w:shd w:val="clear" w:color="auto" w:fill="auto"/>
          </w:tcPr>
          <w:p w14:paraId="6B1F1D1F" w14:textId="77777777" w:rsidR="00D32A05" w:rsidRPr="001C29FC" w:rsidRDefault="00D32A05" w:rsidP="00D32A05">
            <w:pPr>
              <w:pStyle w:val="TableText"/>
              <w:rPr>
                <w:color w:val="000000"/>
                <w:szCs w:val="18"/>
              </w:rPr>
            </w:pPr>
            <w:r w:rsidRPr="001C29FC">
              <w:rPr>
                <w:color w:val="000000"/>
                <w:szCs w:val="18"/>
              </w:rPr>
              <w:t>Split unit</w:t>
            </w:r>
          </w:p>
        </w:tc>
        <w:tc>
          <w:tcPr>
            <w:tcW w:w="1633" w:type="dxa"/>
            <w:shd w:val="clear" w:color="auto" w:fill="auto"/>
          </w:tcPr>
          <w:p w14:paraId="23AD3163"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464C7802" w14:textId="77777777" w:rsidR="00D32A05" w:rsidRPr="001C29FC" w:rsidRDefault="00D32A05" w:rsidP="00D32A05">
            <w:pPr>
              <w:pStyle w:val="TableText"/>
              <w:rPr>
                <w:szCs w:val="18"/>
              </w:rPr>
            </w:pPr>
            <w:r w:rsidRPr="001C29FC">
              <w:rPr>
                <w:szCs w:val="18"/>
              </w:rPr>
              <w:t xml:space="preserve">Accrue workload when a </w:t>
            </w:r>
            <w:r w:rsidRPr="001C29FC">
              <w:rPr>
                <w:color w:val="000000"/>
                <w:szCs w:val="18"/>
              </w:rPr>
              <w:t>unit modification of Split and a single workload event is recorded regardless of the number of units created by the modification.</w:t>
            </w:r>
            <w:r w:rsidRPr="001C29FC">
              <w:rPr>
                <w:i/>
                <w:iCs/>
                <w:color w:val="000000"/>
                <w:szCs w:val="18"/>
              </w:rPr>
              <w:t xml:space="preserve"> </w:t>
            </w:r>
            <w:r w:rsidRPr="001C29FC">
              <w:rPr>
                <w:iCs/>
                <w:color w:val="000000"/>
                <w:szCs w:val="18"/>
              </w:rPr>
              <w:t xml:space="preserve">Note: Workload is not accrued when a patient assignment is processed and VBECS releases all other patient assignments. Workload is not accrued when VBECS is required to quarantine the unit. </w:t>
            </w:r>
          </w:p>
        </w:tc>
      </w:tr>
      <w:tr w:rsidR="00D32A05" w:rsidRPr="001C29FC" w14:paraId="6BD4DEC1" w14:textId="77777777" w:rsidTr="00D32A05">
        <w:trPr>
          <w:cantSplit/>
          <w:tblHeader/>
        </w:trPr>
        <w:tc>
          <w:tcPr>
            <w:tcW w:w="1803" w:type="dxa"/>
            <w:shd w:val="clear" w:color="auto" w:fill="auto"/>
            <w:vAlign w:val="bottom"/>
          </w:tcPr>
          <w:p w14:paraId="121E279E" w14:textId="77777777" w:rsidR="00D32A05" w:rsidRPr="001C29FC" w:rsidRDefault="00D32A05" w:rsidP="00D32A05">
            <w:pPr>
              <w:pStyle w:val="TableText"/>
            </w:pPr>
            <w:r w:rsidRPr="001C29FC">
              <w:t>Remove Final Status*</w:t>
            </w:r>
          </w:p>
        </w:tc>
        <w:tc>
          <w:tcPr>
            <w:tcW w:w="1442" w:type="dxa"/>
            <w:vMerge/>
            <w:shd w:val="clear" w:color="auto" w:fill="auto"/>
          </w:tcPr>
          <w:p w14:paraId="29E28EB9" w14:textId="77777777" w:rsidR="00D32A05" w:rsidRPr="001C29FC" w:rsidRDefault="00D32A05" w:rsidP="00D32A05">
            <w:pPr>
              <w:pStyle w:val="TableText"/>
              <w:rPr>
                <w:color w:val="000000"/>
                <w:szCs w:val="18"/>
              </w:rPr>
            </w:pPr>
          </w:p>
        </w:tc>
        <w:tc>
          <w:tcPr>
            <w:tcW w:w="1633" w:type="dxa"/>
            <w:shd w:val="clear" w:color="auto" w:fill="auto"/>
          </w:tcPr>
          <w:p w14:paraId="738A1D21"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148C7799" w14:textId="77777777" w:rsidR="00D32A05" w:rsidRPr="001C29FC" w:rsidRDefault="00D32A05" w:rsidP="00D32A05">
            <w:pPr>
              <w:pStyle w:val="TableText"/>
              <w:rPr>
                <w:color w:val="000000"/>
                <w:szCs w:val="18"/>
              </w:rPr>
            </w:pPr>
            <w:r w:rsidRPr="001C29FC">
              <w:rPr>
                <w:color w:val="000000"/>
                <w:szCs w:val="18"/>
              </w:rPr>
              <w:t>A Split Unit has its unit status invalidated. A single workload event is recorded regardless of the number of units originally created by the modification.</w:t>
            </w:r>
          </w:p>
        </w:tc>
      </w:tr>
      <w:tr w:rsidR="00D32A05" w:rsidRPr="001C29FC" w14:paraId="1932BBEE" w14:textId="77777777" w:rsidTr="00D32A05">
        <w:trPr>
          <w:cantSplit/>
          <w:tblHeader/>
        </w:trPr>
        <w:tc>
          <w:tcPr>
            <w:tcW w:w="1803" w:type="dxa"/>
            <w:shd w:val="clear" w:color="auto" w:fill="auto"/>
            <w:vAlign w:val="bottom"/>
          </w:tcPr>
          <w:p w14:paraId="60727877" w14:textId="77777777" w:rsidR="00D32A05" w:rsidRPr="001C29FC" w:rsidRDefault="00D32A05" w:rsidP="00D32A05">
            <w:pPr>
              <w:pStyle w:val="TableText"/>
            </w:pPr>
            <w:r w:rsidRPr="001C29FC">
              <w:lastRenderedPageBreak/>
              <w:t>Modify Units</w:t>
            </w:r>
          </w:p>
        </w:tc>
        <w:tc>
          <w:tcPr>
            <w:tcW w:w="1442" w:type="dxa"/>
            <w:vMerge w:val="restart"/>
            <w:shd w:val="clear" w:color="auto" w:fill="auto"/>
          </w:tcPr>
          <w:p w14:paraId="22844BDE" w14:textId="77777777" w:rsidR="00D32A05" w:rsidRPr="001C29FC" w:rsidRDefault="00D32A05" w:rsidP="00D32A05">
            <w:pPr>
              <w:pStyle w:val="TableText"/>
              <w:rPr>
                <w:color w:val="000000"/>
                <w:szCs w:val="18"/>
              </w:rPr>
            </w:pPr>
            <w:r w:rsidRPr="001C29FC">
              <w:rPr>
                <w:color w:val="000000"/>
                <w:szCs w:val="18"/>
              </w:rPr>
              <w:t>Rejuvenate unit</w:t>
            </w:r>
          </w:p>
        </w:tc>
        <w:tc>
          <w:tcPr>
            <w:tcW w:w="1633" w:type="dxa"/>
            <w:shd w:val="clear" w:color="auto" w:fill="auto"/>
          </w:tcPr>
          <w:p w14:paraId="485F46EF"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0A311D03" w14:textId="77777777" w:rsidR="00D32A05" w:rsidRPr="001C29FC" w:rsidRDefault="00D32A05" w:rsidP="00D32A05">
            <w:pPr>
              <w:pStyle w:val="TableText"/>
              <w:rPr>
                <w:szCs w:val="18"/>
              </w:rPr>
            </w:pPr>
            <w:r w:rsidRPr="001C29FC">
              <w:rPr>
                <w:szCs w:val="18"/>
              </w:rPr>
              <w:t>Accrue workload when an</w:t>
            </w:r>
            <w:r w:rsidRPr="001C29FC">
              <w:rPr>
                <w:color w:val="000000"/>
                <w:szCs w:val="18"/>
              </w:rPr>
              <w:t xml:space="preserve"> individual blood unit is processed by the Rejuvenate modification type. </w:t>
            </w:r>
            <w:r w:rsidRPr="001C29FC">
              <w:rPr>
                <w:color w:val="000000"/>
                <w:szCs w:val="18"/>
              </w:rPr>
              <w:br/>
              <w:t>Note: Workload is not accrued when a patient assignment is processed and VBECS releases all other patient assignments. Workload is not accrued when VBECS is required to quarantine the unit.</w:t>
            </w:r>
          </w:p>
        </w:tc>
      </w:tr>
      <w:tr w:rsidR="00D32A05" w:rsidRPr="001C29FC" w14:paraId="39B0F9AD" w14:textId="77777777" w:rsidTr="00D32A05">
        <w:trPr>
          <w:cantSplit/>
          <w:tblHeader/>
        </w:trPr>
        <w:tc>
          <w:tcPr>
            <w:tcW w:w="1803" w:type="dxa"/>
            <w:shd w:val="clear" w:color="auto" w:fill="auto"/>
            <w:vAlign w:val="bottom"/>
          </w:tcPr>
          <w:p w14:paraId="4A606A02" w14:textId="77777777" w:rsidR="00D32A05" w:rsidRPr="001C29FC" w:rsidRDefault="00D32A05" w:rsidP="00D32A05">
            <w:pPr>
              <w:pStyle w:val="TableText"/>
            </w:pPr>
            <w:r w:rsidRPr="001C29FC">
              <w:t>Remove Final Status*</w:t>
            </w:r>
          </w:p>
        </w:tc>
        <w:tc>
          <w:tcPr>
            <w:tcW w:w="1442" w:type="dxa"/>
            <w:vMerge/>
            <w:shd w:val="clear" w:color="auto" w:fill="auto"/>
          </w:tcPr>
          <w:p w14:paraId="6FCFB2AE" w14:textId="77777777" w:rsidR="00D32A05" w:rsidRPr="001C29FC" w:rsidRDefault="00D32A05" w:rsidP="00D32A05">
            <w:pPr>
              <w:pStyle w:val="TableText"/>
              <w:rPr>
                <w:color w:val="000000"/>
                <w:szCs w:val="18"/>
              </w:rPr>
            </w:pPr>
          </w:p>
        </w:tc>
        <w:tc>
          <w:tcPr>
            <w:tcW w:w="1633" w:type="dxa"/>
            <w:shd w:val="clear" w:color="auto" w:fill="auto"/>
          </w:tcPr>
          <w:p w14:paraId="0E06A2E4"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2FA3CB0A" w14:textId="77777777" w:rsidR="00D32A05" w:rsidRPr="001C29FC" w:rsidRDefault="00D32A05" w:rsidP="00D32A05">
            <w:pPr>
              <w:pStyle w:val="TableText"/>
              <w:rPr>
                <w:color w:val="000000"/>
                <w:szCs w:val="18"/>
              </w:rPr>
            </w:pPr>
            <w:r w:rsidRPr="001C29FC">
              <w:rPr>
                <w:color w:val="000000"/>
                <w:szCs w:val="18"/>
              </w:rPr>
              <w:t>An individual blood unit’s status is invalidated when the original modification process was “Rejuvenate. “</w:t>
            </w:r>
          </w:p>
        </w:tc>
      </w:tr>
      <w:tr w:rsidR="00D32A05" w:rsidRPr="001C29FC" w14:paraId="735BEE58" w14:textId="77777777" w:rsidTr="00D32A05">
        <w:trPr>
          <w:cantSplit/>
          <w:tblHeader/>
        </w:trPr>
        <w:tc>
          <w:tcPr>
            <w:tcW w:w="1803" w:type="dxa"/>
            <w:shd w:val="clear" w:color="auto" w:fill="auto"/>
            <w:vAlign w:val="bottom"/>
          </w:tcPr>
          <w:p w14:paraId="556740C8" w14:textId="77777777" w:rsidR="00D32A05" w:rsidRPr="001C29FC" w:rsidRDefault="00D32A05" w:rsidP="00D32A05">
            <w:pPr>
              <w:pStyle w:val="TableText"/>
            </w:pPr>
            <w:r w:rsidRPr="001C29FC">
              <w:t>Modify Units</w:t>
            </w:r>
          </w:p>
        </w:tc>
        <w:tc>
          <w:tcPr>
            <w:tcW w:w="1442" w:type="dxa"/>
            <w:vMerge w:val="restart"/>
            <w:shd w:val="clear" w:color="auto" w:fill="auto"/>
          </w:tcPr>
          <w:p w14:paraId="752D17D0" w14:textId="77777777" w:rsidR="00D32A05" w:rsidRPr="001C29FC" w:rsidRDefault="00D32A05" w:rsidP="00D32A05">
            <w:pPr>
              <w:pStyle w:val="TableText"/>
              <w:rPr>
                <w:color w:val="000000"/>
                <w:szCs w:val="18"/>
              </w:rPr>
            </w:pPr>
            <w:r w:rsidRPr="001C29FC">
              <w:rPr>
                <w:color w:val="000000"/>
                <w:szCs w:val="18"/>
              </w:rPr>
              <w:t xml:space="preserve">Thaw </w:t>
            </w:r>
          </w:p>
        </w:tc>
        <w:tc>
          <w:tcPr>
            <w:tcW w:w="1633" w:type="dxa"/>
            <w:shd w:val="clear" w:color="auto" w:fill="auto"/>
          </w:tcPr>
          <w:p w14:paraId="5DF77AA0"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7A2833E6" w14:textId="77777777" w:rsidR="00D32A05" w:rsidRPr="001C29FC" w:rsidRDefault="00D32A05" w:rsidP="00D32A05">
            <w:pPr>
              <w:pStyle w:val="TableText"/>
              <w:rPr>
                <w:szCs w:val="18"/>
              </w:rPr>
            </w:pPr>
            <w:r w:rsidRPr="001C29FC">
              <w:rPr>
                <w:szCs w:val="18"/>
              </w:rPr>
              <w:t>Accrue workload when an</w:t>
            </w:r>
            <w:r w:rsidRPr="001C29FC">
              <w:rPr>
                <w:color w:val="000000"/>
                <w:szCs w:val="18"/>
              </w:rPr>
              <w:t xml:space="preserve"> individual blood unit is processed by the Thaw modification type. When a batch of units is thawed, each unit accrues workload. This applies to Thaw FFP and Thaw Cryo. Note: Workload is not accrued when a patient assignment is processed and VBECS releases all other patient assignments. Workload is not accrued when VBECS is required to quarantine the unit.</w:t>
            </w:r>
          </w:p>
        </w:tc>
      </w:tr>
      <w:tr w:rsidR="00D32A05" w:rsidRPr="001C29FC" w14:paraId="364A5A4D" w14:textId="77777777" w:rsidTr="00D32A05">
        <w:trPr>
          <w:cantSplit/>
          <w:tblHeader/>
        </w:trPr>
        <w:tc>
          <w:tcPr>
            <w:tcW w:w="1803" w:type="dxa"/>
            <w:shd w:val="clear" w:color="auto" w:fill="auto"/>
            <w:vAlign w:val="bottom"/>
          </w:tcPr>
          <w:p w14:paraId="28D3A679" w14:textId="77777777" w:rsidR="00D32A05" w:rsidRPr="001C29FC" w:rsidRDefault="00D32A05" w:rsidP="00D32A05">
            <w:pPr>
              <w:pStyle w:val="TableText"/>
            </w:pPr>
            <w:r w:rsidRPr="001C29FC">
              <w:t>Remove Final Status*</w:t>
            </w:r>
          </w:p>
        </w:tc>
        <w:tc>
          <w:tcPr>
            <w:tcW w:w="1442" w:type="dxa"/>
            <w:vMerge/>
            <w:shd w:val="clear" w:color="auto" w:fill="auto"/>
          </w:tcPr>
          <w:p w14:paraId="5AA63736" w14:textId="77777777" w:rsidR="00D32A05" w:rsidRPr="001C29FC" w:rsidRDefault="00D32A05" w:rsidP="00D32A05">
            <w:pPr>
              <w:pStyle w:val="TableText"/>
              <w:rPr>
                <w:color w:val="000000"/>
                <w:szCs w:val="18"/>
              </w:rPr>
            </w:pPr>
          </w:p>
        </w:tc>
        <w:tc>
          <w:tcPr>
            <w:tcW w:w="1633" w:type="dxa"/>
            <w:shd w:val="clear" w:color="auto" w:fill="auto"/>
          </w:tcPr>
          <w:p w14:paraId="35A108DB"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7DDD8528" w14:textId="77777777" w:rsidR="00D32A05" w:rsidRPr="001C29FC" w:rsidRDefault="00D32A05" w:rsidP="00D32A05">
            <w:pPr>
              <w:pStyle w:val="TableText"/>
              <w:rPr>
                <w:color w:val="000000"/>
                <w:szCs w:val="18"/>
              </w:rPr>
            </w:pPr>
            <w:r w:rsidRPr="001C29FC">
              <w:rPr>
                <w:color w:val="000000"/>
                <w:szCs w:val="18"/>
              </w:rPr>
              <w:t>An individual blood unit’s status is invalidated when the original modification process was “Thaw.” This modification type is applicable to Thaw FFP and Thaw Cryo.</w:t>
            </w:r>
          </w:p>
        </w:tc>
      </w:tr>
      <w:tr w:rsidR="00D32A05" w:rsidRPr="001C29FC" w14:paraId="00D0AFDD" w14:textId="77777777" w:rsidTr="00D32A05">
        <w:trPr>
          <w:cantSplit/>
          <w:tblHeader/>
        </w:trPr>
        <w:tc>
          <w:tcPr>
            <w:tcW w:w="1803" w:type="dxa"/>
            <w:shd w:val="clear" w:color="auto" w:fill="auto"/>
            <w:vAlign w:val="bottom"/>
          </w:tcPr>
          <w:p w14:paraId="5D76FEBB" w14:textId="77777777" w:rsidR="00D32A05" w:rsidRPr="001C29FC" w:rsidRDefault="00D32A05" w:rsidP="00D32A05">
            <w:pPr>
              <w:pStyle w:val="TableText"/>
            </w:pPr>
            <w:r w:rsidRPr="001C29FC">
              <w:t>Modify Units</w:t>
            </w:r>
          </w:p>
        </w:tc>
        <w:tc>
          <w:tcPr>
            <w:tcW w:w="1442" w:type="dxa"/>
            <w:vMerge w:val="restart"/>
            <w:shd w:val="clear" w:color="auto" w:fill="auto"/>
          </w:tcPr>
          <w:p w14:paraId="39174611" w14:textId="77777777" w:rsidR="00D32A05" w:rsidRPr="001C29FC" w:rsidRDefault="00D32A05" w:rsidP="00D32A05">
            <w:pPr>
              <w:pStyle w:val="TableText"/>
              <w:rPr>
                <w:color w:val="000000"/>
                <w:szCs w:val="18"/>
              </w:rPr>
            </w:pPr>
            <w:r w:rsidRPr="001C29FC">
              <w:rPr>
                <w:color w:val="000000"/>
                <w:szCs w:val="18"/>
              </w:rPr>
              <w:t>Wash unit</w:t>
            </w:r>
          </w:p>
        </w:tc>
        <w:tc>
          <w:tcPr>
            <w:tcW w:w="1633" w:type="dxa"/>
            <w:shd w:val="clear" w:color="auto" w:fill="auto"/>
          </w:tcPr>
          <w:p w14:paraId="4CE7D6DD"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752AAA35" w14:textId="77777777" w:rsidR="00D32A05" w:rsidRPr="001C29FC" w:rsidRDefault="00D32A05" w:rsidP="00D32A05">
            <w:pPr>
              <w:pStyle w:val="TableText"/>
              <w:rPr>
                <w:szCs w:val="18"/>
              </w:rPr>
            </w:pPr>
            <w:r w:rsidRPr="001C29FC">
              <w:rPr>
                <w:szCs w:val="18"/>
              </w:rPr>
              <w:t>Accrue workload when a</w:t>
            </w:r>
            <w:r w:rsidRPr="001C29FC">
              <w:rPr>
                <w:color w:val="000000"/>
                <w:szCs w:val="18"/>
              </w:rPr>
              <w:t>n individual blood unit is processed by the Wash modification type. Note: Workload is not accrued when a patient assignment is processed and VBECS releases all other patient assignments. Workload is not accrued when VBECS is required to quarantine the unit.</w:t>
            </w:r>
          </w:p>
        </w:tc>
      </w:tr>
      <w:tr w:rsidR="00D32A05" w:rsidRPr="001C29FC" w14:paraId="6C6B9973" w14:textId="77777777" w:rsidTr="00D32A05">
        <w:trPr>
          <w:cantSplit/>
          <w:tblHeader/>
        </w:trPr>
        <w:tc>
          <w:tcPr>
            <w:tcW w:w="1803" w:type="dxa"/>
            <w:shd w:val="clear" w:color="auto" w:fill="auto"/>
            <w:vAlign w:val="bottom"/>
          </w:tcPr>
          <w:p w14:paraId="60F76775" w14:textId="77777777" w:rsidR="00D32A05" w:rsidRPr="001C29FC" w:rsidRDefault="00D32A05" w:rsidP="00D32A05">
            <w:pPr>
              <w:pStyle w:val="TableText"/>
            </w:pPr>
            <w:r w:rsidRPr="001C29FC">
              <w:t>Remove Final Status*</w:t>
            </w:r>
          </w:p>
        </w:tc>
        <w:tc>
          <w:tcPr>
            <w:tcW w:w="1442" w:type="dxa"/>
            <w:vMerge/>
            <w:shd w:val="clear" w:color="auto" w:fill="auto"/>
          </w:tcPr>
          <w:p w14:paraId="0E48D9DC" w14:textId="77777777" w:rsidR="00D32A05" w:rsidRPr="001C29FC" w:rsidRDefault="00D32A05" w:rsidP="00D32A05">
            <w:pPr>
              <w:pStyle w:val="TableText"/>
              <w:rPr>
                <w:color w:val="000000"/>
                <w:szCs w:val="18"/>
              </w:rPr>
            </w:pPr>
          </w:p>
        </w:tc>
        <w:tc>
          <w:tcPr>
            <w:tcW w:w="1633" w:type="dxa"/>
            <w:shd w:val="clear" w:color="auto" w:fill="auto"/>
          </w:tcPr>
          <w:p w14:paraId="1BDA9082"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2AE69EEC" w14:textId="77777777" w:rsidR="00D32A05" w:rsidRPr="001C29FC" w:rsidRDefault="00D32A05" w:rsidP="00D32A05">
            <w:pPr>
              <w:pStyle w:val="TableText"/>
              <w:rPr>
                <w:color w:val="000000"/>
                <w:szCs w:val="18"/>
              </w:rPr>
            </w:pPr>
            <w:r w:rsidRPr="001C29FC">
              <w:rPr>
                <w:color w:val="000000"/>
                <w:szCs w:val="18"/>
              </w:rPr>
              <w:t>An individual blood unit’s status is invalidated when the original modification process was “Wash.”</w:t>
            </w:r>
          </w:p>
        </w:tc>
      </w:tr>
      <w:tr w:rsidR="00D32A05" w:rsidRPr="001C29FC" w14:paraId="15392456" w14:textId="77777777" w:rsidTr="00D32A05">
        <w:trPr>
          <w:cantSplit/>
          <w:tblHeader/>
        </w:trPr>
        <w:tc>
          <w:tcPr>
            <w:tcW w:w="1803" w:type="dxa"/>
            <w:shd w:val="clear" w:color="auto" w:fill="auto"/>
            <w:vAlign w:val="bottom"/>
          </w:tcPr>
          <w:p w14:paraId="76EAC92F" w14:textId="77777777" w:rsidR="00D32A05" w:rsidRPr="001C29FC" w:rsidRDefault="00D32A05" w:rsidP="00D32A05">
            <w:pPr>
              <w:pStyle w:val="TableText"/>
            </w:pPr>
            <w:r w:rsidRPr="001C29FC">
              <w:t>Modify Units</w:t>
            </w:r>
          </w:p>
        </w:tc>
        <w:tc>
          <w:tcPr>
            <w:tcW w:w="1442" w:type="dxa"/>
            <w:vMerge w:val="restart"/>
            <w:shd w:val="clear" w:color="auto" w:fill="auto"/>
          </w:tcPr>
          <w:p w14:paraId="28350C62" w14:textId="77777777" w:rsidR="00D32A05" w:rsidRPr="001C29FC" w:rsidRDefault="00D32A05" w:rsidP="00D32A05">
            <w:pPr>
              <w:pStyle w:val="TableText"/>
              <w:rPr>
                <w:color w:val="000000"/>
                <w:szCs w:val="18"/>
              </w:rPr>
            </w:pPr>
            <w:r w:rsidRPr="001C29FC">
              <w:rPr>
                <w:color w:val="000000"/>
                <w:szCs w:val="18"/>
              </w:rPr>
              <w:t>Volume Reduce</w:t>
            </w:r>
          </w:p>
        </w:tc>
        <w:tc>
          <w:tcPr>
            <w:tcW w:w="1633" w:type="dxa"/>
            <w:shd w:val="clear" w:color="auto" w:fill="auto"/>
          </w:tcPr>
          <w:p w14:paraId="1628CC44"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36311D2D" w14:textId="77777777" w:rsidR="00D32A05" w:rsidRPr="001C29FC" w:rsidRDefault="00D32A05" w:rsidP="00D32A05">
            <w:pPr>
              <w:pStyle w:val="TableText"/>
              <w:rPr>
                <w:szCs w:val="18"/>
              </w:rPr>
            </w:pPr>
            <w:r w:rsidRPr="001C29FC">
              <w:rPr>
                <w:szCs w:val="18"/>
              </w:rPr>
              <w:t>Accrue workload when a</w:t>
            </w:r>
            <w:r w:rsidRPr="001C29FC">
              <w:rPr>
                <w:color w:val="000000"/>
                <w:szCs w:val="18"/>
              </w:rPr>
              <w:t>n individual blood unit is processed by the Volume Reduce modification type. Note: Workload is not accrued when a patient assignment is processed and VBECS releases all other patient assignments. Workload is not accrued when VBECS is required to quarantine the unit.</w:t>
            </w:r>
          </w:p>
        </w:tc>
      </w:tr>
      <w:tr w:rsidR="00D32A05" w:rsidRPr="001C29FC" w14:paraId="170BA842" w14:textId="77777777" w:rsidTr="00D32A05">
        <w:trPr>
          <w:cantSplit/>
          <w:tblHeader/>
        </w:trPr>
        <w:tc>
          <w:tcPr>
            <w:tcW w:w="1803" w:type="dxa"/>
            <w:shd w:val="clear" w:color="auto" w:fill="auto"/>
            <w:vAlign w:val="bottom"/>
          </w:tcPr>
          <w:p w14:paraId="4C33BAAD" w14:textId="77777777" w:rsidR="00D32A05" w:rsidRPr="001C29FC" w:rsidRDefault="00D32A05" w:rsidP="00D32A05">
            <w:pPr>
              <w:pStyle w:val="TableText"/>
            </w:pPr>
            <w:r w:rsidRPr="001C29FC">
              <w:t>Remove Final Status*</w:t>
            </w:r>
          </w:p>
        </w:tc>
        <w:tc>
          <w:tcPr>
            <w:tcW w:w="1442" w:type="dxa"/>
            <w:vMerge/>
            <w:shd w:val="clear" w:color="auto" w:fill="auto"/>
          </w:tcPr>
          <w:p w14:paraId="778D6AF7" w14:textId="77777777" w:rsidR="00D32A05" w:rsidRPr="001C29FC" w:rsidRDefault="00D32A05" w:rsidP="00D32A05">
            <w:pPr>
              <w:pStyle w:val="TableText"/>
              <w:rPr>
                <w:color w:val="000000"/>
                <w:szCs w:val="18"/>
              </w:rPr>
            </w:pPr>
          </w:p>
        </w:tc>
        <w:tc>
          <w:tcPr>
            <w:tcW w:w="1633" w:type="dxa"/>
            <w:shd w:val="clear" w:color="auto" w:fill="auto"/>
          </w:tcPr>
          <w:p w14:paraId="074D8A0F"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44B60C88" w14:textId="77777777" w:rsidR="00D32A05" w:rsidRPr="001C29FC" w:rsidRDefault="00D32A05" w:rsidP="00D32A05">
            <w:pPr>
              <w:pStyle w:val="TableText"/>
              <w:rPr>
                <w:color w:val="000000"/>
                <w:szCs w:val="18"/>
              </w:rPr>
            </w:pPr>
            <w:r w:rsidRPr="001C29FC">
              <w:rPr>
                <w:color w:val="000000"/>
                <w:szCs w:val="18"/>
              </w:rPr>
              <w:t>An individual blood unit’s status is invalidated when the original modification process was Volume Reduce.</w:t>
            </w:r>
          </w:p>
        </w:tc>
      </w:tr>
      <w:tr w:rsidR="00D32A05" w:rsidRPr="001C29FC" w14:paraId="34A89218" w14:textId="77777777" w:rsidTr="00D32A05">
        <w:trPr>
          <w:cantSplit/>
          <w:tblHeader/>
        </w:trPr>
        <w:tc>
          <w:tcPr>
            <w:tcW w:w="1803" w:type="dxa"/>
            <w:shd w:val="clear" w:color="auto" w:fill="auto"/>
            <w:vAlign w:val="bottom"/>
          </w:tcPr>
          <w:p w14:paraId="3542A034" w14:textId="77777777" w:rsidR="00D32A05" w:rsidRPr="001C29FC" w:rsidRDefault="00D32A05" w:rsidP="00D32A05">
            <w:pPr>
              <w:pStyle w:val="TableText"/>
              <w:rPr>
                <w:szCs w:val="18"/>
              </w:rPr>
            </w:pPr>
            <w:r w:rsidRPr="001C29FC">
              <w:rPr>
                <w:snapToGrid w:val="0"/>
                <w:szCs w:val="18"/>
              </w:rPr>
              <w:t>Issue Blood Components</w:t>
            </w:r>
          </w:p>
        </w:tc>
        <w:tc>
          <w:tcPr>
            <w:tcW w:w="1442" w:type="dxa"/>
            <w:shd w:val="clear" w:color="auto" w:fill="auto"/>
          </w:tcPr>
          <w:p w14:paraId="5808B585" w14:textId="77777777" w:rsidR="00D32A05" w:rsidRPr="001C29FC" w:rsidRDefault="00D32A05" w:rsidP="00D32A05">
            <w:pPr>
              <w:pStyle w:val="TableText"/>
              <w:rPr>
                <w:color w:val="000000"/>
                <w:szCs w:val="18"/>
              </w:rPr>
            </w:pPr>
            <w:r w:rsidRPr="001C29FC">
              <w:rPr>
                <w:color w:val="000000"/>
                <w:szCs w:val="18"/>
              </w:rPr>
              <w:t>Issue unit</w:t>
            </w:r>
          </w:p>
        </w:tc>
        <w:tc>
          <w:tcPr>
            <w:tcW w:w="1633" w:type="dxa"/>
            <w:shd w:val="clear" w:color="auto" w:fill="auto"/>
          </w:tcPr>
          <w:p w14:paraId="612885DB" w14:textId="77777777" w:rsidR="00D32A05" w:rsidRPr="001C29FC" w:rsidRDefault="00D32A05" w:rsidP="00D32A05">
            <w:pPr>
              <w:pStyle w:val="TableText"/>
              <w:rPr>
                <w:color w:val="000000"/>
                <w:szCs w:val="18"/>
              </w:rPr>
            </w:pPr>
            <w:r w:rsidRPr="001C29FC">
              <w:rPr>
                <w:color w:val="000000"/>
                <w:szCs w:val="18"/>
              </w:rPr>
              <w:t>P</w:t>
            </w:r>
          </w:p>
        </w:tc>
        <w:tc>
          <w:tcPr>
            <w:tcW w:w="4482" w:type="dxa"/>
            <w:shd w:val="clear" w:color="auto" w:fill="auto"/>
          </w:tcPr>
          <w:p w14:paraId="6AA41AE4" w14:textId="77777777" w:rsidR="00D32A05" w:rsidRPr="001C29FC" w:rsidRDefault="00D32A05" w:rsidP="00D32A05">
            <w:pPr>
              <w:pStyle w:val="TableText"/>
              <w:rPr>
                <w:szCs w:val="18"/>
              </w:rPr>
            </w:pPr>
            <w:r w:rsidRPr="001C29FC">
              <w:rPr>
                <w:szCs w:val="18"/>
              </w:rPr>
              <w:t xml:space="preserve">Accrue workload when a </w:t>
            </w:r>
            <w:r w:rsidRPr="001C29FC">
              <w:rPr>
                <w:color w:val="000000"/>
                <w:szCs w:val="18"/>
              </w:rPr>
              <w:t>unit is issued to a patient. When a batch of units is processed, each unit invokes one workload process.</w:t>
            </w:r>
          </w:p>
        </w:tc>
      </w:tr>
      <w:tr w:rsidR="00D32A05" w:rsidRPr="001C29FC" w14:paraId="69E50D11" w14:textId="77777777" w:rsidTr="00D32A05">
        <w:trPr>
          <w:cantSplit/>
          <w:tblHeader/>
        </w:trPr>
        <w:tc>
          <w:tcPr>
            <w:tcW w:w="1803" w:type="dxa"/>
            <w:shd w:val="clear" w:color="auto" w:fill="auto"/>
            <w:vAlign w:val="bottom"/>
          </w:tcPr>
          <w:p w14:paraId="41F96076" w14:textId="77777777" w:rsidR="00D32A05" w:rsidRPr="001C29FC" w:rsidRDefault="00D32A05" w:rsidP="00D32A05">
            <w:pPr>
              <w:pStyle w:val="TableText"/>
            </w:pPr>
            <w:r w:rsidRPr="001C29FC">
              <w:t>Justify Patient ABO/Rh Change</w:t>
            </w:r>
          </w:p>
        </w:tc>
        <w:tc>
          <w:tcPr>
            <w:tcW w:w="1442" w:type="dxa"/>
            <w:shd w:val="clear" w:color="auto" w:fill="auto"/>
          </w:tcPr>
          <w:p w14:paraId="16F65C1F" w14:textId="77777777" w:rsidR="00D32A05" w:rsidRPr="001C29FC" w:rsidRDefault="00D32A05" w:rsidP="00D32A05">
            <w:pPr>
              <w:pStyle w:val="TableText"/>
              <w:rPr>
                <w:color w:val="000000"/>
                <w:szCs w:val="18"/>
              </w:rPr>
            </w:pPr>
            <w:r w:rsidRPr="001C29FC">
              <w:rPr>
                <w:color w:val="000000"/>
                <w:szCs w:val="18"/>
              </w:rPr>
              <w:t>Justification</w:t>
            </w:r>
          </w:p>
        </w:tc>
        <w:tc>
          <w:tcPr>
            <w:tcW w:w="1633" w:type="dxa"/>
            <w:shd w:val="clear" w:color="auto" w:fill="auto"/>
          </w:tcPr>
          <w:p w14:paraId="0438CF28" w14:textId="77777777" w:rsidR="00D32A05" w:rsidRPr="001C29FC" w:rsidRDefault="00D32A05" w:rsidP="00D32A05">
            <w:pPr>
              <w:pStyle w:val="TableText"/>
              <w:rPr>
                <w:szCs w:val="18"/>
              </w:rPr>
            </w:pPr>
            <w:r w:rsidRPr="001C29FC">
              <w:rPr>
                <w:szCs w:val="18"/>
              </w:rPr>
              <w:t>M</w:t>
            </w:r>
          </w:p>
        </w:tc>
        <w:tc>
          <w:tcPr>
            <w:tcW w:w="4482" w:type="dxa"/>
            <w:shd w:val="clear" w:color="auto" w:fill="auto"/>
          </w:tcPr>
          <w:p w14:paraId="126FE65C" w14:textId="77777777" w:rsidR="00D32A05" w:rsidRPr="001C29FC" w:rsidRDefault="00D32A05" w:rsidP="00D32A05">
            <w:pPr>
              <w:pStyle w:val="TableText"/>
              <w:rPr>
                <w:color w:val="000000"/>
                <w:szCs w:val="18"/>
              </w:rPr>
            </w:pPr>
            <w:r w:rsidRPr="001C29FC">
              <w:rPr>
                <w:color w:val="000000"/>
                <w:szCs w:val="18"/>
              </w:rPr>
              <w:t>Workload is accrued when a patient’s ABO or Rh typing is justified. One workload event is accrued per patient justification.</w:t>
            </w:r>
          </w:p>
        </w:tc>
      </w:tr>
      <w:tr w:rsidR="00D32A05" w:rsidRPr="001C29FC" w14:paraId="1C518839" w14:textId="77777777" w:rsidTr="00D32A05">
        <w:trPr>
          <w:cantSplit/>
          <w:tblHeader/>
        </w:trPr>
        <w:tc>
          <w:tcPr>
            <w:tcW w:w="1803" w:type="dxa"/>
            <w:shd w:val="clear" w:color="auto" w:fill="auto"/>
          </w:tcPr>
          <w:p w14:paraId="1333477B" w14:textId="77777777" w:rsidR="00D32A05" w:rsidRPr="001C29FC" w:rsidRDefault="00D32A05" w:rsidP="00D32A05">
            <w:pPr>
              <w:pStyle w:val="TableText"/>
              <w:rPr>
                <w:szCs w:val="18"/>
              </w:rPr>
            </w:pPr>
            <w:r w:rsidRPr="001C29FC">
              <w:rPr>
                <w:szCs w:val="18"/>
              </w:rPr>
              <w:t>Login Equipment</w:t>
            </w:r>
          </w:p>
        </w:tc>
        <w:tc>
          <w:tcPr>
            <w:tcW w:w="1442" w:type="dxa"/>
            <w:shd w:val="clear" w:color="auto" w:fill="auto"/>
          </w:tcPr>
          <w:p w14:paraId="3149E84A" w14:textId="77777777" w:rsidR="00D32A05" w:rsidRPr="001C29FC" w:rsidRDefault="00D32A05" w:rsidP="00D32A05">
            <w:pPr>
              <w:pStyle w:val="TableText"/>
              <w:rPr>
                <w:szCs w:val="18"/>
              </w:rPr>
            </w:pPr>
            <w:r w:rsidRPr="001C29FC">
              <w:rPr>
                <w:szCs w:val="18"/>
              </w:rPr>
              <w:t>Login Equipment</w:t>
            </w:r>
          </w:p>
        </w:tc>
        <w:tc>
          <w:tcPr>
            <w:tcW w:w="1633" w:type="dxa"/>
            <w:shd w:val="clear" w:color="auto" w:fill="auto"/>
          </w:tcPr>
          <w:p w14:paraId="7B6137F8" w14:textId="77777777" w:rsidR="00D32A05" w:rsidRPr="001C29FC" w:rsidRDefault="00D32A05" w:rsidP="00D32A05">
            <w:pPr>
              <w:pStyle w:val="TableText"/>
              <w:rPr>
                <w:szCs w:val="18"/>
              </w:rPr>
            </w:pPr>
            <w:r w:rsidRPr="001C29FC">
              <w:rPr>
                <w:szCs w:val="18"/>
              </w:rPr>
              <w:t>M</w:t>
            </w:r>
          </w:p>
        </w:tc>
        <w:tc>
          <w:tcPr>
            <w:tcW w:w="4482" w:type="dxa"/>
            <w:shd w:val="clear" w:color="auto" w:fill="auto"/>
          </w:tcPr>
          <w:p w14:paraId="5BAD242C" w14:textId="77777777" w:rsidR="00D32A05" w:rsidRPr="001C29FC" w:rsidRDefault="00D32A05" w:rsidP="00D32A05">
            <w:pPr>
              <w:pStyle w:val="TableText"/>
              <w:rPr>
                <w:szCs w:val="18"/>
              </w:rPr>
            </w:pPr>
            <w:r w:rsidRPr="001C29FC">
              <w:rPr>
                <w:szCs w:val="18"/>
              </w:rPr>
              <w:t>Accrue workload when a lot number of any type of equipment is logged into the system. When multiple lot numbers are processed in a batch, each lot number’s workload is counted.</w:t>
            </w:r>
          </w:p>
        </w:tc>
      </w:tr>
      <w:tr w:rsidR="00D32A05" w:rsidRPr="001C29FC" w14:paraId="7694AB3E" w14:textId="77777777" w:rsidTr="00D32A05">
        <w:trPr>
          <w:cantSplit/>
          <w:tblHeader/>
        </w:trPr>
        <w:tc>
          <w:tcPr>
            <w:tcW w:w="1803" w:type="dxa"/>
            <w:shd w:val="clear" w:color="auto" w:fill="auto"/>
          </w:tcPr>
          <w:p w14:paraId="7EE3BD2F" w14:textId="77777777" w:rsidR="00D32A05" w:rsidRPr="001C29FC" w:rsidRDefault="00D32A05" w:rsidP="00D32A05">
            <w:pPr>
              <w:pStyle w:val="TableText"/>
              <w:rPr>
                <w:szCs w:val="18"/>
              </w:rPr>
            </w:pPr>
            <w:r w:rsidRPr="001C29FC">
              <w:rPr>
                <w:szCs w:val="18"/>
              </w:rPr>
              <w:t>Login Reagent</w:t>
            </w:r>
          </w:p>
        </w:tc>
        <w:tc>
          <w:tcPr>
            <w:tcW w:w="1442" w:type="dxa"/>
            <w:shd w:val="clear" w:color="auto" w:fill="auto"/>
          </w:tcPr>
          <w:p w14:paraId="01DDA30C" w14:textId="77777777" w:rsidR="00D32A05" w:rsidRPr="001C29FC" w:rsidRDefault="00D32A05" w:rsidP="00D32A05">
            <w:pPr>
              <w:pStyle w:val="TableText"/>
              <w:rPr>
                <w:szCs w:val="18"/>
              </w:rPr>
            </w:pPr>
            <w:r w:rsidRPr="001C29FC">
              <w:rPr>
                <w:szCs w:val="18"/>
              </w:rPr>
              <w:t>Login Reagent</w:t>
            </w:r>
          </w:p>
        </w:tc>
        <w:tc>
          <w:tcPr>
            <w:tcW w:w="1633" w:type="dxa"/>
            <w:shd w:val="clear" w:color="auto" w:fill="auto"/>
          </w:tcPr>
          <w:p w14:paraId="2EC4B749" w14:textId="77777777" w:rsidR="00D32A05" w:rsidRPr="001C29FC" w:rsidRDefault="00D32A05" w:rsidP="00D32A05">
            <w:pPr>
              <w:pStyle w:val="TableText"/>
              <w:rPr>
                <w:szCs w:val="18"/>
              </w:rPr>
            </w:pPr>
            <w:r w:rsidRPr="001C29FC">
              <w:rPr>
                <w:szCs w:val="18"/>
              </w:rPr>
              <w:t>M</w:t>
            </w:r>
          </w:p>
        </w:tc>
        <w:tc>
          <w:tcPr>
            <w:tcW w:w="4482" w:type="dxa"/>
            <w:shd w:val="clear" w:color="auto" w:fill="auto"/>
          </w:tcPr>
          <w:p w14:paraId="4BB840A4" w14:textId="77777777" w:rsidR="00D32A05" w:rsidRPr="001C29FC" w:rsidRDefault="00D32A05" w:rsidP="00D32A05">
            <w:pPr>
              <w:pStyle w:val="TableText"/>
              <w:rPr>
                <w:szCs w:val="18"/>
              </w:rPr>
            </w:pPr>
            <w:r w:rsidRPr="001C29FC">
              <w:rPr>
                <w:szCs w:val="18"/>
              </w:rPr>
              <w:t>Accrue workload when a lot number of any type of reagent is logged into the system. When multiple lot numbers are processed in a batch, each lot number’s workload is counted.</w:t>
            </w:r>
          </w:p>
        </w:tc>
      </w:tr>
      <w:tr w:rsidR="00D32A05" w:rsidRPr="001C29FC" w14:paraId="2DCBD0FB" w14:textId="77777777" w:rsidTr="00D32A05">
        <w:trPr>
          <w:cantSplit/>
          <w:tblHeader/>
        </w:trPr>
        <w:tc>
          <w:tcPr>
            <w:tcW w:w="1803" w:type="dxa"/>
            <w:shd w:val="clear" w:color="auto" w:fill="auto"/>
          </w:tcPr>
          <w:p w14:paraId="407A574B" w14:textId="77777777" w:rsidR="00D32A05" w:rsidRPr="001C29FC" w:rsidRDefault="00D32A05" w:rsidP="00D32A05">
            <w:pPr>
              <w:pStyle w:val="TableText"/>
              <w:rPr>
                <w:szCs w:val="18"/>
              </w:rPr>
            </w:pPr>
            <w:r w:rsidRPr="001C29FC">
              <w:rPr>
                <w:szCs w:val="18"/>
              </w:rPr>
              <w:lastRenderedPageBreak/>
              <w:t>Login Supply</w:t>
            </w:r>
          </w:p>
        </w:tc>
        <w:tc>
          <w:tcPr>
            <w:tcW w:w="1442" w:type="dxa"/>
            <w:shd w:val="clear" w:color="auto" w:fill="auto"/>
          </w:tcPr>
          <w:p w14:paraId="3073B622" w14:textId="77777777" w:rsidR="00D32A05" w:rsidRPr="001C29FC" w:rsidRDefault="00D32A05" w:rsidP="00D32A05">
            <w:pPr>
              <w:pStyle w:val="TableText"/>
              <w:rPr>
                <w:szCs w:val="18"/>
              </w:rPr>
            </w:pPr>
            <w:r w:rsidRPr="001C29FC">
              <w:rPr>
                <w:szCs w:val="18"/>
              </w:rPr>
              <w:t>Login Supply</w:t>
            </w:r>
          </w:p>
        </w:tc>
        <w:tc>
          <w:tcPr>
            <w:tcW w:w="1633" w:type="dxa"/>
            <w:shd w:val="clear" w:color="auto" w:fill="auto"/>
          </w:tcPr>
          <w:p w14:paraId="621F00AE" w14:textId="77777777" w:rsidR="00D32A05" w:rsidRPr="001C29FC" w:rsidRDefault="00D32A05" w:rsidP="00D32A05">
            <w:pPr>
              <w:pStyle w:val="TableText"/>
              <w:rPr>
                <w:szCs w:val="18"/>
              </w:rPr>
            </w:pPr>
            <w:r w:rsidRPr="001C29FC">
              <w:rPr>
                <w:szCs w:val="18"/>
              </w:rPr>
              <w:t>M</w:t>
            </w:r>
          </w:p>
        </w:tc>
        <w:tc>
          <w:tcPr>
            <w:tcW w:w="4482" w:type="dxa"/>
            <w:shd w:val="clear" w:color="auto" w:fill="auto"/>
          </w:tcPr>
          <w:p w14:paraId="5A69F43E" w14:textId="77777777" w:rsidR="00D32A05" w:rsidRPr="001C29FC" w:rsidRDefault="00D32A05" w:rsidP="00D32A05">
            <w:pPr>
              <w:pStyle w:val="TableText"/>
              <w:rPr>
                <w:szCs w:val="18"/>
              </w:rPr>
            </w:pPr>
            <w:r w:rsidRPr="001C29FC">
              <w:rPr>
                <w:szCs w:val="18"/>
              </w:rPr>
              <w:t>Accrue workload when a lot number of any type of supply is logged into the system. When multiple lot numbers are processed in a batch, each lot number’s workload is counted.</w:t>
            </w:r>
          </w:p>
        </w:tc>
      </w:tr>
      <w:tr w:rsidR="00D32A05" w:rsidRPr="001C29FC" w14:paraId="3C4ECD7E" w14:textId="77777777" w:rsidTr="00D32A05">
        <w:trPr>
          <w:cantSplit/>
          <w:tblHeader/>
        </w:trPr>
        <w:tc>
          <w:tcPr>
            <w:tcW w:w="1803" w:type="dxa"/>
            <w:shd w:val="clear" w:color="auto" w:fill="auto"/>
          </w:tcPr>
          <w:p w14:paraId="7F1CFA95" w14:textId="77777777" w:rsidR="00D32A05" w:rsidRPr="001C29FC" w:rsidRDefault="00D32A05" w:rsidP="00D32A05">
            <w:pPr>
              <w:pStyle w:val="TableText"/>
              <w:rPr>
                <w:szCs w:val="18"/>
              </w:rPr>
            </w:pPr>
            <w:r w:rsidRPr="001C29FC">
              <w:rPr>
                <w:szCs w:val="18"/>
              </w:rPr>
              <w:t>Maintain Specimen</w:t>
            </w:r>
          </w:p>
        </w:tc>
        <w:tc>
          <w:tcPr>
            <w:tcW w:w="1442" w:type="dxa"/>
            <w:shd w:val="clear" w:color="auto" w:fill="auto"/>
          </w:tcPr>
          <w:p w14:paraId="15C61853" w14:textId="77777777" w:rsidR="00D32A05" w:rsidRPr="001C29FC" w:rsidRDefault="00D32A05" w:rsidP="00D32A05">
            <w:pPr>
              <w:pStyle w:val="TableText"/>
              <w:rPr>
                <w:szCs w:val="18"/>
              </w:rPr>
            </w:pPr>
            <w:r w:rsidRPr="001C29FC">
              <w:rPr>
                <w:szCs w:val="18"/>
              </w:rPr>
              <w:t>Maintain Specimen</w:t>
            </w:r>
          </w:p>
        </w:tc>
        <w:tc>
          <w:tcPr>
            <w:tcW w:w="1633" w:type="dxa"/>
            <w:shd w:val="clear" w:color="auto" w:fill="auto"/>
          </w:tcPr>
          <w:p w14:paraId="6B9FD4BB" w14:textId="77777777" w:rsidR="00D32A05" w:rsidRPr="001C29FC" w:rsidRDefault="00D32A05" w:rsidP="00D32A05">
            <w:pPr>
              <w:pStyle w:val="TableText"/>
              <w:rPr>
                <w:szCs w:val="18"/>
              </w:rPr>
            </w:pPr>
            <w:r w:rsidRPr="001C29FC">
              <w:rPr>
                <w:szCs w:val="18"/>
              </w:rPr>
              <w:t>M</w:t>
            </w:r>
          </w:p>
        </w:tc>
        <w:tc>
          <w:tcPr>
            <w:tcW w:w="4482" w:type="dxa"/>
            <w:shd w:val="clear" w:color="auto" w:fill="auto"/>
          </w:tcPr>
          <w:p w14:paraId="6DB10D0E" w14:textId="77777777" w:rsidR="00D32A05" w:rsidRPr="001C29FC" w:rsidRDefault="00D32A05" w:rsidP="00D32A05">
            <w:pPr>
              <w:pStyle w:val="TableText"/>
              <w:rPr>
                <w:szCs w:val="18"/>
              </w:rPr>
            </w:pPr>
            <w:r w:rsidRPr="001C29FC">
              <w:rPr>
                <w:szCs w:val="18"/>
              </w:rPr>
              <w:t>Accrue workload when a specimen is maintained during order acceptance and is required for acceptance of the order. Note: This is collected in addition to the accept order workload accrued by accepting an order. Marking a specimen unacceptable does not create a negative workload event.</w:t>
            </w:r>
          </w:p>
        </w:tc>
      </w:tr>
      <w:tr w:rsidR="00D32A05" w:rsidRPr="001C29FC" w14:paraId="3A1F18DF" w14:textId="77777777" w:rsidTr="00D32A05">
        <w:trPr>
          <w:cantSplit/>
          <w:tblHeader/>
        </w:trPr>
        <w:tc>
          <w:tcPr>
            <w:tcW w:w="1803" w:type="dxa"/>
            <w:shd w:val="clear" w:color="auto" w:fill="auto"/>
          </w:tcPr>
          <w:p w14:paraId="362E3AE8" w14:textId="77777777" w:rsidR="00D32A05" w:rsidRPr="001C29FC" w:rsidRDefault="00D32A05" w:rsidP="00D32A05">
            <w:pPr>
              <w:pStyle w:val="TableText"/>
              <w:rPr>
                <w:color w:val="000000"/>
                <w:szCs w:val="18"/>
              </w:rPr>
            </w:pPr>
            <w:r w:rsidRPr="001C29FC">
              <w:rPr>
                <w:color w:val="000000"/>
                <w:szCs w:val="18"/>
              </w:rPr>
              <w:t>Patient antigen phenotype</w:t>
            </w:r>
          </w:p>
        </w:tc>
        <w:tc>
          <w:tcPr>
            <w:tcW w:w="1442" w:type="dxa"/>
            <w:vMerge w:val="restart"/>
            <w:shd w:val="clear" w:color="auto" w:fill="auto"/>
          </w:tcPr>
          <w:p w14:paraId="2696B1D8" w14:textId="77777777" w:rsidR="00D32A05" w:rsidRPr="001C29FC" w:rsidRDefault="00D32A05" w:rsidP="00D32A05">
            <w:pPr>
              <w:pStyle w:val="TableText"/>
              <w:rPr>
                <w:color w:val="000000"/>
                <w:szCs w:val="18"/>
              </w:rPr>
            </w:pPr>
            <w:r w:rsidRPr="001C29FC">
              <w:rPr>
                <w:color w:val="000000"/>
                <w:szCs w:val="18"/>
              </w:rPr>
              <w:t>Patient antigen phenotype (multiple phases)</w:t>
            </w:r>
          </w:p>
        </w:tc>
        <w:tc>
          <w:tcPr>
            <w:tcW w:w="1633" w:type="dxa"/>
            <w:shd w:val="clear" w:color="auto" w:fill="auto"/>
          </w:tcPr>
          <w:p w14:paraId="7E3183F5" w14:textId="77777777" w:rsidR="00D32A05" w:rsidRPr="001C29FC" w:rsidRDefault="00D32A05" w:rsidP="00D32A05">
            <w:pPr>
              <w:pStyle w:val="TableText"/>
              <w:rPr>
                <w:color w:val="000000"/>
                <w:szCs w:val="18"/>
              </w:rPr>
            </w:pPr>
            <w:r w:rsidRPr="001C29FC">
              <w:rPr>
                <w:color w:val="000000"/>
                <w:szCs w:val="18"/>
              </w:rPr>
              <w:t>P</w:t>
            </w:r>
          </w:p>
        </w:tc>
        <w:tc>
          <w:tcPr>
            <w:tcW w:w="4482" w:type="dxa"/>
            <w:shd w:val="clear" w:color="auto" w:fill="auto"/>
          </w:tcPr>
          <w:p w14:paraId="4CA03BB3" w14:textId="77777777" w:rsidR="00D32A05" w:rsidRPr="001C29FC" w:rsidRDefault="00D32A05" w:rsidP="00D32A05">
            <w:pPr>
              <w:pStyle w:val="TableText"/>
              <w:rPr>
                <w:szCs w:val="18"/>
              </w:rPr>
            </w:pPr>
            <w:r w:rsidRPr="001C29FC">
              <w:rPr>
                <w:szCs w:val="18"/>
              </w:rPr>
              <w:t>Accrue workload when a</w:t>
            </w:r>
            <w:r w:rsidRPr="001C29FC">
              <w:rPr>
                <w:color w:val="000000"/>
                <w:szCs w:val="18"/>
              </w:rPr>
              <w:t xml:space="preserve"> patient antigen phenotype test with IS/RT or IS/37 phases is completed and saved. One workload event is collected per completed tab for repeat or regular antigen tests.</w:t>
            </w:r>
          </w:p>
        </w:tc>
      </w:tr>
      <w:tr w:rsidR="00D32A05" w:rsidRPr="001C29FC" w14:paraId="03895546" w14:textId="77777777" w:rsidTr="00D32A05">
        <w:trPr>
          <w:cantSplit/>
          <w:tblHeader/>
        </w:trPr>
        <w:tc>
          <w:tcPr>
            <w:tcW w:w="1803" w:type="dxa"/>
            <w:shd w:val="clear" w:color="auto" w:fill="auto"/>
          </w:tcPr>
          <w:p w14:paraId="5609EA7E" w14:textId="77777777" w:rsidR="00D32A05" w:rsidRPr="001C29FC" w:rsidRDefault="00D32A05" w:rsidP="00D32A05">
            <w:pPr>
              <w:pStyle w:val="TableText"/>
              <w:rPr>
                <w:szCs w:val="18"/>
              </w:rPr>
            </w:pPr>
            <w:r w:rsidRPr="001C29FC">
              <w:rPr>
                <w:szCs w:val="18"/>
              </w:rPr>
              <w:t>Invalidate Patient Test Results*</w:t>
            </w:r>
          </w:p>
        </w:tc>
        <w:tc>
          <w:tcPr>
            <w:tcW w:w="1442" w:type="dxa"/>
            <w:vMerge/>
            <w:shd w:val="clear" w:color="auto" w:fill="auto"/>
          </w:tcPr>
          <w:p w14:paraId="5575C88D" w14:textId="77777777" w:rsidR="00D32A05" w:rsidRPr="001C29FC" w:rsidRDefault="00D32A05" w:rsidP="00D32A05">
            <w:pPr>
              <w:pStyle w:val="TableText"/>
              <w:rPr>
                <w:color w:val="000000"/>
                <w:szCs w:val="18"/>
              </w:rPr>
            </w:pPr>
          </w:p>
        </w:tc>
        <w:tc>
          <w:tcPr>
            <w:tcW w:w="1633" w:type="dxa"/>
            <w:shd w:val="clear" w:color="auto" w:fill="auto"/>
          </w:tcPr>
          <w:p w14:paraId="229BAED4" w14:textId="77777777" w:rsidR="00D32A05" w:rsidRPr="001C29FC" w:rsidRDefault="00D32A05" w:rsidP="00D32A05">
            <w:pPr>
              <w:pStyle w:val="TableText"/>
              <w:rPr>
                <w:color w:val="000000"/>
                <w:szCs w:val="18"/>
              </w:rPr>
            </w:pPr>
            <w:r w:rsidRPr="001C29FC">
              <w:rPr>
                <w:color w:val="000000"/>
                <w:szCs w:val="18"/>
              </w:rPr>
              <w:t>P</w:t>
            </w:r>
          </w:p>
        </w:tc>
        <w:tc>
          <w:tcPr>
            <w:tcW w:w="4482" w:type="dxa"/>
            <w:shd w:val="clear" w:color="auto" w:fill="auto"/>
          </w:tcPr>
          <w:p w14:paraId="498EBA2E" w14:textId="77777777" w:rsidR="00D32A05" w:rsidRPr="001C29FC" w:rsidRDefault="00D32A05" w:rsidP="00D32A05">
            <w:pPr>
              <w:pStyle w:val="TableText"/>
              <w:rPr>
                <w:szCs w:val="18"/>
              </w:rPr>
            </w:pPr>
            <w:r w:rsidRPr="001C29FC">
              <w:rPr>
                <w:szCs w:val="18"/>
              </w:rPr>
              <w:t xml:space="preserve">Accrue workload when a patient antigen phenotype test as defined by the antiserum specificity tested with any phases is invalidated. </w:t>
            </w:r>
          </w:p>
        </w:tc>
      </w:tr>
      <w:tr w:rsidR="00D32A05" w:rsidRPr="001C29FC" w14:paraId="58A66A97" w14:textId="77777777" w:rsidTr="00D32A05">
        <w:trPr>
          <w:cantSplit/>
          <w:tblHeader/>
        </w:trPr>
        <w:tc>
          <w:tcPr>
            <w:tcW w:w="1803" w:type="dxa"/>
            <w:shd w:val="clear" w:color="auto" w:fill="auto"/>
          </w:tcPr>
          <w:p w14:paraId="46991ABF" w14:textId="77777777" w:rsidR="00D32A05" w:rsidRPr="001C29FC" w:rsidRDefault="00D32A05" w:rsidP="00D32A05">
            <w:pPr>
              <w:pStyle w:val="TableText"/>
              <w:rPr>
                <w:color w:val="000000"/>
                <w:szCs w:val="18"/>
              </w:rPr>
            </w:pPr>
            <w:r w:rsidRPr="001C29FC">
              <w:rPr>
                <w:color w:val="000000"/>
                <w:szCs w:val="18"/>
              </w:rPr>
              <w:t>Patient antigen phenotype</w:t>
            </w:r>
          </w:p>
        </w:tc>
        <w:tc>
          <w:tcPr>
            <w:tcW w:w="1442" w:type="dxa"/>
            <w:vMerge w:val="restart"/>
            <w:shd w:val="clear" w:color="auto" w:fill="auto"/>
          </w:tcPr>
          <w:p w14:paraId="7AA3F3B0" w14:textId="77777777" w:rsidR="00D32A05" w:rsidRPr="001C29FC" w:rsidRDefault="00D32A05" w:rsidP="00D32A05">
            <w:pPr>
              <w:pStyle w:val="TableText"/>
              <w:rPr>
                <w:color w:val="000000"/>
                <w:szCs w:val="18"/>
              </w:rPr>
            </w:pPr>
            <w:r w:rsidRPr="001C29FC">
              <w:rPr>
                <w:color w:val="000000"/>
                <w:szCs w:val="18"/>
              </w:rPr>
              <w:t>Patient antigen phenotype (single phase)</w:t>
            </w:r>
          </w:p>
        </w:tc>
        <w:tc>
          <w:tcPr>
            <w:tcW w:w="1633" w:type="dxa"/>
            <w:shd w:val="clear" w:color="auto" w:fill="auto"/>
          </w:tcPr>
          <w:p w14:paraId="7EC8B320" w14:textId="77777777" w:rsidR="00D32A05" w:rsidRPr="001C29FC" w:rsidRDefault="00D32A05" w:rsidP="00D32A05">
            <w:pPr>
              <w:pStyle w:val="TableText"/>
              <w:rPr>
                <w:color w:val="000000"/>
                <w:szCs w:val="18"/>
              </w:rPr>
            </w:pPr>
            <w:r w:rsidRPr="001C29FC">
              <w:rPr>
                <w:color w:val="000000"/>
                <w:szCs w:val="18"/>
              </w:rPr>
              <w:t>P</w:t>
            </w:r>
          </w:p>
        </w:tc>
        <w:tc>
          <w:tcPr>
            <w:tcW w:w="4482" w:type="dxa"/>
            <w:shd w:val="clear" w:color="auto" w:fill="auto"/>
          </w:tcPr>
          <w:p w14:paraId="748CCD21" w14:textId="77777777" w:rsidR="00D32A05" w:rsidRPr="001C29FC" w:rsidRDefault="00D32A05" w:rsidP="00D32A05">
            <w:pPr>
              <w:pStyle w:val="TableText"/>
              <w:rPr>
                <w:szCs w:val="18"/>
              </w:rPr>
            </w:pPr>
            <w:r w:rsidRPr="001C29FC">
              <w:rPr>
                <w:szCs w:val="18"/>
              </w:rPr>
              <w:t>Accrue workload when a</w:t>
            </w:r>
            <w:r w:rsidRPr="001C29FC">
              <w:rPr>
                <w:color w:val="000000"/>
                <w:szCs w:val="18"/>
              </w:rPr>
              <w:t xml:space="preserve"> patient antigen phenotype test with AHG or IS phase is completed and saved. One workload event is collected per completed tab for repeat or regular antigen tests.</w:t>
            </w:r>
          </w:p>
        </w:tc>
      </w:tr>
      <w:tr w:rsidR="00D32A05" w:rsidRPr="001C29FC" w14:paraId="395465C8" w14:textId="77777777" w:rsidTr="00D32A05">
        <w:trPr>
          <w:cantSplit/>
          <w:tblHeader/>
        </w:trPr>
        <w:tc>
          <w:tcPr>
            <w:tcW w:w="1803" w:type="dxa"/>
            <w:shd w:val="clear" w:color="auto" w:fill="auto"/>
          </w:tcPr>
          <w:p w14:paraId="03540996" w14:textId="77777777" w:rsidR="00D32A05" w:rsidRPr="001C29FC" w:rsidRDefault="00D32A05" w:rsidP="00D32A05">
            <w:pPr>
              <w:pStyle w:val="TableText"/>
              <w:rPr>
                <w:szCs w:val="18"/>
              </w:rPr>
            </w:pPr>
            <w:r w:rsidRPr="001C29FC">
              <w:rPr>
                <w:szCs w:val="18"/>
              </w:rPr>
              <w:t>Invalidate Patient Test Results*</w:t>
            </w:r>
          </w:p>
        </w:tc>
        <w:tc>
          <w:tcPr>
            <w:tcW w:w="1442" w:type="dxa"/>
            <w:vMerge/>
            <w:shd w:val="clear" w:color="auto" w:fill="auto"/>
          </w:tcPr>
          <w:p w14:paraId="4A007417" w14:textId="77777777" w:rsidR="00D32A05" w:rsidRPr="001C29FC" w:rsidRDefault="00D32A05" w:rsidP="00D32A05">
            <w:pPr>
              <w:pStyle w:val="TableText"/>
              <w:rPr>
                <w:color w:val="000000"/>
                <w:szCs w:val="18"/>
              </w:rPr>
            </w:pPr>
          </w:p>
        </w:tc>
        <w:tc>
          <w:tcPr>
            <w:tcW w:w="1633" w:type="dxa"/>
            <w:shd w:val="clear" w:color="auto" w:fill="auto"/>
          </w:tcPr>
          <w:p w14:paraId="0E7283D5" w14:textId="77777777" w:rsidR="00D32A05" w:rsidRPr="001C29FC" w:rsidRDefault="00D32A05" w:rsidP="00D32A05">
            <w:pPr>
              <w:pStyle w:val="TableText"/>
              <w:rPr>
                <w:color w:val="000000"/>
                <w:szCs w:val="18"/>
              </w:rPr>
            </w:pPr>
            <w:r w:rsidRPr="001C29FC">
              <w:rPr>
                <w:color w:val="000000"/>
                <w:szCs w:val="18"/>
              </w:rPr>
              <w:t>P</w:t>
            </w:r>
          </w:p>
        </w:tc>
        <w:tc>
          <w:tcPr>
            <w:tcW w:w="4482" w:type="dxa"/>
            <w:shd w:val="clear" w:color="auto" w:fill="auto"/>
          </w:tcPr>
          <w:p w14:paraId="5A3834F4" w14:textId="060ACEAF" w:rsidR="00D32A05" w:rsidRPr="001C29FC" w:rsidRDefault="00D32A05" w:rsidP="00D32A05">
            <w:pPr>
              <w:pStyle w:val="TableText"/>
              <w:rPr>
                <w:szCs w:val="18"/>
              </w:rPr>
            </w:pPr>
            <w:r w:rsidRPr="001C29FC">
              <w:rPr>
                <w:szCs w:val="18"/>
              </w:rPr>
              <w:t xml:space="preserve">Accrue workload when a patient antigen phenotype test as defined by the antiserum specificity tested with </w:t>
            </w:r>
            <w:r w:rsidR="00AE3B37" w:rsidRPr="001C29FC">
              <w:rPr>
                <w:szCs w:val="18"/>
              </w:rPr>
              <w:t>a single phase</w:t>
            </w:r>
            <w:r w:rsidRPr="001C29FC">
              <w:rPr>
                <w:szCs w:val="18"/>
              </w:rPr>
              <w:t xml:space="preserve"> is invalidated. </w:t>
            </w:r>
          </w:p>
        </w:tc>
      </w:tr>
      <w:tr w:rsidR="00D32A05" w:rsidRPr="001C29FC" w14:paraId="18618A98" w14:textId="77777777" w:rsidTr="00D32A05">
        <w:trPr>
          <w:cantSplit/>
          <w:tblHeader/>
        </w:trPr>
        <w:tc>
          <w:tcPr>
            <w:tcW w:w="1803" w:type="dxa"/>
            <w:shd w:val="clear" w:color="auto" w:fill="auto"/>
            <w:vAlign w:val="bottom"/>
          </w:tcPr>
          <w:p w14:paraId="75D18E22" w14:textId="77777777" w:rsidR="00D32A05" w:rsidRPr="001C29FC" w:rsidRDefault="00D32A05" w:rsidP="00D32A05">
            <w:pPr>
              <w:pStyle w:val="TableText"/>
            </w:pPr>
            <w:r w:rsidRPr="001C29FC">
              <w:t>Pool Units</w:t>
            </w:r>
          </w:p>
        </w:tc>
        <w:tc>
          <w:tcPr>
            <w:tcW w:w="1442" w:type="dxa"/>
            <w:vMerge w:val="restart"/>
            <w:shd w:val="clear" w:color="auto" w:fill="auto"/>
          </w:tcPr>
          <w:p w14:paraId="03469E73" w14:textId="77777777" w:rsidR="00D32A05" w:rsidRPr="001C29FC" w:rsidRDefault="00D32A05" w:rsidP="00D32A05">
            <w:pPr>
              <w:pStyle w:val="TableText"/>
              <w:rPr>
                <w:color w:val="000000"/>
                <w:szCs w:val="18"/>
              </w:rPr>
            </w:pPr>
            <w:r w:rsidRPr="001C29FC">
              <w:rPr>
                <w:color w:val="000000"/>
                <w:szCs w:val="18"/>
              </w:rPr>
              <w:t>Pool unit</w:t>
            </w:r>
          </w:p>
          <w:p w14:paraId="47394B10" w14:textId="77777777" w:rsidR="00D32A05" w:rsidRPr="001C29FC" w:rsidRDefault="00D32A05" w:rsidP="00D32A05">
            <w:pPr>
              <w:pStyle w:val="TableText"/>
              <w:rPr>
                <w:color w:val="000000"/>
                <w:szCs w:val="18"/>
              </w:rPr>
            </w:pPr>
            <w:r w:rsidRPr="001C29FC">
              <w:rPr>
                <w:color w:val="000000"/>
                <w:szCs w:val="18"/>
              </w:rPr>
              <w:t> </w:t>
            </w:r>
          </w:p>
        </w:tc>
        <w:tc>
          <w:tcPr>
            <w:tcW w:w="1633" w:type="dxa"/>
            <w:shd w:val="clear" w:color="auto" w:fill="auto"/>
          </w:tcPr>
          <w:p w14:paraId="7C0181DF"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60E04FC8" w14:textId="77777777" w:rsidR="00D32A05" w:rsidRPr="001C29FC" w:rsidRDefault="00D32A05" w:rsidP="00D32A05">
            <w:pPr>
              <w:pStyle w:val="TableText"/>
              <w:rPr>
                <w:szCs w:val="18"/>
              </w:rPr>
            </w:pPr>
            <w:r w:rsidRPr="001C29FC">
              <w:rPr>
                <w:szCs w:val="18"/>
              </w:rPr>
              <w:t>Accrue workload when a</w:t>
            </w:r>
            <w:r w:rsidRPr="001C29FC">
              <w:rPr>
                <w:color w:val="000000"/>
                <w:szCs w:val="18"/>
              </w:rPr>
              <w:t xml:space="preserve"> pooled unit is created and a single workload event is recorded regardless of the number of units included in the pooled unit. This applies to the Pool modification type. Add/Remove unit from a pool does not accrue any workload.</w:t>
            </w:r>
            <w:r w:rsidRPr="001C29FC">
              <w:rPr>
                <w:iCs/>
                <w:color w:val="000000"/>
                <w:szCs w:val="18"/>
              </w:rPr>
              <w:t xml:space="preserve"> Note: Workload is not accrued when a patient assignment is processed and VBECS releases all other patient assignments. Workload is not accrued when VBECS is required to quarantine the unit.</w:t>
            </w:r>
          </w:p>
        </w:tc>
      </w:tr>
      <w:tr w:rsidR="00D32A05" w:rsidRPr="001C29FC" w14:paraId="326FFF1C" w14:textId="77777777" w:rsidTr="00D32A05">
        <w:trPr>
          <w:cantSplit/>
          <w:tblHeader/>
        </w:trPr>
        <w:tc>
          <w:tcPr>
            <w:tcW w:w="1803" w:type="dxa"/>
            <w:shd w:val="clear" w:color="auto" w:fill="auto"/>
            <w:vAlign w:val="bottom"/>
          </w:tcPr>
          <w:p w14:paraId="710EA203" w14:textId="77777777" w:rsidR="00D32A05" w:rsidRPr="001C29FC" w:rsidRDefault="00D32A05" w:rsidP="00D32A05">
            <w:pPr>
              <w:pStyle w:val="TableText"/>
            </w:pPr>
            <w:r w:rsidRPr="001C29FC">
              <w:t>Edit Unit Information*</w:t>
            </w:r>
          </w:p>
        </w:tc>
        <w:tc>
          <w:tcPr>
            <w:tcW w:w="1442" w:type="dxa"/>
            <w:vMerge/>
            <w:shd w:val="clear" w:color="auto" w:fill="auto"/>
          </w:tcPr>
          <w:p w14:paraId="596A4127" w14:textId="77777777" w:rsidR="00D32A05" w:rsidRPr="001C29FC" w:rsidRDefault="00D32A05" w:rsidP="00D32A05">
            <w:pPr>
              <w:pStyle w:val="TableText"/>
              <w:rPr>
                <w:color w:val="000000"/>
                <w:szCs w:val="18"/>
              </w:rPr>
            </w:pPr>
          </w:p>
        </w:tc>
        <w:tc>
          <w:tcPr>
            <w:tcW w:w="1633" w:type="dxa"/>
            <w:shd w:val="clear" w:color="auto" w:fill="auto"/>
          </w:tcPr>
          <w:p w14:paraId="5C525CF1"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5EC47958" w14:textId="77777777" w:rsidR="00D32A05" w:rsidRPr="001C29FC" w:rsidRDefault="00D32A05" w:rsidP="00D32A05">
            <w:pPr>
              <w:pStyle w:val="TableText"/>
              <w:rPr>
                <w:szCs w:val="18"/>
              </w:rPr>
            </w:pPr>
            <w:r w:rsidRPr="001C29FC">
              <w:rPr>
                <w:szCs w:val="18"/>
              </w:rPr>
              <w:t>Accrue workload when a u</w:t>
            </w:r>
            <w:r w:rsidRPr="001C29FC">
              <w:rPr>
                <w:color w:val="000000"/>
                <w:szCs w:val="18"/>
              </w:rPr>
              <w:t xml:space="preserve">nit is inactivated if the pooled unit was created in VBECS. </w:t>
            </w:r>
          </w:p>
        </w:tc>
      </w:tr>
      <w:tr w:rsidR="00D32A05" w:rsidRPr="001C29FC" w14:paraId="2F75EA45" w14:textId="77777777" w:rsidTr="00D32A05">
        <w:trPr>
          <w:cantSplit/>
          <w:tblHeader/>
        </w:trPr>
        <w:tc>
          <w:tcPr>
            <w:tcW w:w="1803" w:type="dxa"/>
            <w:shd w:val="clear" w:color="auto" w:fill="auto"/>
            <w:vAlign w:val="bottom"/>
          </w:tcPr>
          <w:p w14:paraId="0D9A9C5B" w14:textId="77777777" w:rsidR="00D32A05" w:rsidRPr="001C29FC" w:rsidRDefault="00D32A05" w:rsidP="00D32A05">
            <w:pPr>
              <w:pStyle w:val="TableText"/>
            </w:pPr>
            <w:r w:rsidRPr="001C29FC">
              <w:t>Remove Final Status</w:t>
            </w:r>
          </w:p>
        </w:tc>
        <w:tc>
          <w:tcPr>
            <w:tcW w:w="1442" w:type="dxa"/>
            <w:vMerge/>
            <w:shd w:val="clear" w:color="auto" w:fill="auto"/>
          </w:tcPr>
          <w:p w14:paraId="7F6D17F6" w14:textId="77777777" w:rsidR="00D32A05" w:rsidRPr="001C29FC" w:rsidRDefault="00D32A05" w:rsidP="00D32A05">
            <w:pPr>
              <w:pStyle w:val="TableText"/>
              <w:rPr>
                <w:color w:val="000000"/>
                <w:szCs w:val="18"/>
              </w:rPr>
            </w:pPr>
          </w:p>
        </w:tc>
        <w:tc>
          <w:tcPr>
            <w:tcW w:w="1633" w:type="dxa"/>
            <w:shd w:val="clear" w:color="auto" w:fill="auto"/>
          </w:tcPr>
          <w:p w14:paraId="173D2E75" w14:textId="77777777" w:rsidR="00D32A05" w:rsidRPr="001C29FC" w:rsidRDefault="00D32A05" w:rsidP="00D32A05">
            <w:pPr>
              <w:pStyle w:val="TableText"/>
              <w:rPr>
                <w:color w:val="000000"/>
                <w:szCs w:val="18"/>
              </w:rPr>
            </w:pPr>
            <w:r w:rsidRPr="001C29FC">
              <w:rPr>
                <w:color w:val="000000"/>
                <w:szCs w:val="18"/>
              </w:rPr>
              <w:t>N/A</w:t>
            </w:r>
          </w:p>
        </w:tc>
        <w:tc>
          <w:tcPr>
            <w:tcW w:w="4482" w:type="dxa"/>
            <w:shd w:val="clear" w:color="auto" w:fill="auto"/>
          </w:tcPr>
          <w:p w14:paraId="212BFC2C" w14:textId="77777777" w:rsidR="00D32A05" w:rsidRPr="001C29FC" w:rsidRDefault="00D32A05" w:rsidP="00D32A05">
            <w:pPr>
              <w:pStyle w:val="TableText"/>
              <w:rPr>
                <w:color w:val="000000"/>
                <w:szCs w:val="18"/>
              </w:rPr>
            </w:pPr>
            <w:r w:rsidRPr="001C29FC">
              <w:rPr>
                <w:color w:val="000000"/>
                <w:szCs w:val="18"/>
              </w:rPr>
              <w:t xml:space="preserve">No effect on workload accrual when a unit is removed from a modified status that was included in a pool. </w:t>
            </w:r>
          </w:p>
        </w:tc>
      </w:tr>
      <w:tr w:rsidR="00D32A05" w:rsidRPr="001C29FC" w14:paraId="3C26AEC4" w14:textId="77777777" w:rsidTr="00D32A05">
        <w:trPr>
          <w:cantSplit/>
          <w:tblHeader/>
        </w:trPr>
        <w:tc>
          <w:tcPr>
            <w:tcW w:w="1803" w:type="dxa"/>
            <w:shd w:val="clear" w:color="auto" w:fill="auto"/>
            <w:vAlign w:val="bottom"/>
          </w:tcPr>
          <w:p w14:paraId="59A91B14" w14:textId="77777777" w:rsidR="00D32A05" w:rsidRPr="001C29FC" w:rsidRDefault="00D32A05" w:rsidP="00D32A05">
            <w:pPr>
              <w:pStyle w:val="TableText"/>
            </w:pPr>
            <w:r w:rsidRPr="001C29FC">
              <w:t>Discard or Quarantine Unit</w:t>
            </w:r>
          </w:p>
        </w:tc>
        <w:tc>
          <w:tcPr>
            <w:tcW w:w="1442" w:type="dxa"/>
            <w:shd w:val="clear" w:color="auto" w:fill="auto"/>
          </w:tcPr>
          <w:p w14:paraId="4780A914" w14:textId="77777777" w:rsidR="00D32A05" w:rsidRPr="001C29FC" w:rsidRDefault="00D32A05" w:rsidP="00D32A05">
            <w:pPr>
              <w:pStyle w:val="TableText"/>
              <w:rPr>
                <w:color w:val="000000"/>
                <w:szCs w:val="18"/>
              </w:rPr>
            </w:pPr>
            <w:r w:rsidRPr="001C29FC">
              <w:rPr>
                <w:color w:val="000000"/>
                <w:szCs w:val="18"/>
              </w:rPr>
              <w:t>Quarantine unit</w:t>
            </w:r>
          </w:p>
        </w:tc>
        <w:tc>
          <w:tcPr>
            <w:tcW w:w="1633" w:type="dxa"/>
            <w:shd w:val="clear" w:color="auto" w:fill="auto"/>
          </w:tcPr>
          <w:p w14:paraId="2DE343CD"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02ACD9A8" w14:textId="77777777" w:rsidR="00D32A05" w:rsidRPr="001C29FC" w:rsidRDefault="00D32A05" w:rsidP="00D32A05">
            <w:pPr>
              <w:pStyle w:val="TableText"/>
              <w:rPr>
                <w:color w:val="000000"/>
                <w:szCs w:val="18"/>
              </w:rPr>
            </w:pPr>
            <w:r w:rsidRPr="001C29FC">
              <w:rPr>
                <w:color w:val="000000"/>
                <w:szCs w:val="18"/>
              </w:rPr>
              <w:t>Accrue workload when a unit is marked for quarantine. When a batch of units is selected, each unit accrues workload.</w:t>
            </w:r>
          </w:p>
        </w:tc>
      </w:tr>
      <w:tr w:rsidR="00D32A05" w:rsidRPr="001C29FC" w14:paraId="5B6A1F06" w14:textId="77777777" w:rsidTr="00D32A05">
        <w:trPr>
          <w:cantSplit/>
          <w:tblHeader/>
        </w:trPr>
        <w:tc>
          <w:tcPr>
            <w:tcW w:w="1803" w:type="dxa"/>
            <w:shd w:val="clear" w:color="auto" w:fill="auto"/>
            <w:vAlign w:val="bottom"/>
          </w:tcPr>
          <w:p w14:paraId="330B598B" w14:textId="77777777" w:rsidR="00D32A05" w:rsidRPr="001C29FC" w:rsidRDefault="00D32A05" w:rsidP="00D32A05">
            <w:pPr>
              <w:pStyle w:val="TableText"/>
              <w:rPr>
                <w:szCs w:val="18"/>
              </w:rPr>
            </w:pPr>
            <w:r w:rsidRPr="001C29FC">
              <w:rPr>
                <w:snapToGrid w:val="0"/>
                <w:szCs w:val="18"/>
              </w:rPr>
              <w:t>Free Directed Unit For Crossover</w:t>
            </w:r>
          </w:p>
        </w:tc>
        <w:tc>
          <w:tcPr>
            <w:tcW w:w="1442" w:type="dxa"/>
            <w:shd w:val="clear" w:color="auto" w:fill="auto"/>
          </w:tcPr>
          <w:p w14:paraId="5576E6C9" w14:textId="77777777" w:rsidR="00D32A05" w:rsidRPr="001C29FC" w:rsidRDefault="00D32A05" w:rsidP="00D32A05">
            <w:pPr>
              <w:pStyle w:val="TableText"/>
              <w:rPr>
                <w:color w:val="000000"/>
                <w:szCs w:val="18"/>
              </w:rPr>
            </w:pPr>
            <w:r w:rsidRPr="001C29FC">
              <w:rPr>
                <w:color w:val="000000"/>
                <w:szCs w:val="18"/>
              </w:rPr>
              <w:t>Release directed unit</w:t>
            </w:r>
          </w:p>
        </w:tc>
        <w:tc>
          <w:tcPr>
            <w:tcW w:w="1633" w:type="dxa"/>
            <w:shd w:val="clear" w:color="auto" w:fill="auto"/>
          </w:tcPr>
          <w:p w14:paraId="4D809D30"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5A1B110E" w14:textId="77777777" w:rsidR="00D32A05" w:rsidRPr="001C29FC" w:rsidRDefault="00D32A05" w:rsidP="00D32A05">
            <w:pPr>
              <w:pStyle w:val="TableText"/>
              <w:rPr>
                <w:szCs w:val="18"/>
              </w:rPr>
            </w:pPr>
            <w:r w:rsidRPr="001C29FC">
              <w:rPr>
                <w:szCs w:val="18"/>
              </w:rPr>
              <w:t>Accrue workload when a</w:t>
            </w:r>
            <w:r w:rsidRPr="001C29FC">
              <w:rPr>
                <w:color w:val="000000"/>
                <w:szCs w:val="18"/>
              </w:rPr>
              <w:t>n individual blood unit with the restriction type of “directed” is released for use as an allogeneic unit.</w:t>
            </w:r>
          </w:p>
        </w:tc>
      </w:tr>
      <w:tr w:rsidR="00D32A05" w:rsidRPr="001C29FC" w14:paraId="69586C89" w14:textId="77777777" w:rsidTr="00D32A05">
        <w:trPr>
          <w:cantSplit/>
          <w:tblHeader/>
        </w:trPr>
        <w:tc>
          <w:tcPr>
            <w:tcW w:w="1803" w:type="dxa"/>
            <w:shd w:val="clear" w:color="auto" w:fill="auto"/>
            <w:vAlign w:val="bottom"/>
          </w:tcPr>
          <w:p w14:paraId="11351A53" w14:textId="77777777" w:rsidR="00D32A05" w:rsidRPr="001C29FC" w:rsidRDefault="00D32A05" w:rsidP="00D32A05">
            <w:pPr>
              <w:pStyle w:val="TableText"/>
            </w:pPr>
            <w:r w:rsidRPr="001C29FC">
              <w:t>Release Unit from Patient Assignment</w:t>
            </w:r>
          </w:p>
        </w:tc>
        <w:tc>
          <w:tcPr>
            <w:tcW w:w="1442" w:type="dxa"/>
            <w:shd w:val="clear" w:color="auto" w:fill="auto"/>
          </w:tcPr>
          <w:p w14:paraId="3D3FA045" w14:textId="77777777" w:rsidR="00D32A05" w:rsidRPr="001C29FC" w:rsidRDefault="00D32A05" w:rsidP="00D32A05">
            <w:pPr>
              <w:pStyle w:val="TableText"/>
              <w:rPr>
                <w:color w:val="000000"/>
                <w:szCs w:val="18"/>
              </w:rPr>
            </w:pPr>
            <w:r w:rsidRPr="001C29FC">
              <w:rPr>
                <w:color w:val="000000"/>
                <w:szCs w:val="18"/>
              </w:rPr>
              <w:t>Release unit from patient back to inventory</w:t>
            </w:r>
          </w:p>
        </w:tc>
        <w:tc>
          <w:tcPr>
            <w:tcW w:w="1633" w:type="dxa"/>
            <w:shd w:val="clear" w:color="auto" w:fill="auto"/>
          </w:tcPr>
          <w:p w14:paraId="4CF440CC"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5166A1C2" w14:textId="77777777" w:rsidR="00D32A05" w:rsidRPr="001C29FC" w:rsidRDefault="00D32A05" w:rsidP="00D32A05">
            <w:pPr>
              <w:pStyle w:val="TableText"/>
              <w:rPr>
                <w:szCs w:val="18"/>
              </w:rPr>
            </w:pPr>
            <w:r w:rsidRPr="001C29FC">
              <w:rPr>
                <w:szCs w:val="18"/>
              </w:rPr>
              <w:t xml:space="preserve">Accrue workload when an </w:t>
            </w:r>
            <w:r w:rsidRPr="001C29FC">
              <w:rPr>
                <w:color w:val="000000"/>
                <w:szCs w:val="18"/>
              </w:rPr>
              <w:t>individual unit is released from patient assignment. When multiple units are selected, each unit accrues workload.</w:t>
            </w:r>
          </w:p>
        </w:tc>
      </w:tr>
      <w:tr w:rsidR="00D32A05" w:rsidRPr="001C29FC" w14:paraId="22EF9C65" w14:textId="77777777" w:rsidTr="00D32A05">
        <w:trPr>
          <w:cantSplit/>
          <w:tblHeader/>
        </w:trPr>
        <w:tc>
          <w:tcPr>
            <w:tcW w:w="1803" w:type="dxa"/>
            <w:shd w:val="clear" w:color="auto" w:fill="auto"/>
            <w:vAlign w:val="bottom"/>
          </w:tcPr>
          <w:p w14:paraId="0048B48A" w14:textId="77777777" w:rsidR="00D32A05" w:rsidRPr="001C29FC" w:rsidRDefault="00D32A05" w:rsidP="00D32A05">
            <w:pPr>
              <w:pStyle w:val="TableText"/>
            </w:pPr>
            <w:r w:rsidRPr="001C29FC">
              <w:t>Discard or Quarantine Unit</w:t>
            </w:r>
          </w:p>
        </w:tc>
        <w:tc>
          <w:tcPr>
            <w:tcW w:w="1442" w:type="dxa"/>
            <w:shd w:val="clear" w:color="auto" w:fill="auto"/>
          </w:tcPr>
          <w:p w14:paraId="0042D3C6" w14:textId="77777777" w:rsidR="00D32A05" w:rsidRPr="001C29FC" w:rsidRDefault="00D32A05" w:rsidP="00D32A05">
            <w:pPr>
              <w:pStyle w:val="TableText"/>
              <w:rPr>
                <w:color w:val="000000"/>
                <w:szCs w:val="18"/>
              </w:rPr>
            </w:pPr>
            <w:r w:rsidRPr="001C29FC">
              <w:rPr>
                <w:color w:val="000000"/>
                <w:szCs w:val="18"/>
              </w:rPr>
              <w:t xml:space="preserve">Release unit from Quarantine </w:t>
            </w:r>
          </w:p>
        </w:tc>
        <w:tc>
          <w:tcPr>
            <w:tcW w:w="1633" w:type="dxa"/>
            <w:shd w:val="clear" w:color="auto" w:fill="auto"/>
          </w:tcPr>
          <w:p w14:paraId="1EC30AE8"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3B861C11" w14:textId="77777777" w:rsidR="00D32A05" w:rsidRPr="001C29FC" w:rsidRDefault="00D32A05" w:rsidP="00D32A05">
            <w:pPr>
              <w:pStyle w:val="TableText"/>
              <w:rPr>
                <w:color w:val="000000"/>
                <w:szCs w:val="18"/>
              </w:rPr>
            </w:pPr>
            <w:r w:rsidRPr="001C29FC">
              <w:rPr>
                <w:color w:val="000000"/>
                <w:szCs w:val="18"/>
              </w:rPr>
              <w:t>Accrue workload when a unit is released from quarantine. When a batch of units is selected, each unit accrues workload.</w:t>
            </w:r>
          </w:p>
        </w:tc>
      </w:tr>
      <w:tr w:rsidR="00D32A05" w:rsidRPr="001C29FC" w14:paraId="0F1BD992" w14:textId="77777777" w:rsidTr="00D32A05">
        <w:trPr>
          <w:cantSplit/>
          <w:tblHeader/>
        </w:trPr>
        <w:tc>
          <w:tcPr>
            <w:tcW w:w="1803" w:type="dxa"/>
            <w:shd w:val="clear" w:color="auto" w:fill="auto"/>
          </w:tcPr>
          <w:p w14:paraId="5D4F932D" w14:textId="77777777" w:rsidR="00D32A05" w:rsidRPr="001C29FC" w:rsidRDefault="00D32A05" w:rsidP="00D32A05">
            <w:pPr>
              <w:pStyle w:val="TableText"/>
              <w:rPr>
                <w:color w:val="000000"/>
                <w:szCs w:val="18"/>
              </w:rPr>
            </w:pPr>
            <w:r w:rsidRPr="001C29FC">
              <w:rPr>
                <w:color w:val="000000"/>
                <w:szCs w:val="18"/>
              </w:rPr>
              <w:lastRenderedPageBreak/>
              <w:t>Return Issued Unit</w:t>
            </w:r>
          </w:p>
        </w:tc>
        <w:tc>
          <w:tcPr>
            <w:tcW w:w="1442" w:type="dxa"/>
            <w:shd w:val="clear" w:color="auto" w:fill="auto"/>
          </w:tcPr>
          <w:p w14:paraId="50CDFFEF" w14:textId="77777777" w:rsidR="00D32A05" w:rsidRPr="001C29FC" w:rsidRDefault="00D32A05" w:rsidP="00D32A05">
            <w:pPr>
              <w:pStyle w:val="TableText"/>
              <w:rPr>
                <w:color w:val="000000"/>
                <w:szCs w:val="18"/>
              </w:rPr>
            </w:pPr>
            <w:r w:rsidRPr="001C29FC">
              <w:rPr>
                <w:color w:val="000000"/>
                <w:szCs w:val="18"/>
              </w:rPr>
              <w:t>Return Issued unit</w:t>
            </w:r>
          </w:p>
        </w:tc>
        <w:tc>
          <w:tcPr>
            <w:tcW w:w="1633" w:type="dxa"/>
            <w:shd w:val="clear" w:color="auto" w:fill="auto"/>
          </w:tcPr>
          <w:p w14:paraId="09E064D2"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00887C79" w14:textId="77777777" w:rsidR="00D32A05" w:rsidRPr="001C29FC" w:rsidRDefault="00D32A05" w:rsidP="00D32A05">
            <w:pPr>
              <w:pStyle w:val="TableText"/>
              <w:rPr>
                <w:szCs w:val="18"/>
              </w:rPr>
            </w:pPr>
            <w:r w:rsidRPr="001C29FC">
              <w:rPr>
                <w:szCs w:val="18"/>
              </w:rPr>
              <w:t>Accrue workload when a</w:t>
            </w:r>
            <w:r w:rsidRPr="001C29FC">
              <w:rPr>
                <w:color w:val="000000"/>
                <w:szCs w:val="18"/>
              </w:rPr>
              <w:t xml:space="preserve"> unit is returned from issue status. </w:t>
            </w:r>
          </w:p>
        </w:tc>
      </w:tr>
      <w:tr w:rsidR="00D32A05" w:rsidRPr="001C29FC" w14:paraId="0D589DC6" w14:textId="77777777" w:rsidTr="00D32A05">
        <w:trPr>
          <w:cantSplit/>
          <w:tblHeader/>
        </w:trPr>
        <w:tc>
          <w:tcPr>
            <w:tcW w:w="1803" w:type="dxa"/>
            <w:shd w:val="clear" w:color="auto" w:fill="auto"/>
            <w:vAlign w:val="bottom"/>
          </w:tcPr>
          <w:p w14:paraId="3A765E94" w14:textId="77777777" w:rsidR="00D32A05" w:rsidRPr="001C29FC" w:rsidRDefault="00D32A05" w:rsidP="00D32A05">
            <w:pPr>
              <w:pStyle w:val="TableText"/>
            </w:pPr>
            <w:r w:rsidRPr="001C29FC">
              <w:t>Modify Units</w:t>
            </w:r>
          </w:p>
        </w:tc>
        <w:tc>
          <w:tcPr>
            <w:tcW w:w="1442" w:type="dxa"/>
            <w:vMerge w:val="restart"/>
            <w:shd w:val="clear" w:color="auto" w:fill="auto"/>
          </w:tcPr>
          <w:p w14:paraId="6A171D01" w14:textId="77777777" w:rsidR="00D32A05" w:rsidRPr="001C29FC" w:rsidRDefault="00D32A05" w:rsidP="00D32A05">
            <w:pPr>
              <w:pStyle w:val="TableText"/>
              <w:rPr>
                <w:color w:val="000000"/>
                <w:szCs w:val="18"/>
              </w:rPr>
            </w:pPr>
            <w:r w:rsidRPr="001C29FC">
              <w:rPr>
                <w:color w:val="000000"/>
                <w:szCs w:val="18"/>
              </w:rPr>
              <w:t>Thaw/pool Cryo</w:t>
            </w:r>
          </w:p>
        </w:tc>
        <w:tc>
          <w:tcPr>
            <w:tcW w:w="1633" w:type="dxa"/>
            <w:shd w:val="clear" w:color="auto" w:fill="auto"/>
          </w:tcPr>
          <w:p w14:paraId="13C0B197"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6269BBDB" w14:textId="77777777" w:rsidR="00D32A05" w:rsidRPr="001C29FC" w:rsidRDefault="00D32A05" w:rsidP="00D32A05">
            <w:pPr>
              <w:pStyle w:val="TableText"/>
              <w:rPr>
                <w:szCs w:val="18"/>
              </w:rPr>
            </w:pPr>
            <w:r w:rsidRPr="001C29FC">
              <w:rPr>
                <w:szCs w:val="18"/>
              </w:rPr>
              <w:t xml:space="preserve">Accrue workload when an </w:t>
            </w:r>
            <w:r w:rsidRPr="001C29FC">
              <w:rPr>
                <w:color w:val="000000"/>
                <w:szCs w:val="18"/>
              </w:rPr>
              <w:t>individual unit has a modification of Thaw/Pool Cryo. A single workload event is recorded regardless of the number of units included in the pooled unit. Note: Workload is not accrued when a patient assignment is processed and VBECS releases all other patient assignments. Workload is not accrued when VBECS is required to quarantine the unit.</w:t>
            </w:r>
          </w:p>
        </w:tc>
      </w:tr>
      <w:tr w:rsidR="00D32A05" w:rsidRPr="001C29FC" w14:paraId="5B139039" w14:textId="77777777" w:rsidTr="00D32A05">
        <w:trPr>
          <w:cantSplit/>
          <w:tblHeader/>
        </w:trPr>
        <w:tc>
          <w:tcPr>
            <w:tcW w:w="1803" w:type="dxa"/>
            <w:shd w:val="clear" w:color="auto" w:fill="auto"/>
            <w:vAlign w:val="bottom"/>
          </w:tcPr>
          <w:p w14:paraId="1BA966E9" w14:textId="77777777" w:rsidR="00D32A05" w:rsidRPr="001C29FC" w:rsidRDefault="00D32A05" w:rsidP="00D32A05">
            <w:pPr>
              <w:pStyle w:val="TableText"/>
            </w:pPr>
            <w:r w:rsidRPr="001C29FC">
              <w:t>Edit Unit Information*</w:t>
            </w:r>
          </w:p>
        </w:tc>
        <w:tc>
          <w:tcPr>
            <w:tcW w:w="1442" w:type="dxa"/>
            <w:vMerge/>
            <w:shd w:val="clear" w:color="auto" w:fill="auto"/>
          </w:tcPr>
          <w:p w14:paraId="4CDDB20A" w14:textId="77777777" w:rsidR="00D32A05" w:rsidRPr="001C29FC" w:rsidRDefault="00D32A05" w:rsidP="00D32A05">
            <w:pPr>
              <w:pStyle w:val="TableText"/>
              <w:rPr>
                <w:color w:val="000000"/>
                <w:szCs w:val="18"/>
              </w:rPr>
            </w:pPr>
          </w:p>
        </w:tc>
        <w:tc>
          <w:tcPr>
            <w:tcW w:w="1633" w:type="dxa"/>
            <w:shd w:val="clear" w:color="auto" w:fill="auto"/>
          </w:tcPr>
          <w:p w14:paraId="700408B7"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65CF4193" w14:textId="77777777" w:rsidR="00D32A05" w:rsidRPr="001C29FC" w:rsidRDefault="00D32A05" w:rsidP="00D32A05">
            <w:pPr>
              <w:pStyle w:val="TableText"/>
              <w:rPr>
                <w:szCs w:val="18"/>
              </w:rPr>
            </w:pPr>
            <w:r w:rsidRPr="001C29FC">
              <w:rPr>
                <w:szCs w:val="18"/>
              </w:rPr>
              <w:t>Accrue workload when a u</w:t>
            </w:r>
            <w:r w:rsidRPr="001C29FC">
              <w:rPr>
                <w:color w:val="000000"/>
                <w:szCs w:val="18"/>
              </w:rPr>
              <w:t xml:space="preserve">nit is inactivated (unit record inactivated) when the pooled unit was created in VBECS. </w:t>
            </w:r>
          </w:p>
        </w:tc>
      </w:tr>
      <w:tr w:rsidR="00D32A05" w:rsidRPr="001C29FC" w14:paraId="6B2015F2" w14:textId="77777777" w:rsidTr="00D32A05">
        <w:trPr>
          <w:cantSplit/>
          <w:tblHeader/>
        </w:trPr>
        <w:tc>
          <w:tcPr>
            <w:tcW w:w="1803" w:type="dxa"/>
            <w:shd w:val="clear" w:color="auto" w:fill="auto"/>
            <w:vAlign w:val="bottom"/>
          </w:tcPr>
          <w:p w14:paraId="1890C329" w14:textId="77777777" w:rsidR="00D32A05" w:rsidRPr="001C29FC" w:rsidRDefault="00D32A05" w:rsidP="00D32A05">
            <w:pPr>
              <w:pStyle w:val="TableText"/>
            </w:pPr>
            <w:r w:rsidRPr="001C29FC">
              <w:t>Remove Final Status</w:t>
            </w:r>
          </w:p>
        </w:tc>
        <w:tc>
          <w:tcPr>
            <w:tcW w:w="1442" w:type="dxa"/>
            <w:vMerge/>
            <w:shd w:val="clear" w:color="auto" w:fill="auto"/>
          </w:tcPr>
          <w:p w14:paraId="049BB751" w14:textId="77777777" w:rsidR="00D32A05" w:rsidRPr="001C29FC" w:rsidRDefault="00D32A05" w:rsidP="00D32A05">
            <w:pPr>
              <w:pStyle w:val="TableText"/>
              <w:rPr>
                <w:color w:val="000000"/>
                <w:szCs w:val="18"/>
              </w:rPr>
            </w:pPr>
          </w:p>
        </w:tc>
        <w:tc>
          <w:tcPr>
            <w:tcW w:w="1633" w:type="dxa"/>
            <w:shd w:val="clear" w:color="auto" w:fill="auto"/>
          </w:tcPr>
          <w:p w14:paraId="64D45379" w14:textId="77777777" w:rsidR="00D32A05" w:rsidRPr="001C29FC" w:rsidRDefault="00D32A05" w:rsidP="00D32A05">
            <w:pPr>
              <w:pStyle w:val="TableText"/>
              <w:rPr>
                <w:color w:val="000000"/>
                <w:szCs w:val="18"/>
              </w:rPr>
            </w:pPr>
            <w:r w:rsidRPr="001C29FC">
              <w:rPr>
                <w:color w:val="000000"/>
                <w:szCs w:val="18"/>
              </w:rPr>
              <w:t>N/A</w:t>
            </w:r>
          </w:p>
        </w:tc>
        <w:tc>
          <w:tcPr>
            <w:tcW w:w="4482" w:type="dxa"/>
            <w:shd w:val="clear" w:color="auto" w:fill="auto"/>
          </w:tcPr>
          <w:p w14:paraId="409339E0" w14:textId="77777777" w:rsidR="00D32A05" w:rsidRPr="001C29FC" w:rsidRDefault="00D32A05" w:rsidP="00D32A05">
            <w:pPr>
              <w:pStyle w:val="TableText"/>
              <w:rPr>
                <w:color w:val="000000"/>
                <w:szCs w:val="18"/>
              </w:rPr>
            </w:pPr>
            <w:r w:rsidRPr="001C29FC">
              <w:rPr>
                <w:color w:val="000000"/>
                <w:szCs w:val="18"/>
              </w:rPr>
              <w:t xml:space="preserve">There is no effect on workload accrual when a unit is removed from a modified status that was included in a Thaw/pool Cryo pool. </w:t>
            </w:r>
          </w:p>
        </w:tc>
      </w:tr>
      <w:tr w:rsidR="00D32A05" w:rsidRPr="001C29FC" w14:paraId="42B6ADF1" w14:textId="77777777" w:rsidTr="00D32A05">
        <w:trPr>
          <w:cantSplit/>
          <w:tblHeader/>
        </w:trPr>
        <w:tc>
          <w:tcPr>
            <w:tcW w:w="1803" w:type="dxa"/>
            <w:shd w:val="clear" w:color="auto" w:fill="auto"/>
          </w:tcPr>
          <w:p w14:paraId="48F6E15F" w14:textId="77777777" w:rsidR="00D32A05" w:rsidRPr="001C29FC" w:rsidRDefault="00D32A05" w:rsidP="00D32A05">
            <w:pPr>
              <w:pStyle w:val="TableText"/>
              <w:rPr>
                <w:color w:val="000000"/>
                <w:szCs w:val="18"/>
              </w:rPr>
            </w:pPr>
            <w:r w:rsidRPr="001C29FC">
              <w:rPr>
                <w:color w:val="000000"/>
                <w:szCs w:val="18"/>
              </w:rPr>
              <w:t>Enter Post-Transfusion Details</w:t>
            </w:r>
          </w:p>
        </w:tc>
        <w:tc>
          <w:tcPr>
            <w:tcW w:w="1442" w:type="dxa"/>
            <w:vMerge w:val="restart"/>
            <w:shd w:val="clear" w:color="auto" w:fill="auto"/>
          </w:tcPr>
          <w:p w14:paraId="4230C81D" w14:textId="77777777" w:rsidR="00D32A05" w:rsidRPr="001C29FC" w:rsidRDefault="00D32A05" w:rsidP="00D32A05">
            <w:pPr>
              <w:pStyle w:val="TableText"/>
              <w:rPr>
                <w:color w:val="000000"/>
                <w:szCs w:val="18"/>
              </w:rPr>
            </w:pPr>
            <w:r w:rsidRPr="001C29FC">
              <w:rPr>
                <w:color w:val="000000"/>
                <w:szCs w:val="18"/>
              </w:rPr>
              <w:t>Transfuse Unit</w:t>
            </w:r>
          </w:p>
        </w:tc>
        <w:tc>
          <w:tcPr>
            <w:tcW w:w="1633" w:type="dxa"/>
            <w:shd w:val="clear" w:color="auto" w:fill="auto"/>
          </w:tcPr>
          <w:p w14:paraId="6479C8C4"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2F17E4F1" w14:textId="77777777" w:rsidR="00D32A05" w:rsidRPr="001C29FC" w:rsidRDefault="00D32A05" w:rsidP="00D32A05">
            <w:pPr>
              <w:pStyle w:val="TableText"/>
              <w:rPr>
                <w:szCs w:val="18"/>
              </w:rPr>
            </w:pPr>
            <w:r w:rsidRPr="001C29FC">
              <w:rPr>
                <w:szCs w:val="18"/>
              </w:rPr>
              <w:t xml:space="preserve">Accrue workload when an </w:t>
            </w:r>
            <w:r w:rsidRPr="001C29FC">
              <w:rPr>
                <w:color w:val="000000"/>
                <w:szCs w:val="18"/>
              </w:rPr>
              <w:t>individual blood unit’s status is updated to “transfused.“</w:t>
            </w:r>
          </w:p>
        </w:tc>
      </w:tr>
      <w:tr w:rsidR="00D32A05" w:rsidRPr="001C29FC" w14:paraId="5AEEFA5A" w14:textId="77777777" w:rsidTr="00D32A05">
        <w:trPr>
          <w:cantSplit/>
          <w:tblHeader/>
        </w:trPr>
        <w:tc>
          <w:tcPr>
            <w:tcW w:w="1803" w:type="dxa"/>
            <w:shd w:val="clear" w:color="auto" w:fill="auto"/>
            <w:vAlign w:val="bottom"/>
          </w:tcPr>
          <w:p w14:paraId="753BDFD2" w14:textId="77777777" w:rsidR="00D32A05" w:rsidRPr="001C29FC" w:rsidRDefault="00D32A05" w:rsidP="00D32A05">
            <w:pPr>
              <w:pStyle w:val="TableText"/>
            </w:pPr>
            <w:r w:rsidRPr="001C29FC">
              <w:t>Remove Final Status*</w:t>
            </w:r>
          </w:p>
        </w:tc>
        <w:tc>
          <w:tcPr>
            <w:tcW w:w="1442" w:type="dxa"/>
            <w:vMerge/>
            <w:shd w:val="clear" w:color="auto" w:fill="auto"/>
          </w:tcPr>
          <w:p w14:paraId="1506835D" w14:textId="77777777" w:rsidR="00D32A05" w:rsidRPr="001C29FC" w:rsidRDefault="00D32A05" w:rsidP="00D32A05">
            <w:pPr>
              <w:pStyle w:val="TableText"/>
              <w:rPr>
                <w:color w:val="000000"/>
                <w:szCs w:val="18"/>
              </w:rPr>
            </w:pPr>
          </w:p>
        </w:tc>
        <w:tc>
          <w:tcPr>
            <w:tcW w:w="1633" w:type="dxa"/>
            <w:shd w:val="clear" w:color="auto" w:fill="auto"/>
          </w:tcPr>
          <w:p w14:paraId="35EA34DE"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74FAF752" w14:textId="77777777" w:rsidR="00D32A05" w:rsidRPr="001C29FC" w:rsidRDefault="00D32A05" w:rsidP="00D32A05">
            <w:pPr>
              <w:pStyle w:val="TableText"/>
              <w:rPr>
                <w:color w:val="000000"/>
                <w:szCs w:val="18"/>
              </w:rPr>
            </w:pPr>
            <w:r w:rsidRPr="001C29FC">
              <w:rPr>
                <w:color w:val="000000"/>
                <w:szCs w:val="18"/>
              </w:rPr>
              <w:t>An individual blood unit’s status is invalidated when the unit was in a status of “transfused.”</w:t>
            </w:r>
          </w:p>
        </w:tc>
      </w:tr>
      <w:tr w:rsidR="00D32A05" w:rsidRPr="001C29FC" w14:paraId="54D9D6F5" w14:textId="77777777" w:rsidTr="00D32A05">
        <w:trPr>
          <w:cantSplit/>
          <w:tblHeader/>
        </w:trPr>
        <w:tc>
          <w:tcPr>
            <w:tcW w:w="1803" w:type="dxa"/>
            <w:shd w:val="clear" w:color="auto" w:fill="auto"/>
            <w:vAlign w:val="bottom"/>
          </w:tcPr>
          <w:p w14:paraId="1D072863" w14:textId="77777777" w:rsidR="00D32A05" w:rsidRPr="001C29FC" w:rsidRDefault="00D32A05" w:rsidP="00D32A05">
            <w:pPr>
              <w:pStyle w:val="TableText"/>
            </w:pPr>
            <w:r w:rsidRPr="001C29FC">
              <w:t>Record a Transfusion Reaction Workup</w:t>
            </w:r>
          </w:p>
        </w:tc>
        <w:tc>
          <w:tcPr>
            <w:tcW w:w="1442" w:type="dxa"/>
            <w:vMerge w:val="restart"/>
            <w:shd w:val="clear" w:color="auto" w:fill="auto"/>
          </w:tcPr>
          <w:p w14:paraId="36A521B3" w14:textId="77777777" w:rsidR="00D32A05" w:rsidRPr="001C29FC" w:rsidRDefault="00D32A05" w:rsidP="00D32A05">
            <w:pPr>
              <w:pStyle w:val="TableText"/>
              <w:rPr>
                <w:color w:val="000000"/>
                <w:szCs w:val="18"/>
              </w:rPr>
            </w:pPr>
            <w:r w:rsidRPr="001C29FC">
              <w:rPr>
                <w:color w:val="000000"/>
                <w:szCs w:val="18"/>
              </w:rPr>
              <w:t>Transfusion Reaction Investigation</w:t>
            </w:r>
          </w:p>
        </w:tc>
        <w:tc>
          <w:tcPr>
            <w:tcW w:w="1633" w:type="dxa"/>
            <w:shd w:val="clear" w:color="auto" w:fill="auto"/>
          </w:tcPr>
          <w:p w14:paraId="780AB1A8" w14:textId="77777777" w:rsidR="00D32A05" w:rsidRPr="001C29FC" w:rsidRDefault="00D32A05" w:rsidP="00D32A05">
            <w:pPr>
              <w:pStyle w:val="TableText"/>
              <w:rPr>
                <w:color w:val="000000"/>
                <w:szCs w:val="18"/>
              </w:rPr>
            </w:pPr>
            <w:r w:rsidRPr="001C29FC">
              <w:rPr>
                <w:color w:val="000000"/>
                <w:szCs w:val="18"/>
              </w:rPr>
              <w:t>P</w:t>
            </w:r>
          </w:p>
        </w:tc>
        <w:tc>
          <w:tcPr>
            <w:tcW w:w="4482" w:type="dxa"/>
            <w:shd w:val="clear" w:color="auto" w:fill="auto"/>
          </w:tcPr>
          <w:p w14:paraId="4D4E6DDF" w14:textId="77777777" w:rsidR="00D32A05" w:rsidRPr="001C29FC" w:rsidRDefault="00D32A05" w:rsidP="00D32A05">
            <w:pPr>
              <w:pStyle w:val="TableText"/>
              <w:rPr>
                <w:color w:val="000000"/>
                <w:szCs w:val="18"/>
              </w:rPr>
            </w:pPr>
            <w:r w:rsidRPr="001C29FC">
              <w:rPr>
                <w:color w:val="000000"/>
                <w:szCs w:val="18"/>
              </w:rPr>
              <w:t xml:space="preserve">Accrue workload when a transfusion reaction investigation is saved. </w:t>
            </w:r>
            <w:r w:rsidRPr="001C29FC">
              <w:rPr>
                <w:iCs/>
                <w:color w:val="000000"/>
                <w:szCs w:val="18"/>
              </w:rPr>
              <w:t xml:space="preserve">This does </w:t>
            </w:r>
            <w:r w:rsidRPr="001C29FC">
              <w:rPr>
                <w:color w:val="000000"/>
                <w:szCs w:val="18"/>
              </w:rPr>
              <w:t>not</w:t>
            </w:r>
            <w:r w:rsidRPr="001C29FC">
              <w:rPr>
                <w:iCs/>
                <w:color w:val="000000"/>
                <w:szCs w:val="18"/>
              </w:rPr>
              <w:t xml:space="preserve"> include workload accrued by the optional TRW serologic testing.</w:t>
            </w:r>
          </w:p>
        </w:tc>
      </w:tr>
      <w:tr w:rsidR="00D32A05" w:rsidRPr="001C29FC" w14:paraId="09666470" w14:textId="77777777" w:rsidTr="00D32A05">
        <w:trPr>
          <w:cantSplit/>
          <w:tblHeader/>
        </w:trPr>
        <w:tc>
          <w:tcPr>
            <w:tcW w:w="1803" w:type="dxa"/>
            <w:shd w:val="clear" w:color="auto" w:fill="auto"/>
            <w:vAlign w:val="bottom"/>
          </w:tcPr>
          <w:p w14:paraId="441851C4" w14:textId="77777777" w:rsidR="00D32A05" w:rsidRPr="001C29FC" w:rsidRDefault="00D32A05" w:rsidP="00D32A05">
            <w:pPr>
              <w:pStyle w:val="TableText"/>
            </w:pPr>
            <w:r w:rsidRPr="001C29FC">
              <w:t>Invalidate Patient Test Results*</w:t>
            </w:r>
          </w:p>
        </w:tc>
        <w:tc>
          <w:tcPr>
            <w:tcW w:w="1442" w:type="dxa"/>
            <w:vMerge/>
            <w:shd w:val="clear" w:color="auto" w:fill="auto"/>
          </w:tcPr>
          <w:p w14:paraId="7405A118" w14:textId="77777777" w:rsidR="00D32A05" w:rsidRPr="001C29FC" w:rsidRDefault="00D32A05" w:rsidP="00D32A05">
            <w:pPr>
              <w:pStyle w:val="TableText"/>
              <w:rPr>
                <w:color w:val="000000"/>
                <w:szCs w:val="18"/>
              </w:rPr>
            </w:pPr>
          </w:p>
        </w:tc>
        <w:tc>
          <w:tcPr>
            <w:tcW w:w="1633" w:type="dxa"/>
            <w:shd w:val="clear" w:color="auto" w:fill="auto"/>
          </w:tcPr>
          <w:p w14:paraId="17020E35" w14:textId="77777777" w:rsidR="00D32A05" w:rsidRPr="001C29FC" w:rsidRDefault="00D32A05" w:rsidP="00D32A05">
            <w:pPr>
              <w:pStyle w:val="TableText"/>
              <w:rPr>
                <w:color w:val="000000"/>
                <w:szCs w:val="18"/>
              </w:rPr>
            </w:pPr>
            <w:r w:rsidRPr="001C29FC">
              <w:rPr>
                <w:color w:val="000000"/>
                <w:szCs w:val="18"/>
              </w:rPr>
              <w:t>P</w:t>
            </w:r>
          </w:p>
        </w:tc>
        <w:tc>
          <w:tcPr>
            <w:tcW w:w="4482" w:type="dxa"/>
            <w:shd w:val="clear" w:color="auto" w:fill="auto"/>
          </w:tcPr>
          <w:p w14:paraId="44E7BDBA" w14:textId="77777777" w:rsidR="00D32A05" w:rsidRPr="001C29FC" w:rsidRDefault="00D32A05" w:rsidP="00D32A05">
            <w:pPr>
              <w:pStyle w:val="TableText"/>
              <w:rPr>
                <w:szCs w:val="18"/>
              </w:rPr>
            </w:pPr>
            <w:r w:rsidRPr="001C29FC">
              <w:rPr>
                <w:szCs w:val="18"/>
              </w:rPr>
              <w:t xml:space="preserve">Accrue workload when a </w:t>
            </w:r>
            <w:r w:rsidRPr="001C29FC">
              <w:rPr>
                <w:color w:val="000000"/>
                <w:szCs w:val="18"/>
              </w:rPr>
              <w:t>transfusion reaction investigation previously saved is invalidated.</w:t>
            </w:r>
          </w:p>
        </w:tc>
      </w:tr>
      <w:tr w:rsidR="00D32A05" w:rsidRPr="001C29FC" w14:paraId="70913AAF" w14:textId="77777777" w:rsidTr="00D32A05">
        <w:trPr>
          <w:cantSplit/>
          <w:tblHeader/>
        </w:trPr>
        <w:tc>
          <w:tcPr>
            <w:tcW w:w="1803" w:type="dxa"/>
            <w:shd w:val="clear" w:color="auto" w:fill="auto"/>
            <w:vAlign w:val="bottom"/>
          </w:tcPr>
          <w:p w14:paraId="3827C453" w14:textId="77777777" w:rsidR="00D32A05" w:rsidRPr="001C29FC" w:rsidRDefault="00D32A05" w:rsidP="00D32A05">
            <w:pPr>
              <w:pStyle w:val="TableText"/>
            </w:pPr>
            <w:r w:rsidRPr="001C29FC">
              <w:t>Unit Antigen Typing</w:t>
            </w:r>
          </w:p>
        </w:tc>
        <w:tc>
          <w:tcPr>
            <w:tcW w:w="1442" w:type="dxa"/>
            <w:vMerge w:val="restart"/>
            <w:shd w:val="clear" w:color="auto" w:fill="auto"/>
          </w:tcPr>
          <w:p w14:paraId="68A3815C" w14:textId="77777777" w:rsidR="00D32A05" w:rsidRPr="001C29FC" w:rsidRDefault="00D32A05" w:rsidP="00D32A05">
            <w:pPr>
              <w:pStyle w:val="TableText"/>
              <w:rPr>
                <w:color w:val="000000"/>
                <w:szCs w:val="18"/>
              </w:rPr>
            </w:pPr>
            <w:r w:rsidRPr="001C29FC">
              <w:rPr>
                <w:color w:val="000000"/>
                <w:szCs w:val="18"/>
              </w:rPr>
              <w:t>Unit Antigen phenotyping, Multiple Test phases</w:t>
            </w:r>
          </w:p>
        </w:tc>
        <w:tc>
          <w:tcPr>
            <w:tcW w:w="1633" w:type="dxa"/>
            <w:shd w:val="clear" w:color="auto" w:fill="auto"/>
          </w:tcPr>
          <w:p w14:paraId="63A6A520"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0B199C63" w14:textId="77777777" w:rsidR="00D32A05" w:rsidRPr="001C29FC" w:rsidRDefault="00D32A05" w:rsidP="00D32A05">
            <w:pPr>
              <w:pStyle w:val="TableText"/>
              <w:rPr>
                <w:color w:val="000000"/>
                <w:szCs w:val="18"/>
              </w:rPr>
            </w:pPr>
            <w:r w:rsidRPr="001C29FC">
              <w:rPr>
                <w:color w:val="000000"/>
                <w:szCs w:val="18"/>
              </w:rPr>
              <w:t>Accrue workload when a unit antigen phenotype test with IS/RT or IS/37 phases is selected and completed for an individual blood unit. There is no special handling for workload collection for additional repeat antigen typing tests on a unit.</w:t>
            </w:r>
          </w:p>
        </w:tc>
      </w:tr>
      <w:tr w:rsidR="00D32A05" w:rsidRPr="001C29FC" w14:paraId="06CDB613" w14:textId="77777777" w:rsidTr="00D32A05">
        <w:trPr>
          <w:cantSplit/>
          <w:tblHeader/>
        </w:trPr>
        <w:tc>
          <w:tcPr>
            <w:tcW w:w="1803" w:type="dxa"/>
            <w:shd w:val="clear" w:color="auto" w:fill="auto"/>
            <w:vAlign w:val="bottom"/>
          </w:tcPr>
          <w:p w14:paraId="0E8538AC" w14:textId="77777777" w:rsidR="00D32A05" w:rsidRPr="001C29FC" w:rsidRDefault="00D32A05" w:rsidP="00D32A05">
            <w:pPr>
              <w:pStyle w:val="TableText"/>
            </w:pPr>
            <w:r w:rsidRPr="001C29FC">
              <w:t>Edit Unit Information*</w:t>
            </w:r>
          </w:p>
        </w:tc>
        <w:tc>
          <w:tcPr>
            <w:tcW w:w="1442" w:type="dxa"/>
            <w:vMerge/>
            <w:shd w:val="clear" w:color="auto" w:fill="auto"/>
          </w:tcPr>
          <w:p w14:paraId="27DBE3F2" w14:textId="77777777" w:rsidR="00D32A05" w:rsidRPr="001C29FC" w:rsidRDefault="00D32A05" w:rsidP="00D32A05">
            <w:pPr>
              <w:pStyle w:val="TableText"/>
              <w:rPr>
                <w:color w:val="000000"/>
                <w:szCs w:val="18"/>
              </w:rPr>
            </w:pPr>
          </w:p>
        </w:tc>
        <w:tc>
          <w:tcPr>
            <w:tcW w:w="1633" w:type="dxa"/>
            <w:shd w:val="clear" w:color="auto" w:fill="auto"/>
          </w:tcPr>
          <w:p w14:paraId="39C47D00"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41FC4AC8" w14:textId="77777777" w:rsidR="00D32A05" w:rsidRPr="001C29FC" w:rsidRDefault="00D32A05" w:rsidP="00D32A05">
            <w:pPr>
              <w:pStyle w:val="TableText"/>
              <w:rPr>
                <w:color w:val="000000"/>
                <w:szCs w:val="18"/>
              </w:rPr>
            </w:pPr>
            <w:r w:rsidRPr="001C29FC">
              <w:rPr>
                <w:color w:val="000000"/>
                <w:szCs w:val="18"/>
              </w:rPr>
              <w:t>Accrue workload when a unit antigen phenotype test with Multiple Test phases is invalidated for an individual blood unit.</w:t>
            </w:r>
          </w:p>
        </w:tc>
      </w:tr>
      <w:tr w:rsidR="00D32A05" w:rsidRPr="001C29FC" w14:paraId="180ECF9E" w14:textId="77777777" w:rsidTr="00D32A05">
        <w:trPr>
          <w:cantSplit/>
          <w:tblHeader/>
        </w:trPr>
        <w:tc>
          <w:tcPr>
            <w:tcW w:w="1803" w:type="dxa"/>
            <w:shd w:val="clear" w:color="auto" w:fill="auto"/>
            <w:vAlign w:val="bottom"/>
          </w:tcPr>
          <w:p w14:paraId="1CCE9B18" w14:textId="77777777" w:rsidR="00D32A05" w:rsidRPr="001C29FC" w:rsidRDefault="00D32A05" w:rsidP="00D32A05">
            <w:pPr>
              <w:pStyle w:val="TableText"/>
            </w:pPr>
            <w:r w:rsidRPr="001C29FC">
              <w:t>Unit Antigen Typing</w:t>
            </w:r>
          </w:p>
        </w:tc>
        <w:tc>
          <w:tcPr>
            <w:tcW w:w="1442" w:type="dxa"/>
            <w:vMerge w:val="restart"/>
            <w:shd w:val="clear" w:color="auto" w:fill="auto"/>
          </w:tcPr>
          <w:p w14:paraId="3D20B74B" w14:textId="77777777" w:rsidR="00D32A05" w:rsidRPr="001C29FC" w:rsidRDefault="00D32A05" w:rsidP="00D32A05">
            <w:pPr>
              <w:pStyle w:val="TableText"/>
              <w:rPr>
                <w:color w:val="000000"/>
                <w:szCs w:val="18"/>
              </w:rPr>
            </w:pPr>
            <w:r w:rsidRPr="001C29FC">
              <w:rPr>
                <w:color w:val="000000"/>
                <w:szCs w:val="18"/>
              </w:rPr>
              <w:t>Unit Antigen phenotyping, Single Test phase</w:t>
            </w:r>
          </w:p>
        </w:tc>
        <w:tc>
          <w:tcPr>
            <w:tcW w:w="1633" w:type="dxa"/>
            <w:shd w:val="clear" w:color="auto" w:fill="auto"/>
          </w:tcPr>
          <w:p w14:paraId="2B248E57"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34756E22" w14:textId="77777777" w:rsidR="00D32A05" w:rsidRPr="001C29FC" w:rsidRDefault="00D32A05" w:rsidP="00D32A05">
            <w:pPr>
              <w:pStyle w:val="TableText"/>
              <w:rPr>
                <w:color w:val="000000"/>
                <w:szCs w:val="18"/>
              </w:rPr>
            </w:pPr>
            <w:r w:rsidRPr="001C29FC">
              <w:rPr>
                <w:color w:val="000000"/>
                <w:szCs w:val="18"/>
              </w:rPr>
              <w:t>A unit antigen phenotype test with AHG or IS phase is selected and completed for an individual blood unit. There is no special handling for workload collection for additional repeat antigen typing tests on a unit.</w:t>
            </w:r>
          </w:p>
        </w:tc>
      </w:tr>
      <w:tr w:rsidR="00D32A05" w:rsidRPr="001C29FC" w14:paraId="14F52D0F" w14:textId="77777777" w:rsidTr="00D32A05">
        <w:trPr>
          <w:cantSplit/>
          <w:tblHeader/>
        </w:trPr>
        <w:tc>
          <w:tcPr>
            <w:tcW w:w="1803" w:type="dxa"/>
            <w:shd w:val="clear" w:color="auto" w:fill="auto"/>
            <w:vAlign w:val="bottom"/>
          </w:tcPr>
          <w:p w14:paraId="0B3F9BE5" w14:textId="77777777" w:rsidR="00D32A05" w:rsidRPr="001C29FC" w:rsidRDefault="00D32A05" w:rsidP="00D32A05">
            <w:pPr>
              <w:pStyle w:val="TableText"/>
            </w:pPr>
            <w:r w:rsidRPr="001C29FC">
              <w:t>Edit Unit Information*</w:t>
            </w:r>
          </w:p>
        </w:tc>
        <w:tc>
          <w:tcPr>
            <w:tcW w:w="1442" w:type="dxa"/>
            <w:vMerge/>
            <w:shd w:val="clear" w:color="auto" w:fill="auto"/>
          </w:tcPr>
          <w:p w14:paraId="224C5C36" w14:textId="77777777" w:rsidR="00D32A05" w:rsidRPr="001C29FC" w:rsidRDefault="00D32A05" w:rsidP="00D32A05">
            <w:pPr>
              <w:pStyle w:val="TableText"/>
              <w:rPr>
                <w:color w:val="000000"/>
                <w:szCs w:val="18"/>
              </w:rPr>
            </w:pPr>
          </w:p>
        </w:tc>
        <w:tc>
          <w:tcPr>
            <w:tcW w:w="1633" w:type="dxa"/>
            <w:shd w:val="clear" w:color="auto" w:fill="auto"/>
          </w:tcPr>
          <w:p w14:paraId="667A4A0C"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7C77A4AB" w14:textId="77777777" w:rsidR="00D32A05" w:rsidRPr="001C29FC" w:rsidRDefault="00D32A05" w:rsidP="00D32A05">
            <w:pPr>
              <w:pStyle w:val="TableText"/>
              <w:rPr>
                <w:color w:val="000000"/>
                <w:szCs w:val="18"/>
              </w:rPr>
            </w:pPr>
            <w:r w:rsidRPr="001C29FC">
              <w:rPr>
                <w:color w:val="000000"/>
                <w:szCs w:val="18"/>
              </w:rPr>
              <w:t>Accrue workload when a unit antigen phenotype test with Single Test phase is invalidated for an individual blood unit.</w:t>
            </w:r>
          </w:p>
        </w:tc>
      </w:tr>
      <w:tr w:rsidR="00D32A05" w:rsidRPr="001C29FC" w14:paraId="18B6AEA9" w14:textId="77777777" w:rsidTr="00D32A05">
        <w:trPr>
          <w:cantSplit/>
          <w:tblHeader/>
        </w:trPr>
        <w:tc>
          <w:tcPr>
            <w:tcW w:w="1803" w:type="dxa"/>
            <w:shd w:val="clear" w:color="auto" w:fill="auto"/>
            <w:vAlign w:val="bottom"/>
          </w:tcPr>
          <w:p w14:paraId="1CCE5285" w14:textId="77777777" w:rsidR="00D32A05" w:rsidRPr="001C29FC" w:rsidRDefault="00D32A05" w:rsidP="00D32A05">
            <w:pPr>
              <w:pStyle w:val="TableText"/>
            </w:pPr>
            <w:r w:rsidRPr="001C29FC">
              <w:t>Incoming Shipment</w:t>
            </w:r>
          </w:p>
        </w:tc>
        <w:tc>
          <w:tcPr>
            <w:tcW w:w="1442" w:type="dxa"/>
            <w:vMerge w:val="restart"/>
            <w:shd w:val="clear" w:color="auto" w:fill="auto"/>
          </w:tcPr>
          <w:p w14:paraId="32408964" w14:textId="77777777" w:rsidR="00D32A05" w:rsidRPr="001C29FC" w:rsidRDefault="00D32A05" w:rsidP="00D32A05">
            <w:pPr>
              <w:pStyle w:val="TableText"/>
              <w:rPr>
                <w:color w:val="000000"/>
                <w:szCs w:val="18"/>
              </w:rPr>
            </w:pPr>
            <w:r w:rsidRPr="001C29FC">
              <w:rPr>
                <w:color w:val="000000"/>
                <w:szCs w:val="18"/>
              </w:rPr>
              <w:t>Unit login</w:t>
            </w:r>
          </w:p>
        </w:tc>
        <w:tc>
          <w:tcPr>
            <w:tcW w:w="1633" w:type="dxa"/>
            <w:shd w:val="clear" w:color="auto" w:fill="auto"/>
          </w:tcPr>
          <w:p w14:paraId="70E38955"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64187112" w14:textId="77777777" w:rsidR="00D32A05" w:rsidRPr="001C29FC" w:rsidRDefault="00D32A05" w:rsidP="00D32A05">
            <w:pPr>
              <w:pStyle w:val="TableText"/>
              <w:rPr>
                <w:color w:val="000000"/>
                <w:szCs w:val="18"/>
              </w:rPr>
            </w:pPr>
            <w:r w:rsidRPr="001C29FC">
              <w:rPr>
                <w:color w:val="000000"/>
                <w:szCs w:val="18"/>
              </w:rPr>
              <w:t>An individual unit record is activated as “saved” to an incoming shipment invoice. When multiple units are entered, each unit added to the database accrues workload.</w:t>
            </w:r>
          </w:p>
        </w:tc>
      </w:tr>
      <w:tr w:rsidR="00D32A05" w:rsidRPr="001C29FC" w14:paraId="096B693D" w14:textId="77777777" w:rsidTr="00D32A05">
        <w:trPr>
          <w:cantSplit/>
          <w:tblHeader/>
        </w:trPr>
        <w:tc>
          <w:tcPr>
            <w:tcW w:w="1803" w:type="dxa"/>
            <w:shd w:val="clear" w:color="auto" w:fill="auto"/>
            <w:vAlign w:val="bottom"/>
          </w:tcPr>
          <w:p w14:paraId="33574B2F" w14:textId="77777777" w:rsidR="00D32A05" w:rsidRPr="001C29FC" w:rsidRDefault="00D32A05" w:rsidP="00D32A05">
            <w:pPr>
              <w:pStyle w:val="TableText"/>
            </w:pPr>
            <w:r w:rsidRPr="001C29FC">
              <w:t>Edit Unit Information*</w:t>
            </w:r>
          </w:p>
        </w:tc>
        <w:tc>
          <w:tcPr>
            <w:tcW w:w="1442" w:type="dxa"/>
            <w:vMerge/>
            <w:shd w:val="clear" w:color="auto" w:fill="auto"/>
          </w:tcPr>
          <w:p w14:paraId="36EC0FFC" w14:textId="77777777" w:rsidR="00D32A05" w:rsidRPr="001C29FC" w:rsidRDefault="00D32A05" w:rsidP="00D32A05">
            <w:pPr>
              <w:pStyle w:val="TableText"/>
              <w:rPr>
                <w:color w:val="000000"/>
                <w:szCs w:val="18"/>
              </w:rPr>
            </w:pPr>
          </w:p>
        </w:tc>
        <w:tc>
          <w:tcPr>
            <w:tcW w:w="1633" w:type="dxa"/>
            <w:shd w:val="clear" w:color="auto" w:fill="auto"/>
          </w:tcPr>
          <w:p w14:paraId="192DFC15"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142C7AB0" w14:textId="77777777" w:rsidR="00D32A05" w:rsidRPr="001C29FC" w:rsidRDefault="00D32A05" w:rsidP="00D32A05">
            <w:pPr>
              <w:pStyle w:val="TableText"/>
              <w:rPr>
                <w:szCs w:val="18"/>
              </w:rPr>
            </w:pPr>
            <w:r w:rsidRPr="001C29FC">
              <w:rPr>
                <w:szCs w:val="18"/>
              </w:rPr>
              <w:t>Accrue workload when a u</w:t>
            </w:r>
            <w:r w:rsidRPr="001C29FC">
              <w:rPr>
                <w:color w:val="000000"/>
                <w:szCs w:val="18"/>
              </w:rPr>
              <w:t xml:space="preserve">nit is inactivated and logged in through incoming shipment or is a pooled unit created in VBECS. When the unit was created by split modification, no workload is invalidated in this option. </w:t>
            </w:r>
          </w:p>
        </w:tc>
      </w:tr>
      <w:tr w:rsidR="00D32A05" w:rsidRPr="001C29FC" w14:paraId="38AE045E" w14:textId="77777777" w:rsidTr="00D32A05">
        <w:trPr>
          <w:cantSplit/>
          <w:tblHeader/>
        </w:trPr>
        <w:tc>
          <w:tcPr>
            <w:tcW w:w="1803" w:type="dxa"/>
            <w:shd w:val="clear" w:color="auto" w:fill="auto"/>
            <w:vAlign w:val="bottom"/>
          </w:tcPr>
          <w:p w14:paraId="78B0FE95" w14:textId="77777777" w:rsidR="00D32A05" w:rsidRPr="001C29FC" w:rsidRDefault="00D32A05" w:rsidP="00D32A05">
            <w:pPr>
              <w:pStyle w:val="TableText"/>
            </w:pPr>
            <w:r w:rsidRPr="001C29FC">
              <w:lastRenderedPageBreak/>
              <w:t>Outgoing Shipment</w:t>
            </w:r>
          </w:p>
        </w:tc>
        <w:tc>
          <w:tcPr>
            <w:tcW w:w="1442" w:type="dxa"/>
            <w:vMerge w:val="restart"/>
            <w:shd w:val="clear" w:color="auto" w:fill="auto"/>
          </w:tcPr>
          <w:p w14:paraId="39238786" w14:textId="77777777" w:rsidR="00D32A05" w:rsidRPr="001C29FC" w:rsidRDefault="00D32A05" w:rsidP="00D32A05">
            <w:pPr>
              <w:pStyle w:val="TableText"/>
              <w:rPr>
                <w:color w:val="000000"/>
                <w:szCs w:val="18"/>
              </w:rPr>
            </w:pPr>
            <w:r w:rsidRPr="001C29FC">
              <w:rPr>
                <w:color w:val="000000"/>
                <w:szCs w:val="18"/>
              </w:rPr>
              <w:t>Unit logout</w:t>
            </w:r>
          </w:p>
        </w:tc>
        <w:tc>
          <w:tcPr>
            <w:tcW w:w="1633" w:type="dxa"/>
            <w:shd w:val="clear" w:color="auto" w:fill="auto"/>
          </w:tcPr>
          <w:p w14:paraId="23130103"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2B1AA80F" w14:textId="77777777" w:rsidR="00D32A05" w:rsidRPr="001C29FC" w:rsidRDefault="00D32A05" w:rsidP="00D32A05">
            <w:pPr>
              <w:pStyle w:val="TableText"/>
              <w:rPr>
                <w:color w:val="000000"/>
                <w:szCs w:val="18"/>
              </w:rPr>
            </w:pPr>
            <w:r w:rsidRPr="001C29FC">
              <w:rPr>
                <w:color w:val="000000"/>
                <w:szCs w:val="18"/>
              </w:rPr>
              <w:t>An individual unit’s status is updated to “</w:t>
            </w:r>
            <w:r w:rsidRPr="001C29FC">
              <w:rPr>
                <w:iCs/>
                <w:color w:val="000000"/>
                <w:szCs w:val="18"/>
              </w:rPr>
              <w:t>transferred”</w:t>
            </w:r>
            <w:r w:rsidRPr="001C29FC">
              <w:rPr>
                <w:color w:val="000000"/>
                <w:szCs w:val="18"/>
              </w:rPr>
              <w:t xml:space="preserve"> on a confirmed outgoing shipment invoice. When multiple units are selected, each unit accrues workload. Accrue workload on confirmation of the invoice, not the addition of a unit to a temporary outgoing shipment invoice: an invoice may be confirmed only once.</w:t>
            </w:r>
          </w:p>
        </w:tc>
      </w:tr>
      <w:tr w:rsidR="00D32A05" w:rsidRPr="001C29FC" w14:paraId="771E3CA0" w14:textId="77777777" w:rsidTr="00D32A05">
        <w:trPr>
          <w:cantSplit/>
          <w:tblHeader/>
        </w:trPr>
        <w:tc>
          <w:tcPr>
            <w:tcW w:w="1803" w:type="dxa"/>
            <w:shd w:val="clear" w:color="auto" w:fill="auto"/>
            <w:vAlign w:val="bottom"/>
          </w:tcPr>
          <w:p w14:paraId="06EA577A" w14:textId="77777777" w:rsidR="00D32A05" w:rsidRPr="001C29FC" w:rsidRDefault="00D32A05" w:rsidP="00D32A05">
            <w:pPr>
              <w:pStyle w:val="TableText"/>
            </w:pPr>
            <w:r w:rsidRPr="001C29FC">
              <w:t>Remove Final Status*</w:t>
            </w:r>
          </w:p>
        </w:tc>
        <w:tc>
          <w:tcPr>
            <w:tcW w:w="1442" w:type="dxa"/>
            <w:vMerge/>
            <w:shd w:val="clear" w:color="auto" w:fill="auto"/>
          </w:tcPr>
          <w:p w14:paraId="672AA82D" w14:textId="77777777" w:rsidR="00D32A05" w:rsidRPr="001C29FC" w:rsidRDefault="00D32A05" w:rsidP="00D32A05">
            <w:pPr>
              <w:pStyle w:val="TableText"/>
              <w:rPr>
                <w:color w:val="000000"/>
                <w:szCs w:val="18"/>
              </w:rPr>
            </w:pPr>
          </w:p>
        </w:tc>
        <w:tc>
          <w:tcPr>
            <w:tcW w:w="1633" w:type="dxa"/>
            <w:shd w:val="clear" w:color="auto" w:fill="auto"/>
          </w:tcPr>
          <w:p w14:paraId="6A82C3C6"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359D85AE" w14:textId="77777777" w:rsidR="00D32A05" w:rsidRPr="001C29FC" w:rsidRDefault="00D32A05" w:rsidP="00D32A05">
            <w:pPr>
              <w:pStyle w:val="TableText"/>
              <w:rPr>
                <w:color w:val="000000"/>
                <w:szCs w:val="18"/>
              </w:rPr>
            </w:pPr>
            <w:r w:rsidRPr="001C29FC">
              <w:rPr>
                <w:color w:val="000000"/>
                <w:szCs w:val="18"/>
              </w:rPr>
              <w:t>An individual unit status is invalidated when the unit had a previous unit status of “transferred.”</w:t>
            </w:r>
          </w:p>
        </w:tc>
      </w:tr>
      <w:tr w:rsidR="00D32A05" w:rsidRPr="001C29FC" w14:paraId="77784C04" w14:textId="77777777" w:rsidTr="00D32A05">
        <w:trPr>
          <w:cantSplit/>
          <w:tblHeader/>
        </w:trPr>
        <w:tc>
          <w:tcPr>
            <w:tcW w:w="1803" w:type="dxa"/>
            <w:shd w:val="clear" w:color="auto" w:fill="auto"/>
          </w:tcPr>
          <w:p w14:paraId="5E08ACDA" w14:textId="77777777" w:rsidR="00D32A05" w:rsidRPr="001C29FC" w:rsidRDefault="00D32A05" w:rsidP="00D32A05">
            <w:pPr>
              <w:pStyle w:val="TableText"/>
              <w:rPr>
                <w:szCs w:val="18"/>
              </w:rPr>
            </w:pPr>
            <w:r w:rsidRPr="001C29FC">
              <w:rPr>
                <w:szCs w:val="18"/>
              </w:rPr>
              <w:t>Update Equipment Record</w:t>
            </w:r>
          </w:p>
        </w:tc>
        <w:tc>
          <w:tcPr>
            <w:tcW w:w="1442" w:type="dxa"/>
            <w:shd w:val="clear" w:color="auto" w:fill="auto"/>
          </w:tcPr>
          <w:p w14:paraId="0DDC023D" w14:textId="77777777" w:rsidR="00D32A05" w:rsidRPr="001C29FC" w:rsidRDefault="00D32A05" w:rsidP="00D32A05">
            <w:pPr>
              <w:pStyle w:val="TableText"/>
              <w:rPr>
                <w:szCs w:val="18"/>
              </w:rPr>
            </w:pPr>
            <w:r w:rsidRPr="001C29FC">
              <w:rPr>
                <w:szCs w:val="18"/>
              </w:rPr>
              <w:t>Update Equipment Record</w:t>
            </w:r>
          </w:p>
        </w:tc>
        <w:tc>
          <w:tcPr>
            <w:tcW w:w="1633" w:type="dxa"/>
            <w:shd w:val="clear" w:color="auto" w:fill="auto"/>
          </w:tcPr>
          <w:p w14:paraId="4C4E85DF" w14:textId="77777777" w:rsidR="00D32A05" w:rsidRPr="001C29FC" w:rsidRDefault="00D32A05" w:rsidP="00D32A05">
            <w:pPr>
              <w:pStyle w:val="TableText"/>
              <w:rPr>
                <w:szCs w:val="18"/>
              </w:rPr>
            </w:pPr>
            <w:r w:rsidRPr="001C29FC">
              <w:rPr>
                <w:szCs w:val="18"/>
              </w:rPr>
              <w:t>M</w:t>
            </w:r>
          </w:p>
        </w:tc>
        <w:tc>
          <w:tcPr>
            <w:tcW w:w="4482" w:type="dxa"/>
            <w:shd w:val="clear" w:color="auto" w:fill="auto"/>
          </w:tcPr>
          <w:p w14:paraId="7B72A030" w14:textId="77777777" w:rsidR="00D32A05" w:rsidRPr="001C29FC" w:rsidRDefault="00D32A05" w:rsidP="00D32A05">
            <w:pPr>
              <w:pStyle w:val="TableText"/>
              <w:rPr>
                <w:szCs w:val="18"/>
              </w:rPr>
            </w:pPr>
            <w:r w:rsidRPr="001C29FC">
              <w:rPr>
                <w:szCs w:val="18"/>
              </w:rPr>
              <w:t xml:space="preserve">Accrue workload when a lot number of any type of equipment is updated in the system. </w:t>
            </w:r>
          </w:p>
        </w:tc>
      </w:tr>
      <w:tr w:rsidR="00D32A05" w:rsidRPr="001C29FC" w14:paraId="4282B00D" w14:textId="77777777" w:rsidTr="00D32A05">
        <w:trPr>
          <w:cantSplit/>
          <w:tblHeader/>
        </w:trPr>
        <w:tc>
          <w:tcPr>
            <w:tcW w:w="1803" w:type="dxa"/>
            <w:shd w:val="clear" w:color="auto" w:fill="auto"/>
          </w:tcPr>
          <w:p w14:paraId="5D093BF3" w14:textId="77777777" w:rsidR="00D32A05" w:rsidRPr="001C29FC" w:rsidRDefault="00D32A05" w:rsidP="00D32A05">
            <w:pPr>
              <w:pStyle w:val="TableText"/>
              <w:rPr>
                <w:szCs w:val="18"/>
              </w:rPr>
            </w:pPr>
            <w:r w:rsidRPr="001C29FC">
              <w:rPr>
                <w:szCs w:val="18"/>
              </w:rPr>
              <w:t>Update Reagent Inventory</w:t>
            </w:r>
          </w:p>
        </w:tc>
        <w:tc>
          <w:tcPr>
            <w:tcW w:w="1442" w:type="dxa"/>
            <w:shd w:val="clear" w:color="auto" w:fill="auto"/>
          </w:tcPr>
          <w:p w14:paraId="464DB4EA" w14:textId="77777777" w:rsidR="00D32A05" w:rsidRPr="001C29FC" w:rsidRDefault="00D32A05" w:rsidP="00D32A05">
            <w:pPr>
              <w:pStyle w:val="TableText"/>
              <w:rPr>
                <w:szCs w:val="18"/>
              </w:rPr>
            </w:pPr>
            <w:r w:rsidRPr="001C29FC">
              <w:rPr>
                <w:szCs w:val="18"/>
              </w:rPr>
              <w:t>Update Reagent Inventory</w:t>
            </w:r>
          </w:p>
        </w:tc>
        <w:tc>
          <w:tcPr>
            <w:tcW w:w="1633" w:type="dxa"/>
            <w:shd w:val="clear" w:color="auto" w:fill="auto"/>
          </w:tcPr>
          <w:p w14:paraId="2E225478" w14:textId="77777777" w:rsidR="00D32A05" w:rsidRPr="001C29FC" w:rsidRDefault="00D32A05" w:rsidP="00D32A05">
            <w:pPr>
              <w:pStyle w:val="TableText"/>
              <w:rPr>
                <w:szCs w:val="18"/>
              </w:rPr>
            </w:pPr>
            <w:r w:rsidRPr="001C29FC">
              <w:rPr>
                <w:szCs w:val="18"/>
              </w:rPr>
              <w:t>M</w:t>
            </w:r>
          </w:p>
        </w:tc>
        <w:tc>
          <w:tcPr>
            <w:tcW w:w="4482" w:type="dxa"/>
            <w:shd w:val="clear" w:color="auto" w:fill="auto"/>
          </w:tcPr>
          <w:p w14:paraId="760F42CD" w14:textId="77777777" w:rsidR="00D32A05" w:rsidRPr="001C29FC" w:rsidRDefault="00D32A05" w:rsidP="00D32A05">
            <w:pPr>
              <w:pStyle w:val="TableText"/>
              <w:rPr>
                <w:szCs w:val="18"/>
              </w:rPr>
            </w:pPr>
            <w:r w:rsidRPr="001C29FC">
              <w:rPr>
                <w:szCs w:val="18"/>
              </w:rPr>
              <w:t>Accrue workload when a lot number of any type of reagent is updated in the system. When multiple lot numbers are processed in a batch, each lot number’s workload is counted.</w:t>
            </w:r>
          </w:p>
        </w:tc>
      </w:tr>
      <w:tr w:rsidR="00D32A05" w:rsidRPr="001C29FC" w14:paraId="642D4570" w14:textId="77777777" w:rsidTr="00D32A05">
        <w:trPr>
          <w:cantSplit/>
          <w:tblHeader/>
        </w:trPr>
        <w:tc>
          <w:tcPr>
            <w:tcW w:w="1803" w:type="dxa"/>
            <w:shd w:val="clear" w:color="auto" w:fill="auto"/>
          </w:tcPr>
          <w:p w14:paraId="2AA8CD0C" w14:textId="77777777" w:rsidR="00D32A05" w:rsidRPr="001C29FC" w:rsidRDefault="00D32A05" w:rsidP="00D32A05">
            <w:pPr>
              <w:pStyle w:val="TableText"/>
              <w:rPr>
                <w:szCs w:val="18"/>
              </w:rPr>
            </w:pPr>
            <w:r w:rsidRPr="001C29FC">
              <w:rPr>
                <w:szCs w:val="18"/>
              </w:rPr>
              <w:t>Update Supply Inventory</w:t>
            </w:r>
          </w:p>
        </w:tc>
        <w:tc>
          <w:tcPr>
            <w:tcW w:w="1442" w:type="dxa"/>
            <w:shd w:val="clear" w:color="auto" w:fill="auto"/>
          </w:tcPr>
          <w:p w14:paraId="28CF1589" w14:textId="77777777" w:rsidR="00D32A05" w:rsidRPr="001C29FC" w:rsidRDefault="00D32A05" w:rsidP="00D32A05">
            <w:pPr>
              <w:pStyle w:val="TableText"/>
              <w:rPr>
                <w:szCs w:val="18"/>
              </w:rPr>
            </w:pPr>
            <w:r w:rsidRPr="001C29FC">
              <w:rPr>
                <w:szCs w:val="18"/>
              </w:rPr>
              <w:t>Update Supply Inventory</w:t>
            </w:r>
          </w:p>
        </w:tc>
        <w:tc>
          <w:tcPr>
            <w:tcW w:w="1633" w:type="dxa"/>
            <w:shd w:val="clear" w:color="auto" w:fill="auto"/>
          </w:tcPr>
          <w:p w14:paraId="2B79E9E2" w14:textId="77777777" w:rsidR="00D32A05" w:rsidRPr="001C29FC" w:rsidRDefault="00D32A05" w:rsidP="00D32A05">
            <w:pPr>
              <w:pStyle w:val="TableText"/>
              <w:rPr>
                <w:szCs w:val="18"/>
              </w:rPr>
            </w:pPr>
            <w:r w:rsidRPr="001C29FC">
              <w:rPr>
                <w:szCs w:val="18"/>
              </w:rPr>
              <w:t>M</w:t>
            </w:r>
          </w:p>
        </w:tc>
        <w:tc>
          <w:tcPr>
            <w:tcW w:w="4482" w:type="dxa"/>
            <w:shd w:val="clear" w:color="auto" w:fill="auto"/>
          </w:tcPr>
          <w:p w14:paraId="7F0E5705" w14:textId="77777777" w:rsidR="00D32A05" w:rsidRPr="001C29FC" w:rsidRDefault="00D32A05" w:rsidP="00D32A05">
            <w:pPr>
              <w:pStyle w:val="TableText"/>
              <w:rPr>
                <w:szCs w:val="18"/>
              </w:rPr>
            </w:pPr>
            <w:r w:rsidRPr="001C29FC">
              <w:rPr>
                <w:szCs w:val="18"/>
              </w:rPr>
              <w:t>Accrue workload when a lot number of any type of supply is updated in the system. When multiple lot numbers are processed in a batch, each lot number’s workload is counted.</w:t>
            </w:r>
          </w:p>
        </w:tc>
      </w:tr>
    </w:tbl>
    <w:p w14:paraId="37CDC5CF" w14:textId="77777777" w:rsidR="000C4603" w:rsidRDefault="00D32A05" w:rsidP="00965A17">
      <w:pPr>
        <w:pStyle w:val="BodyText"/>
      </w:pPr>
      <w:r w:rsidRPr="001C29FC">
        <w:t>*Accumulates negative workload when it is associated with inactivation of a unit or removal of a final status.</w:t>
      </w:r>
      <w:r w:rsidR="00965A17">
        <w:t xml:space="preserve"> </w:t>
      </w:r>
    </w:p>
    <w:p w14:paraId="437768D2" w14:textId="343F8BE8" w:rsidR="004345CB" w:rsidRPr="001C29FC" w:rsidRDefault="00AC75B2" w:rsidP="004345CB">
      <w:pPr>
        <w:pStyle w:val="Heading2"/>
      </w:pPr>
      <w:r>
        <w:rPr>
          <w:rFonts w:ascii="Times New Roman" w:hAnsi="Times New Roman" w:cs="Times New Roman"/>
          <w:sz w:val="22"/>
          <w:szCs w:val="22"/>
        </w:rPr>
        <w:br w:type="page"/>
      </w:r>
      <w:bookmarkStart w:id="910" w:name="_Ref183767260"/>
      <w:bookmarkStart w:id="911" w:name="_Toc203766026"/>
      <w:r w:rsidR="004345CB" w:rsidRPr="001C29FC">
        <w:lastRenderedPageBreak/>
        <w:t xml:space="preserve">Appendix </w:t>
      </w:r>
      <w:r w:rsidR="00DF6015">
        <w:t>N</w:t>
      </w:r>
      <w:r w:rsidR="004345CB" w:rsidRPr="001C29FC">
        <w:t xml:space="preserve">: </w:t>
      </w:r>
      <w:r w:rsidR="004345CB">
        <w:t>Orderable Reflex Tests</w:t>
      </w:r>
      <w:bookmarkEnd w:id="910"/>
      <w:bookmarkEnd w:id="911"/>
      <w:r w:rsidR="004345CB">
        <w:t xml:space="preserve"> </w:t>
      </w:r>
      <w:r w:rsidR="004345CB">
        <w:rPr>
          <w:rFonts w:ascii="Arial Bold" w:hAnsi="Arial Bold"/>
          <w:vanish/>
        </w:rPr>
        <w:t>Task 285437</w:t>
      </w:r>
      <w:r w:rsidR="004345CB" w:rsidRPr="001C29FC">
        <w:fldChar w:fldCharType="begin"/>
      </w:r>
      <w:r w:rsidR="004345CB" w:rsidRPr="001C29FC">
        <w:instrText xml:space="preserve"> XE "</w:instrText>
      </w:r>
      <w:r w:rsidR="004345CB">
        <w:instrText>Orderable Reflex Tests</w:instrText>
      </w:r>
      <w:r w:rsidR="004345CB" w:rsidRPr="001C29FC">
        <w:instrText xml:space="preserve">" </w:instrText>
      </w:r>
      <w:r w:rsidR="004345CB" w:rsidRPr="001C29FC">
        <w:fldChar w:fldCharType="end"/>
      </w:r>
    </w:p>
    <w:p w14:paraId="6CA8E162" w14:textId="77777777" w:rsidR="004345CB" w:rsidRPr="00EC209A" w:rsidRDefault="004345CB" w:rsidP="004345CB">
      <w:pPr>
        <w:pStyle w:val="BodyText"/>
      </w:pPr>
      <w:r w:rsidRPr="00EC209A">
        <w:t>This is a finite list distributed with VBECS; no local entries may be added.</w:t>
      </w:r>
    </w:p>
    <w:p w14:paraId="448A508F" w14:textId="5687B5A1" w:rsidR="004345CB" w:rsidRPr="001C29FC" w:rsidRDefault="004345CB" w:rsidP="004345CB">
      <w:pPr>
        <w:pStyle w:val="Caption"/>
      </w:pPr>
      <w:r w:rsidRPr="001C29FC">
        <w:t xml:space="preserve">Table </w:t>
      </w:r>
      <w:r>
        <w:rPr>
          <w:noProof/>
        </w:rPr>
        <w:fldChar w:fldCharType="begin"/>
      </w:r>
      <w:r>
        <w:rPr>
          <w:noProof/>
        </w:rPr>
        <w:instrText xml:space="preserve"> SEQ Table \* ARABIC </w:instrText>
      </w:r>
      <w:r>
        <w:rPr>
          <w:noProof/>
        </w:rPr>
        <w:fldChar w:fldCharType="separate"/>
      </w:r>
      <w:r w:rsidR="007D1829">
        <w:rPr>
          <w:noProof/>
        </w:rPr>
        <w:t>38</w:t>
      </w:r>
      <w:r>
        <w:rPr>
          <w:noProof/>
        </w:rPr>
        <w:fldChar w:fldCharType="end"/>
      </w:r>
      <w:r w:rsidRPr="001C29FC">
        <w:t xml:space="preserve">: </w:t>
      </w:r>
      <w:r>
        <w:t>Orderable Reflex Tests</w:t>
      </w:r>
      <w:r>
        <w:fldChar w:fldCharType="begin"/>
      </w:r>
      <w:r>
        <w:instrText xml:space="preserve"> XE "Tables:Orderable Reflex Tests" </w:instrText>
      </w:r>
      <w:r>
        <w:fldChar w:fldCharType="end"/>
      </w:r>
    </w:p>
    <w:tbl>
      <w:tblPr>
        <w:tblW w:w="9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68"/>
        <w:gridCol w:w="2760"/>
        <w:gridCol w:w="2040"/>
        <w:gridCol w:w="1920"/>
      </w:tblGrid>
      <w:tr w:rsidR="004345CB" w:rsidRPr="00EC209A" w14:paraId="5AA9D70A" w14:textId="77777777" w:rsidTr="004345CB">
        <w:trPr>
          <w:cantSplit/>
          <w:trHeight w:val="403"/>
          <w:tblHeader/>
        </w:trPr>
        <w:tc>
          <w:tcPr>
            <w:tcW w:w="9588" w:type="dxa"/>
            <w:gridSpan w:val="4"/>
            <w:shd w:val="clear" w:color="auto" w:fill="C0C0C0"/>
          </w:tcPr>
          <w:p w14:paraId="4E8836C4" w14:textId="77777777" w:rsidR="004345CB" w:rsidRPr="00EC209A" w:rsidRDefault="004345CB" w:rsidP="00D47D34">
            <w:pPr>
              <w:pStyle w:val="TableText"/>
              <w:jc w:val="center"/>
              <w:rPr>
                <w:b/>
              </w:rPr>
            </w:pPr>
            <w:r w:rsidRPr="00EC209A">
              <w:rPr>
                <w:b/>
              </w:rPr>
              <w:t>Orderable Reflex Tests</w:t>
            </w:r>
          </w:p>
        </w:tc>
      </w:tr>
      <w:tr w:rsidR="004345CB" w:rsidRPr="00EC209A" w14:paraId="0D9006D2" w14:textId="77777777" w:rsidTr="004345CB">
        <w:trPr>
          <w:cantSplit/>
          <w:trHeight w:val="224"/>
          <w:tblHeader/>
        </w:trPr>
        <w:tc>
          <w:tcPr>
            <w:tcW w:w="2868" w:type="dxa"/>
            <w:vMerge w:val="restart"/>
            <w:shd w:val="clear" w:color="auto" w:fill="C0C0C0"/>
          </w:tcPr>
          <w:p w14:paraId="40AB92AB" w14:textId="77777777" w:rsidR="004345CB" w:rsidRPr="00EC209A" w:rsidRDefault="004345CB" w:rsidP="00D47D34">
            <w:pPr>
              <w:pStyle w:val="TableText"/>
              <w:jc w:val="center"/>
              <w:rPr>
                <w:b/>
                <w:sz w:val="20"/>
              </w:rPr>
            </w:pPr>
            <w:r w:rsidRPr="00EC209A">
              <w:rPr>
                <w:b/>
                <w:sz w:val="20"/>
              </w:rPr>
              <w:t>CPRS Ordered Tests</w:t>
            </w:r>
          </w:p>
        </w:tc>
        <w:tc>
          <w:tcPr>
            <w:tcW w:w="6720" w:type="dxa"/>
            <w:gridSpan w:val="3"/>
            <w:shd w:val="clear" w:color="auto" w:fill="C0C0C0"/>
          </w:tcPr>
          <w:p w14:paraId="11268384" w14:textId="77777777" w:rsidR="004345CB" w:rsidRPr="00EC209A" w:rsidRDefault="004345CB" w:rsidP="00D47D34">
            <w:pPr>
              <w:pStyle w:val="TableText"/>
              <w:jc w:val="center"/>
              <w:rPr>
                <w:b/>
              </w:rPr>
            </w:pPr>
            <w:r w:rsidRPr="00EC209A">
              <w:rPr>
                <w:b/>
              </w:rPr>
              <w:t>VBECS Orderable Reflex Tests</w:t>
            </w:r>
          </w:p>
        </w:tc>
      </w:tr>
      <w:tr w:rsidR="004345CB" w:rsidRPr="00EC209A" w14:paraId="31BA5E04" w14:textId="77777777" w:rsidTr="004345CB">
        <w:trPr>
          <w:cantSplit/>
          <w:tblHeader/>
        </w:trPr>
        <w:tc>
          <w:tcPr>
            <w:tcW w:w="2868" w:type="dxa"/>
            <w:vMerge/>
            <w:tcBorders>
              <w:bottom w:val="single" w:sz="12" w:space="0" w:color="auto"/>
            </w:tcBorders>
            <w:shd w:val="clear" w:color="auto" w:fill="C0C0C0"/>
            <w:vAlign w:val="bottom"/>
          </w:tcPr>
          <w:p w14:paraId="69624BAD" w14:textId="77777777" w:rsidR="004345CB" w:rsidRPr="00EC209A" w:rsidRDefault="004345CB" w:rsidP="00D47D34">
            <w:pPr>
              <w:pStyle w:val="TableText"/>
              <w:rPr>
                <w:rFonts w:eastAsia="Arial Unicode MS"/>
              </w:rPr>
            </w:pPr>
          </w:p>
        </w:tc>
        <w:tc>
          <w:tcPr>
            <w:tcW w:w="2760" w:type="dxa"/>
            <w:tcBorders>
              <w:bottom w:val="single" w:sz="12" w:space="0" w:color="auto"/>
            </w:tcBorders>
            <w:shd w:val="clear" w:color="auto" w:fill="C0C0C0"/>
          </w:tcPr>
          <w:p w14:paraId="7AFE1E2F" w14:textId="77777777" w:rsidR="004345CB" w:rsidRPr="00EC209A" w:rsidRDefault="004345CB" w:rsidP="00D47D34">
            <w:pPr>
              <w:pStyle w:val="TableText"/>
            </w:pPr>
            <w:r w:rsidRPr="00EC209A">
              <w:t>Orderable Reflex tests displayed in UC_45</w:t>
            </w:r>
          </w:p>
        </w:tc>
        <w:tc>
          <w:tcPr>
            <w:tcW w:w="3960" w:type="dxa"/>
            <w:gridSpan w:val="2"/>
            <w:tcBorders>
              <w:bottom w:val="single" w:sz="12" w:space="0" w:color="auto"/>
            </w:tcBorders>
            <w:shd w:val="clear" w:color="auto" w:fill="C0C0C0"/>
          </w:tcPr>
          <w:p w14:paraId="01D8F853" w14:textId="77777777" w:rsidR="004345CB" w:rsidRPr="00EC209A" w:rsidRDefault="004345CB" w:rsidP="00D47D34">
            <w:pPr>
              <w:pStyle w:val="TableText"/>
            </w:pPr>
            <w:r w:rsidRPr="00EC209A">
              <w:t>Orderable Reflex Tests on Reflex Tests</w:t>
            </w:r>
          </w:p>
          <w:p w14:paraId="7BBB3661" w14:textId="77777777" w:rsidR="004345CB" w:rsidRPr="00EC209A" w:rsidRDefault="004345CB" w:rsidP="00D47D34">
            <w:pPr>
              <w:pStyle w:val="TableText"/>
            </w:pPr>
            <w:r w:rsidRPr="00EC209A">
              <w:t xml:space="preserve">Orderable Reflex tests displayed in UC_45 </w:t>
            </w:r>
          </w:p>
          <w:p w14:paraId="58222A37" w14:textId="77777777" w:rsidR="004345CB" w:rsidRPr="00EC209A" w:rsidRDefault="004345CB" w:rsidP="00D47D34">
            <w:pPr>
              <w:pStyle w:val="TableText"/>
              <w:rPr>
                <w:sz w:val="16"/>
              </w:rPr>
            </w:pPr>
            <w:r w:rsidRPr="00EC209A">
              <w:rPr>
                <w:sz w:val="16"/>
              </w:rPr>
              <w:t>*No limit to repeat orders unless otherwise indicated. Repeat orders may not be used to place other repeat orders.</w:t>
            </w:r>
          </w:p>
        </w:tc>
      </w:tr>
      <w:tr w:rsidR="004345CB" w:rsidRPr="00EC209A" w14:paraId="673F2C4C" w14:textId="77777777" w:rsidTr="004345CB">
        <w:trPr>
          <w:cantSplit/>
          <w:trHeight w:val="309"/>
        </w:trPr>
        <w:tc>
          <w:tcPr>
            <w:tcW w:w="2868" w:type="dxa"/>
            <w:vMerge w:val="restart"/>
            <w:tcBorders>
              <w:top w:val="single" w:sz="12" w:space="0" w:color="auto"/>
            </w:tcBorders>
            <w:shd w:val="clear" w:color="auto" w:fill="C0C0C0"/>
          </w:tcPr>
          <w:p w14:paraId="55B597B8" w14:textId="77777777" w:rsidR="004345CB" w:rsidRPr="00EC209A" w:rsidRDefault="004345CB" w:rsidP="00D47D34">
            <w:pPr>
              <w:pStyle w:val="TableText"/>
              <w:rPr>
                <w:rFonts w:eastAsia="Arial Unicode MS"/>
              </w:rPr>
            </w:pPr>
            <w:r w:rsidRPr="00EC209A">
              <w:rPr>
                <w:rFonts w:eastAsia="Arial Unicode MS"/>
              </w:rPr>
              <w:t>TAS (Type &amp; Screen)</w:t>
            </w:r>
          </w:p>
          <w:p w14:paraId="328A46A3" w14:textId="77777777" w:rsidR="004345CB" w:rsidRPr="00EC209A" w:rsidRDefault="004345CB" w:rsidP="00D47D34">
            <w:pPr>
              <w:pStyle w:val="TableText"/>
              <w:rPr>
                <w:rFonts w:eastAsia="Arial Unicode MS"/>
              </w:rPr>
            </w:pPr>
            <w:r w:rsidRPr="00EC209A">
              <w:rPr>
                <w:rFonts w:eastAsia="Arial Unicode MS"/>
              </w:rPr>
              <w:t>May be configured as:</w:t>
            </w:r>
          </w:p>
          <w:p w14:paraId="7DC4980E" w14:textId="77777777" w:rsidR="004345CB" w:rsidRPr="00EC209A" w:rsidRDefault="004345CB" w:rsidP="004345CB">
            <w:pPr>
              <w:pStyle w:val="TableText"/>
              <w:numPr>
                <w:ilvl w:val="0"/>
                <w:numId w:val="99"/>
              </w:numPr>
              <w:rPr>
                <w:rFonts w:eastAsia="Arial Unicode MS"/>
              </w:rPr>
            </w:pPr>
            <w:r w:rsidRPr="00EC209A">
              <w:rPr>
                <w:rFonts w:eastAsia="Arial Unicode MS"/>
              </w:rPr>
              <w:t>ABS only</w:t>
            </w:r>
          </w:p>
          <w:p w14:paraId="7A0A3DCE" w14:textId="77777777" w:rsidR="004345CB" w:rsidRPr="00EC209A" w:rsidRDefault="004345CB" w:rsidP="004345CB">
            <w:pPr>
              <w:pStyle w:val="TableText"/>
              <w:numPr>
                <w:ilvl w:val="0"/>
                <w:numId w:val="99"/>
              </w:numPr>
              <w:rPr>
                <w:rFonts w:eastAsia="Arial Unicode MS"/>
              </w:rPr>
            </w:pPr>
            <w:r w:rsidRPr="00EC209A">
              <w:rPr>
                <w:rFonts w:eastAsia="Arial Unicode MS"/>
              </w:rPr>
              <w:t xml:space="preserve">ABS plus Autocontol </w:t>
            </w:r>
          </w:p>
          <w:p w14:paraId="75F1F740" w14:textId="77777777" w:rsidR="004345CB" w:rsidRPr="00EC209A" w:rsidRDefault="004345CB" w:rsidP="004345CB">
            <w:pPr>
              <w:pStyle w:val="TableText"/>
              <w:numPr>
                <w:ilvl w:val="0"/>
                <w:numId w:val="99"/>
              </w:numPr>
              <w:rPr>
                <w:rFonts w:eastAsia="Arial Unicode MS"/>
              </w:rPr>
            </w:pPr>
            <w:r w:rsidRPr="00EC209A">
              <w:rPr>
                <w:rFonts w:eastAsia="Arial Unicode MS"/>
              </w:rPr>
              <w:t>ABS plus DAT</w:t>
            </w:r>
          </w:p>
        </w:tc>
        <w:tc>
          <w:tcPr>
            <w:tcW w:w="2760" w:type="dxa"/>
            <w:tcBorders>
              <w:top w:val="single" w:sz="12" w:space="0" w:color="auto"/>
            </w:tcBorders>
          </w:tcPr>
          <w:p w14:paraId="5EA75659" w14:textId="77777777" w:rsidR="004345CB" w:rsidRPr="00EC209A" w:rsidRDefault="004345CB" w:rsidP="00D47D34">
            <w:pPr>
              <w:pStyle w:val="TableText"/>
            </w:pPr>
            <w:r w:rsidRPr="00EC209A">
              <w:t xml:space="preserve">Repeat ABO/Rh </w:t>
            </w:r>
          </w:p>
          <w:p w14:paraId="54A87729" w14:textId="77777777" w:rsidR="004345CB" w:rsidRPr="00EC209A" w:rsidRDefault="004345CB" w:rsidP="00D47D34">
            <w:pPr>
              <w:pStyle w:val="TableText"/>
              <w:rPr>
                <w:sz w:val="16"/>
              </w:rPr>
            </w:pPr>
            <w:r w:rsidRPr="00EC209A">
              <w:t>If discrepant with the previous specimen test, cannot order additional repeat tests</w:t>
            </w:r>
            <w:r>
              <w:t>.</w:t>
            </w:r>
          </w:p>
        </w:tc>
        <w:tc>
          <w:tcPr>
            <w:tcW w:w="3960" w:type="dxa"/>
            <w:gridSpan w:val="2"/>
            <w:tcBorders>
              <w:top w:val="single" w:sz="12" w:space="0" w:color="auto"/>
            </w:tcBorders>
          </w:tcPr>
          <w:p w14:paraId="5DF05023" w14:textId="77777777" w:rsidR="004345CB" w:rsidRPr="00EC209A" w:rsidRDefault="004345CB" w:rsidP="00D47D34">
            <w:pPr>
              <w:pStyle w:val="TableText"/>
            </w:pPr>
            <w:r w:rsidRPr="00EC209A">
              <w:t>If discrepant, cannot order additional repeat ABO/Rh test</w:t>
            </w:r>
            <w:r>
              <w:t>s</w:t>
            </w:r>
            <w:r w:rsidRPr="00EC209A">
              <w:t>.</w:t>
            </w:r>
          </w:p>
        </w:tc>
      </w:tr>
      <w:tr w:rsidR="004345CB" w:rsidRPr="00EC209A" w14:paraId="6C09A096" w14:textId="77777777" w:rsidTr="004345CB">
        <w:trPr>
          <w:cantSplit/>
          <w:trHeight w:val="309"/>
        </w:trPr>
        <w:tc>
          <w:tcPr>
            <w:tcW w:w="2868" w:type="dxa"/>
            <w:vMerge/>
            <w:shd w:val="clear" w:color="auto" w:fill="C0C0C0"/>
          </w:tcPr>
          <w:p w14:paraId="7D935ACA" w14:textId="77777777" w:rsidR="004345CB" w:rsidRPr="00EC209A" w:rsidRDefault="004345CB" w:rsidP="00D47D34">
            <w:pPr>
              <w:pStyle w:val="TableText"/>
              <w:rPr>
                <w:rFonts w:eastAsia="Arial Unicode MS"/>
              </w:rPr>
            </w:pPr>
          </w:p>
        </w:tc>
        <w:tc>
          <w:tcPr>
            <w:tcW w:w="6720" w:type="dxa"/>
            <w:gridSpan w:val="3"/>
          </w:tcPr>
          <w:p w14:paraId="190EE8E7" w14:textId="77777777" w:rsidR="004345CB" w:rsidRPr="00EC209A" w:rsidRDefault="004345CB" w:rsidP="00D47D34">
            <w:pPr>
              <w:pStyle w:val="TableText"/>
            </w:pPr>
            <w:r w:rsidRPr="00EC209A">
              <w:t>Repeat ABS*</w:t>
            </w:r>
          </w:p>
        </w:tc>
      </w:tr>
      <w:tr w:rsidR="004345CB" w:rsidRPr="00EC209A" w14:paraId="60DFC45C" w14:textId="77777777" w:rsidTr="004345CB">
        <w:trPr>
          <w:cantSplit/>
          <w:trHeight w:val="309"/>
        </w:trPr>
        <w:tc>
          <w:tcPr>
            <w:tcW w:w="2868" w:type="dxa"/>
            <w:vMerge/>
            <w:shd w:val="clear" w:color="auto" w:fill="C0C0C0"/>
          </w:tcPr>
          <w:p w14:paraId="48627CF3" w14:textId="77777777" w:rsidR="004345CB" w:rsidRPr="00EC209A" w:rsidRDefault="004345CB" w:rsidP="00D47D34">
            <w:pPr>
              <w:pStyle w:val="TableText"/>
              <w:rPr>
                <w:rFonts w:eastAsia="Arial Unicode MS"/>
              </w:rPr>
            </w:pPr>
          </w:p>
        </w:tc>
        <w:tc>
          <w:tcPr>
            <w:tcW w:w="2760" w:type="dxa"/>
          </w:tcPr>
          <w:p w14:paraId="056043D5" w14:textId="77777777" w:rsidR="004345CB" w:rsidRPr="00EC209A" w:rsidRDefault="004345CB" w:rsidP="00D47D34">
            <w:pPr>
              <w:pStyle w:val="TableText"/>
            </w:pPr>
            <w:r w:rsidRPr="00EC209A">
              <w:t>Patient Antigen Typing</w:t>
            </w:r>
          </w:p>
        </w:tc>
        <w:tc>
          <w:tcPr>
            <w:tcW w:w="3960" w:type="dxa"/>
            <w:gridSpan w:val="2"/>
          </w:tcPr>
          <w:p w14:paraId="5916F5C7" w14:textId="77777777" w:rsidR="004345CB" w:rsidRPr="00EC209A" w:rsidRDefault="004345CB" w:rsidP="00D47D34">
            <w:pPr>
              <w:pStyle w:val="TableText"/>
            </w:pPr>
            <w:r w:rsidRPr="00EC209A">
              <w:t>Repeat Patient Antigen Typing*</w:t>
            </w:r>
          </w:p>
        </w:tc>
      </w:tr>
      <w:tr w:rsidR="004345CB" w:rsidRPr="00EC209A" w14:paraId="219E21D9" w14:textId="77777777" w:rsidTr="004345CB">
        <w:trPr>
          <w:cantSplit/>
          <w:trHeight w:val="309"/>
        </w:trPr>
        <w:tc>
          <w:tcPr>
            <w:tcW w:w="2868" w:type="dxa"/>
            <w:vMerge/>
            <w:shd w:val="clear" w:color="auto" w:fill="C0C0C0"/>
          </w:tcPr>
          <w:p w14:paraId="037CDAF0" w14:textId="77777777" w:rsidR="004345CB" w:rsidRPr="00EC209A" w:rsidRDefault="004345CB" w:rsidP="00D47D34">
            <w:pPr>
              <w:pStyle w:val="TableText"/>
              <w:rPr>
                <w:rFonts w:eastAsia="Arial Unicode MS"/>
              </w:rPr>
            </w:pPr>
          </w:p>
        </w:tc>
        <w:tc>
          <w:tcPr>
            <w:tcW w:w="2760" w:type="dxa"/>
            <w:vMerge w:val="restart"/>
          </w:tcPr>
          <w:p w14:paraId="67E7D0AC" w14:textId="77777777" w:rsidR="004345CB" w:rsidRPr="00EC209A" w:rsidRDefault="004345CB" w:rsidP="00D47D34">
            <w:pPr>
              <w:pStyle w:val="TableText"/>
            </w:pPr>
            <w:r w:rsidRPr="00EC209A">
              <w:t>DAT</w:t>
            </w:r>
            <w:r w:rsidRPr="00EC209A">
              <w:rPr>
                <w:sz w:val="16"/>
              </w:rPr>
              <w:t xml:space="preserve"> (or Repeat DAT, if configured to ABS plus DAT)</w:t>
            </w:r>
          </w:p>
        </w:tc>
        <w:tc>
          <w:tcPr>
            <w:tcW w:w="3960" w:type="dxa"/>
            <w:gridSpan w:val="2"/>
          </w:tcPr>
          <w:p w14:paraId="433D4C1F" w14:textId="77777777" w:rsidR="004345CB" w:rsidRPr="00EC209A" w:rsidRDefault="004345CB" w:rsidP="00D47D34">
            <w:pPr>
              <w:pStyle w:val="TableText"/>
            </w:pPr>
            <w:r w:rsidRPr="00EC209A">
              <w:t>Repeat DAT*</w:t>
            </w:r>
          </w:p>
        </w:tc>
      </w:tr>
      <w:tr w:rsidR="004345CB" w:rsidRPr="00EC209A" w14:paraId="12476966" w14:textId="77777777" w:rsidTr="004345CB">
        <w:trPr>
          <w:cantSplit/>
          <w:trHeight w:val="309"/>
        </w:trPr>
        <w:tc>
          <w:tcPr>
            <w:tcW w:w="2868" w:type="dxa"/>
            <w:vMerge/>
            <w:shd w:val="clear" w:color="auto" w:fill="C0C0C0"/>
          </w:tcPr>
          <w:p w14:paraId="4A853A7A" w14:textId="77777777" w:rsidR="004345CB" w:rsidRPr="00EC209A" w:rsidRDefault="004345CB" w:rsidP="00D47D34">
            <w:pPr>
              <w:pStyle w:val="TableText"/>
              <w:rPr>
                <w:rFonts w:eastAsia="Arial Unicode MS"/>
              </w:rPr>
            </w:pPr>
          </w:p>
        </w:tc>
        <w:tc>
          <w:tcPr>
            <w:tcW w:w="2760" w:type="dxa"/>
            <w:vMerge/>
          </w:tcPr>
          <w:p w14:paraId="74214072" w14:textId="77777777" w:rsidR="004345CB" w:rsidRPr="00EC209A" w:rsidRDefault="004345CB" w:rsidP="00D47D34">
            <w:pPr>
              <w:pStyle w:val="TableText"/>
            </w:pPr>
          </w:p>
        </w:tc>
        <w:tc>
          <w:tcPr>
            <w:tcW w:w="2040" w:type="dxa"/>
          </w:tcPr>
          <w:p w14:paraId="3AB2455C" w14:textId="77777777" w:rsidR="004345CB" w:rsidRPr="00EC209A" w:rsidRDefault="004345CB" w:rsidP="00D47D34">
            <w:pPr>
              <w:pStyle w:val="TableText"/>
            </w:pPr>
            <w:r w:rsidRPr="00EC209A">
              <w:t xml:space="preserve">DAT IgG </w:t>
            </w:r>
          </w:p>
        </w:tc>
        <w:tc>
          <w:tcPr>
            <w:tcW w:w="1920" w:type="dxa"/>
          </w:tcPr>
          <w:p w14:paraId="641B9C48" w14:textId="77777777" w:rsidR="004345CB" w:rsidRPr="00EC209A" w:rsidRDefault="004345CB" w:rsidP="00D47D34">
            <w:pPr>
              <w:pStyle w:val="TableText"/>
            </w:pPr>
            <w:r w:rsidRPr="00EC209A">
              <w:t>Repeat DAT lgG*</w:t>
            </w:r>
          </w:p>
        </w:tc>
      </w:tr>
      <w:tr w:rsidR="004345CB" w:rsidRPr="00EC209A" w14:paraId="25DCE15D" w14:textId="77777777" w:rsidTr="004345CB">
        <w:trPr>
          <w:cantSplit/>
          <w:trHeight w:val="309"/>
        </w:trPr>
        <w:tc>
          <w:tcPr>
            <w:tcW w:w="2868" w:type="dxa"/>
            <w:vMerge/>
            <w:shd w:val="clear" w:color="auto" w:fill="C0C0C0"/>
          </w:tcPr>
          <w:p w14:paraId="58A32F77" w14:textId="77777777" w:rsidR="004345CB" w:rsidRPr="00EC209A" w:rsidRDefault="004345CB" w:rsidP="00D47D34">
            <w:pPr>
              <w:pStyle w:val="TableText"/>
              <w:rPr>
                <w:rFonts w:eastAsia="Arial Unicode MS"/>
              </w:rPr>
            </w:pPr>
          </w:p>
        </w:tc>
        <w:tc>
          <w:tcPr>
            <w:tcW w:w="2760" w:type="dxa"/>
            <w:vMerge/>
          </w:tcPr>
          <w:p w14:paraId="0760D807" w14:textId="77777777" w:rsidR="004345CB" w:rsidRPr="00EC209A" w:rsidRDefault="004345CB" w:rsidP="00D47D34">
            <w:pPr>
              <w:pStyle w:val="TableText"/>
            </w:pPr>
          </w:p>
        </w:tc>
        <w:tc>
          <w:tcPr>
            <w:tcW w:w="2040" w:type="dxa"/>
          </w:tcPr>
          <w:p w14:paraId="294C3852" w14:textId="77777777" w:rsidR="004345CB" w:rsidRPr="00EC209A" w:rsidRDefault="004345CB" w:rsidP="00D47D34">
            <w:pPr>
              <w:pStyle w:val="TableText"/>
            </w:pPr>
            <w:r w:rsidRPr="00EC209A">
              <w:t>DAT Comp</w:t>
            </w:r>
          </w:p>
        </w:tc>
        <w:tc>
          <w:tcPr>
            <w:tcW w:w="1920" w:type="dxa"/>
          </w:tcPr>
          <w:p w14:paraId="6C1968F8" w14:textId="77777777" w:rsidR="004345CB" w:rsidRPr="00EC209A" w:rsidRDefault="004345CB" w:rsidP="00D47D34">
            <w:pPr>
              <w:pStyle w:val="TableText"/>
            </w:pPr>
            <w:r w:rsidRPr="00EC209A">
              <w:t>Repeat DAT Comp*</w:t>
            </w:r>
          </w:p>
        </w:tc>
      </w:tr>
      <w:tr w:rsidR="004345CB" w:rsidRPr="00EC209A" w14:paraId="2800E18E" w14:textId="77777777" w:rsidTr="004345CB">
        <w:trPr>
          <w:cantSplit/>
          <w:trHeight w:val="309"/>
        </w:trPr>
        <w:tc>
          <w:tcPr>
            <w:tcW w:w="2868" w:type="dxa"/>
            <w:vMerge/>
            <w:shd w:val="clear" w:color="auto" w:fill="C0C0C0"/>
          </w:tcPr>
          <w:p w14:paraId="25BE7C96" w14:textId="77777777" w:rsidR="004345CB" w:rsidRPr="00EC209A" w:rsidRDefault="004345CB" w:rsidP="00D47D34">
            <w:pPr>
              <w:pStyle w:val="TableText"/>
              <w:rPr>
                <w:rFonts w:eastAsia="Arial Unicode MS"/>
              </w:rPr>
            </w:pPr>
          </w:p>
        </w:tc>
        <w:tc>
          <w:tcPr>
            <w:tcW w:w="2760" w:type="dxa"/>
            <w:vMerge w:val="restart"/>
          </w:tcPr>
          <w:p w14:paraId="17BE4B21" w14:textId="77777777" w:rsidR="004345CB" w:rsidRPr="00EC209A" w:rsidRDefault="004345CB" w:rsidP="00D47D34">
            <w:pPr>
              <w:pStyle w:val="TableText"/>
            </w:pPr>
            <w:r w:rsidRPr="00EC209A">
              <w:t>ABID</w:t>
            </w:r>
          </w:p>
        </w:tc>
        <w:tc>
          <w:tcPr>
            <w:tcW w:w="3960" w:type="dxa"/>
            <w:gridSpan w:val="2"/>
          </w:tcPr>
          <w:p w14:paraId="7A54F326" w14:textId="77777777" w:rsidR="004345CB" w:rsidRPr="00EC209A" w:rsidRDefault="004345CB" w:rsidP="00D47D34">
            <w:pPr>
              <w:pStyle w:val="TableText"/>
            </w:pPr>
            <w:r w:rsidRPr="00EC209A">
              <w:t>Repeat ABID*</w:t>
            </w:r>
          </w:p>
        </w:tc>
      </w:tr>
      <w:tr w:rsidR="004345CB" w:rsidRPr="00EC209A" w14:paraId="6A80B550" w14:textId="77777777" w:rsidTr="004345CB">
        <w:trPr>
          <w:cantSplit/>
          <w:trHeight w:val="339"/>
        </w:trPr>
        <w:tc>
          <w:tcPr>
            <w:tcW w:w="2868" w:type="dxa"/>
            <w:vMerge/>
            <w:shd w:val="clear" w:color="auto" w:fill="C0C0C0"/>
          </w:tcPr>
          <w:p w14:paraId="44D9DC07" w14:textId="77777777" w:rsidR="004345CB" w:rsidRPr="00EC209A" w:rsidRDefault="004345CB" w:rsidP="00D47D34">
            <w:pPr>
              <w:pStyle w:val="TableText"/>
              <w:rPr>
                <w:rFonts w:eastAsia="Arial Unicode MS"/>
              </w:rPr>
            </w:pPr>
          </w:p>
        </w:tc>
        <w:tc>
          <w:tcPr>
            <w:tcW w:w="2760" w:type="dxa"/>
            <w:vMerge/>
          </w:tcPr>
          <w:p w14:paraId="74DAD168" w14:textId="77777777" w:rsidR="004345CB" w:rsidRPr="00EC209A" w:rsidRDefault="004345CB" w:rsidP="00D47D34">
            <w:pPr>
              <w:pStyle w:val="TableText"/>
            </w:pPr>
          </w:p>
        </w:tc>
        <w:tc>
          <w:tcPr>
            <w:tcW w:w="3960" w:type="dxa"/>
            <w:gridSpan w:val="2"/>
          </w:tcPr>
          <w:p w14:paraId="09A06CF5" w14:textId="77777777" w:rsidR="004345CB" w:rsidRPr="00EC209A" w:rsidRDefault="004345CB" w:rsidP="00D47D34">
            <w:pPr>
              <w:pStyle w:val="TableText"/>
            </w:pPr>
            <w:r w:rsidRPr="00EC209A">
              <w:t>Repeat DAT*</w:t>
            </w:r>
          </w:p>
        </w:tc>
      </w:tr>
      <w:tr w:rsidR="004345CB" w:rsidRPr="00EC209A" w14:paraId="526A286D" w14:textId="77777777" w:rsidTr="004345CB">
        <w:trPr>
          <w:cantSplit/>
          <w:trHeight w:val="309"/>
        </w:trPr>
        <w:tc>
          <w:tcPr>
            <w:tcW w:w="2868" w:type="dxa"/>
            <w:vMerge/>
            <w:shd w:val="clear" w:color="auto" w:fill="C0C0C0"/>
          </w:tcPr>
          <w:p w14:paraId="66B8B4BF" w14:textId="77777777" w:rsidR="004345CB" w:rsidRPr="00EC209A" w:rsidRDefault="004345CB" w:rsidP="00D47D34">
            <w:pPr>
              <w:pStyle w:val="TableText"/>
              <w:rPr>
                <w:rFonts w:eastAsia="Arial Unicode MS"/>
              </w:rPr>
            </w:pPr>
          </w:p>
        </w:tc>
        <w:tc>
          <w:tcPr>
            <w:tcW w:w="2760" w:type="dxa"/>
            <w:vMerge/>
          </w:tcPr>
          <w:p w14:paraId="56FAF8CC" w14:textId="77777777" w:rsidR="004345CB" w:rsidRPr="00EC209A" w:rsidRDefault="004345CB" w:rsidP="00D47D34">
            <w:pPr>
              <w:pStyle w:val="TableText"/>
            </w:pPr>
          </w:p>
        </w:tc>
        <w:tc>
          <w:tcPr>
            <w:tcW w:w="2040" w:type="dxa"/>
          </w:tcPr>
          <w:p w14:paraId="75279C26" w14:textId="77777777" w:rsidR="004345CB" w:rsidRPr="00EC209A" w:rsidRDefault="004345CB" w:rsidP="00D47D34">
            <w:pPr>
              <w:pStyle w:val="TableText"/>
            </w:pPr>
            <w:r w:rsidRPr="00EC209A">
              <w:t xml:space="preserve">DAT IgG </w:t>
            </w:r>
          </w:p>
        </w:tc>
        <w:tc>
          <w:tcPr>
            <w:tcW w:w="1920" w:type="dxa"/>
          </w:tcPr>
          <w:p w14:paraId="0B9E492E" w14:textId="77777777" w:rsidR="004345CB" w:rsidRPr="00EC209A" w:rsidRDefault="004345CB" w:rsidP="00D47D34">
            <w:pPr>
              <w:pStyle w:val="TableText"/>
            </w:pPr>
            <w:r w:rsidRPr="00EC209A">
              <w:t>Repeat DAT lgG*</w:t>
            </w:r>
          </w:p>
        </w:tc>
      </w:tr>
      <w:tr w:rsidR="004345CB" w:rsidRPr="00EC209A" w14:paraId="09936E69" w14:textId="77777777" w:rsidTr="004345CB">
        <w:trPr>
          <w:cantSplit/>
          <w:trHeight w:val="309"/>
        </w:trPr>
        <w:tc>
          <w:tcPr>
            <w:tcW w:w="2868" w:type="dxa"/>
            <w:vMerge/>
            <w:shd w:val="clear" w:color="auto" w:fill="C0C0C0"/>
          </w:tcPr>
          <w:p w14:paraId="4D9DB8B6" w14:textId="77777777" w:rsidR="004345CB" w:rsidRPr="00EC209A" w:rsidRDefault="004345CB" w:rsidP="00D47D34">
            <w:pPr>
              <w:pStyle w:val="TableText"/>
              <w:rPr>
                <w:rFonts w:eastAsia="Arial Unicode MS"/>
              </w:rPr>
            </w:pPr>
          </w:p>
        </w:tc>
        <w:tc>
          <w:tcPr>
            <w:tcW w:w="2760" w:type="dxa"/>
            <w:vMerge/>
          </w:tcPr>
          <w:p w14:paraId="36C3F329" w14:textId="77777777" w:rsidR="004345CB" w:rsidRPr="00EC209A" w:rsidRDefault="004345CB" w:rsidP="00D47D34">
            <w:pPr>
              <w:pStyle w:val="TableText"/>
            </w:pPr>
          </w:p>
        </w:tc>
        <w:tc>
          <w:tcPr>
            <w:tcW w:w="2040" w:type="dxa"/>
          </w:tcPr>
          <w:p w14:paraId="16544BF5" w14:textId="77777777" w:rsidR="004345CB" w:rsidRPr="00EC209A" w:rsidRDefault="004345CB" w:rsidP="00D47D34">
            <w:pPr>
              <w:pStyle w:val="TableText"/>
            </w:pPr>
            <w:r w:rsidRPr="00EC209A">
              <w:t>DAT Comp</w:t>
            </w:r>
          </w:p>
        </w:tc>
        <w:tc>
          <w:tcPr>
            <w:tcW w:w="1920" w:type="dxa"/>
          </w:tcPr>
          <w:p w14:paraId="3AF2A43C" w14:textId="77777777" w:rsidR="004345CB" w:rsidRPr="00EC209A" w:rsidRDefault="004345CB" w:rsidP="00D47D34">
            <w:pPr>
              <w:pStyle w:val="TableText"/>
            </w:pPr>
            <w:r w:rsidRPr="00EC209A">
              <w:t>Repeat DAT Comp*</w:t>
            </w:r>
          </w:p>
        </w:tc>
      </w:tr>
      <w:tr w:rsidR="004345CB" w:rsidRPr="00EC209A" w14:paraId="5D00CE3A" w14:textId="77777777" w:rsidTr="004345CB">
        <w:trPr>
          <w:cantSplit/>
          <w:trHeight w:val="309"/>
        </w:trPr>
        <w:tc>
          <w:tcPr>
            <w:tcW w:w="2868" w:type="dxa"/>
            <w:vMerge/>
            <w:shd w:val="clear" w:color="auto" w:fill="C0C0C0"/>
          </w:tcPr>
          <w:p w14:paraId="77FF7919" w14:textId="77777777" w:rsidR="004345CB" w:rsidRPr="00EC209A" w:rsidRDefault="004345CB" w:rsidP="00D47D34">
            <w:pPr>
              <w:pStyle w:val="TableText"/>
              <w:rPr>
                <w:rFonts w:eastAsia="Arial Unicode MS"/>
              </w:rPr>
            </w:pPr>
          </w:p>
        </w:tc>
        <w:tc>
          <w:tcPr>
            <w:tcW w:w="2760" w:type="dxa"/>
            <w:vMerge/>
            <w:tcBorders>
              <w:bottom w:val="single" w:sz="4" w:space="0" w:color="auto"/>
            </w:tcBorders>
          </w:tcPr>
          <w:p w14:paraId="1ED5B4D0" w14:textId="77777777" w:rsidR="004345CB" w:rsidRPr="00EC209A" w:rsidRDefault="004345CB" w:rsidP="00D47D34">
            <w:pPr>
              <w:pStyle w:val="TableText"/>
            </w:pPr>
          </w:p>
        </w:tc>
        <w:tc>
          <w:tcPr>
            <w:tcW w:w="2040" w:type="dxa"/>
            <w:tcBorders>
              <w:bottom w:val="single" w:sz="4" w:space="0" w:color="auto"/>
            </w:tcBorders>
          </w:tcPr>
          <w:p w14:paraId="07864571" w14:textId="77777777" w:rsidR="004345CB" w:rsidRPr="00EC209A" w:rsidRDefault="004345CB" w:rsidP="00D47D34">
            <w:pPr>
              <w:pStyle w:val="TableText"/>
            </w:pPr>
            <w:r w:rsidRPr="00EC209A">
              <w:t>Patient Antigen Typing</w:t>
            </w:r>
          </w:p>
        </w:tc>
        <w:tc>
          <w:tcPr>
            <w:tcW w:w="1920" w:type="dxa"/>
            <w:tcBorders>
              <w:bottom w:val="single" w:sz="4" w:space="0" w:color="auto"/>
            </w:tcBorders>
          </w:tcPr>
          <w:p w14:paraId="4522A42B" w14:textId="77777777" w:rsidR="004345CB" w:rsidRPr="00EC209A" w:rsidRDefault="004345CB" w:rsidP="00D47D34">
            <w:pPr>
              <w:pStyle w:val="TableText"/>
            </w:pPr>
            <w:r w:rsidRPr="00EC209A">
              <w:t>Repeat Patient Antigen Typing*</w:t>
            </w:r>
          </w:p>
        </w:tc>
      </w:tr>
      <w:tr w:rsidR="004345CB" w:rsidRPr="00EC209A" w14:paraId="6B0EB8EE" w14:textId="77777777" w:rsidTr="004345CB">
        <w:trPr>
          <w:cantSplit/>
          <w:trHeight w:val="298"/>
        </w:trPr>
        <w:tc>
          <w:tcPr>
            <w:tcW w:w="2868" w:type="dxa"/>
            <w:vMerge w:val="restart"/>
            <w:tcBorders>
              <w:top w:val="single" w:sz="12" w:space="0" w:color="auto"/>
            </w:tcBorders>
            <w:shd w:val="clear" w:color="auto" w:fill="C0C0C0"/>
          </w:tcPr>
          <w:p w14:paraId="02F4614A" w14:textId="77777777" w:rsidR="004345CB" w:rsidRPr="00EC209A" w:rsidRDefault="004345CB" w:rsidP="00D47D34">
            <w:pPr>
              <w:pStyle w:val="TableText"/>
            </w:pPr>
            <w:r w:rsidRPr="00EC209A">
              <w:t>ABO/Rh</w:t>
            </w:r>
          </w:p>
        </w:tc>
        <w:tc>
          <w:tcPr>
            <w:tcW w:w="2760" w:type="dxa"/>
            <w:tcBorders>
              <w:top w:val="single" w:sz="12" w:space="0" w:color="auto"/>
            </w:tcBorders>
          </w:tcPr>
          <w:p w14:paraId="7444FBAB" w14:textId="77777777" w:rsidR="004345CB" w:rsidRPr="00EC209A" w:rsidRDefault="004345CB" w:rsidP="00D47D34">
            <w:pPr>
              <w:pStyle w:val="TableText"/>
            </w:pPr>
            <w:r w:rsidRPr="00EC209A">
              <w:t xml:space="preserve">Repeat ABO/Rh </w:t>
            </w:r>
          </w:p>
          <w:p w14:paraId="1577BA46" w14:textId="77777777" w:rsidR="004345CB" w:rsidRPr="00EC209A" w:rsidRDefault="004345CB" w:rsidP="00D47D34">
            <w:pPr>
              <w:pStyle w:val="TableText"/>
            </w:pPr>
            <w:r w:rsidRPr="00EC209A">
              <w:t>If discrepant with the previous specimen test, cannot order additional repeat test</w:t>
            </w:r>
          </w:p>
        </w:tc>
        <w:tc>
          <w:tcPr>
            <w:tcW w:w="3960" w:type="dxa"/>
            <w:gridSpan w:val="2"/>
            <w:tcBorders>
              <w:top w:val="single" w:sz="12" w:space="0" w:color="auto"/>
            </w:tcBorders>
          </w:tcPr>
          <w:p w14:paraId="2D31D03E" w14:textId="77777777" w:rsidR="004345CB" w:rsidRPr="00EC209A" w:rsidRDefault="004345CB" w:rsidP="00D47D34">
            <w:pPr>
              <w:pStyle w:val="TableText"/>
            </w:pPr>
            <w:r w:rsidRPr="00EC209A">
              <w:t>If discrepant, cannot order additional repeat ABO/Rh tests.</w:t>
            </w:r>
          </w:p>
        </w:tc>
      </w:tr>
      <w:tr w:rsidR="004345CB" w:rsidRPr="00EC209A" w14:paraId="66A0B505" w14:textId="77777777" w:rsidTr="004345CB">
        <w:trPr>
          <w:cantSplit/>
          <w:trHeight w:val="298"/>
        </w:trPr>
        <w:tc>
          <w:tcPr>
            <w:tcW w:w="2868" w:type="dxa"/>
            <w:vMerge/>
            <w:shd w:val="clear" w:color="auto" w:fill="C0C0C0"/>
          </w:tcPr>
          <w:p w14:paraId="2ED97D92" w14:textId="77777777" w:rsidR="004345CB" w:rsidRPr="00EC209A" w:rsidRDefault="004345CB" w:rsidP="00D47D34">
            <w:pPr>
              <w:pStyle w:val="TableText"/>
            </w:pPr>
          </w:p>
        </w:tc>
        <w:tc>
          <w:tcPr>
            <w:tcW w:w="2760" w:type="dxa"/>
            <w:vMerge w:val="restart"/>
          </w:tcPr>
          <w:p w14:paraId="68B30E4C" w14:textId="77777777" w:rsidR="004345CB" w:rsidRPr="00EC209A" w:rsidRDefault="004345CB" w:rsidP="00D47D34">
            <w:pPr>
              <w:pStyle w:val="TableText"/>
            </w:pPr>
            <w:r w:rsidRPr="00EC209A">
              <w:t>DAT</w:t>
            </w:r>
          </w:p>
        </w:tc>
        <w:tc>
          <w:tcPr>
            <w:tcW w:w="3960" w:type="dxa"/>
            <w:gridSpan w:val="2"/>
          </w:tcPr>
          <w:p w14:paraId="383865A8" w14:textId="77777777" w:rsidR="004345CB" w:rsidRPr="00EC209A" w:rsidRDefault="004345CB" w:rsidP="00D47D34">
            <w:pPr>
              <w:pStyle w:val="TableText"/>
            </w:pPr>
            <w:r w:rsidRPr="00EC209A">
              <w:t>Repeat DAT *</w:t>
            </w:r>
          </w:p>
        </w:tc>
      </w:tr>
      <w:tr w:rsidR="004345CB" w:rsidRPr="00EC209A" w14:paraId="40920402" w14:textId="77777777" w:rsidTr="004345CB">
        <w:trPr>
          <w:cantSplit/>
          <w:trHeight w:val="298"/>
        </w:trPr>
        <w:tc>
          <w:tcPr>
            <w:tcW w:w="2868" w:type="dxa"/>
            <w:vMerge/>
            <w:shd w:val="clear" w:color="auto" w:fill="C0C0C0"/>
          </w:tcPr>
          <w:p w14:paraId="3E4D7C99" w14:textId="77777777" w:rsidR="004345CB" w:rsidRPr="00EC209A" w:rsidRDefault="004345CB" w:rsidP="00D47D34">
            <w:pPr>
              <w:pStyle w:val="TableText"/>
            </w:pPr>
          </w:p>
        </w:tc>
        <w:tc>
          <w:tcPr>
            <w:tcW w:w="2760" w:type="dxa"/>
            <w:vMerge/>
          </w:tcPr>
          <w:p w14:paraId="3DB1D61E" w14:textId="77777777" w:rsidR="004345CB" w:rsidRPr="00EC209A" w:rsidRDefault="004345CB" w:rsidP="00D47D34">
            <w:pPr>
              <w:pStyle w:val="TableText"/>
            </w:pPr>
          </w:p>
        </w:tc>
        <w:tc>
          <w:tcPr>
            <w:tcW w:w="2040" w:type="dxa"/>
          </w:tcPr>
          <w:p w14:paraId="6A702340" w14:textId="77777777" w:rsidR="004345CB" w:rsidRPr="00EC209A" w:rsidRDefault="004345CB" w:rsidP="00D47D34">
            <w:pPr>
              <w:pStyle w:val="TableText"/>
            </w:pPr>
            <w:r w:rsidRPr="00EC209A">
              <w:t xml:space="preserve">DAT IgG </w:t>
            </w:r>
          </w:p>
        </w:tc>
        <w:tc>
          <w:tcPr>
            <w:tcW w:w="1920" w:type="dxa"/>
          </w:tcPr>
          <w:p w14:paraId="6B052CBB" w14:textId="77777777" w:rsidR="004345CB" w:rsidRPr="00EC209A" w:rsidRDefault="004345CB" w:rsidP="00D47D34">
            <w:pPr>
              <w:pStyle w:val="TableText"/>
            </w:pPr>
            <w:r w:rsidRPr="00EC209A">
              <w:t>Repeat DAT lgG*</w:t>
            </w:r>
          </w:p>
        </w:tc>
      </w:tr>
      <w:tr w:rsidR="004345CB" w:rsidRPr="00EC209A" w14:paraId="46E02C11" w14:textId="77777777" w:rsidTr="004345CB">
        <w:trPr>
          <w:cantSplit/>
          <w:trHeight w:val="298"/>
        </w:trPr>
        <w:tc>
          <w:tcPr>
            <w:tcW w:w="2868" w:type="dxa"/>
            <w:vMerge/>
            <w:shd w:val="clear" w:color="auto" w:fill="C0C0C0"/>
          </w:tcPr>
          <w:p w14:paraId="3CB0A727" w14:textId="77777777" w:rsidR="004345CB" w:rsidRPr="00EC209A" w:rsidRDefault="004345CB" w:rsidP="00D47D34">
            <w:pPr>
              <w:pStyle w:val="TableText"/>
            </w:pPr>
          </w:p>
        </w:tc>
        <w:tc>
          <w:tcPr>
            <w:tcW w:w="2760" w:type="dxa"/>
            <w:vMerge/>
          </w:tcPr>
          <w:p w14:paraId="6009689F" w14:textId="77777777" w:rsidR="004345CB" w:rsidRPr="00EC209A" w:rsidRDefault="004345CB" w:rsidP="00D47D34">
            <w:pPr>
              <w:pStyle w:val="TableText"/>
            </w:pPr>
          </w:p>
        </w:tc>
        <w:tc>
          <w:tcPr>
            <w:tcW w:w="2040" w:type="dxa"/>
          </w:tcPr>
          <w:p w14:paraId="63FF735A" w14:textId="77777777" w:rsidR="004345CB" w:rsidRPr="00EC209A" w:rsidRDefault="004345CB" w:rsidP="00D47D34">
            <w:pPr>
              <w:pStyle w:val="TableText"/>
            </w:pPr>
            <w:r w:rsidRPr="00EC209A">
              <w:t>DAT Comp</w:t>
            </w:r>
          </w:p>
        </w:tc>
        <w:tc>
          <w:tcPr>
            <w:tcW w:w="1920" w:type="dxa"/>
          </w:tcPr>
          <w:p w14:paraId="59F92A7F" w14:textId="77777777" w:rsidR="004345CB" w:rsidRPr="00EC209A" w:rsidRDefault="004345CB" w:rsidP="00D47D34">
            <w:pPr>
              <w:pStyle w:val="TableText"/>
            </w:pPr>
            <w:r w:rsidRPr="00EC209A">
              <w:t>Repeat DAT Comp*</w:t>
            </w:r>
          </w:p>
        </w:tc>
      </w:tr>
      <w:tr w:rsidR="004345CB" w:rsidRPr="00EC209A" w14:paraId="63E61FA6" w14:textId="77777777" w:rsidTr="004345CB">
        <w:trPr>
          <w:cantSplit/>
          <w:trHeight w:val="298"/>
        </w:trPr>
        <w:tc>
          <w:tcPr>
            <w:tcW w:w="2868" w:type="dxa"/>
            <w:vMerge/>
            <w:shd w:val="clear" w:color="auto" w:fill="C0C0C0"/>
          </w:tcPr>
          <w:p w14:paraId="21077187" w14:textId="77777777" w:rsidR="004345CB" w:rsidRPr="00EC209A" w:rsidRDefault="004345CB" w:rsidP="00D47D34">
            <w:pPr>
              <w:pStyle w:val="TableText"/>
            </w:pPr>
          </w:p>
        </w:tc>
        <w:tc>
          <w:tcPr>
            <w:tcW w:w="2760" w:type="dxa"/>
            <w:vMerge w:val="restart"/>
          </w:tcPr>
          <w:p w14:paraId="359B0A5B" w14:textId="77777777" w:rsidR="004345CB" w:rsidRPr="00EC209A" w:rsidRDefault="004345CB" w:rsidP="00D47D34">
            <w:pPr>
              <w:pStyle w:val="TableText"/>
            </w:pPr>
            <w:r w:rsidRPr="00EC209A">
              <w:t>ABID</w:t>
            </w:r>
          </w:p>
        </w:tc>
        <w:tc>
          <w:tcPr>
            <w:tcW w:w="3960" w:type="dxa"/>
            <w:gridSpan w:val="2"/>
          </w:tcPr>
          <w:p w14:paraId="17E91562" w14:textId="77777777" w:rsidR="004345CB" w:rsidRPr="00EC209A" w:rsidRDefault="004345CB" w:rsidP="00D47D34">
            <w:pPr>
              <w:pStyle w:val="TableText"/>
            </w:pPr>
            <w:r w:rsidRPr="00EC209A">
              <w:t>Repeat ABID*</w:t>
            </w:r>
          </w:p>
        </w:tc>
      </w:tr>
      <w:tr w:rsidR="004345CB" w:rsidRPr="00EC209A" w14:paraId="2E7746D1" w14:textId="77777777" w:rsidTr="004345CB">
        <w:trPr>
          <w:cantSplit/>
          <w:trHeight w:val="298"/>
        </w:trPr>
        <w:tc>
          <w:tcPr>
            <w:tcW w:w="2868" w:type="dxa"/>
            <w:vMerge/>
            <w:shd w:val="clear" w:color="auto" w:fill="C0C0C0"/>
          </w:tcPr>
          <w:p w14:paraId="0E591559" w14:textId="77777777" w:rsidR="004345CB" w:rsidRPr="00EC209A" w:rsidRDefault="004345CB" w:rsidP="00D47D34">
            <w:pPr>
              <w:pStyle w:val="TableText"/>
            </w:pPr>
          </w:p>
        </w:tc>
        <w:tc>
          <w:tcPr>
            <w:tcW w:w="2760" w:type="dxa"/>
            <w:vMerge/>
          </w:tcPr>
          <w:p w14:paraId="0A94BC58" w14:textId="77777777" w:rsidR="004345CB" w:rsidRPr="00EC209A" w:rsidRDefault="004345CB" w:rsidP="00D47D34">
            <w:pPr>
              <w:pStyle w:val="TableText"/>
            </w:pPr>
          </w:p>
        </w:tc>
        <w:tc>
          <w:tcPr>
            <w:tcW w:w="3960" w:type="dxa"/>
            <w:gridSpan w:val="2"/>
          </w:tcPr>
          <w:p w14:paraId="070A3A9D" w14:textId="77777777" w:rsidR="004345CB" w:rsidRPr="00EC209A" w:rsidRDefault="004345CB" w:rsidP="00D47D34">
            <w:pPr>
              <w:pStyle w:val="TableText"/>
            </w:pPr>
            <w:r w:rsidRPr="00EC209A">
              <w:t>Repeat DAT*</w:t>
            </w:r>
          </w:p>
        </w:tc>
      </w:tr>
      <w:tr w:rsidR="004345CB" w:rsidRPr="00EC209A" w14:paraId="43AC2165" w14:textId="77777777" w:rsidTr="004345CB">
        <w:trPr>
          <w:cantSplit/>
          <w:trHeight w:val="298"/>
        </w:trPr>
        <w:tc>
          <w:tcPr>
            <w:tcW w:w="2868" w:type="dxa"/>
            <w:vMerge/>
            <w:shd w:val="clear" w:color="auto" w:fill="C0C0C0"/>
          </w:tcPr>
          <w:p w14:paraId="30E49917" w14:textId="77777777" w:rsidR="004345CB" w:rsidRPr="00EC209A" w:rsidRDefault="004345CB" w:rsidP="00D47D34">
            <w:pPr>
              <w:pStyle w:val="TableText"/>
            </w:pPr>
          </w:p>
        </w:tc>
        <w:tc>
          <w:tcPr>
            <w:tcW w:w="2760" w:type="dxa"/>
            <w:vMerge/>
          </w:tcPr>
          <w:p w14:paraId="4CD1E70A" w14:textId="77777777" w:rsidR="004345CB" w:rsidRPr="00EC209A" w:rsidRDefault="004345CB" w:rsidP="00D47D34">
            <w:pPr>
              <w:pStyle w:val="TableText"/>
            </w:pPr>
          </w:p>
        </w:tc>
        <w:tc>
          <w:tcPr>
            <w:tcW w:w="2040" w:type="dxa"/>
          </w:tcPr>
          <w:p w14:paraId="2B9942C0" w14:textId="77777777" w:rsidR="004345CB" w:rsidRPr="00EC209A" w:rsidRDefault="004345CB" w:rsidP="00D47D34">
            <w:pPr>
              <w:pStyle w:val="TableText"/>
            </w:pPr>
            <w:r w:rsidRPr="00EC209A">
              <w:t xml:space="preserve">DAT IgG </w:t>
            </w:r>
          </w:p>
        </w:tc>
        <w:tc>
          <w:tcPr>
            <w:tcW w:w="1920" w:type="dxa"/>
          </w:tcPr>
          <w:p w14:paraId="31A28A9B" w14:textId="77777777" w:rsidR="004345CB" w:rsidRPr="00EC209A" w:rsidRDefault="004345CB" w:rsidP="00D47D34">
            <w:pPr>
              <w:pStyle w:val="TableText"/>
            </w:pPr>
            <w:r w:rsidRPr="00EC209A">
              <w:t>Repeat DAT lgG*</w:t>
            </w:r>
          </w:p>
        </w:tc>
      </w:tr>
      <w:tr w:rsidR="004345CB" w:rsidRPr="00EC209A" w14:paraId="18BE78F9" w14:textId="77777777" w:rsidTr="004345CB">
        <w:trPr>
          <w:cantSplit/>
          <w:trHeight w:val="298"/>
        </w:trPr>
        <w:tc>
          <w:tcPr>
            <w:tcW w:w="2868" w:type="dxa"/>
            <w:vMerge/>
            <w:shd w:val="clear" w:color="auto" w:fill="C0C0C0"/>
          </w:tcPr>
          <w:p w14:paraId="3D89E54D" w14:textId="77777777" w:rsidR="004345CB" w:rsidRPr="00EC209A" w:rsidRDefault="004345CB" w:rsidP="00D47D34">
            <w:pPr>
              <w:pStyle w:val="TableText"/>
            </w:pPr>
          </w:p>
        </w:tc>
        <w:tc>
          <w:tcPr>
            <w:tcW w:w="2760" w:type="dxa"/>
            <w:vMerge/>
          </w:tcPr>
          <w:p w14:paraId="6E2E8AFE" w14:textId="77777777" w:rsidR="004345CB" w:rsidRPr="00EC209A" w:rsidRDefault="004345CB" w:rsidP="00D47D34">
            <w:pPr>
              <w:pStyle w:val="TableText"/>
            </w:pPr>
          </w:p>
        </w:tc>
        <w:tc>
          <w:tcPr>
            <w:tcW w:w="2040" w:type="dxa"/>
          </w:tcPr>
          <w:p w14:paraId="0A97322E" w14:textId="77777777" w:rsidR="004345CB" w:rsidRPr="00EC209A" w:rsidRDefault="004345CB" w:rsidP="00D47D34">
            <w:pPr>
              <w:pStyle w:val="TableText"/>
            </w:pPr>
            <w:r w:rsidRPr="00EC209A">
              <w:t>DAT Comp</w:t>
            </w:r>
          </w:p>
        </w:tc>
        <w:tc>
          <w:tcPr>
            <w:tcW w:w="1920" w:type="dxa"/>
          </w:tcPr>
          <w:p w14:paraId="656CC495" w14:textId="77777777" w:rsidR="004345CB" w:rsidRPr="00EC209A" w:rsidRDefault="004345CB" w:rsidP="00D47D34">
            <w:pPr>
              <w:pStyle w:val="TableText"/>
            </w:pPr>
            <w:r w:rsidRPr="00EC209A">
              <w:t>Repeat DAT Comp*</w:t>
            </w:r>
          </w:p>
        </w:tc>
      </w:tr>
      <w:tr w:rsidR="004345CB" w:rsidRPr="00EC209A" w14:paraId="76C11242" w14:textId="77777777" w:rsidTr="004345CB">
        <w:trPr>
          <w:cantSplit/>
          <w:trHeight w:val="298"/>
        </w:trPr>
        <w:tc>
          <w:tcPr>
            <w:tcW w:w="2868" w:type="dxa"/>
            <w:vMerge/>
            <w:tcBorders>
              <w:bottom w:val="single" w:sz="12" w:space="0" w:color="auto"/>
            </w:tcBorders>
            <w:shd w:val="clear" w:color="auto" w:fill="C0C0C0"/>
          </w:tcPr>
          <w:p w14:paraId="5E33B110" w14:textId="77777777" w:rsidR="004345CB" w:rsidRPr="00EC209A" w:rsidRDefault="004345CB" w:rsidP="00D47D34">
            <w:pPr>
              <w:pStyle w:val="TableText"/>
            </w:pPr>
          </w:p>
        </w:tc>
        <w:tc>
          <w:tcPr>
            <w:tcW w:w="2760" w:type="dxa"/>
            <w:vMerge/>
            <w:tcBorders>
              <w:bottom w:val="single" w:sz="12" w:space="0" w:color="auto"/>
            </w:tcBorders>
          </w:tcPr>
          <w:p w14:paraId="001C8D08" w14:textId="77777777" w:rsidR="004345CB" w:rsidRPr="00EC209A" w:rsidRDefault="004345CB" w:rsidP="00D47D34">
            <w:pPr>
              <w:pStyle w:val="TableText"/>
            </w:pPr>
          </w:p>
        </w:tc>
        <w:tc>
          <w:tcPr>
            <w:tcW w:w="2040" w:type="dxa"/>
            <w:tcBorders>
              <w:bottom w:val="single" w:sz="12" w:space="0" w:color="auto"/>
            </w:tcBorders>
          </w:tcPr>
          <w:p w14:paraId="625B13B1" w14:textId="77777777" w:rsidR="004345CB" w:rsidRPr="00EC209A" w:rsidRDefault="004345CB" w:rsidP="00D47D34">
            <w:pPr>
              <w:pStyle w:val="TableText"/>
            </w:pPr>
            <w:r w:rsidRPr="00EC209A">
              <w:t>Patient Antigen Typing</w:t>
            </w:r>
          </w:p>
        </w:tc>
        <w:tc>
          <w:tcPr>
            <w:tcW w:w="1920" w:type="dxa"/>
            <w:tcBorders>
              <w:bottom w:val="single" w:sz="12" w:space="0" w:color="auto"/>
            </w:tcBorders>
          </w:tcPr>
          <w:p w14:paraId="5B0F5873" w14:textId="77777777" w:rsidR="004345CB" w:rsidRPr="00EC209A" w:rsidRDefault="004345CB" w:rsidP="00D47D34">
            <w:pPr>
              <w:pStyle w:val="TableText"/>
            </w:pPr>
            <w:r w:rsidRPr="00EC209A">
              <w:t>Repeat Patient Antigen Typing*</w:t>
            </w:r>
          </w:p>
        </w:tc>
      </w:tr>
      <w:tr w:rsidR="004345CB" w:rsidRPr="00EC209A" w14:paraId="75C5EEAC" w14:textId="77777777" w:rsidTr="004345CB">
        <w:trPr>
          <w:cantSplit/>
        </w:trPr>
        <w:tc>
          <w:tcPr>
            <w:tcW w:w="2868" w:type="dxa"/>
            <w:vMerge w:val="restart"/>
            <w:tcBorders>
              <w:top w:val="single" w:sz="12" w:space="0" w:color="auto"/>
            </w:tcBorders>
            <w:shd w:val="clear" w:color="auto" w:fill="C0C0C0"/>
          </w:tcPr>
          <w:p w14:paraId="67E6700D" w14:textId="77777777" w:rsidR="004345CB" w:rsidRPr="00EC209A" w:rsidRDefault="004345CB" w:rsidP="00D47D34">
            <w:pPr>
              <w:pStyle w:val="TableText"/>
            </w:pPr>
            <w:r w:rsidRPr="00EC209A">
              <w:t>ABS (Patient Antibody Screen)</w:t>
            </w:r>
          </w:p>
          <w:p w14:paraId="0E658927" w14:textId="77777777" w:rsidR="004345CB" w:rsidRPr="00EC209A" w:rsidRDefault="004345CB" w:rsidP="00D47D34">
            <w:pPr>
              <w:pStyle w:val="TableText"/>
              <w:rPr>
                <w:rFonts w:eastAsia="Arial Unicode MS"/>
              </w:rPr>
            </w:pPr>
            <w:r w:rsidRPr="00EC209A">
              <w:rPr>
                <w:rFonts w:eastAsia="Arial Unicode MS"/>
              </w:rPr>
              <w:t>May be configured as:</w:t>
            </w:r>
          </w:p>
          <w:p w14:paraId="684B5C41" w14:textId="77777777" w:rsidR="004345CB" w:rsidRPr="00EC209A" w:rsidRDefault="004345CB" w:rsidP="00D47D34">
            <w:pPr>
              <w:pStyle w:val="TableText"/>
              <w:rPr>
                <w:rFonts w:eastAsia="Arial Unicode MS"/>
              </w:rPr>
            </w:pPr>
            <w:r w:rsidRPr="00EC209A">
              <w:rPr>
                <w:rFonts w:eastAsia="Arial Unicode MS"/>
              </w:rPr>
              <w:t>ABS only</w:t>
            </w:r>
          </w:p>
          <w:p w14:paraId="2E1F2792" w14:textId="77777777" w:rsidR="004345CB" w:rsidRPr="00EC209A" w:rsidRDefault="004345CB" w:rsidP="00D47D34">
            <w:pPr>
              <w:pStyle w:val="TableText"/>
              <w:rPr>
                <w:rFonts w:eastAsia="Arial Unicode MS"/>
              </w:rPr>
            </w:pPr>
            <w:r w:rsidRPr="00EC209A">
              <w:rPr>
                <w:rFonts w:eastAsia="Arial Unicode MS"/>
              </w:rPr>
              <w:t xml:space="preserve">ABS plus Autocontol </w:t>
            </w:r>
          </w:p>
          <w:p w14:paraId="7C3DCC79" w14:textId="77777777" w:rsidR="004345CB" w:rsidRPr="00EC209A" w:rsidRDefault="004345CB" w:rsidP="00D47D34">
            <w:pPr>
              <w:pStyle w:val="TableText"/>
            </w:pPr>
            <w:r w:rsidRPr="00EC209A">
              <w:rPr>
                <w:rFonts w:eastAsia="Arial Unicode MS"/>
              </w:rPr>
              <w:t>ABS plus DAT</w:t>
            </w:r>
          </w:p>
        </w:tc>
        <w:tc>
          <w:tcPr>
            <w:tcW w:w="6720" w:type="dxa"/>
            <w:gridSpan w:val="3"/>
            <w:tcBorders>
              <w:top w:val="single" w:sz="12" w:space="0" w:color="auto"/>
            </w:tcBorders>
          </w:tcPr>
          <w:p w14:paraId="69DA4640" w14:textId="77777777" w:rsidR="004345CB" w:rsidRPr="00EC209A" w:rsidRDefault="004345CB" w:rsidP="00D47D34">
            <w:pPr>
              <w:pStyle w:val="TableText"/>
            </w:pPr>
            <w:r w:rsidRPr="00EC209A">
              <w:t>Repeat ABS*</w:t>
            </w:r>
          </w:p>
        </w:tc>
      </w:tr>
      <w:tr w:rsidR="004345CB" w:rsidRPr="00EC209A" w14:paraId="07B15E3F" w14:textId="77777777" w:rsidTr="004345CB">
        <w:trPr>
          <w:cantSplit/>
        </w:trPr>
        <w:tc>
          <w:tcPr>
            <w:tcW w:w="2868" w:type="dxa"/>
            <w:vMerge/>
            <w:shd w:val="clear" w:color="auto" w:fill="C0C0C0"/>
          </w:tcPr>
          <w:p w14:paraId="45622C21" w14:textId="77777777" w:rsidR="004345CB" w:rsidRPr="00EC209A" w:rsidRDefault="004345CB" w:rsidP="00D47D34">
            <w:pPr>
              <w:pStyle w:val="TableText"/>
            </w:pPr>
          </w:p>
        </w:tc>
        <w:tc>
          <w:tcPr>
            <w:tcW w:w="2760" w:type="dxa"/>
            <w:vMerge w:val="restart"/>
          </w:tcPr>
          <w:p w14:paraId="6243BA57" w14:textId="77777777" w:rsidR="004345CB" w:rsidRPr="00EC209A" w:rsidRDefault="004345CB" w:rsidP="00D47D34">
            <w:pPr>
              <w:pStyle w:val="TableText"/>
            </w:pPr>
            <w:r w:rsidRPr="00EC209A">
              <w:t xml:space="preserve">DAT </w:t>
            </w:r>
            <w:r w:rsidRPr="00EC209A">
              <w:rPr>
                <w:sz w:val="16"/>
              </w:rPr>
              <w:t>(or Repeat DAT, if configured to ABS plus DAT)</w:t>
            </w:r>
          </w:p>
        </w:tc>
        <w:tc>
          <w:tcPr>
            <w:tcW w:w="2040" w:type="dxa"/>
          </w:tcPr>
          <w:p w14:paraId="5B5078F7" w14:textId="77777777" w:rsidR="004345CB" w:rsidRPr="00EC209A" w:rsidRDefault="004345CB" w:rsidP="00D47D34">
            <w:pPr>
              <w:pStyle w:val="TableText"/>
            </w:pPr>
            <w:r w:rsidRPr="00EC209A">
              <w:t xml:space="preserve">DAT IgG </w:t>
            </w:r>
          </w:p>
        </w:tc>
        <w:tc>
          <w:tcPr>
            <w:tcW w:w="1920" w:type="dxa"/>
          </w:tcPr>
          <w:p w14:paraId="393D8202" w14:textId="77777777" w:rsidR="004345CB" w:rsidRPr="00EC209A" w:rsidRDefault="004345CB" w:rsidP="00D47D34">
            <w:pPr>
              <w:pStyle w:val="TableText"/>
            </w:pPr>
            <w:r w:rsidRPr="00EC209A">
              <w:t>Repeat DAT lgG*</w:t>
            </w:r>
          </w:p>
        </w:tc>
      </w:tr>
      <w:tr w:rsidR="004345CB" w:rsidRPr="00EC209A" w14:paraId="6EA8BD24" w14:textId="77777777" w:rsidTr="004345CB">
        <w:trPr>
          <w:cantSplit/>
        </w:trPr>
        <w:tc>
          <w:tcPr>
            <w:tcW w:w="2868" w:type="dxa"/>
            <w:vMerge/>
            <w:shd w:val="clear" w:color="auto" w:fill="C0C0C0"/>
          </w:tcPr>
          <w:p w14:paraId="3A79505B" w14:textId="77777777" w:rsidR="004345CB" w:rsidRPr="00EC209A" w:rsidRDefault="004345CB" w:rsidP="00D47D34">
            <w:pPr>
              <w:pStyle w:val="TableText"/>
            </w:pPr>
          </w:p>
        </w:tc>
        <w:tc>
          <w:tcPr>
            <w:tcW w:w="2760" w:type="dxa"/>
            <w:vMerge/>
          </w:tcPr>
          <w:p w14:paraId="5B0C991C" w14:textId="77777777" w:rsidR="004345CB" w:rsidRPr="00EC209A" w:rsidRDefault="004345CB" w:rsidP="00D47D34">
            <w:pPr>
              <w:pStyle w:val="TableText"/>
            </w:pPr>
          </w:p>
        </w:tc>
        <w:tc>
          <w:tcPr>
            <w:tcW w:w="2040" w:type="dxa"/>
          </w:tcPr>
          <w:p w14:paraId="0D5AB026" w14:textId="77777777" w:rsidR="004345CB" w:rsidRPr="00EC209A" w:rsidRDefault="004345CB" w:rsidP="00D47D34">
            <w:pPr>
              <w:pStyle w:val="TableText"/>
            </w:pPr>
            <w:r w:rsidRPr="00EC209A">
              <w:t>DAT Comp</w:t>
            </w:r>
          </w:p>
        </w:tc>
        <w:tc>
          <w:tcPr>
            <w:tcW w:w="1920" w:type="dxa"/>
          </w:tcPr>
          <w:p w14:paraId="6B2467A3" w14:textId="77777777" w:rsidR="004345CB" w:rsidRPr="00EC209A" w:rsidRDefault="004345CB" w:rsidP="00D47D34">
            <w:pPr>
              <w:pStyle w:val="TableText"/>
            </w:pPr>
            <w:r w:rsidRPr="00EC209A">
              <w:t>Repeat DAT Comp*</w:t>
            </w:r>
          </w:p>
        </w:tc>
      </w:tr>
      <w:tr w:rsidR="004345CB" w:rsidRPr="00EC209A" w14:paraId="37008AD5" w14:textId="77777777" w:rsidTr="004345CB">
        <w:trPr>
          <w:cantSplit/>
        </w:trPr>
        <w:tc>
          <w:tcPr>
            <w:tcW w:w="2868" w:type="dxa"/>
            <w:vMerge/>
            <w:shd w:val="clear" w:color="auto" w:fill="C0C0C0"/>
          </w:tcPr>
          <w:p w14:paraId="5A6D01B1" w14:textId="77777777" w:rsidR="004345CB" w:rsidRPr="00EC209A" w:rsidRDefault="004345CB" w:rsidP="00D47D34">
            <w:pPr>
              <w:pStyle w:val="TableText"/>
            </w:pPr>
          </w:p>
        </w:tc>
        <w:tc>
          <w:tcPr>
            <w:tcW w:w="2760" w:type="dxa"/>
            <w:vMerge/>
          </w:tcPr>
          <w:p w14:paraId="22E6C7A2" w14:textId="77777777" w:rsidR="004345CB" w:rsidRPr="00EC209A" w:rsidRDefault="004345CB" w:rsidP="00D47D34">
            <w:pPr>
              <w:pStyle w:val="TableText"/>
            </w:pPr>
          </w:p>
        </w:tc>
        <w:tc>
          <w:tcPr>
            <w:tcW w:w="3960" w:type="dxa"/>
            <w:gridSpan w:val="2"/>
          </w:tcPr>
          <w:p w14:paraId="0A854DA6" w14:textId="77777777" w:rsidR="004345CB" w:rsidRPr="00EC209A" w:rsidRDefault="004345CB" w:rsidP="00D47D34">
            <w:pPr>
              <w:pStyle w:val="TableText"/>
            </w:pPr>
            <w:r w:rsidRPr="00EC209A">
              <w:t>Repeat DAT*</w:t>
            </w:r>
          </w:p>
        </w:tc>
      </w:tr>
      <w:tr w:rsidR="004345CB" w:rsidRPr="00EC209A" w14:paraId="5115D662" w14:textId="77777777" w:rsidTr="004345CB">
        <w:trPr>
          <w:cantSplit/>
        </w:trPr>
        <w:tc>
          <w:tcPr>
            <w:tcW w:w="2868" w:type="dxa"/>
            <w:vMerge/>
            <w:shd w:val="clear" w:color="auto" w:fill="C0C0C0"/>
          </w:tcPr>
          <w:p w14:paraId="2ADAE9B1" w14:textId="77777777" w:rsidR="004345CB" w:rsidRPr="00EC209A" w:rsidRDefault="004345CB" w:rsidP="00D47D34">
            <w:pPr>
              <w:pStyle w:val="TableText"/>
            </w:pPr>
          </w:p>
        </w:tc>
        <w:tc>
          <w:tcPr>
            <w:tcW w:w="2760" w:type="dxa"/>
            <w:vMerge w:val="restart"/>
          </w:tcPr>
          <w:p w14:paraId="2B43FCC0" w14:textId="77777777" w:rsidR="004345CB" w:rsidRPr="00EC209A" w:rsidRDefault="004345CB" w:rsidP="00D47D34">
            <w:pPr>
              <w:pStyle w:val="TableText"/>
            </w:pPr>
            <w:r w:rsidRPr="00EC209A">
              <w:t>ABID</w:t>
            </w:r>
          </w:p>
        </w:tc>
        <w:tc>
          <w:tcPr>
            <w:tcW w:w="3960" w:type="dxa"/>
            <w:gridSpan w:val="2"/>
          </w:tcPr>
          <w:p w14:paraId="6A44163B" w14:textId="77777777" w:rsidR="004345CB" w:rsidRPr="00EC209A" w:rsidRDefault="004345CB" w:rsidP="00D47D34">
            <w:pPr>
              <w:pStyle w:val="TableText"/>
            </w:pPr>
            <w:r w:rsidRPr="00EC209A">
              <w:t>Repeat ABID*</w:t>
            </w:r>
          </w:p>
        </w:tc>
      </w:tr>
      <w:tr w:rsidR="004345CB" w:rsidRPr="00EC209A" w14:paraId="2C44B777" w14:textId="77777777" w:rsidTr="004345CB">
        <w:trPr>
          <w:cantSplit/>
        </w:trPr>
        <w:tc>
          <w:tcPr>
            <w:tcW w:w="2868" w:type="dxa"/>
            <w:vMerge/>
            <w:shd w:val="clear" w:color="auto" w:fill="C0C0C0"/>
          </w:tcPr>
          <w:p w14:paraId="4DCE5E98" w14:textId="77777777" w:rsidR="004345CB" w:rsidRPr="00EC209A" w:rsidRDefault="004345CB" w:rsidP="00D47D34">
            <w:pPr>
              <w:pStyle w:val="TableText"/>
            </w:pPr>
          </w:p>
        </w:tc>
        <w:tc>
          <w:tcPr>
            <w:tcW w:w="2760" w:type="dxa"/>
            <w:vMerge/>
          </w:tcPr>
          <w:p w14:paraId="010FC3C4" w14:textId="77777777" w:rsidR="004345CB" w:rsidRPr="00EC209A" w:rsidRDefault="004345CB" w:rsidP="00D47D34">
            <w:pPr>
              <w:pStyle w:val="TableText"/>
            </w:pPr>
          </w:p>
        </w:tc>
        <w:tc>
          <w:tcPr>
            <w:tcW w:w="3960" w:type="dxa"/>
            <w:gridSpan w:val="2"/>
          </w:tcPr>
          <w:p w14:paraId="54D5E1CF" w14:textId="77777777" w:rsidR="004345CB" w:rsidRPr="00EC209A" w:rsidRDefault="004345CB" w:rsidP="00D47D34">
            <w:pPr>
              <w:pStyle w:val="TableText"/>
            </w:pPr>
            <w:r w:rsidRPr="00EC209A">
              <w:t>Repeat DAT*</w:t>
            </w:r>
          </w:p>
        </w:tc>
      </w:tr>
      <w:tr w:rsidR="004345CB" w:rsidRPr="00EC209A" w14:paraId="4C98217A" w14:textId="77777777" w:rsidTr="004345CB">
        <w:trPr>
          <w:cantSplit/>
        </w:trPr>
        <w:tc>
          <w:tcPr>
            <w:tcW w:w="2868" w:type="dxa"/>
            <w:vMerge/>
            <w:shd w:val="clear" w:color="auto" w:fill="C0C0C0"/>
          </w:tcPr>
          <w:p w14:paraId="633F196F" w14:textId="77777777" w:rsidR="004345CB" w:rsidRPr="00EC209A" w:rsidRDefault="004345CB" w:rsidP="00D47D34">
            <w:pPr>
              <w:pStyle w:val="TableText"/>
            </w:pPr>
          </w:p>
        </w:tc>
        <w:tc>
          <w:tcPr>
            <w:tcW w:w="2760" w:type="dxa"/>
            <w:vMerge/>
          </w:tcPr>
          <w:p w14:paraId="06BFA2ED" w14:textId="77777777" w:rsidR="004345CB" w:rsidRPr="00EC209A" w:rsidRDefault="004345CB" w:rsidP="00D47D34">
            <w:pPr>
              <w:pStyle w:val="TableText"/>
            </w:pPr>
          </w:p>
        </w:tc>
        <w:tc>
          <w:tcPr>
            <w:tcW w:w="2040" w:type="dxa"/>
          </w:tcPr>
          <w:p w14:paraId="00DA0B49" w14:textId="77777777" w:rsidR="004345CB" w:rsidRPr="00EC209A" w:rsidRDefault="004345CB" w:rsidP="00D47D34">
            <w:pPr>
              <w:pStyle w:val="TableText"/>
            </w:pPr>
            <w:r w:rsidRPr="00EC209A">
              <w:t>DAT IgG</w:t>
            </w:r>
          </w:p>
        </w:tc>
        <w:tc>
          <w:tcPr>
            <w:tcW w:w="1920" w:type="dxa"/>
          </w:tcPr>
          <w:p w14:paraId="47EF90F0" w14:textId="77777777" w:rsidR="004345CB" w:rsidRPr="00EC209A" w:rsidRDefault="004345CB" w:rsidP="00D47D34">
            <w:pPr>
              <w:pStyle w:val="TableText"/>
            </w:pPr>
            <w:r w:rsidRPr="00EC209A">
              <w:t>Repeat DAT lgG*</w:t>
            </w:r>
          </w:p>
        </w:tc>
      </w:tr>
      <w:tr w:rsidR="004345CB" w:rsidRPr="00EC209A" w14:paraId="642E6DAD" w14:textId="77777777" w:rsidTr="004345CB">
        <w:trPr>
          <w:cantSplit/>
        </w:trPr>
        <w:tc>
          <w:tcPr>
            <w:tcW w:w="2868" w:type="dxa"/>
            <w:vMerge/>
            <w:shd w:val="clear" w:color="auto" w:fill="C0C0C0"/>
          </w:tcPr>
          <w:p w14:paraId="034925E8" w14:textId="77777777" w:rsidR="004345CB" w:rsidRPr="00EC209A" w:rsidRDefault="004345CB" w:rsidP="00D47D34">
            <w:pPr>
              <w:pStyle w:val="TableText"/>
            </w:pPr>
          </w:p>
        </w:tc>
        <w:tc>
          <w:tcPr>
            <w:tcW w:w="2760" w:type="dxa"/>
            <w:vMerge/>
          </w:tcPr>
          <w:p w14:paraId="283FEDEE" w14:textId="77777777" w:rsidR="004345CB" w:rsidRPr="00EC209A" w:rsidRDefault="004345CB" w:rsidP="00D47D34">
            <w:pPr>
              <w:pStyle w:val="TableText"/>
            </w:pPr>
          </w:p>
        </w:tc>
        <w:tc>
          <w:tcPr>
            <w:tcW w:w="2040" w:type="dxa"/>
          </w:tcPr>
          <w:p w14:paraId="3797833A" w14:textId="77777777" w:rsidR="004345CB" w:rsidRPr="00EC209A" w:rsidRDefault="004345CB" w:rsidP="00D47D34">
            <w:pPr>
              <w:pStyle w:val="TableText"/>
            </w:pPr>
            <w:r w:rsidRPr="00EC209A">
              <w:t>DAT Comp</w:t>
            </w:r>
          </w:p>
        </w:tc>
        <w:tc>
          <w:tcPr>
            <w:tcW w:w="1920" w:type="dxa"/>
          </w:tcPr>
          <w:p w14:paraId="4A9228A7" w14:textId="77777777" w:rsidR="004345CB" w:rsidRPr="00EC209A" w:rsidRDefault="004345CB" w:rsidP="00D47D34">
            <w:pPr>
              <w:pStyle w:val="TableText"/>
            </w:pPr>
            <w:r w:rsidRPr="00EC209A">
              <w:t>Repeat DAT Comp*</w:t>
            </w:r>
          </w:p>
        </w:tc>
      </w:tr>
      <w:tr w:rsidR="004345CB" w:rsidRPr="00EC209A" w14:paraId="3F0115C6" w14:textId="77777777" w:rsidTr="004345CB">
        <w:trPr>
          <w:cantSplit/>
        </w:trPr>
        <w:tc>
          <w:tcPr>
            <w:tcW w:w="2868" w:type="dxa"/>
            <w:vMerge/>
            <w:shd w:val="clear" w:color="auto" w:fill="C0C0C0"/>
          </w:tcPr>
          <w:p w14:paraId="64326BF9" w14:textId="77777777" w:rsidR="004345CB" w:rsidRPr="00EC209A" w:rsidRDefault="004345CB" w:rsidP="00D47D34">
            <w:pPr>
              <w:pStyle w:val="TableText"/>
            </w:pPr>
          </w:p>
        </w:tc>
        <w:tc>
          <w:tcPr>
            <w:tcW w:w="2760" w:type="dxa"/>
            <w:vMerge/>
          </w:tcPr>
          <w:p w14:paraId="7D651F65" w14:textId="77777777" w:rsidR="004345CB" w:rsidRPr="00EC209A" w:rsidRDefault="004345CB" w:rsidP="00D47D34">
            <w:pPr>
              <w:pStyle w:val="TableText"/>
            </w:pPr>
          </w:p>
        </w:tc>
        <w:tc>
          <w:tcPr>
            <w:tcW w:w="2040" w:type="dxa"/>
          </w:tcPr>
          <w:p w14:paraId="2B727422" w14:textId="77777777" w:rsidR="004345CB" w:rsidRPr="00EC209A" w:rsidRDefault="004345CB" w:rsidP="00D47D34">
            <w:pPr>
              <w:pStyle w:val="TableText"/>
            </w:pPr>
            <w:r w:rsidRPr="00EC209A">
              <w:t>Patient Antigen Typing</w:t>
            </w:r>
          </w:p>
        </w:tc>
        <w:tc>
          <w:tcPr>
            <w:tcW w:w="1920" w:type="dxa"/>
          </w:tcPr>
          <w:p w14:paraId="60DDFB5D" w14:textId="77777777" w:rsidR="004345CB" w:rsidRPr="00EC209A" w:rsidRDefault="004345CB" w:rsidP="00D47D34">
            <w:pPr>
              <w:pStyle w:val="TableText"/>
            </w:pPr>
            <w:r w:rsidRPr="00EC209A">
              <w:t>Repeat Patient Antigen Typing*</w:t>
            </w:r>
          </w:p>
        </w:tc>
      </w:tr>
      <w:tr w:rsidR="004345CB" w:rsidRPr="00EC209A" w14:paraId="6A8EEBDC" w14:textId="77777777" w:rsidTr="004345CB">
        <w:trPr>
          <w:cantSplit/>
        </w:trPr>
        <w:tc>
          <w:tcPr>
            <w:tcW w:w="2868" w:type="dxa"/>
            <w:vMerge/>
            <w:tcBorders>
              <w:bottom w:val="single" w:sz="12" w:space="0" w:color="auto"/>
            </w:tcBorders>
            <w:shd w:val="clear" w:color="auto" w:fill="C0C0C0"/>
          </w:tcPr>
          <w:p w14:paraId="27AD117E" w14:textId="77777777" w:rsidR="004345CB" w:rsidRPr="00EC209A" w:rsidRDefault="004345CB" w:rsidP="00D47D34">
            <w:pPr>
              <w:pStyle w:val="TableText"/>
            </w:pPr>
          </w:p>
        </w:tc>
        <w:tc>
          <w:tcPr>
            <w:tcW w:w="2760" w:type="dxa"/>
            <w:tcBorders>
              <w:bottom w:val="single" w:sz="12" w:space="0" w:color="auto"/>
            </w:tcBorders>
          </w:tcPr>
          <w:p w14:paraId="3584C9F8" w14:textId="77777777" w:rsidR="004345CB" w:rsidRPr="00EC209A" w:rsidRDefault="004345CB" w:rsidP="00D47D34">
            <w:pPr>
              <w:pStyle w:val="TableText"/>
            </w:pPr>
            <w:r w:rsidRPr="00EC209A">
              <w:t>Patient Antigen Typing</w:t>
            </w:r>
          </w:p>
        </w:tc>
        <w:tc>
          <w:tcPr>
            <w:tcW w:w="3960" w:type="dxa"/>
            <w:gridSpan w:val="2"/>
            <w:tcBorders>
              <w:bottom w:val="single" w:sz="12" w:space="0" w:color="auto"/>
            </w:tcBorders>
          </w:tcPr>
          <w:p w14:paraId="4244F59A" w14:textId="77777777" w:rsidR="004345CB" w:rsidRPr="00EC209A" w:rsidRDefault="004345CB" w:rsidP="00D47D34">
            <w:pPr>
              <w:pStyle w:val="TableText"/>
            </w:pPr>
            <w:r w:rsidRPr="00EC209A">
              <w:t>Repeat Patient Antigen Typing*</w:t>
            </w:r>
          </w:p>
        </w:tc>
      </w:tr>
      <w:tr w:rsidR="004345CB" w:rsidRPr="00EC209A" w14:paraId="508FB59E" w14:textId="77777777" w:rsidTr="004345CB">
        <w:trPr>
          <w:cantSplit/>
        </w:trPr>
        <w:tc>
          <w:tcPr>
            <w:tcW w:w="2868" w:type="dxa"/>
            <w:vMerge w:val="restart"/>
            <w:tcBorders>
              <w:top w:val="single" w:sz="12" w:space="0" w:color="auto"/>
            </w:tcBorders>
            <w:shd w:val="clear" w:color="auto" w:fill="C0C0C0"/>
          </w:tcPr>
          <w:p w14:paraId="07FB4BBD" w14:textId="77777777" w:rsidR="004345CB" w:rsidRPr="00EC209A" w:rsidRDefault="004345CB" w:rsidP="00D47D34">
            <w:pPr>
              <w:pStyle w:val="TableText"/>
            </w:pPr>
            <w:r w:rsidRPr="00EC209A">
              <w:t>DAT</w:t>
            </w:r>
          </w:p>
        </w:tc>
        <w:tc>
          <w:tcPr>
            <w:tcW w:w="6720" w:type="dxa"/>
            <w:gridSpan w:val="3"/>
            <w:tcBorders>
              <w:top w:val="single" w:sz="12" w:space="0" w:color="auto"/>
            </w:tcBorders>
          </w:tcPr>
          <w:p w14:paraId="4E954BF4" w14:textId="77777777" w:rsidR="004345CB" w:rsidRPr="00EC209A" w:rsidRDefault="004345CB" w:rsidP="00D47D34">
            <w:pPr>
              <w:pStyle w:val="TableText"/>
            </w:pPr>
            <w:r w:rsidRPr="00EC209A">
              <w:t>Repeat DAT*</w:t>
            </w:r>
          </w:p>
        </w:tc>
      </w:tr>
      <w:tr w:rsidR="004345CB" w:rsidRPr="00EC209A" w14:paraId="597672E4" w14:textId="77777777" w:rsidTr="004345CB">
        <w:trPr>
          <w:cantSplit/>
        </w:trPr>
        <w:tc>
          <w:tcPr>
            <w:tcW w:w="2868" w:type="dxa"/>
            <w:vMerge/>
            <w:shd w:val="clear" w:color="auto" w:fill="C0C0C0"/>
          </w:tcPr>
          <w:p w14:paraId="34375068" w14:textId="77777777" w:rsidR="004345CB" w:rsidRPr="00EC209A" w:rsidRDefault="004345CB" w:rsidP="00D47D34">
            <w:pPr>
              <w:pStyle w:val="TableText"/>
            </w:pPr>
          </w:p>
        </w:tc>
        <w:tc>
          <w:tcPr>
            <w:tcW w:w="2760" w:type="dxa"/>
          </w:tcPr>
          <w:p w14:paraId="49146FBC" w14:textId="77777777" w:rsidR="004345CB" w:rsidRPr="00EC209A" w:rsidRDefault="004345CB" w:rsidP="00D47D34">
            <w:pPr>
              <w:pStyle w:val="TableText"/>
            </w:pPr>
            <w:r w:rsidRPr="00EC209A">
              <w:t>Patient Antigen Typing</w:t>
            </w:r>
          </w:p>
        </w:tc>
        <w:tc>
          <w:tcPr>
            <w:tcW w:w="3960" w:type="dxa"/>
            <w:gridSpan w:val="2"/>
          </w:tcPr>
          <w:p w14:paraId="300F63DA" w14:textId="77777777" w:rsidR="004345CB" w:rsidRPr="00EC209A" w:rsidRDefault="004345CB" w:rsidP="00D47D34">
            <w:pPr>
              <w:pStyle w:val="TableText"/>
            </w:pPr>
            <w:r w:rsidRPr="00EC209A">
              <w:t>Repeat Patient Antigen Typing*</w:t>
            </w:r>
          </w:p>
        </w:tc>
      </w:tr>
      <w:tr w:rsidR="004345CB" w:rsidRPr="00EC209A" w14:paraId="0AF08E08" w14:textId="77777777" w:rsidTr="004345CB">
        <w:trPr>
          <w:cantSplit/>
        </w:trPr>
        <w:tc>
          <w:tcPr>
            <w:tcW w:w="2868" w:type="dxa"/>
            <w:vMerge/>
            <w:shd w:val="clear" w:color="auto" w:fill="C0C0C0"/>
          </w:tcPr>
          <w:p w14:paraId="302286B8" w14:textId="77777777" w:rsidR="004345CB" w:rsidRPr="00EC209A" w:rsidRDefault="004345CB" w:rsidP="00D47D34">
            <w:pPr>
              <w:pStyle w:val="TableText"/>
            </w:pPr>
          </w:p>
        </w:tc>
        <w:tc>
          <w:tcPr>
            <w:tcW w:w="2760" w:type="dxa"/>
          </w:tcPr>
          <w:p w14:paraId="37971E48" w14:textId="77777777" w:rsidR="004345CB" w:rsidRPr="00EC209A" w:rsidRDefault="004345CB" w:rsidP="00D47D34">
            <w:pPr>
              <w:pStyle w:val="TableText"/>
            </w:pPr>
            <w:r w:rsidRPr="00EC209A">
              <w:t>ABID</w:t>
            </w:r>
          </w:p>
        </w:tc>
        <w:tc>
          <w:tcPr>
            <w:tcW w:w="3960" w:type="dxa"/>
            <w:gridSpan w:val="2"/>
          </w:tcPr>
          <w:p w14:paraId="3B71770A" w14:textId="77777777" w:rsidR="004345CB" w:rsidRPr="00EC209A" w:rsidRDefault="004345CB" w:rsidP="00D47D34">
            <w:pPr>
              <w:pStyle w:val="TableText"/>
            </w:pPr>
            <w:r w:rsidRPr="00EC209A">
              <w:t>Repeat ABID*</w:t>
            </w:r>
          </w:p>
        </w:tc>
      </w:tr>
      <w:tr w:rsidR="004345CB" w:rsidRPr="00EC209A" w14:paraId="4411DAC0" w14:textId="77777777" w:rsidTr="004345CB">
        <w:trPr>
          <w:cantSplit/>
        </w:trPr>
        <w:tc>
          <w:tcPr>
            <w:tcW w:w="2868" w:type="dxa"/>
            <w:vMerge/>
            <w:shd w:val="clear" w:color="auto" w:fill="C0C0C0"/>
          </w:tcPr>
          <w:p w14:paraId="498582C0" w14:textId="77777777" w:rsidR="004345CB" w:rsidRPr="00EC209A" w:rsidRDefault="004345CB" w:rsidP="00D47D34">
            <w:pPr>
              <w:pStyle w:val="TableText"/>
            </w:pPr>
          </w:p>
        </w:tc>
        <w:tc>
          <w:tcPr>
            <w:tcW w:w="2760" w:type="dxa"/>
          </w:tcPr>
          <w:p w14:paraId="21F5E248" w14:textId="77777777" w:rsidR="004345CB" w:rsidRPr="00EC209A" w:rsidRDefault="004345CB" w:rsidP="00D47D34">
            <w:pPr>
              <w:pStyle w:val="TableText"/>
            </w:pPr>
            <w:r w:rsidRPr="00EC209A">
              <w:t>DAT IgG (Patient lgG DAT)</w:t>
            </w:r>
          </w:p>
        </w:tc>
        <w:tc>
          <w:tcPr>
            <w:tcW w:w="3960" w:type="dxa"/>
            <w:gridSpan w:val="2"/>
          </w:tcPr>
          <w:p w14:paraId="70F6B886" w14:textId="77777777" w:rsidR="004345CB" w:rsidRPr="00EC209A" w:rsidRDefault="004345CB" w:rsidP="00D47D34">
            <w:pPr>
              <w:pStyle w:val="TableText"/>
            </w:pPr>
            <w:r w:rsidRPr="00EC209A">
              <w:t>Repeat DAT lgG*</w:t>
            </w:r>
          </w:p>
        </w:tc>
      </w:tr>
      <w:tr w:rsidR="004345CB" w:rsidRPr="00EC209A" w14:paraId="65C65A2F" w14:textId="77777777" w:rsidTr="004345CB">
        <w:trPr>
          <w:cantSplit/>
        </w:trPr>
        <w:tc>
          <w:tcPr>
            <w:tcW w:w="2868" w:type="dxa"/>
            <w:vMerge/>
            <w:tcBorders>
              <w:bottom w:val="single" w:sz="12" w:space="0" w:color="auto"/>
            </w:tcBorders>
            <w:shd w:val="clear" w:color="auto" w:fill="C0C0C0"/>
          </w:tcPr>
          <w:p w14:paraId="7C01CB24" w14:textId="77777777" w:rsidR="004345CB" w:rsidRPr="00EC209A" w:rsidRDefault="004345CB" w:rsidP="00D47D34">
            <w:pPr>
              <w:pStyle w:val="TableText"/>
            </w:pPr>
          </w:p>
        </w:tc>
        <w:tc>
          <w:tcPr>
            <w:tcW w:w="2760" w:type="dxa"/>
            <w:tcBorders>
              <w:bottom w:val="single" w:sz="12" w:space="0" w:color="auto"/>
            </w:tcBorders>
          </w:tcPr>
          <w:p w14:paraId="6BDB2AA6" w14:textId="77777777" w:rsidR="004345CB" w:rsidRPr="00EC209A" w:rsidRDefault="004345CB" w:rsidP="00D47D34">
            <w:pPr>
              <w:pStyle w:val="TableText"/>
            </w:pPr>
            <w:r w:rsidRPr="00EC209A">
              <w:t>DAT Comp (Patient Complement DAT)</w:t>
            </w:r>
          </w:p>
        </w:tc>
        <w:tc>
          <w:tcPr>
            <w:tcW w:w="3960" w:type="dxa"/>
            <w:gridSpan w:val="2"/>
            <w:tcBorders>
              <w:bottom w:val="single" w:sz="12" w:space="0" w:color="auto"/>
            </w:tcBorders>
          </w:tcPr>
          <w:p w14:paraId="520004D6" w14:textId="77777777" w:rsidR="004345CB" w:rsidRPr="00EC209A" w:rsidRDefault="004345CB" w:rsidP="00D47D34">
            <w:pPr>
              <w:pStyle w:val="TableText"/>
            </w:pPr>
            <w:r w:rsidRPr="00EC209A">
              <w:t>Repeat DAT Comp*</w:t>
            </w:r>
          </w:p>
        </w:tc>
      </w:tr>
      <w:tr w:rsidR="004345CB" w:rsidRPr="00EC209A" w14:paraId="5FA0B7C6" w14:textId="77777777" w:rsidTr="004345CB">
        <w:trPr>
          <w:cantSplit/>
        </w:trPr>
        <w:tc>
          <w:tcPr>
            <w:tcW w:w="2868" w:type="dxa"/>
            <w:vMerge w:val="restart"/>
            <w:tcBorders>
              <w:top w:val="single" w:sz="12" w:space="0" w:color="auto"/>
            </w:tcBorders>
            <w:shd w:val="clear" w:color="auto" w:fill="C0C0C0"/>
          </w:tcPr>
          <w:p w14:paraId="057EB21E" w14:textId="77777777" w:rsidR="004345CB" w:rsidRPr="00EC209A" w:rsidRDefault="004345CB" w:rsidP="00D47D34">
            <w:pPr>
              <w:pStyle w:val="TableText"/>
            </w:pPr>
            <w:r w:rsidRPr="00EC209A">
              <w:t>TRW (Transfusion Reaction Workup)</w:t>
            </w:r>
          </w:p>
        </w:tc>
        <w:tc>
          <w:tcPr>
            <w:tcW w:w="2760" w:type="dxa"/>
            <w:tcBorders>
              <w:top w:val="single" w:sz="12" w:space="0" w:color="auto"/>
            </w:tcBorders>
          </w:tcPr>
          <w:p w14:paraId="6883D1BB" w14:textId="77777777" w:rsidR="004345CB" w:rsidRPr="00EC209A" w:rsidRDefault="004345CB" w:rsidP="00D47D34">
            <w:pPr>
              <w:pStyle w:val="TableText"/>
            </w:pPr>
            <w:r w:rsidRPr="00EC209A">
              <w:t>ABID</w:t>
            </w:r>
          </w:p>
        </w:tc>
        <w:tc>
          <w:tcPr>
            <w:tcW w:w="3960" w:type="dxa"/>
            <w:gridSpan w:val="2"/>
            <w:tcBorders>
              <w:top w:val="single" w:sz="12" w:space="0" w:color="auto"/>
            </w:tcBorders>
          </w:tcPr>
          <w:p w14:paraId="2411F2EA" w14:textId="77777777" w:rsidR="004345CB" w:rsidRPr="00EC209A" w:rsidRDefault="004345CB" w:rsidP="00D47D34">
            <w:pPr>
              <w:pStyle w:val="TableText"/>
            </w:pPr>
            <w:r w:rsidRPr="00EC209A">
              <w:t>Repeat ABID*</w:t>
            </w:r>
          </w:p>
        </w:tc>
      </w:tr>
      <w:tr w:rsidR="004345CB" w:rsidRPr="00EC209A" w14:paraId="75CC5D29" w14:textId="77777777" w:rsidTr="004345CB">
        <w:trPr>
          <w:cantSplit/>
        </w:trPr>
        <w:tc>
          <w:tcPr>
            <w:tcW w:w="2868" w:type="dxa"/>
            <w:vMerge/>
            <w:tcBorders>
              <w:bottom w:val="single" w:sz="12" w:space="0" w:color="auto"/>
            </w:tcBorders>
            <w:shd w:val="clear" w:color="auto" w:fill="C0C0C0"/>
          </w:tcPr>
          <w:p w14:paraId="33B70CAF" w14:textId="77777777" w:rsidR="004345CB" w:rsidRPr="00EC209A" w:rsidRDefault="004345CB" w:rsidP="00D47D34">
            <w:pPr>
              <w:pStyle w:val="TableText"/>
            </w:pPr>
          </w:p>
        </w:tc>
        <w:tc>
          <w:tcPr>
            <w:tcW w:w="6720" w:type="dxa"/>
            <w:gridSpan w:val="3"/>
            <w:tcBorders>
              <w:bottom w:val="single" w:sz="12" w:space="0" w:color="auto"/>
            </w:tcBorders>
          </w:tcPr>
          <w:p w14:paraId="106E62AE" w14:textId="77777777" w:rsidR="004345CB" w:rsidRPr="00EC209A" w:rsidRDefault="004345CB" w:rsidP="00D47D34">
            <w:pPr>
              <w:pStyle w:val="TableText"/>
            </w:pPr>
            <w:r w:rsidRPr="00EC209A">
              <w:t xml:space="preserve">May not order repeat tests as there are no original reaction result entries for comparison. For pre-transfusion specimen, repeats can be ordered. Post-transfusion specimen will need to have CPRS ordered tests to allow order of repeat tests. </w:t>
            </w:r>
          </w:p>
        </w:tc>
      </w:tr>
      <w:tr w:rsidR="004345CB" w:rsidRPr="00EC209A" w14:paraId="24C4C561" w14:textId="77777777" w:rsidTr="004345CB">
        <w:trPr>
          <w:cantSplit/>
        </w:trPr>
        <w:tc>
          <w:tcPr>
            <w:tcW w:w="2868" w:type="dxa"/>
            <w:vMerge w:val="restart"/>
            <w:tcBorders>
              <w:top w:val="single" w:sz="12" w:space="0" w:color="auto"/>
              <w:bottom w:val="single" w:sz="4" w:space="0" w:color="auto"/>
            </w:tcBorders>
            <w:shd w:val="clear" w:color="auto" w:fill="C0C0C0"/>
          </w:tcPr>
          <w:p w14:paraId="3C1EF7B0" w14:textId="77777777" w:rsidR="004345CB" w:rsidRPr="00EC209A" w:rsidRDefault="004345CB" w:rsidP="00D47D34">
            <w:pPr>
              <w:pStyle w:val="TableText"/>
            </w:pPr>
            <w:r w:rsidRPr="00EC209A">
              <w:t xml:space="preserve">CPRS component order that autogenerates a crossmatch test </w:t>
            </w:r>
          </w:p>
        </w:tc>
        <w:tc>
          <w:tcPr>
            <w:tcW w:w="6720" w:type="dxa"/>
            <w:gridSpan w:val="3"/>
            <w:tcBorders>
              <w:top w:val="single" w:sz="12" w:space="0" w:color="auto"/>
              <w:bottom w:val="single" w:sz="4" w:space="0" w:color="auto"/>
            </w:tcBorders>
          </w:tcPr>
          <w:p w14:paraId="0B10F647" w14:textId="77777777" w:rsidR="004345CB" w:rsidRPr="00EC209A" w:rsidRDefault="004345CB" w:rsidP="00D47D34">
            <w:pPr>
              <w:pStyle w:val="TableText"/>
            </w:pPr>
            <w:r w:rsidRPr="00EC209A">
              <w:t>Repeat XM (Patient Crossmatch)*</w:t>
            </w:r>
          </w:p>
        </w:tc>
      </w:tr>
      <w:tr w:rsidR="004345CB" w:rsidRPr="00EC209A" w14:paraId="2499098B" w14:textId="77777777" w:rsidTr="004345CB">
        <w:trPr>
          <w:cantSplit/>
        </w:trPr>
        <w:tc>
          <w:tcPr>
            <w:tcW w:w="2868" w:type="dxa"/>
            <w:vMerge/>
            <w:tcBorders>
              <w:top w:val="single" w:sz="4" w:space="0" w:color="auto"/>
            </w:tcBorders>
            <w:shd w:val="clear" w:color="auto" w:fill="C0C0C0"/>
          </w:tcPr>
          <w:p w14:paraId="2BD4EDEF" w14:textId="77777777" w:rsidR="004345CB" w:rsidRPr="00EC209A" w:rsidRDefault="004345CB" w:rsidP="00D47D34">
            <w:pPr>
              <w:pStyle w:val="TableText"/>
            </w:pPr>
          </w:p>
        </w:tc>
        <w:tc>
          <w:tcPr>
            <w:tcW w:w="6720" w:type="dxa"/>
            <w:gridSpan w:val="3"/>
            <w:tcBorders>
              <w:top w:val="single" w:sz="4" w:space="0" w:color="auto"/>
            </w:tcBorders>
          </w:tcPr>
          <w:p w14:paraId="22B8BF8B" w14:textId="77777777" w:rsidR="004345CB" w:rsidRPr="00EC209A" w:rsidRDefault="004345CB" w:rsidP="00D47D34">
            <w:pPr>
              <w:pStyle w:val="TableText"/>
            </w:pPr>
            <w:r w:rsidRPr="00EC209A">
              <w:t xml:space="preserve">(RBC, WB, and when an individual unit has </w:t>
            </w:r>
            <w:r w:rsidRPr="00EC209A">
              <w:rPr>
                <w:u w:val="single"/>
              </w:rPr>
              <w:t>&gt;</w:t>
            </w:r>
            <w:r w:rsidRPr="00EC209A">
              <w:t xml:space="preserve"> 2 mL RBC contamination)</w:t>
            </w:r>
          </w:p>
        </w:tc>
      </w:tr>
    </w:tbl>
    <w:p w14:paraId="03E3E241" w14:textId="77777777" w:rsidR="004345CB" w:rsidRDefault="004345CB" w:rsidP="004345CB">
      <w:pPr>
        <w:pStyle w:val="BodyText"/>
      </w:pPr>
    </w:p>
    <w:p w14:paraId="31DD765B" w14:textId="77777777" w:rsidR="004345CB" w:rsidRDefault="004345CB">
      <w:pPr>
        <w:rPr>
          <w:sz w:val="22"/>
          <w:szCs w:val="22"/>
        </w:rPr>
      </w:pPr>
      <w:r>
        <w:br w:type="page"/>
      </w:r>
    </w:p>
    <w:p w14:paraId="6C2A7428" w14:textId="09416488" w:rsidR="002A21AE" w:rsidRDefault="002A21AE" w:rsidP="008964A9">
      <w:pPr>
        <w:pStyle w:val="Heading1"/>
      </w:pPr>
      <w:bookmarkStart w:id="912" w:name="_Toc203766027"/>
      <w:r>
        <w:lastRenderedPageBreak/>
        <w:t>Index</w:t>
      </w:r>
      <w:bookmarkEnd w:id="912"/>
    </w:p>
    <w:p w14:paraId="2E0A4D90" w14:textId="77777777" w:rsidR="004E2B6A" w:rsidRDefault="00E93F17" w:rsidP="009C0A99">
      <w:pPr>
        <w:pStyle w:val="BodyText"/>
        <w:jc w:val="center"/>
        <w:rPr>
          <w:rFonts w:ascii="Arial" w:hAnsi="Arial" w:cs="Arial"/>
          <w:b/>
          <w:bCs/>
          <w:noProof/>
          <w:kern w:val="32"/>
        </w:rPr>
        <w:sectPr w:rsidR="004E2B6A" w:rsidSect="004E2B6A">
          <w:headerReference w:type="even" r:id="rId245"/>
          <w:type w:val="continuous"/>
          <w:pgSz w:w="12240" w:h="15840" w:code="1"/>
          <w:pgMar w:top="1440" w:right="1440" w:bottom="1440" w:left="1440" w:header="720" w:footer="720" w:gutter="0"/>
          <w:cols w:space="720"/>
          <w:docGrid w:linePitch="360"/>
        </w:sectPr>
      </w:pPr>
      <w:r w:rsidRPr="00206945">
        <w:rPr>
          <w:rFonts w:ascii="Arial" w:hAnsi="Arial" w:cs="Arial"/>
          <w:b/>
          <w:bCs/>
          <w:kern w:val="32"/>
        </w:rPr>
        <w:fldChar w:fldCharType="begin"/>
      </w:r>
      <w:r w:rsidRPr="00206945">
        <w:rPr>
          <w:rFonts w:ascii="Arial" w:hAnsi="Arial" w:cs="Arial"/>
          <w:b/>
          <w:bCs/>
          <w:kern w:val="32"/>
        </w:rPr>
        <w:instrText xml:space="preserve"> INDEX \e "</w:instrText>
      </w:r>
      <w:r w:rsidRPr="00206945">
        <w:rPr>
          <w:rFonts w:ascii="Arial" w:hAnsi="Arial" w:cs="Arial"/>
          <w:b/>
          <w:bCs/>
          <w:kern w:val="32"/>
        </w:rPr>
        <w:tab/>
        <w:instrText xml:space="preserve">" \h "A" \c "1" \z "1033" </w:instrText>
      </w:r>
      <w:r w:rsidRPr="00206945">
        <w:rPr>
          <w:rFonts w:ascii="Arial" w:hAnsi="Arial" w:cs="Arial"/>
          <w:b/>
          <w:bCs/>
          <w:kern w:val="32"/>
        </w:rPr>
        <w:fldChar w:fldCharType="separate"/>
      </w:r>
    </w:p>
    <w:p w14:paraId="5C4E6B59" w14:textId="77777777" w:rsidR="004E2B6A" w:rsidRDefault="004E2B6A">
      <w:pPr>
        <w:pStyle w:val="IndexHeading"/>
        <w:keepNext/>
        <w:tabs>
          <w:tab w:val="right" w:leader="dot" w:pos="9350"/>
        </w:tabs>
        <w:rPr>
          <w:rFonts w:asciiTheme="minorHAnsi" w:eastAsiaTheme="minorEastAsia" w:hAnsiTheme="minorHAnsi" w:cstheme="minorBidi"/>
          <w:b w:val="0"/>
          <w:bCs w:val="0"/>
          <w:noProof/>
        </w:rPr>
      </w:pPr>
      <w:r>
        <w:rPr>
          <w:noProof/>
        </w:rPr>
        <w:t>A</w:t>
      </w:r>
    </w:p>
    <w:p w14:paraId="47790D99" w14:textId="77777777" w:rsidR="004E2B6A" w:rsidRDefault="004E2B6A">
      <w:pPr>
        <w:pStyle w:val="Index1"/>
        <w:tabs>
          <w:tab w:val="right" w:leader="dot" w:pos="9350"/>
        </w:tabs>
        <w:rPr>
          <w:noProof/>
        </w:rPr>
      </w:pPr>
      <w:r>
        <w:rPr>
          <w:noProof/>
        </w:rPr>
        <w:t>Accept Orders: Accept an Order</w:t>
      </w:r>
      <w:r>
        <w:rPr>
          <w:noProof/>
        </w:rPr>
        <w:tab/>
        <w:t>233</w:t>
      </w:r>
    </w:p>
    <w:p w14:paraId="0A0B7F60" w14:textId="77777777" w:rsidR="004E2B6A" w:rsidRDefault="004E2B6A">
      <w:pPr>
        <w:pStyle w:val="Index1"/>
        <w:tabs>
          <w:tab w:val="right" w:leader="dot" w:pos="9350"/>
        </w:tabs>
        <w:rPr>
          <w:noProof/>
        </w:rPr>
      </w:pPr>
      <w:r>
        <w:rPr>
          <w:noProof/>
        </w:rPr>
        <w:t>Accessing the System</w:t>
      </w:r>
      <w:r>
        <w:rPr>
          <w:noProof/>
        </w:rPr>
        <w:tab/>
        <w:t>24</w:t>
      </w:r>
    </w:p>
    <w:p w14:paraId="762242B7" w14:textId="77777777" w:rsidR="004E2B6A" w:rsidRDefault="004E2B6A">
      <w:pPr>
        <w:pStyle w:val="Index1"/>
        <w:tabs>
          <w:tab w:val="right" w:leader="dot" w:pos="9350"/>
        </w:tabs>
        <w:rPr>
          <w:noProof/>
        </w:rPr>
      </w:pPr>
      <w:r>
        <w:rPr>
          <w:noProof/>
        </w:rPr>
        <w:t>Administrative Data Report</w:t>
      </w:r>
      <w:r>
        <w:rPr>
          <w:noProof/>
        </w:rPr>
        <w:tab/>
        <w:t>348</w:t>
      </w:r>
    </w:p>
    <w:p w14:paraId="1B665334" w14:textId="77777777" w:rsidR="004E2B6A" w:rsidRDefault="004E2B6A">
      <w:pPr>
        <w:pStyle w:val="Index1"/>
        <w:tabs>
          <w:tab w:val="right" w:leader="dot" w:pos="9350"/>
        </w:tabs>
        <w:rPr>
          <w:noProof/>
        </w:rPr>
      </w:pPr>
      <w:r>
        <w:rPr>
          <w:noProof/>
        </w:rPr>
        <w:t>Appendices</w:t>
      </w:r>
      <w:r>
        <w:rPr>
          <w:noProof/>
        </w:rPr>
        <w:tab/>
        <w:t>9</w:t>
      </w:r>
    </w:p>
    <w:p w14:paraId="3F92BAF2" w14:textId="77777777" w:rsidR="004E2B6A" w:rsidRDefault="004E2B6A">
      <w:pPr>
        <w:pStyle w:val="Index1"/>
        <w:tabs>
          <w:tab w:val="right" w:leader="dot" w:pos="9350"/>
        </w:tabs>
        <w:rPr>
          <w:noProof/>
        </w:rPr>
      </w:pPr>
      <w:r>
        <w:rPr>
          <w:noProof/>
        </w:rPr>
        <w:t>Application Architecture</w:t>
      </w:r>
      <w:r>
        <w:rPr>
          <w:noProof/>
        </w:rPr>
        <w:tab/>
        <w:t>11</w:t>
      </w:r>
    </w:p>
    <w:p w14:paraId="7B1AB392" w14:textId="77777777" w:rsidR="004E2B6A" w:rsidRDefault="004E2B6A">
      <w:pPr>
        <w:pStyle w:val="Index1"/>
        <w:tabs>
          <w:tab w:val="right" w:leader="dot" w:pos="9350"/>
        </w:tabs>
        <w:rPr>
          <w:noProof/>
        </w:rPr>
      </w:pPr>
      <w:r>
        <w:rPr>
          <w:noProof/>
        </w:rPr>
        <w:t>Assumptions</w:t>
      </w:r>
      <w:r>
        <w:rPr>
          <w:noProof/>
        </w:rPr>
        <w:tab/>
        <w:t>145</w:t>
      </w:r>
    </w:p>
    <w:p w14:paraId="4A67EA30" w14:textId="77777777" w:rsidR="004E2B6A" w:rsidRDefault="004E2B6A">
      <w:pPr>
        <w:pStyle w:val="Index1"/>
        <w:tabs>
          <w:tab w:val="right" w:leader="dot" w:pos="9350"/>
        </w:tabs>
        <w:rPr>
          <w:noProof/>
        </w:rPr>
      </w:pPr>
      <w:r>
        <w:rPr>
          <w:noProof/>
        </w:rPr>
        <w:t>Audit Trail</w:t>
      </w:r>
      <w:r>
        <w:rPr>
          <w:noProof/>
        </w:rPr>
        <w:tab/>
        <w:t>350</w:t>
      </w:r>
    </w:p>
    <w:p w14:paraId="0F9020E9" w14:textId="77777777" w:rsidR="004E2B6A" w:rsidRDefault="004E2B6A">
      <w:pPr>
        <w:pStyle w:val="Index1"/>
        <w:tabs>
          <w:tab w:val="right" w:leader="dot" w:pos="9350"/>
        </w:tabs>
        <w:rPr>
          <w:noProof/>
        </w:rPr>
      </w:pPr>
      <w:r>
        <w:rPr>
          <w:noProof/>
        </w:rPr>
        <w:t>Automated Entry of Post-Transfusion Details from BCE COTS Application</w:t>
      </w:r>
      <w:r>
        <w:rPr>
          <w:noProof/>
        </w:rPr>
        <w:tab/>
        <w:t>328</w:t>
      </w:r>
    </w:p>
    <w:p w14:paraId="274B4C95" w14:textId="77777777" w:rsidR="004E2B6A" w:rsidRDefault="004E2B6A">
      <w:pPr>
        <w:pStyle w:val="Index1"/>
        <w:tabs>
          <w:tab w:val="right" w:leader="dot" w:pos="9350"/>
        </w:tabs>
        <w:rPr>
          <w:noProof/>
        </w:rPr>
      </w:pPr>
      <w:r>
        <w:rPr>
          <w:noProof/>
        </w:rPr>
        <w:t>Automated Testing Interface</w:t>
      </w:r>
      <w:r>
        <w:rPr>
          <w:noProof/>
        </w:rPr>
        <w:tab/>
        <w:t>334</w:t>
      </w:r>
    </w:p>
    <w:p w14:paraId="0EC5C3FA" w14:textId="77777777" w:rsidR="004E2B6A" w:rsidRDefault="004E2B6A">
      <w:pPr>
        <w:pStyle w:val="IndexHeading"/>
        <w:keepNext/>
        <w:tabs>
          <w:tab w:val="right" w:leader="dot" w:pos="9350"/>
        </w:tabs>
        <w:rPr>
          <w:rFonts w:asciiTheme="minorHAnsi" w:eastAsiaTheme="minorEastAsia" w:hAnsiTheme="minorHAnsi" w:cstheme="minorBidi"/>
          <w:b w:val="0"/>
          <w:bCs w:val="0"/>
          <w:noProof/>
        </w:rPr>
      </w:pPr>
      <w:r>
        <w:rPr>
          <w:noProof/>
        </w:rPr>
        <w:t>B</w:t>
      </w:r>
    </w:p>
    <w:p w14:paraId="53FC0B1C" w14:textId="77777777" w:rsidR="004E2B6A" w:rsidRDefault="004E2B6A">
      <w:pPr>
        <w:pStyle w:val="Index1"/>
        <w:tabs>
          <w:tab w:val="right" w:leader="dot" w:pos="9350"/>
        </w:tabs>
        <w:rPr>
          <w:noProof/>
        </w:rPr>
      </w:pPr>
      <w:r>
        <w:rPr>
          <w:noProof/>
        </w:rPr>
        <w:t>Background and Basic Knowledge</w:t>
      </w:r>
      <w:r>
        <w:rPr>
          <w:noProof/>
        </w:rPr>
        <w:tab/>
        <w:t>8</w:t>
      </w:r>
    </w:p>
    <w:p w14:paraId="07432158" w14:textId="77777777" w:rsidR="004E2B6A" w:rsidRDefault="004E2B6A">
      <w:pPr>
        <w:pStyle w:val="Index1"/>
        <w:tabs>
          <w:tab w:val="right" w:leader="dot" w:pos="9350"/>
        </w:tabs>
        <w:rPr>
          <w:noProof/>
        </w:rPr>
      </w:pPr>
      <w:r>
        <w:rPr>
          <w:noProof/>
        </w:rPr>
        <w:t>Barcode Scanner Configuration and Troubleshooting</w:t>
      </w:r>
      <w:r>
        <w:rPr>
          <w:noProof/>
        </w:rPr>
        <w:tab/>
        <w:t>499</w:t>
      </w:r>
    </w:p>
    <w:p w14:paraId="3562DD39" w14:textId="77777777" w:rsidR="004E2B6A" w:rsidRDefault="004E2B6A">
      <w:pPr>
        <w:pStyle w:val="Index1"/>
        <w:tabs>
          <w:tab w:val="right" w:leader="dot" w:pos="9350"/>
        </w:tabs>
        <w:rPr>
          <w:noProof/>
        </w:rPr>
      </w:pPr>
      <w:r>
        <w:rPr>
          <w:noProof/>
        </w:rPr>
        <w:t>Blood Availability</w:t>
      </w:r>
      <w:r>
        <w:rPr>
          <w:noProof/>
        </w:rPr>
        <w:tab/>
        <w:t>352</w:t>
      </w:r>
    </w:p>
    <w:p w14:paraId="2CCDACA6" w14:textId="77777777" w:rsidR="004E2B6A" w:rsidRDefault="004E2B6A">
      <w:pPr>
        <w:pStyle w:val="IndexHeading"/>
        <w:keepNext/>
        <w:tabs>
          <w:tab w:val="right" w:leader="dot" w:pos="9350"/>
        </w:tabs>
        <w:rPr>
          <w:rFonts w:asciiTheme="minorHAnsi" w:eastAsiaTheme="minorEastAsia" w:hAnsiTheme="minorHAnsi" w:cstheme="minorBidi"/>
          <w:b w:val="0"/>
          <w:bCs w:val="0"/>
          <w:noProof/>
        </w:rPr>
      </w:pPr>
      <w:r>
        <w:rPr>
          <w:noProof/>
        </w:rPr>
        <w:t>C</w:t>
      </w:r>
    </w:p>
    <w:p w14:paraId="69652715" w14:textId="77777777" w:rsidR="004E2B6A" w:rsidRDefault="004E2B6A">
      <w:pPr>
        <w:pStyle w:val="Index1"/>
        <w:tabs>
          <w:tab w:val="right" w:leader="dot" w:pos="9350"/>
        </w:tabs>
        <w:rPr>
          <w:noProof/>
        </w:rPr>
      </w:pPr>
      <w:r>
        <w:rPr>
          <w:noProof/>
        </w:rPr>
        <w:t>C:T Ratio Report</w:t>
      </w:r>
      <w:r>
        <w:rPr>
          <w:noProof/>
        </w:rPr>
        <w:tab/>
        <w:t>356</w:t>
      </w:r>
    </w:p>
    <w:p w14:paraId="6899351B" w14:textId="77777777" w:rsidR="004E2B6A" w:rsidRDefault="004E2B6A">
      <w:pPr>
        <w:pStyle w:val="Index1"/>
        <w:tabs>
          <w:tab w:val="right" w:leader="dot" w:pos="9350"/>
        </w:tabs>
        <w:rPr>
          <w:noProof/>
        </w:rPr>
      </w:pPr>
      <w:r>
        <w:rPr>
          <w:noProof/>
        </w:rPr>
        <w:t>check character</w:t>
      </w:r>
      <w:r>
        <w:rPr>
          <w:noProof/>
        </w:rPr>
        <w:tab/>
        <w:t>109</w:t>
      </w:r>
    </w:p>
    <w:p w14:paraId="58973CE6" w14:textId="77777777" w:rsidR="004E2B6A" w:rsidRDefault="004E2B6A">
      <w:pPr>
        <w:pStyle w:val="Index1"/>
        <w:tabs>
          <w:tab w:val="right" w:leader="dot" w:pos="9350"/>
        </w:tabs>
        <w:rPr>
          <w:noProof/>
        </w:rPr>
      </w:pPr>
      <w:r>
        <w:rPr>
          <w:noProof/>
        </w:rPr>
        <w:t>Collecting Workload</w:t>
      </w:r>
      <w:r>
        <w:rPr>
          <w:noProof/>
        </w:rPr>
        <w:tab/>
        <w:t>42</w:t>
      </w:r>
    </w:p>
    <w:p w14:paraId="3D083991" w14:textId="77777777" w:rsidR="004E2B6A" w:rsidRDefault="004E2B6A">
      <w:pPr>
        <w:pStyle w:val="Index1"/>
        <w:tabs>
          <w:tab w:val="right" w:leader="dot" w:pos="9350"/>
        </w:tabs>
        <w:rPr>
          <w:noProof/>
        </w:rPr>
      </w:pPr>
      <w:r>
        <w:rPr>
          <w:noProof/>
        </w:rPr>
        <w:t>Common Error Corrections</w:t>
      </w:r>
      <w:r>
        <w:rPr>
          <w:noProof/>
        </w:rPr>
        <w:tab/>
        <w:t>495</w:t>
      </w:r>
    </w:p>
    <w:p w14:paraId="7F954CBC" w14:textId="77777777" w:rsidR="004E2B6A" w:rsidRDefault="004E2B6A">
      <w:pPr>
        <w:pStyle w:val="Index1"/>
        <w:tabs>
          <w:tab w:val="right" w:leader="dot" w:pos="9350"/>
        </w:tabs>
        <w:rPr>
          <w:noProof/>
        </w:rPr>
      </w:pPr>
      <w:r>
        <w:rPr>
          <w:noProof/>
        </w:rPr>
        <w:t>Commonly Used System Rules</w:t>
      </w:r>
      <w:r>
        <w:rPr>
          <w:noProof/>
        </w:rPr>
        <w:tab/>
        <w:t>16</w:t>
      </w:r>
    </w:p>
    <w:p w14:paraId="1DADB911" w14:textId="77777777" w:rsidR="004E2B6A" w:rsidRDefault="004E2B6A">
      <w:pPr>
        <w:pStyle w:val="Index1"/>
        <w:tabs>
          <w:tab w:val="right" w:leader="dot" w:pos="9350"/>
        </w:tabs>
        <w:rPr>
          <w:noProof/>
        </w:rPr>
      </w:pPr>
      <w:r>
        <w:rPr>
          <w:noProof/>
        </w:rPr>
        <w:t>Component Processing</w:t>
      </w:r>
      <w:r>
        <w:rPr>
          <w:noProof/>
        </w:rPr>
        <w:tab/>
        <w:t>108</w:t>
      </w:r>
    </w:p>
    <w:p w14:paraId="2CA182E4" w14:textId="77777777" w:rsidR="004E2B6A" w:rsidRDefault="004E2B6A">
      <w:pPr>
        <w:pStyle w:val="Index1"/>
        <w:tabs>
          <w:tab w:val="right" w:leader="dot" w:pos="9350"/>
        </w:tabs>
        <w:rPr>
          <w:noProof/>
        </w:rPr>
      </w:pPr>
      <w:r>
        <w:rPr>
          <w:noProof/>
        </w:rPr>
        <w:t>Configure Division</w:t>
      </w:r>
      <w:r>
        <w:rPr>
          <w:noProof/>
        </w:rPr>
        <w:tab/>
        <w:t>52</w:t>
      </w:r>
    </w:p>
    <w:p w14:paraId="4B2723C4" w14:textId="77777777" w:rsidR="004E2B6A" w:rsidRDefault="004E2B6A">
      <w:pPr>
        <w:pStyle w:val="Index1"/>
        <w:tabs>
          <w:tab w:val="right" w:leader="dot" w:pos="9350"/>
        </w:tabs>
        <w:rPr>
          <w:noProof/>
        </w:rPr>
      </w:pPr>
      <w:r>
        <w:rPr>
          <w:noProof/>
        </w:rPr>
        <w:t>Configuring Site Parameters</w:t>
      </w:r>
      <w:r>
        <w:rPr>
          <w:noProof/>
        </w:rPr>
        <w:tab/>
        <w:t>43</w:t>
      </w:r>
    </w:p>
    <w:p w14:paraId="37940639" w14:textId="77777777" w:rsidR="004E2B6A" w:rsidRDefault="004E2B6A">
      <w:pPr>
        <w:pStyle w:val="Index1"/>
        <w:tabs>
          <w:tab w:val="right" w:leader="dot" w:pos="9350"/>
        </w:tabs>
        <w:rPr>
          <w:noProof/>
        </w:rPr>
      </w:pPr>
      <w:r>
        <w:rPr>
          <w:noProof/>
        </w:rPr>
        <w:t>Cost Accounting Report</w:t>
      </w:r>
      <w:r>
        <w:rPr>
          <w:noProof/>
        </w:rPr>
        <w:tab/>
        <w:t>354</w:t>
      </w:r>
    </w:p>
    <w:p w14:paraId="44BF8163" w14:textId="77777777" w:rsidR="004E2B6A" w:rsidRDefault="004E2B6A">
      <w:pPr>
        <w:pStyle w:val="Index1"/>
        <w:tabs>
          <w:tab w:val="right" w:leader="dot" w:pos="9350"/>
        </w:tabs>
        <w:rPr>
          <w:noProof/>
        </w:rPr>
      </w:pPr>
      <w:r>
        <w:rPr>
          <w:noProof/>
        </w:rPr>
        <w:t>CPRS Blood Bank Report</w:t>
      </w:r>
      <w:r>
        <w:rPr>
          <w:noProof/>
        </w:rPr>
        <w:tab/>
        <w:t>358</w:t>
      </w:r>
    </w:p>
    <w:p w14:paraId="01D39427" w14:textId="77777777" w:rsidR="004E2B6A" w:rsidRDefault="004E2B6A">
      <w:pPr>
        <w:pStyle w:val="Index1"/>
        <w:tabs>
          <w:tab w:val="right" w:leader="dot" w:pos="9350"/>
        </w:tabs>
        <w:rPr>
          <w:noProof/>
        </w:rPr>
      </w:pPr>
      <w:r>
        <w:rPr>
          <w:noProof/>
        </w:rPr>
        <w:t>CPRS Order Status Alert</w:t>
      </w:r>
      <w:r>
        <w:rPr>
          <w:noProof/>
        </w:rPr>
        <w:tab/>
        <w:t>243</w:t>
      </w:r>
    </w:p>
    <w:p w14:paraId="2CE73FD6" w14:textId="77777777" w:rsidR="004E2B6A" w:rsidRDefault="004E2B6A">
      <w:pPr>
        <w:pStyle w:val="Index1"/>
        <w:tabs>
          <w:tab w:val="right" w:leader="dot" w:pos="9350"/>
        </w:tabs>
        <w:rPr>
          <w:noProof/>
        </w:rPr>
      </w:pPr>
      <w:r>
        <w:rPr>
          <w:noProof/>
        </w:rPr>
        <w:t>Creating and Viewing Reports</w:t>
      </w:r>
      <w:r>
        <w:rPr>
          <w:noProof/>
        </w:rPr>
        <w:tab/>
        <w:t>21</w:t>
      </w:r>
    </w:p>
    <w:p w14:paraId="3E88B9E7" w14:textId="77777777" w:rsidR="004E2B6A" w:rsidRDefault="004E2B6A">
      <w:pPr>
        <w:pStyle w:val="Index1"/>
        <w:tabs>
          <w:tab w:val="right" w:leader="dot" w:pos="9350"/>
        </w:tabs>
        <w:rPr>
          <w:noProof/>
        </w:rPr>
      </w:pPr>
      <w:r>
        <w:rPr>
          <w:noProof/>
        </w:rPr>
        <w:t>Crossmatch Interpretations</w:t>
      </w:r>
      <w:r>
        <w:rPr>
          <w:noProof/>
        </w:rPr>
        <w:tab/>
        <w:t>289</w:t>
      </w:r>
    </w:p>
    <w:p w14:paraId="1E50B680" w14:textId="77777777" w:rsidR="004E2B6A" w:rsidRDefault="004E2B6A">
      <w:pPr>
        <w:pStyle w:val="IndexHeading"/>
        <w:keepNext/>
        <w:tabs>
          <w:tab w:val="right" w:leader="dot" w:pos="9350"/>
        </w:tabs>
        <w:rPr>
          <w:rFonts w:asciiTheme="minorHAnsi" w:eastAsiaTheme="minorEastAsia" w:hAnsiTheme="minorHAnsi" w:cstheme="minorBidi"/>
          <w:b w:val="0"/>
          <w:bCs w:val="0"/>
          <w:noProof/>
        </w:rPr>
      </w:pPr>
      <w:r>
        <w:rPr>
          <w:noProof/>
        </w:rPr>
        <w:t>D</w:t>
      </w:r>
    </w:p>
    <w:p w14:paraId="19760F57" w14:textId="77777777" w:rsidR="004E2B6A" w:rsidRDefault="004E2B6A">
      <w:pPr>
        <w:pStyle w:val="Index1"/>
        <w:tabs>
          <w:tab w:val="right" w:leader="dot" w:pos="9350"/>
        </w:tabs>
        <w:rPr>
          <w:noProof/>
        </w:rPr>
      </w:pPr>
      <w:r>
        <w:rPr>
          <w:noProof/>
        </w:rPr>
        <w:t>Database Table Information</w:t>
      </w:r>
      <w:r>
        <w:rPr>
          <w:noProof/>
        </w:rPr>
        <w:tab/>
        <w:t>410</w:t>
      </w:r>
    </w:p>
    <w:p w14:paraId="613730FB" w14:textId="77777777" w:rsidR="004E2B6A" w:rsidRDefault="004E2B6A">
      <w:pPr>
        <w:pStyle w:val="Index1"/>
        <w:tabs>
          <w:tab w:val="right" w:leader="dot" w:pos="9350"/>
        </w:tabs>
        <w:rPr>
          <w:noProof/>
        </w:rPr>
      </w:pPr>
      <w:r>
        <w:rPr>
          <w:noProof/>
        </w:rPr>
        <w:t>Date and Time</w:t>
      </w:r>
      <w:r>
        <w:rPr>
          <w:noProof/>
        </w:rPr>
        <w:tab/>
        <w:t>16</w:t>
      </w:r>
    </w:p>
    <w:p w14:paraId="1D5EE5C0" w14:textId="77777777" w:rsidR="004E2B6A" w:rsidRDefault="004E2B6A">
      <w:pPr>
        <w:pStyle w:val="Index1"/>
        <w:tabs>
          <w:tab w:val="right" w:leader="dot" w:pos="9350"/>
        </w:tabs>
        <w:rPr>
          <w:noProof/>
        </w:rPr>
      </w:pPr>
      <w:r>
        <w:rPr>
          <w:noProof/>
        </w:rPr>
        <w:t>Discard or Quarantine Individual Units</w:t>
      </w:r>
      <w:r>
        <w:rPr>
          <w:noProof/>
        </w:rPr>
        <w:tab/>
        <w:t>179</w:t>
      </w:r>
    </w:p>
    <w:p w14:paraId="5CA0C50C" w14:textId="77777777" w:rsidR="004E2B6A" w:rsidRDefault="004E2B6A">
      <w:pPr>
        <w:pStyle w:val="Index1"/>
        <w:tabs>
          <w:tab w:val="right" w:leader="dot" w:pos="9350"/>
        </w:tabs>
        <w:rPr>
          <w:noProof/>
        </w:rPr>
      </w:pPr>
      <w:r>
        <w:rPr>
          <w:noProof/>
        </w:rPr>
        <w:t>Discard or Quarantine Units by Invoice</w:t>
      </w:r>
      <w:r>
        <w:rPr>
          <w:noProof/>
        </w:rPr>
        <w:tab/>
        <w:t>182</w:t>
      </w:r>
    </w:p>
    <w:p w14:paraId="1EB45672" w14:textId="77777777" w:rsidR="004E2B6A" w:rsidRDefault="004E2B6A">
      <w:pPr>
        <w:pStyle w:val="Index1"/>
        <w:tabs>
          <w:tab w:val="right" w:leader="dot" w:pos="9350"/>
        </w:tabs>
        <w:rPr>
          <w:noProof/>
        </w:rPr>
      </w:pPr>
      <w:r>
        <w:rPr>
          <w:noProof/>
        </w:rPr>
        <w:t>Display Order Alerts</w:t>
      </w:r>
      <w:r>
        <w:rPr>
          <w:noProof/>
        </w:rPr>
        <w:tab/>
        <w:t>241</w:t>
      </w:r>
    </w:p>
    <w:p w14:paraId="07651B46" w14:textId="77777777" w:rsidR="004E2B6A" w:rsidRDefault="004E2B6A">
      <w:pPr>
        <w:pStyle w:val="Index1"/>
        <w:tabs>
          <w:tab w:val="right" w:leader="dot" w:pos="9350"/>
        </w:tabs>
        <w:rPr>
          <w:noProof/>
        </w:rPr>
      </w:pPr>
      <w:r>
        <w:rPr>
          <w:noProof/>
        </w:rPr>
        <w:t>Display Patient Merge Alerts</w:t>
      </w:r>
      <w:r>
        <w:rPr>
          <w:noProof/>
        </w:rPr>
        <w:tab/>
        <w:t>245</w:t>
      </w:r>
    </w:p>
    <w:p w14:paraId="4CD40753" w14:textId="77777777" w:rsidR="004E2B6A" w:rsidRDefault="004E2B6A">
      <w:pPr>
        <w:pStyle w:val="Index1"/>
        <w:tabs>
          <w:tab w:val="right" w:leader="dot" w:pos="9350"/>
        </w:tabs>
        <w:rPr>
          <w:noProof/>
        </w:rPr>
      </w:pPr>
      <w:r>
        <w:rPr>
          <w:noProof/>
        </w:rPr>
        <w:t>Display Patient Update Alerts</w:t>
      </w:r>
      <w:r>
        <w:rPr>
          <w:noProof/>
        </w:rPr>
        <w:tab/>
        <w:t>244</w:t>
      </w:r>
    </w:p>
    <w:p w14:paraId="7D29CC25" w14:textId="77777777" w:rsidR="004E2B6A" w:rsidRDefault="004E2B6A">
      <w:pPr>
        <w:pStyle w:val="Index1"/>
        <w:tabs>
          <w:tab w:val="right" w:leader="dot" w:pos="9350"/>
        </w:tabs>
        <w:rPr>
          <w:noProof/>
        </w:rPr>
      </w:pPr>
      <w:r>
        <w:rPr>
          <w:noProof/>
        </w:rPr>
        <w:t>Division Transfusion Report</w:t>
      </w:r>
      <w:r>
        <w:rPr>
          <w:noProof/>
        </w:rPr>
        <w:tab/>
        <w:t>360</w:t>
      </w:r>
    </w:p>
    <w:p w14:paraId="4789B535" w14:textId="77777777" w:rsidR="004E2B6A" w:rsidRDefault="004E2B6A">
      <w:pPr>
        <w:pStyle w:val="Index1"/>
        <w:tabs>
          <w:tab w:val="right" w:leader="dot" w:pos="9350"/>
        </w:tabs>
        <w:rPr>
          <w:noProof/>
        </w:rPr>
      </w:pPr>
      <w:r>
        <w:rPr>
          <w:noProof/>
        </w:rPr>
        <w:t>Division Workload Report</w:t>
      </w:r>
      <w:r>
        <w:rPr>
          <w:noProof/>
        </w:rPr>
        <w:tab/>
        <w:t>362</w:t>
      </w:r>
    </w:p>
    <w:p w14:paraId="08F97F35" w14:textId="77777777" w:rsidR="004E2B6A" w:rsidRDefault="004E2B6A">
      <w:pPr>
        <w:pStyle w:val="Index1"/>
        <w:tabs>
          <w:tab w:val="right" w:leader="dot" w:pos="9350"/>
        </w:tabs>
        <w:rPr>
          <w:noProof/>
        </w:rPr>
      </w:pPr>
      <w:r>
        <w:rPr>
          <w:noProof/>
        </w:rPr>
        <w:t>Document ABO Incompatible Transfusions</w:t>
      </w:r>
      <w:r>
        <w:rPr>
          <w:noProof/>
        </w:rPr>
        <w:tab/>
        <w:t>329</w:t>
      </w:r>
    </w:p>
    <w:p w14:paraId="6691DCA2" w14:textId="77777777" w:rsidR="004E2B6A" w:rsidRDefault="004E2B6A">
      <w:pPr>
        <w:pStyle w:val="Index1"/>
        <w:tabs>
          <w:tab w:val="right" w:leader="dot" w:pos="9350"/>
        </w:tabs>
        <w:rPr>
          <w:noProof/>
        </w:rPr>
      </w:pPr>
      <w:r>
        <w:rPr>
          <w:noProof/>
        </w:rPr>
        <w:t>Downtime Forms and Instructions</w:t>
      </w:r>
      <w:r>
        <w:rPr>
          <w:noProof/>
        </w:rPr>
        <w:tab/>
        <w:t>402</w:t>
      </w:r>
    </w:p>
    <w:p w14:paraId="04CA1E87" w14:textId="77777777" w:rsidR="004E2B6A" w:rsidRDefault="004E2B6A">
      <w:pPr>
        <w:pStyle w:val="Index1"/>
        <w:tabs>
          <w:tab w:val="right" w:leader="dot" w:pos="9350"/>
        </w:tabs>
        <w:rPr>
          <w:noProof/>
        </w:rPr>
      </w:pPr>
      <w:r>
        <w:rPr>
          <w:noProof/>
        </w:rPr>
        <w:t>Drop-Down Menus</w:t>
      </w:r>
      <w:r>
        <w:rPr>
          <w:noProof/>
        </w:rPr>
        <w:tab/>
        <w:t>33</w:t>
      </w:r>
    </w:p>
    <w:p w14:paraId="5901D531" w14:textId="77777777" w:rsidR="004E2B6A" w:rsidRDefault="004E2B6A">
      <w:pPr>
        <w:pStyle w:val="IndexHeading"/>
        <w:keepNext/>
        <w:tabs>
          <w:tab w:val="right" w:leader="dot" w:pos="9350"/>
        </w:tabs>
        <w:rPr>
          <w:rFonts w:asciiTheme="minorHAnsi" w:eastAsiaTheme="minorEastAsia" w:hAnsiTheme="minorHAnsi" w:cstheme="minorBidi"/>
          <w:b w:val="0"/>
          <w:bCs w:val="0"/>
          <w:noProof/>
        </w:rPr>
      </w:pPr>
      <w:r>
        <w:rPr>
          <w:noProof/>
        </w:rPr>
        <w:t>E</w:t>
      </w:r>
    </w:p>
    <w:p w14:paraId="365CA2D3" w14:textId="77777777" w:rsidR="004E2B6A" w:rsidRDefault="004E2B6A">
      <w:pPr>
        <w:pStyle w:val="Index1"/>
        <w:tabs>
          <w:tab w:val="right" w:leader="dot" w:pos="9350"/>
        </w:tabs>
        <w:rPr>
          <w:noProof/>
        </w:rPr>
      </w:pPr>
      <w:r>
        <w:rPr>
          <w:noProof/>
        </w:rPr>
        <w:t>Enter Daily QC Results</w:t>
      </w:r>
      <w:r>
        <w:rPr>
          <w:noProof/>
        </w:rPr>
        <w:tab/>
        <w:t>81</w:t>
      </w:r>
    </w:p>
    <w:p w14:paraId="1ADF5351" w14:textId="77777777" w:rsidR="004E2B6A" w:rsidRDefault="004E2B6A">
      <w:pPr>
        <w:pStyle w:val="Index1"/>
        <w:tabs>
          <w:tab w:val="right" w:leader="dot" w:pos="9350"/>
        </w:tabs>
        <w:rPr>
          <w:noProof/>
        </w:rPr>
      </w:pPr>
      <w:r>
        <w:rPr>
          <w:noProof/>
        </w:rPr>
        <w:lastRenderedPageBreak/>
        <w:t>Equipment</w:t>
      </w:r>
      <w:r>
        <w:rPr>
          <w:noProof/>
        </w:rPr>
        <w:tab/>
        <w:t>103</w:t>
      </w:r>
    </w:p>
    <w:p w14:paraId="048C1C07" w14:textId="77777777" w:rsidR="004E2B6A" w:rsidRDefault="004E2B6A">
      <w:pPr>
        <w:pStyle w:val="Index1"/>
        <w:tabs>
          <w:tab w:val="right" w:leader="dot" w:pos="9350"/>
        </w:tabs>
        <w:rPr>
          <w:noProof/>
        </w:rPr>
      </w:pPr>
      <w:r>
        <w:rPr>
          <w:noProof/>
        </w:rPr>
        <w:t>Equipment: Log In Equipment</w:t>
      </w:r>
      <w:r>
        <w:rPr>
          <w:noProof/>
        </w:rPr>
        <w:tab/>
        <w:t>103</w:t>
      </w:r>
    </w:p>
    <w:p w14:paraId="0E1BE49B" w14:textId="77777777" w:rsidR="004E2B6A" w:rsidRDefault="004E2B6A">
      <w:pPr>
        <w:pStyle w:val="Index1"/>
        <w:tabs>
          <w:tab w:val="right" w:leader="dot" w:pos="9350"/>
        </w:tabs>
        <w:rPr>
          <w:noProof/>
        </w:rPr>
      </w:pPr>
      <w:r>
        <w:rPr>
          <w:noProof/>
        </w:rPr>
        <w:t>Equipment: Maintain Equipment</w:t>
      </w:r>
      <w:r>
        <w:rPr>
          <w:noProof/>
        </w:rPr>
        <w:tab/>
        <w:t>106</w:t>
      </w:r>
    </w:p>
    <w:p w14:paraId="5F1DBA4A" w14:textId="77777777" w:rsidR="004E2B6A" w:rsidRDefault="004E2B6A">
      <w:pPr>
        <w:pStyle w:val="Index1"/>
        <w:tabs>
          <w:tab w:val="right" w:leader="dot" w:pos="9350"/>
        </w:tabs>
        <w:rPr>
          <w:noProof/>
        </w:rPr>
      </w:pPr>
      <w:r>
        <w:rPr>
          <w:noProof/>
        </w:rPr>
        <w:t>Exception Report</w:t>
      </w:r>
      <w:r>
        <w:rPr>
          <w:noProof/>
        </w:rPr>
        <w:tab/>
        <w:t>364</w:t>
      </w:r>
    </w:p>
    <w:p w14:paraId="12809AA1" w14:textId="77777777" w:rsidR="004E2B6A" w:rsidRDefault="004E2B6A">
      <w:pPr>
        <w:pStyle w:val="IndexHeading"/>
        <w:keepNext/>
        <w:tabs>
          <w:tab w:val="right" w:leader="dot" w:pos="9350"/>
        </w:tabs>
        <w:rPr>
          <w:rFonts w:asciiTheme="minorHAnsi" w:eastAsiaTheme="minorEastAsia" w:hAnsiTheme="minorHAnsi" w:cstheme="minorBidi"/>
          <w:b w:val="0"/>
          <w:bCs w:val="0"/>
          <w:noProof/>
        </w:rPr>
      </w:pPr>
      <w:r>
        <w:rPr>
          <w:noProof/>
        </w:rPr>
        <w:t>F</w:t>
      </w:r>
    </w:p>
    <w:p w14:paraId="6AB8BB9F" w14:textId="77777777" w:rsidR="004E2B6A" w:rsidRDefault="004E2B6A">
      <w:pPr>
        <w:pStyle w:val="Index1"/>
        <w:tabs>
          <w:tab w:val="right" w:leader="dot" w:pos="9350"/>
        </w:tabs>
        <w:rPr>
          <w:noProof/>
        </w:rPr>
      </w:pPr>
      <w:r>
        <w:rPr>
          <w:noProof/>
        </w:rPr>
        <w:t>Figures</w:t>
      </w:r>
    </w:p>
    <w:p w14:paraId="4C02B840" w14:textId="77777777" w:rsidR="004E2B6A" w:rsidRDefault="004E2B6A">
      <w:pPr>
        <w:pStyle w:val="Index2"/>
        <w:tabs>
          <w:tab w:val="right" w:leader="dot" w:pos="9350"/>
        </w:tabs>
        <w:rPr>
          <w:noProof/>
        </w:rPr>
      </w:pPr>
      <w:r>
        <w:rPr>
          <w:noProof/>
        </w:rPr>
        <w:t>Barcode Scanner Configuration</w:t>
      </w:r>
      <w:r>
        <w:rPr>
          <w:noProof/>
        </w:rPr>
        <w:tab/>
        <w:t>499</w:t>
      </w:r>
    </w:p>
    <w:p w14:paraId="1F6341E6" w14:textId="77777777" w:rsidR="004E2B6A" w:rsidRDefault="004E2B6A">
      <w:pPr>
        <w:pStyle w:val="Index2"/>
        <w:tabs>
          <w:tab w:val="right" w:leader="dot" w:pos="9350"/>
        </w:tabs>
        <w:rPr>
          <w:noProof/>
        </w:rPr>
      </w:pPr>
      <w:r>
        <w:rPr>
          <w:noProof/>
        </w:rPr>
        <w:t>Blood Transfusion Record Form</w:t>
      </w:r>
      <w:r>
        <w:rPr>
          <w:noProof/>
        </w:rPr>
        <w:tab/>
        <w:t>224</w:t>
      </w:r>
    </w:p>
    <w:p w14:paraId="3DE3D571" w14:textId="77777777" w:rsidR="004E2B6A" w:rsidRDefault="004E2B6A">
      <w:pPr>
        <w:pStyle w:val="Index2"/>
        <w:tabs>
          <w:tab w:val="right" w:leader="dot" w:pos="9350"/>
        </w:tabs>
        <w:rPr>
          <w:noProof/>
        </w:rPr>
      </w:pPr>
      <w:r>
        <w:rPr>
          <w:noProof/>
        </w:rPr>
        <w:t>Caution Tag</w:t>
      </w:r>
      <w:r>
        <w:rPr>
          <w:noProof/>
        </w:rPr>
        <w:tab/>
        <w:t>223</w:t>
      </w:r>
    </w:p>
    <w:p w14:paraId="6880356D" w14:textId="77777777" w:rsidR="004E2B6A" w:rsidRDefault="004E2B6A">
      <w:pPr>
        <w:pStyle w:val="Index2"/>
        <w:tabs>
          <w:tab w:val="right" w:leader="dot" w:pos="9350"/>
        </w:tabs>
        <w:rPr>
          <w:noProof/>
        </w:rPr>
      </w:pPr>
      <w:r>
        <w:rPr>
          <w:noProof/>
        </w:rPr>
        <w:t>Order Status Flowchart</w:t>
      </w:r>
      <w:r>
        <w:rPr>
          <w:noProof/>
        </w:rPr>
        <w:tab/>
        <w:t>428</w:t>
      </w:r>
    </w:p>
    <w:p w14:paraId="198E8D96" w14:textId="77777777" w:rsidR="004E2B6A" w:rsidRDefault="004E2B6A">
      <w:pPr>
        <w:pStyle w:val="Index2"/>
        <w:tabs>
          <w:tab w:val="right" w:leader="dot" w:pos="9350"/>
        </w:tabs>
        <w:rPr>
          <w:noProof/>
        </w:rPr>
      </w:pPr>
      <w:r>
        <w:rPr>
          <w:noProof/>
        </w:rPr>
        <w:t>Unit Status Flowchart</w:t>
      </w:r>
      <w:r>
        <w:rPr>
          <w:noProof/>
        </w:rPr>
        <w:tab/>
        <w:t>430</w:t>
      </w:r>
    </w:p>
    <w:p w14:paraId="0CDA780E" w14:textId="77777777" w:rsidR="004E2B6A" w:rsidRDefault="004E2B6A">
      <w:pPr>
        <w:pStyle w:val="Index2"/>
        <w:tabs>
          <w:tab w:val="right" w:leader="dot" w:pos="9350"/>
        </w:tabs>
        <w:rPr>
          <w:noProof/>
        </w:rPr>
      </w:pPr>
      <w:r>
        <w:rPr>
          <w:noProof/>
        </w:rPr>
        <w:t>VBECS Work Flow</w:t>
      </w:r>
      <w:r>
        <w:rPr>
          <w:noProof/>
        </w:rPr>
        <w:tab/>
        <w:t>446</w:t>
      </w:r>
    </w:p>
    <w:p w14:paraId="343C6C48" w14:textId="77777777" w:rsidR="004E2B6A" w:rsidRDefault="004E2B6A">
      <w:pPr>
        <w:pStyle w:val="Index1"/>
        <w:tabs>
          <w:tab w:val="right" w:leader="dot" w:pos="9350"/>
        </w:tabs>
        <w:rPr>
          <w:noProof/>
        </w:rPr>
      </w:pPr>
      <w:r>
        <w:rPr>
          <w:noProof/>
        </w:rPr>
        <w:t>Figures and Tables</w:t>
      </w:r>
      <w:r>
        <w:rPr>
          <w:noProof/>
        </w:rPr>
        <w:tab/>
        <w:t>8</w:t>
      </w:r>
    </w:p>
    <w:p w14:paraId="0D12CCAB" w14:textId="77777777" w:rsidR="004E2B6A" w:rsidRDefault="004E2B6A">
      <w:pPr>
        <w:pStyle w:val="Index1"/>
        <w:tabs>
          <w:tab w:val="right" w:leader="dot" w:pos="9350"/>
        </w:tabs>
        <w:rPr>
          <w:noProof/>
        </w:rPr>
      </w:pPr>
      <w:r>
        <w:rPr>
          <w:noProof/>
        </w:rPr>
        <w:t>Finalize Transfusion Reaction Workup Report</w:t>
      </w:r>
      <w:r>
        <w:rPr>
          <w:noProof/>
        </w:rPr>
        <w:tab/>
        <w:t>311</w:t>
      </w:r>
    </w:p>
    <w:p w14:paraId="25426CAD" w14:textId="77777777" w:rsidR="004E2B6A" w:rsidRDefault="004E2B6A">
      <w:pPr>
        <w:pStyle w:val="Index1"/>
        <w:tabs>
          <w:tab w:val="right" w:leader="dot" w:pos="9350"/>
        </w:tabs>
        <w:rPr>
          <w:noProof/>
        </w:rPr>
      </w:pPr>
      <w:r>
        <w:rPr>
          <w:noProof/>
        </w:rPr>
        <w:t>Finalize/Print TRW</w:t>
      </w:r>
      <w:r>
        <w:rPr>
          <w:noProof/>
        </w:rPr>
        <w:tab/>
        <w:t>310</w:t>
      </w:r>
    </w:p>
    <w:p w14:paraId="004FF74D" w14:textId="77777777" w:rsidR="004E2B6A" w:rsidRDefault="004E2B6A">
      <w:pPr>
        <w:pStyle w:val="Index1"/>
        <w:tabs>
          <w:tab w:val="right" w:leader="dot" w:pos="9350"/>
        </w:tabs>
        <w:rPr>
          <w:noProof/>
        </w:rPr>
      </w:pPr>
      <w:r>
        <w:rPr>
          <w:noProof/>
        </w:rPr>
        <w:t>Forms</w:t>
      </w:r>
    </w:p>
    <w:p w14:paraId="16CEFF45" w14:textId="77777777" w:rsidR="004E2B6A" w:rsidRDefault="004E2B6A">
      <w:pPr>
        <w:pStyle w:val="Index2"/>
        <w:tabs>
          <w:tab w:val="right" w:leader="dot" w:pos="9350"/>
        </w:tabs>
        <w:rPr>
          <w:noProof/>
        </w:rPr>
      </w:pPr>
      <w:r>
        <w:rPr>
          <w:noProof/>
        </w:rPr>
        <w:t>Patient Testing Form</w:t>
      </w:r>
      <w:r>
        <w:rPr>
          <w:noProof/>
        </w:rPr>
        <w:tab/>
        <w:t>403</w:t>
      </w:r>
    </w:p>
    <w:p w14:paraId="1E23B9AF" w14:textId="77777777" w:rsidR="004E2B6A" w:rsidRDefault="004E2B6A">
      <w:pPr>
        <w:pStyle w:val="Index2"/>
        <w:tabs>
          <w:tab w:val="right" w:leader="dot" w:pos="9350"/>
        </w:tabs>
        <w:rPr>
          <w:noProof/>
        </w:rPr>
      </w:pPr>
      <w:r>
        <w:rPr>
          <w:noProof/>
        </w:rPr>
        <w:t>Unit ABO/Rh Confirmation Form</w:t>
      </w:r>
      <w:r>
        <w:rPr>
          <w:noProof/>
        </w:rPr>
        <w:tab/>
        <w:t>406</w:t>
      </w:r>
    </w:p>
    <w:p w14:paraId="5B973895" w14:textId="77777777" w:rsidR="004E2B6A" w:rsidRDefault="004E2B6A">
      <w:pPr>
        <w:pStyle w:val="Index2"/>
        <w:tabs>
          <w:tab w:val="right" w:leader="dot" w:pos="9350"/>
        </w:tabs>
        <w:rPr>
          <w:noProof/>
        </w:rPr>
      </w:pPr>
      <w:r>
        <w:rPr>
          <w:noProof/>
        </w:rPr>
        <w:t>Unit Issue and Inspection Log</w:t>
      </w:r>
      <w:r>
        <w:rPr>
          <w:noProof/>
        </w:rPr>
        <w:tab/>
        <w:t>407</w:t>
      </w:r>
    </w:p>
    <w:p w14:paraId="53629F85" w14:textId="77777777" w:rsidR="004E2B6A" w:rsidRDefault="004E2B6A">
      <w:pPr>
        <w:pStyle w:val="Index2"/>
        <w:tabs>
          <w:tab w:val="right" w:leader="dot" w:pos="9350"/>
        </w:tabs>
        <w:rPr>
          <w:noProof/>
        </w:rPr>
      </w:pPr>
      <w:r>
        <w:rPr>
          <w:noProof/>
        </w:rPr>
        <w:t>Unit Modification Form</w:t>
      </w:r>
      <w:r>
        <w:rPr>
          <w:noProof/>
        </w:rPr>
        <w:tab/>
        <w:t>408</w:t>
      </w:r>
    </w:p>
    <w:p w14:paraId="098E80AB" w14:textId="77777777" w:rsidR="004E2B6A" w:rsidRDefault="004E2B6A">
      <w:pPr>
        <w:pStyle w:val="Index1"/>
        <w:tabs>
          <w:tab w:val="right" w:leader="dot" w:pos="9350"/>
        </w:tabs>
        <w:rPr>
          <w:noProof/>
        </w:rPr>
      </w:pPr>
      <w:r>
        <w:rPr>
          <w:noProof/>
        </w:rPr>
        <w:t>Freeware Disclaimer</w:t>
      </w:r>
      <w:r>
        <w:rPr>
          <w:noProof/>
        </w:rPr>
        <w:tab/>
        <w:t>7</w:t>
      </w:r>
    </w:p>
    <w:p w14:paraId="3AEAE14F" w14:textId="77777777" w:rsidR="004E2B6A" w:rsidRDefault="004E2B6A">
      <w:pPr>
        <w:pStyle w:val="Index1"/>
        <w:tabs>
          <w:tab w:val="right" w:leader="dot" w:pos="9350"/>
        </w:tabs>
        <w:rPr>
          <w:noProof/>
        </w:rPr>
      </w:pPr>
      <w:r>
        <w:rPr>
          <w:noProof/>
        </w:rPr>
        <w:t>Frequently Asked Questions</w:t>
      </w:r>
      <w:r>
        <w:rPr>
          <w:noProof/>
        </w:rPr>
        <w:tab/>
        <w:t>494</w:t>
      </w:r>
    </w:p>
    <w:p w14:paraId="5FD26E96" w14:textId="77777777" w:rsidR="004E2B6A" w:rsidRDefault="004E2B6A">
      <w:pPr>
        <w:pStyle w:val="IndexHeading"/>
        <w:keepNext/>
        <w:tabs>
          <w:tab w:val="right" w:leader="dot" w:pos="9350"/>
        </w:tabs>
        <w:rPr>
          <w:rFonts w:asciiTheme="minorHAnsi" w:eastAsiaTheme="minorEastAsia" w:hAnsiTheme="minorHAnsi" w:cstheme="minorBidi"/>
          <w:b w:val="0"/>
          <w:bCs w:val="0"/>
          <w:noProof/>
        </w:rPr>
      </w:pPr>
      <w:r>
        <w:rPr>
          <w:noProof/>
        </w:rPr>
        <w:t>G</w:t>
      </w:r>
    </w:p>
    <w:p w14:paraId="26E956FF" w14:textId="77777777" w:rsidR="004E2B6A" w:rsidRDefault="004E2B6A">
      <w:pPr>
        <w:pStyle w:val="Index1"/>
        <w:tabs>
          <w:tab w:val="right" w:leader="dot" w:pos="9350"/>
        </w:tabs>
        <w:rPr>
          <w:noProof/>
        </w:rPr>
      </w:pPr>
      <w:r>
        <w:rPr>
          <w:noProof/>
        </w:rPr>
        <w:t>Glossary</w:t>
      </w:r>
      <w:r>
        <w:rPr>
          <w:noProof/>
        </w:rPr>
        <w:tab/>
        <w:t>392</w:t>
      </w:r>
    </w:p>
    <w:p w14:paraId="60BB3AB1" w14:textId="77777777" w:rsidR="004E2B6A" w:rsidRDefault="004E2B6A">
      <w:pPr>
        <w:pStyle w:val="IndexHeading"/>
        <w:keepNext/>
        <w:tabs>
          <w:tab w:val="right" w:leader="dot" w:pos="9350"/>
        </w:tabs>
        <w:rPr>
          <w:rFonts w:asciiTheme="minorHAnsi" w:eastAsiaTheme="minorEastAsia" w:hAnsiTheme="minorHAnsi" w:cstheme="minorBidi"/>
          <w:b w:val="0"/>
          <w:bCs w:val="0"/>
          <w:noProof/>
        </w:rPr>
      </w:pPr>
      <w:r>
        <w:rPr>
          <w:noProof/>
        </w:rPr>
        <w:t>H</w:t>
      </w:r>
    </w:p>
    <w:p w14:paraId="09C79223" w14:textId="77777777" w:rsidR="004E2B6A" w:rsidRDefault="004E2B6A">
      <w:pPr>
        <w:pStyle w:val="Index1"/>
        <w:tabs>
          <w:tab w:val="right" w:leader="dot" w:pos="9350"/>
        </w:tabs>
        <w:rPr>
          <w:noProof/>
        </w:rPr>
      </w:pPr>
      <w:r>
        <w:rPr>
          <w:noProof/>
        </w:rPr>
        <w:t>How This User Guide Is Organized</w:t>
      </w:r>
      <w:r>
        <w:rPr>
          <w:noProof/>
        </w:rPr>
        <w:tab/>
        <w:t>8</w:t>
      </w:r>
    </w:p>
    <w:p w14:paraId="483E0987" w14:textId="77777777" w:rsidR="004E2B6A" w:rsidRDefault="004E2B6A">
      <w:pPr>
        <w:pStyle w:val="IndexHeading"/>
        <w:keepNext/>
        <w:tabs>
          <w:tab w:val="right" w:leader="dot" w:pos="9350"/>
        </w:tabs>
        <w:rPr>
          <w:rFonts w:asciiTheme="minorHAnsi" w:eastAsiaTheme="minorEastAsia" w:hAnsiTheme="minorHAnsi" w:cstheme="minorBidi"/>
          <w:b w:val="0"/>
          <w:bCs w:val="0"/>
          <w:noProof/>
        </w:rPr>
      </w:pPr>
      <w:r>
        <w:rPr>
          <w:noProof/>
        </w:rPr>
        <w:t>I</w:t>
      </w:r>
    </w:p>
    <w:p w14:paraId="0F005E75" w14:textId="77777777" w:rsidR="004E2B6A" w:rsidRDefault="004E2B6A">
      <w:pPr>
        <w:pStyle w:val="Index1"/>
        <w:tabs>
          <w:tab w:val="right" w:leader="dot" w:pos="9350"/>
        </w:tabs>
        <w:rPr>
          <w:noProof/>
        </w:rPr>
      </w:pPr>
      <w:r>
        <w:rPr>
          <w:noProof/>
        </w:rPr>
        <w:t>Icons and Buttons</w:t>
      </w:r>
      <w:r>
        <w:rPr>
          <w:noProof/>
        </w:rPr>
        <w:tab/>
        <w:t>33</w:t>
      </w:r>
    </w:p>
    <w:p w14:paraId="1C345CE3" w14:textId="77777777" w:rsidR="004E2B6A" w:rsidRDefault="004E2B6A">
      <w:pPr>
        <w:pStyle w:val="Index1"/>
        <w:tabs>
          <w:tab w:val="right" w:leader="dot" w:pos="9350"/>
        </w:tabs>
        <w:rPr>
          <w:noProof/>
        </w:rPr>
      </w:pPr>
      <w:r>
        <w:rPr>
          <w:noProof/>
        </w:rPr>
        <w:t>Inactivate a Unit</w:t>
      </w:r>
      <w:r>
        <w:rPr>
          <w:noProof/>
        </w:rPr>
        <w:tab/>
        <w:t>172</w:t>
      </w:r>
    </w:p>
    <w:p w14:paraId="1FDC34A7" w14:textId="77777777" w:rsidR="004E2B6A" w:rsidRDefault="004E2B6A">
      <w:pPr>
        <w:pStyle w:val="Index1"/>
        <w:tabs>
          <w:tab w:val="right" w:leader="dot" w:pos="9350"/>
        </w:tabs>
        <w:rPr>
          <w:noProof/>
        </w:rPr>
      </w:pPr>
      <w:r>
        <w:rPr>
          <w:noProof/>
        </w:rPr>
        <w:t>Inappropriate Transfusion Request Report</w:t>
      </w:r>
      <w:r>
        <w:rPr>
          <w:noProof/>
        </w:rPr>
        <w:tab/>
        <w:t>366</w:t>
      </w:r>
    </w:p>
    <w:p w14:paraId="5DDCA962" w14:textId="77777777" w:rsidR="004E2B6A" w:rsidRDefault="004E2B6A">
      <w:pPr>
        <w:pStyle w:val="Index1"/>
        <w:tabs>
          <w:tab w:val="right" w:leader="dot" w:pos="9350"/>
        </w:tabs>
        <w:rPr>
          <w:noProof/>
        </w:rPr>
      </w:pPr>
      <w:r>
        <w:rPr>
          <w:noProof/>
        </w:rPr>
        <w:t>Introduction</w:t>
      </w:r>
      <w:r>
        <w:rPr>
          <w:noProof/>
        </w:rPr>
        <w:tab/>
        <w:t>6</w:t>
      </w:r>
    </w:p>
    <w:p w14:paraId="755AEFB6" w14:textId="77777777" w:rsidR="004E2B6A" w:rsidRDefault="004E2B6A">
      <w:pPr>
        <w:pStyle w:val="Index1"/>
        <w:tabs>
          <w:tab w:val="right" w:leader="dot" w:pos="9350"/>
        </w:tabs>
        <w:rPr>
          <w:noProof/>
        </w:rPr>
      </w:pPr>
      <w:r>
        <w:rPr>
          <w:noProof/>
        </w:rPr>
        <w:t>Issue Blood Components</w:t>
      </w:r>
      <w:r>
        <w:rPr>
          <w:noProof/>
        </w:rPr>
        <w:tab/>
        <w:t>195</w:t>
      </w:r>
    </w:p>
    <w:p w14:paraId="3CAB1486" w14:textId="77777777" w:rsidR="004E2B6A" w:rsidRDefault="004E2B6A">
      <w:pPr>
        <w:pStyle w:val="Index1"/>
        <w:tabs>
          <w:tab w:val="right" w:leader="dot" w:pos="9350"/>
        </w:tabs>
        <w:rPr>
          <w:noProof/>
        </w:rPr>
      </w:pPr>
      <w:r>
        <w:rPr>
          <w:noProof/>
        </w:rPr>
        <w:t>Issue Blood Components (Emergency)</w:t>
      </w:r>
      <w:r>
        <w:rPr>
          <w:noProof/>
        </w:rPr>
        <w:tab/>
        <w:t>200</w:t>
      </w:r>
    </w:p>
    <w:p w14:paraId="0A3F38D1" w14:textId="77777777" w:rsidR="004E2B6A" w:rsidRDefault="004E2B6A">
      <w:pPr>
        <w:pStyle w:val="Index1"/>
        <w:tabs>
          <w:tab w:val="right" w:leader="dot" w:pos="9350"/>
        </w:tabs>
        <w:rPr>
          <w:noProof/>
        </w:rPr>
      </w:pPr>
      <w:r>
        <w:rPr>
          <w:noProof/>
        </w:rPr>
        <w:t>Issue Blood Components (Routine)</w:t>
      </w:r>
      <w:r>
        <w:rPr>
          <w:noProof/>
        </w:rPr>
        <w:tab/>
        <w:t>196</w:t>
      </w:r>
    </w:p>
    <w:p w14:paraId="36735F20" w14:textId="77777777" w:rsidR="004E2B6A" w:rsidRDefault="004E2B6A">
      <w:pPr>
        <w:pStyle w:val="Index1"/>
        <w:tabs>
          <w:tab w:val="right" w:leader="dot" w:pos="9350"/>
        </w:tabs>
        <w:rPr>
          <w:noProof/>
        </w:rPr>
      </w:pPr>
      <w:r>
        <w:rPr>
          <w:noProof/>
        </w:rPr>
        <w:t>Issued/Returned Unit Report</w:t>
      </w:r>
      <w:r>
        <w:rPr>
          <w:noProof/>
        </w:rPr>
        <w:tab/>
        <w:t>367</w:t>
      </w:r>
    </w:p>
    <w:p w14:paraId="0315271F" w14:textId="77777777" w:rsidR="004E2B6A" w:rsidRDefault="004E2B6A">
      <w:pPr>
        <w:pStyle w:val="IndexHeading"/>
        <w:keepNext/>
        <w:tabs>
          <w:tab w:val="right" w:leader="dot" w:pos="9350"/>
        </w:tabs>
        <w:rPr>
          <w:rFonts w:asciiTheme="minorHAnsi" w:eastAsiaTheme="minorEastAsia" w:hAnsiTheme="minorHAnsi" w:cstheme="minorBidi"/>
          <w:b w:val="0"/>
          <w:bCs w:val="0"/>
          <w:noProof/>
        </w:rPr>
      </w:pPr>
      <w:r>
        <w:rPr>
          <w:noProof/>
        </w:rPr>
        <w:t>J</w:t>
      </w:r>
    </w:p>
    <w:p w14:paraId="5D8A713B" w14:textId="77777777" w:rsidR="004E2B6A" w:rsidRDefault="004E2B6A">
      <w:pPr>
        <w:pStyle w:val="Index1"/>
        <w:tabs>
          <w:tab w:val="right" w:leader="dot" w:pos="9350"/>
        </w:tabs>
        <w:rPr>
          <w:noProof/>
        </w:rPr>
      </w:pPr>
      <w:r>
        <w:rPr>
          <w:noProof/>
        </w:rPr>
        <w:t>Justify ABO/Rh Change</w:t>
      </w:r>
      <w:r>
        <w:rPr>
          <w:noProof/>
        </w:rPr>
        <w:tab/>
        <w:t>331</w:t>
      </w:r>
    </w:p>
    <w:p w14:paraId="2326BB48" w14:textId="77777777" w:rsidR="004E2B6A" w:rsidRDefault="004E2B6A">
      <w:pPr>
        <w:pStyle w:val="IndexHeading"/>
        <w:keepNext/>
        <w:tabs>
          <w:tab w:val="right" w:leader="dot" w:pos="9350"/>
        </w:tabs>
        <w:rPr>
          <w:rFonts w:asciiTheme="minorHAnsi" w:eastAsiaTheme="minorEastAsia" w:hAnsiTheme="minorHAnsi" w:cstheme="minorBidi"/>
          <w:b w:val="0"/>
          <w:bCs w:val="0"/>
          <w:noProof/>
        </w:rPr>
      </w:pPr>
      <w:r>
        <w:rPr>
          <w:noProof/>
        </w:rPr>
        <w:t>K</w:t>
      </w:r>
    </w:p>
    <w:p w14:paraId="1FEB7148" w14:textId="77777777" w:rsidR="004E2B6A" w:rsidRDefault="004E2B6A">
      <w:pPr>
        <w:pStyle w:val="Index1"/>
        <w:tabs>
          <w:tab w:val="right" w:leader="dot" w:pos="9350"/>
        </w:tabs>
        <w:rPr>
          <w:noProof/>
        </w:rPr>
      </w:pPr>
      <w:r>
        <w:rPr>
          <w:noProof/>
        </w:rPr>
        <w:t>Keyboard Shortcuts for Windows</w:t>
      </w:r>
      <w:r>
        <w:rPr>
          <w:noProof/>
        </w:rPr>
        <w:tab/>
        <w:t>32</w:t>
      </w:r>
    </w:p>
    <w:p w14:paraId="26658C82" w14:textId="77777777" w:rsidR="004E2B6A" w:rsidRDefault="004E2B6A">
      <w:pPr>
        <w:pStyle w:val="Index1"/>
        <w:tabs>
          <w:tab w:val="right" w:leader="dot" w:pos="9350"/>
        </w:tabs>
        <w:rPr>
          <w:noProof/>
        </w:rPr>
      </w:pPr>
      <w:r>
        <w:rPr>
          <w:noProof/>
        </w:rPr>
        <w:t>Known Defects and Anomalies</w:t>
      </w:r>
      <w:r>
        <w:rPr>
          <w:noProof/>
        </w:rPr>
        <w:tab/>
        <w:t>466</w:t>
      </w:r>
    </w:p>
    <w:p w14:paraId="20CC174B" w14:textId="77777777" w:rsidR="004E2B6A" w:rsidRDefault="004E2B6A">
      <w:pPr>
        <w:pStyle w:val="IndexHeading"/>
        <w:keepNext/>
        <w:tabs>
          <w:tab w:val="right" w:leader="dot" w:pos="9350"/>
        </w:tabs>
        <w:rPr>
          <w:rFonts w:asciiTheme="minorHAnsi" w:eastAsiaTheme="minorEastAsia" w:hAnsiTheme="minorHAnsi" w:cstheme="minorBidi"/>
          <w:b w:val="0"/>
          <w:bCs w:val="0"/>
          <w:noProof/>
        </w:rPr>
      </w:pPr>
      <w:r>
        <w:rPr>
          <w:noProof/>
        </w:rPr>
        <w:t>L</w:t>
      </w:r>
    </w:p>
    <w:p w14:paraId="50A65756" w14:textId="77777777" w:rsidR="004E2B6A" w:rsidRDefault="004E2B6A">
      <w:pPr>
        <w:pStyle w:val="Index1"/>
        <w:tabs>
          <w:tab w:val="right" w:leader="dot" w:pos="9350"/>
        </w:tabs>
        <w:rPr>
          <w:noProof/>
        </w:rPr>
      </w:pPr>
      <w:r>
        <w:rPr>
          <w:noProof/>
        </w:rPr>
        <w:t>Limitations and Restrictions</w:t>
      </w:r>
      <w:r>
        <w:rPr>
          <w:noProof/>
        </w:rPr>
        <w:tab/>
        <w:t>449</w:t>
      </w:r>
    </w:p>
    <w:p w14:paraId="187155D6" w14:textId="77777777" w:rsidR="004E2B6A" w:rsidRDefault="004E2B6A">
      <w:pPr>
        <w:pStyle w:val="Index1"/>
        <w:tabs>
          <w:tab w:val="right" w:leader="dot" w:pos="9350"/>
        </w:tabs>
        <w:rPr>
          <w:noProof/>
        </w:rPr>
      </w:pPr>
      <w:r>
        <w:rPr>
          <w:noProof/>
        </w:rPr>
        <w:lastRenderedPageBreak/>
        <w:t>Local Machine Screen Resolution</w:t>
      </w:r>
      <w:r>
        <w:rPr>
          <w:noProof/>
        </w:rPr>
        <w:tab/>
        <w:t>31</w:t>
      </w:r>
    </w:p>
    <w:p w14:paraId="4EF6B32E" w14:textId="77777777" w:rsidR="004E2B6A" w:rsidRDefault="004E2B6A">
      <w:pPr>
        <w:pStyle w:val="Index1"/>
        <w:tabs>
          <w:tab w:val="right" w:leader="dot" w:pos="9350"/>
        </w:tabs>
        <w:rPr>
          <w:noProof/>
        </w:rPr>
      </w:pPr>
      <w:r>
        <w:rPr>
          <w:noProof/>
        </w:rPr>
        <w:t>Log in Reagents</w:t>
      </w:r>
      <w:r>
        <w:rPr>
          <w:noProof/>
        </w:rPr>
        <w:tab/>
        <w:t>90</w:t>
      </w:r>
    </w:p>
    <w:p w14:paraId="6944CDA4" w14:textId="77777777" w:rsidR="004E2B6A" w:rsidRDefault="004E2B6A">
      <w:pPr>
        <w:pStyle w:val="Index1"/>
        <w:tabs>
          <w:tab w:val="right" w:leader="dot" w:pos="9350"/>
        </w:tabs>
        <w:rPr>
          <w:noProof/>
        </w:rPr>
      </w:pPr>
      <w:r>
        <w:rPr>
          <w:noProof/>
        </w:rPr>
        <w:t>Log in Supplies</w:t>
      </w:r>
      <w:r>
        <w:rPr>
          <w:noProof/>
        </w:rPr>
        <w:tab/>
        <w:t>98</w:t>
      </w:r>
    </w:p>
    <w:p w14:paraId="0F91F5EE" w14:textId="77777777" w:rsidR="004E2B6A" w:rsidRDefault="004E2B6A">
      <w:pPr>
        <w:pStyle w:val="Index1"/>
        <w:tabs>
          <w:tab w:val="right" w:leader="dot" w:pos="9350"/>
        </w:tabs>
        <w:rPr>
          <w:noProof/>
        </w:rPr>
      </w:pPr>
      <w:r>
        <w:rPr>
          <w:noProof/>
        </w:rPr>
        <w:t>Login Message</w:t>
      </w:r>
      <w:r>
        <w:rPr>
          <w:noProof/>
        </w:rPr>
        <w:tab/>
        <w:t>60</w:t>
      </w:r>
    </w:p>
    <w:p w14:paraId="6D946DC5" w14:textId="77777777" w:rsidR="004E2B6A" w:rsidRDefault="004E2B6A">
      <w:pPr>
        <w:pStyle w:val="IndexHeading"/>
        <w:keepNext/>
        <w:tabs>
          <w:tab w:val="right" w:leader="dot" w:pos="9350"/>
        </w:tabs>
        <w:rPr>
          <w:rFonts w:asciiTheme="minorHAnsi" w:eastAsiaTheme="minorEastAsia" w:hAnsiTheme="minorHAnsi" w:cstheme="minorBidi"/>
          <w:b w:val="0"/>
          <w:bCs w:val="0"/>
          <w:noProof/>
        </w:rPr>
      </w:pPr>
      <w:r>
        <w:rPr>
          <w:noProof/>
        </w:rPr>
        <w:t>M</w:t>
      </w:r>
    </w:p>
    <w:p w14:paraId="72441540" w14:textId="77777777" w:rsidR="004E2B6A" w:rsidRDefault="004E2B6A">
      <w:pPr>
        <w:pStyle w:val="Index1"/>
        <w:tabs>
          <w:tab w:val="right" w:leader="dot" w:pos="9350"/>
        </w:tabs>
        <w:rPr>
          <w:noProof/>
        </w:rPr>
      </w:pPr>
      <w:r>
        <w:rPr>
          <w:noProof/>
        </w:rPr>
        <w:t>Main Status Bar</w:t>
      </w:r>
      <w:r>
        <w:rPr>
          <w:noProof/>
        </w:rPr>
        <w:tab/>
        <w:t>41</w:t>
      </w:r>
    </w:p>
    <w:p w14:paraId="38F02DAA" w14:textId="77777777" w:rsidR="004E2B6A" w:rsidRDefault="004E2B6A">
      <w:pPr>
        <w:pStyle w:val="Index1"/>
        <w:tabs>
          <w:tab w:val="right" w:leader="dot" w:pos="9350"/>
        </w:tabs>
        <w:rPr>
          <w:noProof/>
        </w:rPr>
      </w:pPr>
      <w:r>
        <w:rPr>
          <w:noProof/>
        </w:rPr>
        <w:t>Main Toolbar</w:t>
      </w:r>
      <w:r>
        <w:rPr>
          <w:noProof/>
        </w:rPr>
        <w:tab/>
        <w:t>34</w:t>
      </w:r>
    </w:p>
    <w:p w14:paraId="71149E82" w14:textId="77777777" w:rsidR="004E2B6A" w:rsidRDefault="004E2B6A">
      <w:pPr>
        <w:pStyle w:val="Index1"/>
        <w:tabs>
          <w:tab w:val="right" w:leader="dot" w:pos="9350"/>
        </w:tabs>
        <w:rPr>
          <w:noProof/>
        </w:rPr>
      </w:pPr>
      <w:r>
        <w:rPr>
          <w:noProof/>
        </w:rPr>
        <w:t>Maintain Minimum Levels</w:t>
      </w:r>
      <w:r>
        <w:rPr>
          <w:noProof/>
        </w:rPr>
        <w:tab/>
        <w:t>96</w:t>
      </w:r>
    </w:p>
    <w:p w14:paraId="3F11D391" w14:textId="77777777" w:rsidR="004E2B6A" w:rsidRDefault="004E2B6A">
      <w:pPr>
        <w:pStyle w:val="Index1"/>
        <w:tabs>
          <w:tab w:val="right" w:leader="dot" w:pos="9350"/>
        </w:tabs>
        <w:rPr>
          <w:noProof/>
        </w:rPr>
      </w:pPr>
      <w:r>
        <w:rPr>
          <w:noProof/>
        </w:rPr>
        <w:t>Maintain Patient Records</w:t>
      </w:r>
      <w:r>
        <w:rPr>
          <w:noProof/>
        </w:rPr>
        <w:tab/>
        <w:t>315</w:t>
      </w:r>
    </w:p>
    <w:p w14:paraId="29EE42B6" w14:textId="77777777" w:rsidR="004E2B6A" w:rsidRDefault="004E2B6A">
      <w:pPr>
        <w:pStyle w:val="Index1"/>
        <w:tabs>
          <w:tab w:val="right" w:leader="dot" w:pos="9350"/>
        </w:tabs>
        <w:rPr>
          <w:noProof/>
        </w:rPr>
      </w:pPr>
      <w:r>
        <w:rPr>
          <w:noProof/>
        </w:rPr>
        <w:t>Maintain Specimen</w:t>
      </w:r>
      <w:r>
        <w:rPr>
          <w:noProof/>
        </w:rPr>
        <w:tab/>
        <w:t>249</w:t>
      </w:r>
    </w:p>
    <w:p w14:paraId="3481FC36" w14:textId="77777777" w:rsidR="004E2B6A" w:rsidRDefault="004E2B6A">
      <w:pPr>
        <w:pStyle w:val="Index1"/>
        <w:tabs>
          <w:tab w:val="right" w:leader="dot" w:pos="9350"/>
        </w:tabs>
        <w:rPr>
          <w:noProof/>
        </w:rPr>
      </w:pPr>
      <w:r>
        <w:rPr>
          <w:noProof/>
        </w:rPr>
        <w:t>Maintain Unit Records</w:t>
      </w:r>
      <w:r>
        <w:rPr>
          <w:noProof/>
        </w:rPr>
        <w:tab/>
        <w:t>167</w:t>
      </w:r>
    </w:p>
    <w:p w14:paraId="79B57104" w14:textId="77777777" w:rsidR="004E2B6A" w:rsidRDefault="004E2B6A">
      <w:pPr>
        <w:pStyle w:val="Index1"/>
        <w:tabs>
          <w:tab w:val="right" w:leader="dot" w:pos="9350"/>
        </w:tabs>
        <w:rPr>
          <w:noProof/>
        </w:rPr>
      </w:pPr>
      <w:r>
        <w:rPr>
          <w:noProof/>
        </w:rPr>
        <w:t>Medication Profile</w:t>
      </w:r>
      <w:r>
        <w:rPr>
          <w:noProof/>
        </w:rPr>
        <w:tab/>
        <w:t>36</w:t>
      </w:r>
    </w:p>
    <w:p w14:paraId="40BD98A5" w14:textId="77777777" w:rsidR="004E2B6A" w:rsidRDefault="004E2B6A">
      <w:pPr>
        <w:pStyle w:val="Index1"/>
        <w:tabs>
          <w:tab w:val="right" w:leader="dot" w:pos="9350"/>
        </w:tabs>
        <w:rPr>
          <w:noProof/>
        </w:rPr>
      </w:pPr>
      <w:r>
        <w:rPr>
          <w:noProof/>
        </w:rPr>
        <w:t>Modify Component</w:t>
      </w:r>
      <w:r>
        <w:rPr>
          <w:noProof/>
        </w:rPr>
        <w:tab/>
        <w:t>145</w:t>
      </w:r>
    </w:p>
    <w:p w14:paraId="4495C4E3" w14:textId="77777777" w:rsidR="004E2B6A" w:rsidRDefault="004E2B6A">
      <w:pPr>
        <w:pStyle w:val="Index1"/>
        <w:tabs>
          <w:tab w:val="right" w:leader="dot" w:pos="9350"/>
        </w:tabs>
        <w:rPr>
          <w:noProof/>
        </w:rPr>
      </w:pPr>
      <w:r>
        <w:rPr>
          <w:noProof/>
        </w:rPr>
        <w:t>MSBOS</w:t>
      </w:r>
      <w:r>
        <w:rPr>
          <w:noProof/>
        </w:rPr>
        <w:tab/>
        <w:t>76</w:t>
      </w:r>
    </w:p>
    <w:p w14:paraId="40AF153A" w14:textId="77777777" w:rsidR="004E2B6A" w:rsidRDefault="004E2B6A">
      <w:pPr>
        <w:pStyle w:val="IndexHeading"/>
        <w:keepNext/>
        <w:tabs>
          <w:tab w:val="right" w:leader="dot" w:pos="9350"/>
        </w:tabs>
        <w:rPr>
          <w:rFonts w:asciiTheme="minorHAnsi" w:eastAsiaTheme="minorEastAsia" w:hAnsiTheme="minorHAnsi" w:cstheme="minorBidi"/>
          <w:b w:val="0"/>
          <w:bCs w:val="0"/>
          <w:noProof/>
        </w:rPr>
      </w:pPr>
      <w:r>
        <w:rPr>
          <w:noProof/>
        </w:rPr>
        <w:t>O</w:t>
      </w:r>
    </w:p>
    <w:p w14:paraId="17CE26F8" w14:textId="77777777" w:rsidR="004E2B6A" w:rsidRDefault="004E2B6A">
      <w:pPr>
        <w:pStyle w:val="Index1"/>
        <w:tabs>
          <w:tab w:val="right" w:leader="dot" w:pos="9350"/>
        </w:tabs>
        <w:rPr>
          <w:noProof/>
        </w:rPr>
      </w:pPr>
      <w:r>
        <w:rPr>
          <w:noProof/>
        </w:rPr>
        <w:t>Options</w:t>
      </w:r>
      <w:r>
        <w:rPr>
          <w:noProof/>
        </w:rPr>
        <w:tab/>
        <w:t>8</w:t>
      </w:r>
    </w:p>
    <w:p w14:paraId="5AB9A3DA" w14:textId="77777777" w:rsidR="004E2B6A" w:rsidRDefault="004E2B6A">
      <w:pPr>
        <w:pStyle w:val="Index1"/>
        <w:tabs>
          <w:tab w:val="right" w:leader="dot" w:pos="9350"/>
        </w:tabs>
        <w:rPr>
          <w:noProof/>
        </w:rPr>
      </w:pPr>
      <w:r>
        <w:rPr>
          <w:noProof/>
        </w:rPr>
        <w:t>Order Alerts</w:t>
      </w:r>
      <w:r>
        <w:rPr>
          <w:noProof/>
        </w:rPr>
        <w:tab/>
        <w:t>58</w:t>
      </w:r>
    </w:p>
    <w:p w14:paraId="1ECFBF09" w14:textId="77777777" w:rsidR="004E2B6A" w:rsidRDefault="004E2B6A">
      <w:pPr>
        <w:pStyle w:val="Index1"/>
        <w:tabs>
          <w:tab w:val="right" w:leader="dot" w:pos="9350"/>
        </w:tabs>
        <w:rPr>
          <w:noProof/>
        </w:rPr>
      </w:pPr>
      <w:r>
        <w:rPr>
          <w:noProof/>
        </w:rPr>
        <w:t>Order History Report</w:t>
      </w:r>
      <w:r>
        <w:rPr>
          <w:noProof/>
        </w:rPr>
        <w:tab/>
        <w:t>368</w:t>
      </w:r>
    </w:p>
    <w:p w14:paraId="22E071C5" w14:textId="77777777" w:rsidR="004E2B6A" w:rsidRDefault="004E2B6A">
      <w:pPr>
        <w:pStyle w:val="Index1"/>
        <w:tabs>
          <w:tab w:val="right" w:leader="dot" w:pos="9350"/>
        </w:tabs>
        <w:rPr>
          <w:noProof/>
        </w:rPr>
      </w:pPr>
      <w:r>
        <w:rPr>
          <w:noProof/>
        </w:rPr>
        <w:t>Order Reflex Tests</w:t>
      </w:r>
      <w:r>
        <w:rPr>
          <w:noProof/>
        </w:rPr>
        <w:tab/>
        <w:t>260</w:t>
      </w:r>
    </w:p>
    <w:p w14:paraId="17796092" w14:textId="77777777" w:rsidR="004E2B6A" w:rsidRDefault="004E2B6A">
      <w:pPr>
        <w:pStyle w:val="Index1"/>
        <w:tabs>
          <w:tab w:val="right" w:leader="dot" w:pos="9350"/>
        </w:tabs>
        <w:rPr>
          <w:noProof/>
        </w:rPr>
      </w:pPr>
      <w:r>
        <w:rPr>
          <w:noProof/>
        </w:rPr>
        <w:t>Orderable Reflex Tests</w:t>
      </w:r>
      <w:r>
        <w:rPr>
          <w:noProof/>
        </w:rPr>
        <w:tab/>
        <w:t>517</w:t>
      </w:r>
    </w:p>
    <w:p w14:paraId="267A77E3" w14:textId="77777777" w:rsidR="004E2B6A" w:rsidRDefault="004E2B6A">
      <w:pPr>
        <w:pStyle w:val="Index1"/>
        <w:tabs>
          <w:tab w:val="right" w:leader="dot" w:pos="9350"/>
        </w:tabs>
        <w:rPr>
          <w:noProof/>
        </w:rPr>
      </w:pPr>
      <w:r>
        <w:rPr>
          <w:noProof/>
        </w:rPr>
        <w:t>Orientation</w:t>
      </w:r>
      <w:r>
        <w:rPr>
          <w:noProof/>
        </w:rPr>
        <w:tab/>
        <w:t>8</w:t>
      </w:r>
    </w:p>
    <w:p w14:paraId="435617CE" w14:textId="77777777" w:rsidR="004E2B6A" w:rsidRDefault="004E2B6A">
      <w:pPr>
        <w:pStyle w:val="Index1"/>
        <w:tabs>
          <w:tab w:val="right" w:leader="dot" w:pos="9350"/>
        </w:tabs>
        <w:rPr>
          <w:noProof/>
        </w:rPr>
      </w:pPr>
      <w:r>
        <w:rPr>
          <w:noProof/>
        </w:rPr>
        <w:t>Other VBECS Functions</w:t>
      </w:r>
      <w:r>
        <w:rPr>
          <w:noProof/>
        </w:rPr>
        <w:tab/>
        <w:t>42</w:t>
      </w:r>
    </w:p>
    <w:p w14:paraId="58DC1998" w14:textId="77777777" w:rsidR="004E2B6A" w:rsidRDefault="004E2B6A">
      <w:pPr>
        <w:pStyle w:val="IndexHeading"/>
        <w:keepNext/>
        <w:tabs>
          <w:tab w:val="right" w:leader="dot" w:pos="9350"/>
        </w:tabs>
        <w:rPr>
          <w:rFonts w:asciiTheme="minorHAnsi" w:eastAsiaTheme="minorEastAsia" w:hAnsiTheme="minorHAnsi" w:cstheme="minorBidi"/>
          <w:b w:val="0"/>
          <w:bCs w:val="0"/>
          <w:noProof/>
        </w:rPr>
      </w:pPr>
      <w:r>
        <w:rPr>
          <w:noProof/>
        </w:rPr>
        <w:t>P</w:t>
      </w:r>
    </w:p>
    <w:p w14:paraId="0ECEBB4E" w14:textId="77777777" w:rsidR="004E2B6A" w:rsidRDefault="004E2B6A">
      <w:pPr>
        <w:pStyle w:val="Index1"/>
        <w:tabs>
          <w:tab w:val="right" w:leader="dot" w:pos="9350"/>
        </w:tabs>
        <w:rPr>
          <w:noProof/>
        </w:rPr>
      </w:pPr>
      <w:r>
        <w:rPr>
          <w:noProof/>
        </w:rPr>
        <w:t>Patient Blood Availability</w:t>
      </w:r>
      <w:r>
        <w:rPr>
          <w:noProof/>
        </w:rPr>
        <w:tab/>
        <w:t>35</w:t>
      </w:r>
    </w:p>
    <w:p w14:paraId="2BF46612" w14:textId="77777777" w:rsidR="004E2B6A" w:rsidRDefault="004E2B6A">
      <w:pPr>
        <w:pStyle w:val="Index1"/>
        <w:tabs>
          <w:tab w:val="right" w:leader="dot" w:pos="9350"/>
        </w:tabs>
        <w:rPr>
          <w:noProof/>
        </w:rPr>
      </w:pPr>
      <w:r>
        <w:rPr>
          <w:noProof/>
        </w:rPr>
        <w:t>Patient History Report</w:t>
      </w:r>
      <w:r>
        <w:rPr>
          <w:noProof/>
        </w:rPr>
        <w:tab/>
        <w:t>371</w:t>
      </w:r>
    </w:p>
    <w:p w14:paraId="59FC85FF" w14:textId="77777777" w:rsidR="004E2B6A" w:rsidRDefault="004E2B6A">
      <w:pPr>
        <w:pStyle w:val="Index1"/>
        <w:tabs>
          <w:tab w:val="right" w:leader="dot" w:pos="9350"/>
        </w:tabs>
        <w:rPr>
          <w:noProof/>
        </w:rPr>
      </w:pPr>
      <w:r>
        <w:rPr>
          <w:noProof/>
        </w:rPr>
        <w:t>Patient Information Toolbar</w:t>
      </w:r>
      <w:r>
        <w:rPr>
          <w:noProof/>
        </w:rPr>
        <w:tab/>
        <w:t>35</w:t>
      </w:r>
    </w:p>
    <w:p w14:paraId="47AD7016" w14:textId="77777777" w:rsidR="004E2B6A" w:rsidRDefault="004E2B6A">
      <w:pPr>
        <w:pStyle w:val="Index1"/>
        <w:tabs>
          <w:tab w:val="right" w:leader="dot" w:pos="9350"/>
        </w:tabs>
        <w:rPr>
          <w:noProof/>
        </w:rPr>
      </w:pPr>
      <w:r>
        <w:rPr>
          <w:noProof/>
        </w:rPr>
        <w:t>Patient Merge</w:t>
      </w:r>
      <w:r>
        <w:rPr>
          <w:noProof/>
        </w:rPr>
        <w:tab/>
        <w:t>265</w:t>
      </w:r>
    </w:p>
    <w:p w14:paraId="63B1DDC6" w14:textId="77777777" w:rsidR="004E2B6A" w:rsidRDefault="004E2B6A">
      <w:pPr>
        <w:pStyle w:val="Index1"/>
        <w:tabs>
          <w:tab w:val="right" w:leader="dot" w:pos="9350"/>
        </w:tabs>
        <w:rPr>
          <w:noProof/>
        </w:rPr>
      </w:pPr>
      <w:r>
        <w:rPr>
          <w:noProof/>
        </w:rPr>
        <w:t>Patient Search Screen</w:t>
      </w:r>
      <w:r>
        <w:rPr>
          <w:noProof/>
        </w:rPr>
        <w:tab/>
        <w:t>263</w:t>
      </w:r>
    </w:p>
    <w:p w14:paraId="3995D058" w14:textId="77777777" w:rsidR="004E2B6A" w:rsidRDefault="004E2B6A">
      <w:pPr>
        <w:pStyle w:val="Index1"/>
        <w:tabs>
          <w:tab w:val="right" w:leader="dot" w:pos="9350"/>
        </w:tabs>
        <w:rPr>
          <w:noProof/>
        </w:rPr>
      </w:pPr>
      <w:r>
        <w:rPr>
          <w:noProof/>
        </w:rPr>
        <w:t>Patient Services</w:t>
      </w:r>
      <w:r>
        <w:rPr>
          <w:noProof/>
        </w:rPr>
        <w:tab/>
        <w:t>263</w:t>
      </w:r>
    </w:p>
    <w:p w14:paraId="43668A86" w14:textId="77777777" w:rsidR="004E2B6A" w:rsidRDefault="004E2B6A">
      <w:pPr>
        <w:pStyle w:val="Index1"/>
        <w:tabs>
          <w:tab w:val="right" w:leader="dot" w:pos="9350"/>
        </w:tabs>
        <w:rPr>
          <w:noProof/>
        </w:rPr>
      </w:pPr>
      <w:r>
        <w:rPr>
          <w:noProof/>
        </w:rPr>
        <w:t>Patient Testing Form</w:t>
      </w:r>
      <w:r>
        <w:rPr>
          <w:noProof/>
        </w:rPr>
        <w:tab/>
        <w:t>403</w:t>
      </w:r>
    </w:p>
    <w:p w14:paraId="4FDD0641" w14:textId="77777777" w:rsidR="004E2B6A" w:rsidRDefault="004E2B6A">
      <w:pPr>
        <w:pStyle w:val="Index1"/>
        <w:tabs>
          <w:tab w:val="right" w:leader="dot" w:pos="9350"/>
        </w:tabs>
        <w:rPr>
          <w:noProof/>
        </w:rPr>
      </w:pPr>
      <w:r>
        <w:rPr>
          <w:noProof/>
        </w:rPr>
        <w:t>Patient Testing Worklist and Testing Worklist Reports</w:t>
      </w:r>
      <w:r>
        <w:rPr>
          <w:noProof/>
        </w:rPr>
        <w:tab/>
        <w:t>373</w:t>
      </w:r>
    </w:p>
    <w:p w14:paraId="6D45C1B4" w14:textId="77777777" w:rsidR="004E2B6A" w:rsidRDefault="004E2B6A">
      <w:pPr>
        <w:pStyle w:val="Index1"/>
        <w:tabs>
          <w:tab w:val="right" w:leader="dot" w:pos="9350"/>
        </w:tabs>
        <w:rPr>
          <w:noProof/>
        </w:rPr>
      </w:pPr>
      <w:r>
        <w:rPr>
          <w:noProof/>
        </w:rPr>
        <w:t>Patient Testing: Cancel an Active Order</w:t>
      </w:r>
      <w:r>
        <w:rPr>
          <w:noProof/>
        </w:rPr>
        <w:tab/>
        <w:t>253</w:t>
      </w:r>
    </w:p>
    <w:p w14:paraId="28250B48" w14:textId="77777777" w:rsidR="004E2B6A" w:rsidRDefault="004E2B6A">
      <w:pPr>
        <w:pStyle w:val="Index1"/>
        <w:tabs>
          <w:tab w:val="right" w:leader="dot" w:pos="9350"/>
        </w:tabs>
        <w:rPr>
          <w:noProof/>
        </w:rPr>
      </w:pPr>
      <w:r>
        <w:rPr>
          <w:noProof/>
        </w:rPr>
        <w:t>Patient Testing: Enter Antibody Identification Results</w:t>
      </w:r>
      <w:r>
        <w:rPr>
          <w:noProof/>
        </w:rPr>
        <w:tab/>
        <w:t>296</w:t>
      </w:r>
    </w:p>
    <w:p w14:paraId="302E8A6C" w14:textId="77777777" w:rsidR="004E2B6A" w:rsidRDefault="004E2B6A">
      <w:pPr>
        <w:pStyle w:val="Index1"/>
        <w:tabs>
          <w:tab w:val="right" w:leader="dot" w:pos="9350"/>
        </w:tabs>
        <w:rPr>
          <w:noProof/>
        </w:rPr>
      </w:pPr>
      <w:r>
        <w:rPr>
          <w:noProof/>
        </w:rPr>
        <w:t>Patient Testing: General Instructions</w:t>
      </w:r>
      <w:r>
        <w:rPr>
          <w:noProof/>
        </w:rPr>
        <w:tab/>
        <w:t>271</w:t>
      </w:r>
    </w:p>
    <w:p w14:paraId="04810CBB" w14:textId="77777777" w:rsidR="004E2B6A" w:rsidRDefault="004E2B6A">
      <w:pPr>
        <w:pStyle w:val="Index1"/>
        <w:tabs>
          <w:tab w:val="right" w:leader="dot" w:pos="9350"/>
        </w:tabs>
        <w:rPr>
          <w:noProof/>
        </w:rPr>
      </w:pPr>
      <w:r>
        <w:rPr>
          <w:noProof/>
        </w:rPr>
        <w:t>Patient Testing: Pending Task List</w:t>
      </w:r>
      <w:r>
        <w:rPr>
          <w:noProof/>
        </w:rPr>
        <w:tab/>
        <w:t>255</w:t>
      </w:r>
    </w:p>
    <w:p w14:paraId="65D21DF3" w14:textId="77777777" w:rsidR="004E2B6A" w:rsidRDefault="004E2B6A">
      <w:pPr>
        <w:pStyle w:val="Index1"/>
        <w:tabs>
          <w:tab w:val="right" w:leader="dot" w:pos="9350"/>
        </w:tabs>
        <w:rPr>
          <w:noProof/>
        </w:rPr>
      </w:pPr>
      <w:r>
        <w:rPr>
          <w:noProof/>
        </w:rPr>
        <w:t>Patient Testing: Record a Crossmatch</w:t>
      </w:r>
      <w:r>
        <w:rPr>
          <w:noProof/>
        </w:rPr>
        <w:tab/>
        <w:t>285</w:t>
      </w:r>
    </w:p>
    <w:p w14:paraId="48D3E013" w14:textId="77777777" w:rsidR="004E2B6A" w:rsidRDefault="004E2B6A">
      <w:pPr>
        <w:pStyle w:val="Index1"/>
        <w:tabs>
          <w:tab w:val="right" w:leader="dot" w:pos="9350"/>
        </w:tabs>
        <w:rPr>
          <w:noProof/>
        </w:rPr>
      </w:pPr>
      <w:r>
        <w:rPr>
          <w:noProof/>
        </w:rPr>
        <w:t>Patient Testing: Record a Direct Antiglobulin Test</w:t>
      </w:r>
      <w:r>
        <w:rPr>
          <w:noProof/>
        </w:rPr>
        <w:tab/>
        <w:t>282</w:t>
      </w:r>
    </w:p>
    <w:p w14:paraId="034808DB" w14:textId="77777777" w:rsidR="004E2B6A" w:rsidRDefault="004E2B6A">
      <w:pPr>
        <w:pStyle w:val="Index1"/>
        <w:tabs>
          <w:tab w:val="right" w:leader="dot" w:pos="9350"/>
        </w:tabs>
        <w:rPr>
          <w:noProof/>
        </w:rPr>
      </w:pPr>
      <w:r>
        <w:rPr>
          <w:noProof/>
        </w:rPr>
        <w:t>Patient Testing: Record a Patient ABO/Rh</w:t>
      </w:r>
      <w:r>
        <w:rPr>
          <w:noProof/>
        </w:rPr>
        <w:tab/>
        <w:t>277</w:t>
      </w:r>
    </w:p>
    <w:p w14:paraId="7D8865C3" w14:textId="77777777" w:rsidR="004E2B6A" w:rsidRDefault="004E2B6A">
      <w:pPr>
        <w:pStyle w:val="Index1"/>
        <w:tabs>
          <w:tab w:val="right" w:leader="dot" w:pos="9350"/>
        </w:tabs>
        <w:rPr>
          <w:noProof/>
        </w:rPr>
      </w:pPr>
      <w:r>
        <w:rPr>
          <w:noProof/>
        </w:rPr>
        <w:t>Patient Testing: Record a Patient Antibody Screen</w:t>
      </w:r>
      <w:r>
        <w:rPr>
          <w:noProof/>
        </w:rPr>
        <w:tab/>
        <w:t>280</w:t>
      </w:r>
    </w:p>
    <w:p w14:paraId="74B4F07C" w14:textId="77777777" w:rsidR="004E2B6A" w:rsidRDefault="004E2B6A">
      <w:pPr>
        <w:pStyle w:val="Index1"/>
        <w:tabs>
          <w:tab w:val="right" w:leader="dot" w:pos="9350"/>
        </w:tabs>
        <w:rPr>
          <w:noProof/>
        </w:rPr>
      </w:pPr>
      <w:r>
        <w:rPr>
          <w:noProof/>
        </w:rPr>
        <w:t>Patient Testing: Record a Patient Antigen Typing</w:t>
      </w:r>
      <w:r>
        <w:rPr>
          <w:noProof/>
        </w:rPr>
        <w:tab/>
        <w:t>290</w:t>
      </w:r>
    </w:p>
    <w:p w14:paraId="5C7AC58C" w14:textId="77777777" w:rsidR="004E2B6A" w:rsidRDefault="004E2B6A">
      <w:pPr>
        <w:pStyle w:val="Index1"/>
        <w:tabs>
          <w:tab w:val="right" w:leader="dot" w:pos="9350"/>
        </w:tabs>
        <w:rPr>
          <w:noProof/>
        </w:rPr>
      </w:pPr>
      <w:r>
        <w:rPr>
          <w:noProof/>
        </w:rPr>
        <w:t>Patient Testing: Record a Transfusion Reaction Workup</w:t>
      </w:r>
      <w:r>
        <w:rPr>
          <w:noProof/>
        </w:rPr>
        <w:tab/>
        <w:t>299</w:t>
      </w:r>
    </w:p>
    <w:p w14:paraId="6CF9797A" w14:textId="77777777" w:rsidR="004E2B6A" w:rsidRDefault="004E2B6A">
      <w:pPr>
        <w:pStyle w:val="Index1"/>
        <w:tabs>
          <w:tab w:val="right" w:leader="dot" w:pos="9350"/>
        </w:tabs>
        <w:rPr>
          <w:noProof/>
        </w:rPr>
      </w:pPr>
      <w:r>
        <w:rPr>
          <w:noProof/>
        </w:rPr>
        <w:t>Post-Transfusion Information</w:t>
      </w:r>
      <w:r>
        <w:rPr>
          <w:noProof/>
        </w:rPr>
        <w:tab/>
        <w:t>323</w:t>
      </w:r>
    </w:p>
    <w:p w14:paraId="39B6338F" w14:textId="77777777" w:rsidR="004E2B6A" w:rsidRDefault="004E2B6A">
      <w:pPr>
        <w:pStyle w:val="Index1"/>
        <w:tabs>
          <w:tab w:val="right" w:leader="dot" w:pos="9350"/>
        </w:tabs>
        <w:rPr>
          <w:noProof/>
        </w:rPr>
      </w:pPr>
      <w:r>
        <w:rPr>
          <w:noProof/>
        </w:rPr>
        <w:t>Print Backup Caution Tags and Blood Transfusion Record Forms</w:t>
      </w:r>
      <w:r>
        <w:rPr>
          <w:noProof/>
        </w:rPr>
        <w:tab/>
        <w:t>216</w:t>
      </w:r>
    </w:p>
    <w:p w14:paraId="1DE4C0B4" w14:textId="77777777" w:rsidR="004E2B6A" w:rsidRDefault="004E2B6A">
      <w:pPr>
        <w:pStyle w:val="Index1"/>
        <w:tabs>
          <w:tab w:val="right" w:leader="dot" w:pos="9350"/>
        </w:tabs>
        <w:rPr>
          <w:noProof/>
        </w:rPr>
      </w:pPr>
      <w:r>
        <w:rPr>
          <w:noProof/>
        </w:rPr>
        <w:t>Processing an Emergency Transfusion Order</w:t>
      </w:r>
      <w:r>
        <w:rPr>
          <w:noProof/>
        </w:rPr>
        <w:tab/>
        <w:t>246</w:t>
      </w:r>
    </w:p>
    <w:p w14:paraId="6BC1855E" w14:textId="77777777" w:rsidR="004E2B6A" w:rsidRDefault="004E2B6A">
      <w:pPr>
        <w:pStyle w:val="Index1"/>
        <w:tabs>
          <w:tab w:val="right" w:leader="dot" w:pos="9350"/>
        </w:tabs>
        <w:rPr>
          <w:noProof/>
        </w:rPr>
      </w:pPr>
      <w:r>
        <w:rPr>
          <w:noProof/>
        </w:rPr>
        <w:t>Processing Orders</w:t>
      </w:r>
      <w:r>
        <w:rPr>
          <w:noProof/>
        </w:rPr>
        <w:tab/>
        <w:t>233</w:t>
      </w:r>
    </w:p>
    <w:p w14:paraId="7A264807" w14:textId="77777777" w:rsidR="004E2B6A" w:rsidRDefault="004E2B6A">
      <w:pPr>
        <w:pStyle w:val="Index1"/>
        <w:tabs>
          <w:tab w:val="right" w:leader="dot" w:pos="9350"/>
        </w:tabs>
        <w:rPr>
          <w:noProof/>
        </w:rPr>
      </w:pPr>
      <w:r>
        <w:rPr>
          <w:noProof/>
        </w:rPr>
        <w:t>Product Modifications</w:t>
      </w:r>
      <w:r>
        <w:rPr>
          <w:noProof/>
        </w:rPr>
        <w:tab/>
        <w:t>56</w:t>
      </w:r>
    </w:p>
    <w:p w14:paraId="29A62F81" w14:textId="77777777" w:rsidR="004E2B6A" w:rsidRDefault="004E2B6A">
      <w:pPr>
        <w:pStyle w:val="Index1"/>
        <w:tabs>
          <w:tab w:val="right" w:leader="dot" w:pos="9350"/>
        </w:tabs>
        <w:rPr>
          <w:noProof/>
        </w:rPr>
      </w:pPr>
      <w:r>
        <w:rPr>
          <w:noProof/>
        </w:rPr>
        <w:t>Prolonged Transfusion Time Report</w:t>
      </w:r>
      <w:r>
        <w:rPr>
          <w:noProof/>
        </w:rPr>
        <w:tab/>
        <w:t>376</w:t>
      </w:r>
    </w:p>
    <w:p w14:paraId="67791E2F" w14:textId="77777777" w:rsidR="004E2B6A" w:rsidRDefault="004E2B6A">
      <w:pPr>
        <w:pStyle w:val="IndexHeading"/>
        <w:keepNext/>
        <w:tabs>
          <w:tab w:val="right" w:leader="dot" w:pos="9350"/>
        </w:tabs>
        <w:rPr>
          <w:rFonts w:asciiTheme="minorHAnsi" w:eastAsiaTheme="minorEastAsia" w:hAnsiTheme="minorHAnsi" w:cstheme="minorBidi"/>
          <w:b w:val="0"/>
          <w:bCs w:val="0"/>
          <w:noProof/>
        </w:rPr>
      </w:pPr>
      <w:r>
        <w:rPr>
          <w:noProof/>
        </w:rPr>
        <w:t>Q</w:t>
      </w:r>
    </w:p>
    <w:p w14:paraId="2C87E55D" w14:textId="77777777" w:rsidR="004E2B6A" w:rsidRDefault="004E2B6A">
      <w:pPr>
        <w:pStyle w:val="Index1"/>
        <w:tabs>
          <w:tab w:val="right" w:leader="dot" w:pos="9350"/>
        </w:tabs>
        <w:rPr>
          <w:noProof/>
        </w:rPr>
      </w:pPr>
      <w:r>
        <w:rPr>
          <w:noProof/>
        </w:rPr>
        <w:t>Quick K Calculator</w:t>
      </w:r>
      <w:r>
        <w:rPr>
          <w:noProof/>
        </w:rPr>
        <w:tab/>
        <w:t>109</w:t>
      </w:r>
    </w:p>
    <w:p w14:paraId="7476F706" w14:textId="77777777" w:rsidR="004E2B6A" w:rsidRDefault="004E2B6A">
      <w:pPr>
        <w:pStyle w:val="IndexHeading"/>
        <w:keepNext/>
        <w:tabs>
          <w:tab w:val="right" w:leader="dot" w:pos="9350"/>
        </w:tabs>
        <w:rPr>
          <w:rFonts w:asciiTheme="minorHAnsi" w:eastAsiaTheme="minorEastAsia" w:hAnsiTheme="minorHAnsi" w:cstheme="minorBidi"/>
          <w:b w:val="0"/>
          <w:bCs w:val="0"/>
          <w:noProof/>
        </w:rPr>
      </w:pPr>
      <w:r>
        <w:rPr>
          <w:noProof/>
        </w:rPr>
        <w:lastRenderedPageBreak/>
        <w:t>R</w:t>
      </w:r>
    </w:p>
    <w:p w14:paraId="12EFA402" w14:textId="77777777" w:rsidR="004E2B6A" w:rsidRDefault="004E2B6A">
      <w:pPr>
        <w:pStyle w:val="Index1"/>
        <w:tabs>
          <w:tab w:val="right" w:leader="dot" w:pos="9350"/>
        </w:tabs>
        <w:rPr>
          <w:noProof/>
        </w:rPr>
      </w:pPr>
      <w:r>
        <w:rPr>
          <w:noProof/>
        </w:rPr>
        <w:t>Reagents</w:t>
      </w:r>
      <w:r>
        <w:rPr>
          <w:noProof/>
        </w:rPr>
        <w:tab/>
        <w:t>89</w:t>
      </w:r>
    </w:p>
    <w:p w14:paraId="0E7399E6" w14:textId="77777777" w:rsidR="004E2B6A" w:rsidRDefault="004E2B6A">
      <w:pPr>
        <w:pStyle w:val="Index1"/>
        <w:tabs>
          <w:tab w:val="right" w:leader="dot" w:pos="9350"/>
        </w:tabs>
        <w:rPr>
          <w:noProof/>
        </w:rPr>
      </w:pPr>
      <w:r>
        <w:rPr>
          <w:noProof/>
        </w:rPr>
        <w:t>Reagents and Supplies</w:t>
      </w:r>
      <w:r>
        <w:rPr>
          <w:noProof/>
        </w:rPr>
        <w:tab/>
        <w:t>81</w:t>
      </w:r>
    </w:p>
    <w:p w14:paraId="03E3D6BD" w14:textId="77777777" w:rsidR="004E2B6A" w:rsidRDefault="004E2B6A">
      <w:pPr>
        <w:pStyle w:val="Index1"/>
        <w:tabs>
          <w:tab w:val="right" w:leader="dot" w:pos="9350"/>
        </w:tabs>
        <w:rPr>
          <w:noProof/>
        </w:rPr>
      </w:pPr>
      <w:r>
        <w:rPr>
          <w:noProof/>
        </w:rPr>
        <w:t>Recommended Report Usage</w:t>
      </w:r>
      <w:r>
        <w:rPr>
          <w:noProof/>
        </w:rPr>
        <w:tab/>
        <w:t>497</w:t>
      </w:r>
    </w:p>
    <w:p w14:paraId="56B1BD64" w14:textId="77777777" w:rsidR="004E2B6A" w:rsidRDefault="004E2B6A">
      <w:pPr>
        <w:pStyle w:val="Index1"/>
        <w:tabs>
          <w:tab w:val="right" w:leader="dot" w:pos="9350"/>
        </w:tabs>
        <w:rPr>
          <w:noProof/>
        </w:rPr>
      </w:pPr>
      <w:r>
        <w:rPr>
          <w:noProof/>
        </w:rPr>
        <w:t>References</w:t>
      </w:r>
      <w:r>
        <w:rPr>
          <w:noProof/>
        </w:rPr>
        <w:tab/>
        <w:t>389</w:t>
      </w:r>
    </w:p>
    <w:p w14:paraId="7BBB9006" w14:textId="77777777" w:rsidR="004E2B6A" w:rsidRDefault="004E2B6A">
      <w:pPr>
        <w:pStyle w:val="Index1"/>
        <w:tabs>
          <w:tab w:val="right" w:leader="dot" w:pos="9350"/>
        </w:tabs>
        <w:rPr>
          <w:noProof/>
        </w:rPr>
      </w:pPr>
      <w:r>
        <w:rPr>
          <w:noProof/>
        </w:rPr>
        <w:t>Related Manuals and Materials</w:t>
      </w:r>
      <w:r>
        <w:rPr>
          <w:noProof/>
        </w:rPr>
        <w:tab/>
        <w:t>7</w:t>
      </w:r>
    </w:p>
    <w:p w14:paraId="65912931" w14:textId="77777777" w:rsidR="004E2B6A" w:rsidRDefault="004E2B6A">
      <w:pPr>
        <w:pStyle w:val="IndexHeading"/>
        <w:keepNext/>
        <w:tabs>
          <w:tab w:val="right" w:leader="dot" w:pos="9350"/>
        </w:tabs>
        <w:rPr>
          <w:rFonts w:asciiTheme="minorHAnsi" w:eastAsiaTheme="minorEastAsia" w:hAnsiTheme="minorHAnsi" w:cstheme="minorBidi"/>
          <w:b w:val="0"/>
          <w:bCs w:val="0"/>
          <w:noProof/>
        </w:rPr>
      </w:pPr>
      <w:r>
        <w:rPr>
          <w:noProof/>
        </w:rPr>
        <w:t>S</w:t>
      </w:r>
    </w:p>
    <w:p w14:paraId="0CE6361D" w14:textId="77777777" w:rsidR="004E2B6A" w:rsidRDefault="004E2B6A">
      <w:pPr>
        <w:pStyle w:val="Index1"/>
        <w:tabs>
          <w:tab w:val="right" w:leader="dot" w:pos="9350"/>
        </w:tabs>
        <w:rPr>
          <w:noProof/>
        </w:rPr>
      </w:pPr>
      <w:r>
        <w:rPr>
          <w:noProof/>
        </w:rPr>
        <w:t>Screen Display</w:t>
      </w:r>
      <w:r>
        <w:rPr>
          <w:noProof/>
        </w:rPr>
        <w:tab/>
        <w:t>31</w:t>
      </w:r>
    </w:p>
    <w:p w14:paraId="76B6ACEE" w14:textId="77777777" w:rsidR="004E2B6A" w:rsidRDefault="004E2B6A">
      <w:pPr>
        <w:pStyle w:val="Index1"/>
        <w:tabs>
          <w:tab w:val="right" w:leader="dot" w:pos="9350"/>
        </w:tabs>
        <w:rPr>
          <w:noProof/>
        </w:rPr>
      </w:pPr>
      <w:r>
        <w:rPr>
          <w:noProof/>
        </w:rPr>
        <w:t>Search Tab</w:t>
      </w:r>
      <w:r>
        <w:rPr>
          <w:noProof/>
        </w:rPr>
        <w:tab/>
        <w:t>22</w:t>
      </w:r>
    </w:p>
    <w:p w14:paraId="591521B7" w14:textId="77777777" w:rsidR="004E2B6A" w:rsidRDefault="004E2B6A">
      <w:pPr>
        <w:pStyle w:val="Index1"/>
        <w:tabs>
          <w:tab w:val="right" w:leader="dot" w:pos="9350"/>
        </w:tabs>
        <w:rPr>
          <w:noProof/>
        </w:rPr>
      </w:pPr>
      <w:r>
        <w:rPr>
          <w:noProof/>
        </w:rPr>
        <w:t>Searching the Database</w:t>
      </w:r>
      <w:r>
        <w:rPr>
          <w:noProof/>
        </w:rPr>
        <w:tab/>
        <w:t>17</w:t>
      </w:r>
    </w:p>
    <w:p w14:paraId="1ABB620B" w14:textId="77777777" w:rsidR="004E2B6A" w:rsidRDefault="004E2B6A">
      <w:pPr>
        <w:pStyle w:val="Index1"/>
        <w:tabs>
          <w:tab w:val="right" w:leader="dot" w:pos="9350"/>
        </w:tabs>
        <w:rPr>
          <w:noProof/>
        </w:rPr>
      </w:pPr>
      <w:r>
        <w:rPr>
          <w:noProof/>
        </w:rPr>
        <w:t>Security</w:t>
      </w:r>
      <w:r>
        <w:rPr>
          <w:noProof/>
        </w:rPr>
        <w:tab/>
        <w:t>9</w:t>
      </w:r>
    </w:p>
    <w:p w14:paraId="21ACFD71" w14:textId="77777777" w:rsidR="004E2B6A" w:rsidRDefault="004E2B6A">
      <w:pPr>
        <w:pStyle w:val="Index1"/>
        <w:tabs>
          <w:tab w:val="right" w:leader="dot" w:pos="9350"/>
        </w:tabs>
        <w:rPr>
          <w:noProof/>
        </w:rPr>
      </w:pPr>
      <w:r w:rsidRPr="00D35FFC">
        <w:rPr>
          <w:b/>
          <w:noProof/>
        </w:rPr>
        <w:t>Service Desk</w:t>
      </w:r>
      <w:r>
        <w:rPr>
          <w:noProof/>
        </w:rPr>
        <w:tab/>
        <w:t>12</w:t>
      </w:r>
    </w:p>
    <w:p w14:paraId="0483896F" w14:textId="77777777" w:rsidR="004E2B6A" w:rsidRDefault="004E2B6A">
      <w:pPr>
        <w:pStyle w:val="Index1"/>
        <w:tabs>
          <w:tab w:val="right" w:leader="dot" w:pos="9350"/>
        </w:tabs>
        <w:rPr>
          <w:noProof/>
        </w:rPr>
      </w:pPr>
      <w:r>
        <w:rPr>
          <w:noProof/>
        </w:rPr>
        <w:t>Setting Transfusion Parameters</w:t>
      </w:r>
      <w:r>
        <w:rPr>
          <w:noProof/>
        </w:rPr>
        <w:tab/>
        <w:t>72</w:t>
      </w:r>
    </w:p>
    <w:p w14:paraId="453C0F56" w14:textId="77777777" w:rsidR="004E2B6A" w:rsidRDefault="004E2B6A">
      <w:pPr>
        <w:pStyle w:val="Index1"/>
        <w:tabs>
          <w:tab w:val="right" w:leader="dot" w:pos="9350"/>
        </w:tabs>
        <w:rPr>
          <w:noProof/>
        </w:rPr>
      </w:pPr>
      <w:r>
        <w:rPr>
          <w:noProof/>
        </w:rPr>
        <w:t>Shipments</w:t>
      </w:r>
      <w:r>
        <w:rPr>
          <w:noProof/>
        </w:rPr>
        <w:tab/>
        <w:t>108</w:t>
      </w:r>
    </w:p>
    <w:p w14:paraId="2C252FEF" w14:textId="77777777" w:rsidR="004E2B6A" w:rsidRDefault="004E2B6A">
      <w:pPr>
        <w:pStyle w:val="Index1"/>
        <w:tabs>
          <w:tab w:val="right" w:leader="dot" w:pos="9350"/>
        </w:tabs>
        <w:rPr>
          <w:noProof/>
        </w:rPr>
      </w:pPr>
      <w:r>
        <w:rPr>
          <w:noProof/>
        </w:rPr>
        <w:t>Software Basics</w:t>
      </w:r>
      <w:r>
        <w:rPr>
          <w:noProof/>
        </w:rPr>
        <w:tab/>
        <w:t>13</w:t>
      </w:r>
    </w:p>
    <w:p w14:paraId="29ACA790" w14:textId="77777777" w:rsidR="004E2B6A" w:rsidRDefault="004E2B6A">
      <w:pPr>
        <w:pStyle w:val="Index1"/>
        <w:tabs>
          <w:tab w:val="right" w:leader="dot" w:pos="9350"/>
        </w:tabs>
        <w:rPr>
          <w:noProof/>
        </w:rPr>
      </w:pPr>
      <w:r>
        <w:rPr>
          <w:noProof/>
        </w:rPr>
        <w:t>Special Instructions &amp; Transfusion Requirements: Enter and Remove Special Instructions</w:t>
      </w:r>
      <w:r>
        <w:rPr>
          <w:noProof/>
        </w:rPr>
        <w:tab/>
        <w:t>320</w:t>
      </w:r>
    </w:p>
    <w:p w14:paraId="5FA4FA94" w14:textId="77777777" w:rsidR="004E2B6A" w:rsidRDefault="004E2B6A">
      <w:pPr>
        <w:pStyle w:val="Index1"/>
        <w:tabs>
          <w:tab w:val="right" w:leader="dot" w:pos="9350"/>
        </w:tabs>
        <w:rPr>
          <w:noProof/>
        </w:rPr>
      </w:pPr>
      <w:r>
        <w:rPr>
          <w:noProof/>
        </w:rPr>
        <w:t>Supplemental Information</w:t>
      </w:r>
      <w:r>
        <w:rPr>
          <w:noProof/>
        </w:rPr>
        <w:tab/>
        <w:t>9</w:t>
      </w:r>
    </w:p>
    <w:p w14:paraId="572DF39B" w14:textId="77777777" w:rsidR="004E2B6A" w:rsidRDefault="004E2B6A">
      <w:pPr>
        <w:pStyle w:val="Index1"/>
        <w:tabs>
          <w:tab w:val="right" w:leader="dot" w:pos="9350"/>
        </w:tabs>
        <w:rPr>
          <w:noProof/>
        </w:rPr>
      </w:pPr>
      <w:r>
        <w:rPr>
          <w:noProof/>
        </w:rPr>
        <w:t>Supplies</w:t>
      </w:r>
      <w:r>
        <w:rPr>
          <w:noProof/>
        </w:rPr>
        <w:tab/>
        <w:t>98</w:t>
      </w:r>
    </w:p>
    <w:p w14:paraId="18E7541B" w14:textId="77777777" w:rsidR="004E2B6A" w:rsidRDefault="004E2B6A">
      <w:pPr>
        <w:pStyle w:val="Index1"/>
        <w:tabs>
          <w:tab w:val="right" w:leader="dot" w:pos="9350"/>
        </w:tabs>
        <w:rPr>
          <w:noProof/>
        </w:rPr>
      </w:pPr>
      <w:r>
        <w:rPr>
          <w:noProof/>
        </w:rPr>
        <w:t>System Responses to Active Transfusion Requirements in Select Unit and Issue Blood Component</w:t>
      </w:r>
      <w:r>
        <w:rPr>
          <w:noProof/>
        </w:rPr>
        <w:tab/>
        <w:t>500</w:t>
      </w:r>
    </w:p>
    <w:p w14:paraId="7D925EA1" w14:textId="77777777" w:rsidR="004E2B6A" w:rsidRDefault="004E2B6A">
      <w:pPr>
        <w:pStyle w:val="Index1"/>
        <w:tabs>
          <w:tab w:val="right" w:leader="dot" w:pos="9350"/>
        </w:tabs>
        <w:rPr>
          <w:noProof/>
        </w:rPr>
      </w:pPr>
      <w:r>
        <w:rPr>
          <w:noProof/>
        </w:rPr>
        <w:t>System Validation</w:t>
      </w:r>
    </w:p>
    <w:p w14:paraId="734549FC" w14:textId="77777777" w:rsidR="004E2B6A" w:rsidRDefault="004E2B6A">
      <w:pPr>
        <w:pStyle w:val="Index2"/>
        <w:tabs>
          <w:tab w:val="right" w:leader="dot" w:pos="9350"/>
        </w:tabs>
        <w:rPr>
          <w:noProof/>
        </w:rPr>
      </w:pPr>
      <w:r w:rsidRPr="00D35FFC">
        <w:rPr>
          <w:noProof/>
          <w:snapToGrid w:val="0"/>
        </w:rPr>
        <w:t>Antibodies</w:t>
      </w:r>
      <w:r>
        <w:rPr>
          <w:noProof/>
        </w:rPr>
        <w:tab/>
        <w:t>481</w:t>
      </w:r>
    </w:p>
    <w:p w14:paraId="4434405B" w14:textId="77777777" w:rsidR="004E2B6A" w:rsidRDefault="004E2B6A">
      <w:pPr>
        <w:pStyle w:val="Index2"/>
        <w:tabs>
          <w:tab w:val="right" w:leader="dot" w:pos="9350"/>
        </w:tabs>
        <w:rPr>
          <w:noProof/>
        </w:rPr>
      </w:pPr>
      <w:r>
        <w:rPr>
          <w:noProof/>
        </w:rPr>
        <w:t>Blood Products</w:t>
      </w:r>
      <w:r>
        <w:rPr>
          <w:noProof/>
        </w:rPr>
        <w:tab/>
        <w:t>475</w:t>
      </w:r>
    </w:p>
    <w:p w14:paraId="2395CDFC" w14:textId="77777777" w:rsidR="004E2B6A" w:rsidRDefault="004E2B6A">
      <w:pPr>
        <w:pStyle w:val="Index2"/>
        <w:tabs>
          <w:tab w:val="right" w:leader="dot" w:pos="9350"/>
        </w:tabs>
        <w:rPr>
          <w:noProof/>
        </w:rPr>
      </w:pPr>
      <w:r w:rsidRPr="00D35FFC">
        <w:rPr>
          <w:noProof/>
          <w:snapToGrid w:val="0"/>
        </w:rPr>
        <w:t xml:space="preserve">Canned </w:t>
      </w:r>
      <w:r>
        <w:rPr>
          <w:noProof/>
        </w:rPr>
        <w:t>Comments</w:t>
      </w:r>
      <w:r>
        <w:rPr>
          <w:noProof/>
        </w:rPr>
        <w:tab/>
        <w:t>480</w:t>
      </w:r>
    </w:p>
    <w:p w14:paraId="450BF7BE" w14:textId="77777777" w:rsidR="004E2B6A" w:rsidRDefault="004E2B6A">
      <w:pPr>
        <w:pStyle w:val="Index2"/>
        <w:tabs>
          <w:tab w:val="right" w:leader="dot" w:pos="9350"/>
        </w:tabs>
        <w:rPr>
          <w:noProof/>
        </w:rPr>
      </w:pPr>
      <w:r>
        <w:rPr>
          <w:noProof/>
        </w:rPr>
        <w:t>Component Classes</w:t>
      </w:r>
      <w:r>
        <w:rPr>
          <w:noProof/>
        </w:rPr>
        <w:tab/>
        <w:t>477</w:t>
      </w:r>
    </w:p>
    <w:p w14:paraId="772BFA87" w14:textId="77777777" w:rsidR="004E2B6A" w:rsidRDefault="004E2B6A">
      <w:pPr>
        <w:pStyle w:val="Index2"/>
        <w:tabs>
          <w:tab w:val="right" w:leader="dot" w:pos="9350"/>
        </w:tabs>
        <w:rPr>
          <w:noProof/>
        </w:rPr>
      </w:pPr>
      <w:r>
        <w:rPr>
          <w:noProof/>
        </w:rPr>
        <w:t>Configure Daily QC: Full Service</w:t>
      </w:r>
      <w:r>
        <w:rPr>
          <w:noProof/>
        </w:rPr>
        <w:tab/>
        <w:t>472</w:t>
      </w:r>
    </w:p>
    <w:p w14:paraId="6D370A52" w14:textId="77777777" w:rsidR="004E2B6A" w:rsidRDefault="004E2B6A">
      <w:pPr>
        <w:pStyle w:val="Index2"/>
        <w:tabs>
          <w:tab w:val="right" w:leader="dot" w:pos="9350"/>
        </w:tabs>
        <w:rPr>
          <w:noProof/>
        </w:rPr>
      </w:pPr>
      <w:r>
        <w:rPr>
          <w:noProof/>
        </w:rPr>
        <w:t>Configure Division</w:t>
      </w:r>
      <w:r>
        <w:rPr>
          <w:noProof/>
        </w:rPr>
        <w:tab/>
        <w:t>469</w:t>
      </w:r>
    </w:p>
    <w:p w14:paraId="7393E099" w14:textId="77777777" w:rsidR="004E2B6A" w:rsidRDefault="004E2B6A">
      <w:pPr>
        <w:pStyle w:val="Index2"/>
        <w:tabs>
          <w:tab w:val="right" w:leader="dot" w:pos="9350"/>
        </w:tabs>
        <w:rPr>
          <w:noProof/>
        </w:rPr>
      </w:pPr>
      <w:r>
        <w:rPr>
          <w:noProof/>
        </w:rPr>
        <w:t>Configure Testing: Full Service</w:t>
      </w:r>
      <w:r>
        <w:rPr>
          <w:noProof/>
        </w:rPr>
        <w:tab/>
        <w:t>469</w:t>
      </w:r>
    </w:p>
    <w:p w14:paraId="0B1C54AE" w14:textId="77777777" w:rsidR="004E2B6A" w:rsidRDefault="004E2B6A">
      <w:pPr>
        <w:pStyle w:val="Index2"/>
        <w:tabs>
          <w:tab w:val="right" w:leader="dot" w:pos="9350"/>
        </w:tabs>
        <w:rPr>
          <w:noProof/>
        </w:rPr>
      </w:pPr>
      <w:r w:rsidRPr="00D35FFC">
        <w:rPr>
          <w:noProof/>
          <w:snapToGrid w:val="0"/>
        </w:rPr>
        <w:t>Edit Invoice Text</w:t>
      </w:r>
      <w:r>
        <w:rPr>
          <w:noProof/>
        </w:rPr>
        <w:tab/>
        <w:t>480</w:t>
      </w:r>
    </w:p>
    <w:p w14:paraId="58E95DDE" w14:textId="77777777" w:rsidR="004E2B6A" w:rsidRDefault="004E2B6A">
      <w:pPr>
        <w:pStyle w:val="Index2"/>
        <w:tabs>
          <w:tab w:val="right" w:leader="dot" w:pos="9350"/>
        </w:tabs>
        <w:rPr>
          <w:noProof/>
        </w:rPr>
      </w:pPr>
      <w:r>
        <w:rPr>
          <w:noProof/>
        </w:rPr>
        <w:t>Installation Qualification</w:t>
      </w:r>
      <w:r>
        <w:rPr>
          <w:noProof/>
        </w:rPr>
        <w:tab/>
        <w:t>467</w:t>
      </w:r>
    </w:p>
    <w:p w14:paraId="0BC2F281" w14:textId="77777777" w:rsidR="004E2B6A" w:rsidRDefault="004E2B6A">
      <w:pPr>
        <w:pStyle w:val="Index2"/>
        <w:tabs>
          <w:tab w:val="right" w:leader="dot" w:pos="9350"/>
        </w:tabs>
        <w:rPr>
          <w:noProof/>
        </w:rPr>
      </w:pPr>
      <w:r>
        <w:rPr>
          <w:noProof/>
        </w:rPr>
        <w:t>Introduction</w:t>
      </w:r>
      <w:r>
        <w:rPr>
          <w:noProof/>
        </w:rPr>
        <w:tab/>
        <w:t>467</w:t>
      </w:r>
    </w:p>
    <w:p w14:paraId="50DE0512" w14:textId="77777777" w:rsidR="004E2B6A" w:rsidRDefault="004E2B6A">
      <w:pPr>
        <w:pStyle w:val="Index2"/>
        <w:tabs>
          <w:tab w:val="right" w:leader="dot" w:pos="9350"/>
        </w:tabs>
        <w:rPr>
          <w:noProof/>
        </w:rPr>
      </w:pPr>
      <w:r>
        <w:rPr>
          <w:noProof/>
        </w:rPr>
        <w:t>Local Facilities</w:t>
      </w:r>
      <w:r>
        <w:rPr>
          <w:noProof/>
        </w:rPr>
        <w:tab/>
        <w:t>476</w:t>
      </w:r>
    </w:p>
    <w:p w14:paraId="707564F1" w14:textId="77777777" w:rsidR="004E2B6A" w:rsidRDefault="004E2B6A">
      <w:pPr>
        <w:pStyle w:val="Index2"/>
        <w:tabs>
          <w:tab w:val="right" w:leader="dot" w:pos="9350"/>
        </w:tabs>
        <w:rPr>
          <w:noProof/>
        </w:rPr>
      </w:pPr>
      <w:r>
        <w:rPr>
          <w:noProof/>
        </w:rPr>
        <w:t>Log In Reagents: Full Service</w:t>
      </w:r>
      <w:r>
        <w:rPr>
          <w:noProof/>
        </w:rPr>
        <w:tab/>
        <w:t>474</w:t>
      </w:r>
    </w:p>
    <w:p w14:paraId="62AE76D9" w14:textId="77777777" w:rsidR="004E2B6A" w:rsidRDefault="004E2B6A">
      <w:pPr>
        <w:pStyle w:val="Index2"/>
        <w:tabs>
          <w:tab w:val="right" w:leader="dot" w:pos="9350"/>
        </w:tabs>
        <w:rPr>
          <w:noProof/>
        </w:rPr>
      </w:pPr>
      <w:r>
        <w:rPr>
          <w:noProof/>
        </w:rPr>
        <w:t>Maintain Minimum Levels: Full Service</w:t>
      </w:r>
      <w:r>
        <w:rPr>
          <w:noProof/>
        </w:rPr>
        <w:tab/>
        <w:t>473</w:t>
      </w:r>
    </w:p>
    <w:p w14:paraId="5A124211" w14:textId="77777777" w:rsidR="004E2B6A" w:rsidRDefault="004E2B6A">
      <w:pPr>
        <w:pStyle w:val="Index2"/>
        <w:tabs>
          <w:tab w:val="right" w:leader="dot" w:pos="9350"/>
        </w:tabs>
        <w:rPr>
          <w:noProof/>
        </w:rPr>
      </w:pPr>
      <w:r>
        <w:rPr>
          <w:noProof/>
        </w:rPr>
        <w:t>MSBOS</w:t>
      </w:r>
      <w:r>
        <w:rPr>
          <w:noProof/>
        </w:rPr>
        <w:tab/>
        <w:t>480</w:t>
      </w:r>
    </w:p>
    <w:p w14:paraId="097D5AD9" w14:textId="77777777" w:rsidR="004E2B6A" w:rsidRDefault="004E2B6A">
      <w:pPr>
        <w:pStyle w:val="Index2"/>
        <w:tabs>
          <w:tab w:val="right" w:leader="dot" w:pos="9350"/>
        </w:tabs>
        <w:rPr>
          <w:noProof/>
        </w:rPr>
      </w:pPr>
      <w:r>
        <w:rPr>
          <w:noProof/>
        </w:rPr>
        <w:t>Operational Qualification</w:t>
      </w:r>
      <w:r>
        <w:rPr>
          <w:noProof/>
        </w:rPr>
        <w:tab/>
        <w:t>467</w:t>
      </w:r>
    </w:p>
    <w:p w14:paraId="2912F40D" w14:textId="77777777" w:rsidR="004E2B6A" w:rsidRDefault="004E2B6A">
      <w:pPr>
        <w:pStyle w:val="Index2"/>
        <w:tabs>
          <w:tab w:val="right" w:leader="dot" w:pos="9350"/>
        </w:tabs>
        <w:rPr>
          <w:noProof/>
        </w:rPr>
      </w:pPr>
      <w:r>
        <w:rPr>
          <w:noProof/>
        </w:rPr>
        <w:t>Order Alerts</w:t>
      </w:r>
      <w:r>
        <w:rPr>
          <w:noProof/>
        </w:rPr>
        <w:tab/>
        <w:t>471</w:t>
      </w:r>
    </w:p>
    <w:p w14:paraId="5729598F" w14:textId="77777777" w:rsidR="004E2B6A" w:rsidRDefault="004E2B6A">
      <w:pPr>
        <w:pStyle w:val="Index2"/>
        <w:tabs>
          <w:tab w:val="right" w:leader="dot" w:pos="9350"/>
        </w:tabs>
        <w:rPr>
          <w:noProof/>
        </w:rPr>
      </w:pPr>
      <w:r>
        <w:rPr>
          <w:noProof/>
        </w:rPr>
        <w:t>Performance Qualification</w:t>
      </w:r>
      <w:r>
        <w:rPr>
          <w:noProof/>
        </w:rPr>
        <w:tab/>
        <w:t>468</w:t>
      </w:r>
    </w:p>
    <w:p w14:paraId="685D9DAF" w14:textId="77777777" w:rsidR="004E2B6A" w:rsidRDefault="004E2B6A">
      <w:pPr>
        <w:pStyle w:val="Index2"/>
        <w:tabs>
          <w:tab w:val="right" w:leader="dot" w:pos="9350"/>
        </w:tabs>
        <w:rPr>
          <w:noProof/>
        </w:rPr>
      </w:pPr>
      <w:r>
        <w:rPr>
          <w:noProof/>
        </w:rPr>
        <w:t>Product Modifications: Full Service</w:t>
      </w:r>
      <w:r>
        <w:rPr>
          <w:noProof/>
        </w:rPr>
        <w:tab/>
        <w:t>470</w:t>
      </w:r>
    </w:p>
    <w:p w14:paraId="6A774180" w14:textId="77777777" w:rsidR="004E2B6A" w:rsidRDefault="004E2B6A">
      <w:pPr>
        <w:pStyle w:val="Index2"/>
        <w:tabs>
          <w:tab w:val="right" w:leader="dot" w:pos="9350"/>
        </w:tabs>
        <w:rPr>
          <w:noProof/>
        </w:rPr>
      </w:pPr>
      <w:r>
        <w:rPr>
          <w:noProof/>
        </w:rPr>
        <w:t>Record System Settings</w:t>
      </w:r>
      <w:r>
        <w:rPr>
          <w:noProof/>
        </w:rPr>
        <w:tab/>
        <w:t>469</w:t>
      </w:r>
    </w:p>
    <w:p w14:paraId="7C18C029" w14:textId="77777777" w:rsidR="004E2B6A" w:rsidRDefault="004E2B6A">
      <w:pPr>
        <w:pStyle w:val="Index2"/>
        <w:tabs>
          <w:tab w:val="right" w:leader="dot" w:pos="9350"/>
        </w:tabs>
        <w:rPr>
          <w:noProof/>
        </w:rPr>
      </w:pPr>
      <w:r w:rsidRPr="00D35FFC">
        <w:rPr>
          <w:noProof/>
          <w:snapToGrid w:val="0"/>
        </w:rPr>
        <w:t>Testing</w:t>
      </w:r>
      <w:r>
        <w:rPr>
          <w:noProof/>
        </w:rPr>
        <w:tab/>
        <w:t>482</w:t>
      </w:r>
    </w:p>
    <w:p w14:paraId="5C90DDFA" w14:textId="77777777" w:rsidR="004E2B6A" w:rsidRDefault="004E2B6A">
      <w:pPr>
        <w:pStyle w:val="Index2"/>
        <w:tabs>
          <w:tab w:val="right" w:leader="dot" w:pos="9350"/>
        </w:tabs>
        <w:rPr>
          <w:noProof/>
        </w:rPr>
      </w:pPr>
      <w:r>
        <w:rPr>
          <w:noProof/>
        </w:rPr>
        <w:t>Transfusion Complications</w:t>
      </w:r>
      <w:r>
        <w:rPr>
          <w:noProof/>
        </w:rPr>
        <w:tab/>
        <w:t>478</w:t>
      </w:r>
    </w:p>
    <w:p w14:paraId="3CA0AE0A" w14:textId="77777777" w:rsidR="004E2B6A" w:rsidRDefault="004E2B6A">
      <w:pPr>
        <w:pStyle w:val="Index2"/>
        <w:tabs>
          <w:tab w:val="right" w:leader="dot" w:pos="9350"/>
        </w:tabs>
        <w:rPr>
          <w:noProof/>
        </w:rPr>
      </w:pPr>
      <w:r>
        <w:rPr>
          <w:noProof/>
        </w:rPr>
        <w:t>Transfusion Effectiveness</w:t>
      </w:r>
      <w:r>
        <w:rPr>
          <w:noProof/>
        </w:rPr>
        <w:tab/>
        <w:t>479</w:t>
      </w:r>
    </w:p>
    <w:p w14:paraId="7B4196E3" w14:textId="77777777" w:rsidR="004E2B6A" w:rsidRDefault="004E2B6A">
      <w:pPr>
        <w:pStyle w:val="Index2"/>
        <w:tabs>
          <w:tab w:val="right" w:leader="dot" w:pos="9350"/>
        </w:tabs>
        <w:rPr>
          <w:noProof/>
        </w:rPr>
      </w:pPr>
      <w:r>
        <w:rPr>
          <w:noProof/>
        </w:rPr>
        <w:t>Update User Roles</w:t>
      </w:r>
      <w:r>
        <w:rPr>
          <w:noProof/>
        </w:rPr>
        <w:tab/>
        <w:t>482</w:t>
      </w:r>
    </w:p>
    <w:p w14:paraId="1E4679D4" w14:textId="77777777" w:rsidR="004E2B6A" w:rsidRDefault="004E2B6A">
      <w:pPr>
        <w:pStyle w:val="Index2"/>
        <w:tabs>
          <w:tab w:val="right" w:leader="dot" w:pos="9350"/>
        </w:tabs>
        <w:rPr>
          <w:noProof/>
        </w:rPr>
      </w:pPr>
      <w:r>
        <w:rPr>
          <w:noProof/>
        </w:rPr>
        <w:t>Validation Plan</w:t>
      </w:r>
      <w:r>
        <w:rPr>
          <w:noProof/>
        </w:rPr>
        <w:tab/>
        <w:t>467</w:t>
      </w:r>
    </w:p>
    <w:p w14:paraId="10BC7B22" w14:textId="77777777" w:rsidR="004E2B6A" w:rsidRDefault="004E2B6A">
      <w:pPr>
        <w:pStyle w:val="Index2"/>
        <w:tabs>
          <w:tab w:val="right" w:leader="dot" w:pos="9350"/>
        </w:tabs>
        <w:rPr>
          <w:noProof/>
        </w:rPr>
      </w:pPr>
      <w:r>
        <w:rPr>
          <w:noProof/>
        </w:rPr>
        <w:t>VBECS Forms and Reports</w:t>
      </w:r>
      <w:r>
        <w:rPr>
          <w:noProof/>
        </w:rPr>
        <w:tab/>
        <w:t>483</w:t>
      </w:r>
    </w:p>
    <w:p w14:paraId="29CC74E9" w14:textId="77777777" w:rsidR="004E2B6A" w:rsidRDefault="004E2B6A">
      <w:pPr>
        <w:pStyle w:val="Index2"/>
        <w:tabs>
          <w:tab w:val="right" w:leader="dot" w:pos="9350"/>
        </w:tabs>
        <w:rPr>
          <w:noProof/>
        </w:rPr>
      </w:pPr>
      <w:r w:rsidRPr="00D35FFC">
        <w:rPr>
          <w:noProof/>
          <w:snapToGrid w:val="0"/>
        </w:rPr>
        <w:t>Workload Codes</w:t>
      </w:r>
      <w:r>
        <w:rPr>
          <w:noProof/>
        </w:rPr>
        <w:tab/>
        <w:t>480</w:t>
      </w:r>
    </w:p>
    <w:p w14:paraId="23ADD2E8" w14:textId="77777777" w:rsidR="004E2B6A" w:rsidRDefault="004E2B6A">
      <w:pPr>
        <w:pStyle w:val="Index1"/>
        <w:tabs>
          <w:tab w:val="right" w:leader="dot" w:pos="9350"/>
        </w:tabs>
        <w:rPr>
          <w:noProof/>
        </w:rPr>
      </w:pPr>
      <w:r>
        <w:rPr>
          <w:noProof/>
        </w:rPr>
        <w:t>System Validation</w:t>
      </w:r>
      <w:r>
        <w:rPr>
          <w:noProof/>
        </w:rPr>
        <w:tab/>
        <w:t>467</w:t>
      </w:r>
    </w:p>
    <w:p w14:paraId="5E80D3F7" w14:textId="77777777" w:rsidR="004E2B6A" w:rsidRDefault="004E2B6A">
      <w:pPr>
        <w:pStyle w:val="IndexHeading"/>
        <w:keepNext/>
        <w:tabs>
          <w:tab w:val="right" w:leader="dot" w:pos="9350"/>
        </w:tabs>
        <w:rPr>
          <w:rFonts w:asciiTheme="minorHAnsi" w:eastAsiaTheme="minorEastAsia" w:hAnsiTheme="minorHAnsi" w:cstheme="minorBidi"/>
          <w:b w:val="0"/>
          <w:bCs w:val="0"/>
          <w:noProof/>
        </w:rPr>
      </w:pPr>
      <w:r>
        <w:rPr>
          <w:noProof/>
        </w:rPr>
        <w:t>T</w:t>
      </w:r>
    </w:p>
    <w:p w14:paraId="0F5081BA" w14:textId="77777777" w:rsidR="004E2B6A" w:rsidRDefault="004E2B6A">
      <w:pPr>
        <w:pStyle w:val="Index1"/>
        <w:tabs>
          <w:tab w:val="right" w:leader="dot" w:pos="9350"/>
        </w:tabs>
        <w:rPr>
          <w:noProof/>
        </w:rPr>
      </w:pPr>
      <w:r>
        <w:rPr>
          <w:noProof/>
        </w:rPr>
        <w:t>Tables</w:t>
      </w:r>
    </w:p>
    <w:p w14:paraId="1E8D6BA1" w14:textId="77777777" w:rsidR="004E2B6A" w:rsidRDefault="004E2B6A">
      <w:pPr>
        <w:pStyle w:val="Index2"/>
        <w:tabs>
          <w:tab w:val="right" w:leader="dot" w:pos="9350"/>
        </w:tabs>
        <w:rPr>
          <w:noProof/>
        </w:rPr>
      </w:pPr>
      <w:r>
        <w:rPr>
          <w:noProof/>
        </w:rPr>
        <w:t>Alerts That May Occur in Issue Blood Components (Emergency)</w:t>
      </w:r>
      <w:r>
        <w:rPr>
          <w:noProof/>
        </w:rPr>
        <w:tab/>
        <w:t>206</w:t>
      </w:r>
    </w:p>
    <w:p w14:paraId="3266B5AA" w14:textId="77777777" w:rsidR="004E2B6A" w:rsidRDefault="004E2B6A">
      <w:pPr>
        <w:pStyle w:val="Index2"/>
        <w:tabs>
          <w:tab w:val="right" w:leader="dot" w:pos="9350"/>
        </w:tabs>
        <w:rPr>
          <w:noProof/>
        </w:rPr>
      </w:pPr>
      <w:r>
        <w:rPr>
          <w:noProof/>
        </w:rPr>
        <w:t>Alerts That May Occur in Issue Blood Components (Routine)</w:t>
      </w:r>
      <w:r>
        <w:rPr>
          <w:noProof/>
        </w:rPr>
        <w:tab/>
        <w:t>204</w:t>
      </w:r>
    </w:p>
    <w:p w14:paraId="2953FAC0" w14:textId="77777777" w:rsidR="004E2B6A" w:rsidRDefault="004E2B6A">
      <w:pPr>
        <w:pStyle w:val="Index2"/>
        <w:tabs>
          <w:tab w:val="right" w:leader="dot" w:pos="9350"/>
        </w:tabs>
        <w:rPr>
          <w:noProof/>
        </w:rPr>
      </w:pPr>
      <w:r>
        <w:rPr>
          <w:noProof/>
        </w:rPr>
        <w:t>Alerts That May Occur in Modify Units</w:t>
      </w:r>
      <w:r>
        <w:rPr>
          <w:noProof/>
        </w:rPr>
        <w:tab/>
        <w:t>155</w:t>
      </w:r>
    </w:p>
    <w:p w14:paraId="15C74FE0" w14:textId="77777777" w:rsidR="004E2B6A" w:rsidRDefault="004E2B6A">
      <w:pPr>
        <w:pStyle w:val="Index2"/>
        <w:tabs>
          <w:tab w:val="right" w:leader="dot" w:pos="9350"/>
        </w:tabs>
        <w:rPr>
          <w:noProof/>
        </w:rPr>
      </w:pPr>
      <w:r>
        <w:rPr>
          <w:noProof/>
        </w:rPr>
        <w:lastRenderedPageBreak/>
        <w:t>Alerts That May Occur in Patient Testing - General Instructions</w:t>
      </w:r>
      <w:r>
        <w:rPr>
          <w:noProof/>
        </w:rPr>
        <w:tab/>
        <w:t>275</w:t>
      </w:r>
    </w:p>
    <w:p w14:paraId="1A4FF9BA" w14:textId="77777777" w:rsidR="004E2B6A" w:rsidRDefault="004E2B6A">
      <w:pPr>
        <w:pStyle w:val="Index2"/>
        <w:tabs>
          <w:tab w:val="right" w:leader="dot" w:pos="9350"/>
        </w:tabs>
        <w:rPr>
          <w:noProof/>
        </w:rPr>
      </w:pPr>
      <w:r>
        <w:rPr>
          <w:noProof/>
        </w:rPr>
        <w:t>Alerts That May Occur in Print Unit Caution Tag &amp; Transfusion Record Form</w:t>
      </w:r>
      <w:r>
        <w:rPr>
          <w:noProof/>
        </w:rPr>
        <w:tab/>
        <w:t>222</w:t>
      </w:r>
    </w:p>
    <w:p w14:paraId="092C14A3" w14:textId="77777777" w:rsidR="004E2B6A" w:rsidRDefault="004E2B6A">
      <w:pPr>
        <w:pStyle w:val="Index2"/>
        <w:tabs>
          <w:tab w:val="right" w:leader="dot" w:pos="9350"/>
        </w:tabs>
        <w:rPr>
          <w:noProof/>
        </w:rPr>
      </w:pPr>
      <w:r>
        <w:rPr>
          <w:noProof/>
        </w:rPr>
        <w:t>Alerts That May Occur in Select Units</w:t>
      </w:r>
      <w:r>
        <w:rPr>
          <w:noProof/>
        </w:rPr>
        <w:tab/>
        <w:t>191</w:t>
      </w:r>
    </w:p>
    <w:p w14:paraId="7B20704D" w14:textId="77777777" w:rsidR="004E2B6A" w:rsidRDefault="004E2B6A">
      <w:pPr>
        <w:pStyle w:val="Index2"/>
        <w:tabs>
          <w:tab w:val="right" w:leader="dot" w:pos="9350"/>
        </w:tabs>
        <w:rPr>
          <w:noProof/>
        </w:rPr>
      </w:pPr>
      <w:r>
        <w:rPr>
          <w:noProof/>
        </w:rPr>
        <w:t>Antibody and Antigen Table, Database Conversion</w:t>
      </w:r>
      <w:r>
        <w:rPr>
          <w:noProof/>
        </w:rPr>
        <w:tab/>
        <w:t>413</w:t>
      </w:r>
    </w:p>
    <w:p w14:paraId="268137EE" w14:textId="77777777" w:rsidR="004E2B6A" w:rsidRDefault="004E2B6A">
      <w:pPr>
        <w:pStyle w:val="Index2"/>
        <w:tabs>
          <w:tab w:val="right" w:leader="dot" w:pos="9350"/>
        </w:tabs>
        <w:rPr>
          <w:noProof/>
        </w:rPr>
      </w:pPr>
      <w:r>
        <w:rPr>
          <w:noProof/>
        </w:rPr>
        <w:t>Antibody and Antigen Table, Irregular Antibodies</w:t>
      </w:r>
      <w:r>
        <w:rPr>
          <w:noProof/>
        </w:rPr>
        <w:tab/>
        <w:t>410</w:t>
      </w:r>
    </w:p>
    <w:p w14:paraId="464B65F9" w14:textId="77777777" w:rsidR="004E2B6A" w:rsidRDefault="004E2B6A">
      <w:pPr>
        <w:pStyle w:val="Index2"/>
        <w:tabs>
          <w:tab w:val="right" w:leader="dot" w:pos="9350"/>
        </w:tabs>
        <w:rPr>
          <w:noProof/>
        </w:rPr>
      </w:pPr>
      <w:r>
        <w:rPr>
          <w:noProof/>
        </w:rPr>
        <w:t>Antibody Screen Test Interpretation</w:t>
      </w:r>
      <w:r>
        <w:rPr>
          <w:noProof/>
        </w:rPr>
        <w:tab/>
        <w:t>414</w:t>
      </w:r>
    </w:p>
    <w:p w14:paraId="5593EA5B" w14:textId="77777777" w:rsidR="004E2B6A" w:rsidRDefault="004E2B6A">
      <w:pPr>
        <w:pStyle w:val="Index2"/>
        <w:tabs>
          <w:tab w:val="right" w:leader="dot" w:pos="9350"/>
        </w:tabs>
        <w:rPr>
          <w:noProof/>
        </w:rPr>
      </w:pPr>
      <w:r>
        <w:rPr>
          <w:noProof/>
        </w:rPr>
        <w:t>BCE COTS Message Updates</w:t>
      </w:r>
      <w:r>
        <w:rPr>
          <w:noProof/>
        </w:rPr>
        <w:tab/>
        <w:t>433</w:t>
      </w:r>
    </w:p>
    <w:p w14:paraId="26928A4A" w14:textId="77777777" w:rsidR="004E2B6A" w:rsidRDefault="004E2B6A">
      <w:pPr>
        <w:pStyle w:val="Index2"/>
        <w:tabs>
          <w:tab w:val="right" w:leader="dot" w:pos="9350"/>
        </w:tabs>
        <w:rPr>
          <w:noProof/>
        </w:rPr>
      </w:pPr>
      <w:r>
        <w:rPr>
          <w:noProof/>
        </w:rPr>
        <w:t>Blood Products Worksheet</w:t>
      </w:r>
      <w:r>
        <w:rPr>
          <w:noProof/>
        </w:rPr>
        <w:tab/>
        <w:t>475</w:t>
      </w:r>
    </w:p>
    <w:p w14:paraId="5ECFFB91" w14:textId="77777777" w:rsidR="004E2B6A" w:rsidRDefault="004E2B6A">
      <w:pPr>
        <w:pStyle w:val="Index2"/>
        <w:tabs>
          <w:tab w:val="right" w:leader="dot" w:pos="9350"/>
        </w:tabs>
        <w:rPr>
          <w:noProof/>
        </w:rPr>
      </w:pPr>
      <w:r w:rsidRPr="00D35FFC">
        <w:rPr>
          <w:rFonts w:ascii="Arial" w:hAnsi="Arial" w:cs="Arial"/>
          <w:noProof/>
        </w:rPr>
        <w:t>Canned Comment Category Types and Text</w:t>
      </w:r>
      <w:r>
        <w:rPr>
          <w:noProof/>
        </w:rPr>
        <w:tab/>
        <w:t>414</w:t>
      </w:r>
    </w:p>
    <w:p w14:paraId="6BF2DCD7" w14:textId="77777777" w:rsidR="004E2B6A" w:rsidRDefault="004E2B6A">
      <w:pPr>
        <w:pStyle w:val="Index2"/>
        <w:tabs>
          <w:tab w:val="right" w:leader="dot" w:pos="9350"/>
        </w:tabs>
        <w:rPr>
          <w:noProof/>
        </w:rPr>
      </w:pPr>
      <w:r>
        <w:rPr>
          <w:noProof/>
        </w:rPr>
        <w:t>Canned Comment Category vs Option</w:t>
      </w:r>
      <w:r>
        <w:rPr>
          <w:noProof/>
        </w:rPr>
        <w:tab/>
        <w:t>419</w:t>
      </w:r>
    </w:p>
    <w:p w14:paraId="5F0F04E9" w14:textId="77777777" w:rsidR="004E2B6A" w:rsidRDefault="004E2B6A">
      <w:pPr>
        <w:pStyle w:val="Index2"/>
        <w:tabs>
          <w:tab w:val="right" w:leader="dot" w:pos="9350"/>
        </w:tabs>
        <w:rPr>
          <w:noProof/>
        </w:rPr>
      </w:pPr>
      <w:r>
        <w:rPr>
          <w:noProof/>
        </w:rPr>
        <w:t>Component Class Requirements Worksheet</w:t>
      </w:r>
      <w:r>
        <w:rPr>
          <w:noProof/>
        </w:rPr>
        <w:tab/>
        <w:t>477</w:t>
      </w:r>
    </w:p>
    <w:p w14:paraId="5E3C528F" w14:textId="77777777" w:rsidR="004E2B6A" w:rsidRDefault="004E2B6A">
      <w:pPr>
        <w:pStyle w:val="Index2"/>
        <w:tabs>
          <w:tab w:val="right" w:leader="dot" w:pos="9350"/>
        </w:tabs>
        <w:rPr>
          <w:noProof/>
        </w:rPr>
      </w:pPr>
      <w:r>
        <w:rPr>
          <w:noProof/>
        </w:rPr>
        <w:t>CPRS Orderable Blood Components (Component Classes) Mapped to ICCBBA Component Classes</w:t>
      </w:r>
      <w:r>
        <w:rPr>
          <w:noProof/>
        </w:rPr>
        <w:tab/>
        <w:t>420</w:t>
      </w:r>
    </w:p>
    <w:p w14:paraId="4B3811B7" w14:textId="77777777" w:rsidR="004E2B6A" w:rsidRDefault="004E2B6A">
      <w:pPr>
        <w:pStyle w:val="Index2"/>
        <w:tabs>
          <w:tab w:val="right" w:leader="dot" w:pos="9350"/>
        </w:tabs>
        <w:rPr>
          <w:noProof/>
        </w:rPr>
      </w:pPr>
      <w:r>
        <w:rPr>
          <w:noProof/>
        </w:rPr>
        <w:t>Crossmatch Interpretations for Print Unit Caution Tag &amp; Transfusion Record Form</w:t>
      </w:r>
      <w:r>
        <w:rPr>
          <w:noProof/>
        </w:rPr>
        <w:tab/>
        <w:t>289</w:t>
      </w:r>
    </w:p>
    <w:p w14:paraId="410C642F" w14:textId="77777777" w:rsidR="004E2B6A" w:rsidRDefault="004E2B6A">
      <w:pPr>
        <w:pStyle w:val="Index2"/>
        <w:tabs>
          <w:tab w:val="right" w:leader="dot" w:pos="9350"/>
        </w:tabs>
        <w:rPr>
          <w:noProof/>
        </w:rPr>
      </w:pPr>
      <w:r>
        <w:rPr>
          <w:noProof/>
        </w:rPr>
        <w:t>Details in Audit Trail Report</w:t>
      </w:r>
      <w:r>
        <w:rPr>
          <w:noProof/>
        </w:rPr>
        <w:tab/>
        <w:t>420</w:t>
      </w:r>
    </w:p>
    <w:p w14:paraId="136C3C96" w14:textId="77777777" w:rsidR="004E2B6A" w:rsidRDefault="004E2B6A">
      <w:pPr>
        <w:pStyle w:val="Index2"/>
        <w:tabs>
          <w:tab w:val="right" w:leader="dot" w:pos="9350"/>
        </w:tabs>
        <w:rPr>
          <w:noProof/>
        </w:rPr>
      </w:pPr>
      <w:r>
        <w:rPr>
          <w:noProof/>
        </w:rPr>
        <w:t>Details in Exception Report</w:t>
      </w:r>
      <w:r>
        <w:rPr>
          <w:noProof/>
        </w:rPr>
        <w:tab/>
        <w:t>425</w:t>
      </w:r>
    </w:p>
    <w:p w14:paraId="3A5D1458" w14:textId="77777777" w:rsidR="004E2B6A" w:rsidRDefault="004E2B6A">
      <w:pPr>
        <w:pStyle w:val="Index2"/>
        <w:tabs>
          <w:tab w:val="right" w:leader="dot" w:pos="9350"/>
        </w:tabs>
        <w:rPr>
          <w:noProof/>
        </w:rPr>
      </w:pPr>
      <w:r>
        <w:rPr>
          <w:noProof/>
        </w:rPr>
        <w:t>HL7 Tests Accepted by VBECS</w:t>
      </w:r>
      <w:r>
        <w:rPr>
          <w:noProof/>
        </w:rPr>
        <w:tab/>
        <w:t>337</w:t>
      </w:r>
    </w:p>
    <w:p w14:paraId="1FE2433F" w14:textId="77777777" w:rsidR="004E2B6A" w:rsidRDefault="004E2B6A">
      <w:pPr>
        <w:pStyle w:val="Index2"/>
        <w:tabs>
          <w:tab w:val="right" w:leader="dot" w:pos="9350"/>
        </w:tabs>
        <w:rPr>
          <w:noProof/>
        </w:rPr>
      </w:pPr>
      <w:r>
        <w:rPr>
          <w:noProof/>
        </w:rPr>
        <w:t>Limitations and Restrictions</w:t>
      </w:r>
      <w:r>
        <w:rPr>
          <w:noProof/>
        </w:rPr>
        <w:tab/>
        <w:t>449</w:t>
      </w:r>
    </w:p>
    <w:p w14:paraId="463A821B" w14:textId="77777777" w:rsidR="004E2B6A" w:rsidRDefault="004E2B6A">
      <w:pPr>
        <w:pStyle w:val="Index2"/>
        <w:tabs>
          <w:tab w:val="right" w:leader="dot" w:pos="9350"/>
        </w:tabs>
        <w:rPr>
          <w:noProof/>
        </w:rPr>
      </w:pPr>
      <w:r>
        <w:rPr>
          <w:noProof/>
        </w:rPr>
        <w:t>Local Facilities Worksheet</w:t>
      </w:r>
      <w:r>
        <w:rPr>
          <w:noProof/>
        </w:rPr>
        <w:tab/>
        <w:t>476</w:t>
      </w:r>
    </w:p>
    <w:p w14:paraId="4D9E24D1" w14:textId="77777777" w:rsidR="004E2B6A" w:rsidRDefault="004E2B6A">
      <w:pPr>
        <w:pStyle w:val="Index2"/>
        <w:tabs>
          <w:tab w:val="right" w:leader="dot" w:pos="9350"/>
        </w:tabs>
        <w:rPr>
          <w:noProof/>
        </w:rPr>
      </w:pPr>
      <w:r>
        <w:rPr>
          <w:noProof/>
        </w:rPr>
        <w:t>Modification Types and Costs</w:t>
      </w:r>
      <w:r>
        <w:rPr>
          <w:noProof/>
        </w:rPr>
        <w:tab/>
        <w:t>470</w:t>
      </w:r>
    </w:p>
    <w:p w14:paraId="46F74C0E" w14:textId="77777777" w:rsidR="004E2B6A" w:rsidRDefault="004E2B6A">
      <w:pPr>
        <w:pStyle w:val="Index2"/>
        <w:tabs>
          <w:tab w:val="right" w:leader="dot" w:pos="9350"/>
        </w:tabs>
        <w:rPr>
          <w:noProof/>
        </w:rPr>
      </w:pPr>
      <w:r>
        <w:rPr>
          <w:noProof/>
        </w:rPr>
        <w:t>Orderable Reflex Tests</w:t>
      </w:r>
      <w:r>
        <w:rPr>
          <w:noProof/>
        </w:rPr>
        <w:tab/>
        <w:t>517</w:t>
      </w:r>
    </w:p>
    <w:p w14:paraId="182D7EAB" w14:textId="77777777" w:rsidR="004E2B6A" w:rsidRDefault="004E2B6A">
      <w:pPr>
        <w:pStyle w:val="Index2"/>
        <w:tabs>
          <w:tab w:val="right" w:leader="dot" w:pos="9350"/>
        </w:tabs>
        <w:rPr>
          <w:noProof/>
        </w:rPr>
      </w:pPr>
      <w:r>
        <w:rPr>
          <w:noProof/>
        </w:rPr>
        <w:t>Recommended Exportable Formats for Reports</w:t>
      </w:r>
      <w:r>
        <w:rPr>
          <w:noProof/>
        </w:rPr>
        <w:tab/>
        <w:t>20</w:t>
      </w:r>
    </w:p>
    <w:p w14:paraId="246127D6" w14:textId="77777777" w:rsidR="004E2B6A" w:rsidRDefault="004E2B6A">
      <w:pPr>
        <w:pStyle w:val="Index2"/>
        <w:tabs>
          <w:tab w:val="right" w:leader="dot" w:pos="9350"/>
        </w:tabs>
        <w:rPr>
          <w:noProof/>
        </w:rPr>
      </w:pPr>
      <w:r>
        <w:rPr>
          <w:noProof/>
        </w:rPr>
        <w:t>Recommended Report Usage</w:t>
      </w:r>
      <w:r>
        <w:rPr>
          <w:noProof/>
        </w:rPr>
        <w:tab/>
        <w:t>497</w:t>
      </w:r>
    </w:p>
    <w:p w14:paraId="3E41FBAF" w14:textId="77777777" w:rsidR="004E2B6A" w:rsidRDefault="004E2B6A">
      <w:pPr>
        <w:pStyle w:val="Index2"/>
        <w:tabs>
          <w:tab w:val="right" w:leader="dot" w:pos="9350"/>
        </w:tabs>
        <w:rPr>
          <w:noProof/>
        </w:rPr>
      </w:pPr>
      <w:r>
        <w:rPr>
          <w:noProof/>
        </w:rPr>
        <w:t>Rules for Electronic and Serologic Crossmatch</w:t>
      </w:r>
      <w:r>
        <w:rPr>
          <w:noProof/>
        </w:rPr>
        <w:tab/>
        <w:t>429</w:t>
      </w:r>
    </w:p>
    <w:p w14:paraId="0461323C" w14:textId="77777777" w:rsidR="004E2B6A" w:rsidRDefault="004E2B6A">
      <w:pPr>
        <w:pStyle w:val="Index2"/>
        <w:tabs>
          <w:tab w:val="right" w:leader="dot" w:pos="9350"/>
        </w:tabs>
        <w:rPr>
          <w:noProof/>
        </w:rPr>
      </w:pPr>
      <w:r>
        <w:rPr>
          <w:noProof/>
        </w:rPr>
        <w:t>Sample Blood Products Worksheet</w:t>
      </w:r>
      <w:r>
        <w:rPr>
          <w:noProof/>
        </w:rPr>
        <w:tab/>
        <w:t>475</w:t>
      </w:r>
    </w:p>
    <w:p w14:paraId="1FD0CA1E" w14:textId="77777777" w:rsidR="004E2B6A" w:rsidRDefault="004E2B6A">
      <w:pPr>
        <w:pStyle w:val="Index2"/>
        <w:tabs>
          <w:tab w:val="right" w:leader="dot" w:pos="9350"/>
        </w:tabs>
        <w:rPr>
          <w:noProof/>
        </w:rPr>
      </w:pPr>
      <w:r>
        <w:rPr>
          <w:noProof/>
        </w:rPr>
        <w:t>Sample Local Facilities Worksheet</w:t>
      </w:r>
      <w:r>
        <w:rPr>
          <w:noProof/>
        </w:rPr>
        <w:tab/>
        <w:t>476</w:t>
      </w:r>
    </w:p>
    <w:p w14:paraId="27E69BB8" w14:textId="77777777" w:rsidR="004E2B6A" w:rsidRDefault="004E2B6A">
      <w:pPr>
        <w:pStyle w:val="Index2"/>
        <w:tabs>
          <w:tab w:val="right" w:leader="dot" w:pos="9350"/>
        </w:tabs>
        <w:rPr>
          <w:noProof/>
        </w:rPr>
      </w:pPr>
      <w:r>
        <w:rPr>
          <w:noProof/>
        </w:rPr>
        <w:t>Transfusion Complications Worksheet</w:t>
      </w:r>
      <w:r>
        <w:rPr>
          <w:noProof/>
        </w:rPr>
        <w:tab/>
        <w:t>478</w:t>
      </w:r>
    </w:p>
    <w:p w14:paraId="54F0ABDF" w14:textId="77777777" w:rsidR="004E2B6A" w:rsidRDefault="004E2B6A">
      <w:pPr>
        <w:pStyle w:val="Index2"/>
        <w:tabs>
          <w:tab w:val="right" w:leader="dot" w:pos="9350"/>
        </w:tabs>
        <w:rPr>
          <w:noProof/>
        </w:rPr>
      </w:pPr>
      <w:r>
        <w:rPr>
          <w:noProof/>
        </w:rPr>
        <w:t>Transfusion Effectiveness Worksheet</w:t>
      </w:r>
      <w:r>
        <w:rPr>
          <w:noProof/>
        </w:rPr>
        <w:tab/>
        <w:t>479</w:t>
      </w:r>
    </w:p>
    <w:p w14:paraId="2FFE7589" w14:textId="77777777" w:rsidR="004E2B6A" w:rsidRDefault="004E2B6A">
      <w:pPr>
        <w:pStyle w:val="Index2"/>
        <w:tabs>
          <w:tab w:val="right" w:leader="dot" w:pos="9350"/>
        </w:tabs>
        <w:rPr>
          <w:noProof/>
        </w:rPr>
      </w:pPr>
      <w:r>
        <w:rPr>
          <w:noProof/>
        </w:rPr>
        <w:t>Transfusion Reaction Types</w:t>
      </w:r>
      <w:r>
        <w:rPr>
          <w:noProof/>
        </w:rPr>
        <w:tab/>
        <w:t>314</w:t>
      </w:r>
    </w:p>
    <w:p w14:paraId="4FEFD558" w14:textId="77777777" w:rsidR="004E2B6A" w:rsidRDefault="004E2B6A">
      <w:pPr>
        <w:pStyle w:val="Index2"/>
        <w:tabs>
          <w:tab w:val="right" w:leader="dot" w:pos="9350"/>
        </w:tabs>
        <w:rPr>
          <w:noProof/>
        </w:rPr>
      </w:pPr>
      <w:r>
        <w:rPr>
          <w:noProof/>
        </w:rPr>
        <w:t>User Roles and Functions</w:t>
      </w:r>
      <w:r>
        <w:rPr>
          <w:noProof/>
        </w:rPr>
        <w:tab/>
        <w:t>10</w:t>
      </w:r>
    </w:p>
    <w:p w14:paraId="3ED8833C" w14:textId="77777777" w:rsidR="004E2B6A" w:rsidRDefault="004E2B6A">
      <w:pPr>
        <w:pStyle w:val="Index2"/>
        <w:tabs>
          <w:tab w:val="right" w:leader="dot" w:pos="9350"/>
        </w:tabs>
        <w:rPr>
          <w:noProof/>
        </w:rPr>
      </w:pPr>
      <w:r>
        <w:rPr>
          <w:noProof/>
        </w:rPr>
        <w:t>User-Defined Antigen Negative Requirements</w:t>
      </w:r>
      <w:r>
        <w:rPr>
          <w:noProof/>
        </w:rPr>
        <w:tab/>
        <w:t>481</w:t>
      </w:r>
    </w:p>
    <w:p w14:paraId="132F6EB7" w14:textId="77777777" w:rsidR="004E2B6A" w:rsidRDefault="004E2B6A">
      <w:pPr>
        <w:pStyle w:val="Index2"/>
        <w:tabs>
          <w:tab w:val="right" w:leader="dot" w:pos="9350"/>
        </w:tabs>
        <w:rPr>
          <w:noProof/>
        </w:rPr>
      </w:pPr>
      <w:r>
        <w:rPr>
          <w:noProof/>
        </w:rPr>
        <w:t>Valid Interpretations</w:t>
      </w:r>
      <w:r>
        <w:rPr>
          <w:noProof/>
        </w:rPr>
        <w:tab/>
        <w:t>132</w:t>
      </w:r>
    </w:p>
    <w:p w14:paraId="1DB714C3" w14:textId="77777777" w:rsidR="004E2B6A" w:rsidRDefault="004E2B6A">
      <w:pPr>
        <w:pStyle w:val="Index2"/>
        <w:tabs>
          <w:tab w:val="right" w:leader="dot" w:pos="9350"/>
        </w:tabs>
        <w:rPr>
          <w:noProof/>
        </w:rPr>
      </w:pPr>
      <w:r>
        <w:rPr>
          <w:noProof/>
        </w:rPr>
        <w:t>Valid Observed Test Results Entries</w:t>
      </w:r>
      <w:r>
        <w:rPr>
          <w:noProof/>
        </w:rPr>
        <w:tab/>
        <w:t>19</w:t>
      </w:r>
    </w:p>
    <w:p w14:paraId="13A42BBF" w14:textId="77777777" w:rsidR="004E2B6A" w:rsidRDefault="004E2B6A">
      <w:pPr>
        <w:pStyle w:val="Index2"/>
        <w:tabs>
          <w:tab w:val="right" w:leader="dot" w:pos="9350"/>
        </w:tabs>
        <w:rPr>
          <w:noProof/>
        </w:rPr>
      </w:pPr>
      <w:r>
        <w:rPr>
          <w:noProof/>
        </w:rPr>
        <w:t>VBECS Maximum Surgical Blood Order Schedule (MSBOS)</w:t>
      </w:r>
      <w:r>
        <w:rPr>
          <w:noProof/>
        </w:rPr>
        <w:tab/>
        <w:t>432</w:t>
      </w:r>
    </w:p>
    <w:p w14:paraId="1C2F0CFD" w14:textId="77777777" w:rsidR="004E2B6A" w:rsidRDefault="004E2B6A">
      <w:pPr>
        <w:pStyle w:val="Index2"/>
        <w:tabs>
          <w:tab w:val="right" w:leader="dot" w:pos="9350"/>
        </w:tabs>
        <w:rPr>
          <w:noProof/>
        </w:rPr>
      </w:pPr>
      <w:r>
        <w:rPr>
          <w:noProof/>
        </w:rPr>
        <w:t>Workload Process Mapping to Application Option</w:t>
      </w:r>
      <w:r>
        <w:rPr>
          <w:noProof/>
        </w:rPr>
        <w:tab/>
        <w:t>509</w:t>
      </w:r>
    </w:p>
    <w:p w14:paraId="54120E24" w14:textId="77777777" w:rsidR="004E2B6A" w:rsidRDefault="004E2B6A">
      <w:pPr>
        <w:pStyle w:val="Index1"/>
        <w:tabs>
          <w:tab w:val="right" w:leader="dot" w:pos="9350"/>
        </w:tabs>
        <w:rPr>
          <w:noProof/>
        </w:rPr>
      </w:pPr>
      <w:r>
        <w:rPr>
          <w:noProof/>
        </w:rPr>
        <w:t>Terms</w:t>
      </w:r>
      <w:r>
        <w:rPr>
          <w:noProof/>
        </w:rPr>
        <w:tab/>
        <w:t>8</w:t>
      </w:r>
    </w:p>
    <w:p w14:paraId="53B558D0" w14:textId="77777777" w:rsidR="004E2B6A" w:rsidRDefault="004E2B6A">
      <w:pPr>
        <w:pStyle w:val="Index1"/>
        <w:tabs>
          <w:tab w:val="right" w:leader="dot" w:pos="9350"/>
        </w:tabs>
        <w:rPr>
          <w:noProof/>
        </w:rPr>
      </w:pPr>
      <w:r>
        <w:rPr>
          <w:noProof/>
        </w:rPr>
        <w:t>Test Units</w:t>
      </w:r>
      <w:r>
        <w:rPr>
          <w:noProof/>
        </w:rPr>
        <w:tab/>
        <w:t>130</w:t>
      </w:r>
    </w:p>
    <w:p w14:paraId="6F1D0651" w14:textId="77777777" w:rsidR="004E2B6A" w:rsidRDefault="004E2B6A">
      <w:pPr>
        <w:pStyle w:val="Index1"/>
        <w:tabs>
          <w:tab w:val="right" w:leader="dot" w:pos="9350"/>
        </w:tabs>
        <w:rPr>
          <w:noProof/>
        </w:rPr>
      </w:pPr>
      <w:r>
        <w:rPr>
          <w:noProof/>
        </w:rPr>
        <w:t>Testing</w:t>
      </w:r>
      <w:r>
        <w:rPr>
          <w:noProof/>
        </w:rPr>
        <w:tab/>
        <w:t>18</w:t>
      </w:r>
    </w:p>
    <w:p w14:paraId="47883AB3" w14:textId="77777777" w:rsidR="004E2B6A" w:rsidRDefault="004E2B6A">
      <w:pPr>
        <w:pStyle w:val="Index1"/>
        <w:tabs>
          <w:tab w:val="right" w:leader="dot" w:pos="9350"/>
        </w:tabs>
        <w:rPr>
          <w:noProof/>
        </w:rPr>
      </w:pPr>
      <w:r>
        <w:rPr>
          <w:noProof/>
        </w:rPr>
        <w:t>Throughout VBECS</w:t>
      </w:r>
      <w:r>
        <w:rPr>
          <w:noProof/>
        </w:rPr>
        <w:tab/>
        <w:t>41</w:t>
      </w:r>
    </w:p>
    <w:p w14:paraId="5040C6CF" w14:textId="77777777" w:rsidR="004E2B6A" w:rsidRDefault="004E2B6A">
      <w:pPr>
        <w:pStyle w:val="Index1"/>
        <w:tabs>
          <w:tab w:val="right" w:leader="dot" w:pos="9350"/>
        </w:tabs>
        <w:rPr>
          <w:noProof/>
        </w:rPr>
      </w:pPr>
      <w:r>
        <w:rPr>
          <w:noProof/>
        </w:rPr>
        <w:t>Tool Tips</w:t>
      </w:r>
      <w:r>
        <w:rPr>
          <w:noProof/>
        </w:rPr>
        <w:tab/>
        <w:t>33</w:t>
      </w:r>
    </w:p>
    <w:p w14:paraId="6017CE9C" w14:textId="77777777" w:rsidR="004E2B6A" w:rsidRDefault="004E2B6A">
      <w:pPr>
        <w:pStyle w:val="Index1"/>
        <w:tabs>
          <w:tab w:val="right" w:leader="dot" w:pos="9350"/>
        </w:tabs>
        <w:rPr>
          <w:noProof/>
        </w:rPr>
      </w:pPr>
      <w:r>
        <w:rPr>
          <w:noProof/>
        </w:rPr>
        <w:t>Toolbars</w:t>
      </w:r>
      <w:r>
        <w:rPr>
          <w:noProof/>
        </w:rPr>
        <w:tab/>
        <w:t>34</w:t>
      </w:r>
    </w:p>
    <w:p w14:paraId="0C5E2798" w14:textId="77777777" w:rsidR="004E2B6A" w:rsidRDefault="004E2B6A">
      <w:pPr>
        <w:pStyle w:val="Index1"/>
        <w:tabs>
          <w:tab w:val="right" w:leader="dot" w:pos="9350"/>
        </w:tabs>
        <w:rPr>
          <w:noProof/>
        </w:rPr>
      </w:pPr>
      <w:r>
        <w:rPr>
          <w:noProof/>
        </w:rPr>
        <w:t>Transfusion Complications Report</w:t>
      </w:r>
      <w:r>
        <w:rPr>
          <w:noProof/>
        </w:rPr>
        <w:tab/>
        <w:t>378</w:t>
      </w:r>
    </w:p>
    <w:p w14:paraId="13219B6F" w14:textId="77777777" w:rsidR="004E2B6A" w:rsidRDefault="004E2B6A">
      <w:pPr>
        <w:pStyle w:val="Index1"/>
        <w:tabs>
          <w:tab w:val="right" w:leader="dot" w:pos="9350"/>
        </w:tabs>
        <w:rPr>
          <w:noProof/>
        </w:rPr>
      </w:pPr>
      <w:r>
        <w:rPr>
          <w:noProof/>
        </w:rPr>
        <w:t>Transfusion Effectiveness</w:t>
      </w:r>
      <w:r>
        <w:rPr>
          <w:noProof/>
        </w:rPr>
        <w:tab/>
        <w:t>74</w:t>
      </w:r>
    </w:p>
    <w:p w14:paraId="0B54A10F" w14:textId="77777777" w:rsidR="004E2B6A" w:rsidRDefault="004E2B6A">
      <w:pPr>
        <w:pStyle w:val="Index1"/>
        <w:tabs>
          <w:tab w:val="right" w:leader="dot" w:pos="9350"/>
        </w:tabs>
        <w:rPr>
          <w:noProof/>
        </w:rPr>
      </w:pPr>
      <w:r>
        <w:rPr>
          <w:noProof/>
        </w:rPr>
        <w:t>Transfusion Effectiveness Report</w:t>
      </w:r>
      <w:r>
        <w:rPr>
          <w:noProof/>
        </w:rPr>
        <w:tab/>
        <w:t>380</w:t>
      </w:r>
    </w:p>
    <w:p w14:paraId="48B3649C" w14:textId="77777777" w:rsidR="004E2B6A" w:rsidRDefault="004E2B6A">
      <w:pPr>
        <w:pStyle w:val="Index1"/>
        <w:tabs>
          <w:tab w:val="right" w:leader="dot" w:pos="9350"/>
        </w:tabs>
        <w:rPr>
          <w:noProof/>
        </w:rPr>
      </w:pPr>
      <w:r>
        <w:rPr>
          <w:noProof/>
        </w:rPr>
        <w:t>Transfusion Reaction Count Report</w:t>
      </w:r>
      <w:r>
        <w:rPr>
          <w:noProof/>
        </w:rPr>
        <w:tab/>
        <w:t>382</w:t>
      </w:r>
    </w:p>
    <w:p w14:paraId="25279C4D" w14:textId="77777777" w:rsidR="004E2B6A" w:rsidRDefault="004E2B6A">
      <w:pPr>
        <w:pStyle w:val="Index1"/>
        <w:tabs>
          <w:tab w:val="right" w:leader="dot" w:pos="9350"/>
        </w:tabs>
        <w:rPr>
          <w:noProof/>
        </w:rPr>
      </w:pPr>
      <w:r>
        <w:rPr>
          <w:noProof/>
        </w:rPr>
        <w:t>Transfusion Requirements Report</w:t>
      </w:r>
      <w:r>
        <w:rPr>
          <w:noProof/>
        </w:rPr>
        <w:tab/>
        <w:t>384</w:t>
      </w:r>
    </w:p>
    <w:p w14:paraId="7BA3F176" w14:textId="77777777" w:rsidR="004E2B6A" w:rsidRDefault="004E2B6A">
      <w:pPr>
        <w:pStyle w:val="IndexHeading"/>
        <w:keepNext/>
        <w:tabs>
          <w:tab w:val="right" w:leader="dot" w:pos="9350"/>
        </w:tabs>
        <w:rPr>
          <w:rFonts w:asciiTheme="minorHAnsi" w:eastAsiaTheme="minorEastAsia" w:hAnsiTheme="minorHAnsi" w:cstheme="minorBidi"/>
          <w:b w:val="0"/>
          <w:bCs w:val="0"/>
          <w:noProof/>
        </w:rPr>
      </w:pPr>
      <w:r>
        <w:rPr>
          <w:noProof/>
        </w:rPr>
        <w:t>U</w:t>
      </w:r>
    </w:p>
    <w:p w14:paraId="5B73449C" w14:textId="77777777" w:rsidR="004E2B6A" w:rsidRDefault="004E2B6A">
      <w:pPr>
        <w:pStyle w:val="Index1"/>
        <w:tabs>
          <w:tab w:val="right" w:leader="dot" w:pos="9350"/>
        </w:tabs>
        <w:rPr>
          <w:noProof/>
        </w:rPr>
      </w:pPr>
      <w:r>
        <w:rPr>
          <w:noProof/>
        </w:rPr>
        <w:t>Unit ABO/Rh Confirmation Form</w:t>
      </w:r>
      <w:r>
        <w:rPr>
          <w:noProof/>
        </w:rPr>
        <w:tab/>
        <w:t>406</w:t>
      </w:r>
    </w:p>
    <w:p w14:paraId="701C018A" w14:textId="77777777" w:rsidR="004E2B6A" w:rsidRDefault="004E2B6A">
      <w:pPr>
        <w:pStyle w:val="Index1"/>
        <w:tabs>
          <w:tab w:val="right" w:leader="dot" w:pos="9350"/>
        </w:tabs>
        <w:rPr>
          <w:noProof/>
        </w:rPr>
      </w:pPr>
      <w:r>
        <w:rPr>
          <w:noProof/>
        </w:rPr>
        <w:t>Unit History Report</w:t>
      </w:r>
      <w:r>
        <w:rPr>
          <w:noProof/>
        </w:rPr>
        <w:tab/>
        <w:t>386</w:t>
      </w:r>
    </w:p>
    <w:p w14:paraId="7D740869" w14:textId="77777777" w:rsidR="004E2B6A" w:rsidRDefault="004E2B6A">
      <w:pPr>
        <w:pStyle w:val="Index1"/>
        <w:tabs>
          <w:tab w:val="right" w:leader="dot" w:pos="9350"/>
        </w:tabs>
        <w:rPr>
          <w:noProof/>
        </w:rPr>
      </w:pPr>
      <w:r>
        <w:rPr>
          <w:noProof/>
        </w:rPr>
        <w:t>Unit Issue and Inspection Log</w:t>
      </w:r>
      <w:r>
        <w:rPr>
          <w:noProof/>
        </w:rPr>
        <w:tab/>
        <w:t>407</w:t>
      </w:r>
    </w:p>
    <w:p w14:paraId="677398F5" w14:textId="77777777" w:rsidR="004E2B6A" w:rsidRDefault="004E2B6A">
      <w:pPr>
        <w:pStyle w:val="Index1"/>
        <w:tabs>
          <w:tab w:val="right" w:leader="dot" w:pos="9350"/>
        </w:tabs>
        <w:rPr>
          <w:noProof/>
        </w:rPr>
      </w:pPr>
      <w:r>
        <w:rPr>
          <w:noProof/>
        </w:rPr>
        <w:t>Unit Modification Form</w:t>
      </w:r>
      <w:r>
        <w:rPr>
          <w:noProof/>
        </w:rPr>
        <w:tab/>
        <w:t>408</w:t>
      </w:r>
    </w:p>
    <w:p w14:paraId="58BFCFBC" w14:textId="77777777" w:rsidR="004E2B6A" w:rsidRDefault="004E2B6A">
      <w:pPr>
        <w:pStyle w:val="Index1"/>
        <w:tabs>
          <w:tab w:val="right" w:leader="dot" w:pos="9350"/>
        </w:tabs>
        <w:rPr>
          <w:noProof/>
        </w:rPr>
      </w:pPr>
      <w:r>
        <w:rPr>
          <w:noProof/>
        </w:rPr>
        <w:t>Unit Search Screen</w:t>
      </w:r>
      <w:r>
        <w:rPr>
          <w:noProof/>
        </w:rPr>
        <w:tab/>
        <w:t>127</w:t>
      </w:r>
    </w:p>
    <w:p w14:paraId="51914C3E" w14:textId="77777777" w:rsidR="004E2B6A" w:rsidRDefault="004E2B6A">
      <w:pPr>
        <w:pStyle w:val="Index1"/>
        <w:tabs>
          <w:tab w:val="right" w:leader="dot" w:pos="9350"/>
        </w:tabs>
        <w:rPr>
          <w:noProof/>
        </w:rPr>
      </w:pPr>
      <w:r>
        <w:rPr>
          <w:noProof/>
        </w:rPr>
        <w:t>Update Reagent Inventory</w:t>
      </w:r>
      <w:r>
        <w:rPr>
          <w:noProof/>
        </w:rPr>
        <w:tab/>
        <w:t>92</w:t>
      </w:r>
    </w:p>
    <w:p w14:paraId="4E26C468" w14:textId="77777777" w:rsidR="004E2B6A" w:rsidRDefault="004E2B6A">
      <w:pPr>
        <w:pStyle w:val="Index1"/>
        <w:tabs>
          <w:tab w:val="right" w:leader="dot" w:pos="9350"/>
        </w:tabs>
        <w:rPr>
          <w:noProof/>
        </w:rPr>
      </w:pPr>
      <w:r>
        <w:rPr>
          <w:noProof/>
        </w:rPr>
        <w:t>Update Supply Inventory</w:t>
      </w:r>
      <w:r>
        <w:rPr>
          <w:noProof/>
        </w:rPr>
        <w:tab/>
        <w:t>100</w:t>
      </w:r>
    </w:p>
    <w:p w14:paraId="4049BA79" w14:textId="77777777" w:rsidR="004E2B6A" w:rsidRDefault="004E2B6A">
      <w:pPr>
        <w:pStyle w:val="Index1"/>
        <w:tabs>
          <w:tab w:val="right" w:leader="dot" w:pos="9350"/>
        </w:tabs>
        <w:rPr>
          <w:noProof/>
        </w:rPr>
      </w:pPr>
      <w:r>
        <w:rPr>
          <w:noProof/>
        </w:rPr>
        <w:t>Updated Patients and Deceased Patients</w:t>
      </w:r>
      <w:r>
        <w:rPr>
          <w:noProof/>
        </w:rPr>
        <w:tab/>
        <w:t>270</w:t>
      </w:r>
    </w:p>
    <w:p w14:paraId="678394FD" w14:textId="77777777" w:rsidR="004E2B6A" w:rsidRDefault="004E2B6A">
      <w:pPr>
        <w:pStyle w:val="Index1"/>
        <w:tabs>
          <w:tab w:val="right" w:leader="dot" w:pos="9350"/>
        </w:tabs>
        <w:rPr>
          <w:noProof/>
        </w:rPr>
      </w:pPr>
      <w:r>
        <w:rPr>
          <w:noProof/>
        </w:rPr>
        <w:t>Using the Software</w:t>
      </w:r>
      <w:r>
        <w:rPr>
          <w:noProof/>
        </w:rPr>
        <w:tab/>
        <w:t>13</w:t>
      </w:r>
    </w:p>
    <w:p w14:paraId="3DF7905E" w14:textId="77777777" w:rsidR="004E2B6A" w:rsidRDefault="004E2B6A">
      <w:pPr>
        <w:pStyle w:val="Index1"/>
        <w:tabs>
          <w:tab w:val="right" w:leader="dot" w:pos="9350"/>
        </w:tabs>
        <w:rPr>
          <w:noProof/>
        </w:rPr>
      </w:pPr>
      <w:r>
        <w:rPr>
          <w:noProof/>
        </w:rPr>
        <w:t>Using VBECS</w:t>
      </w:r>
      <w:r>
        <w:rPr>
          <w:noProof/>
        </w:rPr>
        <w:tab/>
        <w:t>22</w:t>
      </w:r>
    </w:p>
    <w:p w14:paraId="5D6A338C" w14:textId="77777777" w:rsidR="004E2B6A" w:rsidRDefault="004E2B6A">
      <w:pPr>
        <w:pStyle w:val="IndexHeading"/>
        <w:keepNext/>
        <w:tabs>
          <w:tab w:val="right" w:leader="dot" w:pos="9350"/>
        </w:tabs>
        <w:rPr>
          <w:rFonts w:asciiTheme="minorHAnsi" w:eastAsiaTheme="minorEastAsia" w:hAnsiTheme="minorHAnsi" w:cstheme="minorBidi"/>
          <w:b w:val="0"/>
          <w:bCs w:val="0"/>
          <w:noProof/>
        </w:rPr>
      </w:pPr>
      <w:r>
        <w:rPr>
          <w:noProof/>
        </w:rPr>
        <w:lastRenderedPageBreak/>
        <w:t>V</w:t>
      </w:r>
    </w:p>
    <w:p w14:paraId="4E48740D" w14:textId="77777777" w:rsidR="004E2B6A" w:rsidRDefault="004E2B6A">
      <w:pPr>
        <w:pStyle w:val="Index1"/>
        <w:tabs>
          <w:tab w:val="right" w:leader="dot" w:pos="9350"/>
        </w:tabs>
        <w:rPr>
          <w:noProof/>
        </w:rPr>
      </w:pPr>
      <w:r>
        <w:rPr>
          <w:noProof/>
        </w:rPr>
        <w:t>VBECS User Report</w:t>
      </w:r>
      <w:r>
        <w:rPr>
          <w:noProof/>
        </w:rPr>
        <w:tab/>
        <w:t>45</w:t>
      </w:r>
    </w:p>
    <w:p w14:paraId="4C98E9AB" w14:textId="77777777" w:rsidR="004E2B6A" w:rsidRDefault="004E2B6A">
      <w:pPr>
        <w:pStyle w:val="Index1"/>
        <w:tabs>
          <w:tab w:val="right" w:leader="dot" w:pos="9350"/>
        </w:tabs>
        <w:rPr>
          <w:noProof/>
        </w:rPr>
      </w:pPr>
      <w:r>
        <w:rPr>
          <w:noProof/>
        </w:rPr>
        <w:t>VBECS Work Flow</w:t>
      </w:r>
      <w:r>
        <w:rPr>
          <w:noProof/>
        </w:rPr>
        <w:tab/>
        <w:t>446</w:t>
      </w:r>
    </w:p>
    <w:p w14:paraId="214921E2" w14:textId="77777777" w:rsidR="004E2B6A" w:rsidRDefault="004E2B6A">
      <w:pPr>
        <w:pStyle w:val="Index1"/>
        <w:tabs>
          <w:tab w:val="right" w:leader="dot" w:pos="9350"/>
        </w:tabs>
        <w:rPr>
          <w:noProof/>
        </w:rPr>
      </w:pPr>
      <w:r>
        <w:rPr>
          <w:noProof/>
        </w:rPr>
        <w:t>View/Print a Finalized Transfusion Reaction Workup Report</w:t>
      </w:r>
      <w:r>
        <w:rPr>
          <w:noProof/>
        </w:rPr>
        <w:tab/>
        <w:t>313</w:t>
      </w:r>
    </w:p>
    <w:p w14:paraId="0DA5B000" w14:textId="77777777" w:rsidR="004E2B6A" w:rsidRDefault="004E2B6A">
      <w:pPr>
        <w:pStyle w:val="Index1"/>
        <w:tabs>
          <w:tab w:val="right" w:leader="dot" w:pos="9350"/>
        </w:tabs>
        <w:rPr>
          <w:noProof/>
        </w:rPr>
      </w:pPr>
      <w:r>
        <w:rPr>
          <w:noProof/>
        </w:rPr>
        <w:t>View/Print Reagent Inventory</w:t>
      </w:r>
      <w:r>
        <w:rPr>
          <w:noProof/>
        </w:rPr>
        <w:tab/>
        <w:t>94</w:t>
      </w:r>
    </w:p>
    <w:p w14:paraId="285D9BC3" w14:textId="77777777" w:rsidR="004E2B6A" w:rsidRDefault="004E2B6A">
      <w:pPr>
        <w:pStyle w:val="Index1"/>
        <w:tabs>
          <w:tab w:val="right" w:leader="dot" w:pos="9350"/>
        </w:tabs>
        <w:rPr>
          <w:noProof/>
        </w:rPr>
      </w:pPr>
      <w:r>
        <w:rPr>
          <w:noProof/>
        </w:rPr>
        <w:t>View/Print Supply Inventory</w:t>
      </w:r>
      <w:r>
        <w:rPr>
          <w:noProof/>
        </w:rPr>
        <w:tab/>
        <w:t>102</w:t>
      </w:r>
    </w:p>
    <w:p w14:paraId="2A2D3E50" w14:textId="77777777" w:rsidR="004E2B6A" w:rsidRDefault="004E2B6A">
      <w:pPr>
        <w:pStyle w:val="Index1"/>
        <w:tabs>
          <w:tab w:val="right" w:leader="dot" w:pos="9350"/>
        </w:tabs>
        <w:rPr>
          <w:noProof/>
        </w:rPr>
      </w:pPr>
      <w:r>
        <w:rPr>
          <w:noProof/>
        </w:rPr>
        <w:t>VistA Records in VBECS</w:t>
      </w:r>
      <w:r>
        <w:rPr>
          <w:noProof/>
        </w:rPr>
        <w:tab/>
        <w:t>23</w:t>
      </w:r>
    </w:p>
    <w:p w14:paraId="24BC5EED" w14:textId="77777777" w:rsidR="004E2B6A" w:rsidRDefault="004E2B6A">
      <w:pPr>
        <w:pStyle w:val="IndexHeading"/>
        <w:keepNext/>
        <w:tabs>
          <w:tab w:val="right" w:leader="dot" w:pos="9350"/>
        </w:tabs>
        <w:rPr>
          <w:rFonts w:asciiTheme="minorHAnsi" w:eastAsiaTheme="minorEastAsia" w:hAnsiTheme="minorHAnsi" w:cstheme="minorBidi"/>
          <w:b w:val="0"/>
          <w:bCs w:val="0"/>
          <w:noProof/>
        </w:rPr>
      </w:pPr>
      <w:r>
        <w:rPr>
          <w:noProof/>
        </w:rPr>
        <w:t>W</w:t>
      </w:r>
    </w:p>
    <w:p w14:paraId="69927819" w14:textId="77777777" w:rsidR="004E2B6A" w:rsidRDefault="004E2B6A">
      <w:pPr>
        <w:pStyle w:val="Index1"/>
        <w:tabs>
          <w:tab w:val="right" w:leader="dot" w:pos="9350"/>
        </w:tabs>
        <w:rPr>
          <w:noProof/>
        </w:rPr>
      </w:pPr>
      <w:r>
        <w:rPr>
          <w:noProof/>
        </w:rPr>
        <w:t>Work Process Flowcharts</w:t>
      </w:r>
      <w:r>
        <w:rPr>
          <w:noProof/>
        </w:rPr>
        <w:tab/>
        <w:t>484</w:t>
      </w:r>
    </w:p>
    <w:p w14:paraId="3316344B" w14:textId="77777777" w:rsidR="004E2B6A" w:rsidRDefault="004E2B6A">
      <w:pPr>
        <w:pStyle w:val="Index1"/>
        <w:tabs>
          <w:tab w:val="right" w:leader="dot" w:pos="9350"/>
        </w:tabs>
        <w:rPr>
          <w:noProof/>
        </w:rPr>
      </w:pPr>
      <w:r>
        <w:rPr>
          <w:noProof/>
        </w:rPr>
        <w:t>Working with Data</w:t>
      </w:r>
      <w:r>
        <w:rPr>
          <w:noProof/>
        </w:rPr>
        <w:tab/>
        <w:t>16</w:t>
      </w:r>
    </w:p>
    <w:p w14:paraId="75E0F995" w14:textId="77777777" w:rsidR="004E2B6A" w:rsidRDefault="004E2B6A">
      <w:pPr>
        <w:pStyle w:val="Index1"/>
        <w:tabs>
          <w:tab w:val="right" w:leader="dot" w:pos="9350"/>
        </w:tabs>
        <w:rPr>
          <w:noProof/>
        </w:rPr>
      </w:pPr>
      <w:r>
        <w:rPr>
          <w:noProof/>
        </w:rPr>
        <w:t>Workload Codes</w:t>
      </w:r>
      <w:r>
        <w:rPr>
          <w:noProof/>
        </w:rPr>
        <w:tab/>
        <w:t>78</w:t>
      </w:r>
    </w:p>
    <w:p w14:paraId="52D3CF40" w14:textId="77777777" w:rsidR="004E2B6A" w:rsidRDefault="004E2B6A">
      <w:pPr>
        <w:pStyle w:val="Index1"/>
        <w:tabs>
          <w:tab w:val="right" w:leader="dot" w:pos="9350"/>
        </w:tabs>
        <w:rPr>
          <w:noProof/>
        </w:rPr>
      </w:pPr>
      <w:r>
        <w:rPr>
          <w:noProof/>
        </w:rPr>
        <w:t>Workload Process Mapping to Application Option Table</w:t>
      </w:r>
      <w:r>
        <w:rPr>
          <w:noProof/>
        </w:rPr>
        <w:tab/>
        <w:t>509</w:t>
      </w:r>
    </w:p>
    <w:p w14:paraId="5417BF14" w14:textId="77777777" w:rsidR="004E2B6A" w:rsidRDefault="004E2B6A" w:rsidP="009C0A99">
      <w:pPr>
        <w:pStyle w:val="BodyText"/>
        <w:jc w:val="center"/>
        <w:rPr>
          <w:rFonts w:ascii="Arial" w:hAnsi="Arial" w:cs="Arial"/>
          <w:b/>
          <w:bCs/>
          <w:noProof/>
          <w:kern w:val="32"/>
        </w:rPr>
        <w:sectPr w:rsidR="004E2B6A" w:rsidSect="004E2B6A">
          <w:type w:val="continuous"/>
          <w:pgSz w:w="12240" w:h="15840" w:code="1"/>
          <w:pgMar w:top="1440" w:right="1440" w:bottom="1440" w:left="1440" w:header="720" w:footer="720" w:gutter="0"/>
          <w:cols w:space="720"/>
          <w:docGrid w:linePitch="360"/>
        </w:sectPr>
      </w:pPr>
    </w:p>
    <w:p w14:paraId="6AE17B98" w14:textId="3AF7EBA4" w:rsidR="00681D23" w:rsidRDefault="00E93F17" w:rsidP="009C0A99">
      <w:pPr>
        <w:pStyle w:val="BodyText"/>
        <w:jc w:val="center"/>
        <w:rPr>
          <w:kern w:val="32"/>
        </w:rPr>
      </w:pPr>
      <w:r w:rsidRPr="00206945">
        <w:rPr>
          <w:kern w:val="32"/>
        </w:rPr>
        <w:fldChar w:fldCharType="end"/>
      </w:r>
    </w:p>
    <w:p w14:paraId="0B73A6F2" w14:textId="2D9A12FB" w:rsidR="00AD2C30" w:rsidRDefault="00F50F30" w:rsidP="00AD2C30">
      <w:pPr>
        <w:pStyle w:val="Heading1"/>
      </w:pPr>
      <w:r>
        <w:t xml:space="preserve"> </w:t>
      </w:r>
      <w:r w:rsidR="00C033C9">
        <w:br w:type="page"/>
      </w:r>
      <w:bookmarkStart w:id="913" w:name="_Toc203766028"/>
      <w:r w:rsidR="00AD2C30">
        <w:lastRenderedPageBreak/>
        <w:t>Revision History</w:t>
      </w:r>
      <w:bookmarkEnd w:id="913"/>
    </w:p>
    <w:tbl>
      <w:tblPr>
        <w:tblW w:w="1018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18"/>
        <w:gridCol w:w="990"/>
        <w:gridCol w:w="7174"/>
        <w:gridCol w:w="1098"/>
      </w:tblGrid>
      <w:tr w:rsidR="00AD2C30" w14:paraId="05CEA33E" w14:textId="77777777" w:rsidTr="00736D67">
        <w:trPr>
          <w:trHeight w:val="403"/>
          <w:tblHeader/>
        </w:trPr>
        <w:tc>
          <w:tcPr>
            <w:tcW w:w="918" w:type="dxa"/>
            <w:tcBorders>
              <w:bottom w:val="single" w:sz="6" w:space="0" w:color="auto"/>
            </w:tcBorders>
            <w:shd w:val="clear" w:color="auto" w:fill="B3B3B3"/>
            <w:vAlign w:val="bottom"/>
          </w:tcPr>
          <w:p w14:paraId="6ED83BDF" w14:textId="77777777" w:rsidR="00AD2C30" w:rsidRDefault="00AD2C30" w:rsidP="00237FB5">
            <w:pPr>
              <w:pStyle w:val="TableText"/>
              <w:rPr>
                <w:b/>
                <w:u w:val="single"/>
              </w:rPr>
            </w:pPr>
            <w:r>
              <w:rPr>
                <w:b/>
              </w:rPr>
              <w:t>Date</w:t>
            </w:r>
          </w:p>
        </w:tc>
        <w:tc>
          <w:tcPr>
            <w:tcW w:w="990" w:type="dxa"/>
            <w:tcBorders>
              <w:bottom w:val="single" w:sz="6" w:space="0" w:color="auto"/>
            </w:tcBorders>
            <w:shd w:val="clear" w:color="auto" w:fill="B3B3B3"/>
            <w:vAlign w:val="bottom"/>
          </w:tcPr>
          <w:p w14:paraId="787DCF6C" w14:textId="77777777" w:rsidR="00AD2C30" w:rsidRDefault="00AD2C30" w:rsidP="00237FB5">
            <w:pPr>
              <w:pStyle w:val="TableText"/>
              <w:rPr>
                <w:b/>
                <w:u w:val="single"/>
              </w:rPr>
            </w:pPr>
            <w:r>
              <w:rPr>
                <w:b/>
              </w:rPr>
              <w:t>Revision</w:t>
            </w:r>
          </w:p>
        </w:tc>
        <w:tc>
          <w:tcPr>
            <w:tcW w:w="7174" w:type="dxa"/>
            <w:tcBorders>
              <w:bottom w:val="single" w:sz="6" w:space="0" w:color="auto"/>
            </w:tcBorders>
            <w:shd w:val="clear" w:color="auto" w:fill="B3B3B3"/>
            <w:vAlign w:val="bottom"/>
          </w:tcPr>
          <w:p w14:paraId="0D8B545B" w14:textId="77777777" w:rsidR="00AD2C30" w:rsidRDefault="00AD2C30" w:rsidP="00DC1872">
            <w:pPr>
              <w:pStyle w:val="TableText"/>
              <w:ind w:left="136" w:hanging="136"/>
              <w:rPr>
                <w:b/>
                <w:u w:val="single"/>
              </w:rPr>
            </w:pPr>
            <w:r>
              <w:rPr>
                <w:b/>
              </w:rPr>
              <w:t>Description</w:t>
            </w:r>
          </w:p>
        </w:tc>
        <w:tc>
          <w:tcPr>
            <w:tcW w:w="1098" w:type="dxa"/>
            <w:tcBorders>
              <w:bottom w:val="single" w:sz="6" w:space="0" w:color="auto"/>
            </w:tcBorders>
            <w:shd w:val="clear" w:color="auto" w:fill="B3B3B3"/>
            <w:vAlign w:val="bottom"/>
          </w:tcPr>
          <w:p w14:paraId="352FCCC0" w14:textId="77777777" w:rsidR="00AD2C30" w:rsidRDefault="00AD2C30" w:rsidP="00237FB5">
            <w:pPr>
              <w:pStyle w:val="TableText"/>
              <w:rPr>
                <w:b/>
                <w:u w:val="single"/>
              </w:rPr>
            </w:pPr>
            <w:r>
              <w:rPr>
                <w:b/>
              </w:rPr>
              <w:t>Author</w:t>
            </w:r>
          </w:p>
        </w:tc>
      </w:tr>
      <w:tr w:rsidR="00AD2C30" w:rsidRPr="002532D0" w14:paraId="3404C75B" w14:textId="77777777" w:rsidTr="00736D67">
        <w:tc>
          <w:tcPr>
            <w:tcW w:w="918" w:type="dxa"/>
          </w:tcPr>
          <w:p w14:paraId="63592B8E" w14:textId="5C2BC3A4" w:rsidR="00AD2C30" w:rsidRPr="002532D0" w:rsidRDefault="005633D8" w:rsidP="00237FB5">
            <w:pPr>
              <w:pStyle w:val="TableText"/>
            </w:pPr>
            <w:r>
              <w:t>4/</w:t>
            </w:r>
            <w:r w:rsidR="00A6079E">
              <w:t>10</w:t>
            </w:r>
            <w:r w:rsidR="00AD2C30" w:rsidRPr="002532D0">
              <w:t>/</w:t>
            </w:r>
            <w:r w:rsidR="00F57443" w:rsidRPr="002532D0">
              <w:t>2</w:t>
            </w:r>
            <w:r w:rsidR="00886868" w:rsidRPr="002532D0">
              <w:t>4</w:t>
            </w:r>
          </w:p>
        </w:tc>
        <w:tc>
          <w:tcPr>
            <w:tcW w:w="990" w:type="dxa"/>
          </w:tcPr>
          <w:p w14:paraId="6EE8E2F7" w14:textId="77777777" w:rsidR="00AD2C30" w:rsidRPr="002532D0" w:rsidRDefault="00AD2C30" w:rsidP="00237FB5">
            <w:pPr>
              <w:pStyle w:val="TableText"/>
            </w:pPr>
            <w:r w:rsidRPr="002532D0">
              <w:t>1.0</w:t>
            </w:r>
          </w:p>
        </w:tc>
        <w:tc>
          <w:tcPr>
            <w:tcW w:w="7174" w:type="dxa"/>
          </w:tcPr>
          <w:p w14:paraId="5BF9423C" w14:textId="6D6191E8" w:rsidR="0002759E" w:rsidRPr="002532D0" w:rsidRDefault="0002759E" w:rsidP="0002759E">
            <w:pPr>
              <w:ind w:left="136" w:hanging="136"/>
              <w:rPr>
                <w:rFonts w:ascii="Arial" w:hAnsi="Arial" w:cs="Arial"/>
                <w:sz w:val="18"/>
                <w:szCs w:val="18"/>
              </w:rPr>
            </w:pPr>
            <w:r w:rsidRPr="002532D0">
              <w:rPr>
                <w:rFonts w:ascii="Arial" w:hAnsi="Arial" w:cs="Arial"/>
                <w:sz w:val="18"/>
                <w:szCs w:val="18"/>
              </w:rPr>
              <w:t>VBECS 2.</w:t>
            </w:r>
            <w:r w:rsidR="00886868" w:rsidRPr="002532D0">
              <w:rPr>
                <w:rFonts w:ascii="Arial" w:hAnsi="Arial" w:cs="Arial"/>
                <w:sz w:val="18"/>
                <w:szCs w:val="18"/>
              </w:rPr>
              <w:t>4.0</w:t>
            </w:r>
            <w:r w:rsidRPr="002532D0">
              <w:rPr>
                <w:rFonts w:ascii="Arial" w:hAnsi="Arial" w:cs="Arial"/>
                <w:sz w:val="18"/>
                <w:szCs w:val="18"/>
              </w:rPr>
              <w:t xml:space="preserve"> Rev A</w:t>
            </w:r>
          </w:p>
          <w:p w14:paraId="1AFB35F5" w14:textId="77777777" w:rsidR="008F2BB4" w:rsidRPr="00E95647" w:rsidRDefault="0002759E" w:rsidP="00A067DB">
            <w:pPr>
              <w:ind w:left="130" w:hanging="130"/>
              <w:rPr>
                <w:rFonts w:ascii="Arial" w:hAnsi="Arial" w:cs="Arial"/>
                <w:vanish/>
                <w:sz w:val="18"/>
                <w:szCs w:val="18"/>
              </w:rPr>
            </w:pPr>
            <w:r w:rsidRPr="002532D0">
              <w:rPr>
                <w:rFonts w:ascii="Arial" w:hAnsi="Arial" w:cs="Arial"/>
                <w:sz w:val="18"/>
                <w:szCs w:val="18"/>
              </w:rPr>
              <w:t>Modified VBECS 2.3.</w:t>
            </w:r>
            <w:r w:rsidR="00886868" w:rsidRPr="002532D0">
              <w:rPr>
                <w:rFonts w:ascii="Arial" w:hAnsi="Arial" w:cs="Arial"/>
                <w:sz w:val="18"/>
                <w:szCs w:val="18"/>
              </w:rPr>
              <w:t>4</w:t>
            </w:r>
            <w:r w:rsidRPr="002532D0">
              <w:rPr>
                <w:rFonts w:ascii="Arial" w:hAnsi="Arial" w:cs="Arial"/>
                <w:sz w:val="18"/>
                <w:szCs w:val="18"/>
              </w:rPr>
              <w:t xml:space="preserve"> User Guide, Version </w:t>
            </w:r>
            <w:r w:rsidR="00886868" w:rsidRPr="002532D0">
              <w:rPr>
                <w:rFonts w:ascii="Arial" w:hAnsi="Arial" w:cs="Arial"/>
                <w:sz w:val="18"/>
                <w:szCs w:val="18"/>
              </w:rPr>
              <w:t>3</w:t>
            </w:r>
            <w:r w:rsidRPr="002532D0">
              <w:rPr>
                <w:rFonts w:ascii="Arial" w:hAnsi="Arial" w:cs="Arial"/>
                <w:sz w:val="18"/>
                <w:szCs w:val="18"/>
              </w:rPr>
              <w:t>.0 to create VBECS 2.</w:t>
            </w:r>
            <w:r w:rsidR="00886868" w:rsidRPr="002532D0">
              <w:rPr>
                <w:rFonts w:ascii="Arial" w:hAnsi="Arial" w:cs="Arial"/>
                <w:sz w:val="18"/>
                <w:szCs w:val="18"/>
              </w:rPr>
              <w:t>4.0</w:t>
            </w:r>
            <w:r w:rsidRPr="002532D0">
              <w:rPr>
                <w:rFonts w:ascii="Arial" w:hAnsi="Arial" w:cs="Arial"/>
                <w:sz w:val="18"/>
                <w:szCs w:val="18"/>
              </w:rPr>
              <w:t xml:space="preserve"> User Guide, Version 1.0.</w:t>
            </w:r>
          </w:p>
          <w:p w14:paraId="65AC4FEC" w14:textId="2D25B771" w:rsidR="0002759E" w:rsidRPr="00E95647" w:rsidRDefault="003679F4" w:rsidP="00A067DB">
            <w:pPr>
              <w:ind w:left="130" w:hanging="130"/>
              <w:rPr>
                <w:rFonts w:ascii="Arial" w:hAnsi="Arial" w:cs="Arial"/>
                <w:vanish/>
                <w:sz w:val="18"/>
                <w:szCs w:val="18"/>
              </w:rPr>
            </w:pPr>
            <w:r w:rsidRPr="00E95647">
              <w:rPr>
                <w:rFonts w:ascii="Arial" w:hAnsi="Arial" w:cs="Arial"/>
                <w:vanish/>
                <w:sz w:val="18"/>
                <w:szCs w:val="18"/>
              </w:rPr>
              <w:t>(Task 184780)</w:t>
            </w:r>
          </w:p>
          <w:p w14:paraId="2A39979B" w14:textId="21295314" w:rsidR="00F63A03" w:rsidRPr="00E95647" w:rsidRDefault="00F63A03" w:rsidP="00A067DB">
            <w:pPr>
              <w:ind w:left="130" w:hanging="130"/>
              <w:rPr>
                <w:rFonts w:ascii="Arial" w:hAnsi="Arial" w:cs="Arial"/>
                <w:vanish/>
                <w:sz w:val="18"/>
                <w:szCs w:val="18"/>
              </w:rPr>
            </w:pPr>
            <w:r w:rsidRPr="00E95647">
              <w:rPr>
                <w:rFonts w:ascii="Arial" w:hAnsi="Arial" w:cs="Arial"/>
                <w:vanish/>
                <w:sz w:val="18"/>
                <w:szCs w:val="18"/>
              </w:rPr>
              <w:t>Throughout: Changed hidden text BR_41.32 to BR_2.43.</w:t>
            </w:r>
          </w:p>
          <w:p w14:paraId="59B3E6D9" w14:textId="427F5701" w:rsidR="003679F4" w:rsidRPr="00E95647" w:rsidRDefault="002532D0" w:rsidP="00A067DB">
            <w:pPr>
              <w:ind w:left="130" w:hanging="130"/>
              <w:rPr>
                <w:rFonts w:ascii="Arial" w:hAnsi="Arial" w:cs="Arial"/>
                <w:vanish/>
                <w:sz w:val="18"/>
                <w:szCs w:val="18"/>
              </w:rPr>
            </w:pPr>
            <w:r w:rsidRPr="00E95647">
              <w:rPr>
                <w:rFonts w:ascii="Arial" w:hAnsi="Arial" w:cs="Arial"/>
                <w:vanish/>
                <w:sz w:val="18"/>
                <w:szCs w:val="18"/>
              </w:rPr>
              <w:t xml:space="preserve">Security, </w:t>
            </w:r>
            <w:r w:rsidR="003679F4" w:rsidRPr="00E95647">
              <w:rPr>
                <w:rFonts w:ascii="Arial" w:hAnsi="Arial" w:cs="Arial"/>
                <w:vanish/>
                <w:sz w:val="18"/>
                <w:szCs w:val="18"/>
              </w:rPr>
              <w:t>Table 1: Moved second bullet (for new local facility) from Level 5: Enhanced Supervisor to last bullet in Level 1: Blood Bank Technologist.</w:t>
            </w:r>
          </w:p>
          <w:p w14:paraId="13174DAE" w14:textId="77777777" w:rsidR="003679F4" w:rsidRPr="00E95647" w:rsidRDefault="003679F4" w:rsidP="00A067DB">
            <w:pPr>
              <w:ind w:left="130" w:hanging="130"/>
              <w:rPr>
                <w:rFonts w:ascii="Arial" w:hAnsi="Arial" w:cs="Arial"/>
                <w:vanish/>
                <w:sz w:val="18"/>
                <w:szCs w:val="18"/>
              </w:rPr>
            </w:pPr>
            <w:r w:rsidRPr="00E95647">
              <w:rPr>
                <w:rFonts w:ascii="Arial" w:hAnsi="Arial" w:cs="Arial"/>
                <w:vanish/>
                <w:sz w:val="18"/>
                <w:szCs w:val="18"/>
              </w:rPr>
              <w:t>Creating and Viewing Reports: Removed eig</w:t>
            </w:r>
            <w:r w:rsidR="002532D0" w:rsidRPr="00E95647">
              <w:rPr>
                <w:rFonts w:ascii="Arial" w:hAnsi="Arial" w:cs="Arial"/>
                <w:vanish/>
                <w:sz w:val="18"/>
                <w:szCs w:val="18"/>
              </w:rPr>
              <w:t>hth bullet below Figure 5 for 50 page warning.</w:t>
            </w:r>
          </w:p>
          <w:p w14:paraId="629CA950" w14:textId="50E71AAB" w:rsidR="002532D0" w:rsidRPr="00E95647" w:rsidRDefault="002532D0" w:rsidP="00A067DB">
            <w:pPr>
              <w:ind w:left="130" w:hanging="130"/>
              <w:rPr>
                <w:rFonts w:ascii="Arial" w:hAnsi="Arial" w:cs="Arial"/>
                <w:vanish/>
                <w:sz w:val="18"/>
                <w:szCs w:val="18"/>
              </w:rPr>
            </w:pPr>
            <w:r w:rsidRPr="00E95647">
              <w:rPr>
                <w:rFonts w:ascii="Arial" w:hAnsi="Arial" w:cs="Arial"/>
                <w:vanish/>
                <w:sz w:val="18"/>
                <w:szCs w:val="18"/>
              </w:rPr>
              <w:t xml:space="preserve">Creating and Viewing Reports: Added last bullet below Figure 5 for </w:t>
            </w:r>
            <w:r w:rsidR="006C0EB9" w:rsidRPr="00E95647">
              <w:rPr>
                <w:rFonts w:ascii="Arial" w:hAnsi="Arial" w:cs="Arial"/>
                <w:vanish/>
                <w:sz w:val="18"/>
                <w:szCs w:val="18"/>
              </w:rPr>
              <w:t>VBECS Read-Only</w:t>
            </w:r>
            <w:r w:rsidRPr="00E95647">
              <w:rPr>
                <w:rFonts w:ascii="Arial" w:hAnsi="Arial" w:cs="Arial"/>
                <w:vanish/>
                <w:sz w:val="18"/>
                <w:szCs w:val="18"/>
              </w:rPr>
              <w:t>.</w:t>
            </w:r>
          </w:p>
          <w:p w14:paraId="4E59F5FB" w14:textId="5EBD40A5" w:rsidR="002532D0" w:rsidRPr="00E95647" w:rsidRDefault="002532D0" w:rsidP="00A067DB">
            <w:pPr>
              <w:ind w:left="130" w:hanging="130"/>
              <w:rPr>
                <w:rFonts w:ascii="Arial" w:hAnsi="Arial" w:cs="Arial"/>
                <w:vanish/>
                <w:sz w:val="18"/>
                <w:szCs w:val="18"/>
              </w:rPr>
            </w:pPr>
            <w:r w:rsidRPr="00E95647">
              <w:rPr>
                <w:rFonts w:ascii="Arial" w:hAnsi="Arial" w:cs="Arial"/>
                <w:vanish/>
                <w:sz w:val="18"/>
                <w:szCs w:val="18"/>
              </w:rPr>
              <w:t>Report Export, Figure 14: Replaced figure and updated text below figure.</w:t>
            </w:r>
          </w:p>
          <w:p w14:paraId="205B6641" w14:textId="3BF130AF" w:rsidR="002532D0" w:rsidRPr="00E95647" w:rsidRDefault="002532D0" w:rsidP="00A067DB">
            <w:pPr>
              <w:ind w:left="130" w:hanging="130"/>
              <w:rPr>
                <w:rFonts w:ascii="Arial" w:hAnsi="Arial" w:cs="Arial"/>
                <w:vanish/>
                <w:sz w:val="18"/>
                <w:szCs w:val="18"/>
              </w:rPr>
            </w:pPr>
            <w:r w:rsidRPr="00E95647">
              <w:rPr>
                <w:rFonts w:ascii="Arial" w:hAnsi="Arial" w:cs="Arial"/>
                <w:vanish/>
                <w:sz w:val="18"/>
                <w:szCs w:val="18"/>
              </w:rPr>
              <w:t>Accessing the System, Additional Information: Added third bullet for multiple in-date certificates</w:t>
            </w:r>
            <w:r w:rsidR="00F63A03" w:rsidRPr="00E95647">
              <w:rPr>
                <w:rFonts w:ascii="Arial" w:hAnsi="Arial" w:cs="Arial"/>
                <w:vanish/>
                <w:sz w:val="18"/>
                <w:szCs w:val="18"/>
              </w:rPr>
              <w:t>, and updated fourth bullet to replace Hardware and Infrastructure Architecture with the Options That Require VistALink</w:t>
            </w:r>
            <w:r w:rsidRPr="00E95647">
              <w:rPr>
                <w:rFonts w:ascii="Arial" w:hAnsi="Arial" w:cs="Arial"/>
                <w:vanish/>
                <w:sz w:val="18"/>
                <w:szCs w:val="18"/>
              </w:rPr>
              <w:t>.</w:t>
            </w:r>
          </w:p>
          <w:p w14:paraId="6D92D6EC" w14:textId="3B8E5630" w:rsidR="002532D0" w:rsidRPr="00E95647" w:rsidRDefault="002532D0" w:rsidP="00A067DB">
            <w:pPr>
              <w:ind w:left="130" w:hanging="130"/>
              <w:rPr>
                <w:rFonts w:ascii="Arial" w:hAnsi="Arial" w:cs="Arial"/>
                <w:vanish/>
                <w:sz w:val="18"/>
                <w:szCs w:val="18"/>
              </w:rPr>
            </w:pPr>
            <w:r w:rsidRPr="00E95647">
              <w:rPr>
                <w:rFonts w:ascii="Arial" w:hAnsi="Arial" w:cs="Arial"/>
                <w:vanish/>
                <w:sz w:val="18"/>
                <w:szCs w:val="18"/>
              </w:rPr>
              <w:t xml:space="preserve">Main Toolbar: Updated first paragraph for </w:t>
            </w:r>
            <w:r w:rsidR="006C0EB9" w:rsidRPr="00E95647">
              <w:rPr>
                <w:rFonts w:ascii="Arial" w:hAnsi="Arial" w:cs="Arial"/>
                <w:vanish/>
                <w:sz w:val="18"/>
                <w:szCs w:val="18"/>
              </w:rPr>
              <w:t>VBECS Read-Only</w:t>
            </w:r>
            <w:r w:rsidRPr="00E95647">
              <w:rPr>
                <w:rFonts w:ascii="Arial" w:hAnsi="Arial" w:cs="Arial"/>
                <w:vanish/>
                <w:sz w:val="18"/>
                <w:szCs w:val="18"/>
              </w:rPr>
              <w:t>.</w:t>
            </w:r>
          </w:p>
          <w:p w14:paraId="5D88C2CD" w14:textId="6AC64FCC" w:rsidR="002532D0" w:rsidRPr="00E95647" w:rsidRDefault="006C0EB9" w:rsidP="00A067DB">
            <w:pPr>
              <w:ind w:left="130" w:hanging="130"/>
              <w:rPr>
                <w:rFonts w:ascii="Arial" w:hAnsi="Arial" w:cs="Arial"/>
                <w:vanish/>
                <w:sz w:val="18"/>
                <w:szCs w:val="18"/>
              </w:rPr>
            </w:pPr>
            <w:r w:rsidRPr="00E95647">
              <w:rPr>
                <w:rFonts w:ascii="Arial" w:hAnsi="Arial" w:cs="Arial"/>
                <w:vanish/>
                <w:sz w:val="18"/>
                <w:szCs w:val="18"/>
              </w:rPr>
              <w:t>VBECS Read-Only</w:t>
            </w:r>
            <w:r w:rsidR="002532D0" w:rsidRPr="00E95647">
              <w:rPr>
                <w:rFonts w:ascii="Arial" w:hAnsi="Arial" w:cs="Arial"/>
                <w:vanish/>
                <w:sz w:val="18"/>
                <w:szCs w:val="18"/>
              </w:rPr>
              <w:t>: New section added.</w:t>
            </w:r>
          </w:p>
          <w:p w14:paraId="070D8F10" w14:textId="618A5E01" w:rsidR="00F63A03" w:rsidRDefault="00F63A03" w:rsidP="00A067DB">
            <w:pPr>
              <w:ind w:left="130" w:hanging="130"/>
              <w:rPr>
                <w:rFonts w:ascii="Arial" w:hAnsi="Arial" w:cs="Arial"/>
                <w:vanish/>
                <w:sz w:val="18"/>
                <w:szCs w:val="18"/>
              </w:rPr>
            </w:pPr>
            <w:r w:rsidRPr="00E95647">
              <w:rPr>
                <w:rFonts w:ascii="Arial" w:hAnsi="Arial" w:cs="Arial"/>
                <w:vanish/>
                <w:sz w:val="18"/>
                <w:szCs w:val="18"/>
              </w:rPr>
              <w:t>Order Alerts, Limitations and Restrictions: Added last bullet for Read-Only</w:t>
            </w:r>
          </w:p>
          <w:p w14:paraId="601817ED" w14:textId="0CFFD266" w:rsidR="00856F9B" w:rsidRPr="00E95647" w:rsidRDefault="00856F9B" w:rsidP="00A067DB">
            <w:pPr>
              <w:ind w:left="130" w:hanging="130"/>
              <w:rPr>
                <w:rFonts w:ascii="Arial" w:hAnsi="Arial" w:cs="Arial"/>
                <w:vanish/>
                <w:sz w:val="18"/>
                <w:szCs w:val="18"/>
              </w:rPr>
            </w:pPr>
            <w:r>
              <w:rPr>
                <w:rFonts w:ascii="Arial" w:hAnsi="Arial" w:cs="Arial"/>
                <w:vanish/>
                <w:sz w:val="18"/>
                <w:szCs w:val="18"/>
              </w:rPr>
              <w:t>Local Facilities: Removed redundant Heading 3 section header.</w:t>
            </w:r>
          </w:p>
          <w:p w14:paraId="1035CC4F" w14:textId="632B01D9" w:rsidR="00DF363F" w:rsidRPr="00E95647" w:rsidRDefault="00DF363F" w:rsidP="00A067DB">
            <w:pPr>
              <w:ind w:left="130" w:hanging="130"/>
              <w:rPr>
                <w:rFonts w:ascii="Arial" w:hAnsi="Arial" w:cs="Arial"/>
                <w:vanish/>
                <w:sz w:val="18"/>
                <w:szCs w:val="18"/>
              </w:rPr>
            </w:pPr>
            <w:r w:rsidRPr="00E95647">
              <w:rPr>
                <w:rFonts w:ascii="Arial" w:hAnsi="Arial" w:cs="Arial"/>
                <w:vanish/>
                <w:sz w:val="18"/>
                <w:szCs w:val="18"/>
              </w:rPr>
              <w:t>Local Facilities, Limitations and Restrictions: Added last bullet for FDA registration number length.</w:t>
            </w:r>
          </w:p>
          <w:p w14:paraId="3896745C" w14:textId="77777777" w:rsidR="002532D0" w:rsidRPr="00E95647" w:rsidRDefault="002532D0" w:rsidP="00A067DB">
            <w:pPr>
              <w:ind w:left="130" w:hanging="130"/>
              <w:rPr>
                <w:rFonts w:ascii="Arial" w:hAnsi="Arial" w:cs="Arial"/>
                <w:vanish/>
                <w:sz w:val="18"/>
                <w:szCs w:val="18"/>
              </w:rPr>
            </w:pPr>
            <w:r w:rsidRPr="00E95647">
              <w:rPr>
                <w:rFonts w:ascii="Arial" w:hAnsi="Arial" w:cs="Arial"/>
                <w:vanish/>
                <w:sz w:val="18"/>
                <w:szCs w:val="18"/>
              </w:rPr>
              <w:t>Local Facilities, Step 3: Removed third note regarding Enhanced Supervisor.</w:t>
            </w:r>
          </w:p>
          <w:p w14:paraId="41ACD82E" w14:textId="77777777" w:rsidR="002532D0" w:rsidRPr="00E95647" w:rsidRDefault="00C32C1A" w:rsidP="00A067DB">
            <w:pPr>
              <w:ind w:left="130" w:hanging="130"/>
              <w:rPr>
                <w:rFonts w:ascii="Arial" w:hAnsi="Arial" w:cs="Arial"/>
                <w:vanish/>
                <w:sz w:val="18"/>
                <w:szCs w:val="18"/>
              </w:rPr>
            </w:pPr>
            <w:r w:rsidRPr="00E95647">
              <w:rPr>
                <w:rFonts w:ascii="Arial" w:hAnsi="Arial" w:cs="Arial"/>
                <w:vanish/>
                <w:sz w:val="18"/>
                <w:szCs w:val="18"/>
              </w:rPr>
              <w:t>Display Order Alerts, Limitations and Restrictions: Added second bullet for Read-Only.</w:t>
            </w:r>
          </w:p>
          <w:p w14:paraId="6F6F78BC" w14:textId="37BDD255" w:rsidR="004056B2" w:rsidRDefault="004056B2" w:rsidP="00A067DB">
            <w:pPr>
              <w:ind w:left="130" w:hanging="130"/>
              <w:rPr>
                <w:rFonts w:ascii="Arial" w:hAnsi="Arial" w:cs="Arial"/>
                <w:vanish/>
                <w:sz w:val="18"/>
                <w:szCs w:val="18"/>
              </w:rPr>
            </w:pPr>
            <w:r>
              <w:rPr>
                <w:rFonts w:ascii="Arial" w:hAnsi="Arial" w:cs="Arial"/>
                <w:vanish/>
                <w:sz w:val="18"/>
                <w:szCs w:val="18"/>
              </w:rPr>
              <w:t>Patient Merge, Limitations and Restrictions: Removed last bullet pertaining to VBECS displaying duplicate merge events. (Defect 210029) . Also removed from Appendix D.</w:t>
            </w:r>
          </w:p>
          <w:p w14:paraId="3F0A3D5D" w14:textId="33AF8433" w:rsidR="00B05DFD" w:rsidRPr="00E95647" w:rsidRDefault="00B05DFD" w:rsidP="00A067DB">
            <w:pPr>
              <w:ind w:left="130" w:hanging="130"/>
              <w:rPr>
                <w:rFonts w:ascii="Arial" w:hAnsi="Arial" w:cs="Arial"/>
                <w:vanish/>
                <w:sz w:val="18"/>
                <w:szCs w:val="18"/>
              </w:rPr>
            </w:pPr>
            <w:r w:rsidRPr="00E95647">
              <w:rPr>
                <w:rFonts w:ascii="Arial" w:hAnsi="Arial" w:cs="Arial"/>
                <w:vanish/>
                <w:sz w:val="18"/>
                <w:szCs w:val="18"/>
              </w:rPr>
              <w:t>Post-Transfusion Information, Step 2: Hid last sentence from second note for BR_69.01 and referenced Bug 63797.</w:t>
            </w:r>
          </w:p>
          <w:p w14:paraId="5FBE7CDE" w14:textId="77777777" w:rsidR="008F2BB4" w:rsidRDefault="00C32C1A" w:rsidP="00F63A03">
            <w:pPr>
              <w:ind w:left="130" w:hanging="130"/>
              <w:rPr>
                <w:rFonts w:ascii="Arial" w:hAnsi="Arial" w:cs="Arial"/>
                <w:vanish/>
                <w:sz w:val="18"/>
                <w:szCs w:val="18"/>
              </w:rPr>
            </w:pPr>
            <w:r w:rsidRPr="00E95647">
              <w:rPr>
                <w:rFonts w:ascii="Arial" w:hAnsi="Arial" w:cs="Arial"/>
                <w:vanish/>
                <w:sz w:val="18"/>
                <w:szCs w:val="18"/>
              </w:rPr>
              <w:t>CPRS Blood Bank Report: Added (Used by JLV) to title and updated first paragraph.</w:t>
            </w:r>
          </w:p>
          <w:p w14:paraId="4B4F73D5" w14:textId="69564598" w:rsidR="00856F9B" w:rsidRPr="002532D0" w:rsidRDefault="00856F9B" w:rsidP="00F63A03">
            <w:pPr>
              <w:ind w:left="130" w:hanging="130"/>
              <w:rPr>
                <w:rFonts w:ascii="Arial" w:hAnsi="Arial" w:cs="Arial"/>
                <w:sz w:val="18"/>
                <w:szCs w:val="18"/>
              </w:rPr>
            </w:pPr>
            <w:r>
              <w:rPr>
                <w:rFonts w:ascii="Arial" w:hAnsi="Arial" w:cs="Arial"/>
                <w:vanish/>
                <w:sz w:val="18"/>
                <w:szCs w:val="18"/>
              </w:rPr>
              <w:t>Allowable Product Modification by Original Product Type: Renamed title to "Product Modification Targets" and replaced first paragraph with reference to FAQ Modification Target Not Available.</w:t>
            </w:r>
          </w:p>
        </w:tc>
        <w:tc>
          <w:tcPr>
            <w:tcW w:w="1098" w:type="dxa"/>
          </w:tcPr>
          <w:p w14:paraId="421B7FDB" w14:textId="77777777" w:rsidR="00AD2C30" w:rsidRPr="002532D0" w:rsidRDefault="00AD2C30" w:rsidP="00237FB5">
            <w:pPr>
              <w:pStyle w:val="TableText"/>
            </w:pPr>
            <w:r w:rsidRPr="002532D0">
              <w:t>BBM Team</w:t>
            </w:r>
          </w:p>
        </w:tc>
      </w:tr>
      <w:tr w:rsidR="003B400E" w:rsidRPr="002532D0" w14:paraId="2E19EF04" w14:textId="77777777" w:rsidTr="00736D67">
        <w:tc>
          <w:tcPr>
            <w:tcW w:w="918" w:type="dxa"/>
          </w:tcPr>
          <w:p w14:paraId="5D357EA7" w14:textId="09194F9A" w:rsidR="003B400E" w:rsidRDefault="004E73B1" w:rsidP="00237FB5">
            <w:pPr>
              <w:pStyle w:val="TableText"/>
            </w:pPr>
            <w:r>
              <w:t>1</w:t>
            </w:r>
            <w:r w:rsidR="009B7657">
              <w:t>2/</w:t>
            </w:r>
            <w:r w:rsidR="00D87E3C">
              <w:t>5</w:t>
            </w:r>
            <w:r w:rsidR="009838B7">
              <w:t>/</w:t>
            </w:r>
            <w:r w:rsidR="003B400E">
              <w:t>24</w:t>
            </w:r>
          </w:p>
        </w:tc>
        <w:tc>
          <w:tcPr>
            <w:tcW w:w="990" w:type="dxa"/>
          </w:tcPr>
          <w:p w14:paraId="6848B364" w14:textId="456471C4" w:rsidR="003B400E" w:rsidRPr="002532D0" w:rsidRDefault="003B400E" w:rsidP="00237FB5">
            <w:pPr>
              <w:pStyle w:val="TableText"/>
            </w:pPr>
            <w:r>
              <w:t>2.0</w:t>
            </w:r>
          </w:p>
        </w:tc>
        <w:tc>
          <w:tcPr>
            <w:tcW w:w="7174" w:type="dxa"/>
          </w:tcPr>
          <w:p w14:paraId="75FFA68C" w14:textId="77777777" w:rsidR="003B400E" w:rsidRPr="008B140A" w:rsidRDefault="00901D8F" w:rsidP="0002759E">
            <w:pPr>
              <w:ind w:left="136" w:hanging="136"/>
              <w:rPr>
                <w:rFonts w:ascii="Arial" w:hAnsi="Arial" w:cs="Arial"/>
                <w:sz w:val="18"/>
                <w:szCs w:val="18"/>
              </w:rPr>
            </w:pPr>
            <w:r w:rsidRPr="008B140A">
              <w:rPr>
                <w:rFonts w:ascii="Arial" w:hAnsi="Arial" w:cs="Arial"/>
                <w:sz w:val="18"/>
                <w:szCs w:val="18"/>
              </w:rPr>
              <w:t>VBECS 2.4.0 Rev B</w:t>
            </w:r>
          </w:p>
          <w:p w14:paraId="15F58A84" w14:textId="6640B155" w:rsidR="004345CB" w:rsidRPr="006D3BE8" w:rsidRDefault="004345CB" w:rsidP="0002759E">
            <w:pPr>
              <w:ind w:left="136" w:hanging="136"/>
              <w:rPr>
                <w:rFonts w:ascii="Arial" w:hAnsi="Arial" w:cs="Arial"/>
                <w:vanish/>
                <w:sz w:val="18"/>
                <w:szCs w:val="18"/>
              </w:rPr>
            </w:pPr>
            <w:r w:rsidRPr="008B140A">
              <w:rPr>
                <w:rFonts w:ascii="Arial" w:hAnsi="Arial" w:cs="Arial"/>
                <w:sz w:val="18"/>
                <w:szCs w:val="18"/>
              </w:rPr>
              <w:t>Clarification updates.</w:t>
            </w:r>
          </w:p>
          <w:p w14:paraId="49AD8FCE" w14:textId="21EDE27D" w:rsidR="003A5DFE" w:rsidRPr="006D3BE8" w:rsidRDefault="003A5DFE" w:rsidP="0002759E">
            <w:pPr>
              <w:ind w:left="136" w:hanging="136"/>
              <w:rPr>
                <w:rFonts w:ascii="Arial" w:hAnsi="Arial" w:cs="Arial"/>
                <w:vanish/>
                <w:sz w:val="18"/>
                <w:szCs w:val="18"/>
              </w:rPr>
            </w:pPr>
            <w:r w:rsidRPr="006D3BE8">
              <w:rPr>
                <w:rFonts w:ascii="Arial" w:hAnsi="Arial" w:cs="Arial"/>
                <w:vanish/>
                <w:sz w:val="18"/>
                <w:szCs w:val="18"/>
              </w:rPr>
              <w:t>(Task 144258)</w:t>
            </w:r>
          </w:p>
          <w:p w14:paraId="031AEC4B" w14:textId="0EFE2287" w:rsidR="003A5DFE" w:rsidRPr="006D3BE8" w:rsidRDefault="003A5DFE" w:rsidP="0002759E">
            <w:pPr>
              <w:ind w:left="136" w:hanging="136"/>
              <w:rPr>
                <w:rFonts w:ascii="Arial" w:hAnsi="Arial" w:cs="Arial"/>
                <w:vanish/>
                <w:sz w:val="18"/>
                <w:szCs w:val="18"/>
              </w:rPr>
            </w:pPr>
            <w:r w:rsidRPr="006D3BE8">
              <w:rPr>
                <w:rFonts w:ascii="Arial" w:hAnsi="Arial" w:cs="Arial"/>
                <w:vanish/>
                <w:sz w:val="18"/>
                <w:szCs w:val="18"/>
              </w:rPr>
              <w:t>Throughout: Clarified the term 'local facility' where applicable.</w:t>
            </w:r>
          </w:p>
          <w:p w14:paraId="48B1F81F" w14:textId="226B0FCE" w:rsidR="008B140A" w:rsidRPr="006D3BE8" w:rsidRDefault="008B140A" w:rsidP="0002759E">
            <w:pPr>
              <w:ind w:left="136" w:hanging="136"/>
              <w:rPr>
                <w:rFonts w:ascii="Arial" w:hAnsi="Arial" w:cs="Arial"/>
                <w:vanish/>
                <w:sz w:val="18"/>
                <w:szCs w:val="18"/>
              </w:rPr>
            </w:pPr>
            <w:r w:rsidRPr="006D3BE8">
              <w:rPr>
                <w:rFonts w:ascii="Arial" w:hAnsi="Arial" w:cs="Arial"/>
                <w:vanish/>
                <w:sz w:val="18"/>
                <w:szCs w:val="18"/>
              </w:rPr>
              <w:t>(Task 191455)</w:t>
            </w:r>
          </w:p>
          <w:p w14:paraId="7731FCFE" w14:textId="77777777" w:rsidR="008B140A" w:rsidRPr="006D3BE8" w:rsidRDefault="008B140A" w:rsidP="008B140A">
            <w:pPr>
              <w:ind w:left="136" w:hanging="136"/>
              <w:rPr>
                <w:rFonts w:ascii="Arial" w:hAnsi="Arial" w:cs="Arial"/>
                <w:vanish/>
                <w:sz w:val="18"/>
                <w:szCs w:val="18"/>
              </w:rPr>
            </w:pPr>
            <w:r w:rsidRPr="006D3BE8">
              <w:rPr>
                <w:rFonts w:ascii="Arial" w:hAnsi="Arial" w:cs="Arial"/>
                <w:vanish/>
                <w:sz w:val="18"/>
                <w:szCs w:val="18"/>
              </w:rPr>
              <w:t>Patient Merge section, Limitations and Restrictions: Removed last bullet pertaining to VBECS displaying duplicate merge events.</w:t>
            </w:r>
          </w:p>
          <w:p w14:paraId="207CAA36" w14:textId="4FE6149F" w:rsidR="003A5DFE" w:rsidRPr="006D3BE8" w:rsidRDefault="003A5DFE" w:rsidP="0002759E">
            <w:pPr>
              <w:ind w:left="136" w:hanging="136"/>
              <w:rPr>
                <w:rFonts w:ascii="Arial" w:hAnsi="Arial" w:cs="Arial"/>
                <w:vanish/>
                <w:sz w:val="18"/>
                <w:szCs w:val="18"/>
              </w:rPr>
            </w:pPr>
            <w:r w:rsidRPr="006D3BE8">
              <w:rPr>
                <w:rFonts w:ascii="Arial" w:hAnsi="Arial" w:cs="Arial"/>
                <w:vanish/>
                <w:sz w:val="18"/>
                <w:szCs w:val="18"/>
              </w:rPr>
              <w:t>(Task 262765)</w:t>
            </w:r>
          </w:p>
          <w:p w14:paraId="2A25D840" w14:textId="77777777" w:rsidR="003A5DFE" w:rsidRPr="006D3BE8" w:rsidRDefault="003A5DFE" w:rsidP="003A5DFE">
            <w:pPr>
              <w:ind w:left="136" w:hanging="136"/>
              <w:rPr>
                <w:rFonts w:ascii="Arial" w:hAnsi="Arial" w:cs="Arial"/>
                <w:vanish/>
                <w:sz w:val="18"/>
                <w:szCs w:val="18"/>
              </w:rPr>
            </w:pPr>
            <w:r w:rsidRPr="006D3BE8">
              <w:rPr>
                <w:rFonts w:ascii="Arial" w:hAnsi="Arial" w:cs="Arial"/>
                <w:vanish/>
                <w:sz w:val="18"/>
                <w:szCs w:val="18"/>
              </w:rPr>
              <w:t>Component Classes section: Changed Administrator/Supervisor to Enhanced Supervisor.</w:t>
            </w:r>
          </w:p>
          <w:p w14:paraId="5F2139EB" w14:textId="2FAD927E" w:rsidR="003A5DFE" w:rsidRPr="006D3BE8" w:rsidRDefault="003A5DFE" w:rsidP="0002759E">
            <w:pPr>
              <w:ind w:left="136" w:hanging="136"/>
              <w:rPr>
                <w:rFonts w:ascii="Arial" w:hAnsi="Arial" w:cs="Arial"/>
                <w:vanish/>
                <w:sz w:val="18"/>
                <w:szCs w:val="18"/>
              </w:rPr>
            </w:pPr>
            <w:r w:rsidRPr="006D3BE8">
              <w:rPr>
                <w:rFonts w:ascii="Arial" w:hAnsi="Arial" w:cs="Arial"/>
                <w:vanish/>
                <w:sz w:val="18"/>
                <w:szCs w:val="18"/>
              </w:rPr>
              <w:t>(Task 266818)</w:t>
            </w:r>
          </w:p>
          <w:p w14:paraId="14DB3CA3" w14:textId="28F7C23C" w:rsidR="003A5DFE" w:rsidRPr="006D3BE8" w:rsidRDefault="003A5DFE" w:rsidP="003A5DFE">
            <w:pPr>
              <w:ind w:left="136" w:hanging="136"/>
              <w:rPr>
                <w:rFonts w:ascii="Arial" w:hAnsi="Arial" w:cs="Arial"/>
                <w:vanish/>
                <w:sz w:val="18"/>
                <w:szCs w:val="18"/>
              </w:rPr>
            </w:pPr>
            <w:r w:rsidRPr="006D3BE8">
              <w:rPr>
                <w:rFonts w:ascii="Arial" w:hAnsi="Arial" w:cs="Arial"/>
                <w:vanish/>
                <w:sz w:val="18"/>
                <w:szCs w:val="18"/>
              </w:rPr>
              <w:t>Getting Help from Customer Support: Removed two paragraphs.</w:t>
            </w:r>
          </w:p>
          <w:p w14:paraId="43A40DF5" w14:textId="6790F2F4" w:rsidR="006B7B0F" w:rsidRPr="006D3BE8" w:rsidRDefault="006B7B0F" w:rsidP="003A5DFE">
            <w:pPr>
              <w:ind w:left="136" w:hanging="136"/>
              <w:rPr>
                <w:rFonts w:ascii="Arial" w:hAnsi="Arial" w:cs="Arial"/>
                <w:vanish/>
                <w:sz w:val="18"/>
                <w:szCs w:val="18"/>
              </w:rPr>
            </w:pPr>
            <w:r w:rsidRPr="006D3BE8">
              <w:rPr>
                <w:rFonts w:ascii="Arial" w:hAnsi="Arial" w:cs="Arial"/>
                <w:vanish/>
                <w:sz w:val="18"/>
                <w:szCs w:val="18"/>
              </w:rPr>
              <w:t>Requesting New Features or Functionality: New section added.</w:t>
            </w:r>
          </w:p>
          <w:p w14:paraId="2E1C3122" w14:textId="3FB32280" w:rsidR="00F03260" w:rsidRPr="006D3BE8" w:rsidRDefault="00F03260" w:rsidP="003A5DFE">
            <w:pPr>
              <w:ind w:left="136" w:hanging="136"/>
              <w:rPr>
                <w:rFonts w:ascii="Arial" w:hAnsi="Arial" w:cs="Arial"/>
                <w:vanish/>
                <w:sz w:val="18"/>
                <w:szCs w:val="18"/>
              </w:rPr>
            </w:pPr>
            <w:r w:rsidRPr="006D3BE8">
              <w:rPr>
                <w:rFonts w:ascii="Arial" w:hAnsi="Arial" w:cs="Arial"/>
                <w:vanish/>
                <w:sz w:val="18"/>
                <w:szCs w:val="18"/>
              </w:rPr>
              <w:t>CPRS Blood Bank Report: Changed heading to "CPRS Blood Bank Report (Used by JLV and VistA Read Only), updated first paragraph, added second Limitations and Restrictions about VistA Read Only, and added Figure 118 heading.</w:t>
            </w:r>
          </w:p>
          <w:p w14:paraId="046351A2" w14:textId="27C7CF7A" w:rsidR="0005643D" w:rsidRPr="006D3BE8" w:rsidRDefault="0005643D" w:rsidP="003A5DFE">
            <w:pPr>
              <w:ind w:left="136" w:hanging="136"/>
              <w:rPr>
                <w:rFonts w:ascii="Arial" w:hAnsi="Arial" w:cs="Arial"/>
                <w:vanish/>
                <w:sz w:val="18"/>
                <w:szCs w:val="18"/>
              </w:rPr>
            </w:pPr>
            <w:r w:rsidRPr="006D3BE8">
              <w:rPr>
                <w:rFonts w:ascii="Arial" w:hAnsi="Arial" w:cs="Arial"/>
                <w:vanish/>
                <w:sz w:val="18"/>
                <w:szCs w:val="18"/>
              </w:rPr>
              <w:t>Appendix F: Removed reference to FAQ How to File a New Service Request for Changes to VBECS.</w:t>
            </w:r>
          </w:p>
          <w:p w14:paraId="66AFCEBB" w14:textId="760916EF" w:rsidR="003A5DFE" w:rsidRPr="006D3BE8" w:rsidRDefault="008B140A" w:rsidP="003A5DFE">
            <w:pPr>
              <w:ind w:left="136" w:hanging="136"/>
              <w:rPr>
                <w:rFonts w:ascii="Arial" w:hAnsi="Arial" w:cs="Arial"/>
                <w:vanish/>
                <w:sz w:val="18"/>
                <w:szCs w:val="18"/>
              </w:rPr>
            </w:pPr>
            <w:r w:rsidRPr="006D3BE8">
              <w:rPr>
                <w:rFonts w:ascii="Arial" w:hAnsi="Arial" w:cs="Arial"/>
                <w:vanish/>
                <w:sz w:val="18"/>
                <w:szCs w:val="18"/>
              </w:rPr>
              <w:t>(</w:t>
            </w:r>
            <w:r w:rsidR="003A5DFE" w:rsidRPr="006D3BE8">
              <w:rPr>
                <w:rFonts w:ascii="Arial" w:hAnsi="Arial" w:cs="Arial"/>
                <w:vanish/>
                <w:sz w:val="18"/>
                <w:szCs w:val="18"/>
              </w:rPr>
              <w:t>Task 285437)</w:t>
            </w:r>
          </w:p>
          <w:p w14:paraId="53585269" w14:textId="4F320612" w:rsidR="003A5DFE" w:rsidRPr="006D3BE8" w:rsidRDefault="003A5DFE" w:rsidP="003A5DFE">
            <w:pPr>
              <w:ind w:left="136" w:hanging="136"/>
              <w:rPr>
                <w:rFonts w:ascii="Arial" w:hAnsi="Arial" w:cs="Arial"/>
                <w:vanish/>
                <w:sz w:val="18"/>
                <w:szCs w:val="18"/>
              </w:rPr>
            </w:pPr>
            <w:r w:rsidRPr="006D3BE8">
              <w:rPr>
                <w:rFonts w:ascii="Arial" w:hAnsi="Arial" w:cs="Arial"/>
                <w:vanish/>
                <w:sz w:val="18"/>
                <w:szCs w:val="18"/>
              </w:rPr>
              <w:t>Order Reflex Tests, Step 3: Added reference to Appendix N.</w:t>
            </w:r>
          </w:p>
          <w:p w14:paraId="4FE81E0B" w14:textId="500A5669" w:rsidR="005B0603" w:rsidRPr="006D3BE8" w:rsidRDefault="005B0603" w:rsidP="003A5DFE">
            <w:pPr>
              <w:ind w:left="136" w:hanging="136"/>
              <w:rPr>
                <w:rFonts w:ascii="Arial" w:hAnsi="Arial" w:cs="Arial"/>
                <w:vanish/>
                <w:sz w:val="18"/>
                <w:szCs w:val="18"/>
              </w:rPr>
            </w:pPr>
            <w:r w:rsidRPr="006D3BE8">
              <w:rPr>
                <w:rFonts w:ascii="Arial" w:hAnsi="Arial" w:cs="Arial"/>
                <w:vanish/>
                <w:sz w:val="18"/>
                <w:szCs w:val="18"/>
              </w:rPr>
              <w:t>Appendix N: Orderable Reflex Tests: New section added.</w:t>
            </w:r>
          </w:p>
          <w:p w14:paraId="72A5E85A" w14:textId="1D20520D" w:rsidR="003A5DFE" w:rsidRPr="006D3BE8" w:rsidRDefault="003A5DFE" w:rsidP="003A5DFE">
            <w:pPr>
              <w:ind w:left="136" w:hanging="136"/>
              <w:rPr>
                <w:rFonts w:ascii="Arial" w:hAnsi="Arial" w:cs="Arial"/>
                <w:vanish/>
                <w:sz w:val="18"/>
                <w:szCs w:val="18"/>
              </w:rPr>
            </w:pPr>
            <w:r w:rsidRPr="006D3BE8">
              <w:rPr>
                <w:rFonts w:ascii="Arial" w:hAnsi="Arial" w:cs="Arial"/>
                <w:vanish/>
                <w:sz w:val="18"/>
                <w:szCs w:val="18"/>
              </w:rPr>
              <w:t>(Task 210616)</w:t>
            </w:r>
          </w:p>
          <w:p w14:paraId="36044DA1" w14:textId="77777777" w:rsidR="003A5DFE" w:rsidRPr="006D3BE8" w:rsidRDefault="003A5DFE" w:rsidP="0002759E">
            <w:pPr>
              <w:ind w:left="136" w:hanging="136"/>
              <w:rPr>
                <w:rFonts w:ascii="Arial" w:hAnsi="Arial" w:cs="Arial"/>
                <w:vanish/>
                <w:sz w:val="18"/>
                <w:szCs w:val="18"/>
              </w:rPr>
            </w:pPr>
            <w:r w:rsidRPr="006D3BE8">
              <w:rPr>
                <w:rFonts w:ascii="Arial" w:hAnsi="Arial" w:cs="Arial"/>
                <w:vanish/>
                <w:sz w:val="18"/>
                <w:szCs w:val="18"/>
              </w:rPr>
              <w:t>Throughout: Removed DR 4414 from hidden text.</w:t>
            </w:r>
          </w:p>
          <w:p w14:paraId="7F8B2B1B" w14:textId="1901B282" w:rsidR="00891A5E" w:rsidRPr="006D3BE8" w:rsidRDefault="00A66440" w:rsidP="0002759E">
            <w:pPr>
              <w:ind w:left="136" w:hanging="136"/>
              <w:rPr>
                <w:rFonts w:ascii="Arial" w:hAnsi="Arial" w:cs="Arial"/>
                <w:vanish/>
                <w:sz w:val="18"/>
                <w:szCs w:val="18"/>
              </w:rPr>
            </w:pPr>
            <w:r w:rsidRPr="006D3BE8">
              <w:rPr>
                <w:rFonts w:ascii="Arial" w:hAnsi="Arial" w:cs="Arial"/>
                <w:vanish/>
                <w:sz w:val="18"/>
                <w:szCs w:val="18"/>
              </w:rPr>
              <w:t>Options That Require</w:t>
            </w:r>
            <w:r w:rsidR="00C07312" w:rsidRPr="006D3BE8">
              <w:rPr>
                <w:rFonts w:ascii="Arial" w:hAnsi="Arial" w:cs="Arial"/>
                <w:vanish/>
                <w:sz w:val="18"/>
                <w:szCs w:val="18"/>
              </w:rPr>
              <w:t xml:space="preserve"> VistALin</w:t>
            </w:r>
            <w:r w:rsidR="00F31E8A" w:rsidRPr="006D3BE8">
              <w:rPr>
                <w:rFonts w:ascii="Arial" w:hAnsi="Arial" w:cs="Arial"/>
                <w:vanish/>
                <w:sz w:val="18"/>
                <w:szCs w:val="18"/>
              </w:rPr>
              <w:t xml:space="preserve">k, Main Menu </w:t>
            </w:r>
            <w:r w:rsidR="009B7657" w:rsidRPr="006D3BE8">
              <w:rPr>
                <w:rFonts w:ascii="Arial" w:hAnsi="Arial" w:cs="Arial"/>
                <w:vanish/>
                <w:sz w:val="18"/>
                <w:szCs w:val="18"/>
              </w:rPr>
              <w:t>Orders</w:t>
            </w:r>
            <w:r w:rsidR="00CA4F63" w:rsidRPr="006D3BE8">
              <w:rPr>
                <w:rFonts w:ascii="Arial" w:hAnsi="Arial" w:cs="Arial"/>
                <w:vanish/>
                <w:sz w:val="18"/>
                <w:szCs w:val="18"/>
              </w:rPr>
              <w:t xml:space="preserve">: Added </w:t>
            </w:r>
            <w:r w:rsidR="003A5DFE" w:rsidRPr="006D3BE8">
              <w:rPr>
                <w:rFonts w:ascii="Arial" w:hAnsi="Arial" w:cs="Arial"/>
                <w:vanish/>
                <w:sz w:val="18"/>
                <w:szCs w:val="18"/>
              </w:rPr>
              <w:t>Accept Orders</w:t>
            </w:r>
            <w:r w:rsidR="00891A5E" w:rsidRPr="006D3BE8">
              <w:rPr>
                <w:rFonts w:ascii="Arial" w:hAnsi="Arial" w:cs="Arial"/>
                <w:vanish/>
                <w:sz w:val="18"/>
                <w:szCs w:val="18"/>
              </w:rPr>
              <w:t>.</w:t>
            </w:r>
          </w:p>
          <w:p w14:paraId="4634923A" w14:textId="42CD4856" w:rsidR="00891A5E" w:rsidRPr="006D3BE8" w:rsidRDefault="00891A5E" w:rsidP="00891A5E">
            <w:pPr>
              <w:ind w:left="136" w:hanging="136"/>
              <w:rPr>
                <w:rFonts w:ascii="Arial" w:hAnsi="Arial" w:cs="Arial"/>
                <w:vanish/>
                <w:sz w:val="18"/>
                <w:szCs w:val="18"/>
              </w:rPr>
            </w:pPr>
            <w:r w:rsidRPr="006D3BE8">
              <w:rPr>
                <w:rFonts w:ascii="Arial" w:hAnsi="Arial" w:cs="Arial"/>
                <w:vanish/>
                <w:sz w:val="18"/>
                <w:szCs w:val="18"/>
              </w:rPr>
              <w:t>Options That Require VistALink: Main Menu Reports:</w:t>
            </w:r>
            <w:r w:rsidR="003A5DFE" w:rsidRPr="006D3BE8">
              <w:rPr>
                <w:rFonts w:ascii="Arial" w:hAnsi="Arial" w:cs="Arial"/>
                <w:vanish/>
                <w:sz w:val="18"/>
                <w:szCs w:val="18"/>
              </w:rPr>
              <w:t xml:space="preserve"> </w:t>
            </w:r>
            <w:r w:rsidR="009B7657" w:rsidRPr="006D3BE8">
              <w:rPr>
                <w:rFonts w:ascii="Arial" w:hAnsi="Arial" w:cs="Arial"/>
                <w:vanish/>
                <w:sz w:val="18"/>
                <w:szCs w:val="18"/>
              </w:rPr>
              <w:t xml:space="preserve">Added </w:t>
            </w:r>
            <w:r w:rsidR="00CA4F63" w:rsidRPr="006D3BE8">
              <w:rPr>
                <w:rFonts w:ascii="Arial" w:hAnsi="Arial" w:cs="Arial"/>
                <w:vanish/>
                <w:sz w:val="18"/>
                <w:szCs w:val="18"/>
              </w:rPr>
              <w:t xml:space="preserve">Audit Trail Report bullet and removed </w:t>
            </w:r>
            <w:r w:rsidR="00A8132C" w:rsidRPr="006D3BE8">
              <w:rPr>
                <w:rFonts w:ascii="Arial" w:hAnsi="Arial" w:cs="Arial"/>
                <w:vanish/>
                <w:sz w:val="18"/>
                <w:szCs w:val="18"/>
              </w:rPr>
              <w:t>Transfusion</w:t>
            </w:r>
            <w:r w:rsidR="00CA4F63" w:rsidRPr="006D3BE8">
              <w:rPr>
                <w:rFonts w:ascii="Arial" w:hAnsi="Arial" w:cs="Arial"/>
                <w:vanish/>
                <w:sz w:val="18"/>
                <w:szCs w:val="18"/>
              </w:rPr>
              <w:t xml:space="preserve"> Requirements </w:t>
            </w:r>
            <w:r w:rsidR="00A8132C" w:rsidRPr="006D3BE8">
              <w:rPr>
                <w:rFonts w:ascii="Arial" w:hAnsi="Arial" w:cs="Arial"/>
                <w:vanish/>
                <w:sz w:val="18"/>
                <w:szCs w:val="18"/>
              </w:rPr>
              <w:t>Report bullet.</w:t>
            </w:r>
          </w:p>
          <w:p w14:paraId="33B9BF2F" w14:textId="48F00177" w:rsidR="006B7B0F" w:rsidRPr="006D3BE8" w:rsidRDefault="006B7B0F" w:rsidP="00891A5E">
            <w:pPr>
              <w:ind w:left="136" w:hanging="136"/>
              <w:rPr>
                <w:rFonts w:ascii="Arial" w:hAnsi="Arial" w:cs="Arial"/>
                <w:vanish/>
                <w:sz w:val="18"/>
                <w:szCs w:val="18"/>
              </w:rPr>
            </w:pPr>
            <w:r w:rsidRPr="006D3BE8">
              <w:rPr>
                <w:rFonts w:ascii="Arial" w:hAnsi="Arial" w:cs="Arial"/>
                <w:vanish/>
                <w:sz w:val="18"/>
                <w:szCs w:val="18"/>
              </w:rPr>
              <w:t>VistA Records in VBECS: Updated 7th bullet.</w:t>
            </w:r>
          </w:p>
          <w:p w14:paraId="3A7EF322" w14:textId="38105E2D" w:rsidR="006B7B0F" w:rsidRPr="006D3BE8" w:rsidRDefault="006B7B0F" w:rsidP="00891A5E">
            <w:pPr>
              <w:ind w:left="136" w:hanging="136"/>
              <w:rPr>
                <w:rFonts w:ascii="Arial" w:hAnsi="Arial" w:cs="Arial"/>
                <w:vanish/>
                <w:sz w:val="18"/>
                <w:szCs w:val="18"/>
              </w:rPr>
            </w:pPr>
            <w:r w:rsidRPr="006D3BE8">
              <w:rPr>
                <w:rFonts w:ascii="Arial" w:hAnsi="Arial" w:cs="Arial"/>
                <w:vanish/>
                <w:sz w:val="18"/>
                <w:szCs w:val="18"/>
              </w:rPr>
              <w:t xml:space="preserve">View Special Instructions and Transfusion Requirements, Limitations and Restrictions: </w:t>
            </w:r>
            <w:r w:rsidR="00C72B3B">
              <w:rPr>
                <w:rFonts w:ascii="Arial" w:hAnsi="Arial" w:cs="Arial"/>
                <w:vanish/>
                <w:sz w:val="18"/>
                <w:szCs w:val="18"/>
              </w:rPr>
              <w:t>Updated</w:t>
            </w:r>
            <w:r w:rsidRPr="006D3BE8">
              <w:rPr>
                <w:rFonts w:ascii="Arial" w:hAnsi="Arial" w:cs="Arial"/>
                <w:vanish/>
                <w:sz w:val="18"/>
                <w:szCs w:val="18"/>
              </w:rPr>
              <w:t xml:space="preserve"> last two sub-bullets.</w:t>
            </w:r>
          </w:p>
          <w:p w14:paraId="2E4817E2" w14:textId="77777777" w:rsidR="00A8132C" w:rsidRPr="006D3BE8" w:rsidRDefault="008A7C2B" w:rsidP="0002759E">
            <w:pPr>
              <w:ind w:left="136" w:hanging="136"/>
              <w:rPr>
                <w:rFonts w:ascii="Arial" w:hAnsi="Arial" w:cs="Arial"/>
                <w:vanish/>
                <w:sz w:val="18"/>
                <w:szCs w:val="18"/>
              </w:rPr>
            </w:pPr>
            <w:r w:rsidRPr="006D3BE8">
              <w:rPr>
                <w:rFonts w:ascii="Arial" w:hAnsi="Arial" w:cs="Arial"/>
                <w:vanish/>
                <w:sz w:val="18"/>
                <w:szCs w:val="18"/>
              </w:rPr>
              <w:t>Collecting Workload</w:t>
            </w:r>
            <w:r w:rsidR="006E5AA7" w:rsidRPr="006D3BE8">
              <w:rPr>
                <w:rFonts w:ascii="Arial" w:hAnsi="Arial" w:cs="Arial"/>
                <w:vanish/>
                <w:sz w:val="18"/>
                <w:szCs w:val="18"/>
              </w:rPr>
              <w:t xml:space="preserve"> section: Revised </w:t>
            </w:r>
            <w:r w:rsidR="00DA3A03" w:rsidRPr="006D3BE8">
              <w:rPr>
                <w:rFonts w:ascii="Arial" w:hAnsi="Arial" w:cs="Arial"/>
                <w:vanish/>
                <w:sz w:val="18"/>
                <w:szCs w:val="18"/>
              </w:rPr>
              <w:t>to update options used to calculate</w:t>
            </w:r>
            <w:r w:rsidR="004E41E8" w:rsidRPr="006D3BE8">
              <w:rPr>
                <w:rFonts w:ascii="Arial" w:hAnsi="Arial" w:cs="Arial"/>
                <w:vanish/>
                <w:sz w:val="18"/>
                <w:szCs w:val="18"/>
              </w:rPr>
              <w:t xml:space="preserve"> productivity when the user saves data.</w:t>
            </w:r>
          </w:p>
          <w:p w14:paraId="01D3F67F" w14:textId="50D9830B" w:rsidR="003A5DFE" w:rsidRPr="006D3BE8" w:rsidRDefault="003A5DFE" w:rsidP="0002759E">
            <w:pPr>
              <w:ind w:left="136" w:hanging="136"/>
              <w:rPr>
                <w:rFonts w:ascii="Arial" w:hAnsi="Arial" w:cs="Arial"/>
                <w:vanish/>
                <w:sz w:val="18"/>
                <w:szCs w:val="18"/>
              </w:rPr>
            </w:pPr>
            <w:r w:rsidRPr="006D3BE8">
              <w:rPr>
                <w:rFonts w:ascii="Arial" w:hAnsi="Arial" w:cs="Arial"/>
                <w:vanish/>
                <w:sz w:val="18"/>
                <w:szCs w:val="18"/>
              </w:rPr>
              <w:t>Local Facilities: Corrected 'collection' and 'supplier' terms to 'local facilities' as applicable.</w:t>
            </w:r>
          </w:p>
          <w:p w14:paraId="66116729" w14:textId="31E6B9BE" w:rsidR="003A5DFE" w:rsidRPr="006D3BE8" w:rsidRDefault="003A5DFE" w:rsidP="0002759E">
            <w:pPr>
              <w:ind w:left="136" w:hanging="136"/>
              <w:rPr>
                <w:rFonts w:ascii="Arial" w:hAnsi="Arial" w:cs="Arial"/>
                <w:vanish/>
                <w:sz w:val="18"/>
                <w:szCs w:val="18"/>
              </w:rPr>
            </w:pPr>
            <w:r w:rsidRPr="006D3BE8">
              <w:rPr>
                <w:rFonts w:ascii="Arial" w:hAnsi="Arial" w:cs="Arial"/>
                <w:vanish/>
                <w:sz w:val="18"/>
                <w:szCs w:val="18"/>
              </w:rPr>
              <w:t>Canned Comments, Limitations and Restrictions: Added bullet for apostrophe.</w:t>
            </w:r>
          </w:p>
          <w:p w14:paraId="78E3DE3E" w14:textId="7B707EDE" w:rsidR="003A5DFE" w:rsidRPr="006D3BE8" w:rsidRDefault="003A5DFE" w:rsidP="0002759E">
            <w:pPr>
              <w:ind w:left="136" w:hanging="136"/>
              <w:rPr>
                <w:rFonts w:ascii="Arial" w:hAnsi="Arial" w:cs="Arial"/>
                <w:vanish/>
                <w:sz w:val="18"/>
                <w:szCs w:val="18"/>
              </w:rPr>
            </w:pPr>
            <w:r w:rsidRPr="006D3BE8">
              <w:rPr>
                <w:rFonts w:ascii="Arial" w:hAnsi="Arial" w:cs="Arial"/>
                <w:vanish/>
                <w:sz w:val="18"/>
                <w:szCs w:val="18"/>
              </w:rPr>
              <w:t>Reagents and Supplies, Outcome: Added bullet for workload codes.</w:t>
            </w:r>
          </w:p>
          <w:p w14:paraId="3CA865F5" w14:textId="0CEB23C5" w:rsidR="003A5DFE" w:rsidRPr="006D3BE8" w:rsidRDefault="003A5DFE" w:rsidP="0002759E">
            <w:pPr>
              <w:ind w:left="136" w:hanging="136"/>
              <w:rPr>
                <w:rFonts w:ascii="Arial" w:hAnsi="Arial" w:cs="Arial"/>
                <w:vanish/>
                <w:sz w:val="18"/>
                <w:szCs w:val="18"/>
              </w:rPr>
            </w:pPr>
            <w:r w:rsidRPr="006D3BE8">
              <w:rPr>
                <w:rFonts w:ascii="Arial" w:hAnsi="Arial" w:cs="Arial"/>
                <w:vanish/>
                <w:sz w:val="18"/>
                <w:szCs w:val="18"/>
              </w:rPr>
              <w:t>Reagents, Outcome: Added bullet for workload codes.</w:t>
            </w:r>
          </w:p>
          <w:p w14:paraId="7AC5E700" w14:textId="48BF92B4" w:rsidR="003A5DFE" w:rsidRPr="006D3BE8" w:rsidRDefault="003A5DFE" w:rsidP="0002759E">
            <w:pPr>
              <w:ind w:left="136" w:hanging="136"/>
              <w:rPr>
                <w:rFonts w:ascii="Arial" w:hAnsi="Arial" w:cs="Arial"/>
                <w:vanish/>
                <w:sz w:val="18"/>
                <w:szCs w:val="18"/>
              </w:rPr>
            </w:pPr>
            <w:r w:rsidRPr="006D3BE8">
              <w:rPr>
                <w:rFonts w:ascii="Arial" w:hAnsi="Arial" w:cs="Arial"/>
                <w:vanish/>
                <w:sz w:val="18"/>
                <w:szCs w:val="18"/>
              </w:rPr>
              <w:t>Supplies, Outcome: Added bullet for workload codes.</w:t>
            </w:r>
          </w:p>
          <w:p w14:paraId="248D1CE8" w14:textId="184DC7CD" w:rsidR="003A5DFE" w:rsidRPr="006D3BE8" w:rsidRDefault="003A5DFE" w:rsidP="0002759E">
            <w:pPr>
              <w:ind w:left="136" w:hanging="136"/>
              <w:rPr>
                <w:rFonts w:ascii="Arial" w:hAnsi="Arial" w:cs="Arial"/>
                <w:vanish/>
                <w:sz w:val="18"/>
                <w:szCs w:val="18"/>
              </w:rPr>
            </w:pPr>
            <w:r w:rsidRPr="006D3BE8">
              <w:rPr>
                <w:rFonts w:ascii="Arial" w:hAnsi="Arial" w:cs="Arial"/>
                <w:vanish/>
                <w:sz w:val="18"/>
                <w:szCs w:val="18"/>
              </w:rPr>
              <w:t>Equipment, Outcome: Added bullet for workload codes.</w:t>
            </w:r>
          </w:p>
          <w:p w14:paraId="15F09FA5" w14:textId="7AF6BA9E" w:rsidR="003A5DFE" w:rsidRPr="006D3BE8" w:rsidRDefault="003A5DFE" w:rsidP="0002759E">
            <w:pPr>
              <w:ind w:left="136" w:hanging="136"/>
              <w:rPr>
                <w:rFonts w:ascii="Arial" w:hAnsi="Arial" w:cs="Arial"/>
                <w:vanish/>
                <w:sz w:val="18"/>
                <w:szCs w:val="18"/>
              </w:rPr>
            </w:pPr>
            <w:r w:rsidRPr="006D3BE8">
              <w:rPr>
                <w:rFonts w:ascii="Arial" w:hAnsi="Arial" w:cs="Arial"/>
                <w:vanish/>
                <w:sz w:val="18"/>
                <w:szCs w:val="18"/>
              </w:rPr>
              <w:t>Incoming Shipment, Outcome: Added bullet for workload codes.</w:t>
            </w:r>
          </w:p>
          <w:p w14:paraId="26A2D0EE" w14:textId="1D88887B" w:rsidR="003A5DFE" w:rsidRPr="006D3BE8" w:rsidRDefault="003A5DFE" w:rsidP="0002759E">
            <w:pPr>
              <w:ind w:left="136" w:hanging="136"/>
              <w:rPr>
                <w:rFonts w:ascii="Arial" w:hAnsi="Arial" w:cs="Arial"/>
                <w:vanish/>
                <w:sz w:val="18"/>
                <w:szCs w:val="18"/>
              </w:rPr>
            </w:pPr>
            <w:r w:rsidRPr="006D3BE8">
              <w:rPr>
                <w:rFonts w:ascii="Arial" w:hAnsi="Arial" w:cs="Arial"/>
                <w:vanish/>
                <w:sz w:val="18"/>
                <w:szCs w:val="18"/>
              </w:rPr>
              <w:t>Incoming Shipment, Step 2: Revised Note BR_1.56.</w:t>
            </w:r>
          </w:p>
          <w:p w14:paraId="23DF247A" w14:textId="19E89780" w:rsidR="003A5DFE" w:rsidRPr="006D3BE8" w:rsidRDefault="003A5DFE" w:rsidP="0002759E">
            <w:pPr>
              <w:ind w:left="136" w:hanging="136"/>
              <w:rPr>
                <w:rFonts w:ascii="Arial" w:hAnsi="Arial" w:cs="Arial"/>
                <w:vanish/>
                <w:sz w:val="18"/>
                <w:szCs w:val="18"/>
              </w:rPr>
            </w:pPr>
            <w:r w:rsidRPr="006D3BE8">
              <w:rPr>
                <w:rFonts w:ascii="Arial" w:hAnsi="Arial" w:cs="Arial"/>
                <w:vanish/>
                <w:sz w:val="18"/>
                <w:szCs w:val="18"/>
              </w:rPr>
              <w:t>Outgoing Shipment, Outcome: Added bullet for workload codes.</w:t>
            </w:r>
          </w:p>
          <w:p w14:paraId="32939BA8" w14:textId="0B08C18D" w:rsidR="003A5DFE" w:rsidRPr="006D3BE8" w:rsidRDefault="003A5DFE" w:rsidP="003A5DFE">
            <w:pPr>
              <w:ind w:left="136" w:hanging="136"/>
              <w:rPr>
                <w:rFonts w:ascii="Arial" w:hAnsi="Arial" w:cs="Arial"/>
                <w:vanish/>
                <w:sz w:val="18"/>
                <w:szCs w:val="18"/>
              </w:rPr>
            </w:pPr>
            <w:r w:rsidRPr="006D3BE8">
              <w:rPr>
                <w:rFonts w:ascii="Arial" w:hAnsi="Arial" w:cs="Arial"/>
                <w:vanish/>
                <w:sz w:val="18"/>
                <w:szCs w:val="18"/>
              </w:rPr>
              <w:t>Outgoing Shipment, Step 2: Added bullet for BR_1.56.</w:t>
            </w:r>
          </w:p>
          <w:p w14:paraId="6C72DD60" w14:textId="4E7E230A" w:rsidR="003A5DFE" w:rsidRPr="006D3BE8" w:rsidRDefault="003A5DFE" w:rsidP="003A5DFE">
            <w:pPr>
              <w:ind w:left="136" w:hanging="136"/>
              <w:rPr>
                <w:rFonts w:ascii="Arial" w:hAnsi="Arial" w:cs="Arial"/>
                <w:vanish/>
                <w:sz w:val="18"/>
                <w:szCs w:val="18"/>
              </w:rPr>
            </w:pPr>
            <w:r w:rsidRPr="006D3BE8">
              <w:rPr>
                <w:rFonts w:ascii="Arial" w:hAnsi="Arial" w:cs="Arial"/>
                <w:vanish/>
                <w:sz w:val="18"/>
                <w:szCs w:val="18"/>
              </w:rPr>
              <w:t>Unit Antigen Typing: Removed last Assumptions bullet, added last Outcome bullet for workload codes.</w:t>
            </w:r>
          </w:p>
          <w:p w14:paraId="6FFE3185" w14:textId="77249CD2" w:rsidR="003A5DFE" w:rsidRPr="006D3BE8" w:rsidRDefault="003A5DFE" w:rsidP="003A5DFE">
            <w:pPr>
              <w:ind w:left="136" w:hanging="136"/>
              <w:rPr>
                <w:rFonts w:ascii="Arial" w:hAnsi="Arial" w:cs="Arial"/>
                <w:vanish/>
                <w:sz w:val="18"/>
                <w:szCs w:val="18"/>
              </w:rPr>
            </w:pPr>
            <w:r w:rsidRPr="006D3BE8">
              <w:rPr>
                <w:rFonts w:ascii="Arial" w:hAnsi="Arial" w:cs="Arial"/>
                <w:vanish/>
                <w:sz w:val="18"/>
                <w:szCs w:val="18"/>
              </w:rPr>
              <w:t>Unit Antigen Typing, Step 3: Update Notes for BR_41.04 and BR_41.26 to add comment contexts.</w:t>
            </w:r>
          </w:p>
          <w:p w14:paraId="08B4821C" w14:textId="25C00A7A" w:rsidR="003A5DFE" w:rsidRPr="006D3BE8" w:rsidRDefault="003A5DFE" w:rsidP="003A5DFE">
            <w:pPr>
              <w:ind w:left="136" w:hanging="136"/>
              <w:rPr>
                <w:rFonts w:ascii="Arial" w:hAnsi="Arial" w:cs="Arial"/>
                <w:vanish/>
                <w:sz w:val="18"/>
                <w:szCs w:val="18"/>
              </w:rPr>
            </w:pPr>
            <w:r w:rsidRPr="006D3BE8">
              <w:rPr>
                <w:rFonts w:ascii="Arial" w:hAnsi="Arial" w:cs="Arial"/>
                <w:vanish/>
                <w:sz w:val="18"/>
                <w:szCs w:val="18"/>
              </w:rPr>
              <w:t>Unit Antigen Typing, Step 8: Added Note for BR_27.15.</w:t>
            </w:r>
          </w:p>
          <w:p w14:paraId="5E2C287F" w14:textId="349EB2E2" w:rsidR="003A5DFE" w:rsidRPr="006D3BE8" w:rsidRDefault="003A5DFE" w:rsidP="003A5DFE">
            <w:pPr>
              <w:ind w:left="136" w:hanging="136"/>
              <w:rPr>
                <w:rFonts w:ascii="Arial" w:hAnsi="Arial" w:cs="Arial"/>
                <w:vanish/>
                <w:sz w:val="18"/>
                <w:szCs w:val="18"/>
              </w:rPr>
            </w:pPr>
            <w:r w:rsidRPr="006D3BE8">
              <w:rPr>
                <w:rFonts w:ascii="Arial" w:hAnsi="Arial" w:cs="Arial"/>
                <w:vanish/>
                <w:sz w:val="18"/>
                <w:szCs w:val="18"/>
              </w:rPr>
              <w:t>Modify Units, Outcome: Modified 2nd bullet for workload codes.</w:t>
            </w:r>
          </w:p>
          <w:p w14:paraId="2EF31348" w14:textId="50C01245" w:rsidR="003A5DFE" w:rsidRPr="006D3BE8" w:rsidRDefault="003A5DFE" w:rsidP="003A5DFE">
            <w:pPr>
              <w:ind w:left="136" w:hanging="136"/>
              <w:rPr>
                <w:rFonts w:ascii="Arial" w:hAnsi="Arial" w:cs="Arial"/>
                <w:vanish/>
                <w:sz w:val="18"/>
                <w:szCs w:val="18"/>
              </w:rPr>
            </w:pPr>
            <w:r w:rsidRPr="006D3BE8">
              <w:rPr>
                <w:rFonts w:ascii="Arial" w:hAnsi="Arial" w:cs="Arial"/>
                <w:vanish/>
                <w:sz w:val="18"/>
                <w:szCs w:val="18"/>
              </w:rPr>
              <w:t>Modify Units, Step 12: Modified last Note to remove comment context.</w:t>
            </w:r>
          </w:p>
          <w:p w14:paraId="049DB5ED" w14:textId="3F44F172" w:rsidR="003A5DFE" w:rsidRPr="006D3BE8" w:rsidRDefault="003A5DFE" w:rsidP="003A5DFE">
            <w:pPr>
              <w:ind w:left="136" w:hanging="136"/>
              <w:rPr>
                <w:rFonts w:ascii="Arial" w:hAnsi="Arial" w:cs="Arial"/>
                <w:vanish/>
                <w:sz w:val="18"/>
                <w:szCs w:val="18"/>
              </w:rPr>
            </w:pPr>
            <w:r w:rsidRPr="006D3BE8">
              <w:rPr>
                <w:rFonts w:ascii="Arial" w:hAnsi="Arial" w:cs="Arial"/>
                <w:vanish/>
                <w:sz w:val="18"/>
                <w:szCs w:val="18"/>
              </w:rPr>
              <w:t>Table 5 Alerts</w:t>
            </w:r>
            <w:r w:rsidR="00B87DDC" w:rsidRPr="006D3BE8">
              <w:rPr>
                <w:rFonts w:ascii="Arial" w:hAnsi="Arial" w:cs="Arial"/>
                <w:vanish/>
                <w:sz w:val="18"/>
                <w:szCs w:val="18"/>
              </w:rPr>
              <w:t xml:space="preserve"> That May Occur in Modify Units</w:t>
            </w:r>
            <w:r w:rsidRPr="006D3BE8">
              <w:rPr>
                <w:rFonts w:ascii="Arial" w:hAnsi="Arial" w:cs="Arial"/>
                <w:vanish/>
                <w:sz w:val="18"/>
                <w:szCs w:val="18"/>
              </w:rPr>
              <w:t>, 1st Row: Added comment context.</w:t>
            </w:r>
          </w:p>
          <w:p w14:paraId="02392285" w14:textId="63562377" w:rsidR="003A5DFE" w:rsidRPr="006D3BE8" w:rsidRDefault="003A5DFE" w:rsidP="003A5DFE">
            <w:pPr>
              <w:ind w:left="136" w:hanging="136"/>
              <w:rPr>
                <w:rFonts w:ascii="Arial" w:hAnsi="Arial" w:cs="Arial"/>
                <w:vanish/>
                <w:sz w:val="18"/>
                <w:szCs w:val="18"/>
              </w:rPr>
            </w:pPr>
            <w:r w:rsidRPr="006D3BE8">
              <w:rPr>
                <w:rFonts w:ascii="Arial" w:hAnsi="Arial" w:cs="Arial"/>
                <w:vanish/>
                <w:sz w:val="18"/>
                <w:szCs w:val="18"/>
              </w:rPr>
              <w:t>Add/Remove Units from a Pool, Step 5: Added comment context</w:t>
            </w:r>
            <w:r w:rsidR="008B140A" w:rsidRPr="006D3BE8">
              <w:rPr>
                <w:rFonts w:ascii="Arial" w:hAnsi="Arial" w:cs="Arial"/>
                <w:vanish/>
                <w:sz w:val="18"/>
                <w:szCs w:val="18"/>
              </w:rPr>
              <w:t xml:space="preserve"> to Note BR_24.25</w:t>
            </w:r>
            <w:r w:rsidRPr="006D3BE8">
              <w:rPr>
                <w:rFonts w:ascii="Arial" w:hAnsi="Arial" w:cs="Arial"/>
                <w:vanish/>
                <w:sz w:val="18"/>
                <w:szCs w:val="18"/>
              </w:rPr>
              <w:t>.</w:t>
            </w:r>
          </w:p>
          <w:p w14:paraId="57377F47" w14:textId="69F5EC9A" w:rsidR="003A5DFE" w:rsidRPr="006D3BE8" w:rsidRDefault="003A5DFE" w:rsidP="003A5DFE">
            <w:pPr>
              <w:ind w:left="136" w:hanging="136"/>
              <w:rPr>
                <w:rFonts w:ascii="Arial" w:hAnsi="Arial" w:cs="Arial"/>
                <w:vanish/>
                <w:sz w:val="18"/>
                <w:szCs w:val="18"/>
              </w:rPr>
            </w:pPr>
            <w:r w:rsidRPr="006D3BE8">
              <w:rPr>
                <w:rFonts w:ascii="Arial" w:hAnsi="Arial" w:cs="Arial"/>
                <w:vanish/>
                <w:sz w:val="18"/>
                <w:szCs w:val="18"/>
              </w:rPr>
              <w:t>Edit Unit Information, Outcome: Added bullet for workload codes.</w:t>
            </w:r>
          </w:p>
          <w:p w14:paraId="4BE05A9C" w14:textId="06E027EF" w:rsidR="003A5DFE" w:rsidRPr="006D3BE8" w:rsidRDefault="003A5DFE" w:rsidP="003A5DFE">
            <w:pPr>
              <w:ind w:left="136" w:hanging="136"/>
              <w:rPr>
                <w:rFonts w:ascii="Arial" w:hAnsi="Arial" w:cs="Arial"/>
                <w:vanish/>
                <w:sz w:val="18"/>
                <w:szCs w:val="18"/>
              </w:rPr>
            </w:pPr>
            <w:r w:rsidRPr="006D3BE8">
              <w:rPr>
                <w:rFonts w:ascii="Arial" w:hAnsi="Arial" w:cs="Arial"/>
                <w:vanish/>
                <w:sz w:val="18"/>
                <w:szCs w:val="18"/>
              </w:rPr>
              <w:t xml:space="preserve">Edit Unit Information, Step 3: </w:t>
            </w:r>
            <w:r w:rsidR="008B140A" w:rsidRPr="006D3BE8">
              <w:rPr>
                <w:rFonts w:ascii="Arial" w:hAnsi="Arial" w:cs="Arial"/>
                <w:vanish/>
                <w:sz w:val="18"/>
                <w:szCs w:val="18"/>
              </w:rPr>
              <w:t>Added comment context to</w:t>
            </w:r>
            <w:r w:rsidRPr="006D3BE8">
              <w:rPr>
                <w:rFonts w:ascii="Arial" w:hAnsi="Arial" w:cs="Arial"/>
                <w:vanish/>
                <w:sz w:val="18"/>
                <w:szCs w:val="18"/>
              </w:rPr>
              <w:t xml:space="preserve"> Note BR_70.08.</w:t>
            </w:r>
          </w:p>
          <w:p w14:paraId="4A911DB2" w14:textId="6591E3F9" w:rsidR="003A5DFE" w:rsidRPr="006D3BE8" w:rsidRDefault="003A5DFE" w:rsidP="003A5DFE">
            <w:pPr>
              <w:ind w:left="136" w:hanging="136"/>
              <w:rPr>
                <w:rFonts w:ascii="Arial" w:hAnsi="Arial" w:cs="Arial"/>
                <w:vanish/>
                <w:sz w:val="18"/>
                <w:szCs w:val="18"/>
              </w:rPr>
            </w:pPr>
            <w:r w:rsidRPr="006D3BE8">
              <w:rPr>
                <w:rFonts w:ascii="Arial" w:hAnsi="Arial" w:cs="Arial"/>
                <w:vanish/>
                <w:sz w:val="18"/>
                <w:szCs w:val="18"/>
              </w:rPr>
              <w:t xml:space="preserve">Edit Unit Information, Step 4: </w:t>
            </w:r>
            <w:r w:rsidR="008B140A" w:rsidRPr="006D3BE8">
              <w:rPr>
                <w:rFonts w:ascii="Arial" w:hAnsi="Arial" w:cs="Arial"/>
                <w:vanish/>
                <w:sz w:val="18"/>
                <w:szCs w:val="18"/>
              </w:rPr>
              <w:t>Added comment context to</w:t>
            </w:r>
            <w:r w:rsidRPr="006D3BE8">
              <w:rPr>
                <w:rFonts w:ascii="Arial" w:hAnsi="Arial" w:cs="Arial"/>
                <w:vanish/>
                <w:sz w:val="18"/>
                <w:szCs w:val="18"/>
              </w:rPr>
              <w:t xml:space="preserve"> 2nd bullet.</w:t>
            </w:r>
          </w:p>
          <w:p w14:paraId="76FEE9BF" w14:textId="1A82BA7F" w:rsidR="003A5DFE" w:rsidRPr="006D3BE8" w:rsidRDefault="003A5DFE" w:rsidP="003A5DFE">
            <w:pPr>
              <w:ind w:left="136" w:hanging="136"/>
              <w:rPr>
                <w:rFonts w:ascii="Arial" w:hAnsi="Arial" w:cs="Arial"/>
                <w:vanish/>
                <w:sz w:val="18"/>
                <w:szCs w:val="18"/>
              </w:rPr>
            </w:pPr>
            <w:r w:rsidRPr="006D3BE8">
              <w:rPr>
                <w:rFonts w:ascii="Arial" w:hAnsi="Arial" w:cs="Arial"/>
                <w:vanish/>
                <w:sz w:val="18"/>
                <w:szCs w:val="18"/>
              </w:rPr>
              <w:t>Edit Unit Information, Step 5: Added Note for BR_70.28.</w:t>
            </w:r>
          </w:p>
          <w:p w14:paraId="7E3E6A16" w14:textId="72EFE658" w:rsidR="003A5DFE" w:rsidRPr="006D3BE8" w:rsidRDefault="003A5DFE" w:rsidP="003A5DFE">
            <w:pPr>
              <w:ind w:left="136" w:hanging="136"/>
              <w:rPr>
                <w:rFonts w:ascii="Arial" w:hAnsi="Arial" w:cs="Arial"/>
                <w:vanish/>
                <w:sz w:val="18"/>
                <w:szCs w:val="18"/>
              </w:rPr>
            </w:pPr>
            <w:r w:rsidRPr="006D3BE8">
              <w:rPr>
                <w:rFonts w:ascii="Arial" w:hAnsi="Arial" w:cs="Arial"/>
                <w:vanish/>
                <w:sz w:val="18"/>
                <w:szCs w:val="18"/>
              </w:rPr>
              <w:t xml:space="preserve">Inactivate a Unit, Step 3: </w:t>
            </w:r>
            <w:r w:rsidR="008B140A" w:rsidRPr="006D3BE8">
              <w:rPr>
                <w:rFonts w:ascii="Arial" w:hAnsi="Arial" w:cs="Arial"/>
                <w:vanish/>
                <w:sz w:val="18"/>
                <w:szCs w:val="18"/>
              </w:rPr>
              <w:t>Added comment context to</w:t>
            </w:r>
            <w:r w:rsidRPr="006D3BE8">
              <w:rPr>
                <w:rFonts w:ascii="Arial" w:hAnsi="Arial" w:cs="Arial"/>
                <w:vanish/>
                <w:sz w:val="18"/>
                <w:szCs w:val="18"/>
              </w:rPr>
              <w:t xml:space="preserve"> Note BR_70.11.</w:t>
            </w:r>
          </w:p>
          <w:p w14:paraId="6D8575AC" w14:textId="243958DB" w:rsidR="003A5DFE" w:rsidRPr="006D3BE8" w:rsidRDefault="003A5DFE" w:rsidP="003A5DFE">
            <w:pPr>
              <w:ind w:left="136" w:hanging="136"/>
              <w:rPr>
                <w:rFonts w:ascii="Arial" w:hAnsi="Arial" w:cs="Arial"/>
                <w:vanish/>
                <w:sz w:val="18"/>
                <w:szCs w:val="18"/>
              </w:rPr>
            </w:pPr>
            <w:r w:rsidRPr="006D3BE8">
              <w:rPr>
                <w:rFonts w:ascii="Arial" w:hAnsi="Arial" w:cs="Arial"/>
                <w:vanish/>
                <w:sz w:val="18"/>
                <w:szCs w:val="18"/>
              </w:rPr>
              <w:t>Free Directed Unit for Crossover, Outcome: Added bullet for workload codes.</w:t>
            </w:r>
          </w:p>
          <w:p w14:paraId="3A965F7D" w14:textId="47127E4F" w:rsidR="003A5DFE" w:rsidRPr="006D3BE8" w:rsidRDefault="003A5DFE" w:rsidP="003A5DFE">
            <w:pPr>
              <w:ind w:left="136" w:hanging="136"/>
              <w:rPr>
                <w:rFonts w:ascii="Arial" w:hAnsi="Arial" w:cs="Arial"/>
                <w:vanish/>
                <w:sz w:val="18"/>
                <w:szCs w:val="18"/>
              </w:rPr>
            </w:pPr>
            <w:r w:rsidRPr="006D3BE8">
              <w:rPr>
                <w:rFonts w:ascii="Arial" w:hAnsi="Arial" w:cs="Arial"/>
                <w:vanish/>
                <w:sz w:val="18"/>
                <w:szCs w:val="18"/>
              </w:rPr>
              <w:t>Discard or Quarantine, Outcome: Added bullet for workload codes.</w:t>
            </w:r>
          </w:p>
          <w:p w14:paraId="3E0B7332" w14:textId="2194B3EC" w:rsidR="003A5DFE" w:rsidRPr="006D3BE8" w:rsidRDefault="003A5DFE" w:rsidP="003A5DFE">
            <w:pPr>
              <w:ind w:left="136" w:hanging="136"/>
              <w:rPr>
                <w:rFonts w:ascii="Arial" w:hAnsi="Arial" w:cs="Arial"/>
                <w:vanish/>
                <w:sz w:val="18"/>
                <w:szCs w:val="18"/>
              </w:rPr>
            </w:pPr>
            <w:r w:rsidRPr="006D3BE8">
              <w:rPr>
                <w:rFonts w:ascii="Arial" w:hAnsi="Arial" w:cs="Arial"/>
                <w:vanish/>
                <w:sz w:val="18"/>
                <w:szCs w:val="18"/>
              </w:rPr>
              <w:t xml:space="preserve">Discard or Quarantine Individual Units, Step 6: </w:t>
            </w:r>
            <w:r w:rsidR="008B140A" w:rsidRPr="006D3BE8">
              <w:rPr>
                <w:rFonts w:ascii="Arial" w:hAnsi="Arial" w:cs="Arial"/>
                <w:vanish/>
                <w:sz w:val="18"/>
                <w:szCs w:val="18"/>
              </w:rPr>
              <w:t>Added comment context to</w:t>
            </w:r>
            <w:r w:rsidRPr="006D3BE8">
              <w:rPr>
                <w:rFonts w:ascii="Arial" w:hAnsi="Arial" w:cs="Arial"/>
                <w:vanish/>
                <w:sz w:val="18"/>
                <w:szCs w:val="18"/>
              </w:rPr>
              <w:t xml:space="preserve"> Note BR_27.11</w:t>
            </w:r>
            <w:r w:rsidR="008B140A" w:rsidRPr="006D3BE8">
              <w:rPr>
                <w:rFonts w:ascii="Arial" w:hAnsi="Arial" w:cs="Arial"/>
                <w:vanish/>
                <w:sz w:val="18"/>
                <w:szCs w:val="18"/>
              </w:rPr>
              <w:t>.</w:t>
            </w:r>
          </w:p>
          <w:p w14:paraId="10092940" w14:textId="61466394" w:rsidR="003A5DFE" w:rsidRPr="006D3BE8" w:rsidRDefault="003A5DFE" w:rsidP="003A5DFE">
            <w:pPr>
              <w:ind w:left="136" w:hanging="136"/>
              <w:rPr>
                <w:rFonts w:ascii="Arial" w:hAnsi="Arial" w:cs="Arial"/>
                <w:vanish/>
                <w:sz w:val="18"/>
                <w:szCs w:val="18"/>
              </w:rPr>
            </w:pPr>
            <w:r w:rsidRPr="006D3BE8">
              <w:rPr>
                <w:rFonts w:ascii="Arial" w:hAnsi="Arial" w:cs="Arial"/>
                <w:vanish/>
                <w:sz w:val="18"/>
                <w:szCs w:val="18"/>
              </w:rPr>
              <w:t xml:space="preserve">Discard or Quarantine Individual Units, Step 7: </w:t>
            </w:r>
            <w:r w:rsidR="008B140A" w:rsidRPr="006D3BE8">
              <w:rPr>
                <w:rFonts w:ascii="Arial" w:hAnsi="Arial" w:cs="Arial"/>
                <w:vanish/>
                <w:sz w:val="18"/>
                <w:szCs w:val="18"/>
              </w:rPr>
              <w:t>Added comment context to</w:t>
            </w:r>
            <w:r w:rsidRPr="006D3BE8">
              <w:rPr>
                <w:rFonts w:ascii="Arial" w:hAnsi="Arial" w:cs="Arial"/>
                <w:vanish/>
                <w:sz w:val="18"/>
                <w:szCs w:val="18"/>
              </w:rPr>
              <w:t xml:space="preserve"> Note BR_27.14.</w:t>
            </w:r>
          </w:p>
          <w:p w14:paraId="7D8EA32A" w14:textId="130772A2" w:rsidR="003A5DFE" w:rsidRPr="006D3BE8" w:rsidRDefault="003A5DFE" w:rsidP="003A5DFE">
            <w:pPr>
              <w:ind w:left="136" w:hanging="136"/>
              <w:rPr>
                <w:rFonts w:ascii="Arial" w:hAnsi="Arial" w:cs="Arial"/>
                <w:vanish/>
                <w:sz w:val="18"/>
                <w:szCs w:val="18"/>
              </w:rPr>
            </w:pPr>
            <w:r w:rsidRPr="006D3BE8">
              <w:rPr>
                <w:rFonts w:ascii="Arial" w:hAnsi="Arial" w:cs="Arial"/>
                <w:vanish/>
                <w:sz w:val="18"/>
                <w:szCs w:val="18"/>
              </w:rPr>
              <w:t xml:space="preserve">Discard or Quarantine Units by Invoice, Step 4: </w:t>
            </w:r>
            <w:r w:rsidR="008B140A" w:rsidRPr="006D3BE8">
              <w:rPr>
                <w:rFonts w:ascii="Arial" w:hAnsi="Arial" w:cs="Arial"/>
                <w:vanish/>
                <w:sz w:val="18"/>
                <w:szCs w:val="18"/>
              </w:rPr>
              <w:t xml:space="preserve">Added comment context to </w:t>
            </w:r>
            <w:r w:rsidRPr="006D3BE8">
              <w:rPr>
                <w:rFonts w:ascii="Arial" w:hAnsi="Arial" w:cs="Arial"/>
                <w:vanish/>
                <w:sz w:val="18"/>
                <w:szCs w:val="18"/>
              </w:rPr>
              <w:t>Note BR_27.11.</w:t>
            </w:r>
          </w:p>
          <w:p w14:paraId="30CB2D7B" w14:textId="3CAB89C4" w:rsidR="003A5DFE" w:rsidRPr="006D3BE8" w:rsidRDefault="003A5DFE" w:rsidP="003A5DFE">
            <w:pPr>
              <w:ind w:left="136" w:hanging="136"/>
              <w:rPr>
                <w:rFonts w:ascii="Arial" w:hAnsi="Arial" w:cs="Arial"/>
                <w:vanish/>
                <w:sz w:val="18"/>
                <w:szCs w:val="18"/>
              </w:rPr>
            </w:pPr>
            <w:r w:rsidRPr="006D3BE8">
              <w:rPr>
                <w:rFonts w:ascii="Arial" w:hAnsi="Arial" w:cs="Arial"/>
                <w:vanish/>
                <w:sz w:val="18"/>
                <w:szCs w:val="18"/>
              </w:rPr>
              <w:t xml:space="preserve">Discard or Quarantine Units by Invoice, Step 5: </w:t>
            </w:r>
            <w:r w:rsidR="008B140A" w:rsidRPr="006D3BE8">
              <w:rPr>
                <w:rFonts w:ascii="Arial" w:hAnsi="Arial" w:cs="Arial"/>
                <w:vanish/>
                <w:sz w:val="18"/>
                <w:szCs w:val="18"/>
              </w:rPr>
              <w:t xml:space="preserve">Added comment context to </w:t>
            </w:r>
            <w:r w:rsidRPr="006D3BE8">
              <w:rPr>
                <w:rFonts w:ascii="Arial" w:hAnsi="Arial" w:cs="Arial"/>
                <w:vanish/>
                <w:sz w:val="18"/>
                <w:szCs w:val="18"/>
              </w:rPr>
              <w:t>Note BR_27.14.</w:t>
            </w:r>
          </w:p>
          <w:p w14:paraId="272EB778" w14:textId="2B8471BF" w:rsidR="003A5DFE" w:rsidRPr="006D3BE8" w:rsidRDefault="003A5DFE" w:rsidP="003A5DFE">
            <w:pPr>
              <w:ind w:left="136" w:hanging="136"/>
              <w:rPr>
                <w:rFonts w:ascii="Arial" w:hAnsi="Arial" w:cs="Arial"/>
                <w:vanish/>
                <w:sz w:val="18"/>
                <w:szCs w:val="18"/>
              </w:rPr>
            </w:pPr>
            <w:r w:rsidRPr="006D3BE8">
              <w:rPr>
                <w:rFonts w:ascii="Arial" w:hAnsi="Arial" w:cs="Arial"/>
                <w:vanish/>
                <w:sz w:val="18"/>
                <w:szCs w:val="18"/>
              </w:rPr>
              <w:t>Select Units, Outcome: Added bullet for workload codes.</w:t>
            </w:r>
          </w:p>
          <w:p w14:paraId="7C2E8295" w14:textId="1A506850" w:rsidR="003A5DFE" w:rsidRPr="006D3BE8" w:rsidRDefault="003A5DFE" w:rsidP="003A5DFE">
            <w:pPr>
              <w:ind w:left="136" w:hanging="136"/>
              <w:rPr>
                <w:rFonts w:ascii="Arial" w:hAnsi="Arial" w:cs="Arial"/>
                <w:vanish/>
                <w:sz w:val="18"/>
                <w:szCs w:val="18"/>
              </w:rPr>
            </w:pPr>
            <w:r w:rsidRPr="006D3BE8">
              <w:rPr>
                <w:rFonts w:ascii="Arial" w:hAnsi="Arial" w:cs="Arial"/>
                <w:vanish/>
                <w:sz w:val="18"/>
                <w:szCs w:val="18"/>
              </w:rPr>
              <w:t>Table 6 Alerts</w:t>
            </w:r>
            <w:r w:rsidR="008B140A" w:rsidRPr="006D3BE8">
              <w:rPr>
                <w:rFonts w:ascii="Arial" w:hAnsi="Arial" w:cs="Arial"/>
                <w:vanish/>
                <w:sz w:val="18"/>
                <w:szCs w:val="18"/>
              </w:rPr>
              <w:t xml:space="preserve"> That May Occur in Select Units</w:t>
            </w:r>
            <w:r w:rsidRPr="006D3BE8">
              <w:rPr>
                <w:rFonts w:ascii="Arial" w:hAnsi="Arial" w:cs="Arial"/>
                <w:vanish/>
                <w:sz w:val="18"/>
                <w:szCs w:val="18"/>
              </w:rPr>
              <w:t>, 10th, 2</w:t>
            </w:r>
            <w:r w:rsidR="00891A5E" w:rsidRPr="006D3BE8">
              <w:rPr>
                <w:rFonts w:ascii="Arial" w:hAnsi="Arial" w:cs="Arial"/>
                <w:vanish/>
                <w:sz w:val="18"/>
                <w:szCs w:val="18"/>
              </w:rPr>
              <w:t>6</w:t>
            </w:r>
            <w:r w:rsidRPr="006D3BE8">
              <w:rPr>
                <w:rFonts w:ascii="Arial" w:hAnsi="Arial" w:cs="Arial"/>
                <w:vanish/>
                <w:sz w:val="18"/>
                <w:szCs w:val="18"/>
              </w:rPr>
              <w:t>th and 2</w:t>
            </w:r>
            <w:r w:rsidR="00891A5E" w:rsidRPr="006D3BE8">
              <w:rPr>
                <w:rFonts w:ascii="Arial" w:hAnsi="Arial" w:cs="Arial"/>
                <w:vanish/>
                <w:sz w:val="18"/>
                <w:szCs w:val="18"/>
              </w:rPr>
              <w:t>7</w:t>
            </w:r>
            <w:r w:rsidRPr="006D3BE8">
              <w:rPr>
                <w:rFonts w:ascii="Arial" w:hAnsi="Arial" w:cs="Arial"/>
                <w:vanish/>
                <w:sz w:val="18"/>
                <w:szCs w:val="18"/>
              </w:rPr>
              <w:t>th Rows: Added comment context.</w:t>
            </w:r>
          </w:p>
          <w:p w14:paraId="25DA94FF" w14:textId="130C6616" w:rsidR="003A5DFE" w:rsidRPr="006D3BE8" w:rsidRDefault="003A5DFE" w:rsidP="003A5DFE">
            <w:pPr>
              <w:ind w:left="136" w:hanging="136"/>
              <w:rPr>
                <w:rFonts w:ascii="Arial" w:hAnsi="Arial" w:cs="Arial"/>
                <w:vanish/>
                <w:sz w:val="18"/>
                <w:szCs w:val="18"/>
              </w:rPr>
            </w:pPr>
            <w:r w:rsidRPr="006D3BE8">
              <w:rPr>
                <w:rFonts w:ascii="Arial" w:hAnsi="Arial" w:cs="Arial"/>
                <w:vanish/>
                <w:sz w:val="18"/>
                <w:szCs w:val="18"/>
              </w:rPr>
              <w:t>Issue Blood Components, Outcome: Added bullet for workload codes.</w:t>
            </w:r>
          </w:p>
          <w:p w14:paraId="53012103" w14:textId="77777777" w:rsidR="003A5DFE" w:rsidRPr="006D3BE8" w:rsidRDefault="003A5DFE" w:rsidP="003A5DFE">
            <w:pPr>
              <w:ind w:left="136" w:hanging="136"/>
              <w:rPr>
                <w:rFonts w:ascii="Arial" w:hAnsi="Arial" w:cs="Arial"/>
                <w:vanish/>
                <w:sz w:val="18"/>
                <w:szCs w:val="18"/>
              </w:rPr>
            </w:pPr>
            <w:r w:rsidRPr="006D3BE8">
              <w:rPr>
                <w:rFonts w:ascii="Arial" w:hAnsi="Arial" w:cs="Arial"/>
                <w:vanish/>
                <w:sz w:val="18"/>
                <w:szCs w:val="18"/>
              </w:rPr>
              <w:t>Issue Blood Components: Moved first Additional Information bullet to be last bullet under Limitations and Restrictions.</w:t>
            </w:r>
          </w:p>
          <w:p w14:paraId="2C197811" w14:textId="1EFF0168" w:rsidR="003A5DFE" w:rsidRPr="006D3BE8" w:rsidRDefault="003A5DFE" w:rsidP="003A5DFE">
            <w:pPr>
              <w:ind w:left="136" w:hanging="136"/>
              <w:rPr>
                <w:rFonts w:ascii="Arial" w:hAnsi="Arial" w:cs="Arial"/>
                <w:vanish/>
                <w:sz w:val="18"/>
                <w:szCs w:val="18"/>
              </w:rPr>
            </w:pPr>
            <w:r w:rsidRPr="006D3BE8">
              <w:rPr>
                <w:rFonts w:ascii="Arial" w:hAnsi="Arial" w:cs="Arial"/>
                <w:vanish/>
                <w:sz w:val="18"/>
                <w:szCs w:val="18"/>
              </w:rPr>
              <w:t>Table 7 Alerts</w:t>
            </w:r>
            <w:r w:rsidR="008B140A" w:rsidRPr="006D3BE8">
              <w:rPr>
                <w:rFonts w:ascii="Arial" w:hAnsi="Arial" w:cs="Arial"/>
                <w:vanish/>
                <w:sz w:val="18"/>
                <w:szCs w:val="18"/>
              </w:rPr>
              <w:t xml:space="preserve"> That May Occur in Issue Blood Components (Routine)</w:t>
            </w:r>
            <w:r w:rsidRPr="006D3BE8">
              <w:rPr>
                <w:rFonts w:ascii="Arial" w:hAnsi="Arial" w:cs="Arial"/>
                <w:vanish/>
                <w:sz w:val="18"/>
                <w:szCs w:val="18"/>
              </w:rPr>
              <w:t>, 4th, 6th, 10th, 1</w:t>
            </w:r>
            <w:r w:rsidR="00891A5E" w:rsidRPr="006D3BE8">
              <w:rPr>
                <w:rFonts w:ascii="Arial" w:hAnsi="Arial" w:cs="Arial"/>
                <w:vanish/>
                <w:sz w:val="18"/>
                <w:szCs w:val="18"/>
              </w:rPr>
              <w:t>2</w:t>
            </w:r>
            <w:r w:rsidRPr="006D3BE8">
              <w:rPr>
                <w:rFonts w:ascii="Arial" w:hAnsi="Arial" w:cs="Arial"/>
                <w:vanish/>
                <w:sz w:val="18"/>
                <w:szCs w:val="18"/>
              </w:rPr>
              <w:t>th, 1</w:t>
            </w:r>
            <w:r w:rsidR="00891A5E" w:rsidRPr="006D3BE8">
              <w:rPr>
                <w:rFonts w:ascii="Arial" w:hAnsi="Arial" w:cs="Arial"/>
                <w:vanish/>
                <w:sz w:val="18"/>
                <w:szCs w:val="18"/>
              </w:rPr>
              <w:t>3</w:t>
            </w:r>
            <w:r w:rsidRPr="006D3BE8">
              <w:rPr>
                <w:rFonts w:ascii="Arial" w:hAnsi="Arial" w:cs="Arial"/>
                <w:vanish/>
                <w:sz w:val="18"/>
                <w:szCs w:val="18"/>
              </w:rPr>
              <w:t>th, 1</w:t>
            </w:r>
            <w:r w:rsidR="00891A5E" w:rsidRPr="006D3BE8">
              <w:rPr>
                <w:rFonts w:ascii="Arial" w:hAnsi="Arial" w:cs="Arial"/>
                <w:vanish/>
                <w:sz w:val="18"/>
                <w:szCs w:val="18"/>
              </w:rPr>
              <w:t>5</w:t>
            </w:r>
            <w:r w:rsidRPr="006D3BE8">
              <w:rPr>
                <w:rFonts w:ascii="Arial" w:hAnsi="Arial" w:cs="Arial"/>
                <w:vanish/>
                <w:sz w:val="18"/>
                <w:szCs w:val="18"/>
              </w:rPr>
              <w:t>th,</w:t>
            </w:r>
            <w:r w:rsidR="00891A5E" w:rsidRPr="006D3BE8">
              <w:rPr>
                <w:rFonts w:ascii="Arial" w:hAnsi="Arial" w:cs="Arial"/>
                <w:vanish/>
                <w:sz w:val="18"/>
                <w:szCs w:val="18"/>
              </w:rPr>
              <w:t xml:space="preserve"> and</w:t>
            </w:r>
            <w:r w:rsidRPr="006D3BE8">
              <w:rPr>
                <w:rFonts w:ascii="Arial" w:hAnsi="Arial" w:cs="Arial"/>
                <w:vanish/>
                <w:sz w:val="18"/>
                <w:szCs w:val="18"/>
              </w:rPr>
              <w:t xml:space="preserve"> 1</w:t>
            </w:r>
            <w:r w:rsidR="00891A5E" w:rsidRPr="006D3BE8">
              <w:rPr>
                <w:rFonts w:ascii="Arial" w:hAnsi="Arial" w:cs="Arial"/>
                <w:vanish/>
                <w:sz w:val="18"/>
                <w:szCs w:val="18"/>
              </w:rPr>
              <w:t>6</w:t>
            </w:r>
            <w:r w:rsidRPr="006D3BE8">
              <w:rPr>
                <w:rFonts w:ascii="Arial" w:hAnsi="Arial" w:cs="Arial"/>
                <w:vanish/>
                <w:sz w:val="18"/>
                <w:szCs w:val="18"/>
              </w:rPr>
              <w:t>th Rows: Added comment context.</w:t>
            </w:r>
          </w:p>
          <w:p w14:paraId="2E9E365B" w14:textId="74F32BCF" w:rsidR="003A5DFE" w:rsidRPr="006D3BE8" w:rsidRDefault="003A5DFE" w:rsidP="003A5DFE">
            <w:pPr>
              <w:ind w:left="136" w:hanging="136"/>
              <w:rPr>
                <w:rFonts w:ascii="Arial" w:hAnsi="Arial" w:cs="Arial"/>
                <w:vanish/>
                <w:sz w:val="18"/>
                <w:szCs w:val="18"/>
              </w:rPr>
            </w:pPr>
            <w:r w:rsidRPr="006D3BE8">
              <w:rPr>
                <w:rFonts w:ascii="Arial" w:hAnsi="Arial" w:cs="Arial"/>
                <w:vanish/>
                <w:sz w:val="18"/>
                <w:szCs w:val="18"/>
              </w:rPr>
              <w:t>Table 8 Alerts That May Occur in Issue Blood Components (Emergency), 4th, 9th, 11th, 12th, 13th, 14th Rows: Added comment context.</w:t>
            </w:r>
          </w:p>
          <w:p w14:paraId="6EC674B8" w14:textId="5DB50839" w:rsidR="003A5DFE" w:rsidRPr="006D3BE8" w:rsidRDefault="003A5DFE" w:rsidP="003A5DFE">
            <w:pPr>
              <w:ind w:left="136" w:hanging="136"/>
              <w:rPr>
                <w:rFonts w:ascii="Arial" w:hAnsi="Arial" w:cs="Arial"/>
                <w:vanish/>
                <w:sz w:val="18"/>
                <w:szCs w:val="18"/>
              </w:rPr>
            </w:pPr>
            <w:r w:rsidRPr="006D3BE8">
              <w:rPr>
                <w:rFonts w:ascii="Arial" w:hAnsi="Arial" w:cs="Arial"/>
                <w:vanish/>
                <w:sz w:val="18"/>
                <w:szCs w:val="18"/>
              </w:rPr>
              <w:t>Return Issued Units to Blood Bank, Outcome: Added bullet for workload codes.</w:t>
            </w:r>
          </w:p>
          <w:p w14:paraId="566AFF97" w14:textId="05094F53" w:rsidR="003A5DFE" w:rsidRPr="006D3BE8" w:rsidRDefault="003A5DFE" w:rsidP="003A5DFE">
            <w:pPr>
              <w:ind w:left="136" w:hanging="136"/>
              <w:rPr>
                <w:rFonts w:ascii="Arial" w:hAnsi="Arial" w:cs="Arial"/>
                <w:vanish/>
                <w:sz w:val="18"/>
                <w:szCs w:val="18"/>
              </w:rPr>
            </w:pPr>
            <w:r w:rsidRPr="006D3BE8">
              <w:rPr>
                <w:rFonts w:ascii="Arial" w:hAnsi="Arial" w:cs="Arial"/>
                <w:vanish/>
                <w:sz w:val="18"/>
                <w:szCs w:val="18"/>
              </w:rPr>
              <w:t>Release Units From Patient Assignment, Outcome: Added bullet for workload codes.</w:t>
            </w:r>
          </w:p>
          <w:p w14:paraId="5FECA867" w14:textId="5134C3BF" w:rsidR="003A5DFE" w:rsidRPr="006D3BE8" w:rsidRDefault="003A5DFE" w:rsidP="003A5DFE">
            <w:pPr>
              <w:ind w:left="136" w:hanging="136"/>
              <w:rPr>
                <w:rFonts w:ascii="Arial" w:hAnsi="Arial" w:cs="Arial"/>
                <w:vanish/>
                <w:sz w:val="18"/>
                <w:szCs w:val="18"/>
              </w:rPr>
            </w:pPr>
            <w:r w:rsidRPr="006D3BE8">
              <w:rPr>
                <w:rFonts w:ascii="Arial" w:hAnsi="Arial" w:cs="Arial"/>
                <w:vanish/>
                <w:sz w:val="18"/>
                <w:szCs w:val="18"/>
              </w:rPr>
              <w:t>Invalidate Test Results, Outcome: Added bullet for workload codes.</w:t>
            </w:r>
          </w:p>
          <w:p w14:paraId="0B61F5ED" w14:textId="68B56B33" w:rsidR="003A5DFE" w:rsidRPr="006D3BE8" w:rsidRDefault="003A5DFE" w:rsidP="003A5DFE">
            <w:pPr>
              <w:ind w:left="136" w:hanging="136"/>
              <w:rPr>
                <w:rFonts w:ascii="Arial" w:hAnsi="Arial" w:cs="Arial"/>
                <w:vanish/>
                <w:sz w:val="18"/>
                <w:szCs w:val="18"/>
              </w:rPr>
            </w:pPr>
            <w:r w:rsidRPr="006D3BE8">
              <w:rPr>
                <w:rFonts w:ascii="Arial" w:hAnsi="Arial" w:cs="Arial"/>
                <w:vanish/>
                <w:sz w:val="18"/>
                <w:szCs w:val="18"/>
              </w:rPr>
              <w:t>Invalidate Test Results, Step 5: Added Note for BR_94.14.</w:t>
            </w:r>
          </w:p>
          <w:p w14:paraId="78012D32" w14:textId="704650BF" w:rsidR="003A5DFE" w:rsidRPr="006D3BE8" w:rsidRDefault="003A5DFE" w:rsidP="003A5DFE">
            <w:pPr>
              <w:ind w:left="136" w:hanging="136"/>
              <w:rPr>
                <w:rFonts w:ascii="Arial" w:hAnsi="Arial" w:cs="Arial"/>
                <w:vanish/>
                <w:sz w:val="18"/>
                <w:szCs w:val="18"/>
              </w:rPr>
            </w:pPr>
            <w:r w:rsidRPr="006D3BE8">
              <w:rPr>
                <w:rFonts w:ascii="Arial" w:hAnsi="Arial" w:cs="Arial"/>
                <w:vanish/>
                <w:sz w:val="18"/>
                <w:szCs w:val="18"/>
              </w:rPr>
              <w:t>Remove Final Status, Outcome: Added bullet for workload codes.</w:t>
            </w:r>
          </w:p>
          <w:p w14:paraId="0E4E0FA3" w14:textId="5494B1D6" w:rsidR="003A5DFE" w:rsidRPr="006D3BE8" w:rsidRDefault="003A5DFE" w:rsidP="003A5DFE">
            <w:pPr>
              <w:ind w:left="136" w:hanging="136"/>
              <w:rPr>
                <w:rFonts w:ascii="Arial" w:hAnsi="Arial" w:cs="Arial"/>
                <w:vanish/>
                <w:sz w:val="18"/>
                <w:szCs w:val="18"/>
              </w:rPr>
            </w:pPr>
            <w:r w:rsidRPr="006D3BE8">
              <w:rPr>
                <w:rFonts w:ascii="Arial" w:hAnsi="Arial" w:cs="Arial"/>
                <w:vanish/>
                <w:sz w:val="18"/>
                <w:szCs w:val="18"/>
              </w:rPr>
              <w:t>Accept Orders: Accept an Order, Outcome: Added bullet for workload codes.</w:t>
            </w:r>
          </w:p>
          <w:p w14:paraId="66F33B7F" w14:textId="677741B8" w:rsidR="003A5DFE" w:rsidRPr="006D3BE8" w:rsidRDefault="003A5DFE" w:rsidP="003A5DFE">
            <w:pPr>
              <w:ind w:left="136" w:hanging="136"/>
              <w:rPr>
                <w:rFonts w:ascii="Arial" w:hAnsi="Arial" w:cs="Arial"/>
                <w:vanish/>
                <w:sz w:val="18"/>
                <w:szCs w:val="18"/>
              </w:rPr>
            </w:pPr>
            <w:r w:rsidRPr="006D3BE8">
              <w:rPr>
                <w:rFonts w:ascii="Arial" w:hAnsi="Arial" w:cs="Arial"/>
                <w:vanish/>
                <w:sz w:val="18"/>
                <w:szCs w:val="18"/>
              </w:rPr>
              <w:t>Maintain Specimen, Outcome: Added bullet for workload codes.</w:t>
            </w:r>
          </w:p>
          <w:p w14:paraId="1EE1EAEE" w14:textId="25059339" w:rsidR="003A5DFE" w:rsidRPr="006D3BE8" w:rsidRDefault="003A5DFE" w:rsidP="003A5DFE">
            <w:pPr>
              <w:ind w:left="136" w:hanging="136"/>
              <w:rPr>
                <w:rFonts w:ascii="Arial" w:hAnsi="Arial" w:cs="Arial"/>
                <w:vanish/>
                <w:sz w:val="18"/>
                <w:szCs w:val="18"/>
              </w:rPr>
            </w:pPr>
            <w:r w:rsidRPr="006D3BE8">
              <w:rPr>
                <w:rFonts w:ascii="Arial" w:hAnsi="Arial" w:cs="Arial"/>
                <w:vanish/>
                <w:sz w:val="18"/>
                <w:szCs w:val="18"/>
              </w:rPr>
              <w:t>Maintain Specimen, Step 2: Added Note for BR_35.24.</w:t>
            </w:r>
          </w:p>
          <w:p w14:paraId="79563AA9" w14:textId="65212E05" w:rsidR="003A5DFE" w:rsidRPr="006D3BE8" w:rsidRDefault="003A5DFE" w:rsidP="003A5DFE">
            <w:pPr>
              <w:ind w:left="136" w:hanging="136"/>
              <w:rPr>
                <w:rFonts w:ascii="Arial" w:hAnsi="Arial" w:cs="Arial"/>
                <w:vanish/>
                <w:sz w:val="18"/>
                <w:szCs w:val="18"/>
              </w:rPr>
            </w:pPr>
            <w:r w:rsidRPr="006D3BE8">
              <w:rPr>
                <w:rFonts w:ascii="Arial" w:hAnsi="Arial" w:cs="Arial"/>
                <w:vanish/>
                <w:sz w:val="18"/>
                <w:szCs w:val="18"/>
              </w:rPr>
              <w:t>Patient Testing: Cancel an Active Order, Outcome: Added bullet for workload codes.</w:t>
            </w:r>
          </w:p>
          <w:p w14:paraId="058CFDA4" w14:textId="11116355" w:rsidR="003A5DFE" w:rsidRPr="006D3BE8" w:rsidRDefault="003A5DFE" w:rsidP="003A5DFE">
            <w:pPr>
              <w:ind w:left="136" w:hanging="136"/>
              <w:rPr>
                <w:rFonts w:ascii="Arial" w:hAnsi="Arial" w:cs="Arial"/>
                <w:vanish/>
                <w:sz w:val="18"/>
                <w:szCs w:val="18"/>
              </w:rPr>
            </w:pPr>
            <w:r w:rsidRPr="006D3BE8">
              <w:rPr>
                <w:rFonts w:ascii="Arial" w:hAnsi="Arial" w:cs="Arial"/>
                <w:vanish/>
                <w:sz w:val="18"/>
                <w:szCs w:val="18"/>
              </w:rPr>
              <w:t>Patient Testing: Cancel an Active Order, Limitations and Restrictions: Added bullet for CPRS not updating when VistALink is not running.</w:t>
            </w:r>
          </w:p>
          <w:p w14:paraId="546537D7" w14:textId="3A737E84" w:rsidR="003A5DFE" w:rsidRPr="006D3BE8" w:rsidRDefault="003A5DFE" w:rsidP="003A5DFE">
            <w:pPr>
              <w:ind w:left="136" w:hanging="136"/>
              <w:rPr>
                <w:rFonts w:ascii="Arial" w:hAnsi="Arial" w:cs="Arial"/>
                <w:vanish/>
                <w:sz w:val="18"/>
                <w:szCs w:val="18"/>
              </w:rPr>
            </w:pPr>
            <w:r w:rsidRPr="006D3BE8">
              <w:rPr>
                <w:rFonts w:ascii="Arial" w:hAnsi="Arial" w:cs="Arial"/>
                <w:vanish/>
                <w:sz w:val="18"/>
                <w:szCs w:val="18"/>
              </w:rPr>
              <w:t>Accept Orders: Cancel a Pending Order, Outcome: Added bullet for workload codes.</w:t>
            </w:r>
          </w:p>
          <w:p w14:paraId="7715DA22" w14:textId="432DCEF3" w:rsidR="003A5DFE" w:rsidRPr="006D3BE8" w:rsidRDefault="003A5DFE" w:rsidP="003A5DFE">
            <w:pPr>
              <w:ind w:left="136" w:hanging="136"/>
              <w:rPr>
                <w:rFonts w:ascii="Arial" w:hAnsi="Arial" w:cs="Arial"/>
                <w:vanish/>
                <w:sz w:val="18"/>
                <w:szCs w:val="18"/>
              </w:rPr>
            </w:pPr>
            <w:r w:rsidRPr="006D3BE8">
              <w:rPr>
                <w:rFonts w:ascii="Arial" w:hAnsi="Arial" w:cs="Arial"/>
                <w:vanish/>
                <w:sz w:val="18"/>
                <w:szCs w:val="18"/>
              </w:rPr>
              <w:t>Patient Testing: General Instructions, Outcome: Added bullet for workload codes.</w:t>
            </w:r>
          </w:p>
          <w:p w14:paraId="1026EB09" w14:textId="5BBF2AC6" w:rsidR="003A5DFE" w:rsidRPr="006D3BE8" w:rsidRDefault="003A5DFE" w:rsidP="003A5DFE">
            <w:pPr>
              <w:ind w:left="136" w:hanging="136"/>
              <w:rPr>
                <w:rFonts w:ascii="Arial" w:hAnsi="Arial" w:cs="Arial"/>
                <w:vanish/>
                <w:sz w:val="18"/>
                <w:szCs w:val="18"/>
              </w:rPr>
            </w:pPr>
            <w:r w:rsidRPr="006D3BE8">
              <w:rPr>
                <w:rFonts w:ascii="Arial" w:hAnsi="Arial" w:cs="Arial"/>
                <w:vanish/>
                <w:sz w:val="18"/>
                <w:szCs w:val="18"/>
              </w:rPr>
              <w:t>Table 10 Alerts That May Occur in Patient Testing: General Instructions, 1st Row: Added comment context.</w:t>
            </w:r>
          </w:p>
          <w:p w14:paraId="3FD0657A" w14:textId="0634112A" w:rsidR="003A5DFE" w:rsidRPr="006D3BE8" w:rsidRDefault="003A5DFE" w:rsidP="003A5DFE">
            <w:pPr>
              <w:ind w:left="136" w:hanging="136"/>
              <w:rPr>
                <w:rFonts w:ascii="Arial" w:hAnsi="Arial" w:cs="Arial"/>
                <w:vanish/>
                <w:sz w:val="18"/>
                <w:szCs w:val="18"/>
              </w:rPr>
            </w:pPr>
            <w:r w:rsidRPr="006D3BE8">
              <w:rPr>
                <w:rFonts w:ascii="Arial" w:hAnsi="Arial" w:cs="Arial"/>
                <w:vanish/>
                <w:sz w:val="18"/>
                <w:szCs w:val="18"/>
              </w:rPr>
              <w:t xml:space="preserve">Patient Testing: Record a Patient Antigen Typing, Step 4: </w:t>
            </w:r>
            <w:r w:rsidR="005B0603" w:rsidRPr="006D3BE8">
              <w:rPr>
                <w:rFonts w:ascii="Arial" w:hAnsi="Arial" w:cs="Arial"/>
                <w:vanish/>
                <w:sz w:val="18"/>
                <w:szCs w:val="18"/>
              </w:rPr>
              <w:t>Added comment context to BR_41.04.</w:t>
            </w:r>
          </w:p>
          <w:p w14:paraId="44145BBB" w14:textId="0DD430E3" w:rsidR="005B0603" w:rsidRPr="006D3BE8" w:rsidRDefault="005B0603" w:rsidP="003A5DFE">
            <w:pPr>
              <w:ind w:left="136" w:hanging="136"/>
              <w:rPr>
                <w:rFonts w:ascii="Arial" w:hAnsi="Arial" w:cs="Arial"/>
                <w:vanish/>
                <w:sz w:val="18"/>
                <w:szCs w:val="18"/>
              </w:rPr>
            </w:pPr>
            <w:r w:rsidRPr="006D3BE8">
              <w:rPr>
                <w:rFonts w:ascii="Arial" w:hAnsi="Arial" w:cs="Arial"/>
                <w:vanish/>
                <w:sz w:val="18"/>
                <w:szCs w:val="18"/>
              </w:rPr>
              <w:t>Patient Testing: Record a Patient Antigen Typing, Step 5: Added comment context to Note BR_41.26.</w:t>
            </w:r>
          </w:p>
          <w:p w14:paraId="4090555D" w14:textId="088A8019" w:rsidR="005B0603" w:rsidRPr="006D3BE8" w:rsidRDefault="005B0603" w:rsidP="003A5DFE">
            <w:pPr>
              <w:ind w:left="136" w:hanging="136"/>
              <w:rPr>
                <w:rFonts w:ascii="Arial" w:hAnsi="Arial" w:cs="Arial"/>
                <w:vanish/>
                <w:sz w:val="18"/>
                <w:szCs w:val="18"/>
              </w:rPr>
            </w:pPr>
            <w:r w:rsidRPr="006D3BE8">
              <w:rPr>
                <w:rFonts w:ascii="Arial" w:hAnsi="Arial" w:cs="Arial"/>
                <w:vanish/>
                <w:sz w:val="18"/>
                <w:szCs w:val="18"/>
              </w:rPr>
              <w:t>Patient Testing: Record a Transfusion Reaction Workup, Outcome: Added bullet for workload codes.</w:t>
            </w:r>
          </w:p>
          <w:p w14:paraId="5468FF17" w14:textId="536FF224" w:rsidR="005B0603" w:rsidRPr="006D3BE8" w:rsidRDefault="005B0603" w:rsidP="003A5DFE">
            <w:pPr>
              <w:ind w:left="136" w:hanging="136"/>
              <w:rPr>
                <w:rFonts w:ascii="Arial" w:hAnsi="Arial" w:cs="Arial"/>
                <w:vanish/>
                <w:sz w:val="18"/>
                <w:szCs w:val="18"/>
              </w:rPr>
            </w:pPr>
            <w:r w:rsidRPr="006D3BE8">
              <w:rPr>
                <w:rFonts w:ascii="Arial" w:hAnsi="Arial" w:cs="Arial"/>
                <w:vanish/>
                <w:sz w:val="18"/>
                <w:szCs w:val="18"/>
              </w:rPr>
              <w:t>Patient Testing: Record a Transfusion Reaction Workup, Step 4: Added Notes for BR_21.34 and BR_21.35.</w:t>
            </w:r>
          </w:p>
          <w:p w14:paraId="601188D2" w14:textId="7B86A2A1" w:rsidR="005B0603" w:rsidRPr="006D3BE8" w:rsidRDefault="005B0603" w:rsidP="003A5DFE">
            <w:pPr>
              <w:ind w:left="136" w:hanging="136"/>
              <w:rPr>
                <w:rFonts w:ascii="Arial" w:hAnsi="Arial" w:cs="Arial"/>
                <w:vanish/>
                <w:sz w:val="18"/>
                <w:szCs w:val="18"/>
              </w:rPr>
            </w:pPr>
            <w:r w:rsidRPr="006D3BE8">
              <w:rPr>
                <w:rFonts w:ascii="Arial" w:hAnsi="Arial" w:cs="Arial"/>
                <w:vanish/>
                <w:sz w:val="18"/>
                <w:szCs w:val="18"/>
              </w:rPr>
              <w:t>Patient Testing: Record a Transfusion Reaction Workup, Step 8: Added comment context to Note BR_21.10.</w:t>
            </w:r>
          </w:p>
          <w:p w14:paraId="38ADD841" w14:textId="55AB0268" w:rsidR="005B0603" w:rsidRPr="006D3BE8" w:rsidRDefault="005B0603" w:rsidP="003A5DFE">
            <w:pPr>
              <w:ind w:left="136" w:hanging="136"/>
              <w:rPr>
                <w:rFonts w:ascii="Arial" w:hAnsi="Arial" w:cs="Arial"/>
                <w:vanish/>
                <w:sz w:val="18"/>
                <w:szCs w:val="18"/>
              </w:rPr>
            </w:pPr>
            <w:r w:rsidRPr="006D3BE8">
              <w:rPr>
                <w:rFonts w:ascii="Arial" w:hAnsi="Arial" w:cs="Arial"/>
                <w:vanish/>
                <w:sz w:val="18"/>
                <w:szCs w:val="18"/>
              </w:rPr>
              <w:t>Patient Testing: Record a Transfusion Reaction Workup, Step 10: Added BR_21.36 and BR_21.3</w:t>
            </w:r>
            <w:r w:rsidR="006B7B0F" w:rsidRPr="006D3BE8">
              <w:rPr>
                <w:rFonts w:ascii="Arial" w:hAnsi="Arial" w:cs="Arial"/>
                <w:vanish/>
                <w:sz w:val="18"/>
                <w:szCs w:val="18"/>
              </w:rPr>
              <w:t>7</w:t>
            </w:r>
            <w:r w:rsidRPr="006D3BE8">
              <w:rPr>
                <w:rFonts w:ascii="Arial" w:hAnsi="Arial" w:cs="Arial"/>
                <w:vanish/>
                <w:sz w:val="18"/>
                <w:szCs w:val="18"/>
              </w:rPr>
              <w:t>.</w:t>
            </w:r>
          </w:p>
          <w:p w14:paraId="318EC5D0" w14:textId="33E28BCD" w:rsidR="005B0603" w:rsidRPr="006D3BE8" w:rsidRDefault="005B0603" w:rsidP="003A5DFE">
            <w:pPr>
              <w:ind w:left="136" w:hanging="136"/>
              <w:rPr>
                <w:rFonts w:ascii="Arial" w:hAnsi="Arial" w:cs="Arial"/>
                <w:vanish/>
                <w:sz w:val="18"/>
                <w:szCs w:val="18"/>
              </w:rPr>
            </w:pPr>
            <w:r w:rsidRPr="006D3BE8">
              <w:rPr>
                <w:rFonts w:ascii="Arial" w:hAnsi="Arial" w:cs="Arial"/>
                <w:vanish/>
                <w:sz w:val="18"/>
                <w:szCs w:val="18"/>
              </w:rPr>
              <w:t>Patient Testing: Record a Transfusion Reaction Workup, Step 12: Added comment context to Note BR_21.28.</w:t>
            </w:r>
          </w:p>
          <w:p w14:paraId="21B59727" w14:textId="40AA28F1" w:rsidR="005B0603" w:rsidRPr="006D3BE8" w:rsidRDefault="005B0603" w:rsidP="003A5DFE">
            <w:pPr>
              <w:ind w:left="136" w:hanging="136"/>
              <w:rPr>
                <w:rFonts w:ascii="Arial" w:hAnsi="Arial" w:cs="Arial"/>
                <w:vanish/>
                <w:sz w:val="18"/>
                <w:szCs w:val="18"/>
              </w:rPr>
            </w:pPr>
            <w:r w:rsidRPr="006D3BE8">
              <w:rPr>
                <w:rFonts w:ascii="Arial" w:hAnsi="Arial" w:cs="Arial"/>
                <w:vanish/>
                <w:sz w:val="18"/>
                <w:szCs w:val="18"/>
              </w:rPr>
              <w:t>Finalize/Print TRW, Outcome: Added bullet for workload codes.</w:t>
            </w:r>
          </w:p>
          <w:p w14:paraId="7AD1121B" w14:textId="36C2D172" w:rsidR="005B0603" w:rsidRPr="006D3BE8" w:rsidRDefault="005B0603" w:rsidP="003A5DFE">
            <w:pPr>
              <w:ind w:left="136" w:hanging="136"/>
              <w:rPr>
                <w:rFonts w:ascii="Arial" w:hAnsi="Arial" w:cs="Arial"/>
                <w:vanish/>
                <w:sz w:val="18"/>
                <w:szCs w:val="18"/>
              </w:rPr>
            </w:pPr>
            <w:r w:rsidRPr="006D3BE8">
              <w:rPr>
                <w:rFonts w:ascii="Arial" w:hAnsi="Arial" w:cs="Arial"/>
                <w:vanish/>
                <w:sz w:val="18"/>
                <w:szCs w:val="18"/>
              </w:rPr>
              <w:t>View/Print a Finalized Transfusion Reaction Workup Report, Step 2: Added comment context to Note BR_78.05.</w:t>
            </w:r>
          </w:p>
          <w:p w14:paraId="24FEE5F7" w14:textId="12791ABE" w:rsidR="005B0603" w:rsidRPr="006D3BE8" w:rsidRDefault="005B0603" w:rsidP="003A5DFE">
            <w:pPr>
              <w:ind w:left="136" w:hanging="136"/>
              <w:rPr>
                <w:rFonts w:ascii="Arial" w:hAnsi="Arial" w:cs="Arial"/>
                <w:vanish/>
                <w:sz w:val="18"/>
                <w:szCs w:val="18"/>
              </w:rPr>
            </w:pPr>
            <w:r w:rsidRPr="006D3BE8">
              <w:rPr>
                <w:rFonts w:ascii="Arial" w:hAnsi="Arial" w:cs="Arial"/>
                <w:vanish/>
                <w:sz w:val="18"/>
                <w:szCs w:val="18"/>
              </w:rPr>
              <w:t>Post-Transfusion Information, Outcome: Added bullet for workload codes.</w:t>
            </w:r>
          </w:p>
          <w:p w14:paraId="327023FA" w14:textId="6E02806A" w:rsidR="004E41E8" w:rsidRPr="006D3BE8" w:rsidRDefault="00AD1CFC" w:rsidP="0002759E">
            <w:pPr>
              <w:ind w:left="136" w:hanging="136"/>
              <w:rPr>
                <w:rFonts w:ascii="Arial" w:hAnsi="Arial" w:cs="Arial"/>
                <w:vanish/>
                <w:sz w:val="18"/>
                <w:szCs w:val="18"/>
              </w:rPr>
            </w:pPr>
            <w:r w:rsidRPr="006D3BE8">
              <w:rPr>
                <w:rFonts w:ascii="Arial" w:hAnsi="Arial" w:cs="Arial"/>
                <w:vanish/>
                <w:sz w:val="18"/>
                <w:szCs w:val="18"/>
              </w:rPr>
              <w:t>Post-Transfusion Information</w:t>
            </w:r>
            <w:r w:rsidR="007C38DB" w:rsidRPr="006D3BE8">
              <w:rPr>
                <w:rFonts w:ascii="Arial" w:hAnsi="Arial" w:cs="Arial"/>
                <w:vanish/>
                <w:sz w:val="18"/>
                <w:szCs w:val="18"/>
              </w:rPr>
              <w:t>, Limitations and Restrictions</w:t>
            </w:r>
            <w:r w:rsidR="00625B00" w:rsidRPr="006D3BE8">
              <w:rPr>
                <w:rFonts w:ascii="Arial" w:hAnsi="Arial" w:cs="Arial"/>
                <w:vanish/>
                <w:sz w:val="18"/>
                <w:szCs w:val="18"/>
              </w:rPr>
              <w:t>: Added new last bullet pertaining to the system not performing</w:t>
            </w:r>
            <w:r w:rsidR="005A56FD" w:rsidRPr="006D3BE8">
              <w:rPr>
                <w:rFonts w:ascii="Arial" w:hAnsi="Arial" w:cs="Arial"/>
                <w:vanish/>
                <w:sz w:val="18"/>
                <w:szCs w:val="18"/>
              </w:rPr>
              <w:t xml:space="preserve"> time-limit checks.</w:t>
            </w:r>
          </w:p>
          <w:p w14:paraId="387E3E85" w14:textId="6E4FC6F0" w:rsidR="005B0603" w:rsidRPr="006D3BE8" w:rsidRDefault="005B0603" w:rsidP="0002759E">
            <w:pPr>
              <w:ind w:left="136" w:hanging="136"/>
              <w:rPr>
                <w:rFonts w:ascii="Arial" w:hAnsi="Arial" w:cs="Arial"/>
                <w:vanish/>
                <w:sz w:val="18"/>
                <w:szCs w:val="18"/>
              </w:rPr>
            </w:pPr>
            <w:r w:rsidRPr="006D3BE8">
              <w:rPr>
                <w:rFonts w:ascii="Arial" w:hAnsi="Arial" w:cs="Arial"/>
                <w:vanish/>
                <w:sz w:val="18"/>
                <w:szCs w:val="18"/>
              </w:rPr>
              <w:t>Document ABO Incompatible Transfusions, Outcome: Added last bullet for workload codes.</w:t>
            </w:r>
          </w:p>
          <w:p w14:paraId="7A9CB373" w14:textId="6F1D1806" w:rsidR="005B0603" w:rsidRPr="006D3BE8" w:rsidRDefault="005B0603" w:rsidP="0002759E">
            <w:pPr>
              <w:ind w:left="136" w:hanging="136"/>
              <w:rPr>
                <w:rFonts w:ascii="Arial" w:hAnsi="Arial" w:cs="Arial"/>
                <w:vanish/>
                <w:sz w:val="18"/>
                <w:szCs w:val="18"/>
              </w:rPr>
            </w:pPr>
            <w:r w:rsidRPr="006D3BE8">
              <w:rPr>
                <w:rFonts w:ascii="Arial" w:hAnsi="Arial" w:cs="Arial"/>
                <w:vanish/>
                <w:sz w:val="18"/>
                <w:szCs w:val="18"/>
              </w:rPr>
              <w:t>Justify ABO/Rh Change, Outcome: Added last bullet for workload codes.</w:t>
            </w:r>
          </w:p>
          <w:p w14:paraId="53BD3121" w14:textId="710556DE" w:rsidR="00667EFA" w:rsidRPr="006D3BE8" w:rsidRDefault="009F6EA6" w:rsidP="0002759E">
            <w:pPr>
              <w:ind w:left="136" w:hanging="136"/>
              <w:rPr>
                <w:rFonts w:ascii="Arial" w:hAnsi="Arial" w:cs="Arial"/>
                <w:vanish/>
                <w:sz w:val="18"/>
                <w:szCs w:val="18"/>
              </w:rPr>
            </w:pPr>
            <w:r w:rsidRPr="006D3BE8">
              <w:rPr>
                <w:rFonts w:ascii="Arial" w:hAnsi="Arial" w:cs="Arial"/>
                <w:vanish/>
                <w:sz w:val="18"/>
                <w:szCs w:val="18"/>
              </w:rPr>
              <w:t>Automated Test</w:t>
            </w:r>
            <w:r w:rsidR="00BF5984" w:rsidRPr="006D3BE8">
              <w:rPr>
                <w:rFonts w:ascii="Arial" w:hAnsi="Arial" w:cs="Arial"/>
                <w:vanish/>
                <w:sz w:val="18"/>
                <w:szCs w:val="18"/>
              </w:rPr>
              <w:t xml:space="preserve">ing Interface, Limitations and Restrictions: </w:t>
            </w:r>
            <w:r w:rsidR="00C6274D" w:rsidRPr="006D3BE8">
              <w:rPr>
                <w:rFonts w:ascii="Arial" w:hAnsi="Arial" w:cs="Arial"/>
                <w:vanish/>
                <w:sz w:val="18"/>
                <w:szCs w:val="18"/>
              </w:rPr>
              <w:t>Revised</w:t>
            </w:r>
            <w:r w:rsidR="00BF5984" w:rsidRPr="006D3BE8">
              <w:rPr>
                <w:rFonts w:ascii="Arial" w:hAnsi="Arial" w:cs="Arial"/>
                <w:vanish/>
                <w:sz w:val="18"/>
                <w:szCs w:val="18"/>
              </w:rPr>
              <w:t xml:space="preserve"> second bullet</w:t>
            </w:r>
            <w:r w:rsidR="00C6274D" w:rsidRPr="006D3BE8">
              <w:rPr>
                <w:rFonts w:ascii="Arial" w:hAnsi="Arial" w:cs="Arial"/>
                <w:vanish/>
                <w:sz w:val="18"/>
                <w:szCs w:val="18"/>
              </w:rPr>
              <w:t xml:space="preserve"> pertaining to Transfusion only facilities.</w:t>
            </w:r>
          </w:p>
          <w:p w14:paraId="2C81CCF3" w14:textId="798F4B74" w:rsidR="005B0603" w:rsidRPr="006D3BE8" w:rsidRDefault="005B0603" w:rsidP="0002759E">
            <w:pPr>
              <w:ind w:left="136" w:hanging="136"/>
              <w:rPr>
                <w:rFonts w:ascii="Arial" w:hAnsi="Arial" w:cs="Arial"/>
                <w:vanish/>
                <w:sz w:val="18"/>
                <w:szCs w:val="18"/>
              </w:rPr>
            </w:pPr>
            <w:r w:rsidRPr="006D3BE8">
              <w:rPr>
                <w:rFonts w:ascii="Arial" w:hAnsi="Arial" w:cs="Arial"/>
                <w:vanish/>
                <w:sz w:val="18"/>
                <w:szCs w:val="18"/>
              </w:rPr>
              <w:t>Automated Testing Review for Blood Units, Outcome: Revised last bullet for workload codes.</w:t>
            </w:r>
          </w:p>
          <w:p w14:paraId="294E362F" w14:textId="091BAE87" w:rsidR="005B0603" w:rsidRPr="006D3BE8" w:rsidRDefault="005B0603" w:rsidP="0002759E">
            <w:pPr>
              <w:ind w:left="136" w:hanging="136"/>
              <w:rPr>
                <w:rFonts w:ascii="Arial" w:hAnsi="Arial" w:cs="Arial"/>
                <w:vanish/>
                <w:sz w:val="18"/>
                <w:szCs w:val="18"/>
              </w:rPr>
            </w:pPr>
            <w:r w:rsidRPr="006D3BE8">
              <w:rPr>
                <w:rFonts w:ascii="Arial" w:hAnsi="Arial" w:cs="Arial"/>
                <w:vanish/>
                <w:sz w:val="18"/>
                <w:szCs w:val="18"/>
              </w:rPr>
              <w:t>Automated Testing Review for Patients, Outcome: Added bullet for workload codes.</w:t>
            </w:r>
          </w:p>
          <w:p w14:paraId="3F948B66" w14:textId="48F8105E" w:rsidR="005B0603" w:rsidRPr="006D3BE8" w:rsidRDefault="005B0603" w:rsidP="0002759E">
            <w:pPr>
              <w:ind w:left="136" w:hanging="136"/>
              <w:rPr>
                <w:rFonts w:ascii="Arial" w:hAnsi="Arial" w:cs="Arial"/>
                <w:vanish/>
                <w:sz w:val="18"/>
                <w:szCs w:val="18"/>
              </w:rPr>
            </w:pPr>
            <w:r w:rsidRPr="006D3BE8">
              <w:rPr>
                <w:rFonts w:ascii="Arial" w:hAnsi="Arial" w:cs="Arial"/>
                <w:vanish/>
                <w:sz w:val="18"/>
                <w:szCs w:val="18"/>
              </w:rPr>
              <w:t>Automated Testing Review, Step 4: Added comment context to Note BR_92.09.</w:t>
            </w:r>
          </w:p>
          <w:p w14:paraId="70643335" w14:textId="423FF329" w:rsidR="005B0603" w:rsidRPr="006D3BE8" w:rsidRDefault="005B0603" w:rsidP="0002759E">
            <w:pPr>
              <w:ind w:left="136" w:hanging="136"/>
              <w:rPr>
                <w:rFonts w:ascii="Arial" w:hAnsi="Arial" w:cs="Arial"/>
                <w:vanish/>
                <w:sz w:val="18"/>
                <w:szCs w:val="18"/>
              </w:rPr>
            </w:pPr>
            <w:r w:rsidRPr="006D3BE8">
              <w:rPr>
                <w:rFonts w:ascii="Arial" w:hAnsi="Arial" w:cs="Arial"/>
                <w:vanish/>
                <w:sz w:val="18"/>
                <w:szCs w:val="18"/>
              </w:rPr>
              <w:t>Automated Testing Review, Step 5: Revised Note 115.07 and added comment context.</w:t>
            </w:r>
          </w:p>
          <w:p w14:paraId="47B9AD7D" w14:textId="06E0E31C" w:rsidR="005B0603" w:rsidRPr="006D3BE8" w:rsidRDefault="005B0603" w:rsidP="0002759E">
            <w:pPr>
              <w:ind w:left="136" w:hanging="136"/>
              <w:rPr>
                <w:rFonts w:ascii="Arial" w:hAnsi="Arial" w:cs="Arial"/>
                <w:vanish/>
                <w:sz w:val="18"/>
                <w:szCs w:val="18"/>
              </w:rPr>
            </w:pPr>
            <w:r w:rsidRPr="006D3BE8">
              <w:rPr>
                <w:rFonts w:ascii="Arial" w:hAnsi="Arial" w:cs="Arial"/>
                <w:vanish/>
                <w:sz w:val="18"/>
                <w:szCs w:val="18"/>
              </w:rPr>
              <w:t>Automated Testing Review, Step 8: Added comment context to Note BR_92.09.</w:t>
            </w:r>
          </w:p>
          <w:p w14:paraId="3AE67B34" w14:textId="5055BC4D" w:rsidR="005B0603" w:rsidRPr="006D3BE8" w:rsidRDefault="005B0603" w:rsidP="0002759E">
            <w:pPr>
              <w:ind w:left="136" w:hanging="136"/>
              <w:rPr>
                <w:rFonts w:ascii="Arial" w:hAnsi="Arial" w:cs="Arial"/>
                <w:vanish/>
                <w:sz w:val="18"/>
                <w:szCs w:val="18"/>
              </w:rPr>
            </w:pPr>
            <w:r w:rsidRPr="006D3BE8">
              <w:rPr>
                <w:rFonts w:ascii="Arial" w:hAnsi="Arial" w:cs="Arial"/>
                <w:vanish/>
                <w:sz w:val="18"/>
                <w:szCs w:val="18"/>
              </w:rPr>
              <w:t>Audit Trail, Assumptions: Added bullet for VistA connection being active.</w:t>
            </w:r>
          </w:p>
          <w:p w14:paraId="35A586ED" w14:textId="105F0DD9" w:rsidR="005B0603" w:rsidRPr="006D3BE8" w:rsidRDefault="005B0603" w:rsidP="0002759E">
            <w:pPr>
              <w:ind w:left="136" w:hanging="136"/>
              <w:rPr>
                <w:rFonts w:ascii="Arial" w:hAnsi="Arial" w:cs="Arial"/>
                <w:vanish/>
                <w:sz w:val="18"/>
                <w:szCs w:val="18"/>
              </w:rPr>
            </w:pPr>
            <w:r w:rsidRPr="006D3BE8">
              <w:rPr>
                <w:rFonts w:ascii="Arial" w:hAnsi="Arial" w:cs="Arial"/>
                <w:vanish/>
                <w:sz w:val="18"/>
                <w:szCs w:val="18"/>
              </w:rPr>
              <w:t>Prolonged Transfusion Time Report, Step 3: Added Note BR_105.07.</w:t>
            </w:r>
          </w:p>
          <w:p w14:paraId="69E262F3" w14:textId="0EE9B1C3" w:rsidR="005B0603" w:rsidRPr="006D3BE8" w:rsidRDefault="005B0603" w:rsidP="0002759E">
            <w:pPr>
              <w:ind w:left="136" w:hanging="136"/>
              <w:rPr>
                <w:rFonts w:ascii="Arial" w:hAnsi="Arial" w:cs="Arial"/>
                <w:vanish/>
                <w:sz w:val="18"/>
                <w:szCs w:val="18"/>
              </w:rPr>
            </w:pPr>
            <w:r w:rsidRPr="006D3BE8">
              <w:rPr>
                <w:rFonts w:ascii="Arial" w:hAnsi="Arial" w:cs="Arial"/>
                <w:vanish/>
                <w:sz w:val="18"/>
                <w:szCs w:val="18"/>
              </w:rPr>
              <w:t>Transfusion Effectiveness Report, Additional Information: Added bullet for BR_91.04.</w:t>
            </w:r>
          </w:p>
          <w:p w14:paraId="7DB89347" w14:textId="5E9C3264" w:rsidR="005B0603" w:rsidRPr="006D3BE8" w:rsidRDefault="005B0603" w:rsidP="0002759E">
            <w:pPr>
              <w:ind w:left="136" w:hanging="136"/>
              <w:rPr>
                <w:rFonts w:ascii="Arial" w:hAnsi="Arial" w:cs="Arial"/>
                <w:vanish/>
                <w:sz w:val="18"/>
                <w:szCs w:val="18"/>
              </w:rPr>
            </w:pPr>
            <w:r w:rsidRPr="006D3BE8">
              <w:rPr>
                <w:rFonts w:ascii="Arial" w:hAnsi="Arial" w:cs="Arial"/>
                <w:vanish/>
                <w:sz w:val="18"/>
                <w:szCs w:val="18"/>
              </w:rPr>
              <w:t>Transfusion Effectiveness Report, Step 4: Added Note BR_91.04.</w:t>
            </w:r>
          </w:p>
          <w:p w14:paraId="012D3902" w14:textId="4B5D16E7" w:rsidR="005B0603" w:rsidRPr="006D3BE8" w:rsidRDefault="005B0603" w:rsidP="0002759E">
            <w:pPr>
              <w:ind w:left="136" w:hanging="136"/>
              <w:rPr>
                <w:rFonts w:ascii="Arial" w:hAnsi="Arial" w:cs="Arial"/>
                <w:vanish/>
                <w:sz w:val="18"/>
                <w:szCs w:val="18"/>
              </w:rPr>
            </w:pPr>
            <w:r w:rsidRPr="006D3BE8">
              <w:rPr>
                <w:rFonts w:ascii="Arial" w:hAnsi="Arial" w:cs="Arial"/>
                <w:vanish/>
                <w:sz w:val="18"/>
                <w:szCs w:val="18"/>
              </w:rPr>
              <w:t>Table 17 Canned Comment Category Types and Message Text: Removed rows for Implicated Units, Justify ABO/Rh Discrepancy, Specimen Processing, Specimen Required and Unit Data Invalidation.</w:t>
            </w:r>
          </w:p>
          <w:p w14:paraId="77787C72" w14:textId="4FCC9295" w:rsidR="005B0603" w:rsidRPr="006D3BE8" w:rsidRDefault="005B0603" w:rsidP="0002759E">
            <w:pPr>
              <w:ind w:left="136" w:hanging="136"/>
              <w:rPr>
                <w:rFonts w:ascii="Arial" w:hAnsi="Arial" w:cs="Arial"/>
                <w:vanish/>
                <w:sz w:val="18"/>
                <w:szCs w:val="18"/>
              </w:rPr>
            </w:pPr>
            <w:r w:rsidRPr="006D3BE8">
              <w:rPr>
                <w:rFonts w:ascii="Arial" w:hAnsi="Arial" w:cs="Arial"/>
                <w:vanish/>
                <w:sz w:val="18"/>
                <w:szCs w:val="18"/>
              </w:rPr>
              <w:t>Table 18 Canned Comment Category vs Option: Removed rows for Justify ABO/Rh Discrepancy, Specimen Processing, Specimen Required, Implicated Units and Unit Data Invalidation.</w:t>
            </w:r>
          </w:p>
          <w:p w14:paraId="50B06CFE" w14:textId="1BE62BCC" w:rsidR="005B0603" w:rsidRPr="006D3BE8" w:rsidRDefault="005B0603" w:rsidP="0002759E">
            <w:pPr>
              <w:ind w:left="136" w:hanging="136"/>
              <w:rPr>
                <w:rFonts w:ascii="Arial" w:hAnsi="Arial" w:cs="Arial"/>
                <w:vanish/>
                <w:sz w:val="18"/>
                <w:szCs w:val="18"/>
              </w:rPr>
            </w:pPr>
            <w:r w:rsidRPr="006D3BE8">
              <w:rPr>
                <w:rFonts w:ascii="Arial" w:hAnsi="Arial" w:cs="Arial"/>
                <w:vanish/>
                <w:sz w:val="18"/>
                <w:szCs w:val="18"/>
              </w:rPr>
              <w:t>Table 21 Details in Exception Report: Filled in Available in Options column where blank and changed Unit History Report for Expired supply used in modification from No to Yes.</w:t>
            </w:r>
          </w:p>
          <w:p w14:paraId="7F588451" w14:textId="1AFFD0E3" w:rsidR="0089341C" w:rsidRPr="006D3BE8" w:rsidRDefault="009C4F70" w:rsidP="0002759E">
            <w:pPr>
              <w:ind w:left="136" w:hanging="136"/>
              <w:rPr>
                <w:rFonts w:ascii="Arial" w:hAnsi="Arial" w:cs="Arial"/>
                <w:vanish/>
                <w:sz w:val="18"/>
                <w:szCs w:val="18"/>
              </w:rPr>
            </w:pPr>
            <w:r w:rsidRPr="006D3BE8">
              <w:rPr>
                <w:rFonts w:ascii="Arial" w:hAnsi="Arial" w:cs="Arial"/>
                <w:vanish/>
                <w:sz w:val="18"/>
                <w:szCs w:val="18"/>
              </w:rPr>
              <w:t>Table 25</w:t>
            </w:r>
            <w:r w:rsidR="005B0603" w:rsidRPr="006D3BE8">
              <w:rPr>
                <w:rFonts w:ascii="Arial" w:hAnsi="Arial" w:cs="Arial"/>
                <w:vanish/>
                <w:sz w:val="18"/>
                <w:szCs w:val="18"/>
              </w:rPr>
              <w:t xml:space="preserve"> Workload Process to Use Case Mapping Table</w:t>
            </w:r>
            <w:r w:rsidRPr="006D3BE8">
              <w:rPr>
                <w:rFonts w:ascii="Arial" w:hAnsi="Arial" w:cs="Arial"/>
                <w:vanish/>
                <w:sz w:val="18"/>
                <w:szCs w:val="18"/>
              </w:rPr>
              <w:t xml:space="preserve">: Revised </w:t>
            </w:r>
            <w:r w:rsidR="00B57799" w:rsidRPr="006D3BE8">
              <w:rPr>
                <w:rFonts w:ascii="Arial" w:hAnsi="Arial" w:cs="Arial"/>
                <w:vanish/>
                <w:sz w:val="18"/>
                <w:szCs w:val="18"/>
              </w:rPr>
              <w:t xml:space="preserve">to </w:t>
            </w:r>
            <w:r w:rsidR="005B0603" w:rsidRPr="006D3BE8">
              <w:rPr>
                <w:rFonts w:ascii="Arial" w:hAnsi="Arial" w:cs="Arial"/>
                <w:vanish/>
                <w:sz w:val="18"/>
                <w:szCs w:val="18"/>
              </w:rPr>
              <w:t>clarify rows where Record Testing completes and saves individual patient testing.</w:t>
            </w:r>
          </w:p>
          <w:p w14:paraId="481704A7" w14:textId="27CF8EBC" w:rsidR="003A5DFE" w:rsidRPr="008B140A" w:rsidRDefault="005B0603" w:rsidP="008B140A">
            <w:pPr>
              <w:ind w:left="136" w:hanging="136"/>
              <w:rPr>
                <w:rFonts w:ascii="Arial" w:hAnsi="Arial" w:cs="Arial"/>
                <w:sz w:val="18"/>
                <w:szCs w:val="18"/>
              </w:rPr>
            </w:pPr>
            <w:r w:rsidRPr="006D3BE8">
              <w:rPr>
                <w:rFonts w:ascii="Arial" w:hAnsi="Arial" w:cs="Arial"/>
                <w:vanish/>
                <w:sz w:val="18"/>
                <w:szCs w:val="18"/>
              </w:rPr>
              <w:t>Appendix D: Limitations and Restrictions: Updated to match sections above.</w:t>
            </w:r>
          </w:p>
        </w:tc>
        <w:tc>
          <w:tcPr>
            <w:tcW w:w="1098" w:type="dxa"/>
          </w:tcPr>
          <w:p w14:paraId="361A6824" w14:textId="2CA65D01" w:rsidR="003B400E" w:rsidRPr="002532D0" w:rsidRDefault="003B400E" w:rsidP="00237FB5">
            <w:pPr>
              <w:pStyle w:val="TableText"/>
            </w:pPr>
            <w:r>
              <w:t>BBM Team</w:t>
            </w:r>
          </w:p>
        </w:tc>
      </w:tr>
      <w:tr w:rsidR="003C2CED" w:rsidRPr="002532D0" w14:paraId="66B3BAD3" w14:textId="77777777" w:rsidTr="00736D67">
        <w:tc>
          <w:tcPr>
            <w:tcW w:w="918" w:type="dxa"/>
          </w:tcPr>
          <w:p w14:paraId="3B1CD0AD" w14:textId="7AC0C8B5" w:rsidR="003C2CED" w:rsidRDefault="00F22F4B" w:rsidP="00237FB5">
            <w:pPr>
              <w:pStyle w:val="TableText"/>
            </w:pPr>
            <w:r>
              <w:t>7</w:t>
            </w:r>
            <w:r w:rsidR="003C2CED">
              <w:t>/</w:t>
            </w:r>
            <w:r w:rsidR="00207666">
              <w:t>21</w:t>
            </w:r>
            <w:r w:rsidR="003C2CED">
              <w:t>/25</w:t>
            </w:r>
          </w:p>
        </w:tc>
        <w:tc>
          <w:tcPr>
            <w:tcW w:w="990" w:type="dxa"/>
          </w:tcPr>
          <w:p w14:paraId="5B7E5BC8" w14:textId="6FCD0903" w:rsidR="003C2CED" w:rsidRDefault="003C2CED" w:rsidP="00237FB5">
            <w:pPr>
              <w:pStyle w:val="TableText"/>
            </w:pPr>
            <w:r>
              <w:t>3.0</w:t>
            </w:r>
          </w:p>
        </w:tc>
        <w:tc>
          <w:tcPr>
            <w:tcW w:w="7174" w:type="dxa"/>
          </w:tcPr>
          <w:p w14:paraId="3F672CF0" w14:textId="2EB3CE67" w:rsidR="003C2CED" w:rsidRDefault="003C2CED" w:rsidP="003C2CED">
            <w:pPr>
              <w:ind w:left="136" w:hanging="136"/>
              <w:rPr>
                <w:rFonts w:ascii="Arial" w:hAnsi="Arial" w:cs="Arial"/>
                <w:sz w:val="18"/>
                <w:szCs w:val="18"/>
              </w:rPr>
            </w:pPr>
            <w:r w:rsidRPr="008B140A">
              <w:rPr>
                <w:rFonts w:ascii="Arial" w:hAnsi="Arial" w:cs="Arial"/>
                <w:sz w:val="18"/>
                <w:szCs w:val="18"/>
              </w:rPr>
              <w:t>VBECS 2.4.0 Rev B</w:t>
            </w:r>
            <w:r>
              <w:rPr>
                <w:rFonts w:ascii="Arial" w:hAnsi="Arial" w:cs="Arial"/>
                <w:sz w:val="18"/>
                <w:szCs w:val="18"/>
              </w:rPr>
              <w:t>-02</w:t>
            </w:r>
          </w:p>
          <w:p w14:paraId="42CDF3AA" w14:textId="49BD602F" w:rsidR="005F5EC2" w:rsidRPr="00224603" w:rsidRDefault="0050478E" w:rsidP="00224603">
            <w:pPr>
              <w:rPr>
                <w:rFonts w:ascii="Arial" w:hAnsi="Arial" w:cs="Arial"/>
                <w:sz w:val="18"/>
                <w:szCs w:val="18"/>
              </w:rPr>
            </w:pPr>
            <w:r>
              <w:rPr>
                <w:rFonts w:ascii="Arial" w:hAnsi="Arial" w:cs="Arial"/>
                <w:sz w:val="18"/>
                <w:szCs w:val="18"/>
              </w:rPr>
              <w:t>Clarification updat</w:t>
            </w:r>
            <w:r w:rsidR="00224603">
              <w:rPr>
                <w:rFonts w:ascii="Arial" w:hAnsi="Arial" w:cs="Arial"/>
                <w:sz w:val="18"/>
                <w:szCs w:val="18"/>
              </w:rPr>
              <w:t>es</w:t>
            </w:r>
            <w:r w:rsidR="006D15B0" w:rsidRPr="00224603">
              <w:rPr>
                <w:rFonts w:ascii="Arial" w:hAnsi="Arial" w:cs="Arial"/>
                <w:vanish/>
                <w:sz w:val="18"/>
                <w:szCs w:val="18"/>
              </w:rPr>
              <w:t>(</w:t>
            </w:r>
            <w:r w:rsidR="005F5EC2" w:rsidRPr="00224603">
              <w:rPr>
                <w:rFonts w:ascii="Arial" w:hAnsi="Arial" w:cs="Arial"/>
                <w:vanish/>
                <w:sz w:val="18"/>
                <w:szCs w:val="18"/>
              </w:rPr>
              <w:t>Task 315240</w:t>
            </w:r>
            <w:r w:rsidR="006D15B0" w:rsidRPr="00224603">
              <w:rPr>
                <w:rFonts w:ascii="Arial" w:hAnsi="Arial" w:cs="Arial"/>
                <w:vanish/>
                <w:sz w:val="18"/>
                <w:szCs w:val="18"/>
              </w:rPr>
              <w:t>)</w:t>
            </w:r>
          </w:p>
          <w:p w14:paraId="39E5E152" w14:textId="046AD282" w:rsidR="0050478E" w:rsidRPr="00207666" w:rsidRDefault="0050478E" w:rsidP="0050478E">
            <w:pPr>
              <w:autoSpaceDE w:val="0"/>
              <w:autoSpaceDN w:val="0"/>
              <w:rPr>
                <w:rFonts w:ascii="Arial" w:hAnsi="Arial" w:cs="Arial"/>
                <w:vanish/>
                <w:sz w:val="18"/>
                <w:szCs w:val="18"/>
              </w:rPr>
            </w:pPr>
            <w:r w:rsidRPr="00207666">
              <w:rPr>
                <w:rFonts w:ascii="Arial" w:hAnsi="Arial" w:cs="Arial"/>
                <w:vanish/>
                <w:sz w:val="18"/>
                <w:szCs w:val="18"/>
              </w:rPr>
              <w:t>Finalize/Print TRW, Limitations and Restrictions: Moved the third bullet to the Patient Testing: Record a Transfusion Reaction Workup section, and reworded to:</w:t>
            </w:r>
          </w:p>
          <w:p w14:paraId="438A9EC0" w14:textId="0E3ED99F" w:rsidR="0050478E" w:rsidRPr="00207666" w:rsidRDefault="0050478E" w:rsidP="0050478E">
            <w:pPr>
              <w:ind w:left="136" w:hanging="136"/>
              <w:rPr>
                <w:rFonts w:ascii="Arial" w:hAnsi="Arial" w:cs="Arial"/>
                <w:vanish/>
                <w:sz w:val="18"/>
                <w:szCs w:val="18"/>
              </w:rPr>
            </w:pPr>
            <w:r w:rsidRPr="00207666">
              <w:rPr>
                <w:rFonts w:ascii="Arial" w:hAnsi="Arial" w:cs="Arial"/>
                <w:vanish/>
                <w:sz w:val="18"/>
                <w:szCs w:val="18"/>
              </w:rPr>
              <w:t>There is no scroll bar on the TRW Serologic Tests tab. This limits the number of visible implicated units to around ten (10), depending on the display resolution. When more than around ten (10) units are implicated in the transfusion reaction, order additional TRW test(s) as required.</w:t>
            </w:r>
          </w:p>
          <w:p w14:paraId="37AC555D" w14:textId="1BA5B608" w:rsidR="004D16E5" w:rsidRPr="00207666" w:rsidRDefault="004D16E5" w:rsidP="006D15B0">
            <w:pPr>
              <w:ind w:left="136" w:hanging="136"/>
              <w:rPr>
                <w:rFonts w:ascii="Arial" w:hAnsi="Arial" w:cs="Arial"/>
                <w:vanish/>
                <w:sz w:val="18"/>
                <w:szCs w:val="18"/>
              </w:rPr>
            </w:pPr>
            <w:r w:rsidRPr="00207666">
              <w:rPr>
                <w:rFonts w:ascii="Arial" w:hAnsi="Arial" w:cs="Arial"/>
                <w:vanish/>
                <w:sz w:val="18"/>
                <w:szCs w:val="18"/>
              </w:rPr>
              <w:t xml:space="preserve">Prolonged Transfusion </w:t>
            </w:r>
            <w:r w:rsidR="005518D9" w:rsidRPr="00207666">
              <w:rPr>
                <w:rFonts w:ascii="Arial" w:hAnsi="Arial" w:cs="Arial"/>
                <w:vanish/>
                <w:sz w:val="18"/>
                <w:szCs w:val="18"/>
              </w:rPr>
              <w:t xml:space="preserve">Time </w:t>
            </w:r>
            <w:r w:rsidRPr="00207666">
              <w:rPr>
                <w:rFonts w:ascii="Arial" w:hAnsi="Arial" w:cs="Arial"/>
                <w:vanish/>
                <w:sz w:val="18"/>
                <w:szCs w:val="18"/>
              </w:rPr>
              <w:t>Report, Limitations and Restrictions section: Replaced the four existing bullets with three new bullets.</w:t>
            </w:r>
          </w:p>
          <w:p w14:paraId="55EC3D07" w14:textId="52968183" w:rsidR="00207666" w:rsidRPr="00207666" w:rsidRDefault="00207666" w:rsidP="006D15B0">
            <w:pPr>
              <w:ind w:left="136" w:hanging="136"/>
              <w:rPr>
                <w:rFonts w:ascii="Arial" w:hAnsi="Arial" w:cs="Arial"/>
                <w:vanish/>
                <w:sz w:val="18"/>
                <w:szCs w:val="18"/>
              </w:rPr>
            </w:pPr>
            <w:r w:rsidRPr="00207666">
              <w:rPr>
                <w:rFonts w:ascii="Arial" w:hAnsi="Arial" w:cs="Arial"/>
                <w:vanish/>
                <w:sz w:val="20"/>
              </w:rPr>
              <w:t>Log into VBECS and VistA, Additional Information, seventh bullet: Removed “(Refer to FAQ Proper Use of PIV Card with VBEFS.)”</w:t>
            </w:r>
          </w:p>
          <w:p w14:paraId="1993E6D1" w14:textId="77777777" w:rsidR="003C2CED" w:rsidRPr="008B140A" w:rsidRDefault="003C2CED" w:rsidP="006D15B0">
            <w:pPr>
              <w:rPr>
                <w:rFonts w:ascii="Arial" w:hAnsi="Arial" w:cs="Arial"/>
                <w:sz w:val="18"/>
                <w:szCs w:val="18"/>
              </w:rPr>
            </w:pPr>
          </w:p>
        </w:tc>
        <w:tc>
          <w:tcPr>
            <w:tcW w:w="1098" w:type="dxa"/>
          </w:tcPr>
          <w:p w14:paraId="5A0AADA0" w14:textId="4D09E2DB" w:rsidR="003C2CED" w:rsidRDefault="003C2CED" w:rsidP="00237FB5">
            <w:pPr>
              <w:pStyle w:val="TableText"/>
            </w:pPr>
            <w:r>
              <w:t>BBM Team</w:t>
            </w:r>
          </w:p>
        </w:tc>
      </w:tr>
    </w:tbl>
    <w:p w14:paraId="0B51E100" w14:textId="77777777" w:rsidR="00AD2C30" w:rsidRDefault="00AD2C30">
      <w:pPr>
        <w:rPr>
          <w:kern w:val="32"/>
          <w:sz w:val="22"/>
          <w:szCs w:val="22"/>
        </w:rPr>
      </w:pPr>
      <w:r>
        <w:rPr>
          <w:kern w:val="32"/>
        </w:rPr>
        <w:br w:type="page"/>
      </w:r>
    </w:p>
    <w:p w14:paraId="674F5F44" w14:textId="6DE0C667" w:rsidR="009C0A99" w:rsidRDefault="009C0A99" w:rsidP="000F10F5">
      <w:pPr>
        <w:pStyle w:val="BodyText"/>
        <w:jc w:val="center"/>
        <w:rPr>
          <w:snapToGrid w:val="0"/>
          <w:vanish/>
        </w:rPr>
      </w:pPr>
      <w:r>
        <w:lastRenderedPageBreak/>
        <w:t xml:space="preserve">This is the last page of </w:t>
      </w:r>
      <w:r w:rsidRPr="009C0A99">
        <w:rPr>
          <w:i/>
        </w:rPr>
        <w:t xml:space="preserve">VBECS </w:t>
      </w:r>
      <w:r w:rsidR="002E3995">
        <w:rPr>
          <w:i/>
        </w:rPr>
        <w:t>2.</w:t>
      </w:r>
      <w:r w:rsidR="00397587">
        <w:rPr>
          <w:i/>
        </w:rPr>
        <w:t>4.0</w:t>
      </w:r>
      <w:r w:rsidR="00AE6FF1">
        <w:rPr>
          <w:i/>
        </w:rPr>
        <w:t xml:space="preserve"> </w:t>
      </w:r>
      <w:r w:rsidRPr="009C0A99">
        <w:rPr>
          <w:i/>
        </w:rPr>
        <w:t>User Guid</w:t>
      </w:r>
      <w:r w:rsidR="005518D9">
        <w:rPr>
          <w:i/>
        </w:rPr>
        <w:t>e</w:t>
      </w:r>
      <w:r>
        <w:t>.</w:t>
      </w:r>
    </w:p>
    <w:p w14:paraId="6B06A704" w14:textId="7C8AE89D" w:rsidR="0006165B" w:rsidRPr="009C0A99" w:rsidRDefault="0006165B" w:rsidP="009C0A99">
      <w:pPr>
        <w:pStyle w:val="BodyText"/>
        <w:rPr>
          <w:snapToGrid w:val="0"/>
          <w:vanish/>
        </w:rPr>
      </w:pPr>
    </w:p>
    <w:sectPr w:rsidR="0006165B" w:rsidRPr="009C0A99" w:rsidSect="004E2B6A">
      <w:type w:val="continuous"/>
      <w:pgSz w:w="12240" w:h="15840" w:code="1"/>
      <w:pgMar w:top="1440" w:right="1440" w:bottom="1440" w:left="1440" w:header="720" w:footer="720" w:gutter="0"/>
      <w:cols w:space="720"/>
      <w:docGrid w:linePitch="360"/>
    </w:sectPr>
  </w:body>
</w:document>
</file>

<file path=word/customizations.xml><?xml version="1.0" encoding="utf-8"?>
<wne:tcg xmlns:r="http://schemas.openxmlformats.org/officeDocument/2006/relationships" xmlns:wne="http://schemas.microsoft.com/office/word/2006/wordml">
  <wne:keymaps>
    <wne:keymap wne:kcmPrimary="0075">
      <wne:macro wne:macroName="PROJECT.NEWMACROS.HIDE"/>
    </wne:keymap>
  </wne:keymap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D912A1" w14:textId="77777777" w:rsidR="00104BB9" w:rsidRDefault="00104BB9">
      <w:r>
        <w:separator/>
      </w:r>
    </w:p>
  </w:endnote>
  <w:endnote w:type="continuationSeparator" w:id="0">
    <w:p w14:paraId="0EB1E903" w14:textId="77777777" w:rsidR="00104BB9" w:rsidRDefault="00104BB9">
      <w:r>
        <w:continuationSeparator/>
      </w:r>
    </w:p>
  </w:endnote>
  <w:endnote w:type="continuationNotice" w:id="1">
    <w:p w14:paraId="1B1758CD" w14:textId="77777777" w:rsidR="00104BB9" w:rsidRDefault="00104BB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Geneva">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Bold">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Wingdings 3">
    <w:panose1 w:val="050401020108070707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MS Shell Dlg 2">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5A606" w14:textId="77777777" w:rsidR="00EA60B6" w:rsidRDefault="00EA60B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E5F1C07" w14:textId="77777777" w:rsidR="00EA60B6" w:rsidRDefault="00EA60B6">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00592B" w14:textId="77777777" w:rsidR="00EA60B6" w:rsidRDefault="00EA60B6">
    <w:pPr>
      <w:pStyle w:val="Footer"/>
      <w:tabs>
        <w:tab w:val="clear" w:pos="8640"/>
      </w:tabs>
      <w:ind w:right="360"/>
      <w:rPr>
        <w:sz w:val="20"/>
      </w:rPr>
    </w:pPr>
  </w:p>
  <w:p w14:paraId="5069B344" w14:textId="77777777" w:rsidR="00EA60B6" w:rsidRDefault="00EA60B6">
    <w:pPr>
      <w:pStyle w:val="Footer"/>
      <w:tabs>
        <w:tab w:val="clear" w:pos="8640"/>
      </w:tabs>
      <w:ind w:right="360"/>
      <w:rPr>
        <w:sz w:val="20"/>
      </w:rPr>
    </w:pPr>
  </w:p>
  <w:p w14:paraId="020F2015" w14:textId="764D4322" w:rsidR="00EA60B6" w:rsidRDefault="0047679C">
    <w:pPr>
      <w:pStyle w:val="Footer"/>
      <w:tabs>
        <w:tab w:val="clear" w:pos="4320"/>
        <w:tab w:val="clear" w:pos="8640"/>
        <w:tab w:val="center" w:pos="4860"/>
      </w:tabs>
      <w:ind w:right="360"/>
      <w:rPr>
        <w:sz w:val="20"/>
      </w:rPr>
    </w:pPr>
    <w:r>
      <w:rPr>
        <w:sz w:val="20"/>
      </w:rPr>
      <w:t>July</w:t>
    </w:r>
    <w:r w:rsidR="00EA60B6">
      <w:rPr>
        <w:sz w:val="20"/>
      </w:rPr>
      <w:t xml:space="preserve"> 202</w:t>
    </w:r>
    <w:r w:rsidR="00CF6782">
      <w:rPr>
        <w:sz w:val="20"/>
      </w:rPr>
      <w:t>5</w:t>
    </w:r>
    <w:r w:rsidR="00EA60B6">
      <w:rPr>
        <w:sz w:val="20"/>
      </w:rPr>
      <w:tab/>
      <w:t>VBECS Version 2.</w:t>
    </w:r>
    <w:r w:rsidR="009C473F">
      <w:rPr>
        <w:sz w:val="20"/>
      </w:rPr>
      <w:t>4.0</w:t>
    </w:r>
    <w:r w:rsidR="00EA60B6">
      <w:rPr>
        <w:sz w:val="20"/>
      </w:rPr>
      <w:t xml:space="preserve"> User Guide Version </w:t>
    </w:r>
    <w:r w:rsidR="00CF6782">
      <w:rPr>
        <w:sz w:val="20"/>
      </w:rPr>
      <w:t>3</w:t>
    </w:r>
    <w:r w:rsidR="00EA60B6">
      <w:rPr>
        <w:sz w:val="20"/>
      </w:rPr>
      <w:t>.0</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B0095" w14:textId="77777777" w:rsidR="00EA60B6" w:rsidRDefault="00EA60B6" w:rsidP="00F7279E">
    <w:pPr>
      <w:pStyle w:val="Footer"/>
      <w:tabs>
        <w:tab w:val="clear" w:pos="8640"/>
        <w:tab w:val="right" w:pos="9360"/>
      </w:tabs>
      <w:ind w:right="360"/>
      <w:rPr>
        <w:sz w:val="20"/>
      </w:rPr>
    </w:pPr>
  </w:p>
  <w:p w14:paraId="09F9950B" w14:textId="0A309D7C" w:rsidR="00EA60B6" w:rsidRDefault="0047679C" w:rsidP="00784D58">
    <w:pPr>
      <w:pStyle w:val="Footer"/>
      <w:tabs>
        <w:tab w:val="clear" w:pos="4320"/>
        <w:tab w:val="clear" w:pos="8640"/>
        <w:tab w:val="center" w:pos="5040"/>
        <w:tab w:val="right" w:pos="9360"/>
        <w:tab w:val="right" w:pos="12780"/>
        <w:tab w:val="right" w:pos="12960"/>
      </w:tabs>
      <w:ind w:right="360"/>
      <w:rPr>
        <w:sz w:val="20"/>
      </w:rPr>
    </w:pPr>
    <w:r>
      <w:rPr>
        <w:sz w:val="20"/>
      </w:rPr>
      <w:t>July</w:t>
    </w:r>
    <w:r w:rsidR="00826DCE">
      <w:rPr>
        <w:sz w:val="20"/>
      </w:rPr>
      <w:t xml:space="preserve"> 202</w:t>
    </w:r>
    <w:r w:rsidR="00710C6C">
      <w:rPr>
        <w:sz w:val="20"/>
      </w:rPr>
      <w:t>5</w:t>
    </w:r>
    <w:r w:rsidR="00EA60B6">
      <w:rPr>
        <w:sz w:val="20"/>
      </w:rPr>
      <w:tab/>
      <w:t>VBECS Version 2.</w:t>
    </w:r>
    <w:r w:rsidR="009C473F">
      <w:rPr>
        <w:sz w:val="20"/>
      </w:rPr>
      <w:t>4.0</w:t>
    </w:r>
    <w:r w:rsidR="00EA60B6">
      <w:rPr>
        <w:sz w:val="20"/>
      </w:rPr>
      <w:t xml:space="preserve"> User Guide Version </w:t>
    </w:r>
    <w:r w:rsidR="00710C6C">
      <w:rPr>
        <w:sz w:val="20"/>
      </w:rPr>
      <w:t>3</w:t>
    </w:r>
    <w:r w:rsidR="00EA60B6">
      <w:rPr>
        <w:sz w:val="20"/>
      </w:rPr>
      <w:t>.0</w:t>
    </w:r>
    <w:r w:rsidR="00EA60B6">
      <w:rPr>
        <w:sz w:val="20"/>
      </w:rPr>
      <w:tab/>
      <w:t xml:space="preserve">Page </w:t>
    </w:r>
    <w:r w:rsidR="00EA60B6">
      <w:rPr>
        <w:sz w:val="20"/>
      </w:rPr>
      <w:fldChar w:fldCharType="begin"/>
    </w:r>
    <w:r w:rsidR="00EA60B6">
      <w:rPr>
        <w:sz w:val="20"/>
      </w:rPr>
      <w:instrText xml:space="preserve"> PAGE </w:instrText>
    </w:r>
    <w:r w:rsidR="00EA60B6">
      <w:rPr>
        <w:sz w:val="20"/>
      </w:rPr>
      <w:fldChar w:fldCharType="separate"/>
    </w:r>
    <w:r w:rsidR="00EA60B6">
      <w:rPr>
        <w:noProof/>
        <w:sz w:val="20"/>
      </w:rPr>
      <w:t>12</w:t>
    </w:r>
    <w:r w:rsidR="00EA60B6">
      <w:rPr>
        <w:sz w:val="20"/>
      </w:rPr>
      <w:fldChar w:fldCharType="end"/>
    </w:r>
    <w:r w:rsidR="00EA60B6">
      <w:rPr>
        <w:sz w:val="20"/>
      </w:rPr>
      <w:tab/>
    </w:r>
  </w:p>
  <w:p w14:paraId="5A372246" w14:textId="7E43CC17" w:rsidR="00EA60B6" w:rsidRDefault="00EA60B6" w:rsidP="00784D58">
    <w:pPr>
      <w:pStyle w:val="Footer"/>
      <w:tabs>
        <w:tab w:val="clear" w:pos="4320"/>
        <w:tab w:val="clear" w:pos="8640"/>
        <w:tab w:val="center" w:pos="5040"/>
        <w:tab w:val="right" w:pos="9360"/>
      </w:tabs>
      <w:ind w:right="360"/>
      <w:rPr>
        <w:sz w:val="2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0A036" w14:textId="77777777" w:rsidR="00EA60B6" w:rsidRDefault="00EA60B6" w:rsidP="00F7279E">
    <w:pPr>
      <w:pStyle w:val="Footer"/>
      <w:tabs>
        <w:tab w:val="clear" w:pos="8640"/>
        <w:tab w:val="right" w:pos="9360"/>
      </w:tabs>
      <w:ind w:right="360"/>
      <w:rPr>
        <w:sz w:val="20"/>
      </w:rPr>
    </w:pPr>
  </w:p>
  <w:p w14:paraId="43EEE313" w14:textId="77777777" w:rsidR="00EA60B6" w:rsidRDefault="00EA60B6" w:rsidP="00F7279E">
    <w:pPr>
      <w:pStyle w:val="Footer"/>
      <w:tabs>
        <w:tab w:val="clear" w:pos="8640"/>
        <w:tab w:val="right" w:pos="9360"/>
      </w:tabs>
      <w:ind w:right="360"/>
      <w:rPr>
        <w:sz w:val="20"/>
      </w:rPr>
    </w:pPr>
  </w:p>
  <w:p w14:paraId="52691F21" w14:textId="200CABFC" w:rsidR="00EA60B6" w:rsidRDefault="0047679C" w:rsidP="00784D58">
    <w:pPr>
      <w:pStyle w:val="Footer"/>
      <w:tabs>
        <w:tab w:val="clear" w:pos="4320"/>
        <w:tab w:val="clear" w:pos="8640"/>
        <w:tab w:val="center" w:pos="5040"/>
        <w:tab w:val="right" w:pos="9360"/>
        <w:tab w:val="right" w:pos="12780"/>
        <w:tab w:val="right" w:pos="12960"/>
      </w:tabs>
      <w:ind w:right="360"/>
      <w:rPr>
        <w:sz w:val="20"/>
      </w:rPr>
    </w:pPr>
    <w:r>
      <w:rPr>
        <w:sz w:val="20"/>
      </w:rPr>
      <w:t>July</w:t>
    </w:r>
    <w:r w:rsidR="00826DCE">
      <w:rPr>
        <w:sz w:val="20"/>
      </w:rPr>
      <w:t xml:space="preserve"> 202</w:t>
    </w:r>
    <w:r w:rsidR="002B4039">
      <w:rPr>
        <w:sz w:val="20"/>
      </w:rPr>
      <w:t>5</w:t>
    </w:r>
    <w:r w:rsidR="00EA60B6">
      <w:rPr>
        <w:sz w:val="20"/>
      </w:rPr>
      <w:tab/>
      <w:t>VBECS Version 2.</w:t>
    </w:r>
    <w:r w:rsidR="005E5828">
      <w:rPr>
        <w:sz w:val="20"/>
      </w:rPr>
      <w:t>4.0</w:t>
    </w:r>
    <w:r w:rsidR="00EA60B6">
      <w:rPr>
        <w:sz w:val="20"/>
      </w:rPr>
      <w:t xml:space="preserve"> User Guide Version </w:t>
    </w:r>
    <w:r w:rsidR="00D66BDD">
      <w:rPr>
        <w:sz w:val="20"/>
      </w:rPr>
      <w:t>3</w:t>
    </w:r>
    <w:r w:rsidR="00EA60B6">
      <w:rPr>
        <w:sz w:val="20"/>
      </w:rPr>
      <w:t>.0</w:t>
    </w:r>
    <w:r w:rsidR="00EA60B6">
      <w:rPr>
        <w:sz w:val="20"/>
      </w:rPr>
      <w:tab/>
      <w:t xml:space="preserve">Page </w:t>
    </w:r>
    <w:r w:rsidR="00EA60B6">
      <w:rPr>
        <w:sz w:val="20"/>
      </w:rPr>
      <w:fldChar w:fldCharType="begin"/>
    </w:r>
    <w:r w:rsidR="00EA60B6">
      <w:rPr>
        <w:sz w:val="20"/>
      </w:rPr>
      <w:instrText xml:space="preserve"> PAGE </w:instrText>
    </w:r>
    <w:r w:rsidR="00EA60B6">
      <w:rPr>
        <w:sz w:val="20"/>
      </w:rPr>
      <w:fldChar w:fldCharType="separate"/>
    </w:r>
    <w:r w:rsidR="00EA60B6">
      <w:rPr>
        <w:noProof/>
        <w:sz w:val="20"/>
      </w:rPr>
      <w:t>420</w:t>
    </w:r>
    <w:r w:rsidR="00EA60B6">
      <w:rPr>
        <w:sz w:val="20"/>
      </w:rPr>
      <w:fldChar w:fldCharType="end"/>
    </w:r>
    <w:r w:rsidR="00EA60B6">
      <w:rPr>
        <w:sz w:val="20"/>
      </w:rPr>
      <w:tab/>
    </w:r>
  </w:p>
  <w:p w14:paraId="29A071A8" w14:textId="7A2401E1" w:rsidR="00EA60B6" w:rsidRDefault="00EA60B6" w:rsidP="00784D58">
    <w:pPr>
      <w:pStyle w:val="Footer"/>
      <w:tabs>
        <w:tab w:val="clear" w:pos="4320"/>
        <w:tab w:val="clear" w:pos="8640"/>
        <w:tab w:val="center" w:pos="5040"/>
        <w:tab w:val="right" w:pos="9360"/>
        <w:tab w:val="right" w:pos="12960"/>
      </w:tabs>
      <w:ind w:right="360"/>
      <w:rPr>
        <w:sz w:val="20"/>
      </w:rPr>
    </w:pPr>
  </w:p>
  <w:p w14:paraId="5775986A" w14:textId="6BC3347C" w:rsidR="00EA60B6" w:rsidRDefault="00EA60B6" w:rsidP="00784D58">
    <w:pPr>
      <w:pStyle w:val="Footer"/>
      <w:tabs>
        <w:tab w:val="clear" w:pos="4320"/>
        <w:tab w:val="clear" w:pos="8640"/>
        <w:tab w:val="center" w:pos="5040"/>
        <w:tab w:val="right" w:pos="9360"/>
      </w:tabs>
      <w:ind w:right="360"/>
      <w:rPr>
        <w:sz w:val="2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7D6797" w14:textId="77777777" w:rsidR="00EA60B6" w:rsidRDefault="00EA60B6" w:rsidP="00140686">
    <w:pPr>
      <w:pStyle w:val="Footer"/>
      <w:tabs>
        <w:tab w:val="clear" w:pos="4320"/>
        <w:tab w:val="clear" w:pos="8640"/>
        <w:tab w:val="center" w:pos="6480"/>
        <w:tab w:val="right" w:pos="12960"/>
      </w:tabs>
      <w:ind w:right="360"/>
      <w:rPr>
        <w:sz w:val="20"/>
      </w:rPr>
    </w:pPr>
  </w:p>
  <w:p w14:paraId="12FBCB06" w14:textId="77777777" w:rsidR="00EA60B6" w:rsidRDefault="00EA60B6" w:rsidP="00140686">
    <w:pPr>
      <w:pStyle w:val="Footer"/>
      <w:tabs>
        <w:tab w:val="clear" w:pos="4320"/>
        <w:tab w:val="clear" w:pos="8640"/>
        <w:tab w:val="center" w:pos="6480"/>
        <w:tab w:val="right" w:pos="12960"/>
      </w:tabs>
      <w:ind w:right="360"/>
      <w:rPr>
        <w:sz w:val="20"/>
      </w:rPr>
    </w:pPr>
  </w:p>
  <w:p w14:paraId="60A85D60" w14:textId="29EA931B" w:rsidR="00EA60B6" w:rsidRDefault="0047679C" w:rsidP="00140686">
    <w:pPr>
      <w:pStyle w:val="Footer"/>
      <w:tabs>
        <w:tab w:val="clear" w:pos="4320"/>
        <w:tab w:val="clear" w:pos="8640"/>
        <w:tab w:val="center" w:pos="6480"/>
        <w:tab w:val="right" w:pos="12960"/>
      </w:tabs>
      <w:ind w:right="360"/>
      <w:rPr>
        <w:sz w:val="20"/>
      </w:rPr>
    </w:pPr>
    <w:r>
      <w:rPr>
        <w:sz w:val="20"/>
      </w:rPr>
      <w:t>July</w:t>
    </w:r>
    <w:r w:rsidR="00826DCE">
      <w:rPr>
        <w:sz w:val="20"/>
      </w:rPr>
      <w:t xml:space="preserve"> 202</w:t>
    </w:r>
    <w:r w:rsidR="00FF19F0">
      <w:rPr>
        <w:sz w:val="20"/>
      </w:rPr>
      <w:t>5</w:t>
    </w:r>
    <w:r w:rsidR="00EA60B6">
      <w:rPr>
        <w:sz w:val="20"/>
      </w:rPr>
      <w:tab/>
      <w:t>VBECS Version 2.</w:t>
    </w:r>
    <w:r w:rsidR="005E5828">
      <w:rPr>
        <w:sz w:val="20"/>
      </w:rPr>
      <w:t>4.0</w:t>
    </w:r>
    <w:r w:rsidR="00EA60B6">
      <w:rPr>
        <w:sz w:val="20"/>
      </w:rPr>
      <w:t xml:space="preserve"> User Guide Version </w:t>
    </w:r>
    <w:r w:rsidR="00FF19F0">
      <w:rPr>
        <w:sz w:val="20"/>
      </w:rPr>
      <w:t>3</w:t>
    </w:r>
    <w:r w:rsidR="00EA60B6">
      <w:rPr>
        <w:sz w:val="20"/>
      </w:rPr>
      <w:t>.0</w:t>
    </w:r>
    <w:r w:rsidR="00EA60B6">
      <w:rPr>
        <w:sz w:val="20"/>
      </w:rPr>
      <w:tab/>
      <w:t xml:space="preserve">Page </w:t>
    </w:r>
    <w:r w:rsidR="00EA60B6">
      <w:rPr>
        <w:sz w:val="20"/>
      </w:rPr>
      <w:fldChar w:fldCharType="begin"/>
    </w:r>
    <w:r w:rsidR="00EA60B6">
      <w:rPr>
        <w:sz w:val="20"/>
      </w:rPr>
      <w:instrText xml:space="preserve"> PAGE </w:instrText>
    </w:r>
    <w:r w:rsidR="00EA60B6">
      <w:rPr>
        <w:sz w:val="20"/>
      </w:rPr>
      <w:fldChar w:fldCharType="separate"/>
    </w:r>
    <w:r w:rsidR="00EA60B6">
      <w:rPr>
        <w:noProof/>
        <w:sz w:val="20"/>
      </w:rPr>
      <w:t>427</w:t>
    </w:r>
    <w:r w:rsidR="00EA60B6">
      <w:rPr>
        <w:sz w:val="20"/>
      </w:rPr>
      <w:fldChar w:fldCharType="end"/>
    </w:r>
  </w:p>
  <w:p w14:paraId="14223FE5" w14:textId="77777777" w:rsidR="00EA60B6" w:rsidRDefault="00EA60B6" w:rsidP="00536F22">
    <w:pPr>
      <w:pStyle w:val="Footer"/>
      <w:tabs>
        <w:tab w:val="clear" w:pos="8640"/>
        <w:tab w:val="right" w:pos="9360"/>
      </w:tabs>
      <w:ind w:right="360"/>
      <w:rPr>
        <w:sz w:val="20"/>
      </w:rPr>
    </w:pPr>
  </w:p>
  <w:p w14:paraId="00F9F3A9" w14:textId="77777777" w:rsidR="00EA60B6" w:rsidRDefault="00EA60B6" w:rsidP="00536F22">
    <w:pPr>
      <w:pStyle w:val="Footer"/>
      <w:tabs>
        <w:tab w:val="clear" w:pos="4320"/>
        <w:tab w:val="clear" w:pos="8640"/>
        <w:tab w:val="center" w:pos="6480"/>
      </w:tabs>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BDFA5" w14:textId="77777777" w:rsidR="00EA60B6" w:rsidRDefault="00EA60B6" w:rsidP="00F304F2">
    <w:pPr>
      <w:pStyle w:val="Footer"/>
      <w:tabs>
        <w:tab w:val="clear" w:pos="8640"/>
        <w:tab w:val="right" w:pos="9360"/>
      </w:tabs>
      <w:ind w:right="360"/>
      <w:rPr>
        <w:sz w:val="20"/>
      </w:rPr>
    </w:pPr>
  </w:p>
  <w:p w14:paraId="1DAF85E3" w14:textId="77777777" w:rsidR="00EA60B6" w:rsidRDefault="00EA60B6" w:rsidP="00F304F2">
    <w:pPr>
      <w:pStyle w:val="Footer"/>
      <w:tabs>
        <w:tab w:val="clear" w:pos="8640"/>
        <w:tab w:val="right" w:pos="9360"/>
      </w:tabs>
      <w:ind w:right="360"/>
      <w:rPr>
        <w:sz w:val="20"/>
      </w:rPr>
    </w:pPr>
  </w:p>
  <w:p w14:paraId="71B01573" w14:textId="76AC202B" w:rsidR="00EA60B6" w:rsidRDefault="0047679C" w:rsidP="00F304F2">
    <w:pPr>
      <w:pStyle w:val="Footer"/>
      <w:tabs>
        <w:tab w:val="clear" w:pos="4320"/>
        <w:tab w:val="clear" w:pos="8640"/>
        <w:tab w:val="center" w:pos="5040"/>
        <w:tab w:val="right" w:pos="9360"/>
      </w:tabs>
      <w:ind w:right="360"/>
      <w:rPr>
        <w:sz w:val="20"/>
      </w:rPr>
    </w:pPr>
    <w:r>
      <w:rPr>
        <w:sz w:val="20"/>
      </w:rPr>
      <w:t>July</w:t>
    </w:r>
    <w:r w:rsidR="00826DCE">
      <w:rPr>
        <w:sz w:val="20"/>
      </w:rPr>
      <w:t xml:space="preserve"> 202</w:t>
    </w:r>
    <w:r w:rsidR="001B1819">
      <w:rPr>
        <w:sz w:val="20"/>
      </w:rPr>
      <w:t>5</w:t>
    </w:r>
    <w:r w:rsidR="00EA60B6">
      <w:rPr>
        <w:sz w:val="20"/>
      </w:rPr>
      <w:tab/>
      <w:t>VBECS Version 2.</w:t>
    </w:r>
    <w:r w:rsidR="005E5828">
      <w:rPr>
        <w:sz w:val="20"/>
      </w:rPr>
      <w:t>4.0</w:t>
    </w:r>
    <w:r w:rsidR="00EA60B6">
      <w:rPr>
        <w:sz w:val="20"/>
      </w:rPr>
      <w:t xml:space="preserve"> User Guide Version </w:t>
    </w:r>
    <w:r w:rsidR="001B1819">
      <w:rPr>
        <w:sz w:val="20"/>
      </w:rPr>
      <w:t>3</w:t>
    </w:r>
    <w:r w:rsidR="00EA60B6">
      <w:rPr>
        <w:sz w:val="20"/>
      </w:rPr>
      <w:t>.0</w:t>
    </w:r>
    <w:r w:rsidR="00EA60B6">
      <w:rPr>
        <w:sz w:val="20"/>
      </w:rPr>
      <w:tab/>
      <w:t xml:space="preserve">Page </w:t>
    </w:r>
    <w:r w:rsidR="00EA60B6">
      <w:rPr>
        <w:sz w:val="20"/>
      </w:rPr>
      <w:fldChar w:fldCharType="begin"/>
    </w:r>
    <w:r w:rsidR="00EA60B6">
      <w:rPr>
        <w:sz w:val="20"/>
      </w:rPr>
      <w:instrText xml:space="preserve"> PAGE </w:instrText>
    </w:r>
    <w:r w:rsidR="00EA60B6">
      <w:rPr>
        <w:sz w:val="20"/>
      </w:rPr>
      <w:fldChar w:fldCharType="separate"/>
    </w:r>
    <w:r w:rsidR="00EA60B6">
      <w:rPr>
        <w:noProof/>
        <w:sz w:val="20"/>
      </w:rPr>
      <w:t>443</w:t>
    </w:r>
    <w:r w:rsidR="00EA60B6">
      <w:rPr>
        <w:sz w:val="20"/>
      </w:rPr>
      <w:fldChar w:fldCharType="end"/>
    </w:r>
  </w:p>
  <w:p w14:paraId="606392E9" w14:textId="77777777" w:rsidR="00EA60B6" w:rsidRDefault="00EA60B6" w:rsidP="00536F22">
    <w:pPr>
      <w:pStyle w:val="Footer"/>
      <w:tabs>
        <w:tab w:val="clear" w:pos="4320"/>
        <w:tab w:val="clear" w:pos="8640"/>
        <w:tab w:val="center" w:pos="6480"/>
      </w:tabs>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77AF7" w14:textId="77777777" w:rsidR="00EA60B6" w:rsidRDefault="00EA60B6">
    <w:pPr>
      <w:pStyle w:val="Footer"/>
      <w:tabs>
        <w:tab w:val="clear" w:pos="8640"/>
        <w:tab w:val="right" w:pos="12600"/>
      </w:tabs>
      <w:ind w:right="360"/>
      <w:rPr>
        <w:sz w:val="20"/>
      </w:rPr>
    </w:pPr>
  </w:p>
  <w:p w14:paraId="66B52DB2" w14:textId="77777777" w:rsidR="00EA60B6" w:rsidRDefault="00EA60B6">
    <w:pPr>
      <w:pStyle w:val="Footer"/>
      <w:tabs>
        <w:tab w:val="clear" w:pos="8640"/>
        <w:tab w:val="right" w:pos="9360"/>
      </w:tabs>
      <w:ind w:right="360"/>
      <w:rPr>
        <w:sz w:val="20"/>
      </w:rPr>
    </w:pPr>
  </w:p>
  <w:p w14:paraId="4FA6E8F2" w14:textId="3A1B4CF3" w:rsidR="00EA60B6" w:rsidRDefault="0047679C" w:rsidP="000753FE">
    <w:pPr>
      <w:pStyle w:val="Footer"/>
      <w:tabs>
        <w:tab w:val="clear" w:pos="4320"/>
        <w:tab w:val="clear" w:pos="8640"/>
        <w:tab w:val="center" w:pos="5040"/>
        <w:tab w:val="right" w:pos="9360"/>
        <w:tab w:val="right" w:pos="12960"/>
      </w:tabs>
      <w:ind w:right="360"/>
      <w:rPr>
        <w:sz w:val="20"/>
      </w:rPr>
    </w:pPr>
    <w:r>
      <w:rPr>
        <w:sz w:val="20"/>
      </w:rPr>
      <w:t>July</w:t>
    </w:r>
    <w:r w:rsidR="00826DCE">
      <w:rPr>
        <w:sz w:val="20"/>
      </w:rPr>
      <w:t xml:space="preserve"> 202</w:t>
    </w:r>
    <w:r w:rsidR="00BD60BD">
      <w:rPr>
        <w:sz w:val="20"/>
      </w:rPr>
      <w:t>5</w:t>
    </w:r>
    <w:r w:rsidR="00EA60B6">
      <w:rPr>
        <w:sz w:val="20"/>
      </w:rPr>
      <w:tab/>
      <w:t>VBECS Version 2.</w:t>
    </w:r>
    <w:r w:rsidR="005E5828">
      <w:rPr>
        <w:sz w:val="20"/>
      </w:rPr>
      <w:t>4.0</w:t>
    </w:r>
    <w:r w:rsidR="00EA60B6">
      <w:rPr>
        <w:sz w:val="20"/>
      </w:rPr>
      <w:t xml:space="preserve"> User Guide Version </w:t>
    </w:r>
    <w:r w:rsidR="00BD60BD">
      <w:rPr>
        <w:sz w:val="20"/>
      </w:rPr>
      <w:t>3</w:t>
    </w:r>
    <w:r w:rsidR="00EA60B6">
      <w:rPr>
        <w:sz w:val="20"/>
      </w:rPr>
      <w:t>.0</w:t>
    </w:r>
    <w:r w:rsidR="00EA60B6">
      <w:rPr>
        <w:sz w:val="20"/>
      </w:rPr>
      <w:tab/>
      <w:t xml:space="preserve">Page </w:t>
    </w:r>
    <w:r w:rsidR="00EA60B6">
      <w:rPr>
        <w:sz w:val="20"/>
      </w:rPr>
      <w:fldChar w:fldCharType="begin"/>
    </w:r>
    <w:r w:rsidR="00EA60B6">
      <w:rPr>
        <w:sz w:val="20"/>
      </w:rPr>
      <w:instrText xml:space="preserve"> PAGE </w:instrText>
    </w:r>
    <w:r w:rsidR="00EA60B6">
      <w:rPr>
        <w:sz w:val="20"/>
      </w:rPr>
      <w:fldChar w:fldCharType="separate"/>
    </w:r>
    <w:r w:rsidR="00EA60B6">
      <w:rPr>
        <w:noProof/>
        <w:sz w:val="20"/>
      </w:rPr>
      <w:t>519</w:t>
    </w:r>
    <w:r w:rsidR="00EA60B6">
      <w:rPr>
        <w:sz w:val="20"/>
      </w:rPr>
      <w:fldChar w:fldCharType="end"/>
    </w:r>
    <w:r w:rsidR="00EA60B6">
      <w:rPr>
        <w:sz w:val="20"/>
      </w:rPr>
      <w:tab/>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E89A4" w14:textId="77777777" w:rsidR="00EA60B6" w:rsidRDefault="00EA60B6">
    <w:pPr>
      <w:pStyle w:val="Footer"/>
      <w:tabs>
        <w:tab w:val="clear" w:pos="8640"/>
        <w:tab w:val="right" w:pos="12600"/>
      </w:tabs>
      <w:ind w:right="360"/>
      <w:rPr>
        <w:sz w:val="20"/>
      </w:rPr>
    </w:pPr>
  </w:p>
  <w:p w14:paraId="06F33F4F" w14:textId="77777777" w:rsidR="00EA60B6" w:rsidRDefault="00EA60B6">
    <w:pPr>
      <w:pStyle w:val="Footer"/>
      <w:tabs>
        <w:tab w:val="clear" w:pos="8640"/>
        <w:tab w:val="right" w:pos="9360"/>
      </w:tabs>
      <w:ind w:right="360"/>
      <w:rPr>
        <w:sz w:val="20"/>
      </w:rPr>
    </w:pPr>
  </w:p>
  <w:p w14:paraId="0778D4BE" w14:textId="08E928C8" w:rsidR="00EA60B6" w:rsidRDefault="0047679C" w:rsidP="00714F12">
    <w:pPr>
      <w:pStyle w:val="Footer"/>
      <w:tabs>
        <w:tab w:val="clear" w:pos="4320"/>
        <w:tab w:val="clear" w:pos="8640"/>
        <w:tab w:val="center" w:pos="5040"/>
        <w:tab w:val="right" w:pos="9360"/>
        <w:tab w:val="right" w:pos="12780"/>
        <w:tab w:val="right" w:pos="12960"/>
      </w:tabs>
      <w:ind w:right="360"/>
      <w:rPr>
        <w:sz w:val="20"/>
      </w:rPr>
    </w:pPr>
    <w:r>
      <w:rPr>
        <w:sz w:val="20"/>
      </w:rPr>
      <w:t>July</w:t>
    </w:r>
    <w:r w:rsidR="00826DCE">
      <w:rPr>
        <w:sz w:val="20"/>
      </w:rPr>
      <w:t xml:space="preserve"> 202</w:t>
    </w:r>
    <w:r w:rsidR="00BD60BD">
      <w:rPr>
        <w:sz w:val="20"/>
      </w:rPr>
      <w:t>5</w:t>
    </w:r>
    <w:r w:rsidR="00EA60B6">
      <w:rPr>
        <w:sz w:val="20"/>
      </w:rPr>
      <w:tab/>
      <w:t>VBECS Version 2.</w:t>
    </w:r>
    <w:r w:rsidR="005E5828">
      <w:rPr>
        <w:sz w:val="20"/>
      </w:rPr>
      <w:t>4.0</w:t>
    </w:r>
    <w:r w:rsidR="00EA60B6">
      <w:rPr>
        <w:sz w:val="20"/>
      </w:rPr>
      <w:t xml:space="preserve"> User Guide Version </w:t>
    </w:r>
    <w:r w:rsidR="00BD60BD">
      <w:rPr>
        <w:sz w:val="20"/>
      </w:rPr>
      <w:t>3</w:t>
    </w:r>
    <w:r w:rsidR="00EA60B6">
      <w:rPr>
        <w:sz w:val="20"/>
      </w:rPr>
      <w:t>.0</w:t>
    </w:r>
    <w:r w:rsidR="00EA60B6">
      <w:rPr>
        <w:sz w:val="20"/>
      </w:rPr>
      <w:tab/>
      <w:t xml:space="preserve">Page </w:t>
    </w:r>
    <w:r w:rsidR="00EA60B6">
      <w:rPr>
        <w:sz w:val="20"/>
      </w:rPr>
      <w:fldChar w:fldCharType="begin"/>
    </w:r>
    <w:r w:rsidR="00EA60B6">
      <w:rPr>
        <w:sz w:val="20"/>
      </w:rPr>
      <w:instrText xml:space="preserve"> PAGE </w:instrText>
    </w:r>
    <w:r w:rsidR="00EA60B6">
      <w:rPr>
        <w:sz w:val="20"/>
      </w:rPr>
      <w:fldChar w:fldCharType="separate"/>
    </w:r>
    <w:r w:rsidR="00EA60B6">
      <w:rPr>
        <w:noProof/>
        <w:sz w:val="20"/>
      </w:rPr>
      <w:t>521</w:t>
    </w:r>
    <w:r w:rsidR="00EA60B6">
      <w:rPr>
        <w:sz w:val="20"/>
      </w:rPr>
      <w:fldChar w:fldCharType="end"/>
    </w:r>
    <w:r w:rsidR="00EA60B6">
      <w:rPr>
        <w:sz w:val="20"/>
      </w:rPr>
      <w:tab/>
    </w:r>
  </w:p>
  <w:p w14:paraId="232726F4" w14:textId="55C87D39" w:rsidR="00EA60B6" w:rsidRDefault="00EA60B6" w:rsidP="00714F12">
    <w:pPr>
      <w:pStyle w:val="Footer"/>
      <w:tabs>
        <w:tab w:val="clear" w:pos="4320"/>
        <w:tab w:val="clear" w:pos="8640"/>
        <w:tab w:val="center" w:pos="6480"/>
        <w:tab w:val="right" w:pos="12960"/>
      </w:tabs>
      <w:ind w:right="360"/>
      <w:rPr>
        <w:sz w:val="20"/>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688BA" w14:textId="77777777" w:rsidR="00EA60B6" w:rsidRDefault="00EA60B6">
    <w:pPr>
      <w:pStyle w:val="Footer"/>
      <w:tabs>
        <w:tab w:val="clear" w:pos="8640"/>
        <w:tab w:val="right" w:pos="12600"/>
      </w:tabs>
      <w:ind w:right="360"/>
      <w:rPr>
        <w:sz w:val="20"/>
      </w:rPr>
    </w:pPr>
  </w:p>
  <w:p w14:paraId="00980158" w14:textId="77777777" w:rsidR="00EA60B6" w:rsidRDefault="00EA60B6">
    <w:pPr>
      <w:pStyle w:val="Footer"/>
      <w:tabs>
        <w:tab w:val="clear" w:pos="8640"/>
        <w:tab w:val="right" w:pos="9360"/>
      </w:tabs>
      <w:ind w:right="360"/>
      <w:rPr>
        <w:sz w:val="20"/>
      </w:rPr>
    </w:pPr>
  </w:p>
  <w:p w14:paraId="6278422B" w14:textId="3B4C9979" w:rsidR="00EA60B6" w:rsidRDefault="0047679C" w:rsidP="007566FC">
    <w:pPr>
      <w:pStyle w:val="Footer"/>
      <w:tabs>
        <w:tab w:val="clear" w:pos="4320"/>
        <w:tab w:val="clear" w:pos="8640"/>
        <w:tab w:val="center" w:pos="5040"/>
        <w:tab w:val="right" w:pos="9360"/>
        <w:tab w:val="right" w:pos="12960"/>
      </w:tabs>
      <w:ind w:right="360"/>
      <w:rPr>
        <w:sz w:val="20"/>
      </w:rPr>
    </w:pPr>
    <w:r>
      <w:rPr>
        <w:sz w:val="20"/>
      </w:rPr>
      <w:t>July</w:t>
    </w:r>
    <w:r w:rsidR="00826DCE">
      <w:rPr>
        <w:sz w:val="20"/>
      </w:rPr>
      <w:t xml:space="preserve"> 202</w:t>
    </w:r>
    <w:r w:rsidR="00BF7986">
      <w:rPr>
        <w:sz w:val="20"/>
      </w:rPr>
      <w:t>5</w:t>
    </w:r>
    <w:r w:rsidR="00EA60B6">
      <w:rPr>
        <w:sz w:val="20"/>
      </w:rPr>
      <w:tab/>
      <w:t>VBECS Version 2.</w:t>
    </w:r>
    <w:r w:rsidR="005E5828">
      <w:rPr>
        <w:sz w:val="20"/>
      </w:rPr>
      <w:t>4.0</w:t>
    </w:r>
    <w:r w:rsidR="00EA60B6">
      <w:rPr>
        <w:sz w:val="20"/>
      </w:rPr>
      <w:t xml:space="preserve"> User Guide Version </w:t>
    </w:r>
    <w:r w:rsidR="00BF7986">
      <w:rPr>
        <w:sz w:val="20"/>
      </w:rPr>
      <w:t>3</w:t>
    </w:r>
    <w:r w:rsidR="00EA60B6">
      <w:rPr>
        <w:sz w:val="20"/>
      </w:rPr>
      <w:t>.0</w:t>
    </w:r>
    <w:r w:rsidR="00EA60B6">
      <w:rPr>
        <w:sz w:val="20"/>
      </w:rPr>
      <w:tab/>
      <w:t xml:space="preserve">Page </w:t>
    </w:r>
    <w:r w:rsidR="00EA60B6">
      <w:rPr>
        <w:sz w:val="20"/>
      </w:rPr>
      <w:fldChar w:fldCharType="begin"/>
    </w:r>
    <w:r w:rsidR="00EA60B6">
      <w:rPr>
        <w:sz w:val="20"/>
      </w:rPr>
      <w:instrText xml:space="preserve"> PAGE </w:instrText>
    </w:r>
    <w:r w:rsidR="00EA60B6">
      <w:rPr>
        <w:sz w:val="20"/>
      </w:rPr>
      <w:fldChar w:fldCharType="separate"/>
    </w:r>
    <w:r w:rsidR="00EA60B6">
      <w:rPr>
        <w:noProof/>
        <w:sz w:val="20"/>
      </w:rPr>
      <w:t>524</w:t>
    </w:r>
    <w:r w:rsidR="00EA60B6">
      <w:rPr>
        <w:sz w:val="20"/>
      </w:rPr>
      <w:fldChar w:fldCharType="end"/>
    </w:r>
    <w:r w:rsidR="00EA60B6">
      <w:rPr>
        <w:sz w:val="20"/>
      </w:rPr>
      <w:tab/>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88EB3" w14:textId="77777777" w:rsidR="00EA60B6" w:rsidRDefault="00EA60B6" w:rsidP="007566FC">
    <w:pPr>
      <w:pStyle w:val="Footer"/>
      <w:tabs>
        <w:tab w:val="clear" w:pos="4320"/>
        <w:tab w:val="clear" w:pos="8640"/>
        <w:tab w:val="center" w:pos="6480"/>
        <w:tab w:val="right" w:pos="12960"/>
      </w:tabs>
      <w:ind w:right="360"/>
      <w:rPr>
        <w:sz w:val="20"/>
      </w:rPr>
    </w:pPr>
  </w:p>
  <w:p w14:paraId="5E376C86" w14:textId="77777777" w:rsidR="00EA60B6" w:rsidRDefault="00EA60B6" w:rsidP="007566FC">
    <w:pPr>
      <w:pStyle w:val="Footer"/>
      <w:tabs>
        <w:tab w:val="clear" w:pos="4320"/>
        <w:tab w:val="clear" w:pos="8640"/>
        <w:tab w:val="center" w:pos="6480"/>
        <w:tab w:val="right" w:pos="12960"/>
      </w:tabs>
      <w:ind w:right="360"/>
      <w:rPr>
        <w:sz w:val="20"/>
      </w:rPr>
    </w:pPr>
  </w:p>
  <w:p w14:paraId="0F4B487E" w14:textId="4F6A852E" w:rsidR="00EA60B6" w:rsidRDefault="0047679C" w:rsidP="007566FC">
    <w:pPr>
      <w:pStyle w:val="Footer"/>
      <w:tabs>
        <w:tab w:val="clear" w:pos="4320"/>
        <w:tab w:val="clear" w:pos="8640"/>
        <w:tab w:val="center" w:pos="6480"/>
        <w:tab w:val="right" w:pos="12780"/>
        <w:tab w:val="right" w:pos="12960"/>
      </w:tabs>
      <w:ind w:right="360"/>
      <w:rPr>
        <w:sz w:val="20"/>
      </w:rPr>
    </w:pPr>
    <w:r>
      <w:rPr>
        <w:sz w:val="20"/>
      </w:rPr>
      <w:t>July</w:t>
    </w:r>
    <w:r w:rsidR="00826DCE">
      <w:rPr>
        <w:sz w:val="20"/>
      </w:rPr>
      <w:t xml:space="preserve"> 202</w:t>
    </w:r>
    <w:r w:rsidR="00F7738E">
      <w:rPr>
        <w:sz w:val="20"/>
      </w:rPr>
      <w:t>5</w:t>
    </w:r>
    <w:r w:rsidR="00EA60B6">
      <w:rPr>
        <w:sz w:val="20"/>
      </w:rPr>
      <w:tab/>
      <w:t>VBECS Version 2.</w:t>
    </w:r>
    <w:r w:rsidR="005E5828">
      <w:rPr>
        <w:sz w:val="20"/>
      </w:rPr>
      <w:t>4.0</w:t>
    </w:r>
    <w:r w:rsidR="00EA60B6">
      <w:rPr>
        <w:sz w:val="20"/>
      </w:rPr>
      <w:t xml:space="preserve"> User Guide Version </w:t>
    </w:r>
    <w:r w:rsidR="00F7738E">
      <w:rPr>
        <w:sz w:val="20"/>
      </w:rPr>
      <w:t>3</w:t>
    </w:r>
    <w:r w:rsidR="00EA60B6">
      <w:rPr>
        <w:sz w:val="20"/>
      </w:rPr>
      <w:t>.0</w:t>
    </w:r>
    <w:r w:rsidR="00EA60B6">
      <w:rPr>
        <w:sz w:val="20"/>
      </w:rPr>
      <w:tab/>
      <w:t xml:space="preserve">Page </w:t>
    </w:r>
    <w:r w:rsidR="00EA60B6">
      <w:rPr>
        <w:sz w:val="20"/>
      </w:rPr>
      <w:fldChar w:fldCharType="begin"/>
    </w:r>
    <w:r w:rsidR="00EA60B6">
      <w:rPr>
        <w:sz w:val="20"/>
      </w:rPr>
      <w:instrText xml:space="preserve"> PAGE </w:instrText>
    </w:r>
    <w:r w:rsidR="00EA60B6">
      <w:rPr>
        <w:sz w:val="20"/>
      </w:rPr>
      <w:fldChar w:fldCharType="separate"/>
    </w:r>
    <w:r w:rsidR="00EA60B6">
      <w:rPr>
        <w:noProof/>
        <w:sz w:val="20"/>
      </w:rPr>
      <w:t>526</w:t>
    </w:r>
    <w:r w:rsidR="00EA60B6">
      <w:rPr>
        <w:sz w:val="20"/>
      </w:rPr>
      <w:fldChar w:fldCharType="end"/>
    </w:r>
    <w:r w:rsidR="00EA60B6">
      <w:rPr>
        <w:sz w:val="20"/>
      </w:rPr>
      <w:tab/>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9494E" w14:textId="2586B744" w:rsidR="00EA60B6" w:rsidRDefault="00EA60B6" w:rsidP="00F304F2">
    <w:pPr>
      <w:pStyle w:val="Footer"/>
      <w:tabs>
        <w:tab w:val="clear" w:pos="4320"/>
        <w:tab w:val="clear" w:pos="8640"/>
        <w:tab w:val="center" w:pos="5040"/>
        <w:tab w:val="right" w:pos="9360"/>
        <w:tab w:val="right" w:pos="12960"/>
      </w:tabs>
      <w:ind w:right="360"/>
      <w:rPr>
        <w:sz w:val="20"/>
      </w:rPr>
    </w:pPr>
  </w:p>
  <w:p w14:paraId="413E0BE1" w14:textId="77777777" w:rsidR="00EA60B6" w:rsidRDefault="00EA60B6" w:rsidP="00F304F2">
    <w:pPr>
      <w:pStyle w:val="Footer"/>
      <w:tabs>
        <w:tab w:val="clear" w:pos="4320"/>
        <w:tab w:val="clear" w:pos="8640"/>
        <w:tab w:val="center" w:pos="5040"/>
        <w:tab w:val="right" w:pos="12960"/>
      </w:tabs>
      <w:ind w:right="360"/>
      <w:rPr>
        <w:sz w:val="20"/>
      </w:rPr>
    </w:pPr>
  </w:p>
  <w:p w14:paraId="045A88B7" w14:textId="6914D711" w:rsidR="00EA60B6" w:rsidRDefault="0047679C" w:rsidP="000571E4">
    <w:pPr>
      <w:pStyle w:val="Footer"/>
      <w:tabs>
        <w:tab w:val="clear" w:pos="4320"/>
        <w:tab w:val="clear" w:pos="8640"/>
        <w:tab w:val="center" w:pos="5040"/>
        <w:tab w:val="right" w:pos="9360"/>
        <w:tab w:val="right" w:pos="12780"/>
        <w:tab w:val="right" w:pos="12960"/>
      </w:tabs>
      <w:ind w:right="360"/>
      <w:rPr>
        <w:sz w:val="20"/>
      </w:rPr>
    </w:pPr>
    <w:r>
      <w:rPr>
        <w:sz w:val="20"/>
      </w:rPr>
      <w:t>July</w:t>
    </w:r>
    <w:r w:rsidR="00EA60B6">
      <w:rPr>
        <w:sz w:val="20"/>
      </w:rPr>
      <w:t xml:space="preserve"> 202</w:t>
    </w:r>
    <w:r w:rsidR="00F7738E">
      <w:rPr>
        <w:sz w:val="20"/>
      </w:rPr>
      <w:t>5</w:t>
    </w:r>
    <w:r w:rsidR="00EA60B6">
      <w:rPr>
        <w:sz w:val="20"/>
      </w:rPr>
      <w:tab/>
      <w:t>VBECS Version 2.</w:t>
    </w:r>
    <w:r w:rsidR="005E5828">
      <w:rPr>
        <w:sz w:val="20"/>
      </w:rPr>
      <w:t>4.0</w:t>
    </w:r>
    <w:r w:rsidR="00EA60B6">
      <w:rPr>
        <w:sz w:val="20"/>
      </w:rPr>
      <w:t xml:space="preserve"> User Guide Version </w:t>
    </w:r>
    <w:r w:rsidR="00F7738E">
      <w:rPr>
        <w:sz w:val="20"/>
      </w:rPr>
      <w:t>3</w:t>
    </w:r>
    <w:r w:rsidR="00EA60B6">
      <w:rPr>
        <w:sz w:val="20"/>
      </w:rPr>
      <w:t>.0</w:t>
    </w:r>
    <w:r w:rsidR="00EA60B6">
      <w:rPr>
        <w:sz w:val="20"/>
      </w:rPr>
      <w:tab/>
      <w:t xml:space="preserve">Page </w:t>
    </w:r>
    <w:r w:rsidR="00EA60B6">
      <w:rPr>
        <w:sz w:val="20"/>
      </w:rPr>
      <w:fldChar w:fldCharType="begin"/>
    </w:r>
    <w:r w:rsidR="00EA60B6">
      <w:rPr>
        <w:sz w:val="20"/>
      </w:rPr>
      <w:instrText xml:space="preserve"> PAGE </w:instrText>
    </w:r>
    <w:r w:rsidR="00EA60B6">
      <w:rPr>
        <w:sz w:val="20"/>
      </w:rPr>
      <w:fldChar w:fldCharType="separate"/>
    </w:r>
    <w:r w:rsidR="00EA60B6">
      <w:rPr>
        <w:noProof/>
        <w:sz w:val="20"/>
      </w:rPr>
      <w:t>559</w:t>
    </w:r>
    <w:r w:rsidR="00EA60B6">
      <w:rPr>
        <w:sz w:val="20"/>
      </w:rPr>
      <w:fldChar w:fldCharType="end"/>
    </w:r>
    <w:r w:rsidR="00EA60B6">
      <w:rPr>
        <w:sz w:val="20"/>
      </w:rPr>
      <w:tab/>
    </w:r>
  </w:p>
  <w:p w14:paraId="2537E68F" w14:textId="77777777" w:rsidR="00EA60B6" w:rsidRDefault="00EA60B6"/>
  <w:p w14:paraId="6C94C933" w14:textId="77777777" w:rsidR="00EA60B6" w:rsidRDefault="00EA60B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3C0C86" w14:textId="77777777" w:rsidR="00104BB9" w:rsidRDefault="00104BB9">
      <w:r>
        <w:separator/>
      </w:r>
    </w:p>
  </w:footnote>
  <w:footnote w:type="continuationSeparator" w:id="0">
    <w:p w14:paraId="11E2A833" w14:textId="77777777" w:rsidR="00104BB9" w:rsidRDefault="00104BB9">
      <w:r>
        <w:continuationSeparator/>
      </w:r>
    </w:p>
  </w:footnote>
  <w:footnote w:type="continuationNotice" w:id="1">
    <w:p w14:paraId="30538E77" w14:textId="77777777" w:rsidR="00104BB9" w:rsidRDefault="00104BB9"/>
  </w:footnote>
  <w:footnote w:id="2">
    <w:p w14:paraId="4CEEF123" w14:textId="77777777" w:rsidR="00EA60B6" w:rsidRDefault="00EA60B6">
      <w:pPr>
        <w:pStyle w:val="FootnoteText"/>
      </w:pPr>
      <w:r>
        <w:rPr>
          <w:rStyle w:val="FootnoteReference"/>
        </w:rPr>
        <w:footnoteRef/>
      </w:r>
      <w:r>
        <w:t xml:space="preserve"> There is a slight difference in terminology b</w:t>
      </w:r>
      <w:r w:rsidRPr="00670304">
        <w:t>etween VistA and VBECS: VistA us</w:t>
      </w:r>
      <w:r>
        <w:t>es “log on” and “logon,” and VBECS uses “log in” and “login.” Therefore, both terms are used throughout this guide. “Log in” and “login” are used generically when referring to both systems at one time.</w:t>
      </w:r>
    </w:p>
  </w:footnote>
  <w:footnote w:id="3">
    <w:p w14:paraId="3DA217B5" w14:textId="77777777" w:rsidR="00EA60B6" w:rsidRDefault="00EA60B6">
      <w:pPr>
        <w:pStyle w:val="FootnoteText"/>
      </w:pPr>
      <w:r>
        <w:rPr>
          <w:rStyle w:val="FootnoteReference"/>
        </w:rPr>
        <w:footnoteRef/>
      </w:r>
      <w:r>
        <w:t xml:space="preserve"> Larger versions of these icons appear throughout VBECS in the corresponding option windows. They cannot be used to access options.</w:t>
      </w:r>
    </w:p>
  </w:footnote>
  <w:footnote w:id="4">
    <w:p w14:paraId="0E745ABE" w14:textId="6672FE95" w:rsidR="00EA60B6" w:rsidRDefault="00EA60B6" w:rsidP="00F60A24">
      <w:pPr>
        <w:rPr>
          <w:rFonts w:ascii="Arial Bold" w:hAnsi="Arial Bold"/>
        </w:rPr>
      </w:pPr>
      <w:r>
        <w:rPr>
          <w:rStyle w:val="FootnoteReference"/>
        </w:rPr>
        <w:footnoteRef/>
      </w:r>
      <w:r>
        <w:t xml:space="preserve"> </w:t>
      </w:r>
      <w:r w:rsidRPr="00F60A24">
        <w:rPr>
          <w:spacing w:val="-5"/>
          <w:sz w:val="20"/>
          <w:szCs w:val="20"/>
        </w:rPr>
        <w:t>Active: VBECS order that is not rejected, cance</w:t>
      </w:r>
      <w:r>
        <w:rPr>
          <w:spacing w:val="-5"/>
          <w:sz w:val="20"/>
          <w:szCs w:val="20"/>
        </w:rPr>
        <w:t>l</w:t>
      </w:r>
      <w:r w:rsidRPr="00F60A24">
        <w:rPr>
          <w:spacing w:val="-5"/>
          <w:sz w:val="20"/>
          <w:szCs w:val="20"/>
        </w:rPr>
        <w:t xml:space="preserve">led or completed.  When the patient update is received and the order is ‘active’, the update is displayed </w:t>
      </w:r>
      <w:r>
        <w:rPr>
          <w:spacing w:val="-5"/>
          <w:sz w:val="20"/>
          <w:szCs w:val="20"/>
        </w:rPr>
        <w:t xml:space="preserve"> </w:t>
      </w:r>
      <w:r w:rsidRPr="00F60A24">
        <w:rPr>
          <w:spacing w:val="-5"/>
          <w:sz w:val="20"/>
          <w:szCs w:val="20"/>
        </w:rPr>
        <w:t>regardless of order cancelation until it is viewed by a VBECS user.</w:t>
      </w:r>
    </w:p>
    <w:p w14:paraId="20C9D24A" w14:textId="77777777" w:rsidR="00EA60B6" w:rsidRDefault="00EA60B6">
      <w:pPr>
        <w:pStyle w:val="FootnoteText"/>
      </w:pPr>
    </w:p>
  </w:footnote>
  <w:footnote w:id="5">
    <w:p w14:paraId="79951B40" w14:textId="77777777" w:rsidR="00EA60B6" w:rsidRDefault="00EA60B6" w:rsidP="004A6408">
      <w:pPr>
        <w:pStyle w:val="FootnoteText"/>
      </w:pPr>
      <w:r>
        <w:rPr>
          <w:rStyle w:val="FootnoteReference"/>
        </w:rPr>
        <w:footnoteRef/>
      </w:r>
      <w:r>
        <w:t xml:space="preserve"> Room Temperature/Immediate Spin</w:t>
      </w:r>
    </w:p>
  </w:footnote>
  <w:footnote w:id="6">
    <w:p w14:paraId="68435332" w14:textId="77777777" w:rsidR="00EA60B6" w:rsidRDefault="00EA60B6" w:rsidP="004A6408">
      <w:pPr>
        <w:pStyle w:val="FootnoteText"/>
      </w:pPr>
      <w:r>
        <w:rPr>
          <w:rStyle w:val="FootnoteReference"/>
        </w:rPr>
        <w:footnoteRef/>
      </w:r>
      <w:r>
        <w:t xml:space="preserve"> Anti-Human Globulin</w:t>
      </w:r>
    </w:p>
  </w:footnote>
  <w:footnote w:id="7">
    <w:p w14:paraId="79DB8332" w14:textId="77777777" w:rsidR="00EA60B6" w:rsidRDefault="00EA60B6" w:rsidP="004A6408">
      <w:pPr>
        <w:pStyle w:val="FootnoteText"/>
      </w:pPr>
      <w:r>
        <w:rPr>
          <w:rStyle w:val="FootnoteReference"/>
        </w:rPr>
        <w:footnoteRef/>
      </w:r>
      <w:r>
        <w:t xml:space="preserve"> Coated cell</w:t>
      </w:r>
    </w:p>
  </w:footnote>
  <w:footnote w:id="8">
    <w:p w14:paraId="754513CA" w14:textId="649D8D4B" w:rsidR="00EA60B6" w:rsidRDefault="00EA60B6" w:rsidP="002369C9">
      <w:pPr>
        <w:rPr>
          <w:rFonts w:ascii="Arial Bold" w:hAnsi="Arial Bold"/>
        </w:rPr>
      </w:pPr>
      <w:r>
        <w:rPr>
          <w:rStyle w:val="FootnoteReference"/>
        </w:rPr>
        <w:footnoteRef/>
      </w:r>
      <w:r>
        <w:t xml:space="preserve"> </w:t>
      </w:r>
      <w:r w:rsidRPr="00F60A24">
        <w:rPr>
          <w:spacing w:val="-5"/>
          <w:sz w:val="20"/>
          <w:szCs w:val="20"/>
        </w:rPr>
        <w:t>Active: VBECS order that is not rejected, cancel</w:t>
      </w:r>
      <w:r>
        <w:rPr>
          <w:spacing w:val="-5"/>
          <w:sz w:val="20"/>
          <w:szCs w:val="20"/>
        </w:rPr>
        <w:t>l</w:t>
      </w:r>
      <w:r w:rsidRPr="00F60A24">
        <w:rPr>
          <w:spacing w:val="-5"/>
          <w:sz w:val="20"/>
          <w:szCs w:val="20"/>
        </w:rPr>
        <w:t xml:space="preserve">ed or completed.  When the patient update is received and the order is ‘active’, the update is displayed </w:t>
      </w:r>
      <w:r>
        <w:rPr>
          <w:spacing w:val="-5"/>
          <w:sz w:val="20"/>
          <w:szCs w:val="20"/>
        </w:rPr>
        <w:t xml:space="preserve"> </w:t>
      </w:r>
      <w:r w:rsidRPr="00F60A24">
        <w:rPr>
          <w:spacing w:val="-5"/>
          <w:sz w:val="20"/>
          <w:szCs w:val="20"/>
        </w:rPr>
        <w:t>regardless of order cancelation until it is viewed by a VBECS user.</w:t>
      </w:r>
    </w:p>
    <w:p w14:paraId="76152BAF" w14:textId="77777777" w:rsidR="00EA60B6" w:rsidRDefault="00EA60B6" w:rsidP="002369C9">
      <w:pPr>
        <w:pStyle w:val="FootnoteText"/>
      </w:pPr>
    </w:p>
  </w:footnote>
  <w:footnote w:id="9">
    <w:p w14:paraId="2539C9CB" w14:textId="77777777" w:rsidR="00EA60B6" w:rsidRDefault="00EA60B6" w:rsidP="002F6D7B">
      <w:pPr>
        <w:numPr>
          <w:ilvl w:val="0"/>
          <w:numId w:val="13"/>
        </w:numPr>
        <w:tabs>
          <w:tab w:val="clear" w:pos="720"/>
        </w:tabs>
        <w:spacing w:before="100" w:beforeAutospacing="1" w:after="100" w:afterAutospacing="1"/>
        <w:ind w:left="135"/>
      </w:pPr>
      <w:r>
        <w:rPr>
          <w:rStyle w:val="FootnoteReference"/>
        </w:rPr>
        <w:footnoteRef/>
      </w:r>
      <w:r>
        <w:t xml:space="preserve"> </w:t>
      </w:r>
      <w:r w:rsidRPr="00BE2EB7">
        <w:rPr>
          <w:sz w:val="20"/>
          <w:szCs w:val="20"/>
        </w:rPr>
        <w:t xml:space="preserve">To make a copy of the active window, press </w:t>
      </w:r>
      <w:r w:rsidRPr="00BE2EB7">
        <w:rPr>
          <w:b/>
          <w:bCs/>
          <w:sz w:val="20"/>
          <w:szCs w:val="20"/>
        </w:rPr>
        <w:t>Alt+Print Screen</w:t>
      </w:r>
      <w:r w:rsidRPr="00BE2EB7">
        <w:rPr>
          <w:sz w:val="20"/>
          <w:szCs w:val="20"/>
        </w:rPr>
        <w:t xml:space="preserve">. To copy the entire screen as it appears on your monitor, press </w:t>
      </w:r>
      <w:r w:rsidRPr="00BE2EB7">
        <w:rPr>
          <w:b/>
          <w:bCs/>
          <w:sz w:val="20"/>
          <w:szCs w:val="20"/>
        </w:rPr>
        <w:t>Print Screen</w:t>
      </w:r>
      <w:r w:rsidRPr="00BE2EB7">
        <w:rPr>
          <w:sz w:val="20"/>
          <w:szCs w:val="20"/>
        </w:rPr>
        <w:t xml:space="preserve">. To paste the image into a file in an Office program, open the file you want to paste the image into, click </w:t>
      </w:r>
      <w:r w:rsidRPr="00BE2EB7">
        <w:rPr>
          <w:b/>
          <w:bCs/>
          <w:sz w:val="20"/>
          <w:szCs w:val="20"/>
        </w:rPr>
        <w:t>Edit</w:t>
      </w:r>
      <w:r w:rsidRPr="00BE2EB7">
        <w:rPr>
          <w:sz w:val="20"/>
          <w:szCs w:val="20"/>
        </w:rPr>
        <w:t xml:space="preserve">, and then click </w:t>
      </w:r>
      <w:r w:rsidRPr="00BE2EB7">
        <w:rPr>
          <w:b/>
          <w:bCs/>
          <w:sz w:val="20"/>
          <w:szCs w:val="20"/>
        </w:rPr>
        <w:t>Paste</w:t>
      </w:r>
      <w:r w:rsidRPr="00BE2EB7">
        <w:rPr>
          <w:sz w:val="20"/>
          <w:szCs w:val="20"/>
        </w:rPr>
        <w:t xml:space="preserve">. </w:t>
      </w:r>
    </w:p>
  </w:footnote>
  <w:footnote w:id="10">
    <w:p w14:paraId="34FF35E8" w14:textId="77777777" w:rsidR="00EA60B6" w:rsidRDefault="00EA60B6" w:rsidP="002E3C00">
      <w:pPr>
        <w:pStyle w:val="FootnoteText"/>
      </w:pPr>
      <w:r>
        <w:rPr>
          <w:rStyle w:val="FootnoteReference"/>
        </w:rPr>
        <w:footnoteRef/>
      </w:r>
      <w:r>
        <w:t xml:space="preserve"> Default is </w:t>
      </w:r>
      <w:r w:rsidRPr="007121BA">
        <w:t>270</w:t>
      </w:r>
      <w:r>
        <w:t xml:space="preserve"> minutes (4 hours, 30 minutes).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862E1" w14:textId="77777777" w:rsidR="00EA60B6" w:rsidRDefault="00EA60B6">
    <w:pPr>
      <w:pStyle w:val="Header"/>
      <w:jc w:val="center"/>
    </w:pPr>
  </w:p>
  <w:p w14:paraId="19A61421" w14:textId="77777777" w:rsidR="00EA60B6" w:rsidRDefault="00EA60B6">
    <w:pPr>
      <w:pStyle w:val="Header"/>
      <w:jc w:val="center"/>
    </w:pPr>
  </w:p>
  <w:p w14:paraId="135EE6EB" w14:textId="77777777" w:rsidR="00EA60B6" w:rsidRDefault="00EA60B6">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5C6AA" w14:textId="77777777" w:rsidR="00EA60B6" w:rsidRDefault="00EA60B6">
    <w:pPr>
      <w:pStyle w:val="Header"/>
      <w:jc w:val="center"/>
      <w:rPr>
        <w:rFonts w:ascii="Arial" w:hAnsi="Arial" w:cs="Arial"/>
        <w:i/>
      </w:rPr>
    </w:pPr>
  </w:p>
  <w:p w14:paraId="73D33D40" w14:textId="77777777" w:rsidR="00EA60B6" w:rsidRDefault="00EA60B6">
    <w:pPr>
      <w:pStyle w:val="Header"/>
      <w:jc w:val="center"/>
    </w:pPr>
  </w:p>
  <w:p w14:paraId="09E1A3C2" w14:textId="77777777" w:rsidR="00EA60B6" w:rsidRDefault="00EA60B6">
    <w:pPr>
      <w:pStyle w:val="Header"/>
      <w:jc w:val="center"/>
    </w:pPr>
  </w:p>
  <w:p w14:paraId="30540558" w14:textId="77777777" w:rsidR="00EA60B6" w:rsidRDefault="00EA60B6">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EE0D0" w14:textId="77777777" w:rsidR="00EA60B6" w:rsidRDefault="00EA60B6" w:rsidP="001971FE">
    <w:pPr>
      <w:pStyle w:val="Header"/>
      <w:jc w:val="center"/>
      <w:rPr>
        <w:rFonts w:ascii="Arial" w:hAnsi="Arial" w:cs="Arial"/>
        <w:i/>
      </w:rPr>
    </w:pPr>
  </w:p>
  <w:p w14:paraId="55C3433C" w14:textId="77777777" w:rsidR="00EA60B6" w:rsidRDefault="00EA60B6" w:rsidP="001971FE">
    <w:pPr>
      <w:pStyle w:val="Header"/>
      <w:jc w:val="center"/>
    </w:pPr>
  </w:p>
  <w:p w14:paraId="3EF72D10" w14:textId="77777777" w:rsidR="00EA60B6" w:rsidRDefault="00EA60B6">
    <w:pPr>
      <w:pStyle w:val="Header"/>
      <w:jc w:val="center"/>
    </w:pPr>
  </w:p>
  <w:p w14:paraId="2B88979B" w14:textId="77777777" w:rsidR="00EA60B6" w:rsidRDefault="00EA60B6">
    <w:pPr>
      <w:pStyle w:val="Header"/>
      <w:jc w:val="cent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6E886" w14:textId="77777777" w:rsidR="00EA60B6" w:rsidRDefault="00EA60B6" w:rsidP="001971FE">
    <w:pPr>
      <w:pStyle w:val="Header"/>
      <w:jc w:val="center"/>
      <w:rPr>
        <w:rFonts w:ascii="Arial" w:hAnsi="Arial" w:cs="Arial"/>
        <w:i/>
      </w:rPr>
    </w:pPr>
  </w:p>
  <w:p w14:paraId="5E934C06" w14:textId="77777777" w:rsidR="00EA60B6" w:rsidRDefault="00EA60B6" w:rsidP="001971FE">
    <w:pPr>
      <w:pStyle w:val="Header"/>
      <w:jc w:val="center"/>
    </w:pPr>
  </w:p>
  <w:p w14:paraId="53D85905" w14:textId="77777777" w:rsidR="00EA60B6" w:rsidRDefault="00EA60B6">
    <w:pPr>
      <w:pStyle w:val="Header"/>
      <w:jc w:val="center"/>
    </w:pPr>
  </w:p>
  <w:p w14:paraId="2DDC02AA" w14:textId="77777777" w:rsidR="00EA60B6" w:rsidRDefault="00EA60B6">
    <w:pPr>
      <w:pStyle w:val="Header"/>
      <w:jc w:val="cent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EEDAAC" w14:textId="77777777" w:rsidR="00EA60B6" w:rsidRDefault="00EA60B6"/>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70CFF" w14:textId="77777777" w:rsidR="00EA60B6" w:rsidRDefault="00EA60B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in;height:3in" o:bullet="t"/>
    </w:pict>
  </w:numPicBullet>
  <w:numPicBullet w:numPicBulletId="1">
    <w:pict>
      <v:shape id="_x0000_i1027" type="#_x0000_t75" style="width:3in;height:3in" o:bullet="t"/>
    </w:pict>
  </w:numPicBullet>
  <w:numPicBullet w:numPicBulletId="2">
    <w:pict>
      <v:shape id="_x0000_i1028" type="#_x0000_t75" style="width:3in;height:3in" o:bullet="t"/>
    </w:pict>
  </w:numPicBullet>
  <w:numPicBullet w:numPicBulletId="3">
    <w:pict>
      <v:shape id="_x0000_i1029" type="#_x0000_t75" alt="small_vistalink_fail" style="width:12pt;height:12pt;visibility:visible" o:bullet="t">
        <v:imagedata r:id="rId1" o:title="small_vistalink_fail"/>
      </v:shape>
    </w:pict>
  </w:numPicBullet>
  <w:abstractNum w:abstractNumId="0" w15:restartNumberingAfterBreak="0">
    <w:nsid w:val="04613CC0"/>
    <w:multiLevelType w:val="hybridMultilevel"/>
    <w:tmpl w:val="9B14D6CC"/>
    <w:lvl w:ilvl="0" w:tplc="EB7C977E">
      <w:start w:val="1"/>
      <w:numFmt w:val="bullet"/>
      <w:pStyle w:val="GlossaryTableTextBullets"/>
      <w:lvlText w:val=""/>
      <w:lvlJc w:val="left"/>
      <w:pPr>
        <w:tabs>
          <w:tab w:val="num" w:pos="648"/>
        </w:tabs>
        <w:ind w:left="648" w:hanging="288"/>
      </w:pPr>
      <w:rPr>
        <w:rFonts w:ascii="Symbol" w:hAnsi="Symbol" w:hint="default"/>
        <w:sz w:val="18"/>
        <w:szCs w:val="18"/>
      </w:rPr>
    </w:lvl>
    <w:lvl w:ilvl="1" w:tplc="46A45A12" w:tentative="1">
      <w:start w:val="1"/>
      <w:numFmt w:val="bullet"/>
      <w:lvlText w:val="o"/>
      <w:lvlJc w:val="left"/>
      <w:pPr>
        <w:tabs>
          <w:tab w:val="num" w:pos="1800"/>
        </w:tabs>
        <w:ind w:left="1800" w:hanging="360"/>
      </w:pPr>
      <w:rPr>
        <w:rFonts w:ascii="Courier New" w:hAnsi="Courier New" w:cs="Courier New" w:hint="default"/>
      </w:rPr>
    </w:lvl>
    <w:lvl w:ilvl="2" w:tplc="E4DA0104" w:tentative="1">
      <w:start w:val="1"/>
      <w:numFmt w:val="bullet"/>
      <w:lvlText w:val=""/>
      <w:lvlJc w:val="left"/>
      <w:pPr>
        <w:tabs>
          <w:tab w:val="num" w:pos="2520"/>
        </w:tabs>
        <w:ind w:left="2520" w:hanging="360"/>
      </w:pPr>
      <w:rPr>
        <w:rFonts w:ascii="Wingdings" w:hAnsi="Wingdings" w:hint="default"/>
      </w:rPr>
    </w:lvl>
    <w:lvl w:ilvl="3" w:tplc="60B8E00C" w:tentative="1">
      <w:start w:val="1"/>
      <w:numFmt w:val="bullet"/>
      <w:lvlText w:val=""/>
      <w:lvlJc w:val="left"/>
      <w:pPr>
        <w:tabs>
          <w:tab w:val="num" w:pos="3240"/>
        </w:tabs>
        <w:ind w:left="3240" w:hanging="360"/>
      </w:pPr>
      <w:rPr>
        <w:rFonts w:ascii="Symbol" w:hAnsi="Symbol" w:hint="default"/>
      </w:rPr>
    </w:lvl>
    <w:lvl w:ilvl="4" w:tplc="CE0E6B90" w:tentative="1">
      <w:start w:val="1"/>
      <w:numFmt w:val="bullet"/>
      <w:lvlText w:val="o"/>
      <w:lvlJc w:val="left"/>
      <w:pPr>
        <w:tabs>
          <w:tab w:val="num" w:pos="3960"/>
        </w:tabs>
        <w:ind w:left="3960" w:hanging="360"/>
      </w:pPr>
      <w:rPr>
        <w:rFonts w:ascii="Courier New" w:hAnsi="Courier New" w:cs="Courier New" w:hint="default"/>
      </w:rPr>
    </w:lvl>
    <w:lvl w:ilvl="5" w:tplc="0456914E" w:tentative="1">
      <w:start w:val="1"/>
      <w:numFmt w:val="bullet"/>
      <w:lvlText w:val=""/>
      <w:lvlJc w:val="left"/>
      <w:pPr>
        <w:tabs>
          <w:tab w:val="num" w:pos="4680"/>
        </w:tabs>
        <w:ind w:left="4680" w:hanging="360"/>
      </w:pPr>
      <w:rPr>
        <w:rFonts w:ascii="Wingdings" w:hAnsi="Wingdings" w:hint="default"/>
      </w:rPr>
    </w:lvl>
    <w:lvl w:ilvl="6" w:tplc="F47E236E" w:tentative="1">
      <w:start w:val="1"/>
      <w:numFmt w:val="bullet"/>
      <w:lvlText w:val=""/>
      <w:lvlJc w:val="left"/>
      <w:pPr>
        <w:tabs>
          <w:tab w:val="num" w:pos="5400"/>
        </w:tabs>
        <w:ind w:left="5400" w:hanging="360"/>
      </w:pPr>
      <w:rPr>
        <w:rFonts w:ascii="Symbol" w:hAnsi="Symbol" w:hint="default"/>
      </w:rPr>
    </w:lvl>
    <w:lvl w:ilvl="7" w:tplc="B2946EFE" w:tentative="1">
      <w:start w:val="1"/>
      <w:numFmt w:val="bullet"/>
      <w:lvlText w:val="o"/>
      <w:lvlJc w:val="left"/>
      <w:pPr>
        <w:tabs>
          <w:tab w:val="num" w:pos="6120"/>
        </w:tabs>
        <w:ind w:left="6120" w:hanging="360"/>
      </w:pPr>
      <w:rPr>
        <w:rFonts w:ascii="Courier New" w:hAnsi="Courier New" w:cs="Courier New" w:hint="default"/>
      </w:rPr>
    </w:lvl>
    <w:lvl w:ilvl="8" w:tplc="A106DE50"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04EE5285"/>
    <w:multiLevelType w:val="hybridMultilevel"/>
    <w:tmpl w:val="ABEE7660"/>
    <w:lvl w:ilvl="0" w:tplc="673E15CA">
      <w:start w:val="1"/>
      <w:numFmt w:val="bullet"/>
      <w:pStyle w:val="TableTextBullet"/>
      <w:lvlText w:val=""/>
      <w:lvlJc w:val="left"/>
      <w:pPr>
        <w:tabs>
          <w:tab w:val="num" w:pos="288"/>
        </w:tabs>
        <w:ind w:left="288" w:hanging="288"/>
      </w:pPr>
      <w:rPr>
        <w:rFonts w:ascii="Symbol" w:hAnsi="Symbol" w:hint="default"/>
        <w:sz w:val="18"/>
        <w:szCs w:val="18"/>
      </w:rPr>
    </w:lvl>
    <w:lvl w:ilvl="1" w:tplc="67C44AEA">
      <w:start w:val="1"/>
      <w:numFmt w:val="bullet"/>
      <w:lvlText w:val="o"/>
      <w:lvlJc w:val="left"/>
      <w:pPr>
        <w:tabs>
          <w:tab w:val="num" w:pos="1440"/>
        </w:tabs>
        <w:ind w:left="1440" w:hanging="360"/>
      </w:pPr>
      <w:rPr>
        <w:rFonts w:ascii="Courier New" w:hAnsi="Courier New" w:cs="Courier New" w:hint="default"/>
      </w:rPr>
    </w:lvl>
    <w:lvl w:ilvl="2" w:tplc="7EEA7A9A" w:tentative="1">
      <w:start w:val="1"/>
      <w:numFmt w:val="bullet"/>
      <w:lvlText w:val=""/>
      <w:lvlJc w:val="left"/>
      <w:pPr>
        <w:tabs>
          <w:tab w:val="num" w:pos="2160"/>
        </w:tabs>
        <w:ind w:left="2160" w:hanging="360"/>
      </w:pPr>
      <w:rPr>
        <w:rFonts w:ascii="Wingdings" w:hAnsi="Wingdings" w:hint="default"/>
      </w:rPr>
    </w:lvl>
    <w:lvl w:ilvl="3" w:tplc="F5A8D8F0" w:tentative="1">
      <w:start w:val="1"/>
      <w:numFmt w:val="bullet"/>
      <w:lvlText w:val=""/>
      <w:lvlJc w:val="left"/>
      <w:pPr>
        <w:tabs>
          <w:tab w:val="num" w:pos="2880"/>
        </w:tabs>
        <w:ind w:left="2880" w:hanging="360"/>
      </w:pPr>
      <w:rPr>
        <w:rFonts w:ascii="Symbol" w:hAnsi="Symbol" w:hint="default"/>
      </w:rPr>
    </w:lvl>
    <w:lvl w:ilvl="4" w:tplc="00E249A6" w:tentative="1">
      <w:start w:val="1"/>
      <w:numFmt w:val="bullet"/>
      <w:lvlText w:val="o"/>
      <w:lvlJc w:val="left"/>
      <w:pPr>
        <w:tabs>
          <w:tab w:val="num" w:pos="3600"/>
        </w:tabs>
        <w:ind w:left="3600" w:hanging="360"/>
      </w:pPr>
      <w:rPr>
        <w:rFonts w:ascii="Courier New" w:hAnsi="Courier New" w:cs="Courier New" w:hint="default"/>
      </w:rPr>
    </w:lvl>
    <w:lvl w:ilvl="5" w:tplc="DBFA9252" w:tentative="1">
      <w:start w:val="1"/>
      <w:numFmt w:val="bullet"/>
      <w:lvlText w:val=""/>
      <w:lvlJc w:val="left"/>
      <w:pPr>
        <w:tabs>
          <w:tab w:val="num" w:pos="4320"/>
        </w:tabs>
        <w:ind w:left="4320" w:hanging="360"/>
      </w:pPr>
      <w:rPr>
        <w:rFonts w:ascii="Wingdings" w:hAnsi="Wingdings" w:hint="default"/>
      </w:rPr>
    </w:lvl>
    <w:lvl w:ilvl="6" w:tplc="FC06345E" w:tentative="1">
      <w:start w:val="1"/>
      <w:numFmt w:val="bullet"/>
      <w:lvlText w:val=""/>
      <w:lvlJc w:val="left"/>
      <w:pPr>
        <w:tabs>
          <w:tab w:val="num" w:pos="5040"/>
        </w:tabs>
        <w:ind w:left="5040" w:hanging="360"/>
      </w:pPr>
      <w:rPr>
        <w:rFonts w:ascii="Symbol" w:hAnsi="Symbol" w:hint="default"/>
      </w:rPr>
    </w:lvl>
    <w:lvl w:ilvl="7" w:tplc="61CE7C36" w:tentative="1">
      <w:start w:val="1"/>
      <w:numFmt w:val="bullet"/>
      <w:lvlText w:val="o"/>
      <w:lvlJc w:val="left"/>
      <w:pPr>
        <w:tabs>
          <w:tab w:val="num" w:pos="5760"/>
        </w:tabs>
        <w:ind w:left="5760" w:hanging="360"/>
      </w:pPr>
      <w:rPr>
        <w:rFonts w:ascii="Courier New" w:hAnsi="Courier New" w:cs="Courier New" w:hint="default"/>
      </w:rPr>
    </w:lvl>
    <w:lvl w:ilvl="8" w:tplc="8D64A242"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76D0253"/>
    <w:multiLevelType w:val="hybridMultilevel"/>
    <w:tmpl w:val="B406E5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A7843AB"/>
    <w:multiLevelType w:val="hybridMultilevel"/>
    <w:tmpl w:val="77E4C056"/>
    <w:lvl w:ilvl="0" w:tplc="04090001">
      <w:start w:val="1"/>
      <w:numFmt w:val="bullet"/>
      <w:lvlText w:val=""/>
      <w:lvlJc w:val="left"/>
      <w:pPr>
        <w:ind w:left="1485" w:hanging="360"/>
      </w:pPr>
      <w:rPr>
        <w:rFonts w:ascii="Symbol" w:hAnsi="Symbol" w:hint="default"/>
      </w:rPr>
    </w:lvl>
    <w:lvl w:ilvl="1" w:tplc="04090003" w:tentative="1">
      <w:start w:val="1"/>
      <w:numFmt w:val="bullet"/>
      <w:lvlText w:val="o"/>
      <w:lvlJc w:val="left"/>
      <w:pPr>
        <w:ind w:left="2205"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4" w15:restartNumberingAfterBreak="0">
    <w:nsid w:val="0C217292"/>
    <w:multiLevelType w:val="hybridMultilevel"/>
    <w:tmpl w:val="AD3C43EC"/>
    <w:lvl w:ilvl="0" w:tplc="FFFFFFFF">
      <w:start w:val="1"/>
      <w:numFmt w:val="bullet"/>
      <w:lvlText w:val=""/>
      <w:lvlJc w:val="left"/>
      <w:pPr>
        <w:tabs>
          <w:tab w:val="num" w:pos="360"/>
        </w:tabs>
        <w:ind w:left="360" w:hanging="360"/>
      </w:pPr>
      <w:rPr>
        <w:rFonts w:ascii="Symbol" w:hAnsi="Symbol" w:hint="default"/>
        <w:sz w:val="18"/>
      </w:rPr>
    </w:lvl>
    <w:lvl w:ilvl="1" w:tplc="04090001">
      <w:start w:val="1"/>
      <w:numFmt w:val="bullet"/>
      <w:lvlText w:val=""/>
      <w:lvlJc w:val="left"/>
      <w:pPr>
        <w:tabs>
          <w:tab w:val="num" w:pos="1440"/>
        </w:tabs>
        <w:ind w:left="1440" w:hanging="360"/>
      </w:pPr>
      <w:rPr>
        <w:rFonts w:ascii="Symbol" w:hAnsi="Symbol" w:hint="default"/>
        <w:sz w:val="18"/>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CE736AE"/>
    <w:multiLevelType w:val="hybridMultilevel"/>
    <w:tmpl w:val="1108E58A"/>
    <w:lvl w:ilvl="0" w:tplc="0040FE08">
      <w:start w:val="1"/>
      <w:numFmt w:val="bullet"/>
      <w:lvlText w:val=""/>
      <w:lvlJc w:val="left"/>
      <w:pPr>
        <w:tabs>
          <w:tab w:val="num" w:pos="288"/>
        </w:tabs>
        <w:ind w:left="288" w:hanging="288"/>
      </w:pPr>
      <w:rPr>
        <w:rFonts w:ascii="Symbol" w:hAnsi="Symbol" w:hint="default"/>
        <w:sz w:val="18"/>
      </w:rPr>
    </w:lvl>
    <w:lvl w:ilvl="1" w:tplc="047416E6">
      <w:start w:val="1"/>
      <w:numFmt w:val="decimal"/>
      <w:lvlText w:val="%2."/>
      <w:lvlJc w:val="left"/>
      <w:pPr>
        <w:tabs>
          <w:tab w:val="num" w:pos="1440"/>
        </w:tabs>
        <w:ind w:left="1440" w:hanging="360"/>
      </w:pPr>
      <w:rPr>
        <w:rFonts w:hint="default"/>
        <w:sz w:val="18"/>
      </w:rPr>
    </w:lvl>
    <w:lvl w:ilvl="2" w:tplc="CF9E79F0" w:tentative="1">
      <w:start w:val="1"/>
      <w:numFmt w:val="bullet"/>
      <w:lvlText w:val=""/>
      <w:lvlJc w:val="left"/>
      <w:pPr>
        <w:tabs>
          <w:tab w:val="num" w:pos="2160"/>
        </w:tabs>
        <w:ind w:left="2160" w:hanging="360"/>
      </w:pPr>
      <w:rPr>
        <w:rFonts w:ascii="Wingdings" w:hAnsi="Wingdings" w:hint="default"/>
      </w:rPr>
    </w:lvl>
    <w:lvl w:ilvl="3" w:tplc="75780262" w:tentative="1">
      <w:start w:val="1"/>
      <w:numFmt w:val="bullet"/>
      <w:lvlText w:val=""/>
      <w:lvlJc w:val="left"/>
      <w:pPr>
        <w:tabs>
          <w:tab w:val="num" w:pos="2880"/>
        </w:tabs>
        <w:ind w:left="2880" w:hanging="360"/>
      </w:pPr>
      <w:rPr>
        <w:rFonts w:ascii="Symbol" w:hAnsi="Symbol" w:hint="default"/>
      </w:rPr>
    </w:lvl>
    <w:lvl w:ilvl="4" w:tplc="E49833F6" w:tentative="1">
      <w:start w:val="1"/>
      <w:numFmt w:val="bullet"/>
      <w:lvlText w:val="o"/>
      <w:lvlJc w:val="left"/>
      <w:pPr>
        <w:tabs>
          <w:tab w:val="num" w:pos="3600"/>
        </w:tabs>
        <w:ind w:left="3600" w:hanging="360"/>
      </w:pPr>
      <w:rPr>
        <w:rFonts w:ascii="Courier New" w:hAnsi="Courier New" w:cs="Courier New" w:hint="default"/>
      </w:rPr>
    </w:lvl>
    <w:lvl w:ilvl="5" w:tplc="EC54FD92" w:tentative="1">
      <w:start w:val="1"/>
      <w:numFmt w:val="bullet"/>
      <w:lvlText w:val=""/>
      <w:lvlJc w:val="left"/>
      <w:pPr>
        <w:tabs>
          <w:tab w:val="num" w:pos="4320"/>
        </w:tabs>
        <w:ind w:left="4320" w:hanging="360"/>
      </w:pPr>
      <w:rPr>
        <w:rFonts w:ascii="Wingdings" w:hAnsi="Wingdings" w:hint="default"/>
      </w:rPr>
    </w:lvl>
    <w:lvl w:ilvl="6" w:tplc="4D169686" w:tentative="1">
      <w:start w:val="1"/>
      <w:numFmt w:val="bullet"/>
      <w:lvlText w:val=""/>
      <w:lvlJc w:val="left"/>
      <w:pPr>
        <w:tabs>
          <w:tab w:val="num" w:pos="5040"/>
        </w:tabs>
        <w:ind w:left="5040" w:hanging="360"/>
      </w:pPr>
      <w:rPr>
        <w:rFonts w:ascii="Symbol" w:hAnsi="Symbol" w:hint="default"/>
      </w:rPr>
    </w:lvl>
    <w:lvl w:ilvl="7" w:tplc="22660948" w:tentative="1">
      <w:start w:val="1"/>
      <w:numFmt w:val="bullet"/>
      <w:lvlText w:val="o"/>
      <w:lvlJc w:val="left"/>
      <w:pPr>
        <w:tabs>
          <w:tab w:val="num" w:pos="5760"/>
        </w:tabs>
        <w:ind w:left="5760" w:hanging="360"/>
      </w:pPr>
      <w:rPr>
        <w:rFonts w:ascii="Courier New" w:hAnsi="Courier New" w:cs="Courier New" w:hint="default"/>
      </w:rPr>
    </w:lvl>
    <w:lvl w:ilvl="8" w:tplc="596E42BC"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E963B35"/>
    <w:multiLevelType w:val="hybridMultilevel"/>
    <w:tmpl w:val="5766590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0704291"/>
    <w:multiLevelType w:val="hybridMultilevel"/>
    <w:tmpl w:val="DD5A592C"/>
    <w:lvl w:ilvl="0" w:tplc="C86439DE">
      <w:start w:val="1"/>
      <w:numFmt w:val="bullet"/>
      <w:lvlText w:val=""/>
      <w:lvlJc w:val="left"/>
      <w:pPr>
        <w:tabs>
          <w:tab w:val="num" w:pos="360"/>
        </w:tabs>
        <w:ind w:left="360" w:hanging="360"/>
      </w:pPr>
      <w:rPr>
        <w:rFonts w:ascii="Symbol" w:hAnsi="Symbol" w:hint="default"/>
      </w:rPr>
    </w:lvl>
    <w:lvl w:ilvl="1" w:tplc="84D4373E" w:tentative="1">
      <w:start w:val="1"/>
      <w:numFmt w:val="bullet"/>
      <w:lvlText w:val="o"/>
      <w:lvlJc w:val="left"/>
      <w:pPr>
        <w:tabs>
          <w:tab w:val="num" w:pos="1440"/>
        </w:tabs>
        <w:ind w:left="1440" w:hanging="360"/>
      </w:pPr>
      <w:rPr>
        <w:rFonts w:ascii="Courier New" w:hAnsi="Courier New" w:hint="default"/>
      </w:rPr>
    </w:lvl>
    <w:lvl w:ilvl="2" w:tplc="A4001BDE" w:tentative="1">
      <w:start w:val="1"/>
      <w:numFmt w:val="bullet"/>
      <w:lvlText w:val=""/>
      <w:lvlJc w:val="left"/>
      <w:pPr>
        <w:tabs>
          <w:tab w:val="num" w:pos="2160"/>
        </w:tabs>
        <w:ind w:left="2160" w:hanging="360"/>
      </w:pPr>
      <w:rPr>
        <w:rFonts w:ascii="Wingdings" w:hAnsi="Wingdings" w:hint="default"/>
      </w:rPr>
    </w:lvl>
    <w:lvl w:ilvl="3" w:tplc="59741308" w:tentative="1">
      <w:start w:val="1"/>
      <w:numFmt w:val="bullet"/>
      <w:lvlText w:val=""/>
      <w:lvlJc w:val="left"/>
      <w:pPr>
        <w:tabs>
          <w:tab w:val="num" w:pos="2880"/>
        </w:tabs>
        <w:ind w:left="2880" w:hanging="360"/>
      </w:pPr>
      <w:rPr>
        <w:rFonts w:ascii="Symbol" w:hAnsi="Symbol" w:hint="default"/>
      </w:rPr>
    </w:lvl>
    <w:lvl w:ilvl="4" w:tplc="80E2EA6C" w:tentative="1">
      <w:start w:val="1"/>
      <w:numFmt w:val="bullet"/>
      <w:lvlText w:val="o"/>
      <w:lvlJc w:val="left"/>
      <w:pPr>
        <w:tabs>
          <w:tab w:val="num" w:pos="3600"/>
        </w:tabs>
        <w:ind w:left="3600" w:hanging="360"/>
      </w:pPr>
      <w:rPr>
        <w:rFonts w:ascii="Courier New" w:hAnsi="Courier New" w:hint="default"/>
      </w:rPr>
    </w:lvl>
    <w:lvl w:ilvl="5" w:tplc="EB6655A6" w:tentative="1">
      <w:start w:val="1"/>
      <w:numFmt w:val="bullet"/>
      <w:lvlText w:val=""/>
      <w:lvlJc w:val="left"/>
      <w:pPr>
        <w:tabs>
          <w:tab w:val="num" w:pos="4320"/>
        </w:tabs>
        <w:ind w:left="4320" w:hanging="360"/>
      </w:pPr>
      <w:rPr>
        <w:rFonts w:ascii="Wingdings" w:hAnsi="Wingdings" w:hint="default"/>
      </w:rPr>
    </w:lvl>
    <w:lvl w:ilvl="6" w:tplc="5D18CF9A" w:tentative="1">
      <w:start w:val="1"/>
      <w:numFmt w:val="bullet"/>
      <w:lvlText w:val=""/>
      <w:lvlJc w:val="left"/>
      <w:pPr>
        <w:tabs>
          <w:tab w:val="num" w:pos="5040"/>
        </w:tabs>
        <w:ind w:left="5040" w:hanging="360"/>
      </w:pPr>
      <w:rPr>
        <w:rFonts w:ascii="Symbol" w:hAnsi="Symbol" w:hint="default"/>
      </w:rPr>
    </w:lvl>
    <w:lvl w:ilvl="7" w:tplc="075CB266" w:tentative="1">
      <w:start w:val="1"/>
      <w:numFmt w:val="bullet"/>
      <w:lvlText w:val="o"/>
      <w:lvlJc w:val="left"/>
      <w:pPr>
        <w:tabs>
          <w:tab w:val="num" w:pos="5760"/>
        </w:tabs>
        <w:ind w:left="5760" w:hanging="360"/>
      </w:pPr>
      <w:rPr>
        <w:rFonts w:ascii="Courier New" w:hAnsi="Courier New" w:hint="default"/>
      </w:rPr>
    </w:lvl>
    <w:lvl w:ilvl="8" w:tplc="97FC227C"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2481979"/>
    <w:multiLevelType w:val="hybridMultilevel"/>
    <w:tmpl w:val="E236B9C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12DD4DC5"/>
    <w:multiLevelType w:val="hybridMultilevel"/>
    <w:tmpl w:val="8544FB9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5422FE9"/>
    <w:multiLevelType w:val="hybridMultilevel"/>
    <w:tmpl w:val="8B34C8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18C85357"/>
    <w:multiLevelType w:val="hybridMultilevel"/>
    <w:tmpl w:val="747E78C4"/>
    <w:lvl w:ilvl="0" w:tplc="8D5EE010">
      <w:start w:val="1"/>
      <w:numFmt w:val="decimal"/>
      <w:lvlText w:val="%1)"/>
      <w:lvlJc w:val="left"/>
      <w:pPr>
        <w:tabs>
          <w:tab w:val="num" w:pos="720"/>
        </w:tabs>
        <w:ind w:left="720" w:hanging="36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2" w15:restartNumberingAfterBreak="0">
    <w:nsid w:val="19F20643"/>
    <w:multiLevelType w:val="hybridMultilevel"/>
    <w:tmpl w:val="BABA0F66"/>
    <w:lvl w:ilvl="0" w:tplc="1A126C3E">
      <w:start w:val="1"/>
      <w:numFmt w:val="bullet"/>
      <w:lvlText w:val=""/>
      <w:lvlJc w:val="left"/>
      <w:pPr>
        <w:tabs>
          <w:tab w:val="num" w:pos="720"/>
        </w:tabs>
        <w:ind w:left="720" w:hanging="360"/>
      </w:pPr>
      <w:rPr>
        <w:rFonts w:ascii="Symbol" w:hAnsi="Symbol" w:hint="default"/>
      </w:rPr>
    </w:lvl>
    <w:lvl w:ilvl="1" w:tplc="DE5E6A06" w:tentative="1">
      <w:start w:val="1"/>
      <w:numFmt w:val="bullet"/>
      <w:lvlText w:val="o"/>
      <w:lvlJc w:val="left"/>
      <w:pPr>
        <w:tabs>
          <w:tab w:val="num" w:pos="1440"/>
        </w:tabs>
        <w:ind w:left="1440" w:hanging="360"/>
      </w:pPr>
      <w:rPr>
        <w:rFonts w:ascii="Courier New" w:hAnsi="Courier New" w:hint="default"/>
      </w:rPr>
    </w:lvl>
    <w:lvl w:ilvl="2" w:tplc="DF14889C" w:tentative="1">
      <w:start w:val="1"/>
      <w:numFmt w:val="bullet"/>
      <w:lvlText w:val=""/>
      <w:lvlJc w:val="left"/>
      <w:pPr>
        <w:tabs>
          <w:tab w:val="num" w:pos="2160"/>
        </w:tabs>
        <w:ind w:left="2160" w:hanging="360"/>
      </w:pPr>
      <w:rPr>
        <w:rFonts w:ascii="Wingdings" w:hAnsi="Wingdings" w:hint="default"/>
      </w:rPr>
    </w:lvl>
    <w:lvl w:ilvl="3" w:tplc="30D6EAC2" w:tentative="1">
      <w:start w:val="1"/>
      <w:numFmt w:val="bullet"/>
      <w:lvlText w:val=""/>
      <w:lvlJc w:val="left"/>
      <w:pPr>
        <w:tabs>
          <w:tab w:val="num" w:pos="2880"/>
        </w:tabs>
        <w:ind w:left="2880" w:hanging="360"/>
      </w:pPr>
      <w:rPr>
        <w:rFonts w:ascii="Symbol" w:hAnsi="Symbol" w:hint="default"/>
      </w:rPr>
    </w:lvl>
    <w:lvl w:ilvl="4" w:tplc="AD807362" w:tentative="1">
      <w:start w:val="1"/>
      <w:numFmt w:val="bullet"/>
      <w:lvlText w:val="o"/>
      <w:lvlJc w:val="left"/>
      <w:pPr>
        <w:tabs>
          <w:tab w:val="num" w:pos="3600"/>
        </w:tabs>
        <w:ind w:left="3600" w:hanging="360"/>
      </w:pPr>
      <w:rPr>
        <w:rFonts w:ascii="Courier New" w:hAnsi="Courier New" w:hint="default"/>
      </w:rPr>
    </w:lvl>
    <w:lvl w:ilvl="5" w:tplc="DAC6667A" w:tentative="1">
      <w:start w:val="1"/>
      <w:numFmt w:val="bullet"/>
      <w:lvlText w:val=""/>
      <w:lvlJc w:val="left"/>
      <w:pPr>
        <w:tabs>
          <w:tab w:val="num" w:pos="4320"/>
        </w:tabs>
        <w:ind w:left="4320" w:hanging="360"/>
      </w:pPr>
      <w:rPr>
        <w:rFonts w:ascii="Wingdings" w:hAnsi="Wingdings" w:hint="default"/>
      </w:rPr>
    </w:lvl>
    <w:lvl w:ilvl="6" w:tplc="AE14D8DE" w:tentative="1">
      <w:start w:val="1"/>
      <w:numFmt w:val="bullet"/>
      <w:lvlText w:val=""/>
      <w:lvlJc w:val="left"/>
      <w:pPr>
        <w:tabs>
          <w:tab w:val="num" w:pos="5040"/>
        </w:tabs>
        <w:ind w:left="5040" w:hanging="360"/>
      </w:pPr>
      <w:rPr>
        <w:rFonts w:ascii="Symbol" w:hAnsi="Symbol" w:hint="default"/>
      </w:rPr>
    </w:lvl>
    <w:lvl w:ilvl="7" w:tplc="4434D03C" w:tentative="1">
      <w:start w:val="1"/>
      <w:numFmt w:val="bullet"/>
      <w:lvlText w:val="o"/>
      <w:lvlJc w:val="left"/>
      <w:pPr>
        <w:tabs>
          <w:tab w:val="num" w:pos="5760"/>
        </w:tabs>
        <w:ind w:left="5760" w:hanging="360"/>
      </w:pPr>
      <w:rPr>
        <w:rFonts w:ascii="Courier New" w:hAnsi="Courier New" w:hint="default"/>
      </w:rPr>
    </w:lvl>
    <w:lvl w:ilvl="8" w:tplc="1262C060"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C5A6219"/>
    <w:multiLevelType w:val="hybridMultilevel"/>
    <w:tmpl w:val="4B28CC34"/>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1F175C34"/>
    <w:multiLevelType w:val="hybridMultilevel"/>
    <w:tmpl w:val="EC50602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1F583674"/>
    <w:multiLevelType w:val="hybridMultilevel"/>
    <w:tmpl w:val="60728C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2BA7A1F"/>
    <w:multiLevelType w:val="hybridMultilevel"/>
    <w:tmpl w:val="5F5E26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2EE2B9E"/>
    <w:multiLevelType w:val="hybridMultilevel"/>
    <w:tmpl w:val="2A96445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22F00273"/>
    <w:multiLevelType w:val="hybridMultilevel"/>
    <w:tmpl w:val="FCBEB21E"/>
    <w:lvl w:ilvl="0" w:tplc="8D5EE010">
      <w:start w:val="1"/>
      <w:numFmt w:val="decimal"/>
      <w:lvlText w:val="%1)"/>
      <w:lvlJc w:val="left"/>
      <w:pPr>
        <w:ind w:left="720" w:hanging="36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77D2BCD"/>
    <w:multiLevelType w:val="hybridMultilevel"/>
    <w:tmpl w:val="3E580BF8"/>
    <w:lvl w:ilvl="0" w:tplc="0966E532">
      <w:start w:val="1"/>
      <w:numFmt w:val="bullet"/>
      <w:lvlText w:val=""/>
      <w:lvlJc w:val="left"/>
      <w:pPr>
        <w:tabs>
          <w:tab w:val="num" w:pos="720"/>
        </w:tabs>
        <w:ind w:left="720" w:hanging="360"/>
      </w:pPr>
      <w:rPr>
        <w:rFonts w:ascii="Symbol" w:hAnsi="Symbol" w:hint="default"/>
        <w:color w:val="auto"/>
        <w:sz w:val="18"/>
        <w:szCs w:val="18"/>
      </w:rPr>
    </w:lvl>
    <w:lvl w:ilvl="1" w:tplc="730C1182" w:tentative="1">
      <w:start w:val="1"/>
      <w:numFmt w:val="bullet"/>
      <w:lvlText w:val="o"/>
      <w:lvlJc w:val="left"/>
      <w:pPr>
        <w:tabs>
          <w:tab w:val="num" w:pos="1440"/>
        </w:tabs>
        <w:ind w:left="1440" w:hanging="360"/>
      </w:pPr>
      <w:rPr>
        <w:rFonts w:ascii="Courier New" w:hAnsi="Courier New" w:cs="Courier New" w:hint="default"/>
      </w:rPr>
    </w:lvl>
    <w:lvl w:ilvl="2" w:tplc="2B5CB1CA" w:tentative="1">
      <w:start w:val="1"/>
      <w:numFmt w:val="bullet"/>
      <w:lvlText w:val=""/>
      <w:lvlJc w:val="left"/>
      <w:pPr>
        <w:tabs>
          <w:tab w:val="num" w:pos="2160"/>
        </w:tabs>
        <w:ind w:left="2160" w:hanging="360"/>
      </w:pPr>
      <w:rPr>
        <w:rFonts w:ascii="Wingdings" w:hAnsi="Wingdings" w:hint="default"/>
      </w:rPr>
    </w:lvl>
    <w:lvl w:ilvl="3" w:tplc="147A038C" w:tentative="1">
      <w:start w:val="1"/>
      <w:numFmt w:val="bullet"/>
      <w:lvlText w:val=""/>
      <w:lvlJc w:val="left"/>
      <w:pPr>
        <w:tabs>
          <w:tab w:val="num" w:pos="2880"/>
        </w:tabs>
        <w:ind w:left="2880" w:hanging="360"/>
      </w:pPr>
      <w:rPr>
        <w:rFonts w:ascii="Symbol" w:hAnsi="Symbol" w:hint="default"/>
      </w:rPr>
    </w:lvl>
    <w:lvl w:ilvl="4" w:tplc="5C64FECC" w:tentative="1">
      <w:start w:val="1"/>
      <w:numFmt w:val="bullet"/>
      <w:lvlText w:val="o"/>
      <w:lvlJc w:val="left"/>
      <w:pPr>
        <w:tabs>
          <w:tab w:val="num" w:pos="3600"/>
        </w:tabs>
        <w:ind w:left="3600" w:hanging="360"/>
      </w:pPr>
      <w:rPr>
        <w:rFonts w:ascii="Courier New" w:hAnsi="Courier New" w:cs="Courier New" w:hint="default"/>
      </w:rPr>
    </w:lvl>
    <w:lvl w:ilvl="5" w:tplc="885C91EC" w:tentative="1">
      <w:start w:val="1"/>
      <w:numFmt w:val="bullet"/>
      <w:lvlText w:val=""/>
      <w:lvlJc w:val="left"/>
      <w:pPr>
        <w:tabs>
          <w:tab w:val="num" w:pos="4320"/>
        </w:tabs>
        <w:ind w:left="4320" w:hanging="360"/>
      </w:pPr>
      <w:rPr>
        <w:rFonts w:ascii="Wingdings" w:hAnsi="Wingdings" w:hint="default"/>
      </w:rPr>
    </w:lvl>
    <w:lvl w:ilvl="6" w:tplc="78444308" w:tentative="1">
      <w:start w:val="1"/>
      <w:numFmt w:val="bullet"/>
      <w:lvlText w:val=""/>
      <w:lvlJc w:val="left"/>
      <w:pPr>
        <w:tabs>
          <w:tab w:val="num" w:pos="5040"/>
        </w:tabs>
        <w:ind w:left="5040" w:hanging="360"/>
      </w:pPr>
      <w:rPr>
        <w:rFonts w:ascii="Symbol" w:hAnsi="Symbol" w:hint="default"/>
      </w:rPr>
    </w:lvl>
    <w:lvl w:ilvl="7" w:tplc="D46E18BE" w:tentative="1">
      <w:start w:val="1"/>
      <w:numFmt w:val="bullet"/>
      <w:lvlText w:val="o"/>
      <w:lvlJc w:val="left"/>
      <w:pPr>
        <w:tabs>
          <w:tab w:val="num" w:pos="5760"/>
        </w:tabs>
        <w:ind w:left="5760" w:hanging="360"/>
      </w:pPr>
      <w:rPr>
        <w:rFonts w:ascii="Courier New" w:hAnsi="Courier New" w:cs="Courier New" w:hint="default"/>
      </w:rPr>
    </w:lvl>
    <w:lvl w:ilvl="8" w:tplc="8EBADF76"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A2462B0"/>
    <w:multiLevelType w:val="hybridMultilevel"/>
    <w:tmpl w:val="C49A0398"/>
    <w:lvl w:ilvl="0" w:tplc="FFFFFFFF">
      <w:start w:val="1"/>
      <w:numFmt w:val="bullet"/>
      <w:lvlText w:val=""/>
      <w:lvlJc w:val="left"/>
      <w:pPr>
        <w:tabs>
          <w:tab w:val="num" w:pos="720"/>
        </w:tabs>
        <w:ind w:left="720" w:hanging="360"/>
      </w:pPr>
      <w:rPr>
        <w:rFonts w:ascii="Symbol" w:hAnsi="Symbol" w:hint="default"/>
        <w:color w:val="auto"/>
        <w:sz w:val="18"/>
        <w:szCs w:val="18"/>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B940C9D"/>
    <w:multiLevelType w:val="hybridMultilevel"/>
    <w:tmpl w:val="26F4E356"/>
    <w:lvl w:ilvl="0" w:tplc="1D94FEC6">
      <w:start w:val="1"/>
      <w:numFmt w:val="bullet"/>
      <w:lvlText w:val=""/>
      <w:lvlJc w:val="left"/>
      <w:pPr>
        <w:tabs>
          <w:tab w:val="num" w:pos="720"/>
        </w:tabs>
        <w:ind w:left="720" w:hanging="360"/>
      </w:pPr>
      <w:rPr>
        <w:rFonts w:ascii="Symbol" w:hAnsi="Symbol" w:hint="default"/>
        <w:sz w:val="18"/>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E900B08"/>
    <w:multiLevelType w:val="hybridMultilevel"/>
    <w:tmpl w:val="6C6CFD48"/>
    <w:lvl w:ilvl="0" w:tplc="AFB6843E">
      <w:start w:val="1"/>
      <w:numFmt w:val="bullet"/>
      <w:lvlText w:val=""/>
      <w:lvlJc w:val="left"/>
      <w:pPr>
        <w:tabs>
          <w:tab w:val="num" w:pos="720"/>
        </w:tabs>
        <w:ind w:left="720" w:hanging="360"/>
      </w:pPr>
      <w:rPr>
        <w:rFonts w:ascii="Symbol" w:hAnsi="Symbol" w:hint="default"/>
      </w:rPr>
    </w:lvl>
    <w:lvl w:ilvl="1" w:tplc="CE7856EE" w:tentative="1">
      <w:start w:val="1"/>
      <w:numFmt w:val="bullet"/>
      <w:lvlText w:val="o"/>
      <w:lvlJc w:val="left"/>
      <w:pPr>
        <w:tabs>
          <w:tab w:val="num" w:pos="1440"/>
        </w:tabs>
        <w:ind w:left="1440" w:hanging="360"/>
      </w:pPr>
      <w:rPr>
        <w:rFonts w:ascii="Courier New" w:hAnsi="Courier New" w:cs="Courier New" w:hint="default"/>
      </w:rPr>
    </w:lvl>
    <w:lvl w:ilvl="2" w:tplc="75940A24" w:tentative="1">
      <w:start w:val="1"/>
      <w:numFmt w:val="bullet"/>
      <w:lvlText w:val=""/>
      <w:lvlJc w:val="left"/>
      <w:pPr>
        <w:tabs>
          <w:tab w:val="num" w:pos="2160"/>
        </w:tabs>
        <w:ind w:left="2160" w:hanging="360"/>
      </w:pPr>
      <w:rPr>
        <w:rFonts w:ascii="Wingdings" w:hAnsi="Wingdings" w:hint="default"/>
      </w:rPr>
    </w:lvl>
    <w:lvl w:ilvl="3" w:tplc="6E2896FC" w:tentative="1">
      <w:start w:val="1"/>
      <w:numFmt w:val="bullet"/>
      <w:lvlText w:val=""/>
      <w:lvlJc w:val="left"/>
      <w:pPr>
        <w:tabs>
          <w:tab w:val="num" w:pos="2880"/>
        </w:tabs>
        <w:ind w:left="2880" w:hanging="360"/>
      </w:pPr>
      <w:rPr>
        <w:rFonts w:ascii="Symbol" w:hAnsi="Symbol" w:hint="default"/>
      </w:rPr>
    </w:lvl>
    <w:lvl w:ilvl="4" w:tplc="AA56297A" w:tentative="1">
      <w:start w:val="1"/>
      <w:numFmt w:val="bullet"/>
      <w:lvlText w:val="o"/>
      <w:lvlJc w:val="left"/>
      <w:pPr>
        <w:tabs>
          <w:tab w:val="num" w:pos="3600"/>
        </w:tabs>
        <w:ind w:left="3600" w:hanging="360"/>
      </w:pPr>
      <w:rPr>
        <w:rFonts w:ascii="Courier New" w:hAnsi="Courier New" w:cs="Courier New" w:hint="default"/>
      </w:rPr>
    </w:lvl>
    <w:lvl w:ilvl="5" w:tplc="B79EB7D8" w:tentative="1">
      <w:start w:val="1"/>
      <w:numFmt w:val="bullet"/>
      <w:lvlText w:val=""/>
      <w:lvlJc w:val="left"/>
      <w:pPr>
        <w:tabs>
          <w:tab w:val="num" w:pos="4320"/>
        </w:tabs>
        <w:ind w:left="4320" w:hanging="360"/>
      </w:pPr>
      <w:rPr>
        <w:rFonts w:ascii="Wingdings" w:hAnsi="Wingdings" w:hint="default"/>
      </w:rPr>
    </w:lvl>
    <w:lvl w:ilvl="6" w:tplc="4D0E77EC" w:tentative="1">
      <w:start w:val="1"/>
      <w:numFmt w:val="bullet"/>
      <w:lvlText w:val=""/>
      <w:lvlJc w:val="left"/>
      <w:pPr>
        <w:tabs>
          <w:tab w:val="num" w:pos="5040"/>
        </w:tabs>
        <w:ind w:left="5040" w:hanging="360"/>
      </w:pPr>
      <w:rPr>
        <w:rFonts w:ascii="Symbol" w:hAnsi="Symbol" w:hint="default"/>
      </w:rPr>
    </w:lvl>
    <w:lvl w:ilvl="7" w:tplc="182A736C" w:tentative="1">
      <w:start w:val="1"/>
      <w:numFmt w:val="bullet"/>
      <w:lvlText w:val="o"/>
      <w:lvlJc w:val="left"/>
      <w:pPr>
        <w:tabs>
          <w:tab w:val="num" w:pos="5760"/>
        </w:tabs>
        <w:ind w:left="5760" w:hanging="360"/>
      </w:pPr>
      <w:rPr>
        <w:rFonts w:ascii="Courier New" w:hAnsi="Courier New" w:cs="Courier New" w:hint="default"/>
      </w:rPr>
    </w:lvl>
    <w:lvl w:ilvl="8" w:tplc="6EAAEAC8"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2EB92D37"/>
    <w:multiLevelType w:val="hybridMultilevel"/>
    <w:tmpl w:val="B376640E"/>
    <w:lvl w:ilvl="0" w:tplc="34783E16">
      <w:start w:val="1"/>
      <w:numFmt w:val="bullet"/>
      <w:lvlText w:val=""/>
      <w:lvlJc w:val="left"/>
      <w:pPr>
        <w:tabs>
          <w:tab w:val="num" w:pos="720"/>
        </w:tabs>
        <w:ind w:left="720" w:hanging="360"/>
      </w:pPr>
      <w:rPr>
        <w:rFonts w:ascii="Symbol" w:hAnsi="Symbol" w:hint="default"/>
      </w:rPr>
    </w:lvl>
    <w:lvl w:ilvl="1" w:tplc="335CBF94" w:tentative="1">
      <w:start w:val="1"/>
      <w:numFmt w:val="bullet"/>
      <w:lvlText w:val="o"/>
      <w:lvlJc w:val="left"/>
      <w:pPr>
        <w:tabs>
          <w:tab w:val="num" w:pos="1440"/>
        </w:tabs>
        <w:ind w:left="1440" w:hanging="360"/>
      </w:pPr>
      <w:rPr>
        <w:rFonts w:ascii="Courier New" w:hAnsi="Courier New" w:cs="Courier New" w:hint="default"/>
      </w:rPr>
    </w:lvl>
    <w:lvl w:ilvl="2" w:tplc="0B529BFA" w:tentative="1">
      <w:start w:val="1"/>
      <w:numFmt w:val="bullet"/>
      <w:lvlText w:val=""/>
      <w:lvlJc w:val="left"/>
      <w:pPr>
        <w:tabs>
          <w:tab w:val="num" w:pos="2160"/>
        </w:tabs>
        <w:ind w:left="2160" w:hanging="360"/>
      </w:pPr>
      <w:rPr>
        <w:rFonts w:ascii="Wingdings" w:hAnsi="Wingdings" w:hint="default"/>
      </w:rPr>
    </w:lvl>
    <w:lvl w:ilvl="3" w:tplc="2EC0DF06" w:tentative="1">
      <w:start w:val="1"/>
      <w:numFmt w:val="bullet"/>
      <w:lvlText w:val=""/>
      <w:lvlJc w:val="left"/>
      <w:pPr>
        <w:tabs>
          <w:tab w:val="num" w:pos="2880"/>
        </w:tabs>
        <w:ind w:left="2880" w:hanging="360"/>
      </w:pPr>
      <w:rPr>
        <w:rFonts w:ascii="Symbol" w:hAnsi="Symbol" w:hint="default"/>
      </w:rPr>
    </w:lvl>
    <w:lvl w:ilvl="4" w:tplc="6406C58C" w:tentative="1">
      <w:start w:val="1"/>
      <w:numFmt w:val="bullet"/>
      <w:lvlText w:val="o"/>
      <w:lvlJc w:val="left"/>
      <w:pPr>
        <w:tabs>
          <w:tab w:val="num" w:pos="3600"/>
        </w:tabs>
        <w:ind w:left="3600" w:hanging="360"/>
      </w:pPr>
      <w:rPr>
        <w:rFonts w:ascii="Courier New" w:hAnsi="Courier New" w:cs="Courier New" w:hint="default"/>
      </w:rPr>
    </w:lvl>
    <w:lvl w:ilvl="5" w:tplc="11821C82" w:tentative="1">
      <w:start w:val="1"/>
      <w:numFmt w:val="bullet"/>
      <w:lvlText w:val=""/>
      <w:lvlJc w:val="left"/>
      <w:pPr>
        <w:tabs>
          <w:tab w:val="num" w:pos="4320"/>
        </w:tabs>
        <w:ind w:left="4320" w:hanging="360"/>
      </w:pPr>
      <w:rPr>
        <w:rFonts w:ascii="Wingdings" w:hAnsi="Wingdings" w:hint="default"/>
      </w:rPr>
    </w:lvl>
    <w:lvl w:ilvl="6" w:tplc="F0DE08D8" w:tentative="1">
      <w:start w:val="1"/>
      <w:numFmt w:val="bullet"/>
      <w:lvlText w:val=""/>
      <w:lvlJc w:val="left"/>
      <w:pPr>
        <w:tabs>
          <w:tab w:val="num" w:pos="5040"/>
        </w:tabs>
        <w:ind w:left="5040" w:hanging="360"/>
      </w:pPr>
      <w:rPr>
        <w:rFonts w:ascii="Symbol" w:hAnsi="Symbol" w:hint="default"/>
      </w:rPr>
    </w:lvl>
    <w:lvl w:ilvl="7" w:tplc="AEF476E0" w:tentative="1">
      <w:start w:val="1"/>
      <w:numFmt w:val="bullet"/>
      <w:lvlText w:val="o"/>
      <w:lvlJc w:val="left"/>
      <w:pPr>
        <w:tabs>
          <w:tab w:val="num" w:pos="5760"/>
        </w:tabs>
        <w:ind w:left="5760" w:hanging="360"/>
      </w:pPr>
      <w:rPr>
        <w:rFonts w:ascii="Courier New" w:hAnsi="Courier New" w:cs="Courier New" w:hint="default"/>
      </w:rPr>
    </w:lvl>
    <w:lvl w:ilvl="8" w:tplc="12885EDC"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2EC44000"/>
    <w:multiLevelType w:val="hybridMultilevel"/>
    <w:tmpl w:val="4A90CF5E"/>
    <w:lvl w:ilvl="0" w:tplc="23E440DA">
      <w:start w:val="1"/>
      <w:numFmt w:val="bullet"/>
      <w:pStyle w:val="NotesTextBullet"/>
      <w:lvlText w:val=""/>
      <w:lvlJc w:val="left"/>
      <w:pPr>
        <w:tabs>
          <w:tab w:val="num" w:pos="1008"/>
        </w:tabs>
        <w:ind w:left="1008" w:hanging="288"/>
      </w:pPr>
      <w:rPr>
        <w:rFonts w:ascii="Symbol" w:hAnsi="Symbol" w:hint="default"/>
        <w:sz w:val="18"/>
      </w:rPr>
    </w:lvl>
    <w:lvl w:ilvl="1" w:tplc="7132EB9C">
      <w:start w:val="1"/>
      <w:numFmt w:val="decimal"/>
      <w:lvlText w:val="%2."/>
      <w:lvlJc w:val="left"/>
      <w:pPr>
        <w:tabs>
          <w:tab w:val="num" w:pos="1440"/>
        </w:tabs>
        <w:ind w:left="1440" w:hanging="360"/>
      </w:pPr>
      <w:rPr>
        <w:rFonts w:hint="default"/>
        <w:sz w:val="18"/>
      </w:rPr>
    </w:lvl>
    <w:lvl w:ilvl="2" w:tplc="44E0D6AA" w:tentative="1">
      <w:start w:val="1"/>
      <w:numFmt w:val="bullet"/>
      <w:lvlText w:val=""/>
      <w:lvlJc w:val="left"/>
      <w:pPr>
        <w:tabs>
          <w:tab w:val="num" w:pos="2160"/>
        </w:tabs>
        <w:ind w:left="2160" w:hanging="360"/>
      </w:pPr>
      <w:rPr>
        <w:rFonts w:ascii="Wingdings" w:hAnsi="Wingdings" w:hint="default"/>
      </w:rPr>
    </w:lvl>
    <w:lvl w:ilvl="3" w:tplc="F2DEEF18" w:tentative="1">
      <w:start w:val="1"/>
      <w:numFmt w:val="bullet"/>
      <w:lvlText w:val=""/>
      <w:lvlJc w:val="left"/>
      <w:pPr>
        <w:tabs>
          <w:tab w:val="num" w:pos="2880"/>
        </w:tabs>
        <w:ind w:left="2880" w:hanging="360"/>
      </w:pPr>
      <w:rPr>
        <w:rFonts w:ascii="Symbol" w:hAnsi="Symbol" w:hint="default"/>
      </w:rPr>
    </w:lvl>
    <w:lvl w:ilvl="4" w:tplc="F2D44DE4" w:tentative="1">
      <w:start w:val="1"/>
      <w:numFmt w:val="bullet"/>
      <w:lvlText w:val="o"/>
      <w:lvlJc w:val="left"/>
      <w:pPr>
        <w:tabs>
          <w:tab w:val="num" w:pos="3600"/>
        </w:tabs>
        <w:ind w:left="3600" w:hanging="360"/>
      </w:pPr>
      <w:rPr>
        <w:rFonts w:ascii="Courier New" w:hAnsi="Courier New" w:cs="Courier New" w:hint="default"/>
      </w:rPr>
    </w:lvl>
    <w:lvl w:ilvl="5" w:tplc="797046BA" w:tentative="1">
      <w:start w:val="1"/>
      <w:numFmt w:val="bullet"/>
      <w:lvlText w:val=""/>
      <w:lvlJc w:val="left"/>
      <w:pPr>
        <w:tabs>
          <w:tab w:val="num" w:pos="4320"/>
        </w:tabs>
        <w:ind w:left="4320" w:hanging="360"/>
      </w:pPr>
      <w:rPr>
        <w:rFonts w:ascii="Wingdings" w:hAnsi="Wingdings" w:hint="default"/>
      </w:rPr>
    </w:lvl>
    <w:lvl w:ilvl="6" w:tplc="C1A6B414" w:tentative="1">
      <w:start w:val="1"/>
      <w:numFmt w:val="bullet"/>
      <w:lvlText w:val=""/>
      <w:lvlJc w:val="left"/>
      <w:pPr>
        <w:tabs>
          <w:tab w:val="num" w:pos="5040"/>
        </w:tabs>
        <w:ind w:left="5040" w:hanging="360"/>
      </w:pPr>
      <w:rPr>
        <w:rFonts w:ascii="Symbol" w:hAnsi="Symbol" w:hint="default"/>
      </w:rPr>
    </w:lvl>
    <w:lvl w:ilvl="7" w:tplc="F16201C6" w:tentative="1">
      <w:start w:val="1"/>
      <w:numFmt w:val="bullet"/>
      <w:lvlText w:val="o"/>
      <w:lvlJc w:val="left"/>
      <w:pPr>
        <w:tabs>
          <w:tab w:val="num" w:pos="5760"/>
        </w:tabs>
        <w:ind w:left="5760" w:hanging="360"/>
      </w:pPr>
      <w:rPr>
        <w:rFonts w:ascii="Courier New" w:hAnsi="Courier New" w:cs="Courier New" w:hint="default"/>
      </w:rPr>
    </w:lvl>
    <w:lvl w:ilvl="8" w:tplc="7ECA99DA"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2EE70E73"/>
    <w:multiLevelType w:val="hybridMultilevel"/>
    <w:tmpl w:val="092E9928"/>
    <w:lvl w:ilvl="0" w:tplc="FFFFFFFF">
      <w:start w:val="1"/>
      <w:numFmt w:val="bullet"/>
      <w:lvlText w:val=""/>
      <w:lvlJc w:val="left"/>
      <w:pPr>
        <w:tabs>
          <w:tab w:val="num" w:pos="360"/>
        </w:tabs>
        <w:ind w:left="360" w:hanging="360"/>
      </w:pPr>
      <w:rPr>
        <w:rFonts w:ascii="Symbol" w:hAnsi="Symbol" w:hint="default"/>
        <w:sz w:val="18"/>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2FAB7504"/>
    <w:multiLevelType w:val="hybridMultilevel"/>
    <w:tmpl w:val="DD2ED67C"/>
    <w:lvl w:ilvl="0" w:tplc="FE1C26EE">
      <w:start w:val="1"/>
      <w:numFmt w:val="decimalZero"/>
      <w:pStyle w:val="Substep02"/>
      <w:lvlText w:val="2.%1"/>
      <w:lvlJc w:val="right"/>
      <w:pPr>
        <w:tabs>
          <w:tab w:val="num" w:pos="810"/>
        </w:tabs>
        <w:ind w:left="810" w:firstLine="0"/>
      </w:pPr>
      <w:rPr>
        <w:rFonts w:ascii="Arial" w:hAnsi="Arial" w:hint="default"/>
        <w:sz w:val="18"/>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315A0E22"/>
    <w:multiLevelType w:val="hybridMultilevel"/>
    <w:tmpl w:val="9D14AB3A"/>
    <w:lvl w:ilvl="0" w:tplc="10BC471A">
      <w:start w:val="1"/>
      <w:numFmt w:val="bullet"/>
      <w:pStyle w:val="NotesTextBullet1"/>
      <w:lvlText w:val="o"/>
      <w:lvlJc w:val="left"/>
      <w:pPr>
        <w:tabs>
          <w:tab w:val="num" w:pos="1296"/>
        </w:tabs>
        <w:ind w:left="1296" w:hanging="288"/>
      </w:pPr>
      <w:rPr>
        <w:rFonts w:ascii="Courier New" w:hAnsi="Courier New" w:hint="default"/>
        <w:sz w:val="18"/>
        <w:szCs w:val="18"/>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5114E976"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377B38DC"/>
    <w:multiLevelType w:val="hybridMultilevel"/>
    <w:tmpl w:val="3C62CE9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38637099"/>
    <w:multiLevelType w:val="hybridMultilevel"/>
    <w:tmpl w:val="BB4E307A"/>
    <w:lvl w:ilvl="0" w:tplc="F82A131E">
      <w:start w:val="1"/>
      <w:numFmt w:val="decimalZero"/>
      <w:pStyle w:val="Substep01"/>
      <w:lvlText w:val="2.%1"/>
      <w:lvlJc w:val="right"/>
      <w:pPr>
        <w:ind w:left="1530" w:hanging="360"/>
      </w:pPr>
      <w:rPr>
        <w:rFonts w:cs="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30" w15:restartNumberingAfterBreak="0">
    <w:nsid w:val="3A6913D7"/>
    <w:multiLevelType w:val="hybridMultilevel"/>
    <w:tmpl w:val="C6183B7C"/>
    <w:lvl w:ilvl="0" w:tplc="FFFFFFFF">
      <w:start w:val="1"/>
      <w:numFmt w:val="bullet"/>
      <w:lvlText w:val=""/>
      <w:lvlJc w:val="left"/>
      <w:pPr>
        <w:tabs>
          <w:tab w:val="num" w:pos="720"/>
        </w:tabs>
        <w:ind w:left="720" w:hanging="360"/>
      </w:pPr>
      <w:rPr>
        <w:rFonts w:ascii="Symbol" w:hAnsi="Symbol" w:hint="default"/>
        <w:color w:val="auto"/>
        <w:sz w:val="18"/>
        <w:szCs w:val="18"/>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3FD7621F"/>
    <w:multiLevelType w:val="hybridMultilevel"/>
    <w:tmpl w:val="FFA2B752"/>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40216A8F"/>
    <w:multiLevelType w:val="hybridMultilevel"/>
    <w:tmpl w:val="8188D16A"/>
    <w:lvl w:ilvl="0" w:tplc="1D94FEC6">
      <w:start w:val="1"/>
      <w:numFmt w:val="bullet"/>
      <w:pStyle w:val="TableTextBullet1"/>
      <w:lvlText w:val="o"/>
      <w:lvlJc w:val="left"/>
      <w:pPr>
        <w:tabs>
          <w:tab w:val="num" w:pos="576"/>
        </w:tabs>
        <w:ind w:left="576" w:hanging="288"/>
      </w:pPr>
      <w:rPr>
        <w:rFonts w:ascii="Symbol" w:hAnsi="Symbol" w:hint="default"/>
        <w:sz w:val="18"/>
        <w:szCs w:val="18"/>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40EC6F8A"/>
    <w:multiLevelType w:val="hybridMultilevel"/>
    <w:tmpl w:val="8572E7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4EE31A7"/>
    <w:multiLevelType w:val="hybridMultilevel"/>
    <w:tmpl w:val="78F60CBA"/>
    <w:lvl w:ilvl="0" w:tplc="1D94FEC6">
      <w:start w:val="1"/>
      <w:numFmt w:val="decimal"/>
      <w:pStyle w:val="Bulletlist"/>
      <w:lvlText w:val="%1. "/>
      <w:lvlJc w:val="left"/>
      <w:pPr>
        <w:tabs>
          <w:tab w:val="num" w:pos="1080"/>
        </w:tabs>
        <w:ind w:left="1080" w:hanging="360"/>
      </w:pPr>
      <w:rPr>
        <w:rFonts w:hint="default"/>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35" w15:restartNumberingAfterBreak="0">
    <w:nsid w:val="45533453"/>
    <w:multiLevelType w:val="hybridMultilevel"/>
    <w:tmpl w:val="6D70015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Times New Roman"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Times New Roman"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Times New Roman" w:hint="default"/>
      </w:rPr>
    </w:lvl>
    <w:lvl w:ilvl="8" w:tplc="04090005">
      <w:start w:val="1"/>
      <w:numFmt w:val="bullet"/>
      <w:lvlText w:val=""/>
      <w:lvlJc w:val="left"/>
      <w:pPr>
        <w:ind w:left="6120" w:hanging="360"/>
      </w:pPr>
      <w:rPr>
        <w:rFonts w:ascii="Wingdings" w:hAnsi="Wingdings" w:hint="default"/>
      </w:rPr>
    </w:lvl>
  </w:abstractNum>
  <w:abstractNum w:abstractNumId="36" w15:restartNumberingAfterBreak="0">
    <w:nsid w:val="46DB09A8"/>
    <w:multiLevelType w:val="hybridMultilevel"/>
    <w:tmpl w:val="8B362C16"/>
    <w:lvl w:ilvl="0" w:tplc="3D6CBE7E">
      <w:start w:val="1"/>
      <w:numFmt w:val="decimal"/>
      <w:pStyle w:val="TableTextNumbers"/>
      <w:lvlText w:val="%1."/>
      <w:lvlJc w:val="left"/>
      <w:pPr>
        <w:tabs>
          <w:tab w:val="num" w:pos="288"/>
        </w:tabs>
        <w:ind w:left="288" w:hanging="288"/>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FFFFFFFF" w:tentative="1">
      <w:start w:val="1"/>
      <w:numFmt w:val="lowerLetter"/>
      <w:lvlText w:val="%2."/>
      <w:lvlJc w:val="left"/>
      <w:pPr>
        <w:tabs>
          <w:tab w:val="num" w:pos="1692"/>
        </w:tabs>
        <w:ind w:left="1692" w:hanging="360"/>
      </w:pPr>
    </w:lvl>
    <w:lvl w:ilvl="2" w:tplc="FFFFFFFF" w:tentative="1">
      <w:start w:val="1"/>
      <w:numFmt w:val="lowerRoman"/>
      <w:lvlText w:val="%3."/>
      <w:lvlJc w:val="right"/>
      <w:pPr>
        <w:tabs>
          <w:tab w:val="num" w:pos="2412"/>
        </w:tabs>
        <w:ind w:left="2412" w:hanging="180"/>
      </w:pPr>
    </w:lvl>
    <w:lvl w:ilvl="3" w:tplc="FFFFFFFF" w:tentative="1">
      <w:start w:val="1"/>
      <w:numFmt w:val="decimal"/>
      <w:lvlText w:val="%4."/>
      <w:lvlJc w:val="left"/>
      <w:pPr>
        <w:tabs>
          <w:tab w:val="num" w:pos="3132"/>
        </w:tabs>
        <w:ind w:left="3132" w:hanging="360"/>
      </w:pPr>
    </w:lvl>
    <w:lvl w:ilvl="4" w:tplc="FFFFFFFF" w:tentative="1">
      <w:start w:val="1"/>
      <w:numFmt w:val="lowerLetter"/>
      <w:lvlText w:val="%5."/>
      <w:lvlJc w:val="left"/>
      <w:pPr>
        <w:tabs>
          <w:tab w:val="num" w:pos="3852"/>
        </w:tabs>
        <w:ind w:left="3852" w:hanging="360"/>
      </w:pPr>
    </w:lvl>
    <w:lvl w:ilvl="5" w:tplc="FFFFFFFF" w:tentative="1">
      <w:start w:val="1"/>
      <w:numFmt w:val="lowerRoman"/>
      <w:lvlText w:val="%6."/>
      <w:lvlJc w:val="right"/>
      <w:pPr>
        <w:tabs>
          <w:tab w:val="num" w:pos="4572"/>
        </w:tabs>
        <w:ind w:left="4572" w:hanging="180"/>
      </w:pPr>
    </w:lvl>
    <w:lvl w:ilvl="6" w:tplc="FFFFFFFF" w:tentative="1">
      <w:start w:val="1"/>
      <w:numFmt w:val="decimal"/>
      <w:lvlText w:val="%7."/>
      <w:lvlJc w:val="left"/>
      <w:pPr>
        <w:tabs>
          <w:tab w:val="num" w:pos="5292"/>
        </w:tabs>
        <w:ind w:left="5292" w:hanging="360"/>
      </w:pPr>
    </w:lvl>
    <w:lvl w:ilvl="7" w:tplc="FFFFFFFF" w:tentative="1">
      <w:start w:val="1"/>
      <w:numFmt w:val="lowerLetter"/>
      <w:lvlText w:val="%8."/>
      <w:lvlJc w:val="left"/>
      <w:pPr>
        <w:tabs>
          <w:tab w:val="num" w:pos="6012"/>
        </w:tabs>
        <w:ind w:left="6012" w:hanging="360"/>
      </w:pPr>
    </w:lvl>
    <w:lvl w:ilvl="8" w:tplc="FFFFFFFF" w:tentative="1">
      <w:start w:val="1"/>
      <w:numFmt w:val="lowerRoman"/>
      <w:lvlText w:val="%9."/>
      <w:lvlJc w:val="right"/>
      <w:pPr>
        <w:tabs>
          <w:tab w:val="num" w:pos="6732"/>
        </w:tabs>
        <w:ind w:left="6732" w:hanging="180"/>
      </w:pPr>
    </w:lvl>
  </w:abstractNum>
  <w:abstractNum w:abstractNumId="37" w15:restartNumberingAfterBreak="0">
    <w:nsid w:val="47636A78"/>
    <w:multiLevelType w:val="hybridMultilevel"/>
    <w:tmpl w:val="B538D6DA"/>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8" w15:restartNumberingAfterBreak="0">
    <w:nsid w:val="48A3515D"/>
    <w:multiLevelType w:val="hybridMultilevel"/>
    <w:tmpl w:val="DA64CAD0"/>
    <w:lvl w:ilvl="0" w:tplc="1658A648">
      <w:start w:val="1"/>
      <w:numFmt w:val="bullet"/>
      <w:lvlText w:val=""/>
      <w:lvlJc w:val="left"/>
      <w:pPr>
        <w:tabs>
          <w:tab w:val="num" w:pos="1440"/>
        </w:tabs>
        <w:ind w:left="1440" w:hanging="360"/>
      </w:pPr>
      <w:rPr>
        <w:rFonts w:ascii="Symbol" w:hAnsi="Symbol" w:hint="default"/>
      </w:rPr>
    </w:lvl>
    <w:lvl w:ilvl="1" w:tplc="B49427D2" w:tentative="1">
      <w:start w:val="1"/>
      <w:numFmt w:val="bullet"/>
      <w:lvlText w:val="o"/>
      <w:lvlJc w:val="left"/>
      <w:pPr>
        <w:tabs>
          <w:tab w:val="num" w:pos="2520"/>
        </w:tabs>
        <w:ind w:left="2520" w:hanging="360"/>
      </w:pPr>
      <w:rPr>
        <w:rFonts w:ascii="Courier New" w:hAnsi="Courier New" w:hint="default"/>
      </w:rPr>
    </w:lvl>
    <w:lvl w:ilvl="2" w:tplc="FD567F5E" w:tentative="1">
      <w:start w:val="1"/>
      <w:numFmt w:val="bullet"/>
      <w:lvlText w:val=""/>
      <w:lvlJc w:val="left"/>
      <w:pPr>
        <w:tabs>
          <w:tab w:val="num" w:pos="3240"/>
        </w:tabs>
        <w:ind w:left="3240" w:hanging="360"/>
      </w:pPr>
      <w:rPr>
        <w:rFonts w:ascii="Wingdings" w:hAnsi="Wingdings" w:hint="default"/>
      </w:rPr>
    </w:lvl>
    <w:lvl w:ilvl="3" w:tplc="9EE2AF06" w:tentative="1">
      <w:start w:val="1"/>
      <w:numFmt w:val="bullet"/>
      <w:lvlText w:val=""/>
      <w:lvlJc w:val="left"/>
      <w:pPr>
        <w:tabs>
          <w:tab w:val="num" w:pos="3960"/>
        </w:tabs>
        <w:ind w:left="3960" w:hanging="360"/>
      </w:pPr>
      <w:rPr>
        <w:rFonts w:ascii="Symbol" w:hAnsi="Symbol" w:hint="default"/>
      </w:rPr>
    </w:lvl>
    <w:lvl w:ilvl="4" w:tplc="EB34BAEE" w:tentative="1">
      <w:start w:val="1"/>
      <w:numFmt w:val="bullet"/>
      <w:lvlText w:val="o"/>
      <w:lvlJc w:val="left"/>
      <w:pPr>
        <w:tabs>
          <w:tab w:val="num" w:pos="4680"/>
        </w:tabs>
        <w:ind w:left="4680" w:hanging="360"/>
      </w:pPr>
      <w:rPr>
        <w:rFonts w:ascii="Courier New" w:hAnsi="Courier New" w:hint="default"/>
      </w:rPr>
    </w:lvl>
    <w:lvl w:ilvl="5" w:tplc="F3ACA352" w:tentative="1">
      <w:start w:val="1"/>
      <w:numFmt w:val="bullet"/>
      <w:lvlText w:val=""/>
      <w:lvlJc w:val="left"/>
      <w:pPr>
        <w:tabs>
          <w:tab w:val="num" w:pos="5400"/>
        </w:tabs>
        <w:ind w:left="5400" w:hanging="360"/>
      </w:pPr>
      <w:rPr>
        <w:rFonts w:ascii="Wingdings" w:hAnsi="Wingdings" w:hint="default"/>
      </w:rPr>
    </w:lvl>
    <w:lvl w:ilvl="6" w:tplc="FCBEB38E" w:tentative="1">
      <w:start w:val="1"/>
      <w:numFmt w:val="bullet"/>
      <w:lvlText w:val=""/>
      <w:lvlJc w:val="left"/>
      <w:pPr>
        <w:tabs>
          <w:tab w:val="num" w:pos="6120"/>
        </w:tabs>
        <w:ind w:left="6120" w:hanging="360"/>
      </w:pPr>
      <w:rPr>
        <w:rFonts w:ascii="Symbol" w:hAnsi="Symbol" w:hint="default"/>
      </w:rPr>
    </w:lvl>
    <w:lvl w:ilvl="7" w:tplc="C07C0BA2" w:tentative="1">
      <w:start w:val="1"/>
      <w:numFmt w:val="bullet"/>
      <w:lvlText w:val="o"/>
      <w:lvlJc w:val="left"/>
      <w:pPr>
        <w:tabs>
          <w:tab w:val="num" w:pos="6840"/>
        </w:tabs>
        <w:ind w:left="6840" w:hanging="360"/>
      </w:pPr>
      <w:rPr>
        <w:rFonts w:ascii="Courier New" w:hAnsi="Courier New" w:hint="default"/>
      </w:rPr>
    </w:lvl>
    <w:lvl w:ilvl="8" w:tplc="B1FC9774" w:tentative="1">
      <w:start w:val="1"/>
      <w:numFmt w:val="bullet"/>
      <w:lvlText w:val=""/>
      <w:lvlJc w:val="left"/>
      <w:pPr>
        <w:tabs>
          <w:tab w:val="num" w:pos="7560"/>
        </w:tabs>
        <w:ind w:left="7560" w:hanging="360"/>
      </w:pPr>
      <w:rPr>
        <w:rFonts w:ascii="Wingdings" w:hAnsi="Wingdings" w:hint="default"/>
      </w:rPr>
    </w:lvl>
  </w:abstractNum>
  <w:abstractNum w:abstractNumId="39" w15:restartNumberingAfterBreak="0">
    <w:nsid w:val="4B844150"/>
    <w:multiLevelType w:val="hybridMultilevel"/>
    <w:tmpl w:val="988A53E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15:restartNumberingAfterBreak="0">
    <w:nsid w:val="4BCA39FB"/>
    <w:multiLevelType w:val="multilevel"/>
    <w:tmpl w:val="675251AA"/>
    <w:lvl w:ilvl="0">
      <w:start w:val="1"/>
      <w:numFmt w:val="none"/>
      <w:lvlText w:val="Section 1."/>
      <w:lvlJc w:val="left"/>
      <w:pPr>
        <w:tabs>
          <w:tab w:val="num" w:pos="1080"/>
        </w:tabs>
        <w:ind w:left="0" w:firstLine="0"/>
      </w:pPr>
      <w:rPr>
        <w:rFonts w:hint="default"/>
      </w:rPr>
    </w:lvl>
    <w:lvl w:ilvl="1">
      <w:numFmt w:val="none"/>
      <w:isLgl/>
      <w:lvlText w:val="1"/>
      <w:lvlJc w:val="left"/>
      <w:pPr>
        <w:tabs>
          <w:tab w:val="num" w:pos="360"/>
        </w:tabs>
        <w:ind w:left="0" w:firstLine="0"/>
      </w:pPr>
      <w:rPr>
        <w:rFonts w:hint="default"/>
      </w:rPr>
    </w:lvl>
    <w:lvl w:ilvl="2">
      <w:numFmt w:val="decimal"/>
      <w:lvlText w:val="Section %3"/>
      <w:lvlJc w:val="left"/>
      <w:pPr>
        <w:tabs>
          <w:tab w:val="num" w:pos="1440"/>
        </w:tabs>
        <w:ind w:left="720" w:hanging="720"/>
      </w:pPr>
      <w:rPr>
        <w:rFonts w:hint="default"/>
      </w:rPr>
    </w:lvl>
    <w:lvl w:ilvl="3">
      <w:start w:val="1"/>
      <w:numFmt w:val="lowerRoman"/>
      <w:lvlText w:val="(%4)"/>
      <w:lvlJc w:val="right"/>
      <w:pPr>
        <w:tabs>
          <w:tab w:val="num" w:pos="864"/>
        </w:tabs>
        <w:ind w:left="864" w:hanging="144"/>
      </w:pPr>
      <w:rPr>
        <w:rFonts w:hint="default"/>
      </w:rPr>
    </w:lvl>
    <w:lvl w:ilvl="4">
      <w:start w:val="1"/>
      <w:numFmt w:val="none"/>
      <w:pStyle w:val="Heading5"/>
      <w:lvlText w:val=""/>
      <w:lvlJc w:val="left"/>
      <w:pPr>
        <w:tabs>
          <w:tab w:val="num" w:pos="360"/>
        </w:tabs>
        <w:ind w:left="0" w:firstLine="0"/>
      </w:pPr>
      <w:rPr>
        <w:rFonts w:hint="default"/>
      </w:rPr>
    </w:lvl>
    <w:lvl w:ilvl="5">
      <w:start w:val="1"/>
      <w:numFmt w:val="lowerLetter"/>
      <w:pStyle w:val="Heading6"/>
      <w:lvlText w:val="%6)"/>
      <w:lvlJc w:val="left"/>
      <w:pPr>
        <w:tabs>
          <w:tab w:val="num" w:pos="1152"/>
        </w:tabs>
        <w:ind w:left="1152" w:hanging="432"/>
      </w:pPr>
      <w:rPr>
        <w:rFonts w:hint="default"/>
      </w:rPr>
    </w:lvl>
    <w:lvl w:ilvl="6">
      <w:start w:val="1"/>
      <w:numFmt w:val="lowerRoman"/>
      <w:pStyle w:val="Heading7"/>
      <w:lvlText w:val="%7)"/>
      <w:lvlJc w:val="right"/>
      <w:pPr>
        <w:tabs>
          <w:tab w:val="num" w:pos="1296"/>
        </w:tabs>
        <w:ind w:left="1296" w:hanging="288"/>
      </w:pPr>
      <w:rPr>
        <w:rFonts w:hint="default"/>
      </w:rPr>
    </w:lvl>
    <w:lvl w:ilvl="7">
      <w:start w:val="1"/>
      <w:numFmt w:val="lowerLetter"/>
      <w:pStyle w:val="Heading8"/>
      <w:lvlText w:val="%8."/>
      <w:lvlJc w:val="left"/>
      <w:pPr>
        <w:tabs>
          <w:tab w:val="num" w:pos="1440"/>
        </w:tabs>
        <w:ind w:left="1440" w:hanging="432"/>
      </w:pPr>
      <w:rPr>
        <w:rFonts w:hint="default"/>
      </w:rPr>
    </w:lvl>
    <w:lvl w:ilvl="8">
      <w:start w:val="1"/>
      <w:numFmt w:val="lowerRoman"/>
      <w:pStyle w:val="Heading9"/>
      <w:lvlText w:val="%9."/>
      <w:lvlJc w:val="right"/>
      <w:pPr>
        <w:tabs>
          <w:tab w:val="num" w:pos="1584"/>
        </w:tabs>
        <w:ind w:left="1584" w:hanging="144"/>
      </w:pPr>
      <w:rPr>
        <w:rFonts w:hint="default"/>
      </w:rPr>
    </w:lvl>
  </w:abstractNum>
  <w:abstractNum w:abstractNumId="41" w15:restartNumberingAfterBreak="0">
    <w:nsid w:val="4C1C219C"/>
    <w:multiLevelType w:val="hybridMultilevel"/>
    <w:tmpl w:val="100ACD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4C4D65F1"/>
    <w:multiLevelType w:val="hybridMultilevel"/>
    <w:tmpl w:val="84D455B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3" w15:restartNumberingAfterBreak="0">
    <w:nsid w:val="4D1679D3"/>
    <w:multiLevelType w:val="hybridMultilevel"/>
    <w:tmpl w:val="DD12A84E"/>
    <w:lvl w:ilvl="0" w:tplc="5928C094">
      <w:start w:val="1"/>
      <w:numFmt w:val="bullet"/>
      <w:lvlText w:val=""/>
      <w:lvlJc w:val="left"/>
      <w:pPr>
        <w:tabs>
          <w:tab w:val="num" w:pos="720"/>
        </w:tabs>
        <w:ind w:left="720" w:hanging="360"/>
      </w:pPr>
      <w:rPr>
        <w:rFonts w:ascii="Symbol" w:hAnsi="Symbol" w:hint="default"/>
        <w:color w:val="auto"/>
        <w:sz w:val="18"/>
        <w:szCs w:val="18"/>
      </w:rPr>
    </w:lvl>
    <w:lvl w:ilvl="1" w:tplc="75747766" w:tentative="1">
      <w:start w:val="1"/>
      <w:numFmt w:val="bullet"/>
      <w:lvlText w:val="o"/>
      <w:lvlJc w:val="left"/>
      <w:pPr>
        <w:tabs>
          <w:tab w:val="num" w:pos="1440"/>
        </w:tabs>
        <w:ind w:left="1440" w:hanging="360"/>
      </w:pPr>
      <w:rPr>
        <w:rFonts w:ascii="Courier New" w:hAnsi="Courier New" w:cs="Courier New" w:hint="default"/>
      </w:rPr>
    </w:lvl>
    <w:lvl w:ilvl="2" w:tplc="2786A26E" w:tentative="1">
      <w:start w:val="1"/>
      <w:numFmt w:val="bullet"/>
      <w:lvlText w:val=""/>
      <w:lvlJc w:val="left"/>
      <w:pPr>
        <w:tabs>
          <w:tab w:val="num" w:pos="2160"/>
        </w:tabs>
        <w:ind w:left="2160" w:hanging="360"/>
      </w:pPr>
      <w:rPr>
        <w:rFonts w:ascii="Wingdings" w:hAnsi="Wingdings" w:hint="default"/>
      </w:rPr>
    </w:lvl>
    <w:lvl w:ilvl="3" w:tplc="BDECA0CA" w:tentative="1">
      <w:start w:val="1"/>
      <w:numFmt w:val="bullet"/>
      <w:lvlText w:val=""/>
      <w:lvlJc w:val="left"/>
      <w:pPr>
        <w:tabs>
          <w:tab w:val="num" w:pos="2880"/>
        </w:tabs>
        <w:ind w:left="2880" w:hanging="360"/>
      </w:pPr>
      <w:rPr>
        <w:rFonts w:ascii="Symbol" w:hAnsi="Symbol" w:hint="default"/>
      </w:rPr>
    </w:lvl>
    <w:lvl w:ilvl="4" w:tplc="ECF86A80" w:tentative="1">
      <w:start w:val="1"/>
      <w:numFmt w:val="bullet"/>
      <w:lvlText w:val="o"/>
      <w:lvlJc w:val="left"/>
      <w:pPr>
        <w:tabs>
          <w:tab w:val="num" w:pos="3600"/>
        </w:tabs>
        <w:ind w:left="3600" w:hanging="360"/>
      </w:pPr>
      <w:rPr>
        <w:rFonts w:ascii="Courier New" w:hAnsi="Courier New" w:cs="Courier New" w:hint="default"/>
      </w:rPr>
    </w:lvl>
    <w:lvl w:ilvl="5" w:tplc="0AACC6E2" w:tentative="1">
      <w:start w:val="1"/>
      <w:numFmt w:val="bullet"/>
      <w:lvlText w:val=""/>
      <w:lvlJc w:val="left"/>
      <w:pPr>
        <w:tabs>
          <w:tab w:val="num" w:pos="4320"/>
        </w:tabs>
        <w:ind w:left="4320" w:hanging="360"/>
      </w:pPr>
      <w:rPr>
        <w:rFonts w:ascii="Wingdings" w:hAnsi="Wingdings" w:hint="default"/>
      </w:rPr>
    </w:lvl>
    <w:lvl w:ilvl="6" w:tplc="64DA7556" w:tentative="1">
      <w:start w:val="1"/>
      <w:numFmt w:val="bullet"/>
      <w:lvlText w:val=""/>
      <w:lvlJc w:val="left"/>
      <w:pPr>
        <w:tabs>
          <w:tab w:val="num" w:pos="5040"/>
        </w:tabs>
        <w:ind w:left="5040" w:hanging="360"/>
      </w:pPr>
      <w:rPr>
        <w:rFonts w:ascii="Symbol" w:hAnsi="Symbol" w:hint="default"/>
      </w:rPr>
    </w:lvl>
    <w:lvl w:ilvl="7" w:tplc="FC7CBA9A" w:tentative="1">
      <w:start w:val="1"/>
      <w:numFmt w:val="bullet"/>
      <w:lvlText w:val="o"/>
      <w:lvlJc w:val="left"/>
      <w:pPr>
        <w:tabs>
          <w:tab w:val="num" w:pos="5760"/>
        </w:tabs>
        <w:ind w:left="5760" w:hanging="360"/>
      </w:pPr>
      <w:rPr>
        <w:rFonts w:ascii="Courier New" w:hAnsi="Courier New" w:cs="Courier New" w:hint="default"/>
      </w:rPr>
    </w:lvl>
    <w:lvl w:ilvl="8" w:tplc="492A488C"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50D37508"/>
    <w:multiLevelType w:val="hybridMultilevel"/>
    <w:tmpl w:val="D4F8D1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5160186C"/>
    <w:multiLevelType w:val="hybridMultilevel"/>
    <w:tmpl w:val="299C9166"/>
    <w:lvl w:ilvl="0" w:tplc="04090001">
      <w:start w:val="1"/>
      <w:numFmt w:val="bullet"/>
      <w:lvlText w:val=""/>
      <w:lvlJc w:val="left"/>
      <w:pPr>
        <w:ind w:left="1496" w:hanging="360"/>
      </w:pPr>
      <w:rPr>
        <w:rFonts w:ascii="Symbol" w:hAnsi="Symbol" w:hint="default"/>
      </w:rPr>
    </w:lvl>
    <w:lvl w:ilvl="1" w:tplc="04090003">
      <w:start w:val="1"/>
      <w:numFmt w:val="bullet"/>
      <w:lvlText w:val="o"/>
      <w:lvlJc w:val="left"/>
      <w:pPr>
        <w:ind w:left="2216" w:hanging="360"/>
      </w:pPr>
      <w:rPr>
        <w:rFonts w:ascii="Courier New" w:hAnsi="Courier New" w:cs="Courier New" w:hint="default"/>
      </w:rPr>
    </w:lvl>
    <w:lvl w:ilvl="2" w:tplc="04090005">
      <w:start w:val="1"/>
      <w:numFmt w:val="bullet"/>
      <w:lvlText w:val=""/>
      <w:lvlJc w:val="left"/>
      <w:pPr>
        <w:ind w:left="2936" w:hanging="360"/>
      </w:pPr>
      <w:rPr>
        <w:rFonts w:ascii="Wingdings" w:hAnsi="Wingdings" w:hint="default"/>
      </w:rPr>
    </w:lvl>
    <w:lvl w:ilvl="3" w:tplc="04090001">
      <w:start w:val="1"/>
      <w:numFmt w:val="bullet"/>
      <w:lvlText w:val=""/>
      <w:lvlJc w:val="left"/>
      <w:pPr>
        <w:ind w:left="3656" w:hanging="360"/>
      </w:pPr>
      <w:rPr>
        <w:rFonts w:ascii="Symbol" w:hAnsi="Symbol" w:hint="default"/>
      </w:rPr>
    </w:lvl>
    <w:lvl w:ilvl="4" w:tplc="04090003">
      <w:start w:val="1"/>
      <w:numFmt w:val="bullet"/>
      <w:lvlText w:val="o"/>
      <w:lvlJc w:val="left"/>
      <w:pPr>
        <w:ind w:left="4376" w:hanging="360"/>
      </w:pPr>
      <w:rPr>
        <w:rFonts w:ascii="Courier New" w:hAnsi="Courier New" w:cs="Courier New" w:hint="default"/>
      </w:rPr>
    </w:lvl>
    <w:lvl w:ilvl="5" w:tplc="04090005">
      <w:start w:val="1"/>
      <w:numFmt w:val="bullet"/>
      <w:lvlText w:val=""/>
      <w:lvlJc w:val="left"/>
      <w:pPr>
        <w:ind w:left="5096" w:hanging="360"/>
      </w:pPr>
      <w:rPr>
        <w:rFonts w:ascii="Wingdings" w:hAnsi="Wingdings" w:hint="default"/>
      </w:rPr>
    </w:lvl>
    <w:lvl w:ilvl="6" w:tplc="04090001">
      <w:start w:val="1"/>
      <w:numFmt w:val="bullet"/>
      <w:lvlText w:val=""/>
      <w:lvlJc w:val="left"/>
      <w:pPr>
        <w:ind w:left="5816" w:hanging="360"/>
      </w:pPr>
      <w:rPr>
        <w:rFonts w:ascii="Symbol" w:hAnsi="Symbol" w:hint="default"/>
      </w:rPr>
    </w:lvl>
    <w:lvl w:ilvl="7" w:tplc="04090003">
      <w:start w:val="1"/>
      <w:numFmt w:val="bullet"/>
      <w:lvlText w:val="o"/>
      <w:lvlJc w:val="left"/>
      <w:pPr>
        <w:ind w:left="6536" w:hanging="360"/>
      </w:pPr>
      <w:rPr>
        <w:rFonts w:ascii="Courier New" w:hAnsi="Courier New" w:cs="Courier New" w:hint="default"/>
      </w:rPr>
    </w:lvl>
    <w:lvl w:ilvl="8" w:tplc="04090005">
      <w:start w:val="1"/>
      <w:numFmt w:val="bullet"/>
      <w:lvlText w:val=""/>
      <w:lvlJc w:val="left"/>
      <w:pPr>
        <w:ind w:left="7256" w:hanging="360"/>
      </w:pPr>
      <w:rPr>
        <w:rFonts w:ascii="Wingdings" w:hAnsi="Wingdings" w:hint="default"/>
      </w:rPr>
    </w:lvl>
  </w:abstractNum>
  <w:abstractNum w:abstractNumId="46" w15:restartNumberingAfterBreak="0">
    <w:nsid w:val="53720453"/>
    <w:multiLevelType w:val="hybridMultilevel"/>
    <w:tmpl w:val="4AAC0A16"/>
    <w:lvl w:ilvl="0" w:tplc="FFFFFFFF">
      <w:start w:val="1"/>
      <w:numFmt w:val="bullet"/>
      <w:lvlText w:val=""/>
      <w:lvlJc w:val="left"/>
      <w:pPr>
        <w:tabs>
          <w:tab w:val="num" w:pos="720"/>
        </w:tabs>
        <w:ind w:left="720" w:hanging="360"/>
      </w:pPr>
      <w:rPr>
        <w:rFonts w:ascii="Symbol" w:hAnsi="Symbol" w:hint="default"/>
        <w:color w:val="auto"/>
        <w:sz w:val="18"/>
        <w:szCs w:val="18"/>
      </w:rPr>
    </w:lvl>
    <w:lvl w:ilvl="1" w:tplc="FFFFFFFF">
      <w:start w:val="1"/>
      <w:numFmt w:val="bullet"/>
      <w:lvlText w:val=""/>
      <w:lvlJc w:val="left"/>
      <w:pPr>
        <w:tabs>
          <w:tab w:val="num" w:pos="1440"/>
        </w:tabs>
        <w:ind w:left="1440" w:hanging="360"/>
      </w:pPr>
      <w:rPr>
        <w:rFonts w:ascii="Symbol" w:hAnsi="Symbol" w:hint="default"/>
        <w:color w:val="auto"/>
        <w:sz w:val="18"/>
        <w:szCs w:val="18"/>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565955FC"/>
    <w:multiLevelType w:val="hybridMultilevel"/>
    <w:tmpl w:val="D458C3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5AC20323"/>
    <w:multiLevelType w:val="hybridMultilevel"/>
    <w:tmpl w:val="F5820C6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5CC24990"/>
    <w:multiLevelType w:val="hybridMultilevel"/>
    <w:tmpl w:val="BF908B00"/>
    <w:lvl w:ilvl="0" w:tplc="1A56B2AA">
      <w:start w:val="1"/>
      <w:numFmt w:val="bullet"/>
      <w:lvlText w:val=""/>
      <w:lvlPicBulletId w:val="3"/>
      <w:lvlJc w:val="left"/>
      <w:pPr>
        <w:tabs>
          <w:tab w:val="num" w:pos="360"/>
        </w:tabs>
        <w:ind w:left="360" w:hanging="360"/>
      </w:pPr>
      <w:rPr>
        <w:rFonts w:ascii="Symbol" w:hAnsi="Symbol" w:hint="default"/>
      </w:rPr>
    </w:lvl>
    <w:lvl w:ilvl="1" w:tplc="BC20A190" w:tentative="1">
      <w:start w:val="1"/>
      <w:numFmt w:val="bullet"/>
      <w:lvlText w:val=""/>
      <w:lvlJc w:val="left"/>
      <w:pPr>
        <w:tabs>
          <w:tab w:val="num" w:pos="1080"/>
        </w:tabs>
        <w:ind w:left="1080" w:hanging="360"/>
      </w:pPr>
      <w:rPr>
        <w:rFonts w:ascii="Symbol" w:hAnsi="Symbol" w:hint="default"/>
      </w:rPr>
    </w:lvl>
    <w:lvl w:ilvl="2" w:tplc="8D0EC2E8" w:tentative="1">
      <w:start w:val="1"/>
      <w:numFmt w:val="bullet"/>
      <w:lvlText w:val=""/>
      <w:lvlJc w:val="left"/>
      <w:pPr>
        <w:tabs>
          <w:tab w:val="num" w:pos="1800"/>
        </w:tabs>
        <w:ind w:left="1800" w:hanging="360"/>
      </w:pPr>
      <w:rPr>
        <w:rFonts w:ascii="Symbol" w:hAnsi="Symbol" w:hint="default"/>
      </w:rPr>
    </w:lvl>
    <w:lvl w:ilvl="3" w:tplc="D5C8D9DC" w:tentative="1">
      <w:start w:val="1"/>
      <w:numFmt w:val="bullet"/>
      <w:lvlText w:val=""/>
      <w:lvlJc w:val="left"/>
      <w:pPr>
        <w:tabs>
          <w:tab w:val="num" w:pos="2520"/>
        </w:tabs>
        <w:ind w:left="2520" w:hanging="360"/>
      </w:pPr>
      <w:rPr>
        <w:rFonts w:ascii="Symbol" w:hAnsi="Symbol" w:hint="default"/>
      </w:rPr>
    </w:lvl>
    <w:lvl w:ilvl="4" w:tplc="6004159C" w:tentative="1">
      <w:start w:val="1"/>
      <w:numFmt w:val="bullet"/>
      <w:lvlText w:val=""/>
      <w:lvlJc w:val="left"/>
      <w:pPr>
        <w:tabs>
          <w:tab w:val="num" w:pos="3240"/>
        </w:tabs>
        <w:ind w:left="3240" w:hanging="360"/>
      </w:pPr>
      <w:rPr>
        <w:rFonts w:ascii="Symbol" w:hAnsi="Symbol" w:hint="default"/>
      </w:rPr>
    </w:lvl>
    <w:lvl w:ilvl="5" w:tplc="74C40AEE" w:tentative="1">
      <w:start w:val="1"/>
      <w:numFmt w:val="bullet"/>
      <w:lvlText w:val=""/>
      <w:lvlJc w:val="left"/>
      <w:pPr>
        <w:tabs>
          <w:tab w:val="num" w:pos="3960"/>
        </w:tabs>
        <w:ind w:left="3960" w:hanging="360"/>
      </w:pPr>
      <w:rPr>
        <w:rFonts w:ascii="Symbol" w:hAnsi="Symbol" w:hint="default"/>
      </w:rPr>
    </w:lvl>
    <w:lvl w:ilvl="6" w:tplc="86E0A0F4" w:tentative="1">
      <w:start w:val="1"/>
      <w:numFmt w:val="bullet"/>
      <w:lvlText w:val=""/>
      <w:lvlJc w:val="left"/>
      <w:pPr>
        <w:tabs>
          <w:tab w:val="num" w:pos="4680"/>
        </w:tabs>
        <w:ind w:left="4680" w:hanging="360"/>
      </w:pPr>
      <w:rPr>
        <w:rFonts w:ascii="Symbol" w:hAnsi="Symbol" w:hint="default"/>
      </w:rPr>
    </w:lvl>
    <w:lvl w:ilvl="7" w:tplc="21143CD8" w:tentative="1">
      <w:start w:val="1"/>
      <w:numFmt w:val="bullet"/>
      <w:lvlText w:val=""/>
      <w:lvlJc w:val="left"/>
      <w:pPr>
        <w:tabs>
          <w:tab w:val="num" w:pos="5400"/>
        </w:tabs>
        <w:ind w:left="5400" w:hanging="360"/>
      </w:pPr>
      <w:rPr>
        <w:rFonts w:ascii="Symbol" w:hAnsi="Symbol" w:hint="default"/>
      </w:rPr>
    </w:lvl>
    <w:lvl w:ilvl="8" w:tplc="ACE8C9AE" w:tentative="1">
      <w:start w:val="1"/>
      <w:numFmt w:val="bullet"/>
      <w:lvlText w:val=""/>
      <w:lvlJc w:val="left"/>
      <w:pPr>
        <w:tabs>
          <w:tab w:val="num" w:pos="6120"/>
        </w:tabs>
        <w:ind w:left="6120" w:hanging="360"/>
      </w:pPr>
      <w:rPr>
        <w:rFonts w:ascii="Symbol" w:hAnsi="Symbol" w:hint="default"/>
      </w:rPr>
    </w:lvl>
  </w:abstractNum>
  <w:abstractNum w:abstractNumId="50" w15:restartNumberingAfterBreak="0">
    <w:nsid w:val="5D677C61"/>
    <w:multiLevelType w:val="hybridMultilevel"/>
    <w:tmpl w:val="217CDB34"/>
    <w:lvl w:ilvl="0" w:tplc="CE88DDD8">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607B1F08"/>
    <w:multiLevelType w:val="hybridMultilevel"/>
    <w:tmpl w:val="9CCE27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2" w15:restartNumberingAfterBreak="0">
    <w:nsid w:val="60B6796A"/>
    <w:multiLevelType w:val="hybridMultilevel"/>
    <w:tmpl w:val="A14683B4"/>
    <w:lvl w:ilvl="0" w:tplc="9D5413AE">
      <w:start w:val="1"/>
      <w:numFmt w:val="bullet"/>
      <w:pStyle w:val="ListBullet2"/>
      <w:lvlText w:val="o"/>
      <w:lvlJc w:val="left"/>
      <w:pPr>
        <w:tabs>
          <w:tab w:val="num" w:pos="648"/>
        </w:tabs>
        <w:ind w:left="648" w:firstLine="0"/>
      </w:pPr>
      <w:rPr>
        <w:rFonts w:ascii="Symbol" w:hAnsi="Symbol" w:hint="default"/>
        <w:sz w:val="18"/>
        <w:szCs w:val="18"/>
      </w:rPr>
    </w:lvl>
    <w:lvl w:ilvl="1" w:tplc="4934A276">
      <w:start w:val="1"/>
      <w:numFmt w:val="bullet"/>
      <w:lvlText w:val="o"/>
      <w:lvlJc w:val="left"/>
      <w:pPr>
        <w:tabs>
          <w:tab w:val="num" w:pos="1728"/>
        </w:tabs>
        <w:ind w:left="1728" w:hanging="360"/>
      </w:pPr>
      <w:rPr>
        <w:rFonts w:ascii="Courier New" w:hAnsi="Courier New" w:cs="Courier New" w:hint="default"/>
      </w:rPr>
    </w:lvl>
    <w:lvl w:ilvl="2" w:tplc="F4C49940" w:tentative="1">
      <w:start w:val="1"/>
      <w:numFmt w:val="bullet"/>
      <w:lvlText w:val=""/>
      <w:lvlJc w:val="left"/>
      <w:pPr>
        <w:tabs>
          <w:tab w:val="num" w:pos="2448"/>
        </w:tabs>
        <w:ind w:left="2448" w:hanging="360"/>
      </w:pPr>
      <w:rPr>
        <w:rFonts w:ascii="Wingdings" w:hAnsi="Wingdings" w:hint="default"/>
      </w:rPr>
    </w:lvl>
    <w:lvl w:ilvl="3" w:tplc="9BF0EEEE" w:tentative="1">
      <w:start w:val="1"/>
      <w:numFmt w:val="bullet"/>
      <w:lvlText w:val=""/>
      <w:lvlJc w:val="left"/>
      <w:pPr>
        <w:tabs>
          <w:tab w:val="num" w:pos="3168"/>
        </w:tabs>
        <w:ind w:left="3168" w:hanging="360"/>
      </w:pPr>
      <w:rPr>
        <w:rFonts w:ascii="Symbol" w:hAnsi="Symbol" w:hint="default"/>
      </w:rPr>
    </w:lvl>
    <w:lvl w:ilvl="4" w:tplc="DAB26242" w:tentative="1">
      <w:start w:val="1"/>
      <w:numFmt w:val="bullet"/>
      <w:lvlText w:val="o"/>
      <w:lvlJc w:val="left"/>
      <w:pPr>
        <w:tabs>
          <w:tab w:val="num" w:pos="3888"/>
        </w:tabs>
        <w:ind w:left="3888" w:hanging="360"/>
      </w:pPr>
      <w:rPr>
        <w:rFonts w:ascii="Courier New" w:hAnsi="Courier New" w:cs="Courier New" w:hint="default"/>
      </w:rPr>
    </w:lvl>
    <w:lvl w:ilvl="5" w:tplc="F6220AC8" w:tentative="1">
      <w:start w:val="1"/>
      <w:numFmt w:val="bullet"/>
      <w:lvlText w:val=""/>
      <w:lvlJc w:val="left"/>
      <w:pPr>
        <w:tabs>
          <w:tab w:val="num" w:pos="4608"/>
        </w:tabs>
        <w:ind w:left="4608" w:hanging="360"/>
      </w:pPr>
      <w:rPr>
        <w:rFonts w:ascii="Wingdings" w:hAnsi="Wingdings" w:hint="default"/>
      </w:rPr>
    </w:lvl>
    <w:lvl w:ilvl="6" w:tplc="19AC45C2" w:tentative="1">
      <w:start w:val="1"/>
      <w:numFmt w:val="bullet"/>
      <w:lvlText w:val=""/>
      <w:lvlJc w:val="left"/>
      <w:pPr>
        <w:tabs>
          <w:tab w:val="num" w:pos="5328"/>
        </w:tabs>
        <w:ind w:left="5328" w:hanging="360"/>
      </w:pPr>
      <w:rPr>
        <w:rFonts w:ascii="Symbol" w:hAnsi="Symbol" w:hint="default"/>
      </w:rPr>
    </w:lvl>
    <w:lvl w:ilvl="7" w:tplc="B78ACCBC" w:tentative="1">
      <w:start w:val="1"/>
      <w:numFmt w:val="bullet"/>
      <w:lvlText w:val="o"/>
      <w:lvlJc w:val="left"/>
      <w:pPr>
        <w:tabs>
          <w:tab w:val="num" w:pos="6048"/>
        </w:tabs>
        <w:ind w:left="6048" w:hanging="360"/>
      </w:pPr>
      <w:rPr>
        <w:rFonts w:ascii="Courier New" w:hAnsi="Courier New" w:cs="Courier New" w:hint="default"/>
      </w:rPr>
    </w:lvl>
    <w:lvl w:ilvl="8" w:tplc="BFE680F6" w:tentative="1">
      <w:start w:val="1"/>
      <w:numFmt w:val="bullet"/>
      <w:lvlText w:val=""/>
      <w:lvlJc w:val="left"/>
      <w:pPr>
        <w:tabs>
          <w:tab w:val="num" w:pos="6768"/>
        </w:tabs>
        <w:ind w:left="6768" w:hanging="360"/>
      </w:pPr>
      <w:rPr>
        <w:rFonts w:ascii="Wingdings" w:hAnsi="Wingdings" w:hint="default"/>
      </w:rPr>
    </w:lvl>
  </w:abstractNum>
  <w:abstractNum w:abstractNumId="53" w15:restartNumberingAfterBreak="0">
    <w:nsid w:val="62F059BA"/>
    <w:multiLevelType w:val="multilevel"/>
    <w:tmpl w:val="ED14D640"/>
    <w:lvl w:ilvl="0">
      <w:start w:val="1"/>
      <w:numFmt w:val="bullet"/>
      <w:lvlText w:val=""/>
      <w:lvlPicBulletId w:val="0"/>
      <w:lvlJc w:val="left"/>
      <w:pPr>
        <w:tabs>
          <w:tab w:val="num" w:pos="720"/>
        </w:tabs>
        <w:ind w:left="720" w:hanging="360"/>
      </w:pPr>
      <w:rPr>
        <w:rFonts w:ascii="Symbol" w:hAnsi="Symbol" w:hint="default"/>
        <w:sz w:val="20"/>
      </w:rPr>
    </w:lvl>
    <w:lvl w:ilvl="1" w:tentative="1">
      <w:start w:val="1"/>
      <w:numFmt w:val="bullet"/>
      <w:lvlText w:val="o"/>
      <w:lvlPicBulletId w:val="1"/>
      <w:lvlJc w:val="left"/>
      <w:pPr>
        <w:tabs>
          <w:tab w:val="num" w:pos="1440"/>
        </w:tabs>
        <w:ind w:left="1440" w:hanging="360"/>
      </w:pPr>
      <w:rPr>
        <w:rFonts w:ascii="Courier New" w:hAnsi="Courier New" w:hint="default"/>
        <w:sz w:val="20"/>
      </w:rPr>
    </w:lvl>
    <w:lvl w:ilvl="2" w:tentative="1">
      <w:start w:val="1"/>
      <w:numFmt w:val="bullet"/>
      <w:lvlText w:val=""/>
      <w:lvlPicBulletId w:val="2"/>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63F8780D"/>
    <w:multiLevelType w:val="hybridMultilevel"/>
    <w:tmpl w:val="024EB8B2"/>
    <w:lvl w:ilvl="0" w:tplc="7A4AF26A">
      <w:start w:val="1"/>
      <w:numFmt w:val="bullet"/>
      <w:pStyle w:val="ListBullet"/>
      <w:lvlText w:val=""/>
      <w:lvlJc w:val="left"/>
      <w:pPr>
        <w:tabs>
          <w:tab w:val="num" w:pos="648"/>
        </w:tabs>
        <w:ind w:left="648" w:hanging="360"/>
      </w:pPr>
      <w:rPr>
        <w:rFonts w:ascii="Symbol" w:hAnsi="Symbol" w:hint="default"/>
        <w:strike w:val="0"/>
        <w:dstrike w:val="0"/>
        <w:color w:val="auto"/>
        <w:sz w:val="22"/>
        <w:szCs w:val="22"/>
      </w:rPr>
    </w:lvl>
    <w:lvl w:ilvl="1" w:tplc="9678102E">
      <w:start w:val="1"/>
      <w:numFmt w:val="bullet"/>
      <w:lvlText w:val="o"/>
      <w:lvlJc w:val="left"/>
      <w:pPr>
        <w:tabs>
          <w:tab w:val="num" w:pos="1440"/>
        </w:tabs>
        <w:ind w:left="1440" w:hanging="360"/>
      </w:pPr>
      <w:rPr>
        <w:rFonts w:ascii="Courier New" w:hAnsi="Courier New" w:cs="Courier New" w:hint="default"/>
      </w:rPr>
    </w:lvl>
    <w:lvl w:ilvl="2" w:tplc="FE64F57C" w:tentative="1">
      <w:start w:val="1"/>
      <w:numFmt w:val="bullet"/>
      <w:lvlText w:val=""/>
      <w:lvlJc w:val="left"/>
      <w:pPr>
        <w:tabs>
          <w:tab w:val="num" w:pos="2160"/>
        </w:tabs>
        <w:ind w:left="2160" w:hanging="360"/>
      </w:pPr>
      <w:rPr>
        <w:rFonts w:ascii="Wingdings" w:hAnsi="Wingdings" w:hint="default"/>
      </w:rPr>
    </w:lvl>
    <w:lvl w:ilvl="3" w:tplc="45624D4E" w:tentative="1">
      <w:start w:val="1"/>
      <w:numFmt w:val="bullet"/>
      <w:lvlText w:val=""/>
      <w:lvlJc w:val="left"/>
      <w:pPr>
        <w:tabs>
          <w:tab w:val="num" w:pos="2880"/>
        </w:tabs>
        <w:ind w:left="2880" w:hanging="360"/>
      </w:pPr>
      <w:rPr>
        <w:rFonts w:ascii="Symbol" w:hAnsi="Symbol" w:hint="default"/>
      </w:rPr>
    </w:lvl>
    <w:lvl w:ilvl="4" w:tplc="FFA044D0" w:tentative="1">
      <w:start w:val="1"/>
      <w:numFmt w:val="bullet"/>
      <w:lvlText w:val="o"/>
      <w:lvlJc w:val="left"/>
      <w:pPr>
        <w:tabs>
          <w:tab w:val="num" w:pos="3600"/>
        </w:tabs>
        <w:ind w:left="3600" w:hanging="360"/>
      </w:pPr>
      <w:rPr>
        <w:rFonts w:ascii="Courier New" w:hAnsi="Courier New" w:cs="Courier New" w:hint="default"/>
      </w:rPr>
    </w:lvl>
    <w:lvl w:ilvl="5" w:tplc="557CF39A" w:tentative="1">
      <w:start w:val="1"/>
      <w:numFmt w:val="bullet"/>
      <w:lvlText w:val=""/>
      <w:lvlJc w:val="left"/>
      <w:pPr>
        <w:tabs>
          <w:tab w:val="num" w:pos="4320"/>
        </w:tabs>
        <w:ind w:left="4320" w:hanging="360"/>
      </w:pPr>
      <w:rPr>
        <w:rFonts w:ascii="Wingdings" w:hAnsi="Wingdings" w:hint="default"/>
      </w:rPr>
    </w:lvl>
    <w:lvl w:ilvl="6" w:tplc="1EF28D7A" w:tentative="1">
      <w:start w:val="1"/>
      <w:numFmt w:val="bullet"/>
      <w:lvlText w:val=""/>
      <w:lvlJc w:val="left"/>
      <w:pPr>
        <w:tabs>
          <w:tab w:val="num" w:pos="5040"/>
        </w:tabs>
        <w:ind w:left="5040" w:hanging="360"/>
      </w:pPr>
      <w:rPr>
        <w:rFonts w:ascii="Symbol" w:hAnsi="Symbol" w:hint="default"/>
      </w:rPr>
    </w:lvl>
    <w:lvl w:ilvl="7" w:tplc="E47C27E2" w:tentative="1">
      <w:start w:val="1"/>
      <w:numFmt w:val="bullet"/>
      <w:lvlText w:val="o"/>
      <w:lvlJc w:val="left"/>
      <w:pPr>
        <w:tabs>
          <w:tab w:val="num" w:pos="5760"/>
        </w:tabs>
        <w:ind w:left="5760" w:hanging="360"/>
      </w:pPr>
      <w:rPr>
        <w:rFonts w:ascii="Courier New" w:hAnsi="Courier New" w:cs="Courier New" w:hint="default"/>
      </w:rPr>
    </w:lvl>
    <w:lvl w:ilvl="8" w:tplc="5BA8C6BE"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63FC7FED"/>
    <w:multiLevelType w:val="hybridMultilevel"/>
    <w:tmpl w:val="05969A1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6" w15:restartNumberingAfterBreak="0">
    <w:nsid w:val="65E67AC4"/>
    <w:multiLevelType w:val="hybridMultilevel"/>
    <w:tmpl w:val="0CB492B6"/>
    <w:lvl w:ilvl="0" w:tplc="FFFFFFFF">
      <w:start w:val="1"/>
      <w:numFmt w:val="bullet"/>
      <w:lvlText w:val=""/>
      <w:lvlJc w:val="left"/>
      <w:pPr>
        <w:tabs>
          <w:tab w:val="num" w:pos="720"/>
        </w:tabs>
        <w:ind w:left="720" w:hanging="360"/>
      </w:pPr>
      <w:rPr>
        <w:rFonts w:ascii="Symbol" w:hAnsi="Symbol" w:hint="default"/>
        <w:color w:val="auto"/>
        <w:sz w:val="18"/>
        <w:szCs w:val="18"/>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7" w15:restartNumberingAfterBreak="0">
    <w:nsid w:val="670E4C09"/>
    <w:multiLevelType w:val="hybridMultilevel"/>
    <w:tmpl w:val="E018ADEA"/>
    <w:lvl w:ilvl="0" w:tplc="04090003">
      <w:start w:val="1"/>
      <w:numFmt w:val="bullet"/>
      <w:lvlText w:val="o"/>
      <w:lvlJc w:val="left"/>
      <w:pPr>
        <w:tabs>
          <w:tab w:val="num" w:pos="1008"/>
        </w:tabs>
        <w:ind w:left="1008" w:hanging="360"/>
      </w:pPr>
      <w:rPr>
        <w:rFonts w:ascii="Courier New" w:hAnsi="Courier New" w:cs="Courier New" w:hint="default"/>
        <w:strike w:val="0"/>
        <w:dstrike w:val="0"/>
        <w:color w:val="auto"/>
        <w:sz w:val="22"/>
        <w:szCs w:val="22"/>
      </w:rPr>
    </w:lvl>
    <w:lvl w:ilvl="1" w:tplc="29C0FDC6">
      <w:start w:val="1"/>
      <w:numFmt w:val="bullet"/>
      <w:lvlText w:val="o"/>
      <w:lvlJc w:val="left"/>
      <w:pPr>
        <w:tabs>
          <w:tab w:val="num" w:pos="1800"/>
        </w:tabs>
        <w:ind w:left="1800" w:hanging="360"/>
      </w:pPr>
      <w:rPr>
        <w:rFonts w:ascii="Courier New" w:hAnsi="Courier New" w:cs="Courier New" w:hint="default"/>
      </w:rPr>
    </w:lvl>
    <w:lvl w:ilvl="2" w:tplc="1D06B920" w:tentative="1">
      <w:start w:val="1"/>
      <w:numFmt w:val="bullet"/>
      <w:lvlText w:val=""/>
      <w:lvlJc w:val="left"/>
      <w:pPr>
        <w:tabs>
          <w:tab w:val="num" w:pos="2520"/>
        </w:tabs>
        <w:ind w:left="2520" w:hanging="360"/>
      </w:pPr>
      <w:rPr>
        <w:rFonts w:ascii="Wingdings" w:hAnsi="Wingdings" w:hint="default"/>
      </w:rPr>
    </w:lvl>
    <w:lvl w:ilvl="3" w:tplc="8ACA0C3C" w:tentative="1">
      <w:start w:val="1"/>
      <w:numFmt w:val="bullet"/>
      <w:lvlText w:val=""/>
      <w:lvlJc w:val="left"/>
      <w:pPr>
        <w:tabs>
          <w:tab w:val="num" w:pos="3240"/>
        </w:tabs>
        <w:ind w:left="3240" w:hanging="360"/>
      </w:pPr>
      <w:rPr>
        <w:rFonts w:ascii="Symbol" w:hAnsi="Symbol" w:hint="default"/>
      </w:rPr>
    </w:lvl>
    <w:lvl w:ilvl="4" w:tplc="CC428646" w:tentative="1">
      <w:start w:val="1"/>
      <w:numFmt w:val="bullet"/>
      <w:lvlText w:val="o"/>
      <w:lvlJc w:val="left"/>
      <w:pPr>
        <w:tabs>
          <w:tab w:val="num" w:pos="3960"/>
        </w:tabs>
        <w:ind w:left="3960" w:hanging="360"/>
      </w:pPr>
      <w:rPr>
        <w:rFonts w:ascii="Courier New" w:hAnsi="Courier New" w:cs="Courier New" w:hint="default"/>
      </w:rPr>
    </w:lvl>
    <w:lvl w:ilvl="5" w:tplc="A61C0152" w:tentative="1">
      <w:start w:val="1"/>
      <w:numFmt w:val="bullet"/>
      <w:lvlText w:val=""/>
      <w:lvlJc w:val="left"/>
      <w:pPr>
        <w:tabs>
          <w:tab w:val="num" w:pos="4680"/>
        </w:tabs>
        <w:ind w:left="4680" w:hanging="360"/>
      </w:pPr>
      <w:rPr>
        <w:rFonts w:ascii="Wingdings" w:hAnsi="Wingdings" w:hint="default"/>
      </w:rPr>
    </w:lvl>
    <w:lvl w:ilvl="6" w:tplc="DDDCF7E6" w:tentative="1">
      <w:start w:val="1"/>
      <w:numFmt w:val="bullet"/>
      <w:lvlText w:val=""/>
      <w:lvlJc w:val="left"/>
      <w:pPr>
        <w:tabs>
          <w:tab w:val="num" w:pos="5400"/>
        </w:tabs>
        <w:ind w:left="5400" w:hanging="360"/>
      </w:pPr>
      <w:rPr>
        <w:rFonts w:ascii="Symbol" w:hAnsi="Symbol" w:hint="default"/>
      </w:rPr>
    </w:lvl>
    <w:lvl w:ilvl="7" w:tplc="CD8E4C8A" w:tentative="1">
      <w:start w:val="1"/>
      <w:numFmt w:val="bullet"/>
      <w:lvlText w:val="o"/>
      <w:lvlJc w:val="left"/>
      <w:pPr>
        <w:tabs>
          <w:tab w:val="num" w:pos="6120"/>
        </w:tabs>
        <w:ind w:left="6120" w:hanging="360"/>
      </w:pPr>
      <w:rPr>
        <w:rFonts w:ascii="Courier New" w:hAnsi="Courier New" w:cs="Courier New" w:hint="default"/>
      </w:rPr>
    </w:lvl>
    <w:lvl w:ilvl="8" w:tplc="B61CE16E" w:tentative="1">
      <w:start w:val="1"/>
      <w:numFmt w:val="bullet"/>
      <w:lvlText w:val=""/>
      <w:lvlJc w:val="left"/>
      <w:pPr>
        <w:tabs>
          <w:tab w:val="num" w:pos="6840"/>
        </w:tabs>
        <w:ind w:left="6840" w:hanging="360"/>
      </w:pPr>
      <w:rPr>
        <w:rFonts w:ascii="Wingdings" w:hAnsi="Wingdings" w:hint="default"/>
      </w:rPr>
    </w:lvl>
  </w:abstractNum>
  <w:abstractNum w:abstractNumId="58" w15:restartNumberingAfterBreak="0">
    <w:nsid w:val="72A86BD2"/>
    <w:multiLevelType w:val="singleLevel"/>
    <w:tmpl w:val="606ED0A8"/>
    <w:lvl w:ilvl="0">
      <w:start w:val="1"/>
      <w:numFmt w:val="bullet"/>
      <w:lvlText w:val=""/>
      <w:lvlJc w:val="left"/>
      <w:pPr>
        <w:tabs>
          <w:tab w:val="num" w:pos="720"/>
        </w:tabs>
        <w:ind w:left="720" w:hanging="360"/>
      </w:pPr>
      <w:rPr>
        <w:rFonts w:ascii="Symbol" w:hAnsi="Symbol" w:hint="default"/>
        <w:sz w:val="24"/>
      </w:rPr>
    </w:lvl>
  </w:abstractNum>
  <w:abstractNum w:abstractNumId="59" w15:restartNumberingAfterBreak="0">
    <w:nsid w:val="758D651D"/>
    <w:multiLevelType w:val="hybridMultilevel"/>
    <w:tmpl w:val="C210867C"/>
    <w:lvl w:ilvl="0" w:tplc="9C84FF40">
      <w:start w:val="1"/>
      <w:numFmt w:val="bullet"/>
      <w:pStyle w:val="TableTextNumbersBullet"/>
      <w:lvlText w:val=""/>
      <w:lvlJc w:val="left"/>
      <w:pPr>
        <w:tabs>
          <w:tab w:val="num" w:pos="288"/>
        </w:tabs>
        <w:ind w:left="288" w:firstLine="0"/>
      </w:pPr>
      <w:rPr>
        <w:rFonts w:ascii="Symbol" w:hAnsi="Symbol" w:hint="default"/>
        <w:sz w:val="18"/>
      </w:rPr>
    </w:lvl>
    <w:lvl w:ilvl="1" w:tplc="04090003">
      <w:start w:val="1"/>
      <w:numFmt w:val="bullet"/>
      <w:lvlText w:val="o"/>
      <w:lvlJc w:val="left"/>
      <w:pPr>
        <w:tabs>
          <w:tab w:val="num" w:pos="1440"/>
        </w:tabs>
        <w:ind w:left="1440" w:hanging="360"/>
      </w:pPr>
      <w:rPr>
        <w:rFonts w:ascii="Courier New" w:hAnsi="Courier New" w:cs="Courier New" w:hint="default"/>
      </w:rPr>
    </w:lvl>
    <w:lvl w:ilvl="2" w:tplc="1256CB54"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75D36AAB"/>
    <w:multiLevelType w:val="hybridMultilevel"/>
    <w:tmpl w:val="D87E1606"/>
    <w:lvl w:ilvl="0" w:tplc="80FEF9BA">
      <w:start w:val="1"/>
      <w:numFmt w:val="bullet"/>
      <w:lvlText w:val=""/>
      <w:lvlJc w:val="left"/>
      <w:pPr>
        <w:tabs>
          <w:tab w:val="num" w:pos="1440"/>
        </w:tabs>
        <w:ind w:left="1440" w:hanging="360"/>
      </w:pPr>
      <w:rPr>
        <w:rFonts w:ascii="Symbol" w:hAnsi="Symbol" w:hint="default"/>
      </w:rPr>
    </w:lvl>
    <w:lvl w:ilvl="1" w:tplc="E2A43398" w:tentative="1">
      <w:start w:val="1"/>
      <w:numFmt w:val="bullet"/>
      <w:lvlText w:val="o"/>
      <w:lvlJc w:val="left"/>
      <w:pPr>
        <w:tabs>
          <w:tab w:val="num" w:pos="2160"/>
        </w:tabs>
        <w:ind w:left="2160" w:hanging="360"/>
      </w:pPr>
      <w:rPr>
        <w:rFonts w:ascii="Courier New" w:hAnsi="Courier New" w:cs="Courier New" w:hint="default"/>
      </w:rPr>
    </w:lvl>
    <w:lvl w:ilvl="2" w:tplc="B2F87258" w:tentative="1">
      <w:start w:val="1"/>
      <w:numFmt w:val="bullet"/>
      <w:lvlText w:val=""/>
      <w:lvlJc w:val="left"/>
      <w:pPr>
        <w:tabs>
          <w:tab w:val="num" w:pos="2880"/>
        </w:tabs>
        <w:ind w:left="2880" w:hanging="360"/>
      </w:pPr>
      <w:rPr>
        <w:rFonts w:ascii="Wingdings" w:hAnsi="Wingdings" w:hint="default"/>
      </w:rPr>
    </w:lvl>
    <w:lvl w:ilvl="3" w:tplc="116CE0E6" w:tentative="1">
      <w:start w:val="1"/>
      <w:numFmt w:val="bullet"/>
      <w:lvlText w:val=""/>
      <w:lvlJc w:val="left"/>
      <w:pPr>
        <w:tabs>
          <w:tab w:val="num" w:pos="3600"/>
        </w:tabs>
        <w:ind w:left="3600" w:hanging="360"/>
      </w:pPr>
      <w:rPr>
        <w:rFonts w:ascii="Symbol" w:hAnsi="Symbol" w:hint="default"/>
      </w:rPr>
    </w:lvl>
    <w:lvl w:ilvl="4" w:tplc="65782802" w:tentative="1">
      <w:start w:val="1"/>
      <w:numFmt w:val="bullet"/>
      <w:lvlText w:val="o"/>
      <w:lvlJc w:val="left"/>
      <w:pPr>
        <w:tabs>
          <w:tab w:val="num" w:pos="4320"/>
        </w:tabs>
        <w:ind w:left="4320" w:hanging="360"/>
      </w:pPr>
      <w:rPr>
        <w:rFonts w:ascii="Courier New" w:hAnsi="Courier New" w:cs="Courier New" w:hint="default"/>
      </w:rPr>
    </w:lvl>
    <w:lvl w:ilvl="5" w:tplc="4D4E0C78" w:tentative="1">
      <w:start w:val="1"/>
      <w:numFmt w:val="bullet"/>
      <w:lvlText w:val=""/>
      <w:lvlJc w:val="left"/>
      <w:pPr>
        <w:tabs>
          <w:tab w:val="num" w:pos="5040"/>
        </w:tabs>
        <w:ind w:left="5040" w:hanging="360"/>
      </w:pPr>
      <w:rPr>
        <w:rFonts w:ascii="Wingdings" w:hAnsi="Wingdings" w:hint="default"/>
      </w:rPr>
    </w:lvl>
    <w:lvl w:ilvl="6" w:tplc="9F6434EE" w:tentative="1">
      <w:start w:val="1"/>
      <w:numFmt w:val="bullet"/>
      <w:lvlText w:val=""/>
      <w:lvlJc w:val="left"/>
      <w:pPr>
        <w:tabs>
          <w:tab w:val="num" w:pos="5760"/>
        </w:tabs>
        <w:ind w:left="5760" w:hanging="360"/>
      </w:pPr>
      <w:rPr>
        <w:rFonts w:ascii="Symbol" w:hAnsi="Symbol" w:hint="default"/>
      </w:rPr>
    </w:lvl>
    <w:lvl w:ilvl="7" w:tplc="F8B857D2" w:tentative="1">
      <w:start w:val="1"/>
      <w:numFmt w:val="bullet"/>
      <w:lvlText w:val="o"/>
      <w:lvlJc w:val="left"/>
      <w:pPr>
        <w:tabs>
          <w:tab w:val="num" w:pos="6480"/>
        </w:tabs>
        <w:ind w:left="6480" w:hanging="360"/>
      </w:pPr>
      <w:rPr>
        <w:rFonts w:ascii="Courier New" w:hAnsi="Courier New" w:cs="Courier New" w:hint="default"/>
      </w:rPr>
    </w:lvl>
    <w:lvl w:ilvl="8" w:tplc="8836122C" w:tentative="1">
      <w:start w:val="1"/>
      <w:numFmt w:val="bullet"/>
      <w:lvlText w:val=""/>
      <w:lvlJc w:val="left"/>
      <w:pPr>
        <w:tabs>
          <w:tab w:val="num" w:pos="7200"/>
        </w:tabs>
        <w:ind w:left="7200" w:hanging="360"/>
      </w:pPr>
      <w:rPr>
        <w:rFonts w:ascii="Wingdings" w:hAnsi="Wingdings" w:hint="default"/>
      </w:rPr>
    </w:lvl>
  </w:abstractNum>
  <w:abstractNum w:abstractNumId="61" w15:restartNumberingAfterBreak="0">
    <w:nsid w:val="7AAD1F61"/>
    <w:multiLevelType w:val="hybridMultilevel"/>
    <w:tmpl w:val="19449DFA"/>
    <w:lvl w:ilvl="0" w:tplc="FFFFFFFF">
      <w:start w:val="1"/>
      <w:numFmt w:val="bullet"/>
      <w:lvlText w:val=""/>
      <w:lvlJc w:val="left"/>
      <w:pPr>
        <w:tabs>
          <w:tab w:val="num" w:pos="720"/>
        </w:tabs>
        <w:ind w:left="720" w:hanging="360"/>
      </w:pPr>
      <w:rPr>
        <w:rFonts w:ascii="Symbol" w:hAnsi="Symbol" w:hint="default"/>
        <w:color w:val="auto"/>
        <w:sz w:val="18"/>
        <w:szCs w:val="18"/>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2" w15:restartNumberingAfterBreak="0">
    <w:nsid w:val="7C022B11"/>
    <w:multiLevelType w:val="hybridMultilevel"/>
    <w:tmpl w:val="B60A4BCE"/>
    <w:lvl w:ilvl="0" w:tplc="FFFFFFFF">
      <w:start w:val="2"/>
      <w:numFmt w:val="bullet"/>
      <w:lvlText w:val=""/>
      <w:lvlJc w:val="left"/>
      <w:pPr>
        <w:tabs>
          <w:tab w:val="num" w:pos="795"/>
        </w:tabs>
        <w:ind w:left="795" w:hanging="405"/>
      </w:pPr>
      <w:rPr>
        <w:rFonts w:ascii="Symbol" w:eastAsia="Times New Roman" w:hAnsi="Symbol" w:cs="Arial" w:hint="default"/>
      </w:rPr>
    </w:lvl>
    <w:lvl w:ilvl="1" w:tplc="04090001">
      <w:start w:val="1"/>
      <w:numFmt w:val="bullet"/>
      <w:lvlText w:val=""/>
      <w:lvlJc w:val="left"/>
      <w:pPr>
        <w:tabs>
          <w:tab w:val="num" w:pos="1440"/>
        </w:tabs>
        <w:ind w:left="1440" w:hanging="360"/>
      </w:pPr>
      <w:rPr>
        <w:rFonts w:ascii="Symbol" w:hAnsi="Symbol" w:hint="default"/>
      </w:rPr>
    </w:lvl>
    <w:lvl w:ilvl="2" w:tplc="04090003">
      <w:start w:val="1"/>
      <w:numFmt w:val="bullet"/>
      <w:lvlText w:val="o"/>
      <w:lvlJc w:val="left"/>
      <w:pPr>
        <w:tabs>
          <w:tab w:val="num" w:pos="2160"/>
        </w:tabs>
        <w:ind w:left="2160" w:hanging="360"/>
      </w:pPr>
      <w:rPr>
        <w:rFonts w:ascii="Courier New" w:hAnsi="Courier New" w:cs="Courier New" w:hint="default"/>
      </w:r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3" w15:restartNumberingAfterBreak="0">
    <w:nsid w:val="7ECB7E7E"/>
    <w:multiLevelType w:val="hybridMultilevel"/>
    <w:tmpl w:val="EF403034"/>
    <w:lvl w:ilvl="0" w:tplc="851AB840">
      <w:start w:val="1"/>
      <w:numFmt w:val="decimal"/>
      <w:pStyle w:val="ListNumber2"/>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01746900">
    <w:abstractNumId w:val="40"/>
  </w:num>
  <w:num w:numId="2" w16cid:durableId="633872729">
    <w:abstractNumId w:val="5"/>
  </w:num>
  <w:num w:numId="3" w16cid:durableId="83498105">
    <w:abstractNumId w:val="24"/>
  </w:num>
  <w:num w:numId="4" w16cid:durableId="134375107">
    <w:abstractNumId w:val="36"/>
  </w:num>
  <w:num w:numId="5" w16cid:durableId="1999579306">
    <w:abstractNumId w:val="27"/>
  </w:num>
  <w:num w:numId="6" w16cid:durableId="1310599876">
    <w:abstractNumId w:val="32"/>
  </w:num>
  <w:num w:numId="7" w16cid:durableId="2013141732">
    <w:abstractNumId w:val="59"/>
  </w:num>
  <w:num w:numId="8" w16cid:durableId="586116255">
    <w:abstractNumId w:val="52"/>
  </w:num>
  <w:num w:numId="9" w16cid:durableId="1926722751">
    <w:abstractNumId w:val="34"/>
  </w:num>
  <w:num w:numId="10" w16cid:durableId="1116292555">
    <w:abstractNumId w:val="21"/>
  </w:num>
  <w:num w:numId="11" w16cid:durableId="58334146">
    <w:abstractNumId w:val="0"/>
  </w:num>
  <w:num w:numId="12" w16cid:durableId="1489132252">
    <w:abstractNumId w:val="1"/>
  </w:num>
  <w:num w:numId="13" w16cid:durableId="1935279611">
    <w:abstractNumId w:val="53"/>
  </w:num>
  <w:num w:numId="14" w16cid:durableId="543909864">
    <w:abstractNumId w:val="37"/>
  </w:num>
  <w:num w:numId="15" w16cid:durableId="1784034794">
    <w:abstractNumId w:val="54"/>
  </w:num>
  <w:num w:numId="16" w16cid:durableId="1529103664">
    <w:abstractNumId w:val="11"/>
    <w:lvlOverride w:ilvl="0">
      <w:startOverride w:val="1"/>
    </w:lvlOverride>
  </w:num>
  <w:num w:numId="17" w16cid:durableId="1395199243">
    <w:abstractNumId w:val="11"/>
    <w:lvlOverride w:ilvl="0">
      <w:startOverride w:val="1"/>
    </w:lvlOverride>
  </w:num>
  <w:num w:numId="18" w16cid:durableId="1561402202">
    <w:abstractNumId w:val="11"/>
    <w:lvlOverride w:ilvl="0">
      <w:startOverride w:val="1"/>
    </w:lvlOverride>
  </w:num>
  <w:num w:numId="19" w16cid:durableId="1717047532">
    <w:abstractNumId w:val="11"/>
    <w:lvlOverride w:ilvl="0">
      <w:startOverride w:val="1"/>
    </w:lvlOverride>
  </w:num>
  <w:num w:numId="20" w16cid:durableId="900944138">
    <w:abstractNumId w:val="11"/>
    <w:lvlOverride w:ilvl="0">
      <w:startOverride w:val="1"/>
    </w:lvlOverride>
  </w:num>
  <w:num w:numId="21" w16cid:durableId="636036508">
    <w:abstractNumId w:val="11"/>
    <w:lvlOverride w:ilvl="0">
      <w:startOverride w:val="1"/>
    </w:lvlOverride>
  </w:num>
  <w:num w:numId="22" w16cid:durableId="167328196">
    <w:abstractNumId w:val="11"/>
    <w:lvlOverride w:ilvl="0">
      <w:startOverride w:val="1"/>
    </w:lvlOverride>
  </w:num>
  <w:num w:numId="23" w16cid:durableId="988289447">
    <w:abstractNumId w:val="11"/>
    <w:lvlOverride w:ilvl="0">
      <w:startOverride w:val="1"/>
    </w:lvlOverride>
  </w:num>
  <w:num w:numId="24" w16cid:durableId="1817143825">
    <w:abstractNumId w:val="11"/>
    <w:lvlOverride w:ilvl="0">
      <w:startOverride w:val="1"/>
    </w:lvlOverride>
  </w:num>
  <w:num w:numId="25" w16cid:durableId="1874881950">
    <w:abstractNumId w:val="11"/>
    <w:lvlOverride w:ilvl="0">
      <w:startOverride w:val="1"/>
    </w:lvlOverride>
  </w:num>
  <w:num w:numId="26" w16cid:durableId="2064600313">
    <w:abstractNumId w:val="11"/>
    <w:lvlOverride w:ilvl="0">
      <w:startOverride w:val="1"/>
    </w:lvlOverride>
  </w:num>
  <w:num w:numId="27" w16cid:durableId="506211203">
    <w:abstractNumId w:val="11"/>
    <w:lvlOverride w:ilvl="0">
      <w:startOverride w:val="1"/>
    </w:lvlOverride>
  </w:num>
  <w:num w:numId="28" w16cid:durableId="470026120">
    <w:abstractNumId w:val="11"/>
    <w:lvlOverride w:ilvl="0">
      <w:startOverride w:val="1"/>
    </w:lvlOverride>
  </w:num>
  <w:num w:numId="29" w16cid:durableId="2066221516">
    <w:abstractNumId w:val="11"/>
    <w:lvlOverride w:ilvl="0">
      <w:startOverride w:val="1"/>
    </w:lvlOverride>
  </w:num>
  <w:num w:numId="30" w16cid:durableId="687564376">
    <w:abstractNumId w:val="31"/>
  </w:num>
  <w:num w:numId="31" w16cid:durableId="1663656862">
    <w:abstractNumId w:val="25"/>
  </w:num>
  <w:num w:numId="32" w16cid:durableId="705058007">
    <w:abstractNumId w:val="4"/>
  </w:num>
  <w:num w:numId="33" w16cid:durableId="1398095182">
    <w:abstractNumId w:val="44"/>
  </w:num>
  <w:num w:numId="34" w16cid:durableId="215826094">
    <w:abstractNumId w:val="13"/>
  </w:num>
  <w:num w:numId="35" w16cid:durableId="1628586774">
    <w:abstractNumId w:val="41"/>
  </w:num>
  <w:num w:numId="36" w16cid:durableId="1592079858">
    <w:abstractNumId w:val="16"/>
  </w:num>
  <w:num w:numId="37" w16cid:durableId="119735986">
    <w:abstractNumId w:val="62"/>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059595546">
    <w:abstractNumId w:val="36"/>
    <w:lvlOverride w:ilvl="0">
      <w:startOverride w:val="1"/>
    </w:lvlOverride>
  </w:num>
  <w:num w:numId="39" w16cid:durableId="201988328">
    <w:abstractNumId w:val="36"/>
    <w:lvlOverride w:ilvl="0">
      <w:startOverride w:val="1"/>
    </w:lvlOverride>
  </w:num>
  <w:num w:numId="40" w16cid:durableId="1164199095">
    <w:abstractNumId w:val="63"/>
  </w:num>
  <w:num w:numId="41" w16cid:durableId="758605106">
    <w:abstractNumId w:val="45"/>
  </w:num>
  <w:num w:numId="42" w16cid:durableId="388964426">
    <w:abstractNumId w:val="58"/>
  </w:num>
  <w:num w:numId="43" w16cid:durableId="106123824">
    <w:abstractNumId w:val="14"/>
  </w:num>
  <w:num w:numId="44" w16cid:durableId="1660037261">
    <w:abstractNumId w:val="29"/>
  </w:num>
  <w:num w:numId="45" w16cid:durableId="945162905">
    <w:abstractNumId w:val="3"/>
  </w:num>
  <w:num w:numId="46" w16cid:durableId="540166580">
    <w:abstractNumId w:val="36"/>
    <w:lvlOverride w:ilvl="0">
      <w:startOverride w:val="1"/>
    </w:lvlOverride>
  </w:num>
  <w:num w:numId="47" w16cid:durableId="1869104359">
    <w:abstractNumId w:val="36"/>
    <w:lvlOverride w:ilvl="0">
      <w:startOverride w:val="1"/>
    </w:lvlOverride>
  </w:num>
  <w:num w:numId="48" w16cid:durableId="122693026">
    <w:abstractNumId w:val="26"/>
  </w:num>
  <w:num w:numId="49" w16cid:durableId="150802658">
    <w:abstractNumId w:val="55"/>
  </w:num>
  <w:num w:numId="50" w16cid:durableId="1072628094">
    <w:abstractNumId w:val="36"/>
    <w:lvlOverride w:ilvl="0">
      <w:startOverride w:val="1"/>
    </w:lvlOverride>
  </w:num>
  <w:num w:numId="51" w16cid:durableId="1381779591">
    <w:abstractNumId w:val="22"/>
  </w:num>
  <w:num w:numId="52" w16cid:durableId="247152754">
    <w:abstractNumId w:val="30"/>
  </w:num>
  <w:num w:numId="53" w16cid:durableId="1565138766">
    <w:abstractNumId w:val="60"/>
  </w:num>
  <w:num w:numId="54" w16cid:durableId="1627852252">
    <w:abstractNumId w:val="23"/>
  </w:num>
  <w:num w:numId="55" w16cid:durableId="524641120">
    <w:abstractNumId w:val="51"/>
  </w:num>
  <w:num w:numId="56" w16cid:durableId="1869832282">
    <w:abstractNumId w:val="61"/>
  </w:num>
  <w:num w:numId="57" w16cid:durableId="1151751740">
    <w:abstractNumId w:val="56"/>
  </w:num>
  <w:num w:numId="58" w16cid:durableId="571430509">
    <w:abstractNumId w:val="46"/>
  </w:num>
  <w:num w:numId="59" w16cid:durableId="1871527378">
    <w:abstractNumId w:val="20"/>
  </w:num>
  <w:num w:numId="60" w16cid:durableId="1671978918">
    <w:abstractNumId w:val="8"/>
  </w:num>
  <w:num w:numId="61" w16cid:durableId="1406950418">
    <w:abstractNumId w:val="12"/>
  </w:num>
  <w:num w:numId="62" w16cid:durableId="396442478">
    <w:abstractNumId w:val="19"/>
  </w:num>
  <w:num w:numId="63" w16cid:durableId="1309362208">
    <w:abstractNumId w:val="43"/>
  </w:num>
  <w:num w:numId="64" w16cid:durableId="983046844">
    <w:abstractNumId w:val="39"/>
  </w:num>
  <w:num w:numId="65" w16cid:durableId="1095322205">
    <w:abstractNumId w:val="38"/>
  </w:num>
  <w:num w:numId="66" w16cid:durableId="1324967998">
    <w:abstractNumId w:val="6"/>
  </w:num>
  <w:num w:numId="67" w16cid:durableId="521020712">
    <w:abstractNumId w:val="47"/>
  </w:num>
  <w:num w:numId="68" w16cid:durableId="807741758">
    <w:abstractNumId w:val="35"/>
  </w:num>
  <w:num w:numId="69" w16cid:durableId="701326977">
    <w:abstractNumId w:val="57"/>
  </w:num>
  <w:num w:numId="70" w16cid:durableId="638076397">
    <w:abstractNumId w:val="18"/>
  </w:num>
  <w:num w:numId="71" w16cid:durableId="346753629">
    <w:abstractNumId w:val="33"/>
  </w:num>
  <w:num w:numId="72" w16cid:durableId="603684128">
    <w:abstractNumId w:val="36"/>
    <w:lvlOverride w:ilvl="0">
      <w:startOverride w:val="1"/>
    </w:lvlOverride>
  </w:num>
  <w:num w:numId="73" w16cid:durableId="971667655">
    <w:abstractNumId w:val="36"/>
    <w:lvlOverride w:ilvl="0">
      <w:startOverride w:val="1"/>
    </w:lvlOverride>
  </w:num>
  <w:num w:numId="74" w16cid:durableId="1232234856">
    <w:abstractNumId w:val="36"/>
    <w:lvlOverride w:ilvl="0">
      <w:startOverride w:val="1"/>
    </w:lvlOverride>
  </w:num>
  <w:num w:numId="75" w16cid:durableId="913321115">
    <w:abstractNumId w:val="49"/>
  </w:num>
  <w:num w:numId="76" w16cid:durableId="34818698">
    <w:abstractNumId w:val="50"/>
  </w:num>
  <w:num w:numId="77" w16cid:durableId="1558125404">
    <w:abstractNumId w:val="10"/>
  </w:num>
  <w:num w:numId="78" w16cid:durableId="449204993">
    <w:abstractNumId w:val="9"/>
  </w:num>
  <w:num w:numId="79" w16cid:durableId="247081688">
    <w:abstractNumId w:val="28"/>
  </w:num>
  <w:num w:numId="80" w16cid:durableId="2008710952">
    <w:abstractNumId w:val="36"/>
    <w:lvlOverride w:ilvl="0">
      <w:startOverride w:val="1"/>
    </w:lvlOverride>
  </w:num>
  <w:num w:numId="81" w16cid:durableId="178391115">
    <w:abstractNumId w:val="48"/>
  </w:num>
  <w:num w:numId="82" w16cid:durableId="220529107">
    <w:abstractNumId w:val="42"/>
  </w:num>
  <w:num w:numId="83" w16cid:durableId="52698127">
    <w:abstractNumId w:val="15"/>
  </w:num>
  <w:num w:numId="84" w16cid:durableId="1437479363">
    <w:abstractNumId w:val="17"/>
  </w:num>
  <w:num w:numId="85" w16cid:durableId="837695979">
    <w:abstractNumId w:val="2"/>
  </w:num>
  <w:num w:numId="86" w16cid:durableId="1200511521">
    <w:abstractNumId w:val="36"/>
    <w:lvlOverride w:ilvl="0">
      <w:startOverride w:val="1"/>
    </w:lvlOverride>
  </w:num>
  <w:num w:numId="87" w16cid:durableId="552884436">
    <w:abstractNumId w:val="36"/>
    <w:lvlOverride w:ilvl="0">
      <w:startOverride w:val="1"/>
    </w:lvlOverride>
  </w:num>
  <w:num w:numId="88" w16cid:durableId="666640163">
    <w:abstractNumId w:val="54"/>
  </w:num>
  <w:num w:numId="89" w16cid:durableId="91780613">
    <w:abstractNumId w:val="54"/>
  </w:num>
  <w:num w:numId="90" w16cid:durableId="1406368323">
    <w:abstractNumId w:val="54"/>
  </w:num>
  <w:num w:numId="91" w16cid:durableId="1329946906">
    <w:abstractNumId w:val="1"/>
  </w:num>
  <w:num w:numId="92" w16cid:durableId="410199341">
    <w:abstractNumId w:val="1"/>
  </w:num>
  <w:num w:numId="93" w16cid:durableId="463230689">
    <w:abstractNumId w:val="11"/>
  </w:num>
  <w:num w:numId="94" w16cid:durableId="456947843">
    <w:abstractNumId w:val="36"/>
    <w:lvlOverride w:ilvl="0">
      <w:startOverride w:val="1"/>
    </w:lvlOverride>
  </w:num>
  <w:num w:numId="95" w16cid:durableId="2146269167">
    <w:abstractNumId w:val="36"/>
    <w:lvlOverride w:ilvl="0">
      <w:startOverride w:val="1"/>
    </w:lvlOverride>
  </w:num>
  <w:num w:numId="96" w16cid:durableId="1175463488">
    <w:abstractNumId w:val="36"/>
    <w:lvlOverride w:ilvl="0">
      <w:startOverride w:val="1"/>
    </w:lvlOverride>
  </w:num>
  <w:num w:numId="97" w16cid:durableId="2133087796">
    <w:abstractNumId w:val="36"/>
    <w:lvlOverride w:ilvl="0">
      <w:startOverride w:val="1"/>
    </w:lvlOverride>
  </w:num>
  <w:num w:numId="98" w16cid:durableId="106509391">
    <w:abstractNumId w:val="36"/>
    <w:lvlOverride w:ilvl="0">
      <w:startOverride w:val="1"/>
    </w:lvlOverride>
  </w:num>
  <w:num w:numId="99" w16cid:durableId="658653476">
    <w:abstractNumId w:val="7"/>
  </w:num>
  <w:num w:numId="100" w16cid:durableId="440496889">
    <w:abstractNumId w:val="36"/>
    <w:lvlOverride w:ilvl="0">
      <w:startOverride w:val="1"/>
    </w:lvlOverride>
  </w:num>
  <w:numIdMacAtCleanup w:val="9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USZYNSKI, THOMAS D. (SIERRA 7 INC)">
    <w15:presenceInfo w15:providerId="AD" w15:userId="S::Thomas.Muszynski@va.gov::d165c98f-0811-4db3-ac71-7741d19e537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US" w:vendorID="64" w:dllVersion="6" w:nlCheck="1" w:checkStyle="0"/>
  <w:activeWritingStyle w:appName="MSWord" w:lang="en-US" w:vendorID="64" w:dllVersion="5" w:nlCheck="1" w:checkStyle="1"/>
  <w:activeWritingStyle w:appName="MSWord" w:lang="es-ES" w:vendorID="64" w:dllVersion="6" w:nlCheck="1" w:checkStyle="1"/>
  <w:activeWritingStyle w:appName="MSWord" w:lang="fr-CA" w:vendorID="64" w:dllVersion="6" w:nlCheck="1" w:checkStyle="1"/>
  <w:activeWritingStyle w:appName="MSWord" w:lang="fr-FR" w:vendorID="64" w:dllVersion="6" w:nlCheck="1" w:checkStyle="1"/>
  <w:activeWritingStyle w:appName="MSWord" w:lang="en-US" w:vendorID="64" w:dllVersion="0" w:nlCheck="1" w:checkStyle="0"/>
  <w:activeWritingStyle w:appName="MSWord" w:lang="fr-FR" w:vendorID="64" w:dllVersion="0" w:nlCheck="1" w:checkStyle="0"/>
  <w:activeWritingStyle w:appName="MSWord" w:lang="fr-CA"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ShadeFormData/>
  <w:noPunctuationKerning/>
  <w:characterSpacingControl w:val="doNotCompress"/>
  <w:hdrShapeDefaults>
    <o:shapedefaults v:ext="edit" spidmax="5121" fillcolor="white">
      <v:fill color="white"/>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02F5"/>
    <w:rsid w:val="0000095B"/>
    <w:rsid w:val="00000A27"/>
    <w:rsid w:val="00000CF1"/>
    <w:rsid w:val="00001251"/>
    <w:rsid w:val="000013B4"/>
    <w:rsid w:val="000014DD"/>
    <w:rsid w:val="00001639"/>
    <w:rsid w:val="000016CF"/>
    <w:rsid w:val="00001996"/>
    <w:rsid w:val="000022C2"/>
    <w:rsid w:val="00002564"/>
    <w:rsid w:val="000026FF"/>
    <w:rsid w:val="0000295A"/>
    <w:rsid w:val="00002A54"/>
    <w:rsid w:val="00002D13"/>
    <w:rsid w:val="00002DA1"/>
    <w:rsid w:val="000037E8"/>
    <w:rsid w:val="00003944"/>
    <w:rsid w:val="00003AD3"/>
    <w:rsid w:val="00003AD8"/>
    <w:rsid w:val="00003B87"/>
    <w:rsid w:val="00003BE9"/>
    <w:rsid w:val="00004139"/>
    <w:rsid w:val="0000455C"/>
    <w:rsid w:val="00004786"/>
    <w:rsid w:val="00004A4C"/>
    <w:rsid w:val="0000544A"/>
    <w:rsid w:val="000054DE"/>
    <w:rsid w:val="00005649"/>
    <w:rsid w:val="00005A4E"/>
    <w:rsid w:val="00005C14"/>
    <w:rsid w:val="00005EFF"/>
    <w:rsid w:val="0000620B"/>
    <w:rsid w:val="00006808"/>
    <w:rsid w:val="00006995"/>
    <w:rsid w:val="000069FC"/>
    <w:rsid w:val="00006D30"/>
    <w:rsid w:val="00006D86"/>
    <w:rsid w:val="000075A9"/>
    <w:rsid w:val="000075AF"/>
    <w:rsid w:val="00007986"/>
    <w:rsid w:val="00007B62"/>
    <w:rsid w:val="00007E6C"/>
    <w:rsid w:val="00007EFF"/>
    <w:rsid w:val="00007FC3"/>
    <w:rsid w:val="00010613"/>
    <w:rsid w:val="000106E7"/>
    <w:rsid w:val="00010A5B"/>
    <w:rsid w:val="00010B77"/>
    <w:rsid w:val="00010CF8"/>
    <w:rsid w:val="00011036"/>
    <w:rsid w:val="0001187F"/>
    <w:rsid w:val="0001199A"/>
    <w:rsid w:val="00011A43"/>
    <w:rsid w:val="00011FD2"/>
    <w:rsid w:val="00012087"/>
    <w:rsid w:val="000120C4"/>
    <w:rsid w:val="000120CE"/>
    <w:rsid w:val="000124FF"/>
    <w:rsid w:val="0001265E"/>
    <w:rsid w:val="00013002"/>
    <w:rsid w:val="00013047"/>
    <w:rsid w:val="0001312C"/>
    <w:rsid w:val="000138AC"/>
    <w:rsid w:val="00013932"/>
    <w:rsid w:val="00014064"/>
    <w:rsid w:val="000143B5"/>
    <w:rsid w:val="000144A0"/>
    <w:rsid w:val="000144FD"/>
    <w:rsid w:val="000145FB"/>
    <w:rsid w:val="000148C3"/>
    <w:rsid w:val="00014955"/>
    <w:rsid w:val="00014B34"/>
    <w:rsid w:val="00014BE4"/>
    <w:rsid w:val="00014EFE"/>
    <w:rsid w:val="000150E9"/>
    <w:rsid w:val="00015258"/>
    <w:rsid w:val="0001548D"/>
    <w:rsid w:val="0001556E"/>
    <w:rsid w:val="00015581"/>
    <w:rsid w:val="00015977"/>
    <w:rsid w:val="00015991"/>
    <w:rsid w:val="00015AFD"/>
    <w:rsid w:val="000162F5"/>
    <w:rsid w:val="000166D4"/>
    <w:rsid w:val="0001680D"/>
    <w:rsid w:val="00016901"/>
    <w:rsid w:val="00016C78"/>
    <w:rsid w:val="000178A6"/>
    <w:rsid w:val="00017EC9"/>
    <w:rsid w:val="000200AF"/>
    <w:rsid w:val="0002020B"/>
    <w:rsid w:val="00020721"/>
    <w:rsid w:val="00020B22"/>
    <w:rsid w:val="0002125E"/>
    <w:rsid w:val="00021B72"/>
    <w:rsid w:val="00021CEB"/>
    <w:rsid w:val="00021E64"/>
    <w:rsid w:val="0002207D"/>
    <w:rsid w:val="000221BC"/>
    <w:rsid w:val="000222FC"/>
    <w:rsid w:val="00022B7B"/>
    <w:rsid w:val="0002312A"/>
    <w:rsid w:val="00023201"/>
    <w:rsid w:val="000234FD"/>
    <w:rsid w:val="00023520"/>
    <w:rsid w:val="000237FB"/>
    <w:rsid w:val="00024376"/>
    <w:rsid w:val="00024989"/>
    <w:rsid w:val="00024B9F"/>
    <w:rsid w:val="00025409"/>
    <w:rsid w:val="0002560C"/>
    <w:rsid w:val="0002571B"/>
    <w:rsid w:val="00025A5C"/>
    <w:rsid w:val="00025A95"/>
    <w:rsid w:val="00025A9B"/>
    <w:rsid w:val="00025BD0"/>
    <w:rsid w:val="00025CF7"/>
    <w:rsid w:val="00026099"/>
    <w:rsid w:val="00026628"/>
    <w:rsid w:val="0002675E"/>
    <w:rsid w:val="00026AC5"/>
    <w:rsid w:val="00026F72"/>
    <w:rsid w:val="00026FF3"/>
    <w:rsid w:val="00027368"/>
    <w:rsid w:val="000273C3"/>
    <w:rsid w:val="00027505"/>
    <w:rsid w:val="0002759E"/>
    <w:rsid w:val="000275FF"/>
    <w:rsid w:val="00027667"/>
    <w:rsid w:val="00027A1C"/>
    <w:rsid w:val="00027EC0"/>
    <w:rsid w:val="00027ED3"/>
    <w:rsid w:val="00027FF5"/>
    <w:rsid w:val="0003045D"/>
    <w:rsid w:val="000305DD"/>
    <w:rsid w:val="00030AF7"/>
    <w:rsid w:val="00030B84"/>
    <w:rsid w:val="00030D9B"/>
    <w:rsid w:val="00030E55"/>
    <w:rsid w:val="00031138"/>
    <w:rsid w:val="000314AF"/>
    <w:rsid w:val="00031618"/>
    <w:rsid w:val="0003186D"/>
    <w:rsid w:val="0003186E"/>
    <w:rsid w:val="000318FD"/>
    <w:rsid w:val="000319CE"/>
    <w:rsid w:val="00031E53"/>
    <w:rsid w:val="00032278"/>
    <w:rsid w:val="000325C4"/>
    <w:rsid w:val="00032782"/>
    <w:rsid w:val="00032B5D"/>
    <w:rsid w:val="000332A7"/>
    <w:rsid w:val="000333EE"/>
    <w:rsid w:val="0003355D"/>
    <w:rsid w:val="00033719"/>
    <w:rsid w:val="000337E9"/>
    <w:rsid w:val="00033916"/>
    <w:rsid w:val="000339AD"/>
    <w:rsid w:val="00033B59"/>
    <w:rsid w:val="00033D17"/>
    <w:rsid w:val="00034390"/>
    <w:rsid w:val="000345A6"/>
    <w:rsid w:val="000349A0"/>
    <w:rsid w:val="00034C09"/>
    <w:rsid w:val="000350E5"/>
    <w:rsid w:val="0003580E"/>
    <w:rsid w:val="0003596C"/>
    <w:rsid w:val="000359E4"/>
    <w:rsid w:val="00035A64"/>
    <w:rsid w:val="00035BA7"/>
    <w:rsid w:val="00035CDC"/>
    <w:rsid w:val="00035F16"/>
    <w:rsid w:val="0003608A"/>
    <w:rsid w:val="00036095"/>
    <w:rsid w:val="000360F1"/>
    <w:rsid w:val="00036285"/>
    <w:rsid w:val="000362A2"/>
    <w:rsid w:val="00036449"/>
    <w:rsid w:val="00036B7D"/>
    <w:rsid w:val="00036C25"/>
    <w:rsid w:val="0003705A"/>
    <w:rsid w:val="000371B2"/>
    <w:rsid w:val="00037976"/>
    <w:rsid w:val="00037A18"/>
    <w:rsid w:val="00037BAD"/>
    <w:rsid w:val="00037C16"/>
    <w:rsid w:val="000404B7"/>
    <w:rsid w:val="000405AD"/>
    <w:rsid w:val="000405D5"/>
    <w:rsid w:val="0004065B"/>
    <w:rsid w:val="00040807"/>
    <w:rsid w:val="00040832"/>
    <w:rsid w:val="000409B1"/>
    <w:rsid w:val="00040E28"/>
    <w:rsid w:val="00040E3B"/>
    <w:rsid w:val="000417FC"/>
    <w:rsid w:val="00041C69"/>
    <w:rsid w:val="00041E00"/>
    <w:rsid w:val="00041FCF"/>
    <w:rsid w:val="0004202A"/>
    <w:rsid w:val="000428C6"/>
    <w:rsid w:val="00042A07"/>
    <w:rsid w:val="00042A36"/>
    <w:rsid w:val="00042AF9"/>
    <w:rsid w:val="00042B1F"/>
    <w:rsid w:val="00042FBA"/>
    <w:rsid w:val="0004302A"/>
    <w:rsid w:val="000430E8"/>
    <w:rsid w:val="00043785"/>
    <w:rsid w:val="00044822"/>
    <w:rsid w:val="000448EA"/>
    <w:rsid w:val="0004496F"/>
    <w:rsid w:val="00045009"/>
    <w:rsid w:val="0004514D"/>
    <w:rsid w:val="0004545F"/>
    <w:rsid w:val="0004558D"/>
    <w:rsid w:val="00045736"/>
    <w:rsid w:val="00045762"/>
    <w:rsid w:val="00045CEA"/>
    <w:rsid w:val="00045ED7"/>
    <w:rsid w:val="00046218"/>
    <w:rsid w:val="00046402"/>
    <w:rsid w:val="0004660C"/>
    <w:rsid w:val="0004665B"/>
    <w:rsid w:val="00046907"/>
    <w:rsid w:val="00046C55"/>
    <w:rsid w:val="00046D06"/>
    <w:rsid w:val="00046F4B"/>
    <w:rsid w:val="00047579"/>
    <w:rsid w:val="0004774A"/>
    <w:rsid w:val="00047819"/>
    <w:rsid w:val="00047C2D"/>
    <w:rsid w:val="00047C63"/>
    <w:rsid w:val="00047E8C"/>
    <w:rsid w:val="000502C3"/>
    <w:rsid w:val="000502D2"/>
    <w:rsid w:val="00050576"/>
    <w:rsid w:val="000507E1"/>
    <w:rsid w:val="000509A8"/>
    <w:rsid w:val="00050BB7"/>
    <w:rsid w:val="000513B1"/>
    <w:rsid w:val="00051401"/>
    <w:rsid w:val="00051554"/>
    <w:rsid w:val="000518ED"/>
    <w:rsid w:val="00051962"/>
    <w:rsid w:val="00051AAE"/>
    <w:rsid w:val="00051E30"/>
    <w:rsid w:val="000526B7"/>
    <w:rsid w:val="00052726"/>
    <w:rsid w:val="00052776"/>
    <w:rsid w:val="00052821"/>
    <w:rsid w:val="00052BC6"/>
    <w:rsid w:val="00052C4E"/>
    <w:rsid w:val="000531FE"/>
    <w:rsid w:val="00053349"/>
    <w:rsid w:val="0005347A"/>
    <w:rsid w:val="0005399B"/>
    <w:rsid w:val="000540F1"/>
    <w:rsid w:val="0005419D"/>
    <w:rsid w:val="0005459C"/>
    <w:rsid w:val="000545BF"/>
    <w:rsid w:val="000546CB"/>
    <w:rsid w:val="00054FA6"/>
    <w:rsid w:val="00055596"/>
    <w:rsid w:val="000558FF"/>
    <w:rsid w:val="00055B6C"/>
    <w:rsid w:val="00055FD7"/>
    <w:rsid w:val="000563F7"/>
    <w:rsid w:val="0005643D"/>
    <w:rsid w:val="000565A1"/>
    <w:rsid w:val="000566D6"/>
    <w:rsid w:val="000568BA"/>
    <w:rsid w:val="00056BCC"/>
    <w:rsid w:val="00056CBF"/>
    <w:rsid w:val="000571E4"/>
    <w:rsid w:val="000574B4"/>
    <w:rsid w:val="00057549"/>
    <w:rsid w:val="00057898"/>
    <w:rsid w:val="00057948"/>
    <w:rsid w:val="00057A94"/>
    <w:rsid w:val="00057ADC"/>
    <w:rsid w:val="000603C6"/>
    <w:rsid w:val="000604AA"/>
    <w:rsid w:val="000607CC"/>
    <w:rsid w:val="00060964"/>
    <w:rsid w:val="00060C94"/>
    <w:rsid w:val="00060DE4"/>
    <w:rsid w:val="00061040"/>
    <w:rsid w:val="000612EF"/>
    <w:rsid w:val="0006165B"/>
    <w:rsid w:val="000617B7"/>
    <w:rsid w:val="000618E0"/>
    <w:rsid w:val="00061930"/>
    <w:rsid w:val="00061AEC"/>
    <w:rsid w:val="00061F5B"/>
    <w:rsid w:val="00061FCF"/>
    <w:rsid w:val="00062337"/>
    <w:rsid w:val="00062A58"/>
    <w:rsid w:val="00062D0F"/>
    <w:rsid w:val="00062E99"/>
    <w:rsid w:val="00063114"/>
    <w:rsid w:val="00063AED"/>
    <w:rsid w:val="00063D3D"/>
    <w:rsid w:val="000640BC"/>
    <w:rsid w:val="00064198"/>
    <w:rsid w:val="0006424F"/>
    <w:rsid w:val="00064269"/>
    <w:rsid w:val="0006446E"/>
    <w:rsid w:val="0006459B"/>
    <w:rsid w:val="00064B66"/>
    <w:rsid w:val="00064B9D"/>
    <w:rsid w:val="00064E16"/>
    <w:rsid w:val="000651C3"/>
    <w:rsid w:val="00065387"/>
    <w:rsid w:val="00065638"/>
    <w:rsid w:val="00065725"/>
    <w:rsid w:val="00066305"/>
    <w:rsid w:val="000664AE"/>
    <w:rsid w:val="000668C0"/>
    <w:rsid w:val="00066A1D"/>
    <w:rsid w:val="00066B1B"/>
    <w:rsid w:val="00066BE2"/>
    <w:rsid w:val="00066D21"/>
    <w:rsid w:val="00066D49"/>
    <w:rsid w:val="0006709D"/>
    <w:rsid w:val="0006735F"/>
    <w:rsid w:val="000673C5"/>
    <w:rsid w:val="00067592"/>
    <w:rsid w:val="00067A9E"/>
    <w:rsid w:val="00067C65"/>
    <w:rsid w:val="000700FB"/>
    <w:rsid w:val="00070C25"/>
    <w:rsid w:val="00070C5D"/>
    <w:rsid w:val="00070CCC"/>
    <w:rsid w:val="00070D1C"/>
    <w:rsid w:val="00071143"/>
    <w:rsid w:val="0007120F"/>
    <w:rsid w:val="000717C2"/>
    <w:rsid w:val="00071FAF"/>
    <w:rsid w:val="00072131"/>
    <w:rsid w:val="00072167"/>
    <w:rsid w:val="00072475"/>
    <w:rsid w:val="0007268D"/>
    <w:rsid w:val="00073282"/>
    <w:rsid w:val="00073695"/>
    <w:rsid w:val="000738BC"/>
    <w:rsid w:val="00073E80"/>
    <w:rsid w:val="0007426E"/>
    <w:rsid w:val="0007472F"/>
    <w:rsid w:val="000751A2"/>
    <w:rsid w:val="0007535F"/>
    <w:rsid w:val="000753FE"/>
    <w:rsid w:val="0007544E"/>
    <w:rsid w:val="00075AA3"/>
    <w:rsid w:val="00075CB7"/>
    <w:rsid w:val="00075D59"/>
    <w:rsid w:val="00076459"/>
    <w:rsid w:val="00076775"/>
    <w:rsid w:val="00076A4A"/>
    <w:rsid w:val="00077037"/>
    <w:rsid w:val="00077082"/>
    <w:rsid w:val="000772BA"/>
    <w:rsid w:val="0007734F"/>
    <w:rsid w:val="0007765F"/>
    <w:rsid w:val="000779C9"/>
    <w:rsid w:val="00077D7E"/>
    <w:rsid w:val="00080078"/>
    <w:rsid w:val="000809E3"/>
    <w:rsid w:val="00080A13"/>
    <w:rsid w:val="00080BF3"/>
    <w:rsid w:val="00080E52"/>
    <w:rsid w:val="00081385"/>
    <w:rsid w:val="0008169A"/>
    <w:rsid w:val="000826CF"/>
    <w:rsid w:val="0008272B"/>
    <w:rsid w:val="00082DBB"/>
    <w:rsid w:val="00082F78"/>
    <w:rsid w:val="0008348E"/>
    <w:rsid w:val="00083924"/>
    <w:rsid w:val="00083AC1"/>
    <w:rsid w:val="00083B7D"/>
    <w:rsid w:val="00083F3A"/>
    <w:rsid w:val="00083FB5"/>
    <w:rsid w:val="00084027"/>
    <w:rsid w:val="000844AF"/>
    <w:rsid w:val="0008457F"/>
    <w:rsid w:val="000848EE"/>
    <w:rsid w:val="00084DB4"/>
    <w:rsid w:val="00084E6B"/>
    <w:rsid w:val="000850E3"/>
    <w:rsid w:val="00085388"/>
    <w:rsid w:val="000856A7"/>
    <w:rsid w:val="00085DCF"/>
    <w:rsid w:val="00086085"/>
    <w:rsid w:val="000860BB"/>
    <w:rsid w:val="000866EE"/>
    <w:rsid w:val="00086F22"/>
    <w:rsid w:val="00086FDE"/>
    <w:rsid w:val="000873D0"/>
    <w:rsid w:val="000876E5"/>
    <w:rsid w:val="0008774E"/>
    <w:rsid w:val="00087860"/>
    <w:rsid w:val="00087BEA"/>
    <w:rsid w:val="00087DA6"/>
    <w:rsid w:val="00087E50"/>
    <w:rsid w:val="00090795"/>
    <w:rsid w:val="00090B68"/>
    <w:rsid w:val="00090B78"/>
    <w:rsid w:val="00091096"/>
    <w:rsid w:val="00091338"/>
    <w:rsid w:val="000913E7"/>
    <w:rsid w:val="0009149D"/>
    <w:rsid w:val="00091792"/>
    <w:rsid w:val="00091DC8"/>
    <w:rsid w:val="000921F1"/>
    <w:rsid w:val="00092254"/>
    <w:rsid w:val="00092276"/>
    <w:rsid w:val="0009235F"/>
    <w:rsid w:val="000925E5"/>
    <w:rsid w:val="0009266F"/>
    <w:rsid w:val="000926B4"/>
    <w:rsid w:val="00092A53"/>
    <w:rsid w:val="00092B25"/>
    <w:rsid w:val="00092B96"/>
    <w:rsid w:val="00092CFE"/>
    <w:rsid w:val="00092DC9"/>
    <w:rsid w:val="00092F48"/>
    <w:rsid w:val="00093181"/>
    <w:rsid w:val="000937E4"/>
    <w:rsid w:val="0009383F"/>
    <w:rsid w:val="00093E5D"/>
    <w:rsid w:val="0009404D"/>
    <w:rsid w:val="000949C9"/>
    <w:rsid w:val="00094C7D"/>
    <w:rsid w:val="00094D34"/>
    <w:rsid w:val="00095070"/>
    <w:rsid w:val="000953D8"/>
    <w:rsid w:val="00095650"/>
    <w:rsid w:val="00095AA1"/>
    <w:rsid w:val="00095BAC"/>
    <w:rsid w:val="00095C5D"/>
    <w:rsid w:val="00095CB3"/>
    <w:rsid w:val="00095D68"/>
    <w:rsid w:val="000961DF"/>
    <w:rsid w:val="0009655B"/>
    <w:rsid w:val="000966CE"/>
    <w:rsid w:val="000969E3"/>
    <w:rsid w:val="00096D10"/>
    <w:rsid w:val="00096EDC"/>
    <w:rsid w:val="00096F1A"/>
    <w:rsid w:val="00096F7A"/>
    <w:rsid w:val="000975BF"/>
    <w:rsid w:val="000977A4"/>
    <w:rsid w:val="00097F10"/>
    <w:rsid w:val="00097FB3"/>
    <w:rsid w:val="000A0354"/>
    <w:rsid w:val="000A04D8"/>
    <w:rsid w:val="000A04E1"/>
    <w:rsid w:val="000A06F5"/>
    <w:rsid w:val="000A0BE8"/>
    <w:rsid w:val="000A0FDE"/>
    <w:rsid w:val="000A10EE"/>
    <w:rsid w:val="000A1199"/>
    <w:rsid w:val="000A126F"/>
    <w:rsid w:val="000A12C5"/>
    <w:rsid w:val="000A15BA"/>
    <w:rsid w:val="000A1A0F"/>
    <w:rsid w:val="000A2260"/>
    <w:rsid w:val="000A23ED"/>
    <w:rsid w:val="000A273B"/>
    <w:rsid w:val="000A29E2"/>
    <w:rsid w:val="000A2E5E"/>
    <w:rsid w:val="000A2FBB"/>
    <w:rsid w:val="000A38A4"/>
    <w:rsid w:val="000A3973"/>
    <w:rsid w:val="000A3D20"/>
    <w:rsid w:val="000A3D88"/>
    <w:rsid w:val="000A3FEB"/>
    <w:rsid w:val="000A4886"/>
    <w:rsid w:val="000A4948"/>
    <w:rsid w:val="000A4A47"/>
    <w:rsid w:val="000A4A97"/>
    <w:rsid w:val="000A4BAE"/>
    <w:rsid w:val="000A4CE0"/>
    <w:rsid w:val="000A5167"/>
    <w:rsid w:val="000A5281"/>
    <w:rsid w:val="000A52B2"/>
    <w:rsid w:val="000A5385"/>
    <w:rsid w:val="000A62C9"/>
    <w:rsid w:val="000A6348"/>
    <w:rsid w:val="000A6572"/>
    <w:rsid w:val="000A66AC"/>
    <w:rsid w:val="000A67CF"/>
    <w:rsid w:val="000A6837"/>
    <w:rsid w:val="000A701E"/>
    <w:rsid w:val="000A70BE"/>
    <w:rsid w:val="000A750D"/>
    <w:rsid w:val="000A7B84"/>
    <w:rsid w:val="000A7E9E"/>
    <w:rsid w:val="000A7EFC"/>
    <w:rsid w:val="000B0115"/>
    <w:rsid w:val="000B0170"/>
    <w:rsid w:val="000B0454"/>
    <w:rsid w:val="000B09C8"/>
    <w:rsid w:val="000B0A9D"/>
    <w:rsid w:val="000B0AFD"/>
    <w:rsid w:val="000B10E6"/>
    <w:rsid w:val="000B12DA"/>
    <w:rsid w:val="000B176B"/>
    <w:rsid w:val="000B1BA7"/>
    <w:rsid w:val="000B1D08"/>
    <w:rsid w:val="000B284D"/>
    <w:rsid w:val="000B2B9F"/>
    <w:rsid w:val="000B2EB2"/>
    <w:rsid w:val="000B2F76"/>
    <w:rsid w:val="000B3B22"/>
    <w:rsid w:val="000B3C91"/>
    <w:rsid w:val="000B3D31"/>
    <w:rsid w:val="000B3F35"/>
    <w:rsid w:val="000B407A"/>
    <w:rsid w:val="000B4589"/>
    <w:rsid w:val="000B4E47"/>
    <w:rsid w:val="000B5252"/>
    <w:rsid w:val="000B56AE"/>
    <w:rsid w:val="000B5827"/>
    <w:rsid w:val="000B5A85"/>
    <w:rsid w:val="000B5EBA"/>
    <w:rsid w:val="000B5F8F"/>
    <w:rsid w:val="000B63EB"/>
    <w:rsid w:val="000B674A"/>
    <w:rsid w:val="000B697B"/>
    <w:rsid w:val="000B755C"/>
    <w:rsid w:val="000B78C2"/>
    <w:rsid w:val="000B7930"/>
    <w:rsid w:val="000B7965"/>
    <w:rsid w:val="000B79B3"/>
    <w:rsid w:val="000B7C21"/>
    <w:rsid w:val="000B7DDB"/>
    <w:rsid w:val="000C0082"/>
    <w:rsid w:val="000C010D"/>
    <w:rsid w:val="000C01A8"/>
    <w:rsid w:val="000C0600"/>
    <w:rsid w:val="000C0757"/>
    <w:rsid w:val="000C0766"/>
    <w:rsid w:val="000C0B13"/>
    <w:rsid w:val="000C11EC"/>
    <w:rsid w:val="000C156B"/>
    <w:rsid w:val="000C18F8"/>
    <w:rsid w:val="000C1C7E"/>
    <w:rsid w:val="000C1CCE"/>
    <w:rsid w:val="000C206C"/>
    <w:rsid w:val="000C22E7"/>
    <w:rsid w:val="000C2B00"/>
    <w:rsid w:val="000C2D98"/>
    <w:rsid w:val="000C342D"/>
    <w:rsid w:val="000C3495"/>
    <w:rsid w:val="000C3870"/>
    <w:rsid w:val="000C38E7"/>
    <w:rsid w:val="000C3AB4"/>
    <w:rsid w:val="000C3D5C"/>
    <w:rsid w:val="000C426C"/>
    <w:rsid w:val="000C4296"/>
    <w:rsid w:val="000C4324"/>
    <w:rsid w:val="000C4603"/>
    <w:rsid w:val="000C5084"/>
    <w:rsid w:val="000C50E9"/>
    <w:rsid w:val="000C5126"/>
    <w:rsid w:val="000C5593"/>
    <w:rsid w:val="000C5612"/>
    <w:rsid w:val="000C56A3"/>
    <w:rsid w:val="000C577B"/>
    <w:rsid w:val="000C57EB"/>
    <w:rsid w:val="000C5C2A"/>
    <w:rsid w:val="000C5F71"/>
    <w:rsid w:val="000C6318"/>
    <w:rsid w:val="000C647B"/>
    <w:rsid w:val="000C6A48"/>
    <w:rsid w:val="000C6CEA"/>
    <w:rsid w:val="000C6D24"/>
    <w:rsid w:val="000C6D97"/>
    <w:rsid w:val="000C7331"/>
    <w:rsid w:val="000C7684"/>
    <w:rsid w:val="000C7999"/>
    <w:rsid w:val="000C7C69"/>
    <w:rsid w:val="000D0591"/>
    <w:rsid w:val="000D067B"/>
    <w:rsid w:val="000D0722"/>
    <w:rsid w:val="000D08F0"/>
    <w:rsid w:val="000D091B"/>
    <w:rsid w:val="000D0CFB"/>
    <w:rsid w:val="000D14B2"/>
    <w:rsid w:val="000D169A"/>
    <w:rsid w:val="000D1D29"/>
    <w:rsid w:val="000D2373"/>
    <w:rsid w:val="000D2C2C"/>
    <w:rsid w:val="000D30B7"/>
    <w:rsid w:val="000D329F"/>
    <w:rsid w:val="000D380C"/>
    <w:rsid w:val="000D389B"/>
    <w:rsid w:val="000D3900"/>
    <w:rsid w:val="000D3AC3"/>
    <w:rsid w:val="000D3C6E"/>
    <w:rsid w:val="000D3E2E"/>
    <w:rsid w:val="000D3FFE"/>
    <w:rsid w:val="000D4240"/>
    <w:rsid w:val="000D424C"/>
    <w:rsid w:val="000D4810"/>
    <w:rsid w:val="000D49B7"/>
    <w:rsid w:val="000D5534"/>
    <w:rsid w:val="000D5C66"/>
    <w:rsid w:val="000D602C"/>
    <w:rsid w:val="000D609E"/>
    <w:rsid w:val="000D669E"/>
    <w:rsid w:val="000D681E"/>
    <w:rsid w:val="000D69CE"/>
    <w:rsid w:val="000D6A15"/>
    <w:rsid w:val="000D6BFB"/>
    <w:rsid w:val="000D6CA6"/>
    <w:rsid w:val="000D6CFB"/>
    <w:rsid w:val="000D6F9F"/>
    <w:rsid w:val="000D70D6"/>
    <w:rsid w:val="000D75FA"/>
    <w:rsid w:val="000D7828"/>
    <w:rsid w:val="000D793E"/>
    <w:rsid w:val="000D79B6"/>
    <w:rsid w:val="000D7B0F"/>
    <w:rsid w:val="000E05CB"/>
    <w:rsid w:val="000E07BD"/>
    <w:rsid w:val="000E07D2"/>
    <w:rsid w:val="000E1301"/>
    <w:rsid w:val="000E1315"/>
    <w:rsid w:val="000E19EE"/>
    <w:rsid w:val="000E1BFF"/>
    <w:rsid w:val="000E1D69"/>
    <w:rsid w:val="000E2446"/>
    <w:rsid w:val="000E286D"/>
    <w:rsid w:val="000E2D6A"/>
    <w:rsid w:val="000E2F6A"/>
    <w:rsid w:val="000E2F87"/>
    <w:rsid w:val="000E334B"/>
    <w:rsid w:val="000E3650"/>
    <w:rsid w:val="000E3E6B"/>
    <w:rsid w:val="000E44DC"/>
    <w:rsid w:val="000E47E6"/>
    <w:rsid w:val="000E4FC6"/>
    <w:rsid w:val="000E5480"/>
    <w:rsid w:val="000E5481"/>
    <w:rsid w:val="000E54C1"/>
    <w:rsid w:val="000E5904"/>
    <w:rsid w:val="000E59E4"/>
    <w:rsid w:val="000E5D5B"/>
    <w:rsid w:val="000E5D74"/>
    <w:rsid w:val="000E6247"/>
    <w:rsid w:val="000E6280"/>
    <w:rsid w:val="000E64BC"/>
    <w:rsid w:val="000E6500"/>
    <w:rsid w:val="000E6B34"/>
    <w:rsid w:val="000E6B9F"/>
    <w:rsid w:val="000E6E10"/>
    <w:rsid w:val="000E6F32"/>
    <w:rsid w:val="000E7079"/>
    <w:rsid w:val="000E7610"/>
    <w:rsid w:val="000E7760"/>
    <w:rsid w:val="000E78EE"/>
    <w:rsid w:val="000E7BC3"/>
    <w:rsid w:val="000E7C07"/>
    <w:rsid w:val="000E7CF5"/>
    <w:rsid w:val="000F0115"/>
    <w:rsid w:val="000F05B1"/>
    <w:rsid w:val="000F0DE8"/>
    <w:rsid w:val="000F10F5"/>
    <w:rsid w:val="000F12D4"/>
    <w:rsid w:val="000F217B"/>
    <w:rsid w:val="000F2235"/>
    <w:rsid w:val="000F2292"/>
    <w:rsid w:val="000F2646"/>
    <w:rsid w:val="000F29F3"/>
    <w:rsid w:val="000F2D6F"/>
    <w:rsid w:val="000F2E95"/>
    <w:rsid w:val="000F339C"/>
    <w:rsid w:val="000F3485"/>
    <w:rsid w:val="000F37DC"/>
    <w:rsid w:val="000F3E44"/>
    <w:rsid w:val="000F404E"/>
    <w:rsid w:val="000F40B6"/>
    <w:rsid w:val="000F42DE"/>
    <w:rsid w:val="000F4421"/>
    <w:rsid w:val="000F4B1D"/>
    <w:rsid w:val="000F4CFE"/>
    <w:rsid w:val="000F5236"/>
    <w:rsid w:val="000F54F2"/>
    <w:rsid w:val="000F57D8"/>
    <w:rsid w:val="000F5C7E"/>
    <w:rsid w:val="000F5E1B"/>
    <w:rsid w:val="000F62D6"/>
    <w:rsid w:val="000F697A"/>
    <w:rsid w:val="000F6B02"/>
    <w:rsid w:val="000F6DC4"/>
    <w:rsid w:val="000F6EEA"/>
    <w:rsid w:val="000F7202"/>
    <w:rsid w:val="000F734F"/>
    <w:rsid w:val="000F73EC"/>
    <w:rsid w:val="000F7A21"/>
    <w:rsid w:val="00100276"/>
    <w:rsid w:val="00100447"/>
    <w:rsid w:val="00100529"/>
    <w:rsid w:val="00100549"/>
    <w:rsid w:val="001005F3"/>
    <w:rsid w:val="00100655"/>
    <w:rsid w:val="00100767"/>
    <w:rsid w:val="00100949"/>
    <w:rsid w:val="00100D77"/>
    <w:rsid w:val="00101169"/>
    <w:rsid w:val="001012DA"/>
    <w:rsid w:val="001014F6"/>
    <w:rsid w:val="001016A5"/>
    <w:rsid w:val="0010177C"/>
    <w:rsid w:val="001017A2"/>
    <w:rsid w:val="00101C38"/>
    <w:rsid w:val="00101C69"/>
    <w:rsid w:val="00101CFA"/>
    <w:rsid w:val="00101EEF"/>
    <w:rsid w:val="0010213C"/>
    <w:rsid w:val="00102607"/>
    <w:rsid w:val="00102700"/>
    <w:rsid w:val="0010275E"/>
    <w:rsid w:val="00102A03"/>
    <w:rsid w:val="00102E3E"/>
    <w:rsid w:val="0010333F"/>
    <w:rsid w:val="0010335E"/>
    <w:rsid w:val="00103E20"/>
    <w:rsid w:val="0010440F"/>
    <w:rsid w:val="00104940"/>
    <w:rsid w:val="00104BB9"/>
    <w:rsid w:val="001051D0"/>
    <w:rsid w:val="001055DF"/>
    <w:rsid w:val="0010595A"/>
    <w:rsid w:val="00105D66"/>
    <w:rsid w:val="00105DF5"/>
    <w:rsid w:val="00105E53"/>
    <w:rsid w:val="001061A4"/>
    <w:rsid w:val="00106476"/>
    <w:rsid w:val="00106B04"/>
    <w:rsid w:val="001070EA"/>
    <w:rsid w:val="00107232"/>
    <w:rsid w:val="001072B5"/>
    <w:rsid w:val="0010751B"/>
    <w:rsid w:val="00107CEB"/>
    <w:rsid w:val="00107EFE"/>
    <w:rsid w:val="0011003A"/>
    <w:rsid w:val="00110B97"/>
    <w:rsid w:val="00111380"/>
    <w:rsid w:val="001116E3"/>
    <w:rsid w:val="00111B5F"/>
    <w:rsid w:val="00111DDA"/>
    <w:rsid w:val="001120F2"/>
    <w:rsid w:val="00112590"/>
    <w:rsid w:val="00112979"/>
    <w:rsid w:val="00112C24"/>
    <w:rsid w:val="001131F9"/>
    <w:rsid w:val="00113274"/>
    <w:rsid w:val="001132DE"/>
    <w:rsid w:val="001137FD"/>
    <w:rsid w:val="00113ABA"/>
    <w:rsid w:val="00113B6A"/>
    <w:rsid w:val="00113E2C"/>
    <w:rsid w:val="00113FE2"/>
    <w:rsid w:val="0011459B"/>
    <w:rsid w:val="00114853"/>
    <w:rsid w:val="00114950"/>
    <w:rsid w:val="001149DC"/>
    <w:rsid w:val="00114FA8"/>
    <w:rsid w:val="0011500D"/>
    <w:rsid w:val="001150D4"/>
    <w:rsid w:val="00115264"/>
    <w:rsid w:val="0011539C"/>
    <w:rsid w:val="0011594A"/>
    <w:rsid w:val="00115A2A"/>
    <w:rsid w:val="00116118"/>
    <w:rsid w:val="0011624B"/>
    <w:rsid w:val="00116B25"/>
    <w:rsid w:val="00117596"/>
    <w:rsid w:val="0011791A"/>
    <w:rsid w:val="00117986"/>
    <w:rsid w:val="001200B8"/>
    <w:rsid w:val="001201D3"/>
    <w:rsid w:val="001202D6"/>
    <w:rsid w:val="001205E0"/>
    <w:rsid w:val="00120B78"/>
    <w:rsid w:val="00120C4C"/>
    <w:rsid w:val="00120C66"/>
    <w:rsid w:val="00120CFF"/>
    <w:rsid w:val="00121110"/>
    <w:rsid w:val="00121161"/>
    <w:rsid w:val="00121179"/>
    <w:rsid w:val="0012140C"/>
    <w:rsid w:val="00121AA6"/>
    <w:rsid w:val="00121ACC"/>
    <w:rsid w:val="00121ADB"/>
    <w:rsid w:val="00121C95"/>
    <w:rsid w:val="00121EB7"/>
    <w:rsid w:val="001220FF"/>
    <w:rsid w:val="00122108"/>
    <w:rsid w:val="001221A1"/>
    <w:rsid w:val="0012237C"/>
    <w:rsid w:val="00122549"/>
    <w:rsid w:val="001228C1"/>
    <w:rsid w:val="00122C0A"/>
    <w:rsid w:val="00122C59"/>
    <w:rsid w:val="00122EF8"/>
    <w:rsid w:val="001231A9"/>
    <w:rsid w:val="0012324C"/>
    <w:rsid w:val="00123387"/>
    <w:rsid w:val="001233F2"/>
    <w:rsid w:val="00123425"/>
    <w:rsid w:val="0012357E"/>
    <w:rsid w:val="001235FC"/>
    <w:rsid w:val="00123629"/>
    <w:rsid w:val="0012376D"/>
    <w:rsid w:val="00123B55"/>
    <w:rsid w:val="00123D20"/>
    <w:rsid w:val="00123ED4"/>
    <w:rsid w:val="001241DC"/>
    <w:rsid w:val="001249A9"/>
    <w:rsid w:val="00124A3D"/>
    <w:rsid w:val="00124B88"/>
    <w:rsid w:val="00124F98"/>
    <w:rsid w:val="001255DD"/>
    <w:rsid w:val="001257A2"/>
    <w:rsid w:val="0012595E"/>
    <w:rsid w:val="0012630F"/>
    <w:rsid w:val="001266F5"/>
    <w:rsid w:val="00126AF8"/>
    <w:rsid w:val="001272CA"/>
    <w:rsid w:val="0012752C"/>
    <w:rsid w:val="001275DD"/>
    <w:rsid w:val="00127783"/>
    <w:rsid w:val="00127DFF"/>
    <w:rsid w:val="00131240"/>
    <w:rsid w:val="00131485"/>
    <w:rsid w:val="00131503"/>
    <w:rsid w:val="00131576"/>
    <w:rsid w:val="00131C56"/>
    <w:rsid w:val="00131F07"/>
    <w:rsid w:val="00132178"/>
    <w:rsid w:val="001322C8"/>
    <w:rsid w:val="0013234C"/>
    <w:rsid w:val="00132576"/>
    <w:rsid w:val="00132628"/>
    <w:rsid w:val="00132A2B"/>
    <w:rsid w:val="00132A9A"/>
    <w:rsid w:val="00132F6A"/>
    <w:rsid w:val="00133454"/>
    <w:rsid w:val="00133B5F"/>
    <w:rsid w:val="00133C6C"/>
    <w:rsid w:val="00133C70"/>
    <w:rsid w:val="00134050"/>
    <w:rsid w:val="0013459E"/>
    <w:rsid w:val="0013497C"/>
    <w:rsid w:val="00134DFF"/>
    <w:rsid w:val="00135665"/>
    <w:rsid w:val="00135C07"/>
    <w:rsid w:val="00135D5B"/>
    <w:rsid w:val="00136080"/>
    <w:rsid w:val="00136649"/>
    <w:rsid w:val="0013678B"/>
    <w:rsid w:val="00136C64"/>
    <w:rsid w:val="0013724D"/>
    <w:rsid w:val="0013758B"/>
    <w:rsid w:val="00137BAE"/>
    <w:rsid w:val="00137C68"/>
    <w:rsid w:val="0014031A"/>
    <w:rsid w:val="001403D9"/>
    <w:rsid w:val="0014042B"/>
    <w:rsid w:val="0014066B"/>
    <w:rsid w:val="00140686"/>
    <w:rsid w:val="00140843"/>
    <w:rsid w:val="00140AE8"/>
    <w:rsid w:val="00140BE5"/>
    <w:rsid w:val="00141167"/>
    <w:rsid w:val="00141237"/>
    <w:rsid w:val="0014133A"/>
    <w:rsid w:val="00141448"/>
    <w:rsid w:val="001414E9"/>
    <w:rsid w:val="001416EA"/>
    <w:rsid w:val="00141896"/>
    <w:rsid w:val="00141AB2"/>
    <w:rsid w:val="00141E2B"/>
    <w:rsid w:val="00142675"/>
    <w:rsid w:val="00142837"/>
    <w:rsid w:val="00142B16"/>
    <w:rsid w:val="00142CC6"/>
    <w:rsid w:val="00142D18"/>
    <w:rsid w:val="00143160"/>
    <w:rsid w:val="001431F4"/>
    <w:rsid w:val="0014338C"/>
    <w:rsid w:val="0014357E"/>
    <w:rsid w:val="00143C19"/>
    <w:rsid w:val="00144335"/>
    <w:rsid w:val="00144CDF"/>
    <w:rsid w:val="00144F94"/>
    <w:rsid w:val="0014520D"/>
    <w:rsid w:val="0014560E"/>
    <w:rsid w:val="00145A6A"/>
    <w:rsid w:val="00145AD0"/>
    <w:rsid w:val="00145EEC"/>
    <w:rsid w:val="001467B6"/>
    <w:rsid w:val="00147059"/>
    <w:rsid w:val="0014754D"/>
    <w:rsid w:val="001475F1"/>
    <w:rsid w:val="00147B9F"/>
    <w:rsid w:val="0015006E"/>
    <w:rsid w:val="00150254"/>
    <w:rsid w:val="00150930"/>
    <w:rsid w:val="00150D5C"/>
    <w:rsid w:val="00150E0F"/>
    <w:rsid w:val="00151156"/>
    <w:rsid w:val="00151340"/>
    <w:rsid w:val="00151384"/>
    <w:rsid w:val="00151456"/>
    <w:rsid w:val="00151554"/>
    <w:rsid w:val="00151977"/>
    <w:rsid w:val="00151982"/>
    <w:rsid w:val="00151D93"/>
    <w:rsid w:val="0015205A"/>
    <w:rsid w:val="00152357"/>
    <w:rsid w:val="001525AE"/>
    <w:rsid w:val="00152A88"/>
    <w:rsid w:val="00152B83"/>
    <w:rsid w:val="00152E7B"/>
    <w:rsid w:val="00152F30"/>
    <w:rsid w:val="001530DF"/>
    <w:rsid w:val="001530EE"/>
    <w:rsid w:val="00153251"/>
    <w:rsid w:val="0015352F"/>
    <w:rsid w:val="001535D0"/>
    <w:rsid w:val="001536FA"/>
    <w:rsid w:val="001537A7"/>
    <w:rsid w:val="001537BB"/>
    <w:rsid w:val="001537F5"/>
    <w:rsid w:val="0015382B"/>
    <w:rsid w:val="00153867"/>
    <w:rsid w:val="00153A27"/>
    <w:rsid w:val="00153AA4"/>
    <w:rsid w:val="00153CC7"/>
    <w:rsid w:val="00154095"/>
    <w:rsid w:val="00154561"/>
    <w:rsid w:val="001545B8"/>
    <w:rsid w:val="00154CBC"/>
    <w:rsid w:val="00155120"/>
    <w:rsid w:val="00155471"/>
    <w:rsid w:val="001556AE"/>
    <w:rsid w:val="00155827"/>
    <w:rsid w:val="00155BBE"/>
    <w:rsid w:val="00155CB2"/>
    <w:rsid w:val="00155D22"/>
    <w:rsid w:val="00155F6F"/>
    <w:rsid w:val="00156247"/>
    <w:rsid w:val="00156636"/>
    <w:rsid w:val="0015667D"/>
    <w:rsid w:val="00156726"/>
    <w:rsid w:val="00156A38"/>
    <w:rsid w:val="00156A94"/>
    <w:rsid w:val="00156AFA"/>
    <w:rsid w:val="00156D0A"/>
    <w:rsid w:val="00157ABC"/>
    <w:rsid w:val="00157C1B"/>
    <w:rsid w:val="00157C43"/>
    <w:rsid w:val="001604D4"/>
    <w:rsid w:val="0016073F"/>
    <w:rsid w:val="001609BE"/>
    <w:rsid w:val="00160BC7"/>
    <w:rsid w:val="00160D7B"/>
    <w:rsid w:val="00161065"/>
    <w:rsid w:val="00161069"/>
    <w:rsid w:val="001610FE"/>
    <w:rsid w:val="00161247"/>
    <w:rsid w:val="001615A5"/>
    <w:rsid w:val="0016162F"/>
    <w:rsid w:val="00161AE7"/>
    <w:rsid w:val="00162543"/>
    <w:rsid w:val="001626B3"/>
    <w:rsid w:val="00162AEE"/>
    <w:rsid w:val="00162B31"/>
    <w:rsid w:val="001631B2"/>
    <w:rsid w:val="001631DF"/>
    <w:rsid w:val="0016334F"/>
    <w:rsid w:val="00163C35"/>
    <w:rsid w:val="00164B44"/>
    <w:rsid w:val="00164C0F"/>
    <w:rsid w:val="001650CB"/>
    <w:rsid w:val="00165119"/>
    <w:rsid w:val="0016517C"/>
    <w:rsid w:val="00165C19"/>
    <w:rsid w:val="00165FF7"/>
    <w:rsid w:val="0016671A"/>
    <w:rsid w:val="0016677C"/>
    <w:rsid w:val="00166B86"/>
    <w:rsid w:val="00166C27"/>
    <w:rsid w:val="00166ECE"/>
    <w:rsid w:val="00167101"/>
    <w:rsid w:val="001676C5"/>
    <w:rsid w:val="00167B8B"/>
    <w:rsid w:val="00167CC5"/>
    <w:rsid w:val="00170060"/>
    <w:rsid w:val="00170556"/>
    <w:rsid w:val="001705B2"/>
    <w:rsid w:val="0017088C"/>
    <w:rsid w:val="00170A14"/>
    <w:rsid w:val="00170EEF"/>
    <w:rsid w:val="001710A2"/>
    <w:rsid w:val="001710D5"/>
    <w:rsid w:val="0017153D"/>
    <w:rsid w:val="0017175D"/>
    <w:rsid w:val="00171C51"/>
    <w:rsid w:val="00171D3D"/>
    <w:rsid w:val="001723A8"/>
    <w:rsid w:val="0017266E"/>
    <w:rsid w:val="0017270C"/>
    <w:rsid w:val="00172967"/>
    <w:rsid w:val="00172B07"/>
    <w:rsid w:val="00172C39"/>
    <w:rsid w:val="0017307E"/>
    <w:rsid w:val="001730E0"/>
    <w:rsid w:val="00173187"/>
    <w:rsid w:val="0017341A"/>
    <w:rsid w:val="001737EE"/>
    <w:rsid w:val="0017387F"/>
    <w:rsid w:val="00173A2B"/>
    <w:rsid w:val="00173A54"/>
    <w:rsid w:val="00173BDA"/>
    <w:rsid w:val="001740D6"/>
    <w:rsid w:val="00174155"/>
    <w:rsid w:val="001743E6"/>
    <w:rsid w:val="00174514"/>
    <w:rsid w:val="00174A86"/>
    <w:rsid w:val="00174AE3"/>
    <w:rsid w:val="00174B81"/>
    <w:rsid w:val="00174BD8"/>
    <w:rsid w:val="00174E42"/>
    <w:rsid w:val="00174F0E"/>
    <w:rsid w:val="0017525B"/>
    <w:rsid w:val="0017553F"/>
    <w:rsid w:val="00175BAD"/>
    <w:rsid w:val="00175FCB"/>
    <w:rsid w:val="0017630B"/>
    <w:rsid w:val="0017641A"/>
    <w:rsid w:val="00176587"/>
    <w:rsid w:val="00176725"/>
    <w:rsid w:val="00176B14"/>
    <w:rsid w:val="00176C67"/>
    <w:rsid w:val="00177110"/>
    <w:rsid w:val="00177419"/>
    <w:rsid w:val="00177470"/>
    <w:rsid w:val="001774BD"/>
    <w:rsid w:val="00177689"/>
    <w:rsid w:val="00177E10"/>
    <w:rsid w:val="00177E5C"/>
    <w:rsid w:val="001803E2"/>
    <w:rsid w:val="001809AE"/>
    <w:rsid w:val="001809EC"/>
    <w:rsid w:val="00180D64"/>
    <w:rsid w:val="00180DD4"/>
    <w:rsid w:val="00180F86"/>
    <w:rsid w:val="001816DB"/>
    <w:rsid w:val="00181773"/>
    <w:rsid w:val="00181A5E"/>
    <w:rsid w:val="00181ECD"/>
    <w:rsid w:val="0018209A"/>
    <w:rsid w:val="00182103"/>
    <w:rsid w:val="0018258A"/>
    <w:rsid w:val="00182B9B"/>
    <w:rsid w:val="00182C38"/>
    <w:rsid w:val="00182D07"/>
    <w:rsid w:val="00183575"/>
    <w:rsid w:val="00183964"/>
    <w:rsid w:val="00183B36"/>
    <w:rsid w:val="00183B56"/>
    <w:rsid w:val="00184325"/>
    <w:rsid w:val="00184401"/>
    <w:rsid w:val="00184A1D"/>
    <w:rsid w:val="00184ABE"/>
    <w:rsid w:val="00184EA4"/>
    <w:rsid w:val="00185119"/>
    <w:rsid w:val="00185D0C"/>
    <w:rsid w:val="00185DBB"/>
    <w:rsid w:val="0018661D"/>
    <w:rsid w:val="0018665E"/>
    <w:rsid w:val="001866C8"/>
    <w:rsid w:val="00186DB6"/>
    <w:rsid w:val="00186E73"/>
    <w:rsid w:val="00187BDC"/>
    <w:rsid w:val="00187C2A"/>
    <w:rsid w:val="001902A0"/>
    <w:rsid w:val="00190420"/>
    <w:rsid w:val="00190939"/>
    <w:rsid w:val="00190AFA"/>
    <w:rsid w:val="00190BD2"/>
    <w:rsid w:val="00190BEC"/>
    <w:rsid w:val="00190D04"/>
    <w:rsid w:val="001911CF"/>
    <w:rsid w:val="001912FC"/>
    <w:rsid w:val="00191509"/>
    <w:rsid w:val="00191560"/>
    <w:rsid w:val="00191728"/>
    <w:rsid w:val="001917A7"/>
    <w:rsid w:val="00191920"/>
    <w:rsid w:val="00191967"/>
    <w:rsid w:val="00191AFE"/>
    <w:rsid w:val="00191BC6"/>
    <w:rsid w:val="00191CFE"/>
    <w:rsid w:val="00191FE7"/>
    <w:rsid w:val="00192A95"/>
    <w:rsid w:val="00192E38"/>
    <w:rsid w:val="00192F17"/>
    <w:rsid w:val="0019303F"/>
    <w:rsid w:val="00193128"/>
    <w:rsid w:val="001931A6"/>
    <w:rsid w:val="001931D9"/>
    <w:rsid w:val="00193544"/>
    <w:rsid w:val="00193561"/>
    <w:rsid w:val="001938AF"/>
    <w:rsid w:val="00193E97"/>
    <w:rsid w:val="001940AE"/>
    <w:rsid w:val="001941CC"/>
    <w:rsid w:val="00194509"/>
    <w:rsid w:val="001947FE"/>
    <w:rsid w:val="0019480C"/>
    <w:rsid w:val="00194862"/>
    <w:rsid w:val="00194BD4"/>
    <w:rsid w:val="00194D2F"/>
    <w:rsid w:val="0019510C"/>
    <w:rsid w:val="001952FA"/>
    <w:rsid w:val="00195C16"/>
    <w:rsid w:val="00195D83"/>
    <w:rsid w:val="001964E3"/>
    <w:rsid w:val="001970AB"/>
    <w:rsid w:val="001971FE"/>
    <w:rsid w:val="001973DB"/>
    <w:rsid w:val="00197566"/>
    <w:rsid w:val="00197E75"/>
    <w:rsid w:val="001A009A"/>
    <w:rsid w:val="001A044F"/>
    <w:rsid w:val="001A049C"/>
    <w:rsid w:val="001A05C6"/>
    <w:rsid w:val="001A07EC"/>
    <w:rsid w:val="001A0AAD"/>
    <w:rsid w:val="001A0BF6"/>
    <w:rsid w:val="001A0E77"/>
    <w:rsid w:val="001A1374"/>
    <w:rsid w:val="001A151D"/>
    <w:rsid w:val="001A1559"/>
    <w:rsid w:val="001A16B3"/>
    <w:rsid w:val="001A19F4"/>
    <w:rsid w:val="001A1C71"/>
    <w:rsid w:val="001A1D10"/>
    <w:rsid w:val="001A21EF"/>
    <w:rsid w:val="001A234F"/>
    <w:rsid w:val="001A27D6"/>
    <w:rsid w:val="001A2901"/>
    <w:rsid w:val="001A2E7A"/>
    <w:rsid w:val="001A3140"/>
    <w:rsid w:val="001A3179"/>
    <w:rsid w:val="001A3E89"/>
    <w:rsid w:val="001A459B"/>
    <w:rsid w:val="001A49C2"/>
    <w:rsid w:val="001A4C83"/>
    <w:rsid w:val="001A4FD5"/>
    <w:rsid w:val="001A505C"/>
    <w:rsid w:val="001A535D"/>
    <w:rsid w:val="001A53C8"/>
    <w:rsid w:val="001A5555"/>
    <w:rsid w:val="001A5A46"/>
    <w:rsid w:val="001A5EAA"/>
    <w:rsid w:val="001A64CC"/>
    <w:rsid w:val="001A6891"/>
    <w:rsid w:val="001A6986"/>
    <w:rsid w:val="001A6C60"/>
    <w:rsid w:val="001A72BE"/>
    <w:rsid w:val="001A7C4F"/>
    <w:rsid w:val="001A7E50"/>
    <w:rsid w:val="001B0664"/>
    <w:rsid w:val="001B08E3"/>
    <w:rsid w:val="001B0B0C"/>
    <w:rsid w:val="001B0C97"/>
    <w:rsid w:val="001B0CCD"/>
    <w:rsid w:val="001B0F97"/>
    <w:rsid w:val="001B1422"/>
    <w:rsid w:val="001B15EC"/>
    <w:rsid w:val="001B1819"/>
    <w:rsid w:val="001B1D2F"/>
    <w:rsid w:val="001B1F53"/>
    <w:rsid w:val="001B2013"/>
    <w:rsid w:val="001B2258"/>
    <w:rsid w:val="001B2AED"/>
    <w:rsid w:val="001B2C68"/>
    <w:rsid w:val="001B2CBA"/>
    <w:rsid w:val="001B3283"/>
    <w:rsid w:val="001B3ADD"/>
    <w:rsid w:val="001B3C0E"/>
    <w:rsid w:val="001B40D7"/>
    <w:rsid w:val="001B4207"/>
    <w:rsid w:val="001B42C7"/>
    <w:rsid w:val="001B4885"/>
    <w:rsid w:val="001B48FE"/>
    <w:rsid w:val="001B4B71"/>
    <w:rsid w:val="001B4DFE"/>
    <w:rsid w:val="001B51FE"/>
    <w:rsid w:val="001B52E9"/>
    <w:rsid w:val="001B5600"/>
    <w:rsid w:val="001B5B84"/>
    <w:rsid w:val="001B61AF"/>
    <w:rsid w:val="001B61D3"/>
    <w:rsid w:val="001B63FE"/>
    <w:rsid w:val="001B67CD"/>
    <w:rsid w:val="001B6BE9"/>
    <w:rsid w:val="001B6C56"/>
    <w:rsid w:val="001B6D4B"/>
    <w:rsid w:val="001B6D63"/>
    <w:rsid w:val="001B7165"/>
    <w:rsid w:val="001B7883"/>
    <w:rsid w:val="001B7A70"/>
    <w:rsid w:val="001C011A"/>
    <w:rsid w:val="001C0682"/>
    <w:rsid w:val="001C07B3"/>
    <w:rsid w:val="001C07FE"/>
    <w:rsid w:val="001C08ED"/>
    <w:rsid w:val="001C0D36"/>
    <w:rsid w:val="001C0F6A"/>
    <w:rsid w:val="001C11DB"/>
    <w:rsid w:val="001C1207"/>
    <w:rsid w:val="001C13FD"/>
    <w:rsid w:val="001C156E"/>
    <w:rsid w:val="001C1693"/>
    <w:rsid w:val="001C17DF"/>
    <w:rsid w:val="001C1A57"/>
    <w:rsid w:val="001C2F8E"/>
    <w:rsid w:val="001C317F"/>
    <w:rsid w:val="001C322D"/>
    <w:rsid w:val="001C3305"/>
    <w:rsid w:val="001C3461"/>
    <w:rsid w:val="001C3555"/>
    <w:rsid w:val="001C3823"/>
    <w:rsid w:val="001C39A0"/>
    <w:rsid w:val="001C40A4"/>
    <w:rsid w:val="001C4394"/>
    <w:rsid w:val="001C43BE"/>
    <w:rsid w:val="001C46B0"/>
    <w:rsid w:val="001C498F"/>
    <w:rsid w:val="001C4FB3"/>
    <w:rsid w:val="001C50C2"/>
    <w:rsid w:val="001C59D2"/>
    <w:rsid w:val="001C5CF6"/>
    <w:rsid w:val="001C6432"/>
    <w:rsid w:val="001C651F"/>
    <w:rsid w:val="001C6B1F"/>
    <w:rsid w:val="001C6BDD"/>
    <w:rsid w:val="001C6D3A"/>
    <w:rsid w:val="001C6DF7"/>
    <w:rsid w:val="001C6E3F"/>
    <w:rsid w:val="001C6E63"/>
    <w:rsid w:val="001C6EC9"/>
    <w:rsid w:val="001C6FF1"/>
    <w:rsid w:val="001C73EE"/>
    <w:rsid w:val="001C756B"/>
    <w:rsid w:val="001C7911"/>
    <w:rsid w:val="001D005F"/>
    <w:rsid w:val="001D0217"/>
    <w:rsid w:val="001D0A65"/>
    <w:rsid w:val="001D105E"/>
    <w:rsid w:val="001D107A"/>
    <w:rsid w:val="001D11AD"/>
    <w:rsid w:val="001D1301"/>
    <w:rsid w:val="001D18C3"/>
    <w:rsid w:val="001D19BF"/>
    <w:rsid w:val="001D1C33"/>
    <w:rsid w:val="001D1E93"/>
    <w:rsid w:val="001D2967"/>
    <w:rsid w:val="001D2AE3"/>
    <w:rsid w:val="001D2CA9"/>
    <w:rsid w:val="001D2CDB"/>
    <w:rsid w:val="001D38DE"/>
    <w:rsid w:val="001D3AB2"/>
    <w:rsid w:val="001D3AF6"/>
    <w:rsid w:val="001D3D7A"/>
    <w:rsid w:val="001D3FE8"/>
    <w:rsid w:val="001D400E"/>
    <w:rsid w:val="001D443D"/>
    <w:rsid w:val="001D485D"/>
    <w:rsid w:val="001D48EE"/>
    <w:rsid w:val="001D520F"/>
    <w:rsid w:val="001D555B"/>
    <w:rsid w:val="001D55AF"/>
    <w:rsid w:val="001D5657"/>
    <w:rsid w:val="001D569F"/>
    <w:rsid w:val="001D57AF"/>
    <w:rsid w:val="001D5829"/>
    <w:rsid w:val="001D5D44"/>
    <w:rsid w:val="001D5D91"/>
    <w:rsid w:val="001D600E"/>
    <w:rsid w:val="001D6217"/>
    <w:rsid w:val="001D62E7"/>
    <w:rsid w:val="001D6377"/>
    <w:rsid w:val="001D6391"/>
    <w:rsid w:val="001D65B4"/>
    <w:rsid w:val="001D6DF1"/>
    <w:rsid w:val="001D706D"/>
    <w:rsid w:val="001D72C9"/>
    <w:rsid w:val="001D7BF3"/>
    <w:rsid w:val="001D7C3B"/>
    <w:rsid w:val="001E0047"/>
    <w:rsid w:val="001E0347"/>
    <w:rsid w:val="001E0858"/>
    <w:rsid w:val="001E0C47"/>
    <w:rsid w:val="001E0FBA"/>
    <w:rsid w:val="001E1C12"/>
    <w:rsid w:val="001E22C4"/>
    <w:rsid w:val="001E26D9"/>
    <w:rsid w:val="001E283B"/>
    <w:rsid w:val="001E2C60"/>
    <w:rsid w:val="001E2D42"/>
    <w:rsid w:val="001E2DC7"/>
    <w:rsid w:val="001E2E93"/>
    <w:rsid w:val="001E30A0"/>
    <w:rsid w:val="001E365B"/>
    <w:rsid w:val="001E373B"/>
    <w:rsid w:val="001E391F"/>
    <w:rsid w:val="001E396B"/>
    <w:rsid w:val="001E3E16"/>
    <w:rsid w:val="001E3F01"/>
    <w:rsid w:val="001E3F16"/>
    <w:rsid w:val="001E4018"/>
    <w:rsid w:val="001E4352"/>
    <w:rsid w:val="001E4417"/>
    <w:rsid w:val="001E467F"/>
    <w:rsid w:val="001E4C3C"/>
    <w:rsid w:val="001E4DCC"/>
    <w:rsid w:val="001E5468"/>
    <w:rsid w:val="001E56DE"/>
    <w:rsid w:val="001E59CE"/>
    <w:rsid w:val="001E5A4B"/>
    <w:rsid w:val="001E5C1B"/>
    <w:rsid w:val="001E5CC3"/>
    <w:rsid w:val="001E5DD6"/>
    <w:rsid w:val="001E6195"/>
    <w:rsid w:val="001E63D9"/>
    <w:rsid w:val="001E66F8"/>
    <w:rsid w:val="001E6766"/>
    <w:rsid w:val="001E6B3C"/>
    <w:rsid w:val="001E70A1"/>
    <w:rsid w:val="001E7158"/>
    <w:rsid w:val="001E71B2"/>
    <w:rsid w:val="001E721D"/>
    <w:rsid w:val="001E7236"/>
    <w:rsid w:val="001E72A0"/>
    <w:rsid w:val="001E72D4"/>
    <w:rsid w:val="001E7428"/>
    <w:rsid w:val="001E743E"/>
    <w:rsid w:val="001E75C5"/>
    <w:rsid w:val="001E763B"/>
    <w:rsid w:val="001E7716"/>
    <w:rsid w:val="001E776B"/>
    <w:rsid w:val="001E7843"/>
    <w:rsid w:val="001E7BDC"/>
    <w:rsid w:val="001E7E71"/>
    <w:rsid w:val="001F02DC"/>
    <w:rsid w:val="001F08A5"/>
    <w:rsid w:val="001F0B1B"/>
    <w:rsid w:val="001F0C1C"/>
    <w:rsid w:val="001F0C54"/>
    <w:rsid w:val="001F1013"/>
    <w:rsid w:val="001F1565"/>
    <w:rsid w:val="001F1739"/>
    <w:rsid w:val="001F1810"/>
    <w:rsid w:val="001F1DB9"/>
    <w:rsid w:val="001F1E91"/>
    <w:rsid w:val="001F2000"/>
    <w:rsid w:val="001F208B"/>
    <w:rsid w:val="001F21D1"/>
    <w:rsid w:val="001F24A4"/>
    <w:rsid w:val="001F2A3E"/>
    <w:rsid w:val="001F2D31"/>
    <w:rsid w:val="001F303C"/>
    <w:rsid w:val="001F31BB"/>
    <w:rsid w:val="001F33D5"/>
    <w:rsid w:val="001F3863"/>
    <w:rsid w:val="001F3AD5"/>
    <w:rsid w:val="001F3C29"/>
    <w:rsid w:val="001F3D46"/>
    <w:rsid w:val="001F4C96"/>
    <w:rsid w:val="001F4F33"/>
    <w:rsid w:val="001F530A"/>
    <w:rsid w:val="001F54B5"/>
    <w:rsid w:val="001F561F"/>
    <w:rsid w:val="001F56CA"/>
    <w:rsid w:val="001F5982"/>
    <w:rsid w:val="001F59E4"/>
    <w:rsid w:val="001F6038"/>
    <w:rsid w:val="001F6288"/>
    <w:rsid w:val="001F65E7"/>
    <w:rsid w:val="001F6746"/>
    <w:rsid w:val="001F67CE"/>
    <w:rsid w:val="001F7017"/>
    <w:rsid w:val="001F716C"/>
    <w:rsid w:val="001F7479"/>
    <w:rsid w:val="001F7C24"/>
    <w:rsid w:val="00200346"/>
    <w:rsid w:val="00200425"/>
    <w:rsid w:val="002007C8"/>
    <w:rsid w:val="00200A93"/>
    <w:rsid w:val="00200B6D"/>
    <w:rsid w:val="00200CB8"/>
    <w:rsid w:val="00201A45"/>
    <w:rsid w:val="00201E35"/>
    <w:rsid w:val="00202406"/>
    <w:rsid w:val="002027D9"/>
    <w:rsid w:val="00202A1E"/>
    <w:rsid w:val="00202ACF"/>
    <w:rsid w:val="00202B10"/>
    <w:rsid w:val="00202EA9"/>
    <w:rsid w:val="00202F37"/>
    <w:rsid w:val="002032E5"/>
    <w:rsid w:val="00203597"/>
    <w:rsid w:val="00203682"/>
    <w:rsid w:val="002036D0"/>
    <w:rsid w:val="00203702"/>
    <w:rsid w:val="00203E11"/>
    <w:rsid w:val="00203F78"/>
    <w:rsid w:val="002041DB"/>
    <w:rsid w:val="002042B3"/>
    <w:rsid w:val="00204383"/>
    <w:rsid w:val="002044C1"/>
    <w:rsid w:val="002049B2"/>
    <w:rsid w:val="00204BFB"/>
    <w:rsid w:val="00204E17"/>
    <w:rsid w:val="002054CB"/>
    <w:rsid w:val="0020561E"/>
    <w:rsid w:val="00205693"/>
    <w:rsid w:val="0020577D"/>
    <w:rsid w:val="00205F89"/>
    <w:rsid w:val="0020636F"/>
    <w:rsid w:val="00206455"/>
    <w:rsid w:val="002064C3"/>
    <w:rsid w:val="0020651B"/>
    <w:rsid w:val="00206945"/>
    <w:rsid w:val="00206A59"/>
    <w:rsid w:val="00207055"/>
    <w:rsid w:val="0020736F"/>
    <w:rsid w:val="00207521"/>
    <w:rsid w:val="00207666"/>
    <w:rsid w:val="0020776C"/>
    <w:rsid w:val="002077BC"/>
    <w:rsid w:val="002077C2"/>
    <w:rsid w:val="0021028D"/>
    <w:rsid w:val="002104CB"/>
    <w:rsid w:val="00210588"/>
    <w:rsid w:val="002106D5"/>
    <w:rsid w:val="00210769"/>
    <w:rsid w:val="00210B19"/>
    <w:rsid w:val="00210DD3"/>
    <w:rsid w:val="00210FF2"/>
    <w:rsid w:val="00211013"/>
    <w:rsid w:val="002111CA"/>
    <w:rsid w:val="0021132D"/>
    <w:rsid w:val="0021145C"/>
    <w:rsid w:val="002115C7"/>
    <w:rsid w:val="002117D4"/>
    <w:rsid w:val="002117F0"/>
    <w:rsid w:val="002118B0"/>
    <w:rsid w:val="00211B7A"/>
    <w:rsid w:val="00211DCA"/>
    <w:rsid w:val="00211DDA"/>
    <w:rsid w:val="00212116"/>
    <w:rsid w:val="002121D2"/>
    <w:rsid w:val="00212476"/>
    <w:rsid w:val="00212601"/>
    <w:rsid w:val="002126A9"/>
    <w:rsid w:val="00212C6F"/>
    <w:rsid w:val="00212FC4"/>
    <w:rsid w:val="0021365D"/>
    <w:rsid w:val="00214097"/>
    <w:rsid w:val="002148F4"/>
    <w:rsid w:val="00214959"/>
    <w:rsid w:val="00214B12"/>
    <w:rsid w:val="00215030"/>
    <w:rsid w:val="0021522A"/>
    <w:rsid w:val="0021580D"/>
    <w:rsid w:val="002158B7"/>
    <w:rsid w:val="00215931"/>
    <w:rsid w:val="00215AC3"/>
    <w:rsid w:val="00215B6B"/>
    <w:rsid w:val="00215B87"/>
    <w:rsid w:val="00215DFC"/>
    <w:rsid w:val="00216287"/>
    <w:rsid w:val="002168B5"/>
    <w:rsid w:val="00216903"/>
    <w:rsid w:val="002173BD"/>
    <w:rsid w:val="0021744C"/>
    <w:rsid w:val="002176A9"/>
    <w:rsid w:val="00217D9D"/>
    <w:rsid w:val="002200A8"/>
    <w:rsid w:val="002201E6"/>
    <w:rsid w:val="0022026D"/>
    <w:rsid w:val="002202D4"/>
    <w:rsid w:val="00220341"/>
    <w:rsid w:val="00220380"/>
    <w:rsid w:val="00220B56"/>
    <w:rsid w:val="00220D08"/>
    <w:rsid w:val="00220D0D"/>
    <w:rsid w:val="00220D4C"/>
    <w:rsid w:val="00220E09"/>
    <w:rsid w:val="00220E20"/>
    <w:rsid w:val="002211C7"/>
    <w:rsid w:val="002216F3"/>
    <w:rsid w:val="00221C70"/>
    <w:rsid w:val="00222046"/>
    <w:rsid w:val="00223208"/>
    <w:rsid w:val="00223221"/>
    <w:rsid w:val="002232A3"/>
    <w:rsid w:val="0022364B"/>
    <w:rsid w:val="00223829"/>
    <w:rsid w:val="00223ACC"/>
    <w:rsid w:val="00223B1E"/>
    <w:rsid w:val="00223F21"/>
    <w:rsid w:val="00223F83"/>
    <w:rsid w:val="002240DC"/>
    <w:rsid w:val="00224227"/>
    <w:rsid w:val="002242A0"/>
    <w:rsid w:val="0022431A"/>
    <w:rsid w:val="0022447D"/>
    <w:rsid w:val="002244F1"/>
    <w:rsid w:val="00224603"/>
    <w:rsid w:val="002249B4"/>
    <w:rsid w:val="002249FA"/>
    <w:rsid w:val="00224DA1"/>
    <w:rsid w:val="00225093"/>
    <w:rsid w:val="002257C5"/>
    <w:rsid w:val="0022589B"/>
    <w:rsid w:val="002260EF"/>
    <w:rsid w:val="002261E8"/>
    <w:rsid w:val="00226347"/>
    <w:rsid w:val="0022648D"/>
    <w:rsid w:val="00226B6D"/>
    <w:rsid w:val="002271F7"/>
    <w:rsid w:val="00227337"/>
    <w:rsid w:val="002274F1"/>
    <w:rsid w:val="002275D4"/>
    <w:rsid w:val="002276FF"/>
    <w:rsid w:val="002277BE"/>
    <w:rsid w:val="002278AB"/>
    <w:rsid w:val="0022795C"/>
    <w:rsid w:val="00227AFD"/>
    <w:rsid w:val="00227B25"/>
    <w:rsid w:val="00230295"/>
    <w:rsid w:val="00230695"/>
    <w:rsid w:val="00230841"/>
    <w:rsid w:val="0023089C"/>
    <w:rsid w:val="0023089E"/>
    <w:rsid w:val="00231060"/>
    <w:rsid w:val="002316B0"/>
    <w:rsid w:val="002316BA"/>
    <w:rsid w:val="002317C3"/>
    <w:rsid w:val="00231909"/>
    <w:rsid w:val="00231D7D"/>
    <w:rsid w:val="00232203"/>
    <w:rsid w:val="002323FF"/>
    <w:rsid w:val="00232453"/>
    <w:rsid w:val="0023261D"/>
    <w:rsid w:val="002326F7"/>
    <w:rsid w:val="002329E3"/>
    <w:rsid w:val="00232A32"/>
    <w:rsid w:val="00232B58"/>
    <w:rsid w:val="00232BA5"/>
    <w:rsid w:val="00232C7C"/>
    <w:rsid w:val="00232E13"/>
    <w:rsid w:val="00232E43"/>
    <w:rsid w:val="00233049"/>
    <w:rsid w:val="0023368D"/>
    <w:rsid w:val="002338BC"/>
    <w:rsid w:val="00233AE7"/>
    <w:rsid w:val="00233AEC"/>
    <w:rsid w:val="00233CBB"/>
    <w:rsid w:val="00234222"/>
    <w:rsid w:val="00234375"/>
    <w:rsid w:val="00234BEF"/>
    <w:rsid w:val="00234C98"/>
    <w:rsid w:val="00234CCA"/>
    <w:rsid w:val="00234D60"/>
    <w:rsid w:val="00234DBC"/>
    <w:rsid w:val="0023512A"/>
    <w:rsid w:val="0023533F"/>
    <w:rsid w:val="00235766"/>
    <w:rsid w:val="00235A1D"/>
    <w:rsid w:val="00236000"/>
    <w:rsid w:val="00236053"/>
    <w:rsid w:val="002369C9"/>
    <w:rsid w:val="00236AAB"/>
    <w:rsid w:val="00236F8C"/>
    <w:rsid w:val="002371EC"/>
    <w:rsid w:val="00237C52"/>
    <w:rsid w:val="00237CFD"/>
    <w:rsid w:val="00237FB5"/>
    <w:rsid w:val="0024008D"/>
    <w:rsid w:val="0024096B"/>
    <w:rsid w:val="00240B1B"/>
    <w:rsid w:val="0024117A"/>
    <w:rsid w:val="00241624"/>
    <w:rsid w:val="002418C9"/>
    <w:rsid w:val="00241D23"/>
    <w:rsid w:val="00241E5D"/>
    <w:rsid w:val="0024222C"/>
    <w:rsid w:val="00242335"/>
    <w:rsid w:val="00242388"/>
    <w:rsid w:val="0024295A"/>
    <w:rsid w:val="00242CD3"/>
    <w:rsid w:val="00242F6D"/>
    <w:rsid w:val="00243046"/>
    <w:rsid w:val="00243084"/>
    <w:rsid w:val="0024379A"/>
    <w:rsid w:val="002439BB"/>
    <w:rsid w:val="0024416B"/>
    <w:rsid w:val="002444AD"/>
    <w:rsid w:val="002445B8"/>
    <w:rsid w:val="002447BA"/>
    <w:rsid w:val="002448F0"/>
    <w:rsid w:val="00244A5B"/>
    <w:rsid w:val="00244AD3"/>
    <w:rsid w:val="00244DDA"/>
    <w:rsid w:val="00244FCD"/>
    <w:rsid w:val="0024511B"/>
    <w:rsid w:val="00245B2C"/>
    <w:rsid w:val="00245D72"/>
    <w:rsid w:val="00246026"/>
    <w:rsid w:val="00246333"/>
    <w:rsid w:val="00246618"/>
    <w:rsid w:val="00246656"/>
    <w:rsid w:val="00246875"/>
    <w:rsid w:val="00246E50"/>
    <w:rsid w:val="00246EC0"/>
    <w:rsid w:val="00246F04"/>
    <w:rsid w:val="002470B4"/>
    <w:rsid w:val="00247207"/>
    <w:rsid w:val="00247208"/>
    <w:rsid w:val="00247663"/>
    <w:rsid w:val="0024791A"/>
    <w:rsid w:val="00250434"/>
    <w:rsid w:val="0025055E"/>
    <w:rsid w:val="002506AC"/>
    <w:rsid w:val="002506F7"/>
    <w:rsid w:val="00250936"/>
    <w:rsid w:val="00250C54"/>
    <w:rsid w:val="00250CF9"/>
    <w:rsid w:val="00250D62"/>
    <w:rsid w:val="00250E0F"/>
    <w:rsid w:val="00250F92"/>
    <w:rsid w:val="002511AB"/>
    <w:rsid w:val="00251330"/>
    <w:rsid w:val="002514CF"/>
    <w:rsid w:val="00251999"/>
    <w:rsid w:val="0025200B"/>
    <w:rsid w:val="0025233A"/>
    <w:rsid w:val="00252B99"/>
    <w:rsid w:val="00252E3E"/>
    <w:rsid w:val="002532D0"/>
    <w:rsid w:val="00253B86"/>
    <w:rsid w:val="002546AC"/>
    <w:rsid w:val="002548EA"/>
    <w:rsid w:val="002549A8"/>
    <w:rsid w:val="00254E7B"/>
    <w:rsid w:val="00255293"/>
    <w:rsid w:val="002556BE"/>
    <w:rsid w:val="0025598B"/>
    <w:rsid w:val="00256369"/>
    <w:rsid w:val="002566B0"/>
    <w:rsid w:val="002568AE"/>
    <w:rsid w:val="00256A0C"/>
    <w:rsid w:val="00256CC3"/>
    <w:rsid w:val="002576B2"/>
    <w:rsid w:val="0026010A"/>
    <w:rsid w:val="0026033F"/>
    <w:rsid w:val="00260BEA"/>
    <w:rsid w:val="00260D14"/>
    <w:rsid w:val="002611BC"/>
    <w:rsid w:val="00261476"/>
    <w:rsid w:val="002615AD"/>
    <w:rsid w:val="00261851"/>
    <w:rsid w:val="00261D97"/>
    <w:rsid w:val="002622E1"/>
    <w:rsid w:val="00262311"/>
    <w:rsid w:val="00262351"/>
    <w:rsid w:val="002623C5"/>
    <w:rsid w:val="002623D0"/>
    <w:rsid w:val="002624D5"/>
    <w:rsid w:val="002624F4"/>
    <w:rsid w:val="00262C32"/>
    <w:rsid w:val="00262E92"/>
    <w:rsid w:val="0026301E"/>
    <w:rsid w:val="00263293"/>
    <w:rsid w:val="002639D6"/>
    <w:rsid w:val="00263A9D"/>
    <w:rsid w:val="00263B24"/>
    <w:rsid w:val="00263B38"/>
    <w:rsid w:val="00263DBD"/>
    <w:rsid w:val="00263F21"/>
    <w:rsid w:val="002644DB"/>
    <w:rsid w:val="00264588"/>
    <w:rsid w:val="002646E8"/>
    <w:rsid w:val="00264CE8"/>
    <w:rsid w:val="00264D79"/>
    <w:rsid w:val="00264DEB"/>
    <w:rsid w:val="0026520E"/>
    <w:rsid w:val="0026628A"/>
    <w:rsid w:val="002662A7"/>
    <w:rsid w:val="0026675C"/>
    <w:rsid w:val="00266919"/>
    <w:rsid w:val="00266A37"/>
    <w:rsid w:val="00266B50"/>
    <w:rsid w:val="00266EAB"/>
    <w:rsid w:val="00267432"/>
    <w:rsid w:val="00267515"/>
    <w:rsid w:val="00267A85"/>
    <w:rsid w:val="00267B4C"/>
    <w:rsid w:val="00270083"/>
    <w:rsid w:val="00270245"/>
    <w:rsid w:val="00270551"/>
    <w:rsid w:val="002705FF"/>
    <w:rsid w:val="00270689"/>
    <w:rsid w:val="00270ABE"/>
    <w:rsid w:val="00270C17"/>
    <w:rsid w:val="00270D6F"/>
    <w:rsid w:val="00271275"/>
    <w:rsid w:val="002713C2"/>
    <w:rsid w:val="00271FB6"/>
    <w:rsid w:val="0027202D"/>
    <w:rsid w:val="00272139"/>
    <w:rsid w:val="0027233E"/>
    <w:rsid w:val="0027248B"/>
    <w:rsid w:val="0027287E"/>
    <w:rsid w:val="002728D7"/>
    <w:rsid w:val="002729BB"/>
    <w:rsid w:val="00272A86"/>
    <w:rsid w:val="00272CC5"/>
    <w:rsid w:val="00272D65"/>
    <w:rsid w:val="00272E51"/>
    <w:rsid w:val="00273039"/>
    <w:rsid w:val="002732BB"/>
    <w:rsid w:val="00273602"/>
    <w:rsid w:val="0027394C"/>
    <w:rsid w:val="00273A7F"/>
    <w:rsid w:val="002742DD"/>
    <w:rsid w:val="002743C3"/>
    <w:rsid w:val="00274486"/>
    <w:rsid w:val="00274D41"/>
    <w:rsid w:val="002750A1"/>
    <w:rsid w:val="002751EE"/>
    <w:rsid w:val="002755DA"/>
    <w:rsid w:val="002758C1"/>
    <w:rsid w:val="002758D9"/>
    <w:rsid w:val="002758EA"/>
    <w:rsid w:val="00275D49"/>
    <w:rsid w:val="002761E3"/>
    <w:rsid w:val="00276485"/>
    <w:rsid w:val="00276D5E"/>
    <w:rsid w:val="00276D68"/>
    <w:rsid w:val="00276D7F"/>
    <w:rsid w:val="00276DAA"/>
    <w:rsid w:val="00277C3A"/>
    <w:rsid w:val="00277C97"/>
    <w:rsid w:val="00280310"/>
    <w:rsid w:val="00280A84"/>
    <w:rsid w:val="00280C3F"/>
    <w:rsid w:val="00280CA9"/>
    <w:rsid w:val="00280CC1"/>
    <w:rsid w:val="00280EE5"/>
    <w:rsid w:val="00281172"/>
    <w:rsid w:val="00281222"/>
    <w:rsid w:val="0028137A"/>
    <w:rsid w:val="002813A3"/>
    <w:rsid w:val="00281640"/>
    <w:rsid w:val="00282037"/>
    <w:rsid w:val="00282464"/>
    <w:rsid w:val="0028250A"/>
    <w:rsid w:val="0028263C"/>
    <w:rsid w:val="00282A20"/>
    <w:rsid w:val="00282F4A"/>
    <w:rsid w:val="0028344B"/>
    <w:rsid w:val="00283637"/>
    <w:rsid w:val="00283731"/>
    <w:rsid w:val="002838D6"/>
    <w:rsid w:val="00283A6A"/>
    <w:rsid w:val="00283DF4"/>
    <w:rsid w:val="00283EB3"/>
    <w:rsid w:val="002841B8"/>
    <w:rsid w:val="002848BD"/>
    <w:rsid w:val="00284D64"/>
    <w:rsid w:val="00284E36"/>
    <w:rsid w:val="002851C8"/>
    <w:rsid w:val="0028547D"/>
    <w:rsid w:val="00285A5D"/>
    <w:rsid w:val="00285D6A"/>
    <w:rsid w:val="00286176"/>
    <w:rsid w:val="00286524"/>
    <w:rsid w:val="00286693"/>
    <w:rsid w:val="002868D4"/>
    <w:rsid w:val="0028739E"/>
    <w:rsid w:val="0028759D"/>
    <w:rsid w:val="002875BF"/>
    <w:rsid w:val="00287898"/>
    <w:rsid w:val="00287C4D"/>
    <w:rsid w:val="00287C58"/>
    <w:rsid w:val="002900DC"/>
    <w:rsid w:val="002904E1"/>
    <w:rsid w:val="002909A9"/>
    <w:rsid w:val="00290CD1"/>
    <w:rsid w:val="00290E11"/>
    <w:rsid w:val="00290E85"/>
    <w:rsid w:val="00290EF8"/>
    <w:rsid w:val="0029147B"/>
    <w:rsid w:val="0029150B"/>
    <w:rsid w:val="00291592"/>
    <w:rsid w:val="002915A2"/>
    <w:rsid w:val="002915B4"/>
    <w:rsid w:val="00291798"/>
    <w:rsid w:val="00291D67"/>
    <w:rsid w:val="00291DD6"/>
    <w:rsid w:val="00291E60"/>
    <w:rsid w:val="00291F3E"/>
    <w:rsid w:val="00292063"/>
    <w:rsid w:val="002929A8"/>
    <w:rsid w:val="00292A7B"/>
    <w:rsid w:val="00292B85"/>
    <w:rsid w:val="00292BA5"/>
    <w:rsid w:val="00292C17"/>
    <w:rsid w:val="00292ED0"/>
    <w:rsid w:val="00292F47"/>
    <w:rsid w:val="00293205"/>
    <w:rsid w:val="002939A8"/>
    <w:rsid w:val="00293BD5"/>
    <w:rsid w:val="0029405C"/>
    <w:rsid w:val="00294238"/>
    <w:rsid w:val="0029430D"/>
    <w:rsid w:val="002944DE"/>
    <w:rsid w:val="0029473B"/>
    <w:rsid w:val="00294C0F"/>
    <w:rsid w:val="00294FD3"/>
    <w:rsid w:val="002956AC"/>
    <w:rsid w:val="00295719"/>
    <w:rsid w:val="0029596B"/>
    <w:rsid w:val="002959BC"/>
    <w:rsid w:val="00295AB3"/>
    <w:rsid w:val="00295E4F"/>
    <w:rsid w:val="00295FAE"/>
    <w:rsid w:val="00296054"/>
    <w:rsid w:val="002961EA"/>
    <w:rsid w:val="0029663A"/>
    <w:rsid w:val="0029712B"/>
    <w:rsid w:val="002979CF"/>
    <w:rsid w:val="00297ACE"/>
    <w:rsid w:val="00297B57"/>
    <w:rsid w:val="00297B5F"/>
    <w:rsid w:val="00297C8C"/>
    <w:rsid w:val="002A03C9"/>
    <w:rsid w:val="002A09A9"/>
    <w:rsid w:val="002A0E70"/>
    <w:rsid w:val="002A0F47"/>
    <w:rsid w:val="002A11A1"/>
    <w:rsid w:val="002A137C"/>
    <w:rsid w:val="002A14F9"/>
    <w:rsid w:val="002A160A"/>
    <w:rsid w:val="002A1659"/>
    <w:rsid w:val="002A1669"/>
    <w:rsid w:val="002A1982"/>
    <w:rsid w:val="002A19A9"/>
    <w:rsid w:val="002A1A3A"/>
    <w:rsid w:val="002A21AE"/>
    <w:rsid w:val="002A249F"/>
    <w:rsid w:val="002A27A3"/>
    <w:rsid w:val="002A2D1C"/>
    <w:rsid w:val="002A2E1E"/>
    <w:rsid w:val="002A2FBF"/>
    <w:rsid w:val="002A30DF"/>
    <w:rsid w:val="002A3178"/>
    <w:rsid w:val="002A34D1"/>
    <w:rsid w:val="002A3666"/>
    <w:rsid w:val="002A36EF"/>
    <w:rsid w:val="002A40BF"/>
    <w:rsid w:val="002A4159"/>
    <w:rsid w:val="002A4A77"/>
    <w:rsid w:val="002A4CB4"/>
    <w:rsid w:val="002A4F71"/>
    <w:rsid w:val="002A55D3"/>
    <w:rsid w:val="002A5604"/>
    <w:rsid w:val="002A6002"/>
    <w:rsid w:val="002A65A7"/>
    <w:rsid w:val="002A675D"/>
    <w:rsid w:val="002A68B8"/>
    <w:rsid w:val="002A6AEA"/>
    <w:rsid w:val="002A6CE1"/>
    <w:rsid w:val="002A6D29"/>
    <w:rsid w:val="002A7432"/>
    <w:rsid w:val="002A767C"/>
    <w:rsid w:val="002A76E4"/>
    <w:rsid w:val="002A770E"/>
    <w:rsid w:val="002A7CAB"/>
    <w:rsid w:val="002A7EE9"/>
    <w:rsid w:val="002B04EB"/>
    <w:rsid w:val="002B0525"/>
    <w:rsid w:val="002B06B2"/>
    <w:rsid w:val="002B0ABF"/>
    <w:rsid w:val="002B0D24"/>
    <w:rsid w:val="002B0F17"/>
    <w:rsid w:val="002B0F51"/>
    <w:rsid w:val="002B1949"/>
    <w:rsid w:val="002B1D25"/>
    <w:rsid w:val="002B25A3"/>
    <w:rsid w:val="002B292C"/>
    <w:rsid w:val="002B29EA"/>
    <w:rsid w:val="002B2AFE"/>
    <w:rsid w:val="002B2BCF"/>
    <w:rsid w:val="002B2CB0"/>
    <w:rsid w:val="002B2F04"/>
    <w:rsid w:val="002B3455"/>
    <w:rsid w:val="002B3469"/>
    <w:rsid w:val="002B3604"/>
    <w:rsid w:val="002B3CB4"/>
    <w:rsid w:val="002B4039"/>
    <w:rsid w:val="002B4501"/>
    <w:rsid w:val="002B50FE"/>
    <w:rsid w:val="002B51D0"/>
    <w:rsid w:val="002B5351"/>
    <w:rsid w:val="002B570D"/>
    <w:rsid w:val="002B58EA"/>
    <w:rsid w:val="002B5CD5"/>
    <w:rsid w:val="002B5DD3"/>
    <w:rsid w:val="002B5E51"/>
    <w:rsid w:val="002B5F2E"/>
    <w:rsid w:val="002B5F58"/>
    <w:rsid w:val="002B64D8"/>
    <w:rsid w:val="002B6600"/>
    <w:rsid w:val="002B6A72"/>
    <w:rsid w:val="002B6B38"/>
    <w:rsid w:val="002B7556"/>
    <w:rsid w:val="002B7882"/>
    <w:rsid w:val="002B7A05"/>
    <w:rsid w:val="002B7B95"/>
    <w:rsid w:val="002B7BBB"/>
    <w:rsid w:val="002C02CC"/>
    <w:rsid w:val="002C02DA"/>
    <w:rsid w:val="002C0647"/>
    <w:rsid w:val="002C0670"/>
    <w:rsid w:val="002C06CC"/>
    <w:rsid w:val="002C0830"/>
    <w:rsid w:val="002C0A80"/>
    <w:rsid w:val="002C0B9B"/>
    <w:rsid w:val="002C0FA1"/>
    <w:rsid w:val="002C10CA"/>
    <w:rsid w:val="002C10F6"/>
    <w:rsid w:val="002C1235"/>
    <w:rsid w:val="002C14E7"/>
    <w:rsid w:val="002C15CF"/>
    <w:rsid w:val="002C166A"/>
    <w:rsid w:val="002C1673"/>
    <w:rsid w:val="002C179C"/>
    <w:rsid w:val="002C1D13"/>
    <w:rsid w:val="002C1E45"/>
    <w:rsid w:val="002C2030"/>
    <w:rsid w:val="002C2034"/>
    <w:rsid w:val="002C213E"/>
    <w:rsid w:val="002C2290"/>
    <w:rsid w:val="002C235F"/>
    <w:rsid w:val="002C25F5"/>
    <w:rsid w:val="002C2E21"/>
    <w:rsid w:val="002C3287"/>
    <w:rsid w:val="002C3458"/>
    <w:rsid w:val="002C3607"/>
    <w:rsid w:val="002C3957"/>
    <w:rsid w:val="002C3B06"/>
    <w:rsid w:val="002C3F2F"/>
    <w:rsid w:val="002C40F2"/>
    <w:rsid w:val="002C42C3"/>
    <w:rsid w:val="002C4355"/>
    <w:rsid w:val="002C4684"/>
    <w:rsid w:val="002C48A7"/>
    <w:rsid w:val="002C4BF5"/>
    <w:rsid w:val="002C4D39"/>
    <w:rsid w:val="002C4F7C"/>
    <w:rsid w:val="002C50EA"/>
    <w:rsid w:val="002C518A"/>
    <w:rsid w:val="002C5829"/>
    <w:rsid w:val="002C5A43"/>
    <w:rsid w:val="002C6160"/>
    <w:rsid w:val="002C6669"/>
    <w:rsid w:val="002C66BA"/>
    <w:rsid w:val="002C698D"/>
    <w:rsid w:val="002C6BD1"/>
    <w:rsid w:val="002C6ED0"/>
    <w:rsid w:val="002C71AF"/>
    <w:rsid w:val="002C7462"/>
    <w:rsid w:val="002C76DB"/>
    <w:rsid w:val="002C7A21"/>
    <w:rsid w:val="002C7CC3"/>
    <w:rsid w:val="002C7E73"/>
    <w:rsid w:val="002C7ECA"/>
    <w:rsid w:val="002C7ED1"/>
    <w:rsid w:val="002C7EF9"/>
    <w:rsid w:val="002D0252"/>
    <w:rsid w:val="002D072F"/>
    <w:rsid w:val="002D126B"/>
    <w:rsid w:val="002D153F"/>
    <w:rsid w:val="002D23D2"/>
    <w:rsid w:val="002D258A"/>
    <w:rsid w:val="002D2742"/>
    <w:rsid w:val="002D2971"/>
    <w:rsid w:val="002D2A08"/>
    <w:rsid w:val="002D3100"/>
    <w:rsid w:val="002D36FC"/>
    <w:rsid w:val="002D3ACD"/>
    <w:rsid w:val="002D3BEC"/>
    <w:rsid w:val="002D4435"/>
    <w:rsid w:val="002D4794"/>
    <w:rsid w:val="002D4C4A"/>
    <w:rsid w:val="002D4F18"/>
    <w:rsid w:val="002D516C"/>
    <w:rsid w:val="002D59D6"/>
    <w:rsid w:val="002D5CBF"/>
    <w:rsid w:val="002D6306"/>
    <w:rsid w:val="002D640B"/>
    <w:rsid w:val="002D6427"/>
    <w:rsid w:val="002D6470"/>
    <w:rsid w:val="002D67BB"/>
    <w:rsid w:val="002D7202"/>
    <w:rsid w:val="002D7272"/>
    <w:rsid w:val="002D75F8"/>
    <w:rsid w:val="002D770B"/>
    <w:rsid w:val="002D77E5"/>
    <w:rsid w:val="002D7A9F"/>
    <w:rsid w:val="002D7AAD"/>
    <w:rsid w:val="002D7C7C"/>
    <w:rsid w:val="002D7D8C"/>
    <w:rsid w:val="002E04F5"/>
    <w:rsid w:val="002E08AA"/>
    <w:rsid w:val="002E14AC"/>
    <w:rsid w:val="002E14E2"/>
    <w:rsid w:val="002E1917"/>
    <w:rsid w:val="002E1949"/>
    <w:rsid w:val="002E1B10"/>
    <w:rsid w:val="002E1F2B"/>
    <w:rsid w:val="002E23D2"/>
    <w:rsid w:val="002E27C1"/>
    <w:rsid w:val="002E2988"/>
    <w:rsid w:val="002E2AAE"/>
    <w:rsid w:val="002E301F"/>
    <w:rsid w:val="002E3308"/>
    <w:rsid w:val="002E3561"/>
    <w:rsid w:val="002E3995"/>
    <w:rsid w:val="002E3B5D"/>
    <w:rsid w:val="002E3C00"/>
    <w:rsid w:val="002E451D"/>
    <w:rsid w:val="002E4771"/>
    <w:rsid w:val="002E5001"/>
    <w:rsid w:val="002E50AD"/>
    <w:rsid w:val="002E5248"/>
    <w:rsid w:val="002E5493"/>
    <w:rsid w:val="002E54E9"/>
    <w:rsid w:val="002E5AC8"/>
    <w:rsid w:val="002E69EB"/>
    <w:rsid w:val="002E6A12"/>
    <w:rsid w:val="002E6B82"/>
    <w:rsid w:val="002E6DDE"/>
    <w:rsid w:val="002E71AE"/>
    <w:rsid w:val="002E7C67"/>
    <w:rsid w:val="002E7D1D"/>
    <w:rsid w:val="002E7EBF"/>
    <w:rsid w:val="002F026F"/>
    <w:rsid w:val="002F07F8"/>
    <w:rsid w:val="002F0C57"/>
    <w:rsid w:val="002F10B0"/>
    <w:rsid w:val="002F1289"/>
    <w:rsid w:val="002F1554"/>
    <w:rsid w:val="002F1731"/>
    <w:rsid w:val="002F19A3"/>
    <w:rsid w:val="002F1E2B"/>
    <w:rsid w:val="002F200D"/>
    <w:rsid w:val="002F2043"/>
    <w:rsid w:val="002F218F"/>
    <w:rsid w:val="002F2520"/>
    <w:rsid w:val="002F25DF"/>
    <w:rsid w:val="002F2927"/>
    <w:rsid w:val="002F2B09"/>
    <w:rsid w:val="002F2DC5"/>
    <w:rsid w:val="002F2DF7"/>
    <w:rsid w:val="002F3A14"/>
    <w:rsid w:val="002F3BCC"/>
    <w:rsid w:val="002F475B"/>
    <w:rsid w:val="002F47AC"/>
    <w:rsid w:val="002F48C2"/>
    <w:rsid w:val="002F4B61"/>
    <w:rsid w:val="002F5288"/>
    <w:rsid w:val="002F53E0"/>
    <w:rsid w:val="002F55AF"/>
    <w:rsid w:val="002F5BFE"/>
    <w:rsid w:val="002F5EE5"/>
    <w:rsid w:val="002F6113"/>
    <w:rsid w:val="002F619E"/>
    <w:rsid w:val="002F627F"/>
    <w:rsid w:val="002F629E"/>
    <w:rsid w:val="002F692D"/>
    <w:rsid w:val="002F6D2F"/>
    <w:rsid w:val="002F6D7B"/>
    <w:rsid w:val="002F7047"/>
    <w:rsid w:val="002F74B6"/>
    <w:rsid w:val="002F766E"/>
    <w:rsid w:val="002F7A52"/>
    <w:rsid w:val="002F7CC9"/>
    <w:rsid w:val="002F7D16"/>
    <w:rsid w:val="002F7E19"/>
    <w:rsid w:val="002F7FF1"/>
    <w:rsid w:val="003002BD"/>
    <w:rsid w:val="003004A7"/>
    <w:rsid w:val="00300682"/>
    <w:rsid w:val="00300710"/>
    <w:rsid w:val="0030185B"/>
    <w:rsid w:val="00301F2A"/>
    <w:rsid w:val="0030208D"/>
    <w:rsid w:val="00302434"/>
    <w:rsid w:val="00302B3B"/>
    <w:rsid w:val="00302CEE"/>
    <w:rsid w:val="003030E5"/>
    <w:rsid w:val="00303708"/>
    <w:rsid w:val="003039DA"/>
    <w:rsid w:val="0030405B"/>
    <w:rsid w:val="00304382"/>
    <w:rsid w:val="003049A9"/>
    <w:rsid w:val="00304B73"/>
    <w:rsid w:val="00304D65"/>
    <w:rsid w:val="00304F8D"/>
    <w:rsid w:val="003052D6"/>
    <w:rsid w:val="0030530D"/>
    <w:rsid w:val="00305385"/>
    <w:rsid w:val="0030557D"/>
    <w:rsid w:val="00305772"/>
    <w:rsid w:val="00305882"/>
    <w:rsid w:val="00305B16"/>
    <w:rsid w:val="00305C83"/>
    <w:rsid w:val="003062CE"/>
    <w:rsid w:val="00306439"/>
    <w:rsid w:val="00307125"/>
    <w:rsid w:val="0030726A"/>
    <w:rsid w:val="003075DA"/>
    <w:rsid w:val="003078AD"/>
    <w:rsid w:val="00307930"/>
    <w:rsid w:val="00307D76"/>
    <w:rsid w:val="00310DBF"/>
    <w:rsid w:val="003111E4"/>
    <w:rsid w:val="003118F4"/>
    <w:rsid w:val="00311A54"/>
    <w:rsid w:val="00311F17"/>
    <w:rsid w:val="0031243B"/>
    <w:rsid w:val="003128E0"/>
    <w:rsid w:val="00312A53"/>
    <w:rsid w:val="00312B1C"/>
    <w:rsid w:val="0031313E"/>
    <w:rsid w:val="003131EF"/>
    <w:rsid w:val="003133AE"/>
    <w:rsid w:val="00313732"/>
    <w:rsid w:val="003139BF"/>
    <w:rsid w:val="00313B5D"/>
    <w:rsid w:val="00313B75"/>
    <w:rsid w:val="00313C6B"/>
    <w:rsid w:val="00314127"/>
    <w:rsid w:val="0031442B"/>
    <w:rsid w:val="00314470"/>
    <w:rsid w:val="00314505"/>
    <w:rsid w:val="003148A8"/>
    <w:rsid w:val="00314F62"/>
    <w:rsid w:val="0031530E"/>
    <w:rsid w:val="0031537C"/>
    <w:rsid w:val="0031555E"/>
    <w:rsid w:val="0031563C"/>
    <w:rsid w:val="0031582E"/>
    <w:rsid w:val="00315950"/>
    <w:rsid w:val="003171B4"/>
    <w:rsid w:val="00317528"/>
    <w:rsid w:val="00317A11"/>
    <w:rsid w:val="00317A8A"/>
    <w:rsid w:val="00317E41"/>
    <w:rsid w:val="00320118"/>
    <w:rsid w:val="0032011A"/>
    <w:rsid w:val="003206E9"/>
    <w:rsid w:val="003209A5"/>
    <w:rsid w:val="00320B43"/>
    <w:rsid w:val="00320DAE"/>
    <w:rsid w:val="00321988"/>
    <w:rsid w:val="003221AE"/>
    <w:rsid w:val="003221B7"/>
    <w:rsid w:val="0032260E"/>
    <w:rsid w:val="003226D0"/>
    <w:rsid w:val="003226F1"/>
    <w:rsid w:val="00322AF0"/>
    <w:rsid w:val="00322C74"/>
    <w:rsid w:val="00323155"/>
    <w:rsid w:val="00323241"/>
    <w:rsid w:val="003234B3"/>
    <w:rsid w:val="00323744"/>
    <w:rsid w:val="00323872"/>
    <w:rsid w:val="00323F55"/>
    <w:rsid w:val="00323FCD"/>
    <w:rsid w:val="00323FD7"/>
    <w:rsid w:val="003246B1"/>
    <w:rsid w:val="003247FD"/>
    <w:rsid w:val="003248C0"/>
    <w:rsid w:val="00324E04"/>
    <w:rsid w:val="00325067"/>
    <w:rsid w:val="003254B7"/>
    <w:rsid w:val="0032553E"/>
    <w:rsid w:val="00325943"/>
    <w:rsid w:val="00325C70"/>
    <w:rsid w:val="00325D9E"/>
    <w:rsid w:val="003261A4"/>
    <w:rsid w:val="0032634C"/>
    <w:rsid w:val="00326353"/>
    <w:rsid w:val="00326882"/>
    <w:rsid w:val="00326905"/>
    <w:rsid w:val="00326CD8"/>
    <w:rsid w:val="00327353"/>
    <w:rsid w:val="00327477"/>
    <w:rsid w:val="00327839"/>
    <w:rsid w:val="00327B76"/>
    <w:rsid w:val="00327BDD"/>
    <w:rsid w:val="00327C06"/>
    <w:rsid w:val="003306DB"/>
    <w:rsid w:val="00330868"/>
    <w:rsid w:val="003308A2"/>
    <w:rsid w:val="003309E7"/>
    <w:rsid w:val="00330B40"/>
    <w:rsid w:val="00331054"/>
    <w:rsid w:val="00331163"/>
    <w:rsid w:val="00331BB3"/>
    <w:rsid w:val="00331C0A"/>
    <w:rsid w:val="00331E98"/>
    <w:rsid w:val="00332140"/>
    <w:rsid w:val="00332C22"/>
    <w:rsid w:val="00332E10"/>
    <w:rsid w:val="003331D6"/>
    <w:rsid w:val="00333209"/>
    <w:rsid w:val="0033390D"/>
    <w:rsid w:val="00333E75"/>
    <w:rsid w:val="00334E5D"/>
    <w:rsid w:val="00334EAF"/>
    <w:rsid w:val="003350E0"/>
    <w:rsid w:val="003354C6"/>
    <w:rsid w:val="003354F2"/>
    <w:rsid w:val="003356B8"/>
    <w:rsid w:val="00335B6E"/>
    <w:rsid w:val="00335DBF"/>
    <w:rsid w:val="00335F1C"/>
    <w:rsid w:val="003360CC"/>
    <w:rsid w:val="00336253"/>
    <w:rsid w:val="003362B2"/>
    <w:rsid w:val="003362FE"/>
    <w:rsid w:val="00336F10"/>
    <w:rsid w:val="00336F17"/>
    <w:rsid w:val="00337673"/>
    <w:rsid w:val="00337961"/>
    <w:rsid w:val="00337C71"/>
    <w:rsid w:val="003400FC"/>
    <w:rsid w:val="0034022A"/>
    <w:rsid w:val="00340259"/>
    <w:rsid w:val="00340676"/>
    <w:rsid w:val="00340D5B"/>
    <w:rsid w:val="00340DF3"/>
    <w:rsid w:val="00342002"/>
    <w:rsid w:val="00342230"/>
    <w:rsid w:val="003427EE"/>
    <w:rsid w:val="0034286D"/>
    <w:rsid w:val="003429BE"/>
    <w:rsid w:val="00342C0E"/>
    <w:rsid w:val="00342DE3"/>
    <w:rsid w:val="00342FD6"/>
    <w:rsid w:val="00343275"/>
    <w:rsid w:val="00343AB5"/>
    <w:rsid w:val="00343DC4"/>
    <w:rsid w:val="003447AA"/>
    <w:rsid w:val="003449A2"/>
    <w:rsid w:val="00344C04"/>
    <w:rsid w:val="00344E38"/>
    <w:rsid w:val="00345053"/>
    <w:rsid w:val="00345379"/>
    <w:rsid w:val="0034563E"/>
    <w:rsid w:val="003458BC"/>
    <w:rsid w:val="003459BC"/>
    <w:rsid w:val="00345AA3"/>
    <w:rsid w:val="00345DE8"/>
    <w:rsid w:val="00346026"/>
    <w:rsid w:val="003468D8"/>
    <w:rsid w:val="00346B6E"/>
    <w:rsid w:val="003472C7"/>
    <w:rsid w:val="0034736F"/>
    <w:rsid w:val="00347D0F"/>
    <w:rsid w:val="00347F10"/>
    <w:rsid w:val="00350017"/>
    <w:rsid w:val="0035003C"/>
    <w:rsid w:val="003502C9"/>
    <w:rsid w:val="00350772"/>
    <w:rsid w:val="003509D4"/>
    <w:rsid w:val="00350AFF"/>
    <w:rsid w:val="00350F40"/>
    <w:rsid w:val="003510BE"/>
    <w:rsid w:val="00351221"/>
    <w:rsid w:val="003523E4"/>
    <w:rsid w:val="00352790"/>
    <w:rsid w:val="00352C41"/>
    <w:rsid w:val="00352CE6"/>
    <w:rsid w:val="00352DC7"/>
    <w:rsid w:val="00353343"/>
    <w:rsid w:val="00353557"/>
    <w:rsid w:val="00353D02"/>
    <w:rsid w:val="00353E04"/>
    <w:rsid w:val="003540DE"/>
    <w:rsid w:val="003540F5"/>
    <w:rsid w:val="00354248"/>
    <w:rsid w:val="0035498D"/>
    <w:rsid w:val="003549BA"/>
    <w:rsid w:val="00355A17"/>
    <w:rsid w:val="003560FF"/>
    <w:rsid w:val="0035653E"/>
    <w:rsid w:val="003567A3"/>
    <w:rsid w:val="00356FA8"/>
    <w:rsid w:val="003577C8"/>
    <w:rsid w:val="00357A19"/>
    <w:rsid w:val="003604F3"/>
    <w:rsid w:val="00360515"/>
    <w:rsid w:val="003605E3"/>
    <w:rsid w:val="00360927"/>
    <w:rsid w:val="00360A0A"/>
    <w:rsid w:val="00360D26"/>
    <w:rsid w:val="00361028"/>
    <w:rsid w:val="0036114D"/>
    <w:rsid w:val="00361237"/>
    <w:rsid w:val="0036138B"/>
    <w:rsid w:val="00361446"/>
    <w:rsid w:val="003614A1"/>
    <w:rsid w:val="0036182E"/>
    <w:rsid w:val="0036198D"/>
    <w:rsid w:val="00361CDE"/>
    <w:rsid w:val="00361EC2"/>
    <w:rsid w:val="00361F79"/>
    <w:rsid w:val="0036250C"/>
    <w:rsid w:val="00362731"/>
    <w:rsid w:val="003627C6"/>
    <w:rsid w:val="00362960"/>
    <w:rsid w:val="00363509"/>
    <w:rsid w:val="00363693"/>
    <w:rsid w:val="00363757"/>
    <w:rsid w:val="0036397C"/>
    <w:rsid w:val="00363BE3"/>
    <w:rsid w:val="00363C2C"/>
    <w:rsid w:val="00364086"/>
    <w:rsid w:val="003640CD"/>
    <w:rsid w:val="00364222"/>
    <w:rsid w:val="0036471F"/>
    <w:rsid w:val="00364A0F"/>
    <w:rsid w:val="0036538B"/>
    <w:rsid w:val="003653C0"/>
    <w:rsid w:val="003653DB"/>
    <w:rsid w:val="003654B2"/>
    <w:rsid w:val="003655E8"/>
    <w:rsid w:val="0036565E"/>
    <w:rsid w:val="003658F2"/>
    <w:rsid w:val="003659FC"/>
    <w:rsid w:val="00365B90"/>
    <w:rsid w:val="00365D8A"/>
    <w:rsid w:val="00366313"/>
    <w:rsid w:val="00366433"/>
    <w:rsid w:val="003666C3"/>
    <w:rsid w:val="00366819"/>
    <w:rsid w:val="00366922"/>
    <w:rsid w:val="00366A22"/>
    <w:rsid w:val="00366DE1"/>
    <w:rsid w:val="00367903"/>
    <w:rsid w:val="003679A6"/>
    <w:rsid w:val="003679F4"/>
    <w:rsid w:val="0037016B"/>
    <w:rsid w:val="00370263"/>
    <w:rsid w:val="00370BC9"/>
    <w:rsid w:val="00371243"/>
    <w:rsid w:val="00371304"/>
    <w:rsid w:val="0037135F"/>
    <w:rsid w:val="003713E2"/>
    <w:rsid w:val="003715C0"/>
    <w:rsid w:val="00371670"/>
    <w:rsid w:val="00371750"/>
    <w:rsid w:val="00371999"/>
    <w:rsid w:val="00371B65"/>
    <w:rsid w:val="003723D4"/>
    <w:rsid w:val="00372501"/>
    <w:rsid w:val="003726A9"/>
    <w:rsid w:val="00372736"/>
    <w:rsid w:val="00372AA3"/>
    <w:rsid w:val="00372F13"/>
    <w:rsid w:val="00372FC9"/>
    <w:rsid w:val="003738EE"/>
    <w:rsid w:val="00373926"/>
    <w:rsid w:val="00373A49"/>
    <w:rsid w:val="00373BCF"/>
    <w:rsid w:val="00373CB1"/>
    <w:rsid w:val="0037459E"/>
    <w:rsid w:val="00374647"/>
    <w:rsid w:val="003747EB"/>
    <w:rsid w:val="00374EA9"/>
    <w:rsid w:val="003751C6"/>
    <w:rsid w:val="00375257"/>
    <w:rsid w:val="003752A4"/>
    <w:rsid w:val="0037534D"/>
    <w:rsid w:val="00375393"/>
    <w:rsid w:val="00375678"/>
    <w:rsid w:val="003760D3"/>
    <w:rsid w:val="003763F2"/>
    <w:rsid w:val="003767D2"/>
    <w:rsid w:val="00376944"/>
    <w:rsid w:val="00376D9D"/>
    <w:rsid w:val="003772C7"/>
    <w:rsid w:val="003773D7"/>
    <w:rsid w:val="00377878"/>
    <w:rsid w:val="00377A80"/>
    <w:rsid w:val="00377DCA"/>
    <w:rsid w:val="00377EE1"/>
    <w:rsid w:val="00380254"/>
    <w:rsid w:val="003802FB"/>
    <w:rsid w:val="00380854"/>
    <w:rsid w:val="003808B9"/>
    <w:rsid w:val="00380967"/>
    <w:rsid w:val="00380ACC"/>
    <w:rsid w:val="00380E19"/>
    <w:rsid w:val="00381224"/>
    <w:rsid w:val="0038145B"/>
    <w:rsid w:val="003814BF"/>
    <w:rsid w:val="00381733"/>
    <w:rsid w:val="00381B2F"/>
    <w:rsid w:val="00381E1B"/>
    <w:rsid w:val="00381F26"/>
    <w:rsid w:val="00382123"/>
    <w:rsid w:val="003823FE"/>
    <w:rsid w:val="003825B3"/>
    <w:rsid w:val="0038298F"/>
    <w:rsid w:val="003829A4"/>
    <w:rsid w:val="00382B3C"/>
    <w:rsid w:val="00382DF2"/>
    <w:rsid w:val="00382EB1"/>
    <w:rsid w:val="00383289"/>
    <w:rsid w:val="003834D4"/>
    <w:rsid w:val="00383985"/>
    <w:rsid w:val="00383C83"/>
    <w:rsid w:val="00383D52"/>
    <w:rsid w:val="00383EAC"/>
    <w:rsid w:val="0038414C"/>
    <w:rsid w:val="00384190"/>
    <w:rsid w:val="0038440D"/>
    <w:rsid w:val="0038450D"/>
    <w:rsid w:val="00384773"/>
    <w:rsid w:val="003848C6"/>
    <w:rsid w:val="00384BB6"/>
    <w:rsid w:val="00384BF1"/>
    <w:rsid w:val="003850B6"/>
    <w:rsid w:val="00385548"/>
    <w:rsid w:val="003855BB"/>
    <w:rsid w:val="0038568C"/>
    <w:rsid w:val="0038583A"/>
    <w:rsid w:val="00386046"/>
    <w:rsid w:val="00386159"/>
    <w:rsid w:val="003861B5"/>
    <w:rsid w:val="003864A6"/>
    <w:rsid w:val="00386899"/>
    <w:rsid w:val="00386AFE"/>
    <w:rsid w:val="00387337"/>
    <w:rsid w:val="003874E8"/>
    <w:rsid w:val="003877E0"/>
    <w:rsid w:val="00387ADD"/>
    <w:rsid w:val="00387AEE"/>
    <w:rsid w:val="00387CBE"/>
    <w:rsid w:val="0039034C"/>
    <w:rsid w:val="00390982"/>
    <w:rsid w:val="00390A6F"/>
    <w:rsid w:val="00390AEF"/>
    <w:rsid w:val="00390E15"/>
    <w:rsid w:val="00390FB2"/>
    <w:rsid w:val="00391084"/>
    <w:rsid w:val="003917DD"/>
    <w:rsid w:val="00391940"/>
    <w:rsid w:val="003919A6"/>
    <w:rsid w:val="00391BF9"/>
    <w:rsid w:val="00391C50"/>
    <w:rsid w:val="00391CDF"/>
    <w:rsid w:val="00391F2C"/>
    <w:rsid w:val="0039242E"/>
    <w:rsid w:val="0039274B"/>
    <w:rsid w:val="00392837"/>
    <w:rsid w:val="00392897"/>
    <w:rsid w:val="00392A54"/>
    <w:rsid w:val="00392B0E"/>
    <w:rsid w:val="00392E5C"/>
    <w:rsid w:val="003933CD"/>
    <w:rsid w:val="00393691"/>
    <w:rsid w:val="003937C6"/>
    <w:rsid w:val="00393916"/>
    <w:rsid w:val="00393FDF"/>
    <w:rsid w:val="0039408D"/>
    <w:rsid w:val="0039428E"/>
    <w:rsid w:val="003947A4"/>
    <w:rsid w:val="003947ED"/>
    <w:rsid w:val="00394BCB"/>
    <w:rsid w:val="003951A7"/>
    <w:rsid w:val="003953F4"/>
    <w:rsid w:val="003955C7"/>
    <w:rsid w:val="003957B5"/>
    <w:rsid w:val="00395AB5"/>
    <w:rsid w:val="00395ABB"/>
    <w:rsid w:val="0039610E"/>
    <w:rsid w:val="003964D7"/>
    <w:rsid w:val="00396A5D"/>
    <w:rsid w:val="00396ACB"/>
    <w:rsid w:val="00396B2B"/>
    <w:rsid w:val="00396BD5"/>
    <w:rsid w:val="00396D65"/>
    <w:rsid w:val="003970A1"/>
    <w:rsid w:val="00397485"/>
    <w:rsid w:val="00397587"/>
    <w:rsid w:val="00397823"/>
    <w:rsid w:val="0039783A"/>
    <w:rsid w:val="0039792B"/>
    <w:rsid w:val="00397F00"/>
    <w:rsid w:val="003A05F7"/>
    <w:rsid w:val="003A0C34"/>
    <w:rsid w:val="003A0F91"/>
    <w:rsid w:val="003A130E"/>
    <w:rsid w:val="003A1472"/>
    <w:rsid w:val="003A1809"/>
    <w:rsid w:val="003A1D65"/>
    <w:rsid w:val="003A25D4"/>
    <w:rsid w:val="003A29B9"/>
    <w:rsid w:val="003A2D61"/>
    <w:rsid w:val="003A3116"/>
    <w:rsid w:val="003A32EE"/>
    <w:rsid w:val="003A3484"/>
    <w:rsid w:val="003A360F"/>
    <w:rsid w:val="003A39EF"/>
    <w:rsid w:val="003A40E1"/>
    <w:rsid w:val="003A447F"/>
    <w:rsid w:val="003A4489"/>
    <w:rsid w:val="003A44FF"/>
    <w:rsid w:val="003A4566"/>
    <w:rsid w:val="003A463D"/>
    <w:rsid w:val="003A485D"/>
    <w:rsid w:val="003A4D1E"/>
    <w:rsid w:val="003A514F"/>
    <w:rsid w:val="003A5DFE"/>
    <w:rsid w:val="003A628D"/>
    <w:rsid w:val="003A649B"/>
    <w:rsid w:val="003A6ADE"/>
    <w:rsid w:val="003A6D3F"/>
    <w:rsid w:val="003A6D5C"/>
    <w:rsid w:val="003A7199"/>
    <w:rsid w:val="003A742F"/>
    <w:rsid w:val="003A7501"/>
    <w:rsid w:val="003A7B6C"/>
    <w:rsid w:val="003A7BFF"/>
    <w:rsid w:val="003A7C77"/>
    <w:rsid w:val="003A7D91"/>
    <w:rsid w:val="003B017D"/>
    <w:rsid w:val="003B03EA"/>
    <w:rsid w:val="003B0CE2"/>
    <w:rsid w:val="003B174C"/>
    <w:rsid w:val="003B1AEA"/>
    <w:rsid w:val="003B1EFF"/>
    <w:rsid w:val="003B2005"/>
    <w:rsid w:val="003B23F8"/>
    <w:rsid w:val="003B2553"/>
    <w:rsid w:val="003B2567"/>
    <w:rsid w:val="003B25C3"/>
    <w:rsid w:val="003B2A68"/>
    <w:rsid w:val="003B2CDC"/>
    <w:rsid w:val="003B2E74"/>
    <w:rsid w:val="003B302A"/>
    <w:rsid w:val="003B3441"/>
    <w:rsid w:val="003B3B94"/>
    <w:rsid w:val="003B3FB2"/>
    <w:rsid w:val="003B400E"/>
    <w:rsid w:val="003B43DE"/>
    <w:rsid w:val="003B449E"/>
    <w:rsid w:val="003B45DC"/>
    <w:rsid w:val="003B475F"/>
    <w:rsid w:val="003B4820"/>
    <w:rsid w:val="003B4BF0"/>
    <w:rsid w:val="003B4C67"/>
    <w:rsid w:val="003B4E1C"/>
    <w:rsid w:val="003B4F03"/>
    <w:rsid w:val="003B4F07"/>
    <w:rsid w:val="003B501A"/>
    <w:rsid w:val="003B5560"/>
    <w:rsid w:val="003B5719"/>
    <w:rsid w:val="003B5D8C"/>
    <w:rsid w:val="003B5F9B"/>
    <w:rsid w:val="003B64FF"/>
    <w:rsid w:val="003B6B32"/>
    <w:rsid w:val="003B6B93"/>
    <w:rsid w:val="003B6D5A"/>
    <w:rsid w:val="003B6DA6"/>
    <w:rsid w:val="003B6DCF"/>
    <w:rsid w:val="003B6F20"/>
    <w:rsid w:val="003B7116"/>
    <w:rsid w:val="003B72DF"/>
    <w:rsid w:val="003B75D4"/>
    <w:rsid w:val="003B7F11"/>
    <w:rsid w:val="003B7FE5"/>
    <w:rsid w:val="003C0028"/>
    <w:rsid w:val="003C0133"/>
    <w:rsid w:val="003C0703"/>
    <w:rsid w:val="003C0B48"/>
    <w:rsid w:val="003C1116"/>
    <w:rsid w:val="003C1391"/>
    <w:rsid w:val="003C1A05"/>
    <w:rsid w:val="003C2102"/>
    <w:rsid w:val="003C2390"/>
    <w:rsid w:val="003C244C"/>
    <w:rsid w:val="003C25CC"/>
    <w:rsid w:val="003C25F5"/>
    <w:rsid w:val="003C263E"/>
    <w:rsid w:val="003C2CED"/>
    <w:rsid w:val="003C2FA5"/>
    <w:rsid w:val="003C31EC"/>
    <w:rsid w:val="003C3262"/>
    <w:rsid w:val="003C3409"/>
    <w:rsid w:val="003C36B3"/>
    <w:rsid w:val="003C37E0"/>
    <w:rsid w:val="003C3D1E"/>
    <w:rsid w:val="003C40AF"/>
    <w:rsid w:val="003C4A11"/>
    <w:rsid w:val="003C4FA9"/>
    <w:rsid w:val="003C4FE0"/>
    <w:rsid w:val="003C5278"/>
    <w:rsid w:val="003C52E6"/>
    <w:rsid w:val="003C5356"/>
    <w:rsid w:val="003C5D7B"/>
    <w:rsid w:val="003C6490"/>
    <w:rsid w:val="003C6BC7"/>
    <w:rsid w:val="003C6D47"/>
    <w:rsid w:val="003C6F7B"/>
    <w:rsid w:val="003C7340"/>
    <w:rsid w:val="003C77C1"/>
    <w:rsid w:val="003D0161"/>
    <w:rsid w:val="003D01F0"/>
    <w:rsid w:val="003D06B5"/>
    <w:rsid w:val="003D0759"/>
    <w:rsid w:val="003D07AE"/>
    <w:rsid w:val="003D0CA1"/>
    <w:rsid w:val="003D1011"/>
    <w:rsid w:val="003D1396"/>
    <w:rsid w:val="003D1470"/>
    <w:rsid w:val="003D16EE"/>
    <w:rsid w:val="003D17C8"/>
    <w:rsid w:val="003D1CB1"/>
    <w:rsid w:val="003D2064"/>
    <w:rsid w:val="003D20FA"/>
    <w:rsid w:val="003D267D"/>
    <w:rsid w:val="003D2805"/>
    <w:rsid w:val="003D2BAD"/>
    <w:rsid w:val="003D2EAC"/>
    <w:rsid w:val="003D2EE8"/>
    <w:rsid w:val="003D2F26"/>
    <w:rsid w:val="003D3067"/>
    <w:rsid w:val="003D3211"/>
    <w:rsid w:val="003D328E"/>
    <w:rsid w:val="003D3531"/>
    <w:rsid w:val="003D36B6"/>
    <w:rsid w:val="003D36BC"/>
    <w:rsid w:val="003D39FC"/>
    <w:rsid w:val="003D3D68"/>
    <w:rsid w:val="003D40BE"/>
    <w:rsid w:val="003D4345"/>
    <w:rsid w:val="003D46A0"/>
    <w:rsid w:val="003D47B2"/>
    <w:rsid w:val="003D47D0"/>
    <w:rsid w:val="003D4843"/>
    <w:rsid w:val="003D487D"/>
    <w:rsid w:val="003D4F1C"/>
    <w:rsid w:val="003D5578"/>
    <w:rsid w:val="003D5A93"/>
    <w:rsid w:val="003D5E36"/>
    <w:rsid w:val="003D604B"/>
    <w:rsid w:val="003D61DB"/>
    <w:rsid w:val="003D69AC"/>
    <w:rsid w:val="003D6B91"/>
    <w:rsid w:val="003D719C"/>
    <w:rsid w:val="003D71A3"/>
    <w:rsid w:val="003D7296"/>
    <w:rsid w:val="003D73A0"/>
    <w:rsid w:val="003D7C1C"/>
    <w:rsid w:val="003D7CE5"/>
    <w:rsid w:val="003D7CE8"/>
    <w:rsid w:val="003D7F63"/>
    <w:rsid w:val="003E0483"/>
    <w:rsid w:val="003E0578"/>
    <w:rsid w:val="003E0915"/>
    <w:rsid w:val="003E0921"/>
    <w:rsid w:val="003E0BAF"/>
    <w:rsid w:val="003E12DE"/>
    <w:rsid w:val="003E14B6"/>
    <w:rsid w:val="003E1565"/>
    <w:rsid w:val="003E15B6"/>
    <w:rsid w:val="003E1884"/>
    <w:rsid w:val="003E18A3"/>
    <w:rsid w:val="003E1A15"/>
    <w:rsid w:val="003E1A45"/>
    <w:rsid w:val="003E1D32"/>
    <w:rsid w:val="003E1DD1"/>
    <w:rsid w:val="003E1F52"/>
    <w:rsid w:val="003E28C1"/>
    <w:rsid w:val="003E28FB"/>
    <w:rsid w:val="003E292B"/>
    <w:rsid w:val="003E2C25"/>
    <w:rsid w:val="003E2E8A"/>
    <w:rsid w:val="003E31A0"/>
    <w:rsid w:val="003E3565"/>
    <w:rsid w:val="003E3D07"/>
    <w:rsid w:val="003E3E86"/>
    <w:rsid w:val="003E4324"/>
    <w:rsid w:val="003E4D83"/>
    <w:rsid w:val="003E5238"/>
    <w:rsid w:val="003E5484"/>
    <w:rsid w:val="003E560F"/>
    <w:rsid w:val="003E5C27"/>
    <w:rsid w:val="003E5FF8"/>
    <w:rsid w:val="003E606D"/>
    <w:rsid w:val="003E636E"/>
    <w:rsid w:val="003E663B"/>
    <w:rsid w:val="003E68C0"/>
    <w:rsid w:val="003E698A"/>
    <w:rsid w:val="003E6DD2"/>
    <w:rsid w:val="003E754E"/>
    <w:rsid w:val="003E76A8"/>
    <w:rsid w:val="003E7781"/>
    <w:rsid w:val="003E78E3"/>
    <w:rsid w:val="003E7AA3"/>
    <w:rsid w:val="003F01C6"/>
    <w:rsid w:val="003F03F0"/>
    <w:rsid w:val="003F0440"/>
    <w:rsid w:val="003F0771"/>
    <w:rsid w:val="003F0C14"/>
    <w:rsid w:val="003F0E4F"/>
    <w:rsid w:val="003F0E80"/>
    <w:rsid w:val="003F10A5"/>
    <w:rsid w:val="003F1199"/>
    <w:rsid w:val="003F11ED"/>
    <w:rsid w:val="003F1660"/>
    <w:rsid w:val="003F1CE8"/>
    <w:rsid w:val="003F1DDA"/>
    <w:rsid w:val="003F212E"/>
    <w:rsid w:val="003F2431"/>
    <w:rsid w:val="003F270D"/>
    <w:rsid w:val="003F2791"/>
    <w:rsid w:val="003F29BE"/>
    <w:rsid w:val="003F2B3D"/>
    <w:rsid w:val="003F2CA0"/>
    <w:rsid w:val="003F3122"/>
    <w:rsid w:val="003F32E7"/>
    <w:rsid w:val="003F33F3"/>
    <w:rsid w:val="003F354B"/>
    <w:rsid w:val="003F3754"/>
    <w:rsid w:val="003F3892"/>
    <w:rsid w:val="003F3A76"/>
    <w:rsid w:val="003F3AC9"/>
    <w:rsid w:val="003F3B4B"/>
    <w:rsid w:val="003F3F74"/>
    <w:rsid w:val="003F3FBD"/>
    <w:rsid w:val="003F40B8"/>
    <w:rsid w:val="003F40DD"/>
    <w:rsid w:val="003F44A2"/>
    <w:rsid w:val="003F4C26"/>
    <w:rsid w:val="003F4D9F"/>
    <w:rsid w:val="003F4F8B"/>
    <w:rsid w:val="003F5420"/>
    <w:rsid w:val="003F57BD"/>
    <w:rsid w:val="003F57C7"/>
    <w:rsid w:val="003F59AB"/>
    <w:rsid w:val="003F5D84"/>
    <w:rsid w:val="003F629A"/>
    <w:rsid w:val="003F62EC"/>
    <w:rsid w:val="003F68AD"/>
    <w:rsid w:val="003F6E8A"/>
    <w:rsid w:val="003F7046"/>
    <w:rsid w:val="003F7207"/>
    <w:rsid w:val="003F73CA"/>
    <w:rsid w:val="003F789D"/>
    <w:rsid w:val="003F7ACD"/>
    <w:rsid w:val="003F7B98"/>
    <w:rsid w:val="003F7BEF"/>
    <w:rsid w:val="003F7F15"/>
    <w:rsid w:val="00400505"/>
    <w:rsid w:val="00400890"/>
    <w:rsid w:val="004008D5"/>
    <w:rsid w:val="00400E39"/>
    <w:rsid w:val="00400E5D"/>
    <w:rsid w:val="004013A1"/>
    <w:rsid w:val="004015DD"/>
    <w:rsid w:val="0040176F"/>
    <w:rsid w:val="004017CC"/>
    <w:rsid w:val="00401847"/>
    <w:rsid w:val="004022EA"/>
    <w:rsid w:val="00402784"/>
    <w:rsid w:val="00402919"/>
    <w:rsid w:val="00402D04"/>
    <w:rsid w:val="00403724"/>
    <w:rsid w:val="00403743"/>
    <w:rsid w:val="00403765"/>
    <w:rsid w:val="004038FF"/>
    <w:rsid w:val="0040397B"/>
    <w:rsid w:val="00403BE1"/>
    <w:rsid w:val="00403DE4"/>
    <w:rsid w:val="00403F3E"/>
    <w:rsid w:val="004040E5"/>
    <w:rsid w:val="004045A9"/>
    <w:rsid w:val="00404602"/>
    <w:rsid w:val="0040465D"/>
    <w:rsid w:val="004047E3"/>
    <w:rsid w:val="00404B65"/>
    <w:rsid w:val="0040523B"/>
    <w:rsid w:val="0040565D"/>
    <w:rsid w:val="004056B2"/>
    <w:rsid w:val="00405A24"/>
    <w:rsid w:val="00405EAC"/>
    <w:rsid w:val="00405F19"/>
    <w:rsid w:val="00405F70"/>
    <w:rsid w:val="004064D7"/>
    <w:rsid w:val="00406682"/>
    <w:rsid w:val="00406B37"/>
    <w:rsid w:val="00407283"/>
    <w:rsid w:val="004073E6"/>
    <w:rsid w:val="004075C0"/>
    <w:rsid w:val="00407B62"/>
    <w:rsid w:val="00407BAC"/>
    <w:rsid w:val="00410012"/>
    <w:rsid w:val="004102C9"/>
    <w:rsid w:val="0041060A"/>
    <w:rsid w:val="00410757"/>
    <w:rsid w:val="004107C2"/>
    <w:rsid w:val="0041098D"/>
    <w:rsid w:val="004109CF"/>
    <w:rsid w:val="00410B0E"/>
    <w:rsid w:val="00411087"/>
    <w:rsid w:val="00411292"/>
    <w:rsid w:val="00411372"/>
    <w:rsid w:val="0041143E"/>
    <w:rsid w:val="0041183A"/>
    <w:rsid w:val="004120BD"/>
    <w:rsid w:val="00412219"/>
    <w:rsid w:val="004126D3"/>
    <w:rsid w:val="00412E1A"/>
    <w:rsid w:val="0041300C"/>
    <w:rsid w:val="004132D2"/>
    <w:rsid w:val="00413345"/>
    <w:rsid w:val="00413842"/>
    <w:rsid w:val="00413876"/>
    <w:rsid w:val="00413A92"/>
    <w:rsid w:val="00413C4F"/>
    <w:rsid w:val="00413CBC"/>
    <w:rsid w:val="00413CD5"/>
    <w:rsid w:val="00413ECA"/>
    <w:rsid w:val="00414071"/>
    <w:rsid w:val="004143F7"/>
    <w:rsid w:val="00414644"/>
    <w:rsid w:val="004146C8"/>
    <w:rsid w:val="00414A38"/>
    <w:rsid w:val="00414E65"/>
    <w:rsid w:val="004151E6"/>
    <w:rsid w:val="00415C5B"/>
    <w:rsid w:val="00415D29"/>
    <w:rsid w:val="00415DBF"/>
    <w:rsid w:val="004162BD"/>
    <w:rsid w:val="0041670F"/>
    <w:rsid w:val="00416A26"/>
    <w:rsid w:val="00416AAE"/>
    <w:rsid w:val="00416BB3"/>
    <w:rsid w:val="00416C59"/>
    <w:rsid w:val="00416D54"/>
    <w:rsid w:val="004170C6"/>
    <w:rsid w:val="004171E1"/>
    <w:rsid w:val="00417381"/>
    <w:rsid w:val="00417531"/>
    <w:rsid w:val="00417CD5"/>
    <w:rsid w:val="00417CFD"/>
    <w:rsid w:val="00417F88"/>
    <w:rsid w:val="00417F9B"/>
    <w:rsid w:val="00420007"/>
    <w:rsid w:val="004206EE"/>
    <w:rsid w:val="004208AF"/>
    <w:rsid w:val="004210FE"/>
    <w:rsid w:val="00421203"/>
    <w:rsid w:val="004212C7"/>
    <w:rsid w:val="0042160F"/>
    <w:rsid w:val="004216FC"/>
    <w:rsid w:val="00421C6E"/>
    <w:rsid w:val="00421D9D"/>
    <w:rsid w:val="00422274"/>
    <w:rsid w:val="00422796"/>
    <w:rsid w:val="0042280F"/>
    <w:rsid w:val="00422830"/>
    <w:rsid w:val="0042288E"/>
    <w:rsid w:val="00422A44"/>
    <w:rsid w:val="00422E3E"/>
    <w:rsid w:val="00422E94"/>
    <w:rsid w:val="00422F39"/>
    <w:rsid w:val="004231E2"/>
    <w:rsid w:val="00423606"/>
    <w:rsid w:val="0042360C"/>
    <w:rsid w:val="00423948"/>
    <w:rsid w:val="00423966"/>
    <w:rsid w:val="004239D2"/>
    <w:rsid w:val="00423A7F"/>
    <w:rsid w:val="00423B9B"/>
    <w:rsid w:val="00423CC1"/>
    <w:rsid w:val="00424243"/>
    <w:rsid w:val="0042433B"/>
    <w:rsid w:val="004248F5"/>
    <w:rsid w:val="00424B5E"/>
    <w:rsid w:val="00424DA7"/>
    <w:rsid w:val="00424EF8"/>
    <w:rsid w:val="00424F28"/>
    <w:rsid w:val="00424F4F"/>
    <w:rsid w:val="00425089"/>
    <w:rsid w:val="004254A3"/>
    <w:rsid w:val="00425845"/>
    <w:rsid w:val="00425884"/>
    <w:rsid w:val="00425938"/>
    <w:rsid w:val="00425A23"/>
    <w:rsid w:val="00425BC3"/>
    <w:rsid w:val="00425F42"/>
    <w:rsid w:val="00425FC2"/>
    <w:rsid w:val="0042617D"/>
    <w:rsid w:val="00426234"/>
    <w:rsid w:val="00426375"/>
    <w:rsid w:val="00426E4D"/>
    <w:rsid w:val="004277F6"/>
    <w:rsid w:val="00427BD6"/>
    <w:rsid w:val="00427C4A"/>
    <w:rsid w:val="004304B5"/>
    <w:rsid w:val="004304E8"/>
    <w:rsid w:val="004305B5"/>
    <w:rsid w:val="004305BC"/>
    <w:rsid w:val="00430715"/>
    <w:rsid w:val="00430868"/>
    <w:rsid w:val="00430883"/>
    <w:rsid w:val="004309FB"/>
    <w:rsid w:val="00430AE1"/>
    <w:rsid w:val="00430B64"/>
    <w:rsid w:val="00430EF6"/>
    <w:rsid w:val="004310DB"/>
    <w:rsid w:val="004313E4"/>
    <w:rsid w:val="00431655"/>
    <w:rsid w:val="00431E63"/>
    <w:rsid w:val="004329D9"/>
    <w:rsid w:val="00432A30"/>
    <w:rsid w:val="00432B50"/>
    <w:rsid w:val="00432EE2"/>
    <w:rsid w:val="00432F57"/>
    <w:rsid w:val="00432FCC"/>
    <w:rsid w:val="00433406"/>
    <w:rsid w:val="0043405B"/>
    <w:rsid w:val="004342D1"/>
    <w:rsid w:val="00434312"/>
    <w:rsid w:val="00434529"/>
    <w:rsid w:val="004345CB"/>
    <w:rsid w:val="00434D54"/>
    <w:rsid w:val="00434F15"/>
    <w:rsid w:val="00435359"/>
    <w:rsid w:val="004353ED"/>
    <w:rsid w:val="0043543A"/>
    <w:rsid w:val="0043549D"/>
    <w:rsid w:val="004356BF"/>
    <w:rsid w:val="00435B71"/>
    <w:rsid w:val="00435DF2"/>
    <w:rsid w:val="00435F15"/>
    <w:rsid w:val="0043608A"/>
    <w:rsid w:val="00436271"/>
    <w:rsid w:val="0043651F"/>
    <w:rsid w:val="00436668"/>
    <w:rsid w:val="004366C7"/>
    <w:rsid w:val="0043684E"/>
    <w:rsid w:val="00436A4E"/>
    <w:rsid w:val="00436CB3"/>
    <w:rsid w:val="00437114"/>
    <w:rsid w:val="0043733A"/>
    <w:rsid w:val="00437C28"/>
    <w:rsid w:val="00440657"/>
    <w:rsid w:val="0044084A"/>
    <w:rsid w:val="00440A75"/>
    <w:rsid w:val="00440BE1"/>
    <w:rsid w:val="00440D46"/>
    <w:rsid w:val="00440DF9"/>
    <w:rsid w:val="00441124"/>
    <w:rsid w:val="00441150"/>
    <w:rsid w:val="00441450"/>
    <w:rsid w:val="0044157E"/>
    <w:rsid w:val="0044172D"/>
    <w:rsid w:val="00441C53"/>
    <w:rsid w:val="00441D44"/>
    <w:rsid w:val="00441F14"/>
    <w:rsid w:val="00441F87"/>
    <w:rsid w:val="0044245C"/>
    <w:rsid w:val="00442AD3"/>
    <w:rsid w:val="00443024"/>
    <w:rsid w:val="0044329E"/>
    <w:rsid w:val="004435A0"/>
    <w:rsid w:val="004437ED"/>
    <w:rsid w:val="00443802"/>
    <w:rsid w:val="00443BD5"/>
    <w:rsid w:val="00443C18"/>
    <w:rsid w:val="00443D7F"/>
    <w:rsid w:val="004442B3"/>
    <w:rsid w:val="004446A8"/>
    <w:rsid w:val="00445106"/>
    <w:rsid w:val="0044519A"/>
    <w:rsid w:val="00445298"/>
    <w:rsid w:val="00445B34"/>
    <w:rsid w:val="00445BE7"/>
    <w:rsid w:val="00445C85"/>
    <w:rsid w:val="00445C86"/>
    <w:rsid w:val="0044609E"/>
    <w:rsid w:val="00446146"/>
    <w:rsid w:val="0044616B"/>
    <w:rsid w:val="0044651B"/>
    <w:rsid w:val="004468FC"/>
    <w:rsid w:val="00446911"/>
    <w:rsid w:val="00446BC3"/>
    <w:rsid w:val="00446D96"/>
    <w:rsid w:val="00446F51"/>
    <w:rsid w:val="00447051"/>
    <w:rsid w:val="004475C7"/>
    <w:rsid w:val="004479C5"/>
    <w:rsid w:val="00447DC2"/>
    <w:rsid w:val="004501DE"/>
    <w:rsid w:val="0045020A"/>
    <w:rsid w:val="004503BD"/>
    <w:rsid w:val="00450404"/>
    <w:rsid w:val="00450A29"/>
    <w:rsid w:val="004511F4"/>
    <w:rsid w:val="0045130F"/>
    <w:rsid w:val="00451456"/>
    <w:rsid w:val="00451526"/>
    <w:rsid w:val="00451640"/>
    <w:rsid w:val="0045199A"/>
    <w:rsid w:val="0045199E"/>
    <w:rsid w:val="00451DCA"/>
    <w:rsid w:val="00451E78"/>
    <w:rsid w:val="004529D2"/>
    <w:rsid w:val="00452A6C"/>
    <w:rsid w:val="00452AD2"/>
    <w:rsid w:val="00452BA4"/>
    <w:rsid w:val="00452E06"/>
    <w:rsid w:val="004531B5"/>
    <w:rsid w:val="00453359"/>
    <w:rsid w:val="0045341A"/>
    <w:rsid w:val="0045387D"/>
    <w:rsid w:val="00453B6E"/>
    <w:rsid w:val="00453D1F"/>
    <w:rsid w:val="004540A8"/>
    <w:rsid w:val="00454122"/>
    <w:rsid w:val="004545DE"/>
    <w:rsid w:val="004547A0"/>
    <w:rsid w:val="004547D5"/>
    <w:rsid w:val="00454FA9"/>
    <w:rsid w:val="0045517B"/>
    <w:rsid w:val="00455195"/>
    <w:rsid w:val="00455261"/>
    <w:rsid w:val="004555B9"/>
    <w:rsid w:val="004564CE"/>
    <w:rsid w:val="00456819"/>
    <w:rsid w:val="00456850"/>
    <w:rsid w:val="00456D10"/>
    <w:rsid w:val="00460102"/>
    <w:rsid w:val="0046013A"/>
    <w:rsid w:val="00460566"/>
    <w:rsid w:val="004607B4"/>
    <w:rsid w:val="00460918"/>
    <w:rsid w:val="00460F61"/>
    <w:rsid w:val="004615FC"/>
    <w:rsid w:val="00461A0A"/>
    <w:rsid w:val="00461AA3"/>
    <w:rsid w:val="00461DCD"/>
    <w:rsid w:val="00462332"/>
    <w:rsid w:val="0046254C"/>
    <w:rsid w:val="00462CAD"/>
    <w:rsid w:val="00462E2C"/>
    <w:rsid w:val="00462FB1"/>
    <w:rsid w:val="00462FF8"/>
    <w:rsid w:val="00463112"/>
    <w:rsid w:val="004633AE"/>
    <w:rsid w:val="004635C9"/>
    <w:rsid w:val="00463A66"/>
    <w:rsid w:val="0046409A"/>
    <w:rsid w:val="004641B8"/>
    <w:rsid w:val="004641E8"/>
    <w:rsid w:val="004645AA"/>
    <w:rsid w:val="004647E0"/>
    <w:rsid w:val="00464BEC"/>
    <w:rsid w:val="00464CB2"/>
    <w:rsid w:val="00464E13"/>
    <w:rsid w:val="004654F5"/>
    <w:rsid w:val="00465D70"/>
    <w:rsid w:val="00466326"/>
    <w:rsid w:val="00466CF2"/>
    <w:rsid w:val="00466CF8"/>
    <w:rsid w:val="004673EA"/>
    <w:rsid w:val="004675B3"/>
    <w:rsid w:val="004675C2"/>
    <w:rsid w:val="00467976"/>
    <w:rsid w:val="00467C77"/>
    <w:rsid w:val="00467CDF"/>
    <w:rsid w:val="00467E7D"/>
    <w:rsid w:val="004701CB"/>
    <w:rsid w:val="00470387"/>
    <w:rsid w:val="0047039D"/>
    <w:rsid w:val="0047066C"/>
    <w:rsid w:val="004707BA"/>
    <w:rsid w:val="004707E2"/>
    <w:rsid w:val="004709F8"/>
    <w:rsid w:val="00470C7E"/>
    <w:rsid w:val="00470DA1"/>
    <w:rsid w:val="00471BF6"/>
    <w:rsid w:val="00471C69"/>
    <w:rsid w:val="00472043"/>
    <w:rsid w:val="004723F8"/>
    <w:rsid w:val="004724C0"/>
    <w:rsid w:val="00472700"/>
    <w:rsid w:val="004728E4"/>
    <w:rsid w:val="00472CF9"/>
    <w:rsid w:val="004730F6"/>
    <w:rsid w:val="00473130"/>
    <w:rsid w:val="0047315B"/>
    <w:rsid w:val="0047319C"/>
    <w:rsid w:val="004736C2"/>
    <w:rsid w:val="00473BFF"/>
    <w:rsid w:val="00473EA6"/>
    <w:rsid w:val="004740B7"/>
    <w:rsid w:val="00474116"/>
    <w:rsid w:val="00474488"/>
    <w:rsid w:val="0047461D"/>
    <w:rsid w:val="00474780"/>
    <w:rsid w:val="004748D6"/>
    <w:rsid w:val="00474D59"/>
    <w:rsid w:val="0047503D"/>
    <w:rsid w:val="0047520D"/>
    <w:rsid w:val="00475898"/>
    <w:rsid w:val="004758A9"/>
    <w:rsid w:val="00475B64"/>
    <w:rsid w:val="00475D01"/>
    <w:rsid w:val="00475DFC"/>
    <w:rsid w:val="0047615C"/>
    <w:rsid w:val="0047626A"/>
    <w:rsid w:val="004764F4"/>
    <w:rsid w:val="0047679C"/>
    <w:rsid w:val="00476A15"/>
    <w:rsid w:val="00476B3E"/>
    <w:rsid w:val="00476D76"/>
    <w:rsid w:val="004770D8"/>
    <w:rsid w:val="004772C9"/>
    <w:rsid w:val="004772E5"/>
    <w:rsid w:val="00477524"/>
    <w:rsid w:val="004776BB"/>
    <w:rsid w:val="0047798B"/>
    <w:rsid w:val="004802D9"/>
    <w:rsid w:val="00480334"/>
    <w:rsid w:val="0048099F"/>
    <w:rsid w:val="00480BD6"/>
    <w:rsid w:val="00480CBD"/>
    <w:rsid w:val="00480E2C"/>
    <w:rsid w:val="00480F1E"/>
    <w:rsid w:val="00481145"/>
    <w:rsid w:val="0048160E"/>
    <w:rsid w:val="00481672"/>
    <w:rsid w:val="00481912"/>
    <w:rsid w:val="004819A5"/>
    <w:rsid w:val="00482018"/>
    <w:rsid w:val="00482779"/>
    <w:rsid w:val="004831F9"/>
    <w:rsid w:val="0048389A"/>
    <w:rsid w:val="00483C0B"/>
    <w:rsid w:val="00483C5D"/>
    <w:rsid w:val="00483D1C"/>
    <w:rsid w:val="00483FF1"/>
    <w:rsid w:val="004840A0"/>
    <w:rsid w:val="00484306"/>
    <w:rsid w:val="0048432D"/>
    <w:rsid w:val="00484377"/>
    <w:rsid w:val="0048460C"/>
    <w:rsid w:val="0048486E"/>
    <w:rsid w:val="00484BDB"/>
    <w:rsid w:val="00484E57"/>
    <w:rsid w:val="004850A1"/>
    <w:rsid w:val="004853C7"/>
    <w:rsid w:val="00485475"/>
    <w:rsid w:val="00485495"/>
    <w:rsid w:val="004854B6"/>
    <w:rsid w:val="004854EF"/>
    <w:rsid w:val="0048564C"/>
    <w:rsid w:val="00485934"/>
    <w:rsid w:val="00485B51"/>
    <w:rsid w:val="00485B8F"/>
    <w:rsid w:val="00485C85"/>
    <w:rsid w:val="0048604A"/>
    <w:rsid w:val="00486A41"/>
    <w:rsid w:val="00486B15"/>
    <w:rsid w:val="00486D34"/>
    <w:rsid w:val="004870C9"/>
    <w:rsid w:val="0048718E"/>
    <w:rsid w:val="004871C8"/>
    <w:rsid w:val="004874F2"/>
    <w:rsid w:val="004876B0"/>
    <w:rsid w:val="00487A0E"/>
    <w:rsid w:val="00487AC6"/>
    <w:rsid w:val="00487D4D"/>
    <w:rsid w:val="00487EF6"/>
    <w:rsid w:val="00487FDC"/>
    <w:rsid w:val="004903EE"/>
    <w:rsid w:val="00490777"/>
    <w:rsid w:val="0049098F"/>
    <w:rsid w:val="00490C06"/>
    <w:rsid w:val="00490CE4"/>
    <w:rsid w:val="00490D01"/>
    <w:rsid w:val="00490EE6"/>
    <w:rsid w:val="004910BC"/>
    <w:rsid w:val="0049125E"/>
    <w:rsid w:val="004912C8"/>
    <w:rsid w:val="00491350"/>
    <w:rsid w:val="00491590"/>
    <w:rsid w:val="004918C6"/>
    <w:rsid w:val="00491BEC"/>
    <w:rsid w:val="00491D80"/>
    <w:rsid w:val="00491E6F"/>
    <w:rsid w:val="00491ECD"/>
    <w:rsid w:val="0049229F"/>
    <w:rsid w:val="00492514"/>
    <w:rsid w:val="00492551"/>
    <w:rsid w:val="004926E0"/>
    <w:rsid w:val="0049278C"/>
    <w:rsid w:val="00492DAA"/>
    <w:rsid w:val="00492FDB"/>
    <w:rsid w:val="004930CA"/>
    <w:rsid w:val="00493210"/>
    <w:rsid w:val="004935D1"/>
    <w:rsid w:val="00493623"/>
    <w:rsid w:val="00493CA8"/>
    <w:rsid w:val="00493CE3"/>
    <w:rsid w:val="00494165"/>
    <w:rsid w:val="0049417B"/>
    <w:rsid w:val="00494357"/>
    <w:rsid w:val="00494A5E"/>
    <w:rsid w:val="00494EC6"/>
    <w:rsid w:val="0049579E"/>
    <w:rsid w:val="0049582B"/>
    <w:rsid w:val="00495898"/>
    <w:rsid w:val="00495A5C"/>
    <w:rsid w:val="00495C72"/>
    <w:rsid w:val="0049662F"/>
    <w:rsid w:val="00496B33"/>
    <w:rsid w:val="00496E08"/>
    <w:rsid w:val="0049702F"/>
    <w:rsid w:val="004971DB"/>
    <w:rsid w:val="00497307"/>
    <w:rsid w:val="004974ED"/>
    <w:rsid w:val="00497752"/>
    <w:rsid w:val="004977B7"/>
    <w:rsid w:val="00497AE1"/>
    <w:rsid w:val="00497EEE"/>
    <w:rsid w:val="004A00CB"/>
    <w:rsid w:val="004A0192"/>
    <w:rsid w:val="004A05E8"/>
    <w:rsid w:val="004A0E3F"/>
    <w:rsid w:val="004A1342"/>
    <w:rsid w:val="004A178C"/>
    <w:rsid w:val="004A183B"/>
    <w:rsid w:val="004A1BB9"/>
    <w:rsid w:val="004A1C69"/>
    <w:rsid w:val="004A2487"/>
    <w:rsid w:val="004A2D6F"/>
    <w:rsid w:val="004A34A4"/>
    <w:rsid w:val="004A39DB"/>
    <w:rsid w:val="004A429A"/>
    <w:rsid w:val="004A42CB"/>
    <w:rsid w:val="004A48EB"/>
    <w:rsid w:val="004A497A"/>
    <w:rsid w:val="004A4E01"/>
    <w:rsid w:val="004A4EC2"/>
    <w:rsid w:val="004A4FC6"/>
    <w:rsid w:val="004A51F9"/>
    <w:rsid w:val="004A523E"/>
    <w:rsid w:val="004A5E39"/>
    <w:rsid w:val="004A5EF6"/>
    <w:rsid w:val="004A62C5"/>
    <w:rsid w:val="004A63D6"/>
    <w:rsid w:val="004A6408"/>
    <w:rsid w:val="004A6764"/>
    <w:rsid w:val="004A67D3"/>
    <w:rsid w:val="004A69AE"/>
    <w:rsid w:val="004A6E1E"/>
    <w:rsid w:val="004A7373"/>
    <w:rsid w:val="004A7A55"/>
    <w:rsid w:val="004A7B44"/>
    <w:rsid w:val="004A7F01"/>
    <w:rsid w:val="004A7FC2"/>
    <w:rsid w:val="004B00E6"/>
    <w:rsid w:val="004B042B"/>
    <w:rsid w:val="004B05D1"/>
    <w:rsid w:val="004B05DD"/>
    <w:rsid w:val="004B07C4"/>
    <w:rsid w:val="004B0900"/>
    <w:rsid w:val="004B0D8E"/>
    <w:rsid w:val="004B1206"/>
    <w:rsid w:val="004B1F58"/>
    <w:rsid w:val="004B1FAC"/>
    <w:rsid w:val="004B200B"/>
    <w:rsid w:val="004B2579"/>
    <w:rsid w:val="004B2B92"/>
    <w:rsid w:val="004B2D58"/>
    <w:rsid w:val="004B2EE5"/>
    <w:rsid w:val="004B2F32"/>
    <w:rsid w:val="004B3001"/>
    <w:rsid w:val="004B3110"/>
    <w:rsid w:val="004B333E"/>
    <w:rsid w:val="004B355F"/>
    <w:rsid w:val="004B3753"/>
    <w:rsid w:val="004B3CB3"/>
    <w:rsid w:val="004B47DA"/>
    <w:rsid w:val="004B490E"/>
    <w:rsid w:val="004B49FC"/>
    <w:rsid w:val="004B4CE8"/>
    <w:rsid w:val="004B4E91"/>
    <w:rsid w:val="004B54A9"/>
    <w:rsid w:val="004B54B4"/>
    <w:rsid w:val="004B557B"/>
    <w:rsid w:val="004B5608"/>
    <w:rsid w:val="004B56B6"/>
    <w:rsid w:val="004B56E3"/>
    <w:rsid w:val="004B58C5"/>
    <w:rsid w:val="004B5DCB"/>
    <w:rsid w:val="004B5E89"/>
    <w:rsid w:val="004B6116"/>
    <w:rsid w:val="004B6655"/>
    <w:rsid w:val="004B6CA9"/>
    <w:rsid w:val="004B6CC0"/>
    <w:rsid w:val="004B714E"/>
    <w:rsid w:val="004B7443"/>
    <w:rsid w:val="004B7492"/>
    <w:rsid w:val="004B7649"/>
    <w:rsid w:val="004B7774"/>
    <w:rsid w:val="004B7CCC"/>
    <w:rsid w:val="004B7F19"/>
    <w:rsid w:val="004C00DF"/>
    <w:rsid w:val="004C0250"/>
    <w:rsid w:val="004C0655"/>
    <w:rsid w:val="004C08ED"/>
    <w:rsid w:val="004C0AFB"/>
    <w:rsid w:val="004C0FCC"/>
    <w:rsid w:val="004C17C9"/>
    <w:rsid w:val="004C1952"/>
    <w:rsid w:val="004C19CC"/>
    <w:rsid w:val="004C1CD0"/>
    <w:rsid w:val="004C1D60"/>
    <w:rsid w:val="004C1E6C"/>
    <w:rsid w:val="004C2360"/>
    <w:rsid w:val="004C2614"/>
    <w:rsid w:val="004C2A71"/>
    <w:rsid w:val="004C2B4C"/>
    <w:rsid w:val="004C2C6A"/>
    <w:rsid w:val="004C3298"/>
    <w:rsid w:val="004C35A2"/>
    <w:rsid w:val="004C35A7"/>
    <w:rsid w:val="004C470C"/>
    <w:rsid w:val="004C49BF"/>
    <w:rsid w:val="004C51AE"/>
    <w:rsid w:val="004C51CB"/>
    <w:rsid w:val="004C51FE"/>
    <w:rsid w:val="004C53EA"/>
    <w:rsid w:val="004C542E"/>
    <w:rsid w:val="004C5440"/>
    <w:rsid w:val="004C5759"/>
    <w:rsid w:val="004C5781"/>
    <w:rsid w:val="004C5B40"/>
    <w:rsid w:val="004C5C76"/>
    <w:rsid w:val="004C5C7D"/>
    <w:rsid w:val="004C5CD0"/>
    <w:rsid w:val="004C63BA"/>
    <w:rsid w:val="004C65E3"/>
    <w:rsid w:val="004C6777"/>
    <w:rsid w:val="004C67AB"/>
    <w:rsid w:val="004C67FE"/>
    <w:rsid w:val="004C6ACF"/>
    <w:rsid w:val="004C6E1F"/>
    <w:rsid w:val="004C6E36"/>
    <w:rsid w:val="004C6F72"/>
    <w:rsid w:val="004C7721"/>
    <w:rsid w:val="004C7A9B"/>
    <w:rsid w:val="004C7D2E"/>
    <w:rsid w:val="004C7D98"/>
    <w:rsid w:val="004D02C0"/>
    <w:rsid w:val="004D0818"/>
    <w:rsid w:val="004D098F"/>
    <w:rsid w:val="004D0A41"/>
    <w:rsid w:val="004D0A70"/>
    <w:rsid w:val="004D0C24"/>
    <w:rsid w:val="004D1052"/>
    <w:rsid w:val="004D16E5"/>
    <w:rsid w:val="004D1B25"/>
    <w:rsid w:val="004D1D94"/>
    <w:rsid w:val="004D2026"/>
    <w:rsid w:val="004D224B"/>
    <w:rsid w:val="004D2640"/>
    <w:rsid w:val="004D3195"/>
    <w:rsid w:val="004D32DD"/>
    <w:rsid w:val="004D3303"/>
    <w:rsid w:val="004D3348"/>
    <w:rsid w:val="004D343C"/>
    <w:rsid w:val="004D3B33"/>
    <w:rsid w:val="004D3DC9"/>
    <w:rsid w:val="004D3F67"/>
    <w:rsid w:val="004D44ED"/>
    <w:rsid w:val="004D45B3"/>
    <w:rsid w:val="004D4C69"/>
    <w:rsid w:val="004D4DEA"/>
    <w:rsid w:val="004D5297"/>
    <w:rsid w:val="004D54E9"/>
    <w:rsid w:val="004D54F6"/>
    <w:rsid w:val="004D55F4"/>
    <w:rsid w:val="004D5AC4"/>
    <w:rsid w:val="004D5FBF"/>
    <w:rsid w:val="004D656F"/>
    <w:rsid w:val="004D691B"/>
    <w:rsid w:val="004D6F51"/>
    <w:rsid w:val="004D6FC7"/>
    <w:rsid w:val="004D735A"/>
    <w:rsid w:val="004D7585"/>
    <w:rsid w:val="004D763D"/>
    <w:rsid w:val="004D7ECB"/>
    <w:rsid w:val="004E0016"/>
    <w:rsid w:val="004E0061"/>
    <w:rsid w:val="004E00EC"/>
    <w:rsid w:val="004E0154"/>
    <w:rsid w:val="004E0817"/>
    <w:rsid w:val="004E0AFB"/>
    <w:rsid w:val="004E0B69"/>
    <w:rsid w:val="004E0E40"/>
    <w:rsid w:val="004E0FCD"/>
    <w:rsid w:val="004E10A2"/>
    <w:rsid w:val="004E1268"/>
    <w:rsid w:val="004E13DE"/>
    <w:rsid w:val="004E149E"/>
    <w:rsid w:val="004E150F"/>
    <w:rsid w:val="004E1DF1"/>
    <w:rsid w:val="004E1E95"/>
    <w:rsid w:val="004E20BD"/>
    <w:rsid w:val="004E21D6"/>
    <w:rsid w:val="004E2550"/>
    <w:rsid w:val="004E2729"/>
    <w:rsid w:val="004E27E6"/>
    <w:rsid w:val="004E2963"/>
    <w:rsid w:val="004E2AB6"/>
    <w:rsid w:val="004E2B6A"/>
    <w:rsid w:val="004E2F2D"/>
    <w:rsid w:val="004E334C"/>
    <w:rsid w:val="004E33C4"/>
    <w:rsid w:val="004E3501"/>
    <w:rsid w:val="004E39CE"/>
    <w:rsid w:val="004E3F70"/>
    <w:rsid w:val="004E402A"/>
    <w:rsid w:val="004E41E8"/>
    <w:rsid w:val="004E4368"/>
    <w:rsid w:val="004E4393"/>
    <w:rsid w:val="004E454E"/>
    <w:rsid w:val="004E4882"/>
    <w:rsid w:val="004E4889"/>
    <w:rsid w:val="004E48A3"/>
    <w:rsid w:val="004E49B9"/>
    <w:rsid w:val="004E4A9E"/>
    <w:rsid w:val="004E4C50"/>
    <w:rsid w:val="004E4FC0"/>
    <w:rsid w:val="004E501B"/>
    <w:rsid w:val="004E5171"/>
    <w:rsid w:val="004E5290"/>
    <w:rsid w:val="004E54FD"/>
    <w:rsid w:val="004E57F7"/>
    <w:rsid w:val="004E5EEE"/>
    <w:rsid w:val="004E61FE"/>
    <w:rsid w:val="004E67E9"/>
    <w:rsid w:val="004E6DAF"/>
    <w:rsid w:val="004E73B1"/>
    <w:rsid w:val="004E7582"/>
    <w:rsid w:val="004E75A5"/>
    <w:rsid w:val="004E776A"/>
    <w:rsid w:val="004E7B0C"/>
    <w:rsid w:val="004E7BD1"/>
    <w:rsid w:val="004F0095"/>
    <w:rsid w:val="004F0102"/>
    <w:rsid w:val="004F0487"/>
    <w:rsid w:val="004F0553"/>
    <w:rsid w:val="004F09C6"/>
    <w:rsid w:val="004F0A0D"/>
    <w:rsid w:val="004F0F48"/>
    <w:rsid w:val="004F1322"/>
    <w:rsid w:val="004F17EB"/>
    <w:rsid w:val="004F19DB"/>
    <w:rsid w:val="004F1EFA"/>
    <w:rsid w:val="004F20BB"/>
    <w:rsid w:val="004F2549"/>
    <w:rsid w:val="004F2A5E"/>
    <w:rsid w:val="004F2A80"/>
    <w:rsid w:val="004F2D49"/>
    <w:rsid w:val="004F2FEA"/>
    <w:rsid w:val="004F3B19"/>
    <w:rsid w:val="004F3C1E"/>
    <w:rsid w:val="004F3C85"/>
    <w:rsid w:val="004F3E1E"/>
    <w:rsid w:val="004F3F89"/>
    <w:rsid w:val="004F468E"/>
    <w:rsid w:val="004F4B17"/>
    <w:rsid w:val="004F51D3"/>
    <w:rsid w:val="004F5220"/>
    <w:rsid w:val="004F5292"/>
    <w:rsid w:val="004F54A1"/>
    <w:rsid w:val="004F556C"/>
    <w:rsid w:val="004F5578"/>
    <w:rsid w:val="004F5589"/>
    <w:rsid w:val="004F5DF6"/>
    <w:rsid w:val="004F5F28"/>
    <w:rsid w:val="004F6172"/>
    <w:rsid w:val="004F6AD4"/>
    <w:rsid w:val="004F6DD8"/>
    <w:rsid w:val="004F6DF9"/>
    <w:rsid w:val="004F6F55"/>
    <w:rsid w:val="004F7630"/>
    <w:rsid w:val="004F76F6"/>
    <w:rsid w:val="004F78FE"/>
    <w:rsid w:val="004F7C13"/>
    <w:rsid w:val="004F7C26"/>
    <w:rsid w:val="0050055B"/>
    <w:rsid w:val="00500872"/>
    <w:rsid w:val="00500993"/>
    <w:rsid w:val="00500C2F"/>
    <w:rsid w:val="00500DA5"/>
    <w:rsid w:val="0050114F"/>
    <w:rsid w:val="00501170"/>
    <w:rsid w:val="005017D8"/>
    <w:rsid w:val="00501AF4"/>
    <w:rsid w:val="00501F92"/>
    <w:rsid w:val="0050203A"/>
    <w:rsid w:val="0050266C"/>
    <w:rsid w:val="005027B3"/>
    <w:rsid w:val="00502896"/>
    <w:rsid w:val="005028F8"/>
    <w:rsid w:val="00502986"/>
    <w:rsid w:val="00502C90"/>
    <w:rsid w:val="00502ED6"/>
    <w:rsid w:val="00502FB4"/>
    <w:rsid w:val="0050322E"/>
    <w:rsid w:val="00503461"/>
    <w:rsid w:val="00503680"/>
    <w:rsid w:val="005039C8"/>
    <w:rsid w:val="00503D13"/>
    <w:rsid w:val="00503F5E"/>
    <w:rsid w:val="0050478E"/>
    <w:rsid w:val="00504818"/>
    <w:rsid w:val="00504CD6"/>
    <w:rsid w:val="00504EBA"/>
    <w:rsid w:val="00504FEC"/>
    <w:rsid w:val="0050577D"/>
    <w:rsid w:val="00505CF7"/>
    <w:rsid w:val="00505EB4"/>
    <w:rsid w:val="00505F89"/>
    <w:rsid w:val="00506CA6"/>
    <w:rsid w:val="00506EE2"/>
    <w:rsid w:val="005071C8"/>
    <w:rsid w:val="0050722E"/>
    <w:rsid w:val="00507482"/>
    <w:rsid w:val="00510232"/>
    <w:rsid w:val="005104DE"/>
    <w:rsid w:val="005104F5"/>
    <w:rsid w:val="005109EB"/>
    <w:rsid w:val="00510CA3"/>
    <w:rsid w:val="00511091"/>
    <w:rsid w:val="00511118"/>
    <w:rsid w:val="00511276"/>
    <w:rsid w:val="0051192A"/>
    <w:rsid w:val="005122E2"/>
    <w:rsid w:val="005125FD"/>
    <w:rsid w:val="0051299B"/>
    <w:rsid w:val="005129E1"/>
    <w:rsid w:val="005129F7"/>
    <w:rsid w:val="00512A32"/>
    <w:rsid w:val="00512B62"/>
    <w:rsid w:val="005131BC"/>
    <w:rsid w:val="00513477"/>
    <w:rsid w:val="00513A28"/>
    <w:rsid w:val="00513FB0"/>
    <w:rsid w:val="005148B9"/>
    <w:rsid w:val="00514A3F"/>
    <w:rsid w:val="00514E4C"/>
    <w:rsid w:val="00514F60"/>
    <w:rsid w:val="0051536B"/>
    <w:rsid w:val="0051565D"/>
    <w:rsid w:val="00515843"/>
    <w:rsid w:val="00516048"/>
    <w:rsid w:val="00516158"/>
    <w:rsid w:val="00516242"/>
    <w:rsid w:val="00516343"/>
    <w:rsid w:val="00516480"/>
    <w:rsid w:val="00516804"/>
    <w:rsid w:val="00516846"/>
    <w:rsid w:val="005168D9"/>
    <w:rsid w:val="00516B97"/>
    <w:rsid w:val="0051757B"/>
    <w:rsid w:val="005178BE"/>
    <w:rsid w:val="00517AC6"/>
    <w:rsid w:val="00517C55"/>
    <w:rsid w:val="005202F2"/>
    <w:rsid w:val="00520684"/>
    <w:rsid w:val="005207A3"/>
    <w:rsid w:val="0052091A"/>
    <w:rsid w:val="00520B12"/>
    <w:rsid w:val="00520CAE"/>
    <w:rsid w:val="00520FD5"/>
    <w:rsid w:val="005215D6"/>
    <w:rsid w:val="0052161B"/>
    <w:rsid w:val="00521660"/>
    <w:rsid w:val="0052183E"/>
    <w:rsid w:val="005218E2"/>
    <w:rsid w:val="00522467"/>
    <w:rsid w:val="0052263C"/>
    <w:rsid w:val="0052270D"/>
    <w:rsid w:val="00522908"/>
    <w:rsid w:val="00522BC8"/>
    <w:rsid w:val="00522DBA"/>
    <w:rsid w:val="00523073"/>
    <w:rsid w:val="00523215"/>
    <w:rsid w:val="00523956"/>
    <w:rsid w:val="00523E61"/>
    <w:rsid w:val="00523FA9"/>
    <w:rsid w:val="00524280"/>
    <w:rsid w:val="005243B6"/>
    <w:rsid w:val="005243DA"/>
    <w:rsid w:val="005246E0"/>
    <w:rsid w:val="00524D66"/>
    <w:rsid w:val="00524EDF"/>
    <w:rsid w:val="00524F4C"/>
    <w:rsid w:val="005259AC"/>
    <w:rsid w:val="00525BBD"/>
    <w:rsid w:val="00525D98"/>
    <w:rsid w:val="00525F62"/>
    <w:rsid w:val="00526331"/>
    <w:rsid w:val="0052655C"/>
    <w:rsid w:val="005267D9"/>
    <w:rsid w:val="00526D15"/>
    <w:rsid w:val="00526D93"/>
    <w:rsid w:val="00526F70"/>
    <w:rsid w:val="005270AE"/>
    <w:rsid w:val="005270B4"/>
    <w:rsid w:val="00527340"/>
    <w:rsid w:val="005274EE"/>
    <w:rsid w:val="0052794C"/>
    <w:rsid w:val="005279AE"/>
    <w:rsid w:val="00527CF2"/>
    <w:rsid w:val="00530298"/>
    <w:rsid w:val="00530348"/>
    <w:rsid w:val="005304F5"/>
    <w:rsid w:val="00531232"/>
    <w:rsid w:val="00531617"/>
    <w:rsid w:val="00531737"/>
    <w:rsid w:val="0053173B"/>
    <w:rsid w:val="00531E18"/>
    <w:rsid w:val="005321B0"/>
    <w:rsid w:val="00532542"/>
    <w:rsid w:val="005329B9"/>
    <w:rsid w:val="00532FD9"/>
    <w:rsid w:val="005333AF"/>
    <w:rsid w:val="00533912"/>
    <w:rsid w:val="00533A82"/>
    <w:rsid w:val="0053445B"/>
    <w:rsid w:val="005346F4"/>
    <w:rsid w:val="0053484B"/>
    <w:rsid w:val="0053487B"/>
    <w:rsid w:val="005349B4"/>
    <w:rsid w:val="00534B75"/>
    <w:rsid w:val="00534BA9"/>
    <w:rsid w:val="00534C65"/>
    <w:rsid w:val="00534E3B"/>
    <w:rsid w:val="00535898"/>
    <w:rsid w:val="005359E2"/>
    <w:rsid w:val="00535F97"/>
    <w:rsid w:val="00536074"/>
    <w:rsid w:val="005364D9"/>
    <w:rsid w:val="00536609"/>
    <w:rsid w:val="0053686A"/>
    <w:rsid w:val="00536B57"/>
    <w:rsid w:val="00536DA7"/>
    <w:rsid w:val="00536F22"/>
    <w:rsid w:val="00537576"/>
    <w:rsid w:val="005375AC"/>
    <w:rsid w:val="0053799A"/>
    <w:rsid w:val="00537B12"/>
    <w:rsid w:val="0054052C"/>
    <w:rsid w:val="0054068F"/>
    <w:rsid w:val="0054074A"/>
    <w:rsid w:val="0054099E"/>
    <w:rsid w:val="00540AE2"/>
    <w:rsid w:val="00540EB1"/>
    <w:rsid w:val="00540F27"/>
    <w:rsid w:val="00541483"/>
    <w:rsid w:val="00541860"/>
    <w:rsid w:val="005418F0"/>
    <w:rsid w:val="00541DC0"/>
    <w:rsid w:val="00542001"/>
    <w:rsid w:val="00542729"/>
    <w:rsid w:val="00542733"/>
    <w:rsid w:val="0054279C"/>
    <w:rsid w:val="005427E1"/>
    <w:rsid w:val="0054285E"/>
    <w:rsid w:val="00542972"/>
    <w:rsid w:val="00542C41"/>
    <w:rsid w:val="00542EA2"/>
    <w:rsid w:val="0054324D"/>
    <w:rsid w:val="00543271"/>
    <w:rsid w:val="0054359F"/>
    <w:rsid w:val="005438DD"/>
    <w:rsid w:val="00543B0D"/>
    <w:rsid w:val="00543C20"/>
    <w:rsid w:val="00543C4A"/>
    <w:rsid w:val="00543DAF"/>
    <w:rsid w:val="00544637"/>
    <w:rsid w:val="00544B8C"/>
    <w:rsid w:val="00544CE2"/>
    <w:rsid w:val="00544EE5"/>
    <w:rsid w:val="005452C9"/>
    <w:rsid w:val="005452F7"/>
    <w:rsid w:val="00545642"/>
    <w:rsid w:val="00545664"/>
    <w:rsid w:val="005457F3"/>
    <w:rsid w:val="00545A03"/>
    <w:rsid w:val="00545FFE"/>
    <w:rsid w:val="005460E8"/>
    <w:rsid w:val="0054623C"/>
    <w:rsid w:val="0054648D"/>
    <w:rsid w:val="00546BE9"/>
    <w:rsid w:val="00546EB6"/>
    <w:rsid w:val="00547283"/>
    <w:rsid w:val="005474D6"/>
    <w:rsid w:val="0054751B"/>
    <w:rsid w:val="005477A8"/>
    <w:rsid w:val="00547F23"/>
    <w:rsid w:val="00547F29"/>
    <w:rsid w:val="0055000A"/>
    <w:rsid w:val="00550123"/>
    <w:rsid w:val="00550732"/>
    <w:rsid w:val="00550959"/>
    <w:rsid w:val="00550AB5"/>
    <w:rsid w:val="00550B93"/>
    <w:rsid w:val="0055121B"/>
    <w:rsid w:val="0055131E"/>
    <w:rsid w:val="00551508"/>
    <w:rsid w:val="0055162E"/>
    <w:rsid w:val="005517DD"/>
    <w:rsid w:val="005518D9"/>
    <w:rsid w:val="00551EF1"/>
    <w:rsid w:val="00552142"/>
    <w:rsid w:val="005523E4"/>
    <w:rsid w:val="00552811"/>
    <w:rsid w:val="00553320"/>
    <w:rsid w:val="005534A6"/>
    <w:rsid w:val="0055373D"/>
    <w:rsid w:val="0055390C"/>
    <w:rsid w:val="005539DE"/>
    <w:rsid w:val="00553AC4"/>
    <w:rsid w:val="00553ED0"/>
    <w:rsid w:val="0055440E"/>
    <w:rsid w:val="005548CE"/>
    <w:rsid w:val="005556BB"/>
    <w:rsid w:val="00555EA2"/>
    <w:rsid w:val="005562DA"/>
    <w:rsid w:val="005563CA"/>
    <w:rsid w:val="0055679E"/>
    <w:rsid w:val="0055690F"/>
    <w:rsid w:val="00556F9B"/>
    <w:rsid w:val="00557655"/>
    <w:rsid w:val="0055788D"/>
    <w:rsid w:val="00557A54"/>
    <w:rsid w:val="00557C79"/>
    <w:rsid w:val="00560239"/>
    <w:rsid w:val="005602F1"/>
    <w:rsid w:val="00560574"/>
    <w:rsid w:val="00560BC1"/>
    <w:rsid w:val="00560F4A"/>
    <w:rsid w:val="00561829"/>
    <w:rsid w:val="005618E9"/>
    <w:rsid w:val="0056195D"/>
    <w:rsid w:val="00561A59"/>
    <w:rsid w:val="00561C3D"/>
    <w:rsid w:val="00561E05"/>
    <w:rsid w:val="00561EA7"/>
    <w:rsid w:val="00562075"/>
    <w:rsid w:val="005622A6"/>
    <w:rsid w:val="005623EC"/>
    <w:rsid w:val="00562516"/>
    <w:rsid w:val="0056266F"/>
    <w:rsid w:val="005627A6"/>
    <w:rsid w:val="00562B7F"/>
    <w:rsid w:val="00562E66"/>
    <w:rsid w:val="00562F1A"/>
    <w:rsid w:val="00563120"/>
    <w:rsid w:val="00563318"/>
    <w:rsid w:val="005633D8"/>
    <w:rsid w:val="0056366F"/>
    <w:rsid w:val="00563B9C"/>
    <w:rsid w:val="00563F93"/>
    <w:rsid w:val="00564CD2"/>
    <w:rsid w:val="00564DFF"/>
    <w:rsid w:val="00565835"/>
    <w:rsid w:val="0056586B"/>
    <w:rsid w:val="00565951"/>
    <w:rsid w:val="00565A21"/>
    <w:rsid w:val="00565C18"/>
    <w:rsid w:val="00565F46"/>
    <w:rsid w:val="005662A4"/>
    <w:rsid w:val="005662AB"/>
    <w:rsid w:val="005663D0"/>
    <w:rsid w:val="00566429"/>
    <w:rsid w:val="0056674A"/>
    <w:rsid w:val="00566929"/>
    <w:rsid w:val="00566A3F"/>
    <w:rsid w:val="00566EC6"/>
    <w:rsid w:val="0056722D"/>
    <w:rsid w:val="00567255"/>
    <w:rsid w:val="00567479"/>
    <w:rsid w:val="0056786C"/>
    <w:rsid w:val="005701DF"/>
    <w:rsid w:val="005702D2"/>
    <w:rsid w:val="005705B4"/>
    <w:rsid w:val="0057063D"/>
    <w:rsid w:val="00570AA8"/>
    <w:rsid w:val="00570C93"/>
    <w:rsid w:val="00570EC1"/>
    <w:rsid w:val="005710A4"/>
    <w:rsid w:val="005710CE"/>
    <w:rsid w:val="00571B9E"/>
    <w:rsid w:val="00571BE3"/>
    <w:rsid w:val="00571D70"/>
    <w:rsid w:val="005720E7"/>
    <w:rsid w:val="00572225"/>
    <w:rsid w:val="005727FC"/>
    <w:rsid w:val="0057318C"/>
    <w:rsid w:val="00573228"/>
    <w:rsid w:val="00573292"/>
    <w:rsid w:val="00573977"/>
    <w:rsid w:val="005739D0"/>
    <w:rsid w:val="00573C72"/>
    <w:rsid w:val="0057402B"/>
    <w:rsid w:val="005741F3"/>
    <w:rsid w:val="005742CF"/>
    <w:rsid w:val="005742D3"/>
    <w:rsid w:val="00574346"/>
    <w:rsid w:val="0057434E"/>
    <w:rsid w:val="00574388"/>
    <w:rsid w:val="005743BF"/>
    <w:rsid w:val="00574581"/>
    <w:rsid w:val="0057460D"/>
    <w:rsid w:val="00574875"/>
    <w:rsid w:val="005748EE"/>
    <w:rsid w:val="00574ED4"/>
    <w:rsid w:val="005752AE"/>
    <w:rsid w:val="0057536E"/>
    <w:rsid w:val="005753B8"/>
    <w:rsid w:val="005755DC"/>
    <w:rsid w:val="005759DC"/>
    <w:rsid w:val="00575BE5"/>
    <w:rsid w:val="00575E6D"/>
    <w:rsid w:val="005764AC"/>
    <w:rsid w:val="005768EA"/>
    <w:rsid w:val="00576ACA"/>
    <w:rsid w:val="00576CEA"/>
    <w:rsid w:val="00576D72"/>
    <w:rsid w:val="0057713A"/>
    <w:rsid w:val="005773E9"/>
    <w:rsid w:val="00577C1F"/>
    <w:rsid w:val="00577C74"/>
    <w:rsid w:val="00577E43"/>
    <w:rsid w:val="0058040F"/>
    <w:rsid w:val="00580422"/>
    <w:rsid w:val="00580531"/>
    <w:rsid w:val="0058054E"/>
    <w:rsid w:val="00580934"/>
    <w:rsid w:val="00580B77"/>
    <w:rsid w:val="00580E36"/>
    <w:rsid w:val="0058122A"/>
    <w:rsid w:val="00581448"/>
    <w:rsid w:val="00581553"/>
    <w:rsid w:val="00581935"/>
    <w:rsid w:val="00581B19"/>
    <w:rsid w:val="00581D1A"/>
    <w:rsid w:val="00581FC8"/>
    <w:rsid w:val="005829AE"/>
    <w:rsid w:val="00582AE9"/>
    <w:rsid w:val="00582C2F"/>
    <w:rsid w:val="00583027"/>
    <w:rsid w:val="00583062"/>
    <w:rsid w:val="005840BC"/>
    <w:rsid w:val="00584414"/>
    <w:rsid w:val="0058499D"/>
    <w:rsid w:val="005849E5"/>
    <w:rsid w:val="00584AF9"/>
    <w:rsid w:val="0058549F"/>
    <w:rsid w:val="005856E7"/>
    <w:rsid w:val="005857F1"/>
    <w:rsid w:val="005860B5"/>
    <w:rsid w:val="005862F8"/>
    <w:rsid w:val="00586388"/>
    <w:rsid w:val="00586452"/>
    <w:rsid w:val="005869C8"/>
    <w:rsid w:val="00586B31"/>
    <w:rsid w:val="005874E9"/>
    <w:rsid w:val="005876B4"/>
    <w:rsid w:val="00587744"/>
    <w:rsid w:val="005878B9"/>
    <w:rsid w:val="00587B27"/>
    <w:rsid w:val="00587EE2"/>
    <w:rsid w:val="00590097"/>
    <w:rsid w:val="0059018D"/>
    <w:rsid w:val="00590248"/>
    <w:rsid w:val="005908E7"/>
    <w:rsid w:val="0059092A"/>
    <w:rsid w:val="00590A7C"/>
    <w:rsid w:val="0059143B"/>
    <w:rsid w:val="00591508"/>
    <w:rsid w:val="00591A3B"/>
    <w:rsid w:val="0059212D"/>
    <w:rsid w:val="00592134"/>
    <w:rsid w:val="0059219D"/>
    <w:rsid w:val="005922EA"/>
    <w:rsid w:val="005926FE"/>
    <w:rsid w:val="0059278B"/>
    <w:rsid w:val="00592846"/>
    <w:rsid w:val="0059346C"/>
    <w:rsid w:val="00593DDD"/>
    <w:rsid w:val="005944FC"/>
    <w:rsid w:val="005945B6"/>
    <w:rsid w:val="00594D2E"/>
    <w:rsid w:val="00594F36"/>
    <w:rsid w:val="00594F8A"/>
    <w:rsid w:val="005952AF"/>
    <w:rsid w:val="005952BD"/>
    <w:rsid w:val="00595334"/>
    <w:rsid w:val="0059553A"/>
    <w:rsid w:val="005956D0"/>
    <w:rsid w:val="0059575A"/>
    <w:rsid w:val="005957FF"/>
    <w:rsid w:val="00595AFA"/>
    <w:rsid w:val="00595E4A"/>
    <w:rsid w:val="00595F71"/>
    <w:rsid w:val="00596172"/>
    <w:rsid w:val="00596706"/>
    <w:rsid w:val="0059697E"/>
    <w:rsid w:val="00596A1E"/>
    <w:rsid w:val="00596A24"/>
    <w:rsid w:val="00596A35"/>
    <w:rsid w:val="00596BEB"/>
    <w:rsid w:val="00597198"/>
    <w:rsid w:val="00597295"/>
    <w:rsid w:val="00597891"/>
    <w:rsid w:val="00597C13"/>
    <w:rsid w:val="00597C3A"/>
    <w:rsid w:val="00597D83"/>
    <w:rsid w:val="00597E97"/>
    <w:rsid w:val="00597EEA"/>
    <w:rsid w:val="005A02EB"/>
    <w:rsid w:val="005A03A5"/>
    <w:rsid w:val="005A0799"/>
    <w:rsid w:val="005A09B4"/>
    <w:rsid w:val="005A0A97"/>
    <w:rsid w:val="005A0B3F"/>
    <w:rsid w:val="005A0CC5"/>
    <w:rsid w:val="005A0CF9"/>
    <w:rsid w:val="005A110F"/>
    <w:rsid w:val="005A1402"/>
    <w:rsid w:val="005A1429"/>
    <w:rsid w:val="005A15F5"/>
    <w:rsid w:val="005A1C30"/>
    <w:rsid w:val="005A1E2B"/>
    <w:rsid w:val="005A1FF9"/>
    <w:rsid w:val="005A218E"/>
    <w:rsid w:val="005A2BEE"/>
    <w:rsid w:val="005A3214"/>
    <w:rsid w:val="005A3928"/>
    <w:rsid w:val="005A423A"/>
    <w:rsid w:val="005A4573"/>
    <w:rsid w:val="005A4768"/>
    <w:rsid w:val="005A4994"/>
    <w:rsid w:val="005A4EF4"/>
    <w:rsid w:val="005A51C9"/>
    <w:rsid w:val="005A51FC"/>
    <w:rsid w:val="005A52F3"/>
    <w:rsid w:val="005A56FD"/>
    <w:rsid w:val="005A57FC"/>
    <w:rsid w:val="005A5F5C"/>
    <w:rsid w:val="005A630C"/>
    <w:rsid w:val="005A67BF"/>
    <w:rsid w:val="005A68C1"/>
    <w:rsid w:val="005A68EB"/>
    <w:rsid w:val="005A6F50"/>
    <w:rsid w:val="005A6F7E"/>
    <w:rsid w:val="005A7048"/>
    <w:rsid w:val="005A73A7"/>
    <w:rsid w:val="005A75E0"/>
    <w:rsid w:val="005A7636"/>
    <w:rsid w:val="005A7651"/>
    <w:rsid w:val="005A769A"/>
    <w:rsid w:val="005A79F3"/>
    <w:rsid w:val="005A7EE0"/>
    <w:rsid w:val="005B025F"/>
    <w:rsid w:val="005B034A"/>
    <w:rsid w:val="005B0603"/>
    <w:rsid w:val="005B08F5"/>
    <w:rsid w:val="005B0C52"/>
    <w:rsid w:val="005B0C5A"/>
    <w:rsid w:val="005B0FB7"/>
    <w:rsid w:val="005B10BD"/>
    <w:rsid w:val="005B1DF4"/>
    <w:rsid w:val="005B1EF1"/>
    <w:rsid w:val="005B2554"/>
    <w:rsid w:val="005B265F"/>
    <w:rsid w:val="005B29A7"/>
    <w:rsid w:val="005B2BDB"/>
    <w:rsid w:val="005B2D56"/>
    <w:rsid w:val="005B2FFA"/>
    <w:rsid w:val="005B3104"/>
    <w:rsid w:val="005B3199"/>
    <w:rsid w:val="005B3943"/>
    <w:rsid w:val="005B3991"/>
    <w:rsid w:val="005B4041"/>
    <w:rsid w:val="005B4B2C"/>
    <w:rsid w:val="005B4E11"/>
    <w:rsid w:val="005B5C06"/>
    <w:rsid w:val="005B5E25"/>
    <w:rsid w:val="005B60F7"/>
    <w:rsid w:val="005B6414"/>
    <w:rsid w:val="005B6A94"/>
    <w:rsid w:val="005B6A9C"/>
    <w:rsid w:val="005B6E37"/>
    <w:rsid w:val="005B6E47"/>
    <w:rsid w:val="005B6F39"/>
    <w:rsid w:val="005B6FF5"/>
    <w:rsid w:val="005B71C6"/>
    <w:rsid w:val="005B7897"/>
    <w:rsid w:val="005B79AE"/>
    <w:rsid w:val="005C01C3"/>
    <w:rsid w:val="005C01E3"/>
    <w:rsid w:val="005C03DD"/>
    <w:rsid w:val="005C043C"/>
    <w:rsid w:val="005C0559"/>
    <w:rsid w:val="005C076D"/>
    <w:rsid w:val="005C09DF"/>
    <w:rsid w:val="005C0A0E"/>
    <w:rsid w:val="005C0D5D"/>
    <w:rsid w:val="005C1078"/>
    <w:rsid w:val="005C1490"/>
    <w:rsid w:val="005C1621"/>
    <w:rsid w:val="005C1748"/>
    <w:rsid w:val="005C1767"/>
    <w:rsid w:val="005C1947"/>
    <w:rsid w:val="005C1B84"/>
    <w:rsid w:val="005C1D70"/>
    <w:rsid w:val="005C22EF"/>
    <w:rsid w:val="005C271B"/>
    <w:rsid w:val="005C2727"/>
    <w:rsid w:val="005C277F"/>
    <w:rsid w:val="005C28A5"/>
    <w:rsid w:val="005C2BD7"/>
    <w:rsid w:val="005C2D6C"/>
    <w:rsid w:val="005C3958"/>
    <w:rsid w:val="005C40A1"/>
    <w:rsid w:val="005C42D0"/>
    <w:rsid w:val="005C4586"/>
    <w:rsid w:val="005C4619"/>
    <w:rsid w:val="005C48D9"/>
    <w:rsid w:val="005C4CB5"/>
    <w:rsid w:val="005C5BD9"/>
    <w:rsid w:val="005C6950"/>
    <w:rsid w:val="005C696D"/>
    <w:rsid w:val="005C6D50"/>
    <w:rsid w:val="005C73EB"/>
    <w:rsid w:val="005C7504"/>
    <w:rsid w:val="005C768D"/>
    <w:rsid w:val="005C76BC"/>
    <w:rsid w:val="005C7822"/>
    <w:rsid w:val="005C7C1A"/>
    <w:rsid w:val="005C7E46"/>
    <w:rsid w:val="005C7E5F"/>
    <w:rsid w:val="005D048D"/>
    <w:rsid w:val="005D07D7"/>
    <w:rsid w:val="005D0D2B"/>
    <w:rsid w:val="005D0D6B"/>
    <w:rsid w:val="005D0E40"/>
    <w:rsid w:val="005D0F25"/>
    <w:rsid w:val="005D1016"/>
    <w:rsid w:val="005D141F"/>
    <w:rsid w:val="005D1568"/>
    <w:rsid w:val="005D1D72"/>
    <w:rsid w:val="005D2A5F"/>
    <w:rsid w:val="005D2BC2"/>
    <w:rsid w:val="005D2D3B"/>
    <w:rsid w:val="005D32B0"/>
    <w:rsid w:val="005D36D3"/>
    <w:rsid w:val="005D3D67"/>
    <w:rsid w:val="005D3F4F"/>
    <w:rsid w:val="005D400B"/>
    <w:rsid w:val="005D406B"/>
    <w:rsid w:val="005D42CA"/>
    <w:rsid w:val="005D46EC"/>
    <w:rsid w:val="005D4C0E"/>
    <w:rsid w:val="005D4CCC"/>
    <w:rsid w:val="005D4DA6"/>
    <w:rsid w:val="005D53C2"/>
    <w:rsid w:val="005D558B"/>
    <w:rsid w:val="005D61D3"/>
    <w:rsid w:val="005D6419"/>
    <w:rsid w:val="005D686E"/>
    <w:rsid w:val="005D6BE7"/>
    <w:rsid w:val="005D6C7F"/>
    <w:rsid w:val="005D6F0D"/>
    <w:rsid w:val="005D7271"/>
    <w:rsid w:val="005D72AC"/>
    <w:rsid w:val="005D7312"/>
    <w:rsid w:val="005D757C"/>
    <w:rsid w:val="005D7668"/>
    <w:rsid w:val="005D7E72"/>
    <w:rsid w:val="005E0061"/>
    <w:rsid w:val="005E01BC"/>
    <w:rsid w:val="005E0296"/>
    <w:rsid w:val="005E0472"/>
    <w:rsid w:val="005E0771"/>
    <w:rsid w:val="005E0BEC"/>
    <w:rsid w:val="005E1395"/>
    <w:rsid w:val="005E16D4"/>
    <w:rsid w:val="005E17F4"/>
    <w:rsid w:val="005E1B14"/>
    <w:rsid w:val="005E1E2B"/>
    <w:rsid w:val="005E1E95"/>
    <w:rsid w:val="005E2369"/>
    <w:rsid w:val="005E237B"/>
    <w:rsid w:val="005E262B"/>
    <w:rsid w:val="005E26A6"/>
    <w:rsid w:val="005E27C3"/>
    <w:rsid w:val="005E27E7"/>
    <w:rsid w:val="005E2F10"/>
    <w:rsid w:val="005E2FF5"/>
    <w:rsid w:val="005E3019"/>
    <w:rsid w:val="005E30B8"/>
    <w:rsid w:val="005E385B"/>
    <w:rsid w:val="005E39DA"/>
    <w:rsid w:val="005E3B7C"/>
    <w:rsid w:val="005E3EC4"/>
    <w:rsid w:val="005E40BF"/>
    <w:rsid w:val="005E4113"/>
    <w:rsid w:val="005E42EC"/>
    <w:rsid w:val="005E431D"/>
    <w:rsid w:val="005E43F0"/>
    <w:rsid w:val="005E4C78"/>
    <w:rsid w:val="005E4F34"/>
    <w:rsid w:val="005E4FB0"/>
    <w:rsid w:val="005E50DC"/>
    <w:rsid w:val="005E51A9"/>
    <w:rsid w:val="005E5594"/>
    <w:rsid w:val="005E57E3"/>
    <w:rsid w:val="005E5828"/>
    <w:rsid w:val="005E58CF"/>
    <w:rsid w:val="005E5B12"/>
    <w:rsid w:val="005E5E9E"/>
    <w:rsid w:val="005E5EF2"/>
    <w:rsid w:val="005E6088"/>
    <w:rsid w:val="005E6101"/>
    <w:rsid w:val="005E61C9"/>
    <w:rsid w:val="005E6352"/>
    <w:rsid w:val="005E64B5"/>
    <w:rsid w:val="005E6617"/>
    <w:rsid w:val="005E6EBD"/>
    <w:rsid w:val="005E6F80"/>
    <w:rsid w:val="005E70E7"/>
    <w:rsid w:val="005E7952"/>
    <w:rsid w:val="005E7BB7"/>
    <w:rsid w:val="005F006F"/>
    <w:rsid w:val="005F01CD"/>
    <w:rsid w:val="005F07D8"/>
    <w:rsid w:val="005F0D89"/>
    <w:rsid w:val="005F0E72"/>
    <w:rsid w:val="005F1427"/>
    <w:rsid w:val="005F1F08"/>
    <w:rsid w:val="005F23AD"/>
    <w:rsid w:val="005F3091"/>
    <w:rsid w:val="005F339F"/>
    <w:rsid w:val="005F34AE"/>
    <w:rsid w:val="005F3685"/>
    <w:rsid w:val="005F38BC"/>
    <w:rsid w:val="005F3AD1"/>
    <w:rsid w:val="005F4119"/>
    <w:rsid w:val="005F446F"/>
    <w:rsid w:val="005F46D4"/>
    <w:rsid w:val="005F470C"/>
    <w:rsid w:val="005F48D9"/>
    <w:rsid w:val="005F521F"/>
    <w:rsid w:val="005F536B"/>
    <w:rsid w:val="005F5509"/>
    <w:rsid w:val="005F578B"/>
    <w:rsid w:val="005F5BAD"/>
    <w:rsid w:val="005F5D86"/>
    <w:rsid w:val="005F5EC2"/>
    <w:rsid w:val="005F6016"/>
    <w:rsid w:val="005F65D6"/>
    <w:rsid w:val="005F68E7"/>
    <w:rsid w:val="005F6FBE"/>
    <w:rsid w:val="005F708B"/>
    <w:rsid w:val="005F76E6"/>
    <w:rsid w:val="005F77ED"/>
    <w:rsid w:val="005F7A43"/>
    <w:rsid w:val="005F7BF5"/>
    <w:rsid w:val="005F7D8B"/>
    <w:rsid w:val="0060023C"/>
    <w:rsid w:val="006003BF"/>
    <w:rsid w:val="00600497"/>
    <w:rsid w:val="00600921"/>
    <w:rsid w:val="00600D06"/>
    <w:rsid w:val="00600F6F"/>
    <w:rsid w:val="006010B5"/>
    <w:rsid w:val="00601320"/>
    <w:rsid w:val="006015BA"/>
    <w:rsid w:val="006017E2"/>
    <w:rsid w:val="00601D23"/>
    <w:rsid w:val="00601F55"/>
    <w:rsid w:val="006020B2"/>
    <w:rsid w:val="006021DF"/>
    <w:rsid w:val="006023F8"/>
    <w:rsid w:val="0060282D"/>
    <w:rsid w:val="00602A93"/>
    <w:rsid w:val="00602AD7"/>
    <w:rsid w:val="00602E53"/>
    <w:rsid w:val="0060312C"/>
    <w:rsid w:val="00603356"/>
    <w:rsid w:val="00603412"/>
    <w:rsid w:val="00603676"/>
    <w:rsid w:val="00603680"/>
    <w:rsid w:val="00604046"/>
    <w:rsid w:val="00604154"/>
    <w:rsid w:val="00604ABB"/>
    <w:rsid w:val="00605241"/>
    <w:rsid w:val="00605B20"/>
    <w:rsid w:val="00605DA8"/>
    <w:rsid w:val="00606669"/>
    <w:rsid w:val="00606853"/>
    <w:rsid w:val="006068DE"/>
    <w:rsid w:val="00606AFC"/>
    <w:rsid w:val="00606FB0"/>
    <w:rsid w:val="00607122"/>
    <w:rsid w:val="0060740E"/>
    <w:rsid w:val="00607E31"/>
    <w:rsid w:val="006105C7"/>
    <w:rsid w:val="00610798"/>
    <w:rsid w:val="006107EF"/>
    <w:rsid w:val="006109D2"/>
    <w:rsid w:val="006111EE"/>
    <w:rsid w:val="0061127F"/>
    <w:rsid w:val="00611406"/>
    <w:rsid w:val="00611855"/>
    <w:rsid w:val="006119C3"/>
    <w:rsid w:val="00611EBC"/>
    <w:rsid w:val="00611F44"/>
    <w:rsid w:val="00611F7B"/>
    <w:rsid w:val="0061237B"/>
    <w:rsid w:val="006128A6"/>
    <w:rsid w:val="006129D0"/>
    <w:rsid w:val="00612A0C"/>
    <w:rsid w:val="00613584"/>
    <w:rsid w:val="0061366C"/>
    <w:rsid w:val="00613D46"/>
    <w:rsid w:val="00613D4E"/>
    <w:rsid w:val="00613DA8"/>
    <w:rsid w:val="00613E18"/>
    <w:rsid w:val="00614535"/>
    <w:rsid w:val="00614566"/>
    <w:rsid w:val="00614DD4"/>
    <w:rsid w:val="0061512B"/>
    <w:rsid w:val="006153CE"/>
    <w:rsid w:val="00615563"/>
    <w:rsid w:val="00615747"/>
    <w:rsid w:val="00615A4E"/>
    <w:rsid w:val="00615BD6"/>
    <w:rsid w:val="00615D5F"/>
    <w:rsid w:val="00615E44"/>
    <w:rsid w:val="00616B9E"/>
    <w:rsid w:val="00616EF4"/>
    <w:rsid w:val="00616F66"/>
    <w:rsid w:val="0061702F"/>
    <w:rsid w:val="006176B8"/>
    <w:rsid w:val="006178E5"/>
    <w:rsid w:val="0062036F"/>
    <w:rsid w:val="00620413"/>
    <w:rsid w:val="00620510"/>
    <w:rsid w:val="0062092C"/>
    <w:rsid w:val="00620A0C"/>
    <w:rsid w:val="00620B40"/>
    <w:rsid w:val="006212E6"/>
    <w:rsid w:val="006219BD"/>
    <w:rsid w:val="00621E98"/>
    <w:rsid w:val="00622085"/>
    <w:rsid w:val="0062218F"/>
    <w:rsid w:val="0062220D"/>
    <w:rsid w:val="006223D2"/>
    <w:rsid w:val="00622767"/>
    <w:rsid w:val="00622918"/>
    <w:rsid w:val="006229D4"/>
    <w:rsid w:val="00622BC0"/>
    <w:rsid w:val="00622C54"/>
    <w:rsid w:val="00622FCB"/>
    <w:rsid w:val="00623220"/>
    <w:rsid w:val="00623738"/>
    <w:rsid w:val="00623790"/>
    <w:rsid w:val="00623965"/>
    <w:rsid w:val="00623CD2"/>
    <w:rsid w:val="00623E7F"/>
    <w:rsid w:val="00623E8F"/>
    <w:rsid w:val="0062400E"/>
    <w:rsid w:val="006240A3"/>
    <w:rsid w:val="0062436F"/>
    <w:rsid w:val="00624828"/>
    <w:rsid w:val="00624D16"/>
    <w:rsid w:val="0062532A"/>
    <w:rsid w:val="00625B00"/>
    <w:rsid w:val="00625C47"/>
    <w:rsid w:val="00626014"/>
    <w:rsid w:val="00626AC8"/>
    <w:rsid w:val="00626C6A"/>
    <w:rsid w:val="00626EB4"/>
    <w:rsid w:val="00627114"/>
    <w:rsid w:val="006272C5"/>
    <w:rsid w:val="006274F7"/>
    <w:rsid w:val="0062763B"/>
    <w:rsid w:val="006276C6"/>
    <w:rsid w:val="00627964"/>
    <w:rsid w:val="00627B0C"/>
    <w:rsid w:val="00630012"/>
    <w:rsid w:val="0063037F"/>
    <w:rsid w:val="006304EB"/>
    <w:rsid w:val="00630535"/>
    <w:rsid w:val="0063094B"/>
    <w:rsid w:val="00631299"/>
    <w:rsid w:val="006312DC"/>
    <w:rsid w:val="00631661"/>
    <w:rsid w:val="00631695"/>
    <w:rsid w:val="0063194E"/>
    <w:rsid w:val="00631F48"/>
    <w:rsid w:val="00631F52"/>
    <w:rsid w:val="00631FAC"/>
    <w:rsid w:val="00632002"/>
    <w:rsid w:val="00632100"/>
    <w:rsid w:val="00632130"/>
    <w:rsid w:val="00632245"/>
    <w:rsid w:val="0063237F"/>
    <w:rsid w:val="00632590"/>
    <w:rsid w:val="006328EF"/>
    <w:rsid w:val="00632D2C"/>
    <w:rsid w:val="00632D82"/>
    <w:rsid w:val="00633420"/>
    <w:rsid w:val="00633462"/>
    <w:rsid w:val="006337EA"/>
    <w:rsid w:val="006340B9"/>
    <w:rsid w:val="00634210"/>
    <w:rsid w:val="0063461D"/>
    <w:rsid w:val="00634903"/>
    <w:rsid w:val="00634A15"/>
    <w:rsid w:val="00634A84"/>
    <w:rsid w:val="00634DAB"/>
    <w:rsid w:val="00634F12"/>
    <w:rsid w:val="00634FC7"/>
    <w:rsid w:val="00634FD1"/>
    <w:rsid w:val="006356BA"/>
    <w:rsid w:val="006361BC"/>
    <w:rsid w:val="00636531"/>
    <w:rsid w:val="00636659"/>
    <w:rsid w:val="00636AB3"/>
    <w:rsid w:val="00636B4A"/>
    <w:rsid w:val="00636D3D"/>
    <w:rsid w:val="00636D5D"/>
    <w:rsid w:val="0063728A"/>
    <w:rsid w:val="006373F1"/>
    <w:rsid w:val="00637941"/>
    <w:rsid w:val="00637E48"/>
    <w:rsid w:val="00640159"/>
    <w:rsid w:val="00640245"/>
    <w:rsid w:val="006402C7"/>
    <w:rsid w:val="006406D8"/>
    <w:rsid w:val="00640909"/>
    <w:rsid w:val="00640A26"/>
    <w:rsid w:val="006410F0"/>
    <w:rsid w:val="006414F2"/>
    <w:rsid w:val="00641529"/>
    <w:rsid w:val="006418B6"/>
    <w:rsid w:val="00641D09"/>
    <w:rsid w:val="0064211E"/>
    <w:rsid w:val="0064284B"/>
    <w:rsid w:val="0064291B"/>
    <w:rsid w:val="00642C27"/>
    <w:rsid w:val="00642F76"/>
    <w:rsid w:val="0064308B"/>
    <w:rsid w:val="006433F1"/>
    <w:rsid w:val="00643699"/>
    <w:rsid w:val="0064398B"/>
    <w:rsid w:val="006439A2"/>
    <w:rsid w:val="00643C9A"/>
    <w:rsid w:val="006442F7"/>
    <w:rsid w:val="0064481B"/>
    <w:rsid w:val="00644B37"/>
    <w:rsid w:val="00644B8C"/>
    <w:rsid w:val="00644BF3"/>
    <w:rsid w:val="006452B0"/>
    <w:rsid w:val="00645BE3"/>
    <w:rsid w:val="00645F63"/>
    <w:rsid w:val="00645F7E"/>
    <w:rsid w:val="006462CD"/>
    <w:rsid w:val="006464E3"/>
    <w:rsid w:val="0064667E"/>
    <w:rsid w:val="00646873"/>
    <w:rsid w:val="00646B73"/>
    <w:rsid w:val="00646D98"/>
    <w:rsid w:val="00646F65"/>
    <w:rsid w:val="00647046"/>
    <w:rsid w:val="0064717C"/>
    <w:rsid w:val="006471B0"/>
    <w:rsid w:val="006474A9"/>
    <w:rsid w:val="0064751E"/>
    <w:rsid w:val="006476D3"/>
    <w:rsid w:val="00647F29"/>
    <w:rsid w:val="00647F54"/>
    <w:rsid w:val="0065062F"/>
    <w:rsid w:val="00650B52"/>
    <w:rsid w:val="00650B86"/>
    <w:rsid w:val="00650BB9"/>
    <w:rsid w:val="00650F0B"/>
    <w:rsid w:val="00650FE1"/>
    <w:rsid w:val="00651291"/>
    <w:rsid w:val="0065168F"/>
    <w:rsid w:val="00651771"/>
    <w:rsid w:val="00651874"/>
    <w:rsid w:val="0065187A"/>
    <w:rsid w:val="00651EB0"/>
    <w:rsid w:val="0065280E"/>
    <w:rsid w:val="00652842"/>
    <w:rsid w:val="0065349F"/>
    <w:rsid w:val="00653553"/>
    <w:rsid w:val="00653917"/>
    <w:rsid w:val="00653A4D"/>
    <w:rsid w:val="00653EEA"/>
    <w:rsid w:val="0065423E"/>
    <w:rsid w:val="00654290"/>
    <w:rsid w:val="0065457E"/>
    <w:rsid w:val="006549B7"/>
    <w:rsid w:val="00654CF2"/>
    <w:rsid w:val="00654F19"/>
    <w:rsid w:val="0065539A"/>
    <w:rsid w:val="006560ED"/>
    <w:rsid w:val="006561CB"/>
    <w:rsid w:val="0065690E"/>
    <w:rsid w:val="0065696C"/>
    <w:rsid w:val="00656AFE"/>
    <w:rsid w:val="00656F30"/>
    <w:rsid w:val="00657069"/>
    <w:rsid w:val="006572AB"/>
    <w:rsid w:val="00657663"/>
    <w:rsid w:val="00657A5C"/>
    <w:rsid w:val="00657C98"/>
    <w:rsid w:val="006602B5"/>
    <w:rsid w:val="00660511"/>
    <w:rsid w:val="006605B8"/>
    <w:rsid w:val="006608E3"/>
    <w:rsid w:val="00660C6B"/>
    <w:rsid w:val="00660E46"/>
    <w:rsid w:val="00660EA0"/>
    <w:rsid w:val="0066150B"/>
    <w:rsid w:val="00661DF0"/>
    <w:rsid w:val="00661E8D"/>
    <w:rsid w:val="00662057"/>
    <w:rsid w:val="006621FD"/>
    <w:rsid w:val="00662235"/>
    <w:rsid w:val="00662374"/>
    <w:rsid w:val="00662531"/>
    <w:rsid w:val="00662B75"/>
    <w:rsid w:val="00662C08"/>
    <w:rsid w:val="00662F2F"/>
    <w:rsid w:val="0066302A"/>
    <w:rsid w:val="00663AF4"/>
    <w:rsid w:val="00663B00"/>
    <w:rsid w:val="00663B27"/>
    <w:rsid w:val="00664161"/>
    <w:rsid w:val="0066425F"/>
    <w:rsid w:val="00664477"/>
    <w:rsid w:val="00664C74"/>
    <w:rsid w:val="0066538D"/>
    <w:rsid w:val="00665443"/>
    <w:rsid w:val="00665554"/>
    <w:rsid w:val="006655EF"/>
    <w:rsid w:val="00665AD9"/>
    <w:rsid w:val="00665B77"/>
    <w:rsid w:val="00665D6A"/>
    <w:rsid w:val="006663CB"/>
    <w:rsid w:val="0066648D"/>
    <w:rsid w:val="00666930"/>
    <w:rsid w:val="00666ED4"/>
    <w:rsid w:val="00667357"/>
    <w:rsid w:val="006678F5"/>
    <w:rsid w:val="00667BD5"/>
    <w:rsid w:val="00667BEE"/>
    <w:rsid w:val="00667EFA"/>
    <w:rsid w:val="00670304"/>
    <w:rsid w:val="00670529"/>
    <w:rsid w:val="006709A3"/>
    <w:rsid w:val="00670FE8"/>
    <w:rsid w:val="00671081"/>
    <w:rsid w:val="00671459"/>
    <w:rsid w:val="0067160B"/>
    <w:rsid w:val="00671830"/>
    <w:rsid w:val="00671ACB"/>
    <w:rsid w:val="00671B1C"/>
    <w:rsid w:val="00671B56"/>
    <w:rsid w:val="00671BB5"/>
    <w:rsid w:val="00671E1A"/>
    <w:rsid w:val="00671EA6"/>
    <w:rsid w:val="00671F08"/>
    <w:rsid w:val="0067232F"/>
    <w:rsid w:val="00672426"/>
    <w:rsid w:val="00672710"/>
    <w:rsid w:val="00672CDE"/>
    <w:rsid w:val="00672FA8"/>
    <w:rsid w:val="006730CD"/>
    <w:rsid w:val="006733D0"/>
    <w:rsid w:val="0067377C"/>
    <w:rsid w:val="006737F1"/>
    <w:rsid w:val="006738EE"/>
    <w:rsid w:val="00673EF0"/>
    <w:rsid w:val="00674B59"/>
    <w:rsid w:val="006751FA"/>
    <w:rsid w:val="0067521A"/>
    <w:rsid w:val="00675961"/>
    <w:rsid w:val="00675FB9"/>
    <w:rsid w:val="0067601B"/>
    <w:rsid w:val="00676095"/>
    <w:rsid w:val="00676270"/>
    <w:rsid w:val="0067689F"/>
    <w:rsid w:val="00676CAC"/>
    <w:rsid w:val="0067711F"/>
    <w:rsid w:val="00677A46"/>
    <w:rsid w:val="00677B86"/>
    <w:rsid w:val="0068031E"/>
    <w:rsid w:val="006805FF"/>
    <w:rsid w:val="00680669"/>
    <w:rsid w:val="00680B7F"/>
    <w:rsid w:val="00680E9A"/>
    <w:rsid w:val="00681070"/>
    <w:rsid w:val="006812BC"/>
    <w:rsid w:val="006814B6"/>
    <w:rsid w:val="00681D23"/>
    <w:rsid w:val="00681D37"/>
    <w:rsid w:val="00681DED"/>
    <w:rsid w:val="006822AA"/>
    <w:rsid w:val="00682345"/>
    <w:rsid w:val="0068235D"/>
    <w:rsid w:val="00682656"/>
    <w:rsid w:val="006826E5"/>
    <w:rsid w:val="006829C9"/>
    <w:rsid w:val="00682B5F"/>
    <w:rsid w:val="00682C9E"/>
    <w:rsid w:val="00682CF5"/>
    <w:rsid w:val="00682EC8"/>
    <w:rsid w:val="0068309D"/>
    <w:rsid w:val="006831BE"/>
    <w:rsid w:val="0068324F"/>
    <w:rsid w:val="006832A2"/>
    <w:rsid w:val="006832AA"/>
    <w:rsid w:val="006832BE"/>
    <w:rsid w:val="0068383A"/>
    <w:rsid w:val="00683B19"/>
    <w:rsid w:val="00683F3A"/>
    <w:rsid w:val="0068435C"/>
    <w:rsid w:val="00684625"/>
    <w:rsid w:val="006846EB"/>
    <w:rsid w:val="00684888"/>
    <w:rsid w:val="00684890"/>
    <w:rsid w:val="006849F6"/>
    <w:rsid w:val="00684BB4"/>
    <w:rsid w:val="00684FB4"/>
    <w:rsid w:val="00685492"/>
    <w:rsid w:val="0068564B"/>
    <w:rsid w:val="00685A5F"/>
    <w:rsid w:val="00686785"/>
    <w:rsid w:val="00686D38"/>
    <w:rsid w:val="00686D70"/>
    <w:rsid w:val="00687101"/>
    <w:rsid w:val="00687B1C"/>
    <w:rsid w:val="00687D72"/>
    <w:rsid w:val="00690134"/>
    <w:rsid w:val="0069022E"/>
    <w:rsid w:val="006906F1"/>
    <w:rsid w:val="00690E42"/>
    <w:rsid w:val="006911FF"/>
    <w:rsid w:val="0069120A"/>
    <w:rsid w:val="00691229"/>
    <w:rsid w:val="00691342"/>
    <w:rsid w:val="00691959"/>
    <w:rsid w:val="00691DFF"/>
    <w:rsid w:val="00692353"/>
    <w:rsid w:val="006926EB"/>
    <w:rsid w:val="00692DD1"/>
    <w:rsid w:val="00692F4A"/>
    <w:rsid w:val="0069322D"/>
    <w:rsid w:val="00693288"/>
    <w:rsid w:val="0069334D"/>
    <w:rsid w:val="00693ADE"/>
    <w:rsid w:val="00693AE8"/>
    <w:rsid w:val="00693C43"/>
    <w:rsid w:val="00693D9B"/>
    <w:rsid w:val="00693E7D"/>
    <w:rsid w:val="00693E8E"/>
    <w:rsid w:val="006941AE"/>
    <w:rsid w:val="00694B70"/>
    <w:rsid w:val="00694C76"/>
    <w:rsid w:val="00694D7D"/>
    <w:rsid w:val="00694DE8"/>
    <w:rsid w:val="006950B8"/>
    <w:rsid w:val="006952F8"/>
    <w:rsid w:val="0069540E"/>
    <w:rsid w:val="00695BEA"/>
    <w:rsid w:val="00695EBA"/>
    <w:rsid w:val="006962D7"/>
    <w:rsid w:val="00696609"/>
    <w:rsid w:val="00696708"/>
    <w:rsid w:val="00696A24"/>
    <w:rsid w:val="00696DE6"/>
    <w:rsid w:val="00696E9C"/>
    <w:rsid w:val="00696F28"/>
    <w:rsid w:val="00696F59"/>
    <w:rsid w:val="0069720B"/>
    <w:rsid w:val="006972E0"/>
    <w:rsid w:val="00697939"/>
    <w:rsid w:val="006A0516"/>
    <w:rsid w:val="006A0979"/>
    <w:rsid w:val="006A09D6"/>
    <w:rsid w:val="006A0A4A"/>
    <w:rsid w:val="006A0E05"/>
    <w:rsid w:val="006A0FD6"/>
    <w:rsid w:val="006A1388"/>
    <w:rsid w:val="006A1989"/>
    <w:rsid w:val="006A1D1C"/>
    <w:rsid w:val="006A1E28"/>
    <w:rsid w:val="006A1E55"/>
    <w:rsid w:val="006A1E58"/>
    <w:rsid w:val="006A22C2"/>
    <w:rsid w:val="006A2B09"/>
    <w:rsid w:val="006A2DFC"/>
    <w:rsid w:val="006A3356"/>
    <w:rsid w:val="006A3A5A"/>
    <w:rsid w:val="006A3BA4"/>
    <w:rsid w:val="006A40D8"/>
    <w:rsid w:val="006A47B1"/>
    <w:rsid w:val="006A49AE"/>
    <w:rsid w:val="006A4AFF"/>
    <w:rsid w:val="006A4D78"/>
    <w:rsid w:val="006A4DD7"/>
    <w:rsid w:val="006A5081"/>
    <w:rsid w:val="006A5231"/>
    <w:rsid w:val="006A52B9"/>
    <w:rsid w:val="006A5562"/>
    <w:rsid w:val="006A576D"/>
    <w:rsid w:val="006A57C0"/>
    <w:rsid w:val="006A57C4"/>
    <w:rsid w:val="006A5B6D"/>
    <w:rsid w:val="006A5D0F"/>
    <w:rsid w:val="006A611A"/>
    <w:rsid w:val="006A65A5"/>
    <w:rsid w:val="006A65AB"/>
    <w:rsid w:val="006A6CFF"/>
    <w:rsid w:val="006A754F"/>
    <w:rsid w:val="006A755B"/>
    <w:rsid w:val="006A7B5C"/>
    <w:rsid w:val="006B014A"/>
    <w:rsid w:val="006B03C9"/>
    <w:rsid w:val="006B06A0"/>
    <w:rsid w:val="006B0790"/>
    <w:rsid w:val="006B08CD"/>
    <w:rsid w:val="006B09A9"/>
    <w:rsid w:val="006B0CBD"/>
    <w:rsid w:val="006B0DD4"/>
    <w:rsid w:val="006B0F81"/>
    <w:rsid w:val="006B122E"/>
    <w:rsid w:val="006B1442"/>
    <w:rsid w:val="006B174A"/>
    <w:rsid w:val="006B1C23"/>
    <w:rsid w:val="006B2037"/>
    <w:rsid w:val="006B2239"/>
    <w:rsid w:val="006B2374"/>
    <w:rsid w:val="006B270F"/>
    <w:rsid w:val="006B2F1A"/>
    <w:rsid w:val="006B317D"/>
    <w:rsid w:val="006B3A4A"/>
    <w:rsid w:val="006B3EDF"/>
    <w:rsid w:val="006B3F9A"/>
    <w:rsid w:val="006B4284"/>
    <w:rsid w:val="006B451C"/>
    <w:rsid w:val="006B4836"/>
    <w:rsid w:val="006B4D5C"/>
    <w:rsid w:val="006B4DC5"/>
    <w:rsid w:val="006B4DCB"/>
    <w:rsid w:val="006B4EC7"/>
    <w:rsid w:val="006B4F71"/>
    <w:rsid w:val="006B5E7F"/>
    <w:rsid w:val="006B5F50"/>
    <w:rsid w:val="006B60EF"/>
    <w:rsid w:val="006B6410"/>
    <w:rsid w:val="006B6B74"/>
    <w:rsid w:val="006B6C5C"/>
    <w:rsid w:val="006B6F60"/>
    <w:rsid w:val="006B7258"/>
    <w:rsid w:val="006B7AA9"/>
    <w:rsid w:val="006B7ADC"/>
    <w:rsid w:val="006B7B0F"/>
    <w:rsid w:val="006C0002"/>
    <w:rsid w:val="006C04E6"/>
    <w:rsid w:val="006C04EE"/>
    <w:rsid w:val="006C058D"/>
    <w:rsid w:val="006C08BE"/>
    <w:rsid w:val="006C0EB9"/>
    <w:rsid w:val="006C0EC9"/>
    <w:rsid w:val="006C1277"/>
    <w:rsid w:val="006C1316"/>
    <w:rsid w:val="006C1480"/>
    <w:rsid w:val="006C1675"/>
    <w:rsid w:val="006C187F"/>
    <w:rsid w:val="006C18E7"/>
    <w:rsid w:val="006C1F1B"/>
    <w:rsid w:val="006C279E"/>
    <w:rsid w:val="006C2E91"/>
    <w:rsid w:val="006C2ED3"/>
    <w:rsid w:val="006C320C"/>
    <w:rsid w:val="006C322B"/>
    <w:rsid w:val="006C34C0"/>
    <w:rsid w:val="006C3C54"/>
    <w:rsid w:val="006C3D7F"/>
    <w:rsid w:val="006C3E9C"/>
    <w:rsid w:val="006C453A"/>
    <w:rsid w:val="006C4777"/>
    <w:rsid w:val="006C4B1B"/>
    <w:rsid w:val="006C4B67"/>
    <w:rsid w:val="006C52EE"/>
    <w:rsid w:val="006C558B"/>
    <w:rsid w:val="006C579D"/>
    <w:rsid w:val="006C5917"/>
    <w:rsid w:val="006C5ACC"/>
    <w:rsid w:val="006C5C75"/>
    <w:rsid w:val="006C5E2E"/>
    <w:rsid w:val="006C5E3A"/>
    <w:rsid w:val="006C5F62"/>
    <w:rsid w:val="006C67E5"/>
    <w:rsid w:val="006C6B3A"/>
    <w:rsid w:val="006C74FF"/>
    <w:rsid w:val="006C79C7"/>
    <w:rsid w:val="006C7D2B"/>
    <w:rsid w:val="006C7F04"/>
    <w:rsid w:val="006D0362"/>
    <w:rsid w:val="006D078C"/>
    <w:rsid w:val="006D093A"/>
    <w:rsid w:val="006D09BD"/>
    <w:rsid w:val="006D0C21"/>
    <w:rsid w:val="006D0CA6"/>
    <w:rsid w:val="006D0F49"/>
    <w:rsid w:val="006D0FAC"/>
    <w:rsid w:val="006D10D2"/>
    <w:rsid w:val="006D158E"/>
    <w:rsid w:val="006D15B0"/>
    <w:rsid w:val="006D15C8"/>
    <w:rsid w:val="006D2C87"/>
    <w:rsid w:val="006D37BC"/>
    <w:rsid w:val="006D384A"/>
    <w:rsid w:val="006D38E5"/>
    <w:rsid w:val="006D3BE8"/>
    <w:rsid w:val="006D3CDC"/>
    <w:rsid w:val="006D3D24"/>
    <w:rsid w:val="006D3E64"/>
    <w:rsid w:val="006D40D4"/>
    <w:rsid w:val="006D4168"/>
    <w:rsid w:val="006D442F"/>
    <w:rsid w:val="006D484B"/>
    <w:rsid w:val="006D48B2"/>
    <w:rsid w:val="006D4A3C"/>
    <w:rsid w:val="006D54AE"/>
    <w:rsid w:val="006D555D"/>
    <w:rsid w:val="006D5694"/>
    <w:rsid w:val="006D571D"/>
    <w:rsid w:val="006D5D00"/>
    <w:rsid w:val="006D5D06"/>
    <w:rsid w:val="006D6005"/>
    <w:rsid w:val="006D628A"/>
    <w:rsid w:val="006D65F1"/>
    <w:rsid w:val="006D6752"/>
    <w:rsid w:val="006D698E"/>
    <w:rsid w:val="006D76A4"/>
    <w:rsid w:val="006D76A5"/>
    <w:rsid w:val="006D7B40"/>
    <w:rsid w:val="006D7C53"/>
    <w:rsid w:val="006D7CA0"/>
    <w:rsid w:val="006D7FC0"/>
    <w:rsid w:val="006E00AE"/>
    <w:rsid w:val="006E021E"/>
    <w:rsid w:val="006E036F"/>
    <w:rsid w:val="006E05B3"/>
    <w:rsid w:val="006E065C"/>
    <w:rsid w:val="006E0BC0"/>
    <w:rsid w:val="006E12D3"/>
    <w:rsid w:val="006E16A5"/>
    <w:rsid w:val="006E1A7B"/>
    <w:rsid w:val="006E1BB2"/>
    <w:rsid w:val="006E1C12"/>
    <w:rsid w:val="006E1CCC"/>
    <w:rsid w:val="006E2086"/>
    <w:rsid w:val="006E22F3"/>
    <w:rsid w:val="006E2623"/>
    <w:rsid w:val="006E2907"/>
    <w:rsid w:val="006E2A12"/>
    <w:rsid w:val="006E2EC6"/>
    <w:rsid w:val="006E2F46"/>
    <w:rsid w:val="006E30BA"/>
    <w:rsid w:val="006E3123"/>
    <w:rsid w:val="006E3236"/>
    <w:rsid w:val="006E36EF"/>
    <w:rsid w:val="006E4031"/>
    <w:rsid w:val="006E4408"/>
    <w:rsid w:val="006E44D8"/>
    <w:rsid w:val="006E4D23"/>
    <w:rsid w:val="006E5589"/>
    <w:rsid w:val="006E59DC"/>
    <w:rsid w:val="006E5AA7"/>
    <w:rsid w:val="006E5BE1"/>
    <w:rsid w:val="006E5C1E"/>
    <w:rsid w:val="006E65B3"/>
    <w:rsid w:val="006E6F00"/>
    <w:rsid w:val="006E7172"/>
    <w:rsid w:val="006E71C0"/>
    <w:rsid w:val="006E71D9"/>
    <w:rsid w:val="006E72E3"/>
    <w:rsid w:val="006E734E"/>
    <w:rsid w:val="006E74F2"/>
    <w:rsid w:val="006E7A13"/>
    <w:rsid w:val="006E7D73"/>
    <w:rsid w:val="006E7EAC"/>
    <w:rsid w:val="006E7ECE"/>
    <w:rsid w:val="006F0124"/>
    <w:rsid w:val="006F0636"/>
    <w:rsid w:val="006F0C35"/>
    <w:rsid w:val="006F0C87"/>
    <w:rsid w:val="006F1029"/>
    <w:rsid w:val="006F1241"/>
    <w:rsid w:val="006F1457"/>
    <w:rsid w:val="006F16F5"/>
    <w:rsid w:val="006F17F7"/>
    <w:rsid w:val="006F1B1A"/>
    <w:rsid w:val="006F1FB3"/>
    <w:rsid w:val="006F2228"/>
    <w:rsid w:val="006F25B6"/>
    <w:rsid w:val="006F2884"/>
    <w:rsid w:val="006F2D7E"/>
    <w:rsid w:val="006F371C"/>
    <w:rsid w:val="006F3CD3"/>
    <w:rsid w:val="006F3D70"/>
    <w:rsid w:val="006F3F08"/>
    <w:rsid w:val="006F3F85"/>
    <w:rsid w:val="006F4071"/>
    <w:rsid w:val="006F42C5"/>
    <w:rsid w:val="006F4368"/>
    <w:rsid w:val="006F4516"/>
    <w:rsid w:val="006F4ADF"/>
    <w:rsid w:val="006F4AE2"/>
    <w:rsid w:val="006F4B80"/>
    <w:rsid w:val="006F5013"/>
    <w:rsid w:val="006F51AC"/>
    <w:rsid w:val="006F58C9"/>
    <w:rsid w:val="006F5AE0"/>
    <w:rsid w:val="006F6393"/>
    <w:rsid w:val="006F65DA"/>
    <w:rsid w:val="006F6B59"/>
    <w:rsid w:val="006F6D8E"/>
    <w:rsid w:val="006F7641"/>
    <w:rsid w:val="006F799E"/>
    <w:rsid w:val="006F7FC5"/>
    <w:rsid w:val="007004B1"/>
    <w:rsid w:val="00700BB0"/>
    <w:rsid w:val="00700CAA"/>
    <w:rsid w:val="00700CE1"/>
    <w:rsid w:val="007019DF"/>
    <w:rsid w:val="00701B90"/>
    <w:rsid w:val="00701E2A"/>
    <w:rsid w:val="0070243C"/>
    <w:rsid w:val="00702921"/>
    <w:rsid w:val="00702B01"/>
    <w:rsid w:val="00702C05"/>
    <w:rsid w:val="00702CFB"/>
    <w:rsid w:val="00703780"/>
    <w:rsid w:val="00703803"/>
    <w:rsid w:val="00703B36"/>
    <w:rsid w:val="00703C68"/>
    <w:rsid w:val="00703FFF"/>
    <w:rsid w:val="007040C7"/>
    <w:rsid w:val="0070432F"/>
    <w:rsid w:val="00704854"/>
    <w:rsid w:val="00704C7E"/>
    <w:rsid w:val="00704C96"/>
    <w:rsid w:val="0070525D"/>
    <w:rsid w:val="007055F6"/>
    <w:rsid w:val="007056F9"/>
    <w:rsid w:val="00705AC7"/>
    <w:rsid w:val="00705CE7"/>
    <w:rsid w:val="00705F3D"/>
    <w:rsid w:val="00706312"/>
    <w:rsid w:val="00706360"/>
    <w:rsid w:val="007067EE"/>
    <w:rsid w:val="00706AE2"/>
    <w:rsid w:val="00706D5B"/>
    <w:rsid w:val="00706DB3"/>
    <w:rsid w:val="00707B78"/>
    <w:rsid w:val="00710318"/>
    <w:rsid w:val="007105D0"/>
    <w:rsid w:val="0071068C"/>
    <w:rsid w:val="00710732"/>
    <w:rsid w:val="0071094D"/>
    <w:rsid w:val="007109BA"/>
    <w:rsid w:val="00710C6C"/>
    <w:rsid w:val="00710D3A"/>
    <w:rsid w:val="00710E7E"/>
    <w:rsid w:val="0071127B"/>
    <w:rsid w:val="007113A2"/>
    <w:rsid w:val="007114A4"/>
    <w:rsid w:val="00711C37"/>
    <w:rsid w:val="00711E45"/>
    <w:rsid w:val="007122D4"/>
    <w:rsid w:val="007124A6"/>
    <w:rsid w:val="007124F8"/>
    <w:rsid w:val="0071264A"/>
    <w:rsid w:val="007130A4"/>
    <w:rsid w:val="0071317D"/>
    <w:rsid w:val="0071381D"/>
    <w:rsid w:val="00713A26"/>
    <w:rsid w:val="00714365"/>
    <w:rsid w:val="007144AE"/>
    <w:rsid w:val="00714B30"/>
    <w:rsid w:val="00714C4E"/>
    <w:rsid w:val="00714D28"/>
    <w:rsid w:val="00714F12"/>
    <w:rsid w:val="007151EF"/>
    <w:rsid w:val="007152DF"/>
    <w:rsid w:val="0071531B"/>
    <w:rsid w:val="0071550C"/>
    <w:rsid w:val="007160AE"/>
    <w:rsid w:val="007161A8"/>
    <w:rsid w:val="007163E2"/>
    <w:rsid w:val="00716444"/>
    <w:rsid w:val="0071657D"/>
    <w:rsid w:val="0071663C"/>
    <w:rsid w:val="00716890"/>
    <w:rsid w:val="0071699C"/>
    <w:rsid w:val="00716AE6"/>
    <w:rsid w:val="00716B49"/>
    <w:rsid w:val="00716ED8"/>
    <w:rsid w:val="00716F04"/>
    <w:rsid w:val="00716FBE"/>
    <w:rsid w:val="0071712C"/>
    <w:rsid w:val="0071742A"/>
    <w:rsid w:val="007176DE"/>
    <w:rsid w:val="0071792D"/>
    <w:rsid w:val="00717AB5"/>
    <w:rsid w:val="00717BAF"/>
    <w:rsid w:val="00717C8F"/>
    <w:rsid w:val="00717D11"/>
    <w:rsid w:val="00720464"/>
    <w:rsid w:val="00720552"/>
    <w:rsid w:val="00720D80"/>
    <w:rsid w:val="0072124A"/>
    <w:rsid w:val="00721301"/>
    <w:rsid w:val="007217AC"/>
    <w:rsid w:val="00721A8D"/>
    <w:rsid w:val="00721A9D"/>
    <w:rsid w:val="00721D09"/>
    <w:rsid w:val="00721E57"/>
    <w:rsid w:val="00722031"/>
    <w:rsid w:val="00722837"/>
    <w:rsid w:val="007228E1"/>
    <w:rsid w:val="00722B84"/>
    <w:rsid w:val="00722DBF"/>
    <w:rsid w:val="00723261"/>
    <w:rsid w:val="007236FE"/>
    <w:rsid w:val="00723A11"/>
    <w:rsid w:val="00723A42"/>
    <w:rsid w:val="00723EC0"/>
    <w:rsid w:val="00724130"/>
    <w:rsid w:val="0072429B"/>
    <w:rsid w:val="007246C9"/>
    <w:rsid w:val="007246DE"/>
    <w:rsid w:val="00724738"/>
    <w:rsid w:val="00724926"/>
    <w:rsid w:val="00724CD4"/>
    <w:rsid w:val="007250D4"/>
    <w:rsid w:val="0072553E"/>
    <w:rsid w:val="007255FB"/>
    <w:rsid w:val="00725902"/>
    <w:rsid w:val="00725947"/>
    <w:rsid w:val="00725D3D"/>
    <w:rsid w:val="00725E6E"/>
    <w:rsid w:val="00725EA9"/>
    <w:rsid w:val="0072673B"/>
    <w:rsid w:val="00726BF3"/>
    <w:rsid w:val="00726DAC"/>
    <w:rsid w:val="00726EA5"/>
    <w:rsid w:val="00726EAD"/>
    <w:rsid w:val="00727092"/>
    <w:rsid w:val="007270C3"/>
    <w:rsid w:val="007276E5"/>
    <w:rsid w:val="00727879"/>
    <w:rsid w:val="00727AC7"/>
    <w:rsid w:val="007305E4"/>
    <w:rsid w:val="007305E5"/>
    <w:rsid w:val="007306E4"/>
    <w:rsid w:val="00730B0B"/>
    <w:rsid w:val="00730CAA"/>
    <w:rsid w:val="00730FE6"/>
    <w:rsid w:val="007310D5"/>
    <w:rsid w:val="00731216"/>
    <w:rsid w:val="0073125C"/>
    <w:rsid w:val="007313EB"/>
    <w:rsid w:val="007315F6"/>
    <w:rsid w:val="00731BFF"/>
    <w:rsid w:val="007323AC"/>
    <w:rsid w:val="00732401"/>
    <w:rsid w:val="00732835"/>
    <w:rsid w:val="007329B9"/>
    <w:rsid w:val="00732AEE"/>
    <w:rsid w:val="00732D3D"/>
    <w:rsid w:val="007332ED"/>
    <w:rsid w:val="0073347F"/>
    <w:rsid w:val="0073350C"/>
    <w:rsid w:val="0073377E"/>
    <w:rsid w:val="00733A12"/>
    <w:rsid w:val="00733A22"/>
    <w:rsid w:val="00733B28"/>
    <w:rsid w:val="00734377"/>
    <w:rsid w:val="0073493B"/>
    <w:rsid w:val="00735422"/>
    <w:rsid w:val="00735532"/>
    <w:rsid w:val="00735830"/>
    <w:rsid w:val="00735C30"/>
    <w:rsid w:val="0073632E"/>
    <w:rsid w:val="00736C8D"/>
    <w:rsid w:val="00736D67"/>
    <w:rsid w:val="007370E3"/>
    <w:rsid w:val="007375B1"/>
    <w:rsid w:val="007378EC"/>
    <w:rsid w:val="00737AD4"/>
    <w:rsid w:val="00737DBB"/>
    <w:rsid w:val="0074084F"/>
    <w:rsid w:val="007408F1"/>
    <w:rsid w:val="00740A21"/>
    <w:rsid w:val="00740F64"/>
    <w:rsid w:val="00740FD0"/>
    <w:rsid w:val="00741071"/>
    <w:rsid w:val="00741357"/>
    <w:rsid w:val="007419B3"/>
    <w:rsid w:val="00741C68"/>
    <w:rsid w:val="00741E18"/>
    <w:rsid w:val="0074247E"/>
    <w:rsid w:val="007426D1"/>
    <w:rsid w:val="00742850"/>
    <w:rsid w:val="007429A3"/>
    <w:rsid w:val="00742B82"/>
    <w:rsid w:val="00742E5F"/>
    <w:rsid w:val="00742EEB"/>
    <w:rsid w:val="00742F59"/>
    <w:rsid w:val="0074412C"/>
    <w:rsid w:val="007441D3"/>
    <w:rsid w:val="00744C58"/>
    <w:rsid w:val="00745332"/>
    <w:rsid w:val="00745630"/>
    <w:rsid w:val="00745692"/>
    <w:rsid w:val="00745FA3"/>
    <w:rsid w:val="00746317"/>
    <w:rsid w:val="00746454"/>
    <w:rsid w:val="00746496"/>
    <w:rsid w:val="00746E4C"/>
    <w:rsid w:val="00746F32"/>
    <w:rsid w:val="00746FE0"/>
    <w:rsid w:val="00747468"/>
    <w:rsid w:val="007479A0"/>
    <w:rsid w:val="00747AD3"/>
    <w:rsid w:val="00747D92"/>
    <w:rsid w:val="0075044F"/>
    <w:rsid w:val="00750533"/>
    <w:rsid w:val="007505C4"/>
    <w:rsid w:val="00750760"/>
    <w:rsid w:val="00750861"/>
    <w:rsid w:val="007510C0"/>
    <w:rsid w:val="00751497"/>
    <w:rsid w:val="007515DB"/>
    <w:rsid w:val="00751755"/>
    <w:rsid w:val="00751EFD"/>
    <w:rsid w:val="00751F83"/>
    <w:rsid w:val="00752026"/>
    <w:rsid w:val="007524AD"/>
    <w:rsid w:val="00752960"/>
    <w:rsid w:val="00752B7A"/>
    <w:rsid w:val="00753212"/>
    <w:rsid w:val="007536F3"/>
    <w:rsid w:val="007539DF"/>
    <w:rsid w:val="00753E10"/>
    <w:rsid w:val="00754086"/>
    <w:rsid w:val="007540C1"/>
    <w:rsid w:val="007548B5"/>
    <w:rsid w:val="00754947"/>
    <w:rsid w:val="00754B24"/>
    <w:rsid w:val="00754F9C"/>
    <w:rsid w:val="0075507D"/>
    <w:rsid w:val="00755193"/>
    <w:rsid w:val="0075548B"/>
    <w:rsid w:val="007554C5"/>
    <w:rsid w:val="007556BD"/>
    <w:rsid w:val="00755812"/>
    <w:rsid w:val="007566FC"/>
    <w:rsid w:val="007567E9"/>
    <w:rsid w:val="00756D8E"/>
    <w:rsid w:val="00756E5A"/>
    <w:rsid w:val="0075704D"/>
    <w:rsid w:val="00757270"/>
    <w:rsid w:val="007575D7"/>
    <w:rsid w:val="007577E5"/>
    <w:rsid w:val="00757A26"/>
    <w:rsid w:val="00757C69"/>
    <w:rsid w:val="00760165"/>
    <w:rsid w:val="00760201"/>
    <w:rsid w:val="00760A4D"/>
    <w:rsid w:val="00760AB7"/>
    <w:rsid w:val="00760B98"/>
    <w:rsid w:val="00761165"/>
    <w:rsid w:val="00761B47"/>
    <w:rsid w:val="00761DA0"/>
    <w:rsid w:val="007621B7"/>
    <w:rsid w:val="0076230B"/>
    <w:rsid w:val="00762A84"/>
    <w:rsid w:val="00763143"/>
    <w:rsid w:val="007632DC"/>
    <w:rsid w:val="0076371D"/>
    <w:rsid w:val="00763D7F"/>
    <w:rsid w:val="00764A64"/>
    <w:rsid w:val="00764B28"/>
    <w:rsid w:val="00764C92"/>
    <w:rsid w:val="00764EF1"/>
    <w:rsid w:val="00765991"/>
    <w:rsid w:val="00765FF5"/>
    <w:rsid w:val="00766604"/>
    <w:rsid w:val="00766706"/>
    <w:rsid w:val="0076680C"/>
    <w:rsid w:val="00766C20"/>
    <w:rsid w:val="00766E31"/>
    <w:rsid w:val="007672FC"/>
    <w:rsid w:val="00767604"/>
    <w:rsid w:val="00767921"/>
    <w:rsid w:val="00767BC7"/>
    <w:rsid w:val="00767ECE"/>
    <w:rsid w:val="0077041C"/>
    <w:rsid w:val="00770D27"/>
    <w:rsid w:val="00770D73"/>
    <w:rsid w:val="00770D97"/>
    <w:rsid w:val="00770FF0"/>
    <w:rsid w:val="007710C5"/>
    <w:rsid w:val="007711E6"/>
    <w:rsid w:val="0077168F"/>
    <w:rsid w:val="007716F7"/>
    <w:rsid w:val="00771C65"/>
    <w:rsid w:val="00771DBD"/>
    <w:rsid w:val="00771E2D"/>
    <w:rsid w:val="00772004"/>
    <w:rsid w:val="0077206E"/>
    <w:rsid w:val="0077216D"/>
    <w:rsid w:val="0077267A"/>
    <w:rsid w:val="0077268F"/>
    <w:rsid w:val="00772B21"/>
    <w:rsid w:val="00772B87"/>
    <w:rsid w:val="00772C9B"/>
    <w:rsid w:val="00772DD7"/>
    <w:rsid w:val="00772F06"/>
    <w:rsid w:val="007732A8"/>
    <w:rsid w:val="0077367B"/>
    <w:rsid w:val="00773947"/>
    <w:rsid w:val="00773FF6"/>
    <w:rsid w:val="0077424C"/>
    <w:rsid w:val="007743E5"/>
    <w:rsid w:val="00774911"/>
    <w:rsid w:val="00774A57"/>
    <w:rsid w:val="00774B1B"/>
    <w:rsid w:val="00774C40"/>
    <w:rsid w:val="00775123"/>
    <w:rsid w:val="007759D2"/>
    <w:rsid w:val="00775B6D"/>
    <w:rsid w:val="00775C2B"/>
    <w:rsid w:val="00775EFA"/>
    <w:rsid w:val="007762A7"/>
    <w:rsid w:val="0077631D"/>
    <w:rsid w:val="00776377"/>
    <w:rsid w:val="00776535"/>
    <w:rsid w:val="00776A08"/>
    <w:rsid w:val="00776AAE"/>
    <w:rsid w:val="00776B38"/>
    <w:rsid w:val="00776BB4"/>
    <w:rsid w:val="00776D53"/>
    <w:rsid w:val="0077759F"/>
    <w:rsid w:val="00777BB3"/>
    <w:rsid w:val="00777BB5"/>
    <w:rsid w:val="00777EF9"/>
    <w:rsid w:val="0078056E"/>
    <w:rsid w:val="00780763"/>
    <w:rsid w:val="0078090A"/>
    <w:rsid w:val="007809C3"/>
    <w:rsid w:val="00780A01"/>
    <w:rsid w:val="00780C90"/>
    <w:rsid w:val="0078100D"/>
    <w:rsid w:val="007810A1"/>
    <w:rsid w:val="00781113"/>
    <w:rsid w:val="00781200"/>
    <w:rsid w:val="00781303"/>
    <w:rsid w:val="007815DE"/>
    <w:rsid w:val="007819AD"/>
    <w:rsid w:val="007819B9"/>
    <w:rsid w:val="00781DAE"/>
    <w:rsid w:val="00781DD4"/>
    <w:rsid w:val="00782012"/>
    <w:rsid w:val="00782056"/>
    <w:rsid w:val="00782487"/>
    <w:rsid w:val="007826D2"/>
    <w:rsid w:val="007827C4"/>
    <w:rsid w:val="00782992"/>
    <w:rsid w:val="007829E4"/>
    <w:rsid w:val="00782BAB"/>
    <w:rsid w:val="0078302A"/>
    <w:rsid w:val="0078306A"/>
    <w:rsid w:val="007832E1"/>
    <w:rsid w:val="0078339D"/>
    <w:rsid w:val="00783514"/>
    <w:rsid w:val="00783596"/>
    <w:rsid w:val="00783A3A"/>
    <w:rsid w:val="00783D44"/>
    <w:rsid w:val="00784D21"/>
    <w:rsid w:val="00784D58"/>
    <w:rsid w:val="00784E4B"/>
    <w:rsid w:val="0078512B"/>
    <w:rsid w:val="00785478"/>
    <w:rsid w:val="00785616"/>
    <w:rsid w:val="00785C05"/>
    <w:rsid w:val="00785DA1"/>
    <w:rsid w:val="00785FF1"/>
    <w:rsid w:val="00786249"/>
    <w:rsid w:val="00786F85"/>
    <w:rsid w:val="007878A0"/>
    <w:rsid w:val="00787B90"/>
    <w:rsid w:val="00787BC1"/>
    <w:rsid w:val="007903A0"/>
    <w:rsid w:val="0079067D"/>
    <w:rsid w:val="00790827"/>
    <w:rsid w:val="007908CC"/>
    <w:rsid w:val="00790A5F"/>
    <w:rsid w:val="00790C4B"/>
    <w:rsid w:val="00790D7A"/>
    <w:rsid w:val="00790EF7"/>
    <w:rsid w:val="0079117F"/>
    <w:rsid w:val="00791497"/>
    <w:rsid w:val="00791DA3"/>
    <w:rsid w:val="00792086"/>
    <w:rsid w:val="0079272A"/>
    <w:rsid w:val="00792C64"/>
    <w:rsid w:val="00792CD6"/>
    <w:rsid w:val="007934CF"/>
    <w:rsid w:val="0079407C"/>
    <w:rsid w:val="0079413B"/>
    <w:rsid w:val="007941BA"/>
    <w:rsid w:val="007942CB"/>
    <w:rsid w:val="007947C5"/>
    <w:rsid w:val="00794B04"/>
    <w:rsid w:val="00794BA2"/>
    <w:rsid w:val="00794C02"/>
    <w:rsid w:val="00794E90"/>
    <w:rsid w:val="00794FD5"/>
    <w:rsid w:val="007950F2"/>
    <w:rsid w:val="007951E4"/>
    <w:rsid w:val="007952C0"/>
    <w:rsid w:val="00795391"/>
    <w:rsid w:val="00795493"/>
    <w:rsid w:val="0079582B"/>
    <w:rsid w:val="00795836"/>
    <w:rsid w:val="00795EC9"/>
    <w:rsid w:val="00796039"/>
    <w:rsid w:val="007962E6"/>
    <w:rsid w:val="00796516"/>
    <w:rsid w:val="007965E6"/>
    <w:rsid w:val="00796883"/>
    <w:rsid w:val="00796A3A"/>
    <w:rsid w:val="00796FC8"/>
    <w:rsid w:val="00797183"/>
    <w:rsid w:val="00797250"/>
    <w:rsid w:val="0079794A"/>
    <w:rsid w:val="00797BC0"/>
    <w:rsid w:val="00797C23"/>
    <w:rsid w:val="00797D35"/>
    <w:rsid w:val="00797E11"/>
    <w:rsid w:val="00797E60"/>
    <w:rsid w:val="007A00DE"/>
    <w:rsid w:val="007A011D"/>
    <w:rsid w:val="007A0423"/>
    <w:rsid w:val="007A04AD"/>
    <w:rsid w:val="007A0729"/>
    <w:rsid w:val="007A0743"/>
    <w:rsid w:val="007A0867"/>
    <w:rsid w:val="007A099E"/>
    <w:rsid w:val="007A0E39"/>
    <w:rsid w:val="007A0E65"/>
    <w:rsid w:val="007A10BB"/>
    <w:rsid w:val="007A10F9"/>
    <w:rsid w:val="007A1432"/>
    <w:rsid w:val="007A1463"/>
    <w:rsid w:val="007A18CD"/>
    <w:rsid w:val="007A1C09"/>
    <w:rsid w:val="007A20C1"/>
    <w:rsid w:val="007A20C2"/>
    <w:rsid w:val="007A247B"/>
    <w:rsid w:val="007A2CEA"/>
    <w:rsid w:val="007A2FC3"/>
    <w:rsid w:val="007A3208"/>
    <w:rsid w:val="007A3914"/>
    <w:rsid w:val="007A3930"/>
    <w:rsid w:val="007A3D1B"/>
    <w:rsid w:val="007A3EAF"/>
    <w:rsid w:val="007A413F"/>
    <w:rsid w:val="007A44AD"/>
    <w:rsid w:val="007A44E4"/>
    <w:rsid w:val="007A4841"/>
    <w:rsid w:val="007A48D1"/>
    <w:rsid w:val="007A49E1"/>
    <w:rsid w:val="007A4C70"/>
    <w:rsid w:val="007A4F14"/>
    <w:rsid w:val="007A55DC"/>
    <w:rsid w:val="007A5917"/>
    <w:rsid w:val="007A5CE1"/>
    <w:rsid w:val="007A5DC2"/>
    <w:rsid w:val="007A606F"/>
    <w:rsid w:val="007A6452"/>
    <w:rsid w:val="007A666A"/>
    <w:rsid w:val="007A674E"/>
    <w:rsid w:val="007A67A4"/>
    <w:rsid w:val="007A68B6"/>
    <w:rsid w:val="007A6A08"/>
    <w:rsid w:val="007A6B88"/>
    <w:rsid w:val="007A6EB0"/>
    <w:rsid w:val="007A6F23"/>
    <w:rsid w:val="007A71D3"/>
    <w:rsid w:val="007A7507"/>
    <w:rsid w:val="007A7D97"/>
    <w:rsid w:val="007A7F88"/>
    <w:rsid w:val="007B001F"/>
    <w:rsid w:val="007B0020"/>
    <w:rsid w:val="007B0550"/>
    <w:rsid w:val="007B07CA"/>
    <w:rsid w:val="007B08C6"/>
    <w:rsid w:val="007B0EF4"/>
    <w:rsid w:val="007B1023"/>
    <w:rsid w:val="007B1281"/>
    <w:rsid w:val="007B14DA"/>
    <w:rsid w:val="007B1B11"/>
    <w:rsid w:val="007B2424"/>
    <w:rsid w:val="007B275F"/>
    <w:rsid w:val="007B2AFE"/>
    <w:rsid w:val="007B2B68"/>
    <w:rsid w:val="007B2C73"/>
    <w:rsid w:val="007B31A6"/>
    <w:rsid w:val="007B32B4"/>
    <w:rsid w:val="007B3410"/>
    <w:rsid w:val="007B344D"/>
    <w:rsid w:val="007B3769"/>
    <w:rsid w:val="007B38A2"/>
    <w:rsid w:val="007B3972"/>
    <w:rsid w:val="007B4751"/>
    <w:rsid w:val="007B4770"/>
    <w:rsid w:val="007B47C2"/>
    <w:rsid w:val="007B4959"/>
    <w:rsid w:val="007B4A40"/>
    <w:rsid w:val="007B4C92"/>
    <w:rsid w:val="007B4D2A"/>
    <w:rsid w:val="007B52EA"/>
    <w:rsid w:val="007B530B"/>
    <w:rsid w:val="007B546F"/>
    <w:rsid w:val="007B5474"/>
    <w:rsid w:val="007B5529"/>
    <w:rsid w:val="007B5797"/>
    <w:rsid w:val="007B5AB4"/>
    <w:rsid w:val="007B5D98"/>
    <w:rsid w:val="007B5F16"/>
    <w:rsid w:val="007B6183"/>
    <w:rsid w:val="007B6563"/>
    <w:rsid w:val="007B6632"/>
    <w:rsid w:val="007B681E"/>
    <w:rsid w:val="007B6D4B"/>
    <w:rsid w:val="007B6F88"/>
    <w:rsid w:val="007B71AE"/>
    <w:rsid w:val="007B7967"/>
    <w:rsid w:val="007B799D"/>
    <w:rsid w:val="007B7DEC"/>
    <w:rsid w:val="007B7F36"/>
    <w:rsid w:val="007B7FC5"/>
    <w:rsid w:val="007C00C8"/>
    <w:rsid w:val="007C035C"/>
    <w:rsid w:val="007C07F9"/>
    <w:rsid w:val="007C0883"/>
    <w:rsid w:val="007C0946"/>
    <w:rsid w:val="007C0A3F"/>
    <w:rsid w:val="007C0A7F"/>
    <w:rsid w:val="007C0D69"/>
    <w:rsid w:val="007C118F"/>
    <w:rsid w:val="007C119D"/>
    <w:rsid w:val="007C1329"/>
    <w:rsid w:val="007C1385"/>
    <w:rsid w:val="007C1448"/>
    <w:rsid w:val="007C191F"/>
    <w:rsid w:val="007C1947"/>
    <w:rsid w:val="007C1C6C"/>
    <w:rsid w:val="007C262D"/>
    <w:rsid w:val="007C2BA3"/>
    <w:rsid w:val="007C2E02"/>
    <w:rsid w:val="007C3261"/>
    <w:rsid w:val="007C336F"/>
    <w:rsid w:val="007C37E8"/>
    <w:rsid w:val="007C3851"/>
    <w:rsid w:val="007C3863"/>
    <w:rsid w:val="007C38DB"/>
    <w:rsid w:val="007C4093"/>
    <w:rsid w:val="007C428C"/>
    <w:rsid w:val="007C44DE"/>
    <w:rsid w:val="007C457A"/>
    <w:rsid w:val="007C4707"/>
    <w:rsid w:val="007C518F"/>
    <w:rsid w:val="007C52D2"/>
    <w:rsid w:val="007C5D69"/>
    <w:rsid w:val="007C5DEF"/>
    <w:rsid w:val="007C5E77"/>
    <w:rsid w:val="007C5F98"/>
    <w:rsid w:val="007C5FB2"/>
    <w:rsid w:val="007C6377"/>
    <w:rsid w:val="007C6390"/>
    <w:rsid w:val="007C6471"/>
    <w:rsid w:val="007C6513"/>
    <w:rsid w:val="007C6538"/>
    <w:rsid w:val="007C66E4"/>
    <w:rsid w:val="007C6D84"/>
    <w:rsid w:val="007C6E0E"/>
    <w:rsid w:val="007C7B04"/>
    <w:rsid w:val="007C7B3C"/>
    <w:rsid w:val="007C7C35"/>
    <w:rsid w:val="007C7F2D"/>
    <w:rsid w:val="007C7F66"/>
    <w:rsid w:val="007C7FD1"/>
    <w:rsid w:val="007D0155"/>
    <w:rsid w:val="007D0CD3"/>
    <w:rsid w:val="007D0CF3"/>
    <w:rsid w:val="007D0ECC"/>
    <w:rsid w:val="007D11F6"/>
    <w:rsid w:val="007D14F9"/>
    <w:rsid w:val="007D1829"/>
    <w:rsid w:val="007D18D8"/>
    <w:rsid w:val="007D1E01"/>
    <w:rsid w:val="007D2056"/>
    <w:rsid w:val="007D23B5"/>
    <w:rsid w:val="007D28E0"/>
    <w:rsid w:val="007D3487"/>
    <w:rsid w:val="007D3828"/>
    <w:rsid w:val="007D3C0F"/>
    <w:rsid w:val="007D3E9A"/>
    <w:rsid w:val="007D3F07"/>
    <w:rsid w:val="007D43E6"/>
    <w:rsid w:val="007D4423"/>
    <w:rsid w:val="007D4544"/>
    <w:rsid w:val="007D4756"/>
    <w:rsid w:val="007D4886"/>
    <w:rsid w:val="007D4D78"/>
    <w:rsid w:val="007D4E77"/>
    <w:rsid w:val="007D4F6D"/>
    <w:rsid w:val="007D5130"/>
    <w:rsid w:val="007D535F"/>
    <w:rsid w:val="007D540F"/>
    <w:rsid w:val="007D57F9"/>
    <w:rsid w:val="007D5C00"/>
    <w:rsid w:val="007D5C40"/>
    <w:rsid w:val="007D5DAE"/>
    <w:rsid w:val="007D5F3E"/>
    <w:rsid w:val="007D652A"/>
    <w:rsid w:val="007D695D"/>
    <w:rsid w:val="007D6B48"/>
    <w:rsid w:val="007D6E11"/>
    <w:rsid w:val="007D7651"/>
    <w:rsid w:val="007D7738"/>
    <w:rsid w:val="007D7744"/>
    <w:rsid w:val="007D779A"/>
    <w:rsid w:val="007D7892"/>
    <w:rsid w:val="007E0010"/>
    <w:rsid w:val="007E004C"/>
    <w:rsid w:val="007E004D"/>
    <w:rsid w:val="007E0090"/>
    <w:rsid w:val="007E05D6"/>
    <w:rsid w:val="007E06EE"/>
    <w:rsid w:val="007E0908"/>
    <w:rsid w:val="007E0D77"/>
    <w:rsid w:val="007E0D91"/>
    <w:rsid w:val="007E0DEB"/>
    <w:rsid w:val="007E11BF"/>
    <w:rsid w:val="007E14BD"/>
    <w:rsid w:val="007E150C"/>
    <w:rsid w:val="007E1789"/>
    <w:rsid w:val="007E180B"/>
    <w:rsid w:val="007E18A6"/>
    <w:rsid w:val="007E1AF8"/>
    <w:rsid w:val="007E1B6B"/>
    <w:rsid w:val="007E1C53"/>
    <w:rsid w:val="007E23B3"/>
    <w:rsid w:val="007E2543"/>
    <w:rsid w:val="007E27AF"/>
    <w:rsid w:val="007E2EFF"/>
    <w:rsid w:val="007E33DF"/>
    <w:rsid w:val="007E34C8"/>
    <w:rsid w:val="007E34DA"/>
    <w:rsid w:val="007E35AC"/>
    <w:rsid w:val="007E3941"/>
    <w:rsid w:val="007E3BC4"/>
    <w:rsid w:val="007E3EE1"/>
    <w:rsid w:val="007E40E8"/>
    <w:rsid w:val="007E4649"/>
    <w:rsid w:val="007E4714"/>
    <w:rsid w:val="007E4F3D"/>
    <w:rsid w:val="007E500E"/>
    <w:rsid w:val="007E549A"/>
    <w:rsid w:val="007E56E1"/>
    <w:rsid w:val="007E59D0"/>
    <w:rsid w:val="007E5D37"/>
    <w:rsid w:val="007E5E6A"/>
    <w:rsid w:val="007E64EF"/>
    <w:rsid w:val="007E668B"/>
    <w:rsid w:val="007E6942"/>
    <w:rsid w:val="007E6BE0"/>
    <w:rsid w:val="007E7337"/>
    <w:rsid w:val="007E7C08"/>
    <w:rsid w:val="007F00C5"/>
    <w:rsid w:val="007F0132"/>
    <w:rsid w:val="007F032F"/>
    <w:rsid w:val="007F04F4"/>
    <w:rsid w:val="007F054B"/>
    <w:rsid w:val="007F06CA"/>
    <w:rsid w:val="007F074A"/>
    <w:rsid w:val="007F0770"/>
    <w:rsid w:val="007F12F1"/>
    <w:rsid w:val="007F14B8"/>
    <w:rsid w:val="007F1550"/>
    <w:rsid w:val="007F1742"/>
    <w:rsid w:val="007F1B07"/>
    <w:rsid w:val="007F1DC7"/>
    <w:rsid w:val="007F1DDF"/>
    <w:rsid w:val="007F1FF7"/>
    <w:rsid w:val="007F29FA"/>
    <w:rsid w:val="007F2B6A"/>
    <w:rsid w:val="007F2C58"/>
    <w:rsid w:val="007F2F11"/>
    <w:rsid w:val="007F32A0"/>
    <w:rsid w:val="007F3383"/>
    <w:rsid w:val="007F357B"/>
    <w:rsid w:val="007F37AB"/>
    <w:rsid w:val="007F3AFA"/>
    <w:rsid w:val="007F3D59"/>
    <w:rsid w:val="007F4102"/>
    <w:rsid w:val="007F427E"/>
    <w:rsid w:val="007F445A"/>
    <w:rsid w:val="007F458E"/>
    <w:rsid w:val="007F4644"/>
    <w:rsid w:val="007F4949"/>
    <w:rsid w:val="007F4CB3"/>
    <w:rsid w:val="007F4E51"/>
    <w:rsid w:val="007F5200"/>
    <w:rsid w:val="007F5A9A"/>
    <w:rsid w:val="007F5FAC"/>
    <w:rsid w:val="007F5FC3"/>
    <w:rsid w:val="007F6293"/>
    <w:rsid w:val="007F641C"/>
    <w:rsid w:val="007F6441"/>
    <w:rsid w:val="007F68C7"/>
    <w:rsid w:val="007F6D1A"/>
    <w:rsid w:val="007F6D8D"/>
    <w:rsid w:val="007F70AA"/>
    <w:rsid w:val="007F7206"/>
    <w:rsid w:val="007F77E6"/>
    <w:rsid w:val="007F7AC7"/>
    <w:rsid w:val="007F7C43"/>
    <w:rsid w:val="008000E5"/>
    <w:rsid w:val="008000FB"/>
    <w:rsid w:val="00800320"/>
    <w:rsid w:val="008013A7"/>
    <w:rsid w:val="008013F1"/>
    <w:rsid w:val="0080180A"/>
    <w:rsid w:val="00801D1F"/>
    <w:rsid w:val="008026A6"/>
    <w:rsid w:val="00802A86"/>
    <w:rsid w:val="00802EB1"/>
    <w:rsid w:val="00802EE9"/>
    <w:rsid w:val="00803E2A"/>
    <w:rsid w:val="00803E72"/>
    <w:rsid w:val="0080417F"/>
    <w:rsid w:val="008047C2"/>
    <w:rsid w:val="00804C2E"/>
    <w:rsid w:val="00804DED"/>
    <w:rsid w:val="00805EFD"/>
    <w:rsid w:val="00806036"/>
    <w:rsid w:val="0080615E"/>
    <w:rsid w:val="0080651E"/>
    <w:rsid w:val="0080656D"/>
    <w:rsid w:val="008067B0"/>
    <w:rsid w:val="00806F29"/>
    <w:rsid w:val="0080715E"/>
    <w:rsid w:val="0080720F"/>
    <w:rsid w:val="008074CB"/>
    <w:rsid w:val="0080766D"/>
    <w:rsid w:val="00807BFB"/>
    <w:rsid w:val="008101B3"/>
    <w:rsid w:val="00810930"/>
    <w:rsid w:val="00810934"/>
    <w:rsid w:val="0081093E"/>
    <w:rsid w:val="00810ACB"/>
    <w:rsid w:val="00810E0A"/>
    <w:rsid w:val="00810E22"/>
    <w:rsid w:val="008110A2"/>
    <w:rsid w:val="008112B4"/>
    <w:rsid w:val="00811354"/>
    <w:rsid w:val="008114AB"/>
    <w:rsid w:val="00811AE6"/>
    <w:rsid w:val="00811C2D"/>
    <w:rsid w:val="00811C5F"/>
    <w:rsid w:val="00812371"/>
    <w:rsid w:val="00812458"/>
    <w:rsid w:val="008137F4"/>
    <w:rsid w:val="00813AE2"/>
    <w:rsid w:val="00814342"/>
    <w:rsid w:val="00814EE1"/>
    <w:rsid w:val="00814F27"/>
    <w:rsid w:val="00815029"/>
    <w:rsid w:val="008150DF"/>
    <w:rsid w:val="00815360"/>
    <w:rsid w:val="00815384"/>
    <w:rsid w:val="008159B8"/>
    <w:rsid w:val="00815E4A"/>
    <w:rsid w:val="00815E7B"/>
    <w:rsid w:val="00815ED8"/>
    <w:rsid w:val="008164FC"/>
    <w:rsid w:val="008167A1"/>
    <w:rsid w:val="00816939"/>
    <w:rsid w:val="0081699D"/>
    <w:rsid w:val="00816CEB"/>
    <w:rsid w:val="00816D1E"/>
    <w:rsid w:val="00817083"/>
    <w:rsid w:val="00817234"/>
    <w:rsid w:val="0081763F"/>
    <w:rsid w:val="00817976"/>
    <w:rsid w:val="00817AB2"/>
    <w:rsid w:val="00817EC6"/>
    <w:rsid w:val="0082055E"/>
    <w:rsid w:val="008208AE"/>
    <w:rsid w:val="00820D94"/>
    <w:rsid w:val="00820E97"/>
    <w:rsid w:val="0082101B"/>
    <w:rsid w:val="00821CAB"/>
    <w:rsid w:val="00822375"/>
    <w:rsid w:val="008229DF"/>
    <w:rsid w:val="00822E0E"/>
    <w:rsid w:val="008230F8"/>
    <w:rsid w:val="00823261"/>
    <w:rsid w:val="008233F6"/>
    <w:rsid w:val="00823734"/>
    <w:rsid w:val="00823797"/>
    <w:rsid w:val="00823973"/>
    <w:rsid w:val="00823AC0"/>
    <w:rsid w:val="00823F23"/>
    <w:rsid w:val="008240E2"/>
    <w:rsid w:val="008240F1"/>
    <w:rsid w:val="00824338"/>
    <w:rsid w:val="00824389"/>
    <w:rsid w:val="00824505"/>
    <w:rsid w:val="008245AB"/>
    <w:rsid w:val="00824FD0"/>
    <w:rsid w:val="00825170"/>
    <w:rsid w:val="008251CD"/>
    <w:rsid w:val="00825A62"/>
    <w:rsid w:val="00826461"/>
    <w:rsid w:val="0082681C"/>
    <w:rsid w:val="00826DCE"/>
    <w:rsid w:val="00826F79"/>
    <w:rsid w:val="00827811"/>
    <w:rsid w:val="008279C2"/>
    <w:rsid w:val="00827C1C"/>
    <w:rsid w:val="00827F5A"/>
    <w:rsid w:val="008303D4"/>
    <w:rsid w:val="00830887"/>
    <w:rsid w:val="0083097C"/>
    <w:rsid w:val="00830A4C"/>
    <w:rsid w:val="00831141"/>
    <w:rsid w:val="00831235"/>
    <w:rsid w:val="0083176A"/>
    <w:rsid w:val="00831A11"/>
    <w:rsid w:val="00831D8F"/>
    <w:rsid w:val="00831FB5"/>
    <w:rsid w:val="00832124"/>
    <w:rsid w:val="00832442"/>
    <w:rsid w:val="00832C9D"/>
    <w:rsid w:val="00832E21"/>
    <w:rsid w:val="00833047"/>
    <w:rsid w:val="0083331E"/>
    <w:rsid w:val="00833746"/>
    <w:rsid w:val="008338F6"/>
    <w:rsid w:val="00833958"/>
    <w:rsid w:val="00833BEF"/>
    <w:rsid w:val="00833E13"/>
    <w:rsid w:val="008343A9"/>
    <w:rsid w:val="0083451B"/>
    <w:rsid w:val="00834667"/>
    <w:rsid w:val="00834B1B"/>
    <w:rsid w:val="00834BA7"/>
    <w:rsid w:val="0083516B"/>
    <w:rsid w:val="008356D0"/>
    <w:rsid w:val="0083579B"/>
    <w:rsid w:val="0083592C"/>
    <w:rsid w:val="00835CE2"/>
    <w:rsid w:val="00835E85"/>
    <w:rsid w:val="0083673C"/>
    <w:rsid w:val="00836786"/>
    <w:rsid w:val="008369AC"/>
    <w:rsid w:val="00836A99"/>
    <w:rsid w:val="00836F52"/>
    <w:rsid w:val="00837204"/>
    <w:rsid w:val="0083732D"/>
    <w:rsid w:val="0083737B"/>
    <w:rsid w:val="00837FCD"/>
    <w:rsid w:val="00840036"/>
    <w:rsid w:val="00840726"/>
    <w:rsid w:val="00840DB0"/>
    <w:rsid w:val="00841A4F"/>
    <w:rsid w:val="00841AF8"/>
    <w:rsid w:val="00841CCA"/>
    <w:rsid w:val="00841D96"/>
    <w:rsid w:val="00842346"/>
    <w:rsid w:val="008426BA"/>
    <w:rsid w:val="008427DB"/>
    <w:rsid w:val="008428FB"/>
    <w:rsid w:val="00843297"/>
    <w:rsid w:val="00843ABB"/>
    <w:rsid w:val="0084410F"/>
    <w:rsid w:val="008442AA"/>
    <w:rsid w:val="00844381"/>
    <w:rsid w:val="00844C3F"/>
    <w:rsid w:val="00844E41"/>
    <w:rsid w:val="0084506A"/>
    <w:rsid w:val="008450AE"/>
    <w:rsid w:val="008452BB"/>
    <w:rsid w:val="00845709"/>
    <w:rsid w:val="00845B27"/>
    <w:rsid w:val="00845D52"/>
    <w:rsid w:val="008462F6"/>
    <w:rsid w:val="00846371"/>
    <w:rsid w:val="008463D1"/>
    <w:rsid w:val="008465FA"/>
    <w:rsid w:val="0084673B"/>
    <w:rsid w:val="0084688E"/>
    <w:rsid w:val="008468DA"/>
    <w:rsid w:val="008468E9"/>
    <w:rsid w:val="00846A7D"/>
    <w:rsid w:val="00846DE1"/>
    <w:rsid w:val="008470B0"/>
    <w:rsid w:val="0084755D"/>
    <w:rsid w:val="00847748"/>
    <w:rsid w:val="00847A1C"/>
    <w:rsid w:val="00847FF1"/>
    <w:rsid w:val="00850692"/>
    <w:rsid w:val="008507C1"/>
    <w:rsid w:val="00850DE6"/>
    <w:rsid w:val="008517DB"/>
    <w:rsid w:val="00851960"/>
    <w:rsid w:val="00851D5B"/>
    <w:rsid w:val="008521F4"/>
    <w:rsid w:val="008522AF"/>
    <w:rsid w:val="008525C3"/>
    <w:rsid w:val="00852952"/>
    <w:rsid w:val="00852AC1"/>
    <w:rsid w:val="00853060"/>
    <w:rsid w:val="008534C3"/>
    <w:rsid w:val="00853776"/>
    <w:rsid w:val="00853E4C"/>
    <w:rsid w:val="00853E5F"/>
    <w:rsid w:val="00854112"/>
    <w:rsid w:val="0085412D"/>
    <w:rsid w:val="008553F6"/>
    <w:rsid w:val="00855659"/>
    <w:rsid w:val="008557B6"/>
    <w:rsid w:val="00855A2D"/>
    <w:rsid w:val="00855CAD"/>
    <w:rsid w:val="00855ECD"/>
    <w:rsid w:val="008560E0"/>
    <w:rsid w:val="00856136"/>
    <w:rsid w:val="0085679C"/>
    <w:rsid w:val="00856F9B"/>
    <w:rsid w:val="00857128"/>
    <w:rsid w:val="00857363"/>
    <w:rsid w:val="00857508"/>
    <w:rsid w:val="00857515"/>
    <w:rsid w:val="0085788A"/>
    <w:rsid w:val="00857A1A"/>
    <w:rsid w:val="00857D5F"/>
    <w:rsid w:val="0086066C"/>
    <w:rsid w:val="00860B71"/>
    <w:rsid w:val="00860C46"/>
    <w:rsid w:val="0086100A"/>
    <w:rsid w:val="00861347"/>
    <w:rsid w:val="00861486"/>
    <w:rsid w:val="008614C5"/>
    <w:rsid w:val="0086195D"/>
    <w:rsid w:val="00861B79"/>
    <w:rsid w:val="00861EE2"/>
    <w:rsid w:val="00861F92"/>
    <w:rsid w:val="0086218A"/>
    <w:rsid w:val="008621D6"/>
    <w:rsid w:val="00862343"/>
    <w:rsid w:val="008623CE"/>
    <w:rsid w:val="0086281C"/>
    <w:rsid w:val="00862F95"/>
    <w:rsid w:val="00862FE6"/>
    <w:rsid w:val="008631E9"/>
    <w:rsid w:val="0086329A"/>
    <w:rsid w:val="008632FE"/>
    <w:rsid w:val="00863A70"/>
    <w:rsid w:val="00863F3E"/>
    <w:rsid w:val="00863F6D"/>
    <w:rsid w:val="0086419A"/>
    <w:rsid w:val="0086442B"/>
    <w:rsid w:val="0086447D"/>
    <w:rsid w:val="00864906"/>
    <w:rsid w:val="00864B3A"/>
    <w:rsid w:val="00864FFA"/>
    <w:rsid w:val="0086504B"/>
    <w:rsid w:val="0086534E"/>
    <w:rsid w:val="008653BE"/>
    <w:rsid w:val="00865A02"/>
    <w:rsid w:val="0086617D"/>
    <w:rsid w:val="00866669"/>
    <w:rsid w:val="00866797"/>
    <w:rsid w:val="0086695B"/>
    <w:rsid w:val="00867146"/>
    <w:rsid w:val="00867443"/>
    <w:rsid w:val="008674D1"/>
    <w:rsid w:val="00867B83"/>
    <w:rsid w:val="00867DFC"/>
    <w:rsid w:val="0087088B"/>
    <w:rsid w:val="00870CEC"/>
    <w:rsid w:val="008712AB"/>
    <w:rsid w:val="0087152B"/>
    <w:rsid w:val="00871639"/>
    <w:rsid w:val="00871739"/>
    <w:rsid w:val="00871BF5"/>
    <w:rsid w:val="008723D3"/>
    <w:rsid w:val="0087272D"/>
    <w:rsid w:val="00872A1B"/>
    <w:rsid w:val="00872BB8"/>
    <w:rsid w:val="00872BFC"/>
    <w:rsid w:val="00872F73"/>
    <w:rsid w:val="008731A3"/>
    <w:rsid w:val="008738FB"/>
    <w:rsid w:val="00873E92"/>
    <w:rsid w:val="00873EEB"/>
    <w:rsid w:val="0087414D"/>
    <w:rsid w:val="0087443C"/>
    <w:rsid w:val="008746E5"/>
    <w:rsid w:val="00874D0E"/>
    <w:rsid w:val="0087535C"/>
    <w:rsid w:val="00875713"/>
    <w:rsid w:val="008757F2"/>
    <w:rsid w:val="008758CB"/>
    <w:rsid w:val="0087596C"/>
    <w:rsid w:val="0087596E"/>
    <w:rsid w:val="00875D04"/>
    <w:rsid w:val="00875F0A"/>
    <w:rsid w:val="0087613F"/>
    <w:rsid w:val="008761B6"/>
    <w:rsid w:val="00876271"/>
    <w:rsid w:val="008763A7"/>
    <w:rsid w:val="008764F2"/>
    <w:rsid w:val="00876568"/>
    <w:rsid w:val="0087658C"/>
    <w:rsid w:val="00876AF8"/>
    <w:rsid w:val="0087742E"/>
    <w:rsid w:val="008775C9"/>
    <w:rsid w:val="0087768D"/>
    <w:rsid w:val="00877F00"/>
    <w:rsid w:val="0088039E"/>
    <w:rsid w:val="008803E6"/>
    <w:rsid w:val="008807BD"/>
    <w:rsid w:val="0088097C"/>
    <w:rsid w:val="00880AA7"/>
    <w:rsid w:val="00880C72"/>
    <w:rsid w:val="00880CE3"/>
    <w:rsid w:val="00881170"/>
    <w:rsid w:val="008811BC"/>
    <w:rsid w:val="0088139E"/>
    <w:rsid w:val="00881649"/>
    <w:rsid w:val="0088177A"/>
    <w:rsid w:val="008818F2"/>
    <w:rsid w:val="0088239F"/>
    <w:rsid w:val="0088290C"/>
    <w:rsid w:val="00882921"/>
    <w:rsid w:val="00882BA3"/>
    <w:rsid w:val="00882CF0"/>
    <w:rsid w:val="00882DB5"/>
    <w:rsid w:val="00883410"/>
    <w:rsid w:val="00883ABA"/>
    <w:rsid w:val="00883DA7"/>
    <w:rsid w:val="00883DE9"/>
    <w:rsid w:val="008847AA"/>
    <w:rsid w:val="008847B8"/>
    <w:rsid w:val="008848DB"/>
    <w:rsid w:val="008850F8"/>
    <w:rsid w:val="008852A5"/>
    <w:rsid w:val="008856D4"/>
    <w:rsid w:val="00885BCF"/>
    <w:rsid w:val="00885F7E"/>
    <w:rsid w:val="00885FB5"/>
    <w:rsid w:val="008867E6"/>
    <w:rsid w:val="00886868"/>
    <w:rsid w:val="00886E52"/>
    <w:rsid w:val="00886F16"/>
    <w:rsid w:val="00887627"/>
    <w:rsid w:val="00887694"/>
    <w:rsid w:val="00887834"/>
    <w:rsid w:val="008879B5"/>
    <w:rsid w:val="00887BC6"/>
    <w:rsid w:val="008902F4"/>
    <w:rsid w:val="0089077C"/>
    <w:rsid w:val="00890F91"/>
    <w:rsid w:val="008915A6"/>
    <w:rsid w:val="00891A5E"/>
    <w:rsid w:val="00891BAC"/>
    <w:rsid w:val="00891F94"/>
    <w:rsid w:val="00892350"/>
    <w:rsid w:val="008923B1"/>
    <w:rsid w:val="008925E8"/>
    <w:rsid w:val="008926C4"/>
    <w:rsid w:val="00892AB1"/>
    <w:rsid w:val="00892C58"/>
    <w:rsid w:val="008930BE"/>
    <w:rsid w:val="008932E9"/>
    <w:rsid w:val="0089341C"/>
    <w:rsid w:val="00893456"/>
    <w:rsid w:val="008938A1"/>
    <w:rsid w:val="00893E3E"/>
    <w:rsid w:val="00893E8A"/>
    <w:rsid w:val="00893F52"/>
    <w:rsid w:val="008941EC"/>
    <w:rsid w:val="008945EE"/>
    <w:rsid w:val="00894624"/>
    <w:rsid w:val="008952A8"/>
    <w:rsid w:val="008959B2"/>
    <w:rsid w:val="00896015"/>
    <w:rsid w:val="008964A9"/>
    <w:rsid w:val="00896783"/>
    <w:rsid w:val="0089681A"/>
    <w:rsid w:val="00896989"/>
    <w:rsid w:val="00896B41"/>
    <w:rsid w:val="00896F17"/>
    <w:rsid w:val="00897252"/>
    <w:rsid w:val="008975A3"/>
    <w:rsid w:val="008975CC"/>
    <w:rsid w:val="00897618"/>
    <w:rsid w:val="008978C5"/>
    <w:rsid w:val="00897BEF"/>
    <w:rsid w:val="008A1B3C"/>
    <w:rsid w:val="008A1BFD"/>
    <w:rsid w:val="008A1C39"/>
    <w:rsid w:val="008A248A"/>
    <w:rsid w:val="008A26CB"/>
    <w:rsid w:val="008A27B8"/>
    <w:rsid w:val="008A2805"/>
    <w:rsid w:val="008A28BF"/>
    <w:rsid w:val="008A2ACA"/>
    <w:rsid w:val="008A2E47"/>
    <w:rsid w:val="008A2E8D"/>
    <w:rsid w:val="008A2FBC"/>
    <w:rsid w:val="008A3222"/>
    <w:rsid w:val="008A3500"/>
    <w:rsid w:val="008A379C"/>
    <w:rsid w:val="008A3A5A"/>
    <w:rsid w:val="008A3E67"/>
    <w:rsid w:val="008A403A"/>
    <w:rsid w:val="008A42DA"/>
    <w:rsid w:val="008A43B4"/>
    <w:rsid w:val="008A49B2"/>
    <w:rsid w:val="008A4A63"/>
    <w:rsid w:val="008A4F00"/>
    <w:rsid w:val="008A546E"/>
    <w:rsid w:val="008A5522"/>
    <w:rsid w:val="008A5684"/>
    <w:rsid w:val="008A5C62"/>
    <w:rsid w:val="008A65C2"/>
    <w:rsid w:val="008A6E48"/>
    <w:rsid w:val="008A6FC3"/>
    <w:rsid w:val="008A701E"/>
    <w:rsid w:val="008A734B"/>
    <w:rsid w:val="008A7706"/>
    <w:rsid w:val="008A7BDA"/>
    <w:rsid w:val="008A7C2B"/>
    <w:rsid w:val="008A7F65"/>
    <w:rsid w:val="008B0210"/>
    <w:rsid w:val="008B0328"/>
    <w:rsid w:val="008B0C9A"/>
    <w:rsid w:val="008B140A"/>
    <w:rsid w:val="008B17D9"/>
    <w:rsid w:val="008B1A1C"/>
    <w:rsid w:val="008B1D5C"/>
    <w:rsid w:val="008B1D60"/>
    <w:rsid w:val="008B1E73"/>
    <w:rsid w:val="008B207B"/>
    <w:rsid w:val="008B2510"/>
    <w:rsid w:val="008B2A87"/>
    <w:rsid w:val="008B2D49"/>
    <w:rsid w:val="008B2D7F"/>
    <w:rsid w:val="008B31CD"/>
    <w:rsid w:val="008B31EE"/>
    <w:rsid w:val="008B34D8"/>
    <w:rsid w:val="008B3624"/>
    <w:rsid w:val="008B3878"/>
    <w:rsid w:val="008B3D46"/>
    <w:rsid w:val="008B414E"/>
    <w:rsid w:val="008B4555"/>
    <w:rsid w:val="008B4F22"/>
    <w:rsid w:val="008B508B"/>
    <w:rsid w:val="008B5229"/>
    <w:rsid w:val="008B527F"/>
    <w:rsid w:val="008B578F"/>
    <w:rsid w:val="008B5816"/>
    <w:rsid w:val="008B5CC4"/>
    <w:rsid w:val="008B5D88"/>
    <w:rsid w:val="008B5EEE"/>
    <w:rsid w:val="008B5F62"/>
    <w:rsid w:val="008B601B"/>
    <w:rsid w:val="008B6796"/>
    <w:rsid w:val="008B67BD"/>
    <w:rsid w:val="008B6AB9"/>
    <w:rsid w:val="008B6CFB"/>
    <w:rsid w:val="008B6D25"/>
    <w:rsid w:val="008B6EAE"/>
    <w:rsid w:val="008B6F70"/>
    <w:rsid w:val="008B70C7"/>
    <w:rsid w:val="008B7391"/>
    <w:rsid w:val="008B73A0"/>
    <w:rsid w:val="008B7427"/>
    <w:rsid w:val="008B7AF1"/>
    <w:rsid w:val="008B7F48"/>
    <w:rsid w:val="008B7FE3"/>
    <w:rsid w:val="008C1075"/>
    <w:rsid w:val="008C12E3"/>
    <w:rsid w:val="008C169C"/>
    <w:rsid w:val="008C1BD3"/>
    <w:rsid w:val="008C1F08"/>
    <w:rsid w:val="008C1F25"/>
    <w:rsid w:val="008C249A"/>
    <w:rsid w:val="008C2617"/>
    <w:rsid w:val="008C2711"/>
    <w:rsid w:val="008C2886"/>
    <w:rsid w:val="008C2AAA"/>
    <w:rsid w:val="008C2CEA"/>
    <w:rsid w:val="008C2E0E"/>
    <w:rsid w:val="008C2EE0"/>
    <w:rsid w:val="008C3117"/>
    <w:rsid w:val="008C3398"/>
    <w:rsid w:val="008C386F"/>
    <w:rsid w:val="008C3BED"/>
    <w:rsid w:val="008C46A1"/>
    <w:rsid w:val="008C4A72"/>
    <w:rsid w:val="008C4B26"/>
    <w:rsid w:val="008C4FF4"/>
    <w:rsid w:val="008C5564"/>
    <w:rsid w:val="008C5886"/>
    <w:rsid w:val="008C5A8F"/>
    <w:rsid w:val="008C5F1E"/>
    <w:rsid w:val="008C616F"/>
    <w:rsid w:val="008C6185"/>
    <w:rsid w:val="008C618B"/>
    <w:rsid w:val="008C62E1"/>
    <w:rsid w:val="008C6502"/>
    <w:rsid w:val="008C657D"/>
    <w:rsid w:val="008C66C5"/>
    <w:rsid w:val="008C69A0"/>
    <w:rsid w:val="008C69E2"/>
    <w:rsid w:val="008C6BC5"/>
    <w:rsid w:val="008C7599"/>
    <w:rsid w:val="008C75A6"/>
    <w:rsid w:val="008C7628"/>
    <w:rsid w:val="008C77D4"/>
    <w:rsid w:val="008C7BB5"/>
    <w:rsid w:val="008C7C03"/>
    <w:rsid w:val="008C7C92"/>
    <w:rsid w:val="008C7D5C"/>
    <w:rsid w:val="008D0654"/>
    <w:rsid w:val="008D0814"/>
    <w:rsid w:val="008D0D33"/>
    <w:rsid w:val="008D0D9B"/>
    <w:rsid w:val="008D0E7B"/>
    <w:rsid w:val="008D0F28"/>
    <w:rsid w:val="008D0FEE"/>
    <w:rsid w:val="008D10F4"/>
    <w:rsid w:val="008D12CC"/>
    <w:rsid w:val="008D1324"/>
    <w:rsid w:val="008D134F"/>
    <w:rsid w:val="008D14C3"/>
    <w:rsid w:val="008D1739"/>
    <w:rsid w:val="008D18B9"/>
    <w:rsid w:val="008D1C1D"/>
    <w:rsid w:val="008D2364"/>
    <w:rsid w:val="008D25BA"/>
    <w:rsid w:val="008D26B3"/>
    <w:rsid w:val="008D26FD"/>
    <w:rsid w:val="008D2738"/>
    <w:rsid w:val="008D2779"/>
    <w:rsid w:val="008D2925"/>
    <w:rsid w:val="008D2977"/>
    <w:rsid w:val="008D2AF6"/>
    <w:rsid w:val="008D2B2C"/>
    <w:rsid w:val="008D2E60"/>
    <w:rsid w:val="008D2E7C"/>
    <w:rsid w:val="008D32F7"/>
    <w:rsid w:val="008D333F"/>
    <w:rsid w:val="008D371F"/>
    <w:rsid w:val="008D3861"/>
    <w:rsid w:val="008D39F5"/>
    <w:rsid w:val="008D3B52"/>
    <w:rsid w:val="008D41C5"/>
    <w:rsid w:val="008D45B6"/>
    <w:rsid w:val="008D4668"/>
    <w:rsid w:val="008D47AB"/>
    <w:rsid w:val="008D5174"/>
    <w:rsid w:val="008D51BC"/>
    <w:rsid w:val="008D5359"/>
    <w:rsid w:val="008D574C"/>
    <w:rsid w:val="008D5ED9"/>
    <w:rsid w:val="008D5F1F"/>
    <w:rsid w:val="008D6543"/>
    <w:rsid w:val="008D65D0"/>
    <w:rsid w:val="008D65DA"/>
    <w:rsid w:val="008D65FA"/>
    <w:rsid w:val="008D6720"/>
    <w:rsid w:val="008D6CB8"/>
    <w:rsid w:val="008D6DF2"/>
    <w:rsid w:val="008D6E9E"/>
    <w:rsid w:val="008D7106"/>
    <w:rsid w:val="008D7438"/>
    <w:rsid w:val="008D7526"/>
    <w:rsid w:val="008E012C"/>
    <w:rsid w:val="008E02D0"/>
    <w:rsid w:val="008E06DA"/>
    <w:rsid w:val="008E07C8"/>
    <w:rsid w:val="008E08AF"/>
    <w:rsid w:val="008E0A1A"/>
    <w:rsid w:val="008E0EE4"/>
    <w:rsid w:val="008E1032"/>
    <w:rsid w:val="008E1095"/>
    <w:rsid w:val="008E15BE"/>
    <w:rsid w:val="008E1635"/>
    <w:rsid w:val="008E18C4"/>
    <w:rsid w:val="008E1D4F"/>
    <w:rsid w:val="008E2286"/>
    <w:rsid w:val="008E2767"/>
    <w:rsid w:val="008E2778"/>
    <w:rsid w:val="008E27FF"/>
    <w:rsid w:val="008E29EC"/>
    <w:rsid w:val="008E2CB0"/>
    <w:rsid w:val="008E2D0A"/>
    <w:rsid w:val="008E2E30"/>
    <w:rsid w:val="008E2E4C"/>
    <w:rsid w:val="008E35BF"/>
    <w:rsid w:val="008E3E1C"/>
    <w:rsid w:val="008E3EDC"/>
    <w:rsid w:val="008E3F46"/>
    <w:rsid w:val="008E3FCB"/>
    <w:rsid w:val="008E40F8"/>
    <w:rsid w:val="008E4599"/>
    <w:rsid w:val="008E45C7"/>
    <w:rsid w:val="008E48F6"/>
    <w:rsid w:val="008E4F8F"/>
    <w:rsid w:val="008E5063"/>
    <w:rsid w:val="008E51D5"/>
    <w:rsid w:val="008E55B7"/>
    <w:rsid w:val="008E6099"/>
    <w:rsid w:val="008E6447"/>
    <w:rsid w:val="008E6859"/>
    <w:rsid w:val="008E68C8"/>
    <w:rsid w:val="008E68EC"/>
    <w:rsid w:val="008E6B35"/>
    <w:rsid w:val="008E6E94"/>
    <w:rsid w:val="008E7065"/>
    <w:rsid w:val="008E79CA"/>
    <w:rsid w:val="008E79E8"/>
    <w:rsid w:val="008E7C49"/>
    <w:rsid w:val="008E7F25"/>
    <w:rsid w:val="008F0300"/>
    <w:rsid w:val="008F079B"/>
    <w:rsid w:val="008F0849"/>
    <w:rsid w:val="008F096C"/>
    <w:rsid w:val="008F0A39"/>
    <w:rsid w:val="008F0B0D"/>
    <w:rsid w:val="008F0BCD"/>
    <w:rsid w:val="008F0F19"/>
    <w:rsid w:val="008F120E"/>
    <w:rsid w:val="008F128B"/>
    <w:rsid w:val="008F12E8"/>
    <w:rsid w:val="008F16A0"/>
    <w:rsid w:val="008F16F7"/>
    <w:rsid w:val="008F1924"/>
    <w:rsid w:val="008F1B39"/>
    <w:rsid w:val="008F1BE0"/>
    <w:rsid w:val="008F1BF3"/>
    <w:rsid w:val="008F1EA6"/>
    <w:rsid w:val="008F2199"/>
    <w:rsid w:val="008F22D2"/>
    <w:rsid w:val="008F2343"/>
    <w:rsid w:val="008F234E"/>
    <w:rsid w:val="008F2404"/>
    <w:rsid w:val="008F2429"/>
    <w:rsid w:val="008F26C4"/>
    <w:rsid w:val="008F297C"/>
    <w:rsid w:val="008F2BB4"/>
    <w:rsid w:val="008F2BFA"/>
    <w:rsid w:val="008F2DE4"/>
    <w:rsid w:val="008F2E2A"/>
    <w:rsid w:val="008F2FBA"/>
    <w:rsid w:val="008F34DC"/>
    <w:rsid w:val="008F3522"/>
    <w:rsid w:val="008F35E9"/>
    <w:rsid w:val="008F3CE4"/>
    <w:rsid w:val="008F406C"/>
    <w:rsid w:val="008F4AA6"/>
    <w:rsid w:val="008F5298"/>
    <w:rsid w:val="008F5BF3"/>
    <w:rsid w:val="008F5D3F"/>
    <w:rsid w:val="008F5D53"/>
    <w:rsid w:val="008F6093"/>
    <w:rsid w:val="008F6227"/>
    <w:rsid w:val="008F63E0"/>
    <w:rsid w:val="008F675A"/>
    <w:rsid w:val="008F6BF1"/>
    <w:rsid w:val="008F6C57"/>
    <w:rsid w:val="008F6D1E"/>
    <w:rsid w:val="008F6EC2"/>
    <w:rsid w:val="008F72F4"/>
    <w:rsid w:val="008F74B3"/>
    <w:rsid w:val="008F75F6"/>
    <w:rsid w:val="008F78FC"/>
    <w:rsid w:val="008F7E05"/>
    <w:rsid w:val="008F7EF9"/>
    <w:rsid w:val="00900495"/>
    <w:rsid w:val="00900927"/>
    <w:rsid w:val="00900A4A"/>
    <w:rsid w:val="00900A79"/>
    <w:rsid w:val="00900F30"/>
    <w:rsid w:val="00901D8F"/>
    <w:rsid w:val="0090203E"/>
    <w:rsid w:val="00902159"/>
    <w:rsid w:val="009023E2"/>
    <w:rsid w:val="009026B6"/>
    <w:rsid w:val="00902B08"/>
    <w:rsid w:val="00902D46"/>
    <w:rsid w:val="00903CE9"/>
    <w:rsid w:val="00903FB7"/>
    <w:rsid w:val="009046B4"/>
    <w:rsid w:val="009046D3"/>
    <w:rsid w:val="00904FD5"/>
    <w:rsid w:val="009052D7"/>
    <w:rsid w:val="00905466"/>
    <w:rsid w:val="00905C47"/>
    <w:rsid w:val="00905CBA"/>
    <w:rsid w:val="0090615F"/>
    <w:rsid w:val="00906248"/>
    <w:rsid w:val="0090671D"/>
    <w:rsid w:val="009068D5"/>
    <w:rsid w:val="00906AE3"/>
    <w:rsid w:val="00906CCE"/>
    <w:rsid w:val="0090746A"/>
    <w:rsid w:val="009078D6"/>
    <w:rsid w:val="0090790B"/>
    <w:rsid w:val="00907CE9"/>
    <w:rsid w:val="00907EB7"/>
    <w:rsid w:val="00910117"/>
    <w:rsid w:val="00910216"/>
    <w:rsid w:val="0091034E"/>
    <w:rsid w:val="00910609"/>
    <w:rsid w:val="00910AA5"/>
    <w:rsid w:val="009110F0"/>
    <w:rsid w:val="00911772"/>
    <w:rsid w:val="0091178B"/>
    <w:rsid w:val="00911832"/>
    <w:rsid w:val="00911AD9"/>
    <w:rsid w:val="00911ADE"/>
    <w:rsid w:val="00911CAF"/>
    <w:rsid w:val="00911DAD"/>
    <w:rsid w:val="00911E1E"/>
    <w:rsid w:val="00911EA4"/>
    <w:rsid w:val="00911F47"/>
    <w:rsid w:val="009125FD"/>
    <w:rsid w:val="00912986"/>
    <w:rsid w:val="009129BC"/>
    <w:rsid w:val="00912C44"/>
    <w:rsid w:val="00912E70"/>
    <w:rsid w:val="00912F51"/>
    <w:rsid w:val="0091378E"/>
    <w:rsid w:val="0091394A"/>
    <w:rsid w:val="009139F9"/>
    <w:rsid w:val="00913F95"/>
    <w:rsid w:val="0091416B"/>
    <w:rsid w:val="009141CF"/>
    <w:rsid w:val="009142E5"/>
    <w:rsid w:val="009144AE"/>
    <w:rsid w:val="00914644"/>
    <w:rsid w:val="009148E8"/>
    <w:rsid w:val="00914E35"/>
    <w:rsid w:val="009153A8"/>
    <w:rsid w:val="009155B0"/>
    <w:rsid w:val="0091577E"/>
    <w:rsid w:val="00915AC0"/>
    <w:rsid w:val="00915BA2"/>
    <w:rsid w:val="00915BD8"/>
    <w:rsid w:val="00915E29"/>
    <w:rsid w:val="009162DB"/>
    <w:rsid w:val="00916418"/>
    <w:rsid w:val="0091688B"/>
    <w:rsid w:val="00916D36"/>
    <w:rsid w:val="00917168"/>
    <w:rsid w:val="00917338"/>
    <w:rsid w:val="009174D5"/>
    <w:rsid w:val="00917E9F"/>
    <w:rsid w:val="00917F0B"/>
    <w:rsid w:val="00917FF2"/>
    <w:rsid w:val="00920200"/>
    <w:rsid w:val="00920237"/>
    <w:rsid w:val="0092040A"/>
    <w:rsid w:val="009204CC"/>
    <w:rsid w:val="00920506"/>
    <w:rsid w:val="0092083D"/>
    <w:rsid w:val="00920AB3"/>
    <w:rsid w:val="00920C19"/>
    <w:rsid w:val="00920D43"/>
    <w:rsid w:val="009212B0"/>
    <w:rsid w:val="00921485"/>
    <w:rsid w:val="009219F9"/>
    <w:rsid w:val="00922413"/>
    <w:rsid w:val="00922793"/>
    <w:rsid w:val="009227D1"/>
    <w:rsid w:val="00922A50"/>
    <w:rsid w:val="00922AD8"/>
    <w:rsid w:val="00922B68"/>
    <w:rsid w:val="00922C77"/>
    <w:rsid w:val="00922EBC"/>
    <w:rsid w:val="009230AA"/>
    <w:rsid w:val="009239B8"/>
    <w:rsid w:val="00923C23"/>
    <w:rsid w:val="00924105"/>
    <w:rsid w:val="009246B3"/>
    <w:rsid w:val="00924E7B"/>
    <w:rsid w:val="00925128"/>
    <w:rsid w:val="00925541"/>
    <w:rsid w:val="009256FE"/>
    <w:rsid w:val="00925CAD"/>
    <w:rsid w:val="0092694F"/>
    <w:rsid w:val="00927199"/>
    <w:rsid w:val="009271D1"/>
    <w:rsid w:val="009277FD"/>
    <w:rsid w:val="00927825"/>
    <w:rsid w:val="00927973"/>
    <w:rsid w:val="00927C99"/>
    <w:rsid w:val="00927F2C"/>
    <w:rsid w:val="009303DE"/>
    <w:rsid w:val="009303F8"/>
    <w:rsid w:val="00930BC9"/>
    <w:rsid w:val="00930EE6"/>
    <w:rsid w:val="009310A7"/>
    <w:rsid w:val="00931283"/>
    <w:rsid w:val="009312D9"/>
    <w:rsid w:val="0093195D"/>
    <w:rsid w:val="00931AD5"/>
    <w:rsid w:val="00931B15"/>
    <w:rsid w:val="00931B8D"/>
    <w:rsid w:val="00931D60"/>
    <w:rsid w:val="00931F96"/>
    <w:rsid w:val="00932460"/>
    <w:rsid w:val="009324C7"/>
    <w:rsid w:val="0093263B"/>
    <w:rsid w:val="00932724"/>
    <w:rsid w:val="00932948"/>
    <w:rsid w:val="00932962"/>
    <w:rsid w:val="009329C1"/>
    <w:rsid w:val="00932CE1"/>
    <w:rsid w:val="00932E77"/>
    <w:rsid w:val="009333B1"/>
    <w:rsid w:val="009335BC"/>
    <w:rsid w:val="009335DA"/>
    <w:rsid w:val="0093421C"/>
    <w:rsid w:val="00934CFB"/>
    <w:rsid w:val="00934D16"/>
    <w:rsid w:val="00934F5E"/>
    <w:rsid w:val="00935133"/>
    <w:rsid w:val="0093518C"/>
    <w:rsid w:val="009355BC"/>
    <w:rsid w:val="009359AB"/>
    <w:rsid w:val="00935E73"/>
    <w:rsid w:val="0093638C"/>
    <w:rsid w:val="009363FF"/>
    <w:rsid w:val="0093641C"/>
    <w:rsid w:val="00936845"/>
    <w:rsid w:val="009368F1"/>
    <w:rsid w:val="00936BD4"/>
    <w:rsid w:val="00936CE0"/>
    <w:rsid w:val="0093725F"/>
    <w:rsid w:val="00937534"/>
    <w:rsid w:val="00937FC3"/>
    <w:rsid w:val="0094087F"/>
    <w:rsid w:val="009409EA"/>
    <w:rsid w:val="00940D48"/>
    <w:rsid w:val="00941175"/>
    <w:rsid w:val="009412D6"/>
    <w:rsid w:val="00941464"/>
    <w:rsid w:val="00941683"/>
    <w:rsid w:val="00941DC2"/>
    <w:rsid w:val="00942363"/>
    <w:rsid w:val="00942822"/>
    <w:rsid w:val="00942B0D"/>
    <w:rsid w:val="00942BB2"/>
    <w:rsid w:val="009434C7"/>
    <w:rsid w:val="009439F8"/>
    <w:rsid w:val="009439FB"/>
    <w:rsid w:val="00943A7A"/>
    <w:rsid w:val="00943CDD"/>
    <w:rsid w:val="009446C7"/>
    <w:rsid w:val="009446CC"/>
    <w:rsid w:val="00944CCC"/>
    <w:rsid w:val="00944F36"/>
    <w:rsid w:val="0094527A"/>
    <w:rsid w:val="00945750"/>
    <w:rsid w:val="009457C8"/>
    <w:rsid w:val="009458A9"/>
    <w:rsid w:val="00945BF5"/>
    <w:rsid w:val="009463A6"/>
    <w:rsid w:val="00946DA2"/>
    <w:rsid w:val="00947497"/>
    <w:rsid w:val="009478A5"/>
    <w:rsid w:val="00947A63"/>
    <w:rsid w:val="00947B35"/>
    <w:rsid w:val="00947B3E"/>
    <w:rsid w:val="00947C97"/>
    <w:rsid w:val="00947E91"/>
    <w:rsid w:val="00947FF8"/>
    <w:rsid w:val="0095049A"/>
    <w:rsid w:val="00950605"/>
    <w:rsid w:val="00950FBB"/>
    <w:rsid w:val="009512B4"/>
    <w:rsid w:val="009515D3"/>
    <w:rsid w:val="009516A4"/>
    <w:rsid w:val="00951CA8"/>
    <w:rsid w:val="00951D13"/>
    <w:rsid w:val="0095211D"/>
    <w:rsid w:val="009521D3"/>
    <w:rsid w:val="009521F7"/>
    <w:rsid w:val="009522A6"/>
    <w:rsid w:val="00952440"/>
    <w:rsid w:val="00952749"/>
    <w:rsid w:val="009529A2"/>
    <w:rsid w:val="00952F27"/>
    <w:rsid w:val="009530CA"/>
    <w:rsid w:val="009532BE"/>
    <w:rsid w:val="009533C6"/>
    <w:rsid w:val="009535FF"/>
    <w:rsid w:val="00953DA2"/>
    <w:rsid w:val="00953FEE"/>
    <w:rsid w:val="009544D4"/>
    <w:rsid w:val="00954B38"/>
    <w:rsid w:val="00954B52"/>
    <w:rsid w:val="00954C98"/>
    <w:rsid w:val="0095508A"/>
    <w:rsid w:val="00955317"/>
    <w:rsid w:val="009553DB"/>
    <w:rsid w:val="009554A6"/>
    <w:rsid w:val="0095563F"/>
    <w:rsid w:val="009556B9"/>
    <w:rsid w:val="00955C10"/>
    <w:rsid w:val="00955DA3"/>
    <w:rsid w:val="00955FA3"/>
    <w:rsid w:val="009560FB"/>
    <w:rsid w:val="00956196"/>
    <w:rsid w:val="009562EE"/>
    <w:rsid w:val="0095659A"/>
    <w:rsid w:val="009567C2"/>
    <w:rsid w:val="009567F0"/>
    <w:rsid w:val="009569C8"/>
    <w:rsid w:val="00956BE1"/>
    <w:rsid w:val="00956E0B"/>
    <w:rsid w:val="00956F9E"/>
    <w:rsid w:val="00957008"/>
    <w:rsid w:val="00957046"/>
    <w:rsid w:val="00957095"/>
    <w:rsid w:val="00957151"/>
    <w:rsid w:val="0095742F"/>
    <w:rsid w:val="0095796B"/>
    <w:rsid w:val="00957EE4"/>
    <w:rsid w:val="00957F1C"/>
    <w:rsid w:val="0096027B"/>
    <w:rsid w:val="009602CB"/>
    <w:rsid w:val="009605EB"/>
    <w:rsid w:val="00960693"/>
    <w:rsid w:val="00960851"/>
    <w:rsid w:val="0096089A"/>
    <w:rsid w:val="009611C1"/>
    <w:rsid w:val="0096126C"/>
    <w:rsid w:val="00961362"/>
    <w:rsid w:val="009615B1"/>
    <w:rsid w:val="00961B21"/>
    <w:rsid w:val="00961D71"/>
    <w:rsid w:val="00961F12"/>
    <w:rsid w:val="009625A8"/>
    <w:rsid w:val="0096275A"/>
    <w:rsid w:val="009629A0"/>
    <w:rsid w:val="00962AB6"/>
    <w:rsid w:val="00962AB7"/>
    <w:rsid w:val="009631E6"/>
    <w:rsid w:val="00963554"/>
    <w:rsid w:val="00963650"/>
    <w:rsid w:val="00963680"/>
    <w:rsid w:val="00963715"/>
    <w:rsid w:val="00963A79"/>
    <w:rsid w:val="00963F12"/>
    <w:rsid w:val="00963FBB"/>
    <w:rsid w:val="009644D4"/>
    <w:rsid w:val="00964647"/>
    <w:rsid w:val="00964844"/>
    <w:rsid w:val="00964CD2"/>
    <w:rsid w:val="00964CF6"/>
    <w:rsid w:val="00964E4B"/>
    <w:rsid w:val="00965666"/>
    <w:rsid w:val="0096583A"/>
    <w:rsid w:val="00965A17"/>
    <w:rsid w:val="00965ABC"/>
    <w:rsid w:val="00965B34"/>
    <w:rsid w:val="00965C04"/>
    <w:rsid w:val="00965E61"/>
    <w:rsid w:val="009660C3"/>
    <w:rsid w:val="00966310"/>
    <w:rsid w:val="00966400"/>
    <w:rsid w:val="009667A2"/>
    <w:rsid w:val="00966967"/>
    <w:rsid w:val="00966BAC"/>
    <w:rsid w:val="00966C3C"/>
    <w:rsid w:val="0096773B"/>
    <w:rsid w:val="009677B9"/>
    <w:rsid w:val="009678E8"/>
    <w:rsid w:val="0096797E"/>
    <w:rsid w:val="00967B44"/>
    <w:rsid w:val="00967CF7"/>
    <w:rsid w:val="00967E07"/>
    <w:rsid w:val="009701C6"/>
    <w:rsid w:val="00970274"/>
    <w:rsid w:val="0097048D"/>
    <w:rsid w:val="00970581"/>
    <w:rsid w:val="00970D3B"/>
    <w:rsid w:val="00970E91"/>
    <w:rsid w:val="009710F9"/>
    <w:rsid w:val="009715FB"/>
    <w:rsid w:val="00971708"/>
    <w:rsid w:val="00971715"/>
    <w:rsid w:val="00971852"/>
    <w:rsid w:val="00971928"/>
    <w:rsid w:val="00971AB8"/>
    <w:rsid w:val="00971D59"/>
    <w:rsid w:val="00971ED0"/>
    <w:rsid w:val="00971FFC"/>
    <w:rsid w:val="00972041"/>
    <w:rsid w:val="00972057"/>
    <w:rsid w:val="00972270"/>
    <w:rsid w:val="0097243A"/>
    <w:rsid w:val="0097274B"/>
    <w:rsid w:val="00973023"/>
    <w:rsid w:val="0097326A"/>
    <w:rsid w:val="00973AD0"/>
    <w:rsid w:val="00973D6E"/>
    <w:rsid w:val="00973E11"/>
    <w:rsid w:val="00973F74"/>
    <w:rsid w:val="00974B9D"/>
    <w:rsid w:val="00974FEB"/>
    <w:rsid w:val="009750D1"/>
    <w:rsid w:val="00975688"/>
    <w:rsid w:val="00975BB0"/>
    <w:rsid w:val="00975FF2"/>
    <w:rsid w:val="00976013"/>
    <w:rsid w:val="009763FC"/>
    <w:rsid w:val="00976552"/>
    <w:rsid w:val="00976C53"/>
    <w:rsid w:val="00976FFC"/>
    <w:rsid w:val="009771E4"/>
    <w:rsid w:val="00977387"/>
    <w:rsid w:val="009801C4"/>
    <w:rsid w:val="0098047D"/>
    <w:rsid w:val="00980BAD"/>
    <w:rsid w:val="00980C38"/>
    <w:rsid w:val="00981244"/>
    <w:rsid w:val="0098139A"/>
    <w:rsid w:val="0098182A"/>
    <w:rsid w:val="00981B25"/>
    <w:rsid w:val="00981F3F"/>
    <w:rsid w:val="00981F4F"/>
    <w:rsid w:val="00982864"/>
    <w:rsid w:val="009831B4"/>
    <w:rsid w:val="00983382"/>
    <w:rsid w:val="0098344D"/>
    <w:rsid w:val="009838B7"/>
    <w:rsid w:val="00983972"/>
    <w:rsid w:val="009848A6"/>
    <w:rsid w:val="00985762"/>
    <w:rsid w:val="00985C6D"/>
    <w:rsid w:val="00985C7F"/>
    <w:rsid w:val="00985DA9"/>
    <w:rsid w:val="009861A9"/>
    <w:rsid w:val="009863F4"/>
    <w:rsid w:val="00986425"/>
    <w:rsid w:val="009868ED"/>
    <w:rsid w:val="00986A74"/>
    <w:rsid w:val="00986CD3"/>
    <w:rsid w:val="0098709F"/>
    <w:rsid w:val="009870B1"/>
    <w:rsid w:val="00987442"/>
    <w:rsid w:val="009874B8"/>
    <w:rsid w:val="00987559"/>
    <w:rsid w:val="00987823"/>
    <w:rsid w:val="00987983"/>
    <w:rsid w:val="00990103"/>
    <w:rsid w:val="0099011A"/>
    <w:rsid w:val="00990297"/>
    <w:rsid w:val="009903AA"/>
    <w:rsid w:val="00990452"/>
    <w:rsid w:val="0099063F"/>
    <w:rsid w:val="0099073E"/>
    <w:rsid w:val="009907C9"/>
    <w:rsid w:val="009913C5"/>
    <w:rsid w:val="009915D1"/>
    <w:rsid w:val="0099163C"/>
    <w:rsid w:val="00991787"/>
    <w:rsid w:val="00991A9A"/>
    <w:rsid w:val="00991CFE"/>
    <w:rsid w:val="00992121"/>
    <w:rsid w:val="00992A81"/>
    <w:rsid w:val="00992B64"/>
    <w:rsid w:val="00992C7D"/>
    <w:rsid w:val="00992C86"/>
    <w:rsid w:val="00992DE9"/>
    <w:rsid w:val="00992E3B"/>
    <w:rsid w:val="00992E88"/>
    <w:rsid w:val="009930F5"/>
    <w:rsid w:val="00993A74"/>
    <w:rsid w:val="00993F61"/>
    <w:rsid w:val="0099420A"/>
    <w:rsid w:val="009942EE"/>
    <w:rsid w:val="009946C4"/>
    <w:rsid w:val="0099483E"/>
    <w:rsid w:val="0099484F"/>
    <w:rsid w:val="00994C11"/>
    <w:rsid w:val="00994CA0"/>
    <w:rsid w:val="00994DBA"/>
    <w:rsid w:val="00994FF2"/>
    <w:rsid w:val="00995145"/>
    <w:rsid w:val="009954AF"/>
    <w:rsid w:val="009958D8"/>
    <w:rsid w:val="00995DAE"/>
    <w:rsid w:val="00995EAA"/>
    <w:rsid w:val="0099610A"/>
    <w:rsid w:val="009963A5"/>
    <w:rsid w:val="0099648C"/>
    <w:rsid w:val="009965B7"/>
    <w:rsid w:val="0099729D"/>
    <w:rsid w:val="0099776A"/>
    <w:rsid w:val="00997F98"/>
    <w:rsid w:val="009A0308"/>
    <w:rsid w:val="009A061C"/>
    <w:rsid w:val="009A0DEE"/>
    <w:rsid w:val="009A11C7"/>
    <w:rsid w:val="009A11E3"/>
    <w:rsid w:val="009A12DC"/>
    <w:rsid w:val="009A16E2"/>
    <w:rsid w:val="009A1817"/>
    <w:rsid w:val="009A1825"/>
    <w:rsid w:val="009A1A60"/>
    <w:rsid w:val="009A1BA7"/>
    <w:rsid w:val="009A233B"/>
    <w:rsid w:val="009A27D3"/>
    <w:rsid w:val="009A2B4C"/>
    <w:rsid w:val="009A316C"/>
    <w:rsid w:val="009A3191"/>
    <w:rsid w:val="009A3321"/>
    <w:rsid w:val="009A35E6"/>
    <w:rsid w:val="009A3AA8"/>
    <w:rsid w:val="009A3E00"/>
    <w:rsid w:val="009A3F10"/>
    <w:rsid w:val="009A437C"/>
    <w:rsid w:val="009A4943"/>
    <w:rsid w:val="009A4A6D"/>
    <w:rsid w:val="009A4F88"/>
    <w:rsid w:val="009A5050"/>
    <w:rsid w:val="009A51A9"/>
    <w:rsid w:val="009A5BCC"/>
    <w:rsid w:val="009A5D90"/>
    <w:rsid w:val="009A5EF7"/>
    <w:rsid w:val="009A6575"/>
    <w:rsid w:val="009A667D"/>
    <w:rsid w:val="009A68E3"/>
    <w:rsid w:val="009A6A1E"/>
    <w:rsid w:val="009A6B43"/>
    <w:rsid w:val="009A7383"/>
    <w:rsid w:val="009A761D"/>
    <w:rsid w:val="009A78E5"/>
    <w:rsid w:val="009A793B"/>
    <w:rsid w:val="009A7994"/>
    <w:rsid w:val="009A7B37"/>
    <w:rsid w:val="009A7DAC"/>
    <w:rsid w:val="009B0422"/>
    <w:rsid w:val="009B0529"/>
    <w:rsid w:val="009B07A5"/>
    <w:rsid w:val="009B0984"/>
    <w:rsid w:val="009B0C1B"/>
    <w:rsid w:val="009B0ECB"/>
    <w:rsid w:val="009B0FB1"/>
    <w:rsid w:val="009B0FB2"/>
    <w:rsid w:val="009B102E"/>
    <w:rsid w:val="009B1E9C"/>
    <w:rsid w:val="009B1EB3"/>
    <w:rsid w:val="009B1FD9"/>
    <w:rsid w:val="009B2103"/>
    <w:rsid w:val="009B26E4"/>
    <w:rsid w:val="009B2E0B"/>
    <w:rsid w:val="009B37AA"/>
    <w:rsid w:val="009B389B"/>
    <w:rsid w:val="009B3993"/>
    <w:rsid w:val="009B3BFC"/>
    <w:rsid w:val="009B3CD1"/>
    <w:rsid w:val="009B3F24"/>
    <w:rsid w:val="009B4224"/>
    <w:rsid w:val="009B4546"/>
    <w:rsid w:val="009B4615"/>
    <w:rsid w:val="009B4927"/>
    <w:rsid w:val="009B4BF9"/>
    <w:rsid w:val="009B4D9E"/>
    <w:rsid w:val="009B5127"/>
    <w:rsid w:val="009B557A"/>
    <w:rsid w:val="009B5B80"/>
    <w:rsid w:val="009B6520"/>
    <w:rsid w:val="009B65B1"/>
    <w:rsid w:val="009B7657"/>
    <w:rsid w:val="009B7914"/>
    <w:rsid w:val="009B79CE"/>
    <w:rsid w:val="009B7D62"/>
    <w:rsid w:val="009C003E"/>
    <w:rsid w:val="009C023E"/>
    <w:rsid w:val="009C033B"/>
    <w:rsid w:val="009C0490"/>
    <w:rsid w:val="009C0568"/>
    <w:rsid w:val="009C0A67"/>
    <w:rsid w:val="009C0A99"/>
    <w:rsid w:val="009C0ACB"/>
    <w:rsid w:val="009C0BE9"/>
    <w:rsid w:val="009C0C39"/>
    <w:rsid w:val="009C0CDD"/>
    <w:rsid w:val="009C1360"/>
    <w:rsid w:val="009C1A31"/>
    <w:rsid w:val="009C1E5E"/>
    <w:rsid w:val="009C1EBC"/>
    <w:rsid w:val="009C25B8"/>
    <w:rsid w:val="009C289E"/>
    <w:rsid w:val="009C28F1"/>
    <w:rsid w:val="009C295C"/>
    <w:rsid w:val="009C2D6F"/>
    <w:rsid w:val="009C2E0C"/>
    <w:rsid w:val="009C30D6"/>
    <w:rsid w:val="009C3193"/>
    <w:rsid w:val="009C333A"/>
    <w:rsid w:val="009C34E7"/>
    <w:rsid w:val="009C362B"/>
    <w:rsid w:val="009C36F9"/>
    <w:rsid w:val="009C3F2B"/>
    <w:rsid w:val="009C40FA"/>
    <w:rsid w:val="009C413A"/>
    <w:rsid w:val="009C473F"/>
    <w:rsid w:val="009C49A0"/>
    <w:rsid w:val="009C4EA7"/>
    <w:rsid w:val="009C4F04"/>
    <w:rsid w:val="009C4F70"/>
    <w:rsid w:val="009C5939"/>
    <w:rsid w:val="009C59AD"/>
    <w:rsid w:val="009C59FE"/>
    <w:rsid w:val="009C5A0C"/>
    <w:rsid w:val="009C7023"/>
    <w:rsid w:val="009C7104"/>
    <w:rsid w:val="009C72EC"/>
    <w:rsid w:val="009C72FA"/>
    <w:rsid w:val="009C762F"/>
    <w:rsid w:val="009C7A5F"/>
    <w:rsid w:val="009C7B46"/>
    <w:rsid w:val="009C7B49"/>
    <w:rsid w:val="009C7B5E"/>
    <w:rsid w:val="009C7C13"/>
    <w:rsid w:val="009C7DA7"/>
    <w:rsid w:val="009C7E9A"/>
    <w:rsid w:val="009C7F4B"/>
    <w:rsid w:val="009D0008"/>
    <w:rsid w:val="009D00C1"/>
    <w:rsid w:val="009D0148"/>
    <w:rsid w:val="009D0259"/>
    <w:rsid w:val="009D055E"/>
    <w:rsid w:val="009D0B69"/>
    <w:rsid w:val="009D0BB3"/>
    <w:rsid w:val="009D0CAA"/>
    <w:rsid w:val="009D13DE"/>
    <w:rsid w:val="009D13E4"/>
    <w:rsid w:val="009D1680"/>
    <w:rsid w:val="009D19D5"/>
    <w:rsid w:val="009D2266"/>
    <w:rsid w:val="009D2560"/>
    <w:rsid w:val="009D2990"/>
    <w:rsid w:val="009D2C1A"/>
    <w:rsid w:val="009D2C46"/>
    <w:rsid w:val="009D2CEA"/>
    <w:rsid w:val="009D3041"/>
    <w:rsid w:val="009D316D"/>
    <w:rsid w:val="009D31CD"/>
    <w:rsid w:val="009D330C"/>
    <w:rsid w:val="009D3830"/>
    <w:rsid w:val="009D390D"/>
    <w:rsid w:val="009D3972"/>
    <w:rsid w:val="009D4082"/>
    <w:rsid w:val="009D411A"/>
    <w:rsid w:val="009D44AC"/>
    <w:rsid w:val="009D459D"/>
    <w:rsid w:val="009D4700"/>
    <w:rsid w:val="009D47C1"/>
    <w:rsid w:val="009D4805"/>
    <w:rsid w:val="009D4EB0"/>
    <w:rsid w:val="009D4EE3"/>
    <w:rsid w:val="009D4EED"/>
    <w:rsid w:val="009D4F33"/>
    <w:rsid w:val="009D548A"/>
    <w:rsid w:val="009D57A6"/>
    <w:rsid w:val="009D5860"/>
    <w:rsid w:val="009D59DD"/>
    <w:rsid w:val="009D5AF3"/>
    <w:rsid w:val="009D5F16"/>
    <w:rsid w:val="009D604A"/>
    <w:rsid w:val="009D60F4"/>
    <w:rsid w:val="009D642A"/>
    <w:rsid w:val="009D66C2"/>
    <w:rsid w:val="009D6B4E"/>
    <w:rsid w:val="009D6D56"/>
    <w:rsid w:val="009D6FB6"/>
    <w:rsid w:val="009D7052"/>
    <w:rsid w:val="009D715F"/>
    <w:rsid w:val="009D71EE"/>
    <w:rsid w:val="009D7320"/>
    <w:rsid w:val="009D787A"/>
    <w:rsid w:val="009D79E4"/>
    <w:rsid w:val="009D7C99"/>
    <w:rsid w:val="009D7E1B"/>
    <w:rsid w:val="009E024C"/>
    <w:rsid w:val="009E080B"/>
    <w:rsid w:val="009E0A43"/>
    <w:rsid w:val="009E0C3C"/>
    <w:rsid w:val="009E1728"/>
    <w:rsid w:val="009E1D3B"/>
    <w:rsid w:val="009E20D1"/>
    <w:rsid w:val="009E22E2"/>
    <w:rsid w:val="009E2D49"/>
    <w:rsid w:val="009E2EF4"/>
    <w:rsid w:val="009E307C"/>
    <w:rsid w:val="009E30CF"/>
    <w:rsid w:val="009E31C5"/>
    <w:rsid w:val="009E33ED"/>
    <w:rsid w:val="009E3414"/>
    <w:rsid w:val="009E3531"/>
    <w:rsid w:val="009E38FE"/>
    <w:rsid w:val="009E40D9"/>
    <w:rsid w:val="009E4D93"/>
    <w:rsid w:val="009E507B"/>
    <w:rsid w:val="009E508D"/>
    <w:rsid w:val="009E55BF"/>
    <w:rsid w:val="009E5BAC"/>
    <w:rsid w:val="009E6385"/>
    <w:rsid w:val="009E642E"/>
    <w:rsid w:val="009E64CB"/>
    <w:rsid w:val="009E656C"/>
    <w:rsid w:val="009E6830"/>
    <w:rsid w:val="009E6A51"/>
    <w:rsid w:val="009E6E2B"/>
    <w:rsid w:val="009E6FCD"/>
    <w:rsid w:val="009E77D5"/>
    <w:rsid w:val="009E7FF3"/>
    <w:rsid w:val="009F036F"/>
    <w:rsid w:val="009F058A"/>
    <w:rsid w:val="009F05CE"/>
    <w:rsid w:val="009F0813"/>
    <w:rsid w:val="009F0876"/>
    <w:rsid w:val="009F0A55"/>
    <w:rsid w:val="009F0BAF"/>
    <w:rsid w:val="009F0D10"/>
    <w:rsid w:val="009F11B0"/>
    <w:rsid w:val="009F12F3"/>
    <w:rsid w:val="009F1B54"/>
    <w:rsid w:val="009F1C96"/>
    <w:rsid w:val="009F1CF2"/>
    <w:rsid w:val="009F1D95"/>
    <w:rsid w:val="009F1FD4"/>
    <w:rsid w:val="009F225E"/>
    <w:rsid w:val="009F22AE"/>
    <w:rsid w:val="009F22C1"/>
    <w:rsid w:val="009F2628"/>
    <w:rsid w:val="009F26EA"/>
    <w:rsid w:val="009F2865"/>
    <w:rsid w:val="009F2A03"/>
    <w:rsid w:val="009F2DE7"/>
    <w:rsid w:val="009F327A"/>
    <w:rsid w:val="009F3403"/>
    <w:rsid w:val="009F344E"/>
    <w:rsid w:val="009F35E5"/>
    <w:rsid w:val="009F3B6F"/>
    <w:rsid w:val="009F406F"/>
    <w:rsid w:val="009F424B"/>
    <w:rsid w:val="009F431C"/>
    <w:rsid w:val="009F434E"/>
    <w:rsid w:val="009F4352"/>
    <w:rsid w:val="009F45BF"/>
    <w:rsid w:val="009F470D"/>
    <w:rsid w:val="009F4E8F"/>
    <w:rsid w:val="009F4EF4"/>
    <w:rsid w:val="009F522D"/>
    <w:rsid w:val="009F53F3"/>
    <w:rsid w:val="009F55FD"/>
    <w:rsid w:val="009F5782"/>
    <w:rsid w:val="009F591F"/>
    <w:rsid w:val="009F5B93"/>
    <w:rsid w:val="009F642C"/>
    <w:rsid w:val="009F64E8"/>
    <w:rsid w:val="009F6EA6"/>
    <w:rsid w:val="009F6F64"/>
    <w:rsid w:val="009F7017"/>
    <w:rsid w:val="009F7BF9"/>
    <w:rsid w:val="009F7E51"/>
    <w:rsid w:val="00A001E2"/>
    <w:rsid w:val="00A0045D"/>
    <w:rsid w:val="00A00502"/>
    <w:rsid w:val="00A00904"/>
    <w:rsid w:val="00A0090C"/>
    <w:rsid w:val="00A0100F"/>
    <w:rsid w:val="00A013ED"/>
    <w:rsid w:val="00A01C30"/>
    <w:rsid w:val="00A01C54"/>
    <w:rsid w:val="00A01DF2"/>
    <w:rsid w:val="00A01EA6"/>
    <w:rsid w:val="00A01EB8"/>
    <w:rsid w:val="00A02439"/>
    <w:rsid w:val="00A027B1"/>
    <w:rsid w:val="00A03201"/>
    <w:rsid w:val="00A032AC"/>
    <w:rsid w:val="00A03888"/>
    <w:rsid w:val="00A03A28"/>
    <w:rsid w:val="00A03B5F"/>
    <w:rsid w:val="00A03C1C"/>
    <w:rsid w:val="00A03FB7"/>
    <w:rsid w:val="00A04663"/>
    <w:rsid w:val="00A04720"/>
    <w:rsid w:val="00A047A4"/>
    <w:rsid w:val="00A04AD4"/>
    <w:rsid w:val="00A04B86"/>
    <w:rsid w:val="00A04D4D"/>
    <w:rsid w:val="00A04F10"/>
    <w:rsid w:val="00A04F1C"/>
    <w:rsid w:val="00A052EB"/>
    <w:rsid w:val="00A05433"/>
    <w:rsid w:val="00A058F9"/>
    <w:rsid w:val="00A0623E"/>
    <w:rsid w:val="00A067DB"/>
    <w:rsid w:val="00A069CB"/>
    <w:rsid w:val="00A06C7F"/>
    <w:rsid w:val="00A06E05"/>
    <w:rsid w:val="00A06F82"/>
    <w:rsid w:val="00A07263"/>
    <w:rsid w:val="00A07330"/>
    <w:rsid w:val="00A07998"/>
    <w:rsid w:val="00A07F43"/>
    <w:rsid w:val="00A10483"/>
    <w:rsid w:val="00A1063F"/>
    <w:rsid w:val="00A113B2"/>
    <w:rsid w:val="00A11794"/>
    <w:rsid w:val="00A11CA3"/>
    <w:rsid w:val="00A11E4D"/>
    <w:rsid w:val="00A1211F"/>
    <w:rsid w:val="00A12407"/>
    <w:rsid w:val="00A12582"/>
    <w:rsid w:val="00A12663"/>
    <w:rsid w:val="00A12E97"/>
    <w:rsid w:val="00A13077"/>
    <w:rsid w:val="00A134BA"/>
    <w:rsid w:val="00A134D8"/>
    <w:rsid w:val="00A137C8"/>
    <w:rsid w:val="00A138D2"/>
    <w:rsid w:val="00A13E40"/>
    <w:rsid w:val="00A14266"/>
    <w:rsid w:val="00A14B79"/>
    <w:rsid w:val="00A15240"/>
    <w:rsid w:val="00A15357"/>
    <w:rsid w:val="00A1537E"/>
    <w:rsid w:val="00A154CD"/>
    <w:rsid w:val="00A156FA"/>
    <w:rsid w:val="00A1587A"/>
    <w:rsid w:val="00A15B42"/>
    <w:rsid w:val="00A15C65"/>
    <w:rsid w:val="00A15FF4"/>
    <w:rsid w:val="00A1714A"/>
    <w:rsid w:val="00A1725C"/>
    <w:rsid w:val="00A1734A"/>
    <w:rsid w:val="00A177DD"/>
    <w:rsid w:val="00A17FC6"/>
    <w:rsid w:val="00A202AF"/>
    <w:rsid w:val="00A20472"/>
    <w:rsid w:val="00A20C10"/>
    <w:rsid w:val="00A20CA7"/>
    <w:rsid w:val="00A212C9"/>
    <w:rsid w:val="00A2164C"/>
    <w:rsid w:val="00A21742"/>
    <w:rsid w:val="00A2186F"/>
    <w:rsid w:val="00A21E6F"/>
    <w:rsid w:val="00A2206D"/>
    <w:rsid w:val="00A22105"/>
    <w:rsid w:val="00A224DE"/>
    <w:rsid w:val="00A22686"/>
    <w:rsid w:val="00A22A23"/>
    <w:rsid w:val="00A23019"/>
    <w:rsid w:val="00A233F9"/>
    <w:rsid w:val="00A23402"/>
    <w:rsid w:val="00A23B3A"/>
    <w:rsid w:val="00A23C48"/>
    <w:rsid w:val="00A23F41"/>
    <w:rsid w:val="00A23F58"/>
    <w:rsid w:val="00A23FF9"/>
    <w:rsid w:val="00A24123"/>
    <w:rsid w:val="00A24624"/>
    <w:rsid w:val="00A2465C"/>
    <w:rsid w:val="00A24AD6"/>
    <w:rsid w:val="00A24EC1"/>
    <w:rsid w:val="00A256BB"/>
    <w:rsid w:val="00A25B6B"/>
    <w:rsid w:val="00A25BC9"/>
    <w:rsid w:val="00A25D30"/>
    <w:rsid w:val="00A2613A"/>
    <w:rsid w:val="00A2785C"/>
    <w:rsid w:val="00A27A51"/>
    <w:rsid w:val="00A27D5A"/>
    <w:rsid w:val="00A302F5"/>
    <w:rsid w:val="00A304AE"/>
    <w:rsid w:val="00A30CD7"/>
    <w:rsid w:val="00A30DD1"/>
    <w:rsid w:val="00A31105"/>
    <w:rsid w:val="00A3113A"/>
    <w:rsid w:val="00A3133F"/>
    <w:rsid w:val="00A31373"/>
    <w:rsid w:val="00A31869"/>
    <w:rsid w:val="00A31A8A"/>
    <w:rsid w:val="00A31E0C"/>
    <w:rsid w:val="00A32227"/>
    <w:rsid w:val="00A3235A"/>
    <w:rsid w:val="00A32505"/>
    <w:rsid w:val="00A3263D"/>
    <w:rsid w:val="00A328F4"/>
    <w:rsid w:val="00A32CB7"/>
    <w:rsid w:val="00A33011"/>
    <w:rsid w:val="00A333E5"/>
    <w:rsid w:val="00A33841"/>
    <w:rsid w:val="00A33872"/>
    <w:rsid w:val="00A33DDA"/>
    <w:rsid w:val="00A33FCC"/>
    <w:rsid w:val="00A3442C"/>
    <w:rsid w:val="00A3449E"/>
    <w:rsid w:val="00A3466C"/>
    <w:rsid w:val="00A34BEB"/>
    <w:rsid w:val="00A3557C"/>
    <w:rsid w:val="00A35742"/>
    <w:rsid w:val="00A3608B"/>
    <w:rsid w:val="00A360E3"/>
    <w:rsid w:val="00A36148"/>
    <w:rsid w:val="00A36419"/>
    <w:rsid w:val="00A36571"/>
    <w:rsid w:val="00A36582"/>
    <w:rsid w:val="00A3661B"/>
    <w:rsid w:val="00A367A9"/>
    <w:rsid w:val="00A36884"/>
    <w:rsid w:val="00A36A29"/>
    <w:rsid w:val="00A36DF2"/>
    <w:rsid w:val="00A36E70"/>
    <w:rsid w:val="00A36F63"/>
    <w:rsid w:val="00A370B3"/>
    <w:rsid w:val="00A37248"/>
    <w:rsid w:val="00A37337"/>
    <w:rsid w:val="00A374BA"/>
    <w:rsid w:val="00A37516"/>
    <w:rsid w:val="00A40202"/>
    <w:rsid w:val="00A4028C"/>
    <w:rsid w:val="00A403FD"/>
    <w:rsid w:val="00A40500"/>
    <w:rsid w:val="00A40D01"/>
    <w:rsid w:val="00A41070"/>
    <w:rsid w:val="00A41378"/>
    <w:rsid w:val="00A415D8"/>
    <w:rsid w:val="00A41729"/>
    <w:rsid w:val="00A41AB9"/>
    <w:rsid w:val="00A41AE1"/>
    <w:rsid w:val="00A422C8"/>
    <w:rsid w:val="00A42491"/>
    <w:rsid w:val="00A425C8"/>
    <w:rsid w:val="00A42B8B"/>
    <w:rsid w:val="00A42C29"/>
    <w:rsid w:val="00A42CB6"/>
    <w:rsid w:val="00A4307D"/>
    <w:rsid w:val="00A4315F"/>
    <w:rsid w:val="00A43571"/>
    <w:rsid w:val="00A43714"/>
    <w:rsid w:val="00A43B9B"/>
    <w:rsid w:val="00A43D4B"/>
    <w:rsid w:val="00A43E29"/>
    <w:rsid w:val="00A43F15"/>
    <w:rsid w:val="00A447A2"/>
    <w:rsid w:val="00A4517B"/>
    <w:rsid w:val="00A4526B"/>
    <w:rsid w:val="00A452AD"/>
    <w:rsid w:val="00A452DC"/>
    <w:rsid w:val="00A45578"/>
    <w:rsid w:val="00A45793"/>
    <w:rsid w:val="00A458F8"/>
    <w:rsid w:val="00A45CEB"/>
    <w:rsid w:val="00A4612E"/>
    <w:rsid w:val="00A4627C"/>
    <w:rsid w:val="00A4668B"/>
    <w:rsid w:val="00A46959"/>
    <w:rsid w:val="00A46BBA"/>
    <w:rsid w:val="00A46C74"/>
    <w:rsid w:val="00A47004"/>
    <w:rsid w:val="00A4721F"/>
    <w:rsid w:val="00A47414"/>
    <w:rsid w:val="00A47792"/>
    <w:rsid w:val="00A479CC"/>
    <w:rsid w:val="00A47D9A"/>
    <w:rsid w:val="00A509EE"/>
    <w:rsid w:val="00A50BB5"/>
    <w:rsid w:val="00A510F2"/>
    <w:rsid w:val="00A51451"/>
    <w:rsid w:val="00A515D0"/>
    <w:rsid w:val="00A517D3"/>
    <w:rsid w:val="00A51B57"/>
    <w:rsid w:val="00A51EC1"/>
    <w:rsid w:val="00A51F68"/>
    <w:rsid w:val="00A5265A"/>
    <w:rsid w:val="00A52884"/>
    <w:rsid w:val="00A52BB6"/>
    <w:rsid w:val="00A5332E"/>
    <w:rsid w:val="00A537E6"/>
    <w:rsid w:val="00A541C8"/>
    <w:rsid w:val="00A542EE"/>
    <w:rsid w:val="00A544E8"/>
    <w:rsid w:val="00A549B8"/>
    <w:rsid w:val="00A54A01"/>
    <w:rsid w:val="00A54AD7"/>
    <w:rsid w:val="00A54BDD"/>
    <w:rsid w:val="00A54D47"/>
    <w:rsid w:val="00A54EE5"/>
    <w:rsid w:val="00A55189"/>
    <w:rsid w:val="00A55202"/>
    <w:rsid w:val="00A556E8"/>
    <w:rsid w:val="00A55BC7"/>
    <w:rsid w:val="00A55D3A"/>
    <w:rsid w:val="00A5602F"/>
    <w:rsid w:val="00A5635C"/>
    <w:rsid w:val="00A56386"/>
    <w:rsid w:val="00A5663C"/>
    <w:rsid w:val="00A56896"/>
    <w:rsid w:val="00A56951"/>
    <w:rsid w:val="00A569CE"/>
    <w:rsid w:val="00A56A63"/>
    <w:rsid w:val="00A56DAE"/>
    <w:rsid w:val="00A57031"/>
    <w:rsid w:val="00A570C0"/>
    <w:rsid w:val="00A576D7"/>
    <w:rsid w:val="00A57833"/>
    <w:rsid w:val="00A601D8"/>
    <w:rsid w:val="00A602D2"/>
    <w:rsid w:val="00A60522"/>
    <w:rsid w:val="00A6079E"/>
    <w:rsid w:val="00A60ABB"/>
    <w:rsid w:val="00A611B6"/>
    <w:rsid w:val="00A6148D"/>
    <w:rsid w:val="00A615EC"/>
    <w:rsid w:val="00A61C33"/>
    <w:rsid w:val="00A61E75"/>
    <w:rsid w:val="00A61FFD"/>
    <w:rsid w:val="00A62219"/>
    <w:rsid w:val="00A62307"/>
    <w:rsid w:val="00A62384"/>
    <w:rsid w:val="00A6279D"/>
    <w:rsid w:val="00A628A7"/>
    <w:rsid w:val="00A62C6F"/>
    <w:rsid w:val="00A634B9"/>
    <w:rsid w:val="00A63649"/>
    <w:rsid w:val="00A6373D"/>
    <w:rsid w:val="00A6383B"/>
    <w:rsid w:val="00A63864"/>
    <w:rsid w:val="00A64A6F"/>
    <w:rsid w:val="00A64FBF"/>
    <w:rsid w:val="00A65139"/>
    <w:rsid w:val="00A654A0"/>
    <w:rsid w:val="00A6565F"/>
    <w:rsid w:val="00A65805"/>
    <w:rsid w:val="00A65947"/>
    <w:rsid w:val="00A65C62"/>
    <w:rsid w:val="00A65E9C"/>
    <w:rsid w:val="00A65EB4"/>
    <w:rsid w:val="00A66245"/>
    <w:rsid w:val="00A66440"/>
    <w:rsid w:val="00A66441"/>
    <w:rsid w:val="00A6647D"/>
    <w:rsid w:val="00A664FA"/>
    <w:rsid w:val="00A6655A"/>
    <w:rsid w:val="00A668AC"/>
    <w:rsid w:val="00A668D1"/>
    <w:rsid w:val="00A66B66"/>
    <w:rsid w:val="00A67368"/>
    <w:rsid w:val="00A6761F"/>
    <w:rsid w:val="00A6799C"/>
    <w:rsid w:val="00A67B18"/>
    <w:rsid w:val="00A67B62"/>
    <w:rsid w:val="00A67E6C"/>
    <w:rsid w:val="00A70204"/>
    <w:rsid w:val="00A70533"/>
    <w:rsid w:val="00A70938"/>
    <w:rsid w:val="00A717D3"/>
    <w:rsid w:val="00A718C8"/>
    <w:rsid w:val="00A71A4A"/>
    <w:rsid w:val="00A71C30"/>
    <w:rsid w:val="00A71D77"/>
    <w:rsid w:val="00A723D5"/>
    <w:rsid w:val="00A72402"/>
    <w:rsid w:val="00A725F2"/>
    <w:rsid w:val="00A72710"/>
    <w:rsid w:val="00A72ACA"/>
    <w:rsid w:val="00A72B3A"/>
    <w:rsid w:val="00A732E0"/>
    <w:rsid w:val="00A73927"/>
    <w:rsid w:val="00A73BE2"/>
    <w:rsid w:val="00A73D1E"/>
    <w:rsid w:val="00A73EA2"/>
    <w:rsid w:val="00A74496"/>
    <w:rsid w:val="00A751E4"/>
    <w:rsid w:val="00A7524F"/>
    <w:rsid w:val="00A752B1"/>
    <w:rsid w:val="00A753B8"/>
    <w:rsid w:val="00A757C3"/>
    <w:rsid w:val="00A7582C"/>
    <w:rsid w:val="00A75997"/>
    <w:rsid w:val="00A76142"/>
    <w:rsid w:val="00A762BD"/>
    <w:rsid w:val="00A76428"/>
    <w:rsid w:val="00A7660A"/>
    <w:rsid w:val="00A76634"/>
    <w:rsid w:val="00A76671"/>
    <w:rsid w:val="00A7670D"/>
    <w:rsid w:val="00A76854"/>
    <w:rsid w:val="00A7700F"/>
    <w:rsid w:val="00A770C9"/>
    <w:rsid w:val="00A771AB"/>
    <w:rsid w:val="00A772A8"/>
    <w:rsid w:val="00A777D2"/>
    <w:rsid w:val="00A77C51"/>
    <w:rsid w:val="00A77C69"/>
    <w:rsid w:val="00A77D1F"/>
    <w:rsid w:val="00A800FB"/>
    <w:rsid w:val="00A80196"/>
    <w:rsid w:val="00A80240"/>
    <w:rsid w:val="00A8078B"/>
    <w:rsid w:val="00A8093E"/>
    <w:rsid w:val="00A8096A"/>
    <w:rsid w:val="00A809BB"/>
    <w:rsid w:val="00A8101B"/>
    <w:rsid w:val="00A812F2"/>
    <w:rsid w:val="00A8132C"/>
    <w:rsid w:val="00A81342"/>
    <w:rsid w:val="00A814C4"/>
    <w:rsid w:val="00A815F7"/>
    <w:rsid w:val="00A817A2"/>
    <w:rsid w:val="00A818C7"/>
    <w:rsid w:val="00A81E34"/>
    <w:rsid w:val="00A81F1B"/>
    <w:rsid w:val="00A82452"/>
    <w:rsid w:val="00A8283D"/>
    <w:rsid w:val="00A82B7B"/>
    <w:rsid w:val="00A82D1A"/>
    <w:rsid w:val="00A82F4B"/>
    <w:rsid w:val="00A8302F"/>
    <w:rsid w:val="00A83117"/>
    <w:rsid w:val="00A8352D"/>
    <w:rsid w:val="00A83A22"/>
    <w:rsid w:val="00A83DCA"/>
    <w:rsid w:val="00A83F42"/>
    <w:rsid w:val="00A840E7"/>
    <w:rsid w:val="00A8435F"/>
    <w:rsid w:val="00A849FC"/>
    <w:rsid w:val="00A84E0E"/>
    <w:rsid w:val="00A84E55"/>
    <w:rsid w:val="00A8507A"/>
    <w:rsid w:val="00A86581"/>
    <w:rsid w:val="00A86640"/>
    <w:rsid w:val="00A867F2"/>
    <w:rsid w:val="00A868BE"/>
    <w:rsid w:val="00A86D14"/>
    <w:rsid w:val="00A86E1F"/>
    <w:rsid w:val="00A87224"/>
    <w:rsid w:val="00A873D4"/>
    <w:rsid w:val="00A874CE"/>
    <w:rsid w:val="00A8756B"/>
    <w:rsid w:val="00A8783E"/>
    <w:rsid w:val="00A878E4"/>
    <w:rsid w:val="00A87A13"/>
    <w:rsid w:val="00A87DA2"/>
    <w:rsid w:val="00A87E0D"/>
    <w:rsid w:val="00A90031"/>
    <w:rsid w:val="00A90191"/>
    <w:rsid w:val="00A901D7"/>
    <w:rsid w:val="00A90257"/>
    <w:rsid w:val="00A902A8"/>
    <w:rsid w:val="00A906CD"/>
    <w:rsid w:val="00A90872"/>
    <w:rsid w:val="00A908CC"/>
    <w:rsid w:val="00A90CB2"/>
    <w:rsid w:val="00A90D0A"/>
    <w:rsid w:val="00A91655"/>
    <w:rsid w:val="00A9183F"/>
    <w:rsid w:val="00A9190C"/>
    <w:rsid w:val="00A9198B"/>
    <w:rsid w:val="00A91B09"/>
    <w:rsid w:val="00A91B57"/>
    <w:rsid w:val="00A91B7F"/>
    <w:rsid w:val="00A91BAF"/>
    <w:rsid w:val="00A91C73"/>
    <w:rsid w:val="00A91D5F"/>
    <w:rsid w:val="00A922BB"/>
    <w:rsid w:val="00A9231F"/>
    <w:rsid w:val="00A92777"/>
    <w:rsid w:val="00A92813"/>
    <w:rsid w:val="00A92A24"/>
    <w:rsid w:val="00A92E75"/>
    <w:rsid w:val="00A9337E"/>
    <w:rsid w:val="00A9345E"/>
    <w:rsid w:val="00A937B3"/>
    <w:rsid w:val="00A93B85"/>
    <w:rsid w:val="00A93FEA"/>
    <w:rsid w:val="00A940F7"/>
    <w:rsid w:val="00A9420F"/>
    <w:rsid w:val="00A94310"/>
    <w:rsid w:val="00A9458F"/>
    <w:rsid w:val="00A949F2"/>
    <w:rsid w:val="00A94A90"/>
    <w:rsid w:val="00A94E4F"/>
    <w:rsid w:val="00A9528E"/>
    <w:rsid w:val="00A95362"/>
    <w:rsid w:val="00A95965"/>
    <w:rsid w:val="00A95B55"/>
    <w:rsid w:val="00A9622F"/>
    <w:rsid w:val="00A96590"/>
    <w:rsid w:val="00A96612"/>
    <w:rsid w:val="00A96766"/>
    <w:rsid w:val="00A9688A"/>
    <w:rsid w:val="00A969F3"/>
    <w:rsid w:val="00A96E2F"/>
    <w:rsid w:val="00A97275"/>
    <w:rsid w:val="00A97628"/>
    <w:rsid w:val="00A9799D"/>
    <w:rsid w:val="00AA0019"/>
    <w:rsid w:val="00AA089C"/>
    <w:rsid w:val="00AA0BD3"/>
    <w:rsid w:val="00AA0D5B"/>
    <w:rsid w:val="00AA0F53"/>
    <w:rsid w:val="00AA1115"/>
    <w:rsid w:val="00AA14D7"/>
    <w:rsid w:val="00AA155D"/>
    <w:rsid w:val="00AA1751"/>
    <w:rsid w:val="00AA19CB"/>
    <w:rsid w:val="00AA1F95"/>
    <w:rsid w:val="00AA251D"/>
    <w:rsid w:val="00AA2845"/>
    <w:rsid w:val="00AA2B2E"/>
    <w:rsid w:val="00AA2CAB"/>
    <w:rsid w:val="00AA2CBA"/>
    <w:rsid w:val="00AA2DDD"/>
    <w:rsid w:val="00AA2F19"/>
    <w:rsid w:val="00AA30D4"/>
    <w:rsid w:val="00AA3193"/>
    <w:rsid w:val="00AA3667"/>
    <w:rsid w:val="00AA380C"/>
    <w:rsid w:val="00AA3950"/>
    <w:rsid w:val="00AA3964"/>
    <w:rsid w:val="00AA3DF4"/>
    <w:rsid w:val="00AA40AC"/>
    <w:rsid w:val="00AA4AB6"/>
    <w:rsid w:val="00AA5115"/>
    <w:rsid w:val="00AA511E"/>
    <w:rsid w:val="00AA5124"/>
    <w:rsid w:val="00AA54B0"/>
    <w:rsid w:val="00AA54D2"/>
    <w:rsid w:val="00AA5561"/>
    <w:rsid w:val="00AA5B2F"/>
    <w:rsid w:val="00AA5C48"/>
    <w:rsid w:val="00AA5CED"/>
    <w:rsid w:val="00AA5EA0"/>
    <w:rsid w:val="00AA607F"/>
    <w:rsid w:val="00AA6360"/>
    <w:rsid w:val="00AA647C"/>
    <w:rsid w:val="00AA653D"/>
    <w:rsid w:val="00AA68B2"/>
    <w:rsid w:val="00AA69EA"/>
    <w:rsid w:val="00AA6C54"/>
    <w:rsid w:val="00AA6FFB"/>
    <w:rsid w:val="00AA7152"/>
    <w:rsid w:val="00AA736C"/>
    <w:rsid w:val="00AA7470"/>
    <w:rsid w:val="00AA7825"/>
    <w:rsid w:val="00AA7A38"/>
    <w:rsid w:val="00AA7B45"/>
    <w:rsid w:val="00AA7C58"/>
    <w:rsid w:val="00AA7C63"/>
    <w:rsid w:val="00AA7F84"/>
    <w:rsid w:val="00AB00F0"/>
    <w:rsid w:val="00AB0325"/>
    <w:rsid w:val="00AB042C"/>
    <w:rsid w:val="00AB044D"/>
    <w:rsid w:val="00AB0BEB"/>
    <w:rsid w:val="00AB0C95"/>
    <w:rsid w:val="00AB0CCB"/>
    <w:rsid w:val="00AB0E74"/>
    <w:rsid w:val="00AB0EAC"/>
    <w:rsid w:val="00AB16BE"/>
    <w:rsid w:val="00AB19A8"/>
    <w:rsid w:val="00AB1D6F"/>
    <w:rsid w:val="00AB1E83"/>
    <w:rsid w:val="00AB1F58"/>
    <w:rsid w:val="00AB210A"/>
    <w:rsid w:val="00AB21DA"/>
    <w:rsid w:val="00AB225C"/>
    <w:rsid w:val="00AB2467"/>
    <w:rsid w:val="00AB25A4"/>
    <w:rsid w:val="00AB276F"/>
    <w:rsid w:val="00AB27B5"/>
    <w:rsid w:val="00AB28A7"/>
    <w:rsid w:val="00AB292E"/>
    <w:rsid w:val="00AB2CA4"/>
    <w:rsid w:val="00AB2E44"/>
    <w:rsid w:val="00AB304C"/>
    <w:rsid w:val="00AB31E8"/>
    <w:rsid w:val="00AB34BA"/>
    <w:rsid w:val="00AB3B2D"/>
    <w:rsid w:val="00AB3BA1"/>
    <w:rsid w:val="00AB3D10"/>
    <w:rsid w:val="00AB4026"/>
    <w:rsid w:val="00AB40C7"/>
    <w:rsid w:val="00AB45E9"/>
    <w:rsid w:val="00AB4ABB"/>
    <w:rsid w:val="00AB4BD9"/>
    <w:rsid w:val="00AB5121"/>
    <w:rsid w:val="00AB5461"/>
    <w:rsid w:val="00AB565A"/>
    <w:rsid w:val="00AB59B8"/>
    <w:rsid w:val="00AB61ED"/>
    <w:rsid w:val="00AB6515"/>
    <w:rsid w:val="00AB6531"/>
    <w:rsid w:val="00AB67A6"/>
    <w:rsid w:val="00AB68C7"/>
    <w:rsid w:val="00AB6CCA"/>
    <w:rsid w:val="00AB6F2A"/>
    <w:rsid w:val="00AB6F67"/>
    <w:rsid w:val="00AB725A"/>
    <w:rsid w:val="00AB786F"/>
    <w:rsid w:val="00AC01A5"/>
    <w:rsid w:val="00AC0313"/>
    <w:rsid w:val="00AC04C2"/>
    <w:rsid w:val="00AC0703"/>
    <w:rsid w:val="00AC093B"/>
    <w:rsid w:val="00AC0D1C"/>
    <w:rsid w:val="00AC123F"/>
    <w:rsid w:val="00AC12B8"/>
    <w:rsid w:val="00AC14FC"/>
    <w:rsid w:val="00AC171B"/>
    <w:rsid w:val="00AC1808"/>
    <w:rsid w:val="00AC183B"/>
    <w:rsid w:val="00AC1AB0"/>
    <w:rsid w:val="00AC1ACD"/>
    <w:rsid w:val="00AC2186"/>
    <w:rsid w:val="00AC21CF"/>
    <w:rsid w:val="00AC2AFF"/>
    <w:rsid w:val="00AC2D9E"/>
    <w:rsid w:val="00AC36A2"/>
    <w:rsid w:val="00AC3860"/>
    <w:rsid w:val="00AC3E67"/>
    <w:rsid w:val="00AC406E"/>
    <w:rsid w:val="00AC4234"/>
    <w:rsid w:val="00AC457B"/>
    <w:rsid w:val="00AC49C2"/>
    <w:rsid w:val="00AC50BB"/>
    <w:rsid w:val="00AC51A5"/>
    <w:rsid w:val="00AC52D9"/>
    <w:rsid w:val="00AC5979"/>
    <w:rsid w:val="00AC5C4C"/>
    <w:rsid w:val="00AC5D7B"/>
    <w:rsid w:val="00AC5DC7"/>
    <w:rsid w:val="00AC6742"/>
    <w:rsid w:val="00AC682A"/>
    <w:rsid w:val="00AC6BE6"/>
    <w:rsid w:val="00AC6D7D"/>
    <w:rsid w:val="00AC6DA1"/>
    <w:rsid w:val="00AC6F33"/>
    <w:rsid w:val="00AC6F94"/>
    <w:rsid w:val="00AC7151"/>
    <w:rsid w:val="00AC7173"/>
    <w:rsid w:val="00AC75B2"/>
    <w:rsid w:val="00AC7830"/>
    <w:rsid w:val="00AC7C16"/>
    <w:rsid w:val="00AC7CC7"/>
    <w:rsid w:val="00AC7D2D"/>
    <w:rsid w:val="00AC7D64"/>
    <w:rsid w:val="00AC7D83"/>
    <w:rsid w:val="00AC7E3C"/>
    <w:rsid w:val="00AC7F15"/>
    <w:rsid w:val="00AD0481"/>
    <w:rsid w:val="00AD04D3"/>
    <w:rsid w:val="00AD07B3"/>
    <w:rsid w:val="00AD0810"/>
    <w:rsid w:val="00AD09BA"/>
    <w:rsid w:val="00AD0B01"/>
    <w:rsid w:val="00AD0CD3"/>
    <w:rsid w:val="00AD1081"/>
    <w:rsid w:val="00AD11F4"/>
    <w:rsid w:val="00AD124E"/>
    <w:rsid w:val="00AD1949"/>
    <w:rsid w:val="00AD1A09"/>
    <w:rsid w:val="00AD1B87"/>
    <w:rsid w:val="00AD1CFC"/>
    <w:rsid w:val="00AD1DDD"/>
    <w:rsid w:val="00AD21B2"/>
    <w:rsid w:val="00AD2803"/>
    <w:rsid w:val="00AD29E0"/>
    <w:rsid w:val="00AD2C30"/>
    <w:rsid w:val="00AD3AB9"/>
    <w:rsid w:val="00AD3BBD"/>
    <w:rsid w:val="00AD4A3C"/>
    <w:rsid w:val="00AD4A89"/>
    <w:rsid w:val="00AD4E42"/>
    <w:rsid w:val="00AD5117"/>
    <w:rsid w:val="00AD53C1"/>
    <w:rsid w:val="00AD547D"/>
    <w:rsid w:val="00AD5827"/>
    <w:rsid w:val="00AD591C"/>
    <w:rsid w:val="00AD5990"/>
    <w:rsid w:val="00AD5BA9"/>
    <w:rsid w:val="00AD5F10"/>
    <w:rsid w:val="00AD60CF"/>
    <w:rsid w:val="00AD6662"/>
    <w:rsid w:val="00AD68E1"/>
    <w:rsid w:val="00AD6A88"/>
    <w:rsid w:val="00AD6F42"/>
    <w:rsid w:val="00AD6F61"/>
    <w:rsid w:val="00AD70BB"/>
    <w:rsid w:val="00AD73C0"/>
    <w:rsid w:val="00AD77D1"/>
    <w:rsid w:val="00AD7B8A"/>
    <w:rsid w:val="00AE02FE"/>
    <w:rsid w:val="00AE062E"/>
    <w:rsid w:val="00AE0651"/>
    <w:rsid w:val="00AE0830"/>
    <w:rsid w:val="00AE0895"/>
    <w:rsid w:val="00AE0916"/>
    <w:rsid w:val="00AE0AD3"/>
    <w:rsid w:val="00AE0BBE"/>
    <w:rsid w:val="00AE0D52"/>
    <w:rsid w:val="00AE1227"/>
    <w:rsid w:val="00AE1751"/>
    <w:rsid w:val="00AE19A0"/>
    <w:rsid w:val="00AE22B8"/>
    <w:rsid w:val="00AE23F9"/>
    <w:rsid w:val="00AE271A"/>
    <w:rsid w:val="00AE2C2C"/>
    <w:rsid w:val="00AE2DC1"/>
    <w:rsid w:val="00AE3053"/>
    <w:rsid w:val="00AE36CC"/>
    <w:rsid w:val="00AE3748"/>
    <w:rsid w:val="00AE3B37"/>
    <w:rsid w:val="00AE3C64"/>
    <w:rsid w:val="00AE3CC7"/>
    <w:rsid w:val="00AE3F2C"/>
    <w:rsid w:val="00AE40A8"/>
    <w:rsid w:val="00AE41B8"/>
    <w:rsid w:val="00AE455B"/>
    <w:rsid w:val="00AE4DB4"/>
    <w:rsid w:val="00AE4EE4"/>
    <w:rsid w:val="00AE51D7"/>
    <w:rsid w:val="00AE521B"/>
    <w:rsid w:val="00AE524E"/>
    <w:rsid w:val="00AE65B3"/>
    <w:rsid w:val="00AE68C3"/>
    <w:rsid w:val="00AE6AAB"/>
    <w:rsid w:val="00AE6FF1"/>
    <w:rsid w:val="00AE70F3"/>
    <w:rsid w:val="00AE73C3"/>
    <w:rsid w:val="00AE76CF"/>
    <w:rsid w:val="00AE7805"/>
    <w:rsid w:val="00AF00F1"/>
    <w:rsid w:val="00AF089A"/>
    <w:rsid w:val="00AF08FF"/>
    <w:rsid w:val="00AF09D3"/>
    <w:rsid w:val="00AF0AA5"/>
    <w:rsid w:val="00AF0CAA"/>
    <w:rsid w:val="00AF0CB8"/>
    <w:rsid w:val="00AF0F0D"/>
    <w:rsid w:val="00AF0FCE"/>
    <w:rsid w:val="00AF10DA"/>
    <w:rsid w:val="00AF1A26"/>
    <w:rsid w:val="00AF2382"/>
    <w:rsid w:val="00AF25A4"/>
    <w:rsid w:val="00AF274B"/>
    <w:rsid w:val="00AF2BF1"/>
    <w:rsid w:val="00AF2D0E"/>
    <w:rsid w:val="00AF37DA"/>
    <w:rsid w:val="00AF37FE"/>
    <w:rsid w:val="00AF3C57"/>
    <w:rsid w:val="00AF3CA7"/>
    <w:rsid w:val="00AF43CC"/>
    <w:rsid w:val="00AF4568"/>
    <w:rsid w:val="00AF48B3"/>
    <w:rsid w:val="00AF4E07"/>
    <w:rsid w:val="00AF54AC"/>
    <w:rsid w:val="00AF5504"/>
    <w:rsid w:val="00AF5893"/>
    <w:rsid w:val="00AF59E4"/>
    <w:rsid w:val="00AF5D80"/>
    <w:rsid w:val="00AF5EE3"/>
    <w:rsid w:val="00AF61AA"/>
    <w:rsid w:val="00AF6263"/>
    <w:rsid w:val="00AF6F7F"/>
    <w:rsid w:val="00AF71F0"/>
    <w:rsid w:val="00AF72B8"/>
    <w:rsid w:val="00AF7441"/>
    <w:rsid w:val="00AF76D5"/>
    <w:rsid w:val="00AF7B5C"/>
    <w:rsid w:val="00AF7F40"/>
    <w:rsid w:val="00B00127"/>
    <w:rsid w:val="00B008B5"/>
    <w:rsid w:val="00B00959"/>
    <w:rsid w:val="00B00BE7"/>
    <w:rsid w:val="00B00DEF"/>
    <w:rsid w:val="00B00E73"/>
    <w:rsid w:val="00B00EFA"/>
    <w:rsid w:val="00B01176"/>
    <w:rsid w:val="00B01BCF"/>
    <w:rsid w:val="00B028E4"/>
    <w:rsid w:val="00B0341E"/>
    <w:rsid w:val="00B03BDD"/>
    <w:rsid w:val="00B03E70"/>
    <w:rsid w:val="00B04E4F"/>
    <w:rsid w:val="00B04F70"/>
    <w:rsid w:val="00B05289"/>
    <w:rsid w:val="00B0577F"/>
    <w:rsid w:val="00B059A9"/>
    <w:rsid w:val="00B05B28"/>
    <w:rsid w:val="00B05CCE"/>
    <w:rsid w:val="00B05DFD"/>
    <w:rsid w:val="00B05FA5"/>
    <w:rsid w:val="00B062AA"/>
    <w:rsid w:val="00B062CD"/>
    <w:rsid w:val="00B06392"/>
    <w:rsid w:val="00B066BE"/>
    <w:rsid w:val="00B06B4F"/>
    <w:rsid w:val="00B06E01"/>
    <w:rsid w:val="00B071D4"/>
    <w:rsid w:val="00B07CEB"/>
    <w:rsid w:val="00B07D95"/>
    <w:rsid w:val="00B100F7"/>
    <w:rsid w:val="00B1085A"/>
    <w:rsid w:val="00B1099B"/>
    <w:rsid w:val="00B10AB7"/>
    <w:rsid w:val="00B10B13"/>
    <w:rsid w:val="00B10B5F"/>
    <w:rsid w:val="00B11528"/>
    <w:rsid w:val="00B116A6"/>
    <w:rsid w:val="00B11C93"/>
    <w:rsid w:val="00B11FCB"/>
    <w:rsid w:val="00B12169"/>
    <w:rsid w:val="00B12316"/>
    <w:rsid w:val="00B1272B"/>
    <w:rsid w:val="00B1274C"/>
    <w:rsid w:val="00B12B42"/>
    <w:rsid w:val="00B1359E"/>
    <w:rsid w:val="00B13684"/>
    <w:rsid w:val="00B137E4"/>
    <w:rsid w:val="00B13954"/>
    <w:rsid w:val="00B13D1F"/>
    <w:rsid w:val="00B13E4A"/>
    <w:rsid w:val="00B1413B"/>
    <w:rsid w:val="00B145BB"/>
    <w:rsid w:val="00B146F8"/>
    <w:rsid w:val="00B14ADA"/>
    <w:rsid w:val="00B14C4D"/>
    <w:rsid w:val="00B14D53"/>
    <w:rsid w:val="00B14E03"/>
    <w:rsid w:val="00B14F35"/>
    <w:rsid w:val="00B1560A"/>
    <w:rsid w:val="00B157B4"/>
    <w:rsid w:val="00B15891"/>
    <w:rsid w:val="00B15C5F"/>
    <w:rsid w:val="00B15CB1"/>
    <w:rsid w:val="00B15FBF"/>
    <w:rsid w:val="00B15FF8"/>
    <w:rsid w:val="00B16194"/>
    <w:rsid w:val="00B16403"/>
    <w:rsid w:val="00B1655A"/>
    <w:rsid w:val="00B166B3"/>
    <w:rsid w:val="00B168CE"/>
    <w:rsid w:val="00B172FE"/>
    <w:rsid w:val="00B173C6"/>
    <w:rsid w:val="00B173E0"/>
    <w:rsid w:val="00B17F97"/>
    <w:rsid w:val="00B20020"/>
    <w:rsid w:val="00B200D0"/>
    <w:rsid w:val="00B20440"/>
    <w:rsid w:val="00B20446"/>
    <w:rsid w:val="00B2061C"/>
    <w:rsid w:val="00B2123B"/>
    <w:rsid w:val="00B2129A"/>
    <w:rsid w:val="00B21C4F"/>
    <w:rsid w:val="00B21CDF"/>
    <w:rsid w:val="00B21CEA"/>
    <w:rsid w:val="00B21F7F"/>
    <w:rsid w:val="00B2267D"/>
    <w:rsid w:val="00B2275D"/>
    <w:rsid w:val="00B22EAF"/>
    <w:rsid w:val="00B2300E"/>
    <w:rsid w:val="00B234DB"/>
    <w:rsid w:val="00B234DF"/>
    <w:rsid w:val="00B235C9"/>
    <w:rsid w:val="00B239C9"/>
    <w:rsid w:val="00B23B06"/>
    <w:rsid w:val="00B24419"/>
    <w:rsid w:val="00B249E8"/>
    <w:rsid w:val="00B249FF"/>
    <w:rsid w:val="00B24B8C"/>
    <w:rsid w:val="00B2513B"/>
    <w:rsid w:val="00B2522C"/>
    <w:rsid w:val="00B252C0"/>
    <w:rsid w:val="00B25AD0"/>
    <w:rsid w:val="00B25CE5"/>
    <w:rsid w:val="00B25E96"/>
    <w:rsid w:val="00B25F6C"/>
    <w:rsid w:val="00B2600F"/>
    <w:rsid w:val="00B26579"/>
    <w:rsid w:val="00B26E41"/>
    <w:rsid w:val="00B27967"/>
    <w:rsid w:val="00B27AB7"/>
    <w:rsid w:val="00B27B40"/>
    <w:rsid w:val="00B27B63"/>
    <w:rsid w:val="00B27C5A"/>
    <w:rsid w:val="00B27FE8"/>
    <w:rsid w:val="00B30206"/>
    <w:rsid w:val="00B306AF"/>
    <w:rsid w:val="00B30800"/>
    <w:rsid w:val="00B308A7"/>
    <w:rsid w:val="00B30CE5"/>
    <w:rsid w:val="00B30D1F"/>
    <w:rsid w:val="00B313F2"/>
    <w:rsid w:val="00B313F9"/>
    <w:rsid w:val="00B315BC"/>
    <w:rsid w:val="00B31C95"/>
    <w:rsid w:val="00B31CBF"/>
    <w:rsid w:val="00B31DA1"/>
    <w:rsid w:val="00B31DEA"/>
    <w:rsid w:val="00B31E5A"/>
    <w:rsid w:val="00B31FAC"/>
    <w:rsid w:val="00B320F4"/>
    <w:rsid w:val="00B32569"/>
    <w:rsid w:val="00B3268F"/>
    <w:rsid w:val="00B327D3"/>
    <w:rsid w:val="00B32A27"/>
    <w:rsid w:val="00B32BF6"/>
    <w:rsid w:val="00B32F1A"/>
    <w:rsid w:val="00B330B3"/>
    <w:rsid w:val="00B33802"/>
    <w:rsid w:val="00B3380F"/>
    <w:rsid w:val="00B33AD8"/>
    <w:rsid w:val="00B33CCA"/>
    <w:rsid w:val="00B33E9C"/>
    <w:rsid w:val="00B33FB0"/>
    <w:rsid w:val="00B3421C"/>
    <w:rsid w:val="00B34268"/>
    <w:rsid w:val="00B3440A"/>
    <w:rsid w:val="00B345E0"/>
    <w:rsid w:val="00B348B5"/>
    <w:rsid w:val="00B34DF7"/>
    <w:rsid w:val="00B3507E"/>
    <w:rsid w:val="00B358AC"/>
    <w:rsid w:val="00B35A4A"/>
    <w:rsid w:val="00B3615E"/>
    <w:rsid w:val="00B363BE"/>
    <w:rsid w:val="00B369ED"/>
    <w:rsid w:val="00B36B12"/>
    <w:rsid w:val="00B3702D"/>
    <w:rsid w:val="00B37169"/>
    <w:rsid w:val="00B37335"/>
    <w:rsid w:val="00B37CE1"/>
    <w:rsid w:val="00B40499"/>
    <w:rsid w:val="00B40A66"/>
    <w:rsid w:val="00B40DB2"/>
    <w:rsid w:val="00B40DDD"/>
    <w:rsid w:val="00B413D4"/>
    <w:rsid w:val="00B4181E"/>
    <w:rsid w:val="00B41BC2"/>
    <w:rsid w:val="00B42650"/>
    <w:rsid w:val="00B42C52"/>
    <w:rsid w:val="00B43207"/>
    <w:rsid w:val="00B433DD"/>
    <w:rsid w:val="00B4342A"/>
    <w:rsid w:val="00B437AD"/>
    <w:rsid w:val="00B4381D"/>
    <w:rsid w:val="00B43925"/>
    <w:rsid w:val="00B439DD"/>
    <w:rsid w:val="00B43E0D"/>
    <w:rsid w:val="00B441D9"/>
    <w:rsid w:val="00B44271"/>
    <w:rsid w:val="00B4455C"/>
    <w:rsid w:val="00B44625"/>
    <w:rsid w:val="00B446F5"/>
    <w:rsid w:val="00B447A2"/>
    <w:rsid w:val="00B448CE"/>
    <w:rsid w:val="00B44A92"/>
    <w:rsid w:val="00B44B37"/>
    <w:rsid w:val="00B44EA6"/>
    <w:rsid w:val="00B452BD"/>
    <w:rsid w:val="00B4590E"/>
    <w:rsid w:val="00B45A6E"/>
    <w:rsid w:val="00B45B39"/>
    <w:rsid w:val="00B45FA2"/>
    <w:rsid w:val="00B46534"/>
    <w:rsid w:val="00B4679A"/>
    <w:rsid w:val="00B46881"/>
    <w:rsid w:val="00B46B5C"/>
    <w:rsid w:val="00B46CB0"/>
    <w:rsid w:val="00B46D6D"/>
    <w:rsid w:val="00B46E8E"/>
    <w:rsid w:val="00B46EEA"/>
    <w:rsid w:val="00B473F5"/>
    <w:rsid w:val="00B50195"/>
    <w:rsid w:val="00B506F6"/>
    <w:rsid w:val="00B5070F"/>
    <w:rsid w:val="00B50BC4"/>
    <w:rsid w:val="00B51382"/>
    <w:rsid w:val="00B5143E"/>
    <w:rsid w:val="00B514B7"/>
    <w:rsid w:val="00B51535"/>
    <w:rsid w:val="00B51A86"/>
    <w:rsid w:val="00B51CFF"/>
    <w:rsid w:val="00B51FD4"/>
    <w:rsid w:val="00B52009"/>
    <w:rsid w:val="00B52244"/>
    <w:rsid w:val="00B52267"/>
    <w:rsid w:val="00B52332"/>
    <w:rsid w:val="00B52688"/>
    <w:rsid w:val="00B5277F"/>
    <w:rsid w:val="00B528ED"/>
    <w:rsid w:val="00B52C54"/>
    <w:rsid w:val="00B53715"/>
    <w:rsid w:val="00B540C0"/>
    <w:rsid w:val="00B547A8"/>
    <w:rsid w:val="00B5499A"/>
    <w:rsid w:val="00B54D54"/>
    <w:rsid w:val="00B54DAF"/>
    <w:rsid w:val="00B54E55"/>
    <w:rsid w:val="00B54EB6"/>
    <w:rsid w:val="00B55295"/>
    <w:rsid w:val="00B556A0"/>
    <w:rsid w:val="00B556ED"/>
    <w:rsid w:val="00B55723"/>
    <w:rsid w:val="00B5574D"/>
    <w:rsid w:val="00B55772"/>
    <w:rsid w:val="00B55786"/>
    <w:rsid w:val="00B5588A"/>
    <w:rsid w:val="00B55CA5"/>
    <w:rsid w:val="00B55D31"/>
    <w:rsid w:val="00B55DA0"/>
    <w:rsid w:val="00B5630B"/>
    <w:rsid w:val="00B5649B"/>
    <w:rsid w:val="00B564E7"/>
    <w:rsid w:val="00B56957"/>
    <w:rsid w:val="00B5706B"/>
    <w:rsid w:val="00B571AC"/>
    <w:rsid w:val="00B5721B"/>
    <w:rsid w:val="00B57799"/>
    <w:rsid w:val="00B577D9"/>
    <w:rsid w:val="00B578C9"/>
    <w:rsid w:val="00B57938"/>
    <w:rsid w:val="00B5793B"/>
    <w:rsid w:val="00B57BF5"/>
    <w:rsid w:val="00B57CCA"/>
    <w:rsid w:val="00B57E41"/>
    <w:rsid w:val="00B57F42"/>
    <w:rsid w:val="00B57F4C"/>
    <w:rsid w:val="00B60089"/>
    <w:rsid w:val="00B606BA"/>
    <w:rsid w:val="00B60A67"/>
    <w:rsid w:val="00B6138E"/>
    <w:rsid w:val="00B61495"/>
    <w:rsid w:val="00B61D4E"/>
    <w:rsid w:val="00B62192"/>
    <w:rsid w:val="00B621A0"/>
    <w:rsid w:val="00B62541"/>
    <w:rsid w:val="00B628D6"/>
    <w:rsid w:val="00B62A0A"/>
    <w:rsid w:val="00B62C7E"/>
    <w:rsid w:val="00B62E05"/>
    <w:rsid w:val="00B62EFB"/>
    <w:rsid w:val="00B63930"/>
    <w:rsid w:val="00B6397E"/>
    <w:rsid w:val="00B63A0F"/>
    <w:rsid w:val="00B63C44"/>
    <w:rsid w:val="00B63D3C"/>
    <w:rsid w:val="00B63D9F"/>
    <w:rsid w:val="00B63DE9"/>
    <w:rsid w:val="00B63E26"/>
    <w:rsid w:val="00B63E54"/>
    <w:rsid w:val="00B640AC"/>
    <w:rsid w:val="00B64237"/>
    <w:rsid w:val="00B64A43"/>
    <w:rsid w:val="00B64CEA"/>
    <w:rsid w:val="00B6504D"/>
    <w:rsid w:val="00B650FB"/>
    <w:rsid w:val="00B6515C"/>
    <w:rsid w:val="00B65627"/>
    <w:rsid w:val="00B65BA7"/>
    <w:rsid w:val="00B65FD0"/>
    <w:rsid w:val="00B6611E"/>
    <w:rsid w:val="00B66535"/>
    <w:rsid w:val="00B66E55"/>
    <w:rsid w:val="00B66F77"/>
    <w:rsid w:val="00B67E8C"/>
    <w:rsid w:val="00B7005E"/>
    <w:rsid w:val="00B70069"/>
    <w:rsid w:val="00B70590"/>
    <w:rsid w:val="00B706FC"/>
    <w:rsid w:val="00B707F8"/>
    <w:rsid w:val="00B70DAA"/>
    <w:rsid w:val="00B712FD"/>
    <w:rsid w:val="00B71592"/>
    <w:rsid w:val="00B7170B"/>
    <w:rsid w:val="00B71FC4"/>
    <w:rsid w:val="00B71FE6"/>
    <w:rsid w:val="00B7202A"/>
    <w:rsid w:val="00B720AE"/>
    <w:rsid w:val="00B7221D"/>
    <w:rsid w:val="00B725CC"/>
    <w:rsid w:val="00B725ED"/>
    <w:rsid w:val="00B7268F"/>
    <w:rsid w:val="00B72A6B"/>
    <w:rsid w:val="00B72B15"/>
    <w:rsid w:val="00B72E6E"/>
    <w:rsid w:val="00B738A1"/>
    <w:rsid w:val="00B73CEF"/>
    <w:rsid w:val="00B73D6A"/>
    <w:rsid w:val="00B743A4"/>
    <w:rsid w:val="00B7440C"/>
    <w:rsid w:val="00B74547"/>
    <w:rsid w:val="00B745E5"/>
    <w:rsid w:val="00B74754"/>
    <w:rsid w:val="00B74C11"/>
    <w:rsid w:val="00B74D8D"/>
    <w:rsid w:val="00B75028"/>
    <w:rsid w:val="00B750C2"/>
    <w:rsid w:val="00B750D6"/>
    <w:rsid w:val="00B752FE"/>
    <w:rsid w:val="00B75780"/>
    <w:rsid w:val="00B75AA9"/>
    <w:rsid w:val="00B75ABB"/>
    <w:rsid w:val="00B76294"/>
    <w:rsid w:val="00B763C4"/>
    <w:rsid w:val="00B767B6"/>
    <w:rsid w:val="00B769D3"/>
    <w:rsid w:val="00B76AAF"/>
    <w:rsid w:val="00B76C19"/>
    <w:rsid w:val="00B76C61"/>
    <w:rsid w:val="00B76CAA"/>
    <w:rsid w:val="00B77280"/>
    <w:rsid w:val="00B77356"/>
    <w:rsid w:val="00B77358"/>
    <w:rsid w:val="00B77B17"/>
    <w:rsid w:val="00B77F89"/>
    <w:rsid w:val="00B80078"/>
    <w:rsid w:val="00B802A8"/>
    <w:rsid w:val="00B8081D"/>
    <w:rsid w:val="00B80B4A"/>
    <w:rsid w:val="00B80BC9"/>
    <w:rsid w:val="00B80F86"/>
    <w:rsid w:val="00B81061"/>
    <w:rsid w:val="00B81464"/>
    <w:rsid w:val="00B814B4"/>
    <w:rsid w:val="00B818B2"/>
    <w:rsid w:val="00B8218D"/>
    <w:rsid w:val="00B82472"/>
    <w:rsid w:val="00B82C53"/>
    <w:rsid w:val="00B82DFE"/>
    <w:rsid w:val="00B82F36"/>
    <w:rsid w:val="00B83530"/>
    <w:rsid w:val="00B84872"/>
    <w:rsid w:val="00B84A3B"/>
    <w:rsid w:val="00B84C1D"/>
    <w:rsid w:val="00B84D5D"/>
    <w:rsid w:val="00B84DA4"/>
    <w:rsid w:val="00B85006"/>
    <w:rsid w:val="00B85085"/>
    <w:rsid w:val="00B85400"/>
    <w:rsid w:val="00B85812"/>
    <w:rsid w:val="00B85891"/>
    <w:rsid w:val="00B85B86"/>
    <w:rsid w:val="00B86586"/>
    <w:rsid w:val="00B86691"/>
    <w:rsid w:val="00B868F1"/>
    <w:rsid w:val="00B86B92"/>
    <w:rsid w:val="00B8771E"/>
    <w:rsid w:val="00B878DF"/>
    <w:rsid w:val="00B87C33"/>
    <w:rsid w:val="00B87DDC"/>
    <w:rsid w:val="00B900CC"/>
    <w:rsid w:val="00B9018E"/>
    <w:rsid w:val="00B90391"/>
    <w:rsid w:val="00B90645"/>
    <w:rsid w:val="00B90653"/>
    <w:rsid w:val="00B90A0D"/>
    <w:rsid w:val="00B90CA2"/>
    <w:rsid w:val="00B913DA"/>
    <w:rsid w:val="00B91603"/>
    <w:rsid w:val="00B917A8"/>
    <w:rsid w:val="00B9192F"/>
    <w:rsid w:val="00B91CE3"/>
    <w:rsid w:val="00B92169"/>
    <w:rsid w:val="00B921EE"/>
    <w:rsid w:val="00B92857"/>
    <w:rsid w:val="00B92ABF"/>
    <w:rsid w:val="00B93109"/>
    <w:rsid w:val="00B93273"/>
    <w:rsid w:val="00B93577"/>
    <w:rsid w:val="00B937AA"/>
    <w:rsid w:val="00B93A05"/>
    <w:rsid w:val="00B93A6A"/>
    <w:rsid w:val="00B93B42"/>
    <w:rsid w:val="00B9442D"/>
    <w:rsid w:val="00B944C9"/>
    <w:rsid w:val="00B94768"/>
    <w:rsid w:val="00B947BF"/>
    <w:rsid w:val="00B948D2"/>
    <w:rsid w:val="00B94B94"/>
    <w:rsid w:val="00B94CA8"/>
    <w:rsid w:val="00B94CCD"/>
    <w:rsid w:val="00B95014"/>
    <w:rsid w:val="00B955FB"/>
    <w:rsid w:val="00B95A32"/>
    <w:rsid w:val="00B96599"/>
    <w:rsid w:val="00B96AF7"/>
    <w:rsid w:val="00B96FB6"/>
    <w:rsid w:val="00B97078"/>
    <w:rsid w:val="00B97198"/>
    <w:rsid w:val="00B97396"/>
    <w:rsid w:val="00B973E2"/>
    <w:rsid w:val="00B97587"/>
    <w:rsid w:val="00BA0222"/>
    <w:rsid w:val="00BA0524"/>
    <w:rsid w:val="00BA05F4"/>
    <w:rsid w:val="00BA0AD9"/>
    <w:rsid w:val="00BA0CA6"/>
    <w:rsid w:val="00BA0F42"/>
    <w:rsid w:val="00BA14E9"/>
    <w:rsid w:val="00BA15F6"/>
    <w:rsid w:val="00BA173B"/>
    <w:rsid w:val="00BA1811"/>
    <w:rsid w:val="00BA1AE3"/>
    <w:rsid w:val="00BA1CBC"/>
    <w:rsid w:val="00BA1FF8"/>
    <w:rsid w:val="00BA20B7"/>
    <w:rsid w:val="00BA2ACB"/>
    <w:rsid w:val="00BA2D0A"/>
    <w:rsid w:val="00BA2EAA"/>
    <w:rsid w:val="00BA2FFC"/>
    <w:rsid w:val="00BA3292"/>
    <w:rsid w:val="00BA3336"/>
    <w:rsid w:val="00BA41E2"/>
    <w:rsid w:val="00BA43D4"/>
    <w:rsid w:val="00BA4C24"/>
    <w:rsid w:val="00BA4C80"/>
    <w:rsid w:val="00BA4D88"/>
    <w:rsid w:val="00BA4FB1"/>
    <w:rsid w:val="00BA595C"/>
    <w:rsid w:val="00BA5BE4"/>
    <w:rsid w:val="00BA5E9B"/>
    <w:rsid w:val="00BA6094"/>
    <w:rsid w:val="00BA627C"/>
    <w:rsid w:val="00BA69AD"/>
    <w:rsid w:val="00BA6C77"/>
    <w:rsid w:val="00BA6E0A"/>
    <w:rsid w:val="00BA77E8"/>
    <w:rsid w:val="00BA7846"/>
    <w:rsid w:val="00BA7963"/>
    <w:rsid w:val="00BA7D17"/>
    <w:rsid w:val="00BA7EC0"/>
    <w:rsid w:val="00BB0316"/>
    <w:rsid w:val="00BB0C34"/>
    <w:rsid w:val="00BB0EAB"/>
    <w:rsid w:val="00BB113E"/>
    <w:rsid w:val="00BB1616"/>
    <w:rsid w:val="00BB1657"/>
    <w:rsid w:val="00BB1B50"/>
    <w:rsid w:val="00BB1D04"/>
    <w:rsid w:val="00BB1F95"/>
    <w:rsid w:val="00BB236F"/>
    <w:rsid w:val="00BB27CE"/>
    <w:rsid w:val="00BB2C4E"/>
    <w:rsid w:val="00BB304F"/>
    <w:rsid w:val="00BB30E7"/>
    <w:rsid w:val="00BB3198"/>
    <w:rsid w:val="00BB39EC"/>
    <w:rsid w:val="00BB3E6D"/>
    <w:rsid w:val="00BB46CB"/>
    <w:rsid w:val="00BB4942"/>
    <w:rsid w:val="00BB49D0"/>
    <w:rsid w:val="00BB4B43"/>
    <w:rsid w:val="00BB4EBB"/>
    <w:rsid w:val="00BB51B1"/>
    <w:rsid w:val="00BB5288"/>
    <w:rsid w:val="00BB52F5"/>
    <w:rsid w:val="00BB5AEC"/>
    <w:rsid w:val="00BB5C70"/>
    <w:rsid w:val="00BB61B3"/>
    <w:rsid w:val="00BB6868"/>
    <w:rsid w:val="00BB6AB5"/>
    <w:rsid w:val="00BB6D3D"/>
    <w:rsid w:val="00BB7719"/>
    <w:rsid w:val="00BB7B66"/>
    <w:rsid w:val="00BB7DFE"/>
    <w:rsid w:val="00BC04D1"/>
    <w:rsid w:val="00BC05B4"/>
    <w:rsid w:val="00BC0E81"/>
    <w:rsid w:val="00BC0FC1"/>
    <w:rsid w:val="00BC11E3"/>
    <w:rsid w:val="00BC196C"/>
    <w:rsid w:val="00BC1999"/>
    <w:rsid w:val="00BC1A3C"/>
    <w:rsid w:val="00BC1CDD"/>
    <w:rsid w:val="00BC1FE7"/>
    <w:rsid w:val="00BC200A"/>
    <w:rsid w:val="00BC255F"/>
    <w:rsid w:val="00BC2656"/>
    <w:rsid w:val="00BC28AE"/>
    <w:rsid w:val="00BC2C05"/>
    <w:rsid w:val="00BC3003"/>
    <w:rsid w:val="00BC3138"/>
    <w:rsid w:val="00BC3647"/>
    <w:rsid w:val="00BC3648"/>
    <w:rsid w:val="00BC3A1C"/>
    <w:rsid w:val="00BC4550"/>
    <w:rsid w:val="00BC4A37"/>
    <w:rsid w:val="00BC4AAC"/>
    <w:rsid w:val="00BC4AB6"/>
    <w:rsid w:val="00BC4B7B"/>
    <w:rsid w:val="00BC4D3D"/>
    <w:rsid w:val="00BC58B1"/>
    <w:rsid w:val="00BC58E2"/>
    <w:rsid w:val="00BC6032"/>
    <w:rsid w:val="00BC617E"/>
    <w:rsid w:val="00BC62B7"/>
    <w:rsid w:val="00BC6433"/>
    <w:rsid w:val="00BC664F"/>
    <w:rsid w:val="00BC7250"/>
    <w:rsid w:val="00BC7420"/>
    <w:rsid w:val="00BC74A8"/>
    <w:rsid w:val="00BC74C6"/>
    <w:rsid w:val="00BC7526"/>
    <w:rsid w:val="00BC797F"/>
    <w:rsid w:val="00BC7A6E"/>
    <w:rsid w:val="00BC7A99"/>
    <w:rsid w:val="00BC7B60"/>
    <w:rsid w:val="00BC7F26"/>
    <w:rsid w:val="00BD090B"/>
    <w:rsid w:val="00BD09FD"/>
    <w:rsid w:val="00BD0C05"/>
    <w:rsid w:val="00BD12FB"/>
    <w:rsid w:val="00BD15BD"/>
    <w:rsid w:val="00BD1B14"/>
    <w:rsid w:val="00BD202E"/>
    <w:rsid w:val="00BD2134"/>
    <w:rsid w:val="00BD22C1"/>
    <w:rsid w:val="00BD2426"/>
    <w:rsid w:val="00BD2FF8"/>
    <w:rsid w:val="00BD31FB"/>
    <w:rsid w:val="00BD3287"/>
    <w:rsid w:val="00BD4462"/>
    <w:rsid w:val="00BD44DA"/>
    <w:rsid w:val="00BD4990"/>
    <w:rsid w:val="00BD5467"/>
    <w:rsid w:val="00BD5506"/>
    <w:rsid w:val="00BD5547"/>
    <w:rsid w:val="00BD5A8A"/>
    <w:rsid w:val="00BD5D3B"/>
    <w:rsid w:val="00BD5D9D"/>
    <w:rsid w:val="00BD60BD"/>
    <w:rsid w:val="00BD61F6"/>
    <w:rsid w:val="00BD6496"/>
    <w:rsid w:val="00BD658A"/>
    <w:rsid w:val="00BD6594"/>
    <w:rsid w:val="00BD67C7"/>
    <w:rsid w:val="00BD69EB"/>
    <w:rsid w:val="00BD6C59"/>
    <w:rsid w:val="00BD6F21"/>
    <w:rsid w:val="00BD6F6A"/>
    <w:rsid w:val="00BD7275"/>
    <w:rsid w:val="00BD738E"/>
    <w:rsid w:val="00BD76D0"/>
    <w:rsid w:val="00BD7769"/>
    <w:rsid w:val="00BD7BF7"/>
    <w:rsid w:val="00BE013F"/>
    <w:rsid w:val="00BE0192"/>
    <w:rsid w:val="00BE05CD"/>
    <w:rsid w:val="00BE0DF4"/>
    <w:rsid w:val="00BE0F31"/>
    <w:rsid w:val="00BE14D5"/>
    <w:rsid w:val="00BE1A93"/>
    <w:rsid w:val="00BE1AC3"/>
    <w:rsid w:val="00BE1ACA"/>
    <w:rsid w:val="00BE1E4F"/>
    <w:rsid w:val="00BE1FBB"/>
    <w:rsid w:val="00BE2824"/>
    <w:rsid w:val="00BE2D19"/>
    <w:rsid w:val="00BE2EB7"/>
    <w:rsid w:val="00BE2EF9"/>
    <w:rsid w:val="00BE2F01"/>
    <w:rsid w:val="00BE3237"/>
    <w:rsid w:val="00BE3412"/>
    <w:rsid w:val="00BE3500"/>
    <w:rsid w:val="00BE3719"/>
    <w:rsid w:val="00BE3C21"/>
    <w:rsid w:val="00BE425A"/>
    <w:rsid w:val="00BE45C8"/>
    <w:rsid w:val="00BE46B0"/>
    <w:rsid w:val="00BE47E0"/>
    <w:rsid w:val="00BE4A3F"/>
    <w:rsid w:val="00BE4A91"/>
    <w:rsid w:val="00BE4F09"/>
    <w:rsid w:val="00BE5264"/>
    <w:rsid w:val="00BE53DD"/>
    <w:rsid w:val="00BE554D"/>
    <w:rsid w:val="00BE59B0"/>
    <w:rsid w:val="00BE5CA2"/>
    <w:rsid w:val="00BE5D47"/>
    <w:rsid w:val="00BE5F7F"/>
    <w:rsid w:val="00BE60A1"/>
    <w:rsid w:val="00BE616B"/>
    <w:rsid w:val="00BE63A9"/>
    <w:rsid w:val="00BE63AC"/>
    <w:rsid w:val="00BE66DE"/>
    <w:rsid w:val="00BE6AC6"/>
    <w:rsid w:val="00BE7172"/>
    <w:rsid w:val="00BE74B9"/>
    <w:rsid w:val="00BE7839"/>
    <w:rsid w:val="00BE78D6"/>
    <w:rsid w:val="00BE7EE3"/>
    <w:rsid w:val="00BF016E"/>
    <w:rsid w:val="00BF039B"/>
    <w:rsid w:val="00BF0467"/>
    <w:rsid w:val="00BF0499"/>
    <w:rsid w:val="00BF0538"/>
    <w:rsid w:val="00BF053B"/>
    <w:rsid w:val="00BF0784"/>
    <w:rsid w:val="00BF08A0"/>
    <w:rsid w:val="00BF09AE"/>
    <w:rsid w:val="00BF09ED"/>
    <w:rsid w:val="00BF0C0F"/>
    <w:rsid w:val="00BF10B2"/>
    <w:rsid w:val="00BF1242"/>
    <w:rsid w:val="00BF133F"/>
    <w:rsid w:val="00BF1521"/>
    <w:rsid w:val="00BF1993"/>
    <w:rsid w:val="00BF1B17"/>
    <w:rsid w:val="00BF1BD5"/>
    <w:rsid w:val="00BF20D3"/>
    <w:rsid w:val="00BF2379"/>
    <w:rsid w:val="00BF2429"/>
    <w:rsid w:val="00BF2568"/>
    <w:rsid w:val="00BF2658"/>
    <w:rsid w:val="00BF2692"/>
    <w:rsid w:val="00BF2719"/>
    <w:rsid w:val="00BF2783"/>
    <w:rsid w:val="00BF2B55"/>
    <w:rsid w:val="00BF2E41"/>
    <w:rsid w:val="00BF2E8B"/>
    <w:rsid w:val="00BF3020"/>
    <w:rsid w:val="00BF30E4"/>
    <w:rsid w:val="00BF31E9"/>
    <w:rsid w:val="00BF32E5"/>
    <w:rsid w:val="00BF4153"/>
    <w:rsid w:val="00BF41BF"/>
    <w:rsid w:val="00BF4239"/>
    <w:rsid w:val="00BF430F"/>
    <w:rsid w:val="00BF43B0"/>
    <w:rsid w:val="00BF4474"/>
    <w:rsid w:val="00BF4680"/>
    <w:rsid w:val="00BF4964"/>
    <w:rsid w:val="00BF4B65"/>
    <w:rsid w:val="00BF4C3C"/>
    <w:rsid w:val="00BF4EC3"/>
    <w:rsid w:val="00BF56F1"/>
    <w:rsid w:val="00BF579F"/>
    <w:rsid w:val="00BF57E6"/>
    <w:rsid w:val="00BF5984"/>
    <w:rsid w:val="00BF6145"/>
    <w:rsid w:val="00BF61AC"/>
    <w:rsid w:val="00BF677A"/>
    <w:rsid w:val="00BF6A7C"/>
    <w:rsid w:val="00BF7321"/>
    <w:rsid w:val="00BF73DF"/>
    <w:rsid w:val="00BF7676"/>
    <w:rsid w:val="00BF7986"/>
    <w:rsid w:val="00BF7ACD"/>
    <w:rsid w:val="00C0022B"/>
    <w:rsid w:val="00C00476"/>
    <w:rsid w:val="00C0050E"/>
    <w:rsid w:val="00C00766"/>
    <w:rsid w:val="00C00C0D"/>
    <w:rsid w:val="00C01442"/>
    <w:rsid w:val="00C0155E"/>
    <w:rsid w:val="00C015DE"/>
    <w:rsid w:val="00C01746"/>
    <w:rsid w:val="00C0195C"/>
    <w:rsid w:val="00C01B11"/>
    <w:rsid w:val="00C01C9A"/>
    <w:rsid w:val="00C01D0A"/>
    <w:rsid w:val="00C01E45"/>
    <w:rsid w:val="00C01E9A"/>
    <w:rsid w:val="00C0219F"/>
    <w:rsid w:val="00C02647"/>
    <w:rsid w:val="00C02E65"/>
    <w:rsid w:val="00C033C9"/>
    <w:rsid w:val="00C0345E"/>
    <w:rsid w:val="00C034DE"/>
    <w:rsid w:val="00C037E6"/>
    <w:rsid w:val="00C0383C"/>
    <w:rsid w:val="00C03916"/>
    <w:rsid w:val="00C03A17"/>
    <w:rsid w:val="00C04329"/>
    <w:rsid w:val="00C04389"/>
    <w:rsid w:val="00C045C1"/>
    <w:rsid w:val="00C04D07"/>
    <w:rsid w:val="00C04E79"/>
    <w:rsid w:val="00C04F49"/>
    <w:rsid w:val="00C055E2"/>
    <w:rsid w:val="00C05B21"/>
    <w:rsid w:val="00C05F6C"/>
    <w:rsid w:val="00C05FB7"/>
    <w:rsid w:val="00C06111"/>
    <w:rsid w:val="00C06130"/>
    <w:rsid w:val="00C0624B"/>
    <w:rsid w:val="00C0625C"/>
    <w:rsid w:val="00C0646F"/>
    <w:rsid w:val="00C069F1"/>
    <w:rsid w:val="00C07000"/>
    <w:rsid w:val="00C07312"/>
    <w:rsid w:val="00C077A2"/>
    <w:rsid w:val="00C077EE"/>
    <w:rsid w:val="00C078CC"/>
    <w:rsid w:val="00C07995"/>
    <w:rsid w:val="00C07E84"/>
    <w:rsid w:val="00C10667"/>
    <w:rsid w:val="00C109DD"/>
    <w:rsid w:val="00C11291"/>
    <w:rsid w:val="00C113F3"/>
    <w:rsid w:val="00C1162B"/>
    <w:rsid w:val="00C11664"/>
    <w:rsid w:val="00C11930"/>
    <w:rsid w:val="00C1265E"/>
    <w:rsid w:val="00C12CF8"/>
    <w:rsid w:val="00C12DEC"/>
    <w:rsid w:val="00C12F8D"/>
    <w:rsid w:val="00C133B1"/>
    <w:rsid w:val="00C13840"/>
    <w:rsid w:val="00C13900"/>
    <w:rsid w:val="00C13B70"/>
    <w:rsid w:val="00C13BF4"/>
    <w:rsid w:val="00C13EF5"/>
    <w:rsid w:val="00C1401A"/>
    <w:rsid w:val="00C14265"/>
    <w:rsid w:val="00C14688"/>
    <w:rsid w:val="00C14773"/>
    <w:rsid w:val="00C14A0B"/>
    <w:rsid w:val="00C15299"/>
    <w:rsid w:val="00C152FF"/>
    <w:rsid w:val="00C153F2"/>
    <w:rsid w:val="00C15422"/>
    <w:rsid w:val="00C15633"/>
    <w:rsid w:val="00C15725"/>
    <w:rsid w:val="00C15955"/>
    <w:rsid w:val="00C15C74"/>
    <w:rsid w:val="00C1633C"/>
    <w:rsid w:val="00C16592"/>
    <w:rsid w:val="00C1669F"/>
    <w:rsid w:val="00C166BB"/>
    <w:rsid w:val="00C16B3B"/>
    <w:rsid w:val="00C16C03"/>
    <w:rsid w:val="00C170E4"/>
    <w:rsid w:val="00C172A4"/>
    <w:rsid w:val="00C17377"/>
    <w:rsid w:val="00C17389"/>
    <w:rsid w:val="00C176D0"/>
    <w:rsid w:val="00C179C6"/>
    <w:rsid w:val="00C17A11"/>
    <w:rsid w:val="00C17ED1"/>
    <w:rsid w:val="00C17F7C"/>
    <w:rsid w:val="00C20AF0"/>
    <w:rsid w:val="00C212DC"/>
    <w:rsid w:val="00C21893"/>
    <w:rsid w:val="00C21BB9"/>
    <w:rsid w:val="00C220AD"/>
    <w:rsid w:val="00C2223B"/>
    <w:rsid w:val="00C22A63"/>
    <w:rsid w:val="00C230C9"/>
    <w:rsid w:val="00C233B7"/>
    <w:rsid w:val="00C2360C"/>
    <w:rsid w:val="00C239D1"/>
    <w:rsid w:val="00C23AF8"/>
    <w:rsid w:val="00C242AA"/>
    <w:rsid w:val="00C243AB"/>
    <w:rsid w:val="00C24647"/>
    <w:rsid w:val="00C249B1"/>
    <w:rsid w:val="00C24B2A"/>
    <w:rsid w:val="00C24C53"/>
    <w:rsid w:val="00C25228"/>
    <w:rsid w:val="00C25C1E"/>
    <w:rsid w:val="00C260F0"/>
    <w:rsid w:val="00C266B8"/>
    <w:rsid w:val="00C2698E"/>
    <w:rsid w:val="00C26BE6"/>
    <w:rsid w:val="00C26EE9"/>
    <w:rsid w:val="00C26FA7"/>
    <w:rsid w:val="00C2774B"/>
    <w:rsid w:val="00C27ED7"/>
    <w:rsid w:val="00C27F18"/>
    <w:rsid w:val="00C30AE1"/>
    <w:rsid w:val="00C30B6F"/>
    <w:rsid w:val="00C30E99"/>
    <w:rsid w:val="00C30F9C"/>
    <w:rsid w:val="00C3145B"/>
    <w:rsid w:val="00C314B5"/>
    <w:rsid w:val="00C315E3"/>
    <w:rsid w:val="00C31F6F"/>
    <w:rsid w:val="00C322C9"/>
    <w:rsid w:val="00C3266A"/>
    <w:rsid w:val="00C3293E"/>
    <w:rsid w:val="00C32C1A"/>
    <w:rsid w:val="00C32FB5"/>
    <w:rsid w:val="00C330B4"/>
    <w:rsid w:val="00C335E3"/>
    <w:rsid w:val="00C33A42"/>
    <w:rsid w:val="00C33E1D"/>
    <w:rsid w:val="00C341A6"/>
    <w:rsid w:val="00C345E8"/>
    <w:rsid w:val="00C34657"/>
    <w:rsid w:val="00C34869"/>
    <w:rsid w:val="00C34B1D"/>
    <w:rsid w:val="00C34E17"/>
    <w:rsid w:val="00C3558E"/>
    <w:rsid w:val="00C357BB"/>
    <w:rsid w:val="00C3594D"/>
    <w:rsid w:val="00C35BC8"/>
    <w:rsid w:val="00C35D84"/>
    <w:rsid w:val="00C3611D"/>
    <w:rsid w:val="00C3613D"/>
    <w:rsid w:val="00C3618B"/>
    <w:rsid w:val="00C36763"/>
    <w:rsid w:val="00C36A62"/>
    <w:rsid w:val="00C36D4F"/>
    <w:rsid w:val="00C36D9B"/>
    <w:rsid w:val="00C36F54"/>
    <w:rsid w:val="00C370A3"/>
    <w:rsid w:val="00C37242"/>
    <w:rsid w:val="00C37282"/>
    <w:rsid w:val="00C377F3"/>
    <w:rsid w:val="00C400F4"/>
    <w:rsid w:val="00C4014D"/>
    <w:rsid w:val="00C401F7"/>
    <w:rsid w:val="00C40330"/>
    <w:rsid w:val="00C40441"/>
    <w:rsid w:val="00C40873"/>
    <w:rsid w:val="00C40D13"/>
    <w:rsid w:val="00C41A95"/>
    <w:rsid w:val="00C41C1D"/>
    <w:rsid w:val="00C41CB0"/>
    <w:rsid w:val="00C41CB8"/>
    <w:rsid w:val="00C4235F"/>
    <w:rsid w:val="00C423E9"/>
    <w:rsid w:val="00C425B6"/>
    <w:rsid w:val="00C42744"/>
    <w:rsid w:val="00C428B3"/>
    <w:rsid w:val="00C4296C"/>
    <w:rsid w:val="00C429EA"/>
    <w:rsid w:val="00C42AF4"/>
    <w:rsid w:val="00C42B9E"/>
    <w:rsid w:val="00C43421"/>
    <w:rsid w:val="00C43506"/>
    <w:rsid w:val="00C43566"/>
    <w:rsid w:val="00C43733"/>
    <w:rsid w:val="00C43B9C"/>
    <w:rsid w:val="00C43E70"/>
    <w:rsid w:val="00C44000"/>
    <w:rsid w:val="00C4437D"/>
    <w:rsid w:val="00C447CB"/>
    <w:rsid w:val="00C447DA"/>
    <w:rsid w:val="00C44957"/>
    <w:rsid w:val="00C44D44"/>
    <w:rsid w:val="00C4509A"/>
    <w:rsid w:val="00C451C9"/>
    <w:rsid w:val="00C45888"/>
    <w:rsid w:val="00C45B80"/>
    <w:rsid w:val="00C45D69"/>
    <w:rsid w:val="00C46164"/>
    <w:rsid w:val="00C461C7"/>
    <w:rsid w:val="00C464E2"/>
    <w:rsid w:val="00C46568"/>
    <w:rsid w:val="00C46644"/>
    <w:rsid w:val="00C466CA"/>
    <w:rsid w:val="00C46850"/>
    <w:rsid w:val="00C468A2"/>
    <w:rsid w:val="00C46B71"/>
    <w:rsid w:val="00C46D06"/>
    <w:rsid w:val="00C46DE2"/>
    <w:rsid w:val="00C46FA2"/>
    <w:rsid w:val="00C47144"/>
    <w:rsid w:val="00C4728A"/>
    <w:rsid w:val="00C475D0"/>
    <w:rsid w:val="00C47F3B"/>
    <w:rsid w:val="00C47F9D"/>
    <w:rsid w:val="00C5000E"/>
    <w:rsid w:val="00C50703"/>
    <w:rsid w:val="00C50CD2"/>
    <w:rsid w:val="00C50F88"/>
    <w:rsid w:val="00C510BD"/>
    <w:rsid w:val="00C5170E"/>
    <w:rsid w:val="00C51C45"/>
    <w:rsid w:val="00C51CD6"/>
    <w:rsid w:val="00C51D45"/>
    <w:rsid w:val="00C51DC5"/>
    <w:rsid w:val="00C51E5C"/>
    <w:rsid w:val="00C5239A"/>
    <w:rsid w:val="00C52D15"/>
    <w:rsid w:val="00C52F72"/>
    <w:rsid w:val="00C5303D"/>
    <w:rsid w:val="00C53077"/>
    <w:rsid w:val="00C53602"/>
    <w:rsid w:val="00C53FE1"/>
    <w:rsid w:val="00C54571"/>
    <w:rsid w:val="00C545DC"/>
    <w:rsid w:val="00C54677"/>
    <w:rsid w:val="00C549FA"/>
    <w:rsid w:val="00C54ACF"/>
    <w:rsid w:val="00C54FC7"/>
    <w:rsid w:val="00C55227"/>
    <w:rsid w:val="00C5528C"/>
    <w:rsid w:val="00C55323"/>
    <w:rsid w:val="00C55514"/>
    <w:rsid w:val="00C55756"/>
    <w:rsid w:val="00C55908"/>
    <w:rsid w:val="00C55B60"/>
    <w:rsid w:val="00C56251"/>
    <w:rsid w:val="00C56496"/>
    <w:rsid w:val="00C5661E"/>
    <w:rsid w:val="00C5671A"/>
    <w:rsid w:val="00C56F35"/>
    <w:rsid w:val="00C5700C"/>
    <w:rsid w:val="00C570DF"/>
    <w:rsid w:val="00C57219"/>
    <w:rsid w:val="00C57974"/>
    <w:rsid w:val="00C57DD2"/>
    <w:rsid w:val="00C57E2F"/>
    <w:rsid w:val="00C57F9C"/>
    <w:rsid w:val="00C60221"/>
    <w:rsid w:val="00C602D5"/>
    <w:rsid w:val="00C60D83"/>
    <w:rsid w:val="00C60EBB"/>
    <w:rsid w:val="00C611B0"/>
    <w:rsid w:val="00C616C1"/>
    <w:rsid w:val="00C61968"/>
    <w:rsid w:val="00C619C2"/>
    <w:rsid w:val="00C61E60"/>
    <w:rsid w:val="00C61ED6"/>
    <w:rsid w:val="00C61F42"/>
    <w:rsid w:val="00C622F7"/>
    <w:rsid w:val="00C626C6"/>
    <w:rsid w:val="00C6274D"/>
    <w:rsid w:val="00C62792"/>
    <w:rsid w:val="00C62A2C"/>
    <w:rsid w:val="00C62A42"/>
    <w:rsid w:val="00C62BB0"/>
    <w:rsid w:val="00C62C4D"/>
    <w:rsid w:val="00C62CA0"/>
    <w:rsid w:val="00C62D0D"/>
    <w:rsid w:val="00C63194"/>
    <w:rsid w:val="00C63461"/>
    <w:rsid w:val="00C635F4"/>
    <w:rsid w:val="00C6380E"/>
    <w:rsid w:val="00C63893"/>
    <w:rsid w:val="00C63936"/>
    <w:rsid w:val="00C63BD8"/>
    <w:rsid w:val="00C63E18"/>
    <w:rsid w:val="00C63FA9"/>
    <w:rsid w:val="00C64169"/>
    <w:rsid w:val="00C64288"/>
    <w:rsid w:val="00C644E6"/>
    <w:rsid w:val="00C64C05"/>
    <w:rsid w:val="00C64E50"/>
    <w:rsid w:val="00C64FC8"/>
    <w:rsid w:val="00C65531"/>
    <w:rsid w:val="00C662A3"/>
    <w:rsid w:val="00C663F2"/>
    <w:rsid w:val="00C66DEE"/>
    <w:rsid w:val="00C6758B"/>
    <w:rsid w:val="00C676DC"/>
    <w:rsid w:val="00C679D7"/>
    <w:rsid w:val="00C700E2"/>
    <w:rsid w:val="00C70194"/>
    <w:rsid w:val="00C70587"/>
    <w:rsid w:val="00C707CC"/>
    <w:rsid w:val="00C7099D"/>
    <w:rsid w:val="00C70BA5"/>
    <w:rsid w:val="00C71106"/>
    <w:rsid w:val="00C712E7"/>
    <w:rsid w:val="00C71503"/>
    <w:rsid w:val="00C7159B"/>
    <w:rsid w:val="00C718D7"/>
    <w:rsid w:val="00C71A37"/>
    <w:rsid w:val="00C71A63"/>
    <w:rsid w:val="00C71D76"/>
    <w:rsid w:val="00C71E72"/>
    <w:rsid w:val="00C72656"/>
    <w:rsid w:val="00C72B3B"/>
    <w:rsid w:val="00C72BEC"/>
    <w:rsid w:val="00C732CF"/>
    <w:rsid w:val="00C73BF5"/>
    <w:rsid w:val="00C73C48"/>
    <w:rsid w:val="00C73E0E"/>
    <w:rsid w:val="00C73F67"/>
    <w:rsid w:val="00C74185"/>
    <w:rsid w:val="00C74523"/>
    <w:rsid w:val="00C74683"/>
    <w:rsid w:val="00C74852"/>
    <w:rsid w:val="00C749CF"/>
    <w:rsid w:val="00C74B7D"/>
    <w:rsid w:val="00C74BD5"/>
    <w:rsid w:val="00C74C82"/>
    <w:rsid w:val="00C74FED"/>
    <w:rsid w:val="00C750CB"/>
    <w:rsid w:val="00C75490"/>
    <w:rsid w:val="00C757A0"/>
    <w:rsid w:val="00C75CEE"/>
    <w:rsid w:val="00C75D6B"/>
    <w:rsid w:val="00C75E5C"/>
    <w:rsid w:val="00C75F45"/>
    <w:rsid w:val="00C761CD"/>
    <w:rsid w:val="00C776DB"/>
    <w:rsid w:val="00C77D0D"/>
    <w:rsid w:val="00C77E47"/>
    <w:rsid w:val="00C805FB"/>
    <w:rsid w:val="00C80AF6"/>
    <w:rsid w:val="00C80C8C"/>
    <w:rsid w:val="00C80DEB"/>
    <w:rsid w:val="00C80F0F"/>
    <w:rsid w:val="00C81250"/>
    <w:rsid w:val="00C814B7"/>
    <w:rsid w:val="00C816A6"/>
    <w:rsid w:val="00C81715"/>
    <w:rsid w:val="00C81AB4"/>
    <w:rsid w:val="00C81AD0"/>
    <w:rsid w:val="00C81B34"/>
    <w:rsid w:val="00C81E8B"/>
    <w:rsid w:val="00C8229B"/>
    <w:rsid w:val="00C82313"/>
    <w:rsid w:val="00C82460"/>
    <w:rsid w:val="00C827F9"/>
    <w:rsid w:val="00C82886"/>
    <w:rsid w:val="00C828CA"/>
    <w:rsid w:val="00C82F6D"/>
    <w:rsid w:val="00C82FD1"/>
    <w:rsid w:val="00C830DE"/>
    <w:rsid w:val="00C8315E"/>
    <w:rsid w:val="00C83CF0"/>
    <w:rsid w:val="00C8441F"/>
    <w:rsid w:val="00C84455"/>
    <w:rsid w:val="00C84564"/>
    <w:rsid w:val="00C8482D"/>
    <w:rsid w:val="00C84A5E"/>
    <w:rsid w:val="00C84BC5"/>
    <w:rsid w:val="00C84E22"/>
    <w:rsid w:val="00C84E95"/>
    <w:rsid w:val="00C852BF"/>
    <w:rsid w:val="00C85450"/>
    <w:rsid w:val="00C85A03"/>
    <w:rsid w:val="00C85D52"/>
    <w:rsid w:val="00C8608B"/>
    <w:rsid w:val="00C86442"/>
    <w:rsid w:val="00C8670F"/>
    <w:rsid w:val="00C868B9"/>
    <w:rsid w:val="00C86AB4"/>
    <w:rsid w:val="00C8713B"/>
    <w:rsid w:val="00C873F6"/>
    <w:rsid w:val="00C87452"/>
    <w:rsid w:val="00C877D1"/>
    <w:rsid w:val="00C87A2E"/>
    <w:rsid w:val="00C900C7"/>
    <w:rsid w:val="00C90418"/>
    <w:rsid w:val="00C90466"/>
    <w:rsid w:val="00C905E4"/>
    <w:rsid w:val="00C90694"/>
    <w:rsid w:val="00C90984"/>
    <w:rsid w:val="00C909C1"/>
    <w:rsid w:val="00C90C09"/>
    <w:rsid w:val="00C90CCC"/>
    <w:rsid w:val="00C911D5"/>
    <w:rsid w:val="00C91824"/>
    <w:rsid w:val="00C91861"/>
    <w:rsid w:val="00C91926"/>
    <w:rsid w:val="00C91E8D"/>
    <w:rsid w:val="00C921F5"/>
    <w:rsid w:val="00C92456"/>
    <w:rsid w:val="00C92599"/>
    <w:rsid w:val="00C925FB"/>
    <w:rsid w:val="00C92722"/>
    <w:rsid w:val="00C92953"/>
    <w:rsid w:val="00C92B1A"/>
    <w:rsid w:val="00C931C4"/>
    <w:rsid w:val="00C935BF"/>
    <w:rsid w:val="00C93673"/>
    <w:rsid w:val="00C93B6B"/>
    <w:rsid w:val="00C940AF"/>
    <w:rsid w:val="00C94245"/>
    <w:rsid w:val="00C94A42"/>
    <w:rsid w:val="00C95314"/>
    <w:rsid w:val="00C95401"/>
    <w:rsid w:val="00C95A11"/>
    <w:rsid w:val="00C95AD0"/>
    <w:rsid w:val="00C95ED8"/>
    <w:rsid w:val="00C963C1"/>
    <w:rsid w:val="00C96530"/>
    <w:rsid w:val="00C968F6"/>
    <w:rsid w:val="00C96AA2"/>
    <w:rsid w:val="00C96BF6"/>
    <w:rsid w:val="00C96CC3"/>
    <w:rsid w:val="00C9718C"/>
    <w:rsid w:val="00C973F9"/>
    <w:rsid w:val="00C97617"/>
    <w:rsid w:val="00C97822"/>
    <w:rsid w:val="00C97C16"/>
    <w:rsid w:val="00C97C28"/>
    <w:rsid w:val="00CA0045"/>
    <w:rsid w:val="00CA009F"/>
    <w:rsid w:val="00CA00AA"/>
    <w:rsid w:val="00CA0133"/>
    <w:rsid w:val="00CA0937"/>
    <w:rsid w:val="00CA0D6E"/>
    <w:rsid w:val="00CA0DB7"/>
    <w:rsid w:val="00CA0F98"/>
    <w:rsid w:val="00CA0F9F"/>
    <w:rsid w:val="00CA119C"/>
    <w:rsid w:val="00CA195A"/>
    <w:rsid w:val="00CA1AFE"/>
    <w:rsid w:val="00CA1BD2"/>
    <w:rsid w:val="00CA1F44"/>
    <w:rsid w:val="00CA1FAF"/>
    <w:rsid w:val="00CA1FF9"/>
    <w:rsid w:val="00CA2400"/>
    <w:rsid w:val="00CA248D"/>
    <w:rsid w:val="00CA2640"/>
    <w:rsid w:val="00CA2E17"/>
    <w:rsid w:val="00CA301D"/>
    <w:rsid w:val="00CA30DE"/>
    <w:rsid w:val="00CA3D91"/>
    <w:rsid w:val="00CA3E27"/>
    <w:rsid w:val="00CA4662"/>
    <w:rsid w:val="00CA479B"/>
    <w:rsid w:val="00CA495D"/>
    <w:rsid w:val="00CA4A9F"/>
    <w:rsid w:val="00CA4C08"/>
    <w:rsid w:val="00CA4C79"/>
    <w:rsid w:val="00CA4C8E"/>
    <w:rsid w:val="00CA4E29"/>
    <w:rsid w:val="00CA4F63"/>
    <w:rsid w:val="00CA57D7"/>
    <w:rsid w:val="00CA65FE"/>
    <w:rsid w:val="00CA660A"/>
    <w:rsid w:val="00CA67F2"/>
    <w:rsid w:val="00CA6970"/>
    <w:rsid w:val="00CA6BEA"/>
    <w:rsid w:val="00CA6C45"/>
    <w:rsid w:val="00CA6E27"/>
    <w:rsid w:val="00CA6E2B"/>
    <w:rsid w:val="00CA732B"/>
    <w:rsid w:val="00CA745C"/>
    <w:rsid w:val="00CA79F6"/>
    <w:rsid w:val="00CA7BEC"/>
    <w:rsid w:val="00CA7D1E"/>
    <w:rsid w:val="00CA7E0B"/>
    <w:rsid w:val="00CA7F03"/>
    <w:rsid w:val="00CA7F67"/>
    <w:rsid w:val="00CB01C6"/>
    <w:rsid w:val="00CB01DE"/>
    <w:rsid w:val="00CB023F"/>
    <w:rsid w:val="00CB0319"/>
    <w:rsid w:val="00CB07D2"/>
    <w:rsid w:val="00CB0D5A"/>
    <w:rsid w:val="00CB0EA5"/>
    <w:rsid w:val="00CB127B"/>
    <w:rsid w:val="00CB1721"/>
    <w:rsid w:val="00CB1989"/>
    <w:rsid w:val="00CB1C51"/>
    <w:rsid w:val="00CB1D74"/>
    <w:rsid w:val="00CB1E6F"/>
    <w:rsid w:val="00CB20E3"/>
    <w:rsid w:val="00CB2427"/>
    <w:rsid w:val="00CB257C"/>
    <w:rsid w:val="00CB26FA"/>
    <w:rsid w:val="00CB32C2"/>
    <w:rsid w:val="00CB376B"/>
    <w:rsid w:val="00CB3BC6"/>
    <w:rsid w:val="00CB3DB1"/>
    <w:rsid w:val="00CB4177"/>
    <w:rsid w:val="00CB4275"/>
    <w:rsid w:val="00CB45CF"/>
    <w:rsid w:val="00CB4A46"/>
    <w:rsid w:val="00CB4C0E"/>
    <w:rsid w:val="00CB4C8E"/>
    <w:rsid w:val="00CB4D59"/>
    <w:rsid w:val="00CB5688"/>
    <w:rsid w:val="00CB5A2D"/>
    <w:rsid w:val="00CB5B26"/>
    <w:rsid w:val="00CB5B48"/>
    <w:rsid w:val="00CB5D3F"/>
    <w:rsid w:val="00CB5D7E"/>
    <w:rsid w:val="00CB5E41"/>
    <w:rsid w:val="00CB6A89"/>
    <w:rsid w:val="00CB6B0C"/>
    <w:rsid w:val="00CB6DEB"/>
    <w:rsid w:val="00CB70E3"/>
    <w:rsid w:val="00CB7470"/>
    <w:rsid w:val="00CB7676"/>
    <w:rsid w:val="00CB7A35"/>
    <w:rsid w:val="00CB7AD5"/>
    <w:rsid w:val="00CB7D9B"/>
    <w:rsid w:val="00CB7E7B"/>
    <w:rsid w:val="00CC006F"/>
    <w:rsid w:val="00CC01AC"/>
    <w:rsid w:val="00CC0324"/>
    <w:rsid w:val="00CC0418"/>
    <w:rsid w:val="00CC07A6"/>
    <w:rsid w:val="00CC086A"/>
    <w:rsid w:val="00CC08BC"/>
    <w:rsid w:val="00CC0DB7"/>
    <w:rsid w:val="00CC11B6"/>
    <w:rsid w:val="00CC140A"/>
    <w:rsid w:val="00CC16EA"/>
    <w:rsid w:val="00CC188C"/>
    <w:rsid w:val="00CC1911"/>
    <w:rsid w:val="00CC1A13"/>
    <w:rsid w:val="00CC1BC3"/>
    <w:rsid w:val="00CC1D39"/>
    <w:rsid w:val="00CC1E5B"/>
    <w:rsid w:val="00CC271E"/>
    <w:rsid w:val="00CC2F39"/>
    <w:rsid w:val="00CC3452"/>
    <w:rsid w:val="00CC3C89"/>
    <w:rsid w:val="00CC4183"/>
    <w:rsid w:val="00CC4422"/>
    <w:rsid w:val="00CC4B22"/>
    <w:rsid w:val="00CC50D7"/>
    <w:rsid w:val="00CC526E"/>
    <w:rsid w:val="00CC588F"/>
    <w:rsid w:val="00CC58D8"/>
    <w:rsid w:val="00CC5F64"/>
    <w:rsid w:val="00CC5FE9"/>
    <w:rsid w:val="00CC6070"/>
    <w:rsid w:val="00CC61DA"/>
    <w:rsid w:val="00CC6396"/>
    <w:rsid w:val="00CC6497"/>
    <w:rsid w:val="00CC6520"/>
    <w:rsid w:val="00CC6534"/>
    <w:rsid w:val="00CC6656"/>
    <w:rsid w:val="00CC6997"/>
    <w:rsid w:val="00CC69D1"/>
    <w:rsid w:val="00CC7202"/>
    <w:rsid w:val="00CC7215"/>
    <w:rsid w:val="00CC774E"/>
    <w:rsid w:val="00CC7800"/>
    <w:rsid w:val="00CC782A"/>
    <w:rsid w:val="00CC794B"/>
    <w:rsid w:val="00CC7AF7"/>
    <w:rsid w:val="00CD013C"/>
    <w:rsid w:val="00CD07D1"/>
    <w:rsid w:val="00CD0DB2"/>
    <w:rsid w:val="00CD0FD7"/>
    <w:rsid w:val="00CD1B8C"/>
    <w:rsid w:val="00CD1CF8"/>
    <w:rsid w:val="00CD25C8"/>
    <w:rsid w:val="00CD2BE3"/>
    <w:rsid w:val="00CD2EF6"/>
    <w:rsid w:val="00CD34EB"/>
    <w:rsid w:val="00CD3546"/>
    <w:rsid w:val="00CD3C64"/>
    <w:rsid w:val="00CD40A5"/>
    <w:rsid w:val="00CD423B"/>
    <w:rsid w:val="00CD49E2"/>
    <w:rsid w:val="00CD49EA"/>
    <w:rsid w:val="00CD4A6F"/>
    <w:rsid w:val="00CD4DBB"/>
    <w:rsid w:val="00CD5A0C"/>
    <w:rsid w:val="00CD5BA1"/>
    <w:rsid w:val="00CD5D6A"/>
    <w:rsid w:val="00CD5F82"/>
    <w:rsid w:val="00CD6052"/>
    <w:rsid w:val="00CD60A2"/>
    <w:rsid w:val="00CD612D"/>
    <w:rsid w:val="00CD635A"/>
    <w:rsid w:val="00CD64AC"/>
    <w:rsid w:val="00CD6B13"/>
    <w:rsid w:val="00CD6BC0"/>
    <w:rsid w:val="00CD6CA6"/>
    <w:rsid w:val="00CD6CF3"/>
    <w:rsid w:val="00CD6D3C"/>
    <w:rsid w:val="00CD6F06"/>
    <w:rsid w:val="00CD7212"/>
    <w:rsid w:val="00CD7224"/>
    <w:rsid w:val="00CE0474"/>
    <w:rsid w:val="00CE0A76"/>
    <w:rsid w:val="00CE0A80"/>
    <w:rsid w:val="00CE0AAB"/>
    <w:rsid w:val="00CE0EEE"/>
    <w:rsid w:val="00CE11DF"/>
    <w:rsid w:val="00CE1233"/>
    <w:rsid w:val="00CE12EA"/>
    <w:rsid w:val="00CE13F4"/>
    <w:rsid w:val="00CE16C3"/>
    <w:rsid w:val="00CE1944"/>
    <w:rsid w:val="00CE1BCA"/>
    <w:rsid w:val="00CE20B4"/>
    <w:rsid w:val="00CE236A"/>
    <w:rsid w:val="00CE2473"/>
    <w:rsid w:val="00CE2820"/>
    <w:rsid w:val="00CE28C0"/>
    <w:rsid w:val="00CE2A94"/>
    <w:rsid w:val="00CE2DB8"/>
    <w:rsid w:val="00CE38AA"/>
    <w:rsid w:val="00CE3961"/>
    <w:rsid w:val="00CE4441"/>
    <w:rsid w:val="00CE445B"/>
    <w:rsid w:val="00CE44A1"/>
    <w:rsid w:val="00CE47BA"/>
    <w:rsid w:val="00CE47EE"/>
    <w:rsid w:val="00CE49C9"/>
    <w:rsid w:val="00CE4B07"/>
    <w:rsid w:val="00CE4C78"/>
    <w:rsid w:val="00CE5107"/>
    <w:rsid w:val="00CE51B0"/>
    <w:rsid w:val="00CE5345"/>
    <w:rsid w:val="00CE551A"/>
    <w:rsid w:val="00CE570E"/>
    <w:rsid w:val="00CE58B6"/>
    <w:rsid w:val="00CE58C1"/>
    <w:rsid w:val="00CE5DBF"/>
    <w:rsid w:val="00CE5E55"/>
    <w:rsid w:val="00CE5ED2"/>
    <w:rsid w:val="00CE6543"/>
    <w:rsid w:val="00CE6574"/>
    <w:rsid w:val="00CE6B22"/>
    <w:rsid w:val="00CE6B6A"/>
    <w:rsid w:val="00CE71B1"/>
    <w:rsid w:val="00CE724C"/>
    <w:rsid w:val="00CE7258"/>
    <w:rsid w:val="00CE743B"/>
    <w:rsid w:val="00CE74F2"/>
    <w:rsid w:val="00CE7BD2"/>
    <w:rsid w:val="00CF05C5"/>
    <w:rsid w:val="00CF09E3"/>
    <w:rsid w:val="00CF0BDB"/>
    <w:rsid w:val="00CF0F46"/>
    <w:rsid w:val="00CF1546"/>
    <w:rsid w:val="00CF15BD"/>
    <w:rsid w:val="00CF1D18"/>
    <w:rsid w:val="00CF1DBE"/>
    <w:rsid w:val="00CF1F7F"/>
    <w:rsid w:val="00CF225C"/>
    <w:rsid w:val="00CF23B1"/>
    <w:rsid w:val="00CF276B"/>
    <w:rsid w:val="00CF29CE"/>
    <w:rsid w:val="00CF29E2"/>
    <w:rsid w:val="00CF2D0E"/>
    <w:rsid w:val="00CF2E1B"/>
    <w:rsid w:val="00CF2E5F"/>
    <w:rsid w:val="00CF3044"/>
    <w:rsid w:val="00CF31B7"/>
    <w:rsid w:val="00CF3293"/>
    <w:rsid w:val="00CF32F4"/>
    <w:rsid w:val="00CF3887"/>
    <w:rsid w:val="00CF3AEF"/>
    <w:rsid w:val="00CF3D0F"/>
    <w:rsid w:val="00CF3FCE"/>
    <w:rsid w:val="00CF410C"/>
    <w:rsid w:val="00CF42BF"/>
    <w:rsid w:val="00CF465A"/>
    <w:rsid w:val="00CF47D5"/>
    <w:rsid w:val="00CF4AA9"/>
    <w:rsid w:val="00CF4AB6"/>
    <w:rsid w:val="00CF52E0"/>
    <w:rsid w:val="00CF5477"/>
    <w:rsid w:val="00CF5ACD"/>
    <w:rsid w:val="00CF5E49"/>
    <w:rsid w:val="00CF5F76"/>
    <w:rsid w:val="00CF62EC"/>
    <w:rsid w:val="00CF6549"/>
    <w:rsid w:val="00CF6782"/>
    <w:rsid w:val="00CF695A"/>
    <w:rsid w:val="00CF6A19"/>
    <w:rsid w:val="00CF6C68"/>
    <w:rsid w:val="00CF6FBB"/>
    <w:rsid w:val="00CF7148"/>
    <w:rsid w:val="00CF72C6"/>
    <w:rsid w:val="00CF735D"/>
    <w:rsid w:val="00CF755A"/>
    <w:rsid w:val="00CF762A"/>
    <w:rsid w:val="00CF76AE"/>
    <w:rsid w:val="00CF7C81"/>
    <w:rsid w:val="00CF7D15"/>
    <w:rsid w:val="00D00389"/>
    <w:rsid w:val="00D00478"/>
    <w:rsid w:val="00D00CAC"/>
    <w:rsid w:val="00D00E0D"/>
    <w:rsid w:val="00D00E79"/>
    <w:rsid w:val="00D00F31"/>
    <w:rsid w:val="00D011DB"/>
    <w:rsid w:val="00D0186E"/>
    <w:rsid w:val="00D0213A"/>
    <w:rsid w:val="00D02628"/>
    <w:rsid w:val="00D0283D"/>
    <w:rsid w:val="00D02BED"/>
    <w:rsid w:val="00D033DC"/>
    <w:rsid w:val="00D037AE"/>
    <w:rsid w:val="00D037D5"/>
    <w:rsid w:val="00D039A6"/>
    <w:rsid w:val="00D03A42"/>
    <w:rsid w:val="00D03BCF"/>
    <w:rsid w:val="00D03D1B"/>
    <w:rsid w:val="00D0406D"/>
    <w:rsid w:val="00D043C9"/>
    <w:rsid w:val="00D044A1"/>
    <w:rsid w:val="00D047FB"/>
    <w:rsid w:val="00D04945"/>
    <w:rsid w:val="00D0496E"/>
    <w:rsid w:val="00D04AE3"/>
    <w:rsid w:val="00D04B1B"/>
    <w:rsid w:val="00D051B7"/>
    <w:rsid w:val="00D05436"/>
    <w:rsid w:val="00D0555B"/>
    <w:rsid w:val="00D055B0"/>
    <w:rsid w:val="00D056B9"/>
    <w:rsid w:val="00D059AF"/>
    <w:rsid w:val="00D05D35"/>
    <w:rsid w:val="00D05F0F"/>
    <w:rsid w:val="00D064F8"/>
    <w:rsid w:val="00D06956"/>
    <w:rsid w:val="00D06B44"/>
    <w:rsid w:val="00D06CE4"/>
    <w:rsid w:val="00D06D15"/>
    <w:rsid w:val="00D06D19"/>
    <w:rsid w:val="00D06F67"/>
    <w:rsid w:val="00D072DE"/>
    <w:rsid w:val="00D07403"/>
    <w:rsid w:val="00D074EC"/>
    <w:rsid w:val="00D075C1"/>
    <w:rsid w:val="00D07780"/>
    <w:rsid w:val="00D07AA6"/>
    <w:rsid w:val="00D07DA1"/>
    <w:rsid w:val="00D07E1B"/>
    <w:rsid w:val="00D10343"/>
    <w:rsid w:val="00D10407"/>
    <w:rsid w:val="00D1049C"/>
    <w:rsid w:val="00D105E2"/>
    <w:rsid w:val="00D10CA6"/>
    <w:rsid w:val="00D10D4C"/>
    <w:rsid w:val="00D10EF6"/>
    <w:rsid w:val="00D1100E"/>
    <w:rsid w:val="00D11F30"/>
    <w:rsid w:val="00D11FAB"/>
    <w:rsid w:val="00D1234D"/>
    <w:rsid w:val="00D12DC6"/>
    <w:rsid w:val="00D12FCD"/>
    <w:rsid w:val="00D13252"/>
    <w:rsid w:val="00D1343E"/>
    <w:rsid w:val="00D1350E"/>
    <w:rsid w:val="00D1367D"/>
    <w:rsid w:val="00D137CA"/>
    <w:rsid w:val="00D139BB"/>
    <w:rsid w:val="00D139EE"/>
    <w:rsid w:val="00D13B7F"/>
    <w:rsid w:val="00D13C07"/>
    <w:rsid w:val="00D13D9B"/>
    <w:rsid w:val="00D13DE6"/>
    <w:rsid w:val="00D1417C"/>
    <w:rsid w:val="00D141A2"/>
    <w:rsid w:val="00D14259"/>
    <w:rsid w:val="00D1435D"/>
    <w:rsid w:val="00D143F4"/>
    <w:rsid w:val="00D14444"/>
    <w:rsid w:val="00D1486F"/>
    <w:rsid w:val="00D148D7"/>
    <w:rsid w:val="00D1493E"/>
    <w:rsid w:val="00D14968"/>
    <w:rsid w:val="00D1498F"/>
    <w:rsid w:val="00D1509A"/>
    <w:rsid w:val="00D1536D"/>
    <w:rsid w:val="00D153E8"/>
    <w:rsid w:val="00D1551A"/>
    <w:rsid w:val="00D1572E"/>
    <w:rsid w:val="00D1603E"/>
    <w:rsid w:val="00D167B0"/>
    <w:rsid w:val="00D169C0"/>
    <w:rsid w:val="00D171D2"/>
    <w:rsid w:val="00D1735B"/>
    <w:rsid w:val="00D175A0"/>
    <w:rsid w:val="00D17C15"/>
    <w:rsid w:val="00D17F64"/>
    <w:rsid w:val="00D20257"/>
    <w:rsid w:val="00D20331"/>
    <w:rsid w:val="00D204B0"/>
    <w:rsid w:val="00D207B7"/>
    <w:rsid w:val="00D20B3E"/>
    <w:rsid w:val="00D20E3E"/>
    <w:rsid w:val="00D210F0"/>
    <w:rsid w:val="00D21A67"/>
    <w:rsid w:val="00D21A82"/>
    <w:rsid w:val="00D21BA8"/>
    <w:rsid w:val="00D21D3F"/>
    <w:rsid w:val="00D221DA"/>
    <w:rsid w:val="00D22248"/>
    <w:rsid w:val="00D2246A"/>
    <w:rsid w:val="00D2265D"/>
    <w:rsid w:val="00D23054"/>
    <w:rsid w:val="00D231F7"/>
    <w:rsid w:val="00D23470"/>
    <w:rsid w:val="00D23C29"/>
    <w:rsid w:val="00D23EF9"/>
    <w:rsid w:val="00D24746"/>
    <w:rsid w:val="00D24B40"/>
    <w:rsid w:val="00D24B68"/>
    <w:rsid w:val="00D25068"/>
    <w:rsid w:val="00D25275"/>
    <w:rsid w:val="00D25382"/>
    <w:rsid w:val="00D2565B"/>
    <w:rsid w:val="00D257A5"/>
    <w:rsid w:val="00D258CC"/>
    <w:rsid w:val="00D25A01"/>
    <w:rsid w:val="00D25AEB"/>
    <w:rsid w:val="00D25CCE"/>
    <w:rsid w:val="00D2638B"/>
    <w:rsid w:val="00D2638D"/>
    <w:rsid w:val="00D2652F"/>
    <w:rsid w:val="00D26686"/>
    <w:rsid w:val="00D268A9"/>
    <w:rsid w:val="00D26DD7"/>
    <w:rsid w:val="00D26EE8"/>
    <w:rsid w:val="00D27271"/>
    <w:rsid w:val="00D279DE"/>
    <w:rsid w:val="00D27B33"/>
    <w:rsid w:val="00D27B59"/>
    <w:rsid w:val="00D30119"/>
    <w:rsid w:val="00D30796"/>
    <w:rsid w:val="00D30BE6"/>
    <w:rsid w:val="00D3109A"/>
    <w:rsid w:val="00D3121D"/>
    <w:rsid w:val="00D31229"/>
    <w:rsid w:val="00D3124A"/>
    <w:rsid w:val="00D31340"/>
    <w:rsid w:val="00D31691"/>
    <w:rsid w:val="00D318BB"/>
    <w:rsid w:val="00D31A97"/>
    <w:rsid w:val="00D31AD8"/>
    <w:rsid w:val="00D31EC9"/>
    <w:rsid w:val="00D323CC"/>
    <w:rsid w:val="00D323CF"/>
    <w:rsid w:val="00D323F5"/>
    <w:rsid w:val="00D32546"/>
    <w:rsid w:val="00D325C4"/>
    <w:rsid w:val="00D3261A"/>
    <w:rsid w:val="00D3276C"/>
    <w:rsid w:val="00D32778"/>
    <w:rsid w:val="00D327A3"/>
    <w:rsid w:val="00D328DA"/>
    <w:rsid w:val="00D32A05"/>
    <w:rsid w:val="00D32D18"/>
    <w:rsid w:val="00D32DD0"/>
    <w:rsid w:val="00D3308B"/>
    <w:rsid w:val="00D330A4"/>
    <w:rsid w:val="00D330ED"/>
    <w:rsid w:val="00D3324B"/>
    <w:rsid w:val="00D337D6"/>
    <w:rsid w:val="00D33B43"/>
    <w:rsid w:val="00D33C56"/>
    <w:rsid w:val="00D33C6B"/>
    <w:rsid w:val="00D33FE0"/>
    <w:rsid w:val="00D34365"/>
    <w:rsid w:val="00D346CE"/>
    <w:rsid w:val="00D347ED"/>
    <w:rsid w:val="00D34814"/>
    <w:rsid w:val="00D34858"/>
    <w:rsid w:val="00D34E74"/>
    <w:rsid w:val="00D34F22"/>
    <w:rsid w:val="00D35035"/>
    <w:rsid w:val="00D350BA"/>
    <w:rsid w:val="00D352FC"/>
    <w:rsid w:val="00D354F9"/>
    <w:rsid w:val="00D35B68"/>
    <w:rsid w:val="00D3672D"/>
    <w:rsid w:val="00D36CDB"/>
    <w:rsid w:val="00D36FE1"/>
    <w:rsid w:val="00D3708F"/>
    <w:rsid w:val="00D37276"/>
    <w:rsid w:val="00D3749E"/>
    <w:rsid w:val="00D37C37"/>
    <w:rsid w:val="00D37CF1"/>
    <w:rsid w:val="00D37EC8"/>
    <w:rsid w:val="00D4024A"/>
    <w:rsid w:val="00D4027E"/>
    <w:rsid w:val="00D4062E"/>
    <w:rsid w:val="00D407D0"/>
    <w:rsid w:val="00D40C44"/>
    <w:rsid w:val="00D40D04"/>
    <w:rsid w:val="00D40E35"/>
    <w:rsid w:val="00D40EB2"/>
    <w:rsid w:val="00D40FAE"/>
    <w:rsid w:val="00D41170"/>
    <w:rsid w:val="00D412AF"/>
    <w:rsid w:val="00D415FB"/>
    <w:rsid w:val="00D418A4"/>
    <w:rsid w:val="00D41D7A"/>
    <w:rsid w:val="00D41F17"/>
    <w:rsid w:val="00D4220E"/>
    <w:rsid w:val="00D42994"/>
    <w:rsid w:val="00D42999"/>
    <w:rsid w:val="00D429D1"/>
    <w:rsid w:val="00D42D20"/>
    <w:rsid w:val="00D42E9C"/>
    <w:rsid w:val="00D42F05"/>
    <w:rsid w:val="00D430C4"/>
    <w:rsid w:val="00D43171"/>
    <w:rsid w:val="00D431F7"/>
    <w:rsid w:val="00D43534"/>
    <w:rsid w:val="00D43820"/>
    <w:rsid w:val="00D43DB8"/>
    <w:rsid w:val="00D43EF7"/>
    <w:rsid w:val="00D441C9"/>
    <w:rsid w:val="00D443BD"/>
    <w:rsid w:val="00D44689"/>
    <w:rsid w:val="00D44691"/>
    <w:rsid w:val="00D448B1"/>
    <w:rsid w:val="00D452FC"/>
    <w:rsid w:val="00D4562A"/>
    <w:rsid w:val="00D4567F"/>
    <w:rsid w:val="00D45879"/>
    <w:rsid w:val="00D45D8C"/>
    <w:rsid w:val="00D45E58"/>
    <w:rsid w:val="00D45F15"/>
    <w:rsid w:val="00D470AE"/>
    <w:rsid w:val="00D47277"/>
    <w:rsid w:val="00D473B6"/>
    <w:rsid w:val="00D47504"/>
    <w:rsid w:val="00D4760F"/>
    <w:rsid w:val="00D47674"/>
    <w:rsid w:val="00D47A5A"/>
    <w:rsid w:val="00D47D4A"/>
    <w:rsid w:val="00D47D80"/>
    <w:rsid w:val="00D50617"/>
    <w:rsid w:val="00D50784"/>
    <w:rsid w:val="00D507B7"/>
    <w:rsid w:val="00D50813"/>
    <w:rsid w:val="00D5085C"/>
    <w:rsid w:val="00D5087E"/>
    <w:rsid w:val="00D509C6"/>
    <w:rsid w:val="00D51068"/>
    <w:rsid w:val="00D5161F"/>
    <w:rsid w:val="00D51933"/>
    <w:rsid w:val="00D51A40"/>
    <w:rsid w:val="00D51A80"/>
    <w:rsid w:val="00D51EEA"/>
    <w:rsid w:val="00D5222B"/>
    <w:rsid w:val="00D52250"/>
    <w:rsid w:val="00D524CB"/>
    <w:rsid w:val="00D52554"/>
    <w:rsid w:val="00D52783"/>
    <w:rsid w:val="00D5280C"/>
    <w:rsid w:val="00D52853"/>
    <w:rsid w:val="00D528D2"/>
    <w:rsid w:val="00D52B1C"/>
    <w:rsid w:val="00D52F09"/>
    <w:rsid w:val="00D52FF0"/>
    <w:rsid w:val="00D531B9"/>
    <w:rsid w:val="00D5325D"/>
    <w:rsid w:val="00D53681"/>
    <w:rsid w:val="00D53760"/>
    <w:rsid w:val="00D53BD0"/>
    <w:rsid w:val="00D53DC3"/>
    <w:rsid w:val="00D53FD3"/>
    <w:rsid w:val="00D54264"/>
    <w:rsid w:val="00D544AC"/>
    <w:rsid w:val="00D549A4"/>
    <w:rsid w:val="00D54CFF"/>
    <w:rsid w:val="00D5504F"/>
    <w:rsid w:val="00D550CD"/>
    <w:rsid w:val="00D5538E"/>
    <w:rsid w:val="00D553A3"/>
    <w:rsid w:val="00D55805"/>
    <w:rsid w:val="00D55B9E"/>
    <w:rsid w:val="00D55D09"/>
    <w:rsid w:val="00D5657D"/>
    <w:rsid w:val="00D565C8"/>
    <w:rsid w:val="00D56637"/>
    <w:rsid w:val="00D567C9"/>
    <w:rsid w:val="00D56A09"/>
    <w:rsid w:val="00D579E9"/>
    <w:rsid w:val="00D57F25"/>
    <w:rsid w:val="00D601EA"/>
    <w:rsid w:val="00D602C3"/>
    <w:rsid w:val="00D607F1"/>
    <w:rsid w:val="00D60BA8"/>
    <w:rsid w:val="00D611E5"/>
    <w:rsid w:val="00D612C6"/>
    <w:rsid w:val="00D61FC2"/>
    <w:rsid w:val="00D620E7"/>
    <w:rsid w:val="00D6245F"/>
    <w:rsid w:val="00D627EB"/>
    <w:rsid w:val="00D627F3"/>
    <w:rsid w:val="00D62811"/>
    <w:rsid w:val="00D6284B"/>
    <w:rsid w:val="00D62D8E"/>
    <w:rsid w:val="00D62E7A"/>
    <w:rsid w:val="00D62E87"/>
    <w:rsid w:val="00D62F02"/>
    <w:rsid w:val="00D63110"/>
    <w:rsid w:val="00D63149"/>
    <w:rsid w:val="00D6383B"/>
    <w:rsid w:val="00D63C08"/>
    <w:rsid w:val="00D6436E"/>
    <w:rsid w:val="00D643A3"/>
    <w:rsid w:val="00D64989"/>
    <w:rsid w:val="00D64A23"/>
    <w:rsid w:val="00D64D63"/>
    <w:rsid w:val="00D64E15"/>
    <w:rsid w:val="00D64EFA"/>
    <w:rsid w:val="00D654A6"/>
    <w:rsid w:val="00D6556D"/>
    <w:rsid w:val="00D65592"/>
    <w:rsid w:val="00D657B7"/>
    <w:rsid w:val="00D657C3"/>
    <w:rsid w:val="00D65A81"/>
    <w:rsid w:val="00D65C6C"/>
    <w:rsid w:val="00D6657D"/>
    <w:rsid w:val="00D66AEF"/>
    <w:rsid w:val="00D66BDD"/>
    <w:rsid w:val="00D671CA"/>
    <w:rsid w:val="00D67527"/>
    <w:rsid w:val="00D676C0"/>
    <w:rsid w:val="00D67893"/>
    <w:rsid w:val="00D67AB0"/>
    <w:rsid w:val="00D67ABB"/>
    <w:rsid w:val="00D67E13"/>
    <w:rsid w:val="00D67EC5"/>
    <w:rsid w:val="00D70124"/>
    <w:rsid w:val="00D701D3"/>
    <w:rsid w:val="00D70242"/>
    <w:rsid w:val="00D702AD"/>
    <w:rsid w:val="00D702AF"/>
    <w:rsid w:val="00D70548"/>
    <w:rsid w:val="00D7085B"/>
    <w:rsid w:val="00D71C8D"/>
    <w:rsid w:val="00D71D64"/>
    <w:rsid w:val="00D71D82"/>
    <w:rsid w:val="00D723CF"/>
    <w:rsid w:val="00D72649"/>
    <w:rsid w:val="00D72664"/>
    <w:rsid w:val="00D7283A"/>
    <w:rsid w:val="00D728B2"/>
    <w:rsid w:val="00D72BC1"/>
    <w:rsid w:val="00D72D06"/>
    <w:rsid w:val="00D72D13"/>
    <w:rsid w:val="00D7329E"/>
    <w:rsid w:val="00D7366E"/>
    <w:rsid w:val="00D73AB9"/>
    <w:rsid w:val="00D73DE8"/>
    <w:rsid w:val="00D73EB3"/>
    <w:rsid w:val="00D74A79"/>
    <w:rsid w:val="00D74B71"/>
    <w:rsid w:val="00D75676"/>
    <w:rsid w:val="00D75808"/>
    <w:rsid w:val="00D75AEC"/>
    <w:rsid w:val="00D75B18"/>
    <w:rsid w:val="00D75EF6"/>
    <w:rsid w:val="00D7606A"/>
    <w:rsid w:val="00D7626B"/>
    <w:rsid w:val="00D76A13"/>
    <w:rsid w:val="00D76B5E"/>
    <w:rsid w:val="00D76C2F"/>
    <w:rsid w:val="00D76C47"/>
    <w:rsid w:val="00D76D67"/>
    <w:rsid w:val="00D77008"/>
    <w:rsid w:val="00D77438"/>
    <w:rsid w:val="00D77462"/>
    <w:rsid w:val="00D7769F"/>
    <w:rsid w:val="00D776D1"/>
    <w:rsid w:val="00D77997"/>
    <w:rsid w:val="00D77CDA"/>
    <w:rsid w:val="00D804B8"/>
    <w:rsid w:val="00D806A1"/>
    <w:rsid w:val="00D80D5F"/>
    <w:rsid w:val="00D81675"/>
    <w:rsid w:val="00D82160"/>
    <w:rsid w:val="00D823F2"/>
    <w:rsid w:val="00D82443"/>
    <w:rsid w:val="00D82584"/>
    <w:rsid w:val="00D827B9"/>
    <w:rsid w:val="00D82D94"/>
    <w:rsid w:val="00D8300A"/>
    <w:rsid w:val="00D836A2"/>
    <w:rsid w:val="00D8375D"/>
    <w:rsid w:val="00D8384F"/>
    <w:rsid w:val="00D84237"/>
    <w:rsid w:val="00D842D7"/>
    <w:rsid w:val="00D843BF"/>
    <w:rsid w:val="00D844B3"/>
    <w:rsid w:val="00D84AB3"/>
    <w:rsid w:val="00D84B16"/>
    <w:rsid w:val="00D84EE7"/>
    <w:rsid w:val="00D8503C"/>
    <w:rsid w:val="00D8515B"/>
    <w:rsid w:val="00D852A0"/>
    <w:rsid w:val="00D852DB"/>
    <w:rsid w:val="00D85353"/>
    <w:rsid w:val="00D855DB"/>
    <w:rsid w:val="00D85940"/>
    <w:rsid w:val="00D85B40"/>
    <w:rsid w:val="00D85C1C"/>
    <w:rsid w:val="00D86197"/>
    <w:rsid w:val="00D8628A"/>
    <w:rsid w:val="00D863A9"/>
    <w:rsid w:val="00D867BF"/>
    <w:rsid w:val="00D86843"/>
    <w:rsid w:val="00D86E4C"/>
    <w:rsid w:val="00D86E6D"/>
    <w:rsid w:val="00D876E0"/>
    <w:rsid w:val="00D87841"/>
    <w:rsid w:val="00D87C3A"/>
    <w:rsid w:val="00D87D22"/>
    <w:rsid w:val="00D87E3C"/>
    <w:rsid w:val="00D905FE"/>
    <w:rsid w:val="00D914A9"/>
    <w:rsid w:val="00D91621"/>
    <w:rsid w:val="00D916CC"/>
    <w:rsid w:val="00D91C73"/>
    <w:rsid w:val="00D91CE5"/>
    <w:rsid w:val="00D91CEA"/>
    <w:rsid w:val="00D91D7B"/>
    <w:rsid w:val="00D9211C"/>
    <w:rsid w:val="00D923F9"/>
    <w:rsid w:val="00D92641"/>
    <w:rsid w:val="00D92814"/>
    <w:rsid w:val="00D9291B"/>
    <w:rsid w:val="00D929C8"/>
    <w:rsid w:val="00D92AAC"/>
    <w:rsid w:val="00D92BE9"/>
    <w:rsid w:val="00D92E3C"/>
    <w:rsid w:val="00D92EC4"/>
    <w:rsid w:val="00D92F28"/>
    <w:rsid w:val="00D931B9"/>
    <w:rsid w:val="00D931C3"/>
    <w:rsid w:val="00D9320F"/>
    <w:rsid w:val="00D93317"/>
    <w:rsid w:val="00D9344D"/>
    <w:rsid w:val="00D93651"/>
    <w:rsid w:val="00D938AE"/>
    <w:rsid w:val="00D93AB0"/>
    <w:rsid w:val="00D93B3E"/>
    <w:rsid w:val="00D93B46"/>
    <w:rsid w:val="00D93BF3"/>
    <w:rsid w:val="00D93C17"/>
    <w:rsid w:val="00D944B1"/>
    <w:rsid w:val="00D94DA3"/>
    <w:rsid w:val="00D950D3"/>
    <w:rsid w:val="00D952D2"/>
    <w:rsid w:val="00D95552"/>
    <w:rsid w:val="00D9569F"/>
    <w:rsid w:val="00D95812"/>
    <w:rsid w:val="00D95F25"/>
    <w:rsid w:val="00D96649"/>
    <w:rsid w:val="00D96746"/>
    <w:rsid w:val="00D9684C"/>
    <w:rsid w:val="00D96905"/>
    <w:rsid w:val="00D96C4E"/>
    <w:rsid w:val="00D97277"/>
    <w:rsid w:val="00D974D0"/>
    <w:rsid w:val="00D9781B"/>
    <w:rsid w:val="00D97A3D"/>
    <w:rsid w:val="00DA05C9"/>
    <w:rsid w:val="00DA069A"/>
    <w:rsid w:val="00DA09BD"/>
    <w:rsid w:val="00DA0A28"/>
    <w:rsid w:val="00DA0D7E"/>
    <w:rsid w:val="00DA0FEB"/>
    <w:rsid w:val="00DA12E9"/>
    <w:rsid w:val="00DA1590"/>
    <w:rsid w:val="00DA1CA7"/>
    <w:rsid w:val="00DA2271"/>
    <w:rsid w:val="00DA233E"/>
    <w:rsid w:val="00DA258E"/>
    <w:rsid w:val="00DA27C7"/>
    <w:rsid w:val="00DA2C6B"/>
    <w:rsid w:val="00DA2E99"/>
    <w:rsid w:val="00DA3007"/>
    <w:rsid w:val="00DA3237"/>
    <w:rsid w:val="00DA3678"/>
    <w:rsid w:val="00DA37EF"/>
    <w:rsid w:val="00DA3A03"/>
    <w:rsid w:val="00DA3ECA"/>
    <w:rsid w:val="00DA3EDD"/>
    <w:rsid w:val="00DA41E4"/>
    <w:rsid w:val="00DA42F6"/>
    <w:rsid w:val="00DA43CD"/>
    <w:rsid w:val="00DA44DC"/>
    <w:rsid w:val="00DA499D"/>
    <w:rsid w:val="00DA4DF2"/>
    <w:rsid w:val="00DA5187"/>
    <w:rsid w:val="00DA52CF"/>
    <w:rsid w:val="00DA53D3"/>
    <w:rsid w:val="00DA57A5"/>
    <w:rsid w:val="00DA5A41"/>
    <w:rsid w:val="00DA5ED4"/>
    <w:rsid w:val="00DA5F37"/>
    <w:rsid w:val="00DA5F80"/>
    <w:rsid w:val="00DA62A4"/>
    <w:rsid w:val="00DA6312"/>
    <w:rsid w:val="00DA63F6"/>
    <w:rsid w:val="00DA64B1"/>
    <w:rsid w:val="00DA6624"/>
    <w:rsid w:val="00DA6932"/>
    <w:rsid w:val="00DA6A8C"/>
    <w:rsid w:val="00DA6D1C"/>
    <w:rsid w:val="00DA7128"/>
    <w:rsid w:val="00DA7212"/>
    <w:rsid w:val="00DA747E"/>
    <w:rsid w:val="00DA75F5"/>
    <w:rsid w:val="00DA771F"/>
    <w:rsid w:val="00DA7A2E"/>
    <w:rsid w:val="00DA7D7F"/>
    <w:rsid w:val="00DA7DE2"/>
    <w:rsid w:val="00DA7E29"/>
    <w:rsid w:val="00DB0629"/>
    <w:rsid w:val="00DB0A6F"/>
    <w:rsid w:val="00DB0CE8"/>
    <w:rsid w:val="00DB10F4"/>
    <w:rsid w:val="00DB1100"/>
    <w:rsid w:val="00DB12F9"/>
    <w:rsid w:val="00DB1399"/>
    <w:rsid w:val="00DB1497"/>
    <w:rsid w:val="00DB1ADD"/>
    <w:rsid w:val="00DB1C20"/>
    <w:rsid w:val="00DB1D38"/>
    <w:rsid w:val="00DB1EB3"/>
    <w:rsid w:val="00DB201F"/>
    <w:rsid w:val="00DB209C"/>
    <w:rsid w:val="00DB268C"/>
    <w:rsid w:val="00DB2C4C"/>
    <w:rsid w:val="00DB2DCD"/>
    <w:rsid w:val="00DB31A8"/>
    <w:rsid w:val="00DB3377"/>
    <w:rsid w:val="00DB35FC"/>
    <w:rsid w:val="00DB3762"/>
    <w:rsid w:val="00DB3777"/>
    <w:rsid w:val="00DB3E37"/>
    <w:rsid w:val="00DB3F0C"/>
    <w:rsid w:val="00DB3F75"/>
    <w:rsid w:val="00DB41BA"/>
    <w:rsid w:val="00DB4890"/>
    <w:rsid w:val="00DB4A75"/>
    <w:rsid w:val="00DB4AE0"/>
    <w:rsid w:val="00DB4B42"/>
    <w:rsid w:val="00DB529D"/>
    <w:rsid w:val="00DB5319"/>
    <w:rsid w:val="00DB5337"/>
    <w:rsid w:val="00DB596E"/>
    <w:rsid w:val="00DB597E"/>
    <w:rsid w:val="00DB5CF1"/>
    <w:rsid w:val="00DB5E0C"/>
    <w:rsid w:val="00DB6090"/>
    <w:rsid w:val="00DB64F1"/>
    <w:rsid w:val="00DB68D8"/>
    <w:rsid w:val="00DB6C84"/>
    <w:rsid w:val="00DB6CA0"/>
    <w:rsid w:val="00DB6CF8"/>
    <w:rsid w:val="00DB7013"/>
    <w:rsid w:val="00DB7443"/>
    <w:rsid w:val="00DB7466"/>
    <w:rsid w:val="00DB7814"/>
    <w:rsid w:val="00DB7837"/>
    <w:rsid w:val="00DB7FBC"/>
    <w:rsid w:val="00DC0467"/>
    <w:rsid w:val="00DC0882"/>
    <w:rsid w:val="00DC0EB7"/>
    <w:rsid w:val="00DC0F5E"/>
    <w:rsid w:val="00DC11D0"/>
    <w:rsid w:val="00DC1403"/>
    <w:rsid w:val="00DC1872"/>
    <w:rsid w:val="00DC1C09"/>
    <w:rsid w:val="00DC1E94"/>
    <w:rsid w:val="00DC1EFA"/>
    <w:rsid w:val="00DC22C9"/>
    <w:rsid w:val="00DC30B5"/>
    <w:rsid w:val="00DC3678"/>
    <w:rsid w:val="00DC36C4"/>
    <w:rsid w:val="00DC382A"/>
    <w:rsid w:val="00DC3A9D"/>
    <w:rsid w:val="00DC3B23"/>
    <w:rsid w:val="00DC3BBD"/>
    <w:rsid w:val="00DC3DA1"/>
    <w:rsid w:val="00DC402D"/>
    <w:rsid w:val="00DC40FC"/>
    <w:rsid w:val="00DC4386"/>
    <w:rsid w:val="00DC4674"/>
    <w:rsid w:val="00DC49C6"/>
    <w:rsid w:val="00DC4D3E"/>
    <w:rsid w:val="00DC53CB"/>
    <w:rsid w:val="00DC5A13"/>
    <w:rsid w:val="00DC5B95"/>
    <w:rsid w:val="00DC5F89"/>
    <w:rsid w:val="00DC6152"/>
    <w:rsid w:val="00DC622C"/>
    <w:rsid w:val="00DC622D"/>
    <w:rsid w:val="00DC63E8"/>
    <w:rsid w:val="00DC645C"/>
    <w:rsid w:val="00DC673E"/>
    <w:rsid w:val="00DC6B68"/>
    <w:rsid w:val="00DC6BEF"/>
    <w:rsid w:val="00DC6C19"/>
    <w:rsid w:val="00DC6F96"/>
    <w:rsid w:val="00DC6F9C"/>
    <w:rsid w:val="00DC70D1"/>
    <w:rsid w:val="00DC72EA"/>
    <w:rsid w:val="00DC7696"/>
    <w:rsid w:val="00DC7784"/>
    <w:rsid w:val="00DC786E"/>
    <w:rsid w:val="00DC79C9"/>
    <w:rsid w:val="00DC7C0B"/>
    <w:rsid w:val="00DC7F5E"/>
    <w:rsid w:val="00DD022C"/>
    <w:rsid w:val="00DD0642"/>
    <w:rsid w:val="00DD077F"/>
    <w:rsid w:val="00DD0B23"/>
    <w:rsid w:val="00DD0BFD"/>
    <w:rsid w:val="00DD0D86"/>
    <w:rsid w:val="00DD0E58"/>
    <w:rsid w:val="00DD1728"/>
    <w:rsid w:val="00DD18AC"/>
    <w:rsid w:val="00DD1A96"/>
    <w:rsid w:val="00DD1D7D"/>
    <w:rsid w:val="00DD25E8"/>
    <w:rsid w:val="00DD2CF2"/>
    <w:rsid w:val="00DD2E4A"/>
    <w:rsid w:val="00DD3355"/>
    <w:rsid w:val="00DD355C"/>
    <w:rsid w:val="00DD3B4E"/>
    <w:rsid w:val="00DD41F5"/>
    <w:rsid w:val="00DD4232"/>
    <w:rsid w:val="00DD4445"/>
    <w:rsid w:val="00DD4AD4"/>
    <w:rsid w:val="00DD4B65"/>
    <w:rsid w:val="00DD4D19"/>
    <w:rsid w:val="00DD5019"/>
    <w:rsid w:val="00DD5208"/>
    <w:rsid w:val="00DD5226"/>
    <w:rsid w:val="00DD593E"/>
    <w:rsid w:val="00DD6197"/>
    <w:rsid w:val="00DD635C"/>
    <w:rsid w:val="00DD6637"/>
    <w:rsid w:val="00DD68ED"/>
    <w:rsid w:val="00DD69D0"/>
    <w:rsid w:val="00DD69EC"/>
    <w:rsid w:val="00DD6A31"/>
    <w:rsid w:val="00DD6A38"/>
    <w:rsid w:val="00DD6B21"/>
    <w:rsid w:val="00DD71C6"/>
    <w:rsid w:val="00DD73AD"/>
    <w:rsid w:val="00DD74E6"/>
    <w:rsid w:val="00DD755B"/>
    <w:rsid w:val="00DD75E5"/>
    <w:rsid w:val="00DD77DC"/>
    <w:rsid w:val="00DD7967"/>
    <w:rsid w:val="00DD7CAF"/>
    <w:rsid w:val="00DD7D29"/>
    <w:rsid w:val="00DE022E"/>
    <w:rsid w:val="00DE03AF"/>
    <w:rsid w:val="00DE090E"/>
    <w:rsid w:val="00DE0AC4"/>
    <w:rsid w:val="00DE0F15"/>
    <w:rsid w:val="00DE10EE"/>
    <w:rsid w:val="00DE19EA"/>
    <w:rsid w:val="00DE2276"/>
    <w:rsid w:val="00DE253F"/>
    <w:rsid w:val="00DE2677"/>
    <w:rsid w:val="00DE2DE7"/>
    <w:rsid w:val="00DE3DFB"/>
    <w:rsid w:val="00DE3E37"/>
    <w:rsid w:val="00DE3FDB"/>
    <w:rsid w:val="00DE401A"/>
    <w:rsid w:val="00DE4723"/>
    <w:rsid w:val="00DE4AA8"/>
    <w:rsid w:val="00DE4AFC"/>
    <w:rsid w:val="00DE4B5F"/>
    <w:rsid w:val="00DE4FF7"/>
    <w:rsid w:val="00DE50AC"/>
    <w:rsid w:val="00DE5376"/>
    <w:rsid w:val="00DE5A90"/>
    <w:rsid w:val="00DE5EF3"/>
    <w:rsid w:val="00DE5F48"/>
    <w:rsid w:val="00DE61D9"/>
    <w:rsid w:val="00DE6289"/>
    <w:rsid w:val="00DE62C8"/>
    <w:rsid w:val="00DE6633"/>
    <w:rsid w:val="00DE665F"/>
    <w:rsid w:val="00DE67AE"/>
    <w:rsid w:val="00DE6822"/>
    <w:rsid w:val="00DE6961"/>
    <w:rsid w:val="00DE69E1"/>
    <w:rsid w:val="00DE6AA7"/>
    <w:rsid w:val="00DE6B6B"/>
    <w:rsid w:val="00DE7667"/>
    <w:rsid w:val="00DE7899"/>
    <w:rsid w:val="00DE7B75"/>
    <w:rsid w:val="00DE7D08"/>
    <w:rsid w:val="00DE7D81"/>
    <w:rsid w:val="00DF02FA"/>
    <w:rsid w:val="00DF031C"/>
    <w:rsid w:val="00DF0A1D"/>
    <w:rsid w:val="00DF12C8"/>
    <w:rsid w:val="00DF168D"/>
    <w:rsid w:val="00DF1B1E"/>
    <w:rsid w:val="00DF1C73"/>
    <w:rsid w:val="00DF1FB3"/>
    <w:rsid w:val="00DF2243"/>
    <w:rsid w:val="00DF2305"/>
    <w:rsid w:val="00DF2468"/>
    <w:rsid w:val="00DF2BDA"/>
    <w:rsid w:val="00DF2DAF"/>
    <w:rsid w:val="00DF3323"/>
    <w:rsid w:val="00DF355E"/>
    <w:rsid w:val="00DF363F"/>
    <w:rsid w:val="00DF36B1"/>
    <w:rsid w:val="00DF389C"/>
    <w:rsid w:val="00DF46B4"/>
    <w:rsid w:val="00DF4846"/>
    <w:rsid w:val="00DF4DD6"/>
    <w:rsid w:val="00DF532C"/>
    <w:rsid w:val="00DF542F"/>
    <w:rsid w:val="00DF5525"/>
    <w:rsid w:val="00DF5739"/>
    <w:rsid w:val="00DF58AB"/>
    <w:rsid w:val="00DF5920"/>
    <w:rsid w:val="00DF6015"/>
    <w:rsid w:val="00DF6CCC"/>
    <w:rsid w:val="00DF7355"/>
    <w:rsid w:val="00DF73EF"/>
    <w:rsid w:val="00DF74D1"/>
    <w:rsid w:val="00DF7D1A"/>
    <w:rsid w:val="00E001FE"/>
    <w:rsid w:val="00E0031B"/>
    <w:rsid w:val="00E00A07"/>
    <w:rsid w:val="00E00D07"/>
    <w:rsid w:val="00E00D0E"/>
    <w:rsid w:val="00E01A40"/>
    <w:rsid w:val="00E01AD8"/>
    <w:rsid w:val="00E01C7A"/>
    <w:rsid w:val="00E01E34"/>
    <w:rsid w:val="00E01F4B"/>
    <w:rsid w:val="00E0239F"/>
    <w:rsid w:val="00E02437"/>
    <w:rsid w:val="00E02667"/>
    <w:rsid w:val="00E032D7"/>
    <w:rsid w:val="00E03582"/>
    <w:rsid w:val="00E037D2"/>
    <w:rsid w:val="00E039E6"/>
    <w:rsid w:val="00E04423"/>
    <w:rsid w:val="00E04548"/>
    <w:rsid w:val="00E047E8"/>
    <w:rsid w:val="00E055FF"/>
    <w:rsid w:val="00E05EDA"/>
    <w:rsid w:val="00E06C13"/>
    <w:rsid w:val="00E06D68"/>
    <w:rsid w:val="00E0721C"/>
    <w:rsid w:val="00E07645"/>
    <w:rsid w:val="00E079D4"/>
    <w:rsid w:val="00E10142"/>
    <w:rsid w:val="00E102F6"/>
    <w:rsid w:val="00E105E6"/>
    <w:rsid w:val="00E10815"/>
    <w:rsid w:val="00E10A42"/>
    <w:rsid w:val="00E11118"/>
    <w:rsid w:val="00E1190F"/>
    <w:rsid w:val="00E11A15"/>
    <w:rsid w:val="00E11C00"/>
    <w:rsid w:val="00E11C56"/>
    <w:rsid w:val="00E11D1E"/>
    <w:rsid w:val="00E11F6C"/>
    <w:rsid w:val="00E12095"/>
    <w:rsid w:val="00E124DD"/>
    <w:rsid w:val="00E1279C"/>
    <w:rsid w:val="00E12A85"/>
    <w:rsid w:val="00E12CB9"/>
    <w:rsid w:val="00E12CD1"/>
    <w:rsid w:val="00E133A1"/>
    <w:rsid w:val="00E13587"/>
    <w:rsid w:val="00E14583"/>
    <w:rsid w:val="00E14736"/>
    <w:rsid w:val="00E150F0"/>
    <w:rsid w:val="00E15517"/>
    <w:rsid w:val="00E155EF"/>
    <w:rsid w:val="00E15889"/>
    <w:rsid w:val="00E15B34"/>
    <w:rsid w:val="00E15CC5"/>
    <w:rsid w:val="00E15CC7"/>
    <w:rsid w:val="00E1642D"/>
    <w:rsid w:val="00E1658C"/>
    <w:rsid w:val="00E169BF"/>
    <w:rsid w:val="00E16A73"/>
    <w:rsid w:val="00E170B3"/>
    <w:rsid w:val="00E1797A"/>
    <w:rsid w:val="00E20237"/>
    <w:rsid w:val="00E2031F"/>
    <w:rsid w:val="00E205DD"/>
    <w:rsid w:val="00E207EA"/>
    <w:rsid w:val="00E20BD6"/>
    <w:rsid w:val="00E20CC0"/>
    <w:rsid w:val="00E20E0E"/>
    <w:rsid w:val="00E20E5D"/>
    <w:rsid w:val="00E20FBB"/>
    <w:rsid w:val="00E215ED"/>
    <w:rsid w:val="00E218C7"/>
    <w:rsid w:val="00E21A6B"/>
    <w:rsid w:val="00E21DC2"/>
    <w:rsid w:val="00E21E67"/>
    <w:rsid w:val="00E21F36"/>
    <w:rsid w:val="00E22621"/>
    <w:rsid w:val="00E22860"/>
    <w:rsid w:val="00E229A9"/>
    <w:rsid w:val="00E22AD6"/>
    <w:rsid w:val="00E22CE7"/>
    <w:rsid w:val="00E23074"/>
    <w:rsid w:val="00E23312"/>
    <w:rsid w:val="00E23893"/>
    <w:rsid w:val="00E242ED"/>
    <w:rsid w:val="00E246C6"/>
    <w:rsid w:val="00E248ED"/>
    <w:rsid w:val="00E24CBD"/>
    <w:rsid w:val="00E24DD0"/>
    <w:rsid w:val="00E24FF2"/>
    <w:rsid w:val="00E251DB"/>
    <w:rsid w:val="00E2587F"/>
    <w:rsid w:val="00E25A26"/>
    <w:rsid w:val="00E25AC9"/>
    <w:rsid w:val="00E25BD4"/>
    <w:rsid w:val="00E25C40"/>
    <w:rsid w:val="00E267A8"/>
    <w:rsid w:val="00E26AAE"/>
    <w:rsid w:val="00E26FB3"/>
    <w:rsid w:val="00E274BF"/>
    <w:rsid w:val="00E27590"/>
    <w:rsid w:val="00E27C04"/>
    <w:rsid w:val="00E27D9F"/>
    <w:rsid w:val="00E27E7A"/>
    <w:rsid w:val="00E27F2E"/>
    <w:rsid w:val="00E302C1"/>
    <w:rsid w:val="00E303B4"/>
    <w:rsid w:val="00E3059E"/>
    <w:rsid w:val="00E309DC"/>
    <w:rsid w:val="00E30BA6"/>
    <w:rsid w:val="00E30E04"/>
    <w:rsid w:val="00E311FF"/>
    <w:rsid w:val="00E316CA"/>
    <w:rsid w:val="00E319DD"/>
    <w:rsid w:val="00E31C46"/>
    <w:rsid w:val="00E31C5D"/>
    <w:rsid w:val="00E31C64"/>
    <w:rsid w:val="00E31D14"/>
    <w:rsid w:val="00E31D65"/>
    <w:rsid w:val="00E31D7C"/>
    <w:rsid w:val="00E31E25"/>
    <w:rsid w:val="00E31FC6"/>
    <w:rsid w:val="00E3226E"/>
    <w:rsid w:val="00E32A64"/>
    <w:rsid w:val="00E32B87"/>
    <w:rsid w:val="00E32CFA"/>
    <w:rsid w:val="00E32E71"/>
    <w:rsid w:val="00E3308E"/>
    <w:rsid w:val="00E332E4"/>
    <w:rsid w:val="00E33396"/>
    <w:rsid w:val="00E33504"/>
    <w:rsid w:val="00E337E6"/>
    <w:rsid w:val="00E33ACF"/>
    <w:rsid w:val="00E33E4F"/>
    <w:rsid w:val="00E3402B"/>
    <w:rsid w:val="00E340AC"/>
    <w:rsid w:val="00E344DC"/>
    <w:rsid w:val="00E344FB"/>
    <w:rsid w:val="00E3453A"/>
    <w:rsid w:val="00E34CA7"/>
    <w:rsid w:val="00E34F9D"/>
    <w:rsid w:val="00E3508E"/>
    <w:rsid w:val="00E35400"/>
    <w:rsid w:val="00E35561"/>
    <w:rsid w:val="00E359FB"/>
    <w:rsid w:val="00E35D5C"/>
    <w:rsid w:val="00E35EAC"/>
    <w:rsid w:val="00E35FC4"/>
    <w:rsid w:val="00E36335"/>
    <w:rsid w:val="00E363D5"/>
    <w:rsid w:val="00E365A8"/>
    <w:rsid w:val="00E36641"/>
    <w:rsid w:val="00E36CAB"/>
    <w:rsid w:val="00E36D18"/>
    <w:rsid w:val="00E36F43"/>
    <w:rsid w:val="00E3701B"/>
    <w:rsid w:val="00E37599"/>
    <w:rsid w:val="00E37DB9"/>
    <w:rsid w:val="00E40313"/>
    <w:rsid w:val="00E4088B"/>
    <w:rsid w:val="00E40CA3"/>
    <w:rsid w:val="00E40CDE"/>
    <w:rsid w:val="00E40D0D"/>
    <w:rsid w:val="00E40D5A"/>
    <w:rsid w:val="00E40DE4"/>
    <w:rsid w:val="00E413E2"/>
    <w:rsid w:val="00E4140F"/>
    <w:rsid w:val="00E41620"/>
    <w:rsid w:val="00E42405"/>
    <w:rsid w:val="00E42B9A"/>
    <w:rsid w:val="00E42BF8"/>
    <w:rsid w:val="00E42F78"/>
    <w:rsid w:val="00E43586"/>
    <w:rsid w:val="00E435B5"/>
    <w:rsid w:val="00E435F1"/>
    <w:rsid w:val="00E43C60"/>
    <w:rsid w:val="00E43DE4"/>
    <w:rsid w:val="00E44A2A"/>
    <w:rsid w:val="00E44A83"/>
    <w:rsid w:val="00E44B03"/>
    <w:rsid w:val="00E451C2"/>
    <w:rsid w:val="00E4540D"/>
    <w:rsid w:val="00E4593F"/>
    <w:rsid w:val="00E45952"/>
    <w:rsid w:val="00E459C6"/>
    <w:rsid w:val="00E45C48"/>
    <w:rsid w:val="00E45C84"/>
    <w:rsid w:val="00E463CC"/>
    <w:rsid w:val="00E46422"/>
    <w:rsid w:val="00E4667F"/>
    <w:rsid w:val="00E46E21"/>
    <w:rsid w:val="00E46EB0"/>
    <w:rsid w:val="00E46ECA"/>
    <w:rsid w:val="00E47147"/>
    <w:rsid w:val="00E4754E"/>
    <w:rsid w:val="00E4760A"/>
    <w:rsid w:val="00E47A23"/>
    <w:rsid w:val="00E47EDD"/>
    <w:rsid w:val="00E47F66"/>
    <w:rsid w:val="00E500A5"/>
    <w:rsid w:val="00E50119"/>
    <w:rsid w:val="00E501C5"/>
    <w:rsid w:val="00E502AA"/>
    <w:rsid w:val="00E50460"/>
    <w:rsid w:val="00E504C7"/>
    <w:rsid w:val="00E506B0"/>
    <w:rsid w:val="00E507A1"/>
    <w:rsid w:val="00E50945"/>
    <w:rsid w:val="00E50AC4"/>
    <w:rsid w:val="00E50B6B"/>
    <w:rsid w:val="00E51319"/>
    <w:rsid w:val="00E5135A"/>
    <w:rsid w:val="00E5138A"/>
    <w:rsid w:val="00E5155E"/>
    <w:rsid w:val="00E516F6"/>
    <w:rsid w:val="00E51B8B"/>
    <w:rsid w:val="00E51D8E"/>
    <w:rsid w:val="00E51FD2"/>
    <w:rsid w:val="00E529A2"/>
    <w:rsid w:val="00E52DD4"/>
    <w:rsid w:val="00E531AC"/>
    <w:rsid w:val="00E537E5"/>
    <w:rsid w:val="00E5394A"/>
    <w:rsid w:val="00E53D6C"/>
    <w:rsid w:val="00E5424A"/>
    <w:rsid w:val="00E54729"/>
    <w:rsid w:val="00E5478F"/>
    <w:rsid w:val="00E54962"/>
    <w:rsid w:val="00E549F3"/>
    <w:rsid w:val="00E54FDB"/>
    <w:rsid w:val="00E551C3"/>
    <w:rsid w:val="00E5529A"/>
    <w:rsid w:val="00E5555E"/>
    <w:rsid w:val="00E555D2"/>
    <w:rsid w:val="00E55982"/>
    <w:rsid w:val="00E55D7B"/>
    <w:rsid w:val="00E55FB0"/>
    <w:rsid w:val="00E56534"/>
    <w:rsid w:val="00E56542"/>
    <w:rsid w:val="00E5680B"/>
    <w:rsid w:val="00E56A79"/>
    <w:rsid w:val="00E56D5C"/>
    <w:rsid w:val="00E56D86"/>
    <w:rsid w:val="00E56F6F"/>
    <w:rsid w:val="00E56FC3"/>
    <w:rsid w:val="00E57109"/>
    <w:rsid w:val="00E5778C"/>
    <w:rsid w:val="00E57896"/>
    <w:rsid w:val="00E578C3"/>
    <w:rsid w:val="00E57947"/>
    <w:rsid w:val="00E57A44"/>
    <w:rsid w:val="00E57AC5"/>
    <w:rsid w:val="00E57B40"/>
    <w:rsid w:val="00E57D56"/>
    <w:rsid w:val="00E57FEA"/>
    <w:rsid w:val="00E602F7"/>
    <w:rsid w:val="00E60477"/>
    <w:rsid w:val="00E6048C"/>
    <w:rsid w:val="00E605B1"/>
    <w:rsid w:val="00E609FA"/>
    <w:rsid w:val="00E613F2"/>
    <w:rsid w:val="00E614F2"/>
    <w:rsid w:val="00E61994"/>
    <w:rsid w:val="00E61CC4"/>
    <w:rsid w:val="00E62059"/>
    <w:rsid w:val="00E627F1"/>
    <w:rsid w:val="00E62837"/>
    <w:rsid w:val="00E62957"/>
    <w:rsid w:val="00E62B9E"/>
    <w:rsid w:val="00E62C51"/>
    <w:rsid w:val="00E635C9"/>
    <w:rsid w:val="00E63663"/>
    <w:rsid w:val="00E63726"/>
    <w:rsid w:val="00E637A2"/>
    <w:rsid w:val="00E6394E"/>
    <w:rsid w:val="00E645A6"/>
    <w:rsid w:val="00E653FE"/>
    <w:rsid w:val="00E658BB"/>
    <w:rsid w:val="00E659AB"/>
    <w:rsid w:val="00E661A1"/>
    <w:rsid w:val="00E66267"/>
    <w:rsid w:val="00E662B2"/>
    <w:rsid w:val="00E66ACD"/>
    <w:rsid w:val="00E673CF"/>
    <w:rsid w:val="00E67BAF"/>
    <w:rsid w:val="00E706B1"/>
    <w:rsid w:val="00E70DF5"/>
    <w:rsid w:val="00E71039"/>
    <w:rsid w:val="00E712C8"/>
    <w:rsid w:val="00E719B9"/>
    <w:rsid w:val="00E71AA5"/>
    <w:rsid w:val="00E71B91"/>
    <w:rsid w:val="00E72176"/>
    <w:rsid w:val="00E7240A"/>
    <w:rsid w:val="00E72A55"/>
    <w:rsid w:val="00E72BC8"/>
    <w:rsid w:val="00E73261"/>
    <w:rsid w:val="00E73CD7"/>
    <w:rsid w:val="00E73D6B"/>
    <w:rsid w:val="00E73D86"/>
    <w:rsid w:val="00E73DEB"/>
    <w:rsid w:val="00E73E6C"/>
    <w:rsid w:val="00E73EB1"/>
    <w:rsid w:val="00E74609"/>
    <w:rsid w:val="00E7478C"/>
    <w:rsid w:val="00E74C3A"/>
    <w:rsid w:val="00E74F1D"/>
    <w:rsid w:val="00E751BE"/>
    <w:rsid w:val="00E751D9"/>
    <w:rsid w:val="00E75307"/>
    <w:rsid w:val="00E755C0"/>
    <w:rsid w:val="00E756E9"/>
    <w:rsid w:val="00E75743"/>
    <w:rsid w:val="00E75C73"/>
    <w:rsid w:val="00E75E0A"/>
    <w:rsid w:val="00E75FAD"/>
    <w:rsid w:val="00E76136"/>
    <w:rsid w:val="00E76315"/>
    <w:rsid w:val="00E7644F"/>
    <w:rsid w:val="00E767E6"/>
    <w:rsid w:val="00E768A3"/>
    <w:rsid w:val="00E76E36"/>
    <w:rsid w:val="00E77639"/>
    <w:rsid w:val="00E77733"/>
    <w:rsid w:val="00E7787E"/>
    <w:rsid w:val="00E77D78"/>
    <w:rsid w:val="00E805F0"/>
    <w:rsid w:val="00E80CAD"/>
    <w:rsid w:val="00E8165D"/>
    <w:rsid w:val="00E817A3"/>
    <w:rsid w:val="00E81AA8"/>
    <w:rsid w:val="00E81B37"/>
    <w:rsid w:val="00E81D01"/>
    <w:rsid w:val="00E81DF0"/>
    <w:rsid w:val="00E81EA6"/>
    <w:rsid w:val="00E8200E"/>
    <w:rsid w:val="00E8242F"/>
    <w:rsid w:val="00E82663"/>
    <w:rsid w:val="00E82A45"/>
    <w:rsid w:val="00E82BF2"/>
    <w:rsid w:val="00E82F44"/>
    <w:rsid w:val="00E831C2"/>
    <w:rsid w:val="00E8340D"/>
    <w:rsid w:val="00E8359C"/>
    <w:rsid w:val="00E83993"/>
    <w:rsid w:val="00E83D83"/>
    <w:rsid w:val="00E842E5"/>
    <w:rsid w:val="00E84514"/>
    <w:rsid w:val="00E847FD"/>
    <w:rsid w:val="00E84D85"/>
    <w:rsid w:val="00E84F5F"/>
    <w:rsid w:val="00E85642"/>
    <w:rsid w:val="00E856B9"/>
    <w:rsid w:val="00E85768"/>
    <w:rsid w:val="00E8576E"/>
    <w:rsid w:val="00E85B7C"/>
    <w:rsid w:val="00E85CF4"/>
    <w:rsid w:val="00E860C6"/>
    <w:rsid w:val="00E861C4"/>
    <w:rsid w:val="00E8667B"/>
    <w:rsid w:val="00E86718"/>
    <w:rsid w:val="00E86766"/>
    <w:rsid w:val="00E867FD"/>
    <w:rsid w:val="00E86D2E"/>
    <w:rsid w:val="00E86F1D"/>
    <w:rsid w:val="00E87A80"/>
    <w:rsid w:val="00E87A8E"/>
    <w:rsid w:val="00E90083"/>
    <w:rsid w:val="00E9078C"/>
    <w:rsid w:val="00E90A01"/>
    <w:rsid w:val="00E90C1E"/>
    <w:rsid w:val="00E90E3C"/>
    <w:rsid w:val="00E91492"/>
    <w:rsid w:val="00E91569"/>
    <w:rsid w:val="00E91C9C"/>
    <w:rsid w:val="00E92B60"/>
    <w:rsid w:val="00E92D31"/>
    <w:rsid w:val="00E932DA"/>
    <w:rsid w:val="00E9352F"/>
    <w:rsid w:val="00E938B7"/>
    <w:rsid w:val="00E93A0E"/>
    <w:rsid w:val="00E93A51"/>
    <w:rsid w:val="00E93A6C"/>
    <w:rsid w:val="00E93AC0"/>
    <w:rsid w:val="00E93F17"/>
    <w:rsid w:val="00E9427C"/>
    <w:rsid w:val="00E9481A"/>
    <w:rsid w:val="00E94BC3"/>
    <w:rsid w:val="00E95395"/>
    <w:rsid w:val="00E9554D"/>
    <w:rsid w:val="00E95647"/>
    <w:rsid w:val="00E957B1"/>
    <w:rsid w:val="00E959B5"/>
    <w:rsid w:val="00E95B9F"/>
    <w:rsid w:val="00E95BB0"/>
    <w:rsid w:val="00E95BEB"/>
    <w:rsid w:val="00E968FE"/>
    <w:rsid w:val="00E96A36"/>
    <w:rsid w:val="00E971D0"/>
    <w:rsid w:val="00E97883"/>
    <w:rsid w:val="00E979DB"/>
    <w:rsid w:val="00EA021C"/>
    <w:rsid w:val="00EA0428"/>
    <w:rsid w:val="00EA07D7"/>
    <w:rsid w:val="00EA0B3A"/>
    <w:rsid w:val="00EA1569"/>
    <w:rsid w:val="00EA1839"/>
    <w:rsid w:val="00EA1A6F"/>
    <w:rsid w:val="00EA26C1"/>
    <w:rsid w:val="00EA2B38"/>
    <w:rsid w:val="00EA2B46"/>
    <w:rsid w:val="00EA2FA8"/>
    <w:rsid w:val="00EA31C5"/>
    <w:rsid w:val="00EA34D7"/>
    <w:rsid w:val="00EA35CD"/>
    <w:rsid w:val="00EA3A1F"/>
    <w:rsid w:val="00EA3B30"/>
    <w:rsid w:val="00EA3BEB"/>
    <w:rsid w:val="00EA42FC"/>
    <w:rsid w:val="00EA44F9"/>
    <w:rsid w:val="00EA450A"/>
    <w:rsid w:val="00EA47A6"/>
    <w:rsid w:val="00EA4C2C"/>
    <w:rsid w:val="00EA4FD2"/>
    <w:rsid w:val="00EA51B4"/>
    <w:rsid w:val="00EA5AA6"/>
    <w:rsid w:val="00EA5E95"/>
    <w:rsid w:val="00EA5FF4"/>
    <w:rsid w:val="00EA60B6"/>
    <w:rsid w:val="00EA658D"/>
    <w:rsid w:val="00EA6744"/>
    <w:rsid w:val="00EA6850"/>
    <w:rsid w:val="00EA6F14"/>
    <w:rsid w:val="00EA7670"/>
    <w:rsid w:val="00EA7989"/>
    <w:rsid w:val="00EA7FA8"/>
    <w:rsid w:val="00EB00A3"/>
    <w:rsid w:val="00EB0865"/>
    <w:rsid w:val="00EB121B"/>
    <w:rsid w:val="00EB1438"/>
    <w:rsid w:val="00EB160D"/>
    <w:rsid w:val="00EB17AC"/>
    <w:rsid w:val="00EB1894"/>
    <w:rsid w:val="00EB1C18"/>
    <w:rsid w:val="00EB1C92"/>
    <w:rsid w:val="00EB1D88"/>
    <w:rsid w:val="00EB1E5A"/>
    <w:rsid w:val="00EB1E75"/>
    <w:rsid w:val="00EB2579"/>
    <w:rsid w:val="00EB26A1"/>
    <w:rsid w:val="00EB26C9"/>
    <w:rsid w:val="00EB26CD"/>
    <w:rsid w:val="00EB27C1"/>
    <w:rsid w:val="00EB2CC3"/>
    <w:rsid w:val="00EB2DEF"/>
    <w:rsid w:val="00EB30CB"/>
    <w:rsid w:val="00EB3107"/>
    <w:rsid w:val="00EB34E1"/>
    <w:rsid w:val="00EB3B6D"/>
    <w:rsid w:val="00EB3EBF"/>
    <w:rsid w:val="00EB421B"/>
    <w:rsid w:val="00EB4235"/>
    <w:rsid w:val="00EB46F8"/>
    <w:rsid w:val="00EB47DE"/>
    <w:rsid w:val="00EB4BDF"/>
    <w:rsid w:val="00EB5139"/>
    <w:rsid w:val="00EB53BF"/>
    <w:rsid w:val="00EB56A8"/>
    <w:rsid w:val="00EB59D5"/>
    <w:rsid w:val="00EB5A90"/>
    <w:rsid w:val="00EB5AAB"/>
    <w:rsid w:val="00EB5BD0"/>
    <w:rsid w:val="00EB5D2F"/>
    <w:rsid w:val="00EB6924"/>
    <w:rsid w:val="00EB6AAF"/>
    <w:rsid w:val="00EB6BAC"/>
    <w:rsid w:val="00EB70AF"/>
    <w:rsid w:val="00EB7DE3"/>
    <w:rsid w:val="00EB7EC5"/>
    <w:rsid w:val="00EB7F00"/>
    <w:rsid w:val="00EB7F52"/>
    <w:rsid w:val="00EB7F66"/>
    <w:rsid w:val="00EC10DB"/>
    <w:rsid w:val="00EC113B"/>
    <w:rsid w:val="00EC1460"/>
    <w:rsid w:val="00EC1534"/>
    <w:rsid w:val="00EC1B5B"/>
    <w:rsid w:val="00EC1B75"/>
    <w:rsid w:val="00EC1C2B"/>
    <w:rsid w:val="00EC2164"/>
    <w:rsid w:val="00EC2271"/>
    <w:rsid w:val="00EC237A"/>
    <w:rsid w:val="00EC25E3"/>
    <w:rsid w:val="00EC2B23"/>
    <w:rsid w:val="00EC2CD2"/>
    <w:rsid w:val="00EC2E09"/>
    <w:rsid w:val="00EC3106"/>
    <w:rsid w:val="00EC3254"/>
    <w:rsid w:val="00EC34E1"/>
    <w:rsid w:val="00EC352E"/>
    <w:rsid w:val="00EC3710"/>
    <w:rsid w:val="00EC443B"/>
    <w:rsid w:val="00EC4710"/>
    <w:rsid w:val="00EC4A28"/>
    <w:rsid w:val="00EC4F2C"/>
    <w:rsid w:val="00EC593F"/>
    <w:rsid w:val="00EC5AEF"/>
    <w:rsid w:val="00EC6129"/>
    <w:rsid w:val="00EC673F"/>
    <w:rsid w:val="00EC6847"/>
    <w:rsid w:val="00EC6D86"/>
    <w:rsid w:val="00EC6EE5"/>
    <w:rsid w:val="00EC7489"/>
    <w:rsid w:val="00EC767B"/>
    <w:rsid w:val="00EC7749"/>
    <w:rsid w:val="00EC78AB"/>
    <w:rsid w:val="00EC7AE4"/>
    <w:rsid w:val="00EC7F87"/>
    <w:rsid w:val="00ED05EC"/>
    <w:rsid w:val="00ED0A7A"/>
    <w:rsid w:val="00ED0E8C"/>
    <w:rsid w:val="00ED1076"/>
    <w:rsid w:val="00ED1714"/>
    <w:rsid w:val="00ED1C1B"/>
    <w:rsid w:val="00ED1CAF"/>
    <w:rsid w:val="00ED1FEE"/>
    <w:rsid w:val="00ED20E2"/>
    <w:rsid w:val="00ED22BD"/>
    <w:rsid w:val="00ED2629"/>
    <w:rsid w:val="00ED264B"/>
    <w:rsid w:val="00ED280E"/>
    <w:rsid w:val="00ED325E"/>
    <w:rsid w:val="00ED3496"/>
    <w:rsid w:val="00ED3C7A"/>
    <w:rsid w:val="00ED4161"/>
    <w:rsid w:val="00ED4264"/>
    <w:rsid w:val="00ED4660"/>
    <w:rsid w:val="00ED4B9C"/>
    <w:rsid w:val="00ED4D95"/>
    <w:rsid w:val="00ED5339"/>
    <w:rsid w:val="00ED5636"/>
    <w:rsid w:val="00ED5745"/>
    <w:rsid w:val="00ED59FA"/>
    <w:rsid w:val="00ED5AC5"/>
    <w:rsid w:val="00ED5B9A"/>
    <w:rsid w:val="00ED5FB6"/>
    <w:rsid w:val="00ED639D"/>
    <w:rsid w:val="00ED67B4"/>
    <w:rsid w:val="00ED6B65"/>
    <w:rsid w:val="00ED6DFC"/>
    <w:rsid w:val="00ED6EA0"/>
    <w:rsid w:val="00ED7401"/>
    <w:rsid w:val="00ED76AD"/>
    <w:rsid w:val="00ED7DAC"/>
    <w:rsid w:val="00EE020A"/>
    <w:rsid w:val="00EE046A"/>
    <w:rsid w:val="00EE0907"/>
    <w:rsid w:val="00EE0D73"/>
    <w:rsid w:val="00EE1017"/>
    <w:rsid w:val="00EE1033"/>
    <w:rsid w:val="00EE11ED"/>
    <w:rsid w:val="00EE1726"/>
    <w:rsid w:val="00EE1981"/>
    <w:rsid w:val="00EE1C61"/>
    <w:rsid w:val="00EE1EA0"/>
    <w:rsid w:val="00EE2073"/>
    <w:rsid w:val="00EE223F"/>
    <w:rsid w:val="00EE2299"/>
    <w:rsid w:val="00EE28CF"/>
    <w:rsid w:val="00EE2911"/>
    <w:rsid w:val="00EE352A"/>
    <w:rsid w:val="00EE3873"/>
    <w:rsid w:val="00EE38AD"/>
    <w:rsid w:val="00EE3DFF"/>
    <w:rsid w:val="00EE3F5F"/>
    <w:rsid w:val="00EE4091"/>
    <w:rsid w:val="00EE4146"/>
    <w:rsid w:val="00EE41EC"/>
    <w:rsid w:val="00EE438C"/>
    <w:rsid w:val="00EE44F1"/>
    <w:rsid w:val="00EE455E"/>
    <w:rsid w:val="00EE4647"/>
    <w:rsid w:val="00EE5132"/>
    <w:rsid w:val="00EE573C"/>
    <w:rsid w:val="00EE57A3"/>
    <w:rsid w:val="00EE5809"/>
    <w:rsid w:val="00EE6112"/>
    <w:rsid w:val="00EE611F"/>
    <w:rsid w:val="00EE644B"/>
    <w:rsid w:val="00EE665E"/>
    <w:rsid w:val="00EE6BC0"/>
    <w:rsid w:val="00EE6DB5"/>
    <w:rsid w:val="00EE6E19"/>
    <w:rsid w:val="00EE6F41"/>
    <w:rsid w:val="00EE7175"/>
    <w:rsid w:val="00EE724D"/>
    <w:rsid w:val="00EE76B5"/>
    <w:rsid w:val="00EE771C"/>
    <w:rsid w:val="00EE7A38"/>
    <w:rsid w:val="00EE7E79"/>
    <w:rsid w:val="00EF0211"/>
    <w:rsid w:val="00EF055A"/>
    <w:rsid w:val="00EF08C3"/>
    <w:rsid w:val="00EF0A66"/>
    <w:rsid w:val="00EF0B68"/>
    <w:rsid w:val="00EF0C55"/>
    <w:rsid w:val="00EF0F79"/>
    <w:rsid w:val="00EF17EB"/>
    <w:rsid w:val="00EF1A33"/>
    <w:rsid w:val="00EF20F9"/>
    <w:rsid w:val="00EF230F"/>
    <w:rsid w:val="00EF233F"/>
    <w:rsid w:val="00EF2707"/>
    <w:rsid w:val="00EF3408"/>
    <w:rsid w:val="00EF39BA"/>
    <w:rsid w:val="00EF3D00"/>
    <w:rsid w:val="00EF41C4"/>
    <w:rsid w:val="00EF4212"/>
    <w:rsid w:val="00EF43FE"/>
    <w:rsid w:val="00EF47AF"/>
    <w:rsid w:val="00EF4DDE"/>
    <w:rsid w:val="00EF5693"/>
    <w:rsid w:val="00EF577C"/>
    <w:rsid w:val="00EF5885"/>
    <w:rsid w:val="00EF6001"/>
    <w:rsid w:val="00EF64BD"/>
    <w:rsid w:val="00EF68AD"/>
    <w:rsid w:val="00EF69E2"/>
    <w:rsid w:val="00EF6BBD"/>
    <w:rsid w:val="00EF6C4B"/>
    <w:rsid w:val="00EF6D41"/>
    <w:rsid w:val="00EF6F2A"/>
    <w:rsid w:val="00EF717F"/>
    <w:rsid w:val="00EF77F8"/>
    <w:rsid w:val="00EF795B"/>
    <w:rsid w:val="00EF7A1C"/>
    <w:rsid w:val="00EF7C8A"/>
    <w:rsid w:val="00F0003E"/>
    <w:rsid w:val="00F002ED"/>
    <w:rsid w:val="00F00594"/>
    <w:rsid w:val="00F00782"/>
    <w:rsid w:val="00F0085C"/>
    <w:rsid w:val="00F00D44"/>
    <w:rsid w:val="00F00E49"/>
    <w:rsid w:val="00F00E6D"/>
    <w:rsid w:val="00F0184E"/>
    <w:rsid w:val="00F01B32"/>
    <w:rsid w:val="00F01B68"/>
    <w:rsid w:val="00F01E9E"/>
    <w:rsid w:val="00F0285D"/>
    <w:rsid w:val="00F02B80"/>
    <w:rsid w:val="00F02F0A"/>
    <w:rsid w:val="00F03260"/>
    <w:rsid w:val="00F036AD"/>
    <w:rsid w:val="00F037B9"/>
    <w:rsid w:val="00F03ABE"/>
    <w:rsid w:val="00F04185"/>
    <w:rsid w:val="00F043CF"/>
    <w:rsid w:val="00F04725"/>
    <w:rsid w:val="00F048D5"/>
    <w:rsid w:val="00F04B98"/>
    <w:rsid w:val="00F05A1E"/>
    <w:rsid w:val="00F05A35"/>
    <w:rsid w:val="00F05B26"/>
    <w:rsid w:val="00F05C1D"/>
    <w:rsid w:val="00F05FA1"/>
    <w:rsid w:val="00F06707"/>
    <w:rsid w:val="00F067E0"/>
    <w:rsid w:val="00F06ADF"/>
    <w:rsid w:val="00F06C4A"/>
    <w:rsid w:val="00F06D63"/>
    <w:rsid w:val="00F06EF0"/>
    <w:rsid w:val="00F076AF"/>
    <w:rsid w:val="00F078F4"/>
    <w:rsid w:val="00F07B1C"/>
    <w:rsid w:val="00F07C4D"/>
    <w:rsid w:val="00F07DC8"/>
    <w:rsid w:val="00F07E1D"/>
    <w:rsid w:val="00F100A6"/>
    <w:rsid w:val="00F104D3"/>
    <w:rsid w:val="00F104FA"/>
    <w:rsid w:val="00F10BA5"/>
    <w:rsid w:val="00F10EB3"/>
    <w:rsid w:val="00F11052"/>
    <w:rsid w:val="00F113B9"/>
    <w:rsid w:val="00F114DE"/>
    <w:rsid w:val="00F11554"/>
    <w:rsid w:val="00F11F45"/>
    <w:rsid w:val="00F12769"/>
    <w:rsid w:val="00F1278D"/>
    <w:rsid w:val="00F128E4"/>
    <w:rsid w:val="00F12D69"/>
    <w:rsid w:val="00F130A1"/>
    <w:rsid w:val="00F135CB"/>
    <w:rsid w:val="00F13656"/>
    <w:rsid w:val="00F13AC5"/>
    <w:rsid w:val="00F13FBE"/>
    <w:rsid w:val="00F1401D"/>
    <w:rsid w:val="00F1409F"/>
    <w:rsid w:val="00F1437A"/>
    <w:rsid w:val="00F1479E"/>
    <w:rsid w:val="00F14DF3"/>
    <w:rsid w:val="00F14EA0"/>
    <w:rsid w:val="00F1519B"/>
    <w:rsid w:val="00F155B1"/>
    <w:rsid w:val="00F15743"/>
    <w:rsid w:val="00F161F6"/>
    <w:rsid w:val="00F169CC"/>
    <w:rsid w:val="00F16C9E"/>
    <w:rsid w:val="00F17535"/>
    <w:rsid w:val="00F17965"/>
    <w:rsid w:val="00F17D26"/>
    <w:rsid w:val="00F17E22"/>
    <w:rsid w:val="00F17F64"/>
    <w:rsid w:val="00F200F0"/>
    <w:rsid w:val="00F208B7"/>
    <w:rsid w:val="00F20BC5"/>
    <w:rsid w:val="00F20C8C"/>
    <w:rsid w:val="00F20D51"/>
    <w:rsid w:val="00F20F71"/>
    <w:rsid w:val="00F21253"/>
    <w:rsid w:val="00F21567"/>
    <w:rsid w:val="00F21D1F"/>
    <w:rsid w:val="00F22231"/>
    <w:rsid w:val="00F22438"/>
    <w:rsid w:val="00F22645"/>
    <w:rsid w:val="00F22926"/>
    <w:rsid w:val="00F22B2E"/>
    <w:rsid w:val="00F22C7B"/>
    <w:rsid w:val="00F22F4B"/>
    <w:rsid w:val="00F2306D"/>
    <w:rsid w:val="00F233CC"/>
    <w:rsid w:val="00F23CD1"/>
    <w:rsid w:val="00F240F4"/>
    <w:rsid w:val="00F2448A"/>
    <w:rsid w:val="00F246F3"/>
    <w:rsid w:val="00F24A8F"/>
    <w:rsid w:val="00F24DE3"/>
    <w:rsid w:val="00F24F99"/>
    <w:rsid w:val="00F25338"/>
    <w:rsid w:val="00F25CDA"/>
    <w:rsid w:val="00F2615F"/>
    <w:rsid w:val="00F26575"/>
    <w:rsid w:val="00F26886"/>
    <w:rsid w:val="00F26899"/>
    <w:rsid w:val="00F26AB4"/>
    <w:rsid w:val="00F26AD6"/>
    <w:rsid w:val="00F26B72"/>
    <w:rsid w:val="00F26D97"/>
    <w:rsid w:val="00F272D5"/>
    <w:rsid w:val="00F2752C"/>
    <w:rsid w:val="00F276FF"/>
    <w:rsid w:val="00F27904"/>
    <w:rsid w:val="00F27D24"/>
    <w:rsid w:val="00F3003E"/>
    <w:rsid w:val="00F3007B"/>
    <w:rsid w:val="00F3010E"/>
    <w:rsid w:val="00F30158"/>
    <w:rsid w:val="00F3040D"/>
    <w:rsid w:val="00F304F2"/>
    <w:rsid w:val="00F3121D"/>
    <w:rsid w:val="00F31454"/>
    <w:rsid w:val="00F317D8"/>
    <w:rsid w:val="00F317E7"/>
    <w:rsid w:val="00F31DE0"/>
    <w:rsid w:val="00F31E8A"/>
    <w:rsid w:val="00F32133"/>
    <w:rsid w:val="00F3226E"/>
    <w:rsid w:val="00F3261A"/>
    <w:rsid w:val="00F328F5"/>
    <w:rsid w:val="00F32AB8"/>
    <w:rsid w:val="00F32DB0"/>
    <w:rsid w:val="00F32F10"/>
    <w:rsid w:val="00F331EC"/>
    <w:rsid w:val="00F33412"/>
    <w:rsid w:val="00F3392A"/>
    <w:rsid w:val="00F33FC0"/>
    <w:rsid w:val="00F34026"/>
    <w:rsid w:val="00F345F3"/>
    <w:rsid w:val="00F347B1"/>
    <w:rsid w:val="00F34EA6"/>
    <w:rsid w:val="00F34F6F"/>
    <w:rsid w:val="00F3514B"/>
    <w:rsid w:val="00F35773"/>
    <w:rsid w:val="00F35843"/>
    <w:rsid w:val="00F358AF"/>
    <w:rsid w:val="00F3598C"/>
    <w:rsid w:val="00F35EF5"/>
    <w:rsid w:val="00F36127"/>
    <w:rsid w:val="00F3651E"/>
    <w:rsid w:val="00F36A56"/>
    <w:rsid w:val="00F36CD8"/>
    <w:rsid w:val="00F3761C"/>
    <w:rsid w:val="00F37B2F"/>
    <w:rsid w:val="00F37D55"/>
    <w:rsid w:val="00F37DFC"/>
    <w:rsid w:val="00F4012D"/>
    <w:rsid w:val="00F40140"/>
    <w:rsid w:val="00F4090A"/>
    <w:rsid w:val="00F40ED2"/>
    <w:rsid w:val="00F40F83"/>
    <w:rsid w:val="00F40FC0"/>
    <w:rsid w:val="00F413C7"/>
    <w:rsid w:val="00F414D6"/>
    <w:rsid w:val="00F41673"/>
    <w:rsid w:val="00F4271D"/>
    <w:rsid w:val="00F42A5B"/>
    <w:rsid w:val="00F42B59"/>
    <w:rsid w:val="00F42CBB"/>
    <w:rsid w:val="00F42D57"/>
    <w:rsid w:val="00F42E27"/>
    <w:rsid w:val="00F42ECF"/>
    <w:rsid w:val="00F432B8"/>
    <w:rsid w:val="00F4349B"/>
    <w:rsid w:val="00F43701"/>
    <w:rsid w:val="00F4373C"/>
    <w:rsid w:val="00F437F8"/>
    <w:rsid w:val="00F43DD1"/>
    <w:rsid w:val="00F4409D"/>
    <w:rsid w:val="00F44658"/>
    <w:rsid w:val="00F44686"/>
    <w:rsid w:val="00F44BE4"/>
    <w:rsid w:val="00F44E08"/>
    <w:rsid w:val="00F45086"/>
    <w:rsid w:val="00F453CE"/>
    <w:rsid w:val="00F45B42"/>
    <w:rsid w:val="00F46159"/>
    <w:rsid w:val="00F462A4"/>
    <w:rsid w:val="00F4651C"/>
    <w:rsid w:val="00F465E9"/>
    <w:rsid w:val="00F468B5"/>
    <w:rsid w:val="00F468F8"/>
    <w:rsid w:val="00F46B5A"/>
    <w:rsid w:val="00F47160"/>
    <w:rsid w:val="00F47488"/>
    <w:rsid w:val="00F479D4"/>
    <w:rsid w:val="00F47ABD"/>
    <w:rsid w:val="00F47B77"/>
    <w:rsid w:val="00F47CA3"/>
    <w:rsid w:val="00F47ED0"/>
    <w:rsid w:val="00F5017E"/>
    <w:rsid w:val="00F509E6"/>
    <w:rsid w:val="00F50D62"/>
    <w:rsid w:val="00F50F30"/>
    <w:rsid w:val="00F5130E"/>
    <w:rsid w:val="00F51319"/>
    <w:rsid w:val="00F51906"/>
    <w:rsid w:val="00F52014"/>
    <w:rsid w:val="00F520A3"/>
    <w:rsid w:val="00F5220A"/>
    <w:rsid w:val="00F5287E"/>
    <w:rsid w:val="00F528F3"/>
    <w:rsid w:val="00F52B18"/>
    <w:rsid w:val="00F52F54"/>
    <w:rsid w:val="00F53404"/>
    <w:rsid w:val="00F538A1"/>
    <w:rsid w:val="00F53A23"/>
    <w:rsid w:val="00F53F2A"/>
    <w:rsid w:val="00F54CD1"/>
    <w:rsid w:val="00F550CC"/>
    <w:rsid w:val="00F551B2"/>
    <w:rsid w:val="00F552C7"/>
    <w:rsid w:val="00F5540E"/>
    <w:rsid w:val="00F55505"/>
    <w:rsid w:val="00F55611"/>
    <w:rsid w:val="00F55832"/>
    <w:rsid w:val="00F558F9"/>
    <w:rsid w:val="00F55B36"/>
    <w:rsid w:val="00F5623C"/>
    <w:rsid w:val="00F569B4"/>
    <w:rsid w:val="00F569CC"/>
    <w:rsid w:val="00F56A27"/>
    <w:rsid w:val="00F56B85"/>
    <w:rsid w:val="00F56CD4"/>
    <w:rsid w:val="00F56D8C"/>
    <w:rsid w:val="00F57289"/>
    <w:rsid w:val="00F57443"/>
    <w:rsid w:val="00F574E0"/>
    <w:rsid w:val="00F6028D"/>
    <w:rsid w:val="00F60998"/>
    <w:rsid w:val="00F60A24"/>
    <w:rsid w:val="00F60AD6"/>
    <w:rsid w:val="00F60E07"/>
    <w:rsid w:val="00F61448"/>
    <w:rsid w:val="00F617D1"/>
    <w:rsid w:val="00F62041"/>
    <w:rsid w:val="00F622E0"/>
    <w:rsid w:val="00F6243D"/>
    <w:rsid w:val="00F62474"/>
    <w:rsid w:val="00F6256C"/>
    <w:rsid w:val="00F62735"/>
    <w:rsid w:val="00F62D64"/>
    <w:rsid w:val="00F62F75"/>
    <w:rsid w:val="00F632F2"/>
    <w:rsid w:val="00F63333"/>
    <w:rsid w:val="00F6394D"/>
    <w:rsid w:val="00F63A03"/>
    <w:rsid w:val="00F648D5"/>
    <w:rsid w:val="00F64B5C"/>
    <w:rsid w:val="00F64BE3"/>
    <w:rsid w:val="00F65BDF"/>
    <w:rsid w:val="00F65F72"/>
    <w:rsid w:val="00F663DE"/>
    <w:rsid w:val="00F66AA6"/>
    <w:rsid w:val="00F6717A"/>
    <w:rsid w:val="00F676B6"/>
    <w:rsid w:val="00F70118"/>
    <w:rsid w:val="00F70183"/>
    <w:rsid w:val="00F7078C"/>
    <w:rsid w:val="00F70825"/>
    <w:rsid w:val="00F70849"/>
    <w:rsid w:val="00F70D0F"/>
    <w:rsid w:val="00F70FC0"/>
    <w:rsid w:val="00F71213"/>
    <w:rsid w:val="00F7149C"/>
    <w:rsid w:val="00F717BC"/>
    <w:rsid w:val="00F71BDD"/>
    <w:rsid w:val="00F71DCF"/>
    <w:rsid w:val="00F71DEE"/>
    <w:rsid w:val="00F72759"/>
    <w:rsid w:val="00F7279E"/>
    <w:rsid w:val="00F72DE4"/>
    <w:rsid w:val="00F730A9"/>
    <w:rsid w:val="00F73E1B"/>
    <w:rsid w:val="00F73F51"/>
    <w:rsid w:val="00F73F69"/>
    <w:rsid w:val="00F744C5"/>
    <w:rsid w:val="00F745DA"/>
    <w:rsid w:val="00F7488D"/>
    <w:rsid w:val="00F74A56"/>
    <w:rsid w:val="00F74DDE"/>
    <w:rsid w:val="00F74E0C"/>
    <w:rsid w:val="00F75784"/>
    <w:rsid w:val="00F759ED"/>
    <w:rsid w:val="00F75AEF"/>
    <w:rsid w:val="00F75F11"/>
    <w:rsid w:val="00F765F2"/>
    <w:rsid w:val="00F76707"/>
    <w:rsid w:val="00F77032"/>
    <w:rsid w:val="00F7713C"/>
    <w:rsid w:val="00F7738E"/>
    <w:rsid w:val="00F77438"/>
    <w:rsid w:val="00F778F0"/>
    <w:rsid w:val="00F77995"/>
    <w:rsid w:val="00F77B4F"/>
    <w:rsid w:val="00F77BE6"/>
    <w:rsid w:val="00F77C01"/>
    <w:rsid w:val="00F77D38"/>
    <w:rsid w:val="00F77D81"/>
    <w:rsid w:val="00F77E99"/>
    <w:rsid w:val="00F77F81"/>
    <w:rsid w:val="00F801AC"/>
    <w:rsid w:val="00F8157F"/>
    <w:rsid w:val="00F817DC"/>
    <w:rsid w:val="00F81A78"/>
    <w:rsid w:val="00F81C9D"/>
    <w:rsid w:val="00F81D5E"/>
    <w:rsid w:val="00F81F1E"/>
    <w:rsid w:val="00F82331"/>
    <w:rsid w:val="00F823C3"/>
    <w:rsid w:val="00F827F6"/>
    <w:rsid w:val="00F82B0C"/>
    <w:rsid w:val="00F82BC3"/>
    <w:rsid w:val="00F82E87"/>
    <w:rsid w:val="00F82F39"/>
    <w:rsid w:val="00F82F41"/>
    <w:rsid w:val="00F8353F"/>
    <w:rsid w:val="00F83540"/>
    <w:rsid w:val="00F83A57"/>
    <w:rsid w:val="00F83B9E"/>
    <w:rsid w:val="00F83BC3"/>
    <w:rsid w:val="00F83DEE"/>
    <w:rsid w:val="00F8401C"/>
    <w:rsid w:val="00F8403B"/>
    <w:rsid w:val="00F8408D"/>
    <w:rsid w:val="00F841C0"/>
    <w:rsid w:val="00F844EC"/>
    <w:rsid w:val="00F84ADA"/>
    <w:rsid w:val="00F84DED"/>
    <w:rsid w:val="00F8539F"/>
    <w:rsid w:val="00F854CF"/>
    <w:rsid w:val="00F859D5"/>
    <w:rsid w:val="00F85A95"/>
    <w:rsid w:val="00F85F11"/>
    <w:rsid w:val="00F8605F"/>
    <w:rsid w:val="00F862E5"/>
    <w:rsid w:val="00F86514"/>
    <w:rsid w:val="00F8698E"/>
    <w:rsid w:val="00F86A79"/>
    <w:rsid w:val="00F86DFC"/>
    <w:rsid w:val="00F86E44"/>
    <w:rsid w:val="00F86F3A"/>
    <w:rsid w:val="00F871C1"/>
    <w:rsid w:val="00F87646"/>
    <w:rsid w:val="00F876CD"/>
    <w:rsid w:val="00F87DE3"/>
    <w:rsid w:val="00F90585"/>
    <w:rsid w:val="00F9060A"/>
    <w:rsid w:val="00F909DB"/>
    <w:rsid w:val="00F90BBE"/>
    <w:rsid w:val="00F90DFB"/>
    <w:rsid w:val="00F911DD"/>
    <w:rsid w:val="00F91233"/>
    <w:rsid w:val="00F913A7"/>
    <w:rsid w:val="00F9149B"/>
    <w:rsid w:val="00F915DD"/>
    <w:rsid w:val="00F9187A"/>
    <w:rsid w:val="00F91A36"/>
    <w:rsid w:val="00F91DAB"/>
    <w:rsid w:val="00F91EB9"/>
    <w:rsid w:val="00F92484"/>
    <w:rsid w:val="00F92783"/>
    <w:rsid w:val="00F927FC"/>
    <w:rsid w:val="00F928F5"/>
    <w:rsid w:val="00F928F8"/>
    <w:rsid w:val="00F92A28"/>
    <w:rsid w:val="00F92B09"/>
    <w:rsid w:val="00F92E22"/>
    <w:rsid w:val="00F92E73"/>
    <w:rsid w:val="00F92E92"/>
    <w:rsid w:val="00F92F72"/>
    <w:rsid w:val="00F93209"/>
    <w:rsid w:val="00F93821"/>
    <w:rsid w:val="00F93836"/>
    <w:rsid w:val="00F93CA8"/>
    <w:rsid w:val="00F93F8F"/>
    <w:rsid w:val="00F9403F"/>
    <w:rsid w:val="00F94855"/>
    <w:rsid w:val="00F94C4C"/>
    <w:rsid w:val="00F94F44"/>
    <w:rsid w:val="00F951EC"/>
    <w:rsid w:val="00F9533F"/>
    <w:rsid w:val="00F954FB"/>
    <w:rsid w:val="00F95664"/>
    <w:rsid w:val="00F95727"/>
    <w:rsid w:val="00F959DF"/>
    <w:rsid w:val="00F95BCA"/>
    <w:rsid w:val="00F95EB8"/>
    <w:rsid w:val="00F964B4"/>
    <w:rsid w:val="00F9668A"/>
    <w:rsid w:val="00F96DC5"/>
    <w:rsid w:val="00F97262"/>
    <w:rsid w:val="00F9732C"/>
    <w:rsid w:val="00F973B4"/>
    <w:rsid w:val="00F973D1"/>
    <w:rsid w:val="00F9743C"/>
    <w:rsid w:val="00F974A5"/>
    <w:rsid w:val="00F97570"/>
    <w:rsid w:val="00F9765E"/>
    <w:rsid w:val="00F9785F"/>
    <w:rsid w:val="00F9795E"/>
    <w:rsid w:val="00F97A2F"/>
    <w:rsid w:val="00F97B06"/>
    <w:rsid w:val="00F97FAE"/>
    <w:rsid w:val="00FA09D0"/>
    <w:rsid w:val="00FA0A29"/>
    <w:rsid w:val="00FA0A42"/>
    <w:rsid w:val="00FA0E50"/>
    <w:rsid w:val="00FA0EEB"/>
    <w:rsid w:val="00FA1175"/>
    <w:rsid w:val="00FA158F"/>
    <w:rsid w:val="00FA1A16"/>
    <w:rsid w:val="00FA1B63"/>
    <w:rsid w:val="00FA200F"/>
    <w:rsid w:val="00FA205C"/>
    <w:rsid w:val="00FA2570"/>
    <w:rsid w:val="00FA2CA2"/>
    <w:rsid w:val="00FA2D4C"/>
    <w:rsid w:val="00FA311E"/>
    <w:rsid w:val="00FA32AB"/>
    <w:rsid w:val="00FA32B0"/>
    <w:rsid w:val="00FA340F"/>
    <w:rsid w:val="00FA3713"/>
    <w:rsid w:val="00FA3797"/>
    <w:rsid w:val="00FA3D3A"/>
    <w:rsid w:val="00FA3ECD"/>
    <w:rsid w:val="00FA3FEA"/>
    <w:rsid w:val="00FA4349"/>
    <w:rsid w:val="00FA459E"/>
    <w:rsid w:val="00FA4685"/>
    <w:rsid w:val="00FA4CF1"/>
    <w:rsid w:val="00FA50BA"/>
    <w:rsid w:val="00FA50D0"/>
    <w:rsid w:val="00FA56CE"/>
    <w:rsid w:val="00FA5837"/>
    <w:rsid w:val="00FA5AF0"/>
    <w:rsid w:val="00FA6054"/>
    <w:rsid w:val="00FA6560"/>
    <w:rsid w:val="00FA65C4"/>
    <w:rsid w:val="00FA66E3"/>
    <w:rsid w:val="00FA6AB9"/>
    <w:rsid w:val="00FA7227"/>
    <w:rsid w:val="00FA724E"/>
    <w:rsid w:val="00FA72BD"/>
    <w:rsid w:val="00FA7E65"/>
    <w:rsid w:val="00FB0025"/>
    <w:rsid w:val="00FB024F"/>
    <w:rsid w:val="00FB0351"/>
    <w:rsid w:val="00FB04A5"/>
    <w:rsid w:val="00FB062C"/>
    <w:rsid w:val="00FB0BC4"/>
    <w:rsid w:val="00FB0D05"/>
    <w:rsid w:val="00FB121F"/>
    <w:rsid w:val="00FB13EC"/>
    <w:rsid w:val="00FB1B3C"/>
    <w:rsid w:val="00FB1C86"/>
    <w:rsid w:val="00FB1D7D"/>
    <w:rsid w:val="00FB1DC1"/>
    <w:rsid w:val="00FB2809"/>
    <w:rsid w:val="00FB2870"/>
    <w:rsid w:val="00FB2A8A"/>
    <w:rsid w:val="00FB2BD7"/>
    <w:rsid w:val="00FB3260"/>
    <w:rsid w:val="00FB34BB"/>
    <w:rsid w:val="00FB3B3B"/>
    <w:rsid w:val="00FB3CC8"/>
    <w:rsid w:val="00FB3F86"/>
    <w:rsid w:val="00FB40C0"/>
    <w:rsid w:val="00FB410D"/>
    <w:rsid w:val="00FB4DCB"/>
    <w:rsid w:val="00FB4E58"/>
    <w:rsid w:val="00FB501B"/>
    <w:rsid w:val="00FB5428"/>
    <w:rsid w:val="00FB59E5"/>
    <w:rsid w:val="00FB5BBB"/>
    <w:rsid w:val="00FB5C42"/>
    <w:rsid w:val="00FB5D3A"/>
    <w:rsid w:val="00FB5E31"/>
    <w:rsid w:val="00FB63B5"/>
    <w:rsid w:val="00FB63B8"/>
    <w:rsid w:val="00FB6788"/>
    <w:rsid w:val="00FB6962"/>
    <w:rsid w:val="00FB6C46"/>
    <w:rsid w:val="00FB6E03"/>
    <w:rsid w:val="00FB6E33"/>
    <w:rsid w:val="00FB7092"/>
    <w:rsid w:val="00FB7B1E"/>
    <w:rsid w:val="00FB7B47"/>
    <w:rsid w:val="00FB7E5D"/>
    <w:rsid w:val="00FC0074"/>
    <w:rsid w:val="00FC0086"/>
    <w:rsid w:val="00FC0845"/>
    <w:rsid w:val="00FC095F"/>
    <w:rsid w:val="00FC0A61"/>
    <w:rsid w:val="00FC0D5E"/>
    <w:rsid w:val="00FC12DC"/>
    <w:rsid w:val="00FC156E"/>
    <w:rsid w:val="00FC17F8"/>
    <w:rsid w:val="00FC3506"/>
    <w:rsid w:val="00FC35D4"/>
    <w:rsid w:val="00FC3666"/>
    <w:rsid w:val="00FC36D7"/>
    <w:rsid w:val="00FC3A2C"/>
    <w:rsid w:val="00FC3ADF"/>
    <w:rsid w:val="00FC3B68"/>
    <w:rsid w:val="00FC4396"/>
    <w:rsid w:val="00FC497A"/>
    <w:rsid w:val="00FC4E14"/>
    <w:rsid w:val="00FC580E"/>
    <w:rsid w:val="00FC5C81"/>
    <w:rsid w:val="00FC5E37"/>
    <w:rsid w:val="00FC5ED7"/>
    <w:rsid w:val="00FC61FD"/>
    <w:rsid w:val="00FC6604"/>
    <w:rsid w:val="00FC66A5"/>
    <w:rsid w:val="00FC6E10"/>
    <w:rsid w:val="00FC6E3B"/>
    <w:rsid w:val="00FC724F"/>
    <w:rsid w:val="00FC73D1"/>
    <w:rsid w:val="00FC73FB"/>
    <w:rsid w:val="00FC74A0"/>
    <w:rsid w:val="00FC76B3"/>
    <w:rsid w:val="00FD04B6"/>
    <w:rsid w:val="00FD0BB8"/>
    <w:rsid w:val="00FD0D8C"/>
    <w:rsid w:val="00FD0D9D"/>
    <w:rsid w:val="00FD0E16"/>
    <w:rsid w:val="00FD15DE"/>
    <w:rsid w:val="00FD16CD"/>
    <w:rsid w:val="00FD24BA"/>
    <w:rsid w:val="00FD25BE"/>
    <w:rsid w:val="00FD27DB"/>
    <w:rsid w:val="00FD28CB"/>
    <w:rsid w:val="00FD2A6F"/>
    <w:rsid w:val="00FD2E46"/>
    <w:rsid w:val="00FD2F46"/>
    <w:rsid w:val="00FD2FBD"/>
    <w:rsid w:val="00FD40C4"/>
    <w:rsid w:val="00FD40DC"/>
    <w:rsid w:val="00FD4370"/>
    <w:rsid w:val="00FD43C9"/>
    <w:rsid w:val="00FD459E"/>
    <w:rsid w:val="00FD4C4A"/>
    <w:rsid w:val="00FD4CE9"/>
    <w:rsid w:val="00FD6164"/>
    <w:rsid w:val="00FD697C"/>
    <w:rsid w:val="00FD6C8B"/>
    <w:rsid w:val="00FD6D00"/>
    <w:rsid w:val="00FD6D16"/>
    <w:rsid w:val="00FD711C"/>
    <w:rsid w:val="00FD73D3"/>
    <w:rsid w:val="00FD755C"/>
    <w:rsid w:val="00FD7646"/>
    <w:rsid w:val="00FD79F9"/>
    <w:rsid w:val="00FD7E6B"/>
    <w:rsid w:val="00FE06D3"/>
    <w:rsid w:val="00FE0782"/>
    <w:rsid w:val="00FE0A8D"/>
    <w:rsid w:val="00FE0C0C"/>
    <w:rsid w:val="00FE0CA8"/>
    <w:rsid w:val="00FE0D42"/>
    <w:rsid w:val="00FE1173"/>
    <w:rsid w:val="00FE11FD"/>
    <w:rsid w:val="00FE130E"/>
    <w:rsid w:val="00FE1ABC"/>
    <w:rsid w:val="00FE1B9A"/>
    <w:rsid w:val="00FE1BEB"/>
    <w:rsid w:val="00FE1F14"/>
    <w:rsid w:val="00FE2092"/>
    <w:rsid w:val="00FE21E2"/>
    <w:rsid w:val="00FE21EA"/>
    <w:rsid w:val="00FE23D2"/>
    <w:rsid w:val="00FE2A0C"/>
    <w:rsid w:val="00FE2B42"/>
    <w:rsid w:val="00FE3062"/>
    <w:rsid w:val="00FE3255"/>
    <w:rsid w:val="00FE39F0"/>
    <w:rsid w:val="00FE3AE6"/>
    <w:rsid w:val="00FE3C1C"/>
    <w:rsid w:val="00FE3DC1"/>
    <w:rsid w:val="00FE3EC4"/>
    <w:rsid w:val="00FE3FF7"/>
    <w:rsid w:val="00FE415F"/>
    <w:rsid w:val="00FE419B"/>
    <w:rsid w:val="00FE459D"/>
    <w:rsid w:val="00FE49A2"/>
    <w:rsid w:val="00FE49C1"/>
    <w:rsid w:val="00FE4A87"/>
    <w:rsid w:val="00FE4D07"/>
    <w:rsid w:val="00FE4FD5"/>
    <w:rsid w:val="00FE4FDB"/>
    <w:rsid w:val="00FE525E"/>
    <w:rsid w:val="00FE5608"/>
    <w:rsid w:val="00FE5830"/>
    <w:rsid w:val="00FE59B9"/>
    <w:rsid w:val="00FE6398"/>
    <w:rsid w:val="00FE64A7"/>
    <w:rsid w:val="00FE6750"/>
    <w:rsid w:val="00FE67D6"/>
    <w:rsid w:val="00FE697C"/>
    <w:rsid w:val="00FE6B9A"/>
    <w:rsid w:val="00FE6C5B"/>
    <w:rsid w:val="00FE6E79"/>
    <w:rsid w:val="00FE6F61"/>
    <w:rsid w:val="00FE73F7"/>
    <w:rsid w:val="00FE7547"/>
    <w:rsid w:val="00FE7E48"/>
    <w:rsid w:val="00FF00E0"/>
    <w:rsid w:val="00FF05B8"/>
    <w:rsid w:val="00FF0808"/>
    <w:rsid w:val="00FF0A49"/>
    <w:rsid w:val="00FF0A85"/>
    <w:rsid w:val="00FF10BE"/>
    <w:rsid w:val="00FF1194"/>
    <w:rsid w:val="00FF1406"/>
    <w:rsid w:val="00FF158C"/>
    <w:rsid w:val="00FF15AD"/>
    <w:rsid w:val="00FF1708"/>
    <w:rsid w:val="00FF176A"/>
    <w:rsid w:val="00FF18BD"/>
    <w:rsid w:val="00FF198A"/>
    <w:rsid w:val="00FF19F0"/>
    <w:rsid w:val="00FF1A08"/>
    <w:rsid w:val="00FF1AF9"/>
    <w:rsid w:val="00FF1B65"/>
    <w:rsid w:val="00FF1D9A"/>
    <w:rsid w:val="00FF225E"/>
    <w:rsid w:val="00FF255C"/>
    <w:rsid w:val="00FF2A0D"/>
    <w:rsid w:val="00FF2D14"/>
    <w:rsid w:val="00FF2F43"/>
    <w:rsid w:val="00FF33C3"/>
    <w:rsid w:val="00FF3EF2"/>
    <w:rsid w:val="00FF4225"/>
    <w:rsid w:val="00FF4766"/>
    <w:rsid w:val="00FF5006"/>
    <w:rsid w:val="00FF500D"/>
    <w:rsid w:val="00FF50AC"/>
    <w:rsid w:val="00FF586C"/>
    <w:rsid w:val="00FF5AF5"/>
    <w:rsid w:val="00FF5E92"/>
    <w:rsid w:val="00FF6295"/>
    <w:rsid w:val="00FF6514"/>
    <w:rsid w:val="00FF65BE"/>
    <w:rsid w:val="00FF6A0A"/>
    <w:rsid w:val="00FF7BD3"/>
    <w:rsid w:val="00FF7F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fillcolor="white">
      <v:fill color="white"/>
    </o:shapedefaults>
    <o:shapelayout v:ext="edit">
      <o:idmap v:ext="edit" data="2"/>
    </o:shapelayout>
  </w:shapeDefaults>
  <w:doNotEmbedSmartTags/>
  <w:decimalSymbol w:val="."/>
  <w:listSeparator w:val=","/>
  <w14:docId w14:val="7F73B9ED"/>
  <w15:docId w15:val="{F161DA89-8494-41E1-83CC-7936E4281C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iPriority="99"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3466C"/>
    <w:rPr>
      <w:sz w:val="24"/>
      <w:szCs w:val="24"/>
    </w:rPr>
  </w:style>
  <w:style w:type="paragraph" w:styleId="Heading1">
    <w:name w:val="heading 1"/>
    <w:basedOn w:val="Normal"/>
    <w:next w:val="Normal"/>
    <w:link w:val="Heading1Char"/>
    <w:qFormat/>
    <w:pPr>
      <w:keepNext/>
      <w:spacing w:before="240" w:after="60"/>
      <w:outlineLvl w:val="0"/>
    </w:pPr>
    <w:rPr>
      <w:rFonts w:ascii="Arial" w:hAnsi="Arial" w:cs="Arial"/>
      <w:b/>
      <w:bCs/>
      <w:kern w:val="32"/>
      <w:sz w:val="36"/>
      <w:szCs w:val="32"/>
    </w:rPr>
  </w:style>
  <w:style w:type="paragraph" w:styleId="Heading2">
    <w:name w:val="heading 2"/>
    <w:aliases w:val="Heading for title,head 2"/>
    <w:basedOn w:val="Normal"/>
    <w:next w:val="Normal"/>
    <w:link w:val="Heading2Char"/>
    <w:qFormat/>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1"/>
    <w:qFormat/>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pPr>
      <w:keepNext/>
      <w:spacing w:before="240" w:after="60"/>
      <w:outlineLvl w:val="3"/>
    </w:pPr>
    <w:rPr>
      <w:rFonts w:ascii="Arial" w:hAnsi="Arial"/>
      <w:b/>
      <w:sz w:val="22"/>
    </w:rPr>
  </w:style>
  <w:style w:type="paragraph" w:styleId="Heading5">
    <w:name w:val="heading 5"/>
    <w:basedOn w:val="Normal"/>
    <w:next w:val="Normal"/>
    <w:qFormat/>
    <w:pPr>
      <w:keepNext/>
      <w:numPr>
        <w:ilvl w:val="4"/>
        <w:numId w:val="1"/>
      </w:numPr>
      <w:outlineLvl w:val="4"/>
    </w:pPr>
    <w:rPr>
      <w:b/>
      <w:szCs w:val="20"/>
    </w:rPr>
  </w:style>
  <w:style w:type="paragraph" w:styleId="Heading6">
    <w:name w:val="heading 6"/>
    <w:basedOn w:val="Normal"/>
    <w:next w:val="Normal"/>
    <w:qFormat/>
    <w:pPr>
      <w:numPr>
        <w:ilvl w:val="5"/>
        <w:numId w:val="1"/>
      </w:numPr>
      <w:spacing w:before="240" w:after="60"/>
      <w:outlineLvl w:val="5"/>
    </w:pPr>
    <w:rPr>
      <w:b/>
      <w:sz w:val="22"/>
      <w:szCs w:val="20"/>
    </w:rPr>
  </w:style>
  <w:style w:type="paragraph" w:styleId="Heading7">
    <w:name w:val="heading 7"/>
    <w:basedOn w:val="Normal"/>
    <w:next w:val="Normal"/>
    <w:qFormat/>
    <w:pPr>
      <w:numPr>
        <w:ilvl w:val="6"/>
        <w:numId w:val="1"/>
      </w:numPr>
      <w:spacing w:before="240" w:after="60"/>
      <w:outlineLvl w:val="6"/>
    </w:pPr>
    <w:rPr>
      <w:szCs w:val="20"/>
    </w:rPr>
  </w:style>
  <w:style w:type="paragraph" w:styleId="Heading8">
    <w:name w:val="heading 8"/>
    <w:basedOn w:val="Normal"/>
    <w:next w:val="Normal"/>
    <w:qFormat/>
    <w:pPr>
      <w:numPr>
        <w:ilvl w:val="7"/>
        <w:numId w:val="1"/>
      </w:numPr>
      <w:spacing w:before="240" w:after="60"/>
      <w:outlineLvl w:val="7"/>
    </w:pPr>
    <w:rPr>
      <w:i/>
      <w:szCs w:val="20"/>
    </w:rPr>
  </w:style>
  <w:style w:type="paragraph" w:styleId="Heading9">
    <w:name w:val="heading 9"/>
    <w:basedOn w:val="Normal"/>
    <w:next w:val="Normal"/>
    <w:qFormat/>
    <w:pPr>
      <w:numPr>
        <w:ilvl w:val="8"/>
        <w:numId w:val="1"/>
      </w:numPr>
      <w:spacing w:before="240" w:after="60"/>
      <w:outlineLvl w:val="8"/>
    </w:pPr>
    <w:rPr>
      <w:rFonts w:ascii="Arial" w:hAnsi="Arial"/>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2E3C00"/>
    <w:rPr>
      <w:rFonts w:ascii="Arial" w:hAnsi="Arial" w:cs="Arial"/>
      <w:b/>
      <w:bCs/>
      <w:kern w:val="32"/>
      <w:sz w:val="36"/>
      <w:szCs w:val="32"/>
      <w:lang w:val="en-US" w:eastAsia="en-US" w:bidi="ar-SA"/>
    </w:rPr>
  </w:style>
  <w:style w:type="character" w:customStyle="1" w:styleId="Heading3Char1">
    <w:name w:val="Heading 3 Char1"/>
    <w:link w:val="Heading3"/>
    <w:rsid w:val="00C12CF8"/>
    <w:rPr>
      <w:rFonts w:ascii="Arial" w:hAnsi="Arial" w:cs="Arial"/>
      <w:b/>
      <w:bCs/>
      <w:sz w:val="26"/>
      <w:szCs w:val="26"/>
      <w:lang w:val="en-US" w:eastAsia="en-US" w:bidi="ar-SA"/>
    </w:rPr>
  </w:style>
  <w:style w:type="character" w:customStyle="1" w:styleId="Heading4Char">
    <w:name w:val="Heading 4 Char"/>
    <w:link w:val="Heading4"/>
    <w:rsid w:val="00896F17"/>
    <w:rPr>
      <w:rFonts w:ascii="Arial" w:hAnsi="Arial"/>
      <w:b/>
      <w:sz w:val="22"/>
      <w:szCs w:val="24"/>
      <w:lang w:val="en-US" w:eastAsia="en-US" w:bidi="ar-SA"/>
    </w:rPr>
  </w:style>
  <w:style w:type="character" w:customStyle="1" w:styleId="Char">
    <w:name w:val="Char"/>
    <w:semiHidden/>
    <w:rPr>
      <w:sz w:val="22"/>
      <w:lang w:val="en-US" w:eastAsia="en-US" w:bidi="ar-SA"/>
    </w:rPr>
  </w:style>
  <w:style w:type="paragraph" w:styleId="Header">
    <w:name w:val="header"/>
    <w:basedOn w:val="Normal"/>
    <w:pPr>
      <w:tabs>
        <w:tab w:val="center" w:pos="4320"/>
        <w:tab w:val="right" w:pos="8640"/>
      </w:tabs>
    </w:pPr>
  </w:style>
  <w:style w:type="paragraph" w:customStyle="1" w:styleId="TitlePage">
    <w:name w:val="TitlePage"/>
    <w:basedOn w:val="Normal"/>
    <w:rPr>
      <w:rFonts w:ascii="Arial" w:hAnsi="Arial"/>
    </w:r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paragraph" w:styleId="TOC1">
    <w:name w:val="toc 1"/>
    <w:basedOn w:val="Normal"/>
    <w:next w:val="Normal"/>
    <w:uiPriority w:val="39"/>
    <w:pPr>
      <w:spacing w:before="120" w:after="120"/>
    </w:pPr>
    <w:rPr>
      <w:b/>
      <w:caps/>
      <w:sz w:val="22"/>
      <w:szCs w:val="22"/>
    </w:rPr>
  </w:style>
  <w:style w:type="paragraph" w:styleId="TOC2">
    <w:name w:val="toc 2"/>
    <w:basedOn w:val="Normal"/>
    <w:next w:val="Normal"/>
    <w:uiPriority w:val="39"/>
    <w:pPr>
      <w:ind w:left="245"/>
    </w:pPr>
    <w:rPr>
      <w:smallCaps/>
      <w:sz w:val="22"/>
      <w:szCs w:val="22"/>
    </w:rPr>
  </w:style>
  <w:style w:type="paragraph" w:styleId="TOC3">
    <w:name w:val="toc 3"/>
    <w:basedOn w:val="Normal"/>
    <w:next w:val="Normal"/>
    <w:uiPriority w:val="39"/>
    <w:pPr>
      <w:ind w:left="475"/>
    </w:pPr>
    <w:rPr>
      <w:sz w:val="22"/>
      <w:szCs w:val="22"/>
    </w:rPr>
  </w:style>
  <w:style w:type="paragraph" w:styleId="TOC4">
    <w:name w:val="toc 4"/>
    <w:basedOn w:val="Normal"/>
    <w:next w:val="Normal"/>
    <w:uiPriority w:val="39"/>
    <w:pPr>
      <w:ind w:left="720"/>
    </w:pPr>
    <w:rPr>
      <w:sz w:val="22"/>
    </w:rPr>
  </w:style>
  <w:style w:type="paragraph" w:styleId="TOC5">
    <w:name w:val="toc 5"/>
    <w:basedOn w:val="Normal"/>
    <w:next w:val="Normal"/>
    <w:autoRedefine/>
    <w:uiPriority w:val="39"/>
    <w:pPr>
      <w:ind w:left="960"/>
    </w:pPr>
  </w:style>
  <w:style w:type="paragraph" w:styleId="TOC6">
    <w:name w:val="toc 6"/>
    <w:basedOn w:val="Normal"/>
    <w:next w:val="Normal"/>
    <w:autoRedefine/>
    <w:uiPriority w:val="39"/>
    <w:pPr>
      <w:ind w:left="1200"/>
    </w:pPr>
  </w:style>
  <w:style w:type="paragraph" w:styleId="TOC7">
    <w:name w:val="toc 7"/>
    <w:basedOn w:val="Normal"/>
    <w:next w:val="Normal"/>
    <w:autoRedefine/>
    <w:uiPriority w:val="39"/>
    <w:pPr>
      <w:ind w:left="1440"/>
    </w:pPr>
  </w:style>
  <w:style w:type="paragraph" w:styleId="TOC8">
    <w:name w:val="toc 8"/>
    <w:basedOn w:val="Normal"/>
    <w:next w:val="Normal"/>
    <w:autoRedefine/>
    <w:uiPriority w:val="39"/>
    <w:pPr>
      <w:ind w:left="1680"/>
    </w:pPr>
  </w:style>
  <w:style w:type="paragraph" w:styleId="TOC9">
    <w:name w:val="toc 9"/>
    <w:basedOn w:val="Normal"/>
    <w:next w:val="Normal"/>
    <w:autoRedefine/>
    <w:uiPriority w:val="39"/>
    <w:pPr>
      <w:ind w:left="1920"/>
    </w:pPr>
  </w:style>
  <w:style w:type="character" w:styleId="Hyperlink">
    <w:name w:val="Hyperlink"/>
    <w:uiPriority w:val="99"/>
    <w:rPr>
      <w:color w:val="0000FF"/>
      <w:u w:val="single"/>
    </w:rPr>
  </w:style>
  <w:style w:type="paragraph" w:styleId="ListBullet">
    <w:name w:val="List Bullet"/>
    <w:basedOn w:val="Normal"/>
    <w:rsid w:val="00BB52F5"/>
    <w:pPr>
      <w:numPr>
        <w:numId w:val="15"/>
      </w:numPr>
      <w:spacing w:line="240" w:lineRule="atLeast"/>
    </w:pPr>
    <w:rPr>
      <w:spacing w:val="-5"/>
      <w:sz w:val="22"/>
      <w:szCs w:val="22"/>
    </w:rPr>
  </w:style>
  <w:style w:type="paragraph" w:customStyle="1" w:styleId="Bullhorn">
    <w:name w:val="Bullhorn"/>
    <w:basedOn w:val="TableText"/>
    <w:next w:val="TableText"/>
    <w:link w:val="BullhornChar"/>
    <w:rsid w:val="00896F17"/>
    <w:rPr>
      <w:rFonts w:ascii="Webdings" w:hAnsi="Webdings"/>
      <w:sz w:val="40"/>
    </w:rPr>
  </w:style>
  <w:style w:type="paragraph" w:customStyle="1" w:styleId="TableText">
    <w:name w:val="Table Text"/>
    <w:basedOn w:val="Normal"/>
    <w:link w:val="TableTextChar6"/>
    <w:rsid w:val="00584AF9"/>
    <w:rPr>
      <w:rFonts w:ascii="Arial" w:hAnsi="Arial"/>
      <w:sz w:val="18"/>
    </w:rPr>
  </w:style>
  <w:style w:type="character" w:customStyle="1" w:styleId="TableTextChar6">
    <w:name w:val="Table Text Char6"/>
    <w:link w:val="TableText"/>
    <w:rsid w:val="00584AF9"/>
    <w:rPr>
      <w:rFonts w:ascii="Arial" w:hAnsi="Arial"/>
      <w:sz w:val="18"/>
      <w:szCs w:val="24"/>
      <w:lang w:val="en-US" w:eastAsia="en-US" w:bidi="ar-SA"/>
    </w:rPr>
  </w:style>
  <w:style w:type="character" w:customStyle="1" w:styleId="BullhornChar">
    <w:name w:val="Bullhorn Char"/>
    <w:link w:val="Bullhorn"/>
    <w:rsid w:val="00896F17"/>
    <w:rPr>
      <w:rFonts w:ascii="Webdings" w:hAnsi="Webdings"/>
      <w:sz w:val="40"/>
      <w:szCs w:val="24"/>
      <w:lang w:val="en-US" w:eastAsia="en-US" w:bidi="ar-SA"/>
    </w:rPr>
  </w:style>
  <w:style w:type="paragraph" w:styleId="BodyText">
    <w:name w:val="Body Text"/>
    <w:basedOn w:val="Normal"/>
    <w:link w:val="BodyTextChar"/>
    <w:uiPriority w:val="99"/>
    <w:rsid w:val="00EE665E"/>
    <w:pPr>
      <w:spacing w:before="60" w:after="120"/>
    </w:pPr>
    <w:rPr>
      <w:sz w:val="22"/>
      <w:szCs w:val="22"/>
    </w:rPr>
  </w:style>
  <w:style w:type="character" w:customStyle="1" w:styleId="BodyTextChar">
    <w:name w:val="Body Text Char"/>
    <w:link w:val="BodyText"/>
    <w:uiPriority w:val="99"/>
    <w:rsid w:val="00EE665E"/>
    <w:rPr>
      <w:sz w:val="22"/>
      <w:szCs w:val="22"/>
      <w:lang w:val="en-US" w:eastAsia="en-US" w:bidi="ar-SA"/>
    </w:rPr>
  </w:style>
  <w:style w:type="table" w:styleId="TableGrid">
    <w:name w:val="Table Grid"/>
    <w:basedOn w:val="TableNormal"/>
    <w:rsid w:val="005F65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list">
    <w:name w:val="Bullet list"/>
    <w:basedOn w:val="Normal"/>
    <w:autoRedefine/>
    <w:pPr>
      <w:numPr>
        <w:numId w:val="9"/>
      </w:numPr>
      <w:tabs>
        <w:tab w:val="clear" w:pos="1080"/>
        <w:tab w:val="left" w:pos="1350"/>
      </w:tabs>
      <w:ind w:left="0" w:firstLine="0"/>
    </w:pPr>
    <w:rPr>
      <w:rFonts w:ascii="Geneva" w:hAnsi="Geneva"/>
      <w:sz w:val="22"/>
      <w:szCs w:val="20"/>
    </w:rPr>
  </w:style>
  <w:style w:type="paragraph" w:customStyle="1" w:styleId="TableofContents">
    <w:name w:val="Table of Contents"/>
    <w:basedOn w:val="Heading1"/>
  </w:style>
  <w:style w:type="paragraph" w:customStyle="1" w:styleId="GlossaryTableTextBullets">
    <w:name w:val="Glossary Table Text Bullets"/>
    <w:basedOn w:val="GlossaryTableText"/>
    <w:pPr>
      <w:numPr>
        <w:numId w:val="11"/>
      </w:numPr>
    </w:pPr>
  </w:style>
  <w:style w:type="paragraph" w:customStyle="1" w:styleId="GlossaryTableText">
    <w:name w:val="Glossary Table Text"/>
    <w:basedOn w:val="TableText"/>
    <w:next w:val="TableText"/>
    <w:pPr>
      <w:spacing w:after="60"/>
    </w:pPr>
    <w:rPr>
      <w:rFonts w:eastAsia="Symbol"/>
      <w:sz w:val="20"/>
      <w:szCs w:val="20"/>
    </w:rPr>
  </w:style>
  <w:style w:type="character" w:customStyle="1" w:styleId="TableTextChar1">
    <w:name w:val="Table Text Char1"/>
    <w:rPr>
      <w:rFonts w:ascii="Arial" w:hAnsi="Arial"/>
      <w:sz w:val="18"/>
      <w:szCs w:val="24"/>
      <w:lang w:val="en-US" w:eastAsia="en-US" w:bidi="ar-SA"/>
    </w:rPr>
  </w:style>
  <w:style w:type="paragraph" w:styleId="ListBullet2">
    <w:name w:val="List Bullet 2"/>
    <w:basedOn w:val="BodyText"/>
    <w:rsid w:val="00EB1E75"/>
    <w:pPr>
      <w:numPr>
        <w:numId w:val="8"/>
      </w:numPr>
      <w:spacing w:before="0" w:after="0"/>
    </w:pPr>
  </w:style>
  <w:style w:type="character" w:customStyle="1" w:styleId="NotesTextChar5">
    <w:name w:val="Notes Text Char5"/>
    <w:rPr>
      <w:rFonts w:ascii="Arial" w:hAnsi="Arial"/>
      <w:color w:val="000000"/>
      <w:sz w:val="18"/>
      <w:szCs w:val="24"/>
      <w:lang w:val="en-US" w:eastAsia="en-US" w:bidi="ar-SA"/>
    </w:rPr>
  </w:style>
  <w:style w:type="character" w:styleId="CommentReference">
    <w:name w:val="annotation reference"/>
    <w:semiHidden/>
    <w:rPr>
      <w:sz w:val="16"/>
      <w:szCs w:val="16"/>
    </w:rPr>
  </w:style>
  <w:style w:type="paragraph" w:styleId="CommentText">
    <w:name w:val="annotation text"/>
    <w:basedOn w:val="Normal"/>
    <w:link w:val="CommentTextChar"/>
    <w:uiPriority w:val="99"/>
    <w:pPr>
      <w:tabs>
        <w:tab w:val="num" w:pos="1080"/>
      </w:tabs>
      <w:ind w:left="1080" w:hanging="360"/>
    </w:pPr>
    <w:rPr>
      <w:sz w:val="20"/>
      <w:szCs w:val="20"/>
    </w:rPr>
  </w:style>
  <w:style w:type="paragraph" w:styleId="CommentSubject">
    <w:name w:val="annotation subject"/>
    <w:basedOn w:val="CommentText"/>
    <w:next w:val="CommentText"/>
    <w:semiHidden/>
    <w:rPr>
      <w:b/>
      <w:bCs/>
    </w:rPr>
  </w:style>
  <w:style w:type="paragraph" w:styleId="BalloonText">
    <w:name w:val="Balloon Text"/>
    <w:basedOn w:val="Normal"/>
    <w:semiHidden/>
    <w:rPr>
      <w:sz w:val="16"/>
      <w:szCs w:val="16"/>
    </w:rPr>
  </w:style>
  <w:style w:type="paragraph" w:customStyle="1" w:styleId="StyleTitlePageCentered">
    <w:name w:val="Style TitlePage + Centered"/>
    <w:basedOn w:val="TitlePage"/>
    <w:pPr>
      <w:jc w:val="center"/>
    </w:pPr>
    <w:rPr>
      <w:sz w:val="44"/>
      <w:szCs w:val="44"/>
    </w:rPr>
  </w:style>
  <w:style w:type="paragraph" w:customStyle="1" w:styleId="StyleTitlePageBottom">
    <w:name w:val="StyleTitlePageBottom"/>
    <w:basedOn w:val="StyleTitlePageCentered"/>
    <w:rPr>
      <w:sz w:val="28"/>
    </w:rPr>
  </w:style>
  <w:style w:type="paragraph" w:customStyle="1" w:styleId="proclabel">
    <w:name w:val="proclabel"/>
    <w:basedOn w:val="Normal"/>
    <w:pPr>
      <w:spacing w:before="100" w:beforeAutospacing="1" w:after="100" w:afterAutospacing="1"/>
    </w:pPr>
  </w:style>
  <w:style w:type="character" w:styleId="FollowedHyperlink">
    <w:name w:val="FollowedHyperlink"/>
    <w:uiPriority w:val="99"/>
    <w:rPr>
      <w:color w:val="800080"/>
      <w:u w:val="single"/>
    </w:rPr>
  </w:style>
  <w:style w:type="paragraph" w:styleId="Caption">
    <w:name w:val="caption"/>
    <w:basedOn w:val="Normal"/>
    <w:next w:val="BodyText"/>
    <w:link w:val="CaptionChar1"/>
    <w:qFormat/>
    <w:rsid w:val="00453B6E"/>
    <w:pPr>
      <w:keepNext/>
      <w:spacing w:before="120" w:after="120"/>
    </w:pPr>
    <w:rPr>
      <w:b/>
      <w:sz w:val="22"/>
      <w:szCs w:val="22"/>
    </w:rPr>
  </w:style>
  <w:style w:type="character" w:customStyle="1" w:styleId="Char1">
    <w:name w:val="Char1"/>
    <w:semiHidden/>
    <w:rPr>
      <w:rFonts w:ascii="Arial" w:hAnsi="Arial" w:cs="Arial"/>
      <w:b/>
      <w:bCs/>
      <w:sz w:val="26"/>
      <w:szCs w:val="26"/>
      <w:lang w:val="en-US" w:eastAsia="en-US" w:bidi="ar-SA"/>
    </w:rPr>
  </w:style>
  <w:style w:type="paragraph" w:customStyle="1" w:styleId="TableTextBullet">
    <w:name w:val="Table Text Bullet"/>
    <w:basedOn w:val="TableText"/>
    <w:link w:val="TableTextBulletChar1"/>
    <w:rsid w:val="00B93B42"/>
    <w:pPr>
      <w:numPr>
        <w:numId w:val="12"/>
      </w:numPr>
    </w:pPr>
  </w:style>
  <w:style w:type="paragraph" w:styleId="BodyTextIndent2">
    <w:name w:val="Body Text Indent 2"/>
    <w:basedOn w:val="Normal"/>
    <w:pPr>
      <w:spacing w:after="120" w:line="480" w:lineRule="auto"/>
      <w:ind w:left="360"/>
    </w:pPr>
  </w:style>
  <w:style w:type="paragraph" w:styleId="Index1">
    <w:name w:val="index 1"/>
    <w:basedOn w:val="Normal"/>
    <w:next w:val="Normal"/>
    <w:uiPriority w:val="99"/>
    <w:semiHidden/>
    <w:rsid w:val="00E93F17"/>
    <w:pPr>
      <w:ind w:left="240" w:hanging="240"/>
    </w:pPr>
    <w:rPr>
      <w:sz w:val="18"/>
      <w:szCs w:val="18"/>
    </w:rPr>
  </w:style>
  <w:style w:type="paragraph" w:styleId="Index2">
    <w:name w:val="index 2"/>
    <w:basedOn w:val="Normal"/>
    <w:next w:val="Normal"/>
    <w:uiPriority w:val="99"/>
    <w:semiHidden/>
    <w:pPr>
      <w:ind w:left="480" w:hanging="240"/>
    </w:pPr>
    <w:rPr>
      <w:sz w:val="18"/>
      <w:szCs w:val="18"/>
    </w:rPr>
  </w:style>
  <w:style w:type="paragraph" w:styleId="Index3">
    <w:name w:val="index 3"/>
    <w:basedOn w:val="Normal"/>
    <w:next w:val="Normal"/>
    <w:autoRedefine/>
    <w:uiPriority w:val="99"/>
    <w:semiHidden/>
    <w:pPr>
      <w:ind w:left="720" w:hanging="240"/>
    </w:pPr>
    <w:rPr>
      <w:sz w:val="18"/>
      <w:szCs w:val="18"/>
    </w:rPr>
  </w:style>
  <w:style w:type="paragraph" w:styleId="Index4">
    <w:name w:val="index 4"/>
    <w:basedOn w:val="Normal"/>
    <w:next w:val="Normal"/>
    <w:autoRedefine/>
    <w:semiHidden/>
    <w:pPr>
      <w:ind w:left="960" w:hanging="240"/>
    </w:pPr>
    <w:rPr>
      <w:sz w:val="18"/>
      <w:szCs w:val="18"/>
    </w:rPr>
  </w:style>
  <w:style w:type="paragraph" w:customStyle="1" w:styleId="TableTextNumbers">
    <w:name w:val="Table Text Numbers"/>
    <w:basedOn w:val="TableText"/>
    <w:link w:val="TableTextNumbersCharChar"/>
    <w:rsid w:val="00584AF9"/>
    <w:pPr>
      <w:numPr>
        <w:numId w:val="4"/>
      </w:numPr>
    </w:pPr>
  </w:style>
  <w:style w:type="character" w:customStyle="1" w:styleId="TableTextNumbersCharChar">
    <w:name w:val="Table Text Numbers Char Char"/>
    <w:basedOn w:val="TableTextChar6"/>
    <w:link w:val="TableTextNumbers"/>
    <w:rsid w:val="00584AF9"/>
    <w:rPr>
      <w:rFonts w:ascii="Arial" w:hAnsi="Arial"/>
      <w:sz w:val="18"/>
      <w:szCs w:val="24"/>
      <w:lang w:val="en-US" w:eastAsia="en-US" w:bidi="ar-SA"/>
    </w:rPr>
  </w:style>
  <w:style w:type="character" w:customStyle="1" w:styleId="TableTextNumbersChar">
    <w:name w:val="Table Text Numbers Char"/>
    <w:rPr>
      <w:rFonts w:ascii="Arial" w:hAnsi="Arial"/>
      <w:sz w:val="18"/>
      <w:szCs w:val="24"/>
      <w:lang w:val="en-US" w:eastAsia="en-US" w:bidi="ar-SA"/>
    </w:rPr>
  </w:style>
  <w:style w:type="character" w:customStyle="1" w:styleId="Heading3Char">
    <w:name w:val="Heading 3 Char"/>
    <w:rPr>
      <w:rFonts w:ascii="Arial" w:hAnsi="Arial" w:cs="Arial"/>
      <w:b/>
      <w:bCs/>
      <w:sz w:val="26"/>
      <w:szCs w:val="26"/>
      <w:lang w:val="en-US" w:eastAsia="en-US" w:bidi="ar-SA"/>
    </w:rPr>
  </w:style>
  <w:style w:type="paragraph" w:customStyle="1" w:styleId="Caution">
    <w:name w:val="Caution"/>
    <w:basedOn w:val="Normal"/>
    <w:link w:val="CautionChar"/>
    <w:pPr>
      <w:pBdr>
        <w:top w:val="single" w:sz="4" w:space="6" w:color="auto"/>
        <w:left w:val="single" w:sz="4" w:space="4" w:color="auto"/>
        <w:bottom w:val="single" w:sz="4" w:space="6" w:color="auto"/>
        <w:right w:val="single" w:sz="4" w:space="0" w:color="auto"/>
      </w:pBdr>
      <w:spacing w:before="120" w:after="120"/>
    </w:pPr>
    <w:rPr>
      <w:i/>
      <w:iCs/>
      <w:sz w:val="22"/>
      <w:szCs w:val="20"/>
    </w:rPr>
  </w:style>
  <w:style w:type="character" w:customStyle="1" w:styleId="CautionChar">
    <w:name w:val="Caution Char"/>
    <w:link w:val="Caution"/>
    <w:rsid w:val="002E3C00"/>
    <w:rPr>
      <w:i/>
      <w:iCs/>
      <w:sz w:val="22"/>
      <w:lang w:val="en-US" w:eastAsia="en-US" w:bidi="ar-SA"/>
    </w:rPr>
  </w:style>
  <w:style w:type="paragraph" w:customStyle="1" w:styleId="TableTextBullet1">
    <w:name w:val="Table Text Bullet 1"/>
    <w:basedOn w:val="TableText"/>
    <w:pPr>
      <w:numPr>
        <w:numId w:val="6"/>
      </w:numPr>
    </w:pPr>
  </w:style>
  <w:style w:type="character" w:customStyle="1" w:styleId="CaptionChar1">
    <w:name w:val="Caption Char1"/>
    <w:link w:val="Caption"/>
    <w:rsid w:val="00453B6E"/>
    <w:rPr>
      <w:b/>
      <w:sz w:val="22"/>
      <w:szCs w:val="22"/>
      <w:lang w:val="en-US" w:eastAsia="en-US" w:bidi="ar-SA"/>
    </w:rPr>
  </w:style>
  <w:style w:type="paragraph" w:customStyle="1" w:styleId="StyleTableText9ptChar">
    <w:name w:val="Style Table Text + 9 pt Char"/>
    <w:basedOn w:val="TableText"/>
    <w:rsid w:val="00A906CD"/>
    <w:rPr>
      <w:color w:val="000000"/>
      <w:szCs w:val="18"/>
    </w:rPr>
  </w:style>
  <w:style w:type="character" w:customStyle="1" w:styleId="historydatafont1">
    <w:name w:val="historydatafont1"/>
    <w:rPr>
      <w:rFonts w:ascii="Arial" w:hAnsi="Arial" w:cs="Arial" w:hint="default"/>
      <w:color w:val="000000"/>
      <w:sz w:val="20"/>
      <w:szCs w:val="20"/>
    </w:rPr>
  </w:style>
  <w:style w:type="paragraph" w:customStyle="1" w:styleId="HeaderDocumentType">
    <w:name w:val="Header Document Type"/>
    <w:basedOn w:val="Normal"/>
    <w:pPr>
      <w:spacing w:after="120"/>
      <w:jc w:val="center"/>
    </w:pPr>
    <w:rPr>
      <w:szCs w:val="20"/>
    </w:rPr>
  </w:style>
  <w:style w:type="paragraph" w:customStyle="1" w:styleId="TableTextHeader">
    <w:name w:val="Table Text Header"/>
    <w:basedOn w:val="TableText"/>
    <w:pPr>
      <w:jc w:val="center"/>
    </w:pPr>
    <w:rPr>
      <w:b/>
      <w:color w:val="000000"/>
      <w:szCs w:val="20"/>
    </w:rPr>
  </w:style>
  <w:style w:type="paragraph" w:styleId="ListNumber">
    <w:name w:val="List Number"/>
    <w:basedOn w:val="Normal"/>
    <w:rsid w:val="006B270F"/>
    <w:rPr>
      <w:sz w:val="22"/>
      <w:szCs w:val="22"/>
    </w:rPr>
  </w:style>
  <w:style w:type="paragraph" w:styleId="ListNumber2">
    <w:name w:val="List Number 2"/>
    <w:basedOn w:val="Normal"/>
    <w:pPr>
      <w:numPr>
        <w:numId w:val="40"/>
      </w:numPr>
    </w:pPr>
    <w:rPr>
      <w:szCs w:val="20"/>
    </w:rPr>
  </w:style>
  <w:style w:type="paragraph" w:customStyle="1" w:styleId="Version">
    <w:name w:val="Version"/>
    <w:basedOn w:val="Normal"/>
    <w:next w:val="Normal"/>
    <w:pPr>
      <w:spacing w:after="480"/>
      <w:jc w:val="center"/>
    </w:pPr>
    <w:rPr>
      <w:b/>
      <w:szCs w:val="20"/>
    </w:rPr>
  </w:style>
  <w:style w:type="paragraph" w:customStyle="1" w:styleId="Part">
    <w:name w:val="Part"/>
    <w:basedOn w:val="Normal"/>
    <w:pPr>
      <w:pBdr>
        <w:top w:val="single" w:sz="4" w:space="1" w:color="auto"/>
      </w:pBdr>
      <w:ind w:left="720"/>
    </w:pPr>
    <w:rPr>
      <w:rFonts w:ascii="Symbol" w:hAnsi="Symbol"/>
      <w:b/>
      <w:color w:val="808080"/>
      <w:sz w:val="48"/>
      <w:szCs w:val="20"/>
    </w:rPr>
  </w:style>
  <w:style w:type="paragraph" w:customStyle="1" w:styleId="Style1">
    <w:name w:val="Style1"/>
    <w:basedOn w:val="Normal"/>
    <w:autoRedefine/>
    <w:rPr>
      <w:b/>
      <w:bCs/>
      <w:szCs w:val="20"/>
    </w:rPr>
  </w:style>
  <w:style w:type="paragraph" w:styleId="ListNumber3">
    <w:name w:val="List Number 3"/>
    <w:pPr>
      <w:tabs>
        <w:tab w:val="num" w:pos="1080"/>
      </w:tabs>
      <w:ind w:left="1080" w:hanging="360"/>
    </w:pPr>
    <w:rPr>
      <w:sz w:val="24"/>
    </w:rPr>
  </w:style>
  <w:style w:type="paragraph" w:customStyle="1" w:styleId="IOPTitle">
    <w:name w:val="IOP Title"/>
    <w:basedOn w:val="Normal"/>
    <w:autoRedefine/>
    <w:pPr>
      <w:jc w:val="right"/>
    </w:pPr>
    <w:rPr>
      <w:rFonts w:ascii="Symbol" w:hAnsi="Symbol"/>
      <w:b/>
      <w:sz w:val="28"/>
      <w:szCs w:val="20"/>
    </w:rPr>
  </w:style>
  <w:style w:type="paragraph" w:customStyle="1" w:styleId="Outline1">
    <w:name w:val="Outline 1"/>
    <w:basedOn w:val="Normal"/>
    <w:rPr>
      <w:szCs w:val="20"/>
    </w:rPr>
  </w:style>
  <w:style w:type="paragraph" w:customStyle="1" w:styleId="Outline3">
    <w:name w:val="Outline 3"/>
    <w:basedOn w:val="Normal"/>
    <w:rPr>
      <w:szCs w:val="20"/>
    </w:rPr>
  </w:style>
  <w:style w:type="paragraph" w:customStyle="1" w:styleId="InfoBlue">
    <w:name w:val="InfoBlue"/>
    <w:basedOn w:val="Normal"/>
    <w:next w:val="BodyText"/>
    <w:autoRedefine/>
    <w:pPr>
      <w:widowControl w:val="0"/>
      <w:spacing w:after="120" w:line="240" w:lineRule="atLeast"/>
    </w:pPr>
    <w:rPr>
      <w:i/>
      <w:color w:val="0000FF"/>
      <w:szCs w:val="20"/>
    </w:rPr>
  </w:style>
  <w:style w:type="paragraph" w:customStyle="1" w:styleId="Outline2">
    <w:name w:val="Outline 2"/>
    <w:basedOn w:val="Normal"/>
    <w:pPr>
      <w:tabs>
        <w:tab w:val="num" w:pos="720"/>
      </w:tabs>
      <w:ind w:left="720" w:hanging="360"/>
    </w:pPr>
    <w:rPr>
      <w:szCs w:val="20"/>
    </w:rPr>
  </w:style>
  <w:style w:type="paragraph" w:customStyle="1" w:styleId="Heading3Subsection">
    <w:name w:val="Heading 3 Subsection"/>
    <w:basedOn w:val="Outline1"/>
    <w:pPr>
      <w:tabs>
        <w:tab w:val="num" w:pos="720"/>
      </w:tabs>
      <w:spacing w:before="240" w:after="60"/>
      <w:ind w:left="1440" w:hanging="720"/>
    </w:pPr>
    <w:rPr>
      <w:rFonts w:ascii="Geneva" w:hAnsi="Geneva"/>
      <w:b/>
      <w:sz w:val="22"/>
    </w:rPr>
  </w:style>
  <w:style w:type="character" w:customStyle="1" w:styleId="DarleneBrill">
    <w:name w:val="Darlene Brill"/>
    <w:semiHidden/>
    <w:rPr>
      <w:rFonts w:ascii="Arial" w:hAnsi="Arial" w:cs="Arial"/>
      <w:color w:val="auto"/>
      <w:sz w:val="20"/>
      <w:szCs w:val="20"/>
    </w:rPr>
  </w:style>
  <w:style w:type="paragraph" w:customStyle="1" w:styleId="ListBulletLast">
    <w:name w:val="List Bullet Last"/>
    <w:basedOn w:val="ListBullet"/>
    <w:next w:val="BodyText"/>
    <w:pPr>
      <w:numPr>
        <w:numId w:val="0"/>
      </w:numPr>
      <w:tabs>
        <w:tab w:val="num" w:pos="1080"/>
      </w:tabs>
      <w:spacing w:after="120"/>
    </w:pPr>
  </w:style>
  <w:style w:type="paragraph" w:customStyle="1" w:styleId="NotesTextBullet">
    <w:name w:val="Notes Text Bullet"/>
    <w:basedOn w:val="TableTextBullet"/>
    <w:pPr>
      <w:numPr>
        <w:numId w:val="3"/>
      </w:numPr>
    </w:pPr>
  </w:style>
  <w:style w:type="paragraph" w:customStyle="1" w:styleId="NotesText">
    <w:name w:val="Notes Text"/>
    <w:basedOn w:val="TableText"/>
    <w:pPr>
      <w:ind w:left="720"/>
    </w:pPr>
  </w:style>
  <w:style w:type="paragraph" w:customStyle="1" w:styleId="TableTextNumbersContinued">
    <w:name w:val="Table Text Numbers Continued"/>
    <w:basedOn w:val="TableTextNumbers"/>
    <w:pPr>
      <w:numPr>
        <w:numId w:val="0"/>
      </w:numPr>
      <w:ind w:left="288"/>
    </w:pPr>
  </w:style>
  <w:style w:type="character" w:customStyle="1" w:styleId="TableTextNumbersContinuedChar1">
    <w:name w:val="Table Text Numbers Continued Char1"/>
    <w:rPr>
      <w:rFonts w:ascii="Arial" w:hAnsi="Arial"/>
      <w:sz w:val="18"/>
      <w:szCs w:val="24"/>
      <w:lang w:val="en-US" w:eastAsia="en-US" w:bidi="ar-SA"/>
    </w:rPr>
  </w:style>
  <w:style w:type="paragraph" w:customStyle="1" w:styleId="NotesTextBullet1">
    <w:name w:val="Notes Text Bullet 1"/>
    <w:basedOn w:val="TableTextBullet1"/>
    <w:pPr>
      <w:numPr>
        <w:numId w:val="5"/>
      </w:numPr>
    </w:pPr>
  </w:style>
  <w:style w:type="paragraph" w:styleId="BlockText">
    <w:name w:val="Block Text"/>
    <w:basedOn w:val="Normal"/>
    <w:pPr>
      <w:spacing w:after="120"/>
      <w:ind w:left="1440" w:right="1440"/>
    </w:pPr>
  </w:style>
  <w:style w:type="paragraph" w:customStyle="1" w:styleId="TableTextBullet2">
    <w:name w:val="Table Text Bullet 2"/>
    <w:pPr>
      <w:tabs>
        <w:tab w:val="num" w:pos="288"/>
      </w:tabs>
      <w:ind w:left="288" w:firstLine="288"/>
    </w:pPr>
    <w:rPr>
      <w:rFonts w:ascii="Arial" w:hAnsi="Arial"/>
      <w:sz w:val="18"/>
      <w:szCs w:val="18"/>
    </w:rPr>
  </w:style>
  <w:style w:type="character" w:customStyle="1" w:styleId="TableTextNumbersContinuedChar">
    <w:name w:val="Table Text Numbers Continued Char"/>
    <w:rPr>
      <w:rFonts w:ascii="Arial" w:hAnsi="Arial"/>
      <w:sz w:val="18"/>
      <w:szCs w:val="24"/>
      <w:lang w:val="en-US" w:eastAsia="en-US" w:bidi="ar-SA"/>
    </w:rPr>
  </w:style>
  <w:style w:type="paragraph" w:styleId="FootnoteText">
    <w:name w:val="footnote text"/>
    <w:basedOn w:val="Normal"/>
    <w:link w:val="FootnoteTextChar"/>
    <w:uiPriority w:val="99"/>
    <w:semiHidden/>
    <w:rPr>
      <w:sz w:val="20"/>
      <w:szCs w:val="20"/>
    </w:rPr>
  </w:style>
  <w:style w:type="character" w:styleId="FootnoteReference">
    <w:name w:val="footnote reference"/>
    <w:uiPriority w:val="99"/>
    <w:semiHidden/>
    <w:rPr>
      <w:vertAlign w:val="superscript"/>
    </w:rPr>
  </w:style>
  <w:style w:type="paragraph" w:customStyle="1" w:styleId="TableTextNumbersBullet">
    <w:name w:val="Table Text Numbers Bullet"/>
    <w:basedOn w:val="TableTextNumbersContinued"/>
    <w:pPr>
      <w:numPr>
        <w:numId w:val="7"/>
      </w:numPr>
    </w:pPr>
  </w:style>
  <w:style w:type="paragraph" w:styleId="Title">
    <w:name w:val="Title"/>
    <w:basedOn w:val="Normal"/>
    <w:next w:val="Normal"/>
    <w:qFormat/>
    <w:pPr>
      <w:widowControl w:val="0"/>
      <w:jc w:val="center"/>
    </w:pPr>
    <w:rPr>
      <w:rFonts w:ascii="Arial" w:hAnsi="Arial"/>
      <w:b/>
      <w:sz w:val="36"/>
      <w:szCs w:val="20"/>
    </w:rPr>
  </w:style>
  <w:style w:type="paragraph" w:styleId="ListBullet3">
    <w:name w:val="List Bullet 3"/>
    <w:basedOn w:val="Normal"/>
    <w:pPr>
      <w:tabs>
        <w:tab w:val="num" w:pos="1080"/>
      </w:tabs>
      <w:ind w:left="1440" w:hanging="360"/>
    </w:pPr>
    <w:rPr>
      <w:sz w:val="22"/>
    </w:rPr>
  </w:style>
  <w:style w:type="character" w:customStyle="1" w:styleId="NotesTextChar4">
    <w:name w:val="Notes Text Char4"/>
    <w:rPr>
      <w:rFonts w:ascii="Arial" w:hAnsi="Arial"/>
      <w:sz w:val="18"/>
      <w:szCs w:val="24"/>
      <w:lang w:val="en-US" w:eastAsia="en-US" w:bidi="ar-SA"/>
    </w:rPr>
  </w:style>
  <w:style w:type="character" w:customStyle="1" w:styleId="TableTextChar2">
    <w:name w:val="Table Text Char2"/>
    <w:rPr>
      <w:rFonts w:ascii="Arial" w:hAnsi="Arial"/>
      <w:sz w:val="18"/>
      <w:szCs w:val="24"/>
      <w:lang w:val="en-US" w:eastAsia="en-US" w:bidi="ar-SA"/>
    </w:rPr>
  </w:style>
  <w:style w:type="character" w:customStyle="1" w:styleId="StyleTableText9ptCharChar">
    <w:name w:val="Style Table Text + 9 pt Char Char"/>
    <w:rsid w:val="007809C3"/>
    <w:rPr>
      <w:rFonts w:ascii="Arial" w:hAnsi="Arial"/>
      <w:noProof/>
      <w:color w:val="000000"/>
      <w:sz w:val="18"/>
      <w:szCs w:val="24"/>
      <w:lang w:val="en-US" w:eastAsia="en-US" w:bidi="ar-SA"/>
    </w:rPr>
  </w:style>
  <w:style w:type="character" w:customStyle="1" w:styleId="TableTextChar4">
    <w:name w:val="Table Text Char4"/>
    <w:rPr>
      <w:rFonts w:ascii="Arial" w:hAnsi="Arial"/>
      <w:sz w:val="18"/>
      <w:szCs w:val="24"/>
      <w:lang w:val="en-US" w:eastAsia="en-US" w:bidi="ar-SA"/>
    </w:rPr>
  </w:style>
  <w:style w:type="character" w:customStyle="1" w:styleId="TableTextBullet1Char">
    <w:name w:val="Table Text Bullet 1 Char"/>
    <w:rPr>
      <w:rFonts w:ascii="Arial" w:hAnsi="Arial"/>
      <w:color w:val="000000"/>
      <w:sz w:val="18"/>
      <w:szCs w:val="24"/>
      <w:lang w:val="en-US" w:eastAsia="en-US" w:bidi="ar-SA"/>
    </w:rPr>
  </w:style>
  <w:style w:type="character" w:customStyle="1" w:styleId="NotesTextBullet1Char">
    <w:name w:val="Notes Text Bullet 1 Char"/>
    <w:basedOn w:val="TableTextBullet1Char"/>
    <w:rPr>
      <w:rFonts w:ascii="Arial" w:hAnsi="Arial"/>
      <w:color w:val="000000"/>
      <w:sz w:val="18"/>
      <w:szCs w:val="24"/>
      <w:lang w:val="en-US" w:eastAsia="en-US" w:bidi="ar-SA"/>
    </w:rPr>
  </w:style>
  <w:style w:type="character" w:customStyle="1" w:styleId="ListBulletChar">
    <w:name w:val="List Bullet Char"/>
    <w:rPr>
      <w:spacing w:val="-5"/>
      <w:sz w:val="22"/>
      <w:szCs w:val="22"/>
      <w:lang w:val="en-US" w:eastAsia="en-US" w:bidi="ar-SA"/>
    </w:rPr>
  </w:style>
  <w:style w:type="paragraph" w:customStyle="1" w:styleId="Paragraph2">
    <w:name w:val="Paragraph2"/>
    <w:basedOn w:val="Normal"/>
    <w:autoRedefine/>
    <w:pPr>
      <w:spacing w:before="80"/>
    </w:pPr>
    <w:rPr>
      <w:color w:val="000000"/>
      <w:szCs w:val="20"/>
    </w:rPr>
  </w:style>
  <w:style w:type="character" w:customStyle="1" w:styleId="TableTextBulletChar">
    <w:name w:val="Table Text Bullet Char"/>
    <w:basedOn w:val="TableTextChar1"/>
    <w:rPr>
      <w:rFonts w:ascii="Arial" w:hAnsi="Arial"/>
      <w:sz w:val="18"/>
      <w:szCs w:val="24"/>
      <w:lang w:val="en-US" w:eastAsia="en-US" w:bidi="ar-SA"/>
    </w:rPr>
  </w:style>
  <w:style w:type="character" w:customStyle="1" w:styleId="TableTextNumbersChar1">
    <w:name w:val="Table Text Numbers Char1"/>
    <w:basedOn w:val="TableTextChar2"/>
    <w:rPr>
      <w:rFonts w:ascii="Arial" w:hAnsi="Arial"/>
      <w:sz w:val="18"/>
      <w:szCs w:val="24"/>
      <w:lang w:val="en-US" w:eastAsia="en-US" w:bidi="ar-SA"/>
    </w:rPr>
  </w:style>
  <w:style w:type="character" w:customStyle="1" w:styleId="Char3">
    <w:name w:val="Char3"/>
    <w:semiHidden/>
    <w:rPr>
      <w:rFonts w:ascii="Arial" w:hAnsi="Arial" w:cs="Arial"/>
      <w:b/>
      <w:bCs/>
      <w:sz w:val="26"/>
      <w:szCs w:val="26"/>
      <w:lang w:val="en-US" w:eastAsia="en-US" w:bidi="ar-SA"/>
    </w:rPr>
  </w:style>
  <w:style w:type="character" w:customStyle="1" w:styleId="TableTextChar">
    <w:name w:val="Table Text Char"/>
    <w:rPr>
      <w:rFonts w:ascii="Arial" w:hAnsi="Arial"/>
      <w:sz w:val="18"/>
      <w:szCs w:val="24"/>
      <w:lang w:val="en-US" w:eastAsia="en-US" w:bidi="ar-SA"/>
    </w:rPr>
  </w:style>
  <w:style w:type="character" w:customStyle="1" w:styleId="TableTextBulletChar2">
    <w:name w:val="Table Text Bullet Char2"/>
    <w:basedOn w:val="TableTextChar4"/>
    <w:rPr>
      <w:rFonts w:ascii="Arial" w:hAnsi="Arial"/>
      <w:sz w:val="18"/>
      <w:szCs w:val="24"/>
      <w:lang w:val="en-US" w:eastAsia="en-US" w:bidi="ar-SA"/>
    </w:rPr>
  </w:style>
  <w:style w:type="paragraph" w:customStyle="1" w:styleId="Bulletlistindented1">
    <w:name w:val="Bullet list indented1"/>
    <w:basedOn w:val="Normal"/>
    <w:autoRedefine/>
    <w:pPr>
      <w:tabs>
        <w:tab w:val="left" w:pos="1350"/>
        <w:tab w:val="num" w:pos="1440"/>
      </w:tabs>
      <w:ind w:left="1440" w:hanging="360"/>
    </w:pPr>
    <w:rPr>
      <w:rFonts w:ascii="Geneva" w:hAnsi="Geneva"/>
      <w:sz w:val="22"/>
      <w:szCs w:val="20"/>
    </w:rPr>
  </w:style>
  <w:style w:type="paragraph" w:customStyle="1" w:styleId="Tabletext0">
    <w:name w:val="Tabletext"/>
    <w:basedOn w:val="Normal"/>
    <w:pPr>
      <w:keepLines/>
      <w:widowControl w:val="0"/>
      <w:spacing w:after="120" w:line="240" w:lineRule="atLeast"/>
    </w:pPr>
    <w:rPr>
      <w:sz w:val="20"/>
      <w:szCs w:val="20"/>
    </w:rPr>
  </w:style>
  <w:style w:type="paragraph" w:styleId="NoteHeading">
    <w:name w:val="Note Heading"/>
    <w:basedOn w:val="Normal"/>
    <w:next w:val="Normal"/>
    <w:pPr>
      <w:widowControl w:val="0"/>
      <w:spacing w:line="240" w:lineRule="atLeast"/>
    </w:pPr>
    <w:rPr>
      <w:rFonts w:ascii="Arial" w:hAnsi="Arial"/>
      <w:b/>
      <w:szCs w:val="20"/>
    </w:rPr>
  </w:style>
  <w:style w:type="paragraph" w:customStyle="1" w:styleId="xl72">
    <w:name w:val="xl72"/>
    <w:basedOn w:val="Normal"/>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Symbol" w:hAnsi="Arial" w:cs="Arial"/>
      <w:color w:val="993366"/>
      <w:sz w:val="16"/>
      <w:szCs w:val="16"/>
    </w:rPr>
  </w:style>
  <w:style w:type="paragraph" w:styleId="BodyText2">
    <w:name w:val="Body Text 2"/>
    <w:basedOn w:val="Normal"/>
    <w:pPr>
      <w:jc w:val="center"/>
    </w:pPr>
    <w:rPr>
      <w:rFonts w:ascii="Arial" w:hAnsi="Arial"/>
      <w:b/>
      <w:sz w:val="20"/>
    </w:rPr>
  </w:style>
  <w:style w:type="paragraph" w:customStyle="1" w:styleId="StyleTableTextNumbersWhite1">
    <w:name w:val="Style Table Text Numbers + White1"/>
    <w:basedOn w:val="TableTextNumbers"/>
    <w:link w:val="StyleTableTextNumbersWhite1Char"/>
    <w:rsid w:val="00B93B42"/>
    <w:rPr>
      <w:vanish/>
      <w:color w:val="FFFFFF"/>
      <w:szCs w:val="18"/>
    </w:rPr>
  </w:style>
  <w:style w:type="character" w:customStyle="1" w:styleId="StyleTableTextNumbersWhite1Char">
    <w:name w:val="Style Table Text Numbers + White1 Char"/>
    <w:link w:val="StyleTableTextNumbersWhite1"/>
    <w:rsid w:val="00B93B42"/>
    <w:rPr>
      <w:rFonts w:ascii="Arial" w:hAnsi="Arial"/>
      <w:vanish/>
      <w:color w:val="FFFFFF"/>
      <w:sz w:val="18"/>
      <w:szCs w:val="18"/>
    </w:rPr>
  </w:style>
  <w:style w:type="paragraph" w:styleId="BodyText3">
    <w:name w:val="Body Text 3"/>
    <w:basedOn w:val="Normal"/>
    <w:rPr>
      <w:strike/>
      <w:color w:val="999999"/>
    </w:rPr>
  </w:style>
  <w:style w:type="paragraph" w:customStyle="1" w:styleId="xl24">
    <w:name w:val="xl24"/>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Symbol" w:eastAsia="Symbol" w:hAnsi="Symbol" w:cs="Symbol"/>
    </w:rPr>
  </w:style>
  <w:style w:type="paragraph" w:customStyle="1" w:styleId="xl25">
    <w:name w:val="xl25"/>
    <w:basedOn w:val="Normal"/>
    <w:pPr>
      <w:pBdr>
        <w:top w:val="single" w:sz="4" w:space="0" w:color="auto"/>
        <w:left w:val="single" w:sz="4" w:space="0" w:color="auto"/>
        <w:bottom w:val="single" w:sz="4" w:space="0" w:color="auto"/>
      </w:pBdr>
      <w:spacing w:before="100" w:beforeAutospacing="1" w:after="100" w:afterAutospacing="1"/>
    </w:pPr>
    <w:rPr>
      <w:rFonts w:ascii="Symbol" w:eastAsia="Symbol" w:hAnsi="Symbol" w:cs="Symbol"/>
    </w:rPr>
  </w:style>
  <w:style w:type="paragraph" w:customStyle="1" w:styleId="xl26">
    <w:name w:val="xl26"/>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Symbol" w:hAnsi="Arial" w:cs="Arial"/>
      <w:b/>
      <w:bCs/>
    </w:rPr>
  </w:style>
  <w:style w:type="paragraph" w:customStyle="1" w:styleId="xl27">
    <w:name w:val="xl27"/>
    <w:basedOn w:val="Normal"/>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Symbol" w:hAnsi="Arial" w:cs="Arial"/>
      <w:b/>
      <w:bCs/>
    </w:rPr>
  </w:style>
  <w:style w:type="paragraph" w:customStyle="1" w:styleId="xl28">
    <w:name w:val="xl28"/>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Symbol" w:hAnsi="Arial" w:cs="Arial"/>
    </w:rPr>
  </w:style>
  <w:style w:type="paragraph" w:customStyle="1" w:styleId="xl29">
    <w:name w:val="xl29"/>
    <w:basedOn w:val="Normal"/>
    <w:pPr>
      <w:spacing w:before="100" w:beforeAutospacing="1" w:after="100" w:afterAutospacing="1"/>
      <w:jc w:val="center"/>
      <w:textAlignment w:val="center"/>
    </w:pPr>
    <w:rPr>
      <w:rFonts w:ascii="Arial" w:eastAsia="Symbol" w:hAnsi="Arial" w:cs="Arial"/>
      <w:b/>
      <w:bCs/>
    </w:rPr>
  </w:style>
  <w:style w:type="paragraph" w:customStyle="1" w:styleId="xl30">
    <w:name w:val="xl30"/>
    <w:basedOn w:val="Normal"/>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Symbol" w:hAnsi="Arial" w:cs="Arial"/>
    </w:rPr>
  </w:style>
  <w:style w:type="paragraph" w:customStyle="1" w:styleId="xl31">
    <w:name w:val="xl31"/>
    <w:basedOn w:val="Normal"/>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Symbol" w:eastAsia="Symbol" w:hAnsi="Symbol" w:cs="Symbol"/>
    </w:rPr>
  </w:style>
  <w:style w:type="paragraph" w:customStyle="1" w:styleId="xl32">
    <w:name w:val="xl32"/>
    <w:basedOn w:val="Normal"/>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Symbol" w:hAnsi="Arial" w:cs="Arial"/>
      <w:b/>
      <w:bCs/>
    </w:rPr>
  </w:style>
  <w:style w:type="paragraph" w:customStyle="1" w:styleId="xl33">
    <w:name w:val="xl33"/>
    <w:basedOn w:val="Normal"/>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Symbol" w:hAnsi="Arial" w:cs="Arial"/>
    </w:rPr>
  </w:style>
  <w:style w:type="paragraph" w:customStyle="1" w:styleId="xl34">
    <w:name w:val="xl34"/>
    <w:basedOn w:val="Normal"/>
    <w:pPr>
      <w:shd w:val="clear" w:color="auto" w:fill="C0C0C0"/>
      <w:spacing w:before="100" w:beforeAutospacing="1" w:after="100" w:afterAutospacing="1"/>
    </w:pPr>
    <w:rPr>
      <w:rFonts w:ascii="Symbol" w:eastAsia="Symbol" w:hAnsi="Symbol" w:cs="Symbol"/>
    </w:rPr>
  </w:style>
  <w:style w:type="paragraph" w:customStyle="1" w:styleId="xl35">
    <w:name w:val="xl35"/>
    <w:basedOn w:val="Normal"/>
    <w:pPr>
      <w:pBdr>
        <w:top w:val="single" w:sz="4" w:space="0" w:color="auto"/>
        <w:left w:val="single" w:sz="4" w:space="0" w:color="auto"/>
        <w:bottom w:val="single" w:sz="4" w:space="0" w:color="auto"/>
        <w:right w:val="single" w:sz="4" w:space="0" w:color="auto"/>
      </w:pBdr>
      <w:shd w:val="clear" w:color="C0C0C0" w:fill="C0C0C0"/>
      <w:spacing w:before="100" w:beforeAutospacing="1" w:after="100" w:afterAutospacing="1"/>
    </w:pPr>
    <w:rPr>
      <w:rFonts w:ascii="Symbol" w:eastAsia="Symbol" w:hAnsi="Symbol" w:cs="Symbol"/>
    </w:rPr>
  </w:style>
  <w:style w:type="paragraph" w:customStyle="1" w:styleId="xl36">
    <w:name w:val="xl36"/>
    <w:basedOn w:val="Normal"/>
    <w:pPr>
      <w:pBdr>
        <w:top w:val="single" w:sz="4" w:space="0" w:color="auto"/>
        <w:left w:val="single" w:sz="4" w:space="0" w:color="auto"/>
        <w:bottom w:val="single" w:sz="4" w:space="0" w:color="auto"/>
        <w:right w:val="single" w:sz="4" w:space="0" w:color="auto"/>
      </w:pBdr>
      <w:shd w:val="clear" w:color="C0C0C0" w:fill="C0C0C0"/>
      <w:spacing w:before="100" w:beforeAutospacing="1" w:after="100" w:afterAutospacing="1"/>
      <w:jc w:val="center"/>
      <w:textAlignment w:val="center"/>
    </w:pPr>
    <w:rPr>
      <w:rFonts w:ascii="Arial" w:eastAsia="Symbol" w:hAnsi="Arial" w:cs="Arial"/>
      <w:b/>
      <w:bCs/>
    </w:rPr>
  </w:style>
  <w:style w:type="paragraph" w:customStyle="1" w:styleId="xl37">
    <w:name w:val="xl37"/>
    <w:basedOn w:val="Normal"/>
    <w:pPr>
      <w:pBdr>
        <w:top w:val="single" w:sz="4" w:space="0" w:color="auto"/>
        <w:left w:val="single" w:sz="4" w:space="0" w:color="auto"/>
        <w:bottom w:val="single" w:sz="4" w:space="0" w:color="auto"/>
        <w:right w:val="single" w:sz="4" w:space="0" w:color="auto"/>
      </w:pBdr>
      <w:shd w:val="clear" w:color="C0C0C0" w:fill="C0C0C0"/>
      <w:spacing w:before="100" w:beforeAutospacing="1" w:after="100" w:afterAutospacing="1"/>
      <w:jc w:val="center"/>
      <w:textAlignment w:val="center"/>
    </w:pPr>
    <w:rPr>
      <w:rFonts w:ascii="Arial" w:eastAsia="Symbol" w:hAnsi="Arial" w:cs="Arial"/>
    </w:rPr>
  </w:style>
  <w:style w:type="character" w:customStyle="1" w:styleId="CaptionChar">
    <w:name w:val="Caption Char"/>
    <w:rPr>
      <w:b/>
      <w:noProof w:val="0"/>
      <w:sz w:val="24"/>
      <w:szCs w:val="24"/>
      <w:lang w:val="en-US" w:eastAsia="en-US" w:bidi="ar-SA"/>
    </w:rPr>
  </w:style>
  <w:style w:type="character" w:customStyle="1" w:styleId="ListChar">
    <w:name w:val="List Char"/>
    <w:rPr>
      <w:noProof w:val="0"/>
      <w:sz w:val="24"/>
      <w:lang w:val="en-US" w:eastAsia="en-US" w:bidi="ar-SA"/>
    </w:rPr>
  </w:style>
  <w:style w:type="character" w:customStyle="1" w:styleId="TableTextChar3">
    <w:name w:val="Table Text Char3"/>
    <w:rPr>
      <w:rFonts w:ascii="Arial" w:hAnsi="Arial"/>
      <w:sz w:val="18"/>
      <w:szCs w:val="24"/>
      <w:lang w:val="en-US" w:eastAsia="en-US" w:bidi="ar-SA"/>
    </w:rPr>
  </w:style>
  <w:style w:type="paragraph" w:customStyle="1" w:styleId="ListRole">
    <w:name w:val="List Role"/>
    <w:basedOn w:val="BodyText"/>
    <w:pPr>
      <w:ind w:left="360"/>
    </w:pPr>
  </w:style>
  <w:style w:type="paragraph" w:customStyle="1" w:styleId="Roles">
    <w:name w:val="Roles"/>
    <w:basedOn w:val="BodyText"/>
    <w:link w:val="RolesChar1"/>
    <w:rsid w:val="00237C52"/>
    <w:pPr>
      <w:spacing w:before="0" w:after="0"/>
      <w:ind w:left="288"/>
    </w:pPr>
  </w:style>
  <w:style w:type="character" w:customStyle="1" w:styleId="RolesChar1">
    <w:name w:val="Roles Char1"/>
    <w:basedOn w:val="BodyTextChar"/>
    <w:link w:val="Roles"/>
    <w:rsid w:val="00237C52"/>
    <w:rPr>
      <w:sz w:val="22"/>
      <w:szCs w:val="22"/>
      <w:lang w:val="en-US" w:eastAsia="en-US" w:bidi="ar-SA"/>
    </w:rPr>
  </w:style>
  <w:style w:type="character" w:customStyle="1" w:styleId="RolesChar">
    <w:name w:val="Roles Char"/>
    <w:rPr>
      <w:sz w:val="22"/>
      <w:lang w:val="en-US" w:eastAsia="en-US" w:bidi="ar-SA"/>
    </w:rPr>
  </w:style>
  <w:style w:type="character" w:customStyle="1" w:styleId="TableTextChar5">
    <w:name w:val="Table Text Char5"/>
    <w:rPr>
      <w:rFonts w:ascii="Arial" w:hAnsi="Arial"/>
      <w:sz w:val="18"/>
      <w:szCs w:val="24"/>
      <w:lang w:val="en-US" w:eastAsia="en-US" w:bidi="ar-SA"/>
    </w:rPr>
  </w:style>
  <w:style w:type="character" w:customStyle="1" w:styleId="TableTextNumbersChar2">
    <w:name w:val="Table Text Numbers Char2"/>
    <w:basedOn w:val="TableTextChar5"/>
    <w:rPr>
      <w:rFonts w:ascii="Arial" w:hAnsi="Arial"/>
      <w:sz w:val="18"/>
      <w:szCs w:val="24"/>
      <w:lang w:val="en-US" w:eastAsia="en-US" w:bidi="ar-SA"/>
    </w:rPr>
  </w:style>
  <w:style w:type="paragraph" w:customStyle="1" w:styleId="StyleTableTextBlack">
    <w:name w:val="Style Table Text + Black"/>
    <w:basedOn w:val="TableText"/>
    <w:link w:val="StyleTableTextBlackChar"/>
    <w:rsid w:val="00584AF9"/>
    <w:rPr>
      <w:color w:val="000000"/>
    </w:rPr>
  </w:style>
  <w:style w:type="paragraph" w:customStyle="1" w:styleId="StyleTableTextNumbersWhite2">
    <w:name w:val="Style Table Text Numbers + White2"/>
    <w:basedOn w:val="TableTextNumbers"/>
    <w:link w:val="StyleTableTextNumbersWhite2Char"/>
    <w:rsid w:val="00912F51"/>
    <w:rPr>
      <w:vanish/>
      <w:color w:val="FFFFFF"/>
      <w:szCs w:val="18"/>
    </w:rPr>
  </w:style>
  <w:style w:type="character" w:customStyle="1" w:styleId="StyleTableTextNumbersWhite2Char">
    <w:name w:val="Style Table Text Numbers + White2 Char"/>
    <w:link w:val="StyleTableTextNumbersWhite2"/>
    <w:rsid w:val="00912F51"/>
    <w:rPr>
      <w:rFonts w:ascii="Arial" w:hAnsi="Arial"/>
      <w:vanish/>
      <w:color w:val="FFFFFF"/>
      <w:sz w:val="18"/>
      <w:szCs w:val="18"/>
    </w:rPr>
  </w:style>
  <w:style w:type="character" w:customStyle="1" w:styleId="StyleTableTextBlackChar">
    <w:name w:val="Style Table Text + Black Char"/>
    <w:link w:val="StyleTableTextBlack"/>
    <w:rsid w:val="00584AF9"/>
    <w:rPr>
      <w:rFonts w:ascii="Arial" w:hAnsi="Arial"/>
      <w:color w:val="000000"/>
      <w:sz w:val="18"/>
      <w:szCs w:val="24"/>
      <w:lang w:val="en-US" w:eastAsia="en-US" w:bidi="ar-SA"/>
    </w:rPr>
  </w:style>
  <w:style w:type="paragraph" w:customStyle="1" w:styleId="StyleBodyTextArial9ptBold">
    <w:name w:val="Style Body Text + Arial 9 pt Bold"/>
    <w:basedOn w:val="BodyText"/>
    <w:rsid w:val="00963F12"/>
    <w:pPr>
      <w:spacing w:before="0" w:after="0"/>
    </w:pPr>
    <w:rPr>
      <w:rFonts w:ascii="Arial" w:hAnsi="Arial"/>
      <w:b/>
      <w:bCs/>
      <w:sz w:val="18"/>
    </w:rPr>
  </w:style>
  <w:style w:type="paragraph" w:styleId="List2">
    <w:name w:val="List 2"/>
    <w:basedOn w:val="Normal"/>
    <w:rsid w:val="00FA7E65"/>
    <w:pPr>
      <w:ind w:left="720" w:hanging="360"/>
    </w:pPr>
  </w:style>
  <w:style w:type="paragraph" w:styleId="BodyTextIndent">
    <w:name w:val="Body Text Indent"/>
    <w:basedOn w:val="Normal"/>
    <w:rsid w:val="00FA7E65"/>
    <w:pPr>
      <w:spacing w:after="120"/>
      <w:ind w:left="360"/>
    </w:pPr>
  </w:style>
  <w:style w:type="paragraph" w:styleId="NormalWeb">
    <w:name w:val="Normal (Web)"/>
    <w:basedOn w:val="Normal"/>
    <w:uiPriority w:val="99"/>
    <w:rsid w:val="001D19BF"/>
    <w:pPr>
      <w:spacing w:before="100" w:beforeAutospacing="1" w:after="100" w:afterAutospacing="1"/>
    </w:pPr>
  </w:style>
  <w:style w:type="paragraph" w:customStyle="1" w:styleId="tabletext1">
    <w:name w:val="tabletext"/>
    <w:basedOn w:val="Normal"/>
    <w:rsid w:val="00194509"/>
    <w:rPr>
      <w:rFonts w:ascii="Arial" w:hAnsi="Arial" w:cs="Arial"/>
      <w:color w:val="000000"/>
      <w:sz w:val="18"/>
      <w:szCs w:val="18"/>
    </w:rPr>
  </w:style>
  <w:style w:type="paragraph" w:styleId="Index5">
    <w:name w:val="index 5"/>
    <w:basedOn w:val="Normal"/>
    <w:next w:val="Normal"/>
    <w:autoRedefine/>
    <w:semiHidden/>
    <w:rsid w:val="00E93F17"/>
    <w:pPr>
      <w:ind w:left="1200" w:hanging="240"/>
    </w:pPr>
    <w:rPr>
      <w:sz w:val="18"/>
      <w:szCs w:val="18"/>
    </w:rPr>
  </w:style>
  <w:style w:type="paragraph" w:styleId="Index6">
    <w:name w:val="index 6"/>
    <w:basedOn w:val="Normal"/>
    <w:next w:val="Normal"/>
    <w:autoRedefine/>
    <w:semiHidden/>
    <w:rsid w:val="00E93F17"/>
    <w:pPr>
      <w:ind w:left="1440" w:hanging="240"/>
    </w:pPr>
    <w:rPr>
      <w:sz w:val="18"/>
      <w:szCs w:val="18"/>
    </w:rPr>
  </w:style>
  <w:style w:type="paragraph" w:styleId="Index7">
    <w:name w:val="index 7"/>
    <w:basedOn w:val="Normal"/>
    <w:next w:val="Normal"/>
    <w:autoRedefine/>
    <w:semiHidden/>
    <w:rsid w:val="00E93F17"/>
    <w:pPr>
      <w:ind w:left="1680" w:hanging="240"/>
    </w:pPr>
    <w:rPr>
      <w:sz w:val="18"/>
      <w:szCs w:val="18"/>
    </w:rPr>
  </w:style>
  <w:style w:type="paragraph" w:styleId="Index8">
    <w:name w:val="index 8"/>
    <w:basedOn w:val="Normal"/>
    <w:next w:val="Normal"/>
    <w:autoRedefine/>
    <w:semiHidden/>
    <w:rsid w:val="00E93F17"/>
    <w:pPr>
      <w:ind w:left="1920" w:hanging="240"/>
    </w:pPr>
    <w:rPr>
      <w:sz w:val="18"/>
      <w:szCs w:val="18"/>
    </w:rPr>
  </w:style>
  <w:style w:type="paragraph" w:styleId="Index9">
    <w:name w:val="index 9"/>
    <w:basedOn w:val="Normal"/>
    <w:next w:val="Normal"/>
    <w:autoRedefine/>
    <w:semiHidden/>
    <w:rsid w:val="00E93F17"/>
    <w:pPr>
      <w:ind w:left="2160" w:hanging="240"/>
    </w:pPr>
    <w:rPr>
      <w:sz w:val="18"/>
      <w:szCs w:val="18"/>
    </w:rPr>
  </w:style>
  <w:style w:type="paragraph" w:styleId="IndexHeading">
    <w:name w:val="index heading"/>
    <w:basedOn w:val="Normal"/>
    <w:next w:val="Index1"/>
    <w:uiPriority w:val="99"/>
    <w:semiHidden/>
    <w:rsid w:val="00E93F17"/>
    <w:pPr>
      <w:spacing w:before="240" w:after="120"/>
      <w:jc w:val="center"/>
    </w:pPr>
    <w:rPr>
      <w:b/>
      <w:bCs/>
      <w:sz w:val="26"/>
      <w:szCs w:val="26"/>
    </w:rPr>
  </w:style>
  <w:style w:type="character" w:customStyle="1" w:styleId="VHAISHbrilld">
    <w:name w:val="VHAISHbrilld"/>
    <w:semiHidden/>
    <w:rsid w:val="00DE7D08"/>
    <w:rPr>
      <w:rFonts w:ascii="Arial" w:hAnsi="Arial" w:cs="Arial"/>
      <w:color w:val="auto"/>
      <w:sz w:val="20"/>
      <w:szCs w:val="20"/>
    </w:rPr>
  </w:style>
  <w:style w:type="character" w:customStyle="1" w:styleId="TableTextBulletChar1">
    <w:name w:val="Table Text Bullet Char1"/>
    <w:basedOn w:val="TableTextChar6"/>
    <w:link w:val="TableTextBullet"/>
    <w:rsid w:val="00CC50D7"/>
    <w:rPr>
      <w:rFonts w:ascii="Arial" w:hAnsi="Arial"/>
      <w:sz w:val="18"/>
      <w:szCs w:val="24"/>
      <w:lang w:val="en-US" w:eastAsia="en-US" w:bidi="ar-SA"/>
    </w:rPr>
  </w:style>
  <w:style w:type="character" w:customStyle="1" w:styleId="BodyTextChar1">
    <w:name w:val="Body Text Char1"/>
    <w:rsid w:val="00EE44F1"/>
    <w:rPr>
      <w:sz w:val="22"/>
      <w:szCs w:val="22"/>
      <w:lang w:val="en-US" w:eastAsia="en-US" w:bidi="ar-SA"/>
    </w:rPr>
  </w:style>
  <w:style w:type="character" w:customStyle="1" w:styleId="Heading3Char2">
    <w:name w:val="Heading 3 Char2"/>
    <w:rsid w:val="008A701E"/>
    <w:rPr>
      <w:rFonts w:ascii="Arial" w:hAnsi="Arial" w:cs="Arial"/>
      <w:b/>
      <w:bCs/>
      <w:sz w:val="26"/>
      <w:szCs w:val="26"/>
      <w:lang w:val="en-US" w:eastAsia="en-US" w:bidi="ar-SA"/>
    </w:rPr>
  </w:style>
  <w:style w:type="character" w:customStyle="1" w:styleId="CaptionChar2">
    <w:name w:val="Caption Char2"/>
    <w:rsid w:val="008A701E"/>
    <w:rPr>
      <w:b/>
      <w:sz w:val="22"/>
      <w:szCs w:val="22"/>
      <w:lang w:val="en-US" w:eastAsia="en-US" w:bidi="ar-SA"/>
    </w:rPr>
  </w:style>
  <w:style w:type="character" w:customStyle="1" w:styleId="CommentTextChar">
    <w:name w:val="Comment Text Char"/>
    <w:basedOn w:val="DefaultParagraphFont"/>
    <w:link w:val="CommentText"/>
    <w:uiPriority w:val="99"/>
    <w:rsid w:val="00E36CAB"/>
  </w:style>
  <w:style w:type="character" w:customStyle="1" w:styleId="TableTextCharChar">
    <w:name w:val="Table Text Char Char"/>
    <w:rsid w:val="00D32A05"/>
    <w:rPr>
      <w:rFonts w:ascii="Arial" w:hAnsi="Arial"/>
      <w:sz w:val="18"/>
      <w:szCs w:val="24"/>
      <w:lang w:val="en-US" w:eastAsia="en-US" w:bidi="ar-SA"/>
    </w:rPr>
  </w:style>
  <w:style w:type="paragraph" w:styleId="ListParagraph">
    <w:name w:val="List Paragraph"/>
    <w:basedOn w:val="Normal"/>
    <w:uiPriority w:val="34"/>
    <w:qFormat/>
    <w:rsid w:val="00C33E1D"/>
    <w:pPr>
      <w:spacing w:after="200" w:line="276" w:lineRule="auto"/>
      <w:ind w:left="720"/>
      <w:contextualSpacing/>
    </w:pPr>
    <w:rPr>
      <w:rFonts w:ascii="Calibri" w:eastAsia="Calibri" w:hAnsi="Calibri"/>
      <w:sz w:val="22"/>
      <w:szCs w:val="22"/>
    </w:rPr>
  </w:style>
  <w:style w:type="character" w:customStyle="1" w:styleId="FootnoteTextChar">
    <w:name w:val="Footnote Text Char"/>
    <w:basedOn w:val="DefaultParagraphFont"/>
    <w:link w:val="FootnoteText"/>
    <w:uiPriority w:val="99"/>
    <w:semiHidden/>
    <w:rsid w:val="00FC3B68"/>
  </w:style>
  <w:style w:type="character" w:customStyle="1" w:styleId="Heading2Char">
    <w:name w:val="Heading 2 Char"/>
    <w:aliases w:val="Heading for title Char,head 2 Char"/>
    <w:link w:val="Heading2"/>
    <w:rsid w:val="000F6EEA"/>
    <w:rPr>
      <w:rFonts w:ascii="Arial" w:hAnsi="Arial" w:cs="Arial"/>
      <w:b/>
      <w:bCs/>
      <w:i/>
      <w:iCs/>
      <w:sz w:val="28"/>
      <w:szCs w:val="28"/>
    </w:rPr>
  </w:style>
  <w:style w:type="paragraph" w:styleId="NoSpacing">
    <w:name w:val="No Spacing"/>
    <w:uiPriority w:val="1"/>
    <w:qFormat/>
    <w:rsid w:val="00280C3F"/>
    <w:rPr>
      <w:rFonts w:ascii="Calibri" w:eastAsia="Calibri" w:hAnsi="Calibri"/>
      <w:sz w:val="22"/>
      <w:szCs w:val="22"/>
    </w:rPr>
  </w:style>
  <w:style w:type="paragraph" w:styleId="HTMLPreformatted">
    <w:name w:val="HTML Preformatted"/>
    <w:basedOn w:val="Normal"/>
    <w:link w:val="HTMLPreformattedChar"/>
    <w:rsid w:val="00392B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textAlignment w:val="baseline"/>
    </w:pPr>
    <w:rPr>
      <w:rFonts w:ascii="Courier New" w:hAnsi="Courier New"/>
      <w:sz w:val="20"/>
      <w:szCs w:val="20"/>
    </w:rPr>
  </w:style>
  <w:style w:type="character" w:customStyle="1" w:styleId="HTMLPreformattedChar">
    <w:name w:val="HTML Preformatted Char"/>
    <w:link w:val="HTMLPreformatted"/>
    <w:rsid w:val="00392B0E"/>
    <w:rPr>
      <w:rFonts w:ascii="Courier New" w:hAnsi="Courier New"/>
    </w:rPr>
  </w:style>
  <w:style w:type="paragraph" w:customStyle="1" w:styleId="Substep01">
    <w:name w:val="Substep 01"/>
    <w:basedOn w:val="TableText"/>
    <w:rsid w:val="00DB1497"/>
    <w:pPr>
      <w:numPr>
        <w:numId w:val="44"/>
      </w:numPr>
      <w:jc w:val="right"/>
    </w:pPr>
    <w:rPr>
      <w:color w:val="000000"/>
      <w:szCs w:val="20"/>
    </w:rPr>
  </w:style>
  <w:style w:type="paragraph" w:customStyle="1" w:styleId="CellBodyLeft">
    <w:name w:val="CellBodyLeft"/>
    <w:basedOn w:val="Normal"/>
    <w:rsid w:val="00DC70D1"/>
    <w:pPr>
      <w:spacing w:before="60"/>
      <w:ind w:left="72"/>
    </w:pPr>
    <w:rPr>
      <w:rFonts w:ascii="Arial" w:hAnsi="Arial"/>
      <w:color w:val="000000"/>
      <w:sz w:val="16"/>
      <w:szCs w:val="20"/>
    </w:rPr>
  </w:style>
  <w:style w:type="paragraph" w:customStyle="1" w:styleId="CellBodyCenter">
    <w:name w:val="CellBodyCenter"/>
    <w:basedOn w:val="Normal"/>
    <w:rsid w:val="00DC70D1"/>
    <w:pPr>
      <w:keepLines/>
      <w:jc w:val="center"/>
    </w:pPr>
    <w:rPr>
      <w:rFonts w:ascii="Arial" w:hAnsi="Arial"/>
      <w:color w:val="000000"/>
      <w:sz w:val="16"/>
      <w:szCs w:val="20"/>
    </w:rPr>
  </w:style>
  <w:style w:type="paragraph" w:customStyle="1" w:styleId="Substep02">
    <w:name w:val="Substep 02"/>
    <w:basedOn w:val="Substep01"/>
    <w:rsid w:val="001809EC"/>
    <w:pPr>
      <w:numPr>
        <w:numId w:val="48"/>
      </w:numPr>
    </w:pPr>
  </w:style>
  <w:style w:type="paragraph" w:styleId="PlainText">
    <w:name w:val="Plain Text"/>
    <w:basedOn w:val="Normal"/>
    <w:link w:val="PlainTextChar"/>
    <w:uiPriority w:val="99"/>
    <w:unhideWhenUsed/>
    <w:rsid w:val="00D53DC3"/>
    <w:rPr>
      <w:rFonts w:ascii="Calibri" w:eastAsia="Calibri" w:hAnsi="Calibri"/>
      <w:sz w:val="22"/>
      <w:szCs w:val="21"/>
    </w:rPr>
  </w:style>
  <w:style w:type="character" w:customStyle="1" w:styleId="PlainTextChar">
    <w:name w:val="Plain Text Char"/>
    <w:link w:val="PlainText"/>
    <w:uiPriority w:val="99"/>
    <w:rsid w:val="00D53DC3"/>
    <w:rPr>
      <w:rFonts w:ascii="Calibri" w:eastAsia="Calibri" w:hAnsi="Calibri"/>
      <w:sz w:val="22"/>
      <w:szCs w:val="21"/>
    </w:rPr>
  </w:style>
  <w:style w:type="character" w:customStyle="1" w:styleId="FooterChar">
    <w:name w:val="Footer Char"/>
    <w:link w:val="Footer"/>
    <w:rsid w:val="00B752FE"/>
    <w:rPr>
      <w:sz w:val="24"/>
      <w:szCs w:val="24"/>
    </w:rPr>
  </w:style>
  <w:style w:type="paragraph" w:customStyle="1" w:styleId="TableText2">
    <w:name w:val="TableText"/>
    <w:rsid w:val="00FE0A8D"/>
    <w:rPr>
      <w:rFonts w:ascii="Arial" w:hAnsi="Arial"/>
      <w:noProof/>
      <w:sz w:val="18"/>
    </w:rPr>
  </w:style>
  <w:style w:type="character" w:styleId="UnresolvedMention">
    <w:name w:val="Unresolved Mention"/>
    <w:basedOn w:val="DefaultParagraphFont"/>
    <w:uiPriority w:val="99"/>
    <w:semiHidden/>
    <w:unhideWhenUsed/>
    <w:rsid w:val="00CC16EA"/>
    <w:rPr>
      <w:color w:val="808080"/>
      <w:shd w:val="clear" w:color="auto" w:fill="E6E6E6"/>
    </w:rPr>
  </w:style>
  <w:style w:type="character" w:customStyle="1" w:styleId="normaltextrun">
    <w:name w:val="normaltextrun"/>
    <w:basedOn w:val="DefaultParagraphFont"/>
    <w:rsid w:val="000E2F6A"/>
  </w:style>
  <w:style w:type="character" w:customStyle="1" w:styleId="ui-provider">
    <w:name w:val="ui-provider"/>
    <w:basedOn w:val="DefaultParagraphFont"/>
    <w:rsid w:val="004F6172"/>
  </w:style>
  <w:style w:type="paragraph" w:styleId="Revision">
    <w:name w:val="Revision"/>
    <w:hidden/>
    <w:uiPriority w:val="99"/>
    <w:semiHidden/>
    <w:rsid w:val="00ED1CA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0468">
      <w:bodyDiv w:val="1"/>
      <w:marLeft w:val="0"/>
      <w:marRight w:val="0"/>
      <w:marTop w:val="0"/>
      <w:marBottom w:val="0"/>
      <w:divBdr>
        <w:top w:val="none" w:sz="0" w:space="0" w:color="auto"/>
        <w:left w:val="none" w:sz="0" w:space="0" w:color="auto"/>
        <w:bottom w:val="none" w:sz="0" w:space="0" w:color="auto"/>
        <w:right w:val="none" w:sz="0" w:space="0" w:color="auto"/>
      </w:divBdr>
    </w:div>
    <w:div w:id="31537333">
      <w:bodyDiv w:val="1"/>
      <w:marLeft w:val="0"/>
      <w:marRight w:val="0"/>
      <w:marTop w:val="0"/>
      <w:marBottom w:val="0"/>
      <w:divBdr>
        <w:top w:val="none" w:sz="0" w:space="0" w:color="auto"/>
        <w:left w:val="none" w:sz="0" w:space="0" w:color="auto"/>
        <w:bottom w:val="none" w:sz="0" w:space="0" w:color="auto"/>
        <w:right w:val="none" w:sz="0" w:space="0" w:color="auto"/>
      </w:divBdr>
    </w:div>
    <w:div w:id="100035678">
      <w:bodyDiv w:val="1"/>
      <w:marLeft w:val="0"/>
      <w:marRight w:val="0"/>
      <w:marTop w:val="0"/>
      <w:marBottom w:val="0"/>
      <w:divBdr>
        <w:top w:val="none" w:sz="0" w:space="0" w:color="auto"/>
        <w:left w:val="none" w:sz="0" w:space="0" w:color="auto"/>
        <w:bottom w:val="none" w:sz="0" w:space="0" w:color="auto"/>
        <w:right w:val="none" w:sz="0" w:space="0" w:color="auto"/>
      </w:divBdr>
    </w:div>
    <w:div w:id="131946998">
      <w:bodyDiv w:val="1"/>
      <w:marLeft w:val="0"/>
      <w:marRight w:val="0"/>
      <w:marTop w:val="0"/>
      <w:marBottom w:val="0"/>
      <w:divBdr>
        <w:top w:val="none" w:sz="0" w:space="0" w:color="auto"/>
        <w:left w:val="none" w:sz="0" w:space="0" w:color="auto"/>
        <w:bottom w:val="none" w:sz="0" w:space="0" w:color="auto"/>
        <w:right w:val="none" w:sz="0" w:space="0" w:color="auto"/>
      </w:divBdr>
    </w:div>
    <w:div w:id="157766379">
      <w:bodyDiv w:val="1"/>
      <w:marLeft w:val="0"/>
      <w:marRight w:val="0"/>
      <w:marTop w:val="0"/>
      <w:marBottom w:val="0"/>
      <w:divBdr>
        <w:top w:val="none" w:sz="0" w:space="0" w:color="auto"/>
        <w:left w:val="none" w:sz="0" w:space="0" w:color="auto"/>
        <w:bottom w:val="none" w:sz="0" w:space="0" w:color="auto"/>
        <w:right w:val="none" w:sz="0" w:space="0" w:color="auto"/>
      </w:divBdr>
    </w:div>
    <w:div w:id="161744170">
      <w:bodyDiv w:val="1"/>
      <w:marLeft w:val="0"/>
      <w:marRight w:val="0"/>
      <w:marTop w:val="0"/>
      <w:marBottom w:val="0"/>
      <w:divBdr>
        <w:top w:val="none" w:sz="0" w:space="0" w:color="auto"/>
        <w:left w:val="none" w:sz="0" w:space="0" w:color="auto"/>
        <w:bottom w:val="none" w:sz="0" w:space="0" w:color="auto"/>
        <w:right w:val="none" w:sz="0" w:space="0" w:color="auto"/>
      </w:divBdr>
    </w:div>
    <w:div w:id="270086669">
      <w:bodyDiv w:val="1"/>
      <w:marLeft w:val="0"/>
      <w:marRight w:val="0"/>
      <w:marTop w:val="0"/>
      <w:marBottom w:val="0"/>
      <w:divBdr>
        <w:top w:val="none" w:sz="0" w:space="0" w:color="auto"/>
        <w:left w:val="none" w:sz="0" w:space="0" w:color="auto"/>
        <w:bottom w:val="none" w:sz="0" w:space="0" w:color="auto"/>
        <w:right w:val="none" w:sz="0" w:space="0" w:color="auto"/>
      </w:divBdr>
    </w:div>
    <w:div w:id="345592832">
      <w:bodyDiv w:val="1"/>
      <w:marLeft w:val="0"/>
      <w:marRight w:val="0"/>
      <w:marTop w:val="0"/>
      <w:marBottom w:val="0"/>
      <w:divBdr>
        <w:top w:val="none" w:sz="0" w:space="0" w:color="auto"/>
        <w:left w:val="none" w:sz="0" w:space="0" w:color="auto"/>
        <w:bottom w:val="none" w:sz="0" w:space="0" w:color="auto"/>
        <w:right w:val="none" w:sz="0" w:space="0" w:color="auto"/>
      </w:divBdr>
    </w:div>
    <w:div w:id="418140494">
      <w:bodyDiv w:val="1"/>
      <w:marLeft w:val="0"/>
      <w:marRight w:val="0"/>
      <w:marTop w:val="0"/>
      <w:marBottom w:val="0"/>
      <w:divBdr>
        <w:top w:val="none" w:sz="0" w:space="0" w:color="auto"/>
        <w:left w:val="none" w:sz="0" w:space="0" w:color="auto"/>
        <w:bottom w:val="none" w:sz="0" w:space="0" w:color="auto"/>
        <w:right w:val="none" w:sz="0" w:space="0" w:color="auto"/>
      </w:divBdr>
    </w:div>
    <w:div w:id="435910963">
      <w:bodyDiv w:val="1"/>
      <w:marLeft w:val="0"/>
      <w:marRight w:val="0"/>
      <w:marTop w:val="0"/>
      <w:marBottom w:val="0"/>
      <w:divBdr>
        <w:top w:val="none" w:sz="0" w:space="0" w:color="auto"/>
        <w:left w:val="none" w:sz="0" w:space="0" w:color="auto"/>
        <w:bottom w:val="none" w:sz="0" w:space="0" w:color="auto"/>
        <w:right w:val="none" w:sz="0" w:space="0" w:color="auto"/>
      </w:divBdr>
    </w:div>
    <w:div w:id="452335249">
      <w:bodyDiv w:val="1"/>
      <w:marLeft w:val="0"/>
      <w:marRight w:val="0"/>
      <w:marTop w:val="0"/>
      <w:marBottom w:val="0"/>
      <w:divBdr>
        <w:top w:val="none" w:sz="0" w:space="0" w:color="auto"/>
        <w:left w:val="none" w:sz="0" w:space="0" w:color="auto"/>
        <w:bottom w:val="none" w:sz="0" w:space="0" w:color="auto"/>
        <w:right w:val="none" w:sz="0" w:space="0" w:color="auto"/>
      </w:divBdr>
    </w:div>
    <w:div w:id="470564108">
      <w:bodyDiv w:val="1"/>
      <w:marLeft w:val="0"/>
      <w:marRight w:val="0"/>
      <w:marTop w:val="0"/>
      <w:marBottom w:val="0"/>
      <w:divBdr>
        <w:top w:val="none" w:sz="0" w:space="0" w:color="auto"/>
        <w:left w:val="none" w:sz="0" w:space="0" w:color="auto"/>
        <w:bottom w:val="none" w:sz="0" w:space="0" w:color="auto"/>
        <w:right w:val="none" w:sz="0" w:space="0" w:color="auto"/>
      </w:divBdr>
    </w:div>
    <w:div w:id="532160172">
      <w:bodyDiv w:val="1"/>
      <w:marLeft w:val="0"/>
      <w:marRight w:val="0"/>
      <w:marTop w:val="0"/>
      <w:marBottom w:val="0"/>
      <w:divBdr>
        <w:top w:val="none" w:sz="0" w:space="0" w:color="auto"/>
        <w:left w:val="none" w:sz="0" w:space="0" w:color="auto"/>
        <w:bottom w:val="none" w:sz="0" w:space="0" w:color="auto"/>
        <w:right w:val="none" w:sz="0" w:space="0" w:color="auto"/>
      </w:divBdr>
    </w:div>
    <w:div w:id="600920004">
      <w:bodyDiv w:val="1"/>
      <w:marLeft w:val="0"/>
      <w:marRight w:val="0"/>
      <w:marTop w:val="0"/>
      <w:marBottom w:val="0"/>
      <w:divBdr>
        <w:top w:val="none" w:sz="0" w:space="0" w:color="auto"/>
        <w:left w:val="none" w:sz="0" w:space="0" w:color="auto"/>
        <w:bottom w:val="none" w:sz="0" w:space="0" w:color="auto"/>
        <w:right w:val="none" w:sz="0" w:space="0" w:color="auto"/>
      </w:divBdr>
    </w:div>
    <w:div w:id="641808994">
      <w:bodyDiv w:val="1"/>
      <w:marLeft w:val="0"/>
      <w:marRight w:val="0"/>
      <w:marTop w:val="0"/>
      <w:marBottom w:val="0"/>
      <w:divBdr>
        <w:top w:val="none" w:sz="0" w:space="0" w:color="auto"/>
        <w:left w:val="none" w:sz="0" w:space="0" w:color="auto"/>
        <w:bottom w:val="none" w:sz="0" w:space="0" w:color="auto"/>
        <w:right w:val="none" w:sz="0" w:space="0" w:color="auto"/>
      </w:divBdr>
    </w:div>
    <w:div w:id="688482817">
      <w:bodyDiv w:val="1"/>
      <w:marLeft w:val="0"/>
      <w:marRight w:val="0"/>
      <w:marTop w:val="0"/>
      <w:marBottom w:val="0"/>
      <w:divBdr>
        <w:top w:val="none" w:sz="0" w:space="0" w:color="auto"/>
        <w:left w:val="none" w:sz="0" w:space="0" w:color="auto"/>
        <w:bottom w:val="none" w:sz="0" w:space="0" w:color="auto"/>
        <w:right w:val="none" w:sz="0" w:space="0" w:color="auto"/>
      </w:divBdr>
    </w:div>
    <w:div w:id="737703322">
      <w:bodyDiv w:val="1"/>
      <w:marLeft w:val="0"/>
      <w:marRight w:val="0"/>
      <w:marTop w:val="0"/>
      <w:marBottom w:val="0"/>
      <w:divBdr>
        <w:top w:val="none" w:sz="0" w:space="0" w:color="auto"/>
        <w:left w:val="none" w:sz="0" w:space="0" w:color="auto"/>
        <w:bottom w:val="none" w:sz="0" w:space="0" w:color="auto"/>
        <w:right w:val="none" w:sz="0" w:space="0" w:color="auto"/>
      </w:divBdr>
    </w:div>
    <w:div w:id="743725817">
      <w:bodyDiv w:val="1"/>
      <w:marLeft w:val="0"/>
      <w:marRight w:val="0"/>
      <w:marTop w:val="0"/>
      <w:marBottom w:val="0"/>
      <w:divBdr>
        <w:top w:val="none" w:sz="0" w:space="0" w:color="auto"/>
        <w:left w:val="none" w:sz="0" w:space="0" w:color="auto"/>
        <w:bottom w:val="none" w:sz="0" w:space="0" w:color="auto"/>
        <w:right w:val="none" w:sz="0" w:space="0" w:color="auto"/>
      </w:divBdr>
      <w:divsChild>
        <w:div w:id="1759789068">
          <w:marLeft w:val="0"/>
          <w:marRight w:val="0"/>
          <w:marTop w:val="0"/>
          <w:marBottom w:val="0"/>
          <w:divBdr>
            <w:top w:val="none" w:sz="0" w:space="0" w:color="auto"/>
            <w:left w:val="none" w:sz="0" w:space="0" w:color="auto"/>
            <w:bottom w:val="none" w:sz="0" w:space="0" w:color="auto"/>
            <w:right w:val="none" w:sz="0" w:space="0" w:color="auto"/>
          </w:divBdr>
        </w:div>
      </w:divsChild>
    </w:div>
    <w:div w:id="762922628">
      <w:bodyDiv w:val="1"/>
      <w:marLeft w:val="0"/>
      <w:marRight w:val="0"/>
      <w:marTop w:val="0"/>
      <w:marBottom w:val="0"/>
      <w:divBdr>
        <w:top w:val="none" w:sz="0" w:space="0" w:color="auto"/>
        <w:left w:val="none" w:sz="0" w:space="0" w:color="auto"/>
        <w:bottom w:val="none" w:sz="0" w:space="0" w:color="auto"/>
        <w:right w:val="none" w:sz="0" w:space="0" w:color="auto"/>
      </w:divBdr>
    </w:div>
    <w:div w:id="793910605">
      <w:bodyDiv w:val="1"/>
      <w:marLeft w:val="0"/>
      <w:marRight w:val="0"/>
      <w:marTop w:val="0"/>
      <w:marBottom w:val="0"/>
      <w:divBdr>
        <w:top w:val="none" w:sz="0" w:space="0" w:color="auto"/>
        <w:left w:val="none" w:sz="0" w:space="0" w:color="auto"/>
        <w:bottom w:val="none" w:sz="0" w:space="0" w:color="auto"/>
        <w:right w:val="none" w:sz="0" w:space="0" w:color="auto"/>
      </w:divBdr>
    </w:div>
    <w:div w:id="808742579">
      <w:bodyDiv w:val="1"/>
      <w:marLeft w:val="0"/>
      <w:marRight w:val="0"/>
      <w:marTop w:val="0"/>
      <w:marBottom w:val="0"/>
      <w:divBdr>
        <w:top w:val="none" w:sz="0" w:space="0" w:color="auto"/>
        <w:left w:val="none" w:sz="0" w:space="0" w:color="auto"/>
        <w:bottom w:val="none" w:sz="0" w:space="0" w:color="auto"/>
        <w:right w:val="none" w:sz="0" w:space="0" w:color="auto"/>
      </w:divBdr>
    </w:div>
    <w:div w:id="812596459">
      <w:bodyDiv w:val="1"/>
      <w:marLeft w:val="0"/>
      <w:marRight w:val="0"/>
      <w:marTop w:val="0"/>
      <w:marBottom w:val="0"/>
      <w:divBdr>
        <w:top w:val="none" w:sz="0" w:space="0" w:color="auto"/>
        <w:left w:val="none" w:sz="0" w:space="0" w:color="auto"/>
        <w:bottom w:val="none" w:sz="0" w:space="0" w:color="auto"/>
        <w:right w:val="none" w:sz="0" w:space="0" w:color="auto"/>
      </w:divBdr>
    </w:div>
    <w:div w:id="812789749">
      <w:bodyDiv w:val="1"/>
      <w:marLeft w:val="30"/>
      <w:marRight w:val="30"/>
      <w:marTop w:val="0"/>
      <w:marBottom w:val="0"/>
      <w:divBdr>
        <w:top w:val="none" w:sz="0" w:space="0" w:color="auto"/>
        <w:left w:val="none" w:sz="0" w:space="0" w:color="auto"/>
        <w:bottom w:val="none" w:sz="0" w:space="0" w:color="auto"/>
        <w:right w:val="none" w:sz="0" w:space="0" w:color="auto"/>
      </w:divBdr>
      <w:divsChild>
        <w:div w:id="632369473">
          <w:marLeft w:val="0"/>
          <w:marRight w:val="0"/>
          <w:marTop w:val="0"/>
          <w:marBottom w:val="0"/>
          <w:divBdr>
            <w:top w:val="none" w:sz="0" w:space="0" w:color="auto"/>
            <w:left w:val="none" w:sz="0" w:space="0" w:color="auto"/>
            <w:bottom w:val="none" w:sz="0" w:space="0" w:color="auto"/>
            <w:right w:val="none" w:sz="0" w:space="0" w:color="auto"/>
          </w:divBdr>
          <w:divsChild>
            <w:div w:id="1539126824">
              <w:marLeft w:val="0"/>
              <w:marRight w:val="0"/>
              <w:marTop w:val="0"/>
              <w:marBottom w:val="0"/>
              <w:divBdr>
                <w:top w:val="none" w:sz="0" w:space="0" w:color="auto"/>
                <w:left w:val="none" w:sz="0" w:space="0" w:color="auto"/>
                <w:bottom w:val="none" w:sz="0" w:space="0" w:color="auto"/>
                <w:right w:val="none" w:sz="0" w:space="0" w:color="auto"/>
              </w:divBdr>
              <w:divsChild>
                <w:div w:id="1736971308">
                  <w:marLeft w:val="180"/>
                  <w:marRight w:val="0"/>
                  <w:marTop w:val="0"/>
                  <w:marBottom w:val="0"/>
                  <w:divBdr>
                    <w:top w:val="none" w:sz="0" w:space="0" w:color="auto"/>
                    <w:left w:val="none" w:sz="0" w:space="0" w:color="auto"/>
                    <w:bottom w:val="none" w:sz="0" w:space="0" w:color="auto"/>
                    <w:right w:val="none" w:sz="0" w:space="0" w:color="auto"/>
                  </w:divBdr>
                  <w:divsChild>
                    <w:div w:id="2024626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1240086">
      <w:bodyDiv w:val="1"/>
      <w:marLeft w:val="0"/>
      <w:marRight w:val="0"/>
      <w:marTop w:val="0"/>
      <w:marBottom w:val="0"/>
      <w:divBdr>
        <w:top w:val="none" w:sz="0" w:space="0" w:color="auto"/>
        <w:left w:val="none" w:sz="0" w:space="0" w:color="auto"/>
        <w:bottom w:val="none" w:sz="0" w:space="0" w:color="auto"/>
        <w:right w:val="none" w:sz="0" w:space="0" w:color="auto"/>
      </w:divBdr>
      <w:divsChild>
        <w:div w:id="1176388080">
          <w:marLeft w:val="0"/>
          <w:marRight w:val="0"/>
          <w:marTop w:val="0"/>
          <w:marBottom w:val="0"/>
          <w:divBdr>
            <w:top w:val="none" w:sz="0" w:space="0" w:color="auto"/>
            <w:left w:val="none" w:sz="0" w:space="0" w:color="auto"/>
            <w:bottom w:val="none" w:sz="0" w:space="0" w:color="auto"/>
            <w:right w:val="none" w:sz="0" w:space="0" w:color="auto"/>
          </w:divBdr>
          <w:divsChild>
            <w:div w:id="1006859337">
              <w:marLeft w:val="0"/>
              <w:marRight w:val="0"/>
              <w:marTop w:val="0"/>
              <w:marBottom w:val="0"/>
              <w:divBdr>
                <w:top w:val="none" w:sz="0" w:space="0" w:color="auto"/>
                <w:left w:val="none" w:sz="0" w:space="0" w:color="auto"/>
                <w:bottom w:val="none" w:sz="0" w:space="0" w:color="auto"/>
                <w:right w:val="none" w:sz="0" w:space="0" w:color="auto"/>
              </w:divBdr>
              <w:divsChild>
                <w:div w:id="1723211576">
                  <w:marLeft w:val="2928"/>
                  <w:marRight w:val="0"/>
                  <w:marTop w:val="720"/>
                  <w:marBottom w:val="0"/>
                  <w:divBdr>
                    <w:top w:val="none" w:sz="0" w:space="0" w:color="auto"/>
                    <w:left w:val="none" w:sz="0" w:space="0" w:color="auto"/>
                    <w:bottom w:val="none" w:sz="0" w:space="0" w:color="auto"/>
                    <w:right w:val="none" w:sz="0" w:space="0" w:color="auto"/>
                  </w:divBdr>
                  <w:divsChild>
                    <w:div w:id="985016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2009825">
      <w:bodyDiv w:val="1"/>
      <w:marLeft w:val="0"/>
      <w:marRight w:val="0"/>
      <w:marTop w:val="0"/>
      <w:marBottom w:val="0"/>
      <w:divBdr>
        <w:top w:val="none" w:sz="0" w:space="0" w:color="auto"/>
        <w:left w:val="none" w:sz="0" w:space="0" w:color="auto"/>
        <w:bottom w:val="none" w:sz="0" w:space="0" w:color="auto"/>
        <w:right w:val="none" w:sz="0" w:space="0" w:color="auto"/>
      </w:divBdr>
    </w:div>
    <w:div w:id="915360084">
      <w:bodyDiv w:val="1"/>
      <w:marLeft w:val="0"/>
      <w:marRight w:val="0"/>
      <w:marTop w:val="0"/>
      <w:marBottom w:val="0"/>
      <w:divBdr>
        <w:top w:val="none" w:sz="0" w:space="0" w:color="auto"/>
        <w:left w:val="none" w:sz="0" w:space="0" w:color="auto"/>
        <w:bottom w:val="none" w:sz="0" w:space="0" w:color="auto"/>
        <w:right w:val="none" w:sz="0" w:space="0" w:color="auto"/>
      </w:divBdr>
    </w:div>
    <w:div w:id="1026836370">
      <w:bodyDiv w:val="1"/>
      <w:marLeft w:val="0"/>
      <w:marRight w:val="0"/>
      <w:marTop w:val="0"/>
      <w:marBottom w:val="0"/>
      <w:divBdr>
        <w:top w:val="none" w:sz="0" w:space="0" w:color="auto"/>
        <w:left w:val="none" w:sz="0" w:space="0" w:color="auto"/>
        <w:bottom w:val="none" w:sz="0" w:space="0" w:color="auto"/>
        <w:right w:val="none" w:sz="0" w:space="0" w:color="auto"/>
      </w:divBdr>
    </w:div>
    <w:div w:id="1038776044">
      <w:bodyDiv w:val="1"/>
      <w:marLeft w:val="0"/>
      <w:marRight w:val="0"/>
      <w:marTop w:val="0"/>
      <w:marBottom w:val="0"/>
      <w:divBdr>
        <w:top w:val="none" w:sz="0" w:space="0" w:color="auto"/>
        <w:left w:val="none" w:sz="0" w:space="0" w:color="auto"/>
        <w:bottom w:val="none" w:sz="0" w:space="0" w:color="auto"/>
        <w:right w:val="none" w:sz="0" w:space="0" w:color="auto"/>
      </w:divBdr>
    </w:div>
    <w:div w:id="1069226113">
      <w:bodyDiv w:val="1"/>
      <w:marLeft w:val="0"/>
      <w:marRight w:val="0"/>
      <w:marTop w:val="0"/>
      <w:marBottom w:val="0"/>
      <w:divBdr>
        <w:top w:val="none" w:sz="0" w:space="0" w:color="auto"/>
        <w:left w:val="none" w:sz="0" w:space="0" w:color="auto"/>
        <w:bottom w:val="none" w:sz="0" w:space="0" w:color="auto"/>
        <w:right w:val="none" w:sz="0" w:space="0" w:color="auto"/>
      </w:divBdr>
    </w:div>
    <w:div w:id="1085225097">
      <w:bodyDiv w:val="1"/>
      <w:marLeft w:val="0"/>
      <w:marRight w:val="0"/>
      <w:marTop w:val="0"/>
      <w:marBottom w:val="0"/>
      <w:divBdr>
        <w:top w:val="none" w:sz="0" w:space="0" w:color="auto"/>
        <w:left w:val="none" w:sz="0" w:space="0" w:color="auto"/>
        <w:bottom w:val="none" w:sz="0" w:space="0" w:color="auto"/>
        <w:right w:val="none" w:sz="0" w:space="0" w:color="auto"/>
      </w:divBdr>
    </w:div>
    <w:div w:id="1109079848">
      <w:bodyDiv w:val="1"/>
      <w:marLeft w:val="0"/>
      <w:marRight w:val="0"/>
      <w:marTop w:val="0"/>
      <w:marBottom w:val="0"/>
      <w:divBdr>
        <w:top w:val="none" w:sz="0" w:space="0" w:color="auto"/>
        <w:left w:val="none" w:sz="0" w:space="0" w:color="auto"/>
        <w:bottom w:val="none" w:sz="0" w:space="0" w:color="auto"/>
        <w:right w:val="none" w:sz="0" w:space="0" w:color="auto"/>
      </w:divBdr>
    </w:div>
    <w:div w:id="1123816073">
      <w:bodyDiv w:val="1"/>
      <w:marLeft w:val="0"/>
      <w:marRight w:val="0"/>
      <w:marTop w:val="0"/>
      <w:marBottom w:val="0"/>
      <w:divBdr>
        <w:top w:val="none" w:sz="0" w:space="0" w:color="auto"/>
        <w:left w:val="none" w:sz="0" w:space="0" w:color="auto"/>
        <w:bottom w:val="none" w:sz="0" w:space="0" w:color="auto"/>
        <w:right w:val="none" w:sz="0" w:space="0" w:color="auto"/>
      </w:divBdr>
    </w:div>
    <w:div w:id="1155805781">
      <w:bodyDiv w:val="1"/>
      <w:marLeft w:val="0"/>
      <w:marRight w:val="0"/>
      <w:marTop w:val="0"/>
      <w:marBottom w:val="0"/>
      <w:divBdr>
        <w:top w:val="none" w:sz="0" w:space="0" w:color="auto"/>
        <w:left w:val="none" w:sz="0" w:space="0" w:color="auto"/>
        <w:bottom w:val="none" w:sz="0" w:space="0" w:color="auto"/>
        <w:right w:val="none" w:sz="0" w:space="0" w:color="auto"/>
      </w:divBdr>
    </w:div>
    <w:div w:id="1168979066">
      <w:bodyDiv w:val="1"/>
      <w:marLeft w:val="0"/>
      <w:marRight w:val="0"/>
      <w:marTop w:val="0"/>
      <w:marBottom w:val="0"/>
      <w:divBdr>
        <w:top w:val="none" w:sz="0" w:space="0" w:color="auto"/>
        <w:left w:val="none" w:sz="0" w:space="0" w:color="auto"/>
        <w:bottom w:val="none" w:sz="0" w:space="0" w:color="auto"/>
        <w:right w:val="none" w:sz="0" w:space="0" w:color="auto"/>
      </w:divBdr>
    </w:div>
    <w:div w:id="1189104560">
      <w:bodyDiv w:val="1"/>
      <w:marLeft w:val="0"/>
      <w:marRight w:val="0"/>
      <w:marTop w:val="0"/>
      <w:marBottom w:val="0"/>
      <w:divBdr>
        <w:top w:val="none" w:sz="0" w:space="0" w:color="auto"/>
        <w:left w:val="none" w:sz="0" w:space="0" w:color="auto"/>
        <w:bottom w:val="none" w:sz="0" w:space="0" w:color="auto"/>
        <w:right w:val="none" w:sz="0" w:space="0" w:color="auto"/>
      </w:divBdr>
    </w:div>
    <w:div w:id="1195194650">
      <w:bodyDiv w:val="1"/>
      <w:marLeft w:val="0"/>
      <w:marRight w:val="0"/>
      <w:marTop w:val="0"/>
      <w:marBottom w:val="0"/>
      <w:divBdr>
        <w:top w:val="none" w:sz="0" w:space="0" w:color="auto"/>
        <w:left w:val="none" w:sz="0" w:space="0" w:color="auto"/>
        <w:bottom w:val="none" w:sz="0" w:space="0" w:color="auto"/>
        <w:right w:val="none" w:sz="0" w:space="0" w:color="auto"/>
      </w:divBdr>
    </w:div>
    <w:div w:id="1200625548">
      <w:bodyDiv w:val="1"/>
      <w:marLeft w:val="0"/>
      <w:marRight w:val="0"/>
      <w:marTop w:val="0"/>
      <w:marBottom w:val="0"/>
      <w:divBdr>
        <w:top w:val="none" w:sz="0" w:space="0" w:color="auto"/>
        <w:left w:val="none" w:sz="0" w:space="0" w:color="auto"/>
        <w:bottom w:val="none" w:sz="0" w:space="0" w:color="auto"/>
        <w:right w:val="none" w:sz="0" w:space="0" w:color="auto"/>
      </w:divBdr>
    </w:div>
    <w:div w:id="1223449721">
      <w:bodyDiv w:val="1"/>
      <w:marLeft w:val="0"/>
      <w:marRight w:val="0"/>
      <w:marTop w:val="0"/>
      <w:marBottom w:val="0"/>
      <w:divBdr>
        <w:top w:val="none" w:sz="0" w:space="0" w:color="auto"/>
        <w:left w:val="none" w:sz="0" w:space="0" w:color="auto"/>
        <w:bottom w:val="none" w:sz="0" w:space="0" w:color="auto"/>
        <w:right w:val="none" w:sz="0" w:space="0" w:color="auto"/>
      </w:divBdr>
    </w:div>
    <w:div w:id="1241870287">
      <w:bodyDiv w:val="1"/>
      <w:marLeft w:val="0"/>
      <w:marRight w:val="0"/>
      <w:marTop w:val="0"/>
      <w:marBottom w:val="0"/>
      <w:divBdr>
        <w:top w:val="none" w:sz="0" w:space="0" w:color="auto"/>
        <w:left w:val="none" w:sz="0" w:space="0" w:color="auto"/>
        <w:bottom w:val="none" w:sz="0" w:space="0" w:color="auto"/>
        <w:right w:val="none" w:sz="0" w:space="0" w:color="auto"/>
      </w:divBdr>
    </w:div>
    <w:div w:id="1283146152">
      <w:bodyDiv w:val="1"/>
      <w:marLeft w:val="0"/>
      <w:marRight w:val="0"/>
      <w:marTop w:val="0"/>
      <w:marBottom w:val="0"/>
      <w:divBdr>
        <w:top w:val="none" w:sz="0" w:space="0" w:color="auto"/>
        <w:left w:val="none" w:sz="0" w:space="0" w:color="auto"/>
        <w:bottom w:val="none" w:sz="0" w:space="0" w:color="auto"/>
        <w:right w:val="none" w:sz="0" w:space="0" w:color="auto"/>
      </w:divBdr>
    </w:div>
    <w:div w:id="1394157505">
      <w:bodyDiv w:val="1"/>
      <w:marLeft w:val="30"/>
      <w:marRight w:val="30"/>
      <w:marTop w:val="0"/>
      <w:marBottom w:val="0"/>
      <w:divBdr>
        <w:top w:val="none" w:sz="0" w:space="0" w:color="auto"/>
        <w:left w:val="none" w:sz="0" w:space="0" w:color="auto"/>
        <w:bottom w:val="none" w:sz="0" w:space="0" w:color="auto"/>
        <w:right w:val="none" w:sz="0" w:space="0" w:color="auto"/>
      </w:divBdr>
      <w:divsChild>
        <w:div w:id="829906142">
          <w:marLeft w:val="0"/>
          <w:marRight w:val="0"/>
          <w:marTop w:val="0"/>
          <w:marBottom w:val="0"/>
          <w:divBdr>
            <w:top w:val="none" w:sz="0" w:space="0" w:color="auto"/>
            <w:left w:val="none" w:sz="0" w:space="0" w:color="auto"/>
            <w:bottom w:val="none" w:sz="0" w:space="0" w:color="auto"/>
            <w:right w:val="none" w:sz="0" w:space="0" w:color="auto"/>
          </w:divBdr>
          <w:divsChild>
            <w:div w:id="2076706731">
              <w:marLeft w:val="0"/>
              <w:marRight w:val="0"/>
              <w:marTop w:val="0"/>
              <w:marBottom w:val="0"/>
              <w:divBdr>
                <w:top w:val="none" w:sz="0" w:space="0" w:color="auto"/>
                <w:left w:val="none" w:sz="0" w:space="0" w:color="auto"/>
                <w:bottom w:val="none" w:sz="0" w:space="0" w:color="auto"/>
                <w:right w:val="none" w:sz="0" w:space="0" w:color="auto"/>
              </w:divBdr>
              <w:divsChild>
                <w:div w:id="537623510">
                  <w:marLeft w:val="180"/>
                  <w:marRight w:val="0"/>
                  <w:marTop w:val="0"/>
                  <w:marBottom w:val="0"/>
                  <w:divBdr>
                    <w:top w:val="none" w:sz="0" w:space="0" w:color="auto"/>
                    <w:left w:val="none" w:sz="0" w:space="0" w:color="auto"/>
                    <w:bottom w:val="none" w:sz="0" w:space="0" w:color="auto"/>
                    <w:right w:val="none" w:sz="0" w:space="0" w:color="auto"/>
                  </w:divBdr>
                  <w:divsChild>
                    <w:div w:id="248856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6730323">
      <w:bodyDiv w:val="1"/>
      <w:marLeft w:val="0"/>
      <w:marRight w:val="0"/>
      <w:marTop w:val="0"/>
      <w:marBottom w:val="0"/>
      <w:divBdr>
        <w:top w:val="none" w:sz="0" w:space="0" w:color="auto"/>
        <w:left w:val="none" w:sz="0" w:space="0" w:color="auto"/>
        <w:bottom w:val="none" w:sz="0" w:space="0" w:color="auto"/>
        <w:right w:val="none" w:sz="0" w:space="0" w:color="auto"/>
      </w:divBdr>
      <w:divsChild>
        <w:div w:id="1328365962">
          <w:marLeft w:val="0"/>
          <w:marRight w:val="0"/>
          <w:marTop w:val="0"/>
          <w:marBottom w:val="0"/>
          <w:divBdr>
            <w:top w:val="none" w:sz="0" w:space="0" w:color="auto"/>
            <w:left w:val="none" w:sz="0" w:space="0" w:color="auto"/>
            <w:bottom w:val="none" w:sz="0" w:space="0" w:color="auto"/>
            <w:right w:val="none" w:sz="0" w:space="0" w:color="auto"/>
          </w:divBdr>
          <w:divsChild>
            <w:div w:id="281306064">
              <w:marLeft w:val="0"/>
              <w:marRight w:val="0"/>
              <w:marTop w:val="0"/>
              <w:marBottom w:val="0"/>
              <w:divBdr>
                <w:top w:val="none" w:sz="0" w:space="0" w:color="auto"/>
                <w:left w:val="none" w:sz="0" w:space="0" w:color="auto"/>
                <w:bottom w:val="none" w:sz="0" w:space="0" w:color="auto"/>
                <w:right w:val="none" w:sz="0" w:space="0" w:color="auto"/>
              </w:divBdr>
              <w:divsChild>
                <w:div w:id="630088605">
                  <w:marLeft w:val="2928"/>
                  <w:marRight w:val="0"/>
                  <w:marTop w:val="720"/>
                  <w:marBottom w:val="0"/>
                  <w:divBdr>
                    <w:top w:val="none" w:sz="0" w:space="0" w:color="auto"/>
                    <w:left w:val="none" w:sz="0" w:space="0" w:color="auto"/>
                    <w:bottom w:val="none" w:sz="0" w:space="0" w:color="auto"/>
                    <w:right w:val="none" w:sz="0" w:space="0" w:color="auto"/>
                  </w:divBdr>
                  <w:divsChild>
                    <w:div w:id="853112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9447790">
      <w:bodyDiv w:val="1"/>
      <w:marLeft w:val="0"/>
      <w:marRight w:val="0"/>
      <w:marTop w:val="0"/>
      <w:marBottom w:val="0"/>
      <w:divBdr>
        <w:top w:val="none" w:sz="0" w:space="0" w:color="auto"/>
        <w:left w:val="none" w:sz="0" w:space="0" w:color="auto"/>
        <w:bottom w:val="none" w:sz="0" w:space="0" w:color="auto"/>
        <w:right w:val="none" w:sz="0" w:space="0" w:color="auto"/>
      </w:divBdr>
    </w:div>
    <w:div w:id="1470442920">
      <w:bodyDiv w:val="1"/>
      <w:marLeft w:val="0"/>
      <w:marRight w:val="0"/>
      <w:marTop w:val="0"/>
      <w:marBottom w:val="0"/>
      <w:divBdr>
        <w:top w:val="none" w:sz="0" w:space="0" w:color="auto"/>
        <w:left w:val="none" w:sz="0" w:space="0" w:color="auto"/>
        <w:bottom w:val="none" w:sz="0" w:space="0" w:color="auto"/>
        <w:right w:val="none" w:sz="0" w:space="0" w:color="auto"/>
      </w:divBdr>
    </w:div>
    <w:div w:id="1478181503">
      <w:bodyDiv w:val="1"/>
      <w:marLeft w:val="0"/>
      <w:marRight w:val="0"/>
      <w:marTop w:val="0"/>
      <w:marBottom w:val="0"/>
      <w:divBdr>
        <w:top w:val="none" w:sz="0" w:space="0" w:color="auto"/>
        <w:left w:val="none" w:sz="0" w:space="0" w:color="auto"/>
        <w:bottom w:val="none" w:sz="0" w:space="0" w:color="auto"/>
        <w:right w:val="none" w:sz="0" w:space="0" w:color="auto"/>
      </w:divBdr>
    </w:div>
    <w:div w:id="1495141324">
      <w:bodyDiv w:val="1"/>
      <w:marLeft w:val="0"/>
      <w:marRight w:val="0"/>
      <w:marTop w:val="0"/>
      <w:marBottom w:val="0"/>
      <w:divBdr>
        <w:top w:val="none" w:sz="0" w:space="0" w:color="auto"/>
        <w:left w:val="none" w:sz="0" w:space="0" w:color="auto"/>
        <w:bottom w:val="none" w:sz="0" w:space="0" w:color="auto"/>
        <w:right w:val="none" w:sz="0" w:space="0" w:color="auto"/>
      </w:divBdr>
    </w:div>
    <w:div w:id="1521969979">
      <w:bodyDiv w:val="1"/>
      <w:marLeft w:val="0"/>
      <w:marRight w:val="0"/>
      <w:marTop w:val="0"/>
      <w:marBottom w:val="0"/>
      <w:divBdr>
        <w:top w:val="none" w:sz="0" w:space="0" w:color="auto"/>
        <w:left w:val="none" w:sz="0" w:space="0" w:color="auto"/>
        <w:bottom w:val="none" w:sz="0" w:space="0" w:color="auto"/>
        <w:right w:val="none" w:sz="0" w:space="0" w:color="auto"/>
      </w:divBdr>
    </w:div>
    <w:div w:id="1546406704">
      <w:bodyDiv w:val="1"/>
      <w:marLeft w:val="0"/>
      <w:marRight w:val="0"/>
      <w:marTop w:val="0"/>
      <w:marBottom w:val="0"/>
      <w:divBdr>
        <w:top w:val="none" w:sz="0" w:space="0" w:color="auto"/>
        <w:left w:val="none" w:sz="0" w:space="0" w:color="auto"/>
        <w:bottom w:val="none" w:sz="0" w:space="0" w:color="auto"/>
        <w:right w:val="none" w:sz="0" w:space="0" w:color="auto"/>
      </w:divBdr>
    </w:div>
    <w:div w:id="1571770610">
      <w:bodyDiv w:val="1"/>
      <w:marLeft w:val="0"/>
      <w:marRight w:val="0"/>
      <w:marTop w:val="0"/>
      <w:marBottom w:val="0"/>
      <w:divBdr>
        <w:top w:val="none" w:sz="0" w:space="0" w:color="auto"/>
        <w:left w:val="none" w:sz="0" w:space="0" w:color="auto"/>
        <w:bottom w:val="none" w:sz="0" w:space="0" w:color="auto"/>
        <w:right w:val="none" w:sz="0" w:space="0" w:color="auto"/>
      </w:divBdr>
    </w:div>
    <w:div w:id="1611820335">
      <w:bodyDiv w:val="1"/>
      <w:marLeft w:val="0"/>
      <w:marRight w:val="0"/>
      <w:marTop w:val="0"/>
      <w:marBottom w:val="0"/>
      <w:divBdr>
        <w:top w:val="none" w:sz="0" w:space="0" w:color="auto"/>
        <w:left w:val="none" w:sz="0" w:space="0" w:color="auto"/>
        <w:bottom w:val="none" w:sz="0" w:space="0" w:color="auto"/>
        <w:right w:val="none" w:sz="0" w:space="0" w:color="auto"/>
      </w:divBdr>
    </w:div>
    <w:div w:id="1716008199">
      <w:bodyDiv w:val="1"/>
      <w:marLeft w:val="0"/>
      <w:marRight w:val="0"/>
      <w:marTop w:val="0"/>
      <w:marBottom w:val="0"/>
      <w:divBdr>
        <w:top w:val="none" w:sz="0" w:space="0" w:color="auto"/>
        <w:left w:val="none" w:sz="0" w:space="0" w:color="auto"/>
        <w:bottom w:val="none" w:sz="0" w:space="0" w:color="auto"/>
        <w:right w:val="none" w:sz="0" w:space="0" w:color="auto"/>
      </w:divBdr>
    </w:div>
    <w:div w:id="1722944796">
      <w:bodyDiv w:val="1"/>
      <w:marLeft w:val="0"/>
      <w:marRight w:val="0"/>
      <w:marTop w:val="0"/>
      <w:marBottom w:val="0"/>
      <w:divBdr>
        <w:top w:val="none" w:sz="0" w:space="0" w:color="auto"/>
        <w:left w:val="none" w:sz="0" w:space="0" w:color="auto"/>
        <w:bottom w:val="none" w:sz="0" w:space="0" w:color="auto"/>
        <w:right w:val="none" w:sz="0" w:space="0" w:color="auto"/>
      </w:divBdr>
    </w:div>
    <w:div w:id="1761678205">
      <w:bodyDiv w:val="1"/>
      <w:marLeft w:val="0"/>
      <w:marRight w:val="0"/>
      <w:marTop w:val="0"/>
      <w:marBottom w:val="0"/>
      <w:divBdr>
        <w:top w:val="none" w:sz="0" w:space="0" w:color="auto"/>
        <w:left w:val="none" w:sz="0" w:space="0" w:color="auto"/>
        <w:bottom w:val="none" w:sz="0" w:space="0" w:color="auto"/>
        <w:right w:val="none" w:sz="0" w:space="0" w:color="auto"/>
      </w:divBdr>
    </w:div>
    <w:div w:id="1768574640">
      <w:bodyDiv w:val="1"/>
      <w:marLeft w:val="0"/>
      <w:marRight w:val="0"/>
      <w:marTop w:val="0"/>
      <w:marBottom w:val="0"/>
      <w:divBdr>
        <w:top w:val="none" w:sz="0" w:space="0" w:color="auto"/>
        <w:left w:val="none" w:sz="0" w:space="0" w:color="auto"/>
        <w:bottom w:val="none" w:sz="0" w:space="0" w:color="auto"/>
        <w:right w:val="none" w:sz="0" w:space="0" w:color="auto"/>
      </w:divBdr>
    </w:div>
    <w:div w:id="1788085837">
      <w:bodyDiv w:val="1"/>
      <w:marLeft w:val="0"/>
      <w:marRight w:val="0"/>
      <w:marTop w:val="0"/>
      <w:marBottom w:val="0"/>
      <w:divBdr>
        <w:top w:val="none" w:sz="0" w:space="0" w:color="auto"/>
        <w:left w:val="none" w:sz="0" w:space="0" w:color="auto"/>
        <w:bottom w:val="none" w:sz="0" w:space="0" w:color="auto"/>
        <w:right w:val="none" w:sz="0" w:space="0" w:color="auto"/>
      </w:divBdr>
    </w:div>
    <w:div w:id="1809011044">
      <w:bodyDiv w:val="1"/>
      <w:marLeft w:val="0"/>
      <w:marRight w:val="0"/>
      <w:marTop w:val="0"/>
      <w:marBottom w:val="0"/>
      <w:divBdr>
        <w:top w:val="none" w:sz="0" w:space="0" w:color="auto"/>
        <w:left w:val="none" w:sz="0" w:space="0" w:color="auto"/>
        <w:bottom w:val="none" w:sz="0" w:space="0" w:color="auto"/>
        <w:right w:val="none" w:sz="0" w:space="0" w:color="auto"/>
      </w:divBdr>
    </w:div>
    <w:div w:id="1829127317">
      <w:bodyDiv w:val="1"/>
      <w:marLeft w:val="0"/>
      <w:marRight w:val="0"/>
      <w:marTop w:val="0"/>
      <w:marBottom w:val="0"/>
      <w:divBdr>
        <w:top w:val="none" w:sz="0" w:space="0" w:color="auto"/>
        <w:left w:val="none" w:sz="0" w:space="0" w:color="auto"/>
        <w:bottom w:val="none" w:sz="0" w:space="0" w:color="auto"/>
        <w:right w:val="none" w:sz="0" w:space="0" w:color="auto"/>
      </w:divBdr>
    </w:div>
    <w:div w:id="1839270799">
      <w:bodyDiv w:val="1"/>
      <w:marLeft w:val="0"/>
      <w:marRight w:val="0"/>
      <w:marTop w:val="0"/>
      <w:marBottom w:val="0"/>
      <w:divBdr>
        <w:top w:val="none" w:sz="0" w:space="0" w:color="auto"/>
        <w:left w:val="none" w:sz="0" w:space="0" w:color="auto"/>
        <w:bottom w:val="none" w:sz="0" w:space="0" w:color="auto"/>
        <w:right w:val="none" w:sz="0" w:space="0" w:color="auto"/>
      </w:divBdr>
    </w:div>
    <w:div w:id="1893685321">
      <w:bodyDiv w:val="1"/>
      <w:marLeft w:val="0"/>
      <w:marRight w:val="0"/>
      <w:marTop w:val="0"/>
      <w:marBottom w:val="0"/>
      <w:divBdr>
        <w:top w:val="none" w:sz="0" w:space="0" w:color="auto"/>
        <w:left w:val="none" w:sz="0" w:space="0" w:color="auto"/>
        <w:bottom w:val="none" w:sz="0" w:space="0" w:color="auto"/>
        <w:right w:val="none" w:sz="0" w:space="0" w:color="auto"/>
      </w:divBdr>
    </w:div>
    <w:div w:id="1896892857">
      <w:bodyDiv w:val="1"/>
      <w:marLeft w:val="0"/>
      <w:marRight w:val="0"/>
      <w:marTop w:val="0"/>
      <w:marBottom w:val="0"/>
      <w:divBdr>
        <w:top w:val="none" w:sz="0" w:space="0" w:color="auto"/>
        <w:left w:val="none" w:sz="0" w:space="0" w:color="auto"/>
        <w:bottom w:val="none" w:sz="0" w:space="0" w:color="auto"/>
        <w:right w:val="none" w:sz="0" w:space="0" w:color="auto"/>
      </w:divBdr>
    </w:div>
    <w:div w:id="1932859667">
      <w:bodyDiv w:val="1"/>
      <w:marLeft w:val="0"/>
      <w:marRight w:val="0"/>
      <w:marTop w:val="0"/>
      <w:marBottom w:val="0"/>
      <w:divBdr>
        <w:top w:val="none" w:sz="0" w:space="0" w:color="auto"/>
        <w:left w:val="none" w:sz="0" w:space="0" w:color="auto"/>
        <w:bottom w:val="none" w:sz="0" w:space="0" w:color="auto"/>
        <w:right w:val="none" w:sz="0" w:space="0" w:color="auto"/>
      </w:divBdr>
    </w:div>
    <w:div w:id="1956591473">
      <w:bodyDiv w:val="1"/>
      <w:marLeft w:val="0"/>
      <w:marRight w:val="0"/>
      <w:marTop w:val="0"/>
      <w:marBottom w:val="0"/>
      <w:divBdr>
        <w:top w:val="none" w:sz="0" w:space="0" w:color="auto"/>
        <w:left w:val="none" w:sz="0" w:space="0" w:color="auto"/>
        <w:bottom w:val="none" w:sz="0" w:space="0" w:color="auto"/>
        <w:right w:val="none" w:sz="0" w:space="0" w:color="auto"/>
      </w:divBdr>
    </w:div>
    <w:div w:id="1971400745">
      <w:bodyDiv w:val="1"/>
      <w:marLeft w:val="0"/>
      <w:marRight w:val="0"/>
      <w:marTop w:val="0"/>
      <w:marBottom w:val="0"/>
      <w:divBdr>
        <w:top w:val="none" w:sz="0" w:space="0" w:color="auto"/>
        <w:left w:val="none" w:sz="0" w:space="0" w:color="auto"/>
        <w:bottom w:val="none" w:sz="0" w:space="0" w:color="auto"/>
        <w:right w:val="none" w:sz="0" w:space="0" w:color="auto"/>
      </w:divBdr>
    </w:div>
    <w:div w:id="1978336924">
      <w:bodyDiv w:val="1"/>
      <w:marLeft w:val="30"/>
      <w:marRight w:val="30"/>
      <w:marTop w:val="0"/>
      <w:marBottom w:val="0"/>
      <w:divBdr>
        <w:top w:val="none" w:sz="0" w:space="0" w:color="auto"/>
        <w:left w:val="none" w:sz="0" w:space="0" w:color="auto"/>
        <w:bottom w:val="none" w:sz="0" w:space="0" w:color="auto"/>
        <w:right w:val="none" w:sz="0" w:space="0" w:color="auto"/>
      </w:divBdr>
      <w:divsChild>
        <w:div w:id="373431204">
          <w:marLeft w:val="0"/>
          <w:marRight w:val="0"/>
          <w:marTop w:val="0"/>
          <w:marBottom w:val="0"/>
          <w:divBdr>
            <w:top w:val="none" w:sz="0" w:space="0" w:color="auto"/>
            <w:left w:val="none" w:sz="0" w:space="0" w:color="auto"/>
            <w:bottom w:val="none" w:sz="0" w:space="0" w:color="auto"/>
            <w:right w:val="none" w:sz="0" w:space="0" w:color="auto"/>
          </w:divBdr>
          <w:divsChild>
            <w:div w:id="616251807">
              <w:marLeft w:val="0"/>
              <w:marRight w:val="0"/>
              <w:marTop w:val="0"/>
              <w:marBottom w:val="0"/>
              <w:divBdr>
                <w:top w:val="none" w:sz="0" w:space="0" w:color="auto"/>
                <w:left w:val="none" w:sz="0" w:space="0" w:color="auto"/>
                <w:bottom w:val="none" w:sz="0" w:space="0" w:color="auto"/>
                <w:right w:val="none" w:sz="0" w:space="0" w:color="auto"/>
              </w:divBdr>
              <w:divsChild>
                <w:div w:id="861091678">
                  <w:marLeft w:val="180"/>
                  <w:marRight w:val="0"/>
                  <w:marTop w:val="0"/>
                  <w:marBottom w:val="0"/>
                  <w:divBdr>
                    <w:top w:val="none" w:sz="0" w:space="0" w:color="auto"/>
                    <w:left w:val="none" w:sz="0" w:space="0" w:color="auto"/>
                    <w:bottom w:val="none" w:sz="0" w:space="0" w:color="auto"/>
                    <w:right w:val="none" w:sz="0" w:space="0" w:color="auto"/>
                  </w:divBdr>
                  <w:divsChild>
                    <w:div w:id="1415972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6271775">
      <w:bodyDiv w:val="1"/>
      <w:marLeft w:val="0"/>
      <w:marRight w:val="0"/>
      <w:marTop w:val="0"/>
      <w:marBottom w:val="0"/>
      <w:divBdr>
        <w:top w:val="none" w:sz="0" w:space="0" w:color="auto"/>
        <w:left w:val="none" w:sz="0" w:space="0" w:color="auto"/>
        <w:bottom w:val="none" w:sz="0" w:space="0" w:color="auto"/>
        <w:right w:val="none" w:sz="0" w:space="0" w:color="auto"/>
      </w:divBdr>
    </w:div>
    <w:div w:id="2056540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83.png"/><Relationship Id="rId21" Type="http://schemas.openxmlformats.org/officeDocument/2006/relationships/image" Target="media/image10.png"/><Relationship Id="rId42" Type="http://schemas.openxmlformats.org/officeDocument/2006/relationships/image" Target="media/image26.png"/><Relationship Id="rId63" Type="http://schemas.openxmlformats.org/officeDocument/2006/relationships/image" Target="media/image46.png"/><Relationship Id="rId84" Type="http://schemas.openxmlformats.org/officeDocument/2006/relationships/hyperlink" Target="#_Select_Units_1"/><Relationship Id="rId138" Type="http://schemas.openxmlformats.org/officeDocument/2006/relationships/image" Target="media/image104.png"/><Relationship Id="rId159" Type="http://schemas.openxmlformats.org/officeDocument/2006/relationships/image" Target="media/image124.png"/><Relationship Id="rId170" Type="http://schemas.openxmlformats.org/officeDocument/2006/relationships/image" Target="media/image134.png"/><Relationship Id="rId191" Type="http://schemas.openxmlformats.org/officeDocument/2006/relationships/image" Target="media/image154.png"/><Relationship Id="rId205" Type="http://schemas.openxmlformats.org/officeDocument/2006/relationships/image" Target="media/image168.png"/><Relationship Id="rId226" Type="http://schemas.openxmlformats.org/officeDocument/2006/relationships/oleObject" Target="embeddings/Microsoft_Visio_2003-2010_Drawing7.vsd"/><Relationship Id="rId247" Type="http://schemas.microsoft.com/office/2011/relationships/people" Target="people.xml"/><Relationship Id="rId107" Type="http://schemas.openxmlformats.org/officeDocument/2006/relationships/image" Target="media/image73.png"/><Relationship Id="rId11" Type="http://schemas.openxmlformats.org/officeDocument/2006/relationships/footer" Target="footer1.xml"/><Relationship Id="rId32" Type="http://schemas.openxmlformats.org/officeDocument/2006/relationships/header" Target="header2.xml"/><Relationship Id="rId53" Type="http://schemas.openxmlformats.org/officeDocument/2006/relationships/image" Target="media/image37.png"/><Relationship Id="rId74" Type="http://schemas.openxmlformats.org/officeDocument/2006/relationships/hyperlink" Target="#_Outgoing_Shipment"/><Relationship Id="rId128" Type="http://schemas.openxmlformats.org/officeDocument/2006/relationships/image" Target="media/image94.png"/><Relationship Id="rId149" Type="http://schemas.openxmlformats.org/officeDocument/2006/relationships/image" Target="media/image114.png"/><Relationship Id="rId5" Type="http://schemas.openxmlformats.org/officeDocument/2006/relationships/settings" Target="settings.xml"/><Relationship Id="rId95" Type="http://schemas.openxmlformats.org/officeDocument/2006/relationships/image" Target="media/image61.png"/><Relationship Id="rId160" Type="http://schemas.openxmlformats.org/officeDocument/2006/relationships/image" Target="media/image125.png"/><Relationship Id="rId181" Type="http://schemas.openxmlformats.org/officeDocument/2006/relationships/image" Target="media/image144.png"/><Relationship Id="rId216" Type="http://schemas.openxmlformats.org/officeDocument/2006/relationships/oleObject" Target="embeddings/Microsoft_Visio_2003-2010_Drawing3.vsd"/><Relationship Id="rId237" Type="http://schemas.openxmlformats.org/officeDocument/2006/relationships/image" Target="media/image182.emf"/><Relationship Id="rId22" Type="http://schemas.openxmlformats.org/officeDocument/2006/relationships/image" Target="media/image11.png"/><Relationship Id="rId43" Type="http://schemas.openxmlformats.org/officeDocument/2006/relationships/image" Target="media/image27.png"/><Relationship Id="rId64" Type="http://schemas.openxmlformats.org/officeDocument/2006/relationships/hyperlink" Target="#_Enter_Daily_QC_Results"/><Relationship Id="rId118" Type="http://schemas.openxmlformats.org/officeDocument/2006/relationships/image" Target="media/image84.png"/><Relationship Id="rId139" Type="http://schemas.openxmlformats.org/officeDocument/2006/relationships/image" Target="media/image105.png"/><Relationship Id="rId85" Type="http://schemas.openxmlformats.org/officeDocument/2006/relationships/image" Target="media/image58.png"/><Relationship Id="rId150" Type="http://schemas.openxmlformats.org/officeDocument/2006/relationships/image" Target="media/image115.png"/><Relationship Id="rId171" Type="http://schemas.openxmlformats.org/officeDocument/2006/relationships/header" Target="header4.xml"/><Relationship Id="rId192" Type="http://schemas.openxmlformats.org/officeDocument/2006/relationships/image" Target="media/image155.png"/><Relationship Id="rId206" Type="http://schemas.openxmlformats.org/officeDocument/2006/relationships/image" Target="media/image169.png"/><Relationship Id="rId227" Type="http://schemas.openxmlformats.org/officeDocument/2006/relationships/image" Target="media/image178.emf"/><Relationship Id="rId248" Type="http://schemas.openxmlformats.org/officeDocument/2006/relationships/theme" Target="theme/theme1.xml"/><Relationship Id="rId12" Type="http://schemas.openxmlformats.org/officeDocument/2006/relationships/footer" Target="footer2.xml"/><Relationship Id="rId17" Type="http://schemas.openxmlformats.org/officeDocument/2006/relationships/image" Target="media/image6.png"/><Relationship Id="rId33" Type="http://schemas.openxmlformats.org/officeDocument/2006/relationships/footer" Target="footer4.xml"/><Relationship Id="rId38" Type="http://schemas.openxmlformats.org/officeDocument/2006/relationships/image" Target="media/image22.png"/><Relationship Id="rId59" Type="http://schemas.openxmlformats.org/officeDocument/2006/relationships/image" Target="media/image43.emf"/><Relationship Id="rId103" Type="http://schemas.openxmlformats.org/officeDocument/2006/relationships/image" Target="media/image69.png"/><Relationship Id="rId108" Type="http://schemas.openxmlformats.org/officeDocument/2006/relationships/image" Target="media/image74.png"/><Relationship Id="rId124" Type="http://schemas.openxmlformats.org/officeDocument/2006/relationships/image" Target="media/image90.png"/><Relationship Id="rId129" Type="http://schemas.openxmlformats.org/officeDocument/2006/relationships/image" Target="media/image95.png"/><Relationship Id="rId54" Type="http://schemas.openxmlformats.org/officeDocument/2006/relationships/image" Target="media/image38.png"/><Relationship Id="rId70" Type="http://schemas.openxmlformats.org/officeDocument/2006/relationships/hyperlink" Target="#_Modify_Units"/><Relationship Id="rId75" Type="http://schemas.openxmlformats.org/officeDocument/2006/relationships/image" Target="media/image52.png"/><Relationship Id="rId91" Type="http://schemas.openxmlformats.org/officeDocument/2006/relationships/hyperlink" Target="#_Patient_Information_Toolbar:_Recent"/><Relationship Id="rId96" Type="http://schemas.openxmlformats.org/officeDocument/2006/relationships/image" Target="media/image62.png"/><Relationship Id="rId140" Type="http://schemas.openxmlformats.org/officeDocument/2006/relationships/image" Target="media/image106.png"/><Relationship Id="rId145" Type="http://schemas.openxmlformats.org/officeDocument/2006/relationships/image" Target="media/image110.png"/><Relationship Id="rId161" Type="http://schemas.openxmlformats.org/officeDocument/2006/relationships/image" Target="media/image126.png"/><Relationship Id="rId166" Type="http://schemas.openxmlformats.org/officeDocument/2006/relationships/image" Target="media/image130.png"/><Relationship Id="rId182" Type="http://schemas.openxmlformats.org/officeDocument/2006/relationships/image" Target="media/image145.png"/><Relationship Id="rId187" Type="http://schemas.openxmlformats.org/officeDocument/2006/relationships/image" Target="media/image150.png"/><Relationship Id="rId217" Type="http://schemas.openxmlformats.org/officeDocument/2006/relationships/image" Target="media/image174.emf"/><Relationship Id="rId1" Type="http://schemas.microsoft.com/office/2006/relationships/keyMapCustomizations" Target="customizations.xml"/><Relationship Id="rId6" Type="http://schemas.openxmlformats.org/officeDocument/2006/relationships/webSettings" Target="webSettings.xml"/><Relationship Id="rId212" Type="http://schemas.openxmlformats.org/officeDocument/2006/relationships/image" Target="media/image172.wmf"/><Relationship Id="rId233" Type="http://schemas.openxmlformats.org/officeDocument/2006/relationships/oleObject" Target="embeddings/Microsoft_Visio_2003-2010_Drawing10.vsd"/><Relationship Id="rId238" Type="http://schemas.openxmlformats.org/officeDocument/2006/relationships/oleObject" Target="embeddings/Microsoft_Visio_2003-2010_Drawing12.vsd"/><Relationship Id="rId23" Type="http://schemas.openxmlformats.org/officeDocument/2006/relationships/hyperlink" Target="https://www.va.gov/vdl/application.asp?appid=182" TargetMode="External"/><Relationship Id="rId28" Type="http://schemas.openxmlformats.org/officeDocument/2006/relationships/image" Target="media/image15.png"/><Relationship Id="rId49" Type="http://schemas.openxmlformats.org/officeDocument/2006/relationships/image" Target="media/image33.png"/><Relationship Id="rId114" Type="http://schemas.openxmlformats.org/officeDocument/2006/relationships/image" Target="media/image80.png"/><Relationship Id="rId119" Type="http://schemas.openxmlformats.org/officeDocument/2006/relationships/image" Target="media/image85.png"/><Relationship Id="rId44" Type="http://schemas.openxmlformats.org/officeDocument/2006/relationships/image" Target="media/image28.png"/><Relationship Id="rId60" Type="http://schemas.openxmlformats.org/officeDocument/2006/relationships/image" Target="media/image44.emf"/><Relationship Id="rId65" Type="http://schemas.openxmlformats.org/officeDocument/2006/relationships/image" Target="media/image47.png"/><Relationship Id="rId81" Type="http://schemas.openxmlformats.org/officeDocument/2006/relationships/image" Target="media/image55.png"/><Relationship Id="rId86" Type="http://schemas.openxmlformats.org/officeDocument/2006/relationships/hyperlink" Target="#_Issue_Blood_Components"/><Relationship Id="rId130" Type="http://schemas.openxmlformats.org/officeDocument/2006/relationships/image" Target="media/image96.png"/><Relationship Id="rId135" Type="http://schemas.openxmlformats.org/officeDocument/2006/relationships/image" Target="media/image101.png"/><Relationship Id="rId151" Type="http://schemas.openxmlformats.org/officeDocument/2006/relationships/image" Target="media/image116.png"/><Relationship Id="rId156" Type="http://schemas.openxmlformats.org/officeDocument/2006/relationships/image" Target="media/image121.png"/><Relationship Id="rId177" Type="http://schemas.openxmlformats.org/officeDocument/2006/relationships/image" Target="media/image140.png"/><Relationship Id="rId198" Type="http://schemas.openxmlformats.org/officeDocument/2006/relationships/image" Target="media/image161.png"/><Relationship Id="rId172" Type="http://schemas.openxmlformats.org/officeDocument/2006/relationships/image" Target="media/image135.png"/><Relationship Id="rId193" Type="http://schemas.openxmlformats.org/officeDocument/2006/relationships/image" Target="media/image156.png"/><Relationship Id="rId202" Type="http://schemas.openxmlformats.org/officeDocument/2006/relationships/image" Target="media/image165.png"/><Relationship Id="rId207" Type="http://schemas.openxmlformats.org/officeDocument/2006/relationships/image" Target="media/image170.png"/><Relationship Id="rId223" Type="http://schemas.openxmlformats.org/officeDocument/2006/relationships/image" Target="media/image176.emf"/><Relationship Id="rId228" Type="http://schemas.openxmlformats.org/officeDocument/2006/relationships/oleObject" Target="embeddings/Microsoft_Visio_2003-2010_Drawing8.vsd"/><Relationship Id="rId244" Type="http://schemas.openxmlformats.org/officeDocument/2006/relationships/footer" Target="footer11.xml"/><Relationship Id="rId13" Type="http://schemas.openxmlformats.org/officeDocument/2006/relationships/hyperlink" Target="#_Blood_Availability_UC_49"/><Relationship Id="rId18" Type="http://schemas.openxmlformats.org/officeDocument/2006/relationships/image" Target="media/image7.png"/><Relationship Id="rId39" Type="http://schemas.openxmlformats.org/officeDocument/2006/relationships/image" Target="media/image23.png"/><Relationship Id="rId109" Type="http://schemas.openxmlformats.org/officeDocument/2006/relationships/image" Target="media/image75.png"/><Relationship Id="rId34" Type="http://schemas.openxmlformats.org/officeDocument/2006/relationships/image" Target="media/image18.png"/><Relationship Id="rId50" Type="http://schemas.openxmlformats.org/officeDocument/2006/relationships/image" Target="media/image34.png"/><Relationship Id="rId55" Type="http://schemas.openxmlformats.org/officeDocument/2006/relationships/image" Target="media/image39.png"/><Relationship Id="rId76" Type="http://schemas.openxmlformats.org/officeDocument/2006/relationships/hyperlink" Target="#_Accept_Orders:_Accept"/><Relationship Id="rId97" Type="http://schemas.openxmlformats.org/officeDocument/2006/relationships/image" Target="media/image63.png"/><Relationship Id="rId104" Type="http://schemas.openxmlformats.org/officeDocument/2006/relationships/image" Target="media/image70.png"/><Relationship Id="rId120" Type="http://schemas.openxmlformats.org/officeDocument/2006/relationships/image" Target="media/image86.png"/><Relationship Id="rId125" Type="http://schemas.openxmlformats.org/officeDocument/2006/relationships/image" Target="media/image91.png"/><Relationship Id="rId141" Type="http://schemas.openxmlformats.org/officeDocument/2006/relationships/image" Target="media/image107.png"/><Relationship Id="rId146" Type="http://schemas.openxmlformats.org/officeDocument/2006/relationships/image" Target="media/image111.png"/><Relationship Id="rId167" Type="http://schemas.openxmlformats.org/officeDocument/2006/relationships/image" Target="media/image131.png"/><Relationship Id="rId188" Type="http://schemas.openxmlformats.org/officeDocument/2006/relationships/image" Target="media/image151.png"/><Relationship Id="rId7" Type="http://schemas.openxmlformats.org/officeDocument/2006/relationships/footnotes" Target="footnotes.xml"/><Relationship Id="rId71" Type="http://schemas.openxmlformats.org/officeDocument/2006/relationships/image" Target="media/image50.png"/><Relationship Id="rId92" Type="http://schemas.openxmlformats.org/officeDocument/2006/relationships/hyperlink" Target="#_View_Special_Instructions_and Trans"/><Relationship Id="rId162" Type="http://schemas.openxmlformats.org/officeDocument/2006/relationships/image" Target="media/image127.png"/><Relationship Id="rId183" Type="http://schemas.openxmlformats.org/officeDocument/2006/relationships/image" Target="media/image146.png"/><Relationship Id="rId213" Type="http://schemas.openxmlformats.org/officeDocument/2006/relationships/oleObject" Target="embeddings/Microsoft_Visio_2003-2010_Drawing2.vsd"/><Relationship Id="rId218" Type="http://schemas.openxmlformats.org/officeDocument/2006/relationships/oleObject" Target="embeddings/Microsoft_Visio_2003-2010_Drawing4.vsd"/><Relationship Id="rId234" Type="http://schemas.openxmlformats.org/officeDocument/2006/relationships/image" Target="media/image181.emf"/><Relationship Id="rId239" Type="http://schemas.openxmlformats.org/officeDocument/2006/relationships/image" Target="media/image183.emf"/><Relationship Id="rId2" Type="http://schemas.openxmlformats.org/officeDocument/2006/relationships/customXml" Target="../customXml/item1.xml"/><Relationship Id="rId29" Type="http://schemas.openxmlformats.org/officeDocument/2006/relationships/footer" Target="footer3.xml"/><Relationship Id="rId24" Type="http://schemas.openxmlformats.org/officeDocument/2006/relationships/image" Target="media/image12.png"/><Relationship Id="rId40" Type="http://schemas.openxmlformats.org/officeDocument/2006/relationships/image" Target="media/image24.png"/><Relationship Id="rId45" Type="http://schemas.openxmlformats.org/officeDocument/2006/relationships/image" Target="media/image29.png"/><Relationship Id="rId66" Type="http://schemas.openxmlformats.org/officeDocument/2006/relationships/hyperlink" Target="#_Incoming_Shipment"/><Relationship Id="rId87" Type="http://schemas.openxmlformats.org/officeDocument/2006/relationships/image" Target="media/image59.png"/><Relationship Id="rId110" Type="http://schemas.openxmlformats.org/officeDocument/2006/relationships/image" Target="media/image76.png"/><Relationship Id="rId115" Type="http://schemas.openxmlformats.org/officeDocument/2006/relationships/image" Target="media/image81.png"/><Relationship Id="rId131" Type="http://schemas.openxmlformats.org/officeDocument/2006/relationships/image" Target="media/image97.png"/><Relationship Id="rId136" Type="http://schemas.openxmlformats.org/officeDocument/2006/relationships/image" Target="media/image102.png"/><Relationship Id="rId157" Type="http://schemas.openxmlformats.org/officeDocument/2006/relationships/image" Target="media/image122.png"/><Relationship Id="rId178" Type="http://schemas.openxmlformats.org/officeDocument/2006/relationships/image" Target="media/image141.png"/><Relationship Id="rId61" Type="http://schemas.openxmlformats.org/officeDocument/2006/relationships/image" Target="media/image45.png"/><Relationship Id="rId82" Type="http://schemas.openxmlformats.org/officeDocument/2006/relationships/image" Target="media/image56.png"/><Relationship Id="rId152" Type="http://schemas.openxmlformats.org/officeDocument/2006/relationships/image" Target="media/image117.png"/><Relationship Id="rId173" Type="http://schemas.openxmlformats.org/officeDocument/2006/relationships/image" Target="media/image136.png"/><Relationship Id="rId194" Type="http://schemas.openxmlformats.org/officeDocument/2006/relationships/image" Target="media/image157.png"/><Relationship Id="rId199" Type="http://schemas.openxmlformats.org/officeDocument/2006/relationships/image" Target="media/image162.png"/><Relationship Id="rId203" Type="http://schemas.openxmlformats.org/officeDocument/2006/relationships/image" Target="media/image166.png"/><Relationship Id="rId208" Type="http://schemas.openxmlformats.org/officeDocument/2006/relationships/footer" Target="footer5.xml"/><Relationship Id="rId229" Type="http://schemas.openxmlformats.org/officeDocument/2006/relationships/footer" Target="footer8.xml"/><Relationship Id="rId19" Type="http://schemas.openxmlformats.org/officeDocument/2006/relationships/image" Target="media/image8.png"/><Relationship Id="rId224" Type="http://schemas.openxmlformats.org/officeDocument/2006/relationships/oleObject" Target="embeddings/Microsoft_Visio_2003-2010_Drawing6.vsd"/><Relationship Id="rId240" Type="http://schemas.openxmlformats.org/officeDocument/2006/relationships/oleObject" Target="embeddings/Microsoft_Visio_2003-2010_Drawing13.vsd"/><Relationship Id="rId245" Type="http://schemas.openxmlformats.org/officeDocument/2006/relationships/header" Target="header6.xml"/><Relationship Id="rId14" Type="http://schemas.openxmlformats.org/officeDocument/2006/relationships/image" Target="media/image3.png"/><Relationship Id="rId30" Type="http://schemas.openxmlformats.org/officeDocument/2006/relationships/image" Target="media/image16.png"/><Relationship Id="rId35" Type="http://schemas.openxmlformats.org/officeDocument/2006/relationships/image" Target="media/image19.png"/><Relationship Id="rId56" Type="http://schemas.openxmlformats.org/officeDocument/2006/relationships/image" Target="media/image40.png"/><Relationship Id="rId77" Type="http://schemas.openxmlformats.org/officeDocument/2006/relationships/image" Target="media/image53.png"/><Relationship Id="rId100" Type="http://schemas.openxmlformats.org/officeDocument/2006/relationships/image" Target="media/image66.png"/><Relationship Id="rId105" Type="http://schemas.openxmlformats.org/officeDocument/2006/relationships/image" Target="media/image71.png"/><Relationship Id="rId126" Type="http://schemas.openxmlformats.org/officeDocument/2006/relationships/image" Target="media/image92.png"/><Relationship Id="rId147" Type="http://schemas.openxmlformats.org/officeDocument/2006/relationships/image" Target="media/image112.png"/><Relationship Id="rId168" Type="http://schemas.openxmlformats.org/officeDocument/2006/relationships/image" Target="media/image132.png"/><Relationship Id="rId8" Type="http://schemas.openxmlformats.org/officeDocument/2006/relationships/endnotes" Target="endnotes.xml"/><Relationship Id="rId51" Type="http://schemas.openxmlformats.org/officeDocument/2006/relationships/image" Target="media/image35.png"/><Relationship Id="rId72" Type="http://schemas.openxmlformats.org/officeDocument/2006/relationships/hyperlink" Target="#_Unit_Antigen_Typing"/><Relationship Id="rId93" Type="http://schemas.openxmlformats.org/officeDocument/2006/relationships/hyperlink" Target="#_Patient_Information_Toolbar:_Recent_1"/><Relationship Id="rId98" Type="http://schemas.openxmlformats.org/officeDocument/2006/relationships/image" Target="media/image64.png"/><Relationship Id="rId121" Type="http://schemas.openxmlformats.org/officeDocument/2006/relationships/image" Target="media/image87.png"/><Relationship Id="rId142" Type="http://schemas.openxmlformats.org/officeDocument/2006/relationships/image" Target="media/image108.png"/><Relationship Id="rId163" Type="http://schemas.openxmlformats.org/officeDocument/2006/relationships/image" Target="media/image128.png"/><Relationship Id="rId184" Type="http://schemas.openxmlformats.org/officeDocument/2006/relationships/image" Target="media/image147.png"/><Relationship Id="rId189" Type="http://schemas.openxmlformats.org/officeDocument/2006/relationships/image" Target="media/image152.png"/><Relationship Id="rId219" Type="http://schemas.openxmlformats.org/officeDocument/2006/relationships/hyperlink" Target="https://www.va.gov/vdl/application.asp?appid=182" TargetMode="External"/><Relationship Id="rId3" Type="http://schemas.openxmlformats.org/officeDocument/2006/relationships/numbering" Target="numbering.xml"/><Relationship Id="rId214" Type="http://schemas.openxmlformats.org/officeDocument/2006/relationships/footer" Target="footer7.xml"/><Relationship Id="rId230" Type="http://schemas.openxmlformats.org/officeDocument/2006/relationships/image" Target="media/image179.emf"/><Relationship Id="rId235" Type="http://schemas.openxmlformats.org/officeDocument/2006/relationships/oleObject" Target="embeddings/Microsoft_Visio_2003-2010_Drawing11.vsd"/><Relationship Id="rId25" Type="http://schemas.openxmlformats.org/officeDocument/2006/relationships/image" Target="media/image13.png"/><Relationship Id="rId46" Type="http://schemas.openxmlformats.org/officeDocument/2006/relationships/image" Target="media/image30.png"/><Relationship Id="rId67" Type="http://schemas.openxmlformats.org/officeDocument/2006/relationships/image" Target="media/image48.png"/><Relationship Id="rId116" Type="http://schemas.openxmlformats.org/officeDocument/2006/relationships/image" Target="media/image82.png"/><Relationship Id="rId137" Type="http://schemas.openxmlformats.org/officeDocument/2006/relationships/image" Target="media/image103.png"/><Relationship Id="rId158" Type="http://schemas.openxmlformats.org/officeDocument/2006/relationships/image" Target="media/image123.png"/><Relationship Id="rId20" Type="http://schemas.openxmlformats.org/officeDocument/2006/relationships/image" Target="media/image9.png"/><Relationship Id="rId41" Type="http://schemas.openxmlformats.org/officeDocument/2006/relationships/image" Target="media/image25.png"/><Relationship Id="rId62" Type="http://schemas.openxmlformats.org/officeDocument/2006/relationships/hyperlink" Target="#_Log_In_Reagents,_Update Inventory, "/><Relationship Id="rId83" Type="http://schemas.openxmlformats.org/officeDocument/2006/relationships/image" Target="media/image57.png"/><Relationship Id="rId88" Type="http://schemas.openxmlformats.org/officeDocument/2006/relationships/hyperlink" Target="#_Post-Transfusion_Information"/><Relationship Id="rId111" Type="http://schemas.openxmlformats.org/officeDocument/2006/relationships/image" Target="media/image77.png"/><Relationship Id="rId132" Type="http://schemas.openxmlformats.org/officeDocument/2006/relationships/image" Target="media/image98.png"/><Relationship Id="rId153" Type="http://schemas.openxmlformats.org/officeDocument/2006/relationships/image" Target="media/image118.png"/><Relationship Id="rId174" Type="http://schemas.openxmlformats.org/officeDocument/2006/relationships/image" Target="media/image137.png"/><Relationship Id="rId179" Type="http://schemas.openxmlformats.org/officeDocument/2006/relationships/image" Target="media/image142.png"/><Relationship Id="rId195" Type="http://schemas.openxmlformats.org/officeDocument/2006/relationships/image" Target="media/image158.png"/><Relationship Id="rId209" Type="http://schemas.openxmlformats.org/officeDocument/2006/relationships/footer" Target="footer6.xml"/><Relationship Id="rId190" Type="http://schemas.openxmlformats.org/officeDocument/2006/relationships/image" Target="media/image153.png"/><Relationship Id="rId204" Type="http://schemas.openxmlformats.org/officeDocument/2006/relationships/image" Target="media/image167.png"/><Relationship Id="rId220" Type="http://schemas.openxmlformats.org/officeDocument/2006/relationships/header" Target="header5.xml"/><Relationship Id="rId225" Type="http://schemas.openxmlformats.org/officeDocument/2006/relationships/image" Target="media/image177.emf"/><Relationship Id="rId241" Type="http://schemas.openxmlformats.org/officeDocument/2006/relationships/image" Target="media/image184.emf"/><Relationship Id="rId246" Type="http://schemas.openxmlformats.org/officeDocument/2006/relationships/fontTable" Target="fontTable.xml"/><Relationship Id="rId15" Type="http://schemas.openxmlformats.org/officeDocument/2006/relationships/image" Target="media/image4.png"/><Relationship Id="rId36" Type="http://schemas.openxmlformats.org/officeDocument/2006/relationships/image" Target="media/image20.png"/><Relationship Id="rId57" Type="http://schemas.openxmlformats.org/officeDocument/2006/relationships/image" Target="media/image41.png"/><Relationship Id="rId106" Type="http://schemas.openxmlformats.org/officeDocument/2006/relationships/image" Target="media/image72.png"/><Relationship Id="rId127" Type="http://schemas.openxmlformats.org/officeDocument/2006/relationships/image" Target="media/image93.png"/><Relationship Id="rId10" Type="http://schemas.openxmlformats.org/officeDocument/2006/relationships/header" Target="header1.xml"/><Relationship Id="rId31" Type="http://schemas.openxmlformats.org/officeDocument/2006/relationships/image" Target="media/image17.png"/><Relationship Id="rId52" Type="http://schemas.openxmlformats.org/officeDocument/2006/relationships/image" Target="media/image36.png"/><Relationship Id="rId73" Type="http://schemas.openxmlformats.org/officeDocument/2006/relationships/image" Target="media/image51.png"/><Relationship Id="rId78" Type="http://schemas.openxmlformats.org/officeDocument/2006/relationships/hyperlink" Target="#_Maintain_Specimen_1"/><Relationship Id="rId94" Type="http://schemas.openxmlformats.org/officeDocument/2006/relationships/hyperlink" Target="#_Patient_Information_Toolbar:_Transf"/><Relationship Id="rId99" Type="http://schemas.openxmlformats.org/officeDocument/2006/relationships/image" Target="media/image65.png"/><Relationship Id="rId101" Type="http://schemas.openxmlformats.org/officeDocument/2006/relationships/image" Target="media/image67.png"/><Relationship Id="rId122" Type="http://schemas.openxmlformats.org/officeDocument/2006/relationships/image" Target="media/image88.png"/><Relationship Id="rId143" Type="http://schemas.openxmlformats.org/officeDocument/2006/relationships/header" Target="header3.xml"/><Relationship Id="rId148" Type="http://schemas.openxmlformats.org/officeDocument/2006/relationships/image" Target="media/image113.png"/><Relationship Id="rId164" Type="http://schemas.openxmlformats.org/officeDocument/2006/relationships/image" Target="media/image129.emf"/><Relationship Id="rId169" Type="http://schemas.openxmlformats.org/officeDocument/2006/relationships/image" Target="media/image133.png"/><Relationship Id="rId185" Type="http://schemas.openxmlformats.org/officeDocument/2006/relationships/image" Target="media/image148.png"/><Relationship Id="rId4" Type="http://schemas.openxmlformats.org/officeDocument/2006/relationships/styles" Target="styles.xml"/><Relationship Id="rId9" Type="http://schemas.openxmlformats.org/officeDocument/2006/relationships/image" Target="media/image2.jpeg"/><Relationship Id="rId180" Type="http://schemas.openxmlformats.org/officeDocument/2006/relationships/image" Target="media/image143.png"/><Relationship Id="rId210" Type="http://schemas.openxmlformats.org/officeDocument/2006/relationships/image" Target="media/image171.emf"/><Relationship Id="rId215" Type="http://schemas.openxmlformats.org/officeDocument/2006/relationships/image" Target="media/image173.emf"/><Relationship Id="rId236" Type="http://schemas.openxmlformats.org/officeDocument/2006/relationships/footer" Target="footer9.xml"/><Relationship Id="rId26" Type="http://schemas.openxmlformats.org/officeDocument/2006/relationships/hyperlink" Target="https://dvagov.sharepoint.com/sites/oitepmovbecs/SitePages/Getting-Help.aspx" TargetMode="External"/><Relationship Id="rId231" Type="http://schemas.openxmlformats.org/officeDocument/2006/relationships/oleObject" Target="embeddings/Microsoft_Visio_2003-2010_Drawing9.vsd"/><Relationship Id="rId47" Type="http://schemas.openxmlformats.org/officeDocument/2006/relationships/image" Target="media/image31.png"/><Relationship Id="rId68" Type="http://schemas.openxmlformats.org/officeDocument/2006/relationships/hyperlink" Target="#_ABO/Rh_Confirmation"/><Relationship Id="rId89" Type="http://schemas.openxmlformats.org/officeDocument/2006/relationships/image" Target="media/image60.png"/><Relationship Id="rId112" Type="http://schemas.openxmlformats.org/officeDocument/2006/relationships/image" Target="media/image78.png"/><Relationship Id="rId133" Type="http://schemas.openxmlformats.org/officeDocument/2006/relationships/image" Target="media/image99.png"/><Relationship Id="rId154" Type="http://schemas.openxmlformats.org/officeDocument/2006/relationships/image" Target="media/image119.png"/><Relationship Id="rId175" Type="http://schemas.openxmlformats.org/officeDocument/2006/relationships/image" Target="media/image138.png"/><Relationship Id="rId196" Type="http://schemas.openxmlformats.org/officeDocument/2006/relationships/image" Target="media/image159.png"/><Relationship Id="rId200" Type="http://schemas.openxmlformats.org/officeDocument/2006/relationships/image" Target="media/image163.png"/><Relationship Id="rId16" Type="http://schemas.openxmlformats.org/officeDocument/2006/relationships/image" Target="media/image5.png"/><Relationship Id="rId221" Type="http://schemas.openxmlformats.org/officeDocument/2006/relationships/image" Target="media/image175.emf"/><Relationship Id="rId242" Type="http://schemas.openxmlformats.org/officeDocument/2006/relationships/oleObject" Target="embeddings/Microsoft_Visio_2003-2010_Drawing14.vsd"/><Relationship Id="rId37" Type="http://schemas.openxmlformats.org/officeDocument/2006/relationships/image" Target="media/image21.png"/><Relationship Id="rId58" Type="http://schemas.openxmlformats.org/officeDocument/2006/relationships/image" Target="media/image42.emf"/><Relationship Id="rId79" Type="http://schemas.openxmlformats.org/officeDocument/2006/relationships/image" Target="media/image54.png"/><Relationship Id="rId102" Type="http://schemas.openxmlformats.org/officeDocument/2006/relationships/image" Target="media/image68.png"/><Relationship Id="rId123" Type="http://schemas.openxmlformats.org/officeDocument/2006/relationships/image" Target="media/image89.png"/><Relationship Id="rId144" Type="http://schemas.openxmlformats.org/officeDocument/2006/relationships/image" Target="media/image109.png"/><Relationship Id="rId90" Type="http://schemas.openxmlformats.org/officeDocument/2006/relationships/hyperlink" Target="#_Medication_Profile_UC_46"/><Relationship Id="rId165" Type="http://schemas.openxmlformats.org/officeDocument/2006/relationships/oleObject" Target="embeddings/Microsoft_Visio_2003-2010_Drawing.vsd"/><Relationship Id="rId186" Type="http://schemas.openxmlformats.org/officeDocument/2006/relationships/image" Target="media/image149.png"/><Relationship Id="rId211" Type="http://schemas.openxmlformats.org/officeDocument/2006/relationships/oleObject" Target="embeddings/Microsoft_Visio_2003-2010_Drawing1.vsd"/><Relationship Id="rId232" Type="http://schemas.openxmlformats.org/officeDocument/2006/relationships/image" Target="media/image180.emf"/><Relationship Id="rId27" Type="http://schemas.openxmlformats.org/officeDocument/2006/relationships/image" Target="media/image14.png"/><Relationship Id="rId48" Type="http://schemas.openxmlformats.org/officeDocument/2006/relationships/image" Target="media/image32.png"/><Relationship Id="rId69" Type="http://schemas.openxmlformats.org/officeDocument/2006/relationships/image" Target="media/image49.png"/><Relationship Id="rId113" Type="http://schemas.openxmlformats.org/officeDocument/2006/relationships/image" Target="media/image79.png"/><Relationship Id="rId134" Type="http://schemas.openxmlformats.org/officeDocument/2006/relationships/image" Target="media/image100.png"/><Relationship Id="rId80" Type="http://schemas.openxmlformats.org/officeDocument/2006/relationships/hyperlink" Target="#_Patient_Testing:_Record_1"/><Relationship Id="rId155" Type="http://schemas.openxmlformats.org/officeDocument/2006/relationships/image" Target="media/image120.png"/><Relationship Id="rId176" Type="http://schemas.openxmlformats.org/officeDocument/2006/relationships/image" Target="media/image139.png"/><Relationship Id="rId197" Type="http://schemas.openxmlformats.org/officeDocument/2006/relationships/image" Target="media/image160.png"/><Relationship Id="rId201" Type="http://schemas.openxmlformats.org/officeDocument/2006/relationships/image" Target="media/image164.png"/><Relationship Id="rId222" Type="http://schemas.openxmlformats.org/officeDocument/2006/relationships/oleObject" Target="embeddings/Microsoft_Visio_2003-2010_Drawing5.vsd"/><Relationship Id="rId243" Type="http://schemas.openxmlformats.org/officeDocument/2006/relationships/footer" Target="footer10.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36D689-2F8F-4959-A201-F09103E0ED23}">
  <ds:schemaRefs>
    <ds:schemaRef ds:uri="http://schemas.openxmlformats.org/officeDocument/2006/bibliography"/>
  </ds:schemaRefs>
</ds:datastoreItem>
</file>

<file path=docMetadata/LabelInfo.xml><?xml version="1.0" encoding="utf-8"?>
<clbl:labelList xmlns:clbl="http://schemas.microsoft.com/office/2020/mipLabelMetadata">
  <clbl:label id="{e95f1b23-abaf-45ee-821d-b7ab251ab3bf}" enabled="0" method="" siteId="{e95f1b23-abaf-45ee-821d-b7ab251ab3bf}" removed="1"/>
</clbl:labelList>
</file>

<file path=docProps/app.xml><?xml version="1.0" encoding="utf-8"?>
<Properties xmlns="http://schemas.openxmlformats.org/officeDocument/2006/extended-properties" xmlns:vt="http://schemas.openxmlformats.org/officeDocument/2006/docPropsVTypes">
  <Template>Normal.dotm</Template>
  <TotalTime>536</TotalTime>
  <Pages>532</Pages>
  <Words>140300</Words>
  <Characters>799710</Characters>
  <Application>Microsoft Office Word</Application>
  <DocSecurity>0</DocSecurity>
  <Lines>6664</Lines>
  <Paragraphs>1876</Paragraphs>
  <ScaleCrop>false</ScaleCrop>
  <HeadingPairs>
    <vt:vector size="2" baseType="variant">
      <vt:variant>
        <vt:lpstr>Title</vt:lpstr>
      </vt:variant>
      <vt:variant>
        <vt:i4>1</vt:i4>
      </vt:variant>
    </vt:vector>
  </HeadingPairs>
  <TitlesOfParts>
    <vt:vector size="1" baseType="lpstr">
      <vt:lpstr>VBECS 2.3.4 User Guide</vt:lpstr>
    </vt:vector>
  </TitlesOfParts>
  <Company>Leidos</Company>
  <LinksUpToDate>false</LinksUpToDate>
  <CharactersWithSpaces>938134</CharactersWithSpaces>
  <SharedDoc>false</SharedDoc>
  <HLinks>
    <vt:vector size="1578" baseType="variant">
      <vt:variant>
        <vt:i4>4128827</vt:i4>
      </vt:variant>
      <vt:variant>
        <vt:i4>3271</vt:i4>
      </vt:variant>
      <vt:variant>
        <vt:i4>0</vt:i4>
      </vt:variant>
      <vt:variant>
        <vt:i4>5</vt:i4>
      </vt:variant>
      <vt:variant>
        <vt:lpwstr>http://vaww.oed.portal.va.gov/projects/vbecs/VBECS FAQs/Forms/AllItems.aspx</vt:lpwstr>
      </vt:variant>
      <vt:variant>
        <vt:lpwstr/>
      </vt:variant>
      <vt:variant>
        <vt:i4>5963785</vt:i4>
      </vt:variant>
      <vt:variant>
        <vt:i4>3062</vt:i4>
      </vt:variant>
      <vt:variant>
        <vt:i4>0</vt:i4>
      </vt:variant>
      <vt:variant>
        <vt:i4>5</vt:i4>
      </vt:variant>
      <vt:variant>
        <vt:lpwstr>https://www.va.gov/vdl/application.asp?appid=182</vt:lpwstr>
      </vt:variant>
      <vt:variant>
        <vt:lpwstr/>
      </vt:variant>
      <vt:variant>
        <vt:i4>7798830</vt:i4>
      </vt:variant>
      <vt:variant>
        <vt:i4>1812</vt:i4>
      </vt:variant>
      <vt:variant>
        <vt:i4>0</vt:i4>
      </vt:variant>
      <vt:variant>
        <vt:i4>5</vt:i4>
      </vt:variant>
      <vt:variant>
        <vt:lpwstr/>
      </vt:variant>
      <vt:variant>
        <vt:lpwstr>_Blood_Availability_UC_49</vt:lpwstr>
      </vt:variant>
      <vt:variant>
        <vt:i4>2097264</vt:i4>
      </vt:variant>
      <vt:variant>
        <vt:i4>1809</vt:i4>
      </vt:variant>
      <vt:variant>
        <vt:i4>0</vt:i4>
      </vt:variant>
      <vt:variant>
        <vt:i4>5</vt:i4>
      </vt:variant>
      <vt:variant>
        <vt:lpwstr/>
      </vt:variant>
      <vt:variant>
        <vt:lpwstr>_Patient_Information_Toolbar:_Transf</vt:lpwstr>
      </vt:variant>
      <vt:variant>
        <vt:i4>2031670</vt:i4>
      </vt:variant>
      <vt:variant>
        <vt:i4>1806</vt:i4>
      </vt:variant>
      <vt:variant>
        <vt:i4>0</vt:i4>
      </vt:variant>
      <vt:variant>
        <vt:i4>5</vt:i4>
      </vt:variant>
      <vt:variant>
        <vt:lpwstr/>
      </vt:variant>
      <vt:variant>
        <vt:lpwstr>_Patient_Information_Toolbar:_Recent_1</vt:lpwstr>
      </vt:variant>
      <vt:variant>
        <vt:i4>327763</vt:i4>
      </vt:variant>
      <vt:variant>
        <vt:i4>1803</vt:i4>
      </vt:variant>
      <vt:variant>
        <vt:i4>0</vt:i4>
      </vt:variant>
      <vt:variant>
        <vt:i4>5</vt:i4>
      </vt:variant>
      <vt:variant>
        <vt:lpwstr/>
      </vt:variant>
      <vt:variant>
        <vt:lpwstr>_View_Special_Instructions_and Trans</vt:lpwstr>
      </vt:variant>
      <vt:variant>
        <vt:i4>3014761</vt:i4>
      </vt:variant>
      <vt:variant>
        <vt:i4>1800</vt:i4>
      </vt:variant>
      <vt:variant>
        <vt:i4>0</vt:i4>
      </vt:variant>
      <vt:variant>
        <vt:i4>5</vt:i4>
      </vt:variant>
      <vt:variant>
        <vt:lpwstr/>
      </vt:variant>
      <vt:variant>
        <vt:lpwstr>_Patient_Information_Toolbar:_Recent</vt:lpwstr>
      </vt:variant>
      <vt:variant>
        <vt:i4>6160396</vt:i4>
      </vt:variant>
      <vt:variant>
        <vt:i4>1797</vt:i4>
      </vt:variant>
      <vt:variant>
        <vt:i4>0</vt:i4>
      </vt:variant>
      <vt:variant>
        <vt:i4>5</vt:i4>
      </vt:variant>
      <vt:variant>
        <vt:lpwstr/>
      </vt:variant>
      <vt:variant>
        <vt:lpwstr>_Medication_Profile_UC_46</vt:lpwstr>
      </vt:variant>
      <vt:variant>
        <vt:i4>7798830</vt:i4>
      </vt:variant>
      <vt:variant>
        <vt:i4>1794</vt:i4>
      </vt:variant>
      <vt:variant>
        <vt:i4>0</vt:i4>
      </vt:variant>
      <vt:variant>
        <vt:i4>5</vt:i4>
      </vt:variant>
      <vt:variant>
        <vt:lpwstr/>
      </vt:variant>
      <vt:variant>
        <vt:lpwstr>_Blood_Availability_UC_49</vt:lpwstr>
      </vt:variant>
      <vt:variant>
        <vt:i4>6291493</vt:i4>
      </vt:variant>
      <vt:variant>
        <vt:i4>1791</vt:i4>
      </vt:variant>
      <vt:variant>
        <vt:i4>0</vt:i4>
      </vt:variant>
      <vt:variant>
        <vt:i4>5</vt:i4>
      </vt:variant>
      <vt:variant>
        <vt:lpwstr/>
      </vt:variant>
      <vt:variant>
        <vt:lpwstr>_Post-Transfusion_Information</vt:lpwstr>
      </vt:variant>
      <vt:variant>
        <vt:i4>6684741</vt:i4>
      </vt:variant>
      <vt:variant>
        <vt:i4>1788</vt:i4>
      </vt:variant>
      <vt:variant>
        <vt:i4>0</vt:i4>
      </vt:variant>
      <vt:variant>
        <vt:i4>5</vt:i4>
      </vt:variant>
      <vt:variant>
        <vt:lpwstr/>
      </vt:variant>
      <vt:variant>
        <vt:lpwstr>_Issue_Blood_Components</vt:lpwstr>
      </vt:variant>
      <vt:variant>
        <vt:i4>6684740</vt:i4>
      </vt:variant>
      <vt:variant>
        <vt:i4>1785</vt:i4>
      </vt:variant>
      <vt:variant>
        <vt:i4>0</vt:i4>
      </vt:variant>
      <vt:variant>
        <vt:i4>5</vt:i4>
      </vt:variant>
      <vt:variant>
        <vt:lpwstr/>
      </vt:variant>
      <vt:variant>
        <vt:lpwstr>_Select_Units_1</vt:lpwstr>
      </vt:variant>
      <vt:variant>
        <vt:i4>1835039</vt:i4>
      </vt:variant>
      <vt:variant>
        <vt:i4>1782</vt:i4>
      </vt:variant>
      <vt:variant>
        <vt:i4>0</vt:i4>
      </vt:variant>
      <vt:variant>
        <vt:i4>5</vt:i4>
      </vt:variant>
      <vt:variant>
        <vt:lpwstr/>
      </vt:variant>
      <vt:variant>
        <vt:lpwstr>_Patient_Testing:_Record_1</vt:lpwstr>
      </vt:variant>
      <vt:variant>
        <vt:i4>6750234</vt:i4>
      </vt:variant>
      <vt:variant>
        <vt:i4>1779</vt:i4>
      </vt:variant>
      <vt:variant>
        <vt:i4>0</vt:i4>
      </vt:variant>
      <vt:variant>
        <vt:i4>5</vt:i4>
      </vt:variant>
      <vt:variant>
        <vt:lpwstr/>
      </vt:variant>
      <vt:variant>
        <vt:lpwstr>_Maintain_Specimen_1</vt:lpwstr>
      </vt:variant>
      <vt:variant>
        <vt:i4>6553628</vt:i4>
      </vt:variant>
      <vt:variant>
        <vt:i4>1776</vt:i4>
      </vt:variant>
      <vt:variant>
        <vt:i4>0</vt:i4>
      </vt:variant>
      <vt:variant>
        <vt:i4>5</vt:i4>
      </vt:variant>
      <vt:variant>
        <vt:lpwstr/>
      </vt:variant>
      <vt:variant>
        <vt:lpwstr>_Accept_Orders:_Accept</vt:lpwstr>
      </vt:variant>
      <vt:variant>
        <vt:i4>4980826</vt:i4>
      </vt:variant>
      <vt:variant>
        <vt:i4>1773</vt:i4>
      </vt:variant>
      <vt:variant>
        <vt:i4>0</vt:i4>
      </vt:variant>
      <vt:variant>
        <vt:i4>5</vt:i4>
      </vt:variant>
      <vt:variant>
        <vt:lpwstr/>
      </vt:variant>
      <vt:variant>
        <vt:lpwstr>_Outgoing_Shipment</vt:lpwstr>
      </vt:variant>
      <vt:variant>
        <vt:i4>589875</vt:i4>
      </vt:variant>
      <vt:variant>
        <vt:i4>1770</vt:i4>
      </vt:variant>
      <vt:variant>
        <vt:i4>0</vt:i4>
      </vt:variant>
      <vt:variant>
        <vt:i4>5</vt:i4>
      </vt:variant>
      <vt:variant>
        <vt:lpwstr/>
      </vt:variant>
      <vt:variant>
        <vt:lpwstr>_Unit_Antigen_Typing</vt:lpwstr>
      </vt:variant>
      <vt:variant>
        <vt:i4>2752572</vt:i4>
      </vt:variant>
      <vt:variant>
        <vt:i4>1767</vt:i4>
      </vt:variant>
      <vt:variant>
        <vt:i4>0</vt:i4>
      </vt:variant>
      <vt:variant>
        <vt:i4>5</vt:i4>
      </vt:variant>
      <vt:variant>
        <vt:lpwstr/>
      </vt:variant>
      <vt:variant>
        <vt:lpwstr>_Modify_Units</vt:lpwstr>
      </vt:variant>
      <vt:variant>
        <vt:i4>4063336</vt:i4>
      </vt:variant>
      <vt:variant>
        <vt:i4>1764</vt:i4>
      </vt:variant>
      <vt:variant>
        <vt:i4>0</vt:i4>
      </vt:variant>
      <vt:variant>
        <vt:i4>5</vt:i4>
      </vt:variant>
      <vt:variant>
        <vt:lpwstr/>
      </vt:variant>
      <vt:variant>
        <vt:lpwstr>_ABO/Rh_Confirmation</vt:lpwstr>
      </vt:variant>
      <vt:variant>
        <vt:i4>6225993</vt:i4>
      </vt:variant>
      <vt:variant>
        <vt:i4>1761</vt:i4>
      </vt:variant>
      <vt:variant>
        <vt:i4>0</vt:i4>
      </vt:variant>
      <vt:variant>
        <vt:i4>5</vt:i4>
      </vt:variant>
      <vt:variant>
        <vt:lpwstr/>
      </vt:variant>
      <vt:variant>
        <vt:lpwstr>_Incoming_Shipment</vt:lpwstr>
      </vt:variant>
      <vt:variant>
        <vt:i4>6094935</vt:i4>
      </vt:variant>
      <vt:variant>
        <vt:i4>1758</vt:i4>
      </vt:variant>
      <vt:variant>
        <vt:i4>0</vt:i4>
      </vt:variant>
      <vt:variant>
        <vt:i4>5</vt:i4>
      </vt:variant>
      <vt:variant>
        <vt:lpwstr/>
      </vt:variant>
      <vt:variant>
        <vt:lpwstr>_Enter_Daily_QC_Results</vt:lpwstr>
      </vt:variant>
      <vt:variant>
        <vt:i4>5111883</vt:i4>
      </vt:variant>
      <vt:variant>
        <vt:i4>1755</vt:i4>
      </vt:variant>
      <vt:variant>
        <vt:i4>0</vt:i4>
      </vt:variant>
      <vt:variant>
        <vt:i4>5</vt:i4>
      </vt:variant>
      <vt:variant>
        <vt:lpwstr/>
      </vt:variant>
      <vt:variant>
        <vt:lpwstr>_Log_In_Reagents,_Update Inventory, </vt:lpwstr>
      </vt:variant>
      <vt:variant>
        <vt:i4>5963785</vt:i4>
      </vt:variant>
      <vt:variant>
        <vt:i4>1563</vt:i4>
      </vt:variant>
      <vt:variant>
        <vt:i4>0</vt:i4>
      </vt:variant>
      <vt:variant>
        <vt:i4>5</vt:i4>
      </vt:variant>
      <vt:variant>
        <vt:lpwstr>https://www.va.gov/vdl/application.asp?appid=182</vt:lpwstr>
      </vt:variant>
      <vt:variant>
        <vt:lpwstr/>
      </vt:variant>
      <vt:variant>
        <vt:i4>5898259</vt:i4>
      </vt:variant>
      <vt:variant>
        <vt:i4>1560</vt:i4>
      </vt:variant>
      <vt:variant>
        <vt:i4>0</vt:i4>
      </vt:variant>
      <vt:variant>
        <vt:i4>5</vt:i4>
      </vt:variant>
      <vt:variant>
        <vt:lpwstr>http://vaww.oed.portal.va.gov/projects/vbecs/default.aspx</vt:lpwstr>
      </vt:variant>
      <vt:variant>
        <vt:lpwstr/>
      </vt:variant>
      <vt:variant>
        <vt:i4>1900592</vt:i4>
      </vt:variant>
      <vt:variant>
        <vt:i4>1392</vt:i4>
      </vt:variant>
      <vt:variant>
        <vt:i4>0</vt:i4>
      </vt:variant>
      <vt:variant>
        <vt:i4>5</vt:i4>
      </vt:variant>
      <vt:variant>
        <vt:lpwstr>http://www.foia.va.gov/FOIA_Offices.asp</vt:lpwstr>
      </vt:variant>
      <vt:variant>
        <vt:lpwstr/>
      </vt:variant>
      <vt:variant>
        <vt:i4>1441840</vt:i4>
      </vt:variant>
      <vt:variant>
        <vt:i4>1382</vt:i4>
      </vt:variant>
      <vt:variant>
        <vt:i4>0</vt:i4>
      </vt:variant>
      <vt:variant>
        <vt:i4>5</vt:i4>
      </vt:variant>
      <vt:variant>
        <vt:lpwstr/>
      </vt:variant>
      <vt:variant>
        <vt:lpwstr>_Toc510071213</vt:lpwstr>
      </vt:variant>
      <vt:variant>
        <vt:i4>1441840</vt:i4>
      </vt:variant>
      <vt:variant>
        <vt:i4>1376</vt:i4>
      </vt:variant>
      <vt:variant>
        <vt:i4>0</vt:i4>
      </vt:variant>
      <vt:variant>
        <vt:i4>5</vt:i4>
      </vt:variant>
      <vt:variant>
        <vt:lpwstr/>
      </vt:variant>
      <vt:variant>
        <vt:lpwstr>_Toc510071212</vt:lpwstr>
      </vt:variant>
      <vt:variant>
        <vt:i4>1441840</vt:i4>
      </vt:variant>
      <vt:variant>
        <vt:i4>1370</vt:i4>
      </vt:variant>
      <vt:variant>
        <vt:i4>0</vt:i4>
      </vt:variant>
      <vt:variant>
        <vt:i4>5</vt:i4>
      </vt:variant>
      <vt:variant>
        <vt:lpwstr/>
      </vt:variant>
      <vt:variant>
        <vt:lpwstr>_Toc510071211</vt:lpwstr>
      </vt:variant>
      <vt:variant>
        <vt:i4>1441840</vt:i4>
      </vt:variant>
      <vt:variant>
        <vt:i4>1364</vt:i4>
      </vt:variant>
      <vt:variant>
        <vt:i4>0</vt:i4>
      </vt:variant>
      <vt:variant>
        <vt:i4>5</vt:i4>
      </vt:variant>
      <vt:variant>
        <vt:lpwstr/>
      </vt:variant>
      <vt:variant>
        <vt:lpwstr>_Toc510071210</vt:lpwstr>
      </vt:variant>
      <vt:variant>
        <vt:i4>1507376</vt:i4>
      </vt:variant>
      <vt:variant>
        <vt:i4>1358</vt:i4>
      </vt:variant>
      <vt:variant>
        <vt:i4>0</vt:i4>
      </vt:variant>
      <vt:variant>
        <vt:i4>5</vt:i4>
      </vt:variant>
      <vt:variant>
        <vt:lpwstr/>
      </vt:variant>
      <vt:variant>
        <vt:lpwstr>_Toc510071209</vt:lpwstr>
      </vt:variant>
      <vt:variant>
        <vt:i4>1507376</vt:i4>
      </vt:variant>
      <vt:variant>
        <vt:i4>1352</vt:i4>
      </vt:variant>
      <vt:variant>
        <vt:i4>0</vt:i4>
      </vt:variant>
      <vt:variant>
        <vt:i4>5</vt:i4>
      </vt:variant>
      <vt:variant>
        <vt:lpwstr/>
      </vt:variant>
      <vt:variant>
        <vt:lpwstr>_Toc510071208</vt:lpwstr>
      </vt:variant>
      <vt:variant>
        <vt:i4>1507376</vt:i4>
      </vt:variant>
      <vt:variant>
        <vt:i4>1346</vt:i4>
      </vt:variant>
      <vt:variant>
        <vt:i4>0</vt:i4>
      </vt:variant>
      <vt:variant>
        <vt:i4>5</vt:i4>
      </vt:variant>
      <vt:variant>
        <vt:lpwstr/>
      </vt:variant>
      <vt:variant>
        <vt:lpwstr>_Toc510071207</vt:lpwstr>
      </vt:variant>
      <vt:variant>
        <vt:i4>1507376</vt:i4>
      </vt:variant>
      <vt:variant>
        <vt:i4>1340</vt:i4>
      </vt:variant>
      <vt:variant>
        <vt:i4>0</vt:i4>
      </vt:variant>
      <vt:variant>
        <vt:i4>5</vt:i4>
      </vt:variant>
      <vt:variant>
        <vt:lpwstr/>
      </vt:variant>
      <vt:variant>
        <vt:lpwstr>_Toc510071206</vt:lpwstr>
      </vt:variant>
      <vt:variant>
        <vt:i4>1507376</vt:i4>
      </vt:variant>
      <vt:variant>
        <vt:i4>1334</vt:i4>
      </vt:variant>
      <vt:variant>
        <vt:i4>0</vt:i4>
      </vt:variant>
      <vt:variant>
        <vt:i4>5</vt:i4>
      </vt:variant>
      <vt:variant>
        <vt:lpwstr/>
      </vt:variant>
      <vt:variant>
        <vt:lpwstr>_Toc510071205</vt:lpwstr>
      </vt:variant>
      <vt:variant>
        <vt:i4>1507376</vt:i4>
      </vt:variant>
      <vt:variant>
        <vt:i4>1328</vt:i4>
      </vt:variant>
      <vt:variant>
        <vt:i4>0</vt:i4>
      </vt:variant>
      <vt:variant>
        <vt:i4>5</vt:i4>
      </vt:variant>
      <vt:variant>
        <vt:lpwstr/>
      </vt:variant>
      <vt:variant>
        <vt:lpwstr>_Toc510071204</vt:lpwstr>
      </vt:variant>
      <vt:variant>
        <vt:i4>1507376</vt:i4>
      </vt:variant>
      <vt:variant>
        <vt:i4>1322</vt:i4>
      </vt:variant>
      <vt:variant>
        <vt:i4>0</vt:i4>
      </vt:variant>
      <vt:variant>
        <vt:i4>5</vt:i4>
      </vt:variant>
      <vt:variant>
        <vt:lpwstr/>
      </vt:variant>
      <vt:variant>
        <vt:lpwstr>_Toc510071203</vt:lpwstr>
      </vt:variant>
      <vt:variant>
        <vt:i4>1507376</vt:i4>
      </vt:variant>
      <vt:variant>
        <vt:i4>1316</vt:i4>
      </vt:variant>
      <vt:variant>
        <vt:i4>0</vt:i4>
      </vt:variant>
      <vt:variant>
        <vt:i4>5</vt:i4>
      </vt:variant>
      <vt:variant>
        <vt:lpwstr/>
      </vt:variant>
      <vt:variant>
        <vt:lpwstr>_Toc510071202</vt:lpwstr>
      </vt:variant>
      <vt:variant>
        <vt:i4>1507376</vt:i4>
      </vt:variant>
      <vt:variant>
        <vt:i4>1310</vt:i4>
      </vt:variant>
      <vt:variant>
        <vt:i4>0</vt:i4>
      </vt:variant>
      <vt:variant>
        <vt:i4>5</vt:i4>
      </vt:variant>
      <vt:variant>
        <vt:lpwstr/>
      </vt:variant>
      <vt:variant>
        <vt:lpwstr>_Toc510071201</vt:lpwstr>
      </vt:variant>
      <vt:variant>
        <vt:i4>1507376</vt:i4>
      </vt:variant>
      <vt:variant>
        <vt:i4>1304</vt:i4>
      </vt:variant>
      <vt:variant>
        <vt:i4>0</vt:i4>
      </vt:variant>
      <vt:variant>
        <vt:i4>5</vt:i4>
      </vt:variant>
      <vt:variant>
        <vt:lpwstr/>
      </vt:variant>
      <vt:variant>
        <vt:lpwstr>_Toc510071200</vt:lpwstr>
      </vt:variant>
      <vt:variant>
        <vt:i4>1966131</vt:i4>
      </vt:variant>
      <vt:variant>
        <vt:i4>1298</vt:i4>
      </vt:variant>
      <vt:variant>
        <vt:i4>0</vt:i4>
      </vt:variant>
      <vt:variant>
        <vt:i4>5</vt:i4>
      </vt:variant>
      <vt:variant>
        <vt:lpwstr/>
      </vt:variant>
      <vt:variant>
        <vt:lpwstr>_Toc510071199</vt:lpwstr>
      </vt:variant>
      <vt:variant>
        <vt:i4>1966131</vt:i4>
      </vt:variant>
      <vt:variant>
        <vt:i4>1292</vt:i4>
      </vt:variant>
      <vt:variant>
        <vt:i4>0</vt:i4>
      </vt:variant>
      <vt:variant>
        <vt:i4>5</vt:i4>
      </vt:variant>
      <vt:variant>
        <vt:lpwstr/>
      </vt:variant>
      <vt:variant>
        <vt:lpwstr>_Toc510071198</vt:lpwstr>
      </vt:variant>
      <vt:variant>
        <vt:i4>1966131</vt:i4>
      </vt:variant>
      <vt:variant>
        <vt:i4>1286</vt:i4>
      </vt:variant>
      <vt:variant>
        <vt:i4>0</vt:i4>
      </vt:variant>
      <vt:variant>
        <vt:i4>5</vt:i4>
      </vt:variant>
      <vt:variant>
        <vt:lpwstr/>
      </vt:variant>
      <vt:variant>
        <vt:lpwstr>_Toc510071197</vt:lpwstr>
      </vt:variant>
      <vt:variant>
        <vt:i4>1966131</vt:i4>
      </vt:variant>
      <vt:variant>
        <vt:i4>1280</vt:i4>
      </vt:variant>
      <vt:variant>
        <vt:i4>0</vt:i4>
      </vt:variant>
      <vt:variant>
        <vt:i4>5</vt:i4>
      </vt:variant>
      <vt:variant>
        <vt:lpwstr/>
      </vt:variant>
      <vt:variant>
        <vt:lpwstr>_Toc510071196</vt:lpwstr>
      </vt:variant>
      <vt:variant>
        <vt:i4>1966131</vt:i4>
      </vt:variant>
      <vt:variant>
        <vt:i4>1274</vt:i4>
      </vt:variant>
      <vt:variant>
        <vt:i4>0</vt:i4>
      </vt:variant>
      <vt:variant>
        <vt:i4>5</vt:i4>
      </vt:variant>
      <vt:variant>
        <vt:lpwstr/>
      </vt:variant>
      <vt:variant>
        <vt:lpwstr>_Toc510071195</vt:lpwstr>
      </vt:variant>
      <vt:variant>
        <vt:i4>1966131</vt:i4>
      </vt:variant>
      <vt:variant>
        <vt:i4>1268</vt:i4>
      </vt:variant>
      <vt:variant>
        <vt:i4>0</vt:i4>
      </vt:variant>
      <vt:variant>
        <vt:i4>5</vt:i4>
      </vt:variant>
      <vt:variant>
        <vt:lpwstr/>
      </vt:variant>
      <vt:variant>
        <vt:lpwstr>_Toc510071194</vt:lpwstr>
      </vt:variant>
      <vt:variant>
        <vt:i4>1966131</vt:i4>
      </vt:variant>
      <vt:variant>
        <vt:i4>1262</vt:i4>
      </vt:variant>
      <vt:variant>
        <vt:i4>0</vt:i4>
      </vt:variant>
      <vt:variant>
        <vt:i4>5</vt:i4>
      </vt:variant>
      <vt:variant>
        <vt:lpwstr/>
      </vt:variant>
      <vt:variant>
        <vt:lpwstr>_Toc510071193</vt:lpwstr>
      </vt:variant>
      <vt:variant>
        <vt:i4>1966131</vt:i4>
      </vt:variant>
      <vt:variant>
        <vt:i4>1256</vt:i4>
      </vt:variant>
      <vt:variant>
        <vt:i4>0</vt:i4>
      </vt:variant>
      <vt:variant>
        <vt:i4>5</vt:i4>
      </vt:variant>
      <vt:variant>
        <vt:lpwstr/>
      </vt:variant>
      <vt:variant>
        <vt:lpwstr>_Toc510071192</vt:lpwstr>
      </vt:variant>
      <vt:variant>
        <vt:i4>1966131</vt:i4>
      </vt:variant>
      <vt:variant>
        <vt:i4>1250</vt:i4>
      </vt:variant>
      <vt:variant>
        <vt:i4>0</vt:i4>
      </vt:variant>
      <vt:variant>
        <vt:i4>5</vt:i4>
      </vt:variant>
      <vt:variant>
        <vt:lpwstr/>
      </vt:variant>
      <vt:variant>
        <vt:lpwstr>_Toc510071191</vt:lpwstr>
      </vt:variant>
      <vt:variant>
        <vt:i4>1966131</vt:i4>
      </vt:variant>
      <vt:variant>
        <vt:i4>1244</vt:i4>
      </vt:variant>
      <vt:variant>
        <vt:i4>0</vt:i4>
      </vt:variant>
      <vt:variant>
        <vt:i4>5</vt:i4>
      </vt:variant>
      <vt:variant>
        <vt:lpwstr/>
      </vt:variant>
      <vt:variant>
        <vt:lpwstr>_Toc510071190</vt:lpwstr>
      </vt:variant>
      <vt:variant>
        <vt:i4>2031667</vt:i4>
      </vt:variant>
      <vt:variant>
        <vt:i4>1238</vt:i4>
      </vt:variant>
      <vt:variant>
        <vt:i4>0</vt:i4>
      </vt:variant>
      <vt:variant>
        <vt:i4>5</vt:i4>
      </vt:variant>
      <vt:variant>
        <vt:lpwstr/>
      </vt:variant>
      <vt:variant>
        <vt:lpwstr>_Toc510071189</vt:lpwstr>
      </vt:variant>
      <vt:variant>
        <vt:i4>2031667</vt:i4>
      </vt:variant>
      <vt:variant>
        <vt:i4>1232</vt:i4>
      </vt:variant>
      <vt:variant>
        <vt:i4>0</vt:i4>
      </vt:variant>
      <vt:variant>
        <vt:i4>5</vt:i4>
      </vt:variant>
      <vt:variant>
        <vt:lpwstr/>
      </vt:variant>
      <vt:variant>
        <vt:lpwstr>_Toc510071188</vt:lpwstr>
      </vt:variant>
      <vt:variant>
        <vt:i4>2031667</vt:i4>
      </vt:variant>
      <vt:variant>
        <vt:i4>1226</vt:i4>
      </vt:variant>
      <vt:variant>
        <vt:i4>0</vt:i4>
      </vt:variant>
      <vt:variant>
        <vt:i4>5</vt:i4>
      </vt:variant>
      <vt:variant>
        <vt:lpwstr/>
      </vt:variant>
      <vt:variant>
        <vt:lpwstr>_Toc510071187</vt:lpwstr>
      </vt:variant>
      <vt:variant>
        <vt:i4>2031667</vt:i4>
      </vt:variant>
      <vt:variant>
        <vt:i4>1220</vt:i4>
      </vt:variant>
      <vt:variant>
        <vt:i4>0</vt:i4>
      </vt:variant>
      <vt:variant>
        <vt:i4>5</vt:i4>
      </vt:variant>
      <vt:variant>
        <vt:lpwstr/>
      </vt:variant>
      <vt:variant>
        <vt:lpwstr>_Toc510071186</vt:lpwstr>
      </vt:variant>
      <vt:variant>
        <vt:i4>2031667</vt:i4>
      </vt:variant>
      <vt:variant>
        <vt:i4>1214</vt:i4>
      </vt:variant>
      <vt:variant>
        <vt:i4>0</vt:i4>
      </vt:variant>
      <vt:variant>
        <vt:i4>5</vt:i4>
      </vt:variant>
      <vt:variant>
        <vt:lpwstr/>
      </vt:variant>
      <vt:variant>
        <vt:lpwstr>_Toc510071185</vt:lpwstr>
      </vt:variant>
      <vt:variant>
        <vt:i4>2031667</vt:i4>
      </vt:variant>
      <vt:variant>
        <vt:i4>1208</vt:i4>
      </vt:variant>
      <vt:variant>
        <vt:i4>0</vt:i4>
      </vt:variant>
      <vt:variant>
        <vt:i4>5</vt:i4>
      </vt:variant>
      <vt:variant>
        <vt:lpwstr/>
      </vt:variant>
      <vt:variant>
        <vt:lpwstr>_Toc510071184</vt:lpwstr>
      </vt:variant>
      <vt:variant>
        <vt:i4>2031667</vt:i4>
      </vt:variant>
      <vt:variant>
        <vt:i4>1202</vt:i4>
      </vt:variant>
      <vt:variant>
        <vt:i4>0</vt:i4>
      </vt:variant>
      <vt:variant>
        <vt:i4>5</vt:i4>
      </vt:variant>
      <vt:variant>
        <vt:lpwstr/>
      </vt:variant>
      <vt:variant>
        <vt:lpwstr>_Toc510071183</vt:lpwstr>
      </vt:variant>
      <vt:variant>
        <vt:i4>2031667</vt:i4>
      </vt:variant>
      <vt:variant>
        <vt:i4>1196</vt:i4>
      </vt:variant>
      <vt:variant>
        <vt:i4>0</vt:i4>
      </vt:variant>
      <vt:variant>
        <vt:i4>5</vt:i4>
      </vt:variant>
      <vt:variant>
        <vt:lpwstr/>
      </vt:variant>
      <vt:variant>
        <vt:lpwstr>_Toc510071182</vt:lpwstr>
      </vt:variant>
      <vt:variant>
        <vt:i4>2031667</vt:i4>
      </vt:variant>
      <vt:variant>
        <vt:i4>1190</vt:i4>
      </vt:variant>
      <vt:variant>
        <vt:i4>0</vt:i4>
      </vt:variant>
      <vt:variant>
        <vt:i4>5</vt:i4>
      </vt:variant>
      <vt:variant>
        <vt:lpwstr/>
      </vt:variant>
      <vt:variant>
        <vt:lpwstr>_Toc510071181</vt:lpwstr>
      </vt:variant>
      <vt:variant>
        <vt:i4>2031667</vt:i4>
      </vt:variant>
      <vt:variant>
        <vt:i4>1184</vt:i4>
      </vt:variant>
      <vt:variant>
        <vt:i4>0</vt:i4>
      </vt:variant>
      <vt:variant>
        <vt:i4>5</vt:i4>
      </vt:variant>
      <vt:variant>
        <vt:lpwstr/>
      </vt:variant>
      <vt:variant>
        <vt:lpwstr>_Toc510071180</vt:lpwstr>
      </vt:variant>
      <vt:variant>
        <vt:i4>1048627</vt:i4>
      </vt:variant>
      <vt:variant>
        <vt:i4>1178</vt:i4>
      </vt:variant>
      <vt:variant>
        <vt:i4>0</vt:i4>
      </vt:variant>
      <vt:variant>
        <vt:i4>5</vt:i4>
      </vt:variant>
      <vt:variant>
        <vt:lpwstr/>
      </vt:variant>
      <vt:variant>
        <vt:lpwstr>_Toc510071179</vt:lpwstr>
      </vt:variant>
      <vt:variant>
        <vt:i4>1048627</vt:i4>
      </vt:variant>
      <vt:variant>
        <vt:i4>1172</vt:i4>
      </vt:variant>
      <vt:variant>
        <vt:i4>0</vt:i4>
      </vt:variant>
      <vt:variant>
        <vt:i4>5</vt:i4>
      </vt:variant>
      <vt:variant>
        <vt:lpwstr/>
      </vt:variant>
      <vt:variant>
        <vt:lpwstr>_Toc510071178</vt:lpwstr>
      </vt:variant>
      <vt:variant>
        <vt:i4>1048627</vt:i4>
      </vt:variant>
      <vt:variant>
        <vt:i4>1166</vt:i4>
      </vt:variant>
      <vt:variant>
        <vt:i4>0</vt:i4>
      </vt:variant>
      <vt:variant>
        <vt:i4>5</vt:i4>
      </vt:variant>
      <vt:variant>
        <vt:lpwstr/>
      </vt:variant>
      <vt:variant>
        <vt:lpwstr>_Toc510071177</vt:lpwstr>
      </vt:variant>
      <vt:variant>
        <vt:i4>1048627</vt:i4>
      </vt:variant>
      <vt:variant>
        <vt:i4>1160</vt:i4>
      </vt:variant>
      <vt:variant>
        <vt:i4>0</vt:i4>
      </vt:variant>
      <vt:variant>
        <vt:i4>5</vt:i4>
      </vt:variant>
      <vt:variant>
        <vt:lpwstr/>
      </vt:variant>
      <vt:variant>
        <vt:lpwstr>_Toc510071176</vt:lpwstr>
      </vt:variant>
      <vt:variant>
        <vt:i4>1048627</vt:i4>
      </vt:variant>
      <vt:variant>
        <vt:i4>1154</vt:i4>
      </vt:variant>
      <vt:variant>
        <vt:i4>0</vt:i4>
      </vt:variant>
      <vt:variant>
        <vt:i4>5</vt:i4>
      </vt:variant>
      <vt:variant>
        <vt:lpwstr/>
      </vt:variant>
      <vt:variant>
        <vt:lpwstr>_Toc510071175</vt:lpwstr>
      </vt:variant>
      <vt:variant>
        <vt:i4>1048627</vt:i4>
      </vt:variant>
      <vt:variant>
        <vt:i4>1148</vt:i4>
      </vt:variant>
      <vt:variant>
        <vt:i4>0</vt:i4>
      </vt:variant>
      <vt:variant>
        <vt:i4>5</vt:i4>
      </vt:variant>
      <vt:variant>
        <vt:lpwstr/>
      </vt:variant>
      <vt:variant>
        <vt:lpwstr>_Toc510071174</vt:lpwstr>
      </vt:variant>
      <vt:variant>
        <vt:i4>1048627</vt:i4>
      </vt:variant>
      <vt:variant>
        <vt:i4>1142</vt:i4>
      </vt:variant>
      <vt:variant>
        <vt:i4>0</vt:i4>
      </vt:variant>
      <vt:variant>
        <vt:i4>5</vt:i4>
      </vt:variant>
      <vt:variant>
        <vt:lpwstr/>
      </vt:variant>
      <vt:variant>
        <vt:lpwstr>_Toc510071173</vt:lpwstr>
      </vt:variant>
      <vt:variant>
        <vt:i4>1048627</vt:i4>
      </vt:variant>
      <vt:variant>
        <vt:i4>1136</vt:i4>
      </vt:variant>
      <vt:variant>
        <vt:i4>0</vt:i4>
      </vt:variant>
      <vt:variant>
        <vt:i4>5</vt:i4>
      </vt:variant>
      <vt:variant>
        <vt:lpwstr/>
      </vt:variant>
      <vt:variant>
        <vt:lpwstr>_Toc510071172</vt:lpwstr>
      </vt:variant>
      <vt:variant>
        <vt:i4>1048627</vt:i4>
      </vt:variant>
      <vt:variant>
        <vt:i4>1130</vt:i4>
      </vt:variant>
      <vt:variant>
        <vt:i4>0</vt:i4>
      </vt:variant>
      <vt:variant>
        <vt:i4>5</vt:i4>
      </vt:variant>
      <vt:variant>
        <vt:lpwstr/>
      </vt:variant>
      <vt:variant>
        <vt:lpwstr>_Toc510071171</vt:lpwstr>
      </vt:variant>
      <vt:variant>
        <vt:i4>1048627</vt:i4>
      </vt:variant>
      <vt:variant>
        <vt:i4>1124</vt:i4>
      </vt:variant>
      <vt:variant>
        <vt:i4>0</vt:i4>
      </vt:variant>
      <vt:variant>
        <vt:i4>5</vt:i4>
      </vt:variant>
      <vt:variant>
        <vt:lpwstr/>
      </vt:variant>
      <vt:variant>
        <vt:lpwstr>_Toc510071170</vt:lpwstr>
      </vt:variant>
      <vt:variant>
        <vt:i4>1114163</vt:i4>
      </vt:variant>
      <vt:variant>
        <vt:i4>1118</vt:i4>
      </vt:variant>
      <vt:variant>
        <vt:i4>0</vt:i4>
      </vt:variant>
      <vt:variant>
        <vt:i4>5</vt:i4>
      </vt:variant>
      <vt:variant>
        <vt:lpwstr/>
      </vt:variant>
      <vt:variant>
        <vt:lpwstr>_Toc510071169</vt:lpwstr>
      </vt:variant>
      <vt:variant>
        <vt:i4>1114163</vt:i4>
      </vt:variant>
      <vt:variant>
        <vt:i4>1112</vt:i4>
      </vt:variant>
      <vt:variant>
        <vt:i4>0</vt:i4>
      </vt:variant>
      <vt:variant>
        <vt:i4>5</vt:i4>
      </vt:variant>
      <vt:variant>
        <vt:lpwstr/>
      </vt:variant>
      <vt:variant>
        <vt:lpwstr>_Toc510071168</vt:lpwstr>
      </vt:variant>
      <vt:variant>
        <vt:i4>1114163</vt:i4>
      </vt:variant>
      <vt:variant>
        <vt:i4>1106</vt:i4>
      </vt:variant>
      <vt:variant>
        <vt:i4>0</vt:i4>
      </vt:variant>
      <vt:variant>
        <vt:i4>5</vt:i4>
      </vt:variant>
      <vt:variant>
        <vt:lpwstr/>
      </vt:variant>
      <vt:variant>
        <vt:lpwstr>_Toc510071167</vt:lpwstr>
      </vt:variant>
      <vt:variant>
        <vt:i4>1114163</vt:i4>
      </vt:variant>
      <vt:variant>
        <vt:i4>1100</vt:i4>
      </vt:variant>
      <vt:variant>
        <vt:i4>0</vt:i4>
      </vt:variant>
      <vt:variant>
        <vt:i4>5</vt:i4>
      </vt:variant>
      <vt:variant>
        <vt:lpwstr/>
      </vt:variant>
      <vt:variant>
        <vt:lpwstr>_Toc510071166</vt:lpwstr>
      </vt:variant>
      <vt:variant>
        <vt:i4>1114163</vt:i4>
      </vt:variant>
      <vt:variant>
        <vt:i4>1094</vt:i4>
      </vt:variant>
      <vt:variant>
        <vt:i4>0</vt:i4>
      </vt:variant>
      <vt:variant>
        <vt:i4>5</vt:i4>
      </vt:variant>
      <vt:variant>
        <vt:lpwstr/>
      </vt:variant>
      <vt:variant>
        <vt:lpwstr>_Toc510071165</vt:lpwstr>
      </vt:variant>
      <vt:variant>
        <vt:i4>1114163</vt:i4>
      </vt:variant>
      <vt:variant>
        <vt:i4>1088</vt:i4>
      </vt:variant>
      <vt:variant>
        <vt:i4>0</vt:i4>
      </vt:variant>
      <vt:variant>
        <vt:i4>5</vt:i4>
      </vt:variant>
      <vt:variant>
        <vt:lpwstr/>
      </vt:variant>
      <vt:variant>
        <vt:lpwstr>_Toc510071164</vt:lpwstr>
      </vt:variant>
      <vt:variant>
        <vt:i4>1114163</vt:i4>
      </vt:variant>
      <vt:variant>
        <vt:i4>1082</vt:i4>
      </vt:variant>
      <vt:variant>
        <vt:i4>0</vt:i4>
      </vt:variant>
      <vt:variant>
        <vt:i4>5</vt:i4>
      </vt:variant>
      <vt:variant>
        <vt:lpwstr/>
      </vt:variant>
      <vt:variant>
        <vt:lpwstr>_Toc510071163</vt:lpwstr>
      </vt:variant>
      <vt:variant>
        <vt:i4>1114163</vt:i4>
      </vt:variant>
      <vt:variant>
        <vt:i4>1076</vt:i4>
      </vt:variant>
      <vt:variant>
        <vt:i4>0</vt:i4>
      </vt:variant>
      <vt:variant>
        <vt:i4>5</vt:i4>
      </vt:variant>
      <vt:variant>
        <vt:lpwstr/>
      </vt:variant>
      <vt:variant>
        <vt:lpwstr>_Toc510071162</vt:lpwstr>
      </vt:variant>
      <vt:variant>
        <vt:i4>1114163</vt:i4>
      </vt:variant>
      <vt:variant>
        <vt:i4>1070</vt:i4>
      </vt:variant>
      <vt:variant>
        <vt:i4>0</vt:i4>
      </vt:variant>
      <vt:variant>
        <vt:i4>5</vt:i4>
      </vt:variant>
      <vt:variant>
        <vt:lpwstr/>
      </vt:variant>
      <vt:variant>
        <vt:lpwstr>_Toc510071161</vt:lpwstr>
      </vt:variant>
      <vt:variant>
        <vt:i4>1114163</vt:i4>
      </vt:variant>
      <vt:variant>
        <vt:i4>1064</vt:i4>
      </vt:variant>
      <vt:variant>
        <vt:i4>0</vt:i4>
      </vt:variant>
      <vt:variant>
        <vt:i4>5</vt:i4>
      </vt:variant>
      <vt:variant>
        <vt:lpwstr/>
      </vt:variant>
      <vt:variant>
        <vt:lpwstr>_Toc510071160</vt:lpwstr>
      </vt:variant>
      <vt:variant>
        <vt:i4>1179699</vt:i4>
      </vt:variant>
      <vt:variant>
        <vt:i4>1058</vt:i4>
      </vt:variant>
      <vt:variant>
        <vt:i4>0</vt:i4>
      </vt:variant>
      <vt:variant>
        <vt:i4>5</vt:i4>
      </vt:variant>
      <vt:variant>
        <vt:lpwstr/>
      </vt:variant>
      <vt:variant>
        <vt:lpwstr>_Toc510071159</vt:lpwstr>
      </vt:variant>
      <vt:variant>
        <vt:i4>1179699</vt:i4>
      </vt:variant>
      <vt:variant>
        <vt:i4>1052</vt:i4>
      </vt:variant>
      <vt:variant>
        <vt:i4>0</vt:i4>
      </vt:variant>
      <vt:variant>
        <vt:i4>5</vt:i4>
      </vt:variant>
      <vt:variant>
        <vt:lpwstr/>
      </vt:variant>
      <vt:variant>
        <vt:lpwstr>_Toc510071158</vt:lpwstr>
      </vt:variant>
      <vt:variant>
        <vt:i4>1179699</vt:i4>
      </vt:variant>
      <vt:variant>
        <vt:i4>1046</vt:i4>
      </vt:variant>
      <vt:variant>
        <vt:i4>0</vt:i4>
      </vt:variant>
      <vt:variant>
        <vt:i4>5</vt:i4>
      </vt:variant>
      <vt:variant>
        <vt:lpwstr/>
      </vt:variant>
      <vt:variant>
        <vt:lpwstr>_Toc510071157</vt:lpwstr>
      </vt:variant>
      <vt:variant>
        <vt:i4>1179699</vt:i4>
      </vt:variant>
      <vt:variant>
        <vt:i4>1040</vt:i4>
      </vt:variant>
      <vt:variant>
        <vt:i4>0</vt:i4>
      </vt:variant>
      <vt:variant>
        <vt:i4>5</vt:i4>
      </vt:variant>
      <vt:variant>
        <vt:lpwstr/>
      </vt:variant>
      <vt:variant>
        <vt:lpwstr>_Toc510071156</vt:lpwstr>
      </vt:variant>
      <vt:variant>
        <vt:i4>1179699</vt:i4>
      </vt:variant>
      <vt:variant>
        <vt:i4>1034</vt:i4>
      </vt:variant>
      <vt:variant>
        <vt:i4>0</vt:i4>
      </vt:variant>
      <vt:variant>
        <vt:i4>5</vt:i4>
      </vt:variant>
      <vt:variant>
        <vt:lpwstr/>
      </vt:variant>
      <vt:variant>
        <vt:lpwstr>_Toc510071155</vt:lpwstr>
      </vt:variant>
      <vt:variant>
        <vt:i4>1179699</vt:i4>
      </vt:variant>
      <vt:variant>
        <vt:i4>1028</vt:i4>
      </vt:variant>
      <vt:variant>
        <vt:i4>0</vt:i4>
      </vt:variant>
      <vt:variant>
        <vt:i4>5</vt:i4>
      </vt:variant>
      <vt:variant>
        <vt:lpwstr/>
      </vt:variant>
      <vt:variant>
        <vt:lpwstr>_Toc510071154</vt:lpwstr>
      </vt:variant>
      <vt:variant>
        <vt:i4>1179699</vt:i4>
      </vt:variant>
      <vt:variant>
        <vt:i4>1022</vt:i4>
      </vt:variant>
      <vt:variant>
        <vt:i4>0</vt:i4>
      </vt:variant>
      <vt:variant>
        <vt:i4>5</vt:i4>
      </vt:variant>
      <vt:variant>
        <vt:lpwstr/>
      </vt:variant>
      <vt:variant>
        <vt:lpwstr>_Toc510071153</vt:lpwstr>
      </vt:variant>
      <vt:variant>
        <vt:i4>1179699</vt:i4>
      </vt:variant>
      <vt:variant>
        <vt:i4>1016</vt:i4>
      </vt:variant>
      <vt:variant>
        <vt:i4>0</vt:i4>
      </vt:variant>
      <vt:variant>
        <vt:i4>5</vt:i4>
      </vt:variant>
      <vt:variant>
        <vt:lpwstr/>
      </vt:variant>
      <vt:variant>
        <vt:lpwstr>_Toc510071152</vt:lpwstr>
      </vt:variant>
      <vt:variant>
        <vt:i4>1179699</vt:i4>
      </vt:variant>
      <vt:variant>
        <vt:i4>1010</vt:i4>
      </vt:variant>
      <vt:variant>
        <vt:i4>0</vt:i4>
      </vt:variant>
      <vt:variant>
        <vt:i4>5</vt:i4>
      </vt:variant>
      <vt:variant>
        <vt:lpwstr/>
      </vt:variant>
      <vt:variant>
        <vt:lpwstr>_Toc510071151</vt:lpwstr>
      </vt:variant>
      <vt:variant>
        <vt:i4>1179699</vt:i4>
      </vt:variant>
      <vt:variant>
        <vt:i4>1004</vt:i4>
      </vt:variant>
      <vt:variant>
        <vt:i4>0</vt:i4>
      </vt:variant>
      <vt:variant>
        <vt:i4>5</vt:i4>
      </vt:variant>
      <vt:variant>
        <vt:lpwstr/>
      </vt:variant>
      <vt:variant>
        <vt:lpwstr>_Toc510071150</vt:lpwstr>
      </vt:variant>
      <vt:variant>
        <vt:i4>1245235</vt:i4>
      </vt:variant>
      <vt:variant>
        <vt:i4>998</vt:i4>
      </vt:variant>
      <vt:variant>
        <vt:i4>0</vt:i4>
      </vt:variant>
      <vt:variant>
        <vt:i4>5</vt:i4>
      </vt:variant>
      <vt:variant>
        <vt:lpwstr/>
      </vt:variant>
      <vt:variant>
        <vt:lpwstr>_Toc510071149</vt:lpwstr>
      </vt:variant>
      <vt:variant>
        <vt:i4>1245235</vt:i4>
      </vt:variant>
      <vt:variant>
        <vt:i4>992</vt:i4>
      </vt:variant>
      <vt:variant>
        <vt:i4>0</vt:i4>
      </vt:variant>
      <vt:variant>
        <vt:i4>5</vt:i4>
      </vt:variant>
      <vt:variant>
        <vt:lpwstr/>
      </vt:variant>
      <vt:variant>
        <vt:lpwstr>_Toc510071148</vt:lpwstr>
      </vt:variant>
      <vt:variant>
        <vt:i4>1245235</vt:i4>
      </vt:variant>
      <vt:variant>
        <vt:i4>986</vt:i4>
      </vt:variant>
      <vt:variant>
        <vt:i4>0</vt:i4>
      </vt:variant>
      <vt:variant>
        <vt:i4>5</vt:i4>
      </vt:variant>
      <vt:variant>
        <vt:lpwstr/>
      </vt:variant>
      <vt:variant>
        <vt:lpwstr>_Toc510071147</vt:lpwstr>
      </vt:variant>
      <vt:variant>
        <vt:i4>1245235</vt:i4>
      </vt:variant>
      <vt:variant>
        <vt:i4>980</vt:i4>
      </vt:variant>
      <vt:variant>
        <vt:i4>0</vt:i4>
      </vt:variant>
      <vt:variant>
        <vt:i4>5</vt:i4>
      </vt:variant>
      <vt:variant>
        <vt:lpwstr/>
      </vt:variant>
      <vt:variant>
        <vt:lpwstr>_Toc510071146</vt:lpwstr>
      </vt:variant>
      <vt:variant>
        <vt:i4>1245235</vt:i4>
      </vt:variant>
      <vt:variant>
        <vt:i4>974</vt:i4>
      </vt:variant>
      <vt:variant>
        <vt:i4>0</vt:i4>
      </vt:variant>
      <vt:variant>
        <vt:i4>5</vt:i4>
      </vt:variant>
      <vt:variant>
        <vt:lpwstr/>
      </vt:variant>
      <vt:variant>
        <vt:lpwstr>_Toc510071145</vt:lpwstr>
      </vt:variant>
      <vt:variant>
        <vt:i4>1245235</vt:i4>
      </vt:variant>
      <vt:variant>
        <vt:i4>968</vt:i4>
      </vt:variant>
      <vt:variant>
        <vt:i4>0</vt:i4>
      </vt:variant>
      <vt:variant>
        <vt:i4>5</vt:i4>
      </vt:variant>
      <vt:variant>
        <vt:lpwstr/>
      </vt:variant>
      <vt:variant>
        <vt:lpwstr>_Toc510071144</vt:lpwstr>
      </vt:variant>
      <vt:variant>
        <vt:i4>1245235</vt:i4>
      </vt:variant>
      <vt:variant>
        <vt:i4>962</vt:i4>
      </vt:variant>
      <vt:variant>
        <vt:i4>0</vt:i4>
      </vt:variant>
      <vt:variant>
        <vt:i4>5</vt:i4>
      </vt:variant>
      <vt:variant>
        <vt:lpwstr/>
      </vt:variant>
      <vt:variant>
        <vt:lpwstr>_Toc510071143</vt:lpwstr>
      </vt:variant>
      <vt:variant>
        <vt:i4>1245235</vt:i4>
      </vt:variant>
      <vt:variant>
        <vt:i4>956</vt:i4>
      </vt:variant>
      <vt:variant>
        <vt:i4>0</vt:i4>
      </vt:variant>
      <vt:variant>
        <vt:i4>5</vt:i4>
      </vt:variant>
      <vt:variant>
        <vt:lpwstr/>
      </vt:variant>
      <vt:variant>
        <vt:lpwstr>_Toc510071142</vt:lpwstr>
      </vt:variant>
      <vt:variant>
        <vt:i4>1245235</vt:i4>
      </vt:variant>
      <vt:variant>
        <vt:i4>950</vt:i4>
      </vt:variant>
      <vt:variant>
        <vt:i4>0</vt:i4>
      </vt:variant>
      <vt:variant>
        <vt:i4>5</vt:i4>
      </vt:variant>
      <vt:variant>
        <vt:lpwstr/>
      </vt:variant>
      <vt:variant>
        <vt:lpwstr>_Toc510071141</vt:lpwstr>
      </vt:variant>
      <vt:variant>
        <vt:i4>1245235</vt:i4>
      </vt:variant>
      <vt:variant>
        <vt:i4>944</vt:i4>
      </vt:variant>
      <vt:variant>
        <vt:i4>0</vt:i4>
      </vt:variant>
      <vt:variant>
        <vt:i4>5</vt:i4>
      </vt:variant>
      <vt:variant>
        <vt:lpwstr/>
      </vt:variant>
      <vt:variant>
        <vt:lpwstr>_Toc510071140</vt:lpwstr>
      </vt:variant>
      <vt:variant>
        <vt:i4>1310771</vt:i4>
      </vt:variant>
      <vt:variant>
        <vt:i4>938</vt:i4>
      </vt:variant>
      <vt:variant>
        <vt:i4>0</vt:i4>
      </vt:variant>
      <vt:variant>
        <vt:i4>5</vt:i4>
      </vt:variant>
      <vt:variant>
        <vt:lpwstr/>
      </vt:variant>
      <vt:variant>
        <vt:lpwstr>_Toc510071139</vt:lpwstr>
      </vt:variant>
      <vt:variant>
        <vt:i4>1310771</vt:i4>
      </vt:variant>
      <vt:variant>
        <vt:i4>932</vt:i4>
      </vt:variant>
      <vt:variant>
        <vt:i4>0</vt:i4>
      </vt:variant>
      <vt:variant>
        <vt:i4>5</vt:i4>
      </vt:variant>
      <vt:variant>
        <vt:lpwstr/>
      </vt:variant>
      <vt:variant>
        <vt:lpwstr>_Toc510071138</vt:lpwstr>
      </vt:variant>
      <vt:variant>
        <vt:i4>1310771</vt:i4>
      </vt:variant>
      <vt:variant>
        <vt:i4>926</vt:i4>
      </vt:variant>
      <vt:variant>
        <vt:i4>0</vt:i4>
      </vt:variant>
      <vt:variant>
        <vt:i4>5</vt:i4>
      </vt:variant>
      <vt:variant>
        <vt:lpwstr/>
      </vt:variant>
      <vt:variant>
        <vt:lpwstr>_Toc510071137</vt:lpwstr>
      </vt:variant>
      <vt:variant>
        <vt:i4>1310771</vt:i4>
      </vt:variant>
      <vt:variant>
        <vt:i4>920</vt:i4>
      </vt:variant>
      <vt:variant>
        <vt:i4>0</vt:i4>
      </vt:variant>
      <vt:variant>
        <vt:i4>5</vt:i4>
      </vt:variant>
      <vt:variant>
        <vt:lpwstr/>
      </vt:variant>
      <vt:variant>
        <vt:lpwstr>_Toc510071136</vt:lpwstr>
      </vt:variant>
      <vt:variant>
        <vt:i4>1310771</vt:i4>
      </vt:variant>
      <vt:variant>
        <vt:i4>914</vt:i4>
      </vt:variant>
      <vt:variant>
        <vt:i4>0</vt:i4>
      </vt:variant>
      <vt:variant>
        <vt:i4>5</vt:i4>
      </vt:variant>
      <vt:variant>
        <vt:lpwstr/>
      </vt:variant>
      <vt:variant>
        <vt:lpwstr>_Toc510071135</vt:lpwstr>
      </vt:variant>
      <vt:variant>
        <vt:i4>1310771</vt:i4>
      </vt:variant>
      <vt:variant>
        <vt:i4>908</vt:i4>
      </vt:variant>
      <vt:variant>
        <vt:i4>0</vt:i4>
      </vt:variant>
      <vt:variant>
        <vt:i4>5</vt:i4>
      </vt:variant>
      <vt:variant>
        <vt:lpwstr/>
      </vt:variant>
      <vt:variant>
        <vt:lpwstr>_Toc510071134</vt:lpwstr>
      </vt:variant>
      <vt:variant>
        <vt:i4>1310771</vt:i4>
      </vt:variant>
      <vt:variant>
        <vt:i4>902</vt:i4>
      </vt:variant>
      <vt:variant>
        <vt:i4>0</vt:i4>
      </vt:variant>
      <vt:variant>
        <vt:i4>5</vt:i4>
      </vt:variant>
      <vt:variant>
        <vt:lpwstr/>
      </vt:variant>
      <vt:variant>
        <vt:lpwstr>_Toc510071133</vt:lpwstr>
      </vt:variant>
      <vt:variant>
        <vt:i4>1310771</vt:i4>
      </vt:variant>
      <vt:variant>
        <vt:i4>896</vt:i4>
      </vt:variant>
      <vt:variant>
        <vt:i4>0</vt:i4>
      </vt:variant>
      <vt:variant>
        <vt:i4>5</vt:i4>
      </vt:variant>
      <vt:variant>
        <vt:lpwstr/>
      </vt:variant>
      <vt:variant>
        <vt:lpwstr>_Toc510071132</vt:lpwstr>
      </vt:variant>
      <vt:variant>
        <vt:i4>1310771</vt:i4>
      </vt:variant>
      <vt:variant>
        <vt:i4>890</vt:i4>
      </vt:variant>
      <vt:variant>
        <vt:i4>0</vt:i4>
      </vt:variant>
      <vt:variant>
        <vt:i4>5</vt:i4>
      </vt:variant>
      <vt:variant>
        <vt:lpwstr/>
      </vt:variant>
      <vt:variant>
        <vt:lpwstr>_Toc510071131</vt:lpwstr>
      </vt:variant>
      <vt:variant>
        <vt:i4>1310771</vt:i4>
      </vt:variant>
      <vt:variant>
        <vt:i4>884</vt:i4>
      </vt:variant>
      <vt:variant>
        <vt:i4>0</vt:i4>
      </vt:variant>
      <vt:variant>
        <vt:i4>5</vt:i4>
      </vt:variant>
      <vt:variant>
        <vt:lpwstr/>
      </vt:variant>
      <vt:variant>
        <vt:lpwstr>_Toc510071130</vt:lpwstr>
      </vt:variant>
      <vt:variant>
        <vt:i4>1376307</vt:i4>
      </vt:variant>
      <vt:variant>
        <vt:i4>878</vt:i4>
      </vt:variant>
      <vt:variant>
        <vt:i4>0</vt:i4>
      </vt:variant>
      <vt:variant>
        <vt:i4>5</vt:i4>
      </vt:variant>
      <vt:variant>
        <vt:lpwstr/>
      </vt:variant>
      <vt:variant>
        <vt:lpwstr>_Toc510071129</vt:lpwstr>
      </vt:variant>
      <vt:variant>
        <vt:i4>1376307</vt:i4>
      </vt:variant>
      <vt:variant>
        <vt:i4>872</vt:i4>
      </vt:variant>
      <vt:variant>
        <vt:i4>0</vt:i4>
      </vt:variant>
      <vt:variant>
        <vt:i4>5</vt:i4>
      </vt:variant>
      <vt:variant>
        <vt:lpwstr/>
      </vt:variant>
      <vt:variant>
        <vt:lpwstr>_Toc510071128</vt:lpwstr>
      </vt:variant>
      <vt:variant>
        <vt:i4>1376307</vt:i4>
      </vt:variant>
      <vt:variant>
        <vt:i4>866</vt:i4>
      </vt:variant>
      <vt:variant>
        <vt:i4>0</vt:i4>
      </vt:variant>
      <vt:variant>
        <vt:i4>5</vt:i4>
      </vt:variant>
      <vt:variant>
        <vt:lpwstr/>
      </vt:variant>
      <vt:variant>
        <vt:lpwstr>_Toc510071127</vt:lpwstr>
      </vt:variant>
      <vt:variant>
        <vt:i4>1376307</vt:i4>
      </vt:variant>
      <vt:variant>
        <vt:i4>860</vt:i4>
      </vt:variant>
      <vt:variant>
        <vt:i4>0</vt:i4>
      </vt:variant>
      <vt:variant>
        <vt:i4>5</vt:i4>
      </vt:variant>
      <vt:variant>
        <vt:lpwstr/>
      </vt:variant>
      <vt:variant>
        <vt:lpwstr>_Toc510071126</vt:lpwstr>
      </vt:variant>
      <vt:variant>
        <vt:i4>1376307</vt:i4>
      </vt:variant>
      <vt:variant>
        <vt:i4>854</vt:i4>
      </vt:variant>
      <vt:variant>
        <vt:i4>0</vt:i4>
      </vt:variant>
      <vt:variant>
        <vt:i4>5</vt:i4>
      </vt:variant>
      <vt:variant>
        <vt:lpwstr/>
      </vt:variant>
      <vt:variant>
        <vt:lpwstr>_Toc510071125</vt:lpwstr>
      </vt:variant>
      <vt:variant>
        <vt:i4>1376307</vt:i4>
      </vt:variant>
      <vt:variant>
        <vt:i4>848</vt:i4>
      </vt:variant>
      <vt:variant>
        <vt:i4>0</vt:i4>
      </vt:variant>
      <vt:variant>
        <vt:i4>5</vt:i4>
      </vt:variant>
      <vt:variant>
        <vt:lpwstr/>
      </vt:variant>
      <vt:variant>
        <vt:lpwstr>_Toc510071124</vt:lpwstr>
      </vt:variant>
      <vt:variant>
        <vt:i4>1376307</vt:i4>
      </vt:variant>
      <vt:variant>
        <vt:i4>842</vt:i4>
      </vt:variant>
      <vt:variant>
        <vt:i4>0</vt:i4>
      </vt:variant>
      <vt:variant>
        <vt:i4>5</vt:i4>
      </vt:variant>
      <vt:variant>
        <vt:lpwstr/>
      </vt:variant>
      <vt:variant>
        <vt:lpwstr>_Toc510071123</vt:lpwstr>
      </vt:variant>
      <vt:variant>
        <vt:i4>1376307</vt:i4>
      </vt:variant>
      <vt:variant>
        <vt:i4>836</vt:i4>
      </vt:variant>
      <vt:variant>
        <vt:i4>0</vt:i4>
      </vt:variant>
      <vt:variant>
        <vt:i4>5</vt:i4>
      </vt:variant>
      <vt:variant>
        <vt:lpwstr/>
      </vt:variant>
      <vt:variant>
        <vt:lpwstr>_Toc510071122</vt:lpwstr>
      </vt:variant>
      <vt:variant>
        <vt:i4>1376307</vt:i4>
      </vt:variant>
      <vt:variant>
        <vt:i4>830</vt:i4>
      </vt:variant>
      <vt:variant>
        <vt:i4>0</vt:i4>
      </vt:variant>
      <vt:variant>
        <vt:i4>5</vt:i4>
      </vt:variant>
      <vt:variant>
        <vt:lpwstr/>
      </vt:variant>
      <vt:variant>
        <vt:lpwstr>_Toc510071121</vt:lpwstr>
      </vt:variant>
      <vt:variant>
        <vt:i4>1376307</vt:i4>
      </vt:variant>
      <vt:variant>
        <vt:i4>824</vt:i4>
      </vt:variant>
      <vt:variant>
        <vt:i4>0</vt:i4>
      </vt:variant>
      <vt:variant>
        <vt:i4>5</vt:i4>
      </vt:variant>
      <vt:variant>
        <vt:lpwstr/>
      </vt:variant>
      <vt:variant>
        <vt:lpwstr>_Toc510071120</vt:lpwstr>
      </vt:variant>
      <vt:variant>
        <vt:i4>1441843</vt:i4>
      </vt:variant>
      <vt:variant>
        <vt:i4>818</vt:i4>
      </vt:variant>
      <vt:variant>
        <vt:i4>0</vt:i4>
      </vt:variant>
      <vt:variant>
        <vt:i4>5</vt:i4>
      </vt:variant>
      <vt:variant>
        <vt:lpwstr/>
      </vt:variant>
      <vt:variant>
        <vt:lpwstr>_Toc510071119</vt:lpwstr>
      </vt:variant>
      <vt:variant>
        <vt:i4>1441843</vt:i4>
      </vt:variant>
      <vt:variant>
        <vt:i4>812</vt:i4>
      </vt:variant>
      <vt:variant>
        <vt:i4>0</vt:i4>
      </vt:variant>
      <vt:variant>
        <vt:i4>5</vt:i4>
      </vt:variant>
      <vt:variant>
        <vt:lpwstr/>
      </vt:variant>
      <vt:variant>
        <vt:lpwstr>_Toc510071118</vt:lpwstr>
      </vt:variant>
      <vt:variant>
        <vt:i4>1441843</vt:i4>
      </vt:variant>
      <vt:variant>
        <vt:i4>806</vt:i4>
      </vt:variant>
      <vt:variant>
        <vt:i4>0</vt:i4>
      </vt:variant>
      <vt:variant>
        <vt:i4>5</vt:i4>
      </vt:variant>
      <vt:variant>
        <vt:lpwstr/>
      </vt:variant>
      <vt:variant>
        <vt:lpwstr>_Toc510071117</vt:lpwstr>
      </vt:variant>
      <vt:variant>
        <vt:i4>1441843</vt:i4>
      </vt:variant>
      <vt:variant>
        <vt:i4>800</vt:i4>
      </vt:variant>
      <vt:variant>
        <vt:i4>0</vt:i4>
      </vt:variant>
      <vt:variant>
        <vt:i4>5</vt:i4>
      </vt:variant>
      <vt:variant>
        <vt:lpwstr/>
      </vt:variant>
      <vt:variant>
        <vt:lpwstr>_Toc510071116</vt:lpwstr>
      </vt:variant>
      <vt:variant>
        <vt:i4>1441843</vt:i4>
      </vt:variant>
      <vt:variant>
        <vt:i4>794</vt:i4>
      </vt:variant>
      <vt:variant>
        <vt:i4>0</vt:i4>
      </vt:variant>
      <vt:variant>
        <vt:i4>5</vt:i4>
      </vt:variant>
      <vt:variant>
        <vt:lpwstr/>
      </vt:variant>
      <vt:variant>
        <vt:lpwstr>_Toc510071115</vt:lpwstr>
      </vt:variant>
      <vt:variant>
        <vt:i4>1441843</vt:i4>
      </vt:variant>
      <vt:variant>
        <vt:i4>788</vt:i4>
      </vt:variant>
      <vt:variant>
        <vt:i4>0</vt:i4>
      </vt:variant>
      <vt:variant>
        <vt:i4>5</vt:i4>
      </vt:variant>
      <vt:variant>
        <vt:lpwstr/>
      </vt:variant>
      <vt:variant>
        <vt:lpwstr>_Toc510071114</vt:lpwstr>
      </vt:variant>
      <vt:variant>
        <vt:i4>1441843</vt:i4>
      </vt:variant>
      <vt:variant>
        <vt:i4>782</vt:i4>
      </vt:variant>
      <vt:variant>
        <vt:i4>0</vt:i4>
      </vt:variant>
      <vt:variant>
        <vt:i4>5</vt:i4>
      </vt:variant>
      <vt:variant>
        <vt:lpwstr/>
      </vt:variant>
      <vt:variant>
        <vt:lpwstr>_Toc510071113</vt:lpwstr>
      </vt:variant>
      <vt:variant>
        <vt:i4>1441843</vt:i4>
      </vt:variant>
      <vt:variant>
        <vt:i4>776</vt:i4>
      </vt:variant>
      <vt:variant>
        <vt:i4>0</vt:i4>
      </vt:variant>
      <vt:variant>
        <vt:i4>5</vt:i4>
      </vt:variant>
      <vt:variant>
        <vt:lpwstr/>
      </vt:variant>
      <vt:variant>
        <vt:lpwstr>_Toc510071112</vt:lpwstr>
      </vt:variant>
      <vt:variant>
        <vt:i4>1441843</vt:i4>
      </vt:variant>
      <vt:variant>
        <vt:i4>770</vt:i4>
      </vt:variant>
      <vt:variant>
        <vt:i4>0</vt:i4>
      </vt:variant>
      <vt:variant>
        <vt:i4>5</vt:i4>
      </vt:variant>
      <vt:variant>
        <vt:lpwstr/>
      </vt:variant>
      <vt:variant>
        <vt:lpwstr>_Toc510071111</vt:lpwstr>
      </vt:variant>
      <vt:variant>
        <vt:i4>1441843</vt:i4>
      </vt:variant>
      <vt:variant>
        <vt:i4>764</vt:i4>
      </vt:variant>
      <vt:variant>
        <vt:i4>0</vt:i4>
      </vt:variant>
      <vt:variant>
        <vt:i4>5</vt:i4>
      </vt:variant>
      <vt:variant>
        <vt:lpwstr/>
      </vt:variant>
      <vt:variant>
        <vt:lpwstr>_Toc510071110</vt:lpwstr>
      </vt:variant>
      <vt:variant>
        <vt:i4>1507379</vt:i4>
      </vt:variant>
      <vt:variant>
        <vt:i4>758</vt:i4>
      </vt:variant>
      <vt:variant>
        <vt:i4>0</vt:i4>
      </vt:variant>
      <vt:variant>
        <vt:i4>5</vt:i4>
      </vt:variant>
      <vt:variant>
        <vt:lpwstr/>
      </vt:variant>
      <vt:variant>
        <vt:lpwstr>_Toc510071109</vt:lpwstr>
      </vt:variant>
      <vt:variant>
        <vt:i4>1507379</vt:i4>
      </vt:variant>
      <vt:variant>
        <vt:i4>752</vt:i4>
      </vt:variant>
      <vt:variant>
        <vt:i4>0</vt:i4>
      </vt:variant>
      <vt:variant>
        <vt:i4>5</vt:i4>
      </vt:variant>
      <vt:variant>
        <vt:lpwstr/>
      </vt:variant>
      <vt:variant>
        <vt:lpwstr>_Toc510071108</vt:lpwstr>
      </vt:variant>
      <vt:variant>
        <vt:i4>1507379</vt:i4>
      </vt:variant>
      <vt:variant>
        <vt:i4>746</vt:i4>
      </vt:variant>
      <vt:variant>
        <vt:i4>0</vt:i4>
      </vt:variant>
      <vt:variant>
        <vt:i4>5</vt:i4>
      </vt:variant>
      <vt:variant>
        <vt:lpwstr/>
      </vt:variant>
      <vt:variant>
        <vt:lpwstr>_Toc510071107</vt:lpwstr>
      </vt:variant>
      <vt:variant>
        <vt:i4>1507379</vt:i4>
      </vt:variant>
      <vt:variant>
        <vt:i4>740</vt:i4>
      </vt:variant>
      <vt:variant>
        <vt:i4>0</vt:i4>
      </vt:variant>
      <vt:variant>
        <vt:i4>5</vt:i4>
      </vt:variant>
      <vt:variant>
        <vt:lpwstr/>
      </vt:variant>
      <vt:variant>
        <vt:lpwstr>_Toc510071106</vt:lpwstr>
      </vt:variant>
      <vt:variant>
        <vt:i4>1507379</vt:i4>
      </vt:variant>
      <vt:variant>
        <vt:i4>734</vt:i4>
      </vt:variant>
      <vt:variant>
        <vt:i4>0</vt:i4>
      </vt:variant>
      <vt:variant>
        <vt:i4>5</vt:i4>
      </vt:variant>
      <vt:variant>
        <vt:lpwstr/>
      </vt:variant>
      <vt:variant>
        <vt:lpwstr>_Toc510071105</vt:lpwstr>
      </vt:variant>
      <vt:variant>
        <vt:i4>1507379</vt:i4>
      </vt:variant>
      <vt:variant>
        <vt:i4>728</vt:i4>
      </vt:variant>
      <vt:variant>
        <vt:i4>0</vt:i4>
      </vt:variant>
      <vt:variant>
        <vt:i4>5</vt:i4>
      </vt:variant>
      <vt:variant>
        <vt:lpwstr/>
      </vt:variant>
      <vt:variant>
        <vt:lpwstr>_Toc510071104</vt:lpwstr>
      </vt:variant>
      <vt:variant>
        <vt:i4>1507379</vt:i4>
      </vt:variant>
      <vt:variant>
        <vt:i4>722</vt:i4>
      </vt:variant>
      <vt:variant>
        <vt:i4>0</vt:i4>
      </vt:variant>
      <vt:variant>
        <vt:i4>5</vt:i4>
      </vt:variant>
      <vt:variant>
        <vt:lpwstr/>
      </vt:variant>
      <vt:variant>
        <vt:lpwstr>_Toc510071103</vt:lpwstr>
      </vt:variant>
      <vt:variant>
        <vt:i4>1507379</vt:i4>
      </vt:variant>
      <vt:variant>
        <vt:i4>716</vt:i4>
      </vt:variant>
      <vt:variant>
        <vt:i4>0</vt:i4>
      </vt:variant>
      <vt:variant>
        <vt:i4>5</vt:i4>
      </vt:variant>
      <vt:variant>
        <vt:lpwstr/>
      </vt:variant>
      <vt:variant>
        <vt:lpwstr>_Toc510071102</vt:lpwstr>
      </vt:variant>
      <vt:variant>
        <vt:i4>1507379</vt:i4>
      </vt:variant>
      <vt:variant>
        <vt:i4>710</vt:i4>
      </vt:variant>
      <vt:variant>
        <vt:i4>0</vt:i4>
      </vt:variant>
      <vt:variant>
        <vt:i4>5</vt:i4>
      </vt:variant>
      <vt:variant>
        <vt:lpwstr/>
      </vt:variant>
      <vt:variant>
        <vt:lpwstr>_Toc510071101</vt:lpwstr>
      </vt:variant>
      <vt:variant>
        <vt:i4>1507379</vt:i4>
      </vt:variant>
      <vt:variant>
        <vt:i4>704</vt:i4>
      </vt:variant>
      <vt:variant>
        <vt:i4>0</vt:i4>
      </vt:variant>
      <vt:variant>
        <vt:i4>5</vt:i4>
      </vt:variant>
      <vt:variant>
        <vt:lpwstr/>
      </vt:variant>
      <vt:variant>
        <vt:lpwstr>_Toc510071100</vt:lpwstr>
      </vt:variant>
      <vt:variant>
        <vt:i4>1966130</vt:i4>
      </vt:variant>
      <vt:variant>
        <vt:i4>698</vt:i4>
      </vt:variant>
      <vt:variant>
        <vt:i4>0</vt:i4>
      </vt:variant>
      <vt:variant>
        <vt:i4>5</vt:i4>
      </vt:variant>
      <vt:variant>
        <vt:lpwstr/>
      </vt:variant>
      <vt:variant>
        <vt:lpwstr>_Toc510071099</vt:lpwstr>
      </vt:variant>
      <vt:variant>
        <vt:i4>1966130</vt:i4>
      </vt:variant>
      <vt:variant>
        <vt:i4>692</vt:i4>
      </vt:variant>
      <vt:variant>
        <vt:i4>0</vt:i4>
      </vt:variant>
      <vt:variant>
        <vt:i4>5</vt:i4>
      </vt:variant>
      <vt:variant>
        <vt:lpwstr/>
      </vt:variant>
      <vt:variant>
        <vt:lpwstr>_Toc510071098</vt:lpwstr>
      </vt:variant>
      <vt:variant>
        <vt:i4>1966130</vt:i4>
      </vt:variant>
      <vt:variant>
        <vt:i4>686</vt:i4>
      </vt:variant>
      <vt:variant>
        <vt:i4>0</vt:i4>
      </vt:variant>
      <vt:variant>
        <vt:i4>5</vt:i4>
      </vt:variant>
      <vt:variant>
        <vt:lpwstr/>
      </vt:variant>
      <vt:variant>
        <vt:lpwstr>_Toc510071097</vt:lpwstr>
      </vt:variant>
      <vt:variant>
        <vt:i4>1966130</vt:i4>
      </vt:variant>
      <vt:variant>
        <vt:i4>680</vt:i4>
      </vt:variant>
      <vt:variant>
        <vt:i4>0</vt:i4>
      </vt:variant>
      <vt:variant>
        <vt:i4>5</vt:i4>
      </vt:variant>
      <vt:variant>
        <vt:lpwstr/>
      </vt:variant>
      <vt:variant>
        <vt:lpwstr>_Toc510071096</vt:lpwstr>
      </vt:variant>
      <vt:variant>
        <vt:i4>1966130</vt:i4>
      </vt:variant>
      <vt:variant>
        <vt:i4>674</vt:i4>
      </vt:variant>
      <vt:variant>
        <vt:i4>0</vt:i4>
      </vt:variant>
      <vt:variant>
        <vt:i4>5</vt:i4>
      </vt:variant>
      <vt:variant>
        <vt:lpwstr/>
      </vt:variant>
      <vt:variant>
        <vt:lpwstr>_Toc510071095</vt:lpwstr>
      </vt:variant>
      <vt:variant>
        <vt:i4>1966130</vt:i4>
      </vt:variant>
      <vt:variant>
        <vt:i4>668</vt:i4>
      </vt:variant>
      <vt:variant>
        <vt:i4>0</vt:i4>
      </vt:variant>
      <vt:variant>
        <vt:i4>5</vt:i4>
      </vt:variant>
      <vt:variant>
        <vt:lpwstr/>
      </vt:variant>
      <vt:variant>
        <vt:lpwstr>_Toc510071094</vt:lpwstr>
      </vt:variant>
      <vt:variant>
        <vt:i4>1966130</vt:i4>
      </vt:variant>
      <vt:variant>
        <vt:i4>662</vt:i4>
      </vt:variant>
      <vt:variant>
        <vt:i4>0</vt:i4>
      </vt:variant>
      <vt:variant>
        <vt:i4>5</vt:i4>
      </vt:variant>
      <vt:variant>
        <vt:lpwstr/>
      </vt:variant>
      <vt:variant>
        <vt:lpwstr>_Toc510071093</vt:lpwstr>
      </vt:variant>
      <vt:variant>
        <vt:i4>1966130</vt:i4>
      </vt:variant>
      <vt:variant>
        <vt:i4>656</vt:i4>
      </vt:variant>
      <vt:variant>
        <vt:i4>0</vt:i4>
      </vt:variant>
      <vt:variant>
        <vt:i4>5</vt:i4>
      </vt:variant>
      <vt:variant>
        <vt:lpwstr/>
      </vt:variant>
      <vt:variant>
        <vt:lpwstr>_Toc510071092</vt:lpwstr>
      </vt:variant>
      <vt:variant>
        <vt:i4>1966130</vt:i4>
      </vt:variant>
      <vt:variant>
        <vt:i4>650</vt:i4>
      </vt:variant>
      <vt:variant>
        <vt:i4>0</vt:i4>
      </vt:variant>
      <vt:variant>
        <vt:i4>5</vt:i4>
      </vt:variant>
      <vt:variant>
        <vt:lpwstr/>
      </vt:variant>
      <vt:variant>
        <vt:lpwstr>_Toc510071091</vt:lpwstr>
      </vt:variant>
      <vt:variant>
        <vt:i4>1966130</vt:i4>
      </vt:variant>
      <vt:variant>
        <vt:i4>644</vt:i4>
      </vt:variant>
      <vt:variant>
        <vt:i4>0</vt:i4>
      </vt:variant>
      <vt:variant>
        <vt:i4>5</vt:i4>
      </vt:variant>
      <vt:variant>
        <vt:lpwstr/>
      </vt:variant>
      <vt:variant>
        <vt:lpwstr>_Toc510071090</vt:lpwstr>
      </vt:variant>
      <vt:variant>
        <vt:i4>2031666</vt:i4>
      </vt:variant>
      <vt:variant>
        <vt:i4>638</vt:i4>
      </vt:variant>
      <vt:variant>
        <vt:i4>0</vt:i4>
      </vt:variant>
      <vt:variant>
        <vt:i4>5</vt:i4>
      </vt:variant>
      <vt:variant>
        <vt:lpwstr/>
      </vt:variant>
      <vt:variant>
        <vt:lpwstr>_Toc510071089</vt:lpwstr>
      </vt:variant>
      <vt:variant>
        <vt:i4>2031666</vt:i4>
      </vt:variant>
      <vt:variant>
        <vt:i4>632</vt:i4>
      </vt:variant>
      <vt:variant>
        <vt:i4>0</vt:i4>
      </vt:variant>
      <vt:variant>
        <vt:i4>5</vt:i4>
      </vt:variant>
      <vt:variant>
        <vt:lpwstr/>
      </vt:variant>
      <vt:variant>
        <vt:lpwstr>_Toc510071088</vt:lpwstr>
      </vt:variant>
      <vt:variant>
        <vt:i4>2031666</vt:i4>
      </vt:variant>
      <vt:variant>
        <vt:i4>626</vt:i4>
      </vt:variant>
      <vt:variant>
        <vt:i4>0</vt:i4>
      </vt:variant>
      <vt:variant>
        <vt:i4>5</vt:i4>
      </vt:variant>
      <vt:variant>
        <vt:lpwstr/>
      </vt:variant>
      <vt:variant>
        <vt:lpwstr>_Toc510071087</vt:lpwstr>
      </vt:variant>
      <vt:variant>
        <vt:i4>2031666</vt:i4>
      </vt:variant>
      <vt:variant>
        <vt:i4>620</vt:i4>
      </vt:variant>
      <vt:variant>
        <vt:i4>0</vt:i4>
      </vt:variant>
      <vt:variant>
        <vt:i4>5</vt:i4>
      </vt:variant>
      <vt:variant>
        <vt:lpwstr/>
      </vt:variant>
      <vt:variant>
        <vt:lpwstr>_Toc510071086</vt:lpwstr>
      </vt:variant>
      <vt:variant>
        <vt:i4>2031666</vt:i4>
      </vt:variant>
      <vt:variant>
        <vt:i4>614</vt:i4>
      </vt:variant>
      <vt:variant>
        <vt:i4>0</vt:i4>
      </vt:variant>
      <vt:variant>
        <vt:i4>5</vt:i4>
      </vt:variant>
      <vt:variant>
        <vt:lpwstr/>
      </vt:variant>
      <vt:variant>
        <vt:lpwstr>_Toc510071085</vt:lpwstr>
      </vt:variant>
      <vt:variant>
        <vt:i4>2031666</vt:i4>
      </vt:variant>
      <vt:variant>
        <vt:i4>608</vt:i4>
      </vt:variant>
      <vt:variant>
        <vt:i4>0</vt:i4>
      </vt:variant>
      <vt:variant>
        <vt:i4>5</vt:i4>
      </vt:variant>
      <vt:variant>
        <vt:lpwstr/>
      </vt:variant>
      <vt:variant>
        <vt:lpwstr>_Toc510071084</vt:lpwstr>
      </vt:variant>
      <vt:variant>
        <vt:i4>2031666</vt:i4>
      </vt:variant>
      <vt:variant>
        <vt:i4>602</vt:i4>
      </vt:variant>
      <vt:variant>
        <vt:i4>0</vt:i4>
      </vt:variant>
      <vt:variant>
        <vt:i4>5</vt:i4>
      </vt:variant>
      <vt:variant>
        <vt:lpwstr/>
      </vt:variant>
      <vt:variant>
        <vt:lpwstr>_Toc510071083</vt:lpwstr>
      </vt:variant>
      <vt:variant>
        <vt:i4>2031666</vt:i4>
      </vt:variant>
      <vt:variant>
        <vt:i4>596</vt:i4>
      </vt:variant>
      <vt:variant>
        <vt:i4>0</vt:i4>
      </vt:variant>
      <vt:variant>
        <vt:i4>5</vt:i4>
      </vt:variant>
      <vt:variant>
        <vt:lpwstr/>
      </vt:variant>
      <vt:variant>
        <vt:lpwstr>_Toc510071082</vt:lpwstr>
      </vt:variant>
      <vt:variant>
        <vt:i4>2031666</vt:i4>
      </vt:variant>
      <vt:variant>
        <vt:i4>590</vt:i4>
      </vt:variant>
      <vt:variant>
        <vt:i4>0</vt:i4>
      </vt:variant>
      <vt:variant>
        <vt:i4>5</vt:i4>
      </vt:variant>
      <vt:variant>
        <vt:lpwstr/>
      </vt:variant>
      <vt:variant>
        <vt:lpwstr>_Toc510071081</vt:lpwstr>
      </vt:variant>
      <vt:variant>
        <vt:i4>2031666</vt:i4>
      </vt:variant>
      <vt:variant>
        <vt:i4>584</vt:i4>
      </vt:variant>
      <vt:variant>
        <vt:i4>0</vt:i4>
      </vt:variant>
      <vt:variant>
        <vt:i4>5</vt:i4>
      </vt:variant>
      <vt:variant>
        <vt:lpwstr/>
      </vt:variant>
      <vt:variant>
        <vt:lpwstr>_Toc510071080</vt:lpwstr>
      </vt:variant>
      <vt:variant>
        <vt:i4>1048626</vt:i4>
      </vt:variant>
      <vt:variant>
        <vt:i4>578</vt:i4>
      </vt:variant>
      <vt:variant>
        <vt:i4>0</vt:i4>
      </vt:variant>
      <vt:variant>
        <vt:i4>5</vt:i4>
      </vt:variant>
      <vt:variant>
        <vt:lpwstr/>
      </vt:variant>
      <vt:variant>
        <vt:lpwstr>_Toc510071079</vt:lpwstr>
      </vt:variant>
      <vt:variant>
        <vt:i4>1048626</vt:i4>
      </vt:variant>
      <vt:variant>
        <vt:i4>572</vt:i4>
      </vt:variant>
      <vt:variant>
        <vt:i4>0</vt:i4>
      </vt:variant>
      <vt:variant>
        <vt:i4>5</vt:i4>
      </vt:variant>
      <vt:variant>
        <vt:lpwstr/>
      </vt:variant>
      <vt:variant>
        <vt:lpwstr>_Toc510071078</vt:lpwstr>
      </vt:variant>
      <vt:variant>
        <vt:i4>1048626</vt:i4>
      </vt:variant>
      <vt:variant>
        <vt:i4>566</vt:i4>
      </vt:variant>
      <vt:variant>
        <vt:i4>0</vt:i4>
      </vt:variant>
      <vt:variant>
        <vt:i4>5</vt:i4>
      </vt:variant>
      <vt:variant>
        <vt:lpwstr/>
      </vt:variant>
      <vt:variant>
        <vt:lpwstr>_Toc510071077</vt:lpwstr>
      </vt:variant>
      <vt:variant>
        <vt:i4>1048626</vt:i4>
      </vt:variant>
      <vt:variant>
        <vt:i4>560</vt:i4>
      </vt:variant>
      <vt:variant>
        <vt:i4>0</vt:i4>
      </vt:variant>
      <vt:variant>
        <vt:i4>5</vt:i4>
      </vt:variant>
      <vt:variant>
        <vt:lpwstr/>
      </vt:variant>
      <vt:variant>
        <vt:lpwstr>_Toc510071076</vt:lpwstr>
      </vt:variant>
      <vt:variant>
        <vt:i4>1048626</vt:i4>
      </vt:variant>
      <vt:variant>
        <vt:i4>554</vt:i4>
      </vt:variant>
      <vt:variant>
        <vt:i4>0</vt:i4>
      </vt:variant>
      <vt:variant>
        <vt:i4>5</vt:i4>
      </vt:variant>
      <vt:variant>
        <vt:lpwstr/>
      </vt:variant>
      <vt:variant>
        <vt:lpwstr>_Toc510071075</vt:lpwstr>
      </vt:variant>
      <vt:variant>
        <vt:i4>1048626</vt:i4>
      </vt:variant>
      <vt:variant>
        <vt:i4>548</vt:i4>
      </vt:variant>
      <vt:variant>
        <vt:i4>0</vt:i4>
      </vt:variant>
      <vt:variant>
        <vt:i4>5</vt:i4>
      </vt:variant>
      <vt:variant>
        <vt:lpwstr/>
      </vt:variant>
      <vt:variant>
        <vt:lpwstr>_Toc510071074</vt:lpwstr>
      </vt:variant>
      <vt:variant>
        <vt:i4>1048626</vt:i4>
      </vt:variant>
      <vt:variant>
        <vt:i4>542</vt:i4>
      </vt:variant>
      <vt:variant>
        <vt:i4>0</vt:i4>
      </vt:variant>
      <vt:variant>
        <vt:i4>5</vt:i4>
      </vt:variant>
      <vt:variant>
        <vt:lpwstr/>
      </vt:variant>
      <vt:variant>
        <vt:lpwstr>_Toc510071073</vt:lpwstr>
      </vt:variant>
      <vt:variant>
        <vt:i4>1048626</vt:i4>
      </vt:variant>
      <vt:variant>
        <vt:i4>536</vt:i4>
      </vt:variant>
      <vt:variant>
        <vt:i4>0</vt:i4>
      </vt:variant>
      <vt:variant>
        <vt:i4>5</vt:i4>
      </vt:variant>
      <vt:variant>
        <vt:lpwstr/>
      </vt:variant>
      <vt:variant>
        <vt:lpwstr>_Toc510071072</vt:lpwstr>
      </vt:variant>
      <vt:variant>
        <vt:i4>1048626</vt:i4>
      </vt:variant>
      <vt:variant>
        <vt:i4>530</vt:i4>
      </vt:variant>
      <vt:variant>
        <vt:i4>0</vt:i4>
      </vt:variant>
      <vt:variant>
        <vt:i4>5</vt:i4>
      </vt:variant>
      <vt:variant>
        <vt:lpwstr/>
      </vt:variant>
      <vt:variant>
        <vt:lpwstr>_Toc510071071</vt:lpwstr>
      </vt:variant>
      <vt:variant>
        <vt:i4>1048626</vt:i4>
      </vt:variant>
      <vt:variant>
        <vt:i4>524</vt:i4>
      </vt:variant>
      <vt:variant>
        <vt:i4>0</vt:i4>
      </vt:variant>
      <vt:variant>
        <vt:i4>5</vt:i4>
      </vt:variant>
      <vt:variant>
        <vt:lpwstr/>
      </vt:variant>
      <vt:variant>
        <vt:lpwstr>_Toc510071070</vt:lpwstr>
      </vt:variant>
      <vt:variant>
        <vt:i4>1114162</vt:i4>
      </vt:variant>
      <vt:variant>
        <vt:i4>518</vt:i4>
      </vt:variant>
      <vt:variant>
        <vt:i4>0</vt:i4>
      </vt:variant>
      <vt:variant>
        <vt:i4>5</vt:i4>
      </vt:variant>
      <vt:variant>
        <vt:lpwstr/>
      </vt:variant>
      <vt:variant>
        <vt:lpwstr>_Toc510071069</vt:lpwstr>
      </vt:variant>
      <vt:variant>
        <vt:i4>1114162</vt:i4>
      </vt:variant>
      <vt:variant>
        <vt:i4>512</vt:i4>
      </vt:variant>
      <vt:variant>
        <vt:i4>0</vt:i4>
      </vt:variant>
      <vt:variant>
        <vt:i4>5</vt:i4>
      </vt:variant>
      <vt:variant>
        <vt:lpwstr/>
      </vt:variant>
      <vt:variant>
        <vt:lpwstr>_Toc510071068</vt:lpwstr>
      </vt:variant>
      <vt:variant>
        <vt:i4>1114162</vt:i4>
      </vt:variant>
      <vt:variant>
        <vt:i4>506</vt:i4>
      </vt:variant>
      <vt:variant>
        <vt:i4>0</vt:i4>
      </vt:variant>
      <vt:variant>
        <vt:i4>5</vt:i4>
      </vt:variant>
      <vt:variant>
        <vt:lpwstr/>
      </vt:variant>
      <vt:variant>
        <vt:lpwstr>_Toc510071067</vt:lpwstr>
      </vt:variant>
      <vt:variant>
        <vt:i4>1114162</vt:i4>
      </vt:variant>
      <vt:variant>
        <vt:i4>500</vt:i4>
      </vt:variant>
      <vt:variant>
        <vt:i4>0</vt:i4>
      </vt:variant>
      <vt:variant>
        <vt:i4>5</vt:i4>
      </vt:variant>
      <vt:variant>
        <vt:lpwstr/>
      </vt:variant>
      <vt:variant>
        <vt:lpwstr>_Toc510071066</vt:lpwstr>
      </vt:variant>
      <vt:variant>
        <vt:i4>1114162</vt:i4>
      </vt:variant>
      <vt:variant>
        <vt:i4>494</vt:i4>
      </vt:variant>
      <vt:variant>
        <vt:i4>0</vt:i4>
      </vt:variant>
      <vt:variant>
        <vt:i4>5</vt:i4>
      </vt:variant>
      <vt:variant>
        <vt:lpwstr/>
      </vt:variant>
      <vt:variant>
        <vt:lpwstr>_Toc510071065</vt:lpwstr>
      </vt:variant>
      <vt:variant>
        <vt:i4>1114162</vt:i4>
      </vt:variant>
      <vt:variant>
        <vt:i4>488</vt:i4>
      </vt:variant>
      <vt:variant>
        <vt:i4>0</vt:i4>
      </vt:variant>
      <vt:variant>
        <vt:i4>5</vt:i4>
      </vt:variant>
      <vt:variant>
        <vt:lpwstr/>
      </vt:variant>
      <vt:variant>
        <vt:lpwstr>_Toc510071064</vt:lpwstr>
      </vt:variant>
      <vt:variant>
        <vt:i4>1114162</vt:i4>
      </vt:variant>
      <vt:variant>
        <vt:i4>482</vt:i4>
      </vt:variant>
      <vt:variant>
        <vt:i4>0</vt:i4>
      </vt:variant>
      <vt:variant>
        <vt:i4>5</vt:i4>
      </vt:variant>
      <vt:variant>
        <vt:lpwstr/>
      </vt:variant>
      <vt:variant>
        <vt:lpwstr>_Toc510071063</vt:lpwstr>
      </vt:variant>
      <vt:variant>
        <vt:i4>1114162</vt:i4>
      </vt:variant>
      <vt:variant>
        <vt:i4>476</vt:i4>
      </vt:variant>
      <vt:variant>
        <vt:i4>0</vt:i4>
      </vt:variant>
      <vt:variant>
        <vt:i4>5</vt:i4>
      </vt:variant>
      <vt:variant>
        <vt:lpwstr/>
      </vt:variant>
      <vt:variant>
        <vt:lpwstr>_Toc510071062</vt:lpwstr>
      </vt:variant>
      <vt:variant>
        <vt:i4>1114162</vt:i4>
      </vt:variant>
      <vt:variant>
        <vt:i4>470</vt:i4>
      </vt:variant>
      <vt:variant>
        <vt:i4>0</vt:i4>
      </vt:variant>
      <vt:variant>
        <vt:i4>5</vt:i4>
      </vt:variant>
      <vt:variant>
        <vt:lpwstr/>
      </vt:variant>
      <vt:variant>
        <vt:lpwstr>_Toc510071061</vt:lpwstr>
      </vt:variant>
      <vt:variant>
        <vt:i4>1114162</vt:i4>
      </vt:variant>
      <vt:variant>
        <vt:i4>464</vt:i4>
      </vt:variant>
      <vt:variant>
        <vt:i4>0</vt:i4>
      </vt:variant>
      <vt:variant>
        <vt:i4>5</vt:i4>
      </vt:variant>
      <vt:variant>
        <vt:lpwstr/>
      </vt:variant>
      <vt:variant>
        <vt:lpwstr>_Toc510071060</vt:lpwstr>
      </vt:variant>
      <vt:variant>
        <vt:i4>1179698</vt:i4>
      </vt:variant>
      <vt:variant>
        <vt:i4>458</vt:i4>
      </vt:variant>
      <vt:variant>
        <vt:i4>0</vt:i4>
      </vt:variant>
      <vt:variant>
        <vt:i4>5</vt:i4>
      </vt:variant>
      <vt:variant>
        <vt:lpwstr/>
      </vt:variant>
      <vt:variant>
        <vt:lpwstr>_Toc510071059</vt:lpwstr>
      </vt:variant>
      <vt:variant>
        <vt:i4>1179698</vt:i4>
      </vt:variant>
      <vt:variant>
        <vt:i4>452</vt:i4>
      </vt:variant>
      <vt:variant>
        <vt:i4>0</vt:i4>
      </vt:variant>
      <vt:variant>
        <vt:i4>5</vt:i4>
      </vt:variant>
      <vt:variant>
        <vt:lpwstr/>
      </vt:variant>
      <vt:variant>
        <vt:lpwstr>_Toc510071058</vt:lpwstr>
      </vt:variant>
      <vt:variant>
        <vt:i4>1179698</vt:i4>
      </vt:variant>
      <vt:variant>
        <vt:i4>446</vt:i4>
      </vt:variant>
      <vt:variant>
        <vt:i4>0</vt:i4>
      </vt:variant>
      <vt:variant>
        <vt:i4>5</vt:i4>
      </vt:variant>
      <vt:variant>
        <vt:lpwstr/>
      </vt:variant>
      <vt:variant>
        <vt:lpwstr>_Toc510071057</vt:lpwstr>
      </vt:variant>
      <vt:variant>
        <vt:i4>1179698</vt:i4>
      </vt:variant>
      <vt:variant>
        <vt:i4>440</vt:i4>
      </vt:variant>
      <vt:variant>
        <vt:i4>0</vt:i4>
      </vt:variant>
      <vt:variant>
        <vt:i4>5</vt:i4>
      </vt:variant>
      <vt:variant>
        <vt:lpwstr/>
      </vt:variant>
      <vt:variant>
        <vt:lpwstr>_Toc510071056</vt:lpwstr>
      </vt:variant>
      <vt:variant>
        <vt:i4>1179698</vt:i4>
      </vt:variant>
      <vt:variant>
        <vt:i4>434</vt:i4>
      </vt:variant>
      <vt:variant>
        <vt:i4>0</vt:i4>
      </vt:variant>
      <vt:variant>
        <vt:i4>5</vt:i4>
      </vt:variant>
      <vt:variant>
        <vt:lpwstr/>
      </vt:variant>
      <vt:variant>
        <vt:lpwstr>_Toc510071055</vt:lpwstr>
      </vt:variant>
      <vt:variant>
        <vt:i4>1179698</vt:i4>
      </vt:variant>
      <vt:variant>
        <vt:i4>428</vt:i4>
      </vt:variant>
      <vt:variant>
        <vt:i4>0</vt:i4>
      </vt:variant>
      <vt:variant>
        <vt:i4>5</vt:i4>
      </vt:variant>
      <vt:variant>
        <vt:lpwstr/>
      </vt:variant>
      <vt:variant>
        <vt:lpwstr>_Toc510071054</vt:lpwstr>
      </vt:variant>
      <vt:variant>
        <vt:i4>1179698</vt:i4>
      </vt:variant>
      <vt:variant>
        <vt:i4>422</vt:i4>
      </vt:variant>
      <vt:variant>
        <vt:i4>0</vt:i4>
      </vt:variant>
      <vt:variant>
        <vt:i4>5</vt:i4>
      </vt:variant>
      <vt:variant>
        <vt:lpwstr/>
      </vt:variant>
      <vt:variant>
        <vt:lpwstr>_Toc510071053</vt:lpwstr>
      </vt:variant>
      <vt:variant>
        <vt:i4>1179698</vt:i4>
      </vt:variant>
      <vt:variant>
        <vt:i4>416</vt:i4>
      </vt:variant>
      <vt:variant>
        <vt:i4>0</vt:i4>
      </vt:variant>
      <vt:variant>
        <vt:i4>5</vt:i4>
      </vt:variant>
      <vt:variant>
        <vt:lpwstr/>
      </vt:variant>
      <vt:variant>
        <vt:lpwstr>_Toc510071052</vt:lpwstr>
      </vt:variant>
      <vt:variant>
        <vt:i4>1179698</vt:i4>
      </vt:variant>
      <vt:variant>
        <vt:i4>410</vt:i4>
      </vt:variant>
      <vt:variant>
        <vt:i4>0</vt:i4>
      </vt:variant>
      <vt:variant>
        <vt:i4>5</vt:i4>
      </vt:variant>
      <vt:variant>
        <vt:lpwstr/>
      </vt:variant>
      <vt:variant>
        <vt:lpwstr>_Toc510071051</vt:lpwstr>
      </vt:variant>
      <vt:variant>
        <vt:i4>1179698</vt:i4>
      </vt:variant>
      <vt:variant>
        <vt:i4>404</vt:i4>
      </vt:variant>
      <vt:variant>
        <vt:i4>0</vt:i4>
      </vt:variant>
      <vt:variant>
        <vt:i4>5</vt:i4>
      </vt:variant>
      <vt:variant>
        <vt:lpwstr/>
      </vt:variant>
      <vt:variant>
        <vt:lpwstr>_Toc510071050</vt:lpwstr>
      </vt:variant>
      <vt:variant>
        <vt:i4>1245234</vt:i4>
      </vt:variant>
      <vt:variant>
        <vt:i4>398</vt:i4>
      </vt:variant>
      <vt:variant>
        <vt:i4>0</vt:i4>
      </vt:variant>
      <vt:variant>
        <vt:i4>5</vt:i4>
      </vt:variant>
      <vt:variant>
        <vt:lpwstr/>
      </vt:variant>
      <vt:variant>
        <vt:lpwstr>_Toc510071049</vt:lpwstr>
      </vt:variant>
      <vt:variant>
        <vt:i4>1245234</vt:i4>
      </vt:variant>
      <vt:variant>
        <vt:i4>392</vt:i4>
      </vt:variant>
      <vt:variant>
        <vt:i4>0</vt:i4>
      </vt:variant>
      <vt:variant>
        <vt:i4>5</vt:i4>
      </vt:variant>
      <vt:variant>
        <vt:lpwstr/>
      </vt:variant>
      <vt:variant>
        <vt:lpwstr>_Toc510071048</vt:lpwstr>
      </vt:variant>
      <vt:variant>
        <vt:i4>1245234</vt:i4>
      </vt:variant>
      <vt:variant>
        <vt:i4>386</vt:i4>
      </vt:variant>
      <vt:variant>
        <vt:i4>0</vt:i4>
      </vt:variant>
      <vt:variant>
        <vt:i4>5</vt:i4>
      </vt:variant>
      <vt:variant>
        <vt:lpwstr/>
      </vt:variant>
      <vt:variant>
        <vt:lpwstr>_Toc510071047</vt:lpwstr>
      </vt:variant>
      <vt:variant>
        <vt:i4>1245234</vt:i4>
      </vt:variant>
      <vt:variant>
        <vt:i4>380</vt:i4>
      </vt:variant>
      <vt:variant>
        <vt:i4>0</vt:i4>
      </vt:variant>
      <vt:variant>
        <vt:i4>5</vt:i4>
      </vt:variant>
      <vt:variant>
        <vt:lpwstr/>
      </vt:variant>
      <vt:variant>
        <vt:lpwstr>_Toc510071046</vt:lpwstr>
      </vt:variant>
      <vt:variant>
        <vt:i4>1245234</vt:i4>
      </vt:variant>
      <vt:variant>
        <vt:i4>374</vt:i4>
      </vt:variant>
      <vt:variant>
        <vt:i4>0</vt:i4>
      </vt:variant>
      <vt:variant>
        <vt:i4>5</vt:i4>
      </vt:variant>
      <vt:variant>
        <vt:lpwstr/>
      </vt:variant>
      <vt:variant>
        <vt:lpwstr>_Toc510071045</vt:lpwstr>
      </vt:variant>
      <vt:variant>
        <vt:i4>1245234</vt:i4>
      </vt:variant>
      <vt:variant>
        <vt:i4>368</vt:i4>
      </vt:variant>
      <vt:variant>
        <vt:i4>0</vt:i4>
      </vt:variant>
      <vt:variant>
        <vt:i4>5</vt:i4>
      </vt:variant>
      <vt:variant>
        <vt:lpwstr/>
      </vt:variant>
      <vt:variant>
        <vt:lpwstr>_Toc510071044</vt:lpwstr>
      </vt:variant>
      <vt:variant>
        <vt:i4>1245234</vt:i4>
      </vt:variant>
      <vt:variant>
        <vt:i4>362</vt:i4>
      </vt:variant>
      <vt:variant>
        <vt:i4>0</vt:i4>
      </vt:variant>
      <vt:variant>
        <vt:i4>5</vt:i4>
      </vt:variant>
      <vt:variant>
        <vt:lpwstr/>
      </vt:variant>
      <vt:variant>
        <vt:lpwstr>_Toc510071043</vt:lpwstr>
      </vt:variant>
      <vt:variant>
        <vt:i4>1245234</vt:i4>
      </vt:variant>
      <vt:variant>
        <vt:i4>356</vt:i4>
      </vt:variant>
      <vt:variant>
        <vt:i4>0</vt:i4>
      </vt:variant>
      <vt:variant>
        <vt:i4>5</vt:i4>
      </vt:variant>
      <vt:variant>
        <vt:lpwstr/>
      </vt:variant>
      <vt:variant>
        <vt:lpwstr>_Toc510071042</vt:lpwstr>
      </vt:variant>
      <vt:variant>
        <vt:i4>1245234</vt:i4>
      </vt:variant>
      <vt:variant>
        <vt:i4>350</vt:i4>
      </vt:variant>
      <vt:variant>
        <vt:i4>0</vt:i4>
      </vt:variant>
      <vt:variant>
        <vt:i4>5</vt:i4>
      </vt:variant>
      <vt:variant>
        <vt:lpwstr/>
      </vt:variant>
      <vt:variant>
        <vt:lpwstr>_Toc510071041</vt:lpwstr>
      </vt:variant>
      <vt:variant>
        <vt:i4>1245234</vt:i4>
      </vt:variant>
      <vt:variant>
        <vt:i4>344</vt:i4>
      </vt:variant>
      <vt:variant>
        <vt:i4>0</vt:i4>
      </vt:variant>
      <vt:variant>
        <vt:i4>5</vt:i4>
      </vt:variant>
      <vt:variant>
        <vt:lpwstr/>
      </vt:variant>
      <vt:variant>
        <vt:lpwstr>_Toc510071040</vt:lpwstr>
      </vt:variant>
      <vt:variant>
        <vt:i4>1310770</vt:i4>
      </vt:variant>
      <vt:variant>
        <vt:i4>338</vt:i4>
      </vt:variant>
      <vt:variant>
        <vt:i4>0</vt:i4>
      </vt:variant>
      <vt:variant>
        <vt:i4>5</vt:i4>
      </vt:variant>
      <vt:variant>
        <vt:lpwstr/>
      </vt:variant>
      <vt:variant>
        <vt:lpwstr>_Toc510071039</vt:lpwstr>
      </vt:variant>
      <vt:variant>
        <vt:i4>1310770</vt:i4>
      </vt:variant>
      <vt:variant>
        <vt:i4>332</vt:i4>
      </vt:variant>
      <vt:variant>
        <vt:i4>0</vt:i4>
      </vt:variant>
      <vt:variant>
        <vt:i4>5</vt:i4>
      </vt:variant>
      <vt:variant>
        <vt:lpwstr/>
      </vt:variant>
      <vt:variant>
        <vt:lpwstr>_Toc510071038</vt:lpwstr>
      </vt:variant>
      <vt:variant>
        <vt:i4>1310770</vt:i4>
      </vt:variant>
      <vt:variant>
        <vt:i4>326</vt:i4>
      </vt:variant>
      <vt:variant>
        <vt:i4>0</vt:i4>
      </vt:variant>
      <vt:variant>
        <vt:i4>5</vt:i4>
      </vt:variant>
      <vt:variant>
        <vt:lpwstr/>
      </vt:variant>
      <vt:variant>
        <vt:lpwstr>_Toc510071037</vt:lpwstr>
      </vt:variant>
      <vt:variant>
        <vt:i4>1310770</vt:i4>
      </vt:variant>
      <vt:variant>
        <vt:i4>320</vt:i4>
      </vt:variant>
      <vt:variant>
        <vt:i4>0</vt:i4>
      </vt:variant>
      <vt:variant>
        <vt:i4>5</vt:i4>
      </vt:variant>
      <vt:variant>
        <vt:lpwstr/>
      </vt:variant>
      <vt:variant>
        <vt:lpwstr>_Toc510071036</vt:lpwstr>
      </vt:variant>
      <vt:variant>
        <vt:i4>1310770</vt:i4>
      </vt:variant>
      <vt:variant>
        <vt:i4>314</vt:i4>
      </vt:variant>
      <vt:variant>
        <vt:i4>0</vt:i4>
      </vt:variant>
      <vt:variant>
        <vt:i4>5</vt:i4>
      </vt:variant>
      <vt:variant>
        <vt:lpwstr/>
      </vt:variant>
      <vt:variant>
        <vt:lpwstr>_Toc510071035</vt:lpwstr>
      </vt:variant>
      <vt:variant>
        <vt:i4>1310770</vt:i4>
      </vt:variant>
      <vt:variant>
        <vt:i4>308</vt:i4>
      </vt:variant>
      <vt:variant>
        <vt:i4>0</vt:i4>
      </vt:variant>
      <vt:variant>
        <vt:i4>5</vt:i4>
      </vt:variant>
      <vt:variant>
        <vt:lpwstr/>
      </vt:variant>
      <vt:variant>
        <vt:lpwstr>_Toc510071034</vt:lpwstr>
      </vt:variant>
      <vt:variant>
        <vt:i4>1310770</vt:i4>
      </vt:variant>
      <vt:variant>
        <vt:i4>302</vt:i4>
      </vt:variant>
      <vt:variant>
        <vt:i4>0</vt:i4>
      </vt:variant>
      <vt:variant>
        <vt:i4>5</vt:i4>
      </vt:variant>
      <vt:variant>
        <vt:lpwstr/>
      </vt:variant>
      <vt:variant>
        <vt:lpwstr>_Toc510071033</vt:lpwstr>
      </vt:variant>
      <vt:variant>
        <vt:i4>1310770</vt:i4>
      </vt:variant>
      <vt:variant>
        <vt:i4>296</vt:i4>
      </vt:variant>
      <vt:variant>
        <vt:i4>0</vt:i4>
      </vt:variant>
      <vt:variant>
        <vt:i4>5</vt:i4>
      </vt:variant>
      <vt:variant>
        <vt:lpwstr/>
      </vt:variant>
      <vt:variant>
        <vt:lpwstr>_Toc510071032</vt:lpwstr>
      </vt:variant>
      <vt:variant>
        <vt:i4>1310770</vt:i4>
      </vt:variant>
      <vt:variant>
        <vt:i4>290</vt:i4>
      </vt:variant>
      <vt:variant>
        <vt:i4>0</vt:i4>
      </vt:variant>
      <vt:variant>
        <vt:i4>5</vt:i4>
      </vt:variant>
      <vt:variant>
        <vt:lpwstr/>
      </vt:variant>
      <vt:variant>
        <vt:lpwstr>_Toc510071031</vt:lpwstr>
      </vt:variant>
      <vt:variant>
        <vt:i4>1310770</vt:i4>
      </vt:variant>
      <vt:variant>
        <vt:i4>284</vt:i4>
      </vt:variant>
      <vt:variant>
        <vt:i4>0</vt:i4>
      </vt:variant>
      <vt:variant>
        <vt:i4>5</vt:i4>
      </vt:variant>
      <vt:variant>
        <vt:lpwstr/>
      </vt:variant>
      <vt:variant>
        <vt:lpwstr>_Toc510071030</vt:lpwstr>
      </vt:variant>
      <vt:variant>
        <vt:i4>1376306</vt:i4>
      </vt:variant>
      <vt:variant>
        <vt:i4>278</vt:i4>
      </vt:variant>
      <vt:variant>
        <vt:i4>0</vt:i4>
      </vt:variant>
      <vt:variant>
        <vt:i4>5</vt:i4>
      </vt:variant>
      <vt:variant>
        <vt:lpwstr/>
      </vt:variant>
      <vt:variant>
        <vt:lpwstr>_Toc510071029</vt:lpwstr>
      </vt:variant>
      <vt:variant>
        <vt:i4>1376306</vt:i4>
      </vt:variant>
      <vt:variant>
        <vt:i4>272</vt:i4>
      </vt:variant>
      <vt:variant>
        <vt:i4>0</vt:i4>
      </vt:variant>
      <vt:variant>
        <vt:i4>5</vt:i4>
      </vt:variant>
      <vt:variant>
        <vt:lpwstr/>
      </vt:variant>
      <vt:variant>
        <vt:lpwstr>_Toc510071028</vt:lpwstr>
      </vt:variant>
      <vt:variant>
        <vt:i4>1376306</vt:i4>
      </vt:variant>
      <vt:variant>
        <vt:i4>266</vt:i4>
      </vt:variant>
      <vt:variant>
        <vt:i4>0</vt:i4>
      </vt:variant>
      <vt:variant>
        <vt:i4>5</vt:i4>
      </vt:variant>
      <vt:variant>
        <vt:lpwstr/>
      </vt:variant>
      <vt:variant>
        <vt:lpwstr>_Toc510071027</vt:lpwstr>
      </vt:variant>
      <vt:variant>
        <vt:i4>1376306</vt:i4>
      </vt:variant>
      <vt:variant>
        <vt:i4>260</vt:i4>
      </vt:variant>
      <vt:variant>
        <vt:i4>0</vt:i4>
      </vt:variant>
      <vt:variant>
        <vt:i4>5</vt:i4>
      </vt:variant>
      <vt:variant>
        <vt:lpwstr/>
      </vt:variant>
      <vt:variant>
        <vt:lpwstr>_Toc510071026</vt:lpwstr>
      </vt:variant>
      <vt:variant>
        <vt:i4>1376306</vt:i4>
      </vt:variant>
      <vt:variant>
        <vt:i4>254</vt:i4>
      </vt:variant>
      <vt:variant>
        <vt:i4>0</vt:i4>
      </vt:variant>
      <vt:variant>
        <vt:i4>5</vt:i4>
      </vt:variant>
      <vt:variant>
        <vt:lpwstr/>
      </vt:variant>
      <vt:variant>
        <vt:lpwstr>_Toc510071025</vt:lpwstr>
      </vt:variant>
      <vt:variant>
        <vt:i4>1376306</vt:i4>
      </vt:variant>
      <vt:variant>
        <vt:i4>248</vt:i4>
      </vt:variant>
      <vt:variant>
        <vt:i4>0</vt:i4>
      </vt:variant>
      <vt:variant>
        <vt:i4>5</vt:i4>
      </vt:variant>
      <vt:variant>
        <vt:lpwstr/>
      </vt:variant>
      <vt:variant>
        <vt:lpwstr>_Toc510071024</vt:lpwstr>
      </vt:variant>
      <vt:variant>
        <vt:i4>1376306</vt:i4>
      </vt:variant>
      <vt:variant>
        <vt:i4>242</vt:i4>
      </vt:variant>
      <vt:variant>
        <vt:i4>0</vt:i4>
      </vt:variant>
      <vt:variant>
        <vt:i4>5</vt:i4>
      </vt:variant>
      <vt:variant>
        <vt:lpwstr/>
      </vt:variant>
      <vt:variant>
        <vt:lpwstr>_Toc510071023</vt:lpwstr>
      </vt:variant>
      <vt:variant>
        <vt:i4>1376306</vt:i4>
      </vt:variant>
      <vt:variant>
        <vt:i4>236</vt:i4>
      </vt:variant>
      <vt:variant>
        <vt:i4>0</vt:i4>
      </vt:variant>
      <vt:variant>
        <vt:i4>5</vt:i4>
      </vt:variant>
      <vt:variant>
        <vt:lpwstr/>
      </vt:variant>
      <vt:variant>
        <vt:lpwstr>_Toc510071022</vt:lpwstr>
      </vt:variant>
      <vt:variant>
        <vt:i4>1376306</vt:i4>
      </vt:variant>
      <vt:variant>
        <vt:i4>230</vt:i4>
      </vt:variant>
      <vt:variant>
        <vt:i4>0</vt:i4>
      </vt:variant>
      <vt:variant>
        <vt:i4>5</vt:i4>
      </vt:variant>
      <vt:variant>
        <vt:lpwstr/>
      </vt:variant>
      <vt:variant>
        <vt:lpwstr>_Toc510071021</vt:lpwstr>
      </vt:variant>
      <vt:variant>
        <vt:i4>1376306</vt:i4>
      </vt:variant>
      <vt:variant>
        <vt:i4>224</vt:i4>
      </vt:variant>
      <vt:variant>
        <vt:i4>0</vt:i4>
      </vt:variant>
      <vt:variant>
        <vt:i4>5</vt:i4>
      </vt:variant>
      <vt:variant>
        <vt:lpwstr/>
      </vt:variant>
      <vt:variant>
        <vt:lpwstr>_Toc510071020</vt:lpwstr>
      </vt:variant>
      <vt:variant>
        <vt:i4>1441842</vt:i4>
      </vt:variant>
      <vt:variant>
        <vt:i4>218</vt:i4>
      </vt:variant>
      <vt:variant>
        <vt:i4>0</vt:i4>
      </vt:variant>
      <vt:variant>
        <vt:i4>5</vt:i4>
      </vt:variant>
      <vt:variant>
        <vt:lpwstr/>
      </vt:variant>
      <vt:variant>
        <vt:lpwstr>_Toc510071019</vt:lpwstr>
      </vt:variant>
      <vt:variant>
        <vt:i4>1441842</vt:i4>
      </vt:variant>
      <vt:variant>
        <vt:i4>212</vt:i4>
      </vt:variant>
      <vt:variant>
        <vt:i4>0</vt:i4>
      </vt:variant>
      <vt:variant>
        <vt:i4>5</vt:i4>
      </vt:variant>
      <vt:variant>
        <vt:lpwstr/>
      </vt:variant>
      <vt:variant>
        <vt:lpwstr>_Toc510071018</vt:lpwstr>
      </vt:variant>
      <vt:variant>
        <vt:i4>1441842</vt:i4>
      </vt:variant>
      <vt:variant>
        <vt:i4>206</vt:i4>
      </vt:variant>
      <vt:variant>
        <vt:i4>0</vt:i4>
      </vt:variant>
      <vt:variant>
        <vt:i4>5</vt:i4>
      </vt:variant>
      <vt:variant>
        <vt:lpwstr/>
      </vt:variant>
      <vt:variant>
        <vt:lpwstr>_Toc510071017</vt:lpwstr>
      </vt:variant>
      <vt:variant>
        <vt:i4>1441842</vt:i4>
      </vt:variant>
      <vt:variant>
        <vt:i4>200</vt:i4>
      </vt:variant>
      <vt:variant>
        <vt:i4>0</vt:i4>
      </vt:variant>
      <vt:variant>
        <vt:i4>5</vt:i4>
      </vt:variant>
      <vt:variant>
        <vt:lpwstr/>
      </vt:variant>
      <vt:variant>
        <vt:lpwstr>_Toc510071016</vt:lpwstr>
      </vt:variant>
      <vt:variant>
        <vt:i4>1441842</vt:i4>
      </vt:variant>
      <vt:variant>
        <vt:i4>194</vt:i4>
      </vt:variant>
      <vt:variant>
        <vt:i4>0</vt:i4>
      </vt:variant>
      <vt:variant>
        <vt:i4>5</vt:i4>
      </vt:variant>
      <vt:variant>
        <vt:lpwstr/>
      </vt:variant>
      <vt:variant>
        <vt:lpwstr>_Toc510071015</vt:lpwstr>
      </vt:variant>
      <vt:variant>
        <vt:i4>1441842</vt:i4>
      </vt:variant>
      <vt:variant>
        <vt:i4>188</vt:i4>
      </vt:variant>
      <vt:variant>
        <vt:i4>0</vt:i4>
      </vt:variant>
      <vt:variant>
        <vt:i4>5</vt:i4>
      </vt:variant>
      <vt:variant>
        <vt:lpwstr/>
      </vt:variant>
      <vt:variant>
        <vt:lpwstr>_Toc510071014</vt:lpwstr>
      </vt:variant>
      <vt:variant>
        <vt:i4>1441842</vt:i4>
      </vt:variant>
      <vt:variant>
        <vt:i4>182</vt:i4>
      </vt:variant>
      <vt:variant>
        <vt:i4>0</vt:i4>
      </vt:variant>
      <vt:variant>
        <vt:i4>5</vt:i4>
      </vt:variant>
      <vt:variant>
        <vt:lpwstr/>
      </vt:variant>
      <vt:variant>
        <vt:lpwstr>_Toc510071013</vt:lpwstr>
      </vt:variant>
      <vt:variant>
        <vt:i4>1441842</vt:i4>
      </vt:variant>
      <vt:variant>
        <vt:i4>176</vt:i4>
      </vt:variant>
      <vt:variant>
        <vt:i4>0</vt:i4>
      </vt:variant>
      <vt:variant>
        <vt:i4>5</vt:i4>
      </vt:variant>
      <vt:variant>
        <vt:lpwstr/>
      </vt:variant>
      <vt:variant>
        <vt:lpwstr>_Toc510071012</vt:lpwstr>
      </vt:variant>
      <vt:variant>
        <vt:i4>1441842</vt:i4>
      </vt:variant>
      <vt:variant>
        <vt:i4>170</vt:i4>
      </vt:variant>
      <vt:variant>
        <vt:i4>0</vt:i4>
      </vt:variant>
      <vt:variant>
        <vt:i4>5</vt:i4>
      </vt:variant>
      <vt:variant>
        <vt:lpwstr/>
      </vt:variant>
      <vt:variant>
        <vt:lpwstr>_Toc510071011</vt:lpwstr>
      </vt:variant>
      <vt:variant>
        <vt:i4>1441842</vt:i4>
      </vt:variant>
      <vt:variant>
        <vt:i4>164</vt:i4>
      </vt:variant>
      <vt:variant>
        <vt:i4>0</vt:i4>
      </vt:variant>
      <vt:variant>
        <vt:i4>5</vt:i4>
      </vt:variant>
      <vt:variant>
        <vt:lpwstr/>
      </vt:variant>
      <vt:variant>
        <vt:lpwstr>_Toc510071010</vt:lpwstr>
      </vt:variant>
      <vt:variant>
        <vt:i4>1507378</vt:i4>
      </vt:variant>
      <vt:variant>
        <vt:i4>158</vt:i4>
      </vt:variant>
      <vt:variant>
        <vt:i4>0</vt:i4>
      </vt:variant>
      <vt:variant>
        <vt:i4>5</vt:i4>
      </vt:variant>
      <vt:variant>
        <vt:lpwstr/>
      </vt:variant>
      <vt:variant>
        <vt:lpwstr>_Toc510071009</vt:lpwstr>
      </vt:variant>
      <vt:variant>
        <vt:i4>1507378</vt:i4>
      </vt:variant>
      <vt:variant>
        <vt:i4>152</vt:i4>
      </vt:variant>
      <vt:variant>
        <vt:i4>0</vt:i4>
      </vt:variant>
      <vt:variant>
        <vt:i4>5</vt:i4>
      </vt:variant>
      <vt:variant>
        <vt:lpwstr/>
      </vt:variant>
      <vt:variant>
        <vt:lpwstr>_Toc510071008</vt:lpwstr>
      </vt:variant>
      <vt:variant>
        <vt:i4>1507378</vt:i4>
      </vt:variant>
      <vt:variant>
        <vt:i4>146</vt:i4>
      </vt:variant>
      <vt:variant>
        <vt:i4>0</vt:i4>
      </vt:variant>
      <vt:variant>
        <vt:i4>5</vt:i4>
      </vt:variant>
      <vt:variant>
        <vt:lpwstr/>
      </vt:variant>
      <vt:variant>
        <vt:lpwstr>_Toc510071007</vt:lpwstr>
      </vt:variant>
      <vt:variant>
        <vt:i4>1507378</vt:i4>
      </vt:variant>
      <vt:variant>
        <vt:i4>140</vt:i4>
      </vt:variant>
      <vt:variant>
        <vt:i4>0</vt:i4>
      </vt:variant>
      <vt:variant>
        <vt:i4>5</vt:i4>
      </vt:variant>
      <vt:variant>
        <vt:lpwstr/>
      </vt:variant>
      <vt:variant>
        <vt:lpwstr>_Toc510071006</vt:lpwstr>
      </vt:variant>
      <vt:variant>
        <vt:i4>1507378</vt:i4>
      </vt:variant>
      <vt:variant>
        <vt:i4>134</vt:i4>
      </vt:variant>
      <vt:variant>
        <vt:i4>0</vt:i4>
      </vt:variant>
      <vt:variant>
        <vt:i4>5</vt:i4>
      </vt:variant>
      <vt:variant>
        <vt:lpwstr/>
      </vt:variant>
      <vt:variant>
        <vt:lpwstr>_Toc510071005</vt:lpwstr>
      </vt:variant>
      <vt:variant>
        <vt:i4>1507378</vt:i4>
      </vt:variant>
      <vt:variant>
        <vt:i4>128</vt:i4>
      </vt:variant>
      <vt:variant>
        <vt:i4>0</vt:i4>
      </vt:variant>
      <vt:variant>
        <vt:i4>5</vt:i4>
      </vt:variant>
      <vt:variant>
        <vt:lpwstr/>
      </vt:variant>
      <vt:variant>
        <vt:lpwstr>_Toc510071004</vt:lpwstr>
      </vt:variant>
      <vt:variant>
        <vt:i4>1507378</vt:i4>
      </vt:variant>
      <vt:variant>
        <vt:i4>122</vt:i4>
      </vt:variant>
      <vt:variant>
        <vt:i4>0</vt:i4>
      </vt:variant>
      <vt:variant>
        <vt:i4>5</vt:i4>
      </vt:variant>
      <vt:variant>
        <vt:lpwstr/>
      </vt:variant>
      <vt:variant>
        <vt:lpwstr>_Toc510071003</vt:lpwstr>
      </vt:variant>
      <vt:variant>
        <vt:i4>1507378</vt:i4>
      </vt:variant>
      <vt:variant>
        <vt:i4>116</vt:i4>
      </vt:variant>
      <vt:variant>
        <vt:i4>0</vt:i4>
      </vt:variant>
      <vt:variant>
        <vt:i4>5</vt:i4>
      </vt:variant>
      <vt:variant>
        <vt:lpwstr/>
      </vt:variant>
      <vt:variant>
        <vt:lpwstr>_Toc510071002</vt:lpwstr>
      </vt:variant>
      <vt:variant>
        <vt:i4>1507378</vt:i4>
      </vt:variant>
      <vt:variant>
        <vt:i4>110</vt:i4>
      </vt:variant>
      <vt:variant>
        <vt:i4>0</vt:i4>
      </vt:variant>
      <vt:variant>
        <vt:i4>5</vt:i4>
      </vt:variant>
      <vt:variant>
        <vt:lpwstr/>
      </vt:variant>
      <vt:variant>
        <vt:lpwstr>_Toc510071001</vt:lpwstr>
      </vt:variant>
      <vt:variant>
        <vt:i4>1507378</vt:i4>
      </vt:variant>
      <vt:variant>
        <vt:i4>104</vt:i4>
      </vt:variant>
      <vt:variant>
        <vt:i4>0</vt:i4>
      </vt:variant>
      <vt:variant>
        <vt:i4>5</vt:i4>
      </vt:variant>
      <vt:variant>
        <vt:lpwstr/>
      </vt:variant>
      <vt:variant>
        <vt:lpwstr>_Toc510071000</vt:lpwstr>
      </vt:variant>
      <vt:variant>
        <vt:i4>2031675</vt:i4>
      </vt:variant>
      <vt:variant>
        <vt:i4>98</vt:i4>
      </vt:variant>
      <vt:variant>
        <vt:i4>0</vt:i4>
      </vt:variant>
      <vt:variant>
        <vt:i4>5</vt:i4>
      </vt:variant>
      <vt:variant>
        <vt:lpwstr/>
      </vt:variant>
      <vt:variant>
        <vt:lpwstr>_Toc510070999</vt:lpwstr>
      </vt:variant>
      <vt:variant>
        <vt:i4>2031675</vt:i4>
      </vt:variant>
      <vt:variant>
        <vt:i4>92</vt:i4>
      </vt:variant>
      <vt:variant>
        <vt:i4>0</vt:i4>
      </vt:variant>
      <vt:variant>
        <vt:i4>5</vt:i4>
      </vt:variant>
      <vt:variant>
        <vt:lpwstr/>
      </vt:variant>
      <vt:variant>
        <vt:lpwstr>_Toc510070998</vt:lpwstr>
      </vt:variant>
      <vt:variant>
        <vt:i4>2031675</vt:i4>
      </vt:variant>
      <vt:variant>
        <vt:i4>86</vt:i4>
      </vt:variant>
      <vt:variant>
        <vt:i4>0</vt:i4>
      </vt:variant>
      <vt:variant>
        <vt:i4>5</vt:i4>
      </vt:variant>
      <vt:variant>
        <vt:lpwstr/>
      </vt:variant>
      <vt:variant>
        <vt:lpwstr>_Toc510070997</vt:lpwstr>
      </vt:variant>
      <vt:variant>
        <vt:i4>2031675</vt:i4>
      </vt:variant>
      <vt:variant>
        <vt:i4>80</vt:i4>
      </vt:variant>
      <vt:variant>
        <vt:i4>0</vt:i4>
      </vt:variant>
      <vt:variant>
        <vt:i4>5</vt:i4>
      </vt:variant>
      <vt:variant>
        <vt:lpwstr/>
      </vt:variant>
      <vt:variant>
        <vt:lpwstr>_Toc510070996</vt:lpwstr>
      </vt:variant>
      <vt:variant>
        <vt:i4>2031675</vt:i4>
      </vt:variant>
      <vt:variant>
        <vt:i4>74</vt:i4>
      </vt:variant>
      <vt:variant>
        <vt:i4>0</vt:i4>
      </vt:variant>
      <vt:variant>
        <vt:i4>5</vt:i4>
      </vt:variant>
      <vt:variant>
        <vt:lpwstr/>
      </vt:variant>
      <vt:variant>
        <vt:lpwstr>_Toc510070995</vt:lpwstr>
      </vt:variant>
      <vt:variant>
        <vt:i4>2031675</vt:i4>
      </vt:variant>
      <vt:variant>
        <vt:i4>68</vt:i4>
      </vt:variant>
      <vt:variant>
        <vt:i4>0</vt:i4>
      </vt:variant>
      <vt:variant>
        <vt:i4>5</vt:i4>
      </vt:variant>
      <vt:variant>
        <vt:lpwstr/>
      </vt:variant>
      <vt:variant>
        <vt:lpwstr>_Toc510070994</vt:lpwstr>
      </vt:variant>
      <vt:variant>
        <vt:i4>2031675</vt:i4>
      </vt:variant>
      <vt:variant>
        <vt:i4>62</vt:i4>
      </vt:variant>
      <vt:variant>
        <vt:i4>0</vt:i4>
      </vt:variant>
      <vt:variant>
        <vt:i4>5</vt:i4>
      </vt:variant>
      <vt:variant>
        <vt:lpwstr/>
      </vt:variant>
      <vt:variant>
        <vt:lpwstr>_Toc510070993</vt:lpwstr>
      </vt:variant>
      <vt:variant>
        <vt:i4>2031675</vt:i4>
      </vt:variant>
      <vt:variant>
        <vt:i4>56</vt:i4>
      </vt:variant>
      <vt:variant>
        <vt:i4>0</vt:i4>
      </vt:variant>
      <vt:variant>
        <vt:i4>5</vt:i4>
      </vt:variant>
      <vt:variant>
        <vt:lpwstr/>
      </vt:variant>
      <vt:variant>
        <vt:lpwstr>_Toc510070992</vt:lpwstr>
      </vt:variant>
      <vt:variant>
        <vt:i4>2031675</vt:i4>
      </vt:variant>
      <vt:variant>
        <vt:i4>50</vt:i4>
      </vt:variant>
      <vt:variant>
        <vt:i4>0</vt:i4>
      </vt:variant>
      <vt:variant>
        <vt:i4>5</vt:i4>
      </vt:variant>
      <vt:variant>
        <vt:lpwstr/>
      </vt:variant>
      <vt:variant>
        <vt:lpwstr>_Toc510070991</vt:lpwstr>
      </vt:variant>
      <vt:variant>
        <vt:i4>2031675</vt:i4>
      </vt:variant>
      <vt:variant>
        <vt:i4>44</vt:i4>
      </vt:variant>
      <vt:variant>
        <vt:i4>0</vt:i4>
      </vt:variant>
      <vt:variant>
        <vt:i4>5</vt:i4>
      </vt:variant>
      <vt:variant>
        <vt:lpwstr/>
      </vt:variant>
      <vt:variant>
        <vt:lpwstr>_Toc510070990</vt:lpwstr>
      </vt:variant>
      <vt:variant>
        <vt:i4>1966139</vt:i4>
      </vt:variant>
      <vt:variant>
        <vt:i4>38</vt:i4>
      </vt:variant>
      <vt:variant>
        <vt:i4>0</vt:i4>
      </vt:variant>
      <vt:variant>
        <vt:i4>5</vt:i4>
      </vt:variant>
      <vt:variant>
        <vt:lpwstr/>
      </vt:variant>
      <vt:variant>
        <vt:lpwstr>_Toc510070989</vt:lpwstr>
      </vt:variant>
      <vt:variant>
        <vt:i4>1966139</vt:i4>
      </vt:variant>
      <vt:variant>
        <vt:i4>32</vt:i4>
      </vt:variant>
      <vt:variant>
        <vt:i4>0</vt:i4>
      </vt:variant>
      <vt:variant>
        <vt:i4>5</vt:i4>
      </vt:variant>
      <vt:variant>
        <vt:lpwstr/>
      </vt:variant>
      <vt:variant>
        <vt:lpwstr>_Toc510070988</vt:lpwstr>
      </vt:variant>
      <vt:variant>
        <vt:i4>1966139</vt:i4>
      </vt:variant>
      <vt:variant>
        <vt:i4>26</vt:i4>
      </vt:variant>
      <vt:variant>
        <vt:i4>0</vt:i4>
      </vt:variant>
      <vt:variant>
        <vt:i4>5</vt:i4>
      </vt:variant>
      <vt:variant>
        <vt:lpwstr/>
      </vt:variant>
      <vt:variant>
        <vt:lpwstr>_Toc510070987</vt:lpwstr>
      </vt:variant>
      <vt:variant>
        <vt:i4>1966139</vt:i4>
      </vt:variant>
      <vt:variant>
        <vt:i4>20</vt:i4>
      </vt:variant>
      <vt:variant>
        <vt:i4>0</vt:i4>
      </vt:variant>
      <vt:variant>
        <vt:i4>5</vt:i4>
      </vt:variant>
      <vt:variant>
        <vt:lpwstr/>
      </vt:variant>
      <vt:variant>
        <vt:lpwstr>_Toc510070986</vt:lpwstr>
      </vt:variant>
      <vt:variant>
        <vt:i4>1966139</vt:i4>
      </vt:variant>
      <vt:variant>
        <vt:i4>14</vt:i4>
      </vt:variant>
      <vt:variant>
        <vt:i4>0</vt:i4>
      </vt:variant>
      <vt:variant>
        <vt:i4>5</vt:i4>
      </vt:variant>
      <vt:variant>
        <vt:lpwstr/>
      </vt:variant>
      <vt:variant>
        <vt:lpwstr>_Toc510070985</vt:lpwstr>
      </vt:variant>
      <vt:variant>
        <vt:i4>1966139</vt:i4>
      </vt:variant>
      <vt:variant>
        <vt:i4>8</vt:i4>
      </vt:variant>
      <vt:variant>
        <vt:i4>0</vt:i4>
      </vt:variant>
      <vt:variant>
        <vt:i4>5</vt:i4>
      </vt:variant>
      <vt:variant>
        <vt:lpwstr/>
      </vt:variant>
      <vt:variant>
        <vt:lpwstr>_Toc510070984</vt:lpwstr>
      </vt:variant>
      <vt:variant>
        <vt:i4>1966139</vt:i4>
      </vt:variant>
      <vt:variant>
        <vt:i4>2</vt:i4>
      </vt:variant>
      <vt:variant>
        <vt:i4>0</vt:i4>
      </vt:variant>
      <vt:variant>
        <vt:i4>5</vt:i4>
      </vt:variant>
      <vt:variant>
        <vt:lpwstr/>
      </vt:variant>
      <vt:variant>
        <vt:lpwstr>_Toc510070983</vt:lpwstr>
      </vt:variant>
      <vt:variant>
        <vt:i4>8061004</vt:i4>
      </vt:variant>
      <vt:variant>
        <vt:i4>92738</vt:i4>
      </vt:variant>
      <vt:variant>
        <vt:i4>1067</vt:i4>
      </vt:variant>
      <vt:variant>
        <vt:i4>1</vt:i4>
      </vt:variant>
      <vt:variant>
        <vt:lpwstr>cid:image005.jpg@01D3B6E5.93EFD210</vt:lpwstr>
      </vt:variant>
      <vt:variant>
        <vt:lpwstr/>
      </vt:variant>
      <vt:variant>
        <vt:i4>6684762</vt:i4>
      </vt:variant>
      <vt:variant>
        <vt:i4>97849</vt:i4>
      </vt:variant>
      <vt:variant>
        <vt:i4>1070</vt:i4>
      </vt:variant>
      <vt:variant>
        <vt:i4>1</vt:i4>
      </vt:variant>
      <vt:variant>
        <vt:lpwstr>cid:image002.png@01D3A02B.61C03260</vt:lpwstr>
      </vt:variant>
      <vt:variant>
        <vt:lpwstr/>
      </vt:variant>
      <vt:variant>
        <vt:i4>3342347</vt:i4>
      </vt:variant>
      <vt:variant>
        <vt:i4>108591</vt:i4>
      </vt:variant>
      <vt:variant>
        <vt:i4>1073</vt:i4>
      </vt:variant>
      <vt:variant>
        <vt:i4>1</vt:i4>
      </vt:variant>
      <vt:variant>
        <vt:lpwstr>cid:image003.png@01D2B822.A71E8600</vt:lpwstr>
      </vt:variant>
      <vt:variant>
        <vt:lpwstr/>
      </vt:variant>
      <vt:variant>
        <vt:i4>4063243</vt:i4>
      </vt:variant>
      <vt:variant>
        <vt:i4>108723</vt:i4>
      </vt:variant>
      <vt:variant>
        <vt:i4>1074</vt:i4>
      </vt:variant>
      <vt:variant>
        <vt:i4>1</vt:i4>
      </vt:variant>
      <vt:variant>
        <vt:lpwstr>cid:image001.png@01D3BCFE.4CB82D10</vt:lpwstr>
      </vt:variant>
      <vt:variant>
        <vt:lpwstr/>
      </vt:variant>
      <vt:variant>
        <vt:i4>3473453</vt:i4>
      </vt:variant>
      <vt:variant>
        <vt:i4>118697</vt:i4>
      </vt:variant>
      <vt:variant>
        <vt:i4>1097</vt:i4>
      </vt:variant>
      <vt:variant>
        <vt:i4>1</vt:i4>
      </vt:variant>
      <vt:variant>
        <vt:lpwstr>http://msdn.microsoft.com/library/en-us/dnacc/html/atg_keyboardshortcuts_10.gif</vt:lpwstr>
      </vt:variant>
      <vt:variant>
        <vt:lpwstr/>
      </vt:variant>
      <vt:variant>
        <vt:i4>3473453</vt:i4>
      </vt:variant>
      <vt:variant>
        <vt:i4>265471</vt:i4>
      </vt:variant>
      <vt:variant>
        <vt:i4>1177</vt:i4>
      </vt:variant>
      <vt:variant>
        <vt:i4>1</vt:i4>
      </vt:variant>
      <vt:variant>
        <vt:lpwstr>http://msdn.microsoft.com/library/en-us/dnacc/html/atg_keyboardshortcuts_10.gif</vt:lpwstr>
      </vt:variant>
      <vt:variant>
        <vt:lpwstr/>
      </vt:variant>
      <vt:variant>
        <vt:i4>2424896</vt:i4>
      </vt:variant>
      <vt:variant>
        <vt:i4>621855</vt:i4>
      </vt:variant>
      <vt:variant>
        <vt:i4>1275</vt:i4>
      </vt:variant>
      <vt:variant>
        <vt:i4>1</vt:i4>
      </vt:variant>
      <vt:variant>
        <vt:lpwstr>cid:image001.jpg@01CFF8D3.98CB1E30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VBECS 2.3.4 User Guide</dc:title>
  <dc:subject/>
  <dc:creator>McHugh, Dan (Sierra7)</dc:creator>
  <cp:keywords/>
  <dc:description/>
  <cp:lastModifiedBy>Blalock, David (Sierra7)</cp:lastModifiedBy>
  <cp:revision>39</cp:revision>
  <cp:lastPrinted>2025-08-13T16:32:00Z</cp:lastPrinted>
  <dcterms:created xsi:type="dcterms:W3CDTF">2024-12-05T14:08:00Z</dcterms:created>
  <dcterms:modified xsi:type="dcterms:W3CDTF">2025-08-13T16:33:00Z</dcterms:modified>
</cp:coreProperties>
</file>